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793DD" w14:textId="77777777" w:rsidR="00004A43" w:rsidRPr="00036B49" w:rsidRDefault="00004A43">
      <w:pPr>
        <w:sectPr w:rsidR="00004A43" w:rsidRPr="00036B49">
          <w:headerReference w:type="default" r:id="rId8"/>
          <w:headerReference w:type="first" r:id="rId9"/>
          <w:footerReference w:type="first" r:id="rId10"/>
          <w:type w:val="continuous"/>
          <w:pgSz w:w="11901" w:h="16840" w:code="9"/>
          <w:pgMar w:top="1411" w:right="1728" w:bottom="1411" w:left="1728" w:header="677" w:footer="677" w:gutter="0"/>
          <w:cols w:space="708"/>
          <w:titlePg/>
        </w:sectPr>
      </w:pPr>
      <w:bookmarkStart w:id="0" w:name="_GoBack"/>
      <w:bookmarkEnd w:id="0"/>
    </w:p>
    <w:p w14:paraId="68207F0B" w14:textId="77777777" w:rsidR="00004A43" w:rsidRPr="00036B49" w:rsidRDefault="00004A43">
      <w:pPr>
        <w:pStyle w:val="Text"/>
      </w:pPr>
    </w:p>
    <w:p w14:paraId="41B6A947" w14:textId="436CF6CC" w:rsidR="00987CEB" w:rsidRPr="007D14BF" w:rsidRDefault="00525CAB" w:rsidP="007D14BF">
      <w:pPr>
        <w:spacing w:after="200" w:line="276" w:lineRule="auto"/>
        <w:jc w:val="center"/>
        <w:rPr>
          <w:rFonts w:eastAsia="Calibri"/>
          <w:sz w:val="32"/>
          <w:szCs w:val="32"/>
          <w:lang w:val="en-GB" w:eastAsia="en-US"/>
        </w:rPr>
      </w:pPr>
      <w:bookmarkStart w:id="1" w:name="_Hlk10727972"/>
      <w:r w:rsidRPr="00036B49">
        <w:rPr>
          <w:rFonts w:eastAsia="Calibri"/>
          <w:sz w:val="32"/>
          <w:szCs w:val="32"/>
          <w:lang w:val="en-GB" w:eastAsia="en-US"/>
        </w:rPr>
        <w:t>IOM</w:t>
      </w:r>
      <w:r w:rsidR="007D14BF">
        <w:rPr>
          <w:rFonts w:eastAsia="Calibri"/>
          <w:sz w:val="32"/>
          <w:szCs w:val="32"/>
          <w:lang w:val="en-GB" w:eastAsia="en-US"/>
        </w:rPr>
        <w:t>’s</w:t>
      </w:r>
      <w:r w:rsidRPr="00036B49">
        <w:rPr>
          <w:rFonts w:eastAsia="Calibri"/>
          <w:sz w:val="32"/>
          <w:szCs w:val="32"/>
          <w:lang w:val="en-GB" w:eastAsia="en-US"/>
        </w:rPr>
        <w:t xml:space="preserve"> comments and observations on the </w:t>
      </w:r>
      <w:r w:rsidR="007D14BF">
        <w:rPr>
          <w:rFonts w:eastAsia="Calibri"/>
          <w:sz w:val="32"/>
          <w:szCs w:val="32"/>
          <w:lang w:val="en-GB" w:eastAsia="en-US"/>
        </w:rPr>
        <w:t xml:space="preserve">Human Rights Committee’s Revised Draft General Comment No. 37 on ICCPR Article 21 (Right </w:t>
      </w:r>
      <w:r w:rsidR="003B75DD">
        <w:rPr>
          <w:rFonts w:eastAsia="Calibri"/>
          <w:sz w:val="32"/>
          <w:szCs w:val="32"/>
          <w:lang w:val="en-GB" w:eastAsia="en-US"/>
        </w:rPr>
        <w:t>of</w:t>
      </w:r>
      <w:r w:rsidR="007D14BF">
        <w:rPr>
          <w:rFonts w:eastAsia="Calibri"/>
          <w:sz w:val="32"/>
          <w:szCs w:val="32"/>
          <w:lang w:val="en-GB" w:eastAsia="en-US"/>
        </w:rPr>
        <w:t xml:space="preserve"> Peaceful Assembly) </w:t>
      </w:r>
      <w:bookmarkEnd w:id="1"/>
    </w:p>
    <w:p w14:paraId="1788F24B" w14:textId="77777777" w:rsidR="00063268" w:rsidRPr="00036B49" w:rsidRDefault="00063268" w:rsidP="00063268">
      <w:pPr>
        <w:spacing w:after="200" w:line="276" w:lineRule="auto"/>
        <w:jc w:val="both"/>
        <w:rPr>
          <w:rFonts w:eastAsia="Calibri"/>
          <w:b/>
          <w:sz w:val="24"/>
          <w:szCs w:val="24"/>
          <w:lang w:eastAsia="en-US"/>
        </w:rPr>
      </w:pPr>
    </w:p>
    <w:p w14:paraId="7BC3F77E" w14:textId="77777777" w:rsidR="008B3CCD" w:rsidRPr="00036B49" w:rsidRDefault="008B3CCD" w:rsidP="008B3CCD">
      <w:pPr>
        <w:pStyle w:val="ListParagraph"/>
        <w:numPr>
          <w:ilvl w:val="0"/>
          <w:numId w:val="7"/>
        </w:numPr>
        <w:spacing w:after="200" w:line="276" w:lineRule="auto"/>
        <w:jc w:val="both"/>
        <w:rPr>
          <w:rFonts w:eastAsia="Calibri"/>
          <w:b/>
          <w:sz w:val="24"/>
          <w:szCs w:val="24"/>
          <w:lang w:eastAsia="en-US"/>
        </w:rPr>
      </w:pPr>
      <w:r w:rsidRPr="00036B49">
        <w:rPr>
          <w:rFonts w:eastAsia="Calibri"/>
          <w:b/>
          <w:sz w:val="24"/>
          <w:szCs w:val="24"/>
          <w:lang w:eastAsia="en-US"/>
        </w:rPr>
        <w:t xml:space="preserve">Introduction </w:t>
      </w:r>
    </w:p>
    <w:p w14:paraId="206569AD" w14:textId="5D9275FD" w:rsidR="00510461" w:rsidRDefault="00445F02" w:rsidP="00445F02">
      <w:pPr>
        <w:spacing w:after="200" w:line="276" w:lineRule="auto"/>
        <w:jc w:val="both"/>
        <w:rPr>
          <w:rFonts w:eastAsia="Calibri"/>
          <w:sz w:val="24"/>
          <w:szCs w:val="24"/>
          <w:lang w:eastAsia="en-US"/>
        </w:rPr>
      </w:pPr>
      <w:r w:rsidRPr="00036B49">
        <w:rPr>
          <w:rFonts w:eastAsia="Calibri"/>
          <w:sz w:val="24"/>
          <w:szCs w:val="24"/>
          <w:lang w:eastAsia="en-US"/>
        </w:rPr>
        <w:t xml:space="preserve">The </w:t>
      </w:r>
      <w:r w:rsidR="00510461">
        <w:rPr>
          <w:rFonts w:eastAsia="Calibri"/>
          <w:sz w:val="24"/>
          <w:szCs w:val="24"/>
          <w:lang w:eastAsia="en-US"/>
        </w:rPr>
        <w:t xml:space="preserve">Human Rights Committee has invited submissions by </w:t>
      </w:r>
      <w:r w:rsidR="004A1572">
        <w:rPr>
          <w:rFonts w:eastAsia="Calibri"/>
          <w:sz w:val="24"/>
          <w:szCs w:val="24"/>
          <w:lang w:eastAsia="en-US"/>
        </w:rPr>
        <w:t xml:space="preserve">interested </w:t>
      </w:r>
      <w:r w:rsidR="00510461">
        <w:rPr>
          <w:rFonts w:eastAsia="Calibri"/>
          <w:sz w:val="24"/>
          <w:szCs w:val="24"/>
          <w:lang w:eastAsia="en-US"/>
        </w:rPr>
        <w:t xml:space="preserve">stakeholders to inform its draft General Comment No. 37, which addresses the Right </w:t>
      </w:r>
      <w:r w:rsidR="003B75DD">
        <w:rPr>
          <w:rFonts w:eastAsia="Calibri"/>
          <w:sz w:val="24"/>
          <w:szCs w:val="24"/>
          <w:lang w:eastAsia="en-US"/>
        </w:rPr>
        <w:t>of</w:t>
      </w:r>
      <w:r w:rsidR="00510461">
        <w:rPr>
          <w:rFonts w:eastAsia="Calibri"/>
          <w:sz w:val="24"/>
          <w:szCs w:val="24"/>
          <w:lang w:eastAsia="en-US"/>
        </w:rPr>
        <w:t xml:space="preserve"> Peaceful Assembly under Article 21 of the International Covenant on Civil and Political Rights</w:t>
      </w:r>
      <w:r w:rsidR="004A1572">
        <w:rPr>
          <w:rFonts w:eastAsia="Calibri"/>
          <w:sz w:val="24"/>
          <w:szCs w:val="24"/>
          <w:lang w:eastAsia="en-US"/>
        </w:rPr>
        <w:t xml:space="preserve"> (“the Convention”)</w:t>
      </w:r>
      <w:r w:rsidR="00510461">
        <w:rPr>
          <w:rFonts w:eastAsia="Calibri"/>
          <w:sz w:val="24"/>
          <w:szCs w:val="24"/>
          <w:lang w:eastAsia="en-US"/>
        </w:rPr>
        <w:t xml:space="preserve">.  </w:t>
      </w:r>
    </w:p>
    <w:p w14:paraId="28DA16D2" w14:textId="1D3171B8" w:rsidR="00445F02" w:rsidRDefault="00445F02" w:rsidP="00445F02">
      <w:pPr>
        <w:spacing w:after="200" w:line="276" w:lineRule="auto"/>
        <w:jc w:val="both"/>
        <w:rPr>
          <w:rFonts w:eastAsia="Calibri"/>
          <w:sz w:val="24"/>
          <w:szCs w:val="24"/>
          <w:lang w:eastAsia="en-US"/>
        </w:rPr>
      </w:pPr>
      <w:r w:rsidRPr="00036B49">
        <w:rPr>
          <w:rFonts w:eastAsia="Calibri"/>
          <w:sz w:val="24"/>
          <w:szCs w:val="24"/>
          <w:lang w:eastAsia="en-US"/>
        </w:rPr>
        <w:t>The International Migration Law Unit (IML</w:t>
      </w:r>
      <w:r w:rsidR="008930C4">
        <w:rPr>
          <w:rFonts w:eastAsia="Calibri"/>
          <w:sz w:val="24"/>
          <w:szCs w:val="24"/>
          <w:lang w:eastAsia="en-US"/>
        </w:rPr>
        <w:t xml:space="preserve"> Unit</w:t>
      </w:r>
      <w:r w:rsidRPr="00036B49">
        <w:rPr>
          <w:rFonts w:eastAsia="Calibri"/>
          <w:sz w:val="24"/>
          <w:szCs w:val="24"/>
          <w:lang w:eastAsia="en-US"/>
        </w:rPr>
        <w:t>) of the International Organization for Migration (IOM) is pleased to provide its comments and observations in this regard.</w:t>
      </w:r>
    </w:p>
    <w:p w14:paraId="0CE46EF9" w14:textId="77777777" w:rsidR="00796850" w:rsidRPr="00036B49" w:rsidRDefault="00796850" w:rsidP="00445F02">
      <w:pPr>
        <w:spacing w:after="200" w:line="276" w:lineRule="auto"/>
        <w:jc w:val="both"/>
        <w:rPr>
          <w:rFonts w:eastAsia="Calibri"/>
          <w:sz w:val="24"/>
          <w:szCs w:val="24"/>
          <w:lang w:eastAsia="en-US"/>
        </w:rPr>
      </w:pPr>
    </w:p>
    <w:p w14:paraId="09084AC2" w14:textId="53FD156F" w:rsidR="00063268" w:rsidRPr="00036B49" w:rsidRDefault="008B3CCD" w:rsidP="008B3CCD">
      <w:pPr>
        <w:pStyle w:val="ListParagraph"/>
        <w:numPr>
          <w:ilvl w:val="0"/>
          <w:numId w:val="7"/>
        </w:numPr>
        <w:spacing w:after="200" w:line="276" w:lineRule="auto"/>
        <w:jc w:val="both"/>
        <w:rPr>
          <w:rFonts w:eastAsia="Calibri"/>
          <w:b/>
          <w:bCs/>
          <w:sz w:val="24"/>
          <w:szCs w:val="24"/>
          <w:lang w:eastAsia="en-US"/>
        </w:rPr>
      </w:pPr>
      <w:r w:rsidRPr="00036B49">
        <w:rPr>
          <w:rFonts w:eastAsia="Calibri"/>
          <w:b/>
          <w:bCs/>
          <w:sz w:val="24"/>
          <w:szCs w:val="24"/>
          <w:lang w:eastAsia="en-US"/>
        </w:rPr>
        <w:t xml:space="preserve">IOM </w:t>
      </w:r>
      <w:r w:rsidR="001C318A">
        <w:rPr>
          <w:rFonts w:eastAsia="Calibri"/>
          <w:b/>
          <w:bCs/>
          <w:sz w:val="24"/>
          <w:szCs w:val="24"/>
          <w:lang w:eastAsia="en-US"/>
        </w:rPr>
        <w:t>M</w:t>
      </w:r>
      <w:r w:rsidR="00063268" w:rsidRPr="00036B49">
        <w:rPr>
          <w:rFonts w:eastAsia="Calibri"/>
          <w:b/>
          <w:bCs/>
          <w:sz w:val="24"/>
          <w:szCs w:val="24"/>
          <w:lang w:eastAsia="en-US"/>
        </w:rPr>
        <w:t>andate</w:t>
      </w:r>
      <w:r w:rsidR="009B4A3B" w:rsidRPr="00036B49">
        <w:rPr>
          <w:rFonts w:eastAsia="Calibri"/>
          <w:b/>
          <w:bCs/>
          <w:sz w:val="24"/>
          <w:szCs w:val="24"/>
          <w:lang w:eastAsia="en-US"/>
        </w:rPr>
        <w:t xml:space="preserve"> and </w:t>
      </w:r>
      <w:r w:rsidR="001C318A">
        <w:rPr>
          <w:rFonts w:eastAsia="Calibri"/>
          <w:b/>
          <w:bCs/>
          <w:sz w:val="24"/>
          <w:szCs w:val="24"/>
          <w:lang w:eastAsia="en-US"/>
        </w:rPr>
        <w:t>A</w:t>
      </w:r>
      <w:r w:rsidR="009B4A3B" w:rsidRPr="00036B49">
        <w:rPr>
          <w:rFonts w:eastAsia="Calibri"/>
          <w:b/>
          <w:bCs/>
          <w:sz w:val="24"/>
          <w:szCs w:val="24"/>
          <w:lang w:eastAsia="en-US"/>
        </w:rPr>
        <w:t xml:space="preserve">ctivities in the </w:t>
      </w:r>
      <w:r w:rsidR="001C318A">
        <w:rPr>
          <w:rFonts w:eastAsia="Calibri"/>
          <w:b/>
          <w:bCs/>
          <w:sz w:val="24"/>
          <w:szCs w:val="24"/>
          <w:lang w:eastAsia="en-US"/>
        </w:rPr>
        <w:t>A</w:t>
      </w:r>
      <w:r w:rsidR="009B4A3B" w:rsidRPr="00036B49">
        <w:rPr>
          <w:rFonts w:eastAsia="Calibri"/>
          <w:b/>
          <w:bCs/>
          <w:sz w:val="24"/>
          <w:szCs w:val="24"/>
          <w:lang w:eastAsia="en-US"/>
        </w:rPr>
        <w:t xml:space="preserve">rea of </w:t>
      </w:r>
      <w:r w:rsidR="001C318A">
        <w:rPr>
          <w:rFonts w:eastAsia="Calibri"/>
          <w:b/>
          <w:bCs/>
          <w:sz w:val="24"/>
          <w:szCs w:val="24"/>
          <w:lang w:eastAsia="en-US"/>
        </w:rPr>
        <w:t>M</w:t>
      </w:r>
      <w:r w:rsidR="00B77F01" w:rsidRPr="00036B49">
        <w:rPr>
          <w:rFonts w:eastAsia="Calibri"/>
          <w:b/>
          <w:bCs/>
          <w:sz w:val="24"/>
          <w:szCs w:val="24"/>
          <w:lang w:eastAsia="en-US"/>
        </w:rPr>
        <w:t>igration</w:t>
      </w:r>
      <w:r w:rsidR="00FD239B" w:rsidRPr="00036B49">
        <w:rPr>
          <w:rFonts w:eastAsia="Calibri"/>
          <w:b/>
          <w:bCs/>
          <w:sz w:val="24"/>
          <w:szCs w:val="24"/>
          <w:lang w:eastAsia="en-US"/>
        </w:rPr>
        <w:t xml:space="preserve"> </w:t>
      </w:r>
    </w:p>
    <w:p w14:paraId="1E289E5D" w14:textId="16AAF3D1" w:rsidR="00FD239B" w:rsidRPr="00036B49" w:rsidRDefault="00445F02" w:rsidP="00445F02">
      <w:pPr>
        <w:spacing w:after="200" w:line="276" w:lineRule="auto"/>
        <w:jc w:val="both"/>
        <w:rPr>
          <w:rFonts w:eastAsia="Calibri"/>
          <w:sz w:val="24"/>
          <w:szCs w:val="24"/>
          <w:lang w:eastAsia="en-US"/>
        </w:rPr>
      </w:pPr>
      <w:r w:rsidRPr="00036B49">
        <w:rPr>
          <w:rFonts w:eastAsia="Calibri"/>
          <w:sz w:val="24"/>
          <w:szCs w:val="24"/>
          <w:lang w:eastAsia="en-US"/>
        </w:rPr>
        <w:t>Established in 1951, IOM is the only inter‐governmental organization</w:t>
      </w:r>
      <w:r w:rsidR="004A1572">
        <w:rPr>
          <w:rFonts w:eastAsia="Calibri"/>
          <w:sz w:val="24"/>
          <w:szCs w:val="24"/>
          <w:lang w:eastAsia="en-US"/>
        </w:rPr>
        <w:t xml:space="preserve"> </w:t>
      </w:r>
      <w:r w:rsidRPr="00036B49">
        <w:rPr>
          <w:rFonts w:eastAsia="Calibri"/>
          <w:sz w:val="24"/>
          <w:szCs w:val="24"/>
          <w:lang w:eastAsia="en-US"/>
        </w:rPr>
        <w:t>exclusively focused on migration.  IOM works towards orderly and humane migration by delivering people‐centered services and advocating for the well‐being of migrants and their families. IOM’s mandate allows it to work with migrants, refugees, displaced persons and others in need of migration services or assistance,</w:t>
      </w:r>
      <w:r w:rsidRPr="00036B49">
        <w:rPr>
          <w:rFonts w:eastAsia="Calibri"/>
          <w:sz w:val="24"/>
          <w:szCs w:val="24"/>
          <w:vertAlign w:val="superscript"/>
          <w:lang w:eastAsia="en-US"/>
        </w:rPr>
        <w:footnoteReference w:id="1"/>
      </w:r>
      <w:r w:rsidRPr="00036B49">
        <w:rPr>
          <w:rFonts w:eastAsia="Calibri"/>
          <w:sz w:val="24"/>
          <w:szCs w:val="24"/>
          <w:lang w:eastAsia="en-US"/>
        </w:rPr>
        <w:t xml:space="preserve"> including concerned communities.  </w:t>
      </w:r>
    </w:p>
    <w:p w14:paraId="17501DDE" w14:textId="6BD30ADC" w:rsidR="00445F02" w:rsidRPr="00036B49" w:rsidRDefault="00445F02" w:rsidP="00445F02">
      <w:pPr>
        <w:spacing w:after="200" w:line="276" w:lineRule="auto"/>
        <w:jc w:val="both"/>
        <w:rPr>
          <w:rFonts w:eastAsia="Calibri"/>
          <w:sz w:val="24"/>
          <w:szCs w:val="24"/>
          <w:lang w:eastAsia="en-US"/>
        </w:rPr>
      </w:pPr>
      <w:r w:rsidRPr="00036B49">
        <w:rPr>
          <w:rFonts w:eastAsia="Calibri"/>
          <w:sz w:val="24"/>
          <w:szCs w:val="24"/>
          <w:lang w:eastAsia="en-US"/>
        </w:rPr>
        <w:t>The prim</w:t>
      </w:r>
      <w:r w:rsidR="00F71FDF">
        <w:rPr>
          <w:rFonts w:eastAsia="Calibri"/>
          <w:sz w:val="24"/>
          <w:szCs w:val="24"/>
          <w:lang w:eastAsia="en-US"/>
        </w:rPr>
        <w:t>ary</w:t>
      </w:r>
      <w:r w:rsidRPr="00036B49">
        <w:rPr>
          <w:rFonts w:eastAsia="Calibri"/>
          <w:sz w:val="24"/>
          <w:szCs w:val="24"/>
          <w:lang w:eastAsia="en-US"/>
        </w:rPr>
        <w:t xml:space="preserve"> responsibility for ensuring the respect of the human rights of migrants lies with States.  A State has the duty to protect </w:t>
      </w:r>
      <w:r w:rsidR="00ED1C80">
        <w:rPr>
          <w:rFonts w:eastAsia="Calibri"/>
          <w:sz w:val="24"/>
          <w:szCs w:val="24"/>
          <w:lang w:eastAsia="en-US"/>
        </w:rPr>
        <w:t xml:space="preserve">the human rights of </w:t>
      </w:r>
      <w:r w:rsidRPr="00036B49">
        <w:rPr>
          <w:rFonts w:eastAsia="Calibri"/>
          <w:sz w:val="24"/>
          <w:szCs w:val="24"/>
          <w:lang w:eastAsia="en-US"/>
        </w:rPr>
        <w:t xml:space="preserve">all persons </w:t>
      </w:r>
      <w:r w:rsidR="004A1572">
        <w:rPr>
          <w:rFonts w:eastAsia="Calibri"/>
          <w:sz w:val="24"/>
          <w:szCs w:val="24"/>
          <w:lang w:eastAsia="en-US"/>
        </w:rPr>
        <w:t>subject to its jurisdiction</w:t>
      </w:r>
      <w:r w:rsidRPr="00036B49">
        <w:rPr>
          <w:rFonts w:eastAsia="Calibri"/>
          <w:sz w:val="24"/>
          <w:szCs w:val="24"/>
          <w:lang w:eastAsia="en-US"/>
        </w:rPr>
        <w:t>, nationals and non-national</w:t>
      </w:r>
      <w:r w:rsidR="004A1572">
        <w:rPr>
          <w:rFonts w:eastAsia="Calibri"/>
          <w:sz w:val="24"/>
          <w:szCs w:val="24"/>
          <w:lang w:eastAsia="en-US"/>
        </w:rPr>
        <w:t>s alike</w:t>
      </w:r>
      <w:r w:rsidRPr="00036B49">
        <w:rPr>
          <w:rFonts w:eastAsia="Calibri"/>
          <w:sz w:val="24"/>
          <w:szCs w:val="24"/>
          <w:lang w:eastAsia="en-US"/>
        </w:rPr>
        <w:t xml:space="preserve">, </w:t>
      </w:r>
      <w:r w:rsidR="004A1572">
        <w:rPr>
          <w:rFonts w:eastAsia="Calibri"/>
          <w:sz w:val="24"/>
          <w:szCs w:val="24"/>
          <w:lang w:eastAsia="en-US"/>
        </w:rPr>
        <w:t>whether they are</w:t>
      </w:r>
      <w:r w:rsidRPr="00036B49">
        <w:rPr>
          <w:rFonts w:eastAsia="Calibri"/>
          <w:sz w:val="24"/>
          <w:szCs w:val="24"/>
          <w:lang w:eastAsia="en-US"/>
        </w:rPr>
        <w:t xml:space="preserve"> in a regular or irregular </w:t>
      </w:r>
      <w:r w:rsidR="00ED1C80">
        <w:rPr>
          <w:rFonts w:eastAsia="Calibri"/>
          <w:sz w:val="24"/>
          <w:szCs w:val="24"/>
          <w:lang w:eastAsia="en-US"/>
        </w:rPr>
        <w:t xml:space="preserve">migration </w:t>
      </w:r>
      <w:r w:rsidRPr="00036B49">
        <w:rPr>
          <w:rFonts w:eastAsia="Calibri"/>
          <w:sz w:val="24"/>
          <w:szCs w:val="24"/>
          <w:lang w:eastAsia="en-US"/>
        </w:rPr>
        <w:t>situation</w:t>
      </w:r>
      <w:r w:rsidR="004A1572">
        <w:rPr>
          <w:rFonts w:eastAsia="Calibri"/>
          <w:sz w:val="24"/>
          <w:szCs w:val="24"/>
          <w:lang w:eastAsia="en-US"/>
        </w:rPr>
        <w:t>, as well as stateless persons</w:t>
      </w:r>
      <w:r w:rsidRPr="00036B49">
        <w:rPr>
          <w:rFonts w:eastAsia="Calibri"/>
          <w:sz w:val="24"/>
          <w:szCs w:val="24"/>
          <w:lang w:eastAsia="en-US"/>
        </w:rPr>
        <w:t xml:space="preserve">.  </w:t>
      </w:r>
      <w:r w:rsidR="00ED1C80">
        <w:rPr>
          <w:rFonts w:eastAsia="Calibri"/>
          <w:sz w:val="24"/>
          <w:szCs w:val="24"/>
          <w:lang w:eastAsia="en-US"/>
        </w:rPr>
        <w:t>I</w:t>
      </w:r>
      <w:r w:rsidRPr="00036B49">
        <w:rPr>
          <w:rFonts w:eastAsia="Calibri"/>
          <w:sz w:val="24"/>
          <w:szCs w:val="24"/>
          <w:lang w:eastAsia="en-US"/>
        </w:rPr>
        <w:t xml:space="preserve">nternational actors, including IOM, have a supporting role to play in </w:t>
      </w:r>
      <w:r w:rsidR="004A1572">
        <w:rPr>
          <w:rFonts w:eastAsia="Calibri"/>
          <w:sz w:val="24"/>
          <w:szCs w:val="24"/>
          <w:lang w:eastAsia="en-US"/>
        </w:rPr>
        <w:t xml:space="preserve">helping States </w:t>
      </w:r>
      <w:r w:rsidRPr="00036B49">
        <w:rPr>
          <w:rFonts w:eastAsia="Calibri"/>
          <w:sz w:val="24"/>
          <w:szCs w:val="24"/>
          <w:lang w:eastAsia="en-US"/>
        </w:rPr>
        <w:t>achiev</w:t>
      </w:r>
      <w:r w:rsidR="004A1572">
        <w:rPr>
          <w:rFonts w:eastAsia="Calibri"/>
          <w:sz w:val="24"/>
          <w:szCs w:val="24"/>
          <w:lang w:eastAsia="en-US"/>
        </w:rPr>
        <w:t>e</w:t>
      </w:r>
      <w:r w:rsidRPr="00036B49">
        <w:rPr>
          <w:rFonts w:eastAsia="Calibri"/>
          <w:sz w:val="24"/>
          <w:szCs w:val="24"/>
          <w:lang w:eastAsia="en-US"/>
        </w:rPr>
        <w:t xml:space="preserve"> effective respect </w:t>
      </w:r>
      <w:r w:rsidR="004A1572">
        <w:rPr>
          <w:rFonts w:eastAsia="Calibri"/>
          <w:sz w:val="24"/>
          <w:szCs w:val="24"/>
          <w:lang w:eastAsia="en-US"/>
        </w:rPr>
        <w:t>for</w:t>
      </w:r>
      <w:r w:rsidRPr="00036B49">
        <w:rPr>
          <w:rFonts w:eastAsia="Calibri"/>
          <w:sz w:val="24"/>
          <w:szCs w:val="24"/>
          <w:lang w:eastAsia="en-US"/>
        </w:rPr>
        <w:t xml:space="preserve"> the human rights of migrants.  </w:t>
      </w:r>
    </w:p>
    <w:p w14:paraId="77969D72" w14:textId="72A3E2D9" w:rsidR="00445F02" w:rsidRPr="00036B49" w:rsidRDefault="00445F02" w:rsidP="00445F02">
      <w:pPr>
        <w:spacing w:after="200" w:line="276" w:lineRule="auto"/>
        <w:jc w:val="both"/>
        <w:rPr>
          <w:rFonts w:eastAsia="Calibri"/>
          <w:sz w:val="24"/>
          <w:szCs w:val="24"/>
          <w:lang w:eastAsia="en-US"/>
        </w:rPr>
      </w:pPr>
      <w:r w:rsidRPr="00036B49">
        <w:rPr>
          <w:rFonts w:eastAsia="Calibri"/>
          <w:sz w:val="24"/>
          <w:szCs w:val="24"/>
          <w:lang w:eastAsia="en-US"/>
        </w:rPr>
        <w:t xml:space="preserve">Concern for the dignity and well‐being of migrants has been present in IOM constituent documents since the Organization’s inception.  In 2004, IOM Member States endorsed the consolidation of the International Migration Law and Legal </w:t>
      </w:r>
      <w:r w:rsidRPr="00036B49">
        <w:rPr>
          <w:rFonts w:eastAsia="Calibri"/>
          <w:sz w:val="24"/>
          <w:szCs w:val="24"/>
          <w:lang w:eastAsia="en-US"/>
        </w:rPr>
        <w:lastRenderedPageBreak/>
        <w:t>Affairs Department in order to streamline and strengthen IOM’s involvement in International Migration Law (IML).  IML is the set of legal rules that constrain, regulate, and channel state authority over migration. The IML Unit of IOM is entrusted with the responsibility to: research and disseminate information on Migration Law; provide training and capacity building on IML for government officials, civil society groups, international governmental organizations, non‐governmental organizations (NGOs) and IOM staff; and provide advice on whether existing national legislation complies with international legal standards</w:t>
      </w:r>
      <w:r w:rsidR="004C7733">
        <w:rPr>
          <w:rFonts w:eastAsia="Calibri"/>
          <w:sz w:val="24"/>
          <w:szCs w:val="24"/>
          <w:lang w:eastAsia="en-US"/>
        </w:rPr>
        <w:t xml:space="preserve"> and other legal advice or opinions on topics related to IML</w:t>
      </w:r>
      <w:r w:rsidRPr="00036B49">
        <w:rPr>
          <w:rFonts w:eastAsia="Calibri"/>
          <w:sz w:val="24"/>
          <w:szCs w:val="24"/>
          <w:lang w:eastAsia="en-US"/>
        </w:rPr>
        <w:t xml:space="preserve">.  IOM strongly believes in </w:t>
      </w:r>
      <w:r w:rsidR="00DC668B">
        <w:rPr>
          <w:rFonts w:eastAsia="Calibri"/>
          <w:sz w:val="24"/>
          <w:szCs w:val="24"/>
          <w:lang w:eastAsia="en-US"/>
        </w:rPr>
        <w:t xml:space="preserve">and applies </w:t>
      </w:r>
      <w:r w:rsidRPr="00036B49">
        <w:rPr>
          <w:rFonts w:eastAsia="Calibri"/>
          <w:sz w:val="24"/>
          <w:szCs w:val="24"/>
          <w:lang w:eastAsia="en-US"/>
        </w:rPr>
        <w:t>a rights-based approach in migration programming.  It also strives to promote the rights of migrants through advocacy and to contribute to their protection.</w:t>
      </w:r>
    </w:p>
    <w:p w14:paraId="68230969" w14:textId="77777777" w:rsidR="00525CAB" w:rsidRPr="00036B49" w:rsidRDefault="00525CAB" w:rsidP="00063268">
      <w:pPr>
        <w:autoSpaceDE w:val="0"/>
        <w:autoSpaceDN w:val="0"/>
        <w:adjustRightInd w:val="0"/>
        <w:spacing w:line="276" w:lineRule="auto"/>
        <w:jc w:val="both"/>
        <w:rPr>
          <w:rFonts w:eastAsia="Calibri"/>
          <w:sz w:val="24"/>
          <w:szCs w:val="24"/>
          <w:lang w:eastAsia="en-US"/>
        </w:rPr>
      </w:pPr>
    </w:p>
    <w:p w14:paraId="232CE9AC" w14:textId="251DD1D4" w:rsidR="00987CEB" w:rsidRPr="00036B49" w:rsidRDefault="00987CEB" w:rsidP="008B3CCD">
      <w:pPr>
        <w:pStyle w:val="ListParagraph"/>
        <w:numPr>
          <w:ilvl w:val="0"/>
          <w:numId w:val="7"/>
        </w:numPr>
        <w:spacing w:after="200" w:line="276" w:lineRule="auto"/>
        <w:jc w:val="both"/>
        <w:rPr>
          <w:rFonts w:eastAsia="Calibri"/>
          <w:b/>
          <w:bCs/>
          <w:sz w:val="24"/>
          <w:szCs w:val="24"/>
          <w:lang w:eastAsia="en-US"/>
        </w:rPr>
      </w:pPr>
      <w:bookmarkStart w:id="2" w:name="_Hlk10719635"/>
      <w:r w:rsidRPr="00036B49">
        <w:rPr>
          <w:rFonts w:eastAsia="Calibri"/>
          <w:b/>
          <w:bCs/>
          <w:sz w:val="24"/>
          <w:szCs w:val="24"/>
          <w:lang w:eastAsia="en-US"/>
        </w:rPr>
        <w:t xml:space="preserve"> </w:t>
      </w:r>
      <w:r w:rsidR="0054769C" w:rsidRPr="00036B49">
        <w:rPr>
          <w:rFonts w:eastAsia="Calibri"/>
          <w:b/>
          <w:bCs/>
          <w:sz w:val="24"/>
          <w:szCs w:val="24"/>
          <w:lang w:eastAsia="en-US"/>
        </w:rPr>
        <w:t xml:space="preserve">General </w:t>
      </w:r>
      <w:r w:rsidR="004A1572">
        <w:rPr>
          <w:rFonts w:eastAsia="Calibri"/>
          <w:b/>
          <w:bCs/>
          <w:sz w:val="24"/>
          <w:szCs w:val="24"/>
          <w:lang w:eastAsia="en-US"/>
        </w:rPr>
        <w:t>Observations</w:t>
      </w:r>
    </w:p>
    <w:bookmarkEnd w:id="2"/>
    <w:p w14:paraId="34B83B43" w14:textId="4D87954E" w:rsidR="00125718" w:rsidRDefault="00B77F01" w:rsidP="00861B7B">
      <w:pPr>
        <w:spacing w:after="200" w:line="276" w:lineRule="auto"/>
        <w:jc w:val="both"/>
        <w:rPr>
          <w:rFonts w:eastAsia="Calibri"/>
          <w:sz w:val="24"/>
          <w:szCs w:val="24"/>
          <w:lang w:eastAsia="en-US"/>
        </w:rPr>
      </w:pPr>
      <w:r w:rsidRPr="00036B49">
        <w:rPr>
          <w:rFonts w:eastAsia="Calibri"/>
          <w:sz w:val="24"/>
          <w:szCs w:val="24"/>
          <w:lang w:eastAsia="en-US"/>
        </w:rPr>
        <w:t>IOM welcomes th</w:t>
      </w:r>
      <w:r w:rsidR="00A40270">
        <w:rPr>
          <w:rFonts w:eastAsia="Calibri"/>
          <w:sz w:val="24"/>
          <w:szCs w:val="24"/>
          <w:lang w:eastAsia="en-US"/>
        </w:rPr>
        <w:t xml:space="preserve">e considerable efforts by the Human Rights Committee to develop this comprehensive </w:t>
      </w:r>
      <w:r w:rsidR="004A1572">
        <w:rPr>
          <w:rFonts w:eastAsia="Calibri"/>
          <w:sz w:val="24"/>
          <w:szCs w:val="24"/>
          <w:lang w:eastAsia="en-US"/>
        </w:rPr>
        <w:t>draft General Comment</w:t>
      </w:r>
      <w:r w:rsidR="00A40270">
        <w:rPr>
          <w:rFonts w:eastAsia="Calibri"/>
          <w:sz w:val="24"/>
          <w:szCs w:val="24"/>
          <w:lang w:eastAsia="en-US"/>
        </w:rPr>
        <w:t xml:space="preserve"> and the </w:t>
      </w:r>
      <w:r w:rsidRPr="00036B49">
        <w:rPr>
          <w:rFonts w:eastAsia="Calibri"/>
          <w:sz w:val="24"/>
          <w:szCs w:val="24"/>
          <w:lang w:eastAsia="en-US"/>
        </w:rPr>
        <w:t xml:space="preserve">contribution </w:t>
      </w:r>
      <w:r w:rsidR="00796850">
        <w:rPr>
          <w:rFonts w:eastAsia="Calibri"/>
          <w:sz w:val="24"/>
          <w:szCs w:val="24"/>
          <w:lang w:eastAsia="en-US"/>
        </w:rPr>
        <w:t xml:space="preserve">this document </w:t>
      </w:r>
      <w:r w:rsidR="00146D8E">
        <w:rPr>
          <w:rFonts w:eastAsia="Calibri"/>
          <w:sz w:val="24"/>
          <w:szCs w:val="24"/>
          <w:lang w:eastAsia="en-US"/>
        </w:rPr>
        <w:t>promise</w:t>
      </w:r>
      <w:r w:rsidR="00A40270">
        <w:rPr>
          <w:rFonts w:eastAsia="Calibri"/>
          <w:sz w:val="24"/>
          <w:szCs w:val="24"/>
          <w:lang w:eastAsia="en-US"/>
        </w:rPr>
        <w:t>s to make to State Parties’ implementation</w:t>
      </w:r>
      <w:r w:rsidR="004A1572">
        <w:rPr>
          <w:rFonts w:eastAsia="Calibri"/>
          <w:sz w:val="24"/>
          <w:szCs w:val="24"/>
          <w:lang w:eastAsia="en-US"/>
        </w:rPr>
        <w:t xml:space="preserve"> of Article 21 of the Convention</w:t>
      </w:r>
      <w:r w:rsidR="00A40270">
        <w:rPr>
          <w:rFonts w:eastAsia="Calibri"/>
          <w:sz w:val="24"/>
          <w:szCs w:val="24"/>
          <w:lang w:eastAsia="en-US"/>
        </w:rPr>
        <w:t>, and consequently, to the enjoyment of the Right to Peaceful Assem</w:t>
      </w:r>
      <w:r w:rsidR="004A1572">
        <w:rPr>
          <w:rFonts w:eastAsia="Calibri"/>
          <w:sz w:val="24"/>
          <w:szCs w:val="24"/>
          <w:lang w:eastAsia="en-US"/>
        </w:rPr>
        <w:t xml:space="preserve">bly by all individuals. </w:t>
      </w:r>
      <w:r w:rsidR="007410F2">
        <w:rPr>
          <w:rFonts w:eastAsia="Calibri"/>
          <w:sz w:val="24"/>
          <w:szCs w:val="24"/>
          <w:lang w:eastAsia="en-US"/>
        </w:rPr>
        <w:t xml:space="preserve"> </w:t>
      </w:r>
      <w:r w:rsidR="00D7777E">
        <w:rPr>
          <w:rFonts w:eastAsia="Calibri"/>
          <w:sz w:val="24"/>
          <w:szCs w:val="24"/>
          <w:lang w:eastAsia="en-US"/>
        </w:rPr>
        <w:t>The present submission serves primarily to suggest some areas where additional</w:t>
      </w:r>
      <w:r w:rsidR="00796850">
        <w:rPr>
          <w:rFonts w:eastAsia="Calibri"/>
          <w:sz w:val="24"/>
          <w:szCs w:val="24"/>
          <w:lang w:eastAsia="en-US"/>
        </w:rPr>
        <w:t xml:space="preserve"> elaboration</w:t>
      </w:r>
      <w:r w:rsidR="00D7777E">
        <w:rPr>
          <w:rFonts w:eastAsia="Calibri"/>
          <w:sz w:val="24"/>
          <w:szCs w:val="24"/>
          <w:lang w:eastAsia="en-US"/>
        </w:rPr>
        <w:t xml:space="preserve"> from the Committee regarding the scope of Article 21 could </w:t>
      </w:r>
      <w:r w:rsidR="00880369">
        <w:rPr>
          <w:rFonts w:eastAsia="Calibri"/>
          <w:sz w:val="24"/>
          <w:szCs w:val="24"/>
          <w:lang w:eastAsia="en-US"/>
        </w:rPr>
        <w:t xml:space="preserve">further </w:t>
      </w:r>
      <w:r w:rsidR="00D7777E">
        <w:rPr>
          <w:rFonts w:eastAsia="Calibri"/>
          <w:sz w:val="24"/>
          <w:szCs w:val="24"/>
          <w:lang w:eastAsia="en-US"/>
        </w:rPr>
        <w:t xml:space="preserve">contribute </w:t>
      </w:r>
      <w:r w:rsidR="00796850">
        <w:rPr>
          <w:rFonts w:eastAsia="Calibri"/>
          <w:sz w:val="24"/>
          <w:szCs w:val="24"/>
          <w:lang w:eastAsia="en-US"/>
        </w:rPr>
        <w:t xml:space="preserve">specifically </w:t>
      </w:r>
      <w:r w:rsidR="00D7777E">
        <w:rPr>
          <w:rFonts w:eastAsia="Calibri"/>
          <w:sz w:val="24"/>
          <w:szCs w:val="24"/>
          <w:lang w:eastAsia="en-US"/>
        </w:rPr>
        <w:t>to promoting</w:t>
      </w:r>
      <w:r w:rsidR="00CF6412">
        <w:rPr>
          <w:rFonts w:eastAsia="Calibri"/>
          <w:sz w:val="24"/>
          <w:szCs w:val="24"/>
          <w:lang w:eastAsia="en-US"/>
        </w:rPr>
        <w:t xml:space="preserve"> respect for the human rights,</w:t>
      </w:r>
      <w:r w:rsidR="00D72A18" w:rsidRPr="00036B49">
        <w:rPr>
          <w:rFonts w:eastAsia="Calibri"/>
          <w:sz w:val="24"/>
          <w:szCs w:val="24"/>
          <w:lang w:eastAsia="en-US"/>
        </w:rPr>
        <w:t xml:space="preserve"> dignity</w:t>
      </w:r>
      <w:r w:rsidR="00CF6412">
        <w:rPr>
          <w:rFonts w:eastAsia="Calibri"/>
          <w:sz w:val="24"/>
          <w:szCs w:val="24"/>
          <w:lang w:eastAsia="en-US"/>
        </w:rPr>
        <w:t>,</w:t>
      </w:r>
      <w:r w:rsidR="00D72A18" w:rsidRPr="00036B49">
        <w:rPr>
          <w:rFonts w:eastAsia="Calibri"/>
          <w:sz w:val="24"/>
          <w:szCs w:val="24"/>
          <w:lang w:eastAsia="en-US"/>
        </w:rPr>
        <w:t xml:space="preserve"> and well‐being of migrants.</w:t>
      </w:r>
      <w:r w:rsidR="00880369">
        <w:rPr>
          <w:rFonts w:eastAsia="Calibri"/>
          <w:sz w:val="24"/>
          <w:szCs w:val="24"/>
          <w:lang w:eastAsia="en-US"/>
        </w:rPr>
        <w:t xml:space="preserve">  </w:t>
      </w:r>
    </w:p>
    <w:p w14:paraId="70F45ADA" w14:textId="10897B73" w:rsidR="00125718" w:rsidRPr="00125718" w:rsidRDefault="00125718" w:rsidP="00861B7B">
      <w:pPr>
        <w:spacing w:after="200" w:line="276" w:lineRule="auto"/>
        <w:jc w:val="both"/>
        <w:rPr>
          <w:rFonts w:eastAsia="Calibri"/>
          <w:i/>
          <w:iCs/>
          <w:sz w:val="24"/>
          <w:szCs w:val="24"/>
          <w:lang w:eastAsia="en-US"/>
        </w:rPr>
      </w:pPr>
      <w:r w:rsidRPr="00125718">
        <w:rPr>
          <w:rFonts w:eastAsia="Calibri"/>
          <w:i/>
          <w:iCs/>
          <w:sz w:val="24"/>
          <w:szCs w:val="24"/>
          <w:lang w:eastAsia="en-US"/>
        </w:rPr>
        <w:t xml:space="preserve">Non-Discrimination Against Migrants </w:t>
      </w:r>
      <w:r>
        <w:rPr>
          <w:rFonts w:eastAsia="Calibri"/>
          <w:i/>
          <w:iCs/>
          <w:sz w:val="24"/>
          <w:szCs w:val="24"/>
          <w:lang w:eastAsia="en-US"/>
        </w:rPr>
        <w:t>w</w:t>
      </w:r>
      <w:r w:rsidRPr="00125718">
        <w:rPr>
          <w:rFonts w:eastAsia="Calibri"/>
          <w:i/>
          <w:iCs/>
          <w:sz w:val="24"/>
          <w:szCs w:val="24"/>
          <w:lang w:eastAsia="en-US"/>
        </w:rPr>
        <w:t>ith Respect to the Right of Peaceful Assembly</w:t>
      </w:r>
    </w:p>
    <w:p w14:paraId="1BC3F669" w14:textId="7585D5FE" w:rsidR="00B22786" w:rsidRDefault="00125718" w:rsidP="00861B7B">
      <w:pPr>
        <w:spacing w:after="200" w:line="276" w:lineRule="auto"/>
        <w:jc w:val="both"/>
        <w:rPr>
          <w:rFonts w:eastAsia="Calibri"/>
          <w:sz w:val="24"/>
          <w:szCs w:val="24"/>
          <w:lang w:eastAsia="en-US"/>
        </w:rPr>
      </w:pPr>
      <w:r w:rsidRPr="00125718">
        <w:rPr>
          <w:rFonts w:eastAsia="Calibri"/>
          <w:sz w:val="24"/>
          <w:szCs w:val="24"/>
          <w:lang w:eastAsia="en-US"/>
        </w:rPr>
        <w:t>IOM welcomes</w:t>
      </w:r>
      <w:r>
        <w:rPr>
          <w:rFonts w:eastAsia="Calibri"/>
          <w:sz w:val="24"/>
          <w:szCs w:val="24"/>
          <w:lang w:eastAsia="en-US"/>
        </w:rPr>
        <w:t xml:space="preserve"> </w:t>
      </w:r>
      <w:r w:rsidRPr="00125718">
        <w:rPr>
          <w:rFonts w:eastAsia="Calibri"/>
          <w:sz w:val="24"/>
          <w:szCs w:val="24"/>
          <w:lang w:eastAsia="en-US"/>
        </w:rPr>
        <w:t xml:space="preserve">the </w:t>
      </w:r>
      <w:r>
        <w:rPr>
          <w:rFonts w:eastAsia="Calibri"/>
          <w:sz w:val="24"/>
          <w:szCs w:val="24"/>
          <w:lang w:eastAsia="en-US"/>
        </w:rPr>
        <w:t xml:space="preserve">explicit </w:t>
      </w:r>
      <w:r w:rsidRPr="00125718">
        <w:rPr>
          <w:rFonts w:eastAsia="Calibri"/>
          <w:sz w:val="24"/>
          <w:szCs w:val="24"/>
          <w:lang w:eastAsia="en-US"/>
        </w:rPr>
        <w:t xml:space="preserve">recognition in paragraph 5 of the draft </w:t>
      </w:r>
      <w:r w:rsidR="00CF6412">
        <w:rPr>
          <w:rFonts w:eastAsia="Calibri"/>
          <w:sz w:val="24"/>
          <w:szCs w:val="24"/>
          <w:lang w:eastAsia="en-US"/>
        </w:rPr>
        <w:t xml:space="preserve">General Comment, which states </w:t>
      </w:r>
      <w:r w:rsidRPr="00125718">
        <w:rPr>
          <w:rFonts w:eastAsia="Calibri"/>
          <w:sz w:val="24"/>
          <w:szCs w:val="24"/>
          <w:lang w:eastAsia="en-US"/>
        </w:rPr>
        <w:t>that everyone can exercise the right of peaceful assembly, “including migrant workers, asylum seekers and refugees, as well as stateless persons</w:t>
      </w:r>
      <w:r w:rsidR="00BF5B7D">
        <w:rPr>
          <w:rFonts w:eastAsia="Calibri"/>
          <w:sz w:val="24"/>
          <w:szCs w:val="24"/>
          <w:lang w:eastAsia="en-US"/>
        </w:rPr>
        <w:t>,</w:t>
      </w:r>
      <w:r w:rsidRPr="00125718">
        <w:rPr>
          <w:rFonts w:eastAsia="Calibri"/>
          <w:sz w:val="24"/>
          <w:szCs w:val="24"/>
          <w:lang w:eastAsia="en-US"/>
        </w:rPr>
        <w:t>”</w:t>
      </w:r>
      <w:r w:rsidR="00BF5B7D">
        <w:rPr>
          <w:rFonts w:eastAsia="Calibri"/>
          <w:sz w:val="24"/>
          <w:szCs w:val="24"/>
          <w:lang w:eastAsia="en-US"/>
        </w:rPr>
        <w:t xml:space="preserve"> a position that is consistent with the Committee’s prior General Comment 15 on the “</w:t>
      </w:r>
      <w:r w:rsidR="00BF5B7D" w:rsidRPr="00BF5B7D">
        <w:rPr>
          <w:rFonts w:eastAsia="Calibri"/>
          <w:sz w:val="24"/>
          <w:szCs w:val="24"/>
          <w:lang w:eastAsia="en-US"/>
        </w:rPr>
        <w:t>Position of Aliens Under the Covenant</w:t>
      </w:r>
      <w:r w:rsidR="00BF5B7D">
        <w:rPr>
          <w:rFonts w:eastAsia="Calibri"/>
          <w:sz w:val="24"/>
          <w:szCs w:val="24"/>
          <w:lang w:eastAsia="en-US"/>
        </w:rPr>
        <w:t>.”</w:t>
      </w:r>
      <w:r w:rsidR="00BF5B7D">
        <w:rPr>
          <w:rStyle w:val="FootnoteReference"/>
          <w:rFonts w:eastAsia="Calibri"/>
          <w:sz w:val="24"/>
          <w:szCs w:val="24"/>
          <w:lang w:eastAsia="en-US"/>
        </w:rPr>
        <w:footnoteReference w:id="2"/>
      </w:r>
      <w:r w:rsidRPr="00125718">
        <w:rPr>
          <w:rFonts w:eastAsia="Calibri"/>
          <w:sz w:val="24"/>
          <w:szCs w:val="24"/>
          <w:lang w:eastAsia="en-US"/>
        </w:rPr>
        <w:t xml:space="preserve">  IOM </w:t>
      </w:r>
      <w:r w:rsidR="00CF6412">
        <w:rPr>
          <w:rFonts w:eastAsia="Calibri"/>
          <w:sz w:val="24"/>
          <w:szCs w:val="24"/>
          <w:lang w:eastAsia="en-US"/>
        </w:rPr>
        <w:t xml:space="preserve">also </w:t>
      </w:r>
      <w:r w:rsidRPr="00125718">
        <w:rPr>
          <w:rFonts w:eastAsia="Calibri"/>
          <w:sz w:val="24"/>
          <w:szCs w:val="24"/>
          <w:lang w:eastAsia="en-US"/>
        </w:rPr>
        <w:t xml:space="preserve">welcomes the </w:t>
      </w:r>
      <w:r w:rsidR="00CF6412">
        <w:rPr>
          <w:rFonts w:eastAsia="Calibri"/>
          <w:sz w:val="24"/>
          <w:szCs w:val="24"/>
          <w:lang w:eastAsia="en-US"/>
        </w:rPr>
        <w:t xml:space="preserve">recognition in paragraph 28 of the draft </w:t>
      </w:r>
      <w:r w:rsidR="00BF5B7D">
        <w:rPr>
          <w:rFonts w:eastAsia="Calibri"/>
          <w:sz w:val="24"/>
          <w:szCs w:val="24"/>
          <w:lang w:eastAsia="en-US"/>
        </w:rPr>
        <w:t xml:space="preserve">General Comment </w:t>
      </w:r>
      <w:r w:rsidR="00CF6412">
        <w:rPr>
          <w:rFonts w:eastAsia="Calibri"/>
          <w:sz w:val="24"/>
          <w:szCs w:val="24"/>
          <w:lang w:eastAsia="en-US"/>
        </w:rPr>
        <w:t>that States must not deal with assemblies in a discriminatory manner, and the inclusion in this context of</w:t>
      </w:r>
      <w:r w:rsidRPr="00125718">
        <w:rPr>
          <w:rFonts w:eastAsia="Calibri"/>
          <w:sz w:val="24"/>
          <w:szCs w:val="24"/>
          <w:lang w:eastAsia="en-US"/>
        </w:rPr>
        <w:t xml:space="preserve"> “nationality” </w:t>
      </w:r>
      <w:r w:rsidR="00CF6412">
        <w:rPr>
          <w:rFonts w:eastAsia="Calibri"/>
          <w:sz w:val="24"/>
          <w:szCs w:val="24"/>
          <w:lang w:eastAsia="en-US"/>
        </w:rPr>
        <w:t xml:space="preserve">in its </w:t>
      </w:r>
      <w:r w:rsidRPr="00125718">
        <w:rPr>
          <w:rFonts w:eastAsia="Calibri"/>
          <w:sz w:val="24"/>
          <w:szCs w:val="24"/>
          <w:lang w:eastAsia="en-US"/>
        </w:rPr>
        <w:t xml:space="preserve">non-exhaustive </w:t>
      </w:r>
      <w:r w:rsidR="00CF6412">
        <w:rPr>
          <w:rFonts w:eastAsia="Calibri"/>
          <w:sz w:val="24"/>
          <w:szCs w:val="24"/>
          <w:lang w:eastAsia="en-US"/>
        </w:rPr>
        <w:t xml:space="preserve">list of </w:t>
      </w:r>
      <w:r w:rsidRPr="00125718">
        <w:rPr>
          <w:rFonts w:eastAsia="Calibri"/>
          <w:sz w:val="24"/>
          <w:szCs w:val="24"/>
          <w:lang w:eastAsia="en-US"/>
        </w:rPr>
        <w:t xml:space="preserve">non-discrimination grounds.  </w:t>
      </w:r>
      <w:r w:rsidR="00BF5B7D">
        <w:rPr>
          <w:rFonts w:eastAsia="Calibri"/>
          <w:sz w:val="24"/>
          <w:szCs w:val="24"/>
          <w:lang w:eastAsia="en-US"/>
        </w:rPr>
        <w:t>W</w:t>
      </w:r>
      <w:r>
        <w:rPr>
          <w:rFonts w:eastAsia="Calibri"/>
          <w:sz w:val="24"/>
          <w:szCs w:val="24"/>
          <w:lang w:eastAsia="en-US"/>
        </w:rPr>
        <w:t xml:space="preserve">e would </w:t>
      </w:r>
      <w:r w:rsidRPr="00125718">
        <w:rPr>
          <w:rFonts w:eastAsia="Calibri"/>
          <w:sz w:val="24"/>
          <w:szCs w:val="24"/>
          <w:lang w:eastAsia="en-US"/>
        </w:rPr>
        <w:t>suggest that “migration status” and “citizenship status” also be included in th</w:t>
      </w:r>
      <w:r>
        <w:rPr>
          <w:rFonts w:eastAsia="Calibri"/>
          <w:sz w:val="24"/>
          <w:szCs w:val="24"/>
          <w:lang w:eastAsia="en-US"/>
        </w:rPr>
        <w:t xml:space="preserve">e </w:t>
      </w:r>
      <w:r w:rsidRPr="00125718">
        <w:rPr>
          <w:rFonts w:eastAsia="Calibri"/>
          <w:sz w:val="24"/>
          <w:szCs w:val="24"/>
          <w:lang w:eastAsia="en-US"/>
        </w:rPr>
        <w:t>list</w:t>
      </w:r>
      <w:r>
        <w:rPr>
          <w:rFonts w:eastAsia="Calibri"/>
          <w:sz w:val="24"/>
          <w:szCs w:val="24"/>
          <w:lang w:eastAsia="en-US"/>
        </w:rPr>
        <w:t xml:space="preserve"> </w:t>
      </w:r>
      <w:r>
        <w:rPr>
          <w:rFonts w:eastAsia="Calibri"/>
          <w:sz w:val="24"/>
          <w:szCs w:val="24"/>
          <w:lang w:eastAsia="en-US"/>
        </w:rPr>
        <w:lastRenderedPageBreak/>
        <w:t>in paragraph 28</w:t>
      </w:r>
      <w:r w:rsidRPr="00125718">
        <w:rPr>
          <w:rFonts w:eastAsia="Calibri"/>
          <w:sz w:val="24"/>
          <w:szCs w:val="24"/>
          <w:lang w:eastAsia="en-US"/>
        </w:rPr>
        <w:t xml:space="preserve"> to make abundantly clear, consistent with such recognition in paragraph 5</w:t>
      </w:r>
      <w:r w:rsidR="00A72111">
        <w:rPr>
          <w:rFonts w:eastAsia="Calibri"/>
          <w:sz w:val="24"/>
          <w:szCs w:val="24"/>
          <w:lang w:eastAsia="en-US"/>
        </w:rPr>
        <w:t>,</w:t>
      </w:r>
      <w:r w:rsidRPr="00125718">
        <w:rPr>
          <w:rFonts w:eastAsia="Calibri"/>
          <w:sz w:val="24"/>
          <w:szCs w:val="24"/>
          <w:lang w:eastAsia="en-US"/>
        </w:rPr>
        <w:t xml:space="preserve"> that irregular migrants and stateless individuals similarly cannot be discriminated against in the enjoyment of their right of peaceful assembly.</w:t>
      </w:r>
      <w:r w:rsidR="00A72111">
        <w:rPr>
          <w:rFonts w:eastAsia="Calibri"/>
          <w:sz w:val="24"/>
          <w:szCs w:val="24"/>
          <w:lang w:eastAsia="en-US"/>
        </w:rPr>
        <w:t xml:space="preserve">  </w:t>
      </w:r>
      <w:r w:rsidR="0058282B">
        <w:rPr>
          <w:rFonts w:eastAsia="Calibri"/>
          <w:sz w:val="24"/>
          <w:szCs w:val="24"/>
          <w:lang w:eastAsia="en-US"/>
        </w:rPr>
        <w:t>This clarification is important</w:t>
      </w:r>
      <w:r w:rsidR="00AD5509">
        <w:rPr>
          <w:rFonts w:eastAsia="Calibri"/>
          <w:sz w:val="24"/>
          <w:szCs w:val="24"/>
          <w:lang w:eastAsia="en-US"/>
        </w:rPr>
        <w:t xml:space="preserve"> given </w:t>
      </w:r>
      <w:r w:rsidR="0058282B">
        <w:rPr>
          <w:rFonts w:eastAsia="Calibri"/>
          <w:sz w:val="24"/>
          <w:szCs w:val="24"/>
          <w:lang w:eastAsia="en-US"/>
        </w:rPr>
        <w:t xml:space="preserve">that certain States continue to </w:t>
      </w:r>
      <w:r w:rsidR="0058282B" w:rsidRPr="0058282B">
        <w:rPr>
          <w:rFonts w:eastAsia="Calibri"/>
          <w:sz w:val="24"/>
          <w:szCs w:val="24"/>
          <w:lang w:eastAsia="en-US"/>
        </w:rPr>
        <w:t xml:space="preserve">have laws </w:t>
      </w:r>
      <w:r w:rsidR="007D123C">
        <w:rPr>
          <w:rFonts w:eastAsia="Calibri"/>
          <w:sz w:val="24"/>
          <w:szCs w:val="24"/>
          <w:lang w:eastAsia="en-US"/>
        </w:rPr>
        <w:t>with</w:t>
      </w:r>
      <w:r w:rsidR="0058282B" w:rsidRPr="0058282B">
        <w:rPr>
          <w:rFonts w:eastAsia="Calibri"/>
          <w:sz w:val="24"/>
          <w:szCs w:val="24"/>
          <w:lang w:eastAsia="en-US"/>
        </w:rPr>
        <w:t xml:space="preserve"> discriminatory provisions</w:t>
      </w:r>
      <w:r w:rsidR="00AD5509">
        <w:rPr>
          <w:rFonts w:eastAsia="Calibri"/>
          <w:sz w:val="24"/>
          <w:szCs w:val="24"/>
          <w:lang w:eastAsia="en-US"/>
        </w:rPr>
        <w:t>, including</w:t>
      </w:r>
      <w:r w:rsidR="0058282B" w:rsidRPr="0058282B">
        <w:rPr>
          <w:rFonts w:eastAsia="Calibri"/>
          <w:sz w:val="24"/>
          <w:szCs w:val="24"/>
          <w:lang w:eastAsia="en-US"/>
        </w:rPr>
        <w:t xml:space="preserve"> </w:t>
      </w:r>
      <w:r w:rsidR="00821C52">
        <w:rPr>
          <w:rFonts w:eastAsia="Calibri"/>
          <w:sz w:val="24"/>
          <w:szCs w:val="24"/>
          <w:lang w:eastAsia="en-US"/>
        </w:rPr>
        <w:t xml:space="preserve">formal </w:t>
      </w:r>
      <w:r w:rsidR="0058282B" w:rsidRPr="0058282B">
        <w:rPr>
          <w:rFonts w:eastAsia="Calibri"/>
          <w:sz w:val="24"/>
          <w:szCs w:val="24"/>
          <w:lang w:eastAsia="en-US"/>
        </w:rPr>
        <w:t>prohibit</w:t>
      </w:r>
      <w:r w:rsidR="00AD5509">
        <w:rPr>
          <w:rFonts w:eastAsia="Calibri"/>
          <w:sz w:val="24"/>
          <w:szCs w:val="24"/>
          <w:lang w:eastAsia="en-US"/>
        </w:rPr>
        <w:t>ions on</w:t>
      </w:r>
      <w:r w:rsidR="0058282B" w:rsidRPr="0058282B">
        <w:rPr>
          <w:rFonts w:eastAsia="Calibri"/>
          <w:sz w:val="24"/>
          <w:szCs w:val="24"/>
          <w:lang w:eastAsia="en-US"/>
        </w:rPr>
        <w:t xml:space="preserve"> assembl</w:t>
      </w:r>
      <w:r w:rsidR="00AD5509">
        <w:rPr>
          <w:rFonts w:eastAsia="Calibri"/>
          <w:sz w:val="24"/>
          <w:szCs w:val="24"/>
          <w:lang w:eastAsia="en-US"/>
        </w:rPr>
        <w:t>y</w:t>
      </w:r>
      <w:r w:rsidR="0058282B" w:rsidRPr="0058282B">
        <w:rPr>
          <w:rFonts w:eastAsia="Calibri"/>
          <w:sz w:val="24"/>
          <w:szCs w:val="24"/>
          <w:lang w:eastAsia="en-US"/>
        </w:rPr>
        <w:t xml:space="preserve"> by </w:t>
      </w:r>
      <w:r w:rsidR="00AD5509">
        <w:rPr>
          <w:rFonts w:eastAsia="Calibri"/>
          <w:sz w:val="24"/>
          <w:szCs w:val="24"/>
          <w:lang w:eastAsia="en-US"/>
        </w:rPr>
        <w:t>non-citizens</w:t>
      </w:r>
      <w:r w:rsidR="0058282B" w:rsidRPr="0058282B">
        <w:rPr>
          <w:rFonts w:eastAsia="Calibri"/>
          <w:sz w:val="24"/>
          <w:szCs w:val="24"/>
          <w:lang w:eastAsia="en-US"/>
        </w:rPr>
        <w:t>.</w:t>
      </w:r>
      <w:r w:rsidR="0058282B">
        <w:rPr>
          <w:rStyle w:val="FootnoteReference"/>
          <w:rFonts w:eastAsia="Calibri"/>
          <w:sz w:val="24"/>
          <w:szCs w:val="24"/>
          <w:lang w:eastAsia="en-US"/>
        </w:rPr>
        <w:footnoteReference w:id="3"/>
      </w:r>
      <w:r w:rsidR="0058282B">
        <w:rPr>
          <w:rFonts w:eastAsia="Calibri"/>
          <w:sz w:val="24"/>
          <w:szCs w:val="24"/>
          <w:lang w:eastAsia="en-US"/>
        </w:rPr>
        <w:t xml:space="preserve">  </w:t>
      </w:r>
    </w:p>
    <w:p w14:paraId="2D11805B" w14:textId="2DFA91DD" w:rsidR="00125718" w:rsidRPr="00125718" w:rsidRDefault="00125718" w:rsidP="00861B7B">
      <w:pPr>
        <w:spacing w:after="200" w:line="276" w:lineRule="auto"/>
        <w:jc w:val="both"/>
        <w:rPr>
          <w:rFonts w:eastAsia="Calibri"/>
          <w:i/>
          <w:iCs/>
          <w:sz w:val="24"/>
          <w:szCs w:val="24"/>
          <w:lang w:eastAsia="en-US"/>
        </w:rPr>
      </w:pPr>
      <w:r w:rsidRPr="00125718">
        <w:rPr>
          <w:rFonts w:eastAsia="Calibri"/>
          <w:i/>
          <w:iCs/>
          <w:sz w:val="24"/>
          <w:szCs w:val="24"/>
          <w:lang w:eastAsia="en-US"/>
        </w:rPr>
        <w:t xml:space="preserve">Protection of Migrants from Reprisals </w:t>
      </w:r>
      <w:r w:rsidR="00A72111">
        <w:rPr>
          <w:rFonts w:eastAsia="Calibri"/>
          <w:i/>
          <w:iCs/>
          <w:sz w:val="24"/>
          <w:szCs w:val="24"/>
          <w:lang w:eastAsia="en-US"/>
        </w:rPr>
        <w:t>for</w:t>
      </w:r>
      <w:r w:rsidRPr="00125718">
        <w:rPr>
          <w:rFonts w:eastAsia="Calibri"/>
          <w:i/>
          <w:iCs/>
          <w:sz w:val="24"/>
          <w:szCs w:val="24"/>
          <w:lang w:eastAsia="en-US"/>
        </w:rPr>
        <w:t xml:space="preserve"> Exercising their Right of Peaceful Assembly</w:t>
      </w:r>
    </w:p>
    <w:p w14:paraId="01C3BBC1" w14:textId="5792102F" w:rsidR="00D7777E" w:rsidRDefault="00125718" w:rsidP="00645DE8">
      <w:pPr>
        <w:spacing w:after="200" w:line="276" w:lineRule="auto"/>
        <w:jc w:val="both"/>
        <w:rPr>
          <w:rFonts w:eastAsia="Calibri"/>
          <w:sz w:val="24"/>
          <w:szCs w:val="24"/>
          <w:lang w:eastAsia="en-US"/>
        </w:rPr>
      </w:pPr>
      <w:r>
        <w:rPr>
          <w:rFonts w:eastAsia="Calibri"/>
          <w:sz w:val="24"/>
          <w:szCs w:val="24"/>
          <w:lang w:eastAsia="en-US"/>
        </w:rPr>
        <w:t xml:space="preserve">The exercise of the right of peaceful assembly, and </w:t>
      </w:r>
      <w:r w:rsidR="00AD5509">
        <w:rPr>
          <w:rFonts w:eastAsia="Calibri"/>
          <w:sz w:val="24"/>
          <w:szCs w:val="24"/>
          <w:lang w:eastAsia="en-US"/>
        </w:rPr>
        <w:t xml:space="preserve">the </w:t>
      </w:r>
      <w:r>
        <w:rPr>
          <w:rFonts w:eastAsia="Calibri"/>
          <w:sz w:val="24"/>
          <w:szCs w:val="24"/>
          <w:lang w:eastAsia="en-US"/>
        </w:rPr>
        <w:t>related rights of association and expression, hold particular significance for migrants</w:t>
      </w:r>
      <w:r w:rsidR="00BF5B7D">
        <w:rPr>
          <w:rFonts w:eastAsia="Calibri"/>
          <w:sz w:val="24"/>
          <w:szCs w:val="24"/>
          <w:lang w:eastAsia="en-US"/>
        </w:rPr>
        <w:t xml:space="preserve"> </w:t>
      </w:r>
      <w:r w:rsidR="00FF1E9D">
        <w:rPr>
          <w:rFonts w:eastAsia="Calibri"/>
          <w:sz w:val="24"/>
          <w:szCs w:val="24"/>
          <w:lang w:eastAsia="en-US"/>
        </w:rPr>
        <w:t>who</w:t>
      </w:r>
      <w:r w:rsidR="00A72111">
        <w:rPr>
          <w:rFonts w:eastAsia="Calibri"/>
          <w:sz w:val="24"/>
          <w:szCs w:val="24"/>
          <w:lang w:eastAsia="en-US"/>
        </w:rPr>
        <w:t xml:space="preserve"> are </w:t>
      </w:r>
      <w:r w:rsidR="00AD5509">
        <w:rPr>
          <w:rFonts w:eastAsia="Calibri"/>
          <w:sz w:val="24"/>
          <w:szCs w:val="24"/>
          <w:lang w:eastAsia="en-US"/>
        </w:rPr>
        <w:t>often</w:t>
      </w:r>
      <w:r w:rsidRPr="00861B7B">
        <w:rPr>
          <w:rFonts w:eastAsia="Calibri"/>
          <w:sz w:val="24"/>
          <w:szCs w:val="24"/>
          <w:lang w:eastAsia="en-US"/>
        </w:rPr>
        <w:t xml:space="preserve"> denied the right to vote in the</w:t>
      </w:r>
      <w:r>
        <w:rPr>
          <w:rFonts w:eastAsia="Calibri"/>
          <w:sz w:val="24"/>
          <w:szCs w:val="24"/>
          <w:lang w:eastAsia="en-US"/>
        </w:rPr>
        <w:t xml:space="preserve"> </w:t>
      </w:r>
      <w:r w:rsidRPr="00861B7B">
        <w:rPr>
          <w:rFonts w:eastAsia="Calibri"/>
          <w:sz w:val="24"/>
          <w:szCs w:val="24"/>
          <w:lang w:eastAsia="en-US"/>
        </w:rPr>
        <w:t>countries in which they live, as well as in the countries they have left behind, and are</w:t>
      </w:r>
      <w:r>
        <w:rPr>
          <w:rFonts w:eastAsia="Calibri"/>
          <w:sz w:val="24"/>
          <w:szCs w:val="24"/>
          <w:lang w:eastAsia="en-US"/>
        </w:rPr>
        <w:t xml:space="preserve"> </w:t>
      </w:r>
      <w:r w:rsidRPr="00861B7B">
        <w:rPr>
          <w:rFonts w:eastAsia="Calibri"/>
          <w:sz w:val="24"/>
          <w:szCs w:val="24"/>
          <w:lang w:eastAsia="en-US"/>
        </w:rPr>
        <w:t>therefore excluded from a crucial opportunity to influence decision-makers on issues</w:t>
      </w:r>
      <w:r>
        <w:rPr>
          <w:rFonts w:eastAsia="Calibri"/>
          <w:sz w:val="24"/>
          <w:szCs w:val="24"/>
          <w:lang w:eastAsia="en-US"/>
        </w:rPr>
        <w:t xml:space="preserve"> </w:t>
      </w:r>
      <w:r w:rsidRPr="00861B7B">
        <w:rPr>
          <w:rFonts w:eastAsia="Calibri"/>
          <w:sz w:val="24"/>
          <w:szCs w:val="24"/>
          <w:lang w:eastAsia="en-US"/>
        </w:rPr>
        <w:t>that directly affect their lives.</w:t>
      </w:r>
      <w:r>
        <w:rPr>
          <w:rStyle w:val="FootnoteReference"/>
          <w:rFonts w:eastAsia="Calibri"/>
          <w:sz w:val="24"/>
          <w:szCs w:val="24"/>
          <w:lang w:eastAsia="en-US"/>
        </w:rPr>
        <w:footnoteReference w:id="4"/>
      </w:r>
      <w:r>
        <w:rPr>
          <w:rFonts w:eastAsia="Calibri"/>
          <w:sz w:val="24"/>
          <w:szCs w:val="24"/>
          <w:lang w:eastAsia="en-US"/>
        </w:rPr>
        <w:t xml:space="preserve"> </w:t>
      </w:r>
      <w:r w:rsidR="00B47087">
        <w:rPr>
          <w:rFonts w:eastAsia="Calibri"/>
          <w:sz w:val="24"/>
          <w:szCs w:val="24"/>
          <w:lang w:eastAsia="en-US"/>
        </w:rPr>
        <w:t xml:space="preserve"> To that end, we welcome the Committee’s recognition in paragraph 2 of the draft General Comment of the importance of the right to “marginalized and disenfranchised members of society.”  </w:t>
      </w:r>
      <w:r w:rsidR="00BF5B7D">
        <w:rPr>
          <w:rFonts w:eastAsia="Calibri"/>
          <w:sz w:val="24"/>
          <w:szCs w:val="24"/>
          <w:lang w:eastAsia="en-US"/>
        </w:rPr>
        <w:t>Nevertheless</w:t>
      </w:r>
      <w:r>
        <w:rPr>
          <w:rFonts w:eastAsia="Calibri"/>
          <w:sz w:val="24"/>
          <w:szCs w:val="24"/>
          <w:lang w:eastAsia="en-US"/>
        </w:rPr>
        <w:t>, as highlighted in a</w:t>
      </w:r>
      <w:r w:rsidR="00880369">
        <w:rPr>
          <w:rFonts w:eastAsia="Calibri"/>
          <w:sz w:val="24"/>
          <w:szCs w:val="24"/>
          <w:lang w:eastAsia="en-US"/>
        </w:rPr>
        <w:t xml:space="preserve"> recent </w:t>
      </w:r>
      <w:r w:rsidR="00F1329F">
        <w:rPr>
          <w:rFonts w:eastAsia="Calibri"/>
          <w:sz w:val="24"/>
          <w:szCs w:val="24"/>
          <w:lang w:eastAsia="en-US"/>
        </w:rPr>
        <w:t>report</w:t>
      </w:r>
      <w:r w:rsidR="00B22786">
        <w:rPr>
          <w:rFonts w:eastAsia="Calibri"/>
          <w:sz w:val="24"/>
          <w:szCs w:val="24"/>
          <w:lang w:eastAsia="en-US"/>
        </w:rPr>
        <w:t xml:space="preserve"> by Civicus</w:t>
      </w:r>
      <w:r>
        <w:rPr>
          <w:rFonts w:eastAsia="Calibri"/>
          <w:sz w:val="24"/>
          <w:szCs w:val="24"/>
          <w:lang w:eastAsia="en-US"/>
        </w:rPr>
        <w:t xml:space="preserve">, </w:t>
      </w:r>
      <w:r w:rsidR="00AD5509">
        <w:rPr>
          <w:rFonts w:eastAsia="Calibri"/>
          <w:sz w:val="24"/>
          <w:szCs w:val="24"/>
          <w:lang w:eastAsia="en-US"/>
        </w:rPr>
        <w:t xml:space="preserve">migrants and </w:t>
      </w:r>
      <w:r w:rsidR="00880369" w:rsidRPr="00880369">
        <w:rPr>
          <w:rFonts w:eastAsia="Calibri"/>
          <w:sz w:val="24"/>
          <w:szCs w:val="24"/>
          <w:lang w:eastAsia="en-US"/>
        </w:rPr>
        <w:t xml:space="preserve">refugees </w:t>
      </w:r>
      <w:r w:rsidR="00BF5B7D">
        <w:rPr>
          <w:rFonts w:eastAsia="Calibri"/>
          <w:sz w:val="24"/>
          <w:szCs w:val="24"/>
          <w:lang w:eastAsia="en-US"/>
        </w:rPr>
        <w:t xml:space="preserve">often </w:t>
      </w:r>
      <w:r w:rsidR="00880369" w:rsidRPr="00880369">
        <w:rPr>
          <w:rFonts w:eastAsia="Calibri"/>
          <w:sz w:val="24"/>
          <w:szCs w:val="24"/>
          <w:lang w:eastAsia="en-US"/>
        </w:rPr>
        <w:t xml:space="preserve">face </w:t>
      </w:r>
      <w:r>
        <w:rPr>
          <w:rFonts w:eastAsia="Calibri"/>
          <w:sz w:val="24"/>
          <w:szCs w:val="24"/>
          <w:lang w:eastAsia="en-US"/>
        </w:rPr>
        <w:t xml:space="preserve">unique challenges </w:t>
      </w:r>
      <w:r w:rsidR="00880369" w:rsidRPr="00880369">
        <w:rPr>
          <w:rFonts w:eastAsia="Calibri"/>
          <w:sz w:val="24"/>
          <w:szCs w:val="24"/>
          <w:lang w:eastAsia="en-US"/>
        </w:rPr>
        <w:t xml:space="preserve">in exercising </w:t>
      </w:r>
      <w:r w:rsidR="00B47087">
        <w:rPr>
          <w:rFonts w:eastAsia="Calibri"/>
          <w:sz w:val="24"/>
          <w:szCs w:val="24"/>
          <w:lang w:eastAsia="en-US"/>
        </w:rPr>
        <w:t>the right of peaceful assembly, and related expression</w:t>
      </w:r>
      <w:r w:rsidR="00A72111">
        <w:rPr>
          <w:rFonts w:eastAsia="Calibri"/>
          <w:sz w:val="24"/>
          <w:szCs w:val="24"/>
          <w:lang w:eastAsia="en-US"/>
        </w:rPr>
        <w:t xml:space="preserve"> rights</w:t>
      </w:r>
      <w:r w:rsidR="00880369" w:rsidRPr="00880369">
        <w:rPr>
          <w:rFonts w:eastAsia="Calibri"/>
          <w:sz w:val="24"/>
          <w:szCs w:val="24"/>
          <w:lang w:eastAsia="en-US"/>
        </w:rPr>
        <w:t xml:space="preserve">, </w:t>
      </w:r>
      <w:r w:rsidR="00880369">
        <w:rPr>
          <w:rFonts w:eastAsia="Calibri"/>
          <w:sz w:val="24"/>
          <w:szCs w:val="24"/>
          <w:lang w:eastAsia="en-US"/>
        </w:rPr>
        <w:t xml:space="preserve">including </w:t>
      </w:r>
      <w:r w:rsidR="00880369" w:rsidRPr="00880369">
        <w:rPr>
          <w:rFonts w:eastAsia="Calibri"/>
          <w:sz w:val="24"/>
          <w:szCs w:val="24"/>
          <w:lang w:eastAsia="en-US"/>
        </w:rPr>
        <w:t>direct or perceived threats of deportation</w:t>
      </w:r>
      <w:r w:rsidR="00880369">
        <w:rPr>
          <w:rFonts w:eastAsia="Calibri"/>
          <w:sz w:val="24"/>
          <w:szCs w:val="24"/>
          <w:lang w:eastAsia="en-US"/>
        </w:rPr>
        <w:t xml:space="preserve">, </w:t>
      </w:r>
      <w:r w:rsidR="00880369" w:rsidRPr="00880369">
        <w:rPr>
          <w:rFonts w:eastAsia="Calibri"/>
          <w:sz w:val="24"/>
          <w:szCs w:val="24"/>
          <w:lang w:eastAsia="en-US"/>
        </w:rPr>
        <w:t>detention</w:t>
      </w:r>
      <w:r w:rsidR="00880369">
        <w:rPr>
          <w:rFonts w:eastAsia="Calibri"/>
          <w:sz w:val="24"/>
          <w:szCs w:val="24"/>
          <w:lang w:eastAsia="en-US"/>
        </w:rPr>
        <w:t>, or other reprisals, which deter their participation.</w:t>
      </w:r>
      <w:r w:rsidR="00880369">
        <w:rPr>
          <w:rStyle w:val="FootnoteReference"/>
          <w:rFonts w:eastAsia="Calibri"/>
          <w:sz w:val="24"/>
          <w:szCs w:val="24"/>
          <w:lang w:eastAsia="en-US"/>
        </w:rPr>
        <w:footnoteReference w:id="5"/>
      </w:r>
      <w:r w:rsidR="007B1776">
        <w:rPr>
          <w:rFonts w:eastAsia="Calibri"/>
          <w:sz w:val="24"/>
          <w:szCs w:val="24"/>
          <w:lang w:eastAsia="en-US"/>
        </w:rPr>
        <w:t xml:space="preserve">  </w:t>
      </w:r>
      <w:r w:rsidR="00BF5B7D">
        <w:rPr>
          <w:rFonts w:eastAsia="Calibri"/>
          <w:sz w:val="24"/>
          <w:szCs w:val="24"/>
          <w:lang w:eastAsia="en-US"/>
        </w:rPr>
        <w:t>For example, h</w:t>
      </w:r>
      <w:r w:rsidR="007B1776">
        <w:rPr>
          <w:rFonts w:eastAsia="Calibri"/>
          <w:sz w:val="24"/>
          <w:szCs w:val="24"/>
          <w:lang w:eastAsia="en-US"/>
        </w:rPr>
        <w:t xml:space="preserve">uman rights </w:t>
      </w:r>
      <w:r w:rsidR="007F5575">
        <w:rPr>
          <w:rFonts w:eastAsia="Calibri"/>
          <w:sz w:val="24"/>
          <w:szCs w:val="24"/>
          <w:lang w:eastAsia="en-US"/>
        </w:rPr>
        <w:t>stakeholders</w:t>
      </w:r>
      <w:r w:rsidR="00BF5B7D">
        <w:rPr>
          <w:rFonts w:eastAsia="Calibri"/>
          <w:sz w:val="24"/>
          <w:szCs w:val="24"/>
          <w:lang w:eastAsia="en-US"/>
        </w:rPr>
        <w:t xml:space="preserve"> </w:t>
      </w:r>
      <w:r w:rsidR="007B1776">
        <w:rPr>
          <w:rFonts w:eastAsia="Calibri"/>
          <w:sz w:val="24"/>
          <w:szCs w:val="24"/>
          <w:lang w:eastAsia="en-US"/>
        </w:rPr>
        <w:t xml:space="preserve">have </w:t>
      </w:r>
      <w:r w:rsidR="007F3DD9">
        <w:rPr>
          <w:rFonts w:eastAsia="Calibri"/>
          <w:sz w:val="24"/>
          <w:szCs w:val="24"/>
          <w:lang w:eastAsia="en-US"/>
        </w:rPr>
        <w:t xml:space="preserve">expressed concern regarding </w:t>
      </w:r>
      <w:r w:rsidR="007F5575">
        <w:rPr>
          <w:rFonts w:eastAsia="Calibri"/>
          <w:sz w:val="24"/>
          <w:szCs w:val="24"/>
          <w:lang w:eastAsia="en-US"/>
        </w:rPr>
        <w:t>states</w:t>
      </w:r>
      <w:r w:rsidR="007F3DD9">
        <w:rPr>
          <w:rFonts w:eastAsia="Calibri"/>
          <w:sz w:val="24"/>
          <w:szCs w:val="24"/>
          <w:lang w:eastAsia="en-US"/>
        </w:rPr>
        <w:t xml:space="preserve"> </w:t>
      </w:r>
      <w:r w:rsidR="007F3DD9" w:rsidRPr="007F3DD9">
        <w:rPr>
          <w:rFonts w:eastAsia="Calibri"/>
          <w:sz w:val="24"/>
          <w:szCs w:val="24"/>
          <w:lang w:eastAsia="en-US"/>
        </w:rPr>
        <w:t xml:space="preserve">targeting migrant human rights defenders for detention </w:t>
      </w:r>
      <w:r w:rsidR="00821C52">
        <w:rPr>
          <w:rFonts w:eastAsia="Calibri"/>
          <w:sz w:val="24"/>
          <w:szCs w:val="24"/>
          <w:lang w:eastAsia="en-US"/>
        </w:rPr>
        <w:t>or</w:t>
      </w:r>
      <w:r w:rsidR="007F3DD9" w:rsidRPr="007F3DD9">
        <w:rPr>
          <w:rFonts w:eastAsia="Calibri"/>
          <w:sz w:val="24"/>
          <w:szCs w:val="24"/>
          <w:lang w:eastAsia="en-US"/>
        </w:rPr>
        <w:t xml:space="preserve"> deportation</w:t>
      </w:r>
      <w:r w:rsidR="00AC423C">
        <w:rPr>
          <w:rFonts w:eastAsia="Calibri"/>
          <w:sz w:val="24"/>
          <w:szCs w:val="24"/>
          <w:lang w:eastAsia="en-US"/>
        </w:rPr>
        <w:t xml:space="preserve"> as a consequence of their activism</w:t>
      </w:r>
      <w:r w:rsidR="007F3DD9" w:rsidRPr="007F3DD9">
        <w:rPr>
          <w:rFonts w:eastAsia="Calibri"/>
          <w:sz w:val="24"/>
          <w:szCs w:val="24"/>
          <w:lang w:eastAsia="en-US"/>
        </w:rPr>
        <w:t>.</w:t>
      </w:r>
      <w:r w:rsidR="007F3DD9">
        <w:rPr>
          <w:rStyle w:val="FootnoteReference"/>
          <w:rFonts w:eastAsia="Calibri"/>
          <w:sz w:val="24"/>
          <w:szCs w:val="24"/>
          <w:lang w:eastAsia="en-US"/>
        </w:rPr>
        <w:footnoteReference w:id="6"/>
      </w:r>
      <w:r w:rsidR="001C3AAE">
        <w:rPr>
          <w:rFonts w:eastAsia="Calibri"/>
          <w:sz w:val="24"/>
          <w:szCs w:val="24"/>
          <w:lang w:eastAsia="en-US"/>
        </w:rPr>
        <w:t xml:space="preserve">  </w:t>
      </w:r>
      <w:r w:rsidR="00AD5509">
        <w:rPr>
          <w:rFonts w:eastAsia="Calibri"/>
          <w:sz w:val="24"/>
          <w:szCs w:val="24"/>
          <w:lang w:eastAsia="en-US"/>
        </w:rPr>
        <w:t>Such entities</w:t>
      </w:r>
      <w:r w:rsidR="001C3AAE">
        <w:rPr>
          <w:rFonts w:eastAsia="Calibri"/>
          <w:sz w:val="24"/>
          <w:szCs w:val="24"/>
          <w:lang w:eastAsia="en-US"/>
        </w:rPr>
        <w:t xml:space="preserve"> have also raised </w:t>
      </w:r>
      <w:r w:rsidR="00AD5509">
        <w:rPr>
          <w:rFonts w:eastAsia="Calibri"/>
          <w:sz w:val="24"/>
          <w:szCs w:val="24"/>
          <w:lang w:eastAsia="en-US"/>
        </w:rPr>
        <w:t xml:space="preserve">concern </w:t>
      </w:r>
      <w:r w:rsidR="001C3AAE">
        <w:rPr>
          <w:rFonts w:eastAsia="Calibri"/>
          <w:sz w:val="24"/>
          <w:szCs w:val="24"/>
          <w:lang w:eastAsia="en-US"/>
        </w:rPr>
        <w:t xml:space="preserve">about </w:t>
      </w:r>
      <w:r w:rsidR="00645DE8" w:rsidRPr="00645DE8">
        <w:rPr>
          <w:rFonts w:eastAsia="Calibri"/>
          <w:sz w:val="24"/>
          <w:szCs w:val="24"/>
          <w:lang w:eastAsia="en-US"/>
        </w:rPr>
        <w:t xml:space="preserve">the activities of associations and individuals helping </w:t>
      </w:r>
      <w:r w:rsidR="00AC423C">
        <w:rPr>
          <w:rFonts w:eastAsia="Calibri"/>
          <w:sz w:val="24"/>
          <w:szCs w:val="24"/>
          <w:lang w:eastAsia="en-US"/>
        </w:rPr>
        <w:t xml:space="preserve">and supporting </w:t>
      </w:r>
      <w:r w:rsidR="00645DE8" w:rsidRPr="00645DE8">
        <w:rPr>
          <w:rFonts w:eastAsia="Calibri"/>
          <w:sz w:val="24"/>
          <w:szCs w:val="24"/>
          <w:lang w:eastAsia="en-US"/>
        </w:rPr>
        <w:t>undocumented migrant</w:t>
      </w:r>
      <w:r w:rsidR="00645DE8">
        <w:rPr>
          <w:rFonts w:eastAsia="Calibri"/>
          <w:sz w:val="24"/>
          <w:szCs w:val="24"/>
          <w:lang w:eastAsia="en-US"/>
        </w:rPr>
        <w:t>s</w:t>
      </w:r>
      <w:r w:rsidR="00AC423C">
        <w:rPr>
          <w:rFonts w:eastAsia="Calibri"/>
          <w:sz w:val="24"/>
          <w:szCs w:val="24"/>
          <w:lang w:eastAsia="en-US"/>
        </w:rPr>
        <w:t xml:space="preserve"> being criminalized</w:t>
      </w:r>
      <w:r w:rsidR="00645DE8">
        <w:rPr>
          <w:rFonts w:eastAsia="Calibri"/>
          <w:sz w:val="24"/>
          <w:szCs w:val="24"/>
          <w:lang w:eastAsia="en-US"/>
        </w:rPr>
        <w:t>.</w:t>
      </w:r>
      <w:r w:rsidR="0058282B">
        <w:rPr>
          <w:rStyle w:val="FootnoteReference"/>
          <w:rFonts w:eastAsia="Calibri"/>
          <w:sz w:val="24"/>
          <w:szCs w:val="24"/>
          <w:lang w:eastAsia="en-US"/>
        </w:rPr>
        <w:footnoteReference w:id="7"/>
      </w:r>
    </w:p>
    <w:p w14:paraId="7361894E" w14:textId="20441556" w:rsidR="00195CF4" w:rsidRDefault="007410F2" w:rsidP="001C3AAE">
      <w:pPr>
        <w:spacing w:after="200" w:line="276" w:lineRule="auto"/>
        <w:jc w:val="both"/>
        <w:rPr>
          <w:rFonts w:eastAsia="Calibri"/>
          <w:sz w:val="24"/>
          <w:szCs w:val="24"/>
          <w:lang w:eastAsia="en-US"/>
        </w:rPr>
      </w:pPr>
      <w:r>
        <w:rPr>
          <w:rFonts w:eastAsia="Calibri"/>
          <w:sz w:val="24"/>
          <w:szCs w:val="24"/>
          <w:lang w:eastAsia="en-US"/>
        </w:rPr>
        <w:lastRenderedPageBreak/>
        <w:t>To th</w:t>
      </w:r>
      <w:r w:rsidR="00AC423C">
        <w:rPr>
          <w:rFonts w:eastAsia="Calibri"/>
          <w:sz w:val="24"/>
          <w:szCs w:val="24"/>
          <w:lang w:eastAsia="en-US"/>
        </w:rPr>
        <w:t>is</w:t>
      </w:r>
      <w:r>
        <w:rPr>
          <w:rFonts w:eastAsia="Calibri"/>
          <w:sz w:val="24"/>
          <w:szCs w:val="24"/>
          <w:lang w:eastAsia="en-US"/>
        </w:rPr>
        <w:t xml:space="preserve"> end, IOM would propose that the Committee consider including in this draft a more direct elaboration of the contours of the right to peaceful assembly in relation to</w:t>
      </w:r>
      <w:r w:rsidR="00AC423C">
        <w:rPr>
          <w:rFonts w:eastAsia="Calibri"/>
          <w:sz w:val="24"/>
          <w:szCs w:val="24"/>
          <w:lang w:eastAsia="en-US"/>
        </w:rPr>
        <w:t xml:space="preserve"> reprisals against</w:t>
      </w:r>
      <w:r>
        <w:rPr>
          <w:rFonts w:eastAsia="Calibri"/>
          <w:sz w:val="24"/>
          <w:szCs w:val="24"/>
          <w:lang w:eastAsia="en-US"/>
        </w:rPr>
        <w:t xml:space="preserve"> migrants and prospective migrants</w:t>
      </w:r>
      <w:r w:rsidR="00AC423C">
        <w:rPr>
          <w:rFonts w:eastAsia="Calibri"/>
          <w:sz w:val="24"/>
          <w:szCs w:val="24"/>
          <w:lang w:eastAsia="en-US"/>
        </w:rPr>
        <w:t>.  Specifically, the Committee might address whether</w:t>
      </w:r>
      <w:r>
        <w:rPr>
          <w:rFonts w:eastAsia="Calibri"/>
          <w:sz w:val="24"/>
          <w:szCs w:val="24"/>
          <w:lang w:eastAsia="en-US"/>
        </w:rPr>
        <w:t xml:space="preserve"> State Parties may, consistent with Article 21, target migrants </w:t>
      </w:r>
      <w:r w:rsidR="0068762C">
        <w:rPr>
          <w:rFonts w:eastAsia="Calibri"/>
          <w:sz w:val="24"/>
          <w:szCs w:val="24"/>
          <w:lang w:eastAsia="en-US"/>
        </w:rPr>
        <w:t xml:space="preserve">present within its borders </w:t>
      </w:r>
      <w:r>
        <w:rPr>
          <w:rFonts w:eastAsia="Calibri"/>
          <w:sz w:val="24"/>
          <w:szCs w:val="24"/>
          <w:lang w:eastAsia="en-US"/>
        </w:rPr>
        <w:t>for immigration enforcement actions, including detention or deportation, as a consequence of their participation in peaceful assembl</w:t>
      </w:r>
      <w:r w:rsidR="00AC423C">
        <w:rPr>
          <w:rFonts w:eastAsia="Calibri"/>
          <w:sz w:val="24"/>
          <w:szCs w:val="24"/>
          <w:lang w:eastAsia="en-US"/>
        </w:rPr>
        <w:t>ies (such as those protesting government policies)</w:t>
      </w:r>
      <w:r w:rsidR="0068762C">
        <w:rPr>
          <w:rFonts w:eastAsia="Calibri"/>
          <w:sz w:val="24"/>
          <w:szCs w:val="24"/>
          <w:lang w:eastAsia="en-US"/>
        </w:rPr>
        <w:t xml:space="preserve">, </w:t>
      </w:r>
      <w:r w:rsidR="001C3AAE">
        <w:rPr>
          <w:rFonts w:eastAsia="Calibri"/>
          <w:sz w:val="24"/>
          <w:szCs w:val="24"/>
          <w:lang w:eastAsia="en-US"/>
        </w:rPr>
        <w:t xml:space="preserve">revoke </w:t>
      </w:r>
      <w:r w:rsidR="001C318A">
        <w:rPr>
          <w:rFonts w:eastAsia="Calibri"/>
          <w:sz w:val="24"/>
          <w:szCs w:val="24"/>
          <w:lang w:eastAsia="en-US"/>
        </w:rPr>
        <w:t xml:space="preserve">their lawful </w:t>
      </w:r>
      <w:r w:rsidR="001C3AAE">
        <w:rPr>
          <w:rFonts w:eastAsia="Calibri"/>
          <w:sz w:val="24"/>
          <w:szCs w:val="24"/>
          <w:lang w:eastAsia="en-US"/>
        </w:rPr>
        <w:t>r</w:t>
      </w:r>
      <w:r w:rsidR="001C3AAE" w:rsidRPr="001C3AAE">
        <w:rPr>
          <w:rFonts w:eastAsia="Calibri"/>
          <w:sz w:val="24"/>
          <w:szCs w:val="24"/>
          <w:lang w:eastAsia="en-US"/>
        </w:rPr>
        <w:t xml:space="preserve">esidency, refugee or asylum status </w:t>
      </w:r>
      <w:r w:rsidR="001C3AAE">
        <w:rPr>
          <w:rFonts w:eastAsia="Calibri"/>
          <w:sz w:val="24"/>
          <w:szCs w:val="24"/>
          <w:lang w:eastAsia="en-US"/>
        </w:rPr>
        <w:t xml:space="preserve">on the basis of </w:t>
      </w:r>
      <w:r w:rsidR="001C318A">
        <w:rPr>
          <w:rFonts w:eastAsia="Calibri"/>
          <w:sz w:val="24"/>
          <w:szCs w:val="24"/>
          <w:lang w:eastAsia="en-US"/>
        </w:rPr>
        <w:t>their</w:t>
      </w:r>
      <w:r w:rsidR="001C3AAE">
        <w:rPr>
          <w:rFonts w:eastAsia="Calibri"/>
          <w:sz w:val="24"/>
          <w:szCs w:val="24"/>
          <w:lang w:eastAsia="en-US"/>
        </w:rPr>
        <w:t xml:space="preserve"> participation</w:t>
      </w:r>
      <w:r w:rsidR="001C3AAE" w:rsidRPr="001C3AAE">
        <w:rPr>
          <w:rFonts w:eastAsia="Calibri"/>
          <w:sz w:val="24"/>
          <w:szCs w:val="24"/>
          <w:lang w:eastAsia="en-US"/>
        </w:rPr>
        <w:t xml:space="preserve"> in </w:t>
      </w:r>
      <w:r w:rsidR="001C3AAE">
        <w:rPr>
          <w:rFonts w:eastAsia="Calibri"/>
          <w:sz w:val="24"/>
          <w:szCs w:val="24"/>
          <w:lang w:eastAsia="en-US"/>
        </w:rPr>
        <w:t xml:space="preserve">such </w:t>
      </w:r>
      <w:r w:rsidR="001C3AAE" w:rsidRPr="001C3AAE">
        <w:rPr>
          <w:rFonts w:eastAsia="Calibri"/>
          <w:sz w:val="24"/>
          <w:szCs w:val="24"/>
          <w:lang w:eastAsia="en-US"/>
        </w:rPr>
        <w:t>peaceful demonstration</w:t>
      </w:r>
      <w:r w:rsidR="001C3AAE">
        <w:rPr>
          <w:rFonts w:eastAsia="Calibri"/>
          <w:sz w:val="24"/>
          <w:szCs w:val="24"/>
          <w:lang w:eastAsia="en-US"/>
        </w:rPr>
        <w:t>s, or deny migrants</w:t>
      </w:r>
      <w:r w:rsidR="00AC423C">
        <w:rPr>
          <w:rFonts w:eastAsia="Calibri"/>
          <w:sz w:val="24"/>
          <w:szCs w:val="24"/>
          <w:lang w:eastAsia="en-US"/>
        </w:rPr>
        <w:t>’</w:t>
      </w:r>
      <w:r w:rsidR="001C3AAE">
        <w:rPr>
          <w:rFonts w:eastAsia="Calibri"/>
          <w:sz w:val="24"/>
          <w:szCs w:val="24"/>
          <w:lang w:eastAsia="en-US"/>
        </w:rPr>
        <w:t xml:space="preserve"> application</w:t>
      </w:r>
      <w:r w:rsidR="00AC423C">
        <w:rPr>
          <w:rFonts w:eastAsia="Calibri"/>
          <w:sz w:val="24"/>
          <w:szCs w:val="24"/>
          <w:lang w:eastAsia="en-US"/>
        </w:rPr>
        <w:t>s</w:t>
      </w:r>
      <w:r w:rsidR="001C3AAE">
        <w:rPr>
          <w:rFonts w:eastAsia="Calibri"/>
          <w:sz w:val="24"/>
          <w:szCs w:val="24"/>
          <w:lang w:eastAsia="en-US"/>
        </w:rPr>
        <w:t xml:space="preserve"> </w:t>
      </w:r>
      <w:r w:rsidR="00AD5509">
        <w:rPr>
          <w:rFonts w:eastAsia="Calibri"/>
          <w:sz w:val="24"/>
          <w:szCs w:val="24"/>
          <w:lang w:eastAsia="en-US"/>
        </w:rPr>
        <w:t>for immigration benefits</w:t>
      </w:r>
      <w:r w:rsidR="001C3AAE">
        <w:rPr>
          <w:rFonts w:eastAsia="Calibri"/>
          <w:sz w:val="24"/>
          <w:szCs w:val="24"/>
          <w:lang w:eastAsia="en-US"/>
        </w:rPr>
        <w:t xml:space="preserve"> (such as to renew a visa or to naturalize) </w:t>
      </w:r>
      <w:r w:rsidR="0068762C">
        <w:rPr>
          <w:rFonts w:eastAsia="Calibri"/>
          <w:sz w:val="24"/>
          <w:szCs w:val="24"/>
          <w:lang w:eastAsia="en-US"/>
        </w:rPr>
        <w:t xml:space="preserve">on the basis </w:t>
      </w:r>
      <w:r w:rsidR="001C3AAE">
        <w:rPr>
          <w:rFonts w:eastAsia="Calibri"/>
          <w:sz w:val="24"/>
          <w:szCs w:val="24"/>
          <w:lang w:eastAsia="en-US"/>
        </w:rPr>
        <w:t>of such participation</w:t>
      </w:r>
      <w:r>
        <w:rPr>
          <w:rFonts w:eastAsia="Calibri"/>
          <w:sz w:val="24"/>
          <w:szCs w:val="24"/>
          <w:lang w:eastAsia="en-US"/>
        </w:rPr>
        <w:t xml:space="preserve">.  </w:t>
      </w:r>
      <w:r w:rsidR="00AC423C">
        <w:rPr>
          <w:rFonts w:eastAsia="Calibri"/>
          <w:sz w:val="24"/>
          <w:szCs w:val="24"/>
          <w:lang w:eastAsia="en-US"/>
        </w:rPr>
        <w:t>The Committee may also wish to address the s</w:t>
      </w:r>
      <w:r>
        <w:rPr>
          <w:rFonts w:eastAsia="Calibri"/>
          <w:sz w:val="24"/>
          <w:szCs w:val="24"/>
          <w:lang w:eastAsia="en-US"/>
        </w:rPr>
        <w:t xml:space="preserve">imilar questions </w:t>
      </w:r>
      <w:r w:rsidR="00AC423C">
        <w:rPr>
          <w:rFonts w:eastAsia="Calibri"/>
          <w:sz w:val="24"/>
          <w:szCs w:val="24"/>
          <w:lang w:eastAsia="en-US"/>
        </w:rPr>
        <w:t>that might</w:t>
      </w:r>
      <w:r>
        <w:rPr>
          <w:rFonts w:eastAsia="Calibri"/>
          <w:sz w:val="24"/>
          <w:szCs w:val="24"/>
          <w:lang w:eastAsia="en-US"/>
        </w:rPr>
        <w:t xml:space="preserve"> a</w:t>
      </w:r>
      <w:r w:rsidR="00AC423C">
        <w:rPr>
          <w:rFonts w:eastAsia="Calibri"/>
          <w:sz w:val="24"/>
          <w:szCs w:val="24"/>
          <w:lang w:eastAsia="en-US"/>
        </w:rPr>
        <w:t>rise</w:t>
      </w:r>
      <w:r>
        <w:rPr>
          <w:rFonts w:eastAsia="Calibri"/>
          <w:sz w:val="24"/>
          <w:szCs w:val="24"/>
          <w:lang w:eastAsia="en-US"/>
        </w:rPr>
        <w:t xml:space="preserve"> in the entry </w:t>
      </w:r>
      <w:r w:rsidR="0068762C">
        <w:rPr>
          <w:rFonts w:eastAsia="Calibri"/>
          <w:sz w:val="24"/>
          <w:szCs w:val="24"/>
          <w:lang w:eastAsia="en-US"/>
        </w:rPr>
        <w:t>context, such as whether, consistent with Article 21, State Parties may choose to restrict entry of migrants (for example, by denying visas)</w:t>
      </w:r>
      <w:r w:rsidR="00195CF4">
        <w:rPr>
          <w:rFonts w:eastAsia="Calibri"/>
          <w:sz w:val="24"/>
          <w:szCs w:val="24"/>
          <w:lang w:eastAsia="en-US"/>
        </w:rPr>
        <w:t xml:space="preserve">, in whole or in part, </w:t>
      </w:r>
      <w:r w:rsidR="0068762C">
        <w:rPr>
          <w:rFonts w:eastAsia="Calibri"/>
          <w:sz w:val="24"/>
          <w:szCs w:val="24"/>
          <w:lang w:eastAsia="en-US"/>
        </w:rPr>
        <w:t>as a consequence of their participation or anticipated participation in peaceful assemblies</w:t>
      </w:r>
      <w:r w:rsidR="001C318A">
        <w:rPr>
          <w:rFonts w:eastAsia="Calibri"/>
          <w:sz w:val="24"/>
          <w:szCs w:val="24"/>
          <w:lang w:eastAsia="en-US"/>
        </w:rPr>
        <w:t xml:space="preserve"> expressing views that the State does not support</w:t>
      </w:r>
      <w:r w:rsidR="0068762C">
        <w:rPr>
          <w:rFonts w:eastAsia="Calibri"/>
          <w:sz w:val="24"/>
          <w:szCs w:val="24"/>
          <w:lang w:eastAsia="en-US"/>
        </w:rPr>
        <w:t>.</w:t>
      </w:r>
      <w:r w:rsidR="00FF1E9D">
        <w:rPr>
          <w:rFonts w:eastAsia="Calibri"/>
          <w:sz w:val="24"/>
          <w:szCs w:val="24"/>
          <w:lang w:eastAsia="en-US"/>
        </w:rPr>
        <w:t xml:space="preserve">  </w:t>
      </w:r>
      <w:r w:rsidR="00AD5509">
        <w:rPr>
          <w:rFonts w:eastAsia="Calibri"/>
          <w:sz w:val="24"/>
          <w:szCs w:val="24"/>
          <w:lang w:eastAsia="en-US"/>
        </w:rPr>
        <w:t>Any such measures</w:t>
      </w:r>
      <w:r w:rsidR="00AD5509" w:rsidRPr="00AD5509">
        <w:rPr>
          <w:rFonts w:eastAsia="Calibri"/>
          <w:sz w:val="24"/>
          <w:szCs w:val="24"/>
          <w:lang w:eastAsia="en-US"/>
        </w:rPr>
        <w:t xml:space="preserve"> undoubtedly affect migrants’ </w:t>
      </w:r>
      <w:r w:rsidR="00AD5509">
        <w:rPr>
          <w:rFonts w:eastAsia="Calibri"/>
          <w:sz w:val="24"/>
          <w:szCs w:val="24"/>
          <w:lang w:eastAsia="en-US"/>
        </w:rPr>
        <w:t xml:space="preserve">willingness and ability to </w:t>
      </w:r>
      <w:r w:rsidR="00AD5509" w:rsidRPr="00AD5509">
        <w:rPr>
          <w:rFonts w:eastAsia="Calibri"/>
          <w:sz w:val="24"/>
          <w:szCs w:val="24"/>
          <w:lang w:eastAsia="en-US"/>
        </w:rPr>
        <w:t>exercise their right of peaceful assembly</w:t>
      </w:r>
      <w:r w:rsidR="00AD5509">
        <w:rPr>
          <w:rFonts w:eastAsia="Calibri"/>
          <w:sz w:val="24"/>
          <w:szCs w:val="24"/>
          <w:lang w:eastAsia="en-US"/>
        </w:rPr>
        <w:t>.</w:t>
      </w:r>
      <w:r w:rsidR="007F5575">
        <w:rPr>
          <w:rFonts w:eastAsia="Calibri"/>
          <w:sz w:val="24"/>
          <w:szCs w:val="24"/>
          <w:lang w:eastAsia="en-US"/>
        </w:rPr>
        <w:t xml:space="preserve">  This discussion should also be tied into the privacy and collection of information issues that are addressed in paragraphs 71-72 of the draft General Comment, as the collection of information on demonstration participants is precisely what could facilitate its use for the chilling enforcement purposes discussed here.  </w:t>
      </w:r>
    </w:p>
    <w:p w14:paraId="03086F68" w14:textId="7236B64C" w:rsidR="00796850" w:rsidRDefault="00AD5509" w:rsidP="00930B3B">
      <w:pPr>
        <w:spacing w:after="200" w:line="276" w:lineRule="auto"/>
        <w:jc w:val="both"/>
        <w:rPr>
          <w:rFonts w:eastAsia="Calibri"/>
          <w:sz w:val="24"/>
          <w:szCs w:val="24"/>
          <w:lang w:eastAsia="en-US"/>
        </w:rPr>
      </w:pPr>
      <w:r>
        <w:rPr>
          <w:rFonts w:eastAsia="Calibri"/>
          <w:sz w:val="24"/>
          <w:szCs w:val="24"/>
          <w:lang w:eastAsia="en-US"/>
        </w:rPr>
        <w:t xml:space="preserve">To tackle </w:t>
      </w:r>
      <w:r w:rsidR="007F5575">
        <w:rPr>
          <w:rFonts w:eastAsia="Calibri"/>
          <w:sz w:val="24"/>
          <w:szCs w:val="24"/>
          <w:lang w:eastAsia="en-US"/>
        </w:rPr>
        <w:t>these</w:t>
      </w:r>
      <w:r>
        <w:rPr>
          <w:rFonts w:eastAsia="Calibri"/>
          <w:sz w:val="24"/>
          <w:szCs w:val="24"/>
          <w:lang w:eastAsia="en-US"/>
        </w:rPr>
        <w:t xml:space="preserve"> question</w:t>
      </w:r>
      <w:r w:rsidR="007F5575">
        <w:rPr>
          <w:rFonts w:eastAsia="Calibri"/>
          <w:sz w:val="24"/>
          <w:szCs w:val="24"/>
          <w:lang w:eastAsia="en-US"/>
        </w:rPr>
        <w:t>s</w:t>
      </w:r>
      <w:r>
        <w:rPr>
          <w:rFonts w:eastAsia="Calibri"/>
          <w:sz w:val="24"/>
          <w:szCs w:val="24"/>
          <w:lang w:eastAsia="en-US"/>
        </w:rPr>
        <w:t>, the Committee would need to</w:t>
      </w:r>
      <w:r w:rsidR="003B75DD">
        <w:rPr>
          <w:rFonts w:eastAsia="Calibri"/>
          <w:sz w:val="24"/>
          <w:szCs w:val="24"/>
          <w:lang w:eastAsia="en-US"/>
        </w:rPr>
        <w:t xml:space="preserve"> address whether </w:t>
      </w:r>
      <w:r>
        <w:rPr>
          <w:rFonts w:eastAsia="Calibri"/>
          <w:sz w:val="24"/>
          <w:szCs w:val="24"/>
          <w:lang w:eastAsia="en-US"/>
        </w:rPr>
        <w:t xml:space="preserve">enforcement </w:t>
      </w:r>
      <w:r w:rsidR="003B75DD">
        <w:rPr>
          <w:rFonts w:eastAsia="Calibri"/>
          <w:sz w:val="24"/>
          <w:szCs w:val="24"/>
          <w:lang w:eastAsia="en-US"/>
        </w:rPr>
        <w:t>actions</w:t>
      </w:r>
      <w:r>
        <w:rPr>
          <w:rFonts w:eastAsia="Calibri"/>
          <w:sz w:val="24"/>
          <w:szCs w:val="24"/>
          <w:lang w:eastAsia="en-US"/>
        </w:rPr>
        <w:t xml:space="preserve"> taken by States against migrants as a consequence of their participation in peaceful assemblie</w:t>
      </w:r>
      <w:r w:rsidR="00AC423C">
        <w:rPr>
          <w:rFonts w:eastAsia="Calibri"/>
          <w:sz w:val="24"/>
          <w:szCs w:val="24"/>
          <w:lang w:eastAsia="en-US"/>
        </w:rPr>
        <w:t>s</w:t>
      </w:r>
      <w:r w:rsidR="003B75DD">
        <w:rPr>
          <w:rFonts w:eastAsia="Calibri"/>
          <w:sz w:val="24"/>
          <w:szCs w:val="24"/>
          <w:lang w:eastAsia="en-US"/>
        </w:rPr>
        <w:t xml:space="preserve"> constitute de facto “restrictions” on the exercise of </w:t>
      </w:r>
      <w:r w:rsidR="00E661D6">
        <w:rPr>
          <w:rFonts w:eastAsia="Calibri"/>
          <w:sz w:val="24"/>
          <w:szCs w:val="24"/>
          <w:lang w:eastAsia="en-US"/>
        </w:rPr>
        <w:t>this right</w:t>
      </w:r>
      <w:r w:rsidR="003B75DD">
        <w:rPr>
          <w:rFonts w:eastAsia="Calibri"/>
          <w:sz w:val="24"/>
          <w:szCs w:val="24"/>
          <w:lang w:eastAsia="en-US"/>
        </w:rPr>
        <w:t xml:space="preserve">, and if so, </w:t>
      </w:r>
      <w:r w:rsidR="00AC423C">
        <w:rPr>
          <w:rFonts w:eastAsia="Calibri"/>
          <w:sz w:val="24"/>
          <w:szCs w:val="24"/>
          <w:lang w:eastAsia="en-US"/>
        </w:rPr>
        <w:t xml:space="preserve">if </w:t>
      </w:r>
      <w:r w:rsidR="003B75DD">
        <w:rPr>
          <w:rFonts w:eastAsia="Calibri"/>
          <w:sz w:val="24"/>
          <w:szCs w:val="24"/>
          <w:lang w:eastAsia="en-US"/>
        </w:rPr>
        <w:t xml:space="preserve">such restrictions </w:t>
      </w:r>
      <w:r w:rsidR="00AC423C">
        <w:rPr>
          <w:rFonts w:eastAsia="Calibri"/>
          <w:sz w:val="24"/>
          <w:szCs w:val="24"/>
          <w:lang w:eastAsia="en-US"/>
        </w:rPr>
        <w:t>could</w:t>
      </w:r>
      <w:r w:rsidR="003B75DD">
        <w:rPr>
          <w:rFonts w:eastAsia="Calibri"/>
          <w:sz w:val="24"/>
          <w:szCs w:val="24"/>
          <w:lang w:eastAsia="en-US"/>
        </w:rPr>
        <w:t xml:space="preserve"> be considered “necessary in a democratic society in the interests of national security” or otherwise</w:t>
      </w:r>
      <w:r w:rsidR="00AC423C">
        <w:rPr>
          <w:rFonts w:eastAsia="Calibri"/>
          <w:sz w:val="24"/>
          <w:szCs w:val="24"/>
          <w:lang w:eastAsia="en-US"/>
        </w:rPr>
        <w:t xml:space="preserve"> acceptable</w:t>
      </w:r>
      <w:r w:rsidR="003B75DD">
        <w:rPr>
          <w:rFonts w:eastAsia="Calibri"/>
          <w:sz w:val="24"/>
          <w:szCs w:val="24"/>
          <w:lang w:eastAsia="en-US"/>
        </w:rPr>
        <w:t xml:space="preserve">, consistent with the restrictions permitted under Article 21.  </w:t>
      </w:r>
      <w:r w:rsidR="00FF1E9D">
        <w:rPr>
          <w:rFonts w:eastAsia="Calibri"/>
          <w:sz w:val="24"/>
          <w:szCs w:val="24"/>
          <w:lang w:eastAsia="en-US"/>
        </w:rPr>
        <w:t xml:space="preserve">A similar analysis should be applied to actions, such as criminalization, that serve to deter </w:t>
      </w:r>
      <w:r w:rsidR="00FF1E9D" w:rsidRPr="00FF1E9D">
        <w:rPr>
          <w:rFonts w:eastAsia="Calibri"/>
          <w:sz w:val="24"/>
          <w:szCs w:val="24"/>
          <w:lang w:eastAsia="en-US"/>
        </w:rPr>
        <w:t>individuals</w:t>
      </w:r>
      <w:r w:rsidR="00FF1E9D">
        <w:rPr>
          <w:rFonts w:eastAsia="Calibri"/>
          <w:sz w:val="24"/>
          <w:szCs w:val="24"/>
          <w:lang w:eastAsia="en-US"/>
        </w:rPr>
        <w:t xml:space="preserve"> from</w:t>
      </w:r>
      <w:r w:rsidR="00FF1E9D" w:rsidRPr="00FF1E9D">
        <w:rPr>
          <w:rFonts w:eastAsia="Calibri"/>
          <w:sz w:val="24"/>
          <w:szCs w:val="24"/>
          <w:lang w:eastAsia="en-US"/>
        </w:rPr>
        <w:t xml:space="preserve"> </w:t>
      </w:r>
      <w:r w:rsidR="00FF1E9D">
        <w:rPr>
          <w:rFonts w:eastAsia="Calibri"/>
          <w:sz w:val="24"/>
          <w:szCs w:val="24"/>
          <w:lang w:eastAsia="en-US"/>
        </w:rPr>
        <w:t xml:space="preserve">organizing in support of or otherwise </w:t>
      </w:r>
      <w:r w:rsidR="00FF1E9D" w:rsidRPr="00FF1E9D">
        <w:rPr>
          <w:rFonts w:eastAsia="Calibri"/>
          <w:sz w:val="24"/>
          <w:szCs w:val="24"/>
          <w:lang w:eastAsia="en-US"/>
        </w:rPr>
        <w:t>helping undocumented migrant</w:t>
      </w:r>
      <w:r w:rsidR="00FF1E9D">
        <w:rPr>
          <w:rFonts w:eastAsia="Calibri"/>
          <w:sz w:val="24"/>
          <w:szCs w:val="24"/>
          <w:lang w:eastAsia="en-US"/>
        </w:rPr>
        <w:t>s.</w:t>
      </w:r>
      <w:r w:rsidR="00AC423C">
        <w:rPr>
          <w:rStyle w:val="FootnoteReference"/>
          <w:rFonts w:eastAsia="Calibri"/>
          <w:sz w:val="24"/>
          <w:szCs w:val="24"/>
          <w:lang w:eastAsia="en-US"/>
        </w:rPr>
        <w:footnoteReference w:id="8"/>
      </w:r>
      <w:r w:rsidR="00FF1E9D">
        <w:rPr>
          <w:rFonts w:eastAsia="Calibri"/>
          <w:sz w:val="24"/>
          <w:szCs w:val="24"/>
          <w:lang w:eastAsia="en-US"/>
        </w:rPr>
        <w:t xml:space="preserve">  </w:t>
      </w:r>
    </w:p>
    <w:p w14:paraId="4E83ECBA" w14:textId="50D646BD" w:rsidR="00B22786" w:rsidRPr="00B22786" w:rsidRDefault="00B22786" w:rsidP="00B22786">
      <w:pPr>
        <w:spacing w:after="200" w:line="276" w:lineRule="auto"/>
        <w:jc w:val="both"/>
        <w:rPr>
          <w:rFonts w:eastAsia="Calibri"/>
          <w:i/>
          <w:iCs/>
          <w:sz w:val="24"/>
          <w:szCs w:val="24"/>
          <w:lang w:eastAsia="en-US"/>
        </w:rPr>
      </w:pPr>
      <w:r w:rsidRPr="00B22786">
        <w:rPr>
          <w:rFonts w:eastAsia="Calibri"/>
          <w:i/>
          <w:iCs/>
          <w:sz w:val="24"/>
          <w:szCs w:val="24"/>
          <w:lang w:eastAsia="en-US"/>
        </w:rPr>
        <w:t xml:space="preserve">Facilitating Migrants’ Exercise of the Right </w:t>
      </w:r>
      <w:r>
        <w:rPr>
          <w:rFonts w:eastAsia="Calibri"/>
          <w:i/>
          <w:iCs/>
          <w:sz w:val="24"/>
          <w:szCs w:val="24"/>
          <w:lang w:eastAsia="en-US"/>
        </w:rPr>
        <w:t>of</w:t>
      </w:r>
      <w:r w:rsidRPr="00B22786">
        <w:rPr>
          <w:rFonts w:eastAsia="Calibri"/>
          <w:i/>
          <w:iCs/>
          <w:sz w:val="24"/>
          <w:szCs w:val="24"/>
          <w:lang w:eastAsia="en-US"/>
        </w:rPr>
        <w:t xml:space="preserve"> Peaceful Assembly </w:t>
      </w:r>
    </w:p>
    <w:p w14:paraId="361D6AB2" w14:textId="2D69A943" w:rsidR="00B22786" w:rsidRPr="00B22786" w:rsidRDefault="00B22786" w:rsidP="006802B8">
      <w:pPr>
        <w:spacing w:after="200" w:line="276" w:lineRule="auto"/>
        <w:jc w:val="both"/>
        <w:rPr>
          <w:rFonts w:eastAsia="Calibri"/>
          <w:sz w:val="24"/>
          <w:szCs w:val="24"/>
          <w:lang w:eastAsia="en-US"/>
        </w:rPr>
      </w:pPr>
      <w:r>
        <w:rPr>
          <w:rFonts w:eastAsia="Calibri"/>
          <w:sz w:val="24"/>
          <w:szCs w:val="24"/>
          <w:lang w:eastAsia="en-US"/>
        </w:rPr>
        <w:lastRenderedPageBreak/>
        <w:t>In addition to the fear of reprisals, another obstacle to migrants’ exercise of the right of peaceful assembly</w:t>
      </w:r>
      <w:r w:rsidR="001C318A">
        <w:rPr>
          <w:rFonts w:eastAsia="Calibri"/>
          <w:sz w:val="24"/>
          <w:szCs w:val="24"/>
          <w:lang w:eastAsia="en-US"/>
        </w:rPr>
        <w:t>,</w:t>
      </w:r>
      <w:r w:rsidR="006802B8">
        <w:rPr>
          <w:rFonts w:eastAsia="Calibri"/>
          <w:sz w:val="24"/>
          <w:szCs w:val="24"/>
          <w:lang w:eastAsia="en-US"/>
        </w:rPr>
        <w:t xml:space="preserve"> and related rights, as</w:t>
      </w:r>
      <w:r>
        <w:rPr>
          <w:rFonts w:eastAsia="Calibri"/>
          <w:sz w:val="24"/>
          <w:szCs w:val="24"/>
          <w:lang w:eastAsia="en-US"/>
        </w:rPr>
        <w:t xml:space="preserve"> identified in recent reporting</w:t>
      </w:r>
      <w:r w:rsidR="006802B8">
        <w:rPr>
          <w:rFonts w:eastAsia="Calibri"/>
          <w:sz w:val="24"/>
          <w:szCs w:val="24"/>
          <w:lang w:eastAsia="en-US"/>
        </w:rPr>
        <w:t>,</w:t>
      </w:r>
      <w:r>
        <w:rPr>
          <w:rFonts w:eastAsia="Calibri"/>
          <w:sz w:val="24"/>
          <w:szCs w:val="24"/>
          <w:lang w:eastAsia="en-US"/>
        </w:rPr>
        <w:t xml:space="preserve"> </w:t>
      </w:r>
      <w:r w:rsidR="006802B8">
        <w:rPr>
          <w:rFonts w:eastAsia="Calibri"/>
          <w:sz w:val="24"/>
          <w:szCs w:val="24"/>
          <w:lang w:eastAsia="en-US"/>
        </w:rPr>
        <w:t xml:space="preserve">is (1) the perception that </w:t>
      </w:r>
      <w:r w:rsidR="006802B8" w:rsidRPr="006802B8">
        <w:rPr>
          <w:rFonts w:eastAsia="Calibri"/>
          <w:sz w:val="24"/>
          <w:szCs w:val="24"/>
          <w:lang w:eastAsia="en-US"/>
        </w:rPr>
        <w:t>police do not do enough</w:t>
      </w:r>
      <w:r w:rsidR="006802B8">
        <w:rPr>
          <w:rFonts w:eastAsia="Calibri"/>
          <w:sz w:val="24"/>
          <w:szCs w:val="24"/>
          <w:lang w:eastAsia="en-US"/>
        </w:rPr>
        <w:t xml:space="preserve"> </w:t>
      </w:r>
      <w:r w:rsidR="006802B8" w:rsidRPr="006802B8">
        <w:rPr>
          <w:rFonts w:eastAsia="Calibri"/>
          <w:sz w:val="24"/>
          <w:szCs w:val="24"/>
          <w:lang w:eastAsia="en-US"/>
        </w:rPr>
        <w:t>to protect them when they protest</w:t>
      </w:r>
      <w:r w:rsidR="006802B8">
        <w:rPr>
          <w:rFonts w:eastAsia="Calibri"/>
          <w:sz w:val="24"/>
          <w:szCs w:val="24"/>
          <w:lang w:eastAsia="en-US"/>
        </w:rPr>
        <w:t xml:space="preserve">; </w:t>
      </w:r>
      <w:r w:rsidR="00A4387D">
        <w:rPr>
          <w:rFonts w:eastAsia="Calibri"/>
          <w:sz w:val="24"/>
          <w:szCs w:val="24"/>
          <w:lang w:eastAsia="en-US"/>
        </w:rPr>
        <w:t>and</w:t>
      </w:r>
      <w:r w:rsidR="006802B8">
        <w:rPr>
          <w:rFonts w:eastAsia="Calibri"/>
          <w:sz w:val="24"/>
          <w:szCs w:val="24"/>
          <w:lang w:eastAsia="en-US"/>
        </w:rPr>
        <w:t xml:space="preserve"> (2) a lack of knowledge among migrants of their rights </w:t>
      </w:r>
      <w:r w:rsidR="001C318A">
        <w:rPr>
          <w:rFonts w:eastAsia="Calibri"/>
          <w:sz w:val="24"/>
          <w:szCs w:val="24"/>
          <w:lang w:eastAsia="en-US"/>
        </w:rPr>
        <w:t>to peacefully assemble and express their views</w:t>
      </w:r>
      <w:r w:rsidR="006802B8">
        <w:rPr>
          <w:rFonts w:eastAsia="Calibri"/>
          <w:sz w:val="24"/>
          <w:szCs w:val="24"/>
          <w:lang w:eastAsia="en-US"/>
        </w:rPr>
        <w:t>.</w:t>
      </w:r>
      <w:r w:rsidR="006802B8">
        <w:rPr>
          <w:rStyle w:val="FootnoteReference"/>
          <w:rFonts w:eastAsia="Calibri"/>
          <w:sz w:val="24"/>
          <w:szCs w:val="24"/>
          <w:lang w:eastAsia="en-US"/>
        </w:rPr>
        <w:footnoteReference w:id="9"/>
      </w:r>
      <w:r w:rsidR="006802B8">
        <w:rPr>
          <w:rFonts w:eastAsia="Calibri"/>
          <w:sz w:val="24"/>
          <w:szCs w:val="24"/>
          <w:lang w:eastAsia="en-US"/>
        </w:rPr>
        <w:t xml:space="preserve">  To </w:t>
      </w:r>
      <w:r w:rsidR="001C318A">
        <w:rPr>
          <w:rFonts w:eastAsia="Calibri"/>
          <w:sz w:val="24"/>
          <w:szCs w:val="24"/>
          <w:lang w:eastAsia="en-US"/>
        </w:rPr>
        <w:t>address these hurdles</w:t>
      </w:r>
      <w:r w:rsidR="006802B8">
        <w:rPr>
          <w:rFonts w:eastAsia="Calibri"/>
          <w:sz w:val="24"/>
          <w:szCs w:val="24"/>
          <w:lang w:eastAsia="en-US"/>
        </w:rPr>
        <w:t>, we would welcome the inclusion of additional guidance from the Committee on measures that States should take to facilitate the exercise of this right by migrants.</w:t>
      </w:r>
      <w:r w:rsidR="00A4387D">
        <w:rPr>
          <w:rFonts w:eastAsia="Calibri"/>
          <w:sz w:val="24"/>
          <w:szCs w:val="24"/>
          <w:lang w:eastAsia="en-US"/>
        </w:rPr>
        <w:t xml:space="preserve">  For example, with respect to the protection issue</w:t>
      </w:r>
      <w:r w:rsidRPr="00B22786">
        <w:rPr>
          <w:rFonts w:eastAsia="Calibri"/>
          <w:sz w:val="24"/>
          <w:szCs w:val="24"/>
          <w:lang w:eastAsia="en-US"/>
        </w:rPr>
        <w:t xml:space="preserve">, </w:t>
      </w:r>
      <w:r w:rsidR="00A4387D">
        <w:rPr>
          <w:rFonts w:eastAsia="Calibri"/>
          <w:sz w:val="24"/>
          <w:szCs w:val="24"/>
          <w:lang w:eastAsia="en-US"/>
        </w:rPr>
        <w:t xml:space="preserve">the Committee might consider including, </w:t>
      </w:r>
      <w:r w:rsidRPr="00B22786">
        <w:rPr>
          <w:rFonts w:eastAsia="Calibri"/>
          <w:sz w:val="24"/>
          <w:szCs w:val="24"/>
          <w:lang w:eastAsia="en-US"/>
        </w:rPr>
        <w:t xml:space="preserve">in the context of paragraph 28, xenophobic and racist attacks (in addition to homophobic, sexual or gender-based attacks) </w:t>
      </w:r>
      <w:r w:rsidR="00A4387D">
        <w:rPr>
          <w:rFonts w:eastAsia="Calibri"/>
          <w:sz w:val="24"/>
          <w:szCs w:val="24"/>
          <w:lang w:eastAsia="en-US"/>
        </w:rPr>
        <w:t>as</w:t>
      </w:r>
      <w:r w:rsidRPr="00B22786">
        <w:rPr>
          <w:rFonts w:eastAsia="Calibri"/>
          <w:sz w:val="24"/>
          <w:szCs w:val="24"/>
          <w:lang w:eastAsia="en-US"/>
        </w:rPr>
        <w:t xml:space="preserve"> among the types of attacks that States have a duty to protect assembly participants from.  </w:t>
      </w:r>
      <w:r w:rsidR="00D02CE2">
        <w:rPr>
          <w:rFonts w:eastAsia="Calibri"/>
          <w:sz w:val="24"/>
          <w:szCs w:val="24"/>
          <w:lang w:eastAsia="en-US"/>
        </w:rPr>
        <w:t xml:space="preserve">The importance of protecting protesters, including from xenophobic and racist acts, should also be emphasized in Section 6 on the “Duties and powers of law enforcement agencies.”  </w:t>
      </w:r>
      <w:r w:rsidRPr="00B22786">
        <w:rPr>
          <w:rFonts w:eastAsia="Calibri"/>
          <w:sz w:val="24"/>
          <w:szCs w:val="24"/>
          <w:lang w:eastAsia="en-US"/>
        </w:rPr>
        <w:t xml:space="preserve">Such protective measures could further serve to facilitate migrants’ enjoyment of the right of peaceful assembly.  </w:t>
      </w:r>
      <w:r w:rsidR="00A4387D">
        <w:rPr>
          <w:rFonts w:eastAsia="Calibri"/>
          <w:sz w:val="24"/>
          <w:szCs w:val="24"/>
          <w:lang w:eastAsia="en-US"/>
        </w:rPr>
        <w:t xml:space="preserve">With respect to information, the Committee might consider specifying measures that States </w:t>
      </w:r>
      <w:r w:rsidR="001C318A">
        <w:rPr>
          <w:rFonts w:eastAsia="Calibri"/>
          <w:sz w:val="24"/>
          <w:szCs w:val="24"/>
          <w:lang w:eastAsia="en-US"/>
        </w:rPr>
        <w:t xml:space="preserve">should </w:t>
      </w:r>
      <w:r w:rsidR="00A4387D">
        <w:rPr>
          <w:rFonts w:eastAsia="Calibri"/>
          <w:sz w:val="24"/>
          <w:szCs w:val="24"/>
          <w:lang w:eastAsia="en-US"/>
        </w:rPr>
        <w:t xml:space="preserve">take to ensure that migrants, particularly those with linguistic barriers, and members of other often-marginalized </w:t>
      </w:r>
      <w:r w:rsidR="00B47087">
        <w:rPr>
          <w:rFonts w:eastAsia="Calibri"/>
          <w:sz w:val="24"/>
          <w:szCs w:val="24"/>
          <w:lang w:eastAsia="en-US"/>
        </w:rPr>
        <w:t xml:space="preserve">and disenfranchised </w:t>
      </w:r>
      <w:r w:rsidR="00A4387D">
        <w:rPr>
          <w:rFonts w:eastAsia="Calibri"/>
          <w:sz w:val="24"/>
          <w:szCs w:val="24"/>
          <w:lang w:eastAsia="en-US"/>
        </w:rPr>
        <w:t>groups</w:t>
      </w:r>
      <w:r w:rsidR="00B47087">
        <w:rPr>
          <w:rFonts w:eastAsia="Calibri"/>
          <w:sz w:val="24"/>
          <w:szCs w:val="24"/>
          <w:lang w:eastAsia="en-US"/>
        </w:rPr>
        <w:t>,</w:t>
      </w:r>
      <w:r w:rsidR="00A4387D">
        <w:rPr>
          <w:rFonts w:eastAsia="Calibri"/>
          <w:sz w:val="24"/>
          <w:szCs w:val="24"/>
          <w:lang w:eastAsia="en-US"/>
        </w:rPr>
        <w:t xml:space="preserve"> are</w:t>
      </w:r>
      <w:r w:rsidR="00B47087">
        <w:rPr>
          <w:rFonts w:eastAsia="Calibri"/>
          <w:sz w:val="24"/>
          <w:szCs w:val="24"/>
          <w:lang w:eastAsia="en-US"/>
        </w:rPr>
        <w:t xml:space="preserve"> fully</w:t>
      </w:r>
      <w:r w:rsidR="00A4387D">
        <w:rPr>
          <w:rFonts w:eastAsia="Calibri"/>
          <w:sz w:val="24"/>
          <w:szCs w:val="24"/>
          <w:lang w:eastAsia="en-US"/>
        </w:rPr>
        <w:t xml:space="preserve"> </w:t>
      </w:r>
      <w:r w:rsidR="00D02CE2">
        <w:rPr>
          <w:rFonts w:eastAsia="Calibri"/>
          <w:sz w:val="24"/>
          <w:szCs w:val="24"/>
          <w:lang w:eastAsia="en-US"/>
        </w:rPr>
        <w:t xml:space="preserve">aware of and </w:t>
      </w:r>
      <w:r w:rsidR="00A4387D">
        <w:rPr>
          <w:rFonts w:eastAsia="Calibri"/>
          <w:sz w:val="24"/>
          <w:szCs w:val="24"/>
          <w:lang w:eastAsia="en-US"/>
        </w:rPr>
        <w:t xml:space="preserve">informed </w:t>
      </w:r>
      <w:r w:rsidR="00D02CE2">
        <w:rPr>
          <w:rFonts w:eastAsia="Calibri"/>
          <w:sz w:val="24"/>
          <w:szCs w:val="24"/>
          <w:lang w:eastAsia="en-US"/>
        </w:rPr>
        <w:t>about their</w:t>
      </w:r>
      <w:r w:rsidR="00A4387D">
        <w:rPr>
          <w:rFonts w:eastAsia="Calibri"/>
          <w:sz w:val="24"/>
          <w:szCs w:val="24"/>
          <w:lang w:eastAsia="en-US"/>
        </w:rPr>
        <w:t xml:space="preserve"> right</w:t>
      </w:r>
      <w:r w:rsidR="00D02CE2">
        <w:rPr>
          <w:rFonts w:eastAsia="Calibri"/>
          <w:sz w:val="24"/>
          <w:szCs w:val="24"/>
          <w:lang w:eastAsia="en-US"/>
        </w:rPr>
        <w:t>s of</w:t>
      </w:r>
      <w:r w:rsidR="00A4387D">
        <w:rPr>
          <w:rFonts w:eastAsia="Calibri"/>
          <w:sz w:val="24"/>
          <w:szCs w:val="24"/>
          <w:lang w:eastAsia="en-US"/>
        </w:rPr>
        <w:t xml:space="preserve"> peaceful assembly.</w:t>
      </w:r>
      <w:r w:rsidR="00D02CE2">
        <w:rPr>
          <w:rFonts w:eastAsia="Calibri"/>
          <w:sz w:val="24"/>
          <w:szCs w:val="24"/>
          <w:lang w:eastAsia="en-US"/>
        </w:rPr>
        <w:t xml:space="preserve">  </w:t>
      </w:r>
    </w:p>
    <w:p w14:paraId="1D00C01A" w14:textId="0BCC41F1" w:rsidR="00FF1E9D" w:rsidRPr="00520E8E" w:rsidRDefault="00FF1E9D" w:rsidP="00520E8E">
      <w:pPr>
        <w:pStyle w:val="ListParagraph"/>
        <w:numPr>
          <w:ilvl w:val="0"/>
          <w:numId w:val="7"/>
        </w:numPr>
        <w:spacing w:after="200" w:line="276" w:lineRule="auto"/>
        <w:jc w:val="both"/>
        <w:rPr>
          <w:rFonts w:eastAsia="Calibri"/>
          <w:b/>
          <w:bCs/>
          <w:sz w:val="24"/>
          <w:szCs w:val="24"/>
          <w:lang w:eastAsia="en-US"/>
        </w:rPr>
      </w:pPr>
      <w:r w:rsidRPr="00520E8E">
        <w:rPr>
          <w:rFonts w:eastAsia="Calibri"/>
          <w:b/>
          <w:bCs/>
          <w:sz w:val="24"/>
          <w:szCs w:val="24"/>
          <w:lang w:eastAsia="en-US"/>
        </w:rPr>
        <w:t>Conclusion</w:t>
      </w:r>
    </w:p>
    <w:p w14:paraId="27A1F5CE" w14:textId="54BC0453" w:rsidR="00FF1E9D" w:rsidRDefault="00FF1E9D" w:rsidP="00FF1E9D">
      <w:pPr>
        <w:spacing w:after="200" w:line="276" w:lineRule="auto"/>
        <w:jc w:val="both"/>
        <w:rPr>
          <w:rFonts w:eastAsia="Calibri"/>
          <w:sz w:val="24"/>
          <w:szCs w:val="24"/>
          <w:lang w:eastAsia="en-US"/>
        </w:rPr>
      </w:pPr>
      <w:r w:rsidRPr="00FF1E9D">
        <w:rPr>
          <w:rFonts w:eastAsia="Calibri"/>
          <w:sz w:val="24"/>
          <w:szCs w:val="24"/>
          <w:lang w:eastAsia="en-US"/>
        </w:rPr>
        <w:t xml:space="preserve">IOM is grateful for the opportunity to provide its comments and observations on </w:t>
      </w:r>
      <w:r>
        <w:rPr>
          <w:rFonts w:eastAsia="Calibri"/>
          <w:sz w:val="24"/>
          <w:szCs w:val="24"/>
          <w:lang w:eastAsia="en-US"/>
        </w:rPr>
        <w:t xml:space="preserve">this draft General Comment on the Right of Peaceful Assembly.  </w:t>
      </w:r>
      <w:r w:rsidRPr="00FF1E9D">
        <w:rPr>
          <w:rFonts w:eastAsia="Calibri"/>
          <w:sz w:val="24"/>
          <w:szCs w:val="24"/>
          <w:lang w:eastAsia="en-US"/>
        </w:rPr>
        <w:t>We look forward to the finalization of th</w:t>
      </w:r>
      <w:r>
        <w:rPr>
          <w:rFonts w:eastAsia="Calibri"/>
          <w:sz w:val="24"/>
          <w:szCs w:val="24"/>
          <w:lang w:eastAsia="en-US"/>
        </w:rPr>
        <w:t xml:space="preserve">is document, and its contributions to maximizing respect for the rights of all, including migrants.  </w:t>
      </w:r>
    </w:p>
    <w:sectPr w:rsidR="00FF1E9D">
      <w:type w:val="continuous"/>
      <w:pgSz w:w="11901" w:h="16840" w:code="9"/>
      <w:pgMar w:top="1418" w:right="1418" w:bottom="1418" w:left="1418" w:header="68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7BF61" w14:textId="77777777" w:rsidR="00BC0F29" w:rsidRDefault="00BC0F29">
      <w:r>
        <w:separator/>
      </w:r>
    </w:p>
  </w:endnote>
  <w:endnote w:type="continuationSeparator" w:id="0">
    <w:p w14:paraId="6291CC63" w14:textId="77777777" w:rsidR="00BC0F29" w:rsidRDefault="00BC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DC07" w14:textId="77777777" w:rsidR="00BC0F29" w:rsidRDefault="00BC0F29">
    <w:pPr>
      <w:pBdr>
        <w:top w:val="single" w:sz="6" w:space="5" w:color="auto"/>
      </w:pBdr>
      <w:jc w:val="center"/>
      <w:rPr>
        <w:rFonts w:ascii="Arial" w:hAnsi="Arial"/>
      </w:rPr>
    </w:pPr>
    <w:r>
      <w:rPr>
        <w:rFonts w:ascii="Arial" w:hAnsi="Arial"/>
        <w:b/>
        <w:sz w:val="18"/>
      </w:rPr>
      <w:t>Headquarters:</w:t>
    </w:r>
  </w:p>
  <w:p w14:paraId="7C4CDAFF" w14:textId="77777777" w:rsidR="00BC0F29" w:rsidRDefault="00BC0F29">
    <w:pPr>
      <w:pStyle w:val="Address"/>
    </w:pPr>
    <w:r>
      <w:t xml:space="preserve">17 route des Morillons • C.P. 71 • CH-1211 Geneva 19 • </w:t>
    </w:r>
    <w:smartTag w:uri="urn:schemas-microsoft-com:office:smarttags" w:element="country-region">
      <w:smartTag w:uri="urn:schemas-microsoft-com:office:smarttags" w:element="place">
        <w:r>
          <w:t>Switzerland</w:t>
        </w:r>
      </w:smartTag>
    </w:smartTag>
  </w:p>
  <w:p w14:paraId="2B7A5C67" w14:textId="77777777" w:rsidR="00BC0F29" w:rsidRDefault="00BC0F29">
    <w:pPr>
      <w:pStyle w:val="Address"/>
    </w:pPr>
    <w:r>
      <w:t>Tel: +41.22.717 91 11 • Fax: +41.22.798 61 50 • E-mail: hq@iom.int • Internet: http://www.iom.int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A8768" w14:textId="77777777" w:rsidR="00BC0F29" w:rsidRDefault="00BC0F29">
      <w:r>
        <w:separator/>
      </w:r>
    </w:p>
  </w:footnote>
  <w:footnote w:type="continuationSeparator" w:id="0">
    <w:p w14:paraId="44D9DE9A" w14:textId="77777777" w:rsidR="00BC0F29" w:rsidRDefault="00BC0F29">
      <w:r>
        <w:continuationSeparator/>
      </w:r>
    </w:p>
  </w:footnote>
  <w:footnote w:id="1">
    <w:p w14:paraId="70205CF2" w14:textId="77777777" w:rsidR="00BC0F29" w:rsidRPr="008930C4" w:rsidRDefault="00BC0F29" w:rsidP="00445F02">
      <w:pPr>
        <w:pStyle w:val="FootnoteText"/>
        <w:jc w:val="both"/>
      </w:pPr>
      <w:r w:rsidRPr="008930C4">
        <w:rPr>
          <w:rStyle w:val="FootnoteReference"/>
        </w:rPr>
        <w:footnoteRef/>
      </w:r>
      <w:r w:rsidRPr="008930C4">
        <w:t xml:space="preserve"> </w:t>
      </w:r>
      <w:r w:rsidRPr="008930C4">
        <w:rPr>
          <w:i/>
        </w:rPr>
        <w:t>See</w:t>
      </w:r>
      <w:r w:rsidRPr="008930C4">
        <w:t xml:space="preserve"> the IOM Constitution.</w:t>
      </w:r>
    </w:p>
  </w:footnote>
  <w:footnote w:id="2">
    <w:p w14:paraId="535BC290" w14:textId="7BA261B8" w:rsidR="00BC0F29" w:rsidRPr="00BF5B7D" w:rsidRDefault="00BC0F29" w:rsidP="00BF5B7D">
      <w:pPr>
        <w:pStyle w:val="FootnoteText"/>
      </w:pPr>
      <w:r>
        <w:rPr>
          <w:rStyle w:val="FootnoteReference"/>
        </w:rPr>
        <w:footnoteRef/>
      </w:r>
      <w:r>
        <w:t xml:space="preserve"> CCPR General Comment No. 15: The Position of Aliens Under the Covenant, 11 April 1986 (referencing and elaborating upon the “general rule [] that each one of the rights of the Covenant must be guaranteed without discrimination between citizens and aliens”).</w:t>
      </w:r>
    </w:p>
  </w:footnote>
  <w:footnote w:id="3">
    <w:p w14:paraId="63027262" w14:textId="2622EE72" w:rsidR="00BC0F29" w:rsidRPr="0058282B" w:rsidRDefault="00BC0F29">
      <w:pPr>
        <w:pStyle w:val="FootnoteText"/>
        <w:rPr>
          <w:lang w:val="en-US"/>
        </w:rPr>
      </w:pPr>
      <w:r>
        <w:rPr>
          <w:rStyle w:val="FootnoteReference"/>
        </w:rPr>
        <w:footnoteRef/>
      </w:r>
      <w:r>
        <w:t xml:space="preserve"> </w:t>
      </w:r>
      <w:r w:rsidRPr="0058282B">
        <w:t>Report of the Special Rapporteur on the rights to freedom of peaceful assembly and of association, Maina Kiai, A/HRC/26/29, 14 Apr. 2014</w:t>
      </w:r>
      <w:r>
        <w:t>,</w:t>
      </w:r>
      <w:r w:rsidRPr="0058282B">
        <w:t xml:space="preserve"> at para. 2</w:t>
      </w:r>
      <w:r>
        <w:t xml:space="preserve">2-23, </w:t>
      </w:r>
      <w:r w:rsidRPr="001A2681">
        <w:t>37 (“SRapp Kiai Report”).</w:t>
      </w:r>
    </w:p>
  </w:footnote>
  <w:footnote w:id="4">
    <w:p w14:paraId="4793C5DA" w14:textId="0DB5601A" w:rsidR="00BC0F29" w:rsidRPr="00F1329F" w:rsidRDefault="00BC0F29" w:rsidP="00125718">
      <w:pPr>
        <w:pStyle w:val="FootnoteText"/>
        <w:rPr>
          <w:lang w:val="en-US"/>
        </w:rPr>
      </w:pPr>
      <w:r>
        <w:rPr>
          <w:rStyle w:val="FootnoteReference"/>
        </w:rPr>
        <w:footnoteRef/>
      </w:r>
      <w:r>
        <w:t xml:space="preserve"> </w:t>
      </w:r>
      <w:r w:rsidRPr="00645DE8">
        <w:t xml:space="preserve">Civicus, Freedoms on the Move: The Civic Space of Migrant Workers and Refugees (Oct. 2019), </w:t>
      </w:r>
      <w:r w:rsidRPr="001A2681">
        <w:rPr>
          <w:i/>
          <w:iCs/>
        </w:rPr>
        <w:t>available at</w:t>
      </w:r>
      <w:r w:rsidRPr="00645DE8">
        <w:t xml:space="preserve"> </w:t>
      </w:r>
      <w:hyperlink r:id="rId1" w:history="1">
        <w:r w:rsidRPr="00F03983">
          <w:rPr>
            <w:rStyle w:val="Hyperlink"/>
          </w:rPr>
          <w:t>https://www.business-humanrights.org/sites/default/files/documents/freedoms-on-the-move-report_oct2019.pdf</w:t>
        </w:r>
      </w:hyperlink>
      <w:r>
        <w:t xml:space="preserve">  (“Civicus Report”); </w:t>
      </w:r>
      <w:r w:rsidRPr="00645DE8">
        <w:rPr>
          <w:i/>
          <w:iCs/>
        </w:rPr>
        <w:t>see also</w:t>
      </w:r>
      <w:r>
        <w:t xml:space="preserve"> S. Rapp. </w:t>
      </w:r>
      <w:r w:rsidRPr="0058282B">
        <w:t>Kiai</w:t>
      </w:r>
      <w:r>
        <w:t xml:space="preserve"> Report, </w:t>
      </w:r>
      <w:r w:rsidRPr="001A2681">
        <w:rPr>
          <w:i/>
          <w:iCs/>
        </w:rPr>
        <w:t>supra</w:t>
      </w:r>
      <w:r>
        <w:t xml:space="preserve"> n. 3 at para. 25 (emphasizing that precisely because international law allows for some citizenship-related limitations on certain political rights that “</w:t>
      </w:r>
      <w:r w:rsidRPr="00645DE8">
        <w:t>States should ensure that migrants are not stripped of other fundamental rights, particularly assembly rights</w:t>
      </w:r>
      <w:r>
        <w:t xml:space="preserve">” </w:t>
      </w:r>
      <w:r w:rsidRPr="00645DE8">
        <w:t xml:space="preserve"> </w:t>
      </w:r>
      <w:r>
        <w:t>as they “</w:t>
      </w:r>
      <w:r w:rsidRPr="00645DE8">
        <w:t>have an even greater need for alternative means to participate in the public sphere</w:t>
      </w:r>
      <w:r>
        <w:t xml:space="preserve">”). </w:t>
      </w:r>
    </w:p>
  </w:footnote>
  <w:footnote w:id="5">
    <w:p w14:paraId="3B5D07AF" w14:textId="3A771D9B" w:rsidR="00BC0F29" w:rsidRPr="00880369" w:rsidRDefault="00BC0F29" w:rsidP="00880369">
      <w:pPr>
        <w:pStyle w:val="FootnoteText"/>
        <w:rPr>
          <w:lang w:val="en-US"/>
        </w:rPr>
      </w:pPr>
      <w:r>
        <w:rPr>
          <w:rStyle w:val="FootnoteReference"/>
        </w:rPr>
        <w:footnoteRef/>
      </w:r>
      <w:r>
        <w:t xml:space="preserve"> </w:t>
      </w:r>
      <w:r>
        <w:rPr>
          <w:lang w:val="en-US"/>
        </w:rPr>
        <w:t xml:space="preserve">Civicus Report, </w:t>
      </w:r>
      <w:r w:rsidRPr="001A2681">
        <w:rPr>
          <w:i/>
          <w:iCs/>
          <w:lang w:val="en-US"/>
        </w:rPr>
        <w:t>supra</w:t>
      </w:r>
      <w:r w:rsidRPr="001A2681">
        <w:rPr>
          <w:b/>
          <w:bCs/>
          <w:lang w:val="en-US"/>
        </w:rPr>
        <w:t xml:space="preserve"> </w:t>
      </w:r>
      <w:r>
        <w:rPr>
          <w:lang w:val="en-US"/>
        </w:rPr>
        <w:t>n. 4.</w:t>
      </w:r>
    </w:p>
  </w:footnote>
  <w:footnote w:id="6">
    <w:p w14:paraId="3CE268E6" w14:textId="25A0D548" w:rsidR="00BC0F29" w:rsidRPr="00BC0F29" w:rsidRDefault="00BC0F29" w:rsidP="00BC0F29">
      <w:pPr>
        <w:pStyle w:val="FootnoteText"/>
      </w:pPr>
      <w:r>
        <w:rPr>
          <w:rStyle w:val="FootnoteReference"/>
        </w:rPr>
        <w:footnoteRef/>
      </w:r>
      <w:r>
        <w:t xml:space="preserve"> </w:t>
      </w:r>
      <w:r w:rsidRPr="001A2681">
        <w:rPr>
          <w:i/>
          <w:iCs/>
        </w:rPr>
        <w:t>See, e.g.,</w:t>
      </w:r>
      <w:r>
        <w:t xml:space="preserve"> </w:t>
      </w:r>
      <w:bookmarkStart w:id="3" w:name="_Hlk34142890"/>
      <w:r>
        <w:t xml:space="preserve">Report of the Special Rapporteur on the rights to freedom of peaceful assembly and of association, Clement Voule, </w:t>
      </w:r>
      <w:r w:rsidRPr="00195CF4">
        <w:t>A/HRC/38/34</w:t>
      </w:r>
      <w:r>
        <w:t xml:space="preserve">, </w:t>
      </w:r>
      <w:r w:rsidRPr="00195CF4">
        <w:t>26 July 2018</w:t>
      </w:r>
      <w:r>
        <w:t xml:space="preserve"> at para. 6</w:t>
      </w:r>
      <w:bookmarkEnd w:id="3"/>
      <w:r>
        <w:t xml:space="preserve">4 (“SRapp Voule Report”); SRapp Kiai Report, </w:t>
      </w:r>
      <w:r w:rsidRPr="00AF2D86">
        <w:rPr>
          <w:i/>
          <w:iCs/>
        </w:rPr>
        <w:t>supra</w:t>
      </w:r>
      <w:r>
        <w:t xml:space="preserve"> n. 3 at para. 47; Report of the Special Rapporteur on the situation of human rights defenders Michel Forst, A/HRC/37/51, 16 Jan. 2018, at para. 28 (SRapp Forst Report); SRapp Forst, World Report on the Situation of Human Rights Defenders, December 2018, at p. 194.</w:t>
      </w:r>
    </w:p>
  </w:footnote>
  <w:footnote w:id="7">
    <w:p w14:paraId="2E70B0E8" w14:textId="1344EF24" w:rsidR="00BC0F29" w:rsidRPr="0058282B" w:rsidRDefault="00BC0F29">
      <w:pPr>
        <w:pStyle w:val="FootnoteText"/>
        <w:rPr>
          <w:lang w:val="en-US"/>
        </w:rPr>
      </w:pPr>
      <w:r>
        <w:rPr>
          <w:rStyle w:val="FootnoteReference"/>
        </w:rPr>
        <w:footnoteRef/>
      </w:r>
      <w:r>
        <w:t xml:space="preserve"> </w:t>
      </w:r>
      <w:r w:rsidRPr="00AC423C">
        <w:rPr>
          <w:i/>
          <w:iCs/>
        </w:rPr>
        <w:t>See, e.g.,</w:t>
      </w:r>
      <w:r>
        <w:t xml:space="preserve"> SRapp Voule Report, </w:t>
      </w:r>
      <w:r w:rsidRPr="00AF2D86">
        <w:rPr>
          <w:i/>
          <w:iCs/>
        </w:rPr>
        <w:t>supra</w:t>
      </w:r>
      <w:r>
        <w:t xml:space="preserve"> n. 6, at</w:t>
      </w:r>
      <w:r w:rsidRPr="0058282B">
        <w:t xml:space="preserve"> para. 79</w:t>
      </w:r>
      <w:r>
        <w:t xml:space="preserve">, SRapp Forst Report, </w:t>
      </w:r>
      <w:r w:rsidRPr="00BC0F29">
        <w:rPr>
          <w:i/>
          <w:iCs/>
        </w:rPr>
        <w:t>supra</w:t>
      </w:r>
      <w:r>
        <w:t xml:space="preserve"> n. 6 at 54.</w:t>
      </w:r>
    </w:p>
  </w:footnote>
  <w:footnote w:id="8">
    <w:p w14:paraId="55F8D5B6" w14:textId="2F0D56CB" w:rsidR="00BC0F29" w:rsidRPr="00AC423C" w:rsidRDefault="00BC0F29">
      <w:pPr>
        <w:pStyle w:val="FootnoteText"/>
        <w:rPr>
          <w:lang w:val="en-US"/>
        </w:rPr>
      </w:pPr>
      <w:r>
        <w:rPr>
          <w:rStyle w:val="FootnoteReference"/>
        </w:rPr>
        <w:footnoteRef/>
      </w:r>
      <w:r>
        <w:t xml:space="preserve"> Beyond the specific migrant context</w:t>
      </w:r>
      <w:r w:rsidRPr="00AC423C">
        <w:t xml:space="preserve">, IOM would submit that further clarification and/or elaboration </w:t>
      </w:r>
      <w:r>
        <w:t xml:space="preserve">from the Committee </w:t>
      </w:r>
      <w:r w:rsidRPr="00AC423C">
        <w:t xml:space="preserve">would be </w:t>
      </w:r>
      <w:r>
        <w:t>beneficial</w:t>
      </w:r>
      <w:r w:rsidRPr="00AC423C">
        <w:t xml:space="preserve"> in providing practical</w:t>
      </w:r>
      <w:r>
        <w:t xml:space="preserve"> and specific</w:t>
      </w:r>
      <w:r w:rsidRPr="00AC423C">
        <w:t xml:space="preserve"> guidance to States</w:t>
      </w:r>
      <w:r>
        <w:t xml:space="preserve"> </w:t>
      </w:r>
      <w:r w:rsidRPr="00AC423C">
        <w:t xml:space="preserve">on the scope of permissible restrictions in </w:t>
      </w:r>
      <w:r>
        <w:t>S</w:t>
      </w:r>
      <w:r w:rsidRPr="00AC423C">
        <w:t>ection 4 of the draft General Comment</w:t>
      </w:r>
      <w:r>
        <w:t>, as this section is currently quite general</w:t>
      </w:r>
      <w:r w:rsidRPr="00AC423C">
        <w:t xml:space="preserve">.  In particular, it would be </w:t>
      </w:r>
      <w:r>
        <w:t xml:space="preserve">helpful </w:t>
      </w:r>
      <w:r w:rsidRPr="00AC423C">
        <w:t xml:space="preserve">to include more examples of the types of restrictions on the exercise of the right to peaceful assembly on grounds of national security, public safety, etc. </w:t>
      </w:r>
      <w:r>
        <w:t xml:space="preserve">which </w:t>
      </w:r>
      <w:r w:rsidRPr="001C318A">
        <w:rPr>
          <w:i/>
          <w:iCs/>
        </w:rPr>
        <w:t>should</w:t>
      </w:r>
      <w:r w:rsidRPr="00AC423C">
        <w:t xml:space="preserve"> be considered legitimate and proportionate, and which </w:t>
      </w:r>
      <w:r>
        <w:t>sh</w:t>
      </w:r>
      <w:r w:rsidRPr="00AC423C">
        <w:t>ould not, in order to better guide States in fully implementing Article 21.</w:t>
      </w:r>
    </w:p>
  </w:footnote>
  <w:footnote w:id="9">
    <w:p w14:paraId="02DF041E" w14:textId="68D0B898" w:rsidR="00BC0F29" w:rsidRPr="006802B8" w:rsidRDefault="00BC0F29">
      <w:pPr>
        <w:pStyle w:val="FootnoteText"/>
        <w:rPr>
          <w:lang w:val="en-US"/>
        </w:rPr>
      </w:pPr>
      <w:r>
        <w:rPr>
          <w:rStyle w:val="FootnoteReference"/>
        </w:rPr>
        <w:footnoteRef/>
      </w:r>
      <w:r>
        <w:t xml:space="preserve"> </w:t>
      </w:r>
      <w:r w:rsidRPr="006802B8">
        <w:t>Civicus</w:t>
      </w:r>
      <w:r>
        <w:t xml:space="preserve"> Report, </w:t>
      </w:r>
      <w:r w:rsidRPr="00AF2D86">
        <w:rPr>
          <w:i/>
          <w:iCs/>
        </w:rPr>
        <w:t>supra</w:t>
      </w:r>
      <w:r>
        <w:t xml:space="preserve"> n.4 at pp. 6-9, 25-36</w:t>
      </w:r>
      <w:r w:rsidRPr="006802B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24E7" w14:textId="2FCFECD0" w:rsidR="00BC0F29" w:rsidRDefault="00BC0F2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09C6">
      <w:rPr>
        <w:rStyle w:val="PageNumber"/>
        <w:noProof/>
      </w:rPr>
      <w:t>4</w:t>
    </w:r>
    <w:r>
      <w:rPr>
        <w:rStyle w:val="PageNumber"/>
      </w:rPr>
      <w:fldChar w:fldCharType="end"/>
    </w:r>
  </w:p>
  <w:p w14:paraId="0AD592A7" w14:textId="77777777" w:rsidR="00BC0F29" w:rsidRDefault="00BC0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9023" w14:textId="77777777" w:rsidR="00BC0F29" w:rsidRDefault="00BC0F29" w:rsidP="008E787A">
    <w:pPr>
      <w:pStyle w:val="Header"/>
      <w:tabs>
        <w:tab w:val="clear" w:pos="8640"/>
        <w:tab w:val="right" w:pos="8910"/>
      </w:tabs>
      <w:ind w:right="-465"/>
      <w:jc w:val="center"/>
    </w:pPr>
    <w:r>
      <w:rPr>
        <w:noProof/>
        <w:sz w:val="20"/>
        <w:lang w:eastAsia="en-GB"/>
      </w:rPr>
      <w:drawing>
        <wp:inline distT="0" distB="0" distL="0" distR="0" wp14:anchorId="1978A809" wp14:editId="44D3102D">
          <wp:extent cx="25812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658"/>
    <w:multiLevelType w:val="hybridMultilevel"/>
    <w:tmpl w:val="63D6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F71E4"/>
    <w:multiLevelType w:val="hybridMultilevel"/>
    <w:tmpl w:val="69D8EC0A"/>
    <w:lvl w:ilvl="0" w:tplc="1FD80BD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7F27C6"/>
    <w:multiLevelType w:val="multilevel"/>
    <w:tmpl w:val="45E0F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3257C"/>
    <w:multiLevelType w:val="hybridMultilevel"/>
    <w:tmpl w:val="AFE22346"/>
    <w:lvl w:ilvl="0" w:tplc="04090017">
      <w:start w:val="3"/>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12486"/>
    <w:multiLevelType w:val="hybridMultilevel"/>
    <w:tmpl w:val="117629A8"/>
    <w:lvl w:ilvl="0" w:tplc="3A0A2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F0B1B"/>
    <w:multiLevelType w:val="hybridMultilevel"/>
    <w:tmpl w:val="06229536"/>
    <w:lvl w:ilvl="0" w:tplc="FE1ADE56">
      <w:start w:val="3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346873"/>
    <w:multiLevelType w:val="hybridMultilevel"/>
    <w:tmpl w:val="CBD894C0"/>
    <w:lvl w:ilvl="0" w:tplc="3A0A2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9039E"/>
    <w:multiLevelType w:val="hybridMultilevel"/>
    <w:tmpl w:val="E1087B56"/>
    <w:lvl w:ilvl="0" w:tplc="0809000F">
      <w:start w:val="1"/>
      <w:numFmt w:val="decimal"/>
      <w:lvlText w:val="%1."/>
      <w:lvlJc w:val="left"/>
      <w:pPr>
        <w:tabs>
          <w:tab w:val="num" w:pos="720"/>
        </w:tabs>
        <w:ind w:left="720" w:hanging="360"/>
      </w:pPr>
      <w:rPr>
        <w:rFonts w:cs="Times New Roman" w:hint="default"/>
      </w:rPr>
    </w:lvl>
    <w:lvl w:ilvl="1" w:tplc="7250FE92">
      <w:start w:val="1"/>
      <w:numFmt w:val="lowerLetter"/>
      <w:lvlText w:val="%2."/>
      <w:lvlJc w:val="left"/>
      <w:pPr>
        <w:tabs>
          <w:tab w:val="num" w:pos="1440"/>
        </w:tabs>
        <w:ind w:left="1440" w:hanging="36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92D10A2"/>
    <w:multiLevelType w:val="hybridMultilevel"/>
    <w:tmpl w:val="AA4A85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5"/>
  </w:num>
  <w:num w:numId="5">
    <w:abstractNumId w:val="0"/>
  </w:num>
  <w:num w:numId="6">
    <w:abstractNumId w:val="3"/>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89"/>
    <w:rsid w:val="00004A43"/>
    <w:rsid w:val="00004E3E"/>
    <w:rsid w:val="00016E09"/>
    <w:rsid w:val="0002175D"/>
    <w:rsid w:val="00033BF8"/>
    <w:rsid w:val="00036B49"/>
    <w:rsid w:val="00062A70"/>
    <w:rsid w:val="00063268"/>
    <w:rsid w:val="00064C5A"/>
    <w:rsid w:val="00074E8D"/>
    <w:rsid w:val="0007665A"/>
    <w:rsid w:val="00090EBF"/>
    <w:rsid w:val="000A214D"/>
    <w:rsid w:val="000A2440"/>
    <w:rsid w:val="000A496F"/>
    <w:rsid w:val="000B09C6"/>
    <w:rsid w:val="000C2C96"/>
    <w:rsid w:val="000C7E31"/>
    <w:rsid w:val="000D481F"/>
    <w:rsid w:val="000D7985"/>
    <w:rsid w:val="000E673D"/>
    <w:rsid w:val="00111DA0"/>
    <w:rsid w:val="00117FA9"/>
    <w:rsid w:val="00121087"/>
    <w:rsid w:val="00121F09"/>
    <w:rsid w:val="001229A0"/>
    <w:rsid w:val="00125718"/>
    <w:rsid w:val="00146D8E"/>
    <w:rsid w:val="00151026"/>
    <w:rsid w:val="00151ED5"/>
    <w:rsid w:val="00154972"/>
    <w:rsid w:val="00156BCC"/>
    <w:rsid w:val="00170A0F"/>
    <w:rsid w:val="00173B4A"/>
    <w:rsid w:val="00175E98"/>
    <w:rsid w:val="00195CF4"/>
    <w:rsid w:val="001A0B94"/>
    <w:rsid w:val="001A2681"/>
    <w:rsid w:val="001A72F9"/>
    <w:rsid w:val="001C0775"/>
    <w:rsid w:val="001C318A"/>
    <w:rsid w:val="001C3AAE"/>
    <w:rsid w:val="001D1009"/>
    <w:rsid w:val="001D59E8"/>
    <w:rsid w:val="001E5DAE"/>
    <w:rsid w:val="001F6C56"/>
    <w:rsid w:val="00201157"/>
    <w:rsid w:val="0021378E"/>
    <w:rsid w:val="00215BDB"/>
    <w:rsid w:val="00246B7E"/>
    <w:rsid w:val="00253232"/>
    <w:rsid w:val="002606E4"/>
    <w:rsid w:val="00266099"/>
    <w:rsid w:val="00266F72"/>
    <w:rsid w:val="00272580"/>
    <w:rsid w:val="0028346C"/>
    <w:rsid w:val="00291C91"/>
    <w:rsid w:val="0029673D"/>
    <w:rsid w:val="002A7F27"/>
    <w:rsid w:val="002B08EC"/>
    <w:rsid w:val="002B1896"/>
    <w:rsid w:val="002B5523"/>
    <w:rsid w:val="002B559F"/>
    <w:rsid w:val="002B55ED"/>
    <w:rsid w:val="002B5ABE"/>
    <w:rsid w:val="002C2FF7"/>
    <w:rsid w:val="002C671C"/>
    <w:rsid w:val="002D66C7"/>
    <w:rsid w:val="002D6FE1"/>
    <w:rsid w:val="002F4365"/>
    <w:rsid w:val="002F4F83"/>
    <w:rsid w:val="00331F11"/>
    <w:rsid w:val="003562A2"/>
    <w:rsid w:val="003567B7"/>
    <w:rsid w:val="003577E5"/>
    <w:rsid w:val="0036120F"/>
    <w:rsid w:val="0036378C"/>
    <w:rsid w:val="00366C97"/>
    <w:rsid w:val="003815D5"/>
    <w:rsid w:val="00384EF0"/>
    <w:rsid w:val="00387704"/>
    <w:rsid w:val="003976A6"/>
    <w:rsid w:val="003B75DD"/>
    <w:rsid w:val="003C2EC0"/>
    <w:rsid w:val="003C4F71"/>
    <w:rsid w:val="003D29F7"/>
    <w:rsid w:val="003D3FF0"/>
    <w:rsid w:val="003E2C3C"/>
    <w:rsid w:val="00400671"/>
    <w:rsid w:val="00410DD8"/>
    <w:rsid w:val="0041253E"/>
    <w:rsid w:val="00421AD4"/>
    <w:rsid w:val="00433CFE"/>
    <w:rsid w:val="00445F02"/>
    <w:rsid w:val="00456913"/>
    <w:rsid w:val="00462526"/>
    <w:rsid w:val="00462EFF"/>
    <w:rsid w:val="00475EE9"/>
    <w:rsid w:val="00494AB7"/>
    <w:rsid w:val="004A1572"/>
    <w:rsid w:val="004A45C9"/>
    <w:rsid w:val="004A53B1"/>
    <w:rsid w:val="004B2F4A"/>
    <w:rsid w:val="004C0766"/>
    <w:rsid w:val="004C24FD"/>
    <w:rsid w:val="004C58EC"/>
    <w:rsid w:val="004C7733"/>
    <w:rsid w:val="004D0277"/>
    <w:rsid w:val="004D2E1B"/>
    <w:rsid w:val="004E758E"/>
    <w:rsid w:val="004F1E90"/>
    <w:rsid w:val="004F5966"/>
    <w:rsid w:val="00502933"/>
    <w:rsid w:val="00507978"/>
    <w:rsid w:val="00510461"/>
    <w:rsid w:val="005120BC"/>
    <w:rsid w:val="00520E8E"/>
    <w:rsid w:val="00522B89"/>
    <w:rsid w:val="00525CAB"/>
    <w:rsid w:val="005268C9"/>
    <w:rsid w:val="00527260"/>
    <w:rsid w:val="00541DDC"/>
    <w:rsid w:val="00542EB8"/>
    <w:rsid w:val="0054769C"/>
    <w:rsid w:val="0057273A"/>
    <w:rsid w:val="0058282B"/>
    <w:rsid w:val="00584A70"/>
    <w:rsid w:val="0058569B"/>
    <w:rsid w:val="00587903"/>
    <w:rsid w:val="00591790"/>
    <w:rsid w:val="005941B1"/>
    <w:rsid w:val="0059600D"/>
    <w:rsid w:val="005B0AA1"/>
    <w:rsid w:val="005B1EDD"/>
    <w:rsid w:val="005B4171"/>
    <w:rsid w:val="005C15DB"/>
    <w:rsid w:val="005F2521"/>
    <w:rsid w:val="005F37BF"/>
    <w:rsid w:val="005F4CBE"/>
    <w:rsid w:val="006009C5"/>
    <w:rsid w:val="00603B61"/>
    <w:rsid w:val="00615350"/>
    <w:rsid w:val="00625321"/>
    <w:rsid w:val="00645DE8"/>
    <w:rsid w:val="00652C22"/>
    <w:rsid w:val="00654D92"/>
    <w:rsid w:val="00655127"/>
    <w:rsid w:val="006608AB"/>
    <w:rsid w:val="00662911"/>
    <w:rsid w:val="006713D6"/>
    <w:rsid w:val="00671B0A"/>
    <w:rsid w:val="006802B8"/>
    <w:rsid w:val="00684883"/>
    <w:rsid w:val="0068762C"/>
    <w:rsid w:val="00691397"/>
    <w:rsid w:val="006A16F7"/>
    <w:rsid w:val="006B1B6B"/>
    <w:rsid w:val="006B6892"/>
    <w:rsid w:val="006B70E3"/>
    <w:rsid w:val="006C021B"/>
    <w:rsid w:val="006C69D6"/>
    <w:rsid w:val="006D6AAD"/>
    <w:rsid w:val="007059F8"/>
    <w:rsid w:val="00711C0E"/>
    <w:rsid w:val="00715C73"/>
    <w:rsid w:val="007333D1"/>
    <w:rsid w:val="007410F2"/>
    <w:rsid w:val="00741458"/>
    <w:rsid w:val="00742881"/>
    <w:rsid w:val="00744EBA"/>
    <w:rsid w:val="00775453"/>
    <w:rsid w:val="00784DFA"/>
    <w:rsid w:val="00785F11"/>
    <w:rsid w:val="00795373"/>
    <w:rsid w:val="00796850"/>
    <w:rsid w:val="00797365"/>
    <w:rsid w:val="007A02C6"/>
    <w:rsid w:val="007A2C68"/>
    <w:rsid w:val="007B1776"/>
    <w:rsid w:val="007B479C"/>
    <w:rsid w:val="007B4885"/>
    <w:rsid w:val="007C0AAC"/>
    <w:rsid w:val="007C1A17"/>
    <w:rsid w:val="007D123C"/>
    <w:rsid w:val="007D14BF"/>
    <w:rsid w:val="007D5D5F"/>
    <w:rsid w:val="007E7906"/>
    <w:rsid w:val="007F1848"/>
    <w:rsid w:val="007F3DD9"/>
    <w:rsid w:val="007F5575"/>
    <w:rsid w:val="007F79CE"/>
    <w:rsid w:val="00802F94"/>
    <w:rsid w:val="008036FA"/>
    <w:rsid w:val="00821C52"/>
    <w:rsid w:val="00826DCA"/>
    <w:rsid w:val="00831A07"/>
    <w:rsid w:val="00836D25"/>
    <w:rsid w:val="00861B7B"/>
    <w:rsid w:val="00880369"/>
    <w:rsid w:val="0088528E"/>
    <w:rsid w:val="008930C4"/>
    <w:rsid w:val="00896DD3"/>
    <w:rsid w:val="008A3D4D"/>
    <w:rsid w:val="008B2F64"/>
    <w:rsid w:val="008B3CCD"/>
    <w:rsid w:val="008C7F19"/>
    <w:rsid w:val="008D2921"/>
    <w:rsid w:val="008D2BF5"/>
    <w:rsid w:val="008D3C10"/>
    <w:rsid w:val="008E787A"/>
    <w:rsid w:val="008F52F7"/>
    <w:rsid w:val="00906466"/>
    <w:rsid w:val="0091391C"/>
    <w:rsid w:val="009167C0"/>
    <w:rsid w:val="00930B3B"/>
    <w:rsid w:val="00936B26"/>
    <w:rsid w:val="00943B45"/>
    <w:rsid w:val="00954E3A"/>
    <w:rsid w:val="00973E9F"/>
    <w:rsid w:val="00974ECC"/>
    <w:rsid w:val="00981DDF"/>
    <w:rsid w:val="00986CCD"/>
    <w:rsid w:val="00987CEB"/>
    <w:rsid w:val="00991C5E"/>
    <w:rsid w:val="009B1BF2"/>
    <w:rsid w:val="009B4A3B"/>
    <w:rsid w:val="009B6E70"/>
    <w:rsid w:val="009C60B7"/>
    <w:rsid w:val="009D5190"/>
    <w:rsid w:val="009D7DA7"/>
    <w:rsid w:val="009E0779"/>
    <w:rsid w:val="009F4443"/>
    <w:rsid w:val="00A02808"/>
    <w:rsid w:val="00A30D7F"/>
    <w:rsid w:val="00A31028"/>
    <w:rsid w:val="00A32727"/>
    <w:rsid w:val="00A3729C"/>
    <w:rsid w:val="00A40270"/>
    <w:rsid w:val="00A41F50"/>
    <w:rsid w:val="00A4387D"/>
    <w:rsid w:val="00A4585E"/>
    <w:rsid w:val="00A63320"/>
    <w:rsid w:val="00A65210"/>
    <w:rsid w:val="00A72111"/>
    <w:rsid w:val="00A72441"/>
    <w:rsid w:val="00A777BC"/>
    <w:rsid w:val="00A961DB"/>
    <w:rsid w:val="00AA3A43"/>
    <w:rsid w:val="00AB0384"/>
    <w:rsid w:val="00AC423C"/>
    <w:rsid w:val="00AC62D4"/>
    <w:rsid w:val="00AC7090"/>
    <w:rsid w:val="00AC7402"/>
    <w:rsid w:val="00AD5509"/>
    <w:rsid w:val="00AE1254"/>
    <w:rsid w:val="00AE3ACF"/>
    <w:rsid w:val="00AF2D86"/>
    <w:rsid w:val="00B11BAC"/>
    <w:rsid w:val="00B22786"/>
    <w:rsid w:val="00B23BE1"/>
    <w:rsid w:val="00B32331"/>
    <w:rsid w:val="00B47087"/>
    <w:rsid w:val="00B50B42"/>
    <w:rsid w:val="00B52A7B"/>
    <w:rsid w:val="00B52ADA"/>
    <w:rsid w:val="00B56848"/>
    <w:rsid w:val="00B77F01"/>
    <w:rsid w:val="00B843C7"/>
    <w:rsid w:val="00BA1BE1"/>
    <w:rsid w:val="00BB6B11"/>
    <w:rsid w:val="00BC0F29"/>
    <w:rsid w:val="00BC1CFB"/>
    <w:rsid w:val="00BC3D74"/>
    <w:rsid w:val="00BC3F50"/>
    <w:rsid w:val="00BC79A1"/>
    <w:rsid w:val="00BD5E12"/>
    <w:rsid w:val="00BD7AAC"/>
    <w:rsid w:val="00BF3568"/>
    <w:rsid w:val="00BF5B7D"/>
    <w:rsid w:val="00C10E13"/>
    <w:rsid w:val="00C17A1A"/>
    <w:rsid w:val="00C2737C"/>
    <w:rsid w:val="00C320AC"/>
    <w:rsid w:val="00C33ED4"/>
    <w:rsid w:val="00C35EBD"/>
    <w:rsid w:val="00C41478"/>
    <w:rsid w:val="00C44147"/>
    <w:rsid w:val="00C52037"/>
    <w:rsid w:val="00C523AC"/>
    <w:rsid w:val="00C55610"/>
    <w:rsid w:val="00C74DA8"/>
    <w:rsid w:val="00C847A3"/>
    <w:rsid w:val="00C85F8B"/>
    <w:rsid w:val="00C91C60"/>
    <w:rsid w:val="00C97CCC"/>
    <w:rsid w:val="00CA2253"/>
    <w:rsid w:val="00CC7B61"/>
    <w:rsid w:val="00CD6E12"/>
    <w:rsid w:val="00CE1F9F"/>
    <w:rsid w:val="00CF6412"/>
    <w:rsid w:val="00CF7109"/>
    <w:rsid w:val="00D02CE2"/>
    <w:rsid w:val="00D06E15"/>
    <w:rsid w:val="00D156FF"/>
    <w:rsid w:val="00D332CD"/>
    <w:rsid w:val="00D42E3D"/>
    <w:rsid w:val="00D62995"/>
    <w:rsid w:val="00D64506"/>
    <w:rsid w:val="00D72A18"/>
    <w:rsid w:val="00D7777E"/>
    <w:rsid w:val="00D94307"/>
    <w:rsid w:val="00DC668B"/>
    <w:rsid w:val="00DE4EC6"/>
    <w:rsid w:val="00DE649D"/>
    <w:rsid w:val="00DF3FC3"/>
    <w:rsid w:val="00DF6F1E"/>
    <w:rsid w:val="00E01E12"/>
    <w:rsid w:val="00E02EEC"/>
    <w:rsid w:val="00E21D47"/>
    <w:rsid w:val="00E24365"/>
    <w:rsid w:val="00E31A9F"/>
    <w:rsid w:val="00E44D6D"/>
    <w:rsid w:val="00E51AFF"/>
    <w:rsid w:val="00E65CAD"/>
    <w:rsid w:val="00E661D6"/>
    <w:rsid w:val="00E820C1"/>
    <w:rsid w:val="00E864F6"/>
    <w:rsid w:val="00E872D3"/>
    <w:rsid w:val="00EA24EB"/>
    <w:rsid w:val="00EC49DC"/>
    <w:rsid w:val="00ED1C80"/>
    <w:rsid w:val="00ED5FC6"/>
    <w:rsid w:val="00EF0DC9"/>
    <w:rsid w:val="00EF4E21"/>
    <w:rsid w:val="00F065B2"/>
    <w:rsid w:val="00F128F0"/>
    <w:rsid w:val="00F12F53"/>
    <w:rsid w:val="00F1329F"/>
    <w:rsid w:val="00F2061D"/>
    <w:rsid w:val="00F2280C"/>
    <w:rsid w:val="00F27E2A"/>
    <w:rsid w:val="00F31FEA"/>
    <w:rsid w:val="00F33B33"/>
    <w:rsid w:val="00F65635"/>
    <w:rsid w:val="00F702F8"/>
    <w:rsid w:val="00F71FDF"/>
    <w:rsid w:val="00F82637"/>
    <w:rsid w:val="00F8286E"/>
    <w:rsid w:val="00F84E6A"/>
    <w:rsid w:val="00FA2DDF"/>
    <w:rsid w:val="00FA4437"/>
    <w:rsid w:val="00FC20B4"/>
    <w:rsid w:val="00FD1622"/>
    <w:rsid w:val="00FD239B"/>
    <w:rsid w:val="00FE21A8"/>
    <w:rsid w:val="00FF1E9D"/>
    <w:rsid w:val="00FF48F6"/>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9AF4A11"/>
  <w15:docId w15:val="{E3D16812-3AEA-4FF6-8A62-53258C78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z w:val="24"/>
      <w:lang w:val="en-GB"/>
    </w:rPr>
  </w:style>
  <w:style w:type="character" w:styleId="PageNumber">
    <w:name w:val="page number"/>
    <w:basedOn w:val="DefaultParagraphFont"/>
  </w:style>
  <w:style w:type="paragraph" w:customStyle="1" w:styleId="Text">
    <w:name w:val="Text"/>
    <w:basedOn w:val="Normal"/>
    <w:pPr>
      <w:widowControl w:val="0"/>
    </w:pPr>
    <w:rPr>
      <w:sz w:val="24"/>
      <w:lang w:val="en-GB"/>
    </w:rPr>
  </w:style>
  <w:style w:type="paragraph" w:customStyle="1" w:styleId="Address">
    <w:name w:val="Address"/>
    <w:basedOn w:val="Normal"/>
    <w:pPr>
      <w:widowControl w:val="0"/>
      <w:jc w:val="center"/>
    </w:pPr>
    <w:rPr>
      <w:rFonts w:ascii="Arial" w:hAnsi="Arial"/>
      <w:sz w:val="18"/>
      <w:lang w:val="en-GB"/>
    </w:rPr>
  </w:style>
  <w:style w:type="paragraph" w:styleId="FootnoteText">
    <w:name w:val="footnote text"/>
    <w:basedOn w:val="Normal"/>
    <w:link w:val="FootnoteTextChar"/>
    <w:semiHidden/>
    <w:rsid w:val="00004A43"/>
    <w:rPr>
      <w:lang w:val="en-GB" w:eastAsia="en-GB"/>
    </w:rPr>
  </w:style>
  <w:style w:type="character" w:styleId="FootnoteReference">
    <w:name w:val="footnote reference"/>
    <w:basedOn w:val="DefaultParagraphFont"/>
    <w:uiPriority w:val="99"/>
    <w:semiHidden/>
    <w:rsid w:val="00004A43"/>
    <w:rPr>
      <w:vertAlign w:val="superscript"/>
    </w:rPr>
  </w:style>
  <w:style w:type="paragraph" w:styleId="Footer">
    <w:name w:val="footer"/>
    <w:basedOn w:val="Normal"/>
    <w:link w:val="FooterChar"/>
    <w:rsid w:val="002B559F"/>
    <w:pPr>
      <w:tabs>
        <w:tab w:val="center" w:pos="4680"/>
        <w:tab w:val="right" w:pos="9360"/>
      </w:tabs>
    </w:pPr>
  </w:style>
  <w:style w:type="character" w:customStyle="1" w:styleId="FooterChar">
    <w:name w:val="Footer Char"/>
    <w:basedOn w:val="DefaultParagraphFont"/>
    <w:link w:val="Footer"/>
    <w:rsid w:val="002B559F"/>
    <w:rPr>
      <w:lang w:eastAsia="ko-KR"/>
    </w:rPr>
  </w:style>
  <w:style w:type="paragraph" w:styleId="BalloonText">
    <w:name w:val="Balloon Text"/>
    <w:basedOn w:val="Normal"/>
    <w:link w:val="BalloonTextChar"/>
    <w:rsid w:val="00522B89"/>
    <w:rPr>
      <w:rFonts w:ascii="Tahoma" w:hAnsi="Tahoma" w:cs="Tahoma"/>
      <w:sz w:val="16"/>
      <w:szCs w:val="16"/>
    </w:rPr>
  </w:style>
  <w:style w:type="character" w:customStyle="1" w:styleId="BalloonTextChar">
    <w:name w:val="Balloon Text Char"/>
    <w:basedOn w:val="DefaultParagraphFont"/>
    <w:link w:val="BalloonText"/>
    <w:rsid w:val="00522B89"/>
    <w:rPr>
      <w:rFonts w:ascii="Tahoma" w:hAnsi="Tahoma" w:cs="Tahoma"/>
      <w:sz w:val="16"/>
      <w:szCs w:val="16"/>
      <w:lang w:eastAsia="ko-KR"/>
    </w:rPr>
  </w:style>
  <w:style w:type="paragraph" w:customStyle="1" w:styleId="Default">
    <w:name w:val="Default"/>
    <w:uiPriority w:val="99"/>
    <w:rsid w:val="00987CEB"/>
    <w:pPr>
      <w:autoSpaceDE w:val="0"/>
      <w:autoSpaceDN w:val="0"/>
      <w:adjustRightInd w:val="0"/>
    </w:pPr>
    <w:rPr>
      <w:rFonts w:ascii="Univers" w:eastAsia="Calibri" w:hAnsi="Univers" w:cs="Univers"/>
      <w:color w:val="000000"/>
      <w:sz w:val="24"/>
      <w:szCs w:val="24"/>
    </w:rPr>
  </w:style>
  <w:style w:type="paragraph" w:styleId="NoSpacing">
    <w:name w:val="No Spacing"/>
    <w:uiPriority w:val="99"/>
    <w:qFormat/>
    <w:rsid w:val="00987CEB"/>
    <w:rPr>
      <w:rFonts w:ascii="Calibri" w:eastAsia="Calibri" w:hAnsi="Calibri"/>
      <w:sz w:val="22"/>
      <w:szCs w:val="22"/>
    </w:rPr>
  </w:style>
  <w:style w:type="character" w:styleId="CommentReference">
    <w:name w:val="annotation reference"/>
    <w:basedOn w:val="DefaultParagraphFont"/>
    <w:rsid w:val="00E02EEC"/>
    <w:rPr>
      <w:sz w:val="16"/>
      <w:szCs w:val="16"/>
    </w:rPr>
  </w:style>
  <w:style w:type="paragraph" w:styleId="CommentText">
    <w:name w:val="annotation text"/>
    <w:basedOn w:val="Normal"/>
    <w:link w:val="CommentTextChar"/>
    <w:uiPriority w:val="99"/>
    <w:rsid w:val="00E02EEC"/>
  </w:style>
  <w:style w:type="character" w:customStyle="1" w:styleId="CommentTextChar">
    <w:name w:val="Comment Text Char"/>
    <w:basedOn w:val="DefaultParagraphFont"/>
    <w:link w:val="CommentText"/>
    <w:uiPriority w:val="99"/>
    <w:rsid w:val="00E02EEC"/>
    <w:rPr>
      <w:lang w:eastAsia="ko-KR"/>
    </w:rPr>
  </w:style>
  <w:style w:type="paragraph" w:styleId="CommentSubject">
    <w:name w:val="annotation subject"/>
    <w:basedOn w:val="CommentText"/>
    <w:next w:val="CommentText"/>
    <w:link w:val="CommentSubjectChar"/>
    <w:rsid w:val="00E02EEC"/>
    <w:rPr>
      <w:b/>
      <w:bCs/>
    </w:rPr>
  </w:style>
  <w:style w:type="character" w:customStyle="1" w:styleId="CommentSubjectChar">
    <w:name w:val="Comment Subject Char"/>
    <w:basedOn w:val="CommentTextChar"/>
    <w:link w:val="CommentSubject"/>
    <w:rsid w:val="00E02EEC"/>
    <w:rPr>
      <w:b/>
      <w:bCs/>
      <w:lang w:eastAsia="ko-KR"/>
    </w:rPr>
  </w:style>
  <w:style w:type="paragraph" w:styleId="ListParagraph">
    <w:name w:val="List Paragraph"/>
    <w:basedOn w:val="Normal"/>
    <w:uiPriority w:val="34"/>
    <w:qFormat/>
    <w:rsid w:val="005F2521"/>
    <w:pPr>
      <w:ind w:left="720"/>
      <w:contextualSpacing/>
    </w:pPr>
  </w:style>
  <w:style w:type="character" w:styleId="Hyperlink">
    <w:name w:val="Hyperlink"/>
    <w:basedOn w:val="DefaultParagraphFont"/>
    <w:rsid w:val="004A45C9"/>
    <w:rPr>
      <w:color w:val="0000FF" w:themeColor="hyperlink"/>
      <w:u w:val="single"/>
    </w:rPr>
  </w:style>
  <w:style w:type="paragraph" w:styleId="IntenseQuote">
    <w:name w:val="Intense Quote"/>
    <w:basedOn w:val="Normal"/>
    <w:next w:val="Normal"/>
    <w:link w:val="IntenseQuoteChar"/>
    <w:uiPriority w:val="30"/>
    <w:qFormat/>
    <w:rsid w:val="00A32727"/>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ja-JP"/>
    </w:rPr>
  </w:style>
  <w:style w:type="character" w:customStyle="1" w:styleId="IntenseQuoteChar">
    <w:name w:val="Intense Quote Char"/>
    <w:basedOn w:val="DefaultParagraphFont"/>
    <w:link w:val="IntenseQuote"/>
    <w:uiPriority w:val="30"/>
    <w:rsid w:val="00A32727"/>
    <w:rPr>
      <w:rFonts w:asciiTheme="minorHAnsi" w:eastAsiaTheme="minorEastAsia" w:hAnsiTheme="minorHAnsi" w:cstheme="minorBidi"/>
      <w:b/>
      <w:bCs/>
      <w:i/>
      <w:iCs/>
      <w:color w:val="4F81BD" w:themeColor="accent1"/>
      <w:sz w:val="22"/>
      <w:szCs w:val="22"/>
      <w:lang w:eastAsia="ja-JP"/>
    </w:rPr>
  </w:style>
  <w:style w:type="paragraph" w:styleId="Quote">
    <w:name w:val="Quote"/>
    <w:basedOn w:val="Normal"/>
    <w:next w:val="Normal"/>
    <w:link w:val="QuoteChar"/>
    <w:uiPriority w:val="29"/>
    <w:qFormat/>
    <w:rsid w:val="00D62995"/>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D62995"/>
    <w:rPr>
      <w:rFonts w:asciiTheme="minorHAnsi" w:eastAsiaTheme="minorEastAsia" w:hAnsiTheme="minorHAnsi" w:cstheme="minorBidi"/>
      <w:i/>
      <w:iCs/>
      <w:color w:val="000000" w:themeColor="text1"/>
      <w:sz w:val="22"/>
      <w:szCs w:val="22"/>
      <w:lang w:eastAsia="ja-JP"/>
    </w:rPr>
  </w:style>
  <w:style w:type="character" w:customStyle="1" w:styleId="FootnoteTextChar">
    <w:name w:val="Footnote Text Char"/>
    <w:basedOn w:val="DefaultParagraphFont"/>
    <w:link w:val="FootnoteText"/>
    <w:semiHidden/>
    <w:rsid w:val="00445F02"/>
    <w:rPr>
      <w:lang w:val="en-GB" w:eastAsia="en-GB"/>
    </w:rPr>
  </w:style>
  <w:style w:type="character" w:customStyle="1" w:styleId="UnresolvedMention">
    <w:name w:val="Unresolved Mention"/>
    <w:basedOn w:val="DefaultParagraphFont"/>
    <w:uiPriority w:val="99"/>
    <w:semiHidden/>
    <w:unhideWhenUsed/>
    <w:rsid w:val="00600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49168">
      <w:bodyDiv w:val="1"/>
      <w:marLeft w:val="0"/>
      <w:marRight w:val="0"/>
      <w:marTop w:val="0"/>
      <w:marBottom w:val="0"/>
      <w:divBdr>
        <w:top w:val="none" w:sz="0" w:space="0" w:color="auto"/>
        <w:left w:val="none" w:sz="0" w:space="0" w:color="auto"/>
        <w:bottom w:val="none" w:sz="0" w:space="0" w:color="auto"/>
        <w:right w:val="none" w:sz="0" w:space="0" w:color="auto"/>
      </w:divBdr>
    </w:div>
    <w:div w:id="677078369">
      <w:bodyDiv w:val="1"/>
      <w:marLeft w:val="0"/>
      <w:marRight w:val="0"/>
      <w:marTop w:val="0"/>
      <w:marBottom w:val="0"/>
      <w:divBdr>
        <w:top w:val="none" w:sz="0" w:space="0" w:color="auto"/>
        <w:left w:val="none" w:sz="0" w:space="0" w:color="auto"/>
        <w:bottom w:val="none" w:sz="0" w:space="0" w:color="auto"/>
        <w:right w:val="none" w:sz="0" w:space="0" w:color="auto"/>
      </w:divBdr>
    </w:div>
    <w:div w:id="162634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business-humanrights.org/sites/default/files/documents/freedoms-on-the-move-report_oct20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C6988C-1749-4335-B63E-86CA05B9AA09}">
  <ds:schemaRefs>
    <ds:schemaRef ds:uri="http://schemas.openxmlformats.org/officeDocument/2006/bibliography"/>
  </ds:schemaRefs>
</ds:datastoreItem>
</file>

<file path=customXml/itemProps2.xml><?xml version="1.0" encoding="utf-8"?>
<ds:datastoreItem xmlns:ds="http://schemas.openxmlformats.org/officeDocument/2006/customXml" ds:itemID="{C9D6AEB1-FB4D-40AD-A189-7F538CC9C804}"/>
</file>

<file path=customXml/itemProps3.xml><?xml version="1.0" encoding="utf-8"?>
<ds:datastoreItem xmlns:ds="http://schemas.openxmlformats.org/officeDocument/2006/customXml" ds:itemID="{2A6C5E89-96CC-432A-81C4-7D2BA5637565}"/>
</file>

<file path=customXml/itemProps4.xml><?xml version="1.0" encoding="utf-8"?>
<ds:datastoreItem xmlns:ds="http://schemas.openxmlformats.org/officeDocument/2006/customXml" ds:itemID="{3338D377-EB44-4A05-AF32-D860A8F0F094}"/>
</file>

<file path=docProps/app.xml><?xml version="1.0" encoding="utf-8"?>
<Properties xmlns="http://schemas.openxmlformats.org/officeDocument/2006/extended-properties" xmlns:vt="http://schemas.openxmlformats.org/officeDocument/2006/docPropsVTypes">
  <Template>Normal.dotm</Template>
  <TotalTime>1</TotalTime>
  <Pages>4</Pages>
  <Words>1463</Words>
  <Characters>8495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COMMITTEE ON THE RIGHTS OF THE CHILD</vt:lpstr>
    </vt:vector>
  </TitlesOfParts>
  <Company>IOM</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THE RIGHTS OF THE CHILD</dc:title>
  <dc:subject/>
  <dc:creator>DUFVENMARK Fanny</dc:creator>
  <cp:keywords/>
  <dc:description/>
  <cp:lastModifiedBy>ROSNIANSKY Cherry Lou</cp:lastModifiedBy>
  <cp:revision>2</cp:revision>
  <dcterms:created xsi:type="dcterms:W3CDTF">2020-03-05T14:40:00Z</dcterms:created>
  <dcterms:modified xsi:type="dcterms:W3CDTF">2020-03-05T14:40:00Z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