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346D9" w14:textId="77777777" w:rsidR="00A81B56" w:rsidRPr="00373874" w:rsidRDefault="00A81B56" w:rsidP="00A81B56">
      <w:pPr>
        <w:pStyle w:val="Normal1"/>
        <w:spacing w:line="276" w:lineRule="auto"/>
        <w:rPr>
          <w:color w:val="000000" w:themeColor="text1"/>
          <w:lang w:val="en-GB"/>
        </w:rPr>
      </w:pPr>
      <w:bookmarkStart w:id="0" w:name="_GoBack"/>
      <w:bookmarkEnd w:id="0"/>
    </w:p>
    <w:p w14:paraId="35A1AB67" w14:textId="77777777" w:rsidR="00A81B56" w:rsidRPr="00373874" w:rsidRDefault="00A81B56" w:rsidP="00A81B56">
      <w:pPr>
        <w:pStyle w:val="Subtitle"/>
        <w:ind w:left="-141"/>
        <w:jc w:val="center"/>
        <w:rPr>
          <w:color w:val="000000" w:themeColor="text1"/>
          <w:sz w:val="24"/>
          <w:szCs w:val="24"/>
          <w:lang w:val="en-GB"/>
        </w:rPr>
      </w:pPr>
    </w:p>
    <w:p w14:paraId="16396D95" w14:textId="63826C59" w:rsidR="00F67317" w:rsidRDefault="00D324EC" w:rsidP="00A81B56">
      <w:pPr>
        <w:pStyle w:val="Subtitle"/>
        <w:ind w:left="-141"/>
        <w:jc w:val="center"/>
        <w:rPr>
          <w:color w:val="000000" w:themeColor="text1"/>
          <w:sz w:val="24"/>
          <w:szCs w:val="24"/>
          <w:lang w:val="en-GB"/>
        </w:rPr>
      </w:pPr>
      <w:r>
        <w:rPr>
          <w:color w:val="000000" w:themeColor="text1"/>
          <w:sz w:val="24"/>
          <w:szCs w:val="24"/>
          <w:lang w:val="en-GB"/>
        </w:rPr>
        <w:t>Observations</w:t>
      </w:r>
      <w:r w:rsidR="002C559A" w:rsidRPr="002C559A">
        <w:rPr>
          <w:color w:val="000000" w:themeColor="text1"/>
          <w:sz w:val="24"/>
          <w:szCs w:val="24"/>
          <w:lang w:val="en-GB"/>
        </w:rPr>
        <w:t xml:space="preserve"> on the Human Rights Committee’s Draft General Comment </w:t>
      </w:r>
      <w:proofErr w:type="spellStart"/>
      <w:r w:rsidR="002C559A" w:rsidRPr="002C559A">
        <w:rPr>
          <w:color w:val="000000" w:themeColor="text1"/>
          <w:sz w:val="24"/>
          <w:szCs w:val="24"/>
          <w:lang w:val="en-GB"/>
        </w:rPr>
        <w:t>n</w:t>
      </w:r>
      <w:proofErr w:type="spellEnd"/>
      <w:r w:rsidR="002C559A" w:rsidRPr="002C559A">
        <w:rPr>
          <w:color w:val="000000" w:themeColor="text1"/>
          <w:sz w:val="24"/>
          <w:szCs w:val="24"/>
          <w:lang w:val="en-GB"/>
        </w:rPr>
        <w:t xml:space="preserve">°37 </w:t>
      </w:r>
    </w:p>
    <w:p w14:paraId="342DAB78" w14:textId="77777777" w:rsidR="00A81B56" w:rsidRPr="00373874" w:rsidRDefault="002C559A" w:rsidP="00F67317">
      <w:pPr>
        <w:pStyle w:val="Subtitle"/>
        <w:ind w:left="-141"/>
        <w:jc w:val="center"/>
        <w:rPr>
          <w:color w:val="000000" w:themeColor="text1"/>
          <w:sz w:val="24"/>
          <w:szCs w:val="24"/>
          <w:lang w:val="en-GB"/>
        </w:rPr>
      </w:pPr>
      <w:proofErr w:type="gramStart"/>
      <w:r w:rsidRPr="002C559A">
        <w:rPr>
          <w:color w:val="000000" w:themeColor="text1"/>
          <w:sz w:val="24"/>
          <w:szCs w:val="24"/>
          <w:lang w:val="en-GB"/>
        </w:rPr>
        <w:t>on</w:t>
      </w:r>
      <w:proofErr w:type="gramEnd"/>
      <w:r w:rsidRPr="002C559A">
        <w:rPr>
          <w:color w:val="000000" w:themeColor="text1"/>
          <w:sz w:val="24"/>
          <w:szCs w:val="24"/>
          <w:lang w:val="en-GB"/>
        </w:rPr>
        <w:t xml:space="preserve"> Article 21: Right of Peac</w:t>
      </w:r>
      <w:r>
        <w:rPr>
          <w:color w:val="000000" w:themeColor="text1"/>
          <w:sz w:val="24"/>
          <w:szCs w:val="24"/>
          <w:lang w:val="en-GB"/>
        </w:rPr>
        <w:t>e</w:t>
      </w:r>
      <w:r w:rsidRPr="002C559A">
        <w:rPr>
          <w:color w:val="000000" w:themeColor="text1"/>
          <w:sz w:val="24"/>
          <w:szCs w:val="24"/>
          <w:lang w:val="en-GB"/>
        </w:rPr>
        <w:t>ful Assembly</w:t>
      </w:r>
    </w:p>
    <w:p w14:paraId="5717F93A" w14:textId="77777777" w:rsidR="00A81B56" w:rsidRPr="00373874" w:rsidRDefault="00A81B56" w:rsidP="00A81B56">
      <w:pPr>
        <w:pStyle w:val="Normal1"/>
        <w:spacing w:line="276" w:lineRule="auto"/>
        <w:rPr>
          <w:color w:val="000000" w:themeColor="text1"/>
          <w:sz w:val="22"/>
          <w:szCs w:val="22"/>
          <w:lang w:val="en-GB"/>
        </w:rPr>
      </w:pPr>
    </w:p>
    <w:p w14:paraId="4DC10FB8" w14:textId="77777777" w:rsidR="00A81B56" w:rsidRPr="00373874" w:rsidRDefault="00A81B56" w:rsidP="00A81B56">
      <w:pPr>
        <w:pStyle w:val="Normal1"/>
        <w:spacing w:line="276" w:lineRule="auto"/>
        <w:jc w:val="center"/>
        <w:rPr>
          <w:color w:val="000000" w:themeColor="text1"/>
          <w:sz w:val="22"/>
          <w:szCs w:val="22"/>
          <w:lang w:val="en-GB"/>
        </w:rPr>
      </w:pPr>
      <w:r w:rsidRPr="00373874">
        <w:rPr>
          <w:color w:val="000000" w:themeColor="text1"/>
          <w:sz w:val="22"/>
          <w:szCs w:val="22"/>
          <w:lang w:val="en-GB"/>
        </w:rPr>
        <w:t xml:space="preserve">Elsa </w:t>
      </w:r>
      <w:proofErr w:type="spellStart"/>
      <w:r w:rsidRPr="00373874">
        <w:rPr>
          <w:color w:val="000000" w:themeColor="text1"/>
          <w:sz w:val="22"/>
          <w:szCs w:val="22"/>
          <w:lang w:val="en-GB"/>
        </w:rPr>
        <w:t>Bohne</w:t>
      </w:r>
      <w:proofErr w:type="spellEnd"/>
      <w:r w:rsidRPr="00373874">
        <w:rPr>
          <w:color w:val="000000" w:themeColor="text1"/>
          <w:sz w:val="22"/>
          <w:szCs w:val="22"/>
          <w:lang w:val="en-GB"/>
        </w:rPr>
        <w:t xml:space="preserve">, Anna </w:t>
      </w:r>
      <w:proofErr w:type="spellStart"/>
      <w:r w:rsidRPr="00373874">
        <w:rPr>
          <w:color w:val="000000" w:themeColor="text1"/>
          <w:sz w:val="22"/>
          <w:szCs w:val="22"/>
          <w:lang w:val="en-GB"/>
        </w:rPr>
        <w:t>Hertkorn</w:t>
      </w:r>
      <w:proofErr w:type="spellEnd"/>
      <w:r w:rsidRPr="00373874">
        <w:rPr>
          <w:color w:val="000000" w:themeColor="text1"/>
          <w:sz w:val="22"/>
          <w:szCs w:val="22"/>
          <w:lang w:val="en-GB"/>
        </w:rPr>
        <w:t xml:space="preserve">, </w:t>
      </w:r>
      <w:proofErr w:type="spellStart"/>
      <w:r w:rsidRPr="00373874">
        <w:rPr>
          <w:color w:val="000000" w:themeColor="text1"/>
          <w:sz w:val="22"/>
          <w:szCs w:val="22"/>
          <w:lang w:val="en-GB"/>
        </w:rPr>
        <w:t>Roula</w:t>
      </w:r>
      <w:proofErr w:type="spellEnd"/>
      <w:r w:rsidRPr="00373874">
        <w:rPr>
          <w:color w:val="000000" w:themeColor="text1"/>
          <w:sz w:val="22"/>
          <w:szCs w:val="22"/>
          <w:lang w:val="en-GB"/>
        </w:rPr>
        <w:t xml:space="preserve"> </w:t>
      </w:r>
      <w:proofErr w:type="spellStart"/>
      <w:r w:rsidRPr="00373874">
        <w:rPr>
          <w:color w:val="000000" w:themeColor="text1"/>
          <w:sz w:val="22"/>
          <w:szCs w:val="22"/>
          <w:lang w:val="en-GB"/>
        </w:rPr>
        <w:t>Mamlouk</w:t>
      </w:r>
      <w:proofErr w:type="spellEnd"/>
      <w:r w:rsidRPr="00373874">
        <w:rPr>
          <w:color w:val="000000" w:themeColor="text1"/>
          <w:sz w:val="22"/>
          <w:szCs w:val="22"/>
          <w:lang w:val="en-GB"/>
        </w:rPr>
        <w:t xml:space="preserve">, Alena </w:t>
      </w:r>
      <w:proofErr w:type="spellStart"/>
      <w:r w:rsidRPr="00373874">
        <w:rPr>
          <w:color w:val="000000" w:themeColor="text1"/>
          <w:sz w:val="22"/>
          <w:szCs w:val="22"/>
          <w:lang w:val="en-GB"/>
        </w:rPr>
        <w:t>Vasilchenko</w:t>
      </w:r>
      <w:proofErr w:type="spellEnd"/>
      <w:r w:rsidRPr="00373874">
        <w:rPr>
          <w:color w:val="000000" w:themeColor="text1"/>
          <w:sz w:val="22"/>
          <w:szCs w:val="22"/>
          <w:vertAlign w:val="superscript"/>
          <w:lang w:val="en-GB"/>
        </w:rPr>
        <w:footnoteReference w:id="1"/>
      </w:r>
    </w:p>
    <w:p w14:paraId="0284E408" w14:textId="77777777" w:rsidR="00CC6499" w:rsidRDefault="00CC6499" w:rsidP="00CC6499">
      <w:pPr>
        <w:pStyle w:val="Normal1"/>
        <w:spacing w:line="275" w:lineRule="auto"/>
        <w:rPr>
          <w:color w:val="000000" w:themeColor="text1"/>
          <w:sz w:val="22"/>
          <w:szCs w:val="22"/>
          <w:lang w:val="en-GB"/>
        </w:rPr>
      </w:pPr>
    </w:p>
    <w:p w14:paraId="3F2CC6BF" w14:textId="77777777" w:rsidR="00CC6499" w:rsidRDefault="00CC6499" w:rsidP="00CC6499">
      <w:pPr>
        <w:pStyle w:val="Normal1"/>
        <w:spacing w:line="275" w:lineRule="auto"/>
        <w:rPr>
          <w:color w:val="000000" w:themeColor="text1"/>
          <w:sz w:val="22"/>
          <w:szCs w:val="22"/>
          <w:lang w:val="en-GB"/>
        </w:rPr>
      </w:pPr>
    </w:p>
    <w:p w14:paraId="33D15DF0" w14:textId="77777777" w:rsidR="00CC6499" w:rsidRDefault="00CC6499" w:rsidP="00CC6499">
      <w:pPr>
        <w:pStyle w:val="Normal1"/>
        <w:spacing w:line="275" w:lineRule="auto"/>
        <w:rPr>
          <w:color w:val="000000" w:themeColor="text1"/>
          <w:sz w:val="22"/>
          <w:szCs w:val="22"/>
          <w:lang w:val="en-GB"/>
        </w:rPr>
      </w:pPr>
    </w:p>
    <w:p w14:paraId="020D94C9" w14:textId="77777777" w:rsidR="00CC6499" w:rsidRDefault="00CC6499" w:rsidP="00CC6499">
      <w:pPr>
        <w:pStyle w:val="Normal1"/>
        <w:spacing w:line="275" w:lineRule="auto"/>
        <w:rPr>
          <w:color w:val="000000" w:themeColor="text1"/>
          <w:sz w:val="22"/>
          <w:szCs w:val="22"/>
          <w:lang w:val="en-GB"/>
        </w:rPr>
      </w:pPr>
    </w:p>
    <w:p w14:paraId="5E119944" w14:textId="77777777" w:rsidR="00CC6499" w:rsidRDefault="00CC6499" w:rsidP="00CC6499">
      <w:pPr>
        <w:pStyle w:val="Normal1"/>
        <w:spacing w:line="275" w:lineRule="auto"/>
        <w:rPr>
          <w:color w:val="000000" w:themeColor="text1"/>
          <w:sz w:val="22"/>
          <w:szCs w:val="22"/>
          <w:lang w:val="en-GB"/>
        </w:rPr>
      </w:pPr>
    </w:p>
    <w:p w14:paraId="6431B306" w14:textId="77777777" w:rsidR="00CC6499" w:rsidRPr="00CC6499" w:rsidRDefault="00CC6499" w:rsidP="00CC6499">
      <w:pPr>
        <w:pStyle w:val="Normal1"/>
        <w:spacing w:line="275" w:lineRule="auto"/>
        <w:rPr>
          <w:b/>
          <w:color w:val="000000" w:themeColor="text1"/>
          <w:szCs w:val="22"/>
          <w:lang w:val="en-GB"/>
        </w:rPr>
      </w:pPr>
      <w:r w:rsidRPr="00CC6499">
        <w:rPr>
          <w:b/>
          <w:color w:val="000000" w:themeColor="text1"/>
          <w:szCs w:val="22"/>
          <w:lang w:val="en-GB"/>
        </w:rPr>
        <w:t>Table of contents</w:t>
      </w:r>
    </w:p>
    <w:p w14:paraId="61ADDE8B" w14:textId="77777777" w:rsidR="00CC6499" w:rsidRDefault="00CC6499" w:rsidP="00CC6499">
      <w:pPr>
        <w:pStyle w:val="Normal1"/>
        <w:spacing w:line="275" w:lineRule="auto"/>
        <w:rPr>
          <w:color w:val="000000" w:themeColor="text1"/>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695"/>
      </w:tblGrid>
      <w:tr w:rsidR="00CC6499" w:rsidRPr="00D0665C" w14:paraId="52C7665E" w14:textId="77777777" w:rsidTr="00D0665C">
        <w:tc>
          <w:tcPr>
            <w:tcW w:w="8359" w:type="dxa"/>
          </w:tcPr>
          <w:p w14:paraId="663F73E1" w14:textId="77777777" w:rsidR="00CC6499" w:rsidRPr="00D0665C" w:rsidRDefault="00CC6499" w:rsidP="00CC6499">
            <w:pPr>
              <w:pStyle w:val="Normal1"/>
              <w:numPr>
                <w:ilvl w:val="0"/>
                <w:numId w:val="13"/>
              </w:numPr>
              <w:spacing w:line="360" w:lineRule="auto"/>
              <w:jc w:val="both"/>
              <w:rPr>
                <w:b/>
                <w:color w:val="000000" w:themeColor="text1"/>
                <w:sz w:val="22"/>
                <w:szCs w:val="22"/>
                <w:lang w:val="en-GB"/>
              </w:rPr>
            </w:pPr>
            <w:r w:rsidRPr="00D0665C">
              <w:rPr>
                <w:b/>
                <w:color w:val="000000" w:themeColor="text1"/>
                <w:sz w:val="22"/>
                <w:szCs w:val="22"/>
                <w:lang w:val="en-GB"/>
              </w:rPr>
              <w:t>General remarks</w:t>
            </w:r>
          </w:p>
        </w:tc>
        <w:tc>
          <w:tcPr>
            <w:tcW w:w="695" w:type="dxa"/>
          </w:tcPr>
          <w:p w14:paraId="2B4D6278" w14:textId="77777777" w:rsidR="00CC6499" w:rsidRPr="00D0665C" w:rsidRDefault="00D0665C" w:rsidP="00CC6499">
            <w:pPr>
              <w:pStyle w:val="Normal1"/>
              <w:spacing w:line="360" w:lineRule="auto"/>
              <w:jc w:val="center"/>
              <w:rPr>
                <w:b/>
                <w:color w:val="000000" w:themeColor="text1"/>
                <w:sz w:val="22"/>
                <w:szCs w:val="22"/>
                <w:lang w:val="en-GB"/>
              </w:rPr>
            </w:pPr>
            <w:r>
              <w:rPr>
                <w:b/>
                <w:color w:val="000000" w:themeColor="text1"/>
                <w:sz w:val="22"/>
                <w:szCs w:val="22"/>
                <w:lang w:val="en-GB"/>
              </w:rPr>
              <w:t>2</w:t>
            </w:r>
          </w:p>
        </w:tc>
      </w:tr>
      <w:tr w:rsidR="00CC6499" w14:paraId="408C383C" w14:textId="77777777" w:rsidTr="00D0665C">
        <w:tc>
          <w:tcPr>
            <w:tcW w:w="8359" w:type="dxa"/>
          </w:tcPr>
          <w:p w14:paraId="46AEF6A5" w14:textId="77777777" w:rsidR="00CC6499" w:rsidRPr="00CC6499" w:rsidRDefault="00CC6499" w:rsidP="00CC6499">
            <w:pPr>
              <w:pStyle w:val="Normal1"/>
              <w:spacing w:line="360" w:lineRule="auto"/>
              <w:ind w:left="397"/>
              <w:jc w:val="both"/>
              <w:rPr>
                <w:color w:val="000000" w:themeColor="text1"/>
                <w:sz w:val="22"/>
                <w:szCs w:val="22"/>
                <w:lang w:val="en-GB"/>
              </w:rPr>
            </w:pPr>
            <w:r w:rsidRPr="00373874">
              <w:rPr>
                <w:i/>
                <w:color w:val="000000" w:themeColor="text1"/>
                <w:sz w:val="22"/>
                <w:szCs w:val="22"/>
                <w:lang w:val="en-GB"/>
              </w:rPr>
              <w:t>A needed clarification concerning the beneficiaries of the right of peaceful assembly</w:t>
            </w:r>
          </w:p>
        </w:tc>
        <w:tc>
          <w:tcPr>
            <w:tcW w:w="695" w:type="dxa"/>
          </w:tcPr>
          <w:p w14:paraId="4138F142" w14:textId="77777777" w:rsidR="00CC6499" w:rsidRDefault="00D0665C" w:rsidP="00CC6499">
            <w:pPr>
              <w:pStyle w:val="Normal1"/>
              <w:spacing w:line="360" w:lineRule="auto"/>
              <w:jc w:val="center"/>
              <w:rPr>
                <w:color w:val="000000" w:themeColor="text1"/>
                <w:sz w:val="22"/>
                <w:szCs w:val="22"/>
                <w:lang w:val="en-GB"/>
              </w:rPr>
            </w:pPr>
            <w:r>
              <w:rPr>
                <w:color w:val="000000" w:themeColor="text1"/>
                <w:sz w:val="22"/>
                <w:szCs w:val="22"/>
                <w:lang w:val="en-GB"/>
              </w:rPr>
              <w:t>2</w:t>
            </w:r>
          </w:p>
        </w:tc>
      </w:tr>
      <w:tr w:rsidR="00CC6499" w14:paraId="33C6D6D1" w14:textId="77777777" w:rsidTr="00D0665C">
        <w:trPr>
          <w:trHeight w:val="664"/>
        </w:trPr>
        <w:tc>
          <w:tcPr>
            <w:tcW w:w="8359" w:type="dxa"/>
          </w:tcPr>
          <w:p w14:paraId="5E5625AB" w14:textId="77777777" w:rsidR="00CC6499" w:rsidRPr="00CC6499" w:rsidRDefault="00CC6499" w:rsidP="00D0665C">
            <w:pPr>
              <w:pStyle w:val="Normal1"/>
              <w:spacing w:line="360" w:lineRule="auto"/>
              <w:ind w:left="397"/>
              <w:jc w:val="both"/>
              <w:rPr>
                <w:color w:val="000000" w:themeColor="text1"/>
                <w:sz w:val="22"/>
                <w:szCs w:val="22"/>
                <w:lang w:val="en-GB"/>
              </w:rPr>
            </w:pPr>
            <w:r w:rsidRPr="00373874">
              <w:rPr>
                <w:i/>
                <w:color w:val="000000" w:themeColor="text1"/>
                <w:sz w:val="22"/>
                <w:szCs w:val="22"/>
                <w:lang w:val="en-GB"/>
              </w:rPr>
              <w:t>A necessary harmonisation of the terminology: on the notions of “accessibility” and “public space”</w:t>
            </w:r>
          </w:p>
        </w:tc>
        <w:tc>
          <w:tcPr>
            <w:tcW w:w="695" w:type="dxa"/>
          </w:tcPr>
          <w:p w14:paraId="29F00317" w14:textId="77777777" w:rsidR="00D0665C" w:rsidRDefault="00D0665C" w:rsidP="00D0665C">
            <w:pPr>
              <w:pStyle w:val="Normal1"/>
              <w:spacing w:line="360" w:lineRule="auto"/>
              <w:jc w:val="center"/>
              <w:rPr>
                <w:color w:val="000000" w:themeColor="text1"/>
                <w:sz w:val="22"/>
                <w:szCs w:val="22"/>
                <w:lang w:val="en-GB"/>
              </w:rPr>
            </w:pPr>
          </w:p>
          <w:p w14:paraId="77B34765" w14:textId="77777777" w:rsidR="00D0665C" w:rsidRDefault="00D0665C" w:rsidP="00D0665C">
            <w:pPr>
              <w:pStyle w:val="Normal1"/>
              <w:spacing w:line="360" w:lineRule="auto"/>
              <w:jc w:val="center"/>
              <w:rPr>
                <w:color w:val="000000" w:themeColor="text1"/>
                <w:sz w:val="22"/>
                <w:szCs w:val="22"/>
                <w:lang w:val="en-GB"/>
              </w:rPr>
            </w:pPr>
            <w:r>
              <w:rPr>
                <w:color w:val="000000" w:themeColor="text1"/>
                <w:sz w:val="22"/>
                <w:szCs w:val="22"/>
                <w:lang w:val="en-GB"/>
              </w:rPr>
              <w:t>3</w:t>
            </w:r>
          </w:p>
        </w:tc>
      </w:tr>
      <w:tr w:rsidR="00CC6499" w14:paraId="091FB4AA" w14:textId="77777777" w:rsidTr="00D0665C">
        <w:tc>
          <w:tcPr>
            <w:tcW w:w="8359" w:type="dxa"/>
          </w:tcPr>
          <w:p w14:paraId="6E2BE3C5" w14:textId="77777777" w:rsidR="00CC6499" w:rsidRPr="00373874" w:rsidRDefault="00CC6499" w:rsidP="00CC6499">
            <w:pPr>
              <w:pStyle w:val="Normal1"/>
              <w:spacing w:line="360" w:lineRule="auto"/>
              <w:ind w:left="397"/>
              <w:jc w:val="both"/>
              <w:rPr>
                <w:i/>
                <w:color w:val="000000" w:themeColor="text1"/>
                <w:sz w:val="22"/>
                <w:szCs w:val="22"/>
                <w:lang w:val="en-GB"/>
              </w:rPr>
            </w:pPr>
            <w:r w:rsidRPr="00373874">
              <w:rPr>
                <w:i/>
                <w:color w:val="000000" w:themeColor="text1"/>
                <w:sz w:val="22"/>
                <w:szCs w:val="22"/>
                <w:lang w:val="en-GB"/>
              </w:rPr>
              <w:t>Redundancy</w:t>
            </w:r>
          </w:p>
        </w:tc>
        <w:tc>
          <w:tcPr>
            <w:tcW w:w="695" w:type="dxa"/>
          </w:tcPr>
          <w:p w14:paraId="24CDE039" w14:textId="77777777" w:rsidR="00CC6499" w:rsidRDefault="00D0665C" w:rsidP="00CC6499">
            <w:pPr>
              <w:pStyle w:val="Normal1"/>
              <w:spacing w:line="360" w:lineRule="auto"/>
              <w:jc w:val="center"/>
              <w:rPr>
                <w:color w:val="000000" w:themeColor="text1"/>
                <w:sz w:val="22"/>
                <w:szCs w:val="22"/>
                <w:lang w:val="en-GB"/>
              </w:rPr>
            </w:pPr>
            <w:r>
              <w:rPr>
                <w:color w:val="000000" w:themeColor="text1"/>
                <w:sz w:val="22"/>
                <w:szCs w:val="22"/>
                <w:lang w:val="en-GB"/>
              </w:rPr>
              <w:t>3</w:t>
            </w:r>
          </w:p>
        </w:tc>
      </w:tr>
      <w:tr w:rsidR="00CC6499" w:rsidRPr="00D0665C" w14:paraId="298B075A" w14:textId="77777777" w:rsidTr="00D0665C">
        <w:tc>
          <w:tcPr>
            <w:tcW w:w="8359" w:type="dxa"/>
          </w:tcPr>
          <w:p w14:paraId="20629BF3" w14:textId="77777777" w:rsidR="00CC6499" w:rsidRPr="00D0665C" w:rsidRDefault="00CC6499" w:rsidP="00CC6499">
            <w:pPr>
              <w:pStyle w:val="Normal1"/>
              <w:numPr>
                <w:ilvl w:val="0"/>
                <w:numId w:val="13"/>
              </w:numPr>
              <w:spacing w:line="360" w:lineRule="auto"/>
              <w:jc w:val="both"/>
              <w:rPr>
                <w:b/>
                <w:color w:val="000000" w:themeColor="text1"/>
                <w:sz w:val="22"/>
                <w:szCs w:val="22"/>
                <w:lang w:val="en-GB"/>
              </w:rPr>
            </w:pPr>
            <w:r w:rsidRPr="00D0665C">
              <w:rPr>
                <w:b/>
                <w:color w:val="000000" w:themeColor="text1"/>
                <w:sz w:val="22"/>
                <w:szCs w:val="22"/>
                <w:lang w:val="en-GB"/>
              </w:rPr>
              <w:t>Relationship between article 20 and article 21 of the Covenant</w:t>
            </w:r>
          </w:p>
        </w:tc>
        <w:tc>
          <w:tcPr>
            <w:tcW w:w="695" w:type="dxa"/>
          </w:tcPr>
          <w:p w14:paraId="020589FB" w14:textId="77777777" w:rsidR="00CC6499" w:rsidRPr="00D0665C" w:rsidRDefault="001D0565" w:rsidP="00CC6499">
            <w:pPr>
              <w:pStyle w:val="Normal1"/>
              <w:spacing w:line="360" w:lineRule="auto"/>
              <w:jc w:val="center"/>
              <w:rPr>
                <w:b/>
                <w:color w:val="000000" w:themeColor="text1"/>
                <w:sz w:val="22"/>
                <w:szCs w:val="22"/>
                <w:lang w:val="en-GB"/>
              </w:rPr>
            </w:pPr>
            <w:r>
              <w:rPr>
                <w:b/>
                <w:color w:val="000000" w:themeColor="text1"/>
                <w:sz w:val="22"/>
                <w:szCs w:val="22"/>
                <w:lang w:val="en-GB"/>
              </w:rPr>
              <w:t>3</w:t>
            </w:r>
          </w:p>
        </w:tc>
      </w:tr>
      <w:tr w:rsidR="00CC6499" w14:paraId="229E5179" w14:textId="77777777" w:rsidTr="00D0665C">
        <w:tc>
          <w:tcPr>
            <w:tcW w:w="8359" w:type="dxa"/>
          </w:tcPr>
          <w:p w14:paraId="55A5BEC5" w14:textId="77777777" w:rsidR="00CC6499" w:rsidRPr="00CC6499" w:rsidRDefault="00CC6499" w:rsidP="00CC6499">
            <w:pPr>
              <w:pStyle w:val="Normal1"/>
              <w:spacing w:line="360" w:lineRule="auto"/>
              <w:ind w:left="397"/>
              <w:jc w:val="both"/>
              <w:rPr>
                <w:color w:val="000000" w:themeColor="text1"/>
                <w:sz w:val="22"/>
                <w:szCs w:val="22"/>
                <w:lang w:val="en-GB"/>
              </w:rPr>
            </w:pPr>
            <w:r w:rsidRPr="00373874">
              <w:rPr>
                <w:i/>
                <w:color w:val="000000" w:themeColor="text1"/>
                <w:sz w:val="22"/>
                <w:szCs w:val="22"/>
                <w:lang w:val="en-GB"/>
              </w:rPr>
              <w:t>Article 20 as an exclusion of the assembly from the protection of article 21</w:t>
            </w:r>
          </w:p>
        </w:tc>
        <w:tc>
          <w:tcPr>
            <w:tcW w:w="695" w:type="dxa"/>
          </w:tcPr>
          <w:p w14:paraId="52946973" w14:textId="77777777" w:rsidR="00CC6499" w:rsidRDefault="00D0665C" w:rsidP="00CC6499">
            <w:pPr>
              <w:pStyle w:val="Normal1"/>
              <w:spacing w:line="360" w:lineRule="auto"/>
              <w:jc w:val="center"/>
              <w:rPr>
                <w:color w:val="000000" w:themeColor="text1"/>
                <w:sz w:val="22"/>
                <w:szCs w:val="22"/>
                <w:lang w:val="en-GB"/>
              </w:rPr>
            </w:pPr>
            <w:r>
              <w:rPr>
                <w:color w:val="000000" w:themeColor="text1"/>
                <w:sz w:val="22"/>
                <w:szCs w:val="22"/>
                <w:lang w:val="en-GB"/>
              </w:rPr>
              <w:t>4</w:t>
            </w:r>
          </w:p>
        </w:tc>
      </w:tr>
      <w:tr w:rsidR="00CC6499" w14:paraId="47355E88" w14:textId="77777777" w:rsidTr="00D0665C">
        <w:tc>
          <w:tcPr>
            <w:tcW w:w="8359" w:type="dxa"/>
          </w:tcPr>
          <w:p w14:paraId="2EA849A1" w14:textId="77777777" w:rsidR="00CC6499" w:rsidRPr="00373874" w:rsidRDefault="00CC6499" w:rsidP="00CC6499">
            <w:pPr>
              <w:pStyle w:val="Normal1"/>
              <w:spacing w:line="360" w:lineRule="auto"/>
              <w:ind w:left="397"/>
              <w:jc w:val="both"/>
              <w:rPr>
                <w:i/>
                <w:color w:val="000000" w:themeColor="text1"/>
                <w:sz w:val="22"/>
                <w:szCs w:val="22"/>
                <w:lang w:val="en-GB"/>
              </w:rPr>
            </w:pPr>
            <w:r w:rsidRPr="00373874">
              <w:rPr>
                <w:i/>
                <w:color w:val="000000" w:themeColor="text1"/>
                <w:sz w:val="22"/>
                <w:szCs w:val="22"/>
                <w:lang w:val="en-GB"/>
              </w:rPr>
              <w:t>Article 20 as a restriction to the right of peaceful assembly</w:t>
            </w:r>
          </w:p>
        </w:tc>
        <w:tc>
          <w:tcPr>
            <w:tcW w:w="695" w:type="dxa"/>
          </w:tcPr>
          <w:p w14:paraId="091D6196" w14:textId="77777777" w:rsidR="00CC6499" w:rsidRDefault="00D0665C" w:rsidP="00CC6499">
            <w:pPr>
              <w:pStyle w:val="Normal1"/>
              <w:spacing w:line="360" w:lineRule="auto"/>
              <w:jc w:val="center"/>
              <w:rPr>
                <w:color w:val="000000" w:themeColor="text1"/>
                <w:sz w:val="22"/>
                <w:szCs w:val="22"/>
                <w:lang w:val="en-GB"/>
              </w:rPr>
            </w:pPr>
            <w:r>
              <w:rPr>
                <w:color w:val="000000" w:themeColor="text1"/>
                <w:sz w:val="22"/>
                <w:szCs w:val="22"/>
                <w:lang w:val="en-GB"/>
              </w:rPr>
              <w:t>5</w:t>
            </w:r>
          </w:p>
        </w:tc>
      </w:tr>
      <w:tr w:rsidR="00CC6499" w:rsidRPr="00D0665C" w14:paraId="1CB610CA" w14:textId="77777777" w:rsidTr="00D0665C">
        <w:tc>
          <w:tcPr>
            <w:tcW w:w="8359" w:type="dxa"/>
          </w:tcPr>
          <w:p w14:paraId="6578533B" w14:textId="77777777" w:rsidR="00CC6499" w:rsidRPr="00D0665C" w:rsidRDefault="00CC6499" w:rsidP="00CC6499">
            <w:pPr>
              <w:pStyle w:val="Normal1"/>
              <w:numPr>
                <w:ilvl w:val="0"/>
                <w:numId w:val="13"/>
              </w:numPr>
              <w:spacing w:line="360" w:lineRule="auto"/>
              <w:jc w:val="both"/>
              <w:rPr>
                <w:b/>
                <w:color w:val="000000" w:themeColor="text1"/>
                <w:sz w:val="22"/>
                <w:szCs w:val="22"/>
                <w:lang w:val="en-GB"/>
              </w:rPr>
            </w:pPr>
            <w:r w:rsidRPr="00D0665C">
              <w:rPr>
                <w:b/>
                <w:color w:val="000000" w:themeColor="text1"/>
                <w:sz w:val="22"/>
                <w:szCs w:val="22"/>
                <w:lang w:val="en-GB"/>
              </w:rPr>
              <w:t>Status of journalists and observers</w:t>
            </w:r>
          </w:p>
        </w:tc>
        <w:tc>
          <w:tcPr>
            <w:tcW w:w="695" w:type="dxa"/>
          </w:tcPr>
          <w:p w14:paraId="541DF7BE" w14:textId="77777777" w:rsidR="00CC6499" w:rsidRPr="00D0665C" w:rsidRDefault="00D0665C" w:rsidP="00CC6499">
            <w:pPr>
              <w:pStyle w:val="Normal1"/>
              <w:spacing w:line="360" w:lineRule="auto"/>
              <w:jc w:val="center"/>
              <w:rPr>
                <w:b/>
                <w:color w:val="000000" w:themeColor="text1"/>
                <w:sz w:val="22"/>
                <w:szCs w:val="22"/>
                <w:lang w:val="en-GB"/>
              </w:rPr>
            </w:pPr>
            <w:r>
              <w:rPr>
                <w:b/>
                <w:color w:val="000000" w:themeColor="text1"/>
                <w:sz w:val="22"/>
                <w:szCs w:val="22"/>
                <w:lang w:val="en-GB"/>
              </w:rPr>
              <w:t>6</w:t>
            </w:r>
          </w:p>
        </w:tc>
      </w:tr>
      <w:tr w:rsidR="00D0665C" w:rsidRPr="00D0665C" w14:paraId="6A5760D2" w14:textId="77777777" w:rsidTr="00D0665C">
        <w:tc>
          <w:tcPr>
            <w:tcW w:w="8359" w:type="dxa"/>
          </w:tcPr>
          <w:p w14:paraId="0FAEC3EB" w14:textId="77777777" w:rsidR="00D0665C" w:rsidRPr="00D0665C" w:rsidRDefault="00D0665C" w:rsidP="008C03F7">
            <w:pPr>
              <w:pStyle w:val="Normal1"/>
              <w:numPr>
                <w:ilvl w:val="0"/>
                <w:numId w:val="13"/>
              </w:numPr>
              <w:spacing w:line="360" w:lineRule="auto"/>
              <w:jc w:val="both"/>
              <w:rPr>
                <w:b/>
                <w:color w:val="000000" w:themeColor="text1"/>
                <w:sz w:val="22"/>
                <w:szCs w:val="22"/>
                <w:lang w:val="en-GB"/>
              </w:rPr>
            </w:pPr>
            <w:r w:rsidRPr="00D0665C">
              <w:rPr>
                <w:b/>
                <w:color w:val="000000" w:themeColor="text1"/>
                <w:sz w:val="22"/>
                <w:szCs w:val="22"/>
                <w:lang w:val="en-GB"/>
              </w:rPr>
              <w:t>Notifications: update of the situation in France</w:t>
            </w:r>
          </w:p>
        </w:tc>
        <w:tc>
          <w:tcPr>
            <w:tcW w:w="695" w:type="dxa"/>
          </w:tcPr>
          <w:p w14:paraId="3E9EBA21" w14:textId="77777777" w:rsidR="00D0665C" w:rsidRPr="00D0665C" w:rsidRDefault="00D0665C" w:rsidP="008C03F7">
            <w:pPr>
              <w:pStyle w:val="Normal1"/>
              <w:spacing w:line="360" w:lineRule="auto"/>
              <w:jc w:val="center"/>
              <w:rPr>
                <w:b/>
                <w:color w:val="000000" w:themeColor="text1"/>
                <w:sz w:val="22"/>
                <w:szCs w:val="22"/>
                <w:lang w:val="en-GB"/>
              </w:rPr>
            </w:pPr>
            <w:r>
              <w:rPr>
                <w:b/>
                <w:color w:val="000000" w:themeColor="text1"/>
                <w:sz w:val="22"/>
                <w:szCs w:val="22"/>
                <w:lang w:val="en-GB"/>
              </w:rPr>
              <w:t>7</w:t>
            </w:r>
          </w:p>
        </w:tc>
      </w:tr>
      <w:tr w:rsidR="00CC6499" w14:paraId="2609DB8A" w14:textId="77777777" w:rsidTr="00D0665C">
        <w:trPr>
          <w:trHeight w:val="680"/>
        </w:trPr>
        <w:tc>
          <w:tcPr>
            <w:tcW w:w="8359" w:type="dxa"/>
          </w:tcPr>
          <w:p w14:paraId="352A5A84" w14:textId="77777777" w:rsidR="00CC6499" w:rsidRPr="00CC6499" w:rsidRDefault="00CC6499" w:rsidP="00D0665C">
            <w:pPr>
              <w:pStyle w:val="Normal1"/>
              <w:spacing w:line="360" w:lineRule="auto"/>
              <w:ind w:left="397"/>
              <w:jc w:val="both"/>
              <w:rPr>
                <w:color w:val="000000" w:themeColor="text1"/>
                <w:sz w:val="22"/>
                <w:szCs w:val="22"/>
                <w:lang w:val="en-GB"/>
              </w:rPr>
            </w:pPr>
            <w:r w:rsidRPr="00373874">
              <w:rPr>
                <w:i/>
                <w:color w:val="000000" w:themeColor="text1"/>
                <w:sz w:val="22"/>
                <w:szCs w:val="22"/>
                <w:lang w:val="en-GB"/>
              </w:rPr>
              <w:t>Recent developments on the Law n°2019-290 “aiming at strengthening and ensuring the maintaining of public order during demonstrations” of 10 April 2019</w:t>
            </w:r>
          </w:p>
        </w:tc>
        <w:tc>
          <w:tcPr>
            <w:tcW w:w="695" w:type="dxa"/>
          </w:tcPr>
          <w:p w14:paraId="34DF47F4" w14:textId="77777777" w:rsidR="00D0665C" w:rsidRDefault="00D0665C" w:rsidP="00D0665C">
            <w:pPr>
              <w:pStyle w:val="Normal1"/>
              <w:spacing w:line="360" w:lineRule="auto"/>
              <w:jc w:val="center"/>
              <w:rPr>
                <w:color w:val="000000" w:themeColor="text1"/>
                <w:sz w:val="22"/>
                <w:szCs w:val="22"/>
                <w:lang w:val="en-GB"/>
              </w:rPr>
            </w:pPr>
          </w:p>
          <w:p w14:paraId="74D838D9" w14:textId="77777777" w:rsidR="00D0665C" w:rsidRDefault="00D0665C" w:rsidP="00D0665C">
            <w:pPr>
              <w:pStyle w:val="Normal1"/>
              <w:spacing w:line="360" w:lineRule="auto"/>
              <w:jc w:val="center"/>
              <w:rPr>
                <w:color w:val="000000" w:themeColor="text1"/>
                <w:sz w:val="22"/>
                <w:szCs w:val="22"/>
                <w:lang w:val="en-GB"/>
              </w:rPr>
            </w:pPr>
            <w:r>
              <w:rPr>
                <w:color w:val="000000" w:themeColor="text1"/>
                <w:sz w:val="22"/>
                <w:szCs w:val="22"/>
                <w:lang w:val="en-GB"/>
              </w:rPr>
              <w:t>7</w:t>
            </w:r>
          </w:p>
        </w:tc>
      </w:tr>
      <w:tr w:rsidR="00CC6499" w:rsidRPr="00D0665C" w14:paraId="011B97D6" w14:textId="77777777" w:rsidTr="00D0665C">
        <w:tc>
          <w:tcPr>
            <w:tcW w:w="8359" w:type="dxa"/>
          </w:tcPr>
          <w:p w14:paraId="22ABDEF2" w14:textId="77777777" w:rsidR="00CC6499" w:rsidRPr="00D0665C" w:rsidRDefault="00CC6499" w:rsidP="00CC6499">
            <w:pPr>
              <w:pStyle w:val="Normal1"/>
              <w:numPr>
                <w:ilvl w:val="0"/>
                <w:numId w:val="13"/>
              </w:numPr>
              <w:spacing w:line="360" w:lineRule="auto"/>
              <w:jc w:val="both"/>
              <w:rPr>
                <w:b/>
                <w:color w:val="000000" w:themeColor="text1"/>
                <w:sz w:val="22"/>
                <w:szCs w:val="22"/>
                <w:lang w:val="en-GB"/>
              </w:rPr>
            </w:pPr>
            <w:r w:rsidRPr="00D0665C">
              <w:rPr>
                <w:b/>
                <w:color w:val="000000" w:themeColor="text1"/>
                <w:sz w:val="22"/>
                <w:szCs w:val="22"/>
                <w:lang w:val="en-GB"/>
              </w:rPr>
              <w:t>Recent developments in policing peaceful assemblies in France</w:t>
            </w:r>
          </w:p>
        </w:tc>
        <w:tc>
          <w:tcPr>
            <w:tcW w:w="695" w:type="dxa"/>
          </w:tcPr>
          <w:p w14:paraId="3694AF73" w14:textId="77777777" w:rsidR="00CC6499" w:rsidRPr="00D0665C" w:rsidRDefault="00D0665C" w:rsidP="00CC6499">
            <w:pPr>
              <w:pStyle w:val="Normal1"/>
              <w:spacing w:line="360" w:lineRule="auto"/>
              <w:jc w:val="center"/>
              <w:rPr>
                <w:b/>
                <w:color w:val="000000" w:themeColor="text1"/>
                <w:sz w:val="22"/>
                <w:szCs w:val="22"/>
                <w:lang w:val="en-GB"/>
              </w:rPr>
            </w:pPr>
            <w:r>
              <w:rPr>
                <w:b/>
                <w:color w:val="000000" w:themeColor="text1"/>
                <w:sz w:val="22"/>
                <w:szCs w:val="22"/>
                <w:lang w:val="en-GB"/>
              </w:rPr>
              <w:t>8</w:t>
            </w:r>
          </w:p>
        </w:tc>
      </w:tr>
      <w:tr w:rsidR="00CC6499" w14:paraId="76E6D4C4" w14:textId="77777777" w:rsidTr="00D0665C">
        <w:tc>
          <w:tcPr>
            <w:tcW w:w="8359" w:type="dxa"/>
          </w:tcPr>
          <w:p w14:paraId="1A9CA40B" w14:textId="77777777" w:rsidR="00CC6499" w:rsidRDefault="00D0665C" w:rsidP="00D0665C">
            <w:pPr>
              <w:pStyle w:val="Normal1"/>
              <w:spacing w:line="360" w:lineRule="auto"/>
              <w:ind w:left="397"/>
              <w:jc w:val="both"/>
              <w:rPr>
                <w:color w:val="000000" w:themeColor="text1"/>
                <w:sz w:val="22"/>
                <w:szCs w:val="22"/>
                <w:lang w:val="en-GB"/>
              </w:rPr>
            </w:pPr>
            <w:r w:rsidRPr="00373874">
              <w:rPr>
                <w:i/>
                <w:color w:val="000000" w:themeColor="text1"/>
                <w:sz w:val="22"/>
                <w:szCs w:val="22"/>
                <w:lang w:val="en-GB"/>
              </w:rPr>
              <w:t>Weapons’ testing</w:t>
            </w:r>
          </w:p>
        </w:tc>
        <w:tc>
          <w:tcPr>
            <w:tcW w:w="695" w:type="dxa"/>
          </w:tcPr>
          <w:p w14:paraId="064DEF6D" w14:textId="77777777" w:rsidR="00CC6499" w:rsidRDefault="00D0665C" w:rsidP="00CC6499">
            <w:pPr>
              <w:pStyle w:val="Normal1"/>
              <w:spacing w:line="360" w:lineRule="auto"/>
              <w:jc w:val="center"/>
              <w:rPr>
                <w:color w:val="000000" w:themeColor="text1"/>
                <w:sz w:val="22"/>
                <w:szCs w:val="22"/>
                <w:lang w:val="en-GB"/>
              </w:rPr>
            </w:pPr>
            <w:r>
              <w:rPr>
                <w:color w:val="000000" w:themeColor="text1"/>
                <w:sz w:val="22"/>
                <w:szCs w:val="22"/>
                <w:lang w:val="en-GB"/>
              </w:rPr>
              <w:t>8</w:t>
            </w:r>
          </w:p>
        </w:tc>
      </w:tr>
      <w:tr w:rsidR="00D0665C" w14:paraId="4ABB2402" w14:textId="77777777" w:rsidTr="00D0665C">
        <w:tc>
          <w:tcPr>
            <w:tcW w:w="8359" w:type="dxa"/>
          </w:tcPr>
          <w:p w14:paraId="107D5330" w14:textId="77777777" w:rsidR="00D0665C" w:rsidRPr="00D0665C" w:rsidRDefault="00D0665C" w:rsidP="00D0665C">
            <w:pPr>
              <w:pStyle w:val="NoSpacing"/>
              <w:ind w:left="397"/>
              <w:jc w:val="both"/>
              <w:rPr>
                <w:rFonts w:ascii="Times New Roman" w:hAnsi="Times New Roman" w:cs="Times New Roman"/>
                <w:i/>
                <w:color w:val="000000" w:themeColor="text1"/>
                <w:sz w:val="22"/>
                <w:szCs w:val="22"/>
                <w:lang w:val="en-GB"/>
              </w:rPr>
            </w:pPr>
            <w:r w:rsidRPr="00373874">
              <w:rPr>
                <w:rFonts w:ascii="Times New Roman" w:hAnsi="Times New Roman" w:cs="Times New Roman"/>
                <w:i/>
                <w:color w:val="000000" w:themeColor="text1"/>
                <w:sz w:val="22"/>
                <w:szCs w:val="22"/>
                <w:lang w:val="en-GB"/>
              </w:rPr>
              <w:t>Relevant officials and units</w:t>
            </w:r>
          </w:p>
        </w:tc>
        <w:tc>
          <w:tcPr>
            <w:tcW w:w="695" w:type="dxa"/>
          </w:tcPr>
          <w:p w14:paraId="32ED0A91" w14:textId="77777777" w:rsidR="00D0665C" w:rsidRDefault="00D0665C" w:rsidP="00CC6499">
            <w:pPr>
              <w:pStyle w:val="Normal1"/>
              <w:spacing w:line="360" w:lineRule="auto"/>
              <w:jc w:val="center"/>
              <w:rPr>
                <w:color w:val="000000" w:themeColor="text1"/>
                <w:sz w:val="22"/>
                <w:szCs w:val="22"/>
                <w:lang w:val="en-GB"/>
              </w:rPr>
            </w:pPr>
            <w:r>
              <w:rPr>
                <w:color w:val="000000" w:themeColor="text1"/>
                <w:sz w:val="22"/>
                <w:szCs w:val="22"/>
                <w:lang w:val="en-GB"/>
              </w:rPr>
              <w:t>9</w:t>
            </w:r>
          </w:p>
        </w:tc>
      </w:tr>
      <w:tr w:rsidR="00D0665C" w14:paraId="7E970A17" w14:textId="77777777" w:rsidTr="00D0665C">
        <w:tc>
          <w:tcPr>
            <w:tcW w:w="8359" w:type="dxa"/>
          </w:tcPr>
          <w:p w14:paraId="08613792" w14:textId="77777777" w:rsidR="00D0665C" w:rsidRPr="00373874" w:rsidRDefault="00D0665C" w:rsidP="00D0665C">
            <w:pPr>
              <w:pStyle w:val="Normal1"/>
              <w:spacing w:line="360" w:lineRule="auto"/>
              <w:ind w:left="708"/>
              <w:jc w:val="both"/>
              <w:rPr>
                <w:i/>
                <w:color w:val="000000" w:themeColor="text1"/>
                <w:sz w:val="22"/>
                <w:szCs w:val="22"/>
                <w:lang w:val="en-GB"/>
              </w:rPr>
            </w:pPr>
            <w:r w:rsidRPr="00373874">
              <w:rPr>
                <w:i/>
                <w:color w:val="000000" w:themeColor="text1"/>
                <w:sz w:val="22"/>
                <w:szCs w:val="22"/>
                <w:lang w:val="en-GB"/>
              </w:rPr>
              <w:t>Risks of sending unspecialised units</w:t>
            </w:r>
          </w:p>
        </w:tc>
        <w:tc>
          <w:tcPr>
            <w:tcW w:w="695" w:type="dxa"/>
          </w:tcPr>
          <w:p w14:paraId="149DA386" w14:textId="77777777" w:rsidR="00D0665C" w:rsidRDefault="00D0665C" w:rsidP="00CC6499">
            <w:pPr>
              <w:pStyle w:val="Normal1"/>
              <w:spacing w:line="360" w:lineRule="auto"/>
              <w:jc w:val="center"/>
              <w:rPr>
                <w:color w:val="000000" w:themeColor="text1"/>
                <w:sz w:val="22"/>
                <w:szCs w:val="22"/>
                <w:lang w:val="en-GB"/>
              </w:rPr>
            </w:pPr>
            <w:r>
              <w:rPr>
                <w:color w:val="000000" w:themeColor="text1"/>
                <w:sz w:val="22"/>
                <w:szCs w:val="22"/>
                <w:lang w:val="en-GB"/>
              </w:rPr>
              <w:t>9</w:t>
            </w:r>
          </w:p>
        </w:tc>
      </w:tr>
      <w:tr w:rsidR="00D0665C" w14:paraId="55F534FC" w14:textId="77777777" w:rsidTr="00D0665C">
        <w:tc>
          <w:tcPr>
            <w:tcW w:w="8359" w:type="dxa"/>
          </w:tcPr>
          <w:p w14:paraId="036B2053" w14:textId="77777777" w:rsidR="00D0665C" w:rsidRPr="00373874" w:rsidRDefault="00D0665C" w:rsidP="00D0665C">
            <w:pPr>
              <w:pStyle w:val="Normal1"/>
              <w:spacing w:line="360" w:lineRule="auto"/>
              <w:ind w:left="708"/>
              <w:jc w:val="both"/>
              <w:rPr>
                <w:i/>
                <w:color w:val="000000" w:themeColor="text1"/>
                <w:sz w:val="22"/>
                <w:szCs w:val="22"/>
                <w:lang w:val="en-GB"/>
              </w:rPr>
            </w:pPr>
            <w:r w:rsidRPr="00373874">
              <w:rPr>
                <w:i/>
                <w:color w:val="000000" w:themeColor="text1"/>
                <w:sz w:val="22"/>
                <w:szCs w:val="22"/>
                <w:lang w:val="en-GB"/>
              </w:rPr>
              <w:t>Inconsistency with the principle of de-escalating tensions</w:t>
            </w:r>
          </w:p>
        </w:tc>
        <w:tc>
          <w:tcPr>
            <w:tcW w:w="695" w:type="dxa"/>
          </w:tcPr>
          <w:p w14:paraId="3FC3CF51" w14:textId="77777777" w:rsidR="00D0665C" w:rsidRDefault="00D0665C" w:rsidP="00CC6499">
            <w:pPr>
              <w:pStyle w:val="Normal1"/>
              <w:spacing w:line="360" w:lineRule="auto"/>
              <w:jc w:val="center"/>
              <w:rPr>
                <w:color w:val="000000" w:themeColor="text1"/>
                <w:sz w:val="22"/>
                <w:szCs w:val="22"/>
                <w:lang w:val="en-GB"/>
              </w:rPr>
            </w:pPr>
            <w:r>
              <w:rPr>
                <w:color w:val="000000" w:themeColor="text1"/>
                <w:sz w:val="22"/>
                <w:szCs w:val="22"/>
                <w:lang w:val="en-GB"/>
              </w:rPr>
              <w:t>9</w:t>
            </w:r>
          </w:p>
        </w:tc>
      </w:tr>
    </w:tbl>
    <w:p w14:paraId="3AFE8A3A" w14:textId="77777777" w:rsidR="00CC6499" w:rsidRPr="00CC6499" w:rsidRDefault="00CC6499" w:rsidP="00CC6499">
      <w:pPr>
        <w:pStyle w:val="Normal1"/>
        <w:spacing w:line="275" w:lineRule="auto"/>
        <w:jc w:val="both"/>
        <w:rPr>
          <w:color w:val="000000" w:themeColor="text1"/>
          <w:sz w:val="22"/>
          <w:szCs w:val="22"/>
          <w:lang w:val="en-GB"/>
        </w:rPr>
      </w:pPr>
    </w:p>
    <w:p w14:paraId="5209B560" w14:textId="77777777" w:rsidR="00A81B56" w:rsidRPr="00373874" w:rsidRDefault="00A81B56" w:rsidP="00A81B56">
      <w:pPr>
        <w:pStyle w:val="Normal1"/>
        <w:spacing w:line="276" w:lineRule="auto"/>
        <w:rPr>
          <w:color w:val="000000" w:themeColor="text1"/>
          <w:lang w:val="en-GB"/>
        </w:rPr>
      </w:pPr>
    </w:p>
    <w:p w14:paraId="598009B4" w14:textId="77777777" w:rsidR="00A81B56" w:rsidRPr="00373874" w:rsidRDefault="00A81B56" w:rsidP="00A81B56">
      <w:pPr>
        <w:pStyle w:val="Normal1"/>
        <w:spacing w:line="276" w:lineRule="auto"/>
        <w:rPr>
          <w:color w:val="000000" w:themeColor="text1"/>
          <w:lang w:val="en-GB"/>
        </w:rPr>
      </w:pPr>
    </w:p>
    <w:p w14:paraId="20011276" w14:textId="77777777" w:rsidR="00841FE3" w:rsidRDefault="00841FE3" w:rsidP="00A81B56">
      <w:pPr>
        <w:pStyle w:val="Normal1"/>
        <w:spacing w:line="276" w:lineRule="auto"/>
        <w:rPr>
          <w:color w:val="000000" w:themeColor="text1"/>
          <w:lang w:val="en-GB"/>
        </w:rPr>
      </w:pPr>
    </w:p>
    <w:p w14:paraId="642E0B10" w14:textId="77777777" w:rsidR="00D0665C" w:rsidRPr="00373874" w:rsidRDefault="00D0665C" w:rsidP="00A81B56">
      <w:pPr>
        <w:pStyle w:val="Normal1"/>
        <w:spacing w:line="276" w:lineRule="auto"/>
        <w:rPr>
          <w:color w:val="000000" w:themeColor="text1"/>
          <w:lang w:val="en-GB"/>
        </w:rPr>
      </w:pPr>
    </w:p>
    <w:p w14:paraId="556B489E" w14:textId="77777777" w:rsidR="00373874" w:rsidRPr="00373874" w:rsidRDefault="00373874" w:rsidP="00373874">
      <w:pPr>
        <w:pStyle w:val="NoSpacing"/>
        <w:numPr>
          <w:ilvl w:val="0"/>
          <w:numId w:val="5"/>
        </w:numPr>
        <w:jc w:val="both"/>
        <w:rPr>
          <w:rFonts w:ascii="Times New Roman" w:hAnsi="Times New Roman" w:cs="Times New Roman"/>
          <w:color w:val="000000" w:themeColor="text1"/>
          <w:sz w:val="22"/>
          <w:szCs w:val="22"/>
          <w:lang w:val="en-GB"/>
        </w:rPr>
      </w:pPr>
      <w:r w:rsidRPr="00373874">
        <w:rPr>
          <w:rFonts w:ascii="Times New Roman" w:hAnsi="Times New Roman" w:cs="Times New Roman"/>
          <w:color w:val="000000" w:themeColor="text1"/>
          <w:sz w:val="22"/>
          <w:szCs w:val="22"/>
          <w:lang w:val="en-GB"/>
        </w:rPr>
        <w:t xml:space="preserve">The Human Rights Committee finalized a revised draft of General Comment </w:t>
      </w:r>
      <w:proofErr w:type="spellStart"/>
      <w:r w:rsidRPr="00373874">
        <w:rPr>
          <w:rFonts w:ascii="Times New Roman" w:hAnsi="Times New Roman" w:cs="Times New Roman"/>
          <w:color w:val="000000" w:themeColor="text1"/>
          <w:sz w:val="22"/>
          <w:szCs w:val="22"/>
          <w:lang w:val="en-GB"/>
        </w:rPr>
        <w:t>n</w:t>
      </w:r>
      <w:proofErr w:type="spellEnd"/>
      <w:r w:rsidRPr="00373874">
        <w:rPr>
          <w:rFonts w:ascii="Times New Roman" w:hAnsi="Times New Roman" w:cs="Times New Roman"/>
          <w:color w:val="000000" w:themeColor="text1"/>
          <w:sz w:val="22"/>
          <w:szCs w:val="22"/>
          <w:lang w:val="en-GB"/>
        </w:rPr>
        <w:t xml:space="preserve">°37 (hereinafter “General Comment”) on the right of peaceful assembly (article 21 of the ICCPR), suggesting an overview of the scope, the nature, the restrictions and the limits of it. </w:t>
      </w:r>
    </w:p>
    <w:p w14:paraId="0FCDAD25" w14:textId="77777777" w:rsidR="00373874" w:rsidRPr="00373874" w:rsidRDefault="00373874" w:rsidP="00373874">
      <w:pPr>
        <w:pStyle w:val="NoSpacing"/>
        <w:numPr>
          <w:ilvl w:val="0"/>
          <w:numId w:val="5"/>
        </w:numPr>
        <w:jc w:val="both"/>
        <w:rPr>
          <w:rFonts w:ascii="Times New Roman" w:hAnsi="Times New Roman" w:cs="Times New Roman"/>
          <w:color w:val="000000" w:themeColor="text1"/>
          <w:sz w:val="22"/>
          <w:szCs w:val="22"/>
          <w:lang w:val="en-GB"/>
        </w:rPr>
      </w:pPr>
      <w:r w:rsidRPr="00373874">
        <w:rPr>
          <w:rFonts w:ascii="Times New Roman" w:hAnsi="Times New Roman" w:cs="Times New Roman"/>
          <w:color w:val="000000" w:themeColor="text1"/>
          <w:sz w:val="22"/>
          <w:szCs w:val="22"/>
          <w:lang w:val="en-GB"/>
        </w:rPr>
        <w:t xml:space="preserve">In view of recent developments and events in the world, this document is therefore crucial for States and civil societies around the world. The present contribution aims at providing comments, perspectives and relevant information that </w:t>
      </w:r>
      <w:proofErr w:type="gramStart"/>
      <w:r w:rsidRPr="00373874">
        <w:rPr>
          <w:rFonts w:ascii="Times New Roman" w:hAnsi="Times New Roman" w:cs="Times New Roman"/>
          <w:color w:val="000000" w:themeColor="text1"/>
          <w:sz w:val="22"/>
          <w:szCs w:val="22"/>
          <w:lang w:val="en-GB"/>
        </w:rPr>
        <w:t>could be taken</w:t>
      </w:r>
      <w:proofErr w:type="gramEnd"/>
      <w:r w:rsidRPr="00373874">
        <w:rPr>
          <w:rFonts w:ascii="Times New Roman" w:hAnsi="Times New Roman" w:cs="Times New Roman"/>
          <w:color w:val="000000" w:themeColor="text1"/>
          <w:sz w:val="22"/>
          <w:szCs w:val="22"/>
          <w:lang w:val="en-GB"/>
        </w:rPr>
        <w:t xml:space="preserve"> into consideration to bring some further improvements to the draft.</w:t>
      </w:r>
    </w:p>
    <w:p w14:paraId="60780C74" w14:textId="77777777" w:rsidR="00373874" w:rsidRPr="00373874" w:rsidRDefault="00373874" w:rsidP="00373874">
      <w:pPr>
        <w:pStyle w:val="NoSpacing"/>
        <w:jc w:val="both"/>
        <w:rPr>
          <w:rFonts w:ascii="Times New Roman" w:hAnsi="Times New Roman" w:cs="Times New Roman"/>
          <w:color w:val="000000" w:themeColor="text1"/>
          <w:sz w:val="22"/>
          <w:szCs w:val="22"/>
          <w:lang w:val="en-GB"/>
        </w:rPr>
      </w:pPr>
    </w:p>
    <w:p w14:paraId="788297D4" w14:textId="77777777" w:rsidR="00373874" w:rsidRPr="00373874" w:rsidRDefault="00373874" w:rsidP="00373874">
      <w:pPr>
        <w:pStyle w:val="NoSpacing"/>
        <w:numPr>
          <w:ilvl w:val="0"/>
          <w:numId w:val="4"/>
        </w:numPr>
        <w:jc w:val="both"/>
        <w:rPr>
          <w:rFonts w:ascii="Times New Roman" w:hAnsi="Times New Roman" w:cs="Times New Roman"/>
          <w:b/>
          <w:color w:val="000000" w:themeColor="text1"/>
          <w:sz w:val="22"/>
          <w:szCs w:val="22"/>
          <w:lang w:val="en-GB"/>
        </w:rPr>
      </w:pPr>
      <w:r>
        <w:rPr>
          <w:rFonts w:ascii="Times New Roman" w:hAnsi="Times New Roman" w:cs="Times New Roman"/>
          <w:b/>
          <w:color w:val="000000" w:themeColor="text1"/>
          <w:sz w:val="22"/>
          <w:szCs w:val="22"/>
          <w:lang w:val="en-GB"/>
        </w:rPr>
        <w:t>General remarks</w:t>
      </w:r>
    </w:p>
    <w:p w14:paraId="45078A1D" w14:textId="77777777" w:rsidR="00373874" w:rsidRPr="00373874" w:rsidRDefault="00373874" w:rsidP="00373874">
      <w:pPr>
        <w:pStyle w:val="NoSpacing"/>
        <w:jc w:val="both"/>
        <w:rPr>
          <w:rFonts w:ascii="Times New Roman" w:hAnsi="Times New Roman" w:cs="Times New Roman"/>
          <w:color w:val="000000" w:themeColor="text1"/>
          <w:sz w:val="22"/>
          <w:szCs w:val="22"/>
          <w:lang w:val="en-GB"/>
        </w:rPr>
      </w:pPr>
    </w:p>
    <w:p w14:paraId="4D4A5C2B" w14:textId="77777777" w:rsidR="00373874" w:rsidRPr="00373874" w:rsidRDefault="00373874" w:rsidP="00373874">
      <w:pPr>
        <w:pStyle w:val="NoSpacing"/>
        <w:numPr>
          <w:ilvl w:val="0"/>
          <w:numId w:val="5"/>
        </w:numPr>
        <w:jc w:val="both"/>
        <w:rPr>
          <w:rFonts w:ascii="Times New Roman" w:hAnsi="Times New Roman" w:cs="Times New Roman"/>
          <w:color w:val="000000" w:themeColor="text1"/>
          <w:sz w:val="22"/>
          <w:szCs w:val="22"/>
          <w:lang w:val="en-GB"/>
        </w:rPr>
      </w:pPr>
      <w:r w:rsidRPr="00373874">
        <w:rPr>
          <w:rFonts w:ascii="Times New Roman" w:hAnsi="Times New Roman" w:cs="Times New Roman"/>
          <w:color w:val="000000" w:themeColor="text1"/>
          <w:sz w:val="22"/>
          <w:szCs w:val="22"/>
          <w:lang w:val="en-GB"/>
        </w:rPr>
        <w:t xml:space="preserve">In general, the General Comment does a great job </w:t>
      </w:r>
      <w:proofErr w:type="gramStart"/>
      <w:r w:rsidRPr="00373874">
        <w:rPr>
          <w:rFonts w:ascii="Times New Roman" w:hAnsi="Times New Roman" w:cs="Times New Roman"/>
          <w:color w:val="000000" w:themeColor="text1"/>
          <w:sz w:val="22"/>
          <w:szCs w:val="22"/>
          <w:lang w:val="en-GB"/>
        </w:rPr>
        <w:t>at clearly and concisely defining</w:t>
      </w:r>
      <w:proofErr w:type="gramEnd"/>
      <w:r w:rsidRPr="00373874">
        <w:rPr>
          <w:rFonts w:ascii="Times New Roman" w:hAnsi="Times New Roman" w:cs="Times New Roman"/>
          <w:color w:val="000000" w:themeColor="text1"/>
          <w:sz w:val="22"/>
          <w:szCs w:val="22"/>
          <w:lang w:val="en-GB"/>
        </w:rPr>
        <w:t xml:space="preserve"> many of the discussed concepts. However, some other notions </w:t>
      </w:r>
      <w:proofErr w:type="gramStart"/>
      <w:r w:rsidRPr="00373874">
        <w:rPr>
          <w:rFonts w:ascii="Times New Roman" w:hAnsi="Times New Roman" w:cs="Times New Roman"/>
          <w:color w:val="000000" w:themeColor="text1"/>
          <w:sz w:val="22"/>
          <w:szCs w:val="22"/>
          <w:lang w:val="en-GB"/>
        </w:rPr>
        <w:t>are less precisely defined</w:t>
      </w:r>
      <w:proofErr w:type="gramEnd"/>
      <w:r w:rsidRPr="00373874">
        <w:rPr>
          <w:rFonts w:ascii="Times New Roman" w:hAnsi="Times New Roman" w:cs="Times New Roman"/>
          <w:color w:val="000000" w:themeColor="text1"/>
          <w:sz w:val="22"/>
          <w:szCs w:val="22"/>
          <w:lang w:val="en-GB"/>
        </w:rPr>
        <w:t xml:space="preserve">. This section points out </w:t>
      </w:r>
      <w:r w:rsidR="005320E2">
        <w:rPr>
          <w:rFonts w:ascii="Times New Roman" w:hAnsi="Times New Roman" w:cs="Times New Roman"/>
          <w:color w:val="000000" w:themeColor="text1"/>
          <w:sz w:val="22"/>
          <w:szCs w:val="22"/>
          <w:lang w:val="en-GB"/>
        </w:rPr>
        <w:t xml:space="preserve">three </w:t>
      </w:r>
      <w:r w:rsidRPr="00373874">
        <w:rPr>
          <w:rFonts w:ascii="Times New Roman" w:hAnsi="Times New Roman" w:cs="Times New Roman"/>
          <w:color w:val="000000" w:themeColor="text1"/>
          <w:sz w:val="22"/>
          <w:szCs w:val="22"/>
          <w:lang w:val="en-GB"/>
        </w:rPr>
        <w:t>areas of improvement, to bring some more clarity and avoid redundancy in the text.</w:t>
      </w:r>
    </w:p>
    <w:p w14:paraId="38BEAB19" w14:textId="77777777" w:rsidR="00373874" w:rsidRPr="00373874" w:rsidRDefault="00373874" w:rsidP="00373874">
      <w:pPr>
        <w:pStyle w:val="NoSpacing"/>
        <w:jc w:val="both"/>
        <w:rPr>
          <w:rFonts w:ascii="Times New Roman" w:hAnsi="Times New Roman" w:cs="Times New Roman"/>
          <w:color w:val="000000" w:themeColor="text1"/>
          <w:sz w:val="22"/>
          <w:szCs w:val="22"/>
          <w:lang w:val="en-GB"/>
        </w:rPr>
      </w:pPr>
    </w:p>
    <w:p w14:paraId="05B6B0E2" w14:textId="77777777" w:rsidR="00373874" w:rsidRPr="00373874" w:rsidRDefault="00373874" w:rsidP="00373874">
      <w:pPr>
        <w:pStyle w:val="NoSpacing"/>
        <w:jc w:val="both"/>
        <w:rPr>
          <w:rFonts w:ascii="Times New Roman" w:hAnsi="Times New Roman" w:cs="Times New Roman"/>
          <w:i/>
          <w:color w:val="000000" w:themeColor="text1"/>
          <w:sz w:val="22"/>
          <w:szCs w:val="22"/>
          <w:lang w:val="en-GB"/>
        </w:rPr>
      </w:pPr>
      <w:r w:rsidRPr="00373874">
        <w:rPr>
          <w:rFonts w:ascii="Times New Roman" w:hAnsi="Times New Roman" w:cs="Times New Roman"/>
          <w:i/>
          <w:color w:val="000000" w:themeColor="text1"/>
          <w:sz w:val="22"/>
          <w:szCs w:val="22"/>
          <w:lang w:val="en-GB"/>
        </w:rPr>
        <w:t>A needed clarification concerning the beneficiaries of the right of peaceful assembly</w:t>
      </w:r>
    </w:p>
    <w:p w14:paraId="4CAC7690" w14:textId="77777777" w:rsidR="00373874" w:rsidRPr="00373874" w:rsidRDefault="00373874" w:rsidP="00373874">
      <w:pPr>
        <w:pStyle w:val="NoSpacing"/>
        <w:jc w:val="both"/>
        <w:rPr>
          <w:rFonts w:ascii="Times New Roman" w:hAnsi="Times New Roman" w:cs="Times New Roman"/>
          <w:color w:val="000000" w:themeColor="text1"/>
          <w:sz w:val="22"/>
          <w:szCs w:val="22"/>
          <w:lang w:val="en-GB"/>
        </w:rPr>
      </w:pPr>
    </w:p>
    <w:p w14:paraId="0F4D4F74" w14:textId="77777777" w:rsidR="00373874" w:rsidRPr="00373874" w:rsidRDefault="00373874" w:rsidP="00373874">
      <w:pPr>
        <w:pStyle w:val="NoSpacing"/>
        <w:numPr>
          <w:ilvl w:val="0"/>
          <w:numId w:val="5"/>
        </w:numPr>
        <w:jc w:val="both"/>
        <w:rPr>
          <w:rFonts w:ascii="Times New Roman" w:hAnsi="Times New Roman" w:cs="Times New Roman"/>
          <w:i/>
          <w:color w:val="000000" w:themeColor="text1"/>
          <w:sz w:val="22"/>
          <w:szCs w:val="22"/>
          <w:lang w:val="en-GB"/>
        </w:rPr>
      </w:pPr>
      <w:r w:rsidRPr="00373874">
        <w:rPr>
          <w:rFonts w:ascii="Times New Roman" w:hAnsi="Times New Roman" w:cs="Times New Roman"/>
          <w:color w:val="000000" w:themeColor="text1"/>
          <w:sz w:val="22"/>
          <w:szCs w:val="22"/>
          <w:lang w:val="en-GB"/>
        </w:rPr>
        <w:t>The Human Rights Committee should make a clearer distinction between the individuals – beneficiaries of the right of peaceful assembly – and the assembly as a whole. The right of peaceful assembly not only protects the right of the assembly to protest, but also (and most importantly) the rights of individuals to protest collectively. This distinction is however not easily perceivable in the General Comment, which leaves room for some ambiguity.</w:t>
      </w:r>
    </w:p>
    <w:p w14:paraId="23EDC027" w14:textId="77777777" w:rsidR="00373874" w:rsidRPr="00373874" w:rsidRDefault="00373874" w:rsidP="00373874">
      <w:pPr>
        <w:pStyle w:val="NoSpacing"/>
        <w:numPr>
          <w:ilvl w:val="0"/>
          <w:numId w:val="5"/>
        </w:numPr>
        <w:jc w:val="both"/>
        <w:rPr>
          <w:rFonts w:ascii="Times New Roman" w:hAnsi="Times New Roman" w:cs="Times New Roman"/>
          <w:i/>
          <w:color w:val="000000" w:themeColor="text1"/>
          <w:sz w:val="22"/>
          <w:szCs w:val="22"/>
          <w:lang w:val="en-GB"/>
        </w:rPr>
      </w:pPr>
      <w:r w:rsidRPr="00373874">
        <w:rPr>
          <w:rFonts w:ascii="Times New Roman" w:hAnsi="Times New Roman" w:cs="Times New Roman"/>
          <w:color w:val="000000" w:themeColor="text1"/>
          <w:sz w:val="22"/>
          <w:szCs w:val="22"/>
          <w:lang w:val="en-GB"/>
        </w:rPr>
        <w:t xml:space="preserve">For instance, paragraphs 10 and 19 seem hard to reconcile. While the first implies that an individual loses his/her right </w:t>
      </w:r>
      <w:r w:rsidR="00961D33">
        <w:rPr>
          <w:rFonts w:ascii="Times New Roman" w:hAnsi="Times New Roman" w:cs="Times New Roman"/>
          <w:color w:val="000000" w:themeColor="text1"/>
          <w:sz w:val="22"/>
          <w:szCs w:val="22"/>
          <w:lang w:val="en-GB"/>
        </w:rPr>
        <w:t>of</w:t>
      </w:r>
      <w:r w:rsidRPr="00373874">
        <w:rPr>
          <w:rFonts w:ascii="Times New Roman" w:hAnsi="Times New Roman" w:cs="Times New Roman"/>
          <w:color w:val="000000" w:themeColor="text1"/>
          <w:sz w:val="22"/>
          <w:szCs w:val="22"/>
          <w:lang w:val="en-GB"/>
        </w:rPr>
        <w:t xml:space="preserve"> peaceful assembly if the assembly becomes violent, paragraph 19 </w:t>
      </w:r>
      <w:proofErr w:type="gramStart"/>
      <w:r w:rsidRPr="00373874">
        <w:rPr>
          <w:rFonts w:ascii="Times New Roman" w:hAnsi="Times New Roman" w:cs="Times New Roman"/>
          <w:color w:val="000000" w:themeColor="text1"/>
          <w:sz w:val="22"/>
          <w:szCs w:val="22"/>
          <w:lang w:val="en-GB"/>
        </w:rPr>
        <w:t>suggests that</w:t>
      </w:r>
      <w:proofErr w:type="gramEnd"/>
      <w:r w:rsidRPr="00373874">
        <w:rPr>
          <w:rFonts w:ascii="Times New Roman" w:hAnsi="Times New Roman" w:cs="Times New Roman"/>
          <w:color w:val="000000" w:themeColor="text1"/>
          <w:sz w:val="22"/>
          <w:szCs w:val="22"/>
          <w:lang w:val="en-GB"/>
        </w:rPr>
        <w:t xml:space="preserve"> “isolated acts of violence by some participants should not be attributed to other participants. Some participants or parts of an assembly may thus be covered by article 21, while others in the same assembly are not.” </w:t>
      </w:r>
    </w:p>
    <w:p w14:paraId="72F155AE" w14:textId="77777777" w:rsidR="00373874" w:rsidRPr="00373874" w:rsidRDefault="00373874" w:rsidP="00373874">
      <w:pPr>
        <w:pStyle w:val="NoSpacing"/>
        <w:numPr>
          <w:ilvl w:val="0"/>
          <w:numId w:val="5"/>
        </w:numPr>
        <w:jc w:val="both"/>
        <w:rPr>
          <w:rFonts w:ascii="Times New Roman" w:hAnsi="Times New Roman" w:cs="Times New Roman"/>
          <w:i/>
          <w:color w:val="000000" w:themeColor="text1"/>
          <w:sz w:val="22"/>
          <w:szCs w:val="22"/>
          <w:lang w:val="en-GB"/>
        </w:rPr>
      </w:pPr>
      <w:r w:rsidRPr="00373874">
        <w:rPr>
          <w:rFonts w:ascii="Times New Roman" w:hAnsi="Times New Roman" w:cs="Times New Roman"/>
          <w:color w:val="000000" w:themeColor="text1"/>
          <w:sz w:val="22"/>
          <w:szCs w:val="22"/>
          <w:lang w:val="en-GB"/>
        </w:rPr>
        <w:t xml:space="preserve">It would be preferable to delete paragraph 10, and paragraph 19 might perhaps be more specific. </w:t>
      </w:r>
    </w:p>
    <w:p w14:paraId="2F70F949" w14:textId="77777777" w:rsidR="00373874" w:rsidRPr="00373874" w:rsidRDefault="00373874" w:rsidP="00373874">
      <w:pPr>
        <w:pStyle w:val="NoSpacing"/>
        <w:numPr>
          <w:ilvl w:val="0"/>
          <w:numId w:val="5"/>
        </w:numPr>
        <w:jc w:val="both"/>
        <w:rPr>
          <w:rFonts w:ascii="Times New Roman" w:hAnsi="Times New Roman" w:cs="Times New Roman"/>
          <w:i/>
          <w:color w:val="000000" w:themeColor="text1"/>
          <w:sz w:val="22"/>
          <w:szCs w:val="22"/>
          <w:lang w:val="en-GB"/>
        </w:rPr>
      </w:pPr>
      <w:r w:rsidRPr="00373874">
        <w:rPr>
          <w:rFonts w:ascii="Times New Roman" w:hAnsi="Times New Roman" w:cs="Times New Roman"/>
          <w:color w:val="000000" w:themeColor="text1"/>
          <w:sz w:val="22"/>
          <w:szCs w:val="22"/>
          <w:lang w:val="en-GB"/>
        </w:rPr>
        <w:t xml:space="preserve">In paragraph 19, the words in square-brackets “widespread and serious violence”, “sometimes referred to as a riot”, should remain in the text </w:t>
      </w:r>
      <w:proofErr w:type="gramStart"/>
      <w:r w:rsidRPr="00373874">
        <w:rPr>
          <w:rFonts w:ascii="Times New Roman" w:hAnsi="Times New Roman" w:cs="Times New Roman"/>
          <w:color w:val="000000" w:themeColor="text1"/>
          <w:sz w:val="22"/>
          <w:szCs w:val="22"/>
          <w:lang w:val="en-GB"/>
        </w:rPr>
        <w:t>so as to</w:t>
      </w:r>
      <w:proofErr w:type="gramEnd"/>
      <w:r w:rsidRPr="00373874">
        <w:rPr>
          <w:rFonts w:ascii="Times New Roman" w:hAnsi="Times New Roman" w:cs="Times New Roman"/>
          <w:color w:val="000000" w:themeColor="text1"/>
          <w:sz w:val="22"/>
          <w:szCs w:val="22"/>
          <w:lang w:val="en-GB"/>
        </w:rPr>
        <w:t xml:space="preserve"> better characterize a “violent” assembly. It implies that it is only in such extreme cases, that an assembly becomes entirely violent and deprives all the participants of their individual right to peaceful assembly. In all other situations, there should only be an individualized assessment. </w:t>
      </w:r>
    </w:p>
    <w:p w14:paraId="1C182FC7" w14:textId="775F4DD4" w:rsidR="00373874" w:rsidRPr="00373874" w:rsidRDefault="00373874" w:rsidP="00373874">
      <w:pPr>
        <w:pStyle w:val="NoSpacing"/>
        <w:numPr>
          <w:ilvl w:val="0"/>
          <w:numId w:val="5"/>
        </w:numPr>
        <w:jc w:val="both"/>
        <w:rPr>
          <w:rFonts w:ascii="Times New Roman" w:hAnsi="Times New Roman" w:cs="Times New Roman"/>
          <w:i/>
          <w:color w:val="000000" w:themeColor="text1"/>
          <w:sz w:val="22"/>
          <w:szCs w:val="22"/>
          <w:lang w:val="en-GB"/>
        </w:rPr>
      </w:pPr>
      <w:r w:rsidRPr="00373874">
        <w:rPr>
          <w:rFonts w:ascii="Times New Roman" w:hAnsi="Times New Roman" w:cs="Times New Roman"/>
          <w:color w:val="000000" w:themeColor="text1"/>
          <w:sz w:val="22"/>
          <w:szCs w:val="22"/>
          <w:lang w:val="en-GB"/>
        </w:rPr>
        <w:t xml:space="preserve">It is worth noting however, that such a threshold of violence </w:t>
      </w:r>
      <w:proofErr w:type="gramStart"/>
      <w:r w:rsidRPr="00373874">
        <w:rPr>
          <w:rFonts w:ascii="Times New Roman" w:hAnsi="Times New Roman" w:cs="Times New Roman"/>
          <w:color w:val="000000" w:themeColor="text1"/>
          <w:sz w:val="22"/>
          <w:szCs w:val="22"/>
          <w:lang w:val="en-GB"/>
        </w:rPr>
        <w:t>is not mentioned</w:t>
      </w:r>
      <w:proofErr w:type="gramEnd"/>
      <w:r w:rsidRPr="00373874">
        <w:rPr>
          <w:rFonts w:ascii="Times New Roman" w:hAnsi="Times New Roman" w:cs="Times New Roman"/>
          <w:color w:val="000000" w:themeColor="text1"/>
          <w:sz w:val="22"/>
          <w:szCs w:val="22"/>
          <w:lang w:val="en-GB"/>
        </w:rPr>
        <w:t xml:space="preserve"> in other guidelines and reports. Some</w:t>
      </w:r>
      <w:r w:rsidRPr="00373874">
        <w:rPr>
          <w:rStyle w:val="FootnoteReference"/>
          <w:rFonts w:cs="Times New Roman"/>
          <w:color w:val="000000" w:themeColor="text1"/>
          <w:sz w:val="22"/>
          <w:szCs w:val="22"/>
          <w:lang w:val="en-GB"/>
        </w:rPr>
        <w:footnoteReference w:id="2"/>
      </w:r>
      <w:r w:rsidRPr="00373874">
        <w:rPr>
          <w:rFonts w:ascii="Times New Roman" w:hAnsi="Times New Roman" w:cs="Times New Roman"/>
          <w:color w:val="000000" w:themeColor="text1"/>
          <w:sz w:val="22"/>
          <w:szCs w:val="22"/>
          <w:lang w:val="en-GB"/>
        </w:rPr>
        <w:t xml:space="preserve"> consider that “no gathering should be considered unprotected”</w:t>
      </w:r>
      <w:r w:rsidRPr="00373874">
        <w:rPr>
          <w:rStyle w:val="FootnoteReference"/>
          <w:rFonts w:cs="Times New Roman"/>
          <w:color w:val="000000" w:themeColor="text1"/>
          <w:sz w:val="22"/>
          <w:szCs w:val="22"/>
          <w:lang w:val="en-GB"/>
        </w:rPr>
        <w:footnoteReference w:id="3"/>
      </w:r>
      <w:r w:rsidRPr="00373874">
        <w:rPr>
          <w:rFonts w:ascii="Times New Roman" w:hAnsi="Times New Roman" w:cs="Times New Roman"/>
          <w:color w:val="000000" w:themeColor="text1"/>
          <w:sz w:val="22"/>
          <w:szCs w:val="22"/>
          <w:lang w:val="en-GB"/>
        </w:rPr>
        <w:t xml:space="preserve"> and only individualized acts of violence </w:t>
      </w:r>
      <w:proofErr w:type="gramStart"/>
      <w:r w:rsidRPr="00373874">
        <w:rPr>
          <w:rFonts w:ascii="Times New Roman" w:hAnsi="Times New Roman" w:cs="Times New Roman"/>
          <w:color w:val="000000" w:themeColor="text1"/>
          <w:sz w:val="22"/>
          <w:szCs w:val="22"/>
          <w:lang w:val="en-GB"/>
        </w:rPr>
        <w:t>can be singled out</w:t>
      </w:r>
      <w:proofErr w:type="gramEnd"/>
      <w:r w:rsidRPr="00373874">
        <w:rPr>
          <w:rFonts w:ascii="Times New Roman" w:hAnsi="Times New Roman" w:cs="Times New Roman"/>
          <w:color w:val="000000" w:themeColor="text1"/>
          <w:sz w:val="22"/>
          <w:szCs w:val="22"/>
          <w:lang w:val="en-GB"/>
        </w:rPr>
        <w:t>. In other words, the scenario of an entire</w:t>
      </w:r>
      <w:r w:rsidR="0067772E">
        <w:rPr>
          <w:rFonts w:ascii="Times New Roman" w:hAnsi="Times New Roman" w:cs="Times New Roman"/>
          <w:color w:val="000000" w:themeColor="text1"/>
          <w:sz w:val="22"/>
          <w:szCs w:val="22"/>
          <w:lang w:val="en-GB"/>
        </w:rPr>
        <w:t>ly</w:t>
      </w:r>
      <w:r w:rsidRPr="00373874">
        <w:rPr>
          <w:rFonts w:ascii="Times New Roman" w:hAnsi="Times New Roman" w:cs="Times New Roman"/>
          <w:color w:val="000000" w:themeColor="text1"/>
          <w:sz w:val="22"/>
          <w:szCs w:val="22"/>
          <w:lang w:val="en-GB"/>
        </w:rPr>
        <w:t xml:space="preserve"> non-peaceful assembly does </w:t>
      </w:r>
      <w:r w:rsidRPr="00373874">
        <w:rPr>
          <w:rFonts w:ascii="Times New Roman" w:hAnsi="Times New Roman" w:cs="Times New Roman"/>
          <w:color w:val="000000" w:themeColor="text1"/>
          <w:sz w:val="22"/>
          <w:szCs w:val="22"/>
          <w:lang w:val="en-GB"/>
        </w:rPr>
        <w:lastRenderedPageBreak/>
        <w:t xml:space="preserve">not seem to </w:t>
      </w:r>
      <w:proofErr w:type="gramStart"/>
      <w:r w:rsidRPr="00373874">
        <w:rPr>
          <w:rFonts w:ascii="Times New Roman" w:hAnsi="Times New Roman" w:cs="Times New Roman"/>
          <w:color w:val="000000" w:themeColor="text1"/>
          <w:sz w:val="22"/>
          <w:szCs w:val="22"/>
          <w:lang w:val="en-GB"/>
        </w:rPr>
        <w:t>be contemplated</w:t>
      </w:r>
      <w:proofErr w:type="gramEnd"/>
      <w:r w:rsidRPr="00373874">
        <w:rPr>
          <w:rFonts w:ascii="Times New Roman" w:hAnsi="Times New Roman" w:cs="Times New Roman"/>
          <w:color w:val="000000" w:themeColor="text1"/>
          <w:sz w:val="22"/>
          <w:szCs w:val="22"/>
          <w:lang w:val="en-GB"/>
        </w:rPr>
        <w:t>. In other reports</w:t>
      </w:r>
      <w:r w:rsidRPr="00373874">
        <w:rPr>
          <w:rStyle w:val="FootnoteReference"/>
          <w:rFonts w:cs="Times New Roman"/>
          <w:color w:val="000000" w:themeColor="text1"/>
          <w:sz w:val="22"/>
          <w:szCs w:val="22"/>
          <w:lang w:val="en-GB"/>
        </w:rPr>
        <w:footnoteReference w:id="4"/>
      </w:r>
      <w:r w:rsidRPr="00373874">
        <w:rPr>
          <w:rFonts w:ascii="Times New Roman" w:hAnsi="Times New Roman" w:cs="Times New Roman"/>
          <w:color w:val="000000" w:themeColor="text1"/>
          <w:sz w:val="22"/>
          <w:szCs w:val="22"/>
          <w:lang w:val="en-GB"/>
        </w:rPr>
        <w:t xml:space="preserve">, this scenario is taken into consideration if the violent intentions of the organizers and participants are flagrant, an idea which seems to be encapsulated in the first sentence of paragraph 21. </w:t>
      </w:r>
    </w:p>
    <w:p w14:paraId="66ED98FE" w14:textId="77777777" w:rsidR="00373874" w:rsidRPr="002D2E6A" w:rsidRDefault="002D7B48" w:rsidP="00373874">
      <w:pPr>
        <w:pStyle w:val="NoSpacing"/>
        <w:numPr>
          <w:ilvl w:val="0"/>
          <w:numId w:val="5"/>
        </w:numPr>
        <w:jc w:val="both"/>
        <w:rPr>
          <w:rFonts w:ascii="Times New Roman" w:hAnsi="Times New Roman" w:cs="Times New Roman"/>
          <w:i/>
          <w:color w:val="000000" w:themeColor="text1"/>
          <w:sz w:val="22"/>
          <w:szCs w:val="22"/>
          <w:lang w:val="en-GB"/>
        </w:rPr>
      </w:pPr>
      <w:r>
        <w:rPr>
          <w:rFonts w:ascii="Times New Roman" w:hAnsi="Times New Roman" w:cs="Times New Roman"/>
          <w:color w:val="000000" w:themeColor="text1"/>
          <w:sz w:val="22"/>
          <w:szCs w:val="22"/>
          <w:lang w:val="en-GB"/>
        </w:rPr>
        <w:t>A</w:t>
      </w:r>
      <w:r w:rsidR="00373874" w:rsidRPr="00373874">
        <w:rPr>
          <w:rFonts w:ascii="Times New Roman" w:hAnsi="Times New Roman" w:cs="Times New Roman"/>
          <w:color w:val="000000" w:themeColor="text1"/>
          <w:sz w:val="22"/>
          <w:szCs w:val="22"/>
          <w:lang w:val="en-GB"/>
        </w:rPr>
        <w:t xml:space="preserve">n alternative to the “threshold” approach would be for the Human Rights Committee to consider that a whole assembly </w:t>
      </w:r>
      <w:proofErr w:type="gramStart"/>
      <w:r w:rsidR="00373874" w:rsidRPr="00373874">
        <w:rPr>
          <w:rFonts w:ascii="Times New Roman" w:hAnsi="Times New Roman" w:cs="Times New Roman"/>
          <w:color w:val="000000" w:themeColor="text1"/>
          <w:sz w:val="22"/>
          <w:szCs w:val="22"/>
          <w:lang w:val="en-GB"/>
        </w:rPr>
        <w:t>can never be entirely declared</w:t>
      </w:r>
      <w:proofErr w:type="gramEnd"/>
      <w:r w:rsidR="00373874" w:rsidRPr="00373874">
        <w:rPr>
          <w:rFonts w:ascii="Times New Roman" w:hAnsi="Times New Roman" w:cs="Times New Roman"/>
          <w:color w:val="000000" w:themeColor="text1"/>
          <w:sz w:val="22"/>
          <w:szCs w:val="22"/>
          <w:lang w:val="en-GB"/>
        </w:rPr>
        <w:t xml:space="preserve"> “violent”, with the sole exceptions where it is established that the organizers and participants have violent intentions and plan to act upon them.</w:t>
      </w:r>
    </w:p>
    <w:p w14:paraId="437CCF1C" w14:textId="77777777" w:rsidR="002D2E6A" w:rsidRPr="001D0565" w:rsidRDefault="002D2E6A" w:rsidP="002D2E6A">
      <w:pPr>
        <w:pStyle w:val="NoSpacing"/>
        <w:ind w:left="360"/>
        <w:jc w:val="both"/>
        <w:rPr>
          <w:rFonts w:ascii="Times New Roman" w:hAnsi="Times New Roman" w:cs="Times New Roman"/>
          <w:i/>
          <w:color w:val="000000" w:themeColor="text1"/>
          <w:sz w:val="22"/>
          <w:szCs w:val="22"/>
          <w:lang w:val="en-GB"/>
        </w:rPr>
      </w:pPr>
    </w:p>
    <w:p w14:paraId="44132EDA" w14:textId="77777777" w:rsidR="00373874" w:rsidRPr="00373874" w:rsidRDefault="00373874" w:rsidP="00373874">
      <w:pPr>
        <w:pStyle w:val="NoSpacing"/>
        <w:jc w:val="both"/>
        <w:rPr>
          <w:rFonts w:ascii="Times New Roman" w:hAnsi="Times New Roman" w:cs="Times New Roman"/>
          <w:i/>
          <w:color w:val="000000" w:themeColor="text1"/>
          <w:sz w:val="22"/>
          <w:szCs w:val="22"/>
          <w:lang w:val="en-GB"/>
        </w:rPr>
      </w:pPr>
      <w:r w:rsidRPr="00373874">
        <w:rPr>
          <w:rFonts w:ascii="Times New Roman" w:hAnsi="Times New Roman" w:cs="Times New Roman"/>
          <w:i/>
          <w:color w:val="000000" w:themeColor="text1"/>
          <w:sz w:val="22"/>
          <w:szCs w:val="22"/>
          <w:lang w:val="en-GB"/>
        </w:rPr>
        <w:t xml:space="preserve">A necessary harmonisation of the terminology: on the notions of “accessibility” and “public space” </w:t>
      </w:r>
    </w:p>
    <w:p w14:paraId="2EF92E39" w14:textId="77777777" w:rsidR="00373874" w:rsidRPr="00373874" w:rsidRDefault="00373874" w:rsidP="00373874">
      <w:pPr>
        <w:pStyle w:val="NoSpacing"/>
        <w:jc w:val="both"/>
        <w:rPr>
          <w:rFonts w:ascii="Times New Roman" w:hAnsi="Times New Roman" w:cs="Times New Roman"/>
          <w:color w:val="000000" w:themeColor="text1"/>
          <w:sz w:val="22"/>
          <w:szCs w:val="22"/>
          <w:lang w:val="en-GB"/>
        </w:rPr>
      </w:pPr>
    </w:p>
    <w:p w14:paraId="286F100F" w14:textId="77777777" w:rsidR="00373874" w:rsidRPr="00373874" w:rsidRDefault="00373874" w:rsidP="00373874">
      <w:pPr>
        <w:pStyle w:val="NoSpacing"/>
        <w:numPr>
          <w:ilvl w:val="0"/>
          <w:numId w:val="5"/>
        </w:numPr>
        <w:jc w:val="both"/>
        <w:rPr>
          <w:rFonts w:ascii="Times New Roman" w:hAnsi="Times New Roman" w:cs="Times New Roman"/>
          <w:color w:val="000000" w:themeColor="text1"/>
          <w:sz w:val="22"/>
          <w:szCs w:val="22"/>
          <w:lang w:val="en-GB"/>
        </w:rPr>
      </w:pPr>
      <w:r w:rsidRPr="00373874">
        <w:rPr>
          <w:rFonts w:ascii="Times New Roman" w:hAnsi="Times New Roman" w:cs="Times New Roman"/>
          <w:color w:val="000000" w:themeColor="text1"/>
          <w:sz w:val="22"/>
          <w:szCs w:val="22"/>
          <w:lang w:val="en-GB"/>
        </w:rPr>
        <w:t>While the Human Rights Committee mainly refers to spaces or properties that are “publicly accessible”, it also mentions “use of the public space” (§2), places “to which the public has access or should have access” (§64) or “private property that is open to the public” (§67). These variations may potentially lead to different interpretations as to the right to hold assemblies in private properties.</w:t>
      </w:r>
    </w:p>
    <w:p w14:paraId="47C7D0A3" w14:textId="77777777" w:rsidR="00373874" w:rsidRPr="00373874" w:rsidRDefault="00373874" w:rsidP="00373874">
      <w:pPr>
        <w:pStyle w:val="NoSpacing"/>
        <w:numPr>
          <w:ilvl w:val="0"/>
          <w:numId w:val="5"/>
        </w:numPr>
        <w:jc w:val="both"/>
        <w:rPr>
          <w:rFonts w:ascii="Times New Roman" w:hAnsi="Times New Roman" w:cs="Times New Roman"/>
          <w:color w:val="000000" w:themeColor="text1"/>
          <w:sz w:val="22"/>
          <w:szCs w:val="22"/>
          <w:lang w:val="en-GB"/>
        </w:rPr>
      </w:pPr>
      <w:proofErr w:type="gramStart"/>
      <w:r w:rsidRPr="00373874">
        <w:rPr>
          <w:rFonts w:ascii="Times New Roman" w:hAnsi="Times New Roman" w:cs="Times New Roman"/>
          <w:color w:val="000000" w:themeColor="text1"/>
          <w:sz w:val="22"/>
          <w:szCs w:val="22"/>
          <w:lang w:val="en-GB"/>
        </w:rPr>
        <w:t>Assuming that the intention of the General Comment is to protect, as much as possible, the right to peaceful assembly,</w:t>
      </w:r>
      <w:proofErr w:type="gramEnd"/>
      <w:r w:rsidRPr="00373874">
        <w:rPr>
          <w:rFonts w:ascii="Times New Roman" w:hAnsi="Times New Roman" w:cs="Times New Roman"/>
          <w:color w:val="000000" w:themeColor="text1"/>
          <w:sz w:val="22"/>
          <w:szCs w:val="22"/>
          <w:lang w:val="en-GB"/>
        </w:rPr>
        <w:t xml:space="preserve"> </w:t>
      </w:r>
      <w:proofErr w:type="gramStart"/>
      <w:r w:rsidRPr="00373874">
        <w:rPr>
          <w:rFonts w:ascii="Times New Roman" w:hAnsi="Times New Roman" w:cs="Times New Roman"/>
          <w:color w:val="000000" w:themeColor="text1"/>
          <w:sz w:val="22"/>
          <w:szCs w:val="22"/>
          <w:lang w:val="en-GB"/>
        </w:rPr>
        <w:t>it</w:t>
      </w:r>
      <w:proofErr w:type="gramEnd"/>
      <w:r w:rsidRPr="00373874">
        <w:rPr>
          <w:rFonts w:ascii="Times New Roman" w:hAnsi="Times New Roman" w:cs="Times New Roman"/>
          <w:color w:val="000000" w:themeColor="text1"/>
          <w:sz w:val="22"/>
          <w:szCs w:val="22"/>
          <w:lang w:val="en-GB"/>
        </w:rPr>
        <w:t xml:space="preserve"> would be preferable to use a single concept and give a clear definition. </w:t>
      </w:r>
    </w:p>
    <w:p w14:paraId="579BD81A" w14:textId="77777777" w:rsidR="00373874" w:rsidRPr="00373874" w:rsidRDefault="00373874" w:rsidP="00373874">
      <w:pPr>
        <w:pStyle w:val="NoSpacing"/>
        <w:jc w:val="both"/>
        <w:rPr>
          <w:rFonts w:ascii="Times New Roman" w:hAnsi="Times New Roman" w:cs="Times New Roman"/>
          <w:color w:val="000000" w:themeColor="text1"/>
          <w:sz w:val="22"/>
          <w:szCs w:val="22"/>
          <w:lang w:val="en-GB"/>
        </w:rPr>
      </w:pPr>
    </w:p>
    <w:p w14:paraId="10BE43F3" w14:textId="77777777" w:rsidR="00373874" w:rsidRPr="00373874" w:rsidRDefault="00373874" w:rsidP="00373874">
      <w:pPr>
        <w:pStyle w:val="NoSpacing"/>
        <w:numPr>
          <w:ilvl w:val="0"/>
          <w:numId w:val="9"/>
        </w:numPr>
        <w:jc w:val="both"/>
        <w:rPr>
          <w:rFonts w:ascii="Times New Roman" w:hAnsi="Times New Roman" w:cs="Times New Roman"/>
          <w:color w:val="000000" w:themeColor="text1"/>
          <w:sz w:val="22"/>
          <w:szCs w:val="22"/>
          <w:lang w:val="en-GB"/>
        </w:rPr>
      </w:pPr>
      <w:r w:rsidRPr="00373874">
        <w:rPr>
          <w:rFonts w:ascii="Times New Roman" w:hAnsi="Times New Roman" w:cs="Times New Roman"/>
          <w:color w:val="000000" w:themeColor="text1"/>
          <w:sz w:val="22"/>
          <w:szCs w:val="22"/>
          <w:u w:val="single"/>
          <w:lang w:val="en-GB"/>
        </w:rPr>
        <w:t>“Open to the public”</w:t>
      </w:r>
      <w:r w:rsidRPr="00373874">
        <w:rPr>
          <w:rFonts w:ascii="Times New Roman" w:hAnsi="Times New Roman" w:cs="Times New Roman"/>
          <w:color w:val="000000" w:themeColor="text1"/>
          <w:sz w:val="22"/>
          <w:szCs w:val="22"/>
          <w:lang w:val="en-GB"/>
        </w:rPr>
        <w:t xml:space="preserve">: may imply that assemblies taking place in spaces or properties to which access </w:t>
      </w:r>
      <w:proofErr w:type="gramStart"/>
      <w:r w:rsidRPr="00373874">
        <w:rPr>
          <w:rFonts w:ascii="Times New Roman" w:hAnsi="Times New Roman" w:cs="Times New Roman"/>
          <w:color w:val="000000" w:themeColor="text1"/>
          <w:sz w:val="22"/>
          <w:szCs w:val="22"/>
          <w:lang w:val="en-GB"/>
        </w:rPr>
        <w:t>has been prohibited or not explicitly allowed by the (private or public) owners,</w:t>
      </w:r>
      <w:proofErr w:type="gramEnd"/>
      <w:r w:rsidRPr="00373874">
        <w:rPr>
          <w:rFonts w:ascii="Times New Roman" w:hAnsi="Times New Roman" w:cs="Times New Roman"/>
          <w:color w:val="000000" w:themeColor="text1"/>
          <w:sz w:val="22"/>
          <w:szCs w:val="22"/>
          <w:lang w:val="en-GB"/>
        </w:rPr>
        <w:t xml:space="preserve"> could be considered as illegal.</w:t>
      </w:r>
    </w:p>
    <w:p w14:paraId="6E418755" w14:textId="77777777" w:rsidR="00373874" w:rsidRPr="00373874" w:rsidRDefault="00373874" w:rsidP="00373874">
      <w:pPr>
        <w:pStyle w:val="NoSpacing"/>
        <w:numPr>
          <w:ilvl w:val="0"/>
          <w:numId w:val="9"/>
        </w:numPr>
        <w:jc w:val="both"/>
        <w:rPr>
          <w:rFonts w:ascii="Times New Roman" w:hAnsi="Times New Roman" w:cs="Times New Roman"/>
          <w:color w:val="000000" w:themeColor="text1"/>
          <w:sz w:val="22"/>
          <w:szCs w:val="22"/>
          <w:lang w:val="en-GB"/>
        </w:rPr>
      </w:pPr>
      <w:r w:rsidRPr="00373874">
        <w:rPr>
          <w:rFonts w:ascii="Times New Roman" w:hAnsi="Times New Roman" w:cs="Times New Roman"/>
          <w:color w:val="000000" w:themeColor="text1"/>
          <w:sz w:val="22"/>
          <w:szCs w:val="22"/>
          <w:u w:val="single"/>
          <w:lang w:val="en-GB"/>
        </w:rPr>
        <w:t>“To which the public should have access”</w:t>
      </w:r>
      <w:r w:rsidRPr="00373874">
        <w:rPr>
          <w:rFonts w:ascii="Times New Roman" w:hAnsi="Times New Roman" w:cs="Times New Roman"/>
          <w:color w:val="000000" w:themeColor="text1"/>
          <w:sz w:val="22"/>
          <w:szCs w:val="22"/>
          <w:lang w:val="en-GB"/>
        </w:rPr>
        <w:t>: the use of the term “should” introduces an almost “moral” and at least very subjective criterion. It could prove difficult to agree on the places where the public “should” have access.</w:t>
      </w:r>
    </w:p>
    <w:p w14:paraId="62F1C1B6" w14:textId="77777777" w:rsidR="00373874" w:rsidRPr="00373874" w:rsidRDefault="00373874" w:rsidP="00373874">
      <w:pPr>
        <w:pStyle w:val="NoSpacing"/>
        <w:numPr>
          <w:ilvl w:val="0"/>
          <w:numId w:val="9"/>
        </w:numPr>
        <w:jc w:val="both"/>
        <w:rPr>
          <w:rFonts w:ascii="Times New Roman" w:hAnsi="Times New Roman" w:cs="Times New Roman"/>
          <w:color w:val="000000" w:themeColor="text1"/>
          <w:sz w:val="22"/>
          <w:szCs w:val="22"/>
          <w:lang w:val="en-GB"/>
        </w:rPr>
      </w:pPr>
      <w:r w:rsidRPr="00373874">
        <w:rPr>
          <w:rFonts w:ascii="Times New Roman" w:hAnsi="Times New Roman" w:cs="Times New Roman"/>
          <w:color w:val="000000" w:themeColor="text1"/>
          <w:sz w:val="22"/>
          <w:szCs w:val="22"/>
          <w:u w:val="single"/>
          <w:lang w:val="en-GB"/>
        </w:rPr>
        <w:t>“To which the public has access”</w:t>
      </w:r>
      <w:r w:rsidRPr="00373874">
        <w:rPr>
          <w:rFonts w:ascii="Times New Roman" w:hAnsi="Times New Roman" w:cs="Times New Roman"/>
          <w:color w:val="000000" w:themeColor="text1"/>
          <w:sz w:val="22"/>
          <w:szCs w:val="22"/>
          <w:lang w:val="en-GB"/>
        </w:rPr>
        <w:t xml:space="preserve">: it leaves some ambiguity as </w:t>
      </w:r>
      <w:r w:rsidR="00961D33">
        <w:rPr>
          <w:rFonts w:ascii="Times New Roman" w:hAnsi="Times New Roman" w:cs="Times New Roman"/>
          <w:color w:val="000000" w:themeColor="text1"/>
          <w:sz w:val="22"/>
          <w:szCs w:val="22"/>
          <w:lang w:val="en-GB"/>
        </w:rPr>
        <w:t xml:space="preserve">to </w:t>
      </w:r>
      <w:r w:rsidRPr="00373874">
        <w:rPr>
          <w:rFonts w:ascii="Times New Roman" w:hAnsi="Times New Roman" w:cs="Times New Roman"/>
          <w:color w:val="000000" w:themeColor="text1"/>
          <w:sz w:val="22"/>
          <w:szCs w:val="22"/>
          <w:lang w:val="en-GB"/>
        </w:rPr>
        <w:t xml:space="preserve">whether it is a question of </w:t>
      </w:r>
      <w:proofErr w:type="gramStart"/>
      <w:r w:rsidRPr="00373874">
        <w:rPr>
          <w:rFonts w:ascii="Times New Roman" w:hAnsi="Times New Roman" w:cs="Times New Roman"/>
          <w:color w:val="000000" w:themeColor="text1"/>
          <w:sz w:val="22"/>
          <w:szCs w:val="22"/>
          <w:lang w:val="en-GB"/>
        </w:rPr>
        <w:t>fact</w:t>
      </w:r>
      <w:proofErr w:type="gramEnd"/>
      <w:r w:rsidRPr="00373874">
        <w:rPr>
          <w:rFonts w:ascii="Times New Roman" w:hAnsi="Times New Roman" w:cs="Times New Roman"/>
          <w:color w:val="000000" w:themeColor="text1"/>
          <w:sz w:val="22"/>
          <w:szCs w:val="22"/>
          <w:lang w:val="en-GB"/>
        </w:rPr>
        <w:t xml:space="preserve"> (</w:t>
      </w:r>
      <w:r w:rsidR="00961D33">
        <w:rPr>
          <w:rFonts w:ascii="Times New Roman" w:hAnsi="Times New Roman" w:cs="Times New Roman"/>
          <w:color w:val="000000" w:themeColor="text1"/>
          <w:sz w:val="22"/>
          <w:szCs w:val="22"/>
          <w:lang w:val="en-GB"/>
        </w:rPr>
        <w:t xml:space="preserve">i.e. </w:t>
      </w:r>
      <w:r w:rsidRPr="00373874">
        <w:rPr>
          <w:rFonts w:ascii="Times New Roman" w:hAnsi="Times New Roman" w:cs="Times New Roman"/>
          <w:color w:val="000000" w:themeColor="text1"/>
          <w:sz w:val="22"/>
          <w:szCs w:val="22"/>
          <w:lang w:val="en-GB"/>
        </w:rPr>
        <w:t>the public has the ability to have access to a particular place); or a question of law (</w:t>
      </w:r>
      <w:r w:rsidR="00961D33">
        <w:rPr>
          <w:rFonts w:ascii="Times New Roman" w:hAnsi="Times New Roman" w:cs="Times New Roman"/>
          <w:color w:val="000000" w:themeColor="text1"/>
          <w:sz w:val="22"/>
          <w:szCs w:val="22"/>
          <w:lang w:val="en-GB"/>
        </w:rPr>
        <w:t xml:space="preserve">i.e. </w:t>
      </w:r>
      <w:r w:rsidRPr="00373874">
        <w:rPr>
          <w:rFonts w:ascii="Times New Roman" w:hAnsi="Times New Roman" w:cs="Times New Roman"/>
          <w:color w:val="000000" w:themeColor="text1"/>
          <w:sz w:val="22"/>
          <w:szCs w:val="22"/>
          <w:lang w:val="en-GB"/>
        </w:rPr>
        <w:t>the public has been granted the right to have access to a particular place).</w:t>
      </w:r>
    </w:p>
    <w:p w14:paraId="6FA14A71" w14:textId="77777777" w:rsidR="00373874" w:rsidRPr="00373874" w:rsidRDefault="00373874" w:rsidP="00373874">
      <w:pPr>
        <w:pStyle w:val="NoSpacing"/>
        <w:numPr>
          <w:ilvl w:val="0"/>
          <w:numId w:val="9"/>
        </w:numPr>
        <w:jc w:val="both"/>
        <w:rPr>
          <w:rFonts w:ascii="Times New Roman" w:hAnsi="Times New Roman" w:cs="Times New Roman"/>
          <w:color w:val="000000" w:themeColor="text1"/>
          <w:sz w:val="22"/>
          <w:szCs w:val="22"/>
          <w:lang w:val="en-GB"/>
        </w:rPr>
      </w:pPr>
      <w:r w:rsidRPr="00373874">
        <w:rPr>
          <w:rFonts w:ascii="Times New Roman" w:hAnsi="Times New Roman" w:cs="Times New Roman"/>
          <w:color w:val="000000" w:themeColor="text1"/>
          <w:sz w:val="22"/>
          <w:szCs w:val="22"/>
          <w:u w:val="single"/>
          <w:lang w:val="en-GB"/>
        </w:rPr>
        <w:t>“Publicly accessible”:</w:t>
      </w:r>
      <w:r w:rsidRPr="00373874">
        <w:rPr>
          <w:rFonts w:ascii="Times New Roman" w:hAnsi="Times New Roman" w:cs="Times New Roman"/>
          <w:color w:val="000000" w:themeColor="text1"/>
          <w:sz w:val="22"/>
          <w:szCs w:val="22"/>
          <w:lang w:val="en-GB"/>
        </w:rPr>
        <w:t xml:space="preserve"> it leaves the same ambiguity as the previous wording.</w:t>
      </w:r>
    </w:p>
    <w:p w14:paraId="19B1BD66" w14:textId="77777777" w:rsidR="00373874" w:rsidRPr="00373874" w:rsidRDefault="00373874" w:rsidP="00373874">
      <w:pPr>
        <w:pStyle w:val="NoSpacing"/>
        <w:jc w:val="both"/>
        <w:rPr>
          <w:rFonts w:ascii="Times New Roman" w:hAnsi="Times New Roman" w:cs="Times New Roman"/>
          <w:color w:val="000000" w:themeColor="text1"/>
          <w:sz w:val="22"/>
          <w:szCs w:val="22"/>
          <w:lang w:val="en-GB"/>
        </w:rPr>
      </w:pPr>
    </w:p>
    <w:p w14:paraId="52BBBEB5" w14:textId="77777777" w:rsidR="00373874" w:rsidRPr="00C026BA" w:rsidRDefault="00373874" w:rsidP="00373874">
      <w:pPr>
        <w:pStyle w:val="NoSpacing"/>
        <w:numPr>
          <w:ilvl w:val="0"/>
          <w:numId w:val="5"/>
        </w:numPr>
        <w:jc w:val="both"/>
        <w:rPr>
          <w:rFonts w:ascii="Times New Roman" w:hAnsi="Times New Roman" w:cs="Times New Roman"/>
          <w:color w:val="000000" w:themeColor="text1"/>
          <w:sz w:val="22"/>
          <w:szCs w:val="22"/>
          <w:lang w:val="en-GB"/>
        </w:rPr>
      </w:pPr>
      <w:r w:rsidRPr="00C026BA">
        <w:rPr>
          <w:rFonts w:ascii="Times New Roman" w:hAnsi="Times New Roman" w:cs="Times New Roman"/>
          <w:b/>
          <w:i/>
          <w:color w:val="000000" w:themeColor="text1"/>
          <w:sz w:val="22"/>
          <w:szCs w:val="22"/>
          <w:lang w:val="en-GB"/>
        </w:rPr>
        <w:t>Recommendation</w:t>
      </w:r>
      <w:r w:rsidRPr="00C026BA">
        <w:rPr>
          <w:rFonts w:ascii="Times New Roman" w:hAnsi="Times New Roman" w:cs="Times New Roman"/>
          <w:i/>
          <w:color w:val="000000" w:themeColor="text1"/>
          <w:sz w:val="22"/>
          <w:szCs w:val="22"/>
          <w:lang w:val="en-GB"/>
        </w:rPr>
        <w:t>:</w:t>
      </w:r>
      <w:r w:rsidRPr="00C026BA">
        <w:rPr>
          <w:rFonts w:ascii="Times New Roman" w:hAnsi="Times New Roman" w:cs="Times New Roman"/>
          <w:color w:val="000000" w:themeColor="text1"/>
          <w:sz w:val="22"/>
          <w:szCs w:val="22"/>
          <w:lang w:val="en-GB"/>
        </w:rPr>
        <w:t xml:space="preserve"> It is worth noting that some reports and guidelines refer to the “use of public space”</w:t>
      </w:r>
      <w:r w:rsidRPr="00C026BA">
        <w:rPr>
          <w:rStyle w:val="FootnoteReference"/>
          <w:rFonts w:cs="Times New Roman"/>
          <w:color w:val="000000" w:themeColor="text1"/>
          <w:sz w:val="22"/>
          <w:szCs w:val="22"/>
          <w:lang w:val="en-GB"/>
        </w:rPr>
        <w:footnoteReference w:id="5"/>
      </w:r>
      <w:r w:rsidRPr="00C026BA">
        <w:rPr>
          <w:rFonts w:ascii="Times New Roman" w:hAnsi="Times New Roman" w:cs="Times New Roman"/>
          <w:color w:val="000000" w:themeColor="text1"/>
          <w:sz w:val="22"/>
          <w:szCs w:val="22"/>
          <w:lang w:val="en-GB"/>
        </w:rPr>
        <w:t>, or to peaceful assemblies “in a given space”</w:t>
      </w:r>
      <w:r w:rsidRPr="00C026BA">
        <w:rPr>
          <w:rStyle w:val="FootnoteReference"/>
          <w:rFonts w:cs="Times New Roman"/>
          <w:color w:val="000000" w:themeColor="text1"/>
          <w:sz w:val="22"/>
          <w:szCs w:val="22"/>
          <w:lang w:val="en-GB"/>
        </w:rPr>
        <w:footnoteReference w:id="6"/>
      </w:r>
      <w:r w:rsidRPr="00C026BA">
        <w:rPr>
          <w:rFonts w:ascii="Times New Roman" w:hAnsi="Times New Roman" w:cs="Times New Roman"/>
          <w:color w:val="000000" w:themeColor="text1"/>
          <w:sz w:val="22"/>
          <w:szCs w:val="22"/>
          <w:lang w:val="en-GB"/>
        </w:rPr>
        <w:t>, “in private or in public”</w:t>
      </w:r>
      <w:r w:rsidRPr="00C026BA">
        <w:rPr>
          <w:rStyle w:val="FootnoteReference"/>
          <w:rFonts w:cs="Times New Roman"/>
          <w:color w:val="000000" w:themeColor="text1"/>
          <w:sz w:val="22"/>
          <w:szCs w:val="22"/>
          <w:lang w:val="en-GB"/>
        </w:rPr>
        <w:footnoteReference w:id="7"/>
      </w:r>
      <w:r w:rsidRPr="00C026BA">
        <w:rPr>
          <w:rFonts w:ascii="Times New Roman" w:hAnsi="Times New Roman" w:cs="Times New Roman"/>
          <w:color w:val="000000" w:themeColor="text1"/>
          <w:sz w:val="22"/>
          <w:szCs w:val="22"/>
          <w:lang w:val="en-GB"/>
        </w:rPr>
        <w:t xml:space="preserve">. These options exclude the concept of “accessibility”. </w:t>
      </w:r>
      <w:r w:rsidR="00C026BA" w:rsidRPr="00C026BA">
        <w:rPr>
          <w:rFonts w:ascii="Times New Roman" w:hAnsi="Times New Roman" w:cs="Times New Roman"/>
          <w:color w:val="000000" w:themeColor="text1"/>
          <w:sz w:val="22"/>
          <w:szCs w:val="22"/>
          <w:lang w:val="en-GB"/>
        </w:rPr>
        <w:t>We</w:t>
      </w:r>
      <w:r w:rsidR="000414CD" w:rsidRPr="00C026BA">
        <w:rPr>
          <w:rFonts w:ascii="Times New Roman" w:hAnsi="Times New Roman" w:cs="Times New Roman"/>
          <w:color w:val="000000" w:themeColor="text1"/>
          <w:sz w:val="22"/>
          <w:szCs w:val="22"/>
          <w:lang w:val="en-GB"/>
        </w:rPr>
        <w:t xml:space="preserve"> encourage </w:t>
      </w:r>
      <w:r w:rsidR="00C026BA" w:rsidRPr="00C026BA">
        <w:rPr>
          <w:rFonts w:ascii="Times New Roman" w:hAnsi="Times New Roman" w:cs="Times New Roman"/>
          <w:color w:val="000000" w:themeColor="text1"/>
          <w:sz w:val="22"/>
          <w:szCs w:val="22"/>
          <w:lang w:val="en-GB"/>
        </w:rPr>
        <w:t xml:space="preserve">the </w:t>
      </w:r>
      <w:r w:rsidR="00C026BA">
        <w:rPr>
          <w:rFonts w:ascii="Times New Roman" w:hAnsi="Times New Roman" w:cs="Times New Roman"/>
          <w:color w:val="000000" w:themeColor="text1"/>
          <w:sz w:val="22"/>
          <w:szCs w:val="22"/>
          <w:lang w:val="en-GB"/>
        </w:rPr>
        <w:t xml:space="preserve">Human Rights </w:t>
      </w:r>
      <w:r w:rsidR="00C026BA" w:rsidRPr="00C026BA">
        <w:rPr>
          <w:rFonts w:ascii="Times New Roman" w:hAnsi="Times New Roman" w:cs="Times New Roman"/>
          <w:color w:val="000000" w:themeColor="text1"/>
          <w:sz w:val="22"/>
          <w:szCs w:val="22"/>
          <w:lang w:val="en-GB"/>
        </w:rPr>
        <w:t>Committee to use a similar expression since it</w:t>
      </w:r>
      <w:r w:rsidRPr="00C026BA">
        <w:rPr>
          <w:rFonts w:ascii="Times New Roman" w:hAnsi="Times New Roman" w:cs="Times New Roman"/>
          <w:color w:val="000000" w:themeColor="text1"/>
          <w:sz w:val="22"/>
          <w:szCs w:val="22"/>
          <w:lang w:val="en-GB"/>
        </w:rPr>
        <w:t xml:space="preserve"> can be more favourable to the individuals, because it makes the availability of, or the rightfulness to use, a certain space an unconditional issue.</w:t>
      </w:r>
    </w:p>
    <w:p w14:paraId="078FF8A1" w14:textId="77777777" w:rsidR="00373874" w:rsidRPr="00373874" w:rsidRDefault="00373874" w:rsidP="00373874">
      <w:pPr>
        <w:pStyle w:val="NoSpacing"/>
        <w:jc w:val="both"/>
        <w:rPr>
          <w:rFonts w:ascii="Times New Roman" w:hAnsi="Times New Roman" w:cs="Times New Roman"/>
          <w:color w:val="000000" w:themeColor="text1"/>
          <w:sz w:val="22"/>
          <w:szCs w:val="22"/>
          <w:lang w:val="en-GB"/>
        </w:rPr>
      </w:pPr>
    </w:p>
    <w:p w14:paraId="3941E7EB" w14:textId="77777777" w:rsidR="00373874" w:rsidRPr="00373874" w:rsidRDefault="00373874" w:rsidP="00373874">
      <w:pPr>
        <w:pStyle w:val="NoSpacing"/>
        <w:jc w:val="both"/>
        <w:rPr>
          <w:rFonts w:ascii="Times New Roman" w:hAnsi="Times New Roman" w:cs="Times New Roman"/>
          <w:i/>
          <w:color w:val="000000" w:themeColor="text1"/>
          <w:sz w:val="22"/>
          <w:szCs w:val="22"/>
          <w:lang w:val="en-GB"/>
        </w:rPr>
      </w:pPr>
      <w:r w:rsidRPr="00373874">
        <w:rPr>
          <w:rFonts w:ascii="Times New Roman" w:hAnsi="Times New Roman" w:cs="Times New Roman"/>
          <w:i/>
          <w:color w:val="000000" w:themeColor="text1"/>
          <w:sz w:val="22"/>
          <w:szCs w:val="22"/>
          <w:lang w:val="en-GB"/>
        </w:rPr>
        <w:t>Redundancy</w:t>
      </w:r>
    </w:p>
    <w:p w14:paraId="306AFB63" w14:textId="77777777" w:rsidR="00373874" w:rsidRPr="00373874" w:rsidRDefault="00373874" w:rsidP="00373874">
      <w:pPr>
        <w:pStyle w:val="NoSpacing"/>
        <w:jc w:val="both"/>
        <w:rPr>
          <w:rFonts w:ascii="Times New Roman" w:hAnsi="Times New Roman" w:cs="Times New Roman"/>
          <w:color w:val="000000" w:themeColor="text1"/>
          <w:sz w:val="22"/>
          <w:szCs w:val="22"/>
          <w:lang w:val="en-GB"/>
        </w:rPr>
      </w:pPr>
    </w:p>
    <w:p w14:paraId="133AD6B7" w14:textId="77777777" w:rsidR="00373874" w:rsidRPr="00373874" w:rsidRDefault="00373874" w:rsidP="00373874">
      <w:pPr>
        <w:pStyle w:val="NoSpacing"/>
        <w:numPr>
          <w:ilvl w:val="0"/>
          <w:numId w:val="5"/>
        </w:numPr>
        <w:jc w:val="both"/>
        <w:rPr>
          <w:rFonts w:ascii="Times New Roman" w:hAnsi="Times New Roman" w:cs="Times New Roman"/>
          <w:color w:val="000000" w:themeColor="text1"/>
          <w:sz w:val="22"/>
          <w:szCs w:val="22"/>
          <w:lang w:val="en-GB"/>
        </w:rPr>
      </w:pPr>
      <w:r w:rsidRPr="00373874">
        <w:rPr>
          <w:rFonts w:ascii="Times New Roman" w:hAnsi="Times New Roman" w:cs="Times New Roman"/>
          <w:color w:val="000000" w:themeColor="text1"/>
          <w:sz w:val="22"/>
          <w:szCs w:val="22"/>
          <w:lang w:val="en-GB"/>
        </w:rPr>
        <w:t>In the interest of brevity and conciseness, some adjustments are suggested to render the General Comment more fluent:</w:t>
      </w:r>
    </w:p>
    <w:p w14:paraId="534BE479" w14:textId="77777777" w:rsidR="00373874" w:rsidRPr="00373874" w:rsidRDefault="00373874" w:rsidP="00373874">
      <w:pPr>
        <w:pStyle w:val="NoSpacing"/>
        <w:jc w:val="both"/>
        <w:rPr>
          <w:rFonts w:ascii="Times New Roman" w:hAnsi="Times New Roman" w:cs="Times New Roman"/>
          <w:color w:val="000000" w:themeColor="text1"/>
          <w:sz w:val="22"/>
          <w:szCs w:val="22"/>
          <w:lang w:val="en-GB"/>
        </w:rPr>
      </w:pPr>
    </w:p>
    <w:p w14:paraId="2188E66D" w14:textId="77777777" w:rsidR="00373874" w:rsidRPr="00373874" w:rsidRDefault="00373874" w:rsidP="00373874">
      <w:pPr>
        <w:pStyle w:val="NoSpacing"/>
        <w:numPr>
          <w:ilvl w:val="0"/>
          <w:numId w:val="10"/>
        </w:numPr>
        <w:jc w:val="both"/>
        <w:rPr>
          <w:rFonts w:ascii="Times New Roman" w:hAnsi="Times New Roman" w:cs="Times New Roman"/>
          <w:color w:val="000000" w:themeColor="text1"/>
          <w:sz w:val="22"/>
          <w:szCs w:val="22"/>
          <w:lang w:val="en-GB"/>
        </w:rPr>
      </w:pPr>
      <w:r w:rsidRPr="00373874">
        <w:rPr>
          <w:rFonts w:ascii="Times New Roman" w:hAnsi="Times New Roman" w:cs="Times New Roman"/>
          <w:color w:val="000000" w:themeColor="text1"/>
          <w:sz w:val="22"/>
          <w:szCs w:val="22"/>
          <w:lang w:val="en-GB"/>
        </w:rPr>
        <w:t xml:space="preserve">As mentioned earlier, paragraph 10 could be deleted; </w:t>
      </w:r>
    </w:p>
    <w:p w14:paraId="1BFCAFBA" w14:textId="77777777" w:rsidR="00373874" w:rsidRPr="00373874" w:rsidRDefault="00373874" w:rsidP="00373874">
      <w:pPr>
        <w:pStyle w:val="NoSpacing"/>
        <w:numPr>
          <w:ilvl w:val="0"/>
          <w:numId w:val="10"/>
        </w:numPr>
        <w:jc w:val="both"/>
        <w:rPr>
          <w:rFonts w:ascii="Times New Roman" w:hAnsi="Times New Roman" w:cs="Times New Roman"/>
          <w:color w:val="000000" w:themeColor="text1"/>
          <w:sz w:val="22"/>
          <w:szCs w:val="22"/>
          <w:lang w:val="en-GB"/>
        </w:rPr>
      </w:pPr>
      <w:r w:rsidRPr="00373874">
        <w:rPr>
          <w:rFonts w:ascii="Times New Roman" w:hAnsi="Times New Roman" w:cs="Times New Roman"/>
          <w:color w:val="000000" w:themeColor="text1"/>
          <w:sz w:val="22"/>
          <w:szCs w:val="22"/>
          <w:lang w:val="en-GB"/>
        </w:rPr>
        <w:t xml:space="preserve">Paragraphs 17 and 19 both tackle the definition of “violence” and could therefore be merged; </w:t>
      </w:r>
    </w:p>
    <w:p w14:paraId="47EE3B07" w14:textId="77777777" w:rsidR="00373874" w:rsidRPr="00373874" w:rsidRDefault="00373874" w:rsidP="00373874">
      <w:pPr>
        <w:pStyle w:val="NoSpacing"/>
        <w:numPr>
          <w:ilvl w:val="0"/>
          <w:numId w:val="10"/>
        </w:numPr>
        <w:jc w:val="both"/>
        <w:rPr>
          <w:rFonts w:ascii="Times New Roman" w:hAnsi="Times New Roman" w:cs="Times New Roman"/>
          <w:color w:val="000000" w:themeColor="text1"/>
          <w:sz w:val="22"/>
          <w:szCs w:val="22"/>
          <w:lang w:val="en-GB"/>
        </w:rPr>
      </w:pPr>
      <w:r w:rsidRPr="00373874">
        <w:rPr>
          <w:rFonts w:ascii="Times New Roman" w:hAnsi="Times New Roman" w:cs="Times New Roman"/>
          <w:color w:val="000000" w:themeColor="text1"/>
          <w:sz w:val="22"/>
          <w:szCs w:val="22"/>
          <w:lang w:val="en-GB"/>
        </w:rPr>
        <w:lastRenderedPageBreak/>
        <w:t xml:space="preserve">Paragraph 43 is more or less a restatement of paragraph 40, and could thus be omitted; </w:t>
      </w:r>
    </w:p>
    <w:p w14:paraId="195B47D3" w14:textId="77777777" w:rsidR="00373874" w:rsidRPr="00373874" w:rsidRDefault="00373874" w:rsidP="00373874">
      <w:pPr>
        <w:pStyle w:val="NoSpacing"/>
        <w:numPr>
          <w:ilvl w:val="0"/>
          <w:numId w:val="10"/>
        </w:numPr>
        <w:jc w:val="both"/>
        <w:rPr>
          <w:rFonts w:ascii="Times New Roman" w:hAnsi="Times New Roman" w:cs="Times New Roman"/>
          <w:color w:val="000000" w:themeColor="text1"/>
          <w:sz w:val="22"/>
          <w:szCs w:val="22"/>
          <w:lang w:val="en-GB"/>
        </w:rPr>
      </w:pPr>
      <w:r w:rsidRPr="00373874">
        <w:rPr>
          <w:rFonts w:ascii="Times New Roman" w:hAnsi="Times New Roman" w:cs="Times New Roman"/>
          <w:color w:val="000000" w:themeColor="text1"/>
          <w:sz w:val="22"/>
          <w:szCs w:val="22"/>
          <w:lang w:val="en-GB"/>
        </w:rPr>
        <w:t xml:space="preserve">Paragraph 113 is a recap of issues (the rights </w:t>
      </w:r>
      <w:r w:rsidR="00954EF4">
        <w:rPr>
          <w:rFonts w:ascii="Times New Roman" w:hAnsi="Times New Roman" w:cs="Times New Roman"/>
          <w:color w:val="000000" w:themeColor="text1"/>
          <w:sz w:val="22"/>
          <w:szCs w:val="22"/>
          <w:lang w:val="en-GB"/>
        </w:rPr>
        <w:t xml:space="preserve">and freedoms </w:t>
      </w:r>
      <w:r w:rsidRPr="00373874">
        <w:rPr>
          <w:rFonts w:ascii="Times New Roman" w:hAnsi="Times New Roman" w:cs="Times New Roman"/>
          <w:color w:val="000000" w:themeColor="text1"/>
          <w:sz w:val="22"/>
          <w:szCs w:val="22"/>
          <w:lang w:val="en-GB"/>
        </w:rPr>
        <w:t>of others) handled earlier in the General Comment and could be omitted; and</w:t>
      </w:r>
    </w:p>
    <w:p w14:paraId="5DDF19AE" w14:textId="77777777" w:rsidR="00373874" w:rsidRPr="00373874" w:rsidRDefault="00373874" w:rsidP="00373874">
      <w:pPr>
        <w:pStyle w:val="NoSpacing"/>
        <w:numPr>
          <w:ilvl w:val="0"/>
          <w:numId w:val="10"/>
        </w:numPr>
        <w:jc w:val="both"/>
        <w:rPr>
          <w:rFonts w:ascii="Times New Roman" w:hAnsi="Times New Roman" w:cs="Times New Roman"/>
          <w:color w:val="000000" w:themeColor="text1"/>
          <w:sz w:val="22"/>
          <w:szCs w:val="22"/>
          <w:lang w:val="en-GB"/>
        </w:rPr>
      </w:pPr>
      <w:r w:rsidRPr="00373874">
        <w:rPr>
          <w:rFonts w:ascii="Times New Roman" w:hAnsi="Times New Roman" w:cs="Times New Roman"/>
          <w:color w:val="000000" w:themeColor="text1"/>
          <w:sz w:val="22"/>
          <w:szCs w:val="22"/>
          <w:lang w:val="en-GB"/>
        </w:rPr>
        <w:t xml:space="preserve">Paragraph 144 does not add any new information or opinions and </w:t>
      </w:r>
      <w:proofErr w:type="gramStart"/>
      <w:r w:rsidRPr="00373874">
        <w:rPr>
          <w:rFonts w:ascii="Times New Roman" w:hAnsi="Times New Roman" w:cs="Times New Roman"/>
          <w:color w:val="000000" w:themeColor="text1"/>
          <w:sz w:val="22"/>
          <w:szCs w:val="22"/>
          <w:lang w:val="en-GB"/>
        </w:rPr>
        <w:t>could also</w:t>
      </w:r>
      <w:proofErr w:type="gramEnd"/>
      <w:r w:rsidRPr="00373874">
        <w:rPr>
          <w:rFonts w:ascii="Times New Roman" w:hAnsi="Times New Roman" w:cs="Times New Roman"/>
          <w:color w:val="000000" w:themeColor="text1"/>
          <w:sz w:val="22"/>
          <w:szCs w:val="22"/>
          <w:lang w:val="en-GB"/>
        </w:rPr>
        <w:t xml:space="preserve"> be omitted.</w:t>
      </w:r>
    </w:p>
    <w:p w14:paraId="65570730" w14:textId="4D6CB0A2" w:rsidR="002F1697" w:rsidRDefault="002F1697">
      <w:pPr>
        <w:rPr>
          <w:rFonts w:eastAsiaTheme="minorHAnsi"/>
          <w:color w:val="000000" w:themeColor="text1"/>
          <w:sz w:val="22"/>
          <w:szCs w:val="22"/>
          <w:lang w:val="en-GB" w:eastAsia="en-US"/>
        </w:rPr>
      </w:pPr>
      <w:r>
        <w:rPr>
          <w:color w:val="000000" w:themeColor="text1"/>
          <w:sz w:val="22"/>
          <w:szCs w:val="22"/>
          <w:lang w:val="en-GB"/>
        </w:rPr>
        <w:br w:type="page"/>
      </w:r>
    </w:p>
    <w:p w14:paraId="5DC11975" w14:textId="77777777" w:rsidR="0017353E" w:rsidRPr="00373874" w:rsidRDefault="0017353E" w:rsidP="00373874">
      <w:pPr>
        <w:pStyle w:val="NoSpacing"/>
        <w:jc w:val="both"/>
        <w:rPr>
          <w:rFonts w:ascii="Times New Roman" w:hAnsi="Times New Roman" w:cs="Times New Roman"/>
          <w:color w:val="000000" w:themeColor="text1"/>
          <w:sz w:val="22"/>
          <w:szCs w:val="22"/>
          <w:lang w:val="en-GB"/>
        </w:rPr>
      </w:pPr>
    </w:p>
    <w:p w14:paraId="527BC1D0" w14:textId="77777777" w:rsidR="00373874" w:rsidRPr="00373874" w:rsidRDefault="00373874" w:rsidP="00373874">
      <w:pPr>
        <w:pStyle w:val="NoSpacing"/>
        <w:numPr>
          <w:ilvl w:val="0"/>
          <w:numId w:val="4"/>
        </w:numPr>
        <w:jc w:val="both"/>
        <w:rPr>
          <w:rFonts w:ascii="Times New Roman" w:hAnsi="Times New Roman" w:cs="Times New Roman"/>
          <w:b/>
          <w:color w:val="000000" w:themeColor="text1"/>
          <w:sz w:val="22"/>
          <w:szCs w:val="22"/>
          <w:lang w:val="en-GB"/>
        </w:rPr>
      </w:pPr>
      <w:r>
        <w:rPr>
          <w:rFonts w:ascii="Times New Roman" w:hAnsi="Times New Roman" w:cs="Times New Roman"/>
          <w:b/>
          <w:color w:val="000000" w:themeColor="text1"/>
          <w:sz w:val="22"/>
          <w:szCs w:val="22"/>
          <w:lang w:val="en-GB"/>
        </w:rPr>
        <w:t>Relationship between article 20 and article 21 of the Covenant</w:t>
      </w:r>
    </w:p>
    <w:p w14:paraId="70C72BEA" w14:textId="77777777" w:rsidR="00373874" w:rsidRPr="00373874" w:rsidRDefault="00373874" w:rsidP="00373874">
      <w:pPr>
        <w:pStyle w:val="NoSpacing"/>
        <w:jc w:val="both"/>
        <w:rPr>
          <w:rFonts w:ascii="Times New Roman" w:hAnsi="Times New Roman" w:cs="Times New Roman"/>
          <w:color w:val="000000" w:themeColor="text1"/>
          <w:sz w:val="22"/>
          <w:szCs w:val="22"/>
          <w:lang w:val="en-GB"/>
        </w:rPr>
      </w:pPr>
    </w:p>
    <w:p w14:paraId="23ECAAAB" w14:textId="77777777" w:rsidR="00373874" w:rsidRPr="00373874" w:rsidRDefault="00373874" w:rsidP="00373874">
      <w:pPr>
        <w:pStyle w:val="NoSpacing"/>
        <w:numPr>
          <w:ilvl w:val="0"/>
          <w:numId w:val="5"/>
        </w:numPr>
        <w:jc w:val="both"/>
        <w:rPr>
          <w:rFonts w:ascii="Times New Roman" w:hAnsi="Times New Roman" w:cs="Times New Roman"/>
          <w:color w:val="000000" w:themeColor="text1"/>
          <w:sz w:val="22"/>
          <w:szCs w:val="22"/>
          <w:lang w:val="en-GB"/>
        </w:rPr>
      </w:pPr>
      <w:r w:rsidRPr="00373874">
        <w:rPr>
          <w:rFonts w:ascii="Times New Roman" w:eastAsia="Times New Roman" w:hAnsi="Times New Roman" w:cs="Times New Roman"/>
          <w:color w:val="000000" w:themeColor="text1"/>
          <w:sz w:val="22"/>
          <w:szCs w:val="22"/>
          <w:lang w:val="en-GB" w:eastAsia="fr-FR"/>
        </w:rPr>
        <w:t xml:space="preserve">Since the right of peaceful assembly implies an expressive element, it is clear that such right </w:t>
      </w:r>
      <w:proofErr w:type="gramStart"/>
      <w:r w:rsidRPr="00373874">
        <w:rPr>
          <w:rFonts w:ascii="Times New Roman" w:eastAsia="Times New Roman" w:hAnsi="Times New Roman" w:cs="Times New Roman"/>
          <w:color w:val="000000" w:themeColor="text1"/>
          <w:sz w:val="22"/>
          <w:szCs w:val="22"/>
          <w:lang w:val="en-GB" w:eastAsia="fr-FR"/>
        </w:rPr>
        <w:t>can only be fully protected</w:t>
      </w:r>
      <w:proofErr w:type="gramEnd"/>
      <w:r w:rsidRPr="00373874">
        <w:rPr>
          <w:rFonts w:ascii="Times New Roman" w:eastAsia="Times New Roman" w:hAnsi="Times New Roman" w:cs="Times New Roman"/>
          <w:color w:val="000000" w:themeColor="text1"/>
          <w:sz w:val="22"/>
          <w:szCs w:val="22"/>
          <w:lang w:val="en-GB" w:eastAsia="fr-FR"/>
        </w:rPr>
        <w:t xml:space="preserve"> </w:t>
      </w:r>
      <w:r w:rsidRPr="00373874">
        <w:rPr>
          <w:rFonts w:ascii="Times New Roman" w:hAnsi="Times New Roman" w:cs="Times New Roman"/>
          <w:color w:val="000000" w:themeColor="text1"/>
          <w:sz w:val="22"/>
          <w:szCs w:val="22"/>
          <w:lang w:val="en-GB"/>
        </w:rPr>
        <w:t>when the other rights related to political freedom – “notably freedom of expression</w:t>
      </w:r>
      <w:r w:rsidRPr="00373874">
        <w:rPr>
          <w:rFonts w:ascii="Times New Roman" w:eastAsia="Times New Roman" w:hAnsi="Times New Roman" w:cs="Times New Roman"/>
          <w:color w:val="000000" w:themeColor="text1"/>
          <w:sz w:val="22"/>
          <w:szCs w:val="22"/>
          <w:lang w:val="en-GB" w:eastAsia="fr-FR"/>
        </w:rPr>
        <w:t>” –</w:t>
      </w:r>
      <w:r w:rsidRPr="00373874">
        <w:rPr>
          <w:rFonts w:ascii="Times New Roman" w:hAnsi="Times New Roman" w:cs="Times New Roman"/>
          <w:color w:val="000000" w:themeColor="text1"/>
          <w:sz w:val="22"/>
          <w:szCs w:val="22"/>
          <w:lang w:val="en-GB"/>
        </w:rPr>
        <w:t xml:space="preserve"> are also protected</w:t>
      </w:r>
      <w:r w:rsidR="00A95059">
        <w:rPr>
          <w:rFonts w:ascii="Times New Roman" w:hAnsi="Times New Roman" w:cs="Times New Roman"/>
          <w:color w:val="000000" w:themeColor="text1"/>
          <w:sz w:val="22"/>
          <w:szCs w:val="22"/>
          <w:lang w:val="en-GB"/>
        </w:rPr>
        <w:t xml:space="preserve"> (see paragraph 9 of the General Comment</w:t>
      </w:r>
      <w:r w:rsidR="00B86C81">
        <w:rPr>
          <w:rFonts w:ascii="Times New Roman" w:hAnsi="Times New Roman" w:cs="Times New Roman"/>
          <w:color w:val="000000" w:themeColor="text1"/>
          <w:sz w:val="22"/>
          <w:szCs w:val="22"/>
          <w:lang w:val="en-GB"/>
        </w:rPr>
        <w:t>)</w:t>
      </w:r>
      <w:r w:rsidRPr="00373874">
        <w:rPr>
          <w:rFonts w:ascii="Times New Roman" w:eastAsia="Times New Roman" w:hAnsi="Times New Roman" w:cs="Times New Roman"/>
          <w:color w:val="000000" w:themeColor="text1"/>
          <w:sz w:val="22"/>
          <w:szCs w:val="22"/>
          <w:lang w:val="en-GB" w:eastAsia="fr-FR"/>
        </w:rPr>
        <w:t>. For that reason, the Human Rights Committee proposes that, when dealing with the expressive element of the assembly, “</w:t>
      </w:r>
      <w:r w:rsidRPr="00373874">
        <w:rPr>
          <w:rFonts w:ascii="Times New Roman" w:hAnsi="Times New Roman" w:cs="Times New Roman"/>
          <w:color w:val="000000" w:themeColor="text1"/>
          <w:sz w:val="22"/>
          <w:szCs w:val="22"/>
          <w:lang w:val="en-GB"/>
        </w:rPr>
        <w:t>the rules applicable to freedom of expression should be followed” (</w:t>
      </w:r>
      <w:r w:rsidR="00A95059">
        <w:rPr>
          <w:rFonts w:ascii="Times New Roman" w:hAnsi="Times New Roman" w:cs="Times New Roman"/>
          <w:color w:val="000000" w:themeColor="text1"/>
          <w:sz w:val="22"/>
          <w:szCs w:val="22"/>
          <w:lang w:val="en-GB"/>
        </w:rPr>
        <w:t xml:space="preserve">see paragraph </w:t>
      </w:r>
      <w:r w:rsidRPr="00373874">
        <w:rPr>
          <w:rFonts w:ascii="Times New Roman" w:hAnsi="Times New Roman" w:cs="Times New Roman"/>
          <w:color w:val="000000" w:themeColor="text1"/>
          <w:sz w:val="22"/>
          <w:szCs w:val="22"/>
          <w:lang w:val="en-GB"/>
        </w:rPr>
        <w:t>56).</w:t>
      </w:r>
    </w:p>
    <w:p w14:paraId="495C22EF" w14:textId="77777777" w:rsidR="00373874" w:rsidRPr="00373874" w:rsidRDefault="00373874" w:rsidP="00373874">
      <w:pPr>
        <w:pStyle w:val="NoSpacing"/>
        <w:numPr>
          <w:ilvl w:val="0"/>
          <w:numId w:val="5"/>
        </w:numPr>
        <w:jc w:val="both"/>
        <w:rPr>
          <w:rFonts w:ascii="Times New Roman" w:hAnsi="Times New Roman" w:cs="Times New Roman"/>
          <w:color w:val="000000" w:themeColor="text1"/>
          <w:sz w:val="22"/>
          <w:szCs w:val="22"/>
          <w:lang w:val="en-GB"/>
        </w:rPr>
      </w:pPr>
      <w:r w:rsidRPr="00373874">
        <w:rPr>
          <w:rFonts w:ascii="Times New Roman" w:eastAsia="Times New Roman" w:hAnsi="Times New Roman" w:cs="Times New Roman"/>
          <w:color w:val="000000" w:themeColor="text1"/>
          <w:sz w:val="22"/>
          <w:szCs w:val="22"/>
          <w:lang w:val="en-GB" w:eastAsia="fr-FR"/>
        </w:rPr>
        <w:t xml:space="preserve">Among these rules is the one that requires the expressive content of the assembly to </w:t>
      </w:r>
      <w:proofErr w:type="gramStart"/>
      <w:r w:rsidRPr="00373874">
        <w:rPr>
          <w:rFonts w:ascii="Times New Roman" w:eastAsia="Times New Roman" w:hAnsi="Times New Roman" w:cs="Times New Roman"/>
          <w:color w:val="000000" w:themeColor="text1"/>
          <w:sz w:val="22"/>
          <w:szCs w:val="22"/>
          <w:lang w:val="en-GB" w:eastAsia="fr-FR"/>
        </w:rPr>
        <w:t>be freely determined</w:t>
      </w:r>
      <w:proofErr w:type="gramEnd"/>
      <w:r w:rsidRPr="00373874">
        <w:rPr>
          <w:rFonts w:ascii="Times New Roman" w:eastAsia="Times New Roman" w:hAnsi="Times New Roman" w:cs="Times New Roman"/>
          <w:color w:val="000000" w:themeColor="text1"/>
          <w:sz w:val="22"/>
          <w:szCs w:val="22"/>
          <w:lang w:val="en-GB" w:eastAsia="fr-FR"/>
        </w:rPr>
        <w:t xml:space="preserve"> by the participants. </w:t>
      </w:r>
      <w:proofErr w:type="gramStart"/>
      <w:r w:rsidRPr="00373874">
        <w:rPr>
          <w:rFonts w:ascii="Times New Roman" w:eastAsia="Times New Roman" w:hAnsi="Times New Roman" w:cs="Times New Roman"/>
          <w:color w:val="000000" w:themeColor="text1"/>
          <w:sz w:val="22"/>
          <w:szCs w:val="22"/>
          <w:lang w:val="en-GB" w:eastAsia="fr-FR"/>
        </w:rPr>
        <w:t>It is only under “strictly limited circumstances” that restrictions on peaceful assembly may be based on the content of the message conveyed by the participants (</w:t>
      </w:r>
      <w:r w:rsidR="00A95059">
        <w:rPr>
          <w:rFonts w:ascii="Times New Roman" w:hAnsi="Times New Roman" w:cs="Times New Roman"/>
          <w:color w:val="000000" w:themeColor="text1"/>
          <w:sz w:val="22"/>
          <w:szCs w:val="22"/>
          <w:lang w:val="en-GB"/>
        </w:rPr>
        <w:t xml:space="preserve">see paragraph </w:t>
      </w:r>
      <w:r w:rsidR="00A95059" w:rsidRPr="00373874">
        <w:rPr>
          <w:rFonts w:ascii="Times New Roman" w:hAnsi="Times New Roman" w:cs="Times New Roman"/>
          <w:color w:val="000000" w:themeColor="text1"/>
          <w:sz w:val="22"/>
          <w:szCs w:val="22"/>
          <w:lang w:val="en-GB"/>
        </w:rPr>
        <w:t>56</w:t>
      </w:r>
      <w:r w:rsidRPr="00373874">
        <w:rPr>
          <w:rFonts w:ascii="Times New Roman" w:eastAsia="Times New Roman" w:hAnsi="Times New Roman" w:cs="Times New Roman"/>
          <w:color w:val="000000" w:themeColor="text1"/>
          <w:sz w:val="22"/>
          <w:szCs w:val="22"/>
          <w:lang w:val="en-GB" w:eastAsia="fr-FR"/>
        </w:rPr>
        <w:t>): where the message consists in propaganda for war (ICCPR, article 20(1)), or where the speech is an “</w:t>
      </w:r>
      <w:r w:rsidRPr="00373874">
        <w:rPr>
          <w:rFonts w:ascii="Times New Roman" w:hAnsi="Times New Roman" w:cs="Times New Roman"/>
          <w:color w:val="000000" w:themeColor="text1"/>
          <w:sz w:val="22"/>
          <w:szCs w:val="22"/>
          <w:lang w:val="en-GB"/>
        </w:rPr>
        <w:t>advocacy of national, racial or religious hatred that constitutes incitement to discrimination, hostility or violence” (ICCPR, article 20(2)).</w:t>
      </w:r>
      <w:proofErr w:type="gramEnd"/>
    </w:p>
    <w:p w14:paraId="6EB5093B" w14:textId="77777777" w:rsidR="00373874" w:rsidRPr="00373874" w:rsidRDefault="00373874" w:rsidP="00373874">
      <w:pPr>
        <w:pStyle w:val="NoSpacing"/>
        <w:numPr>
          <w:ilvl w:val="0"/>
          <w:numId w:val="5"/>
        </w:numPr>
        <w:jc w:val="both"/>
        <w:rPr>
          <w:rFonts w:ascii="Times New Roman" w:eastAsia="Times New Roman" w:hAnsi="Times New Roman" w:cs="Times New Roman"/>
          <w:color w:val="000000" w:themeColor="text1"/>
          <w:sz w:val="22"/>
          <w:szCs w:val="22"/>
          <w:lang w:val="en-GB" w:eastAsia="fr-FR"/>
        </w:rPr>
      </w:pPr>
      <w:r w:rsidRPr="00373874">
        <w:rPr>
          <w:rFonts w:ascii="Times New Roman" w:eastAsia="Times New Roman" w:hAnsi="Times New Roman" w:cs="Times New Roman"/>
          <w:color w:val="000000" w:themeColor="text1"/>
          <w:sz w:val="22"/>
          <w:szCs w:val="22"/>
          <w:lang w:val="en-GB" w:eastAsia="fr-FR"/>
        </w:rPr>
        <w:t xml:space="preserve">If the rule contained in article 20 of the Covenant enjoys a consensus among the Human Rights Committee experts, there is </w:t>
      </w:r>
      <w:proofErr w:type="gramStart"/>
      <w:r w:rsidRPr="00373874">
        <w:rPr>
          <w:rFonts w:ascii="Times New Roman" w:eastAsia="Times New Roman" w:hAnsi="Times New Roman" w:cs="Times New Roman"/>
          <w:color w:val="000000" w:themeColor="text1"/>
          <w:sz w:val="22"/>
          <w:szCs w:val="22"/>
          <w:lang w:val="en-GB" w:eastAsia="fr-FR"/>
        </w:rPr>
        <w:t>however</w:t>
      </w:r>
      <w:proofErr w:type="gramEnd"/>
      <w:r w:rsidRPr="00373874">
        <w:rPr>
          <w:rFonts w:ascii="Times New Roman" w:eastAsia="Times New Roman" w:hAnsi="Times New Roman" w:cs="Times New Roman"/>
          <w:color w:val="000000" w:themeColor="text1"/>
          <w:sz w:val="22"/>
          <w:szCs w:val="22"/>
          <w:lang w:val="en-GB" w:eastAsia="fr-FR"/>
        </w:rPr>
        <w:t xml:space="preserve"> no agreement as to whether an assembly that would fall within the previsions of article 20 would be (i) excluded from the protection of article 21; or (ii) be subjected to limitations under article 21. </w:t>
      </w:r>
    </w:p>
    <w:p w14:paraId="3230178B" w14:textId="77777777" w:rsidR="00373874" w:rsidRPr="00373874" w:rsidRDefault="00373874" w:rsidP="00373874">
      <w:pPr>
        <w:pStyle w:val="NoSpacing"/>
        <w:numPr>
          <w:ilvl w:val="0"/>
          <w:numId w:val="5"/>
        </w:numPr>
        <w:jc w:val="both"/>
        <w:rPr>
          <w:rFonts w:ascii="Times New Roman" w:hAnsi="Times New Roman" w:cs="Times New Roman"/>
          <w:color w:val="000000" w:themeColor="text1"/>
          <w:sz w:val="22"/>
          <w:szCs w:val="22"/>
          <w:lang w:val="en-GB"/>
        </w:rPr>
      </w:pPr>
      <w:r w:rsidRPr="00373874">
        <w:rPr>
          <w:rFonts w:ascii="Times New Roman" w:eastAsia="Times New Roman" w:hAnsi="Times New Roman" w:cs="Times New Roman"/>
          <w:color w:val="000000" w:themeColor="text1"/>
          <w:sz w:val="22"/>
          <w:szCs w:val="22"/>
          <w:lang w:val="en-GB" w:eastAsia="fr-FR"/>
        </w:rPr>
        <w:t xml:space="preserve">The first option would mean that, because of the message it conveys, an assembly falls outside the scope of protection of article 21: the assembly – and those participating to it – do not enjoy any protection at all under the Covenant. </w:t>
      </w:r>
      <w:proofErr w:type="gramStart"/>
      <w:r w:rsidRPr="00373874">
        <w:rPr>
          <w:rFonts w:ascii="Times New Roman" w:eastAsia="Times New Roman" w:hAnsi="Times New Roman" w:cs="Times New Roman"/>
          <w:color w:val="000000" w:themeColor="text1"/>
          <w:sz w:val="22"/>
          <w:szCs w:val="22"/>
          <w:lang w:val="en-GB" w:eastAsia="fr-FR"/>
        </w:rPr>
        <w:t>However, if article 20 is contemplated as a restriction to the right of peaceful assembly, then it means that the assembly remains under the scope of protection of article 21, but, because of the message it conveys, may be restricted – in which case the proportionality test applies and the right of peaceful assembly would be more or less restricted on a case-by-case basis.</w:t>
      </w:r>
      <w:proofErr w:type="gramEnd"/>
    </w:p>
    <w:p w14:paraId="7A03F3C1" w14:textId="77777777" w:rsidR="00373874" w:rsidRPr="00373874" w:rsidRDefault="00373874" w:rsidP="00373874">
      <w:pPr>
        <w:pStyle w:val="NoSpacing"/>
        <w:jc w:val="both"/>
        <w:rPr>
          <w:rFonts w:ascii="Times New Roman" w:hAnsi="Times New Roman" w:cs="Times New Roman"/>
          <w:color w:val="000000" w:themeColor="text1"/>
          <w:sz w:val="22"/>
          <w:szCs w:val="22"/>
          <w:lang w:val="en-GB"/>
        </w:rPr>
      </w:pPr>
    </w:p>
    <w:p w14:paraId="04AB1F2A" w14:textId="77777777" w:rsidR="00373874" w:rsidRPr="00373874" w:rsidRDefault="00373874" w:rsidP="00373874">
      <w:pPr>
        <w:pStyle w:val="NoSpacing"/>
        <w:jc w:val="both"/>
        <w:rPr>
          <w:rFonts w:ascii="Times New Roman" w:eastAsia="Times New Roman" w:hAnsi="Times New Roman" w:cs="Times New Roman"/>
          <w:i/>
          <w:color w:val="000000" w:themeColor="text1"/>
          <w:sz w:val="22"/>
          <w:szCs w:val="22"/>
          <w:lang w:val="en-GB" w:eastAsia="fr-FR"/>
        </w:rPr>
      </w:pPr>
      <w:r w:rsidRPr="00373874">
        <w:rPr>
          <w:rFonts w:ascii="Times New Roman" w:eastAsia="Times New Roman" w:hAnsi="Times New Roman" w:cs="Times New Roman"/>
          <w:i/>
          <w:color w:val="000000" w:themeColor="text1"/>
          <w:sz w:val="22"/>
          <w:szCs w:val="22"/>
          <w:lang w:val="en-GB" w:eastAsia="fr-FR"/>
        </w:rPr>
        <w:t>Article 20 as an exclusion of the assembly from the protection of article 21</w:t>
      </w:r>
    </w:p>
    <w:p w14:paraId="33D73F0A" w14:textId="77777777" w:rsidR="00373874" w:rsidRPr="00373874" w:rsidRDefault="00373874" w:rsidP="00373874">
      <w:pPr>
        <w:pStyle w:val="NoSpacing"/>
        <w:jc w:val="both"/>
        <w:rPr>
          <w:rFonts w:ascii="Times New Roman" w:hAnsi="Times New Roman" w:cs="Times New Roman"/>
          <w:color w:val="000000" w:themeColor="text1"/>
          <w:sz w:val="22"/>
          <w:szCs w:val="22"/>
          <w:lang w:val="en-GB"/>
        </w:rPr>
      </w:pPr>
    </w:p>
    <w:p w14:paraId="639A1F9F" w14:textId="77777777" w:rsidR="00373874" w:rsidRPr="00373874" w:rsidRDefault="00373874" w:rsidP="00373874">
      <w:pPr>
        <w:pStyle w:val="NoSpacing"/>
        <w:numPr>
          <w:ilvl w:val="0"/>
          <w:numId w:val="5"/>
        </w:numPr>
        <w:jc w:val="both"/>
        <w:rPr>
          <w:rFonts w:ascii="Times New Roman" w:eastAsia="Times New Roman" w:hAnsi="Times New Roman" w:cs="Times New Roman"/>
          <w:color w:val="000000" w:themeColor="text1"/>
          <w:sz w:val="22"/>
          <w:szCs w:val="22"/>
          <w:lang w:val="en-GB" w:eastAsia="fr-FR"/>
        </w:rPr>
      </w:pPr>
      <w:r w:rsidRPr="00373874">
        <w:rPr>
          <w:rFonts w:ascii="Times New Roman" w:eastAsia="Times New Roman" w:hAnsi="Times New Roman" w:cs="Times New Roman"/>
          <w:color w:val="000000" w:themeColor="text1"/>
          <w:sz w:val="22"/>
          <w:szCs w:val="22"/>
          <w:lang w:val="en-GB" w:eastAsia="fr-FR"/>
        </w:rPr>
        <w:t xml:space="preserve">As “option 1”, the Human Rights Committee suggests </w:t>
      </w:r>
      <w:r w:rsidR="00B86C81">
        <w:rPr>
          <w:rFonts w:ascii="Times New Roman" w:eastAsia="Times New Roman" w:hAnsi="Times New Roman" w:cs="Times New Roman"/>
          <w:color w:val="000000" w:themeColor="text1"/>
          <w:sz w:val="22"/>
          <w:szCs w:val="22"/>
          <w:lang w:val="en-GB" w:eastAsia="fr-FR"/>
        </w:rPr>
        <w:t xml:space="preserve">at paragraph 22 </w:t>
      </w:r>
      <w:r w:rsidRPr="00373874">
        <w:rPr>
          <w:rFonts w:ascii="Times New Roman" w:eastAsia="Times New Roman" w:hAnsi="Times New Roman" w:cs="Times New Roman"/>
          <w:color w:val="000000" w:themeColor="text1"/>
          <w:sz w:val="22"/>
          <w:szCs w:val="22"/>
          <w:lang w:val="en-GB" w:eastAsia="fr-FR"/>
        </w:rPr>
        <w:t xml:space="preserve">that </w:t>
      </w:r>
      <w:r w:rsidRPr="00373874">
        <w:rPr>
          <w:rFonts w:ascii="Times New Roman" w:hAnsi="Times New Roman" w:cs="Times New Roman"/>
          <w:color w:val="000000" w:themeColor="text1"/>
          <w:sz w:val="22"/>
          <w:szCs w:val="22"/>
          <w:lang w:val="en-GB"/>
        </w:rPr>
        <w:t xml:space="preserve">“participation in assemblies where the expressive purpose is covered by article 20 does not fall within the scope of, and is not protected by, article 21”. </w:t>
      </w:r>
    </w:p>
    <w:p w14:paraId="2ABC116C" w14:textId="77777777" w:rsidR="00373874" w:rsidRPr="00373874" w:rsidRDefault="00373874" w:rsidP="00373874">
      <w:pPr>
        <w:pStyle w:val="NoSpacing"/>
        <w:numPr>
          <w:ilvl w:val="0"/>
          <w:numId w:val="5"/>
        </w:numPr>
        <w:jc w:val="both"/>
        <w:rPr>
          <w:rFonts w:ascii="Times New Roman" w:eastAsia="Times New Roman" w:hAnsi="Times New Roman" w:cs="Times New Roman"/>
          <w:color w:val="000000" w:themeColor="text1"/>
          <w:sz w:val="22"/>
          <w:szCs w:val="22"/>
          <w:lang w:val="en-GB" w:eastAsia="fr-FR"/>
        </w:rPr>
      </w:pPr>
      <w:r w:rsidRPr="00373874">
        <w:rPr>
          <w:rFonts w:ascii="Times New Roman" w:eastAsia="Times New Roman" w:hAnsi="Times New Roman" w:cs="Times New Roman"/>
          <w:color w:val="000000" w:themeColor="text1"/>
          <w:sz w:val="22"/>
          <w:szCs w:val="22"/>
          <w:lang w:val="en-GB" w:eastAsia="fr-FR"/>
        </w:rPr>
        <w:t xml:space="preserve">This is the position that </w:t>
      </w:r>
      <w:proofErr w:type="gramStart"/>
      <w:r w:rsidRPr="00373874">
        <w:rPr>
          <w:rFonts w:ascii="Times New Roman" w:eastAsia="Times New Roman" w:hAnsi="Times New Roman" w:cs="Times New Roman"/>
          <w:color w:val="000000" w:themeColor="text1"/>
          <w:sz w:val="22"/>
          <w:szCs w:val="22"/>
          <w:lang w:val="en-GB" w:eastAsia="fr-FR"/>
        </w:rPr>
        <w:t>is generally adopted</w:t>
      </w:r>
      <w:proofErr w:type="gramEnd"/>
      <w:r w:rsidRPr="00373874">
        <w:rPr>
          <w:rFonts w:ascii="Times New Roman" w:eastAsia="Times New Roman" w:hAnsi="Times New Roman" w:cs="Times New Roman"/>
          <w:color w:val="000000" w:themeColor="text1"/>
          <w:sz w:val="22"/>
          <w:szCs w:val="22"/>
          <w:lang w:val="en-GB" w:eastAsia="fr-FR"/>
        </w:rPr>
        <w:t xml:space="preserve"> by the different regional systems of protection of human rights. As far as the American system is concerned, the Special rapporteur on freedom of expression of the Inter-American Commission on Human Rights (IACHR) has specified that certain types of speech “</w:t>
      </w:r>
      <w:r w:rsidRPr="00373874">
        <w:rPr>
          <w:rFonts w:ascii="Times New Roman" w:hAnsi="Times New Roman" w:cs="Times New Roman"/>
          <w:color w:val="000000" w:themeColor="text1"/>
          <w:sz w:val="22"/>
          <w:szCs w:val="22"/>
          <w:lang w:val="en-GB"/>
        </w:rPr>
        <w:t>do not enjoy protection under Article 13 of the American Convention within the framework of a social protest. Specifically, this includes war propaganda and hate speech that constitutes incitement to violence on discriminatory grounds such as sexual orientation, gender, race, religion, or nationality</w:t>
      </w:r>
      <w:r w:rsidRPr="00373874">
        <w:rPr>
          <w:rStyle w:val="FootnoteReference"/>
          <w:rFonts w:cs="Times New Roman"/>
          <w:color w:val="000000" w:themeColor="text1"/>
          <w:sz w:val="22"/>
          <w:szCs w:val="22"/>
          <w:lang w:val="en-GB"/>
        </w:rPr>
        <w:footnoteReference w:id="8"/>
      </w:r>
      <w:r w:rsidRPr="00373874">
        <w:rPr>
          <w:rFonts w:ascii="Times New Roman" w:eastAsia="Times New Roman" w:hAnsi="Times New Roman" w:cs="Times New Roman"/>
          <w:color w:val="000000" w:themeColor="text1"/>
          <w:sz w:val="22"/>
          <w:szCs w:val="22"/>
          <w:lang w:val="en-GB" w:eastAsia="fr-FR"/>
        </w:rPr>
        <w:t xml:space="preserve">”. Likewise, in the context of the African Commission on Human and People’s Rights, messages conveyed in assemblies </w:t>
      </w:r>
      <w:proofErr w:type="gramStart"/>
      <w:r w:rsidRPr="00373874">
        <w:rPr>
          <w:rFonts w:ascii="Times New Roman" w:eastAsia="Times New Roman" w:hAnsi="Times New Roman" w:cs="Times New Roman"/>
          <w:color w:val="000000" w:themeColor="text1"/>
          <w:sz w:val="22"/>
          <w:szCs w:val="22"/>
          <w:lang w:val="en-GB" w:eastAsia="fr-FR"/>
        </w:rPr>
        <w:t>are protected</w:t>
      </w:r>
      <w:proofErr w:type="gramEnd"/>
      <w:r w:rsidRPr="00373874">
        <w:rPr>
          <w:rFonts w:ascii="Times New Roman" w:eastAsia="Times New Roman" w:hAnsi="Times New Roman" w:cs="Times New Roman"/>
          <w:color w:val="000000" w:themeColor="text1"/>
          <w:sz w:val="22"/>
          <w:szCs w:val="22"/>
          <w:lang w:val="en-GB" w:eastAsia="fr-FR"/>
        </w:rPr>
        <w:t xml:space="preserve"> by freedom of expression, but “hate speech and the incitement of violence are not protected</w:t>
      </w:r>
      <w:r w:rsidRPr="00373874">
        <w:rPr>
          <w:rStyle w:val="FootnoteReference"/>
          <w:rFonts w:eastAsia="Times New Roman" w:cs="Times New Roman"/>
          <w:color w:val="000000" w:themeColor="text1"/>
          <w:sz w:val="22"/>
          <w:szCs w:val="22"/>
          <w:lang w:val="en-GB" w:eastAsia="fr-FR"/>
        </w:rPr>
        <w:footnoteReference w:id="9"/>
      </w:r>
      <w:r w:rsidRPr="00373874">
        <w:rPr>
          <w:rFonts w:ascii="Times New Roman" w:eastAsia="Times New Roman" w:hAnsi="Times New Roman" w:cs="Times New Roman"/>
          <w:color w:val="000000" w:themeColor="text1"/>
          <w:sz w:val="22"/>
          <w:szCs w:val="22"/>
          <w:lang w:val="en-GB" w:eastAsia="fr-FR"/>
        </w:rPr>
        <w:t xml:space="preserve">”. </w:t>
      </w:r>
    </w:p>
    <w:p w14:paraId="0BF51CFA" w14:textId="201C06BA" w:rsidR="00373874" w:rsidRPr="00373874" w:rsidRDefault="006429AD" w:rsidP="00373874">
      <w:pPr>
        <w:pStyle w:val="NoSpacing"/>
        <w:numPr>
          <w:ilvl w:val="0"/>
          <w:numId w:val="5"/>
        </w:numPr>
        <w:jc w:val="both"/>
        <w:rPr>
          <w:rFonts w:ascii="Times New Roman" w:eastAsia="Times New Roman" w:hAnsi="Times New Roman" w:cs="Times New Roman"/>
          <w:color w:val="000000" w:themeColor="text1"/>
          <w:sz w:val="22"/>
          <w:szCs w:val="22"/>
          <w:lang w:val="en-GB" w:eastAsia="fr-FR"/>
        </w:rPr>
      </w:pPr>
      <w:r>
        <w:rPr>
          <w:rFonts w:ascii="Times New Roman" w:eastAsia="Times New Roman" w:hAnsi="Times New Roman" w:cs="Times New Roman"/>
          <w:color w:val="000000" w:themeColor="text1"/>
          <w:sz w:val="22"/>
          <w:szCs w:val="22"/>
          <w:lang w:val="en-GB" w:eastAsia="fr-FR"/>
        </w:rPr>
        <w:t>In the</w:t>
      </w:r>
      <w:r w:rsidR="00373874" w:rsidRPr="00373874">
        <w:rPr>
          <w:rFonts w:ascii="Times New Roman" w:eastAsia="Times New Roman" w:hAnsi="Times New Roman" w:cs="Times New Roman"/>
          <w:color w:val="000000" w:themeColor="text1"/>
          <w:sz w:val="22"/>
          <w:szCs w:val="22"/>
          <w:lang w:val="en-GB" w:eastAsia="fr-FR"/>
        </w:rPr>
        <w:t xml:space="preserve"> European system, the European Court of Human Rights (</w:t>
      </w:r>
      <w:proofErr w:type="spellStart"/>
      <w:r w:rsidR="00373874" w:rsidRPr="00373874">
        <w:rPr>
          <w:rFonts w:ascii="Times New Roman" w:eastAsia="Times New Roman" w:hAnsi="Times New Roman" w:cs="Times New Roman"/>
          <w:color w:val="000000" w:themeColor="text1"/>
          <w:sz w:val="22"/>
          <w:szCs w:val="22"/>
          <w:lang w:val="en-GB" w:eastAsia="fr-FR"/>
        </w:rPr>
        <w:t>ECtHR</w:t>
      </w:r>
      <w:proofErr w:type="spellEnd"/>
      <w:r w:rsidR="00373874" w:rsidRPr="00373874">
        <w:rPr>
          <w:rFonts w:ascii="Times New Roman" w:eastAsia="Times New Roman" w:hAnsi="Times New Roman" w:cs="Times New Roman"/>
          <w:color w:val="000000" w:themeColor="text1"/>
          <w:sz w:val="22"/>
          <w:szCs w:val="22"/>
          <w:lang w:val="en-GB" w:eastAsia="fr-FR"/>
        </w:rPr>
        <w:t xml:space="preserve">) has addressed the issue of hate speech not specifically in the context of article 11 of the European Convention (freedom of assembly and association) but rather in the context of article 10 (freedom of expression). </w:t>
      </w:r>
      <w:proofErr w:type="gramStart"/>
      <w:r w:rsidR="00373874" w:rsidRPr="00373874">
        <w:rPr>
          <w:rFonts w:ascii="Times New Roman" w:eastAsia="Times New Roman" w:hAnsi="Times New Roman" w:cs="Times New Roman"/>
          <w:color w:val="000000" w:themeColor="text1"/>
          <w:sz w:val="22"/>
          <w:szCs w:val="22"/>
          <w:lang w:val="en-GB" w:eastAsia="fr-FR"/>
        </w:rPr>
        <w:t xml:space="preserve">For instance, the </w:t>
      </w:r>
      <w:proofErr w:type="spellStart"/>
      <w:r w:rsidR="00373874" w:rsidRPr="00373874">
        <w:rPr>
          <w:rFonts w:ascii="Times New Roman" w:eastAsia="Times New Roman" w:hAnsi="Times New Roman" w:cs="Times New Roman"/>
          <w:color w:val="000000" w:themeColor="text1"/>
          <w:sz w:val="22"/>
          <w:szCs w:val="22"/>
          <w:lang w:val="en-GB" w:eastAsia="fr-FR"/>
        </w:rPr>
        <w:t>ECtHR</w:t>
      </w:r>
      <w:proofErr w:type="spellEnd"/>
      <w:r w:rsidR="00373874" w:rsidRPr="00373874">
        <w:rPr>
          <w:rFonts w:ascii="Times New Roman" w:eastAsia="Times New Roman" w:hAnsi="Times New Roman" w:cs="Times New Roman"/>
          <w:color w:val="000000" w:themeColor="text1"/>
          <w:sz w:val="22"/>
          <w:szCs w:val="22"/>
          <w:lang w:val="en-GB" w:eastAsia="fr-FR"/>
        </w:rPr>
        <w:t xml:space="preserve"> has declared a claim to be inadmissible, on the basis of article 17 of the European Convention, as the applicant had attempted to “deflect Article 10 from its real purpose by seeking to use his right to freedom of expression for ends which […] would contribute to the destruction of the rights and freedoms guaranteed by the Convention</w:t>
      </w:r>
      <w:r w:rsidR="00373874" w:rsidRPr="00373874">
        <w:rPr>
          <w:rStyle w:val="FootnoteReference"/>
          <w:rFonts w:eastAsia="Times New Roman" w:cs="Times New Roman"/>
          <w:color w:val="000000" w:themeColor="text1"/>
          <w:sz w:val="22"/>
          <w:szCs w:val="22"/>
          <w:lang w:val="en-GB" w:eastAsia="fr-FR"/>
        </w:rPr>
        <w:footnoteReference w:id="10"/>
      </w:r>
      <w:r w:rsidR="00373874" w:rsidRPr="00373874">
        <w:rPr>
          <w:rFonts w:ascii="Times New Roman" w:eastAsia="Times New Roman" w:hAnsi="Times New Roman" w:cs="Times New Roman"/>
          <w:color w:val="000000" w:themeColor="text1"/>
          <w:sz w:val="22"/>
          <w:szCs w:val="22"/>
          <w:lang w:val="en-GB" w:eastAsia="fr-FR"/>
        </w:rPr>
        <w:t>”.</w:t>
      </w:r>
      <w:proofErr w:type="gramEnd"/>
      <w:r w:rsidR="00373874" w:rsidRPr="00373874">
        <w:rPr>
          <w:rFonts w:ascii="Times New Roman" w:eastAsia="Times New Roman" w:hAnsi="Times New Roman" w:cs="Times New Roman"/>
          <w:color w:val="000000" w:themeColor="text1"/>
          <w:sz w:val="22"/>
          <w:szCs w:val="22"/>
          <w:lang w:val="en-GB" w:eastAsia="fr-FR"/>
        </w:rPr>
        <w:t xml:space="preserve"> In this case, the </w:t>
      </w:r>
      <w:proofErr w:type="spellStart"/>
      <w:r w:rsidR="00373874" w:rsidRPr="00373874">
        <w:rPr>
          <w:rFonts w:ascii="Times New Roman" w:eastAsia="Times New Roman" w:hAnsi="Times New Roman" w:cs="Times New Roman"/>
          <w:color w:val="000000" w:themeColor="text1"/>
          <w:sz w:val="22"/>
          <w:szCs w:val="22"/>
          <w:lang w:val="en-GB" w:eastAsia="fr-FR"/>
        </w:rPr>
        <w:t>ECtHR</w:t>
      </w:r>
      <w:proofErr w:type="spellEnd"/>
      <w:r w:rsidR="00373874" w:rsidRPr="00373874">
        <w:rPr>
          <w:rFonts w:ascii="Times New Roman" w:eastAsia="Times New Roman" w:hAnsi="Times New Roman" w:cs="Times New Roman"/>
          <w:color w:val="000000" w:themeColor="text1"/>
          <w:sz w:val="22"/>
          <w:szCs w:val="22"/>
          <w:lang w:val="en-GB" w:eastAsia="fr-FR"/>
        </w:rPr>
        <w:t xml:space="preserve"> concluded that the “marked </w:t>
      </w:r>
      <w:proofErr w:type="spellStart"/>
      <w:r w:rsidR="00373874" w:rsidRPr="00373874">
        <w:rPr>
          <w:rFonts w:ascii="Times New Roman" w:eastAsia="Times New Roman" w:hAnsi="Times New Roman" w:cs="Times New Roman"/>
          <w:color w:val="000000" w:themeColor="text1"/>
          <w:sz w:val="22"/>
          <w:szCs w:val="22"/>
          <w:lang w:val="en-GB" w:eastAsia="fr-FR"/>
        </w:rPr>
        <w:t>negationist</w:t>
      </w:r>
      <w:proofErr w:type="spellEnd"/>
      <w:r w:rsidR="00373874" w:rsidRPr="00373874">
        <w:rPr>
          <w:rFonts w:ascii="Times New Roman" w:eastAsia="Times New Roman" w:hAnsi="Times New Roman" w:cs="Times New Roman"/>
          <w:color w:val="000000" w:themeColor="text1"/>
          <w:sz w:val="22"/>
          <w:szCs w:val="22"/>
          <w:lang w:val="en-GB" w:eastAsia="fr-FR"/>
        </w:rPr>
        <w:t xml:space="preserve"> and anti-Semitic character</w:t>
      </w:r>
      <w:r w:rsidR="00373874" w:rsidRPr="00373874">
        <w:rPr>
          <w:rStyle w:val="FootnoteReference"/>
          <w:rFonts w:eastAsia="Times New Roman" w:cs="Times New Roman"/>
          <w:color w:val="000000" w:themeColor="text1"/>
          <w:sz w:val="22"/>
          <w:szCs w:val="22"/>
          <w:lang w:val="en-GB" w:eastAsia="fr-FR"/>
        </w:rPr>
        <w:footnoteReference w:id="11"/>
      </w:r>
      <w:r w:rsidR="00373874" w:rsidRPr="00373874">
        <w:rPr>
          <w:rFonts w:ascii="Times New Roman" w:eastAsia="Times New Roman" w:hAnsi="Times New Roman" w:cs="Times New Roman"/>
          <w:color w:val="000000" w:themeColor="text1"/>
          <w:sz w:val="22"/>
          <w:szCs w:val="22"/>
          <w:lang w:val="en-GB" w:eastAsia="fr-FR"/>
        </w:rPr>
        <w:t xml:space="preserve">” of the impugned speech made it fall </w:t>
      </w:r>
      <w:r w:rsidR="00373874" w:rsidRPr="00373874">
        <w:rPr>
          <w:rFonts w:ascii="Times New Roman" w:eastAsia="Times New Roman" w:hAnsi="Times New Roman" w:cs="Times New Roman"/>
          <w:color w:val="000000" w:themeColor="text1"/>
          <w:sz w:val="22"/>
          <w:szCs w:val="22"/>
          <w:lang w:val="en-GB" w:eastAsia="fr-FR"/>
        </w:rPr>
        <w:lastRenderedPageBreak/>
        <w:t>outside the scope of protection afforded by article 10 of the Convention</w:t>
      </w:r>
      <w:r w:rsidR="00373874" w:rsidRPr="00373874">
        <w:rPr>
          <w:rStyle w:val="FootnoteReference"/>
          <w:rFonts w:eastAsia="Times New Roman" w:cs="Times New Roman"/>
          <w:color w:val="000000" w:themeColor="text1"/>
          <w:sz w:val="22"/>
          <w:szCs w:val="22"/>
          <w:lang w:val="en-GB" w:eastAsia="fr-FR"/>
        </w:rPr>
        <w:footnoteReference w:id="12"/>
      </w:r>
      <w:r w:rsidR="00373874" w:rsidRPr="00373874">
        <w:rPr>
          <w:rFonts w:ascii="Times New Roman" w:eastAsia="Times New Roman" w:hAnsi="Times New Roman" w:cs="Times New Roman"/>
          <w:color w:val="000000" w:themeColor="text1"/>
          <w:sz w:val="22"/>
          <w:szCs w:val="22"/>
          <w:lang w:val="en-GB" w:eastAsia="fr-FR"/>
        </w:rPr>
        <w:t xml:space="preserve">. </w:t>
      </w:r>
      <w:proofErr w:type="gramStart"/>
      <w:r w:rsidR="00373874" w:rsidRPr="00373874">
        <w:rPr>
          <w:rFonts w:ascii="Times New Roman" w:eastAsia="Times New Roman" w:hAnsi="Times New Roman" w:cs="Times New Roman"/>
          <w:color w:val="000000" w:themeColor="text1"/>
          <w:sz w:val="22"/>
          <w:szCs w:val="22"/>
          <w:lang w:val="en-GB" w:eastAsia="fr-FR"/>
        </w:rPr>
        <w:t xml:space="preserve">A parallel can be drawn between article 5(1) of the Covenant and article 17 of the European Convention: therefore, by analogy with the </w:t>
      </w:r>
      <w:proofErr w:type="spellStart"/>
      <w:r w:rsidR="00373874" w:rsidRPr="00373874">
        <w:rPr>
          <w:rFonts w:ascii="Times New Roman" w:eastAsia="Times New Roman" w:hAnsi="Times New Roman" w:cs="Times New Roman"/>
          <w:color w:val="000000" w:themeColor="text1"/>
          <w:sz w:val="22"/>
          <w:szCs w:val="22"/>
          <w:lang w:val="en-GB" w:eastAsia="fr-FR"/>
        </w:rPr>
        <w:t>ECtHR’s</w:t>
      </w:r>
      <w:proofErr w:type="spellEnd"/>
      <w:r w:rsidR="00373874" w:rsidRPr="00373874">
        <w:rPr>
          <w:rFonts w:ascii="Times New Roman" w:eastAsia="Times New Roman" w:hAnsi="Times New Roman" w:cs="Times New Roman"/>
          <w:color w:val="000000" w:themeColor="text1"/>
          <w:sz w:val="22"/>
          <w:szCs w:val="22"/>
          <w:lang w:val="en-GB" w:eastAsia="fr-FR"/>
        </w:rPr>
        <w:t xml:space="preserve"> reasoning, where an assembly falling within the scope of article 20 is at stake, the Human Rights Committee could declare that such assembly is aimed at </w:t>
      </w:r>
      <w:r w:rsidR="00373874" w:rsidRPr="00373874">
        <w:rPr>
          <w:rFonts w:ascii="Times New Roman" w:hAnsi="Times New Roman" w:cs="Times New Roman"/>
          <w:color w:val="000000" w:themeColor="text1"/>
          <w:sz w:val="22"/>
          <w:szCs w:val="22"/>
          <w:shd w:val="clear" w:color="auto" w:fill="FFFFFF"/>
          <w:lang w:val="en-GB"/>
        </w:rPr>
        <w:t>the destruction of the rights recognised in the Covenant, thus excluding such assembly from the scope of protection afforded by article 21.</w:t>
      </w:r>
      <w:proofErr w:type="gramEnd"/>
      <w:r w:rsidR="00373874" w:rsidRPr="00373874">
        <w:rPr>
          <w:rFonts w:ascii="Times New Roman" w:hAnsi="Times New Roman" w:cs="Times New Roman"/>
          <w:color w:val="000000" w:themeColor="text1"/>
          <w:sz w:val="22"/>
          <w:szCs w:val="22"/>
          <w:shd w:val="clear" w:color="auto" w:fill="FFFFFF"/>
          <w:lang w:val="en-GB"/>
        </w:rPr>
        <w:t xml:space="preserve"> </w:t>
      </w:r>
    </w:p>
    <w:p w14:paraId="556553E6" w14:textId="77777777" w:rsidR="00373874" w:rsidRPr="00373874" w:rsidRDefault="00373874" w:rsidP="00373874">
      <w:pPr>
        <w:pStyle w:val="NoSpacing"/>
        <w:numPr>
          <w:ilvl w:val="0"/>
          <w:numId w:val="5"/>
        </w:numPr>
        <w:jc w:val="both"/>
        <w:rPr>
          <w:rFonts w:ascii="Times New Roman" w:eastAsia="Times New Roman" w:hAnsi="Times New Roman" w:cs="Times New Roman"/>
          <w:color w:val="000000" w:themeColor="text1"/>
          <w:sz w:val="22"/>
          <w:szCs w:val="22"/>
          <w:lang w:val="en-GB" w:eastAsia="fr-FR"/>
        </w:rPr>
      </w:pPr>
      <w:r w:rsidRPr="00373874">
        <w:rPr>
          <w:rFonts w:ascii="Times New Roman" w:eastAsia="Times New Roman" w:hAnsi="Times New Roman" w:cs="Times New Roman"/>
          <w:color w:val="000000" w:themeColor="text1"/>
          <w:sz w:val="22"/>
          <w:szCs w:val="22"/>
          <w:lang w:val="en-GB" w:eastAsia="fr-FR"/>
        </w:rPr>
        <w:t>If the Human Rights Committee chooses to contemplate article 20 as excluding the assembly from the scope of article 21, it would align its position with that of the regional systems of protection of human rights.</w:t>
      </w:r>
    </w:p>
    <w:p w14:paraId="2B50776C" w14:textId="77777777" w:rsidR="00373874" w:rsidRPr="00373874" w:rsidRDefault="00373874" w:rsidP="00373874">
      <w:pPr>
        <w:pStyle w:val="NoSpacing"/>
        <w:numPr>
          <w:ilvl w:val="0"/>
          <w:numId w:val="5"/>
        </w:numPr>
        <w:jc w:val="both"/>
        <w:rPr>
          <w:rFonts w:ascii="Times New Roman" w:hAnsi="Times New Roman" w:cs="Times New Roman"/>
          <w:color w:val="000000" w:themeColor="text1"/>
          <w:sz w:val="22"/>
          <w:szCs w:val="22"/>
          <w:lang w:val="en-GB"/>
        </w:rPr>
      </w:pPr>
      <w:r w:rsidRPr="00373874">
        <w:rPr>
          <w:rFonts w:ascii="Times New Roman" w:eastAsia="Times New Roman" w:hAnsi="Times New Roman" w:cs="Times New Roman"/>
          <w:color w:val="000000" w:themeColor="text1"/>
          <w:sz w:val="22"/>
          <w:szCs w:val="22"/>
          <w:lang w:val="en-GB" w:eastAsia="fr-FR"/>
        </w:rPr>
        <w:t xml:space="preserve">Nevertheless, excluding some specific types of speech from the scope of protection guaranteed by article 21 may pose a risk. First, </w:t>
      </w:r>
      <w:r w:rsidRPr="00373874">
        <w:rPr>
          <w:rFonts w:ascii="Times New Roman" w:hAnsi="Times New Roman" w:cs="Times New Roman"/>
          <w:color w:val="000000" w:themeColor="text1"/>
          <w:sz w:val="22"/>
          <w:szCs w:val="22"/>
          <w:lang w:val="en-GB"/>
        </w:rPr>
        <w:t xml:space="preserve">some States might declare some sorts of speech prohibited under article 20 </w:t>
      </w:r>
      <w:proofErr w:type="gramStart"/>
      <w:r w:rsidRPr="00373874">
        <w:rPr>
          <w:rFonts w:ascii="Times New Roman" w:hAnsi="Times New Roman" w:cs="Times New Roman"/>
          <w:color w:val="000000" w:themeColor="text1"/>
          <w:sz w:val="22"/>
          <w:szCs w:val="22"/>
          <w:lang w:val="en-GB"/>
        </w:rPr>
        <w:t>so as to</w:t>
      </w:r>
      <w:proofErr w:type="gramEnd"/>
      <w:r w:rsidRPr="00373874">
        <w:rPr>
          <w:rFonts w:ascii="Times New Roman" w:hAnsi="Times New Roman" w:cs="Times New Roman"/>
          <w:color w:val="000000" w:themeColor="text1"/>
          <w:sz w:val="22"/>
          <w:szCs w:val="22"/>
          <w:lang w:val="en-GB"/>
        </w:rPr>
        <w:t xml:space="preserve"> forbid blasphemy</w:t>
      </w:r>
      <w:r w:rsidRPr="00373874">
        <w:rPr>
          <w:rStyle w:val="FootnoteReference"/>
          <w:rFonts w:cs="Times New Roman"/>
          <w:color w:val="000000" w:themeColor="text1"/>
          <w:sz w:val="22"/>
          <w:szCs w:val="22"/>
          <w:lang w:val="en-GB"/>
        </w:rPr>
        <w:footnoteReference w:id="13"/>
      </w:r>
      <w:r w:rsidRPr="00373874">
        <w:rPr>
          <w:rFonts w:ascii="Times New Roman" w:hAnsi="Times New Roman" w:cs="Times New Roman"/>
          <w:color w:val="000000" w:themeColor="text1"/>
          <w:sz w:val="22"/>
          <w:szCs w:val="22"/>
          <w:lang w:val="en-GB"/>
        </w:rPr>
        <w:t xml:space="preserve"> or expressions of political discontent or opposition</w:t>
      </w:r>
      <w:r w:rsidRPr="00373874">
        <w:rPr>
          <w:rStyle w:val="FootnoteReference"/>
          <w:rFonts w:cs="Times New Roman"/>
          <w:color w:val="000000" w:themeColor="text1"/>
          <w:sz w:val="22"/>
          <w:szCs w:val="22"/>
          <w:lang w:val="en-GB"/>
        </w:rPr>
        <w:footnoteReference w:id="14"/>
      </w:r>
      <w:r w:rsidRPr="00373874">
        <w:rPr>
          <w:rFonts w:ascii="Times New Roman" w:hAnsi="Times New Roman" w:cs="Times New Roman"/>
          <w:color w:val="000000" w:themeColor="text1"/>
          <w:sz w:val="22"/>
          <w:szCs w:val="22"/>
          <w:lang w:val="en-GB"/>
        </w:rPr>
        <w:t xml:space="preserve">. </w:t>
      </w:r>
      <w:proofErr w:type="gramStart"/>
      <w:r w:rsidRPr="00373874">
        <w:rPr>
          <w:rFonts w:ascii="Times New Roman" w:hAnsi="Times New Roman" w:cs="Times New Roman"/>
          <w:color w:val="000000" w:themeColor="text1"/>
          <w:sz w:val="22"/>
          <w:szCs w:val="22"/>
          <w:lang w:val="en-GB"/>
        </w:rPr>
        <w:t xml:space="preserve">Another risk is the selectivity that may be associated with the prohibition of certain types of speech: for instance, the </w:t>
      </w:r>
      <w:proofErr w:type="spellStart"/>
      <w:r w:rsidRPr="00373874">
        <w:rPr>
          <w:rFonts w:ascii="Times New Roman" w:hAnsi="Times New Roman" w:cs="Times New Roman"/>
          <w:color w:val="000000" w:themeColor="text1"/>
          <w:sz w:val="22"/>
          <w:szCs w:val="22"/>
          <w:lang w:val="en-GB"/>
        </w:rPr>
        <w:t>ECtHR</w:t>
      </w:r>
      <w:proofErr w:type="spellEnd"/>
      <w:r w:rsidRPr="00373874">
        <w:rPr>
          <w:rFonts w:ascii="Times New Roman" w:hAnsi="Times New Roman" w:cs="Times New Roman"/>
          <w:color w:val="000000" w:themeColor="text1"/>
          <w:sz w:val="22"/>
          <w:szCs w:val="22"/>
          <w:lang w:val="en-GB"/>
        </w:rPr>
        <w:t xml:space="preserve"> has applied article 17 of the Convention to exclude a Shoah-related </w:t>
      </w:r>
      <w:proofErr w:type="spellStart"/>
      <w:r w:rsidRPr="00373874">
        <w:rPr>
          <w:rFonts w:ascii="Times New Roman" w:hAnsi="Times New Roman" w:cs="Times New Roman"/>
          <w:color w:val="000000" w:themeColor="text1"/>
          <w:sz w:val="22"/>
          <w:szCs w:val="22"/>
          <w:lang w:val="en-GB"/>
        </w:rPr>
        <w:t>negationist</w:t>
      </w:r>
      <w:proofErr w:type="spellEnd"/>
      <w:r w:rsidRPr="00373874">
        <w:rPr>
          <w:rFonts w:ascii="Times New Roman" w:hAnsi="Times New Roman" w:cs="Times New Roman"/>
          <w:color w:val="000000" w:themeColor="text1"/>
          <w:sz w:val="22"/>
          <w:szCs w:val="22"/>
          <w:lang w:val="en-GB"/>
        </w:rPr>
        <w:t xml:space="preserve"> speech from the scope of freedom of expression</w:t>
      </w:r>
      <w:r w:rsidRPr="00373874">
        <w:rPr>
          <w:rStyle w:val="FootnoteReference"/>
          <w:rFonts w:cs="Times New Roman"/>
          <w:color w:val="000000" w:themeColor="text1"/>
          <w:sz w:val="22"/>
          <w:szCs w:val="22"/>
          <w:lang w:val="en-GB"/>
        </w:rPr>
        <w:footnoteReference w:id="15"/>
      </w:r>
      <w:r w:rsidRPr="00373874">
        <w:rPr>
          <w:rFonts w:ascii="Times New Roman" w:hAnsi="Times New Roman" w:cs="Times New Roman"/>
          <w:color w:val="000000" w:themeColor="text1"/>
          <w:sz w:val="22"/>
          <w:szCs w:val="22"/>
          <w:lang w:val="en-GB"/>
        </w:rPr>
        <w:t xml:space="preserve">; however, the </w:t>
      </w:r>
      <w:proofErr w:type="spellStart"/>
      <w:r w:rsidRPr="00373874">
        <w:rPr>
          <w:rFonts w:ascii="Times New Roman" w:hAnsi="Times New Roman" w:cs="Times New Roman"/>
          <w:color w:val="000000" w:themeColor="text1"/>
          <w:sz w:val="22"/>
          <w:szCs w:val="22"/>
          <w:lang w:val="en-GB"/>
        </w:rPr>
        <w:t>ECtHR</w:t>
      </w:r>
      <w:proofErr w:type="spellEnd"/>
      <w:r w:rsidRPr="00373874">
        <w:rPr>
          <w:rFonts w:ascii="Times New Roman" w:hAnsi="Times New Roman" w:cs="Times New Roman"/>
          <w:color w:val="000000" w:themeColor="text1"/>
          <w:sz w:val="22"/>
          <w:szCs w:val="22"/>
          <w:lang w:val="en-GB"/>
        </w:rPr>
        <w:t xml:space="preserve"> has refused to apply article 17 to exclude a speech minimising the allegations on the Armenian genocide in the </w:t>
      </w:r>
      <w:proofErr w:type="spellStart"/>
      <w:r w:rsidRPr="00373874">
        <w:rPr>
          <w:rFonts w:ascii="Times New Roman" w:hAnsi="Times New Roman" w:cs="Times New Roman"/>
          <w:i/>
          <w:color w:val="000000" w:themeColor="text1"/>
          <w:sz w:val="22"/>
          <w:szCs w:val="22"/>
          <w:lang w:val="en-GB"/>
        </w:rPr>
        <w:t>Perinçek</w:t>
      </w:r>
      <w:proofErr w:type="spellEnd"/>
      <w:r w:rsidRPr="00373874">
        <w:rPr>
          <w:rFonts w:ascii="Times New Roman" w:hAnsi="Times New Roman" w:cs="Times New Roman"/>
          <w:color w:val="000000" w:themeColor="text1"/>
          <w:sz w:val="22"/>
          <w:szCs w:val="22"/>
          <w:lang w:val="en-GB"/>
        </w:rPr>
        <w:t xml:space="preserve"> case</w:t>
      </w:r>
      <w:r w:rsidRPr="00373874">
        <w:rPr>
          <w:rStyle w:val="FootnoteReference"/>
          <w:rFonts w:cs="Times New Roman"/>
          <w:color w:val="000000" w:themeColor="text1"/>
          <w:szCs w:val="22"/>
        </w:rPr>
        <w:footnoteReference w:id="16"/>
      </w:r>
      <w:r w:rsidRPr="00373874">
        <w:rPr>
          <w:rFonts w:ascii="Times New Roman" w:hAnsi="Times New Roman" w:cs="Times New Roman"/>
          <w:color w:val="000000" w:themeColor="text1"/>
          <w:sz w:val="22"/>
          <w:szCs w:val="22"/>
          <w:lang w:val="en-GB"/>
        </w:rPr>
        <w:t>.</w:t>
      </w:r>
      <w:proofErr w:type="gramEnd"/>
      <w:r w:rsidRPr="00373874">
        <w:rPr>
          <w:rFonts w:ascii="Times New Roman" w:hAnsi="Times New Roman" w:cs="Times New Roman"/>
          <w:color w:val="000000" w:themeColor="text1"/>
          <w:sz w:val="22"/>
          <w:szCs w:val="22"/>
          <w:lang w:val="en-GB"/>
        </w:rPr>
        <w:t xml:space="preserve"> </w:t>
      </w:r>
    </w:p>
    <w:p w14:paraId="49022E0B" w14:textId="77777777" w:rsidR="00373874" w:rsidRPr="00373874" w:rsidRDefault="00373874" w:rsidP="00373874">
      <w:pPr>
        <w:pStyle w:val="NoSpacing"/>
        <w:jc w:val="both"/>
        <w:rPr>
          <w:rFonts w:ascii="Times New Roman" w:eastAsia="Times New Roman" w:hAnsi="Times New Roman" w:cs="Times New Roman"/>
          <w:color w:val="000000" w:themeColor="text1"/>
          <w:sz w:val="22"/>
          <w:szCs w:val="22"/>
          <w:lang w:val="en-GB" w:eastAsia="fr-FR"/>
        </w:rPr>
      </w:pPr>
    </w:p>
    <w:p w14:paraId="73AD4498" w14:textId="77777777" w:rsidR="00373874" w:rsidRPr="00373874" w:rsidRDefault="00373874" w:rsidP="00373874">
      <w:pPr>
        <w:pStyle w:val="NoSpacing"/>
        <w:jc w:val="both"/>
        <w:rPr>
          <w:rFonts w:ascii="Times New Roman" w:hAnsi="Times New Roman" w:cs="Times New Roman"/>
          <w:color w:val="000000" w:themeColor="text1"/>
          <w:sz w:val="22"/>
          <w:szCs w:val="22"/>
          <w:lang w:val="en-GB"/>
        </w:rPr>
      </w:pPr>
      <w:r w:rsidRPr="00373874">
        <w:rPr>
          <w:rFonts w:ascii="Times New Roman" w:hAnsi="Times New Roman" w:cs="Times New Roman"/>
          <w:i/>
          <w:color w:val="000000" w:themeColor="text1"/>
          <w:sz w:val="22"/>
          <w:szCs w:val="22"/>
          <w:lang w:val="en-GB"/>
        </w:rPr>
        <w:t>Article 20 as a restriction to the right of peaceful assembly</w:t>
      </w:r>
    </w:p>
    <w:p w14:paraId="592D6AF0" w14:textId="77777777" w:rsidR="00373874" w:rsidRPr="00373874" w:rsidRDefault="00373874" w:rsidP="00373874">
      <w:pPr>
        <w:pStyle w:val="NoSpacing"/>
        <w:jc w:val="both"/>
        <w:rPr>
          <w:rFonts w:ascii="Times New Roman" w:hAnsi="Times New Roman" w:cs="Times New Roman"/>
          <w:color w:val="000000" w:themeColor="text1"/>
          <w:sz w:val="22"/>
          <w:szCs w:val="22"/>
          <w:lang w:val="en-GB"/>
        </w:rPr>
      </w:pPr>
    </w:p>
    <w:p w14:paraId="3E6C4C6F" w14:textId="77777777" w:rsidR="00373874" w:rsidRPr="00373874" w:rsidRDefault="00373874" w:rsidP="00373874">
      <w:pPr>
        <w:pStyle w:val="NoSpacing"/>
        <w:numPr>
          <w:ilvl w:val="0"/>
          <w:numId w:val="5"/>
        </w:numPr>
        <w:jc w:val="both"/>
        <w:rPr>
          <w:rFonts w:ascii="Times New Roman" w:eastAsia="Times New Roman" w:hAnsi="Times New Roman" w:cs="Times New Roman"/>
          <w:color w:val="000000" w:themeColor="text1"/>
          <w:sz w:val="22"/>
          <w:szCs w:val="22"/>
          <w:lang w:val="en-GB" w:eastAsia="fr-FR"/>
        </w:rPr>
      </w:pPr>
      <w:r w:rsidRPr="00373874">
        <w:rPr>
          <w:rFonts w:ascii="Times New Roman" w:eastAsia="Times New Roman" w:hAnsi="Times New Roman" w:cs="Times New Roman"/>
          <w:color w:val="000000" w:themeColor="text1"/>
          <w:sz w:val="22"/>
          <w:szCs w:val="22"/>
          <w:lang w:val="en-GB" w:eastAsia="fr-FR"/>
        </w:rPr>
        <w:t xml:space="preserve">As “option 2”, the Human Rights Committee suggests </w:t>
      </w:r>
      <w:r w:rsidR="00B86C81">
        <w:rPr>
          <w:rFonts w:ascii="Times New Roman" w:eastAsia="Times New Roman" w:hAnsi="Times New Roman" w:cs="Times New Roman"/>
          <w:color w:val="000000" w:themeColor="text1"/>
          <w:sz w:val="22"/>
          <w:szCs w:val="22"/>
          <w:lang w:val="en-GB" w:eastAsia="fr-FR"/>
        </w:rPr>
        <w:t xml:space="preserve">at paragraph 22 </w:t>
      </w:r>
      <w:r w:rsidRPr="00373874">
        <w:rPr>
          <w:rFonts w:ascii="Times New Roman" w:eastAsia="Times New Roman" w:hAnsi="Times New Roman" w:cs="Times New Roman"/>
          <w:color w:val="000000" w:themeColor="text1"/>
          <w:sz w:val="22"/>
          <w:szCs w:val="22"/>
          <w:lang w:val="en-GB" w:eastAsia="fr-FR"/>
        </w:rPr>
        <w:t>that</w:t>
      </w:r>
      <w:r w:rsidRPr="00373874">
        <w:rPr>
          <w:rFonts w:ascii="Times New Roman" w:hAnsi="Times New Roman" w:cs="Times New Roman"/>
          <w:color w:val="000000" w:themeColor="text1"/>
          <w:sz w:val="22"/>
          <w:szCs w:val="22"/>
          <w:lang w:val="en-GB"/>
        </w:rPr>
        <w:t xml:space="preserve"> “the need to act against incitement of discrimination or hostility (…) be dealt with in the section on restrictions that require justification”. </w:t>
      </w:r>
    </w:p>
    <w:p w14:paraId="5BBD1098" w14:textId="77777777" w:rsidR="00373874" w:rsidRPr="00373874" w:rsidRDefault="00373874" w:rsidP="00373874">
      <w:pPr>
        <w:pStyle w:val="NoSpacing"/>
        <w:numPr>
          <w:ilvl w:val="0"/>
          <w:numId w:val="5"/>
        </w:numPr>
        <w:jc w:val="both"/>
        <w:rPr>
          <w:rFonts w:ascii="Times New Roman" w:eastAsia="Times New Roman" w:hAnsi="Times New Roman" w:cs="Times New Roman"/>
          <w:color w:val="000000" w:themeColor="text1"/>
          <w:sz w:val="22"/>
          <w:szCs w:val="22"/>
          <w:lang w:val="en-GB" w:eastAsia="fr-FR"/>
        </w:rPr>
      </w:pPr>
      <w:r w:rsidRPr="00373874">
        <w:rPr>
          <w:rFonts w:ascii="Times New Roman" w:hAnsi="Times New Roman" w:cs="Times New Roman"/>
          <w:color w:val="000000" w:themeColor="text1"/>
          <w:sz w:val="22"/>
          <w:szCs w:val="22"/>
          <w:lang w:val="en-GB"/>
        </w:rPr>
        <w:t xml:space="preserve">This is the position adopted by the United Nations Special Rapporteur on the rights to freedom of peaceful assembly and of </w:t>
      </w:r>
      <w:proofErr w:type="gramStart"/>
      <w:r w:rsidRPr="00373874">
        <w:rPr>
          <w:rFonts w:ascii="Times New Roman" w:hAnsi="Times New Roman" w:cs="Times New Roman"/>
          <w:color w:val="000000" w:themeColor="text1"/>
          <w:sz w:val="22"/>
          <w:szCs w:val="22"/>
          <w:lang w:val="en-GB"/>
        </w:rPr>
        <w:t>association</w:t>
      </w:r>
      <w:r w:rsidRPr="00373874">
        <w:rPr>
          <w:rStyle w:val="FootnoteReference"/>
          <w:rFonts w:cs="Times New Roman"/>
          <w:color w:val="000000" w:themeColor="text1"/>
          <w:sz w:val="22"/>
          <w:szCs w:val="22"/>
          <w:lang w:val="en-GB"/>
        </w:rPr>
        <w:footnoteReference w:id="17"/>
      </w:r>
      <w:r w:rsidRPr="00373874">
        <w:rPr>
          <w:rFonts w:ascii="Times New Roman" w:hAnsi="Times New Roman" w:cs="Times New Roman"/>
          <w:color w:val="000000" w:themeColor="text1"/>
          <w:sz w:val="22"/>
          <w:szCs w:val="22"/>
          <w:lang w:val="en-GB"/>
        </w:rPr>
        <w:t>.</w:t>
      </w:r>
      <w:r w:rsidRPr="00373874">
        <w:rPr>
          <w:rFonts w:ascii="Times New Roman" w:eastAsia="Times New Roman" w:hAnsi="Times New Roman" w:cs="Times New Roman"/>
          <w:color w:val="000000" w:themeColor="text1"/>
          <w:sz w:val="22"/>
          <w:szCs w:val="22"/>
          <w:lang w:val="en-GB" w:eastAsia="fr-FR"/>
        </w:rPr>
        <w:t>This</w:t>
      </w:r>
      <w:proofErr w:type="gramEnd"/>
      <w:r w:rsidRPr="00373874">
        <w:rPr>
          <w:rFonts w:ascii="Times New Roman" w:eastAsia="Times New Roman" w:hAnsi="Times New Roman" w:cs="Times New Roman"/>
          <w:color w:val="000000" w:themeColor="text1"/>
          <w:sz w:val="22"/>
          <w:szCs w:val="22"/>
          <w:lang w:val="en-GB" w:eastAsia="fr-FR"/>
        </w:rPr>
        <w:t xml:space="preserve"> position would also be in conformity with the Human Rights Committee’s approach to restrictions to freedom of expression</w:t>
      </w:r>
      <w:r w:rsidRPr="00373874">
        <w:rPr>
          <w:rStyle w:val="FootnoteReference"/>
          <w:rFonts w:eastAsia="Times New Roman" w:cs="Times New Roman"/>
          <w:color w:val="000000" w:themeColor="text1"/>
          <w:sz w:val="22"/>
          <w:szCs w:val="22"/>
          <w:lang w:val="en-GB" w:eastAsia="fr-FR"/>
        </w:rPr>
        <w:footnoteReference w:id="18"/>
      </w:r>
      <w:r w:rsidRPr="00373874">
        <w:rPr>
          <w:rFonts w:ascii="Times New Roman" w:eastAsia="Times New Roman" w:hAnsi="Times New Roman" w:cs="Times New Roman"/>
          <w:color w:val="000000" w:themeColor="text1"/>
          <w:sz w:val="22"/>
          <w:szCs w:val="22"/>
          <w:lang w:val="en-GB" w:eastAsia="fr-FR"/>
        </w:rPr>
        <w:t xml:space="preserve">. In its General Comment </w:t>
      </w:r>
      <w:proofErr w:type="spellStart"/>
      <w:r w:rsidRPr="00373874">
        <w:rPr>
          <w:rFonts w:ascii="Times New Roman" w:eastAsia="Times New Roman" w:hAnsi="Times New Roman" w:cs="Times New Roman"/>
          <w:color w:val="000000" w:themeColor="text1"/>
          <w:sz w:val="22"/>
          <w:szCs w:val="22"/>
          <w:lang w:val="en-GB" w:eastAsia="fr-FR"/>
        </w:rPr>
        <w:t>n</w:t>
      </w:r>
      <w:proofErr w:type="spellEnd"/>
      <w:r w:rsidRPr="00373874">
        <w:rPr>
          <w:rFonts w:ascii="Times New Roman" w:eastAsia="Times New Roman" w:hAnsi="Times New Roman" w:cs="Times New Roman"/>
          <w:color w:val="000000" w:themeColor="text1"/>
          <w:sz w:val="22"/>
          <w:szCs w:val="22"/>
          <w:lang w:val="en-GB" w:eastAsia="fr-FR"/>
        </w:rPr>
        <w:t xml:space="preserve">°34 on freedom of expression, the Human Rights Committee has indeed </w:t>
      </w:r>
      <w:proofErr w:type="gramStart"/>
      <w:r w:rsidRPr="00373874">
        <w:rPr>
          <w:rFonts w:ascii="Times New Roman" w:eastAsia="Times New Roman" w:hAnsi="Times New Roman" w:cs="Times New Roman"/>
          <w:color w:val="000000" w:themeColor="text1"/>
          <w:sz w:val="22"/>
          <w:szCs w:val="22"/>
          <w:lang w:val="en-GB" w:eastAsia="fr-FR"/>
        </w:rPr>
        <w:t>specified that</w:t>
      </w:r>
      <w:proofErr w:type="gramEnd"/>
      <w:r w:rsidRPr="00373874">
        <w:rPr>
          <w:rFonts w:ascii="Times New Roman" w:eastAsia="Times New Roman" w:hAnsi="Times New Roman" w:cs="Times New Roman"/>
          <w:color w:val="000000" w:themeColor="text1"/>
          <w:sz w:val="22"/>
          <w:szCs w:val="22"/>
          <w:lang w:val="en-GB" w:eastAsia="fr-FR"/>
        </w:rPr>
        <w:t xml:space="preserve"> “</w:t>
      </w:r>
      <w:r w:rsidRPr="00373874">
        <w:rPr>
          <w:rFonts w:ascii="Times New Roman" w:hAnsi="Times New Roman" w:cs="Times New Roman"/>
          <w:color w:val="000000" w:themeColor="text1"/>
          <w:sz w:val="22"/>
          <w:szCs w:val="22"/>
          <w:lang w:val="en-GB"/>
        </w:rPr>
        <w:t xml:space="preserve">articles 19 and 20 are compatible with and complement each other. The acts that </w:t>
      </w:r>
      <w:proofErr w:type="gramStart"/>
      <w:r w:rsidRPr="00373874">
        <w:rPr>
          <w:rFonts w:ascii="Times New Roman" w:hAnsi="Times New Roman" w:cs="Times New Roman"/>
          <w:color w:val="000000" w:themeColor="text1"/>
          <w:sz w:val="22"/>
          <w:szCs w:val="22"/>
          <w:lang w:val="en-GB"/>
        </w:rPr>
        <w:t>are addressed</w:t>
      </w:r>
      <w:proofErr w:type="gramEnd"/>
      <w:r w:rsidRPr="00373874">
        <w:rPr>
          <w:rFonts w:ascii="Times New Roman" w:hAnsi="Times New Roman" w:cs="Times New Roman"/>
          <w:color w:val="000000" w:themeColor="text1"/>
          <w:sz w:val="22"/>
          <w:szCs w:val="22"/>
          <w:lang w:val="en-GB"/>
        </w:rPr>
        <w:t xml:space="preserve"> in article 20 are all subject to restriction pursuant to article 19, paragraph 3</w:t>
      </w:r>
      <w:r w:rsidRPr="00373874">
        <w:rPr>
          <w:rStyle w:val="FootnoteReference"/>
          <w:rFonts w:cs="Times New Roman"/>
          <w:color w:val="000000" w:themeColor="text1"/>
          <w:sz w:val="22"/>
          <w:szCs w:val="22"/>
          <w:lang w:val="en-GB"/>
        </w:rPr>
        <w:footnoteReference w:id="19"/>
      </w:r>
      <w:r w:rsidRPr="00373874">
        <w:rPr>
          <w:rFonts w:ascii="Times New Roman" w:hAnsi="Times New Roman" w:cs="Times New Roman"/>
          <w:color w:val="000000" w:themeColor="text1"/>
          <w:sz w:val="22"/>
          <w:szCs w:val="22"/>
          <w:lang w:val="en-GB"/>
        </w:rPr>
        <w:t xml:space="preserve">”. </w:t>
      </w:r>
    </w:p>
    <w:p w14:paraId="7F3281FD" w14:textId="77777777" w:rsidR="00373874" w:rsidRPr="00373874" w:rsidRDefault="00373874" w:rsidP="00373874">
      <w:pPr>
        <w:pStyle w:val="NoSpacing"/>
        <w:numPr>
          <w:ilvl w:val="0"/>
          <w:numId w:val="5"/>
        </w:numPr>
        <w:jc w:val="both"/>
        <w:rPr>
          <w:rFonts w:ascii="Times New Roman" w:eastAsia="Times New Roman" w:hAnsi="Times New Roman" w:cs="Times New Roman"/>
          <w:color w:val="000000" w:themeColor="text1"/>
          <w:sz w:val="22"/>
          <w:szCs w:val="22"/>
          <w:lang w:val="en-GB" w:eastAsia="fr-FR"/>
        </w:rPr>
      </w:pPr>
      <w:proofErr w:type="gramStart"/>
      <w:r w:rsidRPr="00373874">
        <w:rPr>
          <w:rFonts w:ascii="Times New Roman" w:eastAsia="Times New Roman" w:hAnsi="Times New Roman" w:cs="Times New Roman"/>
          <w:color w:val="000000" w:themeColor="text1"/>
          <w:sz w:val="22"/>
          <w:szCs w:val="22"/>
          <w:lang w:val="en-GB" w:eastAsia="fr-FR"/>
        </w:rPr>
        <w:t>As a consequence</w:t>
      </w:r>
      <w:proofErr w:type="gramEnd"/>
      <w:r w:rsidRPr="00373874">
        <w:rPr>
          <w:rFonts w:ascii="Times New Roman" w:eastAsia="Times New Roman" w:hAnsi="Times New Roman" w:cs="Times New Roman"/>
          <w:color w:val="000000" w:themeColor="text1"/>
          <w:sz w:val="22"/>
          <w:szCs w:val="22"/>
          <w:lang w:val="en-GB" w:eastAsia="fr-FR"/>
        </w:rPr>
        <w:t>, because article 20 would operate as a restriction to the right of peaceful assembly, the proportionality test would apply. The Human Rights Committee has stressed that a prohibition justified on the basis of article 20 must “</w:t>
      </w:r>
      <w:r w:rsidRPr="00373874">
        <w:rPr>
          <w:rFonts w:ascii="Times New Roman" w:hAnsi="Times New Roman" w:cs="Times New Roman"/>
          <w:color w:val="000000" w:themeColor="text1"/>
          <w:sz w:val="22"/>
          <w:szCs w:val="22"/>
          <w:lang w:val="en-GB"/>
        </w:rPr>
        <w:t>be “provided by law”; [it] may only be imposed for one of the grounds set out in subparagraphs (a) and (b) of article 19 (3), and [it] must conform to the strict tests of necessity and proportionality</w:t>
      </w:r>
      <w:r w:rsidRPr="00373874">
        <w:rPr>
          <w:rStyle w:val="FootnoteReference"/>
          <w:rFonts w:cs="Times New Roman"/>
          <w:color w:val="000000" w:themeColor="text1"/>
          <w:sz w:val="22"/>
          <w:szCs w:val="22"/>
          <w:lang w:val="en-GB"/>
        </w:rPr>
        <w:footnoteReference w:id="20"/>
      </w:r>
      <w:r w:rsidRPr="00373874">
        <w:rPr>
          <w:rFonts w:ascii="Times New Roman" w:hAnsi="Times New Roman" w:cs="Times New Roman"/>
          <w:color w:val="000000" w:themeColor="text1"/>
          <w:sz w:val="22"/>
          <w:szCs w:val="22"/>
          <w:lang w:val="en-GB"/>
        </w:rPr>
        <w:t xml:space="preserve">”. </w:t>
      </w:r>
    </w:p>
    <w:p w14:paraId="4FB1C0E5" w14:textId="77777777" w:rsidR="00373874" w:rsidRPr="00373874" w:rsidRDefault="00373874" w:rsidP="00373874">
      <w:pPr>
        <w:pStyle w:val="NoSpacing"/>
        <w:numPr>
          <w:ilvl w:val="0"/>
          <w:numId w:val="5"/>
        </w:numPr>
        <w:jc w:val="both"/>
        <w:rPr>
          <w:rFonts w:ascii="Times New Roman" w:eastAsia="Times New Roman" w:hAnsi="Times New Roman" w:cs="Times New Roman"/>
          <w:color w:val="000000" w:themeColor="text1"/>
          <w:sz w:val="22"/>
          <w:szCs w:val="22"/>
          <w:lang w:val="en-GB" w:eastAsia="fr-FR"/>
        </w:rPr>
      </w:pPr>
      <w:r w:rsidRPr="00373874">
        <w:rPr>
          <w:rFonts w:ascii="Times New Roman" w:eastAsia="Times New Roman" w:hAnsi="Times New Roman" w:cs="Times New Roman"/>
          <w:color w:val="000000" w:themeColor="text1"/>
          <w:sz w:val="22"/>
          <w:szCs w:val="22"/>
          <w:lang w:val="en-GB" w:eastAsia="fr-FR"/>
        </w:rPr>
        <w:lastRenderedPageBreak/>
        <w:t xml:space="preserve">The Committee on the Elimination of Racial Discrimination (CERD) also contemplates </w:t>
      </w:r>
      <w:r w:rsidRPr="00373874">
        <w:rPr>
          <w:rFonts w:ascii="Times New Roman" w:hAnsi="Times New Roman" w:cs="Times New Roman"/>
          <w:color w:val="000000" w:themeColor="text1"/>
          <w:sz w:val="22"/>
          <w:szCs w:val="22"/>
          <w:lang w:val="en-GB"/>
        </w:rPr>
        <w:t>advocacy of national, racial or religious hatred that constitutes incitement to discrimination, hostility or violence as a restriction to freedom of speech</w:t>
      </w:r>
      <w:r w:rsidRPr="00373874">
        <w:rPr>
          <w:rStyle w:val="FootnoteReference"/>
          <w:rFonts w:cs="Times New Roman"/>
          <w:color w:val="000000" w:themeColor="text1"/>
          <w:sz w:val="22"/>
          <w:szCs w:val="22"/>
          <w:lang w:val="en-GB"/>
        </w:rPr>
        <w:footnoteReference w:id="21"/>
      </w:r>
      <w:r w:rsidRPr="00373874">
        <w:rPr>
          <w:rFonts w:ascii="Times New Roman" w:hAnsi="Times New Roman" w:cs="Times New Roman"/>
          <w:color w:val="000000" w:themeColor="text1"/>
          <w:sz w:val="22"/>
          <w:szCs w:val="22"/>
          <w:lang w:val="en-GB"/>
        </w:rPr>
        <w:t xml:space="preserve">. Moreover, the CERD gives an interestingly comprehensive development of the elements that </w:t>
      </w:r>
      <w:proofErr w:type="gramStart"/>
      <w:r w:rsidRPr="00373874">
        <w:rPr>
          <w:rFonts w:ascii="Times New Roman" w:hAnsi="Times New Roman" w:cs="Times New Roman"/>
          <w:color w:val="000000" w:themeColor="text1"/>
          <w:sz w:val="22"/>
          <w:szCs w:val="22"/>
          <w:lang w:val="en-GB"/>
        </w:rPr>
        <w:t>should be considered</w:t>
      </w:r>
      <w:proofErr w:type="gramEnd"/>
      <w:r w:rsidRPr="00373874">
        <w:rPr>
          <w:rFonts w:ascii="Times New Roman" w:hAnsi="Times New Roman" w:cs="Times New Roman"/>
          <w:color w:val="000000" w:themeColor="text1"/>
          <w:sz w:val="22"/>
          <w:szCs w:val="22"/>
          <w:lang w:val="en-GB"/>
        </w:rPr>
        <w:t xml:space="preserve"> to define restrictions on freedom of expression. The CERD identifies six factors to be taken into account</w:t>
      </w:r>
      <w:r w:rsidRPr="00373874">
        <w:rPr>
          <w:rStyle w:val="FootnoteReference"/>
          <w:rFonts w:cs="Times New Roman"/>
          <w:color w:val="000000" w:themeColor="text1"/>
          <w:sz w:val="22"/>
          <w:szCs w:val="22"/>
          <w:lang w:val="en-GB"/>
        </w:rPr>
        <w:footnoteReference w:id="22"/>
      </w:r>
      <w:r w:rsidRPr="00373874">
        <w:rPr>
          <w:rFonts w:ascii="Times New Roman" w:hAnsi="Times New Roman" w:cs="Times New Roman"/>
          <w:color w:val="000000" w:themeColor="text1"/>
          <w:sz w:val="22"/>
          <w:szCs w:val="22"/>
          <w:lang w:val="en-GB"/>
        </w:rPr>
        <w:t xml:space="preserve">: </w:t>
      </w:r>
    </w:p>
    <w:p w14:paraId="7141DFF0" w14:textId="77777777" w:rsidR="00373874" w:rsidRPr="00373874" w:rsidRDefault="00373874" w:rsidP="00373874">
      <w:pPr>
        <w:pStyle w:val="NoSpacing"/>
        <w:jc w:val="both"/>
        <w:rPr>
          <w:rFonts w:ascii="Times New Roman" w:eastAsia="Times New Roman" w:hAnsi="Times New Roman" w:cs="Times New Roman"/>
          <w:color w:val="000000" w:themeColor="text1"/>
          <w:sz w:val="22"/>
          <w:szCs w:val="22"/>
          <w:lang w:val="en-GB" w:eastAsia="fr-FR"/>
        </w:rPr>
      </w:pPr>
    </w:p>
    <w:p w14:paraId="0738F6B9" w14:textId="77777777" w:rsidR="00373874" w:rsidRPr="00373874" w:rsidRDefault="00373874" w:rsidP="00373874">
      <w:pPr>
        <w:pStyle w:val="NoSpacing"/>
        <w:numPr>
          <w:ilvl w:val="0"/>
          <w:numId w:val="6"/>
        </w:numPr>
        <w:jc w:val="both"/>
        <w:rPr>
          <w:rFonts w:ascii="Times New Roman" w:eastAsia="Times New Roman" w:hAnsi="Times New Roman" w:cs="Times New Roman"/>
          <w:color w:val="000000" w:themeColor="text1"/>
          <w:sz w:val="22"/>
          <w:szCs w:val="22"/>
          <w:lang w:val="en-GB" w:eastAsia="fr-FR"/>
        </w:rPr>
      </w:pPr>
      <w:r w:rsidRPr="00373874">
        <w:rPr>
          <w:rFonts w:ascii="Times New Roman" w:hAnsi="Times New Roman" w:cs="Times New Roman"/>
          <w:color w:val="000000" w:themeColor="text1"/>
          <w:sz w:val="22"/>
          <w:szCs w:val="22"/>
          <w:lang w:val="en-GB"/>
        </w:rPr>
        <w:t>Content and form of speech (e.g. style, whether it is direct and/or provocative);</w:t>
      </w:r>
    </w:p>
    <w:p w14:paraId="2F5DC67D" w14:textId="77777777" w:rsidR="00373874" w:rsidRPr="00373874" w:rsidRDefault="00373874" w:rsidP="00373874">
      <w:pPr>
        <w:pStyle w:val="NoSpacing"/>
        <w:numPr>
          <w:ilvl w:val="0"/>
          <w:numId w:val="6"/>
        </w:numPr>
        <w:jc w:val="both"/>
        <w:rPr>
          <w:rFonts w:ascii="Times New Roman" w:eastAsia="Times New Roman" w:hAnsi="Times New Roman" w:cs="Times New Roman"/>
          <w:color w:val="000000" w:themeColor="text1"/>
          <w:sz w:val="22"/>
          <w:szCs w:val="22"/>
          <w:lang w:val="en-GB" w:eastAsia="fr-FR"/>
        </w:rPr>
      </w:pPr>
      <w:r w:rsidRPr="00373874">
        <w:rPr>
          <w:rFonts w:ascii="Times New Roman" w:hAnsi="Times New Roman" w:cs="Times New Roman"/>
          <w:color w:val="000000" w:themeColor="text1"/>
          <w:sz w:val="22"/>
          <w:szCs w:val="22"/>
          <w:lang w:val="en-GB"/>
        </w:rPr>
        <w:t>Context of speech (e.g. genocide does not have the same meaning depending on locality);</w:t>
      </w:r>
    </w:p>
    <w:p w14:paraId="3B94747D" w14:textId="77777777" w:rsidR="00373874" w:rsidRPr="00373874" w:rsidRDefault="00373874" w:rsidP="00373874">
      <w:pPr>
        <w:pStyle w:val="NoSpacing"/>
        <w:numPr>
          <w:ilvl w:val="0"/>
          <w:numId w:val="6"/>
        </w:numPr>
        <w:jc w:val="both"/>
        <w:rPr>
          <w:rFonts w:ascii="Times New Roman" w:eastAsia="Times New Roman" w:hAnsi="Times New Roman" w:cs="Times New Roman"/>
          <w:color w:val="000000" w:themeColor="text1"/>
          <w:sz w:val="22"/>
          <w:szCs w:val="22"/>
          <w:lang w:val="en-GB" w:eastAsia="fr-FR"/>
        </w:rPr>
      </w:pPr>
      <w:r w:rsidRPr="00373874">
        <w:rPr>
          <w:rFonts w:ascii="Times New Roman" w:hAnsi="Times New Roman" w:cs="Times New Roman"/>
          <w:color w:val="000000" w:themeColor="text1"/>
          <w:sz w:val="22"/>
          <w:szCs w:val="22"/>
          <w:lang w:val="en-GB"/>
        </w:rPr>
        <w:t xml:space="preserve">Status of the speaker (e.g. whether they are politicians or other public opinion-formers); </w:t>
      </w:r>
    </w:p>
    <w:p w14:paraId="4945B966" w14:textId="77777777" w:rsidR="00373874" w:rsidRPr="00373874" w:rsidRDefault="00373874" w:rsidP="00373874">
      <w:pPr>
        <w:pStyle w:val="NoSpacing"/>
        <w:numPr>
          <w:ilvl w:val="0"/>
          <w:numId w:val="6"/>
        </w:numPr>
        <w:jc w:val="both"/>
        <w:rPr>
          <w:rFonts w:ascii="Times New Roman" w:eastAsia="Times New Roman" w:hAnsi="Times New Roman" w:cs="Times New Roman"/>
          <w:color w:val="000000" w:themeColor="text1"/>
          <w:sz w:val="22"/>
          <w:szCs w:val="22"/>
          <w:lang w:val="en-GB" w:eastAsia="fr-FR"/>
        </w:rPr>
      </w:pPr>
      <w:r w:rsidRPr="00373874">
        <w:rPr>
          <w:rFonts w:ascii="Times New Roman" w:hAnsi="Times New Roman" w:cs="Times New Roman"/>
          <w:color w:val="000000" w:themeColor="text1"/>
          <w:sz w:val="22"/>
          <w:szCs w:val="22"/>
          <w:lang w:val="en-GB"/>
        </w:rPr>
        <w:t xml:space="preserve">Reach of speech (i.e. nature of the audience and means of transmission, e.g. dissemination on social media); </w:t>
      </w:r>
    </w:p>
    <w:p w14:paraId="12E65DAB" w14:textId="77777777" w:rsidR="00373874" w:rsidRPr="00373874" w:rsidRDefault="00373874" w:rsidP="00373874">
      <w:pPr>
        <w:pStyle w:val="NoSpacing"/>
        <w:numPr>
          <w:ilvl w:val="0"/>
          <w:numId w:val="6"/>
        </w:numPr>
        <w:jc w:val="both"/>
        <w:rPr>
          <w:rFonts w:ascii="Times New Roman" w:eastAsia="Times New Roman" w:hAnsi="Times New Roman" w:cs="Times New Roman"/>
          <w:color w:val="000000" w:themeColor="text1"/>
          <w:sz w:val="22"/>
          <w:szCs w:val="22"/>
          <w:lang w:val="en-GB" w:eastAsia="fr-FR"/>
        </w:rPr>
      </w:pPr>
      <w:r w:rsidRPr="00373874">
        <w:rPr>
          <w:rFonts w:ascii="Times New Roman" w:eastAsia="Times New Roman" w:hAnsi="Times New Roman" w:cs="Times New Roman"/>
          <w:color w:val="000000" w:themeColor="text1"/>
          <w:sz w:val="22"/>
          <w:szCs w:val="22"/>
          <w:lang w:val="en-GB" w:eastAsia="fr-FR"/>
        </w:rPr>
        <w:t xml:space="preserve">Purpose of speech (e.g. </w:t>
      </w:r>
      <w:r w:rsidRPr="00373874">
        <w:rPr>
          <w:rFonts w:ascii="Times New Roman" w:hAnsi="Times New Roman" w:cs="Times New Roman"/>
          <w:color w:val="000000" w:themeColor="text1"/>
          <w:sz w:val="22"/>
          <w:szCs w:val="22"/>
          <w:lang w:val="en-GB"/>
        </w:rPr>
        <w:t>speech protecting or defending the human rights of individuals and groups should not be subject to criminal sanctions);</w:t>
      </w:r>
    </w:p>
    <w:p w14:paraId="2AA413E8" w14:textId="77777777" w:rsidR="00373874" w:rsidRPr="00373874" w:rsidRDefault="00373874" w:rsidP="00373874">
      <w:pPr>
        <w:pStyle w:val="NoSpacing"/>
        <w:numPr>
          <w:ilvl w:val="0"/>
          <w:numId w:val="6"/>
        </w:numPr>
        <w:jc w:val="both"/>
        <w:rPr>
          <w:rFonts w:ascii="Times New Roman" w:eastAsia="Times New Roman" w:hAnsi="Times New Roman" w:cs="Times New Roman"/>
          <w:color w:val="000000" w:themeColor="text1"/>
          <w:sz w:val="22"/>
          <w:szCs w:val="22"/>
          <w:lang w:val="en-GB" w:eastAsia="fr-FR"/>
        </w:rPr>
      </w:pPr>
      <w:r w:rsidRPr="00373874">
        <w:rPr>
          <w:rFonts w:ascii="Times New Roman" w:eastAsia="Times New Roman" w:hAnsi="Times New Roman" w:cs="Times New Roman"/>
          <w:color w:val="000000" w:themeColor="text1"/>
          <w:sz w:val="22"/>
          <w:szCs w:val="22"/>
          <w:lang w:val="en-GB" w:eastAsia="fr-FR"/>
        </w:rPr>
        <w:t xml:space="preserve">Incitement (i.e. </w:t>
      </w:r>
      <w:r w:rsidRPr="00373874">
        <w:rPr>
          <w:rFonts w:ascii="Times New Roman" w:hAnsi="Times New Roman" w:cs="Times New Roman"/>
          <w:color w:val="000000" w:themeColor="text1"/>
          <w:sz w:val="22"/>
          <w:szCs w:val="22"/>
          <w:lang w:val="en-GB" w:eastAsia="fr-FR"/>
        </w:rPr>
        <w:t>the action advocated through incitement speech does not have to be acted upon, but there is a reasonable probability that the speech would succeed in inciting actual action against the target group).</w:t>
      </w:r>
    </w:p>
    <w:p w14:paraId="739C7A41" w14:textId="77777777" w:rsidR="00373874" w:rsidRPr="00373874" w:rsidRDefault="00373874" w:rsidP="00373874">
      <w:pPr>
        <w:pStyle w:val="NoSpacing"/>
        <w:jc w:val="both"/>
        <w:rPr>
          <w:rFonts w:ascii="Times New Roman" w:eastAsia="Times New Roman" w:hAnsi="Times New Roman" w:cs="Times New Roman"/>
          <w:color w:val="000000" w:themeColor="text1"/>
          <w:sz w:val="22"/>
          <w:szCs w:val="22"/>
          <w:lang w:val="en-GB" w:eastAsia="fr-FR"/>
        </w:rPr>
      </w:pPr>
    </w:p>
    <w:p w14:paraId="550AFAAF" w14:textId="77777777" w:rsidR="00373874" w:rsidRPr="00373874" w:rsidRDefault="00373874" w:rsidP="00373874">
      <w:pPr>
        <w:pStyle w:val="NoSpacing"/>
        <w:numPr>
          <w:ilvl w:val="0"/>
          <w:numId w:val="5"/>
        </w:numPr>
        <w:jc w:val="both"/>
        <w:rPr>
          <w:rFonts w:ascii="Times New Roman" w:eastAsia="Times New Roman" w:hAnsi="Times New Roman" w:cs="Times New Roman"/>
          <w:color w:val="000000" w:themeColor="text1"/>
          <w:sz w:val="22"/>
          <w:szCs w:val="22"/>
          <w:lang w:val="en-GB" w:eastAsia="fr-FR"/>
        </w:rPr>
      </w:pPr>
      <w:r w:rsidRPr="00373874">
        <w:rPr>
          <w:rFonts w:ascii="Times New Roman" w:eastAsia="Times New Roman" w:hAnsi="Times New Roman" w:cs="Times New Roman"/>
          <w:color w:val="000000" w:themeColor="text1"/>
          <w:sz w:val="22"/>
          <w:szCs w:val="22"/>
          <w:lang w:val="en-GB" w:eastAsia="fr-FR"/>
        </w:rPr>
        <w:t xml:space="preserve">Therefore, if the Human Rights Committee chooses to contemplate article 20 as a restriction to freedom of peaceful assembly, it would </w:t>
      </w:r>
    </w:p>
    <w:p w14:paraId="213FFB25" w14:textId="77777777" w:rsidR="00373874" w:rsidRPr="00373874" w:rsidRDefault="00373874" w:rsidP="00373874">
      <w:pPr>
        <w:pStyle w:val="NoSpacing"/>
        <w:ind w:left="360"/>
        <w:jc w:val="both"/>
        <w:rPr>
          <w:rFonts w:ascii="Times New Roman" w:eastAsia="Times New Roman" w:hAnsi="Times New Roman" w:cs="Times New Roman"/>
          <w:color w:val="000000" w:themeColor="text1"/>
          <w:sz w:val="22"/>
          <w:szCs w:val="22"/>
          <w:lang w:val="en-GB" w:eastAsia="fr-FR"/>
        </w:rPr>
      </w:pPr>
    </w:p>
    <w:p w14:paraId="2E927FAD" w14:textId="77777777" w:rsidR="00373874" w:rsidRPr="00373874" w:rsidRDefault="00373874" w:rsidP="00373874">
      <w:pPr>
        <w:pStyle w:val="NoSpacing"/>
        <w:numPr>
          <w:ilvl w:val="0"/>
          <w:numId w:val="7"/>
        </w:numPr>
        <w:jc w:val="both"/>
        <w:rPr>
          <w:rFonts w:ascii="Times New Roman" w:eastAsia="Times New Roman" w:hAnsi="Times New Roman" w:cs="Times New Roman"/>
          <w:color w:val="000000" w:themeColor="text1"/>
          <w:sz w:val="22"/>
          <w:szCs w:val="22"/>
          <w:lang w:val="en-GB" w:eastAsia="fr-FR"/>
        </w:rPr>
      </w:pPr>
      <w:r w:rsidRPr="00373874">
        <w:rPr>
          <w:rFonts w:ascii="Times New Roman" w:eastAsia="Times New Roman" w:hAnsi="Times New Roman" w:cs="Times New Roman"/>
          <w:color w:val="000000" w:themeColor="text1"/>
          <w:sz w:val="22"/>
          <w:szCs w:val="22"/>
          <w:lang w:val="en-GB" w:eastAsia="fr-FR"/>
        </w:rPr>
        <w:t>Fit in coherently with its own approach (as well as that of the CERD) to restrictions to freedom of expression;</w:t>
      </w:r>
    </w:p>
    <w:p w14:paraId="4538E365" w14:textId="77777777" w:rsidR="00373874" w:rsidRPr="00373874" w:rsidRDefault="00373874" w:rsidP="00373874">
      <w:pPr>
        <w:pStyle w:val="NoSpacing"/>
        <w:numPr>
          <w:ilvl w:val="0"/>
          <w:numId w:val="7"/>
        </w:numPr>
        <w:jc w:val="both"/>
        <w:rPr>
          <w:rFonts w:ascii="Times New Roman" w:eastAsia="Times New Roman" w:hAnsi="Times New Roman" w:cs="Times New Roman"/>
          <w:color w:val="000000" w:themeColor="text1"/>
          <w:sz w:val="22"/>
          <w:szCs w:val="22"/>
          <w:lang w:val="en-GB" w:eastAsia="fr-FR"/>
        </w:rPr>
      </w:pPr>
      <w:r w:rsidRPr="00373874">
        <w:rPr>
          <w:rFonts w:ascii="Times New Roman" w:eastAsia="Times New Roman" w:hAnsi="Times New Roman" w:cs="Times New Roman"/>
          <w:color w:val="000000" w:themeColor="text1"/>
          <w:sz w:val="22"/>
          <w:szCs w:val="22"/>
          <w:lang w:val="en-GB" w:eastAsia="fr-FR"/>
        </w:rPr>
        <w:t>Allow the application of a strict proportionality test so that the right of peaceful assembly is more or less restricted on a case-by-case basis to the extent that it is necessary; and</w:t>
      </w:r>
    </w:p>
    <w:p w14:paraId="32786179" w14:textId="77777777" w:rsidR="00373874" w:rsidRPr="00373874" w:rsidRDefault="00373874" w:rsidP="00373874">
      <w:pPr>
        <w:pStyle w:val="NoSpacing"/>
        <w:numPr>
          <w:ilvl w:val="0"/>
          <w:numId w:val="7"/>
        </w:numPr>
        <w:jc w:val="both"/>
        <w:rPr>
          <w:rFonts w:ascii="Times New Roman" w:eastAsia="Times New Roman" w:hAnsi="Times New Roman" w:cs="Times New Roman"/>
          <w:color w:val="000000" w:themeColor="text1"/>
          <w:sz w:val="22"/>
          <w:szCs w:val="22"/>
          <w:lang w:val="en-GB" w:eastAsia="fr-FR"/>
        </w:rPr>
      </w:pPr>
      <w:r w:rsidRPr="00373874">
        <w:rPr>
          <w:rFonts w:ascii="Times New Roman" w:eastAsia="Times New Roman" w:hAnsi="Times New Roman" w:cs="Times New Roman"/>
          <w:color w:val="000000" w:themeColor="text1"/>
          <w:sz w:val="22"/>
          <w:szCs w:val="22"/>
          <w:lang w:val="en-GB" w:eastAsia="fr-FR"/>
        </w:rPr>
        <w:t>Avoid the risk of selectivity of an exclusion of the speech from the scope of protection afforded by article 21.</w:t>
      </w:r>
    </w:p>
    <w:p w14:paraId="4F40393F" w14:textId="77777777" w:rsidR="00373874" w:rsidRPr="00373874" w:rsidRDefault="00373874" w:rsidP="00373874">
      <w:pPr>
        <w:pStyle w:val="NoSpacing"/>
        <w:jc w:val="both"/>
        <w:rPr>
          <w:rFonts w:ascii="Times New Roman" w:hAnsi="Times New Roman" w:cs="Times New Roman"/>
          <w:color w:val="000000" w:themeColor="text1"/>
          <w:sz w:val="22"/>
          <w:szCs w:val="22"/>
          <w:lang w:val="en-GB"/>
        </w:rPr>
      </w:pPr>
    </w:p>
    <w:p w14:paraId="6DE0FB01" w14:textId="74AB02E6" w:rsidR="00373874" w:rsidRPr="00373874" w:rsidRDefault="00155424" w:rsidP="00373874">
      <w:pPr>
        <w:pStyle w:val="NoSpacing"/>
        <w:numPr>
          <w:ilvl w:val="0"/>
          <w:numId w:val="5"/>
        </w:numPr>
        <w:jc w:val="both"/>
        <w:rPr>
          <w:rFonts w:ascii="Times New Roman" w:hAnsi="Times New Roman" w:cs="Times New Roman"/>
          <w:color w:val="000000" w:themeColor="text1"/>
          <w:sz w:val="22"/>
          <w:szCs w:val="22"/>
          <w:lang w:val="en-GB"/>
        </w:rPr>
      </w:pPr>
      <w:r w:rsidRPr="00155424">
        <w:rPr>
          <w:rFonts w:ascii="Times New Roman" w:eastAsia="Times New Roman" w:hAnsi="Times New Roman" w:cs="Times New Roman"/>
          <w:b/>
          <w:i/>
          <w:color w:val="000000" w:themeColor="text1"/>
          <w:sz w:val="22"/>
          <w:szCs w:val="22"/>
          <w:lang w:val="en-GB" w:eastAsia="fr-FR"/>
        </w:rPr>
        <w:t>Recommendation</w:t>
      </w:r>
      <w:r>
        <w:rPr>
          <w:rFonts w:ascii="Times New Roman" w:eastAsia="Times New Roman" w:hAnsi="Times New Roman" w:cs="Times New Roman"/>
          <w:i/>
          <w:color w:val="000000" w:themeColor="text1"/>
          <w:sz w:val="22"/>
          <w:szCs w:val="22"/>
          <w:lang w:val="en-GB" w:eastAsia="fr-FR"/>
        </w:rPr>
        <w:t>:</w:t>
      </w:r>
      <w:r w:rsidRPr="00373874">
        <w:rPr>
          <w:rFonts w:ascii="Times New Roman" w:eastAsia="Times New Roman" w:hAnsi="Times New Roman" w:cs="Times New Roman"/>
          <w:color w:val="000000" w:themeColor="text1"/>
          <w:sz w:val="22"/>
          <w:szCs w:val="22"/>
          <w:lang w:val="en-GB" w:eastAsia="fr-FR"/>
        </w:rPr>
        <w:t xml:space="preserve"> </w:t>
      </w:r>
      <w:r w:rsidR="00373874" w:rsidRPr="00373874">
        <w:rPr>
          <w:rFonts w:ascii="Times New Roman" w:eastAsia="Times New Roman" w:hAnsi="Times New Roman" w:cs="Times New Roman"/>
          <w:color w:val="000000" w:themeColor="text1"/>
          <w:sz w:val="22"/>
          <w:szCs w:val="22"/>
          <w:lang w:val="en-GB" w:eastAsia="fr-FR"/>
        </w:rPr>
        <w:t xml:space="preserve">Considering the </w:t>
      </w:r>
      <w:r w:rsidR="003F5AAC">
        <w:rPr>
          <w:rFonts w:ascii="Times New Roman" w:eastAsia="Times New Roman" w:hAnsi="Times New Roman" w:cs="Times New Roman"/>
          <w:color w:val="000000" w:themeColor="text1"/>
          <w:sz w:val="22"/>
          <w:szCs w:val="22"/>
          <w:lang w:val="en-GB" w:eastAsia="fr-FR"/>
        </w:rPr>
        <w:t>foregoing</w:t>
      </w:r>
      <w:r w:rsidR="00373874" w:rsidRPr="00373874">
        <w:rPr>
          <w:rFonts w:ascii="Times New Roman" w:eastAsia="Times New Roman" w:hAnsi="Times New Roman" w:cs="Times New Roman"/>
          <w:color w:val="000000" w:themeColor="text1"/>
          <w:sz w:val="22"/>
          <w:szCs w:val="22"/>
          <w:lang w:val="en-GB" w:eastAsia="fr-FR"/>
        </w:rPr>
        <w:t>, we recommend the Human Rights Committee, in revising its Draft General Comment on the right of peaceful assembly, to opt for “option 2”, i.e. article 20 as a restriction to the right of peaceful assembly.</w:t>
      </w:r>
    </w:p>
    <w:p w14:paraId="6B0A3C63" w14:textId="77777777" w:rsidR="00373874" w:rsidRPr="00373874" w:rsidRDefault="00373874" w:rsidP="00373874">
      <w:pPr>
        <w:pStyle w:val="NoSpacing"/>
        <w:jc w:val="both"/>
        <w:rPr>
          <w:rFonts w:ascii="Times New Roman" w:hAnsi="Times New Roman" w:cs="Times New Roman"/>
          <w:color w:val="000000" w:themeColor="text1"/>
          <w:sz w:val="22"/>
          <w:szCs w:val="22"/>
          <w:lang w:val="en-GB"/>
        </w:rPr>
      </w:pPr>
    </w:p>
    <w:p w14:paraId="02BB98E1" w14:textId="77777777" w:rsidR="00373874" w:rsidRPr="00373874" w:rsidRDefault="00373874" w:rsidP="00373874">
      <w:pPr>
        <w:pStyle w:val="NoSpacing"/>
        <w:numPr>
          <w:ilvl w:val="0"/>
          <w:numId w:val="4"/>
        </w:numPr>
        <w:jc w:val="both"/>
        <w:rPr>
          <w:rFonts w:ascii="Times New Roman" w:hAnsi="Times New Roman" w:cs="Times New Roman"/>
          <w:b/>
          <w:color w:val="000000" w:themeColor="text1"/>
          <w:sz w:val="22"/>
          <w:szCs w:val="22"/>
          <w:lang w:val="en-GB"/>
        </w:rPr>
      </w:pPr>
      <w:r w:rsidRPr="00373874">
        <w:rPr>
          <w:rFonts w:ascii="Times New Roman" w:hAnsi="Times New Roman" w:cs="Times New Roman"/>
          <w:b/>
          <w:color w:val="000000" w:themeColor="text1"/>
          <w:sz w:val="22"/>
          <w:szCs w:val="22"/>
          <w:lang w:val="en-GB"/>
        </w:rPr>
        <w:t>S</w:t>
      </w:r>
      <w:r>
        <w:rPr>
          <w:rFonts w:ascii="Times New Roman" w:hAnsi="Times New Roman" w:cs="Times New Roman"/>
          <w:b/>
          <w:color w:val="000000" w:themeColor="text1"/>
          <w:sz w:val="22"/>
          <w:szCs w:val="22"/>
          <w:lang w:val="en-GB"/>
        </w:rPr>
        <w:t>tatus of journalists and observers</w:t>
      </w:r>
    </w:p>
    <w:p w14:paraId="71E4AD67" w14:textId="77777777" w:rsidR="00373874" w:rsidRPr="00373874" w:rsidRDefault="00373874" w:rsidP="00373874">
      <w:pPr>
        <w:pStyle w:val="NoSpacing"/>
        <w:jc w:val="both"/>
        <w:rPr>
          <w:rFonts w:ascii="Times New Roman" w:hAnsi="Times New Roman" w:cs="Times New Roman"/>
          <w:color w:val="000000" w:themeColor="text1"/>
          <w:sz w:val="22"/>
          <w:szCs w:val="22"/>
          <w:lang w:val="en-GB"/>
        </w:rPr>
      </w:pPr>
    </w:p>
    <w:p w14:paraId="6CDD3510" w14:textId="77777777" w:rsidR="00373874" w:rsidRPr="00373874" w:rsidRDefault="00373874" w:rsidP="00373874">
      <w:pPr>
        <w:pStyle w:val="NoSpacing"/>
        <w:numPr>
          <w:ilvl w:val="0"/>
          <w:numId w:val="5"/>
        </w:numPr>
        <w:jc w:val="both"/>
        <w:rPr>
          <w:rFonts w:ascii="Times New Roman" w:hAnsi="Times New Roman" w:cs="Times New Roman"/>
          <w:color w:val="000000" w:themeColor="text1"/>
          <w:sz w:val="22"/>
          <w:szCs w:val="22"/>
          <w:lang w:val="en-GB"/>
        </w:rPr>
      </w:pPr>
      <w:r w:rsidRPr="00373874">
        <w:rPr>
          <w:rFonts w:ascii="Times New Roman" w:hAnsi="Times New Roman" w:cs="Times New Roman"/>
          <w:color w:val="000000" w:themeColor="text1"/>
          <w:sz w:val="22"/>
          <w:szCs w:val="22"/>
          <w:lang w:val="en-GB"/>
        </w:rPr>
        <w:t xml:space="preserve">Paragraph 34 is of particular importance since it gives some clarifications about the protection of journalists and human rights defenders while reporting or monitoring on assemblies. It should be linked with paragraph </w:t>
      </w:r>
      <w:proofErr w:type="gramStart"/>
      <w:r w:rsidRPr="00373874">
        <w:rPr>
          <w:rFonts w:ascii="Times New Roman" w:hAnsi="Times New Roman" w:cs="Times New Roman"/>
          <w:color w:val="000000" w:themeColor="text1"/>
          <w:sz w:val="22"/>
          <w:szCs w:val="22"/>
          <w:lang w:val="en-GB"/>
        </w:rPr>
        <w:t>85 which</w:t>
      </w:r>
      <w:proofErr w:type="gramEnd"/>
      <w:r w:rsidRPr="00373874">
        <w:rPr>
          <w:rFonts w:ascii="Times New Roman" w:hAnsi="Times New Roman" w:cs="Times New Roman"/>
          <w:color w:val="000000" w:themeColor="text1"/>
          <w:sz w:val="22"/>
          <w:szCs w:val="22"/>
          <w:lang w:val="en-GB"/>
        </w:rPr>
        <w:t xml:space="preserve"> adds the obligation for law enforcement agencies to “</w:t>
      </w:r>
      <w:proofErr w:type="spellStart"/>
      <w:r w:rsidRPr="00373874">
        <w:rPr>
          <w:rFonts w:ascii="Times New Roman" w:hAnsi="Times New Roman" w:cs="Times New Roman"/>
          <w:color w:val="000000" w:themeColor="text1"/>
          <w:sz w:val="22"/>
          <w:szCs w:val="22"/>
          <w:lang w:val="en-GB"/>
        </w:rPr>
        <w:t>tak</w:t>
      </w:r>
      <w:proofErr w:type="spellEnd"/>
      <w:r w:rsidRPr="00373874">
        <w:rPr>
          <w:rFonts w:ascii="Times New Roman" w:hAnsi="Times New Roman" w:cs="Times New Roman"/>
          <w:color w:val="000000" w:themeColor="text1"/>
          <w:sz w:val="22"/>
          <w:szCs w:val="22"/>
          <w:lang w:val="en-GB"/>
        </w:rPr>
        <w:t>[e] reasonable measures to protect other members of the public, including journalists, monitors and observers […] from harm”. By including journalists and observers in “other members of the public”, the General Comment distinguishes them from the participants of the assembly. The Venice Commission describes them as “third party”</w:t>
      </w:r>
      <w:r w:rsidRPr="00373874">
        <w:rPr>
          <w:rStyle w:val="FootnoteReference"/>
          <w:rFonts w:cs="Times New Roman"/>
          <w:color w:val="000000" w:themeColor="text1"/>
          <w:sz w:val="22"/>
          <w:szCs w:val="22"/>
          <w:lang w:val="en-GB"/>
        </w:rPr>
        <w:footnoteReference w:id="23"/>
      </w:r>
      <w:r w:rsidRPr="00373874">
        <w:rPr>
          <w:rFonts w:ascii="Times New Roman" w:hAnsi="Times New Roman" w:cs="Times New Roman"/>
          <w:color w:val="000000" w:themeColor="text1"/>
          <w:sz w:val="22"/>
          <w:szCs w:val="22"/>
          <w:lang w:val="en-GB"/>
        </w:rPr>
        <w:t>, “non-participants”</w:t>
      </w:r>
      <w:r w:rsidRPr="00373874">
        <w:rPr>
          <w:rStyle w:val="FootnoteReference"/>
          <w:rFonts w:cs="Times New Roman"/>
          <w:color w:val="000000" w:themeColor="text1"/>
          <w:sz w:val="22"/>
          <w:szCs w:val="22"/>
          <w:lang w:val="en-GB"/>
        </w:rPr>
        <w:footnoteReference w:id="24"/>
      </w:r>
      <w:r w:rsidRPr="00373874">
        <w:rPr>
          <w:rFonts w:ascii="Times New Roman" w:hAnsi="Times New Roman" w:cs="Times New Roman"/>
          <w:color w:val="000000" w:themeColor="text1"/>
          <w:sz w:val="22"/>
          <w:szCs w:val="22"/>
          <w:lang w:val="en-GB"/>
        </w:rPr>
        <w:t xml:space="preserve"> and specifies that “[s]</w:t>
      </w:r>
      <w:proofErr w:type="spellStart"/>
      <w:r w:rsidRPr="00373874">
        <w:rPr>
          <w:rFonts w:ascii="Times New Roman" w:hAnsi="Times New Roman" w:cs="Times New Roman"/>
          <w:color w:val="000000" w:themeColor="text1"/>
          <w:sz w:val="22"/>
          <w:szCs w:val="22"/>
          <w:lang w:val="en-GB"/>
        </w:rPr>
        <w:t>tate</w:t>
      </w:r>
      <w:proofErr w:type="spellEnd"/>
      <w:r w:rsidRPr="00373874">
        <w:rPr>
          <w:rFonts w:ascii="Times New Roman" w:hAnsi="Times New Roman" w:cs="Times New Roman"/>
          <w:color w:val="000000" w:themeColor="text1"/>
          <w:sz w:val="22"/>
          <w:szCs w:val="22"/>
          <w:lang w:val="en-GB"/>
        </w:rPr>
        <w:t xml:space="preserve"> authorities and law enforcement personnel should be aware of the work of these different actors and of the need to facilitate such work as part of the wider process of protecting the right to peaceful assembly”.</w:t>
      </w:r>
      <w:r w:rsidRPr="00373874">
        <w:rPr>
          <w:rStyle w:val="FootnoteReference"/>
          <w:rFonts w:cs="Times New Roman"/>
          <w:color w:val="000000" w:themeColor="text1"/>
          <w:sz w:val="22"/>
          <w:szCs w:val="22"/>
          <w:lang w:val="en-GB"/>
        </w:rPr>
        <w:footnoteReference w:id="25"/>
      </w:r>
    </w:p>
    <w:p w14:paraId="7D49A643" w14:textId="77777777" w:rsidR="00373874" w:rsidRDefault="00373874" w:rsidP="00373874">
      <w:pPr>
        <w:pStyle w:val="NoSpacing"/>
        <w:numPr>
          <w:ilvl w:val="0"/>
          <w:numId w:val="5"/>
        </w:numPr>
        <w:jc w:val="both"/>
        <w:rPr>
          <w:rFonts w:ascii="Times New Roman" w:hAnsi="Times New Roman" w:cs="Times New Roman"/>
          <w:color w:val="000000" w:themeColor="text1"/>
          <w:sz w:val="22"/>
          <w:szCs w:val="22"/>
          <w:lang w:val="en-GB"/>
        </w:rPr>
      </w:pPr>
      <w:r w:rsidRPr="00373874">
        <w:rPr>
          <w:rFonts w:ascii="Times New Roman" w:hAnsi="Times New Roman" w:cs="Times New Roman"/>
          <w:color w:val="000000" w:themeColor="text1"/>
          <w:sz w:val="22"/>
          <w:szCs w:val="22"/>
          <w:lang w:val="en-GB"/>
        </w:rPr>
        <w:t xml:space="preserve">Since monitoring and reporting a public assembly is an essential element of the right to receive and impart information and forms a crucial part of the right to freedom of peaceful assembly, the General Comment could gain relevance by suggesting the creation of a particular protective status in domestic law. The example of threats to the security and wellbeing of journalists during recent demonstrations in France make a good case for adopting such a status. Some journalists, identified as such, have been victim of violence by police units during assemblies, have seen their protective equipment confiscated and </w:t>
      </w:r>
      <w:proofErr w:type="gramStart"/>
      <w:r w:rsidRPr="00373874">
        <w:rPr>
          <w:rFonts w:ascii="Times New Roman" w:hAnsi="Times New Roman" w:cs="Times New Roman"/>
          <w:color w:val="000000" w:themeColor="text1"/>
          <w:sz w:val="22"/>
          <w:szCs w:val="22"/>
          <w:lang w:val="en-GB"/>
        </w:rPr>
        <w:t xml:space="preserve">have been </w:t>
      </w:r>
      <w:r w:rsidRPr="00373874">
        <w:rPr>
          <w:rFonts w:ascii="Times New Roman" w:hAnsi="Times New Roman" w:cs="Times New Roman"/>
          <w:color w:val="000000" w:themeColor="text1"/>
          <w:sz w:val="22"/>
          <w:szCs w:val="22"/>
          <w:lang w:val="en-GB"/>
        </w:rPr>
        <w:lastRenderedPageBreak/>
        <w:t>threatened to be placed</w:t>
      </w:r>
      <w:proofErr w:type="gramEnd"/>
      <w:r w:rsidRPr="00373874">
        <w:rPr>
          <w:rFonts w:ascii="Times New Roman" w:hAnsi="Times New Roman" w:cs="Times New Roman"/>
          <w:color w:val="000000" w:themeColor="text1"/>
          <w:sz w:val="22"/>
          <w:szCs w:val="22"/>
          <w:lang w:val="en-GB"/>
        </w:rPr>
        <w:t xml:space="preserve"> under custody.</w:t>
      </w:r>
      <w:r w:rsidRPr="00373874">
        <w:rPr>
          <w:rStyle w:val="FootnoteReference"/>
          <w:rFonts w:cs="Times New Roman"/>
          <w:color w:val="000000" w:themeColor="text1"/>
          <w:sz w:val="22"/>
          <w:szCs w:val="22"/>
          <w:lang w:val="en-GB"/>
        </w:rPr>
        <w:footnoteReference w:id="26"/>
      </w:r>
      <w:r w:rsidRPr="00373874">
        <w:rPr>
          <w:rFonts w:ascii="Times New Roman" w:hAnsi="Times New Roman" w:cs="Times New Roman"/>
          <w:color w:val="000000" w:themeColor="text1"/>
          <w:sz w:val="22"/>
          <w:szCs w:val="22"/>
          <w:lang w:val="en-GB"/>
        </w:rPr>
        <w:t xml:space="preserve"> The French national human rights institution (NHRI) (</w:t>
      </w:r>
      <w:r w:rsidRPr="00373874">
        <w:rPr>
          <w:rFonts w:ascii="Times New Roman" w:hAnsi="Times New Roman" w:cs="Times New Roman"/>
          <w:i/>
          <w:iCs/>
          <w:color w:val="000000" w:themeColor="text1"/>
          <w:sz w:val="22"/>
          <w:szCs w:val="22"/>
          <w:lang w:val="en-GB"/>
        </w:rPr>
        <w:t xml:space="preserve">Commission </w:t>
      </w:r>
      <w:proofErr w:type="spellStart"/>
      <w:r w:rsidRPr="00373874">
        <w:rPr>
          <w:rFonts w:ascii="Times New Roman" w:hAnsi="Times New Roman" w:cs="Times New Roman"/>
          <w:i/>
          <w:iCs/>
          <w:color w:val="000000" w:themeColor="text1"/>
          <w:sz w:val="22"/>
          <w:szCs w:val="22"/>
          <w:lang w:val="en-GB"/>
        </w:rPr>
        <w:t>nationale</w:t>
      </w:r>
      <w:proofErr w:type="spellEnd"/>
      <w:r w:rsidRPr="00373874">
        <w:rPr>
          <w:rFonts w:ascii="Times New Roman" w:hAnsi="Times New Roman" w:cs="Times New Roman"/>
          <w:i/>
          <w:iCs/>
          <w:color w:val="000000" w:themeColor="text1"/>
          <w:sz w:val="22"/>
          <w:szCs w:val="22"/>
          <w:lang w:val="en-GB"/>
        </w:rPr>
        <w:t xml:space="preserve"> consultative des droits de </w:t>
      </w:r>
      <w:proofErr w:type="spellStart"/>
      <w:r w:rsidRPr="00373874">
        <w:rPr>
          <w:rFonts w:ascii="Times New Roman" w:hAnsi="Times New Roman" w:cs="Times New Roman"/>
          <w:i/>
          <w:iCs/>
          <w:color w:val="000000" w:themeColor="text1"/>
          <w:sz w:val="22"/>
          <w:szCs w:val="22"/>
          <w:lang w:val="en-GB"/>
        </w:rPr>
        <w:t>l’Homme</w:t>
      </w:r>
      <w:proofErr w:type="spellEnd"/>
      <w:r w:rsidRPr="00373874">
        <w:rPr>
          <w:rFonts w:ascii="Times New Roman" w:hAnsi="Times New Roman" w:cs="Times New Roman"/>
          <w:color w:val="000000" w:themeColor="text1"/>
          <w:sz w:val="22"/>
          <w:szCs w:val="22"/>
          <w:lang w:val="en-GB"/>
        </w:rPr>
        <w:t xml:space="preserve">) has expressed concerns regarding “the chilling effect of police violence on the exercise of the right of peaceful assembly” </w:t>
      </w:r>
      <w:proofErr w:type="gramStart"/>
      <w:r w:rsidRPr="00373874">
        <w:rPr>
          <w:rFonts w:ascii="Times New Roman" w:hAnsi="Times New Roman" w:cs="Times New Roman"/>
          <w:color w:val="000000" w:themeColor="text1"/>
          <w:sz w:val="22"/>
          <w:szCs w:val="22"/>
          <w:lang w:val="en-GB"/>
        </w:rPr>
        <w:t>and  “</w:t>
      </w:r>
      <w:proofErr w:type="gramEnd"/>
      <w:r w:rsidRPr="00373874">
        <w:rPr>
          <w:rFonts w:ascii="Times New Roman" w:hAnsi="Times New Roman" w:cs="Times New Roman"/>
          <w:color w:val="000000" w:themeColor="text1"/>
          <w:sz w:val="22"/>
          <w:szCs w:val="22"/>
          <w:lang w:val="en-GB"/>
        </w:rPr>
        <w:t>impediments to freedom to inform and the right to testify”.</w:t>
      </w:r>
      <w:r w:rsidRPr="00373874">
        <w:rPr>
          <w:rStyle w:val="FootnoteReference"/>
          <w:rFonts w:cs="Times New Roman"/>
          <w:color w:val="000000" w:themeColor="text1"/>
          <w:sz w:val="22"/>
          <w:szCs w:val="22"/>
          <w:lang w:val="en-GB"/>
        </w:rPr>
        <w:footnoteReference w:id="27"/>
      </w:r>
    </w:p>
    <w:p w14:paraId="0D7C577F" w14:textId="77777777" w:rsidR="00155424" w:rsidRPr="00373874" w:rsidRDefault="00155424" w:rsidP="00155424">
      <w:pPr>
        <w:pStyle w:val="NoSpacing"/>
        <w:jc w:val="both"/>
        <w:rPr>
          <w:rFonts w:ascii="Times New Roman" w:hAnsi="Times New Roman" w:cs="Times New Roman"/>
          <w:color w:val="000000" w:themeColor="text1"/>
          <w:sz w:val="22"/>
          <w:szCs w:val="22"/>
          <w:lang w:val="en-GB"/>
        </w:rPr>
      </w:pPr>
    </w:p>
    <w:p w14:paraId="7635600D" w14:textId="77777777" w:rsidR="00373874" w:rsidRPr="00373874" w:rsidRDefault="00373874" w:rsidP="00373874">
      <w:pPr>
        <w:pStyle w:val="NoSpacing"/>
        <w:numPr>
          <w:ilvl w:val="0"/>
          <w:numId w:val="5"/>
        </w:numPr>
        <w:jc w:val="both"/>
        <w:rPr>
          <w:rFonts w:ascii="Times New Roman" w:hAnsi="Times New Roman" w:cs="Times New Roman"/>
          <w:color w:val="000000" w:themeColor="text1"/>
          <w:sz w:val="22"/>
          <w:szCs w:val="22"/>
          <w:lang w:val="en-GB"/>
        </w:rPr>
      </w:pPr>
      <w:r w:rsidRPr="00373874">
        <w:rPr>
          <w:rFonts w:ascii="Times New Roman" w:hAnsi="Times New Roman" w:cs="Times New Roman"/>
          <w:b/>
          <w:bCs/>
          <w:i/>
          <w:color w:val="000000" w:themeColor="text1"/>
          <w:sz w:val="22"/>
          <w:szCs w:val="22"/>
          <w:lang w:val="en-GB"/>
        </w:rPr>
        <w:t>Recommendation</w:t>
      </w:r>
      <w:r w:rsidRPr="00373874">
        <w:rPr>
          <w:rFonts w:ascii="Times New Roman" w:hAnsi="Times New Roman" w:cs="Times New Roman"/>
          <w:i/>
          <w:color w:val="000000" w:themeColor="text1"/>
          <w:sz w:val="22"/>
          <w:szCs w:val="22"/>
          <w:lang w:val="en-GB"/>
        </w:rPr>
        <w:t>:</w:t>
      </w:r>
      <w:r w:rsidRPr="00373874">
        <w:rPr>
          <w:rFonts w:ascii="Times New Roman" w:hAnsi="Times New Roman" w:cs="Times New Roman"/>
          <w:color w:val="000000" w:themeColor="text1"/>
          <w:sz w:val="22"/>
          <w:szCs w:val="22"/>
          <w:lang w:val="en-GB"/>
        </w:rPr>
        <w:t xml:space="preserve"> Considering the above, we encourage the Human Rights Committee to suggest the creation in domestic law of a protective status which could namely:</w:t>
      </w:r>
    </w:p>
    <w:p w14:paraId="78B2C669" w14:textId="77777777" w:rsidR="00373874" w:rsidRPr="00373874" w:rsidRDefault="00373874" w:rsidP="00373874">
      <w:pPr>
        <w:pStyle w:val="NoSpacing"/>
        <w:jc w:val="both"/>
        <w:rPr>
          <w:rFonts w:ascii="Times New Roman" w:hAnsi="Times New Roman" w:cs="Times New Roman"/>
          <w:color w:val="000000" w:themeColor="text1"/>
          <w:sz w:val="22"/>
          <w:szCs w:val="22"/>
          <w:lang w:val="en-GB"/>
        </w:rPr>
      </w:pPr>
    </w:p>
    <w:p w14:paraId="7D72955D" w14:textId="77777777" w:rsidR="00373874" w:rsidRPr="00373874" w:rsidRDefault="00373874" w:rsidP="00373874">
      <w:pPr>
        <w:pStyle w:val="NoSpacing"/>
        <w:numPr>
          <w:ilvl w:val="0"/>
          <w:numId w:val="11"/>
        </w:numPr>
        <w:jc w:val="both"/>
        <w:rPr>
          <w:rFonts w:ascii="Times New Roman" w:hAnsi="Times New Roman" w:cs="Times New Roman"/>
          <w:color w:val="000000" w:themeColor="text1"/>
          <w:sz w:val="22"/>
          <w:szCs w:val="22"/>
          <w:lang w:val="en-GB"/>
        </w:rPr>
      </w:pPr>
      <w:r w:rsidRPr="00373874">
        <w:rPr>
          <w:rFonts w:ascii="Times New Roman" w:hAnsi="Times New Roman" w:cs="Times New Roman"/>
          <w:color w:val="000000" w:themeColor="text1"/>
          <w:sz w:val="22"/>
          <w:szCs w:val="22"/>
          <w:lang w:val="en-GB"/>
        </w:rPr>
        <w:t>Distinguish monitors and journalists from participants</w:t>
      </w:r>
      <w:r w:rsidRPr="00373874">
        <w:rPr>
          <w:rStyle w:val="FootnoteReference"/>
          <w:rFonts w:cs="Times New Roman"/>
          <w:color w:val="000000" w:themeColor="text1"/>
          <w:sz w:val="22"/>
          <w:szCs w:val="22"/>
          <w:lang w:val="en-GB"/>
        </w:rPr>
        <w:footnoteReference w:id="28"/>
      </w:r>
      <w:r w:rsidRPr="00373874">
        <w:rPr>
          <w:rFonts w:ascii="Times New Roman" w:hAnsi="Times New Roman" w:cs="Times New Roman"/>
          <w:color w:val="000000" w:themeColor="text1"/>
          <w:sz w:val="22"/>
          <w:szCs w:val="22"/>
          <w:lang w:val="en-GB"/>
        </w:rPr>
        <w:t> ;</w:t>
      </w:r>
    </w:p>
    <w:p w14:paraId="2FD90E4B" w14:textId="77777777" w:rsidR="00373874" w:rsidRPr="00373874" w:rsidRDefault="00373874" w:rsidP="00373874">
      <w:pPr>
        <w:pStyle w:val="NoSpacing"/>
        <w:numPr>
          <w:ilvl w:val="0"/>
          <w:numId w:val="11"/>
        </w:numPr>
        <w:jc w:val="both"/>
        <w:rPr>
          <w:rFonts w:ascii="Times New Roman" w:hAnsi="Times New Roman" w:cs="Times New Roman"/>
          <w:color w:val="000000" w:themeColor="text1"/>
          <w:sz w:val="22"/>
          <w:szCs w:val="22"/>
          <w:lang w:val="en-GB"/>
        </w:rPr>
      </w:pPr>
      <w:r w:rsidRPr="00373874">
        <w:rPr>
          <w:rFonts w:ascii="Times New Roman" w:hAnsi="Times New Roman" w:cs="Times New Roman"/>
          <w:color w:val="000000" w:themeColor="text1"/>
          <w:sz w:val="22"/>
          <w:szCs w:val="22"/>
          <w:lang w:val="en-GB"/>
        </w:rPr>
        <w:t>Ensure their right to carry a protective equipment;</w:t>
      </w:r>
    </w:p>
    <w:p w14:paraId="35061050" w14:textId="77777777" w:rsidR="00373874" w:rsidRPr="00373874" w:rsidRDefault="00373874" w:rsidP="00373874">
      <w:pPr>
        <w:pStyle w:val="NoSpacing"/>
        <w:numPr>
          <w:ilvl w:val="0"/>
          <w:numId w:val="11"/>
        </w:numPr>
        <w:jc w:val="both"/>
        <w:rPr>
          <w:rFonts w:ascii="Times New Roman" w:hAnsi="Times New Roman" w:cs="Times New Roman"/>
          <w:color w:val="000000" w:themeColor="text1"/>
          <w:sz w:val="22"/>
          <w:szCs w:val="22"/>
          <w:lang w:val="en-GB"/>
        </w:rPr>
      </w:pPr>
      <w:r w:rsidRPr="00373874">
        <w:rPr>
          <w:rFonts w:ascii="Times New Roman" w:hAnsi="Times New Roman" w:cs="Times New Roman"/>
          <w:color w:val="000000" w:themeColor="text1"/>
          <w:sz w:val="22"/>
          <w:szCs w:val="22"/>
          <w:lang w:val="en-GB"/>
        </w:rPr>
        <w:t>Protect them against the potential targeting by officials or police units;</w:t>
      </w:r>
    </w:p>
    <w:p w14:paraId="44ACA853" w14:textId="77777777" w:rsidR="00373874" w:rsidRPr="00373874" w:rsidRDefault="00373874" w:rsidP="00373874">
      <w:pPr>
        <w:pStyle w:val="NoSpacing"/>
        <w:numPr>
          <w:ilvl w:val="0"/>
          <w:numId w:val="11"/>
        </w:numPr>
        <w:jc w:val="both"/>
        <w:rPr>
          <w:rFonts w:ascii="Times New Roman" w:hAnsi="Times New Roman" w:cs="Times New Roman"/>
          <w:color w:val="000000" w:themeColor="text1"/>
          <w:sz w:val="22"/>
          <w:szCs w:val="22"/>
          <w:lang w:val="en-GB"/>
        </w:rPr>
      </w:pPr>
      <w:r w:rsidRPr="00373874">
        <w:rPr>
          <w:rFonts w:ascii="Times New Roman" w:hAnsi="Times New Roman" w:cs="Times New Roman"/>
          <w:color w:val="000000" w:themeColor="text1"/>
          <w:sz w:val="22"/>
          <w:szCs w:val="22"/>
          <w:lang w:val="en-GB"/>
        </w:rPr>
        <w:t xml:space="preserve">Avoid the chilling effect on the exercise of their important function. </w:t>
      </w:r>
    </w:p>
    <w:p w14:paraId="2EC25B22" w14:textId="77777777" w:rsidR="00373874" w:rsidRPr="00373874" w:rsidRDefault="00373874" w:rsidP="00373874">
      <w:pPr>
        <w:pStyle w:val="NoSpacing"/>
        <w:jc w:val="both"/>
        <w:rPr>
          <w:rFonts w:ascii="Times New Roman" w:hAnsi="Times New Roman" w:cs="Times New Roman"/>
          <w:color w:val="000000" w:themeColor="text1"/>
          <w:sz w:val="22"/>
          <w:szCs w:val="22"/>
          <w:lang w:val="en-GB"/>
        </w:rPr>
      </w:pPr>
    </w:p>
    <w:p w14:paraId="712EFF2A" w14:textId="77777777" w:rsidR="00373874" w:rsidRPr="00373874" w:rsidRDefault="00373874" w:rsidP="00373874">
      <w:pPr>
        <w:pStyle w:val="NoSpacing"/>
        <w:numPr>
          <w:ilvl w:val="0"/>
          <w:numId w:val="4"/>
        </w:numPr>
        <w:jc w:val="both"/>
        <w:rPr>
          <w:rFonts w:ascii="Times New Roman" w:hAnsi="Times New Roman" w:cs="Times New Roman"/>
          <w:b/>
          <w:color w:val="000000" w:themeColor="text1"/>
          <w:sz w:val="22"/>
          <w:szCs w:val="22"/>
          <w:lang w:val="en-GB"/>
        </w:rPr>
      </w:pPr>
      <w:r>
        <w:rPr>
          <w:rFonts w:ascii="Times New Roman" w:hAnsi="Times New Roman" w:cs="Times New Roman"/>
          <w:b/>
          <w:color w:val="000000" w:themeColor="text1"/>
          <w:sz w:val="22"/>
          <w:szCs w:val="22"/>
          <w:lang w:val="en-GB"/>
        </w:rPr>
        <w:t>Notifications: update of the situation in France</w:t>
      </w:r>
    </w:p>
    <w:p w14:paraId="32FFE9F7" w14:textId="77777777" w:rsidR="00373874" w:rsidRPr="00373874" w:rsidRDefault="00373874" w:rsidP="00373874">
      <w:pPr>
        <w:pStyle w:val="NoSpacing"/>
        <w:jc w:val="both"/>
        <w:rPr>
          <w:rFonts w:ascii="Times New Roman" w:hAnsi="Times New Roman" w:cs="Times New Roman"/>
          <w:color w:val="000000" w:themeColor="text1"/>
          <w:sz w:val="22"/>
          <w:szCs w:val="22"/>
          <w:lang w:val="en-GB"/>
        </w:rPr>
      </w:pPr>
    </w:p>
    <w:p w14:paraId="1EBF7E60" w14:textId="77777777" w:rsidR="00373874" w:rsidRPr="00373874" w:rsidRDefault="00373874" w:rsidP="00373874">
      <w:pPr>
        <w:pStyle w:val="NoSpacing"/>
        <w:jc w:val="both"/>
        <w:rPr>
          <w:rFonts w:ascii="Times New Roman" w:hAnsi="Times New Roman" w:cs="Times New Roman"/>
          <w:i/>
          <w:color w:val="000000" w:themeColor="text1"/>
          <w:sz w:val="22"/>
          <w:szCs w:val="22"/>
          <w:lang w:val="en-GB"/>
        </w:rPr>
      </w:pPr>
      <w:r w:rsidRPr="00373874">
        <w:rPr>
          <w:rFonts w:ascii="Times New Roman" w:hAnsi="Times New Roman" w:cs="Times New Roman"/>
          <w:i/>
          <w:color w:val="000000" w:themeColor="text1"/>
          <w:sz w:val="22"/>
          <w:szCs w:val="22"/>
          <w:lang w:val="en-GB"/>
        </w:rPr>
        <w:t>Recent developments on the Law n°2019-290 “aiming at strengthening and ensuring the maintaining of public order during demonstrations” of 10 April 2019</w:t>
      </w:r>
      <w:r w:rsidRPr="00373874">
        <w:rPr>
          <w:rStyle w:val="FootnoteReference"/>
          <w:rFonts w:cs="Times New Roman"/>
          <w:i/>
          <w:color w:val="000000" w:themeColor="text1"/>
          <w:szCs w:val="22"/>
        </w:rPr>
        <w:footnoteReference w:id="29"/>
      </w:r>
    </w:p>
    <w:p w14:paraId="335FF3F4" w14:textId="77777777" w:rsidR="00373874" w:rsidRPr="00373874" w:rsidRDefault="00373874" w:rsidP="00373874">
      <w:pPr>
        <w:pStyle w:val="NoSpacing"/>
        <w:jc w:val="both"/>
        <w:rPr>
          <w:rFonts w:ascii="Times New Roman" w:hAnsi="Times New Roman" w:cs="Times New Roman"/>
          <w:color w:val="000000" w:themeColor="text1"/>
          <w:sz w:val="22"/>
          <w:szCs w:val="22"/>
          <w:lang w:val="en-GB"/>
        </w:rPr>
      </w:pPr>
    </w:p>
    <w:p w14:paraId="031EB1A2" w14:textId="77777777" w:rsidR="00373874" w:rsidRPr="00373874" w:rsidRDefault="00373874" w:rsidP="00373874">
      <w:pPr>
        <w:pStyle w:val="NoSpacing"/>
        <w:numPr>
          <w:ilvl w:val="0"/>
          <w:numId w:val="5"/>
        </w:numPr>
        <w:jc w:val="both"/>
        <w:rPr>
          <w:rFonts w:ascii="Times New Roman" w:hAnsi="Times New Roman" w:cs="Times New Roman"/>
          <w:color w:val="000000" w:themeColor="text1"/>
          <w:sz w:val="22"/>
          <w:szCs w:val="22"/>
          <w:lang w:val="en-GB"/>
        </w:rPr>
      </w:pPr>
      <w:r w:rsidRPr="00373874">
        <w:rPr>
          <w:rFonts w:ascii="Times New Roman" w:hAnsi="Times New Roman" w:cs="Times New Roman"/>
          <w:color w:val="000000" w:themeColor="text1"/>
          <w:sz w:val="22"/>
          <w:szCs w:val="22"/>
          <w:lang w:val="en-GB"/>
        </w:rPr>
        <w:t xml:space="preserve">The draft bill “aiming at strengthening and ensuring the maintaining of public order during demonstrations” was proposed in reaction to a series of </w:t>
      </w:r>
      <w:proofErr w:type="gramStart"/>
      <w:r w:rsidRPr="00373874">
        <w:rPr>
          <w:rFonts w:ascii="Times New Roman" w:hAnsi="Times New Roman" w:cs="Times New Roman"/>
          <w:color w:val="000000" w:themeColor="text1"/>
          <w:sz w:val="22"/>
          <w:szCs w:val="22"/>
          <w:lang w:val="en-GB"/>
        </w:rPr>
        <w:t>incidents which</w:t>
      </w:r>
      <w:proofErr w:type="gramEnd"/>
      <w:r w:rsidRPr="00373874">
        <w:rPr>
          <w:rFonts w:ascii="Times New Roman" w:hAnsi="Times New Roman" w:cs="Times New Roman"/>
          <w:color w:val="000000" w:themeColor="text1"/>
          <w:sz w:val="22"/>
          <w:szCs w:val="22"/>
          <w:lang w:val="en-GB"/>
        </w:rPr>
        <w:t xml:space="preserve"> occurred during demonstrations in May 2018. </w:t>
      </w:r>
    </w:p>
    <w:p w14:paraId="4B914D19" w14:textId="070C3793" w:rsidR="00373874" w:rsidRPr="00373874" w:rsidRDefault="00373874" w:rsidP="00373874">
      <w:pPr>
        <w:pStyle w:val="NoSpacing"/>
        <w:numPr>
          <w:ilvl w:val="0"/>
          <w:numId w:val="5"/>
        </w:numPr>
        <w:jc w:val="both"/>
        <w:rPr>
          <w:rFonts w:ascii="Times New Roman" w:hAnsi="Times New Roman" w:cs="Times New Roman"/>
          <w:color w:val="000000" w:themeColor="text1"/>
          <w:sz w:val="22"/>
          <w:szCs w:val="22"/>
          <w:lang w:val="en-GB"/>
        </w:rPr>
      </w:pPr>
      <w:r w:rsidRPr="00373874">
        <w:rPr>
          <w:rFonts w:ascii="Times New Roman" w:hAnsi="Times New Roman" w:cs="Times New Roman"/>
          <w:color w:val="000000" w:themeColor="text1"/>
          <w:sz w:val="22"/>
          <w:szCs w:val="22"/>
          <w:u w:color="000000"/>
          <w:lang w:val="en-GB"/>
          <w14:textOutline w14:w="12700" w14:cap="flat" w14:cmpd="sng" w14:algn="ctr">
            <w14:noFill/>
            <w14:prstDash w14:val="solid"/>
            <w14:miter w14:lim="400000"/>
          </w14:textOutline>
        </w:rPr>
        <w:t>Under article 3</w:t>
      </w:r>
      <w:r w:rsidR="006F523D">
        <w:rPr>
          <w:rFonts w:ascii="Times New Roman" w:hAnsi="Times New Roman" w:cs="Times New Roman"/>
          <w:color w:val="000000" w:themeColor="text1"/>
          <w:sz w:val="22"/>
          <w:szCs w:val="22"/>
          <w:u w:color="000000"/>
          <w:lang w:val="en-GB"/>
          <w14:textOutline w14:w="12700" w14:cap="flat" w14:cmpd="sng" w14:algn="ctr">
            <w14:noFill/>
            <w14:prstDash w14:val="solid"/>
            <w14:miter w14:lim="400000"/>
          </w14:textOutline>
        </w:rPr>
        <w:t xml:space="preserve"> of</w:t>
      </w:r>
      <w:r w:rsidRPr="00373874">
        <w:rPr>
          <w:rFonts w:ascii="Times New Roman" w:hAnsi="Times New Roman" w:cs="Times New Roman"/>
          <w:color w:val="000000" w:themeColor="text1"/>
          <w:sz w:val="22"/>
          <w:szCs w:val="22"/>
          <w:u w:color="000000"/>
          <w:lang w:val="en-GB"/>
          <w14:textOutline w14:w="12700" w14:cap="flat" w14:cmpd="sng" w14:algn="ctr">
            <w14:noFill/>
            <w14:prstDash w14:val="solid"/>
            <w14:miter w14:lim="400000"/>
          </w14:textOutline>
        </w:rPr>
        <w:t xml:space="preserve"> the draft bill, the prefect </w:t>
      </w:r>
      <w:proofErr w:type="gramStart"/>
      <w:r w:rsidRPr="00373874">
        <w:rPr>
          <w:rFonts w:ascii="Times New Roman" w:hAnsi="Times New Roman" w:cs="Times New Roman"/>
          <w:color w:val="000000" w:themeColor="text1"/>
          <w:sz w:val="22"/>
          <w:szCs w:val="22"/>
          <w:u w:color="000000"/>
          <w:lang w:val="en-GB"/>
          <w14:textOutline w14:w="12700" w14:cap="flat" w14:cmpd="sng" w14:algn="ctr">
            <w14:noFill/>
            <w14:prstDash w14:val="solid"/>
            <w14:miter w14:lim="400000"/>
          </w14:textOutline>
        </w:rPr>
        <w:t>was given</w:t>
      </w:r>
      <w:proofErr w:type="gramEnd"/>
      <w:r w:rsidRPr="00373874">
        <w:rPr>
          <w:rFonts w:ascii="Times New Roman" w:hAnsi="Times New Roman" w:cs="Times New Roman"/>
          <w:color w:val="000000" w:themeColor="text1"/>
          <w:sz w:val="22"/>
          <w:szCs w:val="22"/>
          <w:u w:color="000000"/>
          <w:lang w:val="en-GB"/>
          <w14:textOutline w14:w="12700" w14:cap="flat" w14:cmpd="sng" w14:algn="ctr">
            <w14:noFill/>
            <w14:prstDash w14:val="solid"/>
            <w14:miter w14:lim="400000"/>
          </w14:textOutline>
        </w:rPr>
        <w:t xml:space="preserve"> the power to prohibit a person from demonstrating on the public domain where it could be established that he/she posed a threat to public order due to violent acts committed during previous demonstrations</w:t>
      </w:r>
      <w:r w:rsidRPr="00373874">
        <w:rPr>
          <w:rFonts w:ascii="Times New Roman" w:hAnsi="Times New Roman" w:cs="Times New Roman"/>
          <w:i/>
          <w:iCs/>
          <w:color w:val="000000" w:themeColor="text1"/>
          <w:sz w:val="22"/>
          <w:szCs w:val="22"/>
          <w:u w:color="000000"/>
          <w:lang w:val="en-GB"/>
          <w14:textOutline w14:w="12700" w14:cap="flat" w14:cmpd="sng" w14:algn="ctr">
            <w14:noFill/>
            <w14:prstDash w14:val="solid"/>
            <w14:miter w14:lim="400000"/>
          </w14:textOutline>
        </w:rPr>
        <w:t>.</w:t>
      </w:r>
      <w:r w:rsidRPr="00373874">
        <w:rPr>
          <w:rFonts w:ascii="Times New Roman" w:hAnsi="Times New Roman" w:cs="Times New Roman"/>
          <w:b/>
          <w:bCs/>
          <w:color w:val="000000" w:themeColor="text1"/>
          <w:sz w:val="22"/>
          <w:szCs w:val="22"/>
          <w:u w:color="000000"/>
          <w:lang w:val="en-GB"/>
          <w14:textOutline w14:w="12700" w14:cap="flat" w14:cmpd="sng" w14:algn="ctr">
            <w14:noFill/>
            <w14:prstDash w14:val="solid"/>
            <w14:miter w14:lim="400000"/>
          </w14:textOutline>
        </w:rPr>
        <w:t xml:space="preserve"> </w:t>
      </w:r>
      <w:r w:rsidRPr="00373874">
        <w:rPr>
          <w:rFonts w:ascii="Times New Roman" w:hAnsi="Times New Roman" w:cs="Times New Roman"/>
          <w:color w:val="000000" w:themeColor="text1"/>
          <w:sz w:val="22"/>
          <w:szCs w:val="22"/>
          <w:u w:color="000000"/>
          <w:lang w:val="en-GB"/>
          <w14:textOutline w14:w="12700" w14:cap="flat" w14:cmpd="sng" w14:algn="ctr">
            <w14:noFill/>
            <w14:prstDash w14:val="solid"/>
            <w14:miter w14:lim="400000"/>
          </w14:textOutline>
        </w:rPr>
        <w:t xml:space="preserve">However, before it </w:t>
      </w:r>
      <w:proofErr w:type="gramStart"/>
      <w:r w:rsidRPr="00373874">
        <w:rPr>
          <w:rFonts w:ascii="Times New Roman" w:hAnsi="Times New Roman" w:cs="Times New Roman"/>
          <w:color w:val="000000" w:themeColor="text1"/>
          <w:sz w:val="22"/>
          <w:szCs w:val="22"/>
          <w:u w:color="000000"/>
          <w:lang w:val="en-GB"/>
          <w14:textOutline w14:w="12700" w14:cap="flat" w14:cmpd="sng" w14:algn="ctr">
            <w14:noFill/>
            <w14:prstDash w14:val="solid"/>
            <w14:miter w14:lim="400000"/>
          </w14:textOutline>
        </w:rPr>
        <w:t>was enacted</w:t>
      </w:r>
      <w:proofErr w:type="gramEnd"/>
      <w:r w:rsidRPr="00373874">
        <w:rPr>
          <w:rFonts w:ascii="Times New Roman" w:hAnsi="Times New Roman" w:cs="Times New Roman"/>
          <w:color w:val="000000" w:themeColor="text1"/>
          <w:sz w:val="22"/>
          <w:szCs w:val="22"/>
          <w:u w:color="000000"/>
          <w:lang w:val="en-GB"/>
          <w14:textOutline w14:w="12700" w14:cap="flat" w14:cmpd="sng" w14:algn="ctr">
            <w14:noFill/>
            <w14:prstDash w14:val="solid"/>
            <w14:miter w14:lim="400000"/>
          </w14:textOutline>
        </w:rPr>
        <w:t xml:space="preserve"> by Parliament, the draft bill was referred to the Constitutional Council. </w:t>
      </w:r>
      <w:proofErr w:type="gramStart"/>
      <w:r w:rsidRPr="00373874">
        <w:rPr>
          <w:rFonts w:ascii="Times New Roman" w:hAnsi="Times New Roman" w:cs="Times New Roman"/>
          <w:color w:val="000000" w:themeColor="text1"/>
          <w:sz w:val="22"/>
          <w:szCs w:val="22"/>
          <w:u w:color="000000"/>
          <w:lang w:val="en-GB"/>
          <w14:textOutline w14:w="12700" w14:cap="flat" w14:cmpd="sng" w14:algn="ctr">
            <w14:noFill/>
            <w14:prstDash w14:val="solid"/>
            <w14:miter w14:lim="400000"/>
          </w14:textOutline>
        </w:rPr>
        <w:t>As a result</w:t>
      </w:r>
      <w:proofErr w:type="gramEnd"/>
      <w:r w:rsidRPr="00373874">
        <w:rPr>
          <w:rFonts w:ascii="Times New Roman" w:hAnsi="Times New Roman" w:cs="Times New Roman"/>
          <w:color w:val="000000" w:themeColor="text1"/>
          <w:sz w:val="22"/>
          <w:szCs w:val="22"/>
          <w:u w:color="000000"/>
          <w:lang w:val="en-GB"/>
          <w14:textOutline w14:w="12700" w14:cap="flat" w14:cmpd="sng" w14:algn="ctr">
            <w14:noFill/>
            <w14:prstDash w14:val="solid"/>
            <w14:miter w14:lim="400000"/>
          </w14:textOutline>
        </w:rPr>
        <w:t xml:space="preserve"> of its control of the constitutionality of the bill, the Constitutional Council declared article 3 of the bill contrary to the Constitution: “</w:t>
      </w:r>
      <w:r w:rsidRPr="00373874">
        <w:rPr>
          <w:rFonts w:ascii="Times New Roman" w:hAnsi="Times New Roman" w:cs="Times New Roman"/>
          <w:iCs/>
          <w:color w:val="000000" w:themeColor="text1"/>
          <w:sz w:val="22"/>
          <w:szCs w:val="22"/>
          <w:u w:color="000000"/>
          <w:lang w:val="en-GB"/>
          <w14:textOutline w14:w="12700" w14:cap="flat" w14:cmpd="sng" w14:algn="ctr">
            <w14:noFill/>
            <w14:prstDash w14:val="solid"/>
            <w14:miter w14:lim="400000"/>
          </w14:textOutline>
        </w:rPr>
        <w:t>The contested provisions leave the administrative authority an excessive discretion in assessing the grounds on which the ban may be justified”</w:t>
      </w:r>
      <w:r w:rsidRPr="00373874">
        <w:rPr>
          <w:rFonts w:ascii="Times New Roman" w:hAnsi="Times New Roman" w:cs="Times New Roman"/>
          <w:color w:val="000000" w:themeColor="text1"/>
          <w:sz w:val="22"/>
          <w:szCs w:val="22"/>
          <w:u w:color="000000"/>
          <w:lang w:val="en-GB"/>
          <w14:textOutline w14:w="12700" w14:cap="flat" w14:cmpd="sng" w14:algn="ctr">
            <w14:noFill/>
            <w14:prstDash w14:val="solid"/>
            <w14:miter w14:lim="400000"/>
          </w14:textOutline>
        </w:rPr>
        <w:t>.</w:t>
      </w:r>
      <w:r w:rsidR="004968E4" w:rsidRPr="004968E4">
        <w:rPr>
          <w:rFonts w:ascii="Times New Roman" w:eastAsia="Times New Roman" w:hAnsi="Times New Roman" w:cs="Times New Roman"/>
          <w:iCs/>
          <w:color w:val="000000" w:themeColor="text1"/>
          <w:sz w:val="22"/>
          <w:szCs w:val="22"/>
          <w:u w:color="000000"/>
          <w:vertAlign w:val="superscript"/>
          <w:lang w:val="en-GB"/>
          <w14:textOutline w14:w="12700" w14:cap="flat" w14:cmpd="sng" w14:algn="ctr">
            <w14:noFill/>
            <w14:prstDash w14:val="solid"/>
            <w14:miter w14:lim="400000"/>
          </w14:textOutline>
        </w:rPr>
        <w:t xml:space="preserve"> </w:t>
      </w:r>
      <w:r w:rsidR="004968E4" w:rsidRPr="00373874">
        <w:rPr>
          <w:rFonts w:ascii="Times New Roman" w:eastAsia="Times New Roman" w:hAnsi="Times New Roman" w:cs="Times New Roman"/>
          <w:iCs/>
          <w:color w:val="000000" w:themeColor="text1"/>
          <w:sz w:val="22"/>
          <w:szCs w:val="22"/>
          <w:u w:color="000000"/>
          <w:vertAlign w:val="superscript"/>
          <w:lang w:val="en-GB"/>
          <w14:textOutline w14:w="12700" w14:cap="flat" w14:cmpd="sng" w14:algn="ctr">
            <w14:noFill/>
            <w14:prstDash w14:val="solid"/>
            <w14:miter w14:lim="400000"/>
          </w14:textOutline>
        </w:rPr>
        <w:footnoteReference w:id="30"/>
      </w:r>
      <w:r w:rsidRPr="00373874">
        <w:rPr>
          <w:rFonts w:ascii="Times New Roman" w:hAnsi="Times New Roman" w:cs="Times New Roman"/>
          <w:color w:val="000000" w:themeColor="text1"/>
          <w:sz w:val="22"/>
          <w:szCs w:val="22"/>
          <w:u w:color="000000"/>
          <w:lang w:val="en-GB"/>
          <w14:textOutline w14:w="12700" w14:cap="flat" w14:cmpd="sng" w14:algn="ctr">
            <w14:noFill/>
            <w14:prstDash w14:val="solid"/>
            <w14:miter w14:lim="400000"/>
          </w14:textOutline>
        </w:rPr>
        <w:t xml:space="preserve"> François </w:t>
      </w:r>
      <w:proofErr w:type="spellStart"/>
      <w:r w:rsidRPr="00373874">
        <w:rPr>
          <w:rFonts w:ascii="Times New Roman" w:hAnsi="Times New Roman" w:cs="Times New Roman"/>
          <w:color w:val="000000" w:themeColor="text1"/>
          <w:sz w:val="22"/>
          <w:szCs w:val="22"/>
          <w:u w:color="000000"/>
          <w:lang w:val="en-GB"/>
          <w14:textOutline w14:w="12700" w14:cap="flat" w14:cmpd="sng" w14:algn="ctr">
            <w14:noFill/>
            <w14:prstDash w14:val="solid"/>
            <w14:miter w14:lim="400000"/>
          </w14:textOutline>
        </w:rPr>
        <w:t>Fourment</w:t>
      </w:r>
      <w:proofErr w:type="spellEnd"/>
      <w:r w:rsidRPr="00373874">
        <w:rPr>
          <w:rFonts w:ascii="Times New Roman" w:hAnsi="Times New Roman" w:cs="Times New Roman"/>
          <w:color w:val="000000" w:themeColor="text1"/>
          <w:sz w:val="22"/>
          <w:szCs w:val="22"/>
          <w:u w:color="000000"/>
          <w:lang w:val="en-GB"/>
          <w14:textOutline w14:w="12700" w14:cap="flat" w14:cmpd="sng" w14:algn="ctr">
            <w14:noFill/>
            <w14:prstDash w14:val="solid"/>
            <w14:miter w14:lim="400000"/>
          </w14:textOutline>
        </w:rPr>
        <w:t xml:space="preserve"> welcomed this decision of the Constitutional Council arguing that it had “saved the judiciary” from a “confusion between the penalty imposed by criminal courts and security measures imposed by administrative police (prohibition to demonstrate)”.</w:t>
      </w:r>
      <w:r w:rsidR="00857F91" w:rsidRPr="00857F91">
        <w:rPr>
          <w:rStyle w:val="FootnoteReference"/>
          <w:rFonts w:cs="Times New Roman"/>
          <w:color w:val="000000" w:themeColor="text1"/>
          <w:szCs w:val="22"/>
          <w:u w:color="000000"/>
          <w14:textOutline w14:w="12700" w14:cap="flat" w14:cmpd="sng" w14:algn="ctr">
            <w14:noFill/>
            <w14:prstDash w14:val="solid"/>
            <w14:miter w14:lim="400000"/>
          </w14:textOutline>
        </w:rPr>
        <w:t xml:space="preserve"> </w:t>
      </w:r>
      <w:r w:rsidR="00857F91" w:rsidRPr="00373874">
        <w:rPr>
          <w:rStyle w:val="FootnoteReference"/>
          <w:rFonts w:cs="Times New Roman"/>
          <w:color w:val="000000" w:themeColor="text1"/>
          <w:szCs w:val="22"/>
          <w:u w:color="000000"/>
          <w14:textOutline w14:w="12700" w14:cap="flat" w14:cmpd="sng" w14:algn="ctr">
            <w14:noFill/>
            <w14:prstDash w14:val="solid"/>
            <w14:miter w14:lim="400000"/>
          </w14:textOutline>
        </w:rPr>
        <w:footnoteReference w:id="31"/>
      </w:r>
    </w:p>
    <w:p w14:paraId="2047893C" w14:textId="5485C014" w:rsidR="00373874" w:rsidRPr="00373874" w:rsidRDefault="00373874" w:rsidP="00373874">
      <w:pPr>
        <w:pStyle w:val="NoSpacing"/>
        <w:numPr>
          <w:ilvl w:val="0"/>
          <w:numId w:val="5"/>
        </w:numPr>
        <w:jc w:val="both"/>
        <w:rPr>
          <w:rFonts w:ascii="Times New Roman" w:hAnsi="Times New Roman" w:cs="Times New Roman"/>
          <w:color w:val="000000" w:themeColor="text1"/>
          <w:sz w:val="22"/>
          <w:szCs w:val="22"/>
          <w:lang w:val="en-GB"/>
        </w:rPr>
      </w:pPr>
      <w:r w:rsidRPr="00373874">
        <w:rPr>
          <w:rFonts w:ascii="Times New Roman" w:eastAsia="Arial Unicode MS" w:hAnsi="Times New Roman" w:cs="Arial Unicode MS"/>
          <w:color w:val="000000" w:themeColor="text1"/>
          <w:sz w:val="22"/>
          <w:szCs w:val="22"/>
          <w:u w:color="000000"/>
          <w:lang w:val="en-US"/>
          <w14:textOutline w14:w="12700" w14:cap="flat" w14:cmpd="sng" w14:algn="ctr">
            <w14:noFill/>
            <w14:prstDash w14:val="solid"/>
            <w14:miter w14:lim="400000"/>
          </w14:textOutline>
        </w:rPr>
        <w:t xml:space="preserve">Concerning the declaration procedure, the new law does not prohibit unregistered assemblies, but provides for penalties for possible organizers who do not comply with the procedure. The State requires citizens to declare public demonstrations in advance. Pursuant to article L. 211-2 of the Internal Security Code, the declaration </w:t>
      </w:r>
      <w:proofErr w:type="gramStart"/>
      <w:r w:rsidRPr="00373874">
        <w:rPr>
          <w:rFonts w:ascii="Times New Roman" w:eastAsia="Arial Unicode MS" w:hAnsi="Times New Roman" w:cs="Arial Unicode MS"/>
          <w:color w:val="000000" w:themeColor="text1"/>
          <w:sz w:val="22"/>
          <w:szCs w:val="22"/>
          <w:u w:color="000000"/>
          <w:lang w:val="en-US"/>
          <w14:textOutline w14:w="12700" w14:cap="flat" w14:cmpd="sng" w14:algn="ctr">
            <w14:noFill/>
            <w14:prstDash w14:val="solid"/>
            <w14:miter w14:lim="400000"/>
          </w14:textOutline>
        </w:rPr>
        <w:t>shall be made</w:t>
      </w:r>
      <w:proofErr w:type="gramEnd"/>
      <w:r w:rsidRPr="00373874">
        <w:rPr>
          <w:rFonts w:ascii="Times New Roman" w:eastAsia="Arial Unicode MS" w:hAnsi="Times New Roman" w:cs="Arial Unicode MS"/>
          <w:color w:val="000000" w:themeColor="text1"/>
          <w:sz w:val="22"/>
          <w:szCs w:val="22"/>
          <w:u w:color="000000"/>
          <w:lang w:val="en-US"/>
          <w14:textOutline w14:w="12700" w14:cap="flat" w14:cmpd="sng" w14:algn="ctr">
            <w14:noFill/>
            <w14:prstDash w14:val="solid"/>
            <w14:miter w14:lim="400000"/>
          </w14:textOutline>
        </w:rPr>
        <w:t xml:space="preserve"> to the town hall of the commune or to the town halls of the various communes on which territory the demonstration is to take place, “</w:t>
      </w:r>
      <w:r w:rsidRPr="00373874">
        <w:rPr>
          <w:rFonts w:ascii="Times New Roman" w:eastAsia="Arial Unicode MS" w:hAnsi="Times New Roman" w:cs="Arial Unicode MS"/>
          <w:iCs/>
          <w:color w:val="000000" w:themeColor="text1"/>
          <w:sz w:val="22"/>
          <w:szCs w:val="22"/>
          <w:u w:color="000000"/>
          <w:lang w:val="en-US"/>
          <w14:textOutline w14:w="12700" w14:cap="flat" w14:cmpd="sng" w14:algn="ctr">
            <w14:noFill/>
            <w14:prstDash w14:val="solid"/>
            <w14:miter w14:lim="400000"/>
          </w14:textOutline>
        </w:rPr>
        <w:t>not less than three days and not more than fifteen days before the date of the demonstration”</w:t>
      </w:r>
      <w:r w:rsidRPr="00373874">
        <w:rPr>
          <w:rStyle w:val="a"/>
          <w:rFonts w:ascii="Times New Roman" w:eastAsia="Arial Unicode MS" w:hAnsi="Times New Roman" w:cs="Arial Unicode MS"/>
          <w:color w:val="000000" w:themeColor="text1"/>
          <w:sz w:val="22"/>
          <w:szCs w:val="22"/>
          <w:u w:color="000000"/>
          <w:lang w:val="en-US"/>
          <w14:textOutline w14:w="12700" w14:cap="flat" w14:cmpd="sng" w14:algn="ctr">
            <w14:noFill/>
            <w14:prstDash w14:val="solid"/>
            <w14:miter w14:lim="400000"/>
          </w14:textOutline>
        </w:rPr>
        <w:t>.</w:t>
      </w:r>
      <w:r w:rsidR="004968E4" w:rsidRPr="004968E4">
        <w:rPr>
          <w:rFonts w:ascii="Times New Roman" w:eastAsia="Times New Roman" w:hAnsi="Times New Roman" w:cs="Times New Roman"/>
          <w:bCs/>
          <w:color w:val="000000" w:themeColor="text1"/>
          <w:sz w:val="22"/>
          <w:szCs w:val="22"/>
          <w:u w:color="000000"/>
          <w:vertAlign w:val="superscript"/>
          <w:lang w:val="en-US"/>
          <w14:textOutline w14:w="12700" w14:cap="flat" w14:cmpd="sng" w14:algn="ctr">
            <w14:noFill/>
            <w14:prstDash w14:val="solid"/>
            <w14:miter w14:lim="400000"/>
          </w14:textOutline>
        </w:rPr>
        <w:t xml:space="preserve"> </w:t>
      </w:r>
      <w:r w:rsidR="004968E4" w:rsidRPr="00373874">
        <w:rPr>
          <w:rFonts w:ascii="Times New Roman" w:eastAsia="Times New Roman" w:hAnsi="Times New Roman" w:cs="Times New Roman"/>
          <w:bCs/>
          <w:color w:val="000000" w:themeColor="text1"/>
          <w:sz w:val="22"/>
          <w:szCs w:val="22"/>
          <w:u w:color="000000"/>
          <w:vertAlign w:val="superscript"/>
          <w:lang w:val="en-US"/>
          <w14:textOutline w14:w="12700" w14:cap="flat" w14:cmpd="sng" w14:algn="ctr">
            <w14:noFill/>
            <w14:prstDash w14:val="solid"/>
            <w14:miter w14:lim="400000"/>
          </w14:textOutline>
        </w:rPr>
        <w:footnoteReference w:id="32"/>
      </w:r>
      <w:r w:rsidRPr="00373874">
        <w:rPr>
          <w:rStyle w:val="a"/>
          <w:rFonts w:ascii="Times New Roman" w:eastAsia="Arial Unicode MS" w:hAnsi="Times New Roman" w:cs="Arial Unicode MS"/>
          <w:color w:val="000000" w:themeColor="text1"/>
          <w:sz w:val="22"/>
          <w:szCs w:val="22"/>
          <w:u w:color="000000"/>
          <w:lang w:val="en-US"/>
          <w14:textOutline w14:w="12700" w14:cap="flat" w14:cmpd="sng" w14:algn="ctr">
            <w14:noFill/>
            <w14:prstDash w14:val="solid"/>
            <w14:miter w14:lim="400000"/>
          </w14:textOutline>
        </w:rPr>
        <w:t xml:space="preserve"> The declaration shall also indicate the purpose of the event, the place, date and time of the assembly of the groups invited to take part in it and, where appropriate, the proposed itinerary.</w:t>
      </w:r>
      <w:r w:rsidR="00B46466" w:rsidRPr="00B46466">
        <w:rPr>
          <w:rStyle w:val="a"/>
          <w:rFonts w:ascii="Times New Roman" w:eastAsia="Times New Roman" w:hAnsi="Times New Roman" w:cs="Times New Roman"/>
          <w:color w:val="000000" w:themeColor="text1"/>
          <w:sz w:val="22"/>
          <w:szCs w:val="22"/>
          <w:u w:color="000000"/>
          <w:vertAlign w:val="superscript"/>
          <w:lang w:val="en-US"/>
          <w14:textOutline w14:w="12700" w14:cap="flat" w14:cmpd="sng" w14:algn="ctr">
            <w14:noFill/>
            <w14:prstDash w14:val="solid"/>
            <w14:miter w14:lim="400000"/>
          </w14:textOutline>
        </w:rPr>
        <w:t xml:space="preserve"> </w:t>
      </w:r>
      <w:r w:rsidR="00B46466" w:rsidRPr="00373874">
        <w:rPr>
          <w:rStyle w:val="a"/>
          <w:rFonts w:ascii="Times New Roman" w:eastAsia="Times New Roman" w:hAnsi="Times New Roman" w:cs="Times New Roman"/>
          <w:color w:val="000000" w:themeColor="text1"/>
          <w:sz w:val="22"/>
          <w:szCs w:val="22"/>
          <w:u w:color="000000"/>
          <w:vertAlign w:val="superscript"/>
          <w:lang w:val="en-US"/>
          <w14:textOutline w14:w="12700" w14:cap="flat" w14:cmpd="sng" w14:algn="ctr">
            <w14:noFill/>
            <w14:prstDash w14:val="solid"/>
            <w14:miter w14:lim="400000"/>
          </w14:textOutline>
        </w:rPr>
        <w:footnoteReference w:id="33"/>
      </w:r>
      <w:r w:rsidRPr="00373874">
        <w:rPr>
          <w:rStyle w:val="a"/>
          <w:rFonts w:ascii="Times New Roman" w:eastAsia="Arial Unicode MS" w:hAnsi="Times New Roman" w:cs="Arial Unicode MS"/>
          <w:color w:val="000000" w:themeColor="text1"/>
          <w:sz w:val="22"/>
          <w:szCs w:val="22"/>
          <w:u w:color="000000"/>
          <w:lang w:val="en-US"/>
          <w14:textOutline w14:w="12700" w14:cap="flat" w14:cmpd="sng" w14:algn="ctr">
            <w14:noFill/>
            <w14:prstDash w14:val="solid"/>
            <w14:miter w14:lim="400000"/>
          </w14:textOutline>
        </w:rPr>
        <w:t xml:space="preserve"> The authority receiving the declaration shall immediately issue a receipt for it</w:t>
      </w:r>
      <w:r w:rsidRPr="00373874">
        <w:rPr>
          <w:rStyle w:val="a"/>
          <w:rFonts w:ascii="Times New Roman" w:eastAsia="Times New Roman" w:hAnsi="Times New Roman" w:cs="Times New Roman"/>
          <w:color w:val="000000" w:themeColor="text1"/>
          <w:sz w:val="22"/>
          <w:szCs w:val="22"/>
          <w:u w:color="000000"/>
          <w:vertAlign w:val="superscript"/>
          <w:lang w:val="en-US"/>
          <w14:textOutline w14:w="12700" w14:cap="flat" w14:cmpd="sng" w14:algn="ctr">
            <w14:noFill/>
            <w14:prstDash w14:val="solid"/>
            <w14:miter w14:lim="400000"/>
          </w14:textOutline>
        </w:rPr>
        <w:footnoteReference w:id="34"/>
      </w:r>
      <w:r w:rsidRPr="00373874">
        <w:rPr>
          <w:rStyle w:val="a"/>
          <w:rFonts w:ascii="Times New Roman" w:eastAsia="Arial Unicode MS" w:hAnsi="Times New Roman" w:cs="Arial Unicode MS"/>
          <w:color w:val="000000" w:themeColor="text1"/>
          <w:sz w:val="22"/>
          <w:szCs w:val="22"/>
          <w:u w:color="000000"/>
          <w:lang w:val="en-US"/>
          <w14:textOutline w14:w="12700" w14:cap="flat" w14:cmpd="sng" w14:algn="ctr">
            <w14:noFill/>
            <w14:prstDash w14:val="solid"/>
            <w14:miter w14:lim="400000"/>
          </w14:textOutline>
        </w:rPr>
        <w:t>.</w:t>
      </w:r>
    </w:p>
    <w:p w14:paraId="73688268" w14:textId="413B1223" w:rsidR="00373874" w:rsidRPr="00373874" w:rsidRDefault="00373874" w:rsidP="00373874">
      <w:pPr>
        <w:pStyle w:val="NoSpacing"/>
        <w:numPr>
          <w:ilvl w:val="0"/>
          <w:numId w:val="5"/>
        </w:numPr>
        <w:jc w:val="both"/>
        <w:rPr>
          <w:rStyle w:val="a"/>
          <w:rFonts w:ascii="Times New Roman" w:hAnsi="Times New Roman" w:cs="Times New Roman"/>
          <w:color w:val="000000" w:themeColor="text1"/>
          <w:sz w:val="22"/>
          <w:szCs w:val="22"/>
          <w:lang w:val="en-GB"/>
        </w:rPr>
      </w:pPr>
      <w:r w:rsidRPr="00373874">
        <w:rPr>
          <w:rStyle w:val="a"/>
          <w:rFonts w:ascii="Times New Roman" w:eastAsia="Arial Unicode MS" w:hAnsi="Times New Roman" w:cs="Arial Unicode MS"/>
          <w:color w:val="000000" w:themeColor="text1"/>
          <w:sz w:val="22"/>
          <w:szCs w:val="22"/>
          <w:u w:color="000000"/>
          <w:lang w:val="en-US"/>
          <w14:textOutline w14:w="12700" w14:cap="flat" w14:cmpd="sng" w14:algn="ctr">
            <w14:noFill/>
            <w14:prstDash w14:val="solid"/>
            <w14:miter w14:lim="400000"/>
          </w14:textOutline>
        </w:rPr>
        <w:lastRenderedPageBreak/>
        <w:t xml:space="preserve">In relation to stop and search, </w:t>
      </w:r>
      <w:r w:rsidR="0031509B">
        <w:rPr>
          <w:rStyle w:val="a"/>
          <w:rFonts w:ascii="Times New Roman" w:eastAsia="Arial Unicode MS" w:hAnsi="Times New Roman" w:cs="Arial Unicode MS"/>
          <w:color w:val="000000" w:themeColor="text1"/>
          <w:sz w:val="22"/>
          <w:szCs w:val="22"/>
          <w:u w:color="000000"/>
          <w:lang w:val="en-US"/>
          <w14:textOutline w14:w="12700" w14:cap="flat" w14:cmpd="sng" w14:algn="ctr">
            <w14:noFill/>
            <w14:prstDash w14:val="solid"/>
            <w14:miter w14:lim="400000"/>
          </w14:textOutline>
        </w:rPr>
        <w:t xml:space="preserve">the </w:t>
      </w:r>
      <w:r w:rsidRPr="00373874">
        <w:rPr>
          <w:rStyle w:val="a"/>
          <w:rFonts w:ascii="Times New Roman" w:eastAsia="Arial Unicode MS" w:hAnsi="Times New Roman" w:cs="Arial Unicode MS"/>
          <w:color w:val="000000" w:themeColor="text1"/>
          <w:sz w:val="22"/>
          <w:szCs w:val="22"/>
          <w:u w:color="000000"/>
          <w:lang w:val="en-US"/>
          <w14:textOutline w14:w="12700" w14:cap="flat" w14:cmpd="sng" w14:algn="ctr">
            <w14:noFill/>
            <w14:prstDash w14:val="solid"/>
            <w14:miter w14:lim="400000"/>
          </w14:textOutline>
        </w:rPr>
        <w:t>new article 78-2-4</w:t>
      </w:r>
      <w:r w:rsidRPr="00373874">
        <w:rPr>
          <w:rStyle w:val="a"/>
          <w:rFonts w:ascii="Times New Roman" w:eastAsia="Times New Roman" w:hAnsi="Times New Roman" w:cs="Times New Roman"/>
          <w:color w:val="000000" w:themeColor="text1"/>
          <w:sz w:val="22"/>
          <w:szCs w:val="22"/>
          <w:u w:color="000000"/>
          <w:vertAlign w:val="superscript"/>
          <w:lang w:val="en-US"/>
          <w14:textOutline w14:w="12700" w14:cap="flat" w14:cmpd="sng" w14:algn="ctr">
            <w14:noFill/>
            <w14:prstDash w14:val="solid"/>
            <w14:miter w14:lim="400000"/>
          </w14:textOutline>
        </w:rPr>
        <w:footnoteReference w:id="35"/>
      </w:r>
      <w:r w:rsidRPr="00373874">
        <w:rPr>
          <w:rStyle w:val="a"/>
          <w:rFonts w:ascii="Times New Roman" w:eastAsia="Arial Unicode MS" w:hAnsi="Times New Roman" w:cs="Arial Unicode MS"/>
          <w:color w:val="000000" w:themeColor="text1"/>
          <w:sz w:val="22"/>
          <w:szCs w:val="22"/>
          <w:u w:color="000000"/>
          <w:lang w:val="en-US"/>
          <w14:textOutline w14:w="12700" w14:cap="flat" w14:cmpd="sng" w14:algn="ctr">
            <w14:noFill/>
            <w14:prstDash w14:val="solid"/>
            <w14:miter w14:lim="400000"/>
          </w14:textOutline>
        </w:rPr>
        <w:t xml:space="preserve"> of the Code of Criminal Procedure provides for the visual inspection and searches of persons’ luggage that are allowed, in a specific place and for a limited period of time, on the written requisition of the public prosecutor.</w:t>
      </w:r>
      <w:r w:rsidR="00B46466" w:rsidRPr="00B46466">
        <w:rPr>
          <w:rStyle w:val="a"/>
          <w:rFonts w:ascii="Times New Roman" w:eastAsia="Times New Roman" w:hAnsi="Times New Roman" w:cs="Times New Roman"/>
          <w:color w:val="000000" w:themeColor="text1"/>
          <w:sz w:val="22"/>
          <w:szCs w:val="22"/>
          <w:u w:color="000000"/>
          <w:vertAlign w:val="superscript"/>
          <w:lang w:val="en-US"/>
          <w14:textOutline w14:w="12700" w14:cap="flat" w14:cmpd="sng" w14:algn="ctr">
            <w14:noFill/>
            <w14:prstDash w14:val="solid"/>
            <w14:miter w14:lim="400000"/>
          </w14:textOutline>
        </w:rPr>
        <w:t xml:space="preserve"> </w:t>
      </w:r>
      <w:r w:rsidR="00B46466" w:rsidRPr="00373874">
        <w:rPr>
          <w:rStyle w:val="a"/>
          <w:rFonts w:ascii="Times New Roman" w:eastAsia="Times New Roman" w:hAnsi="Times New Roman" w:cs="Times New Roman"/>
          <w:color w:val="000000" w:themeColor="text1"/>
          <w:sz w:val="22"/>
          <w:szCs w:val="22"/>
          <w:u w:color="000000"/>
          <w:vertAlign w:val="superscript"/>
          <w:lang w:val="en-US"/>
          <w14:textOutline w14:w="12700" w14:cap="flat" w14:cmpd="sng" w14:algn="ctr">
            <w14:noFill/>
            <w14:prstDash w14:val="solid"/>
            <w14:miter w14:lim="400000"/>
          </w14:textOutline>
        </w:rPr>
        <w:footnoteReference w:id="36"/>
      </w:r>
      <w:r w:rsidRPr="00373874">
        <w:rPr>
          <w:rStyle w:val="a"/>
          <w:rFonts w:ascii="Times New Roman" w:eastAsia="Arial Unicode MS" w:hAnsi="Times New Roman" w:cs="Arial Unicode MS"/>
          <w:color w:val="000000" w:themeColor="text1"/>
          <w:sz w:val="22"/>
          <w:szCs w:val="22"/>
          <w:u w:color="000000"/>
          <w:lang w:val="en-US"/>
          <w14:textOutline w14:w="12700" w14:cap="flat" w14:cmpd="sng" w14:algn="ctr">
            <w14:noFill/>
            <w14:prstDash w14:val="solid"/>
            <w14:miter w14:lim="400000"/>
          </w14:textOutline>
        </w:rPr>
        <w:t xml:space="preserve"> </w:t>
      </w:r>
      <w:r w:rsidRPr="00373874">
        <w:rPr>
          <w:rFonts w:ascii="Times New Roman" w:hAnsi="Times New Roman" w:cs="Times New Roman"/>
          <w:bCs/>
          <w:color w:val="000000" w:themeColor="text1"/>
          <w:sz w:val="22"/>
          <w:szCs w:val="22"/>
          <w:lang w:val="en-GB"/>
        </w:rPr>
        <w:t xml:space="preserve">The French </w:t>
      </w:r>
      <w:r w:rsidRPr="00373874">
        <w:rPr>
          <w:rFonts w:ascii="Times New Roman" w:hAnsi="Times New Roman" w:cs="Times New Roman"/>
          <w:bCs/>
          <w:i/>
          <w:color w:val="000000" w:themeColor="text1"/>
          <w:sz w:val="22"/>
          <w:szCs w:val="22"/>
          <w:lang w:val="en-GB"/>
        </w:rPr>
        <w:t>Ombudsperson</w:t>
      </w:r>
      <w:r w:rsidRPr="00373874">
        <w:rPr>
          <w:rFonts w:ascii="Times New Roman" w:hAnsi="Times New Roman" w:cs="Times New Roman"/>
          <w:bCs/>
          <w:color w:val="000000" w:themeColor="text1"/>
          <w:sz w:val="22"/>
          <w:szCs w:val="22"/>
          <w:lang w:val="en-GB"/>
        </w:rPr>
        <w:t xml:space="preserve"> </w:t>
      </w:r>
      <w:r w:rsidRPr="00373874">
        <w:rPr>
          <w:rFonts w:ascii="Times New Roman" w:hAnsi="Times New Roman" w:cs="Times New Roman"/>
          <w:bCs/>
          <w:i/>
          <w:iCs/>
          <w:color w:val="000000" w:themeColor="text1"/>
          <w:sz w:val="22"/>
          <w:szCs w:val="22"/>
          <w:lang w:val="en-GB"/>
        </w:rPr>
        <w:t>“</w:t>
      </w:r>
      <w:proofErr w:type="spellStart"/>
      <w:r w:rsidRPr="00373874">
        <w:rPr>
          <w:rFonts w:ascii="Times New Roman" w:hAnsi="Times New Roman" w:cs="Times New Roman"/>
          <w:bCs/>
          <w:i/>
          <w:iCs/>
          <w:color w:val="000000" w:themeColor="text1"/>
          <w:sz w:val="22"/>
          <w:szCs w:val="22"/>
          <w:lang w:val="en-GB"/>
        </w:rPr>
        <w:t>Défenseur</w:t>
      </w:r>
      <w:proofErr w:type="spellEnd"/>
      <w:r w:rsidRPr="00373874">
        <w:rPr>
          <w:rFonts w:ascii="Times New Roman" w:hAnsi="Times New Roman" w:cs="Times New Roman"/>
          <w:bCs/>
          <w:i/>
          <w:iCs/>
          <w:color w:val="000000" w:themeColor="text1"/>
          <w:sz w:val="22"/>
          <w:szCs w:val="22"/>
          <w:lang w:val="en-GB"/>
        </w:rPr>
        <w:t xml:space="preserve"> des droits</w:t>
      </w:r>
      <w:r w:rsidRPr="00373874">
        <w:rPr>
          <w:rFonts w:ascii="Times New Roman" w:hAnsi="Times New Roman" w:cs="Times New Roman"/>
          <w:bCs/>
          <w:color w:val="000000" w:themeColor="text1"/>
          <w:sz w:val="22"/>
          <w:szCs w:val="22"/>
          <w:lang w:val="en-GB"/>
        </w:rPr>
        <w:t xml:space="preserve">” </w:t>
      </w:r>
      <w:r w:rsidRPr="00373874">
        <w:rPr>
          <w:rStyle w:val="a"/>
          <w:rFonts w:ascii="Times New Roman" w:eastAsia="Arial Unicode MS" w:hAnsi="Times New Roman" w:cs="Arial Unicode MS"/>
          <w:color w:val="000000" w:themeColor="text1"/>
          <w:sz w:val="22"/>
          <w:szCs w:val="22"/>
          <w:u w:color="000000"/>
          <w:lang w:val="en-US"/>
          <w14:textOutline w14:w="12700" w14:cap="flat" w14:cmpd="sng" w14:algn="ctr">
            <w14:noFill/>
            <w14:prstDash w14:val="solid"/>
            <w14:miter w14:lim="400000"/>
          </w14:textOutline>
        </w:rPr>
        <w:t>questioned these search and screening measures, arguing that they would violate individual freedoms, and would cause tensions during demonstrations and contribute to the deterioration of police-population relations.</w:t>
      </w:r>
      <w:r w:rsidR="00626D28" w:rsidRPr="00626D28">
        <w:rPr>
          <w:rStyle w:val="a"/>
          <w:rFonts w:ascii="Times New Roman" w:eastAsia="Times New Roman" w:hAnsi="Times New Roman" w:cs="Times New Roman"/>
          <w:color w:val="000000" w:themeColor="text1"/>
          <w:sz w:val="22"/>
          <w:szCs w:val="22"/>
          <w:u w:color="000000"/>
          <w:vertAlign w:val="superscript"/>
          <w:lang w:val="en-US"/>
          <w14:textOutline w14:w="12700" w14:cap="flat" w14:cmpd="sng" w14:algn="ctr">
            <w14:noFill/>
            <w14:prstDash w14:val="solid"/>
            <w14:miter w14:lim="400000"/>
          </w14:textOutline>
        </w:rPr>
        <w:t xml:space="preserve"> </w:t>
      </w:r>
      <w:r w:rsidR="00626D28" w:rsidRPr="00373874">
        <w:rPr>
          <w:rStyle w:val="a"/>
          <w:rFonts w:ascii="Times New Roman" w:eastAsia="Times New Roman" w:hAnsi="Times New Roman" w:cs="Times New Roman"/>
          <w:color w:val="000000" w:themeColor="text1"/>
          <w:sz w:val="22"/>
          <w:szCs w:val="22"/>
          <w:u w:color="000000"/>
          <w:vertAlign w:val="superscript"/>
          <w:lang w:val="en-US"/>
          <w14:textOutline w14:w="12700" w14:cap="flat" w14:cmpd="sng" w14:algn="ctr">
            <w14:noFill/>
            <w14:prstDash w14:val="solid"/>
            <w14:miter w14:lim="400000"/>
          </w14:textOutline>
        </w:rPr>
        <w:footnoteReference w:id="37"/>
      </w:r>
    </w:p>
    <w:p w14:paraId="0B5FD827" w14:textId="331578E9" w:rsidR="00373874" w:rsidRPr="00373874" w:rsidRDefault="002D7B48" w:rsidP="00373874">
      <w:pPr>
        <w:pStyle w:val="NoSpacing"/>
        <w:numPr>
          <w:ilvl w:val="0"/>
          <w:numId w:val="5"/>
        </w:numPr>
        <w:jc w:val="both"/>
        <w:rPr>
          <w:rFonts w:ascii="Times New Roman" w:hAnsi="Times New Roman" w:cs="Times New Roman"/>
          <w:color w:val="000000" w:themeColor="text1"/>
          <w:sz w:val="22"/>
          <w:szCs w:val="22"/>
          <w:lang w:val="en-GB"/>
        </w:rPr>
      </w:pPr>
      <w:r>
        <w:rPr>
          <w:rStyle w:val="a"/>
          <w:rFonts w:ascii="Times New Roman" w:eastAsia="Arial Unicode MS" w:hAnsi="Times New Roman" w:cs="Arial Unicode MS"/>
          <w:color w:val="000000" w:themeColor="text1"/>
          <w:sz w:val="22"/>
          <w:szCs w:val="22"/>
          <w:u w:color="000000"/>
          <w:lang w:val="en-US"/>
          <w14:textOutline w14:w="12700" w14:cap="flat" w14:cmpd="sng" w14:algn="ctr">
            <w14:noFill/>
            <w14:prstDash w14:val="solid"/>
            <w14:miter w14:lim="400000"/>
          </w14:textOutline>
        </w:rPr>
        <w:t>Finally, n</w:t>
      </w:r>
      <w:r w:rsidR="00373874" w:rsidRPr="00373874">
        <w:rPr>
          <w:rStyle w:val="a"/>
          <w:rFonts w:ascii="Times New Roman" w:eastAsia="Arial Unicode MS" w:hAnsi="Times New Roman" w:cs="Arial Unicode MS"/>
          <w:color w:val="000000" w:themeColor="text1"/>
          <w:sz w:val="22"/>
          <w:szCs w:val="22"/>
          <w:u w:color="000000"/>
          <w:lang w:val="en-US"/>
          <w14:textOutline w14:w="12700" w14:cap="flat" w14:cmpd="sng" w14:algn="ctr">
            <w14:noFill/>
            <w14:prstDash w14:val="solid"/>
            <w14:miter w14:lim="400000"/>
          </w14:textOutline>
        </w:rPr>
        <w:t>ew article 431-9-1 of the Criminal Code provides for “</w:t>
      </w:r>
      <w:r w:rsidR="00373874" w:rsidRPr="00373874">
        <w:rPr>
          <w:rStyle w:val="a"/>
          <w:rFonts w:ascii="Times New Roman" w:eastAsia="Arial Unicode MS" w:hAnsi="Times New Roman" w:cs="Arial Unicode MS"/>
          <w:iCs/>
          <w:color w:val="000000" w:themeColor="text1"/>
          <w:sz w:val="22"/>
          <w:szCs w:val="22"/>
          <w:u w:color="000000"/>
          <w:lang w:val="en-US"/>
          <w14:textOutline w14:w="12700" w14:cap="flat" w14:cmpd="sng" w14:algn="ctr">
            <w14:noFill/>
            <w14:prstDash w14:val="solid"/>
            <w14:miter w14:lim="400000"/>
          </w14:textOutline>
        </w:rPr>
        <w:t>one year of imprisonment and a fine of 15,000 euros for those who deliberately</w:t>
      </w:r>
      <w:r w:rsidR="00373874" w:rsidRPr="00373874">
        <w:rPr>
          <w:rStyle w:val="a"/>
          <w:rFonts w:ascii="Times New Roman" w:eastAsia="Arial Unicode MS" w:hAnsi="Times New Roman" w:cs="Arial Unicode MS"/>
          <w:color w:val="000000" w:themeColor="text1"/>
          <w:sz w:val="22"/>
          <w:szCs w:val="22"/>
          <w:u w:color="000000"/>
          <w:lang w:val="en-US"/>
          <w14:textOutline w14:w="12700" w14:cap="flat" w14:cmpd="sng" w14:algn="ctr">
            <w14:noFill/>
            <w14:prstDash w14:val="solid"/>
            <w14:miter w14:lim="400000"/>
          </w14:textOutline>
        </w:rPr>
        <w:t xml:space="preserve"> </w:t>
      </w:r>
      <w:r w:rsidR="00373874" w:rsidRPr="00373874">
        <w:rPr>
          <w:rStyle w:val="a"/>
          <w:rFonts w:ascii="Times New Roman" w:eastAsia="Arial Unicode MS" w:hAnsi="Times New Roman" w:cs="Arial Unicode MS"/>
          <w:iCs/>
          <w:color w:val="000000" w:themeColor="text1"/>
          <w:sz w:val="22"/>
          <w:szCs w:val="22"/>
          <w:u w:color="000000"/>
          <w:lang w:val="en-US"/>
          <w14:textOutline w14:w="12700" w14:cap="flat" w14:cmpd="sng" w14:algn="ctr">
            <w14:noFill/>
            <w14:prstDash w14:val="solid"/>
            <w14:miter w14:lim="400000"/>
          </w14:textOutline>
        </w:rPr>
        <w:t xml:space="preserve">conceals their face or part of it” </w:t>
      </w:r>
      <w:r w:rsidR="00373874" w:rsidRPr="00373874">
        <w:rPr>
          <w:rStyle w:val="a"/>
          <w:rFonts w:ascii="Times New Roman" w:eastAsia="Arial Unicode MS" w:hAnsi="Times New Roman" w:cs="Arial Unicode MS"/>
          <w:color w:val="000000" w:themeColor="text1"/>
          <w:sz w:val="22"/>
          <w:szCs w:val="22"/>
          <w:u w:color="000000"/>
          <w:lang w:val="en-US"/>
          <w14:textOutline w14:w="12700" w14:cap="flat" w14:cmpd="sng" w14:algn="ctr">
            <w14:noFill/>
            <w14:prstDash w14:val="solid"/>
            <w14:miter w14:lim="400000"/>
          </w14:textOutline>
        </w:rPr>
        <w:t>without legitimate reason in the surroundings area of a demonstration.</w:t>
      </w:r>
      <w:r w:rsidR="00CE664C" w:rsidRPr="00CE664C">
        <w:rPr>
          <w:rStyle w:val="a"/>
          <w:rFonts w:ascii="Times New Roman" w:eastAsia="Times New Roman" w:hAnsi="Times New Roman" w:cs="Times New Roman"/>
          <w:color w:val="000000" w:themeColor="text1"/>
          <w:sz w:val="22"/>
          <w:szCs w:val="22"/>
          <w:u w:color="000000"/>
          <w:vertAlign w:val="superscript"/>
          <w:lang w:val="en-US"/>
          <w14:textOutline w14:w="12700" w14:cap="flat" w14:cmpd="sng" w14:algn="ctr">
            <w14:noFill/>
            <w14:prstDash w14:val="solid"/>
            <w14:miter w14:lim="400000"/>
          </w14:textOutline>
        </w:rPr>
        <w:t xml:space="preserve"> </w:t>
      </w:r>
      <w:r w:rsidR="00CE664C" w:rsidRPr="00373874">
        <w:rPr>
          <w:rStyle w:val="a"/>
          <w:rFonts w:ascii="Times New Roman" w:eastAsia="Times New Roman" w:hAnsi="Times New Roman" w:cs="Times New Roman"/>
          <w:color w:val="000000" w:themeColor="text1"/>
          <w:sz w:val="22"/>
          <w:szCs w:val="22"/>
          <w:u w:color="000000"/>
          <w:vertAlign w:val="superscript"/>
          <w:lang w:val="en-US"/>
          <w14:textOutline w14:w="12700" w14:cap="flat" w14:cmpd="sng" w14:algn="ctr">
            <w14:noFill/>
            <w14:prstDash w14:val="solid"/>
            <w14:miter w14:lim="400000"/>
          </w14:textOutline>
        </w:rPr>
        <w:footnoteReference w:id="38"/>
      </w:r>
      <w:r w:rsidR="00373874" w:rsidRPr="00373874">
        <w:rPr>
          <w:rStyle w:val="a"/>
          <w:rFonts w:ascii="Times New Roman" w:eastAsia="Arial Unicode MS" w:hAnsi="Times New Roman" w:cs="Arial Unicode MS"/>
          <w:color w:val="000000" w:themeColor="text1"/>
          <w:sz w:val="22"/>
          <w:szCs w:val="22"/>
          <w:u w:color="000000"/>
          <w:lang w:val="en-US"/>
          <w14:textOutline w14:w="12700" w14:cap="flat" w14:cmpd="sng" w14:algn="ctr">
            <w14:noFill/>
            <w14:prstDash w14:val="solid"/>
            <w14:miter w14:lim="400000"/>
          </w14:textOutline>
        </w:rPr>
        <w:t xml:space="preserve"> The Constitutional Council found that there was no violation of the “no punishment without law principle</w:t>
      </w:r>
      <w:r w:rsidR="00373874" w:rsidRPr="00373874">
        <w:rPr>
          <w:rStyle w:val="a"/>
          <w:rFonts w:ascii="Times New Roman" w:eastAsia="Arial Unicode MS" w:hAnsi="Times New Roman" w:cs="Arial Unicode MS"/>
          <w:iCs/>
          <w:color w:val="000000" w:themeColor="text1"/>
          <w:sz w:val="22"/>
          <w:szCs w:val="22"/>
          <w:u w:color="000000"/>
          <w:lang w:val="en-US"/>
          <w14:textOutline w14:w="12700" w14:cap="flat" w14:cmpd="sng" w14:algn="ctr">
            <w14:noFill/>
            <w14:prstDash w14:val="solid"/>
            <w14:miter w14:lim="400000"/>
          </w14:textOutline>
        </w:rPr>
        <w:t>”</w:t>
      </w:r>
      <w:r w:rsidR="001F5A00">
        <w:rPr>
          <w:rStyle w:val="a"/>
          <w:rFonts w:ascii="Times New Roman" w:eastAsia="Arial Unicode MS" w:hAnsi="Times New Roman" w:cs="Arial Unicode MS"/>
          <w:iCs/>
          <w:color w:val="000000" w:themeColor="text1"/>
          <w:sz w:val="22"/>
          <w:szCs w:val="22"/>
          <w:u w:color="000000"/>
          <w:lang w:val="en-US"/>
          <w14:textOutline w14:w="12700" w14:cap="flat" w14:cmpd="sng" w14:algn="ctr">
            <w14:noFill/>
            <w14:prstDash w14:val="solid"/>
            <w14:miter w14:lim="400000"/>
          </w14:textOutline>
        </w:rPr>
        <w:t xml:space="preserve"> (</w:t>
      </w:r>
      <w:proofErr w:type="spellStart"/>
      <w:r w:rsidR="001F5A00">
        <w:rPr>
          <w:rStyle w:val="a"/>
          <w:rFonts w:ascii="Times New Roman" w:eastAsia="Arial Unicode MS" w:hAnsi="Times New Roman" w:cs="Arial Unicode MS"/>
          <w:i/>
          <w:iCs/>
          <w:color w:val="000000" w:themeColor="text1"/>
          <w:sz w:val="22"/>
          <w:szCs w:val="22"/>
          <w:u w:color="000000"/>
          <w:lang w:val="en-US"/>
          <w14:textOutline w14:w="12700" w14:cap="flat" w14:cmpd="sng" w14:algn="ctr">
            <w14:noFill/>
            <w14:prstDash w14:val="solid"/>
            <w14:miter w14:lim="400000"/>
          </w14:textOutline>
        </w:rPr>
        <w:t>nulla</w:t>
      </w:r>
      <w:proofErr w:type="spellEnd"/>
      <w:r w:rsidR="001F5A00">
        <w:rPr>
          <w:rStyle w:val="a"/>
          <w:rFonts w:ascii="Times New Roman" w:eastAsia="Arial Unicode MS" w:hAnsi="Times New Roman" w:cs="Arial Unicode MS"/>
          <w:i/>
          <w:iCs/>
          <w:color w:val="000000" w:themeColor="text1"/>
          <w:sz w:val="22"/>
          <w:szCs w:val="22"/>
          <w:u w:color="000000"/>
          <w:lang w:val="en-US"/>
          <w14:textOutline w14:w="12700" w14:cap="flat" w14:cmpd="sng" w14:algn="ctr">
            <w14:noFill/>
            <w14:prstDash w14:val="solid"/>
            <w14:miter w14:lim="400000"/>
          </w14:textOutline>
        </w:rPr>
        <w:t xml:space="preserve"> </w:t>
      </w:r>
      <w:proofErr w:type="spellStart"/>
      <w:r w:rsidR="001F5A00">
        <w:rPr>
          <w:rStyle w:val="a"/>
          <w:rFonts w:ascii="Times New Roman" w:eastAsia="Arial Unicode MS" w:hAnsi="Times New Roman" w:cs="Arial Unicode MS"/>
          <w:i/>
          <w:iCs/>
          <w:color w:val="000000" w:themeColor="text1"/>
          <w:sz w:val="22"/>
          <w:szCs w:val="22"/>
          <w:u w:color="000000"/>
          <w:lang w:val="en-US"/>
          <w14:textOutline w14:w="12700" w14:cap="flat" w14:cmpd="sng" w14:algn="ctr">
            <w14:noFill/>
            <w14:prstDash w14:val="solid"/>
            <w14:miter w14:lim="400000"/>
          </w14:textOutline>
        </w:rPr>
        <w:t>poena</w:t>
      </w:r>
      <w:proofErr w:type="spellEnd"/>
      <w:r w:rsidR="001F5A00">
        <w:rPr>
          <w:rStyle w:val="a"/>
          <w:rFonts w:ascii="Times New Roman" w:eastAsia="Arial Unicode MS" w:hAnsi="Times New Roman" w:cs="Arial Unicode MS"/>
          <w:i/>
          <w:iCs/>
          <w:color w:val="000000" w:themeColor="text1"/>
          <w:sz w:val="22"/>
          <w:szCs w:val="22"/>
          <w:u w:color="000000"/>
          <w:lang w:val="en-US"/>
          <w14:textOutline w14:w="12700" w14:cap="flat" w14:cmpd="sng" w14:algn="ctr">
            <w14:noFill/>
            <w14:prstDash w14:val="solid"/>
            <w14:miter w14:lim="400000"/>
          </w14:textOutline>
        </w:rPr>
        <w:t xml:space="preserve"> sine </w:t>
      </w:r>
      <w:proofErr w:type="spellStart"/>
      <w:r w:rsidR="001F5A00">
        <w:rPr>
          <w:rStyle w:val="a"/>
          <w:rFonts w:ascii="Times New Roman" w:eastAsia="Arial Unicode MS" w:hAnsi="Times New Roman" w:cs="Arial Unicode MS"/>
          <w:i/>
          <w:iCs/>
          <w:color w:val="000000" w:themeColor="text1"/>
          <w:sz w:val="22"/>
          <w:szCs w:val="22"/>
          <w:u w:color="000000"/>
          <w:lang w:val="en-US"/>
          <w14:textOutline w14:w="12700" w14:cap="flat" w14:cmpd="sng" w14:algn="ctr">
            <w14:noFill/>
            <w14:prstDash w14:val="solid"/>
            <w14:miter w14:lim="400000"/>
          </w14:textOutline>
        </w:rPr>
        <w:t>lege</w:t>
      </w:r>
      <w:proofErr w:type="spellEnd"/>
      <w:r w:rsidR="001F5A00">
        <w:rPr>
          <w:rStyle w:val="a"/>
          <w:rFonts w:ascii="Times New Roman" w:eastAsia="Arial Unicode MS" w:hAnsi="Times New Roman" w:cs="Arial Unicode MS"/>
          <w:iCs/>
          <w:color w:val="000000" w:themeColor="text1"/>
          <w:sz w:val="22"/>
          <w:szCs w:val="22"/>
          <w:u w:color="000000"/>
          <w:lang w:val="en-US"/>
          <w14:textOutline w14:w="12700" w14:cap="flat" w14:cmpd="sng" w14:algn="ctr">
            <w14:noFill/>
            <w14:prstDash w14:val="solid"/>
            <w14:miter w14:lim="400000"/>
          </w14:textOutline>
        </w:rPr>
        <w:t>)</w:t>
      </w:r>
      <w:r w:rsidR="00373874" w:rsidRPr="00373874">
        <w:rPr>
          <w:rStyle w:val="a"/>
          <w:rFonts w:ascii="Times New Roman" w:eastAsia="Arial Unicode MS" w:hAnsi="Times New Roman" w:cs="Arial Unicode MS"/>
          <w:color w:val="000000" w:themeColor="text1"/>
          <w:sz w:val="22"/>
          <w:szCs w:val="22"/>
          <w:u w:color="000000"/>
          <w:lang w:val="en-US"/>
          <w14:textOutline w14:w="12700" w14:cap="flat" w14:cmpd="sng" w14:algn="ctr">
            <w14:noFill/>
            <w14:prstDash w14:val="solid"/>
            <w14:miter w14:lim="400000"/>
          </w14:textOutline>
        </w:rPr>
        <w:t xml:space="preserve"> since the legislator requires the “</w:t>
      </w:r>
      <w:r w:rsidR="00373874" w:rsidRPr="00373874">
        <w:rPr>
          <w:rStyle w:val="a"/>
          <w:rFonts w:ascii="Times New Roman" w:eastAsia="Arial Unicode MS" w:hAnsi="Times New Roman" w:cs="Arial Unicode MS"/>
          <w:iCs/>
          <w:color w:val="000000" w:themeColor="text1"/>
          <w:sz w:val="22"/>
          <w:szCs w:val="22"/>
          <w:u w:color="000000"/>
          <w:lang w:val="en-US"/>
          <w14:textOutline w14:w="12700" w14:cap="flat" w14:cmpd="sng" w14:algn="ctr">
            <w14:noFill/>
            <w14:prstDash w14:val="solid"/>
            <w14:miter w14:lim="400000"/>
          </w14:textOutline>
        </w:rPr>
        <w:t>deliberate concealment of part of one’s face”</w:t>
      </w:r>
      <w:r w:rsidR="00373874" w:rsidRPr="00373874">
        <w:rPr>
          <w:rStyle w:val="a"/>
          <w:rFonts w:ascii="Times New Roman" w:eastAsia="Arial Unicode MS" w:hAnsi="Times New Roman" w:cs="Arial Unicode MS"/>
          <w:color w:val="000000" w:themeColor="text1"/>
          <w:sz w:val="22"/>
          <w:szCs w:val="22"/>
          <w:u w:color="000000"/>
          <w:lang w:val="en-US"/>
          <w14:textOutline w14:w="12700" w14:cap="flat" w14:cmpd="sng" w14:algn="ctr">
            <w14:noFill/>
            <w14:prstDash w14:val="solid"/>
            <w14:miter w14:lim="400000"/>
          </w14:textOutline>
        </w:rPr>
        <w:t>, as an element of the criminal offense.</w:t>
      </w:r>
      <w:r w:rsidR="00C7714A" w:rsidRPr="00373874">
        <w:rPr>
          <w:rStyle w:val="a"/>
          <w:rFonts w:ascii="Times New Roman" w:eastAsia="Times New Roman" w:hAnsi="Times New Roman" w:cs="Times New Roman"/>
          <w:color w:val="000000" w:themeColor="text1"/>
          <w:sz w:val="22"/>
          <w:szCs w:val="22"/>
          <w:u w:color="000000"/>
          <w:vertAlign w:val="superscript"/>
          <w:lang w:val="en-US"/>
          <w14:textOutline w14:w="12700" w14:cap="flat" w14:cmpd="sng" w14:algn="ctr">
            <w14:noFill/>
            <w14:prstDash w14:val="solid"/>
            <w14:miter w14:lim="400000"/>
          </w14:textOutline>
        </w:rPr>
        <w:footnoteReference w:id="39"/>
      </w:r>
    </w:p>
    <w:p w14:paraId="36E9506F" w14:textId="77777777" w:rsidR="00373874" w:rsidRPr="00373874" w:rsidRDefault="00373874" w:rsidP="00373874">
      <w:pPr>
        <w:pStyle w:val="NoSpacing"/>
        <w:jc w:val="both"/>
        <w:rPr>
          <w:rFonts w:ascii="Times New Roman" w:hAnsi="Times New Roman" w:cs="Times New Roman"/>
          <w:color w:val="000000" w:themeColor="text1"/>
          <w:sz w:val="22"/>
          <w:szCs w:val="22"/>
          <w:lang w:val="en-GB"/>
        </w:rPr>
      </w:pPr>
    </w:p>
    <w:p w14:paraId="2FBF8FC3" w14:textId="77777777" w:rsidR="00373874" w:rsidRPr="00373874" w:rsidRDefault="00155424" w:rsidP="00373874">
      <w:pPr>
        <w:pStyle w:val="NoSpacing"/>
        <w:numPr>
          <w:ilvl w:val="0"/>
          <w:numId w:val="5"/>
        </w:numPr>
        <w:jc w:val="both"/>
        <w:rPr>
          <w:rFonts w:ascii="Times New Roman" w:hAnsi="Times New Roman" w:cs="Times New Roman"/>
          <w:color w:val="000000" w:themeColor="text1"/>
          <w:sz w:val="22"/>
          <w:szCs w:val="22"/>
          <w:lang w:val="en-GB"/>
        </w:rPr>
      </w:pPr>
      <w:r w:rsidRPr="00155424">
        <w:rPr>
          <w:rFonts w:ascii="Times New Roman" w:hAnsi="Times New Roman" w:cs="Times New Roman"/>
          <w:b/>
          <w:i/>
          <w:color w:val="000000" w:themeColor="text1"/>
          <w:sz w:val="22"/>
          <w:szCs w:val="22"/>
          <w:lang w:val="en-GB"/>
        </w:rPr>
        <w:t>Recommendation</w:t>
      </w:r>
      <w:r>
        <w:rPr>
          <w:rFonts w:ascii="Times New Roman" w:hAnsi="Times New Roman" w:cs="Times New Roman"/>
          <w:color w:val="000000" w:themeColor="text1"/>
          <w:sz w:val="22"/>
          <w:szCs w:val="22"/>
          <w:u w:color="000000"/>
          <w:lang w:val="en-GB"/>
          <w14:textOutline w14:w="12700" w14:cap="flat" w14:cmpd="sng" w14:algn="ctr">
            <w14:noFill/>
            <w14:prstDash w14:val="solid"/>
            <w14:miter w14:lim="400000"/>
          </w14:textOutline>
        </w:rPr>
        <w:t xml:space="preserve">: </w:t>
      </w:r>
      <w:r w:rsidR="00373874" w:rsidRPr="00373874">
        <w:rPr>
          <w:rFonts w:ascii="Times New Roman" w:hAnsi="Times New Roman" w:cs="Times New Roman"/>
          <w:color w:val="000000" w:themeColor="text1"/>
          <w:sz w:val="22"/>
          <w:szCs w:val="22"/>
          <w:u w:color="000000"/>
          <w:lang w:val="en-GB"/>
          <w14:textOutline w14:w="12700" w14:cap="flat" w14:cmpd="sng" w14:algn="ctr">
            <w14:noFill/>
            <w14:prstDash w14:val="solid"/>
            <w14:miter w14:lim="400000"/>
          </w14:textOutline>
        </w:rPr>
        <w:t xml:space="preserve">Considering the above, we welcome </w:t>
      </w:r>
      <w:proofErr w:type="gramStart"/>
      <w:r w:rsidR="00373874" w:rsidRPr="00373874">
        <w:rPr>
          <w:rFonts w:ascii="Times New Roman" w:hAnsi="Times New Roman" w:cs="Times New Roman"/>
          <w:color w:val="000000" w:themeColor="text1"/>
          <w:sz w:val="22"/>
          <w:szCs w:val="22"/>
          <w:u w:color="000000"/>
          <w:lang w:val="en-GB"/>
          <w14:textOutline w14:w="12700" w14:cap="flat" w14:cmpd="sng" w14:algn="ctr">
            <w14:noFill/>
            <w14:prstDash w14:val="solid"/>
            <w14:miter w14:lim="400000"/>
          </w14:textOutline>
        </w:rPr>
        <w:t>the Human Rights’ Committee’s</w:t>
      </w:r>
      <w:proofErr w:type="gramEnd"/>
      <w:r w:rsidR="00373874" w:rsidRPr="00373874">
        <w:rPr>
          <w:rFonts w:ascii="Times New Roman" w:hAnsi="Times New Roman" w:cs="Times New Roman"/>
          <w:color w:val="000000" w:themeColor="text1"/>
          <w:sz w:val="22"/>
          <w:szCs w:val="22"/>
          <w:u w:color="000000"/>
          <w:lang w:val="en-GB"/>
          <w14:textOutline w14:w="12700" w14:cap="flat" w14:cmpd="sng" w14:algn="ctr">
            <w14:noFill/>
            <w14:prstDash w14:val="solid"/>
            <w14:miter w14:lim="400000"/>
          </w14:textOutline>
        </w:rPr>
        <w:t xml:space="preserve"> comprehensive and exhaustive developments on “Notification and Authorization Regimes”. Indeed, these developments are of particular importance for States – like France – to comply with their obligations under article 21 of the ICCPR. </w:t>
      </w:r>
    </w:p>
    <w:p w14:paraId="62FAF2B8" w14:textId="77777777" w:rsidR="00373874" w:rsidRPr="00373874" w:rsidRDefault="00373874" w:rsidP="00373874">
      <w:pPr>
        <w:pStyle w:val="NoSpacing"/>
        <w:jc w:val="both"/>
        <w:rPr>
          <w:rFonts w:ascii="Times New Roman" w:hAnsi="Times New Roman" w:cs="Times New Roman"/>
          <w:color w:val="000000" w:themeColor="text1"/>
          <w:sz w:val="22"/>
          <w:szCs w:val="22"/>
          <w:lang w:val="en-GB"/>
        </w:rPr>
      </w:pPr>
    </w:p>
    <w:p w14:paraId="503E769A" w14:textId="77777777" w:rsidR="00373874" w:rsidRPr="00373874" w:rsidRDefault="00373874" w:rsidP="00373874">
      <w:pPr>
        <w:pStyle w:val="NoSpacing"/>
        <w:numPr>
          <w:ilvl w:val="0"/>
          <w:numId w:val="4"/>
        </w:numPr>
        <w:jc w:val="both"/>
        <w:rPr>
          <w:rFonts w:ascii="Times New Roman" w:hAnsi="Times New Roman" w:cs="Times New Roman"/>
          <w:b/>
          <w:color w:val="000000" w:themeColor="text1"/>
          <w:sz w:val="22"/>
          <w:szCs w:val="22"/>
          <w:lang w:val="en-GB"/>
        </w:rPr>
      </w:pPr>
      <w:r>
        <w:rPr>
          <w:rFonts w:ascii="Times New Roman" w:hAnsi="Times New Roman" w:cs="Times New Roman"/>
          <w:b/>
          <w:color w:val="000000" w:themeColor="text1"/>
          <w:sz w:val="22"/>
          <w:szCs w:val="22"/>
          <w:lang w:val="en-GB"/>
        </w:rPr>
        <w:t>Recent developments in policing peaceful assemblies in France</w:t>
      </w:r>
    </w:p>
    <w:p w14:paraId="0758D228" w14:textId="77777777" w:rsidR="00373874" w:rsidRPr="00373874" w:rsidRDefault="00373874" w:rsidP="00373874">
      <w:pPr>
        <w:pStyle w:val="NoSpacing"/>
        <w:jc w:val="both"/>
        <w:rPr>
          <w:rFonts w:ascii="Times New Roman" w:hAnsi="Times New Roman" w:cs="Times New Roman"/>
          <w:color w:val="000000" w:themeColor="text1"/>
          <w:sz w:val="22"/>
          <w:szCs w:val="22"/>
          <w:lang w:val="en-GB"/>
        </w:rPr>
      </w:pPr>
    </w:p>
    <w:p w14:paraId="758304B2" w14:textId="77777777" w:rsidR="00373874" w:rsidRPr="00373874" w:rsidRDefault="00373874" w:rsidP="00373874">
      <w:pPr>
        <w:pStyle w:val="NoSpacing"/>
        <w:jc w:val="both"/>
        <w:rPr>
          <w:rFonts w:ascii="Times New Roman" w:hAnsi="Times New Roman" w:cs="Times New Roman"/>
          <w:i/>
          <w:color w:val="000000" w:themeColor="text1"/>
          <w:sz w:val="22"/>
          <w:szCs w:val="22"/>
          <w:lang w:val="en-GB"/>
        </w:rPr>
      </w:pPr>
      <w:r w:rsidRPr="00373874">
        <w:rPr>
          <w:rFonts w:ascii="Times New Roman" w:hAnsi="Times New Roman" w:cs="Times New Roman"/>
          <w:i/>
          <w:color w:val="000000" w:themeColor="text1"/>
          <w:sz w:val="22"/>
          <w:szCs w:val="22"/>
          <w:lang w:val="en-GB"/>
        </w:rPr>
        <w:t>Weapons’ testing</w:t>
      </w:r>
    </w:p>
    <w:p w14:paraId="3E581B66" w14:textId="77777777" w:rsidR="00373874" w:rsidRPr="00373874" w:rsidRDefault="00373874" w:rsidP="00373874">
      <w:pPr>
        <w:pStyle w:val="NoSpacing"/>
        <w:jc w:val="both"/>
        <w:rPr>
          <w:rFonts w:ascii="Times New Roman" w:hAnsi="Times New Roman" w:cs="Times New Roman"/>
          <w:color w:val="000000" w:themeColor="text1"/>
          <w:sz w:val="22"/>
          <w:szCs w:val="22"/>
          <w:lang w:val="en-GB"/>
        </w:rPr>
      </w:pPr>
    </w:p>
    <w:p w14:paraId="551FDFE9" w14:textId="77777777" w:rsidR="00373874" w:rsidRPr="000E6F5F" w:rsidRDefault="000E6F5F" w:rsidP="00373874">
      <w:pPr>
        <w:pStyle w:val="NoSpacing"/>
        <w:numPr>
          <w:ilvl w:val="0"/>
          <w:numId w:val="5"/>
        </w:numPr>
        <w:jc w:val="both"/>
        <w:rPr>
          <w:rFonts w:ascii="Times New Roman" w:hAnsi="Times New Roman" w:cs="Times New Roman"/>
          <w:color w:val="000000" w:themeColor="text1"/>
          <w:sz w:val="22"/>
          <w:szCs w:val="22"/>
          <w:lang w:val="en-GB"/>
        </w:rPr>
      </w:pPr>
      <w:r w:rsidRPr="000E6F5F">
        <w:rPr>
          <w:rFonts w:ascii="Times New Roman" w:hAnsi="Times New Roman" w:cs="Times New Roman"/>
          <w:bCs/>
          <w:color w:val="000000" w:themeColor="text1"/>
          <w:sz w:val="22"/>
          <w:szCs w:val="22"/>
          <w:lang w:val="en-GB"/>
        </w:rPr>
        <w:t xml:space="preserve">The General Comment addresses particularly well all the points related to weapons. </w:t>
      </w:r>
      <w:r w:rsidRPr="000E6F5F">
        <w:rPr>
          <w:rFonts w:ascii="Times New Roman" w:hAnsi="Times New Roman" w:cs="Times New Roman"/>
          <w:color w:val="000000" w:themeColor="text1"/>
          <w:sz w:val="22"/>
          <w:szCs w:val="22"/>
          <w:lang w:val="en-GB"/>
        </w:rPr>
        <w:t>Paragraph 92 states that “[s]</w:t>
      </w:r>
      <w:proofErr w:type="spellStart"/>
      <w:r w:rsidRPr="000E6F5F">
        <w:rPr>
          <w:rFonts w:ascii="Times New Roman" w:hAnsi="Times New Roman" w:cs="Times New Roman"/>
          <w:color w:val="000000" w:themeColor="text1"/>
          <w:sz w:val="22"/>
          <w:szCs w:val="22"/>
          <w:lang w:val="en-GB"/>
        </w:rPr>
        <w:t>tate</w:t>
      </w:r>
      <w:proofErr w:type="spellEnd"/>
      <w:r w:rsidRPr="000E6F5F">
        <w:rPr>
          <w:rFonts w:ascii="Times New Roman" w:hAnsi="Times New Roman" w:cs="Times New Roman"/>
          <w:color w:val="000000" w:themeColor="text1"/>
          <w:sz w:val="22"/>
          <w:szCs w:val="22"/>
          <w:lang w:val="en-GB"/>
        </w:rPr>
        <w:t xml:space="preserve"> parties should ensure that all weapons, including less-lethal weapons, are subject to strict independent testing and should evaluate and monitor their impact on the rights to life and bodily integrity and the mental well-being of those affected.” The paragraph could be even more relevant by the addition of an obligation to draw conclusions from these tests.</w:t>
      </w:r>
    </w:p>
    <w:p w14:paraId="42DDCEE7" w14:textId="185E3D2F" w:rsidR="00373874" w:rsidRPr="006F523D" w:rsidRDefault="000E6F5F" w:rsidP="00373874">
      <w:pPr>
        <w:pStyle w:val="NoSpacing"/>
        <w:numPr>
          <w:ilvl w:val="0"/>
          <w:numId w:val="5"/>
        </w:numPr>
        <w:jc w:val="both"/>
        <w:rPr>
          <w:rFonts w:ascii="Times New Roman" w:hAnsi="Times New Roman" w:cs="Times New Roman"/>
          <w:color w:val="000000" w:themeColor="text1"/>
          <w:sz w:val="22"/>
          <w:szCs w:val="22"/>
          <w:lang w:val="en-GB"/>
        </w:rPr>
      </w:pPr>
      <w:r w:rsidRPr="006F523D">
        <w:rPr>
          <w:rFonts w:ascii="Times New Roman" w:hAnsi="Times New Roman" w:cs="Times New Roman"/>
          <w:color w:val="000000" w:themeColor="text1"/>
          <w:sz w:val="22"/>
          <w:szCs w:val="22"/>
          <w:lang w:val="en-GB"/>
        </w:rPr>
        <w:t>The grenade “GLI F4”</w:t>
      </w:r>
      <w:r w:rsidRPr="006F523D">
        <w:rPr>
          <w:rStyle w:val="FootnoteReference"/>
          <w:rFonts w:cs="Times New Roman"/>
          <w:color w:val="000000" w:themeColor="text1"/>
          <w:sz w:val="22"/>
          <w:szCs w:val="22"/>
          <w:lang w:val="en-GB"/>
        </w:rPr>
        <w:footnoteReference w:id="40"/>
      </w:r>
      <w:r w:rsidRPr="006F523D">
        <w:rPr>
          <w:rFonts w:ascii="Times New Roman" w:hAnsi="Times New Roman" w:cs="Times New Roman"/>
          <w:color w:val="000000" w:themeColor="text1"/>
          <w:sz w:val="22"/>
          <w:szCs w:val="22"/>
          <w:lang w:val="en-GB"/>
        </w:rPr>
        <w:t xml:space="preserve"> used by French law enforcement officials in assemblies has been tested – or at least studied</w:t>
      </w:r>
      <w:r w:rsidRPr="006F523D">
        <w:rPr>
          <w:rStyle w:val="FootnoteReference"/>
          <w:rFonts w:cs="Times New Roman"/>
          <w:color w:val="000000" w:themeColor="text1"/>
          <w:sz w:val="22"/>
          <w:szCs w:val="22"/>
          <w:lang w:val="en-GB"/>
        </w:rPr>
        <w:footnoteReference w:id="41"/>
      </w:r>
      <w:r w:rsidRPr="006F523D">
        <w:rPr>
          <w:rFonts w:ascii="Times New Roman" w:hAnsi="Times New Roman" w:cs="Times New Roman"/>
          <w:color w:val="000000" w:themeColor="text1"/>
          <w:sz w:val="22"/>
          <w:szCs w:val="22"/>
          <w:lang w:val="en-GB"/>
        </w:rPr>
        <w:t>. Yet, t</w:t>
      </w:r>
      <w:r w:rsidRPr="006F523D">
        <w:rPr>
          <w:rFonts w:ascii="Times New Roman" w:hAnsi="Times New Roman" w:cs="Times New Roman"/>
          <w:bCs/>
          <w:color w:val="000000" w:themeColor="text1"/>
          <w:sz w:val="22"/>
          <w:szCs w:val="22"/>
          <w:lang w:val="en-GB"/>
        </w:rPr>
        <w:t>he</w:t>
      </w:r>
      <w:r w:rsidR="006F523D">
        <w:rPr>
          <w:rFonts w:ascii="Times New Roman" w:hAnsi="Times New Roman" w:cs="Times New Roman"/>
          <w:bCs/>
          <w:color w:val="000000" w:themeColor="text1"/>
          <w:sz w:val="22"/>
          <w:szCs w:val="22"/>
          <w:lang w:val="en-GB"/>
        </w:rPr>
        <w:t xml:space="preserve"> </w:t>
      </w:r>
      <w:r w:rsidRPr="006F523D">
        <w:rPr>
          <w:rFonts w:ascii="Times New Roman" w:hAnsi="Times New Roman" w:cs="Times New Roman"/>
          <w:bCs/>
          <w:i/>
          <w:iCs/>
          <w:color w:val="000000" w:themeColor="text1"/>
          <w:sz w:val="22"/>
          <w:szCs w:val="22"/>
          <w:lang w:val="en-GB"/>
        </w:rPr>
        <w:t>“</w:t>
      </w:r>
      <w:proofErr w:type="spellStart"/>
      <w:r w:rsidRPr="006F523D">
        <w:rPr>
          <w:rFonts w:ascii="Times New Roman" w:hAnsi="Times New Roman" w:cs="Times New Roman"/>
          <w:bCs/>
          <w:i/>
          <w:iCs/>
          <w:color w:val="000000" w:themeColor="text1"/>
          <w:sz w:val="22"/>
          <w:szCs w:val="22"/>
          <w:lang w:val="en-GB"/>
        </w:rPr>
        <w:t>Défenseur</w:t>
      </w:r>
      <w:proofErr w:type="spellEnd"/>
      <w:r w:rsidRPr="006F523D">
        <w:rPr>
          <w:rFonts w:ascii="Times New Roman" w:hAnsi="Times New Roman" w:cs="Times New Roman"/>
          <w:bCs/>
          <w:i/>
          <w:iCs/>
          <w:color w:val="000000" w:themeColor="text1"/>
          <w:sz w:val="22"/>
          <w:szCs w:val="22"/>
          <w:lang w:val="en-GB"/>
        </w:rPr>
        <w:t xml:space="preserve"> des droits</w:t>
      </w:r>
      <w:r w:rsidRPr="006F523D">
        <w:rPr>
          <w:rFonts w:ascii="Times New Roman" w:hAnsi="Times New Roman" w:cs="Times New Roman"/>
          <w:bCs/>
          <w:color w:val="000000" w:themeColor="text1"/>
          <w:sz w:val="22"/>
          <w:szCs w:val="22"/>
          <w:lang w:val="en-GB"/>
        </w:rPr>
        <w:t>” called the ongoing use of this grenade “problematic” and its explosive effect potentially “dangerous”.</w:t>
      </w:r>
      <w:r w:rsidRPr="006F523D">
        <w:rPr>
          <w:rStyle w:val="FootnoteReference"/>
          <w:rFonts w:cs="Times New Roman"/>
          <w:color w:val="000000" w:themeColor="text1"/>
          <w:sz w:val="22"/>
          <w:szCs w:val="22"/>
          <w:lang w:val="en-GB"/>
        </w:rPr>
        <w:footnoteReference w:id="42"/>
      </w:r>
      <w:r w:rsidRPr="006F523D">
        <w:rPr>
          <w:rFonts w:ascii="Times New Roman" w:hAnsi="Times New Roman" w:cs="Times New Roman"/>
          <w:color w:val="000000" w:themeColor="text1"/>
          <w:sz w:val="22"/>
          <w:szCs w:val="22"/>
          <w:lang w:val="en-GB"/>
        </w:rPr>
        <w:t xml:space="preserve"> Amnesty International mentioned the risk of « serious injuries » and required its </w:t>
      </w:r>
      <w:r w:rsidR="006F523D">
        <w:rPr>
          <w:rFonts w:ascii="Times New Roman" w:hAnsi="Times New Roman" w:cs="Times New Roman"/>
          <w:color w:val="000000" w:themeColor="text1"/>
          <w:sz w:val="22"/>
          <w:szCs w:val="22"/>
          <w:lang w:val="en-GB"/>
        </w:rPr>
        <w:t>ban</w:t>
      </w:r>
      <w:r w:rsidRPr="006F523D">
        <w:rPr>
          <w:rStyle w:val="FootnoteReference"/>
          <w:rFonts w:cs="Times New Roman"/>
          <w:color w:val="000000" w:themeColor="text1"/>
          <w:sz w:val="22"/>
          <w:szCs w:val="22"/>
          <w:lang w:val="en-GB"/>
        </w:rPr>
        <w:footnoteReference w:id="43"/>
      </w:r>
      <w:r w:rsidR="006F523D">
        <w:rPr>
          <w:rFonts w:ascii="Times New Roman" w:hAnsi="Times New Roman" w:cs="Times New Roman"/>
          <w:color w:val="000000" w:themeColor="text1"/>
          <w:sz w:val="22"/>
          <w:szCs w:val="22"/>
          <w:lang w:val="en-GB"/>
        </w:rPr>
        <w:t>.</w:t>
      </w:r>
      <w:r w:rsidRPr="006F523D">
        <w:rPr>
          <w:rFonts w:ascii="Times New Roman" w:hAnsi="Times New Roman" w:cs="Times New Roman"/>
          <w:color w:val="000000" w:themeColor="text1"/>
          <w:sz w:val="22"/>
          <w:szCs w:val="22"/>
          <w:lang w:val="en-GB"/>
        </w:rPr>
        <w:t xml:space="preserve"> </w:t>
      </w:r>
      <w:r w:rsidRPr="006F523D">
        <w:rPr>
          <w:rFonts w:ascii="Times New Roman" w:hAnsi="Times New Roman" w:cs="Times New Roman"/>
          <w:bCs/>
          <w:color w:val="000000" w:themeColor="text1"/>
          <w:sz w:val="22"/>
          <w:szCs w:val="22"/>
          <w:lang w:val="en-GB"/>
        </w:rPr>
        <w:t xml:space="preserve">Remedies </w:t>
      </w:r>
      <w:proofErr w:type="gramStart"/>
      <w:r w:rsidRPr="006F523D">
        <w:rPr>
          <w:rFonts w:ascii="Times New Roman" w:hAnsi="Times New Roman" w:cs="Times New Roman"/>
          <w:bCs/>
          <w:color w:val="000000" w:themeColor="text1"/>
          <w:sz w:val="22"/>
          <w:szCs w:val="22"/>
          <w:lang w:val="en-GB"/>
        </w:rPr>
        <w:t>were sought</w:t>
      </w:r>
      <w:proofErr w:type="gramEnd"/>
      <w:r w:rsidRPr="006F523D">
        <w:rPr>
          <w:rFonts w:ascii="Times New Roman" w:hAnsi="Times New Roman" w:cs="Times New Roman"/>
          <w:bCs/>
          <w:color w:val="000000" w:themeColor="text1"/>
          <w:sz w:val="22"/>
          <w:szCs w:val="22"/>
          <w:lang w:val="en-GB"/>
        </w:rPr>
        <w:t xml:space="preserve"> before the French State Council</w:t>
      </w:r>
      <w:r w:rsidR="001F4C56">
        <w:rPr>
          <w:rFonts w:ascii="Times New Roman" w:hAnsi="Times New Roman" w:cs="Times New Roman"/>
          <w:bCs/>
          <w:color w:val="000000" w:themeColor="text1"/>
          <w:sz w:val="22"/>
          <w:szCs w:val="22"/>
          <w:lang w:val="en-GB"/>
        </w:rPr>
        <w:t xml:space="preserve"> (</w:t>
      </w:r>
      <w:proofErr w:type="spellStart"/>
      <w:r w:rsidR="001F4C56">
        <w:rPr>
          <w:rFonts w:ascii="Times New Roman" w:hAnsi="Times New Roman" w:cs="Times New Roman"/>
          <w:bCs/>
          <w:i/>
          <w:color w:val="000000" w:themeColor="text1"/>
          <w:sz w:val="22"/>
          <w:szCs w:val="22"/>
          <w:lang w:val="en-GB"/>
        </w:rPr>
        <w:t>Conseil</w:t>
      </w:r>
      <w:proofErr w:type="spellEnd"/>
      <w:r w:rsidR="001F4C56">
        <w:rPr>
          <w:rFonts w:ascii="Times New Roman" w:hAnsi="Times New Roman" w:cs="Times New Roman"/>
          <w:bCs/>
          <w:i/>
          <w:color w:val="000000" w:themeColor="text1"/>
          <w:sz w:val="22"/>
          <w:szCs w:val="22"/>
          <w:lang w:val="en-GB"/>
        </w:rPr>
        <w:t xml:space="preserve"> </w:t>
      </w:r>
      <w:proofErr w:type="spellStart"/>
      <w:r w:rsidR="001F4C56">
        <w:rPr>
          <w:rFonts w:ascii="Times New Roman" w:hAnsi="Times New Roman" w:cs="Times New Roman"/>
          <w:bCs/>
          <w:i/>
          <w:color w:val="000000" w:themeColor="text1"/>
          <w:sz w:val="22"/>
          <w:szCs w:val="22"/>
          <w:lang w:val="en-GB"/>
        </w:rPr>
        <w:t>d’Etat</w:t>
      </w:r>
      <w:proofErr w:type="spellEnd"/>
      <w:r w:rsidR="001F4C56">
        <w:rPr>
          <w:rFonts w:ascii="Times New Roman" w:hAnsi="Times New Roman" w:cs="Times New Roman"/>
          <w:bCs/>
          <w:color w:val="000000" w:themeColor="text1"/>
          <w:sz w:val="22"/>
          <w:szCs w:val="22"/>
          <w:lang w:val="en-GB"/>
        </w:rPr>
        <w:t>)</w:t>
      </w:r>
      <w:r w:rsidRPr="006F523D">
        <w:rPr>
          <w:rFonts w:ascii="Times New Roman" w:hAnsi="Times New Roman" w:cs="Times New Roman"/>
          <w:bCs/>
          <w:color w:val="000000" w:themeColor="text1"/>
          <w:sz w:val="22"/>
          <w:szCs w:val="22"/>
          <w:lang w:val="en-GB"/>
        </w:rPr>
        <w:t xml:space="preserve">. </w:t>
      </w:r>
      <w:r w:rsidR="005F4E36">
        <w:rPr>
          <w:rFonts w:ascii="Times New Roman" w:hAnsi="Times New Roman" w:cs="Times New Roman"/>
          <w:bCs/>
          <w:color w:val="000000" w:themeColor="text1"/>
          <w:sz w:val="22"/>
          <w:szCs w:val="22"/>
          <w:lang w:val="en-GB"/>
        </w:rPr>
        <w:t>An</w:t>
      </w:r>
      <w:r w:rsidRPr="006F523D">
        <w:rPr>
          <w:rFonts w:ascii="Times New Roman" w:hAnsi="Times New Roman" w:cs="Times New Roman"/>
          <w:bCs/>
          <w:color w:val="000000" w:themeColor="text1"/>
          <w:sz w:val="22"/>
          <w:szCs w:val="22"/>
          <w:lang w:val="en-GB"/>
        </w:rPr>
        <w:t xml:space="preserve"> action of annulment of article D211-17 of the internal security Code, which allows the use GLI F4 for maintaining order, </w:t>
      </w:r>
      <w:proofErr w:type="gramStart"/>
      <w:r w:rsidRPr="006F523D">
        <w:rPr>
          <w:rFonts w:ascii="Times New Roman" w:hAnsi="Times New Roman" w:cs="Times New Roman"/>
          <w:bCs/>
          <w:color w:val="000000" w:themeColor="text1"/>
          <w:sz w:val="22"/>
          <w:szCs w:val="22"/>
          <w:lang w:val="en-GB"/>
        </w:rPr>
        <w:t>was brought</w:t>
      </w:r>
      <w:proofErr w:type="gramEnd"/>
      <w:r w:rsidRPr="006F523D">
        <w:rPr>
          <w:rFonts w:ascii="Times New Roman" w:hAnsi="Times New Roman" w:cs="Times New Roman"/>
          <w:bCs/>
          <w:color w:val="000000" w:themeColor="text1"/>
          <w:sz w:val="22"/>
          <w:szCs w:val="22"/>
          <w:lang w:val="en-GB"/>
        </w:rPr>
        <w:t xml:space="preserve"> before the highest French administrative court</w:t>
      </w:r>
      <w:r w:rsidRPr="006F523D">
        <w:rPr>
          <w:rStyle w:val="FootnoteReference"/>
          <w:rFonts w:cs="Times New Roman"/>
          <w:bCs/>
          <w:color w:val="000000" w:themeColor="text1"/>
          <w:sz w:val="22"/>
          <w:szCs w:val="22"/>
          <w:lang w:val="en-GB"/>
        </w:rPr>
        <w:footnoteReference w:id="44"/>
      </w:r>
      <w:r w:rsidR="006F523D">
        <w:rPr>
          <w:rFonts w:ascii="Times New Roman" w:hAnsi="Times New Roman" w:cs="Times New Roman"/>
          <w:bCs/>
          <w:color w:val="000000" w:themeColor="text1"/>
          <w:sz w:val="22"/>
          <w:szCs w:val="22"/>
          <w:lang w:val="en-GB"/>
        </w:rPr>
        <w:t>.</w:t>
      </w:r>
      <w:r w:rsidRPr="006F523D">
        <w:rPr>
          <w:rFonts w:ascii="Times New Roman" w:hAnsi="Times New Roman" w:cs="Times New Roman"/>
          <w:bCs/>
          <w:color w:val="000000" w:themeColor="text1"/>
          <w:sz w:val="22"/>
          <w:szCs w:val="22"/>
          <w:lang w:val="en-GB"/>
        </w:rPr>
        <w:t xml:space="preserve"> The applicants were pointing out that the use of GLI-F4 breaches article 2 (the right to life), article </w:t>
      </w:r>
      <w:proofErr w:type="gramStart"/>
      <w:r w:rsidRPr="006F523D">
        <w:rPr>
          <w:rFonts w:ascii="Times New Roman" w:hAnsi="Times New Roman" w:cs="Times New Roman"/>
          <w:bCs/>
          <w:color w:val="000000" w:themeColor="text1"/>
          <w:sz w:val="22"/>
          <w:szCs w:val="22"/>
          <w:lang w:val="en-GB"/>
        </w:rPr>
        <w:t>3</w:t>
      </w:r>
      <w:proofErr w:type="gramEnd"/>
      <w:r w:rsidRPr="006F523D">
        <w:rPr>
          <w:rFonts w:ascii="Times New Roman" w:hAnsi="Times New Roman" w:cs="Times New Roman"/>
          <w:bCs/>
          <w:color w:val="000000" w:themeColor="text1"/>
          <w:sz w:val="22"/>
          <w:szCs w:val="22"/>
          <w:lang w:val="en-GB"/>
        </w:rPr>
        <w:t xml:space="preserve"> (prohibition of torture) and article 10 (freedom of expression) of the European Convention on Human rights. The French State Council refused however to repeal the concerned article, explaining that the use of such a weapon is allowed as long as a strict test of proportionality and necessity is respected.</w:t>
      </w:r>
    </w:p>
    <w:p w14:paraId="525744EA" w14:textId="77777777" w:rsidR="000E6F5F" w:rsidRPr="00CB1737" w:rsidRDefault="000E6F5F" w:rsidP="00373874">
      <w:pPr>
        <w:pStyle w:val="NoSpacing"/>
        <w:numPr>
          <w:ilvl w:val="0"/>
          <w:numId w:val="5"/>
        </w:numPr>
        <w:jc w:val="both"/>
        <w:rPr>
          <w:rFonts w:ascii="Times New Roman" w:hAnsi="Times New Roman" w:cs="Times New Roman"/>
          <w:color w:val="000000" w:themeColor="text1"/>
          <w:sz w:val="22"/>
          <w:szCs w:val="22"/>
          <w:lang w:val="en-GB"/>
        </w:rPr>
      </w:pPr>
      <w:r w:rsidRPr="000E6F5F">
        <w:rPr>
          <w:rFonts w:ascii="Times New Roman" w:hAnsi="Times New Roman" w:cs="Times New Roman"/>
          <w:bCs/>
          <w:color w:val="000000" w:themeColor="text1"/>
          <w:sz w:val="22"/>
          <w:szCs w:val="22"/>
          <w:lang w:val="en-GB"/>
        </w:rPr>
        <w:lastRenderedPageBreak/>
        <w:t xml:space="preserve">The French Minister of </w:t>
      </w:r>
      <w:r w:rsidR="00B728B1">
        <w:rPr>
          <w:rFonts w:ascii="Times New Roman" w:hAnsi="Times New Roman" w:cs="Times New Roman"/>
          <w:bCs/>
          <w:color w:val="000000" w:themeColor="text1"/>
          <w:sz w:val="22"/>
          <w:szCs w:val="22"/>
          <w:lang w:val="en-GB"/>
        </w:rPr>
        <w:t>Interior</w:t>
      </w:r>
      <w:r w:rsidRPr="000E6F5F">
        <w:rPr>
          <w:rFonts w:ascii="Times New Roman" w:hAnsi="Times New Roman" w:cs="Times New Roman"/>
          <w:bCs/>
          <w:color w:val="000000" w:themeColor="text1"/>
          <w:sz w:val="22"/>
          <w:szCs w:val="22"/>
          <w:lang w:val="en-GB"/>
        </w:rPr>
        <w:t xml:space="preserve">, Christophe </w:t>
      </w:r>
      <w:proofErr w:type="spellStart"/>
      <w:r w:rsidRPr="000E6F5F">
        <w:rPr>
          <w:rFonts w:ascii="Times New Roman" w:hAnsi="Times New Roman" w:cs="Times New Roman"/>
          <w:bCs/>
          <w:color w:val="000000" w:themeColor="text1"/>
          <w:sz w:val="22"/>
          <w:szCs w:val="22"/>
          <w:lang w:val="en-GB"/>
        </w:rPr>
        <w:t>Castaner</w:t>
      </w:r>
      <w:proofErr w:type="spellEnd"/>
      <w:r w:rsidRPr="000E6F5F">
        <w:rPr>
          <w:rFonts w:ascii="Times New Roman" w:hAnsi="Times New Roman" w:cs="Times New Roman"/>
          <w:bCs/>
          <w:color w:val="000000" w:themeColor="text1"/>
          <w:sz w:val="22"/>
          <w:szCs w:val="22"/>
          <w:lang w:val="en-GB"/>
        </w:rPr>
        <w:t xml:space="preserve">, made in </w:t>
      </w:r>
      <w:r>
        <w:rPr>
          <w:rFonts w:ascii="Times New Roman" w:hAnsi="Times New Roman" w:cs="Times New Roman"/>
          <w:bCs/>
          <w:color w:val="000000" w:themeColor="text1"/>
          <w:sz w:val="22"/>
          <w:szCs w:val="22"/>
          <w:lang w:val="en-GB"/>
        </w:rPr>
        <w:t>J</w:t>
      </w:r>
      <w:r w:rsidRPr="000E6F5F">
        <w:rPr>
          <w:rFonts w:ascii="Times New Roman" w:hAnsi="Times New Roman" w:cs="Times New Roman"/>
          <w:bCs/>
          <w:color w:val="000000" w:themeColor="text1"/>
          <w:sz w:val="22"/>
          <w:szCs w:val="22"/>
          <w:lang w:val="en-GB"/>
        </w:rPr>
        <w:t xml:space="preserve">anuary 2020 a statement announcing his intentions </w:t>
      </w:r>
      <w:r w:rsidR="006F523D">
        <w:rPr>
          <w:rFonts w:ascii="Times New Roman" w:hAnsi="Times New Roman" w:cs="Times New Roman"/>
          <w:bCs/>
          <w:color w:val="000000" w:themeColor="text1"/>
          <w:sz w:val="22"/>
          <w:szCs w:val="22"/>
          <w:lang w:val="en-GB"/>
        </w:rPr>
        <w:t>to</w:t>
      </w:r>
      <w:r w:rsidRPr="000E6F5F">
        <w:rPr>
          <w:rFonts w:ascii="Times New Roman" w:hAnsi="Times New Roman" w:cs="Times New Roman"/>
          <w:bCs/>
          <w:color w:val="000000" w:themeColor="text1"/>
          <w:sz w:val="22"/>
          <w:szCs w:val="22"/>
          <w:lang w:val="en-GB"/>
        </w:rPr>
        <w:t xml:space="preserve"> withdraw the GLI F4</w:t>
      </w:r>
      <w:r w:rsidRPr="000E6F5F">
        <w:rPr>
          <w:rStyle w:val="FootnoteReference"/>
          <w:rFonts w:cs="Times New Roman"/>
          <w:bCs/>
          <w:color w:val="000000" w:themeColor="text1"/>
          <w:sz w:val="22"/>
          <w:szCs w:val="22"/>
          <w:lang w:val="en-GB"/>
        </w:rPr>
        <w:footnoteReference w:id="45"/>
      </w:r>
      <w:r w:rsidR="006F523D">
        <w:rPr>
          <w:rFonts w:ascii="Times New Roman" w:hAnsi="Times New Roman" w:cs="Times New Roman"/>
          <w:bCs/>
          <w:color w:val="000000" w:themeColor="text1"/>
          <w:sz w:val="22"/>
          <w:szCs w:val="22"/>
          <w:lang w:val="en-GB"/>
        </w:rPr>
        <w:t>.</w:t>
      </w:r>
      <w:r w:rsidRPr="000E6F5F">
        <w:rPr>
          <w:rFonts w:ascii="Times New Roman" w:hAnsi="Times New Roman" w:cs="Times New Roman"/>
          <w:bCs/>
          <w:color w:val="000000" w:themeColor="text1"/>
          <w:sz w:val="22"/>
          <w:szCs w:val="22"/>
          <w:lang w:val="en-GB"/>
        </w:rPr>
        <w:t xml:space="preserve"> However, the French legislation</w:t>
      </w:r>
      <w:r w:rsidR="006F523D">
        <w:rPr>
          <w:rFonts w:ascii="Times New Roman" w:hAnsi="Times New Roman" w:cs="Times New Roman"/>
          <w:bCs/>
          <w:color w:val="000000" w:themeColor="text1"/>
          <w:sz w:val="22"/>
          <w:szCs w:val="22"/>
          <w:lang w:val="en-GB"/>
        </w:rPr>
        <w:t>,</w:t>
      </w:r>
      <w:r w:rsidRPr="000E6F5F">
        <w:rPr>
          <w:rFonts w:ascii="Times New Roman" w:hAnsi="Times New Roman" w:cs="Times New Roman"/>
          <w:bCs/>
          <w:color w:val="000000" w:themeColor="text1"/>
          <w:sz w:val="22"/>
          <w:szCs w:val="22"/>
          <w:lang w:val="en-GB"/>
        </w:rPr>
        <w:t xml:space="preserve"> to this day, remains unchanged and still authorizes the use of this grenade for maintaining order</w:t>
      </w:r>
      <w:r w:rsidRPr="000E6F5F">
        <w:rPr>
          <w:rStyle w:val="FootnoteReference"/>
          <w:rFonts w:cs="Times New Roman"/>
          <w:color w:val="000000" w:themeColor="text1"/>
          <w:sz w:val="22"/>
          <w:szCs w:val="22"/>
        </w:rPr>
        <w:footnoteReference w:id="46"/>
      </w:r>
      <w:r w:rsidR="006F523D">
        <w:rPr>
          <w:rFonts w:ascii="Times New Roman" w:hAnsi="Times New Roman" w:cs="Times New Roman"/>
          <w:bCs/>
          <w:color w:val="000000" w:themeColor="text1"/>
          <w:sz w:val="22"/>
          <w:szCs w:val="22"/>
          <w:lang w:val="en-GB"/>
        </w:rPr>
        <w:t>.</w:t>
      </w:r>
    </w:p>
    <w:p w14:paraId="78FBAC68" w14:textId="77777777" w:rsidR="00CB1737" w:rsidRPr="000E6F5F" w:rsidRDefault="00CB1737" w:rsidP="00CB1737">
      <w:pPr>
        <w:pStyle w:val="NoSpacing"/>
        <w:jc w:val="both"/>
        <w:rPr>
          <w:rFonts w:ascii="Times New Roman" w:hAnsi="Times New Roman" w:cs="Times New Roman"/>
          <w:color w:val="000000" w:themeColor="text1"/>
          <w:sz w:val="22"/>
          <w:szCs w:val="22"/>
          <w:lang w:val="en-GB"/>
        </w:rPr>
      </w:pPr>
    </w:p>
    <w:p w14:paraId="6A120518" w14:textId="77777777" w:rsidR="00373874" w:rsidRPr="000E6F5F" w:rsidRDefault="00373874" w:rsidP="00373874">
      <w:pPr>
        <w:pStyle w:val="NoSpacing"/>
        <w:numPr>
          <w:ilvl w:val="0"/>
          <w:numId w:val="5"/>
        </w:numPr>
        <w:jc w:val="both"/>
        <w:rPr>
          <w:rFonts w:ascii="Times New Roman" w:hAnsi="Times New Roman" w:cs="Times New Roman"/>
          <w:color w:val="000000" w:themeColor="text1"/>
          <w:sz w:val="22"/>
          <w:szCs w:val="22"/>
          <w:lang w:val="en-GB"/>
        </w:rPr>
      </w:pPr>
      <w:r w:rsidRPr="000E6F5F">
        <w:rPr>
          <w:rFonts w:ascii="Times New Roman" w:hAnsi="Times New Roman" w:cs="Times New Roman"/>
          <w:b/>
          <w:bCs/>
          <w:i/>
          <w:color w:val="000000" w:themeColor="text1"/>
          <w:sz w:val="22"/>
          <w:szCs w:val="22"/>
          <w:lang w:val="en-GB"/>
        </w:rPr>
        <w:t>Recommendation</w:t>
      </w:r>
      <w:r w:rsidRPr="000E6F5F">
        <w:rPr>
          <w:rFonts w:ascii="Times New Roman" w:hAnsi="Times New Roman" w:cs="Times New Roman"/>
          <w:bCs/>
          <w:i/>
          <w:color w:val="000000" w:themeColor="text1"/>
          <w:sz w:val="22"/>
          <w:szCs w:val="22"/>
          <w:lang w:val="en-GB"/>
        </w:rPr>
        <w:t>:</w:t>
      </w:r>
      <w:r w:rsidRPr="000E6F5F">
        <w:rPr>
          <w:rFonts w:ascii="Times New Roman" w:hAnsi="Times New Roman" w:cs="Times New Roman"/>
          <w:bCs/>
          <w:color w:val="000000" w:themeColor="text1"/>
          <w:sz w:val="22"/>
          <w:szCs w:val="22"/>
          <w:lang w:val="en-GB"/>
        </w:rPr>
        <w:t xml:space="preserve"> Considering this domestic example, we encourage the Human Right Committee to add an obligation to draw conclusions from the “independent testing” already required.</w:t>
      </w:r>
    </w:p>
    <w:p w14:paraId="505A5889" w14:textId="77777777" w:rsidR="00373874" w:rsidRPr="000E6F5F" w:rsidRDefault="00373874" w:rsidP="00373874">
      <w:pPr>
        <w:pStyle w:val="NoSpacing"/>
        <w:jc w:val="both"/>
        <w:rPr>
          <w:rFonts w:ascii="Times New Roman" w:hAnsi="Times New Roman" w:cs="Times New Roman"/>
          <w:color w:val="000000" w:themeColor="text1"/>
          <w:sz w:val="22"/>
          <w:szCs w:val="22"/>
          <w:lang w:val="en-GB"/>
        </w:rPr>
      </w:pPr>
    </w:p>
    <w:p w14:paraId="35037269" w14:textId="77777777" w:rsidR="00373874" w:rsidRPr="00373874" w:rsidRDefault="00373874" w:rsidP="00373874">
      <w:pPr>
        <w:pStyle w:val="NoSpacing"/>
        <w:jc w:val="both"/>
        <w:rPr>
          <w:rFonts w:ascii="Times New Roman" w:hAnsi="Times New Roman" w:cs="Times New Roman"/>
          <w:i/>
          <w:color w:val="000000" w:themeColor="text1"/>
          <w:sz w:val="22"/>
          <w:szCs w:val="22"/>
          <w:lang w:val="en-GB"/>
        </w:rPr>
      </w:pPr>
      <w:r w:rsidRPr="00373874">
        <w:rPr>
          <w:rFonts w:ascii="Times New Roman" w:hAnsi="Times New Roman" w:cs="Times New Roman"/>
          <w:i/>
          <w:color w:val="000000" w:themeColor="text1"/>
          <w:sz w:val="22"/>
          <w:szCs w:val="22"/>
          <w:lang w:val="en-GB"/>
        </w:rPr>
        <w:t>Relevant officials and units</w:t>
      </w:r>
    </w:p>
    <w:p w14:paraId="6048FC89" w14:textId="77777777" w:rsidR="00373874" w:rsidRPr="00373874" w:rsidRDefault="00373874" w:rsidP="00373874">
      <w:pPr>
        <w:pStyle w:val="NoSpacing"/>
        <w:jc w:val="both"/>
        <w:rPr>
          <w:rFonts w:ascii="Times New Roman" w:hAnsi="Times New Roman" w:cs="Times New Roman"/>
          <w:color w:val="000000" w:themeColor="text1"/>
          <w:sz w:val="22"/>
          <w:szCs w:val="22"/>
          <w:lang w:val="en-GB"/>
        </w:rPr>
      </w:pPr>
    </w:p>
    <w:p w14:paraId="6B0CFE2A" w14:textId="77777777" w:rsidR="00373874" w:rsidRPr="00373874" w:rsidRDefault="00373874" w:rsidP="00373874">
      <w:pPr>
        <w:pStyle w:val="NoSpacing"/>
        <w:numPr>
          <w:ilvl w:val="0"/>
          <w:numId w:val="5"/>
        </w:numPr>
        <w:jc w:val="both"/>
        <w:rPr>
          <w:rFonts w:ascii="Times New Roman" w:hAnsi="Times New Roman" w:cs="Times New Roman"/>
          <w:color w:val="000000" w:themeColor="text1"/>
          <w:sz w:val="22"/>
          <w:szCs w:val="22"/>
          <w:lang w:val="en-GB"/>
        </w:rPr>
      </w:pPr>
      <w:r w:rsidRPr="00373874">
        <w:rPr>
          <w:rFonts w:ascii="Times New Roman" w:hAnsi="Times New Roman" w:cs="Times New Roman"/>
          <w:color w:val="000000" w:themeColor="text1"/>
          <w:sz w:val="22"/>
          <w:szCs w:val="22"/>
          <w:lang w:val="en-GB"/>
        </w:rPr>
        <w:t>The use in paragraph 87 of the notion of “relevant officials and units” during the policing of an assembly is important and could be strengthened by developing paragraph 92’s obligation whereby “[w]</w:t>
      </w:r>
      <w:proofErr w:type="spellStart"/>
      <w:r w:rsidRPr="00373874">
        <w:rPr>
          <w:rFonts w:ascii="Times New Roman" w:hAnsi="Times New Roman" w:cs="Times New Roman"/>
          <w:color w:val="000000" w:themeColor="text1"/>
          <w:sz w:val="22"/>
          <w:szCs w:val="22"/>
          <w:lang w:val="en-GB"/>
        </w:rPr>
        <w:t>herever</w:t>
      </w:r>
      <w:proofErr w:type="spellEnd"/>
      <w:r w:rsidRPr="00373874">
        <w:rPr>
          <w:rFonts w:ascii="Times New Roman" w:hAnsi="Times New Roman" w:cs="Times New Roman"/>
          <w:color w:val="000000" w:themeColor="text1"/>
          <w:sz w:val="22"/>
          <w:szCs w:val="22"/>
          <w:lang w:val="en-GB"/>
        </w:rPr>
        <w:t xml:space="preserve"> possible, only law enforcement officials who have been trained in the policing of assemblies should be deployed for that purpose”.</w:t>
      </w:r>
    </w:p>
    <w:p w14:paraId="6C7F8EC3" w14:textId="77777777" w:rsidR="00373874" w:rsidRPr="00373874" w:rsidRDefault="00373874" w:rsidP="00373874">
      <w:pPr>
        <w:pStyle w:val="NoSpacing"/>
        <w:jc w:val="both"/>
        <w:rPr>
          <w:rFonts w:ascii="Times New Roman" w:hAnsi="Times New Roman" w:cs="Times New Roman"/>
          <w:color w:val="000000" w:themeColor="text1"/>
          <w:sz w:val="22"/>
          <w:szCs w:val="22"/>
          <w:lang w:val="en-GB"/>
        </w:rPr>
      </w:pPr>
    </w:p>
    <w:p w14:paraId="7494B244" w14:textId="77777777" w:rsidR="00373874" w:rsidRPr="00373874" w:rsidRDefault="00373874" w:rsidP="00373874">
      <w:pPr>
        <w:pStyle w:val="NoSpacing"/>
        <w:numPr>
          <w:ilvl w:val="0"/>
          <w:numId w:val="8"/>
        </w:numPr>
        <w:jc w:val="both"/>
        <w:rPr>
          <w:rFonts w:ascii="Times New Roman" w:hAnsi="Times New Roman" w:cs="Times New Roman"/>
          <w:color w:val="000000" w:themeColor="text1"/>
          <w:sz w:val="22"/>
          <w:szCs w:val="22"/>
          <w:lang w:val="en-GB"/>
        </w:rPr>
      </w:pPr>
      <w:r w:rsidRPr="00373874">
        <w:rPr>
          <w:rFonts w:ascii="Times New Roman" w:hAnsi="Times New Roman" w:cs="Times New Roman"/>
          <w:i/>
          <w:color w:val="000000" w:themeColor="text1"/>
          <w:sz w:val="22"/>
          <w:szCs w:val="22"/>
          <w:lang w:val="en-GB"/>
        </w:rPr>
        <w:t xml:space="preserve">Risks of sending unspecialised units </w:t>
      </w:r>
    </w:p>
    <w:p w14:paraId="0787DC68" w14:textId="77777777" w:rsidR="00373874" w:rsidRPr="00373874" w:rsidRDefault="00373874" w:rsidP="00373874">
      <w:pPr>
        <w:pStyle w:val="NoSpacing"/>
        <w:jc w:val="both"/>
        <w:rPr>
          <w:rFonts w:ascii="Times New Roman" w:hAnsi="Times New Roman" w:cs="Times New Roman"/>
          <w:color w:val="000000" w:themeColor="text1"/>
          <w:sz w:val="22"/>
          <w:szCs w:val="22"/>
          <w:lang w:val="en-GB"/>
        </w:rPr>
      </w:pPr>
    </w:p>
    <w:p w14:paraId="021F4572" w14:textId="77777777" w:rsidR="00373874" w:rsidRPr="00CB1737" w:rsidRDefault="00CB1737" w:rsidP="00CB1737">
      <w:pPr>
        <w:pStyle w:val="Sansinterligne1"/>
        <w:numPr>
          <w:ilvl w:val="0"/>
          <w:numId w:val="5"/>
        </w:numPr>
        <w:jc w:val="both"/>
        <w:rPr>
          <w:rFonts w:ascii="Times New Roman" w:hAnsi="Times New Roman"/>
          <w:sz w:val="22"/>
          <w:szCs w:val="22"/>
          <w:lang w:val="en-GB"/>
        </w:rPr>
      </w:pPr>
      <w:r>
        <w:rPr>
          <w:rFonts w:ascii="Times New Roman" w:hAnsi="Times New Roman"/>
          <w:color w:val="000000"/>
          <w:sz w:val="22"/>
          <w:szCs w:val="22"/>
          <w:lang w:val="en-GB"/>
        </w:rPr>
        <w:t xml:space="preserve">In the context of recent demonstrations that took place in France, </w:t>
      </w:r>
      <w:proofErr w:type="gramStart"/>
      <w:r>
        <w:rPr>
          <w:rFonts w:ascii="Times New Roman" w:hAnsi="Times New Roman"/>
          <w:color w:val="000000"/>
          <w:sz w:val="22"/>
          <w:szCs w:val="22"/>
          <w:lang w:val="en-GB"/>
        </w:rPr>
        <w:t>some policing units have been denounced by NGOs and independent institutions as unspecialised in maintaining order</w:t>
      </w:r>
      <w:proofErr w:type="gramEnd"/>
      <w:r>
        <w:rPr>
          <w:rFonts w:ascii="Times New Roman" w:hAnsi="Times New Roman"/>
          <w:color w:val="000000"/>
          <w:sz w:val="22"/>
          <w:szCs w:val="22"/>
          <w:lang w:val="en-GB"/>
        </w:rPr>
        <w:t>.</w:t>
      </w:r>
      <w:r>
        <w:rPr>
          <w:rStyle w:val="FootnoteReference"/>
        </w:rPr>
        <w:footnoteReference w:id="47"/>
      </w:r>
      <w:r>
        <w:rPr>
          <w:rFonts w:ascii="Times New Roman" w:hAnsi="Times New Roman"/>
          <w:color w:val="000000"/>
          <w:sz w:val="22"/>
          <w:szCs w:val="22"/>
          <w:lang w:val="en-GB"/>
        </w:rPr>
        <w:t xml:space="preserve"> According to the “</w:t>
      </w:r>
      <w:proofErr w:type="spellStart"/>
      <w:r>
        <w:rPr>
          <w:rFonts w:ascii="Times New Roman" w:hAnsi="Times New Roman"/>
          <w:i/>
          <w:iCs/>
          <w:color w:val="000000"/>
          <w:sz w:val="22"/>
          <w:szCs w:val="22"/>
          <w:lang w:val="en-GB"/>
        </w:rPr>
        <w:t>Défenseur</w:t>
      </w:r>
      <w:proofErr w:type="spellEnd"/>
      <w:r>
        <w:rPr>
          <w:rFonts w:ascii="Times New Roman" w:hAnsi="Times New Roman"/>
          <w:i/>
          <w:iCs/>
          <w:color w:val="000000"/>
          <w:sz w:val="22"/>
          <w:szCs w:val="22"/>
          <w:lang w:val="en-GB"/>
        </w:rPr>
        <w:t xml:space="preserve"> des Droits”</w:t>
      </w:r>
      <w:r>
        <w:rPr>
          <w:rFonts w:ascii="Times New Roman" w:hAnsi="Times New Roman"/>
          <w:color w:val="000000"/>
          <w:sz w:val="22"/>
          <w:szCs w:val="22"/>
          <w:lang w:val="en-GB"/>
        </w:rPr>
        <w:t>, participation in the policing of assemblies of units such as the “anti-crime squad” (</w:t>
      </w:r>
      <w:r>
        <w:rPr>
          <w:rFonts w:ascii="Times New Roman" w:hAnsi="Times New Roman"/>
          <w:i/>
          <w:iCs/>
          <w:color w:val="000000"/>
          <w:sz w:val="22"/>
          <w:szCs w:val="22"/>
          <w:lang w:val="en-GB"/>
        </w:rPr>
        <w:t xml:space="preserve">Brigade </w:t>
      </w:r>
      <w:proofErr w:type="spellStart"/>
      <w:r>
        <w:rPr>
          <w:rFonts w:ascii="Times New Roman" w:hAnsi="Times New Roman"/>
          <w:i/>
          <w:iCs/>
          <w:color w:val="000000"/>
          <w:sz w:val="22"/>
          <w:szCs w:val="22"/>
          <w:lang w:val="en-GB"/>
        </w:rPr>
        <w:t>anticriminalité</w:t>
      </w:r>
      <w:proofErr w:type="spellEnd"/>
      <w:r>
        <w:rPr>
          <w:rFonts w:ascii="Times New Roman" w:hAnsi="Times New Roman"/>
          <w:color w:val="000000"/>
          <w:sz w:val="22"/>
          <w:szCs w:val="22"/>
          <w:lang w:val="en-GB"/>
        </w:rPr>
        <w:t xml:space="preserve">), the “company for </w:t>
      </w:r>
      <w:proofErr w:type="spellStart"/>
      <w:r>
        <w:rPr>
          <w:rFonts w:ascii="Times New Roman" w:hAnsi="Times New Roman"/>
          <w:color w:val="000000"/>
          <w:sz w:val="22"/>
          <w:szCs w:val="22"/>
          <w:lang w:val="en-GB"/>
        </w:rPr>
        <w:t>securisation</w:t>
      </w:r>
      <w:proofErr w:type="spellEnd"/>
      <w:r>
        <w:rPr>
          <w:rFonts w:ascii="Times New Roman" w:hAnsi="Times New Roman"/>
          <w:color w:val="000000"/>
          <w:sz w:val="22"/>
          <w:szCs w:val="22"/>
          <w:lang w:val="en-GB"/>
        </w:rPr>
        <w:t xml:space="preserve"> and intervention” </w:t>
      </w:r>
      <w:r>
        <w:rPr>
          <w:rFonts w:ascii="Times New Roman" w:hAnsi="Times New Roman"/>
          <w:i/>
          <w:iCs/>
          <w:color w:val="000000"/>
          <w:sz w:val="22"/>
          <w:szCs w:val="22"/>
          <w:lang w:val="en-GB"/>
        </w:rPr>
        <w:t>(</w:t>
      </w:r>
      <w:proofErr w:type="spellStart"/>
      <w:r>
        <w:rPr>
          <w:rFonts w:ascii="Times New Roman" w:hAnsi="Times New Roman"/>
          <w:i/>
          <w:iCs/>
          <w:color w:val="000000"/>
          <w:sz w:val="22"/>
          <w:szCs w:val="22"/>
          <w:lang w:val="en-GB"/>
        </w:rPr>
        <w:t>Compagnie</w:t>
      </w:r>
      <w:proofErr w:type="spellEnd"/>
      <w:r>
        <w:rPr>
          <w:rFonts w:ascii="Times New Roman" w:hAnsi="Times New Roman"/>
          <w:i/>
          <w:iCs/>
          <w:color w:val="000000"/>
          <w:sz w:val="22"/>
          <w:szCs w:val="22"/>
          <w:lang w:val="en-GB"/>
        </w:rPr>
        <w:t xml:space="preserve"> de </w:t>
      </w:r>
      <w:proofErr w:type="spellStart"/>
      <w:r>
        <w:rPr>
          <w:rFonts w:ascii="Times New Roman" w:hAnsi="Times New Roman"/>
          <w:i/>
          <w:iCs/>
          <w:color w:val="000000"/>
          <w:sz w:val="22"/>
          <w:szCs w:val="22"/>
          <w:lang w:val="en-GB"/>
        </w:rPr>
        <w:t>sécurisation</w:t>
      </w:r>
      <w:proofErr w:type="spellEnd"/>
      <w:r>
        <w:rPr>
          <w:rFonts w:ascii="Times New Roman" w:hAnsi="Times New Roman"/>
          <w:i/>
          <w:iCs/>
          <w:color w:val="000000"/>
          <w:sz w:val="22"/>
          <w:szCs w:val="22"/>
          <w:lang w:val="en-GB"/>
        </w:rPr>
        <w:t xml:space="preserve"> </w:t>
      </w:r>
      <w:proofErr w:type="gramStart"/>
      <w:r>
        <w:rPr>
          <w:rFonts w:ascii="Times New Roman" w:hAnsi="Times New Roman"/>
          <w:i/>
          <w:iCs/>
          <w:color w:val="000000"/>
          <w:sz w:val="22"/>
          <w:szCs w:val="22"/>
          <w:lang w:val="en-GB"/>
        </w:rPr>
        <w:t>et</w:t>
      </w:r>
      <w:proofErr w:type="gramEnd"/>
      <w:r>
        <w:rPr>
          <w:rFonts w:ascii="Times New Roman" w:hAnsi="Times New Roman"/>
          <w:i/>
          <w:iCs/>
          <w:color w:val="000000"/>
          <w:sz w:val="22"/>
          <w:szCs w:val="22"/>
          <w:lang w:val="en-GB"/>
        </w:rPr>
        <w:t xml:space="preserve"> </w:t>
      </w:r>
      <w:proofErr w:type="spellStart"/>
      <w:r>
        <w:rPr>
          <w:rFonts w:ascii="Times New Roman" w:hAnsi="Times New Roman"/>
          <w:i/>
          <w:iCs/>
          <w:color w:val="000000"/>
          <w:sz w:val="22"/>
          <w:szCs w:val="22"/>
          <w:lang w:val="en-GB"/>
        </w:rPr>
        <w:t>d’intervention</w:t>
      </w:r>
      <w:proofErr w:type="spellEnd"/>
      <w:r>
        <w:rPr>
          <w:rFonts w:ascii="Times New Roman" w:hAnsi="Times New Roman"/>
          <w:color w:val="000000"/>
          <w:sz w:val="22"/>
          <w:szCs w:val="22"/>
          <w:lang w:val="en-GB"/>
        </w:rPr>
        <w:t xml:space="preserve">) or the “repression of violent actions’ squad” </w:t>
      </w:r>
      <w:r>
        <w:rPr>
          <w:rFonts w:ascii="Times New Roman" w:hAnsi="Times New Roman"/>
          <w:i/>
          <w:iCs/>
          <w:color w:val="000000"/>
          <w:sz w:val="22"/>
          <w:szCs w:val="22"/>
          <w:lang w:val="en-GB"/>
        </w:rPr>
        <w:t xml:space="preserve">(Brigade de </w:t>
      </w:r>
      <w:proofErr w:type="spellStart"/>
      <w:r>
        <w:rPr>
          <w:rFonts w:ascii="Times New Roman" w:hAnsi="Times New Roman"/>
          <w:i/>
          <w:iCs/>
          <w:color w:val="000000"/>
          <w:sz w:val="22"/>
          <w:szCs w:val="22"/>
          <w:lang w:val="en-GB"/>
        </w:rPr>
        <w:t>répression</w:t>
      </w:r>
      <w:proofErr w:type="spellEnd"/>
      <w:r>
        <w:rPr>
          <w:rFonts w:ascii="Times New Roman" w:hAnsi="Times New Roman"/>
          <w:i/>
          <w:iCs/>
          <w:color w:val="000000"/>
          <w:sz w:val="22"/>
          <w:szCs w:val="22"/>
          <w:lang w:val="en-GB"/>
        </w:rPr>
        <w:t xml:space="preserve"> des actions </w:t>
      </w:r>
      <w:proofErr w:type="spellStart"/>
      <w:r>
        <w:rPr>
          <w:rFonts w:ascii="Times New Roman" w:hAnsi="Times New Roman"/>
          <w:i/>
          <w:iCs/>
          <w:color w:val="000000"/>
          <w:sz w:val="22"/>
          <w:szCs w:val="22"/>
          <w:lang w:val="en-GB"/>
        </w:rPr>
        <w:t>violentes</w:t>
      </w:r>
      <w:proofErr w:type="spellEnd"/>
      <w:r>
        <w:rPr>
          <w:rFonts w:ascii="Times New Roman" w:hAnsi="Times New Roman"/>
          <w:color w:val="000000"/>
          <w:sz w:val="22"/>
          <w:szCs w:val="22"/>
          <w:lang w:val="en-GB"/>
        </w:rPr>
        <w:t>) departs from the common policy and principles of law enforcement during peaceful assemblies.</w:t>
      </w:r>
      <w:r>
        <w:rPr>
          <w:rStyle w:val="FootnoteReference"/>
        </w:rPr>
        <w:footnoteReference w:id="48"/>
      </w:r>
      <w:r>
        <w:rPr>
          <w:rFonts w:ascii="Times New Roman" w:hAnsi="Times New Roman"/>
          <w:color w:val="000000"/>
          <w:sz w:val="22"/>
          <w:szCs w:val="22"/>
          <w:lang w:val="en-GB"/>
        </w:rPr>
        <w:t xml:space="preserve"> The “</w:t>
      </w:r>
      <w:proofErr w:type="spellStart"/>
      <w:r>
        <w:rPr>
          <w:rFonts w:ascii="Times New Roman" w:hAnsi="Times New Roman"/>
          <w:i/>
          <w:iCs/>
          <w:color w:val="000000"/>
          <w:sz w:val="22"/>
          <w:szCs w:val="22"/>
          <w:lang w:val="en-GB"/>
        </w:rPr>
        <w:t>Défenseur</w:t>
      </w:r>
      <w:proofErr w:type="spellEnd"/>
      <w:r>
        <w:rPr>
          <w:rFonts w:ascii="Times New Roman" w:hAnsi="Times New Roman"/>
          <w:i/>
          <w:iCs/>
          <w:color w:val="000000"/>
          <w:sz w:val="22"/>
          <w:szCs w:val="22"/>
          <w:lang w:val="en-GB"/>
        </w:rPr>
        <w:t xml:space="preserve"> des droits”</w:t>
      </w:r>
      <w:r>
        <w:rPr>
          <w:rFonts w:ascii="Times New Roman" w:hAnsi="Times New Roman"/>
          <w:color w:val="000000"/>
          <w:sz w:val="22"/>
          <w:szCs w:val="22"/>
          <w:lang w:val="en-GB"/>
        </w:rPr>
        <w:t xml:space="preserve"> explains that the behaviour of those units could jeopardize the efficiency of the general policing device, especially since their intervention method </w:t>
      </w:r>
      <w:proofErr w:type="gramStart"/>
      <w:r>
        <w:rPr>
          <w:rFonts w:ascii="Times New Roman" w:hAnsi="Times New Roman"/>
          <w:color w:val="000000"/>
          <w:sz w:val="22"/>
          <w:szCs w:val="22"/>
          <w:lang w:val="en-GB"/>
        </w:rPr>
        <w:t>is perceived</w:t>
      </w:r>
      <w:proofErr w:type="gramEnd"/>
      <w:r>
        <w:rPr>
          <w:rFonts w:ascii="Times New Roman" w:hAnsi="Times New Roman"/>
          <w:color w:val="000000"/>
          <w:sz w:val="22"/>
          <w:szCs w:val="22"/>
          <w:lang w:val="en-GB"/>
        </w:rPr>
        <w:t xml:space="preserve"> as “violent” in the context of policing assemblies.</w:t>
      </w:r>
      <w:r>
        <w:rPr>
          <w:rStyle w:val="FootnoteReference"/>
        </w:rPr>
        <w:footnoteReference w:id="49"/>
      </w:r>
    </w:p>
    <w:p w14:paraId="04B7DAB8" w14:textId="77777777" w:rsidR="00373874" w:rsidRPr="00373874" w:rsidRDefault="00373874" w:rsidP="00373874">
      <w:pPr>
        <w:pStyle w:val="NoSpacing"/>
        <w:jc w:val="both"/>
        <w:rPr>
          <w:rFonts w:ascii="Times New Roman" w:hAnsi="Times New Roman" w:cs="Times New Roman"/>
          <w:color w:val="000000" w:themeColor="text1"/>
          <w:sz w:val="22"/>
          <w:szCs w:val="22"/>
          <w:lang w:val="en-GB"/>
        </w:rPr>
      </w:pPr>
    </w:p>
    <w:p w14:paraId="1C4E7015" w14:textId="77777777" w:rsidR="00373874" w:rsidRPr="00373874" w:rsidRDefault="00373874" w:rsidP="00373874">
      <w:pPr>
        <w:pStyle w:val="NoSpacing"/>
        <w:numPr>
          <w:ilvl w:val="0"/>
          <w:numId w:val="8"/>
        </w:numPr>
        <w:jc w:val="both"/>
        <w:rPr>
          <w:rFonts w:ascii="Times New Roman" w:hAnsi="Times New Roman" w:cs="Times New Roman"/>
          <w:color w:val="000000" w:themeColor="text1"/>
          <w:sz w:val="22"/>
          <w:szCs w:val="22"/>
          <w:lang w:val="en-GB"/>
        </w:rPr>
      </w:pPr>
      <w:r w:rsidRPr="00373874">
        <w:rPr>
          <w:rFonts w:ascii="Times New Roman" w:hAnsi="Times New Roman" w:cs="Times New Roman"/>
          <w:i/>
          <w:color w:val="000000" w:themeColor="text1"/>
          <w:sz w:val="22"/>
          <w:szCs w:val="22"/>
          <w:lang w:val="en-GB"/>
        </w:rPr>
        <w:t>Inconsistency with the principle of de-escalating tensions</w:t>
      </w:r>
    </w:p>
    <w:p w14:paraId="082E98AF" w14:textId="77777777" w:rsidR="00373874" w:rsidRPr="00373874" w:rsidRDefault="00373874" w:rsidP="00373874">
      <w:pPr>
        <w:pStyle w:val="NoSpacing"/>
        <w:jc w:val="both"/>
        <w:rPr>
          <w:rFonts w:ascii="Times New Roman" w:hAnsi="Times New Roman" w:cs="Times New Roman"/>
          <w:color w:val="000000" w:themeColor="text1"/>
          <w:sz w:val="22"/>
          <w:szCs w:val="22"/>
          <w:lang w:val="en-GB"/>
        </w:rPr>
      </w:pPr>
    </w:p>
    <w:p w14:paraId="7EA42B9A" w14:textId="77777777" w:rsidR="00373874" w:rsidRPr="00373874" w:rsidRDefault="00CB1737" w:rsidP="00373874">
      <w:pPr>
        <w:pStyle w:val="NoSpacing"/>
        <w:numPr>
          <w:ilvl w:val="0"/>
          <w:numId w:val="5"/>
        </w:numPr>
        <w:jc w:val="both"/>
        <w:rPr>
          <w:rFonts w:ascii="Times New Roman" w:hAnsi="Times New Roman" w:cs="Times New Roman"/>
          <w:color w:val="000000" w:themeColor="text1"/>
          <w:sz w:val="22"/>
          <w:szCs w:val="22"/>
          <w:lang w:val="en-GB"/>
        </w:rPr>
      </w:pPr>
      <w:r>
        <w:rPr>
          <w:rFonts w:ascii="Times New Roman" w:hAnsi="Times New Roman" w:cs="Times New Roman"/>
          <w:color w:val="000000"/>
          <w:sz w:val="22"/>
          <w:szCs w:val="22"/>
          <w:lang w:val="en-GB"/>
        </w:rPr>
        <w:t>The presence of unspecialised units is inconsistent with the principle of “de-escalating tensions” mentioned in paragraph 86 of the General Comment. T</w:t>
      </w:r>
      <w:bookmarkStart w:id="1" w:name="Bookmark"/>
      <w:bookmarkEnd w:id="1"/>
      <w:r>
        <w:rPr>
          <w:rFonts w:ascii="Times New Roman" w:hAnsi="Times New Roman" w:cs="Times New Roman"/>
          <w:color w:val="000000"/>
          <w:sz w:val="22"/>
          <w:szCs w:val="22"/>
          <w:lang w:val="en-GB"/>
        </w:rPr>
        <w:t xml:space="preserve">his French practice in policing peaceful assemblies seems rather to fuel </w:t>
      </w:r>
      <w:proofErr w:type="gramStart"/>
      <w:r>
        <w:rPr>
          <w:rFonts w:ascii="Times New Roman" w:hAnsi="Times New Roman" w:cs="Times New Roman"/>
          <w:color w:val="000000"/>
          <w:sz w:val="22"/>
          <w:szCs w:val="22"/>
          <w:lang w:val="en-GB"/>
        </w:rPr>
        <w:t>the escalate</w:t>
      </w:r>
      <w:proofErr w:type="gramEnd"/>
      <w:r>
        <w:rPr>
          <w:rFonts w:ascii="Times New Roman" w:hAnsi="Times New Roman" w:cs="Times New Roman"/>
          <w:color w:val="000000"/>
          <w:sz w:val="22"/>
          <w:szCs w:val="22"/>
          <w:lang w:val="en-GB"/>
        </w:rPr>
        <w:t xml:space="preserve"> of tensions and violence.</w:t>
      </w:r>
      <w:r>
        <w:rPr>
          <w:rStyle w:val="FootnoteReference"/>
        </w:rPr>
        <w:footnoteReference w:id="50"/>
      </w:r>
      <w:r>
        <w:rPr>
          <w:rFonts w:ascii="Times New Roman" w:hAnsi="Times New Roman" w:cs="Times New Roman"/>
          <w:color w:val="000000"/>
          <w:sz w:val="22"/>
          <w:szCs w:val="22"/>
          <w:lang w:val="en-GB"/>
        </w:rPr>
        <w:t xml:space="preserve"> Yet, the Venice Commission states that there is a “[d]</w:t>
      </w:r>
      <w:proofErr w:type="spellStart"/>
      <w:r>
        <w:rPr>
          <w:rFonts w:ascii="Times New Roman" w:hAnsi="Times New Roman" w:cs="Times New Roman"/>
          <w:color w:val="000000"/>
          <w:sz w:val="22"/>
          <w:szCs w:val="22"/>
          <w:lang w:val="en-GB"/>
        </w:rPr>
        <w:t>uty</w:t>
      </w:r>
      <w:proofErr w:type="spellEnd"/>
      <w:r>
        <w:rPr>
          <w:rFonts w:ascii="Times New Roman" w:hAnsi="Times New Roman" w:cs="Times New Roman"/>
          <w:color w:val="000000"/>
          <w:sz w:val="22"/>
          <w:szCs w:val="22"/>
          <w:lang w:val="en-GB"/>
        </w:rPr>
        <w:t xml:space="preserve"> to de-escalate tensions” and thus recalls that “[a]</w:t>
      </w:r>
      <w:r>
        <w:rPr>
          <w:rFonts w:ascii="Times New Roman" w:hAnsi="Times New Roman" w:cs="Times New Roman"/>
          <w:sz w:val="22"/>
          <w:szCs w:val="22"/>
          <w:lang w:val="en-GB"/>
        </w:rPr>
        <w:t xml:space="preserve"> number of countries have units within police forces specifically set up to deal with de-escalation through dialogue”.</w:t>
      </w:r>
      <w:r>
        <w:rPr>
          <w:rStyle w:val="FootnoteReference"/>
        </w:rPr>
        <w:footnoteReference w:id="51"/>
      </w:r>
      <w:r>
        <w:rPr>
          <w:rFonts w:ascii="Times New Roman" w:hAnsi="Times New Roman" w:cs="Times New Roman"/>
          <w:sz w:val="22"/>
          <w:szCs w:val="22"/>
          <w:lang w:val="en-GB"/>
        </w:rPr>
        <w:t xml:space="preserve"> The Venice Commission also links the duty to de-escalate tensions with the work of “relevant law enforcement bodies”, suggesting that the type of units does matter in de-escalating tensions</w:t>
      </w:r>
      <w:r>
        <w:rPr>
          <w:rStyle w:val="FootnoteReference"/>
        </w:rPr>
        <w:footnoteReference w:id="52"/>
      </w:r>
      <w:r w:rsidR="00E14AF1">
        <w:rPr>
          <w:rFonts w:ascii="Times New Roman" w:hAnsi="Times New Roman" w:cs="Times New Roman"/>
          <w:sz w:val="22"/>
          <w:szCs w:val="22"/>
          <w:lang w:val="en-GB"/>
        </w:rPr>
        <w:t>.</w:t>
      </w:r>
      <w:r>
        <w:rPr>
          <w:rFonts w:ascii="Times New Roman" w:hAnsi="Times New Roman" w:cs="Times New Roman"/>
          <w:sz w:val="22"/>
          <w:szCs w:val="22"/>
          <w:lang w:val="en-GB"/>
        </w:rPr>
        <w:t xml:space="preserve"> The “</w:t>
      </w:r>
      <w:proofErr w:type="spellStart"/>
      <w:r>
        <w:rPr>
          <w:rFonts w:ascii="Times New Roman" w:hAnsi="Times New Roman" w:cs="Times New Roman"/>
          <w:i/>
          <w:iCs/>
          <w:sz w:val="22"/>
          <w:szCs w:val="22"/>
          <w:lang w:val="en-GB"/>
        </w:rPr>
        <w:t>Défenseur</w:t>
      </w:r>
      <w:proofErr w:type="spellEnd"/>
      <w:r>
        <w:rPr>
          <w:rFonts w:ascii="Times New Roman" w:hAnsi="Times New Roman" w:cs="Times New Roman"/>
          <w:i/>
          <w:iCs/>
          <w:sz w:val="22"/>
          <w:szCs w:val="22"/>
          <w:lang w:val="en-GB"/>
        </w:rPr>
        <w:t xml:space="preserve"> des droits</w:t>
      </w:r>
      <w:r>
        <w:rPr>
          <w:rFonts w:ascii="Times New Roman" w:hAnsi="Times New Roman" w:cs="Times New Roman"/>
          <w:sz w:val="22"/>
          <w:szCs w:val="22"/>
          <w:lang w:val="en-GB"/>
        </w:rPr>
        <w:t xml:space="preserve">” similarly states that the most numerous incidents </w:t>
      </w:r>
      <w:proofErr w:type="gramStart"/>
      <w:r>
        <w:rPr>
          <w:rFonts w:ascii="Times New Roman" w:hAnsi="Times New Roman" w:cs="Times New Roman"/>
          <w:sz w:val="22"/>
          <w:szCs w:val="22"/>
          <w:lang w:val="en-GB"/>
        </w:rPr>
        <w:t>that he deals with and which occur during peaceful assemblies</w:t>
      </w:r>
      <w:proofErr w:type="gramEnd"/>
      <w:r>
        <w:rPr>
          <w:rFonts w:ascii="Times New Roman" w:hAnsi="Times New Roman" w:cs="Times New Roman"/>
          <w:sz w:val="22"/>
          <w:szCs w:val="22"/>
          <w:lang w:val="en-GB"/>
        </w:rPr>
        <w:t xml:space="preserve"> involve unspecialized units</w:t>
      </w:r>
      <w:r>
        <w:rPr>
          <w:rStyle w:val="FootnoteReference"/>
        </w:rPr>
        <w:footnoteReference w:id="53"/>
      </w:r>
      <w:r w:rsidR="00E14AF1">
        <w:rPr>
          <w:rFonts w:ascii="Times New Roman" w:hAnsi="Times New Roman" w:cs="Times New Roman"/>
          <w:sz w:val="22"/>
          <w:szCs w:val="22"/>
          <w:lang w:val="en-GB"/>
        </w:rPr>
        <w:t>.</w:t>
      </w:r>
    </w:p>
    <w:p w14:paraId="7B29BA13" w14:textId="77777777" w:rsidR="00373874" w:rsidRPr="00373874" w:rsidRDefault="00373874" w:rsidP="00373874">
      <w:pPr>
        <w:pStyle w:val="NoSpacing"/>
        <w:jc w:val="both"/>
        <w:rPr>
          <w:rFonts w:ascii="Times New Roman" w:hAnsi="Times New Roman" w:cs="Times New Roman"/>
          <w:color w:val="000000" w:themeColor="text1"/>
          <w:sz w:val="22"/>
          <w:szCs w:val="22"/>
          <w:lang w:val="en-GB"/>
        </w:rPr>
      </w:pPr>
    </w:p>
    <w:p w14:paraId="0AD46E8E" w14:textId="368D315E" w:rsidR="00373874" w:rsidRPr="00373874" w:rsidRDefault="00373874" w:rsidP="00373874">
      <w:pPr>
        <w:pStyle w:val="NoSpacing"/>
        <w:numPr>
          <w:ilvl w:val="0"/>
          <w:numId w:val="5"/>
        </w:numPr>
        <w:jc w:val="both"/>
        <w:rPr>
          <w:rFonts w:ascii="Times New Roman" w:hAnsi="Times New Roman" w:cs="Times New Roman"/>
          <w:color w:val="000000" w:themeColor="text1"/>
          <w:sz w:val="22"/>
          <w:szCs w:val="22"/>
          <w:lang w:val="en-GB"/>
        </w:rPr>
      </w:pPr>
      <w:r w:rsidRPr="00373874">
        <w:rPr>
          <w:rFonts w:ascii="Times New Roman" w:hAnsi="Times New Roman" w:cs="Times New Roman"/>
          <w:b/>
          <w:bCs/>
          <w:i/>
          <w:color w:val="000000" w:themeColor="text1"/>
          <w:sz w:val="22"/>
          <w:szCs w:val="22"/>
          <w:lang w:val="en-GB"/>
        </w:rPr>
        <w:lastRenderedPageBreak/>
        <w:t>Recommendation</w:t>
      </w:r>
      <w:r w:rsidRPr="00373874">
        <w:rPr>
          <w:rFonts w:ascii="Times New Roman" w:hAnsi="Times New Roman" w:cs="Times New Roman"/>
          <w:i/>
          <w:color w:val="000000" w:themeColor="text1"/>
          <w:sz w:val="22"/>
          <w:szCs w:val="22"/>
          <w:lang w:val="en-GB"/>
        </w:rPr>
        <w:t>:</w:t>
      </w:r>
      <w:r w:rsidRPr="00373874">
        <w:rPr>
          <w:rFonts w:ascii="Times New Roman" w:hAnsi="Times New Roman" w:cs="Times New Roman"/>
          <w:color w:val="000000" w:themeColor="text1"/>
          <w:sz w:val="22"/>
          <w:szCs w:val="22"/>
          <w:lang w:val="en-GB"/>
        </w:rPr>
        <w:t xml:space="preserve"> Considering the importance of </w:t>
      </w:r>
      <w:r w:rsidR="00F07B44">
        <w:rPr>
          <w:rFonts w:ascii="Times New Roman" w:hAnsi="Times New Roman" w:cs="Times New Roman"/>
          <w:color w:val="000000" w:themeColor="text1"/>
          <w:sz w:val="22"/>
          <w:szCs w:val="22"/>
          <w:lang w:val="en-GB"/>
        </w:rPr>
        <w:t xml:space="preserve">having specialized and trained </w:t>
      </w:r>
      <w:r w:rsidRPr="00373874">
        <w:rPr>
          <w:rFonts w:ascii="Times New Roman" w:hAnsi="Times New Roman" w:cs="Times New Roman"/>
          <w:color w:val="000000" w:themeColor="text1"/>
          <w:sz w:val="22"/>
          <w:szCs w:val="22"/>
          <w:lang w:val="en-GB"/>
        </w:rPr>
        <w:t>units policing the assemblies in order to protect the right of peaceful assembly, we encourage the Human Right Committee to create a specific paragraph related to the “relevant official units” and their training, which should as far as possible encompass legal, ethic and mediation issues.</w:t>
      </w:r>
    </w:p>
    <w:p w14:paraId="12A1F69C" w14:textId="77777777" w:rsidR="00A81B56" w:rsidRPr="00373874" w:rsidRDefault="00A81B56" w:rsidP="00A81B56">
      <w:pPr>
        <w:pStyle w:val="Normal1"/>
        <w:spacing w:line="276" w:lineRule="auto"/>
        <w:rPr>
          <w:color w:val="000000" w:themeColor="text1"/>
          <w:sz w:val="22"/>
          <w:szCs w:val="22"/>
          <w:lang w:val="en-GB"/>
        </w:rPr>
      </w:pPr>
      <w:r w:rsidRPr="00373874">
        <w:rPr>
          <w:color w:val="000000" w:themeColor="text1"/>
          <w:lang w:val="en-GB"/>
        </w:rPr>
        <w:br w:type="page"/>
      </w:r>
    </w:p>
    <w:p w14:paraId="6A7E7AE9" w14:textId="77777777" w:rsidR="00A81B56" w:rsidRPr="00D70FCC" w:rsidRDefault="00A81B56" w:rsidP="00D70FCC">
      <w:pPr>
        <w:pStyle w:val="NoSpacing"/>
        <w:jc w:val="both"/>
        <w:rPr>
          <w:rFonts w:ascii="Times New Roman" w:hAnsi="Times New Roman" w:cs="Times New Roman"/>
          <w:b/>
          <w:sz w:val="22"/>
          <w:szCs w:val="22"/>
          <w:lang w:val="en-GB"/>
        </w:rPr>
      </w:pPr>
      <w:r w:rsidRPr="00D70FCC">
        <w:rPr>
          <w:rFonts w:ascii="Times New Roman" w:hAnsi="Times New Roman" w:cs="Times New Roman"/>
          <w:b/>
          <w:sz w:val="22"/>
          <w:szCs w:val="22"/>
          <w:lang w:val="en-GB"/>
        </w:rPr>
        <w:lastRenderedPageBreak/>
        <w:t xml:space="preserve">Background information on the Paris Human Rights </w:t>
      </w:r>
      <w:proofErr w:type="spellStart"/>
      <w:r w:rsidRPr="00D70FCC">
        <w:rPr>
          <w:rFonts w:ascii="Times New Roman" w:hAnsi="Times New Roman" w:cs="Times New Roman"/>
          <w:b/>
          <w:sz w:val="22"/>
          <w:szCs w:val="22"/>
          <w:lang w:val="en-GB"/>
        </w:rPr>
        <w:t>Center</w:t>
      </w:r>
      <w:proofErr w:type="spellEnd"/>
      <w:r w:rsidRPr="00D70FCC">
        <w:rPr>
          <w:rFonts w:ascii="Times New Roman" w:hAnsi="Times New Roman" w:cs="Times New Roman"/>
          <w:b/>
          <w:sz w:val="22"/>
          <w:szCs w:val="22"/>
          <w:lang w:val="en-GB"/>
        </w:rPr>
        <w:t xml:space="preserve"> and the authors of the submission</w:t>
      </w:r>
    </w:p>
    <w:p w14:paraId="113E3E59" w14:textId="77777777" w:rsidR="00A81B56" w:rsidRPr="00D70FCC" w:rsidRDefault="00A81B56" w:rsidP="00D70FCC">
      <w:pPr>
        <w:pStyle w:val="NoSpacing"/>
        <w:jc w:val="both"/>
        <w:rPr>
          <w:rFonts w:ascii="Times New Roman" w:hAnsi="Times New Roman" w:cs="Times New Roman"/>
          <w:sz w:val="22"/>
          <w:szCs w:val="22"/>
          <w:lang w:val="en-GB"/>
        </w:rPr>
      </w:pPr>
    </w:p>
    <w:p w14:paraId="1BEA9FEB" w14:textId="77777777" w:rsidR="00A81B56" w:rsidRDefault="00A81B56" w:rsidP="00D70FCC">
      <w:pPr>
        <w:pStyle w:val="NoSpacing"/>
        <w:jc w:val="both"/>
        <w:rPr>
          <w:rFonts w:ascii="Times New Roman" w:hAnsi="Times New Roman" w:cs="Times New Roman"/>
          <w:sz w:val="22"/>
          <w:szCs w:val="22"/>
          <w:lang w:val="en-GB"/>
        </w:rPr>
      </w:pPr>
      <w:r w:rsidRPr="00D70FCC">
        <w:rPr>
          <w:rFonts w:ascii="Times New Roman" w:hAnsi="Times New Roman" w:cs="Times New Roman"/>
          <w:sz w:val="22"/>
          <w:szCs w:val="22"/>
          <w:lang w:val="en-GB"/>
        </w:rPr>
        <w:t xml:space="preserve">The </w:t>
      </w:r>
      <w:r w:rsidRPr="00D61078">
        <w:rPr>
          <w:rFonts w:ascii="Times New Roman" w:hAnsi="Times New Roman" w:cs="Times New Roman"/>
          <w:b/>
          <w:i/>
          <w:sz w:val="22"/>
          <w:szCs w:val="22"/>
          <w:lang w:val="en-GB"/>
        </w:rPr>
        <w:t xml:space="preserve">Paris Human Rights </w:t>
      </w:r>
      <w:proofErr w:type="spellStart"/>
      <w:r w:rsidRPr="00D61078">
        <w:rPr>
          <w:rFonts w:ascii="Times New Roman" w:hAnsi="Times New Roman" w:cs="Times New Roman"/>
          <w:b/>
          <w:i/>
          <w:sz w:val="22"/>
          <w:szCs w:val="22"/>
          <w:lang w:val="en-GB"/>
        </w:rPr>
        <w:t>Center</w:t>
      </w:r>
      <w:proofErr w:type="spellEnd"/>
      <w:r w:rsidRPr="00D70FCC">
        <w:rPr>
          <w:rFonts w:ascii="Times New Roman" w:hAnsi="Times New Roman" w:cs="Times New Roman"/>
          <w:sz w:val="22"/>
          <w:szCs w:val="22"/>
          <w:lang w:val="en-GB"/>
        </w:rPr>
        <w:t xml:space="preserve"> (</w:t>
      </w:r>
      <w:r w:rsidRPr="00D70FCC">
        <w:rPr>
          <w:rFonts w:ascii="Times New Roman" w:hAnsi="Times New Roman" w:cs="Times New Roman"/>
          <w:i/>
          <w:sz w:val="22"/>
          <w:szCs w:val="22"/>
          <w:lang w:val="en-GB"/>
        </w:rPr>
        <w:t xml:space="preserve">Centre de </w:t>
      </w:r>
      <w:proofErr w:type="spellStart"/>
      <w:r w:rsidRPr="00D70FCC">
        <w:rPr>
          <w:rFonts w:ascii="Times New Roman" w:hAnsi="Times New Roman" w:cs="Times New Roman"/>
          <w:i/>
          <w:sz w:val="22"/>
          <w:szCs w:val="22"/>
          <w:lang w:val="en-GB"/>
        </w:rPr>
        <w:t>recherche</w:t>
      </w:r>
      <w:proofErr w:type="spellEnd"/>
      <w:r w:rsidRPr="00D70FCC">
        <w:rPr>
          <w:rFonts w:ascii="Times New Roman" w:hAnsi="Times New Roman" w:cs="Times New Roman"/>
          <w:i/>
          <w:sz w:val="22"/>
          <w:szCs w:val="22"/>
          <w:lang w:val="en-GB"/>
        </w:rPr>
        <w:t xml:space="preserve"> sur les droits de </w:t>
      </w:r>
      <w:proofErr w:type="spellStart"/>
      <w:r w:rsidRPr="00D70FCC">
        <w:rPr>
          <w:rFonts w:ascii="Times New Roman" w:hAnsi="Times New Roman" w:cs="Times New Roman"/>
          <w:i/>
          <w:sz w:val="22"/>
          <w:szCs w:val="22"/>
          <w:lang w:val="en-GB"/>
        </w:rPr>
        <w:t>l’homme</w:t>
      </w:r>
      <w:proofErr w:type="spellEnd"/>
      <w:r w:rsidRPr="00D70FCC">
        <w:rPr>
          <w:rFonts w:ascii="Times New Roman" w:hAnsi="Times New Roman" w:cs="Times New Roman"/>
          <w:i/>
          <w:sz w:val="22"/>
          <w:szCs w:val="22"/>
          <w:lang w:val="en-GB"/>
        </w:rPr>
        <w:t xml:space="preserve"> </w:t>
      </w:r>
      <w:proofErr w:type="gramStart"/>
      <w:r w:rsidRPr="00D70FCC">
        <w:rPr>
          <w:rFonts w:ascii="Times New Roman" w:hAnsi="Times New Roman" w:cs="Times New Roman"/>
          <w:i/>
          <w:sz w:val="22"/>
          <w:szCs w:val="22"/>
          <w:lang w:val="en-GB"/>
        </w:rPr>
        <w:t>et</w:t>
      </w:r>
      <w:proofErr w:type="gramEnd"/>
      <w:r w:rsidRPr="00D70FCC">
        <w:rPr>
          <w:rFonts w:ascii="Times New Roman" w:hAnsi="Times New Roman" w:cs="Times New Roman"/>
          <w:i/>
          <w:sz w:val="22"/>
          <w:szCs w:val="22"/>
          <w:lang w:val="en-GB"/>
        </w:rPr>
        <w:t xml:space="preserve"> le droit </w:t>
      </w:r>
      <w:proofErr w:type="spellStart"/>
      <w:r w:rsidRPr="00D70FCC">
        <w:rPr>
          <w:rFonts w:ascii="Times New Roman" w:hAnsi="Times New Roman" w:cs="Times New Roman"/>
          <w:i/>
          <w:sz w:val="22"/>
          <w:szCs w:val="22"/>
          <w:lang w:val="en-GB"/>
        </w:rPr>
        <w:t>humanitaire</w:t>
      </w:r>
      <w:proofErr w:type="spellEnd"/>
      <w:r w:rsidRPr="00D70FCC">
        <w:rPr>
          <w:rFonts w:ascii="Times New Roman" w:hAnsi="Times New Roman" w:cs="Times New Roman"/>
          <w:i/>
          <w:sz w:val="22"/>
          <w:szCs w:val="22"/>
          <w:lang w:val="en-GB"/>
        </w:rPr>
        <w:t xml:space="preserve"> – CRDH</w:t>
      </w:r>
      <w:r w:rsidRPr="00D70FCC">
        <w:rPr>
          <w:rFonts w:ascii="Times New Roman" w:hAnsi="Times New Roman" w:cs="Times New Roman"/>
          <w:sz w:val="22"/>
          <w:szCs w:val="22"/>
          <w:lang w:val="en-GB"/>
        </w:rPr>
        <w:t xml:space="preserve">, dir. </w:t>
      </w:r>
      <w:proofErr w:type="spellStart"/>
      <w:r w:rsidRPr="00D70FCC">
        <w:rPr>
          <w:rFonts w:ascii="Times New Roman" w:hAnsi="Times New Roman" w:cs="Times New Roman"/>
          <w:sz w:val="22"/>
          <w:szCs w:val="22"/>
          <w:lang w:val="en-GB"/>
        </w:rPr>
        <w:t>Prof.</w:t>
      </w:r>
      <w:proofErr w:type="spellEnd"/>
      <w:r w:rsidRPr="00D70FCC">
        <w:rPr>
          <w:rFonts w:ascii="Times New Roman" w:hAnsi="Times New Roman" w:cs="Times New Roman"/>
          <w:sz w:val="22"/>
          <w:szCs w:val="22"/>
          <w:lang w:val="en-GB"/>
        </w:rPr>
        <w:t xml:space="preserve"> O. de Frouville) is an academic research </w:t>
      </w:r>
      <w:proofErr w:type="spellStart"/>
      <w:r w:rsidRPr="00D70FCC">
        <w:rPr>
          <w:rFonts w:ascii="Times New Roman" w:hAnsi="Times New Roman" w:cs="Times New Roman"/>
          <w:sz w:val="22"/>
          <w:szCs w:val="22"/>
          <w:lang w:val="en-GB"/>
        </w:rPr>
        <w:t>center</w:t>
      </w:r>
      <w:proofErr w:type="spellEnd"/>
      <w:r w:rsidRPr="00D70FCC">
        <w:rPr>
          <w:rFonts w:ascii="Times New Roman" w:hAnsi="Times New Roman" w:cs="Times New Roman"/>
          <w:sz w:val="22"/>
          <w:szCs w:val="22"/>
          <w:lang w:val="en-GB"/>
        </w:rPr>
        <w:t xml:space="preserve">, located at the University Paris II </w:t>
      </w:r>
      <w:proofErr w:type="spellStart"/>
      <w:r w:rsidRPr="00D70FCC">
        <w:rPr>
          <w:rFonts w:ascii="Times New Roman" w:hAnsi="Times New Roman" w:cs="Times New Roman"/>
          <w:sz w:val="22"/>
          <w:szCs w:val="22"/>
          <w:lang w:val="en-GB"/>
        </w:rPr>
        <w:t>Panthéon-Assas</w:t>
      </w:r>
      <w:proofErr w:type="spellEnd"/>
      <w:r w:rsidRPr="00D70FCC">
        <w:rPr>
          <w:rFonts w:ascii="Times New Roman" w:hAnsi="Times New Roman" w:cs="Times New Roman"/>
          <w:sz w:val="22"/>
          <w:szCs w:val="22"/>
          <w:lang w:val="en-GB"/>
        </w:rPr>
        <w:t>. Since 1995, it has been developing a research project characterized by an integrated vision of all norms and institutions of international law related to the protection of human rights. It hosts both collective and individual research, by providing supervision and support for PhD students</w:t>
      </w:r>
      <w:r w:rsidRPr="00D70FCC">
        <w:rPr>
          <w:rFonts w:ascii="Times New Roman" w:hAnsi="Times New Roman" w:cs="Times New Roman"/>
          <w:sz w:val="22"/>
          <w:szCs w:val="22"/>
          <w:vertAlign w:val="superscript"/>
          <w:lang w:val="en-GB"/>
        </w:rPr>
        <w:footnoteReference w:id="54"/>
      </w:r>
      <w:r w:rsidRPr="00D70FCC">
        <w:rPr>
          <w:rFonts w:ascii="Times New Roman" w:hAnsi="Times New Roman" w:cs="Times New Roman"/>
          <w:sz w:val="22"/>
          <w:szCs w:val="22"/>
          <w:lang w:val="en-GB"/>
        </w:rPr>
        <w:t xml:space="preserve"> and through a Master’s program in human rights and humanitarian law (dir. Pr. S. </w:t>
      </w:r>
      <w:proofErr w:type="spellStart"/>
      <w:r w:rsidRPr="00D70FCC">
        <w:rPr>
          <w:rFonts w:ascii="Times New Roman" w:hAnsi="Times New Roman" w:cs="Times New Roman"/>
          <w:sz w:val="22"/>
          <w:szCs w:val="22"/>
          <w:lang w:val="en-GB"/>
        </w:rPr>
        <w:t>Touzé</w:t>
      </w:r>
      <w:proofErr w:type="spellEnd"/>
      <w:r w:rsidRPr="00D70FCC">
        <w:rPr>
          <w:rFonts w:ascii="Times New Roman" w:hAnsi="Times New Roman" w:cs="Times New Roman"/>
          <w:sz w:val="22"/>
          <w:szCs w:val="22"/>
          <w:lang w:val="en-GB"/>
        </w:rPr>
        <w:t>).</w:t>
      </w:r>
    </w:p>
    <w:p w14:paraId="6EC85576" w14:textId="77777777" w:rsidR="00552DD7" w:rsidRPr="003E1D46" w:rsidRDefault="00552DD7" w:rsidP="00D70FCC">
      <w:pPr>
        <w:pStyle w:val="NoSpacing"/>
        <w:jc w:val="both"/>
        <w:rPr>
          <w:rFonts w:ascii="Times New Roman" w:hAnsi="Times New Roman" w:cs="Times New Roman"/>
          <w:sz w:val="22"/>
          <w:szCs w:val="22"/>
          <w:lang w:val="en-GB"/>
        </w:rPr>
      </w:pPr>
    </w:p>
    <w:p w14:paraId="56C215BA" w14:textId="779A6473" w:rsidR="00552DD7" w:rsidRPr="003E1D46" w:rsidRDefault="00552DD7" w:rsidP="00552DD7">
      <w:pPr>
        <w:jc w:val="both"/>
        <w:rPr>
          <w:sz w:val="22"/>
          <w:szCs w:val="22"/>
          <w:lang w:val="en-GB"/>
        </w:rPr>
      </w:pPr>
      <w:r w:rsidRPr="003E1D46">
        <w:rPr>
          <w:sz w:val="22"/>
          <w:szCs w:val="22"/>
          <w:lang w:val="en-GB"/>
        </w:rPr>
        <w:t xml:space="preserve">The </w:t>
      </w:r>
      <w:proofErr w:type="spellStart"/>
      <w:r w:rsidRPr="003E1D46">
        <w:rPr>
          <w:b/>
          <w:sz w:val="22"/>
          <w:szCs w:val="22"/>
          <w:lang w:val="en-GB"/>
        </w:rPr>
        <w:t>Assas</w:t>
      </w:r>
      <w:proofErr w:type="spellEnd"/>
      <w:r w:rsidRPr="003E1D46">
        <w:rPr>
          <w:b/>
          <w:sz w:val="22"/>
          <w:szCs w:val="22"/>
          <w:lang w:val="en-GB"/>
        </w:rPr>
        <w:t xml:space="preserve"> International Law Clinic (CDIA / AILC)</w:t>
      </w:r>
      <w:r w:rsidRPr="003E1D46">
        <w:rPr>
          <w:sz w:val="22"/>
          <w:szCs w:val="22"/>
          <w:lang w:val="en-GB"/>
        </w:rPr>
        <w:t xml:space="preserve"> </w:t>
      </w:r>
      <w:proofErr w:type="gramStart"/>
      <w:r w:rsidRPr="003E1D46">
        <w:rPr>
          <w:sz w:val="22"/>
          <w:szCs w:val="22"/>
          <w:lang w:val="en-GB"/>
        </w:rPr>
        <w:t>was founded</w:t>
      </w:r>
      <w:proofErr w:type="gramEnd"/>
      <w:r w:rsidRPr="003E1D46">
        <w:rPr>
          <w:sz w:val="22"/>
          <w:szCs w:val="22"/>
          <w:lang w:val="en-GB"/>
        </w:rPr>
        <w:t xml:space="preserve"> in 2019. </w:t>
      </w:r>
      <w:r w:rsidR="00D37AE0">
        <w:rPr>
          <w:sz w:val="22"/>
          <w:szCs w:val="22"/>
          <w:lang w:val="en-GB"/>
        </w:rPr>
        <w:t>It is open to the participation of</w:t>
      </w:r>
      <w:r w:rsidRPr="003E1D46">
        <w:rPr>
          <w:sz w:val="22"/>
          <w:szCs w:val="22"/>
          <w:lang w:val="en-GB"/>
        </w:rPr>
        <w:t xml:space="preserve"> students in their final year of studies at </w:t>
      </w:r>
      <w:r w:rsidRPr="003E1D46">
        <w:rPr>
          <w:i/>
          <w:iCs/>
          <w:sz w:val="22"/>
          <w:szCs w:val="22"/>
          <w:lang w:val="en-GB"/>
        </w:rPr>
        <w:t xml:space="preserve">Paris II </w:t>
      </w:r>
      <w:proofErr w:type="spellStart"/>
      <w:r w:rsidRPr="003E1D46">
        <w:rPr>
          <w:i/>
          <w:iCs/>
          <w:sz w:val="22"/>
          <w:szCs w:val="22"/>
          <w:lang w:val="en-GB"/>
        </w:rPr>
        <w:t>Panthéon-Assas</w:t>
      </w:r>
      <w:proofErr w:type="spellEnd"/>
      <w:r w:rsidRPr="003E1D46">
        <w:rPr>
          <w:i/>
          <w:iCs/>
          <w:sz w:val="22"/>
          <w:szCs w:val="22"/>
          <w:lang w:val="en-GB"/>
        </w:rPr>
        <w:t> </w:t>
      </w:r>
      <w:r w:rsidRPr="003E1D46">
        <w:rPr>
          <w:sz w:val="22"/>
          <w:szCs w:val="22"/>
          <w:lang w:val="en-GB"/>
        </w:rPr>
        <w:t>University, mainly those in the "</w:t>
      </w:r>
      <w:r w:rsidRPr="003E1D46">
        <w:rPr>
          <w:i/>
          <w:iCs/>
          <w:sz w:val="22"/>
          <w:szCs w:val="22"/>
          <w:lang w:val="en-GB"/>
        </w:rPr>
        <w:t xml:space="preserve">Master 2 Droits de </w:t>
      </w:r>
      <w:proofErr w:type="spellStart"/>
      <w:r w:rsidRPr="003E1D46">
        <w:rPr>
          <w:i/>
          <w:iCs/>
          <w:sz w:val="22"/>
          <w:szCs w:val="22"/>
          <w:lang w:val="en-GB"/>
        </w:rPr>
        <w:t>l'Homme</w:t>
      </w:r>
      <w:proofErr w:type="spellEnd"/>
      <w:r w:rsidRPr="003E1D46">
        <w:rPr>
          <w:i/>
          <w:iCs/>
          <w:sz w:val="22"/>
          <w:szCs w:val="22"/>
          <w:lang w:val="en-GB"/>
        </w:rPr>
        <w:t xml:space="preserve"> </w:t>
      </w:r>
      <w:proofErr w:type="gramStart"/>
      <w:r w:rsidRPr="003E1D46">
        <w:rPr>
          <w:i/>
          <w:iCs/>
          <w:sz w:val="22"/>
          <w:szCs w:val="22"/>
          <w:lang w:val="en-GB"/>
        </w:rPr>
        <w:t>et</w:t>
      </w:r>
      <w:proofErr w:type="gramEnd"/>
      <w:r w:rsidRPr="003E1D46">
        <w:rPr>
          <w:i/>
          <w:iCs/>
          <w:sz w:val="22"/>
          <w:szCs w:val="22"/>
          <w:lang w:val="en-GB"/>
        </w:rPr>
        <w:t xml:space="preserve"> Droit </w:t>
      </w:r>
      <w:proofErr w:type="spellStart"/>
      <w:r w:rsidRPr="003E1D46">
        <w:rPr>
          <w:i/>
          <w:iCs/>
          <w:sz w:val="22"/>
          <w:szCs w:val="22"/>
          <w:lang w:val="en-GB"/>
        </w:rPr>
        <w:t>Humanitaire</w:t>
      </w:r>
      <w:proofErr w:type="spellEnd"/>
      <w:r w:rsidRPr="003E1D46">
        <w:rPr>
          <w:i/>
          <w:iCs/>
          <w:sz w:val="22"/>
          <w:szCs w:val="22"/>
          <w:lang w:val="en-GB"/>
        </w:rPr>
        <w:t>"</w:t>
      </w:r>
      <w:r w:rsidR="003D300C" w:rsidRPr="003E1D46">
        <w:rPr>
          <w:sz w:val="22"/>
          <w:szCs w:val="22"/>
          <w:lang w:val="en-GB"/>
        </w:rPr>
        <w:t xml:space="preserve"> </w:t>
      </w:r>
      <w:r w:rsidRPr="003E1D46">
        <w:rPr>
          <w:sz w:val="22"/>
          <w:szCs w:val="22"/>
          <w:lang w:val="en-GB"/>
        </w:rPr>
        <w:t>as well as the </w:t>
      </w:r>
      <w:r w:rsidRPr="003E1D46">
        <w:rPr>
          <w:i/>
          <w:iCs/>
          <w:sz w:val="22"/>
          <w:szCs w:val="22"/>
          <w:lang w:val="en-GB"/>
        </w:rPr>
        <w:t xml:space="preserve">"M2 Justice </w:t>
      </w:r>
      <w:proofErr w:type="spellStart"/>
      <w:r w:rsidRPr="003E1D46">
        <w:rPr>
          <w:i/>
          <w:iCs/>
          <w:sz w:val="22"/>
          <w:szCs w:val="22"/>
          <w:lang w:val="en-GB"/>
        </w:rPr>
        <w:t>Pénale</w:t>
      </w:r>
      <w:proofErr w:type="spellEnd"/>
      <w:r w:rsidRPr="003E1D46">
        <w:rPr>
          <w:i/>
          <w:iCs/>
          <w:sz w:val="22"/>
          <w:szCs w:val="22"/>
          <w:lang w:val="en-GB"/>
        </w:rPr>
        <w:t xml:space="preserve"> Internationale</w:t>
      </w:r>
      <w:r w:rsidRPr="003E1D46">
        <w:rPr>
          <w:sz w:val="22"/>
          <w:szCs w:val="22"/>
          <w:lang w:val="en-GB"/>
        </w:rPr>
        <w:t xml:space="preserve">". Clinic participants </w:t>
      </w:r>
      <w:proofErr w:type="gramStart"/>
      <w:r w:rsidRPr="003E1D46">
        <w:rPr>
          <w:sz w:val="22"/>
          <w:szCs w:val="22"/>
          <w:lang w:val="en-GB"/>
        </w:rPr>
        <w:t>are given</w:t>
      </w:r>
      <w:proofErr w:type="gramEnd"/>
      <w:r w:rsidRPr="003E1D46">
        <w:rPr>
          <w:sz w:val="22"/>
          <w:szCs w:val="22"/>
          <w:lang w:val="en-GB"/>
        </w:rPr>
        <w:t xml:space="preserve"> the opportunity to gain practical</w:t>
      </w:r>
      <w:r w:rsidR="000C04F0" w:rsidRPr="003E1D46">
        <w:rPr>
          <w:sz w:val="22"/>
          <w:szCs w:val="22"/>
          <w:lang w:val="en-GB"/>
        </w:rPr>
        <w:t xml:space="preserve"> </w:t>
      </w:r>
      <w:r w:rsidRPr="003E1D46">
        <w:rPr>
          <w:sz w:val="22"/>
          <w:szCs w:val="22"/>
          <w:lang w:val="en-GB"/>
        </w:rPr>
        <w:t>experience by collaborating with various institutional partners active in the fi</w:t>
      </w:r>
      <w:r w:rsidR="001669C8">
        <w:rPr>
          <w:sz w:val="22"/>
          <w:szCs w:val="22"/>
          <w:lang w:val="en-GB"/>
        </w:rPr>
        <w:t>elds of interest of the Clinic.</w:t>
      </w:r>
    </w:p>
    <w:p w14:paraId="3AF76450" w14:textId="77777777" w:rsidR="00552DD7" w:rsidRPr="003E1D46" w:rsidRDefault="00552DD7" w:rsidP="00D70FCC">
      <w:pPr>
        <w:pStyle w:val="NoSpacing"/>
        <w:jc w:val="both"/>
        <w:rPr>
          <w:rFonts w:ascii="Times New Roman" w:hAnsi="Times New Roman" w:cs="Times New Roman"/>
          <w:b/>
          <w:sz w:val="22"/>
          <w:szCs w:val="22"/>
          <w:lang w:val="en-GB"/>
        </w:rPr>
      </w:pPr>
    </w:p>
    <w:p w14:paraId="60BF37E4" w14:textId="77777777" w:rsidR="00A81B56" w:rsidRPr="00D70FCC" w:rsidRDefault="00A81B56" w:rsidP="00D70FCC">
      <w:pPr>
        <w:pStyle w:val="NoSpacing"/>
        <w:jc w:val="both"/>
        <w:rPr>
          <w:rFonts w:ascii="Times New Roman" w:hAnsi="Times New Roman" w:cs="Times New Roman"/>
          <w:b/>
          <w:sz w:val="22"/>
          <w:szCs w:val="22"/>
          <w:lang w:val="en-GB"/>
        </w:rPr>
      </w:pPr>
      <w:r w:rsidRPr="00D70FCC">
        <w:rPr>
          <w:rFonts w:ascii="Times New Roman" w:hAnsi="Times New Roman" w:cs="Times New Roman"/>
          <w:b/>
          <w:sz w:val="22"/>
          <w:szCs w:val="22"/>
          <w:lang w:val="en-GB"/>
        </w:rPr>
        <w:t xml:space="preserve">Students of the University </w:t>
      </w:r>
      <w:proofErr w:type="spellStart"/>
      <w:r w:rsidRPr="00D70FCC">
        <w:rPr>
          <w:rFonts w:ascii="Times New Roman" w:hAnsi="Times New Roman" w:cs="Times New Roman"/>
          <w:b/>
          <w:sz w:val="22"/>
          <w:szCs w:val="22"/>
          <w:lang w:val="en-GB"/>
        </w:rPr>
        <w:t>Panthéon-Assas</w:t>
      </w:r>
      <w:proofErr w:type="spellEnd"/>
      <w:r w:rsidRPr="00D70FCC">
        <w:rPr>
          <w:rFonts w:ascii="Times New Roman" w:hAnsi="Times New Roman" w:cs="Times New Roman"/>
          <w:b/>
          <w:sz w:val="22"/>
          <w:szCs w:val="22"/>
          <w:lang w:val="en-GB"/>
        </w:rPr>
        <w:t xml:space="preserve"> Paris II/Paris Human Rights </w:t>
      </w:r>
      <w:proofErr w:type="spellStart"/>
      <w:r w:rsidRPr="00D70FCC">
        <w:rPr>
          <w:rFonts w:ascii="Times New Roman" w:hAnsi="Times New Roman" w:cs="Times New Roman"/>
          <w:b/>
          <w:sz w:val="22"/>
          <w:szCs w:val="22"/>
          <w:lang w:val="en-GB"/>
        </w:rPr>
        <w:t>Center</w:t>
      </w:r>
      <w:proofErr w:type="spellEnd"/>
      <w:r w:rsidRPr="00D70FCC">
        <w:rPr>
          <w:rFonts w:ascii="Times New Roman" w:hAnsi="Times New Roman" w:cs="Times New Roman"/>
          <w:b/>
          <w:sz w:val="22"/>
          <w:szCs w:val="22"/>
          <w:lang w:val="en-GB"/>
        </w:rPr>
        <w:t xml:space="preserve"> (CRDH) Master’s program on human rights and humanitarian law:</w:t>
      </w:r>
    </w:p>
    <w:p w14:paraId="22D01E3D" w14:textId="77777777" w:rsidR="00A81B56" w:rsidRPr="00D70FCC" w:rsidRDefault="00A81B56" w:rsidP="00D70FCC">
      <w:pPr>
        <w:pStyle w:val="NoSpacing"/>
        <w:jc w:val="both"/>
        <w:rPr>
          <w:rFonts w:ascii="Times New Roman" w:hAnsi="Times New Roman" w:cs="Times New Roman"/>
          <w:sz w:val="22"/>
          <w:szCs w:val="22"/>
          <w:lang w:val="en-GB"/>
        </w:rPr>
      </w:pPr>
    </w:p>
    <w:p w14:paraId="2524E008" w14:textId="77777777" w:rsidR="00A81B56" w:rsidRPr="00D70FCC" w:rsidRDefault="00A81B56" w:rsidP="00D70FCC">
      <w:pPr>
        <w:pStyle w:val="NoSpacing"/>
        <w:jc w:val="both"/>
        <w:rPr>
          <w:rFonts w:ascii="Times New Roman" w:hAnsi="Times New Roman" w:cs="Times New Roman"/>
          <w:sz w:val="22"/>
          <w:szCs w:val="22"/>
          <w:lang w:val="en-GB"/>
        </w:rPr>
      </w:pPr>
      <w:r w:rsidRPr="00D70FCC">
        <w:rPr>
          <w:rFonts w:ascii="Times New Roman" w:hAnsi="Times New Roman" w:cs="Times New Roman"/>
          <w:b/>
          <w:sz w:val="22"/>
          <w:szCs w:val="22"/>
          <w:lang w:val="en-GB"/>
        </w:rPr>
        <w:t xml:space="preserve">Elsa </w:t>
      </w:r>
      <w:proofErr w:type="spellStart"/>
      <w:r w:rsidRPr="00D70FCC">
        <w:rPr>
          <w:rFonts w:ascii="Times New Roman" w:hAnsi="Times New Roman" w:cs="Times New Roman"/>
          <w:b/>
          <w:sz w:val="22"/>
          <w:szCs w:val="22"/>
          <w:lang w:val="en-GB"/>
        </w:rPr>
        <w:t>Bohne</w:t>
      </w:r>
      <w:proofErr w:type="spellEnd"/>
      <w:r w:rsidRPr="00D70FCC">
        <w:rPr>
          <w:rFonts w:ascii="Times New Roman" w:hAnsi="Times New Roman" w:cs="Times New Roman"/>
          <w:sz w:val="22"/>
          <w:szCs w:val="22"/>
          <w:lang w:val="en-GB"/>
        </w:rPr>
        <w:t xml:space="preserve"> </w:t>
      </w:r>
      <w:r w:rsidR="00595F43" w:rsidRPr="00D70FCC">
        <w:rPr>
          <w:rFonts w:ascii="Times New Roman" w:hAnsi="Times New Roman" w:cs="Times New Roman"/>
          <w:sz w:val="22"/>
          <w:szCs w:val="22"/>
          <w:lang w:val="en-GB"/>
        </w:rPr>
        <w:t xml:space="preserve">graduated from the Diploma in Legal Studies </w:t>
      </w:r>
      <w:r w:rsidR="00D25130" w:rsidRPr="00D70FCC">
        <w:rPr>
          <w:rFonts w:ascii="Times New Roman" w:hAnsi="Times New Roman" w:cs="Times New Roman"/>
          <w:sz w:val="22"/>
          <w:szCs w:val="22"/>
          <w:lang w:val="en-GB"/>
        </w:rPr>
        <w:t>at the University of Oxford and from a Master’s degree in Comparative Law</w:t>
      </w:r>
      <w:r w:rsidR="00CC6499" w:rsidRPr="00D70FCC">
        <w:rPr>
          <w:rFonts w:ascii="Times New Roman" w:hAnsi="Times New Roman" w:cs="Times New Roman"/>
          <w:sz w:val="22"/>
          <w:szCs w:val="22"/>
          <w:lang w:val="en-GB"/>
        </w:rPr>
        <w:t xml:space="preserve"> at </w:t>
      </w:r>
      <w:r w:rsidR="000E6556" w:rsidRPr="00D70FCC">
        <w:rPr>
          <w:rFonts w:ascii="Times New Roman" w:hAnsi="Times New Roman" w:cs="Times New Roman"/>
          <w:sz w:val="22"/>
          <w:szCs w:val="22"/>
          <w:lang w:val="en-GB"/>
        </w:rPr>
        <w:t>Paris II-</w:t>
      </w:r>
      <w:proofErr w:type="spellStart"/>
      <w:r w:rsidR="000E6556" w:rsidRPr="00D70FCC">
        <w:rPr>
          <w:rFonts w:ascii="Times New Roman" w:hAnsi="Times New Roman" w:cs="Times New Roman"/>
          <w:sz w:val="22"/>
          <w:szCs w:val="22"/>
          <w:lang w:val="en-GB"/>
        </w:rPr>
        <w:t>Panthéon</w:t>
      </w:r>
      <w:proofErr w:type="spellEnd"/>
      <w:r w:rsidR="000E6556" w:rsidRPr="00D70FCC">
        <w:rPr>
          <w:rFonts w:ascii="Times New Roman" w:hAnsi="Times New Roman" w:cs="Times New Roman"/>
          <w:sz w:val="22"/>
          <w:szCs w:val="22"/>
          <w:lang w:val="en-GB"/>
        </w:rPr>
        <w:t xml:space="preserve"> </w:t>
      </w:r>
      <w:proofErr w:type="spellStart"/>
      <w:r w:rsidR="000E6556" w:rsidRPr="00D70FCC">
        <w:rPr>
          <w:rFonts w:ascii="Times New Roman" w:hAnsi="Times New Roman" w:cs="Times New Roman"/>
          <w:sz w:val="22"/>
          <w:szCs w:val="22"/>
          <w:lang w:val="en-GB"/>
        </w:rPr>
        <w:t>Assas</w:t>
      </w:r>
      <w:proofErr w:type="spellEnd"/>
      <w:r w:rsidR="00D25130" w:rsidRPr="00D70FCC">
        <w:rPr>
          <w:rFonts w:ascii="Times New Roman" w:hAnsi="Times New Roman" w:cs="Times New Roman"/>
          <w:sz w:val="22"/>
          <w:szCs w:val="22"/>
          <w:lang w:val="en-GB"/>
        </w:rPr>
        <w:t>. She completed an internship at the Crimes against humanity and war crimes section of the National Anti-Terrorist Prosecutor Bureau</w:t>
      </w:r>
      <w:r w:rsidR="002714F4">
        <w:rPr>
          <w:rFonts w:ascii="Times New Roman" w:hAnsi="Times New Roman" w:cs="Times New Roman"/>
          <w:sz w:val="22"/>
          <w:szCs w:val="22"/>
          <w:lang w:val="en-GB"/>
        </w:rPr>
        <w:t xml:space="preserve"> (Paris)</w:t>
      </w:r>
      <w:r w:rsidR="00D25130" w:rsidRPr="00D70FCC">
        <w:rPr>
          <w:rFonts w:ascii="Times New Roman" w:hAnsi="Times New Roman" w:cs="Times New Roman"/>
          <w:sz w:val="22"/>
          <w:szCs w:val="22"/>
          <w:lang w:val="en-GB"/>
        </w:rPr>
        <w:t xml:space="preserve">, and is currently interning </w:t>
      </w:r>
      <w:r w:rsidR="002714F4">
        <w:rPr>
          <w:rFonts w:ascii="Times New Roman" w:hAnsi="Times New Roman" w:cs="Times New Roman"/>
          <w:sz w:val="22"/>
          <w:szCs w:val="22"/>
          <w:lang w:val="en-GB"/>
        </w:rPr>
        <w:t>a</w:t>
      </w:r>
      <w:r w:rsidR="00D25130" w:rsidRPr="00D70FCC">
        <w:rPr>
          <w:rFonts w:ascii="Times New Roman" w:hAnsi="Times New Roman" w:cs="Times New Roman"/>
          <w:sz w:val="22"/>
          <w:szCs w:val="22"/>
          <w:lang w:val="en-GB"/>
        </w:rPr>
        <w:t>t the International League against Racism and Anti-Semitism (</w:t>
      </w:r>
      <w:proofErr w:type="spellStart"/>
      <w:r w:rsidR="00D25130" w:rsidRPr="00D70FCC">
        <w:rPr>
          <w:rFonts w:ascii="Times New Roman" w:hAnsi="Times New Roman" w:cs="Times New Roman"/>
          <w:sz w:val="22"/>
          <w:szCs w:val="22"/>
          <w:lang w:val="en-GB"/>
        </w:rPr>
        <w:t>Licra</w:t>
      </w:r>
      <w:proofErr w:type="spellEnd"/>
      <w:r w:rsidR="00D25130" w:rsidRPr="00D70FCC">
        <w:rPr>
          <w:rFonts w:ascii="Times New Roman" w:hAnsi="Times New Roman" w:cs="Times New Roman"/>
          <w:sz w:val="22"/>
          <w:szCs w:val="22"/>
          <w:lang w:val="en-GB"/>
        </w:rPr>
        <w:t xml:space="preserve">). </w:t>
      </w:r>
    </w:p>
    <w:p w14:paraId="12B34C87" w14:textId="77777777" w:rsidR="00A81B56" w:rsidRPr="00D70FCC" w:rsidRDefault="00A81B56" w:rsidP="00D70FCC">
      <w:pPr>
        <w:pStyle w:val="NoSpacing"/>
        <w:jc w:val="both"/>
        <w:rPr>
          <w:rFonts w:ascii="Times New Roman" w:hAnsi="Times New Roman" w:cs="Times New Roman"/>
          <w:sz w:val="22"/>
          <w:szCs w:val="22"/>
          <w:highlight w:val="yellow"/>
          <w:lang w:val="en-GB"/>
        </w:rPr>
      </w:pPr>
    </w:p>
    <w:p w14:paraId="038BA4AC" w14:textId="77777777" w:rsidR="00A81B56" w:rsidRPr="00B728B1" w:rsidRDefault="00A81B56" w:rsidP="00D70FCC">
      <w:pPr>
        <w:pStyle w:val="NoSpacing"/>
        <w:jc w:val="both"/>
        <w:rPr>
          <w:rFonts w:ascii="Times New Roman" w:hAnsi="Times New Roman" w:cs="Times New Roman"/>
          <w:sz w:val="22"/>
          <w:szCs w:val="22"/>
          <w:lang w:val="en-GB"/>
        </w:rPr>
      </w:pPr>
      <w:r w:rsidRPr="00B728B1">
        <w:rPr>
          <w:rFonts w:ascii="Times New Roman" w:hAnsi="Times New Roman" w:cs="Times New Roman"/>
          <w:b/>
          <w:sz w:val="22"/>
          <w:szCs w:val="22"/>
          <w:lang w:val="en-GB"/>
        </w:rPr>
        <w:t xml:space="preserve">Anna </w:t>
      </w:r>
      <w:proofErr w:type="spellStart"/>
      <w:r w:rsidRPr="00B728B1">
        <w:rPr>
          <w:rFonts w:ascii="Times New Roman" w:hAnsi="Times New Roman" w:cs="Times New Roman"/>
          <w:b/>
          <w:sz w:val="22"/>
          <w:szCs w:val="22"/>
          <w:lang w:val="en-GB"/>
        </w:rPr>
        <w:t>Hertkorn</w:t>
      </w:r>
      <w:proofErr w:type="spellEnd"/>
      <w:r w:rsidR="00B728B1" w:rsidRPr="00B728B1">
        <w:rPr>
          <w:rFonts w:ascii="Times New Roman" w:hAnsi="Times New Roman" w:cs="Times New Roman"/>
          <w:sz w:val="22"/>
          <w:szCs w:val="22"/>
          <w:lang w:val="en-GB"/>
        </w:rPr>
        <w:t xml:space="preserve"> graduated from a Master’s degree in Hum</w:t>
      </w:r>
      <w:r w:rsidR="00B728B1">
        <w:rPr>
          <w:rFonts w:ascii="Times New Roman" w:hAnsi="Times New Roman" w:cs="Times New Roman"/>
          <w:sz w:val="22"/>
          <w:szCs w:val="22"/>
          <w:lang w:val="en-GB"/>
        </w:rPr>
        <w:t>an Rights at University of St</w:t>
      </w:r>
      <w:r w:rsidR="00B728B1" w:rsidRPr="00B728B1">
        <w:rPr>
          <w:rFonts w:ascii="Times New Roman" w:hAnsi="Times New Roman" w:cs="Times New Roman"/>
          <w:sz w:val="22"/>
          <w:szCs w:val="22"/>
          <w:lang w:val="en-GB"/>
        </w:rPr>
        <w:t>r</w:t>
      </w:r>
      <w:r w:rsidR="00B728B1">
        <w:rPr>
          <w:rFonts w:ascii="Times New Roman" w:hAnsi="Times New Roman" w:cs="Times New Roman"/>
          <w:sz w:val="22"/>
          <w:szCs w:val="22"/>
          <w:lang w:val="en-GB"/>
        </w:rPr>
        <w:t>a</w:t>
      </w:r>
      <w:r w:rsidR="00B728B1" w:rsidRPr="00B728B1">
        <w:rPr>
          <w:rFonts w:ascii="Times New Roman" w:hAnsi="Times New Roman" w:cs="Times New Roman"/>
          <w:sz w:val="22"/>
          <w:szCs w:val="22"/>
          <w:lang w:val="en-GB"/>
        </w:rPr>
        <w:t>sbourg. She is a clinician at Strasbourg’</w:t>
      </w:r>
      <w:r w:rsidR="00B728B1">
        <w:rPr>
          <w:rFonts w:ascii="Times New Roman" w:hAnsi="Times New Roman" w:cs="Times New Roman"/>
          <w:sz w:val="22"/>
          <w:szCs w:val="22"/>
          <w:lang w:val="en-GB"/>
        </w:rPr>
        <w:t>s International Institut</w:t>
      </w:r>
      <w:r w:rsidR="00B728B1" w:rsidRPr="00B728B1">
        <w:rPr>
          <w:rFonts w:ascii="Times New Roman" w:hAnsi="Times New Roman" w:cs="Times New Roman"/>
          <w:sz w:val="22"/>
          <w:szCs w:val="22"/>
          <w:lang w:val="en-GB"/>
        </w:rPr>
        <w:t xml:space="preserve">e for Human rights. She is </w:t>
      </w:r>
      <w:r w:rsidR="00B728B1">
        <w:rPr>
          <w:rFonts w:ascii="Times New Roman" w:hAnsi="Times New Roman" w:cs="Times New Roman"/>
          <w:sz w:val="22"/>
          <w:szCs w:val="22"/>
          <w:lang w:val="en-GB"/>
        </w:rPr>
        <w:t>currently</w:t>
      </w:r>
      <w:r w:rsidR="00B728B1" w:rsidRPr="00B728B1">
        <w:rPr>
          <w:rFonts w:ascii="Times New Roman" w:hAnsi="Times New Roman" w:cs="Times New Roman"/>
          <w:sz w:val="22"/>
          <w:szCs w:val="22"/>
          <w:lang w:val="en-GB"/>
        </w:rPr>
        <w:t xml:space="preserve"> specializing in</w:t>
      </w:r>
      <w:r w:rsidR="00B728B1">
        <w:rPr>
          <w:rFonts w:ascii="Times New Roman" w:hAnsi="Times New Roman" w:cs="Times New Roman"/>
          <w:sz w:val="22"/>
          <w:szCs w:val="22"/>
          <w:lang w:val="en-GB"/>
        </w:rPr>
        <w:t xml:space="preserve"> the topic of “Gender and Human rights” by writing a Master’s thesis.</w:t>
      </w:r>
    </w:p>
    <w:p w14:paraId="1F3914DB" w14:textId="77777777" w:rsidR="00B728B1" w:rsidRDefault="00B728B1" w:rsidP="00D70FCC">
      <w:pPr>
        <w:pStyle w:val="NoSpacing"/>
        <w:jc w:val="both"/>
        <w:rPr>
          <w:rFonts w:ascii="Times New Roman" w:hAnsi="Times New Roman" w:cs="Times New Roman"/>
          <w:sz w:val="22"/>
          <w:szCs w:val="22"/>
          <w:highlight w:val="yellow"/>
          <w:lang w:val="en-GB"/>
        </w:rPr>
      </w:pPr>
    </w:p>
    <w:p w14:paraId="6BE1DC24" w14:textId="77777777" w:rsidR="000E6556" w:rsidRPr="00D70FCC" w:rsidRDefault="00A81B56" w:rsidP="00D70FCC">
      <w:pPr>
        <w:pStyle w:val="NoSpacing"/>
        <w:jc w:val="both"/>
        <w:rPr>
          <w:rFonts w:ascii="Times New Roman" w:hAnsi="Times New Roman" w:cs="Times New Roman"/>
          <w:sz w:val="22"/>
          <w:szCs w:val="22"/>
          <w:lang w:val="en-GB"/>
        </w:rPr>
      </w:pPr>
      <w:proofErr w:type="spellStart"/>
      <w:r w:rsidRPr="00D70FCC">
        <w:rPr>
          <w:rFonts w:ascii="Times New Roman" w:hAnsi="Times New Roman" w:cs="Times New Roman"/>
          <w:b/>
          <w:sz w:val="22"/>
          <w:szCs w:val="22"/>
          <w:lang w:val="en-GB"/>
        </w:rPr>
        <w:t>Roula</w:t>
      </w:r>
      <w:proofErr w:type="spellEnd"/>
      <w:r w:rsidRPr="00D70FCC">
        <w:rPr>
          <w:rFonts w:ascii="Times New Roman" w:hAnsi="Times New Roman" w:cs="Times New Roman"/>
          <w:b/>
          <w:sz w:val="22"/>
          <w:szCs w:val="22"/>
          <w:lang w:val="en-GB"/>
        </w:rPr>
        <w:t xml:space="preserve"> </w:t>
      </w:r>
      <w:proofErr w:type="spellStart"/>
      <w:r w:rsidRPr="00D70FCC">
        <w:rPr>
          <w:rFonts w:ascii="Times New Roman" w:hAnsi="Times New Roman" w:cs="Times New Roman"/>
          <w:b/>
          <w:sz w:val="22"/>
          <w:szCs w:val="22"/>
          <w:lang w:val="en-GB"/>
        </w:rPr>
        <w:t>Mamlouk</w:t>
      </w:r>
      <w:proofErr w:type="spellEnd"/>
      <w:r w:rsidRPr="00D70FCC">
        <w:rPr>
          <w:rFonts w:ascii="Times New Roman" w:hAnsi="Times New Roman" w:cs="Times New Roman"/>
          <w:sz w:val="22"/>
          <w:szCs w:val="22"/>
          <w:lang w:val="en-GB"/>
        </w:rPr>
        <w:t xml:space="preserve"> </w:t>
      </w:r>
      <w:r w:rsidR="000E6556" w:rsidRPr="00D70FCC">
        <w:rPr>
          <w:rFonts w:ascii="Times New Roman" w:hAnsi="Times New Roman" w:cs="Times New Roman"/>
          <w:sz w:val="22"/>
          <w:szCs w:val="22"/>
          <w:lang w:val="en-GB"/>
        </w:rPr>
        <w:t>graduated from a Master’s degree in Public International Law at Paris II-</w:t>
      </w:r>
      <w:proofErr w:type="spellStart"/>
      <w:r w:rsidR="000E6556" w:rsidRPr="00D70FCC">
        <w:rPr>
          <w:rFonts w:ascii="Times New Roman" w:hAnsi="Times New Roman" w:cs="Times New Roman"/>
          <w:sz w:val="22"/>
          <w:szCs w:val="22"/>
          <w:lang w:val="en-GB"/>
        </w:rPr>
        <w:t>Panthéon</w:t>
      </w:r>
      <w:proofErr w:type="spellEnd"/>
      <w:r w:rsidR="000E6556" w:rsidRPr="00D70FCC">
        <w:rPr>
          <w:rFonts w:ascii="Times New Roman" w:hAnsi="Times New Roman" w:cs="Times New Roman"/>
          <w:sz w:val="22"/>
          <w:szCs w:val="22"/>
          <w:lang w:val="en-GB"/>
        </w:rPr>
        <w:t xml:space="preserve"> </w:t>
      </w:r>
      <w:proofErr w:type="spellStart"/>
      <w:r w:rsidR="000E6556" w:rsidRPr="00D70FCC">
        <w:rPr>
          <w:rFonts w:ascii="Times New Roman" w:hAnsi="Times New Roman" w:cs="Times New Roman"/>
          <w:sz w:val="22"/>
          <w:szCs w:val="22"/>
          <w:lang w:val="en-GB"/>
        </w:rPr>
        <w:t>Assas</w:t>
      </w:r>
      <w:proofErr w:type="spellEnd"/>
      <w:r w:rsidR="000E6556" w:rsidRPr="00D70FCC">
        <w:rPr>
          <w:rFonts w:ascii="Times New Roman" w:hAnsi="Times New Roman" w:cs="Times New Roman"/>
          <w:sz w:val="22"/>
          <w:szCs w:val="22"/>
          <w:lang w:val="en-GB"/>
        </w:rPr>
        <w:t>. She completed an inter</w:t>
      </w:r>
      <w:r w:rsidR="00D4472C" w:rsidRPr="00D70FCC">
        <w:rPr>
          <w:rFonts w:ascii="Times New Roman" w:hAnsi="Times New Roman" w:cs="Times New Roman"/>
          <w:sz w:val="22"/>
          <w:szCs w:val="22"/>
          <w:lang w:val="en-GB"/>
        </w:rPr>
        <w:t>n</w:t>
      </w:r>
      <w:r w:rsidR="000E6556" w:rsidRPr="00D70FCC">
        <w:rPr>
          <w:rFonts w:ascii="Times New Roman" w:hAnsi="Times New Roman" w:cs="Times New Roman"/>
          <w:sz w:val="22"/>
          <w:szCs w:val="22"/>
          <w:lang w:val="en-GB"/>
        </w:rPr>
        <w:t xml:space="preserve">ship at UNICEF Lebanon and at the </w:t>
      </w:r>
      <w:r w:rsidR="00D4472C" w:rsidRPr="00D70FCC">
        <w:rPr>
          <w:rFonts w:ascii="Times New Roman" w:hAnsi="Times New Roman" w:cs="Times New Roman"/>
          <w:sz w:val="22"/>
          <w:szCs w:val="22"/>
          <w:lang w:val="en-GB"/>
        </w:rPr>
        <w:t xml:space="preserve">office of the UN Special Coordinator for Lebanon (UNSCOL). </w:t>
      </w:r>
    </w:p>
    <w:p w14:paraId="52C72EF6" w14:textId="77777777" w:rsidR="00A81B56" w:rsidRPr="00D70FCC" w:rsidRDefault="00A81B56" w:rsidP="00D70FCC">
      <w:pPr>
        <w:pStyle w:val="NoSpacing"/>
        <w:jc w:val="both"/>
        <w:rPr>
          <w:rFonts w:ascii="Times New Roman" w:hAnsi="Times New Roman" w:cs="Times New Roman"/>
          <w:sz w:val="22"/>
          <w:szCs w:val="22"/>
          <w:highlight w:val="yellow"/>
          <w:lang w:val="en-GB"/>
        </w:rPr>
      </w:pPr>
    </w:p>
    <w:p w14:paraId="3E618422" w14:textId="77777777" w:rsidR="00B114DA" w:rsidRPr="00D70FCC" w:rsidRDefault="00A81B56" w:rsidP="00D70FCC">
      <w:pPr>
        <w:pStyle w:val="NoSpacing"/>
        <w:jc w:val="both"/>
        <w:rPr>
          <w:rFonts w:ascii="Times New Roman" w:hAnsi="Times New Roman" w:cs="Times New Roman"/>
          <w:sz w:val="22"/>
          <w:szCs w:val="22"/>
          <w:lang w:val="en-GB"/>
        </w:rPr>
      </w:pPr>
      <w:r w:rsidRPr="00D70FCC">
        <w:rPr>
          <w:rFonts w:ascii="Times New Roman" w:hAnsi="Times New Roman" w:cs="Times New Roman"/>
          <w:b/>
          <w:sz w:val="22"/>
          <w:szCs w:val="22"/>
          <w:lang w:val="en-GB"/>
        </w:rPr>
        <w:t xml:space="preserve">Alena </w:t>
      </w:r>
      <w:proofErr w:type="spellStart"/>
      <w:r w:rsidRPr="00D70FCC">
        <w:rPr>
          <w:rFonts w:ascii="Times New Roman" w:hAnsi="Times New Roman" w:cs="Times New Roman"/>
          <w:b/>
          <w:sz w:val="22"/>
          <w:szCs w:val="22"/>
          <w:lang w:val="en-GB"/>
        </w:rPr>
        <w:t>Vasilchenko</w:t>
      </w:r>
      <w:proofErr w:type="spellEnd"/>
      <w:r w:rsidRPr="00D70FCC">
        <w:rPr>
          <w:rFonts w:ascii="Times New Roman" w:hAnsi="Times New Roman" w:cs="Times New Roman"/>
          <w:sz w:val="22"/>
          <w:szCs w:val="22"/>
          <w:lang w:val="en-GB"/>
        </w:rPr>
        <w:t xml:space="preserve"> </w:t>
      </w:r>
      <w:r w:rsidR="00D4472C" w:rsidRPr="00D70FCC">
        <w:rPr>
          <w:rFonts w:ascii="Times New Roman" w:hAnsi="Times New Roman" w:cs="Times New Roman"/>
          <w:sz w:val="22"/>
          <w:szCs w:val="22"/>
          <w:lang w:val="en-GB"/>
        </w:rPr>
        <w:t xml:space="preserve">graduated from the Moscow State Institute of International Relations (MGIMO University). She completed an internship at Amnesty International in Moscow. She is currently interning at the International Federation for Human Rights in Paris. </w:t>
      </w:r>
    </w:p>
    <w:sectPr w:rsidR="00B114DA" w:rsidRPr="00D70FCC">
      <w:headerReference w:type="even" r:id="rId8"/>
      <w:headerReference w:type="default" r:id="rId9"/>
      <w:footerReference w:type="even" r:id="rId10"/>
      <w:footerReference w:type="default" r:id="rId11"/>
      <w:headerReference w:type="first" r:id="rId12"/>
      <w:footerReference w:type="first" r:id="rId13"/>
      <w:pgSz w:w="11900" w:h="16840"/>
      <w:pgMar w:top="1418" w:right="1418" w:bottom="1418"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9EFF1" w14:textId="77777777" w:rsidR="00537C83" w:rsidRDefault="00537C83" w:rsidP="00A81B56">
      <w:r>
        <w:separator/>
      </w:r>
    </w:p>
  </w:endnote>
  <w:endnote w:type="continuationSeparator" w:id="0">
    <w:p w14:paraId="78457245" w14:textId="77777777" w:rsidR="00537C83" w:rsidRDefault="00537C83" w:rsidP="00A81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6CA32" w14:textId="77777777" w:rsidR="008C03F7" w:rsidRDefault="008C03F7">
    <w:pPr>
      <w:pStyle w:val="Normal1"/>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2FADE" w14:textId="083A8C83" w:rsidR="008C03F7" w:rsidRDefault="008C03F7">
    <w:pPr>
      <w:pStyle w:val="Normal1"/>
      <w:jc w:val="right"/>
    </w:pPr>
    <w:r>
      <w:fldChar w:fldCharType="begin"/>
    </w:r>
    <w:r>
      <w:instrText>PAGE</w:instrText>
    </w:r>
    <w:r>
      <w:fldChar w:fldCharType="separate"/>
    </w:r>
    <w:r w:rsidR="00A32199">
      <w:rPr>
        <w:noProof/>
      </w:rPr>
      <w:t>10</w:t>
    </w:r>
    <w:r>
      <w:fldChar w:fldCharType="end"/>
    </w:r>
  </w:p>
  <w:p w14:paraId="468ECEFF" w14:textId="77777777" w:rsidR="008C03F7" w:rsidRDefault="008C03F7">
    <w:pPr>
      <w:pStyle w:val="Normal1"/>
      <w:widowControl w:val="0"/>
      <w:pBdr>
        <w:top w:val="nil"/>
        <w:left w:val="nil"/>
        <w:bottom w:val="nil"/>
        <w:right w:val="nil"/>
        <w:between w:val="nil"/>
      </w:pBdr>
      <w:spacing w:line="276" w:lineRule="auto"/>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6A18D" w14:textId="495BEB97" w:rsidR="008C03F7" w:rsidRDefault="008C03F7">
    <w:pPr>
      <w:pStyle w:val="Normal1"/>
      <w:jc w:val="right"/>
    </w:pPr>
    <w:r>
      <w:fldChar w:fldCharType="begin"/>
    </w:r>
    <w:r>
      <w:instrText>PAGE</w:instrText>
    </w:r>
    <w:r>
      <w:fldChar w:fldCharType="separate"/>
    </w:r>
    <w:r w:rsidR="00A32199">
      <w:rPr>
        <w:noProof/>
      </w:rPr>
      <w:t>1</w:t>
    </w:r>
    <w:r>
      <w:fldChar w:fldCharType="end"/>
    </w:r>
  </w:p>
  <w:p w14:paraId="4C406554" w14:textId="77777777" w:rsidR="008C03F7" w:rsidRDefault="008C03F7">
    <w:pPr>
      <w:pStyle w:val="Normal1"/>
      <w:widowControl w:val="0"/>
      <w:pBdr>
        <w:top w:val="nil"/>
        <w:left w:val="nil"/>
        <w:bottom w:val="nil"/>
        <w:right w:val="nil"/>
        <w:between w:val="nil"/>
      </w:pBdr>
      <w:spacing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75165" w14:textId="77777777" w:rsidR="00537C83" w:rsidRDefault="00537C83" w:rsidP="00A81B56">
      <w:r>
        <w:separator/>
      </w:r>
    </w:p>
  </w:footnote>
  <w:footnote w:type="continuationSeparator" w:id="0">
    <w:p w14:paraId="47F2B63B" w14:textId="77777777" w:rsidR="00537C83" w:rsidRDefault="00537C83" w:rsidP="00A81B56">
      <w:r>
        <w:continuationSeparator/>
      </w:r>
    </w:p>
  </w:footnote>
  <w:footnote w:id="1">
    <w:p w14:paraId="44399398" w14:textId="77777777" w:rsidR="008C03F7" w:rsidRPr="00B114DA" w:rsidRDefault="008C03F7" w:rsidP="00B114DA">
      <w:pPr>
        <w:pStyle w:val="NoSpacing"/>
        <w:jc w:val="both"/>
        <w:rPr>
          <w:rFonts w:ascii="Times New Roman" w:hAnsi="Times New Roman" w:cs="Times New Roman"/>
          <w:sz w:val="18"/>
          <w:szCs w:val="18"/>
        </w:rPr>
      </w:pPr>
      <w:r w:rsidRPr="00B114DA">
        <w:rPr>
          <w:rFonts w:ascii="Times New Roman" w:hAnsi="Times New Roman" w:cs="Times New Roman"/>
          <w:sz w:val="18"/>
          <w:szCs w:val="18"/>
          <w:vertAlign w:val="superscript"/>
        </w:rPr>
        <w:footnoteRef/>
      </w:r>
      <w:r w:rsidRPr="00B114DA">
        <w:rPr>
          <w:rFonts w:ascii="Times New Roman" w:hAnsi="Times New Roman" w:cs="Times New Roman"/>
          <w:sz w:val="18"/>
          <w:szCs w:val="18"/>
        </w:rPr>
        <w:t xml:space="preserve"> </w:t>
      </w:r>
      <w:proofErr w:type="spellStart"/>
      <w:r w:rsidRPr="00B114DA">
        <w:rPr>
          <w:rFonts w:ascii="Times New Roman" w:hAnsi="Times New Roman" w:cs="Times New Roman"/>
          <w:sz w:val="18"/>
          <w:szCs w:val="18"/>
        </w:rPr>
        <w:t>Students</w:t>
      </w:r>
      <w:proofErr w:type="spellEnd"/>
      <w:r w:rsidRPr="00B114DA">
        <w:rPr>
          <w:rFonts w:ascii="Times New Roman" w:hAnsi="Times New Roman" w:cs="Times New Roman"/>
          <w:sz w:val="18"/>
          <w:szCs w:val="18"/>
        </w:rPr>
        <w:t xml:space="preserve"> of the University Panthéon-Assas Paris II / Paris Human Rights Center (CRDH) </w:t>
      </w:r>
      <w:proofErr w:type="spellStart"/>
      <w:r w:rsidRPr="00B114DA">
        <w:rPr>
          <w:rFonts w:ascii="Times New Roman" w:hAnsi="Times New Roman" w:cs="Times New Roman"/>
          <w:sz w:val="18"/>
          <w:szCs w:val="18"/>
        </w:rPr>
        <w:t>Master’s</w:t>
      </w:r>
      <w:proofErr w:type="spellEnd"/>
      <w:r w:rsidRPr="00B114DA">
        <w:rPr>
          <w:rFonts w:ascii="Times New Roman" w:hAnsi="Times New Roman" w:cs="Times New Roman"/>
          <w:sz w:val="18"/>
          <w:szCs w:val="18"/>
        </w:rPr>
        <w:t xml:space="preserve"> program on </w:t>
      </w:r>
      <w:proofErr w:type="spellStart"/>
      <w:r w:rsidRPr="00B114DA">
        <w:rPr>
          <w:rFonts w:ascii="Times New Roman" w:hAnsi="Times New Roman" w:cs="Times New Roman"/>
          <w:sz w:val="18"/>
          <w:szCs w:val="18"/>
        </w:rPr>
        <w:t>human</w:t>
      </w:r>
      <w:proofErr w:type="spellEnd"/>
      <w:r w:rsidRPr="00B114DA">
        <w:rPr>
          <w:rFonts w:ascii="Times New Roman" w:hAnsi="Times New Roman" w:cs="Times New Roman"/>
          <w:sz w:val="18"/>
          <w:szCs w:val="18"/>
        </w:rPr>
        <w:t xml:space="preserve"> </w:t>
      </w:r>
      <w:proofErr w:type="spellStart"/>
      <w:r w:rsidRPr="00B114DA">
        <w:rPr>
          <w:rFonts w:ascii="Times New Roman" w:hAnsi="Times New Roman" w:cs="Times New Roman"/>
          <w:sz w:val="18"/>
          <w:szCs w:val="18"/>
        </w:rPr>
        <w:t>rights</w:t>
      </w:r>
      <w:proofErr w:type="spellEnd"/>
      <w:r w:rsidRPr="00B114DA">
        <w:rPr>
          <w:rFonts w:ascii="Times New Roman" w:hAnsi="Times New Roman" w:cs="Times New Roman"/>
          <w:sz w:val="18"/>
          <w:szCs w:val="18"/>
        </w:rPr>
        <w:t xml:space="preserve"> and </w:t>
      </w:r>
      <w:proofErr w:type="spellStart"/>
      <w:r w:rsidRPr="00B114DA">
        <w:rPr>
          <w:rFonts w:ascii="Times New Roman" w:hAnsi="Times New Roman" w:cs="Times New Roman"/>
          <w:sz w:val="18"/>
          <w:szCs w:val="18"/>
        </w:rPr>
        <w:t>humanitarian</w:t>
      </w:r>
      <w:proofErr w:type="spellEnd"/>
      <w:r w:rsidRPr="00B114DA">
        <w:rPr>
          <w:rFonts w:ascii="Times New Roman" w:hAnsi="Times New Roman" w:cs="Times New Roman"/>
          <w:sz w:val="18"/>
          <w:szCs w:val="18"/>
        </w:rPr>
        <w:t xml:space="preserve"> </w:t>
      </w:r>
      <w:proofErr w:type="spellStart"/>
      <w:r w:rsidRPr="00B114DA">
        <w:rPr>
          <w:rFonts w:ascii="Times New Roman" w:hAnsi="Times New Roman" w:cs="Times New Roman"/>
          <w:sz w:val="18"/>
          <w:szCs w:val="18"/>
        </w:rPr>
        <w:t>law</w:t>
      </w:r>
      <w:proofErr w:type="spellEnd"/>
      <w:r>
        <w:rPr>
          <w:rFonts w:ascii="Times New Roman" w:hAnsi="Times New Roman" w:cs="Times New Roman"/>
          <w:sz w:val="18"/>
          <w:szCs w:val="18"/>
        </w:rPr>
        <w:t>.</w:t>
      </w:r>
    </w:p>
  </w:footnote>
  <w:footnote w:id="2">
    <w:p w14:paraId="6FE0025C" w14:textId="77777777" w:rsidR="008C03F7" w:rsidRPr="00B114DA" w:rsidRDefault="008C03F7" w:rsidP="00373874">
      <w:pPr>
        <w:pStyle w:val="NoSpacing"/>
        <w:jc w:val="both"/>
        <w:rPr>
          <w:rFonts w:ascii="Times New Roman" w:hAnsi="Times New Roman" w:cs="Times New Roman"/>
          <w:color w:val="000000" w:themeColor="text1"/>
          <w:sz w:val="18"/>
          <w:szCs w:val="18"/>
          <w:lang w:val="en-US"/>
        </w:rPr>
      </w:pPr>
      <w:r w:rsidRPr="00F02988">
        <w:rPr>
          <w:rStyle w:val="FootnoteReference"/>
          <w:rFonts w:cs="Times New Roman"/>
          <w:color w:val="000000" w:themeColor="text1"/>
          <w:szCs w:val="18"/>
        </w:rPr>
        <w:footnoteRef/>
      </w:r>
      <w:r w:rsidRPr="00F02988">
        <w:rPr>
          <w:rFonts w:ascii="Times New Roman" w:hAnsi="Times New Roman" w:cs="Times New Roman"/>
          <w:color w:val="000000" w:themeColor="text1"/>
          <w:sz w:val="18"/>
          <w:szCs w:val="18"/>
        </w:rPr>
        <w:t xml:space="preserve"> </w:t>
      </w:r>
      <w:r w:rsidRPr="00B114DA">
        <w:rPr>
          <w:rFonts w:ascii="Times New Roman" w:hAnsi="Times New Roman" w:cs="Times New Roman"/>
          <w:color w:val="000000" w:themeColor="text1"/>
          <w:sz w:val="18"/>
          <w:szCs w:val="18"/>
          <w:lang w:val="en-GB"/>
        </w:rPr>
        <w:t xml:space="preserve">Office of the Special Rapporteur for Freedom of Expression of the Inter-America Commission on Human Rights, </w:t>
      </w:r>
      <w:r w:rsidRPr="00B114DA">
        <w:rPr>
          <w:rFonts w:ascii="Times New Roman" w:hAnsi="Times New Roman" w:cs="Times New Roman"/>
          <w:i/>
          <w:color w:val="000000" w:themeColor="text1"/>
          <w:sz w:val="18"/>
          <w:szCs w:val="18"/>
          <w:lang w:val="en-GB"/>
        </w:rPr>
        <w:t>Protest and Human Rights Standards on the rights involved in social protest and the obligations to guide the response of the State</w:t>
      </w:r>
      <w:r w:rsidRPr="00B114DA">
        <w:rPr>
          <w:rFonts w:ascii="Times New Roman" w:hAnsi="Times New Roman" w:cs="Times New Roman"/>
          <w:color w:val="000000" w:themeColor="text1"/>
          <w:sz w:val="18"/>
          <w:szCs w:val="18"/>
          <w:lang w:val="en-GB"/>
        </w:rPr>
        <w:t xml:space="preserve">, September 2019, para. 83-84: </w:t>
      </w:r>
      <w:hyperlink r:id="rId1" w:history="1">
        <w:r w:rsidRPr="00B114DA">
          <w:rPr>
            <w:rStyle w:val="Hyperlink"/>
            <w:rFonts w:ascii="Times New Roman" w:hAnsi="Times New Roman" w:cs="Times New Roman"/>
            <w:color w:val="000000" w:themeColor="text1"/>
            <w:sz w:val="18"/>
            <w:szCs w:val="18"/>
          </w:rPr>
          <w:t>http://www.oas.org/en/iachr/expression/publications/Protesta/ProtestHumanRights.pdf</w:t>
        </w:r>
      </w:hyperlink>
      <w:r w:rsidRPr="00B114DA">
        <w:rPr>
          <w:rFonts w:ascii="Times New Roman" w:hAnsi="Times New Roman" w:cs="Times New Roman"/>
          <w:color w:val="000000" w:themeColor="text1"/>
          <w:sz w:val="18"/>
          <w:szCs w:val="18"/>
        </w:rPr>
        <w:t xml:space="preserve">; </w:t>
      </w:r>
      <w:r w:rsidRPr="00B114DA">
        <w:rPr>
          <w:rFonts w:ascii="Times New Roman" w:hAnsi="Times New Roman" w:cs="Times New Roman"/>
          <w:color w:val="000000" w:themeColor="text1"/>
          <w:sz w:val="18"/>
          <w:szCs w:val="18"/>
          <w:lang w:val="en-US"/>
        </w:rPr>
        <w:t xml:space="preserve">Human Rights Council, </w:t>
      </w:r>
      <w:r w:rsidRPr="00B114DA">
        <w:rPr>
          <w:rFonts w:ascii="Times New Roman" w:hAnsi="Times New Roman" w:cs="Times New Roman"/>
          <w:i/>
          <w:iCs/>
          <w:color w:val="000000" w:themeColor="text1"/>
          <w:sz w:val="18"/>
          <w:szCs w:val="18"/>
          <w:lang w:val="en-US"/>
        </w:rPr>
        <w:t>Joint report of the Special Rapporteur on the rights to freedom of peaceful assembly and of association and the Special Rapporteur on extrajudicial, summary or arbitrary executions on the proper management of assemblies</w:t>
      </w:r>
      <w:r w:rsidRPr="00B114DA">
        <w:rPr>
          <w:rFonts w:ascii="Times New Roman" w:hAnsi="Times New Roman" w:cs="Times New Roman"/>
          <w:color w:val="000000" w:themeColor="text1"/>
          <w:sz w:val="18"/>
          <w:szCs w:val="18"/>
          <w:lang w:val="en-US"/>
        </w:rPr>
        <w:t xml:space="preserve">, A/HRC/31/66, 4 February 2016, para. 9; Statement by </w:t>
      </w:r>
      <w:proofErr w:type="spellStart"/>
      <w:r w:rsidRPr="00B114DA">
        <w:rPr>
          <w:rFonts w:ascii="Times New Roman" w:hAnsi="Times New Roman" w:cs="Times New Roman"/>
          <w:color w:val="000000" w:themeColor="text1"/>
          <w:sz w:val="18"/>
          <w:szCs w:val="18"/>
          <w:lang w:val="en-US"/>
        </w:rPr>
        <w:t>Maina</w:t>
      </w:r>
      <w:proofErr w:type="spellEnd"/>
      <w:r w:rsidRPr="00B114DA">
        <w:rPr>
          <w:rFonts w:ascii="Times New Roman" w:hAnsi="Times New Roman" w:cs="Times New Roman"/>
          <w:color w:val="000000" w:themeColor="text1"/>
          <w:sz w:val="18"/>
          <w:szCs w:val="18"/>
          <w:lang w:val="en-US"/>
        </w:rPr>
        <w:t xml:space="preserve"> </w:t>
      </w:r>
      <w:proofErr w:type="spellStart"/>
      <w:r w:rsidRPr="00B114DA">
        <w:rPr>
          <w:rFonts w:ascii="Times New Roman" w:hAnsi="Times New Roman" w:cs="Times New Roman"/>
          <w:color w:val="000000" w:themeColor="text1"/>
          <w:sz w:val="18"/>
          <w:szCs w:val="18"/>
          <w:lang w:val="en-US"/>
        </w:rPr>
        <w:t>Kiai</w:t>
      </w:r>
      <w:proofErr w:type="spellEnd"/>
      <w:r w:rsidRPr="00B114DA">
        <w:rPr>
          <w:rFonts w:ascii="Times New Roman" w:hAnsi="Times New Roman" w:cs="Times New Roman"/>
          <w:color w:val="000000" w:themeColor="text1"/>
          <w:sz w:val="18"/>
          <w:szCs w:val="18"/>
          <w:lang w:val="en-US"/>
        </w:rPr>
        <w:t xml:space="preserve">, United Nations Special Rapporteur on the rights to freedom of peaceful assembly and association, at the conclusion of his visit to the Republic of Chile, 30 September 2015; Amnesty International, </w:t>
      </w:r>
      <w:r w:rsidRPr="00B114DA">
        <w:rPr>
          <w:rFonts w:ascii="Times New Roman" w:hAnsi="Times New Roman" w:cs="Times New Roman"/>
          <w:i/>
          <w:color w:val="000000" w:themeColor="text1"/>
          <w:sz w:val="18"/>
          <w:szCs w:val="18"/>
          <w:lang w:val="en-US"/>
        </w:rPr>
        <w:t>Use of Force – Guidelines for Implementation of the UN Basic Principles on the Use of Force and Firearms by Law Enforcement Officials</w:t>
      </w:r>
      <w:r w:rsidRPr="00B114DA">
        <w:rPr>
          <w:rFonts w:ascii="Times New Roman" w:hAnsi="Times New Roman" w:cs="Times New Roman"/>
          <w:color w:val="000000" w:themeColor="text1"/>
          <w:sz w:val="18"/>
          <w:szCs w:val="18"/>
          <w:lang w:val="en-US"/>
        </w:rPr>
        <w:t xml:space="preserve">, p. 148 c) </w:t>
      </w:r>
    </w:p>
  </w:footnote>
  <w:footnote w:id="3">
    <w:p w14:paraId="7FC782F2" w14:textId="77777777" w:rsidR="008C03F7" w:rsidRPr="00B114DA" w:rsidRDefault="008C03F7" w:rsidP="00373874">
      <w:pPr>
        <w:pStyle w:val="NoSpacing"/>
        <w:jc w:val="both"/>
        <w:rPr>
          <w:rFonts w:ascii="Times New Roman" w:hAnsi="Times New Roman" w:cs="Times New Roman"/>
          <w:color w:val="000000" w:themeColor="text1"/>
          <w:sz w:val="18"/>
          <w:szCs w:val="18"/>
        </w:rPr>
      </w:pPr>
      <w:r w:rsidRPr="00F02988">
        <w:rPr>
          <w:rStyle w:val="FootnoteReference"/>
          <w:rFonts w:cs="Times New Roman"/>
          <w:color w:val="000000" w:themeColor="text1"/>
          <w:szCs w:val="18"/>
        </w:rPr>
        <w:footnoteRef/>
      </w:r>
      <w:r w:rsidRPr="00F02988">
        <w:rPr>
          <w:rFonts w:ascii="Times New Roman" w:hAnsi="Times New Roman" w:cs="Times New Roman"/>
          <w:color w:val="000000" w:themeColor="text1"/>
          <w:sz w:val="18"/>
          <w:szCs w:val="18"/>
        </w:rPr>
        <w:t xml:space="preserve"> </w:t>
      </w:r>
      <w:r w:rsidRPr="00B114DA">
        <w:rPr>
          <w:rFonts w:ascii="Times New Roman" w:hAnsi="Times New Roman" w:cs="Times New Roman"/>
          <w:color w:val="000000" w:themeColor="text1"/>
          <w:sz w:val="18"/>
          <w:szCs w:val="18"/>
        </w:rPr>
        <w:t xml:space="preserve">Office of the </w:t>
      </w:r>
      <w:proofErr w:type="spellStart"/>
      <w:r w:rsidRPr="00B114DA">
        <w:rPr>
          <w:rFonts w:ascii="Times New Roman" w:hAnsi="Times New Roman" w:cs="Times New Roman"/>
          <w:color w:val="000000" w:themeColor="text1"/>
          <w:sz w:val="18"/>
          <w:szCs w:val="18"/>
        </w:rPr>
        <w:t>Special</w:t>
      </w:r>
      <w:proofErr w:type="spellEnd"/>
      <w:r w:rsidRPr="00B114DA">
        <w:rPr>
          <w:rFonts w:ascii="Times New Roman" w:hAnsi="Times New Roman" w:cs="Times New Roman"/>
          <w:color w:val="000000" w:themeColor="text1"/>
          <w:sz w:val="18"/>
          <w:szCs w:val="18"/>
        </w:rPr>
        <w:t xml:space="preserve"> Rapporteur for </w:t>
      </w:r>
      <w:proofErr w:type="spellStart"/>
      <w:r w:rsidRPr="00B114DA">
        <w:rPr>
          <w:rFonts w:ascii="Times New Roman" w:hAnsi="Times New Roman" w:cs="Times New Roman"/>
          <w:color w:val="000000" w:themeColor="text1"/>
          <w:sz w:val="18"/>
          <w:szCs w:val="18"/>
        </w:rPr>
        <w:t>Freedom</w:t>
      </w:r>
      <w:proofErr w:type="spellEnd"/>
      <w:r w:rsidRPr="00B114DA">
        <w:rPr>
          <w:rFonts w:ascii="Times New Roman" w:hAnsi="Times New Roman" w:cs="Times New Roman"/>
          <w:color w:val="000000" w:themeColor="text1"/>
          <w:sz w:val="18"/>
          <w:szCs w:val="18"/>
        </w:rPr>
        <w:t xml:space="preserve"> Expression of the Inter-American Commission on Human Rights, </w:t>
      </w:r>
      <w:r w:rsidRPr="00B114DA">
        <w:rPr>
          <w:rFonts w:ascii="Times New Roman" w:hAnsi="Times New Roman" w:cs="Times New Roman"/>
          <w:i/>
          <w:color w:val="000000" w:themeColor="text1"/>
          <w:sz w:val="18"/>
          <w:szCs w:val="18"/>
        </w:rPr>
        <w:t xml:space="preserve">Report on </w:t>
      </w:r>
      <w:proofErr w:type="spellStart"/>
      <w:r w:rsidRPr="00B114DA">
        <w:rPr>
          <w:rFonts w:ascii="Times New Roman" w:hAnsi="Times New Roman" w:cs="Times New Roman"/>
          <w:i/>
          <w:color w:val="000000" w:themeColor="text1"/>
          <w:sz w:val="18"/>
          <w:szCs w:val="18"/>
        </w:rPr>
        <w:t>Protest</w:t>
      </w:r>
      <w:proofErr w:type="spellEnd"/>
      <w:r w:rsidRPr="00B114DA">
        <w:rPr>
          <w:rFonts w:ascii="Times New Roman" w:hAnsi="Times New Roman" w:cs="Times New Roman"/>
          <w:i/>
          <w:color w:val="000000" w:themeColor="text1"/>
          <w:sz w:val="18"/>
          <w:szCs w:val="18"/>
        </w:rPr>
        <w:t xml:space="preserve"> and Human Rights</w:t>
      </w:r>
      <w:r w:rsidRPr="00B114DA">
        <w:rPr>
          <w:rFonts w:ascii="Times New Roman" w:hAnsi="Times New Roman" w:cs="Times New Roman"/>
          <w:color w:val="000000" w:themeColor="text1"/>
          <w:sz w:val="18"/>
          <w:szCs w:val="18"/>
        </w:rPr>
        <w:t xml:space="preserve">, 2019, para. 83-84 </w:t>
      </w:r>
    </w:p>
  </w:footnote>
  <w:footnote w:id="4">
    <w:p w14:paraId="23F7841D" w14:textId="77777777" w:rsidR="008C03F7" w:rsidRPr="00B114DA" w:rsidRDefault="008C03F7" w:rsidP="00373874">
      <w:pPr>
        <w:pStyle w:val="NoSpacing"/>
        <w:jc w:val="both"/>
        <w:rPr>
          <w:rFonts w:ascii="Times New Roman" w:hAnsi="Times New Roman" w:cs="Times New Roman"/>
          <w:color w:val="000000" w:themeColor="text1"/>
          <w:sz w:val="18"/>
          <w:szCs w:val="18"/>
          <w:lang w:val="en-US"/>
        </w:rPr>
      </w:pPr>
      <w:r w:rsidRPr="00F02988">
        <w:rPr>
          <w:rStyle w:val="FootnoteReference"/>
          <w:rFonts w:cs="Times New Roman"/>
          <w:color w:val="000000" w:themeColor="text1"/>
          <w:szCs w:val="18"/>
        </w:rPr>
        <w:footnoteRef/>
      </w:r>
      <w:r w:rsidRPr="00F02988">
        <w:rPr>
          <w:rFonts w:ascii="Times New Roman" w:hAnsi="Times New Roman" w:cs="Times New Roman"/>
          <w:color w:val="000000" w:themeColor="text1"/>
          <w:sz w:val="18"/>
          <w:szCs w:val="18"/>
        </w:rPr>
        <w:t xml:space="preserve"> </w:t>
      </w:r>
      <w:r w:rsidRPr="00B114DA">
        <w:rPr>
          <w:rFonts w:ascii="Times New Roman" w:hAnsi="Times New Roman" w:cs="Times New Roman"/>
          <w:color w:val="000000" w:themeColor="text1"/>
          <w:sz w:val="18"/>
          <w:szCs w:val="18"/>
          <w:lang w:val="en-GB"/>
        </w:rPr>
        <w:t>OSCE Office for Democratic Institutions and Human Rights</w:t>
      </w:r>
      <w:r w:rsidRPr="00B114DA">
        <w:rPr>
          <w:rFonts w:ascii="Times New Roman" w:hAnsi="Times New Roman" w:cs="Times New Roman"/>
          <w:i/>
          <w:iCs/>
          <w:color w:val="000000" w:themeColor="text1"/>
          <w:sz w:val="18"/>
          <w:szCs w:val="18"/>
          <w:lang w:val="en-GB"/>
        </w:rPr>
        <w:t>, Guidelines on Freedom of Peaceful Assembly</w:t>
      </w:r>
      <w:r w:rsidRPr="00B114DA">
        <w:rPr>
          <w:rFonts w:ascii="Times New Roman" w:hAnsi="Times New Roman" w:cs="Times New Roman"/>
          <w:color w:val="000000" w:themeColor="text1"/>
          <w:sz w:val="18"/>
          <w:szCs w:val="18"/>
          <w:lang w:val="en-GB"/>
        </w:rPr>
        <w:t xml:space="preserve">, 2010, para. </w:t>
      </w:r>
      <w:proofErr w:type="gramStart"/>
      <w:r w:rsidRPr="00B114DA">
        <w:rPr>
          <w:rFonts w:ascii="Times New Roman" w:hAnsi="Times New Roman" w:cs="Times New Roman"/>
          <w:color w:val="000000" w:themeColor="text1"/>
          <w:sz w:val="18"/>
          <w:szCs w:val="18"/>
          <w:lang w:val="en-GB"/>
        </w:rPr>
        <w:t>25</w:t>
      </w:r>
      <w:proofErr w:type="gramEnd"/>
      <w:r w:rsidRPr="00B114DA">
        <w:rPr>
          <w:rFonts w:ascii="Times New Roman" w:hAnsi="Times New Roman" w:cs="Times New Roman"/>
          <w:color w:val="000000" w:themeColor="text1"/>
          <w:sz w:val="18"/>
          <w:szCs w:val="18"/>
          <w:lang w:val="en-GB"/>
        </w:rPr>
        <w:t xml:space="preserve">; </w:t>
      </w:r>
      <w:proofErr w:type="spellStart"/>
      <w:r w:rsidRPr="00B114DA">
        <w:rPr>
          <w:rFonts w:ascii="Times New Roman" w:hAnsi="Times New Roman" w:cs="Times New Roman"/>
          <w:color w:val="000000" w:themeColor="text1"/>
          <w:sz w:val="18"/>
          <w:szCs w:val="18"/>
          <w:lang w:val="en-GB"/>
        </w:rPr>
        <w:t>ECtHR</w:t>
      </w:r>
      <w:proofErr w:type="spellEnd"/>
      <w:r w:rsidRPr="00B114DA">
        <w:rPr>
          <w:rFonts w:ascii="Times New Roman" w:hAnsi="Times New Roman" w:cs="Times New Roman"/>
          <w:color w:val="000000" w:themeColor="text1"/>
          <w:sz w:val="18"/>
          <w:szCs w:val="18"/>
          <w:lang w:val="en-GB"/>
        </w:rPr>
        <w:t xml:space="preserve">, </w:t>
      </w:r>
      <w:r w:rsidRPr="00B114DA">
        <w:rPr>
          <w:rFonts w:ascii="Times New Roman" w:hAnsi="Times New Roman" w:cs="Times New Roman"/>
          <w:i/>
          <w:color w:val="000000" w:themeColor="text1"/>
          <w:sz w:val="18"/>
          <w:szCs w:val="18"/>
          <w:lang w:val="en-GB"/>
        </w:rPr>
        <w:t>Guide on Article 11 of the European Convention on Human Rights</w:t>
      </w:r>
      <w:r w:rsidRPr="00B114DA">
        <w:rPr>
          <w:rFonts w:ascii="Times New Roman" w:hAnsi="Times New Roman" w:cs="Times New Roman"/>
          <w:color w:val="000000" w:themeColor="text1"/>
          <w:sz w:val="18"/>
          <w:szCs w:val="18"/>
          <w:lang w:val="en-GB"/>
        </w:rPr>
        <w:t xml:space="preserve">, 2019, para. 23 and 26: </w:t>
      </w:r>
      <w:hyperlink r:id="rId2" w:history="1">
        <w:r w:rsidRPr="00B114DA">
          <w:rPr>
            <w:rStyle w:val="Hyperlink"/>
            <w:rFonts w:ascii="Times New Roman" w:hAnsi="Times New Roman" w:cs="Times New Roman"/>
            <w:color w:val="000000" w:themeColor="text1"/>
            <w:sz w:val="18"/>
            <w:szCs w:val="18"/>
            <w:lang w:val="en-GB"/>
          </w:rPr>
          <w:t>https://is.gd/aka18P</w:t>
        </w:r>
      </w:hyperlink>
      <w:r w:rsidRPr="00B114DA">
        <w:rPr>
          <w:rFonts w:ascii="Times New Roman" w:hAnsi="Times New Roman" w:cs="Times New Roman"/>
          <w:color w:val="000000" w:themeColor="text1"/>
          <w:sz w:val="18"/>
          <w:szCs w:val="18"/>
          <w:lang w:val="en-GB"/>
        </w:rPr>
        <w:t xml:space="preserve">; </w:t>
      </w:r>
      <w:r w:rsidRPr="00B114DA">
        <w:rPr>
          <w:rFonts w:ascii="Times New Roman" w:hAnsi="Times New Roman" w:cs="Times New Roman"/>
          <w:i/>
          <w:color w:val="000000" w:themeColor="text1"/>
          <w:sz w:val="18"/>
          <w:szCs w:val="18"/>
          <w:lang w:val="en-US"/>
        </w:rPr>
        <w:t xml:space="preserve">Report of the UN High Commissioner for Human Rights on ‘effective measures and best practices to ensure the promotion and protection of human rights in the context of </w:t>
      </w:r>
      <w:r w:rsidRPr="00B114DA">
        <w:rPr>
          <w:rFonts w:ascii="MS Mincho" w:eastAsia="MS Mincho" w:hAnsi="MS Mincho" w:cs="MS Mincho" w:hint="eastAsia"/>
          <w:i/>
          <w:color w:val="000000" w:themeColor="text1"/>
          <w:sz w:val="18"/>
          <w:szCs w:val="18"/>
          <w:lang w:val="en-US"/>
        </w:rPr>
        <w:t> </w:t>
      </w:r>
      <w:r w:rsidRPr="00B114DA">
        <w:rPr>
          <w:rFonts w:ascii="Times New Roman" w:hAnsi="Times New Roman" w:cs="Times New Roman"/>
          <w:i/>
          <w:color w:val="000000" w:themeColor="text1"/>
          <w:sz w:val="18"/>
          <w:szCs w:val="18"/>
          <w:lang w:val="en-US"/>
        </w:rPr>
        <w:t>peaceful protests</w:t>
      </w:r>
      <w:r w:rsidRPr="00B114DA">
        <w:rPr>
          <w:rFonts w:ascii="Times New Roman" w:hAnsi="Times New Roman" w:cs="Times New Roman"/>
          <w:color w:val="000000" w:themeColor="text1"/>
          <w:sz w:val="18"/>
          <w:szCs w:val="18"/>
          <w:lang w:val="en-US"/>
        </w:rPr>
        <w:t>,’ UN Doc A/HRC/22/28 of 21 January 2013, para. 10</w:t>
      </w:r>
    </w:p>
  </w:footnote>
  <w:footnote w:id="5">
    <w:p w14:paraId="69940C4C" w14:textId="77777777" w:rsidR="008C03F7" w:rsidRPr="00B114DA" w:rsidRDefault="008C03F7" w:rsidP="00373874">
      <w:pPr>
        <w:pStyle w:val="NoSpacing"/>
        <w:jc w:val="both"/>
        <w:rPr>
          <w:rFonts w:ascii="Times New Roman" w:hAnsi="Times New Roman" w:cs="Times New Roman"/>
          <w:color w:val="000000" w:themeColor="text1"/>
          <w:sz w:val="18"/>
          <w:szCs w:val="18"/>
          <w:lang w:val="en-GB"/>
        </w:rPr>
      </w:pPr>
      <w:r w:rsidRPr="00F02988">
        <w:rPr>
          <w:rStyle w:val="FootnoteReference"/>
          <w:rFonts w:cs="Times New Roman"/>
          <w:color w:val="000000" w:themeColor="text1"/>
          <w:szCs w:val="18"/>
          <w:lang w:val="en-GB"/>
        </w:rPr>
        <w:footnoteRef/>
      </w:r>
      <w:r w:rsidRPr="00F02988">
        <w:rPr>
          <w:rFonts w:ascii="Times New Roman" w:hAnsi="Times New Roman" w:cs="Times New Roman"/>
          <w:color w:val="000000" w:themeColor="text1"/>
          <w:sz w:val="18"/>
          <w:szCs w:val="18"/>
          <w:lang w:val="en-GB"/>
        </w:rPr>
        <w:t xml:space="preserve"> </w:t>
      </w:r>
      <w:r w:rsidRPr="00B114DA">
        <w:rPr>
          <w:rFonts w:ascii="Times New Roman" w:hAnsi="Times New Roman" w:cs="Times New Roman"/>
          <w:color w:val="000000" w:themeColor="text1"/>
          <w:sz w:val="18"/>
          <w:szCs w:val="18"/>
          <w:lang w:val="en-GB"/>
        </w:rPr>
        <w:t>OSCE Office for Democratic Institutions and Human Rights</w:t>
      </w:r>
      <w:r w:rsidRPr="00B114DA">
        <w:rPr>
          <w:rFonts w:ascii="Times New Roman" w:hAnsi="Times New Roman" w:cs="Times New Roman"/>
          <w:i/>
          <w:iCs/>
          <w:color w:val="000000" w:themeColor="text1"/>
          <w:sz w:val="18"/>
          <w:szCs w:val="18"/>
          <w:lang w:val="en-GB"/>
        </w:rPr>
        <w:t>, Guidelines on Freedom of Peaceful Assembly</w:t>
      </w:r>
      <w:r w:rsidRPr="00B114DA">
        <w:rPr>
          <w:rFonts w:ascii="Times New Roman" w:hAnsi="Times New Roman" w:cs="Times New Roman"/>
          <w:color w:val="000000" w:themeColor="text1"/>
          <w:sz w:val="18"/>
          <w:szCs w:val="18"/>
          <w:lang w:val="en-GB"/>
        </w:rPr>
        <w:t xml:space="preserve">, 2010, para. 3.2; Office of the Special Rapporteur for Freedom Expression of the Inter-American Commission on Human Rights, </w:t>
      </w:r>
      <w:r w:rsidRPr="00B114DA">
        <w:rPr>
          <w:rFonts w:ascii="Times New Roman" w:hAnsi="Times New Roman" w:cs="Times New Roman"/>
          <w:i/>
          <w:color w:val="000000" w:themeColor="text1"/>
          <w:sz w:val="18"/>
          <w:szCs w:val="18"/>
          <w:lang w:val="en-GB"/>
        </w:rPr>
        <w:t>Report on Protest and Human Rights</w:t>
      </w:r>
      <w:r w:rsidRPr="00B114DA">
        <w:rPr>
          <w:rFonts w:ascii="Times New Roman" w:hAnsi="Times New Roman" w:cs="Times New Roman"/>
          <w:color w:val="000000" w:themeColor="text1"/>
          <w:sz w:val="18"/>
          <w:szCs w:val="18"/>
          <w:lang w:val="en-GB"/>
        </w:rPr>
        <w:t>, 2019, para. 72</w:t>
      </w:r>
    </w:p>
  </w:footnote>
  <w:footnote w:id="6">
    <w:p w14:paraId="6FA8AF8D" w14:textId="77777777" w:rsidR="008C03F7" w:rsidRPr="00B114DA" w:rsidRDefault="008C03F7" w:rsidP="00373874">
      <w:pPr>
        <w:pStyle w:val="NoSpacing"/>
        <w:jc w:val="both"/>
        <w:rPr>
          <w:rFonts w:ascii="Times New Roman" w:hAnsi="Times New Roman" w:cs="Times New Roman"/>
          <w:color w:val="000000" w:themeColor="text1"/>
          <w:sz w:val="18"/>
          <w:szCs w:val="18"/>
          <w:lang w:val="en-GB"/>
        </w:rPr>
      </w:pPr>
      <w:r w:rsidRPr="00F02988">
        <w:rPr>
          <w:rStyle w:val="FootnoteReference"/>
          <w:rFonts w:cs="Times New Roman"/>
          <w:color w:val="000000" w:themeColor="text1"/>
          <w:szCs w:val="18"/>
          <w:lang w:val="en-GB"/>
        </w:rPr>
        <w:footnoteRef/>
      </w:r>
      <w:r w:rsidRPr="00F02988">
        <w:rPr>
          <w:rFonts w:ascii="Times New Roman" w:hAnsi="Times New Roman" w:cs="Times New Roman"/>
          <w:color w:val="000000" w:themeColor="text1"/>
          <w:sz w:val="18"/>
          <w:szCs w:val="18"/>
          <w:lang w:val="en-GB"/>
        </w:rPr>
        <w:t xml:space="preserve"> </w:t>
      </w:r>
      <w:r w:rsidRPr="00B114DA">
        <w:rPr>
          <w:rFonts w:ascii="Times New Roman" w:hAnsi="Times New Roman" w:cs="Times New Roman"/>
          <w:i/>
          <w:color w:val="000000" w:themeColor="text1"/>
          <w:sz w:val="18"/>
          <w:szCs w:val="18"/>
          <w:lang w:val="en-GB"/>
        </w:rPr>
        <w:t>Ibid</w:t>
      </w:r>
      <w:r w:rsidRPr="00B114DA">
        <w:rPr>
          <w:rFonts w:ascii="Times New Roman" w:hAnsi="Times New Roman" w:cs="Times New Roman"/>
          <w:color w:val="000000" w:themeColor="text1"/>
          <w:sz w:val="18"/>
          <w:szCs w:val="18"/>
          <w:lang w:val="en-GB"/>
        </w:rPr>
        <w:t>, para. 19</w:t>
      </w:r>
    </w:p>
  </w:footnote>
  <w:footnote w:id="7">
    <w:p w14:paraId="35639C4D" w14:textId="77777777" w:rsidR="008C03F7" w:rsidRPr="00B114DA" w:rsidRDefault="008C03F7" w:rsidP="00373874">
      <w:pPr>
        <w:pStyle w:val="NoSpacing"/>
        <w:jc w:val="both"/>
        <w:rPr>
          <w:rFonts w:ascii="Times New Roman" w:hAnsi="Times New Roman" w:cs="Times New Roman"/>
          <w:color w:val="000000" w:themeColor="text1"/>
          <w:sz w:val="18"/>
          <w:szCs w:val="18"/>
          <w:lang w:val="en-GB"/>
        </w:rPr>
      </w:pPr>
      <w:r w:rsidRPr="00F02988">
        <w:rPr>
          <w:rStyle w:val="FootnoteReference"/>
          <w:rFonts w:cs="Times New Roman"/>
          <w:color w:val="000000" w:themeColor="text1"/>
          <w:szCs w:val="18"/>
          <w:lang w:val="en-GB"/>
        </w:rPr>
        <w:footnoteRef/>
      </w:r>
      <w:r w:rsidRPr="00F02988">
        <w:rPr>
          <w:rFonts w:ascii="Times New Roman" w:hAnsi="Times New Roman" w:cs="Times New Roman"/>
          <w:color w:val="000000" w:themeColor="text1"/>
          <w:sz w:val="18"/>
          <w:szCs w:val="18"/>
          <w:lang w:val="en-GB"/>
        </w:rPr>
        <w:t xml:space="preserve"> </w:t>
      </w:r>
      <w:r w:rsidRPr="00B114DA">
        <w:rPr>
          <w:rFonts w:ascii="Times New Roman" w:hAnsi="Times New Roman" w:cs="Times New Roman"/>
          <w:color w:val="000000" w:themeColor="text1"/>
          <w:sz w:val="18"/>
          <w:szCs w:val="18"/>
          <w:lang w:val="en-GB"/>
        </w:rPr>
        <w:t xml:space="preserve">African Commission on Human and People’s Rights, </w:t>
      </w:r>
      <w:r w:rsidRPr="00B114DA">
        <w:rPr>
          <w:rFonts w:ascii="Times New Roman" w:hAnsi="Times New Roman" w:cs="Times New Roman"/>
          <w:i/>
          <w:color w:val="000000" w:themeColor="text1"/>
          <w:sz w:val="18"/>
          <w:szCs w:val="18"/>
          <w:lang w:val="en-GB"/>
        </w:rPr>
        <w:t>Guidelines on Freedom of Association and Assembly in Africa</w:t>
      </w:r>
      <w:r w:rsidRPr="00B114DA">
        <w:rPr>
          <w:rFonts w:ascii="Times New Roman" w:hAnsi="Times New Roman" w:cs="Times New Roman"/>
          <w:color w:val="000000" w:themeColor="text1"/>
          <w:sz w:val="18"/>
          <w:szCs w:val="18"/>
          <w:lang w:val="en-GB"/>
        </w:rPr>
        <w:t xml:space="preserve">, 22 May 2017, para. 3: </w:t>
      </w:r>
      <w:hyperlink r:id="rId3" w:history="1">
        <w:r w:rsidRPr="00B114DA">
          <w:rPr>
            <w:rStyle w:val="Hyperlink"/>
            <w:rFonts w:ascii="Times New Roman" w:hAnsi="Times New Roman" w:cs="Times New Roman"/>
            <w:color w:val="000000" w:themeColor="text1"/>
            <w:sz w:val="18"/>
            <w:szCs w:val="18"/>
            <w:lang w:val="en-GB"/>
          </w:rPr>
          <w:t>https://www.ishr.ch/sites/default/files/documents/guidelines_on_foaa-_english.pdf</w:t>
        </w:r>
      </w:hyperlink>
      <w:r w:rsidRPr="00B114DA">
        <w:rPr>
          <w:rFonts w:ascii="Times New Roman" w:hAnsi="Times New Roman" w:cs="Times New Roman"/>
          <w:color w:val="000000" w:themeColor="text1"/>
          <w:sz w:val="18"/>
          <w:szCs w:val="18"/>
          <w:lang w:val="en-GB"/>
        </w:rPr>
        <w:t xml:space="preserve">; Human Rights Council, </w:t>
      </w:r>
      <w:r w:rsidRPr="00B114DA">
        <w:rPr>
          <w:rFonts w:ascii="Times New Roman" w:hAnsi="Times New Roman" w:cs="Times New Roman"/>
          <w:i/>
          <w:color w:val="000000" w:themeColor="text1"/>
          <w:sz w:val="18"/>
          <w:szCs w:val="18"/>
          <w:lang w:val="en-GB"/>
        </w:rPr>
        <w:t>Joint report of the Special Rapporteur on the rights to freedom of peaceful assembly and of association and the Special Rapporteur on extrajudicial, summary or arbitrary executions on the proper management of assemblies</w:t>
      </w:r>
      <w:r w:rsidRPr="00B114DA">
        <w:rPr>
          <w:rFonts w:ascii="Times New Roman" w:hAnsi="Times New Roman" w:cs="Times New Roman"/>
          <w:color w:val="000000" w:themeColor="text1"/>
          <w:sz w:val="18"/>
          <w:szCs w:val="18"/>
          <w:lang w:val="en-GB"/>
        </w:rPr>
        <w:t>, A/HRC/31/66, 4 February 2016, para.10</w:t>
      </w:r>
    </w:p>
  </w:footnote>
  <w:footnote w:id="8">
    <w:p w14:paraId="496FF4FD" w14:textId="77777777" w:rsidR="008C03F7" w:rsidRPr="00B114DA" w:rsidRDefault="008C03F7" w:rsidP="00373874">
      <w:pPr>
        <w:pStyle w:val="NoSpacing"/>
        <w:jc w:val="both"/>
        <w:rPr>
          <w:rFonts w:ascii="Times New Roman" w:hAnsi="Times New Roman" w:cs="Times New Roman"/>
          <w:color w:val="000000" w:themeColor="text1"/>
          <w:sz w:val="18"/>
          <w:szCs w:val="18"/>
        </w:rPr>
      </w:pPr>
      <w:r w:rsidRPr="00F02988">
        <w:rPr>
          <w:rStyle w:val="FootnoteReference"/>
          <w:rFonts w:cs="Times New Roman"/>
          <w:color w:val="000000" w:themeColor="text1"/>
          <w:szCs w:val="18"/>
        </w:rPr>
        <w:footnoteRef/>
      </w:r>
      <w:r w:rsidRPr="00F02988">
        <w:rPr>
          <w:rFonts w:ascii="Times New Roman" w:hAnsi="Times New Roman" w:cs="Times New Roman"/>
          <w:color w:val="000000" w:themeColor="text1"/>
          <w:sz w:val="18"/>
          <w:szCs w:val="18"/>
        </w:rPr>
        <w:t xml:space="preserve"> </w:t>
      </w:r>
      <w:r w:rsidRPr="00B114DA">
        <w:rPr>
          <w:rFonts w:ascii="Times New Roman" w:hAnsi="Times New Roman" w:cs="Times New Roman"/>
          <w:color w:val="000000" w:themeColor="text1"/>
          <w:sz w:val="18"/>
          <w:szCs w:val="18"/>
          <w:lang w:val="en-GB"/>
        </w:rPr>
        <w:t xml:space="preserve">Office of the Special Rapporteur for Freedom of Expression of the Inter-America Commission on Human Rights, </w:t>
      </w:r>
      <w:r w:rsidRPr="00B114DA">
        <w:rPr>
          <w:rFonts w:ascii="Times New Roman" w:hAnsi="Times New Roman" w:cs="Times New Roman"/>
          <w:i/>
          <w:color w:val="000000" w:themeColor="text1"/>
          <w:sz w:val="18"/>
          <w:szCs w:val="18"/>
          <w:lang w:val="en-GB"/>
        </w:rPr>
        <w:t>Protest and Human Rights Standards on the rights involved in social protest and the obligations to guide the response of the State</w:t>
      </w:r>
      <w:r w:rsidRPr="00B114DA">
        <w:rPr>
          <w:rFonts w:ascii="Times New Roman" w:hAnsi="Times New Roman" w:cs="Times New Roman"/>
          <w:color w:val="000000" w:themeColor="text1"/>
          <w:sz w:val="18"/>
          <w:szCs w:val="18"/>
          <w:lang w:val="en-GB"/>
        </w:rPr>
        <w:t xml:space="preserve">, September 2019, para. 66: </w:t>
      </w:r>
      <w:hyperlink r:id="rId4" w:history="1">
        <w:r w:rsidRPr="00B114DA">
          <w:rPr>
            <w:rStyle w:val="Hyperlink"/>
            <w:rFonts w:ascii="Times New Roman" w:hAnsi="Times New Roman" w:cs="Times New Roman"/>
            <w:color w:val="000000" w:themeColor="text1"/>
            <w:sz w:val="18"/>
            <w:szCs w:val="18"/>
          </w:rPr>
          <w:t>http://www.oas.org/en/iachr/expression/publications/Protesta/ProtestHumanRights.pdf</w:t>
        </w:r>
      </w:hyperlink>
      <w:r w:rsidRPr="00B114DA">
        <w:rPr>
          <w:rFonts w:ascii="Times New Roman" w:hAnsi="Times New Roman" w:cs="Times New Roman"/>
          <w:color w:val="000000" w:themeColor="text1"/>
          <w:sz w:val="18"/>
          <w:szCs w:val="18"/>
        </w:rPr>
        <w:t xml:space="preserve"> </w:t>
      </w:r>
    </w:p>
  </w:footnote>
  <w:footnote w:id="9">
    <w:p w14:paraId="67165E88" w14:textId="77777777" w:rsidR="008C03F7" w:rsidRPr="00B114DA" w:rsidRDefault="008C03F7" w:rsidP="00373874">
      <w:pPr>
        <w:pStyle w:val="NoSpacing"/>
        <w:jc w:val="both"/>
        <w:rPr>
          <w:rFonts w:ascii="Times New Roman" w:hAnsi="Times New Roman" w:cs="Times New Roman"/>
          <w:color w:val="000000" w:themeColor="text1"/>
          <w:sz w:val="18"/>
          <w:szCs w:val="18"/>
        </w:rPr>
      </w:pPr>
      <w:r w:rsidRPr="00F02988">
        <w:rPr>
          <w:rStyle w:val="FootnoteReference"/>
          <w:rFonts w:cs="Times New Roman"/>
          <w:color w:val="000000" w:themeColor="text1"/>
          <w:szCs w:val="18"/>
        </w:rPr>
        <w:footnoteRef/>
      </w:r>
      <w:r w:rsidRPr="00F02988">
        <w:rPr>
          <w:rFonts w:ascii="Times New Roman" w:hAnsi="Times New Roman" w:cs="Times New Roman"/>
          <w:color w:val="000000" w:themeColor="text1"/>
          <w:sz w:val="18"/>
          <w:szCs w:val="18"/>
        </w:rPr>
        <w:t xml:space="preserve"> </w:t>
      </w:r>
      <w:r w:rsidRPr="00B114DA">
        <w:rPr>
          <w:rFonts w:ascii="Times New Roman" w:hAnsi="Times New Roman" w:cs="Times New Roman"/>
          <w:color w:val="000000" w:themeColor="text1"/>
          <w:sz w:val="18"/>
          <w:szCs w:val="18"/>
          <w:lang w:val="en-GB"/>
        </w:rPr>
        <w:t xml:space="preserve">African Commission on Human and Peoples’ Rights, </w:t>
      </w:r>
      <w:r w:rsidRPr="00B114DA">
        <w:rPr>
          <w:rFonts w:ascii="Times New Roman" w:hAnsi="Times New Roman" w:cs="Times New Roman"/>
          <w:i/>
          <w:color w:val="000000" w:themeColor="text1"/>
          <w:sz w:val="18"/>
          <w:szCs w:val="18"/>
          <w:lang w:val="en-GB"/>
        </w:rPr>
        <w:t>Guidelines on Freedom of Association and Assembly in Africa</w:t>
      </w:r>
      <w:r w:rsidRPr="00B114DA">
        <w:rPr>
          <w:rFonts w:ascii="Times New Roman" w:hAnsi="Times New Roman" w:cs="Times New Roman"/>
          <w:color w:val="000000" w:themeColor="text1"/>
          <w:sz w:val="18"/>
          <w:szCs w:val="18"/>
          <w:lang w:val="en-GB"/>
        </w:rPr>
        <w:t xml:space="preserve">, 22 May 2017, para. 78: </w:t>
      </w:r>
      <w:hyperlink r:id="rId5" w:history="1">
        <w:r w:rsidRPr="00B114DA">
          <w:rPr>
            <w:rStyle w:val="Hyperlink"/>
            <w:rFonts w:ascii="Times New Roman" w:hAnsi="Times New Roman" w:cs="Times New Roman"/>
            <w:color w:val="000000" w:themeColor="text1"/>
            <w:sz w:val="18"/>
            <w:szCs w:val="18"/>
          </w:rPr>
          <w:t>https://www.ishr.ch/sites/default/files/documents/guidelines_on_foaa-_english.pdf</w:t>
        </w:r>
      </w:hyperlink>
    </w:p>
  </w:footnote>
  <w:footnote w:id="10">
    <w:p w14:paraId="60357254" w14:textId="77777777" w:rsidR="008C03F7" w:rsidRPr="00B114DA" w:rsidRDefault="008C03F7" w:rsidP="00373874">
      <w:pPr>
        <w:pStyle w:val="NoSpacing"/>
        <w:jc w:val="both"/>
        <w:rPr>
          <w:rFonts w:ascii="Times New Roman" w:hAnsi="Times New Roman" w:cs="Times New Roman"/>
          <w:color w:val="000000" w:themeColor="text1"/>
          <w:sz w:val="18"/>
          <w:szCs w:val="18"/>
          <w:lang w:val="en-GB"/>
        </w:rPr>
      </w:pPr>
      <w:r w:rsidRPr="00F02988">
        <w:rPr>
          <w:rStyle w:val="FootnoteReference"/>
          <w:rFonts w:cs="Times New Roman"/>
          <w:color w:val="000000" w:themeColor="text1"/>
          <w:szCs w:val="18"/>
          <w:lang w:val="en-GB"/>
        </w:rPr>
        <w:footnoteRef/>
      </w:r>
      <w:r w:rsidRPr="00F02988">
        <w:rPr>
          <w:rFonts w:ascii="Times New Roman" w:hAnsi="Times New Roman" w:cs="Times New Roman"/>
          <w:color w:val="000000" w:themeColor="text1"/>
          <w:sz w:val="18"/>
          <w:szCs w:val="18"/>
          <w:lang w:val="en-GB"/>
        </w:rPr>
        <w:t xml:space="preserve"> </w:t>
      </w:r>
      <w:proofErr w:type="spellStart"/>
      <w:r w:rsidRPr="00B114DA">
        <w:rPr>
          <w:rFonts w:ascii="Times New Roman" w:hAnsi="Times New Roman" w:cs="Times New Roman"/>
          <w:color w:val="000000" w:themeColor="text1"/>
          <w:sz w:val="18"/>
          <w:szCs w:val="18"/>
          <w:lang w:val="en-GB"/>
        </w:rPr>
        <w:t>ECtHR</w:t>
      </w:r>
      <w:proofErr w:type="spellEnd"/>
      <w:r w:rsidRPr="00B114DA">
        <w:rPr>
          <w:rFonts w:ascii="Times New Roman" w:hAnsi="Times New Roman" w:cs="Times New Roman"/>
          <w:color w:val="000000" w:themeColor="text1"/>
          <w:sz w:val="18"/>
          <w:szCs w:val="18"/>
          <w:lang w:val="en-GB"/>
        </w:rPr>
        <w:t xml:space="preserve">, </w:t>
      </w:r>
      <w:proofErr w:type="spellStart"/>
      <w:r w:rsidRPr="00B114DA">
        <w:rPr>
          <w:rFonts w:ascii="Times New Roman" w:hAnsi="Times New Roman" w:cs="Times New Roman"/>
          <w:i/>
          <w:color w:val="000000" w:themeColor="text1"/>
          <w:sz w:val="18"/>
          <w:szCs w:val="18"/>
          <w:lang w:val="en-GB"/>
        </w:rPr>
        <w:t>M’Bala</w:t>
      </w:r>
      <w:proofErr w:type="spellEnd"/>
      <w:r w:rsidRPr="00B114DA">
        <w:rPr>
          <w:rFonts w:ascii="Times New Roman" w:hAnsi="Times New Roman" w:cs="Times New Roman"/>
          <w:i/>
          <w:color w:val="000000" w:themeColor="text1"/>
          <w:sz w:val="18"/>
          <w:szCs w:val="18"/>
          <w:lang w:val="en-GB"/>
        </w:rPr>
        <w:t xml:space="preserve"> </w:t>
      </w:r>
      <w:proofErr w:type="spellStart"/>
      <w:r w:rsidRPr="00B114DA">
        <w:rPr>
          <w:rFonts w:ascii="Times New Roman" w:hAnsi="Times New Roman" w:cs="Times New Roman"/>
          <w:i/>
          <w:color w:val="000000" w:themeColor="text1"/>
          <w:sz w:val="18"/>
          <w:szCs w:val="18"/>
          <w:lang w:val="en-GB"/>
        </w:rPr>
        <w:t>M’Bala</w:t>
      </w:r>
      <w:proofErr w:type="spellEnd"/>
      <w:r w:rsidRPr="00B114DA">
        <w:rPr>
          <w:rFonts w:ascii="Times New Roman" w:hAnsi="Times New Roman" w:cs="Times New Roman"/>
          <w:i/>
          <w:color w:val="000000" w:themeColor="text1"/>
          <w:sz w:val="18"/>
          <w:szCs w:val="18"/>
          <w:lang w:val="en-GB"/>
        </w:rPr>
        <w:t xml:space="preserve"> v. France</w:t>
      </w:r>
      <w:r w:rsidRPr="00B114DA">
        <w:rPr>
          <w:rFonts w:ascii="Times New Roman" w:hAnsi="Times New Roman" w:cs="Times New Roman"/>
          <w:color w:val="000000" w:themeColor="text1"/>
          <w:sz w:val="18"/>
          <w:szCs w:val="18"/>
          <w:lang w:val="en-GB"/>
        </w:rPr>
        <w:t xml:space="preserve">, 20 Oct. 2015, N°25239/13, para. 41: </w:t>
      </w:r>
      <w:hyperlink r:id="rId6" w:history="1">
        <w:r w:rsidRPr="00B114DA">
          <w:rPr>
            <w:rStyle w:val="Hyperlink"/>
            <w:rFonts w:ascii="Times New Roman" w:hAnsi="Times New Roman" w:cs="Times New Roman"/>
            <w:color w:val="000000" w:themeColor="text1"/>
            <w:sz w:val="18"/>
            <w:szCs w:val="18"/>
            <w:lang w:val="en-GB"/>
          </w:rPr>
          <w:t>http://hudoc.echr.coe.int/fre?i=001-160358</w:t>
        </w:r>
      </w:hyperlink>
      <w:r w:rsidRPr="00B114DA">
        <w:rPr>
          <w:rFonts w:ascii="Times New Roman" w:hAnsi="Times New Roman" w:cs="Times New Roman"/>
          <w:color w:val="000000" w:themeColor="text1"/>
          <w:sz w:val="18"/>
          <w:szCs w:val="18"/>
          <w:lang w:val="en-GB"/>
        </w:rPr>
        <w:t xml:space="preserve"> </w:t>
      </w:r>
    </w:p>
  </w:footnote>
  <w:footnote w:id="11">
    <w:p w14:paraId="7D6FE212" w14:textId="77777777" w:rsidR="008C03F7" w:rsidRPr="00B114DA" w:rsidRDefault="008C03F7" w:rsidP="00373874">
      <w:pPr>
        <w:pStyle w:val="NoSpacing"/>
        <w:jc w:val="both"/>
        <w:rPr>
          <w:rFonts w:ascii="Times New Roman" w:hAnsi="Times New Roman" w:cs="Times New Roman"/>
          <w:color w:val="000000" w:themeColor="text1"/>
          <w:sz w:val="18"/>
          <w:szCs w:val="18"/>
        </w:rPr>
      </w:pPr>
      <w:r w:rsidRPr="00F02988">
        <w:rPr>
          <w:rStyle w:val="FootnoteReference"/>
          <w:rFonts w:cs="Times New Roman"/>
          <w:color w:val="000000" w:themeColor="text1"/>
          <w:szCs w:val="18"/>
        </w:rPr>
        <w:footnoteRef/>
      </w:r>
      <w:r w:rsidRPr="00F02988">
        <w:rPr>
          <w:rFonts w:ascii="Times New Roman" w:hAnsi="Times New Roman" w:cs="Times New Roman"/>
          <w:color w:val="000000" w:themeColor="text1"/>
          <w:sz w:val="18"/>
          <w:szCs w:val="18"/>
        </w:rPr>
        <w:t xml:space="preserve"> </w:t>
      </w:r>
      <w:proofErr w:type="spellStart"/>
      <w:r w:rsidRPr="00B114DA">
        <w:rPr>
          <w:rFonts w:ascii="Times New Roman" w:hAnsi="Times New Roman" w:cs="Times New Roman"/>
          <w:i/>
          <w:color w:val="000000" w:themeColor="text1"/>
          <w:sz w:val="18"/>
          <w:szCs w:val="18"/>
        </w:rPr>
        <w:t>Ibid</w:t>
      </w:r>
      <w:proofErr w:type="spellEnd"/>
    </w:p>
  </w:footnote>
  <w:footnote w:id="12">
    <w:p w14:paraId="4840B969" w14:textId="77777777" w:rsidR="008C03F7" w:rsidRPr="00B114DA" w:rsidRDefault="008C03F7" w:rsidP="00373874">
      <w:pPr>
        <w:pStyle w:val="NoSpacing"/>
        <w:jc w:val="both"/>
        <w:rPr>
          <w:rFonts w:ascii="Times New Roman" w:hAnsi="Times New Roman" w:cs="Times New Roman"/>
          <w:color w:val="000000" w:themeColor="text1"/>
          <w:sz w:val="18"/>
          <w:szCs w:val="18"/>
        </w:rPr>
      </w:pPr>
      <w:r w:rsidRPr="00F02988">
        <w:rPr>
          <w:rStyle w:val="FootnoteReference"/>
          <w:rFonts w:cs="Times New Roman"/>
          <w:color w:val="000000" w:themeColor="text1"/>
          <w:szCs w:val="18"/>
        </w:rPr>
        <w:footnoteRef/>
      </w:r>
      <w:r w:rsidRPr="00B114DA">
        <w:rPr>
          <w:rFonts w:ascii="Times New Roman" w:hAnsi="Times New Roman" w:cs="Times New Roman"/>
          <w:i/>
          <w:color w:val="000000" w:themeColor="text1"/>
          <w:sz w:val="18"/>
          <w:szCs w:val="18"/>
          <w:lang w:val="en-GB"/>
        </w:rPr>
        <w:t xml:space="preserve"> Ibid</w:t>
      </w:r>
      <w:r w:rsidRPr="00B114DA">
        <w:rPr>
          <w:rFonts w:ascii="Times New Roman" w:hAnsi="Times New Roman" w:cs="Times New Roman"/>
          <w:color w:val="000000" w:themeColor="text1"/>
          <w:sz w:val="18"/>
          <w:szCs w:val="18"/>
          <w:lang w:val="en-GB"/>
        </w:rPr>
        <w:t xml:space="preserve">, para. 42. See also on the justification of a pro-Nazi policy, </w:t>
      </w:r>
      <w:proofErr w:type="spellStart"/>
      <w:r w:rsidRPr="00B114DA">
        <w:rPr>
          <w:rFonts w:ascii="Times New Roman" w:hAnsi="Times New Roman" w:cs="Times New Roman"/>
          <w:color w:val="000000" w:themeColor="text1"/>
          <w:sz w:val="18"/>
          <w:szCs w:val="18"/>
          <w:lang w:val="en-GB"/>
        </w:rPr>
        <w:t>ECtHR</w:t>
      </w:r>
      <w:proofErr w:type="spellEnd"/>
      <w:r w:rsidRPr="00B114DA">
        <w:rPr>
          <w:rFonts w:ascii="Times New Roman" w:hAnsi="Times New Roman" w:cs="Times New Roman"/>
          <w:color w:val="000000" w:themeColor="text1"/>
          <w:sz w:val="18"/>
          <w:szCs w:val="18"/>
          <w:lang w:val="en-GB"/>
        </w:rPr>
        <w:t xml:space="preserve">, </w:t>
      </w:r>
      <w:proofErr w:type="spellStart"/>
      <w:r w:rsidRPr="00B114DA">
        <w:rPr>
          <w:rFonts w:ascii="Times New Roman" w:hAnsi="Times New Roman" w:cs="Times New Roman"/>
          <w:i/>
          <w:color w:val="000000" w:themeColor="text1"/>
          <w:sz w:val="18"/>
          <w:szCs w:val="18"/>
          <w:lang w:val="en-GB"/>
        </w:rPr>
        <w:t>Lehideux</w:t>
      </w:r>
      <w:proofErr w:type="spellEnd"/>
      <w:r w:rsidRPr="00B114DA">
        <w:rPr>
          <w:rFonts w:ascii="Times New Roman" w:hAnsi="Times New Roman" w:cs="Times New Roman"/>
          <w:i/>
          <w:color w:val="000000" w:themeColor="text1"/>
          <w:sz w:val="18"/>
          <w:szCs w:val="18"/>
          <w:lang w:val="en-GB"/>
        </w:rPr>
        <w:t xml:space="preserve"> and </w:t>
      </w:r>
      <w:proofErr w:type="spellStart"/>
      <w:r w:rsidRPr="00B114DA">
        <w:rPr>
          <w:rFonts w:ascii="Times New Roman" w:hAnsi="Times New Roman" w:cs="Times New Roman"/>
          <w:i/>
          <w:color w:val="000000" w:themeColor="text1"/>
          <w:sz w:val="18"/>
          <w:szCs w:val="18"/>
          <w:lang w:val="en-GB"/>
        </w:rPr>
        <w:t>Isorni</w:t>
      </w:r>
      <w:proofErr w:type="spellEnd"/>
      <w:r w:rsidRPr="00B114DA">
        <w:rPr>
          <w:rFonts w:ascii="Times New Roman" w:hAnsi="Times New Roman" w:cs="Times New Roman"/>
          <w:i/>
          <w:color w:val="000000" w:themeColor="text1"/>
          <w:sz w:val="18"/>
          <w:szCs w:val="18"/>
          <w:lang w:val="en-GB"/>
        </w:rPr>
        <w:t xml:space="preserve"> v. France</w:t>
      </w:r>
      <w:r w:rsidRPr="00B114DA">
        <w:rPr>
          <w:rFonts w:ascii="Times New Roman" w:hAnsi="Times New Roman" w:cs="Times New Roman"/>
          <w:color w:val="000000" w:themeColor="text1"/>
          <w:sz w:val="18"/>
          <w:szCs w:val="18"/>
          <w:lang w:val="en-GB"/>
        </w:rPr>
        <w:t xml:space="preserve">, 23 Sept. 1998, N°24662/94, para. 53: </w:t>
      </w:r>
      <w:hyperlink r:id="rId7" w:history="1">
        <w:r w:rsidRPr="00B114DA">
          <w:rPr>
            <w:rStyle w:val="Hyperlink"/>
            <w:rFonts w:ascii="Times New Roman" w:hAnsi="Times New Roman" w:cs="Times New Roman"/>
            <w:color w:val="000000" w:themeColor="text1"/>
            <w:sz w:val="18"/>
            <w:szCs w:val="18"/>
            <w:lang w:val="en-GB"/>
          </w:rPr>
          <w:t>http://hudoc.echr.coe.int/fre?i=001-58245</w:t>
        </w:r>
      </w:hyperlink>
      <w:r w:rsidRPr="00B114DA">
        <w:rPr>
          <w:rFonts w:ascii="Times New Roman" w:hAnsi="Times New Roman" w:cs="Times New Roman"/>
          <w:color w:val="000000" w:themeColor="text1"/>
          <w:sz w:val="18"/>
          <w:szCs w:val="18"/>
          <w:lang w:val="en-GB"/>
        </w:rPr>
        <w:t xml:space="preserve">; on a statement that “niggers” and “foreign workers” were “animals”, </w:t>
      </w:r>
      <w:proofErr w:type="spellStart"/>
      <w:r w:rsidRPr="00B114DA">
        <w:rPr>
          <w:rFonts w:ascii="Times New Roman" w:hAnsi="Times New Roman" w:cs="Times New Roman"/>
          <w:color w:val="000000" w:themeColor="text1"/>
          <w:sz w:val="18"/>
          <w:szCs w:val="18"/>
          <w:lang w:val="en-GB"/>
        </w:rPr>
        <w:t>ECtHR</w:t>
      </w:r>
      <w:proofErr w:type="spellEnd"/>
      <w:r w:rsidRPr="00B114DA">
        <w:rPr>
          <w:rFonts w:ascii="Times New Roman" w:hAnsi="Times New Roman" w:cs="Times New Roman"/>
          <w:color w:val="000000" w:themeColor="text1"/>
          <w:sz w:val="18"/>
          <w:szCs w:val="18"/>
          <w:lang w:val="en-GB"/>
        </w:rPr>
        <w:t xml:space="preserve">, </w:t>
      </w:r>
      <w:proofErr w:type="spellStart"/>
      <w:r w:rsidRPr="00B114DA">
        <w:rPr>
          <w:rFonts w:ascii="Times New Roman" w:hAnsi="Times New Roman" w:cs="Times New Roman"/>
          <w:i/>
          <w:color w:val="000000" w:themeColor="text1"/>
          <w:sz w:val="18"/>
          <w:szCs w:val="18"/>
          <w:lang w:val="en-GB"/>
        </w:rPr>
        <w:t>Jersild</w:t>
      </w:r>
      <w:proofErr w:type="spellEnd"/>
      <w:r w:rsidRPr="00B114DA">
        <w:rPr>
          <w:rFonts w:ascii="Times New Roman" w:hAnsi="Times New Roman" w:cs="Times New Roman"/>
          <w:i/>
          <w:color w:val="000000" w:themeColor="text1"/>
          <w:sz w:val="18"/>
          <w:szCs w:val="18"/>
          <w:lang w:val="en-GB"/>
        </w:rPr>
        <w:t xml:space="preserve"> v. Denmark</w:t>
      </w:r>
      <w:r w:rsidRPr="00B114DA">
        <w:rPr>
          <w:rFonts w:ascii="Times New Roman" w:hAnsi="Times New Roman" w:cs="Times New Roman"/>
          <w:color w:val="000000" w:themeColor="text1"/>
          <w:sz w:val="18"/>
          <w:szCs w:val="18"/>
          <w:lang w:val="en-GB"/>
        </w:rPr>
        <w:t xml:space="preserve">, 23 Sept. 1994, N°15890/89, para. 35: </w:t>
      </w:r>
      <w:hyperlink r:id="rId8" w:history="1">
        <w:r w:rsidRPr="00B114DA">
          <w:rPr>
            <w:rStyle w:val="Hyperlink"/>
            <w:rFonts w:ascii="Times New Roman" w:hAnsi="Times New Roman" w:cs="Times New Roman"/>
            <w:color w:val="000000" w:themeColor="text1"/>
            <w:sz w:val="18"/>
            <w:szCs w:val="18"/>
            <w:lang w:val="en-GB"/>
          </w:rPr>
          <w:t>http://hudoc.echr.coe.int/fre?i=001-57891</w:t>
        </w:r>
      </w:hyperlink>
      <w:r w:rsidRPr="00B114DA">
        <w:rPr>
          <w:rFonts w:ascii="Times New Roman" w:hAnsi="Times New Roman" w:cs="Times New Roman"/>
          <w:color w:val="000000" w:themeColor="text1"/>
          <w:sz w:val="18"/>
          <w:szCs w:val="18"/>
          <w:lang w:val="en-GB"/>
        </w:rPr>
        <w:t xml:space="preserve"> </w:t>
      </w:r>
    </w:p>
  </w:footnote>
  <w:footnote w:id="13">
    <w:p w14:paraId="7615C822" w14:textId="77777777" w:rsidR="008C03F7" w:rsidRPr="00B114DA" w:rsidRDefault="008C03F7" w:rsidP="00373874">
      <w:pPr>
        <w:pStyle w:val="NoSpacing"/>
        <w:jc w:val="both"/>
        <w:rPr>
          <w:rFonts w:ascii="Times New Roman" w:hAnsi="Times New Roman" w:cs="Times New Roman"/>
          <w:color w:val="000000" w:themeColor="text1"/>
          <w:sz w:val="18"/>
          <w:szCs w:val="18"/>
          <w:lang w:val="en-GB"/>
        </w:rPr>
      </w:pPr>
      <w:r w:rsidRPr="00F02988">
        <w:rPr>
          <w:rStyle w:val="FootnoteReference"/>
          <w:rFonts w:cs="Times New Roman"/>
          <w:color w:val="000000" w:themeColor="text1"/>
          <w:szCs w:val="18"/>
          <w:lang w:val="en-GB"/>
        </w:rPr>
        <w:footnoteRef/>
      </w:r>
      <w:r w:rsidRPr="00B114DA">
        <w:rPr>
          <w:rFonts w:ascii="Times New Roman" w:hAnsi="Times New Roman" w:cs="Times New Roman"/>
          <w:b/>
          <w:color w:val="000000" w:themeColor="text1"/>
          <w:sz w:val="18"/>
          <w:szCs w:val="18"/>
          <w:lang w:val="en-GB"/>
        </w:rPr>
        <w:t xml:space="preserve"> </w:t>
      </w:r>
      <w:r w:rsidRPr="00B114DA">
        <w:rPr>
          <w:rFonts w:ascii="Times New Roman" w:hAnsi="Times New Roman" w:cs="Times New Roman"/>
          <w:color w:val="000000" w:themeColor="text1"/>
          <w:sz w:val="18"/>
          <w:szCs w:val="18"/>
          <w:lang w:val="en-GB"/>
        </w:rPr>
        <w:t xml:space="preserve">Rabat Plan of Action (2012), A/HRC/22/17/Add.4, annex, para. </w:t>
      </w:r>
      <w:proofErr w:type="gramStart"/>
      <w:r w:rsidRPr="00B114DA">
        <w:rPr>
          <w:rFonts w:ascii="Times New Roman" w:hAnsi="Times New Roman" w:cs="Times New Roman"/>
          <w:color w:val="000000" w:themeColor="text1"/>
          <w:sz w:val="18"/>
          <w:szCs w:val="18"/>
          <w:lang w:val="en-GB"/>
        </w:rPr>
        <w:t>19</w:t>
      </w:r>
      <w:proofErr w:type="gramEnd"/>
      <w:r w:rsidRPr="00B114DA">
        <w:rPr>
          <w:rFonts w:ascii="Times New Roman" w:hAnsi="Times New Roman" w:cs="Times New Roman"/>
          <w:color w:val="000000" w:themeColor="text1"/>
          <w:sz w:val="18"/>
          <w:szCs w:val="18"/>
          <w:lang w:val="en-GB"/>
        </w:rPr>
        <w:t xml:space="preserve">: “At the national level, blasphemy laws are counterproductive, since they may result in de facto censure of all inter-religious or belief and intra-religious or belief dialogue, debate and criticism, most of which could be constructive, healthy and needed. In addition, many blasphemy laws afford different levels of protection to different religions and have often proved to be applied in a discriminatory manner.” </w:t>
      </w:r>
    </w:p>
  </w:footnote>
  <w:footnote w:id="14">
    <w:p w14:paraId="3CABBC22" w14:textId="77777777" w:rsidR="008C03F7" w:rsidRPr="00B114DA" w:rsidRDefault="008C03F7" w:rsidP="00373874">
      <w:pPr>
        <w:pStyle w:val="NoSpacing"/>
        <w:jc w:val="both"/>
        <w:rPr>
          <w:rFonts w:ascii="Times New Roman" w:hAnsi="Times New Roman" w:cs="Times New Roman"/>
          <w:color w:val="000000" w:themeColor="text1"/>
          <w:sz w:val="18"/>
          <w:szCs w:val="18"/>
        </w:rPr>
      </w:pPr>
      <w:r w:rsidRPr="00F02988">
        <w:rPr>
          <w:rStyle w:val="FootnoteReference"/>
          <w:rFonts w:cs="Times New Roman"/>
          <w:color w:val="000000" w:themeColor="text1"/>
          <w:szCs w:val="18"/>
          <w:lang w:val="en-GB"/>
        </w:rPr>
        <w:footnoteRef/>
      </w:r>
      <w:r w:rsidRPr="00B114DA">
        <w:rPr>
          <w:rFonts w:ascii="Times New Roman" w:hAnsi="Times New Roman" w:cs="Times New Roman"/>
          <w:b/>
          <w:color w:val="000000" w:themeColor="text1"/>
          <w:sz w:val="18"/>
          <w:szCs w:val="18"/>
          <w:lang w:val="en-GB"/>
        </w:rPr>
        <w:t xml:space="preserve"> </w:t>
      </w:r>
      <w:r w:rsidRPr="00B114DA">
        <w:rPr>
          <w:rFonts w:ascii="Times New Roman" w:hAnsi="Times New Roman" w:cs="Times New Roman"/>
          <w:color w:val="000000" w:themeColor="text1"/>
          <w:sz w:val="18"/>
          <w:szCs w:val="18"/>
          <w:lang w:val="en-GB"/>
        </w:rPr>
        <w:t xml:space="preserve">“The Government should not have the power to ban a demonstration because they consider that the demonstrators’ “message” is wrong. […] Content-based restrictions on the freedom of assembly should be subjected to the most serious scrutiny”, </w:t>
      </w:r>
      <w:proofErr w:type="spellStart"/>
      <w:r w:rsidRPr="00B114DA">
        <w:rPr>
          <w:rFonts w:ascii="Times New Roman" w:hAnsi="Times New Roman" w:cs="Times New Roman"/>
          <w:color w:val="000000" w:themeColor="text1"/>
          <w:sz w:val="18"/>
          <w:szCs w:val="18"/>
          <w:lang w:val="en-GB"/>
        </w:rPr>
        <w:t>ECtHR</w:t>
      </w:r>
      <w:proofErr w:type="spellEnd"/>
      <w:r w:rsidRPr="00B114DA">
        <w:rPr>
          <w:rFonts w:ascii="Times New Roman" w:hAnsi="Times New Roman" w:cs="Times New Roman"/>
          <w:color w:val="000000" w:themeColor="text1"/>
          <w:sz w:val="18"/>
          <w:szCs w:val="18"/>
          <w:lang w:val="en-GB"/>
        </w:rPr>
        <w:t xml:space="preserve">, </w:t>
      </w:r>
      <w:r w:rsidRPr="00B114DA">
        <w:rPr>
          <w:rFonts w:ascii="Times New Roman" w:hAnsi="Times New Roman" w:cs="Times New Roman"/>
          <w:i/>
          <w:color w:val="000000" w:themeColor="text1"/>
          <w:sz w:val="18"/>
          <w:szCs w:val="18"/>
          <w:lang w:val="en-GB"/>
        </w:rPr>
        <w:t>Guide on Article 11 of the European Convention of Human Rights</w:t>
      </w:r>
      <w:r w:rsidRPr="00B114DA">
        <w:rPr>
          <w:rFonts w:ascii="Times New Roman" w:hAnsi="Times New Roman" w:cs="Times New Roman"/>
          <w:color w:val="000000" w:themeColor="text1"/>
          <w:sz w:val="18"/>
          <w:szCs w:val="18"/>
          <w:lang w:val="en-GB"/>
        </w:rPr>
        <w:t xml:space="preserve">, 2019, para. 67: </w:t>
      </w:r>
      <w:hyperlink r:id="rId9" w:history="1">
        <w:r w:rsidRPr="00B114DA">
          <w:rPr>
            <w:rStyle w:val="Hyperlink"/>
            <w:rFonts w:ascii="Times New Roman" w:hAnsi="Times New Roman" w:cs="Times New Roman"/>
            <w:color w:val="000000" w:themeColor="text1"/>
            <w:sz w:val="18"/>
            <w:szCs w:val="18"/>
            <w:lang w:val="en-GB"/>
          </w:rPr>
          <w:t>https://is.gd/aka18P</w:t>
        </w:r>
      </w:hyperlink>
      <w:r w:rsidRPr="00B114DA">
        <w:rPr>
          <w:rFonts w:ascii="Times New Roman" w:hAnsi="Times New Roman" w:cs="Times New Roman"/>
          <w:color w:val="000000" w:themeColor="text1"/>
          <w:sz w:val="18"/>
          <w:szCs w:val="18"/>
          <w:lang w:val="en-GB"/>
        </w:rPr>
        <w:t xml:space="preserve"> </w:t>
      </w:r>
    </w:p>
  </w:footnote>
  <w:footnote w:id="15">
    <w:p w14:paraId="235D40E4" w14:textId="77777777" w:rsidR="008C03F7" w:rsidRPr="00B114DA" w:rsidRDefault="008C03F7" w:rsidP="00373874">
      <w:pPr>
        <w:pStyle w:val="NoSpacing"/>
        <w:jc w:val="both"/>
        <w:rPr>
          <w:rFonts w:ascii="Times New Roman" w:eastAsia="Times New Roman" w:hAnsi="Times New Roman" w:cs="Times New Roman"/>
          <w:color w:val="000000" w:themeColor="text1"/>
          <w:sz w:val="18"/>
          <w:szCs w:val="18"/>
          <w:lang w:val="en-GB" w:eastAsia="fr-FR"/>
        </w:rPr>
      </w:pPr>
      <w:r w:rsidRPr="00F02988">
        <w:rPr>
          <w:rStyle w:val="FootnoteReference"/>
          <w:rFonts w:cs="Times New Roman"/>
          <w:color w:val="000000" w:themeColor="text1"/>
          <w:szCs w:val="18"/>
          <w:lang w:val="en-GB"/>
        </w:rPr>
        <w:footnoteRef/>
      </w:r>
      <w:r w:rsidRPr="00F02988">
        <w:rPr>
          <w:rFonts w:ascii="Times New Roman" w:hAnsi="Times New Roman" w:cs="Times New Roman"/>
          <w:color w:val="000000" w:themeColor="text1"/>
          <w:sz w:val="18"/>
          <w:szCs w:val="18"/>
          <w:lang w:val="en-GB"/>
        </w:rPr>
        <w:t xml:space="preserve"> </w:t>
      </w:r>
      <w:proofErr w:type="spellStart"/>
      <w:r w:rsidRPr="00B114DA">
        <w:rPr>
          <w:rFonts w:ascii="Times New Roman" w:hAnsi="Times New Roman" w:cs="Times New Roman"/>
          <w:color w:val="000000" w:themeColor="text1"/>
          <w:sz w:val="18"/>
          <w:szCs w:val="18"/>
          <w:lang w:val="en-GB"/>
        </w:rPr>
        <w:t>ECtHR</w:t>
      </w:r>
      <w:proofErr w:type="spellEnd"/>
      <w:r w:rsidRPr="00B114DA">
        <w:rPr>
          <w:rFonts w:ascii="Times New Roman" w:hAnsi="Times New Roman" w:cs="Times New Roman"/>
          <w:color w:val="000000" w:themeColor="text1"/>
          <w:sz w:val="18"/>
          <w:szCs w:val="18"/>
          <w:lang w:val="en-GB"/>
        </w:rPr>
        <w:t xml:space="preserve">, </w:t>
      </w:r>
      <w:proofErr w:type="spellStart"/>
      <w:r w:rsidRPr="00B114DA">
        <w:rPr>
          <w:rFonts w:ascii="Times New Roman" w:hAnsi="Times New Roman" w:cs="Times New Roman"/>
          <w:i/>
          <w:color w:val="000000" w:themeColor="text1"/>
          <w:sz w:val="18"/>
          <w:szCs w:val="18"/>
          <w:lang w:val="en-GB"/>
        </w:rPr>
        <w:t>M’Bala</w:t>
      </w:r>
      <w:proofErr w:type="spellEnd"/>
      <w:r w:rsidRPr="00B114DA">
        <w:rPr>
          <w:rFonts w:ascii="Times New Roman" w:hAnsi="Times New Roman" w:cs="Times New Roman"/>
          <w:i/>
          <w:color w:val="000000" w:themeColor="text1"/>
          <w:sz w:val="18"/>
          <w:szCs w:val="18"/>
          <w:lang w:val="en-GB"/>
        </w:rPr>
        <w:t xml:space="preserve"> </w:t>
      </w:r>
      <w:proofErr w:type="spellStart"/>
      <w:r w:rsidRPr="00B114DA">
        <w:rPr>
          <w:rFonts w:ascii="Times New Roman" w:hAnsi="Times New Roman" w:cs="Times New Roman"/>
          <w:i/>
          <w:color w:val="000000" w:themeColor="text1"/>
          <w:sz w:val="18"/>
          <w:szCs w:val="18"/>
          <w:lang w:val="en-GB"/>
        </w:rPr>
        <w:t>M’Bala</w:t>
      </w:r>
      <w:proofErr w:type="spellEnd"/>
      <w:r w:rsidRPr="00B114DA">
        <w:rPr>
          <w:rFonts w:ascii="Times New Roman" w:hAnsi="Times New Roman" w:cs="Times New Roman"/>
          <w:i/>
          <w:color w:val="000000" w:themeColor="text1"/>
          <w:sz w:val="18"/>
          <w:szCs w:val="18"/>
          <w:lang w:val="en-GB"/>
        </w:rPr>
        <w:t xml:space="preserve"> v. France</w:t>
      </w:r>
      <w:r w:rsidRPr="00B114DA">
        <w:rPr>
          <w:rFonts w:ascii="Times New Roman" w:hAnsi="Times New Roman" w:cs="Times New Roman"/>
          <w:color w:val="000000" w:themeColor="text1"/>
          <w:sz w:val="18"/>
          <w:szCs w:val="18"/>
          <w:lang w:val="en-GB"/>
        </w:rPr>
        <w:t xml:space="preserve">, 20 Oct. 2015, N°25239/13, paras. 41 and 42: </w:t>
      </w:r>
      <w:hyperlink r:id="rId10" w:history="1">
        <w:r w:rsidRPr="00B114DA">
          <w:rPr>
            <w:rStyle w:val="Hyperlink"/>
            <w:rFonts w:ascii="Times New Roman" w:hAnsi="Times New Roman" w:cs="Times New Roman"/>
            <w:color w:val="000000" w:themeColor="text1"/>
            <w:sz w:val="18"/>
            <w:szCs w:val="18"/>
            <w:lang w:val="en-GB"/>
          </w:rPr>
          <w:t>http://hudoc.echr.coe.int/fre?i=001-160358</w:t>
        </w:r>
      </w:hyperlink>
    </w:p>
  </w:footnote>
  <w:footnote w:id="16">
    <w:p w14:paraId="4B8F2AD1" w14:textId="77777777" w:rsidR="008C03F7" w:rsidRPr="00B114DA" w:rsidRDefault="008C03F7" w:rsidP="00373874">
      <w:pPr>
        <w:pStyle w:val="NoSpacing"/>
        <w:jc w:val="both"/>
        <w:rPr>
          <w:rFonts w:ascii="Times New Roman" w:hAnsi="Times New Roman" w:cs="Times New Roman"/>
          <w:color w:val="000000" w:themeColor="text1"/>
          <w:sz w:val="18"/>
          <w:szCs w:val="18"/>
          <w:lang w:val="en-GB"/>
        </w:rPr>
      </w:pPr>
      <w:r w:rsidRPr="00F02988">
        <w:rPr>
          <w:rStyle w:val="FootnoteReference"/>
          <w:rFonts w:cs="Times New Roman"/>
          <w:color w:val="000000" w:themeColor="text1"/>
          <w:szCs w:val="18"/>
          <w:lang w:val="en-GB"/>
        </w:rPr>
        <w:footnoteRef/>
      </w:r>
      <w:r w:rsidRPr="00F02988">
        <w:rPr>
          <w:rFonts w:ascii="Times New Roman" w:hAnsi="Times New Roman" w:cs="Times New Roman"/>
          <w:color w:val="000000" w:themeColor="text1"/>
          <w:sz w:val="18"/>
          <w:szCs w:val="18"/>
          <w:lang w:val="en-GB"/>
        </w:rPr>
        <w:t xml:space="preserve"> </w:t>
      </w:r>
      <w:proofErr w:type="spellStart"/>
      <w:r w:rsidRPr="00B114DA">
        <w:rPr>
          <w:rFonts w:ascii="Times New Roman" w:hAnsi="Times New Roman" w:cs="Times New Roman"/>
          <w:color w:val="000000" w:themeColor="text1"/>
          <w:sz w:val="18"/>
          <w:szCs w:val="18"/>
          <w:lang w:val="en-GB"/>
        </w:rPr>
        <w:t>ECtHR</w:t>
      </w:r>
      <w:proofErr w:type="spellEnd"/>
      <w:r w:rsidRPr="00B114DA">
        <w:rPr>
          <w:rFonts w:ascii="Times New Roman" w:hAnsi="Times New Roman" w:cs="Times New Roman"/>
          <w:color w:val="000000" w:themeColor="text1"/>
          <w:sz w:val="18"/>
          <w:szCs w:val="18"/>
          <w:lang w:val="en-GB"/>
        </w:rPr>
        <w:t xml:space="preserve">, </w:t>
      </w:r>
      <w:proofErr w:type="spellStart"/>
      <w:r w:rsidRPr="00B114DA">
        <w:rPr>
          <w:rFonts w:ascii="Times New Roman" w:hAnsi="Times New Roman" w:cs="Times New Roman"/>
          <w:i/>
          <w:color w:val="000000" w:themeColor="text1"/>
          <w:sz w:val="18"/>
          <w:szCs w:val="18"/>
          <w:lang w:val="en-GB"/>
        </w:rPr>
        <w:t>Perinçek</w:t>
      </w:r>
      <w:proofErr w:type="spellEnd"/>
      <w:r w:rsidRPr="00B114DA">
        <w:rPr>
          <w:rFonts w:ascii="Times New Roman" w:hAnsi="Times New Roman" w:cs="Times New Roman"/>
          <w:i/>
          <w:color w:val="000000" w:themeColor="text1"/>
          <w:sz w:val="18"/>
          <w:szCs w:val="18"/>
          <w:lang w:val="en-GB"/>
        </w:rPr>
        <w:t xml:space="preserve"> v. Switzerland</w:t>
      </w:r>
      <w:r w:rsidRPr="00B114DA">
        <w:rPr>
          <w:rFonts w:ascii="Times New Roman" w:hAnsi="Times New Roman" w:cs="Times New Roman"/>
          <w:color w:val="000000" w:themeColor="text1"/>
          <w:sz w:val="18"/>
          <w:szCs w:val="18"/>
          <w:lang w:val="en-GB"/>
        </w:rPr>
        <w:t xml:space="preserve">, 15 Oct. 2015, N°27510/08, paras. 115 and 282: </w:t>
      </w:r>
      <w:hyperlink r:id="rId11" w:history="1">
        <w:r w:rsidRPr="00B114DA">
          <w:rPr>
            <w:rStyle w:val="Hyperlink"/>
            <w:rFonts w:ascii="Times New Roman" w:hAnsi="Times New Roman" w:cs="Times New Roman"/>
            <w:color w:val="000000" w:themeColor="text1"/>
            <w:sz w:val="18"/>
            <w:szCs w:val="18"/>
            <w:lang w:val="en-GB"/>
          </w:rPr>
          <w:t>http://hudoc.echr.coe.int/eng?i=001-158216</w:t>
        </w:r>
      </w:hyperlink>
      <w:r w:rsidRPr="00B114DA">
        <w:rPr>
          <w:rFonts w:ascii="Times New Roman" w:hAnsi="Times New Roman" w:cs="Times New Roman"/>
          <w:color w:val="000000" w:themeColor="text1"/>
          <w:sz w:val="18"/>
          <w:szCs w:val="18"/>
          <w:lang w:val="en-GB"/>
        </w:rPr>
        <w:t xml:space="preserve"> </w:t>
      </w:r>
    </w:p>
  </w:footnote>
  <w:footnote w:id="17">
    <w:p w14:paraId="4E6A7269" w14:textId="77777777" w:rsidR="008C03F7" w:rsidRPr="00B114DA" w:rsidRDefault="008C03F7" w:rsidP="00373874">
      <w:pPr>
        <w:pStyle w:val="NoSpacing"/>
        <w:jc w:val="both"/>
        <w:rPr>
          <w:rFonts w:ascii="Times New Roman" w:hAnsi="Times New Roman" w:cs="Times New Roman"/>
          <w:color w:val="000000" w:themeColor="text1"/>
          <w:sz w:val="18"/>
          <w:szCs w:val="18"/>
          <w:lang w:val="en-GB"/>
        </w:rPr>
      </w:pPr>
      <w:r w:rsidRPr="00F02988">
        <w:rPr>
          <w:rStyle w:val="FootnoteReference"/>
          <w:rFonts w:cs="Times New Roman"/>
          <w:color w:val="000000" w:themeColor="text1"/>
          <w:szCs w:val="18"/>
          <w:lang w:val="en-GB"/>
        </w:rPr>
        <w:footnoteRef/>
      </w:r>
      <w:r w:rsidRPr="00B114DA">
        <w:rPr>
          <w:rFonts w:ascii="Times New Roman" w:hAnsi="Times New Roman" w:cs="Times New Roman"/>
          <w:color w:val="000000" w:themeColor="text1"/>
          <w:sz w:val="18"/>
          <w:szCs w:val="18"/>
          <w:lang w:val="en-GB"/>
        </w:rPr>
        <w:t xml:space="preserve"> Human Rights Council, </w:t>
      </w:r>
      <w:r w:rsidRPr="00B114DA">
        <w:rPr>
          <w:rFonts w:ascii="Times New Roman" w:hAnsi="Times New Roman" w:cs="Times New Roman"/>
          <w:i/>
          <w:color w:val="000000" w:themeColor="text1"/>
          <w:sz w:val="18"/>
          <w:szCs w:val="18"/>
          <w:lang w:val="en-GB"/>
        </w:rPr>
        <w:t>Joint report of the Special Rapporteur on the rights to freedom of peaceful assembly and of association and the Special Rapporteur on extrajudicial, summary or arbitrary executions on the proper management of assemblies</w:t>
      </w:r>
      <w:r w:rsidRPr="00B114DA">
        <w:rPr>
          <w:rFonts w:ascii="Times New Roman" w:hAnsi="Times New Roman" w:cs="Times New Roman"/>
          <w:color w:val="000000" w:themeColor="text1"/>
          <w:sz w:val="18"/>
          <w:szCs w:val="18"/>
          <w:lang w:val="en-GB"/>
        </w:rPr>
        <w:t xml:space="preserve">, A/HRC/31/66, 4 Feb. 2016, para. </w:t>
      </w:r>
      <w:proofErr w:type="gramStart"/>
      <w:r w:rsidRPr="00B114DA">
        <w:rPr>
          <w:rFonts w:ascii="Times New Roman" w:hAnsi="Times New Roman" w:cs="Times New Roman"/>
          <w:color w:val="000000" w:themeColor="text1"/>
          <w:sz w:val="18"/>
          <w:szCs w:val="18"/>
          <w:lang w:val="en-GB"/>
        </w:rPr>
        <w:t>33</w:t>
      </w:r>
      <w:proofErr w:type="gramEnd"/>
      <w:r w:rsidRPr="00B114DA">
        <w:rPr>
          <w:rFonts w:ascii="Times New Roman" w:hAnsi="Times New Roman" w:cs="Times New Roman"/>
          <w:color w:val="000000" w:themeColor="text1"/>
          <w:sz w:val="18"/>
          <w:szCs w:val="18"/>
          <w:lang w:val="en-GB"/>
        </w:rPr>
        <w:t xml:space="preserve">: “Restrictions on the content of assemblies may be imposed only in conformity with the legitimate limitations on rights outlined above, for example, where the message advocates national, racial or religious hatred that constitutes incitement to discrimination, hostility or violence”. </w:t>
      </w:r>
    </w:p>
  </w:footnote>
  <w:footnote w:id="18">
    <w:p w14:paraId="64B401DB" w14:textId="77777777" w:rsidR="008C03F7" w:rsidRPr="00B114DA" w:rsidRDefault="008C03F7" w:rsidP="00373874">
      <w:pPr>
        <w:pStyle w:val="NoSpacing"/>
        <w:jc w:val="both"/>
        <w:rPr>
          <w:rFonts w:ascii="Times New Roman" w:hAnsi="Times New Roman" w:cs="Times New Roman"/>
          <w:color w:val="000000" w:themeColor="text1"/>
          <w:sz w:val="18"/>
          <w:szCs w:val="18"/>
          <w:lang w:val="en-GB"/>
        </w:rPr>
      </w:pPr>
      <w:r w:rsidRPr="00F02988">
        <w:rPr>
          <w:rStyle w:val="FootnoteReference"/>
          <w:rFonts w:cs="Times New Roman"/>
          <w:color w:val="000000" w:themeColor="text1"/>
          <w:szCs w:val="18"/>
          <w:lang w:val="en-GB"/>
        </w:rPr>
        <w:footnoteRef/>
      </w:r>
      <w:r w:rsidRPr="00F02988">
        <w:rPr>
          <w:rFonts w:ascii="Times New Roman" w:hAnsi="Times New Roman" w:cs="Times New Roman"/>
          <w:color w:val="000000" w:themeColor="text1"/>
          <w:sz w:val="18"/>
          <w:szCs w:val="18"/>
          <w:lang w:val="en-GB"/>
        </w:rPr>
        <w:t xml:space="preserve"> </w:t>
      </w:r>
      <w:r w:rsidRPr="00B114DA">
        <w:rPr>
          <w:rFonts w:ascii="Times New Roman" w:hAnsi="Times New Roman" w:cs="Times New Roman"/>
          <w:color w:val="000000" w:themeColor="text1"/>
          <w:sz w:val="18"/>
          <w:szCs w:val="18"/>
          <w:lang w:val="en-GB"/>
        </w:rPr>
        <w:t xml:space="preserve">The Human Rights Committee makes that parallel between freedom of expression and right of peaceful assembly when it specifies, in footnote 62 of its Draft General Comment </w:t>
      </w:r>
      <w:proofErr w:type="spellStart"/>
      <w:r w:rsidRPr="00B114DA">
        <w:rPr>
          <w:rFonts w:ascii="Times New Roman" w:hAnsi="Times New Roman" w:cs="Times New Roman"/>
          <w:color w:val="000000" w:themeColor="text1"/>
          <w:sz w:val="18"/>
          <w:szCs w:val="18"/>
          <w:lang w:val="en-GB"/>
        </w:rPr>
        <w:t>n</w:t>
      </w:r>
      <w:proofErr w:type="spellEnd"/>
      <w:r w:rsidRPr="00B114DA">
        <w:rPr>
          <w:rFonts w:ascii="Times New Roman" w:hAnsi="Times New Roman" w:cs="Times New Roman"/>
          <w:color w:val="000000" w:themeColor="text1"/>
          <w:sz w:val="18"/>
          <w:szCs w:val="18"/>
          <w:lang w:val="en-GB"/>
        </w:rPr>
        <w:t>°37, that “any restrictions pursuant to article 20(2) should be justified in terms of the requirements posed for restriction by article 19 or 21”.</w:t>
      </w:r>
    </w:p>
  </w:footnote>
  <w:footnote w:id="19">
    <w:p w14:paraId="68B814FC" w14:textId="77777777" w:rsidR="008C03F7" w:rsidRPr="00B114DA" w:rsidRDefault="008C03F7" w:rsidP="00373874">
      <w:pPr>
        <w:pStyle w:val="NoSpacing"/>
        <w:jc w:val="both"/>
        <w:rPr>
          <w:rFonts w:ascii="Times New Roman" w:hAnsi="Times New Roman" w:cs="Times New Roman"/>
          <w:color w:val="000000" w:themeColor="text1"/>
          <w:sz w:val="18"/>
          <w:szCs w:val="18"/>
        </w:rPr>
      </w:pPr>
      <w:r w:rsidRPr="00F02988">
        <w:rPr>
          <w:rStyle w:val="FootnoteReference"/>
          <w:rFonts w:cs="Times New Roman"/>
          <w:color w:val="000000" w:themeColor="text1"/>
          <w:szCs w:val="18"/>
        </w:rPr>
        <w:footnoteRef/>
      </w:r>
      <w:r w:rsidRPr="00B114DA">
        <w:rPr>
          <w:rFonts w:ascii="Times New Roman" w:hAnsi="Times New Roman" w:cs="Times New Roman"/>
          <w:color w:val="000000" w:themeColor="text1"/>
          <w:sz w:val="18"/>
          <w:szCs w:val="18"/>
        </w:rPr>
        <w:t xml:space="preserve"> </w:t>
      </w:r>
      <w:r w:rsidRPr="00B114DA">
        <w:rPr>
          <w:rFonts w:ascii="Times New Roman" w:hAnsi="Times New Roman" w:cs="Times New Roman"/>
          <w:color w:val="000000" w:themeColor="text1"/>
          <w:sz w:val="18"/>
          <w:szCs w:val="18"/>
          <w:lang w:val="en-GB"/>
        </w:rPr>
        <w:t xml:space="preserve">CCPR, General Comment </w:t>
      </w:r>
      <w:proofErr w:type="spellStart"/>
      <w:r w:rsidRPr="00B114DA">
        <w:rPr>
          <w:rFonts w:ascii="Times New Roman" w:hAnsi="Times New Roman" w:cs="Times New Roman"/>
          <w:color w:val="000000" w:themeColor="text1"/>
          <w:sz w:val="18"/>
          <w:szCs w:val="18"/>
          <w:lang w:val="en-GB"/>
        </w:rPr>
        <w:t>n</w:t>
      </w:r>
      <w:proofErr w:type="spellEnd"/>
      <w:r w:rsidRPr="00B114DA">
        <w:rPr>
          <w:rFonts w:ascii="Times New Roman" w:hAnsi="Times New Roman" w:cs="Times New Roman"/>
          <w:color w:val="000000" w:themeColor="text1"/>
          <w:sz w:val="18"/>
          <w:szCs w:val="18"/>
          <w:lang w:val="en-GB"/>
        </w:rPr>
        <w:t xml:space="preserve">°34, </w:t>
      </w:r>
      <w:r w:rsidRPr="00B114DA">
        <w:rPr>
          <w:rFonts w:ascii="Times New Roman" w:hAnsi="Times New Roman" w:cs="Times New Roman"/>
          <w:i/>
          <w:color w:val="000000" w:themeColor="text1"/>
          <w:sz w:val="18"/>
          <w:szCs w:val="18"/>
          <w:lang w:val="en-GB"/>
        </w:rPr>
        <w:t>Freedom of opinion and expression</w:t>
      </w:r>
      <w:r w:rsidRPr="00B114DA">
        <w:rPr>
          <w:rFonts w:ascii="Times New Roman" w:hAnsi="Times New Roman" w:cs="Times New Roman"/>
          <w:color w:val="000000" w:themeColor="text1"/>
          <w:sz w:val="18"/>
          <w:szCs w:val="18"/>
          <w:lang w:val="en-GB"/>
        </w:rPr>
        <w:t xml:space="preserve">, CCPR/C/GC/34, 2011, para. 50. See also CCPR, </w:t>
      </w:r>
      <w:r w:rsidRPr="00B114DA">
        <w:rPr>
          <w:rFonts w:ascii="Times New Roman" w:hAnsi="Times New Roman" w:cs="Times New Roman"/>
          <w:color w:val="000000" w:themeColor="text1"/>
          <w:sz w:val="18"/>
          <w:szCs w:val="18"/>
          <w:lang w:val="en-GB" w:eastAsia="fr-FR"/>
        </w:rPr>
        <w:t xml:space="preserve">communication n°2124/2011, </w:t>
      </w:r>
      <w:proofErr w:type="spellStart"/>
      <w:r w:rsidRPr="00B114DA">
        <w:rPr>
          <w:rFonts w:ascii="Times New Roman" w:hAnsi="Times New Roman" w:cs="Times New Roman"/>
          <w:i/>
          <w:color w:val="000000" w:themeColor="text1"/>
          <w:sz w:val="18"/>
          <w:szCs w:val="18"/>
          <w:lang w:val="en-GB" w:eastAsia="fr-FR"/>
        </w:rPr>
        <w:t>Rabbae</w:t>
      </w:r>
      <w:proofErr w:type="spellEnd"/>
      <w:r w:rsidRPr="00B114DA">
        <w:rPr>
          <w:rFonts w:ascii="Times New Roman" w:hAnsi="Times New Roman" w:cs="Times New Roman"/>
          <w:i/>
          <w:color w:val="000000" w:themeColor="text1"/>
          <w:sz w:val="18"/>
          <w:szCs w:val="18"/>
          <w:lang w:val="en-GB" w:eastAsia="fr-FR"/>
        </w:rPr>
        <w:t xml:space="preserve"> v. The Netherlands</w:t>
      </w:r>
      <w:r w:rsidRPr="00B114DA">
        <w:rPr>
          <w:rFonts w:ascii="Times New Roman" w:hAnsi="Times New Roman" w:cs="Times New Roman"/>
          <w:color w:val="000000" w:themeColor="text1"/>
          <w:sz w:val="18"/>
          <w:szCs w:val="18"/>
          <w:lang w:val="en-GB" w:eastAsia="fr-FR"/>
        </w:rPr>
        <w:t>, views adopted on 14 July 2016, para. 10.4</w:t>
      </w:r>
    </w:p>
  </w:footnote>
  <w:footnote w:id="20">
    <w:p w14:paraId="7909ECFF" w14:textId="77777777" w:rsidR="008C03F7" w:rsidRPr="00B114DA" w:rsidRDefault="008C03F7" w:rsidP="00373874">
      <w:pPr>
        <w:pStyle w:val="NoSpacing"/>
        <w:jc w:val="both"/>
        <w:rPr>
          <w:rFonts w:ascii="Times New Roman" w:hAnsi="Times New Roman" w:cs="Times New Roman"/>
          <w:color w:val="000000" w:themeColor="text1"/>
          <w:sz w:val="18"/>
          <w:szCs w:val="18"/>
        </w:rPr>
      </w:pPr>
      <w:r w:rsidRPr="00F02988">
        <w:rPr>
          <w:rStyle w:val="FootnoteReference"/>
          <w:rFonts w:cs="Times New Roman"/>
          <w:color w:val="000000" w:themeColor="text1"/>
          <w:szCs w:val="18"/>
        </w:rPr>
        <w:footnoteRef/>
      </w:r>
      <w:r w:rsidRPr="00F02988">
        <w:rPr>
          <w:rFonts w:ascii="Times New Roman" w:hAnsi="Times New Roman" w:cs="Times New Roman"/>
          <w:color w:val="000000" w:themeColor="text1"/>
          <w:sz w:val="18"/>
          <w:szCs w:val="18"/>
        </w:rPr>
        <w:t xml:space="preserve"> </w:t>
      </w:r>
      <w:r w:rsidRPr="00B114DA">
        <w:rPr>
          <w:rFonts w:ascii="Times New Roman" w:hAnsi="Times New Roman" w:cs="Times New Roman"/>
          <w:color w:val="000000" w:themeColor="text1"/>
          <w:sz w:val="18"/>
          <w:szCs w:val="18"/>
          <w:lang w:val="en-GB"/>
        </w:rPr>
        <w:t xml:space="preserve">CCPR, communication n°2124/2011, </w:t>
      </w:r>
      <w:proofErr w:type="spellStart"/>
      <w:r w:rsidRPr="00B114DA">
        <w:rPr>
          <w:rFonts w:ascii="Times New Roman" w:hAnsi="Times New Roman" w:cs="Times New Roman"/>
          <w:i/>
          <w:color w:val="000000" w:themeColor="text1"/>
          <w:sz w:val="18"/>
          <w:szCs w:val="18"/>
          <w:lang w:val="en-GB"/>
        </w:rPr>
        <w:t>Rabbae</w:t>
      </w:r>
      <w:proofErr w:type="spellEnd"/>
      <w:r w:rsidRPr="00B114DA">
        <w:rPr>
          <w:rFonts w:ascii="Times New Roman" w:hAnsi="Times New Roman" w:cs="Times New Roman"/>
          <w:i/>
          <w:color w:val="000000" w:themeColor="text1"/>
          <w:sz w:val="18"/>
          <w:szCs w:val="18"/>
          <w:lang w:val="en-GB"/>
        </w:rPr>
        <w:t xml:space="preserve"> v. The Netherlands</w:t>
      </w:r>
      <w:r w:rsidRPr="00B114DA">
        <w:rPr>
          <w:rFonts w:ascii="Times New Roman" w:hAnsi="Times New Roman" w:cs="Times New Roman"/>
          <w:color w:val="000000" w:themeColor="text1"/>
          <w:sz w:val="18"/>
          <w:szCs w:val="18"/>
          <w:lang w:val="en-GB"/>
        </w:rPr>
        <w:t>, views adopted on 14 July 2016, para. 10.4</w:t>
      </w:r>
    </w:p>
  </w:footnote>
  <w:footnote w:id="21">
    <w:p w14:paraId="0CD5F098" w14:textId="77777777" w:rsidR="008C03F7" w:rsidRPr="00B114DA" w:rsidRDefault="008C03F7" w:rsidP="00373874">
      <w:pPr>
        <w:pStyle w:val="NoSpacing"/>
        <w:jc w:val="both"/>
        <w:rPr>
          <w:rFonts w:ascii="Times New Roman" w:hAnsi="Times New Roman" w:cs="Times New Roman"/>
          <w:color w:val="000000" w:themeColor="text1"/>
          <w:sz w:val="18"/>
          <w:szCs w:val="18"/>
          <w:lang w:val="en-GB"/>
        </w:rPr>
      </w:pPr>
      <w:r w:rsidRPr="00F02988">
        <w:rPr>
          <w:rStyle w:val="FootnoteReference"/>
          <w:rFonts w:cs="Times New Roman"/>
          <w:color w:val="000000" w:themeColor="text1"/>
          <w:szCs w:val="18"/>
          <w:lang w:val="en-GB"/>
        </w:rPr>
        <w:footnoteRef/>
      </w:r>
      <w:r w:rsidRPr="00F02988">
        <w:rPr>
          <w:rFonts w:ascii="Times New Roman" w:hAnsi="Times New Roman" w:cs="Times New Roman"/>
          <w:color w:val="000000" w:themeColor="text1"/>
          <w:sz w:val="18"/>
          <w:szCs w:val="18"/>
          <w:lang w:val="en-GB"/>
        </w:rPr>
        <w:t xml:space="preserve"> </w:t>
      </w:r>
      <w:r w:rsidRPr="00B114DA">
        <w:rPr>
          <w:rFonts w:ascii="Times New Roman" w:hAnsi="Times New Roman" w:cs="Times New Roman"/>
          <w:color w:val="000000" w:themeColor="text1"/>
          <w:sz w:val="18"/>
          <w:szCs w:val="18"/>
          <w:lang w:val="en-GB"/>
        </w:rPr>
        <w:t xml:space="preserve">CERD, General Recommendation n°35, </w:t>
      </w:r>
      <w:r w:rsidRPr="00B114DA">
        <w:rPr>
          <w:rFonts w:ascii="Times New Roman" w:hAnsi="Times New Roman" w:cs="Times New Roman"/>
          <w:i/>
          <w:color w:val="000000" w:themeColor="text1"/>
          <w:sz w:val="18"/>
          <w:szCs w:val="18"/>
          <w:lang w:val="en-GB"/>
        </w:rPr>
        <w:t>Combatting racists hate speech</w:t>
      </w:r>
      <w:r w:rsidRPr="00B114DA">
        <w:rPr>
          <w:rFonts w:ascii="Times New Roman" w:hAnsi="Times New Roman" w:cs="Times New Roman"/>
          <w:color w:val="000000" w:themeColor="text1"/>
          <w:sz w:val="18"/>
          <w:szCs w:val="18"/>
          <w:lang w:val="en-GB"/>
        </w:rPr>
        <w:t>, CERD/C/GC/35, 2013, paras. 26 and 45</w:t>
      </w:r>
    </w:p>
  </w:footnote>
  <w:footnote w:id="22">
    <w:p w14:paraId="067BB7BC" w14:textId="77777777" w:rsidR="008C03F7" w:rsidRPr="00B114DA" w:rsidRDefault="008C03F7" w:rsidP="00373874">
      <w:pPr>
        <w:pStyle w:val="NoSpacing"/>
        <w:jc w:val="both"/>
        <w:rPr>
          <w:rFonts w:ascii="Times New Roman" w:hAnsi="Times New Roman" w:cs="Times New Roman"/>
          <w:color w:val="000000" w:themeColor="text1"/>
          <w:sz w:val="18"/>
          <w:szCs w:val="18"/>
          <w:lang w:val="en-GB"/>
        </w:rPr>
      </w:pPr>
      <w:r w:rsidRPr="00F02988">
        <w:rPr>
          <w:rStyle w:val="FootnoteReference"/>
          <w:rFonts w:cs="Times New Roman"/>
          <w:color w:val="000000" w:themeColor="text1"/>
          <w:szCs w:val="18"/>
          <w:lang w:val="en-GB"/>
        </w:rPr>
        <w:footnoteRef/>
      </w:r>
      <w:r w:rsidRPr="00F02988">
        <w:rPr>
          <w:rFonts w:ascii="Times New Roman" w:hAnsi="Times New Roman" w:cs="Times New Roman"/>
          <w:color w:val="000000" w:themeColor="text1"/>
          <w:sz w:val="18"/>
          <w:szCs w:val="18"/>
          <w:lang w:val="en-GB"/>
        </w:rPr>
        <w:t xml:space="preserve"> </w:t>
      </w:r>
      <w:r w:rsidRPr="00B114DA">
        <w:rPr>
          <w:rFonts w:ascii="Times New Roman" w:hAnsi="Times New Roman" w:cs="Times New Roman"/>
          <w:i/>
          <w:color w:val="000000" w:themeColor="text1"/>
          <w:sz w:val="18"/>
          <w:szCs w:val="18"/>
          <w:lang w:val="en-GB"/>
        </w:rPr>
        <w:t>Ibid</w:t>
      </w:r>
      <w:r w:rsidRPr="00B114DA">
        <w:rPr>
          <w:rFonts w:ascii="Times New Roman" w:hAnsi="Times New Roman" w:cs="Times New Roman"/>
          <w:color w:val="000000" w:themeColor="text1"/>
          <w:sz w:val="18"/>
          <w:szCs w:val="18"/>
          <w:lang w:val="en-GB"/>
        </w:rPr>
        <w:t>, para. 15. See also Rabat Plan of Action (2012), A/HRC/22/17/Add.4, annex, para. 29</w:t>
      </w:r>
    </w:p>
  </w:footnote>
  <w:footnote w:id="23">
    <w:p w14:paraId="534469D5" w14:textId="77777777" w:rsidR="008C03F7" w:rsidRPr="00B114DA" w:rsidRDefault="008C03F7" w:rsidP="00373874">
      <w:pPr>
        <w:pStyle w:val="NoSpacing"/>
        <w:jc w:val="both"/>
        <w:rPr>
          <w:rFonts w:ascii="Times New Roman" w:hAnsi="Times New Roman" w:cs="Times New Roman"/>
          <w:color w:val="000000" w:themeColor="text1"/>
          <w:sz w:val="18"/>
          <w:szCs w:val="18"/>
          <w:lang w:val="en-GB"/>
        </w:rPr>
      </w:pPr>
      <w:r w:rsidRPr="00F02988">
        <w:rPr>
          <w:rStyle w:val="FootnoteCharacters"/>
          <w:rFonts w:ascii="Times New Roman" w:hAnsi="Times New Roman" w:cs="Times New Roman"/>
          <w:color w:val="000000" w:themeColor="text1"/>
          <w:sz w:val="18"/>
          <w:szCs w:val="18"/>
          <w:vertAlign w:val="superscript"/>
          <w:lang w:val="en-GB"/>
        </w:rPr>
        <w:footnoteRef/>
      </w:r>
      <w:r w:rsidRPr="00B114DA">
        <w:rPr>
          <w:rFonts w:ascii="Times New Roman" w:hAnsi="Times New Roman" w:cs="Times New Roman"/>
          <w:color w:val="000000" w:themeColor="text1"/>
          <w:sz w:val="18"/>
          <w:szCs w:val="18"/>
          <w:lang w:val="en-GB"/>
        </w:rPr>
        <w:t xml:space="preserve"> OSCE/ODIHR, </w:t>
      </w:r>
      <w:r w:rsidRPr="00B114DA">
        <w:rPr>
          <w:rFonts w:ascii="Times New Roman" w:hAnsi="Times New Roman" w:cs="Times New Roman"/>
          <w:i/>
          <w:iCs/>
          <w:color w:val="000000" w:themeColor="text1"/>
          <w:sz w:val="18"/>
          <w:szCs w:val="18"/>
          <w:lang w:val="en-GB"/>
        </w:rPr>
        <w:t>Guidelines on Freedom of Peaceful Assembly</w:t>
      </w:r>
      <w:r w:rsidRPr="00B114DA">
        <w:rPr>
          <w:rFonts w:ascii="Times New Roman" w:hAnsi="Times New Roman" w:cs="Times New Roman"/>
          <w:color w:val="000000" w:themeColor="text1"/>
          <w:sz w:val="18"/>
          <w:szCs w:val="18"/>
          <w:lang w:val="en-GB"/>
        </w:rPr>
        <w:t xml:space="preserve">, 2019, para. 34 </w:t>
      </w:r>
      <w:hyperlink r:id="rId12" w:history="1">
        <w:r w:rsidRPr="00B114DA">
          <w:rPr>
            <w:rStyle w:val="Hyperlink"/>
            <w:rFonts w:ascii="Times New Roman" w:hAnsi="Times New Roman" w:cs="Times New Roman"/>
            <w:color w:val="000000" w:themeColor="text1"/>
            <w:sz w:val="18"/>
            <w:szCs w:val="18"/>
            <w:lang w:val="en-GB"/>
          </w:rPr>
          <w:t>https://www.venice.coe.int/webforms/documents/?pdf=CDL-AD(2019)017-e</w:t>
        </w:r>
      </w:hyperlink>
      <w:r w:rsidRPr="00B114DA">
        <w:rPr>
          <w:rFonts w:ascii="Times New Roman" w:hAnsi="Times New Roman" w:cs="Times New Roman"/>
          <w:color w:val="000000" w:themeColor="text1"/>
          <w:sz w:val="18"/>
          <w:szCs w:val="18"/>
          <w:lang w:val="en-GB"/>
        </w:rPr>
        <w:t xml:space="preserve"> </w:t>
      </w:r>
    </w:p>
  </w:footnote>
  <w:footnote w:id="24">
    <w:p w14:paraId="029CF59C" w14:textId="77777777" w:rsidR="008C03F7" w:rsidRPr="00B114DA" w:rsidRDefault="008C03F7" w:rsidP="00373874">
      <w:pPr>
        <w:pStyle w:val="NoSpacing"/>
        <w:jc w:val="both"/>
        <w:rPr>
          <w:rFonts w:ascii="Times New Roman" w:hAnsi="Times New Roman" w:cs="Times New Roman"/>
          <w:color w:val="000000" w:themeColor="text1"/>
          <w:sz w:val="18"/>
          <w:szCs w:val="18"/>
          <w:lang w:val="en-GB"/>
        </w:rPr>
      </w:pPr>
      <w:r w:rsidRPr="00F02988">
        <w:rPr>
          <w:rStyle w:val="FootnoteCharacters"/>
          <w:rFonts w:ascii="Times New Roman" w:hAnsi="Times New Roman" w:cs="Times New Roman"/>
          <w:color w:val="000000" w:themeColor="text1"/>
          <w:sz w:val="18"/>
          <w:szCs w:val="18"/>
          <w:vertAlign w:val="superscript"/>
          <w:lang w:val="en-GB"/>
        </w:rPr>
        <w:footnoteRef/>
      </w:r>
      <w:r w:rsidRPr="00F02988">
        <w:rPr>
          <w:rFonts w:ascii="Times New Roman" w:hAnsi="Times New Roman" w:cs="Times New Roman"/>
          <w:color w:val="000000" w:themeColor="text1"/>
          <w:sz w:val="18"/>
          <w:szCs w:val="18"/>
          <w:lang w:val="en-GB"/>
        </w:rPr>
        <w:t xml:space="preserve"> </w:t>
      </w:r>
      <w:r w:rsidRPr="00B114DA">
        <w:rPr>
          <w:rFonts w:ascii="Times New Roman" w:hAnsi="Times New Roman" w:cs="Times New Roman"/>
          <w:i/>
          <w:color w:val="000000" w:themeColor="text1"/>
          <w:sz w:val="18"/>
          <w:szCs w:val="18"/>
          <w:lang w:val="en-GB"/>
        </w:rPr>
        <w:t>Ibid</w:t>
      </w:r>
      <w:r w:rsidRPr="00B114DA">
        <w:rPr>
          <w:rFonts w:ascii="Times New Roman" w:hAnsi="Times New Roman" w:cs="Times New Roman"/>
          <w:color w:val="000000" w:themeColor="text1"/>
          <w:sz w:val="18"/>
          <w:szCs w:val="18"/>
          <w:lang w:val="en-GB"/>
        </w:rPr>
        <w:t>, para. 204</w:t>
      </w:r>
    </w:p>
  </w:footnote>
  <w:footnote w:id="25">
    <w:p w14:paraId="5A87245B" w14:textId="77777777" w:rsidR="008C03F7" w:rsidRPr="00B114DA" w:rsidRDefault="008C03F7" w:rsidP="00373874">
      <w:pPr>
        <w:pStyle w:val="NoSpacing"/>
        <w:jc w:val="both"/>
        <w:rPr>
          <w:rFonts w:ascii="Times New Roman" w:hAnsi="Times New Roman" w:cs="Times New Roman"/>
          <w:color w:val="000000" w:themeColor="text1"/>
          <w:sz w:val="18"/>
          <w:szCs w:val="18"/>
          <w:lang w:val="en-GB"/>
        </w:rPr>
      </w:pPr>
      <w:r w:rsidRPr="00F02988">
        <w:rPr>
          <w:rStyle w:val="FootnoteCharacters"/>
          <w:rFonts w:ascii="Times New Roman" w:hAnsi="Times New Roman" w:cs="Times New Roman"/>
          <w:color w:val="000000" w:themeColor="text1"/>
          <w:sz w:val="18"/>
          <w:szCs w:val="18"/>
          <w:vertAlign w:val="superscript"/>
          <w:lang w:val="en-GB"/>
        </w:rPr>
        <w:footnoteRef/>
      </w:r>
      <w:r w:rsidRPr="00F02988">
        <w:rPr>
          <w:rFonts w:ascii="Times New Roman" w:hAnsi="Times New Roman" w:cs="Times New Roman"/>
          <w:color w:val="000000" w:themeColor="text1"/>
          <w:sz w:val="18"/>
          <w:szCs w:val="18"/>
          <w:lang w:val="en-GB"/>
        </w:rPr>
        <w:t xml:space="preserve"> </w:t>
      </w:r>
      <w:r w:rsidRPr="00B114DA">
        <w:rPr>
          <w:rFonts w:ascii="Times New Roman" w:hAnsi="Times New Roman" w:cs="Times New Roman"/>
          <w:i/>
          <w:color w:val="000000" w:themeColor="text1"/>
          <w:sz w:val="18"/>
          <w:szCs w:val="18"/>
          <w:lang w:val="en-GB"/>
        </w:rPr>
        <w:t>Ibid</w:t>
      </w:r>
      <w:r w:rsidRPr="00B114DA">
        <w:rPr>
          <w:rFonts w:ascii="Times New Roman" w:hAnsi="Times New Roman" w:cs="Times New Roman"/>
          <w:color w:val="000000" w:themeColor="text1"/>
          <w:sz w:val="18"/>
          <w:szCs w:val="18"/>
          <w:lang w:val="en-GB"/>
        </w:rPr>
        <w:t>, para. 34</w:t>
      </w:r>
    </w:p>
  </w:footnote>
  <w:footnote w:id="26">
    <w:p w14:paraId="0D8AAA3B" w14:textId="77777777" w:rsidR="008C03F7" w:rsidRPr="00B114DA" w:rsidRDefault="008C03F7" w:rsidP="00373874">
      <w:pPr>
        <w:pStyle w:val="NoSpacing"/>
        <w:jc w:val="both"/>
        <w:rPr>
          <w:rFonts w:ascii="Times New Roman" w:hAnsi="Times New Roman" w:cs="Times New Roman"/>
          <w:color w:val="000000" w:themeColor="text1"/>
          <w:sz w:val="18"/>
          <w:szCs w:val="18"/>
          <w:lang w:val="en-GB"/>
        </w:rPr>
      </w:pPr>
      <w:r w:rsidRPr="00F02988">
        <w:rPr>
          <w:rStyle w:val="FootnoteCharacters"/>
          <w:rFonts w:ascii="Times New Roman" w:hAnsi="Times New Roman" w:cs="Times New Roman"/>
          <w:color w:val="000000" w:themeColor="text1"/>
          <w:sz w:val="18"/>
          <w:szCs w:val="18"/>
          <w:vertAlign w:val="superscript"/>
          <w:lang w:val="en-GB"/>
        </w:rPr>
        <w:footnoteRef/>
      </w:r>
      <w:r w:rsidRPr="00B114DA">
        <w:rPr>
          <w:rFonts w:ascii="Times New Roman" w:hAnsi="Times New Roman" w:cs="Times New Roman"/>
          <w:color w:val="000000" w:themeColor="text1"/>
          <w:sz w:val="18"/>
          <w:szCs w:val="18"/>
          <w:lang w:val="en-GB"/>
        </w:rPr>
        <w:t xml:space="preserve"> See the alert on the Council of Europe’s platform: </w:t>
      </w:r>
      <w:hyperlink r:id="rId13" w:history="1">
        <w:r w:rsidRPr="00B114DA">
          <w:rPr>
            <w:rStyle w:val="Hyperlink"/>
            <w:rFonts w:ascii="Times New Roman" w:hAnsi="Times New Roman" w:cs="Times New Roman"/>
            <w:color w:val="000000" w:themeColor="text1"/>
            <w:sz w:val="18"/>
            <w:szCs w:val="18"/>
            <w:lang w:val="en-GB"/>
          </w:rPr>
          <w:t>https://is.gd/23y8RQ</w:t>
        </w:r>
      </w:hyperlink>
      <w:r w:rsidRPr="00B114DA">
        <w:rPr>
          <w:rFonts w:ascii="Times New Roman" w:hAnsi="Times New Roman" w:cs="Times New Roman"/>
          <w:color w:val="000000" w:themeColor="text1"/>
          <w:sz w:val="18"/>
          <w:szCs w:val="18"/>
          <w:lang w:val="en-GB"/>
        </w:rPr>
        <w:t xml:space="preserve"> </w:t>
      </w:r>
    </w:p>
  </w:footnote>
  <w:footnote w:id="27">
    <w:p w14:paraId="1BB14485" w14:textId="77777777" w:rsidR="008C03F7" w:rsidRPr="00B114DA" w:rsidRDefault="008C03F7" w:rsidP="00373874">
      <w:pPr>
        <w:jc w:val="both"/>
        <w:rPr>
          <w:color w:val="000000" w:themeColor="text1"/>
          <w:sz w:val="18"/>
          <w:szCs w:val="18"/>
        </w:rPr>
      </w:pPr>
      <w:r w:rsidRPr="00F02988">
        <w:rPr>
          <w:rStyle w:val="FootnoteCharacters"/>
          <w:color w:val="000000" w:themeColor="text1"/>
          <w:sz w:val="18"/>
          <w:szCs w:val="18"/>
          <w:vertAlign w:val="superscript"/>
          <w:lang w:val="en-GB"/>
        </w:rPr>
        <w:footnoteRef/>
      </w:r>
      <w:r w:rsidRPr="00B114DA">
        <w:rPr>
          <w:color w:val="000000" w:themeColor="text1"/>
          <w:sz w:val="18"/>
          <w:szCs w:val="18"/>
          <w:lang w:val="en-GB"/>
        </w:rPr>
        <w:t xml:space="preserve"> CNCDH, </w:t>
      </w:r>
      <w:proofErr w:type="spellStart"/>
      <w:r w:rsidRPr="00B114DA">
        <w:rPr>
          <w:i/>
          <w:iCs/>
          <w:color w:val="000000" w:themeColor="text1"/>
          <w:sz w:val="18"/>
          <w:szCs w:val="18"/>
          <w:lang w:val="en-GB"/>
        </w:rPr>
        <w:t>Déclaration</w:t>
      </w:r>
      <w:proofErr w:type="spellEnd"/>
      <w:r w:rsidRPr="00B114DA">
        <w:rPr>
          <w:i/>
          <w:iCs/>
          <w:color w:val="000000" w:themeColor="text1"/>
          <w:sz w:val="18"/>
          <w:szCs w:val="18"/>
          <w:lang w:val="en-GB"/>
        </w:rPr>
        <w:t xml:space="preserve"> sur les </w:t>
      </w:r>
      <w:proofErr w:type="spellStart"/>
      <w:r w:rsidRPr="00B114DA">
        <w:rPr>
          <w:i/>
          <w:iCs/>
          <w:color w:val="000000" w:themeColor="text1"/>
          <w:sz w:val="18"/>
          <w:szCs w:val="18"/>
          <w:lang w:val="en-GB"/>
        </w:rPr>
        <w:t>violences</w:t>
      </w:r>
      <w:proofErr w:type="spellEnd"/>
      <w:r w:rsidRPr="00B114DA">
        <w:rPr>
          <w:i/>
          <w:iCs/>
          <w:color w:val="000000" w:themeColor="text1"/>
          <w:sz w:val="18"/>
          <w:szCs w:val="18"/>
          <w:lang w:val="en-GB"/>
        </w:rPr>
        <w:t xml:space="preserve"> </w:t>
      </w:r>
      <w:proofErr w:type="spellStart"/>
      <w:r w:rsidRPr="00B114DA">
        <w:rPr>
          <w:i/>
          <w:iCs/>
          <w:color w:val="000000" w:themeColor="text1"/>
          <w:sz w:val="18"/>
          <w:szCs w:val="18"/>
          <w:lang w:val="en-GB"/>
        </w:rPr>
        <w:t>policières</w:t>
      </w:r>
      <w:proofErr w:type="spellEnd"/>
      <w:r w:rsidRPr="00B114DA">
        <w:rPr>
          <w:i/>
          <w:iCs/>
          <w:color w:val="000000" w:themeColor="text1"/>
          <w:sz w:val="18"/>
          <w:szCs w:val="18"/>
          <w:lang w:val="en-GB"/>
        </w:rPr>
        <w:t xml:space="preserve"> </w:t>
      </w:r>
      <w:proofErr w:type="spellStart"/>
      <w:r w:rsidRPr="00B114DA">
        <w:rPr>
          <w:i/>
          <w:iCs/>
          <w:color w:val="000000" w:themeColor="text1"/>
          <w:sz w:val="18"/>
          <w:szCs w:val="18"/>
          <w:lang w:val="en-GB"/>
        </w:rPr>
        <w:t>illégitimes</w:t>
      </w:r>
      <w:proofErr w:type="spellEnd"/>
      <w:r w:rsidRPr="00B114DA">
        <w:rPr>
          <w:color w:val="000000" w:themeColor="text1"/>
          <w:sz w:val="18"/>
          <w:szCs w:val="18"/>
          <w:lang w:val="en-GB"/>
        </w:rPr>
        <w:t xml:space="preserve">, 28 </w:t>
      </w:r>
      <w:proofErr w:type="spellStart"/>
      <w:r w:rsidRPr="00B114DA">
        <w:rPr>
          <w:color w:val="000000" w:themeColor="text1"/>
          <w:sz w:val="18"/>
          <w:szCs w:val="18"/>
          <w:lang w:val="en-GB"/>
        </w:rPr>
        <w:t>janvier</w:t>
      </w:r>
      <w:proofErr w:type="spellEnd"/>
      <w:r w:rsidRPr="00B114DA">
        <w:rPr>
          <w:color w:val="000000" w:themeColor="text1"/>
          <w:sz w:val="18"/>
          <w:szCs w:val="18"/>
          <w:lang w:val="en-GB"/>
        </w:rPr>
        <w:t xml:space="preserve"> 2020: </w:t>
      </w:r>
      <w:hyperlink r:id="rId14" w:history="1">
        <w:r w:rsidRPr="00B114DA">
          <w:rPr>
            <w:rStyle w:val="Hyperlink"/>
            <w:color w:val="000000" w:themeColor="text1"/>
            <w:sz w:val="18"/>
            <w:szCs w:val="18"/>
            <w:lang w:val="en-GB"/>
          </w:rPr>
          <w:t>https://is.gd/hvnHCQ</w:t>
        </w:r>
      </w:hyperlink>
      <w:r w:rsidRPr="00B114DA">
        <w:rPr>
          <w:color w:val="000000" w:themeColor="text1"/>
          <w:sz w:val="18"/>
          <w:szCs w:val="18"/>
          <w:lang w:val="en-GB"/>
        </w:rPr>
        <w:t xml:space="preserve"> </w:t>
      </w:r>
    </w:p>
  </w:footnote>
  <w:footnote w:id="28">
    <w:p w14:paraId="7A9E66CC" w14:textId="77777777" w:rsidR="008C03F7" w:rsidRPr="00B114DA" w:rsidRDefault="008C03F7" w:rsidP="00B114DA">
      <w:pPr>
        <w:pStyle w:val="NoSpacing"/>
        <w:jc w:val="both"/>
        <w:rPr>
          <w:rFonts w:ascii="Times New Roman" w:hAnsi="Times New Roman" w:cs="Times New Roman"/>
          <w:color w:val="000000" w:themeColor="text1"/>
          <w:sz w:val="18"/>
          <w:szCs w:val="18"/>
        </w:rPr>
      </w:pPr>
      <w:r w:rsidRPr="00F02988">
        <w:rPr>
          <w:rStyle w:val="FootnoteCharacters"/>
          <w:rFonts w:ascii="Times New Roman" w:hAnsi="Times New Roman" w:cs="Times New Roman"/>
          <w:color w:val="000000" w:themeColor="text1"/>
          <w:sz w:val="18"/>
          <w:szCs w:val="18"/>
          <w:vertAlign w:val="superscript"/>
          <w:lang w:val="en-GB"/>
        </w:rPr>
        <w:footnoteRef/>
      </w:r>
      <w:r w:rsidRPr="00B114DA">
        <w:rPr>
          <w:rFonts w:ascii="Times New Roman" w:hAnsi="Times New Roman" w:cs="Times New Roman"/>
          <w:b/>
          <w:color w:val="000000" w:themeColor="text1"/>
          <w:sz w:val="18"/>
          <w:szCs w:val="18"/>
          <w:vertAlign w:val="superscript"/>
        </w:rPr>
        <w:t xml:space="preserve">  </w:t>
      </w:r>
      <w:r w:rsidRPr="00B114DA">
        <w:rPr>
          <w:rFonts w:ascii="Times New Roman" w:hAnsi="Times New Roman" w:cs="Times New Roman"/>
          <w:color w:val="000000" w:themeColor="text1"/>
          <w:sz w:val="18"/>
          <w:szCs w:val="18"/>
        </w:rPr>
        <w:t xml:space="preserve">For </w:t>
      </w:r>
      <w:proofErr w:type="spellStart"/>
      <w:r w:rsidRPr="00B114DA">
        <w:rPr>
          <w:rFonts w:ascii="Times New Roman" w:hAnsi="Times New Roman" w:cs="Times New Roman"/>
          <w:color w:val="000000" w:themeColor="text1"/>
          <w:sz w:val="18"/>
          <w:szCs w:val="18"/>
        </w:rPr>
        <w:t>example</w:t>
      </w:r>
      <w:proofErr w:type="spellEnd"/>
      <w:r w:rsidRPr="00B114DA">
        <w:rPr>
          <w:rFonts w:ascii="Times New Roman" w:hAnsi="Times New Roman" w:cs="Times New Roman"/>
          <w:color w:val="000000" w:themeColor="text1"/>
          <w:sz w:val="18"/>
          <w:szCs w:val="18"/>
        </w:rPr>
        <w:t xml:space="preserve">, dispersal </w:t>
      </w:r>
      <w:proofErr w:type="spellStart"/>
      <w:r w:rsidRPr="00B114DA">
        <w:rPr>
          <w:rFonts w:ascii="Times New Roman" w:hAnsi="Times New Roman" w:cs="Times New Roman"/>
          <w:color w:val="000000" w:themeColor="text1"/>
          <w:sz w:val="18"/>
          <w:szCs w:val="18"/>
        </w:rPr>
        <w:t>orders</w:t>
      </w:r>
      <w:proofErr w:type="spellEnd"/>
      <w:r w:rsidRPr="00B114DA">
        <w:rPr>
          <w:rFonts w:ascii="Times New Roman" w:hAnsi="Times New Roman" w:cs="Times New Roman"/>
          <w:color w:val="000000" w:themeColor="text1"/>
          <w:sz w:val="18"/>
          <w:szCs w:val="18"/>
        </w:rPr>
        <w:t xml:space="preserve"> </w:t>
      </w:r>
      <w:proofErr w:type="spellStart"/>
      <w:r w:rsidRPr="00B114DA">
        <w:rPr>
          <w:rFonts w:ascii="Times New Roman" w:hAnsi="Times New Roman" w:cs="Times New Roman"/>
          <w:color w:val="000000" w:themeColor="text1"/>
          <w:sz w:val="18"/>
          <w:szCs w:val="18"/>
        </w:rPr>
        <w:t>directed</w:t>
      </w:r>
      <w:proofErr w:type="spellEnd"/>
      <w:r w:rsidRPr="00B114DA">
        <w:rPr>
          <w:rFonts w:ascii="Times New Roman" w:hAnsi="Times New Roman" w:cs="Times New Roman"/>
          <w:color w:val="000000" w:themeColor="text1"/>
          <w:sz w:val="18"/>
          <w:szCs w:val="18"/>
        </w:rPr>
        <w:t xml:space="preserve"> at </w:t>
      </w:r>
      <w:proofErr w:type="spellStart"/>
      <w:r w:rsidRPr="00B114DA">
        <w:rPr>
          <w:rFonts w:ascii="Times New Roman" w:hAnsi="Times New Roman" w:cs="Times New Roman"/>
          <w:color w:val="000000" w:themeColor="text1"/>
          <w:sz w:val="18"/>
          <w:szCs w:val="18"/>
        </w:rPr>
        <w:t>assembly</w:t>
      </w:r>
      <w:proofErr w:type="spellEnd"/>
      <w:r w:rsidRPr="00B114DA">
        <w:rPr>
          <w:rFonts w:ascii="Times New Roman" w:hAnsi="Times New Roman" w:cs="Times New Roman"/>
          <w:color w:val="000000" w:themeColor="text1"/>
          <w:sz w:val="18"/>
          <w:szCs w:val="18"/>
        </w:rPr>
        <w:t xml:space="preserve"> participants </w:t>
      </w:r>
      <w:proofErr w:type="spellStart"/>
      <w:r w:rsidRPr="00B114DA">
        <w:rPr>
          <w:rFonts w:ascii="Times New Roman" w:hAnsi="Times New Roman" w:cs="Times New Roman"/>
          <w:color w:val="000000" w:themeColor="text1"/>
          <w:sz w:val="18"/>
          <w:szCs w:val="18"/>
        </w:rPr>
        <w:t>would</w:t>
      </w:r>
      <w:proofErr w:type="spellEnd"/>
      <w:r w:rsidRPr="00B114DA">
        <w:rPr>
          <w:rFonts w:ascii="Times New Roman" w:hAnsi="Times New Roman" w:cs="Times New Roman"/>
          <w:color w:val="000000" w:themeColor="text1"/>
          <w:sz w:val="18"/>
          <w:szCs w:val="18"/>
        </w:rPr>
        <w:t xml:space="preserve"> not oblige </w:t>
      </w:r>
      <w:proofErr w:type="spellStart"/>
      <w:r w:rsidRPr="00B114DA">
        <w:rPr>
          <w:rFonts w:ascii="Times New Roman" w:hAnsi="Times New Roman" w:cs="Times New Roman"/>
          <w:color w:val="000000" w:themeColor="text1"/>
          <w:sz w:val="18"/>
          <w:szCs w:val="18"/>
        </w:rPr>
        <w:t>journalists</w:t>
      </w:r>
      <w:proofErr w:type="spellEnd"/>
      <w:r w:rsidRPr="00B114DA">
        <w:rPr>
          <w:rFonts w:ascii="Times New Roman" w:hAnsi="Times New Roman" w:cs="Times New Roman"/>
          <w:color w:val="000000" w:themeColor="text1"/>
          <w:sz w:val="18"/>
          <w:szCs w:val="18"/>
        </w:rPr>
        <w:t xml:space="preserve"> and monitors to </w:t>
      </w:r>
      <w:proofErr w:type="spellStart"/>
      <w:r w:rsidRPr="00B114DA">
        <w:rPr>
          <w:rFonts w:ascii="Times New Roman" w:hAnsi="Times New Roman" w:cs="Times New Roman"/>
          <w:color w:val="000000" w:themeColor="text1"/>
          <w:sz w:val="18"/>
          <w:szCs w:val="18"/>
        </w:rPr>
        <w:t>leave</w:t>
      </w:r>
      <w:proofErr w:type="spellEnd"/>
      <w:r w:rsidRPr="00B114DA">
        <w:rPr>
          <w:rFonts w:ascii="Times New Roman" w:hAnsi="Times New Roman" w:cs="Times New Roman"/>
          <w:color w:val="000000" w:themeColor="text1"/>
          <w:sz w:val="18"/>
          <w:szCs w:val="18"/>
        </w:rPr>
        <w:t xml:space="preserve"> the area.</w:t>
      </w:r>
    </w:p>
  </w:footnote>
  <w:footnote w:id="29">
    <w:p w14:paraId="29DAA110" w14:textId="77777777" w:rsidR="008C03F7" w:rsidRPr="00B114DA" w:rsidRDefault="008C03F7" w:rsidP="00B114DA">
      <w:pPr>
        <w:pStyle w:val="NoSpacing"/>
        <w:jc w:val="both"/>
        <w:rPr>
          <w:rFonts w:ascii="Times New Roman" w:hAnsi="Times New Roman" w:cs="Times New Roman"/>
          <w:color w:val="000000" w:themeColor="text1"/>
          <w:sz w:val="18"/>
          <w:szCs w:val="18"/>
        </w:rPr>
      </w:pPr>
      <w:r w:rsidRPr="00F02988">
        <w:rPr>
          <w:rStyle w:val="FootnoteReference"/>
          <w:rFonts w:cs="Times New Roman"/>
          <w:color w:val="000000" w:themeColor="text1"/>
          <w:szCs w:val="18"/>
        </w:rPr>
        <w:footnoteRef/>
      </w:r>
      <w:r w:rsidRPr="00B114DA">
        <w:rPr>
          <w:rFonts w:ascii="Times New Roman" w:hAnsi="Times New Roman" w:cs="Times New Roman"/>
          <w:color w:val="000000" w:themeColor="text1"/>
          <w:sz w:val="18"/>
          <w:szCs w:val="18"/>
        </w:rPr>
        <w:t xml:space="preserve"> </w:t>
      </w:r>
      <w:r w:rsidRPr="00B114DA">
        <w:rPr>
          <w:rFonts w:ascii="Times New Roman" w:hAnsi="Times New Roman" w:cs="Times New Roman"/>
          <w:bCs/>
          <w:color w:val="000000" w:themeColor="text1"/>
          <w:sz w:val="18"/>
          <w:szCs w:val="18"/>
          <w:shd w:val="clear" w:color="auto" w:fill="FFFFFF"/>
        </w:rPr>
        <w:t>Loi n° 2019-290 du 10 avril 2019 visant à renforcer et garantir le maintien de l’ordre public lors des manifestations</w:t>
      </w:r>
      <w:r w:rsidRPr="00B114DA">
        <w:rPr>
          <w:rFonts w:ascii="Times New Roman" w:hAnsi="Times New Roman" w:cs="Times New Roman"/>
          <w:color w:val="000000" w:themeColor="text1"/>
          <w:sz w:val="18"/>
          <w:szCs w:val="18"/>
        </w:rPr>
        <w:t xml:space="preserve">: </w:t>
      </w:r>
      <w:hyperlink r:id="rId15" w:history="1">
        <w:r w:rsidRPr="00B114DA">
          <w:rPr>
            <w:rStyle w:val="Hyperlink"/>
            <w:rFonts w:ascii="Times New Roman" w:hAnsi="Times New Roman" w:cs="Times New Roman"/>
            <w:color w:val="000000" w:themeColor="text1"/>
            <w:sz w:val="18"/>
            <w:szCs w:val="18"/>
          </w:rPr>
          <w:t>https://www.legifrance.gouv.fr/eli/loi/2019/4/10/INTX1830129L/jo/texte</w:t>
        </w:r>
      </w:hyperlink>
      <w:r w:rsidRPr="00B114DA">
        <w:rPr>
          <w:rFonts w:ascii="Times New Roman" w:hAnsi="Times New Roman" w:cs="Times New Roman"/>
          <w:color w:val="000000" w:themeColor="text1"/>
          <w:sz w:val="18"/>
          <w:szCs w:val="18"/>
        </w:rPr>
        <w:t xml:space="preserve"> </w:t>
      </w:r>
    </w:p>
  </w:footnote>
  <w:footnote w:id="30">
    <w:p w14:paraId="7E686C35" w14:textId="77777777" w:rsidR="008C03F7" w:rsidRPr="00B114DA" w:rsidRDefault="008C03F7" w:rsidP="004968E4">
      <w:pPr>
        <w:pStyle w:val="NoSpacing"/>
        <w:jc w:val="both"/>
        <w:rPr>
          <w:rFonts w:ascii="Times New Roman" w:hAnsi="Times New Roman" w:cs="Times New Roman"/>
          <w:color w:val="000000" w:themeColor="text1"/>
          <w:sz w:val="18"/>
          <w:szCs w:val="18"/>
        </w:rPr>
      </w:pPr>
      <w:r w:rsidRPr="00F02988">
        <w:rPr>
          <w:rFonts w:ascii="Times New Roman" w:eastAsia="Times New Roman" w:hAnsi="Times New Roman" w:cs="Times New Roman"/>
          <w:color w:val="000000" w:themeColor="text1"/>
          <w:sz w:val="18"/>
          <w:szCs w:val="18"/>
          <w:vertAlign w:val="superscript"/>
        </w:rPr>
        <w:footnoteRef/>
      </w:r>
      <w:r w:rsidRPr="00B114DA">
        <w:rPr>
          <w:rFonts w:ascii="Times New Roman" w:hAnsi="Times New Roman" w:cs="Times New Roman"/>
          <w:color w:val="000000" w:themeColor="text1"/>
          <w:sz w:val="18"/>
          <w:szCs w:val="18"/>
        </w:rPr>
        <w:t xml:space="preserve"> </w:t>
      </w:r>
      <w:proofErr w:type="spellStart"/>
      <w:r w:rsidRPr="00B114DA">
        <w:rPr>
          <w:rFonts w:ascii="Times New Roman" w:hAnsi="Times New Roman" w:cs="Times New Roman"/>
          <w:color w:val="000000" w:themeColor="text1"/>
          <w:sz w:val="18"/>
          <w:szCs w:val="18"/>
        </w:rPr>
        <w:t>Constitutional</w:t>
      </w:r>
      <w:proofErr w:type="spellEnd"/>
      <w:r w:rsidRPr="00B114DA">
        <w:rPr>
          <w:rFonts w:ascii="Times New Roman" w:hAnsi="Times New Roman" w:cs="Times New Roman"/>
          <w:color w:val="000000" w:themeColor="text1"/>
          <w:sz w:val="18"/>
          <w:szCs w:val="18"/>
        </w:rPr>
        <w:t xml:space="preserve"> Council, </w:t>
      </w:r>
      <w:proofErr w:type="spellStart"/>
      <w:r w:rsidRPr="00B114DA">
        <w:rPr>
          <w:rFonts w:ascii="Times New Roman" w:hAnsi="Times New Roman" w:cs="Times New Roman"/>
          <w:color w:val="000000" w:themeColor="text1"/>
          <w:sz w:val="18"/>
          <w:szCs w:val="18"/>
        </w:rPr>
        <w:t>decision</w:t>
      </w:r>
      <w:proofErr w:type="spellEnd"/>
      <w:r w:rsidRPr="00B114DA">
        <w:rPr>
          <w:rFonts w:ascii="Times New Roman" w:hAnsi="Times New Roman" w:cs="Times New Roman"/>
          <w:color w:val="000000" w:themeColor="text1"/>
          <w:sz w:val="18"/>
          <w:szCs w:val="18"/>
        </w:rPr>
        <w:t xml:space="preserve"> n°2019-780 DC of 4 April 2019, para. 23: </w:t>
      </w:r>
      <w:hyperlink r:id="rId16" w:history="1">
        <w:r w:rsidRPr="00B114DA">
          <w:rPr>
            <w:rStyle w:val="Hyperlink0"/>
            <w:rFonts w:ascii="Times New Roman" w:hAnsi="Times New Roman" w:cs="Times New Roman"/>
            <w:color w:val="000000" w:themeColor="text1"/>
            <w:sz w:val="18"/>
            <w:szCs w:val="18"/>
            <w:lang w:val="en-GB"/>
          </w:rPr>
          <w:t>https://is.gd/WIky3K</w:t>
        </w:r>
      </w:hyperlink>
      <w:r w:rsidRPr="00B114DA">
        <w:rPr>
          <w:rFonts w:ascii="Times New Roman" w:hAnsi="Times New Roman" w:cs="Times New Roman"/>
          <w:color w:val="000000" w:themeColor="text1"/>
          <w:sz w:val="18"/>
          <w:szCs w:val="18"/>
        </w:rPr>
        <w:t xml:space="preserve">; </w:t>
      </w:r>
      <w:proofErr w:type="spellStart"/>
      <w:r>
        <w:rPr>
          <w:rFonts w:ascii="Times New Roman" w:hAnsi="Times New Roman" w:cs="Times New Roman"/>
          <w:color w:val="000000" w:themeColor="text1"/>
          <w:sz w:val="18"/>
          <w:szCs w:val="18"/>
        </w:rPr>
        <w:t>According</w:t>
      </w:r>
      <w:proofErr w:type="spellEnd"/>
      <w:r>
        <w:rPr>
          <w:rFonts w:ascii="Times New Roman" w:hAnsi="Times New Roman" w:cs="Times New Roman"/>
          <w:color w:val="000000" w:themeColor="text1"/>
          <w:sz w:val="18"/>
          <w:szCs w:val="18"/>
        </w:rPr>
        <w:t xml:space="preserve"> to Olivier Le Bot, </w:t>
      </w:r>
      <w:r w:rsidRPr="00B114DA">
        <w:rPr>
          <w:rFonts w:ascii="Times New Roman" w:hAnsi="Times New Roman" w:cs="Times New Roman"/>
          <w:color w:val="000000" w:themeColor="text1"/>
          <w:sz w:val="18"/>
          <w:szCs w:val="18"/>
        </w:rPr>
        <w:t xml:space="preserve">article 3 of the bill </w:t>
      </w:r>
      <w:proofErr w:type="spellStart"/>
      <w:r w:rsidRPr="00B114DA">
        <w:rPr>
          <w:rFonts w:ascii="Times New Roman" w:hAnsi="Times New Roman" w:cs="Times New Roman"/>
          <w:color w:val="000000" w:themeColor="text1"/>
          <w:sz w:val="18"/>
          <w:szCs w:val="18"/>
        </w:rPr>
        <w:t>left</w:t>
      </w:r>
      <w:proofErr w:type="spellEnd"/>
      <w:r w:rsidRPr="00B114DA">
        <w:rPr>
          <w:rFonts w:ascii="Times New Roman" w:hAnsi="Times New Roman" w:cs="Times New Roman"/>
          <w:color w:val="000000" w:themeColor="text1"/>
          <w:sz w:val="18"/>
          <w:szCs w:val="18"/>
        </w:rPr>
        <w:t xml:space="preserve"> the administrative </w:t>
      </w:r>
      <w:proofErr w:type="spellStart"/>
      <w:r w:rsidRPr="00B114DA">
        <w:rPr>
          <w:rFonts w:ascii="Times New Roman" w:hAnsi="Times New Roman" w:cs="Times New Roman"/>
          <w:color w:val="000000" w:themeColor="text1"/>
          <w:sz w:val="18"/>
          <w:szCs w:val="18"/>
        </w:rPr>
        <w:t>authority</w:t>
      </w:r>
      <w:proofErr w:type="spellEnd"/>
      <w:r w:rsidRPr="00B114DA">
        <w:rPr>
          <w:rFonts w:ascii="Times New Roman" w:hAnsi="Times New Roman" w:cs="Times New Roman"/>
          <w:color w:val="000000" w:themeColor="text1"/>
          <w:sz w:val="18"/>
          <w:szCs w:val="18"/>
        </w:rPr>
        <w:t xml:space="preserve"> a power to “</w:t>
      </w:r>
      <w:proofErr w:type="spellStart"/>
      <w:r w:rsidRPr="00B114DA">
        <w:rPr>
          <w:rFonts w:ascii="Times New Roman" w:hAnsi="Times New Roman" w:cs="Times New Roman"/>
          <w:color w:val="000000" w:themeColor="text1"/>
          <w:sz w:val="18"/>
          <w:szCs w:val="18"/>
        </w:rPr>
        <w:t>annihilate</w:t>
      </w:r>
      <w:proofErr w:type="spellEnd"/>
      <w:r w:rsidRPr="00B114DA">
        <w:rPr>
          <w:rFonts w:ascii="Times New Roman" w:hAnsi="Times New Roman" w:cs="Times New Roman"/>
          <w:color w:val="000000" w:themeColor="text1"/>
          <w:sz w:val="18"/>
          <w:szCs w:val="18"/>
        </w:rPr>
        <w:t xml:space="preserve"> </w:t>
      </w:r>
      <w:proofErr w:type="spellStart"/>
      <w:r w:rsidRPr="00B114DA">
        <w:rPr>
          <w:rFonts w:ascii="Times New Roman" w:hAnsi="Times New Roman" w:cs="Times New Roman"/>
          <w:color w:val="000000" w:themeColor="text1"/>
          <w:sz w:val="18"/>
          <w:szCs w:val="18"/>
        </w:rPr>
        <w:t>purely</w:t>
      </w:r>
      <w:proofErr w:type="spellEnd"/>
      <w:r w:rsidRPr="00B114DA">
        <w:rPr>
          <w:rFonts w:ascii="Times New Roman" w:hAnsi="Times New Roman" w:cs="Times New Roman"/>
          <w:color w:val="000000" w:themeColor="text1"/>
          <w:sz w:val="18"/>
          <w:szCs w:val="18"/>
        </w:rPr>
        <w:t xml:space="preserve"> and </w:t>
      </w:r>
      <w:proofErr w:type="spellStart"/>
      <w:r w:rsidRPr="00B114DA">
        <w:rPr>
          <w:rFonts w:ascii="Times New Roman" w:hAnsi="Times New Roman" w:cs="Times New Roman"/>
          <w:color w:val="000000" w:themeColor="text1"/>
          <w:sz w:val="18"/>
          <w:szCs w:val="18"/>
        </w:rPr>
        <w:t>solely</w:t>
      </w:r>
      <w:proofErr w:type="spellEnd"/>
      <w:r w:rsidRPr="00B114DA">
        <w:rPr>
          <w:rFonts w:ascii="Times New Roman" w:hAnsi="Times New Roman" w:cs="Times New Roman"/>
          <w:color w:val="000000" w:themeColor="text1"/>
          <w:sz w:val="18"/>
          <w:szCs w:val="18"/>
        </w:rPr>
        <w:t xml:space="preserve">” the right of </w:t>
      </w:r>
      <w:proofErr w:type="spellStart"/>
      <w:r w:rsidRPr="00B114DA">
        <w:rPr>
          <w:rFonts w:ascii="Times New Roman" w:hAnsi="Times New Roman" w:cs="Times New Roman"/>
          <w:color w:val="000000" w:themeColor="text1"/>
          <w:sz w:val="18"/>
          <w:szCs w:val="18"/>
        </w:rPr>
        <w:t>peaceful</w:t>
      </w:r>
      <w:proofErr w:type="spellEnd"/>
      <w:r w:rsidRPr="00B114DA">
        <w:rPr>
          <w:rFonts w:ascii="Times New Roman" w:hAnsi="Times New Roman" w:cs="Times New Roman"/>
          <w:color w:val="000000" w:themeColor="text1"/>
          <w:sz w:val="18"/>
          <w:szCs w:val="18"/>
        </w:rPr>
        <w:t xml:space="preserve"> </w:t>
      </w:r>
      <w:proofErr w:type="spellStart"/>
      <w:r w:rsidRPr="00B114DA">
        <w:rPr>
          <w:rFonts w:ascii="Times New Roman" w:hAnsi="Times New Roman" w:cs="Times New Roman"/>
          <w:color w:val="000000" w:themeColor="text1"/>
          <w:sz w:val="18"/>
          <w:szCs w:val="18"/>
        </w:rPr>
        <w:t>assembly</w:t>
      </w:r>
      <w:proofErr w:type="spellEnd"/>
      <w:r w:rsidRPr="00B114DA">
        <w:rPr>
          <w:rFonts w:ascii="Times New Roman" w:hAnsi="Times New Roman" w:cs="Times New Roman"/>
          <w:color w:val="000000" w:themeColor="text1"/>
          <w:sz w:val="18"/>
          <w:szCs w:val="18"/>
        </w:rPr>
        <w:t xml:space="preserve">, </w:t>
      </w:r>
      <w:r>
        <w:rPr>
          <w:rFonts w:ascii="Times New Roman" w:hAnsi="Times New Roman" w:cs="Times New Roman"/>
          <w:i/>
          <w:color w:val="000000" w:themeColor="text1"/>
          <w:sz w:val="18"/>
          <w:szCs w:val="18"/>
        </w:rPr>
        <w:t xml:space="preserve">in </w:t>
      </w:r>
      <w:r w:rsidRPr="00B114DA">
        <w:rPr>
          <w:rFonts w:ascii="Times New Roman" w:hAnsi="Times New Roman" w:cs="Times New Roman"/>
          <w:color w:val="000000" w:themeColor="text1"/>
          <w:sz w:val="18"/>
          <w:szCs w:val="18"/>
        </w:rPr>
        <w:t>LE BOT Olivier, “</w:t>
      </w:r>
      <w:r w:rsidRPr="00B114DA">
        <w:rPr>
          <w:rFonts w:ascii="Times New Roman" w:hAnsi="Times New Roman" w:cs="Times New Roman"/>
          <w:i/>
          <w:color w:val="000000" w:themeColor="text1"/>
          <w:sz w:val="18"/>
          <w:szCs w:val="18"/>
          <w:shd w:val="clear" w:color="auto" w:fill="FFFFFF"/>
        </w:rPr>
        <w:t xml:space="preserve">Loi </w:t>
      </w:r>
      <w:proofErr w:type="spellStart"/>
      <w:r w:rsidRPr="00B114DA">
        <w:rPr>
          <w:rFonts w:ascii="Times New Roman" w:hAnsi="Times New Roman" w:cs="Times New Roman"/>
          <w:i/>
          <w:color w:val="000000" w:themeColor="text1"/>
          <w:sz w:val="18"/>
          <w:szCs w:val="18"/>
          <w:shd w:val="clear" w:color="auto" w:fill="FFFFFF"/>
        </w:rPr>
        <w:t>anti-casseurs</w:t>
      </w:r>
      <w:proofErr w:type="spellEnd"/>
      <w:r w:rsidRPr="00B114DA">
        <w:rPr>
          <w:rFonts w:ascii="Times New Roman" w:hAnsi="Times New Roman" w:cs="Times New Roman"/>
          <w:i/>
          <w:color w:val="000000" w:themeColor="text1"/>
          <w:sz w:val="18"/>
          <w:szCs w:val="18"/>
          <w:shd w:val="clear" w:color="auto" w:fill="FFFFFF"/>
        </w:rPr>
        <w:t xml:space="preserve"> : censure des interdictions administratives de manifester</w:t>
      </w:r>
      <w:r w:rsidRPr="00B114DA">
        <w:rPr>
          <w:rFonts w:ascii="Times New Roman" w:hAnsi="Times New Roman" w:cs="Times New Roman"/>
          <w:color w:val="000000" w:themeColor="text1"/>
          <w:sz w:val="18"/>
          <w:szCs w:val="18"/>
          <w:shd w:val="clear" w:color="auto" w:fill="FFFFFF"/>
        </w:rPr>
        <w:t>”, </w:t>
      </w:r>
      <w:r w:rsidRPr="00B114DA">
        <w:rPr>
          <w:rStyle w:val="HTMLCite"/>
          <w:rFonts w:ascii="Times New Roman" w:hAnsi="Times New Roman" w:cs="Times New Roman"/>
          <w:i w:val="0"/>
          <w:color w:val="000000" w:themeColor="text1"/>
          <w:sz w:val="18"/>
          <w:szCs w:val="18"/>
          <w:shd w:val="clear" w:color="auto" w:fill="FFFFFF"/>
          <w:lang w:val="en-GB"/>
        </w:rPr>
        <w:t>Constitutions</w:t>
      </w:r>
      <w:r w:rsidRPr="00B114DA">
        <w:rPr>
          <w:rFonts w:ascii="Times New Roman" w:hAnsi="Times New Roman" w:cs="Times New Roman"/>
          <w:color w:val="000000" w:themeColor="text1"/>
          <w:sz w:val="18"/>
          <w:szCs w:val="18"/>
          <w:shd w:val="clear" w:color="auto" w:fill="FFFFFF"/>
        </w:rPr>
        <w:t xml:space="preserve">, avril-juin 2019, n° 2019-2, p. 241-245: </w:t>
      </w:r>
    </w:p>
  </w:footnote>
  <w:footnote w:id="31">
    <w:p w14:paraId="69985910" w14:textId="77777777" w:rsidR="008C03F7" w:rsidRPr="00B114DA" w:rsidRDefault="008C03F7" w:rsidP="00857F91">
      <w:pPr>
        <w:pStyle w:val="NoSpacing"/>
        <w:jc w:val="both"/>
        <w:rPr>
          <w:rFonts w:ascii="Times New Roman" w:hAnsi="Times New Roman" w:cs="Times New Roman"/>
          <w:color w:val="000000" w:themeColor="text1"/>
          <w:sz w:val="18"/>
          <w:szCs w:val="18"/>
        </w:rPr>
      </w:pPr>
      <w:r w:rsidRPr="00F02988">
        <w:rPr>
          <w:rStyle w:val="FootnoteReference"/>
          <w:rFonts w:cs="Times New Roman"/>
          <w:color w:val="000000" w:themeColor="text1"/>
          <w:szCs w:val="18"/>
          <w:lang w:val="en-GB"/>
        </w:rPr>
        <w:footnoteRef/>
      </w:r>
      <w:r w:rsidRPr="00B114DA">
        <w:rPr>
          <w:rFonts w:ascii="Times New Roman" w:hAnsi="Times New Roman" w:cs="Times New Roman"/>
          <w:b/>
          <w:color w:val="000000" w:themeColor="text1"/>
          <w:sz w:val="18"/>
          <w:szCs w:val="18"/>
        </w:rPr>
        <w:t xml:space="preserve"> </w:t>
      </w:r>
      <w:r>
        <w:rPr>
          <w:rFonts w:ascii="Times New Roman" w:hAnsi="Times New Roman" w:cs="Times New Roman"/>
          <w:color w:val="000000" w:themeColor="text1"/>
          <w:sz w:val="18"/>
          <w:szCs w:val="18"/>
          <w:shd w:val="clear" w:color="auto" w:fill="FFFFFF"/>
        </w:rPr>
        <w:t>F</w:t>
      </w:r>
      <w:r w:rsidRPr="00B114DA">
        <w:rPr>
          <w:rFonts w:ascii="Times New Roman" w:hAnsi="Times New Roman" w:cs="Times New Roman"/>
          <w:color w:val="000000" w:themeColor="text1"/>
          <w:sz w:val="18"/>
          <w:szCs w:val="18"/>
          <w:shd w:val="clear" w:color="auto" w:fill="FFFFFF"/>
        </w:rPr>
        <w:t>OU</w:t>
      </w:r>
      <w:r>
        <w:rPr>
          <w:rFonts w:ascii="Times New Roman" w:hAnsi="Times New Roman" w:cs="Times New Roman"/>
          <w:color w:val="000000" w:themeColor="text1"/>
          <w:sz w:val="18"/>
          <w:szCs w:val="18"/>
          <w:shd w:val="clear" w:color="auto" w:fill="FFFFFF"/>
        </w:rPr>
        <w:t>R</w:t>
      </w:r>
      <w:r w:rsidRPr="00B114DA">
        <w:rPr>
          <w:rFonts w:ascii="Times New Roman" w:hAnsi="Times New Roman" w:cs="Times New Roman"/>
          <w:color w:val="000000" w:themeColor="text1"/>
          <w:sz w:val="18"/>
          <w:szCs w:val="18"/>
          <w:shd w:val="clear" w:color="auto" w:fill="FFFFFF"/>
        </w:rPr>
        <w:t>MENT François, “</w:t>
      </w:r>
      <w:r w:rsidRPr="00B114DA">
        <w:rPr>
          <w:rFonts w:ascii="Times New Roman" w:hAnsi="Times New Roman" w:cs="Times New Roman"/>
          <w:i/>
          <w:color w:val="000000" w:themeColor="text1"/>
          <w:sz w:val="18"/>
          <w:szCs w:val="18"/>
          <w:shd w:val="clear" w:color="auto" w:fill="FFFFFF"/>
        </w:rPr>
        <w:t>Encore un moment, Monsieur le bourreau!</w:t>
      </w:r>
      <w:r w:rsidRPr="00B114DA">
        <w:rPr>
          <w:rFonts w:ascii="Times New Roman" w:hAnsi="Times New Roman" w:cs="Times New Roman"/>
          <w:color w:val="000000" w:themeColor="text1"/>
          <w:sz w:val="18"/>
          <w:szCs w:val="18"/>
          <w:shd w:val="clear" w:color="auto" w:fill="FFFFFF"/>
        </w:rPr>
        <w:t>”, </w:t>
      </w:r>
      <w:r w:rsidRPr="00B114DA">
        <w:rPr>
          <w:rFonts w:ascii="Times New Roman" w:hAnsi="Times New Roman" w:cs="Times New Roman"/>
          <w:iCs/>
          <w:color w:val="000000" w:themeColor="text1"/>
          <w:sz w:val="18"/>
          <w:szCs w:val="18"/>
          <w:shd w:val="clear" w:color="auto" w:fill="FFFFFF"/>
        </w:rPr>
        <w:t>La Gazette du Palais</w:t>
      </w:r>
      <w:r w:rsidRPr="00B114DA">
        <w:rPr>
          <w:rFonts w:ascii="Times New Roman" w:hAnsi="Times New Roman" w:cs="Times New Roman"/>
          <w:color w:val="000000" w:themeColor="text1"/>
          <w:sz w:val="18"/>
          <w:szCs w:val="18"/>
          <w:shd w:val="clear" w:color="auto" w:fill="FFFFFF"/>
        </w:rPr>
        <w:t>, 7 mai 2019, n° 17, p. 44</w:t>
      </w:r>
    </w:p>
  </w:footnote>
  <w:footnote w:id="32">
    <w:p w14:paraId="50B89700" w14:textId="77777777" w:rsidR="008C03F7" w:rsidRPr="00F02988" w:rsidRDefault="008C03F7" w:rsidP="004968E4">
      <w:pPr>
        <w:pStyle w:val="NoSpacing"/>
        <w:jc w:val="both"/>
        <w:rPr>
          <w:rFonts w:ascii="Times New Roman" w:hAnsi="Times New Roman" w:cs="Times New Roman"/>
          <w:color w:val="000000" w:themeColor="text1"/>
          <w:sz w:val="18"/>
          <w:szCs w:val="18"/>
        </w:rPr>
      </w:pPr>
      <w:r w:rsidRPr="00F02988">
        <w:rPr>
          <w:rFonts w:ascii="Times New Roman" w:eastAsia="Times New Roman" w:hAnsi="Times New Roman" w:cs="Times New Roman"/>
          <w:bCs/>
          <w:color w:val="000000" w:themeColor="text1"/>
          <w:sz w:val="18"/>
          <w:szCs w:val="18"/>
          <w:u w:color="000000"/>
          <w:vertAlign w:val="superscript"/>
          <w:lang w:val="en-US"/>
          <w14:textOutline w14:w="12700" w14:cap="flat" w14:cmpd="sng" w14:algn="ctr">
            <w14:noFill/>
            <w14:prstDash w14:val="solid"/>
            <w14:miter w14:lim="400000"/>
          </w14:textOutline>
        </w:rPr>
        <w:footnoteRef/>
      </w:r>
      <w:r w:rsidRPr="00F02988">
        <w:rPr>
          <w:rFonts w:ascii="Times New Roman" w:eastAsia="Arial Unicode MS" w:hAnsi="Times New Roman" w:cs="Times New Roman"/>
          <w:color w:val="000000" w:themeColor="text1"/>
          <w:sz w:val="18"/>
          <w:szCs w:val="18"/>
          <w:u w:color="000000"/>
          <w:lang w:val="en-US"/>
          <w14:textOutline w14:w="0" w14:cap="flat" w14:cmpd="sng" w14:algn="ctr">
            <w14:noFill/>
            <w14:prstDash w14:val="solid"/>
            <w14:bevel/>
          </w14:textOutline>
        </w:rPr>
        <w:t xml:space="preserve"> </w:t>
      </w:r>
      <w:r w:rsidRPr="00B114DA">
        <w:rPr>
          <w:rFonts w:ascii="Times New Roman" w:eastAsia="Arial Unicode MS" w:hAnsi="Times New Roman" w:cs="Times New Roman"/>
          <w:color w:val="000000" w:themeColor="text1"/>
          <w:sz w:val="18"/>
          <w:szCs w:val="18"/>
          <w:u w:color="000000"/>
          <w:lang w:val="en-US"/>
          <w14:textOutline w14:w="0" w14:cap="flat" w14:cmpd="sng" w14:algn="ctr">
            <w14:noFill/>
            <w14:prstDash w14:val="solid"/>
            <w14:bevel/>
          </w14:textOutline>
        </w:rPr>
        <w:t xml:space="preserve">Internal Security Code, article L.211-2, </w:t>
      </w:r>
      <w:r w:rsidRPr="00F02988">
        <w:rPr>
          <w:rFonts w:ascii="Times New Roman" w:eastAsia="Arial Unicode MS" w:hAnsi="Times New Roman" w:cs="Times New Roman"/>
          <w:color w:val="000000" w:themeColor="text1"/>
          <w:sz w:val="18"/>
          <w:szCs w:val="18"/>
          <w:u w:color="000000"/>
          <w:lang w:val="en-US"/>
          <w14:textOutline w14:w="0" w14:cap="flat" w14:cmpd="sng" w14:algn="ctr">
            <w14:noFill/>
            <w14:prstDash w14:val="solid"/>
            <w14:bevel/>
          </w14:textOutline>
        </w:rPr>
        <w:t xml:space="preserve">para. 2: </w:t>
      </w:r>
      <w:hyperlink r:id="rId17" w:history="1">
        <w:r w:rsidRPr="00F02988">
          <w:rPr>
            <w:rStyle w:val="Hyperlink"/>
            <w:rFonts w:ascii="Times New Roman" w:hAnsi="Times New Roman" w:cs="Times New Roman"/>
            <w:color w:val="000000" w:themeColor="text1"/>
            <w:sz w:val="18"/>
            <w:szCs w:val="18"/>
            <w14:textOutline w14:w="0" w14:cap="flat" w14:cmpd="sng" w14:algn="ctr">
              <w14:noFill/>
              <w14:prstDash w14:val="solid"/>
              <w14:bevel/>
            </w14:textOutline>
          </w:rPr>
          <w:t>https://is.gd/i0Z9LU</w:t>
        </w:r>
      </w:hyperlink>
      <w:r w:rsidRPr="00F02988">
        <w:rPr>
          <w:rFonts w:ascii="Times New Roman" w:eastAsia="Arial Unicode MS" w:hAnsi="Times New Roman" w:cs="Times New Roman"/>
          <w:color w:val="000000" w:themeColor="text1"/>
          <w:sz w:val="18"/>
          <w:szCs w:val="18"/>
          <w:u w:color="000000"/>
          <w:lang w:val="en-US"/>
          <w14:textOutline w14:w="0" w14:cap="flat" w14:cmpd="sng" w14:algn="ctr">
            <w14:noFill/>
            <w14:prstDash w14:val="solid"/>
            <w14:bevel/>
          </w14:textOutline>
        </w:rPr>
        <w:t xml:space="preserve"> </w:t>
      </w:r>
    </w:p>
  </w:footnote>
  <w:footnote w:id="33">
    <w:p w14:paraId="0E7DF989" w14:textId="77777777" w:rsidR="008C03F7" w:rsidRPr="00B114DA" w:rsidRDefault="008C03F7" w:rsidP="00B46466">
      <w:pPr>
        <w:pStyle w:val="NoSpacing"/>
        <w:jc w:val="both"/>
        <w:rPr>
          <w:rFonts w:ascii="Times New Roman" w:hAnsi="Times New Roman" w:cs="Times New Roman"/>
          <w:color w:val="000000" w:themeColor="text1"/>
          <w:sz w:val="18"/>
          <w:szCs w:val="18"/>
        </w:rPr>
      </w:pPr>
      <w:r w:rsidRPr="00F02988">
        <w:rPr>
          <w:rStyle w:val="a"/>
          <w:rFonts w:ascii="Times New Roman" w:eastAsia="Times New Roman" w:hAnsi="Times New Roman" w:cs="Times New Roman"/>
          <w:color w:val="000000" w:themeColor="text1"/>
          <w:sz w:val="18"/>
          <w:szCs w:val="18"/>
          <w:u w:color="000000"/>
          <w:vertAlign w:val="superscript"/>
          <w:lang w:val="en-US"/>
          <w14:textOutline w14:w="12700" w14:cap="flat" w14:cmpd="sng" w14:algn="ctr">
            <w14:noFill/>
            <w14:prstDash w14:val="solid"/>
            <w14:miter w14:lim="400000"/>
          </w14:textOutline>
        </w:rPr>
        <w:footnoteRef/>
      </w:r>
      <w:r w:rsidRPr="00F02988">
        <w:rPr>
          <w:rStyle w:val="a"/>
          <w:rFonts w:ascii="Times New Roman" w:eastAsia="Arial Unicode MS" w:hAnsi="Times New Roman" w:cs="Times New Roman"/>
          <w:b/>
          <w:color w:val="000000" w:themeColor="text1"/>
          <w:sz w:val="18"/>
          <w:szCs w:val="18"/>
          <w:u w:color="000000"/>
          <w:lang w:val="en-US"/>
          <w14:textOutline w14:w="0" w14:cap="flat" w14:cmpd="sng" w14:algn="ctr">
            <w14:noFill/>
            <w14:prstDash w14:val="solid"/>
            <w14:bevel/>
          </w14:textOutline>
        </w:rPr>
        <w:t xml:space="preserve"> </w:t>
      </w:r>
      <w:r w:rsidRPr="00B114DA">
        <w:rPr>
          <w:rStyle w:val="a"/>
          <w:rFonts w:ascii="Times New Roman" w:eastAsia="Arial Unicode MS" w:hAnsi="Times New Roman" w:cs="Times New Roman"/>
          <w:i/>
          <w:color w:val="000000" w:themeColor="text1"/>
          <w:sz w:val="18"/>
          <w:szCs w:val="18"/>
          <w:u w:color="000000"/>
          <w:lang w:val="en-US"/>
          <w14:textOutline w14:w="0" w14:cap="flat" w14:cmpd="sng" w14:algn="ctr">
            <w14:noFill/>
            <w14:prstDash w14:val="solid"/>
            <w14:bevel/>
          </w14:textOutline>
        </w:rPr>
        <w:t>Ibid</w:t>
      </w:r>
      <w:r w:rsidRPr="00B114DA">
        <w:rPr>
          <w:rStyle w:val="a"/>
          <w:rFonts w:ascii="Times New Roman" w:eastAsia="Arial Unicode MS" w:hAnsi="Times New Roman" w:cs="Times New Roman"/>
          <w:color w:val="000000" w:themeColor="text1"/>
          <w:sz w:val="18"/>
          <w:szCs w:val="18"/>
          <w:u w:color="000000"/>
          <w:lang w:val="en-US"/>
          <w14:textOutline w14:w="0" w14:cap="flat" w14:cmpd="sng" w14:algn="ctr">
            <w14:noFill/>
            <w14:prstDash w14:val="solid"/>
            <w14:bevel/>
          </w14:textOutline>
        </w:rPr>
        <w:t>.</w:t>
      </w:r>
    </w:p>
  </w:footnote>
  <w:footnote w:id="34">
    <w:p w14:paraId="4B7C9380" w14:textId="77777777" w:rsidR="008C03F7" w:rsidRPr="00B114DA" w:rsidRDefault="008C03F7" w:rsidP="00B114DA">
      <w:pPr>
        <w:pStyle w:val="NoSpacing"/>
        <w:jc w:val="both"/>
        <w:rPr>
          <w:rFonts w:ascii="Times New Roman" w:hAnsi="Times New Roman" w:cs="Times New Roman"/>
          <w:color w:val="000000" w:themeColor="text1"/>
          <w:sz w:val="18"/>
          <w:szCs w:val="18"/>
        </w:rPr>
      </w:pPr>
      <w:r w:rsidRPr="00F02988">
        <w:rPr>
          <w:rStyle w:val="a"/>
          <w:rFonts w:ascii="Times New Roman" w:eastAsia="Times New Roman" w:hAnsi="Times New Roman" w:cs="Times New Roman"/>
          <w:color w:val="000000" w:themeColor="text1"/>
          <w:sz w:val="18"/>
          <w:szCs w:val="18"/>
          <w:u w:color="000000"/>
          <w:vertAlign w:val="superscript"/>
          <w:lang w:val="en-US"/>
          <w14:textOutline w14:w="12700" w14:cap="flat" w14:cmpd="sng" w14:algn="ctr">
            <w14:noFill/>
            <w14:prstDash w14:val="solid"/>
            <w14:miter w14:lim="400000"/>
          </w14:textOutline>
        </w:rPr>
        <w:footnoteRef/>
      </w:r>
      <w:r w:rsidRPr="00F02988">
        <w:rPr>
          <w:rStyle w:val="a"/>
          <w:rFonts w:ascii="Times New Roman" w:eastAsia="Arial Unicode MS" w:hAnsi="Times New Roman" w:cs="Times New Roman"/>
          <w:color w:val="000000" w:themeColor="text1"/>
          <w:sz w:val="18"/>
          <w:szCs w:val="18"/>
          <w:u w:color="000000"/>
          <w:lang w:val="en-US"/>
          <w14:textOutline w14:w="0" w14:cap="flat" w14:cmpd="sng" w14:algn="ctr">
            <w14:noFill/>
            <w14:prstDash w14:val="solid"/>
            <w14:bevel/>
          </w14:textOutline>
        </w:rPr>
        <w:t xml:space="preserve"> </w:t>
      </w:r>
      <w:r w:rsidRPr="00B114DA">
        <w:rPr>
          <w:rStyle w:val="a"/>
          <w:rFonts w:ascii="Times New Roman" w:eastAsia="Arial Unicode MS" w:hAnsi="Times New Roman" w:cs="Times New Roman"/>
          <w:i/>
          <w:color w:val="000000" w:themeColor="text1"/>
          <w:sz w:val="18"/>
          <w:szCs w:val="18"/>
          <w:u w:color="000000"/>
          <w:lang w:val="en-US"/>
          <w14:textOutline w14:w="0" w14:cap="flat" w14:cmpd="sng" w14:algn="ctr">
            <w14:noFill/>
            <w14:prstDash w14:val="solid"/>
            <w14:bevel/>
          </w14:textOutline>
        </w:rPr>
        <w:t>Ibid</w:t>
      </w:r>
      <w:r w:rsidRPr="00B114DA">
        <w:rPr>
          <w:rStyle w:val="a"/>
          <w:rFonts w:ascii="Times New Roman" w:eastAsia="Arial Unicode MS" w:hAnsi="Times New Roman" w:cs="Times New Roman"/>
          <w:color w:val="000000" w:themeColor="text1"/>
          <w:sz w:val="18"/>
          <w:szCs w:val="18"/>
          <w:u w:color="000000"/>
          <w:lang w:val="en-US"/>
          <w14:textOutline w14:w="0" w14:cap="flat" w14:cmpd="sng" w14:algn="ctr">
            <w14:noFill/>
            <w14:prstDash w14:val="solid"/>
            <w14:bevel/>
          </w14:textOutline>
        </w:rPr>
        <w:t>.</w:t>
      </w:r>
    </w:p>
  </w:footnote>
  <w:footnote w:id="35">
    <w:p w14:paraId="05337483" w14:textId="77777777" w:rsidR="008C03F7" w:rsidRPr="00F02988" w:rsidRDefault="008C03F7" w:rsidP="00B114DA">
      <w:pPr>
        <w:pStyle w:val="NoSpacing"/>
        <w:jc w:val="both"/>
        <w:rPr>
          <w:rFonts w:ascii="Times New Roman" w:hAnsi="Times New Roman" w:cs="Times New Roman"/>
          <w:color w:val="000000" w:themeColor="text1"/>
          <w:sz w:val="18"/>
          <w:szCs w:val="18"/>
        </w:rPr>
      </w:pPr>
      <w:r w:rsidRPr="00F02988">
        <w:rPr>
          <w:rStyle w:val="a"/>
          <w:rFonts w:ascii="Times New Roman" w:eastAsia="Calibri" w:hAnsi="Times New Roman" w:cs="Times New Roman"/>
          <w:color w:val="000000" w:themeColor="text1"/>
          <w:sz w:val="18"/>
          <w:szCs w:val="18"/>
          <w:u w:color="000000"/>
          <w:vertAlign w:val="superscript"/>
          <w:lang w:val="en-US"/>
          <w14:textOutline w14:w="0" w14:cap="flat" w14:cmpd="sng" w14:algn="ctr">
            <w14:noFill/>
            <w14:prstDash w14:val="solid"/>
            <w14:bevel/>
          </w14:textOutline>
        </w:rPr>
        <w:footnoteRef/>
      </w:r>
      <w:r w:rsidRPr="00F02988">
        <w:rPr>
          <w:rFonts w:ascii="Times New Roman" w:hAnsi="Times New Roman" w:cs="Times New Roman"/>
          <w:sz w:val="18"/>
          <w:szCs w:val="18"/>
          <w:u w:color="000000"/>
        </w:rPr>
        <w:t xml:space="preserve"> </w:t>
      </w:r>
      <w:r w:rsidRPr="00B114DA">
        <w:rPr>
          <w:rStyle w:val="a"/>
          <w:rFonts w:ascii="Times New Roman" w:eastAsia="Arial Unicode MS" w:hAnsi="Times New Roman" w:cs="Times New Roman"/>
          <w:color w:val="000000" w:themeColor="text1"/>
          <w:sz w:val="18"/>
          <w:szCs w:val="18"/>
          <w:u w:color="000000"/>
          <w:lang w:val="en-US"/>
          <w14:textOutline w14:w="0" w14:cap="flat" w14:cmpd="sng" w14:algn="ctr">
            <w14:noFill/>
            <w14:prstDash w14:val="solid"/>
            <w14:bevel/>
          </w14:textOutline>
        </w:rPr>
        <w:t xml:space="preserve">Para. 3, article 78-2-4 of the Code of Criminal </w:t>
      </w:r>
      <w:r w:rsidRPr="00F02988">
        <w:rPr>
          <w:rStyle w:val="a"/>
          <w:rFonts w:ascii="Times New Roman" w:eastAsia="Arial Unicode MS" w:hAnsi="Times New Roman" w:cs="Times New Roman"/>
          <w:color w:val="000000" w:themeColor="text1"/>
          <w:sz w:val="18"/>
          <w:szCs w:val="18"/>
          <w:u w:color="000000"/>
          <w:lang w:val="en-US"/>
          <w14:textOutline w14:w="0" w14:cap="flat" w14:cmpd="sng" w14:algn="ctr">
            <w14:noFill/>
            <w14:prstDash w14:val="solid"/>
            <w14:bevel/>
          </w14:textOutline>
        </w:rPr>
        <w:t xml:space="preserve">Procedure: </w:t>
      </w:r>
      <w:hyperlink r:id="rId18" w:history="1">
        <w:r w:rsidRPr="00F02988">
          <w:rPr>
            <w:rStyle w:val="Hyperlink"/>
            <w:rFonts w:ascii="Times New Roman" w:hAnsi="Times New Roman" w:cs="Times New Roman"/>
            <w:color w:val="000000" w:themeColor="text1"/>
            <w:sz w:val="18"/>
            <w:szCs w:val="18"/>
            <w14:textOutline w14:w="0" w14:cap="flat" w14:cmpd="sng" w14:algn="ctr">
              <w14:noFill/>
              <w14:prstDash w14:val="solid"/>
              <w14:bevel/>
            </w14:textOutline>
          </w:rPr>
          <w:t>https://is.gd/u6Fk5W</w:t>
        </w:r>
      </w:hyperlink>
      <w:r w:rsidRPr="00F02988">
        <w:rPr>
          <w:rStyle w:val="a"/>
          <w:rFonts w:ascii="Times New Roman" w:eastAsia="Arial Unicode MS" w:hAnsi="Times New Roman" w:cs="Times New Roman"/>
          <w:color w:val="000000" w:themeColor="text1"/>
          <w:sz w:val="18"/>
          <w:szCs w:val="18"/>
          <w:u w:color="000000"/>
          <w:lang w:val="en-US"/>
          <w14:textOutline w14:w="0" w14:cap="flat" w14:cmpd="sng" w14:algn="ctr">
            <w14:noFill/>
            <w14:prstDash w14:val="solid"/>
            <w14:bevel/>
          </w14:textOutline>
        </w:rPr>
        <w:t xml:space="preserve"> </w:t>
      </w:r>
    </w:p>
  </w:footnote>
  <w:footnote w:id="36">
    <w:p w14:paraId="24C8AA54" w14:textId="77777777" w:rsidR="008C03F7" w:rsidRPr="00F02988" w:rsidRDefault="008C03F7" w:rsidP="00B46466">
      <w:pPr>
        <w:pStyle w:val="NoSpacing"/>
        <w:jc w:val="both"/>
        <w:rPr>
          <w:rFonts w:ascii="Times New Roman" w:hAnsi="Times New Roman" w:cs="Times New Roman"/>
          <w:color w:val="000000" w:themeColor="text1"/>
          <w:sz w:val="18"/>
          <w:szCs w:val="18"/>
        </w:rPr>
      </w:pPr>
      <w:r w:rsidRPr="00F02988">
        <w:rPr>
          <w:rStyle w:val="a"/>
          <w:rFonts w:ascii="Times New Roman" w:eastAsia="Calibri" w:hAnsi="Times New Roman" w:cs="Times New Roman"/>
          <w:color w:val="000000" w:themeColor="text1"/>
          <w:sz w:val="18"/>
          <w:szCs w:val="18"/>
          <w:u w:color="000000"/>
          <w:vertAlign w:val="superscript"/>
          <w:lang w:val="en-US"/>
          <w14:textOutline w14:w="0" w14:cap="flat" w14:cmpd="sng" w14:algn="ctr">
            <w14:noFill/>
            <w14:prstDash w14:val="solid"/>
            <w14:bevel/>
          </w14:textOutline>
        </w:rPr>
        <w:footnoteRef/>
      </w:r>
      <w:r w:rsidRPr="00F02988">
        <w:rPr>
          <w:rFonts w:ascii="Times New Roman" w:hAnsi="Times New Roman" w:cs="Times New Roman"/>
          <w:color w:val="000000" w:themeColor="text1"/>
          <w:sz w:val="18"/>
          <w:szCs w:val="18"/>
          <w:u w:color="000000"/>
        </w:rPr>
        <w:t xml:space="preserve"> </w:t>
      </w:r>
      <w:r w:rsidRPr="00F02988">
        <w:rPr>
          <w:rStyle w:val="a"/>
          <w:rFonts w:ascii="Times New Roman" w:eastAsia="Arial Unicode MS" w:hAnsi="Times New Roman" w:cs="Times New Roman"/>
          <w:color w:val="000000" w:themeColor="text1"/>
          <w:sz w:val="18"/>
          <w:szCs w:val="18"/>
          <w:u w:color="000000"/>
          <w:lang w:val="en-US"/>
          <w14:textOutline w14:w="0" w14:cap="flat" w14:cmpd="sng" w14:algn="ctr">
            <w14:noFill/>
            <w14:prstDash w14:val="solid"/>
            <w14:bevel/>
          </w14:textOutline>
        </w:rPr>
        <w:t xml:space="preserve">Para. 3, article 78-2-2 of the Code of Criminal Procedure: </w:t>
      </w:r>
      <w:hyperlink r:id="rId19" w:history="1">
        <w:r w:rsidRPr="00F02988">
          <w:rPr>
            <w:rStyle w:val="Hyperlink"/>
            <w:rFonts w:ascii="Times New Roman" w:hAnsi="Times New Roman" w:cs="Times New Roman"/>
            <w:color w:val="000000" w:themeColor="text1"/>
            <w:sz w:val="18"/>
            <w:szCs w:val="18"/>
            <w14:textOutline w14:w="0" w14:cap="flat" w14:cmpd="sng" w14:algn="ctr">
              <w14:noFill/>
              <w14:prstDash w14:val="solid"/>
              <w14:bevel/>
            </w14:textOutline>
          </w:rPr>
          <w:t>https://is.gd/4sk6qW</w:t>
        </w:r>
      </w:hyperlink>
      <w:r w:rsidRPr="00F02988">
        <w:rPr>
          <w:rStyle w:val="a"/>
          <w:rFonts w:ascii="Times New Roman" w:eastAsia="Arial Unicode MS" w:hAnsi="Times New Roman" w:cs="Times New Roman"/>
          <w:color w:val="000000" w:themeColor="text1"/>
          <w:sz w:val="18"/>
          <w:szCs w:val="18"/>
          <w:u w:color="000000"/>
          <w:lang w:val="en-US"/>
          <w14:textOutline w14:w="0" w14:cap="flat" w14:cmpd="sng" w14:algn="ctr">
            <w14:noFill/>
            <w14:prstDash w14:val="solid"/>
            <w14:bevel/>
          </w14:textOutline>
        </w:rPr>
        <w:t xml:space="preserve">  </w:t>
      </w:r>
    </w:p>
  </w:footnote>
  <w:footnote w:id="37">
    <w:p w14:paraId="36592497" w14:textId="77777777" w:rsidR="008C03F7" w:rsidRPr="00B114DA" w:rsidRDefault="008C03F7" w:rsidP="00626D28">
      <w:pPr>
        <w:pStyle w:val="NoSpacing"/>
        <w:jc w:val="both"/>
        <w:rPr>
          <w:rFonts w:ascii="Times New Roman" w:hAnsi="Times New Roman" w:cs="Times New Roman"/>
          <w:sz w:val="18"/>
          <w:szCs w:val="18"/>
        </w:rPr>
      </w:pPr>
      <w:r w:rsidRPr="00F02988">
        <w:rPr>
          <w:rStyle w:val="a"/>
          <w:rFonts w:ascii="Times New Roman" w:eastAsia="Times New Roman" w:hAnsi="Times New Roman" w:cs="Times New Roman"/>
          <w:color w:val="000000" w:themeColor="text1"/>
          <w:sz w:val="18"/>
          <w:szCs w:val="18"/>
          <w:u w:color="000000"/>
          <w:vertAlign w:val="superscript"/>
          <w:lang w:val="en-US"/>
          <w14:textOutline w14:w="12700" w14:cap="flat" w14:cmpd="sng" w14:algn="ctr">
            <w14:noFill/>
            <w14:prstDash w14:val="solid"/>
            <w14:miter w14:lim="400000"/>
          </w14:textOutline>
        </w:rPr>
        <w:footnoteRef/>
      </w:r>
      <w:r w:rsidRPr="00B114DA">
        <w:rPr>
          <w:rStyle w:val="a"/>
          <w:rFonts w:ascii="Times New Roman" w:eastAsia="Arial Unicode MS" w:hAnsi="Times New Roman" w:cs="Times New Roman"/>
          <w:b/>
          <w:bCs/>
          <w:color w:val="000000" w:themeColor="text1"/>
          <w:sz w:val="18"/>
          <w:szCs w:val="18"/>
          <w:u w:color="000000"/>
          <w:lang w:val="en-US"/>
          <w14:textOutline w14:w="12700" w14:cap="flat" w14:cmpd="sng" w14:algn="ctr">
            <w14:noFill/>
            <w14:prstDash w14:val="solid"/>
            <w14:miter w14:lim="400000"/>
          </w14:textOutline>
        </w:rPr>
        <w:t xml:space="preserve"> </w:t>
      </w:r>
      <w:r w:rsidRPr="00B114DA">
        <w:rPr>
          <w:rStyle w:val="a"/>
          <w:rFonts w:ascii="Times New Roman" w:eastAsia="Arial Unicode MS" w:hAnsi="Times New Roman" w:cs="Times New Roman"/>
          <w:color w:val="000000" w:themeColor="text1"/>
          <w:sz w:val="18"/>
          <w:szCs w:val="18"/>
          <w:u w:color="000000"/>
          <w:lang w:val="en-US"/>
          <w14:textOutline w14:w="12700" w14:cap="flat" w14:cmpd="sng" w14:algn="ctr">
            <w14:noFill/>
            <w14:prstDash w14:val="solid"/>
            <w14:miter w14:lim="400000"/>
          </w14:textOutline>
        </w:rPr>
        <w:t xml:space="preserve">Rapport du </w:t>
      </w:r>
      <w:proofErr w:type="spellStart"/>
      <w:r w:rsidRPr="00B114DA">
        <w:rPr>
          <w:rStyle w:val="a"/>
          <w:rFonts w:ascii="Times New Roman" w:eastAsia="Arial Unicode MS" w:hAnsi="Times New Roman" w:cs="Times New Roman"/>
          <w:color w:val="000000" w:themeColor="text1"/>
          <w:sz w:val="18"/>
          <w:szCs w:val="18"/>
          <w:u w:color="000000"/>
          <w:lang w:val="en-US"/>
          <w14:textOutline w14:w="12700" w14:cap="flat" w14:cmpd="sng" w14:algn="ctr">
            <w14:noFill/>
            <w14:prstDash w14:val="solid"/>
            <w14:miter w14:lim="400000"/>
          </w14:textOutline>
        </w:rPr>
        <w:t>Défenseur</w:t>
      </w:r>
      <w:proofErr w:type="spellEnd"/>
      <w:r w:rsidRPr="00B114DA">
        <w:rPr>
          <w:rStyle w:val="a"/>
          <w:rFonts w:ascii="Times New Roman" w:eastAsia="Arial Unicode MS" w:hAnsi="Times New Roman" w:cs="Times New Roman"/>
          <w:color w:val="000000" w:themeColor="text1"/>
          <w:sz w:val="18"/>
          <w:szCs w:val="18"/>
          <w:u w:color="000000"/>
          <w:lang w:val="en-US"/>
          <w14:textOutline w14:w="12700" w14:cap="flat" w14:cmpd="sng" w14:algn="ctr">
            <w14:noFill/>
            <w14:prstDash w14:val="solid"/>
            <w14:miter w14:lim="400000"/>
          </w14:textOutline>
        </w:rPr>
        <w:t xml:space="preserve"> des droits sur </w:t>
      </w:r>
      <w:r>
        <w:rPr>
          <w:rStyle w:val="a"/>
          <w:rFonts w:ascii="Times New Roman" w:eastAsia="Arial Unicode MS" w:hAnsi="Times New Roman" w:cs="Times New Roman"/>
          <w:color w:val="000000" w:themeColor="text1"/>
          <w:sz w:val="18"/>
          <w:szCs w:val="18"/>
          <w:u w:color="000000"/>
          <w:lang w:val="en-US"/>
          <w14:textOutline w14:w="12700" w14:cap="flat" w14:cmpd="sng" w14:algn="ctr">
            <w14:noFill/>
            <w14:prstDash w14:val="solid"/>
            <w14:miter w14:lim="400000"/>
          </w14:textOutline>
        </w:rPr>
        <w:t>“</w:t>
      </w:r>
      <w:r w:rsidRPr="00F02988">
        <w:rPr>
          <w:rStyle w:val="a"/>
          <w:rFonts w:ascii="Times New Roman" w:eastAsia="Arial Unicode MS" w:hAnsi="Times New Roman" w:cs="Times New Roman"/>
          <w:i/>
          <w:color w:val="000000" w:themeColor="text1"/>
          <w:sz w:val="18"/>
          <w:szCs w:val="18"/>
          <w:u w:color="000000"/>
          <w:lang w:val="en-US"/>
          <w14:textOutline w14:w="12700" w14:cap="flat" w14:cmpd="sng" w14:algn="ctr">
            <w14:noFill/>
            <w14:prstDash w14:val="solid"/>
            <w14:miter w14:lim="400000"/>
          </w14:textOutline>
        </w:rPr>
        <w:t xml:space="preserve">Le </w:t>
      </w:r>
      <w:proofErr w:type="spellStart"/>
      <w:r w:rsidRPr="00F02988">
        <w:rPr>
          <w:rStyle w:val="a"/>
          <w:rFonts w:ascii="Times New Roman" w:eastAsia="Arial Unicode MS" w:hAnsi="Times New Roman" w:cs="Times New Roman"/>
          <w:i/>
          <w:color w:val="000000" w:themeColor="text1"/>
          <w:sz w:val="18"/>
          <w:szCs w:val="18"/>
          <w:u w:color="000000"/>
          <w:lang w:val="en-US"/>
          <w14:textOutline w14:w="12700" w14:cap="flat" w14:cmpd="sng" w14:algn="ctr">
            <w14:noFill/>
            <w14:prstDash w14:val="solid"/>
            <w14:miter w14:lim="400000"/>
          </w14:textOutline>
        </w:rPr>
        <w:t>maintien</w:t>
      </w:r>
      <w:proofErr w:type="spellEnd"/>
      <w:r w:rsidRPr="00F02988">
        <w:rPr>
          <w:rStyle w:val="a"/>
          <w:rFonts w:ascii="Times New Roman" w:eastAsia="Arial Unicode MS" w:hAnsi="Times New Roman" w:cs="Times New Roman"/>
          <w:i/>
          <w:color w:val="000000" w:themeColor="text1"/>
          <w:sz w:val="18"/>
          <w:szCs w:val="18"/>
          <w:u w:color="000000"/>
          <w:lang w:val="en-US"/>
          <w14:textOutline w14:w="12700" w14:cap="flat" w14:cmpd="sng" w14:algn="ctr">
            <w14:noFill/>
            <w14:prstDash w14:val="solid"/>
            <w14:miter w14:lim="400000"/>
          </w14:textOutline>
        </w:rPr>
        <w:t xml:space="preserve"> de l</w:t>
      </w:r>
      <w:r w:rsidRPr="00F02988">
        <w:rPr>
          <w:rStyle w:val="a"/>
          <w:rFonts w:ascii="Times New Roman" w:eastAsia="Arial Unicode MS" w:hAnsi="Times New Roman" w:cs="Times New Roman"/>
          <w:i/>
          <w:color w:val="000000" w:themeColor="text1"/>
          <w:sz w:val="18"/>
          <w:szCs w:val="18"/>
          <w:u w:color="000000"/>
          <w:rtl/>
          <w:lang w:val="ar-SA"/>
          <w14:textOutline w14:w="12700" w14:cap="flat" w14:cmpd="sng" w14:algn="ctr">
            <w14:noFill/>
            <w14:prstDash w14:val="solid"/>
            <w14:miter w14:lim="400000"/>
          </w14:textOutline>
        </w:rPr>
        <w:t>’</w:t>
      </w:r>
      <w:proofErr w:type="spellStart"/>
      <w:r w:rsidRPr="00F02988">
        <w:rPr>
          <w:rStyle w:val="a"/>
          <w:rFonts w:ascii="Times New Roman" w:eastAsia="Arial Unicode MS" w:hAnsi="Times New Roman" w:cs="Times New Roman"/>
          <w:i/>
          <w:color w:val="000000" w:themeColor="text1"/>
          <w:sz w:val="18"/>
          <w:szCs w:val="18"/>
          <w:u w:color="000000"/>
          <w:lang w:val="en-US"/>
          <w14:textOutline w14:w="12700" w14:cap="flat" w14:cmpd="sng" w14:algn="ctr">
            <w14:noFill/>
            <w14:prstDash w14:val="solid"/>
            <w14:miter w14:lim="400000"/>
          </w14:textOutline>
        </w:rPr>
        <w:t>ordre</w:t>
      </w:r>
      <w:proofErr w:type="spellEnd"/>
      <w:r w:rsidRPr="00F02988">
        <w:rPr>
          <w:rStyle w:val="a"/>
          <w:rFonts w:ascii="Times New Roman" w:eastAsia="Arial Unicode MS" w:hAnsi="Times New Roman" w:cs="Times New Roman"/>
          <w:i/>
          <w:color w:val="000000" w:themeColor="text1"/>
          <w:sz w:val="18"/>
          <w:szCs w:val="18"/>
          <w:u w:color="000000"/>
          <w:lang w:val="en-US"/>
          <w14:textOutline w14:w="12700" w14:cap="flat" w14:cmpd="sng" w14:algn="ctr">
            <w14:noFill/>
            <w14:prstDash w14:val="solid"/>
            <w14:miter w14:lim="400000"/>
          </w14:textOutline>
        </w:rPr>
        <w:t xml:space="preserve"> au regard des </w:t>
      </w:r>
      <w:proofErr w:type="spellStart"/>
      <w:r w:rsidRPr="00F02988">
        <w:rPr>
          <w:rStyle w:val="a"/>
          <w:rFonts w:ascii="Times New Roman" w:eastAsia="Arial Unicode MS" w:hAnsi="Times New Roman" w:cs="Times New Roman"/>
          <w:i/>
          <w:color w:val="000000" w:themeColor="text1"/>
          <w:sz w:val="18"/>
          <w:szCs w:val="18"/>
          <w:u w:color="000000"/>
          <w:lang w:val="en-US"/>
          <w14:textOutline w14:w="12700" w14:cap="flat" w14:cmpd="sng" w14:algn="ctr">
            <w14:noFill/>
            <w14:prstDash w14:val="solid"/>
            <w14:miter w14:lim="400000"/>
          </w14:textOutline>
        </w:rPr>
        <w:t>règles</w:t>
      </w:r>
      <w:proofErr w:type="spellEnd"/>
      <w:r w:rsidRPr="00F02988">
        <w:rPr>
          <w:rStyle w:val="a"/>
          <w:rFonts w:ascii="Times New Roman" w:eastAsia="Arial Unicode MS" w:hAnsi="Times New Roman" w:cs="Times New Roman"/>
          <w:i/>
          <w:color w:val="000000" w:themeColor="text1"/>
          <w:sz w:val="18"/>
          <w:szCs w:val="18"/>
          <w:u w:color="000000"/>
          <w:lang w:val="en-US"/>
          <w14:textOutline w14:w="12700" w14:cap="flat" w14:cmpd="sng" w14:algn="ctr">
            <w14:noFill/>
            <w14:prstDash w14:val="solid"/>
            <w14:miter w14:lim="400000"/>
          </w14:textOutline>
        </w:rPr>
        <w:t xml:space="preserve"> de </w:t>
      </w:r>
      <w:proofErr w:type="spellStart"/>
      <w:r w:rsidRPr="00F02988">
        <w:rPr>
          <w:rStyle w:val="a"/>
          <w:rFonts w:ascii="Times New Roman" w:eastAsia="Arial Unicode MS" w:hAnsi="Times New Roman" w:cs="Times New Roman"/>
          <w:i/>
          <w:color w:val="000000" w:themeColor="text1"/>
          <w:sz w:val="18"/>
          <w:szCs w:val="18"/>
          <w:u w:color="000000"/>
          <w:lang w:val="en-US"/>
          <w14:textOutline w14:w="12700" w14:cap="flat" w14:cmpd="sng" w14:algn="ctr">
            <w14:noFill/>
            <w14:prstDash w14:val="solid"/>
            <w14:miter w14:lim="400000"/>
          </w14:textOutline>
        </w:rPr>
        <w:t>déontologie</w:t>
      </w:r>
      <w:proofErr w:type="spellEnd"/>
      <w:r>
        <w:rPr>
          <w:rStyle w:val="a"/>
          <w:rFonts w:ascii="Times New Roman" w:eastAsia="Arial Unicode MS" w:hAnsi="Times New Roman" w:cs="Times New Roman"/>
          <w:color w:val="000000" w:themeColor="text1"/>
          <w:sz w:val="18"/>
          <w:szCs w:val="18"/>
          <w:u w:color="000000"/>
          <w:lang w:val="en-US"/>
          <w14:textOutline w14:w="12700" w14:cap="flat" w14:cmpd="sng" w14:algn="ctr">
            <w14:noFill/>
            <w14:prstDash w14:val="solid"/>
            <w14:miter w14:lim="400000"/>
          </w14:textOutline>
        </w:rPr>
        <w:t>”</w:t>
      </w:r>
      <w:r w:rsidRPr="00B114DA">
        <w:rPr>
          <w:rStyle w:val="a"/>
          <w:rFonts w:ascii="Times New Roman" w:eastAsia="Arial Unicode MS" w:hAnsi="Times New Roman" w:cs="Times New Roman"/>
          <w:color w:val="000000" w:themeColor="text1"/>
          <w:sz w:val="18"/>
          <w:szCs w:val="18"/>
          <w:u w:color="000000"/>
          <w:lang w:val="en-US"/>
          <w14:textOutline w14:w="12700" w14:cap="flat" w14:cmpd="sng" w14:algn="ctr">
            <w14:noFill/>
            <w14:prstDash w14:val="solid"/>
            <w14:miter w14:lim="400000"/>
          </w14:textOutline>
        </w:rPr>
        <w:t xml:space="preserve">, </w:t>
      </w:r>
      <w:proofErr w:type="spellStart"/>
      <w:r w:rsidRPr="00B114DA">
        <w:rPr>
          <w:rStyle w:val="a"/>
          <w:rFonts w:ascii="Times New Roman" w:eastAsia="Arial Unicode MS" w:hAnsi="Times New Roman" w:cs="Times New Roman"/>
          <w:color w:val="000000" w:themeColor="text1"/>
          <w:sz w:val="18"/>
          <w:szCs w:val="18"/>
          <w:u w:color="000000"/>
          <w:lang w:val="en-US"/>
          <w14:textOutline w14:w="12700" w14:cap="flat" w14:cmpd="sng" w14:algn="ctr">
            <w14:noFill/>
            <w14:prstDash w14:val="solid"/>
            <w14:miter w14:lim="400000"/>
          </w14:textOutline>
        </w:rPr>
        <w:t>décembre</w:t>
      </w:r>
      <w:proofErr w:type="spellEnd"/>
      <w:r w:rsidRPr="00B114DA">
        <w:rPr>
          <w:rStyle w:val="a"/>
          <w:rFonts w:ascii="Times New Roman" w:eastAsia="Arial Unicode MS" w:hAnsi="Times New Roman" w:cs="Times New Roman"/>
          <w:color w:val="000000" w:themeColor="text1"/>
          <w:sz w:val="18"/>
          <w:szCs w:val="18"/>
          <w:u w:color="000000"/>
          <w:lang w:val="en-US"/>
          <w14:textOutline w14:w="12700" w14:cap="flat" w14:cmpd="sng" w14:algn="ctr">
            <w14:noFill/>
            <w14:prstDash w14:val="solid"/>
            <w14:miter w14:lim="400000"/>
          </w14:textOutline>
        </w:rPr>
        <w:t xml:space="preserve"> 2017, p.37</w:t>
      </w:r>
      <w:r>
        <w:rPr>
          <w:rStyle w:val="a"/>
          <w:rFonts w:ascii="Times New Roman" w:eastAsia="Arial Unicode MS" w:hAnsi="Times New Roman" w:cs="Times New Roman"/>
          <w:color w:val="000000" w:themeColor="text1"/>
          <w:sz w:val="18"/>
          <w:szCs w:val="18"/>
          <w:u w:color="000000"/>
          <w:lang w:val="en-US"/>
          <w14:textOutline w14:w="12700" w14:cap="flat" w14:cmpd="sng" w14:algn="ctr">
            <w14:noFill/>
            <w14:prstDash w14:val="solid"/>
            <w14:miter w14:lim="400000"/>
          </w14:textOutline>
        </w:rPr>
        <w:t>:</w:t>
      </w:r>
      <w:r w:rsidRPr="00B114DA">
        <w:rPr>
          <w:rStyle w:val="a"/>
          <w:rFonts w:ascii="Times New Roman" w:eastAsia="Arial Unicode MS" w:hAnsi="Times New Roman" w:cs="Times New Roman"/>
          <w:color w:val="000000" w:themeColor="text1"/>
          <w:sz w:val="18"/>
          <w:szCs w:val="18"/>
          <w:u w:color="000000"/>
          <w:lang w:val="en-US"/>
          <w14:textOutline w14:w="12700" w14:cap="flat" w14:cmpd="sng" w14:algn="ctr">
            <w14:noFill/>
            <w14:prstDash w14:val="solid"/>
            <w14:miter w14:lim="400000"/>
          </w14:textOutline>
        </w:rPr>
        <w:t> </w:t>
      </w:r>
      <w:hyperlink r:id="rId20" w:history="1">
        <w:r w:rsidRPr="00B114DA">
          <w:rPr>
            <w:rStyle w:val="Hyperlink3"/>
            <w:rFonts w:eastAsia="Arial Unicode MS"/>
            <w:color w:val="000000" w:themeColor="text1"/>
          </w:rPr>
          <w:t>https://is.gd/EcWDSw</w:t>
        </w:r>
      </w:hyperlink>
      <w:r w:rsidRPr="00B114DA">
        <w:rPr>
          <w:rStyle w:val="a"/>
          <w:rFonts w:ascii="Times New Roman" w:eastAsia="Arial Unicode MS" w:hAnsi="Times New Roman" w:cs="Times New Roman"/>
          <w:color w:val="000000" w:themeColor="text1"/>
          <w:sz w:val="18"/>
          <w:szCs w:val="18"/>
          <w:u w:color="000000"/>
          <w:lang w:val="en-US"/>
          <w14:textOutline w14:w="12700" w14:cap="flat" w14:cmpd="sng" w14:algn="ctr">
            <w14:noFill/>
            <w14:prstDash w14:val="solid"/>
            <w14:miter w14:lim="400000"/>
          </w14:textOutline>
        </w:rPr>
        <w:t xml:space="preserve"> </w:t>
      </w:r>
    </w:p>
  </w:footnote>
  <w:footnote w:id="38">
    <w:p w14:paraId="7C6B2ED1" w14:textId="77777777" w:rsidR="008C03F7" w:rsidRPr="00CB1737" w:rsidRDefault="008C03F7" w:rsidP="00CE664C">
      <w:pPr>
        <w:pStyle w:val="NoSpacing"/>
        <w:jc w:val="both"/>
        <w:rPr>
          <w:rFonts w:ascii="Times New Roman" w:hAnsi="Times New Roman" w:cs="Times New Roman"/>
          <w:color w:val="000000" w:themeColor="text1"/>
          <w:sz w:val="18"/>
          <w:szCs w:val="18"/>
        </w:rPr>
      </w:pPr>
      <w:r w:rsidRPr="00CB1737">
        <w:rPr>
          <w:rStyle w:val="a"/>
          <w:rFonts w:ascii="Times New Roman" w:hAnsi="Times New Roman" w:cs="Times New Roman"/>
          <w:color w:val="000000" w:themeColor="text1"/>
          <w:sz w:val="18"/>
          <w:szCs w:val="18"/>
          <w:u w:color="000000"/>
          <w:vertAlign w:val="superscript"/>
          <w14:textOutline w14:w="12700" w14:cap="flat" w14:cmpd="sng" w14:algn="ctr">
            <w14:noFill/>
            <w14:prstDash w14:val="solid"/>
            <w14:miter w14:lim="400000"/>
          </w14:textOutline>
        </w:rPr>
        <w:footnoteRef/>
      </w:r>
      <w:r w:rsidRPr="00CB1737">
        <w:rPr>
          <w:rStyle w:val="a"/>
          <w:rFonts w:ascii="Times New Roman" w:eastAsia="Arial Unicode MS" w:hAnsi="Times New Roman" w:cs="Times New Roman"/>
          <w:bCs/>
          <w:color w:val="000000" w:themeColor="text1"/>
          <w:sz w:val="18"/>
          <w:szCs w:val="18"/>
          <w:u w:color="FF0000"/>
          <w14:textOutline w14:w="0" w14:cap="flat" w14:cmpd="sng" w14:algn="ctr">
            <w14:noFill/>
            <w14:prstDash w14:val="solid"/>
            <w14:bevel/>
          </w14:textOutline>
        </w:rPr>
        <w:t xml:space="preserve"> </w:t>
      </w:r>
      <w:r w:rsidRPr="00CB1737">
        <w:rPr>
          <w:rStyle w:val="a"/>
          <w:rFonts w:ascii="Times New Roman" w:eastAsia="Arial Unicode MS" w:hAnsi="Times New Roman" w:cs="Times New Roman"/>
          <w:color w:val="000000" w:themeColor="text1"/>
          <w:sz w:val="18"/>
          <w:szCs w:val="18"/>
          <w:u w:color="000000"/>
          <w14:textOutline w14:w="0" w14:cap="flat" w14:cmpd="sng" w14:algn="ctr">
            <w14:noFill/>
            <w14:prstDash w14:val="solid"/>
            <w14:bevel/>
          </w14:textOutline>
        </w:rPr>
        <w:t xml:space="preserve">Art. 431-9-1 du Code pénal: </w:t>
      </w:r>
      <w:hyperlink r:id="rId21" w:history="1">
        <w:r w:rsidRPr="00CB1737">
          <w:rPr>
            <w:rStyle w:val="Hyperlink"/>
            <w:rFonts w:ascii="Times New Roman" w:hAnsi="Times New Roman" w:cs="Times New Roman"/>
            <w:color w:val="000000" w:themeColor="text1"/>
            <w:sz w:val="18"/>
            <w:szCs w:val="18"/>
            <w14:textOutline w14:w="0" w14:cap="flat" w14:cmpd="sng" w14:algn="ctr">
              <w14:noFill/>
              <w14:prstDash w14:val="solid"/>
              <w14:bevel/>
            </w14:textOutline>
          </w:rPr>
          <w:t>https://is.gd/lme1De</w:t>
        </w:r>
      </w:hyperlink>
      <w:r w:rsidRPr="00CB1737">
        <w:rPr>
          <w:rStyle w:val="a"/>
          <w:rFonts w:ascii="Times New Roman" w:eastAsia="Arial Unicode MS" w:hAnsi="Times New Roman" w:cs="Times New Roman"/>
          <w:color w:val="000000" w:themeColor="text1"/>
          <w:sz w:val="18"/>
          <w:szCs w:val="18"/>
          <w:u w:color="000000"/>
          <w14:textOutline w14:w="0" w14:cap="flat" w14:cmpd="sng" w14:algn="ctr">
            <w14:noFill/>
            <w14:prstDash w14:val="solid"/>
            <w14:bevel/>
          </w14:textOutline>
        </w:rPr>
        <w:t xml:space="preserve"> </w:t>
      </w:r>
    </w:p>
  </w:footnote>
  <w:footnote w:id="39">
    <w:p w14:paraId="2F4184AC" w14:textId="77777777" w:rsidR="008C03F7" w:rsidRPr="00CB1737" w:rsidRDefault="008C03F7" w:rsidP="00C7714A">
      <w:pPr>
        <w:pStyle w:val="NoSpacing"/>
        <w:jc w:val="both"/>
        <w:rPr>
          <w:rFonts w:ascii="Times New Roman" w:hAnsi="Times New Roman" w:cs="Times New Roman"/>
          <w:color w:val="000000" w:themeColor="text1"/>
          <w:sz w:val="18"/>
          <w:szCs w:val="18"/>
        </w:rPr>
      </w:pPr>
      <w:r w:rsidRPr="00CB1737">
        <w:rPr>
          <w:rStyle w:val="a"/>
          <w:rFonts w:ascii="Times New Roman" w:hAnsi="Times New Roman" w:cs="Times New Roman"/>
          <w:color w:val="000000" w:themeColor="text1"/>
          <w:sz w:val="18"/>
          <w:szCs w:val="18"/>
          <w:u w:color="000000"/>
          <w:vertAlign w:val="superscript"/>
          <w14:textOutline w14:w="12700" w14:cap="flat" w14:cmpd="sng" w14:algn="ctr">
            <w14:noFill/>
            <w14:prstDash w14:val="solid"/>
            <w14:miter w14:lim="400000"/>
          </w14:textOutline>
        </w:rPr>
        <w:footnoteRef/>
      </w:r>
      <w:r w:rsidRPr="00CB1737">
        <w:rPr>
          <w:rStyle w:val="a"/>
          <w:rFonts w:ascii="Times New Roman" w:eastAsia="Arial Unicode MS" w:hAnsi="Times New Roman" w:cs="Times New Roman"/>
          <w:color w:val="000000" w:themeColor="text1"/>
          <w:sz w:val="18"/>
          <w:szCs w:val="18"/>
          <w:u w:color="000000"/>
          <w14:textOutline w14:w="0" w14:cap="flat" w14:cmpd="sng" w14:algn="ctr">
            <w14:noFill/>
            <w14:prstDash w14:val="solid"/>
            <w14:bevel/>
          </w14:textOutline>
        </w:rPr>
        <w:t xml:space="preserve"> </w:t>
      </w:r>
      <w:proofErr w:type="spellStart"/>
      <w:r w:rsidRPr="00CB1737">
        <w:rPr>
          <w:rStyle w:val="a"/>
          <w:rFonts w:ascii="Times New Roman" w:eastAsia="Arial Unicode MS" w:hAnsi="Times New Roman" w:cs="Times New Roman"/>
          <w:color w:val="000000" w:themeColor="text1"/>
          <w:sz w:val="18"/>
          <w:szCs w:val="18"/>
          <w:u w:color="000000"/>
          <w14:textOutline w14:w="0" w14:cap="flat" w14:cmpd="sng" w14:algn="ctr">
            <w14:noFill/>
            <w14:prstDash w14:val="solid"/>
            <w14:bevel/>
          </w14:textOutline>
        </w:rPr>
        <w:t>Constitutional</w:t>
      </w:r>
      <w:proofErr w:type="spellEnd"/>
      <w:r w:rsidRPr="00CB1737">
        <w:rPr>
          <w:rStyle w:val="a"/>
          <w:rFonts w:ascii="Times New Roman" w:eastAsia="Arial Unicode MS" w:hAnsi="Times New Roman" w:cs="Times New Roman"/>
          <w:color w:val="000000" w:themeColor="text1"/>
          <w:sz w:val="18"/>
          <w:szCs w:val="18"/>
          <w:u w:color="000000"/>
          <w14:textOutline w14:w="0" w14:cap="flat" w14:cmpd="sng" w14:algn="ctr">
            <w14:noFill/>
            <w14:prstDash w14:val="solid"/>
            <w14:bevel/>
          </w14:textOutline>
        </w:rPr>
        <w:t xml:space="preserve"> Council, </w:t>
      </w:r>
      <w:proofErr w:type="spellStart"/>
      <w:r w:rsidRPr="00CB1737">
        <w:rPr>
          <w:rStyle w:val="a"/>
          <w:rFonts w:ascii="Times New Roman" w:eastAsia="Arial Unicode MS" w:hAnsi="Times New Roman" w:cs="Times New Roman"/>
          <w:color w:val="000000" w:themeColor="text1"/>
          <w:sz w:val="18"/>
          <w:szCs w:val="18"/>
          <w:u w:color="000000"/>
          <w14:textOutline w14:w="0" w14:cap="flat" w14:cmpd="sng" w14:algn="ctr">
            <w14:noFill/>
            <w14:prstDash w14:val="solid"/>
            <w14:bevel/>
          </w14:textOutline>
        </w:rPr>
        <w:t>decision</w:t>
      </w:r>
      <w:proofErr w:type="spellEnd"/>
      <w:r w:rsidRPr="00CB1737">
        <w:rPr>
          <w:rStyle w:val="a"/>
          <w:rFonts w:ascii="Times New Roman" w:eastAsia="Arial Unicode MS" w:hAnsi="Times New Roman" w:cs="Times New Roman"/>
          <w:color w:val="000000" w:themeColor="text1"/>
          <w:sz w:val="18"/>
          <w:szCs w:val="18"/>
          <w:u w:color="000000"/>
          <w14:textOutline w14:w="0" w14:cap="flat" w14:cmpd="sng" w14:algn="ctr">
            <w14:noFill/>
            <w14:prstDash w14:val="solid"/>
            <w14:bevel/>
          </w14:textOutline>
        </w:rPr>
        <w:t xml:space="preserve"> n°2019-780 DC of 4 April 2019, para. 29: </w:t>
      </w:r>
      <w:hyperlink r:id="rId22" w:history="1">
        <w:r w:rsidRPr="00CB1737">
          <w:rPr>
            <w:rStyle w:val="Hyperlink4"/>
            <w:rFonts w:eastAsia="Arial Unicode MS"/>
            <w:color w:val="000000" w:themeColor="text1"/>
            <w14:textOutline w14:w="0" w14:cap="flat" w14:cmpd="sng" w14:algn="ctr">
              <w14:noFill/>
              <w14:prstDash w14:val="solid"/>
              <w14:bevel/>
            </w14:textOutline>
          </w:rPr>
          <w:t>https://is.gd/WIky3K</w:t>
        </w:r>
      </w:hyperlink>
      <w:r w:rsidRPr="00CB1737">
        <w:rPr>
          <w:rStyle w:val="a"/>
          <w:rFonts w:ascii="Times New Roman" w:eastAsia="Arial Unicode MS" w:hAnsi="Times New Roman" w:cs="Times New Roman"/>
          <w:color w:val="000000" w:themeColor="text1"/>
          <w:sz w:val="18"/>
          <w:szCs w:val="18"/>
          <w:u w:color="000000"/>
          <w14:textOutline w14:w="0" w14:cap="flat" w14:cmpd="sng" w14:algn="ctr">
            <w14:noFill/>
            <w14:prstDash w14:val="solid"/>
            <w14:bevel/>
          </w14:textOutline>
        </w:rPr>
        <w:t xml:space="preserve"> </w:t>
      </w:r>
    </w:p>
  </w:footnote>
  <w:footnote w:id="40">
    <w:p w14:paraId="689E2230" w14:textId="4DDFF41F" w:rsidR="008C03F7" w:rsidRPr="00CB1737" w:rsidRDefault="008C03F7" w:rsidP="00CB1737">
      <w:pPr>
        <w:pStyle w:val="NoSpacing"/>
        <w:jc w:val="both"/>
        <w:rPr>
          <w:rFonts w:ascii="Times New Roman" w:hAnsi="Times New Roman" w:cs="Times New Roman"/>
          <w:color w:val="000000" w:themeColor="text1"/>
          <w:sz w:val="18"/>
          <w:szCs w:val="18"/>
        </w:rPr>
      </w:pPr>
      <w:r w:rsidRPr="00CB1737">
        <w:rPr>
          <w:rStyle w:val="FootnoteCharacters"/>
          <w:rFonts w:ascii="Times New Roman" w:hAnsi="Times New Roman" w:cs="Times New Roman"/>
          <w:color w:val="000000" w:themeColor="text1"/>
          <w:sz w:val="18"/>
          <w:szCs w:val="18"/>
          <w:vertAlign w:val="superscript"/>
        </w:rPr>
        <w:footnoteRef/>
      </w:r>
      <w:r>
        <w:rPr>
          <w:rFonts w:ascii="Times New Roman" w:hAnsi="Times New Roman" w:cs="Times New Roman"/>
          <w:color w:val="000000" w:themeColor="text1"/>
          <w:sz w:val="18"/>
          <w:szCs w:val="18"/>
          <w:lang w:val="en-GB"/>
        </w:rPr>
        <w:t xml:space="preserve"> </w:t>
      </w:r>
      <w:r w:rsidRPr="00CB1737">
        <w:rPr>
          <w:rFonts w:ascii="Times New Roman" w:hAnsi="Times New Roman" w:cs="Times New Roman"/>
          <w:color w:val="000000" w:themeColor="text1"/>
          <w:sz w:val="18"/>
          <w:szCs w:val="18"/>
          <w:lang w:val="en-GB"/>
        </w:rPr>
        <w:t>Instantaneous tear gas grenade with sound and blast effect</w:t>
      </w:r>
      <w:r>
        <w:rPr>
          <w:rFonts w:ascii="Times New Roman" w:hAnsi="Times New Roman" w:cs="Times New Roman"/>
          <w:color w:val="000000" w:themeColor="text1"/>
          <w:sz w:val="18"/>
          <w:szCs w:val="18"/>
          <w:lang w:val="en-GB"/>
        </w:rPr>
        <w:t>.</w:t>
      </w:r>
    </w:p>
  </w:footnote>
  <w:footnote w:id="41">
    <w:p w14:paraId="159276F6" w14:textId="77777777" w:rsidR="008C03F7" w:rsidRPr="00CB1737" w:rsidRDefault="008C03F7" w:rsidP="00CB1737">
      <w:pPr>
        <w:pStyle w:val="NoSpacing"/>
        <w:jc w:val="both"/>
        <w:rPr>
          <w:rFonts w:ascii="Times New Roman" w:hAnsi="Times New Roman" w:cs="Times New Roman"/>
          <w:color w:val="000000" w:themeColor="text1"/>
          <w:sz w:val="18"/>
          <w:szCs w:val="18"/>
          <w:lang w:val="en-GB"/>
        </w:rPr>
      </w:pPr>
      <w:r w:rsidRPr="00CB1737">
        <w:rPr>
          <w:rStyle w:val="FootnoteCharacters"/>
          <w:rFonts w:ascii="Times New Roman" w:hAnsi="Times New Roman" w:cs="Times New Roman"/>
          <w:color w:val="000000" w:themeColor="text1"/>
          <w:sz w:val="18"/>
          <w:szCs w:val="18"/>
          <w:vertAlign w:val="superscript"/>
          <w:lang w:val="en-GB"/>
        </w:rPr>
        <w:footnoteRef/>
      </w:r>
      <w:r w:rsidRPr="00CB1737">
        <w:rPr>
          <w:rFonts w:ascii="Times New Roman" w:hAnsi="Times New Roman" w:cs="Times New Roman"/>
          <w:color w:val="000000" w:themeColor="text1"/>
          <w:sz w:val="18"/>
          <w:szCs w:val="18"/>
          <w:vertAlign w:val="superscript"/>
          <w:lang w:val="en-GB"/>
        </w:rPr>
        <w:t xml:space="preserve"> </w:t>
      </w:r>
      <w:r w:rsidRPr="00CB1737">
        <w:rPr>
          <w:rFonts w:ascii="Times New Roman" w:hAnsi="Times New Roman" w:cs="Times New Roman"/>
          <w:color w:val="000000" w:themeColor="text1"/>
          <w:sz w:val="18"/>
          <w:szCs w:val="18"/>
          <w:lang w:val="en-GB"/>
        </w:rPr>
        <w:t xml:space="preserve">IGGN, IGPN, </w:t>
      </w:r>
      <w:r>
        <w:rPr>
          <w:rFonts w:ascii="Times New Roman" w:hAnsi="Times New Roman" w:cs="Times New Roman"/>
          <w:color w:val="000000" w:themeColor="text1"/>
          <w:sz w:val="18"/>
          <w:szCs w:val="18"/>
          <w:lang w:val="en-GB"/>
        </w:rPr>
        <w:t>“</w:t>
      </w:r>
      <w:r w:rsidRPr="00CB1737">
        <w:rPr>
          <w:rFonts w:ascii="Times New Roman" w:hAnsi="Times New Roman" w:cs="Times New Roman"/>
          <w:i/>
          <w:iCs/>
          <w:color w:val="000000" w:themeColor="text1"/>
          <w:sz w:val="18"/>
          <w:szCs w:val="18"/>
          <w:lang w:val="en-GB"/>
        </w:rPr>
        <w:t xml:space="preserve">Rapport </w:t>
      </w:r>
      <w:proofErr w:type="spellStart"/>
      <w:r w:rsidRPr="00CB1737">
        <w:rPr>
          <w:rFonts w:ascii="Times New Roman" w:hAnsi="Times New Roman" w:cs="Times New Roman"/>
          <w:i/>
          <w:iCs/>
          <w:color w:val="000000" w:themeColor="text1"/>
          <w:sz w:val="18"/>
          <w:szCs w:val="18"/>
          <w:lang w:val="en-GB"/>
        </w:rPr>
        <w:t>relatif</w:t>
      </w:r>
      <w:proofErr w:type="spellEnd"/>
      <w:r w:rsidRPr="00CB1737">
        <w:rPr>
          <w:rFonts w:ascii="Times New Roman" w:hAnsi="Times New Roman" w:cs="Times New Roman"/>
          <w:i/>
          <w:iCs/>
          <w:color w:val="000000" w:themeColor="text1"/>
          <w:sz w:val="18"/>
          <w:szCs w:val="18"/>
          <w:lang w:val="en-GB"/>
        </w:rPr>
        <w:t xml:space="preserve"> à </w:t>
      </w:r>
      <w:proofErr w:type="spellStart"/>
      <w:r w:rsidRPr="00CB1737">
        <w:rPr>
          <w:rFonts w:ascii="Times New Roman" w:hAnsi="Times New Roman" w:cs="Times New Roman"/>
          <w:i/>
          <w:iCs/>
          <w:color w:val="000000" w:themeColor="text1"/>
          <w:sz w:val="18"/>
          <w:szCs w:val="18"/>
          <w:lang w:val="en-GB"/>
        </w:rPr>
        <w:t>l’emploi</w:t>
      </w:r>
      <w:proofErr w:type="spellEnd"/>
      <w:r w:rsidRPr="00CB1737">
        <w:rPr>
          <w:rFonts w:ascii="Times New Roman" w:hAnsi="Times New Roman" w:cs="Times New Roman"/>
          <w:i/>
          <w:iCs/>
          <w:color w:val="000000" w:themeColor="text1"/>
          <w:sz w:val="18"/>
          <w:szCs w:val="18"/>
          <w:lang w:val="en-GB"/>
        </w:rPr>
        <w:t xml:space="preserve"> des munitions en </w:t>
      </w:r>
      <w:proofErr w:type="spellStart"/>
      <w:r w:rsidRPr="00CB1737">
        <w:rPr>
          <w:rFonts w:ascii="Times New Roman" w:hAnsi="Times New Roman" w:cs="Times New Roman"/>
          <w:i/>
          <w:iCs/>
          <w:color w:val="000000" w:themeColor="text1"/>
          <w:sz w:val="18"/>
          <w:szCs w:val="18"/>
          <w:lang w:val="en-GB"/>
        </w:rPr>
        <w:t>opérations</w:t>
      </w:r>
      <w:proofErr w:type="spellEnd"/>
      <w:r w:rsidRPr="00CB1737">
        <w:rPr>
          <w:rFonts w:ascii="Times New Roman" w:hAnsi="Times New Roman" w:cs="Times New Roman"/>
          <w:i/>
          <w:iCs/>
          <w:color w:val="000000" w:themeColor="text1"/>
          <w:sz w:val="18"/>
          <w:szCs w:val="18"/>
          <w:lang w:val="en-GB"/>
        </w:rPr>
        <w:t xml:space="preserve"> de </w:t>
      </w:r>
      <w:proofErr w:type="spellStart"/>
      <w:r w:rsidRPr="00CB1737">
        <w:rPr>
          <w:rFonts w:ascii="Times New Roman" w:hAnsi="Times New Roman" w:cs="Times New Roman"/>
          <w:i/>
          <w:iCs/>
          <w:color w:val="000000" w:themeColor="text1"/>
          <w:sz w:val="18"/>
          <w:szCs w:val="18"/>
          <w:lang w:val="en-GB"/>
        </w:rPr>
        <w:t>maintien</w:t>
      </w:r>
      <w:proofErr w:type="spellEnd"/>
      <w:r w:rsidRPr="00CB1737">
        <w:rPr>
          <w:rFonts w:ascii="Times New Roman" w:hAnsi="Times New Roman" w:cs="Times New Roman"/>
          <w:i/>
          <w:iCs/>
          <w:color w:val="000000" w:themeColor="text1"/>
          <w:sz w:val="18"/>
          <w:szCs w:val="18"/>
          <w:lang w:val="en-GB"/>
        </w:rPr>
        <w:t xml:space="preserve"> de </w:t>
      </w:r>
      <w:proofErr w:type="spellStart"/>
      <w:r w:rsidRPr="00CB1737">
        <w:rPr>
          <w:rFonts w:ascii="Times New Roman" w:hAnsi="Times New Roman" w:cs="Times New Roman"/>
          <w:i/>
          <w:iCs/>
          <w:color w:val="000000" w:themeColor="text1"/>
          <w:sz w:val="18"/>
          <w:szCs w:val="18"/>
          <w:lang w:val="en-GB"/>
        </w:rPr>
        <w:t>l’ordre</w:t>
      </w:r>
      <w:proofErr w:type="spellEnd"/>
      <w:r>
        <w:rPr>
          <w:rFonts w:ascii="Times New Roman" w:hAnsi="Times New Roman" w:cs="Times New Roman"/>
          <w:color w:val="000000" w:themeColor="text1"/>
          <w:sz w:val="18"/>
          <w:szCs w:val="18"/>
          <w:lang w:val="en-GB"/>
        </w:rPr>
        <w:t>”</w:t>
      </w:r>
      <w:r w:rsidRPr="00CB1737">
        <w:rPr>
          <w:rFonts w:ascii="Times New Roman" w:hAnsi="Times New Roman" w:cs="Times New Roman"/>
          <w:color w:val="000000" w:themeColor="text1"/>
          <w:sz w:val="18"/>
          <w:szCs w:val="18"/>
          <w:lang w:val="en-GB"/>
        </w:rPr>
        <w:t xml:space="preserve">, 13 </w:t>
      </w:r>
      <w:proofErr w:type="spellStart"/>
      <w:r w:rsidRPr="00CB1737">
        <w:rPr>
          <w:rFonts w:ascii="Times New Roman" w:hAnsi="Times New Roman" w:cs="Times New Roman"/>
          <w:color w:val="000000" w:themeColor="text1"/>
          <w:sz w:val="18"/>
          <w:szCs w:val="18"/>
          <w:lang w:val="en-GB"/>
        </w:rPr>
        <w:t>novembre</w:t>
      </w:r>
      <w:proofErr w:type="spellEnd"/>
      <w:r w:rsidRPr="00CB1737">
        <w:rPr>
          <w:rFonts w:ascii="Times New Roman" w:hAnsi="Times New Roman" w:cs="Times New Roman"/>
          <w:color w:val="000000" w:themeColor="text1"/>
          <w:sz w:val="18"/>
          <w:szCs w:val="18"/>
          <w:lang w:val="en-GB"/>
        </w:rPr>
        <w:t xml:space="preserve"> 2014, p.13</w:t>
      </w:r>
    </w:p>
  </w:footnote>
  <w:footnote w:id="42">
    <w:p w14:paraId="2EEA87F2" w14:textId="77777777" w:rsidR="008C03F7" w:rsidRPr="00CB1737" w:rsidRDefault="008C03F7" w:rsidP="00CB1737">
      <w:pPr>
        <w:pStyle w:val="NoSpacing"/>
        <w:jc w:val="both"/>
        <w:rPr>
          <w:rFonts w:ascii="Times New Roman" w:hAnsi="Times New Roman" w:cs="Times New Roman"/>
          <w:color w:val="000000" w:themeColor="text1"/>
          <w:sz w:val="18"/>
          <w:szCs w:val="18"/>
        </w:rPr>
      </w:pPr>
      <w:r w:rsidRPr="00CB1737">
        <w:rPr>
          <w:rStyle w:val="FootnoteCharacters"/>
          <w:rFonts w:ascii="Times New Roman" w:hAnsi="Times New Roman" w:cs="Times New Roman"/>
          <w:color w:val="000000" w:themeColor="text1"/>
          <w:sz w:val="18"/>
          <w:szCs w:val="18"/>
          <w:vertAlign w:val="superscript"/>
        </w:rPr>
        <w:footnoteRef/>
      </w:r>
      <w:r>
        <w:rPr>
          <w:rFonts w:ascii="Times New Roman" w:hAnsi="Times New Roman" w:cs="Times New Roman"/>
          <w:color w:val="000000" w:themeColor="text1"/>
          <w:sz w:val="18"/>
          <w:szCs w:val="18"/>
          <w:lang w:val="en-GB"/>
        </w:rPr>
        <w:t xml:space="preserve"> </w:t>
      </w:r>
      <w:proofErr w:type="spellStart"/>
      <w:r w:rsidRPr="00CB1737">
        <w:rPr>
          <w:rFonts w:ascii="Times New Roman" w:hAnsi="Times New Roman" w:cs="Times New Roman"/>
          <w:color w:val="000000" w:themeColor="text1"/>
          <w:sz w:val="18"/>
          <w:szCs w:val="18"/>
          <w:lang w:val="en-GB"/>
        </w:rPr>
        <w:t>Défenseur</w:t>
      </w:r>
      <w:proofErr w:type="spellEnd"/>
      <w:r w:rsidRPr="00CB1737">
        <w:rPr>
          <w:rFonts w:ascii="Times New Roman" w:hAnsi="Times New Roman" w:cs="Times New Roman"/>
          <w:color w:val="000000" w:themeColor="text1"/>
          <w:sz w:val="18"/>
          <w:szCs w:val="18"/>
          <w:lang w:val="en-GB"/>
        </w:rPr>
        <w:t xml:space="preserve"> des droits, “</w:t>
      </w:r>
      <w:r w:rsidRPr="00CB1737">
        <w:rPr>
          <w:rFonts w:ascii="Times New Roman" w:hAnsi="Times New Roman" w:cs="Times New Roman"/>
          <w:i/>
          <w:color w:val="000000" w:themeColor="text1"/>
          <w:sz w:val="18"/>
          <w:szCs w:val="18"/>
          <w:lang w:val="en-GB"/>
        </w:rPr>
        <w:t xml:space="preserve">Le </w:t>
      </w:r>
      <w:proofErr w:type="spellStart"/>
      <w:r w:rsidRPr="00CB1737">
        <w:rPr>
          <w:rFonts w:ascii="Times New Roman" w:hAnsi="Times New Roman" w:cs="Times New Roman"/>
          <w:i/>
          <w:color w:val="000000" w:themeColor="text1"/>
          <w:sz w:val="18"/>
          <w:szCs w:val="18"/>
          <w:lang w:val="en-GB"/>
        </w:rPr>
        <w:t>maintien</w:t>
      </w:r>
      <w:proofErr w:type="spellEnd"/>
      <w:r w:rsidRPr="00CB1737">
        <w:rPr>
          <w:rFonts w:ascii="Times New Roman" w:hAnsi="Times New Roman" w:cs="Times New Roman"/>
          <w:i/>
          <w:color w:val="000000" w:themeColor="text1"/>
          <w:sz w:val="18"/>
          <w:szCs w:val="18"/>
          <w:lang w:val="en-GB"/>
        </w:rPr>
        <w:t xml:space="preserve"> de </w:t>
      </w:r>
      <w:proofErr w:type="spellStart"/>
      <w:r w:rsidRPr="00CB1737">
        <w:rPr>
          <w:rFonts w:ascii="Times New Roman" w:hAnsi="Times New Roman" w:cs="Times New Roman"/>
          <w:i/>
          <w:color w:val="000000" w:themeColor="text1"/>
          <w:sz w:val="18"/>
          <w:szCs w:val="18"/>
          <w:lang w:val="en-GB"/>
        </w:rPr>
        <w:t>l’ordre</w:t>
      </w:r>
      <w:proofErr w:type="spellEnd"/>
      <w:r w:rsidRPr="00CB1737">
        <w:rPr>
          <w:rFonts w:ascii="Times New Roman" w:hAnsi="Times New Roman" w:cs="Times New Roman"/>
          <w:i/>
          <w:color w:val="000000" w:themeColor="text1"/>
          <w:sz w:val="18"/>
          <w:szCs w:val="18"/>
          <w:lang w:val="en-GB"/>
        </w:rPr>
        <w:t xml:space="preserve"> au regard des </w:t>
      </w:r>
      <w:proofErr w:type="spellStart"/>
      <w:r w:rsidRPr="00CB1737">
        <w:rPr>
          <w:rFonts w:ascii="Times New Roman" w:hAnsi="Times New Roman" w:cs="Times New Roman"/>
          <w:i/>
          <w:color w:val="000000" w:themeColor="text1"/>
          <w:sz w:val="18"/>
          <w:szCs w:val="18"/>
          <w:lang w:val="en-GB"/>
        </w:rPr>
        <w:t>règles</w:t>
      </w:r>
      <w:proofErr w:type="spellEnd"/>
      <w:r w:rsidRPr="00CB1737">
        <w:rPr>
          <w:rFonts w:ascii="Times New Roman" w:hAnsi="Times New Roman" w:cs="Times New Roman"/>
          <w:i/>
          <w:color w:val="000000" w:themeColor="text1"/>
          <w:sz w:val="18"/>
          <w:szCs w:val="18"/>
          <w:lang w:val="en-GB"/>
        </w:rPr>
        <w:t xml:space="preserve"> de </w:t>
      </w:r>
      <w:proofErr w:type="spellStart"/>
      <w:r w:rsidRPr="00CB1737">
        <w:rPr>
          <w:rFonts w:ascii="Times New Roman" w:hAnsi="Times New Roman" w:cs="Times New Roman"/>
          <w:i/>
          <w:color w:val="000000" w:themeColor="text1"/>
          <w:sz w:val="18"/>
          <w:szCs w:val="18"/>
          <w:lang w:val="en-GB"/>
        </w:rPr>
        <w:t>déontologie</w:t>
      </w:r>
      <w:proofErr w:type="spellEnd"/>
      <w:r w:rsidRPr="00CB1737">
        <w:rPr>
          <w:rFonts w:ascii="Times New Roman" w:hAnsi="Times New Roman" w:cs="Times New Roman"/>
          <w:color w:val="000000" w:themeColor="text1"/>
          <w:sz w:val="18"/>
          <w:szCs w:val="18"/>
          <w:lang w:val="en-GB"/>
        </w:rPr>
        <w:t xml:space="preserve">”, </w:t>
      </w:r>
      <w:r w:rsidRPr="00CB1737">
        <w:rPr>
          <w:rFonts w:ascii="Times New Roman" w:hAnsi="Times New Roman" w:cs="Times New Roman"/>
          <w:i/>
          <w:color w:val="000000" w:themeColor="text1"/>
          <w:sz w:val="18"/>
          <w:szCs w:val="18"/>
          <w:lang w:val="en-GB"/>
        </w:rPr>
        <w:t>op. cit. 36</w:t>
      </w:r>
      <w:r w:rsidRPr="00CB1737">
        <w:rPr>
          <w:rFonts w:ascii="Times New Roman" w:hAnsi="Times New Roman" w:cs="Times New Roman"/>
          <w:color w:val="000000" w:themeColor="text1"/>
          <w:sz w:val="18"/>
          <w:szCs w:val="18"/>
          <w:lang w:val="en-GB"/>
        </w:rPr>
        <w:t>, p.30</w:t>
      </w:r>
    </w:p>
  </w:footnote>
  <w:footnote w:id="43">
    <w:p w14:paraId="766E1AD0" w14:textId="77777777" w:rsidR="008C03F7" w:rsidRPr="00C87981" w:rsidRDefault="008C03F7" w:rsidP="00CB1737">
      <w:pPr>
        <w:pStyle w:val="NoSpacing"/>
        <w:jc w:val="both"/>
        <w:rPr>
          <w:rFonts w:ascii="Times New Roman" w:hAnsi="Times New Roman" w:cs="Times New Roman"/>
          <w:color w:val="000000" w:themeColor="text1"/>
          <w:sz w:val="18"/>
          <w:szCs w:val="18"/>
          <w:lang w:val="en-GB"/>
        </w:rPr>
      </w:pPr>
      <w:r w:rsidRPr="00C87981">
        <w:rPr>
          <w:rStyle w:val="FootnoteCharacters"/>
          <w:rFonts w:ascii="Times New Roman" w:hAnsi="Times New Roman" w:cs="Times New Roman"/>
          <w:color w:val="000000" w:themeColor="text1"/>
          <w:sz w:val="18"/>
          <w:szCs w:val="18"/>
          <w:vertAlign w:val="superscript"/>
          <w:lang w:val="en-GB"/>
        </w:rPr>
        <w:footnoteRef/>
      </w:r>
      <w:r w:rsidRPr="00C87981">
        <w:rPr>
          <w:rFonts w:ascii="Times New Roman" w:hAnsi="Times New Roman" w:cs="Times New Roman"/>
          <w:color w:val="000000" w:themeColor="text1"/>
          <w:sz w:val="18"/>
          <w:szCs w:val="18"/>
          <w:lang w:val="en-GB"/>
        </w:rPr>
        <w:t xml:space="preserve"> Amnesty International, “</w:t>
      </w:r>
      <w:r w:rsidRPr="00C87981">
        <w:rPr>
          <w:rFonts w:ascii="Times New Roman" w:hAnsi="Times New Roman" w:cs="Times New Roman"/>
          <w:i/>
          <w:color w:val="000000" w:themeColor="text1"/>
          <w:sz w:val="18"/>
          <w:szCs w:val="18"/>
          <w:lang w:val="en-GB"/>
        </w:rPr>
        <w:t xml:space="preserve">France: Les </w:t>
      </w:r>
      <w:proofErr w:type="spellStart"/>
      <w:r w:rsidRPr="00C87981">
        <w:rPr>
          <w:rFonts w:ascii="Times New Roman" w:hAnsi="Times New Roman" w:cs="Times New Roman"/>
          <w:i/>
          <w:color w:val="000000" w:themeColor="text1"/>
          <w:sz w:val="18"/>
          <w:szCs w:val="18"/>
          <w:lang w:val="en-GB"/>
        </w:rPr>
        <w:t>autorités</w:t>
      </w:r>
      <w:proofErr w:type="spellEnd"/>
      <w:r w:rsidRPr="00C87981">
        <w:rPr>
          <w:rFonts w:ascii="Times New Roman" w:hAnsi="Times New Roman" w:cs="Times New Roman"/>
          <w:i/>
          <w:color w:val="000000" w:themeColor="text1"/>
          <w:sz w:val="18"/>
          <w:szCs w:val="18"/>
          <w:lang w:val="en-GB"/>
        </w:rPr>
        <w:t xml:space="preserve"> </w:t>
      </w:r>
      <w:proofErr w:type="spellStart"/>
      <w:r w:rsidRPr="00C87981">
        <w:rPr>
          <w:rFonts w:ascii="Times New Roman" w:hAnsi="Times New Roman" w:cs="Times New Roman"/>
          <w:i/>
          <w:color w:val="000000" w:themeColor="text1"/>
          <w:sz w:val="18"/>
          <w:szCs w:val="18"/>
          <w:lang w:val="en-GB"/>
        </w:rPr>
        <w:t>doivent</w:t>
      </w:r>
      <w:proofErr w:type="spellEnd"/>
      <w:r w:rsidRPr="00C87981">
        <w:rPr>
          <w:rFonts w:ascii="Times New Roman" w:hAnsi="Times New Roman" w:cs="Times New Roman"/>
          <w:i/>
          <w:color w:val="000000" w:themeColor="text1"/>
          <w:sz w:val="18"/>
          <w:szCs w:val="18"/>
          <w:lang w:val="en-GB"/>
        </w:rPr>
        <w:t xml:space="preserve"> </w:t>
      </w:r>
      <w:proofErr w:type="spellStart"/>
      <w:r w:rsidRPr="00C87981">
        <w:rPr>
          <w:rFonts w:ascii="Times New Roman" w:hAnsi="Times New Roman" w:cs="Times New Roman"/>
          <w:i/>
          <w:color w:val="000000" w:themeColor="text1"/>
          <w:sz w:val="18"/>
          <w:szCs w:val="18"/>
          <w:lang w:val="en-GB"/>
        </w:rPr>
        <w:t>suspendre</w:t>
      </w:r>
      <w:proofErr w:type="spellEnd"/>
      <w:r w:rsidRPr="00C87981">
        <w:rPr>
          <w:rFonts w:ascii="Times New Roman" w:hAnsi="Times New Roman" w:cs="Times New Roman"/>
          <w:i/>
          <w:color w:val="000000" w:themeColor="text1"/>
          <w:sz w:val="18"/>
          <w:szCs w:val="18"/>
          <w:lang w:val="en-GB"/>
        </w:rPr>
        <w:t xml:space="preserve"> le LBD40 et </w:t>
      </w:r>
      <w:proofErr w:type="spellStart"/>
      <w:r w:rsidRPr="00C87981">
        <w:rPr>
          <w:rFonts w:ascii="Times New Roman" w:hAnsi="Times New Roman" w:cs="Times New Roman"/>
          <w:i/>
          <w:color w:val="000000" w:themeColor="text1"/>
          <w:sz w:val="18"/>
          <w:szCs w:val="18"/>
          <w:lang w:val="en-GB"/>
        </w:rPr>
        <w:t>interdire</w:t>
      </w:r>
      <w:proofErr w:type="spellEnd"/>
      <w:r w:rsidRPr="00C87981">
        <w:rPr>
          <w:rFonts w:ascii="Times New Roman" w:hAnsi="Times New Roman" w:cs="Times New Roman"/>
          <w:i/>
          <w:color w:val="000000" w:themeColor="text1"/>
          <w:sz w:val="18"/>
          <w:szCs w:val="18"/>
          <w:lang w:val="en-GB"/>
        </w:rPr>
        <w:t xml:space="preserve"> les grenades GLI-F4 et de </w:t>
      </w:r>
      <w:proofErr w:type="spellStart"/>
      <w:r w:rsidRPr="00C87981">
        <w:rPr>
          <w:rFonts w:ascii="Times New Roman" w:hAnsi="Times New Roman" w:cs="Times New Roman"/>
          <w:i/>
          <w:color w:val="000000" w:themeColor="text1"/>
          <w:sz w:val="18"/>
          <w:szCs w:val="18"/>
          <w:lang w:val="en-GB"/>
        </w:rPr>
        <w:t>désencerclement</w:t>
      </w:r>
      <w:proofErr w:type="spellEnd"/>
      <w:r w:rsidRPr="00C87981">
        <w:rPr>
          <w:rFonts w:ascii="Times New Roman" w:hAnsi="Times New Roman" w:cs="Times New Roman"/>
          <w:i/>
          <w:color w:val="000000" w:themeColor="text1"/>
          <w:sz w:val="18"/>
          <w:szCs w:val="18"/>
          <w:lang w:val="en-GB"/>
        </w:rPr>
        <w:t xml:space="preserve"> </w:t>
      </w:r>
      <w:proofErr w:type="spellStart"/>
      <w:r w:rsidRPr="00C87981">
        <w:rPr>
          <w:rFonts w:ascii="Times New Roman" w:hAnsi="Times New Roman" w:cs="Times New Roman"/>
          <w:i/>
          <w:color w:val="000000" w:themeColor="text1"/>
          <w:sz w:val="18"/>
          <w:szCs w:val="18"/>
          <w:lang w:val="en-GB"/>
        </w:rPr>
        <w:t>dans</w:t>
      </w:r>
      <w:proofErr w:type="spellEnd"/>
      <w:r w:rsidRPr="00C87981">
        <w:rPr>
          <w:rFonts w:ascii="Times New Roman" w:hAnsi="Times New Roman" w:cs="Times New Roman"/>
          <w:i/>
          <w:color w:val="000000" w:themeColor="text1"/>
          <w:sz w:val="18"/>
          <w:szCs w:val="18"/>
          <w:lang w:val="en-GB"/>
        </w:rPr>
        <w:t xml:space="preserve"> le cadre du </w:t>
      </w:r>
      <w:proofErr w:type="spellStart"/>
      <w:r w:rsidRPr="00C87981">
        <w:rPr>
          <w:rFonts w:ascii="Times New Roman" w:hAnsi="Times New Roman" w:cs="Times New Roman"/>
          <w:i/>
          <w:color w:val="000000" w:themeColor="text1"/>
          <w:sz w:val="18"/>
          <w:szCs w:val="18"/>
          <w:lang w:val="en-GB"/>
        </w:rPr>
        <w:t>maintien</w:t>
      </w:r>
      <w:proofErr w:type="spellEnd"/>
      <w:r w:rsidRPr="00C87981">
        <w:rPr>
          <w:rFonts w:ascii="Times New Roman" w:hAnsi="Times New Roman" w:cs="Times New Roman"/>
          <w:i/>
          <w:color w:val="000000" w:themeColor="text1"/>
          <w:sz w:val="18"/>
          <w:szCs w:val="18"/>
          <w:lang w:val="en-GB"/>
        </w:rPr>
        <w:t xml:space="preserve"> de </w:t>
      </w:r>
      <w:proofErr w:type="spellStart"/>
      <w:r w:rsidRPr="00C87981">
        <w:rPr>
          <w:rFonts w:ascii="Times New Roman" w:hAnsi="Times New Roman" w:cs="Times New Roman"/>
          <w:i/>
          <w:color w:val="000000" w:themeColor="text1"/>
          <w:sz w:val="18"/>
          <w:szCs w:val="18"/>
          <w:lang w:val="en-GB"/>
        </w:rPr>
        <w:t>l'ordre</w:t>
      </w:r>
      <w:proofErr w:type="spellEnd"/>
      <w:r w:rsidRPr="00C87981">
        <w:rPr>
          <w:rFonts w:ascii="Times New Roman" w:hAnsi="Times New Roman" w:cs="Times New Roman"/>
          <w:i/>
          <w:color w:val="000000" w:themeColor="text1"/>
          <w:sz w:val="18"/>
          <w:szCs w:val="18"/>
          <w:lang w:val="en-GB"/>
        </w:rPr>
        <w:t xml:space="preserve"> des manifestations</w:t>
      </w:r>
      <w:r w:rsidRPr="00C87981">
        <w:rPr>
          <w:rFonts w:ascii="Times New Roman" w:hAnsi="Times New Roman" w:cs="Times New Roman"/>
          <w:color w:val="000000" w:themeColor="text1"/>
          <w:sz w:val="18"/>
          <w:szCs w:val="18"/>
          <w:lang w:val="en-GB"/>
        </w:rPr>
        <w:t xml:space="preserve">”, 3 </w:t>
      </w:r>
      <w:proofErr w:type="spellStart"/>
      <w:r w:rsidRPr="00C87981">
        <w:rPr>
          <w:rFonts w:ascii="Times New Roman" w:hAnsi="Times New Roman" w:cs="Times New Roman"/>
          <w:color w:val="000000" w:themeColor="text1"/>
          <w:sz w:val="18"/>
          <w:szCs w:val="18"/>
          <w:lang w:val="en-GB"/>
        </w:rPr>
        <w:t>mai</w:t>
      </w:r>
      <w:proofErr w:type="spellEnd"/>
      <w:r w:rsidRPr="00C87981">
        <w:rPr>
          <w:rFonts w:ascii="Times New Roman" w:hAnsi="Times New Roman" w:cs="Times New Roman"/>
          <w:color w:val="000000" w:themeColor="text1"/>
          <w:sz w:val="18"/>
          <w:szCs w:val="18"/>
          <w:lang w:val="en-GB"/>
        </w:rPr>
        <w:t xml:space="preserve"> 2019, </w:t>
      </w:r>
      <w:hyperlink r:id="rId23" w:history="1">
        <w:r w:rsidRPr="00C87981">
          <w:rPr>
            <w:rStyle w:val="Hyperlink"/>
            <w:rFonts w:ascii="Times New Roman" w:hAnsi="Times New Roman" w:cs="Times New Roman"/>
            <w:color w:val="000000" w:themeColor="text1"/>
            <w:sz w:val="18"/>
            <w:szCs w:val="18"/>
            <w:lang w:val="en-GB"/>
          </w:rPr>
          <w:t>https://amnestyfr.cdn.prismic.io/amnestyfr%2Fbc1434a2-ca33-436c-bf31-9ceeb919ba63_positionnement_lbd40_grenades_france+%281%29.pdf?fbclid=IwAR2l6ZJZn_jyW_rxNCB2RDVNi3Of-HMReAK64n47J_8PYUyvYmpM7GfuP9Q</w:t>
        </w:r>
      </w:hyperlink>
      <w:r w:rsidRPr="00C87981">
        <w:rPr>
          <w:rFonts w:ascii="Times New Roman" w:hAnsi="Times New Roman" w:cs="Times New Roman"/>
          <w:color w:val="000000" w:themeColor="text1"/>
          <w:sz w:val="18"/>
          <w:szCs w:val="18"/>
          <w:lang w:val="en-GB"/>
        </w:rPr>
        <w:t xml:space="preserve"> </w:t>
      </w:r>
    </w:p>
  </w:footnote>
  <w:footnote w:id="44">
    <w:p w14:paraId="79079DD6" w14:textId="0EB871B1" w:rsidR="008C03F7" w:rsidRPr="00C87981" w:rsidRDefault="008C03F7" w:rsidP="00CB1737">
      <w:pPr>
        <w:pStyle w:val="NoSpacing"/>
        <w:jc w:val="both"/>
        <w:rPr>
          <w:rFonts w:ascii="Times New Roman" w:hAnsi="Times New Roman" w:cs="Times New Roman"/>
          <w:color w:val="000000" w:themeColor="text1"/>
          <w:sz w:val="18"/>
          <w:szCs w:val="18"/>
          <w:lang w:val="en-GB"/>
        </w:rPr>
      </w:pPr>
      <w:r w:rsidRPr="00C87981">
        <w:rPr>
          <w:rStyle w:val="FootnoteCharacters"/>
          <w:rFonts w:ascii="Times New Roman" w:hAnsi="Times New Roman" w:cs="Times New Roman"/>
          <w:color w:val="000000" w:themeColor="text1"/>
          <w:sz w:val="18"/>
          <w:szCs w:val="18"/>
          <w:vertAlign w:val="superscript"/>
          <w:lang w:val="en-GB"/>
        </w:rPr>
        <w:footnoteRef/>
      </w:r>
      <w:r w:rsidRPr="00C87981">
        <w:rPr>
          <w:rFonts w:ascii="Times New Roman" w:hAnsi="Times New Roman" w:cs="Times New Roman"/>
          <w:color w:val="000000" w:themeColor="text1"/>
          <w:sz w:val="18"/>
          <w:szCs w:val="18"/>
          <w:lang w:val="en-GB"/>
        </w:rPr>
        <w:tab/>
        <w:t xml:space="preserve">CE, cont., 24 </w:t>
      </w:r>
      <w:proofErr w:type="spellStart"/>
      <w:r w:rsidRPr="00C87981">
        <w:rPr>
          <w:rFonts w:ascii="Times New Roman" w:hAnsi="Times New Roman" w:cs="Times New Roman"/>
          <w:color w:val="000000" w:themeColor="text1"/>
          <w:sz w:val="18"/>
          <w:szCs w:val="18"/>
          <w:lang w:val="en-GB"/>
        </w:rPr>
        <w:t>juillet</w:t>
      </w:r>
      <w:proofErr w:type="spellEnd"/>
      <w:r w:rsidRPr="00C87981">
        <w:rPr>
          <w:rFonts w:ascii="Times New Roman" w:hAnsi="Times New Roman" w:cs="Times New Roman"/>
          <w:color w:val="000000" w:themeColor="text1"/>
          <w:sz w:val="18"/>
          <w:szCs w:val="18"/>
          <w:lang w:val="en-GB"/>
        </w:rPr>
        <w:t xml:space="preserve"> 2019, n°429741: </w:t>
      </w:r>
      <w:hyperlink r:id="rId24" w:history="1">
        <w:r w:rsidRPr="00C87981">
          <w:rPr>
            <w:rStyle w:val="Hyperlink"/>
            <w:rFonts w:ascii="Times New Roman" w:hAnsi="Times New Roman" w:cs="Times New Roman"/>
            <w:color w:val="000000" w:themeColor="text1"/>
            <w:sz w:val="18"/>
            <w:szCs w:val="18"/>
            <w:lang w:val="en-GB"/>
          </w:rPr>
          <w:t>https://www.legifrance.gouv.fr/affichJuriAdmin.do?idTexte=CETATEXT000038815880</w:t>
        </w:r>
      </w:hyperlink>
      <w:r w:rsidRPr="00C87981">
        <w:rPr>
          <w:rFonts w:ascii="Times New Roman" w:hAnsi="Times New Roman" w:cs="Times New Roman"/>
          <w:color w:val="000000" w:themeColor="text1"/>
          <w:sz w:val="18"/>
          <w:szCs w:val="18"/>
          <w:lang w:val="en-GB"/>
        </w:rPr>
        <w:t xml:space="preserve"> </w:t>
      </w:r>
      <w:r>
        <w:rPr>
          <w:rFonts w:ascii="Times New Roman" w:hAnsi="Times New Roman" w:cs="Times New Roman"/>
          <w:color w:val="000000" w:themeColor="text1"/>
          <w:sz w:val="18"/>
          <w:szCs w:val="18"/>
          <w:lang w:val="en-GB"/>
        </w:rPr>
        <w:t xml:space="preserve">; See BURG Marc, “Utilisation de la grenade GLI F4 </w:t>
      </w:r>
      <w:proofErr w:type="spellStart"/>
      <w:r>
        <w:rPr>
          <w:rFonts w:ascii="Times New Roman" w:hAnsi="Times New Roman" w:cs="Times New Roman"/>
          <w:color w:val="000000" w:themeColor="text1"/>
          <w:sz w:val="18"/>
          <w:szCs w:val="18"/>
          <w:lang w:val="en-GB"/>
        </w:rPr>
        <w:t>lors</w:t>
      </w:r>
      <w:proofErr w:type="spellEnd"/>
      <w:r>
        <w:rPr>
          <w:rFonts w:ascii="Times New Roman" w:hAnsi="Times New Roman" w:cs="Times New Roman"/>
          <w:color w:val="000000" w:themeColor="text1"/>
          <w:sz w:val="18"/>
          <w:szCs w:val="18"/>
          <w:lang w:val="en-GB"/>
        </w:rPr>
        <w:t xml:space="preserve"> des </w:t>
      </w:r>
      <w:proofErr w:type="spellStart"/>
      <w:r>
        <w:rPr>
          <w:rFonts w:ascii="Times New Roman" w:hAnsi="Times New Roman" w:cs="Times New Roman"/>
          <w:color w:val="000000" w:themeColor="text1"/>
          <w:sz w:val="18"/>
          <w:szCs w:val="18"/>
          <w:lang w:val="en-GB"/>
        </w:rPr>
        <w:t>opérations</w:t>
      </w:r>
      <w:proofErr w:type="spellEnd"/>
      <w:r>
        <w:rPr>
          <w:rFonts w:ascii="Times New Roman" w:hAnsi="Times New Roman" w:cs="Times New Roman"/>
          <w:color w:val="000000" w:themeColor="text1"/>
          <w:sz w:val="18"/>
          <w:szCs w:val="18"/>
          <w:lang w:val="en-GB"/>
        </w:rPr>
        <w:t xml:space="preserve"> de </w:t>
      </w:r>
      <w:proofErr w:type="spellStart"/>
      <w:r>
        <w:rPr>
          <w:rFonts w:ascii="Times New Roman" w:hAnsi="Times New Roman" w:cs="Times New Roman"/>
          <w:color w:val="000000" w:themeColor="text1"/>
          <w:sz w:val="18"/>
          <w:szCs w:val="18"/>
          <w:lang w:val="en-GB"/>
        </w:rPr>
        <w:t>maintien</w:t>
      </w:r>
      <w:proofErr w:type="spellEnd"/>
      <w:r>
        <w:rPr>
          <w:rFonts w:ascii="Times New Roman" w:hAnsi="Times New Roman" w:cs="Times New Roman"/>
          <w:color w:val="000000" w:themeColor="text1"/>
          <w:sz w:val="18"/>
          <w:szCs w:val="18"/>
          <w:lang w:val="en-GB"/>
        </w:rPr>
        <w:t xml:space="preserve"> de </w:t>
      </w:r>
      <w:proofErr w:type="spellStart"/>
      <w:r>
        <w:rPr>
          <w:rFonts w:ascii="Times New Roman" w:hAnsi="Times New Roman" w:cs="Times New Roman"/>
          <w:color w:val="000000" w:themeColor="text1"/>
          <w:sz w:val="18"/>
          <w:szCs w:val="18"/>
          <w:lang w:val="en-GB"/>
        </w:rPr>
        <w:t>l’ordre</w:t>
      </w:r>
      <w:proofErr w:type="spellEnd"/>
      <w:r>
        <w:rPr>
          <w:rFonts w:ascii="Times New Roman" w:hAnsi="Times New Roman" w:cs="Times New Roman"/>
          <w:color w:val="000000" w:themeColor="text1"/>
          <w:sz w:val="18"/>
          <w:szCs w:val="18"/>
          <w:lang w:val="en-GB"/>
        </w:rPr>
        <w:t>”, AJDA 2019, p. 2563.</w:t>
      </w:r>
    </w:p>
  </w:footnote>
  <w:footnote w:id="45">
    <w:p w14:paraId="343F19BF" w14:textId="77777777" w:rsidR="008C03F7" w:rsidRPr="00C87981" w:rsidRDefault="008C03F7" w:rsidP="00CB1737">
      <w:pPr>
        <w:pStyle w:val="NoSpacing"/>
        <w:jc w:val="both"/>
        <w:rPr>
          <w:rFonts w:ascii="Times New Roman" w:hAnsi="Times New Roman" w:cs="Times New Roman"/>
          <w:color w:val="000000" w:themeColor="text1"/>
          <w:sz w:val="18"/>
          <w:szCs w:val="18"/>
          <w:lang w:val="en-GB"/>
        </w:rPr>
      </w:pPr>
      <w:r w:rsidRPr="00C87981">
        <w:rPr>
          <w:rStyle w:val="FootnoteCharacters"/>
          <w:rFonts w:ascii="Times New Roman" w:hAnsi="Times New Roman" w:cs="Times New Roman"/>
          <w:color w:val="000000" w:themeColor="text1"/>
          <w:sz w:val="18"/>
          <w:szCs w:val="18"/>
          <w:vertAlign w:val="superscript"/>
          <w:lang w:val="en-GB"/>
        </w:rPr>
        <w:footnoteRef/>
      </w:r>
      <w:r w:rsidRPr="00C87981">
        <w:rPr>
          <w:rFonts w:ascii="Times New Roman" w:hAnsi="Times New Roman" w:cs="Times New Roman"/>
          <w:color w:val="000000" w:themeColor="text1"/>
          <w:sz w:val="18"/>
          <w:szCs w:val="18"/>
          <w:lang w:val="en-GB"/>
        </w:rPr>
        <w:tab/>
        <w:t>Official twitter</w:t>
      </w:r>
      <w:r>
        <w:rPr>
          <w:rFonts w:ascii="Times New Roman" w:hAnsi="Times New Roman" w:cs="Times New Roman"/>
          <w:color w:val="000000" w:themeColor="text1"/>
          <w:sz w:val="18"/>
          <w:szCs w:val="18"/>
          <w:lang w:val="en-GB"/>
        </w:rPr>
        <w:t xml:space="preserve"> account of French Ministe</w:t>
      </w:r>
      <w:r w:rsidRPr="00C87981">
        <w:rPr>
          <w:rFonts w:ascii="Times New Roman" w:hAnsi="Times New Roman" w:cs="Times New Roman"/>
          <w:color w:val="000000" w:themeColor="text1"/>
          <w:sz w:val="18"/>
          <w:szCs w:val="18"/>
          <w:lang w:val="en-GB"/>
        </w:rPr>
        <w:t xml:space="preserve">r of Interior, Christophe </w:t>
      </w:r>
      <w:proofErr w:type="spellStart"/>
      <w:r w:rsidRPr="00C87981">
        <w:rPr>
          <w:rFonts w:ascii="Times New Roman" w:hAnsi="Times New Roman" w:cs="Times New Roman"/>
          <w:color w:val="000000" w:themeColor="text1"/>
          <w:sz w:val="18"/>
          <w:szCs w:val="18"/>
          <w:lang w:val="en-GB"/>
        </w:rPr>
        <w:t>Castaner</w:t>
      </w:r>
      <w:proofErr w:type="spellEnd"/>
      <w:r w:rsidRPr="00C87981">
        <w:rPr>
          <w:rFonts w:ascii="Times New Roman" w:hAnsi="Times New Roman" w:cs="Times New Roman"/>
          <w:color w:val="000000" w:themeColor="text1"/>
          <w:sz w:val="18"/>
          <w:szCs w:val="18"/>
          <w:lang w:val="en-GB"/>
        </w:rPr>
        <w:t xml:space="preserve"> (tweet of the 26</w:t>
      </w:r>
      <w:r w:rsidRPr="00C87981">
        <w:rPr>
          <w:rFonts w:ascii="Times New Roman" w:hAnsi="Times New Roman" w:cs="Times New Roman"/>
          <w:color w:val="000000" w:themeColor="text1"/>
          <w:sz w:val="18"/>
          <w:szCs w:val="18"/>
          <w:vertAlign w:val="superscript"/>
          <w:lang w:val="en-GB"/>
        </w:rPr>
        <w:t>th</w:t>
      </w:r>
      <w:r w:rsidRPr="00C87981">
        <w:rPr>
          <w:rFonts w:ascii="Times New Roman" w:hAnsi="Times New Roman" w:cs="Times New Roman"/>
          <w:color w:val="000000" w:themeColor="text1"/>
          <w:sz w:val="18"/>
          <w:szCs w:val="18"/>
          <w:lang w:val="en-GB"/>
        </w:rPr>
        <w:t xml:space="preserve"> of </w:t>
      </w:r>
      <w:proofErr w:type="spellStart"/>
      <w:r w:rsidRPr="00C87981">
        <w:rPr>
          <w:rFonts w:ascii="Times New Roman" w:hAnsi="Times New Roman" w:cs="Times New Roman"/>
          <w:color w:val="000000" w:themeColor="text1"/>
          <w:sz w:val="18"/>
          <w:szCs w:val="18"/>
          <w:lang w:val="en-GB"/>
        </w:rPr>
        <w:t>january</w:t>
      </w:r>
      <w:proofErr w:type="spellEnd"/>
      <w:r w:rsidRPr="00C87981">
        <w:rPr>
          <w:rFonts w:ascii="Times New Roman" w:hAnsi="Times New Roman" w:cs="Times New Roman"/>
          <w:color w:val="000000" w:themeColor="text1"/>
          <w:sz w:val="18"/>
          <w:szCs w:val="18"/>
          <w:lang w:val="en-GB"/>
        </w:rPr>
        <w:t xml:space="preserve"> 2020) : </w:t>
      </w:r>
      <w:hyperlink r:id="rId25" w:history="1">
        <w:r w:rsidRPr="00C87981">
          <w:rPr>
            <w:rStyle w:val="Hyperlink"/>
            <w:rFonts w:ascii="Times New Roman" w:hAnsi="Times New Roman" w:cs="Times New Roman"/>
            <w:color w:val="000000" w:themeColor="text1"/>
            <w:sz w:val="18"/>
            <w:szCs w:val="18"/>
            <w:lang w:val="en-GB"/>
          </w:rPr>
          <w:t>https://twitter.com/CCastaner/status/1221417588921638912?fbclid=IwAR2MnRipAkTVGsOuVJ_5YjZ2wjLg36J_Nn7gfJooOO6c8ROTTaFXtwFZ35A</w:t>
        </w:r>
      </w:hyperlink>
      <w:r w:rsidRPr="00C87981">
        <w:rPr>
          <w:rFonts w:ascii="Times New Roman" w:hAnsi="Times New Roman" w:cs="Times New Roman"/>
          <w:color w:val="000000" w:themeColor="text1"/>
          <w:sz w:val="18"/>
          <w:szCs w:val="18"/>
          <w:lang w:val="en-GB"/>
        </w:rPr>
        <w:t xml:space="preserve"> </w:t>
      </w:r>
    </w:p>
  </w:footnote>
  <w:footnote w:id="46">
    <w:p w14:paraId="73CB89BA" w14:textId="77777777" w:rsidR="008C03F7" w:rsidRPr="00C87981" w:rsidRDefault="008C03F7" w:rsidP="00CB1737">
      <w:pPr>
        <w:pStyle w:val="NoSpacing"/>
        <w:jc w:val="both"/>
        <w:rPr>
          <w:rFonts w:ascii="Times New Roman" w:hAnsi="Times New Roman" w:cs="Times New Roman"/>
          <w:color w:val="000000" w:themeColor="text1"/>
          <w:sz w:val="18"/>
          <w:szCs w:val="18"/>
          <w:lang w:val="en-GB"/>
        </w:rPr>
      </w:pPr>
      <w:r w:rsidRPr="00C87981">
        <w:rPr>
          <w:rStyle w:val="FootnoteCharacters"/>
          <w:rFonts w:ascii="Times New Roman" w:hAnsi="Times New Roman" w:cs="Times New Roman"/>
          <w:color w:val="000000" w:themeColor="text1"/>
          <w:sz w:val="18"/>
          <w:szCs w:val="18"/>
          <w:vertAlign w:val="superscript"/>
          <w:lang w:val="en-GB"/>
        </w:rPr>
        <w:footnoteRef/>
      </w:r>
      <w:r w:rsidRPr="00C87981">
        <w:rPr>
          <w:rFonts w:ascii="Times New Roman" w:hAnsi="Times New Roman" w:cs="Times New Roman"/>
          <w:color w:val="000000" w:themeColor="text1"/>
          <w:sz w:val="18"/>
          <w:szCs w:val="18"/>
          <w:lang w:val="en-GB"/>
        </w:rPr>
        <w:t xml:space="preserve"> Art. D211-17 du Code de la </w:t>
      </w:r>
      <w:proofErr w:type="spellStart"/>
      <w:r w:rsidRPr="00C87981">
        <w:rPr>
          <w:rFonts w:ascii="Times New Roman" w:hAnsi="Times New Roman" w:cs="Times New Roman"/>
          <w:color w:val="000000" w:themeColor="text1"/>
          <w:sz w:val="18"/>
          <w:szCs w:val="18"/>
          <w:lang w:val="en-GB"/>
        </w:rPr>
        <w:t>sécurité</w:t>
      </w:r>
      <w:proofErr w:type="spellEnd"/>
      <w:r w:rsidRPr="00C87981">
        <w:rPr>
          <w:rFonts w:ascii="Times New Roman" w:hAnsi="Times New Roman" w:cs="Times New Roman"/>
          <w:color w:val="000000" w:themeColor="text1"/>
          <w:sz w:val="18"/>
          <w:szCs w:val="18"/>
          <w:lang w:val="en-GB"/>
        </w:rPr>
        <w:t xml:space="preserve"> </w:t>
      </w:r>
      <w:proofErr w:type="spellStart"/>
      <w:r w:rsidRPr="00C87981">
        <w:rPr>
          <w:rFonts w:ascii="Times New Roman" w:hAnsi="Times New Roman" w:cs="Times New Roman"/>
          <w:color w:val="000000" w:themeColor="text1"/>
          <w:sz w:val="18"/>
          <w:szCs w:val="18"/>
          <w:lang w:val="en-GB"/>
        </w:rPr>
        <w:t>intérieure</w:t>
      </w:r>
      <w:proofErr w:type="spellEnd"/>
      <w:r w:rsidRPr="00C87981">
        <w:rPr>
          <w:rFonts w:ascii="Times New Roman" w:hAnsi="Times New Roman" w:cs="Times New Roman"/>
          <w:color w:val="000000" w:themeColor="text1"/>
          <w:sz w:val="18"/>
          <w:szCs w:val="18"/>
          <w:lang w:val="en-GB"/>
        </w:rPr>
        <w:t xml:space="preserve"> : </w:t>
      </w:r>
      <w:hyperlink r:id="rId26" w:history="1">
        <w:r w:rsidRPr="00C87981">
          <w:rPr>
            <w:rStyle w:val="Hyperlink"/>
            <w:rFonts w:ascii="Times New Roman" w:hAnsi="Times New Roman" w:cs="Times New Roman"/>
            <w:color w:val="000000" w:themeColor="text1"/>
            <w:sz w:val="18"/>
            <w:szCs w:val="18"/>
            <w:lang w:val="en-GB"/>
          </w:rPr>
          <w:t>https://is.gd/ur8gW4</w:t>
        </w:r>
      </w:hyperlink>
      <w:r w:rsidRPr="00C87981">
        <w:rPr>
          <w:rFonts w:ascii="Times New Roman" w:hAnsi="Times New Roman" w:cs="Times New Roman"/>
          <w:color w:val="000000" w:themeColor="text1"/>
          <w:sz w:val="18"/>
          <w:szCs w:val="18"/>
          <w:lang w:val="en-GB"/>
        </w:rPr>
        <w:t xml:space="preserve"> </w:t>
      </w:r>
    </w:p>
  </w:footnote>
  <w:footnote w:id="47">
    <w:p w14:paraId="626FA080" w14:textId="1825D261" w:rsidR="008C03F7" w:rsidRPr="00DB10D6" w:rsidRDefault="008C03F7" w:rsidP="00CB1737">
      <w:pPr>
        <w:pStyle w:val="NoSpacing"/>
        <w:jc w:val="both"/>
      </w:pPr>
      <w:r w:rsidRPr="00CB1737">
        <w:rPr>
          <w:rStyle w:val="FootnoteCharacters"/>
          <w:rFonts w:ascii="Times New Roman" w:hAnsi="Times New Roman" w:cs="Times New Roman"/>
          <w:sz w:val="18"/>
          <w:szCs w:val="18"/>
          <w:vertAlign w:val="superscript"/>
          <w:lang w:val="en-GB"/>
        </w:rPr>
        <w:footnoteRef/>
      </w:r>
      <w:r>
        <w:rPr>
          <w:rFonts w:ascii="Times New Roman" w:hAnsi="Times New Roman" w:cs="Times New Roman"/>
          <w:sz w:val="18"/>
          <w:szCs w:val="18"/>
          <w:lang w:val="en-GB"/>
        </w:rPr>
        <w:t xml:space="preserve"> Amnesty </w:t>
      </w:r>
      <w:proofErr w:type="spellStart"/>
      <w:r>
        <w:rPr>
          <w:rFonts w:ascii="Times New Roman" w:hAnsi="Times New Roman" w:cs="Times New Roman"/>
          <w:sz w:val="18"/>
          <w:szCs w:val="18"/>
          <w:lang w:val="en-GB"/>
        </w:rPr>
        <w:t>International</w:t>
      </w:r>
      <w:proofErr w:type="gramStart"/>
      <w:r>
        <w:rPr>
          <w:rFonts w:ascii="Times New Roman" w:hAnsi="Times New Roman" w:cs="Times New Roman"/>
          <w:sz w:val="18"/>
          <w:szCs w:val="18"/>
          <w:lang w:val="en-GB"/>
        </w:rPr>
        <w:t>,“</w:t>
      </w:r>
      <w:proofErr w:type="gramEnd"/>
      <w:r>
        <w:rPr>
          <w:rFonts w:ascii="Times New Roman" w:hAnsi="Times New Roman" w:cs="Times New Roman"/>
          <w:i/>
          <w:sz w:val="18"/>
          <w:szCs w:val="18"/>
          <w:lang w:val="en-GB"/>
        </w:rPr>
        <w:t>France</w:t>
      </w:r>
      <w:proofErr w:type="spellEnd"/>
      <w:r w:rsidRPr="00C87981">
        <w:rPr>
          <w:rFonts w:ascii="Times New Roman" w:hAnsi="Times New Roman" w:cs="Times New Roman"/>
          <w:i/>
          <w:sz w:val="18"/>
          <w:szCs w:val="18"/>
          <w:lang w:val="en-GB"/>
        </w:rPr>
        <w:t xml:space="preserve">: Les </w:t>
      </w:r>
      <w:proofErr w:type="spellStart"/>
      <w:r w:rsidRPr="00C87981">
        <w:rPr>
          <w:rFonts w:ascii="Times New Roman" w:hAnsi="Times New Roman" w:cs="Times New Roman"/>
          <w:i/>
          <w:sz w:val="18"/>
          <w:szCs w:val="18"/>
          <w:lang w:val="en-GB"/>
        </w:rPr>
        <w:t>autorités</w:t>
      </w:r>
      <w:proofErr w:type="spellEnd"/>
      <w:r w:rsidRPr="00C87981">
        <w:rPr>
          <w:rFonts w:ascii="Times New Roman" w:hAnsi="Times New Roman" w:cs="Times New Roman"/>
          <w:i/>
          <w:sz w:val="18"/>
          <w:szCs w:val="18"/>
          <w:lang w:val="en-GB"/>
        </w:rPr>
        <w:t xml:space="preserve"> </w:t>
      </w:r>
      <w:proofErr w:type="spellStart"/>
      <w:r w:rsidRPr="00C87981">
        <w:rPr>
          <w:rFonts w:ascii="Times New Roman" w:hAnsi="Times New Roman" w:cs="Times New Roman"/>
          <w:i/>
          <w:sz w:val="18"/>
          <w:szCs w:val="18"/>
          <w:lang w:val="en-GB"/>
        </w:rPr>
        <w:t>doivent</w:t>
      </w:r>
      <w:proofErr w:type="spellEnd"/>
      <w:r w:rsidRPr="00C87981">
        <w:rPr>
          <w:rFonts w:ascii="Times New Roman" w:hAnsi="Times New Roman" w:cs="Times New Roman"/>
          <w:i/>
          <w:sz w:val="18"/>
          <w:szCs w:val="18"/>
          <w:lang w:val="en-GB"/>
        </w:rPr>
        <w:t xml:space="preserve"> </w:t>
      </w:r>
      <w:proofErr w:type="spellStart"/>
      <w:r w:rsidRPr="00C87981">
        <w:rPr>
          <w:rFonts w:ascii="Times New Roman" w:hAnsi="Times New Roman" w:cs="Times New Roman"/>
          <w:i/>
          <w:sz w:val="18"/>
          <w:szCs w:val="18"/>
          <w:lang w:val="en-GB"/>
        </w:rPr>
        <w:t>suspendre</w:t>
      </w:r>
      <w:proofErr w:type="spellEnd"/>
      <w:r w:rsidRPr="00C87981">
        <w:rPr>
          <w:rFonts w:ascii="Times New Roman" w:hAnsi="Times New Roman" w:cs="Times New Roman"/>
          <w:i/>
          <w:sz w:val="18"/>
          <w:szCs w:val="18"/>
          <w:lang w:val="en-GB"/>
        </w:rPr>
        <w:t xml:space="preserve"> le LBD40 et </w:t>
      </w:r>
      <w:proofErr w:type="spellStart"/>
      <w:r w:rsidRPr="00C87981">
        <w:rPr>
          <w:rFonts w:ascii="Times New Roman" w:hAnsi="Times New Roman" w:cs="Times New Roman"/>
          <w:i/>
          <w:sz w:val="18"/>
          <w:szCs w:val="18"/>
          <w:lang w:val="en-GB"/>
        </w:rPr>
        <w:t>interdire</w:t>
      </w:r>
      <w:proofErr w:type="spellEnd"/>
      <w:r w:rsidRPr="00C87981">
        <w:rPr>
          <w:rFonts w:ascii="Times New Roman" w:hAnsi="Times New Roman" w:cs="Times New Roman"/>
          <w:i/>
          <w:sz w:val="18"/>
          <w:szCs w:val="18"/>
          <w:lang w:val="en-GB"/>
        </w:rPr>
        <w:t xml:space="preserve"> les grenades GLI-F4 (...)</w:t>
      </w:r>
      <w:r>
        <w:rPr>
          <w:rFonts w:ascii="Times New Roman" w:hAnsi="Times New Roman" w:cs="Times New Roman"/>
          <w:sz w:val="18"/>
          <w:szCs w:val="18"/>
          <w:lang w:val="en-GB"/>
        </w:rPr>
        <w:t>”</w:t>
      </w:r>
      <w:r w:rsidRPr="00CB1737">
        <w:rPr>
          <w:rFonts w:ascii="Times New Roman" w:hAnsi="Times New Roman" w:cs="Times New Roman"/>
          <w:sz w:val="18"/>
          <w:szCs w:val="18"/>
          <w:lang w:val="en-GB"/>
        </w:rPr>
        <w:t>,</w:t>
      </w:r>
      <w:r>
        <w:rPr>
          <w:rFonts w:ascii="Times New Roman" w:hAnsi="Times New Roman" w:cs="Times New Roman"/>
          <w:sz w:val="18"/>
          <w:szCs w:val="18"/>
          <w:lang w:val="en-GB"/>
        </w:rPr>
        <w:t xml:space="preserve"> </w:t>
      </w:r>
      <w:r w:rsidRPr="00B728B1">
        <w:rPr>
          <w:rFonts w:ascii="Times New Roman" w:hAnsi="Times New Roman" w:cs="Times New Roman"/>
          <w:i/>
          <w:sz w:val="18"/>
          <w:szCs w:val="18"/>
          <w:lang w:val="en-GB"/>
        </w:rPr>
        <w:t>op.</w:t>
      </w:r>
      <w:r>
        <w:rPr>
          <w:rFonts w:ascii="Times New Roman" w:hAnsi="Times New Roman" w:cs="Times New Roman"/>
          <w:i/>
          <w:sz w:val="18"/>
          <w:szCs w:val="18"/>
          <w:lang w:val="en-GB"/>
        </w:rPr>
        <w:t xml:space="preserve"> </w:t>
      </w:r>
      <w:r w:rsidRPr="00B728B1">
        <w:rPr>
          <w:rFonts w:ascii="Times New Roman" w:hAnsi="Times New Roman" w:cs="Times New Roman"/>
          <w:i/>
          <w:sz w:val="18"/>
          <w:szCs w:val="18"/>
          <w:lang w:val="en-GB"/>
        </w:rPr>
        <w:t>cit.</w:t>
      </w:r>
      <w:r>
        <w:rPr>
          <w:rFonts w:ascii="Times New Roman" w:hAnsi="Times New Roman" w:cs="Times New Roman"/>
          <w:sz w:val="18"/>
          <w:szCs w:val="18"/>
          <w:lang w:val="en-GB"/>
        </w:rPr>
        <w:t xml:space="preserve"> </w:t>
      </w:r>
      <w:r w:rsidRPr="00CB1737">
        <w:rPr>
          <w:rFonts w:ascii="Times New Roman" w:hAnsi="Times New Roman" w:cs="Times New Roman"/>
          <w:sz w:val="18"/>
          <w:szCs w:val="18"/>
          <w:lang w:val="en-GB"/>
        </w:rPr>
        <w:t>48</w:t>
      </w:r>
      <w:r>
        <w:rPr>
          <w:rFonts w:ascii="Times New Roman" w:hAnsi="Times New Roman" w:cs="Times New Roman"/>
          <w:sz w:val="18"/>
          <w:szCs w:val="18"/>
          <w:lang w:val="en-GB"/>
        </w:rPr>
        <w:t>.</w:t>
      </w:r>
    </w:p>
  </w:footnote>
  <w:footnote w:id="48">
    <w:p w14:paraId="6F6D391F" w14:textId="31BBE4D5" w:rsidR="008C03F7" w:rsidRPr="00CB1737" w:rsidRDefault="008C03F7" w:rsidP="00CB1737">
      <w:pPr>
        <w:pStyle w:val="NoSpacing"/>
        <w:jc w:val="both"/>
        <w:rPr>
          <w:rFonts w:ascii="Times New Roman" w:hAnsi="Times New Roman" w:cs="Times New Roman"/>
          <w:sz w:val="18"/>
          <w:szCs w:val="18"/>
          <w:lang w:val="en-GB"/>
        </w:rPr>
      </w:pPr>
      <w:r w:rsidRPr="00CB1737">
        <w:rPr>
          <w:rStyle w:val="FootnoteCharacters"/>
          <w:rFonts w:ascii="Times New Roman" w:hAnsi="Times New Roman" w:cs="Times New Roman"/>
          <w:sz w:val="18"/>
          <w:szCs w:val="18"/>
          <w:vertAlign w:val="superscript"/>
          <w:lang w:val="en-GB"/>
        </w:rPr>
        <w:footnoteRef/>
      </w:r>
      <w:r>
        <w:rPr>
          <w:rFonts w:ascii="Times New Roman" w:hAnsi="Times New Roman" w:cs="Times New Roman"/>
          <w:sz w:val="18"/>
          <w:szCs w:val="18"/>
          <w:lang w:val="en-GB"/>
        </w:rPr>
        <w:t xml:space="preserve"> </w:t>
      </w:r>
      <w:proofErr w:type="spellStart"/>
      <w:r w:rsidRPr="00CB1737">
        <w:rPr>
          <w:rFonts w:ascii="Times New Roman" w:hAnsi="Times New Roman" w:cs="Times New Roman"/>
          <w:sz w:val="18"/>
          <w:szCs w:val="18"/>
          <w:lang w:val="en-GB"/>
        </w:rPr>
        <w:t>Défenseur</w:t>
      </w:r>
      <w:proofErr w:type="spellEnd"/>
      <w:r w:rsidRPr="00CB1737">
        <w:rPr>
          <w:rFonts w:ascii="Times New Roman" w:hAnsi="Times New Roman" w:cs="Times New Roman"/>
          <w:sz w:val="18"/>
          <w:szCs w:val="18"/>
          <w:lang w:val="en-GB"/>
        </w:rPr>
        <w:t xml:space="preserve"> des droits, “</w:t>
      </w:r>
      <w:r w:rsidRPr="00CB1737">
        <w:rPr>
          <w:rFonts w:ascii="Times New Roman" w:hAnsi="Times New Roman" w:cs="Times New Roman"/>
          <w:i/>
          <w:sz w:val="18"/>
          <w:szCs w:val="18"/>
          <w:lang w:val="en-GB"/>
        </w:rPr>
        <w:t xml:space="preserve">Le </w:t>
      </w:r>
      <w:proofErr w:type="spellStart"/>
      <w:r w:rsidRPr="00CB1737">
        <w:rPr>
          <w:rFonts w:ascii="Times New Roman" w:hAnsi="Times New Roman" w:cs="Times New Roman"/>
          <w:i/>
          <w:sz w:val="18"/>
          <w:szCs w:val="18"/>
          <w:lang w:val="en-GB"/>
        </w:rPr>
        <w:t>maintien</w:t>
      </w:r>
      <w:proofErr w:type="spellEnd"/>
      <w:r w:rsidRPr="00CB1737">
        <w:rPr>
          <w:rFonts w:ascii="Times New Roman" w:hAnsi="Times New Roman" w:cs="Times New Roman"/>
          <w:i/>
          <w:sz w:val="18"/>
          <w:szCs w:val="18"/>
          <w:lang w:val="en-GB"/>
        </w:rPr>
        <w:t xml:space="preserve"> de </w:t>
      </w:r>
      <w:proofErr w:type="spellStart"/>
      <w:r w:rsidRPr="00CB1737">
        <w:rPr>
          <w:rFonts w:ascii="Times New Roman" w:hAnsi="Times New Roman" w:cs="Times New Roman"/>
          <w:i/>
          <w:sz w:val="18"/>
          <w:szCs w:val="18"/>
          <w:lang w:val="en-GB"/>
        </w:rPr>
        <w:t>l’ordre</w:t>
      </w:r>
      <w:proofErr w:type="spellEnd"/>
      <w:r w:rsidRPr="00CB1737">
        <w:rPr>
          <w:rFonts w:ascii="Times New Roman" w:hAnsi="Times New Roman" w:cs="Times New Roman"/>
          <w:i/>
          <w:sz w:val="18"/>
          <w:szCs w:val="18"/>
          <w:lang w:val="en-GB"/>
        </w:rPr>
        <w:t xml:space="preserve"> au regard des </w:t>
      </w:r>
      <w:proofErr w:type="spellStart"/>
      <w:r w:rsidRPr="00CB1737">
        <w:rPr>
          <w:rFonts w:ascii="Times New Roman" w:hAnsi="Times New Roman" w:cs="Times New Roman"/>
          <w:i/>
          <w:sz w:val="18"/>
          <w:szCs w:val="18"/>
          <w:lang w:val="en-GB"/>
        </w:rPr>
        <w:t>règles</w:t>
      </w:r>
      <w:proofErr w:type="spellEnd"/>
      <w:r w:rsidRPr="00CB1737">
        <w:rPr>
          <w:rFonts w:ascii="Times New Roman" w:hAnsi="Times New Roman" w:cs="Times New Roman"/>
          <w:i/>
          <w:sz w:val="18"/>
          <w:szCs w:val="18"/>
          <w:lang w:val="en-GB"/>
        </w:rPr>
        <w:t xml:space="preserve"> de </w:t>
      </w:r>
      <w:proofErr w:type="spellStart"/>
      <w:r w:rsidRPr="00CB1737">
        <w:rPr>
          <w:rFonts w:ascii="Times New Roman" w:hAnsi="Times New Roman" w:cs="Times New Roman"/>
          <w:i/>
          <w:sz w:val="18"/>
          <w:szCs w:val="18"/>
          <w:lang w:val="en-GB"/>
        </w:rPr>
        <w:t>déontologie</w:t>
      </w:r>
      <w:proofErr w:type="spellEnd"/>
      <w:r w:rsidRPr="00CB1737">
        <w:rPr>
          <w:rFonts w:ascii="Times New Roman" w:hAnsi="Times New Roman" w:cs="Times New Roman"/>
          <w:sz w:val="18"/>
          <w:szCs w:val="18"/>
          <w:lang w:val="en-GB"/>
        </w:rPr>
        <w:t xml:space="preserve">”, </w:t>
      </w:r>
      <w:r w:rsidRPr="00B728B1">
        <w:rPr>
          <w:rFonts w:ascii="Times New Roman" w:hAnsi="Times New Roman" w:cs="Times New Roman"/>
          <w:i/>
          <w:sz w:val="18"/>
          <w:szCs w:val="18"/>
          <w:lang w:val="en-GB"/>
        </w:rPr>
        <w:t>op. cit</w:t>
      </w:r>
      <w:r>
        <w:rPr>
          <w:rFonts w:ascii="Times New Roman" w:hAnsi="Times New Roman" w:cs="Times New Roman"/>
          <w:sz w:val="18"/>
          <w:szCs w:val="18"/>
          <w:lang w:val="en-GB"/>
        </w:rPr>
        <w:t>. 36, p.13.</w:t>
      </w:r>
    </w:p>
  </w:footnote>
  <w:footnote w:id="49">
    <w:p w14:paraId="4C35464F" w14:textId="77777777" w:rsidR="008C03F7" w:rsidRPr="00CB1737" w:rsidRDefault="008C03F7" w:rsidP="00CB1737">
      <w:pPr>
        <w:pStyle w:val="NoSpacing"/>
        <w:jc w:val="both"/>
        <w:rPr>
          <w:rFonts w:ascii="Times New Roman" w:hAnsi="Times New Roman" w:cs="Times New Roman"/>
          <w:sz w:val="18"/>
          <w:szCs w:val="18"/>
          <w:lang w:val="en-GB"/>
        </w:rPr>
      </w:pPr>
      <w:r w:rsidRPr="00CB1737">
        <w:rPr>
          <w:rStyle w:val="FootnoteCharacters"/>
          <w:rFonts w:ascii="Times New Roman" w:hAnsi="Times New Roman" w:cs="Times New Roman"/>
          <w:sz w:val="18"/>
          <w:szCs w:val="18"/>
          <w:vertAlign w:val="superscript"/>
          <w:lang w:val="en-GB"/>
        </w:rPr>
        <w:footnoteRef/>
      </w:r>
      <w:r>
        <w:rPr>
          <w:rFonts w:ascii="Times New Roman" w:hAnsi="Times New Roman" w:cs="Times New Roman"/>
          <w:sz w:val="18"/>
          <w:szCs w:val="18"/>
          <w:lang w:val="en-GB"/>
        </w:rPr>
        <w:t xml:space="preserve"> </w:t>
      </w:r>
      <w:r w:rsidRPr="00CB1737">
        <w:rPr>
          <w:rFonts w:ascii="Times New Roman" w:hAnsi="Times New Roman" w:cs="Times New Roman"/>
          <w:i/>
          <w:sz w:val="18"/>
          <w:szCs w:val="18"/>
          <w:lang w:val="en-GB"/>
        </w:rPr>
        <w:t>Ibid</w:t>
      </w:r>
    </w:p>
  </w:footnote>
  <w:footnote w:id="50">
    <w:p w14:paraId="32D71BD8" w14:textId="56B400DE" w:rsidR="008C03F7" w:rsidRPr="00CB1737" w:rsidRDefault="008C03F7" w:rsidP="00CB1737">
      <w:pPr>
        <w:pStyle w:val="NoSpacing"/>
        <w:jc w:val="both"/>
        <w:rPr>
          <w:rFonts w:ascii="Times New Roman" w:hAnsi="Times New Roman" w:cs="Times New Roman"/>
          <w:sz w:val="18"/>
          <w:szCs w:val="18"/>
          <w:lang w:val="en-GB"/>
        </w:rPr>
      </w:pPr>
      <w:r w:rsidRPr="00CB1737">
        <w:rPr>
          <w:rStyle w:val="FootnoteCharacters"/>
          <w:rFonts w:ascii="Times New Roman" w:hAnsi="Times New Roman" w:cs="Times New Roman"/>
          <w:sz w:val="18"/>
          <w:szCs w:val="18"/>
          <w:vertAlign w:val="superscript"/>
          <w:lang w:val="en-GB"/>
        </w:rPr>
        <w:footnoteRef/>
      </w:r>
      <w:r>
        <w:rPr>
          <w:rFonts w:ascii="Times New Roman" w:hAnsi="Times New Roman" w:cs="Times New Roman"/>
          <w:sz w:val="18"/>
          <w:szCs w:val="18"/>
          <w:lang w:val="en-GB"/>
        </w:rPr>
        <w:t xml:space="preserve"> </w:t>
      </w:r>
      <w:proofErr w:type="spellStart"/>
      <w:r w:rsidRPr="00CB1737">
        <w:rPr>
          <w:rFonts w:ascii="Times New Roman" w:hAnsi="Times New Roman" w:cs="Times New Roman"/>
          <w:sz w:val="18"/>
          <w:szCs w:val="18"/>
          <w:lang w:val="en-GB"/>
        </w:rPr>
        <w:t>Observatoire</w:t>
      </w:r>
      <w:proofErr w:type="spellEnd"/>
      <w:r w:rsidRPr="00CB1737">
        <w:rPr>
          <w:rFonts w:ascii="Times New Roman" w:hAnsi="Times New Roman" w:cs="Times New Roman"/>
          <w:sz w:val="18"/>
          <w:szCs w:val="18"/>
          <w:lang w:val="en-GB"/>
        </w:rPr>
        <w:t xml:space="preserve"> </w:t>
      </w:r>
      <w:proofErr w:type="spellStart"/>
      <w:r w:rsidRPr="00CB1737">
        <w:rPr>
          <w:rFonts w:ascii="Times New Roman" w:hAnsi="Times New Roman" w:cs="Times New Roman"/>
          <w:sz w:val="18"/>
          <w:szCs w:val="18"/>
          <w:lang w:val="en-GB"/>
        </w:rPr>
        <w:t>parisien</w:t>
      </w:r>
      <w:proofErr w:type="spellEnd"/>
      <w:r w:rsidRPr="00CB1737">
        <w:rPr>
          <w:rFonts w:ascii="Times New Roman" w:hAnsi="Times New Roman" w:cs="Times New Roman"/>
          <w:sz w:val="18"/>
          <w:szCs w:val="18"/>
          <w:lang w:val="en-GB"/>
        </w:rPr>
        <w:t xml:space="preserve"> des </w:t>
      </w:r>
      <w:proofErr w:type="spellStart"/>
      <w:r w:rsidRPr="00CB1737">
        <w:rPr>
          <w:rFonts w:ascii="Times New Roman" w:hAnsi="Times New Roman" w:cs="Times New Roman"/>
          <w:sz w:val="18"/>
          <w:szCs w:val="18"/>
          <w:lang w:val="en-GB"/>
        </w:rPr>
        <w:t>libertés</w:t>
      </w:r>
      <w:proofErr w:type="spellEnd"/>
      <w:r w:rsidRPr="00CB1737">
        <w:rPr>
          <w:rFonts w:ascii="Times New Roman" w:hAnsi="Times New Roman" w:cs="Times New Roman"/>
          <w:sz w:val="18"/>
          <w:szCs w:val="18"/>
          <w:lang w:val="en-GB"/>
        </w:rPr>
        <w:t xml:space="preserve"> </w:t>
      </w:r>
      <w:proofErr w:type="spellStart"/>
      <w:r w:rsidRPr="00CB1737">
        <w:rPr>
          <w:rFonts w:ascii="Times New Roman" w:hAnsi="Times New Roman" w:cs="Times New Roman"/>
          <w:sz w:val="18"/>
          <w:szCs w:val="18"/>
          <w:lang w:val="en-GB"/>
        </w:rPr>
        <w:t>publiques</w:t>
      </w:r>
      <w:proofErr w:type="spellEnd"/>
      <w:r w:rsidRPr="00CB1737">
        <w:rPr>
          <w:rFonts w:ascii="Times New Roman" w:hAnsi="Times New Roman" w:cs="Times New Roman"/>
          <w:sz w:val="18"/>
          <w:szCs w:val="18"/>
          <w:lang w:val="en-GB"/>
        </w:rPr>
        <w:t xml:space="preserve">, </w:t>
      </w:r>
      <w:r>
        <w:rPr>
          <w:rFonts w:ascii="Times New Roman" w:hAnsi="Times New Roman" w:cs="Times New Roman"/>
          <w:sz w:val="18"/>
          <w:szCs w:val="18"/>
          <w:lang w:val="en-GB"/>
        </w:rPr>
        <w:t>“</w:t>
      </w:r>
      <w:r w:rsidRPr="00CB1737">
        <w:rPr>
          <w:rFonts w:ascii="Times New Roman" w:hAnsi="Times New Roman" w:cs="Times New Roman"/>
          <w:i/>
          <w:sz w:val="18"/>
          <w:szCs w:val="18"/>
          <w:lang w:val="en-GB"/>
        </w:rPr>
        <w:t xml:space="preserve">Rapport </w:t>
      </w:r>
      <w:proofErr w:type="spellStart"/>
      <w:r w:rsidRPr="00CB1737">
        <w:rPr>
          <w:rFonts w:ascii="Times New Roman" w:hAnsi="Times New Roman" w:cs="Times New Roman"/>
          <w:i/>
          <w:sz w:val="18"/>
          <w:szCs w:val="18"/>
          <w:lang w:val="en-GB"/>
        </w:rPr>
        <w:t>d’observation</w:t>
      </w:r>
      <w:proofErr w:type="spellEnd"/>
      <w:r>
        <w:rPr>
          <w:rFonts w:ascii="Times New Roman" w:hAnsi="Times New Roman" w:cs="Times New Roman"/>
          <w:sz w:val="18"/>
          <w:szCs w:val="18"/>
          <w:lang w:val="en-GB"/>
        </w:rPr>
        <w:t>”</w:t>
      </w:r>
      <w:r w:rsidRPr="00CB1737">
        <w:rPr>
          <w:rFonts w:ascii="Times New Roman" w:hAnsi="Times New Roman" w:cs="Times New Roman"/>
          <w:sz w:val="18"/>
          <w:szCs w:val="18"/>
          <w:lang w:val="en-GB"/>
        </w:rPr>
        <w:t xml:space="preserve">, </w:t>
      </w:r>
      <w:proofErr w:type="spellStart"/>
      <w:r w:rsidRPr="00CB1737">
        <w:rPr>
          <w:rFonts w:ascii="Times New Roman" w:hAnsi="Times New Roman" w:cs="Times New Roman"/>
          <w:sz w:val="18"/>
          <w:szCs w:val="18"/>
          <w:lang w:val="en-GB"/>
        </w:rPr>
        <w:t>janvier</w:t>
      </w:r>
      <w:proofErr w:type="spellEnd"/>
      <w:r w:rsidRPr="00CB1737">
        <w:rPr>
          <w:rFonts w:ascii="Times New Roman" w:hAnsi="Times New Roman" w:cs="Times New Roman"/>
          <w:sz w:val="18"/>
          <w:szCs w:val="18"/>
          <w:lang w:val="en-GB"/>
        </w:rPr>
        <w:t xml:space="preserve"> 2020, p.8</w:t>
      </w:r>
      <w:r>
        <w:rPr>
          <w:rFonts w:ascii="Times New Roman" w:hAnsi="Times New Roman" w:cs="Times New Roman"/>
          <w:sz w:val="18"/>
          <w:szCs w:val="18"/>
          <w:lang w:val="en-GB"/>
        </w:rPr>
        <w:t>.</w:t>
      </w:r>
    </w:p>
  </w:footnote>
  <w:footnote w:id="51">
    <w:p w14:paraId="0153EA77" w14:textId="52921D71" w:rsidR="008C03F7" w:rsidRPr="00CB1737" w:rsidRDefault="008C03F7" w:rsidP="00CB1737">
      <w:pPr>
        <w:pStyle w:val="NoSpacing"/>
        <w:jc w:val="both"/>
        <w:rPr>
          <w:rFonts w:ascii="Times New Roman" w:hAnsi="Times New Roman" w:cs="Times New Roman"/>
          <w:sz w:val="18"/>
          <w:szCs w:val="18"/>
        </w:rPr>
      </w:pPr>
      <w:r w:rsidRPr="00CB1737">
        <w:rPr>
          <w:rStyle w:val="FootnoteCharacters"/>
          <w:rFonts w:ascii="Times New Roman" w:hAnsi="Times New Roman" w:cs="Times New Roman"/>
          <w:sz w:val="18"/>
          <w:szCs w:val="18"/>
          <w:vertAlign w:val="superscript"/>
        </w:rPr>
        <w:footnoteRef/>
      </w:r>
      <w:r>
        <w:rPr>
          <w:rFonts w:ascii="Times New Roman" w:hAnsi="Times New Roman" w:cs="Times New Roman"/>
          <w:sz w:val="18"/>
          <w:szCs w:val="18"/>
        </w:rPr>
        <w:t xml:space="preserve"> </w:t>
      </w:r>
      <w:r w:rsidRPr="00CB1737">
        <w:rPr>
          <w:rFonts w:ascii="Times New Roman" w:hAnsi="Times New Roman" w:cs="Times New Roman"/>
          <w:sz w:val="18"/>
          <w:szCs w:val="18"/>
        </w:rPr>
        <w:t xml:space="preserve">OSCE/ODIHR, Guidelines on </w:t>
      </w:r>
      <w:proofErr w:type="spellStart"/>
      <w:r w:rsidRPr="00CB1737">
        <w:rPr>
          <w:rFonts w:ascii="Times New Roman" w:hAnsi="Times New Roman" w:cs="Times New Roman"/>
          <w:sz w:val="18"/>
          <w:szCs w:val="18"/>
        </w:rPr>
        <w:t>Freedom</w:t>
      </w:r>
      <w:proofErr w:type="spellEnd"/>
      <w:r w:rsidRPr="00CB1737">
        <w:rPr>
          <w:rFonts w:ascii="Times New Roman" w:hAnsi="Times New Roman" w:cs="Times New Roman"/>
          <w:sz w:val="18"/>
          <w:szCs w:val="18"/>
        </w:rPr>
        <w:t xml:space="preserve"> of </w:t>
      </w:r>
      <w:proofErr w:type="spellStart"/>
      <w:r w:rsidRPr="00CB1737">
        <w:rPr>
          <w:rFonts w:ascii="Times New Roman" w:hAnsi="Times New Roman" w:cs="Times New Roman"/>
          <w:sz w:val="18"/>
          <w:szCs w:val="18"/>
        </w:rPr>
        <w:t>Peaceful</w:t>
      </w:r>
      <w:proofErr w:type="spellEnd"/>
      <w:r w:rsidRPr="00CB1737">
        <w:rPr>
          <w:rFonts w:ascii="Times New Roman" w:hAnsi="Times New Roman" w:cs="Times New Roman"/>
          <w:sz w:val="18"/>
          <w:szCs w:val="18"/>
        </w:rPr>
        <w:t xml:space="preserve"> </w:t>
      </w:r>
      <w:proofErr w:type="spellStart"/>
      <w:r w:rsidRPr="00CB1737">
        <w:rPr>
          <w:rFonts w:ascii="Times New Roman" w:hAnsi="Times New Roman" w:cs="Times New Roman"/>
          <w:sz w:val="18"/>
          <w:szCs w:val="18"/>
        </w:rPr>
        <w:t>Assembly</w:t>
      </w:r>
      <w:proofErr w:type="spellEnd"/>
      <w:r w:rsidRPr="00CB1737">
        <w:rPr>
          <w:rFonts w:ascii="Times New Roman" w:hAnsi="Times New Roman" w:cs="Times New Roman"/>
          <w:sz w:val="18"/>
          <w:szCs w:val="18"/>
        </w:rPr>
        <w:t>, 2019, para. 88</w:t>
      </w:r>
      <w:r>
        <w:rPr>
          <w:rFonts w:ascii="Times New Roman" w:hAnsi="Times New Roman" w:cs="Times New Roman"/>
          <w:sz w:val="18"/>
          <w:szCs w:val="18"/>
        </w:rPr>
        <w:t>.</w:t>
      </w:r>
    </w:p>
  </w:footnote>
  <w:footnote w:id="52">
    <w:p w14:paraId="0B56852A" w14:textId="4A804BE5" w:rsidR="008C03F7" w:rsidRPr="00CB1737" w:rsidRDefault="008C03F7" w:rsidP="00CB1737">
      <w:pPr>
        <w:pStyle w:val="NoSpacing"/>
        <w:jc w:val="both"/>
        <w:rPr>
          <w:rFonts w:ascii="Times New Roman" w:hAnsi="Times New Roman" w:cs="Times New Roman"/>
          <w:sz w:val="18"/>
          <w:szCs w:val="18"/>
        </w:rPr>
      </w:pPr>
      <w:r w:rsidRPr="00CB1737">
        <w:rPr>
          <w:rStyle w:val="FootnoteCharacters"/>
          <w:rFonts w:ascii="Times New Roman" w:hAnsi="Times New Roman" w:cs="Times New Roman"/>
          <w:sz w:val="18"/>
          <w:szCs w:val="18"/>
          <w:vertAlign w:val="superscript"/>
        </w:rPr>
        <w:footnoteRef/>
      </w:r>
      <w:r w:rsidRPr="00CB1737">
        <w:rPr>
          <w:rFonts w:ascii="Times New Roman" w:hAnsi="Times New Roman" w:cs="Times New Roman"/>
          <w:i/>
          <w:sz w:val="18"/>
          <w:szCs w:val="18"/>
        </w:rPr>
        <w:t>Ibid</w:t>
      </w:r>
      <w:r>
        <w:rPr>
          <w:rFonts w:ascii="Times New Roman" w:hAnsi="Times New Roman" w:cs="Times New Roman"/>
          <w:i/>
          <w:sz w:val="18"/>
          <w:szCs w:val="18"/>
        </w:rPr>
        <w:t>.</w:t>
      </w:r>
    </w:p>
  </w:footnote>
  <w:footnote w:id="53">
    <w:p w14:paraId="113F5D00" w14:textId="36EC73D9" w:rsidR="008C03F7" w:rsidRPr="00CB1737" w:rsidRDefault="008C03F7" w:rsidP="00CB1737">
      <w:pPr>
        <w:pStyle w:val="NoSpacing"/>
        <w:jc w:val="both"/>
        <w:rPr>
          <w:rFonts w:ascii="Times New Roman" w:hAnsi="Times New Roman" w:cs="Times New Roman"/>
          <w:sz w:val="18"/>
          <w:szCs w:val="18"/>
        </w:rPr>
      </w:pPr>
      <w:r w:rsidRPr="00CB1737">
        <w:rPr>
          <w:rStyle w:val="FootnoteCharacters"/>
          <w:rFonts w:ascii="Times New Roman" w:hAnsi="Times New Roman" w:cs="Times New Roman"/>
          <w:sz w:val="18"/>
          <w:szCs w:val="18"/>
          <w:vertAlign w:val="superscript"/>
        </w:rPr>
        <w:footnoteRef/>
      </w:r>
      <w:r w:rsidRPr="00CB1737">
        <w:rPr>
          <w:rFonts w:ascii="Times New Roman" w:hAnsi="Times New Roman" w:cs="Times New Roman"/>
          <w:sz w:val="18"/>
          <w:szCs w:val="18"/>
        </w:rPr>
        <w:t xml:space="preserve">Défenseur des droits, </w:t>
      </w:r>
      <w:r w:rsidRPr="00E14AF1">
        <w:rPr>
          <w:rFonts w:ascii="Times New Roman" w:hAnsi="Times New Roman" w:cs="Times New Roman"/>
          <w:i/>
          <w:sz w:val="18"/>
          <w:szCs w:val="18"/>
        </w:rPr>
        <w:t>op.cit.</w:t>
      </w:r>
      <w:r w:rsidRPr="00CB1737">
        <w:rPr>
          <w:rFonts w:ascii="Times New Roman" w:hAnsi="Times New Roman" w:cs="Times New Roman"/>
          <w:sz w:val="18"/>
          <w:szCs w:val="18"/>
        </w:rPr>
        <w:t xml:space="preserve"> 36</w:t>
      </w:r>
      <w:r>
        <w:rPr>
          <w:rFonts w:ascii="Times New Roman" w:hAnsi="Times New Roman" w:cs="Times New Roman"/>
          <w:sz w:val="18"/>
          <w:szCs w:val="18"/>
        </w:rPr>
        <w:t>.</w:t>
      </w:r>
    </w:p>
  </w:footnote>
  <w:footnote w:id="54">
    <w:p w14:paraId="46DF8594" w14:textId="600052C0" w:rsidR="008C03F7" w:rsidRPr="002D7B48" w:rsidRDefault="008C03F7" w:rsidP="002D7B48">
      <w:pPr>
        <w:pStyle w:val="NoSpacing"/>
        <w:jc w:val="both"/>
        <w:rPr>
          <w:rFonts w:ascii="Times New Roman" w:hAnsi="Times New Roman" w:cs="Times New Roman"/>
          <w:sz w:val="18"/>
          <w:szCs w:val="18"/>
        </w:rPr>
      </w:pPr>
      <w:r w:rsidRPr="002D7B48">
        <w:rPr>
          <w:rFonts w:ascii="Times New Roman" w:hAnsi="Times New Roman" w:cs="Times New Roman"/>
          <w:sz w:val="18"/>
          <w:szCs w:val="18"/>
          <w:vertAlign w:val="superscript"/>
        </w:rPr>
        <w:footnoteRef/>
      </w:r>
      <w:r w:rsidRPr="002D7B48">
        <w:rPr>
          <w:rFonts w:ascii="Times New Roman" w:hAnsi="Times New Roman" w:cs="Times New Roman"/>
          <w:sz w:val="18"/>
          <w:szCs w:val="18"/>
        </w:rPr>
        <w:t xml:space="preserve"> </w:t>
      </w:r>
      <w:proofErr w:type="spellStart"/>
      <w:r w:rsidRPr="002D7B48">
        <w:rPr>
          <w:rFonts w:ascii="Times New Roman" w:hAnsi="Times New Roman" w:cs="Times New Roman"/>
          <w:sz w:val="18"/>
          <w:szCs w:val="18"/>
        </w:rPr>
        <w:t>See</w:t>
      </w:r>
      <w:proofErr w:type="spellEnd"/>
      <w:r w:rsidRPr="002D7B48">
        <w:rPr>
          <w:rFonts w:ascii="Times New Roman" w:hAnsi="Times New Roman" w:cs="Times New Roman"/>
          <w:sz w:val="18"/>
          <w:szCs w:val="18"/>
        </w:rPr>
        <w:t xml:space="preserve"> for more </w:t>
      </w:r>
      <w:proofErr w:type="spellStart"/>
      <w:r w:rsidRPr="002D7B48">
        <w:rPr>
          <w:rFonts w:ascii="Times New Roman" w:hAnsi="Times New Roman" w:cs="Times New Roman"/>
          <w:sz w:val="18"/>
          <w:szCs w:val="18"/>
        </w:rPr>
        <w:t>details</w:t>
      </w:r>
      <w:proofErr w:type="spellEnd"/>
      <w:r w:rsidRPr="002D7B48">
        <w:rPr>
          <w:rFonts w:ascii="Times New Roman" w:hAnsi="Times New Roman" w:cs="Times New Roman"/>
          <w:sz w:val="18"/>
          <w:szCs w:val="18"/>
        </w:rPr>
        <w:t xml:space="preserve"> on the </w:t>
      </w:r>
      <w:proofErr w:type="spellStart"/>
      <w:r w:rsidRPr="002D7B48">
        <w:rPr>
          <w:rFonts w:ascii="Times New Roman" w:hAnsi="Times New Roman" w:cs="Times New Roman"/>
          <w:sz w:val="18"/>
          <w:szCs w:val="18"/>
        </w:rPr>
        <w:t>Center’s</w:t>
      </w:r>
      <w:proofErr w:type="spellEnd"/>
      <w:r w:rsidRPr="002D7B48">
        <w:rPr>
          <w:rFonts w:ascii="Times New Roman" w:hAnsi="Times New Roman" w:cs="Times New Roman"/>
          <w:sz w:val="18"/>
          <w:szCs w:val="18"/>
        </w:rPr>
        <w:t xml:space="preserve"> </w:t>
      </w:r>
      <w:proofErr w:type="spellStart"/>
      <w:r w:rsidRPr="002D7B48">
        <w:rPr>
          <w:rFonts w:ascii="Times New Roman" w:hAnsi="Times New Roman" w:cs="Times New Roman"/>
          <w:sz w:val="18"/>
          <w:szCs w:val="18"/>
        </w:rPr>
        <w:t>activities</w:t>
      </w:r>
      <w:proofErr w:type="spellEnd"/>
      <w:r w:rsidRPr="002D7B48">
        <w:rPr>
          <w:rFonts w:ascii="Times New Roman" w:hAnsi="Times New Roman" w:cs="Times New Roman"/>
          <w:sz w:val="18"/>
          <w:szCs w:val="18"/>
        </w:rPr>
        <w:t xml:space="preserve">: </w:t>
      </w:r>
      <w:hyperlink r:id="rId27">
        <w:r w:rsidRPr="002D7B48">
          <w:rPr>
            <w:rFonts w:ascii="Times New Roman" w:hAnsi="Times New Roman" w:cs="Times New Roman"/>
            <w:sz w:val="18"/>
            <w:szCs w:val="18"/>
            <w:u w:val="single"/>
          </w:rPr>
          <w:t>http://www.crdh.fr/</w:t>
        </w:r>
      </w:hyperlink>
      <w:r w:rsidRPr="002D7B48">
        <w:rPr>
          <w:rFonts w:ascii="Times New Roman" w:hAnsi="Times New Roman" w:cs="Times New Roman"/>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98908" w14:textId="77777777" w:rsidR="008C03F7" w:rsidRDefault="008C03F7">
    <w:pPr>
      <w:pStyle w:val="Normal1"/>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8EE19" w14:textId="77777777" w:rsidR="008C03F7" w:rsidRDefault="008C03F7">
    <w:pPr>
      <w:pStyle w:val="Normal1"/>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BC2E5" w14:textId="0D9E827A" w:rsidR="008C03F7" w:rsidRDefault="008C03F7">
    <w:pPr>
      <w:pStyle w:val="Normal1"/>
      <w:pBdr>
        <w:top w:val="nil"/>
        <w:left w:val="nil"/>
        <w:bottom w:val="nil"/>
        <w:right w:val="nil"/>
        <w:between w:val="nil"/>
      </w:pBdr>
      <w:tabs>
        <w:tab w:val="center" w:pos="4536"/>
        <w:tab w:val="right" w:pos="9072"/>
      </w:tabs>
      <w:jc w:val="center"/>
      <w:rPr>
        <w:color w:val="000000"/>
      </w:rPr>
    </w:pPr>
    <w:r>
      <w:rPr>
        <w:noProof/>
        <w:color w:val="000000"/>
        <w:lang w:val="en-GB" w:eastAsia="en-GB"/>
      </w:rPr>
      <w:drawing>
        <wp:inline distT="0" distB="0" distL="0" distR="0" wp14:anchorId="2DE5C139" wp14:editId="2E9BA9E5">
          <wp:extent cx="2254209" cy="763270"/>
          <wp:effectExtent l="0" t="0" r="6985" b="0"/>
          <wp:docPr id="1" name="image1.jpg" descr="Macintosh HD:Users:olivier:CRDH:Communication:logo Paris 2:LOGOS-CRDH-FR-ENG:300DPI_CMJN_CRDH_eng.jpg"/>
          <wp:cNvGraphicFramePr/>
          <a:graphic xmlns:a="http://schemas.openxmlformats.org/drawingml/2006/main">
            <a:graphicData uri="http://schemas.openxmlformats.org/drawingml/2006/picture">
              <pic:pic xmlns:pic="http://schemas.openxmlformats.org/drawingml/2006/picture">
                <pic:nvPicPr>
                  <pic:cNvPr id="0" name="image1.jpg" descr="Macintosh HD:Users:olivier:CRDH:Communication:logo Paris 2:LOGOS-CRDH-FR-ENG:300DPI_CMJN_CRDH_eng.jpg"/>
                  <pic:cNvPicPr preferRelativeResize="0"/>
                </pic:nvPicPr>
                <pic:blipFill>
                  <a:blip r:embed="rId1"/>
                  <a:srcRect/>
                  <a:stretch>
                    <a:fillRect/>
                  </a:stretch>
                </pic:blipFill>
                <pic:spPr>
                  <a:xfrm>
                    <a:off x="0" y="0"/>
                    <a:ext cx="2258940" cy="764872"/>
                  </a:xfrm>
                  <a:prstGeom prst="rect">
                    <a:avLst/>
                  </a:prstGeom>
                  <a:ln/>
                </pic:spPr>
              </pic:pic>
            </a:graphicData>
          </a:graphic>
        </wp:inline>
      </w:drawing>
    </w:r>
    <w:r w:rsidRPr="008C03F7">
      <w:rPr>
        <w:noProof/>
        <w:color w:val="000000"/>
        <w:lang w:val="en-GB" w:eastAsia="en-GB"/>
      </w:rPr>
      <w:drawing>
        <wp:inline distT="0" distB="0" distL="0" distR="0" wp14:anchorId="4EEF6B0D" wp14:editId="4BB67192">
          <wp:extent cx="1639565" cy="877271"/>
          <wp:effectExtent l="0" t="0" r="12065" b="12065"/>
          <wp:docPr id="2" name="Image 2" descr="Macintosh HD:Users:olivier:CRDH:Clinique:Logo Principal (Droite 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livier:CRDH:Clinique:Logo Principal (Droite Blanc).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1130" cy="878108"/>
                  </a:xfrm>
                  <a:prstGeom prst="rect">
                    <a:avLst/>
                  </a:prstGeom>
                  <a:noFill/>
                  <a:ln>
                    <a:noFill/>
                  </a:ln>
                </pic:spPr>
              </pic:pic>
            </a:graphicData>
          </a:graphic>
        </wp:inline>
      </w:drawing>
    </w:r>
    <w:r>
      <w:rPr>
        <w:noProof/>
        <w:sz w:val="22"/>
        <w:szCs w:val="22"/>
        <w:lang w:val="en-GB" w:eastAsia="en-GB"/>
      </w:rPr>
      <w:drawing>
        <wp:inline distT="0" distB="0" distL="0" distR="0" wp14:anchorId="15002C0F" wp14:editId="42A6F598">
          <wp:extent cx="1144528" cy="681173"/>
          <wp:effectExtent l="0" t="0" r="0" b="5080"/>
          <wp:docPr id="3" name="Image 3" descr="Macintosh HD:Users:olivier:CRDH:Clinique:Pole Droits de l'Hom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olivier:CRDH:Clinique:Pole Droits de l'Homm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5827" cy="6819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Num3"/>
    <w:lvl w:ilvl="0">
      <w:start w:val="1"/>
      <w:numFmt w:val="decimal"/>
      <w:lvlText w:val="%1."/>
      <w:lvlJc w:val="left"/>
      <w:pPr>
        <w:tabs>
          <w:tab w:val="num" w:pos="0"/>
        </w:tabs>
        <w:ind w:left="360" w:hanging="360"/>
      </w:pPr>
      <w:rPr>
        <w:i w:val="0"/>
        <w:color w:val="00000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15:restartNumberingAfterBreak="0">
    <w:nsid w:val="24521CD1"/>
    <w:multiLevelType w:val="hybridMultilevel"/>
    <w:tmpl w:val="63D66ADC"/>
    <w:lvl w:ilvl="0" w:tplc="0428E9D2">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26D4458A"/>
    <w:multiLevelType w:val="hybridMultilevel"/>
    <w:tmpl w:val="051A02DC"/>
    <w:lvl w:ilvl="0" w:tplc="0428E9D2">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33963645"/>
    <w:multiLevelType w:val="hybridMultilevel"/>
    <w:tmpl w:val="86EECAEE"/>
    <w:lvl w:ilvl="0" w:tplc="9E2C6C76">
      <w:start w:val="1"/>
      <w:numFmt w:val="lowerRoman"/>
      <w:lvlText w:val="(%1)"/>
      <w:lvlJc w:val="left"/>
      <w:pPr>
        <w:ind w:left="1429" w:hanging="720"/>
      </w:pPr>
      <w:rPr>
        <w:rFonts w:eastAsiaTheme="minorHAnsi"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4" w15:restartNumberingAfterBreak="0">
    <w:nsid w:val="377C50F9"/>
    <w:multiLevelType w:val="hybridMultilevel"/>
    <w:tmpl w:val="493E4450"/>
    <w:lvl w:ilvl="0" w:tplc="3D64B04E">
      <w:start w:val="1"/>
      <w:numFmt w:val="upperRoman"/>
      <w:lvlText w:val="%1."/>
      <w:lvlJc w:val="left"/>
      <w:pPr>
        <w:ind w:left="397" w:hanging="397"/>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3EEE71BE"/>
    <w:multiLevelType w:val="multilevel"/>
    <w:tmpl w:val="A4140A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F555E9B"/>
    <w:multiLevelType w:val="multilevel"/>
    <w:tmpl w:val="76C24A6E"/>
    <w:lvl w:ilvl="0">
      <w:start w:val="1"/>
      <w:numFmt w:val="decimal"/>
      <w:lvlText w:val="%1."/>
      <w:lvlJc w:val="left"/>
      <w:pPr>
        <w:ind w:left="720" w:hanging="500"/>
      </w:pPr>
      <w:rPr>
        <w:rFonts w:ascii="Times New Roman" w:eastAsia="Times New Roman" w:hAnsi="Times New Roman" w:cs="Times New Roman"/>
        <w:b w:val="0"/>
        <w:i w:val="0"/>
        <w:smallCaps w:val="0"/>
        <w:strike w:val="0"/>
        <w:color w:val="000000"/>
        <w:shd w:val="clear" w:color="auto" w:fill="auto"/>
        <w:vertAlign w:val="baseline"/>
      </w:rPr>
    </w:lvl>
    <w:lvl w:ilvl="1">
      <w:start w:val="1"/>
      <w:numFmt w:val="decimal"/>
      <w:lvlText w:val="%2."/>
      <w:lvlJc w:val="left"/>
      <w:pPr>
        <w:ind w:left="784" w:hanging="342"/>
      </w:pPr>
      <w:rPr>
        <w:rFonts w:ascii="Times New Roman" w:eastAsia="Times New Roman" w:hAnsi="Times New Roman" w:cs="Times New Roman"/>
        <w:b w:val="0"/>
        <w:i w:val="0"/>
        <w:smallCaps w:val="0"/>
        <w:strike w:val="0"/>
        <w:color w:val="000000"/>
        <w:shd w:val="clear" w:color="auto" w:fill="auto"/>
        <w:vertAlign w:val="baseline"/>
      </w:rPr>
    </w:lvl>
    <w:lvl w:ilvl="2">
      <w:start w:val="1"/>
      <w:numFmt w:val="decimal"/>
      <w:lvlText w:val="%3."/>
      <w:lvlJc w:val="left"/>
      <w:pPr>
        <w:ind w:left="1004" w:hanging="344"/>
      </w:pPr>
      <w:rPr>
        <w:rFonts w:ascii="Times New Roman" w:eastAsia="Times New Roman" w:hAnsi="Times New Roman" w:cs="Times New Roman"/>
        <w:b w:val="0"/>
        <w:i w:val="0"/>
        <w:smallCaps w:val="0"/>
        <w:strike w:val="0"/>
        <w:color w:val="000000"/>
        <w:shd w:val="clear" w:color="auto" w:fill="auto"/>
        <w:vertAlign w:val="baseline"/>
      </w:rPr>
    </w:lvl>
    <w:lvl w:ilvl="3">
      <w:start w:val="1"/>
      <w:numFmt w:val="decimal"/>
      <w:lvlText w:val="%4."/>
      <w:lvlJc w:val="left"/>
      <w:pPr>
        <w:ind w:left="1224" w:hanging="344"/>
      </w:pPr>
      <w:rPr>
        <w:rFonts w:ascii="Times New Roman" w:eastAsia="Times New Roman" w:hAnsi="Times New Roman" w:cs="Times New Roman"/>
        <w:b w:val="0"/>
        <w:i w:val="0"/>
        <w:smallCaps w:val="0"/>
        <w:strike w:val="0"/>
        <w:color w:val="000000"/>
        <w:shd w:val="clear" w:color="auto" w:fill="auto"/>
        <w:vertAlign w:val="baseline"/>
      </w:rPr>
    </w:lvl>
    <w:lvl w:ilvl="4">
      <w:start w:val="1"/>
      <w:numFmt w:val="decimal"/>
      <w:lvlText w:val="%5."/>
      <w:lvlJc w:val="left"/>
      <w:pPr>
        <w:ind w:left="1444" w:hanging="344"/>
      </w:pPr>
      <w:rPr>
        <w:rFonts w:ascii="Times New Roman" w:eastAsia="Times New Roman" w:hAnsi="Times New Roman" w:cs="Times New Roman"/>
        <w:b w:val="0"/>
        <w:i w:val="0"/>
        <w:smallCaps w:val="0"/>
        <w:strike w:val="0"/>
        <w:color w:val="000000"/>
        <w:shd w:val="clear" w:color="auto" w:fill="auto"/>
        <w:vertAlign w:val="baseline"/>
      </w:rPr>
    </w:lvl>
    <w:lvl w:ilvl="5">
      <w:start w:val="1"/>
      <w:numFmt w:val="decimal"/>
      <w:lvlText w:val="%6."/>
      <w:lvlJc w:val="left"/>
      <w:pPr>
        <w:ind w:left="1664" w:hanging="344"/>
      </w:pPr>
      <w:rPr>
        <w:rFonts w:ascii="Times New Roman" w:eastAsia="Times New Roman" w:hAnsi="Times New Roman" w:cs="Times New Roman"/>
        <w:b w:val="0"/>
        <w:i w:val="0"/>
        <w:smallCaps w:val="0"/>
        <w:strike w:val="0"/>
        <w:color w:val="000000"/>
        <w:shd w:val="clear" w:color="auto" w:fill="auto"/>
        <w:vertAlign w:val="baseline"/>
      </w:rPr>
    </w:lvl>
    <w:lvl w:ilvl="6">
      <w:start w:val="1"/>
      <w:numFmt w:val="decimal"/>
      <w:lvlText w:val="%7."/>
      <w:lvlJc w:val="left"/>
      <w:pPr>
        <w:ind w:left="1884" w:hanging="344"/>
      </w:pPr>
      <w:rPr>
        <w:rFonts w:ascii="Times New Roman" w:eastAsia="Times New Roman" w:hAnsi="Times New Roman" w:cs="Times New Roman"/>
        <w:b w:val="0"/>
        <w:i w:val="0"/>
        <w:smallCaps w:val="0"/>
        <w:strike w:val="0"/>
        <w:color w:val="000000"/>
        <w:shd w:val="clear" w:color="auto" w:fill="auto"/>
        <w:vertAlign w:val="baseline"/>
      </w:rPr>
    </w:lvl>
    <w:lvl w:ilvl="7">
      <w:start w:val="1"/>
      <w:numFmt w:val="decimal"/>
      <w:lvlText w:val="%8."/>
      <w:lvlJc w:val="left"/>
      <w:pPr>
        <w:ind w:left="2104" w:hanging="344"/>
      </w:pPr>
      <w:rPr>
        <w:rFonts w:ascii="Times New Roman" w:eastAsia="Times New Roman" w:hAnsi="Times New Roman" w:cs="Times New Roman"/>
        <w:b w:val="0"/>
        <w:i w:val="0"/>
        <w:smallCaps w:val="0"/>
        <w:strike w:val="0"/>
        <w:color w:val="000000"/>
        <w:shd w:val="clear" w:color="auto" w:fill="auto"/>
        <w:vertAlign w:val="baseline"/>
      </w:rPr>
    </w:lvl>
    <w:lvl w:ilvl="8">
      <w:start w:val="1"/>
      <w:numFmt w:val="decimal"/>
      <w:lvlText w:val="%9."/>
      <w:lvlJc w:val="left"/>
      <w:pPr>
        <w:ind w:left="2324" w:hanging="344"/>
      </w:pPr>
      <w:rPr>
        <w:rFonts w:ascii="Times New Roman" w:eastAsia="Times New Roman" w:hAnsi="Times New Roman" w:cs="Times New Roman"/>
        <w:b w:val="0"/>
        <w:i w:val="0"/>
        <w:smallCaps w:val="0"/>
        <w:strike w:val="0"/>
        <w:color w:val="000000"/>
        <w:shd w:val="clear" w:color="auto" w:fill="auto"/>
        <w:vertAlign w:val="baseline"/>
      </w:rPr>
    </w:lvl>
  </w:abstractNum>
  <w:abstractNum w:abstractNumId="7" w15:restartNumberingAfterBreak="0">
    <w:nsid w:val="488F498D"/>
    <w:multiLevelType w:val="hybridMultilevel"/>
    <w:tmpl w:val="32DA2764"/>
    <w:lvl w:ilvl="0" w:tplc="233C38F4">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4F64642C"/>
    <w:multiLevelType w:val="hybridMultilevel"/>
    <w:tmpl w:val="06CAE1A6"/>
    <w:lvl w:ilvl="0" w:tplc="0428E9D2">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9" w15:restartNumberingAfterBreak="0">
    <w:nsid w:val="4F983AE6"/>
    <w:multiLevelType w:val="hybridMultilevel"/>
    <w:tmpl w:val="BF9AF422"/>
    <w:lvl w:ilvl="0" w:tplc="A3A20358">
      <w:start w:val="1"/>
      <w:numFmt w:val="upperRoman"/>
      <w:lvlText w:val="%1."/>
      <w:lvlJc w:val="left"/>
      <w:pPr>
        <w:ind w:left="397" w:hanging="397"/>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51E63A02"/>
    <w:multiLevelType w:val="hybridMultilevel"/>
    <w:tmpl w:val="2BFCAE4C"/>
    <w:lvl w:ilvl="0" w:tplc="0428E9D2">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60C22DCD"/>
    <w:multiLevelType w:val="hybridMultilevel"/>
    <w:tmpl w:val="891C824C"/>
    <w:lvl w:ilvl="0" w:tplc="0428E9D2">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78BB70A7"/>
    <w:multiLevelType w:val="multilevel"/>
    <w:tmpl w:val="0AE659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CE831BA"/>
    <w:multiLevelType w:val="hybridMultilevel"/>
    <w:tmpl w:val="18109294"/>
    <w:lvl w:ilvl="0" w:tplc="C22A78A4">
      <w:start w:val="1"/>
      <w:numFmt w:val="decimal"/>
      <w:lvlText w:val="%1."/>
      <w:lvlJc w:val="left"/>
      <w:pPr>
        <w:ind w:left="360" w:hanging="360"/>
      </w:pPr>
      <w:rPr>
        <w:rFonts w:hint="default"/>
        <w:i w:val="0"/>
        <w:color w:val="000000" w:themeColor="text1"/>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2"/>
  </w:num>
  <w:num w:numId="2">
    <w:abstractNumId w:val="5"/>
  </w:num>
  <w:num w:numId="3">
    <w:abstractNumId w:val="6"/>
  </w:num>
  <w:num w:numId="4">
    <w:abstractNumId w:val="9"/>
  </w:num>
  <w:num w:numId="5">
    <w:abstractNumId w:val="13"/>
  </w:num>
  <w:num w:numId="6">
    <w:abstractNumId w:val="3"/>
  </w:num>
  <w:num w:numId="7">
    <w:abstractNumId w:val="2"/>
  </w:num>
  <w:num w:numId="8">
    <w:abstractNumId w:val="8"/>
  </w:num>
  <w:num w:numId="9">
    <w:abstractNumId w:val="1"/>
  </w:num>
  <w:num w:numId="10">
    <w:abstractNumId w:val="11"/>
  </w:num>
  <w:num w:numId="11">
    <w:abstractNumId w:val="10"/>
  </w:num>
  <w:num w:numId="12">
    <w:abstractNumId w:val="7"/>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B56"/>
    <w:rsid w:val="00000BF3"/>
    <w:rsid w:val="000414CD"/>
    <w:rsid w:val="00041915"/>
    <w:rsid w:val="000454AC"/>
    <w:rsid w:val="000C04F0"/>
    <w:rsid w:val="000C4E92"/>
    <w:rsid w:val="000E6556"/>
    <w:rsid w:val="000E6F5F"/>
    <w:rsid w:val="000F13EA"/>
    <w:rsid w:val="001250B2"/>
    <w:rsid w:val="001352A2"/>
    <w:rsid w:val="00155424"/>
    <w:rsid w:val="001669C8"/>
    <w:rsid w:val="0017353E"/>
    <w:rsid w:val="001C4F43"/>
    <w:rsid w:val="001D0565"/>
    <w:rsid w:val="001F4C56"/>
    <w:rsid w:val="001F5A00"/>
    <w:rsid w:val="002052FF"/>
    <w:rsid w:val="002714F4"/>
    <w:rsid w:val="00272E1F"/>
    <w:rsid w:val="002B788B"/>
    <w:rsid w:val="002C0260"/>
    <w:rsid w:val="002C559A"/>
    <w:rsid w:val="002D2E6A"/>
    <w:rsid w:val="002D7B48"/>
    <w:rsid w:val="002E0AF7"/>
    <w:rsid w:val="002F1697"/>
    <w:rsid w:val="0031509B"/>
    <w:rsid w:val="0033246C"/>
    <w:rsid w:val="00373874"/>
    <w:rsid w:val="003832EB"/>
    <w:rsid w:val="003C78B3"/>
    <w:rsid w:val="003D300C"/>
    <w:rsid w:val="003E1D46"/>
    <w:rsid w:val="003F5AAC"/>
    <w:rsid w:val="004072BD"/>
    <w:rsid w:val="0042337C"/>
    <w:rsid w:val="00444363"/>
    <w:rsid w:val="00465D4E"/>
    <w:rsid w:val="004968E4"/>
    <w:rsid w:val="004C429B"/>
    <w:rsid w:val="00512673"/>
    <w:rsid w:val="005320E2"/>
    <w:rsid w:val="00537C83"/>
    <w:rsid w:val="00552DD7"/>
    <w:rsid w:val="00573B6D"/>
    <w:rsid w:val="00595F43"/>
    <w:rsid w:val="005B288C"/>
    <w:rsid w:val="005D7CBE"/>
    <w:rsid w:val="005F4E36"/>
    <w:rsid w:val="006269B3"/>
    <w:rsid w:val="00626D28"/>
    <w:rsid w:val="006429AD"/>
    <w:rsid w:val="0067772E"/>
    <w:rsid w:val="006F523D"/>
    <w:rsid w:val="00714D98"/>
    <w:rsid w:val="00760C24"/>
    <w:rsid w:val="0079482B"/>
    <w:rsid w:val="007C5D92"/>
    <w:rsid w:val="007F3D90"/>
    <w:rsid w:val="00813A74"/>
    <w:rsid w:val="008174E9"/>
    <w:rsid w:val="00823164"/>
    <w:rsid w:val="008325C8"/>
    <w:rsid w:val="0084072D"/>
    <w:rsid w:val="00841FE3"/>
    <w:rsid w:val="00857F91"/>
    <w:rsid w:val="008A7CA2"/>
    <w:rsid w:val="008C03F7"/>
    <w:rsid w:val="008C1D2A"/>
    <w:rsid w:val="00914DDD"/>
    <w:rsid w:val="00925A0E"/>
    <w:rsid w:val="00943930"/>
    <w:rsid w:val="00954EF4"/>
    <w:rsid w:val="00961D33"/>
    <w:rsid w:val="009910F2"/>
    <w:rsid w:val="0099405C"/>
    <w:rsid w:val="009E764C"/>
    <w:rsid w:val="009F3106"/>
    <w:rsid w:val="00A15969"/>
    <w:rsid w:val="00A32199"/>
    <w:rsid w:val="00A50F91"/>
    <w:rsid w:val="00A61E17"/>
    <w:rsid w:val="00A81B56"/>
    <w:rsid w:val="00A9080F"/>
    <w:rsid w:val="00A95059"/>
    <w:rsid w:val="00AA049C"/>
    <w:rsid w:val="00AC1538"/>
    <w:rsid w:val="00AE0768"/>
    <w:rsid w:val="00B05E5E"/>
    <w:rsid w:val="00B114DA"/>
    <w:rsid w:val="00B32240"/>
    <w:rsid w:val="00B371C5"/>
    <w:rsid w:val="00B46466"/>
    <w:rsid w:val="00B728B1"/>
    <w:rsid w:val="00B832A0"/>
    <w:rsid w:val="00B84E35"/>
    <w:rsid w:val="00B86C81"/>
    <w:rsid w:val="00B87BAF"/>
    <w:rsid w:val="00B9099E"/>
    <w:rsid w:val="00BA08CB"/>
    <w:rsid w:val="00BA456D"/>
    <w:rsid w:val="00C026BA"/>
    <w:rsid w:val="00C066CB"/>
    <w:rsid w:val="00C07BCF"/>
    <w:rsid w:val="00C17409"/>
    <w:rsid w:val="00C7714A"/>
    <w:rsid w:val="00C87981"/>
    <w:rsid w:val="00CA1FB6"/>
    <w:rsid w:val="00CB1737"/>
    <w:rsid w:val="00CB4380"/>
    <w:rsid w:val="00CC6499"/>
    <w:rsid w:val="00CE664C"/>
    <w:rsid w:val="00CF6C3E"/>
    <w:rsid w:val="00D0665C"/>
    <w:rsid w:val="00D168A1"/>
    <w:rsid w:val="00D25130"/>
    <w:rsid w:val="00D25205"/>
    <w:rsid w:val="00D324EC"/>
    <w:rsid w:val="00D37AE0"/>
    <w:rsid w:val="00D4472C"/>
    <w:rsid w:val="00D61078"/>
    <w:rsid w:val="00D62496"/>
    <w:rsid w:val="00D70FCC"/>
    <w:rsid w:val="00D748D7"/>
    <w:rsid w:val="00D76D72"/>
    <w:rsid w:val="00D9221B"/>
    <w:rsid w:val="00DB10D6"/>
    <w:rsid w:val="00DB5F72"/>
    <w:rsid w:val="00E14AF1"/>
    <w:rsid w:val="00E77CA2"/>
    <w:rsid w:val="00E90BA0"/>
    <w:rsid w:val="00E94BC3"/>
    <w:rsid w:val="00EB73C4"/>
    <w:rsid w:val="00F02988"/>
    <w:rsid w:val="00F07B44"/>
    <w:rsid w:val="00F10558"/>
    <w:rsid w:val="00F33387"/>
    <w:rsid w:val="00F42EEB"/>
    <w:rsid w:val="00F67317"/>
    <w:rsid w:val="00FE0914"/>
    <w:rsid w:val="00FF1798"/>
    <w:rsid w:val="00FF28E6"/>
    <w:rsid w:val="00FF5AE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30E9AAE"/>
  <w14:defaultImageDpi w14:val="32767"/>
  <w15:docId w15:val="{8EA79E55-E016-9940-AA61-590138BFA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72C"/>
    <w:rPr>
      <w:rFonts w:ascii="Times New Roman" w:eastAsia="Times New Roman" w:hAnsi="Times New Roman" w:cs="Times New Roman"/>
      <w:lang w:eastAsia="fr-FR"/>
    </w:rPr>
  </w:style>
  <w:style w:type="paragraph" w:styleId="Heading1">
    <w:name w:val="heading 1"/>
    <w:basedOn w:val="Normal"/>
    <w:next w:val="Normal"/>
    <w:link w:val="Heading1Char"/>
    <w:uiPriority w:val="9"/>
    <w:qFormat/>
    <w:rsid w:val="00B371C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SSIQUE">
    <w:name w:val="CLASSIQUE"/>
    <w:basedOn w:val="NoSpacing"/>
    <w:next w:val="NoSpacing"/>
    <w:autoRedefine/>
    <w:qFormat/>
    <w:rsid w:val="00A50F91"/>
    <w:pPr>
      <w:jc w:val="both"/>
    </w:pPr>
    <w:rPr>
      <w:rFonts w:ascii="Times New Roman" w:hAnsi="Times New Roman" w:cs="Times New Roman"/>
      <w:sz w:val="22"/>
      <w:szCs w:val="22"/>
      <w:lang w:val="en-GB"/>
    </w:rPr>
  </w:style>
  <w:style w:type="paragraph" w:styleId="NoSpacing">
    <w:name w:val="No Spacing"/>
    <w:uiPriority w:val="1"/>
    <w:qFormat/>
    <w:rsid w:val="00A50F91"/>
  </w:style>
  <w:style w:type="paragraph" w:customStyle="1" w:styleId="Normal1">
    <w:name w:val="Normal1"/>
    <w:rsid w:val="00A81B56"/>
    <w:rPr>
      <w:rFonts w:ascii="Times New Roman" w:eastAsia="Times New Roman" w:hAnsi="Times New Roman" w:cs="Times New Roman"/>
      <w:lang w:val="en-US" w:eastAsia="fr-FR"/>
    </w:rPr>
  </w:style>
  <w:style w:type="paragraph" w:styleId="Title">
    <w:name w:val="Title"/>
    <w:basedOn w:val="Normal1"/>
    <w:next w:val="Normal1"/>
    <w:link w:val="TitleChar"/>
    <w:rsid w:val="00A81B56"/>
    <w:pPr>
      <w:keepNext/>
      <w:spacing w:line="276" w:lineRule="auto"/>
      <w:ind w:left="-142" w:hanging="283"/>
    </w:pPr>
    <w:rPr>
      <w:b/>
      <w:sz w:val="22"/>
      <w:szCs w:val="22"/>
    </w:rPr>
  </w:style>
  <w:style w:type="character" w:customStyle="1" w:styleId="TitleChar">
    <w:name w:val="Title Char"/>
    <w:basedOn w:val="DefaultParagraphFont"/>
    <w:link w:val="Title"/>
    <w:rsid w:val="00A81B56"/>
    <w:rPr>
      <w:rFonts w:ascii="Times New Roman" w:eastAsia="Times New Roman" w:hAnsi="Times New Roman" w:cs="Times New Roman"/>
      <w:b/>
      <w:sz w:val="22"/>
      <w:szCs w:val="22"/>
      <w:lang w:val="en-US" w:eastAsia="fr-FR"/>
    </w:rPr>
  </w:style>
  <w:style w:type="paragraph" w:styleId="Subtitle">
    <w:name w:val="Subtitle"/>
    <w:basedOn w:val="Normal1"/>
    <w:next w:val="Normal1"/>
    <w:link w:val="SubtitleChar"/>
    <w:rsid w:val="00A81B56"/>
    <w:pPr>
      <w:keepNext/>
      <w:spacing w:line="276" w:lineRule="auto"/>
      <w:ind w:left="-142" w:hanging="283"/>
      <w:jc w:val="both"/>
    </w:pPr>
    <w:rPr>
      <w:i/>
      <w:sz w:val="22"/>
      <w:szCs w:val="22"/>
    </w:rPr>
  </w:style>
  <w:style w:type="character" w:customStyle="1" w:styleId="SubtitleChar">
    <w:name w:val="Subtitle Char"/>
    <w:basedOn w:val="DefaultParagraphFont"/>
    <w:link w:val="Subtitle"/>
    <w:rsid w:val="00A81B56"/>
    <w:rPr>
      <w:rFonts w:ascii="Times New Roman" w:eastAsia="Times New Roman" w:hAnsi="Times New Roman" w:cs="Times New Roman"/>
      <w:i/>
      <w:sz w:val="22"/>
      <w:szCs w:val="22"/>
      <w:lang w:val="en-US" w:eastAsia="fr-FR"/>
    </w:rPr>
  </w:style>
  <w:style w:type="character" w:styleId="Hyperlink">
    <w:name w:val="Hyperlink"/>
    <w:basedOn w:val="DefaultParagraphFont"/>
    <w:uiPriority w:val="99"/>
    <w:unhideWhenUsed/>
    <w:rsid w:val="00373874"/>
    <w:rPr>
      <w:color w:val="0000FF"/>
      <w:u w:val="single"/>
    </w:rPr>
  </w:style>
  <w:style w:type="character" w:styleId="FootnoteReference">
    <w:name w:val="footnote reference"/>
    <w:aliases w:val="4_G,Texto de nota al pie,Footnote number,Footnote Reference Char3,Footnote Reference Char1 Char,Char Char Car Char Car Char Car Char Car Char Car Char Char Char1 Char,Footnote Reference Char Char Char,ftref,BVI fnr,16 Point,4_"/>
    <w:link w:val="Appelnotedebasde"/>
    <w:qFormat/>
    <w:rsid w:val="00373874"/>
    <w:rPr>
      <w:rFonts w:ascii="Times New Roman" w:hAnsi="Times New Roman"/>
      <w:sz w:val="18"/>
      <w:vertAlign w:val="superscript"/>
      <w:lang w:val="fr-CH"/>
    </w:rPr>
  </w:style>
  <w:style w:type="paragraph" w:customStyle="1" w:styleId="Appelnotedebasde">
    <w:name w:val="Appel note de bas de"/>
    <w:aliases w:val="Appel note de bas de page Char Char Char Char Char Char Char Char,Appel note de bas de page Char2 Char Char Char Char Char Char Char Char Char Char,Appel note de bas de page Char1"/>
    <w:basedOn w:val="Normal"/>
    <w:link w:val="FootnoteReference"/>
    <w:rsid w:val="00373874"/>
    <w:pPr>
      <w:spacing w:before="120" w:after="120"/>
    </w:pPr>
    <w:rPr>
      <w:rFonts w:eastAsiaTheme="minorHAnsi" w:cstheme="minorBidi"/>
      <w:sz w:val="18"/>
      <w:vertAlign w:val="superscript"/>
      <w:lang w:val="fr-CH" w:eastAsia="en-US"/>
    </w:rPr>
  </w:style>
  <w:style w:type="character" w:customStyle="1" w:styleId="Hyperlink0">
    <w:name w:val="Hyperlink.0"/>
    <w:basedOn w:val="Hyperlink"/>
    <w:rsid w:val="00373874"/>
    <w:rPr>
      <w:color w:val="0000FF"/>
      <w:u w:val="single"/>
    </w:rPr>
  </w:style>
  <w:style w:type="character" w:customStyle="1" w:styleId="Hyperlink1">
    <w:name w:val="Hyperlink.1"/>
    <w:basedOn w:val="Hyperlink0"/>
    <w:rsid w:val="00373874"/>
    <w:rPr>
      <w:color w:val="0000FF"/>
      <w:u w:val="single" w:color="000000"/>
      <w:lang w:val="en-US"/>
    </w:rPr>
  </w:style>
  <w:style w:type="character" w:customStyle="1" w:styleId="FootnoteCharacters">
    <w:name w:val="Footnote Characters"/>
    <w:rsid w:val="00373874"/>
  </w:style>
  <w:style w:type="character" w:styleId="HTMLCite">
    <w:name w:val="HTML Cite"/>
    <w:basedOn w:val="DefaultParagraphFont"/>
    <w:uiPriority w:val="99"/>
    <w:semiHidden/>
    <w:unhideWhenUsed/>
    <w:rsid w:val="00373874"/>
    <w:rPr>
      <w:i/>
      <w:iCs/>
    </w:rPr>
  </w:style>
  <w:style w:type="character" w:customStyle="1" w:styleId="a">
    <w:name w:val="Нет"/>
    <w:rsid w:val="00373874"/>
  </w:style>
  <w:style w:type="character" w:customStyle="1" w:styleId="Hyperlink2">
    <w:name w:val="Hyperlink.2"/>
    <w:basedOn w:val="DefaultParagraphFont"/>
    <w:rsid w:val="00373874"/>
    <w:rPr>
      <w:color w:val="0000FF"/>
      <w:sz w:val="18"/>
      <w:szCs w:val="18"/>
      <w:u w:val="single" w:color="0000FF"/>
      <w14:textOutline w14:w="0" w14:cap="rnd" w14:cmpd="sng" w14:algn="ctr">
        <w14:noFill/>
        <w14:prstDash w14:val="solid"/>
        <w14:bevel/>
      </w14:textOutline>
    </w:rPr>
  </w:style>
  <w:style w:type="character" w:customStyle="1" w:styleId="Hyperlink3">
    <w:name w:val="Hyperlink.3"/>
    <w:basedOn w:val="a"/>
    <w:rsid w:val="00373874"/>
    <w:rPr>
      <w:rFonts w:ascii="Times New Roman" w:eastAsia="Times New Roman" w:hAnsi="Times New Roman" w:cs="Times New Roman"/>
      <w:color w:val="FF0000"/>
      <w:sz w:val="18"/>
      <w:szCs w:val="18"/>
      <w:u w:val="single" w:color="000000"/>
      <w:lang w:val="en-US"/>
      <w14:textOutline w14:w="12700" w14:cap="flat" w14:cmpd="sng" w14:algn="ctr">
        <w14:noFill/>
        <w14:prstDash w14:val="solid"/>
        <w14:miter w14:lim="400000"/>
      </w14:textOutline>
    </w:rPr>
  </w:style>
  <w:style w:type="character" w:customStyle="1" w:styleId="Hyperlink4">
    <w:name w:val="Hyperlink.4"/>
    <w:basedOn w:val="a"/>
    <w:rsid w:val="00373874"/>
    <w:rPr>
      <w:rFonts w:ascii="Times New Roman" w:eastAsia="Times New Roman" w:hAnsi="Times New Roman" w:cs="Times New Roman"/>
      <w:color w:val="FF0000"/>
      <w:sz w:val="18"/>
      <w:szCs w:val="18"/>
      <w:u w:val="single" w:color="000000"/>
      <w:lang w:val="en-US"/>
      <w14:textOutline w14:w="0" w14:cap="rnd" w14:cmpd="sng" w14:algn="ctr">
        <w14:noFill/>
        <w14:prstDash w14:val="solid"/>
        <w14:bevel/>
      </w14:textOutline>
    </w:rPr>
  </w:style>
  <w:style w:type="character" w:styleId="FollowedHyperlink">
    <w:name w:val="FollowedHyperlink"/>
    <w:basedOn w:val="DefaultParagraphFont"/>
    <w:uiPriority w:val="99"/>
    <w:semiHidden/>
    <w:unhideWhenUsed/>
    <w:rsid w:val="00373874"/>
    <w:rPr>
      <w:color w:val="954F72" w:themeColor="followedHyperlink"/>
      <w:u w:val="single"/>
    </w:rPr>
  </w:style>
  <w:style w:type="character" w:customStyle="1" w:styleId="Mentionnonrsolue1">
    <w:name w:val="Mention non résolue1"/>
    <w:basedOn w:val="DefaultParagraphFont"/>
    <w:uiPriority w:val="99"/>
    <w:rsid w:val="00F02988"/>
    <w:rPr>
      <w:color w:val="605E5C"/>
      <w:shd w:val="clear" w:color="auto" w:fill="E1DFDD"/>
    </w:rPr>
  </w:style>
  <w:style w:type="character" w:customStyle="1" w:styleId="Heading1Char">
    <w:name w:val="Heading 1 Char"/>
    <w:basedOn w:val="DefaultParagraphFont"/>
    <w:link w:val="Heading1"/>
    <w:uiPriority w:val="9"/>
    <w:rsid w:val="00B371C5"/>
    <w:rPr>
      <w:rFonts w:asciiTheme="majorHAnsi" w:eastAsiaTheme="majorEastAsia" w:hAnsiTheme="majorHAnsi" w:cstheme="majorBidi"/>
      <w:color w:val="2F5496" w:themeColor="accent1" w:themeShade="BF"/>
      <w:sz w:val="32"/>
      <w:szCs w:val="32"/>
      <w:lang w:val="en-US" w:eastAsia="fr-FR"/>
    </w:rPr>
  </w:style>
  <w:style w:type="paragraph" w:styleId="TOCHeading">
    <w:name w:val="TOC Heading"/>
    <w:basedOn w:val="Heading1"/>
    <w:next w:val="Normal"/>
    <w:uiPriority w:val="39"/>
    <w:unhideWhenUsed/>
    <w:qFormat/>
    <w:rsid w:val="00B371C5"/>
    <w:pPr>
      <w:spacing w:before="480" w:line="276" w:lineRule="auto"/>
      <w:outlineLvl w:val="9"/>
    </w:pPr>
    <w:rPr>
      <w:b/>
      <w:bCs/>
      <w:sz w:val="28"/>
      <w:szCs w:val="28"/>
    </w:rPr>
  </w:style>
  <w:style w:type="paragraph" w:styleId="TOC2">
    <w:name w:val="toc 2"/>
    <w:basedOn w:val="Normal"/>
    <w:next w:val="Normal"/>
    <w:autoRedefine/>
    <w:uiPriority w:val="39"/>
    <w:unhideWhenUsed/>
    <w:rsid w:val="00B371C5"/>
    <w:pPr>
      <w:spacing w:before="120"/>
      <w:ind w:left="240"/>
    </w:pPr>
    <w:rPr>
      <w:rFonts w:asciiTheme="minorHAnsi" w:hAnsiTheme="minorHAnsi" w:cstheme="minorHAnsi"/>
      <w:i/>
      <w:iCs/>
      <w:sz w:val="20"/>
      <w:szCs w:val="20"/>
    </w:rPr>
  </w:style>
  <w:style w:type="paragraph" w:styleId="TOC1">
    <w:name w:val="toc 1"/>
    <w:basedOn w:val="Normal"/>
    <w:next w:val="Normal"/>
    <w:autoRedefine/>
    <w:uiPriority w:val="39"/>
    <w:unhideWhenUsed/>
    <w:rsid w:val="00B371C5"/>
    <w:pPr>
      <w:spacing w:before="240" w:after="120"/>
    </w:pPr>
    <w:rPr>
      <w:rFonts w:asciiTheme="minorHAnsi" w:hAnsiTheme="minorHAnsi" w:cstheme="minorHAnsi"/>
      <w:b/>
      <w:bCs/>
      <w:sz w:val="20"/>
      <w:szCs w:val="20"/>
    </w:rPr>
  </w:style>
  <w:style w:type="paragraph" w:styleId="TOC3">
    <w:name w:val="toc 3"/>
    <w:basedOn w:val="Normal"/>
    <w:next w:val="Normal"/>
    <w:autoRedefine/>
    <w:uiPriority w:val="39"/>
    <w:unhideWhenUsed/>
    <w:rsid w:val="00B371C5"/>
    <w:pPr>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B371C5"/>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B371C5"/>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B371C5"/>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B371C5"/>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B371C5"/>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B371C5"/>
    <w:pPr>
      <w:ind w:left="1920"/>
    </w:pPr>
    <w:rPr>
      <w:rFonts w:asciiTheme="minorHAnsi" w:hAnsiTheme="minorHAnsi" w:cstheme="minorHAnsi"/>
      <w:sz w:val="20"/>
      <w:szCs w:val="20"/>
    </w:rPr>
  </w:style>
  <w:style w:type="table" w:styleId="TableGrid">
    <w:name w:val="Table Grid"/>
    <w:basedOn w:val="TableNormal"/>
    <w:uiPriority w:val="39"/>
    <w:rsid w:val="00CC6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sinterligne1">
    <w:name w:val="Sans interligne1"/>
    <w:rsid w:val="000E6F5F"/>
    <w:pPr>
      <w:suppressAutoHyphens/>
    </w:pPr>
    <w:rPr>
      <w:rFonts w:ascii="Calibri" w:eastAsia="SimSun" w:hAnsi="Calibri" w:cs="Times New Roman"/>
    </w:rPr>
  </w:style>
  <w:style w:type="paragraph" w:styleId="FootnoteText">
    <w:name w:val="footnote text"/>
    <w:basedOn w:val="Normal"/>
    <w:link w:val="FootnoteTextChar"/>
    <w:rsid w:val="000E6F5F"/>
    <w:pPr>
      <w:suppressLineNumbers/>
      <w:suppressAutoHyphens/>
      <w:ind w:left="283" w:hanging="283"/>
    </w:pPr>
    <w:rPr>
      <w:sz w:val="20"/>
      <w:szCs w:val="20"/>
    </w:rPr>
  </w:style>
  <w:style w:type="character" w:customStyle="1" w:styleId="FootnoteTextChar">
    <w:name w:val="Footnote Text Char"/>
    <w:basedOn w:val="DefaultParagraphFont"/>
    <w:link w:val="FootnoteText"/>
    <w:rsid w:val="000E6F5F"/>
    <w:rPr>
      <w:rFonts w:ascii="Times New Roman" w:eastAsia="Times New Roman" w:hAnsi="Times New Roman" w:cs="Times New Roman"/>
      <w:sz w:val="20"/>
      <w:szCs w:val="20"/>
      <w:lang w:eastAsia="fr-FR"/>
    </w:rPr>
  </w:style>
  <w:style w:type="paragraph" w:styleId="BalloonText">
    <w:name w:val="Balloon Text"/>
    <w:basedOn w:val="Normal"/>
    <w:link w:val="BalloonTextChar"/>
    <w:uiPriority w:val="99"/>
    <w:semiHidden/>
    <w:unhideWhenUsed/>
    <w:rsid w:val="00B728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28B1"/>
    <w:rPr>
      <w:rFonts w:ascii="Lucida Grande" w:eastAsia="Times New Roman" w:hAnsi="Lucida Grande" w:cs="Lucida Grande"/>
      <w:sz w:val="18"/>
      <w:szCs w:val="18"/>
      <w:lang w:eastAsia="fr-FR"/>
    </w:rPr>
  </w:style>
  <w:style w:type="character" w:customStyle="1" w:styleId="apple-converted-space">
    <w:name w:val="apple-converted-space"/>
    <w:basedOn w:val="DefaultParagraphFont"/>
    <w:rsid w:val="00552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297315">
      <w:bodyDiv w:val="1"/>
      <w:marLeft w:val="0"/>
      <w:marRight w:val="0"/>
      <w:marTop w:val="0"/>
      <w:marBottom w:val="0"/>
      <w:divBdr>
        <w:top w:val="none" w:sz="0" w:space="0" w:color="auto"/>
        <w:left w:val="none" w:sz="0" w:space="0" w:color="auto"/>
        <w:bottom w:val="none" w:sz="0" w:space="0" w:color="auto"/>
        <w:right w:val="none" w:sz="0" w:space="0" w:color="auto"/>
      </w:divBdr>
      <w:divsChild>
        <w:div w:id="986861906">
          <w:marLeft w:val="0"/>
          <w:marRight w:val="0"/>
          <w:marTop w:val="0"/>
          <w:marBottom w:val="0"/>
          <w:divBdr>
            <w:top w:val="none" w:sz="0" w:space="0" w:color="auto"/>
            <w:left w:val="none" w:sz="0" w:space="0" w:color="auto"/>
            <w:bottom w:val="none" w:sz="0" w:space="0" w:color="auto"/>
            <w:right w:val="none" w:sz="0" w:space="0" w:color="auto"/>
          </w:divBdr>
        </w:div>
        <w:div w:id="1233466612">
          <w:marLeft w:val="0"/>
          <w:marRight w:val="0"/>
          <w:marTop w:val="0"/>
          <w:marBottom w:val="0"/>
          <w:divBdr>
            <w:top w:val="none" w:sz="0" w:space="0" w:color="auto"/>
            <w:left w:val="none" w:sz="0" w:space="0" w:color="auto"/>
            <w:bottom w:val="none" w:sz="0" w:space="0" w:color="auto"/>
            <w:right w:val="none" w:sz="0" w:space="0" w:color="auto"/>
          </w:divBdr>
        </w:div>
        <w:div w:id="180819738">
          <w:marLeft w:val="0"/>
          <w:marRight w:val="0"/>
          <w:marTop w:val="0"/>
          <w:marBottom w:val="0"/>
          <w:divBdr>
            <w:top w:val="none" w:sz="0" w:space="0" w:color="auto"/>
            <w:left w:val="none" w:sz="0" w:space="0" w:color="auto"/>
            <w:bottom w:val="none" w:sz="0" w:space="0" w:color="auto"/>
            <w:right w:val="none" w:sz="0" w:space="0" w:color="auto"/>
          </w:divBdr>
        </w:div>
        <w:div w:id="1496995423">
          <w:marLeft w:val="0"/>
          <w:marRight w:val="0"/>
          <w:marTop w:val="0"/>
          <w:marBottom w:val="0"/>
          <w:divBdr>
            <w:top w:val="none" w:sz="0" w:space="0" w:color="auto"/>
            <w:left w:val="none" w:sz="0" w:space="0" w:color="auto"/>
            <w:bottom w:val="none" w:sz="0" w:space="0" w:color="auto"/>
            <w:right w:val="none" w:sz="0" w:space="0" w:color="auto"/>
          </w:divBdr>
        </w:div>
      </w:divsChild>
    </w:div>
    <w:div w:id="736588810">
      <w:bodyDiv w:val="1"/>
      <w:marLeft w:val="0"/>
      <w:marRight w:val="0"/>
      <w:marTop w:val="0"/>
      <w:marBottom w:val="0"/>
      <w:divBdr>
        <w:top w:val="none" w:sz="0" w:space="0" w:color="auto"/>
        <w:left w:val="none" w:sz="0" w:space="0" w:color="auto"/>
        <w:bottom w:val="none" w:sz="0" w:space="0" w:color="auto"/>
        <w:right w:val="none" w:sz="0" w:space="0" w:color="auto"/>
      </w:divBdr>
    </w:div>
    <w:div w:id="1911883104">
      <w:bodyDiv w:val="1"/>
      <w:marLeft w:val="0"/>
      <w:marRight w:val="0"/>
      <w:marTop w:val="0"/>
      <w:marBottom w:val="0"/>
      <w:divBdr>
        <w:top w:val="none" w:sz="0" w:space="0" w:color="auto"/>
        <w:left w:val="none" w:sz="0" w:space="0" w:color="auto"/>
        <w:bottom w:val="none" w:sz="0" w:space="0" w:color="auto"/>
        <w:right w:val="none" w:sz="0" w:space="0" w:color="auto"/>
      </w:divBdr>
    </w:div>
    <w:div w:id="207423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hudoc.echr.coe.int/fre?i=001-57891" TargetMode="External"/><Relationship Id="rId13" Type="http://schemas.openxmlformats.org/officeDocument/2006/relationships/hyperlink" Target="https://is.gd/23y8RQ" TargetMode="External"/><Relationship Id="rId18" Type="http://schemas.openxmlformats.org/officeDocument/2006/relationships/hyperlink" Target="https://is.gd/u6Fk5W" TargetMode="External"/><Relationship Id="rId26" Type="http://schemas.openxmlformats.org/officeDocument/2006/relationships/hyperlink" Target="https://is.gd/ur8gW4" TargetMode="External"/><Relationship Id="rId3" Type="http://schemas.openxmlformats.org/officeDocument/2006/relationships/hyperlink" Target="https://www.ishr.ch/sites/default/files/documents/guidelines_on_foaa-_english.pdf" TargetMode="External"/><Relationship Id="rId21" Type="http://schemas.openxmlformats.org/officeDocument/2006/relationships/hyperlink" Target="https://is.gd/lme1De" TargetMode="External"/><Relationship Id="rId7" Type="http://schemas.openxmlformats.org/officeDocument/2006/relationships/hyperlink" Target="http://hudoc.echr.coe.int/fre?i=001-58245" TargetMode="External"/><Relationship Id="rId12" Type="http://schemas.openxmlformats.org/officeDocument/2006/relationships/hyperlink" Target="https://www.venice.coe.int/webforms/documents/?pdf=CDL-AD(2019)017-e" TargetMode="External"/><Relationship Id="rId17" Type="http://schemas.openxmlformats.org/officeDocument/2006/relationships/hyperlink" Target="https://is.gd/i0Z9LU" TargetMode="External"/><Relationship Id="rId25" Type="http://schemas.openxmlformats.org/officeDocument/2006/relationships/hyperlink" Target="https://twitter.com/CCastaner/status/1221417588921638912?fbclid=IwAR2MnRipAkTVGsOuVJ_5YjZ2wjLg36J_Nn7gfJooOO6c8ROTTaFXtwFZ35A" TargetMode="External"/><Relationship Id="rId2" Type="http://schemas.openxmlformats.org/officeDocument/2006/relationships/hyperlink" Target="https://is.gd/aka18P" TargetMode="External"/><Relationship Id="rId16" Type="http://schemas.openxmlformats.org/officeDocument/2006/relationships/hyperlink" Target="https://is.gd/WIky3K" TargetMode="External"/><Relationship Id="rId20" Type="http://schemas.openxmlformats.org/officeDocument/2006/relationships/hyperlink" Target="https://is.gd/EcWDSw" TargetMode="External"/><Relationship Id="rId1" Type="http://schemas.openxmlformats.org/officeDocument/2006/relationships/hyperlink" Target="http://www.oas.org/en/iachr/expression/publications/Protesta/ProtestHumanRights.pdf" TargetMode="External"/><Relationship Id="rId6" Type="http://schemas.openxmlformats.org/officeDocument/2006/relationships/hyperlink" Target="http://hudoc.echr.coe.int/fre?i=001-160358" TargetMode="External"/><Relationship Id="rId11" Type="http://schemas.openxmlformats.org/officeDocument/2006/relationships/hyperlink" Target="http://hudoc.echr.coe.int/eng?i=001-158216" TargetMode="External"/><Relationship Id="rId24" Type="http://schemas.openxmlformats.org/officeDocument/2006/relationships/hyperlink" Target="https://www.legifrance.gouv.fr/affichJuriAdmin.do?idTexte=CETATEXT000038815880" TargetMode="External"/><Relationship Id="rId5" Type="http://schemas.openxmlformats.org/officeDocument/2006/relationships/hyperlink" Target="https://www.ishr.ch/sites/default/files/documents/guidelines_on_foaa-_english.pdf" TargetMode="External"/><Relationship Id="rId15" Type="http://schemas.openxmlformats.org/officeDocument/2006/relationships/hyperlink" Target="https://www.legifrance.gouv.fr/eli/loi/2019/4/10/INTX1830129L/jo/texte" TargetMode="External"/><Relationship Id="rId23" Type="http://schemas.openxmlformats.org/officeDocument/2006/relationships/hyperlink" Target="https://amnestyfr.cdn.prismic.io/amnestyfr%2Fbc1434a2-ca33-436c-bf31-9ceeb919ba63_positionnement_lbd40_grenades_france+(1).pdf?fbclid=IwAR2l6ZJZn_jyW_rxNCB2RDVNi3Of-HMReAK64n47J_8PYUyvYmpM7GfuP9Q" TargetMode="External"/><Relationship Id="rId10" Type="http://schemas.openxmlformats.org/officeDocument/2006/relationships/hyperlink" Target="http://hudoc.echr.coe.int/fre?i=001-160358" TargetMode="External"/><Relationship Id="rId19" Type="http://schemas.openxmlformats.org/officeDocument/2006/relationships/hyperlink" Target="https://is.gd/4sk6qW" TargetMode="External"/><Relationship Id="rId4" Type="http://schemas.openxmlformats.org/officeDocument/2006/relationships/hyperlink" Target="http://www.oas.org/en/iachr/expression/publications/Protesta/ProtestHumanRights.pdf" TargetMode="External"/><Relationship Id="rId9" Type="http://schemas.openxmlformats.org/officeDocument/2006/relationships/hyperlink" Target="https://is.gd/aka18P" TargetMode="External"/><Relationship Id="rId14" Type="http://schemas.openxmlformats.org/officeDocument/2006/relationships/hyperlink" Target="https://is.gd/hvnHCQ" TargetMode="External"/><Relationship Id="rId22" Type="http://schemas.openxmlformats.org/officeDocument/2006/relationships/hyperlink" Target="https://is.gd/WIky3K" TargetMode="External"/><Relationship Id="rId27" Type="http://schemas.openxmlformats.org/officeDocument/2006/relationships/hyperlink" Target="http://www.crdh.fr/en/organization/about/"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ri par titre" Version="2003"/>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E5584A2-486C-4342-A096-782E55E1CDF6}">
  <ds:schemaRefs>
    <ds:schemaRef ds:uri="http://schemas.openxmlformats.org/officeDocument/2006/bibliography"/>
  </ds:schemaRefs>
</ds:datastoreItem>
</file>

<file path=customXml/itemProps2.xml><?xml version="1.0" encoding="utf-8"?>
<ds:datastoreItem xmlns:ds="http://schemas.openxmlformats.org/officeDocument/2006/customXml" ds:itemID="{05703A34-4D45-4EE7-96DF-7E78B903D17A}"/>
</file>

<file path=customXml/itemProps3.xml><?xml version="1.0" encoding="utf-8"?>
<ds:datastoreItem xmlns:ds="http://schemas.openxmlformats.org/officeDocument/2006/customXml" ds:itemID="{8CA9B84F-198A-4D09-B5A3-9C2C7D8C8F64}"/>
</file>

<file path=customXml/itemProps4.xml><?xml version="1.0" encoding="utf-8"?>
<ds:datastoreItem xmlns:ds="http://schemas.openxmlformats.org/officeDocument/2006/customXml" ds:itemID="{B4A3E079-CA16-48EB-AB40-C24E084E7F52}"/>
</file>

<file path=docProps/app.xml><?xml version="1.0" encoding="utf-8"?>
<Properties xmlns="http://schemas.openxmlformats.org/officeDocument/2006/extended-properties" xmlns:vt="http://schemas.openxmlformats.org/officeDocument/2006/docPropsVTypes">
  <Template>Normal.dotm</Template>
  <TotalTime>1</TotalTime>
  <Pages>10</Pages>
  <Words>4243</Words>
  <Characters>24191</Characters>
  <Application>Microsoft Office Word</Application>
  <DocSecurity>4</DocSecurity>
  <Lines>201</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Bohne</dc:creator>
  <cp:keywords/>
  <dc:description/>
  <cp:lastModifiedBy>ROSNIANSKY Cherry Lou</cp:lastModifiedBy>
  <cp:revision>2</cp:revision>
  <dcterms:created xsi:type="dcterms:W3CDTF">2020-02-17T10:57:00Z</dcterms:created>
  <dcterms:modified xsi:type="dcterms:W3CDTF">2020-02-17T10:57:00Z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