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1BAB8" w14:textId="2B9EFAE7" w:rsidR="00D07F48" w:rsidRDefault="00046BCD" w:rsidP="00714064">
      <w:pPr>
        <w:pStyle w:val="Heading2"/>
        <w:shd w:val="clear" w:color="auto" w:fill="FFFFFF"/>
        <w:rPr>
          <w:rFonts w:ascii="Georgia" w:hAnsi="Georgia"/>
          <w:bCs w:val="0"/>
          <w:color w:val="000000" w:themeColor="text1"/>
        </w:rPr>
      </w:pPr>
      <w:r>
        <w:rPr>
          <w:rFonts w:ascii="Georgia" w:hAnsi="Georgia"/>
          <w:bCs w:val="0"/>
          <w:color w:val="000000" w:themeColor="text1"/>
        </w:rPr>
        <w:t>Comments on</w:t>
      </w:r>
      <w:r w:rsidR="000210DF" w:rsidRPr="007606D3">
        <w:rPr>
          <w:rFonts w:ascii="Georgia" w:hAnsi="Georgia"/>
          <w:bCs w:val="0"/>
          <w:color w:val="000000" w:themeColor="text1"/>
        </w:rPr>
        <w:t xml:space="preserve"> </w:t>
      </w:r>
      <w:r w:rsidR="00D07F48" w:rsidRPr="007606D3">
        <w:rPr>
          <w:rFonts w:ascii="Georgia" w:hAnsi="Georgia"/>
          <w:bCs w:val="0"/>
          <w:color w:val="000000" w:themeColor="text1"/>
        </w:rPr>
        <w:t>the</w:t>
      </w:r>
      <w:r w:rsidR="000210DF" w:rsidRPr="007606D3">
        <w:rPr>
          <w:rFonts w:ascii="Georgia" w:hAnsi="Georgia"/>
          <w:bCs w:val="0"/>
          <w:color w:val="000000" w:themeColor="text1"/>
        </w:rPr>
        <w:t xml:space="preserve"> Human Rights Committee</w:t>
      </w:r>
      <w:r w:rsidR="00D07F48" w:rsidRPr="007606D3">
        <w:rPr>
          <w:rFonts w:ascii="Georgia" w:hAnsi="Georgia"/>
          <w:bCs w:val="0"/>
          <w:color w:val="000000" w:themeColor="text1"/>
        </w:rPr>
        <w:t xml:space="preserve">’s </w:t>
      </w:r>
      <w:r w:rsidR="000210DF" w:rsidRPr="007606D3">
        <w:rPr>
          <w:rFonts w:ascii="Georgia" w:hAnsi="Georgia"/>
          <w:bCs w:val="0"/>
          <w:color w:val="000000" w:themeColor="text1"/>
        </w:rPr>
        <w:t>Revised Draft General Comment No. 37 on Article 21(Right of Peaceful Assembly) of the International Covenant on Civil and Political Rights</w:t>
      </w:r>
      <w:r w:rsidR="000210DF" w:rsidRPr="007606D3">
        <w:rPr>
          <w:rStyle w:val="FootnoteReference"/>
          <w:rFonts w:ascii="Georgia" w:hAnsi="Georgia"/>
          <w:bCs w:val="0"/>
          <w:color w:val="000000" w:themeColor="text1"/>
        </w:rPr>
        <w:footnoteReference w:id="1"/>
      </w:r>
    </w:p>
    <w:p w14:paraId="05BDB113" w14:textId="77777777" w:rsidR="00714064" w:rsidRPr="007606D3" w:rsidRDefault="00714064" w:rsidP="00714064">
      <w:pPr>
        <w:pStyle w:val="Heading2"/>
        <w:shd w:val="clear" w:color="auto" w:fill="FFFFFF"/>
        <w:rPr>
          <w:rFonts w:ascii="Georgia" w:hAnsi="Georgia"/>
          <w:bCs w:val="0"/>
          <w:color w:val="000000" w:themeColor="text1"/>
        </w:rPr>
      </w:pPr>
    </w:p>
    <w:p w14:paraId="2311B589" w14:textId="0CD1959A" w:rsidR="00046BCD" w:rsidRDefault="00832B90" w:rsidP="00714064">
      <w:pPr>
        <w:pStyle w:val="Heading2"/>
        <w:shd w:val="clear" w:color="auto" w:fill="FFFFFF"/>
        <w:rPr>
          <w:rFonts w:ascii="Georgia" w:hAnsi="Georgia"/>
          <w:bCs w:val="0"/>
          <w:color w:val="000000" w:themeColor="text1"/>
          <w:sz w:val="24"/>
          <w:szCs w:val="24"/>
        </w:rPr>
      </w:pPr>
      <w:r>
        <w:rPr>
          <w:rFonts w:ascii="Georgia" w:hAnsi="Georgia"/>
          <w:bCs w:val="0"/>
          <w:color w:val="000000" w:themeColor="text1"/>
          <w:sz w:val="24"/>
          <w:szCs w:val="24"/>
        </w:rPr>
        <w:t>21</w:t>
      </w:r>
      <w:r w:rsidR="00D07F48" w:rsidRPr="007606D3">
        <w:rPr>
          <w:rFonts w:ascii="Georgia" w:hAnsi="Georgia"/>
          <w:bCs w:val="0"/>
          <w:color w:val="000000" w:themeColor="text1"/>
          <w:sz w:val="24"/>
          <w:szCs w:val="24"/>
        </w:rPr>
        <w:t xml:space="preserve"> February 2020</w:t>
      </w:r>
    </w:p>
    <w:p w14:paraId="2A526F56" w14:textId="593EE690" w:rsidR="00046BCD" w:rsidRDefault="00046BCD" w:rsidP="00714064">
      <w:pPr>
        <w:pStyle w:val="Heading2"/>
        <w:shd w:val="clear" w:color="auto" w:fill="FFFFFF"/>
        <w:rPr>
          <w:rFonts w:ascii="Georgia" w:hAnsi="Georgia"/>
          <w:bCs w:val="0"/>
          <w:color w:val="000000" w:themeColor="text1"/>
          <w:sz w:val="24"/>
          <w:szCs w:val="24"/>
        </w:rPr>
      </w:pPr>
    </w:p>
    <w:p w14:paraId="5D201926" w14:textId="77777777" w:rsidR="00714064" w:rsidRPr="007606D3" w:rsidRDefault="00714064" w:rsidP="00714064">
      <w:pPr>
        <w:pStyle w:val="Heading2"/>
        <w:shd w:val="clear" w:color="auto" w:fill="FFFFFF"/>
        <w:rPr>
          <w:rFonts w:ascii="Georgia" w:hAnsi="Georgia"/>
          <w:bCs w:val="0"/>
          <w:color w:val="000000" w:themeColor="text1"/>
          <w:sz w:val="24"/>
          <w:szCs w:val="24"/>
        </w:rPr>
      </w:pPr>
    </w:p>
    <w:p w14:paraId="1B98ABBC" w14:textId="64FC23FC" w:rsidR="000F00D3" w:rsidRPr="007606D3" w:rsidRDefault="00714064" w:rsidP="00714064">
      <w:pPr>
        <w:pStyle w:val="Heading2"/>
        <w:shd w:val="clear" w:color="auto" w:fill="FFFFFF"/>
        <w:rPr>
          <w:rFonts w:ascii="Georgia" w:hAnsi="Georgia"/>
          <w:b w:val="0"/>
          <w:color w:val="000000" w:themeColor="text1"/>
          <w:sz w:val="24"/>
          <w:szCs w:val="24"/>
        </w:rPr>
      </w:pPr>
      <w:r>
        <w:rPr>
          <w:rFonts w:ascii="Georgia" w:hAnsi="Georgia"/>
          <w:b w:val="0"/>
          <w:color w:val="000000" w:themeColor="text1"/>
          <w:sz w:val="24"/>
          <w:szCs w:val="24"/>
        </w:rPr>
        <w:t xml:space="preserve">Mr. </w:t>
      </w:r>
      <w:r w:rsidR="000F00D3" w:rsidRPr="007606D3">
        <w:rPr>
          <w:rFonts w:ascii="Georgia" w:hAnsi="Georgia"/>
          <w:b w:val="0"/>
          <w:color w:val="000000" w:themeColor="text1"/>
          <w:sz w:val="24"/>
          <w:szCs w:val="24"/>
        </w:rPr>
        <w:t>Gehan Gunatilleke</w:t>
      </w:r>
      <w:r>
        <w:rPr>
          <w:rFonts w:ascii="Georgia" w:hAnsi="Georgia"/>
          <w:b w:val="0"/>
          <w:color w:val="000000" w:themeColor="text1"/>
          <w:sz w:val="24"/>
          <w:szCs w:val="24"/>
        </w:rPr>
        <w:br/>
        <w:t>Doctoral Research (DPhil) Candidate in Law, University of Oxford</w:t>
      </w:r>
    </w:p>
    <w:p w14:paraId="66E1CB3E" w14:textId="37508D3D" w:rsidR="00714064" w:rsidRDefault="00714064" w:rsidP="00714064">
      <w:pPr>
        <w:pStyle w:val="Heading2"/>
        <w:shd w:val="clear" w:color="auto" w:fill="FFFFFF"/>
        <w:rPr>
          <w:rFonts w:ascii="Georgia" w:hAnsi="Georgia"/>
          <w:b w:val="0"/>
          <w:color w:val="000000" w:themeColor="text1"/>
          <w:sz w:val="24"/>
          <w:szCs w:val="24"/>
        </w:rPr>
      </w:pPr>
      <w:r>
        <w:rPr>
          <w:rFonts w:ascii="Georgia" w:hAnsi="Georgia"/>
          <w:b w:val="0"/>
          <w:color w:val="000000" w:themeColor="text1"/>
          <w:sz w:val="24"/>
          <w:szCs w:val="24"/>
        </w:rPr>
        <w:t>Dr. Liora Lazarus</w:t>
      </w:r>
      <w:r>
        <w:rPr>
          <w:rFonts w:ascii="Georgia" w:hAnsi="Georgia"/>
          <w:b w:val="0"/>
          <w:color w:val="000000" w:themeColor="text1"/>
          <w:sz w:val="24"/>
          <w:szCs w:val="24"/>
        </w:rPr>
        <w:br/>
        <w:t xml:space="preserve">Associate Professor in Law &amp; </w:t>
      </w:r>
      <w:r w:rsidR="004370B2">
        <w:rPr>
          <w:rFonts w:ascii="Georgia" w:hAnsi="Georgia"/>
          <w:b w:val="0"/>
          <w:color w:val="000000" w:themeColor="text1"/>
          <w:sz w:val="24"/>
          <w:szCs w:val="24"/>
        </w:rPr>
        <w:t>Head</w:t>
      </w:r>
      <w:r>
        <w:rPr>
          <w:rFonts w:ascii="Georgia" w:hAnsi="Georgia"/>
          <w:b w:val="0"/>
          <w:color w:val="000000" w:themeColor="text1"/>
          <w:sz w:val="24"/>
          <w:szCs w:val="24"/>
        </w:rPr>
        <w:t xml:space="preserve"> of Research, Bonavero Institute</w:t>
      </w:r>
      <w:r w:rsidR="004370B2">
        <w:rPr>
          <w:rFonts w:ascii="Georgia" w:hAnsi="Georgia"/>
          <w:b w:val="0"/>
          <w:color w:val="000000" w:themeColor="text1"/>
          <w:sz w:val="24"/>
          <w:szCs w:val="24"/>
        </w:rPr>
        <w:t xml:space="preserve"> of Human Rights</w:t>
      </w:r>
    </w:p>
    <w:p w14:paraId="703AB997" w14:textId="28D39C1D" w:rsidR="00714064" w:rsidRDefault="00714064" w:rsidP="00714064">
      <w:pPr>
        <w:pStyle w:val="Heading2"/>
        <w:shd w:val="clear" w:color="auto" w:fill="FFFFFF"/>
        <w:rPr>
          <w:rFonts w:ascii="Georgia" w:hAnsi="Georgia"/>
          <w:b w:val="0"/>
          <w:color w:val="000000" w:themeColor="text1"/>
          <w:sz w:val="24"/>
          <w:szCs w:val="24"/>
        </w:rPr>
      </w:pPr>
      <w:r>
        <w:rPr>
          <w:rFonts w:ascii="Georgia" w:hAnsi="Georgia"/>
          <w:b w:val="0"/>
          <w:color w:val="000000" w:themeColor="text1"/>
          <w:sz w:val="24"/>
          <w:szCs w:val="24"/>
        </w:rPr>
        <w:t xml:space="preserve">Dr. </w:t>
      </w:r>
      <w:r w:rsidR="00046BCD">
        <w:rPr>
          <w:rFonts w:ascii="Georgia" w:hAnsi="Georgia"/>
          <w:b w:val="0"/>
          <w:color w:val="000000" w:themeColor="text1"/>
          <w:sz w:val="24"/>
          <w:szCs w:val="24"/>
        </w:rPr>
        <w:t>Oliver Butler</w:t>
      </w:r>
      <w:r>
        <w:rPr>
          <w:rFonts w:ascii="Georgia" w:hAnsi="Georgia"/>
          <w:b w:val="0"/>
          <w:color w:val="000000" w:themeColor="text1"/>
          <w:sz w:val="24"/>
          <w:szCs w:val="24"/>
        </w:rPr>
        <w:br/>
        <w:t>Associate Research Fellow, Bonavero Institute</w:t>
      </w:r>
      <w:r w:rsidR="004370B2">
        <w:rPr>
          <w:rFonts w:ascii="Georgia" w:hAnsi="Georgia"/>
          <w:b w:val="0"/>
          <w:color w:val="000000" w:themeColor="text1"/>
          <w:sz w:val="24"/>
          <w:szCs w:val="24"/>
        </w:rPr>
        <w:t xml:space="preserve"> of Human Rights</w:t>
      </w:r>
    </w:p>
    <w:p w14:paraId="1B7ABCB5" w14:textId="6F65C948" w:rsidR="002C235F" w:rsidRPr="007606D3" w:rsidRDefault="00714064" w:rsidP="00714064">
      <w:pPr>
        <w:pStyle w:val="Heading2"/>
        <w:shd w:val="clear" w:color="auto" w:fill="FFFFFF"/>
        <w:rPr>
          <w:rFonts w:ascii="Georgia" w:hAnsi="Georgia"/>
          <w:b w:val="0"/>
          <w:color w:val="000000" w:themeColor="text1"/>
          <w:sz w:val="24"/>
          <w:szCs w:val="24"/>
        </w:rPr>
      </w:pPr>
      <w:r>
        <w:rPr>
          <w:rFonts w:ascii="Georgia" w:hAnsi="Georgia"/>
          <w:b w:val="0"/>
          <w:color w:val="000000" w:themeColor="text1"/>
          <w:sz w:val="24"/>
          <w:szCs w:val="24"/>
        </w:rPr>
        <w:lastRenderedPageBreak/>
        <w:t xml:space="preserve">Dr. </w:t>
      </w:r>
      <w:r w:rsidR="002C235F" w:rsidRPr="007606D3">
        <w:rPr>
          <w:rFonts w:ascii="Georgia" w:hAnsi="Georgia"/>
          <w:b w:val="0"/>
          <w:color w:val="000000" w:themeColor="text1"/>
          <w:sz w:val="24"/>
          <w:szCs w:val="24"/>
        </w:rPr>
        <w:t>Richard Martin</w:t>
      </w:r>
      <w:r>
        <w:rPr>
          <w:rFonts w:ascii="Georgia" w:hAnsi="Georgia"/>
          <w:b w:val="0"/>
          <w:color w:val="000000" w:themeColor="text1"/>
          <w:sz w:val="24"/>
          <w:szCs w:val="24"/>
        </w:rPr>
        <w:br/>
        <w:t>British Academy Post Doctoral Research Fellow, Bonavero Institute</w:t>
      </w:r>
      <w:r w:rsidR="004370B2">
        <w:rPr>
          <w:rFonts w:ascii="Georgia" w:hAnsi="Georgia"/>
          <w:b w:val="0"/>
          <w:color w:val="000000" w:themeColor="text1"/>
          <w:sz w:val="24"/>
          <w:szCs w:val="24"/>
        </w:rPr>
        <w:t xml:space="preserve"> of Human Rights</w:t>
      </w:r>
    </w:p>
    <w:p w14:paraId="2361B144" w14:textId="05E29A68" w:rsidR="000F00D3" w:rsidRPr="007606D3" w:rsidRDefault="00714064" w:rsidP="00714064">
      <w:pPr>
        <w:pStyle w:val="Heading2"/>
        <w:shd w:val="clear" w:color="auto" w:fill="FFFFFF"/>
        <w:rPr>
          <w:rFonts w:ascii="Georgia" w:hAnsi="Georgia"/>
          <w:b w:val="0"/>
          <w:color w:val="000000" w:themeColor="text1"/>
          <w:sz w:val="24"/>
          <w:szCs w:val="24"/>
        </w:rPr>
      </w:pPr>
      <w:r>
        <w:rPr>
          <w:rFonts w:ascii="Georgia" w:hAnsi="Georgia"/>
          <w:b w:val="0"/>
          <w:color w:val="000000" w:themeColor="text1"/>
          <w:sz w:val="24"/>
          <w:szCs w:val="24"/>
        </w:rPr>
        <w:t xml:space="preserve">Dr. </w:t>
      </w:r>
      <w:r w:rsidR="000F00D3" w:rsidRPr="007606D3">
        <w:rPr>
          <w:rFonts w:ascii="Georgia" w:hAnsi="Georgia"/>
          <w:b w:val="0"/>
          <w:color w:val="000000" w:themeColor="text1"/>
          <w:sz w:val="24"/>
          <w:szCs w:val="24"/>
        </w:rPr>
        <w:t>Shreya Atrey</w:t>
      </w:r>
      <w:r>
        <w:rPr>
          <w:rFonts w:ascii="Georgia" w:hAnsi="Georgia"/>
          <w:b w:val="0"/>
          <w:color w:val="000000" w:themeColor="text1"/>
          <w:sz w:val="24"/>
          <w:szCs w:val="24"/>
        </w:rPr>
        <w:br/>
        <w:t>Associate Professor in International Human Rights Law, Bonavero Institute</w:t>
      </w:r>
      <w:r w:rsidR="004370B2">
        <w:rPr>
          <w:rFonts w:ascii="Georgia" w:hAnsi="Georgia"/>
          <w:b w:val="0"/>
          <w:color w:val="000000" w:themeColor="text1"/>
          <w:sz w:val="24"/>
          <w:szCs w:val="24"/>
        </w:rPr>
        <w:t xml:space="preserve"> of Human Rights</w:t>
      </w:r>
    </w:p>
    <w:p w14:paraId="2DFB3222" w14:textId="6B02C734" w:rsidR="00E07AD7" w:rsidRDefault="00714064" w:rsidP="00714064">
      <w:pPr>
        <w:pStyle w:val="Heading2"/>
        <w:shd w:val="clear" w:color="auto" w:fill="FFFFFF"/>
        <w:rPr>
          <w:rFonts w:ascii="Georgia" w:hAnsi="Georgia"/>
          <w:b w:val="0"/>
          <w:color w:val="000000" w:themeColor="text1"/>
          <w:sz w:val="24"/>
          <w:szCs w:val="24"/>
        </w:rPr>
      </w:pPr>
      <w:r>
        <w:rPr>
          <w:rFonts w:ascii="Georgia" w:hAnsi="Georgia"/>
          <w:b w:val="0"/>
          <w:color w:val="000000" w:themeColor="text1"/>
          <w:sz w:val="24"/>
          <w:szCs w:val="24"/>
        </w:rPr>
        <w:t xml:space="preserve">Dr. </w:t>
      </w:r>
      <w:r w:rsidR="002C235F" w:rsidRPr="007606D3">
        <w:rPr>
          <w:rFonts w:ascii="Georgia" w:hAnsi="Georgia"/>
          <w:b w:val="0"/>
          <w:color w:val="000000" w:themeColor="text1"/>
          <w:sz w:val="24"/>
          <w:szCs w:val="24"/>
        </w:rPr>
        <w:t>Stefan Theil</w:t>
      </w:r>
      <w:r>
        <w:rPr>
          <w:rFonts w:ascii="Georgia" w:hAnsi="Georgia"/>
          <w:b w:val="0"/>
          <w:color w:val="000000" w:themeColor="text1"/>
          <w:sz w:val="24"/>
          <w:szCs w:val="24"/>
        </w:rPr>
        <w:br/>
        <w:t>Post Doctoral Research Fellow, Bonavero Institute</w:t>
      </w:r>
      <w:r w:rsidR="004370B2">
        <w:rPr>
          <w:rFonts w:ascii="Georgia" w:hAnsi="Georgia"/>
          <w:b w:val="0"/>
          <w:color w:val="000000" w:themeColor="text1"/>
          <w:sz w:val="24"/>
          <w:szCs w:val="24"/>
        </w:rPr>
        <w:t xml:space="preserve"> of Human Rights</w:t>
      </w:r>
    </w:p>
    <w:p w14:paraId="1581D932" w14:textId="265C1B82" w:rsidR="00714064" w:rsidRPr="007606D3" w:rsidRDefault="00714064" w:rsidP="00714064">
      <w:pPr>
        <w:pStyle w:val="Heading2"/>
        <w:shd w:val="clear" w:color="auto" w:fill="FFFFFF"/>
        <w:rPr>
          <w:rFonts w:ascii="Georgia" w:hAnsi="Georgia"/>
          <w:b w:val="0"/>
          <w:color w:val="000000" w:themeColor="text1"/>
          <w:sz w:val="24"/>
          <w:szCs w:val="24"/>
        </w:rPr>
      </w:pPr>
      <w:r>
        <w:rPr>
          <w:rFonts w:ascii="Georgia" w:hAnsi="Georgia"/>
          <w:b w:val="0"/>
          <w:color w:val="000000" w:themeColor="text1"/>
          <w:sz w:val="24"/>
          <w:szCs w:val="24"/>
        </w:rPr>
        <w:t>Ms. Sanya Samtani</w:t>
      </w:r>
      <w:r>
        <w:rPr>
          <w:rFonts w:ascii="Georgia" w:hAnsi="Georgia"/>
          <w:b w:val="0"/>
          <w:color w:val="000000" w:themeColor="text1"/>
          <w:sz w:val="24"/>
          <w:szCs w:val="24"/>
        </w:rPr>
        <w:br/>
        <w:t>Doctoral Research (DPhil) Candidate in Law, University of Oxford</w:t>
      </w:r>
    </w:p>
    <w:p w14:paraId="4E4F29D6" w14:textId="77777777" w:rsidR="00046BCD" w:rsidRDefault="00046BCD" w:rsidP="00714064">
      <w:pPr>
        <w:rPr>
          <w:rFonts w:ascii="Georgia" w:hAnsi="Georgia"/>
          <w:bCs/>
          <w:color w:val="000000" w:themeColor="text1"/>
        </w:rPr>
      </w:pPr>
    </w:p>
    <w:p w14:paraId="4C7DFEA5" w14:textId="797666B5" w:rsidR="002C235F" w:rsidRPr="007606D3" w:rsidRDefault="00D07F48" w:rsidP="00714064">
      <w:pPr>
        <w:spacing w:line="276" w:lineRule="auto"/>
        <w:rPr>
          <w:rFonts w:ascii="Georgia" w:eastAsia="Times New Roman" w:hAnsi="Georgia" w:cs="Times New Roman"/>
          <w:b/>
          <w:color w:val="000000" w:themeColor="text1"/>
          <w:lang w:eastAsia="en-GB"/>
        </w:rPr>
      </w:pPr>
      <w:r w:rsidRPr="007606D3">
        <w:rPr>
          <w:rFonts w:ascii="Georgia" w:hAnsi="Georgia"/>
          <w:noProof/>
          <w:sz w:val="36"/>
          <w:szCs w:val="36"/>
          <w:lang w:eastAsia="en-GB"/>
        </w:rPr>
        <w:drawing>
          <wp:anchor distT="0" distB="0" distL="114300" distR="114300" simplePos="0" relativeHeight="251659264" behindDoc="0" locked="0" layoutInCell="1" allowOverlap="1" wp14:anchorId="4E805CED" wp14:editId="5F8D757D">
            <wp:simplePos x="0" y="0"/>
            <wp:positionH relativeFrom="margin">
              <wp:posOffset>-57785</wp:posOffset>
            </wp:positionH>
            <wp:positionV relativeFrom="paragraph">
              <wp:posOffset>116884</wp:posOffset>
            </wp:positionV>
            <wp:extent cx="5731510" cy="1435735"/>
            <wp:effectExtent l="0" t="0" r="2540" b="0"/>
            <wp:wrapNone/>
            <wp:docPr id="12" name="Picture 11" descr="A close up of a sign&#10;&#10;Description automatically generated">
              <a:extLst xmlns:a="http://schemas.openxmlformats.org/drawingml/2006/main">
                <a:ext uri="{FF2B5EF4-FFF2-40B4-BE49-F238E27FC236}">
                  <a16:creationId xmlns:a16="http://schemas.microsoft.com/office/drawing/2014/main" id="{B185998F-36E2-EE47-A3A4-ADF2CF148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B185998F-36E2-EE47-A3A4-ADF2CF14834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435735"/>
                    </a:xfrm>
                    <a:prstGeom prst="rect">
                      <a:avLst/>
                    </a:prstGeom>
                  </pic:spPr>
                </pic:pic>
              </a:graphicData>
            </a:graphic>
            <wp14:sizeRelH relativeFrom="page">
              <wp14:pctWidth>0</wp14:pctWidth>
            </wp14:sizeRelH>
            <wp14:sizeRelV relativeFrom="page">
              <wp14:pctHeight>0</wp14:pctHeight>
            </wp14:sizeRelV>
          </wp:anchor>
        </w:drawing>
      </w:r>
      <w:r w:rsidR="002C235F" w:rsidRPr="007606D3">
        <w:rPr>
          <w:rFonts w:ascii="Georgia" w:hAnsi="Georgia"/>
          <w:bCs/>
          <w:color w:val="000000" w:themeColor="text1"/>
        </w:rPr>
        <w:br w:type="page"/>
      </w:r>
    </w:p>
    <w:p w14:paraId="74A678A6" w14:textId="16F3191A" w:rsidR="00D07F48" w:rsidRPr="007606D3" w:rsidRDefault="00D07F48" w:rsidP="00714064">
      <w:pPr>
        <w:spacing w:line="276" w:lineRule="auto"/>
        <w:jc w:val="center"/>
        <w:rPr>
          <w:rFonts w:ascii="Georgia" w:hAnsi="Georgia"/>
          <w:b/>
          <w:color w:val="000000" w:themeColor="text1"/>
        </w:rPr>
      </w:pPr>
      <w:r w:rsidRPr="007606D3">
        <w:rPr>
          <w:rFonts w:ascii="Georgia" w:hAnsi="Georgia"/>
          <w:b/>
          <w:color w:val="000000" w:themeColor="text1"/>
        </w:rPr>
        <w:lastRenderedPageBreak/>
        <w:t>Executive Summary</w:t>
      </w:r>
    </w:p>
    <w:p w14:paraId="1A219F90" w14:textId="0716C05B" w:rsidR="00D07F48" w:rsidRPr="007606D3" w:rsidRDefault="00D07F48" w:rsidP="00714064">
      <w:pPr>
        <w:spacing w:line="276" w:lineRule="auto"/>
        <w:jc w:val="both"/>
        <w:rPr>
          <w:rFonts w:ascii="Georgia" w:hAnsi="Georgia"/>
          <w:b/>
          <w:color w:val="000000" w:themeColor="text1"/>
        </w:rPr>
      </w:pPr>
    </w:p>
    <w:p w14:paraId="28CDAFE6" w14:textId="13C848D7" w:rsidR="00E07AD7" w:rsidRPr="007606D3" w:rsidRDefault="00A67323" w:rsidP="00714064">
      <w:pPr>
        <w:spacing w:line="276" w:lineRule="auto"/>
        <w:jc w:val="both"/>
        <w:rPr>
          <w:rFonts w:ascii="Georgia" w:hAnsi="Georgia"/>
          <w:bCs/>
          <w:color w:val="000000" w:themeColor="text1"/>
        </w:rPr>
      </w:pPr>
      <w:r w:rsidRPr="007606D3">
        <w:rPr>
          <w:rFonts w:ascii="Georgia" w:hAnsi="Georgia"/>
          <w:bCs/>
          <w:color w:val="000000" w:themeColor="text1"/>
        </w:rPr>
        <w:t xml:space="preserve">The right to peaceful assembly is under threat across the world. In light of this, the </w:t>
      </w:r>
      <w:bookmarkStart w:id="0" w:name="_GoBack"/>
      <w:r w:rsidRPr="007606D3">
        <w:rPr>
          <w:rFonts w:ascii="Georgia" w:hAnsi="Georgia"/>
          <w:bCs/>
          <w:color w:val="000000" w:themeColor="text1"/>
        </w:rPr>
        <w:t xml:space="preserve">Bonavero Institute of Human Rights </w:t>
      </w:r>
      <w:bookmarkEnd w:id="0"/>
      <w:r w:rsidRPr="007606D3">
        <w:rPr>
          <w:rFonts w:ascii="Georgia" w:hAnsi="Georgia"/>
          <w:bCs/>
          <w:color w:val="000000" w:themeColor="text1"/>
        </w:rPr>
        <w:t>welcomes th</w:t>
      </w:r>
      <w:r w:rsidR="00E36EB3" w:rsidRPr="007606D3">
        <w:rPr>
          <w:rFonts w:ascii="Georgia" w:hAnsi="Georgia"/>
          <w:bCs/>
          <w:color w:val="000000" w:themeColor="text1"/>
        </w:rPr>
        <w:t>e Revised Draft General Comment No. 37 on Article 21, the Right of Peaceful Assembly, of the International Covenant on Civil and Political Rights</w:t>
      </w:r>
      <w:r w:rsidRPr="007606D3">
        <w:rPr>
          <w:rFonts w:ascii="Georgia" w:hAnsi="Georgia"/>
          <w:bCs/>
          <w:color w:val="000000" w:themeColor="text1"/>
        </w:rPr>
        <w:t xml:space="preserve"> (‘Draft Comment’). The Draft Comment provides detailed insights into the nature, application, content and limitations of the right to peaceful assembly that are of contemporary significance. The Bonavero Institute’s comments below serve to </w:t>
      </w:r>
      <w:r w:rsidR="00E07AD7" w:rsidRPr="007606D3">
        <w:rPr>
          <w:rFonts w:ascii="Georgia" w:hAnsi="Georgia"/>
          <w:bCs/>
          <w:color w:val="000000" w:themeColor="text1"/>
        </w:rPr>
        <w:t>highlight relevant areas of the Draft Comment that may be improved upon in order to better protect this right. The comments are as follows:</w:t>
      </w:r>
    </w:p>
    <w:p w14:paraId="059F2BF0" w14:textId="466542C5" w:rsidR="00E07AD7" w:rsidRPr="007606D3" w:rsidRDefault="00E07AD7" w:rsidP="00714064">
      <w:pPr>
        <w:spacing w:line="276" w:lineRule="auto"/>
        <w:jc w:val="both"/>
        <w:rPr>
          <w:rFonts w:ascii="Georgia" w:hAnsi="Georgia"/>
          <w:bCs/>
          <w:color w:val="000000" w:themeColor="text1"/>
        </w:rPr>
      </w:pPr>
    </w:p>
    <w:p w14:paraId="35BF5C54" w14:textId="4657B1CD" w:rsidR="00E07AD7" w:rsidRPr="007606D3" w:rsidRDefault="00E07AD7" w:rsidP="00714064">
      <w:pPr>
        <w:spacing w:line="276" w:lineRule="auto"/>
        <w:jc w:val="both"/>
        <w:rPr>
          <w:rFonts w:ascii="Georgia" w:hAnsi="Georgia"/>
          <w:bCs/>
          <w:color w:val="000000" w:themeColor="text1"/>
        </w:rPr>
      </w:pPr>
      <w:r w:rsidRPr="007606D3">
        <w:rPr>
          <w:rFonts w:ascii="Georgia" w:hAnsi="Georgia"/>
          <w:bCs/>
          <w:color w:val="000000" w:themeColor="text1"/>
        </w:rPr>
        <w:t>First</w:t>
      </w:r>
      <w:r w:rsidR="00CB1DE2">
        <w:rPr>
          <w:rFonts w:ascii="Georgia" w:hAnsi="Georgia"/>
          <w:bCs/>
          <w:color w:val="000000" w:themeColor="text1"/>
        </w:rPr>
        <w:t xml:space="preserve"> </w:t>
      </w:r>
      <w:r w:rsidR="00CB1DE2" w:rsidRPr="00CB1DE2">
        <w:rPr>
          <w:rFonts w:ascii="Georgia" w:hAnsi="Georgia"/>
          <w:b/>
          <w:color w:val="000000" w:themeColor="text1"/>
        </w:rPr>
        <w:t>(Paragraph 5)</w:t>
      </w:r>
      <w:r w:rsidRPr="007606D3">
        <w:rPr>
          <w:rFonts w:ascii="Georgia" w:hAnsi="Georgia"/>
          <w:bCs/>
          <w:color w:val="000000" w:themeColor="text1"/>
        </w:rPr>
        <w:t xml:space="preserve">, that the interrelationship between the right to equality and the right to peaceful assembly must be clarified to guarantee that everyone has an </w:t>
      </w:r>
      <w:r w:rsidRPr="007606D3">
        <w:rPr>
          <w:rFonts w:ascii="Georgia" w:hAnsi="Georgia"/>
          <w:bCs/>
          <w:i/>
          <w:iCs/>
          <w:color w:val="000000" w:themeColor="text1"/>
        </w:rPr>
        <w:t>equal</w:t>
      </w:r>
      <w:r w:rsidRPr="007606D3">
        <w:rPr>
          <w:rFonts w:ascii="Georgia" w:hAnsi="Georgia"/>
          <w:bCs/>
          <w:color w:val="000000" w:themeColor="text1"/>
        </w:rPr>
        <w:t xml:space="preserve"> right of peaceful assembly.</w:t>
      </w:r>
    </w:p>
    <w:p w14:paraId="349E30DA" w14:textId="33C4DFF1" w:rsidR="00E07AD7" w:rsidRPr="007606D3" w:rsidRDefault="00E07AD7" w:rsidP="00714064">
      <w:pPr>
        <w:spacing w:line="276" w:lineRule="auto"/>
        <w:jc w:val="both"/>
        <w:rPr>
          <w:rFonts w:ascii="Georgia" w:hAnsi="Georgia"/>
          <w:bCs/>
          <w:color w:val="000000" w:themeColor="text1"/>
        </w:rPr>
      </w:pPr>
    </w:p>
    <w:p w14:paraId="22D00059" w14:textId="3459C74C" w:rsidR="00E07AD7" w:rsidRPr="007606D3" w:rsidRDefault="00E07AD7" w:rsidP="00714064">
      <w:pPr>
        <w:spacing w:line="276" w:lineRule="auto"/>
        <w:jc w:val="both"/>
        <w:rPr>
          <w:rFonts w:ascii="Georgia" w:hAnsi="Georgia"/>
          <w:bCs/>
          <w:color w:val="000000" w:themeColor="text1"/>
        </w:rPr>
      </w:pPr>
      <w:r w:rsidRPr="007606D3">
        <w:rPr>
          <w:rFonts w:ascii="Georgia" w:hAnsi="Georgia"/>
          <w:bCs/>
          <w:color w:val="000000" w:themeColor="text1"/>
        </w:rPr>
        <w:t>Second</w:t>
      </w:r>
      <w:r w:rsidR="00CB1DE2">
        <w:rPr>
          <w:rFonts w:ascii="Georgia" w:hAnsi="Georgia"/>
          <w:bCs/>
          <w:color w:val="000000" w:themeColor="text1"/>
        </w:rPr>
        <w:t xml:space="preserve"> </w:t>
      </w:r>
      <w:r w:rsidR="00CB1DE2" w:rsidRPr="00CB1DE2">
        <w:rPr>
          <w:rFonts w:ascii="Georgia" w:hAnsi="Georgia"/>
          <w:b/>
          <w:color w:val="000000" w:themeColor="text1"/>
        </w:rPr>
        <w:t>(Paragraph 15)</w:t>
      </w:r>
      <w:r w:rsidRPr="007606D3">
        <w:rPr>
          <w:rFonts w:ascii="Georgia" w:hAnsi="Georgia"/>
          <w:bCs/>
          <w:color w:val="000000" w:themeColor="text1"/>
        </w:rPr>
        <w:t xml:space="preserve">, that </w:t>
      </w:r>
      <w:r w:rsidR="007606D3" w:rsidRPr="007606D3">
        <w:rPr>
          <w:rFonts w:ascii="Georgia" w:hAnsi="Georgia"/>
          <w:bCs/>
          <w:color w:val="000000" w:themeColor="text1"/>
        </w:rPr>
        <w:t>there must be a clear distinction between online assemblies and physical assemblies due to their differing nature.</w:t>
      </w:r>
    </w:p>
    <w:p w14:paraId="03C19E5A" w14:textId="35E48730" w:rsidR="007606D3" w:rsidRPr="007606D3" w:rsidRDefault="007606D3" w:rsidP="00714064">
      <w:pPr>
        <w:spacing w:line="276" w:lineRule="auto"/>
        <w:jc w:val="both"/>
        <w:rPr>
          <w:rFonts w:ascii="Georgia" w:hAnsi="Georgia"/>
          <w:bCs/>
          <w:color w:val="000000" w:themeColor="text1"/>
        </w:rPr>
      </w:pPr>
    </w:p>
    <w:p w14:paraId="2099EC03" w14:textId="1C7AEC9A" w:rsidR="00647C30" w:rsidRDefault="007606D3" w:rsidP="00714064">
      <w:pPr>
        <w:spacing w:line="276" w:lineRule="auto"/>
        <w:jc w:val="both"/>
        <w:rPr>
          <w:rFonts w:ascii="Georgia" w:hAnsi="Georgia"/>
          <w:bCs/>
          <w:color w:val="000000" w:themeColor="text1"/>
        </w:rPr>
      </w:pPr>
      <w:r w:rsidRPr="007606D3">
        <w:rPr>
          <w:rFonts w:ascii="Georgia" w:hAnsi="Georgia"/>
          <w:bCs/>
          <w:color w:val="000000" w:themeColor="text1"/>
        </w:rPr>
        <w:t>Third</w:t>
      </w:r>
      <w:r w:rsidR="00CB1DE2">
        <w:rPr>
          <w:rFonts w:ascii="Georgia" w:hAnsi="Georgia"/>
          <w:bCs/>
          <w:color w:val="000000" w:themeColor="text1"/>
        </w:rPr>
        <w:t xml:space="preserve"> </w:t>
      </w:r>
      <w:r w:rsidR="00CB1DE2" w:rsidRPr="00CB1DE2">
        <w:rPr>
          <w:rFonts w:ascii="Georgia" w:hAnsi="Georgia"/>
          <w:b/>
          <w:color w:val="000000" w:themeColor="text1"/>
        </w:rPr>
        <w:t>(Paragraph 16)</w:t>
      </w:r>
      <w:r w:rsidRPr="007606D3">
        <w:rPr>
          <w:rFonts w:ascii="Georgia" w:hAnsi="Georgia"/>
          <w:bCs/>
          <w:color w:val="000000" w:themeColor="text1"/>
        </w:rPr>
        <w:t xml:space="preserve">, that </w:t>
      </w:r>
      <w:r w:rsidR="00563606">
        <w:rPr>
          <w:rFonts w:ascii="Georgia" w:hAnsi="Georgia"/>
          <w:bCs/>
          <w:color w:val="000000" w:themeColor="text1"/>
        </w:rPr>
        <w:t xml:space="preserve">the protection accorded to planned peaceful assemblies must also be extended to those peaceful assemblies that are spontaneous. </w:t>
      </w:r>
    </w:p>
    <w:p w14:paraId="33D458A4" w14:textId="77777777" w:rsidR="00647C30" w:rsidRDefault="00647C30" w:rsidP="00714064">
      <w:pPr>
        <w:spacing w:line="276" w:lineRule="auto"/>
        <w:jc w:val="both"/>
        <w:rPr>
          <w:rFonts w:ascii="Georgia" w:hAnsi="Georgia"/>
          <w:bCs/>
          <w:color w:val="000000" w:themeColor="text1"/>
        </w:rPr>
      </w:pPr>
    </w:p>
    <w:p w14:paraId="3737AA20" w14:textId="43052D9D" w:rsidR="00647C30" w:rsidRDefault="00647C30" w:rsidP="00714064">
      <w:pPr>
        <w:spacing w:line="276" w:lineRule="auto"/>
        <w:jc w:val="both"/>
        <w:rPr>
          <w:rFonts w:ascii="Georgia" w:hAnsi="Georgia"/>
          <w:bCs/>
          <w:color w:val="000000" w:themeColor="text1"/>
        </w:rPr>
      </w:pPr>
      <w:r>
        <w:rPr>
          <w:rFonts w:ascii="Georgia" w:hAnsi="Georgia"/>
          <w:bCs/>
          <w:color w:val="000000" w:themeColor="text1"/>
        </w:rPr>
        <w:t>Fourth</w:t>
      </w:r>
      <w:r w:rsidR="00CB1DE2">
        <w:rPr>
          <w:rFonts w:ascii="Georgia" w:hAnsi="Georgia"/>
          <w:bCs/>
          <w:color w:val="000000" w:themeColor="text1"/>
        </w:rPr>
        <w:t xml:space="preserve"> </w:t>
      </w:r>
      <w:r w:rsidR="00CB1DE2" w:rsidRPr="00CB1DE2">
        <w:rPr>
          <w:rFonts w:ascii="Georgia" w:hAnsi="Georgia"/>
          <w:b/>
          <w:color w:val="000000" w:themeColor="text1"/>
        </w:rPr>
        <w:t>(Paragraph 27)</w:t>
      </w:r>
      <w:r>
        <w:rPr>
          <w:rFonts w:ascii="Georgia" w:hAnsi="Georgia"/>
          <w:bCs/>
          <w:color w:val="000000" w:themeColor="text1"/>
        </w:rPr>
        <w:t xml:space="preserve">, that </w:t>
      </w:r>
      <w:r w:rsidR="00563606">
        <w:rPr>
          <w:rFonts w:ascii="Georgia" w:hAnsi="Georgia"/>
          <w:bCs/>
          <w:color w:val="000000" w:themeColor="text1"/>
        </w:rPr>
        <w:t>the right to choose a public site is included within the right to peaceful assembly</w:t>
      </w:r>
      <w:r>
        <w:rPr>
          <w:rFonts w:ascii="Georgia" w:hAnsi="Georgia"/>
          <w:bCs/>
          <w:color w:val="000000" w:themeColor="text1"/>
        </w:rPr>
        <w:t xml:space="preserve">. </w:t>
      </w:r>
    </w:p>
    <w:p w14:paraId="270A8DB7" w14:textId="5AEB7640" w:rsidR="00647C30" w:rsidRDefault="00647C30" w:rsidP="00714064">
      <w:pPr>
        <w:spacing w:line="276" w:lineRule="auto"/>
        <w:jc w:val="both"/>
        <w:rPr>
          <w:rFonts w:ascii="Georgia" w:hAnsi="Georgia"/>
          <w:bCs/>
          <w:color w:val="000000" w:themeColor="text1"/>
        </w:rPr>
      </w:pPr>
    </w:p>
    <w:p w14:paraId="16246E1D" w14:textId="7A2C8E3B" w:rsidR="00647C30" w:rsidRDefault="00647C30" w:rsidP="00714064">
      <w:pPr>
        <w:spacing w:line="276" w:lineRule="auto"/>
        <w:jc w:val="both"/>
        <w:rPr>
          <w:rFonts w:ascii="Georgia" w:hAnsi="Georgia"/>
          <w:bCs/>
          <w:color w:val="000000" w:themeColor="text1"/>
        </w:rPr>
      </w:pPr>
      <w:r>
        <w:rPr>
          <w:rFonts w:ascii="Georgia" w:hAnsi="Georgia"/>
          <w:bCs/>
          <w:color w:val="000000" w:themeColor="text1"/>
        </w:rPr>
        <w:lastRenderedPageBreak/>
        <w:t>Fifth</w:t>
      </w:r>
      <w:r w:rsidR="000F3484">
        <w:rPr>
          <w:rFonts w:ascii="Georgia" w:hAnsi="Georgia"/>
          <w:bCs/>
          <w:color w:val="000000" w:themeColor="text1"/>
        </w:rPr>
        <w:t xml:space="preserve"> </w:t>
      </w:r>
      <w:r w:rsidR="000F3484" w:rsidRPr="000F3484">
        <w:rPr>
          <w:rFonts w:ascii="Georgia" w:hAnsi="Georgia"/>
          <w:b/>
          <w:color w:val="000000" w:themeColor="text1"/>
        </w:rPr>
        <w:t>(Paragraph 85)</w:t>
      </w:r>
      <w:r>
        <w:rPr>
          <w:rFonts w:ascii="Georgia" w:hAnsi="Georgia"/>
          <w:bCs/>
          <w:color w:val="000000" w:themeColor="text1"/>
        </w:rPr>
        <w:t xml:space="preserve">, </w:t>
      </w:r>
      <w:r w:rsidR="00F46C30">
        <w:rPr>
          <w:rFonts w:ascii="Georgia" w:hAnsi="Georgia"/>
          <w:bCs/>
          <w:color w:val="000000" w:themeColor="text1"/>
        </w:rPr>
        <w:t xml:space="preserve">that the state’s </w:t>
      </w:r>
      <w:r w:rsidR="002106DB">
        <w:rPr>
          <w:rFonts w:ascii="Georgia" w:hAnsi="Georgia"/>
          <w:bCs/>
          <w:color w:val="000000" w:themeColor="text1"/>
        </w:rPr>
        <w:t>limitation of the fulfilment</w:t>
      </w:r>
      <w:r w:rsidR="00F46C30">
        <w:rPr>
          <w:rFonts w:ascii="Georgia" w:hAnsi="Georgia"/>
          <w:bCs/>
          <w:color w:val="000000" w:themeColor="text1"/>
        </w:rPr>
        <w:t xml:space="preserve"> of its positive duties</w:t>
      </w:r>
      <w:r w:rsidR="002106DB">
        <w:rPr>
          <w:rFonts w:ascii="Georgia" w:hAnsi="Georgia"/>
          <w:bCs/>
          <w:color w:val="000000" w:themeColor="text1"/>
        </w:rPr>
        <w:t xml:space="preserve"> on basis of preventing ‘collateral violence’ in the </w:t>
      </w:r>
      <w:r w:rsidR="00F46C30">
        <w:rPr>
          <w:rFonts w:ascii="Georgia" w:hAnsi="Georgia"/>
          <w:bCs/>
          <w:color w:val="000000" w:themeColor="text1"/>
        </w:rPr>
        <w:t>vicinity of an assembly that has turned violent</w:t>
      </w:r>
      <w:r w:rsidR="002106DB">
        <w:rPr>
          <w:rFonts w:ascii="Georgia" w:hAnsi="Georgia"/>
          <w:bCs/>
          <w:color w:val="000000" w:themeColor="text1"/>
        </w:rPr>
        <w:t xml:space="preserve"> should be subject to strict scrutiny.</w:t>
      </w:r>
    </w:p>
    <w:p w14:paraId="479CCF7D" w14:textId="65D0C626" w:rsidR="002106DB" w:rsidRDefault="002106DB" w:rsidP="00714064">
      <w:pPr>
        <w:spacing w:line="276" w:lineRule="auto"/>
        <w:jc w:val="both"/>
        <w:rPr>
          <w:rFonts w:ascii="Georgia" w:hAnsi="Georgia"/>
          <w:bCs/>
          <w:color w:val="000000" w:themeColor="text1"/>
        </w:rPr>
      </w:pPr>
    </w:p>
    <w:p w14:paraId="154E948C" w14:textId="3E49A71A" w:rsidR="002106DB" w:rsidRDefault="002106DB" w:rsidP="00714064">
      <w:pPr>
        <w:spacing w:line="276" w:lineRule="auto"/>
        <w:jc w:val="both"/>
        <w:rPr>
          <w:rFonts w:ascii="Georgia" w:hAnsi="Georgia"/>
          <w:bCs/>
          <w:color w:val="000000" w:themeColor="text1"/>
        </w:rPr>
      </w:pPr>
      <w:r>
        <w:rPr>
          <w:rFonts w:ascii="Georgia" w:hAnsi="Georgia"/>
          <w:bCs/>
          <w:color w:val="000000" w:themeColor="text1"/>
        </w:rPr>
        <w:t>Sixth</w:t>
      </w:r>
      <w:r w:rsidR="000F3484">
        <w:rPr>
          <w:rFonts w:ascii="Georgia" w:hAnsi="Georgia"/>
          <w:bCs/>
          <w:color w:val="000000" w:themeColor="text1"/>
        </w:rPr>
        <w:t xml:space="preserve"> </w:t>
      </w:r>
      <w:r w:rsidR="000F3484" w:rsidRPr="000F3484">
        <w:rPr>
          <w:rFonts w:ascii="Georgia" w:hAnsi="Georgia"/>
          <w:b/>
          <w:color w:val="000000" w:themeColor="text1"/>
        </w:rPr>
        <w:t>(Paragraph 72)</w:t>
      </w:r>
      <w:r>
        <w:rPr>
          <w:rFonts w:ascii="Georgia" w:hAnsi="Georgia"/>
          <w:bCs/>
          <w:color w:val="000000" w:themeColor="text1"/>
        </w:rPr>
        <w:t xml:space="preserve">, that </w:t>
      </w:r>
      <w:r w:rsidR="008D3B41">
        <w:rPr>
          <w:rFonts w:ascii="Georgia" w:hAnsi="Georgia"/>
          <w:bCs/>
          <w:color w:val="000000" w:themeColor="text1"/>
        </w:rPr>
        <w:t xml:space="preserve">the </w:t>
      </w:r>
      <w:r>
        <w:rPr>
          <w:rFonts w:ascii="Georgia" w:hAnsi="Georgia"/>
          <w:bCs/>
          <w:color w:val="000000" w:themeColor="text1"/>
        </w:rPr>
        <w:t xml:space="preserve">use of automated facial recognition technology </w:t>
      </w:r>
      <w:r w:rsidR="008D3B41">
        <w:rPr>
          <w:rFonts w:ascii="Georgia" w:hAnsi="Georgia"/>
          <w:bCs/>
          <w:color w:val="000000" w:themeColor="text1"/>
        </w:rPr>
        <w:t xml:space="preserve">must be limited </w:t>
      </w:r>
      <w:r>
        <w:rPr>
          <w:rFonts w:ascii="Georgia" w:hAnsi="Georgia"/>
          <w:bCs/>
          <w:color w:val="000000" w:themeColor="text1"/>
        </w:rPr>
        <w:t xml:space="preserve">to protect the right of peaceful </w:t>
      </w:r>
      <w:r w:rsidR="008D3B41">
        <w:rPr>
          <w:rFonts w:ascii="Georgia" w:hAnsi="Georgia"/>
          <w:bCs/>
          <w:color w:val="000000" w:themeColor="text1"/>
        </w:rPr>
        <w:t xml:space="preserve">assembly, </w:t>
      </w:r>
      <w:r w:rsidR="00FB5147">
        <w:rPr>
          <w:rFonts w:ascii="Georgia" w:hAnsi="Georgia"/>
          <w:bCs/>
          <w:color w:val="000000" w:themeColor="text1"/>
        </w:rPr>
        <w:t>privacy, equality</w:t>
      </w:r>
      <w:r w:rsidR="008D3B41">
        <w:rPr>
          <w:rFonts w:ascii="Georgia" w:hAnsi="Georgia"/>
          <w:bCs/>
          <w:color w:val="000000" w:themeColor="text1"/>
        </w:rPr>
        <w:t xml:space="preserve"> and the rule of law</w:t>
      </w:r>
      <w:r w:rsidR="005F7BEF">
        <w:rPr>
          <w:rFonts w:ascii="Georgia" w:hAnsi="Georgia"/>
          <w:bCs/>
          <w:color w:val="000000" w:themeColor="text1"/>
        </w:rPr>
        <w:t>.</w:t>
      </w:r>
    </w:p>
    <w:p w14:paraId="34007957" w14:textId="77777777" w:rsidR="00E36EB3" w:rsidRPr="007606D3" w:rsidRDefault="00E36EB3" w:rsidP="00714064">
      <w:pPr>
        <w:spacing w:line="276" w:lineRule="auto"/>
        <w:jc w:val="both"/>
        <w:rPr>
          <w:rFonts w:ascii="Georgia" w:hAnsi="Georgia"/>
          <w:bCs/>
          <w:color w:val="000000" w:themeColor="text1"/>
        </w:rPr>
      </w:pPr>
    </w:p>
    <w:p w14:paraId="4E91F996" w14:textId="77777777" w:rsidR="000F3484" w:rsidRDefault="000F3484" w:rsidP="00714064">
      <w:pPr>
        <w:spacing w:line="276" w:lineRule="auto"/>
        <w:rPr>
          <w:rFonts w:ascii="Georgia" w:hAnsi="Georgia"/>
          <w:b/>
          <w:color w:val="000000" w:themeColor="text1"/>
        </w:rPr>
      </w:pPr>
      <w:r>
        <w:rPr>
          <w:rFonts w:ascii="Georgia" w:hAnsi="Georgia"/>
          <w:b/>
          <w:color w:val="000000" w:themeColor="text1"/>
        </w:rPr>
        <w:br w:type="page"/>
      </w:r>
    </w:p>
    <w:p w14:paraId="2E60AFD0" w14:textId="2A9C706E" w:rsidR="000210DF" w:rsidRPr="007606D3" w:rsidRDefault="000210DF" w:rsidP="00714064">
      <w:pPr>
        <w:spacing w:line="276" w:lineRule="auto"/>
        <w:jc w:val="both"/>
        <w:rPr>
          <w:rFonts w:ascii="Georgia" w:hAnsi="Georgia"/>
          <w:b/>
          <w:color w:val="000000" w:themeColor="text1"/>
        </w:rPr>
      </w:pPr>
      <w:r w:rsidRPr="007606D3">
        <w:rPr>
          <w:rFonts w:ascii="Georgia" w:hAnsi="Georgia"/>
          <w:b/>
          <w:color w:val="000000" w:themeColor="text1"/>
        </w:rPr>
        <w:lastRenderedPageBreak/>
        <w:t>Paragraph 5</w:t>
      </w:r>
      <w:r w:rsidR="00517ECD" w:rsidRPr="007606D3">
        <w:rPr>
          <w:rFonts w:ascii="Georgia" w:hAnsi="Georgia"/>
          <w:b/>
          <w:color w:val="000000" w:themeColor="text1"/>
        </w:rPr>
        <w:t xml:space="preserve"> (Shreya Atrey)</w:t>
      </w:r>
    </w:p>
    <w:p w14:paraId="7FDF9D31" w14:textId="77777777" w:rsidR="000210DF" w:rsidRPr="007606D3" w:rsidRDefault="000210DF" w:rsidP="00714064">
      <w:pPr>
        <w:spacing w:line="276" w:lineRule="auto"/>
        <w:ind w:left="284"/>
        <w:jc w:val="both"/>
        <w:rPr>
          <w:rFonts w:ascii="Georgia" w:hAnsi="Georgia"/>
          <w:color w:val="000000" w:themeColor="text1"/>
        </w:rPr>
      </w:pPr>
    </w:p>
    <w:p w14:paraId="4E4588AB" w14:textId="391F467B" w:rsidR="000210DF" w:rsidRPr="007606D3" w:rsidRDefault="000210DF" w:rsidP="00714064">
      <w:pPr>
        <w:spacing w:line="276" w:lineRule="auto"/>
        <w:jc w:val="both"/>
        <w:rPr>
          <w:rFonts w:ascii="Georgia" w:hAnsi="Georgia"/>
          <w:color w:val="000000" w:themeColor="text1"/>
        </w:rPr>
      </w:pPr>
      <w:r w:rsidRPr="007606D3">
        <w:rPr>
          <w:rFonts w:ascii="Georgia" w:hAnsi="Georgia"/>
          <w:color w:val="000000" w:themeColor="text1"/>
        </w:rPr>
        <w:t xml:space="preserve">To guarantee not only the right to equality in respect of peaceful assembly, but also, importantly, an equal right of peaceful assembly. </w:t>
      </w:r>
    </w:p>
    <w:p w14:paraId="193DFB0B" w14:textId="77777777" w:rsidR="000210DF" w:rsidRPr="007606D3" w:rsidRDefault="000210DF" w:rsidP="00714064">
      <w:pPr>
        <w:spacing w:line="276" w:lineRule="auto"/>
        <w:jc w:val="both"/>
        <w:rPr>
          <w:rFonts w:ascii="Georgia" w:hAnsi="Georgia"/>
          <w:color w:val="000000" w:themeColor="text1"/>
        </w:rPr>
      </w:pPr>
    </w:p>
    <w:p w14:paraId="5C98D43F" w14:textId="409E7010" w:rsidR="000210DF" w:rsidRPr="007606D3" w:rsidRDefault="000210DF" w:rsidP="00714064">
      <w:pPr>
        <w:spacing w:line="276" w:lineRule="auto"/>
        <w:jc w:val="both"/>
        <w:rPr>
          <w:rFonts w:ascii="Georgia" w:hAnsi="Georgia"/>
          <w:color w:val="000000" w:themeColor="text1"/>
        </w:rPr>
      </w:pPr>
      <w:r w:rsidRPr="007606D3">
        <w:rPr>
          <w:rFonts w:ascii="Georgia" w:hAnsi="Georgia"/>
          <w:color w:val="000000" w:themeColor="text1"/>
        </w:rPr>
        <w:t xml:space="preserve">We propose the following text to replace draft paragraph 5: </w:t>
      </w:r>
    </w:p>
    <w:p w14:paraId="6E1363B4" w14:textId="77777777" w:rsidR="000210DF" w:rsidRPr="007606D3" w:rsidRDefault="000210DF" w:rsidP="00714064">
      <w:pPr>
        <w:spacing w:line="276" w:lineRule="auto"/>
        <w:jc w:val="both"/>
        <w:rPr>
          <w:rFonts w:ascii="Georgia" w:hAnsi="Georgia"/>
          <w:color w:val="000000" w:themeColor="text1"/>
        </w:rPr>
      </w:pPr>
    </w:p>
    <w:p w14:paraId="78E4E307" w14:textId="3C0A25E9" w:rsidR="000210DF" w:rsidRPr="007606D3" w:rsidRDefault="000210DF" w:rsidP="00714064">
      <w:pPr>
        <w:ind w:left="567" w:right="567"/>
        <w:jc w:val="both"/>
        <w:rPr>
          <w:rFonts w:ascii="Georgia" w:hAnsi="Georgia"/>
          <w:color w:val="000000" w:themeColor="text1"/>
        </w:rPr>
      </w:pPr>
      <w:r w:rsidRPr="007606D3">
        <w:rPr>
          <w:rFonts w:ascii="Georgia" w:hAnsi="Georgia"/>
          <w:color w:val="000000" w:themeColor="text1"/>
        </w:rPr>
        <w:t xml:space="preserve">5. </w:t>
      </w:r>
      <w:r w:rsidR="000F3484">
        <w:rPr>
          <w:rFonts w:ascii="Georgia" w:hAnsi="Georgia"/>
          <w:color w:val="000000" w:themeColor="text1"/>
        </w:rPr>
        <w:tab/>
      </w:r>
      <w:r w:rsidRPr="007606D3">
        <w:rPr>
          <w:rFonts w:ascii="Georgia" w:hAnsi="Georgia"/>
          <w:color w:val="000000" w:themeColor="text1"/>
        </w:rPr>
        <w:t xml:space="preserve">Everyone has an equal right of peaceful assembly. This means two things. First, the right is </w:t>
      </w:r>
      <w:r w:rsidRPr="007606D3">
        <w:rPr>
          <w:rFonts w:ascii="Georgia" w:hAnsi="Georgia"/>
          <w:i/>
          <w:color w:val="000000" w:themeColor="text1"/>
        </w:rPr>
        <w:t>equally guaranteed</w:t>
      </w:r>
      <w:r w:rsidRPr="007606D3">
        <w:rPr>
          <w:rFonts w:ascii="Georgia" w:hAnsi="Georgia"/>
          <w:color w:val="000000" w:themeColor="text1"/>
        </w:rPr>
        <w:t xml:space="preserve"> to all persons and without distinction on any ground such as race, colour, sex, language, religion, political or other opinion, national or social origin, property, birth or other status. This includes non-citizens, children, migrant workers, refugees, asylum seekers and stateless persons, who have a right of peaceful assembly without discrimination per article 26 of the International Covenant on Civil and Political Rights. Second, the right is </w:t>
      </w:r>
      <w:r w:rsidRPr="007606D3">
        <w:rPr>
          <w:rFonts w:ascii="Georgia" w:hAnsi="Georgia"/>
          <w:i/>
          <w:color w:val="000000" w:themeColor="text1"/>
        </w:rPr>
        <w:t>guaranteed equally</w:t>
      </w:r>
      <w:r w:rsidRPr="007606D3">
        <w:rPr>
          <w:rFonts w:ascii="Georgia" w:hAnsi="Georgia"/>
          <w:color w:val="000000" w:themeColor="text1"/>
        </w:rPr>
        <w:t xml:space="preserve"> to all persons, such that the exercise and enjoyment of the right is on an equal basis with others. Differential standards in the enjoyment of the right to peaceful assembly may be in breach of the State’s obligations under article 2(1) of the International Covenant on Civil and Political Rights. </w:t>
      </w:r>
    </w:p>
    <w:p w14:paraId="7FE68072" w14:textId="77777777" w:rsidR="000210DF" w:rsidRPr="007606D3" w:rsidRDefault="000210DF" w:rsidP="00714064">
      <w:pPr>
        <w:spacing w:line="276" w:lineRule="auto"/>
        <w:jc w:val="both"/>
        <w:rPr>
          <w:rFonts w:ascii="Georgia" w:hAnsi="Georgia"/>
          <w:color w:val="000000" w:themeColor="text1"/>
        </w:rPr>
      </w:pPr>
    </w:p>
    <w:p w14:paraId="48DA8DD3" w14:textId="2C35DA34" w:rsidR="000210DF" w:rsidRPr="007606D3" w:rsidRDefault="000210DF" w:rsidP="00714064">
      <w:pPr>
        <w:spacing w:line="276" w:lineRule="auto"/>
        <w:jc w:val="both"/>
        <w:rPr>
          <w:rFonts w:ascii="Georgia" w:hAnsi="Georgia"/>
          <w:b/>
          <w:color w:val="000000" w:themeColor="text1"/>
        </w:rPr>
      </w:pPr>
      <w:r w:rsidRPr="007606D3">
        <w:rPr>
          <w:rFonts w:ascii="Georgia" w:hAnsi="Georgia"/>
          <w:b/>
          <w:color w:val="000000" w:themeColor="text1"/>
        </w:rPr>
        <w:t>Justification</w:t>
      </w:r>
      <w:r w:rsidRPr="007606D3">
        <w:rPr>
          <w:rStyle w:val="FootnoteReference"/>
          <w:rFonts w:ascii="Georgia" w:hAnsi="Georgia"/>
          <w:b/>
          <w:color w:val="000000" w:themeColor="text1"/>
        </w:rPr>
        <w:footnoteReference w:id="2"/>
      </w:r>
      <w:r w:rsidRPr="007606D3">
        <w:rPr>
          <w:rFonts w:ascii="Georgia" w:hAnsi="Georgia"/>
          <w:b/>
          <w:color w:val="000000" w:themeColor="text1"/>
        </w:rPr>
        <w:t xml:space="preserve"> </w:t>
      </w:r>
    </w:p>
    <w:p w14:paraId="645D718D" w14:textId="77777777" w:rsidR="000210DF" w:rsidRPr="007606D3" w:rsidRDefault="000210DF" w:rsidP="00714064">
      <w:pPr>
        <w:spacing w:line="276" w:lineRule="auto"/>
        <w:ind w:left="284"/>
        <w:jc w:val="both"/>
        <w:rPr>
          <w:rFonts w:ascii="Georgia" w:hAnsi="Georgia"/>
          <w:color w:val="000000" w:themeColor="text1"/>
        </w:rPr>
      </w:pPr>
    </w:p>
    <w:p w14:paraId="037FAD99" w14:textId="20FEA71B" w:rsidR="000210DF" w:rsidRPr="007606D3" w:rsidRDefault="000210DF" w:rsidP="00714064">
      <w:pPr>
        <w:spacing w:line="276" w:lineRule="auto"/>
        <w:jc w:val="both"/>
        <w:rPr>
          <w:rFonts w:ascii="Georgia" w:hAnsi="Georgia"/>
          <w:color w:val="000000" w:themeColor="text1"/>
        </w:rPr>
      </w:pPr>
      <w:r w:rsidRPr="007606D3">
        <w:rPr>
          <w:rFonts w:ascii="Georgia" w:hAnsi="Georgia"/>
          <w:color w:val="000000" w:themeColor="text1"/>
        </w:rPr>
        <w:t>The current paragraph 5 of the Draft Comment does not recognise an equal right of peaceful assembly. It only recognises equality in respect of peaceful assembly as guaranteed to everyone without distinction. This covers prohibition of discrimination under article 26 of the ICCPR. It leaves out a significant aspect of equality under article 2(1) of the ICCPR. Article 2(1) obligates the State Parties ‘to respect and to ensure to all individuals within its territory and subject to its jurisdiction the rights recognized in the present Covenant’. This is an obligation to not only guarantee rights to everyone, but to do so equally. The emphasis on equal enjoyment of rights enjoins differential standards in access, implementation and enforcement of rights, including standards which may be justified as ‘separate but equal’. Recent examples of regulations segregating members of peaceful assemblies on the basis of nationality may thus potentially violate equality in both these terms, by discriminating on the basis of a prohibited status (citizenship or nationality) and also in the equal enjoyment of the right as others. The suggested text reinstates the full import of equality under the provisions of the ICCPR. It also clarifies the import of paragraph 28 of the Draft Comment which recognises that: ‘Particular efforts should be made to ensure equal and effective protection of the right of peaceful assembly of individuals who are members of groups who are or have been subjected to discrimination.’</w:t>
      </w:r>
    </w:p>
    <w:p w14:paraId="1CCA0496" w14:textId="77777777" w:rsidR="000210DF" w:rsidRPr="007606D3" w:rsidRDefault="000210DF" w:rsidP="00714064">
      <w:pPr>
        <w:spacing w:line="276" w:lineRule="auto"/>
        <w:jc w:val="both"/>
        <w:rPr>
          <w:rFonts w:ascii="Georgia" w:hAnsi="Georgia" w:cs="Times New Roman"/>
          <w:color w:val="000000" w:themeColor="text1"/>
        </w:rPr>
      </w:pPr>
    </w:p>
    <w:p w14:paraId="412F97F6" w14:textId="43332155" w:rsidR="000210DF" w:rsidRPr="007606D3" w:rsidRDefault="000210DF" w:rsidP="00714064">
      <w:pPr>
        <w:spacing w:line="276" w:lineRule="auto"/>
        <w:jc w:val="both"/>
        <w:rPr>
          <w:rFonts w:ascii="Georgia" w:hAnsi="Georgia" w:cs="Times New Roman"/>
          <w:b/>
          <w:bCs/>
          <w:color w:val="000000" w:themeColor="text1"/>
        </w:rPr>
      </w:pPr>
      <w:r w:rsidRPr="007606D3">
        <w:rPr>
          <w:rFonts w:ascii="Georgia" w:hAnsi="Georgia" w:cs="Times New Roman"/>
          <w:b/>
          <w:bCs/>
          <w:color w:val="000000" w:themeColor="text1"/>
        </w:rPr>
        <w:t>Paragraph 15</w:t>
      </w:r>
      <w:r w:rsidR="00517ECD" w:rsidRPr="007606D3">
        <w:rPr>
          <w:rFonts w:ascii="Georgia" w:hAnsi="Georgia" w:cs="Times New Roman"/>
          <w:b/>
          <w:bCs/>
          <w:color w:val="000000" w:themeColor="text1"/>
        </w:rPr>
        <w:t xml:space="preserve"> (Stefan Theil)</w:t>
      </w:r>
    </w:p>
    <w:p w14:paraId="733FF277" w14:textId="77777777" w:rsidR="000210DF" w:rsidRPr="007606D3" w:rsidRDefault="000210DF" w:rsidP="00714064">
      <w:pPr>
        <w:spacing w:line="276" w:lineRule="auto"/>
        <w:jc w:val="both"/>
        <w:rPr>
          <w:rFonts w:ascii="Georgia" w:hAnsi="Georgia" w:cs="Times New Roman"/>
          <w:color w:val="000000" w:themeColor="text1"/>
        </w:rPr>
      </w:pPr>
    </w:p>
    <w:p w14:paraId="59E59F51" w14:textId="7E2B7E3B" w:rsidR="000210DF" w:rsidRPr="007606D3" w:rsidRDefault="004A6E1D" w:rsidP="00714064">
      <w:pPr>
        <w:spacing w:line="276" w:lineRule="auto"/>
        <w:jc w:val="both"/>
        <w:rPr>
          <w:rFonts w:ascii="Georgia" w:hAnsi="Georgia" w:cs="Times New Roman"/>
          <w:color w:val="000000" w:themeColor="text1"/>
        </w:rPr>
      </w:pPr>
      <w:r w:rsidRPr="007606D3">
        <w:rPr>
          <w:rFonts w:ascii="Georgia" w:hAnsi="Georgia" w:cs="Times New Roman"/>
          <w:color w:val="000000" w:themeColor="text1"/>
        </w:rPr>
        <w:t xml:space="preserve">We doubt whether the rules that delimit and protect physical assemblies apply equally to online assemblies given the distinctive features and risks associated with physical assemblies. Crucially, there are no equivalent threats to the enumerated public interests that would justify comparable restrictions. </w:t>
      </w:r>
      <w:r w:rsidR="00AC36CE" w:rsidRPr="007606D3">
        <w:rPr>
          <w:rFonts w:ascii="Georgia" w:hAnsi="Georgia" w:cs="Times New Roman"/>
          <w:color w:val="000000" w:themeColor="text1"/>
        </w:rPr>
        <w:t>With respect to online conduct, Article 21 ICCPR</w:t>
      </w:r>
      <w:r w:rsidRPr="007606D3">
        <w:rPr>
          <w:rFonts w:ascii="Georgia" w:hAnsi="Georgia" w:cs="Times New Roman"/>
          <w:color w:val="000000" w:themeColor="text1"/>
        </w:rPr>
        <w:t xml:space="preserve"> therefore</w:t>
      </w:r>
      <w:r w:rsidR="00AC36CE" w:rsidRPr="007606D3">
        <w:rPr>
          <w:rFonts w:ascii="Georgia" w:hAnsi="Georgia" w:cs="Times New Roman"/>
          <w:color w:val="000000" w:themeColor="text1"/>
        </w:rPr>
        <w:t xml:space="preserve"> </w:t>
      </w:r>
      <w:r w:rsidRPr="007606D3">
        <w:rPr>
          <w:rFonts w:ascii="Georgia" w:hAnsi="Georgia" w:cs="Times New Roman"/>
          <w:color w:val="000000" w:themeColor="text1"/>
        </w:rPr>
        <w:t>generally operates</w:t>
      </w:r>
      <w:r w:rsidR="00AC36CE" w:rsidRPr="007606D3">
        <w:rPr>
          <w:rFonts w:ascii="Georgia" w:hAnsi="Georgia" w:cs="Times New Roman"/>
          <w:color w:val="000000" w:themeColor="text1"/>
        </w:rPr>
        <w:t xml:space="preserve"> as lex generalis to the more specific protections available under Articles 19 and 22 ICCPR.</w:t>
      </w:r>
    </w:p>
    <w:p w14:paraId="45BD45E3" w14:textId="77777777" w:rsidR="000210DF" w:rsidRPr="007606D3" w:rsidRDefault="000210DF" w:rsidP="00714064">
      <w:pPr>
        <w:spacing w:line="276" w:lineRule="auto"/>
        <w:jc w:val="both"/>
        <w:rPr>
          <w:rFonts w:ascii="Georgia" w:hAnsi="Georgia" w:cs="Times New Roman"/>
          <w:color w:val="000000" w:themeColor="text1"/>
        </w:rPr>
      </w:pPr>
    </w:p>
    <w:p w14:paraId="591DD64B" w14:textId="7745A44E" w:rsidR="000210DF" w:rsidRPr="007606D3" w:rsidRDefault="000210DF" w:rsidP="00714064">
      <w:pPr>
        <w:spacing w:line="276" w:lineRule="auto"/>
        <w:jc w:val="both"/>
        <w:rPr>
          <w:rFonts w:ascii="Georgia" w:hAnsi="Georgia" w:cs="Times New Roman"/>
          <w:color w:val="000000" w:themeColor="text1"/>
        </w:rPr>
      </w:pPr>
      <w:r w:rsidRPr="007606D3">
        <w:rPr>
          <w:rFonts w:ascii="Georgia" w:hAnsi="Georgia" w:cs="Times New Roman"/>
          <w:color w:val="000000" w:themeColor="text1"/>
        </w:rPr>
        <w:t xml:space="preserve">We propose the following text to replace the above draft sentence in paragraph 15:  </w:t>
      </w:r>
    </w:p>
    <w:p w14:paraId="2969240E" w14:textId="77777777" w:rsidR="000210DF" w:rsidRPr="007606D3" w:rsidRDefault="000210DF" w:rsidP="00714064">
      <w:pPr>
        <w:spacing w:line="276" w:lineRule="auto"/>
        <w:jc w:val="both"/>
        <w:rPr>
          <w:rFonts w:ascii="Georgia" w:hAnsi="Georgia" w:cs="Times New Roman"/>
          <w:i/>
          <w:color w:val="000000" w:themeColor="text1"/>
        </w:rPr>
      </w:pPr>
    </w:p>
    <w:p w14:paraId="68B2DC5A" w14:textId="09FAF901" w:rsidR="000210DF" w:rsidRPr="007606D3" w:rsidRDefault="000210DF" w:rsidP="00714064">
      <w:pPr>
        <w:ind w:left="720"/>
        <w:jc w:val="both"/>
        <w:rPr>
          <w:rFonts w:ascii="Georgia" w:hAnsi="Georgia" w:cs="Times New Roman"/>
          <w:i/>
          <w:color w:val="000000" w:themeColor="text1"/>
        </w:rPr>
      </w:pPr>
      <w:r w:rsidRPr="007606D3">
        <w:rPr>
          <w:rFonts w:ascii="Georgia" w:hAnsi="Georgia" w:cs="Times New Roman"/>
          <w:i/>
          <w:color w:val="000000" w:themeColor="text1"/>
        </w:rPr>
        <w:t>Whether purely online conduct not associated with a physical assembly is covered by Article 21 ICCPR is unclear. Online ‘assemblies’ lack many of the distinctive features and risks that justify restrictions placed on physical assemblies: most online conduct consists primarily of individual expression and association with groups, and often lacks the concurrent temporal and physical manifestation of a common purpose. Crucially, online ‘assemblies’ cannot be violent (in the sense of physical violence against people and property damage) and there are no equivalent threats to the enumerated public interests that would justify</w:t>
      </w:r>
      <w:r w:rsidR="004A6E1D" w:rsidRPr="007606D3">
        <w:rPr>
          <w:rFonts w:ascii="Georgia" w:hAnsi="Georgia" w:cs="Times New Roman"/>
          <w:i/>
          <w:color w:val="000000" w:themeColor="text1"/>
        </w:rPr>
        <w:t xml:space="preserve"> comparable</w:t>
      </w:r>
      <w:r w:rsidRPr="007606D3">
        <w:rPr>
          <w:rFonts w:ascii="Georgia" w:hAnsi="Georgia" w:cs="Times New Roman"/>
          <w:i/>
          <w:color w:val="000000" w:themeColor="text1"/>
        </w:rPr>
        <w:t xml:space="preserve"> restrictions, for instance on time, manner and place.</w:t>
      </w:r>
      <w:r w:rsidRPr="007606D3">
        <w:rPr>
          <w:rStyle w:val="FootnoteReference"/>
          <w:rFonts w:ascii="Georgia" w:hAnsi="Georgia" w:cs="Times New Roman"/>
          <w:i/>
          <w:color w:val="000000" w:themeColor="text1"/>
        </w:rPr>
        <w:footnoteReference w:id="3"/>
      </w:r>
      <w:r w:rsidRPr="007606D3">
        <w:rPr>
          <w:rFonts w:ascii="Georgia" w:hAnsi="Georgia" w:cs="Times New Roman"/>
          <w:i/>
          <w:color w:val="000000" w:themeColor="text1"/>
        </w:rPr>
        <w:t xml:space="preserve"> </w:t>
      </w:r>
      <w:r w:rsidR="004A6E1D" w:rsidRPr="007606D3">
        <w:rPr>
          <w:rFonts w:ascii="Georgia" w:hAnsi="Georgia" w:cs="Times New Roman"/>
          <w:i/>
          <w:color w:val="000000" w:themeColor="text1"/>
        </w:rPr>
        <w:t>Therefore, w</w:t>
      </w:r>
      <w:r w:rsidRPr="007606D3">
        <w:rPr>
          <w:rFonts w:ascii="Georgia" w:hAnsi="Georgia" w:cs="Times New Roman"/>
          <w:i/>
          <w:color w:val="000000" w:themeColor="text1"/>
        </w:rPr>
        <w:t xml:space="preserve">ith respect to </w:t>
      </w:r>
      <w:r w:rsidR="004A6E1D" w:rsidRPr="007606D3">
        <w:rPr>
          <w:rFonts w:ascii="Georgia" w:hAnsi="Georgia" w:cs="Times New Roman"/>
          <w:i/>
          <w:color w:val="000000" w:themeColor="text1"/>
        </w:rPr>
        <w:t xml:space="preserve">the primarily expressive online conduct, </w:t>
      </w:r>
      <w:r w:rsidRPr="007606D3">
        <w:rPr>
          <w:rFonts w:ascii="Georgia" w:hAnsi="Georgia" w:cs="Times New Roman"/>
          <w:i/>
          <w:color w:val="000000" w:themeColor="text1"/>
        </w:rPr>
        <w:t>Article 21 generally operates as lex generalis to the specialised protections under Articles 19 and 22 ICCPR.</w:t>
      </w:r>
      <w:r w:rsidRPr="007606D3">
        <w:rPr>
          <w:rStyle w:val="FootnoteReference"/>
          <w:rFonts w:ascii="Georgia" w:hAnsi="Georgia" w:cs="Times New Roman"/>
          <w:i/>
          <w:color w:val="000000" w:themeColor="text1"/>
        </w:rPr>
        <w:footnoteReference w:id="4"/>
      </w:r>
    </w:p>
    <w:p w14:paraId="30BC521F" w14:textId="77777777" w:rsidR="000210DF" w:rsidRPr="007606D3" w:rsidRDefault="000210DF" w:rsidP="00714064">
      <w:pPr>
        <w:tabs>
          <w:tab w:val="left" w:pos="1890"/>
        </w:tabs>
        <w:spacing w:line="276" w:lineRule="auto"/>
        <w:rPr>
          <w:rFonts w:ascii="Georgia" w:hAnsi="Georgia" w:cs="Times New Roman"/>
          <w:color w:val="000000" w:themeColor="text1"/>
        </w:rPr>
      </w:pPr>
    </w:p>
    <w:p w14:paraId="43A7388B" w14:textId="77777777" w:rsidR="000210DF" w:rsidRPr="007606D3" w:rsidRDefault="000210DF" w:rsidP="00714064">
      <w:pPr>
        <w:tabs>
          <w:tab w:val="left" w:pos="1890"/>
        </w:tabs>
        <w:spacing w:line="276" w:lineRule="auto"/>
        <w:jc w:val="both"/>
        <w:rPr>
          <w:rFonts w:ascii="Georgia" w:hAnsi="Georgia" w:cs="Times New Roman"/>
          <w:b/>
          <w:bCs/>
          <w:color w:val="000000" w:themeColor="text1"/>
        </w:rPr>
      </w:pPr>
      <w:r w:rsidRPr="007606D3">
        <w:rPr>
          <w:rFonts w:ascii="Georgia" w:hAnsi="Georgia" w:cs="Times New Roman"/>
          <w:b/>
          <w:bCs/>
          <w:color w:val="000000" w:themeColor="text1"/>
        </w:rPr>
        <w:t>Justification</w:t>
      </w:r>
    </w:p>
    <w:p w14:paraId="26AB83C5" w14:textId="77777777" w:rsidR="000210DF" w:rsidRPr="007606D3" w:rsidRDefault="000210DF" w:rsidP="00714064">
      <w:pPr>
        <w:spacing w:line="276" w:lineRule="auto"/>
        <w:jc w:val="both"/>
        <w:rPr>
          <w:rFonts w:ascii="Georgia" w:hAnsi="Georgia" w:cs="Times New Roman"/>
          <w:color w:val="000000" w:themeColor="text1"/>
        </w:rPr>
      </w:pPr>
    </w:p>
    <w:p w14:paraId="0130F8B4" w14:textId="419906ED" w:rsidR="000210DF" w:rsidRPr="007606D3" w:rsidRDefault="000210DF" w:rsidP="00714064">
      <w:pPr>
        <w:spacing w:line="276" w:lineRule="auto"/>
        <w:jc w:val="both"/>
        <w:rPr>
          <w:rFonts w:ascii="Georgia" w:hAnsi="Georgia" w:cs="Times New Roman"/>
          <w:color w:val="000000" w:themeColor="text1"/>
        </w:rPr>
      </w:pPr>
      <w:r w:rsidRPr="007606D3">
        <w:rPr>
          <w:rFonts w:ascii="Georgia" w:hAnsi="Georgia" w:cs="Times New Roman"/>
          <w:color w:val="000000" w:themeColor="text1"/>
        </w:rPr>
        <w:t>The General Comment should be cautious to accept that Article 21 ICCPR applies to purely online ‘assemblies’ without further critical reflection. Online ‘assemblies’ often consist of individual exercises of freedom of expression and association, with varying, as well as temporally and physically disconnected participants and audiences. This raises concerns over whether the common expressive purpose and associative element required can readily arise in online environments.</w:t>
      </w:r>
      <w:r w:rsidRPr="007606D3">
        <w:rPr>
          <w:rStyle w:val="FootnoteReference"/>
          <w:rFonts w:ascii="Georgia" w:hAnsi="Georgia" w:cs="Times New Roman"/>
          <w:color w:val="000000" w:themeColor="text1"/>
        </w:rPr>
        <w:footnoteReference w:id="5"/>
      </w:r>
    </w:p>
    <w:p w14:paraId="1FAD8EE9" w14:textId="77777777" w:rsidR="00517ECD" w:rsidRPr="007606D3" w:rsidRDefault="00517ECD" w:rsidP="00714064">
      <w:pPr>
        <w:spacing w:line="276" w:lineRule="auto"/>
        <w:jc w:val="both"/>
        <w:rPr>
          <w:rFonts w:ascii="Georgia" w:hAnsi="Georgia" w:cs="Times New Roman"/>
          <w:color w:val="000000" w:themeColor="text1"/>
        </w:rPr>
      </w:pPr>
    </w:p>
    <w:p w14:paraId="4EC1BA73" w14:textId="3FB1B65B" w:rsidR="000210DF" w:rsidRPr="007606D3" w:rsidRDefault="000210DF" w:rsidP="00714064">
      <w:pPr>
        <w:spacing w:line="276" w:lineRule="auto"/>
        <w:jc w:val="both"/>
        <w:rPr>
          <w:rFonts w:ascii="Georgia" w:hAnsi="Georgia" w:cs="Times New Roman"/>
          <w:color w:val="000000" w:themeColor="text1"/>
        </w:rPr>
      </w:pPr>
      <w:r w:rsidRPr="007606D3">
        <w:rPr>
          <w:rFonts w:ascii="Georgia" w:hAnsi="Georgia" w:cs="Times New Roman"/>
          <w:color w:val="000000" w:themeColor="text1"/>
        </w:rPr>
        <w:t>Even if online ‘assemblies’ are protected, the legitimate restrictions of Article 21 ICCPR appear too broad. These are based on threat scenarios that often have no sensible online equivalent. For instance, online ‘assemblies’ are not capable of being violent (in the sense of physical violence and serious damage to property) and due to an absence of a physical and temporally constant manifestation do not threaten national security, public safety, order, health and morals, or the rights and freedoms of others in a comparable manner. There is accordingly little justification for restricting the time, manner and place of an online ‘assembly’.</w:t>
      </w:r>
      <w:r w:rsidRPr="007606D3">
        <w:rPr>
          <w:rStyle w:val="FootnoteReference"/>
          <w:rFonts w:ascii="Georgia" w:hAnsi="Georgia" w:cs="Times New Roman"/>
          <w:color w:val="000000" w:themeColor="text1"/>
        </w:rPr>
        <w:footnoteReference w:id="6"/>
      </w:r>
      <w:r w:rsidRPr="007606D3">
        <w:rPr>
          <w:rFonts w:ascii="Georgia" w:hAnsi="Georgia" w:cs="Times New Roman"/>
          <w:color w:val="000000" w:themeColor="text1"/>
        </w:rPr>
        <w:t xml:space="preserve"> </w:t>
      </w:r>
    </w:p>
    <w:p w14:paraId="0416CAF5" w14:textId="77777777" w:rsidR="00517ECD" w:rsidRPr="007606D3" w:rsidRDefault="00517ECD" w:rsidP="00714064">
      <w:pPr>
        <w:spacing w:line="276" w:lineRule="auto"/>
        <w:jc w:val="both"/>
        <w:rPr>
          <w:rFonts w:ascii="Georgia" w:hAnsi="Georgia" w:cs="Times New Roman"/>
          <w:color w:val="000000" w:themeColor="text1"/>
        </w:rPr>
      </w:pPr>
    </w:p>
    <w:p w14:paraId="3C9C451D" w14:textId="3899F255" w:rsidR="000F00D3" w:rsidRPr="007606D3" w:rsidRDefault="000210DF" w:rsidP="00714064">
      <w:pPr>
        <w:spacing w:line="276" w:lineRule="auto"/>
        <w:jc w:val="both"/>
        <w:rPr>
          <w:rFonts w:ascii="Georgia" w:hAnsi="Georgia"/>
          <w:color w:val="000000" w:themeColor="text1"/>
          <w:sz w:val="22"/>
          <w:szCs w:val="22"/>
        </w:rPr>
      </w:pPr>
      <w:r w:rsidRPr="007606D3">
        <w:rPr>
          <w:rFonts w:ascii="Georgia" w:hAnsi="Georgia" w:cs="Times New Roman"/>
          <w:color w:val="000000" w:themeColor="text1"/>
        </w:rPr>
        <w:t xml:space="preserve">Therefore, we propose that the right to peaceful assembly should be treated as </w:t>
      </w:r>
      <w:r w:rsidRPr="007606D3">
        <w:rPr>
          <w:rFonts w:ascii="Georgia" w:hAnsi="Georgia" w:cs="Times New Roman"/>
          <w:i/>
          <w:color w:val="000000" w:themeColor="text1"/>
        </w:rPr>
        <w:t>lex generalis</w:t>
      </w:r>
      <w:r w:rsidRPr="007606D3">
        <w:rPr>
          <w:rFonts w:ascii="Georgia" w:hAnsi="Georgia" w:cs="Times New Roman"/>
          <w:color w:val="000000" w:themeColor="text1"/>
        </w:rPr>
        <w:t xml:space="preserve"> to the more specific protections under Articles 19 and 22 ICCPR. </w:t>
      </w:r>
      <w:r w:rsidR="00206E79" w:rsidRPr="007606D3">
        <w:rPr>
          <w:rFonts w:ascii="Georgia" w:hAnsi="Georgia" w:cs="Times New Roman"/>
        </w:rPr>
        <w:t xml:space="preserve">This </w:t>
      </w:r>
      <w:r w:rsidR="00206E79" w:rsidRPr="007606D3">
        <w:rPr>
          <w:rFonts w:ascii="Georgia" w:hAnsi="Georgia" w:cs="Times New Roman"/>
        </w:rPr>
        <w:lastRenderedPageBreak/>
        <w:t>approach has its basis in the doctrine of the European Court of Human Rights, which gives preference to Article 10 ECHR where measures are primarily directed against expression, the collective element required for a peaceful assembly is less salient, or where the gathering is not significant enough to warrant the more extensive restrictive measures permissible for assemblies</w:t>
      </w:r>
      <w:r w:rsidRPr="007606D3">
        <w:rPr>
          <w:rFonts w:ascii="Georgia" w:hAnsi="Georgia" w:cs="Times New Roman"/>
          <w:color w:val="000000" w:themeColor="text1"/>
        </w:rPr>
        <w:t>.</w:t>
      </w:r>
      <w:r w:rsidRPr="007606D3">
        <w:rPr>
          <w:rStyle w:val="FootnoteReference"/>
          <w:rFonts w:ascii="Georgia" w:hAnsi="Georgia" w:cs="Times New Roman"/>
          <w:color w:val="000000" w:themeColor="text1"/>
        </w:rPr>
        <w:footnoteReference w:id="7"/>
      </w:r>
      <w:r w:rsidRPr="007606D3">
        <w:rPr>
          <w:rFonts w:ascii="Georgia" w:hAnsi="Georgia" w:cs="Times New Roman"/>
          <w:color w:val="000000" w:themeColor="text1"/>
        </w:rPr>
        <w:t xml:space="preserve"> </w:t>
      </w:r>
      <w:r w:rsidR="00206E79" w:rsidRPr="007606D3">
        <w:rPr>
          <w:rFonts w:ascii="Georgia" w:hAnsi="Georgia" w:cs="Times New Roman"/>
        </w:rPr>
        <w:t>Article 21 therefore only applies to cases where freedom of expression and association do not adequately protect the online conduct in question.</w:t>
      </w:r>
    </w:p>
    <w:p w14:paraId="52143D3B" w14:textId="77777777" w:rsidR="000F00D3" w:rsidRPr="007606D3" w:rsidRDefault="000F00D3" w:rsidP="00714064">
      <w:pPr>
        <w:spacing w:line="276" w:lineRule="auto"/>
        <w:jc w:val="both"/>
        <w:rPr>
          <w:rFonts w:ascii="Georgia" w:hAnsi="Georgia"/>
          <w:b/>
          <w:color w:val="000000" w:themeColor="text1"/>
        </w:rPr>
      </w:pPr>
    </w:p>
    <w:p w14:paraId="6D7DD626" w14:textId="77777777" w:rsidR="000F00D3" w:rsidRPr="007606D3" w:rsidRDefault="000F00D3" w:rsidP="00714064">
      <w:pPr>
        <w:spacing w:line="276" w:lineRule="auto"/>
        <w:jc w:val="both"/>
        <w:rPr>
          <w:rFonts w:ascii="Georgia" w:hAnsi="Georgia"/>
          <w:b/>
          <w:color w:val="000000" w:themeColor="text1"/>
        </w:rPr>
      </w:pPr>
      <w:r w:rsidRPr="007606D3">
        <w:rPr>
          <w:rFonts w:ascii="Georgia" w:hAnsi="Georgia"/>
          <w:b/>
          <w:color w:val="000000" w:themeColor="text1"/>
        </w:rPr>
        <w:t>Paragraph 16 (Gehan Gunatilleke)</w:t>
      </w:r>
    </w:p>
    <w:p w14:paraId="0F8D6838" w14:textId="77777777" w:rsidR="000F00D3" w:rsidRPr="007606D3" w:rsidRDefault="000F00D3" w:rsidP="00714064">
      <w:pPr>
        <w:spacing w:line="276" w:lineRule="auto"/>
        <w:ind w:left="284"/>
        <w:jc w:val="both"/>
        <w:rPr>
          <w:rFonts w:ascii="Georgia" w:hAnsi="Georgia"/>
          <w:color w:val="000000" w:themeColor="text1"/>
        </w:rPr>
      </w:pPr>
    </w:p>
    <w:p w14:paraId="3EE3DBEC" w14:textId="77777777" w:rsidR="000F00D3" w:rsidRPr="007606D3" w:rsidRDefault="000F00D3" w:rsidP="00714064">
      <w:pPr>
        <w:spacing w:line="276" w:lineRule="auto"/>
        <w:jc w:val="both"/>
        <w:rPr>
          <w:rFonts w:ascii="Georgia" w:hAnsi="Georgia"/>
          <w:color w:val="000000" w:themeColor="text1"/>
        </w:rPr>
      </w:pPr>
      <w:r w:rsidRPr="007606D3">
        <w:rPr>
          <w:rFonts w:ascii="Georgia" w:hAnsi="Georgia"/>
          <w:color w:val="000000" w:themeColor="text1"/>
        </w:rPr>
        <w:t>Peaceful assemblies are often organized well in advance, allowing enough time for the organisers to notify the authorities to make the necessary preparations. However, spontaneous assemblies, as direct responses to current events that do not allow enough time to provide such notification, whether coordinated or not, are also protected by article 21. Counter-assemblies occur when one peaceful assembly takes place to express opposition to another peaceful assembly. Both of these assemblies fall within the scope of the protection of article 21.</w:t>
      </w:r>
    </w:p>
    <w:p w14:paraId="4678D3B0" w14:textId="77777777" w:rsidR="000F00D3" w:rsidRPr="007606D3" w:rsidRDefault="000F00D3" w:rsidP="00714064">
      <w:pPr>
        <w:spacing w:line="276" w:lineRule="auto"/>
        <w:jc w:val="both"/>
        <w:rPr>
          <w:rFonts w:ascii="Georgia" w:hAnsi="Georgia"/>
          <w:color w:val="000000" w:themeColor="text1"/>
        </w:rPr>
      </w:pPr>
    </w:p>
    <w:p w14:paraId="245DD072" w14:textId="77777777" w:rsidR="000F00D3" w:rsidRPr="007606D3" w:rsidRDefault="000F00D3" w:rsidP="00714064">
      <w:pPr>
        <w:spacing w:line="276" w:lineRule="auto"/>
        <w:jc w:val="both"/>
        <w:rPr>
          <w:rFonts w:ascii="Georgia" w:hAnsi="Georgia"/>
          <w:color w:val="000000" w:themeColor="text1"/>
        </w:rPr>
      </w:pPr>
      <w:r w:rsidRPr="007606D3">
        <w:rPr>
          <w:rFonts w:ascii="Georgia" w:hAnsi="Georgia"/>
          <w:color w:val="000000" w:themeColor="text1"/>
        </w:rPr>
        <w:t xml:space="preserve">We propose the following text to replace draft paragraph 16 (specific revisions and additions are italicised): </w:t>
      </w:r>
    </w:p>
    <w:p w14:paraId="3E126029" w14:textId="77777777" w:rsidR="000F00D3" w:rsidRPr="007606D3" w:rsidRDefault="000F00D3" w:rsidP="00714064">
      <w:pPr>
        <w:spacing w:line="276" w:lineRule="auto"/>
        <w:jc w:val="both"/>
        <w:rPr>
          <w:rFonts w:ascii="Georgia" w:hAnsi="Georgia"/>
          <w:color w:val="000000" w:themeColor="text1"/>
          <w:sz w:val="22"/>
          <w:szCs w:val="22"/>
        </w:rPr>
      </w:pPr>
    </w:p>
    <w:p w14:paraId="61FFC7F4" w14:textId="259764FE" w:rsidR="000F00D3" w:rsidRPr="007606D3" w:rsidRDefault="000F00D3" w:rsidP="00714064">
      <w:pPr>
        <w:ind w:left="567" w:right="567"/>
        <w:jc w:val="both"/>
        <w:rPr>
          <w:rFonts w:ascii="Georgia" w:hAnsi="Georgia"/>
          <w:i/>
          <w:iCs/>
          <w:color w:val="000000" w:themeColor="text1"/>
        </w:rPr>
      </w:pPr>
      <w:r w:rsidRPr="007606D3">
        <w:rPr>
          <w:rFonts w:ascii="Georgia" w:hAnsi="Georgia"/>
          <w:color w:val="000000" w:themeColor="text1"/>
        </w:rPr>
        <w:t>16.</w:t>
      </w:r>
      <w:r w:rsidR="000F3484">
        <w:rPr>
          <w:rFonts w:ascii="Georgia" w:hAnsi="Georgia"/>
          <w:color w:val="000000" w:themeColor="text1"/>
        </w:rPr>
        <w:tab/>
      </w:r>
      <w:r w:rsidRPr="007606D3">
        <w:rPr>
          <w:rFonts w:ascii="Georgia" w:hAnsi="Georgia"/>
          <w:color w:val="000000" w:themeColor="text1"/>
        </w:rPr>
        <w:t xml:space="preserve">Peaceful assemblies are often organized well in advance, allowing enough time for the organisers to notify the authorities to make the necessary preparations. However, spontaneous assemblies </w:t>
      </w:r>
      <w:r w:rsidRPr="007606D3">
        <w:rPr>
          <w:rFonts w:ascii="Georgia" w:hAnsi="Georgia"/>
          <w:i/>
          <w:iCs/>
          <w:color w:val="000000" w:themeColor="text1"/>
        </w:rPr>
        <w:t>that do not involve such prior notification</w:t>
      </w:r>
      <w:r w:rsidRPr="007606D3">
        <w:rPr>
          <w:rFonts w:ascii="Georgia" w:hAnsi="Georgia"/>
          <w:color w:val="000000" w:themeColor="text1"/>
        </w:rPr>
        <w:t xml:space="preserve">, whether coordinated or not, are also </w:t>
      </w:r>
      <w:r w:rsidRPr="007606D3">
        <w:rPr>
          <w:rFonts w:ascii="Georgia" w:hAnsi="Georgia"/>
          <w:color w:val="000000" w:themeColor="text1"/>
        </w:rPr>
        <w:lastRenderedPageBreak/>
        <w:t xml:space="preserve">protected by article 21. Counter-assemblies occur when one peaceful assembly takes place to express opposition to another peaceful assembly. Both of these assemblies fall within the scope of the protection of article 21. </w:t>
      </w:r>
      <w:r w:rsidRPr="007606D3">
        <w:rPr>
          <w:rFonts w:ascii="Georgia" w:hAnsi="Georgia"/>
          <w:i/>
          <w:iCs/>
          <w:color w:val="000000" w:themeColor="text1"/>
        </w:rPr>
        <w:t>The right to choose a public site to conduct peaceful assemblies is protected by article 21. Any official designation of a specific public site to conduct peaceful assemblies, to the exclusion of other public sites, shall constitute a restriction on the right of peaceful assembly, and must be justified in terms of article 21.</w:t>
      </w:r>
    </w:p>
    <w:p w14:paraId="2CA6CB49" w14:textId="77777777" w:rsidR="000F00D3" w:rsidRPr="007606D3" w:rsidRDefault="000F00D3" w:rsidP="00714064">
      <w:pPr>
        <w:spacing w:line="276" w:lineRule="auto"/>
        <w:jc w:val="both"/>
        <w:rPr>
          <w:rFonts w:ascii="Georgia" w:hAnsi="Georgia"/>
          <w:i/>
          <w:iCs/>
          <w:color w:val="000000" w:themeColor="text1"/>
        </w:rPr>
      </w:pPr>
    </w:p>
    <w:p w14:paraId="15D17BB9" w14:textId="5120D039" w:rsidR="000F00D3" w:rsidRPr="007606D3" w:rsidRDefault="000F00D3" w:rsidP="00714064">
      <w:pPr>
        <w:tabs>
          <w:tab w:val="left" w:pos="1890"/>
        </w:tabs>
        <w:spacing w:line="276" w:lineRule="auto"/>
        <w:jc w:val="both"/>
        <w:rPr>
          <w:rFonts w:ascii="Georgia" w:hAnsi="Georgia" w:cs="Times New Roman"/>
          <w:b/>
          <w:bCs/>
          <w:color w:val="000000" w:themeColor="text1"/>
        </w:rPr>
      </w:pPr>
      <w:r w:rsidRPr="007606D3">
        <w:rPr>
          <w:rFonts w:ascii="Georgia" w:hAnsi="Georgia" w:cs="Times New Roman"/>
          <w:b/>
          <w:bCs/>
          <w:color w:val="000000" w:themeColor="text1"/>
        </w:rPr>
        <w:t>Justification</w:t>
      </w:r>
    </w:p>
    <w:p w14:paraId="208437A2" w14:textId="77777777" w:rsidR="000F00D3" w:rsidRPr="007606D3" w:rsidRDefault="000F00D3" w:rsidP="00714064">
      <w:pPr>
        <w:spacing w:line="276" w:lineRule="auto"/>
        <w:jc w:val="both"/>
        <w:rPr>
          <w:rFonts w:ascii="Georgia" w:hAnsi="Georgia"/>
          <w:color w:val="000000" w:themeColor="text1"/>
        </w:rPr>
      </w:pPr>
    </w:p>
    <w:p w14:paraId="0B570A03" w14:textId="77777777" w:rsidR="000F00D3" w:rsidRPr="007606D3" w:rsidRDefault="000F00D3" w:rsidP="00714064">
      <w:pPr>
        <w:spacing w:line="276" w:lineRule="auto"/>
        <w:jc w:val="both"/>
        <w:rPr>
          <w:rFonts w:ascii="Georgia" w:hAnsi="Georgia"/>
          <w:color w:val="000000" w:themeColor="text1"/>
        </w:rPr>
      </w:pPr>
      <w:r w:rsidRPr="007606D3">
        <w:rPr>
          <w:rFonts w:ascii="Georgia" w:hAnsi="Georgia"/>
          <w:color w:val="000000" w:themeColor="text1"/>
        </w:rPr>
        <w:t>It is important not to limit the scope of article 21 to situations where a spontaneous peaceful assembly is responding to ‘current events’. On occasion, organisers of peaceful assemblies may tactically choose not to inform the authorities of a peaceful assembly, particularly where the state has previously been hostile to such peaceful assemblies, or where state-sponsored counter assemblies (often violent) are organised when prior notice is given. The same concern applies to the selection of a public site to conduct a peaceful assembly. On occasion, the organisers need to be able to select a public site without prior notification.</w:t>
      </w:r>
    </w:p>
    <w:p w14:paraId="2527C57F" w14:textId="77777777" w:rsidR="000F00D3" w:rsidRPr="007606D3" w:rsidRDefault="000F00D3" w:rsidP="00714064">
      <w:pPr>
        <w:spacing w:line="276" w:lineRule="auto"/>
        <w:jc w:val="both"/>
        <w:rPr>
          <w:rFonts w:ascii="Georgia" w:hAnsi="Georgia"/>
          <w:color w:val="000000" w:themeColor="text1"/>
        </w:rPr>
      </w:pPr>
    </w:p>
    <w:p w14:paraId="01D059A7" w14:textId="77777777" w:rsidR="000F00D3" w:rsidRPr="007606D3" w:rsidRDefault="000F00D3" w:rsidP="00714064">
      <w:pPr>
        <w:spacing w:line="276" w:lineRule="auto"/>
        <w:jc w:val="both"/>
        <w:rPr>
          <w:rFonts w:ascii="Georgia" w:hAnsi="Georgia"/>
          <w:b/>
          <w:color w:val="000000" w:themeColor="text1"/>
        </w:rPr>
      </w:pPr>
      <w:r w:rsidRPr="007606D3">
        <w:rPr>
          <w:rFonts w:ascii="Georgia" w:hAnsi="Georgia"/>
          <w:b/>
          <w:color w:val="000000" w:themeColor="text1"/>
        </w:rPr>
        <w:t>Paragraph 27 (Gehan Gunatilleke)</w:t>
      </w:r>
    </w:p>
    <w:p w14:paraId="310C1E35" w14:textId="77777777" w:rsidR="000F00D3" w:rsidRPr="007606D3" w:rsidRDefault="000F00D3" w:rsidP="00714064">
      <w:pPr>
        <w:spacing w:line="276" w:lineRule="auto"/>
        <w:jc w:val="both"/>
        <w:rPr>
          <w:rFonts w:ascii="Georgia" w:hAnsi="Georgia"/>
          <w:color w:val="000000" w:themeColor="text1"/>
          <w:sz w:val="22"/>
          <w:szCs w:val="22"/>
        </w:rPr>
      </w:pPr>
    </w:p>
    <w:p w14:paraId="38EF961F" w14:textId="77777777" w:rsidR="000F00D3" w:rsidRPr="007606D3" w:rsidRDefault="000F00D3" w:rsidP="00714064">
      <w:pPr>
        <w:spacing w:line="276" w:lineRule="auto"/>
        <w:jc w:val="both"/>
        <w:rPr>
          <w:rFonts w:ascii="Georgia" w:hAnsi="Georgia"/>
          <w:color w:val="000000" w:themeColor="text1"/>
        </w:rPr>
      </w:pPr>
      <w:r w:rsidRPr="007606D3">
        <w:rPr>
          <w:rFonts w:ascii="Georgia" w:hAnsi="Georgia"/>
          <w:color w:val="000000" w:themeColor="text1"/>
        </w:rPr>
        <w:t xml:space="preserve">States parties moreover have the positive duty to facilitate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w:t>
      </w:r>
      <w:r w:rsidRPr="007606D3">
        <w:rPr>
          <w:rFonts w:ascii="Georgia" w:hAnsi="Georgia"/>
          <w:color w:val="000000" w:themeColor="text1"/>
        </w:rPr>
        <w:lastRenderedPageBreak/>
        <w:t>may be required on the part of the authorities. For example, they may need to block off streets, redirect traffic, provide security, or identify an alternative site where the assembly may be conducted. Where needed, States must also protect participants against possible abuses by non-State actors, such as interference or violence by other members of the public,  counter-demonstrators [and private security providers].</w:t>
      </w:r>
    </w:p>
    <w:p w14:paraId="5A5EFCF3" w14:textId="77777777" w:rsidR="000F00D3" w:rsidRPr="007606D3" w:rsidRDefault="000F00D3" w:rsidP="00714064">
      <w:pPr>
        <w:spacing w:line="276" w:lineRule="auto"/>
        <w:jc w:val="both"/>
        <w:rPr>
          <w:rFonts w:ascii="Georgia" w:hAnsi="Georgia"/>
          <w:color w:val="000000" w:themeColor="text1"/>
        </w:rPr>
      </w:pPr>
    </w:p>
    <w:p w14:paraId="091AE061" w14:textId="77777777" w:rsidR="000F00D3" w:rsidRPr="007606D3" w:rsidRDefault="000F00D3" w:rsidP="00714064">
      <w:pPr>
        <w:spacing w:line="276" w:lineRule="auto"/>
        <w:jc w:val="both"/>
        <w:rPr>
          <w:rFonts w:ascii="Georgia" w:hAnsi="Georgia"/>
          <w:color w:val="000000" w:themeColor="text1"/>
        </w:rPr>
      </w:pPr>
      <w:r w:rsidRPr="007606D3">
        <w:rPr>
          <w:rFonts w:ascii="Georgia" w:hAnsi="Georgia"/>
          <w:color w:val="000000" w:themeColor="text1"/>
        </w:rPr>
        <w:t xml:space="preserve">We propose the following text to replace draft paragraph 16 (specific additions are italicised): </w:t>
      </w:r>
    </w:p>
    <w:p w14:paraId="671EA481" w14:textId="77777777" w:rsidR="000F00D3" w:rsidRPr="007606D3" w:rsidRDefault="000F00D3" w:rsidP="00714064">
      <w:pPr>
        <w:spacing w:line="276" w:lineRule="auto"/>
        <w:jc w:val="both"/>
        <w:rPr>
          <w:rFonts w:ascii="Georgia" w:hAnsi="Georgia"/>
          <w:color w:val="000000" w:themeColor="text1"/>
        </w:rPr>
      </w:pPr>
    </w:p>
    <w:p w14:paraId="1D99DCB4" w14:textId="6C5D39FA" w:rsidR="000F00D3" w:rsidRPr="007606D3" w:rsidRDefault="000F00D3" w:rsidP="00714064">
      <w:pPr>
        <w:ind w:left="567" w:right="567"/>
        <w:jc w:val="both"/>
        <w:rPr>
          <w:rFonts w:ascii="Georgia" w:hAnsi="Georgia"/>
          <w:color w:val="000000" w:themeColor="text1"/>
        </w:rPr>
      </w:pPr>
      <w:r w:rsidRPr="007606D3">
        <w:rPr>
          <w:rFonts w:ascii="Georgia" w:hAnsi="Georgia"/>
          <w:color w:val="000000" w:themeColor="text1"/>
        </w:rPr>
        <w:t xml:space="preserve">27. </w:t>
      </w:r>
      <w:r w:rsidR="000F3484">
        <w:rPr>
          <w:rFonts w:ascii="Georgia" w:hAnsi="Georgia"/>
          <w:color w:val="000000" w:themeColor="text1"/>
        </w:rPr>
        <w:tab/>
      </w:r>
      <w:r w:rsidRPr="007606D3">
        <w:rPr>
          <w:rFonts w:ascii="Georgia" w:hAnsi="Georgia"/>
          <w:color w:val="000000" w:themeColor="text1"/>
        </w:rPr>
        <w:t xml:space="preserve">States parties moreover have the positive duty to facilitate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or identify an alternative site where the assembly may be conducted. </w:t>
      </w:r>
      <w:r w:rsidRPr="007606D3">
        <w:rPr>
          <w:rFonts w:ascii="Georgia" w:hAnsi="Georgia"/>
          <w:i/>
          <w:iCs/>
          <w:color w:val="000000" w:themeColor="text1"/>
        </w:rPr>
        <w:t>States must not designate any particular public site as the only site at which a peaceful assembly may be conducted. Such designations amount to a restriction on the right to peaceful assembly, and must be justified in terms of article 21.</w:t>
      </w:r>
      <w:r w:rsidRPr="007606D3">
        <w:rPr>
          <w:rFonts w:ascii="Georgia" w:hAnsi="Georgia"/>
          <w:color w:val="000000" w:themeColor="text1"/>
        </w:rPr>
        <w:t xml:space="preserve"> Where needed, States must also protect participants against possible abuses by non-State actors, such as interference or violence by other members of the public,  counter-demonstrators [and private security providers].</w:t>
      </w:r>
    </w:p>
    <w:p w14:paraId="32B4B830" w14:textId="77777777" w:rsidR="000F00D3" w:rsidRPr="007606D3" w:rsidRDefault="000F00D3" w:rsidP="00714064">
      <w:pPr>
        <w:jc w:val="both"/>
        <w:rPr>
          <w:rFonts w:ascii="Georgia" w:hAnsi="Georgia"/>
          <w:color w:val="000000" w:themeColor="text1"/>
        </w:rPr>
      </w:pPr>
    </w:p>
    <w:p w14:paraId="5A0AD843" w14:textId="5D5B3E16" w:rsidR="000F00D3" w:rsidRPr="007606D3" w:rsidRDefault="000F00D3" w:rsidP="00714064">
      <w:pPr>
        <w:tabs>
          <w:tab w:val="left" w:pos="1890"/>
        </w:tabs>
        <w:spacing w:line="276" w:lineRule="auto"/>
        <w:jc w:val="both"/>
        <w:rPr>
          <w:rFonts w:ascii="Georgia" w:hAnsi="Georgia" w:cs="Times New Roman"/>
          <w:b/>
          <w:bCs/>
          <w:color w:val="000000" w:themeColor="text1"/>
        </w:rPr>
      </w:pPr>
      <w:r w:rsidRPr="007606D3">
        <w:rPr>
          <w:rFonts w:ascii="Georgia" w:hAnsi="Georgia" w:cs="Times New Roman"/>
          <w:b/>
          <w:bCs/>
          <w:color w:val="000000" w:themeColor="text1"/>
        </w:rPr>
        <w:t>Justification</w:t>
      </w:r>
    </w:p>
    <w:p w14:paraId="6D175F79" w14:textId="77777777" w:rsidR="000F00D3" w:rsidRPr="007606D3" w:rsidRDefault="000F00D3" w:rsidP="00714064">
      <w:pPr>
        <w:spacing w:line="276" w:lineRule="auto"/>
        <w:jc w:val="both"/>
        <w:rPr>
          <w:rFonts w:ascii="Georgia" w:hAnsi="Georgia"/>
          <w:color w:val="000000" w:themeColor="text1"/>
        </w:rPr>
      </w:pPr>
    </w:p>
    <w:p w14:paraId="34B69CB2" w14:textId="77777777" w:rsidR="000F00D3" w:rsidRPr="007606D3" w:rsidRDefault="000F00D3" w:rsidP="00714064">
      <w:pPr>
        <w:spacing w:line="276" w:lineRule="auto"/>
        <w:jc w:val="both"/>
        <w:rPr>
          <w:rFonts w:ascii="Georgia" w:hAnsi="Georgia"/>
          <w:color w:val="000000" w:themeColor="text1"/>
        </w:rPr>
      </w:pPr>
      <w:r w:rsidRPr="007606D3">
        <w:rPr>
          <w:rFonts w:ascii="Georgia" w:hAnsi="Georgia"/>
          <w:color w:val="000000" w:themeColor="text1"/>
        </w:rPr>
        <w:t>In practice, states adopt certain measures to restrict the ability of individuals and groups to select a public site to conduct a peaceful assembly. Such measures are often adopted under the guise of facilitating the right to peaceful assembly. For instance, the designation of a specific site to conduct peaceful assemblies may be touted as a measure to facilitate the right. However, such measures must be viewed as constituting a restriction on the right to peaceful assembly. Such measures must therefore be related to one of the specific limitation grounds listed in article 21, and be necessary in a democratic society, and proportionate. Such measures must also be evaluated in their proper context, and with consideration for the historical relationship between the state concerned and those conducting peaceful assemblies within that state’s jurisdiction. In contexts where peaceful assemblies have been routinely suppressed by state authorities, including through violent means, the use of designated sites must be understood as placing individuals and groups under undue risk of violent reprisals and surveillance. For example, in Sri Lanka, the government has recently designated an ‘agitation site’ in front of the president’s office. The measure has been portrayed as a means of facilitating the right to peaceful assembly and preventing public disturbance to other civilians. However, state authorities are reportedly preventing any demonstrations in other public sites, and are compelling demonstrators to use the ‘agitation site’ through intimidation and the threat of violence.</w:t>
      </w:r>
      <w:r w:rsidRPr="007606D3">
        <w:rPr>
          <w:rStyle w:val="FootnoteReference"/>
          <w:rFonts w:ascii="Georgia" w:hAnsi="Georgia"/>
          <w:color w:val="000000" w:themeColor="text1"/>
          <w:sz w:val="22"/>
          <w:szCs w:val="22"/>
        </w:rPr>
        <w:footnoteReference w:id="8"/>
      </w:r>
    </w:p>
    <w:p w14:paraId="2F701A16" w14:textId="77777777" w:rsidR="000F00D3" w:rsidRPr="007606D3" w:rsidRDefault="000F00D3" w:rsidP="00714064">
      <w:pPr>
        <w:spacing w:line="276" w:lineRule="auto"/>
        <w:rPr>
          <w:rFonts w:ascii="Georgia" w:hAnsi="Georgia"/>
          <w:b/>
          <w:bCs/>
          <w:color w:val="000000" w:themeColor="text1"/>
        </w:rPr>
      </w:pPr>
    </w:p>
    <w:p w14:paraId="602D833A" w14:textId="52B9B4FF" w:rsidR="00AC36CE" w:rsidRDefault="000210DF" w:rsidP="00714064">
      <w:pPr>
        <w:spacing w:line="276" w:lineRule="auto"/>
        <w:rPr>
          <w:rFonts w:ascii="Georgia" w:hAnsi="Georgia"/>
          <w:b/>
          <w:bCs/>
          <w:color w:val="000000" w:themeColor="text1"/>
        </w:rPr>
      </w:pPr>
      <w:r w:rsidRPr="007606D3">
        <w:rPr>
          <w:rFonts w:ascii="Georgia" w:hAnsi="Georgia"/>
          <w:b/>
          <w:bCs/>
          <w:color w:val="000000" w:themeColor="text1"/>
        </w:rPr>
        <w:t>Parag</w:t>
      </w:r>
      <w:r w:rsidR="00AC36CE" w:rsidRPr="007606D3">
        <w:rPr>
          <w:rFonts w:ascii="Georgia" w:hAnsi="Georgia"/>
          <w:b/>
          <w:bCs/>
          <w:color w:val="000000" w:themeColor="text1"/>
        </w:rPr>
        <w:t>r</w:t>
      </w:r>
      <w:r w:rsidRPr="007606D3">
        <w:rPr>
          <w:rFonts w:ascii="Georgia" w:hAnsi="Georgia"/>
          <w:b/>
          <w:bCs/>
          <w:color w:val="000000" w:themeColor="text1"/>
        </w:rPr>
        <w:t xml:space="preserve">aph 85 </w:t>
      </w:r>
      <w:r w:rsidR="00517ECD" w:rsidRPr="007606D3">
        <w:rPr>
          <w:rFonts w:ascii="Georgia" w:hAnsi="Georgia"/>
          <w:b/>
          <w:bCs/>
          <w:color w:val="000000" w:themeColor="text1"/>
        </w:rPr>
        <w:t>(Richard Martin)</w:t>
      </w:r>
    </w:p>
    <w:p w14:paraId="39617800" w14:textId="77777777" w:rsidR="00F46C30" w:rsidRPr="007606D3" w:rsidRDefault="00F46C30" w:rsidP="00714064">
      <w:pPr>
        <w:spacing w:line="276" w:lineRule="auto"/>
        <w:rPr>
          <w:rFonts w:ascii="Georgia" w:hAnsi="Georgia"/>
          <w:b/>
          <w:bCs/>
          <w:color w:val="000000" w:themeColor="text1"/>
        </w:rPr>
      </w:pPr>
    </w:p>
    <w:p w14:paraId="3DCDB082" w14:textId="77777777" w:rsidR="00AC36CE" w:rsidRPr="007606D3" w:rsidRDefault="00AC36CE" w:rsidP="00714064">
      <w:pPr>
        <w:spacing w:line="276" w:lineRule="auto"/>
        <w:jc w:val="both"/>
        <w:rPr>
          <w:rFonts w:ascii="Georgia" w:hAnsi="Georgia"/>
          <w:color w:val="000000" w:themeColor="text1"/>
        </w:rPr>
      </w:pPr>
      <w:r w:rsidRPr="007606D3">
        <w:rPr>
          <w:rFonts w:ascii="Georgia" w:hAnsi="Georgia"/>
          <w:color w:val="000000" w:themeColor="text1"/>
        </w:rPr>
        <w:t>In circumstances where the state limits its fulfilment of positive duties to protect individuals in the immediate vicinity of violent assemblies due to the risk of ‘collateral violence’ in the wider community, this justification should be subject to strict scrutiny.</w:t>
      </w:r>
    </w:p>
    <w:p w14:paraId="30745C9F" w14:textId="18A4E0BD" w:rsidR="00120483" w:rsidRPr="007606D3" w:rsidRDefault="00120483" w:rsidP="00714064">
      <w:pPr>
        <w:spacing w:line="276" w:lineRule="auto"/>
        <w:rPr>
          <w:rFonts w:ascii="Georgia" w:hAnsi="Georgia"/>
          <w:color w:val="000000" w:themeColor="text1"/>
        </w:rPr>
      </w:pPr>
    </w:p>
    <w:p w14:paraId="7B12116E" w14:textId="3531A480" w:rsidR="003E3B42" w:rsidRPr="007606D3" w:rsidRDefault="00354D7F" w:rsidP="00714064">
      <w:pPr>
        <w:spacing w:line="276" w:lineRule="auto"/>
        <w:rPr>
          <w:rFonts w:ascii="Georgia" w:hAnsi="Georgia"/>
          <w:color w:val="000000" w:themeColor="text1"/>
        </w:rPr>
      </w:pPr>
      <w:r w:rsidRPr="007606D3">
        <w:rPr>
          <w:rFonts w:ascii="Georgia" w:hAnsi="Georgia"/>
          <w:color w:val="000000" w:themeColor="text1"/>
        </w:rPr>
        <w:t>I</w:t>
      </w:r>
      <w:r w:rsidR="00FD25CE" w:rsidRPr="007606D3">
        <w:rPr>
          <w:rFonts w:ascii="Georgia" w:hAnsi="Georgia"/>
          <w:color w:val="000000" w:themeColor="text1"/>
        </w:rPr>
        <w:t xml:space="preserve"> propose </w:t>
      </w:r>
      <w:r w:rsidR="0030751C" w:rsidRPr="007606D3">
        <w:rPr>
          <w:rFonts w:ascii="Georgia" w:hAnsi="Georgia"/>
          <w:color w:val="000000" w:themeColor="text1"/>
        </w:rPr>
        <w:t>inserting</w:t>
      </w:r>
      <w:r w:rsidR="00FD25CE" w:rsidRPr="007606D3">
        <w:rPr>
          <w:rFonts w:ascii="Georgia" w:hAnsi="Georgia"/>
          <w:color w:val="000000" w:themeColor="text1"/>
        </w:rPr>
        <w:t xml:space="preserve"> </w:t>
      </w:r>
      <w:r w:rsidR="0030751C" w:rsidRPr="007606D3">
        <w:rPr>
          <w:rFonts w:ascii="Georgia" w:hAnsi="Georgia"/>
          <w:color w:val="000000" w:themeColor="text1"/>
        </w:rPr>
        <w:t>the following paragraph</w:t>
      </w:r>
      <w:r w:rsidR="004C6AA5" w:rsidRPr="007606D3">
        <w:rPr>
          <w:rFonts w:ascii="Georgia" w:hAnsi="Georgia"/>
          <w:color w:val="000000" w:themeColor="text1"/>
        </w:rPr>
        <w:t xml:space="preserve"> after [85]: </w:t>
      </w:r>
    </w:p>
    <w:p w14:paraId="03FD3DF9" w14:textId="77777777" w:rsidR="000F3484" w:rsidRDefault="000F3484" w:rsidP="00714064">
      <w:pPr>
        <w:spacing w:line="276" w:lineRule="auto"/>
        <w:jc w:val="both"/>
        <w:rPr>
          <w:rFonts w:ascii="Georgia" w:hAnsi="Georgia"/>
          <w:color w:val="000000" w:themeColor="text1"/>
        </w:rPr>
      </w:pPr>
    </w:p>
    <w:p w14:paraId="7BDC42C7" w14:textId="1B2C249F" w:rsidR="003E3B42" w:rsidRPr="007606D3" w:rsidRDefault="00803BAE" w:rsidP="00714064">
      <w:pPr>
        <w:ind w:left="720"/>
        <w:jc w:val="both"/>
        <w:rPr>
          <w:rFonts w:ascii="Georgia" w:hAnsi="Georgia"/>
          <w:i/>
          <w:color w:val="000000" w:themeColor="text1"/>
        </w:rPr>
      </w:pPr>
      <w:r w:rsidRPr="007606D3">
        <w:rPr>
          <w:rFonts w:ascii="Georgia" w:hAnsi="Georgia"/>
          <w:i/>
          <w:color w:val="000000" w:themeColor="text1"/>
        </w:rPr>
        <w:t>86.</w:t>
      </w:r>
      <w:r w:rsidR="000F3484">
        <w:rPr>
          <w:rFonts w:ascii="Georgia" w:hAnsi="Georgia"/>
          <w:i/>
          <w:color w:val="000000" w:themeColor="text1"/>
        </w:rPr>
        <w:tab/>
      </w:r>
      <w:r w:rsidR="00053291" w:rsidRPr="007606D3">
        <w:rPr>
          <w:rFonts w:ascii="Georgia" w:hAnsi="Georgia"/>
          <w:i/>
          <w:color w:val="000000" w:themeColor="text1"/>
        </w:rPr>
        <w:t xml:space="preserve">Where an assembly </w:t>
      </w:r>
      <w:r w:rsidR="007C5C48" w:rsidRPr="007606D3">
        <w:rPr>
          <w:rFonts w:ascii="Georgia" w:hAnsi="Georgia"/>
          <w:i/>
          <w:color w:val="000000" w:themeColor="text1"/>
        </w:rPr>
        <w:t>falls outside of the protections of the right to peaceful assembly</w:t>
      </w:r>
      <w:r w:rsidR="00047E72" w:rsidRPr="007606D3">
        <w:rPr>
          <w:rFonts w:ascii="Georgia" w:hAnsi="Georgia"/>
          <w:i/>
          <w:color w:val="000000" w:themeColor="text1"/>
        </w:rPr>
        <w:t xml:space="preserve"> because it has become violent, </w:t>
      </w:r>
      <w:r w:rsidR="00AE298E" w:rsidRPr="007606D3">
        <w:rPr>
          <w:rFonts w:ascii="Georgia" w:hAnsi="Georgia"/>
          <w:i/>
          <w:color w:val="000000" w:themeColor="text1"/>
        </w:rPr>
        <w:t xml:space="preserve">positive obligations arise </w:t>
      </w:r>
      <w:r w:rsidR="00047E72" w:rsidRPr="007606D3">
        <w:rPr>
          <w:rFonts w:ascii="Georgia" w:hAnsi="Georgia"/>
          <w:i/>
          <w:color w:val="000000" w:themeColor="text1"/>
        </w:rPr>
        <w:t>that require</w:t>
      </w:r>
      <w:r w:rsidR="00AE298E" w:rsidRPr="007606D3">
        <w:rPr>
          <w:rFonts w:ascii="Georgia" w:hAnsi="Georgia"/>
          <w:i/>
          <w:color w:val="000000" w:themeColor="text1"/>
        </w:rPr>
        <w:t xml:space="preserve"> the state to </w:t>
      </w:r>
      <w:r w:rsidR="00900A02" w:rsidRPr="007606D3">
        <w:rPr>
          <w:rFonts w:ascii="Georgia" w:hAnsi="Georgia"/>
          <w:i/>
          <w:color w:val="000000" w:themeColor="text1"/>
        </w:rPr>
        <w:t xml:space="preserve">take proportionate steps to </w:t>
      </w:r>
      <w:r w:rsidR="00AE298E" w:rsidRPr="007606D3">
        <w:rPr>
          <w:rFonts w:ascii="Georgia" w:hAnsi="Georgia"/>
          <w:i/>
          <w:color w:val="000000" w:themeColor="text1"/>
        </w:rPr>
        <w:t xml:space="preserve">protect the </w:t>
      </w:r>
      <w:r w:rsidR="00AD6077" w:rsidRPr="007606D3">
        <w:rPr>
          <w:rFonts w:ascii="Georgia" w:hAnsi="Georgia"/>
          <w:i/>
          <w:color w:val="000000" w:themeColor="text1"/>
        </w:rPr>
        <w:t xml:space="preserve">human </w:t>
      </w:r>
      <w:r w:rsidR="00AE298E" w:rsidRPr="007606D3">
        <w:rPr>
          <w:rFonts w:ascii="Georgia" w:hAnsi="Georgia"/>
          <w:i/>
          <w:color w:val="000000" w:themeColor="text1"/>
        </w:rPr>
        <w:t xml:space="preserve">rights of </w:t>
      </w:r>
      <w:r w:rsidR="006636EA" w:rsidRPr="007606D3">
        <w:rPr>
          <w:rFonts w:ascii="Georgia" w:hAnsi="Georgia"/>
          <w:i/>
          <w:color w:val="000000" w:themeColor="text1"/>
        </w:rPr>
        <w:t xml:space="preserve">individuals </w:t>
      </w:r>
      <w:r w:rsidR="004403AF" w:rsidRPr="007606D3">
        <w:rPr>
          <w:rFonts w:ascii="Georgia" w:hAnsi="Georgia"/>
          <w:i/>
          <w:color w:val="000000" w:themeColor="text1"/>
        </w:rPr>
        <w:t>affected</w:t>
      </w:r>
      <w:r w:rsidR="00047E72" w:rsidRPr="007606D3">
        <w:rPr>
          <w:rFonts w:ascii="Georgia" w:hAnsi="Georgia"/>
          <w:i/>
          <w:color w:val="000000" w:themeColor="text1"/>
        </w:rPr>
        <w:t xml:space="preserve"> by </w:t>
      </w:r>
      <w:r w:rsidR="004C6AA5" w:rsidRPr="007606D3">
        <w:rPr>
          <w:rFonts w:ascii="Georgia" w:hAnsi="Georgia"/>
          <w:i/>
          <w:color w:val="000000" w:themeColor="text1"/>
        </w:rPr>
        <w:t>the</w:t>
      </w:r>
      <w:r w:rsidR="00047E72" w:rsidRPr="007606D3">
        <w:rPr>
          <w:rFonts w:ascii="Georgia" w:hAnsi="Georgia"/>
          <w:i/>
          <w:color w:val="000000" w:themeColor="text1"/>
        </w:rPr>
        <w:t xml:space="preserve"> violence</w:t>
      </w:r>
      <w:r w:rsidR="004C6AA5" w:rsidRPr="007606D3">
        <w:rPr>
          <w:rFonts w:ascii="Georgia" w:hAnsi="Georgia"/>
          <w:i/>
          <w:color w:val="000000" w:themeColor="text1"/>
        </w:rPr>
        <w:t xml:space="preserve"> of third parties, </w:t>
      </w:r>
      <w:r w:rsidR="00AD6077" w:rsidRPr="007606D3">
        <w:rPr>
          <w:rFonts w:ascii="Georgia" w:hAnsi="Georgia"/>
          <w:i/>
          <w:color w:val="000000" w:themeColor="text1"/>
        </w:rPr>
        <w:t xml:space="preserve">including the </w:t>
      </w:r>
      <w:r w:rsidR="00670464" w:rsidRPr="007606D3">
        <w:rPr>
          <w:rFonts w:ascii="Georgia" w:hAnsi="Georgia"/>
          <w:i/>
          <w:color w:val="000000" w:themeColor="text1"/>
        </w:rPr>
        <w:t xml:space="preserve">right to freedom from inhumane and degrading treatment and the right to private and family life. </w:t>
      </w:r>
      <w:r w:rsidR="00B42AA7" w:rsidRPr="007606D3">
        <w:rPr>
          <w:rFonts w:ascii="Georgia" w:hAnsi="Georgia"/>
          <w:i/>
          <w:color w:val="000000" w:themeColor="text1"/>
        </w:rPr>
        <w:t>What amounts to proportionate steps</w:t>
      </w:r>
      <w:r w:rsidR="0067339D" w:rsidRPr="007606D3">
        <w:rPr>
          <w:rFonts w:ascii="Georgia" w:hAnsi="Georgia"/>
          <w:i/>
          <w:color w:val="000000" w:themeColor="text1"/>
        </w:rPr>
        <w:t xml:space="preserve"> </w:t>
      </w:r>
      <w:r w:rsidR="00A925A5" w:rsidRPr="007606D3">
        <w:rPr>
          <w:rFonts w:ascii="Georgia" w:hAnsi="Georgia"/>
          <w:i/>
          <w:color w:val="000000" w:themeColor="text1"/>
        </w:rPr>
        <w:t xml:space="preserve">can </w:t>
      </w:r>
      <w:r w:rsidR="00FE2F18" w:rsidRPr="007606D3">
        <w:rPr>
          <w:rFonts w:ascii="Georgia" w:hAnsi="Georgia"/>
          <w:i/>
          <w:color w:val="000000" w:themeColor="text1"/>
        </w:rPr>
        <w:t xml:space="preserve">take account of </w:t>
      </w:r>
      <w:r w:rsidR="00A925A5" w:rsidRPr="007606D3">
        <w:rPr>
          <w:rFonts w:ascii="Georgia" w:hAnsi="Georgia"/>
          <w:i/>
          <w:color w:val="000000" w:themeColor="text1"/>
        </w:rPr>
        <w:t xml:space="preserve">the state’s assessment that </w:t>
      </w:r>
      <w:r w:rsidR="00E651A9" w:rsidRPr="007606D3">
        <w:rPr>
          <w:rFonts w:ascii="Georgia" w:hAnsi="Georgia"/>
          <w:i/>
          <w:color w:val="000000" w:themeColor="text1"/>
        </w:rPr>
        <w:t xml:space="preserve">intervention </w:t>
      </w:r>
      <w:r w:rsidR="009F370A" w:rsidRPr="007606D3">
        <w:rPr>
          <w:rFonts w:ascii="Georgia" w:hAnsi="Georgia"/>
          <w:i/>
          <w:color w:val="000000" w:themeColor="text1"/>
        </w:rPr>
        <w:t>to protect the rights of those in the immediate vicinity of the</w:t>
      </w:r>
      <w:r w:rsidR="00BC0D68" w:rsidRPr="007606D3">
        <w:rPr>
          <w:rFonts w:ascii="Georgia" w:hAnsi="Georgia"/>
          <w:i/>
          <w:color w:val="000000" w:themeColor="text1"/>
        </w:rPr>
        <w:t xml:space="preserve"> violent assembly </w:t>
      </w:r>
      <w:r w:rsidR="00A925A5" w:rsidRPr="007606D3">
        <w:rPr>
          <w:rFonts w:ascii="Georgia" w:hAnsi="Georgia"/>
          <w:i/>
          <w:color w:val="000000" w:themeColor="text1"/>
        </w:rPr>
        <w:t xml:space="preserve">risks </w:t>
      </w:r>
      <w:r w:rsidR="006E7889" w:rsidRPr="007606D3">
        <w:rPr>
          <w:rFonts w:ascii="Georgia" w:hAnsi="Georgia"/>
          <w:i/>
          <w:color w:val="000000" w:themeColor="text1"/>
        </w:rPr>
        <w:t>provoking</w:t>
      </w:r>
      <w:r w:rsidR="000741E5" w:rsidRPr="007606D3">
        <w:rPr>
          <w:rFonts w:ascii="Georgia" w:hAnsi="Georgia"/>
          <w:i/>
          <w:color w:val="000000" w:themeColor="text1"/>
        </w:rPr>
        <w:t xml:space="preserve"> </w:t>
      </w:r>
      <w:r w:rsidR="007A37D6" w:rsidRPr="007606D3">
        <w:rPr>
          <w:rFonts w:ascii="Georgia" w:hAnsi="Georgia"/>
          <w:i/>
          <w:color w:val="000000" w:themeColor="text1"/>
        </w:rPr>
        <w:t>more serious violence or disorder</w:t>
      </w:r>
      <w:r w:rsidR="00194B32" w:rsidRPr="007606D3">
        <w:rPr>
          <w:rFonts w:ascii="Georgia" w:hAnsi="Georgia"/>
          <w:i/>
          <w:color w:val="000000" w:themeColor="text1"/>
        </w:rPr>
        <w:t xml:space="preserve"> </w:t>
      </w:r>
      <w:r w:rsidR="007020C7" w:rsidRPr="007606D3">
        <w:rPr>
          <w:rFonts w:ascii="Georgia" w:hAnsi="Georgia"/>
          <w:i/>
          <w:color w:val="000000" w:themeColor="text1"/>
        </w:rPr>
        <w:t>in the</w:t>
      </w:r>
      <w:r w:rsidR="00FE2F18" w:rsidRPr="007606D3">
        <w:rPr>
          <w:rFonts w:ascii="Georgia" w:hAnsi="Georgia"/>
          <w:i/>
          <w:color w:val="000000" w:themeColor="text1"/>
        </w:rPr>
        <w:t xml:space="preserve"> wider community</w:t>
      </w:r>
      <w:r w:rsidR="00277D1C" w:rsidRPr="007606D3">
        <w:rPr>
          <w:rFonts w:ascii="Georgia" w:hAnsi="Georgia"/>
          <w:i/>
          <w:color w:val="000000" w:themeColor="text1"/>
        </w:rPr>
        <w:t>.</w:t>
      </w:r>
      <w:r w:rsidR="001A5E11" w:rsidRPr="007606D3">
        <w:rPr>
          <w:rFonts w:ascii="Georgia" w:hAnsi="Georgia"/>
          <w:i/>
          <w:color w:val="000000" w:themeColor="text1"/>
        </w:rPr>
        <w:t xml:space="preserve"> </w:t>
      </w:r>
      <w:r w:rsidR="006E7889" w:rsidRPr="007606D3">
        <w:rPr>
          <w:rFonts w:ascii="Georgia" w:hAnsi="Georgia"/>
          <w:i/>
          <w:color w:val="000000" w:themeColor="text1"/>
        </w:rPr>
        <w:t xml:space="preserve">Where </w:t>
      </w:r>
      <w:r w:rsidR="00277D1C" w:rsidRPr="007606D3">
        <w:rPr>
          <w:rFonts w:ascii="Georgia" w:hAnsi="Georgia"/>
          <w:i/>
          <w:color w:val="000000" w:themeColor="text1"/>
        </w:rPr>
        <w:t>the scope of the</w:t>
      </w:r>
      <w:r w:rsidR="006E7889" w:rsidRPr="007606D3">
        <w:rPr>
          <w:rFonts w:ascii="Georgia" w:hAnsi="Georgia"/>
          <w:i/>
          <w:color w:val="000000" w:themeColor="text1"/>
        </w:rPr>
        <w:t xml:space="preserve"> positive duty </w:t>
      </w:r>
      <w:r w:rsidR="00277D1C" w:rsidRPr="007606D3">
        <w:rPr>
          <w:rFonts w:ascii="Georgia" w:hAnsi="Georgia"/>
          <w:i/>
          <w:color w:val="000000" w:themeColor="text1"/>
        </w:rPr>
        <w:t xml:space="preserve">reflects such </w:t>
      </w:r>
      <w:r w:rsidR="009F370A" w:rsidRPr="007606D3">
        <w:rPr>
          <w:rFonts w:ascii="Georgia" w:hAnsi="Georgia"/>
          <w:i/>
          <w:color w:val="000000" w:themeColor="text1"/>
        </w:rPr>
        <w:t xml:space="preserve">a </w:t>
      </w:r>
      <w:r w:rsidR="002B5665" w:rsidRPr="007606D3">
        <w:rPr>
          <w:rFonts w:ascii="Georgia" w:hAnsi="Georgia"/>
          <w:i/>
          <w:color w:val="000000" w:themeColor="text1"/>
        </w:rPr>
        <w:t>risk</w:t>
      </w:r>
      <w:r w:rsidR="00277D1C" w:rsidRPr="007606D3">
        <w:rPr>
          <w:rFonts w:ascii="Georgia" w:hAnsi="Georgia"/>
          <w:i/>
          <w:color w:val="000000" w:themeColor="text1"/>
        </w:rPr>
        <w:t>,</w:t>
      </w:r>
      <w:r w:rsidR="002B5665" w:rsidRPr="007606D3">
        <w:rPr>
          <w:rFonts w:ascii="Georgia" w:hAnsi="Georgia"/>
          <w:i/>
          <w:color w:val="000000" w:themeColor="text1"/>
        </w:rPr>
        <w:t xml:space="preserve"> this</w:t>
      </w:r>
      <w:r w:rsidR="006E7889" w:rsidRPr="007606D3">
        <w:rPr>
          <w:rFonts w:ascii="Georgia" w:hAnsi="Georgia"/>
          <w:i/>
          <w:color w:val="000000" w:themeColor="text1"/>
        </w:rPr>
        <w:t xml:space="preserve"> must </w:t>
      </w:r>
      <w:r w:rsidR="00AF3E2E" w:rsidRPr="007606D3">
        <w:rPr>
          <w:rFonts w:ascii="Georgia" w:hAnsi="Georgia"/>
          <w:i/>
          <w:color w:val="000000" w:themeColor="text1"/>
        </w:rPr>
        <w:t xml:space="preserve">withstand strict scrutiny. </w:t>
      </w:r>
      <w:r w:rsidR="005A22CF" w:rsidRPr="007606D3">
        <w:rPr>
          <w:rFonts w:ascii="Georgia" w:hAnsi="Georgia"/>
          <w:i/>
          <w:color w:val="000000" w:themeColor="text1"/>
        </w:rPr>
        <w:t xml:space="preserve">An unspecified </w:t>
      </w:r>
      <w:r w:rsidR="00860305" w:rsidRPr="007606D3">
        <w:rPr>
          <w:rFonts w:ascii="Georgia" w:hAnsi="Georgia"/>
          <w:i/>
          <w:color w:val="000000" w:themeColor="text1"/>
        </w:rPr>
        <w:t>r</w:t>
      </w:r>
      <w:r w:rsidR="005A22CF" w:rsidRPr="007606D3">
        <w:rPr>
          <w:rFonts w:ascii="Georgia" w:hAnsi="Georgia"/>
          <w:i/>
          <w:color w:val="000000" w:themeColor="text1"/>
        </w:rPr>
        <w:t>isk of violence</w:t>
      </w:r>
      <w:r w:rsidR="006E7889" w:rsidRPr="007606D3">
        <w:rPr>
          <w:rFonts w:ascii="Georgia" w:hAnsi="Georgia"/>
          <w:i/>
          <w:color w:val="000000" w:themeColor="text1"/>
        </w:rPr>
        <w:t xml:space="preserve"> </w:t>
      </w:r>
      <w:r w:rsidR="00C610A0" w:rsidRPr="007606D3">
        <w:rPr>
          <w:rFonts w:ascii="Georgia" w:hAnsi="Georgia"/>
          <w:i/>
          <w:color w:val="000000" w:themeColor="text1"/>
        </w:rPr>
        <w:t>or disorder in the wider community</w:t>
      </w:r>
      <w:r w:rsidR="00860305" w:rsidRPr="007606D3">
        <w:rPr>
          <w:rFonts w:ascii="Georgia" w:hAnsi="Georgia"/>
          <w:i/>
          <w:color w:val="000000" w:themeColor="text1"/>
        </w:rPr>
        <w:t xml:space="preserve">, or the mere possibility that authorities will not have the capacity to prevent </w:t>
      </w:r>
      <w:r w:rsidR="00DD07B9" w:rsidRPr="007606D3">
        <w:rPr>
          <w:rFonts w:ascii="Georgia" w:hAnsi="Georgia"/>
          <w:i/>
          <w:color w:val="000000" w:themeColor="text1"/>
        </w:rPr>
        <w:t xml:space="preserve">or neutralize </w:t>
      </w:r>
      <w:r w:rsidR="00C610A0" w:rsidRPr="007606D3">
        <w:rPr>
          <w:rFonts w:ascii="Georgia" w:hAnsi="Georgia"/>
          <w:i/>
          <w:color w:val="000000" w:themeColor="text1"/>
        </w:rPr>
        <w:t xml:space="preserve">it is </w:t>
      </w:r>
      <w:r w:rsidR="001140C4" w:rsidRPr="007606D3">
        <w:rPr>
          <w:rFonts w:ascii="Georgia" w:hAnsi="Georgia"/>
          <w:i/>
          <w:color w:val="000000" w:themeColor="text1"/>
        </w:rPr>
        <w:t xml:space="preserve">not enough; the State must be able to show, based on a concrete assessment, </w:t>
      </w:r>
      <w:r w:rsidR="0061537C" w:rsidRPr="007606D3">
        <w:rPr>
          <w:rFonts w:ascii="Georgia" w:hAnsi="Georgia"/>
          <w:i/>
          <w:color w:val="000000" w:themeColor="text1"/>
        </w:rPr>
        <w:t xml:space="preserve">it would not be able to contain </w:t>
      </w:r>
      <w:r w:rsidR="00FE2F18" w:rsidRPr="007606D3">
        <w:rPr>
          <w:rFonts w:ascii="Georgia" w:hAnsi="Georgia"/>
          <w:i/>
          <w:color w:val="000000" w:themeColor="text1"/>
        </w:rPr>
        <w:t>a</w:t>
      </w:r>
      <w:r w:rsidR="0061537C" w:rsidRPr="007606D3">
        <w:rPr>
          <w:rFonts w:ascii="Georgia" w:hAnsi="Georgia"/>
          <w:i/>
          <w:color w:val="000000" w:themeColor="text1"/>
        </w:rPr>
        <w:t xml:space="preserve"> violent situation</w:t>
      </w:r>
      <w:r w:rsidR="00BF7131" w:rsidRPr="007606D3">
        <w:rPr>
          <w:rFonts w:ascii="Georgia" w:hAnsi="Georgia"/>
          <w:i/>
          <w:color w:val="000000" w:themeColor="text1"/>
        </w:rPr>
        <w:t xml:space="preserve"> </w:t>
      </w:r>
      <w:r w:rsidR="00FE2F18" w:rsidRPr="007606D3">
        <w:rPr>
          <w:rFonts w:ascii="Georgia" w:hAnsi="Georgia"/>
          <w:i/>
          <w:color w:val="000000" w:themeColor="text1"/>
        </w:rPr>
        <w:t xml:space="preserve">elsewhere in a locality </w:t>
      </w:r>
      <w:r w:rsidR="00BF7131" w:rsidRPr="007606D3">
        <w:rPr>
          <w:rFonts w:ascii="Georgia" w:hAnsi="Georgia"/>
          <w:i/>
          <w:color w:val="000000" w:themeColor="text1"/>
        </w:rPr>
        <w:t xml:space="preserve">without risk </w:t>
      </w:r>
      <w:r w:rsidR="004B2AE6" w:rsidRPr="007606D3">
        <w:rPr>
          <w:rFonts w:ascii="Georgia" w:hAnsi="Georgia"/>
          <w:i/>
          <w:color w:val="000000" w:themeColor="text1"/>
        </w:rPr>
        <w:t>to life or serious injury</w:t>
      </w:r>
      <w:r w:rsidR="00EF7DFE" w:rsidRPr="007606D3">
        <w:rPr>
          <w:rFonts w:ascii="Georgia" w:hAnsi="Georgia"/>
          <w:i/>
          <w:color w:val="000000" w:themeColor="text1"/>
        </w:rPr>
        <w:t xml:space="preserve">. </w:t>
      </w:r>
    </w:p>
    <w:p w14:paraId="4BFAC574" w14:textId="77777777" w:rsidR="003E3B42" w:rsidRPr="007606D3" w:rsidRDefault="003E3B42" w:rsidP="00714064">
      <w:pPr>
        <w:rPr>
          <w:rFonts w:ascii="Georgia" w:hAnsi="Georgia"/>
          <w:color w:val="000000" w:themeColor="text1"/>
        </w:rPr>
      </w:pPr>
    </w:p>
    <w:p w14:paraId="6E75C20A" w14:textId="4F491232" w:rsidR="003E3B42" w:rsidRPr="007606D3" w:rsidRDefault="003E3B42" w:rsidP="00714064">
      <w:pPr>
        <w:spacing w:line="276" w:lineRule="auto"/>
        <w:rPr>
          <w:rFonts w:ascii="Georgia" w:hAnsi="Georgia"/>
          <w:b/>
          <w:bCs/>
          <w:color w:val="000000" w:themeColor="text1"/>
        </w:rPr>
      </w:pPr>
      <w:r w:rsidRPr="007606D3">
        <w:rPr>
          <w:rFonts w:ascii="Georgia" w:hAnsi="Georgia"/>
          <w:b/>
          <w:bCs/>
          <w:color w:val="000000" w:themeColor="text1"/>
        </w:rPr>
        <w:t>Justification</w:t>
      </w:r>
    </w:p>
    <w:p w14:paraId="3BCC5C50" w14:textId="45098141" w:rsidR="00AC36CE" w:rsidRPr="007606D3" w:rsidRDefault="00AC36CE" w:rsidP="00714064">
      <w:pPr>
        <w:spacing w:line="276" w:lineRule="auto"/>
        <w:jc w:val="both"/>
        <w:rPr>
          <w:rFonts w:ascii="Georgia" w:hAnsi="Georgia"/>
          <w:color w:val="000000" w:themeColor="text1"/>
        </w:rPr>
      </w:pPr>
    </w:p>
    <w:p w14:paraId="38F2B2B1" w14:textId="5CBF8E8B" w:rsidR="00A85D91" w:rsidRPr="007606D3" w:rsidRDefault="00BE4706" w:rsidP="00714064">
      <w:pPr>
        <w:spacing w:line="276" w:lineRule="auto"/>
        <w:jc w:val="both"/>
        <w:rPr>
          <w:rFonts w:ascii="Georgia" w:hAnsi="Georgia"/>
          <w:color w:val="000000" w:themeColor="text1"/>
        </w:rPr>
      </w:pPr>
      <w:r w:rsidRPr="007606D3">
        <w:rPr>
          <w:rFonts w:ascii="Georgia" w:hAnsi="Georgia"/>
          <w:color w:val="000000" w:themeColor="text1"/>
        </w:rPr>
        <w:lastRenderedPageBreak/>
        <w:t>In situations where</w:t>
      </w:r>
      <w:r w:rsidR="0049281D" w:rsidRPr="007606D3">
        <w:rPr>
          <w:rFonts w:ascii="Georgia" w:hAnsi="Georgia"/>
          <w:color w:val="000000" w:themeColor="text1"/>
        </w:rPr>
        <w:t xml:space="preserve"> an</w:t>
      </w:r>
      <w:r w:rsidR="00BD55C3" w:rsidRPr="007606D3">
        <w:rPr>
          <w:rFonts w:ascii="Georgia" w:hAnsi="Georgia"/>
          <w:color w:val="000000" w:themeColor="text1"/>
        </w:rPr>
        <w:t xml:space="preserve"> assembly moves </w:t>
      </w:r>
      <w:r w:rsidR="009C7645" w:rsidRPr="007606D3">
        <w:rPr>
          <w:rFonts w:ascii="Georgia" w:hAnsi="Georgia"/>
          <w:color w:val="000000" w:themeColor="text1"/>
        </w:rPr>
        <w:t xml:space="preserve">outside </w:t>
      </w:r>
      <w:r w:rsidR="00373A76" w:rsidRPr="007606D3">
        <w:rPr>
          <w:rFonts w:ascii="Georgia" w:hAnsi="Georgia"/>
          <w:color w:val="000000" w:themeColor="text1"/>
        </w:rPr>
        <w:t>the protection</w:t>
      </w:r>
      <w:r w:rsidR="00A40169" w:rsidRPr="007606D3">
        <w:rPr>
          <w:rFonts w:ascii="Georgia" w:hAnsi="Georgia"/>
          <w:color w:val="000000" w:themeColor="text1"/>
        </w:rPr>
        <w:t>s</w:t>
      </w:r>
      <w:r w:rsidR="00373A76" w:rsidRPr="007606D3">
        <w:rPr>
          <w:rFonts w:ascii="Georgia" w:hAnsi="Georgia"/>
          <w:color w:val="000000" w:themeColor="text1"/>
        </w:rPr>
        <w:t xml:space="preserve"> of Article 21</w:t>
      </w:r>
      <w:r w:rsidR="00083E77" w:rsidRPr="007606D3">
        <w:rPr>
          <w:rFonts w:ascii="Georgia" w:hAnsi="Georgia"/>
          <w:color w:val="000000" w:themeColor="text1"/>
        </w:rPr>
        <w:t xml:space="preserve">, manifesting in </w:t>
      </w:r>
      <w:r w:rsidR="00A40169" w:rsidRPr="007606D3">
        <w:rPr>
          <w:rFonts w:ascii="Georgia" w:hAnsi="Georgia"/>
          <w:color w:val="000000" w:themeColor="text1"/>
        </w:rPr>
        <w:t>violence or disorder</w:t>
      </w:r>
      <w:r w:rsidR="00083E77" w:rsidRPr="007606D3">
        <w:rPr>
          <w:rFonts w:ascii="Georgia" w:hAnsi="Georgia"/>
          <w:color w:val="000000" w:themeColor="text1"/>
        </w:rPr>
        <w:t xml:space="preserve">, </w:t>
      </w:r>
      <w:r w:rsidRPr="007606D3">
        <w:rPr>
          <w:rFonts w:ascii="Georgia" w:hAnsi="Georgia"/>
          <w:color w:val="000000" w:themeColor="text1"/>
        </w:rPr>
        <w:t xml:space="preserve">the state faces a predicament. </w:t>
      </w:r>
      <w:r w:rsidR="002A239D" w:rsidRPr="007606D3">
        <w:rPr>
          <w:rFonts w:ascii="Georgia" w:hAnsi="Georgia"/>
          <w:color w:val="000000" w:themeColor="text1"/>
        </w:rPr>
        <w:t xml:space="preserve">It owes positive duties to those in the </w:t>
      </w:r>
      <w:r w:rsidR="00A43475" w:rsidRPr="007606D3">
        <w:rPr>
          <w:rFonts w:ascii="Georgia" w:hAnsi="Georgia"/>
          <w:color w:val="000000" w:themeColor="text1"/>
        </w:rPr>
        <w:t xml:space="preserve">immediate </w:t>
      </w:r>
      <w:r w:rsidR="002A239D" w:rsidRPr="007606D3">
        <w:rPr>
          <w:rFonts w:ascii="Georgia" w:hAnsi="Georgia"/>
          <w:color w:val="000000" w:themeColor="text1"/>
        </w:rPr>
        <w:t xml:space="preserve">vicinity </w:t>
      </w:r>
      <w:r w:rsidR="00A43475" w:rsidRPr="007606D3">
        <w:rPr>
          <w:rFonts w:ascii="Georgia" w:hAnsi="Georgia"/>
          <w:color w:val="000000" w:themeColor="text1"/>
        </w:rPr>
        <w:t xml:space="preserve">of the violent assembly </w:t>
      </w:r>
      <w:r w:rsidR="002A239D" w:rsidRPr="007606D3">
        <w:rPr>
          <w:rFonts w:ascii="Georgia" w:hAnsi="Georgia"/>
          <w:color w:val="000000" w:themeColor="text1"/>
        </w:rPr>
        <w:t xml:space="preserve">(bystanders, residents, business owners) to do what is </w:t>
      </w:r>
      <w:r w:rsidR="0008229A" w:rsidRPr="007606D3">
        <w:rPr>
          <w:rFonts w:ascii="Georgia" w:hAnsi="Georgia"/>
          <w:color w:val="000000" w:themeColor="text1"/>
        </w:rPr>
        <w:t>proportionate</w:t>
      </w:r>
      <w:r w:rsidR="002A239D" w:rsidRPr="007606D3">
        <w:rPr>
          <w:rFonts w:ascii="Georgia" w:hAnsi="Georgia"/>
          <w:color w:val="000000" w:themeColor="text1"/>
        </w:rPr>
        <w:t xml:space="preserve"> in all the circumstances to protect </w:t>
      </w:r>
      <w:r w:rsidR="00EA4A9F" w:rsidRPr="007606D3">
        <w:rPr>
          <w:rFonts w:ascii="Georgia" w:hAnsi="Georgia"/>
          <w:color w:val="000000" w:themeColor="text1"/>
        </w:rPr>
        <w:t>them</w:t>
      </w:r>
      <w:r w:rsidR="002A239D" w:rsidRPr="007606D3">
        <w:rPr>
          <w:rFonts w:ascii="Georgia" w:hAnsi="Georgia"/>
          <w:color w:val="000000" w:themeColor="text1"/>
        </w:rPr>
        <w:t xml:space="preserve"> from a real and immediate risk of harm posed by </w:t>
      </w:r>
      <w:r w:rsidR="0091603B" w:rsidRPr="007606D3">
        <w:rPr>
          <w:rFonts w:ascii="Georgia" w:hAnsi="Georgia"/>
          <w:color w:val="000000" w:themeColor="text1"/>
        </w:rPr>
        <w:t xml:space="preserve">the perpetrators of the </w:t>
      </w:r>
      <w:r w:rsidR="000C4A89" w:rsidRPr="007606D3">
        <w:rPr>
          <w:rFonts w:ascii="Georgia" w:hAnsi="Georgia"/>
          <w:color w:val="000000" w:themeColor="text1"/>
        </w:rPr>
        <w:t>violence</w:t>
      </w:r>
      <w:r w:rsidR="0091603B" w:rsidRPr="007606D3">
        <w:rPr>
          <w:rFonts w:ascii="Georgia" w:hAnsi="Georgia"/>
          <w:color w:val="000000" w:themeColor="text1"/>
        </w:rPr>
        <w:t xml:space="preserve">. </w:t>
      </w:r>
      <w:r w:rsidR="006510C4" w:rsidRPr="007606D3">
        <w:rPr>
          <w:rFonts w:ascii="Georgia" w:hAnsi="Georgia"/>
          <w:color w:val="000000" w:themeColor="text1"/>
        </w:rPr>
        <w:t>However, in</w:t>
      </w:r>
      <w:r w:rsidR="000C4A89" w:rsidRPr="007606D3">
        <w:rPr>
          <w:rFonts w:ascii="Georgia" w:hAnsi="Georgia"/>
          <w:color w:val="000000" w:themeColor="text1"/>
        </w:rPr>
        <w:t xml:space="preserve"> using force to fulfil this duty, police </w:t>
      </w:r>
      <w:r w:rsidR="006510C4" w:rsidRPr="007606D3">
        <w:rPr>
          <w:rFonts w:ascii="Georgia" w:hAnsi="Georgia"/>
          <w:color w:val="000000" w:themeColor="text1"/>
        </w:rPr>
        <w:t xml:space="preserve">intervention </w:t>
      </w:r>
      <w:r w:rsidR="00A43475" w:rsidRPr="007606D3">
        <w:rPr>
          <w:rFonts w:ascii="Georgia" w:hAnsi="Georgia"/>
          <w:color w:val="000000" w:themeColor="text1"/>
        </w:rPr>
        <w:t>may</w:t>
      </w:r>
      <w:r w:rsidR="00830967" w:rsidRPr="007606D3">
        <w:rPr>
          <w:rFonts w:ascii="Georgia" w:hAnsi="Georgia"/>
          <w:color w:val="000000" w:themeColor="text1"/>
        </w:rPr>
        <w:t xml:space="preserve"> </w:t>
      </w:r>
      <w:r w:rsidR="00051B86" w:rsidRPr="007606D3">
        <w:rPr>
          <w:rFonts w:ascii="Georgia" w:hAnsi="Georgia"/>
          <w:color w:val="000000" w:themeColor="text1"/>
        </w:rPr>
        <w:t>risk</w:t>
      </w:r>
      <w:r w:rsidR="003F2D57" w:rsidRPr="007606D3">
        <w:rPr>
          <w:rFonts w:ascii="Georgia" w:hAnsi="Georgia"/>
          <w:color w:val="000000" w:themeColor="text1"/>
        </w:rPr>
        <w:t xml:space="preserve"> enflaming </w:t>
      </w:r>
      <w:r w:rsidR="00F212AC" w:rsidRPr="007606D3">
        <w:rPr>
          <w:rFonts w:ascii="Georgia" w:hAnsi="Georgia"/>
          <w:color w:val="000000" w:themeColor="text1"/>
        </w:rPr>
        <w:t>the situation</w:t>
      </w:r>
      <w:r w:rsidR="00A43475" w:rsidRPr="007606D3">
        <w:rPr>
          <w:rFonts w:ascii="Georgia" w:hAnsi="Georgia"/>
          <w:color w:val="000000" w:themeColor="text1"/>
        </w:rPr>
        <w:t xml:space="preserve">, </w:t>
      </w:r>
      <w:r w:rsidR="00753E4F" w:rsidRPr="007606D3">
        <w:rPr>
          <w:rFonts w:ascii="Georgia" w:hAnsi="Georgia"/>
          <w:color w:val="000000" w:themeColor="text1"/>
        </w:rPr>
        <w:t xml:space="preserve">provoking </w:t>
      </w:r>
      <w:r w:rsidR="00BC2018" w:rsidRPr="007606D3">
        <w:rPr>
          <w:rFonts w:ascii="Georgia" w:hAnsi="Georgia"/>
          <w:color w:val="000000" w:themeColor="text1"/>
        </w:rPr>
        <w:t>more</w:t>
      </w:r>
      <w:r w:rsidR="00FE54FA" w:rsidRPr="007606D3">
        <w:rPr>
          <w:rFonts w:ascii="Georgia" w:hAnsi="Georgia"/>
          <w:color w:val="000000" w:themeColor="text1"/>
        </w:rPr>
        <w:t xml:space="preserve"> serious or sustained violence </w:t>
      </w:r>
      <w:r w:rsidR="000C4A89" w:rsidRPr="007606D3">
        <w:rPr>
          <w:rFonts w:ascii="Georgia" w:hAnsi="Georgia"/>
          <w:color w:val="000000" w:themeColor="text1"/>
        </w:rPr>
        <w:t>in the wider community</w:t>
      </w:r>
      <w:r w:rsidR="00BC2018" w:rsidRPr="007606D3">
        <w:rPr>
          <w:rFonts w:ascii="Georgia" w:hAnsi="Georgia"/>
          <w:color w:val="000000" w:themeColor="text1"/>
        </w:rPr>
        <w:t xml:space="preserve">. This has been </w:t>
      </w:r>
      <w:r w:rsidR="002E3425" w:rsidRPr="007606D3">
        <w:rPr>
          <w:rFonts w:ascii="Georgia" w:hAnsi="Georgia"/>
          <w:color w:val="000000" w:themeColor="text1"/>
        </w:rPr>
        <w:t>described</w:t>
      </w:r>
      <w:r w:rsidR="00BC2018" w:rsidRPr="007606D3">
        <w:rPr>
          <w:rFonts w:ascii="Georgia" w:hAnsi="Georgia"/>
          <w:color w:val="000000" w:themeColor="text1"/>
        </w:rPr>
        <w:t xml:space="preserve"> as</w:t>
      </w:r>
      <w:r w:rsidR="009822D4" w:rsidRPr="007606D3">
        <w:rPr>
          <w:rFonts w:ascii="Georgia" w:hAnsi="Georgia"/>
          <w:color w:val="000000" w:themeColor="text1"/>
        </w:rPr>
        <w:t xml:space="preserve"> the risk of</w:t>
      </w:r>
      <w:r w:rsidR="00BC2018" w:rsidRPr="007606D3">
        <w:rPr>
          <w:rFonts w:ascii="Georgia" w:hAnsi="Georgia"/>
          <w:color w:val="000000" w:themeColor="text1"/>
        </w:rPr>
        <w:t xml:space="preserve"> ‘collateral </w:t>
      </w:r>
      <w:r w:rsidR="002E3425" w:rsidRPr="007606D3">
        <w:rPr>
          <w:rFonts w:ascii="Georgia" w:hAnsi="Georgia"/>
          <w:color w:val="000000" w:themeColor="text1"/>
        </w:rPr>
        <w:t xml:space="preserve">violence’. </w:t>
      </w:r>
      <w:r w:rsidR="00013A7C" w:rsidRPr="007606D3">
        <w:rPr>
          <w:rFonts w:ascii="Georgia" w:hAnsi="Georgia"/>
          <w:color w:val="000000" w:themeColor="text1"/>
        </w:rPr>
        <w:t>T</w:t>
      </w:r>
      <w:r w:rsidR="00BC2018" w:rsidRPr="007606D3">
        <w:rPr>
          <w:rFonts w:ascii="Georgia" w:hAnsi="Georgia"/>
          <w:color w:val="000000" w:themeColor="text1"/>
        </w:rPr>
        <w:t xml:space="preserve">he </w:t>
      </w:r>
      <w:r w:rsidR="001234E7" w:rsidRPr="007606D3">
        <w:rPr>
          <w:rFonts w:ascii="Georgia" w:hAnsi="Georgia"/>
          <w:color w:val="000000" w:themeColor="text1"/>
        </w:rPr>
        <w:t>Appellate Committee of the House of Lords (UK)</w:t>
      </w:r>
      <w:r w:rsidR="004764F9" w:rsidRPr="007606D3">
        <w:rPr>
          <w:rStyle w:val="FootnoteReference"/>
          <w:rFonts w:ascii="Georgia" w:hAnsi="Georgia"/>
          <w:color w:val="000000" w:themeColor="text1"/>
        </w:rPr>
        <w:footnoteReference w:id="9"/>
      </w:r>
      <w:r w:rsidR="001234E7" w:rsidRPr="007606D3">
        <w:rPr>
          <w:rFonts w:ascii="Georgia" w:hAnsi="Georgia"/>
          <w:color w:val="000000" w:themeColor="text1"/>
        </w:rPr>
        <w:t xml:space="preserve"> and the European Court of Human Rights</w:t>
      </w:r>
      <w:r w:rsidR="00B42E31" w:rsidRPr="007606D3">
        <w:rPr>
          <w:rStyle w:val="FootnoteReference"/>
          <w:rFonts w:ascii="Georgia" w:hAnsi="Georgia"/>
          <w:color w:val="000000" w:themeColor="text1"/>
        </w:rPr>
        <w:footnoteReference w:id="10"/>
      </w:r>
      <w:r w:rsidR="001234E7" w:rsidRPr="007606D3">
        <w:rPr>
          <w:rFonts w:ascii="Georgia" w:hAnsi="Georgia"/>
          <w:color w:val="000000" w:themeColor="text1"/>
        </w:rPr>
        <w:t xml:space="preserve"> </w:t>
      </w:r>
      <w:r w:rsidR="00051B86" w:rsidRPr="007606D3">
        <w:rPr>
          <w:rFonts w:ascii="Georgia" w:hAnsi="Georgia"/>
          <w:color w:val="000000" w:themeColor="text1"/>
        </w:rPr>
        <w:t xml:space="preserve">have </w:t>
      </w:r>
      <w:r w:rsidR="008B60E9" w:rsidRPr="007606D3">
        <w:rPr>
          <w:rFonts w:ascii="Georgia" w:hAnsi="Georgia"/>
          <w:color w:val="000000" w:themeColor="text1"/>
        </w:rPr>
        <w:t xml:space="preserve">accepted </w:t>
      </w:r>
      <w:r w:rsidR="00013A7C" w:rsidRPr="007606D3">
        <w:rPr>
          <w:rFonts w:ascii="Georgia" w:hAnsi="Georgia"/>
          <w:color w:val="000000" w:themeColor="text1"/>
        </w:rPr>
        <w:t xml:space="preserve">that the risk of </w:t>
      </w:r>
      <w:r w:rsidR="00C373B0" w:rsidRPr="007606D3">
        <w:rPr>
          <w:rFonts w:ascii="Georgia" w:hAnsi="Georgia"/>
          <w:color w:val="000000" w:themeColor="text1"/>
        </w:rPr>
        <w:t xml:space="preserve">forceful intervention </w:t>
      </w:r>
      <w:r w:rsidR="00013A7C" w:rsidRPr="007606D3">
        <w:rPr>
          <w:rFonts w:ascii="Georgia" w:hAnsi="Georgia"/>
          <w:color w:val="000000" w:themeColor="text1"/>
        </w:rPr>
        <w:t xml:space="preserve">sparking more serious violence </w:t>
      </w:r>
      <w:r w:rsidR="00A505B4" w:rsidRPr="007606D3">
        <w:rPr>
          <w:rFonts w:ascii="Georgia" w:hAnsi="Georgia"/>
          <w:color w:val="000000" w:themeColor="text1"/>
        </w:rPr>
        <w:t>to unspecified persons in</w:t>
      </w:r>
      <w:r w:rsidR="00013A7C" w:rsidRPr="007606D3">
        <w:rPr>
          <w:rFonts w:ascii="Georgia" w:hAnsi="Georgia"/>
          <w:color w:val="000000" w:themeColor="text1"/>
        </w:rPr>
        <w:t xml:space="preserve"> the wider community</w:t>
      </w:r>
      <w:r w:rsidR="00A505B4" w:rsidRPr="007606D3">
        <w:rPr>
          <w:rFonts w:ascii="Georgia" w:hAnsi="Georgia"/>
          <w:color w:val="000000" w:themeColor="text1"/>
        </w:rPr>
        <w:t xml:space="preserve"> </w:t>
      </w:r>
      <w:r w:rsidR="00013A7C" w:rsidRPr="007606D3">
        <w:rPr>
          <w:rFonts w:ascii="Georgia" w:hAnsi="Georgia"/>
          <w:color w:val="000000" w:themeColor="text1"/>
        </w:rPr>
        <w:t xml:space="preserve">is a </w:t>
      </w:r>
      <w:r w:rsidR="00642670" w:rsidRPr="007606D3">
        <w:rPr>
          <w:rFonts w:ascii="Georgia" w:hAnsi="Georgia"/>
          <w:color w:val="000000" w:themeColor="text1"/>
        </w:rPr>
        <w:t xml:space="preserve">relevant factor in </w:t>
      </w:r>
      <w:r w:rsidR="00160722" w:rsidRPr="007606D3">
        <w:rPr>
          <w:rFonts w:ascii="Georgia" w:hAnsi="Georgia"/>
          <w:color w:val="000000" w:themeColor="text1"/>
        </w:rPr>
        <w:t>determining whether the state</w:t>
      </w:r>
      <w:r w:rsidR="00C373B0" w:rsidRPr="007606D3">
        <w:rPr>
          <w:rFonts w:ascii="Georgia" w:hAnsi="Georgia"/>
          <w:color w:val="000000" w:themeColor="text1"/>
        </w:rPr>
        <w:t xml:space="preserve"> has fulfilled its positive duty </w:t>
      </w:r>
      <w:r w:rsidR="00A505B4" w:rsidRPr="007606D3">
        <w:rPr>
          <w:rFonts w:ascii="Georgia" w:hAnsi="Georgia"/>
          <w:color w:val="000000" w:themeColor="text1"/>
        </w:rPr>
        <w:t xml:space="preserve">to </w:t>
      </w:r>
      <w:r w:rsidR="00377DF2" w:rsidRPr="007606D3">
        <w:rPr>
          <w:rFonts w:ascii="Georgia" w:hAnsi="Georgia"/>
          <w:color w:val="000000" w:themeColor="text1"/>
        </w:rPr>
        <w:t xml:space="preserve">individuals </w:t>
      </w:r>
      <w:r w:rsidR="00A505B4" w:rsidRPr="007606D3">
        <w:rPr>
          <w:rFonts w:ascii="Georgia" w:hAnsi="Georgia"/>
          <w:color w:val="000000" w:themeColor="text1"/>
        </w:rPr>
        <w:t>in</w:t>
      </w:r>
      <w:r w:rsidR="00C75037" w:rsidRPr="007606D3">
        <w:rPr>
          <w:rFonts w:ascii="Georgia" w:hAnsi="Georgia"/>
          <w:color w:val="000000" w:themeColor="text1"/>
        </w:rPr>
        <w:t xml:space="preserve"> </w:t>
      </w:r>
      <w:r w:rsidR="00A505B4" w:rsidRPr="007606D3">
        <w:rPr>
          <w:rFonts w:ascii="Georgia" w:hAnsi="Georgia"/>
          <w:color w:val="000000" w:themeColor="text1"/>
        </w:rPr>
        <w:t>the immediate vicinity</w:t>
      </w:r>
      <w:r w:rsidR="00377DF2" w:rsidRPr="007606D3">
        <w:rPr>
          <w:rFonts w:ascii="Georgia" w:hAnsi="Georgia"/>
          <w:color w:val="000000" w:themeColor="text1"/>
        </w:rPr>
        <w:t>.</w:t>
      </w:r>
      <w:r w:rsidR="004730F0" w:rsidRPr="007606D3">
        <w:rPr>
          <w:rFonts w:ascii="Georgia" w:hAnsi="Georgia"/>
          <w:color w:val="000000" w:themeColor="text1"/>
        </w:rPr>
        <w:t xml:space="preserve"> </w:t>
      </w:r>
      <w:r w:rsidR="00A43475" w:rsidRPr="007606D3">
        <w:rPr>
          <w:rFonts w:ascii="Georgia" w:hAnsi="Georgia"/>
          <w:color w:val="000000" w:themeColor="text1"/>
        </w:rPr>
        <w:t>In other words</w:t>
      </w:r>
      <w:r w:rsidR="002945F0" w:rsidRPr="007606D3">
        <w:rPr>
          <w:rFonts w:ascii="Georgia" w:hAnsi="Georgia"/>
          <w:color w:val="000000" w:themeColor="text1"/>
        </w:rPr>
        <w:t xml:space="preserve">, whether the state’s response is proportionate in all the circumstances can take account of </w:t>
      </w:r>
      <w:r w:rsidR="00602948" w:rsidRPr="007606D3">
        <w:rPr>
          <w:rFonts w:ascii="Georgia" w:hAnsi="Georgia"/>
          <w:color w:val="000000" w:themeColor="text1"/>
        </w:rPr>
        <w:t>concerns</w:t>
      </w:r>
      <w:r w:rsidR="002945F0" w:rsidRPr="007606D3">
        <w:rPr>
          <w:rFonts w:ascii="Georgia" w:hAnsi="Georgia"/>
          <w:color w:val="000000" w:themeColor="text1"/>
        </w:rPr>
        <w:t xml:space="preserve"> </w:t>
      </w:r>
      <w:r w:rsidR="002E3425" w:rsidRPr="007606D3">
        <w:rPr>
          <w:rFonts w:ascii="Georgia" w:hAnsi="Georgia"/>
          <w:color w:val="000000" w:themeColor="text1"/>
        </w:rPr>
        <w:t xml:space="preserve">about </w:t>
      </w:r>
      <w:r w:rsidR="00A43475" w:rsidRPr="007606D3">
        <w:rPr>
          <w:rFonts w:ascii="Georgia" w:hAnsi="Georgia"/>
          <w:color w:val="000000" w:themeColor="text1"/>
        </w:rPr>
        <w:t xml:space="preserve">serious </w:t>
      </w:r>
      <w:r w:rsidR="002E3425" w:rsidRPr="007606D3">
        <w:rPr>
          <w:rFonts w:ascii="Georgia" w:hAnsi="Georgia"/>
          <w:color w:val="000000" w:themeColor="text1"/>
        </w:rPr>
        <w:t xml:space="preserve">‘collateral violence’ to unspecified people </w:t>
      </w:r>
      <w:r w:rsidR="006A04CB" w:rsidRPr="007606D3">
        <w:rPr>
          <w:rFonts w:ascii="Georgia" w:hAnsi="Georgia"/>
          <w:color w:val="000000" w:themeColor="text1"/>
        </w:rPr>
        <w:t>in the</w:t>
      </w:r>
      <w:r w:rsidR="002E3425" w:rsidRPr="007606D3">
        <w:rPr>
          <w:rFonts w:ascii="Georgia" w:hAnsi="Georgia"/>
          <w:color w:val="000000" w:themeColor="text1"/>
        </w:rPr>
        <w:t xml:space="preserve"> wider community.</w:t>
      </w:r>
      <w:r w:rsidR="00A43475" w:rsidRPr="007606D3">
        <w:rPr>
          <w:rFonts w:ascii="Georgia" w:hAnsi="Georgia"/>
          <w:color w:val="000000" w:themeColor="text1"/>
        </w:rPr>
        <w:t xml:space="preserve"> </w:t>
      </w:r>
      <w:r w:rsidR="005E178E" w:rsidRPr="007606D3">
        <w:rPr>
          <w:rFonts w:ascii="Georgia" w:hAnsi="Georgia"/>
          <w:color w:val="000000" w:themeColor="text1"/>
        </w:rPr>
        <w:t xml:space="preserve">The </w:t>
      </w:r>
      <w:r w:rsidR="00F46CD0" w:rsidRPr="007606D3">
        <w:rPr>
          <w:rFonts w:ascii="Georgia" w:hAnsi="Georgia"/>
          <w:color w:val="000000" w:themeColor="text1"/>
        </w:rPr>
        <w:t xml:space="preserve">additional </w:t>
      </w:r>
      <w:r w:rsidR="005E178E" w:rsidRPr="007606D3">
        <w:rPr>
          <w:rFonts w:ascii="Georgia" w:hAnsi="Georgia"/>
          <w:color w:val="000000" w:themeColor="text1"/>
        </w:rPr>
        <w:t xml:space="preserve">paragraph </w:t>
      </w:r>
      <w:r w:rsidR="00480F70" w:rsidRPr="007606D3">
        <w:rPr>
          <w:rFonts w:ascii="Georgia" w:hAnsi="Georgia"/>
          <w:color w:val="000000" w:themeColor="text1"/>
        </w:rPr>
        <w:t xml:space="preserve">proposed </w:t>
      </w:r>
      <w:r w:rsidR="005E178E" w:rsidRPr="007606D3">
        <w:rPr>
          <w:rFonts w:ascii="Georgia" w:hAnsi="Georgia"/>
          <w:color w:val="000000" w:themeColor="text1"/>
        </w:rPr>
        <w:t xml:space="preserve">explicitly </w:t>
      </w:r>
      <w:r w:rsidR="009B569B" w:rsidRPr="007606D3">
        <w:rPr>
          <w:rFonts w:ascii="Georgia" w:hAnsi="Georgia"/>
          <w:color w:val="000000" w:themeColor="text1"/>
        </w:rPr>
        <w:t>acknowledges</w:t>
      </w:r>
      <w:r w:rsidR="005E178E" w:rsidRPr="007606D3">
        <w:rPr>
          <w:rFonts w:ascii="Georgia" w:hAnsi="Georgia"/>
          <w:color w:val="000000" w:themeColor="text1"/>
        </w:rPr>
        <w:t xml:space="preserve"> th</w:t>
      </w:r>
      <w:r w:rsidR="002A4995" w:rsidRPr="007606D3">
        <w:rPr>
          <w:rFonts w:ascii="Georgia" w:hAnsi="Georgia"/>
          <w:color w:val="000000" w:themeColor="text1"/>
        </w:rPr>
        <w:t xml:space="preserve">is </w:t>
      </w:r>
      <w:r w:rsidR="00AF105C" w:rsidRPr="007606D3">
        <w:rPr>
          <w:rFonts w:ascii="Georgia" w:hAnsi="Georgia"/>
          <w:color w:val="000000" w:themeColor="text1"/>
        </w:rPr>
        <w:t xml:space="preserve">justification </w:t>
      </w:r>
      <w:r w:rsidR="00663D6D" w:rsidRPr="007606D3">
        <w:rPr>
          <w:rFonts w:ascii="Georgia" w:hAnsi="Georgia"/>
          <w:color w:val="000000" w:themeColor="text1"/>
        </w:rPr>
        <w:t>but</w:t>
      </w:r>
      <w:r w:rsidR="00602948" w:rsidRPr="007606D3">
        <w:rPr>
          <w:rFonts w:ascii="Georgia" w:hAnsi="Georgia"/>
          <w:color w:val="000000" w:themeColor="text1"/>
        </w:rPr>
        <w:t xml:space="preserve"> emphasiz</w:t>
      </w:r>
      <w:r w:rsidR="00663D6D" w:rsidRPr="007606D3">
        <w:rPr>
          <w:rFonts w:ascii="Georgia" w:hAnsi="Georgia"/>
          <w:color w:val="000000" w:themeColor="text1"/>
        </w:rPr>
        <w:t>es</w:t>
      </w:r>
      <w:r w:rsidR="009B569B" w:rsidRPr="007606D3">
        <w:rPr>
          <w:rFonts w:ascii="Georgia" w:hAnsi="Georgia"/>
          <w:color w:val="000000" w:themeColor="text1"/>
        </w:rPr>
        <w:t xml:space="preserve"> the need </w:t>
      </w:r>
      <w:r w:rsidR="00987E4E" w:rsidRPr="007606D3">
        <w:rPr>
          <w:rFonts w:ascii="Georgia" w:hAnsi="Georgia"/>
          <w:color w:val="000000" w:themeColor="text1"/>
        </w:rPr>
        <w:t xml:space="preserve">for any </w:t>
      </w:r>
      <w:r w:rsidR="000E6E1A" w:rsidRPr="007606D3">
        <w:rPr>
          <w:rFonts w:ascii="Georgia" w:hAnsi="Georgia"/>
          <w:color w:val="000000" w:themeColor="text1"/>
        </w:rPr>
        <w:t>circumscription</w:t>
      </w:r>
      <w:r w:rsidR="00987E4E" w:rsidRPr="007606D3">
        <w:rPr>
          <w:rFonts w:ascii="Georgia" w:hAnsi="Georgia"/>
          <w:color w:val="000000" w:themeColor="text1"/>
        </w:rPr>
        <w:t xml:space="preserve"> of positive duties in such circumstances </w:t>
      </w:r>
      <w:r w:rsidR="00733A4F" w:rsidRPr="007606D3">
        <w:rPr>
          <w:rFonts w:ascii="Georgia" w:hAnsi="Georgia"/>
          <w:color w:val="000000" w:themeColor="text1"/>
        </w:rPr>
        <w:t xml:space="preserve">to be grounded in </w:t>
      </w:r>
      <w:r w:rsidR="001F0221" w:rsidRPr="007606D3">
        <w:rPr>
          <w:rFonts w:ascii="Georgia" w:hAnsi="Georgia"/>
          <w:color w:val="000000" w:themeColor="text1"/>
        </w:rPr>
        <w:t>evidence</w:t>
      </w:r>
      <w:r w:rsidR="00733A4F" w:rsidRPr="007606D3">
        <w:rPr>
          <w:rFonts w:ascii="Georgia" w:hAnsi="Georgia"/>
          <w:color w:val="000000" w:themeColor="text1"/>
        </w:rPr>
        <w:t xml:space="preserve"> capable of withstanding strict scrutiny. </w:t>
      </w:r>
    </w:p>
    <w:p w14:paraId="60ECD57F" w14:textId="224C756F" w:rsidR="00241F9A" w:rsidRPr="007606D3" w:rsidRDefault="003E3B42" w:rsidP="00714064">
      <w:pPr>
        <w:spacing w:line="276" w:lineRule="auto"/>
        <w:rPr>
          <w:rFonts w:ascii="Georgia" w:hAnsi="Georgia"/>
          <w:b/>
          <w:bCs/>
          <w:color w:val="000000" w:themeColor="text1"/>
        </w:rPr>
      </w:pPr>
      <w:r w:rsidRPr="007606D3">
        <w:rPr>
          <w:rFonts w:ascii="Georgia" w:hAnsi="Georgia"/>
          <w:b/>
          <w:bCs/>
          <w:color w:val="000000" w:themeColor="text1"/>
          <w:u w:val="single"/>
        </w:rPr>
        <w:br/>
      </w:r>
      <w:r w:rsidR="00AC36CE" w:rsidRPr="007606D3">
        <w:rPr>
          <w:rFonts w:ascii="Georgia" w:hAnsi="Georgia"/>
          <w:b/>
          <w:bCs/>
          <w:color w:val="000000" w:themeColor="text1"/>
        </w:rPr>
        <w:t>Paragraph 72 (Richard Martin</w:t>
      </w:r>
      <w:r w:rsidR="006F7C1A">
        <w:rPr>
          <w:rFonts w:ascii="Georgia" w:hAnsi="Georgia"/>
          <w:b/>
          <w:bCs/>
          <w:color w:val="000000" w:themeColor="text1"/>
        </w:rPr>
        <w:t xml:space="preserve"> and Oliver Butler</w:t>
      </w:r>
      <w:r w:rsidR="00AC36CE" w:rsidRPr="007606D3">
        <w:rPr>
          <w:rFonts w:ascii="Georgia" w:hAnsi="Georgia"/>
          <w:b/>
          <w:bCs/>
          <w:color w:val="000000" w:themeColor="text1"/>
        </w:rPr>
        <w:t>)</w:t>
      </w:r>
    </w:p>
    <w:p w14:paraId="17EB1ABC" w14:textId="77777777" w:rsidR="002E662E" w:rsidRPr="007606D3" w:rsidRDefault="002E662E" w:rsidP="00714064">
      <w:pPr>
        <w:spacing w:line="276" w:lineRule="auto"/>
        <w:rPr>
          <w:rFonts w:ascii="Georgia" w:hAnsi="Georgia"/>
          <w:b/>
          <w:bCs/>
          <w:color w:val="000000" w:themeColor="text1"/>
        </w:rPr>
      </w:pPr>
    </w:p>
    <w:p w14:paraId="043FB471" w14:textId="43CA7CE9" w:rsidR="00FF2A2E" w:rsidRPr="007606D3" w:rsidRDefault="00B213B1" w:rsidP="00714064">
      <w:pPr>
        <w:spacing w:line="276" w:lineRule="auto"/>
        <w:jc w:val="both"/>
        <w:rPr>
          <w:rFonts w:ascii="Georgia" w:hAnsi="Georgia"/>
          <w:color w:val="000000" w:themeColor="text1"/>
        </w:rPr>
      </w:pPr>
      <w:r w:rsidRPr="007606D3">
        <w:rPr>
          <w:rFonts w:ascii="Georgia" w:hAnsi="Georgia"/>
          <w:color w:val="000000" w:themeColor="text1"/>
        </w:rPr>
        <w:lastRenderedPageBreak/>
        <w:t>To</w:t>
      </w:r>
      <w:r w:rsidR="00C37024" w:rsidRPr="007606D3">
        <w:rPr>
          <w:rFonts w:ascii="Georgia" w:hAnsi="Georgia"/>
          <w:color w:val="000000" w:themeColor="text1"/>
        </w:rPr>
        <w:t xml:space="preserve"> explicitly</w:t>
      </w:r>
      <w:r w:rsidRPr="007606D3">
        <w:rPr>
          <w:rFonts w:ascii="Georgia" w:hAnsi="Georgia"/>
          <w:color w:val="000000" w:themeColor="text1"/>
        </w:rPr>
        <w:t xml:space="preserve"> recognise the safeguards that ought to accompany </w:t>
      </w:r>
      <w:r w:rsidR="00EF6F72" w:rsidRPr="007606D3">
        <w:rPr>
          <w:rFonts w:ascii="Georgia" w:hAnsi="Georgia"/>
          <w:color w:val="000000" w:themeColor="text1"/>
        </w:rPr>
        <w:t xml:space="preserve">the use of automated facial recognition technology </w:t>
      </w:r>
      <w:r w:rsidR="00B261E5" w:rsidRPr="007606D3">
        <w:rPr>
          <w:rFonts w:ascii="Georgia" w:hAnsi="Georgia"/>
          <w:color w:val="000000" w:themeColor="text1"/>
        </w:rPr>
        <w:t xml:space="preserve">when </w:t>
      </w:r>
      <w:r w:rsidR="00AC2844" w:rsidRPr="007606D3">
        <w:rPr>
          <w:rFonts w:ascii="Georgia" w:hAnsi="Georgia"/>
          <w:color w:val="000000" w:themeColor="text1"/>
        </w:rPr>
        <w:t xml:space="preserve">deployed in the policing of public assemblies. </w:t>
      </w:r>
    </w:p>
    <w:p w14:paraId="179ADC4D" w14:textId="4CF717EC" w:rsidR="002B6AF3" w:rsidRPr="007606D3" w:rsidRDefault="002B6AF3" w:rsidP="00714064">
      <w:pPr>
        <w:spacing w:line="276" w:lineRule="auto"/>
        <w:rPr>
          <w:rFonts w:ascii="Georgia" w:hAnsi="Georgia"/>
          <w:b/>
          <w:bCs/>
          <w:color w:val="000000" w:themeColor="text1"/>
        </w:rPr>
      </w:pPr>
    </w:p>
    <w:p w14:paraId="632B2715" w14:textId="283E4458" w:rsidR="008326A3" w:rsidRPr="007606D3" w:rsidRDefault="00201926" w:rsidP="00714064">
      <w:pPr>
        <w:spacing w:line="276" w:lineRule="auto"/>
        <w:rPr>
          <w:rFonts w:ascii="Georgia" w:hAnsi="Georgia"/>
          <w:color w:val="000000" w:themeColor="text1"/>
        </w:rPr>
      </w:pPr>
      <w:r w:rsidRPr="007606D3">
        <w:rPr>
          <w:rFonts w:ascii="Georgia" w:hAnsi="Georgia"/>
          <w:color w:val="000000" w:themeColor="text1"/>
        </w:rPr>
        <w:t>I propose inserting t</w:t>
      </w:r>
      <w:r w:rsidR="00AC36CE" w:rsidRPr="007606D3">
        <w:rPr>
          <w:rFonts w:ascii="Georgia" w:hAnsi="Georgia"/>
          <w:color w:val="000000" w:themeColor="text1"/>
        </w:rPr>
        <w:t>he following paragraph after [72</w:t>
      </w:r>
      <w:r w:rsidRPr="007606D3">
        <w:rPr>
          <w:rFonts w:ascii="Georgia" w:hAnsi="Georgia"/>
          <w:color w:val="000000" w:themeColor="text1"/>
        </w:rPr>
        <w:t xml:space="preserve">]: </w:t>
      </w:r>
    </w:p>
    <w:p w14:paraId="62D2BAB1" w14:textId="77777777" w:rsidR="000F3484" w:rsidRDefault="000F3484" w:rsidP="00714064">
      <w:pPr>
        <w:spacing w:line="276" w:lineRule="auto"/>
        <w:jc w:val="both"/>
        <w:rPr>
          <w:rFonts w:ascii="Georgia" w:hAnsi="Georgia"/>
          <w:i/>
          <w:color w:val="000000" w:themeColor="text1"/>
        </w:rPr>
      </w:pPr>
    </w:p>
    <w:p w14:paraId="06B66540" w14:textId="4950F450" w:rsidR="00FF2A2E" w:rsidRPr="007606D3" w:rsidRDefault="00EE17C5" w:rsidP="00714064">
      <w:pPr>
        <w:ind w:left="720"/>
        <w:jc w:val="both"/>
        <w:rPr>
          <w:rFonts w:ascii="Georgia" w:hAnsi="Georgia"/>
          <w:i/>
          <w:color w:val="000000" w:themeColor="text1"/>
        </w:rPr>
      </w:pPr>
      <w:r w:rsidRPr="007606D3">
        <w:rPr>
          <w:rFonts w:ascii="Georgia" w:hAnsi="Georgia"/>
          <w:i/>
          <w:color w:val="000000" w:themeColor="text1"/>
        </w:rPr>
        <w:t>73</w:t>
      </w:r>
      <w:r w:rsidR="00F80B76" w:rsidRPr="007606D3">
        <w:rPr>
          <w:rFonts w:ascii="Georgia" w:hAnsi="Georgia"/>
          <w:i/>
          <w:color w:val="000000" w:themeColor="text1"/>
        </w:rPr>
        <w:t>.</w:t>
      </w:r>
      <w:r w:rsidRPr="007606D3">
        <w:rPr>
          <w:rFonts w:ascii="Georgia" w:hAnsi="Georgia"/>
          <w:i/>
          <w:color w:val="000000" w:themeColor="text1"/>
        </w:rPr>
        <w:t xml:space="preserve"> </w:t>
      </w:r>
      <w:r w:rsidR="000F3484">
        <w:rPr>
          <w:rFonts w:ascii="Georgia" w:hAnsi="Georgia"/>
          <w:i/>
          <w:color w:val="000000" w:themeColor="text1"/>
        </w:rPr>
        <w:tab/>
      </w:r>
      <w:r w:rsidR="00FF2A2E" w:rsidRPr="007606D3">
        <w:rPr>
          <w:rFonts w:ascii="Georgia" w:hAnsi="Georgia"/>
          <w:i/>
          <w:color w:val="000000" w:themeColor="text1"/>
        </w:rPr>
        <w:t xml:space="preserve">The use of </w:t>
      </w:r>
      <w:r w:rsidR="009A58D1" w:rsidRPr="007606D3">
        <w:rPr>
          <w:rFonts w:ascii="Georgia" w:hAnsi="Georgia"/>
          <w:i/>
          <w:color w:val="000000" w:themeColor="text1"/>
        </w:rPr>
        <w:t>automated facial</w:t>
      </w:r>
      <w:r w:rsidR="00FF2A2E" w:rsidRPr="007606D3">
        <w:rPr>
          <w:rFonts w:ascii="Georgia" w:hAnsi="Georgia"/>
          <w:i/>
          <w:color w:val="000000" w:themeColor="text1"/>
        </w:rPr>
        <w:t xml:space="preserve"> </w:t>
      </w:r>
      <w:r w:rsidR="009A58D1" w:rsidRPr="007606D3">
        <w:rPr>
          <w:rFonts w:ascii="Georgia" w:hAnsi="Georgia"/>
          <w:i/>
          <w:color w:val="000000" w:themeColor="text1"/>
        </w:rPr>
        <w:t>r</w:t>
      </w:r>
      <w:r w:rsidR="00FF2A2E" w:rsidRPr="007606D3">
        <w:rPr>
          <w:rFonts w:ascii="Georgia" w:hAnsi="Georgia"/>
          <w:i/>
          <w:color w:val="000000" w:themeColor="text1"/>
        </w:rPr>
        <w:t>ecognition technolog</w:t>
      </w:r>
      <w:r w:rsidR="0093510B" w:rsidRPr="007606D3">
        <w:rPr>
          <w:rFonts w:ascii="Georgia" w:hAnsi="Georgia"/>
          <w:i/>
          <w:color w:val="000000" w:themeColor="text1"/>
        </w:rPr>
        <w:t>y</w:t>
      </w:r>
      <w:r w:rsidR="009220EF" w:rsidRPr="007606D3">
        <w:rPr>
          <w:rFonts w:ascii="Georgia" w:hAnsi="Georgia"/>
          <w:i/>
          <w:color w:val="000000" w:themeColor="text1"/>
        </w:rPr>
        <w:t>, applied to those who participate in assemblies, or are about to</w:t>
      </w:r>
      <w:r w:rsidR="00C101F0" w:rsidRPr="007606D3">
        <w:rPr>
          <w:rFonts w:ascii="Georgia" w:hAnsi="Georgia"/>
          <w:i/>
          <w:color w:val="000000" w:themeColor="text1"/>
        </w:rPr>
        <w:t xml:space="preserve"> do so, risk</w:t>
      </w:r>
      <w:r w:rsidR="00B261E5" w:rsidRPr="007606D3">
        <w:rPr>
          <w:rFonts w:ascii="Georgia" w:hAnsi="Georgia"/>
          <w:i/>
          <w:color w:val="000000" w:themeColor="text1"/>
        </w:rPr>
        <w:t>s</w:t>
      </w:r>
      <w:r w:rsidR="00C101F0" w:rsidRPr="007606D3">
        <w:rPr>
          <w:rFonts w:ascii="Georgia" w:hAnsi="Georgia"/>
          <w:i/>
          <w:color w:val="000000" w:themeColor="text1"/>
        </w:rPr>
        <w:t xml:space="preserve"> unwarranted interference with the right to privacy. </w:t>
      </w:r>
      <w:r w:rsidR="0053456F" w:rsidRPr="007606D3">
        <w:rPr>
          <w:rFonts w:ascii="Georgia" w:hAnsi="Georgia"/>
          <w:i/>
          <w:color w:val="000000" w:themeColor="text1"/>
        </w:rPr>
        <w:t xml:space="preserve">The technology entails the extraction of unique information and identifiers about an individual allowing </w:t>
      </w:r>
      <w:r w:rsidR="00795F0C" w:rsidRPr="007606D3">
        <w:rPr>
          <w:rFonts w:ascii="Georgia" w:hAnsi="Georgia"/>
          <w:i/>
          <w:color w:val="000000" w:themeColor="text1"/>
        </w:rPr>
        <w:t>their</w:t>
      </w:r>
      <w:r w:rsidR="0053456F" w:rsidRPr="007606D3">
        <w:rPr>
          <w:rFonts w:ascii="Georgia" w:hAnsi="Georgia"/>
          <w:i/>
          <w:color w:val="000000" w:themeColor="text1"/>
        </w:rPr>
        <w:t xml:space="preserve"> identification.</w:t>
      </w:r>
      <w:r w:rsidR="005F7BEF" w:rsidRPr="005F7BEF">
        <w:t xml:space="preserve"> </w:t>
      </w:r>
      <w:r w:rsidR="005F7BEF" w:rsidRPr="005F7BEF">
        <w:rPr>
          <w:rFonts w:ascii="Georgia" w:hAnsi="Georgia"/>
          <w:i/>
          <w:color w:val="000000" w:themeColor="text1"/>
        </w:rPr>
        <w:t>Facial recognition technologies also often have significant false positive rates and discriminate, especially on the ground of race. Poor quality training datasets and algorithmic design contribute to these features of facial recognition technology. Adequate safeguards should include effective oversight of the design, training, testing and deployment of facial recognition technologies to ensure their lawful and proportionate use</w:t>
      </w:r>
      <w:r w:rsidR="005F7BEF">
        <w:rPr>
          <w:rFonts w:ascii="Georgia" w:hAnsi="Georgia"/>
          <w:i/>
          <w:color w:val="000000" w:themeColor="text1"/>
        </w:rPr>
        <w:t>.</w:t>
      </w:r>
      <w:r w:rsidR="00B261E5" w:rsidRPr="007606D3">
        <w:rPr>
          <w:rFonts w:ascii="Georgia" w:hAnsi="Georgia"/>
          <w:i/>
          <w:color w:val="000000" w:themeColor="text1"/>
        </w:rPr>
        <w:t xml:space="preserve"> </w:t>
      </w:r>
      <w:r w:rsidR="004E03E7" w:rsidRPr="007606D3">
        <w:rPr>
          <w:rFonts w:ascii="Georgia" w:hAnsi="Georgia"/>
          <w:i/>
          <w:color w:val="000000" w:themeColor="text1"/>
        </w:rPr>
        <w:t>A perso</w:t>
      </w:r>
      <w:r w:rsidR="00483CF2" w:rsidRPr="007606D3">
        <w:rPr>
          <w:rFonts w:ascii="Georgia" w:hAnsi="Georgia"/>
          <w:i/>
          <w:color w:val="000000" w:themeColor="text1"/>
        </w:rPr>
        <w:t>n</w:t>
      </w:r>
      <w:r w:rsidR="004E03E7" w:rsidRPr="007606D3">
        <w:rPr>
          <w:rFonts w:ascii="Georgia" w:hAnsi="Georgia"/>
          <w:i/>
          <w:color w:val="000000" w:themeColor="text1"/>
        </w:rPr>
        <w:t xml:space="preserve"> should not be included</w:t>
      </w:r>
      <w:r w:rsidR="002B7971" w:rsidRPr="007606D3">
        <w:rPr>
          <w:rFonts w:ascii="Georgia" w:hAnsi="Georgia"/>
          <w:i/>
          <w:color w:val="000000" w:themeColor="text1"/>
        </w:rPr>
        <w:t xml:space="preserve"> on a watchlist</w:t>
      </w:r>
      <w:r w:rsidR="004E03E7" w:rsidRPr="007606D3">
        <w:rPr>
          <w:rFonts w:ascii="Georgia" w:hAnsi="Georgia"/>
          <w:i/>
          <w:color w:val="000000" w:themeColor="text1"/>
        </w:rPr>
        <w:t xml:space="preserve">, with the </w:t>
      </w:r>
      <w:r w:rsidR="00F6729E" w:rsidRPr="007606D3">
        <w:rPr>
          <w:rFonts w:ascii="Georgia" w:hAnsi="Georgia"/>
          <w:i/>
          <w:color w:val="000000" w:themeColor="text1"/>
        </w:rPr>
        <w:t xml:space="preserve">subsequent processing of </w:t>
      </w:r>
      <w:r w:rsidR="004E03E7" w:rsidRPr="007606D3">
        <w:rPr>
          <w:rFonts w:ascii="Georgia" w:hAnsi="Georgia"/>
          <w:i/>
          <w:color w:val="000000" w:themeColor="text1"/>
        </w:rPr>
        <w:t>their</w:t>
      </w:r>
      <w:r w:rsidR="00F6729E" w:rsidRPr="007606D3">
        <w:rPr>
          <w:rFonts w:ascii="Georgia" w:hAnsi="Georgia"/>
          <w:i/>
          <w:color w:val="000000" w:themeColor="text1"/>
        </w:rPr>
        <w:t xml:space="preserve"> personal dat</w:t>
      </w:r>
      <w:r w:rsidR="004E03E7" w:rsidRPr="007606D3">
        <w:rPr>
          <w:rFonts w:ascii="Georgia" w:hAnsi="Georgia"/>
          <w:i/>
          <w:color w:val="000000" w:themeColor="text1"/>
        </w:rPr>
        <w:t>a, without sufficient reason. The technology should</w:t>
      </w:r>
      <w:r w:rsidR="007605AE" w:rsidRPr="007606D3">
        <w:rPr>
          <w:rFonts w:ascii="Georgia" w:hAnsi="Georgia"/>
          <w:i/>
          <w:color w:val="000000" w:themeColor="text1"/>
        </w:rPr>
        <w:t xml:space="preserve"> be accompanied with clear and publicly available guidelines</w:t>
      </w:r>
      <w:r w:rsidR="00E51C7E" w:rsidRPr="007606D3">
        <w:rPr>
          <w:rFonts w:ascii="Georgia" w:hAnsi="Georgia"/>
          <w:i/>
          <w:color w:val="000000" w:themeColor="text1"/>
        </w:rPr>
        <w:t xml:space="preserve"> to ensure its design and deployment is consistent </w:t>
      </w:r>
      <w:r w:rsidR="007605AE" w:rsidRPr="007606D3">
        <w:rPr>
          <w:rFonts w:ascii="Georgia" w:hAnsi="Georgia"/>
          <w:i/>
          <w:color w:val="000000" w:themeColor="text1"/>
        </w:rPr>
        <w:t>international standards of privacy and does not have a chilling effect on participation in assemblies.</w:t>
      </w:r>
      <w:r w:rsidR="00B261E5" w:rsidRPr="007606D3">
        <w:rPr>
          <w:rFonts w:ascii="Georgia" w:hAnsi="Georgia"/>
          <w:i/>
          <w:color w:val="000000" w:themeColor="text1"/>
        </w:rPr>
        <w:t xml:space="preserve"> This technology should not be used in a discriminatory manner.’</w:t>
      </w:r>
    </w:p>
    <w:p w14:paraId="3928CFEF" w14:textId="6DBDC695" w:rsidR="004E1B86" w:rsidRPr="007606D3" w:rsidRDefault="004E1B86" w:rsidP="00714064">
      <w:pPr>
        <w:spacing w:line="276" w:lineRule="auto"/>
        <w:ind w:left="284"/>
        <w:jc w:val="both"/>
        <w:rPr>
          <w:rFonts w:ascii="Georgia" w:hAnsi="Georgia"/>
          <w:color w:val="000000" w:themeColor="text1"/>
        </w:rPr>
      </w:pPr>
    </w:p>
    <w:p w14:paraId="24783C44" w14:textId="4C6EFF98" w:rsidR="004E1B86" w:rsidRPr="007606D3" w:rsidRDefault="004E1B86" w:rsidP="00714064">
      <w:pPr>
        <w:spacing w:line="276" w:lineRule="auto"/>
        <w:jc w:val="both"/>
        <w:rPr>
          <w:rFonts w:ascii="Georgia" w:hAnsi="Georgia"/>
          <w:b/>
          <w:bCs/>
          <w:color w:val="000000" w:themeColor="text1"/>
        </w:rPr>
      </w:pPr>
      <w:r w:rsidRPr="007606D3">
        <w:rPr>
          <w:rFonts w:ascii="Georgia" w:hAnsi="Georgia"/>
          <w:b/>
          <w:bCs/>
          <w:color w:val="000000" w:themeColor="text1"/>
        </w:rPr>
        <w:t xml:space="preserve">Justification </w:t>
      </w:r>
    </w:p>
    <w:p w14:paraId="595054C4" w14:textId="59AF1889" w:rsidR="0070598A" w:rsidRPr="007606D3" w:rsidRDefault="0070598A" w:rsidP="00714064">
      <w:pPr>
        <w:spacing w:line="276" w:lineRule="auto"/>
        <w:ind w:left="284"/>
        <w:jc w:val="both"/>
        <w:rPr>
          <w:rFonts w:ascii="Georgia" w:hAnsi="Georgia"/>
          <w:b/>
          <w:bCs/>
          <w:color w:val="000000" w:themeColor="text1"/>
        </w:rPr>
      </w:pPr>
    </w:p>
    <w:p w14:paraId="2973E1DC" w14:textId="726DD24A" w:rsidR="00D434DA" w:rsidRDefault="0070598A" w:rsidP="00714064">
      <w:pPr>
        <w:spacing w:line="276" w:lineRule="auto"/>
        <w:jc w:val="both"/>
        <w:rPr>
          <w:rFonts w:ascii="Georgia" w:hAnsi="Georgia"/>
          <w:color w:val="000000" w:themeColor="text1"/>
        </w:rPr>
      </w:pPr>
      <w:r w:rsidRPr="007606D3">
        <w:rPr>
          <w:rFonts w:ascii="Georgia" w:hAnsi="Georgia"/>
          <w:color w:val="000000" w:themeColor="text1"/>
        </w:rPr>
        <w:lastRenderedPageBreak/>
        <w:t xml:space="preserve">The development and deployment of </w:t>
      </w:r>
      <w:r w:rsidR="00B70E5B" w:rsidRPr="007606D3">
        <w:rPr>
          <w:rFonts w:ascii="Georgia" w:hAnsi="Georgia"/>
          <w:color w:val="000000" w:themeColor="text1"/>
        </w:rPr>
        <w:t xml:space="preserve">automated facial recognition </w:t>
      </w:r>
      <w:r w:rsidR="00721969" w:rsidRPr="007606D3">
        <w:rPr>
          <w:rFonts w:ascii="Georgia" w:hAnsi="Georgia"/>
          <w:color w:val="000000" w:themeColor="text1"/>
        </w:rPr>
        <w:t>technology is an emerging</w:t>
      </w:r>
      <w:r w:rsidR="00B974A8" w:rsidRPr="007606D3">
        <w:rPr>
          <w:rFonts w:ascii="Georgia" w:hAnsi="Georgia"/>
          <w:color w:val="000000" w:themeColor="text1"/>
        </w:rPr>
        <w:t xml:space="preserve"> </w:t>
      </w:r>
      <w:r w:rsidR="00B261E5" w:rsidRPr="007606D3">
        <w:rPr>
          <w:rFonts w:ascii="Georgia" w:hAnsi="Georgia"/>
          <w:color w:val="000000" w:themeColor="text1"/>
        </w:rPr>
        <w:t xml:space="preserve">police </w:t>
      </w:r>
      <w:r w:rsidR="00A13AAA" w:rsidRPr="007606D3">
        <w:rPr>
          <w:rFonts w:ascii="Georgia" w:hAnsi="Georgia"/>
          <w:color w:val="000000" w:themeColor="text1"/>
        </w:rPr>
        <w:t xml:space="preserve">tactic </w:t>
      </w:r>
      <w:r w:rsidR="00B261E5" w:rsidRPr="007606D3">
        <w:rPr>
          <w:rFonts w:ascii="Georgia" w:hAnsi="Georgia"/>
          <w:color w:val="000000" w:themeColor="text1"/>
        </w:rPr>
        <w:t>for</w:t>
      </w:r>
      <w:r w:rsidR="00A13AAA" w:rsidRPr="007606D3">
        <w:rPr>
          <w:rFonts w:ascii="Georgia" w:hAnsi="Georgia"/>
          <w:color w:val="000000" w:themeColor="text1"/>
        </w:rPr>
        <w:t xml:space="preserve"> </w:t>
      </w:r>
      <w:r w:rsidR="00B974A8" w:rsidRPr="007606D3">
        <w:rPr>
          <w:rFonts w:ascii="Georgia" w:hAnsi="Georgia"/>
          <w:color w:val="000000" w:themeColor="text1"/>
        </w:rPr>
        <w:t>detecting</w:t>
      </w:r>
      <w:r w:rsidR="00D966CF" w:rsidRPr="007606D3">
        <w:rPr>
          <w:rFonts w:ascii="Georgia" w:hAnsi="Georgia"/>
          <w:color w:val="000000" w:themeColor="text1"/>
        </w:rPr>
        <w:t xml:space="preserve"> </w:t>
      </w:r>
      <w:r w:rsidR="00CA3000" w:rsidRPr="007606D3">
        <w:rPr>
          <w:rFonts w:ascii="Georgia" w:hAnsi="Georgia"/>
          <w:color w:val="000000" w:themeColor="text1"/>
        </w:rPr>
        <w:t>persons</w:t>
      </w:r>
      <w:r w:rsidR="00B974A8" w:rsidRPr="007606D3">
        <w:rPr>
          <w:rFonts w:ascii="Georgia" w:hAnsi="Georgia"/>
          <w:color w:val="000000" w:themeColor="text1"/>
        </w:rPr>
        <w:t xml:space="preserve"> of interest</w:t>
      </w:r>
      <w:r w:rsidR="00CA3000" w:rsidRPr="007606D3">
        <w:rPr>
          <w:rFonts w:ascii="Georgia" w:hAnsi="Georgia"/>
          <w:color w:val="000000" w:themeColor="text1"/>
        </w:rPr>
        <w:t xml:space="preserve"> </w:t>
      </w:r>
      <w:r w:rsidR="006A595F" w:rsidRPr="007606D3">
        <w:rPr>
          <w:rFonts w:ascii="Georgia" w:hAnsi="Georgia"/>
          <w:color w:val="000000" w:themeColor="text1"/>
        </w:rPr>
        <w:t>involved in</w:t>
      </w:r>
      <w:r w:rsidR="00A13AAA" w:rsidRPr="007606D3">
        <w:rPr>
          <w:rFonts w:ascii="Georgia" w:hAnsi="Georgia"/>
          <w:color w:val="000000" w:themeColor="text1"/>
        </w:rPr>
        <w:t xml:space="preserve"> public assemblies.</w:t>
      </w:r>
      <w:r w:rsidR="007D4E33" w:rsidRPr="007606D3">
        <w:rPr>
          <w:rStyle w:val="FootnoteReference"/>
          <w:rFonts w:ascii="Georgia" w:hAnsi="Georgia"/>
          <w:color w:val="000000" w:themeColor="text1"/>
        </w:rPr>
        <w:footnoteReference w:id="11"/>
      </w:r>
      <w:r w:rsidR="00AE175E" w:rsidRPr="007606D3">
        <w:rPr>
          <w:rFonts w:ascii="Georgia" w:hAnsi="Georgia"/>
          <w:color w:val="000000" w:themeColor="text1"/>
        </w:rPr>
        <w:t xml:space="preserve"> </w:t>
      </w:r>
      <w:r w:rsidR="007D4E33" w:rsidRPr="007606D3">
        <w:rPr>
          <w:rFonts w:ascii="Georgia" w:hAnsi="Georgia"/>
          <w:color w:val="000000" w:themeColor="text1"/>
        </w:rPr>
        <w:t>A</w:t>
      </w:r>
      <w:r w:rsidR="00AE175E" w:rsidRPr="007606D3">
        <w:rPr>
          <w:rFonts w:ascii="Georgia" w:hAnsi="Georgia"/>
          <w:color w:val="000000" w:themeColor="text1"/>
        </w:rPr>
        <w:t>utomated facial recognition technology uses ‘digital information to isolate pictures of individual faces, extract information about facial features from those pictures, compare that information with the watchlist information, and indicate matches between faces captured through the CCTV recording and those held on the watchlist</w:t>
      </w:r>
      <w:r w:rsidR="00827517" w:rsidRPr="007606D3">
        <w:rPr>
          <w:rFonts w:ascii="Georgia" w:hAnsi="Georgia"/>
          <w:color w:val="000000" w:themeColor="text1"/>
        </w:rPr>
        <w:t>.’</w:t>
      </w:r>
      <w:r w:rsidR="006B0B64" w:rsidRPr="007606D3">
        <w:rPr>
          <w:rStyle w:val="FootnoteReference"/>
          <w:rFonts w:ascii="Georgia" w:hAnsi="Georgia"/>
          <w:color w:val="000000" w:themeColor="text1"/>
        </w:rPr>
        <w:footnoteReference w:id="12"/>
      </w:r>
      <w:r w:rsidR="00F65936" w:rsidRPr="007606D3">
        <w:rPr>
          <w:rFonts w:ascii="Georgia" w:hAnsi="Georgia"/>
          <w:color w:val="000000" w:themeColor="text1"/>
        </w:rPr>
        <w:t xml:space="preserve"> </w:t>
      </w:r>
      <w:r w:rsidR="007D4E33" w:rsidRPr="007606D3">
        <w:rPr>
          <w:rFonts w:ascii="Georgia" w:hAnsi="Georgia"/>
          <w:color w:val="000000" w:themeColor="text1"/>
        </w:rPr>
        <w:t xml:space="preserve">If used in compliance with sufficient safeguards, this </w:t>
      </w:r>
      <w:r w:rsidR="006B4AB5" w:rsidRPr="007606D3">
        <w:rPr>
          <w:rFonts w:ascii="Georgia" w:hAnsi="Georgia"/>
          <w:color w:val="000000" w:themeColor="text1"/>
        </w:rPr>
        <w:t xml:space="preserve">technology </w:t>
      </w:r>
      <w:r w:rsidR="00AE175E" w:rsidRPr="007606D3">
        <w:rPr>
          <w:rFonts w:ascii="Georgia" w:hAnsi="Georgia"/>
          <w:color w:val="000000" w:themeColor="text1"/>
        </w:rPr>
        <w:t xml:space="preserve">can serve </w:t>
      </w:r>
      <w:r w:rsidR="00E910A6" w:rsidRPr="007606D3">
        <w:rPr>
          <w:rFonts w:ascii="Georgia" w:hAnsi="Georgia"/>
          <w:color w:val="000000" w:themeColor="text1"/>
        </w:rPr>
        <w:t xml:space="preserve">the </w:t>
      </w:r>
      <w:r w:rsidR="00AE175E" w:rsidRPr="007606D3">
        <w:rPr>
          <w:rFonts w:ascii="Georgia" w:hAnsi="Georgia"/>
          <w:color w:val="000000" w:themeColor="text1"/>
        </w:rPr>
        <w:t>legitimate aim</w:t>
      </w:r>
      <w:r w:rsidR="002743FE" w:rsidRPr="007606D3">
        <w:rPr>
          <w:rFonts w:ascii="Georgia" w:hAnsi="Georgia"/>
          <w:color w:val="000000" w:themeColor="text1"/>
        </w:rPr>
        <w:t xml:space="preserve">s </w:t>
      </w:r>
      <w:r w:rsidR="00E910A6" w:rsidRPr="007606D3">
        <w:rPr>
          <w:rFonts w:ascii="Georgia" w:hAnsi="Georgia"/>
          <w:color w:val="000000" w:themeColor="text1"/>
        </w:rPr>
        <w:t xml:space="preserve">of </w:t>
      </w:r>
      <w:r w:rsidR="00392723" w:rsidRPr="007606D3">
        <w:rPr>
          <w:rFonts w:ascii="Georgia" w:hAnsi="Georgia"/>
          <w:color w:val="000000" w:themeColor="text1"/>
        </w:rPr>
        <w:t>protecting</w:t>
      </w:r>
      <w:r w:rsidR="00E910A6" w:rsidRPr="007606D3">
        <w:rPr>
          <w:rFonts w:ascii="Georgia" w:hAnsi="Georgia"/>
          <w:color w:val="000000" w:themeColor="text1"/>
        </w:rPr>
        <w:t xml:space="preserve"> </w:t>
      </w:r>
      <w:r w:rsidR="002743FE" w:rsidRPr="007606D3">
        <w:rPr>
          <w:rFonts w:ascii="Georgia" w:hAnsi="Georgia"/>
          <w:color w:val="000000" w:themeColor="text1"/>
        </w:rPr>
        <w:t>national security</w:t>
      </w:r>
      <w:r w:rsidR="002E2309" w:rsidRPr="007606D3">
        <w:rPr>
          <w:rFonts w:ascii="Georgia" w:hAnsi="Georgia"/>
          <w:color w:val="000000" w:themeColor="text1"/>
        </w:rPr>
        <w:t xml:space="preserve">, public safety and public order. </w:t>
      </w:r>
      <w:r w:rsidR="00C225F4" w:rsidRPr="007606D3">
        <w:rPr>
          <w:rFonts w:ascii="Georgia" w:hAnsi="Georgia"/>
          <w:color w:val="000000" w:themeColor="text1"/>
        </w:rPr>
        <w:t>However,</w:t>
      </w:r>
      <w:r w:rsidR="00DD6386" w:rsidRPr="007606D3">
        <w:rPr>
          <w:rFonts w:ascii="Georgia" w:hAnsi="Georgia"/>
          <w:color w:val="000000" w:themeColor="text1"/>
        </w:rPr>
        <w:t xml:space="preserve"> </w:t>
      </w:r>
      <w:r w:rsidR="00482384" w:rsidRPr="007606D3">
        <w:rPr>
          <w:rFonts w:ascii="Georgia" w:hAnsi="Georgia"/>
          <w:color w:val="000000" w:themeColor="text1"/>
        </w:rPr>
        <w:t>its deployment</w:t>
      </w:r>
      <w:r w:rsidR="00DD6386" w:rsidRPr="007606D3">
        <w:rPr>
          <w:rFonts w:ascii="Georgia" w:hAnsi="Georgia"/>
          <w:color w:val="000000" w:themeColor="text1"/>
        </w:rPr>
        <w:t xml:space="preserve"> in </w:t>
      </w:r>
      <w:r w:rsidR="000D720C" w:rsidRPr="007606D3">
        <w:rPr>
          <w:rFonts w:ascii="Georgia" w:hAnsi="Georgia"/>
          <w:color w:val="000000" w:themeColor="text1"/>
        </w:rPr>
        <w:t xml:space="preserve">the policing of </w:t>
      </w:r>
      <w:r w:rsidR="00DD6386" w:rsidRPr="007606D3">
        <w:rPr>
          <w:rFonts w:ascii="Georgia" w:hAnsi="Georgia"/>
          <w:color w:val="000000" w:themeColor="text1"/>
        </w:rPr>
        <w:t>peaceful assembl</w:t>
      </w:r>
      <w:r w:rsidR="00462946" w:rsidRPr="007606D3">
        <w:rPr>
          <w:rFonts w:ascii="Georgia" w:hAnsi="Georgia"/>
          <w:color w:val="000000" w:themeColor="text1"/>
        </w:rPr>
        <w:t>ies</w:t>
      </w:r>
      <w:r w:rsidR="000D720C" w:rsidRPr="007606D3">
        <w:rPr>
          <w:rFonts w:ascii="Georgia" w:hAnsi="Georgia"/>
          <w:color w:val="000000" w:themeColor="text1"/>
        </w:rPr>
        <w:t xml:space="preserve"> raise</w:t>
      </w:r>
      <w:r w:rsidR="007D4E33" w:rsidRPr="007606D3">
        <w:rPr>
          <w:rFonts w:ascii="Georgia" w:hAnsi="Georgia"/>
          <w:color w:val="000000" w:themeColor="text1"/>
        </w:rPr>
        <w:t>s</w:t>
      </w:r>
      <w:r w:rsidR="000D720C" w:rsidRPr="007606D3">
        <w:rPr>
          <w:rFonts w:ascii="Georgia" w:hAnsi="Georgia"/>
          <w:color w:val="000000" w:themeColor="text1"/>
        </w:rPr>
        <w:t xml:space="preserve"> </w:t>
      </w:r>
      <w:r w:rsidR="009D6345" w:rsidRPr="007606D3">
        <w:rPr>
          <w:rFonts w:ascii="Georgia" w:hAnsi="Georgia"/>
          <w:color w:val="000000" w:themeColor="text1"/>
        </w:rPr>
        <w:t>serious</w:t>
      </w:r>
      <w:r w:rsidR="000D720C" w:rsidRPr="007606D3">
        <w:rPr>
          <w:rFonts w:ascii="Georgia" w:hAnsi="Georgia"/>
          <w:color w:val="000000" w:themeColor="text1"/>
        </w:rPr>
        <w:t xml:space="preserve"> issues </w:t>
      </w:r>
      <w:r w:rsidR="0046475D" w:rsidRPr="007606D3">
        <w:rPr>
          <w:rFonts w:ascii="Georgia" w:hAnsi="Georgia"/>
          <w:color w:val="000000" w:themeColor="text1"/>
        </w:rPr>
        <w:t>regarding</w:t>
      </w:r>
      <w:r w:rsidR="000D720C" w:rsidRPr="007606D3">
        <w:rPr>
          <w:rFonts w:ascii="Georgia" w:hAnsi="Georgia"/>
          <w:color w:val="000000" w:themeColor="text1"/>
        </w:rPr>
        <w:t xml:space="preserve"> the collection and retention of </w:t>
      </w:r>
      <w:r w:rsidR="007648FF" w:rsidRPr="007606D3">
        <w:rPr>
          <w:rFonts w:ascii="Georgia" w:hAnsi="Georgia"/>
          <w:color w:val="000000" w:themeColor="text1"/>
        </w:rPr>
        <w:t xml:space="preserve">persons’ </w:t>
      </w:r>
      <w:r w:rsidR="00121F01" w:rsidRPr="007606D3">
        <w:rPr>
          <w:rFonts w:ascii="Georgia" w:hAnsi="Georgia"/>
          <w:color w:val="000000" w:themeColor="text1"/>
        </w:rPr>
        <w:t xml:space="preserve">highly sensitive biometric </w:t>
      </w:r>
      <w:r w:rsidR="000D720C" w:rsidRPr="007606D3">
        <w:rPr>
          <w:rFonts w:ascii="Georgia" w:hAnsi="Georgia"/>
          <w:color w:val="000000" w:themeColor="text1"/>
        </w:rPr>
        <w:t>data</w:t>
      </w:r>
      <w:r w:rsidR="007648FF" w:rsidRPr="007606D3">
        <w:rPr>
          <w:rFonts w:ascii="Georgia" w:hAnsi="Georgia"/>
          <w:color w:val="000000" w:themeColor="text1"/>
        </w:rPr>
        <w:t xml:space="preserve">. So too does it risk creating a </w:t>
      </w:r>
      <w:r w:rsidR="00DD6386" w:rsidRPr="007606D3">
        <w:rPr>
          <w:rFonts w:ascii="Georgia" w:hAnsi="Georgia"/>
          <w:color w:val="000000" w:themeColor="text1"/>
        </w:rPr>
        <w:t>chilling effect</w:t>
      </w:r>
      <w:r w:rsidR="005D3BEC" w:rsidRPr="007606D3">
        <w:rPr>
          <w:rFonts w:ascii="Georgia" w:hAnsi="Georgia"/>
          <w:color w:val="000000" w:themeColor="text1"/>
        </w:rPr>
        <w:t>s</w:t>
      </w:r>
      <w:r w:rsidR="00DD6386" w:rsidRPr="007606D3">
        <w:rPr>
          <w:rFonts w:ascii="Georgia" w:hAnsi="Georgia"/>
          <w:color w:val="000000" w:themeColor="text1"/>
        </w:rPr>
        <w:t xml:space="preserve"> </w:t>
      </w:r>
      <w:r w:rsidR="00024955" w:rsidRPr="007606D3">
        <w:rPr>
          <w:rFonts w:ascii="Georgia" w:hAnsi="Georgia"/>
          <w:color w:val="000000" w:themeColor="text1"/>
        </w:rPr>
        <w:t>on those exercising their right to peaceful assembly,</w:t>
      </w:r>
      <w:r w:rsidR="00666737" w:rsidRPr="007606D3">
        <w:rPr>
          <w:rFonts w:ascii="Georgia" w:hAnsi="Georgia"/>
          <w:color w:val="000000" w:themeColor="text1"/>
        </w:rPr>
        <w:t xml:space="preserve"> </w:t>
      </w:r>
      <w:r w:rsidR="00255D79" w:rsidRPr="007606D3">
        <w:rPr>
          <w:rFonts w:ascii="Georgia" w:hAnsi="Georgia"/>
          <w:color w:val="000000" w:themeColor="text1"/>
        </w:rPr>
        <w:t xml:space="preserve">especially </w:t>
      </w:r>
      <w:r w:rsidR="005D3BEC" w:rsidRPr="007606D3">
        <w:rPr>
          <w:rFonts w:ascii="Georgia" w:hAnsi="Georgia"/>
          <w:color w:val="000000" w:themeColor="text1"/>
        </w:rPr>
        <w:t>women and ethnic minority groups.</w:t>
      </w:r>
      <w:r w:rsidR="006F3250" w:rsidRPr="007606D3">
        <w:rPr>
          <w:rStyle w:val="FootnoteReference"/>
          <w:rFonts w:ascii="Georgia" w:hAnsi="Georgia"/>
          <w:color w:val="000000" w:themeColor="text1"/>
        </w:rPr>
        <w:footnoteReference w:id="13"/>
      </w:r>
      <w:r w:rsidR="005D3BEC" w:rsidRPr="007606D3">
        <w:rPr>
          <w:rFonts w:ascii="Georgia" w:hAnsi="Georgia"/>
          <w:color w:val="000000" w:themeColor="text1"/>
        </w:rPr>
        <w:t xml:space="preserve"> </w:t>
      </w:r>
      <w:r w:rsidR="00D434DA" w:rsidRPr="00D434DA">
        <w:rPr>
          <w:rFonts w:ascii="Georgia" w:hAnsi="Georgia"/>
          <w:color w:val="000000" w:themeColor="text1"/>
        </w:rPr>
        <w:t xml:space="preserve">Facial recognition technologies have poor accuracy rates, which result in a high level of false positive identifications. False positive identification rates are higher for some racial groups. This is likely because the recognition algorithms were trained on datasets which were not sufficiently diverse. Different facial recognition systems have different strengths and weaknesses in this regard depending on the underlying training dataset and the algorithm itself. The design and training of facial recognition algorithms and the choice of which algorithm to deploy all have a bearing on the proportionality of their use. It is artificial to distinguish between the processing of personal data to train the algorithm and the processing of biometric data to match it against a watchlist database. The entire </w:t>
      </w:r>
      <w:r w:rsidR="00D434DA" w:rsidRPr="00D434DA">
        <w:rPr>
          <w:rFonts w:ascii="Georgia" w:hAnsi="Georgia"/>
          <w:color w:val="000000" w:themeColor="text1"/>
        </w:rPr>
        <w:lastRenderedPageBreak/>
        <w:t>process is an interference with privacy and adequate safeguards should prevent unnecessary interference across all stages of their design, training, testing and implementation.</w:t>
      </w:r>
    </w:p>
    <w:p w14:paraId="3885ADFE" w14:textId="149168F3" w:rsidR="003A392E" w:rsidRPr="007606D3" w:rsidRDefault="006F3250" w:rsidP="00714064">
      <w:pPr>
        <w:spacing w:line="276" w:lineRule="auto"/>
        <w:jc w:val="both"/>
        <w:rPr>
          <w:rFonts w:ascii="Georgia" w:hAnsi="Georgia"/>
          <w:color w:val="000000" w:themeColor="text1"/>
        </w:rPr>
      </w:pPr>
      <w:r w:rsidRPr="007606D3">
        <w:rPr>
          <w:rFonts w:ascii="Georgia" w:hAnsi="Georgia"/>
          <w:color w:val="000000" w:themeColor="text1"/>
        </w:rPr>
        <w:t xml:space="preserve">The </w:t>
      </w:r>
      <w:r w:rsidR="007D6673" w:rsidRPr="007606D3">
        <w:rPr>
          <w:rFonts w:ascii="Georgia" w:hAnsi="Georgia"/>
          <w:color w:val="000000" w:themeColor="text1"/>
        </w:rPr>
        <w:t>additional</w:t>
      </w:r>
      <w:r w:rsidR="00483CF2" w:rsidRPr="007606D3">
        <w:rPr>
          <w:rFonts w:ascii="Georgia" w:hAnsi="Georgia"/>
          <w:color w:val="000000" w:themeColor="text1"/>
        </w:rPr>
        <w:t xml:space="preserve"> paragraph </w:t>
      </w:r>
      <w:r w:rsidR="007D6673" w:rsidRPr="007606D3">
        <w:rPr>
          <w:rFonts w:ascii="Georgia" w:hAnsi="Georgia"/>
          <w:color w:val="000000" w:themeColor="text1"/>
        </w:rPr>
        <w:t xml:space="preserve">proposed </w:t>
      </w:r>
      <w:r w:rsidR="00483CF2" w:rsidRPr="007606D3">
        <w:rPr>
          <w:rFonts w:ascii="Georgia" w:hAnsi="Georgia"/>
          <w:color w:val="000000" w:themeColor="text1"/>
        </w:rPr>
        <w:t>recognises th</w:t>
      </w:r>
      <w:r w:rsidR="00F66399" w:rsidRPr="007606D3">
        <w:rPr>
          <w:rFonts w:ascii="Georgia" w:hAnsi="Georgia"/>
          <w:color w:val="000000" w:themeColor="text1"/>
        </w:rPr>
        <w:t xml:space="preserve">e need to ensure concerns </w:t>
      </w:r>
      <w:r w:rsidR="004C16F7" w:rsidRPr="007606D3">
        <w:rPr>
          <w:rFonts w:ascii="Georgia" w:hAnsi="Georgia"/>
          <w:color w:val="000000" w:themeColor="text1"/>
        </w:rPr>
        <w:t xml:space="preserve">over </w:t>
      </w:r>
      <w:r w:rsidR="00F66399" w:rsidRPr="007606D3">
        <w:rPr>
          <w:rFonts w:ascii="Georgia" w:hAnsi="Georgia"/>
          <w:color w:val="000000" w:themeColor="text1"/>
        </w:rPr>
        <w:t xml:space="preserve">privacy rights, </w:t>
      </w:r>
      <w:r w:rsidR="004C16F7" w:rsidRPr="007606D3">
        <w:rPr>
          <w:rFonts w:ascii="Georgia" w:hAnsi="Georgia"/>
          <w:color w:val="000000" w:themeColor="text1"/>
        </w:rPr>
        <w:t>non-</w:t>
      </w:r>
      <w:r w:rsidR="00F66399" w:rsidRPr="007606D3">
        <w:rPr>
          <w:rFonts w:ascii="Georgia" w:hAnsi="Georgia"/>
          <w:color w:val="000000" w:themeColor="text1"/>
        </w:rPr>
        <w:t xml:space="preserve">discrimination and </w:t>
      </w:r>
      <w:r w:rsidR="00F004DE" w:rsidRPr="007606D3">
        <w:rPr>
          <w:rFonts w:ascii="Georgia" w:hAnsi="Georgia"/>
          <w:color w:val="000000" w:themeColor="text1"/>
        </w:rPr>
        <w:t xml:space="preserve">quality of law standards </w:t>
      </w:r>
      <w:r w:rsidR="003245A3" w:rsidRPr="007606D3">
        <w:rPr>
          <w:rFonts w:ascii="Georgia" w:hAnsi="Georgia"/>
          <w:color w:val="000000" w:themeColor="text1"/>
        </w:rPr>
        <w:t xml:space="preserve">are explicitly recognised and </w:t>
      </w:r>
      <w:r w:rsidR="003474D4" w:rsidRPr="007606D3">
        <w:rPr>
          <w:rFonts w:ascii="Georgia" w:hAnsi="Georgia"/>
          <w:color w:val="000000" w:themeColor="text1"/>
        </w:rPr>
        <w:t xml:space="preserve">adequately </w:t>
      </w:r>
      <w:r w:rsidR="003245A3" w:rsidRPr="007606D3">
        <w:rPr>
          <w:rFonts w:ascii="Georgia" w:hAnsi="Georgia"/>
          <w:color w:val="000000" w:themeColor="text1"/>
        </w:rPr>
        <w:t>addressed</w:t>
      </w:r>
      <w:r w:rsidR="00666737" w:rsidRPr="007606D3">
        <w:rPr>
          <w:rFonts w:ascii="Georgia" w:hAnsi="Georgia"/>
          <w:color w:val="000000" w:themeColor="text1"/>
        </w:rPr>
        <w:t xml:space="preserve"> by states availing of this emerging technology. </w:t>
      </w:r>
    </w:p>
    <w:sectPr w:rsidR="003A392E" w:rsidRPr="007606D3" w:rsidSect="000210DF">
      <w:footerReference w:type="even" r:id="rId7"/>
      <w:footerReference w:type="default" r:id="rId8"/>
      <w:pgSz w:w="11900" w:h="16840"/>
      <w:pgMar w:top="1440" w:right="1418" w:bottom="136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B2D24" w14:textId="77777777" w:rsidR="00A80D78" w:rsidRDefault="00A80D78" w:rsidP="00120483">
      <w:r>
        <w:separator/>
      </w:r>
    </w:p>
  </w:endnote>
  <w:endnote w:type="continuationSeparator" w:id="0">
    <w:p w14:paraId="4EB84387" w14:textId="77777777" w:rsidR="00A80D78" w:rsidRDefault="00A80D78" w:rsidP="0012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443104"/>
      <w:docPartObj>
        <w:docPartGallery w:val="Page Numbers (Bottom of Page)"/>
        <w:docPartUnique/>
      </w:docPartObj>
    </w:sdtPr>
    <w:sdtEndPr>
      <w:rPr>
        <w:rStyle w:val="PageNumber"/>
      </w:rPr>
    </w:sdtEndPr>
    <w:sdtContent>
      <w:p w14:paraId="283928C9" w14:textId="765933C0" w:rsidR="002C235F" w:rsidRDefault="002C235F" w:rsidP="00C318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B33D07" w14:textId="77777777" w:rsidR="002C235F" w:rsidRDefault="002C235F" w:rsidP="002C23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Georgia" w:hAnsi="Georgia"/>
      </w:rPr>
      <w:id w:val="-1260142938"/>
      <w:docPartObj>
        <w:docPartGallery w:val="Page Numbers (Bottom of Page)"/>
        <w:docPartUnique/>
      </w:docPartObj>
    </w:sdtPr>
    <w:sdtEndPr>
      <w:rPr>
        <w:rStyle w:val="PageNumber"/>
      </w:rPr>
    </w:sdtEndPr>
    <w:sdtContent>
      <w:p w14:paraId="4CAD0A1D" w14:textId="41310963" w:rsidR="002C235F" w:rsidRPr="002C235F" w:rsidRDefault="002C235F" w:rsidP="00C318C6">
        <w:pPr>
          <w:pStyle w:val="Footer"/>
          <w:framePr w:wrap="none" w:vAnchor="text" w:hAnchor="margin" w:xAlign="right" w:y="1"/>
          <w:rPr>
            <w:rStyle w:val="PageNumber"/>
            <w:rFonts w:ascii="Georgia" w:hAnsi="Georgia"/>
          </w:rPr>
        </w:pPr>
        <w:r w:rsidRPr="002C235F">
          <w:rPr>
            <w:rStyle w:val="PageNumber"/>
            <w:rFonts w:ascii="Georgia" w:hAnsi="Georgia"/>
          </w:rPr>
          <w:fldChar w:fldCharType="begin"/>
        </w:r>
        <w:r w:rsidRPr="002C235F">
          <w:rPr>
            <w:rStyle w:val="PageNumber"/>
            <w:rFonts w:ascii="Georgia" w:hAnsi="Georgia"/>
          </w:rPr>
          <w:instrText xml:space="preserve"> PAGE </w:instrText>
        </w:r>
        <w:r w:rsidRPr="002C235F">
          <w:rPr>
            <w:rStyle w:val="PageNumber"/>
            <w:rFonts w:ascii="Georgia" w:hAnsi="Georgia"/>
          </w:rPr>
          <w:fldChar w:fldCharType="separate"/>
        </w:r>
        <w:r w:rsidR="00FB2AEC">
          <w:rPr>
            <w:rStyle w:val="PageNumber"/>
            <w:rFonts w:ascii="Georgia" w:hAnsi="Georgia"/>
            <w:noProof/>
          </w:rPr>
          <w:t>1</w:t>
        </w:r>
        <w:r w:rsidRPr="002C235F">
          <w:rPr>
            <w:rStyle w:val="PageNumber"/>
            <w:rFonts w:ascii="Georgia" w:hAnsi="Georgia"/>
          </w:rPr>
          <w:fldChar w:fldCharType="end"/>
        </w:r>
      </w:p>
    </w:sdtContent>
  </w:sdt>
  <w:p w14:paraId="6A1F4528" w14:textId="77777777" w:rsidR="002C235F" w:rsidRDefault="002C235F" w:rsidP="002C23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27C4" w14:textId="77777777" w:rsidR="00A80D78" w:rsidRDefault="00A80D78" w:rsidP="00120483">
      <w:r>
        <w:separator/>
      </w:r>
    </w:p>
  </w:footnote>
  <w:footnote w:type="continuationSeparator" w:id="0">
    <w:p w14:paraId="243AC9A8" w14:textId="77777777" w:rsidR="00A80D78" w:rsidRDefault="00A80D78" w:rsidP="00120483">
      <w:r>
        <w:continuationSeparator/>
      </w:r>
    </w:p>
  </w:footnote>
  <w:footnote w:id="1">
    <w:p w14:paraId="5A69242C" w14:textId="77777777" w:rsidR="000210DF" w:rsidRPr="00832B90" w:rsidRDefault="000210DF" w:rsidP="000210DF">
      <w:pPr>
        <w:rPr>
          <w:rFonts w:ascii="Georgia" w:eastAsia="Times New Roman" w:hAnsi="Georgia" w:cs="Times New Roman"/>
          <w:sz w:val="20"/>
          <w:szCs w:val="20"/>
          <w:lang w:eastAsia="en-GB"/>
        </w:rPr>
      </w:pPr>
      <w:r w:rsidRPr="00832B90">
        <w:rPr>
          <w:rStyle w:val="FootnoteReference"/>
          <w:rFonts w:ascii="Georgia" w:hAnsi="Georgia"/>
          <w:sz w:val="20"/>
          <w:szCs w:val="20"/>
        </w:rPr>
        <w:footnoteRef/>
      </w:r>
      <w:r w:rsidRPr="00832B90">
        <w:rPr>
          <w:rFonts w:ascii="Georgia" w:hAnsi="Georgia"/>
          <w:sz w:val="20"/>
          <w:szCs w:val="20"/>
        </w:rPr>
        <w:t xml:space="preserve"> </w:t>
      </w:r>
      <w:hyperlink r:id="rId1" w:history="1">
        <w:r w:rsidRPr="00832B90">
          <w:rPr>
            <w:rFonts w:ascii="Georgia" w:eastAsia="Times New Roman" w:hAnsi="Georgia" w:cs="Times New Roman"/>
            <w:color w:val="0000FF"/>
            <w:sz w:val="20"/>
            <w:szCs w:val="20"/>
            <w:u w:val="single"/>
            <w:lang w:eastAsia="en-GB"/>
          </w:rPr>
          <w:t>https://www.ohchr.org/EN/HRBodies/CCPR/Pages/GCArticle21.aspx</w:t>
        </w:r>
      </w:hyperlink>
    </w:p>
    <w:p w14:paraId="74250120" w14:textId="0E9D90FE" w:rsidR="000210DF" w:rsidRDefault="000210DF">
      <w:pPr>
        <w:pStyle w:val="FootnoteText"/>
      </w:pPr>
    </w:p>
  </w:footnote>
  <w:footnote w:id="2">
    <w:p w14:paraId="50C9F5CF" w14:textId="251A2A97" w:rsidR="000210DF" w:rsidRPr="000210DF" w:rsidRDefault="000210DF" w:rsidP="000210DF">
      <w:pPr>
        <w:spacing w:line="269" w:lineRule="auto"/>
        <w:jc w:val="both"/>
        <w:rPr>
          <w:rFonts w:ascii="Georgia" w:hAnsi="Georgia"/>
          <w:color w:val="000000" w:themeColor="text1"/>
          <w:sz w:val="20"/>
          <w:szCs w:val="20"/>
        </w:rPr>
      </w:pPr>
      <w:r w:rsidRPr="000210DF">
        <w:rPr>
          <w:rStyle w:val="FootnoteReference"/>
          <w:rFonts w:ascii="Georgia" w:hAnsi="Georgia"/>
          <w:sz w:val="20"/>
          <w:szCs w:val="20"/>
        </w:rPr>
        <w:footnoteRef/>
      </w:r>
      <w:r w:rsidRPr="000210DF">
        <w:rPr>
          <w:rFonts w:ascii="Georgia" w:hAnsi="Georgia"/>
          <w:sz w:val="20"/>
          <w:szCs w:val="20"/>
        </w:rPr>
        <w:t xml:space="preserve"> References applying to this proposal: </w:t>
      </w:r>
      <w:r w:rsidRPr="000210DF">
        <w:rPr>
          <w:rFonts w:ascii="Georgia" w:hAnsi="Georgia"/>
          <w:color w:val="000000" w:themeColor="text1"/>
          <w:sz w:val="20"/>
          <w:szCs w:val="20"/>
        </w:rPr>
        <w:t xml:space="preserve">Ann F Bayefsky, ‘The Principle of Equality or Non-discrimination in International Law’ (1990) 11 Human Rights Quarterly 1; Hilary Charlesworth, ‘Concept of Equality in International Law’ in Grant Huscroft and Paul Rishworth (ed), </w:t>
      </w:r>
      <w:r w:rsidRPr="000210DF">
        <w:rPr>
          <w:rFonts w:ascii="Georgia" w:hAnsi="Georgia"/>
          <w:i/>
          <w:color w:val="000000" w:themeColor="text1"/>
          <w:sz w:val="20"/>
          <w:szCs w:val="20"/>
        </w:rPr>
        <w:t>Litigating Rights</w:t>
      </w:r>
      <w:r w:rsidRPr="000210DF">
        <w:rPr>
          <w:rFonts w:ascii="Georgia" w:hAnsi="Georgia"/>
          <w:color w:val="000000" w:themeColor="text1"/>
          <w:sz w:val="20"/>
          <w:szCs w:val="20"/>
        </w:rPr>
        <w:t xml:space="preserve"> (Bloomsbury 2002); Sandra Fredman, ‘Substantive Equality Revisited’ (2016) 14 International Journal of Constitutional Law 712; TA Choudhury, ‘Interpreting the Right to Equality under Article 26 of the International Covenant on Civil and Political Rights’ (2003) 8 </w:t>
      </w:r>
      <w:r w:rsidRPr="000210DF">
        <w:rPr>
          <w:rFonts w:ascii="Georgia" w:hAnsi="Georgia"/>
          <w:iCs/>
          <w:color w:val="000000" w:themeColor="text1"/>
          <w:sz w:val="20"/>
          <w:szCs w:val="20"/>
        </w:rPr>
        <w:t>European Human Rights Law Review</w:t>
      </w:r>
      <w:r w:rsidRPr="000210DF">
        <w:rPr>
          <w:rFonts w:ascii="Georgia" w:hAnsi="Georgia"/>
          <w:color w:val="000000" w:themeColor="text1"/>
          <w:sz w:val="20"/>
          <w:szCs w:val="20"/>
        </w:rPr>
        <w:t xml:space="preserve"> 24.</w:t>
      </w:r>
    </w:p>
    <w:p w14:paraId="4FD02273" w14:textId="6EE7E714" w:rsidR="000210DF" w:rsidRPr="000210DF" w:rsidRDefault="000210DF">
      <w:pPr>
        <w:pStyle w:val="FootnoteText"/>
        <w:rPr>
          <w:rFonts w:ascii="Georgia" w:hAnsi="Georgia"/>
        </w:rPr>
      </w:pPr>
    </w:p>
  </w:footnote>
  <w:footnote w:id="3">
    <w:p w14:paraId="11B691D8" w14:textId="77777777" w:rsidR="000210DF" w:rsidRPr="000210DF" w:rsidRDefault="000210DF" w:rsidP="000210DF">
      <w:pPr>
        <w:pStyle w:val="FootnoteText"/>
        <w:rPr>
          <w:rFonts w:ascii="Georgia" w:hAnsi="Georgia" w:cs="Times New Roman"/>
          <w:lang w:val="de-DE"/>
        </w:rPr>
      </w:pPr>
      <w:r w:rsidRPr="000210DF">
        <w:rPr>
          <w:rStyle w:val="FootnoteReference"/>
          <w:rFonts w:ascii="Georgia" w:hAnsi="Georgia" w:cs="Times New Roman"/>
        </w:rPr>
        <w:footnoteRef/>
      </w:r>
      <w:r w:rsidRPr="000210DF">
        <w:rPr>
          <w:rFonts w:ascii="Georgia" w:hAnsi="Georgia" w:cs="Times New Roman"/>
        </w:rPr>
        <w:t xml:space="preserve"> Violence or a credible threat of violence of an assembly is a crucial ground to deny protection under Article 21, see </w:t>
      </w:r>
      <w:r w:rsidRPr="000210DF">
        <w:rPr>
          <w:rFonts w:ascii="Georgia" w:hAnsi="Georgia" w:cs="Times New Roman"/>
        </w:rPr>
        <w:fldChar w:fldCharType="begin"/>
      </w:r>
      <w:r w:rsidRPr="000210DF">
        <w:rPr>
          <w:rFonts w:ascii="Georgia" w:hAnsi="Georgia" w:cs="Times New Roman"/>
        </w:rPr>
        <w:instrText xml:space="preserve"> ADDIN EN.CITE &lt;EndNote&gt;&lt;Cite&gt;&lt;Year&gt;2020&lt;/Year&gt;&lt;RecNum&gt;3126&lt;/RecNum&gt;&lt;DisplayText&gt;&lt;style face="italic"&gt;Draft General comment No. 37 (2020) on Article 21 of the International Covenant on Civil and Political Rights, on the Right of Peaceful Assembly&lt;/style&gt; (2020)&lt;/DisplayText&gt;&lt;record&gt;&lt;rec-number&gt;3126&lt;/rec-number&gt;&lt;foreign-keys&gt;&lt;key app="EN" db-id="vdsawwd50ffvxdeptx6pwa9jwvzp0p99arez" timestamp="1580733656"&gt;3126&lt;/key&gt;&lt;/foreign-keys&gt;&lt;ref-type name="Report; Command Paper"&gt;27&lt;/ref-type&gt;&lt;contributors&gt;&lt;/contributors&gt;&lt;titles&gt;&lt;title&gt;Draft General comment No. 37 (2020) on Article 21 of the International Covenant on Civil and Political Rights, on the Right of Peaceful Assembly&lt;/title&gt;&lt;/titles&gt;&lt;dates&gt;&lt;year&gt;2020&lt;/year&gt;&lt;/dates&gt;&lt;urls&gt;&lt;/urls&gt;&lt;/record&gt;&lt;/Cite&gt;&lt;/EndNote&gt;</w:instrText>
      </w:r>
      <w:r w:rsidRPr="000210DF">
        <w:rPr>
          <w:rFonts w:ascii="Georgia" w:hAnsi="Georgia" w:cs="Times New Roman"/>
        </w:rPr>
        <w:fldChar w:fldCharType="separate"/>
      </w:r>
      <w:r w:rsidRPr="000210DF">
        <w:rPr>
          <w:rFonts w:ascii="Georgia" w:hAnsi="Georgia" w:cs="Times New Roman"/>
          <w:i/>
          <w:noProof/>
        </w:rPr>
        <w:t>Draft General comment No. 37 (2020) on Article 21 of the International Covenant on Civil and Political Rights, on the Right of Peaceful Assembly</w:t>
      </w:r>
      <w:r w:rsidRPr="000210DF">
        <w:rPr>
          <w:rFonts w:ascii="Georgia" w:hAnsi="Georgia" w:cs="Times New Roman"/>
          <w:noProof/>
        </w:rPr>
        <w:t xml:space="preserve"> (2020)</w:t>
      </w:r>
      <w:r w:rsidRPr="000210DF">
        <w:rPr>
          <w:rFonts w:ascii="Georgia" w:hAnsi="Georgia" w:cs="Times New Roman"/>
        </w:rPr>
        <w:fldChar w:fldCharType="end"/>
      </w:r>
      <w:r w:rsidRPr="000210DF">
        <w:rPr>
          <w:rFonts w:ascii="Georgia" w:hAnsi="Georgia" w:cs="Times New Roman"/>
        </w:rPr>
        <w:t xml:space="preserve"> [17] and [19] – [23]; </w:t>
      </w:r>
      <w:r w:rsidRPr="000210DF">
        <w:rPr>
          <w:rFonts w:ascii="Georgia" w:hAnsi="Georgia" w:cs="Times New Roman"/>
        </w:rPr>
        <w:fldChar w:fldCharType="begin"/>
      </w:r>
      <w:r w:rsidRPr="000210DF">
        <w:rPr>
          <w:rFonts w:ascii="Georgia" w:hAnsi="Georgia" w:cs="Times New Roman"/>
        </w:rPr>
        <w:instrText xml:space="preserve"> ADDIN EN.CITE &lt;EndNote&gt;&lt;Cite&gt;&lt;Year&gt;2010&lt;/Year&gt;&lt;RecNum&gt;3127&lt;/RecNum&gt;&lt;DisplayText&gt;&lt;style face="italic"&gt;Alekseyev v Russia&lt;/style&gt; App no 4916/07 (ECtHR, 21 October 2010)&lt;/DisplayText&gt;&lt;record&gt;&lt;rec-number&gt;3127&lt;/rec-number&gt;&lt;foreign-keys&gt;&lt;key app="EN" db-id="vdsawwd50ffvxdeptx6pwa9jwvzp0p99arez" timestamp="1580734761"&gt;3127&lt;/key&gt;&lt;/foreign-keys&gt;&lt;ref-type name="Case (inc all UK, ECJ and ECtHR cases)"&gt;7&lt;/ref-type&gt;&lt;contributors&gt;&lt;/contributors&gt;&lt;titles&gt;&lt;title&gt;Alekseyev v Russia&lt;/title&gt;&lt;/titles&gt;&lt;dates&gt;&lt;year&gt;2010&lt;/year&gt;&lt;pub-dates&gt;&lt;date&gt;(ECtHR, 21 October 2010)&lt;/date&gt;&lt;/pub-dates&gt;&lt;/dates&gt;&lt;urls&gt;&lt;/urls&gt;&lt;custom7&gt;App no 4916/07&lt;/custom7&gt;&lt;/record&gt;&lt;/Cite&gt;&lt;/EndNote&gt;</w:instrText>
      </w:r>
      <w:r w:rsidRPr="000210DF">
        <w:rPr>
          <w:rFonts w:ascii="Georgia" w:hAnsi="Georgia" w:cs="Times New Roman"/>
        </w:rPr>
        <w:fldChar w:fldCharType="separate"/>
      </w:r>
      <w:r w:rsidRPr="000210DF">
        <w:rPr>
          <w:rFonts w:ascii="Georgia" w:hAnsi="Georgia" w:cs="Times New Roman"/>
          <w:i/>
          <w:noProof/>
        </w:rPr>
        <w:t>Alekseyev v Russia</w:t>
      </w:r>
      <w:r w:rsidRPr="000210DF">
        <w:rPr>
          <w:rFonts w:ascii="Georgia" w:hAnsi="Georgia" w:cs="Times New Roman"/>
          <w:noProof/>
        </w:rPr>
        <w:t xml:space="preserve"> App no 4916/07 (ECtHR, 21 October 2010)</w:t>
      </w:r>
      <w:r w:rsidRPr="000210DF">
        <w:rPr>
          <w:rFonts w:ascii="Georgia" w:hAnsi="Georgia" w:cs="Times New Roman"/>
        </w:rPr>
        <w:fldChar w:fldCharType="end"/>
      </w:r>
      <w:r w:rsidRPr="000210DF">
        <w:rPr>
          <w:rFonts w:ascii="Georgia" w:hAnsi="Georgia" w:cs="Times New Roman"/>
        </w:rPr>
        <w:t xml:space="preserve"> [80]; </w:t>
      </w:r>
      <w:r w:rsidRPr="000210DF">
        <w:rPr>
          <w:rFonts w:ascii="Georgia" w:hAnsi="Georgia" w:cs="Times New Roman"/>
        </w:rPr>
        <w:fldChar w:fldCharType="begin"/>
      </w:r>
      <w:r w:rsidRPr="000210DF">
        <w:rPr>
          <w:rFonts w:ascii="Georgia" w:hAnsi="Georgia" w:cs="Times New Roman"/>
        </w:rPr>
        <w:instrText xml:space="preserve"> ADDIN EN.CITE &lt;EndNote&gt;&lt;Cite&gt;&lt;Year&gt;2008&lt;/Year&gt;&lt;RecNum&gt;3128&lt;/RecNum&gt;&lt;DisplayText&gt;&lt;style face="italic"&gt;Kuznetsov v Russia&lt;/style&gt; App no 10877/04 (ECtHR, 23 October 2008)&lt;/DisplayText&gt;&lt;record&gt;&lt;rec-number&gt;3128&lt;/rec-number&gt;&lt;foreign-keys&gt;&lt;key app="EN" db-id="vdsawwd50ffvxdeptx6pwa9jwvzp0p99arez" timestamp="1580734945"&gt;3128&lt;/key&gt;&lt;/foreign-keys&gt;&lt;ref-type name="Case (inc all UK, ECJ and ECtHR cases)"&gt;7&lt;/ref-type&gt;&lt;contributors&gt;&lt;/contributors&gt;&lt;titles&gt;&lt;title&gt;Kuznetsov v Russia&lt;/title&gt;&lt;/titles&gt;&lt;dates&gt;&lt;year&gt;2008&lt;/year&gt;&lt;pub-dates&gt;&lt;date&gt;(ECtHR, 23 October 2008)&lt;/date&gt;&lt;/pub-dates&gt;&lt;/dates&gt;&lt;urls&gt;&lt;/urls&gt;&lt;custom7&gt;App no 10877/04&lt;/custom7&gt;&lt;/record&gt;&lt;/Cite&gt;&lt;/EndNote&gt;</w:instrText>
      </w:r>
      <w:r w:rsidRPr="000210DF">
        <w:rPr>
          <w:rFonts w:ascii="Georgia" w:hAnsi="Georgia" w:cs="Times New Roman"/>
        </w:rPr>
        <w:fldChar w:fldCharType="separate"/>
      </w:r>
      <w:r w:rsidRPr="000210DF">
        <w:rPr>
          <w:rFonts w:ascii="Georgia" w:hAnsi="Georgia" w:cs="Times New Roman"/>
          <w:i/>
          <w:noProof/>
        </w:rPr>
        <w:t>Kuznetsov v Russia</w:t>
      </w:r>
      <w:r w:rsidRPr="000210DF">
        <w:rPr>
          <w:rFonts w:ascii="Georgia" w:hAnsi="Georgia" w:cs="Times New Roman"/>
          <w:noProof/>
        </w:rPr>
        <w:t xml:space="preserve"> App no 10877/04 (ECtHR, 23 October 2008)</w:t>
      </w:r>
      <w:r w:rsidRPr="000210DF">
        <w:rPr>
          <w:rFonts w:ascii="Georgia" w:hAnsi="Georgia" w:cs="Times New Roman"/>
        </w:rPr>
        <w:fldChar w:fldCharType="end"/>
      </w:r>
      <w:r w:rsidRPr="000210DF">
        <w:rPr>
          <w:rFonts w:ascii="Georgia" w:hAnsi="Georgia" w:cs="Times New Roman"/>
        </w:rPr>
        <w:t xml:space="preserve"> [45].</w:t>
      </w:r>
    </w:p>
  </w:footnote>
  <w:footnote w:id="4">
    <w:p w14:paraId="2405C40B" w14:textId="6CCC0D4E" w:rsidR="000210DF" w:rsidRPr="000210DF" w:rsidRDefault="000210DF" w:rsidP="000210DF">
      <w:pPr>
        <w:pStyle w:val="FootnoteText"/>
        <w:rPr>
          <w:rFonts w:ascii="Georgia" w:hAnsi="Georgia"/>
          <w:lang w:val="de-DE"/>
        </w:rPr>
      </w:pPr>
      <w:r w:rsidRPr="000210DF">
        <w:rPr>
          <w:rStyle w:val="FootnoteReference"/>
          <w:rFonts w:ascii="Georgia" w:hAnsi="Georgia"/>
        </w:rPr>
        <w:footnoteRef/>
      </w:r>
      <w:r w:rsidR="00206E79">
        <w:rPr>
          <w:rFonts w:ascii="Georgia" w:hAnsi="Georgia"/>
        </w:rPr>
        <w:t xml:space="preserve"> </w:t>
      </w:r>
      <w:r w:rsidR="00206E79" w:rsidRPr="00C750FA">
        <w:rPr>
          <w:rFonts w:ascii="Times New Roman" w:hAnsi="Times New Roman" w:cs="Times New Roman"/>
        </w:rPr>
        <w:fldChar w:fldCharType="begin"/>
      </w:r>
      <w:r w:rsidR="00206E79" w:rsidRPr="00C750FA">
        <w:rPr>
          <w:rFonts w:ascii="Times New Roman" w:hAnsi="Times New Roman" w:cs="Times New Roman"/>
        </w:rPr>
        <w:instrText xml:space="preserve"> ADDIN EN.CITE &lt;EndNote&gt;&lt;Cite ExcludeAuth="1"&gt;&lt;Year&gt;2012&lt;/Year&gt;&lt;RecNum&gt;2491&lt;/RecNum&gt;&lt;DisplayText&gt;&lt;style face="italic"&gt;Tatar and Faber v Hungary&lt;/style&gt; App nos 26005/08; 26160/08 (ECtHR, 12 June 2012)&lt;/DisplayText&gt;&lt;record&gt;&lt;rec-number&gt;2491&lt;/rec-number&gt;&lt;foreign-keys&gt;&lt;key app="EN" db-id="vdsawwd50ffvxdeptx6pwa9jwvzp0p99arez" timestamp="1519135406"&gt;2491&lt;/key&gt;&lt;/foreign-keys&gt;&lt;ref-type name="Case (inc all UK, ECJ and ECtHR cases)"&gt;7&lt;/ref-type&gt;&lt;contributors&gt;&lt;/contributors&gt;&lt;titles&gt;&lt;title&gt;Tatar and Faber v Hungary&lt;/title&gt;&lt;/titles&gt;&lt;dates&gt;&lt;year&gt;2012&lt;/year&gt;&lt;pub-dates&gt;&lt;date&gt;(ECtHR, 12 June 2012)&lt;/date&gt;&lt;/pub-dates&gt;&lt;/dates&gt;&lt;urls&gt;&lt;/urls&gt;&lt;custom7&gt;App nos 26005/08; 26160/08&lt;/custom7&gt;&lt;/record&gt;&lt;/Cite&gt;&lt;/EndNote&gt;</w:instrText>
      </w:r>
      <w:r w:rsidR="00206E79" w:rsidRPr="00C750FA">
        <w:rPr>
          <w:rFonts w:ascii="Times New Roman" w:hAnsi="Times New Roman" w:cs="Times New Roman"/>
        </w:rPr>
        <w:fldChar w:fldCharType="separate"/>
      </w:r>
      <w:r w:rsidR="00206E79" w:rsidRPr="00C750FA">
        <w:rPr>
          <w:rFonts w:ascii="Times New Roman" w:hAnsi="Times New Roman" w:cs="Times New Roman"/>
          <w:i/>
          <w:noProof/>
        </w:rPr>
        <w:t>Tatar and Faber v Hungary</w:t>
      </w:r>
      <w:r w:rsidR="00206E79" w:rsidRPr="00C750FA">
        <w:rPr>
          <w:rFonts w:ascii="Times New Roman" w:hAnsi="Times New Roman" w:cs="Times New Roman"/>
          <w:noProof/>
        </w:rPr>
        <w:t xml:space="preserve"> App nos 26005/08; 26160/08 (ECtHR, 12 June 2012)</w:t>
      </w:r>
      <w:r w:rsidR="00206E79" w:rsidRPr="00C750FA">
        <w:rPr>
          <w:rFonts w:ascii="Times New Roman" w:hAnsi="Times New Roman" w:cs="Times New Roman"/>
        </w:rPr>
        <w:fldChar w:fldCharType="end"/>
      </w:r>
      <w:r w:rsidR="00206E79">
        <w:rPr>
          <w:rFonts w:ascii="Times New Roman" w:hAnsi="Times New Roman" w:cs="Times New Roman"/>
        </w:rPr>
        <w:t xml:space="preserve"> [29] and [36] – [41];</w:t>
      </w:r>
      <w:r w:rsidRPr="000210DF">
        <w:rPr>
          <w:rFonts w:ascii="Georgia" w:hAnsi="Georgia"/>
        </w:rPr>
        <w:t xml:space="preserve"> </w:t>
      </w:r>
      <w:r w:rsidRPr="000210DF">
        <w:rPr>
          <w:rFonts w:ascii="Georgia" w:hAnsi="Georgia" w:cs="Times New Roman"/>
        </w:rPr>
        <w:fldChar w:fldCharType="begin"/>
      </w:r>
      <w:r w:rsidRPr="000210DF">
        <w:rPr>
          <w:rFonts w:ascii="Georgia" w:hAnsi="Georgia" w:cs="Times New Roman"/>
        </w:rPr>
        <w:instrText xml:space="preserve"> ADDIN EN.CITE &lt;EndNote&gt;&lt;Cite&gt;&lt;Year&gt;2011&lt;/Year&gt;&lt;RecNum&gt;3129&lt;/RecNum&gt;&lt;DisplayText&gt;&lt;style face="italic"&gt;Schwabe and MG v Germany&lt;/style&gt; App nos 8080/08; 8577/08 (ECtHR, 11 December 2011)&lt;/DisplayText&gt;&lt;record&gt;&lt;rec-number&gt;3129&lt;/rec-number&gt;&lt;foreign-keys&gt;&lt;key app="EN" db-id="vdsawwd50ffvxdeptx6pwa9jwvzp0p99arez" timestamp="1580735281"&gt;3129&lt;/key&gt;&lt;/foreign-keys&gt;&lt;ref-type name="Case (inc all UK, ECJ and ECtHR cases)"&gt;7&lt;/ref-type&gt;&lt;contributors&gt;&lt;/contributors&gt;&lt;titles&gt;&lt;title&gt;Schwabe and MG v Germany&lt;/title&gt;&lt;/titles&gt;&lt;dates&gt;&lt;year&gt;2011&lt;/year&gt;&lt;pub-dates&gt;&lt;date&gt;(ECtHR, 11 December 2011)&lt;/date&gt;&lt;/pub-dates&gt;&lt;/dates&gt;&lt;urls&gt;&lt;/urls&gt;&lt;custom7&gt;App nos 8080/08; 8577/08&lt;/custom7&gt;&lt;/record&gt;&lt;/Cite&gt;&lt;/EndNote&gt;</w:instrText>
      </w:r>
      <w:r w:rsidRPr="000210DF">
        <w:rPr>
          <w:rFonts w:ascii="Georgia" w:hAnsi="Georgia" w:cs="Times New Roman"/>
        </w:rPr>
        <w:fldChar w:fldCharType="separate"/>
      </w:r>
      <w:r w:rsidRPr="000210DF">
        <w:rPr>
          <w:rFonts w:ascii="Georgia" w:hAnsi="Georgia" w:cs="Times New Roman"/>
          <w:i/>
          <w:noProof/>
        </w:rPr>
        <w:t>Schwabe and MG v Germany</w:t>
      </w:r>
      <w:r w:rsidRPr="000210DF">
        <w:rPr>
          <w:rFonts w:ascii="Georgia" w:hAnsi="Georgia" w:cs="Times New Roman"/>
          <w:noProof/>
        </w:rPr>
        <w:t xml:space="preserve"> App nos 8080/08; 8577/08 (ECtHR, 11 December 2011)</w:t>
      </w:r>
      <w:r w:rsidRPr="000210DF">
        <w:rPr>
          <w:rFonts w:ascii="Georgia" w:hAnsi="Georgia" w:cs="Times New Roman"/>
        </w:rPr>
        <w:fldChar w:fldCharType="end"/>
      </w:r>
      <w:r w:rsidRPr="000210DF">
        <w:rPr>
          <w:rFonts w:ascii="Georgia" w:hAnsi="Georgia" w:cs="Times New Roman"/>
        </w:rPr>
        <w:t xml:space="preserve"> [99] – [101]; </w:t>
      </w:r>
      <w:r w:rsidRPr="000210DF">
        <w:rPr>
          <w:rFonts w:ascii="Georgia" w:hAnsi="Georgia" w:cs="Times New Roman"/>
        </w:rPr>
        <w:fldChar w:fldCharType="begin"/>
      </w:r>
      <w:r w:rsidRPr="000210DF">
        <w:rPr>
          <w:rFonts w:ascii="Georgia" w:hAnsi="Georgia" w:cs="Times New Roman"/>
        </w:rPr>
        <w:instrText xml:space="preserve"> ADDIN EN.CITE &lt;EndNote&gt;&lt;Cite&gt;&lt;Year&gt;2008&lt;/Year&gt;&lt;RecNum&gt;3131&lt;/RecNum&gt;&lt;DisplayText&gt;&lt;style face="italic"&gt;Yilamz and Kilic v Turkey&lt;/style&gt; App no 68514/01 (ECtHR, 17 July 2008)&lt;/DisplayText&gt;&lt;record&gt;&lt;rec-number&gt;3131&lt;/rec-number&gt;&lt;foreign-keys&gt;&lt;key app="EN" db-id="vdsawwd50ffvxdeptx6pwa9jwvzp0p99arez" timestamp="1580735685"&gt;3131&lt;/key&gt;&lt;/foreign-keys&gt;&lt;ref-type name="Case (inc all UK, ECJ and ECtHR cases)"&gt;7&lt;/ref-type&gt;&lt;contributors&gt;&lt;/contributors&gt;&lt;titles&gt;&lt;title&gt;Yilamz and Kilic v Turkey&lt;/title&gt;&lt;/titles&gt;&lt;dates&gt;&lt;year&gt;2008&lt;/year&gt;&lt;pub-dates&gt;&lt;date&gt;(ECtHR, 17 July 2008)&lt;/date&gt;&lt;/pub-dates&gt;&lt;/dates&gt;&lt;urls&gt;&lt;/urls&gt;&lt;custom7&gt;App no 68514/01&lt;/custom7&gt;&lt;/record&gt;&lt;/Cite&gt;&lt;/EndNote&gt;</w:instrText>
      </w:r>
      <w:r w:rsidRPr="000210DF">
        <w:rPr>
          <w:rFonts w:ascii="Georgia" w:hAnsi="Georgia" w:cs="Times New Roman"/>
        </w:rPr>
        <w:fldChar w:fldCharType="separate"/>
      </w:r>
      <w:r w:rsidRPr="000210DF">
        <w:rPr>
          <w:rFonts w:ascii="Georgia" w:hAnsi="Georgia" w:cs="Times New Roman"/>
          <w:i/>
          <w:noProof/>
        </w:rPr>
        <w:t>Yilamz and Kilic v Turkey</w:t>
      </w:r>
      <w:r w:rsidRPr="000210DF">
        <w:rPr>
          <w:rFonts w:ascii="Georgia" w:hAnsi="Georgia" w:cs="Times New Roman"/>
          <w:noProof/>
        </w:rPr>
        <w:t xml:space="preserve"> App no 68514/01 (ECtHR, 17 July 2008)</w:t>
      </w:r>
      <w:r w:rsidRPr="000210DF">
        <w:rPr>
          <w:rFonts w:ascii="Georgia" w:hAnsi="Georgia" w:cs="Times New Roman"/>
        </w:rPr>
        <w:fldChar w:fldCharType="end"/>
      </w:r>
      <w:r w:rsidRPr="000210DF">
        <w:rPr>
          <w:rFonts w:ascii="Georgia" w:hAnsi="Georgia" w:cs="Times New Roman"/>
        </w:rPr>
        <w:t xml:space="preserve"> [33] and [67]; </w:t>
      </w:r>
      <w:r w:rsidRPr="000210DF">
        <w:rPr>
          <w:rFonts w:ascii="Georgia" w:hAnsi="Georgia" w:cs="Times New Roman"/>
        </w:rPr>
        <w:fldChar w:fldCharType="begin"/>
      </w:r>
      <w:r w:rsidRPr="000210DF">
        <w:rPr>
          <w:rFonts w:ascii="Georgia" w:hAnsi="Georgia" w:cs="Times New Roman"/>
        </w:rPr>
        <w:instrText xml:space="preserve"> ADDIN EN.CITE &lt;EndNote&gt;&lt;Cite ExcludeAuth="1"&gt;&lt;Year&gt;2005&lt;/Year&gt;&lt;RecNum&gt;3130&lt;/RecNum&gt;&lt;DisplayText&gt;&lt;style face="italic"&gt;Karademirci and others v Turkey&lt;/style&gt; App nos 37096/07; 37101/97 (ECtHR, 25 January 2005)&lt;/DisplayText&gt;&lt;record&gt;&lt;rec-number&gt;3130&lt;/rec-number&gt;&lt;foreign-keys&gt;&lt;key app="EN" db-id="vdsawwd50ffvxdeptx6pwa9jwvzp0p99arez" timestamp="1580735605"&gt;3130&lt;/key&gt;&lt;/foreign-keys&gt;&lt;ref-type name="Case (inc all UK, ECJ and ECtHR cases)"&gt;7&lt;/ref-type&gt;&lt;contributors&gt;&lt;/contributors&gt;&lt;titles&gt;&lt;title&gt;Karademirci and others v Turkey&lt;/title&gt;&lt;/titles&gt;&lt;dates&gt;&lt;year&gt;2005&lt;/year&gt;&lt;pub-dates&gt;&lt;date&gt;(ECtHR, 25 January 2005)&lt;/date&gt;&lt;/pub-dates&gt;&lt;/dates&gt;&lt;urls&gt;&lt;/urls&gt;&lt;custom7&gt;App nos 37096/07; 37101/97&lt;/custom7&gt;&lt;/record&gt;&lt;/Cite&gt;&lt;/EndNote&gt;</w:instrText>
      </w:r>
      <w:r w:rsidRPr="000210DF">
        <w:rPr>
          <w:rFonts w:ascii="Georgia" w:hAnsi="Georgia" w:cs="Times New Roman"/>
        </w:rPr>
        <w:fldChar w:fldCharType="separate"/>
      </w:r>
      <w:r w:rsidRPr="000210DF">
        <w:rPr>
          <w:rFonts w:ascii="Georgia" w:hAnsi="Georgia" w:cs="Times New Roman"/>
          <w:i/>
          <w:noProof/>
        </w:rPr>
        <w:t>Karademirci and others v Turkey</w:t>
      </w:r>
      <w:r w:rsidRPr="000210DF">
        <w:rPr>
          <w:rFonts w:ascii="Georgia" w:hAnsi="Georgia" w:cs="Times New Roman"/>
          <w:noProof/>
        </w:rPr>
        <w:t xml:space="preserve"> App nos 37096/07; 37101/97 (ECtHR, 25 January 2005)</w:t>
      </w:r>
      <w:r w:rsidRPr="000210DF">
        <w:rPr>
          <w:rFonts w:ascii="Georgia" w:hAnsi="Georgia" w:cs="Times New Roman"/>
        </w:rPr>
        <w:fldChar w:fldCharType="end"/>
      </w:r>
      <w:r w:rsidRPr="000210DF">
        <w:rPr>
          <w:rFonts w:ascii="Georgia" w:hAnsi="Georgia" w:cs="Times New Roman"/>
        </w:rPr>
        <w:t xml:space="preserve"> [26] and [42] – [44].</w:t>
      </w:r>
    </w:p>
  </w:footnote>
  <w:footnote w:id="5">
    <w:p w14:paraId="0C3E92CC" w14:textId="77777777" w:rsidR="000210DF" w:rsidRPr="000210DF" w:rsidRDefault="000210DF" w:rsidP="000210DF">
      <w:pPr>
        <w:pStyle w:val="FootnoteText"/>
        <w:rPr>
          <w:rFonts w:ascii="Georgia" w:hAnsi="Georgia" w:cs="Times New Roman"/>
          <w:lang w:val="de-DE"/>
        </w:rPr>
      </w:pPr>
      <w:r w:rsidRPr="000210DF">
        <w:rPr>
          <w:rStyle w:val="FootnoteReference"/>
          <w:rFonts w:ascii="Georgia" w:hAnsi="Georgia" w:cs="Times New Roman"/>
        </w:rPr>
        <w:footnoteRef/>
      </w:r>
      <w:r w:rsidRPr="000210DF">
        <w:rPr>
          <w:rFonts w:ascii="Georgia" w:hAnsi="Georgia" w:cs="Times New Roman"/>
        </w:rPr>
        <w:t xml:space="preserve"> </w:t>
      </w:r>
      <w:r w:rsidRPr="000210DF">
        <w:rPr>
          <w:rFonts w:ascii="Georgia" w:hAnsi="Georgia" w:cs="Times New Roman"/>
        </w:rPr>
        <w:fldChar w:fldCharType="begin"/>
      </w:r>
      <w:r w:rsidRPr="000210DF">
        <w:rPr>
          <w:rFonts w:ascii="Georgia" w:hAnsi="Georgia" w:cs="Times New Roman"/>
        </w:rPr>
        <w:instrText xml:space="preserve"> ADDIN EN.CITE &lt;EndNote&gt;&lt;Cite&gt;&lt;Year&gt;2020&lt;/Year&gt;&lt;RecNum&gt;3126&lt;/RecNum&gt;&lt;DisplayText&gt;&lt;style face="italic"&gt;Draft General comment No. 37 (2020) on Article 21 of the International Covenant on Civil and Political Rights, on the Right of Peaceful Assembly&lt;/style&gt;&lt;/DisplayText&gt;&lt;record&gt;&lt;rec-number&gt;3126&lt;/rec-number&gt;&lt;foreign-keys&gt;&lt;key app="EN" db-id="vdsawwd50ffvxdeptx6pwa9jwvzp0p99arez" timestamp="1580733656"&gt;3126&lt;/key&gt;&lt;/foreign-keys&gt;&lt;ref-type name="Report; Command Paper"&gt;27&lt;/ref-type&gt;&lt;contributors&gt;&lt;/contributors&gt;&lt;titles&gt;&lt;title&gt;Draft General comment No. 37 (2020) on Article 21 of the International Covenant on Civil and Political Rights, on the Right of Peaceful Assembly&lt;/title&gt;&lt;/titles&gt;&lt;dates&gt;&lt;year&gt;2020&lt;/year&gt;&lt;/dates&gt;&lt;urls&gt;&lt;/urls&gt;&lt;/record&gt;&lt;/Cite&gt;&lt;/EndNote&gt;</w:instrText>
      </w:r>
      <w:r w:rsidRPr="000210DF">
        <w:rPr>
          <w:rFonts w:ascii="Georgia" w:hAnsi="Georgia" w:cs="Times New Roman"/>
        </w:rPr>
        <w:fldChar w:fldCharType="separate"/>
      </w:r>
      <w:r w:rsidRPr="000210DF">
        <w:rPr>
          <w:rFonts w:ascii="Georgia" w:hAnsi="Georgia" w:cs="Times New Roman"/>
          <w:i/>
          <w:noProof/>
        </w:rPr>
        <w:t>Draft General comment No. 37 (2020) on Article 21 of the International Covenant on Civil and Political Rights, on the Right of Peaceful Assembly</w:t>
      </w:r>
      <w:r w:rsidRPr="000210DF">
        <w:rPr>
          <w:rFonts w:ascii="Georgia" w:hAnsi="Georgia" w:cs="Times New Roman"/>
        </w:rPr>
        <w:fldChar w:fldCharType="end"/>
      </w:r>
      <w:r w:rsidRPr="000210DF">
        <w:rPr>
          <w:rFonts w:ascii="Georgia" w:hAnsi="Georgia" w:cs="Times New Roman"/>
        </w:rPr>
        <w:t xml:space="preserve"> [4] and [15].</w:t>
      </w:r>
    </w:p>
  </w:footnote>
  <w:footnote w:id="6">
    <w:p w14:paraId="57924372" w14:textId="77777777" w:rsidR="000210DF" w:rsidRPr="000210DF" w:rsidRDefault="000210DF" w:rsidP="000210DF">
      <w:pPr>
        <w:pStyle w:val="FootnoteText"/>
        <w:rPr>
          <w:rFonts w:ascii="Georgia" w:hAnsi="Georgia"/>
          <w:lang w:val="de-DE"/>
        </w:rPr>
      </w:pPr>
      <w:r w:rsidRPr="000210DF">
        <w:rPr>
          <w:rStyle w:val="FootnoteReference"/>
          <w:rFonts w:ascii="Georgia" w:hAnsi="Georgia"/>
        </w:rPr>
        <w:footnoteRef/>
      </w:r>
      <w:r w:rsidRPr="000210DF">
        <w:rPr>
          <w:rFonts w:ascii="Georgia" w:hAnsi="Georgia"/>
        </w:rPr>
        <w:t xml:space="preserve"> </w:t>
      </w:r>
      <w:r w:rsidRPr="000210DF">
        <w:rPr>
          <w:rFonts w:ascii="Georgia" w:hAnsi="Georgia" w:cs="Times New Roman"/>
        </w:rPr>
        <w:fldChar w:fldCharType="begin"/>
      </w:r>
      <w:r w:rsidRPr="000210DF">
        <w:rPr>
          <w:rFonts w:ascii="Georgia" w:hAnsi="Georgia" w:cs="Times New Roman"/>
        </w:rPr>
        <w:instrText xml:space="preserve"> ADDIN EN.CITE &lt;EndNote&gt;&lt;Cite&gt;&lt;Year&gt;2020&lt;/Year&gt;&lt;RecNum&gt;3126&lt;/RecNum&gt;&lt;DisplayText&gt;Ibid&lt;/DisplayText&gt;&lt;record&gt;&lt;rec-number&gt;3126&lt;/rec-number&gt;&lt;foreign-keys&gt;&lt;key app="EN" db-id="vdsawwd50ffvxdeptx6pwa9jwvzp0p99arez" timestamp="1580733656"&gt;3126&lt;/key&gt;&lt;/foreign-keys&gt;&lt;ref-type name="Report; Command Paper"&gt;27&lt;/ref-type&gt;&lt;contributors&gt;&lt;/contributors&gt;&lt;titles&gt;&lt;title&gt;Draft General comment No. 37 (2020) on Article 21 of the International Covenant on Civil and Political Rights, on the Right of Peaceful Assembly&lt;/title&gt;&lt;/titles&gt;&lt;dates&gt;&lt;year&gt;2020&lt;/year&gt;&lt;/dates&gt;&lt;urls&gt;&lt;/urls&gt;&lt;/record&gt;&lt;/Cite&gt;&lt;/EndNote&gt;</w:instrText>
      </w:r>
      <w:r w:rsidRPr="000210DF">
        <w:rPr>
          <w:rFonts w:ascii="Georgia" w:hAnsi="Georgia" w:cs="Times New Roman"/>
        </w:rPr>
        <w:fldChar w:fldCharType="separate"/>
      </w:r>
      <w:r w:rsidRPr="000210DF">
        <w:rPr>
          <w:rFonts w:ascii="Georgia" w:hAnsi="Georgia" w:cs="Times New Roman"/>
          <w:noProof/>
        </w:rPr>
        <w:t>Ibid</w:t>
      </w:r>
      <w:r w:rsidRPr="000210DF">
        <w:rPr>
          <w:rFonts w:ascii="Georgia" w:hAnsi="Georgia" w:cs="Times New Roman"/>
        </w:rPr>
        <w:fldChar w:fldCharType="end"/>
      </w:r>
      <w:r w:rsidRPr="000210DF">
        <w:rPr>
          <w:rFonts w:ascii="Georgia" w:hAnsi="Georgia" w:cs="Times New Roman"/>
        </w:rPr>
        <w:t xml:space="preserve"> [25].</w:t>
      </w:r>
    </w:p>
  </w:footnote>
  <w:footnote w:id="7">
    <w:p w14:paraId="2132541E" w14:textId="557B3665" w:rsidR="000210DF" w:rsidRPr="000210DF" w:rsidRDefault="000210DF" w:rsidP="000210DF">
      <w:pPr>
        <w:pStyle w:val="FootnoteText"/>
        <w:rPr>
          <w:rFonts w:ascii="Georgia" w:hAnsi="Georgia" w:cs="Times New Roman"/>
          <w:lang w:val="de-DE"/>
        </w:rPr>
      </w:pPr>
      <w:r w:rsidRPr="000210DF">
        <w:rPr>
          <w:rStyle w:val="FootnoteReference"/>
          <w:rFonts w:ascii="Georgia" w:hAnsi="Georgia" w:cs="Times New Roman"/>
        </w:rPr>
        <w:footnoteRef/>
      </w:r>
      <w:r w:rsidRPr="000210DF">
        <w:rPr>
          <w:rFonts w:ascii="Georgia" w:hAnsi="Georgia" w:cs="Times New Roman"/>
        </w:rPr>
        <w:t xml:space="preserve"> See reference in note </w:t>
      </w:r>
      <w:r w:rsidR="00F220CD">
        <w:rPr>
          <w:rFonts w:ascii="Georgia" w:hAnsi="Georgia" w:cs="Times New Roman"/>
        </w:rPr>
        <w:t>4</w:t>
      </w:r>
      <w:r w:rsidRPr="000210DF">
        <w:rPr>
          <w:rFonts w:ascii="Georgia" w:hAnsi="Georgia" w:cs="Times New Roman"/>
        </w:rPr>
        <w:t>.</w:t>
      </w:r>
    </w:p>
  </w:footnote>
  <w:footnote w:id="8">
    <w:p w14:paraId="5CA61654" w14:textId="77777777" w:rsidR="000F00D3" w:rsidRPr="009B264F" w:rsidRDefault="000F00D3" w:rsidP="000F00D3">
      <w:pPr>
        <w:pStyle w:val="FootnoteText"/>
        <w:rPr>
          <w:rFonts w:ascii="Georgia" w:hAnsi="Georgia"/>
        </w:rPr>
      </w:pPr>
      <w:r w:rsidRPr="009B264F">
        <w:rPr>
          <w:rStyle w:val="FootnoteReference"/>
          <w:rFonts w:ascii="Georgia" w:hAnsi="Georgia"/>
        </w:rPr>
        <w:footnoteRef/>
      </w:r>
      <w:r w:rsidRPr="009B264F">
        <w:rPr>
          <w:rFonts w:ascii="Georgia" w:hAnsi="Georgia"/>
        </w:rPr>
        <w:t xml:space="preserve"> Saman Gunadasa, ‘Police crackdown on sacked workers after Sri Lankan president’s “Independence Day” speech’</w:t>
      </w:r>
      <w:r>
        <w:rPr>
          <w:rFonts w:ascii="Georgia" w:hAnsi="Georgia"/>
        </w:rPr>
        <w:t xml:space="preserve">, </w:t>
      </w:r>
      <w:r>
        <w:rPr>
          <w:rFonts w:ascii="Georgia" w:hAnsi="Georgia"/>
          <w:i/>
          <w:iCs/>
        </w:rPr>
        <w:t>World Socialist Website</w:t>
      </w:r>
      <w:r>
        <w:rPr>
          <w:rFonts w:ascii="Georgia" w:hAnsi="Georgia"/>
        </w:rPr>
        <w:t xml:space="preserve">, 10 February 2020, at </w:t>
      </w:r>
      <w:hyperlink r:id="rId2" w:history="1">
        <w:r w:rsidRPr="00F77869">
          <w:rPr>
            <w:rStyle w:val="Hyperlink"/>
            <w:rFonts w:ascii="Georgia" w:hAnsi="Georgia"/>
          </w:rPr>
          <w:t>https://www.wsws.org/en/articles/2020/02/10/sril-f10.html</w:t>
        </w:r>
      </w:hyperlink>
      <w:r>
        <w:rPr>
          <w:rFonts w:ascii="Georgia" w:hAnsi="Georgia"/>
        </w:rPr>
        <w:t xml:space="preserve"> [last accessed 11 February 2020].</w:t>
      </w:r>
    </w:p>
  </w:footnote>
  <w:footnote w:id="9">
    <w:p w14:paraId="17939DC1" w14:textId="77777777" w:rsidR="004764F9" w:rsidRPr="000210DF" w:rsidRDefault="004764F9" w:rsidP="00D73661">
      <w:pPr>
        <w:pStyle w:val="FootnoteText"/>
        <w:jc w:val="both"/>
        <w:rPr>
          <w:rFonts w:ascii="Georgia" w:hAnsi="Georgia"/>
        </w:rPr>
      </w:pPr>
      <w:r w:rsidRPr="000210DF">
        <w:rPr>
          <w:rStyle w:val="FootnoteReference"/>
          <w:rFonts w:ascii="Georgia" w:hAnsi="Georgia"/>
        </w:rPr>
        <w:footnoteRef/>
      </w:r>
      <w:r w:rsidRPr="000210DF">
        <w:rPr>
          <w:rFonts w:ascii="Georgia" w:hAnsi="Georgia"/>
        </w:rPr>
        <w:t xml:space="preserve"> </w:t>
      </w:r>
      <w:r w:rsidR="00E307F8" w:rsidRPr="000210DF">
        <w:rPr>
          <w:rFonts w:ascii="Georgia" w:hAnsi="Georgia"/>
          <w:i/>
          <w:iCs/>
        </w:rPr>
        <w:t>Re E (a child) (AP) (Appellant) (Northern Ireland)</w:t>
      </w:r>
      <w:r w:rsidR="00E307F8" w:rsidRPr="000210DF">
        <w:rPr>
          <w:rFonts w:ascii="Georgia" w:hAnsi="Georgia"/>
        </w:rPr>
        <w:t xml:space="preserve"> [2008] UKHL 66. </w:t>
      </w:r>
      <w:r w:rsidRPr="000210DF">
        <w:rPr>
          <w:rFonts w:ascii="Georgia" w:hAnsi="Georgia"/>
        </w:rPr>
        <w:t>Se</w:t>
      </w:r>
      <w:r w:rsidR="001A3CCB" w:rsidRPr="000210DF">
        <w:rPr>
          <w:rFonts w:ascii="Georgia" w:hAnsi="Georgia"/>
        </w:rPr>
        <w:t>e,</w:t>
      </w:r>
      <w:r w:rsidRPr="000210DF">
        <w:rPr>
          <w:rFonts w:ascii="Georgia" w:hAnsi="Georgia"/>
        </w:rPr>
        <w:t xml:space="preserve"> </w:t>
      </w:r>
      <w:r w:rsidR="00B42E31" w:rsidRPr="000210DF">
        <w:rPr>
          <w:rFonts w:ascii="Georgia" w:hAnsi="Georgia"/>
        </w:rPr>
        <w:t xml:space="preserve">in particular, </w:t>
      </w:r>
      <w:r w:rsidRPr="000210DF">
        <w:rPr>
          <w:rFonts w:ascii="Georgia" w:hAnsi="Georgia"/>
        </w:rPr>
        <w:t>Lord Carswell</w:t>
      </w:r>
      <w:r w:rsidR="005728D2" w:rsidRPr="000210DF">
        <w:rPr>
          <w:rFonts w:ascii="Georgia" w:hAnsi="Georgia"/>
        </w:rPr>
        <w:t xml:space="preserve"> at</w:t>
      </w:r>
      <w:r w:rsidRPr="000210DF">
        <w:rPr>
          <w:rFonts w:ascii="Georgia" w:hAnsi="Georgia"/>
        </w:rPr>
        <w:t xml:space="preserve"> [58]-[59]</w:t>
      </w:r>
      <w:r w:rsidR="005728D2" w:rsidRPr="000210DF">
        <w:rPr>
          <w:rFonts w:ascii="Georgia" w:hAnsi="Georgia"/>
        </w:rPr>
        <w:t>.</w:t>
      </w:r>
    </w:p>
  </w:footnote>
  <w:footnote w:id="10">
    <w:p w14:paraId="1517B5C8" w14:textId="77777777" w:rsidR="00B42E31" w:rsidRPr="000210DF" w:rsidRDefault="00B42E31" w:rsidP="00D73661">
      <w:pPr>
        <w:pStyle w:val="FootnoteText"/>
        <w:jc w:val="both"/>
        <w:rPr>
          <w:rFonts w:ascii="Georgia" w:hAnsi="Georgia"/>
        </w:rPr>
      </w:pPr>
      <w:r w:rsidRPr="000210DF">
        <w:rPr>
          <w:rStyle w:val="FootnoteReference"/>
          <w:rFonts w:ascii="Georgia" w:hAnsi="Georgia"/>
        </w:rPr>
        <w:footnoteRef/>
      </w:r>
      <w:r w:rsidRPr="000210DF">
        <w:rPr>
          <w:rFonts w:ascii="Georgia" w:hAnsi="Georgia"/>
        </w:rPr>
        <w:t xml:space="preserve"> </w:t>
      </w:r>
      <w:r w:rsidRPr="000210DF">
        <w:rPr>
          <w:rFonts w:ascii="Georgia" w:hAnsi="Georgia"/>
          <w:i/>
          <w:iCs/>
        </w:rPr>
        <w:t>PF and EF v the United Kingdom</w:t>
      </w:r>
      <w:r w:rsidRPr="000210DF">
        <w:rPr>
          <w:rFonts w:ascii="Georgia" w:hAnsi="Georgia"/>
        </w:rPr>
        <w:t xml:space="preserve"> - 28326/09 [2010] ECHR 201.</w:t>
      </w:r>
    </w:p>
  </w:footnote>
  <w:footnote w:id="11">
    <w:p w14:paraId="4FF73AB7" w14:textId="6F320796" w:rsidR="007D4E33" w:rsidRPr="000210DF" w:rsidRDefault="007D4E33" w:rsidP="006417D3">
      <w:pPr>
        <w:pStyle w:val="FootnoteText"/>
        <w:jc w:val="both"/>
        <w:rPr>
          <w:rFonts w:ascii="Georgia" w:hAnsi="Georgia"/>
        </w:rPr>
      </w:pPr>
      <w:r w:rsidRPr="000210DF">
        <w:rPr>
          <w:rStyle w:val="FootnoteReference"/>
          <w:rFonts w:ascii="Georgia" w:hAnsi="Georgia"/>
        </w:rPr>
        <w:footnoteRef/>
      </w:r>
      <w:r w:rsidRPr="000210DF">
        <w:rPr>
          <w:rFonts w:ascii="Georgia" w:hAnsi="Georgia"/>
        </w:rPr>
        <w:t xml:space="preserve"> </w:t>
      </w:r>
      <w:r w:rsidR="007648FF" w:rsidRPr="000210DF">
        <w:rPr>
          <w:rFonts w:ascii="Georgia" w:hAnsi="Georgia"/>
        </w:rPr>
        <w:t>Fussey, P and Murray, D. ‘Independent Report on the London Metropolitan Police Service’s Trial of Live Facial Recognition technology’ July 2019</w:t>
      </w:r>
      <w:r w:rsidR="00413351" w:rsidRPr="000210DF">
        <w:rPr>
          <w:rFonts w:ascii="Georgia" w:hAnsi="Georgia"/>
        </w:rPr>
        <w:t>, Human Rights Centre, University of Esse</w:t>
      </w:r>
      <w:r w:rsidR="00673027" w:rsidRPr="000210DF">
        <w:rPr>
          <w:rFonts w:ascii="Georgia" w:hAnsi="Georgia"/>
        </w:rPr>
        <w:t xml:space="preserve">x. </w:t>
      </w:r>
    </w:p>
  </w:footnote>
  <w:footnote w:id="12">
    <w:p w14:paraId="7F6A0BE1" w14:textId="3D3021CD" w:rsidR="006B0B64" w:rsidRPr="000210DF" w:rsidRDefault="006B0B64" w:rsidP="006417D3">
      <w:pPr>
        <w:pStyle w:val="FootnoteText"/>
        <w:jc w:val="both"/>
        <w:rPr>
          <w:rFonts w:ascii="Georgia" w:hAnsi="Georgia"/>
        </w:rPr>
      </w:pPr>
      <w:r w:rsidRPr="000210DF">
        <w:rPr>
          <w:rStyle w:val="FootnoteReference"/>
          <w:rFonts w:ascii="Georgia" w:hAnsi="Georgia"/>
        </w:rPr>
        <w:footnoteRef/>
      </w:r>
      <w:r w:rsidRPr="000210DF">
        <w:rPr>
          <w:rFonts w:ascii="Georgia" w:hAnsi="Georgia"/>
        </w:rPr>
        <w:t xml:space="preserve"> </w:t>
      </w:r>
      <w:r w:rsidR="00E05D53" w:rsidRPr="000210DF">
        <w:rPr>
          <w:rFonts w:ascii="Georgia" w:hAnsi="Georgia"/>
          <w:i/>
          <w:iCs/>
        </w:rPr>
        <w:t xml:space="preserve">R (Bridges) v The Chief Constable of South Wales Police </w:t>
      </w:r>
      <w:r w:rsidR="00E05D53" w:rsidRPr="000210DF">
        <w:rPr>
          <w:rFonts w:ascii="Georgia" w:hAnsi="Georgia"/>
        </w:rPr>
        <w:t>[2019] EWHC 2341</w:t>
      </w:r>
      <w:r w:rsidR="00E05D53" w:rsidRPr="000210DF">
        <w:rPr>
          <w:rFonts w:ascii="Georgia" w:hAnsi="Georgia"/>
          <w:i/>
          <w:iCs/>
        </w:rPr>
        <w:t xml:space="preserve"> </w:t>
      </w:r>
      <w:r w:rsidR="00E05D53" w:rsidRPr="000210DF">
        <w:rPr>
          <w:rFonts w:ascii="Georgia" w:hAnsi="Georgia"/>
        </w:rPr>
        <w:t xml:space="preserve">at </w:t>
      </w:r>
      <w:r w:rsidRPr="000210DF">
        <w:rPr>
          <w:rFonts w:ascii="Georgia" w:hAnsi="Georgia"/>
        </w:rPr>
        <w:t>[25]</w:t>
      </w:r>
      <w:r w:rsidR="006C4953" w:rsidRPr="000210DF">
        <w:rPr>
          <w:rFonts w:ascii="Georgia" w:hAnsi="Georgia"/>
        </w:rPr>
        <w:t>.</w:t>
      </w:r>
    </w:p>
  </w:footnote>
  <w:footnote w:id="13">
    <w:p w14:paraId="649A18EC" w14:textId="18377A31" w:rsidR="006F3250" w:rsidRPr="000210DF" w:rsidRDefault="006F3250" w:rsidP="006417D3">
      <w:pPr>
        <w:pStyle w:val="FootnoteText"/>
        <w:jc w:val="both"/>
        <w:rPr>
          <w:rFonts w:ascii="Georgia" w:hAnsi="Georgia"/>
        </w:rPr>
      </w:pPr>
      <w:r w:rsidRPr="000210DF">
        <w:rPr>
          <w:rStyle w:val="FootnoteReference"/>
          <w:rFonts w:ascii="Georgia" w:hAnsi="Georgia"/>
        </w:rPr>
        <w:footnoteRef/>
      </w:r>
      <w:r w:rsidRPr="000210DF">
        <w:rPr>
          <w:rFonts w:ascii="Georgia" w:hAnsi="Georgia"/>
        </w:rPr>
        <w:t xml:space="preserve"> </w:t>
      </w:r>
      <w:r w:rsidR="00367318" w:rsidRPr="000210DF">
        <w:rPr>
          <w:rFonts w:ascii="Georgia" w:hAnsi="Georgia"/>
        </w:rPr>
        <w:t>London Policing Ethics Panel, Final Report on Live Facial Recognition, May 2019</w:t>
      </w:r>
      <w:r w:rsidR="00607EB9" w:rsidRPr="000210DF">
        <w:rPr>
          <w:rFonts w:ascii="Georgia" w:hAnsi="Georgia"/>
        </w:rPr>
        <w:t xml:space="preserve">, see </w:t>
      </w:r>
      <w:r w:rsidR="00904CB9" w:rsidRPr="000210DF">
        <w:rPr>
          <w:rFonts w:ascii="Georgia" w:hAnsi="Georgia"/>
        </w:rPr>
        <w:t xml:space="preserve">in </w:t>
      </w:r>
      <w:r w:rsidR="00D642B4" w:rsidRPr="000210DF">
        <w:rPr>
          <w:rFonts w:ascii="Georgia" w:hAnsi="Georgia"/>
        </w:rPr>
        <w:t>particular</w:t>
      </w:r>
      <w:r w:rsidR="00904CB9" w:rsidRPr="000210DF">
        <w:rPr>
          <w:rFonts w:ascii="Georgia" w:hAnsi="Georgia"/>
        </w:rPr>
        <w:t xml:space="preserve"> </w:t>
      </w:r>
      <w:r w:rsidR="00607EB9" w:rsidRPr="000210DF">
        <w:rPr>
          <w:rFonts w:ascii="Georgia" w:hAnsi="Georgia"/>
        </w:rPr>
        <w:t>pp24 -25.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42"/>
    <w:rsid w:val="00013A7C"/>
    <w:rsid w:val="00015A23"/>
    <w:rsid w:val="00017071"/>
    <w:rsid w:val="000210DF"/>
    <w:rsid w:val="00024955"/>
    <w:rsid w:val="00026406"/>
    <w:rsid w:val="00027B73"/>
    <w:rsid w:val="00033D0B"/>
    <w:rsid w:val="000371D4"/>
    <w:rsid w:val="00046BCD"/>
    <w:rsid w:val="00047E72"/>
    <w:rsid w:val="00051B86"/>
    <w:rsid w:val="00053291"/>
    <w:rsid w:val="000611E1"/>
    <w:rsid w:val="0006171E"/>
    <w:rsid w:val="000741E5"/>
    <w:rsid w:val="0008229A"/>
    <w:rsid w:val="00083E77"/>
    <w:rsid w:val="000917E3"/>
    <w:rsid w:val="00092693"/>
    <w:rsid w:val="000C38A9"/>
    <w:rsid w:val="000C45AF"/>
    <w:rsid w:val="000C4A89"/>
    <w:rsid w:val="000C7C5D"/>
    <w:rsid w:val="000D720C"/>
    <w:rsid w:val="000E2107"/>
    <w:rsid w:val="000E6E1A"/>
    <w:rsid w:val="000F00D3"/>
    <w:rsid w:val="000F3131"/>
    <w:rsid w:val="000F3484"/>
    <w:rsid w:val="000F6FB3"/>
    <w:rsid w:val="000F7198"/>
    <w:rsid w:val="00101DB1"/>
    <w:rsid w:val="001048C8"/>
    <w:rsid w:val="00105713"/>
    <w:rsid w:val="00112F71"/>
    <w:rsid w:val="001140C4"/>
    <w:rsid w:val="00117381"/>
    <w:rsid w:val="00120483"/>
    <w:rsid w:val="00121F01"/>
    <w:rsid w:val="001234E7"/>
    <w:rsid w:val="00136396"/>
    <w:rsid w:val="00137C4F"/>
    <w:rsid w:val="00160722"/>
    <w:rsid w:val="0016128C"/>
    <w:rsid w:val="00175865"/>
    <w:rsid w:val="00175D94"/>
    <w:rsid w:val="00192907"/>
    <w:rsid w:val="00194B32"/>
    <w:rsid w:val="001A3CCB"/>
    <w:rsid w:val="001A4C19"/>
    <w:rsid w:val="001A5E11"/>
    <w:rsid w:val="001B030B"/>
    <w:rsid w:val="001B7570"/>
    <w:rsid w:val="001C1A18"/>
    <w:rsid w:val="001C3AAE"/>
    <w:rsid w:val="001C5977"/>
    <w:rsid w:val="001E2ABD"/>
    <w:rsid w:val="001E7C1D"/>
    <w:rsid w:val="001F0221"/>
    <w:rsid w:val="00201926"/>
    <w:rsid w:val="00206E79"/>
    <w:rsid w:val="002106DB"/>
    <w:rsid w:val="0022304D"/>
    <w:rsid w:val="00225978"/>
    <w:rsid w:val="00240270"/>
    <w:rsid w:val="00241F9A"/>
    <w:rsid w:val="002517FA"/>
    <w:rsid w:val="00254989"/>
    <w:rsid w:val="00255D79"/>
    <w:rsid w:val="00255EED"/>
    <w:rsid w:val="002743FE"/>
    <w:rsid w:val="00277D1C"/>
    <w:rsid w:val="00280C9F"/>
    <w:rsid w:val="002859A6"/>
    <w:rsid w:val="002945F0"/>
    <w:rsid w:val="002A239D"/>
    <w:rsid w:val="002A4995"/>
    <w:rsid w:val="002B5665"/>
    <w:rsid w:val="002B6AF3"/>
    <w:rsid w:val="002B7971"/>
    <w:rsid w:val="002C01C4"/>
    <w:rsid w:val="002C235F"/>
    <w:rsid w:val="002C53D3"/>
    <w:rsid w:val="002D0924"/>
    <w:rsid w:val="002E2309"/>
    <w:rsid w:val="002E3425"/>
    <w:rsid w:val="002E662E"/>
    <w:rsid w:val="002F0517"/>
    <w:rsid w:val="002F2AD2"/>
    <w:rsid w:val="002F3742"/>
    <w:rsid w:val="002F5366"/>
    <w:rsid w:val="002F7426"/>
    <w:rsid w:val="00303931"/>
    <w:rsid w:val="0030751C"/>
    <w:rsid w:val="003104FF"/>
    <w:rsid w:val="00313089"/>
    <w:rsid w:val="0031427D"/>
    <w:rsid w:val="00321BDF"/>
    <w:rsid w:val="003245A3"/>
    <w:rsid w:val="00332FF4"/>
    <w:rsid w:val="00335174"/>
    <w:rsid w:val="003474D4"/>
    <w:rsid w:val="00354D7F"/>
    <w:rsid w:val="00362DBD"/>
    <w:rsid w:val="00363071"/>
    <w:rsid w:val="00363702"/>
    <w:rsid w:val="0036557D"/>
    <w:rsid w:val="00367318"/>
    <w:rsid w:val="003711DC"/>
    <w:rsid w:val="00371224"/>
    <w:rsid w:val="00373371"/>
    <w:rsid w:val="00373A76"/>
    <w:rsid w:val="00374C5A"/>
    <w:rsid w:val="00375E59"/>
    <w:rsid w:val="00376BF4"/>
    <w:rsid w:val="00377DF2"/>
    <w:rsid w:val="00390DCF"/>
    <w:rsid w:val="00392723"/>
    <w:rsid w:val="003A392E"/>
    <w:rsid w:val="003D6BCB"/>
    <w:rsid w:val="003E3775"/>
    <w:rsid w:val="003E3B42"/>
    <w:rsid w:val="003E5CBB"/>
    <w:rsid w:val="003E6A00"/>
    <w:rsid w:val="003F029E"/>
    <w:rsid w:val="003F2D57"/>
    <w:rsid w:val="003F3694"/>
    <w:rsid w:val="0040668A"/>
    <w:rsid w:val="00413351"/>
    <w:rsid w:val="00414F61"/>
    <w:rsid w:val="00417098"/>
    <w:rsid w:val="004208FA"/>
    <w:rsid w:val="00430FBF"/>
    <w:rsid w:val="004370B2"/>
    <w:rsid w:val="004403AF"/>
    <w:rsid w:val="004600B0"/>
    <w:rsid w:val="00462946"/>
    <w:rsid w:val="0046475D"/>
    <w:rsid w:val="00466381"/>
    <w:rsid w:val="004716F4"/>
    <w:rsid w:val="004730F0"/>
    <w:rsid w:val="004764F9"/>
    <w:rsid w:val="004777C6"/>
    <w:rsid w:val="004807B9"/>
    <w:rsid w:val="00480F70"/>
    <w:rsid w:val="00482384"/>
    <w:rsid w:val="0048296A"/>
    <w:rsid w:val="00483CF2"/>
    <w:rsid w:val="00487585"/>
    <w:rsid w:val="00491408"/>
    <w:rsid w:val="0049281D"/>
    <w:rsid w:val="00496FE1"/>
    <w:rsid w:val="004A6E1D"/>
    <w:rsid w:val="004B2AE6"/>
    <w:rsid w:val="004B5CEF"/>
    <w:rsid w:val="004C16F7"/>
    <w:rsid w:val="004C6AA5"/>
    <w:rsid w:val="004E03E7"/>
    <w:rsid w:val="004E1B86"/>
    <w:rsid w:val="0050358E"/>
    <w:rsid w:val="00514339"/>
    <w:rsid w:val="005150F1"/>
    <w:rsid w:val="00517ECD"/>
    <w:rsid w:val="005209B4"/>
    <w:rsid w:val="0053456F"/>
    <w:rsid w:val="00544DC8"/>
    <w:rsid w:val="005508E8"/>
    <w:rsid w:val="00561DB6"/>
    <w:rsid w:val="00563606"/>
    <w:rsid w:val="005728D2"/>
    <w:rsid w:val="00580D9C"/>
    <w:rsid w:val="00590A84"/>
    <w:rsid w:val="005A012D"/>
    <w:rsid w:val="005A22CF"/>
    <w:rsid w:val="005B696C"/>
    <w:rsid w:val="005C3F44"/>
    <w:rsid w:val="005C64A0"/>
    <w:rsid w:val="005C76DB"/>
    <w:rsid w:val="005D0B90"/>
    <w:rsid w:val="005D184F"/>
    <w:rsid w:val="005D3BEC"/>
    <w:rsid w:val="005E178E"/>
    <w:rsid w:val="005E3266"/>
    <w:rsid w:val="005F51AB"/>
    <w:rsid w:val="005F6356"/>
    <w:rsid w:val="005F7B07"/>
    <w:rsid w:val="005F7BEF"/>
    <w:rsid w:val="00602948"/>
    <w:rsid w:val="00602A01"/>
    <w:rsid w:val="00607EB9"/>
    <w:rsid w:val="0061470E"/>
    <w:rsid w:val="0061537C"/>
    <w:rsid w:val="00623F11"/>
    <w:rsid w:val="00632D58"/>
    <w:rsid w:val="006367EF"/>
    <w:rsid w:val="006417D3"/>
    <w:rsid w:val="00642670"/>
    <w:rsid w:val="006473AD"/>
    <w:rsid w:val="00647C30"/>
    <w:rsid w:val="006510C4"/>
    <w:rsid w:val="00657AF7"/>
    <w:rsid w:val="00662C2F"/>
    <w:rsid w:val="006636EA"/>
    <w:rsid w:val="00663D6D"/>
    <w:rsid w:val="00666737"/>
    <w:rsid w:val="00670464"/>
    <w:rsid w:val="00673027"/>
    <w:rsid w:val="0067339D"/>
    <w:rsid w:val="006841E4"/>
    <w:rsid w:val="006850B7"/>
    <w:rsid w:val="00695E3E"/>
    <w:rsid w:val="006A04CB"/>
    <w:rsid w:val="006A4D7C"/>
    <w:rsid w:val="006A595F"/>
    <w:rsid w:val="006B0B64"/>
    <w:rsid w:val="006B4AB5"/>
    <w:rsid w:val="006C4953"/>
    <w:rsid w:val="006E15C5"/>
    <w:rsid w:val="006E3D6C"/>
    <w:rsid w:val="006E68CE"/>
    <w:rsid w:val="006E7889"/>
    <w:rsid w:val="006F298E"/>
    <w:rsid w:val="006F3250"/>
    <w:rsid w:val="006F7C1A"/>
    <w:rsid w:val="007020C7"/>
    <w:rsid w:val="007039BC"/>
    <w:rsid w:val="00705829"/>
    <w:rsid w:val="0070598A"/>
    <w:rsid w:val="00714064"/>
    <w:rsid w:val="00721969"/>
    <w:rsid w:val="007325B8"/>
    <w:rsid w:val="00733776"/>
    <w:rsid w:val="00733A4F"/>
    <w:rsid w:val="00733FE0"/>
    <w:rsid w:val="00734B73"/>
    <w:rsid w:val="00744607"/>
    <w:rsid w:val="00744FA1"/>
    <w:rsid w:val="00753E4F"/>
    <w:rsid w:val="0075511A"/>
    <w:rsid w:val="007605AE"/>
    <w:rsid w:val="007606D3"/>
    <w:rsid w:val="007648FF"/>
    <w:rsid w:val="007766F4"/>
    <w:rsid w:val="00777631"/>
    <w:rsid w:val="00795F0C"/>
    <w:rsid w:val="00797D5C"/>
    <w:rsid w:val="007A37D6"/>
    <w:rsid w:val="007B17F0"/>
    <w:rsid w:val="007B25A9"/>
    <w:rsid w:val="007C5C48"/>
    <w:rsid w:val="007D291C"/>
    <w:rsid w:val="007D4E33"/>
    <w:rsid w:val="007D6673"/>
    <w:rsid w:val="007F5C7F"/>
    <w:rsid w:val="007F697E"/>
    <w:rsid w:val="00803BAE"/>
    <w:rsid w:val="00811F6E"/>
    <w:rsid w:val="00821639"/>
    <w:rsid w:val="008235B7"/>
    <w:rsid w:val="00824A2B"/>
    <w:rsid w:val="00825697"/>
    <w:rsid w:val="00827517"/>
    <w:rsid w:val="00827930"/>
    <w:rsid w:val="00830967"/>
    <w:rsid w:val="008326A3"/>
    <w:rsid w:val="00832B90"/>
    <w:rsid w:val="008560F0"/>
    <w:rsid w:val="00860305"/>
    <w:rsid w:val="008664CC"/>
    <w:rsid w:val="008811D7"/>
    <w:rsid w:val="00895619"/>
    <w:rsid w:val="008B17EF"/>
    <w:rsid w:val="008B60E9"/>
    <w:rsid w:val="008D3B41"/>
    <w:rsid w:val="008F1607"/>
    <w:rsid w:val="00900A02"/>
    <w:rsid w:val="00904CB9"/>
    <w:rsid w:val="0091603B"/>
    <w:rsid w:val="009162AE"/>
    <w:rsid w:val="00921CF6"/>
    <w:rsid w:val="009220EF"/>
    <w:rsid w:val="0093510B"/>
    <w:rsid w:val="00945BC3"/>
    <w:rsid w:val="0096443B"/>
    <w:rsid w:val="00967D2E"/>
    <w:rsid w:val="0097026A"/>
    <w:rsid w:val="009822D4"/>
    <w:rsid w:val="00987E4E"/>
    <w:rsid w:val="00996331"/>
    <w:rsid w:val="009A4ACD"/>
    <w:rsid w:val="009A58D1"/>
    <w:rsid w:val="009B5301"/>
    <w:rsid w:val="009B569B"/>
    <w:rsid w:val="009C7645"/>
    <w:rsid w:val="009D6345"/>
    <w:rsid w:val="009E41D9"/>
    <w:rsid w:val="009F075C"/>
    <w:rsid w:val="009F249E"/>
    <w:rsid w:val="009F370A"/>
    <w:rsid w:val="00A13AAA"/>
    <w:rsid w:val="00A20F74"/>
    <w:rsid w:val="00A243C3"/>
    <w:rsid w:val="00A306A1"/>
    <w:rsid w:val="00A34E89"/>
    <w:rsid w:val="00A40169"/>
    <w:rsid w:val="00A41EC6"/>
    <w:rsid w:val="00A43475"/>
    <w:rsid w:val="00A505B4"/>
    <w:rsid w:val="00A560B1"/>
    <w:rsid w:val="00A57147"/>
    <w:rsid w:val="00A60EF0"/>
    <w:rsid w:val="00A67323"/>
    <w:rsid w:val="00A70952"/>
    <w:rsid w:val="00A75079"/>
    <w:rsid w:val="00A80D78"/>
    <w:rsid w:val="00A84BC8"/>
    <w:rsid w:val="00A85470"/>
    <w:rsid w:val="00A85D91"/>
    <w:rsid w:val="00A925A5"/>
    <w:rsid w:val="00A94A4F"/>
    <w:rsid w:val="00AC2844"/>
    <w:rsid w:val="00AC36CE"/>
    <w:rsid w:val="00AC41D5"/>
    <w:rsid w:val="00AC7BF1"/>
    <w:rsid w:val="00AD6077"/>
    <w:rsid w:val="00AD70F4"/>
    <w:rsid w:val="00AE175E"/>
    <w:rsid w:val="00AE298E"/>
    <w:rsid w:val="00AE46A1"/>
    <w:rsid w:val="00AE4ADF"/>
    <w:rsid w:val="00AE73CD"/>
    <w:rsid w:val="00AF105C"/>
    <w:rsid w:val="00AF3867"/>
    <w:rsid w:val="00AF3E2E"/>
    <w:rsid w:val="00B02C6D"/>
    <w:rsid w:val="00B213B1"/>
    <w:rsid w:val="00B261E5"/>
    <w:rsid w:val="00B339FC"/>
    <w:rsid w:val="00B37ADA"/>
    <w:rsid w:val="00B40229"/>
    <w:rsid w:val="00B41678"/>
    <w:rsid w:val="00B42AA7"/>
    <w:rsid w:val="00B42C6B"/>
    <w:rsid w:val="00B42E31"/>
    <w:rsid w:val="00B47A83"/>
    <w:rsid w:val="00B61837"/>
    <w:rsid w:val="00B653EF"/>
    <w:rsid w:val="00B6626D"/>
    <w:rsid w:val="00B70E5B"/>
    <w:rsid w:val="00B7643C"/>
    <w:rsid w:val="00B81923"/>
    <w:rsid w:val="00B90DC0"/>
    <w:rsid w:val="00B974A8"/>
    <w:rsid w:val="00BA1408"/>
    <w:rsid w:val="00BB14A7"/>
    <w:rsid w:val="00BC0D68"/>
    <w:rsid w:val="00BC113A"/>
    <w:rsid w:val="00BC2018"/>
    <w:rsid w:val="00BC6232"/>
    <w:rsid w:val="00BD55C3"/>
    <w:rsid w:val="00BD57B4"/>
    <w:rsid w:val="00BE0F4E"/>
    <w:rsid w:val="00BE4706"/>
    <w:rsid w:val="00BE69B8"/>
    <w:rsid w:val="00BF03E9"/>
    <w:rsid w:val="00BF1110"/>
    <w:rsid w:val="00BF1A95"/>
    <w:rsid w:val="00BF7131"/>
    <w:rsid w:val="00C00538"/>
    <w:rsid w:val="00C101F0"/>
    <w:rsid w:val="00C14FC3"/>
    <w:rsid w:val="00C16C1B"/>
    <w:rsid w:val="00C225F4"/>
    <w:rsid w:val="00C34DD8"/>
    <w:rsid w:val="00C36F7C"/>
    <w:rsid w:val="00C37024"/>
    <w:rsid w:val="00C373B0"/>
    <w:rsid w:val="00C37591"/>
    <w:rsid w:val="00C508AD"/>
    <w:rsid w:val="00C50F5D"/>
    <w:rsid w:val="00C610A0"/>
    <w:rsid w:val="00C75037"/>
    <w:rsid w:val="00C777AD"/>
    <w:rsid w:val="00C851A3"/>
    <w:rsid w:val="00C9207B"/>
    <w:rsid w:val="00CA1198"/>
    <w:rsid w:val="00CA3000"/>
    <w:rsid w:val="00CA5BB7"/>
    <w:rsid w:val="00CB1DE2"/>
    <w:rsid w:val="00CB4AA8"/>
    <w:rsid w:val="00CB712D"/>
    <w:rsid w:val="00CD5104"/>
    <w:rsid w:val="00CE3EEB"/>
    <w:rsid w:val="00D07F48"/>
    <w:rsid w:val="00D11D77"/>
    <w:rsid w:val="00D16FB5"/>
    <w:rsid w:val="00D327AB"/>
    <w:rsid w:val="00D434DA"/>
    <w:rsid w:val="00D54671"/>
    <w:rsid w:val="00D549CE"/>
    <w:rsid w:val="00D642B4"/>
    <w:rsid w:val="00D710C4"/>
    <w:rsid w:val="00D72552"/>
    <w:rsid w:val="00D73661"/>
    <w:rsid w:val="00D966CF"/>
    <w:rsid w:val="00DA1BE5"/>
    <w:rsid w:val="00DA6412"/>
    <w:rsid w:val="00DA74CE"/>
    <w:rsid w:val="00DB7F58"/>
    <w:rsid w:val="00DC45B2"/>
    <w:rsid w:val="00DC5E29"/>
    <w:rsid w:val="00DD07B9"/>
    <w:rsid w:val="00DD1D0E"/>
    <w:rsid w:val="00DD6386"/>
    <w:rsid w:val="00DF05DA"/>
    <w:rsid w:val="00E0574A"/>
    <w:rsid w:val="00E05D53"/>
    <w:rsid w:val="00E06C02"/>
    <w:rsid w:val="00E07AD7"/>
    <w:rsid w:val="00E1085E"/>
    <w:rsid w:val="00E307F8"/>
    <w:rsid w:val="00E32F09"/>
    <w:rsid w:val="00E36EB3"/>
    <w:rsid w:val="00E430E5"/>
    <w:rsid w:val="00E51AD6"/>
    <w:rsid w:val="00E51C7E"/>
    <w:rsid w:val="00E56308"/>
    <w:rsid w:val="00E608E8"/>
    <w:rsid w:val="00E651A9"/>
    <w:rsid w:val="00E71141"/>
    <w:rsid w:val="00E910A6"/>
    <w:rsid w:val="00E962AB"/>
    <w:rsid w:val="00E97667"/>
    <w:rsid w:val="00EA2F44"/>
    <w:rsid w:val="00EA4A9F"/>
    <w:rsid w:val="00EB7A6B"/>
    <w:rsid w:val="00EC0132"/>
    <w:rsid w:val="00EC6E57"/>
    <w:rsid w:val="00ED11EB"/>
    <w:rsid w:val="00EE17C5"/>
    <w:rsid w:val="00EE204D"/>
    <w:rsid w:val="00EE47E0"/>
    <w:rsid w:val="00EF327F"/>
    <w:rsid w:val="00EF3FB9"/>
    <w:rsid w:val="00EF6F72"/>
    <w:rsid w:val="00EF7454"/>
    <w:rsid w:val="00EF7DFE"/>
    <w:rsid w:val="00F004DE"/>
    <w:rsid w:val="00F10156"/>
    <w:rsid w:val="00F212AC"/>
    <w:rsid w:val="00F220CD"/>
    <w:rsid w:val="00F32A35"/>
    <w:rsid w:val="00F36328"/>
    <w:rsid w:val="00F37BAE"/>
    <w:rsid w:val="00F46C30"/>
    <w:rsid w:val="00F46CD0"/>
    <w:rsid w:val="00F47835"/>
    <w:rsid w:val="00F516D0"/>
    <w:rsid w:val="00F65936"/>
    <w:rsid w:val="00F66399"/>
    <w:rsid w:val="00F6729E"/>
    <w:rsid w:val="00F80B76"/>
    <w:rsid w:val="00FA6FFD"/>
    <w:rsid w:val="00FB2AEC"/>
    <w:rsid w:val="00FB5147"/>
    <w:rsid w:val="00FC660D"/>
    <w:rsid w:val="00FD25CE"/>
    <w:rsid w:val="00FD2F2D"/>
    <w:rsid w:val="00FE2F18"/>
    <w:rsid w:val="00FE54FA"/>
    <w:rsid w:val="00FE7BA1"/>
    <w:rsid w:val="00FF2A2E"/>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A23D"/>
  <w15:chartTrackingRefBased/>
  <w15:docId w15:val="{A2C1ECAA-18BA-6B43-BC45-0A0A2501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10D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D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DB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764F9"/>
    <w:rPr>
      <w:sz w:val="20"/>
      <w:szCs w:val="20"/>
    </w:rPr>
  </w:style>
  <w:style w:type="character" w:customStyle="1" w:styleId="FootnoteTextChar">
    <w:name w:val="Footnote Text Char"/>
    <w:basedOn w:val="DefaultParagraphFont"/>
    <w:link w:val="FootnoteText"/>
    <w:uiPriority w:val="99"/>
    <w:semiHidden/>
    <w:rsid w:val="004764F9"/>
    <w:rPr>
      <w:sz w:val="20"/>
      <w:szCs w:val="20"/>
    </w:rPr>
  </w:style>
  <w:style w:type="character" w:styleId="FootnoteReference">
    <w:name w:val="footnote reference"/>
    <w:basedOn w:val="DefaultParagraphFont"/>
    <w:uiPriority w:val="99"/>
    <w:semiHidden/>
    <w:unhideWhenUsed/>
    <w:rsid w:val="004764F9"/>
    <w:rPr>
      <w:vertAlign w:val="superscript"/>
    </w:rPr>
  </w:style>
  <w:style w:type="character" w:customStyle="1" w:styleId="Heading2Char">
    <w:name w:val="Heading 2 Char"/>
    <w:basedOn w:val="DefaultParagraphFont"/>
    <w:link w:val="Heading2"/>
    <w:uiPriority w:val="9"/>
    <w:rsid w:val="000210D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0210DF"/>
    <w:rPr>
      <w:color w:val="0000FF"/>
      <w:u w:val="single"/>
    </w:rPr>
  </w:style>
  <w:style w:type="paragraph" w:styleId="Footer">
    <w:name w:val="footer"/>
    <w:basedOn w:val="Normal"/>
    <w:link w:val="FooterChar"/>
    <w:uiPriority w:val="99"/>
    <w:unhideWhenUsed/>
    <w:rsid w:val="002C235F"/>
    <w:pPr>
      <w:tabs>
        <w:tab w:val="center" w:pos="4680"/>
        <w:tab w:val="right" w:pos="9360"/>
      </w:tabs>
    </w:pPr>
  </w:style>
  <w:style w:type="character" w:customStyle="1" w:styleId="FooterChar">
    <w:name w:val="Footer Char"/>
    <w:basedOn w:val="DefaultParagraphFont"/>
    <w:link w:val="Footer"/>
    <w:uiPriority w:val="99"/>
    <w:rsid w:val="002C235F"/>
  </w:style>
  <w:style w:type="character" w:styleId="PageNumber">
    <w:name w:val="page number"/>
    <w:basedOn w:val="DefaultParagraphFont"/>
    <w:uiPriority w:val="99"/>
    <w:semiHidden/>
    <w:unhideWhenUsed/>
    <w:rsid w:val="002C235F"/>
  </w:style>
  <w:style w:type="paragraph" w:styleId="Header">
    <w:name w:val="header"/>
    <w:basedOn w:val="Normal"/>
    <w:link w:val="HeaderChar"/>
    <w:uiPriority w:val="99"/>
    <w:unhideWhenUsed/>
    <w:rsid w:val="002C235F"/>
    <w:pPr>
      <w:tabs>
        <w:tab w:val="center" w:pos="4680"/>
        <w:tab w:val="right" w:pos="9360"/>
      </w:tabs>
    </w:pPr>
  </w:style>
  <w:style w:type="character" w:customStyle="1" w:styleId="HeaderChar">
    <w:name w:val="Header Char"/>
    <w:basedOn w:val="DefaultParagraphFont"/>
    <w:link w:val="Header"/>
    <w:uiPriority w:val="99"/>
    <w:rsid w:val="002C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645012087">
      <w:bodyDiv w:val="1"/>
      <w:marLeft w:val="0"/>
      <w:marRight w:val="0"/>
      <w:marTop w:val="0"/>
      <w:marBottom w:val="0"/>
      <w:divBdr>
        <w:top w:val="none" w:sz="0" w:space="0" w:color="auto"/>
        <w:left w:val="none" w:sz="0" w:space="0" w:color="auto"/>
        <w:bottom w:val="none" w:sz="0" w:space="0" w:color="auto"/>
        <w:right w:val="none" w:sz="0" w:space="0" w:color="auto"/>
      </w:divBdr>
      <w:divsChild>
        <w:div w:id="209617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575843">
              <w:marLeft w:val="0"/>
              <w:marRight w:val="0"/>
              <w:marTop w:val="0"/>
              <w:marBottom w:val="0"/>
              <w:divBdr>
                <w:top w:val="none" w:sz="0" w:space="0" w:color="auto"/>
                <w:left w:val="none" w:sz="0" w:space="0" w:color="auto"/>
                <w:bottom w:val="none" w:sz="0" w:space="0" w:color="auto"/>
                <w:right w:val="none" w:sz="0" w:space="0" w:color="auto"/>
              </w:divBdr>
              <w:divsChild>
                <w:div w:id="18707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7963">
      <w:bodyDiv w:val="1"/>
      <w:marLeft w:val="0"/>
      <w:marRight w:val="0"/>
      <w:marTop w:val="0"/>
      <w:marBottom w:val="0"/>
      <w:divBdr>
        <w:top w:val="none" w:sz="0" w:space="0" w:color="auto"/>
        <w:left w:val="none" w:sz="0" w:space="0" w:color="auto"/>
        <w:bottom w:val="none" w:sz="0" w:space="0" w:color="auto"/>
        <w:right w:val="none" w:sz="0" w:space="0" w:color="auto"/>
      </w:divBdr>
    </w:div>
    <w:div w:id="1251045460">
      <w:bodyDiv w:val="1"/>
      <w:marLeft w:val="0"/>
      <w:marRight w:val="0"/>
      <w:marTop w:val="0"/>
      <w:marBottom w:val="0"/>
      <w:divBdr>
        <w:top w:val="none" w:sz="0" w:space="0" w:color="auto"/>
        <w:left w:val="none" w:sz="0" w:space="0" w:color="auto"/>
        <w:bottom w:val="none" w:sz="0" w:space="0" w:color="auto"/>
        <w:right w:val="none" w:sz="0" w:space="0" w:color="auto"/>
      </w:divBdr>
      <w:divsChild>
        <w:div w:id="172510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699710">
              <w:marLeft w:val="0"/>
              <w:marRight w:val="0"/>
              <w:marTop w:val="0"/>
              <w:marBottom w:val="0"/>
              <w:divBdr>
                <w:top w:val="none" w:sz="0" w:space="0" w:color="auto"/>
                <w:left w:val="none" w:sz="0" w:space="0" w:color="auto"/>
                <w:bottom w:val="none" w:sz="0" w:space="0" w:color="auto"/>
                <w:right w:val="none" w:sz="0" w:space="0" w:color="auto"/>
              </w:divBdr>
              <w:divsChild>
                <w:div w:id="12464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sws.org/en/articles/2020/02/10/sril-f10.html" TargetMode="External"/><Relationship Id="rId1" Type="http://schemas.openxmlformats.org/officeDocument/2006/relationships/hyperlink" Target="https://www.ohchr.org/EN/HRBodies/CCPR/Pages/GCArticle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4AD318-527F-467B-AA47-DFD061D0543B}"/>
</file>

<file path=customXml/itemProps2.xml><?xml version="1.0" encoding="utf-8"?>
<ds:datastoreItem xmlns:ds="http://schemas.openxmlformats.org/officeDocument/2006/customXml" ds:itemID="{02201E31-B0F0-4FC0-8E9C-AAE48B5D5321}"/>
</file>

<file path=customXml/itemProps3.xml><?xml version="1.0" encoding="utf-8"?>
<ds:datastoreItem xmlns:ds="http://schemas.openxmlformats.org/officeDocument/2006/customXml" ds:itemID="{1267CC14-9728-4F06-AB82-07E2CB6F0AF4}"/>
</file>

<file path=docProps/app.xml><?xml version="1.0" encoding="utf-8"?>
<Properties xmlns="http://schemas.openxmlformats.org/officeDocument/2006/extended-properties" xmlns:vt="http://schemas.openxmlformats.org/officeDocument/2006/docPropsVTypes">
  <Template>Normal.dotm</Template>
  <TotalTime>1</TotalTime>
  <Pages>9</Pages>
  <Words>3120</Words>
  <Characters>17789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Martin</dc:creator>
  <cp:keywords/>
  <dc:description/>
  <cp:lastModifiedBy>ROSNIANSKY Cherry Lou</cp:lastModifiedBy>
  <cp:revision>2</cp:revision>
  <dcterms:created xsi:type="dcterms:W3CDTF">2020-02-23T20:32:00Z</dcterms:created>
  <dcterms:modified xsi:type="dcterms:W3CDTF">2020-02-23T20:32:00Z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