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4B" w:rsidRDefault="00DB704B" w:rsidP="009C1377">
      <w:pPr>
        <w:spacing w:line="271" w:lineRule="auto"/>
        <w:jc w:val="both"/>
        <w:rPr>
          <w:b/>
          <w:sz w:val="32"/>
          <w:szCs w:val="24"/>
        </w:rPr>
      </w:pPr>
      <w:bookmarkStart w:id="0" w:name="_GoBack"/>
      <w:bookmarkEnd w:id="0"/>
      <w:r w:rsidRPr="00541525">
        <w:rPr>
          <w:b/>
          <w:sz w:val="32"/>
          <w:szCs w:val="24"/>
        </w:rPr>
        <w:t xml:space="preserve">Comments on </w:t>
      </w:r>
      <w:r w:rsidR="00541525">
        <w:rPr>
          <w:b/>
          <w:sz w:val="32"/>
          <w:szCs w:val="24"/>
        </w:rPr>
        <w:t xml:space="preserve">the </w:t>
      </w:r>
      <w:r w:rsidRPr="00541525">
        <w:rPr>
          <w:b/>
          <w:sz w:val="32"/>
          <w:szCs w:val="24"/>
        </w:rPr>
        <w:t>revised draft General comment No. 37, Article 21: right of peaceful assembly</w:t>
      </w:r>
    </w:p>
    <w:p w:rsidR="00541525" w:rsidRDefault="00541525" w:rsidP="009C1377">
      <w:pPr>
        <w:spacing w:line="271" w:lineRule="auto"/>
        <w:jc w:val="both"/>
        <w:rPr>
          <w:b/>
          <w:sz w:val="32"/>
          <w:szCs w:val="24"/>
        </w:rPr>
      </w:pPr>
    </w:p>
    <w:p w:rsidR="00541525" w:rsidRDefault="00541525" w:rsidP="00AF47F8">
      <w:pPr>
        <w:pBdr>
          <w:bottom w:val="single" w:sz="4" w:space="1" w:color="auto"/>
        </w:pBdr>
        <w:spacing w:line="271" w:lineRule="auto"/>
        <w:jc w:val="both"/>
        <w:rPr>
          <w:b/>
          <w:sz w:val="28"/>
          <w:szCs w:val="24"/>
        </w:rPr>
      </w:pPr>
      <w:r w:rsidRPr="00541525">
        <w:rPr>
          <w:b/>
          <w:sz w:val="28"/>
          <w:szCs w:val="24"/>
        </w:rPr>
        <w:t>Prepared by the Expert Council on NGO Law</w:t>
      </w:r>
      <w:r w:rsidR="00E50658">
        <w:rPr>
          <w:b/>
          <w:sz w:val="28"/>
          <w:szCs w:val="24"/>
        </w:rPr>
        <w:t xml:space="preserve"> of the Council of Europe</w:t>
      </w:r>
    </w:p>
    <w:p w:rsidR="00AF47F8" w:rsidRPr="009C1377" w:rsidRDefault="00876469" w:rsidP="009C1377">
      <w:pPr>
        <w:pBdr>
          <w:bottom w:val="single" w:sz="4" w:space="1" w:color="auto"/>
        </w:pBdr>
        <w:spacing w:line="271" w:lineRule="auto"/>
        <w:jc w:val="both"/>
        <w:rPr>
          <w:i/>
          <w:sz w:val="28"/>
          <w:szCs w:val="24"/>
        </w:rPr>
      </w:pPr>
      <w:r>
        <w:rPr>
          <w:i/>
          <w:sz w:val="28"/>
          <w:szCs w:val="24"/>
        </w:rPr>
        <w:t>February</w:t>
      </w:r>
      <w:r w:rsidR="00AF47F8" w:rsidRPr="009C1377">
        <w:rPr>
          <w:i/>
          <w:sz w:val="28"/>
          <w:szCs w:val="24"/>
        </w:rPr>
        <w:t xml:space="preserve"> 2020</w:t>
      </w:r>
    </w:p>
    <w:p w:rsidR="00541525" w:rsidRDefault="00541525" w:rsidP="009C1377">
      <w:pPr>
        <w:spacing w:line="271" w:lineRule="auto"/>
        <w:jc w:val="both"/>
        <w:rPr>
          <w:b/>
          <w:sz w:val="28"/>
          <w:szCs w:val="24"/>
        </w:rPr>
      </w:pPr>
    </w:p>
    <w:p w:rsidR="00541525" w:rsidRPr="00F12B27" w:rsidRDefault="00541525" w:rsidP="009C1377">
      <w:pPr>
        <w:pStyle w:val="ListParagraph"/>
        <w:numPr>
          <w:ilvl w:val="0"/>
          <w:numId w:val="1"/>
        </w:numPr>
        <w:spacing w:line="271" w:lineRule="auto"/>
        <w:jc w:val="both"/>
        <w:rPr>
          <w:b/>
          <w:sz w:val="24"/>
          <w:szCs w:val="24"/>
        </w:rPr>
      </w:pPr>
      <w:r w:rsidRPr="00F12B27">
        <w:rPr>
          <w:b/>
          <w:sz w:val="24"/>
          <w:szCs w:val="24"/>
        </w:rPr>
        <w:t>Scope of these comments</w:t>
      </w:r>
    </w:p>
    <w:p w:rsidR="000E1689" w:rsidRDefault="000E1689" w:rsidP="009C1377">
      <w:pPr>
        <w:spacing w:line="271" w:lineRule="auto"/>
        <w:jc w:val="both"/>
        <w:rPr>
          <w:b/>
          <w:sz w:val="24"/>
          <w:szCs w:val="24"/>
        </w:rPr>
      </w:pPr>
    </w:p>
    <w:p w:rsidR="000E1689" w:rsidRDefault="000E1689" w:rsidP="009C1377">
      <w:pPr>
        <w:pStyle w:val="ListParagraph"/>
        <w:numPr>
          <w:ilvl w:val="1"/>
          <w:numId w:val="1"/>
        </w:numPr>
        <w:spacing w:line="271" w:lineRule="auto"/>
        <w:ind w:hanging="792"/>
        <w:jc w:val="both"/>
        <w:rPr>
          <w:sz w:val="24"/>
          <w:szCs w:val="24"/>
        </w:rPr>
      </w:pPr>
      <w:r w:rsidRPr="004F7C53">
        <w:rPr>
          <w:sz w:val="24"/>
          <w:szCs w:val="24"/>
        </w:rPr>
        <w:t xml:space="preserve">The Expert Council on NGO Law was established by the Conference of International </w:t>
      </w:r>
      <w:r w:rsidR="004F7C53">
        <w:rPr>
          <w:sz w:val="24"/>
          <w:szCs w:val="24"/>
        </w:rPr>
        <w:t xml:space="preserve">Non-Governmental Organisations </w:t>
      </w:r>
      <w:r w:rsidRPr="004F7C53">
        <w:rPr>
          <w:sz w:val="24"/>
          <w:szCs w:val="24"/>
        </w:rPr>
        <w:t>of t</w:t>
      </w:r>
      <w:r w:rsidR="004F7C53">
        <w:rPr>
          <w:sz w:val="24"/>
          <w:szCs w:val="24"/>
        </w:rPr>
        <w:t>he Council of Europe in 2008. The Expert Council</w:t>
      </w:r>
      <w:r w:rsidRPr="004F7C53">
        <w:rPr>
          <w:sz w:val="24"/>
          <w:szCs w:val="24"/>
        </w:rPr>
        <w:t xml:space="preserve"> contributes to ensuring an enabling environment for non-governmental organisations throughout Europe.</w:t>
      </w:r>
      <w:r w:rsidR="004F7C53">
        <w:rPr>
          <w:rStyle w:val="FootnoteReference"/>
          <w:sz w:val="24"/>
          <w:szCs w:val="24"/>
        </w:rPr>
        <w:footnoteReference w:id="1"/>
      </w:r>
      <w:r w:rsidR="00AF47F8">
        <w:rPr>
          <w:sz w:val="24"/>
          <w:szCs w:val="24"/>
        </w:rPr>
        <w:t xml:space="preserve"> </w:t>
      </w:r>
    </w:p>
    <w:p w:rsidR="004F7C53" w:rsidRDefault="004F7C53" w:rsidP="00FB769E">
      <w:pPr>
        <w:pStyle w:val="ListParagraph"/>
        <w:spacing w:line="271" w:lineRule="auto"/>
        <w:ind w:left="360"/>
        <w:jc w:val="both"/>
        <w:rPr>
          <w:sz w:val="24"/>
          <w:szCs w:val="24"/>
        </w:rPr>
      </w:pPr>
    </w:p>
    <w:p w:rsidR="004F7C53" w:rsidRPr="004F7C53" w:rsidRDefault="00F52BA0" w:rsidP="009C1377">
      <w:pPr>
        <w:pStyle w:val="ListParagraph"/>
        <w:numPr>
          <w:ilvl w:val="1"/>
          <w:numId w:val="1"/>
        </w:numPr>
        <w:spacing w:line="271" w:lineRule="auto"/>
        <w:ind w:hanging="792"/>
        <w:jc w:val="both"/>
        <w:rPr>
          <w:sz w:val="24"/>
          <w:szCs w:val="24"/>
        </w:rPr>
      </w:pPr>
      <w:r>
        <w:rPr>
          <w:sz w:val="24"/>
          <w:szCs w:val="24"/>
        </w:rPr>
        <w:t xml:space="preserve">In </w:t>
      </w:r>
      <w:r w:rsidRPr="00F52BA0">
        <w:rPr>
          <w:sz w:val="24"/>
          <w:szCs w:val="24"/>
        </w:rPr>
        <w:t xml:space="preserve">this submission, we make </w:t>
      </w:r>
      <w:proofErr w:type="gramStart"/>
      <w:r w:rsidRPr="00F52BA0">
        <w:rPr>
          <w:sz w:val="24"/>
          <w:szCs w:val="24"/>
        </w:rPr>
        <w:t>a number of</w:t>
      </w:r>
      <w:proofErr w:type="gramEnd"/>
      <w:r w:rsidRPr="00F52BA0">
        <w:rPr>
          <w:sz w:val="24"/>
          <w:szCs w:val="24"/>
        </w:rPr>
        <w:t xml:space="preserve"> suggestions, based on international human rights law, </w:t>
      </w:r>
      <w:r w:rsidR="009C1377">
        <w:rPr>
          <w:sz w:val="24"/>
          <w:szCs w:val="24"/>
        </w:rPr>
        <w:t>which we hope will be of use in the drafting of General comment No. 37</w:t>
      </w:r>
      <w:r w:rsidR="00876469">
        <w:rPr>
          <w:sz w:val="24"/>
          <w:szCs w:val="24"/>
        </w:rPr>
        <w:t xml:space="preserve"> of the Human Rights Committee</w:t>
      </w:r>
      <w:r w:rsidR="009C1377">
        <w:rPr>
          <w:sz w:val="24"/>
          <w:szCs w:val="24"/>
        </w:rPr>
        <w:t>.</w:t>
      </w:r>
      <w:r>
        <w:rPr>
          <w:sz w:val="24"/>
          <w:szCs w:val="24"/>
        </w:rPr>
        <w:t xml:space="preserve"> </w:t>
      </w:r>
      <w:r w:rsidR="004F7C53">
        <w:rPr>
          <w:sz w:val="24"/>
          <w:szCs w:val="24"/>
        </w:rPr>
        <w:t>In</w:t>
      </w:r>
      <w:r>
        <w:rPr>
          <w:sz w:val="24"/>
          <w:szCs w:val="24"/>
        </w:rPr>
        <w:t xml:space="preserve"> </w:t>
      </w:r>
      <w:r w:rsidR="004F7C53">
        <w:rPr>
          <w:sz w:val="24"/>
          <w:szCs w:val="24"/>
        </w:rPr>
        <w:t>line</w:t>
      </w:r>
      <w:r>
        <w:rPr>
          <w:sz w:val="24"/>
          <w:szCs w:val="24"/>
        </w:rPr>
        <w:t xml:space="preserve"> </w:t>
      </w:r>
      <w:r w:rsidR="004F7C53">
        <w:rPr>
          <w:sz w:val="24"/>
          <w:szCs w:val="24"/>
        </w:rPr>
        <w:t>with the mandate of the Expert Council, these comments are limited to aspects of the revised draft General com</w:t>
      </w:r>
      <w:r w:rsidR="00BC2DED">
        <w:rPr>
          <w:sz w:val="24"/>
          <w:szCs w:val="24"/>
        </w:rPr>
        <w:t>ment which relate</w:t>
      </w:r>
      <w:r w:rsidR="00AF47F8">
        <w:rPr>
          <w:sz w:val="24"/>
          <w:szCs w:val="24"/>
        </w:rPr>
        <w:t>, implicitly or explicitly,</w:t>
      </w:r>
      <w:r w:rsidR="00BC2DED">
        <w:rPr>
          <w:sz w:val="24"/>
          <w:szCs w:val="24"/>
        </w:rPr>
        <w:t xml:space="preserve"> to </w:t>
      </w:r>
      <w:r w:rsidR="004F7C53">
        <w:rPr>
          <w:sz w:val="24"/>
          <w:szCs w:val="24"/>
        </w:rPr>
        <w:t>the r</w:t>
      </w:r>
      <w:r w:rsidR="00BC2DED">
        <w:rPr>
          <w:sz w:val="24"/>
          <w:szCs w:val="24"/>
        </w:rPr>
        <w:t>ight to freedom of association, including the in</w:t>
      </w:r>
      <w:r w:rsidR="00CE2D43">
        <w:rPr>
          <w:sz w:val="24"/>
          <w:szCs w:val="24"/>
        </w:rPr>
        <w:t>terpretation of restrictions</w:t>
      </w:r>
      <w:r w:rsidR="00BC2DED">
        <w:rPr>
          <w:sz w:val="24"/>
          <w:szCs w:val="24"/>
        </w:rPr>
        <w:t>.</w:t>
      </w:r>
    </w:p>
    <w:p w:rsidR="00541525" w:rsidRDefault="00541525" w:rsidP="009C1377">
      <w:pPr>
        <w:spacing w:line="271" w:lineRule="auto"/>
        <w:jc w:val="both"/>
        <w:rPr>
          <w:b/>
          <w:sz w:val="24"/>
          <w:szCs w:val="24"/>
        </w:rPr>
      </w:pPr>
    </w:p>
    <w:p w:rsidR="00541525" w:rsidRPr="00F12B27" w:rsidRDefault="00541525" w:rsidP="009C1377">
      <w:pPr>
        <w:pStyle w:val="ListParagraph"/>
        <w:numPr>
          <w:ilvl w:val="0"/>
          <w:numId w:val="1"/>
        </w:numPr>
        <w:spacing w:line="271" w:lineRule="auto"/>
        <w:jc w:val="both"/>
        <w:rPr>
          <w:b/>
          <w:sz w:val="24"/>
          <w:szCs w:val="24"/>
        </w:rPr>
      </w:pPr>
      <w:r w:rsidRPr="00F12B27">
        <w:rPr>
          <w:b/>
          <w:sz w:val="24"/>
          <w:szCs w:val="24"/>
        </w:rPr>
        <w:t xml:space="preserve">The relationship between peaceful assembly and freedom of association </w:t>
      </w:r>
    </w:p>
    <w:p w:rsidR="00541525" w:rsidRPr="00541525" w:rsidRDefault="00541525" w:rsidP="00FB769E">
      <w:pPr>
        <w:spacing w:line="271" w:lineRule="auto"/>
        <w:jc w:val="both"/>
        <w:rPr>
          <w:b/>
          <w:sz w:val="22"/>
        </w:rPr>
      </w:pPr>
    </w:p>
    <w:p w:rsidR="00633C72" w:rsidRDefault="00F52BA0" w:rsidP="009C1377">
      <w:pPr>
        <w:pStyle w:val="HMG"/>
        <w:keepNext w:val="0"/>
        <w:keepLines w:val="0"/>
        <w:numPr>
          <w:ilvl w:val="1"/>
          <w:numId w:val="1"/>
        </w:numPr>
        <w:spacing w:before="0" w:after="0" w:line="271" w:lineRule="auto"/>
        <w:ind w:right="0" w:hanging="792"/>
        <w:jc w:val="both"/>
        <w:rPr>
          <w:b w:val="0"/>
          <w:sz w:val="24"/>
          <w:szCs w:val="24"/>
        </w:rPr>
      </w:pPr>
      <w:r>
        <w:rPr>
          <w:b w:val="0"/>
          <w:sz w:val="24"/>
          <w:szCs w:val="24"/>
        </w:rPr>
        <w:t xml:space="preserve">All human </w:t>
      </w:r>
      <w:r w:rsidRPr="00620A0D">
        <w:rPr>
          <w:b w:val="0"/>
          <w:sz w:val="24"/>
          <w:szCs w:val="24"/>
        </w:rPr>
        <w:t xml:space="preserve">rights are interdependent and interrelated, </w:t>
      </w:r>
      <w:r w:rsidR="00FB769E" w:rsidRPr="00620A0D">
        <w:rPr>
          <w:b w:val="0"/>
          <w:sz w:val="24"/>
          <w:szCs w:val="24"/>
        </w:rPr>
        <w:t>including</w:t>
      </w:r>
      <w:r w:rsidR="007D5B0F" w:rsidRPr="00A41423">
        <w:rPr>
          <w:b w:val="0"/>
          <w:sz w:val="24"/>
          <w:szCs w:val="24"/>
        </w:rPr>
        <w:t>, as the Human Rights Committee noted in General Comment No. 25,</w:t>
      </w:r>
      <w:r w:rsidR="00FB769E" w:rsidRPr="00620A0D">
        <w:rPr>
          <w:b w:val="0"/>
          <w:sz w:val="24"/>
          <w:szCs w:val="24"/>
        </w:rPr>
        <w:t xml:space="preserve"> the right of </w:t>
      </w:r>
      <w:r w:rsidR="002E265F" w:rsidRPr="00620A0D">
        <w:rPr>
          <w:b w:val="0"/>
          <w:sz w:val="24"/>
          <w:szCs w:val="24"/>
        </w:rPr>
        <w:t xml:space="preserve">peaceful assembly and the </w:t>
      </w:r>
      <w:r w:rsidR="00155661" w:rsidRPr="00620A0D">
        <w:rPr>
          <w:b w:val="0"/>
          <w:sz w:val="24"/>
          <w:szCs w:val="24"/>
        </w:rPr>
        <w:t>right to freedom of association</w:t>
      </w:r>
      <w:r w:rsidR="00EF342A" w:rsidRPr="007D5B0F">
        <w:rPr>
          <w:b w:val="0"/>
          <w:sz w:val="24"/>
          <w:szCs w:val="24"/>
        </w:rPr>
        <w:t xml:space="preserve">. </w:t>
      </w:r>
      <w:r w:rsidR="00A41423">
        <w:rPr>
          <w:b w:val="0"/>
          <w:sz w:val="24"/>
          <w:szCs w:val="24"/>
        </w:rPr>
        <w:t>The two</w:t>
      </w:r>
      <w:r w:rsidR="007D5B0F" w:rsidRPr="00A41423">
        <w:rPr>
          <w:b w:val="0"/>
          <w:sz w:val="24"/>
          <w:szCs w:val="24"/>
        </w:rPr>
        <w:t xml:space="preserve"> rights</w:t>
      </w:r>
      <w:r w:rsidR="00FB769E" w:rsidRPr="00620A0D">
        <w:rPr>
          <w:b w:val="0"/>
          <w:sz w:val="24"/>
          <w:szCs w:val="24"/>
        </w:rPr>
        <w:t xml:space="preserve"> </w:t>
      </w:r>
      <w:r w:rsidR="00A41423">
        <w:rPr>
          <w:b w:val="0"/>
          <w:sz w:val="24"/>
          <w:szCs w:val="24"/>
        </w:rPr>
        <w:t xml:space="preserve">are closely related; both </w:t>
      </w:r>
      <w:r w:rsidR="00FB769E" w:rsidRPr="00620A0D">
        <w:rPr>
          <w:b w:val="0"/>
          <w:sz w:val="24"/>
          <w:szCs w:val="24"/>
        </w:rPr>
        <w:t xml:space="preserve">are </w:t>
      </w:r>
      <w:r w:rsidR="003F69C2" w:rsidRPr="00620A0D">
        <w:rPr>
          <w:b w:val="0"/>
          <w:sz w:val="24"/>
          <w:szCs w:val="24"/>
        </w:rPr>
        <w:t>essential to the functioning of democracy</w:t>
      </w:r>
      <w:r w:rsidR="00710D2B" w:rsidRPr="00620A0D">
        <w:rPr>
          <w:b w:val="0"/>
          <w:sz w:val="24"/>
          <w:szCs w:val="24"/>
        </w:rPr>
        <w:t xml:space="preserve">, including the contribution of civil society to </w:t>
      </w:r>
      <w:r w:rsidR="00710D2B" w:rsidRPr="007D5B0F">
        <w:rPr>
          <w:b w:val="0"/>
          <w:sz w:val="24"/>
          <w:szCs w:val="24"/>
        </w:rPr>
        <w:t>that functioning</w:t>
      </w:r>
      <w:r w:rsidR="003F69C2" w:rsidRPr="007D5B0F">
        <w:rPr>
          <w:b w:val="0"/>
          <w:sz w:val="24"/>
          <w:szCs w:val="24"/>
        </w:rPr>
        <w:t>.</w:t>
      </w:r>
      <w:r w:rsidR="003F69C2" w:rsidRPr="00620A0D">
        <w:rPr>
          <w:rStyle w:val="FootnoteReference"/>
          <w:b w:val="0"/>
          <w:sz w:val="24"/>
          <w:szCs w:val="24"/>
        </w:rPr>
        <w:footnoteReference w:id="2"/>
      </w:r>
      <w:r w:rsidR="003F69C2" w:rsidRPr="00620A0D">
        <w:rPr>
          <w:b w:val="0"/>
          <w:sz w:val="24"/>
          <w:szCs w:val="24"/>
        </w:rPr>
        <w:t xml:space="preserve"> </w:t>
      </w:r>
      <w:r w:rsidR="000B03C9" w:rsidRPr="00620A0D">
        <w:rPr>
          <w:b w:val="0"/>
          <w:sz w:val="24"/>
          <w:szCs w:val="24"/>
        </w:rPr>
        <w:t>Freed</w:t>
      </w:r>
      <w:r w:rsidR="00710D2B" w:rsidRPr="00620A0D">
        <w:rPr>
          <w:b w:val="0"/>
          <w:sz w:val="24"/>
          <w:szCs w:val="24"/>
        </w:rPr>
        <w:t>om of association allows people</w:t>
      </w:r>
      <w:r w:rsidR="000B03C9">
        <w:rPr>
          <w:b w:val="0"/>
          <w:sz w:val="24"/>
          <w:szCs w:val="24"/>
        </w:rPr>
        <w:t xml:space="preserve"> to come together to pursue common objectives, the means of which may include organising peaceful assemblies. Restrictions on the right to freedom of association (which are not in accordance with article 22) </w:t>
      </w:r>
      <w:r w:rsidR="00AF47F8">
        <w:rPr>
          <w:b w:val="0"/>
          <w:sz w:val="24"/>
          <w:szCs w:val="24"/>
        </w:rPr>
        <w:t xml:space="preserve">can </w:t>
      </w:r>
      <w:r w:rsidR="000B03C9">
        <w:rPr>
          <w:b w:val="0"/>
          <w:sz w:val="24"/>
          <w:szCs w:val="24"/>
        </w:rPr>
        <w:t xml:space="preserve">therefore undermine </w:t>
      </w:r>
      <w:r w:rsidR="00633C72">
        <w:rPr>
          <w:b w:val="0"/>
          <w:sz w:val="24"/>
          <w:szCs w:val="24"/>
        </w:rPr>
        <w:t>the right of peaceful assembly</w:t>
      </w:r>
      <w:r w:rsidR="00AF47F8">
        <w:rPr>
          <w:b w:val="0"/>
          <w:sz w:val="24"/>
          <w:szCs w:val="24"/>
        </w:rPr>
        <w:t xml:space="preserve">, as </w:t>
      </w:r>
      <w:r w:rsidR="009C1377">
        <w:rPr>
          <w:b w:val="0"/>
          <w:sz w:val="24"/>
          <w:szCs w:val="24"/>
        </w:rPr>
        <w:t>is</w:t>
      </w:r>
      <w:r w:rsidR="00AF47F8">
        <w:rPr>
          <w:b w:val="0"/>
          <w:sz w:val="24"/>
          <w:szCs w:val="24"/>
        </w:rPr>
        <w:t xml:space="preserve"> noted in paragraph 112 of draft</w:t>
      </w:r>
      <w:r w:rsidR="00A41423">
        <w:rPr>
          <w:b w:val="0"/>
          <w:sz w:val="24"/>
          <w:szCs w:val="24"/>
        </w:rPr>
        <w:t xml:space="preserve"> General comment</w:t>
      </w:r>
      <w:r w:rsidR="00876469">
        <w:rPr>
          <w:b w:val="0"/>
          <w:sz w:val="24"/>
          <w:szCs w:val="24"/>
        </w:rPr>
        <w:t xml:space="preserve"> No. 37</w:t>
      </w:r>
      <w:r w:rsidR="00633C72">
        <w:rPr>
          <w:b w:val="0"/>
          <w:sz w:val="24"/>
          <w:szCs w:val="24"/>
        </w:rPr>
        <w:t>.</w:t>
      </w:r>
      <w:r w:rsidR="000B03C9">
        <w:rPr>
          <w:b w:val="0"/>
          <w:sz w:val="24"/>
          <w:szCs w:val="24"/>
        </w:rPr>
        <w:t xml:space="preserve"> </w:t>
      </w:r>
      <w:r w:rsidR="00D14987">
        <w:rPr>
          <w:b w:val="0"/>
          <w:sz w:val="24"/>
          <w:szCs w:val="24"/>
        </w:rPr>
        <w:t xml:space="preserve">Examples of interferences with the </w:t>
      </w:r>
      <w:r w:rsidR="005A220F">
        <w:rPr>
          <w:b w:val="0"/>
          <w:sz w:val="24"/>
          <w:szCs w:val="24"/>
        </w:rPr>
        <w:t xml:space="preserve">right to freedom of association </w:t>
      </w:r>
      <w:r w:rsidR="00710D2B">
        <w:rPr>
          <w:b w:val="0"/>
          <w:sz w:val="24"/>
          <w:szCs w:val="24"/>
        </w:rPr>
        <w:t xml:space="preserve">which may </w:t>
      </w:r>
      <w:r w:rsidR="002C3661">
        <w:rPr>
          <w:b w:val="0"/>
          <w:sz w:val="24"/>
          <w:szCs w:val="24"/>
        </w:rPr>
        <w:t>undermine</w:t>
      </w:r>
      <w:r w:rsidR="00710D2B">
        <w:rPr>
          <w:b w:val="0"/>
          <w:sz w:val="24"/>
          <w:szCs w:val="24"/>
        </w:rPr>
        <w:t xml:space="preserve"> the right of assembly </w:t>
      </w:r>
      <w:r w:rsidR="005A220F">
        <w:rPr>
          <w:b w:val="0"/>
          <w:sz w:val="24"/>
          <w:szCs w:val="24"/>
        </w:rPr>
        <w:t xml:space="preserve">include prescribing an association’s objectives, placing onerous financial or administrative requirements on associations and requiring associations to register (as discussed </w:t>
      </w:r>
      <w:r w:rsidR="00521374">
        <w:rPr>
          <w:b w:val="0"/>
          <w:sz w:val="24"/>
          <w:szCs w:val="24"/>
        </w:rPr>
        <w:t>in part three below</w:t>
      </w:r>
      <w:r w:rsidR="005A220F">
        <w:rPr>
          <w:b w:val="0"/>
          <w:sz w:val="24"/>
          <w:szCs w:val="24"/>
        </w:rPr>
        <w:t>).</w:t>
      </w:r>
      <w:r w:rsidR="005A220F">
        <w:rPr>
          <w:rStyle w:val="FootnoteReference"/>
          <w:b w:val="0"/>
          <w:sz w:val="24"/>
          <w:szCs w:val="24"/>
        </w:rPr>
        <w:footnoteReference w:id="3"/>
      </w:r>
    </w:p>
    <w:p w:rsidR="00633C72" w:rsidRPr="00633C72" w:rsidRDefault="00633C72" w:rsidP="00FB769E">
      <w:pPr>
        <w:jc w:val="both"/>
      </w:pPr>
    </w:p>
    <w:p w:rsidR="00A539D0" w:rsidRPr="00FB769E" w:rsidRDefault="002A2C02" w:rsidP="009C1377">
      <w:pPr>
        <w:pStyle w:val="HMG"/>
        <w:keepNext w:val="0"/>
        <w:keepLines w:val="0"/>
        <w:numPr>
          <w:ilvl w:val="1"/>
          <w:numId w:val="1"/>
        </w:numPr>
        <w:spacing w:before="0" w:after="0" w:line="271" w:lineRule="auto"/>
        <w:ind w:right="0" w:hanging="792"/>
        <w:jc w:val="both"/>
        <w:rPr>
          <w:b w:val="0"/>
          <w:i/>
          <w:sz w:val="24"/>
          <w:szCs w:val="24"/>
        </w:rPr>
      </w:pPr>
      <w:r>
        <w:rPr>
          <w:b w:val="0"/>
          <w:sz w:val="24"/>
          <w:szCs w:val="24"/>
        </w:rPr>
        <w:t xml:space="preserve">In light of the above, </w:t>
      </w:r>
      <w:r w:rsidR="00AF47F8" w:rsidRPr="009C1377">
        <w:rPr>
          <w:b w:val="0"/>
          <w:i/>
          <w:sz w:val="24"/>
          <w:szCs w:val="24"/>
        </w:rPr>
        <w:t xml:space="preserve">we recommend that </w:t>
      </w:r>
      <w:r w:rsidRPr="009C1377">
        <w:rPr>
          <w:b w:val="0"/>
          <w:i/>
          <w:sz w:val="24"/>
          <w:szCs w:val="24"/>
        </w:rPr>
        <w:t>t</w:t>
      </w:r>
      <w:r w:rsidR="00876469">
        <w:rPr>
          <w:b w:val="0"/>
          <w:i/>
          <w:sz w:val="24"/>
          <w:szCs w:val="24"/>
        </w:rPr>
        <w:t>he current wording in</w:t>
      </w:r>
      <w:r w:rsidR="00A539D0" w:rsidRPr="009C1377">
        <w:rPr>
          <w:b w:val="0"/>
          <w:i/>
          <w:sz w:val="24"/>
          <w:szCs w:val="24"/>
        </w:rPr>
        <w:t xml:space="preserve"> draft General comment No. 37</w:t>
      </w:r>
      <w:r w:rsidR="005F615E" w:rsidRPr="009C1377">
        <w:rPr>
          <w:b w:val="0"/>
          <w:i/>
          <w:sz w:val="24"/>
          <w:szCs w:val="24"/>
        </w:rPr>
        <w:t>,</w:t>
      </w:r>
      <w:r w:rsidR="00A539D0" w:rsidRPr="009C1377">
        <w:rPr>
          <w:b w:val="0"/>
          <w:i/>
          <w:sz w:val="24"/>
          <w:szCs w:val="24"/>
        </w:rPr>
        <w:t xml:space="preserve"> which recognises the importance of </w:t>
      </w:r>
      <w:r w:rsidR="003F1C26" w:rsidRPr="009C1377">
        <w:rPr>
          <w:b w:val="0"/>
          <w:i/>
          <w:sz w:val="24"/>
          <w:szCs w:val="24"/>
        </w:rPr>
        <w:t>protecting</w:t>
      </w:r>
      <w:r w:rsidR="00A539D0" w:rsidRPr="009C1377">
        <w:rPr>
          <w:b w:val="0"/>
          <w:i/>
          <w:sz w:val="24"/>
          <w:szCs w:val="24"/>
        </w:rPr>
        <w:t xml:space="preserve"> a number of rights alongside freedom of assembly</w:t>
      </w:r>
      <w:r w:rsidR="005F615E" w:rsidRPr="009C1377">
        <w:rPr>
          <w:b w:val="0"/>
          <w:i/>
          <w:sz w:val="24"/>
          <w:szCs w:val="24"/>
        </w:rPr>
        <w:t>,</w:t>
      </w:r>
      <w:r w:rsidR="00A539D0" w:rsidRPr="009C1377">
        <w:rPr>
          <w:b w:val="0"/>
          <w:i/>
          <w:sz w:val="24"/>
          <w:szCs w:val="24"/>
        </w:rPr>
        <w:t xml:space="preserve"> be expanded</w:t>
      </w:r>
      <w:r w:rsidR="00710D2B" w:rsidRPr="009C1377">
        <w:rPr>
          <w:b w:val="0"/>
          <w:i/>
          <w:sz w:val="24"/>
          <w:szCs w:val="24"/>
        </w:rPr>
        <w:t xml:space="preserve">. </w:t>
      </w:r>
      <w:r w:rsidR="00AF47F8" w:rsidRPr="009C1377">
        <w:rPr>
          <w:b w:val="0"/>
          <w:i/>
          <w:sz w:val="24"/>
          <w:szCs w:val="24"/>
        </w:rPr>
        <w:t>We suggest that t</w:t>
      </w:r>
      <w:r w:rsidRPr="009C1377">
        <w:rPr>
          <w:b w:val="0"/>
          <w:i/>
          <w:sz w:val="24"/>
          <w:szCs w:val="24"/>
        </w:rPr>
        <w:t xml:space="preserve">he </w:t>
      </w:r>
      <w:r w:rsidR="00710D2B" w:rsidRPr="009C1377">
        <w:rPr>
          <w:b w:val="0"/>
          <w:i/>
          <w:sz w:val="24"/>
          <w:szCs w:val="24"/>
        </w:rPr>
        <w:t xml:space="preserve">General comment expressly recognise the importance of </w:t>
      </w:r>
      <w:r w:rsidR="00710D2B" w:rsidRPr="00FB769E">
        <w:rPr>
          <w:b w:val="0"/>
          <w:i/>
          <w:sz w:val="24"/>
          <w:szCs w:val="24"/>
        </w:rPr>
        <w:t xml:space="preserve">the right to freedom of association to the functioning </w:t>
      </w:r>
      <w:r w:rsidR="00EB667F" w:rsidRPr="00FB769E">
        <w:rPr>
          <w:b w:val="0"/>
          <w:i/>
          <w:sz w:val="24"/>
          <w:szCs w:val="24"/>
        </w:rPr>
        <w:t xml:space="preserve">of democracy, including the contribution of civil society. </w:t>
      </w:r>
      <w:proofErr w:type="gramStart"/>
      <w:r w:rsidR="00FF26AC" w:rsidRPr="00FB769E">
        <w:rPr>
          <w:b w:val="0"/>
          <w:i/>
          <w:sz w:val="24"/>
          <w:szCs w:val="24"/>
        </w:rPr>
        <w:t xml:space="preserve">In particular, </w:t>
      </w:r>
      <w:r w:rsidR="00AF47F8" w:rsidRPr="00FB769E">
        <w:rPr>
          <w:b w:val="0"/>
          <w:i/>
          <w:sz w:val="24"/>
          <w:szCs w:val="24"/>
        </w:rPr>
        <w:t>we</w:t>
      </w:r>
      <w:proofErr w:type="gramEnd"/>
      <w:r w:rsidR="00AF47F8" w:rsidRPr="00FB769E">
        <w:rPr>
          <w:b w:val="0"/>
          <w:i/>
          <w:sz w:val="24"/>
          <w:szCs w:val="24"/>
        </w:rPr>
        <w:t xml:space="preserve"> </w:t>
      </w:r>
      <w:r w:rsidR="009C1377">
        <w:rPr>
          <w:b w:val="0"/>
          <w:i/>
          <w:sz w:val="24"/>
          <w:szCs w:val="24"/>
        </w:rPr>
        <w:t>suggest</w:t>
      </w:r>
      <w:r w:rsidR="00AF47F8" w:rsidRPr="00FB769E">
        <w:rPr>
          <w:b w:val="0"/>
          <w:i/>
          <w:sz w:val="24"/>
          <w:szCs w:val="24"/>
        </w:rPr>
        <w:t xml:space="preserve"> </w:t>
      </w:r>
      <w:r w:rsidR="00AF47F8" w:rsidRPr="009C1377">
        <w:rPr>
          <w:b w:val="0"/>
          <w:i/>
          <w:sz w:val="24"/>
          <w:szCs w:val="24"/>
        </w:rPr>
        <w:t xml:space="preserve">replacing </w:t>
      </w:r>
      <w:r w:rsidR="00FF26AC" w:rsidRPr="009C1377">
        <w:rPr>
          <w:b w:val="0"/>
          <w:i/>
          <w:sz w:val="24"/>
          <w:szCs w:val="24"/>
        </w:rPr>
        <w:t xml:space="preserve">the </w:t>
      </w:r>
      <w:r w:rsidR="00FF26AC" w:rsidRPr="00FB769E">
        <w:rPr>
          <w:b w:val="0"/>
          <w:i/>
          <w:sz w:val="24"/>
          <w:szCs w:val="24"/>
        </w:rPr>
        <w:t xml:space="preserve">expression “but also rights such as freedom of association” in paragraph </w:t>
      </w:r>
      <w:r w:rsidR="00FF26AC" w:rsidRPr="009C1377">
        <w:rPr>
          <w:b w:val="0"/>
          <w:i/>
          <w:sz w:val="24"/>
          <w:szCs w:val="24"/>
        </w:rPr>
        <w:t xml:space="preserve">9 </w:t>
      </w:r>
      <w:r w:rsidR="00FF26AC" w:rsidRPr="00FB769E">
        <w:rPr>
          <w:b w:val="0"/>
          <w:i/>
          <w:sz w:val="24"/>
          <w:szCs w:val="24"/>
        </w:rPr>
        <w:t>with “and also rights such as freedom of association” to avoid any implication that freedom of association has a lower standing</w:t>
      </w:r>
      <w:r w:rsidR="00FF26AC" w:rsidRPr="009C1377">
        <w:rPr>
          <w:b w:val="0"/>
          <w:i/>
          <w:sz w:val="24"/>
          <w:szCs w:val="24"/>
        </w:rPr>
        <w:t xml:space="preserve">. </w:t>
      </w:r>
      <w:r w:rsidR="00AF47F8" w:rsidRPr="009C1377">
        <w:rPr>
          <w:b w:val="0"/>
          <w:i/>
          <w:sz w:val="24"/>
          <w:szCs w:val="24"/>
        </w:rPr>
        <w:t>In addition, we suggest that the</w:t>
      </w:r>
      <w:r w:rsidR="00FF26AC" w:rsidRPr="009C1377">
        <w:rPr>
          <w:b w:val="0"/>
          <w:i/>
          <w:sz w:val="24"/>
          <w:szCs w:val="24"/>
        </w:rPr>
        <w:t xml:space="preserve"> General comment</w:t>
      </w:r>
      <w:r w:rsidR="00EB667F" w:rsidRPr="009C1377">
        <w:rPr>
          <w:b w:val="0"/>
          <w:i/>
          <w:sz w:val="24"/>
          <w:szCs w:val="24"/>
        </w:rPr>
        <w:t xml:space="preserve"> </w:t>
      </w:r>
      <w:r w:rsidR="00AF47F8" w:rsidRPr="009C1377">
        <w:rPr>
          <w:b w:val="0"/>
          <w:i/>
          <w:sz w:val="24"/>
          <w:szCs w:val="24"/>
        </w:rPr>
        <w:t>note</w:t>
      </w:r>
      <w:r w:rsidR="009A3A8D" w:rsidRPr="009C1377">
        <w:rPr>
          <w:b w:val="0"/>
          <w:i/>
          <w:sz w:val="24"/>
          <w:szCs w:val="24"/>
        </w:rPr>
        <w:t xml:space="preserve"> </w:t>
      </w:r>
      <w:r w:rsidR="00FF26AC" w:rsidRPr="00FB769E">
        <w:rPr>
          <w:b w:val="0"/>
          <w:i/>
          <w:sz w:val="24"/>
          <w:szCs w:val="24"/>
        </w:rPr>
        <w:t xml:space="preserve">that </w:t>
      </w:r>
      <w:r w:rsidR="009A3A8D" w:rsidRPr="00FB769E">
        <w:rPr>
          <w:b w:val="0"/>
          <w:i/>
          <w:sz w:val="24"/>
          <w:szCs w:val="24"/>
        </w:rPr>
        <w:t xml:space="preserve">the full enjoyment of the right to freedom of association is </w:t>
      </w:r>
      <w:r w:rsidR="00862DED" w:rsidRPr="00FB769E">
        <w:rPr>
          <w:b w:val="0"/>
          <w:i/>
          <w:sz w:val="24"/>
          <w:szCs w:val="24"/>
        </w:rPr>
        <w:t xml:space="preserve">a </w:t>
      </w:r>
      <w:r w:rsidR="009A3A8D" w:rsidRPr="00FB769E">
        <w:rPr>
          <w:b w:val="0"/>
          <w:i/>
          <w:sz w:val="24"/>
          <w:szCs w:val="24"/>
        </w:rPr>
        <w:t>necessary</w:t>
      </w:r>
      <w:r w:rsidR="00862DED" w:rsidRPr="00FB769E">
        <w:rPr>
          <w:b w:val="0"/>
          <w:i/>
          <w:sz w:val="24"/>
          <w:szCs w:val="24"/>
        </w:rPr>
        <w:t xml:space="preserve"> part of the enabling environment</w:t>
      </w:r>
      <w:r w:rsidR="009A3A8D" w:rsidRPr="00FB769E">
        <w:rPr>
          <w:b w:val="0"/>
          <w:i/>
          <w:sz w:val="24"/>
          <w:szCs w:val="24"/>
        </w:rPr>
        <w:t xml:space="preserve"> </w:t>
      </w:r>
      <w:r w:rsidR="00862DED" w:rsidRPr="00FB769E">
        <w:rPr>
          <w:b w:val="0"/>
          <w:i/>
          <w:sz w:val="24"/>
          <w:szCs w:val="24"/>
        </w:rPr>
        <w:t>for the enjoyment of the right of peaceful assembly</w:t>
      </w:r>
      <w:r w:rsidR="00613474" w:rsidRPr="00FB769E">
        <w:rPr>
          <w:b w:val="0"/>
          <w:i/>
          <w:sz w:val="24"/>
          <w:szCs w:val="24"/>
        </w:rPr>
        <w:t xml:space="preserve"> and that freedom of association must be guaranteed in law and in practice</w:t>
      </w:r>
      <w:r w:rsidR="00862DED" w:rsidRPr="00FB769E">
        <w:rPr>
          <w:b w:val="0"/>
          <w:i/>
          <w:sz w:val="24"/>
          <w:szCs w:val="24"/>
        </w:rPr>
        <w:t xml:space="preserve">. Adding examples of restrictions on freedom of association that </w:t>
      </w:r>
      <w:r w:rsidR="00AF47F8" w:rsidRPr="009C1377">
        <w:rPr>
          <w:b w:val="0"/>
          <w:i/>
          <w:sz w:val="24"/>
          <w:szCs w:val="24"/>
        </w:rPr>
        <w:t xml:space="preserve">can </w:t>
      </w:r>
      <w:r w:rsidR="00862DED" w:rsidRPr="009C1377">
        <w:rPr>
          <w:b w:val="0"/>
          <w:i/>
          <w:sz w:val="24"/>
          <w:szCs w:val="24"/>
        </w:rPr>
        <w:t xml:space="preserve">undermine </w:t>
      </w:r>
      <w:r w:rsidR="00862DED" w:rsidRPr="00FB769E">
        <w:rPr>
          <w:b w:val="0"/>
          <w:i/>
          <w:sz w:val="24"/>
          <w:szCs w:val="24"/>
        </w:rPr>
        <w:t xml:space="preserve">the right of peaceful assembly may also </w:t>
      </w:r>
      <w:r w:rsidR="00FF26AC" w:rsidRPr="00FB769E">
        <w:rPr>
          <w:b w:val="0"/>
          <w:i/>
          <w:sz w:val="24"/>
          <w:szCs w:val="24"/>
        </w:rPr>
        <w:t>help to clarify this point</w:t>
      </w:r>
      <w:r w:rsidR="00862DED" w:rsidRPr="00FB769E">
        <w:rPr>
          <w:b w:val="0"/>
          <w:i/>
          <w:sz w:val="24"/>
          <w:szCs w:val="24"/>
        </w:rPr>
        <w:t xml:space="preserve">. </w:t>
      </w:r>
    </w:p>
    <w:p w:rsidR="00541525" w:rsidRPr="00EB667F" w:rsidRDefault="00A539D0" w:rsidP="00FB769E">
      <w:pPr>
        <w:pStyle w:val="HMG"/>
        <w:keepNext w:val="0"/>
        <w:keepLines w:val="0"/>
        <w:spacing w:before="0" w:after="0" w:line="271" w:lineRule="auto"/>
        <w:ind w:left="792" w:firstLine="0"/>
        <w:jc w:val="both"/>
        <w:rPr>
          <w:b w:val="0"/>
          <w:sz w:val="24"/>
          <w:szCs w:val="24"/>
        </w:rPr>
      </w:pPr>
      <w:r>
        <w:rPr>
          <w:b w:val="0"/>
          <w:sz w:val="24"/>
          <w:szCs w:val="24"/>
        </w:rPr>
        <w:t xml:space="preserve"> </w:t>
      </w:r>
    </w:p>
    <w:p w:rsidR="00541525" w:rsidRPr="00AF415E" w:rsidRDefault="00541525" w:rsidP="00FB769E">
      <w:pPr>
        <w:pStyle w:val="ListParagraph"/>
        <w:numPr>
          <w:ilvl w:val="0"/>
          <w:numId w:val="1"/>
        </w:numPr>
        <w:spacing w:line="271" w:lineRule="auto"/>
        <w:jc w:val="both"/>
        <w:rPr>
          <w:b/>
          <w:sz w:val="24"/>
        </w:rPr>
      </w:pPr>
      <w:r w:rsidRPr="00AF415E">
        <w:rPr>
          <w:b/>
          <w:sz w:val="24"/>
        </w:rPr>
        <w:t xml:space="preserve">Right of associations to organise assemblies </w:t>
      </w:r>
    </w:p>
    <w:p w:rsidR="00541525" w:rsidRPr="00541525" w:rsidRDefault="00541525" w:rsidP="00FB769E">
      <w:pPr>
        <w:spacing w:line="271" w:lineRule="auto"/>
        <w:jc w:val="both"/>
      </w:pPr>
    </w:p>
    <w:p w:rsidR="00D73CEA" w:rsidRDefault="007E79D8" w:rsidP="009C1377">
      <w:pPr>
        <w:pStyle w:val="HMG"/>
        <w:keepNext w:val="0"/>
        <w:keepLines w:val="0"/>
        <w:numPr>
          <w:ilvl w:val="1"/>
          <w:numId w:val="1"/>
        </w:numPr>
        <w:spacing w:before="0" w:after="0" w:line="271" w:lineRule="auto"/>
        <w:ind w:right="0" w:hanging="792"/>
        <w:jc w:val="both"/>
        <w:rPr>
          <w:b w:val="0"/>
          <w:sz w:val="24"/>
          <w:szCs w:val="24"/>
        </w:rPr>
      </w:pPr>
      <w:r>
        <w:rPr>
          <w:b w:val="0"/>
          <w:sz w:val="24"/>
          <w:szCs w:val="24"/>
        </w:rPr>
        <w:t>As paragraph 4 of the draft</w:t>
      </w:r>
      <w:r w:rsidR="00A41423">
        <w:rPr>
          <w:b w:val="0"/>
          <w:sz w:val="24"/>
          <w:szCs w:val="24"/>
        </w:rPr>
        <w:t xml:space="preserve"> General comment</w:t>
      </w:r>
      <w:r>
        <w:rPr>
          <w:b w:val="0"/>
          <w:sz w:val="24"/>
          <w:szCs w:val="24"/>
        </w:rPr>
        <w:t xml:space="preserve"> notes, the right of peaceful assembly can be exercised collectively and the right th</w:t>
      </w:r>
      <w:r w:rsidR="009C1377">
        <w:rPr>
          <w:b w:val="0"/>
          <w:sz w:val="24"/>
          <w:szCs w:val="24"/>
        </w:rPr>
        <w:t>erefore</w:t>
      </w:r>
      <w:r>
        <w:rPr>
          <w:b w:val="0"/>
          <w:sz w:val="24"/>
          <w:szCs w:val="24"/>
        </w:rPr>
        <w:t xml:space="preserve"> has an </w:t>
      </w:r>
      <w:r w:rsidR="009C1377">
        <w:rPr>
          <w:b w:val="0"/>
          <w:sz w:val="24"/>
          <w:szCs w:val="24"/>
        </w:rPr>
        <w:t xml:space="preserve">inherently </w:t>
      </w:r>
      <w:r>
        <w:rPr>
          <w:b w:val="0"/>
          <w:sz w:val="24"/>
          <w:szCs w:val="24"/>
        </w:rPr>
        <w:t xml:space="preserve">associative aspect. This associative element may manifest itself in both ad hoc gatherings as well as in more organised ways, such as through assemblies organised or supported by associations. </w:t>
      </w:r>
      <w:r w:rsidR="001D741F">
        <w:rPr>
          <w:b w:val="0"/>
          <w:sz w:val="24"/>
          <w:szCs w:val="24"/>
        </w:rPr>
        <w:t xml:space="preserve">The right to freedom of association </w:t>
      </w:r>
      <w:r w:rsidR="00CB7F8B">
        <w:rPr>
          <w:b w:val="0"/>
          <w:sz w:val="24"/>
          <w:szCs w:val="24"/>
        </w:rPr>
        <w:t xml:space="preserve">necessarily </w:t>
      </w:r>
      <w:r w:rsidR="00E61E05">
        <w:rPr>
          <w:b w:val="0"/>
          <w:sz w:val="24"/>
          <w:szCs w:val="24"/>
        </w:rPr>
        <w:t>provides those associating with the freedom to</w:t>
      </w:r>
      <w:r w:rsidR="001D741F">
        <w:rPr>
          <w:b w:val="0"/>
          <w:sz w:val="24"/>
          <w:szCs w:val="24"/>
        </w:rPr>
        <w:t xml:space="preserve"> determine the basis on which they do so, including whether they register </w:t>
      </w:r>
      <w:r w:rsidR="00DA3344">
        <w:rPr>
          <w:b w:val="0"/>
          <w:sz w:val="24"/>
          <w:szCs w:val="24"/>
        </w:rPr>
        <w:t>their association or not</w:t>
      </w:r>
      <w:r w:rsidR="00E61E05">
        <w:rPr>
          <w:b w:val="0"/>
          <w:sz w:val="24"/>
          <w:szCs w:val="24"/>
        </w:rPr>
        <w:t>. The right therefore protects both unregistered and registered associations.</w:t>
      </w:r>
      <w:r w:rsidR="00E61E05">
        <w:rPr>
          <w:rStyle w:val="FootnoteReference"/>
          <w:b w:val="0"/>
          <w:sz w:val="24"/>
          <w:szCs w:val="24"/>
        </w:rPr>
        <w:footnoteReference w:id="4"/>
      </w:r>
      <w:r w:rsidR="00E61E05">
        <w:rPr>
          <w:b w:val="0"/>
          <w:sz w:val="24"/>
          <w:szCs w:val="24"/>
        </w:rPr>
        <w:t xml:space="preserve"> </w:t>
      </w:r>
    </w:p>
    <w:p w:rsidR="00D73CEA" w:rsidRDefault="00D73CEA" w:rsidP="00FB769E">
      <w:pPr>
        <w:pStyle w:val="HMG"/>
        <w:keepNext w:val="0"/>
        <w:keepLines w:val="0"/>
        <w:spacing w:before="0" w:after="0" w:line="271" w:lineRule="auto"/>
        <w:ind w:left="792" w:firstLine="0"/>
        <w:jc w:val="both"/>
        <w:rPr>
          <w:b w:val="0"/>
          <w:sz w:val="24"/>
          <w:szCs w:val="24"/>
        </w:rPr>
      </w:pPr>
    </w:p>
    <w:p w:rsidR="00106B88" w:rsidRPr="00D73CEA" w:rsidRDefault="007E4954" w:rsidP="00FB769E">
      <w:pPr>
        <w:pStyle w:val="HMG"/>
        <w:keepNext w:val="0"/>
        <w:keepLines w:val="0"/>
        <w:numPr>
          <w:ilvl w:val="1"/>
          <w:numId w:val="1"/>
        </w:numPr>
        <w:spacing w:before="0" w:after="0" w:line="271" w:lineRule="auto"/>
        <w:ind w:right="0" w:hanging="792"/>
        <w:jc w:val="both"/>
        <w:rPr>
          <w:b w:val="0"/>
          <w:sz w:val="24"/>
          <w:szCs w:val="24"/>
        </w:rPr>
      </w:pPr>
      <w:r>
        <w:rPr>
          <w:b w:val="0"/>
          <w:sz w:val="24"/>
          <w:szCs w:val="24"/>
        </w:rPr>
        <w:t xml:space="preserve">The right to freedom of association </w:t>
      </w:r>
      <w:r w:rsidR="002A2C02">
        <w:rPr>
          <w:b w:val="0"/>
          <w:sz w:val="24"/>
          <w:szCs w:val="24"/>
        </w:rPr>
        <w:t xml:space="preserve">also </w:t>
      </w:r>
      <w:r>
        <w:rPr>
          <w:b w:val="0"/>
          <w:sz w:val="24"/>
          <w:szCs w:val="24"/>
        </w:rPr>
        <w:t>allows a</w:t>
      </w:r>
      <w:r w:rsidR="00106B88" w:rsidRPr="007E4954">
        <w:rPr>
          <w:b w:val="0"/>
          <w:sz w:val="24"/>
          <w:szCs w:val="24"/>
        </w:rPr>
        <w:t xml:space="preserve">ssociations </w:t>
      </w:r>
      <w:r>
        <w:rPr>
          <w:b w:val="0"/>
          <w:sz w:val="24"/>
          <w:szCs w:val="24"/>
        </w:rPr>
        <w:t xml:space="preserve">to determine their own objectives and the means and activities they use to achieve </w:t>
      </w:r>
      <w:r w:rsidR="008A374B">
        <w:rPr>
          <w:b w:val="0"/>
          <w:sz w:val="24"/>
          <w:szCs w:val="24"/>
        </w:rPr>
        <w:t>those objectives (provided they are consistent with the requirements of a democratic society)</w:t>
      </w:r>
      <w:r w:rsidR="0027568F" w:rsidRPr="007E4954">
        <w:rPr>
          <w:b w:val="0"/>
          <w:sz w:val="24"/>
          <w:szCs w:val="24"/>
        </w:rPr>
        <w:t>. This includes the</w:t>
      </w:r>
      <w:r w:rsidR="00106B88" w:rsidRPr="007E4954">
        <w:rPr>
          <w:b w:val="0"/>
          <w:sz w:val="24"/>
          <w:szCs w:val="24"/>
        </w:rPr>
        <w:t xml:space="preserve"> right to </w:t>
      </w:r>
      <w:r w:rsidR="0027568F" w:rsidRPr="007E4954">
        <w:rPr>
          <w:b w:val="0"/>
          <w:sz w:val="24"/>
          <w:szCs w:val="24"/>
        </w:rPr>
        <w:t xml:space="preserve">hold and participate </w:t>
      </w:r>
      <w:r w:rsidR="0027568F" w:rsidRPr="007E4954">
        <w:rPr>
          <w:b w:val="0"/>
          <w:sz w:val="24"/>
          <w:szCs w:val="24"/>
        </w:rPr>
        <w:lastRenderedPageBreak/>
        <w:t>in</w:t>
      </w:r>
      <w:r w:rsidR="00106B88" w:rsidRPr="007E4954">
        <w:rPr>
          <w:b w:val="0"/>
          <w:sz w:val="24"/>
          <w:szCs w:val="24"/>
        </w:rPr>
        <w:t xml:space="preserve"> peaceful assemblies.</w:t>
      </w:r>
      <w:r w:rsidR="00642CD5" w:rsidRPr="007E4954">
        <w:rPr>
          <w:rStyle w:val="FootnoteReference"/>
          <w:b w:val="0"/>
          <w:sz w:val="24"/>
          <w:szCs w:val="24"/>
        </w:rPr>
        <w:footnoteReference w:id="5"/>
      </w:r>
      <w:r w:rsidR="00106B88" w:rsidRPr="007E4954">
        <w:rPr>
          <w:b w:val="0"/>
          <w:sz w:val="24"/>
          <w:szCs w:val="24"/>
        </w:rPr>
        <w:t xml:space="preserve"> </w:t>
      </w:r>
      <w:r w:rsidR="002C3661">
        <w:rPr>
          <w:b w:val="0"/>
          <w:sz w:val="24"/>
          <w:szCs w:val="24"/>
        </w:rPr>
        <w:t>A p</w:t>
      </w:r>
      <w:r w:rsidR="00C87575" w:rsidRPr="007E4954">
        <w:rPr>
          <w:b w:val="0"/>
          <w:sz w:val="24"/>
          <w:szCs w:val="24"/>
        </w:rPr>
        <w:t xml:space="preserve">revious refusal to register an association </w:t>
      </w:r>
      <w:r>
        <w:rPr>
          <w:b w:val="0"/>
          <w:sz w:val="24"/>
          <w:szCs w:val="24"/>
        </w:rPr>
        <w:t>does</w:t>
      </w:r>
      <w:r w:rsidR="00C87575" w:rsidRPr="007E4954">
        <w:rPr>
          <w:b w:val="0"/>
          <w:sz w:val="24"/>
          <w:szCs w:val="24"/>
        </w:rPr>
        <w:t xml:space="preserve"> not of itself </w:t>
      </w:r>
      <w:r w:rsidR="00561F1B" w:rsidRPr="007E4954">
        <w:rPr>
          <w:b w:val="0"/>
          <w:sz w:val="24"/>
          <w:szCs w:val="24"/>
        </w:rPr>
        <w:t>justify restricting</w:t>
      </w:r>
      <w:r w:rsidR="00C87575" w:rsidRPr="00D73CEA">
        <w:rPr>
          <w:b w:val="0"/>
          <w:sz w:val="24"/>
          <w:szCs w:val="24"/>
        </w:rPr>
        <w:t xml:space="preserve"> its members from </w:t>
      </w:r>
      <w:r w:rsidR="00561F1B" w:rsidRPr="00D73CEA">
        <w:rPr>
          <w:b w:val="0"/>
          <w:sz w:val="24"/>
          <w:szCs w:val="24"/>
        </w:rPr>
        <w:t>holding</w:t>
      </w:r>
      <w:r w:rsidR="00C87575" w:rsidRPr="00D73CEA">
        <w:rPr>
          <w:b w:val="0"/>
          <w:sz w:val="24"/>
          <w:szCs w:val="24"/>
        </w:rPr>
        <w:t xml:space="preserve"> a peaceful assembly.</w:t>
      </w:r>
      <w:r w:rsidR="00C87575">
        <w:rPr>
          <w:rStyle w:val="FootnoteReference"/>
          <w:b w:val="0"/>
          <w:sz w:val="24"/>
          <w:szCs w:val="24"/>
        </w:rPr>
        <w:footnoteReference w:id="6"/>
      </w:r>
      <w:r w:rsidR="00C87575" w:rsidRPr="00D73CEA">
        <w:rPr>
          <w:b w:val="0"/>
          <w:sz w:val="24"/>
          <w:szCs w:val="24"/>
        </w:rPr>
        <w:t xml:space="preserve"> </w:t>
      </w:r>
    </w:p>
    <w:p w:rsidR="00AC33D8" w:rsidRPr="00106B88" w:rsidRDefault="00AC33D8" w:rsidP="00FB769E">
      <w:pPr>
        <w:jc w:val="both"/>
      </w:pPr>
    </w:p>
    <w:p w:rsidR="002A3BB2" w:rsidRPr="00541525" w:rsidRDefault="00FB769E" w:rsidP="00FB769E">
      <w:pPr>
        <w:pStyle w:val="HMG"/>
        <w:keepNext w:val="0"/>
        <w:keepLines w:val="0"/>
        <w:numPr>
          <w:ilvl w:val="1"/>
          <w:numId w:val="1"/>
        </w:numPr>
        <w:spacing w:before="0" w:after="0" w:line="271" w:lineRule="auto"/>
        <w:ind w:right="0" w:hanging="792"/>
        <w:jc w:val="both"/>
        <w:rPr>
          <w:b w:val="0"/>
          <w:sz w:val="24"/>
          <w:szCs w:val="24"/>
        </w:rPr>
      </w:pPr>
      <w:r>
        <w:rPr>
          <w:b w:val="0"/>
          <w:i/>
          <w:sz w:val="24"/>
          <w:szCs w:val="24"/>
        </w:rPr>
        <w:t>W</w:t>
      </w:r>
      <w:r w:rsidR="007E79D8" w:rsidRPr="00FB769E">
        <w:rPr>
          <w:b w:val="0"/>
          <w:i/>
          <w:sz w:val="24"/>
          <w:szCs w:val="24"/>
        </w:rPr>
        <w:t xml:space="preserve">e </w:t>
      </w:r>
      <w:r>
        <w:rPr>
          <w:b w:val="0"/>
          <w:i/>
          <w:sz w:val="24"/>
          <w:szCs w:val="24"/>
        </w:rPr>
        <w:t>therefore suggest</w:t>
      </w:r>
      <w:r w:rsidR="007E79D8" w:rsidRPr="00FB769E">
        <w:rPr>
          <w:b w:val="0"/>
          <w:i/>
          <w:sz w:val="24"/>
          <w:szCs w:val="24"/>
        </w:rPr>
        <w:t xml:space="preserve"> that </w:t>
      </w:r>
      <w:r w:rsidR="003857A4" w:rsidRPr="00FB769E">
        <w:rPr>
          <w:b w:val="0"/>
          <w:i/>
          <w:sz w:val="24"/>
          <w:szCs w:val="24"/>
        </w:rPr>
        <w:t xml:space="preserve">General comment No. 37 </w:t>
      </w:r>
      <w:r w:rsidR="00B03DEB" w:rsidRPr="00FB769E">
        <w:rPr>
          <w:b w:val="0"/>
          <w:i/>
          <w:sz w:val="24"/>
          <w:szCs w:val="24"/>
        </w:rPr>
        <w:t>clearly state</w:t>
      </w:r>
      <w:r w:rsidR="00A41423">
        <w:rPr>
          <w:b w:val="0"/>
          <w:i/>
          <w:sz w:val="24"/>
          <w:szCs w:val="24"/>
        </w:rPr>
        <w:t>s</w:t>
      </w:r>
      <w:r w:rsidR="00B03DEB" w:rsidRPr="00FB769E">
        <w:rPr>
          <w:b w:val="0"/>
          <w:i/>
          <w:sz w:val="24"/>
          <w:szCs w:val="24"/>
        </w:rPr>
        <w:t xml:space="preserve"> that </w:t>
      </w:r>
      <w:r w:rsidR="00EB667F" w:rsidRPr="00FB769E">
        <w:rPr>
          <w:b w:val="0"/>
          <w:i/>
          <w:sz w:val="24"/>
          <w:szCs w:val="24"/>
        </w:rPr>
        <w:t xml:space="preserve">both registered and unregistered associations can exercise </w:t>
      </w:r>
      <w:r w:rsidR="00DA3344" w:rsidRPr="00FB769E">
        <w:rPr>
          <w:b w:val="0"/>
          <w:i/>
          <w:sz w:val="24"/>
          <w:szCs w:val="24"/>
        </w:rPr>
        <w:t xml:space="preserve">the </w:t>
      </w:r>
      <w:r w:rsidR="00B03DEB" w:rsidRPr="00FB769E">
        <w:rPr>
          <w:b w:val="0"/>
          <w:i/>
          <w:sz w:val="24"/>
          <w:szCs w:val="24"/>
        </w:rPr>
        <w:t xml:space="preserve">right of peaceful assembly </w:t>
      </w:r>
      <w:r w:rsidR="00EB667F" w:rsidRPr="00FB769E">
        <w:rPr>
          <w:b w:val="0"/>
          <w:i/>
          <w:sz w:val="24"/>
          <w:szCs w:val="24"/>
        </w:rPr>
        <w:t xml:space="preserve">and that the right cannot be </w:t>
      </w:r>
      <w:r w:rsidR="00FD0744" w:rsidRPr="00FB769E">
        <w:rPr>
          <w:b w:val="0"/>
          <w:i/>
          <w:sz w:val="24"/>
          <w:szCs w:val="24"/>
        </w:rPr>
        <w:t xml:space="preserve">restricted </w:t>
      </w:r>
      <w:r w:rsidR="00185B33" w:rsidRPr="00FB769E">
        <w:rPr>
          <w:b w:val="0"/>
          <w:i/>
          <w:sz w:val="24"/>
          <w:szCs w:val="24"/>
        </w:rPr>
        <w:t xml:space="preserve">solely </w:t>
      </w:r>
      <w:proofErr w:type="gramStart"/>
      <w:r w:rsidR="00FD0744" w:rsidRPr="00FB769E">
        <w:rPr>
          <w:b w:val="0"/>
          <w:i/>
          <w:sz w:val="24"/>
          <w:szCs w:val="24"/>
        </w:rPr>
        <w:t>on the basis of</w:t>
      </w:r>
      <w:proofErr w:type="gramEnd"/>
      <w:r w:rsidR="00FD0744" w:rsidRPr="00FB769E">
        <w:rPr>
          <w:b w:val="0"/>
          <w:i/>
          <w:sz w:val="24"/>
          <w:szCs w:val="24"/>
        </w:rPr>
        <w:t xml:space="preserve"> </w:t>
      </w:r>
      <w:r w:rsidR="00EB667F" w:rsidRPr="00FB769E">
        <w:rPr>
          <w:b w:val="0"/>
          <w:i/>
          <w:sz w:val="24"/>
          <w:szCs w:val="24"/>
        </w:rPr>
        <w:t xml:space="preserve">a </w:t>
      </w:r>
      <w:r w:rsidR="00FD0744" w:rsidRPr="00FB769E">
        <w:rPr>
          <w:b w:val="0"/>
          <w:i/>
          <w:sz w:val="24"/>
          <w:szCs w:val="24"/>
        </w:rPr>
        <w:t>past refusal to register an association</w:t>
      </w:r>
      <w:r w:rsidR="003857A4" w:rsidRPr="00FB769E">
        <w:rPr>
          <w:b w:val="0"/>
          <w:i/>
          <w:sz w:val="24"/>
          <w:szCs w:val="24"/>
        </w:rPr>
        <w:t>.</w:t>
      </w:r>
      <w:r w:rsidR="003857A4">
        <w:rPr>
          <w:b w:val="0"/>
          <w:sz w:val="24"/>
          <w:szCs w:val="24"/>
        </w:rPr>
        <w:t xml:space="preserve"> </w:t>
      </w:r>
      <w:r w:rsidR="007E79D8">
        <w:rPr>
          <w:b w:val="0"/>
          <w:sz w:val="24"/>
          <w:szCs w:val="24"/>
        </w:rPr>
        <w:t>This is part and parcel of the obligation to promote an enabling environment for the right to peaceful assembly, noted in paragraph 27</w:t>
      </w:r>
      <w:r w:rsidR="00A41423">
        <w:rPr>
          <w:b w:val="0"/>
          <w:sz w:val="24"/>
          <w:szCs w:val="24"/>
        </w:rPr>
        <w:t xml:space="preserve"> of the draft</w:t>
      </w:r>
      <w:r w:rsidR="007E79D8">
        <w:rPr>
          <w:b w:val="0"/>
          <w:sz w:val="24"/>
          <w:szCs w:val="24"/>
        </w:rPr>
        <w:t>.</w:t>
      </w:r>
    </w:p>
    <w:p w:rsidR="00E16F7D" w:rsidRDefault="00E16F7D" w:rsidP="00FB769E">
      <w:pPr>
        <w:spacing w:line="271" w:lineRule="auto"/>
        <w:jc w:val="both"/>
      </w:pPr>
    </w:p>
    <w:p w:rsidR="00541525" w:rsidRPr="00392A88" w:rsidRDefault="003A78A9" w:rsidP="00FB769E">
      <w:pPr>
        <w:pStyle w:val="ListParagraph"/>
        <w:numPr>
          <w:ilvl w:val="0"/>
          <w:numId w:val="1"/>
        </w:numPr>
        <w:spacing w:line="271" w:lineRule="auto"/>
        <w:jc w:val="both"/>
        <w:rPr>
          <w:b/>
          <w:sz w:val="24"/>
        </w:rPr>
      </w:pPr>
      <w:r>
        <w:rPr>
          <w:b/>
          <w:sz w:val="24"/>
        </w:rPr>
        <w:t>Restrictions on the right of</w:t>
      </w:r>
      <w:r w:rsidR="00541525" w:rsidRPr="00392A88">
        <w:rPr>
          <w:b/>
          <w:sz w:val="24"/>
        </w:rPr>
        <w:t xml:space="preserve"> peaceful assembly </w:t>
      </w:r>
    </w:p>
    <w:p w:rsidR="007E7D85" w:rsidRPr="00AD77AD" w:rsidRDefault="007E7D85" w:rsidP="00FB769E">
      <w:pPr>
        <w:jc w:val="both"/>
        <w:rPr>
          <w:sz w:val="22"/>
        </w:rPr>
      </w:pPr>
    </w:p>
    <w:p w:rsidR="001247D5" w:rsidRPr="00FB769E" w:rsidRDefault="003A78A9" w:rsidP="00FB769E">
      <w:pPr>
        <w:pStyle w:val="ListParagraph"/>
        <w:numPr>
          <w:ilvl w:val="1"/>
          <w:numId w:val="1"/>
        </w:numPr>
        <w:spacing w:line="271" w:lineRule="auto"/>
        <w:ind w:hanging="792"/>
        <w:jc w:val="both"/>
        <w:rPr>
          <w:i/>
          <w:sz w:val="22"/>
        </w:rPr>
      </w:pPr>
      <w:r w:rsidRPr="00BC2DED">
        <w:rPr>
          <w:sz w:val="24"/>
        </w:rPr>
        <w:t>Restrictions on the right of peaceful assembly must be based on an assessment of the particular circumstances</w:t>
      </w:r>
      <w:r w:rsidR="00D27198" w:rsidRPr="00BC2DED">
        <w:rPr>
          <w:sz w:val="24"/>
        </w:rPr>
        <w:t>, taking into account all of the facts</w:t>
      </w:r>
      <w:r w:rsidRPr="00BC2DED">
        <w:rPr>
          <w:sz w:val="24"/>
        </w:rPr>
        <w:t>.</w:t>
      </w:r>
      <w:r w:rsidR="00D27198" w:rsidRPr="00BC2DED">
        <w:rPr>
          <w:rStyle w:val="FootnoteReference"/>
          <w:sz w:val="24"/>
        </w:rPr>
        <w:footnoteReference w:id="7"/>
      </w:r>
      <w:r w:rsidR="00D27198" w:rsidRPr="00BC2DED">
        <w:rPr>
          <w:sz w:val="24"/>
        </w:rPr>
        <w:t xml:space="preserve"> </w:t>
      </w:r>
      <w:r w:rsidR="00D27198" w:rsidRPr="00FB769E">
        <w:rPr>
          <w:i/>
          <w:sz w:val="24"/>
        </w:rPr>
        <w:t>The wording “in principle”</w:t>
      </w:r>
      <w:r w:rsidR="007E79D8">
        <w:rPr>
          <w:i/>
          <w:sz w:val="24"/>
        </w:rPr>
        <w:t xml:space="preserve"> </w:t>
      </w:r>
      <w:r w:rsidR="00D27198" w:rsidRPr="00FB769E">
        <w:rPr>
          <w:i/>
          <w:sz w:val="24"/>
        </w:rPr>
        <w:t xml:space="preserve">in paragraph 42 of the draft </w:t>
      </w:r>
      <w:r w:rsidR="00BC2DED" w:rsidRPr="00FB769E">
        <w:rPr>
          <w:i/>
          <w:sz w:val="24"/>
        </w:rPr>
        <w:t xml:space="preserve">General comment </w:t>
      </w:r>
      <w:r w:rsidR="00D27198" w:rsidRPr="00FB769E">
        <w:rPr>
          <w:i/>
          <w:sz w:val="24"/>
        </w:rPr>
        <w:t xml:space="preserve">may detract from this requirement and </w:t>
      </w:r>
      <w:r w:rsidR="007E79D8" w:rsidRPr="00FB769E">
        <w:rPr>
          <w:i/>
          <w:sz w:val="24"/>
        </w:rPr>
        <w:t xml:space="preserve">we would </w:t>
      </w:r>
      <w:r w:rsidR="00FB769E">
        <w:rPr>
          <w:i/>
          <w:sz w:val="24"/>
        </w:rPr>
        <w:t>therefore suggest</w:t>
      </w:r>
      <w:r w:rsidR="007E79D8" w:rsidRPr="00FB769E">
        <w:rPr>
          <w:i/>
          <w:sz w:val="24"/>
        </w:rPr>
        <w:t xml:space="preserve"> deleting it</w:t>
      </w:r>
      <w:r w:rsidR="00D27198" w:rsidRPr="00FB769E">
        <w:rPr>
          <w:i/>
          <w:sz w:val="24"/>
        </w:rPr>
        <w:t>.</w:t>
      </w:r>
      <w:r w:rsidR="0098769B" w:rsidRPr="00FB769E">
        <w:rPr>
          <w:i/>
          <w:sz w:val="24"/>
        </w:rPr>
        <w:t xml:space="preserve"> </w:t>
      </w:r>
    </w:p>
    <w:p w:rsidR="001247D5" w:rsidRPr="001247D5" w:rsidRDefault="001247D5" w:rsidP="00FB769E">
      <w:pPr>
        <w:pStyle w:val="ListParagraph"/>
        <w:jc w:val="both"/>
        <w:rPr>
          <w:sz w:val="24"/>
        </w:rPr>
      </w:pPr>
    </w:p>
    <w:p w:rsidR="00963ED6" w:rsidRPr="00FB769E" w:rsidRDefault="003C5248" w:rsidP="00FB769E">
      <w:pPr>
        <w:pStyle w:val="ListParagraph"/>
        <w:numPr>
          <w:ilvl w:val="1"/>
          <w:numId w:val="1"/>
        </w:numPr>
        <w:spacing w:line="271" w:lineRule="auto"/>
        <w:ind w:hanging="792"/>
        <w:jc w:val="both"/>
        <w:rPr>
          <w:i/>
          <w:sz w:val="22"/>
        </w:rPr>
      </w:pPr>
      <w:r>
        <w:rPr>
          <w:sz w:val="24"/>
        </w:rPr>
        <w:t xml:space="preserve">The assessment of whether a restriction is proportionate to the aim it seeks to achieve requires a comprehensive and objective evaluation of the entire circumstances, </w:t>
      </w:r>
      <w:r w:rsidR="001247D5">
        <w:rPr>
          <w:sz w:val="24"/>
        </w:rPr>
        <w:t>consider</w:t>
      </w:r>
      <w:r>
        <w:rPr>
          <w:sz w:val="24"/>
        </w:rPr>
        <w:t>ing</w:t>
      </w:r>
      <w:r w:rsidR="001247D5">
        <w:rPr>
          <w:sz w:val="24"/>
        </w:rPr>
        <w:t xml:space="preserve"> whether the restriction </w:t>
      </w:r>
      <w:r>
        <w:rPr>
          <w:sz w:val="24"/>
        </w:rPr>
        <w:t xml:space="preserve">actually </w:t>
      </w:r>
      <w:r w:rsidR="001247D5">
        <w:rPr>
          <w:sz w:val="24"/>
        </w:rPr>
        <w:t>achieves the aim that it purports t</w:t>
      </w:r>
      <w:r>
        <w:rPr>
          <w:sz w:val="24"/>
        </w:rPr>
        <w:t>o</w:t>
      </w:r>
      <w:r w:rsidR="00A41423">
        <w:rPr>
          <w:sz w:val="24"/>
        </w:rPr>
        <w:t>,</w:t>
      </w:r>
      <w:r>
        <w:rPr>
          <w:sz w:val="24"/>
        </w:rPr>
        <w:t xml:space="preserve"> and establishing that the aim cannot be</w:t>
      </w:r>
      <w:r w:rsidR="00D4267B">
        <w:rPr>
          <w:sz w:val="24"/>
        </w:rPr>
        <w:t xml:space="preserve"> achieved by </w:t>
      </w:r>
      <w:r>
        <w:rPr>
          <w:sz w:val="24"/>
        </w:rPr>
        <w:t xml:space="preserve">means other than the </w:t>
      </w:r>
      <w:r w:rsidR="00754686">
        <w:rPr>
          <w:sz w:val="24"/>
        </w:rPr>
        <w:t xml:space="preserve">particular </w:t>
      </w:r>
      <w:r>
        <w:rPr>
          <w:sz w:val="24"/>
        </w:rPr>
        <w:t>restriction</w:t>
      </w:r>
      <w:r w:rsidR="001247D5">
        <w:rPr>
          <w:sz w:val="24"/>
        </w:rPr>
        <w:t>. The sever</w:t>
      </w:r>
      <w:r w:rsidR="00754686">
        <w:rPr>
          <w:sz w:val="24"/>
        </w:rPr>
        <w:t>ity of the restriction must</w:t>
      </w:r>
      <w:r w:rsidR="001247D5">
        <w:rPr>
          <w:sz w:val="24"/>
        </w:rPr>
        <w:t xml:space="preserve"> be taken into account </w:t>
      </w:r>
      <w:r w:rsidR="00A36FC6">
        <w:rPr>
          <w:sz w:val="24"/>
        </w:rPr>
        <w:t xml:space="preserve">along with its impact on the nature of the assembly </w:t>
      </w:r>
      <w:r w:rsidR="00D4267B">
        <w:rPr>
          <w:sz w:val="24"/>
        </w:rPr>
        <w:t>–</w:t>
      </w:r>
      <w:r w:rsidR="001247D5">
        <w:rPr>
          <w:sz w:val="24"/>
        </w:rPr>
        <w:t xml:space="preserve"> </w:t>
      </w:r>
      <w:r w:rsidR="00D4267B">
        <w:rPr>
          <w:sz w:val="24"/>
        </w:rPr>
        <w:t>prohibition should always therefore be a last resort</w:t>
      </w:r>
      <w:r w:rsidR="00C63518">
        <w:rPr>
          <w:sz w:val="24"/>
        </w:rPr>
        <w:t xml:space="preserve"> and restrictions </w:t>
      </w:r>
      <w:r w:rsidR="00FD09A7">
        <w:rPr>
          <w:sz w:val="24"/>
        </w:rPr>
        <w:t>should not undermine the nature of the event</w:t>
      </w:r>
      <w:r w:rsidR="00D4267B">
        <w:rPr>
          <w:sz w:val="24"/>
        </w:rPr>
        <w:t>.</w:t>
      </w:r>
      <w:r w:rsidR="00D4267B">
        <w:rPr>
          <w:rStyle w:val="FootnoteReference"/>
          <w:sz w:val="24"/>
        </w:rPr>
        <w:footnoteReference w:id="8"/>
      </w:r>
      <w:r w:rsidR="00D4267B">
        <w:rPr>
          <w:sz w:val="24"/>
        </w:rPr>
        <w:t xml:space="preserve"> </w:t>
      </w:r>
      <w:r w:rsidR="007E79D8" w:rsidRPr="00FB769E">
        <w:rPr>
          <w:i/>
          <w:sz w:val="24"/>
        </w:rPr>
        <w:t>Consequently, we recommend that p</w:t>
      </w:r>
      <w:r w:rsidRPr="00FB769E">
        <w:rPr>
          <w:i/>
          <w:sz w:val="24"/>
        </w:rPr>
        <w:t xml:space="preserve">aragraph 46 of the General comment be expanded </w:t>
      </w:r>
      <w:r w:rsidR="00A41423">
        <w:rPr>
          <w:i/>
          <w:sz w:val="24"/>
        </w:rPr>
        <w:t>to include these requirements in</w:t>
      </w:r>
      <w:r w:rsidRPr="00FB769E">
        <w:rPr>
          <w:i/>
          <w:sz w:val="24"/>
        </w:rPr>
        <w:t xml:space="preserve"> the assessment of proportionality and amended to make it clear that an objective assessment is required (rather than a value judgment or value assessment)</w:t>
      </w:r>
      <w:r w:rsidR="00963ED6" w:rsidRPr="00FB769E">
        <w:rPr>
          <w:i/>
          <w:sz w:val="24"/>
        </w:rPr>
        <w:t xml:space="preserve">. </w:t>
      </w:r>
    </w:p>
    <w:p w:rsidR="00963ED6" w:rsidRPr="00963ED6" w:rsidRDefault="00963ED6" w:rsidP="00FB769E">
      <w:pPr>
        <w:pStyle w:val="ListParagraph"/>
        <w:jc w:val="both"/>
        <w:rPr>
          <w:sz w:val="24"/>
        </w:rPr>
      </w:pPr>
    </w:p>
    <w:p w:rsidR="00E10E41" w:rsidRPr="00FB769E" w:rsidRDefault="00DA2DA6" w:rsidP="00FB769E">
      <w:pPr>
        <w:pStyle w:val="ListParagraph"/>
        <w:numPr>
          <w:ilvl w:val="1"/>
          <w:numId w:val="1"/>
        </w:numPr>
        <w:spacing w:line="271" w:lineRule="auto"/>
        <w:ind w:hanging="792"/>
        <w:jc w:val="both"/>
        <w:rPr>
          <w:sz w:val="22"/>
        </w:rPr>
      </w:pPr>
      <w:r>
        <w:rPr>
          <w:sz w:val="24"/>
        </w:rPr>
        <w:t>It may also be useful for the General comment to note that g</w:t>
      </w:r>
      <w:r w:rsidR="00754686" w:rsidRPr="00FD09A7">
        <w:rPr>
          <w:sz w:val="24"/>
        </w:rPr>
        <w:t>eneral restrictions</w:t>
      </w:r>
      <w:r w:rsidR="00FD09A7">
        <w:rPr>
          <w:sz w:val="24"/>
        </w:rPr>
        <w:t xml:space="preserve"> on assemblies</w:t>
      </w:r>
      <w:r w:rsidR="00754686" w:rsidRPr="00FD09A7">
        <w:rPr>
          <w:sz w:val="24"/>
        </w:rPr>
        <w:t xml:space="preserve"> to which exceptions apply </w:t>
      </w:r>
      <w:r>
        <w:rPr>
          <w:sz w:val="24"/>
        </w:rPr>
        <w:t>“</w:t>
      </w:r>
      <w:r w:rsidRPr="00DA2DA6">
        <w:rPr>
          <w:sz w:val="24"/>
        </w:rPr>
        <w:t>invert the relationship between freedom and restrictions by turning the right to freedom of peaceful assembly into a privilege</w:t>
      </w:r>
      <w:r>
        <w:rPr>
          <w:sz w:val="24"/>
        </w:rPr>
        <w:t>.”</w:t>
      </w:r>
      <w:r>
        <w:rPr>
          <w:rStyle w:val="FootnoteReference"/>
          <w:sz w:val="24"/>
        </w:rPr>
        <w:footnoteReference w:id="9"/>
      </w:r>
      <w:r w:rsidR="007E79D8">
        <w:rPr>
          <w:sz w:val="24"/>
        </w:rPr>
        <w:t xml:space="preserve"> As with all human rights in the Covenant, the right rather than the restriction should always be the starting point.</w:t>
      </w:r>
    </w:p>
    <w:sectPr w:rsidR="00E10E41" w:rsidRPr="00FB769E" w:rsidSect="0087646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AB" w:rsidRDefault="00801AAB" w:rsidP="0045450D">
      <w:pPr>
        <w:spacing w:line="240" w:lineRule="auto"/>
      </w:pPr>
      <w:r>
        <w:separator/>
      </w:r>
    </w:p>
  </w:endnote>
  <w:endnote w:type="continuationSeparator" w:id="0">
    <w:p w:rsidR="00801AAB" w:rsidRDefault="00801AAB" w:rsidP="00454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76344981"/>
      <w:docPartObj>
        <w:docPartGallery w:val="Page Numbers (Bottom of Page)"/>
        <w:docPartUnique/>
      </w:docPartObj>
    </w:sdtPr>
    <w:sdtEndPr>
      <w:rPr>
        <w:noProof/>
      </w:rPr>
    </w:sdtEndPr>
    <w:sdtContent>
      <w:p w:rsidR="00F60233" w:rsidRPr="00A41423" w:rsidRDefault="00F60233">
        <w:pPr>
          <w:pStyle w:val="Footer"/>
          <w:jc w:val="right"/>
          <w:rPr>
            <w:sz w:val="18"/>
            <w:szCs w:val="18"/>
          </w:rPr>
        </w:pPr>
        <w:r w:rsidRPr="00A41423">
          <w:rPr>
            <w:sz w:val="18"/>
            <w:szCs w:val="18"/>
          </w:rPr>
          <w:fldChar w:fldCharType="begin"/>
        </w:r>
        <w:r w:rsidRPr="00A41423">
          <w:rPr>
            <w:sz w:val="18"/>
            <w:szCs w:val="18"/>
          </w:rPr>
          <w:instrText xml:space="preserve"> PAGE   \* MERGEFORMAT </w:instrText>
        </w:r>
        <w:r w:rsidRPr="00A41423">
          <w:rPr>
            <w:sz w:val="18"/>
            <w:szCs w:val="18"/>
          </w:rPr>
          <w:fldChar w:fldCharType="separate"/>
        </w:r>
        <w:r w:rsidR="00876469">
          <w:rPr>
            <w:noProof/>
            <w:sz w:val="18"/>
            <w:szCs w:val="18"/>
          </w:rPr>
          <w:t>1</w:t>
        </w:r>
        <w:r w:rsidRPr="00A41423">
          <w:rPr>
            <w:noProof/>
            <w:sz w:val="18"/>
            <w:szCs w:val="18"/>
          </w:rPr>
          <w:fldChar w:fldCharType="end"/>
        </w:r>
        <w:r>
          <w:rPr>
            <w:noProof/>
            <w:sz w:val="18"/>
            <w:szCs w:val="18"/>
          </w:rPr>
          <w:t xml:space="preserve"> of 3</w:t>
        </w:r>
      </w:p>
    </w:sdtContent>
  </w:sdt>
  <w:p w:rsidR="00F60233" w:rsidRDefault="00F6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AB" w:rsidRDefault="00801AAB" w:rsidP="0045450D">
      <w:pPr>
        <w:spacing w:line="240" w:lineRule="auto"/>
      </w:pPr>
      <w:r>
        <w:separator/>
      </w:r>
    </w:p>
  </w:footnote>
  <w:footnote w:type="continuationSeparator" w:id="0">
    <w:p w:rsidR="00801AAB" w:rsidRDefault="00801AAB" w:rsidP="0045450D">
      <w:pPr>
        <w:spacing w:line="240" w:lineRule="auto"/>
      </w:pPr>
      <w:r>
        <w:continuationSeparator/>
      </w:r>
    </w:p>
  </w:footnote>
  <w:footnote w:id="1">
    <w:p w:rsidR="008C6DA2" w:rsidRDefault="004F7C53" w:rsidP="009C1377">
      <w:pPr>
        <w:pStyle w:val="FootnoteText"/>
        <w:jc w:val="both"/>
      </w:pPr>
      <w:r>
        <w:rPr>
          <w:rStyle w:val="FootnoteReference"/>
        </w:rPr>
        <w:footnoteRef/>
      </w:r>
      <w:r>
        <w:t xml:space="preserve"> Further information about the Expert Council can be found at </w:t>
      </w:r>
      <w:hyperlink r:id="rId1" w:history="1">
        <w:r w:rsidRPr="00A74A54">
          <w:rPr>
            <w:rStyle w:val="Hyperlink"/>
          </w:rPr>
          <w:t>https://www.coe.int/en/web/ingo/expert-council</w:t>
        </w:r>
      </w:hyperlink>
      <w:r>
        <w:t>.</w:t>
      </w:r>
      <w:r w:rsidR="008C6DA2">
        <w:t xml:space="preserve"> See also Recommendation CM/</w:t>
      </w:r>
      <w:proofErr w:type="gramStart"/>
      <w:r w:rsidR="008C6DA2">
        <w:t>Rec(</w:t>
      </w:r>
      <w:proofErr w:type="gramEnd"/>
      <w:r w:rsidR="008C6DA2">
        <w:t>2018)11 of the Committee of Ministers to member States</w:t>
      </w:r>
    </w:p>
    <w:p w:rsidR="004F7C53" w:rsidRDefault="008C6DA2" w:rsidP="009C1377">
      <w:pPr>
        <w:pStyle w:val="FootnoteText"/>
        <w:jc w:val="both"/>
      </w:pPr>
      <w:r>
        <w:t xml:space="preserve">on the need to strengthen the protection and promotion of civil society space in Europe. </w:t>
      </w:r>
      <w:r w:rsidR="004F7C53">
        <w:t xml:space="preserve"> </w:t>
      </w:r>
    </w:p>
  </w:footnote>
  <w:footnote w:id="2">
    <w:p w:rsidR="003F69C2" w:rsidRDefault="003F69C2" w:rsidP="009C1377">
      <w:pPr>
        <w:pStyle w:val="FootnoteText"/>
        <w:jc w:val="both"/>
      </w:pPr>
      <w:r>
        <w:rPr>
          <w:rStyle w:val="FootnoteReference"/>
        </w:rPr>
        <w:footnoteRef/>
      </w:r>
      <w:r w:rsidRPr="009C1377">
        <w:rPr>
          <w:lang w:val="es-ES"/>
        </w:rPr>
        <w:t xml:space="preserve"> </w:t>
      </w:r>
      <w:r w:rsidR="003D5BB6" w:rsidRPr="009C1377">
        <w:rPr>
          <w:i/>
          <w:lang w:val="es-ES"/>
        </w:rPr>
        <w:t xml:space="preserve">Saidov v Tajikistan, </w:t>
      </w:r>
      <w:r w:rsidR="003D5BB6" w:rsidRPr="009C1377">
        <w:rPr>
          <w:lang w:val="es-ES"/>
        </w:rPr>
        <w:t xml:space="preserve">CCPR/C/122/D/2680/2015, 2018, para. </w:t>
      </w:r>
      <w:r w:rsidR="003D5BB6" w:rsidRPr="003D5BB6">
        <w:t>9.9</w:t>
      </w:r>
      <w:r w:rsidR="003D5BB6">
        <w:rPr>
          <w:i/>
        </w:rPr>
        <w:t xml:space="preserve">; </w:t>
      </w:r>
      <w:r w:rsidR="004E0C82">
        <w:t xml:space="preserve">Human Rights Committee, </w:t>
      </w:r>
      <w:r w:rsidR="004E0C82">
        <w:rPr>
          <w:i/>
        </w:rPr>
        <w:t xml:space="preserve">General Comment No. </w:t>
      </w:r>
      <w:r w:rsidR="004E0C82" w:rsidRPr="004E0C82">
        <w:t>25</w:t>
      </w:r>
      <w:r w:rsidR="004E0C82">
        <w:t xml:space="preserve">, UN Doc. </w:t>
      </w:r>
      <w:r w:rsidR="004E0C82" w:rsidRPr="004E0C82">
        <w:t>CCPR/C/21/Rev.1/Add.7</w:t>
      </w:r>
      <w:r w:rsidR="004E0C82">
        <w:t>, 1996,</w:t>
      </w:r>
      <w:r w:rsidR="004E0C82" w:rsidRPr="004E0C82">
        <w:t xml:space="preserve"> </w:t>
      </w:r>
      <w:r w:rsidR="00600C5C" w:rsidRPr="004E0C82">
        <w:t>Paras</w:t>
      </w:r>
      <w:r w:rsidR="00600C5C">
        <w:t xml:space="preserve">. 8, 12; </w:t>
      </w:r>
      <w:r w:rsidR="00755450">
        <w:rPr>
          <w:lang w:val="en-US"/>
        </w:rPr>
        <w:t>UN Human Rights Council, ‘</w:t>
      </w:r>
      <w:r w:rsidR="00755450">
        <w:t xml:space="preserve">Report of the Special Rapporteur on the rights to freedom of peaceful assembly and of association, Maina Kiai’, UN Doc. A/HRC/20/27, 21 May 2012, para. 12; </w:t>
      </w:r>
      <w:r w:rsidR="00755450">
        <w:rPr>
          <w:iCs/>
        </w:rPr>
        <w:t xml:space="preserve">OSCE/OIDHR and Venice Commission, </w:t>
      </w:r>
      <w:r w:rsidR="00755450" w:rsidRPr="00531C92">
        <w:rPr>
          <w:i/>
          <w:iCs/>
        </w:rPr>
        <w:t>Guidelines on Freedom of Peaceful Assembly</w:t>
      </w:r>
      <w:r w:rsidR="00755450">
        <w:rPr>
          <w:i/>
          <w:iCs/>
        </w:rPr>
        <w:t>,</w:t>
      </w:r>
      <w:r w:rsidR="00755450">
        <w:rPr>
          <w:iCs/>
        </w:rPr>
        <w:t>2</w:t>
      </w:r>
      <w:r w:rsidR="00755450" w:rsidRPr="00FD0744">
        <w:rPr>
          <w:iCs/>
          <w:vertAlign w:val="superscript"/>
        </w:rPr>
        <w:t>nd</w:t>
      </w:r>
      <w:r w:rsidR="00755450">
        <w:rPr>
          <w:iCs/>
        </w:rPr>
        <w:t xml:space="preserve"> ed, 2014,</w:t>
      </w:r>
      <w:r w:rsidR="00D82458">
        <w:rPr>
          <w:iCs/>
        </w:rPr>
        <w:t xml:space="preserve"> para. 106; ‘</w:t>
      </w:r>
      <w:r w:rsidR="00D82458" w:rsidRPr="00D82458">
        <w:rPr>
          <w:iCs/>
        </w:rPr>
        <w:t>Report of the Special Rapporteur on the promotion and protection of human r</w:t>
      </w:r>
      <w:r w:rsidR="00D82458">
        <w:rPr>
          <w:iCs/>
        </w:rPr>
        <w:t xml:space="preserve">ights and fundamental freedoms </w:t>
      </w:r>
      <w:r w:rsidR="00D82458" w:rsidRPr="00D82458">
        <w:rPr>
          <w:iCs/>
        </w:rPr>
        <w:t>while countering terrorism</w:t>
      </w:r>
      <w:r w:rsidR="00D82458">
        <w:rPr>
          <w:iCs/>
        </w:rPr>
        <w:t>’, UN Doc. A/72/43280, 2017, para. 33.</w:t>
      </w:r>
    </w:p>
  </w:footnote>
  <w:footnote w:id="3">
    <w:p w:rsidR="005A220F" w:rsidRDefault="005A220F" w:rsidP="009C1377">
      <w:pPr>
        <w:pStyle w:val="FootnoteText"/>
        <w:jc w:val="both"/>
      </w:pPr>
      <w:r>
        <w:rPr>
          <w:rStyle w:val="FootnoteReference"/>
        </w:rPr>
        <w:footnoteRef/>
      </w:r>
      <w:r>
        <w:t xml:space="preserve"> Human Rights Committee, </w:t>
      </w:r>
      <w:r>
        <w:rPr>
          <w:i/>
        </w:rPr>
        <w:t xml:space="preserve">General Comment No. </w:t>
      </w:r>
      <w:r w:rsidRPr="004E0C82">
        <w:t>25</w:t>
      </w:r>
      <w:r>
        <w:t xml:space="preserve">, UN Doc. </w:t>
      </w:r>
      <w:r w:rsidRPr="004E0C82">
        <w:t>CCPR/C/21/Rev.1/Add.7</w:t>
      </w:r>
      <w:r>
        <w:t>, 1996,</w:t>
      </w:r>
      <w:r w:rsidRPr="004E0C82">
        <w:t xml:space="preserve"> Paras</w:t>
      </w:r>
      <w:r>
        <w:t xml:space="preserve">. 8, 12; UN Human Rights Council, ‘Joint report of the Special Rapporteur on the rights to freedom of peaceful assembly and of association and the Special Rapporteur on extrajudicial, summary or arbitrary executions on the proper management of assemblies’ UN Doc. A/HRC/31/66, 4 February 2016, paras. 7-8; </w:t>
      </w:r>
      <w:r>
        <w:rPr>
          <w:iCs/>
        </w:rPr>
        <w:t xml:space="preserve">OSCE/OIDHR and Venice Commission, </w:t>
      </w:r>
      <w:r w:rsidRPr="00531C92">
        <w:rPr>
          <w:i/>
          <w:iCs/>
        </w:rPr>
        <w:t>Guidelines on Freedom of Peaceful Assembly</w:t>
      </w:r>
      <w:r>
        <w:rPr>
          <w:i/>
          <w:iCs/>
        </w:rPr>
        <w:t>,</w:t>
      </w:r>
      <w:r>
        <w:rPr>
          <w:iCs/>
        </w:rPr>
        <w:t xml:space="preserve">3rd ed, 2019, paras. 5-6.  </w:t>
      </w:r>
    </w:p>
  </w:footnote>
  <w:footnote w:id="4">
    <w:p w:rsidR="00E61E05" w:rsidRDefault="00E61E05" w:rsidP="00FB769E">
      <w:pPr>
        <w:pStyle w:val="FootnoteText"/>
        <w:jc w:val="both"/>
      </w:pPr>
      <w:r>
        <w:rPr>
          <w:rStyle w:val="FootnoteReference"/>
        </w:rPr>
        <w:footnoteRef/>
      </w:r>
      <w:r>
        <w:t xml:space="preserve"> </w:t>
      </w:r>
      <w:r w:rsidR="00CB7F8B">
        <w:rPr>
          <w:lang w:val="en-US"/>
        </w:rPr>
        <w:t>UN Human Rights Council, ‘</w:t>
      </w:r>
      <w:r w:rsidR="00CB7F8B">
        <w:t xml:space="preserve">Report of the Special Rapporteur on the rights to freedom of peaceful assembly and of association, Maina Kiai’, UN Doc. A/HRC/20/27, 21 May 2012, paras. 13, 56; </w:t>
      </w:r>
      <w:r w:rsidR="00FD0744">
        <w:rPr>
          <w:iCs/>
        </w:rPr>
        <w:t xml:space="preserve">OSCE/OIDHR and Venice Commission, </w:t>
      </w:r>
      <w:r w:rsidR="00FD0744" w:rsidRPr="00531C92">
        <w:rPr>
          <w:i/>
          <w:iCs/>
        </w:rPr>
        <w:t>Guidelines on Freedom of Peaceful Assembly</w:t>
      </w:r>
      <w:r w:rsidR="00FD0744">
        <w:rPr>
          <w:i/>
          <w:iCs/>
        </w:rPr>
        <w:t>,</w:t>
      </w:r>
      <w:r w:rsidR="00FD0744">
        <w:rPr>
          <w:iCs/>
        </w:rPr>
        <w:t xml:space="preserve">3rd ed, 2019, paras. 6, 17, </w:t>
      </w:r>
      <w:hyperlink r:id="rId2" w:history="1">
        <w:r w:rsidR="00FD0744" w:rsidRPr="00A74A54">
          <w:rPr>
            <w:rStyle w:val="Hyperlink"/>
          </w:rPr>
          <w:t>https://www.venice.coe.int/webforms/documents/?pdf=CDL-AD(2019)017-e</w:t>
        </w:r>
      </w:hyperlink>
      <w:r w:rsidR="00FD0744">
        <w:rPr>
          <w:iCs/>
        </w:rPr>
        <w:t>;</w:t>
      </w:r>
      <w:r w:rsidR="007E79D8">
        <w:rPr>
          <w:iCs/>
        </w:rPr>
        <w:t xml:space="preserve"> </w:t>
      </w:r>
      <w:r w:rsidR="00C87575" w:rsidRPr="00C87575">
        <w:rPr>
          <w:iCs/>
        </w:rPr>
        <w:t>Recommendation CM/Rec(2007)14  of the Council of Europe Committee of Ministers to member states  on the legal status of non-governmental organisations in Europe</w:t>
      </w:r>
      <w:r w:rsidR="00C87575">
        <w:rPr>
          <w:iCs/>
        </w:rPr>
        <w:t>, principle 3;</w:t>
      </w:r>
      <w:r w:rsidR="00C87575" w:rsidRPr="00C87575">
        <w:rPr>
          <w:iCs/>
        </w:rPr>
        <w:t xml:space="preserve"> </w:t>
      </w:r>
      <w:r w:rsidR="000B6E19" w:rsidRPr="004D60DF">
        <w:rPr>
          <w:i/>
        </w:rPr>
        <w:t>Case of Republican Party of Russia v Russia</w:t>
      </w:r>
      <w:r w:rsidR="000B6E19">
        <w:t xml:space="preserve">, App. No. </w:t>
      </w:r>
      <w:r w:rsidR="000B6E19" w:rsidRPr="000B6E19">
        <w:t>12976/07</w:t>
      </w:r>
      <w:r w:rsidR="000B6E19">
        <w:t>, 12 April 2011, para. 115</w:t>
      </w:r>
      <w:r w:rsidR="00AE5A33">
        <w:t xml:space="preserve">; Expert Council on NGO Law, ‘Conditions of Establishment of Non-Governmental Organisations, 2009, para 16. </w:t>
      </w:r>
      <w:r w:rsidR="00CB7F8B">
        <w:t xml:space="preserve"> </w:t>
      </w:r>
    </w:p>
  </w:footnote>
  <w:footnote w:id="5">
    <w:p w:rsidR="00642CD5" w:rsidRDefault="00642CD5" w:rsidP="00FB769E">
      <w:pPr>
        <w:pStyle w:val="FootnoteText"/>
        <w:jc w:val="both"/>
      </w:pPr>
      <w:r>
        <w:rPr>
          <w:rStyle w:val="FootnoteReference"/>
        </w:rPr>
        <w:footnoteRef/>
      </w:r>
      <w:r w:rsidR="00D73CEA" w:rsidRPr="00FB769E">
        <w:rPr>
          <w:lang w:val="nl-NL"/>
        </w:rPr>
        <w:t xml:space="preserve"> </w:t>
      </w:r>
      <w:r w:rsidR="004035E6" w:rsidRPr="00FB769E">
        <w:rPr>
          <w:i/>
          <w:lang w:val="nl-NL"/>
        </w:rPr>
        <w:t xml:space="preserve">Korneenko v Belarus, </w:t>
      </w:r>
      <w:r w:rsidR="004035E6" w:rsidRPr="00FB769E">
        <w:rPr>
          <w:lang w:val="nl-NL"/>
        </w:rPr>
        <w:t>CCPR/C/88/D/1274/2004, 2004,</w:t>
      </w:r>
      <w:r w:rsidR="004035E6" w:rsidRPr="00FB769E">
        <w:rPr>
          <w:i/>
          <w:lang w:val="nl-NL"/>
        </w:rPr>
        <w:t xml:space="preserve"> </w:t>
      </w:r>
      <w:r w:rsidR="004035E6" w:rsidRPr="00FB769E">
        <w:rPr>
          <w:lang w:val="nl-NL"/>
        </w:rPr>
        <w:t xml:space="preserve">para. </w:t>
      </w:r>
      <w:r w:rsidR="004035E6">
        <w:t xml:space="preserve">7.2; </w:t>
      </w:r>
      <w:r w:rsidR="004035E6">
        <w:rPr>
          <w:i/>
        </w:rPr>
        <w:t xml:space="preserve">Kalyakin v Belarus, </w:t>
      </w:r>
      <w:r w:rsidR="004035E6" w:rsidRPr="00811878">
        <w:t>CCPR/C/112/D/2153/2012</w:t>
      </w:r>
      <w:r w:rsidR="00811878" w:rsidRPr="00811878">
        <w:t>, 2014,</w:t>
      </w:r>
      <w:r w:rsidR="00811878">
        <w:rPr>
          <w:i/>
        </w:rPr>
        <w:t xml:space="preserve"> </w:t>
      </w:r>
      <w:r w:rsidR="00811878">
        <w:t xml:space="preserve">para 9.2; </w:t>
      </w:r>
      <w:r w:rsidR="00D73CEA">
        <w:t>UN Human Rights Council, ‘</w:t>
      </w:r>
      <w:bookmarkStart w:id="1" w:name="OLE_LINK4"/>
      <w:bookmarkStart w:id="2" w:name="OLE_LINK3"/>
      <w:r w:rsidR="00D73CEA">
        <w:t xml:space="preserve">Joint report of the Special Rapporteur on the rights to freedom of peaceful assembly and of association and the Special Rapporteur on extrajudicial, summary or arbitrary executions on </w:t>
      </w:r>
      <w:bookmarkEnd w:id="1"/>
      <w:bookmarkEnd w:id="2"/>
      <w:r w:rsidR="00D73CEA">
        <w:t xml:space="preserve">the proper management of assemblies’ UN Doc. A/HRC/31/66, 4 February 2016, para. 15; </w:t>
      </w:r>
      <w:r w:rsidR="00D73CEA">
        <w:rPr>
          <w:lang w:val="en-US"/>
        </w:rPr>
        <w:t>UN Human Rights Council, ‘</w:t>
      </w:r>
      <w:r w:rsidR="00D73CEA">
        <w:t>Report of the Special Rapporteur on the rights to freedom of peaceful assembly and of association, Maina Kiai’, UN Doc. A/H</w:t>
      </w:r>
      <w:r w:rsidR="008A374B">
        <w:t>RC/20/27, 21 May 2012, para</w:t>
      </w:r>
      <w:r w:rsidR="001558CD">
        <w:t>s</w:t>
      </w:r>
      <w:r w:rsidR="008A374B">
        <w:t xml:space="preserve">. </w:t>
      </w:r>
      <w:r w:rsidR="001558CD">
        <w:t>46, 54, 96, 97</w:t>
      </w:r>
      <w:r w:rsidR="008A374B">
        <w:t>; OSCE/OIDHR and Venice Commission</w:t>
      </w:r>
      <w:r w:rsidR="008A374B" w:rsidRPr="00531C92">
        <w:t>,</w:t>
      </w:r>
      <w:r w:rsidR="008A374B">
        <w:t xml:space="preserve"> </w:t>
      </w:r>
      <w:r w:rsidR="008A374B">
        <w:rPr>
          <w:i/>
        </w:rPr>
        <w:t xml:space="preserve">Guidelines on Freedom of Association, </w:t>
      </w:r>
      <w:r w:rsidR="008A374B">
        <w:t>2015,</w:t>
      </w:r>
      <w:r w:rsidR="008A374B" w:rsidRPr="00531C92" w:rsidDel="000D4249">
        <w:t xml:space="preserve"> </w:t>
      </w:r>
      <w:r w:rsidR="008A374B">
        <w:t xml:space="preserve">principle 4 and </w:t>
      </w:r>
      <w:r w:rsidR="008A374B">
        <w:rPr>
          <w:iCs/>
        </w:rPr>
        <w:t xml:space="preserve">para. 47; </w:t>
      </w:r>
      <w:r w:rsidR="001558CD">
        <w:rPr>
          <w:iCs/>
        </w:rPr>
        <w:t>Recommendation CM/</w:t>
      </w:r>
      <w:proofErr w:type="gramStart"/>
      <w:r w:rsidR="001558CD">
        <w:rPr>
          <w:iCs/>
        </w:rPr>
        <w:t>Rec(</w:t>
      </w:r>
      <w:proofErr w:type="gramEnd"/>
      <w:r w:rsidR="001558CD">
        <w:rPr>
          <w:iCs/>
        </w:rPr>
        <w:t xml:space="preserve">2007)14 </w:t>
      </w:r>
      <w:r w:rsidR="008A374B" w:rsidRPr="00C87575">
        <w:rPr>
          <w:iCs/>
        </w:rPr>
        <w:t>of the Council of Europe Committee of Ministers to member states  on the legal status of non-governmental organisations in Europe</w:t>
      </w:r>
      <w:r w:rsidR="008A374B">
        <w:rPr>
          <w:iCs/>
        </w:rPr>
        <w:t xml:space="preserve">, principle 11-15; </w:t>
      </w:r>
      <w:r w:rsidR="001558CD">
        <w:rPr>
          <w:iCs/>
        </w:rPr>
        <w:t xml:space="preserve">OSCE/OIDHR and Venice Commission, </w:t>
      </w:r>
      <w:r w:rsidR="001558CD" w:rsidRPr="00531C92">
        <w:rPr>
          <w:i/>
          <w:iCs/>
        </w:rPr>
        <w:t>Guidelines on Freedom of Peaceful Assembly</w:t>
      </w:r>
      <w:r w:rsidR="001558CD">
        <w:rPr>
          <w:i/>
          <w:iCs/>
        </w:rPr>
        <w:t>,</w:t>
      </w:r>
      <w:r w:rsidR="001558CD">
        <w:rPr>
          <w:iCs/>
        </w:rPr>
        <w:t>3rd ed, 2019, para. 6</w:t>
      </w:r>
      <w:r w:rsidR="005D47EE">
        <w:rPr>
          <w:iCs/>
        </w:rPr>
        <w:t xml:space="preserve">. </w:t>
      </w:r>
    </w:p>
  </w:footnote>
  <w:footnote w:id="6">
    <w:p w:rsidR="00C87575" w:rsidRDefault="00C87575" w:rsidP="00FB769E">
      <w:pPr>
        <w:pStyle w:val="FootnoteText"/>
        <w:jc w:val="both"/>
      </w:pPr>
      <w:r>
        <w:rPr>
          <w:rStyle w:val="FootnoteReference"/>
        </w:rPr>
        <w:footnoteRef/>
      </w:r>
      <w:r>
        <w:t xml:space="preserve"> </w:t>
      </w:r>
      <w:r w:rsidRPr="00C87575">
        <w:rPr>
          <w:i/>
        </w:rPr>
        <w:t>Stankov and the United Macedonian Organisation Il</w:t>
      </w:r>
      <w:r>
        <w:rPr>
          <w:i/>
        </w:rPr>
        <w:t>inden v</w:t>
      </w:r>
      <w:r w:rsidRPr="00C87575">
        <w:rPr>
          <w:i/>
        </w:rPr>
        <w:t xml:space="preserve"> Bulgaria</w:t>
      </w:r>
      <w:r>
        <w:t>, App. N</w:t>
      </w:r>
      <w:r w:rsidRPr="00C87575">
        <w:t>os. 29221/95 and 29225/95</w:t>
      </w:r>
      <w:r>
        <w:t>,</w:t>
      </w:r>
      <w:r w:rsidRPr="00C87575">
        <w:t xml:space="preserve"> 2 October 200</w:t>
      </w:r>
      <w:r>
        <w:t xml:space="preserve">1, para. 92 cited in </w:t>
      </w:r>
      <w:r>
        <w:rPr>
          <w:iCs/>
        </w:rPr>
        <w:t xml:space="preserve">OSCE/OIDHR and Venice Commission, </w:t>
      </w:r>
      <w:r w:rsidRPr="00531C92">
        <w:rPr>
          <w:i/>
          <w:iCs/>
        </w:rPr>
        <w:t>Guidelines on Freedom of Peaceful Assembly</w:t>
      </w:r>
      <w:r>
        <w:rPr>
          <w:i/>
          <w:iCs/>
        </w:rPr>
        <w:t>,</w:t>
      </w:r>
      <w:r>
        <w:rPr>
          <w:iCs/>
        </w:rPr>
        <w:t xml:space="preserve">3rd ed, 2019, para. 6. </w:t>
      </w:r>
    </w:p>
  </w:footnote>
  <w:footnote w:id="7">
    <w:p w:rsidR="00D27198" w:rsidRPr="00BC2DED" w:rsidRDefault="00D27198" w:rsidP="00FB769E">
      <w:pPr>
        <w:pStyle w:val="FootnoteText"/>
        <w:jc w:val="both"/>
      </w:pPr>
      <w:r>
        <w:rPr>
          <w:rStyle w:val="FootnoteReference"/>
        </w:rPr>
        <w:footnoteRef/>
      </w:r>
      <w:r>
        <w:t xml:space="preserve"> </w:t>
      </w:r>
      <w:r w:rsidR="00BC2DED">
        <w:t xml:space="preserve">Human Rights Committee, </w:t>
      </w:r>
      <w:r w:rsidR="00BC2DED">
        <w:rPr>
          <w:i/>
        </w:rPr>
        <w:t xml:space="preserve">General Comment No 34, </w:t>
      </w:r>
      <w:r w:rsidR="00BC2DED">
        <w:t xml:space="preserve">UN Doc. </w:t>
      </w:r>
      <w:r w:rsidR="00BC2DED" w:rsidRPr="00BC2DED">
        <w:t>CCPR/C/GC/34</w:t>
      </w:r>
      <w:r w:rsidR="00BC2DED">
        <w:t>, 2011,</w:t>
      </w:r>
      <w:r w:rsidR="00BC2DED" w:rsidRPr="00BC2DED">
        <w:t xml:space="preserve"> </w:t>
      </w:r>
      <w:r w:rsidR="00BC2DED">
        <w:t xml:space="preserve">para </w:t>
      </w:r>
      <w:r w:rsidR="00BC2DED" w:rsidRPr="00E83521">
        <w:t xml:space="preserve">35; </w:t>
      </w:r>
      <w:r w:rsidR="00BC2DED" w:rsidRPr="00E83521">
        <w:rPr>
          <w:iCs/>
        </w:rPr>
        <w:t xml:space="preserve">OSCE/OIDHR and Venice Commission, </w:t>
      </w:r>
      <w:r w:rsidR="00BC2DED" w:rsidRPr="00E83521">
        <w:rPr>
          <w:i/>
          <w:iCs/>
        </w:rPr>
        <w:t>Guidelines on Freedom of Peaceful Assembly,</w:t>
      </w:r>
      <w:r w:rsidR="00C07EB8" w:rsidRPr="00E83521">
        <w:rPr>
          <w:iCs/>
        </w:rPr>
        <w:t>3rd ed, 2019, para</w:t>
      </w:r>
      <w:r w:rsidR="00E83521" w:rsidRPr="00E83521">
        <w:rPr>
          <w:iCs/>
        </w:rPr>
        <w:t>s</w:t>
      </w:r>
      <w:r w:rsidR="00C07EB8" w:rsidRPr="00E83521">
        <w:rPr>
          <w:iCs/>
        </w:rPr>
        <w:t>.</w:t>
      </w:r>
      <w:r w:rsidR="00E83521" w:rsidRPr="00E83521">
        <w:rPr>
          <w:iCs/>
        </w:rPr>
        <w:t>131, 133</w:t>
      </w:r>
      <w:r w:rsidR="00C07EB8">
        <w:rPr>
          <w:iCs/>
        </w:rPr>
        <w:t xml:space="preserve">. </w:t>
      </w:r>
    </w:p>
  </w:footnote>
  <w:footnote w:id="8">
    <w:p w:rsidR="00D4267B" w:rsidRDefault="00D4267B" w:rsidP="00FB769E">
      <w:pPr>
        <w:pStyle w:val="FootnoteText"/>
        <w:jc w:val="both"/>
      </w:pPr>
      <w:r>
        <w:rPr>
          <w:rStyle w:val="FootnoteReference"/>
        </w:rPr>
        <w:footnoteRef/>
      </w:r>
      <w:r>
        <w:t xml:space="preserve"> </w:t>
      </w:r>
      <w:r w:rsidR="00E623C7">
        <w:t xml:space="preserve">Human Rights Committee, </w:t>
      </w:r>
      <w:r w:rsidR="00E623C7">
        <w:rPr>
          <w:i/>
        </w:rPr>
        <w:t xml:space="preserve">General Comment No 34, </w:t>
      </w:r>
      <w:r w:rsidR="00E623C7">
        <w:t xml:space="preserve">UN Doc. </w:t>
      </w:r>
      <w:r w:rsidR="00E623C7" w:rsidRPr="00BC2DED">
        <w:t>CCPR/C/GC/34</w:t>
      </w:r>
      <w:r w:rsidR="00E623C7">
        <w:t>, 2011,</w:t>
      </w:r>
      <w:r w:rsidR="00E623C7" w:rsidRPr="00BC2DED">
        <w:t xml:space="preserve"> </w:t>
      </w:r>
      <w:r w:rsidR="00E623C7">
        <w:t xml:space="preserve">para 34; </w:t>
      </w:r>
      <w:r w:rsidR="00E623C7" w:rsidRPr="00E83521">
        <w:rPr>
          <w:iCs/>
        </w:rPr>
        <w:t xml:space="preserve">OSCE/OIDHR and Venice Commission, </w:t>
      </w:r>
      <w:r w:rsidR="00E623C7" w:rsidRPr="00E83521">
        <w:rPr>
          <w:i/>
          <w:iCs/>
        </w:rPr>
        <w:t>Guidelines on Freedom of Peaceful Assembly,</w:t>
      </w:r>
      <w:r w:rsidR="00E623C7">
        <w:rPr>
          <w:iCs/>
        </w:rPr>
        <w:t>3rd ed, 2019, paras.131-</w:t>
      </w:r>
      <w:r w:rsidR="00E623C7" w:rsidRPr="00E83521">
        <w:rPr>
          <w:iCs/>
        </w:rPr>
        <w:t>133</w:t>
      </w:r>
      <w:r w:rsidR="00E623C7">
        <w:rPr>
          <w:iCs/>
        </w:rPr>
        <w:t xml:space="preserve">; </w:t>
      </w:r>
      <w:r w:rsidR="00E623C7">
        <w:t>UN Human Rights Council, ‘Joint report of the Special Rapporteur on the rights to freedom of peaceful assembly and of association and the Special Rapporteur on extrajudicial, summary or arbitrary executions on the proper management of assemblies’ UN Doc. A/HRC/31/66, 4 February 2016, para. 30.</w:t>
      </w:r>
    </w:p>
  </w:footnote>
  <w:footnote w:id="9">
    <w:p w:rsidR="00DA2DA6" w:rsidRDefault="00DA2DA6" w:rsidP="00FB769E">
      <w:pPr>
        <w:pStyle w:val="FootnoteText"/>
        <w:jc w:val="both"/>
      </w:pPr>
      <w:r>
        <w:rPr>
          <w:rStyle w:val="FootnoteReference"/>
        </w:rPr>
        <w:footnoteRef/>
      </w:r>
      <w:r>
        <w:t xml:space="preserve"> </w:t>
      </w:r>
      <w:r w:rsidRPr="00E83521">
        <w:rPr>
          <w:iCs/>
        </w:rPr>
        <w:t xml:space="preserve">OSCE/OIDHR and Venice Commission, </w:t>
      </w:r>
      <w:r w:rsidRPr="00E83521">
        <w:rPr>
          <w:i/>
          <w:iCs/>
        </w:rPr>
        <w:t>Guidelines on Freedom of Peaceful Assembly,</w:t>
      </w:r>
      <w:r>
        <w:rPr>
          <w:iCs/>
        </w:rPr>
        <w:t>3rd ed, 2019, para. 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34F"/>
    <w:multiLevelType w:val="hybridMultilevel"/>
    <w:tmpl w:val="0D1E7642"/>
    <w:lvl w:ilvl="0" w:tplc="AE709FC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2268"/>
    <w:multiLevelType w:val="hybridMultilevel"/>
    <w:tmpl w:val="45A2B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05B9"/>
    <w:multiLevelType w:val="multilevel"/>
    <w:tmpl w:val="CA34E29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5388"/>
    <w:multiLevelType w:val="hybridMultilevel"/>
    <w:tmpl w:val="884E7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475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3B"/>
    <w:rsid w:val="00010E98"/>
    <w:rsid w:val="0001654C"/>
    <w:rsid w:val="0002032C"/>
    <w:rsid w:val="00070162"/>
    <w:rsid w:val="000826B7"/>
    <w:rsid w:val="00097BF1"/>
    <w:rsid w:val="000A5006"/>
    <w:rsid w:val="000B03C9"/>
    <w:rsid w:val="000B6E19"/>
    <w:rsid w:val="000C6725"/>
    <w:rsid w:val="000E1689"/>
    <w:rsid w:val="00106B88"/>
    <w:rsid w:val="00107E7D"/>
    <w:rsid w:val="00115C93"/>
    <w:rsid w:val="001247D5"/>
    <w:rsid w:val="00143C93"/>
    <w:rsid w:val="00147A41"/>
    <w:rsid w:val="00155661"/>
    <w:rsid w:val="001558CD"/>
    <w:rsid w:val="00185B33"/>
    <w:rsid w:val="001D741F"/>
    <w:rsid w:val="001E583B"/>
    <w:rsid w:val="00203408"/>
    <w:rsid w:val="002414A0"/>
    <w:rsid w:val="0027568F"/>
    <w:rsid w:val="00282373"/>
    <w:rsid w:val="00296E52"/>
    <w:rsid w:val="002A2C02"/>
    <w:rsid w:val="002A3BB2"/>
    <w:rsid w:val="002C3661"/>
    <w:rsid w:val="002C5450"/>
    <w:rsid w:val="002E265F"/>
    <w:rsid w:val="002E6024"/>
    <w:rsid w:val="002F4281"/>
    <w:rsid w:val="00353475"/>
    <w:rsid w:val="00383B51"/>
    <w:rsid w:val="003857A4"/>
    <w:rsid w:val="00392A88"/>
    <w:rsid w:val="003A78A9"/>
    <w:rsid w:val="003C5248"/>
    <w:rsid w:val="003D5BB6"/>
    <w:rsid w:val="003E656E"/>
    <w:rsid w:val="003F1C26"/>
    <w:rsid w:val="003F69C2"/>
    <w:rsid w:val="004035E6"/>
    <w:rsid w:val="004243D9"/>
    <w:rsid w:val="004318E1"/>
    <w:rsid w:val="00437407"/>
    <w:rsid w:val="0045450D"/>
    <w:rsid w:val="00474AD3"/>
    <w:rsid w:val="00476FB0"/>
    <w:rsid w:val="004D60DF"/>
    <w:rsid w:val="004E0C82"/>
    <w:rsid w:val="004F7C53"/>
    <w:rsid w:val="00512DC7"/>
    <w:rsid w:val="00521374"/>
    <w:rsid w:val="00541525"/>
    <w:rsid w:val="00544059"/>
    <w:rsid w:val="00561F1B"/>
    <w:rsid w:val="00577FCD"/>
    <w:rsid w:val="005A220F"/>
    <w:rsid w:val="005D47EE"/>
    <w:rsid w:val="005F615E"/>
    <w:rsid w:val="00600C5C"/>
    <w:rsid w:val="00613474"/>
    <w:rsid w:val="00620A0D"/>
    <w:rsid w:val="00624A0C"/>
    <w:rsid w:val="00633C72"/>
    <w:rsid w:val="00642CD5"/>
    <w:rsid w:val="006461A9"/>
    <w:rsid w:val="00663FE5"/>
    <w:rsid w:val="0066571B"/>
    <w:rsid w:val="006C7081"/>
    <w:rsid w:val="0071014D"/>
    <w:rsid w:val="00710D2B"/>
    <w:rsid w:val="00754686"/>
    <w:rsid w:val="00755450"/>
    <w:rsid w:val="00756288"/>
    <w:rsid w:val="00756FFF"/>
    <w:rsid w:val="00786A0E"/>
    <w:rsid w:val="00787717"/>
    <w:rsid w:val="007A067C"/>
    <w:rsid w:val="007B155D"/>
    <w:rsid w:val="007D5B0F"/>
    <w:rsid w:val="007E4954"/>
    <w:rsid w:val="007E79D8"/>
    <w:rsid w:val="007E7D85"/>
    <w:rsid w:val="00801AAB"/>
    <w:rsid w:val="00811878"/>
    <w:rsid w:val="00827D09"/>
    <w:rsid w:val="00862DED"/>
    <w:rsid w:val="00876469"/>
    <w:rsid w:val="008A374B"/>
    <w:rsid w:val="008C6DA2"/>
    <w:rsid w:val="00940875"/>
    <w:rsid w:val="00963ED6"/>
    <w:rsid w:val="00967754"/>
    <w:rsid w:val="0098769B"/>
    <w:rsid w:val="009A3A8D"/>
    <w:rsid w:val="009A6B69"/>
    <w:rsid w:val="009B32EE"/>
    <w:rsid w:val="009C1377"/>
    <w:rsid w:val="009F30B5"/>
    <w:rsid w:val="009F64FD"/>
    <w:rsid w:val="00A05F6D"/>
    <w:rsid w:val="00A36FC6"/>
    <w:rsid w:val="00A41423"/>
    <w:rsid w:val="00A42A1E"/>
    <w:rsid w:val="00A50544"/>
    <w:rsid w:val="00A539D0"/>
    <w:rsid w:val="00A80C15"/>
    <w:rsid w:val="00A8461E"/>
    <w:rsid w:val="00A86F2C"/>
    <w:rsid w:val="00AA392D"/>
    <w:rsid w:val="00AB26BF"/>
    <w:rsid w:val="00AC33D8"/>
    <w:rsid w:val="00AD77AD"/>
    <w:rsid w:val="00AE42ED"/>
    <w:rsid w:val="00AE5A33"/>
    <w:rsid w:val="00AF415E"/>
    <w:rsid w:val="00AF47F8"/>
    <w:rsid w:val="00B03DEB"/>
    <w:rsid w:val="00B5291C"/>
    <w:rsid w:val="00B767E5"/>
    <w:rsid w:val="00B81398"/>
    <w:rsid w:val="00B8413D"/>
    <w:rsid w:val="00BA3616"/>
    <w:rsid w:val="00BC2DED"/>
    <w:rsid w:val="00C042BD"/>
    <w:rsid w:val="00C07EB8"/>
    <w:rsid w:val="00C63518"/>
    <w:rsid w:val="00C87575"/>
    <w:rsid w:val="00C91760"/>
    <w:rsid w:val="00CB7F8B"/>
    <w:rsid w:val="00CD7987"/>
    <w:rsid w:val="00CE2D43"/>
    <w:rsid w:val="00CF5208"/>
    <w:rsid w:val="00D02171"/>
    <w:rsid w:val="00D14987"/>
    <w:rsid w:val="00D27198"/>
    <w:rsid w:val="00D4267B"/>
    <w:rsid w:val="00D57E40"/>
    <w:rsid w:val="00D6482B"/>
    <w:rsid w:val="00D6684C"/>
    <w:rsid w:val="00D73CEA"/>
    <w:rsid w:val="00D82458"/>
    <w:rsid w:val="00D859D7"/>
    <w:rsid w:val="00DA2DA6"/>
    <w:rsid w:val="00DA3344"/>
    <w:rsid w:val="00DB704B"/>
    <w:rsid w:val="00E00650"/>
    <w:rsid w:val="00E10E41"/>
    <w:rsid w:val="00E16F7D"/>
    <w:rsid w:val="00E50658"/>
    <w:rsid w:val="00E61E05"/>
    <w:rsid w:val="00E623C7"/>
    <w:rsid w:val="00E67CE4"/>
    <w:rsid w:val="00E83521"/>
    <w:rsid w:val="00EB4415"/>
    <w:rsid w:val="00EB667F"/>
    <w:rsid w:val="00EF342A"/>
    <w:rsid w:val="00F12B27"/>
    <w:rsid w:val="00F503B9"/>
    <w:rsid w:val="00F52BA0"/>
    <w:rsid w:val="00F60233"/>
    <w:rsid w:val="00F772CB"/>
    <w:rsid w:val="00FB769E"/>
    <w:rsid w:val="00FD0744"/>
    <w:rsid w:val="00FD09A7"/>
    <w:rsid w:val="00FE301B"/>
    <w:rsid w:val="00FF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2772-B709-4DA8-B7EE-0696D8F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83B"/>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E583B"/>
    <w:pPr>
      <w:keepNext/>
      <w:keepLines/>
      <w:tabs>
        <w:tab w:val="right" w:pos="851"/>
      </w:tabs>
      <w:spacing w:before="240" w:after="240" w:line="360" w:lineRule="exact"/>
      <w:ind w:left="1134" w:right="1134" w:hanging="1134"/>
    </w:pPr>
    <w:rPr>
      <w:b/>
      <w:sz w:val="34"/>
    </w:rPr>
  </w:style>
  <w:style w:type="character" w:styleId="Hyperlink">
    <w:name w:val="Hyperlink"/>
    <w:basedOn w:val="DefaultParagraphFont"/>
    <w:uiPriority w:val="99"/>
    <w:unhideWhenUsed/>
    <w:rsid w:val="0002032C"/>
    <w:rPr>
      <w:color w:val="0563C1" w:themeColor="hyperlink"/>
      <w:u w:val="single"/>
    </w:rPr>
  </w:style>
  <w:style w:type="character" w:styleId="UnresolvedMention">
    <w:name w:val="Unresolved Mention"/>
    <w:basedOn w:val="DefaultParagraphFont"/>
    <w:uiPriority w:val="99"/>
    <w:semiHidden/>
    <w:unhideWhenUsed/>
    <w:rsid w:val="0002032C"/>
    <w:rPr>
      <w:color w:val="808080"/>
      <w:shd w:val="clear" w:color="auto" w:fill="E6E6E6"/>
    </w:rPr>
  </w:style>
  <w:style w:type="paragraph" w:styleId="ListParagraph">
    <w:name w:val="List Paragraph"/>
    <w:basedOn w:val="Normal"/>
    <w:uiPriority w:val="34"/>
    <w:qFormat/>
    <w:rsid w:val="004F7C53"/>
    <w:pPr>
      <w:ind w:left="720"/>
      <w:contextualSpacing/>
    </w:pPr>
  </w:style>
  <w:style w:type="paragraph" w:styleId="FootnoteText">
    <w:name w:val="footnote text"/>
    <w:basedOn w:val="Normal"/>
    <w:link w:val="FootnoteTextChar"/>
    <w:uiPriority w:val="99"/>
    <w:semiHidden/>
    <w:unhideWhenUsed/>
    <w:rsid w:val="004F7C53"/>
    <w:pPr>
      <w:spacing w:line="240" w:lineRule="auto"/>
    </w:pPr>
  </w:style>
  <w:style w:type="character" w:customStyle="1" w:styleId="FootnoteTextChar">
    <w:name w:val="Footnote Text Char"/>
    <w:basedOn w:val="DefaultParagraphFont"/>
    <w:link w:val="FootnoteText"/>
    <w:uiPriority w:val="99"/>
    <w:semiHidden/>
    <w:rsid w:val="004F7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7C53"/>
    <w:rPr>
      <w:vertAlign w:val="superscript"/>
    </w:rPr>
  </w:style>
  <w:style w:type="character" w:styleId="FollowedHyperlink">
    <w:name w:val="FollowedHyperlink"/>
    <w:basedOn w:val="DefaultParagraphFont"/>
    <w:uiPriority w:val="99"/>
    <w:semiHidden/>
    <w:unhideWhenUsed/>
    <w:rsid w:val="004035E6"/>
    <w:rPr>
      <w:color w:val="954F72" w:themeColor="followedHyperlink"/>
      <w:u w:val="single"/>
    </w:rPr>
  </w:style>
  <w:style w:type="paragraph" w:customStyle="1" w:styleId="Default">
    <w:name w:val="Default"/>
    <w:rsid w:val="00827D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14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A0"/>
    <w:rPr>
      <w:rFonts w:ascii="Segoe UI" w:eastAsia="Times New Roman" w:hAnsi="Segoe UI" w:cs="Segoe UI"/>
      <w:sz w:val="18"/>
      <w:szCs w:val="18"/>
    </w:rPr>
  </w:style>
  <w:style w:type="paragraph" w:styleId="Header">
    <w:name w:val="header"/>
    <w:basedOn w:val="Normal"/>
    <w:link w:val="HeaderChar"/>
    <w:uiPriority w:val="99"/>
    <w:unhideWhenUsed/>
    <w:rsid w:val="00F60233"/>
    <w:pPr>
      <w:tabs>
        <w:tab w:val="center" w:pos="4513"/>
        <w:tab w:val="right" w:pos="9026"/>
      </w:tabs>
      <w:spacing w:line="240" w:lineRule="auto"/>
    </w:pPr>
  </w:style>
  <w:style w:type="character" w:customStyle="1" w:styleId="HeaderChar">
    <w:name w:val="Header Char"/>
    <w:basedOn w:val="DefaultParagraphFont"/>
    <w:link w:val="Header"/>
    <w:uiPriority w:val="99"/>
    <w:rsid w:val="00F60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233"/>
    <w:pPr>
      <w:tabs>
        <w:tab w:val="center" w:pos="4513"/>
        <w:tab w:val="right" w:pos="9026"/>
      </w:tabs>
      <w:spacing w:line="240" w:lineRule="auto"/>
    </w:pPr>
  </w:style>
  <w:style w:type="character" w:customStyle="1" w:styleId="FooterChar">
    <w:name w:val="Footer Char"/>
    <w:basedOn w:val="DefaultParagraphFont"/>
    <w:link w:val="Footer"/>
    <w:uiPriority w:val="99"/>
    <w:rsid w:val="00F602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4852">
      <w:bodyDiv w:val="1"/>
      <w:marLeft w:val="0"/>
      <w:marRight w:val="0"/>
      <w:marTop w:val="0"/>
      <w:marBottom w:val="0"/>
      <w:divBdr>
        <w:top w:val="none" w:sz="0" w:space="0" w:color="auto"/>
        <w:left w:val="none" w:sz="0" w:space="0" w:color="auto"/>
        <w:bottom w:val="none" w:sz="0" w:space="0" w:color="auto"/>
        <w:right w:val="none" w:sz="0" w:space="0" w:color="auto"/>
      </w:divBdr>
    </w:div>
    <w:div w:id="466820006">
      <w:bodyDiv w:val="1"/>
      <w:marLeft w:val="0"/>
      <w:marRight w:val="0"/>
      <w:marTop w:val="0"/>
      <w:marBottom w:val="0"/>
      <w:divBdr>
        <w:top w:val="none" w:sz="0" w:space="0" w:color="auto"/>
        <w:left w:val="none" w:sz="0" w:space="0" w:color="auto"/>
        <w:bottom w:val="none" w:sz="0" w:space="0" w:color="auto"/>
        <w:right w:val="none" w:sz="0" w:space="0" w:color="auto"/>
      </w:divBdr>
    </w:div>
    <w:div w:id="8616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enice.coe.int/webforms/documents/?pdf=CDL-AD(2019)017-e" TargetMode="External"/><Relationship Id="rId1" Type="http://schemas.openxmlformats.org/officeDocument/2006/relationships/hyperlink" Target="https://www.coe.int/en/web/ingo/exper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C2443B-83B5-4B09-9E23-0A23A14B3461}">
  <ds:schemaRefs>
    <ds:schemaRef ds:uri="http://schemas.openxmlformats.org/officeDocument/2006/bibliography"/>
  </ds:schemaRefs>
</ds:datastoreItem>
</file>

<file path=customXml/itemProps2.xml><?xml version="1.0" encoding="utf-8"?>
<ds:datastoreItem xmlns:ds="http://schemas.openxmlformats.org/officeDocument/2006/customXml" ds:itemID="{AB0FAD8C-56A8-48CA-98A5-743C43FB17A0}"/>
</file>

<file path=customXml/itemProps3.xml><?xml version="1.0" encoding="utf-8"?>
<ds:datastoreItem xmlns:ds="http://schemas.openxmlformats.org/officeDocument/2006/customXml" ds:itemID="{1A7466F3-D6CE-4D0A-9786-60AA32C091C2}"/>
</file>

<file path=customXml/itemProps4.xml><?xml version="1.0" encoding="utf-8"?>
<ds:datastoreItem xmlns:ds="http://schemas.openxmlformats.org/officeDocument/2006/customXml" ds:itemID="{C830562F-9D7C-4B8B-8F1D-CF45802CC505}"/>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Glenister, Jade</dc:creator>
  <cp:keywords/>
  <dc:description/>
  <cp:lastModifiedBy>HENNESSEY Mary-Ann</cp:lastModifiedBy>
  <cp:revision>2</cp:revision>
  <dcterms:created xsi:type="dcterms:W3CDTF">2020-02-05T15:26:00Z</dcterms:created>
  <dcterms:modified xsi:type="dcterms:W3CDTF">2020-02-05T15:26:00Z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