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ED255" w14:textId="77777777" w:rsidR="00ED1EBD" w:rsidRDefault="00ED1EBD" w:rsidP="0059130A">
      <w:pPr>
        <w:spacing w:before="120"/>
        <w:jc w:val="right"/>
        <w:rPr>
          <w:rFonts w:asciiTheme="majorHAnsi" w:hAnsiTheme="majorHAnsi" w:cs="Arial"/>
          <w:b/>
          <w:i/>
          <w:szCs w:val="24"/>
        </w:rPr>
      </w:pPr>
    </w:p>
    <w:p w14:paraId="2747C9CB" w14:textId="77777777" w:rsidR="0059130A" w:rsidRPr="0059130A" w:rsidRDefault="0059130A" w:rsidP="0059130A">
      <w:pPr>
        <w:spacing w:before="120"/>
        <w:jc w:val="right"/>
        <w:rPr>
          <w:rFonts w:asciiTheme="majorHAnsi" w:hAnsiTheme="majorHAnsi" w:cs="Arial"/>
          <w:b/>
          <w:i/>
          <w:szCs w:val="24"/>
        </w:rPr>
      </w:pPr>
      <w:r w:rsidRPr="0059130A">
        <w:rPr>
          <w:rFonts w:asciiTheme="majorHAnsi" w:hAnsiTheme="majorHAnsi" w:cs="Arial"/>
          <w:b/>
          <w:i/>
          <w:szCs w:val="24"/>
        </w:rPr>
        <w:t>31 March 2017</w:t>
      </w:r>
    </w:p>
    <w:p w14:paraId="08152C18" w14:textId="77777777" w:rsidR="0059130A" w:rsidRPr="0059130A" w:rsidRDefault="0059130A" w:rsidP="0059130A">
      <w:pPr>
        <w:spacing w:before="120"/>
        <w:rPr>
          <w:rFonts w:asciiTheme="majorHAnsi" w:hAnsiTheme="majorHAnsi" w:cs="Arial"/>
          <w:b/>
          <w:szCs w:val="24"/>
        </w:rPr>
      </w:pPr>
    </w:p>
    <w:p w14:paraId="2F4942CD" w14:textId="77777777" w:rsidR="0059130A" w:rsidRPr="0059130A" w:rsidRDefault="0059130A" w:rsidP="0059130A">
      <w:pPr>
        <w:spacing w:before="120"/>
        <w:rPr>
          <w:rFonts w:asciiTheme="majorHAnsi" w:hAnsiTheme="majorHAnsi" w:cs="Arial"/>
          <w:b/>
          <w:szCs w:val="24"/>
        </w:rPr>
      </w:pPr>
      <w:r w:rsidRPr="0059130A">
        <w:rPr>
          <w:rFonts w:asciiTheme="majorHAnsi" w:hAnsiTheme="majorHAnsi" w:cs="Arial"/>
          <w:b/>
          <w:szCs w:val="24"/>
        </w:rPr>
        <w:t>Re: Draft Revised General Comment on the implementation of article 3 of the Convention</w:t>
      </w:r>
      <w:r w:rsidRPr="0059130A">
        <w:rPr>
          <w:rFonts w:asciiTheme="majorHAnsi" w:eastAsia="Times New Roman" w:hAnsiTheme="majorHAnsi" w:cs="Arial"/>
          <w:szCs w:val="24"/>
          <w:lang w:eastAsia="en-GB"/>
        </w:rPr>
        <w:t xml:space="preserve"> </w:t>
      </w:r>
      <w:r w:rsidRPr="0059130A">
        <w:rPr>
          <w:rFonts w:asciiTheme="majorHAnsi" w:hAnsiTheme="majorHAnsi" w:cs="Arial"/>
          <w:b/>
          <w:bCs/>
          <w:szCs w:val="24"/>
        </w:rPr>
        <w:t>against Torture</w:t>
      </w:r>
      <w:r w:rsidRPr="0059130A">
        <w:rPr>
          <w:rFonts w:asciiTheme="majorHAnsi" w:hAnsiTheme="majorHAnsi" w:cs="Arial"/>
          <w:b/>
          <w:szCs w:val="24"/>
        </w:rPr>
        <w:t xml:space="preserve"> and Other Cruel, Inhuman or Degrading Treatment or Punishment in the context </w:t>
      </w:r>
      <w:bookmarkStart w:id="0" w:name="_GoBack"/>
      <w:bookmarkEnd w:id="0"/>
      <w:r w:rsidRPr="0059130A">
        <w:rPr>
          <w:rFonts w:asciiTheme="majorHAnsi" w:hAnsiTheme="majorHAnsi" w:cs="Arial"/>
          <w:b/>
          <w:szCs w:val="24"/>
        </w:rPr>
        <w:t>of article 22</w:t>
      </w:r>
    </w:p>
    <w:p w14:paraId="28948126" w14:textId="77777777" w:rsidR="0059130A" w:rsidRPr="0059130A" w:rsidRDefault="0059130A" w:rsidP="0059130A">
      <w:pPr>
        <w:spacing w:before="120"/>
        <w:jc w:val="both"/>
        <w:rPr>
          <w:rFonts w:asciiTheme="majorHAnsi" w:hAnsiTheme="majorHAnsi" w:cs="Arial"/>
          <w:szCs w:val="24"/>
        </w:rPr>
      </w:pPr>
    </w:p>
    <w:p w14:paraId="642B5E01" w14:textId="77777777" w:rsidR="0059130A" w:rsidRPr="0059130A" w:rsidRDefault="0059130A" w:rsidP="0059130A">
      <w:pPr>
        <w:spacing w:before="120"/>
        <w:jc w:val="both"/>
        <w:rPr>
          <w:rFonts w:asciiTheme="majorHAnsi" w:hAnsiTheme="majorHAnsi" w:cs="Arial"/>
          <w:i/>
          <w:iCs/>
          <w:szCs w:val="24"/>
        </w:rPr>
      </w:pPr>
      <w:r w:rsidRPr="0059130A">
        <w:rPr>
          <w:rFonts w:asciiTheme="majorHAnsi" w:hAnsiTheme="majorHAnsi" w:cs="Arial"/>
          <w:szCs w:val="24"/>
        </w:rPr>
        <w:t xml:space="preserve">The International Lesbian, Gay, Bisexual, Trans and Intersex Association (ILGA) is a worldwide federation of 1,200 member organisations from 125 countries campaigning for lesbian, gay, bisexual, trans and intersex (LGBTI) rights since 1978. ILGA </w:t>
      </w:r>
      <w:r w:rsidRPr="0059130A">
        <w:rPr>
          <w:rFonts w:asciiTheme="majorHAnsi" w:hAnsiTheme="majorHAnsi" w:cs="Arial"/>
          <w:iCs/>
          <w:szCs w:val="24"/>
        </w:rPr>
        <w:t xml:space="preserve">is a representative voice of LGBTI civil society within the United Nations, operating through collaboration, engagement and support of its members and partners. It also </w:t>
      </w:r>
      <w:r w:rsidRPr="0059130A">
        <w:rPr>
          <w:rFonts w:asciiTheme="majorHAnsi" w:hAnsiTheme="majorHAnsi" w:cs="Arial"/>
          <w:szCs w:val="24"/>
        </w:rPr>
        <w:t>provides support and guidance to member organizations in their engagement with the UN mechanisms, including with the Treaty Bodies such as the Committee Against Torture.</w:t>
      </w:r>
    </w:p>
    <w:p w14:paraId="6EC225FA" w14:textId="330E95E1" w:rsidR="0059130A" w:rsidRPr="0059130A" w:rsidRDefault="0059130A" w:rsidP="0059130A">
      <w:pPr>
        <w:spacing w:before="120"/>
        <w:jc w:val="both"/>
        <w:rPr>
          <w:rFonts w:asciiTheme="majorHAnsi" w:hAnsiTheme="majorHAnsi" w:cs="Arial"/>
          <w:szCs w:val="24"/>
        </w:rPr>
      </w:pPr>
      <w:r w:rsidRPr="0059130A">
        <w:rPr>
          <w:rFonts w:asciiTheme="majorHAnsi" w:hAnsiTheme="majorHAnsi" w:cs="Arial"/>
          <w:szCs w:val="24"/>
        </w:rPr>
        <w:t>We welcome the progress that has been achieved in this field by the Committee against Torture such as including references to sexual orientation, gender identity and expression and sex characteristics (SOGIESC) in its concluding observations</w:t>
      </w:r>
      <w:r w:rsidR="001F01B6" w:rsidRPr="001F01B6">
        <w:rPr>
          <w:rFonts w:asciiTheme="majorHAnsi" w:hAnsiTheme="majorHAnsi" w:cs="Arial"/>
          <w:szCs w:val="24"/>
          <w:vertAlign w:val="superscript"/>
        </w:rPr>
        <w:t>1</w:t>
      </w:r>
      <w:r w:rsidRPr="0059130A">
        <w:rPr>
          <w:rFonts w:asciiTheme="majorHAnsi" w:hAnsiTheme="majorHAnsi" w:cs="Arial"/>
          <w:szCs w:val="24"/>
        </w:rPr>
        <w:t xml:space="preserve"> and general comments, as well as its decisions on cases where complainants faced risk of torture because of their sexual orientation upon return to countries of origin.</w:t>
      </w:r>
      <w:r w:rsidR="001F01B6" w:rsidRPr="001F01B6">
        <w:rPr>
          <w:rFonts w:asciiTheme="majorHAnsi" w:hAnsiTheme="majorHAnsi" w:cs="Arial"/>
          <w:szCs w:val="24"/>
          <w:vertAlign w:val="superscript"/>
        </w:rPr>
        <w:t>2</w:t>
      </w:r>
    </w:p>
    <w:p w14:paraId="2937CAF4" w14:textId="77777777" w:rsidR="0059130A" w:rsidRPr="0059130A" w:rsidRDefault="0059130A" w:rsidP="0059130A">
      <w:pPr>
        <w:spacing w:before="120"/>
        <w:jc w:val="both"/>
        <w:rPr>
          <w:rFonts w:asciiTheme="majorHAnsi" w:hAnsiTheme="majorHAnsi" w:cs="Arial"/>
          <w:szCs w:val="24"/>
        </w:rPr>
      </w:pPr>
      <w:r w:rsidRPr="0059130A">
        <w:rPr>
          <w:rFonts w:asciiTheme="majorHAnsi" w:hAnsiTheme="majorHAnsi" w:cs="Arial"/>
          <w:szCs w:val="24"/>
        </w:rPr>
        <w:t xml:space="preserve">Therefore, we highly appreciate further possible developments, specifically the inclusion of sexual orientation and gender identity, among other </w:t>
      </w:r>
      <w:r w:rsidRPr="0059130A">
        <w:rPr>
          <w:rFonts w:asciiTheme="majorHAnsi" w:eastAsia="Calibri" w:hAnsiTheme="majorHAnsi" w:cs="Arial"/>
          <w:szCs w:val="24"/>
        </w:rPr>
        <w:t>indications of personal risk</w:t>
      </w:r>
      <w:r w:rsidRPr="0059130A">
        <w:rPr>
          <w:rFonts w:asciiTheme="majorHAnsi" w:hAnsiTheme="majorHAnsi" w:cs="Arial"/>
          <w:szCs w:val="24"/>
        </w:rPr>
        <w:t xml:space="preserve"> affecting the complainant, in paragraph 48(e) of the Draft Revised General Comment on the implementation of article 3 of the Convention in the context of article 22.</w:t>
      </w:r>
    </w:p>
    <w:p w14:paraId="5C71B21A" w14:textId="77777777" w:rsidR="0059130A" w:rsidRPr="0059130A" w:rsidRDefault="0059130A" w:rsidP="0059130A">
      <w:pPr>
        <w:spacing w:before="120"/>
        <w:jc w:val="both"/>
        <w:rPr>
          <w:rFonts w:asciiTheme="majorHAnsi" w:hAnsiTheme="majorHAnsi" w:cs="Arial"/>
          <w:szCs w:val="24"/>
        </w:rPr>
      </w:pPr>
      <w:r w:rsidRPr="0059130A">
        <w:rPr>
          <w:rFonts w:asciiTheme="majorHAnsi" w:hAnsiTheme="majorHAnsi" w:cs="Arial"/>
          <w:szCs w:val="24"/>
        </w:rPr>
        <w:t>Welcoming this provision, we would like to suggest the following additions to the Draft Revised General Comment that would ensure more comprehensive reflection of risks of torture faced by lesbian, gay, bisexual, trans and intersex (LGBTI) persons in different countries throughout the world, as well as already existing practice and standards of different international institutions and bodies:</w:t>
      </w:r>
    </w:p>
    <w:p w14:paraId="10CA89E2" w14:textId="77777777" w:rsidR="00D650F1" w:rsidRDefault="00D650F1" w:rsidP="0059130A">
      <w:pPr>
        <w:tabs>
          <w:tab w:val="left" w:pos="1134"/>
        </w:tabs>
        <w:spacing w:before="240"/>
        <w:ind w:left="720"/>
        <w:jc w:val="both"/>
        <w:rPr>
          <w:rFonts w:asciiTheme="majorHAnsi" w:eastAsia="Calibri" w:hAnsiTheme="majorHAnsi" w:cs="Arial"/>
          <w:szCs w:val="24"/>
        </w:rPr>
      </w:pPr>
    </w:p>
    <w:p w14:paraId="45184EEF" w14:textId="77777777" w:rsidR="00D650F1" w:rsidRDefault="00D650F1" w:rsidP="0059130A">
      <w:pPr>
        <w:tabs>
          <w:tab w:val="left" w:pos="1134"/>
        </w:tabs>
        <w:spacing w:before="240"/>
        <w:ind w:left="720"/>
        <w:jc w:val="both"/>
        <w:rPr>
          <w:rFonts w:asciiTheme="majorHAnsi" w:eastAsia="Calibri" w:hAnsiTheme="majorHAnsi" w:cs="Arial"/>
          <w:szCs w:val="24"/>
        </w:rPr>
      </w:pPr>
    </w:p>
    <w:p w14:paraId="50990AA1" w14:textId="77777777" w:rsidR="00ED1EBD" w:rsidRDefault="00ED1EBD" w:rsidP="0059130A">
      <w:pPr>
        <w:tabs>
          <w:tab w:val="left" w:pos="1134"/>
        </w:tabs>
        <w:spacing w:before="240"/>
        <w:ind w:left="720"/>
        <w:jc w:val="both"/>
        <w:rPr>
          <w:rFonts w:asciiTheme="majorHAnsi" w:eastAsia="Calibri" w:hAnsiTheme="majorHAnsi" w:cs="Arial"/>
          <w:szCs w:val="24"/>
        </w:rPr>
        <w:sectPr w:rsidR="00ED1EBD" w:rsidSect="00ED5642">
          <w:headerReference w:type="even" r:id="rId8"/>
          <w:headerReference w:type="default" r:id="rId9"/>
          <w:footerReference w:type="default" r:id="rId10"/>
          <w:headerReference w:type="first" r:id="rId11"/>
          <w:endnotePr>
            <w:numFmt w:val="decimal"/>
          </w:endnotePr>
          <w:pgSz w:w="11900" w:h="16840"/>
          <w:pgMar w:top="1440" w:right="1127" w:bottom="1440" w:left="1800" w:header="708" w:footer="708" w:gutter="0"/>
          <w:cols w:space="708"/>
          <w:docGrid w:linePitch="360"/>
        </w:sectPr>
      </w:pPr>
    </w:p>
    <w:p w14:paraId="1A399A3B" w14:textId="77777777" w:rsidR="00ED1EBD" w:rsidRPr="0059130A" w:rsidRDefault="00ED1EBD" w:rsidP="00ED1EBD">
      <w:pPr>
        <w:tabs>
          <w:tab w:val="left" w:pos="1134"/>
        </w:tabs>
        <w:spacing w:before="240"/>
        <w:ind w:left="720"/>
        <w:jc w:val="both"/>
        <w:rPr>
          <w:rFonts w:asciiTheme="majorHAnsi" w:eastAsia="Calibri" w:hAnsiTheme="majorHAnsi" w:cs="Arial"/>
          <w:szCs w:val="24"/>
        </w:rPr>
      </w:pPr>
      <w:r w:rsidRPr="0059130A">
        <w:rPr>
          <w:rFonts w:asciiTheme="majorHAnsi" w:eastAsia="Calibri" w:hAnsiTheme="majorHAnsi" w:cs="Arial"/>
          <w:szCs w:val="24"/>
        </w:rPr>
        <w:lastRenderedPageBreak/>
        <w:t>17.</w:t>
      </w:r>
      <w:r w:rsidRPr="0059130A">
        <w:rPr>
          <w:rFonts w:asciiTheme="majorHAnsi" w:eastAsia="Calibri" w:hAnsiTheme="majorHAnsi" w:cs="Arial"/>
          <w:szCs w:val="24"/>
        </w:rPr>
        <w:tab/>
        <w:t xml:space="preserve">The Committee considers that severe pain or suffering cannot objectively be measured. It depends on the negative physical or mental repercussions that the infliction of violent acts has on each individual, taking into account all relevant circumstances of each case, including the duration of the treatment, the physical and/or mental effects, the sex, </w:t>
      </w:r>
      <w:r w:rsidRPr="0059130A">
        <w:rPr>
          <w:rFonts w:asciiTheme="majorHAnsi" w:eastAsia="Calibri" w:hAnsiTheme="majorHAnsi" w:cs="Arial"/>
          <w:i/>
          <w:szCs w:val="24"/>
          <w:u w:val="single"/>
        </w:rPr>
        <w:t>sexual orientation, gender identity, gender expression, sex characteristics</w:t>
      </w:r>
      <w:r w:rsidRPr="0059130A">
        <w:rPr>
          <w:rFonts w:asciiTheme="majorHAnsi" w:eastAsia="Calibri" w:hAnsiTheme="majorHAnsi" w:cs="Arial"/>
          <w:szCs w:val="24"/>
        </w:rPr>
        <w:t>, age and state of health and vulnerability of the victim.</w:t>
      </w:r>
    </w:p>
    <w:p w14:paraId="2EDE97CF" w14:textId="77777777" w:rsidR="00ED1EBD" w:rsidRDefault="00ED1EBD" w:rsidP="00ED1EBD">
      <w:pPr>
        <w:tabs>
          <w:tab w:val="left" w:pos="1134"/>
        </w:tabs>
        <w:spacing w:before="240"/>
        <w:ind w:left="720"/>
        <w:jc w:val="both"/>
        <w:rPr>
          <w:rFonts w:asciiTheme="majorHAnsi" w:hAnsiTheme="majorHAnsi" w:cs="Arial"/>
          <w:szCs w:val="24"/>
        </w:rPr>
      </w:pPr>
      <w:r w:rsidRPr="0059130A">
        <w:rPr>
          <w:rFonts w:asciiTheme="majorHAnsi" w:hAnsiTheme="majorHAnsi" w:cs="Arial"/>
          <w:szCs w:val="24"/>
        </w:rPr>
        <w:t>30.</w:t>
      </w:r>
      <w:r w:rsidRPr="0059130A">
        <w:rPr>
          <w:rFonts w:asciiTheme="majorHAnsi" w:hAnsiTheme="majorHAnsi" w:cs="Arial"/>
          <w:szCs w:val="24"/>
        </w:rPr>
        <w:tab/>
        <w:t>In this connection, the Committee wishes to draw the attention of the States parties to some non-exhaustive pertinent examples of human rights situations which may constitute an indication of a risk of torture to which they should give consideration in their decisions for removal of a person from their territory and take them into account to apply the principle of “non-refoulement”. States parties should consider, in particular</w:t>
      </w:r>
      <w:r>
        <w:rPr>
          <w:rFonts w:asciiTheme="majorHAnsi" w:hAnsiTheme="majorHAnsi" w:cs="Arial"/>
          <w:szCs w:val="24"/>
        </w:rPr>
        <w:t>:</w:t>
      </w:r>
    </w:p>
    <w:p w14:paraId="2C72B9E4" w14:textId="77777777" w:rsidR="00ED1EBD" w:rsidRDefault="00ED1EBD" w:rsidP="00ED1EBD">
      <w:pPr>
        <w:tabs>
          <w:tab w:val="left" w:pos="1134"/>
        </w:tabs>
        <w:spacing w:before="240"/>
        <w:ind w:left="720"/>
        <w:jc w:val="both"/>
        <w:rPr>
          <w:rFonts w:asciiTheme="majorHAnsi" w:hAnsiTheme="majorHAnsi" w:cs="Arial"/>
          <w:szCs w:val="24"/>
        </w:rPr>
      </w:pPr>
      <w:r>
        <w:rPr>
          <w:rFonts w:asciiTheme="majorHAnsi" w:hAnsiTheme="majorHAnsi" w:cs="Arial"/>
          <w:szCs w:val="24"/>
        </w:rPr>
        <w:t>[…]</w:t>
      </w:r>
    </w:p>
    <w:p w14:paraId="48522390" w14:textId="77777777" w:rsidR="00ED1EBD" w:rsidRPr="0059130A" w:rsidRDefault="00ED1EBD" w:rsidP="00ED1EBD">
      <w:pPr>
        <w:tabs>
          <w:tab w:val="left" w:pos="1134"/>
        </w:tabs>
        <w:spacing w:before="240"/>
        <w:ind w:left="720"/>
        <w:jc w:val="both"/>
        <w:rPr>
          <w:rFonts w:asciiTheme="majorHAnsi" w:hAnsiTheme="majorHAnsi" w:cs="Arial"/>
          <w:szCs w:val="24"/>
        </w:rPr>
      </w:pPr>
      <w:r w:rsidRPr="0059130A">
        <w:rPr>
          <w:rFonts w:asciiTheme="majorHAnsi" w:hAnsiTheme="majorHAnsi" w:cs="Arial"/>
          <w:i/>
          <w:szCs w:val="24"/>
          <w:u w:val="single"/>
        </w:rPr>
        <w:t xml:space="preserve">(p) </w:t>
      </w:r>
      <w:r w:rsidRPr="0059130A">
        <w:rPr>
          <w:rFonts w:asciiTheme="majorHAnsi" w:hAnsiTheme="majorHAnsi" w:cs="Arial"/>
          <w:i/>
          <w:szCs w:val="24"/>
          <w:u w:val="single"/>
        </w:rPr>
        <w:tab/>
        <w:t>Whether the person concerned would be deported to a State where there are allegations or evidence that the person has been or would be at risk of being subject to violations based on this person’s real or perceived sexual orientation, gender identity, gender expression or sex characteristics amounting to torture, such as criminalization of consensual same-sex relations between adults, or criminalization of particular forms of gender expression, or activities aimed at promoting human rights of lesbian, gay, bisexual, trans and intersex (LGBTI) persons, intrusive non-consensual forensic examinations as proof of same-sex sexual acts, hate crimes, corrective rapes, forced marriage, honour-based violence, conversion therapies, aggravated violence in detention, non-consent gender reassignment surgeries or medical interventions aimed at determination of sex without effective consent of the person affected.</w:t>
      </w:r>
      <w:r w:rsidRPr="0059130A">
        <w:rPr>
          <w:rFonts w:asciiTheme="majorHAnsi" w:hAnsiTheme="majorHAnsi" w:cs="Arial"/>
          <w:szCs w:val="24"/>
        </w:rPr>
        <w:t xml:space="preserve">: </w:t>
      </w:r>
    </w:p>
    <w:p w14:paraId="122B2CF2" w14:textId="77777777" w:rsidR="00DB75B1" w:rsidRDefault="00DB75B1" w:rsidP="00ED1EBD">
      <w:pPr>
        <w:jc w:val="both"/>
        <w:rPr>
          <w:rFonts w:asciiTheme="majorHAnsi" w:hAnsiTheme="majorHAnsi" w:cs="Arial"/>
          <w:szCs w:val="24"/>
        </w:rPr>
      </w:pPr>
    </w:p>
    <w:p w14:paraId="1D680D64" w14:textId="77777777" w:rsidR="00ED1EBD" w:rsidRDefault="00ED1EBD" w:rsidP="00ED1EBD">
      <w:pPr>
        <w:jc w:val="both"/>
        <w:rPr>
          <w:rFonts w:asciiTheme="majorHAnsi" w:hAnsiTheme="majorHAnsi" w:cs="Arial"/>
          <w:szCs w:val="24"/>
        </w:rPr>
      </w:pPr>
    </w:p>
    <w:p w14:paraId="4DA36EF1" w14:textId="77777777" w:rsidR="001F01B6" w:rsidRDefault="001F01B6" w:rsidP="001F01B6">
      <w:pPr>
        <w:pStyle w:val="EndnoteText"/>
        <w:jc w:val="both"/>
        <w:rPr>
          <w:rStyle w:val="EndnoteReference"/>
        </w:rPr>
      </w:pPr>
      <w:r w:rsidRPr="001F01B6">
        <w:rPr>
          <w:rFonts w:asciiTheme="majorHAnsi" w:hAnsiTheme="majorHAnsi"/>
          <w:sz w:val="20"/>
          <w:szCs w:val="20"/>
        </w:rPr>
        <w:t xml:space="preserve">   </w:t>
      </w:r>
    </w:p>
    <w:p w14:paraId="72B1C8FE" w14:textId="77777777" w:rsidR="001F01B6" w:rsidRDefault="001F01B6" w:rsidP="001F01B6">
      <w:pPr>
        <w:pStyle w:val="EndnoteText"/>
        <w:jc w:val="both"/>
        <w:rPr>
          <w:rStyle w:val="EndnoteReference"/>
        </w:rPr>
      </w:pPr>
    </w:p>
    <w:p w14:paraId="2978BB06" w14:textId="77777777" w:rsidR="001F01B6" w:rsidRDefault="001F01B6" w:rsidP="001F01B6">
      <w:pPr>
        <w:pStyle w:val="EndnoteText"/>
        <w:jc w:val="both"/>
        <w:rPr>
          <w:rStyle w:val="EndnoteReference"/>
        </w:rPr>
      </w:pPr>
    </w:p>
    <w:p w14:paraId="17ABADAC" w14:textId="77777777" w:rsidR="001F01B6" w:rsidRDefault="001F01B6" w:rsidP="001F01B6">
      <w:pPr>
        <w:pStyle w:val="EndnoteText"/>
        <w:jc w:val="both"/>
        <w:rPr>
          <w:rStyle w:val="EndnoteReference"/>
        </w:rPr>
      </w:pPr>
    </w:p>
    <w:p w14:paraId="189F36C5" w14:textId="77777777" w:rsidR="001F01B6" w:rsidRDefault="001F01B6" w:rsidP="001F01B6">
      <w:pPr>
        <w:pStyle w:val="EndnoteText"/>
        <w:jc w:val="both"/>
        <w:rPr>
          <w:rStyle w:val="EndnoteReference"/>
        </w:rPr>
      </w:pPr>
    </w:p>
    <w:p w14:paraId="7BA6CB72" w14:textId="48D7E0FB" w:rsidR="001F01B6" w:rsidRPr="001F01B6" w:rsidRDefault="001F01B6" w:rsidP="001F01B6">
      <w:pPr>
        <w:pStyle w:val="EndnoteText"/>
        <w:rPr>
          <w:rStyle w:val="EndnoteReference"/>
          <w:rFonts w:asciiTheme="majorHAnsi" w:hAnsiTheme="majorHAnsi"/>
          <w:b/>
          <w:i/>
          <w:vertAlign w:val="baseline"/>
        </w:rPr>
      </w:pPr>
      <w:r w:rsidRPr="001F01B6">
        <w:rPr>
          <w:rStyle w:val="EndnoteReference"/>
          <w:rFonts w:asciiTheme="majorHAnsi" w:hAnsiTheme="majorHAnsi"/>
          <w:b/>
          <w:i/>
          <w:vertAlign w:val="baseline"/>
        </w:rPr>
        <w:t>Notes:</w:t>
      </w:r>
    </w:p>
    <w:p w14:paraId="756D6B9A" w14:textId="19FAE870" w:rsidR="001F01B6" w:rsidRPr="00ED1EBD" w:rsidRDefault="001F01B6" w:rsidP="001F01B6">
      <w:pPr>
        <w:pStyle w:val="EndnoteText"/>
        <w:spacing w:before="120"/>
        <w:jc w:val="both"/>
        <w:rPr>
          <w:rFonts w:asciiTheme="majorHAnsi" w:hAnsiTheme="majorHAnsi"/>
          <w:sz w:val="20"/>
          <w:szCs w:val="20"/>
        </w:rPr>
      </w:pPr>
      <w:r w:rsidRPr="00ED1EBD">
        <w:rPr>
          <w:rStyle w:val="EndnoteReference"/>
          <w:rFonts w:asciiTheme="majorHAnsi" w:hAnsiTheme="majorHAnsi"/>
          <w:sz w:val="20"/>
          <w:szCs w:val="20"/>
        </w:rPr>
        <w:footnoteRef/>
      </w:r>
      <w:r w:rsidRPr="00ED1EBD">
        <w:rPr>
          <w:rFonts w:asciiTheme="majorHAnsi" w:hAnsiTheme="majorHAnsi"/>
          <w:sz w:val="20"/>
          <w:szCs w:val="20"/>
        </w:rPr>
        <w:t xml:space="preserve"> See: </w:t>
      </w:r>
      <w:r w:rsidRPr="00ED1EBD">
        <w:rPr>
          <w:rFonts w:asciiTheme="majorHAnsi" w:hAnsiTheme="majorHAnsi" w:cs="ArialMT"/>
          <w:sz w:val="20"/>
          <w:szCs w:val="20"/>
        </w:rPr>
        <w:t>International Lesbian, Gay, Bisexual, Trans and Intersex Association: Nolan H,</w:t>
      </w:r>
      <w:r>
        <w:rPr>
          <w:rFonts w:asciiTheme="majorHAnsi" w:hAnsiTheme="majorHAnsi" w:cs="ArialMT"/>
          <w:sz w:val="20"/>
          <w:szCs w:val="20"/>
        </w:rPr>
        <w:t xml:space="preserve"> </w:t>
      </w:r>
      <w:hyperlink r:id="rId12" w:history="1">
        <w:r>
          <w:rPr>
            <w:rStyle w:val="Hyperlink"/>
            <w:rFonts w:asciiTheme="majorHAnsi" w:hAnsiTheme="majorHAnsi" w:cs="Arial"/>
            <w:i/>
            <w:iCs/>
            <w:sz w:val="20"/>
            <w:szCs w:val="20"/>
          </w:rPr>
          <w:t xml:space="preserve">United Nations Treaty </w:t>
        </w:r>
        <w:r w:rsidRPr="00ED1EBD">
          <w:rPr>
            <w:rStyle w:val="Hyperlink"/>
            <w:rFonts w:asciiTheme="majorHAnsi" w:hAnsiTheme="majorHAnsi" w:cs="Arial"/>
            <w:i/>
            <w:iCs/>
            <w:sz w:val="20"/>
            <w:szCs w:val="20"/>
          </w:rPr>
          <w:t>Bodies: References to sexual orientation, gender identity, gender expression and sex characteristics 2014</w:t>
        </w:r>
      </w:hyperlink>
      <w:r w:rsidRPr="00ED1EBD">
        <w:rPr>
          <w:rFonts w:asciiTheme="majorHAnsi" w:hAnsiTheme="majorHAnsi" w:cs="Arial"/>
          <w:i/>
          <w:iCs/>
          <w:sz w:val="20"/>
          <w:szCs w:val="20"/>
        </w:rPr>
        <w:t xml:space="preserve"> </w:t>
      </w:r>
      <w:r w:rsidRPr="00ED1EBD">
        <w:rPr>
          <w:rFonts w:asciiTheme="majorHAnsi" w:hAnsiTheme="majorHAnsi" w:cs="ArialMT"/>
          <w:sz w:val="20"/>
          <w:szCs w:val="20"/>
        </w:rPr>
        <w:t xml:space="preserve">(Geneva: ILGA, September 2016); International Lesbian, Gay, Bisexual, Trans and Intersex Association: Nolan H, </w:t>
      </w:r>
      <w:hyperlink r:id="rId13" w:history="1">
        <w:r w:rsidRPr="00ED1EBD">
          <w:rPr>
            <w:rStyle w:val="Hyperlink"/>
            <w:rFonts w:asciiTheme="majorHAnsi" w:hAnsiTheme="majorHAnsi" w:cs="Arial"/>
            <w:i/>
            <w:iCs/>
            <w:sz w:val="20"/>
            <w:szCs w:val="20"/>
          </w:rPr>
          <w:t>United Nations Treaty Bodies: References to sexual orientation, gender identity, gender expression and sex characteristics 2015</w:t>
        </w:r>
      </w:hyperlink>
      <w:r w:rsidRPr="00ED1EBD">
        <w:rPr>
          <w:rFonts w:asciiTheme="majorHAnsi" w:hAnsiTheme="majorHAnsi" w:cs="Arial"/>
          <w:i/>
          <w:iCs/>
          <w:sz w:val="20"/>
          <w:szCs w:val="20"/>
        </w:rPr>
        <w:t xml:space="preserve"> </w:t>
      </w:r>
      <w:r w:rsidRPr="00ED1EBD">
        <w:rPr>
          <w:rFonts w:asciiTheme="majorHAnsi" w:hAnsiTheme="majorHAnsi" w:cs="ArialMT"/>
          <w:sz w:val="20"/>
          <w:szCs w:val="20"/>
        </w:rPr>
        <w:t>(Geneva: ILGA, September 2016).</w:t>
      </w:r>
    </w:p>
    <w:p w14:paraId="01C5E5F7" w14:textId="35B796D4" w:rsidR="001F01B6" w:rsidRPr="00ED1EBD" w:rsidRDefault="001F01B6" w:rsidP="001F01B6">
      <w:pPr>
        <w:pStyle w:val="EndnoteText"/>
        <w:spacing w:before="120"/>
        <w:jc w:val="both"/>
        <w:rPr>
          <w:rFonts w:asciiTheme="majorHAnsi" w:hAnsiTheme="majorHAnsi"/>
          <w:sz w:val="20"/>
          <w:szCs w:val="20"/>
        </w:rPr>
      </w:pPr>
      <w:r>
        <w:rPr>
          <w:rStyle w:val="EndnoteReference"/>
          <w:rFonts w:asciiTheme="majorHAnsi" w:hAnsiTheme="majorHAnsi"/>
          <w:sz w:val="20"/>
          <w:szCs w:val="20"/>
        </w:rPr>
        <w:t>2</w:t>
      </w:r>
      <w:r w:rsidRPr="00ED1EBD">
        <w:rPr>
          <w:rFonts w:asciiTheme="majorHAnsi" w:hAnsiTheme="majorHAnsi"/>
          <w:sz w:val="20"/>
          <w:szCs w:val="20"/>
        </w:rPr>
        <w:t xml:space="preserve"> Communication No. 338/2008, </w:t>
      </w:r>
      <w:proofErr w:type="spellStart"/>
      <w:r w:rsidRPr="00ED1EBD">
        <w:rPr>
          <w:rFonts w:asciiTheme="majorHAnsi" w:hAnsiTheme="majorHAnsi"/>
          <w:i/>
          <w:sz w:val="20"/>
          <w:szCs w:val="20"/>
        </w:rPr>
        <w:t>Uttam</w:t>
      </w:r>
      <w:proofErr w:type="spellEnd"/>
      <w:r w:rsidRPr="00ED1EBD">
        <w:rPr>
          <w:rFonts w:asciiTheme="majorHAnsi" w:hAnsiTheme="majorHAnsi"/>
          <w:i/>
          <w:sz w:val="20"/>
          <w:szCs w:val="20"/>
        </w:rPr>
        <w:t xml:space="preserve"> </w:t>
      </w:r>
      <w:proofErr w:type="spellStart"/>
      <w:r w:rsidRPr="00ED1EBD">
        <w:rPr>
          <w:rFonts w:asciiTheme="majorHAnsi" w:hAnsiTheme="majorHAnsi"/>
          <w:i/>
          <w:sz w:val="20"/>
          <w:szCs w:val="20"/>
        </w:rPr>
        <w:t>Mondal</w:t>
      </w:r>
      <w:proofErr w:type="spellEnd"/>
      <w:r w:rsidRPr="00ED1EBD">
        <w:rPr>
          <w:rFonts w:asciiTheme="majorHAnsi" w:hAnsiTheme="majorHAnsi"/>
          <w:i/>
          <w:sz w:val="20"/>
          <w:szCs w:val="20"/>
        </w:rPr>
        <w:t xml:space="preserve"> v. Sweden</w:t>
      </w:r>
      <w:r w:rsidRPr="00ED1EBD">
        <w:rPr>
          <w:rFonts w:asciiTheme="majorHAnsi" w:hAnsiTheme="majorHAnsi"/>
          <w:sz w:val="20"/>
          <w:szCs w:val="20"/>
        </w:rPr>
        <w:t xml:space="preserve">, decision of 23 May 2011, </w:t>
      </w:r>
      <w:hyperlink r:id="rId14" w:history="1">
        <w:r w:rsidRPr="00ED1EBD">
          <w:rPr>
            <w:rStyle w:val="Hyperlink"/>
            <w:rFonts w:asciiTheme="majorHAnsi" w:hAnsiTheme="majorHAnsi"/>
            <w:sz w:val="20"/>
            <w:szCs w:val="20"/>
          </w:rPr>
          <w:t>CAT/C/46/D/338/2008</w:t>
        </w:r>
      </w:hyperlink>
      <w:r w:rsidRPr="00ED1EBD">
        <w:rPr>
          <w:rFonts w:asciiTheme="majorHAnsi" w:hAnsiTheme="majorHAnsi"/>
          <w:sz w:val="20"/>
          <w:szCs w:val="20"/>
        </w:rPr>
        <w:t xml:space="preserve"> (deportation of complainant to Bangladesh, a homosexual person; prohibition of refoulement); Communication No. 562/2013, </w:t>
      </w:r>
      <w:r w:rsidRPr="00ED1EBD">
        <w:rPr>
          <w:rFonts w:asciiTheme="majorHAnsi" w:hAnsiTheme="majorHAnsi"/>
          <w:i/>
          <w:sz w:val="20"/>
          <w:szCs w:val="20"/>
        </w:rPr>
        <w:t>J.K. v. Canada</w:t>
      </w:r>
      <w:r w:rsidRPr="00ED1EBD">
        <w:rPr>
          <w:rFonts w:asciiTheme="majorHAnsi" w:hAnsiTheme="majorHAnsi"/>
          <w:sz w:val="20"/>
          <w:szCs w:val="20"/>
        </w:rPr>
        <w:t xml:space="preserve">, decision of 23 November 2015, </w:t>
      </w:r>
      <w:hyperlink r:id="rId15" w:history="1">
        <w:r w:rsidRPr="00ED1EBD">
          <w:rPr>
            <w:rStyle w:val="Hyperlink"/>
            <w:rFonts w:asciiTheme="majorHAnsi" w:hAnsiTheme="majorHAnsi"/>
            <w:sz w:val="20"/>
            <w:szCs w:val="20"/>
          </w:rPr>
          <w:t>CAT/C/56/D/562/2013</w:t>
        </w:r>
      </w:hyperlink>
      <w:r w:rsidRPr="00ED1EBD">
        <w:rPr>
          <w:rFonts w:asciiTheme="majorHAnsi" w:hAnsiTheme="majorHAnsi"/>
          <w:sz w:val="20"/>
          <w:szCs w:val="20"/>
        </w:rPr>
        <w:t xml:space="preserve"> (extradition to Uganda of a gay man; risk of torture upon return to country of origin).</w:t>
      </w:r>
    </w:p>
    <w:p w14:paraId="0606848B" w14:textId="77777777" w:rsidR="001F01B6" w:rsidRDefault="001F01B6" w:rsidP="00ED1EBD">
      <w:pPr>
        <w:jc w:val="both"/>
        <w:rPr>
          <w:rFonts w:ascii="Calibri Light" w:eastAsia="Times New Roman" w:hAnsi="Calibri Light" w:cs="Arial"/>
          <w:i/>
          <w:szCs w:val="24"/>
          <w:lang w:val="en-CA"/>
        </w:rPr>
        <w:sectPr w:rsidR="001F01B6" w:rsidSect="00ED5642">
          <w:headerReference w:type="default" r:id="rId16"/>
          <w:footerReference w:type="default" r:id="rId17"/>
          <w:pgSz w:w="11900" w:h="16840"/>
          <w:pgMar w:top="1440" w:right="1127" w:bottom="1440" w:left="1800" w:header="708" w:footer="708" w:gutter="0"/>
          <w:cols w:space="708"/>
          <w:docGrid w:linePitch="360"/>
        </w:sectPr>
      </w:pPr>
    </w:p>
    <w:p w14:paraId="0F42599A" w14:textId="77777777" w:rsidR="001F01B6" w:rsidRPr="00913CAE" w:rsidRDefault="001F01B6" w:rsidP="001F01B6">
      <w:pPr>
        <w:pageBreakBefore/>
        <w:spacing w:before="120"/>
        <w:outlineLvl w:val="0"/>
        <w:rPr>
          <w:rFonts w:ascii="Arial" w:hAnsi="Arial" w:cs="Arial"/>
          <w:b/>
          <w:sz w:val="22"/>
          <w:szCs w:val="22"/>
        </w:rPr>
      </w:pPr>
      <w:r w:rsidRPr="00913CAE">
        <w:rPr>
          <w:rFonts w:ascii="Arial" w:hAnsi="Arial" w:cs="Arial"/>
          <w:b/>
          <w:sz w:val="22"/>
          <w:szCs w:val="22"/>
        </w:rPr>
        <w:lastRenderedPageBreak/>
        <w:t>Annex I – Definitions</w:t>
      </w:r>
    </w:p>
    <w:p w14:paraId="7F74240F" w14:textId="77777777" w:rsidR="001F01B6" w:rsidRPr="00913CAE" w:rsidRDefault="001F01B6" w:rsidP="001F01B6">
      <w:pPr>
        <w:spacing w:before="120"/>
        <w:jc w:val="center"/>
        <w:rPr>
          <w:rFonts w:ascii="Arial" w:hAnsi="Arial" w:cs="Arial"/>
          <w:b/>
          <w:sz w:val="22"/>
          <w:szCs w:val="22"/>
        </w:rPr>
      </w:pPr>
    </w:p>
    <w:p w14:paraId="25985FB8"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Sexual orientation</w:t>
      </w:r>
      <w:r w:rsidRPr="00913CAE">
        <w:rPr>
          <w:rFonts w:ascii="Arial" w:hAnsi="Arial" w:cs="Arial"/>
          <w:sz w:val="20"/>
        </w:rPr>
        <w:t xml:space="preserve"> – ‘Sexual orientation is understood to refer to each person’s capacity for profound emotional, affectional and sexual attraction to, and intimate and sexual relations with, individuals of a different gender or the same gender or more than one gender.’</w:t>
      </w:r>
      <w:r w:rsidRPr="00913CAE">
        <w:rPr>
          <w:rStyle w:val="EndnoteReference"/>
          <w:rFonts w:ascii="Arial" w:hAnsi="Arial" w:cs="Arial"/>
          <w:sz w:val="20"/>
        </w:rPr>
        <w:endnoteReference w:id="1"/>
      </w:r>
    </w:p>
    <w:p w14:paraId="619CCA84"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Gender identity</w:t>
      </w:r>
      <w:r w:rsidRPr="00913CAE">
        <w:rPr>
          <w:rFonts w:ascii="Arial" w:hAnsi="Arial" w:cs="Arial"/>
          <w:sz w:val="20"/>
        </w:rPr>
        <w:t xml:space="preserve"> – ‘Gender identity is understood to refer to each person’s deeply felt internal and individual experience of gender, which may or may not correspond with the sex assigned at birth, including the personal sense of the body (which may involve, if freely chosen, modification of bodily appearance or function by medical, surgical or other means) and other expressions of gender, including dress, speech and mannerisms.’</w:t>
      </w:r>
      <w:r w:rsidRPr="00913CAE">
        <w:rPr>
          <w:rStyle w:val="EndnoteReference"/>
          <w:rFonts w:ascii="Arial" w:hAnsi="Arial" w:cs="Arial"/>
          <w:sz w:val="20"/>
        </w:rPr>
        <w:endnoteReference w:id="2"/>
      </w:r>
    </w:p>
    <w:p w14:paraId="57121E64"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Gender expression</w:t>
      </w:r>
      <w:r w:rsidRPr="00913CAE">
        <w:rPr>
          <w:rFonts w:ascii="Arial" w:hAnsi="Arial" w:cs="Arial"/>
          <w:sz w:val="20"/>
        </w:rPr>
        <w:t xml:space="preserve"> – ‘External manifestations of gender, expressed through one’s name, pronouns, clothing, haircut, behavio</w:t>
      </w:r>
      <w:r>
        <w:rPr>
          <w:rFonts w:ascii="Arial" w:hAnsi="Arial" w:cs="Arial"/>
          <w:sz w:val="20"/>
        </w:rPr>
        <w:t>u</w:t>
      </w:r>
      <w:r w:rsidRPr="00913CAE">
        <w:rPr>
          <w:rFonts w:ascii="Arial" w:hAnsi="Arial" w:cs="Arial"/>
          <w:sz w:val="20"/>
        </w:rPr>
        <w:t>r, voice, or body characteristics. Society identifies these cues as masculine and feminine, although what is considered masculine and feminine changes over time and varies by culture. Typically, transgender people seek to make their gender expression align with their gender identity, rather than the sex they were assigned at birth.’</w:t>
      </w:r>
      <w:r w:rsidRPr="00913CAE">
        <w:rPr>
          <w:rStyle w:val="EndnoteReference"/>
          <w:rFonts w:ascii="Arial" w:hAnsi="Arial" w:cs="Arial"/>
          <w:sz w:val="20"/>
        </w:rPr>
        <w:endnoteReference w:id="3"/>
      </w:r>
    </w:p>
    <w:p w14:paraId="6D24C681"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Sex characteristics</w:t>
      </w:r>
      <w:r w:rsidRPr="00913CAE">
        <w:rPr>
          <w:rFonts w:ascii="Arial" w:hAnsi="Arial" w:cs="Arial"/>
          <w:sz w:val="20"/>
        </w:rPr>
        <w:t xml:space="preserve"> – ‘Include primary sex characteristics (</w:t>
      </w:r>
      <w:proofErr w:type="spellStart"/>
      <w:r w:rsidRPr="00913CAE">
        <w:rPr>
          <w:rFonts w:ascii="Arial" w:hAnsi="Arial" w:cs="Arial"/>
          <w:sz w:val="20"/>
        </w:rPr>
        <w:t>eg</w:t>
      </w:r>
      <w:proofErr w:type="spellEnd"/>
      <w:r w:rsidRPr="00913CAE">
        <w:rPr>
          <w:rFonts w:ascii="Arial" w:hAnsi="Arial" w:cs="Arial"/>
          <w:sz w:val="20"/>
        </w:rPr>
        <w:t>, inner and outer genitalia and/or the chromosomal and hormonal structure) and secondary sex characteristics (</w:t>
      </w:r>
      <w:proofErr w:type="spellStart"/>
      <w:r w:rsidRPr="00913CAE">
        <w:rPr>
          <w:rFonts w:ascii="Arial" w:hAnsi="Arial" w:cs="Arial"/>
          <w:sz w:val="20"/>
        </w:rPr>
        <w:t>eg</w:t>
      </w:r>
      <w:proofErr w:type="spellEnd"/>
      <w:r w:rsidRPr="00913CAE">
        <w:rPr>
          <w:rFonts w:ascii="Arial" w:hAnsi="Arial" w:cs="Arial"/>
          <w:sz w:val="20"/>
        </w:rPr>
        <w:t>, muscle mass, hair distribution and stature).’</w:t>
      </w:r>
      <w:r w:rsidRPr="00913CAE">
        <w:rPr>
          <w:rStyle w:val="EndnoteReference"/>
          <w:rFonts w:ascii="Arial" w:hAnsi="Arial" w:cs="Arial"/>
          <w:sz w:val="20"/>
        </w:rPr>
        <w:endnoteReference w:id="4"/>
      </w:r>
    </w:p>
    <w:p w14:paraId="36E03D72"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 xml:space="preserve">Gay </w:t>
      </w:r>
      <w:r w:rsidRPr="00913CAE">
        <w:rPr>
          <w:rFonts w:ascii="Arial" w:hAnsi="Arial" w:cs="Arial"/>
          <w:sz w:val="20"/>
        </w:rPr>
        <w:t>– ‘Men who sexually, physically and romantically feel attracted to individuals of the same gender.’</w:t>
      </w:r>
      <w:r w:rsidRPr="00913CAE">
        <w:rPr>
          <w:rStyle w:val="EndnoteReference"/>
          <w:rFonts w:ascii="Arial" w:hAnsi="Arial" w:cs="Arial"/>
          <w:sz w:val="20"/>
        </w:rPr>
        <w:endnoteReference w:id="5"/>
      </w:r>
    </w:p>
    <w:p w14:paraId="53A21E8C"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Lesbian</w:t>
      </w:r>
      <w:r w:rsidRPr="00913CAE">
        <w:rPr>
          <w:rFonts w:ascii="Arial" w:hAnsi="Arial" w:cs="Arial"/>
          <w:sz w:val="20"/>
        </w:rPr>
        <w:t xml:space="preserve"> – ‘Women who sexually, physically and romantically feel attracted to individuals of the same gender.’</w:t>
      </w:r>
      <w:r w:rsidRPr="00913CAE">
        <w:rPr>
          <w:rStyle w:val="EndnoteReference"/>
          <w:rFonts w:ascii="Arial" w:hAnsi="Arial" w:cs="Arial"/>
          <w:sz w:val="20"/>
        </w:rPr>
        <w:endnoteReference w:id="6"/>
      </w:r>
    </w:p>
    <w:p w14:paraId="0D7ABC6D"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Bisexual</w:t>
      </w:r>
      <w:r w:rsidRPr="00913CAE">
        <w:rPr>
          <w:rFonts w:ascii="Arial" w:hAnsi="Arial" w:cs="Arial"/>
          <w:sz w:val="20"/>
        </w:rPr>
        <w:t xml:space="preserve"> – ‘Individuals who sexually, physically and romantically feel attracted to individuals of more than one gender.’</w:t>
      </w:r>
      <w:r w:rsidRPr="00913CAE">
        <w:rPr>
          <w:rStyle w:val="EndnoteReference"/>
          <w:rFonts w:ascii="Arial" w:hAnsi="Arial" w:cs="Arial"/>
          <w:sz w:val="20"/>
        </w:rPr>
        <w:endnoteReference w:id="7"/>
      </w:r>
    </w:p>
    <w:p w14:paraId="389B53BA"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Trans</w:t>
      </w:r>
      <w:r w:rsidRPr="00913CAE">
        <w:rPr>
          <w:rFonts w:ascii="Arial" w:hAnsi="Arial" w:cs="Arial"/>
          <w:sz w:val="20"/>
        </w:rPr>
        <w:t xml:space="preserve"> – ‘Trans people have a gender identity that is different from the gender assigned at birth. This includes people who might or might not undergo gender reassignment, as well as those who prefer or choose to present themselves differently from the expectations of the gender assigned to them at birth.’</w:t>
      </w:r>
      <w:r w:rsidRPr="00913CAE">
        <w:rPr>
          <w:rStyle w:val="EndnoteReference"/>
          <w:rFonts w:ascii="Arial" w:hAnsi="Arial" w:cs="Arial"/>
          <w:sz w:val="20"/>
        </w:rPr>
        <w:endnoteReference w:id="8"/>
      </w:r>
    </w:p>
    <w:p w14:paraId="39E7CDE7" w14:textId="77777777" w:rsidR="001F01B6" w:rsidRPr="00913CAE" w:rsidRDefault="001F01B6" w:rsidP="001F01B6">
      <w:pPr>
        <w:spacing w:before="120"/>
        <w:jc w:val="both"/>
        <w:rPr>
          <w:rFonts w:ascii="Arial" w:hAnsi="Arial" w:cs="Arial"/>
          <w:sz w:val="20"/>
        </w:rPr>
      </w:pPr>
      <w:r w:rsidRPr="00913CAE">
        <w:rPr>
          <w:rFonts w:ascii="Arial" w:hAnsi="Arial" w:cs="Arial"/>
          <w:b/>
          <w:sz w:val="20"/>
        </w:rPr>
        <w:t>Intersex</w:t>
      </w:r>
      <w:r w:rsidRPr="00913CAE">
        <w:rPr>
          <w:rFonts w:ascii="Arial" w:hAnsi="Arial" w:cs="Arial"/>
          <w:sz w:val="20"/>
        </w:rPr>
        <w:t xml:space="preserve"> – ‘Intersex people are born with physical sex characteristics that do </w:t>
      </w:r>
      <w:proofErr w:type="gramStart"/>
      <w:r w:rsidRPr="00913CAE">
        <w:rPr>
          <w:rFonts w:ascii="Arial" w:hAnsi="Arial" w:cs="Arial"/>
          <w:sz w:val="20"/>
        </w:rPr>
        <w:t>not  t</w:t>
      </w:r>
      <w:proofErr w:type="gramEnd"/>
      <w:r w:rsidRPr="00913CAE">
        <w:rPr>
          <w:rFonts w:ascii="Arial" w:hAnsi="Arial" w:cs="Arial"/>
          <w:sz w:val="20"/>
        </w:rPr>
        <w:t xml:space="preserve"> medical norms for female or male bodies’ or as earlier de ned ‘intersex people are born with physical, hormonal or genetic features that are neither wholly female nor wholly male; or a combination of female and male; or neither female nor male.’</w:t>
      </w:r>
      <w:r w:rsidRPr="00913CAE">
        <w:rPr>
          <w:rStyle w:val="EndnoteReference"/>
          <w:rFonts w:ascii="Arial" w:hAnsi="Arial" w:cs="Arial"/>
          <w:sz w:val="20"/>
        </w:rPr>
        <w:endnoteReference w:id="9"/>
      </w:r>
    </w:p>
    <w:p w14:paraId="0CD2EDC3" w14:textId="77777777" w:rsidR="001F01B6" w:rsidRPr="00913CAE" w:rsidRDefault="001F01B6" w:rsidP="001F01B6">
      <w:pPr>
        <w:spacing w:before="120"/>
        <w:rPr>
          <w:rFonts w:ascii="Helvetica" w:hAnsi="Helvetica"/>
          <w:sz w:val="22"/>
          <w:szCs w:val="22"/>
        </w:rPr>
      </w:pPr>
    </w:p>
    <w:p w14:paraId="12F81953" w14:textId="77777777" w:rsidR="001F01B6" w:rsidRPr="00913CAE" w:rsidRDefault="001F01B6" w:rsidP="001F01B6">
      <w:pPr>
        <w:pageBreakBefore/>
        <w:spacing w:before="120"/>
        <w:outlineLvl w:val="0"/>
        <w:rPr>
          <w:rFonts w:ascii="Arial" w:hAnsi="Arial" w:cs="Arial"/>
          <w:b/>
          <w:sz w:val="22"/>
          <w:szCs w:val="22"/>
        </w:rPr>
      </w:pPr>
      <w:r w:rsidRPr="00913CAE">
        <w:rPr>
          <w:rFonts w:ascii="Arial" w:hAnsi="Arial" w:cs="Arial"/>
          <w:b/>
          <w:sz w:val="22"/>
          <w:szCs w:val="22"/>
        </w:rPr>
        <w:lastRenderedPageBreak/>
        <w:t>Annex II – Principle of “non-refoulement” and SOGIESC</w:t>
      </w:r>
    </w:p>
    <w:p w14:paraId="52F04391" w14:textId="77777777" w:rsidR="001F01B6" w:rsidRPr="00913CAE" w:rsidRDefault="001F01B6" w:rsidP="001F01B6">
      <w:pPr>
        <w:spacing w:before="120"/>
        <w:rPr>
          <w:rFonts w:ascii="Helvetica" w:hAnsi="Helvetica"/>
          <w:sz w:val="22"/>
          <w:szCs w:val="22"/>
        </w:rPr>
      </w:pPr>
    </w:p>
    <w:p w14:paraId="665CF747"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The </w:t>
      </w:r>
      <w:r w:rsidRPr="00913CAE">
        <w:rPr>
          <w:rFonts w:ascii="Arial" w:hAnsi="Arial" w:cs="Arial"/>
          <w:b/>
          <w:sz w:val="20"/>
        </w:rPr>
        <w:t>United Nations High Commissioner for Human Rights</w:t>
      </w:r>
      <w:r w:rsidRPr="00913CAE">
        <w:rPr>
          <w:rFonts w:ascii="Arial" w:hAnsi="Arial" w:cs="Arial"/>
          <w:sz w:val="20"/>
        </w:rPr>
        <w:t xml:space="preserve"> </w:t>
      </w:r>
      <w:r>
        <w:rPr>
          <w:rFonts w:ascii="Arial" w:hAnsi="Arial" w:cs="Arial"/>
          <w:sz w:val="20"/>
        </w:rPr>
        <w:t>emphasized</w:t>
      </w:r>
      <w:r w:rsidRPr="00913CAE">
        <w:rPr>
          <w:rFonts w:ascii="Arial" w:hAnsi="Arial" w:cs="Arial"/>
          <w:sz w:val="20"/>
        </w:rPr>
        <w:t xml:space="preserve"> that ‘</w:t>
      </w:r>
      <w:r w:rsidRPr="00913CAE">
        <w:rPr>
          <w:rFonts w:ascii="Arial" w:hAnsi="Arial" w:cs="Arial"/>
          <w:i/>
          <w:sz w:val="20"/>
        </w:rPr>
        <w:t>the refoulement of asylum seekers fleeing […] persecution [owing to sexual orientation or gender identity] exposes them to the risk of violence, discrimination, criminalization and the death penalty</w:t>
      </w:r>
      <w:r w:rsidRPr="00913CAE">
        <w:rPr>
          <w:rFonts w:ascii="Arial" w:hAnsi="Arial" w:cs="Arial"/>
          <w:sz w:val="20"/>
        </w:rPr>
        <w:t>’</w:t>
      </w:r>
      <w:r w:rsidRPr="00913CAE">
        <w:rPr>
          <w:rStyle w:val="EndnoteReference"/>
          <w:rFonts w:ascii="Arial" w:hAnsi="Arial" w:cs="Arial"/>
          <w:sz w:val="20"/>
        </w:rPr>
        <w:endnoteReference w:id="10"/>
      </w:r>
      <w:r w:rsidRPr="00913CAE">
        <w:rPr>
          <w:rFonts w:ascii="Arial" w:hAnsi="Arial" w:cs="Arial"/>
          <w:sz w:val="20"/>
        </w:rPr>
        <w:t xml:space="preserve"> and recommended that States ensure ‘</w:t>
      </w:r>
      <w:r w:rsidRPr="00913CAE">
        <w:rPr>
          <w:rFonts w:ascii="Arial" w:hAnsi="Arial" w:cs="Arial"/>
          <w:i/>
          <w:sz w:val="20"/>
        </w:rPr>
        <w:t>that no one fleeing persecution on grounds of sexual orientation or gender identity is returned to a territory where his or her life or freedom would be threatened, [and] that asylum laws and policies recognize that persecution on account of sexual orientation or gender identity may be a valid basis for an asylum claim</w:t>
      </w:r>
      <w:r w:rsidRPr="00913CAE">
        <w:rPr>
          <w:rFonts w:ascii="Arial" w:hAnsi="Arial" w:cs="Arial"/>
          <w:sz w:val="20"/>
        </w:rPr>
        <w:t>.’</w:t>
      </w:r>
      <w:r w:rsidRPr="00913CAE">
        <w:rPr>
          <w:rStyle w:val="EndnoteReference"/>
          <w:rFonts w:ascii="Arial" w:hAnsi="Arial" w:cs="Arial"/>
          <w:sz w:val="20"/>
        </w:rPr>
        <w:endnoteReference w:id="11"/>
      </w:r>
    </w:p>
    <w:p w14:paraId="17874453"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The </w:t>
      </w:r>
      <w:r w:rsidRPr="00913CAE">
        <w:rPr>
          <w:rFonts w:ascii="Arial" w:hAnsi="Arial" w:cs="Arial"/>
          <w:b/>
          <w:sz w:val="20"/>
        </w:rPr>
        <w:t>Human Rights Committee</w:t>
      </w:r>
      <w:r w:rsidRPr="00913CAE">
        <w:rPr>
          <w:rFonts w:ascii="Arial" w:hAnsi="Arial" w:cs="Arial"/>
          <w:sz w:val="20"/>
        </w:rPr>
        <w:t xml:space="preserve"> addressed the issue in its </w:t>
      </w:r>
      <w:r w:rsidRPr="00913CAE">
        <w:rPr>
          <w:rFonts w:ascii="Arial" w:hAnsi="Arial" w:cs="Arial"/>
          <w:b/>
          <w:i/>
          <w:sz w:val="20"/>
        </w:rPr>
        <w:t>review of Namibia</w:t>
      </w:r>
      <w:r w:rsidRPr="00913CAE">
        <w:rPr>
          <w:rFonts w:ascii="Arial" w:hAnsi="Arial" w:cs="Arial"/>
          <w:sz w:val="20"/>
        </w:rPr>
        <w:t xml:space="preserve"> being concerned that persons requesting asylum on the basis of persecution for sexual orientation or gender identity may not be sufficiently protected against refoulement and call on the State party to include persecution based on sexual orientation and gender identity among the grounds for protection against refoulement.</w:t>
      </w:r>
      <w:r w:rsidRPr="00913CAE">
        <w:rPr>
          <w:rStyle w:val="EndnoteReference"/>
          <w:rFonts w:ascii="Arial" w:hAnsi="Arial" w:cs="Arial"/>
          <w:sz w:val="20"/>
        </w:rPr>
        <w:endnoteReference w:id="12"/>
      </w:r>
      <w:r w:rsidRPr="00913CAE">
        <w:rPr>
          <w:rFonts w:ascii="Arial" w:hAnsi="Arial" w:cs="Arial"/>
          <w:sz w:val="20"/>
        </w:rPr>
        <w:t xml:space="preserve"> Earlier, the Committee adopted its </w:t>
      </w:r>
      <w:r w:rsidRPr="00913CAE">
        <w:rPr>
          <w:rFonts w:ascii="Arial" w:hAnsi="Arial" w:cs="Arial"/>
          <w:b/>
          <w:i/>
          <w:sz w:val="20"/>
        </w:rPr>
        <w:t>views on individual communications</w:t>
      </w:r>
      <w:r w:rsidRPr="00913CAE">
        <w:rPr>
          <w:rFonts w:ascii="Arial" w:hAnsi="Arial" w:cs="Arial"/>
          <w:sz w:val="20"/>
        </w:rPr>
        <w:t xml:space="preserve"> concerning cases when complainants </w:t>
      </w:r>
      <w:r>
        <w:rPr>
          <w:rFonts w:ascii="Arial" w:hAnsi="Arial" w:cs="Arial"/>
          <w:sz w:val="20"/>
        </w:rPr>
        <w:t>were fearing</w:t>
      </w:r>
      <w:r w:rsidRPr="00913CAE">
        <w:rPr>
          <w:rFonts w:ascii="Arial" w:hAnsi="Arial" w:cs="Arial"/>
          <w:sz w:val="20"/>
        </w:rPr>
        <w:t xml:space="preserve"> persecution on the basis of their sexual orientation upon return to their countries of origin.</w:t>
      </w:r>
      <w:r w:rsidRPr="00913CAE">
        <w:rPr>
          <w:rStyle w:val="EndnoteReference"/>
          <w:rFonts w:ascii="Arial" w:hAnsi="Arial" w:cs="Arial"/>
          <w:sz w:val="20"/>
        </w:rPr>
        <w:endnoteReference w:id="13"/>
      </w:r>
    </w:p>
    <w:p w14:paraId="3B54DC59"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The </w:t>
      </w:r>
      <w:r w:rsidRPr="00913CAE">
        <w:rPr>
          <w:rFonts w:ascii="Arial" w:hAnsi="Arial" w:cs="Arial"/>
          <w:b/>
          <w:sz w:val="20"/>
        </w:rPr>
        <w:t>Committee against Torture</w:t>
      </w:r>
      <w:r w:rsidRPr="00913CAE">
        <w:rPr>
          <w:rFonts w:ascii="Arial" w:hAnsi="Arial" w:cs="Arial"/>
          <w:sz w:val="20"/>
        </w:rPr>
        <w:t xml:space="preserve"> also have made </w:t>
      </w:r>
      <w:r w:rsidRPr="00913CAE">
        <w:rPr>
          <w:rFonts w:ascii="Arial" w:hAnsi="Arial" w:cs="Arial"/>
          <w:b/>
          <w:i/>
          <w:sz w:val="20"/>
        </w:rPr>
        <w:t>decisions on cases</w:t>
      </w:r>
      <w:r w:rsidRPr="00913CAE">
        <w:rPr>
          <w:rFonts w:ascii="Arial" w:hAnsi="Arial" w:cs="Arial"/>
          <w:sz w:val="20"/>
        </w:rPr>
        <w:t xml:space="preserve"> that addressed specifically risk</w:t>
      </w:r>
      <w:r>
        <w:rPr>
          <w:rFonts w:ascii="Arial" w:hAnsi="Arial" w:cs="Arial"/>
          <w:sz w:val="20"/>
        </w:rPr>
        <w:t>s</w:t>
      </w:r>
      <w:r w:rsidRPr="00913CAE">
        <w:rPr>
          <w:rFonts w:ascii="Arial" w:hAnsi="Arial" w:cs="Arial"/>
          <w:sz w:val="20"/>
        </w:rPr>
        <w:t xml:space="preserve"> of torture faced by the complainants because of their sexual orientation in light of the principle of “non-refoulement”.</w:t>
      </w:r>
      <w:r w:rsidRPr="00913CAE">
        <w:rPr>
          <w:rStyle w:val="EndnoteReference"/>
          <w:rFonts w:ascii="Arial" w:hAnsi="Arial" w:cs="Arial"/>
          <w:sz w:val="20"/>
        </w:rPr>
        <w:endnoteReference w:id="14"/>
      </w:r>
    </w:p>
    <w:p w14:paraId="41962503"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The </w:t>
      </w:r>
      <w:r w:rsidRPr="00913CAE">
        <w:rPr>
          <w:rFonts w:ascii="Arial" w:hAnsi="Arial" w:cs="Arial"/>
          <w:b/>
          <w:sz w:val="20"/>
        </w:rPr>
        <w:t>Committee on the Elimination of Racial Discrimination</w:t>
      </w:r>
      <w:r w:rsidRPr="00913CAE">
        <w:rPr>
          <w:rFonts w:ascii="Arial" w:hAnsi="Arial" w:cs="Arial"/>
          <w:sz w:val="20"/>
        </w:rPr>
        <w:t xml:space="preserve"> in its </w:t>
      </w:r>
      <w:r w:rsidRPr="00913CAE">
        <w:rPr>
          <w:rFonts w:ascii="Arial" w:hAnsi="Arial" w:cs="Arial"/>
          <w:b/>
          <w:i/>
          <w:sz w:val="20"/>
        </w:rPr>
        <w:t>review of the Netherlands</w:t>
      </w:r>
      <w:r w:rsidRPr="00913CAE">
        <w:rPr>
          <w:rFonts w:ascii="Arial" w:hAnsi="Arial" w:cs="Arial"/>
          <w:sz w:val="20"/>
        </w:rPr>
        <w:t xml:space="preserve"> expressed </w:t>
      </w:r>
      <w:r>
        <w:rPr>
          <w:rFonts w:ascii="Arial" w:hAnsi="Arial" w:cs="Arial"/>
          <w:sz w:val="20"/>
        </w:rPr>
        <w:t xml:space="preserve">its </w:t>
      </w:r>
      <w:r w:rsidRPr="00913CAE">
        <w:rPr>
          <w:rFonts w:ascii="Arial" w:hAnsi="Arial" w:cs="Arial"/>
          <w:sz w:val="20"/>
        </w:rPr>
        <w:t xml:space="preserve">concerns </w:t>
      </w:r>
      <w:r>
        <w:rPr>
          <w:rFonts w:ascii="Arial" w:hAnsi="Arial" w:cs="Arial"/>
          <w:sz w:val="20"/>
        </w:rPr>
        <w:t xml:space="preserve">about </w:t>
      </w:r>
      <w:r w:rsidRPr="00913CAE">
        <w:rPr>
          <w:rFonts w:ascii="Arial" w:hAnsi="Arial" w:cs="Arial"/>
          <w:sz w:val="20"/>
        </w:rPr>
        <w:t>cases of refoulement of asylum seekers fearing persecution because of their sexual orientation (arts. 2, 3 and 5 of the Convention on the Elimination of All Forms of Racial Discrimination) and recommended that the State party take measures of protection with regard to LGBTI persons seeking asylum, because of their particular vulnerability.</w:t>
      </w:r>
      <w:r w:rsidRPr="00913CAE">
        <w:rPr>
          <w:rStyle w:val="EndnoteReference"/>
          <w:rFonts w:ascii="Arial" w:hAnsi="Arial" w:cs="Arial"/>
          <w:sz w:val="20"/>
        </w:rPr>
        <w:endnoteReference w:id="15"/>
      </w:r>
    </w:p>
    <w:p w14:paraId="3816C666"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The </w:t>
      </w:r>
      <w:r w:rsidRPr="00913CAE">
        <w:rPr>
          <w:rFonts w:ascii="Arial" w:hAnsi="Arial" w:cs="Arial"/>
          <w:b/>
          <w:sz w:val="20"/>
        </w:rPr>
        <w:t>Subcommittee on Prevention of Torture and Other Cruel, Inhuman or Degrading Treatment or Punishment</w:t>
      </w:r>
      <w:r w:rsidRPr="00913CAE">
        <w:rPr>
          <w:rFonts w:ascii="Arial" w:hAnsi="Arial" w:cs="Arial"/>
          <w:sz w:val="20"/>
        </w:rPr>
        <w:t>, setting out its views on prevention of torture and other cruel, inhuman or degrading treatment or punishment towards LGBTI persons, noted that ‘</w:t>
      </w:r>
      <w:r w:rsidRPr="00913CAE">
        <w:rPr>
          <w:rFonts w:ascii="Arial" w:hAnsi="Arial" w:cs="Arial"/>
          <w:i/>
          <w:sz w:val="20"/>
        </w:rPr>
        <w:t xml:space="preserve">[LGBTI] migrants often suffer serious mental health effects of ill-treatment in their country of origin. As mental health treatment is virtually non-existent in migration facilities, symptoms are often aggravated and </w:t>
      </w:r>
      <w:proofErr w:type="spellStart"/>
      <w:r w:rsidRPr="00913CAE">
        <w:rPr>
          <w:rFonts w:ascii="Arial" w:hAnsi="Arial" w:cs="Arial"/>
          <w:i/>
          <w:sz w:val="20"/>
        </w:rPr>
        <w:t>retraumatization</w:t>
      </w:r>
      <w:proofErr w:type="spellEnd"/>
      <w:r w:rsidRPr="00913CAE">
        <w:rPr>
          <w:rFonts w:ascii="Arial" w:hAnsi="Arial" w:cs="Arial"/>
          <w:i/>
          <w:sz w:val="20"/>
        </w:rPr>
        <w:t xml:space="preserve"> often occurs. Those concerns extend to ill-treatment […] and violation of the principle of non-refoulement.</w:t>
      </w:r>
      <w:r w:rsidRPr="00913CAE">
        <w:rPr>
          <w:rFonts w:ascii="Arial" w:hAnsi="Arial" w:cs="Arial"/>
          <w:sz w:val="20"/>
        </w:rPr>
        <w:t>’</w:t>
      </w:r>
      <w:r w:rsidRPr="00913CAE">
        <w:rPr>
          <w:rStyle w:val="EndnoteReference"/>
          <w:rFonts w:ascii="Arial" w:hAnsi="Arial" w:cs="Arial"/>
          <w:sz w:val="20"/>
        </w:rPr>
        <w:endnoteReference w:id="16"/>
      </w:r>
    </w:p>
    <w:p w14:paraId="5CC5F684"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The </w:t>
      </w:r>
      <w:r w:rsidRPr="00913CAE">
        <w:rPr>
          <w:rFonts w:ascii="Arial" w:hAnsi="Arial" w:cs="Arial"/>
          <w:b/>
          <w:sz w:val="20"/>
        </w:rPr>
        <w:t>Special Rapporteur on torture and other cruel, inhuman or degrading treatment or punishment</w:t>
      </w:r>
      <w:r w:rsidRPr="00913CAE">
        <w:rPr>
          <w:rFonts w:ascii="Arial" w:hAnsi="Arial" w:cs="Arial"/>
          <w:sz w:val="20"/>
        </w:rPr>
        <w:t xml:space="preserve"> in its report recalled that ‘</w:t>
      </w:r>
      <w:r w:rsidRPr="00913CAE">
        <w:rPr>
          <w:rFonts w:ascii="Arial" w:hAnsi="Arial" w:cs="Arial"/>
          <w:i/>
          <w:sz w:val="20"/>
        </w:rPr>
        <w:t>States are prohibited from returning anyone to a situation where there are substantial grounds to believe that the person may be subject to torture or ill-treatment</w:t>
      </w:r>
      <w:r>
        <w:rPr>
          <w:rFonts w:ascii="Arial" w:hAnsi="Arial" w:cs="Arial"/>
          <w:i/>
          <w:sz w:val="20"/>
        </w:rPr>
        <w:t>’</w:t>
      </w:r>
      <w:r>
        <w:rPr>
          <w:rFonts w:ascii="Arial" w:hAnsi="Arial" w:cs="Arial"/>
          <w:sz w:val="20"/>
        </w:rPr>
        <w:t xml:space="preserve">  and added that </w:t>
      </w:r>
      <w:r>
        <w:rPr>
          <w:rFonts w:ascii="Arial" w:hAnsi="Arial" w:cs="Arial"/>
          <w:i/>
          <w:sz w:val="20"/>
        </w:rPr>
        <w:t>‘t</w:t>
      </w:r>
      <w:r w:rsidRPr="00913CAE">
        <w:rPr>
          <w:rFonts w:ascii="Arial" w:hAnsi="Arial" w:cs="Arial"/>
          <w:i/>
          <w:sz w:val="20"/>
        </w:rPr>
        <w:t>he prohibition of refoulement is absolute and an important additional source of protection for [LGBT] persons who fear such treatment in their countries of origin</w:t>
      </w:r>
      <w:r w:rsidRPr="00913CAE">
        <w:rPr>
          <w:rFonts w:ascii="Arial" w:hAnsi="Arial" w:cs="Arial"/>
          <w:sz w:val="20"/>
        </w:rPr>
        <w:t>.’</w:t>
      </w:r>
      <w:r w:rsidRPr="00913CAE">
        <w:rPr>
          <w:rStyle w:val="EndnoteReference"/>
          <w:rFonts w:ascii="Arial" w:hAnsi="Arial" w:cs="Arial"/>
          <w:sz w:val="20"/>
        </w:rPr>
        <w:endnoteReference w:id="17"/>
      </w:r>
      <w:r w:rsidRPr="00913CAE">
        <w:rPr>
          <w:rFonts w:ascii="Arial" w:hAnsi="Arial" w:cs="Arial"/>
          <w:sz w:val="20"/>
        </w:rPr>
        <w:t xml:space="preserve"> He also called on all States to ‘</w:t>
      </w:r>
      <w:r w:rsidRPr="00913CAE">
        <w:rPr>
          <w:rFonts w:ascii="Arial" w:hAnsi="Arial" w:cs="Arial"/>
          <w:i/>
          <w:sz w:val="20"/>
        </w:rPr>
        <w:t>comply with the absolute prohibition of refoulement at all times, with special attention to prospective situations of gender-based discrimination and violence that [LGBTI] persons may face</w:t>
      </w:r>
      <w:r w:rsidRPr="00913CAE">
        <w:rPr>
          <w:rFonts w:ascii="Arial" w:hAnsi="Arial" w:cs="Arial"/>
          <w:sz w:val="20"/>
        </w:rPr>
        <w:t>.’</w:t>
      </w:r>
      <w:r w:rsidRPr="00913CAE">
        <w:rPr>
          <w:rStyle w:val="EndnoteReference"/>
          <w:rFonts w:ascii="Arial" w:hAnsi="Arial" w:cs="Arial"/>
          <w:sz w:val="20"/>
        </w:rPr>
        <w:endnoteReference w:id="18"/>
      </w:r>
    </w:p>
    <w:p w14:paraId="318F2063"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The Special Rapporteur on torture and other cruel, inhuman or degrading treatment or punishment, alongside with other </w:t>
      </w:r>
      <w:r w:rsidRPr="00913CAE">
        <w:rPr>
          <w:rFonts w:ascii="Arial" w:hAnsi="Arial" w:cs="Arial"/>
          <w:b/>
          <w:sz w:val="20"/>
        </w:rPr>
        <w:t>Special Procedures</w:t>
      </w:r>
      <w:r w:rsidRPr="00913CAE">
        <w:rPr>
          <w:rFonts w:ascii="Arial" w:hAnsi="Arial" w:cs="Arial"/>
          <w:sz w:val="20"/>
        </w:rPr>
        <w:t xml:space="preserve"> mandate holders, have addressed alleged risk of torture and ill-treatment for asylu</w:t>
      </w:r>
      <w:r>
        <w:rPr>
          <w:rFonts w:ascii="Arial" w:hAnsi="Arial" w:cs="Arial"/>
          <w:sz w:val="20"/>
        </w:rPr>
        <w:t>m seekers who were LGBT persons</w:t>
      </w:r>
      <w:r w:rsidRPr="00913CAE">
        <w:rPr>
          <w:rFonts w:ascii="Arial" w:hAnsi="Arial" w:cs="Arial"/>
          <w:sz w:val="20"/>
        </w:rPr>
        <w:t xml:space="preserve"> facing deportation, in several </w:t>
      </w:r>
      <w:r w:rsidRPr="00913CAE">
        <w:rPr>
          <w:rFonts w:ascii="Arial" w:hAnsi="Arial" w:cs="Arial"/>
          <w:b/>
          <w:i/>
          <w:sz w:val="20"/>
        </w:rPr>
        <w:t>communications</w:t>
      </w:r>
      <w:r w:rsidRPr="00913CAE">
        <w:rPr>
          <w:rFonts w:ascii="Arial" w:hAnsi="Arial" w:cs="Arial"/>
          <w:sz w:val="20"/>
        </w:rPr>
        <w:t>.</w:t>
      </w:r>
      <w:r w:rsidRPr="00913CAE">
        <w:rPr>
          <w:rStyle w:val="EndnoteReference"/>
          <w:rFonts w:ascii="Arial" w:hAnsi="Arial" w:cs="Arial"/>
          <w:sz w:val="20"/>
        </w:rPr>
        <w:endnoteReference w:id="19"/>
      </w:r>
    </w:p>
    <w:p w14:paraId="5ADA4829" w14:textId="77777777" w:rsidR="001F01B6" w:rsidRPr="00913CAE" w:rsidRDefault="001F01B6" w:rsidP="001F01B6">
      <w:pPr>
        <w:spacing w:before="120"/>
        <w:jc w:val="both"/>
        <w:rPr>
          <w:rFonts w:ascii="Arial" w:hAnsi="Arial" w:cs="Arial"/>
          <w:sz w:val="20"/>
        </w:rPr>
      </w:pPr>
      <w:r w:rsidRPr="00913CAE">
        <w:rPr>
          <w:rFonts w:ascii="Arial" w:hAnsi="Arial" w:cs="Arial"/>
          <w:sz w:val="20"/>
        </w:rPr>
        <w:t xml:space="preserve">Finally, the </w:t>
      </w:r>
      <w:r w:rsidRPr="00913CAE">
        <w:rPr>
          <w:rFonts w:ascii="Arial" w:hAnsi="Arial" w:cs="Arial"/>
          <w:b/>
          <w:sz w:val="20"/>
        </w:rPr>
        <w:t>Yogyakarta Principles on the application of international human rights law in relation to sexual orientation and gender identity</w:t>
      </w:r>
      <w:r w:rsidRPr="00913CAE">
        <w:rPr>
          <w:rFonts w:ascii="Arial" w:hAnsi="Arial" w:cs="Arial"/>
          <w:sz w:val="20"/>
        </w:rPr>
        <w:t xml:space="preserve"> includes Principle 23 – The Right to Seek Asylum. It is said that ‘</w:t>
      </w:r>
      <w:r w:rsidRPr="00913CAE">
        <w:rPr>
          <w:rFonts w:ascii="Arial" w:hAnsi="Arial" w:cs="Arial"/>
          <w:i/>
          <w:sz w:val="20"/>
        </w:rPr>
        <w:t>everyone has the right to seek and enjoy in other countries asylum from persecution, including persecution related to sexual orientation or gender identity. A State may not remove, expel or extradite a person to any State where that person may face a well-founded fear of torture, persecution, or any other form of cruel, inhuman or degrading treatment or punishment, on the basis of sexual orientation or gender identity</w:t>
      </w:r>
      <w:r w:rsidRPr="00913CAE">
        <w:rPr>
          <w:rFonts w:ascii="Arial" w:hAnsi="Arial" w:cs="Arial"/>
          <w:sz w:val="20"/>
        </w:rPr>
        <w:t>.’ It is also recommended that States ‘</w:t>
      </w:r>
      <w:r w:rsidRPr="00913CAE">
        <w:rPr>
          <w:rFonts w:ascii="Arial" w:hAnsi="Arial" w:cs="Arial"/>
          <w:i/>
          <w:sz w:val="20"/>
        </w:rPr>
        <w:t>ensure that no person is removed, expelled or extradited to any state where that person may face a well-founded fear of torture, persecution, or any other form of cruel, inhuman or degrading treatment or punishment, on the basis of that person’s sexual orientation or gender identity</w:t>
      </w:r>
      <w:r w:rsidRPr="00913CAE">
        <w:rPr>
          <w:rFonts w:ascii="Arial" w:hAnsi="Arial" w:cs="Arial"/>
          <w:sz w:val="20"/>
        </w:rPr>
        <w:t>.’</w:t>
      </w:r>
    </w:p>
    <w:p w14:paraId="030F30B4" w14:textId="77777777" w:rsidR="001F01B6" w:rsidRPr="00913CAE" w:rsidRDefault="001F01B6" w:rsidP="001F01B6">
      <w:pPr>
        <w:spacing w:before="120"/>
        <w:rPr>
          <w:rFonts w:ascii="Arial" w:hAnsi="Arial" w:cs="Arial"/>
          <w:sz w:val="20"/>
        </w:rPr>
      </w:pPr>
    </w:p>
    <w:p w14:paraId="78CC1AC4" w14:textId="77777777" w:rsidR="001F01B6" w:rsidRPr="00913CAE" w:rsidRDefault="001F01B6" w:rsidP="001F01B6">
      <w:pPr>
        <w:rPr>
          <w:rFonts w:ascii="Arial" w:hAnsi="Arial" w:cs="Arial"/>
          <w:b/>
          <w:sz w:val="22"/>
          <w:szCs w:val="22"/>
        </w:rPr>
      </w:pPr>
      <w:r w:rsidRPr="00913CAE">
        <w:rPr>
          <w:rFonts w:ascii="Arial" w:hAnsi="Arial" w:cs="Arial"/>
          <w:b/>
          <w:sz w:val="22"/>
          <w:szCs w:val="22"/>
        </w:rPr>
        <w:br w:type="page"/>
      </w:r>
    </w:p>
    <w:p w14:paraId="492BC5F2" w14:textId="77777777" w:rsidR="001F01B6" w:rsidRPr="00913CAE" w:rsidRDefault="001F01B6" w:rsidP="001F01B6">
      <w:pPr>
        <w:pageBreakBefore/>
        <w:spacing w:before="120"/>
        <w:rPr>
          <w:rFonts w:ascii="Arial" w:hAnsi="Arial" w:cs="Arial"/>
          <w:b/>
          <w:sz w:val="22"/>
          <w:szCs w:val="22"/>
        </w:rPr>
        <w:sectPr w:rsidR="001F01B6" w:rsidRPr="00913CAE" w:rsidSect="004E420F">
          <w:footerReference w:type="even" r:id="rId18"/>
          <w:footerReference w:type="default" r:id="rId19"/>
          <w:endnotePr>
            <w:numFmt w:val="decimal"/>
          </w:endnotePr>
          <w:pgSz w:w="11900" w:h="16840"/>
          <w:pgMar w:top="1440" w:right="1440" w:bottom="1440" w:left="1440" w:header="708" w:footer="708" w:gutter="0"/>
          <w:pgNumType w:start="3"/>
          <w:cols w:space="708"/>
          <w:docGrid w:linePitch="360"/>
        </w:sectPr>
      </w:pPr>
    </w:p>
    <w:p w14:paraId="2F559F52" w14:textId="77777777" w:rsidR="001F01B6" w:rsidRPr="00913CAE" w:rsidRDefault="001F01B6" w:rsidP="001F01B6">
      <w:pPr>
        <w:pageBreakBefore/>
        <w:spacing w:before="120"/>
        <w:outlineLvl w:val="0"/>
        <w:rPr>
          <w:rFonts w:ascii="Arial" w:hAnsi="Arial" w:cs="Arial"/>
          <w:b/>
          <w:sz w:val="22"/>
          <w:szCs w:val="22"/>
        </w:rPr>
      </w:pPr>
      <w:r w:rsidRPr="00913CAE">
        <w:rPr>
          <w:rFonts w:ascii="Arial" w:hAnsi="Arial" w:cs="Arial"/>
          <w:b/>
          <w:sz w:val="22"/>
          <w:szCs w:val="22"/>
        </w:rPr>
        <w:lastRenderedPageBreak/>
        <w:t>Annex III – Forms of violence based on SOGIESC that could amount to torture</w:t>
      </w:r>
    </w:p>
    <w:p w14:paraId="02CDCE6E" w14:textId="77777777" w:rsidR="001F01B6" w:rsidRDefault="001F01B6" w:rsidP="001F01B6">
      <w:pPr>
        <w:spacing w:before="120"/>
        <w:rPr>
          <w:rFonts w:ascii="Arial" w:hAnsi="Arial" w:cs="Arial"/>
          <w:b/>
          <w:sz w:val="10"/>
          <w:szCs w:val="10"/>
        </w:rPr>
      </w:pPr>
    </w:p>
    <w:p w14:paraId="2C7509EF" w14:textId="77777777" w:rsidR="001F01B6" w:rsidRPr="00913CAE" w:rsidRDefault="001F01B6" w:rsidP="001F01B6">
      <w:pPr>
        <w:spacing w:before="120"/>
        <w:rPr>
          <w:rFonts w:ascii="Arial" w:hAnsi="Arial" w:cs="Arial"/>
          <w:b/>
          <w:sz w:val="10"/>
          <w:szCs w:val="10"/>
        </w:rPr>
      </w:pPr>
    </w:p>
    <w:tbl>
      <w:tblPr>
        <w:tblStyle w:val="GridTable6Colorful"/>
        <w:tblW w:w="0" w:type="auto"/>
        <w:tblLook w:val="04A0" w:firstRow="1" w:lastRow="0" w:firstColumn="1" w:lastColumn="0" w:noHBand="0" w:noVBand="1"/>
      </w:tblPr>
      <w:tblGrid>
        <w:gridCol w:w="9493"/>
        <w:gridCol w:w="4457"/>
      </w:tblGrid>
      <w:tr w:rsidR="001F01B6" w:rsidRPr="00913CAE" w14:paraId="255B1B41" w14:textId="77777777" w:rsidTr="00D24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210AE39B" w14:textId="77777777" w:rsidR="001F01B6" w:rsidRPr="00913CAE" w:rsidRDefault="001F01B6" w:rsidP="00D24086">
            <w:pPr>
              <w:spacing w:before="120" w:after="120"/>
              <w:jc w:val="center"/>
              <w:rPr>
                <w:rFonts w:ascii="Arial" w:hAnsi="Arial" w:cs="Arial"/>
                <w:sz w:val="20"/>
              </w:rPr>
            </w:pPr>
            <w:r w:rsidRPr="00913CAE">
              <w:rPr>
                <w:rFonts w:ascii="Arial" w:hAnsi="Arial" w:cs="Arial"/>
                <w:sz w:val="20"/>
              </w:rPr>
              <w:t>Forms of violence</w:t>
            </w:r>
            <w:r w:rsidRPr="00913CAE">
              <w:rPr>
                <w:sz w:val="20"/>
              </w:rPr>
              <w:t xml:space="preserve"> </w:t>
            </w:r>
            <w:r w:rsidRPr="00913CAE">
              <w:rPr>
                <w:rFonts w:ascii="Arial" w:hAnsi="Arial" w:cs="Arial"/>
                <w:sz w:val="20"/>
              </w:rPr>
              <w:t>based on SOGIESC that could amount to torture</w:t>
            </w:r>
          </w:p>
        </w:tc>
        <w:tc>
          <w:tcPr>
            <w:tcW w:w="4457" w:type="dxa"/>
          </w:tcPr>
          <w:p w14:paraId="39CA6A41" w14:textId="77777777" w:rsidR="001F01B6" w:rsidRPr="00913CAE" w:rsidRDefault="001F01B6" w:rsidP="00D24086">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13CAE">
              <w:rPr>
                <w:rFonts w:ascii="Arial" w:hAnsi="Arial" w:cs="Arial"/>
                <w:sz w:val="20"/>
              </w:rPr>
              <w:t>References</w:t>
            </w:r>
          </w:p>
        </w:tc>
      </w:tr>
      <w:tr w:rsidR="001F01B6" w:rsidRPr="00913CAE" w14:paraId="099FA828" w14:textId="77777777" w:rsidTr="00D24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333145B6" w14:textId="77777777" w:rsidR="001F01B6" w:rsidRPr="00C85A4C" w:rsidRDefault="001F01B6" w:rsidP="00D24086">
            <w:pPr>
              <w:spacing w:before="60" w:after="60"/>
              <w:rPr>
                <w:rFonts w:ascii="Arial" w:hAnsi="Arial" w:cs="Arial"/>
                <w:sz w:val="18"/>
              </w:rPr>
            </w:pPr>
            <w:r w:rsidRPr="00C85A4C">
              <w:rPr>
                <w:rFonts w:ascii="Arial" w:hAnsi="Arial" w:cs="Arial"/>
                <w:sz w:val="18"/>
              </w:rPr>
              <w:t>Criminalization of consensual same-sex relations between adults</w:t>
            </w:r>
          </w:p>
          <w:p w14:paraId="044C1A55" w14:textId="77777777" w:rsidR="001F01B6" w:rsidRPr="00C85A4C" w:rsidRDefault="001F01B6" w:rsidP="00D24086">
            <w:pPr>
              <w:spacing w:before="60" w:after="60"/>
              <w:rPr>
                <w:rFonts w:ascii="Arial Narrow" w:hAnsi="Arial Narrow" w:cs="Arial"/>
                <w:b w:val="0"/>
                <w:sz w:val="18"/>
              </w:rPr>
            </w:pPr>
            <w:r>
              <w:rPr>
                <w:rFonts w:ascii="Arial Narrow" w:hAnsi="Arial Narrow" w:cs="Arial"/>
                <w:b w:val="0"/>
                <w:sz w:val="18"/>
              </w:rPr>
              <w:t>As of</w:t>
            </w:r>
            <w:r w:rsidRPr="00C85A4C">
              <w:rPr>
                <w:rFonts w:ascii="Arial Narrow" w:hAnsi="Arial Narrow" w:cs="Arial"/>
                <w:b w:val="0"/>
                <w:sz w:val="18"/>
              </w:rPr>
              <w:t xml:space="preserve"> May 2016, 73 states in the world criminalized same-sex sexual activity</w:t>
            </w:r>
            <w:r>
              <w:rPr>
                <w:rFonts w:ascii="Arial Narrow" w:hAnsi="Arial Narrow" w:cs="Arial"/>
                <w:b w:val="0"/>
                <w:sz w:val="18"/>
              </w:rPr>
              <w:t>, including 45 where the law wa</w:t>
            </w:r>
            <w:r w:rsidRPr="00C85A4C">
              <w:rPr>
                <w:rFonts w:ascii="Arial Narrow" w:hAnsi="Arial Narrow" w:cs="Arial"/>
                <w:b w:val="0"/>
                <w:sz w:val="18"/>
              </w:rPr>
              <w:t xml:space="preserve">s applied to women as well as men. The number of UN States (or parts thereof) where the death penalty might </w:t>
            </w:r>
            <w:r>
              <w:rPr>
                <w:rFonts w:ascii="Arial Narrow" w:hAnsi="Arial Narrow" w:cs="Arial"/>
                <w:b w:val="0"/>
                <w:sz w:val="18"/>
              </w:rPr>
              <w:t xml:space="preserve">have </w:t>
            </w:r>
            <w:r w:rsidRPr="00C85A4C">
              <w:rPr>
                <w:rFonts w:ascii="Arial Narrow" w:hAnsi="Arial Narrow" w:cs="Arial"/>
                <w:b w:val="0"/>
                <w:sz w:val="18"/>
              </w:rPr>
              <w:t>be</w:t>
            </w:r>
            <w:r>
              <w:rPr>
                <w:rFonts w:ascii="Arial Narrow" w:hAnsi="Arial Narrow" w:cs="Arial"/>
                <w:b w:val="0"/>
                <w:sz w:val="18"/>
              </w:rPr>
              <w:t>en</w:t>
            </w:r>
            <w:r w:rsidRPr="00C85A4C">
              <w:rPr>
                <w:rFonts w:ascii="Arial Narrow" w:hAnsi="Arial Narrow" w:cs="Arial"/>
                <w:b w:val="0"/>
                <w:sz w:val="18"/>
              </w:rPr>
              <w:t xml:space="preserve"> applied for same-sex sexual acts stood at 13.</w:t>
            </w:r>
            <w:r w:rsidRPr="00C85A4C">
              <w:rPr>
                <w:rStyle w:val="EndnoteReference"/>
                <w:rFonts w:ascii="Arial Narrow" w:hAnsi="Arial Narrow" w:cs="Arial"/>
                <w:b w:val="0"/>
                <w:sz w:val="18"/>
              </w:rPr>
              <w:endnoteReference w:id="20"/>
            </w:r>
          </w:p>
        </w:tc>
        <w:tc>
          <w:tcPr>
            <w:tcW w:w="4457" w:type="dxa"/>
          </w:tcPr>
          <w:p w14:paraId="769ADFBB"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CAT: </w:t>
            </w:r>
            <w:hyperlink r:id="rId20" w:history="1">
              <w:r w:rsidRPr="00C85A4C">
                <w:rPr>
                  <w:rStyle w:val="Hyperlink"/>
                  <w:rFonts w:ascii="Arial Narrow" w:hAnsi="Arial Narrow" w:cs="Arial"/>
                  <w:sz w:val="18"/>
                </w:rPr>
                <w:t>CAT/C/NAM/CO/2</w:t>
              </w:r>
            </w:hyperlink>
            <w:r w:rsidRPr="00C85A4C">
              <w:rPr>
                <w:rFonts w:ascii="Arial Narrow" w:hAnsi="Arial Narrow" w:cs="Arial"/>
                <w:sz w:val="18"/>
              </w:rPr>
              <w:t xml:space="preserve">, ¶¶ 30&amp;31; </w:t>
            </w:r>
            <w:hyperlink r:id="rId21" w:history="1">
              <w:r w:rsidRPr="00C85A4C">
                <w:rPr>
                  <w:rStyle w:val="Hyperlink"/>
                  <w:rFonts w:ascii="Arial Narrow" w:hAnsi="Arial Narrow" w:cs="Arial"/>
                  <w:sz w:val="18"/>
                </w:rPr>
                <w:t>CAT/C/BDI/CO/2</w:t>
              </w:r>
            </w:hyperlink>
            <w:r w:rsidRPr="00C85A4C">
              <w:rPr>
                <w:rFonts w:ascii="Arial Narrow" w:hAnsi="Arial Narrow" w:cs="Arial"/>
                <w:sz w:val="18"/>
              </w:rPr>
              <w:t>, ¶ 23</w:t>
            </w:r>
          </w:p>
          <w:p w14:paraId="2E85F342"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SPT: </w:t>
            </w:r>
            <w:hyperlink r:id="rId22" w:history="1">
              <w:r w:rsidRPr="00C85A4C">
                <w:rPr>
                  <w:rStyle w:val="Hyperlink"/>
                  <w:rFonts w:ascii="Arial Narrow" w:hAnsi="Arial Narrow" w:cs="Arial"/>
                  <w:sz w:val="18"/>
                  <w:lang w:val="ru-RU"/>
                </w:rPr>
                <w:t>CAT/C/57/4</w:t>
              </w:r>
            </w:hyperlink>
            <w:r w:rsidRPr="00C85A4C">
              <w:rPr>
                <w:rFonts w:ascii="Arial Narrow" w:hAnsi="Arial Narrow" w:cs="Arial"/>
                <w:sz w:val="18"/>
                <w:lang w:val="ru-RU"/>
              </w:rPr>
              <w:t xml:space="preserve">, </w:t>
            </w:r>
            <w:r w:rsidRPr="00C85A4C">
              <w:rPr>
                <w:rFonts w:ascii="Arial Narrow" w:hAnsi="Arial Narrow" w:cs="Arial"/>
                <w:sz w:val="18"/>
              </w:rPr>
              <w:t>¶ 57</w:t>
            </w:r>
          </w:p>
          <w:p w14:paraId="63D1FB39"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23" w:history="1">
              <w:r w:rsidRPr="00C85A4C">
                <w:rPr>
                  <w:rStyle w:val="Hyperlink"/>
                  <w:rFonts w:ascii="Arial Narrow" w:hAnsi="Arial Narrow" w:cs="Arial"/>
                  <w:sz w:val="18"/>
                </w:rPr>
                <w:t>A/HRC/31/57</w:t>
              </w:r>
            </w:hyperlink>
            <w:r w:rsidRPr="00C85A4C">
              <w:rPr>
                <w:rFonts w:ascii="Arial Narrow" w:hAnsi="Arial Narrow" w:cs="Arial"/>
                <w:sz w:val="18"/>
              </w:rPr>
              <w:t xml:space="preserve">, ¶ 15; </w:t>
            </w:r>
            <w:hyperlink r:id="rId24" w:history="1">
              <w:r w:rsidRPr="00C85A4C">
                <w:rPr>
                  <w:rStyle w:val="Hyperlink"/>
                  <w:rFonts w:ascii="Arial Narrow" w:hAnsi="Arial Narrow" w:cs="Arial"/>
                  <w:sz w:val="18"/>
                </w:rPr>
                <w:t>A/56/156</w:t>
              </w:r>
            </w:hyperlink>
            <w:r w:rsidRPr="00C85A4C">
              <w:rPr>
                <w:rFonts w:ascii="Arial Narrow" w:hAnsi="Arial Narrow" w:cs="Arial"/>
                <w:sz w:val="18"/>
              </w:rPr>
              <w:t>, ¶ 20</w:t>
            </w:r>
          </w:p>
        </w:tc>
      </w:tr>
      <w:tr w:rsidR="001F01B6" w:rsidRPr="00913CAE" w14:paraId="11771CC2" w14:textId="77777777" w:rsidTr="00D24086">
        <w:tc>
          <w:tcPr>
            <w:cnfStyle w:val="001000000000" w:firstRow="0" w:lastRow="0" w:firstColumn="1" w:lastColumn="0" w:oddVBand="0" w:evenVBand="0" w:oddHBand="0" w:evenHBand="0" w:firstRowFirstColumn="0" w:firstRowLastColumn="0" w:lastRowFirstColumn="0" w:lastRowLastColumn="0"/>
            <w:tcW w:w="9493" w:type="dxa"/>
          </w:tcPr>
          <w:p w14:paraId="4D02AFF7" w14:textId="77777777" w:rsidR="001F01B6" w:rsidRPr="00C85A4C" w:rsidRDefault="001F01B6" w:rsidP="00D24086">
            <w:pPr>
              <w:spacing w:before="60" w:after="60"/>
              <w:rPr>
                <w:rFonts w:ascii="Arial" w:hAnsi="Arial" w:cs="Arial"/>
                <w:sz w:val="18"/>
              </w:rPr>
            </w:pPr>
            <w:r w:rsidRPr="00C85A4C">
              <w:rPr>
                <w:rFonts w:ascii="Arial" w:hAnsi="Arial" w:cs="Arial"/>
                <w:sz w:val="18"/>
              </w:rPr>
              <w:t>Criminalization of particular forms of gender expression or activities aimed at promoting human rights of LGBTI persons</w:t>
            </w:r>
          </w:p>
          <w:p w14:paraId="7B2581BA" w14:textId="77777777" w:rsidR="001F01B6" w:rsidRPr="00C85A4C" w:rsidRDefault="001F01B6" w:rsidP="00D24086">
            <w:pPr>
              <w:spacing w:before="60" w:after="60"/>
              <w:rPr>
                <w:rFonts w:ascii="Arial Narrow" w:hAnsi="Arial Narrow" w:cs="Arial"/>
                <w:b w:val="0"/>
                <w:sz w:val="18"/>
              </w:rPr>
            </w:pPr>
            <w:r>
              <w:rPr>
                <w:rFonts w:ascii="Arial Narrow" w:hAnsi="Arial Narrow" w:cs="Arial"/>
                <w:b w:val="0"/>
                <w:sz w:val="18"/>
              </w:rPr>
              <w:t>As of</w:t>
            </w:r>
            <w:r w:rsidRPr="00C85A4C">
              <w:rPr>
                <w:rFonts w:ascii="Arial Narrow" w:hAnsi="Arial Narrow" w:cs="Arial"/>
                <w:b w:val="0"/>
                <w:sz w:val="18"/>
              </w:rPr>
              <w:t xml:space="preserve"> May 2016, 9 countries criminalized not same-sex sexual ac</w:t>
            </w:r>
            <w:r>
              <w:rPr>
                <w:rFonts w:ascii="Arial Narrow" w:hAnsi="Arial Narrow" w:cs="Arial"/>
                <w:b w:val="0"/>
                <w:sz w:val="18"/>
              </w:rPr>
              <w:t>tivities as such, but either particular forms of gender</w:t>
            </w:r>
            <w:r w:rsidRPr="00C85A4C">
              <w:rPr>
                <w:rFonts w:ascii="Arial Narrow" w:hAnsi="Arial Narrow" w:cs="Arial"/>
                <w:b w:val="0"/>
                <w:sz w:val="18"/>
              </w:rPr>
              <w:t xml:space="preserve"> expression through “morality” laws (7 countries) or dissemination of information about SOGIE through “promotion”</w:t>
            </w:r>
            <w:proofErr w:type="gramStart"/>
            <w:r w:rsidRPr="00C85A4C">
              <w:rPr>
                <w:rFonts w:ascii="Arial Narrow" w:hAnsi="Arial Narrow" w:cs="Arial"/>
                <w:b w:val="0"/>
                <w:sz w:val="18"/>
              </w:rPr>
              <w:t>/“</w:t>
            </w:r>
            <w:proofErr w:type="gramEnd"/>
            <w:r w:rsidRPr="00C85A4C">
              <w:rPr>
                <w:rFonts w:ascii="Arial Narrow" w:hAnsi="Arial Narrow" w:cs="Arial"/>
                <w:b w:val="0"/>
                <w:sz w:val="18"/>
              </w:rPr>
              <w:t>propaganda” laws (2 countries).</w:t>
            </w:r>
            <w:r w:rsidRPr="00C85A4C">
              <w:rPr>
                <w:rStyle w:val="EndnoteReference"/>
                <w:rFonts w:ascii="Arial Narrow" w:hAnsi="Arial Narrow" w:cs="Arial"/>
                <w:b w:val="0"/>
                <w:sz w:val="18"/>
              </w:rPr>
              <w:endnoteReference w:id="21"/>
            </w:r>
          </w:p>
        </w:tc>
        <w:tc>
          <w:tcPr>
            <w:tcW w:w="4457" w:type="dxa"/>
          </w:tcPr>
          <w:p w14:paraId="68EEA518"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25" w:history="1">
              <w:r w:rsidRPr="00C85A4C">
                <w:rPr>
                  <w:rStyle w:val="Hyperlink"/>
                  <w:rFonts w:ascii="Arial Narrow" w:hAnsi="Arial Narrow" w:cs="Arial"/>
                  <w:sz w:val="18"/>
                </w:rPr>
                <w:t>A/HRC/31/57</w:t>
              </w:r>
            </w:hyperlink>
            <w:r w:rsidRPr="00C85A4C">
              <w:rPr>
                <w:rFonts w:ascii="Arial Narrow" w:hAnsi="Arial Narrow" w:cs="Arial"/>
                <w:sz w:val="18"/>
              </w:rPr>
              <w:t>, ¶ 15</w:t>
            </w:r>
          </w:p>
          <w:p w14:paraId="2640728C" w14:textId="77777777" w:rsidR="001F01B6" w:rsidRPr="00C85A4C" w:rsidRDefault="001F01B6" w:rsidP="00D2408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
        </w:tc>
      </w:tr>
      <w:tr w:rsidR="001F01B6" w:rsidRPr="00913CAE" w14:paraId="2EB091C2" w14:textId="77777777" w:rsidTr="00D24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21970549" w14:textId="77777777" w:rsidR="001F01B6" w:rsidRPr="00C85A4C" w:rsidRDefault="001F01B6" w:rsidP="00D24086">
            <w:pPr>
              <w:spacing w:before="60" w:after="60"/>
              <w:rPr>
                <w:rFonts w:ascii="Arial" w:hAnsi="Arial" w:cs="Arial"/>
                <w:sz w:val="18"/>
              </w:rPr>
            </w:pPr>
            <w:r w:rsidRPr="00C85A4C">
              <w:rPr>
                <w:rFonts w:ascii="Arial" w:hAnsi="Arial" w:cs="Arial"/>
                <w:sz w:val="18"/>
              </w:rPr>
              <w:t>Intrusive non-consen</w:t>
            </w:r>
            <w:r>
              <w:rPr>
                <w:rFonts w:ascii="Arial" w:hAnsi="Arial" w:cs="Arial"/>
                <w:sz w:val="18"/>
              </w:rPr>
              <w:t>sual</w:t>
            </w:r>
            <w:r w:rsidRPr="00C85A4C">
              <w:rPr>
                <w:rFonts w:ascii="Arial" w:hAnsi="Arial" w:cs="Arial"/>
                <w:sz w:val="18"/>
              </w:rPr>
              <w:t xml:space="preserve"> forensic examinations as proof of </w:t>
            </w:r>
            <w:r>
              <w:rPr>
                <w:rFonts w:ascii="Arial" w:hAnsi="Arial" w:cs="Arial"/>
                <w:sz w:val="18"/>
              </w:rPr>
              <w:t xml:space="preserve">same-sex </w:t>
            </w:r>
            <w:r w:rsidRPr="00C85A4C">
              <w:rPr>
                <w:rFonts w:ascii="Arial" w:hAnsi="Arial" w:cs="Arial"/>
                <w:sz w:val="18"/>
              </w:rPr>
              <w:t>sexual acts</w:t>
            </w:r>
          </w:p>
          <w:p w14:paraId="39B28DF2"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 xml:space="preserve">Some </w:t>
            </w:r>
            <w:r>
              <w:rPr>
                <w:rFonts w:ascii="Arial Narrow" w:hAnsi="Arial Narrow" w:cs="Arial"/>
                <w:b w:val="0"/>
                <w:sz w:val="18"/>
              </w:rPr>
              <w:t>countries</w:t>
            </w:r>
            <w:r w:rsidRPr="00C85A4C">
              <w:rPr>
                <w:rFonts w:ascii="Arial Narrow" w:hAnsi="Arial Narrow" w:cs="Arial"/>
                <w:b w:val="0"/>
                <w:sz w:val="18"/>
              </w:rPr>
              <w:t xml:space="preserve"> continue to subject </w:t>
            </w:r>
            <w:r>
              <w:rPr>
                <w:rFonts w:ascii="Arial Narrow" w:hAnsi="Arial Narrow" w:cs="Arial"/>
                <w:b w:val="0"/>
                <w:sz w:val="18"/>
              </w:rPr>
              <w:t>persons</w:t>
            </w:r>
            <w:r w:rsidRPr="00C85A4C">
              <w:rPr>
                <w:rFonts w:ascii="Arial Narrow" w:hAnsi="Arial Narrow" w:cs="Arial"/>
                <w:b w:val="0"/>
                <w:sz w:val="18"/>
              </w:rPr>
              <w:t xml:space="preserve"> suspected of homosexual conduct to anal examinations in order to “prove” their homosexuality. Such examinations have been described as “medically worthless” and condemned by a number of international bodies.</w:t>
            </w:r>
            <w:r w:rsidRPr="00C85A4C">
              <w:rPr>
                <w:rStyle w:val="EndnoteReference"/>
                <w:rFonts w:ascii="Arial Narrow" w:hAnsi="Arial Narrow" w:cs="Arial"/>
                <w:b w:val="0"/>
                <w:sz w:val="18"/>
              </w:rPr>
              <w:endnoteReference w:id="22"/>
            </w:r>
          </w:p>
        </w:tc>
        <w:tc>
          <w:tcPr>
            <w:tcW w:w="4457" w:type="dxa"/>
          </w:tcPr>
          <w:p w14:paraId="11FC613F"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CAT: </w:t>
            </w:r>
            <w:hyperlink r:id="rId26" w:history="1">
              <w:r w:rsidRPr="00C85A4C">
                <w:rPr>
                  <w:rStyle w:val="Hyperlink"/>
                  <w:rFonts w:ascii="Arial Narrow" w:hAnsi="Arial Narrow" w:cs="Arial"/>
                  <w:sz w:val="18"/>
                  <w:lang w:val="ru-RU"/>
                </w:rPr>
                <w:t>CAT/C/TUN/CO/3</w:t>
              </w:r>
            </w:hyperlink>
            <w:r w:rsidRPr="00C85A4C">
              <w:rPr>
                <w:rFonts w:ascii="Arial Narrow" w:hAnsi="Arial Narrow" w:cs="Arial"/>
                <w:sz w:val="18"/>
              </w:rPr>
              <w:t>, ¶¶ 41&amp;42</w:t>
            </w:r>
          </w:p>
          <w:p w14:paraId="1A2B69AF"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27" w:history="1">
              <w:r w:rsidRPr="00C85A4C">
                <w:rPr>
                  <w:rStyle w:val="Hyperlink"/>
                  <w:rFonts w:ascii="Arial Narrow" w:hAnsi="Arial Narrow" w:cs="Arial"/>
                  <w:sz w:val="18"/>
                </w:rPr>
                <w:t>A/HRC/31/57</w:t>
              </w:r>
            </w:hyperlink>
            <w:r w:rsidRPr="00C85A4C">
              <w:rPr>
                <w:rFonts w:ascii="Arial Narrow" w:hAnsi="Arial Narrow" w:cs="Arial"/>
                <w:sz w:val="18"/>
              </w:rPr>
              <w:t xml:space="preserve">, ¶ 36; </w:t>
            </w:r>
            <w:hyperlink r:id="rId28" w:history="1">
              <w:r w:rsidRPr="00C85A4C">
                <w:rPr>
                  <w:rStyle w:val="Hyperlink"/>
                  <w:rFonts w:ascii="Arial Narrow" w:hAnsi="Arial Narrow" w:cs="Arial"/>
                  <w:sz w:val="18"/>
                </w:rPr>
                <w:t>A/HRC/22/53</w:t>
              </w:r>
            </w:hyperlink>
            <w:r w:rsidRPr="00C85A4C">
              <w:rPr>
                <w:rFonts w:ascii="Arial Narrow" w:hAnsi="Arial Narrow" w:cs="Arial"/>
                <w:sz w:val="18"/>
              </w:rPr>
              <w:t xml:space="preserve">, ¶ 79; </w:t>
            </w:r>
            <w:hyperlink r:id="rId29" w:history="1">
              <w:r w:rsidRPr="00C85A4C">
                <w:rPr>
                  <w:rStyle w:val="Hyperlink"/>
                  <w:rFonts w:ascii="Arial Narrow" w:hAnsi="Arial Narrow" w:cs="Arial"/>
                  <w:sz w:val="18"/>
                </w:rPr>
                <w:t>A/56/156</w:t>
              </w:r>
            </w:hyperlink>
            <w:r w:rsidRPr="00C85A4C">
              <w:rPr>
                <w:rFonts w:ascii="Arial Narrow" w:hAnsi="Arial Narrow" w:cs="Arial"/>
                <w:sz w:val="18"/>
              </w:rPr>
              <w:t>, ¶ 24</w:t>
            </w:r>
          </w:p>
          <w:p w14:paraId="0E82101B"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UNHCHR: </w:t>
            </w:r>
            <w:hyperlink r:id="rId30" w:history="1">
              <w:r w:rsidRPr="00C85A4C">
                <w:rPr>
                  <w:rStyle w:val="Hyperlink"/>
                  <w:rFonts w:ascii="Arial Narrow" w:hAnsi="Arial Narrow" w:cs="Arial"/>
                  <w:sz w:val="18"/>
                </w:rPr>
                <w:t>A/HRC/29/23</w:t>
              </w:r>
            </w:hyperlink>
            <w:r w:rsidRPr="00C85A4C">
              <w:rPr>
                <w:rFonts w:ascii="Arial Narrow" w:hAnsi="Arial Narrow" w:cs="Arial"/>
                <w:sz w:val="18"/>
              </w:rPr>
              <w:t>, ¶¶ 14&amp;37</w:t>
            </w:r>
          </w:p>
        </w:tc>
      </w:tr>
      <w:tr w:rsidR="001F01B6" w:rsidRPr="00913CAE" w14:paraId="2D28BFDC" w14:textId="77777777" w:rsidTr="00D24086">
        <w:tc>
          <w:tcPr>
            <w:cnfStyle w:val="001000000000" w:firstRow="0" w:lastRow="0" w:firstColumn="1" w:lastColumn="0" w:oddVBand="0" w:evenVBand="0" w:oddHBand="0" w:evenHBand="0" w:firstRowFirstColumn="0" w:firstRowLastColumn="0" w:lastRowFirstColumn="0" w:lastRowLastColumn="0"/>
            <w:tcW w:w="9493" w:type="dxa"/>
          </w:tcPr>
          <w:p w14:paraId="46D490EC" w14:textId="77777777" w:rsidR="001F01B6" w:rsidRPr="00C85A4C" w:rsidRDefault="001F01B6" w:rsidP="00D24086">
            <w:pPr>
              <w:spacing w:before="60" w:after="60"/>
              <w:rPr>
                <w:rFonts w:ascii="Arial" w:hAnsi="Arial" w:cs="Arial"/>
                <w:sz w:val="18"/>
              </w:rPr>
            </w:pPr>
            <w:r w:rsidRPr="00C85A4C">
              <w:rPr>
                <w:rFonts w:ascii="Arial" w:hAnsi="Arial" w:cs="Arial"/>
                <w:sz w:val="18"/>
              </w:rPr>
              <w:t>Hate crimes</w:t>
            </w:r>
          </w:p>
          <w:p w14:paraId="63C89895"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Violence motivated by homophobia and transphobia is often particularly brutal, and in some instances characterized by levels of cruelty exceeding that of other hate crimes.</w:t>
            </w:r>
            <w:r w:rsidRPr="00C85A4C">
              <w:rPr>
                <w:rStyle w:val="EndnoteReference"/>
                <w:rFonts w:ascii="Arial Narrow" w:hAnsi="Arial Narrow" w:cs="Arial"/>
                <w:b w:val="0"/>
                <w:sz w:val="18"/>
              </w:rPr>
              <w:endnoteReference w:id="23"/>
            </w:r>
            <w:r w:rsidRPr="00C85A4C">
              <w:rPr>
                <w:rFonts w:ascii="Arial Narrow" w:hAnsi="Arial Narrow" w:cs="Arial"/>
                <w:b w:val="0"/>
                <w:sz w:val="18"/>
              </w:rPr>
              <w:t xml:space="preserve"> In many countries in the world, hate crimes against LGBTI persons are not registered, investigated and</w:t>
            </w:r>
            <w:r>
              <w:rPr>
                <w:rFonts w:ascii="Arial Narrow" w:hAnsi="Arial Narrow" w:cs="Arial"/>
                <w:b w:val="0"/>
                <w:sz w:val="18"/>
              </w:rPr>
              <w:t>/or</w:t>
            </w:r>
            <w:r w:rsidRPr="00C85A4C">
              <w:rPr>
                <w:rFonts w:ascii="Arial Narrow" w:hAnsi="Arial Narrow" w:cs="Arial"/>
                <w:b w:val="0"/>
                <w:sz w:val="18"/>
              </w:rPr>
              <w:t xml:space="preserve"> </w:t>
            </w:r>
            <w:r>
              <w:rPr>
                <w:rFonts w:ascii="Arial Narrow" w:hAnsi="Arial Narrow" w:cs="Arial"/>
                <w:b w:val="0"/>
                <w:sz w:val="18"/>
              </w:rPr>
              <w:t>prosecuted</w:t>
            </w:r>
            <w:r w:rsidRPr="00C85A4C">
              <w:rPr>
                <w:rFonts w:ascii="Arial Narrow" w:hAnsi="Arial Narrow" w:cs="Arial"/>
                <w:b w:val="0"/>
                <w:sz w:val="18"/>
              </w:rPr>
              <w:t xml:space="preserve"> by state authorities due to legislative shortcomings or discriminatory practices. </w:t>
            </w:r>
          </w:p>
        </w:tc>
        <w:tc>
          <w:tcPr>
            <w:tcW w:w="4457" w:type="dxa"/>
          </w:tcPr>
          <w:p w14:paraId="219266B8"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lang w:val="en-IE"/>
              </w:rPr>
            </w:pPr>
            <w:r w:rsidRPr="00C85A4C">
              <w:rPr>
                <w:rFonts w:ascii="Arial Narrow" w:hAnsi="Arial Narrow" w:cs="Arial"/>
                <w:sz w:val="18"/>
              </w:rPr>
              <w:t xml:space="preserve">CAT: </w:t>
            </w:r>
            <w:hyperlink r:id="rId31" w:history="1">
              <w:r w:rsidRPr="00C85A4C">
                <w:rPr>
                  <w:rStyle w:val="Hyperlink"/>
                  <w:rFonts w:ascii="Arial Narrow" w:hAnsi="Arial Narrow" w:cs="Arial"/>
                  <w:sz w:val="18"/>
                </w:rPr>
                <w:t>CAT/C/HND/CO/2</w:t>
              </w:r>
            </w:hyperlink>
            <w:r w:rsidRPr="00C85A4C">
              <w:rPr>
                <w:rFonts w:ascii="Arial Narrow" w:hAnsi="Arial Narrow" w:cs="Arial"/>
                <w:sz w:val="18"/>
              </w:rPr>
              <w:t xml:space="preserve">, ¶¶ 49&amp;50; </w:t>
            </w:r>
            <w:hyperlink r:id="rId32" w:history="1">
              <w:r w:rsidRPr="00C85A4C">
                <w:rPr>
                  <w:rStyle w:val="Hyperlink"/>
                  <w:rFonts w:ascii="Arial Narrow" w:hAnsi="Arial Narrow" w:cs="Arial"/>
                  <w:sz w:val="18"/>
                </w:rPr>
                <w:t>CAT/C/MNG/CO/2</w:t>
              </w:r>
            </w:hyperlink>
            <w:r w:rsidRPr="00C85A4C">
              <w:rPr>
                <w:rFonts w:ascii="Arial Narrow" w:hAnsi="Arial Narrow" w:cs="Arial"/>
                <w:sz w:val="18"/>
              </w:rPr>
              <w:t xml:space="preserve">, ¶¶ 29&amp;30; </w:t>
            </w:r>
            <w:hyperlink r:id="rId33" w:history="1">
              <w:r w:rsidRPr="00C85A4C">
                <w:rPr>
                  <w:rStyle w:val="Hyperlink"/>
                  <w:rFonts w:ascii="Arial Narrow" w:hAnsi="Arial Narrow" w:cs="Arial"/>
                  <w:sz w:val="18"/>
                </w:rPr>
                <w:t>CAT/C/ECU/CO/7</w:t>
              </w:r>
            </w:hyperlink>
            <w:r w:rsidRPr="00C85A4C">
              <w:rPr>
                <w:rFonts w:ascii="Arial Narrow" w:hAnsi="Arial Narrow" w:cs="Arial"/>
                <w:sz w:val="18"/>
              </w:rPr>
              <w:t xml:space="preserve">, ¶¶ 49&amp;50; </w:t>
            </w:r>
            <w:hyperlink r:id="rId34" w:history="1">
              <w:r w:rsidRPr="00C85A4C">
                <w:rPr>
                  <w:rStyle w:val="Hyperlink"/>
                  <w:rFonts w:ascii="Arial Narrow" w:hAnsi="Arial Narrow" w:cs="Arial"/>
                  <w:sz w:val="18"/>
                </w:rPr>
                <w:t>CAT/C/NAM/CO/2</w:t>
              </w:r>
            </w:hyperlink>
            <w:r w:rsidRPr="00C85A4C">
              <w:rPr>
                <w:rFonts w:ascii="Arial Narrow" w:hAnsi="Arial Narrow" w:cs="Arial"/>
                <w:sz w:val="18"/>
              </w:rPr>
              <w:t xml:space="preserve">, ¶¶ 30&amp;31; </w:t>
            </w:r>
            <w:hyperlink r:id="rId35" w:history="1">
              <w:r w:rsidRPr="00C85A4C">
                <w:rPr>
                  <w:rStyle w:val="Hyperlink"/>
                  <w:rFonts w:ascii="Arial Narrow" w:hAnsi="Arial Narrow" w:cs="Arial"/>
                  <w:sz w:val="18"/>
                  <w:lang w:val="en-IE"/>
                </w:rPr>
                <w:t>CAT/C/COL/CO/5</w:t>
              </w:r>
            </w:hyperlink>
            <w:r w:rsidRPr="00C85A4C">
              <w:rPr>
                <w:rFonts w:ascii="Arial Narrow" w:hAnsi="Arial Narrow" w:cs="Arial"/>
                <w:sz w:val="18"/>
                <w:lang w:val="en-IE"/>
              </w:rPr>
              <w:t xml:space="preserve">, </w:t>
            </w:r>
            <w:r w:rsidRPr="00C85A4C">
              <w:rPr>
                <w:rFonts w:ascii="Arial Narrow" w:hAnsi="Arial Narrow" w:cs="Arial"/>
                <w:sz w:val="18"/>
              </w:rPr>
              <w:t xml:space="preserve">¶¶ 26&amp;27; </w:t>
            </w:r>
            <w:hyperlink r:id="rId36" w:history="1">
              <w:r w:rsidRPr="00C85A4C">
                <w:rPr>
                  <w:rStyle w:val="Hyperlink"/>
                  <w:rFonts w:ascii="Arial Narrow" w:hAnsi="Arial Narrow" w:cs="Arial"/>
                  <w:sz w:val="18"/>
                  <w:lang w:val="en-IE"/>
                </w:rPr>
                <w:t>CAT/C/IRQ/CO/1</w:t>
              </w:r>
            </w:hyperlink>
            <w:r w:rsidRPr="00C85A4C">
              <w:rPr>
                <w:rFonts w:ascii="Arial Narrow" w:hAnsi="Arial Narrow" w:cs="Arial"/>
                <w:sz w:val="18"/>
              </w:rPr>
              <w:t xml:space="preserve">, ¶ 25; </w:t>
            </w:r>
            <w:hyperlink r:id="rId37" w:history="1">
              <w:r w:rsidRPr="00C85A4C">
                <w:rPr>
                  <w:rStyle w:val="Hyperlink"/>
                  <w:rFonts w:ascii="Arial Narrow" w:hAnsi="Arial Narrow" w:cs="Arial"/>
                  <w:sz w:val="18"/>
                  <w:lang w:val="en-IE"/>
                </w:rPr>
                <w:t>CAT/C/MKD/CO/3</w:t>
              </w:r>
            </w:hyperlink>
            <w:r w:rsidRPr="00C85A4C">
              <w:rPr>
                <w:rFonts w:ascii="Arial Narrow" w:hAnsi="Arial Narrow" w:cs="Arial"/>
                <w:sz w:val="18"/>
                <w:lang w:val="en-IE"/>
              </w:rPr>
              <w:t xml:space="preserve">, </w:t>
            </w:r>
            <w:r w:rsidRPr="00C85A4C">
              <w:rPr>
                <w:rFonts w:ascii="Arial Narrow" w:hAnsi="Arial Narrow" w:cs="Arial"/>
                <w:sz w:val="18"/>
              </w:rPr>
              <w:t xml:space="preserve">¶ </w:t>
            </w:r>
            <w:r w:rsidRPr="00C85A4C">
              <w:rPr>
                <w:rFonts w:ascii="Arial Narrow" w:hAnsi="Arial Narrow" w:cs="Arial"/>
                <w:sz w:val="18"/>
                <w:lang w:val="en-IE"/>
              </w:rPr>
              <w:t xml:space="preserve">13; </w:t>
            </w:r>
            <w:hyperlink r:id="rId38" w:history="1">
              <w:r w:rsidRPr="00C85A4C">
                <w:rPr>
                  <w:rStyle w:val="Hyperlink"/>
                  <w:rFonts w:ascii="Arial Narrow" w:hAnsi="Arial Narrow" w:cs="Arial"/>
                  <w:sz w:val="18"/>
                  <w:lang w:val="en-IE"/>
                </w:rPr>
                <w:t>CAT/C/SRB/CO/2</w:t>
              </w:r>
            </w:hyperlink>
            <w:r w:rsidRPr="00C85A4C">
              <w:rPr>
                <w:rFonts w:ascii="Arial Narrow" w:hAnsi="Arial Narrow" w:cs="Arial"/>
                <w:sz w:val="18"/>
                <w:lang w:val="en-IE"/>
              </w:rPr>
              <w:t xml:space="preserve">, </w:t>
            </w:r>
            <w:r w:rsidRPr="00C85A4C">
              <w:rPr>
                <w:rFonts w:ascii="Arial Narrow" w:hAnsi="Arial Narrow" w:cs="Arial"/>
                <w:sz w:val="18"/>
              </w:rPr>
              <w:t xml:space="preserve">¶ 19; </w:t>
            </w:r>
            <w:hyperlink r:id="rId39" w:history="1">
              <w:r w:rsidRPr="00C85A4C">
                <w:rPr>
                  <w:rStyle w:val="Hyperlink"/>
                  <w:rFonts w:ascii="Arial Narrow" w:hAnsi="Arial Narrow" w:cs="Arial"/>
                  <w:sz w:val="18"/>
                </w:rPr>
                <w:t>CAT/C/BDI/CO/2</w:t>
              </w:r>
            </w:hyperlink>
            <w:r w:rsidRPr="00C85A4C">
              <w:rPr>
                <w:rFonts w:ascii="Arial Narrow" w:hAnsi="Arial Narrow" w:cs="Arial"/>
                <w:sz w:val="18"/>
              </w:rPr>
              <w:t xml:space="preserve">, ¶ 23; </w:t>
            </w:r>
            <w:hyperlink r:id="rId40" w:history="1">
              <w:r w:rsidRPr="00C85A4C">
                <w:rPr>
                  <w:rStyle w:val="Hyperlink"/>
                  <w:rFonts w:ascii="Arial Narrow" w:hAnsi="Arial Narrow" w:cs="Arial"/>
                  <w:sz w:val="18"/>
                  <w:lang w:val="en-IE"/>
                </w:rPr>
                <w:t>CAT/C/HRV/CO/4-5</w:t>
              </w:r>
            </w:hyperlink>
            <w:r w:rsidRPr="00C85A4C">
              <w:rPr>
                <w:rFonts w:ascii="Arial Narrow" w:hAnsi="Arial Narrow" w:cs="Arial"/>
                <w:sz w:val="18"/>
              </w:rPr>
              <w:t xml:space="preserve">, ¶ 8; </w:t>
            </w:r>
            <w:hyperlink r:id="rId41" w:history="1">
              <w:r w:rsidRPr="00C85A4C">
                <w:rPr>
                  <w:rStyle w:val="Hyperlink"/>
                  <w:rFonts w:ascii="Arial Narrow" w:hAnsi="Arial Narrow" w:cs="Arial"/>
                  <w:sz w:val="18"/>
                  <w:lang w:val="en-IE"/>
                </w:rPr>
                <w:t>CAT/C/MNE/CO/2</w:t>
              </w:r>
            </w:hyperlink>
            <w:r w:rsidRPr="00C85A4C">
              <w:rPr>
                <w:rFonts w:ascii="Arial Narrow" w:hAnsi="Arial Narrow" w:cs="Arial"/>
                <w:sz w:val="18"/>
              </w:rPr>
              <w:t xml:space="preserve">, ¶ 23; </w:t>
            </w:r>
            <w:hyperlink r:id="rId42" w:history="1">
              <w:r w:rsidRPr="00C85A4C">
                <w:rPr>
                  <w:rStyle w:val="Hyperlink"/>
                  <w:rFonts w:ascii="Arial Narrow" w:hAnsi="Arial Narrow" w:cs="Arial"/>
                  <w:sz w:val="18"/>
                  <w:lang w:val="en-IE"/>
                </w:rPr>
                <w:t>CAT/C/SWE/CO/6-7</w:t>
              </w:r>
            </w:hyperlink>
            <w:r w:rsidRPr="00C85A4C">
              <w:rPr>
                <w:rFonts w:ascii="Arial Narrow" w:hAnsi="Arial Narrow" w:cs="Arial"/>
                <w:sz w:val="18"/>
              </w:rPr>
              <w:t xml:space="preserve">, ¶ 15; </w:t>
            </w:r>
            <w:hyperlink r:id="rId43" w:history="1">
              <w:r w:rsidRPr="00C85A4C">
                <w:rPr>
                  <w:rStyle w:val="Hyperlink"/>
                  <w:rFonts w:ascii="Arial Narrow" w:hAnsi="Arial Narrow" w:cs="Arial"/>
                  <w:sz w:val="18"/>
                  <w:lang w:val="en-IE"/>
                </w:rPr>
                <w:t>CAT/C/URY/CO/3</w:t>
              </w:r>
            </w:hyperlink>
            <w:r w:rsidRPr="00C85A4C">
              <w:rPr>
                <w:rFonts w:ascii="Arial Narrow" w:hAnsi="Arial Narrow" w:cs="Arial"/>
                <w:sz w:val="18"/>
              </w:rPr>
              <w:t>, ¶ 21</w:t>
            </w:r>
          </w:p>
          <w:p w14:paraId="087B6B7A"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SPT: </w:t>
            </w:r>
            <w:hyperlink r:id="rId44" w:history="1">
              <w:r w:rsidRPr="00C85A4C">
                <w:rPr>
                  <w:rStyle w:val="Hyperlink"/>
                  <w:rFonts w:ascii="Arial Narrow" w:hAnsi="Arial Narrow" w:cs="Arial"/>
                  <w:sz w:val="18"/>
                  <w:lang w:val="ru-RU"/>
                </w:rPr>
                <w:t>CAT/C/57/4</w:t>
              </w:r>
            </w:hyperlink>
            <w:r w:rsidRPr="00C85A4C">
              <w:rPr>
                <w:rFonts w:ascii="Arial Narrow" w:hAnsi="Arial Narrow" w:cs="Arial"/>
                <w:sz w:val="18"/>
                <w:lang w:val="ru-RU"/>
              </w:rPr>
              <w:t xml:space="preserve">, </w:t>
            </w:r>
            <w:r w:rsidRPr="00C85A4C">
              <w:rPr>
                <w:rFonts w:ascii="Arial Narrow" w:hAnsi="Arial Narrow" w:cs="Arial"/>
                <w:sz w:val="18"/>
              </w:rPr>
              <w:t>¶ 58</w:t>
            </w:r>
          </w:p>
          <w:p w14:paraId="01D6D781"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CRC: </w:t>
            </w:r>
            <w:hyperlink r:id="rId45" w:history="1">
              <w:r w:rsidRPr="00C85A4C">
                <w:rPr>
                  <w:rStyle w:val="Hyperlink"/>
                  <w:rFonts w:ascii="Arial Narrow" w:hAnsi="Arial Narrow" w:cs="Arial"/>
                  <w:sz w:val="18"/>
                  <w:lang w:val="en-IE"/>
                </w:rPr>
                <w:t>CRC/C/IRQ/CO/2-4</w:t>
              </w:r>
            </w:hyperlink>
            <w:r w:rsidRPr="00C85A4C">
              <w:rPr>
                <w:rFonts w:ascii="Arial Narrow" w:hAnsi="Arial Narrow" w:cs="Arial"/>
                <w:sz w:val="18"/>
              </w:rPr>
              <w:t>, ¶¶ 27&amp;28</w:t>
            </w:r>
          </w:p>
          <w:p w14:paraId="2A161B79"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46" w:history="1">
              <w:r w:rsidRPr="00C85A4C">
                <w:rPr>
                  <w:rStyle w:val="Hyperlink"/>
                  <w:rFonts w:ascii="Arial Narrow" w:hAnsi="Arial Narrow" w:cs="Arial"/>
                  <w:sz w:val="18"/>
                </w:rPr>
                <w:t>A/HRC/31/57</w:t>
              </w:r>
            </w:hyperlink>
            <w:r w:rsidRPr="00C85A4C">
              <w:rPr>
                <w:rFonts w:ascii="Arial Narrow" w:hAnsi="Arial Narrow" w:cs="Arial"/>
                <w:sz w:val="18"/>
              </w:rPr>
              <w:t>, ¶ 57</w:t>
            </w:r>
          </w:p>
        </w:tc>
      </w:tr>
      <w:tr w:rsidR="001F01B6" w:rsidRPr="00913CAE" w14:paraId="6C45A1CE" w14:textId="77777777" w:rsidTr="00D24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0F552FAB" w14:textId="77777777" w:rsidR="001F01B6" w:rsidRPr="00C85A4C" w:rsidRDefault="001F01B6" w:rsidP="00D24086">
            <w:pPr>
              <w:spacing w:before="60" w:after="60"/>
              <w:rPr>
                <w:rFonts w:ascii="Arial" w:hAnsi="Arial" w:cs="Arial"/>
                <w:sz w:val="18"/>
              </w:rPr>
            </w:pPr>
            <w:r w:rsidRPr="00C85A4C">
              <w:rPr>
                <w:rFonts w:ascii="Arial" w:hAnsi="Arial" w:cs="Arial"/>
                <w:sz w:val="18"/>
              </w:rPr>
              <w:t>Corrective rapes</w:t>
            </w:r>
          </w:p>
          <w:p w14:paraId="5212774E"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Corrective rape is a term used to describe cases in which a person is raped to “cure” or “correct” a perceived or actual sexual orientation,</w:t>
            </w:r>
            <w:r w:rsidRPr="00C85A4C">
              <w:rPr>
                <w:rStyle w:val="EndnoteReference"/>
                <w:rFonts w:ascii="Arial Narrow" w:hAnsi="Arial Narrow" w:cs="Arial"/>
                <w:b w:val="0"/>
                <w:sz w:val="18"/>
              </w:rPr>
              <w:endnoteReference w:id="24"/>
            </w:r>
            <w:r w:rsidRPr="00C85A4C">
              <w:rPr>
                <w:rFonts w:ascii="Arial Narrow" w:hAnsi="Arial Narrow" w:cs="Arial"/>
                <w:b w:val="0"/>
                <w:sz w:val="18"/>
              </w:rPr>
              <w:t xml:space="preserve"> gender identity or gender expression.</w:t>
            </w:r>
          </w:p>
        </w:tc>
        <w:tc>
          <w:tcPr>
            <w:tcW w:w="4457" w:type="dxa"/>
          </w:tcPr>
          <w:p w14:paraId="2977D06A"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47" w:history="1">
              <w:r w:rsidRPr="00C85A4C">
                <w:rPr>
                  <w:rStyle w:val="Hyperlink"/>
                  <w:rFonts w:ascii="Arial Narrow" w:hAnsi="Arial Narrow" w:cs="Arial"/>
                  <w:sz w:val="18"/>
                </w:rPr>
                <w:t>A/HRC/31/57</w:t>
              </w:r>
            </w:hyperlink>
            <w:r w:rsidRPr="00C85A4C">
              <w:rPr>
                <w:rFonts w:ascii="Arial Narrow" w:hAnsi="Arial Narrow" w:cs="Arial"/>
                <w:sz w:val="18"/>
              </w:rPr>
              <w:t xml:space="preserve">, ¶¶ 51&amp;57; </w:t>
            </w:r>
            <w:hyperlink r:id="rId48" w:history="1">
              <w:r w:rsidRPr="00C85A4C">
                <w:rPr>
                  <w:rStyle w:val="Hyperlink"/>
                  <w:rFonts w:ascii="Arial Narrow" w:hAnsi="Arial Narrow" w:cs="Arial"/>
                  <w:sz w:val="18"/>
                </w:rPr>
                <w:t>A/56/156</w:t>
              </w:r>
            </w:hyperlink>
            <w:r w:rsidRPr="00C85A4C">
              <w:rPr>
                <w:rFonts w:ascii="Arial Narrow" w:hAnsi="Arial Narrow" w:cs="Arial"/>
                <w:sz w:val="18"/>
              </w:rPr>
              <w:t>, ¶ 17</w:t>
            </w:r>
          </w:p>
          <w:p w14:paraId="74834D9E" w14:textId="77777777" w:rsidR="001F01B6" w:rsidRPr="00C85A4C" w:rsidRDefault="001F01B6" w:rsidP="00D2408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
        </w:tc>
      </w:tr>
      <w:tr w:rsidR="001F01B6" w:rsidRPr="00913CAE" w14:paraId="0738CE23" w14:textId="77777777" w:rsidTr="00D24086">
        <w:tc>
          <w:tcPr>
            <w:cnfStyle w:val="001000000000" w:firstRow="0" w:lastRow="0" w:firstColumn="1" w:lastColumn="0" w:oddVBand="0" w:evenVBand="0" w:oddHBand="0" w:evenHBand="0" w:firstRowFirstColumn="0" w:firstRowLastColumn="0" w:lastRowFirstColumn="0" w:lastRowLastColumn="0"/>
            <w:tcW w:w="9493" w:type="dxa"/>
          </w:tcPr>
          <w:p w14:paraId="465D3BF8" w14:textId="77777777" w:rsidR="001F01B6" w:rsidRPr="00C85A4C" w:rsidRDefault="001F01B6" w:rsidP="00D24086">
            <w:pPr>
              <w:spacing w:before="60" w:after="60"/>
              <w:rPr>
                <w:rFonts w:ascii="Arial" w:hAnsi="Arial" w:cs="Arial"/>
                <w:sz w:val="18"/>
              </w:rPr>
            </w:pPr>
            <w:r w:rsidRPr="00C85A4C">
              <w:rPr>
                <w:rFonts w:ascii="Arial" w:hAnsi="Arial" w:cs="Arial"/>
                <w:sz w:val="18"/>
              </w:rPr>
              <w:t>Forced marriage</w:t>
            </w:r>
          </w:p>
          <w:p w14:paraId="01D274BC"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Lesbian and bisexual women and trans persons may be forced into marriage by a family or community that hope that the marriage would “cure” them or would at least shelter the family from the shame it would bring upon the family.</w:t>
            </w:r>
            <w:r w:rsidRPr="00C85A4C">
              <w:rPr>
                <w:rStyle w:val="EndnoteReference"/>
                <w:rFonts w:ascii="Arial Narrow" w:hAnsi="Arial Narrow" w:cs="Arial"/>
                <w:b w:val="0"/>
                <w:sz w:val="18"/>
              </w:rPr>
              <w:endnoteReference w:id="25"/>
            </w:r>
            <w:r w:rsidRPr="00C85A4C">
              <w:rPr>
                <w:rFonts w:ascii="Arial Narrow" w:hAnsi="Arial Narrow" w:cs="Arial"/>
                <w:b w:val="0"/>
                <w:sz w:val="18"/>
              </w:rPr>
              <w:t xml:space="preserve"> When lesbian and bisexual women and trans persons have no choice but to marry, the sexual relationship</w:t>
            </w:r>
            <w:r>
              <w:rPr>
                <w:rFonts w:ascii="Arial Narrow" w:hAnsi="Arial Narrow" w:cs="Arial"/>
                <w:b w:val="0"/>
                <w:sz w:val="18"/>
              </w:rPr>
              <w:t>s with their husbands are</w:t>
            </w:r>
            <w:r w:rsidRPr="00C85A4C">
              <w:rPr>
                <w:rFonts w:ascii="Arial Narrow" w:hAnsi="Arial Narrow" w:cs="Arial"/>
                <w:b w:val="0"/>
                <w:sz w:val="18"/>
              </w:rPr>
              <w:t xml:space="preserve"> often nothing short of marital rape.</w:t>
            </w:r>
            <w:r w:rsidRPr="00C85A4C">
              <w:rPr>
                <w:rStyle w:val="EndnoteReference"/>
                <w:rFonts w:ascii="Arial Narrow" w:hAnsi="Arial Narrow" w:cs="Arial"/>
                <w:b w:val="0"/>
                <w:sz w:val="18"/>
              </w:rPr>
              <w:endnoteReference w:id="26"/>
            </w:r>
          </w:p>
        </w:tc>
        <w:tc>
          <w:tcPr>
            <w:tcW w:w="4457" w:type="dxa"/>
          </w:tcPr>
          <w:p w14:paraId="01D50965"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49" w:history="1">
              <w:r w:rsidRPr="00C85A4C">
                <w:rPr>
                  <w:rStyle w:val="Hyperlink"/>
                  <w:rFonts w:ascii="Arial Narrow" w:hAnsi="Arial Narrow" w:cs="Arial"/>
                  <w:sz w:val="18"/>
                </w:rPr>
                <w:t>A/HRC/31/57</w:t>
              </w:r>
            </w:hyperlink>
            <w:r w:rsidRPr="00C85A4C">
              <w:rPr>
                <w:rFonts w:ascii="Arial Narrow" w:hAnsi="Arial Narrow" w:cs="Arial"/>
                <w:sz w:val="18"/>
              </w:rPr>
              <w:t>, ¶¶ 55&amp;57</w:t>
            </w:r>
          </w:p>
          <w:p w14:paraId="64D62AE7" w14:textId="77777777" w:rsidR="001F01B6" w:rsidRPr="00C85A4C" w:rsidRDefault="001F01B6" w:rsidP="00D2408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
        </w:tc>
      </w:tr>
      <w:tr w:rsidR="001F01B6" w:rsidRPr="00913CAE" w14:paraId="4008EF99" w14:textId="77777777" w:rsidTr="00D24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2948C7F8" w14:textId="77777777" w:rsidR="001F01B6" w:rsidRPr="00C85A4C" w:rsidRDefault="001F01B6" w:rsidP="00D24086">
            <w:pPr>
              <w:keepNext/>
              <w:spacing w:before="60" w:after="60"/>
              <w:rPr>
                <w:rFonts w:ascii="Arial" w:hAnsi="Arial" w:cs="Arial"/>
                <w:sz w:val="18"/>
              </w:rPr>
            </w:pPr>
            <w:r w:rsidRPr="00C85A4C">
              <w:rPr>
                <w:rFonts w:ascii="Arial" w:hAnsi="Arial" w:cs="Arial"/>
                <w:sz w:val="18"/>
              </w:rPr>
              <w:lastRenderedPageBreak/>
              <w:t>Honour-based violence</w:t>
            </w:r>
          </w:p>
          <w:p w14:paraId="682C31DC"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 xml:space="preserve">LGBTI persons </w:t>
            </w:r>
            <w:r>
              <w:rPr>
                <w:rFonts w:ascii="Arial Narrow" w:hAnsi="Arial Narrow" w:cs="Arial"/>
                <w:b w:val="0"/>
                <w:sz w:val="18"/>
              </w:rPr>
              <w:t>become also</w:t>
            </w:r>
            <w:r w:rsidRPr="00C85A4C">
              <w:rPr>
                <w:rFonts w:ascii="Arial Narrow" w:hAnsi="Arial Narrow" w:cs="Arial"/>
                <w:b w:val="0"/>
                <w:sz w:val="18"/>
              </w:rPr>
              <w:t xml:space="preserve"> victims of so-called “honour-based” violence, including “honour” killings, carried out against those seen by family or community members to have brought shame on a family, often for transgressing gender norms or for sexual behaviour, including actual or perceived sexual orientation and gender identity and expression.</w:t>
            </w:r>
            <w:r w:rsidRPr="00C85A4C">
              <w:rPr>
                <w:rStyle w:val="EndnoteReference"/>
                <w:rFonts w:ascii="Arial Narrow" w:hAnsi="Arial Narrow" w:cs="Arial"/>
                <w:b w:val="0"/>
                <w:sz w:val="18"/>
              </w:rPr>
              <w:endnoteReference w:id="27"/>
            </w:r>
          </w:p>
        </w:tc>
        <w:tc>
          <w:tcPr>
            <w:tcW w:w="4457" w:type="dxa"/>
          </w:tcPr>
          <w:p w14:paraId="0281AAAE"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50" w:history="1">
              <w:r w:rsidRPr="00C85A4C">
                <w:rPr>
                  <w:rStyle w:val="Hyperlink"/>
                  <w:rFonts w:ascii="Arial Narrow" w:hAnsi="Arial Narrow" w:cs="Arial"/>
                  <w:sz w:val="18"/>
                </w:rPr>
                <w:t>A/HRC/31/57</w:t>
              </w:r>
            </w:hyperlink>
            <w:r w:rsidRPr="00C85A4C">
              <w:rPr>
                <w:rFonts w:ascii="Arial Narrow" w:hAnsi="Arial Narrow" w:cs="Arial"/>
                <w:sz w:val="18"/>
              </w:rPr>
              <w:t>, ¶¶ 57, 59-60</w:t>
            </w:r>
          </w:p>
          <w:p w14:paraId="437D7BF3" w14:textId="77777777" w:rsidR="001F01B6" w:rsidRPr="00C85A4C" w:rsidRDefault="001F01B6" w:rsidP="00D2408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
        </w:tc>
      </w:tr>
      <w:tr w:rsidR="001F01B6" w:rsidRPr="00913CAE" w14:paraId="0E6D3616" w14:textId="77777777" w:rsidTr="00D24086">
        <w:tc>
          <w:tcPr>
            <w:cnfStyle w:val="001000000000" w:firstRow="0" w:lastRow="0" w:firstColumn="1" w:lastColumn="0" w:oddVBand="0" w:evenVBand="0" w:oddHBand="0" w:evenHBand="0" w:firstRowFirstColumn="0" w:firstRowLastColumn="0" w:lastRowFirstColumn="0" w:lastRowLastColumn="0"/>
            <w:tcW w:w="9493" w:type="dxa"/>
          </w:tcPr>
          <w:p w14:paraId="31DC94A7" w14:textId="77777777" w:rsidR="001F01B6" w:rsidRPr="00C85A4C" w:rsidRDefault="001F01B6" w:rsidP="00D24086">
            <w:pPr>
              <w:spacing w:before="60" w:after="60"/>
              <w:rPr>
                <w:rFonts w:ascii="Arial" w:hAnsi="Arial" w:cs="Arial"/>
                <w:sz w:val="18"/>
              </w:rPr>
            </w:pPr>
            <w:r w:rsidRPr="00C85A4C">
              <w:rPr>
                <w:rFonts w:ascii="Arial" w:hAnsi="Arial" w:cs="Arial"/>
                <w:sz w:val="18"/>
              </w:rPr>
              <w:t>Conversion therapies</w:t>
            </w:r>
          </w:p>
          <w:p w14:paraId="763F9CDC"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So-called “conversion therapy,” sometimes known as “reparative therapy,” is a range of dangerous and discredited practices (that could involve electric shock, medication, psychotherapy or “faith healings” and “casting-out demons” in religious settings), that falsely claim to change a person’s sexual orientation or gender identity or expression. Such practices have been rejected by every mainstream medical and mental health organization for decades, but due to continuing discrimination</w:t>
            </w:r>
            <w:r>
              <w:rPr>
                <w:rFonts w:ascii="Arial Narrow" w:hAnsi="Arial Narrow" w:cs="Arial"/>
                <w:b w:val="0"/>
                <w:sz w:val="18"/>
              </w:rPr>
              <w:t xml:space="preserve"> and societal bias against LGBT</w:t>
            </w:r>
            <w:r w:rsidRPr="00C85A4C">
              <w:rPr>
                <w:rFonts w:ascii="Arial Narrow" w:hAnsi="Arial Narrow" w:cs="Arial"/>
                <w:b w:val="0"/>
                <w:sz w:val="18"/>
              </w:rPr>
              <w:t xml:space="preserve"> people, some practitioners continue to conduct conversion therapy. Minors are especially vulnerable, and conversion therapy can lead to depression, anxiety, drug use, homelessness, and suicide.</w:t>
            </w:r>
            <w:r w:rsidRPr="00C85A4C">
              <w:rPr>
                <w:rStyle w:val="EndnoteReference"/>
                <w:rFonts w:ascii="Arial Narrow" w:hAnsi="Arial Narrow" w:cs="Arial"/>
                <w:b w:val="0"/>
                <w:sz w:val="18"/>
              </w:rPr>
              <w:endnoteReference w:id="28"/>
            </w:r>
          </w:p>
        </w:tc>
        <w:tc>
          <w:tcPr>
            <w:tcW w:w="4457" w:type="dxa"/>
          </w:tcPr>
          <w:p w14:paraId="0171AE18"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r w:rsidRPr="00C85A4C">
              <w:rPr>
                <w:rFonts w:ascii="Arial Narrow" w:hAnsi="Arial Narrow" w:cs="Arial"/>
                <w:sz w:val="18"/>
              </w:rPr>
              <w:t>CAT:</w:t>
            </w:r>
            <w:r w:rsidRPr="00C85A4C">
              <w:rPr>
                <w:rFonts w:eastAsiaTheme="minorEastAsia"/>
                <w:color w:val="auto"/>
                <w:sz w:val="18"/>
                <w:lang w:val="ru-RU"/>
              </w:rPr>
              <w:t xml:space="preserve"> </w:t>
            </w:r>
            <w:hyperlink r:id="rId51" w:history="1">
              <w:r w:rsidRPr="00C85A4C">
                <w:rPr>
                  <w:rStyle w:val="Hyperlink"/>
                  <w:rFonts w:ascii="Arial Narrow" w:hAnsi="Arial Narrow" w:cs="Arial"/>
                  <w:sz w:val="18"/>
                </w:rPr>
                <w:t>CAT/C/ECU/CO/7</w:t>
              </w:r>
            </w:hyperlink>
            <w:r w:rsidRPr="00C85A4C">
              <w:rPr>
                <w:rFonts w:ascii="Arial Narrow" w:hAnsi="Arial Narrow" w:cs="Arial"/>
                <w:sz w:val="18"/>
              </w:rPr>
              <w:t xml:space="preserve">, ¶¶ 49&amp;50; </w:t>
            </w:r>
            <w:hyperlink r:id="rId52" w:history="1">
              <w:r w:rsidRPr="00C85A4C">
                <w:rPr>
                  <w:rStyle w:val="Hyperlink"/>
                  <w:rFonts w:ascii="Arial Narrow" w:hAnsi="Arial Narrow" w:cs="Arial"/>
                  <w:sz w:val="18"/>
                  <w:lang w:val="en-IE"/>
                </w:rPr>
                <w:t>CAT/C/CHN/CO/5</w:t>
              </w:r>
            </w:hyperlink>
            <w:r w:rsidRPr="00C85A4C">
              <w:rPr>
                <w:rFonts w:ascii="Arial Narrow" w:hAnsi="Arial Narrow" w:cs="Arial"/>
                <w:sz w:val="18"/>
                <w:lang w:val="en-IE"/>
              </w:rPr>
              <w:t xml:space="preserve">, </w:t>
            </w:r>
            <w:r w:rsidRPr="00C85A4C">
              <w:rPr>
                <w:rFonts w:ascii="Arial Narrow" w:hAnsi="Arial Narrow" w:cs="Arial"/>
                <w:sz w:val="18"/>
              </w:rPr>
              <w:t xml:space="preserve">¶¶ </w:t>
            </w:r>
            <w:r w:rsidRPr="00C85A4C">
              <w:rPr>
                <w:rFonts w:ascii="Arial Narrow" w:hAnsi="Arial Narrow" w:cs="Arial"/>
                <w:sz w:val="18"/>
                <w:lang w:val="en-IE"/>
              </w:rPr>
              <w:t>55&amp;56</w:t>
            </w:r>
          </w:p>
          <w:p w14:paraId="0130801A"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SPT: </w:t>
            </w:r>
            <w:hyperlink r:id="rId53" w:history="1">
              <w:r w:rsidRPr="00C85A4C">
                <w:rPr>
                  <w:rStyle w:val="Hyperlink"/>
                  <w:rFonts w:ascii="Arial Narrow" w:hAnsi="Arial Narrow" w:cs="Arial"/>
                  <w:sz w:val="18"/>
                  <w:lang w:val="ru-RU"/>
                </w:rPr>
                <w:t>CAT/C/57/4</w:t>
              </w:r>
            </w:hyperlink>
            <w:r w:rsidRPr="00C85A4C">
              <w:rPr>
                <w:rFonts w:ascii="Arial Narrow" w:hAnsi="Arial Narrow" w:cs="Arial"/>
                <w:sz w:val="18"/>
                <w:lang w:val="ru-RU"/>
              </w:rPr>
              <w:t xml:space="preserve">, </w:t>
            </w:r>
            <w:r w:rsidRPr="00C85A4C">
              <w:rPr>
                <w:rFonts w:ascii="Arial Narrow" w:hAnsi="Arial Narrow" w:cs="Arial"/>
                <w:sz w:val="18"/>
              </w:rPr>
              <w:t>¶¶ 68–69</w:t>
            </w:r>
          </w:p>
          <w:p w14:paraId="3CAF0D75"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54" w:history="1">
              <w:r w:rsidRPr="00C85A4C">
                <w:rPr>
                  <w:rStyle w:val="Hyperlink"/>
                  <w:rFonts w:ascii="Arial Narrow" w:hAnsi="Arial Narrow" w:cs="Arial"/>
                  <w:sz w:val="18"/>
                </w:rPr>
                <w:t>A/HRC/31/57</w:t>
              </w:r>
            </w:hyperlink>
            <w:r w:rsidRPr="00C85A4C">
              <w:rPr>
                <w:rFonts w:ascii="Arial Narrow" w:hAnsi="Arial Narrow" w:cs="Arial"/>
                <w:sz w:val="18"/>
              </w:rPr>
              <w:t xml:space="preserve">, ¶ 48; </w:t>
            </w:r>
            <w:hyperlink r:id="rId55" w:history="1">
              <w:r w:rsidRPr="00C85A4C">
                <w:rPr>
                  <w:rStyle w:val="Hyperlink"/>
                  <w:rFonts w:ascii="Arial Narrow" w:hAnsi="Arial Narrow" w:cs="Arial"/>
                  <w:sz w:val="18"/>
                </w:rPr>
                <w:t>A/56/156</w:t>
              </w:r>
            </w:hyperlink>
            <w:r w:rsidRPr="00C85A4C">
              <w:rPr>
                <w:rFonts w:ascii="Arial Narrow" w:hAnsi="Arial Narrow" w:cs="Arial"/>
                <w:sz w:val="18"/>
              </w:rPr>
              <w:t>, ¶ 24</w:t>
            </w:r>
          </w:p>
          <w:p w14:paraId="22A426B2"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UNHCHR: </w:t>
            </w:r>
            <w:hyperlink r:id="rId56" w:history="1">
              <w:r w:rsidRPr="00C85A4C">
                <w:rPr>
                  <w:rStyle w:val="Hyperlink"/>
                  <w:rFonts w:ascii="Arial Narrow" w:hAnsi="Arial Narrow" w:cs="Arial"/>
                  <w:sz w:val="18"/>
                </w:rPr>
                <w:t>A/HRC/29/23</w:t>
              </w:r>
            </w:hyperlink>
            <w:r w:rsidRPr="00C85A4C">
              <w:rPr>
                <w:rFonts w:ascii="Arial Narrow" w:hAnsi="Arial Narrow" w:cs="Arial"/>
                <w:sz w:val="18"/>
              </w:rPr>
              <w:t>, ¶¶ 14&amp;38</w:t>
            </w:r>
          </w:p>
        </w:tc>
      </w:tr>
      <w:tr w:rsidR="001F01B6" w:rsidRPr="00913CAE" w14:paraId="69483A01" w14:textId="77777777" w:rsidTr="00D24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0EC09F0B" w14:textId="77777777" w:rsidR="001F01B6" w:rsidRPr="00C85A4C" w:rsidRDefault="001F01B6" w:rsidP="00D24086">
            <w:pPr>
              <w:spacing w:before="60" w:after="60"/>
              <w:rPr>
                <w:rFonts w:ascii="Arial" w:hAnsi="Arial" w:cs="Arial"/>
                <w:sz w:val="18"/>
              </w:rPr>
            </w:pPr>
            <w:r>
              <w:rPr>
                <w:rFonts w:ascii="Arial" w:hAnsi="Arial" w:cs="Arial"/>
                <w:sz w:val="18"/>
              </w:rPr>
              <w:t>Aggravated</w:t>
            </w:r>
            <w:r w:rsidRPr="00C85A4C">
              <w:rPr>
                <w:rFonts w:ascii="Arial" w:hAnsi="Arial" w:cs="Arial"/>
                <w:sz w:val="18"/>
              </w:rPr>
              <w:t xml:space="preserve"> violence in detention</w:t>
            </w:r>
          </w:p>
          <w:p w14:paraId="0EA2338E" w14:textId="77777777" w:rsidR="001F01B6" w:rsidRPr="00C85A4C" w:rsidRDefault="001F01B6" w:rsidP="00D24086">
            <w:pPr>
              <w:spacing w:before="60" w:after="60"/>
              <w:rPr>
                <w:rFonts w:ascii="Arial" w:hAnsi="Arial" w:cs="Arial"/>
                <w:sz w:val="18"/>
              </w:rPr>
            </w:pPr>
            <w:r w:rsidRPr="00C85A4C">
              <w:rPr>
                <w:rFonts w:ascii="Arial Narrow" w:hAnsi="Arial Narrow" w:cs="Arial"/>
                <w:b w:val="0"/>
                <w:sz w:val="18"/>
              </w:rPr>
              <w:t xml:space="preserve">LGBTI persons are at particular risk of torture and ill-treatment when deprived of liberty, both within criminal justice systems and other, non-penal settings. Structural and systemic shortcomings within criminal justice systems have a particularly negative impact on </w:t>
            </w:r>
            <w:r>
              <w:rPr>
                <w:rFonts w:ascii="Arial Narrow" w:hAnsi="Arial Narrow" w:cs="Arial"/>
                <w:b w:val="0"/>
                <w:sz w:val="18"/>
              </w:rPr>
              <w:t>LGBTI detainees</w:t>
            </w:r>
            <w:r w:rsidRPr="00C85A4C">
              <w:rPr>
                <w:rFonts w:ascii="Arial Narrow" w:hAnsi="Arial Narrow" w:cs="Arial"/>
                <w:b w:val="0"/>
                <w:sz w:val="18"/>
              </w:rPr>
              <w:t>.</w:t>
            </w:r>
            <w:r w:rsidRPr="00C85A4C">
              <w:rPr>
                <w:rStyle w:val="EndnoteReference"/>
                <w:rFonts w:ascii="Arial Narrow" w:hAnsi="Arial Narrow" w:cs="Arial"/>
                <w:b w:val="0"/>
                <w:sz w:val="18"/>
              </w:rPr>
              <w:endnoteReference w:id="29"/>
            </w:r>
          </w:p>
        </w:tc>
        <w:tc>
          <w:tcPr>
            <w:tcW w:w="4457" w:type="dxa"/>
          </w:tcPr>
          <w:p w14:paraId="7FA077CB"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CAT:</w:t>
            </w:r>
            <w:r w:rsidRPr="00C85A4C">
              <w:rPr>
                <w:rFonts w:ascii="Arial Narrow" w:hAnsi="Arial Narrow" w:cs="Arial"/>
                <w:sz w:val="18"/>
                <w:lang w:val="ru-RU"/>
              </w:rPr>
              <w:t xml:space="preserve"> </w:t>
            </w:r>
            <w:hyperlink r:id="rId57" w:history="1">
              <w:r w:rsidRPr="00C85A4C">
                <w:rPr>
                  <w:rStyle w:val="Hyperlink"/>
                  <w:rFonts w:ascii="Arial Narrow" w:hAnsi="Arial Narrow" w:cs="Arial"/>
                  <w:sz w:val="18"/>
                </w:rPr>
                <w:t>CAT/C/HND/CO/2</w:t>
              </w:r>
            </w:hyperlink>
            <w:r w:rsidRPr="00C85A4C">
              <w:rPr>
                <w:rFonts w:ascii="Arial Narrow" w:hAnsi="Arial Narrow" w:cs="Arial"/>
                <w:sz w:val="18"/>
              </w:rPr>
              <w:t xml:space="preserve">, ¶ 50; </w:t>
            </w:r>
            <w:hyperlink r:id="rId58" w:history="1">
              <w:r w:rsidRPr="00C85A4C">
                <w:rPr>
                  <w:rStyle w:val="Hyperlink"/>
                  <w:rFonts w:ascii="Arial Narrow" w:hAnsi="Arial Narrow" w:cs="Arial"/>
                  <w:sz w:val="18"/>
                </w:rPr>
                <w:t>CAT/C/ARM/CO/4</w:t>
              </w:r>
            </w:hyperlink>
            <w:r w:rsidRPr="00C85A4C">
              <w:rPr>
                <w:rFonts w:ascii="Arial Narrow" w:hAnsi="Arial Narrow" w:cs="Arial"/>
                <w:sz w:val="18"/>
              </w:rPr>
              <w:t xml:space="preserve">, ¶¶ 31&amp;32; </w:t>
            </w:r>
            <w:hyperlink r:id="rId59" w:history="1">
              <w:r w:rsidRPr="00C85A4C">
                <w:rPr>
                  <w:rStyle w:val="Hyperlink"/>
                  <w:rFonts w:ascii="Arial Narrow" w:hAnsi="Arial Narrow" w:cs="Arial"/>
                  <w:sz w:val="18"/>
                </w:rPr>
                <w:t>CAT/C/NAM/CO/2</w:t>
              </w:r>
            </w:hyperlink>
            <w:r w:rsidRPr="00C85A4C">
              <w:rPr>
                <w:rFonts w:ascii="Arial Narrow" w:hAnsi="Arial Narrow" w:cs="Arial"/>
                <w:sz w:val="18"/>
              </w:rPr>
              <w:t xml:space="preserve">, ¶¶ 30&amp;31; </w:t>
            </w:r>
            <w:hyperlink r:id="rId60" w:history="1">
              <w:r w:rsidRPr="00C85A4C">
                <w:rPr>
                  <w:rStyle w:val="Hyperlink"/>
                  <w:rFonts w:ascii="Arial Narrow" w:hAnsi="Arial Narrow" w:cs="Arial"/>
                  <w:sz w:val="18"/>
                  <w:lang w:val="en-IE"/>
                </w:rPr>
                <w:t>CAT/C/USA/CO/3-5</w:t>
              </w:r>
            </w:hyperlink>
            <w:r w:rsidRPr="00C85A4C">
              <w:rPr>
                <w:rFonts w:ascii="Arial Narrow" w:hAnsi="Arial Narrow" w:cs="Arial"/>
                <w:sz w:val="18"/>
              </w:rPr>
              <w:t>, ¶ 21</w:t>
            </w:r>
          </w:p>
          <w:p w14:paraId="4A20A334"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SPT: </w:t>
            </w:r>
            <w:hyperlink r:id="rId61" w:history="1">
              <w:r w:rsidRPr="00C85A4C">
                <w:rPr>
                  <w:rStyle w:val="Hyperlink"/>
                  <w:rFonts w:ascii="Arial Narrow" w:hAnsi="Arial Narrow" w:cs="Arial"/>
                  <w:sz w:val="18"/>
                  <w:lang w:val="ru-RU"/>
                </w:rPr>
                <w:t>CAT/C/57/4</w:t>
              </w:r>
            </w:hyperlink>
            <w:r w:rsidRPr="00C85A4C">
              <w:rPr>
                <w:rFonts w:ascii="Arial Narrow" w:hAnsi="Arial Narrow" w:cs="Arial"/>
                <w:sz w:val="18"/>
                <w:lang w:val="ru-RU"/>
              </w:rPr>
              <w:t xml:space="preserve">, </w:t>
            </w:r>
            <w:r w:rsidRPr="00C85A4C">
              <w:rPr>
                <w:rFonts w:ascii="Arial Narrow" w:hAnsi="Arial Narrow" w:cs="Arial"/>
                <w:sz w:val="18"/>
              </w:rPr>
              <w:t>¶¶ 60–66</w:t>
            </w:r>
          </w:p>
          <w:p w14:paraId="6121D07D"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62" w:history="1">
              <w:r w:rsidRPr="00C85A4C">
                <w:rPr>
                  <w:rStyle w:val="Hyperlink"/>
                  <w:rFonts w:ascii="Arial Narrow" w:hAnsi="Arial Narrow" w:cs="Arial"/>
                  <w:sz w:val="18"/>
                </w:rPr>
                <w:t>A/HRC/31/57</w:t>
              </w:r>
            </w:hyperlink>
            <w:r w:rsidRPr="00C85A4C">
              <w:rPr>
                <w:rFonts w:ascii="Arial Narrow" w:hAnsi="Arial Narrow" w:cs="Arial"/>
                <w:sz w:val="18"/>
              </w:rPr>
              <w:t xml:space="preserve">, ¶¶ 13–15 &amp; 34–39; </w:t>
            </w:r>
            <w:hyperlink r:id="rId63" w:history="1">
              <w:r w:rsidRPr="00C85A4C">
                <w:rPr>
                  <w:rStyle w:val="Hyperlink"/>
                  <w:rFonts w:ascii="Arial Narrow" w:hAnsi="Arial Narrow" w:cs="Arial"/>
                  <w:sz w:val="18"/>
                </w:rPr>
                <w:t>A/56/156</w:t>
              </w:r>
            </w:hyperlink>
            <w:r w:rsidRPr="00C85A4C">
              <w:rPr>
                <w:rFonts w:ascii="Arial Narrow" w:hAnsi="Arial Narrow" w:cs="Arial"/>
                <w:sz w:val="18"/>
              </w:rPr>
              <w:t>, ¶ 23</w:t>
            </w:r>
          </w:p>
        </w:tc>
      </w:tr>
      <w:tr w:rsidR="001F01B6" w:rsidRPr="00913CAE" w14:paraId="5850175B" w14:textId="77777777" w:rsidTr="00D24086">
        <w:tc>
          <w:tcPr>
            <w:cnfStyle w:val="001000000000" w:firstRow="0" w:lastRow="0" w:firstColumn="1" w:lastColumn="0" w:oddVBand="0" w:evenVBand="0" w:oddHBand="0" w:evenHBand="0" w:firstRowFirstColumn="0" w:firstRowLastColumn="0" w:lastRowFirstColumn="0" w:lastRowLastColumn="0"/>
            <w:tcW w:w="9493" w:type="dxa"/>
          </w:tcPr>
          <w:p w14:paraId="12E6161A" w14:textId="77777777" w:rsidR="001F01B6" w:rsidRPr="00C85A4C" w:rsidRDefault="001F01B6" w:rsidP="00D24086">
            <w:pPr>
              <w:spacing w:before="60" w:after="60"/>
              <w:rPr>
                <w:rFonts w:ascii="Arial" w:hAnsi="Arial" w:cs="Arial"/>
                <w:sz w:val="18"/>
              </w:rPr>
            </w:pPr>
            <w:r w:rsidRPr="00C85A4C">
              <w:rPr>
                <w:rFonts w:ascii="Arial" w:hAnsi="Arial" w:cs="Arial"/>
                <w:sz w:val="18"/>
              </w:rPr>
              <w:t>Non-consen</w:t>
            </w:r>
            <w:r>
              <w:rPr>
                <w:rFonts w:ascii="Arial" w:hAnsi="Arial" w:cs="Arial"/>
                <w:sz w:val="18"/>
              </w:rPr>
              <w:t>sual</w:t>
            </w:r>
            <w:r w:rsidRPr="00C85A4C">
              <w:rPr>
                <w:rFonts w:ascii="Arial" w:hAnsi="Arial" w:cs="Arial"/>
                <w:sz w:val="18"/>
              </w:rPr>
              <w:t xml:space="preserve"> gender reassignment surgeries</w:t>
            </w:r>
          </w:p>
          <w:p w14:paraId="1FEA9FD7"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In many countries, transgender and often also intersex persons are required to undergo sterilization surgeries, including the removal of reproductive organs, sterilisation and genital reconstruction,</w:t>
            </w:r>
            <w:r>
              <w:rPr>
                <w:rFonts w:ascii="Arial Narrow" w:hAnsi="Arial Narrow" w:cs="Arial"/>
                <w:b w:val="0"/>
                <w:sz w:val="18"/>
              </w:rPr>
              <w:t xml:space="preserve"> that are frequently</w:t>
            </w:r>
            <w:r w:rsidRPr="00C85A4C">
              <w:rPr>
                <w:rFonts w:ascii="Arial Narrow" w:hAnsi="Arial Narrow" w:cs="Arial"/>
                <w:b w:val="0"/>
                <w:sz w:val="18"/>
              </w:rPr>
              <w:t xml:space="preserve"> unwanted, as a p</w:t>
            </w:r>
            <w:r>
              <w:rPr>
                <w:rFonts w:ascii="Arial Narrow" w:hAnsi="Arial Narrow" w:cs="Arial"/>
                <w:b w:val="0"/>
                <w:sz w:val="18"/>
              </w:rPr>
              <w:t>rerequisite to receiving gender reassignment</w:t>
            </w:r>
            <w:r w:rsidRPr="00C85A4C">
              <w:rPr>
                <w:rFonts w:ascii="Arial Narrow" w:hAnsi="Arial Narrow" w:cs="Arial"/>
                <w:b w:val="0"/>
                <w:sz w:val="18"/>
              </w:rPr>
              <w:t xml:space="preserve"> treatment </w:t>
            </w:r>
            <w:r>
              <w:rPr>
                <w:rFonts w:ascii="Arial Narrow" w:hAnsi="Arial Narrow" w:cs="Arial"/>
                <w:b w:val="0"/>
                <w:sz w:val="18"/>
              </w:rPr>
              <w:t>or obtaining legal gender recognition (changing gender marker)</w:t>
            </w:r>
            <w:r w:rsidRPr="00C85A4C">
              <w:rPr>
                <w:rFonts w:ascii="Arial Narrow" w:hAnsi="Arial Narrow" w:cs="Arial"/>
                <w:b w:val="0"/>
                <w:sz w:val="18"/>
              </w:rPr>
              <w:t>.</w:t>
            </w:r>
            <w:r w:rsidRPr="00C85A4C">
              <w:rPr>
                <w:rStyle w:val="EndnoteReference"/>
                <w:rFonts w:ascii="Arial Narrow" w:hAnsi="Arial Narrow" w:cs="Arial"/>
                <w:b w:val="0"/>
                <w:sz w:val="18"/>
              </w:rPr>
              <w:endnoteReference w:id="30"/>
            </w:r>
          </w:p>
        </w:tc>
        <w:tc>
          <w:tcPr>
            <w:tcW w:w="4457" w:type="dxa"/>
          </w:tcPr>
          <w:p w14:paraId="0702BE05"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CAT: </w:t>
            </w:r>
            <w:hyperlink r:id="rId64" w:history="1">
              <w:r w:rsidRPr="00C85A4C">
                <w:rPr>
                  <w:rStyle w:val="Hyperlink"/>
                  <w:rFonts w:ascii="Arial Narrow" w:hAnsi="Arial Narrow" w:cs="Arial"/>
                  <w:sz w:val="18"/>
                  <w:lang w:val="en-IE"/>
                </w:rPr>
                <w:t>CAT/C/CHN-HKG/CO/5</w:t>
              </w:r>
            </w:hyperlink>
            <w:r w:rsidRPr="00C85A4C">
              <w:rPr>
                <w:rFonts w:ascii="Arial Narrow" w:hAnsi="Arial Narrow" w:cs="Arial"/>
                <w:sz w:val="18"/>
              </w:rPr>
              <w:t>, ¶¶ 28&amp;29</w:t>
            </w:r>
          </w:p>
          <w:p w14:paraId="0F40812A"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SPT: </w:t>
            </w:r>
            <w:hyperlink r:id="rId65" w:history="1">
              <w:r w:rsidRPr="00C85A4C">
                <w:rPr>
                  <w:rStyle w:val="Hyperlink"/>
                  <w:rFonts w:ascii="Arial Narrow" w:hAnsi="Arial Narrow" w:cs="Arial"/>
                  <w:sz w:val="18"/>
                  <w:lang w:val="ru-RU"/>
                </w:rPr>
                <w:t>CAT/C/57/4</w:t>
              </w:r>
            </w:hyperlink>
            <w:r w:rsidRPr="00C85A4C">
              <w:rPr>
                <w:rFonts w:ascii="Arial Narrow" w:hAnsi="Arial Narrow" w:cs="Arial"/>
                <w:sz w:val="18"/>
                <w:lang w:val="ru-RU"/>
              </w:rPr>
              <w:t xml:space="preserve">, </w:t>
            </w:r>
            <w:r w:rsidRPr="00C85A4C">
              <w:rPr>
                <w:rFonts w:ascii="Arial Narrow" w:hAnsi="Arial Narrow" w:cs="Arial"/>
                <w:sz w:val="18"/>
              </w:rPr>
              <w:t>¶ 68</w:t>
            </w:r>
          </w:p>
          <w:p w14:paraId="38A7D657" w14:textId="77777777" w:rsidR="001F01B6" w:rsidRPr="00C85A4C" w:rsidRDefault="001F01B6" w:rsidP="00D24086">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66" w:history="1">
              <w:r w:rsidRPr="00C85A4C">
                <w:rPr>
                  <w:rStyle w:val="Hyperlink"/>
                  <w:rFonts w:ascii="Arial Narrow" w:hAnsi="Arial Narrow" w:cs="Arial"/>
                  <w:sz w:val="18"/>
                </w:rPr>
                <w:t>A/HRC/31/57</w:t>
              </w:r>
            </w:hyperlink>
            <w:r w:rsidRPr="00C85A4C">
              <w:rPr>
                <w:rFonts w:ascii="Arial Narrow" w:hAnsi="Arial Narrow" w:cs="Arial"/>
                <w:sz w:val="18"/>
              </w:rPr>
              <w:t>, ¶¶ 48&amp;49</w:t>
            </w:r>
          </w:p>
          <w:p w14:paraId="19D69648" w14:textId="77777777" w:rsidR="001F01B6" w:rsidRPr="00C85A4C" w:rsidRDefault="001F01B6" w:rsidP="00D2408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rPr>
            </w:pPr>
          </w:p>
        </w:tc>
      </w:tr>
      <w:tr w:rsidR="001F01B6" w:rsidRPr="00913CAE" w14:paraId="4542998C" w14:textId="77777777" w:rsidTr="00D24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139CD7AD" w14:textId="77777777" w:rsidR="001F01B6" w:rsidRPr="00C85A4C" w:rsidRDefault="001F01B6" w:rsidP="00D24086">
            <w:pPr>
              <w:spacing w:before="60" w:after="60"/>
              <w:rPr>
                <w:rFonts w:ascii="Arial" w:hAnsi="Arial" w:cs="Arial"/>
                <w:sz w:val="18"/>
              </w:rPr>
            </w:pPr>
            <w:r w:rsidRPr="00C85A4C">
              <w:rPr>
                <w:rFonts w:ascii="Arial" w:hAnsi="Arial" w:cs="Arial"/>
                <w:sz w:val="18"/>
              </w:rPr>
              <w:t xml:space="preserve">Medical interventions aimed at determination of sex without effective consent of </w:t>
            </w:r>
            <w:r>
              <w:rPr>
                <w:rFonts w:ascii="Arial" w:hAnsi="Arial" w:cs="Arial"/>
                <w:sz w:val="18"/>
              </w:rPr>
              <w:t>the</w:t>
            </w:r>
            <w:r w:rsidRPr="00C85A4C">
              <w:rPr>
                <w:rFonts w:ascii="Arial" w:hAnsi="Arial" w:cs="Arial"/>
                <w:sz w:val="18"/>
              </w:rPr>
              <w:t xml:space="preserve"> person</w:t>
            </w:r>
            <w:r>
              <w:rPr>
                <w:rFonts w:ascii="Arial" w:hAnsi="Arial" w:cs="Arial"/>
                <w:sz w:val="18"/>
              </w:rPr>
              <w:t xml:space="preserve"> affected</w:t>
            </w:r>
          </w:p>
          <w:p w14:paraId="030AC49E" w14:textId="77777777" w:rsidR="001F01B6" w:rsidRPr="00C85A4C" w:rsidRDefault="001F01B6" w:rsidP="00D24086">
            <w:pPr>
              <w:spacing w:before="60" w:after="60"/>
              <w:rPr>
                <w:rFonts w:ascii="Arial Narrow" w:hAnsi="Arial Narrow" w:cs="Arial"/>
                <w:b w:val="0"/>
                <w:sz w:val="18"/>
              </w:rPr>
            </w:pPr>
            <w:r w:rsidRPr="00C85A4C">
              <w:rPr>
                <w:rFonts w:ascii="Arial Narrow" w:hAnsi="Arial Narrow" w:cs="Arial"/>
                <w:b w:val="0"/>
                <w:sz w:val="18"/>
              </w:rPr>
              <w:t>In many countries, intersex infants, children and adolescents are subjected to medically unnecessary surgeries, hormonal treatments and other procedures in an attempt to forcibly change their appearance to be in line with societal expectations about female and male bodies. When, as is frequently the case, these procedures are performed without the full, free and informed consent of the person concerned, they amount to violations of fundamental human rights. Profound negative impacts of these often irreversible procedures have been reported, including permanent infertility, incontinence, loss of sexual sensation, causing life-long pain and severe psychological suffering, including depression and shame linked to attempts to hide and erase intersex traits.</w:t>
            </w:r>
            <w:r w:rsidRPr="00C85A4C">
              <w:rPr>
                <w:rStyle w:val="EndnoteReference"/>
                <w:rFonts w:ascii="Arial Narrow" w:hAnsi="Arial Narrow" w:cs="Arial"/>
                <w:b w:val="0"/>
                <w:sz w:val="18"/>
              </w:rPr>
              <w:endnoteReference w:id="31"/>
            </w:r>
            <w:r w:rsidRPr="00C85A4C">
              <w:rPr>
                <w:rFonts w:ascii="Arial Narrow" w:hAnsi="Arial Narrow" w:cs="Arial"/>
                <w:b w:val="0"/>
                <w:sz w:val="18"/>
              </w:rPr>
              <w:t xml:space="preserve"> </w:t>
            </w:r>
          </w:p>
        </w:tc>
        <w:tc>
          <w:tcPr>
            <w:tcW w:w="4457" w:type="dxa"/>
          </w:tcPr>
          <w:p w14:paraId="4F25A0CA"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lang w:val="en-IE"/>
              </w:rPr>
            </w:pPr>
            <w:r w:rsidRPr="00C85A4C">
              <w:rPr>
                <w:rFonts w:ascii="Arial Narrow" w:hAnsi="Arial Narrow" w:cs="Arial"/>
                <w:sz w:val="18"/>
              </w:rPr>
              <w:t xml:space="preserve">CAT: </w:t>
            </w:r>
            <w:hyperlink r:id="rId67" w:history="1">
              <w:r w:rsidRPr="00C85A4C">
                <w:rPr>
                  <w:rStyle w:val="Hyperlink"/>
                  <w:rFonts w:ascii="Arial Narrow" w:hAnsi="Arial Narrow" w:cs="Arial"/>
                  <w:sz w:val="18"/>
                  <w:lang w:val="ru-RU"/>
                </w:rPr>
                <w:t>CAT/C/FRA/CO/7</w:t>
              </w:r>
            </w:hyperlink>
            <w:r w:rsidRPr="00C85A4C">
              <w:rPr>
                <w:rFonts w:ascii="Arial Narrow" w:hAnsi="Arial Narrow" w:cs="Arial"/>
                <w:sz w:val="18"/>
              </w:rPr>
              <w:t xml:space="preserve">, ¶¶ 34&amp;35; </w:t>
            </w:r>
            <w:hyperlink r:id="rId68" w:history="1">
              <w:r w:rsidRPr="00C85A4C">
                <w:rPr>
                  <w:rStyle w:val="Hyperlink"/>
                  <w:rFonts w:ascii="Arial Narrow" w:hAnsi="Arial Narrow" w:cs="Arial"/>
                  <w:sz w:val="18"/>
                  <w:lang w:val="en-IE"/>
                </w:rPr>
                <w:t>CAT/C/AUT/CO/6</w:t>
              </w:r>
            </w:hyperlink>
            <w:r w:rsidRPr="00C85A4C">
              <w:rPr>
                <w:rFonts w:ascii="Arial Narrow" w:hAnsi="Arial Narrow" w:cs="Arial"/>
                <w:sz w:val="18"/>
                <w:lang w:val="en-IE"/>
              </w:rPr>
              <w:t xml:space="preserve">, </w:t>
            </w:r>
            <w:r w:rsidRPr="00C85A4C">
              <w:rPr>
                <w:rFonts w:ascii="Arial Narrow" w:hAnsi="Arial Narrow" w:cs="Arial"/>
                <w:sz w:val="18"/>
              </w:rPr>
              <w:t xml:space="preserve">¶¶ </w:t>
            </w:r>
            <w:r w:rsidRPr="00C85A4C">
              <w:rPr>
                <w:rFonts w:ascii="Arial Narrow" w:hAnsi="Arial Narrow" w:cs="Arial"/>
                <w:sz w:val="18"/>
                <w:lang w:val="en-IE"/>
              </w:rPr>
              <w:t xml:space="preserve">44&amp;45; </w:t>
            </w:r>
            <w:hyperlink r:id="rId69" w:history="1">
              <w:r w:rsidRPr="00C85A4C">
                <w:rPr>
                  <w:rStyle w:val="Hyperlink"/>
                  <w:rFonts w:ascii="Arial Narrow" w:hAnsi="Arial Narrow" w:cs="Arial"/>
                  <w:sz w:val="18"/>
                  <w:lang w:val="en-IE"/>
                </w:rPr>
                <w:t>CAT/C/CHN-HKG/CO/5</w:t>
              </w:r>
            </w:hyperlink>
            <w:r w:rsidRPr="00C85A4C">
              <w:rPr>
                <w:rFonts w:ascii="Arial Narrow" w:hAnsi="Arial Narrow" w:cs="Arial"/>
                <w:sz w:val="18"/>
              </w:rPr>
              <w:t xml:space="preserve">, ¶¶ 28&amp;29; </w:t>
            </w:r>
            <w:hyperlink r:id="rId70" w:history="1">
              <w:r w:rsidRPr="00C85A4C">
                <w:rPr>
                  <w:rStyle w:val="Hyperlink"/>
                  <w:rFonts w:ascii="Arial Narrow" w:hAnsi="Arial Narrow" w:cs="Arial"/>
                  <w:sz w:val="18"/>
                  <w:lang w:val="en-IE"/>
                </w:rPr>
                <w:t>CAT/C/DNK/CO/6-7</w:t>
              </w:r>
            </w:hyperlink>
            <w:r w:rsidRPr="00C85A4C">
              <w:rPr>
                <w:rFonts w:ascii="Arial Narrow" w:hAnsi="Arial Narrow" w:cs="Arial"/>
                <w:sz w:val="18"/>
                <w:lang w:val="en-IE"/>
              </w:rPr>
              <w:t xml:space="preserve">, </w:t>
            </w:r>
            <w:r w:rsidRPr="00C85A4C">
              <w:rPr>
                <w:rFonts w:ascii="Arial Narrow" w:hAnsi="Arial Narrow" w:cs="Arial"/>
                <w:sz w:val="18"/>
              </w:rPr>
              <w:t xml:space="preserve">¶¶ </w:t>
            </w:r>
            <w:r w:rsidRPr="00C85A4C">
              <w:rPr>
                <w:rFonts w:ascii="Arial Narrow" w:hAnsi="Arial Narrow" w:cs="Arial"/>
                <w:sz w:val="18"/>
                <w:lang w:val="en-IE"/>
              </w:rPr>
              <w:t xml:space="preserve">42&amp;43; </w:t>
            </w:r>
            <w:hyperlink r:id="rId71" w:history="1">
              <w:r w:rsidRPr="00C85A4C">
                <w:rPr>
                  <w:rStyle w:val="Hyperlink"/>
                  <w:rFonts w:ascii="Arial Narrow" w:hAnsi="Arial Narrow" w:cs="Arial"/>
                  <w:sz w:val="18"/>
                  <w:lang w:val="en-IE"/>
                </w:rPr>
                <w:t>CAT/C/CHE/CO/7</w:t>
              </w:r>
            </w:hyperlink>
            <w:r w:rsidRPr="00C85A4C">
              <w:rPr>
                <w:rFonts w:ascii="Arial Narrow" w:hAnsi="Arial Narrow" w:cs="Arial"/>
                <w:sz w:val="18"/>
                <w:lang w:val="en-IE"/>
              </w:rPr>
              <w:t xml:space="preserve">, </w:t>
            </w:r>
            <w:r w:rsidRPr="00C85A4C">
              <w:rPr>
                <w:rFonts w:ascii="Arial Narrow" w:hAnsi="Arial Narrow" w:cs="Arial"/>
                <w:sz w:val="18"/>
              </w:rPr>
              <w:t>¶ 20</w:t>
            </w:r>
          </w:p>
          <w:p w14:paraId="7196327C"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SPT: </w:t>
            </w:r>
            <w:hyperlink r:id="rId72" w:history="1">
              <w:r w:rsidRPr="00C85A4C">
                <w:rPr>
                  <w:rStyle w:val="Hyperlink"/>
                  <w:rFonts w:ascii="Arial Narrow" w:hAnsi="Arial Narrow" w:cs="Arial"/>
                  <w:sz w:val="18"/>
                  <w:lang w:val="ru-RU"/>
                </w:rPr>
                <w:t>CAT/C/57/4</w:t>
              </w:r>
            </w:hyperlink>
            <w:r w:rsidRPr="00C85A4C">
              <w:rPr>
                <w:rFonts w:ascii="Arial Narrow" w:hAnsi="Arial Narrow" w:cs="Arial"/>
                <w:sz w:val="18"/>
                <w:lang w:val="ru-RU"/>
              </w:rPr>
              <w:t xml:space="preserve">, </w:t>
            </w:r>
            <w:r w:rsidRPr="00C85A4C">
              <w:rPr>
                <w:rFonts w:ascii="Arial Narrow" w:hAnsi="Arial Narrow" w:cs="Arial"/>
                <w:sz w:val="18"/>
              </w:rPr>
              <w:t>¶¶ 68&amp;70</w:t>
            </w:r>
          </w:p>
          <w:p w14:paraId="2A1BAC5E"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proofErr w:type="spellStart"/>
            <w:r w:rsidRPr="00C85A4C">
              <w:rPr>
                <w:rFonts w:ascii="Arial Narrow" w:hAnsi="Arial Narrow" w:cs="Arial"/>
                <w:sz w:val="18"/>
              </w:rPr>
              <w:t>SRonT</w:t>
            </w:r>
            <w:proofErr w:type="spellEnd"/>
            <w:r w:rsidRPr="00C85A4C">
              <w:rPr>
                <w:rFonts w:ascii="Arial Narrow" w:hAnsi="Arial Narrow" w:cs="Arial"/>
                <w:sz w:val="18"/>
              </w:rPr>
              <w:t xml:space="preserve">: </w:t>
            </w:r>
            <w:hyperlink r:id="rId73" w:history="1">
              <w:r w:rsidRPr="00C85A4C">
                <w:rPr>
                  <w:rStyle w:val="Hyperlink"/>
                  <w:rFonts w:ascii="Arial Narrow" w:hAnsi="Arial Narrow" w:cs="Arial"/>
                  <w:sz w:val="18"/>
                </w:rPr>
                <w:t>A/HRC/31/57</w:t>
              </w:r>
            </w:hyperlink>
            <w:r w:rsidRPr="00C85A4C">
              <w:rPr>
                <w:rFonts w:ascii="Arial Narrow" w:hAnsi="Arial Narrow" w:cs="Arial"/>
                <w:sz w:val="18"/>
              </w:rPr>
              <w:t>, ¶¶ 48&amp;50</w:t>
            </w:r>
          </w:p>
          <w:p w14:paraId="02B06C97" w14:textId="77777777" w:rsidR="001F01B6" w:rsidRPr="00C85A4C" w:rsidRDefault="001F01B6" w:rsidP="00D24086">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18"/>
              </w:rPr>
            </w:pPr>
            <w:r w:rsidRPr="00C85A4C">
              <w:rPr>
                <w:rFonts w:ascii="Arial Narrow" w:hAnsi="Arial Narrow" w:cs="Arial"/>
                <w:sz w:val="18"/>
              </w:rPr>
              <w:t xml:space="preserve">UNHCHR: </w:t>
            </w:r>
            <w:hyperlink r:id="rId74" w:history="1">
              <w:r w:rsidRPr="00C85A4C">
                <w:rPr>
                  <w:rStyle w:val="Hyperlink"/>
                  <w:rFonts w:ascii="Arial Narrow" w:hAnsi="Arial Narrow" w:cs="Arial"/>
                  <w:sz w:val="18"/>
                </w:rPr>
                <w:t>A/HRC/29/23</w:t>
              </w:r>
            </w:hyperlink>
            <w:r w:rsidRPr="00C85A4C">
              <w:rPr>
                <w:rFonts w:ascii="Arial Narrow" w:hAnsi="Arial Narrow" w:cs="Arial"/>
                <w:sz w:val="18"/>
              </w:rPr>
              <w:t>, ¶¶ 14&amp;38</w:t>
            </w:r>
          </w:p>
        </w:tc>
      </w:tr>
    </w:tbl>
    <w:p w14:paraId="27096EA6" w14:textId="77777777" w:rsidR="001F01B6" w:rsidRDefault="001F01B6" w:rsidP="001F01B6">
      <w:pPr>
        <w:outlineLvl w:val="0"/>
        <w:rPr>
          <w:rFonts w:ascii="Arial" w:hAnsi="Arial" w:cs="Arial"/>
          <w:sz w:val="20"/>
        </w:rPr>
      </w:pPr>
    </w:p>
    <w:p w14:paraId="2FE6982B" w14:textId="77777777" w:rsidR="001F01B6" w:rsidRPr="00C85A4C" w:rsidRDefault="001F01B6" w:rsidP="001F01B6">
      <w:pPr>
        <w:outlineLvl w:val="0"/>
        <w:rPr>
          <w:rFonts w:ascii="Arial Narrow" w:hAnsi="Arial Narrow" w:cs="Arial"/>
          <w:sz w:val="18"/>
          <w:szCs w:val="18"/>
        </w:rPr>
      </w:pPr>
      <w:r w:rsidRPr="00C85A4C">
        <w:rPr>
          <w:rFonts w:ascii="Arial Narrow" w:hAnsi="Arial Narrow" w:cs="Arial"/>
          <w:sz w:val="18"/>
          <w:szCs w:val="18"/>
        </w:rPr>
        <w:t>CAT – Committee against Torture</w:t>
      </w:r>
    </w:p>
    <w:p w14:paraId="3C687680" w14:textId="77777777" w:rsidR="001F01B6" w:rsidRPr="00C85A4C" w:rsidRDefault="001F01B6" w:rsidP="001F01B6">
      <w:pPr>
        <w:rPr>
          <w:rFonts w:ascii="Arial Narrow" w:hAnsi="Arial Narrow" w:cs="Arial"/>
          <w:sz w:val="18"/>
          <w:szCs w:val="18"/>
        </w:rPr>
      </w:pPr>
      <w:r w:rsidRPr="00C85A4C">
        <w:rPr>
          <w:rFonts w:ascii="Arial Narrow" w:hAnsi="Arial Narrow" w:cs="Arial"/>
          <w:sz w:val="18"/>
          <w:szCs w:val="18"/>
        </w:rPr>
        <w:t>SPT - Subcommittee on Prevention of Torture and Other Cruel, Inhuman or Degrading Treatment or Punishment</w:t>
      </w:r>
    </w:p>
    <w:p w14:paraId="0E96CDEA" w14:textId="77777777" w:rsidR="001F01B6" w:rsidRPr="00C85A4C" w:rsidRDefault="001F01B6" w:rsidP="001F01B6">
      <w:pPr>
        <w:rPr>
          <w:rFonts w:ascii="Arial Narrow" w:hAnsi="Arial Narrow" w:cs="Arial"/>
          <w:sz w:val="18"/>
          <w:szCs w:val="18"/>
        </w:rPr>
      </w:pPr>
      <w:r w:rsidRPr="00C85A4C">
        <w:rPr>
          <w:rFonts w:ascii="Arial Narrow" w:hAnsi="Arial Narrow" w:cs="Arial"/>
          <w:sz w:val="18"/>
          <w:szCs w:val="18"/>
        </w:rPr>
        <w:t>CRC – Committee on the Rights of the Child</w:t>
      </w:r>
    </w:p>
    <w:p w14:paraId="4A665370" w14:textId="77777777" w:rsidR="001F01B6" w:rsidRPr="00C85A4C" w:rsidRDefault="001F01B6" w:rsidP="001F01B6">
      <w:pPr>
        <w:rPr>
          <w:rFonts w:ascii="Arial Narrow" w:hAnsi="Arial Narrow" w:cs="Arial"/>
          <w:sz w:val="18"/>
          <w:szCs w:val="18"/>
        </w:rPr>
      </w:pPr>
      <w:proofErr w:type="spellStart"/>
      <w:r w:rsidRPr="00C85A4C">
        <w:rPr>
          <w:rFonts w:ascii="Arial Narrow" w:hAnsi="Arial Narrow" w:cs="Arial"/>
          <w:sz w:val="18"/>
          <w:szCs w:val="18"/>
        </w:rPr>
        <w:t>SRonT</w:t>
      </w:r>
      <w:proofErr w:type="spellEnd"/>
      <w:r w:rsidRPr="00C85A4C">
        <w:rPr>
          <w:rFonts w:ascii="Arial Narrow" w:hAnsi="Arial Narrow" w:cs="Arial"/>
          <w:sz w:val="18"/>
          <w:szCs w:val="18"/>
        </w:rPr>
        <w:t xml:space="preserve"> – Special Rapporteur on torture and other cruel, inhuman or degrading treatment or punishment</w:t>
      </w:r>
    </w:p>
    <w:p w14:paraId="529BC9D3" w14:textId="77777777" w:rsidR="001F01B6" w:rsidRPr="00C85A4C" w:rsidRDefault="001F01B6" w:rsidP="001F01B6">
      <w:pPr>
        <w:rPr>
          <w:rFonts w:ascii="Arial" w:hAnsi="Arial" w:cs="Arial"/>
          <w:sz w:val="18"/>
          <w:szCs w:val="18"/>
        </w:rPr>
      </w:pPr>
      <w:r w:rsidRPr="00C85A4C">
        <w:rPr>
          <w:rFonts w:ascii="Arial Narrow" w:hAnsi="Arial Narrow" w:cs="Arial"/>
          <w:sz w:val="18"/>
          <w:szCs w:val="18"/>
        </w:rPr>
        <w:t>UNHCHR – United Nations High Commissioner for Human Rights</w:t>
      </w:r>
    </w:p>
    <w:p w14:paraId="3D9A9133" w14:textId="77777777" w:rsidR="001F01B6" w:rsidRPr="00913CAE" w:rsidRDefault="001F01B6" w:rsidP="001F01B6">
      <w:pPr>
        <w:spacing w:before="120"/>
        <w:rPr>
          <w:rFonts w:ascii="Arial" w:hAnsi="Arial" w:cs="Arial"/>
          <w:sz w:val="20"/>
        </w:rPr>
      </w:pPr>
    </w:p>
    <w:p w14:paraId="6DC11A6E" w14:textId="77777777" w:rsidR="001F01B6" w:rsidRPr="00913CAE" w:rsidRDefault="001F01B6" w:rsidP="001F01B6">
      <w:pPr>
        <w:pageBreakBefore/>
        <w:spacing w:before="120"/>
        <w:rPr>
          <w:rFonts w:ascii="Helvetica" w:hAnsi="Helvetica"/>
          <w:b/>
          <w:sz w:val="22"/>
          <w:szCs w:val="22"/>
        </w:rPr>
        <w:sectPr w:rsidR="001F01B6" w:rsidRPr="00913CAE" w:rsidSect="00E7675A">
          <w:endnotePr>
            <w:numFmt w:val="decimal"/>
          </w:endnotePr>
          <w:pgSz w:w="16840" w:h="11900" w:orient="landscape"/>
          <w:pgMar w:top="1440" w:right="1440" w:bottom="1440" w:left="1440" w:header="708" w:footer="708" w:gutter="0"/>
          <w:cols w:space="708"/>
          <w:docGrid w:linePitch="360"/>
        </w:sectPr>
      </w:pPr>
    </w:p>
    <w:p w14:paraId="6FA32C61" w14:textId="7BD99E67" w:rsidR="00ED1EBD" w:rsidRPr="001F01B6" w:rsidRDefault="001F01B6" w:rsidP="001F01B6">
      <w:pPr>
        <w:pageBreakBefore/>
        <w:outlineLvl w:val="0"/>
        <w:rPr>
          <w:rFonts w:ascii="Helvetica" w:hAnsi="Helvetica"/>
          <w:b/>
          <w:sz w:val="22"/>
          <w:szCs w:val="22"/>
        </w:rPr>
      </w:pPr>
      <w:r w:rsidRPr="00913CAE">
        <w:rPr>
          <w:rFonts w:ascii="Helvetica" w:hAnsi="Helvetica"/>
          <w:b/>
          <w:sz w:val="22"/>
          <w:szCs w:val="22"/>
        </w:rPr>
        <w:lastRenderedPageBreak/>
        <w:t>Notes</w:t>
      </w:r>
      <w:r>
        <w:rPr>
          <w:rFonts w:ascii="Helvetica" w:hAnsi="Helvetica"/>
          <w:b/>
          <w:sz w:val="22"/>
          <w:szCs w:val="22"/>
        </w:rPr>
        <w:t>:</w:t>
      </w:r>
    </w:p>
    <w:sectPr w:rsidR="00ED1EBD" w:rsidRPr="001F01B6" w:rsidSect="00AA0054">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7F7A4" w14:textId="77777777" w:rsidR="00A83708" w:rsidRDefault="00A83708" w:rsidP="00ED5642">
      <w:r>
        <w:separator/>
      </w:r>
    </w:p>
  </w:endnote>
  <w:endnote w:type="continuationSeparator" w:id="0">
    <w:p w14:paraId="24EBAF46" w14:textId="77777777" w:rsidR="00A83708" w:rsidRDefault="00A83708" w:rsidP="00ED5642">
      <w:r>
        <w:continuationSeparator/>
      </w:r>
    </w:p>
  </w:endnote>
  <w:endnote w:id="1">
    <w:p w14:paraId="767C8463"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Definition adapted from the </w:t>
      </w:r>
      <w:hyperlink r:id="rId1" w:history="1">
        <w:r w:rsidRPr="00C85A4C">
          <w:rPr>
            <w:rStyle w:val="Hyperlink"/>
            <w:rFonts w:ascii="Arial Narrow" w:hAnsi="Arial Narrow"/>
            <w:sz w:val="18"/>
            <w:szCs w:val="17"/>
          </w:rPr>
          <w:t>Yogyakarta Principles</w:t>
        </w:r>
      </w:hyperlink>
      <w:r w:rsidRPr="00C85A4C">
        <w:rPr>
          <w:rFonts w:ascii="Arial Narrow" w:hAnsi="Arial Narrow"/>
          <w:sz w:val="18"/>
          <w:szCs w:val="17"/>
        </w:rPr>
        <w:t xml:space="preserve"> on the Application of International Human Rights Law in relation to Sexual Orientation and Gender Identity (2007), </w:t>
      </w:r>
      <w:proofErr w:type="spellStart"/>
      <w:r w:rsidRPr="00C85A4C">
        <w:rPr>
          <w:rFonts w:ascii="Arial Narrow" w:hAnsi="Arial Narrow"/>
          <w:sz w:val="18"/>
          <w:szCs w:val="17"/>
        </w:rPr>
        <w:t>fn</w:t>
      </w:r>
      <w:proofErr w:type="spellEnd"/>
      <w:r w:rsidRPr="00C85A4C">
        <w:rPr>
          <w:rFonts w:ascii="Arial Narrow" w:hAnsi="Arial Narrow"/>
          <w:sz w:val="18"/>
          <w:szCs w:val="17"/>
        </w:rPr>
        <w:t xml:space="preserve"> 1.</w:t>
      </w:r>
    </w:p>
  </w:endnote>
  <w:endnote w:id="2">
    <w:p w14:paraId="21EFB69D"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Yogyakarta Principles (2007), </w:t>
      </w:r>
      <w:proofErr w:type="spellStart"/>
      <w:r w:rsidRPr="00C85A4C">
        <w:rPr>
          <w:rFonts w:ascii="Arial Narrow" w:hAnsi="Arial Narrow"/>
          <w:sz w:val="18"/>
          <w:szCs w:val="17"/>
        </w:rPr>
        <w:t>fn</w:t>
      </w:r>
      <w:proofErr w:type="spellEnd"/>
      <w:r w:rsidRPr="00C85A4C">
        <w:rPr>
          <w:rFonts w:ascii="Arial Narrow" w:hAnsi="Arial Narrow"/>
          <w:sz w:val="18"/>
          <w:szCs w:val="17"/>
        </w:rPr>
        <w:t xml:space="preserve"> 2.</w:t>
      </w:r>
    </w:p>
  </w:endnote>
  <w:endnote w:id="3">
    <w:p w14:paraId="043D6733"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GLAAD, </w:t>
      </w:r>
      <w:hyperlink r:id="rId2" w:history="1">
        <w:r w:rsidRPr="00C85A4C">
          <w:rPr>
            <w:rStyle w:val="Hyperlink"/>
            <w:rFonts w:ascii="Arial Narrow" w:hAnsi="Arial Narrow"/>
            <w:sz w:val="18"/>
            <w:szCs w:val="17"/>
          </w:rPr>
          <w:t>Media Reference Guide – Transgender Issues</w:t>
        </w:r>
      </w:hyperlink>
      <w:r w:rsidRPr="00C85A4C">
        <w:rPr>
          <w:rFonts w:ascii="Arial Narrow" w:hAnsi="Arial Narrow"/>
          <w:sz w:val="18"/>
          <w:szCs w:val="17"/>
        </w:rPr>
        <w:t>.</w:t>
      </w:r>
    </w:p>
  </w:endnote>
  <w:endnote w:id="4">
    <w:p w14:paraId="42ACD1EA"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ARC International, the International Bar Association and the International Lesbian, Gay, Bisexual, Trans and Intersex Association, </w:t>
      </w:r>
      <w:hyperlink r:id="rId3" w:history="1">
        <w:r w:rsidRPr="00C85A4C">
          <w:rPr>
            <w:rStyle w:val="Hyperlink"/>
            <w:rFonts w:ascii="Arial Narrow" w:hAnsi="Arial Narrow"/>
            <w:i/>
            <w:sz w:val="18"/>
            <w:szCs w:val="17"/>
          </w:rPr>
          <w:t>Sexual Orientation, Gender Identity and Expression, and Sex Characteristics at the Universal Periodic Review</w:t>
        </w:r>
      </w:hyperlink>
      <w:r w:rsidRPr="00C85A4C">
        <w:rPr>
          <w:rFonts w:ascii="Arial Narrow" w:hAnsi="Arial Narrow"/>
          <w:sz w:val="18"/>
          <w:szCs w:val="17"/>
        </w:rPr>
        <w:t xml:space="preserve"> (November 2016), p. 15.</w:t>
      </w:r>
    </w:p>
  </w:endnote>
  <w:endnote w:id="5">
    <w:p w14:paraId="7AFDD54C"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Definition adapted from the Yogyakarta Principles.</w:t>
      </w:r>
    </w:p>
  </w:endnote>
  <w:endnote w:id="6">
    <w:p w14:paraId="76ECB5E6"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Ibid.</w:t>
      </w:r>
    </w:p>
  </w:endnote>
  <w:endnote w:id="7">
    <w:p w14:paraId="720B2AF8"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Ibid.</w:t>
      </w:r>
    </w:p>
  </w:endnote>
  <w:endnote w:id="8">
    <w:p w14:paraId="317C5405"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Transgender Europe: Richard </w:t>
      </w:r>
      <w:proofErr w:type="spellStart"/>
      <w:r w:rsidRPr="00C85A4C">
        <w:rPr>
          <w:rFonts w:ascii="Arial Narrow" w:hAnsi="Arial Narrow"/>
          <w:sz w:val="18"/>
          <w:szCs w:val="17"/>
        </w:rPr>
        <w:t>Ko</w:t>
      </w:r>
      <w:r w:rsidRPr="00C85A4C">
        <w:rPr>
          <w:rFonts w:ascii="Calibri" w:eastAsia="Calibri" w:hAnsi="Calibri" w:cs="Calibri"/>
          <w:sz w:val="18"/>
          <w:szCs w:val="17"/>
        </w:rPr>
        <w:t>̈</w:t>
      </w:r>
      <w:r w:rsidRPr="00C85A4C">
        <w:rPr>
          <w:rFonts w:ascii="Arial Narrow" w:hAnsi="Arial Narrow"/>
          <w:sz w:val="18"/>
          <w:szCs w:val="17"/>
        </w:rPr>
        <w:t>hler</w:t>
      </w:r>
      <w:proofErr w:type="spellEnd"/>
      <w:r w:rsidRPr="00C85A4C">
        <w:rPr>
          <w:rFonts w:ascii="Arial Narrow" w:hAnsi="Arial Narrow"/>
          <w:sz w:val="18"/>
          <w:szCs w:val="17"/>
        </w:rPr>
        <w:t xml:space="preserve">, Julia </w:t>
      </w:r>
      <w:proofErr w:type="spellStart"/>
      <w:r w:rsidRPr="00C85A4C">
        <w:rPr>
          <w:rFonts w:ascii="Arial Narrow" w:hAnsi="Arial Narrow"/>
          <w:sz w:val="18"/>
          <w:szCs w:val="17"/>
        </w:rPr>
        <w:t>Ehrt</w:t>
      </w:r>
      <w:proofErr w:type="spellEnd"/>
      <w:r w:rsidRPr="00C85A4C">
        <w:rPr>
          <w:rFonts w:ascii="Arial Narrow" w:hAnsi="Arial Narrow"/>
          <w:sz w:val="18"/>
          <w:szCs w:val="17"/>
        </w:rPr>
        <w:t xml:space="preserve">, </w:t>
      </w:r>
      <w:hyperlink r:id="rId4" w:history="1">
        <w:r w:rsidRPr="00C85A4C">
          <w:rPr>
            <w:rStyle w:val="Hyperlink"/>
            <w:rFonts w:ascii="Arial Narrow" w:hAnsi="Arial Narrow"/>
            <w:i/>
            <w:sz w:val="18"/>
            <w:szCs w:val="17"/>
          </w:rPr>
          <w:t>Legal Gender Recognition in Europe</w:t>
        </w:r>
      </w:hyperlink>
      <w:r w:rsidRPr="00C85A4C">
        <w:rPr>
          <w:rFonts w:ascii="Arial Narrow" w:hAnsi="Arial Narrow"/>
          <w:sz w:val="18"/>
          <w:szCs w:val="17"/>
        </w:rPr>
        <w:t xml:space="preserve"> (November 2016), p. 9.</w:t>
      </w:r>
    </w:p>
  </w:endnote>
  <w:endnote w:id="9">
    <w:p w14:paraId="09B01B43"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w:t>
      </w:r>
      <w:proofErr w:type="spellStart"/>
      <w:r w:rsidRPr="00C85A4C">
        <w:rPr>
          <w:rFonts w:ascii="Arial Narrow" w:hAnsi="Arial Narrow"/>
          <w:sz w:val="18"/>
          <w:szCs w:val="17"/>
        </w:rPr>
        <w:t>Organisation</w:t>
      </w:r>
      <w:proofErr w:type="spellEnd"/>
      <w:r w:rsidRPr="00C85A4C">
        <w:rPr>
          <w:rFonts w:ascii="Arial Narrow" w:hAnsi="Arial Narrow"/>
          <w:sz w:val="18"/>
          <w:szCs w:val="17"/>
        </w:rPr>
        <w:t xml:space="preserve"> Intersex International Australia, </w:t>
      </w:r>
      <w:hyperlink r:id="rId5" w:history="1">
        <w:r w:rsidRPr="00C85A4C">
          <w:rPr>
            <w:rStyle w:val="Hyperlink"/>
            <w:rFonts w:ascii="Arial Narrow" w:hAnsi="Arial Narrow"/>
            <w:i/>
            <w:sz w:val="18"/>
            <w:szCs w:val="17"/>
          </w:rPr>
          <w:t>What is intersex?</w:t>
        </w:r>
      </w:hyperlink>
      <w:r w:rsidRPr="00C85A4C">
        <w:rPr>
          <w:rFonts w:ascii="Arial Narrow" w:hAnsi="Arial Narrow"/>
          <w:sz w:val="18"/>
          <w:szCs w:val="17"/>
        </w:rPr>
        <w:t xml:space="preserve"> </w:t>
      </w:r>
    </w:p>
  </w:endnote>
  <w:endnote w:id="10">
    <w:p w14:paraId="44128BD7"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w:t>
      </w:r>
      <w:r w:rsidRPr="00C85A4C">
        <w:rPr>
          <w:rFonts w:ascii="Arial Narrow" w:hAnsi="Arial Narrow"/>
          <w:i/>
          <w:sz w:val="18"/>
          <w:szCs w:val="17"/>
        </w:rPr>
        <w:t>Discrimination and violence against individuals based on their sexual orientation and gender identity</w:t>
      </w:r>
      <w:r w:rsidRPr="00C85A4C">
        <w:rPr>
          <w:rFonts w:ascii="Arial Narrow" w:hAnsi="Arial Narrow"/>
          <w:sz w:val="18"/>
          <w:szCs w:val="17"/>
        </w:rPr>
        <w:t>, Report of the Office of the United Nations High Commissioner for Human Rights, Human Rights Council, 29</w:t>
      </w:r>
      <w:r w:rsidRPr="00C85A4C">
        <w:rPr>
          <w:rFonts w:ascii="Arial Narrow" w:hAnsi="Arial Narrow"/>
          <w:sz w:val="18"/>
          <w:szCs w:val="17"/>
          <w:vertAlign w:val="superscript"/>
        </w:rPr>
        <w:t>th</w:t>
      </w:r>
      <w:r w:rsidRPr="00C85A4C">
        <w:rPr>
          <w:rFonts w:ascii="Arial Narrow" w:hAnsi="Arial Narrow"/>
          <w:sz w:val="18"/>
          <w:szCs w:val="17"/>
        </w:rPr>
        <w:t xml:space="preserve"> session, </w:t>
      </w:r>
      <w:hyperlink r:id="rId6" w:history="1">
        <w:r w:rsidRPr="00C85A4C">
          <w:rPr>
            <w:rStyle w:val="Hyperlink"/>
            <w:rFonts w:ascii="Arial Narrow" w:hAnsi="Arial Narrow"/>
            <w:sz w:val="18"/>
            <w:szCs w:val="17"/>
          </w:rPr>
          <w:t>A/HRC/29/23</w:t>
        </w:r>
      </w:hyperlink>
      <w:r w:rsidRPr="00C85A4C">
        <w:rPr>
          <w:rFonts w:ascii="Arial Narrow" w:hAnsi="Arial Narrow"/>
          <w:sz w:val="18"/>
          <w:szCs w:val="17"/>
        </w:rPr>
        <w:t>, ¶ 65.</w:t>
      </w:r>
    </w:p>
  </w:endnote>
  <w:endnote w:id="11">
    <w:p w14:paraId="168BA148"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Ibid, ¶ 78(</w:t>
      </w:r>
      <w:proofErr w:type="spellStart"/>
      <w:r w:rsidRPr="00C85A4C">
        <w:rPr>
          <w:rFonts w:ascii="Arial Narrow" w:hAnsi="Arial Narrow"/>
          <w:sz w:val="18"/>
          <w:szCs w:val="17"/>
        </w:rPr>
        <w:t>i</w:t>
      </w:r>
      <w:proofErr w:type="spellEnd"/>
      <w:r w:rsidRPr="00C85A4C">
        <w:rPr>
          <w:rFonts w:ascii="Arial Narrow" w:hAnsi="Arial Narrow"/>
          <w:sz w:val="18"/>
          <w:szCs w:val="17"/>
        </w:rPr>
        <w:t>).</w:t>
      </w:r>
    </w:p>
  </w:endnote>
  <w:endnote w:id="12">
    <w:p w14:paraId="05B70966"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HRCtee, Concluding observations, Namibia (2016), </w:t>
      </w:r>
      <w:hyperlink r:id="rId7" w:history="1">
        <w:r w:rsidRPr="00C85A4C">
          <w:rPr>
            <w:rStyle w:val="Hyperlink"/>
            <w:rFonts w:ascii="Arial Narrow" w:hAnsi="Arial Narrow"/>
            <w:sz w:val="18"/>
            <w:szCs w:val="17"/>
          </w:rPr>
          <w:t>CCPR/C/NAM/CO/2</w:t>
        </w:r>
      </w:hyperlink>
      <w:r w:rsidRPr="00C85A4C">
        <w:rPr>
          <w:rFonts w:ascii="Arial Narrow" w:hAnsi="Arial Narrow"/>
          <w:sz w:val="18"/>
          <w:szCs w:val="17"/>
        </w:rPr>
        <w:t>, ¶¶ 35&amp;36.</w:t>
      </w:r>
    </w:p>
  </w:endnote>
  <w:endnote w:id="13">
    <w:p w14:paraId="59F0310C"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See Communication No. 2149/2012, </w:t>
      </w:r>
      <w:r w:rsidRPr="00C85A4C">
        <w:rPr>
          <w:rFonts w:ascii="Arial Narrow" w:hAnsi="Arial Narrow"/>
          <w:i/>
          <w:sz w:val="18"/>
          <w:szCs w:val="17"/>
        </w:rPr>
        <w:t>M.I. v. Sweden</w:t>
      </w:r>
      <w:r w:rsidRPr="00C85A4C">
        <w:rPr>
          <w:rFonts w:ascii="Arial Narrow" w:hAnsi="Arial Narrow"/>
          <w:sz w:val="18"/>
          <w:szCs w:val="17"/>
        </w:rPr>
        <w:t xml:space="preserve">, views of 25 July 2013 (deportation of a lesbian to Bangladesh; risk of torture and other cruel, inhuman or degrading treatment or punishment upon return to country of origin; prohibition of refoulement), </w:t>
      </w:r>
      <w:hyperlink r:id="rId8" w:history="1">
        <w:r w:rsidRPr="00C85A4C">
          <w:rPr>
            <w:rStyle w:val="Hyperlink"/>
            <w:rFonts w:ascii="Arial Narrow" w:hAnsi="Arial Narrow"/>
            <w:sz w:val="18"/>
            <w:szCs w:val="17"/>
          </w:rPr>
          <w:t>CCPR/C/108/D/2149/2012</w:t>
        </w:r>
      </w:hyperlink>
      <w:r w:rsidRPr="00C85A4C">
        <w:rPr>
          <w:rFonts w:ascii="Arial Narrow" w:hAnsi="Arial Narrow"/>
          <w:sz w:val="18"/>
          <w:szCs w:val="17"/>
        </w:rPr>
        <w:t xml:space="preserve">; Communication No. 1833/2008, </w:t>
      </w:r>
      <w:r w:rsidRPr="00C85A4C">
        <w:rPr>
          <w:rFonts w:ascii="Arial Narrow" w:hAnsi="Arial Narrow"/>
          <w:i/>
          <w:sz w:val="18"/>
          <w:szCs w:val="17"/>
        </w:rPr>
        <w:t>X v. Sweden</w:t>
      </w:r>
      <w:r w:rsidRPr="00C85A4C">
        <w:rPr>
          <w:rFonts w:ascii="Arial Narrow" w:hAnsi="Arial Narrow"/>
          <w:sz w:val="18"/>
          <w:szCs w:val="17"/>
        </w:rPr>
        <w:t xml:space="preserve">, views of 1 November 2011 (deportation of an alleged bisexual person to Afghanistan; risk of torture and death upon return to country of origin), </w:t>
      </w:r>
      <w:hyperlink r:id="rId9" w:history="1">
        <w:r w:rsidRPr="00C85A4C">
          <w:rPr>
            <w:rStyle w:val="Hyperlink"/>
            <w:rFonts w:ascii="Arial Narrow" w:hAnsi="Arial Narrow"/>
            <w:sz w:val="18"/>
            <w:szCs w:val="17"/>
          </w:rPr>
          <w:t>CCPR/C/103/D/1833/2008</w:t>
        </w:r>
      </w:hyperlink>
      <w:r w:rsidRPr="00C85A4C">
        <w:rPr>
          <w:rFonts w:ascii="Arial Narrow" w:hAnsi="Arial Narrow"/>
          <w:sz w:val="18"/>
          <w:szCs w:val="17"/>
        </w:rPr>
        <w:t>.</w:t>
      </w:r>
    </w:p>
  </w:endnote>
  <w:endnote w:id="14">
    <w:p w14:paraId="6E966C87"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See </w:t>
      </w:r>
      <w:proofErr w:type="spellStart"/>
      <w:r w:rsidRPr="00C85A4C">
        <w:rPr>
          <w:rFonts w:ascii="Arial Narrow" w:hAnsi="Arial Narrow"/>
          <w:sz w:val="18"/>
          <w:szCs w:val="17"/>
        </w:rPr>
        <w:t>fn</w:t>
      </w:r>
      <w:proofErr w:type="spellEnd"/>
      <w:r w:rsidRPr="00C85A4C">
        <w:rPr>
          <w:rFonts w:ascii="Arial Narrow" w:hAnsi="Arial Narrow"/>
          <w:sz w:val="18"/>
          <w:szCs w:val="17"/>
        </w:rPr>
        <w:t xml:space="preserve"> 2.</w:t>
      </w:r>
    </w:p>
  </w:endnote>
  <w:endnote w:id="15">
    <w:p w14:paraId="1BCE68B6"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CERD, Concluding observations, Netherlands (2015), </w:t>
      </w:r>
      <w:hyperlink r:id="rId10" w:history="1">
        <w:r w:rsidRPr="00C85A4C">
          <w:rPr>
            <w:rStyle w:val="Hyperlink"/>
            <w:rFonts w:ascii="Arial Narrow" w:hAnsi="Arial Narrow"/>
            <w:sz w:val="18"/>
            <w:szCs w:val="17"/>
          </w:rPr>
          <w:t>CERD/C/NLD/CO/19-21</w:t>
        </w:r>
      </w:hyperlink>
      <w:r w:rsidRPr="00C85A4C">
        <w:rPr>
          <w:rFonts w:ascii="Arial Narrow" w:hAnsi="Arial Narrow"/>
          <w:sz w:val="18"/>
          <w:szCs w:val="17"/>
        </w:rPr>
        <w:t>, ¶¶ 33&amp;34.</w:t>
      </w:r>
    </w:p>
  </w:endnote>
  <w:endnote w:id="16">
    <w:p w14:paraId="5893D6B9"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Ninth annual report of the Subcommittee on Prevention of Torture and Other Cruel, Inhuman or Degrading Treatment or Punishment. Committee against Torture, 57th session, </w:t>
      </w:r>
      <w:hyperlink r:id="rId11" w:history="1">
        <w:r w:rsidRPr="00C85A4C">
          <w:rPr>
            <w:rStyle w:val="Hyperlink"/>
            <w:rFonts w:ascii="Arial Narrow" w:hAnsi="Arial Narrow" w:cs="Times New Roman"/>
            <w:sz w:val="18"/>
            <w:szCs w:val="17"/>
          </w:rPr>
          <w:t>CAT/C/57/4</w:t>
        </w:r>
      </w:hyperlink>
      <w:r w:rsidRPr="00C85A4C">
        <w:rPr>
          <w:rFonts w:ascii="Arial Narrow" w:hAnsi="Arial Narrow" w:cs="Times New Roman"/>
          <w:sz w:val="18"/>
          <w:szCs w:val="17"/>
        </w:rPr>
        <w:t xml:space="preserve">, </w:t>
      </w:r>
      <w:r w:rsidRPr="00C85A4C">
        <w:rPr>
          <w:rFonts w:ascii="Arial Narrow" w:hAnsi="Arial Narrow"/>
          <w:sz w:val="18"/>
          <w:szCs w:val="17"/>
        </w:rPr>
        <w:t>¶ 67.</w:t>
      </w:r>
    </w:p>
  </w:endnote>
  <w:endnote w:id="17">
    <w:p w14:paraId="3AA1516C" w14:textId="77777777" w:rsidR="001F01B6" w:rsidRPr="00C85A4C" w:rsidRDefault="001F01B6" w:rsidP="001F01B6">
      <w:pPr>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Report of the Special Rapporteur on torture and other cruel, inhuman or degrading treatment or punishment, 5 January 2016, Human Rights Council, 31</w:t>
      </w:r>
      <w:r w:rsidRPr="00C85A4C">
        <w:rPr>
          <w:rFonts w:ascii="Arial Narrow" w:hAnsi="Arial Narrow"/>
          <w:sz w:val="18"/>
          <w:szCs w:val="17"/>
          <w:vertAlign w:val="superscript"/>
        </w:rPr>
        <w:t>st</w:t>
      </w:r>
      <w:r w:rsidRPr="00C85A4C">
        <w:rPr>
          <w:rFonts w:ascii="Arial Narrow" w:hAnsi="Arial Narrow"/>
          <w:sz w:val="18"/>
          <w:szCs w:val="17"/>
        </w:rPr>
        <w:t xml:space="preserve"> session, </w:t>
      </w:r>
      <w:hyperlink r:id="rId12" w:history="1">
        <w:r w:rsidRPr="00C85A4C">
          <w:rPr>
            <w:rStyle w:val="Hyperlink"/>
            <w:rFonts w:ascii="Arial Narrow" w:hAnsi="Arial Narrow"/>
            <w:sz w:val="18"/>
            <w:szCs w:val="17"/>
          </w:rPr>
          <w:t>A/HRC/31/57</w:t>
        </w:r>
      </w:hyperlink>
      <w:r w:rsidRPr="00C85A4C">
        <w:rPr>
          <w:rFonts w:ascii="Arial Narrow" w:hAnsi="Arial Narrow"/>
          <w:sz w:val="18"/>
          <w:szCs w:val="17"/>
        </w:rPr>
        <w:t>, ¶ 33.</w:t>
      </w:r>
    </w:p>
  </w:endnote>
  <w:endnote w:id="18">
    <w:p w14:paraId="59BD6A62"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Ibid, ¶ 70.</w:t>
      </w:r>
    </w:p>
  </w:endnote>
  <w:endnote w:id="19">
    <w:p w14:paraId="52A71CC0" w14:textId="77777777" w:rsidR="001F01B6" w:rsidRPr="00C85A4C" w:rsidRDefault="001F01B6" w:rsidP="001F01B6">
      <w:pPr>
        <w:pStyle w:val="EndnoteText"/>
        <w:spacing w:before="60"/>
        <w:jc w:val="both"/>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See </w:t>
      </w:r>
      <w:proofErr w:type="spellStart"/>
      <w:r w:rsidRPr="00C85A4C">
        <w:rPr>
          <w:rFonts w:ascii="Arial Narrow" w:hAnsi="Arial Narrow"/>
          <w:sz w:val="18"/>
          <w:szCs w:val="17"/>
        </w:rPr>
        <w:t>eg</w:t>
      </w:r>
      <w:proofErr w:type="spellEnd"/>
      <w:r w:rsidRPr="00C85A4C">
        <w:rPr>
          <w:rFonts w:ascii="Arial Narrow" w:hAnsi="Arial Narrow"/>
          <w:sz w:val="18"/>
          <w:szCs w:val="17"/>
        </w:rPr>
        <w:t xml:space="preserve"> UA 13/03/2012, Case No. NLD 1/2012, Torture (alleged risk of torture and ill-treatment for asylum seeker, a young gay man fearing persecution in Uganda, facing deportation); JUA 19/08/2011, Case No. USA 15/2011, Health; Migrants; Torture; Violence against women (alleged torture and ill-treatment towards 16 gay and transgender individuals in immigration facilities, including reported lack of protection from persecution and respect for the principle of non-refoulement for those who risk torture if returned to their home countries on account of their sexual orientation, gender identity or HIV status); UA 23/02/2011, Case No. GBR 1/2011, Torture (alleged risk of torture for asylum seeker, a national of Burundi gay man, facing deportation).</w:t>
      </w:r>
    </w:p>
  </w:endnote>
  <w:endnote w:id="20">
    <w:p w14:paraId="7006C1D9"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International Lesbian, Gay, Bisexual, Trans and Intersex Association: Carroll, A., </w:t>
      </w:r>
      <w:hyperlink r:id="rId13" w:history="1">
        <w:r w:rsidRPr="00C85A4C">
          <w:rPr>
            <w:rStyle w:val="Hyperlink"/>
            <w:rFonts w:ascii="Arial Narrow" w:hAnsi="Arial Narrow"/>
            <w:i/>
            <w:sz w:val="18"/>
            <w:szCs w:val="17"/>
          </w:rPr>
          <w:t xml:space="preserve">State Sponsored Homophobia 2016: A world survey of sexual orientation laws: </w:t>
        </w:r>
        <w:proofErr w:type="spellStart"/>
        <w:r w:rsidRPr="00C85A4C">
          <w:rPr>
            <w:rStyle w:val="Hyperlink"/>
            <w:rFonts w:ascii="Arial Narrow" w:hAnsi="Arial Narrow"/>
            <w:i/>
            <w:sz w:val="18"/>
            <w:szCs w:val="17"/>
          </w:rPr>
          <w:t>criminalisation</w:t>
        </w:r>
        <w:proofErr w:type="spellEnd"/>
        <w:r w:rsidRPr="00C85A4C">
          <w:rPr>
            <w:rStyle w:val="Hyperlink"/>
            <w:rFonts w:ascii="Arial Narrow" w:hAnsi="Arial Narrow"/>
            <w:i/>
            <w:sz w:val="18"/>
            <w:szCs w:val="17"/>
          </w:rPr>
          <w:t>, protection and recognition</w:t>
        </w:r>
      </w:hyperlink>
      <w:r w:rsidRPr="00C85A4C">
        <w:rPr>
          <w:rFonts w:ascii="Arial Narrow" w:hAnsi="Arial Narrow"/>
          <w:sz w:val="18"/>
          <w:szCs w:val="17"/>
        </w:rPr>
        <w:t xml:space="preserve"> (Geneva; ILGA, May 2016).</w:t>
      </w:r>
    </w:p>
  </w:endnote>
  <w:endnote w:id="21">
    <w:p w14:paraId="4E478257"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Ibid.</w:t>
      </w:r>
    </w:p>
  </w:endnote>
  <w:endnote w:id="22">
    <w:p w14:paraId="28601BA6"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w:t>
      </w:r>
      <w:r w:rsidRPr="00C85A4C">
        <w:rPr>
          <w:rFonts w:ascii="Arial Narrow" w:hAnsi="Arial Narrow"/>
          <w:i/>
          <w:sz w:val="18"/>
          <w:szCs w:val="17"/>
        </w:rPr>
        <w:t>Discrimination and violence against individuals based on their sexual orientation and gender identity</w:t>
      </w:r>
      <w:r w:rsidRPr="00C85A4C">
        <w:rPr>
          <w:rFonts w:ascii="Arial Narrow" w:hAnsi="Arial Narrow"/>
          <w:sz w:val="18"/>
          <w:szCs w:val="17"/>
        </w:rPr>
        <w:t xml:space="preserve">, </w:t>
      </w:r>
      <w:hyperlink r:id="rId14" w:history="1">
        <w:r w:rsidRPr="00C85A4C">
          <w:rPr>
            <w:rStyle w:val="Hyperlink"/>
            <w:rFonts w:ascii="Arial Narrow" w:hAnsi="Arial Narrow"/>
            <w:sz w:val="18"/>
            <w:szCs w:val="17"/>
          </w:rPr>
          <w:t>A/HRC/29/23</w:t>
        </w:r>
      </w:hyperlink>
      <w:r w:rsidRPr="00C85A4C">
        <w:rPr>
          <w:rFonts w:ascii="Arial Narrow" w:hAnsi="Arial Narrow"/>
          <w:sz w:val="18"/>
          <w:szCs w:val="17"/>
        </w:rPr>
        <w:t>, ¶ 37.</w:t>
      </w:r>
    </w:p>
  </w:endnote>
  <w:endnote w:id="23">
    <w:p w14:paraId="0A117331"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Ibid, ¶ 23.</w:t>
      </w:r>
    </w:p>
  </w:endnote>
  <w:endnote w:id="24">
    <w:p w14:paraId="5A7CE801" w14:textId="77777777" w:rsidR="001F01B6" w:rsidRPr="00C85A4C" w:rsidRDefault="001F01B6" w:rsidP="001F01B6">
      <w:pPr>
        <w:pStyle w:val="EndnoteText"/>
        <w:spacing w:before="60"/>
        <w:rPr>
          <w:rFonts w:ascii="Arial Narrow" w:hAnsi="Arial Narrow"/>
          <w:spacing w:val="-4"/>
          <w:sz w:val="18"/>
          <w:szCs w:val="17"/>
        </w:rPr>
      </w:pPr>
      <w:r w:rsidRPr="00C85A4C">
        <w:rPr>
          <w:rStyle w:val="EndnoteReference"/>
          <w:rFonts w:ascii="Arial Narrow" w:hAnsi="Arial Narrow"/>
          <w:spacing w:val="-4"/>
          <w:sz w:val="18"/>
          <w:szCs w:val="17"/>
        </w:rPr>
        <w:endnoteRef/>
      </w:r>
      <w:r w:rsidRPr="00C85A4C">
        <w:rPr>
          <w:rFonts w:ascii="Arial Narrow" w:hAnsi="Arial Narrow"/>
          <w:spacing w:val="-4"/>
          <w:sz w:val="18"/>
          <w:szCs w:val="17"/>
        </w:rPr>
        <w:t xml:space="preserve"> International Gay and Lesbian Human Rights Commission, </w:t>
      </w:r>
      <w:hyperlink r:id="rId15" w:history="1">
        <w:r w:rsidRPr="00C85A4C">
          <w:rPr>
            <w:rStyle w:val="Hyperlink"/>
            <w:rFonts w:ascii="Arial Narrow" w:hAnsi="Arial Narrow"/>
            <w:i/>
            <w:spacing w:val="-4"/>
            <w:sz w:val="18"/>
            <w:szCs w:val="17"/>
          </w:rPr>
          <w:t>Equal and Indivisible: Crafting Inclusive Shadow Reports for CEDAW</w:t>
        </w:r>
      </w:hyperlink>
      <w:r w:rsidRPr="00C85A4C">
        <w:rPr>
          <w:rFonts w:ascii="Arial Narrow" w:hAnsi="Arial Narrow"/>
          <w:spacing w:val="-4"/>
          <w:sz w:val="18"/>
          <w:szCs w:val="17"/>
        </w:rPr>
        <w:t xml:space="preserve"> (2013), p. 39.</w:t>
      </w:r>
    </w:p>
  </w:endnote>
  <w:endnote w:id="25">
    <w:p w14:paraId="04DD59F7"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See National Center for Lesbian Rights, </w:t>
      </w:r>
      <w:hyperlink r:id="rId16" w:history="1">
        <w:r w:rsidRPr="00C85A4C">
          <w:rPr>
            <w:rStyle w:val="Hyperlink"/>
            <w:rFonts w:ascii="Arial Narrow" w:hAnsi="Arial Narrow"/>
            <w:i/>
            <w:sz w:val="18"/>
            <w:szCs w:val="17"/>
          </w:rPr>
          <w:t>The challenges to successful lesbian asylum claims</w:t>
        </w:r>
      </w:hyperlink>
      <w:r w:rsidRPr="00C85A4C">
        <w:rPr>
          <w:rFonts w:ascii="Arial Narrow" w:hAnsi="Arial Narrow"/>
          <w:sz w:val="18"/>
          <w:szCs w:val="17"/>
        </w:rPr>
        <w:t>, p. 5.</w:t>
      </w:r>
    </w:p>
  </w:endnote>
  <w:endnote w:id="26">
    <w:p w14:paraId="3AD105EA"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International Gay and Lesbian Human Rights Commission, </w:t>
      </w:r>
      <w:hyperlink r:id="rId17" w:history="1">
        <w:r w:rsidRPr="00C85A4C">
          <w:rPr>
            <w:rStyle w:val="Hyperlink"/>
            <w:rFonts w:ascii="Arial Narrow" w:hAnsi="Arial Narrow"/>
            <w:i/>
            <w:sz w:val="18"/>
            <w:szCs w:val="17"/>
          </w:rPr>
          <w:t>Equal and Indivisible: Crafting Inclusive Shadow Reports for CEDAW</w:t>
        </w:r>
      </w:hyperlink>
      <w:r w:rsidRPr="00C85A4C">
        <w:rPr>
          <w:rFonts w:ascii="Arial Narrow" w:hAnsi="Arial Narrow"/>
          <w:sz w:val="18"/>
          <w:szCs w:val="17"/>
        </w:rPr>
        <w:t xml:space="preserve"> (2013), p. 26.</w:t>
      </w:r>
    </w:p>
  </w:endnote>
  <w:endnote w:id="27">
    <w:p w14:paraId="7FDCA9C9"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w:t>
      </w:r>
      <w:r w:rsidRPr="00C85A4C">
        <w:rPr>
          <w:rFonts w:ascii="Arial Narrow" w:hAnsi="Arial Narrow"/>
          <w:i/>
          <w:sz w:val="18"/>
          <w:szCs w:val="17"/>
        </w:rPr>
        <w:t>Discrimination and violence against individuals based on their sexual orientation and gender identity</w:t>
      </w:r>
      <w:r w:rsidRPr="00C85A4C">
        <w:rPr>
          <w:rFonts w:ascii="Arial Narrow" w:hAnsi="Arial Narrow"/>
          <w:sz w:val="18"/>
          <w:szCs w:val="17"/>
        </w:rPr>
        <w:t xml:space="preserve">, </w:t>
      </w:r>
      <w:hyperlink r:id="rId18" w:history="1">
        <w:r w:rsidRPr="00C85A4C">
          <w:rPr>
            <w:rStyle w:val="Hyperlink"/>
            <w:rFonts w:ascii="Arial Narrow" w:hAnsi="Arial Narrow"/>
            <w:sz w:val="18"/>
            <w:szCs w:val="17"/>
          </w:rPr>
          <w:t>A/HRC/29/23</w:t>
        </w:r>
      </w:hyperlink>
      <w:r w:rsidRPr="00C85A4C">
        <w:rPr>
          <w:rFonts w:ascii="Arial Narrow" w:hAnsi="Arial Narrow"/>
          <w:sz w:val="18"/>
          <w:szCs w:val="17"/>
        </w:rPr>
        <w:t>, ¶ 30.</w:t>
      </w:r>
    </w:p>
  </w:endnote>
  <w:endnote w:id="28">
    <w:p w14:paraId="4F6A84AC"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See </w:t>
      </w:r>
      <w:proofErr w:type="spellStart"/>
      <w:r w:rsidRPr="00C85A4C">
        <w:rPr>
          <w:rFonts w:ascii="Arial Narrow" w:hAnsi="Arial Narrow"/>
          <w:sz w:val="18"/>
          <w:szCs w:val="17"/>
        </w:rPr>
        <w:t>eg</w:t>
      </w:r>
      <w:proofErr w:type="spellEnd"/>
      <w:r w:rsidRPr="00C85A4C">
        <w:rPr>
          <w:rFonts w:ascii="Arial Narrow" w:hAnsi="Arial Narrow"/>
          <w:sz w:val="18"/>
          <w:szCs w:val="17"/>
        </w:rPr>
        <w:t xml:space="preserve"> Human Rights Campaign, </w:t>
      </w:r>
      <w:hyperlink r:id="rId19" w:history="1">
        <w:r w:rsidRPr="00C85A4C">
          <w:rPr>
            <w:rStyle w:val="Hyperlink"/>
            <w:rFonts w:ascii="Arial Narrow" w:hAnsi="Arial Narrow"/>
            <w:i/>
            <w:sz w:val="18"/>
            <w:szCs w:val="17"/>
          </w:rPr>
          <w:t>The Lies and Dangers of Efforts to Change Sexual Orientation or Gender Identity</w:t>
        </w:r>
      </w:hyperlink>
      <w:r w:rsidRPr="00C85A4C">
        <w:rPr>
          <w:rFonts w:ascii="Arial Narrow" w:hAnsi="Arial Narrow"/>
          <w:sz w:val="18"/>
          <w:szCs w:val="17"/>
        </w:rPr>
        <w:t>.</w:t>
      </w:r>
    </w:p>
  </w:endnote>
  <w:endnote w:id="29">
    <w:p w14:paraId="44708FAE"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Report of the Special Rapporteur on torture and other cruel, inhuman or degrading treatment or punishment, </w:t>
      </w:r>
      <w:hyperlink r:id="rId20" w:history="1">
        <w:r w:rsidRPr="00C85A4C">
          <w:rPr>
            <w:rStyle w:val="Hyperlink"/>
            <w:rFonts w:ascii="Arial Narrow" w:hAnsi="Arial Narrow"/>
            <w:sz w:val="18"/>
            <w:szCs w:val="17"/>
          </w:rPr>
          <w:t>A/HRC/31/57</w:t>
        </w:r>
      </w:hyperlink>
      <w:r w:rsidRPr="00C85A4C">
        <w:rPr>
          <w:rFonts w:ascii="Arial Narrow" w:hAnsi="Arial Narrow"/>
          <w:sz w:val="18"/>
          <w:szCs w:val="17"/>
        </w:rPr>
        <w:t>, ¶ 13.</w:t>
      </w:r>
    </w:p>
  </w:endnote>
  <w:endnote w:id="30">
    <w:p w14:paraId="2D44CDD8" w14:textId="77777777" w:rsidR="001F01B6" w:rsidRPr="00C85A4C" w:rsidRDefault="001F01B6" w:rsidP="001F01B6">
      <w:pPr>
        <w:pStyle w:val="EndnoteText"/>
        <w:spacing w:before="60"/>
        <w:rPr>
          <w:rFonts w:ascii="Arial Narrow" w:hAnsi="Arial Narrow"/>
          <w:sz w:val="18"/>
          <w:szCs w:val="17"/>
        </w:rPr>
      </w:pPr>
      <w:r w:rsidRPr="00C85A4C">
        <w:rPr>
          <w:rStyle w:val="EndnoteReference"/>
          <w:rFonts w:ascii="Arial Narrow" w:hAnsi="Arial Narrow"/>
          <w:sz w:val="18"/>
          <w:szCs w:val="17"/>
        </w:rPr>
        <w:endnoteRef/>
      </w:r>
      <w:r w:rsidRPr="00C85A4C">
        <w:rPr>
          <w:rFonts w:ascii="Arial Narrow" w:hAnsi="Arial Narrow"/>
          <w:sz w:val="18"/>
          <w:szCs w:val="17"/>
        </w:rPr>
        <w:t xml:space="preserve"> See </w:t>
      </w:r>
      <w:proofErr w:type="spellStart"/>
      <w:r w:rsidRPr="00C85A4C">
        <w:rPr>
          <w:rFonts w:ascii="Arial Narrow" w:hAnsi="Arial Narrow"/>
          <w:sz w:val="18"/>
          <w:szCs w:val="17"/>
        </w:rPr>
        <w:t>eg</w:t>
      </w:r>
      <w:proofErr w:type="spellEnd"/>
      <w:r w:rsidRPr="00C85A4C">
        <w:rPr>
          <w:rFonts w:ascii="Arial Narrow" w:hAnsi="Arial Narrow"/>
          <w:sz w:val="18"/>
          <w:szCs w:val="17"/>
        </w:rPr>
        <w:t xml:space="preserve"> OHCHR, UN-Women, UNAIDS, UNDP, UNFPA, UNICEF and WHO: </w:t>
      </w:r>
      <w:hyperlink r:id="rId21" w:history="1">
        <w:r w:rsidRPr="00C85A4C">
          <w:rPr>
            <w:rStyle w:val="Hyperlink"/>
            <w:rFonts w:ascii="Arial Narrow" w:hAnsi="Arial Narrow"/>
            <w:i/>
            <w:sz w:val="18"/>
            <w:szCs w:val="17"/>
          </w:rPr>
          <w:t>Eliminating forced, coercive and otherwise involuntary sterilization: an interagency statement</w:t>
        </w:r>
      </w:hyperlink>
      <w:r w:rsidRPr="00C85A4C">
        <w:rPr>
          <w:rFonts w:ascii="Arial Narrow" w:hAnsi="Arial Narrow"/>
          <w:sz w:val="18"/>
          <w:szCs w:val="17"/>
        </w:rPr>
        <w:t xml:space="preserve"> (2014), p. 7.</w:t>
      </w:r>
    </w:p>
  </w:endnote>
  <w:endnote w:id="31">
    <w:p w14:paraId="4399A3D2" w14:textId="77777777" w:rsidR="001F01B6" w:rsidRPr="00C85A4C" w:rsidRDefault="001F01B6" w:rsidP="001F01B6">
      <w:pPr>
        <w:pStyle w:val="EndnoteText"/>
        <w:spacing w:before="60"/>
        <w:rPr>
          <w:sz w:val="18"/>
          <w:szCs w:val="18"/>
        </w:rPr>
      </w:pPr>
      <w:r w:rsidRPr="00C85A4C">
        <w:rPr>
          <w:rStyle w:val="EndnoteReference"/>
          <w:rFonts w:ascii="Arial Narrow" w:hAnsi="Arial Narrow"/>
          <w:sz w:val="18"/>
          <w:szCs w:val="17"/>
        </w:rPr>
        <w:endnoteRef/>
      </w:r>
      <w:r w:rsidRPr="00C85A4C">
        <w:rPr>
          <w:rFonts w:ascii="Arial Narrow" w:hAnsi="Arial Narrow"/>
          <w:sz w:val="18"/>
          <w:szCs w:val="17"/>
        </w:rPr>
        <w:t xml:space="preserve"> Intersex Awareness Day – Wednesday 26 October</w:t>
      </w:r>
      <w:r w:rsidRPr="00C85A4C">
        <w:rPr>
          <w:rFonts w:ascii="Arial Narrow" w:hAnsi="Arial Narrow"/>
          <w:i/>
          <w:sz w:val="18"/>
          <w:szCs w:val="17"/>
        </w:rPr>
        <w:t xml:space="preserve">, </w:t>
      </w:r>
      <w:hyperlink r:id="rId22" w:history="1">
        <w:r w:rsidRPr="00C85A4C">
          <w:rPr>
            <w:rStyle w:val="Hyperlink"/>
            <w:rFonts w:ascii="Arial Narrow" w:hAnsi="Arial Narrow"/>
            <w:i/>
            <w:sz w:val="18"/>
            <w:szCs w:val="17"/>
          </w:rPr>
          <w:t>End violence and harmful medical practices on intersex children and adults, UN and regional experts urge</w:t>
        </w:r>
      </w:hyperlink>
      <w:r w:rsidRPr="00C85A4C">
        <w:rPr>
          <w:rFonts w:ascii="Arial Narrow" w:hAnsi="Arial Narrow"/>
          <w:sz w:val="18"/>
          <w:szCs w:val="17"/>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Calibri Light">
    <w:panose1 w:val="020F0302020204030204"/>
    <w:charset w:val="00"/>
    <w:family w:val="auto"/>
    <w:pitch w:val="variable"/>
    <w:sig w:usb0="A00002EF" w:usb1="4000207B" w:usb2="00000000" w:usb3="00000000" w:csb0="0000019F" w:csb1="00000000"/>
  </w:font>
  <w:font w:name="ArialMT">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A320C0" w14:textId="77777777" w:rsidR="00ED5642" w:rsidRPr="00B677FC" w:rsidRDefault="00ED5642" w:rsidP="00ED5642">
    <w:pPr>
      <w:jc w:val="center"/>
      <w:rPr>
        <w:rFonts w:ascii="Calibri Light" w:hAnsi="Calibri Light" w:cs="Arial"/>
        <w:szCs w:val="24"/>
      </w:rPr>
    </w:pPr>
    <w:r w:rsidRPr="00B677FC">
      <w:rPr>
        <w:rFonts w:ascii="Calibri Light" w:hAnsi="Calibri Light" w:cs="Arial"/>
        <w:szCs w:val="24"/>
      </w:rPr>
      <w:t>20 rue Rothschild, 1202 Geneva, Switzerland</w:t>
    </w:r>
  </w:p>
  <w:p w14:paraId="622C3C71" w14:textId="77777777" w:rsidR="00ED5642" w:rsidRPr="00F12DE2" w:rsidRDefault="00ED5642" w:rsidP="00ED5642">
    <w:pPr>
      <w:jc w:val="center"/>
      <w:rPr>
        <w:rFonts w:ascii="Calibri Light" w:hAnsi="Calibri Light" w:cs="Arial"/>
        <w:szCs w:val="24"/>
        <w:lang w:val="de-DE"/>
      </w:rPr>
    </w:pPr>
    <w:r w:rsidRPr="00F12DE2">
      <w:rPr>
        <w:rFonts w:ascii="Calibri Light" w:hAnsi="Calibri Light" w:cs="Arial"/>
        <w:szCs w:val="24"/>
        <w:lang w:val="de-DE"/>
      </w:rPr>
      <w:t xml:space="preserve">Tel. +41 22 731 3254 • </w:t>
    </w:r>
    <w:hyperlink r:id="rId1" w:history="1">
      <w:r w:rsidRPr="00F12DE2">
        <w:rPr>
          <w:rStyle w:val="Hyperlink"/>
          <w:rFonts w:ascii="Calibri Light" w:hAnsi="Calibri Light" w:cs="Arial"/>
          <w:szCs w:val="24"/>
          <w:lang w:val="de-DE"/>
        </w:rPr>
        <w:t>www.ilga.org</w:t>
      </w:r>
    </w:hyperlink>
    <w:r w:rsidRPr="00F12DE2">
      <w:rPr>
        <w:rFonts w:ascii="Calibri Light" w:hAnsi="Calibri Light" w:cs="Arial"/>
        <w:szCs w:val="24"/>
        <w:lang w:val="de-DE"/>
      </w:rPr>
      <w:t xml:space="preserve"> • </w:t>
    </w:r>
    <w:hyperlink r:id="rId2" w:history="1">
      <w:r w:rsidR="00B677FC" w:rsidRPr="00F12DE2">
        <w:rPr>
          <w:rStyle w:val="Hyperlink"/>
          <w:rFonts w:ascii="Calibri Light" w:hAnsi="Calibri Light" w:cs="Arial"/>
          <w:szCs w:val="24"/>
          <w:lang w:val="de-DE"/>
        </w:rPr>
        <w:t>information@ilga.org</w:t>
      </w:r>
    </w:hyperlink>
  </w:p>
  <w:p w14:paraId="56179AF5" w14:textId="77777777" w:rsidR="00B677FC" w:rsidRPr="00400F5A" w:rsidRDefault="00B677FC" w:rsidP="00ED5642">
    <w:pPr>
      <w:jc w:val="center"/>
      <w:rPr>
        <w:rFonts w:ascii="Calibri Light" w:hAnsi="Calibri Light" w:cs="Arial"/>
        <w:i/>
        <w:szCs w:val="24"/>
        <w:lang w:val="it-IT"/>
      </w:rPr>
    </w:pPr>
    <w:r w:rsidRPr="00400F5A">
      <w:rPr>
        <w:rFonts w:ascii="Calibri Light" w:hAnsi="Calibri Light" w:cs="Arial"/>
        <w:i/>
        <w:szCs w:val="24"/>
        <w:lang w:val="it-IT"/>
      </w:rPr>
      <w:t xml:space="preserve">N. </w:t>
    </w:r>
    <w:proofErr w:type="spellStart"/>
    <w:r w:rsidRPr="00400F5A">
      <w:rPr>
        <w:rFonts w:ascii="Calibri Light" w:hAnsi="Calibri Light" w:cs="Arial"/>
        <w:i/>
        <w:szCs w:val="24"/>
        <w:lang w:val="it-IT"/>
      </w:rPr>
      <w:t>féd</w:t>
    </w:r>
    <w:proofErr w:type="spellEnd"/>
    <w:r w:rsidRPr="00400F5A">
      <w:rPr>
        <w:rFonts w:ascii="Calibri Light" w:hAnsi="Calibri Light" w:cs="Arial"/>
        <w:i/>
        <w:szCs w:val="24"/>
        <w:lang w:val="it-IT"/>
      </w:rPr>
      <w:t>. CH-660.1.166.015-4 – IDE CHE-455.926.653</w:t>
    </w:r>
  </w:p>
  <w:p w14:paraId="62A09606" w14:textId="77777777" w:rsidR="00ED5642" w:rsidRPr="00400F5A" w:rsidRDefault="00ED5642" w:rsidP="00ED5642">
    <w:pPr>
      <w:pStyle w:val="Footer"/>
      <w:rPr>
        <w:lang w:val="it-IT"/>
      </w:rPr>
    </w:pPr>
  </w:p>
  <w:p w14:paraId="45A84908" w14:textId="77777777" w:rsidR="00D61093" w:rsidRDefault="00D6109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6EE754" w14:textId="77777777" w:rsidR="0099166A" w:rsidRDefault="0099166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2E8CA6" w14:textId="77777777" w:rsidR="001F01B6" w:rsidRDefault="001F01B6" w:rsidP="00423D8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D6A295" w14:textId="77777777" w:rsidR="001F01B6" w:rsidRDefault="001F01B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704AA5" w14:textId="77777777" w:rsidR="001F01B6" w:rsidRPr="0086701E" w:rsidRDefault="001F01B6" w:rsidP="00423D8A">
    <w:pPr>
      <w:pStyle w:val="Footer"/>
      <w:framePr w:wrap="none" w:vAnchor="text" w:hAnchor="margin" w:xAlign="center" w:y="1"/>
      <w:rPr>
        <w:rStyle w:val="PageNumber"/>
        <w:rFonts w:ascii="Helvetica" w:hAnsi="Helvetica"/>
        <w:sz w:val="22"/>
        <w:szCs w:val="22"/>
      </w:rPr>
    </w:pPr>
    <w:r w:rsidRPr="0086701E">
      <w:rPr>
        <w:rStyle w:val="PageNumber"/>
        <w:rFonts w:ascii="Helvetica" w:hAnsi="Helvetica"/>
        <w:sz w:val="22"/>
        <w:szCs w:val="22"/>
      </w:rPr>
      <w:fldChar w:fldCharType="begin"/>
    </w:r>
    <w:r w:rsidRPr="0086701E">
      <w:rPr>
        <w:rStyle w:val="PageNumber"/>
        <w:rFonts w:ascii="Helvetica" w:hAnsi="Helvetica"/>
        <w:sz w:val="22"/>
        <w:szCs w:val="22"/>
      </w:rPr>
      <w:instrText xml:space="preserve">PAGE  </w:instrText>
    </w:r>
    <w:r w:rsidRPr="0086701E">
      <w:rPr>
        <w:rStyle w:val="PageNumber"/>
        <w:rFonts w:ascii="Helvetica" w:hAnsi="Helvetica"/>
        <w:sz w:val="22"/>
        <w:szCs w:val="22"/>
      </w:rPr>
      <w:fldChar w:fldCharType="separate"/>
    </w:r>
    <w:r w:rsidR="00163179">
      <w:rPr>
        <w:rStyle w:val="PageNumber"/>
        <w:rFonts w:ascii="Helvetica" w:hAnsi="Helvetica"/>
        <w:noProof/>
        <w:sz w:val="22"/>
        <w:szCs w:val="22"/>
      </w:rPr>
      <w:t>7</w:t>
    </w:r>
    <w:r w:rsidRPr="0086701E">
      <w:rPr>
        <w:rStyle w:val="PageNumber"/>
        <w:rFonts w:ascii="Helvetica" w:hAnsi="Helvetica"/>
        <w:sz w:val="22"/>
        <w:szCs w:val="22"/>
      </w:rPr>
      <w:fldChar w:fldCharType="end"/>
    </w:r>
  </w:p>
  <w:p w14:paraId="69EC7DDF" w14:textId="77777777" w:rsidR="001F01B6" w:rsidRDefault="001F01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9D028" w14:textId="77777777" w:rsidR="00A83708" w:rsidRDefault="00A83708" w:rsidP="00ED5642">
      <w:r>
        <w:separator/>
      </w:r>
    </w:p>
  </w:footnote>
  <w:footnote w:type="continuationSeparator" w:id="0">
    <w:p w14:paraId="139A230C" w14:textId="77777777" w:rsidR="00A83708" w:rsidRDefault="00A83708" w:rsidP="00ED56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336CCF" w14:textId="77777777" w:rsidR="00ED5642" w:rsidRDefault="00A83708">
    <w:pPr>
      <w:pStyle w:val="Header"/>
    </w:pPr>
    <w:r>
      <w:rPr>
        <w:noProof/>
      </w:rPr>
      <w:pict w14:anchorId="40AB4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85pt;height:586.65pt;z-index:-251657216;mso-wrap-edited:f;mso-position-horizontal:center;mso-position-horizontal-relative:margin;mso-position-vertical:center;mso-position-vertical-relative:margin" wrapcoords="7929 0 9139 441 10038 856 7382 1077 7343 1132 8241 1325 9569 1767 9530 1988 9608 2182 9803 2209 11522 3065 12147 3507 12655 3949 13045 4391 13358 4861 13514 5303 13436 7513 10546 7540 8944 7706 8827 7954 6562 7982 5546 8120 5468 8396 4765 8838 4296 9280 4062 9722 4062 10164 -39 10247 -39 12678 117 12788 742 12816 742 12926 5194 13230 6444 13258 3554 13645 2031 13727 2148 13948 5702 14142 2890 14528 2616 14584 273 14777 -39 14832 -39 15219 1054 15440 1796 15468 1093 15578 -39 15827 -39 21489 1679 21544 3007 21544 3046 21544 6132 19859 8905 18092 10038 17291 11678 15909 11561 15882 12616 14998 13475 14114 14334 12816 14764 11932 14920 11490 14998 11048 15389 10164 15389 9722 15662 9253 16287 8811 17186 8369 17850 7927 18670 7485 19607 7071 20975 6629 21443 6601 21600 6463 21600 6076 19803 5717 21600 3535 21600 0 7929 0">
          <v:imagedata r:id="rId1" o:title="rainbow swirl"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849CAE" w14:textId="77777777" w:rsidR="00ED5642" w:rsidRDefault="00A83708" w:rsidP="00ED5642">
    <w:pPr>
      <w:pStyle w:val="Header"/>
      <w:tabs>
        <w:tab w:val="center" w:pos="4150"/>
        <w:tab w:val="left" w:pos="6540"/>
      </w:tabs>
    </w:pPr>
    <w:r>
      <w:rPr>
        <w:noProof/>
      </w:rPr>
      <w:pict w14:anchorId="050C5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18pt;margin-top:-221.65pt;width:464.6pt;height:657pt;z-index:-251658240;mso-wrap-edited:f;mso-position-horizontal-relative:margin;mso-position-vertical-relative:margin" wrapcoords="7929 0 9139 441 10038 856 7382 1077 7343 1132 8241 1325 9569 1767 9530 1988 9608 2182 9803 2209 11522 3065 12147 3507 12655 3949 13045 4391 13358 4861 13514 5303 13436 7513 10546 7540 8944 7706 8827 7954 6562 7982 5546 8120 5468 8396 4765 8838 4296 9280 4062 9722 4062 10164 -39 10247 -39 12678 117 12788 742 12816 742 12926 5194 13230 6444 13258 3554 13645 2031 13727 2148 13948 5702 14142 2890 14528 2616 14584 273 14777 -39 14832 -39 15219 1054 15440 1796 15468 1093 15578 -39 15827 -39 21489 1679 21544 3007 21544 3046 21544 6132 19859 8905 18092 10038 17291 11678 15909 11561 15882 12616 14998 13475 14114 14334 12816 14764 11932 14920 11490 14998 11048 15389 10164 15389 9722 15662 9253 16287 8811 17186 8369 17850 7927 18670 7485 19607 7071 20975 6629 21443 6601 21600 6463 21600 6076 19803 5717 21600 3535 21600 0 7929 0">
          <v:imagedata r:id="rId1" o:title="rainbow swirl" gain="19661f" blacklevel="22938f"/>
          <w10:wrap anchorx="margin" anchory="margin"/>
        </v:shape>
      </w:pict>
    </w:r>
    <w:r w:rsidR="00ED5642">
      <w:tab/>
    </w:r>
    <w:r w:rsidR="001E1C34">
      <w:t xml:space="preserve">       </w:t>
    </w:r>
    <w:r w:rsidR="00ED5642">
      <w:rPr>
        <w:noProof/>
      </w:rPr>
      <w:drawing>
        <wp:inline distT="0" distB="0" distL="0" distR="0" wp14:anchorId="2B2C898E" wp14:editId="66A5CED2">
          <wp:extent cx="1181100" cy="167235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672354"/>
                  </a:xfrm>
                  <a:prstGeom prst="rect">
                    <a:avLst/>
                  </a:prstGeom>
                  <a:noFill/>
                  <a:ln>
                    <a:noFill/>
                  </a:ln>
                </pic:spPr>
              </pic:pic>
            </a:graphicData>
          </a:graphic>
        </wp:inline>
      </w:drawing>
    </w:r>
  </w:p>
  <w:p w14:paraId="077BBEAB" w14:textId="77777777" w:rsidR="00ED5642" w:rsidRDefault="00ED5642" w:rsidP="00ED5642">
    <w:pPr>
      <w:pStyle w:val="Header"/>
      <w:tabs>
        <w:tab w:val="center" w:pos="4150"/>
        <w:tab w:val="left" w:pos="6540"/>
      </w:tabs>
    </w:pPr>
    <w:r>
      <w:tab/>
    </w:r>
  </w:p>
  <w:p w14:paraId="314E588D" w14:textId="77777777" w:rsidR="00ED5642" w:rsidRPr="008C42CB" w:rsidRDefault="008C42CB" w:rsidP="00ED5642">
    <w:pPr>
      <w:ind w:left="-993" w:firstLine="567"/>
      <w:jc w:val="center"/>
      <w:rPr>
        <w:rFonts w:ascii="Calibri Light" w:hAnsi="Calibri Light" w:cs="Arial"/>
        <w:b/>
        <w:sz w:val="32"/>
        <w:szCs w:val="32"/>
      </w:rPr>
    </w:pPr>
    <w:r w:rsidRPr="008C42CB">
      <w:rPr>
        <w:rFonts w:ascii="Calibri Light" w:hAnsi="Calibri Light" w:cs="Arial"/>
        <w:b/>
        <w:sz w:val="32"/>
        <w:szCs w:val="32"/>
      </w:rPr>
      <w:t>Th</w:t>
    </w:r>
    <w:r>
      <w:rPr>
        <w:rFonts w:ascii="Calibri Light" w:hAnsi="Calibri Light" w:cs="Arial"/>
        <w:b/>
        <w:sz w:val="32"/>
        <w:szCs w:val="32"/>
      </w:rPr>
      <w:t xml:space="preserve">e </w:t>
    </w:r>
    <w:r w:rsidR="00ED5642" w:rsidRPr="008C42CB">
      <w:rPr>
        <w:rFonts w:ascii="Calibri Light" w:hAnsi="Calibri Light" w:cs="Arial"/>
        <w:b/>
        <w:sz w:val="32"/>
        <w:szCs w:val="32"/>
      </w:rPr>
      <w:t>International Lesbian, Gay, Bisexual, Trans and Intersex Association</w:t>
    </w:r>
  </w:p>
  <w:p w14:paraId="25A7D611" w14:textId="77777777" w:rsidR="00ED5642" w:rsidRDefault="00ED5642" w:rsidP="00ED5642">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E0BDBA" w14:textId="77777777" w:rsidR="00ED5642" w:rsidRDefault="00A83708">
    <w:pPr>
      <w:pStyle w:val="Header"/>
    </w:pPr>
    <w:r>
      <w:rPr>
        <w:noProof/>
      </w:rPr>
      <w:pict w14:anchorId="48DFC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85pt;height:586.65pt;z-index:-251656192;mso-wrap-edited:f;mso-position-horizontal:center;mso-position-horizontal-relative:margin;mso-position-vertical:center;mso-position-vertical-relative:margin" wrapcoords="7929 0 9139 441 10038 856 7382 1077 7343 1132 8241 1325 9569 1767 9530 1988 9608 2182 9803 2209 11522 3065 12147 3507 12655 3949 13045 4391 13358 4861 13514 5303 13436 7513 10546 7540 8944 7706 8827 7954 6562 7982 5546 8120 5468 8396 4765 8838 4296 9280 4062 9722 4062 10164 -39 10247 -39 12678 117 12788 742 12816 742 12926 5194 13230 6444 13258 3554 13645 2031 13727 2148 13948 5702 14142 2890 14528 2616 14584 273 14777 -39 14832 -39 15219 1054 15440 1796 15468 1093 15578 -39 15827 -39 21489 1679 21544 3007 21544 3046 21544 6132 19859 8905 18092 10038 17291 11678 15909 11561 15882 12616 14998 13475 14114 14334 12816 14764 11932 14920 11490 14998 11048 15389 10164 15389 9722 15662 9253 16287 8811 17186 8369 17850 7927 18670 7485 19607 7071 20975 6629 21443 6601 21600 6463 21600 6076 19803 5717 21600 3535 21600 0 7929 0">
          <v:imagedata r:id="rId1" o:title="rainbow swirl" gain="19661f" blacklevel="22938f"/>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1E9F19" w14:textId="77777777" w:rsidR="0099166A" w:rsidRDefault="00ED1EBD" w:rsidP="00ED5642">
    <w:pPr>
      <w:pStyle w:val="Header"/>
      <w:jc w:val="center"/>
    </w:pPr>
    <w:r>
      <w:rPr>
        <w:noProof/>
      </w:rPr>
      <w:drawing>
        <wp:anchor distT="0" distB="0" distL="114300" distR="114300" simplePos="0" relativeHeight="251662336" behindDoc="1" locked="0" layoutInCell="1" allowOverlap="1" wp14:anchorId="4B673A1B" wp14:editId="522D0535">
          <wp:simplePos x="0" y="0"/>
          <wp:positionH relativeFrom="margin">
            <wp:posOffset>-228600</wp:posOffset>
          </wp:positionH>
          <wp:positionV relativeFrom="margin">
            <wp:posOffset>-2814955</wp:posOffset>
          </wp:positionV>
          <wp:extent cx="5900420" cy="8343900"/>
          <wp:effectExtent l="0" t="0" r="0" b="12700"/>
          <wp:wrapNone/>
          <wp:docPr id="1" name="Picture 1" descr="rainbow 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swirl"/>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0420" cy="8343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57F9E"/>
    <w:multiLevelType w:val="hybridMultilevel"/>
    <w:tmpl w:val="5F34AE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8772C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nsid w:val="1A8E7A74"/>
    <w:multiLevelType w:val="hybridMultilevel"/>
    <w:tmpl w:val="09A6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F6218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3C500B24"/>
    <w:multiLevelType w:val="hybridMultilevel"/>
    <w:tmpl w:val="1E283F26"/>
    <w:lvl w:ilvl="0" w:tplc="9DDA4CA2">
      <w:numFmt w:val="bullet"/>
      <w:lvlText w:val="-"/>
      <w:lvlJc w:val="left"/>
      <w:pPr>
        <w:tabs>
          <w:tab w:val="num" w:pos="720"/>
        </w:tabs>
        <w:ind w:left="720" w:hanging="360"/>
      </w:pPr>
      <w:rPr>
        <w:rFonts w:ascii="Times New Roman" w:eastAsia="SimSun" w:hAnsi="Times New Roman" w:cs="Times New Roman" w:hint="default"/>
      </w:rPr>
    </w:lvl>
    <w:lvl w:ilvl="1" w:tplc="EAD0DAFA">
      <w:start w:val="1"/>
      <w:numFmt w:val="bullet"/>
      <w:lvlText w:val=""/>
      <w:lvlJc w:val="left"/>
      <w:pPr>
        <w:tabs>
          <w:tab w:val="num" w:pos="1080"/>
        </w:tabs>
        <w:ind w:left="1080" w:hanging="360"/>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468A649B"/>
    <w:multiLevelType w:val="hybridMultilevel"/>
    <w:tmpl w:val="DE5E5382"/>
    <w:lvl w:ilvl="0" w:tplc="313666EC">
      <w:start w:val="3"/>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B102BD2"/>
    <w:multiLevelType w:val="hybridMultilevel"/>
    <w:tmpl w:val="ACC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040A89"/>
    <w:multiLevelType w:val="multilevel"/>
    <w:tmpl w:val="1AE29D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i w:val="0"/>
        <w:i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6E045996"/>
    <w:multiLevelType w:val="hybridMultilevel"/>
    <w:tmpl w:val="7F94C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F23576"/>
    <w:multiLevelType w:val="hybridMultilevel"/>
    <w:tmpl w:val="D8049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1"/>
  </w:num>
  <w:num w:numId="6">
    <w:abstractNumId w:val="4"/>
  </w:num>
  <w:num w:numId="7">
    <w:abstractNumId w:val="0"/>
  </w:num>
  <w:num w:numId="8">
    <w:abstractNumId w:val="8"/>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642"/>
    <w:rsid w:val="00063613"/>
    <w:rsid w:val="000B6C39"/>
    <w:rsid w:val="000E7FDA"/>
    <w:rsid w:val="001207E4"/>
    <w:rsid w:val="0012678D"/>
    <w:rsid w:val="0012707D"/>
    <w:rsid w:val="0016198B"/>
    <w:rsid w:val="00163179"/>
    <w:rsid w:val="001718F0"/>
    <w:rsid w:val="0018438F"/>
    <w:rsid w:val="001A2E0D"/>
    <w:rsid w:val="001E1C34"/>
    <w:rsid w:val="001F01B6"/>
    <w:rsid w:val="00257831"/>
    <w:rsid w:val="002617D2"/>
    <w:rsid w:val="00277E7D"/>
    <w:rsid w:val="002B3F44"/>
    <w:rsid w:val="00314159"/>
    <w:rsid w:val="003A26D1"/>
    <w:rsid w:val="003D036A"/>
    <w:rsid w:val="003E1968"/>
    <w:rsid w:val="00400F5A"/>
    <w:rsid w:val="00414996"/>
    <w:rsid w:val="00430494"/>
    <w:rsid w:val="004408AA"/>
    <w:rsid w:val="00457C5B"/>
    <w:rsid w:val="00481FC5"/>
    <w:rsid w:val="00492D8C"/>
    <w:rsid w:val="004C18FD"/>
    <w:rsid w:val="004E4656"/>
    <w:rsid w:val="005101E1"/>
    <w:rsid w:val="00530443"/>
    <w:rsid w:val="00573EF5"/>
    <w:rsid w:val="00585360"/>
    <w:rsid w:val="0059130A"/>
    <w:rsid w:val="005C3BA3"/>
    <w:rsid w:val="005F4E39"/>
    <w:rsid w:val="00685707"/>
    <w:rsid w:val="006958FE"/>
    <w:rsid w:val="006D438B"/>
    <w:rsid w:val="006D743D"/>
    <w:rsid w:val="00703F5A"/>
    <w:rsid w:val="00770462"/>
    <w:rsid w:val="0077520D"/>
    <w:rsid w:val="00793D2B"/>
    <w:rsid w:val="007A4404"/>
    <w:rsid w:val="007B1D2F"/>
    <w:rsid w:val="007B480E"/>
    <w:rsid w:val="007B547F"/>
    <w:rsid w:val="007C489D"/>
    <w:rsid w:val="0080065D"/>
    <w:rsid w:val="0081360A"/>
    <w:rsid w:val="00826E77"/>
    <w:rsid w:val="008433FA"/>
    <w:rsid w:val="00875584"/>
    <w:rsid w:val="008B10EF"/>
    <w:rsid w:val="008C42CB"/>
    <w:rsid w:val="008C5F96"/>
    <w:rsid w:val="008D6509"/>
    <w:rsid w:val="008F2DC6"/>
    <w:rsid w:val="00921064"/>
    <w:rsid w:val="009618F1"/>
    <w:rsid w:val="00966B17"/>
    <w:rsid w:val="0099166A"/>
    <w:rsid w:val="009A11FE"/>
    <w:rsid w:val="00A13993"/>
    <w:rsid w:val="00A34FC9"/>
    <w:rsid w:val="00A53668"/>
    <w:rsid w:val="00A83708"/>
    <w:rsid w:val="00AA6441"/>
    <w:rsid w:val="00AB2065"/>
    <w:rsid w:val="00AE6893"/>
    <w:rsid w:val="00B37807"/>
    <w:rsid w:val="00B5363F"/>
    <w:rsid w:val="00B677FC"/>
    <w:rsid w:val="00BA0908"/>
    <w:rsid w:val="00BC0B35"/>
    <w:rsid w:val="00BC40A9"/>
    <w:rsid w:val="00BE4CF8"/>
    <w:rsid w:val="00C16ABF"/>
    <w:rsid w:val="00C32D68"/>
    <w:rsid w:val="00C409BD"/>
    <w:rsid w:val="00CC5676"/>
    <w:rsid w:val="00CD3E63"/>
    <w:rsid w:val="00CE55A6"/>
    <w:rsid w:val="00D11BAC"/>
    <w:rsid w:val="00D17999"/>
    <w:rsid w:val="00D61093"/>
    <w:rsid w:val="00D650F1"/>
    <w:rsid w:val="00D724AD"/>
    <w:rsid w:val="00D73DA4"/>
    <w:rsid w:val="00D74B04"/>
    <w:rsid w:val="00D83765"/>
    <w:rsid w:val="00DB75B1"/>
    <w:rsid w:val="00DD6A93"/>
    <w:rsid w:val="00E67A68"/>
    <w:rsid w:val="00E90859"/>
    <w:rsid w:val="00EC1408"/>
    <w:rsid w:val="00ED1EBD"/>
    <w:rsid w:val="00ED5642"/>
    <w:rsid w:val="00ED6392"/>
    <w:rsid w:val="00EE2EF7"/>
    <w:rsid w:val="00EE7F22"/>
    <w:rsid w:val="00F12DE2"/>
    <w:rsid w:val="00F628D2"/>
    <w:rsid w:val="00F67AAD"/>
    <w:rsid w:val="00F86A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61F1707"/>
  <w14:defaultImageDpi w14:val="300"/>
  <w15:docId w15:val="{82780A4C-54FA-497E-8469-AEF53215F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065D"/>
    <w:rPr>
      <w:rFonts w:ascii="Times" w:eastAsia="Times" w:hAnsi="Times"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642"/>
    <w:pPr>
      <w:tabs>
        <w:tab w:val="center" w:pos="4320"/>
        <w:tab w:val="right" w:pos="8640"/>
      </w:tabs>
    </w:pPr>
    <w:rPr>
      <w:rFonts w:asciiTheme="minorHAnsi" w:eastAsiaTheme="minorEastAsia" w:hAnsiTheme="minorHAnsi" w:cstheme="minorBidi"/>
      <w:szCs w:val="24"/>
      <w:lang w:val="en-US"/>
    </w:rPr>
  </w:style>
  <w:style w:type="character" w:customStyle="1" w:styleId="HeaderChar">
    <w:name w:val="Header Char"/>
    <w:basedOn w:val="DefaultParagraphFont"/>
    <w:link w:val="Header"/>
    <w:uiPriority w:val="99"/>
    <w:rsid w:val="00ED5642"/>
  </w:style>
  <w:style w:type="paragraph" w:styleId="Footer">
    <w:name w:val="footer"/>
    <w:basedOn w:val="Normal"/>
    <w:link w:val="FooterChar"/>
    <w:uiPriority w:val="99"/>
    <w:unhideWhenUsed/>
    <w:rsid w:val="00ED5642"/>
    <w:pPr>
      <w:tabs>
        <w:tab w:val="center" w:pos="4320"/>
        <w:tab w:val="right" w:pos="8640"/>
      </w:tabs>
    </w:pPr>
    <w:rPr>
      <w:rFonts w:asciiTheme="minorHAnsi" w:eastAsiaTheme="minorEastAsia" w:hAnsiTheme="minorHAnsi" w:cstheme="minorBidi"/>
      <w:szCs w:val="24"/>
      <w:lang w:val="en-US"/>
    </w:rPr>
  </w:style>
  <w:style w:type="character" w:customStyle="1" w:styleId="FooterChar">
    <w:name w:val="Footer Char"/>
    <w:basedOn w:val="DefaultParagraphFont"/>
    <w:link w:val="Footer"/>
    <w:uiPriority w:val="99"/>
    <w:rsid w:val="00ED5642"/>
  </w:style>
  <w:style w:type="paragraph" w:styleId="BalloonText">
    <w:name w:val="Balloon Text"/>
    <w:basedOn w:val="Normal"/>
    <w:link w:val="BalloonTextChar"/>
    <w:uiPriority w:val="99"/>
    <w:semiHidden/>
    <w:unhideWhenUsed/>
    <w:rsid w:val="00ED5642"/>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ED5642"/>
    <w:rPr>
      <w:rFonts w:ascii="Lucida Grande" w:hAnsi="Lucida Grande" w:cs="Lucida Grande"/>
      <w:sz w:val="18"/>
      <w:szCs w:val="18"/>
    </w:rPr>
  </w:style>
  <w:style w:type="character" w:styleId="Hyperlink">
    <w:name w:val="Hyperlink"/>
    <w:rsid w:val="00ED5642"/>
    <w:rPr>
      <w:color w:val="0000FF"/>
      <w:u w:val="single"/>
    </w:rPr>
  </w:style>
  <w:style w:type="table" w:styleId="TableGrid">
    <w:name w:val="Table Grid"/>
    <w:basedOn w:val="TableNormal"/>
    <w:uiPriority w:val="39"/>
    <w:rsid w:val="00A13993"/>
    <w:rPr>
      <w:rFonts w:eastAsia="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C16ABF"/>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16ABF"/>
    <w:rPr>
      <w:rFonts w:ascii="Consolas" w:eastAsia="Times" w:hAnsi="Consolas" w:cs="Consolas"/>
      <w:sz w:val="20"/>
      <w:szCs w:val="20"/>
      <w:lang w:val="en-GB"/>
    </w:rPr>
  </w:style>
  <w:style w:type="paragraph" w:styleId="ListParagraph">
    <w:name w:val="List Paragraph"/>
    <w:basedOn w:val="Normal"/>
    <w:uiPriority w:val="34"/>
    <w:qFormat/>
    <w:rsid w:val="00CC5676"/>
    <w:pPr>
      <w:spacing w:after="160" w:line="259" w:lineRule="auto"/>
      <w:ind w:left="720"/>
      <w:contextualSpacing/>
    </w:pPr>
    <w:rPr>
      <w:rFonts w:asciiTheme="minorHAnsi" w:eastAsiaTheme="minorHAnsi" w:hAnsiTheme="minorHAnsi" w:cstheme="minorBidi"/>
      <w:sz w:val="22"/>
      <w:szCs w:val="22"/>
    </w:rPr>
  </w:style>
  <w:style w:type="paragraph" w:styleId="EndnoteText">
    <w:name w:val="endnote text"/>
    <w:basedOn w:val="Normal"/>
    <w:link w:val="EndnoteTextChar"/>
    <w:uiPriority w:val="99"/>
    <w:unhideWhenUsed/>
    <w:rsid w:val="0059130A"/>
    <w:rPr>
      <w:rFonts w:asciiTheme="minorHAnsi" w:eastAsiaTheme="minorHAnsi" w:hAnsiTheme="minorHAnsi" w:cstheme="minorBidi"/>
      <w:szCs w:val="24"/>
      <w:lang w:val="en-US"/>
    </w:rPr>
  </w:style>
  <w:style w:type="character" w:customStyle="1" w:styleId="EndnoteTextChar">
    <w:name w:val="Endnote Text Char"/>
    <w:basedOn w:val="DefaultParagraphFont"/>
    <w:link w:val="EndnoteText"/>
    <w:uiPriority w:val="99"/>
    <w:rsid w:val="0059130A"/>
    <w:rPr>
      <w:rFonts w:eastAsiaTheme="minorHAnsi"/>
    </w:rPr>
  </w:style>
  <w:style w:type="character" w:styleId="EndnoteReference">
    <w:name w:val="endnote reference"/>
    <w:basedOn w:val="DefaultParagraphFont"/>
    <w:uiPriority w:val="99"/>
    <w:unhideWhenUsed/>
    <w:rsid w:val="0059130A"/>
    <w:rPr>
      <w:vertAlign w:val="superscript"/>
    </w:rPr>
  </w:style>
  <w:style w:type="paragraph" w:styleId="NormalWeb">
    <w:name w:val="Normal (Web)"/>
    <w:basedOn w:val="Normal"/>
    <w:uiPriority w:val="99"/>
    <w:unhideWhenUsed/>
    <w:rsid w:val="0059130A"/>
    <w:pPr>
      <w:spacing w:before="100" w:beforeAutospacing="1" w:after="100" w:afterAutospacing="1"/>
    </w:pPr>
    <w:rPr>
      <w:rFonts w:ascii="Times New Roman" w:eastAsiaTheme="minorHAnsi" w:hAnsi="Times New Roman"/>
      <w:szCs w:val="24"/>
      <w:lang w:val="en-US"/>
    </w:rPr>
  </w:style>
  <w:style w:type="paragraph" w:styleId="FootnoteText">
    <w:name w:val="footnote text"/>
    <w:basedOn w:val="Normal"/>
    <w:link w:val="FootnoteTextChar"/>
    <w:uiPriority w:val="99"/>
    <w:unhideWhenUsed/>
    <w:rsid w:val="00D650F1"/>
    <w:rPr>
      <w:szCs w:val="24"/>
    </w:rPr>
  </w:style>
  <w:style w:type="character" w:customStyle="1" w:styleId="FootnoteTextChar">
    <w:name w:val="Footnote Text Char"/>
    <w:basedOn w:val="DefaultParagraphFont"/>
    <w:link w:val="FootnoteText"/>
    <w:uiPriority w:val="99"/>
    <w:rsid w:val="00D650F1"/>
    <w:rPr>
      <w:rFonts w:ascii="Times" w:eastAsia="Times" w:hAnsi="Times" w:cs="Times New Roman"/>
      <w:lang w:val="en-GB"/>
    </w:rPr>
  </w:style>
  <w:style w:type="character" w:styleId="FootnoteReference">
    <w:name w:val="footnote reference"/>
    <w:basedOn w:val="DefaultParagraphFont"/>
    <w:uiPriority w:val="99"/>
    <w:unhideWhenUsed/>
    <w:rsid w:val="00D650F1"/>
    <w:rPr>
      <w:vertAlign w:val="superscript"/>
    </w:rPr>
  </w:style>
  <w:style w:type="character" w:styleId="PageNumber">
    <w:name w:val="page number"/>
    <w:basedOn w:val="DefaultParagraphFont"/>
    <w:uiPriority w:val="99"/>
    <w:semiHidden/>
    <w:unhideWhenUsed/>
    <w:rsid w:val="001F01B6"/>
  </w:style>
  <w:style w:type="table" w:styleId="GridTable6Colorful">
    <w:name w:val="Grid Table 6 Colorful"/>
    <w:basedOn w:val="TableNormal"/>
    <w:uiPriority w:val="51"/>
    <w:rsid w:val="001F01B6"/>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905118">
      <w:bodyDiv w:val="1"/>
      <w:marLeft w:val="0"/>
      <w:marRight w:val="0"/>
      <w:marTop w:val="0"/>
      <w:marBottom w:val="0"/>
      <w:divBdr>
        <w:top w:val="none" w:sz="0" w:space="0" w:color="auto"/>
        <w:left w:val="none" w:sz="0" w:space="0" w:color="auto"/>
        <w:bottom w:val="none" w:sz="0" w:space="0" w:color="auto"/>
        <w:right w:val="none" w:sz="0" w:space="0" w:color="auto"/>
      </w:divBdr>
      <w:divsChild>
        <w:div w:id="956257816">
          <w:marLeft w:val="0"/>
          <w:marRight w:val="0"/>
          <w:marTop w:val="0"/>
          <w:marBottom w:val="0"/>
          <w:divBdr>
            <w:top w:val="none" w:sz="0" w:space="0" w:color="auto"/>
            <w:left w:val="none" w:sz="0" w:space="0" w:color="auto"/>
            <w:bottom w:val="none" w:sz="0" w:space="0" w:color="auto"/>
            <w:right w:val="none" w:sz="0" w:space="0" w:color="auto"/>
          </w:divBdr>
        </w:div>
        <w:div w:id="2012638153">
          <w:marLeft w:val="0"/>
          <w:marRight w:val="0"/>
          <w:marTop w:val="0"/>
          <w:marBottom w:val="0"/>
          <w:divBdr>
            <w:top w:val="none" w:sz="0" w:space="0" w:color="auto"/>
            <w:left w:val="none" w:sz="0" w:space="0" w:color="auto"/>
            <w:bottom w:val="none" w:sz="0" w:space="0" w:color="auto"/>
            <w:right w:val="none" w:sz="0" w:space="0" w:color="auto"/>
          </w:divBdr>
        </w:div>
        <w:div w:id="580992668">
          <w:marLeft w:val="0"/>
          <w:marRight w:val="0"/>
          <w:marTop w:val="0"/>
          <w:marBottom w:val="0"/>
          <w:divBdr>
            <w:top w:val="none" w:sz="0" w:space="0" w:color="auto"/>
            <w:left w:val="none" w:sz="0" w:space="0" w:color="auto"/>
            <w:bottom w:val="none" w:sz="0" w:space="0" w:color="auto"/>
            <w:right w:val="none" w:sz="0" w:space="0" w:color="auto"/>
          </w:divBdr>
        </w:div>
        <w:div w:id="2018539984">
          <w:marLeft w:val="0"/>
          <w:marRight w:val="0"/>
          <w:marTop w:val="0"/>
          <w:marBottom w:val="0"/>
          <w:divBdr>
            <w:top w:val="none" w:sz="0" w:space="0" w:color="auto"/>
            <w:left w:val="none" w:sz="0" w:space="0" w:color="auto"/>
            <w:bottom w:val="none" w:sz="0" w:space="0" w:color="auto"/>
            <w:right w:val="none" w:sz="0" w:space="0" w:color="auto"/>
          </w:divBdr>
        </w:div>
        <w:div w:id="1543714219">
          <w:marLeft w:val="0"/>
          <w:marRight w:val="0"/>
          <w:marTop w:val="0"/>
          <w:marBottom w:val="0"/>
          <w:divBdr>
            <w:top w:val="none" w:sz="0" w:space="0" w:color="auto"/>
            <w:left w:val="none" w:sz="0" w:space="0" w:color="auto"/>
            <w:bottom w:val="none" w:sz="0" w:space="0" w:color="auto"/>
            <w:right w:val="none" w:sz="0" w:space="0" w:color="auto"/>
          </w:divBdr>
        </w:div>
        <w:div w:id="1941523747">
          <w:marLeft w:val="0"/>
          <w:marRight w:val="0"/>
          <w:marTop w:val="0"/>
          <w:marBottom w:val="0"/>
          <w:divBdr>
            <w:top w:val="none" w:sz="0" w:space="0" w:color="auto"/>
            <w:left w:val="none" w:sz="0" w:space="0" w:color="auto"/>
            <w:bottom w:val="none" w:sz="0" w:space="0" w:color="auto"/>
            <w:right w:val="none" w:sz="0" w:space="0" w:color="auto"/>
          </w:divBdr>
        </w:div>
        <w:div w:id="1434663582">
          <w:marLeft w:val="0"/>
          <w:marRight w:val="0"/>
          <w:marTop w:val="0"/>
          <w:marBottom w:val="0"/>
          <w:divBdr>
            <w:top w:val="none" w:sz="0" w:space="0" w:color="auto"/>
            <w:left w:val="none" w:sz="0" w:space="0" w:color="auto"/>
            <w:bottom w:val="none" w:sz="0" w:space="0" w:color="auto"/>
            <w:right w:val="none" w:sz="0" w:space="0" w:color="auto"/>
          </w:divBdr>
        </w:div>
        <w:div w:id="1475291668">
          <w:marLeft w:val="0"/>
          <w:marRight w:val="0"/>
          <w:marTop w:val="0"/>
          <w:marBottom w:val="0"/>
          <w:divBdr>
            <w:top w:val="none" w:sz="0" w:space="0" w:color="auto"/>
            <w:left w:val="none" w:sz="0" w:space="0" w:color="auto"/>
            <w:bottom w:val="none" w:sz="0" w:space="0" w:color="auto"/>
            <w:right w:val="none" w:sz="0" w:space="0" w:color="auto"/>
          </w:divBdr>
        </w:div>
        <w:div w:id="1754669385">
          <w:marLeft w:val="0"/>
          <w:marRight w:val="0"/>
          <w:marTop w:val="0"/>
          <w:marBottom w:val="0"/>
          <w:divBdr>
            <w:top w:val="none" w:sz="0" w:space="0" w:color="auto"/>
            <w:left w:val="none" w:sz="0" w:space="0" w:color="auto"/>
            <w:bottom w:val="none" w:sz="0" w:space="0" w:color="auto"/>
            <w:right w:val="none" w:sz="0" w:space="0" w:color="auto"/>
          </w:divBdr>
        </w:div>
        <w:div w:id="2107067411">
          <w:marLeft w:val="0"/>
          <w:marRight w:val="0"/>
          <w:marTop w:val="0"/>
          <w:marBottom w:val="0"/>
          <w:divBdr>
            <w:top w:val="none" w:sz="0" w:space="0" w:color="auto"/>
            <w:left w:val="none" w:sz="0" w:space="0" w:color="auto"/>
            <w:bottom w:val="none" w:sz="0" w:space="0" w:color="auto"/>
            <w:right w:val="none" w:sz="0" w:space="0" w:color="auto"/>
          </w:divBdr>
        </w:div>
        <w:div w:id="186254667">
          <w:marLeft w:val="0"/>
          <w:marRight w:val="0"/>
          <w:marTop w:val="0"/>
          <w:marBottom w:val="0"/>
          <w:divBdr>
            <w:top w:val="none" w:sz="0" w:space="0" w:color="auto"/>
            <w:left w:val="none" w:sz="0" w:space="0" w:color="auto"/>
            <w:bottom w:val="none" w:sz="0" w:space="0" w:color="auto"/>
            <w:right w:val="none" w:sz="0" w:space="0" w:color="auto"/>
          </w:divBdr>
        </w:div>
        <w:div w:id="717436002">
          <w:marLeft w:val="0"/>
          <w:marRight w:val="0"/>
          <w:marTop w:val="0"/>
          <w:marBottom w:val="0"/>
          <w:divBdr>
            <w:top w:val="none" w:sz="0" w:space="0" w:color="auto"/>
            <w:left w:val="none" w:sz="0" w:space="0" w:color="auto"/>
            <w:bottom w:val="none" w:sz="0" w:space="0" w:color="auto"/>
            <w:right w:val="none" w:sz="0" w:space="0" w:color="auto"/>
          </w:divBdr>
        </w:div>
        <w:div w:id="617175565">
          <w:marLeft w:val="0"/>
          <w:marRight w:val="0"/>
          <w:marTop w:val="0"/>
          <w:marBottom w:val="0"/>
          <w:divBdr>
            <w:top w:val="none" w:sz="0" w:space="0" w:color="auto"/>
            <w:left w:val="none" w:sz="0" w:space="0" w:color="auto"/>
            <w:bottom w:val="none" w:sz="0" w:space="0" w:color="auto"/>
            <w:right w:val="none" w:sz="0" w:space="0" w:color="auto"/>
          </w:divBdr>
        </w:div>
        <w:div w:id="1351761932">
          <w:marLeft w:val="0"/>
          <w:marRight w:val="0"/>
          <w:marTop w:val="0"/>
          <w:marBottom w:val="0"/>
          <w:divBdr>
            <w:top w:val="none" w:sz="0" w:space="0" w:color="auto"/>
            <w:left w:val="none" w:sz="0" w:space="0" w:color="auto"/>
            <w:bottom w:val="none" w:sz="0" w:space="0" w:color="auto"/>
            <w:right w:val="none" w:sz="0" w:space="0" w:color="auto"/>
          </w:divBdr>
        </w:div>
        <w:div w:id="497381317">
          <w:marLeft w:val="0"/>
          <w:marRight w:val="0"/>
          <w:marTop w:val="0"/>
          <w:marBottom w:val="0"/>
          <w:divBdr>
            <w:top w:val="none" w:sz="0" w:space="0" w:color="auto"/>
            <w:left w:val="none" w:sz="0" w:space="0" w:color="auto"/>
            <w:bottom w:val="none" w:sz="0" w:space="0" w:color="auto"/>
            <w:right w:val="none" w:sz="0" w:space="0" w:color="auto"/>
          </w:divBdr>
        </w:div>
      </w:divsChild>
    </w:div>
    <w:div w:id="610238234">
      <w:bodyDiv w:val="1"/>
      <w:marLeft w:val="0"/>
      <w:marRight w:val="0"/>
      <w:marTop w:val="0"/>
      <w:marBottom w:val="0"/>
      <w:divBdr>
        <w:top w:val="none" w:sz="0" w:space="0" w:color="auto"/>
        <w:left w:val="none" w:sz="0" w:space="0" w:color="auto"/>
        <w:bottom w:val="none" w:sz="0" w:space="0" w:color="auto"/>
        <w:right w:val="none" w:sz="0" w:space="0" w:color="auto"/>
      </w:divBdr>
      <w:divsChild>
        <w:div w:id="1023481888">
          <w:marLeft w:val="0"/>
          <w:marRight w:val="0"/>
          <w:marTop w:val="0"/>
          <w:marBottom w:val="0"/>
          <w:divBdr>
            <w:top w:val="none" w:sz="0" w:space="0" w:color="auto"/>
            <w:left w:val="none" w:sz="0" w:space="0" w:color="auto"/>
            <w:bottom w:val="none" w:sz="0" w:space="0" w:color="auto"/>
            <w:right w:val="none" w:sz="0" w:space="0" w:color="auto"/>
          </w:divBdr>
        </w:div>
      </w:divsChild>
    </w:div>
    <w:div w:id="875508321">
      <w:bodyDiv w:val="1"/>
      <w:marLeft w:val="0"/>
      <w:marRight w:val="0"/>
      <w:marTop w:val="0"/>
      <w:marBottom w:val="0"/>
      <w:divBdr>
        <w:top w:val="none" w:sz="0" w:space="0" w:color="auto"/>
        <w:left w:val="none" w:sz="0" w:space="0" w:color="auto"/>
        <w:bottom w:val="none" w:sz="0" w:space="0" w:color="auto"/>
        <w:right w:val="none" w:sz="0" w:space="0" w:color="auto"/>
      </w:divBdr>
    </w:div>
    <w:div w:id="901209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docstore.ohchr.org/SelfServices/FilesHandler.ashx?enc=6QkG1d%2fPPRiCAqhKb7yhsn%2fe41KqfmX3PaT%2bm8PgpNo5NJkCle3LmgsB0Zj6X3G7hKryOYjYgCjxbJTJCgFX5P711QBTOiq9CnTmai4iQRXnfFK4Gx%2fr7C%2b3zGfNoMP3" TargetMode="External"/><Relationship Id="rId63" Type="http://schemas.openxmlformats.org/officeDocument/2006/relationships/hyperlink" Target="http://www.un.org/documents/ga/docs/56/a56156.pdf" TargetMode="External"/><Relationship Id="rId68" Type="http://schemas.openxmlformats.org/officeDocument/2006/relationships/hyperlink" Target="http://tbinternet.ohchr.org/_layouts/treatybodyexternal/Download.aspx?symbolno=CAT%2fC%2fAUT%2fCO%2f6&amp;Lang=en" TargetMode="External"/><Relationship Id="rId42" Type="http://schemas.openxmlformats.org/officeDocument/2006/relationships/hyperlink" Target="http://tbinternet.ohchr.org/_layouts/treatybodyexternal/Download.aspx?symbolno=CAT%2fC%2fSWE%2fCO%2f6-7&amp;Lang=en" TargetMode="External"/><Relationship Id="rId47" Type="http://schemas.openxmlformats.org/officeDocument/2006/relationships/hyperlink" Target="http://ap.ohchr.org/documents/dpage_e.aspx?si=A/HRC/31/57" TargetMode="External"/><Relationship Id="rId21" Type="http://schemas.openxmlformats.org/officeDocument/2006/relationships/hyperlink" Target="http://tbinternet.ohchr.org/_layouts/treatybodyexternal/Download.aspx?symbolno=CAT%2fC%2fBDI%2fCO%2f2&amp;Lang=en" TargetMode="External"/><Relationship Id="rId16" Type="http://schemas.openxmlformats.org/officeDocument/2006/relationships/header" Target="header4.xml"/><Relationship Id="rId66" Type="http://schemas.openxmlformats.org/officeDocument/2006/relationships/hyperlink" Target="http://ap.ohchr.org/documents/dpage_e.aspx?si=A/HRC/31/57" TargetMode="External"/><Relationship Id="rId53" Type="http://schemas.openxmlformats.org/officeDocument/2006/relationships/hyperlink" Target="http://undocs.org/CAT/C/57/4" TargetMode="External"/><Relationship Id="rId58" Type="http://schemas.openxmlformats.org/officeDocument/2006/relationships/hyperlink" Target="http://tbinternet.ohchr.org/_layouts/treatybodyexternal/Download.aspx?symbolno=CAT%2fC%2fARM%2fCO%2f4&amp;Lang=en" TargetMode="External"/><Relationship Id="rId40" Type="http://schemas.openxmlformats.org/officeDocument/2006/relationships/hyperlink" Target="http://tbinternet.ohchr.org/_layouts/treatybodyexternal/Download.aspx?symbolno=CAT%2fC%2fHRV%2fCO%2f4-5&amp;Lang=en" TargetMode="External"/><Relationship Id="rId45" Type="http://schemas.openxmlformats.org/officeDocument/2006/relationships/hyperlink" Target="http://tbinternet.ohchr.org/_layouts/treatybodyexternal/Download.aspx?symbolno=CRC%2fC%2fIRQ%2fCO%2f2-4&amp;Lang=en" TargetMode="External"/><Relationship Id="rId32" Type="http://schemas.openxmlformats.org/officeDocument/2006/relationships/hyperlink" Target="http://docstore.ohchr.org/SelfServices/FilesHandler.ashx?enc=6QkG1d%2fPPRiCAqhKb7yhsrfB%2fPrX25aFzSwKEXpO1QgY7NnMcdupteBpX2nz6MKHtT2F9eXkcfjtFyQhK91sYNXuZfNeMP6t1IySERmI6Kt2zDysK7C8QClIdmi%2fTl3C" TargetMode="External"/><Relationship Id="rId37" Type="http://schemas.openxmlformats.org/officeDocument/2006/relationships/hyperlink" Target="http://tbinternet.ohchr.org/_layouts/treatybodyexternal/Download.aspx?symbolno=CAT%2fC%2fMKD%2fCO%2f3&amp;Lang=en" TargetMode="External"/><Relationship Id="rId24" Type="http://schemas.openxmlformats.org/officeDocument/2006/relationships/hyperlink" Target="http://www.un.org/documents/ga/docs/56/a56156.pdf" TargetMode="External"/><Relationship Id="rId74" Type="http://schemas.openxmlformats.org/officeDocument/2006/relationships/hyperlink" Target="https://www.ohchr.org/EN/HRBodies/HRC/RegularSessions/Session29/Documents/A_HRC_29_24_E.doc" TargetMode="External"/><Relationship Id="rId11" Type="http://schemas.openxmlformats.org/officeDocument/2006/relationships/header" Target="header3.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undocs.org/CAT/C/57/4" TargetMode="External"/><Relationship Id="rId19" Type="http://schemas.openxmlformats.org/officeDocument/2006/relationships/footer" Target="footer4.xml"/><Relationship Id="rId14" Type="http://schemas.openxmlformats.org/officeDocument/2006/relationships/hyperlink" Target="http://tbinternet.ohchr.org/_layouts/treatybodyexternal/Download.aspx?symbolno=CAT%2FC%2F46%2FD%2F338%2F2008&amp;Lang=en" TargetMode="External"/><Relationship Id="rId64" Type="http://schemas.openxmlformats.org/officeDocument/2006/relationships/hyperlink" Target="http://tbinternet.ohchr.org/_layouts/treatybodyexternal/Download.aspx?symbolno=CAT%2fC%2fCHN-HKG%2fCO%2f5&amp;Lang=en" TargetMode="External"/><Relationship Id="rId69" Type="http://schemas.openxmlformats.org/officeDocument/2006/relationships/hyperlink" Target="http://tbinternet.ohchr.org/_layouts/treatybodyexternal/Download.aspx?symbolno=CAT%2fC%2fCHN-HKG%2fCO%2f5&amp;Lang=en" TargetMode="External"/><Relationship Id="rId56" Type="http://schemas.openxmlformats.org/officeDocument/2006/relationships/hyperlink" Target="https://www.ohchr.org/EN/HRBodies/HRC/RegularSessions/Session29/Documents/A_HRC_29_24_E.doc" TargetMode="External"/><Relationship Id="rId43" Type="http://schemas.openxmlformats.org/officeDocument/2006/relationships/hyperlink" Target="http://tbinternet.ohchr.org/_layouts/treatybodyexternal/Download.aspx?symbolno=CAT%2fC%2fURY%2fCO%2f3&amp;Lang=en" TargetMode="External"/><Relationship Id="rId48" Type="http://schemas.openxmlformats.org/officeDocument/2006/relationships/hyperlink" Target="http://www.un.org/documents/ga/docs/56/a56156.pdf" TargetMode="External"/><Relationship Id="rId30" Type="http://schemas.openxmlformats.org/officeDocument/2006/relationships/hyperlink" Target="https://www.ohchr.org/EN/HRBodies/HRC/RegularSessions/Session29/Documents/A_HRC_29_24_E.doc" TargetMode="External"/><Relationship Id="rId35" Type="http://schemas.openxmlformats.org/officeDocument/2006/relationships/hyperlink" Target="http://tbinternet.ohchr.org/_layouts/treatybodyexternal/Download.aspx?symbolno=CAT%2fC%2fCOL%2fCO%2f5&amp;Lang=en" TargetMode="External"/><Relationship Id="rId22" Type="http://schemas.openxmlformats.org/officeDocument/2006/relationships/hyperlink" Target="http://undocs.org/CAT/C/57/4" TargetMode="External"/><Relationship Id="rId27" Type="http://schemas.openxmlformats.org/officeDocument/2006/relationships/hyperlink" Target="http://ap.ohchr.org/documents/dpage_e.aspx?si=A/HRC/31/57" TargetMode="External"/><Relationship Id="rId77" Type="http://schemas.openxmlformats.org/officeDocument/2006/relationships/customXml" Target="../customXml/item2.xml"/><Relationship Id="rId51" Type="http://schemas.openxmlformats.org/officeDocument/2006/relationships/hyperlink" Target="http://tbinternet.ohchr.org/_layouts/treatybodyexternal/Download.aspx?symbolno=CAT%2fC%2fECU%2fCO%2f7&amp;Lang=en" TargetMode="External"/><Relationship Id="rId8" Type="http://schemas.openxmlformats.org/officeDocument/2006/relationships/header" Target="header1.xml"/><Relationship Id="rId72" Type="http://schemas.openxmlformats.org/officeDocument/2006/relationships/hyperlink" Target="http://undocs.org/CAT/C/57/4" TargetMode="External"/><Relationship Id="rId3" Type="http://schemas.openxmlformats.org/officeDocument/2006/relationships/styles" Target="styles.xml"/><Relationship Id="rId17" Type="http://schemas.openxmlformats.org/officeDocument/2006/relationships/footer" Target="footer2.xml"/><Relationship Id="rId67" Type="http://schemas.openxmlformats.org/officeDocument/2006/relationships/hyperlink" Target="http://docstore.ohchr.org/SelfServices/FilesHandler.ashx?enc=6QkG1d%2fPPRiCAqhKb7yhsuGd5%2bKvluDUd5l6A8IGLwe7yYFE5XN4yWN%2fVIBV2%2fx5xo5wdbP%2ffJ9lnN%2bHl72zfmMftvkB4lyBGPhyXl1IYNL6THnKkR3SsScrXZkaDdiA" TargetMode="External"/><Relationship Id="rId59" Type="http://schemas.openxmlformats.org/officeDocument/2006/relationships/hyperlink" Target="http://tbinternet.ohchr.org/_layouts/treatybodyexternal/Download.aspx?symbolno=CAT%2fC%2fNAM%2fCO%2f2&amp;Lang=en" TargetMode="External"/><Relationship Id="rId46" Type="http://schemas.openxmlformats.org/officeDocument/2006/relationships/hyperlink" Target="http://ap.ohchr.org/documents/dpage_e.aspx?si=A/HRC/31/57" TargetMode="External"/><Relationship Id="rId33" Type="http://schemas.openxmlformats.org/officeDocument/2006/relationships/hyperlink" Target="http://tbinternet.ohchr.org/_layouts/treatybodyexternal/Download.aspx?symbolno=CAT%2fC%2fECU%2fCO%2f7&amp;Lang=en" TargetMode="External"/><Relationship Id="rId38" Type="http://schemas.openxmlformats.org/officeDocument/2006/relationships/hyperlink" Target="http://tbinternet.ohchr.org/_layouts/treatybodyexternal/Download.aspx?symbolno=CAT%2fC%2fSRB%2fCO%2f2&amp;Lang=en" TargetMode="External"/><Relationship Id="rId25" Type="http://schemas.openxmlformats.org/officeDocument/2006/relationships/hyperlink" Target="http://ap.ohchr.org/documents/dpage_e.aspx?si=A/HRC/31/57" TargetMode="External"/><Relationship Id="rId12" Type="http://schemas.openxmlformats.org/officeDocument/2006/relationships/hyperlink" Target="http://ilga.org/downloads/2014_UN_Treaty_Bodies_SOGIEI_References_clean.pdf" TargetMode="External"/><Relationship Id="rId54" Type="http://schemas.openxmlformats.org/officeDocument/2006/relationships/hyperlink" Target="http://ap.ohchr.org/documents/dpage_e.aspx?si=A/HRC/31/57" TargetMode="External"/><Relationship Id="rId41" Type="http://schemas.openxmlformats.org/officeDocument/2006/relationships/hyperlink" Target="http://tbinternet.ohchr.org/_layouts/treatybodyexternal/Download.aspx?symbolno=CAT%2fC%2fMNE%2fCO%2f2&amp;Lang=en" TargetMode="External"/><Relationship Id="rId70" Type="http://schemas.openxmlformats.org/officeDocument/2006/relationships/hyperlink" Target="http://tbinternet.ohchr.org/_layouts/treatybodyexternal/Download.aspx?symbolno=CAT%2fC%2fDNK%2fCO%2f6-7&amp;Lang=en" TargetMode="External"/><Relationship Id="rId20" Type="http://schemas.openxmlformats.org/officeDocument/2006/relationships/hyperlink" Target="http://tbinternet.ohchr.org/_layouts/treatybodyexternal/Download.aspx?symbolno=CAT%2fC%2fNAM%2fCO%2f2&amp;Lang=en" TargetMode="External"/><Relationship Id="rId75" Type="http://schemas.openxmlformats.org/officeDocument/2006/relationships/fontTable" Target="fontTable.xml"/><Relationship Id="rId62" Type="http://schemas.openxmlformats.org/officeDocument/2006/relationships/hyperlink" Target="http://ap.ohchr.org/documents/dpage_e.aspx?si=A/HRC/31/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binternet.ohchr.org/_layouts/treatybodyexternal/Download.aspx?symbolno=CAT%2FC%2F56%2FD%2F562%2F2013&amp;Lang=en" TargetMode="External"/><Relationship Id="rId57" Type="http://schemas.openxmlformats.org/officeDocument/2006/relationships/hyperlink" Target="http://docstore.ohchr.org/SelfServices/FilesHandler.ashx?enc=6QkG1d%2fPPRiCAqhKb7yhspR0ZUWF1UBfV7uhJtKqR3nBlTYWafck7SregoEXvJTouyHQuqXLLmHMeNRqpyqqXFltiAMzs3MpA%2b%2bgkYC08gvYLTNyYehCiBLAK6KZ1A1h" TargetMode="External"/><Relationship Id="rId49" Type="http://schemas.openxmlformats.org/officeDocument/2006/relationships/hyperlink" Target="http://ap.ohchr.org/documents/dpage_e.aspx?si=A/HRC/31/57" TargetMode="External"/><Relationship Id="rId36" Type="http://schemas.openxmlformats.org/officeDocument/2006/relationships/hyperlink" Target="http://tbinternet.ohchr.org/_layouts/treatybodyexternal/Download.aspx?symbolno=CAT%2fC%2fIRQ%2fCO%2f1&amp;Lang=en" TargetMode="External"/><Relationship Id="rId23" Type="http://schemas.openxmlformats.org/officeDocument/2006/relationships/hyperlink" Target="http://ap.ohchr.org/documents/dpage_e.aspx?si=A/HRC/31/57" TargetMode="External"/><Relationship Id="rId28" Type="http://schemas.openxmlformats.org/officeDocument/2006/relationships/hyperlink" Target="https://www.google.ch/url?sa=t&amp;rct=j&amp;q=&amp;esrc=s&amp;source=web&amp;cd=1&amp;cad=rja&amp;uact=8&amp;ved=0ahUKEwjS9vCq2-_SAhXMiiwKHaIFCoUQFggaMAA&amp;url=http%3A%2F%2Fwww.ohchr.org%2FDocuments%2FHRBodies%2FHRCouncil%2FRegularSession%2FSession22%2FA.HRC.22.53_English.pdf&amp;usg" TargetMode="External"/><Relationship Id="rId65" Type="http://schemas.openxmlformats.org/officeDocument/2006/relationships/hyperlink" Target="http://undocs.org/CAT/C/57/4" TargetMode="External"/><Relationship Id="rId52" Type="http://schemas.openxmlformats.org/officeDocument/2006/relationships/hyperlink" Target="http://tbinternet.ohchr.org/_layouts/treatybodyexternal/Download.aspx?symbolno=CAT%2fC%2fCHN%2fCO%2f5&amp;Lang=en" TargetMode="External"/><Relationship Id="rId44" Type="http://schemas.openxmlformats.org/officeDocument/2006/relationships/hyperlink" Target="http://undocs.org/CAT/C/57/4" TargetMode="External"/><Relationship Id="rId31" Type="http://schemas.openxmlformats.org/officeDocument/2006/relationships/hyperlink" Target="http://docstore.ohchr.org/SelfServices/FilesHandler.ashx?enc=6QkG1d%2fPPRiCAqhKb7yhspR0ZUWF1UBfV7uhJtKqR3nBlTYWafck7SregoEXvJTouyHQuqXLLmHMeNRqpyqqXFltiAMzs3MpA%2b%2bgkYC08gvYLTNyYehCiBLAK6KZ1A1h" TargetMode="External"/><Relationship Id="rId73" Type="http://schemas.openxmlformats.org/officeDocument/2006/relationships/hyperlink" Target="http://ap.ohchr.org/documents/dpage_e.aspx?si=A/HRC/31/57" TargetMode="External"/><Relationship Id="rId60" Type="http://schemas.openxmlformats.org/officeDocument/2006/relationships/hyperlink" Target="http://tbinternet.ohchr.org/_layouts/treatybodyexternal/Download.aspx?symbolno=CAT%2fC%2fUSA%2fCO%2f3-5&amp;Lang=en" TargetMode="External"/><Relationship Id="rId10" Type="http://schemas.openxmlformats.org/officeDocument/2006/relationships/footer" Target="footer1.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ilga.org/downloads/2015_UN_Treaty_Bodies_SOGIEI_References.pdf" TargetMode="External"/><Relationship Id="rId18" Type="http://schemas.openxmlformats.org/officeDocument/2006/relationships/footer" Target="footer3.xml"/><Relationship Id="rId39" Type="http://schemas.openxmlformats.org/officeDocument/2006/relationships/hyperlink" Target="http://tbinternet.ohchr.org/_layouts/treatybodyexternal/Download.aspx?symbolno=CAT%2fC%2fBDI%2fCO%2f2&amp;Lang=en" TargetMode="External"/><Relationship Id="rId50" Type="http://schemas.openxmlformats.org/officeDocument/2006/relationships/hyperlink" Target="http://ap.ohchr.org/documents/dpage_e.aspx?si=A/HRC/31/57" TargetMode="External"/><Relationship Id="rId55" Type="http://schemas.openxmlformats.org/officeDocument/2006/relationships/hyperlink" Target="http://www.un.org/documents/ga/docs/56/a56156.pdf" TargetMode="External"/><Relationship Id="rId34" Type="http://schemas.openxmlformats.org/officeDocument/2006/relationships/hyperlink" Target="http://tbinternet.ohchr.org/_layouts/treatybodyexternal/Download.aspx?symbolno=CAT%2fC%2fNAM%2fCO%2f2&amp;Lang=en"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binternet.ohchr.org/_layouts/treatybodyexternal/Download.aspx?symbolno=CAT%2fC%2fCHE%2fCO%2f7&amp;Lang=en" TargetMode="External"/><Relationship Id="rId2" Type="http://schemas.openxmlformats.org/officeDocument/2006/relationships/numbering" Target="numbering.xml"/><Relationship Id="rId29" Type="http://schemas.openxmlformats.org/officeDocument/2006/relationships/hyperlink" Target="http://www.un.org/documents/ga/docs/56/a56156.pdf"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ilga.org/downloads/02_ILGA_State_Sponsored_Homophobia_2016_ENG_WEB_150516.pdf" TargetMode="External"/><Relationship Id="rId18" Type="http://schemas.openxmlformats.org/officeDocument/2006/relationships/hyperlink" Target="https://www.ohchr.org/EN/HRBodies/HRC/RegularSessions/Session29/Documents/A_HRC_29_24_E.doc" TargetMode="External"/><Relationship Id="rId8" Type="http://schemas.openxmlformats.org/officeDocument/2006/relationships/hyperlink" Target="http://tbinternet.ohchr.org/_layouts/treatybodyexternal/Download.aspx?symbolno=CCPR%2FC%2F108%2FD%2F2149%2F2012&amp;Lang=en" TargetMode="External"/><Relationship Id="rId21" Type="http://schemas.openxmlformats.org/officeDocument/2006/relationships/hyperlink" Target="http://apps.who.int/iris/bitstream/10665/112848/1/9789241507325_eng.pdf?ua=1" TargetMode="External"/><Relationship Id="rId3" Type="http://schemas.openxmlformats.org/officeDocument/2006/relationships/hyperlink" Target="http://ilga.org/downloads/SOGIESC_at_UPR_report.pdf" TargetMode="External"/><Relationship Id="rId12" Type="http://schemas.openxmlformats.org/officeDocument/2006/relationships/hyperlink" Target="http://ap.ohchr.org/documents/dpage_e.aspx?si=A/HRC/31/57" TargetMode="External"/><Relationship Id="rId17" Type="http://schemas.openxmlformats.org/officeDocument/2006/relationships/hyperlink" Target="https://www.outrightinternational.org/print/content/equal-and-indivisible-crafting-inclusive-shadow-reports-cedaw" TargetMode="External"/><Relationship Id="rId7" Type="http://schemas.openxmlformats.org/officeDocument/2006/relationships/hyperlink" Target="http://docstore.ohchr.org/SelfServices/FilesHandler.ashx?enc=6QkG1d%2fPPRiCAqhKb7yhsh7Ph3KVs8zxwYZKnao5FA8MpfDWy%2fQGPY29QoZxc1OtOmGEp%2bDSlHNgsDjRvjLL6S1zO99wgtffaBMjydHo9u3KG6ny9Z4Y9c4bZlOYgCRC" TargetMode="External"/><Relationship Id="rId20" Type="http://schemas.openxmlformats.org/officeDocument/2006/relationships/hyperlink" Target="http://ap.ohchr.org/documents/dpage_e.aspx?si=A/HRC/31/57" TargetMode="External"/><Relationship Id="rId16" Type="http://schemas.openxmlformats.org/officeDocument/2006/relationships/hyperlink" Target="http://www.nclrights.org/wp-content/uploads/2013/04/Resources_Challenges_Lesbian_Asylum_Claims.pdf" TargetMode="External"/><Relationship Id="rId2" Type="http://schemas.openxmlformats.org/officeDocument/2006/relationships/hyperlink" Target="http://www.glaad.org/reference/transgender" TargetMode="External"/><Relationship Id="rId11" Type="http://schemas.openxmlformats.org/officeDocument/2006/relationships/hyperlink" Target="http://undocs.org/CAT/C/57/4" TargetMode="External"/><Relationship Id="rId1" Type="http://schemas.openxmlformats.org/officeDocument/2006/relationships/hyperlink" Target="http://www.yogyakartaprinciples.org/wp/wp-content/uploads/2016/08/principles_en.pdf" TargetMode="External"/><Relationship Id="rId6" Type="http://schemas.openxmlformats.org/officeDocument/2006/relationships/hyperlink" Target="https://www.ohchr.org/EN/HRBodies/HRC/RegularSessions/Session29/Documents/A_HRC_29_24_E.doc" TargetMode="External"/><Relationship Id="rId15" Type="http://schemas.openxmlformats.org/officeDocument/2006/relationships/hyperlink" Target="https://www.outrightinternational.org/print/content/equal-and-indivisible-crafting-inclusive-shadow-reports-cedaw" TargetMode="External"/><Relationship Id="rId5" Type="http://schemas.openxmlformats.org/officeDocument/2006/relationships/hyperlink" Target="https://oii.org.au/18106/what-is-intersex" TargetMode="External"/><Relationship Id="rId10" Type="http://schemas.openxmlformats.org/officeDocument/2006/relationships/hyperlink" Target="http://tbinternet.ohchr.org/_layouts/treatybodyexternal/Download.aspx?symbolno=CERD%2fC%2fNLD%2fCO%2f19-21&amp;Lang=en" TargetMode="External"/><Relationship Id="rId19" Type="http://schemas.openxmlformats.org/officeDocument/2006/relationships/hyperlink" Target="http://www.hrc.org/resources/the-lies-and-dangers-of-reparative-therapy" TargetMode="External"/><Relationship Id="rId9" Type="http://schemas.openxmlformats.org/officeDocument/2006/relationships/hyperlink" Target="https://www.google.ch/url?sa=t&amp;rct=j&amp;q=&amp;esrc=s&amp;source=web&amp;cd=1&amp;cad=rja&amp;uact=8&amp;ved=0ahUKEwiY5KnZlu_SAhWrFZoKHbooCJwQFggaMAA&amp;url=http%3A%2F%2Ftbinternet.ohchr.org%2F_layouts%2Ftreatybodyexternal%2FDownload.aspx%3Fsymbolno%3DCCPR%252FC%252F103%252FD%25" TargetMode="External"/><Relationship Id="rId22" Type="http://schemas.openxmlformats.org/officeDocument/2006/relationships/hyperlink" Target="https://www.ohchr.org/EN/NewsEvents/Pages/DisplayNews.aspx?NewsID=20739&amp;LangID=E" TargetMode="External"/><Relationship Id="rId14" Type="http://schemas.openxmlformats.org/officeDocument/2006/relationships/hyperlink" Target="https://www.ohchr.org/EN/HRBodies/HRC/RegularSessions/Session29/Documents/A_HRC_29_24_E.doc" TargetMode="External"/><Relationship Id="rId4" Type="http://schemas.openxmlformats.org/officeDocument/2006/relationships/hyperlink" Target="http://tgeu.org/wp-content/uploads/2017/02/Toolkit16LR.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lga.org" TargetMode="External"/><Relationship Id="rId2" Type="http://schemas.openxmlformats.org/officeDocument/2006/relationships/hyperlink" Target="mailto:information@ilg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41B813-9FD8-4421-8206-A7C900DC7DE4}"/>
</file>

<file path=customXml/itemProps2.xml><?xml version="1.0" encoding="utf-8"?>
<ds:datastoreItem xmlns:ds="http://schemas.openxmlformats.org/officeDocument/2006/customXml" ds:itemID="{703C7919-3EA5-DC42-8D40-1BA12FD09BDB}"/>
</file>

<file path=customXml/itemProps3.xml><?xml version="1.0" encoding="utf-8"?>
<ds:datastoreItem xmlns:ds="http://schemas.openxmlformats.org/officeDocument/2006/customXml" ds:itemID="{0627C050-2B10-42D7-B94A-FE592E2DE148}"/>
</file>

<file path=customXml/itemProps4.xml><?xml version="1.0" encoding="utf-8"?>
<ds:datastoreItem xmlns:ds="http://schemas.openxmlformats.org/officeDocument/2006/customXml" ds:itemID="{4ED72F49-4C24-46B4-A327-BDCCCD9C9606}"/>
</file>

<file path=docProps/app.xml><?xml version="1.0" encoding="utf-8"?>
<Properties xmlns="http://schemas.openxmlformats.org/officeDocument/2006/extended-properties" xmlns:vt="http://schemas.openxmlformats.org/officeDocument/2006/docPropsVTypes">
  <Template>Normal.dotm</Template>
  <TotalTime>0</TotalTime>
  <Pages>7</Pages>
  <Words>3712</Words>
  <Characters>21163</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ILGA</Company>
  <LinksUpToDate>false</LinksUpToDate>
  <CharactersWithSpaces>24826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dc:creator>
  <cp:keywords/>
  <dc:description/>
  <cp:lastModifiedBy>Kseniya Kirichenko</cp:lastModifiedBy>
  <cp:revision>3</cp:revision>
  <cp:lastPrinted>2017-03-31T14:59:00Z</cp:lastPrinted>
  <dcterms:created xsi:type="dcterms:W3CDTF">2017-03-31T15:34:00Z</dcterms:created>
  <dcterms:modified xsi:type="dcterms:W3CDTF">2017-03-31T15:34:00Z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