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90A7B" w14:textId="77777777" w:rsidR="003A4FD6" w:rsidRDefault="003A4FD6" w:rsidP="003A4FD6">
      <w:pPr>
        <w:rPr>
          <w:rFonts w:ascii="Times New Roman" w:eastAsia="Calibri" w:hAnsi="Times New Roman" w:cs="Times New Roman"/>
          <w:b/>
          <w:bCs/>
          <w:sz w:val="32"/>
          <w:szCs w:val="32"/>
        </w:rPr>
      </w:pPr>
      <w:r>
        <w:rPr>
          <w:rFonts w:ascii="Times New Roman" w:hAnsi="Times New Roman"/>
          <w:bCs/>
          <w:i/>
          <w:sz w:val="24"/>
          <w:szCs w:val="24"/>
          <w:u w:val="single"/>
        </w:rPr>
        <w:t>C</w:t>
      </w:r>
      <w:r w:rsidRPr="003421A0">
        <w:rPr>
          <w:rFonts w:ascii="Times New Roman" w:hAnsi="Times New Roman"/>
          <w:bCs/>
          <w:i/>
          <w:sz w:val="24"/>
          <w:szCs w:val="24"/>
          <w:u w:val="single"/>
        </w:rPr>
        <w:t>heck against delivery</w:t>
      </w:r>
    </w:p>
    <w:p w14:paraId="1BC3CC2E" w14:textId="77777777" w:rsidR="003A4FD6" w:rsidRDefault="003A4FD6" w:rsidP="003A4FD6">
      <w:pPr>
        <w:jc w:val="center"/>
        <w:rPr>
          <w:rFonts w:ascii="Times New Roman" w:eastAsia="Calibri" w:hAnsi="Times New Roman" w:cs="Times New Roman"/>
          <w:b/>
          <w:bCs/>
          <w:sz w:val="32"/>
          <w:szCs w:val="32"/>
        </w:rPr>
      </w:pPr>
    </w:p>
    <w:p w14:paraId="417CBCBB" w14:textId="77777777" w:rsidR="003A4FD6" w:rsidRPr="00843C86" w:rsidRDefault="003A4FD6" w:rsidP="003A4FD6">
      <w:pPr>
        <w:jc w:val="center"/>
        <w:rPr>
          <w:rFonts w:ascii="Times New Roman" w:eastAsia="Calibri" w:hAnsi="Times New Roman" w:cs="Times New Roman"/>
          <w:b/>
          <w:bCs/>
          <w:sz w:val="32"/>
          <w:szCs w:val="32"/>
        </w:rPr>
      </w:pPr>
      <w:r w:rsidRPr="00843C86">
        <w:rPr>
          <w:rFonts w:ascii="Times New Roman" w:eastAsia="Calibri" w:hAnsi="Times New Roman" w:cs="Times New Roman"/>
          <w:b/>
          <w:bCs/>
          <w:sz w:val="32"/>
          <w:szCs w:val="32"/>
        </w:rPr>
        <w:t>Human Rights Council</w:t>
      </w:r>
    </w:p>
    <w:p w14:paraId="6961185D" w14:textId="77777777" w:rsidR="003A4FD6" w:rsidRPr="00843C86" w:rsidRDefault="00163361" w:rsidP="003A4FD6">
      <w:pPr>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34</w:t>
      </w:r>
      <w:r w:rsidRPr="00163361">
        <w:rPr>
          <w:rFonts w:ascii="Times New Roman" w:eastAsia="Calibri" w:hAnsi="Times New Roman" w:cs="Times New Roman"/>
          <w:b/>
          <w:bCs/>
          <w:sz w:val="32"/>
          <w:szCs w:val="32"/>
          <w:vertAlign w:val="superscript"/>
        </w:rPr>
        <w:t>th</w:t>
      </w:r>
      <w:r>
        <w:rPr>
          <w:rFonts w:ascii="Times New Roman" w:eastAsia="Calibri" w:hAnsi="Times New Roman" w:cs="Times New Roman"/>
          <w:b/>
          <w:bCs/>
          <w:sz w:val="32"/>
          <w:szCs w:val="32"/>
        </w:rPr>
        <w:t xml:space="preserve"> </w:t>
      </w:r>
      <w:r w:rsidR="003A4FD6" w:rsidRPr="00843C86">
        <w:rPr>
          <w:rFonts w:ascii="Times New Roman" w:eastAsia="Calibri" w:hAnsi="Times New Roman" w:cs="Times New Roman"/>
          <w:b/>
          <w:bCs/>
          <w:sz w:val="32"/>
          <w:szCs w:val="32"/>
        </w:rPr>
        <w:t>session, item 10</w:t>
      </w:r>
    </w:p>
    <w:p w14:paraId="4CF09E19" w14:textId="77777777" w:rsidR="003A4FD6" w:rsidRPr="00843C86" w:rsidRDefault="003A4FD6" w:rsidP="003A4FD6">
      <w:pPr>
        <w:spacing w:line="360" w:lineRule="auto"/>
        <w:jc w:val="center"/>
        <w:rPr>
          <w:rFonts w:ascii="Times New Roman" w:eastAsia="Calibri" w:hAnsi="Times New Roman" w:cs="Times New Roman"/>
          <w:bCs/>
          <w:sz w:val="24"/>
          <w:szCs w:val="24"/>
          <w:u w:val="single"/>
        </w:rPr>
      </w:pPr>
    </w:p>
    <w:p w14:paraId="45EDF7A7" w14:textId="77777777" w:rsidR="003A4FD6" w:rsidRPr="00843C86" w:rsidRDefault="003A4FD6" w:rsidP="003A4FD6">
      <w:pPr>
        <w:spacing w:line="360" w:lineRule="auto"/>
        <w:jc w:val="center"/>
        <w:rPr>
          <w:rFonts w:ascii="Times New Roman" w:eastAsia="Calibri" w:hAnsi="Times New Roman" w:cs="Times New Roman"/>
          <w:b/>
          <w:bCs/>
          <w:sz w:val="24"/>
          <w:szCs w:val="24"/>
        </w:rPr>
      </w:pPr>
    </w:p>
    <w:p w14:paraId="5542A1F3" w14:textId="77777777" w:rsidR="003A4FD6" w:rsidRPr="00843C86" w:rsidRDefault="003A4FD6" w:rsidP="003A4FD6">
      <w:pPr>
        <w:spacing w:line="360" w:lineRule="auto"/>
        <w:jc w:val="center"/>
        <w:rPr>
          <w:rFonts w:ascii="Times New Roman" w:eastAsia="Calibri" w:hAnsi="Times New Roman" w:cs="Times New Roman"/>
          <w:bCs/>
          <w:sz w:val="24"/>
          <w:szCs w:val="24"/>
          <w:u w:val="single"/>
        </w:rPr>
      </w:pPr>
      <w:r>
        <w:rPr>
          <w:rFonts w:ascii="Times New Roman" w:eastAsia="Calibri" w:hAnsi="Times New Roman" w:cs="Times New Roman"/>
          <w:noProof/>
          <w:sz w:val="24"/>
          <w:szCs w:val="24"/>
          <w:lang w:eastAsia="en-GB"/>
        </w:rPr>
        <w:drawing>
          <wp:inline distT="0" distB="0" distL="0" distR="0" wp14:anchorId="1CB12D0E" wp14:editId="541A331F">
            <wp:extent cx="3107690" cy="1430655"/>
            <wp:effectExtent l="0" t="0" r="0" b="0"/>
            <wp:docPr id="1" name="Picture 1" descr="Office_logo_EN_black_SMALL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_logo_EN_black_SMALL_72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7690" cy="1430655"/>
                    </a:xfrm>
                    <a:prstGeom prst="rect">
                      <a:avLst/>
                    </a:prstGeom>
                    <a:noFill/>
                    <a:ln>
                      <a:noFill/>
                    </a:ln>
                  </pic:spPr>
                </pic:pic>
              </a:graphicData>
            </a:graphic>
          </wp:inline>
        </w:drawing>
      </w:r>
    </w:p>
    <w:p w14:paraId="784BD0C6" w14:textId="77777777" w:rsidR="003A4FD6" w:rsidRPr="00843C86" w:rsidRDefault="003A4FD6" w:rsidP="003A4FD6">
      <w:pPr>
        <w:rPr>
          <w:rFonts w:ascii="Times New Roman" w:eastAsia="Calibri" w:hAnsi="Times New Roman" w:cs="Times New Roman"/>
          <w:b/>
          <w:sz w:val="24"/>
          <w:szCs w:val="24"/>
        </w:rPr>
      </w:pPr>
    </w:p>
    <w:p w14:paraId="0F95328B" w14:textId="77777777" w:rsidR="003A4FD6" w:rsidRPr="003A4FD6" w:rsidRDefault="003A4FD6" w:rsidP="003A4FD6">
      <w:pPr>
        <w:jc w:val="center"/>
        <w:rPr>
          <w:rFonts w:ascii="Times New Roman" w:eastAsia="Calibri" w:hAnsi="Times New Roman" w:cs="Times New Roman"/>
          <w:b/>
          <w:bCs/>
          <w:sz w:val="28"/>
          <w:szCs w:val="28"/>
        </w:rPr>
      </w:pPr>
      <w:r w:rsidRPr="003A4FD6">
        <w:rPr>
          <w:rFonts w:ascii="Times New Roman" w:eastAsia="Calibri" w:hAnsi="Times New Roman" w:cs="Times New Roman"/>
          <w:b/>
          <w:bCs/>
          <w:sz w:val="28"/>
          <w:szCs w:val="28"/>
        </w:rPr>
        <w:t>Oral statement by</w:t>
      </w:r>
    </w:p>
    <w:p w14:paraId="69C0C6A6" w14:textId="77777777" w:rsidR="00163361" w:rsidRDefault="003A4FD6" w:rsidP="003A4FD6">
      <w:pPr>
        <w:jc w:val="center"/>
        <w:rPr>
          <w:rFonts w:ascii="Times New Roman" w:eastAsia="Calibri" w:hAnsi="Times New Roman" w:cs="Times New Roman"/>
          <w:b/>
          <w:bCs/>
          <w:sz w:val="28"/>
          <w:szCs w:val="28"/>
        </w:rPr>
      </w:pPr>
      <w:r w:rsidRPr="003A4FD6">
        <w:rPr>
          <w:rFonts w:ascii="Times New Roman" w:eastAsia="Calibri" w:hAnsi="Times New Roman" w:cs="Times New Roman"/>
          <w:b/>
          <w:bCs/>
          <w:sz w:val="28"/>
          <w:szCs w:val="28"/>
        </w:rPr>
        <w:t>M</w:t>
      </w:r>
      <w:r w:rsidR="00163361">
        <w:rPr>
          <w:rFonts w:ascii="Times New Roman" w:eastAsia="Calibri" w:hAnsi="Times New Roman" w:cs="Times New Roman"/>
          <w:b/>
          <w:bCs/>
          <w:sz w:val="28"/>
          <w:szCs w:val="28"/>
        </w:rPr>
        <w:t>r</w:t>
      </w:r>
      <w:r w:rsidRPr="003A4FD6">
        <w:rPr>
          <w:rFonts w:ascii="Times New Roman" w:eastAsia="Calibri" w:hAnsi="Times New Roman" w:cs="Times New Roman"/>
          <w:b/>
          <w:bCs/>
          <w:sz w:val="28"/>
          <w:szCs w:val="28"/>
        </w:rPr>
        <w:t xml:space="preserve">. </w:t>
      </w:r>
      <w:r w:rsidR="00163361">
        <w:rPr>
          <w:rFonts w:ascii="Times New Roman" w:eastAsia="Calibri" w:hAnsi="Times New Roman" w:cs="Times New Roman"/>
          <w:b/>
          <w:bCs/>
          <w:sz w:val="28"/>
          <w:szCs w:val="28"/>
        </w:rPr>
        <w:t xml:space="preserve">Christopher Sidoti </w:t>
      </w:r>
    </w:p>
    <w:p w14:paraId="2391CB70" w14:textId="77777777" w:rsidR="003A4FD6" w:rsidRPr="003A4FD6" w:rsidRDefault="003A4FD6" w:rsidP="003A4FD6">
      <w:pPr>
        <w:jc w:val="center"/>
        <w:rPr>
          <w:rFonts w:ascii="Times New Roman" w:eastAsia="Calibri" w:hAnsi="Times New Roman" w:cs="Times New Roman"/>
          <w:b/>
          <w:bCs/>
          <w:sz w:val="28"/>
          <w:szCs w:val="28"/>
        </w:rPr>
      </w:pPr>
      <w:r w:rsidRPr="003A4FD6">
        <w:rPr>
          <w:rFonts w:ascii="Times New Roman" w:eastAsia="Calibri" w:hAnsi="Times New Roman" w:cs="Times New Roman"/>
          <w:b/>
          <w:bCs/>
          <w:sz w:val="28"/>
          <w:szCs w:val="28"/>
        </w:rPr>
        <w:t>Chairperson of the Board of Trustees of the Voluntary Fund for Technical Cooperation</w:t>
      </w:r>
      <w:r>
        <w:rPr>
          <w:rFonts w:ascii="Times New Roman" w:eastAsia="Calibri" w:hAnsi="Times New Roman" w:cs="Times New Roman"/>
          <w:b/>
          <w:bCs/>
          <w:sz w:val="28"/>
          <w:szCs w:val="28"/>
        </w:rPr>
        <w:t xml:space="preserve"> i</w:t>
      </w:r>
      <w:r w:rsidRPr="003A4FD6">
        <w:rPr>
          <w:rFonts w:ascii="Times New Roman" w:eastAsia="Calibri" w:hAnsi="Times New Roman" w:cs="Times New Roman"/>
          <w:b/>
          <w:bCs/>
          <w:sz w:val="28"/>
          <w:szCs w:val="28"/>
        </w:rPr>
        <w:t>n the Field of Human Rights (VFTC)</w:t>
      </w:r>
      <w:r w:rsidRPr="003A4FD6">
        <w:rPr>
          <w:rFonts w:ascii="Times New Roman" w:eastAsia="Calibri" w:hAnsi="Times New Roman" w:cs="Times New Roman"/>
          <w:b/>
          <w:bCs/>
          <w:sz w:val="28"/>
          <w:szCs w:val="28"/>
        </w:rPr>
        <w:footnoteReference w:id="1"/>
      </w:r>
    </w:p>
    <w:p w14:paraId="2B364834" w14:textId="77777777" w:rsidR="003A4FD6" w:rsidRDefault="003A4FD6" w:rsidP="003A4FD6">
      <w:pPr>
        <w:jc w:val="center"/>
        <w:rPr>
          <w:rFonts w:ascii="Times New Roman" w:eastAsia="Calibri" w:hAnsi="Times New Roman" w:cs="Times New Roman"/>
          <w:b/>
          <w:bCs/>
          <w:sz w:val="28"/>
          <w:szCs w:val="28"/>
        </w:rPr>
      </w:pPr>
    </w:p>
    <w:p w14:paraId="5C7CB56D" w14:textId="77777777" w:rsidR="003A4FD6" w:rsidRDefault="003A4FD6" w:rsidP="003A4FD6">
      <w:pPr>
        <w:jc w:val="center"/>
        <w:rPr>
          <w:rFonts w:ascii="Times New Roman" w:eastAsia="Calibri" w:hAnsi="Times New Roman" w:cs="Times New Roman"/>
          <w:b/>
          <w:bCs/>
          <w:sz w:val="28"/>
          <w:szCs w:val="28"/>
        </w:rPr>
      </w:pPr>
    </w:p>
    <w:p w14:paraId="3748FBD4" w14:textId="77777777" w:rsidR="003A4FD6" w:rsidRPr="00843C86" w:rsidRDefault="003A4FD6" w:rsidP="003A4FD6">
      <w:pPr>
        <w:jc w:val="center"/>
        <w:rPr>
          <w:rFonts w:ascii="Times New Roman" w:eastAsia="Calibri" w:hAnsi="Times New Roman" w:cs="Times New Roman"/>
          <w:b/>
          <w:bCs/>
          <w:sz w:val="28"/>
          <w:szCs w:val="28"/>
        </w:rPr>
      </w:pPr>
    </w:p>
    <w:p w14:paraId="05F1B6B5" w14:textId="77777777" w:rsidR="003A4FD6" w:rsidRPr="00843C86" w:rsidRDefault="003A4FD6" w:rsidP="003A4FD6">
      <w:pPr>
        <w:jc w:val="center"/>
        <w:rPr>
          <w:rFonts w:ascii="Times New Roman" w:eastAsia="Calibri" w:hAnsi="Times New Roman" w:cs="Times New Roman"/>
          <w:b/>
          <w:bCs/>
          <w:sz w:val="28"/>
          <w:szCs w:val="28"/>
          <w:u w:val="single"/>
        </w:rPr>
      </w:pPr>
      <w:r w:rsidRPr="00843C86">
        <w:rPr>
          <w:rFonts w:ascii="Times New Roman" w:eastAsia="Calibri" w:hAnsi="Times New Roman" w:cs="Times New Roman"/>
          <w:b/>
          <w:bCs/>
          <w:sz w:val="28"/>
          <w:szCs w:val="28"/>
        </w:rPr>
        <w:t xml:space="preserve">Geneva, </w:t>
      </w:r>
      <w:r w:rsidR="00163361">
        <w:rPr>
          <w:rFonts w:ascii="Times New Roman" w:eastAsia="Calibri" w:hAnsi="Times New Roman" w:cs="Times New Roman"/>
          <w:b/>
          <w:bCs/>
          <w:sz w:val="28"/>
          <w:szCs w:val="28"/>
        </w:rPr>
        <w:t>22 March 2017</w:t>
      </w:r>
    </w:p>
    <w:p w14:paraId="24FAE432" w14:textId="77777777" w:rsidR="003A4FD6" w:rsidRPr="00843C86" w:rsidRDefault="003A4FD6" w:rsidP="003A4FD6">
      <w:pPr>
        <w:rPr>
          <w:rFonts w:ascii="Calibri" w:eastAsia="Calibri" w:hAnsi="Calibri" w:cs="Times New Roman"/>
        </w:rPr>
      </w:pPr>
    </w:p>
    <w:p w14:paraId="48110C9C" w14:textId="77777777" w:rsidR="003A4FD6" w:rsidRDefault="003A4FD6" w:rsidP="003A4FD6">
      <w:pPr>
        <w:rPr>
          <w:rFonts w:ascii="Calibri" w:eastAsia="Calibri" w:hAnsi="Calibri" w:cs="Times New Roman"/>
        </w:rPr>
      </w:pPr>
    </w:p>
    <w:p w14:paraId="511D8A39" w14:textId="77777777" w:rsidR="003A4FD6" w:rsidRDefault="003A4FD6" w:rsidP="003A4FD6">
      <w:pPr>
        <w:rPr>
          <w:rFonts w:ascii="Calibri" w:eastAsia="Calibri" w:hAnsi="Calibri" w:cs="Times New Roman"/>
        </w:rPr>
      </w:pPr>
    </w:p>
    <w:p w14:paraId="754C8678" w14:textId="77777777" w:rsidR="003A4FD6" w:rsidRDefault="003A4FD6" w:rsidP="003A4FD6">
      <w:pPr>
        <w:rPr>
          <w:rFonts w:ascii="Calibri" w:eastAsia="Calibri" w:hAnsi="Calibri" w:cs="Times New Roman"/>
        </w:rPr>
      </w:pPr>
    </w:p>
    <w:p w14:paraId="13CF9AAA" w14:textId="77777777" w:rsidR="003A4FD6" w:rsidRPr="00843C86" w:rsidRDefault="003A4FD6" w:rsidP="003A4FD6">
      <w:pPr>
        <w:rPr>
          <w:rFonts w:ascii="Calibri" w:eastAsia="Calibri" w:hAnsi="Calibri" w:cs="Times New Roman"/>
        </w:rPr>
      </w:pPr>
    </w:p>
    <w:p w14:paraId="1E6D22FB" w14:textId="77777777" w:rsidR="003A4FD6" w:rsidRPr="003A4FD6" w:rsidRDefault="003A4FD6" w:rsidP="008778BE">
      <w:pPr>
        <w:spacing w:before="0"/>
        <w:jc w:val="center"/>
        <w:rPr>
          <w:sz w:val="24"/>
          <w:szCs w:val="24"/>
        </w:rPr>
      </w:pPr>
    </w:p>
    <w:p w14:paraId="5BE3CC00" w14:textId="77777777" w:rsidR="003A4FD6" w:rsidRDefault="003A4FD6" w:rsidP="008778BE">
      <w:pPr>
        <w:spacing w:before="0"/>
        <w:jc w:val="center"/>
        <w:rPr>
          <w:b/>
          <w:sz w:val="24"/>
          <w:szCs w:val="24"/>
        </w:rPr>
      </w:pPr>
    </w:p>
    <w:p w14:paraId="4D160D84" w14:textId="77777777" w:rsidR="003A4FD6" w:rsidRDefault="003A4FD6" w:rsidP="008778BE">
      <w:pPr>
        <w:spacing w:before="0"/>
        <w:jc w:val="center"/>
        <w:rPr>
          <w:b/>
          <w:sz w:val="24"/>
          <w:szCs w:val="24"/>
        </w:rPr>
      </w:pPr>
    </w:p>
    <w:p w14:paraId="621161E9" w14:textId="77777777" w:rsidR="003A4FD6" w:rsidRDefault="003A4FD6" w:rsidP="008778BE">
      <w:pPr>
        <w:spacing w:before="0"/>
        <w:jc w:val="center"/>
        <w:rPr>
          <w:b/>
          <w:sz w:val="24"/>
          <w:szCs w:val="24"/>
        </w:rPr>
      </w:pPr>
    </w:p>
    <w:p w14:paraId="4FE60322" w14:textId="77777777" w:rsidR="003A4FD6" w:rsidRDefault="003A4FD6" w:rsidP="008778BE">
      <w:pPr>
        <w:spacing w:before="0"/>
        <w:jc w:val="center"/>
        <w:rPr>
          <w:b/>
          <w:sz w:val="24"/>
          <w:szCs w:val="24"/>
        </w:rPr>
      </w:pPr>
    </w:p>
    <w:p w14:paraId="461300E0" w14:textId="77777777" w:rsidR="00E7237E" w:rsidRPr="00E33D25" w:rsidRDefault="00E7237E" w:rsidP="00E33D25">
      <w:pPr>
        <w:spacing w:before="0" w:line="360" w:lineRule="auto"/>
        <w:rPr>
          <w:b/>
          <w:sz w:val="32"/>
          <w:szCs w:val="32"/>
        </w:rPr>
      </w:pPr>
      <w:r w:rsidRPr="00E33D25">
        <w:rPr>
          <w:b/>
          <w:sz w:val="32"/>
          <w:szCs w:val="32"/>
        </w:rPr>
        <w:lastRenderedPageBreak/>
        <w:t>President,</w:t>
      </w:r>
      <w:r w:rsidR="00F1025B">
        <w:rPr>
          <w:b/>
          <w:sz w:val="32"/>
          <w:szCs w:val="32"/>
        </w:rPr>
        <w:t xml:space="preserve"> </w:t>
      </w:r>
      <w:r w:rsidRPr="00E33D25">
        <w:rPr>
          <w:b/>
          <w:sz w:val="32"/>
          <w:szCs w:val="32"/>
        </w:rPr>
        <w:t>Deputy High Commissioner,</w:t>
      </w:r>
      <w:r w:rsidR="00F1025B">
        <w:rPr>
          <w:b/>
          <w:sz w:val="32"/>
          <w:szCs w:val="32"/>
        </w:rPr>
        <w:t xml:space="preserve"> </w:t>
      </w:r>
      <w:r w:rsidRPr="00E33D25">
        <w:rPr>
          <w:b/>
          <w:sz w:val="32"/>
          <w:szCs w:val="32"/>
        </w:rPr>
        <w:t>Excellencies,</w:t>
      </w:r>
      <w:r w:rsidR="00F1025B">
        <w:rPr>
          <w:b/>
          <w:sz w:val="32"/>
          <w:szCs w:val="32"/>
        </w:rPr>
        <w:t xml:space="preserve"> </w:t>
      </w:r>
      <w:r w:rsidRPr="00E33D25">
        <w:rPr>
          <w:b/>
          <w:sz w:val="32"/>
          <w:szCs w:val="32"/>
        </w:rPr>
        <w:t>Distinguished representatives of Member and Observer States</w:t>
      </w:r>
      <w:r w:rsidR="00862027">
        <w:rPr>
          <w:b/>
          <w:sz w:val="32"/>
          <w:szCs w:val="32"/>
        </w:rPr>
        <w:t xml:space="preserve"> and of </w:t>
      </w:r>
      <w:r w:rsidR="00F1025B">
        <w:rPr>
          <w:b/>
          <w:sz w:val="32"/>
          <w:szCs w:val="32"/>
        </w:rPr>
        <w:t>Civil Society</w:t>
      </w:r>
    </w:p>
    <w:p w14:paraId="62155CD3" w14:textId="77777777" w:rsidR="00E7237E" w:rsidRDefault="00E7237E" w:rsidP="008778BE">
      <w:pPr>
        <w:spacing w:before="0"/>
        <w:rPr>
          <w:b/>
          <w:sz w:val="24"/>
          <w:szCs w:val="24"/>
        </w:rPr>
      </w:pPr>
    </w:p>
    <w:p w14:paraId="6897077B" w14:textId="77777777" w:rsidR="00C46612" w:rsidRPr="00C46612" w:rsidRDefault="00C46612" w:rsidP="008778BE">
      <w:pPr>
        <w:spacing w:before="0"/>
        <w:rPr>
          <w:b/>
          <w:sz w:val="32"/>
          <w:szCs w:val="32"/>
        </w:rPr>
      </w:pPr>
      <w:r w:rsidRPr="00C46612">
        <w:rPr>
          <w:b/>
          <w:sz w:val="32"/>
          <w:szCs w:val="32"/>
        </w:rPr>
        <w:t>Introduction</w:t>
      </w:r>
    </w:p>
    <w:p w14:paraId="0506EB0E" w14:textId="77777777" w:rsidR="00C46612" w:rsidRPr="00DF1205" w:rsidRDefault="00C46612" w:rsidP="008778BE">
      <w:pPr>
        <w:spacing w:before="0"/>
        <w:rPr>
          <w:b/>
          <w:sz w:val="24"/>
          <w:szCs w:val="24"/>
        </w:rPr>
      </w:pPr>
    </w:p>
    <w:p w14:paraId="757424BE" w14:textId="77777777" w:rsidR="00E7237E" w:rsidRDefault="0097283F" w:rsidP="00965693">
      <w:pPr>
        <w:spacing w:before="0" w:line="360" w:lineRule="auto"/>
        <w:rPr>
          <w:sz w:val="32"/>
          <w:szCs w:val="32"/>
        </w:rPr>
      </w:pPr>
      <w:r w:rsidRPr="00ED5230">
        <w:rPr>
          <w:b/>
          <w:sz w:val="32"/>
          <w:szCs w:val="32"/>
        </w:rPr>
        <w:t>I</w:t>
      </w:r>
      <w:r w:rsidR="00E7237E" w:rsidRPr="00ED5230">
        <w:rPr>
          <w:b/>
          <w:sz w:val="32"/>
          <w:szCs w:val="32"/>
        </w:rPr>
        <w:t xml:space="preserve"> thank the Deputy High Commissioner for Human Rights, Ms. Kate Gilmore, for </w:t>
      </w:r>
      <w:r w:rsidR="00862027" w:rsidRPr="00ED5230">
        <w:rPr>
          <w:b/>
          <w:sz w:val="32"/>
          <w:szCs w:val="32"/>
        </w:rPr>
        <w:t>her comments today and her support throughout the year.</w:t>
      </w:r>
      <w:r w:rsidR="00862027">
        <w:rPr>
          <w:sz w:val="32"/>
          <w:szCs w:val="32"/>
        </w:rPr>
        <w:t xml:space="preserve"> Through the Deputy High Commissioner, o</w:t>
      </w:r>
      <w:r w:rsidR="00862027" w:rsidRPr="00965693">
        <w:rPr>
          <w:sz w:val="32"/>
          <w:szCs w:val="32"/>
        </w:rPr>
        <w:t>n behalf of Members of the Board of Trustees</w:t>
      </w:r>
      <w:r w:rsidR="00862027" w:rsidRPr="00965693">
        <w:rPr>
          <w:rStyle w:val="FootnoteReference"/>
          <w:sz w:val="32"/>
          <w:szCs w:val="32"/>
        </w:rPr>
        <w:footnoteReference w:id="2"/>
      </w:r>
      <w:r w:rsidR="00862027" w:rsidRPr="00965693">
        <w:rPr>
          <w:sz w:val="32"/>
          <w:szCs w:val="32"/>
        </w:rPr>
        <w:t xml:space="preserve"> of the Voluntary Fund for Technical Cooperation in the Field of Human Rights (VFTC), </w:t>
      </w:r>
      <w:r w:rsidR="00862027" w:rsidRPr="00ED5230">
        <w:rPr>
          <w:b/>
          <w:sz w:val="32"/>
          <w:szCs w:val="32"/>
        </w:rPr>
        <w:t xml:space="preserve">I also thank the High Commissioner and his Office for </w:t>
      </w:r>
      <w:r w:rsidR="00E7237E" w:rsidRPr="00ED5230">
        <w:rPr>
          <w:b/>
          <w:sz w:val="32"/>
          <w:szCs w:val="32"/>
        </w:rPr>
        <w:t>the</w:t>
      </w:r>
      <w:r w:rsidR="00862027" w:rsidRPr="00ED5230">
        <w:rPr>
          <w:b/>
          <w:sz w:val="32"/>
          <w:szCs w:val="32"/>
        </w:rPr>
        <w:t>ir</w:t>
      </w:r>
      <w:r w:rsidR="00E7237E" w:rsidRPr="00ED5230">
        <w:rPr>
          <w:b/>
          <w:sz w:val="32"/>
          <w:szCs w:val="32"/>
        </w:rPr>
        <w:t xml:space="preserve"> </w:t>
      </w:r>
      <w:r w:rsidR="00862027" w:rsidRPr="00ED5230">
        <w:rPr>
          <w:b/>
          <w:sz w:val="32"/>
          <w:szCs w:val="32"/>
        </w:rPr>
        <w:t xml:space="preserve">continuing </w:t>
      </w:r>
      <w:r w:rsidR="00E7237E" w:rsidRPr="00ED5230">
        <w:rPr>
          <w:b/>
          <w:sz w:val="32"/>
          <w:szCs w:val="32"/>
        </w:rPr>
        <w:t xml:space="preserve">excellent </w:t>
      </w:r>
      <w:r w:rsidR="00862027" w:rsidRPr="00ED5230">
        <w:rPr>
          <w:b/>
          <w:sz w:val="32"/>
          <w:szCs w:val="32"/>
        </w:rPr>
        <w:t>assistance</w:t>
      </w:r>
      <w:r w:rsidR="00E7237E" w:rsidRPr="00ED5230">
        <w:rPr>
          <w:b/>
          <w:sz w:val="32"/>
          <w:szCs w:val="32"/>
        </w:rPr>
        <w:t xml:space="preserve"> </w:t>
      </w:r>
      <w:r w:rsidR="003A1A32" w:rsidRPr="00ED5230">
        <w:rPr>
          <w:b/>
          <w:sz w:val="32"/>
          <w:szCs w:val="32"/>
        </w:rPr>
        <w:t>in carrying out the Board’s mandate.</w:t>
      </w:r>
    </w:p>
    <w:p w14:paraId="03B270C2" w14:textId="77777777" w:rsidR="00221568" w:rsidRPr="00965693" w:rsidRDefault="00221568" w:rsidP="00965693">
      <w:pPr>
        <w:spacing w:before="0" w:line="360" w:lineRule="auto"/>
        <w:rPr>
          <w:sz w:val="32"/>
          <w:szCs w:val="32"/>
        </w:rPr>
      </w:pPr>
    </w:p>
    <w:p w14:paraId="6F9C6CF5" w14:textId="77777777" w:rsidR="00965693" w:rsidRDefault="00862027" w:rsidP="00965693">
      <w:pPr>
        <w:spacing w:line="360" w:lineRule="auto"/>
        <w:rPr>
          <w:sz w:val="32"/>
          <w:szCs w:val="32"/>
        </w:rPr>
      </w:pPr>
      <w:r>
        <w:rPr>
          <w:sz w:val="32"/>
          <w:szCs w:val="32"/>
        </w:rPr>
        <w:t>In accordance with</w:t>
      </w:r>
      <w:r w:rsidR="003A1A32" w:rsidRPr="00965693">
        <w:rPr>
          <w:sz w:val="32"/>
          <w:szCs w:val="32"/>
        </w:rPr>
        <w:t xml:space="preserve"> resolution</w:t>
      </w:r>
      <w:r>
        <w:rPr>
          <w:sz w:val="32"/>
          <w:szCs w:val="32"/>
        </w:rPr>
        <w:t>s</w:t>
      </w:r>
      <w:r w:rsidR="003A1A32" w:rsidRPr="00965693">
        <w:rPr>
          <w:sz w:val="32"/>
          <w:szCs w:val="32"/>
        </w:rPr>
        <w:t xml:space="preserve"> 18/18</w:t>
      </w:r>
      <w:r w:rsidR="007635DC">
        <w:rPr>
          <w:sz w:val="32"/>
          <w:szCs w:val="32"/>
        </w:rPr>
        <w:t xml:space="preserve"> and 33/28</w:t>
      </w:r>
      <w:r>
        <w:rPr>
          <w:sz w:val="32"/>
          <w:szCs w:val="32"/>
        </w:rPr>
        <w:t>,</w:t>
      </w:r>
      <w:r w:rsidR="007635DC">
        <w:rPr>
          <w:sz w:val="32"/>
          <w:szCs w:val="32"/>
        </w:rPr>
        <w:t xml:space="preserve"> under which the Council requested the </w:t>
      </w:r>
      <w:r>
        <w:rPr>
          <w:sz w:val="32"/>
          <w:szCs w:val="32"/>
        </w:rPr>
        <w:t xml:space="preserve">VFTC Board’s </w:t>
      </w:r>
      <w:r w:rsidR="007635DC">
        <w:rPr>
          <w:sz w:val="32"/>
          <w:szCs w:val="32"/>
        </w:rPr>
        <w:t>repor</w:t>
      </w:r>
      <w:r>
        <w:rPr>
          <w:sz w:val="32"/>
          <w:szCs w:val="32"/>
        </w:rPr>
        <w:t>t to be presented annually to the March s</w:t>
      </w:r>
      <w:r w:rsidR="007635DC">
        <w:rPr>
          <w:sz w:val="32"/>
          <w:szCs w:val="32"/>
        </w:rPr>
        <w:t>ession</w:t>
      </w:r>
      <w:r>
        <w:rPr>
          <w:sz w:val="32"/>
          <w:szCs w:val="32"/>
        </w:rPr>
        <w:t xml:space="preserve"> of the Council</w:t>
      </w:r>
      <w:r w:rsidR="007635DC">
        <w:rPr>
          <w:sz w:val="32"/>
          <w:szCs w:val="32"/>
        </w:rPr>
        <w:t>,</w:t>
      </w:r>
      <w:r>
        <w:rPr>
          <w:sz w:val="32"/>
          <w:szCs w:val="32"/>
        </w:rPr>
        <w:t xml:space="preserve"> I present the Board’s report for 2016</w:t>
      </w:r>
      <w:r w:rsidR="0097283F" w:rsidRPr="00965693">
        <w:rPr>
          <w:sz w:val="32"/>
          <w:szCs w:val="32"/>
        </w:rPr>
        <w:t xml:space="preserve">. </w:t>
      </w:r>
      <w:r>
        <w:rPr>
          <w:sz w:val="32"/>
          <w:szCs w:val="32"/>
        </w:rPr>
        <w:t>The VFTC is</w:t>
      </w:r>
      <w:r w:rsidR="00751BF3" w:rsidRPr="00965693">
        <w:rPr>
          <w:sz w:val="32"/>
          <w:szCs w:val="32"/>
        </w:rPr>
        <w:t xml:space="preserve"> the second largest t</w:t>
      </w:r>
      <w:r>
        <w:rPr>
          <w:sz w:val="32"/>
          <w:szCs w:val="32"/>
        </w:rPr>
        <w:t>rust fund administered by OHCHR. It</w:t>
      </w:r>
      <w:r w:rsidR="00751BF3" w:rsidRPr="00965693">
        <w:rPr>
          <w:sz w:val="32"/>
          <w:szCs w:val="32"/>
        </w:rPr>
        <w:t xml:space="preserve"> provides financial support for technical cooperation </w:t>
      </w:r>
      <w:r>
        <w:rPr>
          <w:sz w:val="32"/>
          <w:szCs w:val="32"/>
        </w:rPr>
        <w:t>in</w:t>
      </w:r>
      <w:r w:rsidR="001C470D" w:rsidRPr="00965693">
        <w:rPr>
          <w:sz w:val="32"/>
          <w:szCs w:val="32"/>
        </w:rPr>
        <w:t xml:space="preserve"> implementation of international human rights standards</w:t>
      </w:r>
      <w:r w:rsidR="009A3750" w:rsidRPr="00965693">
        <w:rPr>
          <w:sz w:val="32"/>
          <w:szCs w:val="32"/>
        </w:rPr>
        <w:t xml:space="preserve"> at national level</w:t>
      </w:r>
      <w:r w:rsidR="001C470D" w:rsidRPr="00965693">
        <w:rPr>
          <w:sz w:val="32"/>
          <w:szCs w:val="32"/>
        </w:rPr>
        <w:t xml:space="preserve">. </w:t>
      </w:r>
      <w:r w:rsidR="00CF62EF" w:rsidRPr="00965693">
        <w:rPr>
          <w:sz w:val="32"/>
          <w:szCs w:val="32"/>
        </w:rPr>
        <w:t xml:space="preserve">The members of the </w:t>
      </w:r>
      <w:r w:rsidR="00221568">
        <w:rPr>
          <w:sz w:val="32"/>
          <w:szCs w:val="32"/>
        </w:rPr>
        <w:t xml:space="preserve">VFTC </w:t>
      </w:r>
      <w:r w:rsidR="00CF62EF" w:rsidRPr="00965693">
        <w:rPr>
          <w:sz w:val="32"/>
          <w:szCs w:val="32"/>
        </w:rPr>
        <w:t xml:space="preserve">Board also </w:t>
      </w:r>
      <w:r>
        <w:rPr>
          <w:sz w:val="32"/>
          <w:szCs w:val="32"/>
        </w:rPr>
        <w:t>constitute</w:t>
      </w:r>
      <w:r w:rsidR="00CF62EF" w:rsidRPr="00965693">
        <w:rPr>
          <w:sz w:val="32"/>
          <w:szCs w:val="32"/>
        </w:rPr>
        <w:t xml:space="preserve"> the </w:t>
      </w:r>
      <w:r w:rsidR="0071315E" w:rsidRPr="00965693">
        <w:rPr>
          <w:sz w:val="32"/>
          <w:szCs w:val="32"/>
        </w:rPr>
        <w:t>Board of Trustees of the Voluntary Fund for Financial a</w:t>
      </w:r>
      <w:r w:rsidR="00221568">
        <w:rPr>
          <w:sz w:val="32"/>
          <w:szCs w:val="32"/>
        </w:rPr>
        <w:t>nd Technical Assistance in the I</w:t>
      </w:r>
      <w:r w:rsidR="0071315E" w:rsidRPr="00965693">
        <w:rPr>
          <w:sz w:val="32"/>
          <w:szCs w:val="32"/>
        </w:rPr>
        <w:t xml:space="preserve">mplementation of the Universal Periodic Review. </w:t>
      </w:r>
      <w:r w:rsidR="00221568">
        <w:rPr>
          <w:sz w:val="32"/>
          <w:szCs w:val="32"/>
        </w:rPr>
        <w:t xml:space="preserve">The report </w:t>
      </w:r>
      <w:r w:rsidR="00221568">
        <w:rPr>
          <w:sz w:val="32"/>
          <w:szCs w:val="32"/>
        </w:rPr>
        <w:lastRenderedPageBreak/>
        <w:t>of that Fund will be presented at the June session of the Council. I request that the Council reconcile the differing reporting sessions for the two Funds to facilitate better discussion of the reports.</w:t>
      </w:r>
    </w:p>
    <w:p w14:paraId="5F0CF2D4" w14:textId="77777777" w:rsidR="00221568" w:rsidRDefault="00221568" w:rsidP="00965693">
      <w:pPr>
        <w:spacing w:line="360" w:lineRule="auto"/>
        <w:rPr>
          <w:sz w:val="32"/>
          <w:szCs w:val="32"/>
        </w:rPr>
      </w:pPr>
    </w:p>
    <w:p w14:paraId="0ECCAABA" w14:textId="16D89452" w:rsidR="00C41AB2" w:rsidRPr="00ED5230" w:rsidRDefault="007A225A" w:rsidP="00965693">
      <w:pPr>
        <w:spacing w:line="360" w:lineRule="auto"/>
        <w:rPr>
          <w:b/>
          <w:sz w:val="32"/>
          <w:szCs w:val="32"/>
        </w:rPr>
      </w:pPr>
      <w:r w:rsidRPr="00ED5230">
        <w:rPr>
          <w:b/>
          <w:sz w:val="32"/>
          <w:szCs w:val="32"/>
        </w:rPr>
        <w:t xml:space="preserve">In </w:t>
      </w:r>
      <w:r w:rsidR="00ED5230" w:rsidRPr="00ED5230">
        <w:rPr>
          <w:b/>
          <w:sz w:val="32"/>
          <w:szCs w:val="32"/>
        </w:rPr>
        <w:t>its</w:t>
      </w:r>
      <w:r w:rsidRPr="00ED5230">
        <w:rPr>
          <w:b/>
          <w:sz w:val="32"/>
          <w:szCs w:val="32"/>
        </w:rPr>
        <w:t xml:space="preserve"> dual capacity</w:t>
      </w:r>
      <w:r w:rsidR="00ED5230" w:rsidRPr="00ED5230">
        <w:rPr>
          <w:b/>
          <w:sz w:val="32"/>
          <w:szCs w:val="32"/>
        </w:rPr>
        <w:t xml:space="preserve"> as the Board of Trustees of the Voluntary Fund for Technical Cooperation in the Field of Human Rights (VFTC) and the Board of Trustees of the Voluntary Fund for Financial and Technical Assistance in the Implementation of the Universal Periodic Review</w:t>
      </w:r>
      <w:r w:rsidRPr="00ED5230">
        <w:rPr>
          <w:b/>
          <w:sz w:val="32"/>
          <w:szCs w:val="32"/>
        </w:rPr>
        <w:t>, the Board</w:t>
      </w:r>
      <w:r w:rsidR="00221568" w:rsidRPr="00ED5230">
        <w:rPr>
          <w:b/>
          <w:sz w:val="32"/>
          <w:szCs w:val="32"/>
        </w:rPr>
        <w:t>s</w:t>
      </w:r>
      <w:r w:rsidRPr="00ED5230">
        <w:rPr>
          <w:b/>
          <w:sz w:val="32"/>
          <w:szCs w:val="32"/>
        </w:rPr>
        <w:t xml:space="preserve"> provides </w:t>
      </w:r>
      <w:r w:rsidR="00EA0A02" w:rsidRPr="00ED5230">
        <w:rPr>
          <w:b/>
          <w:sz w:val="32"/>
          <w:szCs w:val="32"/>
        </w:rPr>
        <w:t xml:space="preserve">policy advice and guidance </w:t>
      </w:r>
      <w:r w:rsidR="00C41AB2" w:rsidRPr="00ED5230">
        <w:rPr>
          <w:b/>
          <w:sz w:val="32"/>
          <w:szCs w:val="32"/>
        </w:rPr>
        <w:t>on technical cooperation</w:t>
      </w:r>
      <w:r w:rsidR="00EA0A02" w:rsidRPr="00ED5230">
        <w:rPr>
          <w:b/>
          <w:sz w:val="32"/>
          <w:szCs w:val="32"/>
        </w:rPr>
        <w:t xml:space="preserve"> relevant to OHCHR’S </w:t>
      </w:r>
      <w:r w:rsidR="00221568" w:rsidRPr="00ED5230">
        <w:rPr>
          <w:b/>
          <w:sz w:val="32"/>
          <w:szCs w:val="32"/>
        </w:rPr>
        <w:t>work on the ground</w:t>
      </w:r>
      <w:r w:rsidR="00E96DDD" w:rsidRPr="00ED5230">
        <w:rPr>
          <w:b/>
          <w:sz w:val="32"/>
          <w:szCs w:val="32"/>
        </w:rPr>
        <w:t xml:space="preserve"> in support to State efforts for the promotion and protection of human rights and</w:t>
      </w:r>
      <w:r w:rsidR="00221568" w:rsidRPr="00ED5230">
        <w:rPr>
          <w:b/>
          <w:sz w:val="32"/>
          <w:szCs w:val="32"/>
        </w:rPr>
        <w:t>, in particular, the implementation of UPR recommendations. The members of the Boards, as overseers of the two Funds,</w:t>
      </w:r>
      <w:r w:rsidR="00E96DDD" w:rsidRPr="00ED5230">
        <w:rPr>
          <w:b/>
          <w:sz w:val="32"/>
          <w:szCs w:val="32"/>
        </w:rPr>
        <w:t xml:space="preserve"> seek </w:t>
      </w:r>
      <w:r w:rsidR="00AF6300" w:rsidRPr="00ED5230">
        <w:rPr>
          <w:b/>
          <w:sz w:val="32"/>
          <w:szCs w:val="32"/>
        </w:rPr>
        <w:t xml:space="preserve">to </w:t>
      </w:r>
      <w:r w:rsidR="00C41AB2" w:rsidRPr="00ED5230">
        <w:rPr>
          <w:b/>
          <w:sz w:val="32"/>
          <w:szCs w:val="32"/>
        </w:rPr>
        <w:t xml:space="preserve">promote the </w:t>
      </w:r>
      <w:r w:rsidR="00121A9C" w:rsidRPr="00ED5230">
        <w:rPr>
          <w:b/>
          <w:sz w:val="32"/>
          <w:szCs w:val="32"/>
        </w:rPr>
        <w:t>complementary</w:t>
      </w:r>
      <w:r w:rsidR="00C41AB2" w:rsidRPr="00ED5230">
        <w:rPr>
          <w:b/>
          <w:sz w:val="32"/>
          <w:szCs w:val="32"/>
        </w:rPr>
        <w:t xml:space="preserve"> and</w:t>
      </w:r>
      <w:r w:rsidR="00221568" w:rsidRPr="00ED5230">
        <w:rPr>
          <w:b/>
          <w:sz w:val="32"/>
          <w:szCs w:val="32"/>
        </w:rPr>
        <w:t>,</w:t>
      </w:r>
      <w:r w:rsidR="00C41AB2" w:rsidRPr="00ED5230">
        <w:rPr>
          <w:b/>
          <w:sz w:val="32"/>
          <w:szCs w:val="32"/>
        </w:rPr>
        <w:t xml:space="preserve"> hence, more effective use of </w:t>
      </w:r>
      <w:r w:rsidR="00E96DDD" w:rsidRPr="00ED5230">
        <w:rPr>
          <w:b/>
          <w:sz w:val="32"/>
          <w:szCs w:val="32"/>
        </w:rPr>
        <w:t xml:space="preserve">the resources in both </w:t>
      </w:r>
      <w:r w:rsidR="00221568" w:rsidRPr="00ED5230">
        <w:rPr>
          <w:b/>
          <w:sz w:val="32"/>
          <w:szCs w:val="32"/>
        </w:rPr>
        <w:t>F</w:t>
      </w:r>
      <w:r w:rsidR="00C41AB2" w:rsidRPr="00ED5230">
        <w:rPr>
          <w:b/>
          <w:sz w:val="32"/>
          <w:szCs w:val="32"/>
        </w:rPr>
        <w:t xml:space="preserve">unds. </w:t>
      </w:r>
    </w:p>
    <w:p w14:paraId="5CBE50C6" w14:textId="77777777" w:rsidR="00221568" w:rsidRPr="00965693" w:rsidRDefault="00221568" w:rsidP="00965693">
      <w:pPr>
        <w:spacing w:line="360" w:lineRule="auto"/>
        <w:rPr>
          <w:sz w:val="32"/>
          <w:szCs w:val="32"/>
        </w:rPr>
      </w:pPr>
    </w:p>
    <w:p w14:paraId="0C2DA668" w14:textId="77777777" w:rsidR="00221568" w:rsidRDefault="00766117" w:rsidP="00C63558">
      <w:pPr>
        <w:spacing w:line="360" w:lineRule="auto"/>
        <w:rPr>
          <w:sz w:val="32"/>
          <w:szCs w:val="32"/>
        </w:rPr>
      </w:pPr>
      <w:r w:rsidRPr="00965693">
        <w:rPr>
          <w:sz w:val="32"/>
          <w:szCs w:val="32"/>
        </w:rPr>
        <w:t xml:space="preserve">The </w:t>
      </w:r>
      <w:r w:rsidR="00221568">
        <w:rPr>
          <w:sz w:val="32"/>
          <w:szCs w:val="32"/>
        </w:rPr>
        <w:t xml:space="preserve">VFTC </w:t>
      </w:r>
      <w:r w:rsidRPr="00965693">
        <w:rPr>
          <w:sz w:val="32"/>
          <w:szCs w:val="32"/>
        </w:rPr>
        <w:t xml:space="preserve">Board’s </w:t>
      </w:r>
      <w:r w:rsidR="00221568">
        <w:rPr>
          <w:sz w:val="32"/>
          <w:szCs w:val="32"/>
        </w:rPr>
        <w:t>report</w:t>
      </w:r>
      <w:r w:rsidRPr="00965693">
        <w:rPr>
          <w:sz w:val="32"/>
          <w:szCs w:val="32"/>
        </w:rPr>
        <w:t xml:space="preserve"> </w:t>
      </w:r>
      <w:r w:rsidR="00221568">
        <w:rPr>
          <w:sz w:val="32"/>
          <w:szCs w:val="32"/>
        </w:rPr>
        <w:t>to this session</w:t>
      </w:r>
      <w:r w:rsidRPr="00965693">
        <w:rPr>
          <w:sz w:val="32"/>
          <w:szCs w:val="32"/>
        </w:rPr>
        <w:t xml:space="preserve"> </w:t>
      </w:r>
      <w:r w:rsidR="00221568">
        <w:rPr>
          <w:sz w:val="32"/>
          <w:szCs w:val="32"/>
        </w:rPr>
        <w:t xml:space="preserve">of the Council </w:t>
      </w:r>
      <w:r w:rsidRPr="00965693">
        <w:rPr>
          <w:sz w:val="32"/>
          <w:szCs w:val="32"/>
        </w:rPr>
        <w:t>cover</w:t>
      </w:r>
      <w:r w:rsidR="00221568">
        <w:rPr>
          <w:sz w:val="32"/>
          <w:szCs w:val="32"/>
        </w:rPr>
        <w:t>s</w:t>
      </w:r>
      <w:r w:rsidRPr="00965693">
        <w:rPr>
          <w:sz w:val="32"/>
          <w:szCs w:val="32"/>
        </w:rPr>
        <w:t xml:space="preserve"> its forty-</w:t>
      </w:r>
      <w:r w:rsidR="00D00BFC">
        <w:rPr>
          <w:sz w:val="32"/>
          <w:szCs w:val="32"/>
        </w:rPr>
        <w:t xml:space="preserve">third </w:t>
      </w:r>
      <w:r w:rsidRPr="00965693">
        <w:rPr>
          <w:sz w:val="32"/>
          <w:szCs w:val="32"/>
        </w:rPr>
        <w:t>session held in G</w:t>
      </w:r>
      <w:r w:rsidR="003745C6">
        <w:rPr>
          <w:sz w:val="32"/>
          <w:szCs w:val="32"/>
        </w:rPr>
        <w:t>uatemala</w:t>
      </w:r>
      <w:r w:rsidRPr="00965693">
        <w:rPr>
          <w:sz w:val="32"/>
          <w:szCs w:val="32"/>
        </w:rPr>
        <w:t xml:space="preserve"> </w:t>
      </w:r>
      <w:r w:rsidR="009D0A0B" w:rsidRPr="00965693">
        <w:rPr>
          <w:sz w:val="32"/>
          <w:szCs w:val="32"/>
        </w:rPr>
        <w:t>in</w:t>
      </w:r>
      <w:r w:rsidRPr="00965693">
        <w:rPr>
          <w:sz w:val="32"/>
          <w:szCs w:val="32"/>
        </w:rPr>
        <w:t xml:space="preserve"> </w:t>
      </w:r>
      <w:r w:rsidR="0081081B">
        <w:rPr>
          <w:sz w:val="32"/>
          <w:szCs w:val="32"/>
        </w:rPr>
        <w:t xml:space="preserve">October </w:t>
      </w:r>
      <w:r w:rsidR="00221568">
        <w:rPr>
          <w:sz w:val="32"/>
          <w:szCs w:val="32"/>
        </w:rPr>
        <w:t xml:space="preserve">2016 </w:t>
      </w:r>
      <w:r w:rsidR="0081081B">
        <w:rPr>
          <w:sz w:val="32"/>
          <w:szCs w:val="32"/>
        </w:rPr>
        <w:t>a</w:t>
      </w:r>
      <w:r w:rsidRPr="00965693">
        <w:rPr>
          <w:sz w:val="32"/>
          <w:szCs w:val="32"/>
        </w:rPr>
        <w:t xml:space="preserve">nd provides an update on the use of the </w:t>
      </w:r>
      <w:r w:rsidR="00443834" w:rsidRPr="00965693">
        <w:rPr>
          <w:sz w:val="32"/>
          <w:szCs w:val="32"/>
        </w:rPr>
        <w:t>VFTC</w:t>
      </w:r>
      <w:r w:rsidR="00221568">
        <w:rPr>
          <w:sz w:val="32"/>
          <w:szCs w:val="32"/>
        </w:rPr>
        <w:t xml:space="preserve"> during the period under review</w:t>
      </w:r>
      <w:r w:rsidRPr="00965693">
        <w:rPr>
          <w:sz w:val="32"/>
          <w:szCs w:val="32"/>
        </w:rPr>
        <w:t>.</w:t>
      </w:r>
      <w:r w:rsidR="00221568">
        <w:rPr>
          <w:sz w:val="32"/>
          <w:szCs w:val="32"/>
        </w:rPr>
        <w:t xml:space="preserve"> </w:t>
      </w:r>
      <w:r w:rsidR="0081081B">
        <w:rPr>
          <w:sz w:val="32"/>
          <w:szCs w:val="32"/>
        </w:rPr>
        <w:t>T</w:t>
      </w:r>
      <w:r w:rsidR="00673345" w:rsidRPr="00965693">
        <w:rPr>
          <w:sz w:val="32"/>
          <w:szCs w:val="32"/>
        </w:rPr>
        <w:t>he visit to the</w:t>
      </w:r>
      <w:r w:rsidR="0081081B">
        <w:rPr>
          <w:sz w:val="32"/>
          <w:szCs w:val="32"/>
        </w:rPr>
        <w:t xml:space="preserve"> OHCHR Country Office in Guatemala</w:t>
      </w:r>
      <w:r w:rsidR="00673345" w:rsidRPr="00965693">
        <w:rPr>
          <w:sz w:val="32"/>
          <w:szCs w:val="32"/>
        </w:rPr>
        <w:t xml:space="preserve"> was its</w:t>
      </w:r>
      <w:r w:rsidR="0081081B">
        <w:rPr>
          <w:sz w:val="32"/>
          <w:szCs w:val="32"/>
        </w:rPr>
        <w:t xml:space="preserve"> second </w:t>
      </w:r>
      <w:r w:rsidR="00673345" w:rsidRPr="00965693">
        <w:rPr>
          <w:sz w:val="32"/>
          <w:szCs w:val="32"/>
        </w:rPr>
        <w:t>to this type of OHCHR field presence</w:t>
      </w:r>
      <w:r w:rsidR="0081081B">
        <w:rPr>
          <w:sz w:val="32"/>
          <w:szCs w:val="32"/>
        </w:rPr>
        <w:t xml:space="preserve"> in the Latin American Region</w:t>
      </w:r>
      <w:r w:rsidR="00673345" w:rsidRPr="00965693">
        <w:rPr>
          <w:sz w:val="32"/>
          <w:szCs w:val="32"/>
        </w:rPr>
        <w:t xml:space="preserve">. </w:t>
      </w:r>
    </w:p>
    <w:p w14:paraId="4E559B87" w14:textId="77777777" w:rsidR="00C63558" w:rsidRDefault="00FE49D7" w:rsidP="00C63558">
      <w:pPr>
        <w:spacing w:line="360" w:lineRule="auto"/>
        <w:rPr>
          <w:sz w:val="32"/>
          <w:szCs w:val="32"/>
        </w:rPr>
      </w:pPr>
      <w:r w:rsidRPr="00965693">
        <w:rPr>
          <w:sz w:val="32"/>
          <w:szCs w:val="32"/>
        </w:rPr>
        <w:lastRenderedPageBreak/>
        <w:t>Th</w:t>
      </w:r>
      <w:r w:rsidR="00673345" w:rsidRPr="00965693">
        <w:rPr>
          <w:sz w:val="32"/>
          <w:szCs w:val="32"/>
        </w:rPr>
        <w:t xml:space="preserve">e Board </w:t>
      </w:r>
      <w:r w:rsidRPr="00965693">
        <w:rPr>
          <w:sz w:val="32"/>
          <w:szCs w:val="32"/>
        </w:rPr>
        <w:t>had</w:t>
      </w:r>
      <w:r w:rsidR="00673345" w:rsidRPr="00965693">
        <w:rPr>
          <w:sz w:val="32"/>
          <w:szCs w:val="32"/>
        </w:rPr>
        <w:t xml:space="preserve"> an excellent opportunity to </w:t>
      </w:r>
      <w:r w:rsidR="0081081B" w:rsidRPr="00C63558">
        <w:rPr>
          <w:sz w:val="32"/>
          <w:szCs w:val="32"/>
        </w:rPr>
        <w:t xml:space="preserve">observe first-hand the type of technical cooperation that OHCHR is best placed to offer, starting with and based upon its monitoring role. </w:t>
      </w:r>
    </w:p>
    <w:p w14:paraId="453C6947" w14:textId="77777777" w:rsidR="00C63558" w:rsidRDefault="00C63558" w:rsidP="00C63558">
      <w:pPr>
        <w:spacing w:line="360" w:lineRule="auto"/>
        <w:rPr>
          <w:sz w:val="32"/>
          <w:szCs w:val="32"/>
        </w:rPr>
      </w:pPr>
    </w:p>
    <w:p w14:paraId="399F9D76" w14:textId="77777777" w:rsidR="00C46612" w:rsidRPr="00C46612" w:rsidRDefault="00C46612" w:rsidP="00C63558">
      <w:pPr>
        <w:spacing w:line="360" w:lineRule="auto"/>
        <w:rPr>
          <w:b/>
          <w:sz w:val="32"/>
          <w:szCs w:val="32"/>
        </w:rPr>
      </w:pPr>
      <w:r w:rsidRPr="00C46612">
        <w:rPr>
          <w:b/>
          <w:sz w:val="32"/>
          <w:szCs w:val="32"/>
        </w:rPr>
        <w:t>Board visit to Guatemala Country Office</w:t>
      </w:r>
    </w:p>
    <w:p w14:paraId="3B689B73" w14:textId="6CC0C013" w:rsidR="00C63558" w:rsidRDefault="00F25110" w:rsidP="00C63558">
      <w:pPr>
        <w:spacing w:line="360" w:lineRule="auto"/>
        <w:rPr>
          <w:sz w:val="32"/>
          <w:szCs w:val="32"/>
        </w:rPr>
      </w:pPr>
      <w:r>
        <w:rPr>
          <w:sz w:val="32"/>
          <w:szCs w:val="32"/>
        </w:rPr>
        <w:t>As in other OHCHR country offices, the Guatemala Office u</w:t>
      </w:r>
      <w:r w:rsidR="0081081B" w:rsidRPr="00C63558">
        <w:rPr>
          <w:sz w:val="32"/>
          <w:szCs w:val="32"/>
        </w:rPr>
        <w:t>s</w:t>
      </w:r>
      <w:r>
        <w:rPr>
          <w:sz w:val="32"/>
          <w:szCs w:val="32"/>
        </w:rPr>
        <w:t>es</w:t>
      </w:r>
      <w:r w:rsidR="0081081B" w:rsidRPr="00C63558">
        <w:rPr>
          <w:sz w:val="32"/>
          <w:szCs w:val="32"/>
        </w:rPr>
        <w:t xml:space="preserve"> its technical expertise and close interactions with </w:t>
      </w:r>
      <w:r w:rsidR="00D84B05">
        <w:rPr>
          <w:sz w:val="32"/>
          <w:szCs w:val="32"/>
        </w:rPr>
        <w:t xml:space="preserve">all </w:t>
      </w:r>
      <w:r>
        <w:rPr>
          <w:sz w:val="32"/>
          <w:szCs w:val="32"/>
        </w:rPr>
        <w:t>partners</w:t>
      </w:r>
      <w:r w:rsidR="00C46612">
        <w:rPr>
          <w:sz w:val="32"/>
          <w:szCs w:val="32"/>
        </w:rPr>
        <w:t xml:space="preserve"> on the ground to</w:t>
      </w:r>
      <w:r w:rsidR="0081081B" w:rsidRPr="00C63558">
        <w:rPr>
          <w:sz w:val="32"/>
          <w:szCs w:val="32"/>
        </w:rPr>
        <w:t xml:space="preserve"> gather evidence-based information and credible, validated data on the human rights situation and challenges. It subsequently designs appropriate responses</w:t>
      </w:r>
      <w:r w:rsidR="00C46612">
        <w:rPr>
          <w:sz w:val="32"/>
          <w:szCs w:val="32"/>
        </w:rPr>
        <w:t>,</w:t>
      </w:r>
      <w:r w:rsidR="0081081B" w:rsidRPr="00C63558">
        <w:rPr>
          <w:sz w:val="32"/>
          <w:szCs w:val="32"/>
        </w:rPr>
        <w:t xml:space="preserve"> </w:t>
      </w:r>
      <w:r w:rsidR="00C63558">
        <w:rPr>
          <w:sz w:val="32"/>
          <w:szCs w:val="32"/>
        </w:rPr>
        <w:t>discuss</w:t>
      </w:r>
      <w:r>
        <w:rPr>
          <w:sz w:val="32"/>
          <w:szCs w:val="32"/>
        </w:rPr>
        <w:t>es</w:t>
      </w:r>
      <w:r w:rsidR="00C63558">
        <w:rPr>
          <w:sz w:val="32"/>
          <w:szCs w:val="32"/>
        </w:rPr>
        <w:t xml:space="preserve"> and </w:t>
      </w:r>
      <w:r w:rsidR="0081081B" w:rsidRPr="00C63558">
        <w:rPr>
          <w:sz w:val="32"/>
          <w:szCs w:val="32"/>
        </w:rPr>
        <w:t xml:space="preserve">suggests </w:t>
      </w:r>
      <w:r w:rsidR="00C63558">
        <w:rPr>
          <w:sz w:val="32"/>
          <w:szCs w:val="32"/>
        </w:rPr>
        <w:t xml:space="preserve">possible </w:t>
      </w:r>
      <w:r w:rsidR="00D84B05">
        <w:rPr>
          <w:sz w:val="32"/>
          <w:szCs w:val="32"/>
        </w:rPr>
        <w:t xml:space="preserve">technical cooperation </w:t>
      </w:r>
      <w:r w:rsidR="0081081B" w:rsidRPr="00C63558">
        <w:rPr>
          <w:sz w:val="32"/>
          <w:szCs w:val="32"/>
        </w:rPr>
        <w:t xml:space="preserve">programmes </w:t>
      </w:r>
      <w:r w:rsidR="00C63558">
        <w:rPr>
          <w:sz w:val="32"/>
          <w:szCs w:val="32"/>
        </w:rPr>
        <w:t xml:space="preserve">with the State </w:t>
      </w:r>
      <w:r w:rsidR="0081081B" w:rsidRPr="00C63558">
        <w:rPr>
          <w:sz w:val="32"/>
          <w:szCs w:val="32"/>
        </w:rPr>
        <w:t>on the basis of that information</w:t>
      </w:r>
      <w:r w:rsidR="00D84B05">
        <w:rPr>
          <w:sz w:val="32"/>
          <w:szCs w:val="32"/>
        </w:rPr>
        <w:t xml:space="preserve">. </w:t>
      </w:r>
      <w:r w:rsidR="0081081B" w:rsidRPr="00C63558">
        <w:rPr>
          <w:sz w:val="32"/>
          <w:szCs w:val="32"/>
        </w:rPr>
        <w:t xml:space="preserve">The </w:t>
      </w:r>
      <w:r w:rsidR="00083838">
        <w:rPr>
          <w:sz w:val="32"/>
          <w:szCs w:val="32"/>
        </w:rPr>
        <w:t>support of</w:t>
      </w:r>
      <w:r w:rsidR="00C46612">
        <w:rPr>
          <w:sz w:val="32"/>
          <w:szCs w:val="32"/>
        </w:rPr>
        <w:t xml:space="preserve"> the Office and the openness in-</w:t>
      </w:r>
      <w:r w:rsidR="00083838">
        <w:rPr>
          <w:sz w:val="32"/>
          <w:szCs w:val="32"/>
        </w:rPr>
        <w:t xml:space="preserve">country </w:t>
      </w:r>
      <w:r w:rsidR="0081081B" w:rsidRPr="00C63558">
        <w:rPr>
          <w:sz w:val="32"/>
          <w:szCs w:val="32"/>
        </w:rPr>
        <w:t>in ensuring</w:t>
      </w:r>
      <w:r w:rsidR="00C46612">
        <w:rPr>
          <w:sz w:val="32"/>
          <w:szCs w:val="32"/>
        </w:rPr>
        <w:t xml:space="preserve"> the integration of all rights – </w:t>
      </w:r>
      <w:r w:rsidR="0081081B" w:rsidRPr="00C63558">
        <w:rPr>
          <w:sz w:val="32"/>
          <w:szCs w:val="32"/>
        </w:rPr>
        <w:t>civil, cultural, economic, political and social</w:t>
      </w:r>
      <w:r w:rsidR="00C46612">
        <w:rPr>
          <w:sz w:val="32"/>
          <w:szCs w:val="32"/>
        </w:rPr>
        <w:t xml:space="preserve"> – </w:t>
      </w:r>
      <w:r w:rsidR="0081081B" w:rsidRPr="00C63558">
        <w:rPr>
          <w:sz w:val="32"/>
          <w:szCs w:val="32"/>
        </w:rPr>
        <w:t>is very effective</w:t>
      </w:r>
      <w:r w:rsidR="00C46612">
        <w:rPr>
          <w:sz w:val="32"/>
          <w:szCs w:val="32"/>
        </w:rPr>
        <w:t xml:space="preserve"> in ensuring better promotion and protection of human rights</w:t>
      </w:r>
      <w:r w:rsidR="0081081B" w:rsidRPr="00C63558">
        <w:rPr>
          <w:sz w:val="32"/>
          <w:szCs w:val="32"/>
        </w:rPr>
        <w:t xml:space="preserve">. </w:t>
      </w:r>
    </w:p>
    <w:p w14:paraId="37204D9D" w14:textId="77777777" w:rsidR="00C63558" w:rsidRDefault="00C63558" w:rsidP="00C63558">
      <w:pPr>
        <w:spacing w:line="360" w:lineRule="auto"/>
        <w:rPr>
          <w:sz w:val="32"/>
          <w:szCs w:val="32"/>
        </w:rPr>
      </w:pPr>
    </w:p>
    <w:p w14:paraId="6D4E5AC5" w14:textId="77777777" w:rsidR="00C63558" w:rsidRPr="00C46612" w:rsidRDefault="0081081B" w:rsidP="00C63558">
      <w:pPr>
        <w:spacing w:line="360" w:lineRule="auto"/>
        <w:rPr>
          <w:b/>
          <w:sz w:val="32"/>
          <w:szCs w:val="32"/>
        </w:rPr>
      </w:pPr>
      <w:r w:rsidRPr="00C46612">
        <w:rPr>
          <w:b/>
          <w:sz w:val="32"/>
          <w:szCs w:val="32"/>
        </w:rPr>
        <w:t>Th</w:t>
      </w:r>
      <w:r w:rsidR="00C63558" w:rsidRPr="00C46612">
        <w:rPr>
          <w:b/>
          <w:sz w:val="32"/>
          <w:szCs w:val="32"/>
        </w:rPr>
        <w:t xml:space="preserve">is </w:t>
      </w:r>
      <w:r w:rsidRPr="00C46612">
        <w:rPr>
          <w:b/>
          <w:sz w:val="32"/>
          <w:szCs w:val="32"/>
        </w:rPr>
        <w:t xml:space="preserve">visit once again demonstrated that, when the Office is given the opportunity to use strategically the full mandate of the High Commissioner to support to </w:t>
      </w:r>
      <w:r w:rsidR="00C46612" w:rsidRPr="00C46612">
        <w:rPr>
          <w:b/>
          <w:sz w:val="32"/>
          <w:szCs w:val="32"/>
        </w:rPr>
        <w:t>a</w:t>
      </w:r>
      <w:r w:rsidRPr="00C46612">
        <w:rPr>
          <w:b/>
          <w:sz w:val="32"/>
          <w:szCs w:val="32"/>
        </w:rPr>
        <w:t xml:space="preserve"> country’s human rights efforts, the results are tangible and sustainable, and the Office is accepted as a key, reliable partner. </w:t>
      </w:r>
    </w:p>
    <w:p w14:paraId="71FD367E" w14:textId="77777777" w:rsidR="00C63558" w:rsidRDefault="00C63558" w:rsidP="00C63558">
      <w:pPr>
        <w:spacing w:line="360" w:lineRule="auto"/>
        <w:rPr>
          <w:sz w:val="32"/>
          <w:szCs w:val="32"/>
        </w:rPr>
      </w:pPr>
    </w:p>
    <w:p w14:paraId="1A207497" w14:textId="77777777" w:rsidR="00C63558" w:rsidRDefault="0081081B" w:rsidP="00C63558">
      <w:pPr>
        <w:spacing w:line="360" w:lineRule="auto"/>
        <w:rPr>
          <w:sz w:val="32"/>
          <w:szCs w:val="32"/>
        </w:rPr>
      </w:pPr>
      <w:r w:rsidRPr="00C63558">
        <w:rPr>
          <w:sz w:val="32"/>
          <w:szCs w:val="32"/>
        </w:rPr>
        <w:lastRenderedPageBreak/>
        <w:t xml:space="preserve">The Board has expressed this view </w:t>
      </w:r>
      <w:r w:rsidR="00C46612">
        <w:rPr>
          <w:sz w:val="32"/>
          <w:szCs w:val="32"/>
        </w:rPr>
        <w:t xml:space="preserve">in </w:t>
      </w:r>
      <w:r w:rsidR="00C46612" w:rsidRPr="00C63558">
        <w:rPr>
          <w:sz w:val="32"/>
          <w:szCs w:val="32"/>
        </w:rPr>
        <w:t xml:space="preserve">its </w:t>
      </w:r>
      <w:r w:rsidR="00C46612">
        <w:rPr>
          <w:sz w:val="32"/>
          <w:szCs w:val="32"/>
        </w:rPr>
        <w:t xml:space="preserve">past </w:t>
      </w:r>
      <w:r w:rsidR="00C46612" w:rsidRPr="00C63558">
        <w:rPr>
          <w:sz w:val="32"/>
          <w:szCs w:val="32"/>
        </w:rPr>
        <w:t>annual reports and presentations</w:t>
      </w:r>
      <w:r w:rsidR="00C46612">
        <w:rPr>
          <w:sz w:val="32"/>
          <w:szCs w:val="32"/>
        </w:rPr>
        <w:t xml:space="preserve"> </w:t>
      </w:r>
      <w:r w:rsidRPr="00C63558">
        <w:rPr>
          <w:sz w:val="32"/>
          <w:szCs w:val="32"/>
        </w:rPr>
        <w:t>to the Human Rights Council</w:t>
      </w:r>
      <w:r w:rsidR="00C46612">
        <w:rPr>
          <w:sz w:val="32"/>
          <w:szCs w:val="32"/>
        </w:rPr>
        <w:t>. It</w:t>
      </w:r>
      <w:r w:rsidRPr="00C63558">
        <w:rPr>
          <w:sz w:val="32"/>
          <w:szCs w:val="32"/>
        </w:rPr>
        <w:t xml:space="preserve"> will continue </w:t>
      </w:r>
      <w:r w:rsidR="00C46612">
        <w:rPr>
          <w:sz w:val="32"/>
          <w:szCs w:val="32"/>
        </w:rPr>
        <w:t xml:space="preserve">in future </w:t>
      </w:r>
      <w:r w:rsidRPr="00C63558">
        <w:rPr>
          <w:sz w:val="32"/>
          <w:szCs w:val="32"/>
        </w:rPr>
        <w:t xml:space="preserve">to provide examples </w:t>
      </w:r>
      <w:r w:rsidR="00C46612">
        <w:rPr>
          <w:sz w:val="32"/>
          <w:szCs w:val="32"/>
        </w:rPr>
        <w:t>to promote</w:t>
      </w:r>
      <w:r w:rsidRPr="00C63558">
        <w:rPr>
          <w:sz w:val="32"/>
          <w:szCs w:val="32"/>
        </w:rPr>
        <w:t xml:space="preserve"> a better understanding of the type of technical cooperation that the Office is best placed to offer and provide. The valu</w:t>
      </w:r>
      <w:r w:rsidR="00C46612">
        <w:rPr>
          <w:sz w:val="32"/>
          <w:szCs w:val="32"/>
        </w:rPr>
        <w:t>e of the work of the Guatemala O</w:t>
      </w:r>
      <w:r w:rsidRPr="00C63558">
        <w:rPr>
          <w:sz w:val="32"/>
          <w:szCs w:val="32"/>
        </w:rPr>
        <w:t>ffice was emphasized by all counterparts in country, including State institutions, civil society</w:t>
      </w:r>
      <w:r w:rsidR="00C46612">
        <w:rPr>
          <w:sz w:val="32"/>
          <w:szCs w:val="32"/>
        </w:rPr>
        <w:t>,</w:t>
      </w:r>
      <w:r w:rsidRPr="00C63558">
        <w:rPr>
          <w:sz w:val="32"/>
          <w:szCs w:val="32"/>
        </w:rPr>
        <w:t xml:space="preserve"> United Nations </w:t>
      </w:r>
      <w:r w:rsidR="00C46612">
        <w:rPr>
          <w:sz w:val="32"/>
          <w:szCs w:val="32"/>
        </w:rPr>
        <w:t xml:space="preserve">agencies </w:t>
      </w:r>
      <w:r w:rsidRPr="00C63558">
        <w:rPr>
          <w:sz w:val="32"/>
          <w:szCs w:val="32"/>
        </w:rPr>
        <w:t xml:space="preserve">and </w:t>
      </w:r>
      <w:r w:rsidR="00C46612">
        <w:rPr>
          <w:sz w:val="32"/>
          <w:szCs w:val="32"/>
        </w:rPr>
        <w:t xml:space="preserve">diplomatic representatives </w:t>
      </w:r>
      <w:r w:rsidRPr="00C63558">
        <w:rPr>
          <w:sz w:val="32"/>
          <w:szCs w:val="32"/>
        </w:rPr>
        <w:t>with whom the Board met.</w:t>
      </w:r>
    </w:p>
    <w:p w14:paraId="6A257F39" w14:textId="77777777" w:rsidR="00C63558" w:rsidRDefault="00C63558" w:rsidP="00C63558">
      <w:pPr>
        <w:spacing w:line="360" w:lineRule="auto"/>
        <w:rPr>
          <w:sz w:val="32"/>
          <w:szCs w:val="32"/>
        </w:rPr>
      </w:pPr>
    </w:p>
    <w:p w14:paraId="3B8E9AA7" w14:textId="77777777" w:rsidR="00A34831" w:rsidRDefault="0081081B" w:rsidP="00C63558">
      <w:pPr>
        <w:spacing w:line="360" w:lineRule="auto"/>
        <w:rPr>
          <w:sz w:val="32"/>
          <w:szCs w:val="32"/>
        </w:rPr>
      </w:pPr>
      <w:r w:rsidRPr="00C63558">
        <w:rPr>
          <w:sz w:val="32"/>
          <w:szCs w:val="32"/>
        </w:rPr>
        <w:t xml:space="preserve">The physical presence of its Office in Guatemala has enabled OHCHR to add </w:t>
      </w:r>
      <w:r w:rsidR="00A34831">
        <w:rPr>
          <w:sz w:val="32"/>
          <w:szCs w:val="32"/>
        </w:rPr>
        <w:t xml:space="preserve">to the initiatives of local partners </w:t>
      </w:r>
      <w:r w:rsidRPr="00C63558">
        <w:rPr>
          <w:sz w:val="32"/>
          <w:szCs w:val="32"/>
        </w:rPr>
        <w:t xml:space="preserve">the value of its unique mandate. The added value is particularly evident in the space </w:t>
      </w:r>
      <w:r w:rsidR="00A34831">
        <w:rPr>
          <w:sz w:val="32"/>
          <w:szCs w:val="32"/>
        </w:rPr>
        <w:t xml:space="preserve">OHCHR opens and </w:t>
      </w:r>
      <w:r w:rsidRPr="00C63558">
        <w:rPr>
          <w:sz w:val="32"/>
          <w:szCs w:val="32"/>
        </w:rPr>
        <w:t>provide</w:t>
      </w:r>
      <w:r w:rsidR="00A34831">
        <w:rPr>
          <w:sz w:val="32"/>
          <w:szCs w:val="32"/>
        </w:rPr>
        <w:t>s</w:t>
      </w:r>
      <w:r w:rsidRPr="00C63558">
        <w:rPr>
          <w:sz w:val="32"/>
          <w:szCs w:val="32"/>
        </w:rPr>
        <w:t xml:space="preserve"> to human rights defenders, journalists and the victims of human rights violations. The Board met with many representatives of these groups, including indigenous </w:t>
      </w:r>
      <w:r w:rsidR="00A34831">
        <w:rPr>
          <w:sz w:val="32"/>
          <w:szCs w:val="32"/>
        </w:rPr>
        <w:t>representatives. On</w:t>
      </w:r>
      <w:r w:rsidRPr="00C63558">
        <w:rPr>
          <w:sz w:val="32"/>
          <w:szCs w:val="32"/>
        </w:rPr>
        <w:t xml:space="preserve"> many </w:t>
      </w:r>
      <w:r w:rsidR="00A34831">
        <w:rPr>
          <w:sz w:val="32"/>
          <w:szCs w:val="32"/>
        </w:rPr>
        <w:t>occasions they</w:t>
      </w:r>
      <w:r w:rsidRPr="00C63558">
        <w:rPr>
          <w:sz w:val="32"/>
          <w:szCs w:val="32"/>
        </w:rPr>
        <w:t xml:space="preserve"> expressed their appreciation for the capacity-building and accompanying role that th</w:t>
      </w:r>
      <w:r w:rsidR="00A34831">
        <w:rPr>
          <w:sz w:val="32"/>
          <w:szCs w:val="32"/>
        </w:rPr>
        <w:t>e Office provides to indigenous and other marginalised and at-risk groups</w:t>
      </w:r>
      <w:r w:rsidRPr="00C63558">
        <w:rPr>
          <w:sz w:val="32"/>
          <w:szCs w:val="32"/>
        </w:rPr>
        <w:t xml:space="preserve"> </w:t>
      </w:r>
      <w:r w:rsidR="00474BC2">
        <w:rPr>
          <w:sz w:val="32"/>
          <w:szCs w:val="32"/>
        </w:rPr>
        <w:t xml:space="preserve">and </w:t>
      </w:r>
      <w:r w:rsidR="00A34831">
        <w:rPr>
          <w:sz w:val="32"/>
          <w:szCs w:val="32"/>
        </w:rPr>
        <w:t>for the support OHCHR offers to</w:t>
      </w:r>
      <w:r w:rsidR="00474BC2">
        <w:rPr>
          <w:sz w:val="32"/>
          <w:szCs w:val="32"/>
        </w:rPr>
        <w:t xml:space="preserve"> State efforts </w:t>
      </w:r>
      <w:r w:rsidRPr="00C63558">
        <w:rPr>
          <w:sz w:val="32"/>
          <w:szCs w:val="32"/>
        </w:rPr>
        <w:t xml:space="preserve">in the defence of </w:t>
      </w:r>
      <w:r w:rsidR="00A34831">
        <w:rPr>
          <w:sz w:val="32"/>
          <w:szCs w:val="32"/>
        </w:rPr>
        <w:t>human</w:t>
      </w:r>
      <w:r w:rsidRPr="00C63558">
        <w:rPr>
          <w:sz w:val="32"/>
          <w:szCs w:val="32"/>
        </w:rPr>
        <w:t xml:space="preserve"> rights.</w:t>
      </w:r>
      <w:r w:rsidR="00A34831">
        <w:rPr>
          <w:sz w:val="32"/>
          <w:szCs w:val="32"/>
        </w:rPr>
        <w:t xml:space="preserve"> They considered themselves empowered through the Office’s initiatives.</w:t>
      </w:r>
    </w:p>
    <w:p w14:paraId="68CFD68D" w14:textId="77777777" w:rsidR="00A34831" w:rsidRDefault="00A34831" w:rsidP="00C63558">
      <w:pPr>
        <w:spacing w:line="360" w:lineRule="auto"/>
        <w:rPr>
          <w:sz w:val="32"/>
          <w:szCs w:val="32"/>
        </w:rPr>
      </w:pPr>
    </w:p>
    <w:p w14:paraId="0866CFEB" w14:textId="77777777" w:rsidR="00C63558" w:rsidRDefault="00A34831" w:rsidP="00C63558">
      <w:pPr>
        <w:spacing w:line="360" w:lineRule="auto"/>
        <w:rPr>
          <w:sz w:val="32"/>
          <w:szCs w:val="32"/>
        </w:rPr>
      </w:pPr>
      <w:r w:rsidRPr="00A34831">
        <w:rPr>
          <w:b/>
          <w:sz w:val="32"/>
          <w:szCs w:val="32"/>
        </w:rPr>
        <w:lastRenderedPageBreak/>
        <w:t xml:space="preserve">This endorsement by marginalised people and by those experiencing or at risk of human rights violations </w:t>
      </w:r>
      <w:r w:rsidR="00D84B05">
        <w:rPr>
          <w:b/>
          <w:sz w:val="32"/>
          <w:szCs w:val="32"/>
        </w:rPr>
        <w:t xml:space="preserve">combined with the excellent cooperation with relevant State institutions to effectively address the challenges faced by these groups, </w:t>
      </w:r>
      <w:r w:rsidRPr="00A34831">
        <w:rPr>
          <w:b/>
          <w:sz w:val="32"/>
          <w:szCs w:val="32"/>
        </w:rPr>
        <w:t>is the best endorsement OHCHR could want for the effectiveness of its efforts.</w:t>
      </w:r>
    </w:p>
    <w:p w14:paraId="6B43250A" w14:textId="77777777" w:rsidR="00A34831" w:rsidRDefault="00A34831" w:rsidP="00C63558">
      <w:pPr>
        <w:spacing w:line="360" w:lineRule="auto"/>
        <w:rPr>
          <w:sz w:val="32"/>
          <w:szCs w:val="32"/>
        </w:rPr>
      </w:pPr>
    </w:p>
    <w:p w14:paraId="09F0D318" w14:textId="77777777" w:rsidR="00474BC2" w:rsidRDefault="00A34831" w:rsidP="001C1DDA">
      <w:pPr>
        <w:spacing w:line="360" w:lineRule="auto"/>
        <w:rPr>
          <w:sz w:val="32"/>
          <w:szCs w:val="32"/>
        </w:rPr>
      </w:pPr>
      <w:r>
        <w:rPr>
          <w:sz w:val="32"/>
          <w:szCs w:val="32"/>
        </w:rPr>
        <w:t>A key part of empowering people is enabling their participation. The Office creates important</w:t>
      </w:r>
      <w:r w:rsidRPr="00474BC2">
        <w:rPr>
          <w:sz w:val="32"/>
          <w:szCs w:val="32"/>
        </w:rPr>
        <w:t xml:space="preserve"> channels of participation</w:t>
      </w:r>
      <w:r>
        <w:rPr>
          <w:sz w:val="32"/>
          <w:szCs w:val="32"/>
        </w:rPr>
        <w:t xml:space="preserve"> through its</w:t>
      </w:r>
      <w:r w:rsidR="0081081B" w:rsidRPr="00474BC2">
        <w:rPr>
          <w:sz w:val="32"/>
          <w:szCs w:val="32"/>
        </w:rPr>
        <w:t xml:space="preserve"> convening role </w:t>
      </w:r>
      <w:r>
        <w:rPr>
          <w:sz w:val="32"/>
          <w:szCs w:val="32"/>
        </w:rPr>
        <w:t>and in providing</w:t>
      </w:r>
      <w:r w:rsidR="00474BC2">
        <w:rPr>
          <w:sz w:val="32"/>
          <w:szCs w:val="32"/>
        </w:rPr>
        <w:t xml:space="preserve"> </w:t>
      </w:r>
      <w:r w:rsidR="0081081B" w:rsidRPr="00474BC2">
        <w:rPr>
          <w:sz w:val="32"/>
          <w:szCs w:val="32"/>
        </w:rPr>
        <w:t>trusted space for dialogue. This was</w:t>
      </w:r>
      <w:r>
        <w:rPr>
          <w:sz w:val="32"/>
          <w:szCs w:val="32"/>
        </w:rPr>
        <w:t xml:space="preserve"> emphasised in many meetings but</w:t>
      </w:r>
      <w:r w:rsidR="0081081B" w:rsidRPr="00474BC2">
        <w:rPr>
          <w:sz w:val="32"/>
          <w:szCs w:val="32"/>
        </w:rPr>
        <w:t xml:space="preserve"> particularly by indigenous community leaders the Board met. </w:t>
      </w:r>
      <w:r w:rsidR="00E929EB">
        <w:rPr>
          <w:sz w:val="32"/>
          <w:szCs w:val="32"/>
        </w:rPr>
        <w:t xml:space="preserve">The Board heard that in practice </w:t>
      </w:r>
      <w:r w:rsidR="0081081B" w:rsidRPr="00474BC2">
        <w:rPr>
          <w:sz w:val="32"/>
          <w:szCs w:val="32"/>
        </w:rPr>
        <w:t>participation often seem</w:t>
      </w:r>
      <w:r w:rsidR="00E929EB">
        <w:rPr>
          <w:sz w:val="32"/>
          <w:szCs w:val="32"/>
        </w:rPr>
        <w:t>ed to be</w:t>
      </w:r>
      <w:r w:rsidR="0081081B" w:rsidRPr="00474BC2">
        <w:rPr>
          <w:sz w:val="32"/>
          <w:szCs w:val="32"/>
        </w:rPr>
        <w:t xml:space="preserve"> reduced to prior consultation. </w:t>
      </w:r>
      <w:r w:rsidR="00E929EB">
        <w:rPr>
          <w:sz w:val="32"/>
          <w:szCs w:val="32"/>
        </w:rPr>
        <w:t xml:space="preserve">The right to participation, however, is not a right to mere consultation but a right to full, free and informed consent. Because </w:t>
      </w:r>
      <w:r w:rsidR="0081081B" w:rsidRPr="00474BC2">
        <w:rPr>
          <w:sz w:val="32"/>
          <w:szCs w:val="32"/>
        </w:rPr>
        <w:t xml:space="preserve">of the trust gained from all actors, the Office plays a critical role as facilitator of </w:t>
      </w:r>
      <w:r w:rsidR="00E929EB">
        <w:rPr>
          <w:sz w:val="32"/>
          <w:szCs w:val="32"/>
        </w:rPr>
        <w:t xml:space="preserve">real </w:t>
      </w:r>
      <w:r w:rsidR="0081081B" w:rsidRPr="00474BC2">
        <w:rPr>
          <w:sz w:val="32"/>
          <w:szCs w:val="32"/>
        </w:rPr>
        <w:t>participation</w:t>
      </w:r>
      <w:r w:rsidR="00E929EB">
        <w:rPr>
          <w:sz w:val="32"/>
          <w:szCs w:val="32"/>
        </w:rPr>
        <w:t xml:space="preserve"> as required by international human rights law</w:t>
      </w:r>
      <w:r w:rsidR="0081081B" w:rsidRPr="00474BC2">
        <w:rPr>
          <w:sz w:val="32"/>
          <w:szCs w:val="32"/>
        </w:rPr>
        <w:t xml:space="preserve">. </w:t>
      </w:r>
    </w:p>
    <w:p w14:paraId="76DEE6E7" w14:textId="77777777" w:rsidR="00474BC2" w:rsidRDefault="00474BC2" w:rsidP="001C1DDA">
      <w:pPr>
        <w:spacing w:line="360" w:lineRule="auto"/>
        <w:rPr>
          <w:sz w:val="32"/>
          <w:szCs w:val="32"/>
        </w:rPr>
      </w:pPr>
    </w:p>
    <w:p w14:paraId="604D2C0B" w14:textId="77777777" w:rsidR="00E929EB" w:rsidRDefault="0081081B" w:rsidP="001C1DDA">
      <w:pPr>
        <w:spacing w:line="360" w:lineRule="auto"/>
        <w:rPr>
          <w:sz w:val="32"/>
          <w:szCs w:val="32"/>
        </w:rPr>
      </w:pPr>
      <w:r w:rsidRPr="00474BC2">
        <w:rPr>
          <w:sz w:val="32"/>
          <w:szCs w:val="32"/>
        </w:rPr>
        <w:t>The Board particularly welcome</w:t>
      </w:r>
      <w:r w:rsidR="00E929EB">
        <w:rPr>
          <w:sz w:val="32"/>
          <w:szCs w:val="32"/>
        </w:rPr>
        <w:t>d</w:t>
      </w:r>
      <w:r w:rsidRPr="00474BC2">
        <w:rPr>
          <w:sz w:val="32"/>
          <w:szCs w:val="32"/>
        </w:rPr>
        <w:t xml:space="preserve"> the priority that the </w:t>
      </w:r>
      <w:r w:rsidR="00E929EB">
        <w:rPr>
          <w:sz w:val="32"/>
          <w:szCs w:val="32"/>
        </w:rPr>
        <w:t>Guatemala</w:t>
      </w:r>
      <w:r w:rsidRPr="00474BC2">
        <w:rPr>
          <w:sz w:val="32"/>
          <w:szCs w:val="32"/>
        </w:rPr>
        <w:t xml:space="preserve"> Office has afforded to human rights issues of indigenous peoples and </w:t>
      </w:r>
      <w:r w:rsidR="00E929EB">
        <w:rPr>
          <w:sz w:val="32"/>
          <w:szCs w:val="32"/>
        </w:rPr>
        <w:t>the approach in that of building</w:t>
      </w:r>
      <w:r w:rsidRPr="00474BC2">
        <w:rPr>
          <w:sz w:val="32"/>
          <w:szCs w:val="32"/>
        </w:rPr>
        <w:t xml:space="preserve"> on the recommendations </w:t>
      </w:r>
      <w:r w:rsidR="00E929EB">
        <w:rPr>
          <w:sz w:val="32"/>
          <w:szCs w:val="32"/>
        </w:rPr>
        <w:t>of the UPR, the treaty monitoring bodies and the Special P</w:t>
      </w:r>
      <w:r w:rsidRPr="00474BC2">
        <w:rPr>
          <w:sz w:val="32"/>
          <w:szCs w:val="32"/>
        </w:rPr>
        <w:t xml:space="preserve">rocedures following their country visits. The Board observed first-hand the </w:t>
      </w:r>
      <w:r w:rsidR="00E929EB">
        <w:rPr>
          <w:sz w:val="32"/>
          <w:szCs w:val="32"/>
        </w:rPr>
        <w:t xml:space="preserve">Office’s </w:t>
      </w:r>
      <w:r w:rsidRPr="00474BC2">
        <w:rPr>
          <w:sz w:val="32"/>
          <w:szCs w:val="32"/>
        </w:rPr>
        <w:t xml:space="preserve">partnership with indigenous </w:t>
      </w:r>
      <w:r w:rsidR="00E929EB">
        <w:rPr>
          <w:sz w:val="32"/>
          <w:szCs w:val="32"/>
        </w:rPr>
        <w:t>organisations</w:t>
      </w:r>
      <w:r w:rsidRPr="00474BC2">
        <w:rPr>
          <w:sz w:val="32"/>
          <w:szCs w:val="32"/>
        </w:rPr>
        <w:t xml:space="preserve"> and found the Office’s </w:t>
      </w:r>
      <w:r w:rsidRPr="00474BC2">
        <w:rPr>
          <w:sz w:val="32"/>
          <w:szCs w:val="32"/>
        </w:rPr>
        <w:lastRenderedPageBreak/>
        <w:t>programmes and priori</w:t>
      </w:r>
      <w:r w:rsidR="00E929EB">
        <w:rPr>
          <w:sz w:val="32"/>
          <w:szCs w:val="32"/>
        </w:rPr>
        <w:t xml:space="preserve">ties appropriate and necessary. It commends in particular </w:t>
      </w:r>
      <w:r w:rsidR="00E929EB" w:rsidRPr="00474BC2">
        <w:rPr>
          <w:sz w:val="32"/>
          <w:szCs w:val="32"/>
        </w:rPr>
        <w:t xml:space="preserve">the </w:t>
      </w:r>
      <w:r w:rsidR="00E929EB">
        <w:rPr>
          <w:sz w:val="32"/>
          <w:szCs w:val="32"/>
        </w:rPr>
        <w:t>Maya programme that has supported indigenous initiatives through strategic litigation and other forms of advocacy</w:t>
      </w:r>
      <w:r w:rsidR="00E929EB" w:rsidRPr="00474BC2">
        <w:rPr>
          <w:sz w:val="32"/>
          <w:szCs w:val="32"/>
        </w:rPr>
        <w:t xml:space="preserve">. </w:t>
      </w:r>
      <w:r w:rsidR="00E929EB">
        <w:rPr>
          <w:sz w:val="32"/>
          <w:szCs w:val="32"/>
        </w:rPr>
        <w:t>T</w:t>
      </w:r>
      <w:r w:rsidR="00E929EB" w:rsidRPr="00474BC2">
        <w:rPr>
          <w:sz w:val="32"/>
          <w:szCs w:val="32"/>
        </w:rPr>
        <w:t xml:space="preserve">he Board </w:t>
      </w:r>
      <w:r w:rsidR="00E929EB">
        <w:rPr>
          <w:sz w:val="32"/>
          <w:szCs w:val="32"/>
        </w:rPr>
        <w:t>considers</w:t>
      </w:r>
      <w:r w:rsidR="00E929EB" w:rsidRPr="00474BC2">
        <w:rPr>
          <w:sz w:val="32"/>
          <w:szCs w:val="32"/>
        </w:rPr>
        <w:t xml:space="preserve"> that the achievements of the Maya programme have been made possible by the overall work of the </w:t>
      </w:r>
      <w:r w:rsidR="00C72CB2">
        <w:rPr>
          <w:sz w:val="32"/>
          <w:szCs w:val="32"/>
        </w:rPr>
        <w:t xml:space="preserve">Guatemala </w:t>
      </w:r>
      <w:r w:rsidR="00E929EB" w:rsidRPr="00474BC2">
        <w:rPr>
          <w:sz w:val="32"/>
          <w:szCs w:val="32"/>
        </w:rPr>
        <w:t xml:space="preserve">Office in </w:t>
      </w:r>
      <w:r w:rsidR="00C72CB2">
        <w:rPr>
          <w:sz w:val="32"/>
          <w:szCs w:val="32"/>
        </w:rPr>
        <w:t>many</w:t>
      </w:r>
      <w:r w:rsidR="00E929EB" w:rsidRPr="00474BC2">
        <w:rPr>
          <w:sz w:val="32"/>
          <w:szCs w:val="32"/>
        </w:rPr>
        <w:t xml:space="preserve"> fields</w:t>
      </w:r>
      <w:r w:rsidR="00C72CB2">
        <w:rPr>
          <w:sz w:val="32"/>
          <w:szCs w:val="32"/>
        </w:rPr>
        <w:t xml:space="preserve"> that are well coordinated in a comprehensive office strategy</w:t>
      </w:r>
      <w:r w:rsidR="00E929EB" w:rsidRPr="00474BC2">
        <w:rPr>
          <w:sz w:val="32"/>
          <w:szCs w:val="32"/>
        </w:rPr>
        <w:t xml:space="preserve">. </w:t>
      </w:r>
      <w:r w:rsidR="00C72CB2">
        <w:rPr>
          <w:sz w:val="32"/>
          <w:szCs w:val="32"/>
        </w:rPr>
        <w:t>I</w:t>
      </w:r>
      <w:r w:rsidR="00E929EB" w:rsidRPr="00474BC2">
        <w:rPr>
          <w:sz w:val="32"/>
          <w:szCs w:val="32"/>
        </w:rPr>
        <w:t>t is convinced that OHCHR as a whole and its field presences generally would benefit from incorporating the experience of the Guatemala Office into its core work components, as an integral part of its key tec</w:t>
      </w:r>
      <w:r w:rsidR="00E929EB">
        <w:rPr>
          <w:sz w:val="32"/>
          <w:szCs w:val="32"/>
        </w:rPr>
        <w:t>hnical cooperation toolbox.</w:t>
      </w:r>
    </w:p>
    <w:p w14:paraId="0B9F9337" w14:textId="77777777" w:rsidR="00E929EB" w:rsidRDefault="00E929EB" w:rsidP="001C1DDA">
      <w:pPr>
        <w:spacing w:line="360" w:lineRule="auto"/>
        <w:rPr>
          <w:sz w:val="32"/>
          <w:szCs w:val="32"/>
        </w:rPr>
      </w:pPr>
    </w:p>
    <w:p w14:paraId="03DF6A11" w14:textId="77777777" w:rsidR="00C72CB2" w:rsidRDefault="00C72CB2" w:rsidP="001C1DDA">
      <w:pPr>
        <w:spacing w:line="360" w:lineRule="auto"/>
        <w:rPr>
          <w:sz w:val="32"/>
          <w:szCs w:val="32"/>
        </w:rPr>
      </w:pPr>
      <w:r>
        <w:rPr>
          <w:sz w:val="32"/>
          <w:szCs w:val="32"/>
        </w:rPr>
        <w:t>T</w:t>
      </w:r>
      <w:r w:rsidR="0081081B" w:rsidRPr="00474BC2">
        <w:rPr>
          <w:sz w:val="32"/>
          <w:szCs w:val="32"/>
        </w:rPr>
        <w:t>he Board was</w:t>
      </w:r>
      <w:r>
        <w:rPr>
          <w:sz w:val="32"/>
          <w:szCs w:val="32"/>
        </w:rPr>
        <w:t xml:space="preserve"> also</w:t>
      </w:r>
      <w:r w:rsidR="0081081B" w:rsidRPr="00474BC2">
        <w:rPr>
          <w:sz w:val="32"/>
          <w:szCs w:val="32"/>
        </w:rPr>
        <w:t xml:space="preserve"> informed o</w:t>
      </w:r>
      <w:r>
        <w:rPr>
          <w:sz w:val="32"/>
          <w:szCs w:val="32"/>
        </w:rPr>
        <w:t>f</w:t>
      </w:r>
      <w:r w:rsidR="0081081B" w:rsidRPr="00474BC2">
        <w:rPr>
          <w:sz w:val="32"/>
          <w:szCs w:val="32"/>
        </w:rPr>
        <w:t xml:space="preserve"> human rights issues </w:t>
      </w:r>
      <w:r>
        <w:rPr>
          <w:sz w:val="32"/>
          <w:szCs w:val="32"/>
        </w:rPr>
        <w:t>affecting</w:t>
      </w:r>
      <w:r w:rsidR="0081081B" w:rsidRPr="00474BC2">
        <w:rPr>
          <w:sz w:val="32"/>
          <w:szCs w:val="32"/>
        </w:rPr>
        <w:t xml:space="preserve"> the </w:t>
      </w:r>
      <w:r>
        <w:rPr>
          <w:sz w:val="32"/>
          <w:szCs w:val="32"/>
        </w:rPr>
        <w:t>people</w:t>
      </w:r>
      <w:r w:rsidR="0081081B" w:rsidRPr="00474BC2">
        <w:rPr>
          <w:sz w:val="32"/>
          <w:szCs w:val="32"/>
        </w:rPr>
        <w:t xml:space="preserve"> of Afr</w:t>
      </w:r>
      <w:r>
        <w:rPr>
          <w:sz w:val="32"/>
          <w:szCs w:val="32"/>
        </w:rPr>
        <w:t>ican descent in Guatemala. It</w:t>
      </w:r>
      <w:r w:rsidR="0081081B" w:rsidRPr="00474BC2">
        <w:rPr>
          <w:sz w:val="32"/>
          <w:szCs w:val="32"/>
        </w:rPr>
        <w:t xml:space="preserve"> considered </w:t>
      </w:r>
      <w:r>
        <w:rPr>
          <w:sz w:val="32"/>
          <w:szCs w:val="32"/>
        </w:rPr>
        <w:t>it</w:t>
      </w:r>
      <w:r w:rsidR="0081081B" w:rsidRPr="00474BC2">
        <w:rPr>
          <w:sz w:val="32"/>
          <w:szCs w:val="32"/>
        </w:rPr>
        <w:t xml:space="preserve"> timely and appropriate to accord higher priority to their situation, especially in the context of the International Decade</w:t>
      </w:r>
      <w:r>
        <w:rPr>
          <w:sz w:val="32"/>
          <w:szCs w:val="32"/>
        </w:rPr>
        <w:t xml:space="preserve"> for People of African Descent.</w:t>
      </w:r>
    </w:p>
    <w:p w14:paraId="2CF4D3C9" w14:textId="77777777" w:rsidR="00C72CB2" w:rsidRDefault="00C72CB2" w:rsidP="001C1DDA">
      <w:pPr>
        <w:spacing w:line="360" w:lineRule="auto"/>
        <w:rPr>
          <w:sz w:val="32"/>
          <w:szCs w:val="32"/>
        </w:rPr>
      </w:pPr>
    </w:p>
    <w:p w14:paraId="476D960B" w14:textId="77777777" w:rsidR="00474BC2" w:rsidRDefault="0081081B" w:rsidP="001C1DDA">
      <w:pPr>
        <w:spacing w:line="360" w:lineRule="auto"/>
        <w:rPr>
          <w:sz w:val="32"/>
          <w:szCs w:val="32"/>
        </w:rPr>
      </w:pPr>
      <w:r w:rsidRPr="00474BC2">
        <w:rPr>
          <w:sz w:val="32"/>
          <w:szCs w:val="32"/>
        </w:rPr>
        <w:t xml:space="preserve">The composition of the </w:t>
      </w:r>
      <w:r w:rsidR="00C72CB2">
        <w:rPr>
          <w:sz w:val="32"/>
          <w:szCs w:val="32"/>
        </w:rPr>
        <w:t xml:space="preserve">Guatemala </w:t>
      </w:r>
      <w:r w:rsidRPr="00474BC2">
        <w:rPr>
          <w:sz w:val="32"/>
          <w:szCs w:val="32"/>
        </w:rPr>
        <w:t>Office reflects the variety of Guatemalan society, an element that certainly plays an important role in the relevance, efficiency and effectiveness of its programmes.</w:t>
      </w:r>
      <w:r w:rsidR="00C72CB2">
        <w:rPr>
          <w:sz w:val="32"/>
          <w:szCs w:val="32"/>
        </w:rPr>
        <w:t xml:space="preserve"> In this too it provides a useful model for all OHCHR field presences.</w:t>
      </w:r>
    </w:p>
    <w:p w14:paraId="5221FD89" w14:textId="77777777" w:rsidR="00474BC2" w:rsidRDefault="00474BC2" w:rsidP="001C1DDA">
      <w:pPr>
        <w:spacing w:line="360" w:lineRule="auto"/>
        <w:rPr>
          <w:sz w:val="32"/>
          <w:szCs w:val="32"/>
        </w:rPr>
      </w:pPr>
    </w:p>
    <w:p w14:paraId="7D084CEE" w14:textId="77777777" w:rsidR="00474BC2" w:rsidRDefault="0081081B" w:rsidP="001C1DDA">
      <w:pPr>
        <w:spacing w:line="360" w:lineRule="auto"/>
        <w:rPr>
          <w:sz w:val="32"/>
          <w:szCs w:val="32"/>
        </w:rPr>
      </w:pPr>
      <w:r w:rsidRPr="003B19C8">
        <w:rPr>
          <w:sz w:val="32"/>
          <w:szCs w:val="32"/>
        </w:rPr>
        <w:lastRenderedPageBreak/>
        <w:t>In Guatemala</w:t>
      </w:r>
      <w:r w:rsidRPr="00474BC2">
        <w:rPr>
          <w:sz w:val="32"/>
          <w:szCs w:val="32"/>
        </w:rPr>
        <w:t>, the Board was able to obtain a deeper insight into the importance and relevance of its mandate relating to both the Voluntary Fund for Technical Cooperation</w:t>
      </w:r>
      <w:r w:rsidRPr="00474BC2" w:rsidDel="00F260B6">
        <w:rPr>
          <w:sz w:val="32"/>
          <w:szCs w:val="32"/>
        </w:rPr>
        <w:t xml:space="preserve"> </w:t>
      </w:r>
      <w:r w:rsidRPr="00474BC2">
        <w:rPr>
          <w:sz w:val="32"/>
          <w:szCs w:val="32"/>
        </w:rPr>
        <w:t xml:space="preserve">and the Voluntary Fund for Financial and Technical Assistance in the Implementation of the Universal Periodic Review. During its meetings and in discussions with other OHCHR representatives during the session, the Board noted that, although Guatemala is not currently a recipient of the </w:t>
      </w:r>
      <w:r w:rsidR="003B19C8">
        <w:rPr>
          <w:sz w:val="32"/>
          <w:szCs w:val="32"/>
        </w:rPr>
        <w:t>UOPR implementation</w:t>
      </w:r>
      <w:r w:rsidRPr="00474BC2">
        <w:rPr>
          <w:sz w:val="32"/>
          <w:szCs w:val="32"/>
        </w:rPr>
        <w:t xml:space="preserve"> fund, the implementation of </w:t>
      </w:r>
      <w:r w:rsidR="003B19C8">
        <w:rPr>
          <w:sz w:val="32"/>
          <w:szCs w:val="32"/>
        </w:rPr>
        <w:t>UPR</w:t>
      </w:r>
      <w:r w:rsidRPr="00474BC2">
        <w:rPr>
          <w:sz w:val="32"/>
          <w:szCs w:val="32"/>
        </w:rPr>
        <w:t xml:space="preserve"> recommendations was a fully integrated aspect of the </w:t>
      </w:r>
      <w:r w:rsidR="003B19C8">
        <w:rPr>
          <w:sz w:val="32"/>
          <w:szCs w:val="32"/>
        </w:rPr>
        <w:t xml:space="preserve">Office’s </w:t>
      </w:r>
      <w:r w:rsidRPr="00474BC2">
        <w:rPr>
          <w:sz w:val="32"/>
          <w:szCs w:val="32"/>
        </w:rPr>
        <w:t xml:space="preserve">programmes, as was work related to implementation of the recommendations made by other human rights mechanisms. OHCHR is clearly </w:t>
      </w:r>
      <w:r w:rsidR="003B19C8">
        <w:rPr>
          <w:sz w:val="32"/>
          <w:szCs w:val="32"/>
        </w:rPr>
        <w:t>well</w:t>
      </w:r>
      <w:r w:rsidRPr="00474BC2">
        <w:rPr>
          <w:sz w:val="32"/>
          <w:szCs w:val="32"/>
        </w:rPr>
        <w:t xml:space="preserve"> placed to provide expert technical assistance in this regard. </w:t>
      </w:r>
      <w:r w:rsidR="003B19C8">
        <w:rPr>
          <w:sz w:val="32"/>
          <w:szCs w:val="32"/>
        </w:rPr>
        <w:t>I will return to this issue shortly.</w:t>
      </w:r>
    </w:p>
    <w:p w14:paraId="427C3056" w14:textId="77777777" w:rsidR="00474BC2" w:rsidRDefault="00474BC2" w:rsidP="001C1DDA">
      <w:pPr>
        <w:spacing w:line="360" w:lineRule="auto"/>
        <w:rPr>
          <w:sz w:val="32"/>
          <w:szCs w:val="32"/>
        </w:rPr>
      </w:pPr>
    </w:p>
    <w:p w14:paraId="3157200B" w14:textId="77777777" w:rsidR="003B19C8" w:rsidRDefault="0081081B" w:rsidP="001C1DDA">
      <w:pPr>
        <w:spacing w:line="360" w:lineRule="auto"/>
        <w:rPr>
          <w:sz w:val="32"/>
          <w:szCs w:val="32"/>
        </w:rPr>
      </w:pPr>
      <w:r w:rsidRPr="00474BC2">
        <w:rPr>
          <w:sz w:val="32"/>
          <w:szCs w:val="32"/>
        </w:rPr>
        <w:t xml:space="preserve">The Board </w:t>
      </w:r>
      <w:r w:rsidR="003B19C8">
        <w:rPr>
          <w:sz w:val="32"/>
          <w:szCs w:val="32"/>
        </w:rPr>
        <w:t>saw in Guatemala the relevance, indeed importance, of the OHCHR Office in providing information to other</w:t>
      </w:r>
      <w:r w:rsidRPr="00474BC2">
        <w:rPr>
          <w:sz w:val="32"/>
          <w:szCs w:val="32"/>
        </w:rPr>
        <w:t xml:space="preserve"> United Nations agencies and programmes operating in Guatemala </w:t>
      </w:r>
      <w:r w:rsidR="003B19C8">
        <w:rPr>
          <w:sz w:val="32"/>
          <w:szCs w:val="32"/>
        </w:rPr>
        <w:t>and in advising them on</w:t>
      </w:r>
      <w:r w:rsidRPr="00474BC2">
        <w:rPr>
          <w:sz w:val="32"/>
          <w:szCs w:val="32"/>
        </w:rPr>
        <w:t xml:space="preserve"> international human rights standards</w:t>
      </w:r>
      <w:r w:rsidR="003B19C8">
        <w:rPr>
          <w:sz w:val="32"/>
          <w:szCs w:val="32"/>
        </w:rPr>
        <w:t>. In meetings with the Board those agencies affirmed this OHCHR role and the assistance the OHCHR Office provided them in</w:t>
      </w:r>
      <w:r w:rsidRPr="00474BC2">
        <w:rPr>
          <w:sz w:val="32"/>
          <w:szCs w:val="32"/>
        </w:rPr>
        <w:t xml:space="preserve"> supporting the State’s efforts to fulfil its internat</w:t>
      </w:r>
      <w:r w:rsidR="003B19C8">
        <w:rPr>
          <w:sz w:val="32"/>
          <w:szCs w:val="32"/>
        </w:rPr>
        <w:t>ional human rights obligations.</w:t>
      </w:r>
    </w:p>
    <w:p w14:paraId="767526CD" w14:textId="77777777" w:rsidR="003B19C8" w:rsidRDefault="003B19C8" w:rsidP="001C1DDA">
      <w:pPr>
        <w:spacing w:line="360" w:lineRule="auto"/>
        <w:rPr>
          <w:sz w:val="32"/>
          <w:szCs w:val="32"/>
        </w:rPr>
      </w:pPr>
    </w:p>
    <w:p w14:paraId="075E7A64" w14:textId="3B13F313" w:rsidR="0081081B" w:rsidRDefault="0081081B" w:rsidP="001C1DDA">
      <w:pPr>
        <w:spacing w:line="360" w:lineRule="auto"/>
        <w:rPr>
          <w:sz w:val="32"/>
          <w:szCs w:val="32"/>
        </w:rPr>
      </w:pPr>
      <w:r w:rsidRPr="00474BC2">
        <w:rPr>
          <w:sz w:val="32"/>
          <w:szCs w:val="32"/>
        </w:rPr>
        <w:lastRenderedPageBreak/>
        <w:t>The role of OHCHR in United Nations country teams, particularly in developing and implementing the human rights-based United Nations programmatic tools</w:t>
      </w:r>
      <w:r w:rsidR="00ED5230">
        <w:rPr>
          <w:sz w:val="32"/>
          <w:szCs w:val="32"/>
        </w:rPr>
        <w:t xml:space="preserve">, </w:t>
      </w:r>
      <w:r w:rsidRPr="00474BC2">
        <w:rPr>
          <w:sz w:val="32"/>
          <w:szCs w:val="32"/>
        </w:rPr>
        <w:t>is now more significant than ever in the light of the 2030 Agenda for Sustainable Development. In a country like Guatemala, where overcoming discrimination and exclusion continues to feature prominently in all national and United Nations efforts, leaving no one behind while ensuring full respect of human rights is an inevitable responsibility</w:t>
      </w:r>
      <w:r w:rsidR="00F1025B">
        <w:rPr>
          <w:sz w:val="32"/>
          <w:szCs w:val="32"/>
        </w:rPr>
        <w:t xml:space="preserve"> for the State and for the international community</w:t>
      </w:r>
      <w:r w:rsidRPr="00474BC2">
        <w:rPr>
          <w:sz w:val="32"/>
          <w:szCs w:val="32"/>
        </w:rPr>
        <w:t xml:space="preserve">. </w:t>
      </w:r>
    </w:p>
    <w:p w14:paraId="4E8A01CE" w14:textId="77777777" w:rsidR="00C46612" w:rsidRDefault="00C46612" w:rsidP="001C1DDA">
      <w:pPr>
        <w:spacing w:line="360" w:lineRule="auto"/>
        <w:rPr>
          <w:sz w:val="32"/>
          <w:szCs w:val="32"/>
        </w:rPr>
      </w:pPr>
    </w:p>
    <w:p w14:paraId="1F740D83" w14:textId="77777777" w:rsidR="00196EBC" w:rsidRPr="00474BC2" w:rsidRDefault="008F0B88" w:rsidP="008F0B88">
      <w:pPr>
        <w:spacing w:line="360" w:lineRule="auto"/>
        <w:rPr>
          <w:sz w:val="32"/>
          <w:szCs w:val="32"/>
        </w:rPr>
      </w:pPr>
      <w:r w:rsidRPr="008F0B88">
        <w:rPr>
          <w:sz w:val="32"/>
          <w:szCs w:val="32"/>
        </w:rPr>
        <w:t xml:space="preserve">The Board took the opportunity of its session in Guatemala to </w:t>
      </w:r>
      <w:r w:rsidR="00F1025B">
        <w:rPr>
          <w:sz w:val="32"/>
          <w:szCs w:val="32"/>
        </w:rPr>
        <w:t>meet, in person or through conference calls, with</w:t>
      </w:r>
      <w:r w:rsidRPr="008F0B88">
        <w:rPr>
          <w:sz w:val="32"/>
          <w:szCs w:val="32"/>
        </w:rPr>
        <w:t xml:space="preserve"> other </w:t>
      </w:r>
      <w:r w:rsidR="00F1025B">
        <w:rPr>
          <w:sz w:val="32"/>
          <w:szCs w:val="32"/>
        </w:rPr>
        <w:t xml:space="preserve">OHCHR </w:t>
      </w:r>
      <w:r w:rsidRPr="008F0B88">
        <w:rPr>
          <w:sz w:val="32"/>
          <w:szCs w:val="32"/>
        </w:rPr>
        <w:t>presences in the region</w:t>
      </w:r>
      <w:r w:rsidR="00F1025B">
        <w:rPr>
          <w:sz w:val="32"/>
          <w:szCs w:val="32"/>
        </w:rPr>
        <w:t>:</w:t>
      </w:r>
      <w:r>
        <w:rPr>
          <w:sz w:val="32"/>
          <w:szCs w:val="32"/>
        </w:rPr>
        <w:t xml:space="preserve"> the Country Offices in </w:t>
      </w:r>
      <w:r w:rsidRPr="008F0B88">
        <w:rPr>
          <w:sz w:val="32"/>
          <w:szCs w:val="32"/>
        </w:rPr>
        <w:t>Colombia, Honduras and the Plurinational State of Bolivia</w:t>
      </w:r>
      <w:r w:rsidR="00F1025B">
        <w:rPr>
          <w:sz w:val="32"/>
          <w:szCs w:val="32"/>
        </w:rPr>
        <w:t>,</w:t>
      </w:r>
      <w:r w:rsidRPr="008F0B88">
        <w:rPr>
          <w:sz w:val="32"/>
          <w:szCs w:val="32"/>
        </w:rPr>
        <w:t xml:space="preserve"> the regional offices in Panama and Chile, and the Human Rights Advisers in Paraguay and Jamaica</w:t>
      </w:r>
      <w:r w:rsidR="00196EBC">
        <w:rPr>
          <w:sz w:val="32"/>
          <w:szCs w:val="32"/>
        </w:rPr>
        <w:t xml:space="preserve">. </w:t>
      </w:r>
      <w:r w:rsidR="00196EBC" w:rsidRPr="00196EBC">
        <w:rPr>
          <w:sz w:val="32"/>
          <w:szCs w:val="32"/>
        </w:rPr>
        <w:t>The Board was particularly impressed by the experiences shared and discussed with members of the country office in Colombia</w:t>
      </w:r>
      <w:r w:rsidR="00F1025B">
        <w:rPr>
          <w:sz w:val="32"/>
          <w:szCs w:val="32"/>
        </w:rPr>
        <w:t>,</w:t>
      </w:r>
      <w:r w:rsidR="00196EBC">
        <w:rPr>
          <w:sz w:val="32"/>
          <w:szCs w:val="32"/>
        </w:rPr>
        <w:t xml:space="preserve"> </w:t>
      </w:r>
      <w:r w:rsidR="00196EBC" w:rsidRPr="00196EBC">
        <w:rPr>
          <w:sz w:val="32"/>
          <w:szCs w:val="32"/>
        </w:rPr>
        <w:t>where so much has been accomplished in difficult circumstances</w:t>
      </w:r>
      <w:r w:rsidR="00196EBC">
        <w:rPr>
          <w:sz w:val="32"/>
          <w:szCs w:val="32"/>
        </w:rPr>
        <w:t xml:space="preserve"> and </w:t>
      </w:r>
      <w:r w:rsidR="00F1025B">
        <w:rPr>
          <w:sz w:val="32"/>
          <w:szCs w:val="32"/>
        </w:rPr>
        <w:t xml:space="preserve">with the new office </w:t>
      </w:r>
      <w:r w:rsidR="00196EBC">
        <w:rPr>
          <w:sz w:val="32"/>
          <w:szCs w:val="32"/>
        </w:rPr>
        <w:t xml:space="preserve">in Honduras, which is </w:t>
      </w:r>
      <w:r w:rsidR="00F1025B">
        <w:rPr>
          <w:sz w:val="32"/>
          <w:szCs w:val="32"/>
        </w:rPr>
        <w:t xml:space="preserve">now </w:t>
      </w:r>
      <w:r w:rsidR="00196EBC">
        <w:rPr>
          <w:sz w:val="32"/>
          <w:szCs w:val="32"/>
        </w:rPr>
        <w:t xml:space="preserve">fully operational and already establishing solid partnerships in supporting the State in achieving tangible results. </w:t>
      </w:r>
    </w:p>
    <w:p w14:paraId="42370D9E" w14:textId="77777777" w:rsidR="00C46612" w:rsidRDefault="00C46612" w:rsidP="008F0B88">
      <w:pPr>
        <w:spacing w:line="360" w:lineRule="auto"/>
        <w:rPr>
          <w:sz w:val="32"/>
          <w:szCs w:val="32"/>
        </w:rPr>
      </w:pPr>
    </w:p>
    <w:p w14:paraId="5512349F" w14:textId="77777777" w:rsidR="00C46612" w:rsidRPr="00F1025B" w:rsidRDefault="00F1025B" w:rsidP="00C46612">
      <w:pPr>
        <w:spacing w:line="360" w:lineRule="auto"/>
        <w:rPr>
          <w:b/>
          <w:sz w:val="32"/>
          <w:szCs w:val="32"/>
        </w:rPr>
      </w:pPr>
      <w:r>
        <w:rPr>
          <w:b/>
          <w:sz w:val="32"/>
          <w:szCs w:val="32"/>
        </w:rPr>
        <w:lastRenderedPageBreak/>
        <w:t>The B</w:t>
      </w:r>
      <w:r w:rsidRPr="00F1025B">
        <w:rPr>
          <w:b/>
          <w:sz w:val="32"/>
          <w:szCs w:val="32"/>
        </w:rPr>
        <w:t xml:space="preserve">oard is convinced that the </w:t>
      </w:r>
      <w:r w:rsidR="00C46612" w:rsidRPr="00F1025B">
        <w:rPr>
          <w:b/>
          <w:sz w:val="32"/>
          <w:szCs w:val="32"/>
        </w:rPr>
        <w:t xml:space="preserve">approach taken in Guatemala, and indeed in other country offices, should be more widely known; the lessons learned should be applied in the establishment and strengthening of the work </w:t>
      </w:r>
      <w:r w:rsidRPr="00F1025B">
        <w:rPr>
          <w:b/>
          <w:sz w:val="32"/>
          <w:szCs w:val="32"/>
        </w:rPr>
        <w:t>of</w:t>
      </w:r>
      <w:r w:rsidR="00C46612" w:rsidRPr="00F1025B">
        <w:rPr>
          <w:b/>
          <w:sz w:val="32"/>
          <w:szCs w:val="32"/>
        </w:rPr>
        <w:t xml:space="preserve"> all country offices but also shared openly with Member States. States should be more open in recognizing publicly the </w:t>
      </w:r>
      <w:r w:rsidRPr="00F1025B">
        <w:rPr>
          <w:b/>
          <w:sz w:val="32"/>
          <w:szCs w:val="32"/>
        </w:rPr>
        <w:t>proven</w:t>
      </w:r>
      <w:r w:rsidR="00C46612" w:rsidRPr="00F1025B">
        <w:rPr>
          <w:b/>
          <w:sz w:val="32"/>
          <w:szCs w:val="32"/>
        </w:rPr>
        <w:t xml:space="preserve"> benefits of having </w:t>
      </w:r>
      <w:r w:rsidRPr="00F1025B">
        <w:rPr>
          <w:b/>
          <w:sz w:val="32"/>
          <w:szCs w:val="32"/>
        </w:rPr>
        <w:t xml:space="preserve">direct, local </w:t>
      </w:r>
      <w:r w:rsidR="00C46612" w:rsidRPr="00F1025B">
        <w:rPr>
          <w:b/>
          <w:sz w:val="32"/>
          <w:szCs w:val="32"/>
        </w:rPr>
        <w:t xml:space="preserve">access to the technical </w:t>
      </w:r>
      <w:r w:rsidRPr="00F1025B">
        <w:rPr>
          <w:b/>
          <w:sz w:val="32"/>
          <w:szCs w:val="32"/>
        </w:rPr>
        <w:t>expertise</w:t>
      </w:r>
      <w:r w:rsidR="00C46612" w:rsidRPr="00F1025B">
        <w:rPr>
          <w:b/>
          <w:sz w:val="32"/>
          <w:szCs w:val="32"/>
        </w:rPr>
        <w:t xml:space="preserve"> that a</w:t>
      </w:r>
      <w:r w:rsidRPr="00F1025B">
        <w:rPr>
          <w:b/>
          <w:sz w:val="32"/>
          <w:szCs w:val="32"/>
        </w:rPr>
        <w:t>n OHCHR</w:t>
      </w:r>
      <w:r w:rsidR="00C46612" w:rsidRPr="00F1025B">
        <w:rPr>
          <w:b/>
          <w:sz w:val="32"/>
          <w:szCs w:val="32"/>
        </w:rPr>
        <w:t xml:space="preserve"> field presence offers. </w:t>
      </w:r>
    </w:p>
    <w:p w14:paraId="3679A9E1" w14:textId="77777777" w:rsidR="00C46612" w:rsidRPr="00474BC2" w:rsidRDefault="00C46612" w:rsidP="008F0B88">
      <w:pPr>
        <w:spacing w:line="360" w:lineRule="auto"/>
        <w:rPr>
          <w:sz w:val="32"/>
          <w:szCs w:val="32"/>
        </w:rPr>
      </w:pPr>
    </w:p>
    <w:p w14:paraId="7476E8B6" w14:textId="77777777" w:rsidR="00CB0630" w:rsidRPr="00F1025B" w:rsidRDefault="00F1025B" w:rsidP="00965693">
      <w:pPr>
        <w:spacing w:line="360" w:lineRule="auto"/>
        <w:rPr>
          <w:b/>
          <w:sz w:val="32"/>
          <w:szCs w:val="32"/>
        </w:rPr>
      </w:pPr>
      <w:r w:rsidRPr="00F1025B">
        <w:rPr>
          <w:b/>
          <w:sz w:val="32"/>
          <w:szCs w:val="32"/>
        </w:rPr>
        <w:t>Principles for effective technical cooperation: follow up to recommendations of international human rights mechanisms</w:t>
      </w:r>
    </w:p>
    <w:p w14:paraId="10CA955E" w14:textId="35945607" w:rsidR="00196EBC" w:rsidRPr="00196EBC" w:rsidRDefault="007B4E59" w:rsidP="00196EBC">
      <w:pPr>
        <w:spacing w:line="360" w:lineRule="auto"/>
        <w:rPr>
          <w:sz w:val="32"/>
          <w:szCs w:val="32"/>
        </w:rPr>
      </w:pPr>
      <w:r>
        <w:rPr>
          <w:sz w:val="32"/>
          <w:szCs w:val="32"/>
        </w:rPr>
        <w:t>Some years ago the Board proposed a set of principles for effective technical cooperation</w:t>
      </w:r>
      <w:r w:rsidRPr="007B4E59">
        <w:rPr>
          <w:sz w:val="32"/>
          <w:szCs w:val="32"/>
        </w:rPr>
        <w:t xml:space="preserve"> </w:t>
      </w:r>
      <w:r w:rsidRPr="00965693">
        <w:rPr>
          <w:sz w:val="32"/>
          <w:szCs w:val="32"/>
        </w:rPr>
        <w:t>technical cooperation in the field of human rights</w:t>
      </w:r>
      <w:r>
        <w:rPr>
          <w:sz w:val="32"/>
          <w:szCs w:val="32"/>
        </w:rPr>
        <w:t xml:space="preserve">. </w:t>
      </w:r>
      <w:r w:rsidR="003C7E8A" w:rsidRPr="00965693">
        <w:rPr>
          <w:sz w:val="32"/>
          <w:szCs w:val="32"/>
        </w:rPr>
        <w:t>Following its practice</w:t>
      </w:r>
      <w:r w:rsidR="00D84B05">
        <w:rPr>
          <w:sz w:val="32"/>
          <w:szCs w:val="32"/>
        </w:rPr>
        <w:t xml:space="preserve">, </w:t>
      </w:r>
      <w:r w:rsidR="008F5E34" w:rsidRPr="00965693">
        <w:rPr>
          <w:sz w:val="32"/>
          <w:szCs w:val="32"/>
        </w:rPr>
        <w:t xml:space="preserve">the Board </w:t>
      </w:r>
      <w:r w:rsidRPr="00965693">
        <w:rPr>
          <w:sz w:val="32"/>
          <w:szCs w:val="32"/>
        </w:rPr>
        <w:t xml:space="preserve">this year </w:t>
      </w:r>
      <w:r w:rsidR="00D84B05">
        <w:rPr>
          <w:sz w:val="32"/>
          <w:szCs w:val="32"/>
        </w:rPr>
        <w:t xml:space="preserve">elaborates </w:t>
      </w:r>
      <w:r>
        <w:rPr>
          <w:sz w:val="32"/>
          <w:szCs w:val="32"/>
        </w:rPr>
        <w:t>on the principle</w:t>
      </w:r>
      <w:r w:rsidR="00196EBC">
        <w:rPr>
          <w:sz w:val="32"/>
          <w:szCs w:val="32"/>
        </w:rPr>
        <w:t xml:space="preserve"> that</w:t>
      </w:r>
      <w:r w:rsidR="00196EBC" w:rsidRPr="00196EBC">
        <w:rPr>
          <w:sz w:val="32"/>
          <w:szCs w:val="32"/>
        </w:rPr>
        <w:t xml:space="preserve">, to be effective, technical cooperation in the field of human rights should be based upon and support implementation and </w:t>
      </w:r>
      <w:r w:rsidR="00ED5230">
        <w:rPr>
          <w:sz w:val="32"/>
          <w:szCs w:val="32"/>
        </w:rPr>
        <w:t>follow up</w:t>
      </w:r>
      <w:r w:rsidR="00D84B05">
        <w:rPr>
          <w:sz w:val="32"/>
          <w:szCs w:val="32"/>
        </w:rPr>
        <w:t xml:space="preserve"> </w:t>
      </w:r>
      <w:r w:rsidR="00B92A10">
        <w:rPr>
          <w:sz w:val="32"/>
          <w:szCs w:val="32"/>
        </w:rPr>
        <w:t>of</w:t>
      </w:r>
      <w:r w:rsidR="00196EBC" w:rsidRPr="00196EBC">
        <w:rPr>
          <w:sz w:val="32"/>
          <w:szCs w:val="32"/>
        </w:rPr>
        <w:t xml:space="preserve"> the recommendations made by international human rights mechanisms, </w:t>
      </w:r>
      <w:r>
        <w:rPr>
          <w:sz w:val="32"/>
          <w:szCs w:val="32"/>
        </w:rPr>
        <w:t>including</w:t>
      </w:r>
      <w:r w:rsidR="00196EBC" w:rsidRPr="00196EBC">
        <w:rPr>
          <w:sz w:val="32"/>
          <w:szCs w:val="32"/>
        </w:rPr>
        <w:t xml:space="preserve"> treaty monitoring bodies, the </w:t>
      </w:r>
      <w:r>
        <w:rPr>
          <w:sz w:val="32"/>
          <w:szCs w:val="32"/>
        </w:rPr>
        <w:t>UPR</w:t>
      </w:r>
      <w:r w:rsidR="00196EBC" w:rsidRPr="00196EBC">
        <w:rPr>
          <w:sz w:val="32"/>
          <w:szCs w:val="32"/>
        </w:rPr>
        <w:t xml:space="preserve"> and the special procedures of the Council. </w:t>
      </w:r>
    </w:p>
    <w:p w14:paraId="46D0E561" w14:textId="77777777" w:rsidR="00DC7242" w:rsidRDefault="00DC7242" w:rsidP="00DC7242">
      <w:pPr>
        <w:spacing w:line="360" w:lineRule="auto"/>
        <w:rPr>
          <w:sz w:val="32"/>
          <w:szCs w:val="32"/>
        </w:rPr>
      </w:pPr>
    </w:p>
    <w:p w14:paraId="56FC96D9" w14:textId="77777777" w:rsidR="00DC7242" w:rsidRPr="00B92A10" w:rsidRDefault="00DC7242" w:rsidP="00DC7242">
      <w:pPr>
        <w:spacing w:line="360" w:lineRule="auto"/>
        <w:rPr>
          <w:b/>
          <w:sz w:val="32"/>
          <w:szCs w:val="32"/>
        </w:rPr>
      </w:pPr>
      <w:r w:rsidRPr="00B92A10">
        <w:rPr>
          <w:b/>
          <w:sz w:val="32"/>
          <w:szCs w:val="32"/>
        </w:rPr>
        <w:t>The Board considers that</w:t>
      </w:r>
      <w:r w:rsidR="007B4E59" w:rsidRPr="00B92A10">
        <w:rPr>
          <w:b/>
          <w:sz w:val="32"/>
          <w:szCs w:val="32"/>
        </w:rPr>
        <w:t>,</w:t>
      </w:r>
      <w:r w:rsidRPr="00B92A10">
        <w:rPr>
          <w:b/>
          <w:sz w:val="32"/>
          <w:szCs w:val="32"/>
        </w:rPr>
        <w:t xml:space="preserve"> to have effective </w:t>
      </w:r>
      <w:r w:rsidR="007B4E59" w:rsidRPr="00B92A10">
        <w:rPr>
          <w:b/>
          <w:sz w:val="32"/>
          <w:szCs w:val="32"/>
        </w:rPr>
        <w:t xml:space="preserve">sustainable </w:t>
      </w:r>
      <w:r w:rsidRPr="00B92A10">
        <w:rPr>
          <w:b/>
          <w:sz w:val="32"/>
          <w:szCs w:val="32"/>
        </w:rPr>
        <w:t xml:space="preserve">results for the promotion and protection of human rights, technical cooperation programmes should be aimed at translating into </w:t>
      </w:r>
      <w:r w:rsidRPr="00B92A10">
        <w:rPr>
          <w:b/>
          <w:sz w:val="32"/>
          <w:szCs w:val="32"/>
        </w:rPr>
        <w:lastRenderedPageBreak/>
        <w:t xml:space="preserve">reality the obligations and commitments of Member States within the international human rights legal framework. </w:t>
      </w:r>
    </w:p>
    <w:p w14:paraId="3333F027" w14:textId="77777777" w:rsidR="00DC7242" w:rsidRDefault="00DC7242" w:rsidP="00DC7242">
      <w:pPr>
        <w:spacing w:line="360" w:lineRule="auto"/>
        <w:rPr>
          <w:sz w:val="32"/>
          <w:szCs w:val="32"/>
        </w:rPr>
      </w:pPr>
    </w:p>
    <w:p w14:paraId="6A90E287" w14:textId="77777777" w:rsidR="00DC7242" w:rsidRDefault="007B4E59" w:rsidP="00DC7242">
      <w:pPr>
        <w:spacing w:line="360" w:lineRule="auto"/>
        <w:rPr>
          <w:sz w:val="32"/>
          <w:szCs w:val="32"/>
        </w:rPr>
      </w:pPr>
      <w:r>
        <w:rPr>
          <w:sz w:val="32"/>
          <w:szCs w:val="32"/>
        </w:rPr>
        <w:t xml:space="preserve">This principle responds to the expectations and demands </w:t>
      </w:r>
      <w:r w:rsidR="00DC7242" w:rsidRPr="00DC7242">
        <w:rPr>
          <w:sz w:val="32"/>
          <w:szCs w:val="32"/>
        </w:rPr>
        <w:t xml:space="preserve">Member States rightly face </w:t>
      </w:r>
      <w:r>
        <w:rPr>
          <w:sz w:val="32"/>
          <w:szCs w:val="32"/>
        </w:rPr>
        <w:t>in relation to</w:t>
      </w:r>
      <w:r w:rsidR="00DC7242" w:rsidRPr="00DC7242">
        <w:rPr>
          <w:sz w:val="32"/>
          <w:szCs w:val="32"/>
        </w:rPr>
        <w:t xml:space="preserve"> their </w:t>
      </w:r>
      <w:r>
        <w:rPr>
          <w:sz w:val="32"/>
          <w:szCs w:val="32"/>
        </w:rPr>
        <w:t>international human rights</w:t>
      </w:r>
      <w:r w:rsidR="00DC7242" w:rsidRPr="00DC7242">
        <w:rPr>
          <w:sz w:val="32"/>
          <w:szCs w:val="32"/>
        </w:rPr>
        <w:t xml:space="preserve"> obligations and </w:t>
      </w:r>
      <w:r>
        <w:rPr>
          <w:sz w:val="32"/>
          <w:szCs w:val="32"/>
        </w:rPr>
        <w:t>to their responses to</w:t>
      </w:r>
      <w:r w:rsidR="00DC7242" w:rsidRPr="00DC7242">
        <w:rPr>
          <w:sz w:val="32"/>
          <w:szCs w:val="32"/>
        </w:rPr>
        <w:t xml:space="preserve"> recommendations o</w:t>
      </w:r>
      <w:r>
        <w:rPr>
          <w:sz w:val="32"/>
          <w:szCs w:val="32"/>
        </w:rPr>
        <w:t>f the international mechanisms.</w:t>
      </w:r>
    </w:p>
    <w:p w14:paraId="534F577E" w14:textId="77777777" w:rsidR="00DC7242" w:rsidRDefault="00DC7242" w:rsidP="00DC7242">
      <w:pPr>
        <w:spacing w:line="360" w:lineRule="auto"/>
        <w:rPr>
          <w:sz w:val="32"/>
          <w:szCs w:val="32"/>
        </w:rPr>
      </w:pPr>
    </w:p>
    <w:p w14:paraId="25DC5FAE" w14:textId="602DED24" w:rsidR="00DC7242" w:rsidRPr="00B92A10" w:rsidRDefault="00DC7242" w:rsidP="00DC7242">
      <w:pPr>
        <w:spacing w:line="360" w:lineRule="auto"/>
        <w:rPr>
          <w:b/>
          <w:sz w:val="32"/>
          <w:szCs w:val="32"/>
        </w:rPr>
      </w:pPr>
      <w:r w:rsidRPr="00B92A10">
        <w:rPr>
          <w:b/>
          <w:sz w:val="32"/>
          <w:szCs w:val="32"/>
        </w:rPr>
        <w:t>At its field sessions, the Board has observe</w:t>
      </w:r>
      <w:r w:rsidR="007B4E59" w:rsidRPr="00B92A10">
        <w:rPr>
          <w:b/>
          <w:sz w:val="32"/>
          <w:szCs w:val="32"/>
        </w:rPr>
        <w:t>d</w:t>
      </w:r>
      <w:r w:rsidRPr="00B92A10">
        <w:rPr>
          <w:b/>
          <w:sz w:val="32"/>
          <w:szCs w:val="32"/>
        </w:rPr>
        <w:t xml:space="preserve"> the technical support provided by OHCHR for legislative and policy development </w:t>
      </w:r>
      <w:r w:rsidR="007B4E59" w:rsidRPr="00B92A10">
        <w:rPr>
          <w:b/>
          <w:sz w:val="32"/>
          <w:szCs w:val="32"/>
        </w:rPr>
        <w:t xml:space="preserve">and for capacity </w:t>
      </w:r>
      <w:r w:rsidRPr="00B92A10">
        <w:rPr>
          <w:b/>
          <w:sz w:val="32"/>
          <w:szCs w:val="32"/>
        </w:rPr>
        <w:t>building for rights holders and civil society</w:t>
      </w:r>
      <w:r w:rsidR="00ED5230">
        <w:rPr>
          <w:b/>
          <w:sz w:val="32"/>
          <w:szCs w:val="32"/>
        </w:rPr>
        <w:t>. This support</w:t>
      </w:r>
      <w:r w:rsidRPr="00B92A10">
        <w:rPr>
          <w:b/>
          <w:sz w:val="32"/>
          <w:szCs w:val="32"/>
        </w:rPr>
        <w:t xml:space="preserve"> is in practical terms based on </w:t>
      </w:r>
      <w:r w:rsidR="007B4E59" w:rsidRPr="00B92A10">
        <w:rPr>
          <w:b/>
          <w:sz w:val="32"/>
          <w:szCs w:val="32"/>
        </w:rPr>
        <w:t xml:space="preserve">international </w:t>
      </w:r>
      <w:r w:rsidRPr="00B92A10">
        <w:rPr>
          <w:b/>
          <w:sz w:val="32"/>
          <w:szCs w:val="32"/>
        </w:rPr>
        <w:t>standards and recommendations</w:t>
      </w:r>
      <w:r w:rsidR="00ED5230">
        <w:rPr>
          <w:b/>
          <w:sz w:val="32"/>
          <w:szCs w:val="32"/>
        </w:rPr>
        <w:t>. It is</w:t>
      </w:r>
      <w:r w:rsidR="007B4E59" w:rsidRPr="00B92A10">
        <w:rPr>
          <w:b/>
          <w:sz w:val="32"/>
          <w:szCs w:val="32"/>
        </w:rPr>
        <w:t xml:space="preserve"> informed by</w:t>
      </w:r>
      <w:r w:rsidRPr="00B92A10">
        <w:rPr>
          <w:b/>
          <w:sz w:val="32"/>
          <w:szCs w:val="32"/>
        </w:rPr>
        <w:t xml:space="preserve"> evidence-based information and credible and validated data on the situation and challenges on the ground.</w:t>
      </w:r>
    </w:p>
    <w:p w14:paraId="124F6710" w14:textId="77777777" w:rsidR="00DC7242" w:rsidRDefault="00DC7242" w:rsidP="00DC7242">
      <w:pPr>
        <w:spacing w:line="360" w:lineRule="auto"/>
        <w:rPr>
          <w:sz w:val="32"/>
          <w:szCs w:val="32"/>
        </w:rPr>
      </w:pPr>
    </w:p>
    <w:p w14:paraId="2C35FB86" w14:textId="77777777" w:rsidR="00DC7242" w:rsidRPr="00DC7242" w:rsidRDefault="00DC7242" w:rsidP="00DC7242">
      <w:pPr>
        <w:spacing w:line="360" w:lineRule="auto"/>
        <w:rPr>
          <w:sz w:val="32"/>
          <w:szCs w:val="32"/>
        </w:rPr>
      </w:pPr>
      <w:r w:rsidRPr="00DC7242">
        <w:rPr>
          <w:sz w:val="32"/>
          <w:szCs w:val="32"/>
        </w:rPr>
        <w:t xml:space="preserve">OHCHR technical cooperation programmes should make a practical contribution to ensure that the standards and recommendations of international and regional human rights systems inform the development of national plans of action and </w:t>
      </w:r>
      <w:r w:rsidR="00B92A10">
        <w:rPr>
          <w:sz w:val="32"/>
          <w:szCs w:val="32"/>
        </w:rPr>
        <w:t>of meaningful</w:t>
      </w:r>
      <w:r w:rsidRPr="00DC7242">
        <w:rPr>
          <w:sz w:val="32"/>
          <w:szCs w:val="32"/>
        </w:rPr>
        <w:t xml:space="preserve"> indicators. </w:t>
      </w:r>
    </w:p>
    <w:p w14:paraId="2DFF1008" w14:textId="77777777" w:rsidR="00B92A10" w:rsidRDefault="00B92A10" w:rsidP="00DC7242">
      <w:pPr>
        <w:spacing w:line="360" w:lineRule="auto"/>
        <w:rPr>
          <w:sz w:val="32"/>
          <w:szCs w:val="32"/>
        </w:rPr>
      </w:pPr>
    </w:p>
    <w:p w14:paraId="2D16E045" w14:textId="65EC9B7F" w:rsidR="00196EBC" w:rsidRDefault="00B92A10" w:rsidP="00DC7242">
      <w:pPr>
        <w:spacing w:line="360" w:lineRule="auto"/>
        <w:rPr>
          <w:sz w:val="32"/>
          <w:szCs w:val="32"/>
        </w:rPr>
      </w:pPr>
      <w:r>
        <w:rPr>
          <w:sz w:val="32"/>
          <w:szCs w:val="32"/>
        </w:rPr>
        <w:lastRenderedPageBreak/>
        <w:t>T</w:t>
      </w:r>
      <w:r w:rsidR="00DC7242" w:rsidRPr="00DC7242">
        <w:rPr>
          <w:sz w:val="32"/>
          <w:szCs w:val="32"/>
        </w:rPr>
        <w:t xml:space="preserve">hrough its experience on the ground, </w:t>
      </w:r>
      <w:r>
        <w:rPr>
          <w:sz w:val="32"/>
          <w:szCs w:val="32"/>
        </w:rPr>
        <w:t>t</w:t>
      </w:r>
      <w:r w:rsidRPr="00DC7242">
        <w:rPr>
          <w:sz w:val="32"/>
          <w:szCs w:val="32"/>
        </w:rPr>
        <w:t xml:space="preserve">he Board </w:t>
      </w:r>
      <w:r w:rsidR="00DC7242" w:rsidRPr="00DC7242">
        <w:rPr>
          <w:sz w:val="32"/>
          <w:szCs w:val="32"/>
        </w:rPr>
        <w:t>is convinced that technical support and capacity-building programmes directed at national institutions, including legislative, judiciary and national human rights institutions fully compliant with the principles relating to the status of national institutions (the Paris Principles), or institutions that are moving to</w:t>
      </w:r>
      <w:r>
        <w:rPr>
          <w:sz w:val="32"/>
          <w:szCs w:val="32"/>
        </w:rPr>
        <w:t>wards full compliance with those P</w:t>
      </w:r>
      <w:r w:rsidR="00DC7242" w:rsidRPr="00DC7242">
        <w:rPr>
          <w:sz w:val="32"/>
          <w:szCs w:val="32"/>
        </w:rPr>
        <w:t xml:space="preserve">rinciples, are strategically critical to ensure </w:t>
      </w:r>
      <w:r>
        <w:rPr>
          <w:sz w:val="32"/>
          <w:szCs w:val="32"/>
        </w:rPr>
        <w:t>thorough</w:t>
      </w:r>
      <w:r w:rsidR="00DC7242" w:rsidRPr="00DC7242">
        <w:rPr>
          <w:sz w:val="32"/>
          <w:szCs w:val="32"/>
        </w:rPr>
        <w:t xml:space="preserve"> </w:t>
      </w:r>
      <w:r>
        <w:rPr>
          <w:sz w:val="32"/>
          <w:szCs w:val="32"/>
        </w:rPr>
        <w:t>implementation</w:t>
      </w:r>
      <w:r w:rsidR="00DC7242" w:rsidRPr="00DC7242">
        <w:rPr>
          <w:sz w:val="32"/>
          <w:szCs w:val="32"/>
        </w:rPr>
        <w:t xml:space="preserve"> and </w:t>
      </w:r>
      <w:r w:rsidR="00ED5230">
        <w:rPr>
          <w:sz w:val="32"/>
          <w:szCs w:val="32"/>
        </w:rPr>
        <w:t>follow up</w:t>
      </w:r>
      <w:r w:rsidR="00DC7242" w:rsidRPr="00DC7242">
        <w:rPr>
          <w:sz w:val="32"/>
          <w:szCs w:val="32"/>
        </w:rPr>
        <w:t xml:space="preserve"> of </w:t>
      </w:r>
      <w:r>
        <w:rPr>
          <w:sz w:val="32"/>
          <w:szCs w:val="32"/>
        </w:rPr>
        <w:t xml:space="preserve">the </w:t>
      </w:r>
      <w:r w:rsidR="00DC7242" w:rsidRPr="00DC7242">
        <w:rPr>
          <w:sz w:val="32"/>
          <w:szCs w:val="32"/>
        </w:rPr>
        <w:t xml:space="preserve">recommendations </w:t>
      </w:r>
      <w:r>
        <w:rPr>
          <w:sz w:val="32"/>
          <w:szCs w:val="32"/>
        </w:rPr>
        <w:t xml:space="preserve">of international </w:t>
      </w:r>
      <w:r w:rsidR="00DC7242" w:rsidRPr="00DC7242">
        <w:rPr>
          <w:sz w:val="32"/>
          <w:szCs w:val="32"/>
        </w:rPr>
        <w:t xml:space="preserve">human rights </w:t>
      </w:r>
      <w:r>
        <w:rPr>
          <w:sz w:val="32"/>
          <w:szCs w:val="32"/>
        </w:rPr>
        <w:t>mechanisms</w:t>
      </w:r>
      <w:r w:rsidR="00DC7242" w:rsidRPr="00DC7242">
        <w:rPr>
          <w:sz w:val="32"/>
          <w:szCs w:val="32"/>
        </w:rPr>
        <w:t>.</w:t>
      </w:r>
    </w:p>
    <w:p w14:paraId="61A676FA" w14:textId="77777777" w:rsidR="00DC7242" w:rsidRDefault="00DC7242" w:rsidP="00DC7242">
      <w:pPr>
        <w:spacing w:line="360" w:lineRule="auto"/>
        <w:rPr>
          <w:sz w:val="32"/>
          <w:szCs w:val="32"/>
        </w:rPr>
      </w:pPr>
    </w:p>
    <w:p w14:paraId="4A2F52B3" w14:textId="2B043CE9" w:rsidR="00DC7242" w:rsidRPr="00DC7242" w:rsidRDefault="00DC7242" w:rsidP="00DC7242">
      <w:pPr>
        <w:spacing w:line="360" w:lineRule="auto"/>
        <w:rPr>
          <w:sz w:val="32"/>
          <w:szCs w:val="32"/>
        </w:rPr>
      </w:pPr>
      <w:r w:rsidRPr="00DC7242">
        <w:rPr>
          <w:sz w:val="32"/>
          <w:szCs w:val="32"/>
        </w:rPr>
        <w:t xml:space="preserve">In drawing attention to the importance of promoting and monitoring implementation of recommendations of international mechanisms, </w:t>
      </w:r>
      <w:r w:rsidRPr="00B92A10">
        <w:rPr>
          <w:b/>
          <w:sz w:val="32"/>
          <w:szCs w:val="32"/>
        </w:rPr>
        <w:t xml:space="preserve">the Board emphasizes that promotion and </w:t>
      </w:r>
      <w:r w:rsidR="00ED5230">
        <w:rPr>
          <w:b/>
          <w:sz w:val="32"/>
          <w:szCs w:val="32"/>
        </w:rPr>
        <w:t>follow up</w:t>
      </w:r>
      <w:r w:rsidRPr="00B92A10">
        <w:rPr>
          <w:b/>
          <w:sz w:val="32"/>
          <w:szCs w:val="32"/>
        </w:rPr>
        <w:t xml:space="preserve"> are not ends in themselves but means to achieve the goal of full compliance with international human rights obligations</w:t>
      </w:r>
      <w:r w:rsidR="00B92A10" w:rsidRPr="00B92A10">
        <w:rPr>
          <w:b/>
          <w:sz w:val="32"/>
          <w:szCs w:val="32"/>
        </w:rPr>
        <w:t>.</w:t>
      </w:r>
      <w:r w:rsidRPr="00B92A10">
        <w:rPr>
          <w:b/>
          <w:sz w:val="32"/>
          <w:szCs w:val="32"/>
        </w:rPr>
        <w:t xml:space="preserve"> </w:t>
      </w:r>
      <w:r w:rsidR="00ED5230">
        <w:rPr>
          <w:b/>
          <w:sz w:val="32"/>
          <w:szCs w:val="32"/>
        </w:rPr>
        <w:t xml:space="preserve">Follow up </w:t>
      </w:r>
      <w:r w:rsidR="00B92A10" w:rsidRPr="00B92A10">
        <w:rPr>
          <w:b/>
          <w:sz w:val="32"/>
          <w:szCs w:val="32"/>
        </w:rPr>
        <w:t>enables transparency and accountability which are critical elements in ensuring implementation.</w:t>
      </w:r>
      <w:r w:rsidR="00B92A10">
        <w:rPr>
          <w:sz w:val="32"/>
          <w:szCs w:val="32"/>
        </w:rPr>
        <w:t xml:space="preserve"> </w:t>
      </w:r>
      <w:r w:rsidR="00ED5230">
        <w:rPr>
          <w:sz w:val="32"/>
          <w:szCs w:val="32"/>
        </w:rPr>
        <w:t>E</w:t>
      </w:r>
      <w:r w:rsidRPr="00DC7242">
        <w:rPr>
          <w:sz w:val="32"/>
          <w:szCs w:val="32"/>
        </w:rPr>
        <w:t xml:space="preserve">valuating past performance and identifying future measures </w:t>
      </w:r>
      <w:r w:rsidR="00ED5230">
        <w:rPr>
          <w:sz w:val="32"/>
          <w:szCs w:val="32"/>
        </w:rPr>
        <w:t>promote</w:t>
      </w:r>
      <w:r w:rsidRPr="00DC7242">
        <w:rPr>
          <w:sz w:val="32"/>
          <w:szCs w:val="32"/>
        </w:rPr>
        <w:t xml:space="preserve"> greater compliance. </w:t>
      </w:r>
      <w:r>
        <w:rPr>
          <w:sz w:val="32"/>
          <w:szCs w:val="32"/>
        </w:rPr>
        <w:t>This m</w:t>
      </w:r>
      <w:r w:rsidRPr="00DC7242">
        <w:rPr>
          <w:sz w:val="32"/>
          <w:szCs w:val="32"/>
        </w:rPr>
        <w:t xml:space="preserve">onitoring is of no benefit without evaluation of the past and strategizing for the future. The Board considers that technical cooperation should enable this kind of past and future-oriented </w:t>
      </w:r>
      <w:r w:rsidR="00ED5230">
        <w:rPr>
          <w:sz w:val="32"/>
          <w:szCs w:val="32"/>
        </w:rPr>
        <w:t>follow up</w:t>
      </w:r>
      <w:r>
        <w:rPr>
          <w:sz w:val="32"/>
          <w:szCs w:val="32"/>
        </w:rPr>
        <w:t xml:space="preserve"> efforts in close cooperation with the relevant institutions</w:t>
      </w:r>
      <w:r w:rsidRPr="00DC7242">
        <w:rPr>
          <w:sz w:val="32"/>
          <w:szCs w:val="32"/>
        </w:rPr>
        <w:t>.</w:t>
      </w:r>
    </w:p>
    <w:p w14:paraId="14847CDD" w14:textId="77777777" w:rsidR="00965693" w:rsidRDefault="00965693" w:rsidP="00965693">
      <w:pPr>
        <w:spacing w:line="360" w:lineRule="auto"/>
        <w:rPr>
          <w:sz w:val="32"/>
          <w:szCs w:val="32"/>
        </w:rPr>
      </w:pPr>
    </w:p>
    <w:p w14:paraId="39B6E9FA" w14:textId="77777777" w:rsidR="00D14952" w:rsidRPr="00B92A10" w:rsidRDefault="00B92A10" w:rsidP="00965693">
      <w:pPr>
        <w:spacing w:line="360" w:lineRule="auto"/>
        <w:rPr>
          <w:b/>
          <w:sz w:val="32"/>
          <w:szCs w:val="32"/>
        </w:rPr>
      </w:pPr>
      <w:r w:rsidRPr="00B92A10">
        <w:rPr>
          <w:b/>
          <w:sz w:val="32"/>
          <w:szCs w:val="32"/>
        </w:rPr>
        <w:lastRenderedPageBreak/>
        <w:t>VFTC activities in 2016</w:t>
      </w:r>
    </w:p>
    <w:p w14:paraId="393ADE6F" w14:textId="77777777" w:rsidR="00C9549F" w:rsidRPr="00B92A10" w:rsidRDefault="00D14952" w:rsidP="00C9549F">
      <w:pPr>
        <w:spacing w:line="360" w:lineRule="auto"/>
        <w:rPr>
          <w:b/>
          <w:sz w:val="32"/>
          <w:szCs w:val="32"/>
        </w:rPr>
      </w:pPr>
      <w:r w:rsidRPr="00B92A10">
        <w:rPr>
          <w:b/>
          <w:sz w:val="32"/>
          <w:szCs w:val="32"/>
        </w:rPr>
        <w:t>In 201</w:t>
      </w:r>
      <w:r w:rsidR="00DC7242" w:rsidRPr="00B92A10">
        <w:rPr>
          <w:b/>
          <w:sz w:val="32"/>
          <w:szCs w:val="32"/>
        </w:rPr>
        <w:t>6</w:t>
      </w:r>
      <w:r w:rsidRPr="00B92A10">
        <w:rPr>
          <w:b/>
          <w:sz w:val="32"/>
          <w:szCs w:val="32"/>
        </w:rPr>
        <w:t xml:space="preserve"> the Fund continued to provide resources for technical cooperation to build strong national human rights frameworks </w:t>
      </w:r>
    </w:p>
    <w:p w14:paraId="22740E29" w14:textId="77777777" w:rsidR="00B92A10" w:rsidRPr="00B92A10" w:rsidRDefault="00C9549F" w:rsidP="00C9549F">
      <w:pPr>
        <w:spacing w:line="360" w:lineRule="auto"/>
        <w:rPr>
          <w:b/>
          <w:sz w:val="32"/>
          <w:szCs w:val="32"/>
        </w:rPr>
      </w:pPr>
      <w:r w:rsidRPr="00B92A10">
        <w:rPr>
          <w:b/>
          <w:sz w:val="32"/>
          <w:szCs w:val="32"/>
        </w:rPr>
        <w:t>in 27 regions, co</w:t>
      </w:r>
      <w:r w:rsidR="00B92A10" w:rsidRPr="00B92A10">
        <w:rPr>
          <w:b/>
          <w:sz w:val="32"/>
          <w:szCs w:val="32"/>
        </w:rPr>
        <w:t>untries and territories through</w:t>
      </w:r>
    </w:p>
    <w:p w14:paraId="594FF975" w14:textId="77777777" w:rsidR="00B92A10" w:rsidRDefault="00C9549F" w:rsidP="00B92A10">
      <w:pPr>
        <w:pStyle w:val="ListParagraph"/>
        <w:numPr>
          <w:ilvl w:val="0"/>
          <w:numId w:val="1"/>
        </w:numPr>
        <w:spacing w:line="360" w:lineRule="auto"/>
        <w:rPr>
          <w:sz w:val="32"/>
          <w:szCs w:val="32"/>
        </w:rPr>
      </w:pPr>
      <w:r w:rsidRPr="00B92A10">
        <w:rPr>
          <w:b/>
          <w:sz w:val="32"/>
          <w:szCs w:val="32"/>
        </w:rPr>
        <w:t>13 human rights advisers</w:t>
      </w:r>
      <w:r w:rsidRPr="00B92A10">
        <w:rPr>
          <w:sz w:val="32"/>
          <w:szCs w:val="32"/>
        </w:rPr>
        <w:t xml:space="preserve"> (in Chad, Kenya, Madagascar, the Niger, Papua New Guinea, Paraguay, the Republic of Moldova, the Russian Federation, Rwanda, Serbia, South Caucasus (Georgi</w:t>
      </w:r>
      <w:r w:rsidR="00B92A10">
        <w:rPr>
          <w:sz w:val="32"/>
          <w:szCs w:val="32"/>
        </w:rPr>
        <w:t>a), Sri Lanka and Timor-Leste)</w:t>
      </w:r>
    </w:p>
    <w:p w14:paraId="6C21F10A" w14:textId="7E16392A" w:rsidR="00B92A10" w:rsidRDefault="00C9549F" w:rsidP="00B92A10">
      <w:pPr>
        <w:pStyle w:val="ListParagraph"/>
        <w:numPr>
          <w:ilvl w:val="0"/>
          <w:numId w:val="1"/>
        </w:numPr>
        <w:spacing w:line="360" w:lineRule="auto"/>
        <w:rPr>
          <w:sz w:val="32"/>
          <w:szCs w:val="32"/>
        </w:rPr>
      </w:pPr>
      <w:r w:rsidRPr="00B92A10">
        <w:rPr>
          <w:b/>
          <w:sz w:val="32"/>
          <w:szCs w:val="32"/>
        </w:rPr>
        <w:t>10 human rights components of peace missions</w:t>
      </w:r>
      <w:r w:rsidRPr="00B92A10">
        <w:rPr>
          <w:sz w:val="32"/>
          <w:szCs w:val="32"/>
        </w:rPr>
        <w:t xml:space="preserve"> (in Afghanistan, the Central African Republic, Côte d’Ivoire, Guinea-Bissau, Haiti, Kosovo</w:t>
      </w:r>
      <w:r w:rsidR="00020518">
        <w:rPr>
          <w:sz w:val="32"/>
          <w:szCs w:val="32"/>
        </w:rPr>
        <w:t>*</w:t>
      </w:r>
      <w:r w:rsidRPr="00B92A10">
        <w:rPr>
          <w:sz w:val="32"/>
          <w:szCs w:val="32"/>
        </w:rPr>
        <w:t>, Liberia, Libya, Somal</w:t>
      </w:r>
      <w:r w:rsidR="00B92A10">
        <w:rPr>
          <w:sz w:val="32"/>
          <w:szCs w:val="32"/>
        </w:rPr>
        <w:t>ia and the Sudan (Darfur)) and</w:t>
      </w:r>
    </w:p>
    <w:p w14:paraId="6D291048" w14:textId="2833BE35" w:rsidR="00C9549F" w:rsidRPr="00B92A10" w:rsidRDefault="00C9549F" w:rsidP="00B92A10">
      <w:pPr>
        <w:pStyle w:val="ListParagraph"/>
        <w:numPr>
          <w:ilvl w:val="0"/>
          <w:numId w:val="1"/>
        </w:numPr>
        <w:spacing w:line="360" w:lineRule="auto"/>
        <w:rPr>
          <w:sz w:val="32"/>
          <w:szCs w:val="32"/>
        </w:rPr>
      </w:pPr>
      <w:r w:rsidRPr="00B92A10">
        <w:rPr>
          <w:b/>
          <w:sz w:val="32"/>
          <w:szCs w:val="32"/>
        </w:rPr>
        <w:t>four country/stand-alone offices</w:t>
      </w:r>
      <w:r w:rsidRPr="00B92A10">
        <w:rPr>
          <w:sz w:val="32"/>
          <w:szCs w:val="32"/>
        </w:rPr>
        <w:t xml:space="preserve"> (in Bolivia (Plurinational State of), Mauritania, Mexico and the State of Palestine</w:t>
      </w:r>
      <w:bookmarkStart w:id="0" w:name="_GoBack"/>
      <w:bookmarkEnd w:id="0"/>
      <w:r w:rsidRPr="00B92A10">
        <w:rPr>
          <w:sz w:val="32"/>
          <w:szCs w:val="32"/>
        </w:rPr>
        <w:t>).</w:t>
      </w:r>
    </w:p>
    <w:p w14:paraId="5B62798A" w14:textId="77777777" w:rsidR="00C9549F" w:rsidRDefault="00C9549F" w:rsidP="00C9549F">
      <w:pPr>
        <w:spacing w:line="360" w:lineRule="auto"/>
        <w:rPr>
          <w:sz w:val="32"/>
          <w:szCs w:val="32"/>
        </w:rPr>
      </w:pPr>
    </w:p>
    <w:p w14:paraId="6BDD85D0" w14:textId="77777777" w:rsidR="00DA68C5" w:rsidRDefault="00C9549F" w:rsidP="00965693">
      <w:pPr>
        <w:spacing w:line="360" w:lineRule="auto"/>
        <w:rPr>
          <w:sz w:val="32"/>
          <w:szCs w:val="32"/>
        </w:rPr>
      </w:pPr>
      <w:r w:rsidRPr="00C9549F">
        <w:rPr>
          <w:sz w:val="32"/>
          <w:szCs w:val="32"/>
        </w:rPr>
        <w:t>T</w:t>
      </w:r>
      <w:r w:rsidR="00DA68C5">
        <w:rPr>
          <w:sz w:val="32"/>
          <w:szCs w:val="32"/>
        </w:rPr>
        <w:t>hrough the Fund, the Office at country level has</w:t>
      </w:r>
    </w:p>
    <w:p w14:paraId="2C635EDF" w14:textId="77777777" w:rsidR="00DA68C5" w:rsidRDefault="00C9549F" w:rsidP="00DA68C5">
      <w:pPr>
        <w:pStyle w:val="ListParagraph"/>
        <w:numPr>
          <w:ilvl w:val="0"/>
          <w:numId w:val="3"/>
        </w:numPr>
        <w:spacing w:line="360" w:lineRule="auto"/>
        <w:rPr>
          <w:sz w:val="32"/>
          <w:szCs w:val="32"/>
        </w:rPr>
      </w:pPr>
      <w:r w:rsidRPr="00DA68C5">
        <w:rPr>
          <w:sz w:val="32"/>
          <w:szCs w:val="32"/>
        </w:rPr>
        <w:t>facilitated efforts to incorporate international human rights standards into national laws, policies and practices, including through follow-up to recommendations made by intern</w:t>
      </w:r>
      <w:r w:rsidR="00DA68C5">
        <w:rPr>
          <w:sz w:val="32"/>
          <w:szCs w:val="32"/>
        </w:rPr>
        <w:t>ational human rights mechanisms</w:t>
      </w:r>
    </w:p>
    <w:p w14:paraId="7B3B5079" w14:textId="77777777" w:rsidR="00DA68C5" w:rsidRDefault="00C9549F" w:rsidP="00DA68C5">
      <w:pPr>
        <w:pStyle w:val="ListParagraph"/>
        <w:numPr>
          <w:ilvl w:val="0"/>
          <w:numId w:val="3"/>
        </w:numPr>
        <w:spacing w:line="360" w:lineRule="auto"/>
        <w:rPr>
          <w:sz w:val="32"/>
          <w:szCs w:val="32"/>
        </w:rPr>
      </w:pPr>
      <w:r w:rsidRPr="00DA68C5">
        <w:rPr>
          <w:sz w:val="32"/>
          <w:szCs w:val="32"/>
        </w:rPr>
        <w:lastRenderedPageBreak/>
        <w:t>contributed to the establishment and strengthening of national structures, institutions and capacities to ensur</w:t>
      </w:r>
      <w:r w:rsidR="00DA68C5">
        <w:rPr>
          <w:sz w:val="32"/>
          <w:szCs w:val="32"/>
        </w:rPr>
        <w:t>e adherence to these standards</w:t>
      </w:r>
    </w:p>
    <w:p w14:paraId="2D8B2C64" w14:textId="77777777" w:rsidR="00DA68C5" w:rsidRDefault="00DA68C5" w:rsidP="00DA68C5">
      <w:pPr>
        <w:pStyle w:val="ListParagraph"/>
        <w:numPr>
          <w:ilvl w:val="0"/>
          <w:numId w:val="3"/>
        </w:numPr>
        <w:spacing w:line="360" w:lineRule="auto"/>
        <w:rPr>
          <w:sz w:val="32"/>
          <w:szCs w:val="32"/>
        </w:rPr>
      </w:pPr>
      <w:r>
        <w:rPr>
          <w:sz w:val="32"/>
          <w:szCs w:val="32"/>
        </w:rPr>
        <w:t>supported the s</w:t>
      </w:r>
      <w:r w:rsidR="00C9549F" w:rsidRPr="00DA68C5">
        <w:rPr>
          <w:sz w:val="32"/>
          <w:szCs w:val="32"/>
        </w:rPr>
        <w:t xml:space="preserve">trengthening </w:t>
      </w:r>
      <w:r>
        <w:rPr>
          <w:sz w:val="32"/>
          <w:szCs w:val="32"/>
        </w:rPr>
        <w:t xml:space="preserve">of </w:t>
      </w:r>
      <w:r w:rsidR="00C9549F" w:rsidRPr="00DA68C5">
        <w:rPr>
          <w:sz w:val="32"/>
          <w:szCs w:val="32"/>
        </w:rPr>
        <w:t>the administration of justice, including support in increasing access capacities for individuals and groups facing discrimination and exclusion, and</w:t>
      </w:r>
      <w:r>
        <w:rPr>
          <w:sz w:val="32"/>
          <w:szCs w:val="32"/>
        </w:rPr>
        <w:t xml:space="preserve"> in</w:t>
      </w:r>
      <w:r w:rsidR="00C9549F" w:rsidRPr="00DA68C5">
        <w:rPr>
          <w:sz w:val="32"/>
          <w:szCs w:val="32"/>
        </w:rPr>
        <w:t xml:space="preserve"> increasing capacities to promote gend</w:t>
      </w:r>
      <w:r>
        <w:rPr>
          <w:sz w:val="32"/>
          <w:szCs w:val="32"/>
        </w:rPr>
        <w:t>er equality and women’s rights</w:t>
      </w:r>
    </w:p>
    <w:p w14:paraId="4F32CAAC" w14:textId="77777777" w:rsidR="00DA68C5" w:rsidRDefault="00DA68C5" w:rsidP="00DA68C5">
      <w:pPr>
        <w:pStyle w:val="ListParagraph"/>
        <w:numPr>
          <w:ilvl w:val="0"/>
          <w:numId w:val="3"/>
        </w:numPr>
        <w:spacing w:line="360" w:lineRule="auto"/>
        <w:rPr>
          <w:sz w:val="32"/>
          <w:szCs w:val="32"/>
        </w:rPr>
      </w:pPr>
      <w:r>
        <w:rPr>
          <w:sz w:val="32"/>
          <w:szCs w:val="32"/>
        </w:rPr>
        <w:t>assisted t</w:t>
      </w:r>
      <w:r w:rsidR="00C9549F" w:rsidRPr="00DA68C5">
        <w:rPr>
          <w:sz w:val="32"/>
          <w:szCs w:val="32"/>
        </w:rPr>
        <w:t xml:space="preserve">he establishment and </w:t>
      </w:r>
      <w:r>
        <w:rPr>
          <w:sz w:val="32"/>
          <w:szCs w:val="32"/>
        </w:rPr>
        <w:t xml:space="preserve">strengthening </w:t>
      </w:r>
      <w:r w:rsidR="00C9549F" w:rsidRPr="00DA68C5">
        <w:rPr>
          <w:sz w:val="32"/>
          <w:szCs w:val="32"/>
        </w:rPr>
        <w:t xml:space="preserve">of national human rights institutions compliant with the Paris </w:t>
      </w:r>
      <w:r>
        <w:rPr>
          <w:sz w:val="32"/>
          <w:szCs w:val="32"/>
        </w:rPr>
        <w:t>Principles and</w:t>
      </w:r>
    </w:p>
    <w:p w14:paraId="6A961A39" w14:textId="77777777" w:rsidR="00DA68C5" w:rsidRDefault="00DA68C5" w:rsidP="00DA68C5">
      <w:pPr>
        <w:pStyle w:val="ListParagraph"/>
        <w:numPr>
          <w:ilvl w:val="0"/>
          <w:numId w:val="3"/>
        </w:numPr>
        <w:spacing w:line="360" w:lineRule="auto"/>
        <w:rPr>
          <w:sz w:val="32"/>
          <w:szCs w:val="32"/>
        </w:rPr>
      </w:pPr>
      <w:r>
        <w:rPr>
          <w:sz w:val="32"/>
          <w:szCs w:val="32"/>
        </w:rPr>
        <w:t xml:space="preserve">supported </w:t>
      </w:r>
      <w:r w:rsidR="00C9549F" w:rsidRPr="00DA68C5">
        <w:rPr>
          <w:sz w:val="32"/>
          <w:szCs w:val="32"/>
        </w:rPr>
        <w:t>human rights education programmes.</w:t>
      </w:r>
    </w:p>
    <w:p w14:paraId="1B78F292" w14:textId="77777777" w:rsidR="00DA68C5" w:rsidRDefault="00DA68C5" w:rsidP="00DA68C5">
      <w:pPr>
        <w:spacing w:line="360" w:lineRule="auto"/>
        <w:rPr>
          <w:sz w:val="32"/>
          <w:szCs w:val="32"/>
        </w:rPr>
      </w:pPr>
    </w:p>
    <w:p w14:paraId="09FE9A2B" w14:textId="77777777" w:rsidR="00965693" w:rsidRPr="00DA68C5" w:rsidRDefault="00DA68C5" w:rsidP="00DA68C5">
      <w:pPr>
        <w:spacing w:line="360" w:lineRule="auto"/>
        <w:rPr>
          <w:sz w:val="32"/>
          <w:szCs w:val="32"/>
        </w:rPr>
      </w:pPr>
      <w:r>
        <w:rPr>
          <w:sz w:val="32"/>
          <w:szCs w:val="32"/>
        </w:rPr>
        <w:t xml:space="preserve">In addition, through the Fund, </w:t>
      </w:r>
      <w:r w:rsidR="00C9549F" w:rsidRPr="00DA68C5">
        <w:rPr>
          <w:sz w:val="32"/>
          <w:szCs w:val="32"/>
        </w:rPr>
        <w:t xml:space="preserve">United Nations resident coordinators and country teams have seen their human rights capacity strengthened by the deployment of human rights advisers. </w:t>
      </w:r>
    </w:p>
    <w:p w14:paraId="076D0FE8" w14:textId="4D34E0F1" w:rsidR="00C9549F" w:rsidRDefault="00C9549F" w:rsidP="00965693">
      <w:pPr>
        <w:spacing w:line="360" w:lineRule="auto"/>
        <w:rPr>
          <w:sz w:val="32"/>
          <w:szCs w:val="32"/>
        </w:rPr>
      </w:pPr>
    </w:p>
    <w:p w14:paraId="2F4A2906" w14:textId="79F95A27" w:rsidR="00A172C4" w:rsidRPr="00A172C4" w:rsidRDefault="00A172C4" w:rsidP="00A172C4">
      <w:pPr>
        <w:spacing w:line="360" w:lineRule="auto"/>
        <w:rPr>
          <w:b/>
          <w:sz w:val="32"/>
          <w:szCs w:val="32"/>
        </w:rPr>
      </w:pPr>
      <w:r w:rsidRPr="00A172C4">
        <w:rPr>
          <w:b/>
          <w:sz w:val="32"/>
          <w:szCs w:val="32"/>
        </w:rPr>
        <w:t xml:space="preserve">The total expenditure of the Fund at 31 December 2016 was $13,179,139. The reductions compared with previous years largely corresponded to the reduction of a number of programmes to better align expenditures with income. By 31 December 2016, the Fund had received a total of $12,178,823. The deficit was </w:t>
      </w:r>
      <w:r>
        <w:rPr>
          <w:b/>
          <w:sz w:val="32"/>
          <w:szCs w:val="32"/>
        </w:rPr>
        <w:t xml:space="preserve">covered </w:t>
      </w:r>
      <w:r w:rsidRPr="00A172C4">
        <w:rPr>
          <w:b/>
          <w:sz w:val="32"/>
          <w:szCs w:val="32"/>
        </w:rPr>
        <w:t>through the Fund</w:t>
      </w:r>
      <w:r>
        <w:rPr>
          <w:b/>
          <w:sz w:val="32"/>
          <w:szCs w:val="32"/>
        </w:rPr>
        <w:t xml:space="preserve">’s </w:t>
      </w:r>
      <w:r w:rsidRPr="00A172C4">
        <w:rPr>
          <w:b/>
          <w:sz w:val="32"/>
          <w:szCs w:val="32"/>
        </w:rPr>
        <w:t xml:space="preserve">reserves.  </w:t>
      </w:r>
    </w:p>
    <w:p w14:paraId="00A65A9E" w14:textId="77777777" w:rsidR="00A172C4" w:rsidRPr="00A172C4" w:rsidRDefault="00A172C4" w:rsidP="00965693">
      <w:pPr>
        <w:spacing w:line="360" w:lineRule="auto"/>
        <w:rPr>
          <w:b/>
          <w:sz w:val="32"/>
          <w:szCs w:val="32"/>
        </w:rPr>
      </w:pPr>
    </w:p>
    <w:p w14:paraId="12C86F01" w14:textId="77777777" w:rsidR="00DA68C5" w:rsidRDefault="00DA68C5" w:rsidP="00965693">
      <w:pPr>
        <w:spacing w:line="360" w:lineRule="auto"/>
        <w:rPr>
          <w:sz w:val="32"/>
          <w:szCs w:val="32"/>
        </w:rPr>
      </w:pPr>
    </w:p>
    <w:p w14:paraId="2E5723B3" w14:textId="77777777" w:rsidR="00DA68C5" w:rsidRPr="00DA68C5" w:rsidRDefault="00DA68C5" w:rsidP="00965693">
      <w:pPr>
        <w:spacing w:line="360" w:lineRule="auto"/>
        <w:rPr>
          <w:b/>
          <w:sz w:val="32"/>
          <w:szCs w:val="32"/>
        </w:rPr>
      </w:pPr>
      <w:r w:rsidRPr="00DA68C5">
        <w:rPr>
          <w:b/>
          <w:sz w:val="32"/>
          <w:szCs w:val="32"/>
        </w:rPr>
        <w:t>Conclusion</w:t>
      </w:r>
    </w:p>
    <w:p w14:paraId="4FBFDB10" w14:textId="77777777" w:rsidR="00FC24C5" w:rsidRPr="00ED5230" w:rsidRDefault="00FC24C5" w:rsidP="00965693">
      <w:pPr>
        <w:spacing w:line="360" w:lineRule="auto"/>
        <w:rPr>
          <w:b/>
          <w:sz w:val="32"/>
          <w:szCs w:val="32"/>
        </w:rPr>
      </w:pPr>
      <w:r w:rsidRPr="00ED5230">
        <w:rPr>
          <w:b/>
          <w:sz w:val="32"/>
          <w:szCs w:val="32"/>
        </w:rPr>
        <w:t xml:space="preserve">Many </w:t>
      </w:r>
      <w:r w:rsidR="00D523C6" w:rsidRPr="00ED5230">
        <w:rPr>
          <w:b/>
          <w:sz w:val="32"/>
          <w:szCs w:val="32"/>
        </w:rPr>
        <w:t xml:space="preserve">States remain shy at recognizing </w:t>
      </w:r>
      <w:r w:rsidRPr="00ED5230">
        <w:rPr>
          <w:b/>
          <w:sz w:val="32"/>
          <w:szCs w:val="32"/>
        </w:rPr>
        <w:t xml:space="preserve">the assistance </w:t>
      </w:r>
      <w:r w:rsidR="00D523C6" w:rsidRPr="00ED5230">
        <w:rPr>
          <w:b/>
          <w:sz w:val="32"/>
          <w:szCs w:val="32"/>
        </w:rPr>
        <w:t xml:space="preserve">the Office </w:t>
      </w:r>
      <w:r w:rsidRPr="00ED5230">
        <w:rPr>
          <w:b/>
          <w:sz w:val="32"/>
          <w:szCs w:val="32"/>
        </w:rPr>
        <w:t xml:space="preserve">can provide to their human rights implementation when the Office </w:t>
      </w:r>
      <w:r w:rsidR="00D523C6" w:rsidRPr="00ED5230">
        <w:rPr>
          <w:b/>
          <w:sz w:val="32"/>
          <w:szCs w:val="32"/>
        </w:rPr>
        <w:t>is close to the realities on the ground</w:t>
      </w:r>
      <w:r w:rsidRPr="00ED5230">
        <w:rPr>
          <w:b/>
          <w:sz w:val="32"/>
          <w:szCs w:val="32"/>
        </w:rPr>
        <w:t>. States are challenged to examine anew how the Office can assist them to comply more fully with their international human rights obligations.</w:t>
      </w:r>
    </w:p>
    <w:p w14:paraId="0E43C836" w14:textId="77777777" w:rsidR="00FC24C5" w:rsidRPr="00ED5230" w:rsidRDefault="00FC24C5" w:rsidP="00965693">
      <w:pPr>
        <w:spacing w:line="360" w:lineRule="auto"/>
        <w:rPr>
          <w:b/>
          <w:sz w:val="32"/>
          <w:szCs w:val="32"/>
        </w:rPr>
      </w:pPr>
    </w:p>
    <w:p w14:paraId="59647976" w14:textId="77777777" w:rsidR="00FC24C5" w:rsidRPr="00ED5230" w:rsidRDefault="00FC24C5" w:rsidP="00965693">
      <w:pPr>
        <w:spacing w:line="360" w:lineRule="auto"/>
        <w:rPr>
          <w:b/>
          <w:sz w:val="32"/>
          <w:szCs w:val="32"/>
        </w:rPr>
      </w:pPr>
      <w:r w:rsidRPr="00ED5230">
        <w:rPr>
          <w:b/>
          <w:sz w:val="32"/>
          <w:szCs w:val="32"/>
        </w:rPr>
        <w:t>States are also challenged to provide the financial support they could to OHCHR’s technical cooperation efforts. Further, they o</w:t>
      </w:r>
      <w:r w:rsidR="00D523C6" w:rsidRPr="00ED5230">
        <w:rPr>
          <w:b/>
          <w:sz w:val="32"/>
          <w:szCs w:val="32"/>
        </w:rPr>
        <w:t xml:space="preserve">ften </w:t>
      </w:r>
      <w:r w:rsidRPr="00ED5230">
        <w:rPr>
          <w:b/>
          <w:sz w:val="32"/>
          <w:szCs w:val="32"/>
        </w:rPr>
        <w:t xml:space="preserve">contribute under </w:t>
      </w:r>
      <w:r w:rsidR="00D523C6" w:rsidRPr="00ED5230">
        <w:rPr>
          <w:b/>
          <w:sz w:val="32"/>
          <w:szCs w:val="32"/>
        </w:rPr>
        <w:t xml:space="preserve">short-term agreements </w:t>
      </w:r>
      <w:r w:rsidRPr="00ED5230">
        <w:rPr>
          <w:b/>
          <w:sz w:val="32"/>
          <w:szCs w:val="32"/>
        </w:rPr>
        <w:t>that limit the Office’s capacity to</w:t>
      </w:r>
      <w:r w:rsidR="00D523C6" w:rsidRPr="00ED5230">
        <w:rPr>
          <w:b/>
          <w:sz w:val="32"/>
          <w:szCs w:val="32"/>
        </w:rPr>
        <w:t xml:space="preserve"> develop solid</w:t>
      </w:r>
      <w:r w:rsidRPr="00ED5230">
        <w:rPr>
          <w:b/>
          <w:sz w:val="32"/>
          <w:szCs w:val="32"/>
        </w:rPr>
        <w:t>,</w:t>
      </w:r>
      <w:r w:rsidR="00D523C6" w:rsidRPr="00ED5230">
        <w:rPr>
          <w:b/>
          <w:sz w:val="32"/>
          <w:szCs w:val="32"/>
        </w:rPr>
        <w:t xml:space="preserve"> long-term </w:t>
      </w:r>
      <w:r w:rsidRPr="00ED5230">
        <w:rPr>
          <w:b/>
          <w:sz w:val="32"/>
          <w:szCs w:val="32"/>
        </w:rPr>
        <w:t xml:space="preserve">strategic </w:t>
      </w:r>
      <w:r w:rsidR="00D523C6" w:rsidRPr="00ED5230">
        <w:rPr>
          <w:b/>
          <w:sz w:val="32"/>
          <w:szCs w:val="32"/>
        </w:rPr>
        <w:t>partnerships to support effective implementation.</w:t>
      </w:r>
    </w:p>
    <w:p w14:paraId="7E948665" w14:textId="77777777" w:rsidR="00FC24C5" w:rsidRPr="00ED5230" w:rsidRDefault="00FC24C5" w:rsidP="00965693">
      <w:pPr>
        <w:spacing w:line="360" w:lineRule="auto"/>
        <w:rPr>
          <w:b/>
          <w:sz w:val="32"/>
          <w:szCs w:val="32"/>
        </w:rPr>
      </w:pPr>
    </w:p>
    <w:p w14:paraId="22F4CB6D" w14:textId="1B4B9D25" w:rsidR="00965693" w:rsidRPr="00ED5230" w:rsidRDefault="00FC24C5" w:rsidP="00965693">
      <w:pPr>
        <w:spacing w:line="360" w:lineRule="auto"/>
        <w:rPr>
          <w:b/>
          <w:sz w:val="32"/>
          <w:szCs w:val="32"/>
        </w:rPr>
      </w:pPr>
      <w:r w:rsidRPr="00ED5230">
        <w:rPr>
          <w:b/>
          <w:sz w:val="32"/>
          <w:szCs w:val="32"/>
        </w:rPr>
        <w:t xml:space="preserve">OHCHR itself is challenged to develop </w:t>
      </w:r>
      <w:r w:rsidR="00123D30" w:rsidRPr="00ED5230">
        <w:rPr>
          <w:b/>
          <w:sz w:val="32"/>
          <w:szCs w:val="32"/>
        </w:rPr>
        <w:t>enhanced capacity,</w:t>
      </w:r>
      <w:r w:rsidR="00F02787" w:rsidRPr="00ED5230">
        <w:rPr>
          <w:b/>
          <w:sz w:val="32"/>
          <w:szCs w:val="32"/>
        </w:rPr>
        <w:t xml:space="preserve"> both at headquarters and </w:t>
      </w:r>
      <w:r w:rsidR="00E12B36" w:rsidRPr="00ED5230">
        <w:rPr>
          <w:b/>
          <w:sz w:val="32"/>
          <w:szCs w:val="32"/>
        </w:rPr>
        <w:t xml:space="preserve">in </w:t>
      </w:r>
      <w:r w:rsidR="00F02787" w:rsidRPr="00ED5230">
        <w:rPr>
          <w:b/>
          <w:sz w:val="32"/>
          <w:szCs w:val="32"/>
        </w:rPr>
        <w:t>the field,</w:t>
      </w:r>
      <w:r w:rsidR="00123D30" w:rsidRPr="00ED5230">
        <w:rPr>
          <w:b/>
          <w:sz w:val="32"/>
          <w:szCs w:val="32"/>
        </w:rPr>
        <w:t xml:space="preserve"> to provide the type of technical cooperation that it is best placed to </w:t>
      </w:r>
      <w:r w:rsidR="00D12374" w:rsidRPr="00ED5230">
        <w:rPr>
          <w:b/>
          <w:sz w:val="32"/>
          <w:szCs w:val="32"/>
        </w:rPr>
        <w:t>offer</w:t>
      </w:r>
      <w:r w:rsidR="00123D30" w:rsidRPr="00ED5230">
        <w:rPr>
          <w:b/>
          <w:sz w:val="32"/>
          <w:szCs w:val="32"/>
        </w:rPr>
        <w:t xml:space="preserve">, given its mandate and expertise. </w:t>
      </w:r>
      <w:r w:rsidRPr="00ED5230">
        <w:rPr>
          <w:b/>
          <w:sz w:val="32"/>
          <w:szCs w:val="32"/>
        </w:rPr>
        <w:t xml:space="preserve">In a climate of resource constraint OHCHR is inevitably </w:t>
      </w:r>
      <w:r w:rsidR="007F05DD" w:rsidRPr="00ED5230">
        <w:rPr>
          <w:b/>
          <w:sz w:val="32"/>
          <w:szCs w:val="32"/>
        </w:rPr>
        <w:t xml:space="preserve">constantly </w:t>
      </w:r>
      <w:r w:rsidRPr="00ED5230">
        <w:rPr>
          <w:b/>
          <w:sz w:val="32"/>
          <w:szCs w:val="32"/>
        </w:rPr>
        <w:t>challenged to do more, and to be more effective, with less.</w:t>
      </w:r>
    </w:p>
    <w:p w14:paraId="242CDC75" w14:textId="77777777" w:rsidR="00D523C6" w:rsidRPr="00ED5230" w:rsidRDefault="00D523C6" w:rsidP="00965693">
      <w:pPr>
        <w:spacing w:line="360" w:lineRule="auto"/>
        <w:rPr>
          <w:b/>
          <w:sz w:val="32"/>
          <w:szCs w:val="32"/>
        </w:rPr>
      </w:pPr>
    </w:p>
    <w:p w14:paraId="68122F65" w14:textId="77777777" w:rsidR="00D14952" w:rsidRPr="00ED5230" w:rsidRDefault="00FC24C5" w:rsidP="00965693">
      <w:pPr>
        <w:spacing w:line="360" w:lineRule="auto"/>
        <w:rPr>
          <w:b/>
          <w:sz w:val="32"/>
          <w:szCs w:val="32"/>
        </w:rPr>
      </w:pPr>
      <w:r w:rsidRPr="00ED5230">
        <w:rPr>
          <w:b/>
          <w:sz w:val="32"/>
          <w:szCs w:val="32"/>
        </w:rPr>
        <w:lastRenderedPageBreak/>
        <w:t>The Board</w:t>
      </w:r>
      <w:r w:rsidR="00D12374" w:rsidRPr="00ED5230">
        <w:rPr>
          <w:b/>
          <w:sz w:val="32"/>
          <w:szCs w:val="32"/>
        </w:rPr>
        <w:t xml:space="preserve"> </w:t>
      </w:r>
      <w:r w:rsidR="001E6D22" w:rsidRPr="00ED5230">
        <w:rPr>
          <w:b/>
          <w:sz w:val="32"/>
          <w:szCs w:val="32"/>
        </w:rPr>
        <w:t>great</w:t>
      </w:r>
      <w:r w:rsidRPr="00ED5230">
        <w:rPr>
          <w:b/>
          <w:sz w:val="32"/>
          <w:szCs w:val="32"/>
        </w:rPr>
        <w:t>ly</w:t>
      </w:r>
      <w:r w:rsidR="00D12374" w:rsidRPr="00ED5230">
        <w:rPr>
          <w:b/>
          <w:sz w:val="32"/>
          <w:szCs w:val="32"/>
        </w:rPr>
        <w:t xml:space="preserve"> appreciat</w:t>
      </w:r>
      <w:r w:rsidRPr="00ED5230">
        <w:rPr>
          <w:b/>
          <w:sz w:val="32"/>
          <w:szCs w:val="32"/>
        </w:rPr>
        <w:t>es</w:t>
      </w:r>
      <w:r w:rsidR="00D12374" w:rsidRPr="00ED5230">
        <w:rPr>
          <w:b/>
          <w:sz w:val="32"/>
          <w:szCs w:val="32"/>
        </w:rPr>
        <w:t xml:space="preserve"> </w:t>
      </w:r>
      <w:r w:rsidRPr="00ED5230">
        <w:rPr>
          <w:b/>
          <w:sz w:val="32"/>
          <w:szCs w:val="32"/>
        </w:rPr>
        <w:t>the quality of assistance and support it receives from</w:t>
      </w:r>
      <w:r w:rsidR="00D12374" w:rsidRPr="00ED5230">
        <w:rPr>
          <w:b/>
          <w:sz w:val="32"/>
          <w:szCs w:val="32"/>
        </w:rPr>
        <w:t xml:space="preserve"> </w:t>
      </w:r>
      <w:r w:rsidR="004B2573" w:rsidRPr="00ED5230">
        <w:rPr>
          <w:b/>
          <w:sz w:val="32"/>
          <w:szCs w:val="32"/>
        </w:rPr>
        <w:t>the</w:t>
      </w:r>
      <w:r w:rsidR="00D12374" w:rsidRPr="00ED5230">
        <w:rPr>
          <w:b/>
          <w:sz w:val="32"/>
          <w:szCs w:val="32"/>
        </w:rPr>
        <w:t xml:space="preserve"> </w:t>
      </w:r>
      <w:r w:rsidR="001E6D22" w:rsidRPr="00ED5230">
        <w:rPr>
          <w:b/>
          <w:sz w:val="32"/>
          <w:szCs w:val="32"/>
        </w:rPr>
        <w:t xml:space="preserve">Secretariats </w:t>
      </w:r>
      <w:r w:rsidR="004B2573" w:rsidRPr="00ED5230">
        <w:rPr>
          <w:b/>
          <w:sz w:val="32"/>
          <w:szCs w:val="32"/>
        </w:rPr>
        <w:t xml:space="preserve">of the two trust funds </w:t>
      </w:r>
      <w:r w:rsidR="001E6D22" w:rsidRPr="00ED5230">
        <w:rPr>
          <w:b/>
          <w:sz w:val="32"/>
          <w:szCs w:val="32"/>
        </w:rPr>
        <w:t xml:space="preserve">and </w:t>
      </w:r>
      <w:r w:rsidR="001C43B5" w:rsidRPr="00ED5230">
        <w:rPr>
          <w:b/>
          <w:sz w:val="32"/>
          <w:szCs w:val="32"/>
        </w:rPr>
        <w:t xml:space="preserve">from </w:t>
      </w:r>
      <w:r w:rsidRPr="00ED5230">
        <w:rPr>
          <w:b/>
          <w:sz w:val="32"/>
          <w:szCs w:val="32"/>
        </w:rPr>
        <w:t>OHCHR</w:t>
      </w:r>
      <w:r w:rsidR="001E6D22" w:rsidRPr="00ED5230">
        <w:rPr>
          <w:b/>
          <w:sz w:val="32"/>
          <w:szCs w:val="32"/>
        </w:rPr>
        <w:t xml:space="preserve"> offices and field presences. We are greatly encouraged by the deep commitment and high level of competence of so many of those we work with and so many of those we meet during the course of our work.</w:t>
      </w:r>
    </w:p>
    <w:p w14:paraId="258931E3" w14:textId="77777777" w:rsidR="00ED5230" w:rsidRPr="00ED5230" w:rsidRDefault="00ED5230" w:rsidP="00965693">
      <w:pPr>
        <w:spacing w:line="360" w:lineRule="auto"/>
        <w:rPr>
          <w:b/>
          <w:sz w:val="32"/>
          <w:szCs w:val="32"/>
        </w:rPr>
      </w:pPr>
    </w:p>
    <w:p w14:paraId="2A7354CE" w14:textId="62ACC5CD" w:rsidR="00ED5230" w:rsidRDefault="00ED5230" w:rsidP="00ED5230">
      <w:pPr>
        <w:spacing w:line="360" w:lineRule="auto"/>
        <w:rPr>
          <w:b/>
          <w:sz w:val="32"/>
          <w:szCs w:val="32"/>
        </w:rPr>
      </w:pPr>
      <w:r w:rsidRPr="00ED5230">
        <w:rPr>
          <w:b/>
          <w:sz w:val="32"/>
          <w:szCs w:val="32"/>
        </w:rPr>
        <w:t>The Board looks forward to the panel discussion, at the next session of the Council, on technical cooperation in the 10 years since the Council’s establishment. The Board considers that the discussion will identify substantial advances in technical cooperation in the field of human rights over that period. Yet significant challenges remain.</w:t>
      </w:r>
    </w:p>
    <w:p w14:paraId="192D2317" w14:textId="68B07BB4" w:rsidR="00020518" w:rsidRDefault="00020518" w:rsidP="00ED5230">
      <w:pPr>
        <w:spacing w:line="360" w:lineRule="auto"/>
        <w:rPr>
          <w:b/>
          <w:sz w:val="32"/>
          <w:szCs w:val="32"/>
        </w:rPr>
      </w:pPr>
    </w:p>
    <w:p w14:paraId="55868CA5" w14:textId="7C9C6AEF" w:rsidR="00020518" w:rsidRDefault="00020518" w:rsidP="00ED5230">
      <w:pPr>
        <w:spacing w:line="360" w:lineRule="auto"/>
        <w:rPr>
          <w:b/>
          <w:sz w:val="32"/>
          <w:szCs w:val="32"/>
        </w:rPr>
      </w:pPr>
    </w:p>
    <w:p w14:paraId="17BF4E3C" w14:textId="5255AB8C" w:rsidR="00020518" w:rsidRDefault="00020518" w:rsidP="00ED5230">
      <w:pPr>
        <w:spacing w:line="360" w:lineRule="auto"/>
        <w:rPr>
          <w:b/>
          <w:sz w:val="32"/>
          <w:szCs w:val="32"/>
        </w:rPr>
      </w:pPr>
    </w:p>
    <w:p w14:paraId="3BA3072E" w14:textId="68CA4AE3" w:rsidR="00020518" w:rsidRDefault="00020518" w:rsidP="00ED5230">
      <w:pPr>
        <w:spacing w:line="360" w:lineRule="auto"/>
        <w:rPr>
          <w:b/>
          <w:sz w:val="32"/>
          <w:szCs w:val="32"/>
        </w:rPr>
      </w:pPr>
    </w:p>
    <w:p w14:paraId="33A7E4A5" w14:textId="4E8EDF77" w:rsidR="00020518" w:rsidRDefault="00020518" w:rsidP="00ED5230">
      <w:pPr>
        <w:spacing w:line="360" w:lineRule="auto"/>
        <w:rPr>
          <w:b/>
          <w:sz w:val="32"/>
          <w:szCs w:val="32"/>
        </w:rPr>
      </w:pPr>
    </w:p>
    <w:p w14:paraId="5A1FB657" w14:textId="34BDA183" w:rsidR="00020518" w:rsidRDefault="00020518" w:rsidP="00ED5230">
      <w:pPr>
        <w:spacing w:line="360" w:lineRule="auto"/>
        <w:rPr>
          <w:b/>
          <w:sz w:val="32"/>
          <w:szCs w:val="32"/>
        </w:rPr>
      </w:pPr>
    </w:p>
    <w:p w14:paraId="47D1EA12" w14:textId="13518162" w:rsidR="00020518" w:rsidRPr="00020518" w:rsidRDefault="00020518" w:rsidP="00020518">
      <w:pPr>
        <w:spacing w:line="360" w:lineRule="auto"/>
        <w:rPr>
          <w:b/>
          <w:sz w:val="32"/>
          <w:szCs w:val="32"/>
        </w:rPr>
      </w:pPr>
      <w:r>
        <w:t>*</w:t>
      </w:r>
      <w:r>
        <w:t xml:space="preserve">Reference to Kosovo should be understood to be in full compliance with Security Council resolution 1244 (1999) and without prejudice to the status of Kosovo.  </w:t>
      </w:r>
    </w:p>
    <w:p w14:paraId="6B6C07C7" w14:textId="77777777" w:rsidR="00ED5230" w:rsidRPr="00965693" w:rsidRDefault="00ED5230" w:rsidP="00965693">
      <w:pPr>
        <w:spacing w:line="360" w:lineRule="auto"/>
        <w:rPr>
          <w:sz w:val="32"/>
          <w:szCs w:val="32"/>
        </w:rPr>
      </w:pPr>
    </w:p>
    <w:sectPr w:rsidR="00ED5230" w:rsidRPr="00965693">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71687" w14:textId="77777777" w:rsidR="00BA1A9A" w:rsidRDefault="00BA1A9A" w:rsidP="008778BE">
      <w:pPr>
        <w:spacing w:before="0"/>
      </w:pPr>
      <w:r>
        <w:separator/>
      </w:r>
    </w:p>
  </w:endnote>
  <w:endnote w:type="continuationSeparator" w:id="0">
    <w:p w14:paraId="4903FABD" w14:textId="77777777" w:rsidR="00BA1A9A" w:rsidRDefault="00BA1A9A" w:rsidP="008778B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3529925"/>
      <w:docPartObj>
        <w:docPartGallery w:val="Page Numbers (Bottom of Page)"/>
        <w:docPartUnique/>
      </w:docPartObj>
    </w:sdtPr>
    <w:sdtEndPr>
      <w:rPr>
        <w:noProof/>
      </w:rPr>
    </w:sdtEndPr>
    <w:sdtContent>
      <w:p w14:paraId="083055DC" w14:textId="5B61D07C" w:rsidR="00E929EB" w:rsidRDefault="00E929EB">
        <w:pPr>
          <w:pStyle w:val="Footer"/>
          <w:jc w:val="center"/>
        </w:pPr>
        <w:r>
          <w:fldChar w:fldCharType="begin"/>
        </w:r>
        <w:r>
          <w:instrText xml:space="preserve"> PAGE   \* MERGEFORMAT </w:instrText>
        </w:r>
        <w:r>
          <w:fldChar w:fldCharType="separate"/>
        </w:r>
        <w:r w:rsidR="00020518">
          <w:rPr>
            <w:noProof/>
          </w:rPr>
          <w:t>16</w:t>
        </w:r>
        <w:r>
          <w:rPr>
            <w:noProof/>
          </w:rPr>
          <w:fldChar w:fldCharType="end"/>
        </w:r>
      </w:p>
    </w:sdtContent>
  </w:sdt>
  <w:p w14:paraId="415A8907" w14:textId="77777777" w:rsidR="00E929EB" w:rsidRDefault="00E92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FA257" w14:textId="77777777" w:rsidR="00BA1A9A" w:rsidRDefault="00BA1A9A" w:rsidP="008778BE">
      <w:pPr>
        <w:spacing w:before="0"/>
      </w:pPr>
      <w:r>
        <w:separator/>
      </w:r>
    </w:p>
  </w:footnote>
  <w:footnote w:type="continuationSeparator" w:id="0">
    <w:p w14:paraId="2B5B53E9" w14:textId="77777777" w:rsidR="00BA1A9A" w:rsidRDefault="00BA1A9A" w:rsidP="008778BE">
      <w:pPr>
        <w:spacing w:before="0"/>
      </w:pPr>
      <w:r>
        <w:continuationSeparator/>
      </w:r>
    </w:p>
  </w:footnote>
  <w:footnote w:id="1">
    <w:p w14:paraId="46499078" w14:textId="77777777" w:rsidR="00E929EB" w:rsidRDefault="00E929EB" w:rsidP="003A4FD6">
      <w:pPr>
        <w:pStyle w:val="FootnoteText"/>
        <w:rPr>
          <w:lang w:val="en-US"/>
        </w:rPr>
      </w:pPr>
      <w:r>
        <w:rPr>
          <w:rStyle w:val="FootnoteReference"/>
        </w:rPr>
        <w:footnoteRef/>
      </w:r>
      <w:r>
        <w:t xml:space="preserve"> </w:t>
      </w:r>
      <w:r>
        <w:rPr>
          <w:lang w:val="en-US"/>
        </w:rPr>
        <w:tab/>
        <w:t>In relation to the presentation of the Annual Report of the Chairperson of the Board of Trustees of the United Nations Voluntary Fund for Technical Cooperation in the Field of Human Rights, A/HRC/34/74 of  19 January 2017 at the Palais des Nations, Geneva, Switzerland.</w:t>
      </w:r>
    </w:p>
    <w:p w14:paraId="0F381C5F" w14:textId="77777777" w:rsidR="00E929EB" w:rsidRPr="008778BE" w:rsidRDefault="00E929EB" w:rsidP="003A4FD6">
      <w:pPr>
        <w:pStyle w:val="FootnoteText"/>
        <w:rPr>
          <w:lang w:val="en-US"/>
        </w:rPr>
      </w:pPr>
    </w:p>
  </w:footnote>
  <w:footnote w:id="2">
    <w:p w14:paraId="76A514A4" w14:textId="77777777" w:rsidR="00E929EB" w:rsidRPr="0072163C" w:rsidRDefault="00E929EB" w:rsidP="00862027">
      <w:pPr>
        <w:pStyle w:val="FootnoteText"/>
        <w:rPr>
          <w:lang w:val="en-US"/>
        </w:rPr>
      </w:pPr>
      <w:r>
        <w:rPr>
          <w:rStyle w:val="FootnoteReference"/>
        </w:rPr>
        <w:footnoteRef/>
      </w:r>
      <w:r>
        <w:t xml:space="preserve"> </w:t>
      </w:r>
      <w:r>
        <w:rPr>
          <w:lang w:val="en-US"/>
        </w:rPr>
        <w:tab/>
        <w:t xml:space="preserve">The Board’s members appointed by the Secretary General from the five geographic regions are Mr. Christopher Sidoti (Australia and current chair), Ms. Mariclaire Acosta Urquidi (Mexico), Ms. Esi Sutherland-Addy (Ghana), Ms. Lin Lim (Malaysia) and </w:t>
      </w:r>
      <w:r w:rsidRPr="00862027">
        <w:rPr>
          <w:rFonts w:cstheme="minorHAnsi"/>
          <w:lang w:val="en-US"/>
        </w:rPr>
        <w:t xml:space="preserve">Ms. </w:t>
      </w:r>
      <w:r w:rsidRPr="00862027">
        <w:rPr>
          <w:rFonts w:cstheme="minorHAnsi"/>
        </w:rPr>
        <w:t>Valeriya Lutkovska</w:t>
      </w:r>
      <w:r>
        <w:rPr>
          <w:rFonts w:ascii="Arial" w:hAnsi="Arial" w:cs="Arial"/>
        </w:rPr>
        <w:t xml:space="preserve"> </w:t>
      </w:r>
      <w:r>
        <w:rPr>
          <w:lang w:val="en-US"/>
        </w:rPr>
        <w:t xml:space="preserve">(Ukraine) who was appointed in February 2017 to fill the seat vacated by Ms. Ilze Brands Kehris from Latvia. The Board’s chairpersonship rotates annually among its members.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10A"/>
    <w:multiLevelType w:val="hybridMultilevel"/>
    <w:tmpl w:val="9DD2E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64712F"/>
    <w:multiLevelType w:val="hybridMultilevel"/>
    <w:tmpl w:val="EF424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312333"/>
    <w:multiLevelType w:val="hybridMultilevel"/>
    <w:tmpl w:val="16809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8BE"/>
    <w:rsid w:val="00020518"/>
    <w:rsid w:val="00026185"/>
    <w:rsid w:val="000440C2"/>
    <w:rsid w:val="00044B8B"/>
    <w:rsid w:val="000707B3"/>
    <w:rsid w:val="00081FF5"/>
    <w:rsid w:val="00083838"/>
    <w:rsid w:val="000848EB"/>
    <w:rsid w:val="0008692E"/>
    <w:rsid w:val="000A1ECF"/>
    <w:rsid w:val="000C7E14"/>
    <w:rsid w:val="000D1D06"/>
    <w:rsid w:val="00104F92"/>
    <w:rsid w:val="00116CF5"/>
    <w:rsid w:val="00121A9C"/>
    <w:rsid w:val="00123D30"/>
    <w:rsid w:val="00157F82"/>
    <w:rsid w:val="00163361"/>
    <w:rsid w:val="00191DF6"/>
    <w:rsid w:val="001940B6"/>
    <w:rsid w:val="00196EBC"/>
    <w:rsid w:val="001C1DDA"/>
    <w:rsid w:val="001C43B5"/>
    <w:rsid w:val="001C470D"/>
    <w:rsid w:val="001E4AA2"/>
    <w:rsid w:val="001E6D22"/>
    <w:rsid w:val="001E6D61"/>
    <w:rsid w:val="002074B9"/>
    <w:rsid w:val="00211DEB"/>
    <w:rsid w:val="00217980"/>
    <w:rsid w:val="00220126"/>
    <w:rsid w:val="00221568"/>
    <w:rsid w:val="002406FA"/>
    <w:rsid w:val="0025504D"/>
    <w:rsid w:val="002559A7"/>
    <w:rsid w:val="00284CE3"/>
    <w:rsid w:val="00292442"/>
    <w:rsid w:val="002956EB"/>
    <w:rsid w:val="002A268D"/>
    <w:rsid w:val="002C7C7B"/>
    <w:rsid w:val="002D681E"/>
    <w:rsid w:val="002F5FDC"/>
    <w:rsid w:val="00346098"/>
    <w:rsid w:val="00352A45"/>
    <w:rsid w:val="003650A1"/>
    <w:rsid w:val="003745C6"/>
    <w:rsid w:val="003A1A32"/>
    <w:rsid w:val="003A4FD6"/>
    <w:rsid w:val="003A6F20"/>
    <w:rsid w:val="003B19C8"/>
    <w:rsid w:val="003B47A2"/>
    <w:rsid w:val="003C4666"/>
    <w:rsid w:val="003C7E8A"/>
    <w:rsid w:val="003D687D"/>
    <w:rsid w:val="003F2386"/>
    <w:rsid w:val="0041566C"/>
    <w:rsid w:val="00416AC4"/>
    <w:rsid w:val="00431A6D"/>
    <w:rsid w:val="004329A0"/>
    <w:rsid w:val="00443834"/>
    <w:rsid w:val="00454E6C"/>
    <w:rsid w:val="00474BC2"/>
    <w:rsid w:val="004A02F8"/>
    <w:rsid w:val="004B2573"/>
    <w:rsid w:val="004B5139"/>
    <w:rsid w:val="004C4F43"/>
    <w:rsid w:val="004D2639"/>
    <w:rsid w:val="004D2EF6"/>
    <w:rsid w:val="004E3889"/>
    <w:rsid w:val="004F5CF4"/>
    <w:rsid w:val="00521097"/>
    <w:rsid w:val="00523628"/>
    <w:rsid w:val="00534DFA"/>
    <w:rsid w:val="00544CAF"/>
    <w:rsid w:val="005B2D63"/>
    <w:rsid w:val="005E7775"/>
    <w:rsid w:val="005F6C28"/>
    <w:rsid w:val="00604A2E"/>
    <w:rsid w:val="00610F42"/>
    <w:rsid w:val="00615F8B"/>
    <w:rsid w:val="00647811"/>
    <w:rsid w:val="00673345"/>
    <w:rsid w:val="00682029"/>
    <w:rsid w:val="006828FD"/>
    <w:rsid w:val="00691051"/>
    <w:rsid w:val="006D7589"/>
    <w:rsid w:val="0071315E"/>
    <w:rsid w:val="00716EF8"/>
    <w:rsid w:val="0072163C"/>
    <w:rsid w:val="00731B03"/>
    <w:rsid w:val="00734B4A"/>
    <w:rsid w:val="007374F4"/>
    <w:rsid w:val="00740F18"/>
    <w:rsid w:val="00751BF3"/>
    <w:rsid w:val="007578B1"/>
    <w:rsid w:val="007635DC"/>
    <w:rsid w:val="00766117"/>
    <w:rsid w:val="00777DA5"/>
    <w:rsid w:val="007A225A"/>
    <w:rsid w:val="007A76D6"/>
    <w:rsid w:val="007B4E59"/>
    <w:rsid w:val="007D3B1B"/>
    <w:rsid w:val="007D5804"/>
    <w:rsid w:val="007F05DD"/>
    <w:rsid w:val="00800F74"/>
    <w:rsid w:val="0081081B"/>
    <w:rsid w:val="00813115"/>
    <w:rsid w:val="00824080"/>
    <w:rsid w:val="00846395"/>
    <w:rsid w:val="00862027"/>
    <w:rsid w:val="008778BE"/>
    <w:rsid w:val="008B4BB7"/>
    <w:rsid w:val="008D7924"/>
    <w:rsid w:val="008F0B88"/>
    <w:rsid w:val="008F5E34"/>
    <w:rsid w:val="00906AD6"/>
    <w:rsid w:val="00930DD6"/>
    <w:rsid w:val="00965693"/>
    <w:rsid w:val="0097283F"/>
    <w:rsid w:val="009815BD"/>
    <w:rsid w:val="00984DFC"/>
    <w:rsid w:val="009A29B7"/>
    <w:rsid w:val="009A3750"/>
    <w:rsid w:val="009A4A81"/>
    <w:rsid w:val="009B1763"/>
    <w:rsid w:val="009D0A0B"/>
    <w:rsid w:val="009E273C"/>
    <w:rsid w:val="00A0760B"/>
    <w:rsid w:val="00A12280"/>
    <w:rsid w:val="00A12D84"/>
    <w:rsid w:val="00A172C4"/>
    <w:rsid w:val="00A259DF"/>
    <w:rsid w:val="00A34831"/>
    <w:rsid w:val="00A4657A"/>
    <w:rsid w:val="00A52437"/>
    <w:rsid w:val="00A536B0"/>
    <w:rsid w:val="00A726B7"/>
    <w:rsid w:val="00AA5D45"/>
    <w:rsid w:val="00AA730F"/>
    <w:rsid w:val="00AB4753"/>
    <w:rsid w:val="00AC0756"/>
    <w:rsid w:val="00AC0A62"/>
    <w:rsid w:val="00AD372B"/>
    <w:rsid w:val="00AE1355"/>
    <w:rsid w:val="00AF3A91"/>
    <w:rsid w:val="00AF6300"/>
    <w:rsid w:val="00B320C7"/>
    <w:rsid w:val="00B47821"/>
    <w:rsid w:val="00B54A3A"/>
    <w:rsid w:val="00B63555"/>
    <w:rsid w:val="00B675C7"/>
    <w:rsid w:val="00B76680"/>
    <w:rsid w:val="00B92712"/>
    <w:rsid w:val="00B92A10"/>
    <w:rsid w:val="00BA1A9A"/>
    <w:rsid w:val="00BB7244"/>
    <w:rsid w:val="00C00283"/>
    <w:rsid w:val="00C11B82"/>
    <w:rsid w:val="00C373AA"/>
    <w:rsid w:val="00C41AB2"/>
    <w:rsid w:val="00C46612"/>
    <w:rsid w:val="00C51676"/>
    <w:rsid w:val="00C61FF5"/>
    <w:rsid w:val="00C63558"/>
    <w:rsid w:val="00C72CB2"/>
    <w:rsid w:val="00C92901"/>
    <w:rsid w:val="00C937AF"/>
    <w:rsid w:val="00C9549F"/>
    <w:rsid w:val="00CA32BE"/>
    <w:rsid w:val="00CB0630"/>
    <w:rsid w:val="00CB7673"/>
    <w:rsid w:val="00CD09D2"/>
    <w:rsid w:val="00CD1137"/>
    <w:rsid w:val="00CF62EF"/>
    <w:rsid w:val="00D00BFC"/>
    <w:rsid w:val="00D045C4"/>
    <w:rsid w:val="00D12374"/>
    <w:rsid w:val="00D14952"/>
    <w:rsid w:val="00D523C6"/>
    <w:rsid w:val="00D84B05"/>
    <w:rsid w:val="00DA3F74"/>
    <w:rsid w:val="00DA68C5"/>
    <w:rsid w:val="00DC09CF"/>
    <w:rsid w:val="00DC7242"/>
    <w:rsid w:val="00DD11F5"/>
    <w:rsid w:val="00DD2964"/>
    <w:rsid w:val="00DF1205"/>
    <w:rsid w:val="00E12B36"/>
    <w:rsid w:val="00E33D25"/>
    <w:rsid w:val="00E7237E"/>
    <w:rsid w:val="00E74A58"/>
    <w:rsid w:val="00E85E24"/>
    <w:rsid w:val="00E875DA"/>
    <w:rsid w:val="00E929EB"/>
    <w:rsid w:val="00E96DDD"/>
    <w:rsid w:val="00EA0A02"/>
    <w:rsid w:val="00EB0AB2"/>
    <w:rsid w:val="00ED5230"/>
    <w:rsid w:val="00ED7D89"/>
    <w:rsid w:val="00EF189D"/>
    <w:rsid w:val="00F02787"/>
    <w:rsid w:val="00F1025B"/>
    <w:rsid w:val="00F25110"/>
    <w:rsid w:val="00F3477E"/>
    <w:rsid w:val="00F4050F"/>
    <w:rsid w:val="00F8543D"/>
    <w:rsid w:val="00FB4DCC"/>
    <w:rsid w:val="00FC24C5"/>
    <w:rsid w:val="00FD64A4"/>
    <w:rsid w:val="00FE4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0813D"/>
  <w15:docId w15:val="{D2952AAA-38E2-40ED-9BE3-7C70C2B8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 Char Char Char,Footnote Text Char Char Char Char,Footnote reference,FA Fu,Footnote Text Char Char Char, Char,Footnote Reference1,Char,Footnote Text Char Char,Char Char Char,single space,footn"/>
    <w:basedOn w:val="Normal"/>
    <w:link w:val="FootnoteTextChar"/>
    <w:unhideWhenUsed/>
    <w:rsid w:val="008778BE"/>
    <w:pPr>
      <w:spacing w:before="0"/>
    </w:pPr>
    <w:rPr>
      <w:sz w:val="20"/>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 Char Char,Footnote Reference1 Char,Char Char,Char Char Char Char"/>
    <w:basedOn w:val="DefaultParagraphFont"/>
    <w:link w:val="FootnoteText"/>
    <w:rsid w:val="008778BE"/>
    <w:rPr>
      <w:sz w:val="20"/>
      <w:szCs w:val="20"/>
    </w:rPr>
  </w:style>
  <w:style w:type="character" w:styleId="FootnoteReference">
    <w:name w:val="footnote reference"/>
    <w:aliases w:val="4_G,Footnotes refss,Footnote Refernece,Appel note de bas de p.,Style 10,Footnote number,callout,Fago Fußnotenzeichen,Footnote Reference Number,Fußnotenzeichen_Raxen,BVI fnr,Footnote Ref,16 Point,Superscript 6 Point,ftref,[0],Ref"/>
    <w:basedOn w:val="DefaultParagraphFont"/>
    <w:unhideWhenUsed/>
    <w:rsid w:val="008778BE"/>
    <w:rPr>
      <w:vertAlign w:val="superscript"/>
    </w:rPr>
  </w:style>
  <w:style w:type="paragraph" w:styleId="Header">
    <w:name w:val="header"/>
    <w:basedOn w:val="Normal"/>
    <w:link w:val="HeaderChar"/>
    <w:uiPriority w:val="99"/>
    <w:unhideWhenUsed/>
    <w:rsid w:val="00F4050F"/>
    <w:pPr>
      <w:tabs>
        <w:tab w:val="center" w:pos="4513"/>
        <w:tab w:val="right" w:pos="9026"/>
      </w:tabs>
      <w:spacing w:before="0"/>
    </w:pPr>
  </w:style>
  <w:style w:type="character" w:customStyle="1" w:styleId="HeaderChar">
    <w:name w:val="Header Char"/>
    <w:basedOn w:val="DefaultParagraphFont"/>
    <w:link w:val="Header"/>
    <w:uiPriority w:val="99"/>
    <w:rsid w:val="00F4050F"/>
  </w:style>
  <w:style w:type="paragraph" w:styleId="Footer">
    <w:name w:val="footer"/>
    <w:basedOn w:val="Normal"/>
    <w:link w:val="FooterChar"/>
    <w:uiPriority w:val="99"/>
    <w:unhideWhenUsed/>
    <w:rsid w:val="00F4050F"/>
    <w:pPr>
      <w:tabs>
        <w:tab w:val="center" w:pos="4513"/>
        <w:tab w:val="right" w:pos="9026"/>
      </w:tabs>
      <w:spacing w:before="0"/>
    </w:pPr>
  </w:style>
  <w:style w:type="character" w:customStyle="1" w:styleId="FooterChar">
    <w:name w:val="Footer Char"/>
    <w:basedOn w:val="DefaultParagraphFont"/>
    <w:link w:val="Footer"/>
    <w:uiPriority w:val="99"/>
    <w:rsid w:val="00F4050F"/>
  </w:style>
  <w:style w:type="paragraph" w:styleId="BalloonText">
    <w:name w:val="Balloon Text"/>
    <w:basedOn w:val="Normal"/>
    <w:link w:val="BalloonTextChar"/>
    <w:uiPriority w:val="99"/>
    <w:semiHidden/>
    <w:unhideWhenUsed/>
    <w:rsid w:val="003A4FD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FD6"/>
    <w:rPr>
      <w:rFonts w:ascii="Tahoma" w:hAnsi="Tahoma" w:cs="Tahoma"/>
      <w:sz w:val="16"/>
      <w:szCs w:val="16"/>
    </w:rPr>
  </w:style>
  <w:style w:type="paragraph" w:customStyle="1" w:styleId="SingleTxtG">
    <w:name w:val="_ Single Txt_G"/>
    <w:basedOn w:val="Normal"/>
    <w:link w:val="SingleTxtGChar"/>
    <w:qFormat/>
    <w:rsid w:val="0081081B"/>
    <w:pPr>
      <w:suppressAutoHyphens/>
      <w:spacing w:before="0"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rsid w:val="0081081B"/>
    <w:rPr>
      <w:rFonts w:ascii="Times New Roman" w:eastAsia="Times New Roman" w:hAnsi="Times New Roman" w:cs="Times New Roman"/>
      <w:sz w:val="20"/>
      <w:szCs w:val="20"/>
    </w:rPr>
  </w:style>
  <w:style w:type="paragraph" w:styleId="ListParagraph">
    <w:name w:val="List Paragraph"/>
    <w:basedOn w:val="Normal"/>
    <w:uiPriority w:val="34"/>
    <w:qFormat/>
    <w:rsid w:val="00B92A10"/>
    <w:pPr>
      <w:ind w:left="720"/>
      <w:contextualSpacing/>
    </w:pPr>
  </w:style>
  <w:style w:type="character" w:styleId="CommentReference">
    <w:name w:val="annotation reference"/>
    <w:basedOn w:val="DefaultParagraphFont"/>
    <w:uiPriority w:val="99"/>
    <w:semiHidden/>
    <w:unhideWhenUsed/>
    <w:rsid w:val="007F05DD"/>
    <w:rPr>
      <w:sz w:val="16"/>
      <w:szCs w:val="16"/>
    </w:rPr>
  </w:style>
  <w:style w:type="paragraph" w:styleId="CommentText">
    <w:name w:val="annotation text"/>
    <w:basedOn w:val="Normal"/>
    <w:link w:val="CommentTextChar"/>
    <w:uiPriority w:val="99"/>
    <w:semiHidden/>
    <w:unhideWhenUsed/>
    <w:rsid w:val="007F05DD"/>
    <w:rPr>
      <w:sz w:val="20"/>
      <w:szCs w:val="20"/>
    </w:rPr>
  </w:style>
  <w:style w:type="character" w:customStyle="1" w:styleId="CommentTextChar">
    <w:name w:val="Comment Text Char"/>
    <w:basedOn w:val="DefaultParagraphFont"/>
    <w:link w:val="CommentText"/>
    <w:uiPriority w:val="99"/>
    <w:semiHidden/>
    <w:rsid w:val="007F05DD"/>
    <w:rPr>
      <w:sz w:val="20"/>
      <w:szCs w:val="20"/>
    </w:rPr>
  </w:style>
  <w:style w:type="paragraph" w:styleId="CommentSubject">
    <w:name w:val="annotation subject"/>
    <w:basedOn w:val="CommentText"/>
    <w:next w:val="CommentText"/>
    <w:link w:val="CommentSubjectChar"/>
    <w:uiPriority w:val="99"/>
    <w:semiHidden/>
    <w:unhideWhenUsed/>
    <w:rsid w:val="007F05DD"/>
    <w:rPr>
      <w:b/>
      <w:bCs/>
    </w:rPr>
  </w:style>
  <w:style w:type="character" w:customStyle="1" w:styleId="CommentSubjectChar">
    <w:name w:val="Comment Subject Char"/>
    <w:basedOn w:val="CommentTextChar"/>
    <w:link w:val="CommentSubject"/>
    <w:uiPriority w:val="99"/>
    <w:semiHidden/>
    <w:rsid w:val="007F05DD"/>
    <w:rPr>
      <w:b/>
      <w:bCs/>
      <w:sz w:val="20"/>
      <w:szCs w:val="20"/>
    </w:rPr>
  </w:style>
  <w:style w:type="paragraph" w:customStyle="1" w:styleId="Default">
    <w:name w:val="Default"/>
    <w:rsid w:val="00A172C4"/>
    <w:pPr>
      <w:autoSpaceDE w:val="0"/>
      <w:autoSpaceDN w:val="0"/>
      <w:adjustRightInd w:val="0"/>
      <w:spacing w:before="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9C1116-4D85-4013-99A3-93212EDD8EDC}"/>
</file>

<file path=customXml/itemProps2.xml><?xml version="1.0" encoding="utf-8"?>
<ds:datastoreItem xmlns:ds="http://schemas.openxmlformats.org/officeDocument/2006/customXml" ds:itemID="{F17BDEE9-CDBD-4684-959F-CEA5487D41B6}"/>
</file>

<file path=customXml/itemProps3.xml><?xml version="1.0" encoding="utf-8"?>
<ds:datastoreItem xmlns:ds="http://schemas.openxmlformats.org/officeDocument/2006/customXml" ds:itemID="{A6AD1A99-20F7-4CCA-88C7-1DBC8B7FB5E1}"/>
</file>

<file path=customXml/itemProps4.xml><?xml version="1.0" encoding="utf-8"?>
<ds:datastoreItem xmlns:ds="http://schemas.openxmlformats.org/officeDocument/2006/customXml" ds:itemID="{89525712-0C45-42A1-8B1C-E060F15F5B2F}"/>
</file>

<file path=docProps/app.xml><?xml version="1.0" encoding="utf-8"?>
<Properties xmlns="http://schemas.openxmlformats.org/officeDocument/2006/extended-properties" xmlns:vt="http://schemas.openxmlformats.org/officeDocument/2006/docPropsVTypes">
  <Template>Normal.dotm</Template>
  <TotalTime>3</TotalTime>
  <Pages>16</Pages>
  <Words>2622</Words>
  <Characters>14948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Mr. .Christopher Sidoti, Chairperson, 22 March 2017</dc:title>
  <dc:creator>Lin Lean Lim</dc:creator>
  <cp:lastModifiedBy>Pablo ESPINIELLA</cp:lastModifiedBy>
  <cp:revision>3</cp:revision>
  <cp:lastPrinted>2017-03-09T16:50:00Z</cp:lastPrinted>
  <dcterms:created xsi:type="dcterms:W3CDTF">2017-03-28T06:39:00Z</dcterms:created>
  <dcterms:modified xsi:type="dcterms:W3CDTF">2017-03-28T06:41:00Z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