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14F65" w14:textId="77777777" w:rsidR="00B816E8" w:rsidRPr="00C32B58" w:rsidRDefault="00B816E8" w:rsidP="00C32B58">
      <w:pPr>
        <w:spacing w:after="0" w:line="240" w:lineRule="auto"/>
        <w:jc w:val="center"/>
        <w:rPr>
          <w:rFonts w:ascii="Verdana" w:hAnsi="Verdana"/>
          <w:sz w:val="20"/>
          <w:szCs w:val="20"/>
          <w:lang w:val="pt-BR"/>
        </w:rPr>
      </w:pPr>
      <w:bookmarkStart w:id="0" w:name="_GoBack"/>
      <w:bookmarkEnd w:id="0"/>
    </w:p>
    <w:p w14:paraId="5F5FA14B" w14:textId="77777777" w:rsidR="00B816E8" w:rsidRPr="00C32B58" w:rsidRDefault="00B816E8" w:rsidP="00C32B58">
      <w:pPr>
        <w:spacing w:after="0" w:line="240" w:lineRule="auto"/>
        <w:jc w:val="center"/>
        <w:rPr>
          <w:rFonts w:ascii="Verdana" w:hAnsi="Verdana"/>
          <w:sz w:val="20"/>
          <w:szCs w:val="20"/>
        </w:rPr>
      </w:pPr>
    </w:p>
    <w:p w14:paraId="72BB9EA6" w14:textId="77777777" w:rsidR="00B816E8" w:rsidRPr="00454C84" w:rsidRDefault="00B816E8" w:rsidP="00C32B58">
      <w:pPr>
        <w:spacing w:after="0" w:line="240" w:lineRule="auto"/>
        <w:jc w:val="center"/>
        <w:rPr>
          <w:rFonts w:ascii="Verdana" w:hAnsi="Verdana"/>
          <w:sz w:val="20"/>
          <w:szCs w:val="20"/>
        </w:rPr>
      </w:pPr>
      <w:r w:rsidRPr="00454C84">
        <w:rPr>
          <w:rFonts w:ascii="Verdana" w:hAnsi="Verdana"/>
          <w:noProof/>
          <w:sz w:val="20"/>
          <w:szCs w:val="20"/>
          <w:lang w:val="en-GB" w:eastAsia="en-GB"/>
        </w:rPr>
        <w:drawing>
          <wp:anchor distT="0" distB="0" distL="114300" distR="114300" simplePos="0" relativeHeight="251661312" behindDoc="1" locked="0" layoutInCell="1" allowOverlap="1" wp14:anchorId="464F4F49" wp14:editId="6BA173FD">
            <wp:simplePos x="0" y="0"/>
            <wp:positionH relativeFrom="column">
              <wp:posOffset>4945711</wp:posOffset>
            </wp:positionH>
            <wp:positionV relativeFrom="paragraph">
              <wp:posOffset>-222636</wp:posOffset>
            </wp:positionV>
            <wp:extent cx="1049573" cy="978010"/>
            <wp:effectExtent l="0" t="0" r="0" b="0"/>
            <wp:wrapNone/>
            <wp:docPr id="10" name="Imagen 7" descr="http://b.vimeocdn.com/ps/223/646/2236465_300.jpg"/>
            <wp:cNvGraphicFramePr/>
            <a:graphic xmlns:a="http://schemas.openxmlformats.org/drawingml/2006/main">
              <a:graphicData uri="http://schemas.openxmlformats.org/drawingml/2006/picture">
                <pic:pic xmlns:pic="http://schemas.openxmlformats.org/drawingml/2006/picture">
                  <pic:nvPicPr>
                    <pic:cNvPr id="8195" name="Picture 19" descr="http://b.vimeocdn.com/ps/223/646/2236465_3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49573" cy="978010"/>
                    </a:xfrm>
                    <a:prstGeom prst="rect">
                      <a:avLst/>
                    </a:prstGeom>
                    <a:noFill/>
                    <a:ln w="9525">
                      <a:noFill/>
                      <a:miter lim="800000"/>
                      <a:headEnd/>
                      <a:tailEnd/>
                    </a:ln>
                  </pic:spPr>
                </pic:pic>
              </a:graphicData>
            </a:graphic>
          </wp:anchor>
        </w:drawing>
      </w:r>
      <w:r w:rsidRPr="00454C84">
        <w:rPr>
          <w:rFonts w:ascii="Verdana" w:hAnsi="Verdana"/>
          <w:noProof/>
          <w:sz w:val="20"/>
          <w:szCs w:val="20"/>
          <w:lang w:val="en-GB" w:eastAsia="en-GB"/>
        </w:rPr>
        <w:drawing>
          <wp:anchor distT="0" distB="0" distL="114300" distR="114300" simplePos="0" relativeHeight="251660288" behindDoc="0" locked="0" layoutInCell="1" allowOverlap="1" wp14:anchorId="2BEBB443" wp14:editId="0C6F31DB">
            <wp:simplePos x="0" y="0"/>
            <wp:positionH relativeFrom="column">
              <wp:posOffset>-318135</wp:posOffset>
            </wp:positionH>
            <wp:positionV relativeFrom="paragraph">
              <wp:posOffset>-191135</wp:posOffset>
            </wp:positionV>
            <wp:extent cx="952500" cy="942975"/>
            <wp:effectExtent l="19050" t="0" r="0" b="0"/>
            <wp:wrapNone/>
            <wp:docPr id="1" name="Imagen 3" descr="logooas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oasSPA"/>
                    <pic:cNvPicPr>
                      <a:picLocks noChangeAspect="1" noChangeArrowheads="1"/>
                    </pic:cNvPicPr>
                  </pic:nvPicPr>
                  <pic:blipFill>
                    <a:blip r:embed="rId10" cstate="print"/>
                    <a:srcRect/>
                    <a:stretch>
                      <a:fillRect/>
                    </a:stretch>
                  </pic:blipFill>
                  <pic:spPr bwMode="auto">
                    <a:xfrm>
                      <a:off x="0" y="0"/>
                      <a:ext cx="952500" cy="942975"/>
                    </a:xfrm>
                    <a:prstGeom prst="rect">
                      <a:avLst/>
                    </a:prstGeom>
                    <a:noFill/>
                  </pic:spPr>
                </pic:pic>
              </a:graphicData>
            </a:graphic>
          </wp:anchor>
        </w:drawing>
      </w:r>
      <w:r w:rsidRPr="00454C84">
        <w:rPr>
          <w:rFonts w:ascii="Verdana" w:hAnsi="Verdana"/>
          <w:noProof/>
          <w:sz w:val="20"/>
          <w:szCs w:val="20"/>
          <w:lang w:val="en-GB" w:eastAsia="en-GB"/>
        </w:rPr>
        <w:drawing>
          <wp:anchor distT="0" distB="0" distL="114300" distR="114300" simplePos="0" relativeHeight="251659264" behindDoc="0" locked="0" layoutInCell="1" allowOverlap="1" wp14:anchorId="20D844ED" wp14:editId="23D8EB93">
            <wp:simplePos x="0" y="0"/>
            <wp:positionH relativeFrom="column">
              <wp:posOffset>7480935</wp:posOffset>
            </wp:positionH>
            <wp:positionV relativeFrom="paragraph">
              <wp:posOffset>-111760</wp:posOffset>
            </wp:positionV>
            <wp:extent cx="908685" cy="938530"/>
            <wp:effectExtent l="19050" t="0" r="5715" b="0"/>
            <wp:wrapNone/>
            <wp:docPr id="2" name="Imagen 2" descr="logo-corte-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rte-esp"/>
                    <pic:cNvPicPr>
                      <a:picLocks noChangeAspect="1" noChangeArrowheads="1"/>
                    </pic:cNvPicPr>
                  </pic:nvPicPr>
                  <pic:blipFill>
                    <a:blip r:embed="rId11" cstate="print"/>
                    <a:srcRect/>
                    <a:stretch>
                      <a:fillRect/>
                    </a:stretch>
                  </pic:blipFill>
                  <pic:spPr bwMode="auto">
                    <a:xfrm>
                      <a:off x="0" y="0"/>
                      <a:ext cx="908685" cy="938530"/>
                    </a:xfrm>
                    <a:prstGeom prst="rect">
                      <a:avLst/>
                    </a:prstGeom>
                    <a:noFill/>
                  </pic:spPr>
                </pic:pic>
              </a:graphicData>
            </a:graphic>
          </wp:anchor>
        </w:drawing>
      </w:r>
      <w:r w:rsidRPr="00454C84">
        <w:rPr>
          <w:rFonts w:ascii="Verdana" w:hAnsi="Verdana"/>
          <w:sz w:val="20"/>
          <w:szCs w:val="20"/>
        </w:rPr>
        <w:t>CORTE INTERAMERICANA DE DERECHOS HUMANOS</w:t>
      </w:r>
    </w:p>
    <w:p w14:paraId="22C22F6E" w14:textId="77777777" w:rsidR="00B816E8" w:rsidRPr="00454C84" w:rsidRDefault="00B816E8" w:rsidP="00C32B58">
      <w:pPr>
        <w:spacing w:after="0" w:line="240" w:lineRule="auto"/>
        <w:jc w:val="center"/>
        <w:rPr>
          <w:rFonts w:ascii="Verdana" w:hAnsi="Verdana"/>
          <w:sz w:val="20"/>
          <w:szCs w:val="20"/>
        </w:rPr>
      </w:pPr>
      <w:r w:rsidRPr="00454C84">
        <w:rPr>
          <w:rFonts w:ascii="Verdana" w:hAnsi="Verdana"/>
          <w:sz w:val="20"/>
          <w:szCs w:val="20"/>
        </w:rPr>
        <w:t>COUR INTERAMERICAINE DES DROITS DE L'HOMME</w:t>
      </w:r>
    </w:p>
    <w:p w14:paraId="0EA262CF" w14:textId="77777777" w:rsidR="00B816E8" w:rsidRPr="00454C84" w:rsidRDefault="00B816E8" w:rsidP="00C32B58">
      <w:pPr>
        <w:spacing w:after="0" w:line="240" w:lineRule="auto"/>
        <w:jc w:val="center"/>
        <w:rPr>
          <w:rFonts w:ascii="Verdana" w:hAnsi="Verdana"/>
          <w:sz w:val="20"/>
          <w:szCs w:val="20"/>
        </w:rPr>
      </w:pPr>
      <w:r w:rsidRPr="00454C84">
        <w:rPr>
          <w:rFonts w:ascii="Verdana" w:hAnsi="Verdana"/>
          <w:sz w:val="20"/>
          <w:szCs w:val="20"/>
        </w:rPr>
        <w:t>CORTE INTERAMERICANA DE DIREITOS HUMANOS</w:t>
      </w:r>
    </w:p>
    <w:p w14:paraId="06B55C7F" w14:textId="77777777" w:rsidR="00B816E8" w:rsidRPr="00454C84" w:rsidRDefault="00B816E8" w:rsidP="00C32B58">
      <w:pPr>
        <w:pBdr>
          <w:bottom w:val="single" w:sz="6" w:space="1" w:color="auto"/>
        </w:pBdr>
        <w:spacing w:after="0" w:line="240" w:lineRule="auto"/>
        <w:jc w:val="center"/>
        <w:rPr>
          <w:rFonts w:ascii="Verdana" w:hAnsi="Verdana"/>
          <w:sz w:val="20"/>
          <w:szCs w:val="20"/>
          <w:lang w:val="es-ES"/>
        </w:rPr>
      </w:pPr>
      <w:r w:rsidRPr="00454C84">
        <w:rPr>
          <w:rFonts w:ascii="Verdana" w:hAnsi="Verdana"/>
          <w:sz w:val="20"/>
          <w:szCs w:val="20"/>
          <w:lang w:val="es-ES"/>
        </w:rPr>
        <w:t>INTER-AMERICAN COURT OF HUMAN RIGHTS</w:t>
      </w:r>
    </w:p>
    <w:p w14:paraId="76AA1793" w14:textId="77777777" w:rsidR="00B816E8" w:rsidRPr="00454C84" w:rsidRDefault="00B816E8" w:rsidP="00C32B58">
      <w:pPr>
        <w:pBdr>
          <w:bottom w:val="single" w:sz="6" w:space="1" w:color="auto"/>
        </w:pBdr>
        <w:spacing w:after="0" w:line="240" w:lineRule="auto"/>
        <w:jc w:val="center"/>
        <w:rPr>
          <w:rFonts w:ascii="Verdana" w:hAnsi="Verdana"/>
          <w:sz w:val="20"/>
          <w:szCs w:val="20"/>
          <w:lang w:val="es-ES"/>
        </w:rPr>
      </w:pPr>
    </w:p>
    <w:p w14:paraId="76575F61" w14:textId="77777777" w:rsidR="00B816E8" w:rsidRPr="00454C84" w:rsidRDefault="00B816E8" w:rsidP="00C32B58">
      <w:pPr>
        <w:spacing w:after="0" w:line="240" w:lineRule="auto"/>
        <w:jc w:val="center"/>
        <w:rPr>
          <w:rFonts w:ascii="Verdana" w:eastAsia="Times New Roman" w:hAnsi="Verdana" w:cs="Tahoma"/>
          <w:color w:val="000000"/>
          <w:sz w:val="20"/>
          <w:szCs w:val="20"/>
          <w:lang w:val="es-ES"/>
        </w:rPr>
      </w:pPr>
    </w:p>
    <w:p w14:paraId="10F30B8B" w14:textId="77777777" w:rsidR="00B816E8" w:rsidRPr="00454C84" w:rsidRDefault="00B816E8" w:rsidP="00C32B58">
      <w:pPr>
        <w:spacing w:after="0" w:line="240" w:lineRule="auto"/>
        <w:jc w:val="center"/>
        <w:rPr>
          <w:rFonts w:ascii="Verdana" w:eastAsia="Times New Roman" w:hAnsi="Verdana" w:cs="Tahoma"/>
          <w:color w:val="000000"/>
          <w:sz w:val="20"/>
          <w:szCs w:val="20"/>
          <w:lang w:val="es-ES"/>
        </w:rPr>
      </w:pPr>
    </w:p>
    <w:p w14:paraId="570E9E59" w14:textId="77777777" w:rsidR="00454C84" w:rsidRPr="00454C84" w:rsidRDefault="00454C84" w:rsidP="00454C84">
      <w:pPr>
        <w:spacing w:after="0" w:line="240" w:lineRule="auto"/>
        <w:jc w:val="center"/>
        <w:rPr>
          <w:rFonts w:ascii="Verdana" w:hAnsi="Verdana"/>
          <w:b/>
          <w:sz w:val="20"/>
          <w:szCs w:val="20"/>
        </w:rPr>
      </w:pPr>
      <w:r w:rsidRPr="00454C84">
        <w:rPr>
          <w:rFonts w:ascii="Verdana" w:hAnsi="Verdana"/>
          <w:b/>
          <w:sz w:val="20"/>
          <w:szCs w:val="20"/>
        </w:rPr>
        <w:t xml:space="preserve">Presentation by the Vice-President of the Inter-American Court of Human Rights, Judge ROBERTO F. CALDAS, during the Seminar on Regional and Subregional Human Rights Courts </w:t>
      </w:r>
    </w:p>
    <w:p w14:paraId="66DDA7C7" w14:textId="77777777" w:rsidR="00454C84" w:rsidRPr="00454C84" w:rsidRDefault="00454C84" w:rsidP="00C32B58">
      <w:pPr>
        <w:spacing w:after="0" w:line="240" w:lineRule="auto"/>
        <w:jc w:val="center"/>
        <w:rPr>
          <w:rFonts w:ascii="Verdana" w:hAnsi="Verdana"/>
          <w:b/>
          <w:sz w:val="20"/>
          <w:szCs w:val="20"/>
          <w:u w:val="single"/>
        </w:rPr>
      </w:pPr>
    </w:p>
    <w:p w14:paraId="607A6943" w14:textId="77777777" w:rsidR="00B816E8" w:rsidRPr="00454C84" w:rsidRDefault="00454C84" w:rsidP="00C32B58">
      <w:pPr>
        <w:spacing w:after="0" w:line="240" w:lineRule="auto"/>
        <w:jc w:val="center"/>
        <w:rPr>
          <w:rFonts w:ascii="Verdana" w:hAnsi="Verdana"/>
          <w:b/>
          <w:sz w:val="20"/>
          <w:szCs w:val="20"/>
        </w:rPr>
      </w:pPr>
      <w:r w:rsidRPr="00454C84">
        <w:rPr>
          <w:rFonts w:ascii="Verdana" w:hAnsi="Verdana"/>
          <w:b/>
          <w:sz w:val="20"/>
          <w:szCs w:val="20"/>
        </w:rPr>
        <w:t xml:space="preserve">Session 3: </w:t>
      </w:r>
      <w:r w:rsidR="00B816E8" w:rsidRPr="00454C84">
        <w:rPr>
          <w:rFonts w:ascii="Verdana" w:hAnsi="Verdana"/>
          <w:b/>
          <w:sz w:val="20"/>
          <w:szCs w:val="20"/>
        </w:rPr>
        <w:t>‘‘Judicial application and interpretation of international/regional huma</w:t>
      </w:r>
      <w:r w:rsidR="003242D4" w:rsidRPr="00454C84">
        <w:rPr>
          <w:rFonts w:ascii="Verdana" w:hAnsi="Verdana"/>
          <w:b/>
          <w:sz w:val="20"/>
          <w:szCs w:val="20"/>
        </w:rPr>
        <w:t>n</w:t>
      </w:r>
      <w:r w:rsidR="00B816E8" w:rsidRPr="00454C84">
        <w:rPr>
          <w:rFonts w:ascii="Verdana" w:hAnsi="Verdana"/>
          <w:b/>
          <w:sz w:val="20"/>
          <w:szCs w:val="20"/>
        </w:rPr>
        <w:t xml:space="preserve"> rights law and norms’’</w:t>
      </w:r>
    </w:p>
    <w:p w14:paraId="532525BA" w14:textId="77777777" w:rsidR="00B816E8" w:rsidRPr="00454C84" w:rsidRDefault="00B816E8" w:rsidP="00C32B58">
      <w:pPr>
        <w:jc w:val="both"/>
        <w:rPr>
          <w:rFonts w:ascii="Verdana" w:hAnsi="Verdana"/>
          <w:sz w:val="20"/>
          <w:szCs w:val="20"/>
        </w:rPr>
      </w:pPr>
    </w:p>
    <w:p w14:paraId="53252A1C" w14:textId="77777777" w:rsidR="00454C84" w:rsidRPr="00454C84" w:rsidRDefault="00454C84" w:rsidP="00454C84">
      <w:pPr>
        <w:jc w:val="center"/>
        <w:rPr>
          <w:rFonts w:ascii="Verdana" w:hAnsi="Verdana"/>
          <w:i/>
          <w:sz w:val="20"/>
          <w:szCs w:val="20"/>
        </w:rPr>
      </w:pPr>
      <w:r w:rsidRPr="00454C84">
        <w:rPr>
          <w:rFonts w:ascii="Verdana" w:hAnsi="Verdana"/>
          <w:i/>
          <w:sz w:val="20"/>
          <w:szCs w:val="20"/>
        </w:rPr>
        <w:t>Strasbourg, 20 October 2015</w:t>
      </w:r>
    </w:p>
    <w:p w14:paraId="53CD5055" w14:textId="77777777" w:rsidR="00EA5135" w:rsidRPr="00454C84" w:rsidRDefault="007424F5" w:rsidP="00C32B58">
      <w:pPr>
        <w:spacing w:after="0" w:line="240" w:lineRule="auto"/>
        <w:jc w:val="both"/>
        <w:rPr>
          <w:rFonts w:ascii="Verdana" w:hAnsi="Verdana"/>
          <w:b/>
          <w:sz w:val="20"/>
          <w:szCs w:val="20"/>
        </w:rPr>
      </w:pPr>
      <w:r w:rsidRPr="00454C84">
        <w:rPr>
          <w:rFonts w:ascii="Verdana" w:hAnsi="Verdana"/>
          <w:b/>
          <w:sz w:val="20"/>
          <w:szCs w:val="20"/>
        </w:rPr>
        <w:t>I</w:t>
      </w:r>
      <w:r w:rsidR="00EA5135" w:rsidRPr="00454C84">
        <w:rPr>
          <w:rFonts w:ascii="Verdana" w:hAnsi="Verdana"/>
          <w:b/>
          <w:sz w:val="20"/>
          <w:szCs w:val="20"/>
        </w:rPr>
        <w:t xml:space="preserve">. Diálogo jurisprudencial </w:t>
      </w:r>
    </w:p>
    <w:p w14:paraId="068FB6C2" w14:textId="77777777" w:rsidR="00AC208D" w:rsidRPr="00454C84" w:rsidRDefault="00AC208D" w:rsidP="00C32B58">
      <w:pPr>
        <w:spacing w:after="0" w:line="240" w:lineRule="auto"/>
        <w:jc w:val="both"/>
        <w:rPr>
          <w:rFonts w:ascii="Verdana" w:hAnsi="Verdana"/>
          <w:b/>
          <w:sz w:val="20"/>
          <w:szCs w:val="20"/>
        </w:rPr>
      </w:pPr>
    </w:p>
    <w:p w14:paraId="5262D6D7" w14:textId="77777777" w:rsidR="006C1BFD" w:rsidRPr="00454C84" w:rsidRDefault="00F070AA" w:rsidP="00C32B58">
      <w:pPr>
        <w:spacing w:after="0" w:line="240" w:lineRule="auto"/>
        <w:jc w:val="both"/>
        <w:rPr>
          <w:rFonts w:ascii="Verdana" w:hAnsi="Verdana"/>
          <w:sz w:val="20"/>
          <w:szCs w:val="20"/>
        </w:rPr>
      </w:pPr>
      <w:r w:rsidRPr="00454C84">
        <w:rPr>
          <w:rFonts w:ascii="Verdana" w:hAnsi="Verdana"/>
          <w:sz w:val="20"/>
          <w:szCs w:val="20"/>
        </w:rPr>
        <w:t xml:space="preserve">En su jurisprudencia la Corte </w:t>
      </w:r>
      <w:r w:rsidR="006C1BFD" w:rsidRPr="00454C84">
        <w:rPr>
          <w:rFonts w:ascii="Verdana" w:hAnsi="Verdana"/>
          <w:sz w:val="20"/>
          <w:szCs w:val="20"/>
        </w:rPr>
        <w:t>dota</w:t>
      </w:r>
      <w:r w:rsidR="004F14F1" w:rsidRPr="00454C84">
        <w:rPr>
          <w:rFonts w:ascii="Verdana" w:hAnsi="Verdana"/>
          <w:sz w:val="20"/>
          <w:szCs w:val="20"/>
        </w:rPr>
        <w:t xml:space="preserve"> de </w:t>
      </w:r>
      <w:r w:rsidRPr="00454C84">
        <w:rPr>
          <w:rFonts w:ascii="Verdana" w:hAnsi="Verdana"/>
          <w:sz w:val="20"/>
          <w:szCs w:val="20"/>
        </w:rPr>
        <w:t xml:space="preserve">alcance y contenido </w:t>
      </w:r>
      <w:r w:rsidR="004F14F1" w:rsidRPr="00454C84">
        <w:rPr>
          <w:rFonts w:ascii="Verdana" w:hAnsi="Verdana"/>
          <w:sz w:val="20"/>
          <w:szCs w:val="20"/>
        </w:rPr>
        <w:t xml:space="preserve">a </w:t>
      </w:r>
      <w:r w:rsidRPr="00454C84">
        <w:rPr>
          <w:rFonts w:ascii="Verdana" w:hAnsi="Verdana"/>
          <w:sz w:val="20"/>
          <w:szCs w:val="20"/>
        </w:rPr>
        <w:t xml:space="preserve">los derechos humanos, </w:t>
      </w:r>
      <w:r w:rsidR="004F14F1" w:rsidRPr="00454C84">
        <w:rPr>
          <w:rFonts w:ascii="Verdana" w:hAnsi="Verdana"/>
          <w:sz w:val="20"/>
          <w:szCs w:val="20"/>
        </w:rPr>
        <w:t>consagrados</w:t>
      </w:r>
      <w:r w:rsidRPr="00454C84">
        <w:rPr>
          <w:rFonts w:ascii="Verdana" w:hAnsi="Verdana"/>
          <w:sz w:val="20"/>
          <w:szCs w:val="20"/>
        </w:rPr>
        <w:t xml:space="preserve"> en la Convención Americana, a través de la interpretaci</w:t>
      </w:r>
      <w:r w:rsidR="006C1BFD" w:rsidRPr="00454C84">
        <w:rPr>
          <w:rFonts w:ascii="Verdana" w:hAnsi="Verdana"/>
          <w:sz w:val="20"/>
          <w:szCs w:val="20"/>
        </w:rPr>
        <w:t>ón de las diversas fuentes del Derecho I</w:t>
      </w:r>
      <w:r w:rsidRPr="00454C84">
        <w:rPr>
          <w:rFonts w:ascii="Verdana" w:hAnsi="Verdana"/>
          <w:sz w:val="20"/>
          <w:szCs w:val="20"/>
        </w:rPr>
        <w:t xml:space="preserve">nternacional. </w:t>
      </w:r>
      <w:r w:rsidR="006C1BFD" w:rsidRPr="00454C84">
        <w:rPr>
          <w:rFonts w:ascii="Verdana" w:hAnsi="Verdana"/>
          <w:sz w:val="20"/>
          <w:szCs w:val="20"/>
        </w:rPr>
        <w:t xml:space="preserve">En este sentido, la Corte hace referencia expresa a otros tratados internacionales, a decisiones de otros tribunales internacionales, a órganos de tratados de Naciones Unidas, así como </w:t>
      </w:r>
      <w:r w:rsidR="00011298" w:rsidRPr="00454C84">
        <w:rPr>
          <w:rFonts w:ascii="Verdana" w:hAnsi="Verdana"/>
          <w:sz w:val="20"/>
          <w:szCs w:val="20"/>
        </w:rPr>
        <w:t xml:space="preserve">a </w:t>
      </w:r>
      <w:r w:rsidR="00EE6697" w:rsidRPr="00454C84">
        <w:rPr>
          <w:rFonts w:ascii="Verdana" w:hAnsi="Verdana"/>
          <w:sz w:val="20"/>
          <w:szCs w:val="20"/>
        </w:rPr>
        <w:t xml:space="preserve">los </w:t>
      </w:r>
      <w:r w:rsidR="00011298" w:rsidRPr="00454C84">
        <w:rPr>
          <w:rFonts w:ascii="Verdana" w:hAnsi="Verdana"/>
          <w:sz w:val="20"/>
          <w:szCs w:val="20"/>
        </w:rPr>
        <w:t xml:space="preserve">procedimientos especiales del Consejo de Derechos Humanos </w:t>
      </w:r>
      <w:r w:rsidR="00684D54" w:rsidRPr="00454C84">
        <w:rPr>
          <w:rFonts w:ascii="Verdana" w:hAnsi="Verdana"/>
          <w:sz w:val="20"/>
          <w:szCs w:val="20"/>
        </w:rPr>
        <w:t xml:space="preserve">de </w:t>
      </w:r>
      <w:r w:rsidR="00011298" w:rsidRPr="00454C84">
        <w:rPr>
          <w:rFonts w:ascii="Verdana" w:hAnsi="Verdana"/>
          <w:sz w:val="20"/>
          <w:szCs w:val="20"/>
        </w:rPr>
        <w:t>Naciones Unidas.</w:t>
      </w:r>
    </w:p>
    <w:p w14:paraId="34D8CFF2" w14:textId="77777777" w:rsidR="006C1BFD" w:rsidRPr="00454C84" w:rsidRDefault="006C1BFD" w:rsidP="00C32B58">
      <w:pPr>
        <w:spacing w:after="0" w:line="240" w:lineRule="auto"/>
        <w:jc w:val="both"/>
        <w:rPr>
          <w:rFonts w:ascii="Verdana" w:hAnsi="Verdana"/>
          <w:sz w:val="20"/>
          <w:szCs w:val="20"/>
        </w:rPr>
      </w:pPr>
    </w:p>
    <w:p w14:paraId="7CAE4895" w14:textId="77777777" w:rsidR="00011298" w:rsidRPr="00454C84" w:rsidRDefault="00011298" w:rsidP="00C32B58">
      <w:pPr>
        <w:pStyle w:val="ListParagraph"/>
        <w:numPr>
          <w:ilvl w:val="0"/>
          <w:numId w:val="1"/>
        </w:numPr>
        <w:spacing w:after="0" w:line="240" w:lineRule="auto"/>
        <w:jc w:val="both"/>
        <w:rPr>
          <w:rFonts w:ascii="Verdana" w:hAnsi="Verdana"/>
          <w:b/>
          <w:sz w:val="20"/>
          <w:szCs w:val="20"/>
        </w:rPr>
      </w:pPr>
      <w:r w:rsidRPr="00454C84">
        <w:rPr>
          <w:rFonts w:ascii="Verdana" w:hAnsi="Verdana"/>
          <w:b/>
          <w:sz w:val="20"/>
          <w:szCs w:val="20"/>
        </w:rPr>
        <w:t>Otros tratados internacionales</w:t>
      </w:r>
    </w:p>
    <w:p w14:paraId="45237BE2" w14:textId="77777777" w:rsidR="00011298" w:rsidRPr="00454C84" w:rsidRDefault="00011298" w:rsidP="00C32B58">
      <w:pPr>
        <w:spacing w:after="0" w:line="240" w:lineRule="auto"/>
        <w:jc w:val="both"/>
        <w:rPr>
          <w:rFonts w:ascii="Verdana" w:hAnsi="Verdana"/>
          <w:sz w:val="20"/>
          <w:szCs w:val="20"/>
        </w:rPr>
      </w:pPr>
    </w:p>
    <w:p w14:paraId="7D545B66" w14:textId="77777777" w:rsidR="00EA5135" w:rsidRPr="00454C84" w:rsidRDefault="00F070AA" w:rsidP="00C32B58">
      <w:pPr>
        <w:spacing w:after="0" w:line="240" w:lineRule="auto"/>
        <w:jc w:val="both"/>
        <w:rPr>
          <w:rFonts w:ascii="Verdana" w:hAnsi="Verdana"/>
          <w:sz w:val="20"/>
          <w:szCs w:val="20"/>
        </w:rPr>
      </w:pPr>
      <w:r w:rsidRPr="00454C84">
        <w:rPr>
          <w:rFonts w:ascii="Verdana" w:hAnsi="Verdana"/>
          <w:sz w:val="20"/>
          <w:szCs w:val="20"/>
        </w:rPr>
        <w:t>De esta manera, el Tribunal ha utilizado otros tratados internacionales para interpretar sus disposiciones de acuerdo a la evolución del sistema interamericano, habida consideración del desarrollo experimentado en la materia bajo su análisis en el Derecho Internacional de los Derechos Humanos. Por ejemplo, la Corte ha interpretado las obligaciones relativas al derecho a la propiedad, contenidas en el artículo 21 de la Convención Americana, a la luz del Convenio 169 de la OIT sobre Derechos de los Pueblos Indígenas y Tribales, estableciendo así el contenido del derecho a la propiedad comunal de los pueblos indígenas</w:t>
      </w:r>
      <w:r w:rsidR="003C5F84" w:rsidRPr="00454C84">
        <w:rPr>
          <w:rFonts w:ascii="Verdana" w:hAnsi="Verdana"/>
          <w:sz w:val="20"/>
          <w:szCs w:val="20"/>
        </w:rPr>
        <w:t>, así como el derecho a la consulta previa</w:t>
      </w:r>
    </w:p>
    <w:p w14:paraId="28435124" w14:textId="77777777" w:rsidR="00DB1736" w:rsidRPr="00454C84" w:rsidRDefault="00DB1736" w:rsidP="00C32B58">
      <w:pPr>
        <w:spacing w:after="0" w:line="240" w:lineRule="auto"/>
        <w:jc w:val="both"/>
        <w:rPr>
          <w:rFonts w:ascii="Verdana" w:hAnsi="Verdana"/>
          <w:sz w:val="20"/>
          <w:szCs w:val="20"/>
        </w:rPr>
      </w:pPr>
    </w:p>
    <w:p w14:paraId="398C99EF" w14:textId="77777777" w:rsidR="00011298" w:rsidRPr="00454C84" w:rsidRDefault="00011298" w:rsidP="00C32B58">
      <w:pPr>
        <w:pStyle w:val="ListParagraph"/>
        <w:numPr>
          <w:ilvl w:val="0"/>
          <w:numId w:val="1"/>
        </w:numPr>
        <w:spacing w:after="0" w:line="240" w:lineRule="auto"/>
        <w:jc w:val="both"/>
        <w:rPr>
          <w:rFonts w:ascii="Verdana" w:hAnsi="Verdana"/>
          <w:b/>
          <w:sz w:val="20"/>
          <w:szCs w:val="20"/>
        </w:rPr>
      </w:pPr>
      <w:r w:rsidRPr="00454C84">
        <w:rPr>
          <w:rFonts w:ascii="Verdana" w:hAnsi="Verdana"/>
          <w:b/>
          <w:sz w:val="20"/>
          <w:szCs w:val="20"/>
        </w:rPr>
        <w:t>Otros tribunales internacionales</w:t>
      </w:r>
    </w:p>
    <w:p w14:paraId="61FA4714" w14:textId="77777777" w:rsidR="00011298" w:rsidRPr="00454C84" w:rsidRDefault="00011298" w:rsidP="00C32B58">
      <w:pPr>
        <w:spacing w:after="0" w:line="240" w:lineRule="auto"/>
        <w:jc w:val="both"/>
        <w:rPr>
          <w:rFonts w:ascii="Verdana" w:hAnsi="Verdana"/>
          <w:sz w:val="20"/>
          <w:szCs w:val="20"/>
        </w:rPr>
      </w:pPr>
    </w:p>
    <w:p w14:paraId="5985C1A0" w14:textId="77777777" w:rsidR="00AC208D" w:rsidRPr="00454C84" w:rsidRDefault="00F070AA" w:rsidP="00C32B58">
      <w:pPr>
        <w:spacing w:after="0" w:line="240" w:lineRule="auto"/>
        <w:jc w:val="both"/>
        <w:rPr>
          <w:rFonts w:ascii="Verdana" w:hAnsi="Verdana"/>
          <w:sz w:val="20"/>
          <w:szCs w:val="20"/>
        </w:rPr>
      </w:pPr>
      <w:r w:rsidRPr="00454C84">
        <w:rPr>
          <w:rFonts w:ascii="Verdana" w:hAnsi="Verdana"/>
          <w:sz w:val="20"/>
          <w:szCs w:val="20"/>
        </w:rPr>
        <w:t xml:space="preserve">De la misma manera, con el fin de precisar el alcance y contenido de un derecho </w:t>
      </w:r>
      <w:r w:rsidR="003242D4" w:rsidRPr="00454C84">
        <w:rPr>
          <w:rFonts w:ascii="Verdana" w:hAnsi="Verdana"/>
          <w:sz w:val="20"/>
          <w:szCs w:val="20"/>
        </w:rPr>
        <w:t xml:space="preserve">establecido en la Convención Americana, la Corte con frecuencia </w:t>
      </w:r>
      <w:r w:rsidRPr="00454C84">
        <w:rPr>
          <w:rFonts w:ascii="Verdana" w:hAnsi="Verdana"/>
          <w:sz w:val="20"/>
          <w:szCs w:val="20"/>
        </w:rPr>
        <w:t xml:space="preserve">se refiere al derecho comparado, destacando la utilización de jurisprudencia del Tribunal Europeo de Derechos Humanos, la Comisión Africana de Derechos Humanos y de los Pueblos y los órganos de Tratados de Naciones Unidas. </w:t>
      </w:r>
      <w:r w:rsidR="000D41CF" w:rsidRPr="00454C84">
        <w:rPr>
          <w:rFonts w:ascii="Verdana" w:hAnsi="Verdana"/>
          <w:sz w:val="20"/>
          <w:szCs w:val="20"/>
        </w:rPr>
        <w:t>Seguramente</w:t>
      </w:r>
      <w:r w:rsidR="00F53CDA" w:rsidRPr="00454C84">
        <w:rPr>
          <w:rFonts w:ascii="Verdana" w:hAnsi="Verdana"/>
          <w:sz w:val="20"/>
          <w:szCs w:val="20"/>
        </w:rPr>
        <w:t>,</w:t>
      </w:r>
      <w:r w:rsidR="000D41CF" w:rsidRPr="00454C84">
        <w:rPr>
          <w:rFonts w:ascii="Verdana" w:hAnsi="Verdana"/>
          <w:sz w:val="20"/>
          <w:szCs w:val="20"/>
        </w:rPr>
        <w:t xml:space="preserve"> muy brevemente</w:t>
      </w:r>
      <w:r w:rsidR="00F53CDA" w:rsidRPr="00454C84">
        <w:rPr>
          <w:rFonts w:ascii="Verdana" w:hAnsi="Verdana"/>
          <w:sz w:val="20"/>
          <w:szCs w:val="20"/>
        </w:rPr>
        <w:t>,</w:t>
      </w:r>
      <w:r w:rsidR="000D41CF" w:rsidRPr="00454C84">
        <w:rPr>
          <w:rFonts w:ascii="Verdana" w:hAnsi="Verdana"/>
          <w:sz w:val="20"/>
          <w:szCs w:val="20"/>
        </w:rPr>
        <w:t xml:space="preserve"> estaremos también refiriendonos a decisiones y estándares de la Corte Africana de Derechos Humanos y de los Pueblos en la medida en que </w:t>
      </w:r>
      <w:r w:rsidR="00F53CDA" w:rsidRPr="00454C84">
        <w:rPr>
          <w:rFonts w:ascii="Verdana" w:hAnsi="Verdana"/>
          <w:sz w:val="20"/>
          <w:szCs w:val="20"/>
        </w:rPr>
        <w:t xml:space="preserve">su interpretación del derecho internacional nos ayudará a realizar nuestra labor en las Americas. </w:t>
      </w:r>
    </w:p>
    <w:p w14:paraId="7B61FE86" w14:textId="77777777" w:rsidR="00AC208D" w:rsidRPr="00454C84" w:rsidRDefault="00AC208D" w:rsidP="00C32B58">
      <w:pPr>
        <w:spacing w:after="0" w:line="240" w:lineRule="auto"/>
        <w:jc w:val="both"/>
        <w:rPr>
          <w:rFonts w:ascii="Verdana" w:hAnsi="Verdana"/>
          <w:sz w:val="20"/>
          <w:szCs w:val="20"/>
        </w:rPr>
      </w:pPr>
    </w:p>
    <w:p w14:paraId="796E4DFE" w14:textId="77777777" w:rsidR="00011298" w:rsidRPr="00454C84" w:rsidRDefault="00882369" w:rsidP="00C32B58">
      <w:pPr>
        <w:spacing w:after="0" w:line="240" w:lineRule="auto"/>
        <w:jc w:val="both"/>
        <w:rPr>
          <w:rFonts w:ascii="Verdana" w:hAnsi="Verdana"/>
          <w:sz w:val="20"/>
          <w:szCs w:val="20"/>
        </w:rPr>
      </w:pPr>
      <w:r w:rsidRPr="00454C84">
        <w:rPr>
          <w:rFonts w:ascii="Verdana" w:hAnsi="Verdana"/>
          <w:sz w:val="20"/>
          <w:szCs w:val="20"/>
        </w:rPr>
        <w:t xml:space="preserve">La jurisprudencia de la Corte Interamericana recurre a referencias a su par europea constantemente. Por ejemplo, en el caso </w:t>
      </w:r>
      <w:r w:rsidRPr="00454C84">
        <w:rPr>
          <w:rFonts w:ascii="Verdana" w:hAnsi="Verdana"/>
          <w:i/>
          <w:sz w:val="20"/>
          <w:szCs w:val="20"/>
        </w:rPr>
        <w:t xml:space="preserve">Atala Riffo y Niñas </w:t>
      </w:r>
      <w:r w:rsidRPr="00454C84">
        <w:rPr>
          <w:rFonts w:ascii="Verdana" w:hAnsi="Verdana"/>
          <w:sz w:val="20"/>
          <w:szCs w:val="20"/>
        </w:rPr>
        <w:t xml:space="preserve">se hizo referencia a decisiones del Tribunal Europeo para realizar una interpretación extensiva del concepto </w:t>
      </w:r>
      <w:r w:rsidRPr="00454C84">
        <w:rPr>
          <w:rFonts w:ascii="Verdana" w:hAnsi="Verdana"/>
          <w:sz w:val="20"/>
          <w:szCs w:val="20"/>
        </w:rPr>
        <w:lastRenderedPageBreak/>
        <w:t>de discriminación. Al respecto, la Corte Interamericana señaló que ‘‘al igual que el Tribunal Europeo de Derechos Humanos, los tratados de derechos humanos son instrumentos vivos, cuya interpretación tiene que acompañar la evolución de los tiempos y las condiciones de vida actuales’’</w:t>
      </w:r>
      <w:r w:rsidRPr="00454C84">
        <w:rPr>
          <w:rStyle w:val="FootnoteReference"/>
          <w:rFonts w:ascii="Verdana" w:hAnsi="Verdana"/>
          <w:sz w:val="20"/>
          <w:szCs w:val="20"/>
        </w:rPr>
        <w:footnoteReference w:id="1"/>
      </w:r>
      <w:r w:rsidRPr="00454C84">
        <w:rPr>
          <w:rFonts w:ascii="Verdana" w:hAnsi="Verdana"/>
          <w:sz w:val="20"/>
          <w:szCs w:val="20"/>
        </w:rPr>
        <w:t xml:space="preserve">. De esta manera la Corte Interamericana interpretó que los términos ‘‘cualquier otra condición social’’, incluidos en el artículo 1.1. de la Convención Americana, como un criterio por el cual está prohibido la discriminación, incluían a la orientación sexual como una categoría protegida. Esta </w:t>
      </w:r>
      <w:r w:rsidR="00684D54" w:rsidRPr="00454C84">
        <w:rPr>
          <w:rFonts w:ascii="Verdana" w:hAnsi="Verdana"/>
          <w:sz w:val="20"/>
          <w:szCs w:val="20"/>
        </w:rPr>
        <w:t>interpretación</w:t>
      </w:r>
      <w:r w:rsidRPr="00454C84">
        <w:rPr>
          <w:rFonts w:ascii="Verdana" w:hAnsi="Verdana"/>
          <w:sz w:val="20"/>
          <w:szCs w:val="20"/>
        </w:rPr>
        <w:t xml:space="preserve"> es congruente, según indicó la Corte, con la propia interpretación que realizó el Tribunal Europeo, al incluir a la orientación sexual como una categoría protegida bajo el artículo 14 del Convenio Europeo de Derechos Humanos, que prohíbe tratos discriminatorios</w:t>
      </w:r>
      <w:r w:rsidRPr="00454C84">
        <w:rPr>
          <w:rStyle w:val="FootnoteReference"/>
          <w:rFonts w:ascii="Verdana" w:hAnsi="Verdana"/>
          <w:sz w:val="20"/>
          <w:szCs w:val="20"/>
        </w:rPr>
        <w:footnoteReference w:id="2"/>
      </w:r>
      <w:r w:rsidRPr="00454C84">
        <w:rPr>
          <w:rFonts w:ascii="Verdana" w:hAnsi="Verdana"/>
          <w:sz w:val="20"/>
          <w:szCs w:val="20"/>
        </w:rPr>
        <w:t>.</w:t>
      </w:r>
    </w:p>
    <w:p w14:paraId="17B2F818" w14:textId="77777777" w:rsidR="00011298" w:rsidRPr="00454C84" w:rsidRDefault="00011298" w:rsidP="00C32B58">
      <w:pPr>
        <w:spacing w:after="0" w:line="240" w:lineRule="auto"/>
        <w:jc w:val="both"/>
        <w:rPr>
          <w:rFonts w:ascii="Verdana" w:hAnsi="Verdana"/>
          <w:sz w:val="20"/>
          <w:szCs w:val="20"/>
        </w:rPr>
      </w:pPr>
    </w:p>
    <w:p w14:paraId="47E47D12" w14:textId="77777777" w:rsidR="00FD1542" w:rsidRPr="00454C84" w:rsidRDefault="00FD1542" w:rsidP="00C32B58">
      <w:pPr>
        <w:spacing w:after="0" w:line="240" w:lineRule="auto"/>
        <w:jc w:val="both"/>
        <w:rPr>
          <w:rFonts w:ascii="Verdana" w:hAnsi="Verdana"/>
          <w:sz w:val="20"/>
          <w:szCs w:val="20"/>
        </w:rPr>
      </w:pPr>
      <w:r w:rsidRPr="00454C84">
        <w:rPr>
          <w:rFonts w:ascii="Verdana" w:hAnsi="Verdana"/>
          <w:sz w:val="20"/>
          <w:szCs w:val="20"/>
        </w:rPr>
        <w:t>En similar sentido,</w:t>
      </w:r>
      <w:r w:rsidR="000A7594" w:rsidRPr="00454C84">
        <w:rPr>
          <w:rFonts w:ascii="Verdana" w:hAnsi="Verdana"/>
          <w:sz w:val="20"/>
          <w:szCs w:val="20"/>
        </w:rPr>
        <w:t xml:space="preserve"> la Corte Interamericana utilizó una metodología parecida</w:t>
      </w:r>
      <w:r w:rsidRPr="00454C84">
        <w:rPr>
          <w:rFonts w:ascii="Verdana" w:hAnsi="Verdana"/>
          <w:sz w:val="20"/>
          <w:szCs w:val="20"/>
        </w:rPr>
        <w:t xml:space="preserve"> en el caso </w:t>
      </w:r>
      <w:r w:rsidRPr="00454C84">
        <w:rPr>
          <w:rFonts w:ascii="Verdana" w:hAnsi="Verdana"/>
          <w:i/>
          <w:sz w:val="20"/>
          <w:szCs w:val="20"/>
        </w:rPr>
        <w:t>Artavia Murillo y otros Vs. Costa Rica</w:t>
      </w:r>
      <w:r w:rsidR="000A7594" w:rsidRPr="00454C84">
        <w:rPr>
          <w:rFonts w:ascii="Verdana" w:hAnsi="Verdana"/>
          <w:i/>
          <w:sz w:val="20"/>
          <w:szCs w:val="20"/>
        </w:rPr>
        <w:t xml:space="preserve">, </w:t>
      </w:r>
      <w:r w:rsidR="000A7594" w:rsidRPr="00454C84">
        <w:rPr>
          <w:rFonts w:ascii="Verdana" w:hAnsi="Verdana"/>
          <w:sz w:val="20"/>
          <w:szCs w:val="20"/>
        </w:rPr>
        <w:t xml:space="preserve">que trata sobre la vulneración al derecho a la vida privada y familiar y el derecho a la </w:t>
      </w:r>
      <w:r w:rsidR="004F14F1" w:rsidRPr="00454C84">
        <w:rPr>
          <w:rFonts w:ascii="Verdana" w:hAnsi="Verdana"/>
          <w:sz w:val="20"/>
          <w:szCs w:val="20"/>
        </w:rPr>
        <w:t>integridad</w:t>
      </w:r>
      <w:r w:rsidR="000A7594" w:rsidRPr="00454C84">
        <w:rPr>
          <w:rFonts w:ascii="Verdana" w:hAnsi="Verdana"/>
          <w:sz w:val="20"/>
          <w:szCs w:val="20"/>
        </w:rPr>
        <w:t xml:space="preserve"> personal en relación con la autonomía persona</w:t>
      </w:r>
      <w:r w:rsidR="00EE6697" w:rsidRPr="00454C84">
        <w:rPr>
          <w:rFonts w:ascii="Verdana" w:hAnsi="Verdana"/>
          <w:sz w:val="20"/>
          <w:szCs w:val="20"/>
        </w:rPr>
        <w:t>l</w:t>
      </w:r>
      <w:r w:rsidR="000A7594" w:rsidRPr="00454C84">
        <w:rPr>
          <w:rFonts w:ascii="Verdana" w:hAnsi="Verdana"/>
          <w:sz w:val="20"/>
          <w:szCs w:val="20"/>
        </w:rPr>
        <w:t xml:space="preserve">, la salud sexual, el derecho de gozar de los beneficios del progreso científico y </w:t>
      </w:r>
      <w:r w:rsidR="004F14F1" w:rsidRPr="00454C84">
        <w:rPr>
          <w:rFonts w:ascii="Verdana" w:hAnsi="Verdana"/>
          <w:sz w:val="20"/>
          <w:szCs w:val="20"/>
        </w:rPr>
        <w:t>tecnológico</w:t>
      </w:r>
      <w:r w:rsidR="000A7594" w:rsidRPr="00454C84">
        <w:rPr>
          <w:rFonts w:ascii="Verdana" w:hAnsi="Verdana"/>
          <w:sz w:val="20"/>
          <w:szCs w:val="20"/>
        </w:rPr>
        <w:t xml:space="preserve"> y el principio de no discriminación, a </w:t>
      </w:r>
      <w:r w:rsidR="004F14F1" w:rsidRPr="00454C84">
        <w:rPr>
          <w:rFonts w:ascii="Verdana" w:hAnsi="Verdana"/>
          <w:sz w:val="20"/>
          <w:szCs w:val="20"/>
        </w:rPr>
        <w:t>diversas</w:t>
      </w:r>
      <w:r w:rsidR="00EE6697" w:rsidRPr="00454C84">
        <w:rPr>
          <w:rFonts w:ascii="Verdana" w:hAnsi="Verdana"/>
          <w:sz w:val="20"/>
          <w:szCs w:val="20"/>
        </w:rPr>
        <w:t xml:space="preserve"> personas debido a la existencia en Costa Rica de</w:t>
      </w:r>
      <w:r w:rsidR="000A7594" w:rsidRPr="00454C84">
        <w:rPr>
          <w:rFonts w:ascii="Verdana" w:hAnsi="Verdana"/>
          <w:sz w:val="20"/>
          <w:szCs w:val="20"/>
        </w:rPr>
        <w:t xml:space="preserve"> una prohibición </w:t>
      </w:r>
      <w:r w:rsidR="00EE6697" w:rsidRPr="00454C84">
        <w:rPr>
          <w:rFonts w:ascii="Verdana" w:hAnsi="Verdana"/>
          <w:sz w:val="20"/>
          <w:szCs w:val="20"/>
        </w:rPr>
        <w:t xml:space="preserve">expresa </w:t>
      </w:r>
      <w:r w:rsidR="000A7594" w:rsidRPr="00454C84">
        <w:rPr>
          <w:rFonts w:ascii="Verdana" w:hAnsi="Verdana"/>
          <w:sz w:val="20"/>
          <w:szCs w:val="20"/>
        </w:rPr>
        <w:t>para la Fecundación In Vitro. En dicho caso, l</w:t>
      </w:r>
      <w:r w:rsidRPr="00454C84">
        <w:rPr>
          <w:rFonts w:ascii="Verdana" w:hAnsi="Verdana"/>
          <w:sz w:val="20"/>
          <w:szCs w:val="20"/>
        </w:rPr>
        <w:t>a Corte Interamericana utilizó diversas citas a la Jurisprudencia del Tribunal Europeo, así como al Tribunal de Justicia de la Unión Europea</w:t>
      </w:r>
      <w:r w:rsidRPr="00454C84">
        <w:rPr>
          <w:rStyle w:val="FootnoteReference"/>
          <w:rFonts w:ascii="Verdana" w:hAnsi="Verdana"/>
          <w:sz w:val="20"/>
          <w:szCs w:val="20"/>
        </w:rPr>
        <w:footnoteReference w:id="3"/>
      </w:r>
      <w:r w:rsidRPr="00454C84">
        <w:rPr>
          <w:rFonts w:ascii="Verdana" w:hAnsi="Verdana"/>
          <w:sz w:val="20"/>
          <w:szCs w:val="20"/>
        </w:rPr>
        <w:t xml:space="preserve"> para observar que ‘‘las tendencias de regulación en el derecho internacional no llevan a la conclusión que el embrión sea tratado de manera igual a una persona o que tenga un derecho a la vida’’</w:t>
      </w:r>
      <w:r w:rsidRPr="00454C84">
        <w:rPr>
          <w:rStyle w:val="FootnoteReference"/>
          <w:rFonts w:ascii="Verdana" w:hAnsi="Verdana"/>
          <w:sz w:val="20"/>
          <w:szCs w:val="20"/>
        </w:rPr>
        <w:footnoteReference w:id="4"/>
      </w:r>
      <w:r w:rsidRPr="00454C84">
        <w:rPr>
          <w:rFonts w:ascii="Verdana" w:hAnsi="Verdana"/>
          <w:sz w:val="20"/>
          <w:szCs w:val="20"/>
        </w:rPr>
        <w:t>.</w:t>
      </w:r>
    </w:p>
    <w:p w14:paraId="239EF8E7" w14:textId="77777777" w:rsidR="00FD1542" w:rsidRPr="00454C84" w:rsidRDefault="00FD1542" w:rsidP="00C32B58">
      <w:pPr>
        <w:spacing w:after="0" w:line="240" w:lineRule="auto"/>
        <w:jc w:val="both"/>
        <w:rPr>
          <w:rFonts w:ascii="Verdana" w:hAnsi="Verdana"/>
          <w:sz w:val="20"/>
          <w:szCs w:val="20"/>
        </w:rPr>
      </w:pPr>
    </w:p>
    <w:p w14:paraId="24BF75D5" w14:textId="77777777" w:rsidR="004F14F1" w:rsidRPr="00454C84" w:rsidRDefault="00EE6697" w:rsidP="00C32B58">
      <w:pPr>
        <w:spacing w:after="0" w:line="240" w:lineRule="auto"/>
        <w:jc w:val="both"/>
        <w:rPr>
          <w:rFonts w:ascii="Verdana" w:hAnsi="Verdana"/>
          <w:sz w:val="20"/>
          <w:szCs w:val="20"/>
        </w:rPr>
      </w:pPr>
      <w:r w:rsidRPr="00454C84">
        <w:rPr>
          <w:rFonts w:ascii="Verdana" w:hAnsi="Verdana"/>
          <w:sz w:val="20"/>
          <w:szCs w:val="20"/>
        </w:rPr>
        <w:t xml:space="preserve">Actuó en similar sentido la Corte, en </w:t>
      </w:r>
      <w:r w:rsidR="004F14F1" w:rsidRPr="00454C84">
        <w:rPr>
          <w:rFonts w:ascii="Verdana" w:hAnsi="Verdana"/>
          <w:sz w:val="20"/>
          <w:szCs w:val="20"/>
        </w:rPr>
        <w:t xml:space="preserve">el caso </w:t>
      </w:r>
      <w:r w:rsidR="004F14F1" w:rsidRPr="00454C84">
        <w:rPr>
          <w:rFonts w:ascii="Verdana" w:hAnsi="Verdana"/>
          <w:i/>
          <w:sz w:val="20"/>
          <w:szCs w:val="20"/>
        </w:rPr>
        <w:t>Sarayaku Vs. Ecuador</w:t>
      </w:r>
      <w:r w:rsidR="004F14F1" w:rsidRPr="00454C84">
        <w:rPr>
          <w:rFonts w:ascii="Verdana" w:hAnsi="Verdana"/>
          <w:sz w:val="20"/>
          <w:szCs w:val="20"/>
        </w:rPr>
        <w:t xml:space="preserve">, que tiene que ver con la responsabilidad internacional del Estado por la vulneración al derecho a la propiedad comunal de los miembros de un pueblo indígena, al haber permitido que una empresa petrolera privada realizara actividades de exploración en su territorio. En este caso la Corte Interamericana </w:t>
      </w:r>
      <w:r w:rsidRPr="00454C84">
        <w:rPr>
          <w:rFonts w:ascii="Verdana" w:hAnsi="Verdana"/>
          <w:sz w:val="20"/>
          <w:szCs w:val="20"/>
        </w:rPr>
        <w:t>hizo</w:t>
      </w:r>
      <w:r w:rsidR="004F14F1" w:rsidRPr="00454C84">
        <w:rPr>
          <w:rFonts w:ascii="Verdana" w:hAnsi="Verdana"/>
          <w:sz w:val="20"/>
          <w:szCs w:val="20"/>
        </w:rPr>
        <w:t xml:space="preserve"> referencia a un</w:t>
      </w:r>
      <w:r w:rsidR="00684D54" w:rsidRPr="00454C84">
        <w:rPr>
          <w:rFonts w:ascii="Verdana" w:hAnsi="Verdana"/>
          <w:sz w:val="20"/>
          <w:szCs w:val="20"/>
        </w:rPr>
        <w:t>a decisión</w:t>
      </w:r>
      <w:r w:rsidR="004F14F1" w:rsidRPr="00454C84">
        <w:rPr>
          <w:rFonts w:ascii="Verdana" w:hAnsi="Verdana"/>
          <w:sz w:val="20"/>
          <w:szCs w:val="20"/>
        </w:rPr>
        <w:t xml:space="preserve"> de la Comisión Africana de Derechos Humanos y de los Pueblos sobre el derecho a la identidad cultural y la dimensión colectiva de la vida cultural de las comunidades</w:t>
      </w:r>
      <w:r w:rsidR="00684D54" w:rsidRPr="00454C84">
        <w:rPr>
          <w:rFonts w:ascii="Verdana" w:hAnsi="Verdana"/>
          <w:sz w:val="20"/>
          <w:szCs w:val="20"/>
        </w:rPr>
        <w:t xml:space="preserve"> y consideró que estos derechos </w:t>
      </w:r>
      <w:r w:rsidR="004F14F1" w:rsidRPr="00454C84">
        <w:rPr>
          <w:rFonts w:ascii="Verdana" w:hAnsi="Verdana"/>
          <w:sz w:val="20"/>
          <w:szCs w:val="20"/>
        </w:rPr>
        <w:t>de naturaleza colectiva de las comunidades indígenas</w:t>
      </w:r>
      <w:r w:rsidR="00684D54" w:rsidRPr="00454C84">
        <w:rPr>
          <w:rFonts w:ascii="Verdana" w:hAnsi="Verdana"/>
          <w:sz w:val="20"/>
          <w:szCs w:val="20"/>
        </w:rPr>
        <w:t xml:space="preserve"> </w:t>
      </w:r>
      <w:r w:rsidR="004F14F1" w:rsidRPr="00454C84">
        <w:rPr>
          <w:rFonts w:ascii="Verdana" w:hAnsi="Verdana"/>
          <w:sz w:val="20"/>
          <w:szCs w:val="20"/>
        </w:rPr>
        <w:t>debe</w:t>
      </w:r>
      <w:r w:rsidR="00684D54" w:rsidRPr="00454C84">
        <w:rPr>
          <w:rFonts w:ascii="Verdana" w:hAnsi="Verdana"/>
          <w:sz w:val="20"/>
          <w:szCs w:val="20"/>
        </w:rPr>
        <w:t>n</w:t>
      </w:r>
      <w:r w:rsidR="004F14F1" w:rsidRPr="00454C84">
        <w:rPr>
          <w:rFonts w:ascii="Verdana" w:hAnsi="Verdana"/>
          <w:sz w:val="20"/>
          <w:szCs w:val="20"/>
        </w:rPr>
        <w:t xml:space="preserve"> ser respetado en una sociedad multicultural, pluralista y democrática</w:t>
      </w:r>
      <w:r w:rsidR="004F14F1" w:rsidRPr="00454C84">
        <w:rPr>
          <w:rStyle w:val="FootnoteReference"/>
          <w:rFonts w:ascii="Verdana" w:hAnsi="Verdana"/>
          <w:sz w:val="20"/>
          <w:szCs w:val="20"/>
        </w:rPr>
        <w:footnoteReference w:id="5"/>
      </w:r>
      <w:r w:rsidR="004F14F1" w:rsidRPr="00454C84">
        <w:rPr>
          <w:rFonts w:ascii="Verdana" w:hAnsi="Verdana"/>
          <w:sz w:val="20"/>
          <w:szCs w:val="20"/>
        </w:rPr>
        <w:t>.</w:t>
      </w:r>
    </w:p>
    <w:p w14:paraId="601843E5" w14:textId="77777777" w:rsidR="004F14F1" w:rsidRPr="00454C84" w:rsidRDefault="004F14F1" w:rsidP="00C32B58">
      <w:pPr>
        <w:spacing w:after="0" w:line="240" w:lineRule="auto"/>
        <w:jc w:val="both"/>
        <w:rPr>
          <w:rFonts w:ascii="Verdana" w:hAnsi="Verdana"/>
          <w:b/>
          <w:sz w:val="20"/>
          <w:szCs w:val="20"/>
        </w:rPr>
      </w:pPr>
    </w:p>
    <w:p w14:paraId="1DF18807" w14:textId="77777777" w:rsidR="00011298" w:rsidRPr="00454C84" w:rsidRDefault="00011298" w:rsidP="00C32B58">
      <w:pPr>
        <w:pStyle w:val="ListParagraph"/>
        <w:numPr>
          <w:ilvl w:val="0"/>
          <w:numId w:val="1"/>
        </w:numPr>
        <w:spacing w:after="0" w:line="240" w:lineRule="auto"/>
        <w:jc w:val="both"/>
        <w:rPr>
          <w:rFonts w:ascii="Verdana" w:hAnsi="Verdana"/>
          <w:b/>
          <w:sz w:val="20"/>
          <w:szCs w:val="20"/>
        </w:rPr>
      </w:pPr>
      <w:r w:rsidRPr="00454C84">
        <w:rPr>
          <w:rFonts w:ascii="Verdana" w:hAnsi="Verdana"/>
          <w:b/>
          <w:sz w:val="20"/>
          <w:szCs w:val="20"/>
        </w:rPr>
        <w:t>Órganos de Tratados de Naciones Unidas</w:t>
      </w:r>
    </w:p>
    <w:p w14:paraId="55FC343B" w14:textId="77777777" w:rsidR="00011298" w:rsidRPr="00454C84" w:rsidRDefault="00011298" w:rsidP="00C32B58">
      <w:pPr>
        <w:spacing w:after="0" w:line="240" w:lineRule="auto"/>
        <w:jc w:val="both"/>
        <w:rPr>
          <w:rFonts w:ascii="Verdana" w:hAnsi="Verdana"/>
          <w:b/>
          <w:sz w:val="20"/>
          <w:szCs w:val="20"/>
        </w:rPr>
      </w:pPr>
    </w:p>
    <w:p w14:paraId="476CA468" w14:textId="77777777" w:rsidR="003852BA" w:rsidRPr="00454C84" w:rsidRDefault="003852BA" w:rsidP="00C32B58">
      <w:pPr>
        <w:spacing w:after="0" w:line="240" w:lineRule="auto"/>
        <w:jc w:val="both"/>
        <w:rPr>
          <w:rFonts w:ascii="Verdana" w:hAnsi="Verdana"/>
          <w:b/>
          <w:sz w:val="20"/>
          <w:szCs w:val="20"/>
        </w:rPr>
      </w:pPr>
      <w:r w:rsidRPr="00454C84">
        <w:rPr>
          <w:rFonts w:ascii="Verdana" w:hAnsi="Verdana"/>
          <w:sz w:val="20"/>
          <w:szCs w:val="20"/>
        </w:rPr>
        <w:t xml:space="preserve">Adicionalmente, la Corte utiliza, tanto las interpretaciones que realizan los órganos de tratados, a través de sus observaciones generales, como su jurisprudencia para dotar de alcance y contenido a algunas disposiciones contenidas en la Convención Americana. </w:t>
      </w:r>
      <w:r w:rsidR="00EE6697" w:rsidRPr="00454C84">
        <w:rPr>
          <w:rFonts w:ascii="Verdana" w:hAnsi="Verdana"/>
          <w:sz w:val="20"/>
          <w:szCs w:val="20"/>
        </w:rPr>
        <w:t xml:space="preserve">En este sentido, por ejemplo en el caso Liakat, sobre derecho a recurrir un fallo penal por altas autoridades estatales, la Corte utilizó tanto la Observación General Nro. 32 del Comité de Derechos Humanos como casos particulares resueltos por dicho </w:t>
      </w:r>
      <w:r w:rsidR="00271EC3" w:rsidRPr="00454C84">
        <w:rPr>
          <w:rFonts w:ascii="Verdana" w:hAnsi="Verdana"/>
          <w:sz w:val="20"/>
          <w:szCs w:val="20"/>
          <w:lang w:val="pt-BR"/>
        </w:rPr>
        <w:t>C</w:t>
      </w:r>
      <w:r w:rsidR="00EE6697" w:rsidRPr="00454C84">
        <w:rPr>
          <w:rFonts w:ascii="Verdana" w:hAnsi="Verdana"/>
          <w:sz w:val="20"/>
          <w:szCs w:val="20"/>
        </w:rPr>
        <w:t>omité</w:t>
      </w:r>
      <w:r w:rsidR="00EE6697" w:rsidRPr="00454C84">
        <w:rPr>
          <w:rStyle w:val="FootnoteReference"/>
          <w:rFonts w:ascii="Verdana" w:hAnsi="Verdana"/>
          <w:sz w:val="20"/>
          <w:szCs w:val="20"/>
        </w:rPr>
        <w:footnoteReference w:id="6"/>
      </w:r>
      <w:r w:rsidR="00EE6697" w:rsidRPr="00454C84">
        <w:rPr>
          <w:rFonts w:ascii="Verdana" w:hAnsi="Verdana"/>
          <w:sz w:val="20"/>
          <w:szCs w:val="20"/>
        </w:rPr>
        <w:t>. Es así, que determinó que</w:t>
      </w:r>
      <w:r w:rsidRPr="00454C84">
        <w:rPr>
          <w:rFonts w:ascii="Verdana" w:hAnsi="Verdana"/>
          <w:sz w:val="20"/>
          <w:szCs w:val="20"/>
        </w:rPr>
        <w:t xml:space="preserve"> ‘‘si bien existe una deferencia a los Estados para regular el ejercicio del recurso, mediante su normativa interna, no pueden establecerse </w:t>
      </w:r>
      <w:r w:rsidRPr="00454C84">
        <w:rPr>
          <w:rFonts w:ascii="Verdana" w:hAnsi="Verdana"/>
          <w:sz w:val="20"/>
          <w:szCs w:val="20"/>
        </w:rPr>
        <w:lastRenderedPageBreak/>
        <w:t>restricciones o requisitos que infrinjan la esencia misma del derecho a recurrir el fallo, o la existencia del mismo’’</w:t>
      </w:r>
      <w:r w:rsidRPr="00454C84">
        <w:rPr>
          <w:rStyle w:val="FootnoteReference"/>
          <w:rFonts w:ascii="Verdana" w:hAnsi="Verdana"/>
          <w:sz w:val="20"/>
          <w:szCs w:val="20"/>
        </w:rPr>
        <w:footnoteReference w:id="7"/>
      </w:r>
      <w:r w:rsidRPr="00454C84">
        <w:rPr>
          <w:rFonts w:ascii="Verdana" w:hAnsi="Verdana"/>
          <w:sz w:val="20"/>
          <w:szCs w:val="20"/>
        </w:rPr>
        <w:t>.</w:t>
      </w:r>
    </w:p>
    <w:p w14:paraId="2DEC15FB" w14:textId="77777777" w:rsidR="00AD2387" w:rsidRPr="00454C84" w:rsidRDefault="00AD2387" w:rsidP="00C32B58">
      <w:pPr>
        <w:spacing w:after="0" w:line="240" w:lineRule="auto"/>
        <w:jc w:val="both"/>
        <w:rPr>
          <w:rFonts w:ascii="Verdana" w:hAnsi="Verdana"/>
          <w:sz w:val="20"/>
          <w:szCs w:val="20"/>
        </w:rPr>
      </w:pPr>
    </w:p>
    <w:p w14:paraId="5513FCBF" w14:textId="77777777" w:rsidR="00011298" w:rsidRPr="00454C84" w:rsidRDefault="00011298" w:rsidP="00C32B58">
      <w:pPr>
        <w:pStyle w:val="ListParagraph"/>
        <w:numPr>
          <w:ilvl w:val="0"/>
          <w:numId w:val="1"/>
        </w:numPr>
        <w:spacing w:after="0" w:line="240" w:lineRule="auto"/>
        <w:jc w:val="both"/>
        <w:rPr>
          <w:rFonts w:ascii="Verdana" w:hAnsi="Verdana"/>
          <w:b/>
          <w:sz w:val="20"/>
          <w:szCs w:val="20"/>
        </w:rPr>
      </w:pPr>
      <w:r w:rsidRPr="00454C84">
        <w:rPr>
          <w:rFonts w:ascii="Verdana" w:hAnsi="Verdana"/>
          <w:b/>
          <w:sz w:val="20"/>
          <w:szCs w:val="20"/>
        </w:rPr>
        <w:t xml:space="preserve">Normas de </w:t>
      </w:r>
      <w:r w:rsidRPr="00454C84">
        <w:rPr>
          <w:rFonts w:ascii="Verdana" w:hAnsi="Verdana"/>
          <w:b/>
          <w:i/>
          <w:sz w:val="20"/>
          <w:szCs w:val="20"/>
        </w:rPr>
        <w:t>soft</w:t>
      </w:r>
      <w:r w:rsidR="003242D4" w:rsidRPr="00454C84">
        <w:rPr>
          <w:rFonts w:ascii="Verdana" w:hAnsi="Verdana"/>
          <w:b/>
          <w:i/>
          <w:sz w:val="20"/>
          <w:szCs w:val="20"/>
        </w:rPr>
        <w:t xml:space="preserve"> </w:t>
      </w:r>
      <w:r w:rsidRPr="00454C84">
        <w:rPr>
          <w:rFonts w:ascii="Verdana" w:hAnsi="Verdana"/>
          <w:b/>
          <w:i/>
          <w:sz w:val="20"/>
          <w:szCs w:val="20"/>
        </w:rPr>
        <w:t>law</w:t>
      </w:r>
    </w:p>
    <w:p w14:paraId="7AD41EEC" w14:textId="77777777" w:rsidR="00011298" w:rsidRPr="00454C84" w:rsidRDefault="00011298" w:rsidP="00C32B58">
      <w:pPr>
        <w:spacing w:after="0" w:line="240" w:lineRule="auto"/>
        <w:jc w:val="both"/>
        <w:rPr>
          <w:rFonts w:ascii="Verdana" w:hAnsi="Verdana"/>
          <w:sz w:val="20"/>
          <w:szCs w:val="20"/>
        </w:rPr>
      </w:pPr>
    </w:p>
    <w:p w14:paraId="36B34762" w14:textId="77777777" w:rsidR="004F14F1" w:rsidRPr="00454C84" w:rsidRDefault="00011298" w:rsidP="00C32B58">
      <w:pPr>
        <w:spacing w:after="0" w:line="240" w:lineRule="auto"/>
        <w:jc w:val="both"/>
        <w:rPr>
          <w:rFonts w:ascii="Verdana" w:hAnsi="Verdana"/>
          <w:sz w:val="20"/>
          <w:szCs w:val="20"/>
        </w:rPr>
      </w:pPr>
      <w:r w:rsidRPr="00454C84">
        <w:rPr>
          <w:rFonts w:ascii="Verdana" w:hAnsi="Verdana"/>
          <w:sz w:val="20"/>
          <w:szCs w:val="20"/>
        </w:rPr>
        <w:t>Por otro lado</w:t>
      </w:r>
      <w:r w:rsidR="004F14F1" w:rsidRPr="00454C84">
        <w:rPr>
          <w:rFonts w:ascii="Verdana" w:hAnsi="Verdana"/>
          <w:sz w:val="20"/>
          <w:szCs w:val="20"/>
        </w:rPr>
        <w:t>, la Corte utiliza constantemente resoluciones y declaraciones, tanto de la Asamblea General de las Naciones Unidas o de su Consejo de Seguridad, como de la Asamblea General de la OEA o de su Consejo Permanente, así como principios, códigos de conducta y guías de expertos internacionales y otras fuentes de carácter aspiracional que resultan particularmente relevantes para definir el contenido y alcance de las obligaciones establecidas en la Convención Americana. De esta manera, por ejemplo, el Tribunal ha utilizado los Principios Rectores de los Desplazamientos Internos emitidos en 1998 por el Representante del Secretario General de las Naciones Unidas para definir el contenido y alcance del derecho a la circulación y residencia, consagrado en el artículo 22 de la Convención, en</w:t>
      </w:r>
      <w:r w:rsidR="00EE6697" w:rsidRPr="00454C84">
        <w:rPr>
          <w:rFonts w:ascii="Verdana" w:hAnsi="Verdana"/>
          <w:sz w:val="20"/>
          <w:szCs w:val="20"/>
        </w:rPr>
        <w:t xml:space="preserve"> un caso que tenía que ver con</w:t>
      </w:r>
      <w:r w:rsidR="004F14F1" w:rsidRPr="00454C84">
        <w:rPr>
          <w:rFonts w:ascii="Verdana" w:hAnsi="Verdana"/>
          <w:sz w:val="20"/>
          <w:szCs w:val="20"/>
        </w:rPr>
        <w:t xml:space="preserve"> desplazamiento interno</w:t>
      </w:r>
      <w:r w:rsidR="004F14F1" w:rsidRPr="00454C84">
        <w:rPr>
          <w:rStyle w:val="FootnoteReference"/>
          <w:rFonts w:ascii="Verdana" w:hAnsi="Verdana"/>
          <w:sz w:val="20"/>
          <w:szCs w:val="20"/>
        </w:rPr>
        <w:footnoteReference w:id="8"/>
      </w:r>
      <w:r w:rsidR="00177EF3" w:rsidRPr="00454C84">
        <w:rPr>
          <w:rFonts w:ascii="Verdana" w:hAnsi="Verdana"/>
          <w:sz w:val="20"/>
          <w:szCs w:val="20"/>
          <w:lang w:val="pt-BR"/>
        </w:rPr>
        <w:t xml:space="preserve"> (Caso de </w:t>
      </w:r>
      <w:proofErr w:type="spellStart"/>
      <w:r w:rsidR="00177EF3" w:rsidRPr="00454C84">
        <w:rPr>
          <w:rFonts w:ascii="Verdana" w:hAnsi="Verdana"/>
          <w:sz w:val="20"/>
          <w:szCs w:val="20"/>
          <w:lang w:val="pt-BR"/>
        </w:rPr>
        <w:t>las</w:t>
      </w:r>
      <w:proofErr w:type="spellEnd"/>
      <w:r w:rsidR="00177EF3" w:rsidRPr="00454C84">
        <w:rPr>
          <w:rFonts w:ascii="Verdana" w:hAnsi="Verdana"/>
          <w:sz w:val="20"/>
          <w:szCs w:val="20"/>
          <w:lang w:val="pt-BR"/>
        </w:rPr>
        <w:t xml:space="preserve"> </w:t>
      </w:r>
      <w:proofErr w:type="spellStart"/>
      <w:r w:rsidR="00177EF3" w:rsidRPr="00454C84">
        <w:rPr>
          <w:rFonts w:ascii="Verdana" w:hAnsi="Verdana"/>
          <w:sz w:val="20"/>
          <w:szCs w:val="20"/>
          <w:lang w:val="pt-BR"/>
        </w:rPr>
        <w:t>Masacres</w:t>
      </w:r>
      <w:proofErr w:type="spellEnd"/>
      <w:r w:rsidR="00177EF3" w:rsidRPr="00454C84">
        <w:rPr>
          <w:rFonts w:ascii="Verdana" w:hAnsi="Verdana"/>
          <w:sz w:val="20"/>
          <w:szCs w:val="20"/>
          <w:lang w:val="pt-BR"/>
        </w:rPr>
        <w:t xml:space="preserve"> de </w:t>
      </w:r>
      <w:proofErr w:type="spellStart"/>
      <w:r w:rsidR="00AA6B8D" w:rsidRPr="00454C84">
        <w:rPr>
          <w:rFonts w:ascii="Verdana" w:hAnsi="Verdana"/>
          <w:sz w:val="20"/>
          <w:szCs w:val="20"/>
          <w:lang w:val="pt-BR"/>
        </w:rPr>
        <w:t>Ituango</w:t>
      </w:r>
      <w:proofErr w:type="spellEnd"/>
      <w:r w:rsidR="00AA6B8D" w:rsidRPr="00454C84">
        <w:rPr>
          <w:rFonts w:ascii="Verdana" w:hAnsi="Verdana"/>
          <w:sz w:val="20"/>
          <w:szCs w:val="20"/>
          <w:lang w:val="pt-BR"/>
        </w:rPr>
        <w:t xml:space="preserve"> vs. </w:t>
      </w:r>
      <w:proofErr w:type="spellStart"/>
      <w:r w:rsidR="00AA6B8D" w:rsidRPr="00454C84">
        <w:rPr>
          <w:rFonts w:ascii="Verdana" w:hAnsi="Verdana"/>
          <w:sz w:val="20"/>
          <w:szCs w:val="20"/>
          <w:lang w:val="pt-BR"/>
        </w:rPr>
        <w:t>Colombia</w:t>
      </w:r>
      <w:proofErr w:type="spellEnd"/>
      <w:r w:rsidR="00AA6B8D" w:rsidRPr="00454C84">
        <w:rPr>
          <w:rFonts w:ascii="Verdana" w:hAnsi="Verdana"/>
          <w:sz w:val="20"/>
          <w:szCs w:val="20"/>
          <w:lang w:val="pt-BR"/>
        </w:rPr>
        <w:t>)</w:t>
      </w:r>
      <w:r w:rsidR="004F14F1" w:rsidRPr="00454C84">
        <w:rPr>
          <w:rFonts w:ascii="Verdana" w:hAnsi="Verdana"/>
          <w:sz w:val="20"/>
          <w:szCs w:val="20"/>
        </w:rPr>
        <w:t xml:space="preserve">. </w:t>
      </w:r>
    </w:p>
    <w:p w14:paraId="16C659FD" w14:textId="77777777" w:rsidR="00AC208D" w:rsidRPr="00454C84" w:rsidRDefault="00AC208D" w:rsidP="00C32B58">
      <w:pPr>
        <w:spacing w:after="0" w:line="240" w:lineRule="auto"/>
        <w:jc w:val="both"/>
        <w:rPr>
          <w:rFonts w:ascii="Verdana" w:hAnsi="Verdana"/>
          <w:sz w:val="20"/>
          <w:szCs w:val="20"/>
        </w:rPr>
      </w:pPr>
    </w:p>
    <w:p w14:paraId="5276FB27" w14:textId="77777777" w:rsidR="004F14F1" w:rsidRPr="00454C84" w:rsidRDefault="00011298" w:rsidP="00C32B58">
      <w:pPr>
        <w:pStyle w:val="ListParagraph"/>
        <w:numPr>
          <w:ilvl w:val="0"/>
          <w:numId w:val="1"/>
        </w:numPr>
        <w:spacing w:after="0" w:line="240" w:lineRule="auto"/>
        <w:jc w:val="both"/>
        <w:rPr>
          <w:rFonts w:ascii="Verdana" w:hAnsi="Verdana"/>
          <w:b/>
          <w:sz w:val="20"/>
          <w:szCs w:val="20"/>
        </w:rPr>
      </w:pPr>
      <w:r w:rsidRPr="00454C84">
        <w:rPr>
          <w:rFonts w:ascii="Verdana" w:hAnsi="Verdana"/>
          <w:b/>
          <w:sz w:val="20"/>
          <w:szCs w:val="20"/>
        </w:rPr>
        <w:t>Procedimientos Especiales del Consejo de Derechos Humanos de las Naciones Unidas</w:t>
      </w:r>
    </w:p>
    <w:p w14:paraId="398DE282" w14:textId="77777777" w:rsidR="004F14F1" w:rsidRPr="00454C84" w:rsidRDefault="004F14F1" w:rsidP="00C32B58">
      <w:pPr>
        <w:spacing w:after="0" w:line="240" w:lineRule="auto"/>
        <w:jc w:val="both"/>
        <w:rPr>
          <w:rFonts w:ascii="Verdana" w:hAnsi="Verdana"/>
          <w:sz w:val="20"/>
          <w:szCs w:val="20"/>
        </w:rPr>
      </w:pPr>
    </w:p>
    <w:p w14:paraId="133758D1" w14:textId="77777777" w:rsidR="00C87B30" w:rsidRPr="00454C84" w:rsidRDefault="00011298" w:rsidP="00C32B58">
      <w:pPr>
        <w:spacing w:after="0" w:line="240" w:lineRule="auto"/>
        <w:jc w:val="both"/>
        <w:rPr>
          <w:rFonts w:ascii="Verdana" w:hAnsi="Verdana"/>
          <w:sz w:val="20"/>
          <w:szCs w:val="20"/>
        </w:rPr>
      </w:pPr>
      <w:r w:rsidRPr="00454C84">
        <w:rPr>
          <w:rFonts w:ascii="Verdana" w:hAnsi="Verdana" w:cs="Arial"/>
          <w:sz w:val="20"/>
          <w:szCs w:val="20"/>
          <w:lang w:val="es-ES"/>
        </w:rPr>
        <w:t>E</w:t>
      </w:r>
      <w:r w:rsidR="00AC208D" w:rsidRPr="00454C84">
        <w:rPr>
          <w:rFonts w:ascii="Verdana" w:hAnsi="Verdana" w:cs="Arial"/>
          <w:sz w:val="20"/>
          <w:szCs w:val="20"/>
          <w:lang w:val="es-ES"/>
        </w:rPr>
        <w:t>xisten otras formas de interacción entre la Corte I</w:t>
      </w:r>
      <w:r w:rsidRPr="00454C84">
        <w:rPr>
          <w:rFonts w:ascii="Verdana" w:hAnsi="Verdana" w:cs="Arial"/>
          <w:sz w:val="20"/>
          <w:szCs w:val="20"/>
          <w:lang w:val="es-ES"/>
        </w:rPr>
        <w:t>nteramericana y los órganos de Naciones U</w:t>
      </w:r>
      <w:r w:rsidR="00AC208D" w:rsidRPr="00454C84">
        <w:rPr>
          <w:rFonts w:ascii="Verdana" w:hAnsi="Verdana" w:cs="Arial"/>
          <w:sz w:val="20"/>
          <w:szCs w:val="20"/>
          <w:lang w:val="es-ES"/>
        </w:rPr>
        <w:t xml:space="preserve">nidas a la hora de construir estándares internacionales en materia de derechos humanos. </w:t>
      </w:r>
      <w:r w:rsidRPr="00454C84">
        <w:rPr>
          <w:rFonts w:ascii="Verdana" w:hAnsi="Verdana" w:cs="Arial"/>
          <w:sz w:val="20"/>
          <w:szCs w:val="20"/>
          <w:lang w:val="es-ES"/>
        </w:rPr>
        <w:t>En este sentido, en relación con el</w:t>
      </w:r>
      <w:r w:rsidR="00AC208D" w:rsidRPr="00454C84">
        <w:rPr>
          <w:rFonts w:ascii="Verdana" w:hAnsi="Verdana" w:cs="Arial"/>
          <w:sz w:val="20"/>
          <w:szCs w:val="20"/>
          <w:lang w:val="es-ES"/>
        </w:rPr>
        <w:t xml:space="preserve"> sistema universal, </w:t>
      </w:r>
      <w:r w:rsidR="00AC208D" w:rsidRPr="00454C84">
        <w:rPr>
          <w:rFonts w:ascii="Verdana" w:hAnsi="Verdana"/>
          <w:sz w:val="20"/>
          <w:szCs w:val="20"/>
        </w:rPr>
        <w:t>en sus sentencias la Corte ha reconocido los aportes de los procedimientos especiales del Consejo de Derechos Humanos de la ONU, que le han permitido adoptar</w:t>
      </w:r>
      <w:r w:rsidR="00C87B30" w:rsidRPr="00454C84">
        <w:rPr>
          <w:rFonts w:ascii="Verdana" w:hAnsi="Verdana"/>
          <w:sz w:val="20"/>
          <w:szCs w:val="20"/>
        </w:rPr>
        <w:t xml:space="preserve"> diversos</w:t>
      </w:r>
      <w:r w:rsidR="00AC208D" w:rsidRPr="00454C84">
        <w:rPr>
          <w:rFonts w:ascii="Verdana" w:hAnsi="Verdana"/>
          <w:sz w:val="20"/>
          <w:szCs w:val="20"/>
        </w:rPr>
        <w:t xml:space="preserve"> criterios</w:t>
      </w:r>
      <w:r w:rsidR="00C87B30" w:rsidRPr="00454C84">
        <w:rPr>
          <w:rFonts w:ascii="Verdana" w:hAnsi="Verdana"/>
          <w:sz w:val="20"/>
          <w:szCs w:val="20"/>
        </w:rPr>
        <w:t>. En este se</w:t>
      </w:r>
      <w:r w:rsidR="007A62ED" w:rsidRPr="00454C84">
        <w:rPr>
          <w:rFonts w:ascii="Verdana" w:hAnsi="Verdana"/>
          <w:sz w:val="20"/>
          <w:szCs w:val="20"/>
        </w:rPr>
        <w:t xml:space="preserve">ntido, por ejemplo, el Tribunal </w:t>
      </w:r>
      <w:r w:rsidR="003242D4" w:rsidRPr="00454C84">
        <w:rPr>
          <w:rFonts w:ascii="Verdana" w:hAnsi="Verdana"/>
          <w:sz w:val="20"/>
          <w:szCs w:val="20"/>
        </w:rPr>
        <w:t>recibió</w:t>
      </w:r>
      <w:r w:rsidR="007A62ED" w:rsidRPr="00454C84">
        <w:rPr>
          <w:rFonts w:ascii="Verdana" w:hAnsi="Verdana"/>
          <w:sz w:val="20"/>
          <w:szCs w:val="20"/>
        </w:rPr>
        <w:t xml:space="preserve"> el peritaje de Hina Jilani y los informes elaborados por ella como Relatora Especial sobre la situación y los defensores de derechos humanos para determinar que dichas actividades pueden ejercerse de forma intermitente u ocasional</w:t>
      </w:r>
      <w:r w:rsidR="007A62ED" w:rsidRPr="00454C84">
        <w:rPr>
          <w:rStyle w:val="FootnoteReference"/>
          <w:rFonts w:ascii="Verdana" w:hAnsi="Verdana"/>
          <w:sz w:val="20"/>
          <w:szCs w:val="20"/>
        </w:rPr>
        <w:footnoteReference w:id="9"/>
      </w:r>
      <w:r w:rsidR="007A62ED" w:rsidRPr="00454C84">
        <w:rPr>
          <w:rFonts w:ascii="Verdana" w:hAnsi="Verdana"/>
          <w:sz w:val="20"/>
          <w:szCs w:val="20"/>
        </w:rPr>
        <w:t>.</w:t>
      </w:r>
    </w:p>
    <w:p w14:paraId="4D56F742" w14:textId="77777777" w:rsidR="00C87B30" w:rsidRPr="00454C84" w:rsidRDefault="00C87B30" w:rsidP="00C32B58">
      <w:pPr>
        <w:spacing w:after="0" w:line="240" w:lineRule="auto"/>
        <w:jc w:val="both"/>
        <w:rPr>
          <w:rFonts w:ascii="Verdana" w:hAnsi="Verdana"/>
          <w:sz w:val="20"/>
          <w:szCs w:val="20"/>
        </w:rPr>
      </w:pPr>
    </w:p>
    <w:p w14:paraId="1C5874B2" w14:textId="77777777" w:rsidR="00C21665" w:rsidRPr="00454C84" w:rsidRDefault="00C21665" w:rsidP="00C32B58">
      <w:pPr>
        <w:spacing w:after="0" w:line="240" w:lineRule="auto"/>
        <w:jc w:val="both"/>
        <w:rPr>
          <w:rFonts w:ascii="Verdana" w:hAnsi="Verdana"/>
          <w:sz w:val="20"/>
          <w:szCs w:val="20"/>
        </w:rPr>
      </w:pPr>
      <w:r w:rsidRPr="00454C84">
        <w:rPr>
          <w:rFonts w:ascii="Verdana" w:hAnsi="Verdana"/>
          <w:sz w:val="20"/>
          <w:szCs w:val="20"/>
        </w:rPr>
        <w:t xml:space="preserve">Igualmente, la Corte ha fundamentado sus consideraciones en torno a la posibilidad de que la violencia contra la mujer </w:t>
      </w:r>
      <w:r w:rsidR="00F5103A" w:rsidRPr="00454C84">
        <w:rPr>
          <w:rFonts w:ascii="Verdana" w:hAnsi="Verdana"/>
          <w:sz w:val="20"/>
          <w:szCs w:val="20"/>
        </w:rPr>
        <w:t xml:space="preserve">y niñas </w:t>
      </w:r>
      <w:r w:rsidRPr="00454C84">
        <w:rPr>
          <w:rFonts w:ascii="Verdana" w:hAnsi="Verdana"/>
          <w:sz w:val="20"/>
          <w:szCs w:val="20"/>
        </w:rPr>
        <w:t xml:space="preserve">en el marco de un conflicto armado sea utilizada como </w:t>
      </w:r>
      <w:r w:rsidR="00F5103A" w:rsidRPr="00454C84">
        <w:rPr>
          <w:rFonts w:ascii="Verdana" w:hAnsi="Verdana"/>
          <w:sz w:val="20"/>
          <w:szCs w:val="20"/>
        </w:rPr>
        <w:t>‘‘</w:t>
      </w:r>
      <w:r w:rsidRPr="00454C84">
        <w:rPr>
          <w:rFonts w:ascii="Verdana" w:hAnsi="Verdana"/>
          <w:sz w:val="20"/>
          <w:szCs w:val="20"/>
        </w:rPr>
        <w:t xml:space="preserve">un medio de </w:t>
      </w:r>
      <w:r w:rsidR="00F5103A" w:rsidRPr="00454C84">
        <w:rPr>
          <w:rFonts w:ascii="Verdana" w:hAnsi="Verdana"/>
          <w:sz w:val="20"/>
          <w:szCs w:val="20"/>
        </w:rPr>
        <w:t xml:space="preserve">simbólico </w:t>
      </w:r>
      <w:r w:rsidRPr="00454C84">
        <w:rPr>
          <w:rFonts w:ascii="Verdana" w:hAnsi="Verdana"/>
          <w:sz w:val="20"/>
          <w:szCs w:val="20"/>
        </w:rPr>
        <w:t>represión y castigo</w:t>
      </w:r>
      <w:r w:rsidR="00DB1736" w:rsidRPr="00454C84">
        <w:rPr>
          <w:rFonts w:ascii="Verdana" w:hAnsi="Verdana"/>
          <w:sz w:val="20"/>
          <w:szCs w:val="20"/>
        </w:rPr>
        <w:t>’’. E</w:t>
      </w:r>
      <w:r w:rsidR="00F5103A" w:rsidRPr="00454C84">
        <w:rPr>
          <w:rFonts w:ascii="Verdana" w:hAnsi="Verdana"/>
          <w:sz w:val="20"/>
          <w:szCs w:val="20"/>
        </w:rPr>
        <w:t xml:space="preserve">n los casos </w:t>
      </w:r>
      <w:r w:rsidR="00F5103A" w:rsidRPr="00454C84">
        <w:rPr>
          <w:rFonts w:ascii="Verdana" w:hAnsi="Verdana"/>
          <w:i/>
          <w:sz w:val="20"/>
          <w:szCs w:val="20"/>
        </w:rPr>
        <w:t xml:space="preserve">Espinoza Gonzáles </w:t>
      </w:r>
      <w:r w:rsidR="00F5103A" w:rsidRPr="00454C84">
        <w:rPr>
          <w:rFonts w:ascii="Verdana" w:hAnsi="Verdana"/>
          <w:sz w:val="20"/>
          <w:szCs w:val="20"/>
        </w:rPr>
        <w:t>y</w:t>
      </w:r>
      <w:r w:rsidR="00F5103A" w:rsidRPr="00454C84">
        <w:rPr>
          <w:rFonts w:ascii="Verdana" w:hAnsi="Verdana"/>
          <w:i/>
          <w:sz w:val="20"/>
          <w:szCs w:val="20"/>
        </w:rPr>
        <w:t xml:space="preserve"> Masacre de El Mozote y lugares aledaños,</w:t>
      </w:r>
      <w:r w:rsidR="00DB1736" w:rsidRPr="00454C84">
        <w:rPr>
          <w:rFonts w:ascii="Verdana" w:hAnsi="Verdana"/>
          <w:i/>
          <w:sz w:val="20"/>
          <w:szCs w:val="20"/>
        </w:rPr>
        <w:t xml:space="preserve"> </w:t>
      </w:r>
      <w:r w:rsidR="00DB1736" w:rsidRPr="00454C84">
        <w:rPr>
          <w:rFonts w:ascii="Verdana" w:hAnsi="Verdana"/>
          <w:sz w:val="20"/>
          <w:szCs w:val="20"/>
        </w:rPr>
        <w:t>realizó estas determinaciones</w:t>
      </w:r>
      <w:r w:rsidR="00F5103A" w:rsidRPr="00454C84">
        <w:rPr>
          <w:rFonts w:ascii="Verdana" w:hAnsi="Verdana"/>
          <w:i/>
          <w:sz w:val="20"/>
          <w:szCs w:val="20"/>
        </w:rPr>
        <w:t xml:space="preserve"> </w:t>
      </w:r>
      <w:r w:rsidR="00F5103A" w:rsidRPr="00454C84">
        <w:rPr>
          <w:rFonts w:ascii="Verdana" w:hAnsi="Verdana"/>
          <w:sz w:val="20"/>
          <w:szCs w:val="20"/>
        </w:rPr>
        <w:t>basándose en un informe de la Relatora Especial sobre la violencia contra la mujer, sus causas y consecuencias</w:t>
      </w:r>
      <w:r w:rsidR="00F5103A" w:rsidRPr="00454C84">
        <w:rPr>
          <w:rStyle w:val="FootnoteReference"/>
          <w:rFonts w:ascii="Verdana" w:hAnsi="Verdana"/>
          <w:sz w:val="20"/>
          <w:szCs w:val="20"/>
        </w:rPr>
        <w:footnoteReference w:id="10"/>
      </w:r>
      <w:r w:rsidR="00F5103A" w:rsidRPr="00454C84">
        <w:rPr>
          <w:rFonts w:ascii="Verdana" w:hAnsi="Verdana"/>
          <w:sz w:val="20"/>
          <w:szCs w:val="20"/>
        </w:rPr>
        <w:t>.</w:t>
      </w:r>
    </w:p>
    <w:p w14:paraId="0881A2B7" w14:textId="77777777" w:rsidR="00AC208D" w:rsidRPr="00454C84" w:rsidRDefault="00AC208D" w:rsidP="00C32B58">
      <w:pPr>
        <w:spacing w:after="0" w:line="240" w:lineRule="auto"/>
        <w:jc w:val="both"/>
        <w:rPr>
          <w:rFonts w:ascii="Verdana" w:hAnsi="Verdana"/>
          <w:sz w:val="20"/>
          <w:szCs w:val="20"/>
        </w:rPr>
      </w:pPr>
    </w:p>
    <w:p w14:paraId="704BF5FB" w14:textId="77777777" w:rsidR="00011298" w:rsidRPr="00454C84" w:rsidRDefault="00F5103A" w:rsidP="00C32B58">
      <w:pPr>
        <w:spacing w:after="0" w:line="240" w:lineRule="auto"/>
        <w:jc w:val="both"/>
        <w:rPr>
          <w:rFonts w:ascii="Verdana" w:hAnsi="Verdana"/>
          <w:sz w:val="20"/>
          <w:szCs w:val="20"/>
        </w:rPr>
      </w:pPr>
      <w:r w:rsidRPr="00454C84">
        <w:rPr>
          <w:rFonts w:ascii="Verdana" w:hAnsi="Verdana"/>
          <w:sz w:val="20"/>
          <w:szCs w:val="20"/>
        </w:rPr>
        <w:t xml:space="preserve">Adicionalmente, la Corte también ha adoptado criterios en torno a considerar las amnistías como obstáculos para investigar, juzgar y, de ser el caso sancionar a los responsables de graves violaciones a los derechos humanos. </w:t>
      </w:r>
      <w:r w:rsidR="00EE6697" w:rsidRPr="00454C84">
        <w:rPr>
          <w:rFonts w:ascii="Verdana" w:hAnsi="Verdana"/>
          <w:sz w:val="20"/>
          <w:szCs w:val="20"/>
        </w:rPr>
        <w:t>Al respecto</w:t>
      </w:r>
      <w:r w:rsidRPr="00454C84">
        <w:rPr>
          <w:rFonts w:ascii="Verdana" w:hAnsi="Verdana"/>
          <w:sz w:val="20"/>
          <w:szCs w:val="20"/>
        </w:rPr>
        <w:t xml:space="preserve">, en los casos </w:t>
      </w:r>
      <w:r w:rsidRPr="00454C84">
        <w:rPr>
          <w:rFonts w:ascii="Verdana" w:hAnsi="Verdana"/>
          <w:i/>
          <w:sz w:val="20"/>
          <w:szCs w:val="20"/>
        </w:rPr>
        <w:t xml:space="preserve">Gelman </w:t>
      </w:r>
      <w:r w:rsidRPr="00454C84">
        <w:rPr>
          <w:rFonts w:ascii="Verdana" w:hAnsi="Verdana"/>
          <w:sz w:val="20"/>
          <w:szCs w:val="20"/>
        </w:rPr>
        <w:t xml:space="preserve">y </w:t>
      </w:r>
      <w:r w:rsidRPr="00454C84">
        <w:rPr>
          <w:rFonts w:ascii="Verdana" w:hAnsi="Verdana"/>
          <w:i/>
          <w:sz w:val="20"/>
          <w:szCs w:val="20"/>
        </w:rPr>
        <w:t>Gomes Lund y otros</w:t>
      </w:r>
      <w:r w:rsidRPr="00454C84">
        <w:rPr>
          <w:rFonts w:ascii="Verdana" w:hAnsi="Verdana"/>
          <w:sz w:val="20"/>
          <w:szCs w:val="20"/>
        </w:rPr>
        <w:t xml:space="preserve"> la Corte recordó </w:t>
      </w:r>
      <w:r w:rsidRPr="00454C84">
        <w:rPr>
          <w:rFonts w:ascii="Verdana" w:hAnsi="Verdana"/>
          <w:sz w:val="20"/>
          <w:szCs w:val="20"/>
          <w:lang w:val="es-ES_tradnl"/>
        </w:rPr>
        <w:t xml:space="preserve">lo manifestado por el Grupo de Trabajo </w:t>
      </w:r>
      <w:r w:rsidR="003242D4" w:rsidRPr="00454C84">
        <w:rPr>
          <w:rFonts w:ascii="Verdana" w:hAnsi="Verdana"/>
          <w:sz w:val="20"/>
          <w:szCs w:val="20"/>
          <w:lang w:val="es-ES_tradnl"/>
        </w:rPr>
        <w:t>sobre Desapariciones Forzadas</w:t>
      </w:r>
      <w:r w:rsidRPr="00454C84">
        <w:rPr>
          <w:rFonts w:ascii="Verdana" w:hAnsi="Verdana"/>
          <w:sz w:val="20"/>
          <w:szCs w:val="20"/>
          <w:lang w:val="es-ES_tradnl"/>
        </w:rPr>
        <w:t xml:space="preserve">, al considerar que “una ley de amnistía es contraria a las disposiciones de la Declaración, incluso cuando haya sido aprobada en referendo o procedimiento de consulta similar, si, directa o indirectamente, a causa de su </w:t>
      </w:r>
      <w:r w:rsidRPr="00454C84">
        <w:rPr>
          <w:rFonts w:ascii="Verdana" w:hAnsi="Verdana"/>
          <w:sz w:val="20"/>
          <w:szCs w:val="20"/>
          <w:lang w:val="es-ES_tradnl"/>
        </w:rPr>
        <w:lastRenderedPageBreak/>
        <w:t>aplicación o implementación cesa la obligación de un Estado de investigar, procesar y castigar a los responsables de las desapariciones</w:t>
      </w:r>
      <w:r w:rsidR="002B10DF" w:rsidRPr="00454C84">
        <w:rPr>
          <w:rFonts w:ascii="Verdana" w:hAnsi="Verdana"/>
          <w:sz w:val="20"/>
          <w:szCs w:val="20"/>
          <w:lang w:val="es-ES_tradnl"/>
        </w:rPr>
        <w:t>’’</w:t>
      </w:r>
      <w:r w:rsidR="002B10DF" w:rsidRPr="00454C84">
        <w:rPr>
          <w:rStyle w:val="FootnoteReference"/>
          <w:rFonts w:ascii="Verdana" w:hAnsi="Verdana"/>
          <w:sz w:val="20"/>
          <w:szCs w:val="20"/>
          <w:lang w:val="es-ES_tradnl"/>
        </w:rPr>
        <w:footnoteReference w:id="11"/>
      </w:r>
      <w:r w:rsidR="002B10DF" w:rsidRPr="00454C84">
        <w:rPr>
          <w:rFonts w:ascii="Verdana" w:hAnsi="Verdana"/>
          <w:sz w:val="20"/>
          <w:szCs w:val="20"/>
          <w:lang w:val="es-ES_tradnl"/>
        </w:rPr>
        <w:t>.</w:t>
      </w:r>
    </w:p>
    <w:p w14:paraId="2D28A488" w14:textId="77777777" w:rsidR="00AC208D" w:rsidRPr="00454C84" w:rsidRDefault="00AC208D" w:rsidP="00C32B58">
      <w:pPr>
        <w:spacing w:after="0" w:line="240" w:lineRule="auto"/>
        <w:jc w:val="both"/>
        <w:rPr>
          <w:rFonts w:ascii="Verdana" w:hAnsi="Verdana"/>
          <w:sz w:val="20"/>
          <w:szCs w:val="20"/>
        </w:rPr>
      </w:pPr>
    </w:p>
    <w:p w14:paraId="0B3CC31C" w14:textId="77777777" w:rsidR="00AC208D" w:rsidRPr="00454C84" w:rsidRDefault="002B10DF" w:rsidP="00C32B58">
      <w:pPr>
        <w:spacing w:after="0" w:line="240" w:lineRule="auto"/>
        <w:jc w:val="both"/>
        <w:rPr>
          <w:rFonts w:ascii="Verdana" w:hAnsi="Verdana"/>
          <w:sz w:val="20"/>
          <w:szCs w:val="20"/>
        </w:rPr>
      </w:pPr>
      <w:r w:rsidRPr="00454C84">
        <w:rPr>
          <w:rFonts w:ascii="Verdana" w:hAnsi="Verdana"/>
          <w:sz w:val="20"/>
          <w:szCs w:val="20"/>
        </w:rPr>
        <w:t xml:space="preserve">De la misma manera, </w:t>
      </w:r>
      <w:r w:rsidR="00046ADE" w:rsidRPr="00454C84">
        <w:rPr>
          <w:rFonts w:ascii="Verdana" w:hAnsi="Verdana"/>
          <w:sz w:val="20"/>
          <w:szCs w:val="20"/>
        </w:rPr>
        <w:t xml:space="preserve">en el caso </w:t>
      </w:r>
      <w:r w:rsidR="00046ADE" w:rsidRPr="00454C84">
        <w:rPr>
          <w:rFonts w:ascii="Verdana" w:hAnsi="Verdana"/>
          <w:i/>
          <w:sz w:val="20"/>
          <w:szCs w:val="20"/>
        </w:rPr>
        <w:t>Norín Catrimán Vs. Chile</w:t>
      </w:r>
      <w:r w:rsidR="00046ADE" w:rsidRPr="00454C84">
        <w:rPr>
          <w:rFonts w:ascii="Verdana" w:hAnsi="Verdana"/>
          <w:sz w:val="20"/>
          <w:szCs w:val="20"/>
        </w:rPr>
        <w:t xml:space="preserve"> el Informe del Relator Especial</w:t>
      </w:r>
      <w:r w:rsidR="006B28A7" w:rsidRPr="00454C84">
        <w:rPr>
          <w:rFonts w:ascii="Verdana" w:hAnsi="Verdana"/>
          <w:sz w:val="20"/>
          <w:szCs w:val="20"/>
        </w:rPr>
        <w:t xml:space="preserve"> </w:t>
      </w:r>
      <w:r w:rsidR="00046ADE" w:rsidRPr="00454C84">
        <w:rPr>
          <w:rFonts w:ascii="Verdana" w:hAnsi="Verdana"/>
          <w:sz w:val="20"/>
          <w:szCs w:val="20"/>
        </w:rPr>
        <w:t xml:space="preserve">de Naciones Unidas sobre la promoción y la protección de los derechos humanos y las libertades </w:t>
      </w:r>
      <w:r w:rsidR="006B28A7" w:rsidRPr="00454C84">
        <w:rPr>
          <w:rFonts w:ascii="Verdana" w:hAnsi="Verdana"/>
          <w:sz w:val="20"/>
          <w:szCs w:val="20"/>
        </w:rPr>
        <w:t>fundamentales</w:t>
      </w:r>
      <w:r w:rsidR="00046ADE" w:rsidRPr="00454C84">
        <w:rPr>
          <w:rFonts w:ascii="Verdana" w:hAnsi="Verdana"/>
          <w:sz w:val="20"/>
          <w:szCs w:val="20"/>
        </w:rPr>
        <w:t xml:space="preserve"> en la lucha contra el terrorismo </w:t>
      </w:r>
      <w:r w:rsidR="00DB1736" w:rsidRPr="00454C84">
        <w:rPr>
          <w:rFonts w:ascii="Verdana" w:hAnsi="Verdana"/>
          <w:sz w:val="20"/>
          <w:szCs w:val="20"/>
        </w:rPr>
        <w:t>fue perit</w:t>
      </w:r>
      <w:r w:rsidR="00390DD6" w:rsidRPr="00454C84">
        <w:rPr>
          <w:rFonts w:ascii="Verdana" w:hAnsi="Verdana"/>
          <w:sz w:val="20"/>
          <w:szCs w:val="20"/>
          <w:lang w:val="pt-BR"/>
        </w:rPr>
        <w:t>o</w:t>
      </w:r>
      <w:r w:rsidR="00C114C0" w:rsidRPr="00454C84">
        <w:rPr>
          <w:rFonts w:ascii="Verdana" w:hAnsi="Verdana"/>
          <w:sz w:val="20"/>
          <w:szCs w:val="20"/>
        </w:rPr>
        <w:t xml:space="preserve"> ante la Corte </w:t>
      </w:r>
      <w:r w:rsidR="00046ADE" w:rsidRPr="00454C84">
        <w:rPr>
          <w:rFonts w:ascii="Verdana" w:hAnsi="Verdana"/>
          <w:sz w:val="20"/>
          <w:szCs w:val="20"/>
        </w:rPr>
        <w:t xml:space="preserve">para </w:t>
      </w:r>
      <w:r w:rsidR="006B28A7" w:rsidRPr="00454C84">
        <w:rPr>
          <w:rFonts w:ascii="Verdana" w:hAnsi="Verdana"/>
          <w:sz w:val="20"/>
          <w:szCs w:val="20"/>
        </w:rPr>
        <w:t>determinar</w:t>
      </w:r>
      <w:r w:rsidR="00046ADE" w:rsidRPr="00454C84">
        <w:rPr>
          <w:rFonts w:ascii="Verdana" w:hAnsi="Verdana"/>
          <w:sz w:val="20"/>
          <w:szCs w:val="20"/>
        </w:rPr>
        <w:t xml:space="preserve"> </w:t>
      </w:r>
      <w:r w:rsidR="00DB1736" w:rsidRPr="00454C84">
        <w:rPr>
          <w:rFonts w:ascii="Verdana" w:hAnsi="Verdana"/>
          <w:sz w:val="20"/>
          <w:szCs w:val="20"/>
        </w:rPr>
        <w:t>el contexto</w:t>
      </w:r>
      <w:r w:rsidR="00046ADE" w:rsidRPr="00454C84">
        <w:rPr>
          <w:rFonts w:ascii="Verdana" w:hAnsi="Verdana"/>
          <w:sz w:val="20"/>
          <w:szCs w:val="20"/>
        </w:rPr>
        <w:t xml:space="preserve"> en que se aplicaba la Ley Antiterrorista al Pueblo </w:t>
      </w:r>
      <w:r w:rsidR="006B28A7" w:rsidRPr="00454C84">
        <w:rPr>
          <w:rFonts w:ascii="Verdana" w:hAnsi="Verdana"/>
          <w:sz w:val="20"/>
          <w:szCs w:val="20"/>
        </w:rPr>
        <w:t>Mapuche</w:t>
      </w:r>
      <w:r w:rsidR="00046ADE" w:rsidRPr="00454C84">
        <w:rPr>
          <w:rFonts w:ascii="Verdana" w:hAnsi="Verdana"/>
          <w:sz w:val="20"/>
          <w:szCs w:val="20"/>
        </w:rPr>
        <w:t xml:space="preserve"> en </w:t>
      </w:r>
      <w:r w:rsidR="00DB1736" w:rsidRPr="00454C84">
        <w:rPr>
          <w:rFonts w:ascii="Verdana" w:hAnsi="Verdana"/>
          <w:sz w:val="20"/>
          <w:szCs w:val="20"/>
        </w:rPr>
        <w:t>situaciones de</w:t>
      </w:r>
      <w:r w:rsidR="00046ADE" w:rsidRPr="00454C84">
        <w:rPr>
          <w:rFonts w:ascii="Verdana" w:hAnsi="Verdana"/>
          <w:sz w:val="20"/>
          <w:szCs w:val="20"/>
        </w:rPr>
        <w:t xml:space="preserve"> protesta social</w:t>
      </w:r>
      <w:r w:rsidR="00046ADE" w:rsidRPr="00454C84">
        <w:rPr>
          <w:rStyle w:val="FootnoteReference"/>
          <w:rFonts w:ascii="Verdana" w:hAnsi="Verdana"/>
          <w:sz w:val="20"/>
          <w:szCs w:val="20"/>
        </w:rPr>
        <w:footnoteReference w:id="12"/>
      </w:r>
      <w:r w:rsidR="00046ADE" w:rsidRPr="00454C84">
        <w:rPr>
          <w:rFonts w:ascii="Verdana" w:hAnsi="Verdana"/>
          <w:sz w:val="20"/>
          <w:szCs w:val="20"/>
        </w:rPr>
        <w:t xml:space="preserve">. </w:t>
      </w:r>
    </w:p>
    <w:p w14:paraId="3515CA83" w14:textId="77777777" w:rsidR="006B28A7" w:rsidRPr="00454C84" w:rsidRDefault="006B28A7" w:rsidP="00C32B58">
      <w:pPr>
        <w:spacing w:after="0" w:line="240" w:lineRule="auto"/>
        <w:jc w:val="both"/>
        <w:rPr>
          <w:rFonts w:ascii="Verdana" w:hAnsi="Verdana"/>
          <w:sz w:val="20"/>
          <w:szCs w:val="20"/>
        </w:rPr>
      </w:pPr>
    </w:p>
    <w:p w14:paraId="2006C60E" w14:textId="77777777" w:rsidR="003C5F84" w:rsidRPr="00454C84" w:rsidRDefault="006B28A7" w:rsidP="00C32B58">
      <w:pPr>
        <w:spacing w:after="0" w:line="240" w:lineRule="auto"/>
        <w:jc w:val="both"/>
        <w:rPr>
          <w:rFonts w:ascii="Verdana" w:hAnsi="Verdana"/>
          <w:sz w:val="20"/>
          <w:szCs w:val="20"/>
        </w:rPr>
      </w:pPr>
      <w:r w:rsidRPr="00454C84">
        <w:rPr>
          <w:rFonts w:ascii="Verdana" w:hAnsi="Verdana"/>
          <w:sz w:val="20"/>
          <w:szCs w:val="20"/>
        </w:rPr>
        <w:t xml:space="preserve">Igualmente, el Tribunal ha recibido peritajes de funcionarios de Naciones Unidas para actuar en su calidad de expertos en determinadas materias para fundamentar sus decisiones. </w:t>
      </w:r>
      <w:r w:rsidR="00415015" w:rsidRPr="00454C84">
        <w:rPr>
          <w:rFonts w:ascii="Verdana" w:hAnsi="Verdana"/>
          <w:sz w:val="20"/>
          <w:szCs w:val="20"/>
        </w:rPr>
        <w:t xml:space="preserve">Esto ocurrió, por ejemplo, en el reciente caso Gonzales Lluy y otros Vs. Ecuador. Dicho caso trata sobre la </w:t>
      </w:r>
      <w:r w:rsidRPr="00454C84">
        <w:rPr>
          <w:rFonts w:ascii="Verdana" w:hAnsi="Verdana"/>
          <w:sz w:val="20"/>
          <w:szCs w:val="20"/>
        </w:rPr>
        <w:t>responsabilidad internacional del Estado por el contagio con VIH de una niña</w:t>
      </w:r>
      <w:r w:rsidR="00DB1736" w:rsidRPr="00454C84">
        <w:rPr>
          <w:rFonts w:ascii="Verdana" w:hAnsi="Verdana"/>
          <w:sz w:val="20"/>
          <w:szCs w:val="20"/>
        </w:rPr>
        <w:t>,</w:t>
      </w:r>
      <w:r w:rsidRPr="00454C84">
        <w:rPr>
          <w:rFonts w:ascii="Verdana" w:hAnsi="Verdana"/>
          <w:sz w:val="20"/>
          <w:szCs w:val="20"/>
        </w:rPr>
        <w:t xml:space="preserve"> derivado de la transfusión de sangre</w:t>
      </w:r>
      <w:r w:rsidR="00BE736D" w:rsidRPr="00454C84">
        <w:rPr>
          <w:rFonts w:ascii="Verdana" w:hAnsi="Verdana"/>
          <w:sz w:val="20"/>
          <w:szCs w:val="20"/>
        </w:rPr>
        <w:t>.</w:t>
      </w:r>
      <w:r w:rsidR="00415015" w:rsidRPr="00454C84">
        <w:rPr>
          <w:rFonts w:ascii="Verdana" w:hAnsi="Verdana"/>
          <w:sz w:val="20"/>
          <w:szCs w:val="20"/>
        </w:rPr>
        <w:t xml:space="preserve"> Durante la tramitación del caso la Corte </w:t>
      </w:r>
      <w:r w:rsidR="002C6834" w:rsidRPr="00454C84">
        <w:rPr>
          <w:rFonts w:ascii="Verdana" w:hAnsi="Verdana"/>
          <w:sz w:val="20"/>
          <w:szCs w:val="20"/>
        </w:rPr>
        <w:t>c</w:t>
      </w:r>
      <w:r w:rsidR="00415015" w:rsidRPr="00454C84">
        <w:rPr>
          <w:rFonts w:ascii="Verdana" w:hAnsi="Verdana"/>
          <w:sz w:val="20"/>
          <w:szCs w:val="20"/>
        </w:rPr>
        <w:t>onvocó como perito</w:t>
      </w:r>
      <w:r w:rsidR="002C6834" w:rsidRPr="00454C84">
        <w:rPr>
          <w:rFonts w:ascii="Verdana" w:hAnsi="Verdana"/>
          <w:sz w:val="20"/>
          <w:szCs w:val="20"/>
        </w:rPr>
        <w:t xml:space="preserve"> </w:t>
      </w:r>
      <w:r w:rsidR="00415015" w:rsidRPr="00454C84">
        <w:rPr>
          <w:rFonts w:ascii="Verdana" w:hAnsi="Verdana"/>
          <w:sz w:val="20"/>
          <w:szCs w:val="20"/>
        </w:rPr>
        <w:t>a Christian Courtis, quien es oficial de derechos humanos</w:t>
      </w:r>
      <w:r w:rsidR="002C6834" w:rsidRPr="00454C84">
        <w:rPr>
          <w:rFonts w:ascii="Verdana" w:hAnsi="Verdana"/>
          <w:sz w:val="20"/>
          <w:szCs w:val="20"/>
        </w:rPr>
        <w:t xml:space="preserve"> y coordinador del equipo de trabajo sobre los derechos económicos, sociales y culturales de la </w:t>
      </w:r>
      <w:r w:rsidR="00415015" w:rsidRPr="00454C84">
        <w:rPr>
          <w:rFonts w:ascii="Verdana" w:hAnsi="Verdana"/>
          <w:sz w:val="20"/>
          <w:szCs w:val="20"/>
        </w:rPr>
        <w:t xml:space="preserve">Oficina del Alto Comisionado de Naciones </w:t>
      </w:r>
      <w:r w:rsidR="002C6834" w:rsidRPr="00454C84">
        <w:rPr>
          <w:rFonts w:ascii="Verdana" w:hAnsi="Verdana"/>
          <w:sz w:val="20"/>
          <w:szCs w:val="20"/>
        </w:rPr>
        <w:t>Unidas para que declarara, entre otras cosas, sobre ‘‘el derecho a la salud, el alcance y contenido de las obligaciones de supervisión y fiscalización de entidades privadas que prestan servicios de salud’’</w:t>
      </w:r>
      <w:r w:rsidR="00DB1736" w:rsidRPr="00454C84">
        <w:rPr>
          <w:rFonts w:ascii="Verdana" w:hAnsi="Verdana"/>
          <w:sz w:val="20"/>
          <w:szCs w:val="20"/>
        </w:rPr>
        <w:t>.</w:t>
      </w:r>
    </w:p>
    <w:p w14:paraId="3EE8BEFC" w14:textId="77777777" w:rsidR="00415015" w:rsidRPr="00454C84" w:rsidRDefault="00415015" w:rsidP="00C32B58">
      <w:pPr>
        <w:spacing w:after="0" w:line="240" w:lineRule="auto"/>
        <w:jc w:val="both"/>
        <w:rPr>
          <w:rFonts w:ascii="Verdana" w:hAnsi="Verdana" w:cs="Arial"/>
          <w:sz w:val="20"/>
          <w:szCs w:val="20"/>
          <w:lang w:val="es-ES"/>
        </w:rPr>
      </w:pPr>
    </w:p>
    <w:p w14:paraId="01F3905C" w14:textId="77777777" w:rsidR="00EA5135" w:rsidRPr="00454C84" w:rsidRDefault="007424F5" w:rsidP="00C32B58">
      <w:pPr>
        <w:spacing w:after="0" w:line="240" w:lineRule="auto"/>
        <w:jc w:val="both"/>
        <w:rPr>
          <w:rFonts w:ascii="Verdana" w:hAnsi="Verdana"/>
          <w:b/>
          <w:sz w:val="20"/>
          <w:szCs w:val="20"/>
          <w:lang w:val="pt-BR"/>
        </w:rPr>
      </w:pPr>
      <w:r w:rsidRPr="00454C84">
        <w:rPr>
          <w:rFonts w:ascii="Verdana" w:hAnsi="Verdana"/>
          <w:b/>
          <w:sz w:val="20"/>
          <w:szCs w:val="20"/>
        </w:rPr>
        <w:t>II</w:t>
      </w:r>
      <w:r w:rsidR="00EA5135" w:rsidRPr="00454C84">
        <w:rPr>
          <w:rFonts w:ascii="Verdana" w:hAnsi="Verdana"/>
          <w:b/>
          <w:sz w:val="20"/>
          <w:szCs w:val="20"/>
        </w:rPr>
        <w:t xml:space="preserve">. Importancia de la efectiva implementación de los estándares internacionales en materia de derechos humanos </w:t>
      </w:r>
    </w:p>
    <w:p w14:paraId="77F5BF7B" w14:textId="77777777" w:rsidR="006B28A7" w:rsidRPr="00454C84" w:rsidRDefault="006B28A7" w:rsidP="00C32B58">
      <w:pPr>
        <w:spacing w:after="0" w:line="240" w:lineRule="auto"/>
        <w:jc w:val="both"/>
        <w:rPr>
          <w:rFonts w:ascii="Verdana" w:hAnsi="Verdana"/>
          <w:sz w:val="20"/>
          <w:szCs w:val="20"/>
        </w:rPr>
      </w:pPr>
    </w:p>
    <w:p w14:paraId="29BFDC61" w14:textId="77777777" w:rsidR="0040054A" w:rsidRPr="00454C84" w:rsidRDefault="00F070AA" w:rsidP="00C32B58">
      <w:pPr>
        <w:spacing w:after="0" w:line="240" w:lineRule="auto"/>
        <w:jc w:val="both"/>
        <w:rPr>
          <w:rFonts w:ascii="Verdana" w:hAnsi="Verdana"/>
          <w:sz w:val="20"/>
          <w:szCs w:val="20"/>
        </w:rPr>
      </w:pPr>
      <w:r w:rsidRPr="00454C84">
        <w:rPr>
          <w:rFonts w:ascii="Verdana" w:hAnsi="Verdana"/>
          <w:sz w:val="20"/>
          <w:szCs w:val="20"/>
        </w:rPr>
        <w:t>La efectiva protección de los derechos humanos de las personas adquiere una materialización real</w:t>
      </w:r>
      <w:r w:rsidR="0040054A" w:rsidRPr="00454C84">
        <w:rPr>
          <w:rFonts w:ascii="Verdana" w:hAnsi="Verdana"/>
          <w:sz w:val="20"/>
          <w:szCs w:val="20"/>
        </w:rPr>
        <w:t xml:space="preserve"> y efectiva</w:t>
      </w:r>
      <w:r w:rsidRPr="00454C84">
        <w:rPr>
          <w:rFonts w:ascii="Verdana" w:hAnsi="Verdana"/>
          <w:sz w:val="20"/>
          <w:szCs w:val="20"/>
        </w:rPr>
        <w:t xml:space="preserve"> a través del diálogo dinámico con instituciones nacionales</w:t>
      </w:r>
      <w:r w:rsidR="00A37EAE" w:rsidRPr="00454C84">
        <w:rPr>
          <w:rFonts w:ascii="Verdana" w:hAnsi="Verdana"/>
          <w:sz w:val="20"/>
          <w:szCs w:val="20"/>
        </w:rPr>
        <w:t xml:space="preserve"> e internacionales</w:t>
      </w:r>
      <w:r w:rsidR="008B4CC6" w:rsidRPr="00454C84">
        <w:rPr>
          <w:rFonts w:ascii="Verdana" w:hAnsi="Verdana"/>
          <w:sz w:val="20"/>
          <w:szCs w:val="20"/>
        </w:rPr>
        <w:t>.</w:t>
      </w:r>
      <w:r w:rsidRPr="00454C84">
        <w:rPr>
          <w:rFonts w:ascii="Verdana" w:hAnsi="Verdana"/>
          <w:sz w:val="20"/>
          <w:szCs w:val="20"/>
        </w:rPr>
        <w:t xml:space="preserve"> </w:t>
      </w:r>
    </w:p>
    <w:p w14:paraId="40764809" w14:textId="77777777" w:rsidR="0040054A" w:rsidRPr="00454C84" w:rsidRDefault="0040054A" w:rsidP="00C32B58">
      <w:pPr>
        <w:spacing w:after="0" w:line="240" w:lineRule="auto"/>
        <w:jc w:val="both"/>
        <w:rPr>
          <w:rFonts w:ascii="Verdana" w:hAnsi="Verdana"/>
          <w:sz w:val="20"/>
          <w:szCs w:val="20"/>
        </w:rPr>
      </w:pPr>
    </w:p>
    <w:p w14:paraId="14B65019" w14:textId="77777777" w:rsidR="00F070AA" w:rsidRPr="00454C84" w:rsidRDefault="00F070AA" w:rsidP="00C32B58">
      <w:pPr>
        <w:spacing w:after="0" w:line="240" w:lineRule="auto"/>
        <w:jc w:val="both"/>
        <w:rPr>
          <w:rFonts w:ascii="Verdana" w:hAnsi="Verdana"/>
          <w:sz w:val="20"/>
          <w:szCs w:val="20"/>
        </w:rPr>
      </w:pPr>
      <w:r w:rsidRPr="00454C84">
        <w:rPr>
          <w:rFonts w:ascii="Verdana" w:hAnsi="Verdana"/>
          <w:sz w:val="20"/>
          <w:szCs w:val="20"/>
        </w:rPr>
        <w:t xml:space="preserve">Bajo esta óptica los órganos </w:t>
      </w:r>
      <w:r w:rsidR="0040054A" w:rsidRPr="00454C84">
        <w:rPr>
          <w:rFonts w:ascii="Verdana" w:hAnsi="Verdana"/>
          <w:sz w:val="20"/>
          <w:szCs w:val="20"/>
        </w:rPr>
        <w:t>internacionales</w:t>
      </w:r>
      <w:r w:rsidRPr="00454C84">
        <w:rPr>
          <w:rFonts w:ascii="Verdana" w:hAnsi="Verdana"/>
          <w:sz w:val="20"/>
          <w:szCs w:val="20"/>
        </w:rPr>
        <w:t xml:space="preserve"> son aliados </w:t>
      </w:r>
      <w:r w:rsidR="008B4CC6" w:rsidRPr="00454C84">
        <w:rPr>
          <w:rFonts w:ascii="Verdana" w:hAnsi="Verdana"/>
          <w:sz w:val="20"/>
          <w:szCs w:val="20"/>
        </w:rPr>
        <w:t>fundamentales de este Tribunal, puesto que</w:t>
      </w:r>
      <w:r w:rsidRPr="00454C84">
        <w:rPr>
          <w:rFonts w:ascii="Verdana" w:hAnsi="Verdana"/>
          <w:sz w:val="20"/>
          <w:szCs w:val="20"/>
        </w:rPr>
        <w:t xml:space="preserve"> permiten unir esfuerzos para ir creando a </w:t>
      </w:r>
      <w:r w:rsidR="008B4CC6" w:rsidRPr="00454C84">
        <w:rPr>
          <w:rFonts w:ascii="Verdana" w:hAnsi="Verdana"/>
          <w:sz w:val="20"/>
          <w:szCs w:val="20"/>
        </w:rPr>
        <w:t xml:space="preserve">estándares adecuados </w:t>
      </w:r>
      <w:r w:rsidRPr="00454C84">
        <w:rPr>
          <w:rFonts w:ascii="Verdana" w:hAnsi="Verdana"/>
          <w:sz w:val="20"/>
          <w:szCs w:val="20"/>
        </w:rPr>
        <w:t>través de la interacción, adecuación y complementación entre los sistemas</w:t>
      </w:r>
      <w:r w:rsidR="008B4CC6" w:rsidRPr="00454C84">
        <w:rPr>
          <w:rFonts w:ascii="Verdana" w:hAnsi="Verdana"/>
          <w:sz w:val="20"/>
          <w:szCs w:val="20"/>
        </w:rPr>
        <w:t xml:space="preserve"> universal, regional y nacional.</w:t>
      </w:r>
    </w:p>
    <w:p w14:paraId="312B85DB" w14:textId="77777777" w:rsidR="008B4CC6" w:rsidRPr="00454C84" w:rsidRDefault="008B4CC6" w:rsidP="00C32B58">
      <w:pPr>
        <w:spacing w:after="0" w:line="240" w:lineRule="auto"/>
        <w:jc w:val="both"/>
        <w:rPr>
          <w:rFonts w:ascii="Verdana" w:hAnsi="Verdana"/>
          <w:sz w:val="20"/>
          <w:szCs w:val="20"/>
        </w:rPr>
      </w:pPr>
    </w:p>
    <w:p w14:paraId="6DBAF3EE" w14:textId="77777777" w:rsidR="00F070AA" w:rsidRPr="00454C84" w:rsidRDefault="0040054A" w:rsidP="00C32B58">
      <w:pPr>
        <w:spacing w:after="0" w:line="240" w:lineRule="auto"/>
        <w:jc w:val="both"/>
        <w:rPr>
          <w:rFonts w:ascii="Verdana" w:hAnsi="Verdana" w:cs="Arial"/>
          <w:sz w:val="20"/>
          <w:szCs w:val="20"/>
          <w:lang w:val="es-ES"/>
        </w:rPr>
      </w:pPr>
      <w:r w:rsidRPr="00454C84">
        <w:rPr>
          <w:rFonts w:ascii="Verdana" w:hAnsi="Verdana" w:cs="Arial"/>
          <w:sz w:val="20"/>
          <w:szCs w:val="20"/>
          <w:lang w:val="es-ES"/>
        </w:rPr>
        <w:t>De manera constante</w:t>
      </w:r>
      <w:r w:rsidR="008B4CC6" w:rsidRPr="00454C84">
        <w:rPr>
          <w:rFonts w:ascii="Verdana" w:hAnsi="Verdana" w:cs="Arial"/>
          <w:sz w:val="20"/>
          <w:szCs w:val="20"/>
          <w:lang w:val="es-ES"/>
        </w:rPr>
        <w:t>,</w:t>
      </w:r>
      <w:r w:rsidRPr="00454C84">
        <w:rPr>
          <w:rFonts w:ascii="Verdana" w:hAnsi="Verdana" w:cs="Arial"/>
          <w:sz w:val="20"/>
          <w:szCs w:val="20"/>
          <w:lang w:val="es-ES"/>
        </w:rPr>
        <w:t xml:space="preserve"> la Corte se refiere a las decisiones de </w:t>
      </w:r>
      <w:r w:rsidR="00DB1736" w:rsidRPr="00454C84">
        <w:rPr>
          <w:rFonts w:ascii="Verdana" w:hAnsi="Verdana" w:cs="Arial"/>
          <w:sz w:val="20"/>
          <w:szCs w:val="20"/>
          <w:lang w:val="es-ES"/>
        </w:rPr>
        <w:t>otros</w:t>
      </w:r>
      <w:r w:rsidRPr="00454C84">
        <w:rPr>
          <w:rFonts w:ascii="Verdana" w:hAnsi="Verdana" w:cs="Arial"/>
          <w:sz w:val="20"/>
          <w:szCs w:val="20"/>
          <w:lang w:val="es-ES"/>
        </w:rPr>
        <w:t xml:space="preserve"> órganos</w:t>
      </w:r>
      <w:r w:rsidR="00DB1736" w:rsidRPr="00454C84">
        <w:rPr>
          <w:rFonts w:ascii="Verdana" w:hAnsi="Verdana" w:cs="Arial"/>
          <w:sz w:val="20"/>
          <w:szCs w:val="20"/>
          <w:lang w:val="es-ES"/>
        </w:rPr>
        <w:t xml:space="preserve"> internacionales</w:t>
      </w:r>
      <w:r w:rsidRPr="00454C84">
        <w:rPr>
          <w:rFonts w:ascii="Verdana" w:hAnsi="Verdana" w:cs="Arial"/>
          <w:sz w:val="20"/>
          <w:szCs w:val="20"/>
          <w:lang w:val="es-ES"/>
        </w:rPr>
        <w:t xml:space="preserve"> y a las interpretaciones que éstos hacen de los tratados que les dan competencia. </w:t>
      </w:r>
      <w:r w:rsidR="00F070AA" w:rsidRPr="00454C84">
        <w:rPr>
          <w:rFonts w:ascii="Verdana" w:hAnsi="Verdana" w:cs="Arial"/>
          <w:sz w:val="20"/>
          <w:szCs w:val="20"/>
          <w:lang w:val="es-ES"/>
        </w:rPr>
        <w:t xml:space="preserve">Por su parte, </w:t>
      </w:r>
      <w:r w:rsidR="00DB1736" w:rsidRPr="00454C84">
        <w:rPr>
          <w:rFonts w:ascii="Verdana" w:hAnsi="Verdana" w:cs="Arial"/>
          <w:sz w:val="20"/>
          <w:szCs w:val="20"/>
          <w:lang w:val="es-ES"/>
        </w:rPr>
        <w:t>otros órganos de protección internacionales</w:t>
      </w:r>
      <w:r w:rsidR="00F070AA" w:rsidRPr="00454C84">
        <w:rPr>
          <w:rFonts w:ascii="Verdana" w:hAnsi="Verdana" w:cs="Arial"/>
          <w:sz w:val="20"/>
          <w:szCs w:val="20"/>
          <w:lang w:val="es-ES"/>
        </w:rPr>
        <w:t xml:space="preserve">, </w:t>
      </w:r>
      <w:r w:rsidR="008B4CC6" w:rsidRPr="00454C84">
        <w:rPr>
          <w:rFonts w:ascii="Verdana" w:hAnsi="Verdana" w:cs="Arial"/>
          <w:sz w:val="20"/>
          <w:szCs w:val="20"/>
          <w:lang w:val="es-ES"/>
        </w:rPr>
        <w:t xml:space="preserve">van </w:t>
      </w:r>
      <w:r w:rsidR="00F070AA" w:rsidRPr="00454C84">
        <w:rPr>
          <w:rFonts w:ascii="Verdana" w:hAnsi="Verdana" w:cs="Arial"/>
          <w:sz w:val="20"/>
          <w:szCs w:val="20"/>
          <w:lang w:val="es-ES"/>
        </w:rPr>
        <w:t>analiza</w:t>
      </w:r>
      <w:r w:rsidR="008B4CC6" w:rsidRPr="00454C84">
        <w:rPr>
          <w:rFonts w:ascii="Verdana" w:hAnsi="Verdana" w:cs="Arial"/>
          <w:sz w:val="20"/>
          <w:szCs w:val="20"/>
          <w:lang w:val="es-ES"/>
        </w:rPr>
        <w:t>n</w:t>
      </w:r>
      <w:r w:rsidR="00F070AA" w:rsidRPr="00454C84">
        <w:rPr>
          <w:rFonts w:ascii="Verdana" w:hAnsi="Verdana" w:cs="Arial"/>
          <w:sz w:val="20"/>
          <w:szCs w:val="20"/>
          <w:lang w:val="es-ES"/>
        </w:rPr>
        <w:t xml:space="preserve">do y </w:t>
      </w:r>
      <w:r w:rsidR="008B4CC6" w:rsidRPr="00454C84">
        <w:rPr>
          <w:rFonts w:ascii="Verdana" w:hAnsi="Verdana" w:cs="Arial"/>
          <w:sz w:val="20"/>
          <w:szCs w:val="20"/>
          <w:lang w:val="es-ES"/>
        </w:rPr>
        <w:t>haciendo</w:t>
      </w:r>
      <w:r w:rsidR="00F070AA" w:rsidRPr="00454C84">
        <w:rPr>
          <w:rFonts w:ascii="Verdana" w:hAnsi="Verdana" w:cs="Arial"/>
          <w:sz w:val="20"/>
          <w:szCs w:val="20"/>
          <w:lang w:val="es-ES"/>
        </w:rPr>
        <w:t xml:space="preserve"> suyos los estándares desarrollad</w:t>
      </w:r>
      <w:r w:rsidR="00867BF1" w:rsidRPr="00454C84">
        <w:rPr>
          <w:rFonts w:ascii="Verdana" w:hAnsi="Verdana" w:cs="Arial"/>
          <w:sz w:val="20"/>
          <w:szCs w:val="20"/>
          <w:lang w:val="pt-BR"/>
        </w:rPr>
        <w:t>o</w:t>
      </w:r>
      <w:r w:rsidR="00F070AA" w:rsidRPr="00454C84">
        <w:rPr>
          <w:rFonts w:ascii="Verdana" w:hAnsi="Verdana" w:cs="Arial"/>
          <w:sz w:val="20"/>
          <w:szCs w:val="20"/>
          <w:lang w:val="es-ES"/>
        </w:rPr>
        <w:t>s por la Corte Interamericana en temas tan diversos como desapariciones forzadas, ejecuciones extrajudiciales, derechos de los Pueblos Indígenas</w:t>
      </w:r>
      <w:r w:rsidR="008B4CC6" w:rsidRPr="00454C84">
        <w:rPr>
          <w:rFonts w:ascii="Verdana" w:hAnsi="Verdana" w:cs="Arial"/>
          <w:sz w:val="20"/>
          <w:szCs w:val="20"/>
          <w:lang w:val="es-ES"/>
        </w:rPr>
        <w:t>,</w:t>
      </w:r>
      <w:r w:rsidR="00F070AA" w:rsidRPr="00454C84">
        <w:rPr>
          <w:rFonts w:ascii="Verdana" w:hAnsi="Verdana" w:cs="Arial"/>
          <w:sz w:val="20"/>
          <w:szCs w:val="20"/>
          <w:lang w:val="es-ES"/>
        </w:rPr>
        <w:t xml:space="preserve"> </w:t>
      </w:r>
      <w:r w:rsidR="008B4CC6" w:rsidRPr="00454C84">
        <w:rPr>
          <w:rFonts w:ascii="Verdana" w:hAnsi="Verdana" w:cs="Arial"/>
          <w:sz w:val="20"/>
          <w:szCs w:val="20"/>
          <w:lang w:val="es-ES"/>
        </w:rPr>
        <w:t>cuestiones de género</w:t>
      </w:r>
      <w:r w:rsidRPr="00454C84">
        <w:rPr>
          <w:rFonts w:ascii="Verdana" w:hAnsi="Verdana" w:cs="Arial"/>
          <w:sz w:val="20"/>
          <w:szCs w:val="20"/>
          <w:lang w:val="es-ES"/>
        </w:rPr>
        <w:t>, entre otros.</w:t>
      </w:r>
      <w:r w:rsidR="00F070AA" w:rsidRPr="00454C84">
        <w:rPr>
          <w:rFonts w:ascii="Verdana" w:hAnsi="Verdana" w:cs="Arial"/>
          <w:sz w:val="20"/>
          <w:szCs w:val="20"/>
          <w:lang w:val="es-ES"/>
        </w:rPr>
        <w:t xml:space="preserve"> </w:t>
      </w:r>
    </w:p>
    <w:p w14:paraId="382CD557" w14:textId="77777777" w:rsidR="00F070AA" w:rsidRPr="00454C84" w:rsidRDefault="00F070AA" w:rsidP="00C32B58">
      <w:pPr>
        <w:spacing w:after="0" w:line="240" w:lineRule="auto"/>
        <w:jc w:val="both"/>
        <w:rPr>
          <w:rFonts w:ascii="Verdana" w:hAnsi="Verdana" w:cs="Arial"/>
          <w:sz w:val="20"/>
          <w:szCs w:val="20"/>
          <w:lang w:val="es-ES"/>
        </w:rPr>
      </w:pPr>
    </w:p>
    <w:p w14:paraId="2B014964" w14:textId="77777777" w:rsidR="00F070AA" w:rsidRPr="00454C84" w:rsidRDefault="00F070AA" w:rsidP="00C32B58">
      <w:pPr>
        <w:spacing w:after="0" w:line="240" w:lineRule="auto"/>
        <w:jc w:val="both"/>
        <w:rPr>
          <w:rFonts w:ascii="Verdana" w:hAnsi="Verdana" w:cs="Arial"/>
          <w:sz w:val="20"/>
          <w:szCs w:val="20"/>
          <w:lang w:val="es-ES"/>
        </w:rPr>
      </w:pPr>
      <w:r w:rsidRPr="00454C84">
        <w:rPr>
          <w:rFonts w:ascii="Verdana" w:hAnsi="Verdana" w:cs="Arial"/>
          <w:sz w:val="20"/>
          <w:szCs w:val="20"/>
          <w:lang w:val="es-ES"/>
        </w:rPr>
        <w:t>Se trata de una ‘‘conversación jurídica’’, donde se integran las distintas decisiones y jurisprudencia de nuestros diferentes sistemas jurídicos, dictadas en el ámbito de nuestras competencia. Dicha conversación resulta una pieza fundamental para el fortalecimiento de cada uno de nuestros sistemas y, por supuesto, resulta en beneficio directo de una adecuada y más amplia protección multinivel.</w:t>
      </w:r>
    </w:p>
    <w:p w14:paraId="6B69528C" w14:textId="77777777" w:rsidR="004118C9" w:rsidRPr="00454C84" w:rsidRDefault="004118C9" w:rsidP="00C32B58">
      <w:pPr>
        <w:spacing w:after="0" w:line="240" w:lineRule="auto"/>
        <w:jc w:val="both"/>
        <w:rPr>
          <w:rFonts w:ascii="Verdana" w:hAnsi="Verdana"/>
          <w:b/>
          <w:sz w:val="20"/>
          <w:szCs w:val="20"/>
        </w:rPr>
      </w:pPr>
    </w:p>
    <w:p w14:paraId="4290C12A" w14:textId="77777777" w:rsidR="00B816E8" w:rsidRPr="00C32B58" w:rsidRDefault="0040054A" w:rsidP="005B5354">
      <w:pPr>
        <w:spacing w:after="0" w:line="240" w:lineRule="auto"/>
        <w:jc w:val="both"/>
        <w:rPr>
          <w:rFonts w:ascii="Verdana" w:hAnsi="Verdana"/>
          <w:b/>
          <w:sz w:val="20"/>
          <w:szCs w:val="20"/>
        </w:rPr>
      </w:pPr>
      <w:r w:rsidRPr="00454C84">
        <w:rPr>
          <w:rFonts w:ascii="Verdana" w:hAnsi="Verdana"/>
          <w:sz w:val="20"/>
          <w:szCs w:val="20"/>
        </w:rPr>
        <w:t>En vista de ello, quiero resaltar la importancia de seguir fortaleciendo las conexiones y continuar tendiendo puentes entre los mecanismos regionales e internacionales de derechos humanos. La Corte Interamericana tiene la puerta abierta para el intercambio de ideas y experiencias y ha apostado decididamente por el diálogo jurisprudencial.</w:t>
      </w:r>
      <w:r w:rsidRPr="00C32B58">
        <w:rPr>
          <w:rFonts w:ascii="Verdana" w:hAnsi="Verdana"/>
          <w:sz w:val="20"/>
          <w:szCs w:val="20"/>
        </w:rPr>
        <w:t xml:space="preserve"> </w:t>
      </w:r>
    </w:p>
    <w:sectPr w:rsidR="00B816E8" w:rsidRPr="00C32B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43558" w14:textId="77777777" w:rsidR="00976E7C" w:rsidRDefault="00976E7C" w:rsidP="00F070AA">
      <w:pPr>
        <w:spacing w:after="0" w:line="240" w:lineRule="auto"/>
      </w:pPr>
      <w:r>
        <w:separator/>
      </w:r>
    </w:p>
  </w:endnote>
  <w:endnote w:type="continuationSeparator" w:id="0">
    <w:p w14:paraId="14E62907" w14:textId="77777777" w:rsidR="00976E7C" w:rsidRDefault="00976E7C" w:rsidP="00F0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3F37E" w14:textId="77777777" w:rsidR="00976E7C" w:rsidRDefault="00976E7C" w:rsidP="00F070AA">
      <w:pPr>
        <w:spacing w:after="0" w:line="240" w:lineRule="auto"/>
      </w:pPr>
      <w:r>
        <w:separator/>
      </w:r>
    </w:p>
  </w:footnote>
  <w:footnote w:type="continuationSeparator" w:id="0">
    <w:p w14:paraId="372F66BD" w14:textId="77777777" w:rsidR="00976E7C" w:rsidRDefault="00976E7C" w:rsidP="00F070AA">
      <w:pPr>
        <w:spacing w:after="0" w:line="240" w:lineRule="auto"/>
      </w:pPr>
      <w:r>
        <w:continuationSeparator/>
      </w:r>
    </w:p>
  </w:footnote>
  <w:footnote w:id="1">
    <w:p w14:paraId="6C807321" w14:textId="77777777" w:rsidR="00F53CDA" w:rsidRPr="00DB1736" w:rsidRDefault="00F53CDA" w:rsidP="00C114C0">
      <w:pPr>
        <w:pStyle w:val="FootnoteText"/>
        <w:spacing w:after="60"/>
        <w:jc w:val="both"/>
        <w:rPr>
          <w:rFonts w:ascii="Verdana" w:hAnsi="Verdana"/>
          <w:b/>
          <w:sz w:val="12"/>
          <w:szCs w:val="16"/>
        </w:rPr>
      </w:pPr>
      <w:r w:rsidRPr="00DB1736">
        <w:rPr>
          <w:rStyle w:val="FootnoteReference"/>
          <w:rFonts w:ascii="Verdana" w:hAnsi="Verdana"/>
          <w:sz w:val="12"/>
          <w:szCs w:val="16"/>
        </w:rPr>
        <w:footnoteRef/>
      </w:r>
      <w:r w:rsidRPr="00DB1736">
        <w:rPr>
          <w:rFonts w:ascii="Verdana" w:hAnsi="Verdana"/>
          <w:b/>
          <w:sz w:val="12"/>
          <w:szCs w:val="16"/>
        </w:rPr>
        <w:t xml:space="preserve"> </w:t>
      </w:r>
      <w:r w:rsidRPr="00DB1736">
        <w:rPr>
          <w:rStyle w:val="Strong"/>
          <w:rFonts w:ascii="Verdana" w:hAnsi="Verdana"/>
          <w:b w:val="0"/>
          <w:color w:val="000000"/>
          <w:sz w:val="12"/>
          <w:szCs w:val="16"/>
          <w:shd w:val="clear" w:color="auto" w:fill="FFFFFF"/>
        </w:rPr>
        <w:t>Caso Atala Riffo y Niñas Vs. Chile. Fondo, Reparaciones y Costas. Sentencia del 24 de febrero de 2012. Serie C No. 239, párr. 83.</w:t>
      </w:r>
    </w:p>
  </w:footnote>
  <w:footnote w:id="2">
    <w:p w14:paraId="16CD989A" w14:textId="77777777" w:rsidR="00F53CDA" w:rsidRPr="00DB1736" w:rsidRDefault="00F53CDA" w:rsidP="00C114C0">
      <w:pPr>
        <w:pStyle w:val="FootnoteText"/>
        <w:spacing w:after="60"/>
        <w:jc w:val="both"/>
        <w:rPr>
          <w:rFonts w:ascii="Verdana" w:hAnsi="Verdana"/>
          <w:b/>
          <w:sz w:val="12"/>
          <w:szCs w:val="16"/>
        </w:rPr>
      </w:pPr>
      <w:r w:rsidRPr="00DB1736">
        <w:rPr>
          <w:rStyle w:val="FootnoteReference"/>
          <w:rFonts w:ascii="Verdana" w:hAnsi="Verdana"/>
          <w:sz w:val="12"/>
          <w:szCs w:val="16"/>
        </w:rPr>
        <w:footnoteRef/>
      </w:r>
      <w:r w:rsidRPr="00DB1736">
        <w:rPr>
          <w:rFonts w:ascii="Verdana" w:hAnsi="Verdana"/>
          <w:b/>
          <w:sz w:val="12"/>
          <w:szCs w:val="16"/>
        </w:rPr>
        <w:t xml:space="preserve"> </w:t>
      </w:r>
      <w:r w:rsidRPr="00DB1736">
        <w:rPr>
          <w:rStyle w:val="Strong"/>
          <w:rFonts w:ascii="Verdana" w:hAnsi="Verdana"/>
          <w:b w:val="0"/>
          <w:color w:val="000000"/>
          <w:sz w:val="12"/>
          <w:szCs w:val="16"/>
          <w:shd w:val="clear" w:color="auto" w:fill="FFFFFF"/>
        </w:rPr>
        <w:t>Caso Atala Riffo y Niñas Vs. Chile. Fondo, Reparaciones y Costas. Sentencia del 24 de febrero de 2012. Serie C No. 239, párr. 84.</w:t>
      </w:r>
    </w:p>
  </w:footnote>
  <w:footnote w:id="3">
    <w:p w14:paraId="6863F6BA" w14:textId="77777777" w:rsidR="00F53CDA" w:rsidRPr="00DB1736" w:rsidRDefault="00F53CDA" w:rsidP="00C114C0">
      <w:pPr>
        <w:pStyle w:val="FootnoteText"/>
        <w:spacing w:after="60"/>
        <w:jc w:val="both"/>
        <w:rPr>
          <w:rFonts w:ascii="Verdana" w:hAnsi="Verdana"/>
          <w:b/>
          <w:sz w:val="12"/>
          <w:szCs w:val="16"/>
        </w:rPr>
      </w:pPr>
      <w:r w:rsidRPr="00DB1736">
        <w:rPr>
          <w:rStyle w:val="FootnoteReference"/>
          <w:rFonts w:ascii="Verdana" w:hAnsi="Verdana"/>
          <w:sz w:val="12"/>
          <w:szCs w:val="16"/>
        </w:rPr>
        <w:footnoteRef/>
      </w:r>
      <w:r w:rsidRPr="00DB1736">
        <w:rPr>
          <w:rFonts w:ascii="Verdana" w:hAnsi="Verdana"/>
          <w:b/>
          <w:sz w:val="12"/>
          <w:szCs w:val="16"/>
        </w:rPr>
        <w:t xml:space="preserve"> </w:t>
      </w:r>
      <w:r w:rsidRPr="00DB1736">
        <w:rPr>
          <w:rStyle w:val="Strong"/>
          <w:rFonts w:ascii="Verdana" w:hAnsi="Verdana"/>
          <w:b w:val="0"/>
          <w:color w:val="000000"/>
          <w:sz w:val="12"/>
          <w:szCs w:val="16"/>
          <w:shd w:val="clear" w:color="auto" w:fill="FFFFFF"/>
        </w:rPr>
        <w:t>Caso Artavia Murillo y otros (Fecundación in vitro) Vs. Costa Rica. Excepciones Preliminares, Fondo, Reparaciones y Costas Sentencia de 28 noviembre de 2012 Serie C No. 257, párrs. 249-252.</w:t>
      </w:r>
    </w:p>
  </w:footnote>
  <w:footnote w:id="4">
    <w:p w14:paraId="5DFD32E8" w14:textId="77777777" w:rsidR="00F53CDA" w:rsidRPr="00DB1736" w:rsidRDefault="00F53CDA" w:rsidP="00C114C0">
      <w:pPr>
        <w:pStyle w:val="FootnoteText"/>
        <w:spacing w:after="60"/>
        <w:jc w:val="both"/>
        <w:rPr>
          <w:rFonts w:ascii="Verdana" w:hAnsi="Verdana"/>
          <w:b/>
          <w:sz w:val="12"/>
          <w:szCs w:val="16"/>
        </w:rPr>
      </w:pPr>
      <w:r w:rsidRPr="00DB1736">
        <w:rPr>
          <w:rStyle w:val="FootnoteReference"/>
          <w:rFonts w:ascii="Verdana" w:hAnsi="Verdana"/>
          <w:sz w:val="12"/>
          <w:szCs w:val="16"/>
        </w:rPr>
        <w:footnoteRef/>
      </w:r>
      <w:r w:rsidRPr="00DB1736">
        <w:rPr>
          <w:rFonts w:ascii="Verdana" w:hAnsi="Verdana"/>
          <w:b/>
          <w:sz w:val="12"/>
          <w:szCs w:val="16"/>
        </w:rPr>
        <w:t xml:space="preserve"> </w:t>
      </w:r>
      <w:r w:rsidRPr="00DB1736">
        <w:rPr>
          <w:rStyle w:val="Strong"/>
          <w:rFonts w:ascii="Verdana" w:hAnsi="Verdana"/>
          <w:b w:val="0"/>
          <w:color w:val="000000"/>
          <w:sz w:val="12"/>
          <w:szCs w:val="16"/>
          <w:shd w:val="clear" w:color="auto" w:fill="FFFFFF"/>
        </w:rPr>
        <w:t>Caso Artavia Murillo y otros (Fecundación in vitro) Vs. Costa Rica. Excepciones Preliminares, Fondo, Reparaciones y Costas Sentencia de 28 noviembre de 2012 Serie C No. 257, párr. 253.</w:t>
      </w:r>
    </w:p>
  </w:footnote>
  <w:footnote w:id="5">
    <w:p w14:paraId="5596D95A" w14:textId="77777777" w:rsidR="00F53CDA" w:rsidRPr="00DB1736" w:rsidRDefault="00F53CDA" w:rsidP="00C114C0">
      <w:pPr>
        <w:pStyle w:val="FootnoteText"/>
        <w:spacing w:after="60"/>
        <w:jc w:val="both"/>
        <w:rPr>
          <w:rFonts w:ascii="Verdana" w:hAnsi="Verdana"/>
          <w:b/>
          <w:sz w:val="12"/>
          <w:szCs w:val="16"/>
        </w:rPr>
      </w:pPr>
      <w:r w:rsidRPr="00DB1736">
        <w:rPr>
          <w:rStyle w:val="FootnoteReference"/>
          <w:rFonts w:ascii="Verdana" w:hAnsi="Verdana"/>
          <w:sz w:val="12"/>
          <w:szCs w:val="16"/>
        </w:rPr>
        <w:footnoteRef/>
      </w:r>
      <w:r w:rsidRPr="00DB1736">
        <w:rPr>
          <w:rFonts w:ascii="Verdana" w:hAnsi="Verdana"/>
          <w:b/>
          <w:sz w:val="12"/>
          <w:szCs w:val="16"/>
        </w:rPr>
        <w:t xml:space="preserve"> </w:t>
      </w:r>
      <w:r w:rsidRPr="00DB1736">
        <w:rPr>
          <w:rStyle w:val="Strong"/>
          <w:rFonts w:ascii="Verdana" w:hAnsi="Verdana"/>
          <w:b w:val="0"/>
          <w:color w:val="000000"/>
          <w:sz w:val="12"/>
          <w:szCs w:val="16"/>
          <w:shd w:val="clear" w:color="auto" w:fill="FFFFFF"/>
        </w:rPr>
        <w:t>Caso Pueblo Indígena Kichwa de Sarayaku Vs. Ecuador. Fondo y reparaciones. Sentencia de 27 de junio de 2012. Serie C No. 245, párr. 217.</w:t>
      </w:r>
    </w:p>
  </w:footnote>
  <w:footnote w:id="6">
    <w:p w14:paraId="171D4131" w14:textId="77777777" w:rsidR="00F53CDA" w:rsidRPr="00DB1736" w:rsidRDefault="00F53CDA" w:rsidP="00C114C0">
      <w:pPr>
        <w:pStyle w:val="FootnoteText"/>
        <w:spacing w:after="60"/>
        <w:jc w:val="both"/>
        <w:rPr>
          <w:rFonts w:ascii="Verdana" w:hAnsi="Verdana"/>
          <w:sz w:val="12"/>
          <w:szCs w:val="16"/>
        </w:rPr>
      </w:pPr>
      <w:r w:rsidRPr="00DB1736">
        <w:rPr>
          <w:rStyle w:val="FootnoteReference"/>
          <w:rFonts w:ascii="Verdana" w:hAnsi="Verdana"/>
          <w:sz w:val="12"/>
          <w:szCs w:val="16"/>
        </w:rPr>
        <w:footnoteRef/>
      </w:r>
      <w:r w:rsidRPr="00DB1736">
        <w:rPr>
          <w:rFonts w:ascii="Verdana" w:hAnsi="Verdana"/>
          <w:sz w:val="12"/>
          <w:szCs w:val="16"/>
        </w:rPr>
        <w:t xml:space="preserve"> </w:t>
      </w:r>
      <w:r w:rsidRPr="00DB1736">
        <w:rPr>
          <w:rFonts w:ascii="Verdana" w:hAnsi="Verdana"/>
          <w:bCs/>
          <w:sz w:val="12"/>
          <w:szCs w:val="16"/>
        </w:rPr>
        <w:t>Caso Liakat Ali Alibux Vs. Surinam. Excepciones Preliminares, Fondo, Reparaciones y Costas. Sentencia de 30 de enero de 2014. Serie C No. 276, párr. 89.</w:t>
      </w:r>
    </w:p>
  </w:footnote>
  <w:footnote w:id="7">
    <w:p w14:paraId="585AB311" w14:textId="77777777" w:rsidR="00F53CDA" w:rsidRPr="00DB1736" w:rsidRDefault="00F53CDA" w:rsidP="00C114C0">
      <w:pPr>
        <w:pStyle w:val="FootnoteText"/>
        <w:spacing w:after="60"/>
        <w:rPr>
          <w:rFonts w:ascii="Verdana" w:hAnsi="Verdana"/>
          <w:sz w:val="12"/>
          <w:szCs w:val="16"/>
        </w:rPr>
      </w:pPr>
      <w:r w:rsidRPr="00DB1736">
        <w:rPr>
          <w:rStyle w:val="FootnoteReference"/>
          <w:rFonts w:ascii="Verdana" w:hAnsi="Verdana"/>
          <w:sz w:val="12"/>
          <w:szCs w:val="16"/>
        </w:rPr>
        <w:footnoteRef/>
      </w:r>
      <w:r w:rsidRPr="00DB1736">
        <w:rPr>
          <w:rFonts w:ascii="Verdana" w:hAnsi="Verdana"/>
          <w:sz w:val="12"/>
          <w:szCs w:val="16"/>
        </w:rPr>
        <w:t xml:space="preserve"> Caso Liakat Ali Alibux Vs. Surinam. Excepciones Preliminares, Fondo, Reparaciones y Costas. Sentencia de 30 de enero de 2014. Serie C No. 276, párr. 94.</w:t>
      </w:r>
    </w:p>
  </w:footnote>
  <w:footnote w:id="8">
    <w:p w14:paraId="2A946AD8" w14:textId="77777777" w:rsidR="00F53CDA" w:rsidRPr="00DB1736" w:rsidRDefault="00F53CDA" w:rsidP="00C114C0">
      <w:pPr>
        <w:pStyle w:val="FootnoteText"/>
        <w:spacing w:after="60"/>
        <w:jc w:val="both"/>
        <w:rPr>
          <w:rFonts w:ascii="Verdana" w:hAnsi="Verdana"/>
          <w:b/>
          <w:sz w:val="12"/>
          <w:szCs w:val="16"/>
        </w:rPr>
      </w:pPr>
      <w:r w:rsidRPr="00DB1736">
        <w:rPr>
          <w:rStyle w:val="FootnoteReference"/>
          <w:rFonts w:ascii="Verdana" w:hAnsi="Verdana"/>
          <w:sz w:val="12"/>
          <w:szCs w:val="16"/>
        </w:rPr>
        <w:footnoteRef/>
      </w:r>
      <w:r w:rsidRPr="00DB1736">
        <w:rPr>
          <w:rFonts w:ascii="Verdana" w:hAnsi="Verdana"/>
          <w:sz w:val="12"/>
          <w:szCs w:val="16"/>
        </w:rPr>
        <w:t xml:space="preserve"> </w:t>
      </w:r>
      <w:r w:rsidRPr="00DB1736">
        <w:rPr>
          <w:rFonts w:ascii="Verdana" w:hAnsi="Verdana"/>
          <w:bCs/>
          <w:sz w:val="12"/>
          <w:szCs w:val="16"/>
        </w:rPr>
        <w:t>Caso de las Masacres de Ituango Vs. Colombia. Sentencia de 1 de julio de 2006 Serie C No. 148, párr. 209.</w:t>
      </w:r>
    </w:p>
  </w:footnote>
  <w:footnote w:id="9">
    <w:p w14:paraId="1AD3A7E1" w14:textId="77777777" w:rsidR="00F53CDA" w:rsidRPr="00DB1736" w:rsidRDefault="00F53CDA" w:rsidP="00C114C0">
      <w:pPr>
        <w:pStyle w:val="FootnoteText"/>
        <w:spacing w:after="60"/>
        <w:jc w:val="both"/>
        <w:rPr>
          <w:rFonts w:ascii="Verdana" w:hAnsi="Verdana"/>
          <w:sz w:val="12"/>
          <w:szCs w:val="16"/>
        </w:rPr>
      </w:pPr>
      <w:r w:rsidRPr="00DB1736">
        <w:rPr>
          <w:rStyle w:val="FootnoteReference"/>
          <w:rFonts w:ascii="Verdana" w:hAnsi="Verdana"/>
          <w:sz w:val="12"/>
          <w:szCs w:val="16"/>
        </w:rPr>
        <w:footnoteRef/>
      </w:r>
      <w:r w:rsidRPr="00DB1736">
        <w:rPr>
          <w:rFonts w:ascii="Verdana" w:hAnsi="Verdana"/>
          <w:sz w:val="12"/>
          <w:szCs w:val="16"/>
        </w:rPr>
        <w:t xml:space="preserve"> </w:t>
      </w:r>
      <w:r w:rsidRPr="00DB1736">
        <w:rPr>
          <w:rStyle w:val="Strong"/>
          <w:rFonts w:ascii="Verdana" w:hAnsi="Verdana"/>
          <w:b w:val="0"/>
          <w:color w:val="000000"/>
          <w:sz w:val="12"/>
          <w:szCs w:val="16"/>
          <w:shd w:val="clear" w:color="auto" w:fill="FFFFFF"/>
        </w:rPr>
        <w:t xml:space="preserve">Caso Defensor de Derechos Humanos y otros Vs. Guatemala. Excepciones Preliminares, Fondo, Reparaciones y Costas. Sentencia de 28 de agosto de 2014. Serie C No. 283, párr. 129. Cita </w:t>
      </w:r>
      <w:r w:rsidRPr="00DB1736">
        <w:rPr>
          <w:rFonts w:ascii="Verdana" w:hAnsi="Verdana" w:cs="Arial"/>
          <w:sz w:val="12"/>
          <w:szCs w:val="16"/>
          <w:lang w:val="es-ES_tradnl"/>
        </w:rPr>
        <w:t xml:space="preserve">la </w:t>
      </w:r>
      <w:r w:rsidRPr="00DB1736">
        <w:rPr>
          <w:rFonts w:ascii="Verdana" w:hAnsi="Verdana" w:cs="Arial"/>
          <w:spacing w:val="-4"/>
          <w:sz w:val="12"/>
          <w:szCs w:val="16"/>
          <w:lang w:val="es-ES_tradnl"/>
        </w:rPr>
        <w:t xml:space="preserve">Declaración pericial rendida por </w:t>
      </w:r>
      <w:proofErr w:type="spellStart"/>
      <w:r w:rsidRPr="00DB1736">
        <w:rPr>
          <w:rFonts w:ascii="Verdana" w:hAnsi="Verdana" w:cs="Arial"/>
          <w:spacing w:val="-4"/>
          <w:sz w:val="12"/>
          <w:szCs w:val="16"/>
          <w:lang w:val="es-ES_tradnl"/>
        </w:rPr>
        <w:t>Hina</w:t>
      </w:r>
      <w:proofErr w:type="spellEnd"/>
      <w:r w:rsidRPr="00DB1736">
        <w:rPr>
          <w:rFonts w:ascii="Verdana" w:hAnsi="Verdana" w:cs="Arial"/>
          <w:spacing w:val="-4"/>
          <w:sz w:val="12"/>
          <w:szCs w:val="16"/>
          <w:lang w:val="es-ES_tradnl"/>
        </w:rPr>
        <w:t xml:space="preserve"> </w:t>
      </w:r>
      <w:proofErr w:type="spellStart"/>
      <w:r w:rsidRPr="00DB1736">
        <w:rPr>
          <w:rFonts w:ascii="Verdana" w:hAnsi="Verdana" w:cs="Arial"/>
          <w:spacing w:val="-4"/>
          <w:sz w:val="12"/>
          <w:szCs w:val="16"/>
          <w:lang w:val="es-ES_tradnl"/>
        </w:rPr>
        <w:t>Jilani</w:t>
      </w:r>
      <w:proofErr w:type="spellEnd"/>
      <w:r w:rsidRPr="00DB1736">
        <w:rPr>
          <w:rFonts w:ascii="Verdana" w:hAnsi="Verdana" w:cs="Arial"/>
          <w:spacing w:val="-4"/>
          <w:sz w:val="12"/>
          <w:szCs w:val="16"/>
          <w:lang w:val="es-ES_tradnl"/>
        </w:rPr>
        <w:t xml:space="preserve"> ante la Corte Interamericana en la audiencia pública celebrada el 5 de febrero de 2014; Segundo Informe sobre la Situación de las Defensoras y Defensores de Derechos Humanos en las Américas de la CIDH (2012), pág. 229.</w:t>
      </w:r>
    </w:p>
  </w:footnote>
  <w:footnote w:id="10">
    <w:p w14:paraId="44DC1A2F" w14:textId="77777777" w:rsidR="00F53CDA" w:rsidRPr="00DB1736" w:rsidRDefault="00F53CDA" w:rsidP="00C114C0">
      <w:pPr>
        <w:pStyle w:val="FootnoteText"/>
        <w:spacing w:after="60"/>
        <w:jc w:val="both"/>
        <w:rPr>
          <w:rFonts w:ascii="Verdana" w:hAnsi="Verdana"/>
          <w:sz w:val="12"/>
          <w:szCs w:val="16"/>
        </w:rPr>
      </w:pPr>
      <w:r w:rsidRPr="00DB1736">
        <w:rPr>
          <w:rStyle w:val="FootnoteReference"/>
          <w:rFonts w:ascii="Verdana" w:hAnsi="Verdana"/>
          <w:sz w:val="12"/>
          <w:szCs w:val="16"/>
        </w:rPr>
        <w:footnoteRef/>
      </w:r>
      <w:r w:rsidRPr="00DB1736">
        <w:rPr>
          <w:rFonts w:ascii="Verdana" w:hAnsi="Verdana"/>
          <w:sz w:val="12"/>
          <w:szCs w:val="16"/>
        </w:rPr>
        <w:t xml:space="preserve"> </w:t>
      </w:r>
      <w:r w:rsidRPr="00DB1736">
        <w:rPr>
          <w:rFonts w:ascii="Verdana" w:hAnsi="Verdana"/>
          <w:sz w:val="12"/>
          <w:szCs w:val="16"/>
          <w:lang w:val="es-ES_tradnl"/>
        </w:rPr>
        <w:t>Caso Espinoza Gonzáles Vs. Perú. Sentencia de 20 de noviembre de 2014, párr. 226, Caso Masacres de El Mozote y lugares aledaños Vs. El Salvador. Sentencia de 25 de octubre de 2012.</w:t>
      </w:r>
    </w:p>
  </w:footnote>
  <w:footnote w:id="11">
    <w:p w14:paraId="4AE566CC" w14:textId="77777777" w:rsidR="00F53CDA" w:rsidRPr="00DB1736" w:rsidRDefault="00F53CDA" w:rsidP="00C114C0">
      <w:pPr>
        <w:pStyle w:val="FootnoteText"/>
        <w:tabs>
          <w:tab w:val="left" w:pos="426"/>
        </w:tabs>
        <w:spacing w:after="60"/>
        <w:jc w:val="both"/>
        <w:rPr>
          <w:rFonts w:ascii="Verdana" w:hAnsi="Verdana" w:cs="Arial"/>
          <w:sz w:val="12"/>
          <w:szCs w:val="16"/>
          <w:lang w:val="es-ES_tradnl"/>
        </w:rPr>
      </w:pPr>
      <w:r w:rsidRPr="00DB1736">
        <w:rPr>
          <w:rStyle w:val="FootnoteReference"/>
          <w:rFonts w:ascii="Verdana" w:hAnsi="Verdana"/>
          <w:sz w:val="12"/>
          <w:szCs w:val="16"/>
        </w:rPr>
        <w:footnoteRef/>
      </w:r>
      <w:r w:rsidRPr="00DB1736">
        <w:rPr>
          <w:rFonts w:ascii="Verdana" w:hAnsi="Verdana"/>
          <w:sz w:val="12"/>
          <w:szCs w:val="16"/>
        </w:rPr>
        <w:t xml:space="preserve"> </w:t>
      </w:r>
      <w:r w:rsidRPr="00DB1736">
        <w:rPr>
          <w:rFonts w:ascii="Verdana" w:hAnsi="Verdana" w:cs="Arial"/>
          <w:sz w:val="12"/>
          <w:szCs w:val="16"/>
          <w:lang w:val="es-ES_tradnl"/>
        </w:rPr>
        <w:t xml:space="preserve">Caso Masacres de El Mozote y lugares aledaños Vs. El Salvador. Fondo, Reparaciones y Costas. Sentencia de 25 de octubre de 2012 Serie C No. 252, párr.293, Corte IDH. Caso </w:t>
      </w:r>
      <w:proofErr w:type="spellStart"/>
      <w:r w:rsidRPr="00DB1736">
        <w:rPr>
          <w:rFonts w:ascii="Verdana" w:hAnsi="Verdana" w:cs="Arial"/>
          <w:sz w:val="12"/>
          <w:szCs w:val="16"/>
          <w:lang w:val="es-ES_tradnl"/>
        </w:rPr>
        <w:t>Gelman</w:t>
      </w:r>
      <w:proofErr w:type="spellEnd"/>
      <w:r w:rsidRPr="00DB1736">
        <w:rPr>
          <w:rFonts w:ascii="Verdana" w:hAnsi="Verdana" w:cs="Arial"/>
          <w:sz w:val="12"/>
          <w:szCs w:val="16"/>
          <w:lang w:val="es-ES_tradnl"/>
        </w:rPr>
        <w:t xml:space="preserve"> Vs. Uruguay. Fondo y Reparaciones. Sentencia de 24 de febrero de 2011 Serie C No.221, párr. </w:t>
      </w:r>
      <w:r w:rsidRPr="00DB1736">
        <w:rPr>
          <w:rFonts w:ascii="Verdana" w:hAnsi="Verdana" w:cs="Arial"/>
          <w:sz w:val="12"/>
          <w:szCs w:val="16"/>
          <w:lang w:val="pt-BR"/>
        </w:rPr>
        <w:t xml:space="preserve">203, y Caso Gomes </w:t>
      </w:r>
      <w:proofErr w:type="spellStart"/>
      <w:r w:rsidRPr="00DB1736">
        <w:rPr>
          <w:rFonts w:ascii="Verdana" w:hAnsi="Verdana" w:cs="Arial"/>
          <w:sz w:val="12"/>
          <w:szCs w:val="16"/>
          <w:lang w:val="pt-BR"/>
        </w:rPr>
        <w:t>Lund</w:t>
      </w:r>
      <w:proofErr w:type="spellEnd"/>
      <w:r w:rsidRPr="00DB1736">
        <w:rPr>
          <w:rFonts w:ascii="Verdana" w:hAnsi="Verdana" w:cs="Arial"/>
          <w:sz w:val="12"/>
          <w:szCs w:val="16"/>
          <w:lang w:val="pt-BR"/>
        </w:rPr>
        <w:t xml:space="preserve"> y </w:t>
      </w:r>
      <w:proofErr w:type="spellStart"/>
      <w:r w:rsidRPr="00DB1736">
        <w:rPr>
          <w:rFonts w:ascii="Verdana" w:hAnsi="Verdana" w:cs="Arial"/>
          <w:sz w:val="12"/>
          <w:szCs w:val="16"/>
          <w:lang w:val="pt-BR"/>
        </w:rPr>
        <w:t>otros</w:t>
      </w:r>
      <w:proofErr w:type="spellEnd"/>
      <w:r w:rsidRPr="00DB1736">
        <w:rPr>
          <w:rFonts w:ascii="Verdana" w:hAnsi="Verdana" w:cs="Arial"/>
          <w:sz w:val="12"/>
          <w:szCs w:val="16"/>
          <w:lang w:val="pt-BR"/>
        </w:rPr>
        <w:t xml:space="preserve"> ("Guerrilha do Araguaia") Vs. </w:t>
      </w:r>
      <w:r w:rsidRPr="00DB1736">
        <w:rPr>
          <w:rFonts w:ascii="Verdana" w:hAnsi="Verdana" w:cs="Arial"/>
          <w:sz w:val="12"/>
          <w:szCs w:val="16"/>
          <w:lang w:val="es-ES_tradnl"/>
        </w:rPr>
        <w:t xml:space="preserve">Brasil, párr. 154. Cita el  Grupo de Trabajo sobre Desapariciones Forzadas o Involuntarias de las Naciones Unidas. </w:t>
      </w:r>
      <w:r w:rsidRPr="00DB1736">
        <w:rPr>
          <w:rFonts w:ascii="Verdana" w:hAnsi="Verdana" w:cs="Arial"/>
          <w:sz w:val="12"/>
          <w:szCs w:val="16"/>
          <w:lang w:val="es-ES_tradnl" w:bidi="en-US"/>
        </w:rPr>
        <w:t xml:space="preserve">Observación General sobre el artículo 18 de la Declaración sobre la protección de todas las personas contra las desapariciones forzadas. </w:t>
      </w:r>
      <w:r w:rsidRPr="00DB1736">
        <w:rPr>
          <w:rFonts w:ascii="Verdana" w:hAnsi="Verdana" w:cs="Arial"/>
          <w:sz w:val="12"/>
          <w:szCs w:val="16"/>
          <w:lang w:val="es-ES_tradnl"/>
        </w:rPr>
        <w:t xml:space="preserve">Informe presentado dentro de 62º período de sesiones de la Comisión de Derechos Humanos. U.N. Doc. </w:t>
      </w:r>
      <w:r w:rsidRPr="00DB1736">
        <w:rPr>
          <w:rFonts w:ascii="Verdana" w:hAnsi="Verdana" w:cs="Arial"/>
          <w:sz w:val="12"/>
          <w:szCs w:val="16"/>
          <w:lang w:val="es-ES_tradnl" w:bidi="en-US"/>
        </w:rPr>
        <w:t>E/CN.4/2006/56, de 27 de diciembre de 2005, párr. 2, incisos a, c y d.</w:t>
      </w:r>
    </w:p>
  </w:footnote>
  <w:footnote w:id="12">
    <w:p w14:paraId="5DA58543" w14:textId="77777777" w:rsidR="00F53CDA" w:rsidRPr="00DB1736" w:rsidRDefault="00F53CDA" w:rsidP="00C114C0">
      <w:pPr>
        <w:pStyle w:val="FootnoteText"/>
        <w:spacing w:after="60"/>
        <w:jc w:val="both"/>
        <w:rPr>
          <w:rFonts w:ascii="Verdana" w:hAnsi="Verdana"/>
          <w:sz w:val="12"/>
          <w:szCs w:val="16"/>
          <w:lang w:val="es-ES_tradnl"/>
        </w:rPr>
      </w:pPr>
      <w:r w:rsidRPr="00DB1736">
        <w:rPr>
          <w:rStyle w:val="FootnoteReference"/>
          <w:rFonts w:ascii="Verdana" w:hAnsi="Verdana"/>
          <w:sz w:val="12"/>
          <w:szCs w:val="16"/>
        </w:rPr>
        <w:footnoteRef/>
      </w:r>
      <w:r w:rsidRPr="00DB1736">
        <w:rPr>
          <w:rFonts w:ascii="Verdana" w:hAnsi="Verdana"/>
          <w:sz w:val="12"/>
          <w:szCs w:val="16"/>
        </w:rPr>
        <w:t xml:space="preserve"> Caso Norín Catrimán y otros (Dirigentes, miembros y activista del Pueblo Indígena Mapuche) Vs. Chile. Fondo, Reparaciones y Costas. Sentencia de 29 de mayo de 2014, párr. 76, Cita: UN Doc. E/CN.4/2004/80/Add.3, 17 de noviembre de 2003, Informe del Relator Especial sobre la situación de los derechos humanos y las libertades fundamentales de los indígenas, Sr. Rodolfo Stavenhagen, presentado de conformidad con la resolución 2003/56 de la Comisión, Adición, Misión a Chile.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93875"/>
    <w:multiLevelType w:val="hybridMultilevel"/>
    <w:tmpl w:val="6366D7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E8"/>
    <w:rsid w:val="00005B4E"/>
    <w:rsid w:val="00011298"/>
    <w:rsid w:val="00014E61"/>
    <w:rsid w:val="00046ADE"/>
    <w:rsid w:val="00065023"/>
    <w:rsid w:val="000A6ADA"/>
    <w:rsid w:val="000A7594"/>
    <w:rsid w:val="000D41CF"/>
    <w:rsid w:val="000E761A"/>
    <w:rsid w:val="00106EE7"/>
    <w:rsid w:val="00127443"/>
    <w:rsid w:val="00177EF3"/>
    <w:rsid w:val="00271C8A"/>
    <w:rsid w:val="00271EC3"/>
    <w:rsid w:val="002A00CE"/>
    <w:rsid w:val="002B10DF"/>
    <w:rsid w:val="002C6834"/>
    <w:rsid w:val="002D6956"/>
    <w:rsid w:val="003242D4"/>
    <w:rsid w:val="00362620"/>
    <w:rsid w:val="00367419"/>
    <w:rsid w:val="00377F8D"/>
    <w:rsid w:val="003852BA"/>
    <w:rsid w:val="00390DD6"/>
    <w:rsid w:val="003C5F84"/>
    <w:rsid w:val="003F360A"/>
    <w:rsid w:val="0040054A"/>
    <w:rsid w:val="004118C9"/>
    <w:rsid w:val="00415015"/>
    <w:rsid w:val="00454C84"/>
    <w:rsid w:val="0046112C"/>
    <w:rsid w:val="00465DF8"/>
    <w:rsid w:val="004E7761"/>
    <w:rsid w:val="004F1396"/>
    <w:rsid w:val="004F14F1"/>
    <w:rsid w:val="00547EDE"/>
    <w:rsid w:val="00553D51"/>
    <w:rsid w:val="0057614C"/>
    <w:rsid w:val="005B5354"/>
    <w:rsid w:val="00655D5A"/>
    <w:rsid w:val="00662FDA"/>
    <w:rsid w:val="00666A92"/>
    <w:rsid w:val="00684D54"/>
    <w:rsid w:val="00693664"/>
    <w:rsid w:val="006B28A7"/>
    <w:rsid w:val="006C1BFD"/>
    <w:rsid w:val="006E45D0"/>
    <w:rsid w:val="006F73F9"/>
    <w:rsid w:val="00713871"/>
    <w:rsid w:val="00740F70"/>
    <w:rsid w:val="007424F5"/>
    <w:rsid w:val="007A62ED"/>
    <w:rsid w:val="00827D95"/>
    <w:rsid w:val="0085009C"/>
    <w:rsid w:val="00867BF1"/>
    <w:rsid w:val="00882369"/>
    <w:rsid w:val="008B4CC6"/>
    <w:rsid w:val="008E5DAD"/>
    <w:rsid w:val="00905D32"/>
    <w:rsid w:val="00936D8B"/>
    <w:rsid w:val="00976E7C"/>
    <w:rsid w:val="009A0768"/>
    <w:rsid w:val="009C69F0"/>
    <w:rsid w:val="00A36BC5"/>
    <w:rsid w:val="00A37EAE"/>
    <w:rsid w:val="00A433E7"/>
    <w:rsid w:val="00AA6B8D"/>
    <w:rsid w:val="00AC0B5F"/>
    <w:rsid w:val="00AC208D"/>
    <w:rsid w:val="00AD2387"/>
    <w:rsid w:val="00AE0F86"/>
    <w:rsid w:val="00B5349E"/>
    <w:rsid w:val="00B816E8"/>
    <w:rsid w:val="00BE736D"/>
    <w:rsid w:val="00BF7055"/>
    <w:rsid w:val="00C026AD"/>
    <w:rsid w:val="00C114C0"/>
    <w:rsid w:val="00C21665"/>
    <w:rsid w:val="00C32B58"/>
    <w:rsid w:val="00C87B30"/>
    <w:rsid w:val="00D00A40"/>
    <w:rsid w:val="00D37103"/>
    <w:rsid w:val="00D72286"/>
    <w:rsid w:val="00D72F3D"/>
    <w:rsid w:val="00D87492"/>
    <w:rsid w:val="00DB1736"/>
    <w:rsid w:val="00DB4284"/>
    <w:rsid w:val="00DE5610"/>
    <w:rsid w:val="00EA5135"/>
    <w:rsid w:val="00EC1086"/>
    <w:rsid w:val="00EE6697"/>
    <w:rsid w:val="00F070AA"/>
    <w:rsid w:val="00F5103A"/>
    <w:rsid w:val="00F53CDA"/>
    <w:rsid w:val="00F57E0D"/>
    <w:rsid w:val="00FC5F84"/>
    <w:rsid w:val="00FD154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A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C,ft"/>
    <w:basedOn w:val="Normal"/>
    <w:link w:val="FootnoteTextChar"/>
    <w:unhideWhenUsed/>
    <w:qFormat/>
    <w:rsid w:val="00F070AA"/>
    <w:pPr>
      <w:spacing w:after="0" w:line="240" w:lineRule="auto"/>
    </w:pPr>
    <w:rPr>
      <w:rFonts w:ascii="Calibri" w:eastAsia="Times New Roman" w:hAnsi="Calibri" w:cs="Times New Roman"/>
      <w:sz w:val="20"/>
      <w:szCs w:val="20"/>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F070AA"/>
    <w:rPr>
      <w:rFonts w:ascii="Calibri" w:eastAsia="Times New Roman" w:hAnsi="Calibri" w:cs="Times New Roman"/>
      <w:sz w:val="20"/>
      <w:szCs w:val="20"/>
      <w:lang w:eastAsia="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unhideWhenUsed/>
    <w:qFormat/>
    <w:rsid w:val="00F070AA"/>
    <w:rPr>
      <w:vertAlign w:val="superscript"/>
    </w:rPr>
  </w:style>
  <w:style w:type="character" w:styleId="Strong">
    <w:name w:val="Strong"/>
    <w:basedOn w:val="DefaultParagraphFont"/>
    <w:uiPriority w:val="22"/>
    <w:qFormat/>
    <w:rsid w:val="00882369"/>
    <w:rPr>
      <w:b/>
      <w:bCs/>
    </w:rPr>
  </w:style>
  <w:style w:type="paragraph" w:styleId="ListParagraph">
    <w:name w:val="List Paragraph"/>
    <w:basedOn w:val="Normal"/>
    <w:uiPriority w:val="34"/>
    <w:qFormat/>
    <w:rsid w:val="00011298"/>
    <w:pPr>
      <w:ind w:left="720"/>
      <w:contextualSpacing/>
    </w:pPr>
  </w:style>
  <w:style w:type="paragraph" w:styleId="BalloonText">
    <w:name w:val="Balloon Text"/>
    <w:basedOn w:val="Normal"/>
    <w:link w:val="BalloonTextChar"/>
    <w:uiPriority w:val="99"/>
    <w:semiHidden/>
    <w:unhideWhenUsed/>
    <w:rsid w:val="00EE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C,ft"/>
    <w:basedOn w:val="Normal"/>
    <w:link w:val="FootnoteTextChar"/>
    <w:unhideWhenUsed/>
    <w:qFormat/>
    <w:rsid w:val="00F070AA"/>
    <w:pPr>
      <w:spacing w:after="0" w:line="240" w:lineRule="auto"/>
    </w:pPr>
    <w:rPr>
      <w:rFonts w:ascii="Calibri" w:eastAsia="Times New Roman" w:hAnsi="Calibri" w:cs="Times New Roman"/>
      <w:sz w:val="20"/>
      <w:szCs w:val="20"/>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F070AA"/>
    <w:rPr>
      <w:rFonts w:ascii="Calibri" w:eastAsia="Times New Roman" w:hAnsi="Calibri" w:cs="Times New Roman"/>
      <w:sz w:val="20"/>
      <w:szCs w:val="20"/>
      <w:lang w:eastAsia="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unhideWhenUsed/>
    <w:qFormat/>
    <w:rsid w:val="00F070AA"/>
    <w:rPr>
      <w:vertAlign w:val="superscript"/>
    </w:rPr>
  </w:style>
  <w:style w:type="character" w:styleId="Strong">
    <w:name w:val="Strong"/>
    <w:basedOn w:val="DefaultParagraphFont"/>
    <w:uiPriority w:val="22"/>
    <w:qFormat/>
    <w:rsid w:val="00882369"/>
    <w:rPr>
      <w:b/>
      <w:bCs/>
    </w:rPr>
  </w:style>
  <w:style w:type="paragraph" w:styleId="ListParagraph">
    <w:name w:val="List Paragraph"/>
    <w:basedOn w:val="Normal"/>
    <w:uiPriority w:val="34"/>
    <w:qFormat/>
    <w:rsid w:val="00011298"/>
    <w:pPr>
      <w:ind w:left="720"/>
      <w:contextualSpacing/>
    </w:pPr>
  </w:style>
  <w:style w:type="paragraph" w:styleId="BalloonText">
    <w:name w:val="Balloon Text"/>
    <w:basedOn w:val="Normal"/>
    <w:link w:val="BalloonTextChar"/>
    <w:uiPriority w:val="99"/>
    <w:semiHidden/>
    <w:unhideWhenUsed/>
    <w:rsid w:val="00EE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6784">
      <w:bodyDiv w:val="1"/>
      <w:marLeft w:val="0"/>
      <w:marRight w:val="0"/>
      <w:marTop w:val="0"/>
      <w:marBottom w:val="0"/>
      <w:divBdr>
        <w:top w:val="none" w:sz="0" w:space="0" w:color="auto"/>
        <w:left w:val="none" w:sz="0" w:space="0" w:color="auto"/>
        <w:bottom w:val="none" w:sz="0" w:space="0" w:color="auto"/>
        <w:right w:val="none" w:sz="0" w:space="0" w:color="auto"/>
      </w:divBdr>
    </w:div>
    <w:div w:id="185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B2830A-236B-4955-833F-24BF57F95CC3}"/>
</file>

<file path=customXml/itemProps2.xml><?xml version="1.0" encoding="utf-8"?>
<ds:datastoreItem xmlns:ds="http://schemas.openxmlformats.org/officeDocument/2006/customXml" ds:itemID="{5B7D69F6-C63C-48F2-9A21-A6C302D95AA2}"/>
</file>

<file path=customXml/itemProps3.xml><?xml version="1.0" encoding="utf-8"?>
<ds:datastoreItem xmlns:ds="http://schemas.openxmlformats.org/officeDocument/2006/customXml" ds:itemID="{DE363E79-AB2D-4898-A22D-919F97EBEFAB}"/>
</file>

<file path=customXml/itemProps4.xml><?xml version="1.0" encoding="utf-8"?>
<ds:datastoreItem xmlns:ds="http://schemas.openxmlformats.org/officeDocument/2006/customXml" ds:itemID="{097F935B-A5AD-4A78-9A92-2CE3CB4883B4}"/>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10056</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BrunoRodriguez</dc:creator>
  <cp:lastModifiedBy>Liza Sekaggya</cp:lastModifiedBy>
  <cp:revision>2</cp:revision>
  <cp:lastPrinted>2015-10-08T17:07:00Z</cp:lastPrinted>
  <dcterms:created xsi:type="dcterms:W3CDTF">2015-10-29T14:28:00Z</dcterms:created>
  <dcterms:modified xsi:type="dcterms:W3CDTF">2015-10-29T14:28:00Z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