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F13" w:rsidRPr="007668DF" w:rsidRDefault="00A71DFD" w:rsidP="006C2FA0">
      <w:pPr>
        <w:pStyle w:val="NoSpacing"/>
        <w:spacing w:line="276" w:lineRule="auto"/>
        <w:rPr>
          <w:rFonts w:ascii="Times New Roman" w:hAnsi="Times New Roman"/>
          <w:sz w:val="24"/>
          <w:szCs w:val="24"/>
        </w:rPr>
      </w:pPr>
      <w:bookmarkStart w:id="0" w:name="_GoBack"/>
      <w:bookmarkEnd w:id="0"/>
      <w:r w:rsidRPr="007668DF">
        <w:rPr>
          <w:rFonts w:ascii="Times New Roman" w:hAnsi="Times New Roman"/>
          <w:noProof/>
          <w:sz w:val="24"/>
          <w:szCs w:val="24"/>
          <w:lang w:val="en-US"/>
        </w:rPr>
        <mc:AlternateContent>
          <mc:Choice Requires="wps">
            <w:drawing>
              <wp:anchor distT="0" distB="0" distL="114300" distR="114300" simplePos="0" relativeHeight="251658240" behindDoc="0" locked="0" layoutInCell="1" allowOverlap="1" wp14:anchorId="78899DB6" wp14:editId="52743877">
                <wp:simplePos x="0" y="0"/>
                <wp:positionH relativeFrom="column">
                  <wp:posOffset>114935</wp:posOffset>
                </wp:positionH>
                <wp:positionV relativeFrom="paragraph">
                  <wp:posOffset>-249555</wp:posOffset>
                </wp:positionV>
                <wp:extent cx="2773680" cy="742315"/>
                <wp:effectExtent l="635" t="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680" cy="742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716E" w:rsidRPr="007102D6" w:rsidRDefault="00C5716E" w:rsidP="007102D6">
                            <w:pPr>
                              <w:spacing w:after="0" w:line="240" w:lineRule="auto"/>
                              <w:rPr>
                                <w:rFonts w:ascii="Arial" w:hAnsi="Arial" w:cs="Arial"/>
                                <w:b/>
                                <w:color w:val="548DD4"/>
                                <w:sz w:val="44"/>
                                <w:szCs w:val="44"/>
                                <w:lang w:val="fr-CH"/>
                              </w:rPr>
                            </w:pPr>
                            <w:r w:rsidRPr="007102D6">
                              <w:rPr>
                                <w:rFonts w:ascii="Arial" w:hAnsi="Arial" w:cs="Arial"/>
                                <w:b/>
                                <w:color w:val="548DD4"/>
                                <w:sz w:val="44"/>
                                <w:szCs w:val="44"/>
                                <w:lang w:val="fr-CH"/>
                              </w:rPr>
                              <w:t>MINUSMA</w:t>
                            </w:r>
                          </w:p>
                          <w:p w:rsidR="00C5716E" w:rsidRPr="007F2364" w:rsidRDefault="00C5716E" w:rsidP="007102D6">
                            <w:pPr>
                              <w:spacing w:after="0" w:line="240" w:lineRule="auto"/>
                              <w:rPr>
                                <w:rFonts w:eastAsia="Malgun Gothic"/>
                                <w:b/>
                                <w:noProof/>
                                <w:color w:val="548DD4"/>
                                <w:lang w:val="fr-CH" w:eastAsia="en-GB"/>
                              </w:rPr>
                            </w:pPr>
                            <w:r w:rsidRPr="007F2364">
                              <w:rPr>
                                <w:rFonts w:eastAsia="Malgun Gothic"/>
                                <w:b/>
                                <w:color w:val="548DD4"/>
                                <w:sz w:val="16"/>
                                <w:szCs w:val="16"/>
                              </w:rPr>
                              <w:t>Mission Multidimensionnelle Intégrée des Nations</w:t>
                            </w:r>
                            <w:r w:rsidRPr="007F2364">
                              <w:rPr>
                                <w:rFonts w:eastAsia="Malgun Gothic"/>
                                <w:b/>
                                <w:color w:val="548DD4"/>
                              </w:rPr>
                              <w:t xml:space="preserve"> </w:t>
                            </w:r>
                            <w:r w:rsidRPr="007F2364">
                              <w:rPr>
                                <w:rFonts w:eastAsia="Malgun Gothic"/>
                                <w:b/>
                                <w:color w:val="548DD4"/>
                                <w:sz w:val="16"/>
                                <w:szCs w:val="16"/>
                              </w:rPr>
                              <w:t>Unies pour la Stabilisation au Mali</w:t>
                            </w:r>
                          </w:p>
                          <w:p w:rsidR="00C5716E" w:rsidRPr="007102D6" w:rsidRDefault="00C5716E">
                            <w:pPr>
                              <w:rPr>
                                <w:lang w:val="fr-CH"/>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899DB6" id="_x0000_t202" coordsize="21600,21600" o:spt="202" path="m,l,21600r21600,l21600,xe">
                <v:stroke joinstyle="miter"/>
                <v:path gradientshapeok="t" o:connecttype="rect"/>
              </v:shapetype>
              <v:shape id="Text Box 5" o:spid="_x0000_s1026" type="#_x0000_t202" style="position:absolute;margin-left:9.05pt;margin-top:-19.65pt;width:218.4pt;height:5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" stroked="f">
                <v:textbox>
                  <w:txbxContent>
                    <w:p w:rsidR="00C5716E" w:rsidRPr="007102D6" w:rsidRDefault="00C5716E" w:rsidP="007102D6">
                      <w:pPr>
                        <w:spacing w:after="0" w:line="240" w:lineRule="auto"/>
                        <w:rPr>
                          <w:rFonts w:ascii="Arial" w:hAnsi="Arial" w:cs="Arial"/>
                          <w:b/>
                          <w:color w:val="548DD4"/>
                          <w:sz w:val="44"/>
                          <w:szCs w:val="44"/>
                          <w:lang w:val="fr-CH"/>
                        </w:rPr>
                      </w:pPr>
                      <w:r w:rsidRPr="007102D6">
                        <w:rPr>
                          <w:rFonts w:ascii="Arial" w:hAnsi="Arial" w:cs="Arial"/>
                          <w:b/>
                          <w:color w:val="548DD4"/>
                          <w:sz w:val="44"/>
                          <w:szCs w:val="44"/>
                          <w:lang w:val="fr-CH"/>
                        </w:rPr>
                        <w:t>MINUSMA</w:t>
                      </w:r>
                    </w:p>
                    <w:p w:rsidR="00C5716E" w:rsidRPr="007F2364" w:rsidRDefault="00C5716E" w:rsidP="007102D6">
                      <w:pPr>
                        <w:spacing w:after="0" w:line="240" w:lineRule="auto"/>
                        <w:rPr>
                          <w:rFonts w:eastAsia="Malgun Gothic"/>
                          <w:b/>
                          <w:noProof/>
                          <w:color w:val="548DD4"/>
                          <w:lang w:val="fr-CH" w:eastAsia="en-GB"/>
                        </w:rPr>
                      </w:pPr>
                      <w:r w:rsidRPr="007F2364">
                        <w:rPr>
                          <w:rFonts w:eastAsia="Malgun Gothic"/>
                          <w:b/>
                          <w:color w:val="548DD4"/>
                          <w:sz w:val="16"/>
                          <w:szCs w:val="16"/>
                        </w:rPr>
                        <w:t>Mission Multidimensionnelle Intégrée des Nations</w:t>
                      </w:r>
                      <w:r w:rsidRPr="007F2364">
                        <w:rPr>
                          <w:rFonts w:eastAsia="Malgun Gothic"/>
                          <w:b/>
                          <w:color w:val="548DD4"/>
                        </w:rPr>
                        <w:t xml:space="preserve"> </w:t>
                      </w:r>
                      <w:r w:rsidRPr="007F2364">
                        <w:rPr>
                          <w:rFonts w:eastAsia="Malgun Gothic"/>
                          <w:b/>
                          <w:color w:val="548DD4"/>
                          <w:sz w:val="16"/>
                          <w:szCs w:val="16"/>
                        </w:rPr>
                        <w:t>Unies pour la Stabilisation au Mali</w:t>
                      </w:r>
                    </w:p>
                    <w:p w:rsidR="00C5716E" w:rsidRPr="007102D6" w:rsidRDefault="00C5716E">
                      <w:pPr>
                        <w:rPr>
                          <w:lang w:val="fr-CH"/>
                        </w:rPr>
                      </w:pPr>
                    </w:p>
                  </w:txbxContent>
                </v:textbox>
              </v:shape>
            </w:pict>
          </mc:Fallback>
        </mc:AlternateContent>
      </w:r>
      <w:r w:rsidRPr="007668DF">
        <w:rPr>
          <w:rFonts w:ascii="Times New Roman" w:hAnsi="Times New Roman"/>
          <w:noProof/>
          <w:sz w:val="24"/>
          <w:szCs w:val="24"/>
          <w:lang w:val="en-US"/>
        </w:rPr>
        <mc:AlternateContent>
          <mc:Choice Requires="wps">
            <w:drawing>
              <wp:anchor distT="0" distB="0" distL="114300" distR="114300" simplePos="0" relativeHeight="251657216" behindDoc="0" locked="0" layoutInCell="1" allowOverlap="1" wp14:anchorId="4FA7160E" wp14:editId="5805F558">
                <wp:simplePos x="0" y="0"/>
                <wp:positionH relativeFrom="column">
                  <wp:posOffset>-564515</wp:posOffset>
                </wp:positionH>
                <wp:positionV relativeFrom="paragraph">
                  <wp:posOffset>-236220</wp:posOffset>
                </wp:positionV>
                <wp:extent cx="1373505" cy="581025"/>
                <wp:effectExtent l="0" t="1905" r="63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3505"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716E" w:rsidRPr="007102D6" w:rsidRDefault="00C5716E">
                            <w:pPr>
                              <w:rPr>
                                <w:lang w:val="en-GB"/>
                              </w:rPr>
                            </w:pPr>
                            <w:r>
                              <w:rPr>
                                <w:rFonts w:ascii="Times New Roman" w:eastAsia="Malgun Gothic" w:hAnsi="Times New Roman"/>
                                <w:noProof/>
                                <w:sz w:val="24"/>
                                <w:szCs w:val="24"/>
                                <w:lang w:val="en-US"/>
                              </w:rPr>
                              <w:drawing>
                                <wp:inline distT="0" distB="0" distL="0" distR="0" wp14:anchorId="2DA330B0" wp14:editId="688FAB33">
                                  <wp:extent cx="600075" cy="482600"/>
                                  <wp:effectExtent l="0" t="0" r="9525" b="0"/>
                                  <wp:docPr id="2" name="Picture 1"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482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A7160E" id="Text Box 2" o:spid="_x0000_s1027" type="#_x0000_t202" style="position:absolute;margin-left:-44.45pt;margin-top:-18.6pt;width:108.15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" stroked="f">
                <v:textbox>
                  <w:txbxContent>
                    <w:p w:rsidR="00C5716E" w:rsidRPr="007102D6" w:rsidRDefault="00C5716E">
                      <w:pPr>
                        <w:rPr>
                          <w:lang w:val="en-GB"/>
                        </w:rPr>
                      </w:pPr>
                      <w:r>
                        <w:rPr>
                          <w:rFonts w:ascii="Times New Roman" w:eastAsia="Malgun Gothic" w:hAnsi="Times New Roman"/>
                          <w:noProof/>
                          <w:sz w:val="24"/>
                          <w:szCs w:val="24"/>
                          <w:lang w:val="en-US"/>
                        </w:rPr>
                        <w:drawing>
                          <wp:inline distT="0" distB="0" distL="0" distR="0" wp14:anchorId="2DA330B0" wp14:editId="688FAB33">
                            <wp:extent cx="600075" cy="482600"/>
                            <wp:effectExtent l="0" t="0" r="9525" b="0"/>
                            <wp:docPr id="2" name="Picture 1"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482600"/>
                                    </a:xfrm>
                                    <a:prstGeom prst="rect">
                                      <a:avLst/>
                                    </a:prstGeom>
                                    <a:noFill/>
                                    <a:ln>
                                      <a:noFill/>
                                    </a:ln>
                                  </pic:spPr>
                                </pic:pic>
                              </a:graphicData>
                            </a:graphic>
                          </wp:inline>
                        </w:drawing>
                      </w:r>
                    </w:p>
                  </w:txbxContent>
                </v:textbox>
              </v:shape>
            </w:pict>
          </mc:Fallback>
        </mc:AlternateContent>
      </w:r>
      <w:r w:rsidRPr="007668DF">
        <w:rPr>
          <w:rFonts w:ascii="Times New Roman" w:hAnsi="Times New Roman"/>
          <w:noProof/>
          <w:sz w:val="24"/>
          <w:szCs w:val="24"/>
          <w:lang w:val="en-US"/>
        </w:rPr>
        <w:drawing>
          <wp:anchor distT="0" distB="0" distL="114300" distR="114300" simplePos="0" relativeHeight="251656192" behindDoc="0" locked="0" layoutInCell="1" allowOverlap="1" wp14:anchorId="77A21E23" wp14:editId="216B1782">
            <wp:simplePos x="0" y="0"/>
            <wp:positionH relativeFrom="column">
              <wp:posOffset>4121785</wp:posOffset>
            </wp:positionH>
            <wp:positionV relativeFrom="paragraph">
              <wp:posOffset>-492760</wp:posOffset>
            </wp:positionV>
            <wp:extent cx="2280285" cy="854710"/>
            <wp:effectExtent l="0" t="0" r="5715" b="254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0285" cy="854710"/>
                    </a:xfrm>
                    <a:prstGeom prst="rect">
                      <a:avLst/>
                    </a:prstGeom>
                    <a:noFill/>
                  </pic:spPr>
                </pic:pic>
              </a:graphicData>
            </a:graphic>
            <wp14:sizeRelH relativeFrom="page">
              <wp14:pctWidth>0</wp14:pctWidth>
            </wp14:sizeRelH>
            <wp14:sizeRelV relativeFrom="page">
              <wp14:pctHeight>0</wp14:pctHeight>
            </wp14:sizeRelV>
          </wp:anchor>
        </w:drawing>
      </w:r>
      <w:r w:rsidR="00FD0F13" w:rsidRPr="007668DF">
        <w:rPr>
          <w:rFonts w:ascii="Times New Roman" w:hAnsi="Times New Roman"/>
          <w:sz w:val="24"/>
          <w:szCs w:val="24"/>
        </w:rPr>
        <w:t xml:space="preserve">                                                                                                                 </w:t>
      </w:r>
    </w:p>
    <w:p w:rsidR="00FD0F13" w:rsidRPr="007668DF" w:rsidRDefault="00FD0F13" w:rsidP="006C2FA0">
      <w:pPr>
        <w:tabs>
          <w:tab w:val="left" w:pos="567"/>
        </w:tabs>
        <w:rPr>
          <w:rFonts w:ascii="Times New Roman" w:hAnsi="Times New Roman"/>
          <w:sz w:val="24"/>
          <w:szCs w:val="24"/>
        </w:rPr>
      </w:pPr>
    </w:p>
    <w:p w:rsidR="008907D3" w:rsidRPr="007668DF" w:rsidRDefault="008907D3" w:rsidP="006C2FA0">
      <w:pPr>
        <w:tabs>
          <w:tab w:val="left" w:pos="567"/>
        </w:tabs>
        <w:rPr>
          <w:rFonts w:ascii="Times New Roman" w:hAnsi="Times New Roman"/>
          <w:sz w:val="24"/>
          <w:szCs w:val="24"/>
        </w:rPr>
      </w:pPr>
    </w:p>
    <w:p w:rsidR="007102D6" w:rsidRPr="007668DF" w:rsidRDefault="0093383C" w:rsidP="006C2FA0">
      <w:pPr>
        <w:tabs>
          <w:tab w:val="left" w:pos="567"/>
        </w:tabs>
        <w:jc w:val="right"/>
        <w:rPr>
          <w:rFonts w:ascii="Times New Roman" w:hAnsi="Times New Roman"/>
          <w:b/>
          <w:sz w:val="24"/>
          <w:szCs w:val="24"/>
        </w:rPr>
      </w:pPr>
      <w:r>
        <w:rPr>
          <w:rFonts w:ascii="Times New Roman" w:hAnsi="Times New Roman"/>
          <w:b/>
          <w:sz w:val="24"/>
          <w:szCs w:val="24"/>
        </w:rPr>
        <w:t>17 novembre</w:t>
      </w:r>
      <w:r w:rsidR="008907D3" w:rsidRPr="007668DF">
        <w:rPr>
          <w:rFonts w:ascii="Times New Roman" w:hAnsi="Times New Roman"/>
          <w:b/>
          <w:sz w:val="24"/>
          <w:szCs w:val="24"/>
        </w:rPr>
        <w:t xml:space="preserve"> 2014 </w:t>
      </w:r>
      <w:r w:rsidR="008907D3" w:rsidRPr="007668DF">
        <w:rPr>
          <w:rFonts w:ascii="Times New Roman" w:hAnsi="Times New Roman"/>
          <w:b/>
          <w:sz w:val="24"/>
          <w:szCs w:val="24"/>
        </w:rPr>
        <w:br/>
      </w:r>
      <w:r w:rsidR="008907D3" w:rsidRPr="007668DF">
        <w:rPr>
          <w:rFonts w:ascii="Times New Roman" w:hAnsi="Times New Roman"/>
          <w:b/>
          <w:sz w:val="24"/>
          <w:szCs w:val="24"/>
          <w:lang w:eastAsia="fr-FR"/>
        </w:rPr>
        <w:t>Original: français</w:t>
      </w:r>
    </w:p>
    <w:p w:rsidR="00DA30E2" w:rsidRPr="007668DF" w:rsidRDefault="00A71DFD" w:rsidP="006C2FA0">
      <w:pPr>
        <w:tabs>
          <w:tab w:val="left" w:pos="567"/>
        </w:tabs>
        <w:rPr>
          <w:rFonts w:ascii="Times New Roman" w:eastAsia="Malgun Gothic" w:hAnsi="Times New Roman"/>
          <w:b/>
          <w:sz w:val="24"/>
          <w:szCs w:val="24"/>
          <w:lang w:val="fr-CH"/>
        </w:rPr>
      </w:pPr>
      <w:r w:rsidRPr="007668DF">
        <w:rPr>
          <w:rFonts w:ascii="Times New Roman" w:eastAsia="Malgun Gothic" w:hAnsi="Times New Roman"/>
          <w:b/>
          <w:noProof/>
          <w:sz w:val="24"/>
          <w:szCs w:val="24"/>
          <w:lang w:val="en-US"/>
        </w:rPr>
        <mc:AlternateContent>
          <mc:Choice Requires="wps">
            <w:drawing>
              <wp:anchor distT="0" distB="0" distL="114300" distR="114300" simplePos="0" relativeHeight="251659264" behindDoc="0" locked="0" layoutInCell="1" allowOverlap="1" wp14:anchorId="24719432" wp14:editId="344EFDF5">
                <wp:simplePos x="0" y="0"/>
                <wp:positionH relativeFrom="column">
                  <wp:posOffset>-9525</wp:posOffset>
                </wp:positionH>
                <wp:positionV relativeFrom="paragraph">
                  <wp:posOffset>222250</wp:posOffset>
                </wp:positionV>
                <wp:extent cx="5886450" cy="0"/>
                <wp:effectExtent l="9525" t="12700" r="9525" b="635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878F7E" id="_x0000_t32" coordsize="21600,21600" o:spt="32" o:oned="t" path="m,l21600,21600e" filled="f">
                <v:path arrowok="t" fillok="f" o:connecttype="none"/>
                <o:lock v:ext="edit" shapetype="t"/>
              </v:shapetype>
              <v:shape id="AutoShape 11" o:spid="_x0000_s1026" type="#_x0000_t32" style="position:absolute;margin-left:-.75pt;margin-top:17.5pt;width:46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"/>
            </w:pict>
          </mc:Fallback>
        </mc:AlternateContent>
      </w:r>
    </w:p>
    <w:p w:rsidR="009526DC" w:rsidRPr="007668DF" w:rsidRDefault="00DA30E2" w:rsidP="006C2FA0">
      <w:pPr>
        <w:tabs>
          <w:tab w:val="left" w:pos="567"/>
          <w:tab w:val="center" w:pos="4825"/>
          <w:tab w:val="left" w:pos="7037"/>
        </w:tabs>
        <w:contextualSpacing/>
        <w:rPr>
          <w:rFonts w:ascii="Times New Roman" w:hAnsi="Times New Roman"/>
          <w:b/>
          <w:sz w:val="24"/>
          <w:szCs w:val="24"/>
          <w:lang w:val="fr-CH"/>
        </w:rPr>
      </w:pPr>
      <w:r w:rsidRPr="007668DF">
        <w:rPr>
          <w:rFonts w:ascii="Times New Roman" w:hAnsi="Times New Roman"/>
          <w:b/>
          <w:sz w:val="24"/>
          <w:szCs w:val="24"/>
          <w:lang w:val="fr-CH"/>
        </w:rPr>
        <w:t>Rapport sur la situation des droits de l</w:t>
      </w:r>
      <w:r w:rsidR="009526DC" w:rsidRPr="007668DF">
        <w:rPr>
          <w:rFonts w:ascii="Times New Roman" w:hAnsi="Times New Roman"/>
          <w:b/>
          <w:sz w:val="24"/>
          <w:szCs w:val="24"/>
          <w:lang w:val="fr-CH"/>
        </w:rPr>
        <w:t>’</w:t>
      </w:r>
      <w:r w:rsidRPr="007668DF">
        <w:rPr>
          <w:rFonts w:ascii="Times New Roman" w:hAnsi="Times New Roman"/>
          <w:b/>
          <w:sz w:val="24"/>
          <w:szCs w:val="24"/>
          <w:lang w:val="fr-CH"/>
        </w:rPr>
        <w:t>homme au Mali du 1</w:t>
      </w:r>
      <w:r w:rsidR="00155D96" w:rsidRPr="007668DF">
        <w:rPr>
          <w:rFonts w:ascii="Times New Roman" w:hAnsi="Times New Roman"/>
          <w:b/>
          <w:sz w:val="24"/>
          <w:szCs w:val="24"/>
          <w:lang w:val="fr-CH"/>
        </w:rPr>
        <w:t>er</w:t>
      </w:r>
      <w:r w:rsidRPr="007668DF">
        <w:rPr>
          <w:rFonts w:ascii="Times New Roman" w:hAnsi="Times New Roman"/>
          <w:b/>
          <w:sz w:val="24"/>
          <w:szCs w:val="24"/>
          <w:lang w:val="fr-CH"/>
        </w:rPr>
        <w:t xml:space="preserve"> n</w:t>
      </w:r>
      <w:r w:rsidR="0034475C" w:rsidRPr="007668DF">
        <w:rPr>
          <w:rFonts w:ascii="Times New Roman" w:hAnsi="Times New Roman"/>
          <w:b/>
          <w:sz w:val="24"/>
          <w:szCs w:val="24"/>
          <w:lang w:val="fr-CH"/>
        </w:rPr>
        <w:t>ovembre 2013 au</w:t>
      </w:r>
      <w:r w:rsidR="005313DF" w:rsidRPr="007668DF">
        <w:rPr>
          <w:rFonts w:ascii="Times New Roman" w:hAnsi="Times New Roman"/>
          <w:b/>
          <w:sz w:val="24"/>
          <w:szCs w:val="24"/>
          <w:lang w:val="fr-CH"/>
        </w:rPr>
        <w:t xml:space="preserve"> 31 m</w:t>
      </w:r>
      <w:r w:rsidRPr="007668DF">
        <w:rPr>
          <w:rFonts w:ascii="Times New Roman" w:hAnsi="Times New Roman"/>
          <w:b/>
          <w:sz w:val="24"/>
          <w:szCs w:val="24"/>
          <w:lang w:val="fr-CH"/>
        </w:rPr>
        <w:t xml:space="preserve">ai </w:t>
      </w:r>
      <w:r w:rsidR="009526DC" w:rsidRPr="007668DF">
        <w:rPr>
          <w:rFonts w:ascii="Times New Roman" w:hAnsi="Times New Roman"/>
          <w:b/>
          <w:sz w:val="24"/>
          <w:szCs w:val="24"/>
          <w:lang w:val="fr-CH"/>
        </w:rPr>
        <w:t>2014</w:t>
      </w:r>
    </w:p>
    <w:p w:rsidR="00564043" w:rsidRPr="007668DF" w:rsidRDefault="003315C3" w:rsidP="006C2FA0">
      <w:pPr>
        <w:tabs>
          <w:tab w:val="left" w:pos="567"/>
          <w:tab w:val="center" w:pos="4825"/>
          <w:tab w:val="left" w:pos="7037"/>
        </w:tabs>
        <w:contextualSpacing/>
        <w:rPr>
          <w:rFonts w:ascii="Times New Roman" w:eastAsia="Malgun Gothic" w:hAnsi="Times New Roman"/>
          <w:b/>
          <w:sz w:val="24"/>
          <w:szCs w:val="24"/>
        </w:rPr>
      </w:pPr>
      <w:r w:rsidRPr="007668DF">
        <w:rPr>
          <w:rFonts w:ascii="Times New Roman" w:eastAsia="Malgun Gothic" w:hAnsi="Times New Roman"/>
          <w:b/>
          <w:sz w:val="24"/>
          <w:szCs w:val="24"/>
        </w:rPr>
        <w:t xml:space="preserve">                                                  </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23"/>
      </w:tblGrid>
      <w:tr w:rsidR="005313DF" w:rsidRPr="002D4B31" w:rsidTr="00155D96">
        <w:trPr>
          <w:trHeight w:val="2505"/>
        </w:trPr>
        <w:tc>
          <w:tcPr>
            <w:tcW w:w="8723" w:type="dxa"/>
          </w:tcPr>
          <w:p w:rsidR="00155D96" w:rsidRPr="002D4B31" w:rsidRDefault="005313DF" w:rsidP="006C2FA0">
            <w:pPr>
              <w:tabs>
                <w:tab w:val="left" w:pos="567"/>
              </w:tabs>
              <w:rPr>
                <w:rFonts w:ascii="Times New Roman" w:hAnsi="Times New Roman"/>
                <w:b/>
                <w:i/>
              </w:rPr>
            </w:pPr>
            <w:r w:rsidRPr="002D4B31">
              <w:rPr>
                <w:rFonts w:ascii="Times New Roman" w:hAnsi="Times New Roman"/>
              </w:rPr>
              <w:br/>
            </w:r>
            <w:r w:rsidRPr="002D4B31">
              <w:rPr>
                <w:rFonts w:ascii="Times New Roman" w:hAnsi="Times New Roman"/>
                <w:b/>
                <w:i/>
              </w:rPr>
              <w:t>Résumé</w:t>
            </w:r>
          </w:p>
          <w:p w:rsidR="005313DF" w:rsidRPr="002D4B31" w:rsidRDefault="00A41B0C" w:rsidP="00F84E29">
            <w:pPr>
              <w:tabs>
                <w:tab w:val="left" w:pos="567"/>
              </w:tabs>
              <w:jc w:val="both"/>
              <w:rPr>
                <w:rFonts w:ascii="Times New Roman" w:hAnsi="Times New Roman"/>
                <w:b/>
              </w:rPr>
            </w:pPr>
            <w:r w:rsidRPr="002D4B31">
              <w:rPr>
                <w:rFonts w:ascii="Times New Roman" w:hAnsi="Times New Roman"/>
              </w:rPr>
              <w:t>Le présent rapport est b</w:t>
            </w:r>
            <w:r w:rsidR="00912556" w:rsidRPr="002D4B31">
              <w:rPr>
                <w:rFonts w:ascii="Times New Roman" w:hAnsi="Times New Roman"/>
              </w:rPr>
              <w:t xml:space="preserve">asé sur le travail de la Division des droits de l’homme de la Mission multidimensionnelle intégrée des Nations </w:t>
            </w:r>
            <w:r w:rsidR="00BB053D" w:rsidRPr="002D4B31">
              <w:rPr>
                <w:rFonts w:ascii="Times New Roman" w:hAnsi="Times New Roman"/>
              </w:rPr>
              <w:t>U</w:t>
            </w:r>
            <w:r w:rsidR="00912556" w:rsidRPr="002D4B31">
              <w:rPr>
                <w:rFonts w:ascii="Times New Roman" w:hAnsi="Times New Roman"/>
              </w:rPr>
              <w:t>nies pour la stabilisation au Mali (MINUSMA)</w:t>
            </w:r>
            <w:r w:rsidRPr="002D4B31">
              <w:rPr>
                <w:rFonts w:ascii="Times New Roman" w:hAnsi="Times New Roman"/>
              </w:rPr>
              <w:t xml:space="preserve">. Il est </w:t>
            </w:r>
            <w:r w:rsidR="00912556" w:rsidRPr="002D4B31">
              <w:rPr>
                <w:rFonts w:ascii="Times New Roman" w:hAnsi="Times New Roman"/>
              </w:rPr>
              <w:t>publié conjointement par la MINUSMA et le Haut-Commissariat des Nations unies au</w:t>
            </w:r>
            <w:r w:rsidRPr="002D4B31">
              <w:rPr>
                <w:rFonts w:ascii="Times New Roman" w:hAnsi="Times New Roman"/>
              </w:rPr>
              <w:t>x</w:t>
            </w:r>
            <w:r w:rsidR="00912556" w:rsidRPr="002D4B31">
              <w:rPr>
                <w:rFonts w:ascii="Times New Roman" w:hAnsi="Times New Roman"/>
              </w:rPr>
              <w:t xml:space="preserve"> droits de l’homme (HCDH). Il décrit </w:t>
            </w:r>
            <w:r w:rsidR="00EA49E3" w:rsidRPr="002D4B31">
              <w:rPr>
                <w:rFonts w:ascii="Times New Roman" w:hAnsi="Times New Roman"/>
              </w:rPr>
              <w:t xml:space="preserve">et analyse </w:t>
            </w:r>
            <w:r w:rsidR="00912556" w:rsidRPr="002D4B31">
              <w:rPr>
                <w:rFonts w:ascii="Times New Roman" w:hAnsi="Times New Roman"/>
              </w:rPr>
              <w:t>les violations et abus graves d</w:t>
            </w:r>
            <w:r w:rsidR="000C7687" w:rsidRPr="002D4B31">
              <w:rPr>
                <w:rFonts w:ascii="Times New Roman" w:hAnsi="Times New Roman"/>
              </w:rPr>
              <w:t xml:space="preserve">u droit international des </w:t>
            </w:r>
            <w:r w:rsidR="00912556" w:rsidRPr="002D4B31">
              <w:rPr>
                <w:rFonts w:ascii="Times New Roman" w:hAnsi="Times New Roman"/>
              </w:rPr>
              <w:t xml:space="preserve"> droits de l’homme et du droit international humanitaire commis entre le 1</w:t>
            </w:r>
            <w:r w:rsidR="00912556" w:rsidRPr="002D4B31">
              <w:rPr>
                <w:rFonts w:ascii="Times New Roman" w:hAnsi="Times New Roman"/>
                <w:vertAlign w:val="superscript"/>
              </w:rPr>
              <w:t>er</w:t>
            </w:r>
            <w:r w:rsidR="00912556" w:rsidRPr="002D4B31">
              <w:rPr>
                <w:rFonts w:ascii="Times New Roman" w:hAnsi="Times New Roman"/>
              </w:rPr>
              <w:t xml:space="preserve"> novembre 2013 </w:t>
            </w:r>
            <w:r w:rsidR="00864B20" w:rsidRPr="002D4B31">
              <w:rPr>
                <w:rFonts w:ascii="Times New Roman" w:hAnsi="Times New Roman"/>
              </w:rPr>
              <w:t>et le</w:t>
            </w:r>
            <w:r w:rsidR="00912556" w:rsidRPr="002D4B31">
              <w:rPr>
                <w:rFonts w:ascii="Times New Roman" w:hAnsi="Times New Roman"/>
              </w:rPr>
              <w:t xml:space="preserve"> 31 mai 2014</w:t>
            </w:r>
            <w:r w:rsidR="00912556" w:rsidRPr="002D4B31">
              <w:rPr>
                <w:rFonts w:ascii="Times New Roman" w:hAnsi="Times New Roman"/>
                <w:b/>
              </w:rPr>
              <w:t xml:space="preserve">. </w:t>
            </w:r>
          </w:p>
          <w:p w:rsidR="00155D96" w:rsidRPr="002D4B31" w:rsidRDefault="005313DF" w:rsidP="006C2FA0">
            <w:pPr>
              <w:tabs>
                <w:tab w:val="left" w:pos="567"/>
              </w:tabs>
              <w:jc w:val="both"/>
              <w:rPr>
                <w:rFonts w:ascii="Times New Roman" w:hAnsi="Times New Roman"/>
              </w:rPr>
            </w:pPr>
            <w:r w:rsidRPr="002D4B31">
              <w:rPr>
                <w:rFonts w:ascii="Times New Roman" w:hAnsi="Times New Roman"/>
              </w:rPr>
              <w:t xml:space="preserve">Un an après la signature de l’Accord préliminaire de Ouagadougou, la situation  sécuritaire au Mali </w:t>
            </w:r>
            <w:r w:rsidR="00864B20" w:rsidRPr="002D4B31">
              <w:rPr>
                <w:rFonts w:ascii="Times New Roman" w:hAnsi="Times New Roman"/>
              </w:rPr>
              <w:t>demeure</w:t>
            </w:r>
            <w:r w:rsidR="00155D96" w:rsidRPr="002D4B31">
              <w:rPr>
                <w:rFonts w:ascii="Times New Roman" w:hAnsi="Times New Roman"/>
              </w:rPr>
              <w:t xml:space="preserve"> </w:t>
            </w:r>
            <w:r w:rsidRPr="002D4B31">
              <w:rPr>
                <w:rFonts w:ascii="Times New Roman" w:hAnsi="Times New Roman"/>
              </w:rPr>
              <w:t xml:space="preserve">précaire et volatile en raison de </w:t>
            </w:r>
            <w:r w:rsidR="00155D96" w:rsidRPr="002D4B31">
              <w:rPr>
                <w:rFonts w:ascii="Times New Roman" w:hAnsi="Times New Roman"/>
              </w:rPr>
              <w:t>la persist</w:t>
            </w:r>
            <w:r w:rsidR="00A41B0C" w:rsidRPr="002D4B31">
              <w:rPr>
                <w:rFonts w:ascii="Times New Roman" w:hAnsi="Times New Roman"/>
              </w:rPr>
              <w:t>a</w:t>
            </w:r>
            <w:r w:rsidR="00155D96" w:rsidRPr="002D4B31">
              <w:rPr>
                <w:rFonts w:ascii="Times New Roman" w:hAnsi="Times New Roman"/>
              </w:rPr>
              <w:t>nce d’</w:t>
            </w:r>
            <w:r w:rsidRPr="002D4B31">
              <w:rPr>
                <w:rFonts w:ascii="Times New Roman" w:hAnsi="Times New Roman"/>
              </w:rPr>
              <w:t>affrontements armés, d</w:t>
            </w:r>
            <w:r w:rsidR="00155D96" w:rsidRPr="002D4B31">
              <w:rPr>
                <w:rFonts w:ascii="Times New Roman" w:hAnsi="Times New Roman"/>
              </w:rPr>
              <w:t>’</w:t>
            </w:r>
            <w:r w:rsidRPr="002D4B31">
              <w:rPr>
                <w:rFonts w:ascii="Times New Roman" w:hAnsi="Times New Roman"/>
              </w:rPr>
              <w:t>attaques terroristes et asymétriques</w:t>
            </w:r>
            <w:r w:rsidR="00155D96" w:rsidRPr="002D4B31">
              <w:rPr>
                <w:rFonts w:ascii="Times New Roman" w:hAnsi="Times New Roman"/>
              </w:rPr>
              <w:t>,</w:t>
            </w:r>
            <w:r w:rsidRPr="002D4B31">
              <w:rPr>
                <w:rFonts w:ascii="Times New Roman" w:hAnsi="Times New Roman"/>
              </w:rPr>
              <w:t xml:space="preserve"> ainsi que </w:t>
            </w:r>
            <w:r w:rsidR="00864B20" w:rsidRPr="002D4B31">
              <w:rPr>
                <w:rFonts w:ascii="Times New Roman" w:hAnsi="Times New Roman"/>
              </w:rPr>
              <w:t>d’</w:t>
            </w:r>
            <w:r w:rsidRPr="002D4B31">
              <w:rPr>
                <w:rFonts w:ascii="Times New Roman" w:hAnsi="Times New Roman"/>
              </w:rPr>
              <w:t>attaques armées intra et intercommunautaires</w:t>
            </w:r>
            <w:r w:rsidR="00E36AB1" w:rsidRPr="002D4B31">
              <w:rPr>
                <w:rFonts w:ascii="Times New Roman" w:hAnsi="Times New Roman"/>
              </w:rPr>
              <w:t>, particulièrement</w:t>
            </w:r>
            <w:r w:rsidR="00BE3C14" w:rsidRPr="002D4B31">
              <w:rPr>
                <w:rFonts w:ascii="Times New Roman" w:hAnsi="Times New Roman"/>
              </w:rPr>
              <w:t xml:space="preserve"> dans les trois régions du nord</w:t>
            </w:r>
            <w:r w:rsidR="00E36AB1" w:rsidRPr="002D4B31">
              <w:rPr>
                <w:rFonts w:ascii="Times New Roman" w:hAnsi="Times New Roman"/>
              </w:rPr>
              <w:t xml:space="preserve">; Kidal, Gao et </w:t>
            </w:r>
            <w:r w:rsidR="00E36AB1" w:rsidRPr="002D4B31">
              <w:rPr>
                <w:rFonts w:ascii="Times New Roman" w:hAnsi="Times New Roman"/>
              </w:rPr>
              <w:lastRenderedPageBreak/>
              <w:t>Tombouctou</w:t>
            </w:r>
            <w:r w:rsidRPr="002D4B31">
              <w:rPr>
                <w:rFonts w:ascii="Times New Roman" w:hAnsi="Times New Roman"/>
              </w:rPr>
              <w:t xml:space="preserve">. Au Nord, la situation s’est considérablement détériorée au mois de mai 2014. En effet, les Forces armées et de sécurité du Mali (FAMa) et le Mouvement </w:t>
            </w:r>
            <w:r w:rsidR="00155D96" w:rsidRPr="002D4B31">
              <w:rPr>
                <w:rFonts w:ascii="Times New Roman" w:hAnsi="Times New Roman"/>
              </w:rPr>
              <w:t>n</w:t>
            </w:r>
            <w:r w:rsidRPr="002D4B31">
              <w:rPr>
                <w:rFonts w:ascii="Times New Roman" w:hAnsi="Times New Roman"/>
              </w:rPr>
              <w:t xml:space="preserve">ational pour la </w:t>
            </w:r>
            <w:r w:rsidR="002C4429" w:rsidRPr="002D4B31">
              <w:rPr>
                <w:rFonts w:ascii="Times New Roman" w:hAnsi="Times New Roman"/>
              </w:rPr>
              <w:t>l</w:t>
            </w:r>
            <w:r w:rsidRPr="002D4B31">
              <w:rPr>
                <w:rFonts w:ascii="Times New Roman" w:hAnsi="Times New Roman"/>
              </w:rPr>
              <w:t xml:space="preserve">ibération de l’Azawad (MNLA) se sont affrontés les 16, 17 et 21 mai à Kidal. Au cours de ces affrontements armés, des violations et abus graves du droit international des droits de l’homme et du droit international humanitaire </w:t>
            </w:r>
            <w:r w:rsidR="00BE3C14" w:rsidRPr="002D4B31">
              <w:rPr>
                <w:rFonts w:ascii="Times New Roman" w:hAnsi="Times New Roman"/>
              </w:rPr>
              <w:t xml:space="preserve">ont </w:t>
            </w:r>
            <w:r w:rsidRPr="002D4B31">
              <w:rPr>
                <w:rFonts w:ascii="Times New Roman" w:hAnsi="Times New Roman"/>
              </w:rPr>
              <w:t>été commis par les parties</w:t>
            </w:r>
            <w:r w:rsidR="00EF0F84" w:rsidRPr="002D4B31">
              <w:rPr>
                <w:rFonts w:ascii="Times New Roman" w:hAnsi="Times New Roman"/>
              </w:rPr>
              <w:t xml:space="preserve"> au conflit</w:t>
            </w:r>
            <w:r w:rsidRPr="002D4B31">
              <w:rPr>
                <w:rFonts w:ascii="Times New Roman" w:hAnsi="Times New Roman"/>
              </w:rPr>
              <w:t xml:space="preserve">. </w:t>
            </w:r>
          </w:p>
          <w:p w:rsidR="005313DF" w:rsidRPr="002D4B31" w:rsidRDefault="005313DF" w:rsidP="006C2FA0">
            <w:pPr>
              <w:tabs>
                <w:tab w:val="left" w:pos="567"/>
              </w:tabs>
              <w:jc w:val="both"/>
              <w:rPr>
                <w:rFonts w:ascii="Times New Roman" w:hAnsi="Times New Roman"/>
              </w:rPr>
            </w:pPr>
            <w:r w:rsidRPr="002D4B31">
              <w:rPr>
                <w:rFonts w:ascii="Times New Roman" w:hAnsi="Times New Roman"/>
              </w:rPr>
              <w:t xml:space="preserve">Les </w:t>
            </w:r>
            <w:r w:rsidR="004A1751" w:rsidRPr="002D4B31">
              <w:rPr>
                <w:rFonts w:ascii="Times New Roman" w:hAnsi="Times New Roman"/>
              </w:rPr>
              <w:t>év</w:t>
            </w:r>
            <w:r w:rsidR="00155D96" w:rsidRPr="002D4B31">
              <w:rPr>
                <w:rFonts w:ascii="Times New Roman" w:hAnsi="Times New Roman"/>
              </w:rPr>
              <w:t>é</w:t>
            </w:r>
            <w:r w:rsidR="004A1751" w:rsidRPr="002D4B31">
              <w:rPr>
                <w:rFonts w:ascii="Times New Roman" w:hAnsi="Times New Roman"/>
              </w:rPr>
              <w:t xml:space="preserve">nements de Kidal </w:t>
            </w:r>
            <w:r w:rsidRPr="002D4B31">
              <w:rPr>
                <w:rFonts w:ascii="Times New Roman" w:hAnsi="Times New Roman"/>
              </w:rPr>
              <w:t xml:space="preserve">ont fait reculer les avancées tendant </w:t>
            </w:r>
            <w:r w:rsidR="002C4429" w:rsidRPr="002D4B31">
              <w:rPr>
                <w:rFonts w:ascii="Times New Roman" w:hAnsi="Times New Roman"/>
              </w:rPr>
              <w:t>à la restauration de l’autorité</w:t>
            </w:r>
            <w:r w:rsidRPr="002D4B31">
              <w:rPr>
                <w:rFonts w:ascii="Times New Roman" w:hAnsi="Times New Roman"/>
              </w:rPr>
              <w:t xml:space="preserve"> </w:t>
            </w:r>
            <w:r w:rsidR="00D24C1E" w:rsidRPr="002D4B31">
              <w:rPr>
                <w:rFonts w:ascii="Times New Roman" w:hAnsi="Times New Roman"/>
              </w:rPr>
              <w:t xml:space="preserve">de </w:t>
            </w:r>
            <w:r w:rsidRPr="002D4B31">
              <w:rPr>
                <w:rFonts w:ascii="Times New Roman" w:hAnsi="Times New Roman"/>
              </w:rPr>
              <w:t>l’Etat et risquent de remettre en cause les efforts nationaux et internationaux visant la consolidation des acquis démocratiques issus des élections de juillet et octobre 2013</w:t>
            </w:r>
            <w:r w:rsidR="00155D96" w:rsidRPr="002D4B31">
              <w:rPr>
                <w:rFonts w:ascii="Times New Roman" w:hAnsi="Times New Roman"/>
              </w:rPr>
              <w:t>,</w:t>
            </w:r>
            <w:r w:rsidR="009356DD" w:rsidRPr="002D4B31">
              <w:rPr>
                <w:rFonts w:ascii="Times New Roman" w:hAnsi="Times New Roman"/>
              </w:rPr>
              <w:t xml:space="preserve"> notamment en termes de justice transitionnelle.</w:t>
            </w:r>
          </w:p>
          <w:p w:rsidR="005313DF" w:rsidRPr="002D4B31" w:rsidRDefault="005313DF" w:rsidP="006C2FA0">
            <w:pPr>
              <w:tabs>
                <w:tab w:val="left" w:pos="567"/>
              </w:tabs>
              <w:jc w:val="both"/>
              <w:rPr>
                <w:rFonts w:ascii="Times New Roman" w:hAnsi="Times New Roman"/>
              </w:rPr>
            </w:pPr>
            <w:r w:rsidRPr="002D4B31">
              <w:rPr>
                <w:rFonts w:ascii="Times New Roman" w:hAnsi="Times New Roman"/>
              </w:rPr>
              <w:t>Le présent rapport est le résultat d</w:t>
            </w:r>
            <w:r w:rsidR="001E783A" w:rsidRPr="002D4B31">
              <w:rPr>
                <w:rFonts w:ascii="Times New Roman" w:hAnsi="Times New Roman"/>
              </w:rPr>
              <w:t xml:space="preserve">e </w:t>
            </w:r>
            <w:r w:rsidR="00D10F73" w:rsidRPr="002D4B31">
              <w:rPr>
                <w:rFonts w:ascii="Times New Roman" w:hAnsi="Times New Roman"/>
              </w:rPr>
              <w:t xml:space="preserve">36 </w:t>
            </w:r>
            <w:r w:rsidR="001E783A" w:rsidRPr="002D4B31">
              <w:rPr>
                <w:rFonts w:ascii="Times New Roman" w:hAnsi="Times New Roman"/>
              </w:rPr>
              <w:t>missions d’</w:t>
            </w:r>
            <w:r w:rsidRPr="002D4B31">
              <w:rPr>
                <w:rFonts w:ascii="Times New Roman" w:hAnsi="Times New Roman"/>
              </w:rPr>
              <w:t xml:space="preserve">enquêtes </w:t>
            </w:r>
            <w:r w:rsidR="00D10F73" w:rsidRPr="002D4B31">
              <w:rPr>
                <w:rFonts w:ascii="Times New Roman" w:hAnsi="Times New Roman"/>
              </w:rPr>
              <w:t>et d’établissement de</w:t>
            </w:r>
            <w:r w:rsidR="00864B20" w:rsidRPr="002D4B31">
              <w:rPr>
                <w:rFonts w:ascii="Times New Roman" w:hAnsi="Times New Roman"/>
              </w:rPr>
              <w:t>s</w:t>
            </w:r>
            <w:r w:rsidR="00D10F73" w:rsidRPr="002D4B31">
              <w:rPr>
                <w:rFonts w:ascii="Times New Roman" w:hAnsi="Times New Roman"/>
              </w:rPr>
              <w:t xml:space="preserve"> faits menées </w:t>
            </w:r>
            <w:r w:rsidRPr="002D4B31">
              <w:rPr>
                <w:rFonts w:ascii="Times New Roman" w:hAnsi="Times New Roman"/>
              </w:rPr>
              <w:t xml:space="preserve">par les équipes des droits de l’homme de la MINUSMA dans les régions de Kidal, Gao, Tombouctou et Mopti. </w:t>
            </w:r>
            <w:r w:rsidR="00BE3C14" w:rsidRPr="002D4B31">
              <w:rPr>
                <w:rFonts w:ascii="Times New Roman" w:hAnsi="Times New Roman"/>
              </w:rPr>
              <w:t xml:space="preserve">La MINUSMA a notamment </w:t>
            </w:r>
            <w:r w:rsidR="00D10F73" w:rsidRPr="002D4B31">
              <w:rPr>
                <w:rFonts w:ascii="Times New Roman" w:hAnsi="Times New Roman"/>
              </w:rPr>
              <w:t>visité p</w:t>
            </w:r>
            <w:r w:rsidRPr="002D4B31">
              <w:rPr>
                <w:rFonts w:ascii="Times New Roman" w:hAnsi="Times New Roman"/>
              </w:rPr>
              <w:t xml:space="preserve">lus de 150 lieux de détention dans ces </w:t>
            </w:r>
            <w:r w:rsidR="00D10F73" w:rsidRPr="002D4B31">
              <w:rPr>
                <w:rFonts w:ascii="Times New Roman" w:hAnsi="Times New Roman"/>
              </w:rPr>
              <w:t>quatre</w:t>
            </w:r>
            <w:r w:rsidRPr="002D4B31">
              <w:rPr>
                <w:rFonts w:ascii="Times New Roman" w:hAnsi="Times New Roman"/>
              </w:rPr>
              <w:t xml:space="preserve"> régions, </w:t>
            </w:r>
            <w:r w:rsidR="00D10F73" w:rsidRPr="002D4B31">
              <w:rPr>
                <w:rFonts w:ascii="Times New Roman" w:hAnsi="Times New Roman"/>
              </w:rPr>
              <w:t>ainsi que dans l</w:t>
            </w:r>
            <w:r w:rsidRPr="002D4B31">
              <w:rPr>
                <w:rFonts w:ascii="Times New Roman" w:hAnsi="Times New Roman"/>
              </w:rPr>
              <w:t>es localités de Selengue (140km de Bamako), Dioila (200 km de Bamako)</w:t>
            </w:r>
            <w:r w:rsidR="00BE3C14" w:rsidRPr="002D4B31">
              <w:rPr>
                <w:rFonts w:ascii="Times New Roman" w:hAnsi="Times New Roman"/>
              </w:rPr>
              <w:t xml:space="preserve"> et </w:t>
            </w:r>
            <w:r w:rsidRPr="002D4B31">
              <w:rPr>
                <w:rFonts w:ascii="Times New Roman" w:hAnsi="Times New Roman"/>
              </w:rPr>
              <w:t xml:space="preserve">Markala (région de </w:t>
            </w:r>
            <w:r w:rsidR="001E783A" w:rsidRPr="002D4B31">
              <w:rPr>
                <w:rFonts w:ascii="Times New Roman" w:hAnsi="Times New Roman"/>
              </w:rPr>
              <w:t>Ségou</w:t>
            </w:r>
            <w:r w:rsidR="00BE3C14" w:rsidRPr="002D4B31">
              <w:rPr>
                <w:rFonts w:ascii="Times New Roman" w:hAnsi="Times New Roman"/>
              </w:rPr>
              <w:t xml:space="preserve">). </w:t>
            </w:r>
            <w:r w:rsidR="00D10F73" w:rsidRPr="002D4B31">
              <w:rPr>
                <w:rFonts w:ascii="Times New Roman" w:hAnsi="Times New Roman"/>
              </w:rPr>
              <w:t xml:space="preserve">Les équipes de droits de l’homme se sont régulièrement entretenues </w:t>
            </w:r>
            <w:r w:rsidR="00D24C1E" w:rsidRPr="002D4B31">
              <w:rPr>
                <w:rFonts w:ascii="Times New Roman" w:hAnsi="Times New Roman"/>
              </w:rPr>
              <w:t xml:space="preserve">avec </w:t>
            </w:r>
            <w:r w:rsidRPr="002D4B31">
              <w:rPr>
                <w:rFonts w:ascii="Times New Roman" w:hAnsi="Times New Roman"/>
              </w:rPr>
              <w:t>de</w:t>
            </w:r>
            <w:r w:rsidR="00D24C1E" w:rsidRPr="002D4B31">
              <w:rPr>
                <w:rFonts w:ascii="Times New Roman" w:hAnsi="Times New Roman"/>
              </w:rPr>
              <w:t>s</w:t>
            </w:r>
            <w:r w:rsidRPr="002D4B31">
              <w:rPr>
                <w:rFonts w:ascii="Times New Roman" w:hAnsi="Times New Roman"/>
              </w:rPr>
              <w:t xml:space="preserve"> victimes et témoins</w:t>
            </w:r>
            <w:r w:rsidR="00D10F73" w:rsidRPr="002D4B31">
              <w:rPr>
                <w:rFonts w:ascii="Times New Roman" w:hAnsi="Times New Roman"/>
              </w:rPr>
              <w:t xml:space="preserve">, </w:t>
            </w:r>
            <w:r w:rsidRPr="002D4B31">
              <w:rPr>
                <w:rFonts w:ascii="Times New Roman" w:hAnsi="Times New Roman"/>
              </w:rPr>
              <w:t xml:space="preserve">à Bamako </w:t>
            </w:r>
            <w:r w:rsidR="00D10F73" w:rsidRPr="002D4B31">
              <w:rPr>
                <w:rFonts w:ascii="Times New Roman" w:hAnsi="Times New Roman"/>
              </w:rPr>
              <w:t xml:space="preserve">et </w:t>
            </w:r>
            <w:r w:rsidR="002C4429" w:rsidRPr="002D4B31">
              <w:rPr>
                <w:rFonts w:ascii="Times New Roman" w:hAnsi="Times New Roman"/>
              </w:rPr>
              <w:t xml:space="preserve">dans </w:t>
            </w:r>
            <w:r w:rsidRPr="002D4B31">
              <w:rPr>
                <w:rFonts w:ascii="Times New Roman" w:hAnsi="Times New Roman"/>
              </w:rPr>
              <w:t xml:space="preserve">les </w:t>
            </w:r>
            <w:r w:rsidR="001E783A" w:rsidRPr="002D4B31">
              <w:rPr>
                <w:rFonts w:ascii="Times New Roman" w:hAnsi="Times New Roman"/>
              </w:rPr>
              <w:t xml:space="preserve">localités </w:t>
            </w:r>
            <w:r w:rsidRPr="002D4B31">
              <w:rPr>
                <w:rFonts w:ascii="Times New Roman" w:hAnsi="Times New Roman"/>
              </w:rPr>
              <w:t>citées ci-dessus.</w:t>
            </w:r>
          </w:p>
          <w:p w:rsidR="005313DF" w:rsidRPr="002D4B31" w:rsidRDefault="005313DF" w:rsidP="006C2FA0">
            <w:pPr>
              <w:tabs>
                <w:tab w:val="left" w:pos="567"/>
              </w:tabs>
              <w:jc w:val="both"/>
              <w:rPr>
                <w:rFonts w:ascii="Times New Roman" w:hAnsi="Times New Roman"/>
              </w:rPr>
            </w:pPr>
            <w:r w:rsidRPr="002D4B31">
              <w:rPr>
                <w:rFonts w:ascii="Times New Roman" w:hAnsi="Times New Roman"/>
              </w:rPr>
              <w:t xml:space="preserve">Les violations et abus du droit international des droits de l’homme et du droit international humanitaire commis et documentés dans ce rapport incluent des cas d’atteintes au droit à la vie, </w:t>
            </w:r>
            <w:r w:rsidR="00D10F73" w:rsidRPr="002D4B31">
              <w:rPr>
                <w:rFonts w:ascii="Times New Roman" w:hAnsi="Times New Roman"/>
              </w:rPr>
              <w:t xml:space="preserve">notamment </w:t>
            </w:r>
            <w:r w:rsidRPr="002D4B31">
              <w:rPr>
                <w:rFonts w:ascii="Times New Roman" w:hAnsi="Times New Roman"/>
              </w:rPr>
              <w:t>d’exécution</w:t>
            </w:r>
            <w:r w:rsidR="00D10F73" w:rsidRPr="002D4B31">
              <w:rPr>
                <w:rFonts w:ascii="Times New Roman" w:hAnsi="Times New Roman"/>
              </w:rPr>
              <w:t>s</w:t>
            </w:r>
            <w:r w:rsidRPr="002D4B31">
              <w:rPr>
                <w:rFonts w:ascii="Times New Roman" w:hAnsi="Times New Roman"/>
              </w:rPr>
              <w:t xml:space="preserve"> sommaires et extra-judiciaires, d’arrestations et de détention</w:t>
            </w:r>
            <w:r w:rsidR="00F84E29" w:rsidRPr="002D4B31">
              <w:rPr>
                <w:rFonts w:ascii="Times New Roman" w:hAnsi="Times New Roman"/>
              </w:rPr>
              <w:t>s</w:t>
            </w:r>
            <w:r w:rsidRPr="002D4B31">
              <w:rPr>
                <w:rFonts w:ascii="Times New Roman" w:hAnsi="Times New Roman"/>
              </w:rPr>
              <w:t xml:space="preserve"> arbitraire</w:t>
            </w:r>
            <w:r w:rsidR="00F84E29" w:rsidRPr="002D4B31">
              <w:rPr>
                <w:rFonts w:ascii="Times New Roman" w:hAnsi="Times New Roman"/>
              </w:rPr>
              <w:t>s</w:t>
            </w:r>
            <w:r w:rsidRPr="002D4B31">
              <w:rPr>
                <w:rFonts w:ascii="Times New Roman" w:hAnsi="Times New Roman"/>
              </w:rPr>
              <w:t xml:space="preserve">, commis par des militaires FAMa, principalement </w:t>
            </w:r>
            <w:r w:rsidR="002C4429" w:rsidRPr="002D4B31">
              <w:rPr>
                <w:rFonts w:ascii="Times New Roman" w:hAnsi="Times New Roman"/>
              </w:rPr>
              <w:t>lors</w:t>
            </w:r>
            <w:r w:rsidRPr="002D4B31">
              <w:rPr>
                <w:rFonts w:ascii="Times New Roman" w:hAnsi="Times New Roman"/>
              </w:rPr>
              <w:t xml:space="preserve"> de leur retour progressif dans les régions du nord, notamment à Kidal, Gao et Tombouctou</w:t>
            </w:r>
            <w:r w:rsidR="00D10F73" w:rsidRPr="002D4B31">
              <w:rPr>
                <w:rFonts w:ascii="Times New Roman" w:hAnsi="Times New Roman"/>
              </w:rPr>
              <w:t>,</w:t>
            </w:r>
            <w:r w:rsidRPr="002D4B31">
              <w:rPr>
                <w:rFonts w:ascii="Times New Roman" w:hAnsi="Times New Roman"/>
              </w:rPr>
              <w:t xml:space="preserve"> suite </w:t>
            </w:r>
            <w:r w:rsidR="00D10F73" w:rsidRPr="002D4B31">
              <w:rPr>
                <w:rFonts w:ascii="Times New Roman" w:hAnsi="Times New Roman"/>
              </w:rPr>
              <w:t xml:space="preserve">à </w:t>
            </w:r>
            <w:r w:rsidRPr="002D4B31">
              <w:rPr>
                <w:rFonts w:ascii="Times New Roman" w:hAnsi="Times New Roman"/>
              </w:rPr>
              <w:t>la signature de l’</w:t>
            </w:r>
            <w:r w:rsidR="00146EC1" w:rsidRPr="002D4B31">
              <w:rPr>
                <w:rFonts w:ascii="Times New Roman" w:hAnsi="Times New Roman"/>
              </w:rPr>
              <w:t>A</w:t>
            </w:r>
            <w:r w:rsidRPr="002D4B31">
              <w:rPr>
                <w:rFonts w:ascii="Times New Roman" w:hAnsi="Times New Roman"/>
              </w:rPr>
              <w:t>ccord</w:t>
            </w:r>
            <w:r w:rsidR="00AA2897" w:rsidRPr="002D4B31">
              <w:rPr>
                <w:rFonts w:ascii="Times New Roman" w:hAnsi="Times New Roman"/>
              </w:rPr>
              <w:t xml:space="preserve"> préliminaire à l’élection présidentielle et aux pourparlers inclusifs de paix au Mali du 18 juin 2013. </w:t>
            </w:r>
            <w:r w:rsidRPr="002D4B31">
              <w:rPr>
                <w:rFonts w:ascii="Times New Roman" w:hAnsi="Times New Roman"/>
              </w:rPr>
              <w:t>C’est dans ce contexte qu’au moins une dizaine de civils ont été sommairement ex</w:t>
            </w:r>
            <w:r w:rsidR="004A1751" w:rsidRPr="002D4B31">
              <w:rPr>
                <w:rFonts w:ascii="Times New Roman" w:hAnsi="Times New Roman"/>
              </w:rPr>
              <w:t xml:space="preserve">écutés </w:t>
            </w:r>
            <w:r w:rsidR="00864B20" w:rsidRPr="002D4B31">
              <w:rPr>
                <w:rFonts w:ascii="Times New Roman" w:hAnsi="Times New Roman"/>
              </w:rPr>
              <w:t xml:space="preserve">tandis </w:t>
            </w:r>
            <w:r w:rsidR="00D10F73" w:rsidRPr="002D4B31">
              <w:rPr>
                <w:rFonts w:ascii="Times New Roman" w:hAnsi="Times New Roman"/>
              </w:rPr>
              <w:t>que d’</w:t>
            </w:r>
            <w:r w:rsidR="004A1751" w:rsidRPr="002D4B31">
              <w:rPr>
                <w:rFonts w:ascii="Times New Roman" w:hAnsi="Times New Roman"/>
              </w:rPr>
              <w:t xml:space="preserve">autres </w:t>
            </w:r>
            <w:r w:rsidRPr="002D4B31">
              <w:rPr>
                <w:rFonts w:ascii="Times New Roman" w:hAnsi="Times New Roman"/>
              </w:rPr>
              <w:t>ét</w:t>
            </w:r>
            <w:r w:rsidR="00D10F73" w:rsidRPr="002D4B31">
              <w:rPr>
                <w:rFonts w:ascii="Times New Roman" w:hAnsi="Times New Roman"/>
              </w:rPr>
              <w:t>aient</w:t>
            </w:r>
            <w:r w:rsidRPr="002D4B31">
              <w:rPr>
                <w:rFonts w:ascii="Times New Roman" w:hAnsi="Times New Roman"/>
              </w:rPr>
              <w:t xml:space="preserve"> victimes de traitements cruels, inhumains </w:t>
            </w:r>
            <w:r w:rsidR="00582341" w:rsidRPr="002D4B31">
              <w:rPr>
                <w:rFonts w:ascii="Times New Roman" w:hAnsi="Times New Roman"/>
              </w:rPr>
              <w:t>ou</w:t>
            </w:r>
            <w:r w:rsidRPr="002D4B31">
              <w:rPr>
                <w:rFonts w:ascii="Times New Roman" w:hAnsi="Times New Roman"/>
              </w:rPr>
              <w:t xml:space="preserve"> dégradants, d’arrestations arbitraires et de détentions illégales.</w:t>
            </w:r>
          </w:p>
          <w:p w:rsidR="005313DF" w:rsidRPr="002D4B31" w:rsidRDefault="00D10F73" w:rsidP="006C2FA0">
            <w:pPr>
              <w:tabs>
                <w:tab w:val="left" w:pos="567"/>
              </w:tabs>
              <w:jc w:val="both"/>
              <w:rPr>
                <w:rFonts w:ascii="Times New Roman" w:hAnsi="Times New Roman"/>
              </w:rPr>
            </w:pPr>
            <w:r w:rsidRPr="002D4B31">
              <w:rPr>
                <w:rFonts w:ascii="Times New Roman" w:hAnsi="Times New Roman"/>
              </w:rPr>
              <w:t xml:space="preserve">En outre, </w:t>
            </w:r>
            <w:r w:rsidR="005313DF" w:rsidRPr="002D4B31">
              <w:rPr>
                <w:rFonts w:ascii="Times New Roman" w:hAnsi="Times New Roman"/>
              </w:rPr>
              <w:t xml:space="preserve">des combattants de groupes armés qui ont occupé et continuent </w:t>
            </w:r>
            <w:r w:rsidR="00D24C1E" w:rsidRPr="002D4B31">
              <w:rPr>
                <w:rFonts w:ascii="Times New Roman" w:hAnsi="Times New Roman"/>
              </w:rPr>
              <w:t>d’</w:t>
            </w:r>
            <w:r w:rsidR="005313DF" w:rsidRPr="002D4B31">
              <w:rPr>
                <w:rFonts w:ascii="Times New Roman" w:hAnsi="Times New Roman"/>
              </w:rPr>
              <w:t xml:space="preserve">occuper une partie du </w:t>
            </w:r>
            <w:r w:rsidR="002C4429" w:rsidRPr="002D4B31">
              <w:rPr>
                <w:rFonts w:ascii="Times New Roman" w:hAnsi="Times New Roman"/>
              </w:rPr>
              <w:t>n</w:t>
            </w:r>
            <w:r w:rsidR="005313DF" w:rsidRPr="002D4B31">
              <w:rPr>
                <w:rFonts w:ascii="Times New Roman" w:hAnsi="Times New Roman"/>
              </w:rPr>
              <w:t xml:space="preserve">ord du pays ont </w:t>
            </w:r>
            <w:r w:rsidR="00024FFD" w:rsidRPr="002D4B31">
              <w:rPr>
                <w:rFonts w:ascii="Times New Roman" w:hAnsi="Times New Roman"/>
              </w:rPr>
              <w:t>été à l’origine d’</w:t>
            </w:r>
            <w:r w:rsidR="005313DF" w:rsidRPr="002D4B31">
              <w:rPr>
                <w:rFonts w:ascii="Times New Roman" w:hAnsi="Times New Roman"/>
              </w:rPr>
              <w:t xml:space="preserve">abus graves des droits de l’homme et </w:t>
            </w:r>
            <w:r w:rsidR="001905CA" w:rsidRPr="002D4B31">
              <w:rPr>
                <w:rFonts w:ascii="Times New Roman" w:hAnsi="Times New Roman"/>
              </w:rPr>
              <w:t xml:space="preserve"> </w:t>
            </w:r>
            <w:r w:rsidR="005313DF" w:rsidRPr="002D4B31">
              <w:rPr>
                <w:rFonts w:ascii="Times New Roman" w:hAnsi="Times New Roman"/>
              </w:rPr>
              <w:t xml:space="preserve">du droit </w:t>
            </w:r>
            <w:r w:rsidR="005313DF" w:rsidRPr="002D4B31">
              <w:rPr>
                <w:rFonts w:ascii="Times New Roman" w:hAnsi="Times New Roman"/>
              </w:rPr>
              <w:lastRenderedPageBreak/>
              <w:t>international humanitaire. La Division des droits de l’homme</w:t>
            </w:r>
            <w:r w:rsidR="00EF0F84" w:rsidRPr="002D4B31">
              <w:rPr>
                <w:rFonts w:ascii="Times New Roman" w:hAnsi="Times New Roman"/>
              </w:rPr>
              <w:t xml:space="preserve"> </w:t>
            </w:r>
            <w:r w:rsidR="005313DF" w:rsidRPr="002D4B31">
              <w:rPr>
                <w:rFonts w:ascii="Times New Roman" w:hAnsi="Times New Roman"/>
              </w:rPr>
              <w:t>de la MINUSMA a documenté au moi</w:t>
            </w:r>
            <w:r w:rsidR="00BE3C14" w:rsidRPr="002D4B31">
              <w:rPr>
                <w:rFonts w:ascii="Times New Roman" w:hAnsi="Times New Roman"/>
              </w:rPr>
              <w:t xml:space="preserve">ns 50 cas d’attaques </w:t>
            </w:r>
            <w:r w:rsidR="005313DF" w:rsidRPr="002D4B31">
              <w:rPr>
                <w:rFonts w:ascii="Times New Roman" w:hAnsi="Times New Roman"/>
              </w:rPr>
              <w:t xml:space="preserve">indiscriminées, asymétriques et actes de terrorisme, commis par des combattants du MNLA, du Haut </w:t>
            </w:r>
            <w:r w:rsidRPr="002D4B31">
              <w:rPr>
                <w:rFonts w:ascii="Times New Roman" w:hAnsi="Times New Roman"/>
              </w:rPr>
              <w:t>c</w:t>
            </w:r>
            <w:r w:rsidR="005313DF" w:rsidRPr="002D4B31">
              <w:rPr>
                <w:rFonts w:ascii="Times New Roman" w:hAnsi="Times New Roman"/>
              </w:rPr>
              <w:t xml:space="preserve">onseil pour </w:t>
            </w:r>
            <w:r w:rsidR="002C4429" w:rsidRPr="002D4B31">
              <w:rPr>
                <w:rFonts w:ascii="Times New Roman" w:hAnsi="Times New Roman"/>
              </w:rPr>
              <w:t>l’</w:t>
            </w:r>
            <w:r w:rsidR="005313DF" w:rsidRPr="002D4B31">
              <w:rPr>
                <w:rFonts w:ascii="Times New Roman" w:hAnsi="Times New Roman"/>
              </w:rPr>
              <w:t xml:space="preserve">unité de l’Azawad (HCUA) et du Mouvement </w:t>
            </w:r>
            <w:r w:rsidR="002C4429" w:rsidRPr="002D4B31">
              <w:rPr>
                <w:rFonts w:ascii="Times New Roman" w:hAnsi="Times New Roman"/>
              </w:rPr>
              <w:t>a</w:t>
            </w:r>
            <w:r w:rsidR="005313DF" w:rsidRPr="002D4B31">
              <w:rPr>
                <w:rFonts w:ascii="Times New Roman" w:hAnsi="Times New Roman"/>
              </w:rPr>
              <w:t>rabe de l’Azawad</w:t>
            </w:r>
            <w:r w:rsidR="00BE3C14" w:rsidRPr="002D4B31">
              <w:rPr>
                <w:rFonts w:ascii="Times New Roman" w:hAnsi="Times New Roman"/>
              </w:rPr>
              <w:t xml:space="preserve"> </w:t>
            </w:r>
            <w:r w:rsidR="005313DF" w:rsidRPr="002D4B31">
              <w:rPr>
                <w:rFonts w:ascii="Times New Roman" w:hAnsi="Times New Roman"/>
              </w:rPr>
              <w:t xml:space="preserve">(MAA) ainsi que des combattants de groupes </w:t>
            </w:r>
            <w:r w:rsidR="00F47D98" w:rsidRPr="002D4B31">
              <w:rPr>
                <w:rFonts w:ascii="Times New Roman" w:hAnsi="Times New Roman"/>
              </w:rPr>
              <w:t xml:space="preserve">armés </w:t>
            </w:r>
            <w:r w:rsidR="00D049C0" w:rsidRPr="002D4B31">
              <w:rPr>
                <w:rFonts w:ascii="Times New Roman" w:hAnsi="Times New Roman"/>
              </w:rPr>
              <w:t>extrémistes</w:t>
            </w:r>
            <w:r w:rsidR="005313DF" w:rsidRPr="002D4B31">
              <w:rPr>
                <w:rFonts w:ascii="Times New Roman" w:hAnsi="Times New Roman"/>
              </w:rPr>
              <w:t xml:space="preserve">. Au moins 6 personnes ont été tuées après avoir été la cible d’attaques de cette nature. Les victimes se comptent </w:t>
            </w:r>
            <w:r w:rsidRPr="002D4B31">
              <w:rPr>
                <w:rFonts w:ascii="Times New Roman" w:hAnsi="Times New Roman"/>
              </w:rPr>
              <w:t xml:space="preserve">notamment au sein </w:t>
            </w:r>
            <w:r w:rsidR="005313DF" w:rsidRPr="002D4B31">
              <w:rPr>
                <w:rFonts w:ascii="Times New Roman" w:hAnsi="Times New Roman"/>
              </w:rPr>
              <w:t xml:space="preserve">des FAMa, de la MINUSMA et de l’opération </w:t>
            </w:r>
            <w:r w:rsidR="002F79D6" w:rsidRPr="002D4B31">
              <w:rPr>
                <w:rFonts w:ascii="Times New Roman" w:hAnsi="Times New Roman"/>
              </w:rPr>
              <w:t>SERVAL</w:t>
            </w:r>
            <w:r w:rsidR="005313DF" w:rsidRPr="002D4B31">
              <w:rPr>
                <w:rFonts w:ascii="Times New Roman" w:hAnsi="Times New Roman"/>
              </w:rPr>
              <w:t xml:space="preserve">, ainsi que </w:t>
            </w:r>
            <w:r w:rsidRPr="002D4B31">
              <w:rPr>
                <w:rFonts w:ascii="Times New Roman" w:hAnsi="Times New Roman"/>
              </w:rPr>
              <w:t xml:space="preserve">parmi </w:t>
            </w:r>
            <w:r w:rsidR="005313DF" w:rsidRPr="002D4B31">
              <w:rPr>
                <w:rFonts w:ascii="Times New Roman" w:hAnsi="Times New Roman"/>
              </w:rPr>
              <w:t>d</w:t>
            </w:r>
            <w:r w:rsidRPr="002D4B31">
              <w:rPr>
                <w:rFonts w:ascii="Times New Roman" w:hAnsi="Times New Roman"/>
              </w:rPr>
              <w:t xml:space="preserve">es </w:t>
            </w:r>
            <w:r w:rsidR="005313DF" w:rsidRPr="002D4B31">
              <w:rPr>
                <w:rFonts w:ascii="Times New Roman" w:hAnsi="Times New Roman"/>
              </w:rPr>
              <w:t xml:space="preserve">organisations non gouvernementales internationales et des organismes des Nations </w:t>
            </w:r>
            <w:r w:rsidR="00864B20" w:rsidRPr="002D4B31">
              <w:rPr>
                <w:rFonts w:ascii="Times New Roman" w:hAnsi="Times New Roman"/>
              </w:rPr>
              <w:t>U</w:t>
            </w:r>
            <w:r w:rsidR="005313DF" w:rsidRPr="002D4B31">
              <w:rPr>
                <w:rFonts w:ascii="Times New Roman" w:hAnsi="Times New Roman"/>
              </w:rPr>
              <w:t xml:space="preserve">nies. </w:t>
            </w:r>
            <w:r w:rsidR="00E5262D" w:rsidRPr="002D4B31">
              <w:rPr>
                <w:rFonts w:ascii="Times New Roman" w:hAnsi="Times New Roman"/>
              </w:rPr>
              <w:t>A</w:t>
            </w:r>
            <w:r w:rsidR="005313DF" w:rsidRPr="002D4B31">
              <w:rPr>
                <w:rFonts w:ascii="Times New Roman" w:hAnsi="Times New Roman"/>
              </w:rPr>
              <w:t>u moins 5 personnes, parmi lesquelles deux journalistes de Radio France Internationale ont été  enlevés et exécutés pa</w:t>
            </w:r>
            <w:r w:rsidR="00BE3C14" w:rsidRPr="002D4B31">
              <w:rPr>
                <w:rFonts w:ascii="Times New Roman" w:hAnsi="Times New Roman"/>
              </w:rPr>
              <w:t xml:space="preserve">r des groupes terroristes dans </w:t>
            </w:r>
            <w:r w:rsidR="005313DF" w:rsidRPr="002D4B31">
              <w:rPr>
                <w:rFonts w:ascii="Times New Roman" w:hAnsi="Times New Roman"/>
              </w:rPr>
              <w:t xml:space="preserve">la région de Kidal. </w:t>
            </w:r>
          </w:p>
          <w:p w:rsidR="009356DD" w:rsidRPr="002D4B31" w:rsidRDefault="009356DD" w:rsidP="006C2FA0">
            <w:pPr>
              <w:tabs>
                <w:tab w:val="left" w:pos="567"/>
              </w:tabs>
              <w:jc w:val="both"/>
              <w:rPr>
                <w:rFonts w:ascii="Times New Roman" w:hAnsi="Times New Roman"/>
              </w:rPr>
            </w:pPr>
            <w:r w:rsidRPr="002D4B31">
              <w:rPr>
                <w:rFonts w:ascii="Times New Roman" w:eastAsia="Malgun Gothic" w:hAnsi="Times New Roman"/>
              </w:rPr>
              <w:t xml:space="preserve">Par ailleurs, des violences entre communautés, principalement au nord du pays, se sont souvent soldées par la mort de plusieurs civils et ont contribué à entretenir un climat </w:t>
            </w:r>
            <w:r w:rsidR="00E5262D" w:rsidRPr="002D4B31">
              <w:rPr>
                <w:rFonts w:ascii="Times New Roman" w:eastAsia="Malgun Gothic" w:hAnsi="Times New Roman"/>
              </w:rPr>
              <w:t xml:space="preserve">de suspicion </w:t>
            </w:r>
            <w:r w:rsidRPr="002D4B31">
              <w:rPr>
                <w:rFonts w:ascii="Times New Roman" w:eastAsia="Malgun Gothic" w:hAnsi="Times New Roman"/>
              </w:rPr>
              <w:t xml:space="preserve">propice à la vengeance et à la haine au Mali. La Division des droits de l’homme a documenté et enquêté sur le cycle de violences intercommunautaires qui a opposé les communautés </w:t>
            </w:r>
            <w:r w:rsidRPr="002D4B31">
              <w:rPr>
                <w:rFonts w:ascii="Times New Roman" w:eastAsia="Malgun Gothic" w:hAnsi="Times New Roman"/>
                <w:i/>
              </w:rPr>
              <w:t>Peulh</w:t>
            </w:r>
            <w:r w:rsidRPr="002D4B31">
              <w:rPr>
                <w:rFonts w:ascii="Times New Roman" w:eastAsia="Malgun Gothic" w:hAnsi="Times New Roman"/>
              </w:rPr>
              <w:t xml:space="preserve"> et </w:t>
            </w:r>
            <w:r w:rsidRPr="002D4B31">
              <w:rPr>
                <w:rFonts w:ascii="Times New Roman" w:eastAsia="Malgun Gothic" w:hAnsi="Times New Roman"/>
                <w:i/>
              </w:rPr>
              <w:t>Tamasheq</w:t>
            </w:r>
            <w:r w:rsidRPr="002D4B31">
              <w:rPr>
                <w:rFonts w:ascii="Times New Roman" w:eastAsia="Malgun Gothic" w:hAnsi="Times New Roman"/>
              </w:rPr>
              <w:t xml:space="preserve"> dans la région de Gao depuis novembre 2013. Elle a confirmé 12 affrontements </w:t>
            </w:r>
            <w:r w:rsidR="002C4429" w:rsidRPr="002D4B31">
              <w:rPr>
                <w:rFonts w:ascii="Times New Roman" w:eastAsia="Malgun Gothic" w:hAnsi="Times New Roman"/>
              </w:rPr>
              <w:t xml:space="preserve">successifs </w:t>
            </w:r>
            <w:r w:rsidRPr="002D4B31">
              <w:rPr>
                <w:rFonts w:ascii="Times New Roman" w:eastAsia="Malgun Gothic" w:hAnsi="Times New Roman"/>
              </w:rPr>
              <w:t xml:space="preserve">majeurs ayant causé au moins 125 victimes </w:t>
            </w:r>
            <w:r w:rsidR="00E36AB1" w:rsidRPr="002D4B31">
              <w:rPr>
                <w:rFonts w:ascii="Times New Roman" w:eastAsia="Malgun Gothic" w:hAnsi="Times New Roman"/>
              </w:rPr>
              <w:t xml:space="preserve"> dont 75 tuées, </w:t>
            </w:r>
            <w:r w:rsidRPr="002D4B31">
              <w:rPr>
                <w:rFonts w:ascii="Times New Roman" w:eastAsia="Malgun Gothic" w:hAnsi="Times New Roman"/>
              </w:rPr>
              <w:t>dans l’intervalle de cette courte période de temps.</w:t>
            </w:r>
          </w:p>
          <w:p w:rsidR="005313DF" w:rsidRPr="002D4B31" w:rsidRDefault="005313DF" w:rsidP="006C2FA0">
            <w:pPr>
              <w:tabs>
                <w:tab w:val="left" w:pos="567"/>
              </w:tabs>
              <w:jc w:val="both"/>
              <w:rPr>
                <w:rFonts w:ascii="Times New Roman" w:hAnsi="Times New Roman"/>
              </w:rPr>
            </w:pPr>
            <w:r w:rsidRPr="002D4B31">
              <w:rPr>
                <w:rFonts w:ascii="Times New Roman" w:hAnsi="Times New Roman"/>
              </w:rPr>
              <w:t xml:space="preserve">Ce rapport formule une série de recommandations </w:t>
            </w:r>
            <w:r w:rsidR="00D10F73" w:rsidRPr="002D4B31">
              <w:rPr>
                <w:rFonts w:ascii="Times New Roman" w:hAnsi="Times New Roman"/>
              </w:rPr>
              <w:t xml:space="preserve">visant à soutenir </w:t>
            </w:r>
            <w:r w:rsidRPr="002D4B31">
              <w:rPr>
                <w:rFonts w:ascii="Times New Roman" w:hAnsi="Times New Roman"/>
              </w:rPr>
              <w:t xml:space="preserve">le </w:t>
            </w:r>
            <w:r w:rsidR="00D10F73" w:rsidRPr="002D4B31">
              <w:rPr>
                <w:rFonts w:ascii="Times New Roman" w:hAnsi="Times New Roman"/>
              </w:rPr>
              <w:t xml:space="preserve">Mali dans </w:t>
            </w:r>
            <w:r w:rsidRPr="002D4B31">
              <w:rPr>
                <w:rFonts w:ascii="Times New Roman" w:hAnsi="Times New Roman"/>
              </w:rPr>
              <w:t>s</w:t>
            </w:r>
            <w:r w:rsidR="00D10F73" w:rsidRPr="002D4B31">
              <w:rPr>
                <w:rFonts w:ascii="Times New Roman" w:hAnsi="Times New Roman"/>
              </w:rPr>
              <w:t xml:space="preserve">on </w:t>
            </w:r>
            <w:r w:rsidRPr="002D4B31">
              <w:rPr>
                <w:rFonts w:ascii="Times New Roman" w:hAnsi="Times New Roman"/>
              </w:rPr>
              <w:t>engage</w:t>
            </w:r>
            <w:r w:rsidR="00D10F73" w:rsidRPr="002D4B31">
              <w:rPr>
                <w:rFonts w:ascii="Times New Roman" w:hAnsi="Times New Roman"/>
              </w:rPr>
              <w:t xml:space="preserve">ment </w:t>
            </w:r>
            <w:r w:rsidR="00146EC1" w:rsidRPr="002D4B31">
              <w:rPr>
                <w:rFonts w:ascii="Times New Roman" w:hAnsi="Times New Roman"/>
              </w:rPr>
              <w:t xml:space="preserve">vers une </w:t>
            </w:r>
            <w:r w:rsidRPr="002D4B31">
              <w:rPr>
                <w:rFonts w:ascii="Times New Roman" w:hAnsi="Times New Roman"/>
              </w:rPr>
              <w:t>résolution pacifique du conflit</w:t>
            </w:r>
            <w:r w:rsidR="00EF0F84" w:rsidRPr="002D4B31">
              <w:rPr>
                <w:rFonts w:ascii="Times New Roman" w:hAnsi="Times New Roman"/>
              </w:rPr>
              <w:t>,</w:t>
            </w:r>
            <w:r w:rsidRPr="002D4B31">
              <w:rPr>
                <w:rFonts w:ascii="Times New Roman" w:hAnsi="Times New Roman"/>
              </w:rPr>
              <w:t xml:space="preserve"> dans un climat respectueux des droits de l’homme. La mise en œuvre de ces recommandations par les autorités maliennes</w:t>
            </w:r>
            <w:r w:rsidR="00EF0F84" w:rsidRPr="002D4B31">
              <w:rPr>
                <w:rFonts w:ascii="Times New Roman" w:hAnsi="Times New Roman"/>
              </w:rPr>
              <w:t xml:space="preserve"> et les groupes armés </w:t>
            </w:r>
            <w:r w:rsidRPr="002D4B31">
              <w:rPr>
                <w:rFonts w:ascii="Times New Roman" w:hAnsi="Times New Roman"/>
              </w:rPr>
              <w:t xml:space="preserve">revêt une importance particulière à la lumière des dispositions de l’Accord préliminaire de Ouagadougou par lequel </w:t>
            </w:r>
            <w:r w:rsidR="00EF0F84" w:rsidRPr="002D4B31">
              <w:rPr>
                <w:rFonts w:ascii="Times New Roman" w:hAnsi="Times New Roman"/>
              </w:rPr>
              <w:t>les différentes parties</w:t>
            </w:r>
            <w:r w:rsidRPr="002D4B31">
              <w:rPr>
                <w:rFonts w:ascii="Times New Roman" w:hAnsi="Times New Roman"/>
              </w:rPr>
              <w:t xml:space="preserve"> se sont notamment engagé</w:t>
            </w:r>
            <w:r w:rsidR="00EF0F84" w:rsidRPr="002D4B31">
              <w:rPr>
                <w:rFonts w:ascii="Times New Roman" w:hAnsi="Times New Roman"/>
              </w:rPr>
              <w:t>e</w:t>
            </w:r>
            <w:r w:rsidRPr="002D4B31">
              <w:rPr>
                <w:rFonts w:ascii="Times New Roman" w:hAnsi="Times New Roman"/>
              </w:rPr>
              <w:t>s à promouvoir les objectifs de réconciliation nationale en vue d'un retour à la paix dans le nord du pays.</w:t>
            </w:r>
          </w:p>
        </w:tc>
      </w:tr>
    </w:tbl>
    <w:p w:rsidR="009F45F5" w:rsidRPr="007668DF" w:rsidRDefault="009F45F5" w:rsidP="006C2FA0">
      <w:pPr>
        <w:keepNext/>
        <w:shd w:val="clear" w:color="auto" w:fill="FFFFFF"/>
        <w:tabs>
          <w:tab w:val="left" w:pos="567"/>
        </w:tabs>
        <w:spacing w:after="0"/>
        <w:outlineLvl w:val="0"/>
        <w:rPr>
          <w:rFonts w:ascii="Times New Roman" w:eastAsia="Malgun Gothic" w:hAnsi="Times New Roman"/>
          <w:b/>
          <w:sz w:val="24"/>
          <w:szCs w:val="24"/>
        </w:rPr>
      </w:pPr>
    </w:p>
    <w:p w:rsidR="007503A0" w:rsidRPr="00D73A4B" w:rsidRDefault="009F45F5" w:rsidP="00D73A4B">
      <w:pPr>
        <w:keepNext/>
        <w:shd w:val="clear" w:color="auto" w:fill="FFFFFF"/>
        <w:tabs>
          <w:tab w:val="left" w:pos="567"/>
          <w:tab w:val="left" w:pos="2753"/>
          <w:tab w:val="center" w:pos="4465"/>
        </w:tabs>
        <w:spacing w:after="0"/>
        <w:outlineLvl w:val="0"/>
        <w:rPr>
          <w:rFonts w:ascii="Times New Roman" w:eastAsia="Malgun Gothic" w:hAnsi="Times New Roman"/>
          <w:b/>
          <w:sz w:val="20"/>
          <w:szCs w:val="20"/>
        </w:rPr>
      </w:pPr>
      <w:r w:rsidRPr="007668DF">
        <w:rPr>
          <w:rFonts w:ascii="Times New Roman" w:eastAsia="Malgun Gothic" w:hAnsi="Times New Roman"/>
          <w:b/>
          <w:sz w:val="24"/>
          <w:szCs w:val="24"/>
        </w:rPr>
        <w:br w:type="page"/>
      </w:r>
      <w:r w:rsidR="00D73A4B">
        <w:rPr>
          <w:rFonts w:ascii="Times New Roman" w:eastAsia="Malgun Gothic" w:hAnsi="Times New Roman"/>
          <w:b/>
          <w:sz w:val="24"/>
          <w:szCs w:val="24"/>
        </w:rPr>
        <w:lastRenderedPageBreak/>
        <w:tab/>
      </w:r>
      <w:r w:rsidR="00D73A4B">
        <w:rPr>
          <w:rFonts w:ascii="Times New Roman" w:eastAsia="Malgun Gothic" w:hAnsi="Times New Roman"/>
          <w:b/>
          <w:sz w:val="24"/>
          <w:szCs w:val="24"/>
        </w:rPr>
        <w:tab/>
      </w:r>
      <w:r w:rsidR="00D73A4B" w:rsidRPr="00D73A4B">
        <w:rPr>
          <w:rFonts w:ascii="Times New Roman" w:eastAsia="Malgun Gothic" w:hAnsi="Times New Roman"/>
          <w:b/>
          <w:sz w:val="20"/>
          <w:szCs w:val="20"/>
        </w:rPr>
        <w:tab/>
      </w:r>
      <w:r w:rsidR="00564043" w:rsidRPr="00D73A4B">
        <w:rPr>
          <w:rFonts w:ascii="Times New Roman" w:eastAsia="Malgun Gothic" w:hAnsi="Times New Roman"/>
          <w:b/>
          <w:sz w:val="20"/>
          <w:szCs w:val="20"/>
        </w:rPr>
        <w:t>T</w:t>
      </w:r>
      <w:r w:rsidR="00270B3B" w:rsidRPr="00D73A4B">
        <w:rPr>
          <w:rFonts w:ascii="Times New Roman" w:eastAsia="Malgun Gothic" w:hAnsi="Times New Roman"/>
          <w:b/>
          <w:sz w:val="20"/>
          <w:szCs w:val="20"/>
        </w:rPr>
        <w:t>ABLE DES MATIERES</w:t>
      </w:r>
    </w:p>
    <w:p w:rsidR="007503A0" w:rsidRDefault="007503A0" w:rsidP="006C2FA0">
      <w:pPr>
        <w:keepNext/>
        <w:shd w:val="clear" w:color="auto" w:fill="FFFFFF"/>
        <w:tabs>
          <w:tab w:val="left" w:pos="567"/>
        </w:tabs>
        <w:spacing w:after="0"/>
        <w:jc w:val="center"/>
        <w:outlineLvl w:val="0"/>
        <w:rPr>
          <w:rFonts w:ascii="Times New Roman" w:hAnsi="Times New Roman"/>
          <w:sz w:val="20"/>
          <w:szCs w:val="20"/>
          <w:lang w:eastAsia="en-GB"/>
        </w:rPr>
      </w:pPr>
    </w:p>
    <w:p w:rsidR="002A4B50" w:rsidRPr="003B152B" w:rsidRDefault="002A4B50">
      <w:pPr>
        <w:pStyle w:val="TOC1"/>
        <w:tabs>
          <w:tab w:val="left" w:pos="440"/>
          <w:tab w:val="right" w:leader="hyphen" w:pos="8920"/>
        </w:tabs>
        <w:rPr>
          <w:rFonts w:ascii="Times New Roman" w:eastAsiaTheme="minorEastAsia" w:hAnsi="Times New Roman"/>
          <w:b w:val="0"/>
          <w:bCs w:val="0"/>
          <w:i w:val="0"/>
          <w:iCs w:val="0"/>
          <w:noProof/>
          <w:sz w:val="22"/>
          <w:szCs w:val="22"/>
        </w:rPr>
      </w:pPr>
      <w:r w:rsidRPr="003B152B">
        <w:rPr>
          <w:rFonts w:ascii="Times New Roman" w:hAnsi="Times New Roman"/>
          <w:i w:val="0"/>
          <w:lang w:eastAsia="en-GB"/>
        </w:rPr>
        <w:fldChar w:fldCharType="begin"/>
      </w:r>
      <w:r w:rsidRPr="003B152B">
        <w:rPr>
          <w:rFonts w:ascii="Times New Roman" w:hAnsi="Times New Roman"/>
          <w:i w:val="0"/>
          <w:lang w:eastAsia="en-GB"/>
        </w:rPr>
        <w:instrText xml:space="preserve"> TOC \t "Title,1,Subtitle,2" </w:instrText>
      </w:r>
      <w:r w:rsidRPr="003B152B">
        <w:rPr>
          <w:rFonts w:ascii="Times New Roman" w:hAnsi="Times New Roman"/>
          <w:i w:val="0"/>
          <w:lang w:eastAsia="en-GB"/>
        </w:rPr>
        <w:fldChar w:fldCharType="separate"/>
      </w:r>
      <w:r w:rsidRPr="003B152B">
        <w:rPr>
          <w:rFonts w:ascii="Times New Roman" w:hAnsi="Times New Roman"/>
          <w:i w:val="0"/>
          <w:noProof/>
        </w:rPr>
        <w:t>I.</w:t>
      </w:r>
      <w:r w:rsidRPr="003B152B">
        <w:rPr>
          <w:rFonts w:ascii="Times New Roman" w:eastAsiaTheme="minorEastAsia" w:hAnsi="Times New Roman"/>
          <w:b w:val="0"/>
          <w:bCs w:val="0"/>
          <w:i w:val="0"/>
          <w:iCs w:val="0"/>
          <w:noProof/>
          <w:sz w:val="22"/>
          <w:szCs w:val="22"/>
        </w:rPr>
        <w:tab/>
      </w:r>
      <w:r w:rsidRPr="003B152B">
        <w:rPr>
          <w:rFonts w:ascii="Times New Roman" w:hAnsi="Times New Roman"/>
          <w:i w:val="0"/>
          <w:noProof/>
        </w:rPr>
        <w:t>Introduction</w:t>
      </w:r>
      <w:r w:rsidRPr="003B152B">
        <w:rPr>
          <w:rFonts w:ascii="Times New Roman" w:hAnsi="Times New Roman"/>
          <w:i w:val="0"/>
          <w:noProof/>
        </w:rPr>
        <w:tab/>
      </w:r>
      <w:r w:rsidRPr="003B152B">
        <w:rPr>
          <w:rFonts w:ascii="Times New Roman" w:hAnsi="Times New Roman"/>
          <w:i w:val="0"/>
          <w:noProof/>
        </w:rPr>
        <w:fldChar w:fldCharType="begin"/>
      </w:r>
      <w:r w:rsidRPr="003B152B">
        <w:rPr>
          <w:rFonts w:ascii="Times New Roman" w:hAnsi="Times New Roman"/>
          <w:i w:val="0"/>
          <w:noProof/>
        </w:rPr>
        <w:instrText xml:space="preserve"> PAGEREF _Toc401931483 \h </w:instrText>
      </w:r>
      <w:r w:rsidRPr="003B152B">
        <w:rPr>
          <w:rFonts w:ascii="Times New Roman" w:hAnsi="Times New Roman"/>
          <w:i w:val="0"/>
          <w:noProof/>
        </w:rPr>
      </w:r>
      <w:r w:rsidRPr="003B152B">
        <w:rPr>
          <w:rFonts w:ascii="Times New Roman" w:hAnsi="Times New Roman"/>
          <w:i w:val="0"/>
          <w:noProof/>
        </w:rPr>
        <w:fldChar w:fldCharType="separate"/>
      </w:r>
      <w:r w:rsidR="002D4B31">
        <w:rPr>
          <w:rFonts w:ascii="Times New Roman" w:hAnsi="Times New Roman"/>
          <w:i w:val="0"/>
          <w:noProof/>
        </w:rPr>
        <w:t>7</w:t>
      </w:r>
      <w:r w:rsidRPr="003B152B">
        <w:rPr>
          <w:rFonts w:ascii="Times New Roman" w:hAnsi="Times New Roman"/>
          <w:i w:val="0"/>
          <w:noProof/>
        </w:rPr>
        <w:fldChar w:fldCharType="end"/>
      </w:r>
    </w:p>
    <w:p w:rsidR="002A4B50" w:rsidRPr="003B152B" w:rsidRDefault="002A4B50">
      <w:pPr>
        <w:pStyle w:val="TOC1"/>
        <w:tabs>
          <w:tab w:val="left" w:pos="440"/>
          <w:tab w:val="right" w:leader="hyphen" w:pos="8920"/>
        </w:tabs>
        <w:rPr>
          <w:rFonts w:ascii="Times New Roman" w:eastAsiaTheme="minorEastAsia" w:hAnsi="Times New Roman"/>
          <w:b w:val="0"/>
          <w:bCs w:val="0"/>
          <w:i w:val="0"/>
          <w:iCs w:val="0"/>
          <w:noProof/>
          <w:sz w:val="22"/>
          <w:szCs w:val="22"/>
        </w:rPr>
      </w:pPr>
      <w:r w:rsidRPr="003B152B">
        <w:rPr>
          <w:rFonts w:ascii="Times New Roman" w:eastAsia="Malgun Gothic" w:hAnsi="Times New Roman"/>
          <w:i w:val="0"/>
          <w:noProof/>
        </w:rPr>
        <w:t>II.</w:t>
      </w:r>
      <w:r w:rsidRPr="003B152B">
        <w:rPr>
          <w:rFonts w:ascii="Times New Roman" w:eastAsiaTheme="minorEastAsia" w:hAnsi="Times New Roman"/>
          <w:b w:val="0"/>
          <w:bCs w:val="0"/>
          <w:i w:val="0"/>
          <w:iCs w:val="0"/>
          <w:noProof/>
          <w:sz w:val="22"/>
          <w:szCs w:val="22"/>
        </w:rPr>
        <w:tab/>
      </w:r>
      <w:r w:rsidRPr="003B152B">
        <w:rPr>
          <w:rFonts w:ascii="Times New Roman" w:eastAsia="Malgun Gothic" w:hAnsi="Times New Roman"/>
          <w:i w:val="0"/>
          <w:noProof/>
        </w:rPr>
        <w:t>Méthodologie</w:t>
      </w:r>
      <w:r w:rsidRPr="003B152B">
        <w:rPr>
          <w:rFonts w:ascii="Times New Roman" w:hAnsi="Times New Roman"/>
          <w:i w:val="0"/>
          <w:noProof/>
        </w:rPr>
        <w:tab/>
      </w:r>
      <w:r w:rsidRPr="003B152B">
        <w:rPr>
          <w:rFonts w:ascii="Times New Roman" w:hAnsi="Times New Roman"/>
          <w:i w:val="0"/>
          <w:noProof/>
        </w:rPr>
        <w:fldChar w:fldCharType="begin"/>
      </w:r>
      <w:r w:rsidRPr="003B152B">
        <w:rPr>
          <w:rFonts w:ascii="Times New Roman" w:hAnsi="Times New Roman"/>
          <w:i w:val="0"/>
          <w:noProof/>
        </w:rPr>
        <w:instrText xml:space="preserve"> PAGEREF _Toc401931484 \h </w:instrText>
      </w:r>
      <w:r w:rsidRPr="003B152B">
        <w:rPr>
          <w:rFonts w:ascii="Times New Roman" w:hAnsi="Times New Roman"/>
          <w:i w:val="0"/>
          <w:noProof/>
        </w:rPr>
      </w:r>
      <w:r w:rsidRPr="003B152B">
        <w:rPr>
          <w:rFonts w:ascii="Times New Roman" w:hAnsi="Times New Roman"/>
          <w:i w:val="0"/>
          <w:noProof/>
        </w:rPr>
        <w:fldChar w:fldCharType="separate"/>
      </w:r>
      <w:r w:rsidR="002D4B31">
        <w:rPr>
          <w:rFonts w:ascii="Times New Roman" w:hAnsi="Times New Roman"/>
          <w:i w:val="0"/>
          <w:noProof/>
        </w:rPr>
        <w:t>8</w:t>
      </w:r>
      <w:r w:rsidRPr="003B152B">
        <w:rPr>
          <w:rFonts w:ascii="Times New Roman" w:hAnsi="Times New Roman"/>
          <w:i w:val="0"/>
          <w:noProof/>
        </w:rPr>
        <w:fldChar w:fldCharType="end"/>
      </w:r>
    </w:p>
    <w:p w:rsidR="002A4B50" w:rsidRPr="003B152B" w:rsidRDefault="002A4B50">
      <w:pPr>
        <w:pStyle w:val="TOC1"/>
        <w:tabs>
          <w:tab w:val="left" w:pos="660"/>
          <w:tab w:val="right" w:leader="hyphen" w:pos="8920"/>
        </w:tabs>
        <w:rPr>
          <w:rFonts w:ascii="Times New Roman" w:eastAsiaTheme="minorEastAsia" w:hAnsi="Times New Roman"/>
          <w:b w:val="0"/>
          <w:bCs w:val="0"/>
          <w:i w:val="0"/>
          <w:iCs w:val="0"/>
          <w:noProof/>
          <w:sz w:val="22"/>
          <w:szCs w:val="22"/>
        </w:rPr>
      </w:pPr>
      <w:r w:rsidRPr="003B152B">
        <w:rPr>
          <w:rFonts w:ascii="Times New Roman" w:eastAsia="Malgun Gothic" w:hAnsi="Times New Roman"/>
          <w:i w:val="0"/>
          <w:noProof/>
        </w:rPr>
        <w:t>III.</w:t>
      </w:r>
      <w:r w:rsidR="00FA103F">
        <w:rPr>
          <w:rFonts w:ascii="Times New Roman" w:eastAsiaTheme="minorEastAsia" w:hAnsi="Times New Roman"/>
          <w:b w:val="0"/>
          <w:bCs w:val="0"/>
          <w:i w:val="0"/>
          <w:iCs w:val="0"/>
          <w:noProof/>
          <w:sz w:val="22"/>
          <w:szCs w:val="22"/>
        </w:rPr>
        <w:t xml:space="preserve">  </w:t>
      </w:r>
      <w:r w:rsidRPr="003B152B">
        <w:rPr>
          <w:rFonts w:ascii="Times New Roman" w:eastAsia="Malgun Gothic" w:hAnsi="Times New Roman"/>
          <w:i w:val="0"/>
          <w:noProof/>
        </w:rPr>
        <w:t>Cadre légal</w:t>
      </w:r>
      <w:r w:rsidRPr="003B152B">
        <w:rPr>
          <w:rFonts w:ascii="Times New Roman" w:hAnsi="Times New Roman"/>
          <w:i w:val="0"/>
          <w:noProof/>
        </w:rPr>
        <w:tab/>
      </w:r>
      <w:r w:rsidRPr="003B152B">
        <w:rPr>
          <w:rFonts w:ascii="Times New Roman" w:hAnsi="Times New Roman"/>
          <w:i w:val="0"/>
          <w:noProof/>
        </w:rPr>
        <w:fldChar w:fldCharType="begin"/>
      </w:r>
      <w:r w:rsidRPr="003B152B">
        <w:rPr>
          <w:rFonts w:ascii="Times New Roman" w:hAnsi="Times New Roman"/>
          <w:i w:val="0"/>
          <w:noProof/>
        </w:rPr>
        <w:instrText xml:space="preserve"> PAGEREF _Toc401931485 \h </w:instrText>
      </w:r>
      <w:r w:rsidRPr="003B152B">
        <w:rPr>
          <w:rFonts w:ascii="Times New Roman" w:hAnsi="Times New Roman"/>
          <w:i w:val="0"/>
          <w:noProof/>
        </w:rPr>
      </w:r>
      <w:r w:rsidRPr="003B152B">
        <w:rPr>
          <w:rFonts w:ascii="Times New Roman" w:hAnsi="Times New Roman"/>
          <w:i w:val="0"/>
          <w:noProof/>
        </w:rPr>
        <w:fldChar w:fldCharType="separate"/>
      </w:r>
      <w:r w:rsidR="002D4B31">
        <w:rPr>
          <w:rFonts w:ascii="Times New Roman" w:hAnsi="Times New Roman"/>
          <w:i w:val="0"/>
          <w:noProof/>
        </w:rPr>
        <w:t>9</w:t>
      </w:r>
      <w:r w:rsidRPr="003B152B">
        <w:rPr>
          <w:rFonts w:ascii="Times New Roman" w:hAnsi="Times New Roman"/>
          <w:i w:val="0"/>
          <w:noProof/>
        </w:rPr>
        <w:fldChar w:fldCharType="end"/>
      </w:r>
    </w:p>
    <w:p w:rsidR="002A4B50" w:rsidRPr="003B152B" w:rsidRDefault="002A4B50">
      <w:pPr>
        <w:pStyle w:val="TOC1"/>
        <w:tabs>
          <w:tab w:val="left" w:pos="660"/>
          <w:tab w:val="right" w:leader="hyphen" w:pos="8920"/>
        </w:tabs>
        <w:rPr>
          <w:rFonts w:ascii="Times New Roman" w:eastAsiaTheme="minorEastAsia" w:hAnsi="Times New Roman"/>
          <w:b w:val="0"/>
          <w:bCs w:val="0"/>
          <w:i w:val="0"/>
          <w:iCs w:val="0"/>
          <w:noProof/>
          <w:sz w:val="22"/>
          <w:szCs w:val="22"/>
        </w:rPr>
      </w:pPr>
      <w:r w:rsidRPr="003B152B">
        <w:rPr>
          <w:rFonts w:ascii="Times New Roman" w:eastAsia="Malgun Gothic" w:hAnsi="Times New Roman"/>
          <w:i w:val="0"/>
          <w:noProof/>
        </w:rPr>
        <w:t>IV.</w:t>
      </w:r>
      <w:r w:rsidR="00FA103F">
        <w:rPr>
          <w:rFonts w:ascii="Times New Roman" w:eastAsiaTheme="minorEastAsia" w:hAnsi="Times New Roman"/>
          <w:b w:val="0"/>
          <w:bCs w:val="0"/>
          <w:i w:val="0"/>
          <w:iCs w:val="0"/>
          <w:noProof/>
          <w:sz w:val="22"/>
          <w:szCs w:val="22"/>
        </w:rPr>
        <w:t xml:space="preserve">   </w:t>
      </w:r>
      <w:r w:rsidRPr="003B152B">
        <w:rPr>
          <w:rFonts w:ascii="Times New Roman" w:eastAsia="Malgun Gothic" w:hAnsi="Times New Roman"/>
          <w:i w:val="0"/>
          <w:noProof/>
        </w:rPr>
        <w:t>Contexte politique et sécuritaire</w:t>
      </w:r>
      <w:r w:rsidRPr="003B152B">
        <w:rPr>
          <w:rFonts w:ascii="Times New Roman" w:hAnsi="Times New Roman"/>
          <w:i w:val="0"/>
          <w:noProof/>
        </w:rPr>
        <w:tab/>
      </w:r>
      <w:r w:rsidRPr="003B152B">
        <w:rPr>
          <w:rFonts w:ascii="Times New Roman" w:hAnsi="Times New Roman"/>
          <w:i w:val="0"/>
          <w:noProof/>
        </w:rPr>
        <w:fldChar w:fldCharType="begin"/>
      </w:r>
      <w:r w:rsidRPr="003B152B">
        <w:rPr>
          <w:rFonts w:ascii="Times New Roman" w:hAnsi="Times New Roman"/>
          <w:i w:val="0"/>
          <w:noProof/>
        </w:rPr>
        <w:instrText xml:space="preserve"> PAGEREF _Toc401931486 \h </w:instrText>
      </w:r>
      <w:r w:rsidRPr="003B152B">
        <w:rPr>
          <w:rFonts w:ascii="Times New Roman" w:hAnsi="Times New Roman"/>
          <w:i w:val="0"/>
          <w:noProof/>
        </w:rPr>
      </w:r>
      <w:r w:rsidRPr="003B152B">
        <w:rPr>
          <w:rFonts w:ascii="Times New Roman" w:hAnsi="Times New Roman"/>
          <w:i w:val="0"/>
          <w:noProof/>
        </w:rPr>
        <w:fldChar w:fldCharType="separate"/>
      </w:r>
      <w:r w:rsidR="002D4B31">
        <w:rPr>
          <w:rFonts w:ascii="Times New Roman" w:hAnsi="Times New Roman"/>
          <w:i w:val="0"/>
          <w:noProof/>
        </w:rPr>
        <w:t>11</w:t>
      </w:r>
      <w:r w:rsidRPr="003B152B">
        <w:rPr>
          <w:rFonts w:ascii="Times New Roman" w:hAnsi="Times New Roman"/>
          <w:i w:val="0"/>
          <w:noProof/>
        </w:rPr>
        <w:fldChar w:fldCharType="end"/>
      </w:r>
    </w:p>
    <w:p w:rsidR="002A4B50" w:rsidRPr="0048703A" w:rsidRDefault="002A4B50">
      <w:pPr>
        <w:pStyle w:val="TOC2"/>
        <w:tabs>
          <w:tab w:val="left" w:pos="660"/>
          <w:tab w:val="right" w:leader="hyphen" w:pos="8920"/>
        </w:tabs>
        <w:rPr>
          <w:rFonts w:ascii="Times New Roman" w:eastAsiaTheme="minorEastAsia" w:hAnsi="Times New Roman"/>
          <w:b w:val="0"/>
          <w:bCs w:val="0"/>
          <w:noProof/>
        </w:rPr>
      </w:pPr>
      <w:r w:rsidRPr="0048703A">
        <w:rPr>
          <w:rFonts w:ascii="Times New Roman" w:eastAsia="Malgun Gothic" w:hAnsi="Times New Roman"/>
          <w:b w:val="0"/>
          <w:noProof/>
        </w:rPr>
        <w:t>A.</w:t>
      </w:r>
      <w:r w:rsidRPr="0048703A">
        <w:rPr>
          <w:rFonts w:ascii="Times New Roman" w:eastAsiaTheme="minorEastAsia" w:hAnsi="Times New Roman"/>
          <w:b w:val="0"/>
          <w:bCs w:val="0"/>
          <w:noProof/>
        </w:rPr>
        <w:tab/>
      </w:r>
      <w:r w:rsidRPr="0048703A">
        <w:rPr>
          <w:rFonts w:ascii="Times New Roman" w:eastAsia="Malgun Gothic" w:hAnsi="Times New Roman"/>
          <w:b w:val="0"/>
          <w:noProof/>
        </w:rPr>
        <w:t>Avant les évènements de Kidal du 17 mai 2014</w:t>
      </w:r>
      <w:r w:rsidRPr="0048703A">
        <w:rPr>
          <w:rFonts w:ascii="Times New Roman" w:hAnsi="Times New Roman"/>
          <w:b w:val="0"/>
          <w:noProof/>
        </w:rPr>
        <w:tab/>
      </w:r>
      <w:r w:rsidRPr="0048703A">
        <w:rPr>
          <w:rFonts w:ascii="Times New Roman" w:hAnsi="Times New Roman"/>
          <w:b w:val="0"/>
          <w:noProof/>
        </w:rPr>
        <w:fldChar w:fldCharType="begin"/>
      </w:r>
      <w:r w:rsidRPr="0048703A">
        <w:rPr>
          <w:rFonts w:ascii="Times New Roman" w:hAnsi="Times New Roman"/>
          <w:b w:val="0"/>
          <w:noProof/>
        </w:rPr>
        <w:instrText xml:space="preserve"> PAGEREF _Toc401931487 \h </w:instrText>
      </w:r>
      <w:r w:rsidRPr="0048703A">
        <w:rPr>
          <w:rFonts w:ascii="Times New Roman" w:hAnsi="Times New Roman"/>
          <w:b w:val="0"/>
          <w:noProof/>
        </w:rPr>
      </w:r>
      <w:r w:rsidRPr="0048703A">
        <w:rPr>
          <w:rFonts w:ascii="Times New Roman" w:hAnsi="Times New Roman"/>
          <w:b w:val="0"/>
          <w:noProof/>
        </w:rPr>
        <w:fldChar w:fldCharType="separate"/>
      </w:r>
      <w:r w:rsidR="002D4B31">
        <w:rPr>
          <w:rFonts w:ascii="Times New Roman" w:hAnsi="Times New Roman"/>
          <w:b w:val="0"/>
          <w:noProof/>
        </w:rPr>
        <w:t>11</w:t>
      </w:r>
      <w:r w:rsidRPr="0048703A">
        <w:rPr>
          <w:rFonts w:ascii="Times New Roman" w:hAnsi="Times New Roman"/>
          <w:b w:val="0"/>
          <w:noProof/>
        </w:rPr>
        <w:fldChar w:fldCharType="end"/>
      </w:r>
    </w:p>
    <w:p w:rsidR="002A4B50" w:rsidRPr="0048703A" w:rsidRDefault="002A4B50">
      <w:pPr>
        <w:pStyle w:val="TOC2"/>
        <w:tabs>
          <w:tab w:val="left" w:pos="660"/>
          <w:tab w:val="right" w:leader="hyphen" w:pos="8920"/>
        </w:tabs>
        <w:rPr>
          <w:rFonts w:ascii="Times New Roman" w:eastAsiaTheme="minorEastAsia" w:hAnsi="Times New Roman"/>
          <w:b w:val="0"/>
          <w:bCs w:val="0"/>
          <w:noProof/>
        </w:rPr>
      </w:pPr>
      <w:r w:rsidRPr="0048703A">
        <w:rPr>
          <w:rFonts w:ascii="Times New Roman" w:hAnsi="Times New Roman"/>
          <w:b w:val="0"/>
          <w:noProof/>
        </w:rPr>
        <w:t>B.</w:t>
      </w:r>
      <w:r w:rsidRPr="0048703A">
        <w:rPr>
          <w:rFonts w:ascii="Times New Roman" w:eastAsiaTheme="minorEastAsia" w:hAnsi="Times New Roman"/>
          <w:b w:val="0"/>
          <w:bCs w:val="0"/>
          <w:noProof/>
        </w:rPr>
        <w:tab/>
      </w:r>
      <w:r w:rsidRPr="0048703A">
        <w:rPr>
          <w:rFonts w:ascii="Times New Roman" w:hAnsi="Times New Roman"/>
          <w:b w:val="0"/>
          <w:noProof/>
        </w:rPr>
        <w:t>Après les événements de Kidal du 17 mai 2014</w:t>
      </w:r>
      <w:r w:rsidRPr="0048703A">
        <w:rPr>
          <w:rFonts w:ascii="Times New Roman" w:hAnsi="Times New Roman"/>
          <w:b w:val="0"/>
          <w:noProof/>
        </w:rPr>
        <w:tab/>
      </w:r>
      <w:r w:rsidRPr="0048703A">
        <w:rPr>
          <w:rFonts w:ascii="Times New Roman" w:hAnsi="Times New Roman"/>
          <w:b w:val="0"/>
          <w:noProof/>
        </w:rPr>
        <w:fldChar w:fldCharType="begin"/>
      </w:r>
      <w:r w:rsidRPr="0048703A">
        <w:rPr>
          <w:rFonts w:ascii="Times New Roman" w:hAnsi="Times New Roman"/>
          <w:b w:val="0"/>
          <w:noProof/>
        </w:rPr>
        <w:instrText xml:space="preserve"> PAGEREF _Toc401931488 \h </w:instrText>
      </w:r>
      <w:r w:rsidRPr="0048703A">
        <w:rPr>
          <w:rFonts w:ascii="Times New Roman" w:hAnsi="Times New Roman"/>
          <w:b w:val="0"/>
          <w:noProof/>
        </w:rPr>
      </w:r>
      <w:r w:rsidRPr="0048703A">
        <w:rPr>
          <w:rFonts w:ascii="Times New Roman" w:hAnsi="Times New Roman"/>
          <w:b w:val="0"/>
          <w:noProof/>
        </w:rPr>
        <w:fldChar w:fldCharType="separate"/>
      </w:r>
      <w:r w:rsidR="002D4B31">
        <w:rPr>
          <w:rFonts w:ascii="Times New Roman" w:hAnsi="Times New Roman"/>
          <w:b w:val="0"/>
          <w:noProof/>
        </w:rPr>
        <w:t>12</w:t>
      </w:r>
      <w:r w:rsidRPr="0048703A">
        <w:rPr>
          <w:rFonts w:ascii="Times New Roman" w:hAnsi="Times New Roman"/>
          <w:b w:val="0"/>
          <w:noProof/>
        </w:rPr>
        <w:fldChar w:fldCharType="end"/>
      </w:r>
    </w:p>
    <w:p w:rsidR="002A4B50" w:rsidRPr="003B152B" w:rsidRDefault="002A4B50">
      <w:pPr>
        <w:pStyle w:val="TOC1"/>
        <w:tabs>
          <w:tab w:val="left" w:pos="440"/>
          <w:tab w:val="right" w:leader="hyphen" w:pos="8920"/>
        </w:tabs>
        <w:rPr>
          <w:rFonts w:ascii="Times New Roman" w:eastAsiaTheme="minorEastAsia" w:hAnsi="Times New Roman"/>
          <w:b w:val="0"/>
          <w:bCs w:val="0"/>
          <w:i w:val="0"/>
          <w:iCs w:val="0"/>
          <w:noProof/>
          <w:sz w:val="22"/>
          <w:szCs w:val="22"/>
        </w:rPr>
      </w:pPr>
      <w:r w:rsidRPr="003B152B">
        <w:rPr>
          <w:rFonts w:ascii="Times New Roman" w:eastAsia="Malgun Gothic" w:hAnsi="Times New Roman"/>
          <w:i w:val="0"/>
          <w:noProof/>
        </w:rPr>
        <w:t>V.</w:t>
      </w:r>
      <w:r w:rsidRPr="003B152B">
        <w:rPr>
          <w:rFonts w:ascii="Times New Roman" w:eastAsiaTheme="minorEastAsia" w:hAnsi="Times New Roman"/>
          <w:b w:val="0"/>
          <w:bCs w:val="0"/>
          <w:i w:val="0"/>
          <w:iCs w:val="0"/>
          <w:noProof/>
          <w:sz w:val="22"/>
          <w:szCs w:val="22"/>
        </w:rPr>
        <w:tab/>
      </w:r>
      <w:r w:rsidRPr="003B152B">
        <w:rPr>
          <w:rFonts w:ascii="Times New Roman" w:eastAsia="Malgun Gothic" w:hAnsi="Times New Roman"/>
          <w:i w:val="0"/>
          <w:noProof/>
        </w:rPr>
        <w:t>Situation des droits de l’homme</w:t>
      </w:r>
      <w:r w:rsidRPr="003B152B">
        <w:rPr>
          <w:rFonts w:ascii="Times New Roman" w:hAnsi="Times New Roman"/>
          <w:i w:val="0"/>
          <w:noProof/>
        </w:rPr>
        <w:tab/>
      </w:r>
      <w:r w:rsidRPr="003B152B">
        <w:rPr>
          <w:rFonts w:ascii="Times New Roman" w:hAnsi="Times New Roman"/>
          <w:i w:val="0"/>
          <w:noProof/>
        </w:rPr>
        <w:fldChar w:fldCharType="begin"/>
      </w:r>
      <w:r w:rsidRPr="003B152B">
        <w:rPr>
          <w:rFonts w:ascii="Times New Roman" w:hAnsi="Times New Roman"/>
          <w:i w:val="0"/>
          <w:noProof/>
        </w:rPr>
        <w:instrText xml:space="preserve"> PAGEREF _Toc401931489 \h </w:instrText>
      </w:r>
      <w:r w:rsidRPr="003B152B">
        <w:rPr>
          <w:rFonts w:ascii="Times New Roman" w:hAnsi="Times New Roman"/>
          <w:i w:val="0"/>
          <w:noProof/>
        </w:rPr>
      </w:r>
      <w:r w:rsidRPr="003B152B">
        <w:rPr>
          <w:rFonts w:ascii="Times New Roman" w:hAnsi="Times New Roman"/>
          <w:i w:val="0"/>
          <w:noProof/>
        </w:rPr>
        <w:fldChar w:fldCharType="separate"/>
      </w:r>
      <w:r w:rsidR="002D4B31">
        <w:rPr>
          <w:rFonts w:ascii="Times New Roman" w:hAnsi="Times New Roman"/>
          <w:i w:val="0"/>
          <w:noProof/>
        </w:rPr>
        <w:t>13</w:t>
      </w:r>
      <w:r w:rsidRPr="003B152B">
        <w:rPr>
          <w:rFonts w:ascii="Times New Roman" w:hAnsi="Times New Roman"/>
          <w:i w:val="0"/>
          <w:noProof/>
        </w:rPr>
        <w:fldChar w:fldCharType="end"/>
      </w:r>
    </w:p>
    <w:p w:rsidR="002A4B50" w:rsidRPr="003B152B" w:rsidRDefault="002A4B50">
      <w:pPr>
        <w:pStyle w:val="TOC2"/>
        <w:tabs>
          <w:tab w:val="left" w:pos="660"/>
          <w:tab w:val="right" w:leader="hyphen" w:pos="8920"/>
        </w:tabs>
        <w:rPr>
          <w:rFonts w:ascii="Times New Roman" w:eastAsiaTheme="minorEastAsia" w:hAnsi="Times New Roman"/>
          <w:b w:val="0"/>
          <w:bCs w:val="0"/>
          <w:noProof/>
        </w:rPr>
      </w:pPr>
      <w:r w:rsidRPr="003B152B">
        <w:rPr>
          <w:rFonts w:ascii="Times New Roman" w:eastAsia="Malgun Gothic" w:hAnsi="Times New Roman"/>
          <w:b w:val="0"/>
          <w:noProof/>
        </w:rPr>
        <w:t>A.</w:t>
      </w:r>
      <w:r w:rsidRPr="003B152B">
        <w:rPr>
          <w:rFonts w:ascii="Times New Roman" w:eastAsiaTheme="minorEastAsia" w:hAnsi="Times New Roman"/>
          <w:b w:val="0"/>
          <w:bCs w:val="0"/>
          <w:noProof/>
        </w:rPr>
        <w:tab/>
      </w:r>
      <w:r w:rsidRPr="003B152B">
        <w:rPr>
          <w:rFonts w:ascii="Times New Roman" w:eastAsia="Malgun Gothic" w:hAnsi="Times New Roman"/>
          <w:b w:val="0"/>
          <w:noProof/>
        </w:rPr>
        <w:t>Aperçu général</w:t>
      </w:r>
      <w:r w:rsidRPr="003B152B">
        <w:rPr>
          <w:rFonts w:ascii="Times New Roman" w:hAnsi="Times New Roman"/>
          <w:b w:val="0"/>
          <w:noProof/>
        </w:rPr>
        <w:tab/>
      </w:r>
      <w:r w:rsidRPr="003B152B">
        <w:rPr>
          <w:rFonts w:ascii="Times New Roman" w:hAnsi="Times New Roman"/>
          <w:b w:val="0"/>
          <w:noProof/>
        </w:rPr>
        <w:fldChar w:fldCharType="begin"/>
      </w:r>
      <w:r w:rsidRPr="003B152B">
        <w:rPr>
          <w:rFonts w:ascii="Times New Roman" w:hAnsi="Times New Roman"/>
          <w:b w:val="0"/>
          <w:noProof/>
        </w:rPr>
        <w:instrText xml:space="preserve"> PAGEREF _Toc401931490 \h </w:instrText>
      </w:r>
      <w:r w:rsidRPr="003B152B">
        <w:rPr>
          <w:rFonts w:ascii="Times New Roman" w:hAnsi="Times New Roman"/>
          <w:b w:val="0"/>
          <w:noProof/>
        </w:rPr>
      </w:r>
      <w:r w:rsidRPr="003B152B">
        <w:rPr>
          <w:rFonts w:ascii="Times New Roman" w:hAnsi="Times New Roman"/>
          <w:b w:val="0"/>
          <w:noProof/>
        </w:rPr>
        <w:fldChar w:fldCharType="separate"/>
      </w:r>
      <w:r w:rsidR="002D4B31">
        <w:rPr>
          <w:rFonts w:ascii="Times New Roman" w:hAnsi="Times New Roman"/>
          <w:b w:val="0"/>
          <w:noProof/>
        </w:rPr>
        <w:t>13</w:t>
      </w:r>
      <w:r w:rsidRPr="003B152B">
        <w:rPr>
          <w:rFonts w:ascii="Times New Roman" w:hAnsi="Times New Roman"/>
          <w:b w:val="0"/>
          <w:noProof/>
        </w:rPr>
        <w:fldChar w:fldCharType="end"/>
      </w:r>
    </w:p>
    <w:p w:rsidR="002A4B50" w:rsidRPr="003B152B" w:rsidRDefault="002A4B50">
      <w:pPr>
        <w:pStyle w:val="TOC2"/>
        <w:tabs>
          <w:tab w:val="left" w:pos="660"/>
          <w:tab w:val="right" w:leader="hyphen" w:pos="8920"/>
        </w:tabs>
        <w:rPr>
          <w:rFonts w:ascii="Times New Roman" w:eastAsiaTheme="minorEastAsia" w:hAnsi="Times New Roman"/>
          <w:b w:val="0"/>
          <w:bCs w:val="0"/>
          <w:noProof/>
        </w:rPr>
      </w:pPr>
      <w:r w:rsidRPr="003B152B">
        <w:rPr>
          <w:rFonts w:ascii="Times New Roman" w:eastAsia="Malgun Gothic" w:hAnsi="Times New Roman"/>
          <w:b w:val="0"/>
          <w:noProof/>
        </w:rPr>
        <w:t>B.</w:t>
      </w:r>
      <w:r w:rsidRPr="003B152B">
        <w:rPr>
          <w:rFonts w:ascii="Times New Roman" w:eastAsiaTheme="minorEastAsia" w:hAnsi="Times New Roman"/>
          <w:b w:val="0"/>
          <w:bCs w:val="0"/>
          <w:noProof/>
        </w:rPr>
        <w:tab/>
      </w:r>
      <w:r w:rsidRPr="003B152B">
        <w:rPr>
          <w:rFonts w:ascii="Times New Roman" w:eastAsia="Malgun Gothic" w:hAnsi="Times New Roman"/>
          <w:b w:val="0"/>
          <w:noProof/>
        </w:rPr>
        <w:t xml:space="preserve">Violations des droits de l’homme </w:t>
      </w:r>
      <w:r w:rsidR="001F46AE">
        <w:rPr>
          <w:rFonts w:ascii="Times New Roman" w:eastAsia="Malgun Gothic" w:hAnsi="Times New Roman"/>
          <w:b w:val="0"/>
          <w:noProof/>
        </w:rPr>
        <w:t xml:space="preserve">et du droit international humanitaire </w:t>
      </w:r>
      <w:r w:rsidRPr="003B152B">
        <w:rPr>
          <w:rFonts w:ascii="Times New Roman" w:eastAsia="Malgun Gothic" w:hAnsi="Times New Roman"/>
          <w:b w:val="0"/>
          <w:noProof/>
        </w:rPr>
        <w:t>commises par les forces armées maliennes</w:t>
      </w:r>
      <w:r w:rsidRPr="003B152B">
        <w:rPr>
          <w:rFonts w:ascii="Times New Roman" w:hAnsi="Times New Roman"/>
          <w:b w:val="0"/>
          <w:noProof/>
        </w:rPr>
        <w:tab/>
      </w:r>
      <w:r w:rsidRPr="003B152B">
        <w:rPr>
          <w:rFonts w:ascii="Times New Roman" w:hAnsi="Times New Roman"/>
          <w:b w:val="0"/>
          <w:noProof/>
        </w:rPr>
        <w:fldChar w:fldCharType="begin"/>
      </w:r>
      <w:r w:rsidRPr="003B152B">
        <w:rPr>
          <w:rFonts w:ascii="Times New Roman" w:hAnsi="Times New Roman"/>
          <w:b w:val="0"/>
          <w:noProof/>
        </w:rPr>
        <w:instrText xml:space="preserve"> PAGEREF _Toc401931491 \h </w:instrText>
      </w:r>
      <w:r w:rsidRPr="003B152B">
        <w:rPr>
          <w:rFonts w:ascii="Times New Roman" w:hAnsi="Times New Roman"/>
          <w:b w:val="0"/>
          <w:noProof/>
        </w:rPr>
      </w:r>
      <w:r w:rsidRPr="003B152B">
        <w:rPr>
          <w:rFonts w:ascii="Times New Roman" w:hAnsi="Times New Roman"/>
          <w:b w:val="0"/>
          <w:noProof/>
        </w:rPr>
        <w:fldChar w:fldCharType="separate"/>
      </w:r>
      <w:r w:rsidR="002D4B31">
        <w:rPr>
          <w:rFonts w:ascii="Times New Roman" w:hAnsi="Times New Roman"/>
          <w:b w:val="0"/>
          <w:noProof/>
        </w:rPr>
        <w:t>13</w:t>
      </w:r>
      <w:r w:rsidRPr="003B152B">
        <w:rPr>
          <w:rFonts w:ascii="Times New Roman" w:hAnsi="Times New Roman"/>
          <w:b w:val="0"/>
          <w:noProof/>
        </w:rPr>
        <w:fldChar w:fldCharType="end"/>
      </w:r>
    </w:p>
    <w:p w:rsidR="002A4B50" w:rsidRPr="003B152B" w:rsidRDefault="002A4B50">
      <w:pPr>
        <w:pStyle w:val="TOC2"/>
        <w:tabs>
          <w:tab w:val="left" w:pos="660"/>
          <w:tab w:val="right" w:leader="hyphen" w:pos="8920"/>
        </w:tabs>
        <w:rPr>
          <w:rFonts w:ascii="Times New Roman" w:eastAsiaTheme="minorEastAsia" w:hAnsi="Times New Roman"/>
          <w:b w:val="0"/>
          <w:bCs w:val="0"/>
          <w:noProof/>
        </w:rPr>
      </w:pPr>
      <w:r w:rsidRPr="003B152B">
        <w:rPr>
          <w:rFonts w:ascii="Times New Roman" w:eastAsia="Malgun Gothic" w:hAnsi="Times New Roman"/>
          <w:b w:val="0"/>
          <w:noProof/>
        </w:rPr>
        <w:t>C.</w:t>
      </w:r>
      <w:r w:rsidRPr="003B152B">
        <w:rPr>
          <w:rFonts w:ascii="Times New Roman" w:eastAsiaTheme="minorEastAsia" w:hAnsi="Times New Roman"/>
          <w:b w:val="0"/>
          <w:bCs w:val="0"/>
          <w:noProof/>
        </w:rPr>
        <w:tab/>
      </w:r>
      <w:r w:rsidRPr="003B152B">
        <w:rPr>
          <w:rFonts w:ascii="Times New Roman" w:eastAsia="Malgun Gothic" w:hAnsi="Times New Roman"/>
          <w:b w:val="0"/>
          <w:noProof/>
        </w:rPr>
        <w:t xml:space="preserve">Abus des droits de l’homme </w:t>
      </w:r>
      <w:r w:rsidR="00583C8A">
        <w:rPr>
          <w:rFonts w:ascii="Times New Roman" w:eastAsia="Malgun Gothic" w:hAnsi="Times New Roman"/>
          <w:b w:val="0"/>
          <w:noProof/>
        </w:rPr>
        <w:t xml:space="preserve">et du droit international humanitaire </w:t>
      </w:r>
      <w:r w:rsidRPr="003B152B">
        <w:rPr>
          <w:rFonts w:ascii="Times New Roman" w:eastAsia="Malgun Gothic" w:hAnsi="Times New Roman"/>
          <w:b w:val="0"/>
          <w:noProof/>
        </w:rPr>
        <w:t>commis par les groupes armés</w:t>
      </w:r>
      <w:r w:rsidRPr="003B152B">
        <w:rPr>
          <w:rFonts w:ascii="Times New Roman" w:hAnsi="Times New Roman"/>
          <w:b w:val="0"/>
          <w:noProof/>
        </w:rPr>
        <w:tab/>
      </w:r>
      <w:r w:rsidRPr="003B152B">
        <w:rPr>
          <w:rFonts w:ascii="Times New Roman" w:hAnsi="Times New Roman"/>
          <w:b w:val="0"/>
          <w:noProof/>
        </w:rPr>
        <w:fldChar w:fldCharType="begin"/>
      </w:r>
      <w:r w:rsidRPr="003B152B">
        <w:rPr>
          <w:rFonts w:ascii="Times New Roman" w:hAnsi="Times New Roman"/>
          <w:b w:val="0"/>
          <w:noProof/>
        </w:rPr>
        <w:instrText xml:space="preserve"> PAGEREF _Toc401931492 \h </w:instrText>
      </w:r>
      <w:r w:rsidRPr="003B152B">
        <w:rPr>
          <w:rFonts w:ascii="Times New Roman" w:hAnsi="Times New Roman"/>
          <w:b w:val="0"/>
          <w:noProof/>
        </w:rPr>
      </w:r>
      <w:r w:rsidRPr="003B152B">
        <w:rPr>
          <w:rFonts w:ascii="Times New Roman" w:hAnsi="Times New Roman"/>
          <w:b w:val="0"/>
          <w:noProof/>
        </w:rPr>
        <w:fldChar w:fldCharType="separate"/>
      </w:r>
      <w:r w:rsidR="002D4B31">
        <w:rPr>
          <w:rFonts w:ascii="Times New Roman" w:hAnsi="Times New Roman"/>
          <w:b w:val="0"/>
          <w:noProof/>
        </w:rPr>
        <w:t>16</w:t>
      </w:r>
      <w:r w:rsidRPr="003B152B">
        <w:rPr>
          <w:rFonts w:ascii="Times New Roman" w:hAnsi="Times New Roman"/>
          <w:b w:val="0"/>
          <w:noProof/>
        </w:rPr>
        <w:fldChar w:fldCharType="end"/>
      </w:r>
    </w:p>
    <w:p w:rsidR="002A4B50" w:rsidRPr="003B152B" w:rsidRDefault="002A4B50">
      <w:pPr>
        <w:pStyle w:val="TOC1"/>
        <w:tabs>
          <w:tab w:val="left" w:pos="660"/>
          <w:tab w:val="right" w:leader="hyphen" w:pos="8920"/>
        </w:tabs>
        <w:rPr>
          <w:rFonts w:ascii="Times New Roman" w:eastAsiaTheme="minorEastAsia" w:hAnsi="Times New Roman"/>
          <w:b w:val="0"/>
          <w:bCs w:val="0"/>
          <w:i w:val="0"/>
          <w:iCs w:val="0"/>
          <w:noProof/>
          <w:sz w:val="22"/>
          <w:szCs w:val="22"/>
        </w:rPr>
      </w:pPr>
      <w:r w:rsidRPr="003B152B">
        <w:rPr>
          <w:rFonts w:ascii="Times New Roman" w:eastAsia="Times New Roman" w:hAnsi="Times New Roman"/>
          <w:i w:val="0"/>
          <w:noProof/>
        </w:rPr>
        <w:t>VI.</w:t>
      </w:r>
      <w:r w:rsidR="00FA103F">
        <w:rPr>
          <w:rFonts w:ascii="Times New Roman" w:eastAsiaTheme="minorEastAsia" w:hAnsi="Times New Roman"/>
          <w:b w:val="0"/>
          <w:bCs w:val="0"/>
          <w:i w:val="0"/>
          <w:iCs w:val="0"/>
          <w:noProof/>
          <w:sz w:val="22"/>
          <w:szCs w:val="22"/>
        </w:rPr>
        <w:t xml:space="preserve">    </w:t>
      </w:r>
      <w:r w:rsidRPr="003B152B">
        <w:rPr>
          <w:rFonts w:ascii="Times New Roman" w:hAnsi="Times New Roman"/>
          <w:i w:val="0"/>
          <w:noProof/>
        </w:rPr>
        <w:t>Les évènements de Kidal de mai 2014</w:t>
      </w:r>
      <w:r w:rsidRPr="003B152B">
        <w:rPr>
          <w:rFonts w:ascii="Times New Roman" w:hAnsi="Times New Roman"/>
          <w:i w:val="0"/>
          <w:noProof/>
        </w:rPr>
        <w:tab/>
      </w:r>
      <w:r w:rsidRPr="003B152B">
        <w:rPr>
          <w:rFonts w:ascii="Times New Roman" w:hAnsi="Times New Roman"/>
          <w:i w:val="0"/>
          <w:noProof/>
        </w:rPr>
        <w:fldChar w:fldCharType="begin"/>
      </w:r>
      <w:r w:rsidRPr="003B152B">
        <w:rPr>
          <w:rFonts w:ascii="Times New Roman" w:hAnsi="Times New Roman"/>
          <w:i w:val="0"/>
          <w:noProof/>
        </w:rPr>
        <w:instrText xml:space="preserve"> PAGEREF _Toc401931493 \h </w:instrText>
      </w:r>
      <w:r w:rsidRPr="003B152B">
        <w:rPr>
          <w:rFonts w:ascii="Times New Roman" w:hAnsi="Times New Roman"/>
          <w:i w:val="0"/>
          <w:noProof/>
        </w:rPr>
      </w:r>
      <w:r w:rsidRPr="003B152B">
        <w:rPr>
          <w:rFonts w:ascii="Times New Roman" w:hAnsi="Times New Roman"/>
          <w:i w:val="0"/>
          <w:noProof/>
        </w:rPr>
        <w:fldChar w:fldCharType="separate"/>
      </w:r>
      <w:r w:rsidR="002D4B31">
        <w:rPr>
          <w:rFonts w:ascii="Times New Roman" w:hAnsi="Times New Roman"/>
          <w:i w:val="0"/>
          <w:noProof/>
        </w:rPr>
        <w:t>19</w:t>
      </w:r>
      <w:r w:rsidRPr="003B152B">
        <w:rPr>
          <w:rFonts w:ascii="Times New Roman" w:hAnsi="Times New Roman"/>
          <w:i w:val="0"/>
          <w:noProof/>
        </w:rPr>
        <w:fldChar w:fldCharType="end"/>
      </w:r>
    </w:p>
    <w:p w:rsidR="002A4B50" w:rsidRPr="003B152B" w:rsidRDefault="002A4B50">
      <w:pPr>
        <w:pStyle w:val="TOC2"/>
        <w:tabs>
          <w:tab w:val="left" w:pos="660"/>
          <w:tab w:val="right" w:leader="hyphen" w:pos="8920"/>
        </w:tabs>
        <w:rPr>
          <w:rFonts w:ascii="Times New Roman" w:eastAsiaTheme="minorEastAsia" w:hAnsi="Times New Roman"/>
          <w:b w:val="0"/>
          <w:bCs w:val="0"/>
          <w:noProof/>
        </w:rPr>
      </w:pPr>
      <w:r w:rsidRPr="003B152B">
        <w:rPr>
          <w:rFonts w:ascii="Times New Roman" w:eastAsia="Times New Roman" w:hAnsi="Times New Roman"/>
          <w:b w:val="0"/>
          <w:noProof/>
        </w:rPr>
        <w:t>A.</w:t>
      </w:r>
      <w:r w:rsidRPr="003B152B">
        <w:rPr>
          <w:rFonts w:ascii="Times New Roman" w:eastAsiaTheme="minorEastAsia" w:hAnsi="Times New Roman"/>
          <w:b w:val="0"/>
          <w:bCs w:val="0"/>
          <w:noProof/>
        </w:rPr>
        <w:tab/>
      </w:r>
      <w:r w:rsidRPr="003B152B">
        <w:rPr>
          <w:rFonts w:ascii="Times New Roman" w:eastAsia="Malgun Gothic" w:hAnsi="Times New Roman"/>
          <w:b w:val="0"/>
          <w:noProof/>
        </w:rPr>
        <w:t>Aperçu général</w:t>
      </w:r>
      <w:r w:rsidRPr="003B152B">
        <w:rPr>
          <w:rFonts w:ascii="Times New Roman" w:hAnsi="Times New Roman"/>
          <w:b w:val="0"/>
          <w:noProof/>
        </w:rPr>
        <w:tab/>
      </w:r>
      <w:r w:rsidRPr="003B152B">
        <w:rPr>
          <w:rFonts w:ascii="Times New Roman" w:hAnsi="Times New Roman"/>
          <w:b w:val="0"/>
          <w:noProof/>
        </w:rPr>
        <w:fldChar w:fldCharType="begin"/>
      </w:r>
      <w:r w:rsidRPr="003B152B">
        <w:rPr>
          <w:rFonts w:ascii="Times New Roman" w:hAnsi="Times New Roman"/>
          <w:b w:val="0"/>
          <w:noProof/>
        </w:rPr>
        <w:instrText xml:space="preserve"> PAGEREF _Toc401931494 \h </w:instrText>
      </w:r>
      <w:r w:rsidRPr="003B152B">
        <w:rPr>
          <w:rFonts w:ascii="Times New Roman" w:hAnsi="Times New Roman"/>
          <w:b w:val="0"/>
          <w:noProof/>
        </w:rPr>
      </w:r>
      <w:r w:rsidRPr="003B152B">
        <w:rPr>
          <w:rFonts w:ascii="Times New Roman" w:hAnsi="Times New Roman"/>
          <w:b w:val="0"/>
          <w:noProof/>
        </w:rPr>
        <w:fldChar w:fldCharType="separate"/>
      </w:r>
      <w:r w:rsidR="002D4B31">
        <w:rPr>
          <w:rFonts w:ascii="Times New Roman" w:hAnsi="Times New Roman"/>
          <w:b w:val="0"/>
          <w:noProof/>
        </w:rPr>
        <w:t>19</w:t>
      </w:r>
      <w:r w:rsidRPr="003B152B">
        <w:rPr>
          <w:rFonts w:ascii="Times New Roman" w:hAnsi="Times New Roman"/>
          <w:b w:val="0"/>
          <w:noProof/>
        </w:rPr>
        <w:fldChar w:fldCharType="end"/>
      </w:r>
    </w:p>
    <w:p w:rsidR="002A4B50" w:rsidRPr="003B152B" w:rsidRDefault="002A4B50" w:rsidP="00832F2A">
      <w:pPr>
        <w:pStyle w:val="TOC2"/>
        <w:tabs>
          <w:tab w:val="left" w:pos="660"/>
          <w:tab w:val="right" w:leader="hyphen" w:pos="8920"/>
        </w:tabs>
        <w:ind w:left="655" w:hanging="435"/>
        <w:rPr>
          <w:rFonts w:ascii="Times New Roman" w:eastAsiaTheme="minorEastAsia" w:hAnsi="Times New Roman"/>
          <w:b w:val="0"/>
          <w:bCs w:val="0"/>
          <w:noProof/>
        </w:rPr>
      </w:pPr>
      <w:r w:rsidRPr="003B152B">
        <w:rPr>
          <w:rFonts w:ascii="Times New Roman" w:eastAsia="Malgun Gothic" w:hAnsi="Times New Roman"/>
          <w:b w:val="0"/>
          <w:noProof/>
        </w:rPr>
        <w:lastRenderedPageBreak/>
        <w:t>B.</w:t>
      </w:r>
      <w:r w:rsidRPr="003B152B">
        <w:rPr>
          <w:rFonts w:ascii="Times New Roman" w:eastAsiaTheme="minorEastAsia" w:hAnsi="Times New Roman"/>
          <w:b w:val="0"/>
          <w:bCs w:val="0"/>
          <w:noProof/>
        </w:rPr>
        <w:tab/>
      </w:r>
      <w:r w:rsidRPr="003B152B">
        <w:rPr>
          <w:rFonts w:ascii="Times New Roman" w:eastAsia="Malgun Gothic" w:hAnsi="Times New Roman"/>
          <w:b w:val="0"/>
          <w:noProof/>
        </w:rPr>
        <w:t xml:space="preserve">Violations des droits de l’homme et du droit international humanitaire commises par les </w:t>
      </w:r>
      <w:r w:rsidR="00832F2A">
        <w:rPr>
          <w:rFonts w:ascii="Times New Roman" w:eastAsia="Malgun Gothic" w:hAnsi="Times New Roman"/>
          <w:b w:val="0"/>
          <w:noProof/>
        </w:rPr>
        <w:t xml:space="preserve">   </w:t>
      </w:r>
      <w:r w:rsidRPr="003B152B">
        <w:rPr>
          <w:rFonts w:ascii="Times New Roman" w:eastAsia="Malgun Gothic" w:hAnsi="Times New Roman"/>
          <w:b w:val="0"/>
          <w:noProof/>
        </w:rPr>
        <w:t>Forces Armées Maliennes</w:t>
      </w:r>
      <w:r w:rsidRPr="003B152B">
        <w:rPr>
          <w:rFonts w:ascii="Times New Roman" w:hAnsi="Times New Roman"/>
          <w:b w:val="0"/>
          <w:noProof/>
        </w:rPr>
        <w:tab/>
      </w:r>
      <w:r w:rsidRPr="003B152B">
        <w:rPr>
          <w:rFonts w:ascii="Times New Roman" w:hAnsi="Times New Roman"/>
          <w:b w:val="0"/>
          <w:noProof/>
        </w:rPr>
        <w:fldChar w:fldCharType="begin"/>
      </w:r>
      <w:r w:rsidRPr="003B152B">
        <w:rPr>
          <w:rFonts w:ascii="Times New Roman" w:hAnsi="Times New Roman"/>
          <w:b w:val="0"/>
          <w:noProof/>
        </w:rPr>
        <w:instrText xml:space="preserve"> PAGEREF _Toc401931495 \h </w:instrText>
      </w:r>
      <w:r w:rsidRPr="003B152B">
        <w:rPr>
          <w:rFonts w:ascii="Times New Roman" w:hAnsi="Times New Roman"/>
          <w:b w:val="0"/>
          <w:noProof/>
        </w:rPr>
      </w:r>
      <w:r w:rsidRPr="003B152B">
        <w:rPr>
          <w:rFonts w:ascii="Times New Roman" w:hAnsi="Times New Roman"/>
          <w:b w:val="0"/>
          <w:noProof/>
        </w:rPr>
        <w:fldChar w:fldCharType="separate"/>
      </w:r>
      <w:r w:rsidR="002D4B31">
        <w:rPr>
          <w:rFonts w:ascii="Times New Roman" w:hAnsi="Times New Roman"/>
          <w:b w:val="0"/>
          <w:noProof/>
        </w:rPr>
        <w:t>20</w:t>
      </w:r>
      <w:r w:rsidRPr="003B152B">
        <w:rPr>
          <w:rFonts w:ascii="Times New Roman" w:hAnsi="Times New Roman"/>
          <w:b w:val="0"/>
          <w:noProof/>
        </w:rPr>
        <w:fldChar w:fldCharType="end"/>
      </w:r>
    </w:p>
    <w:p w:rsidR="002A4B50" w:rsidRPr="003B152B" w:rsidRDefault="002A4B50">
      <w:pPr>
        <w:pStyle w:val="TOC2"/>
        <w:tabs>
          <w:tab w:val="left" w:pos="660"/>
          <w:tab w:val="right" w:leader="hyphen" w:pos="8920"/>
        </w:tabs>
        <w:rPr>
          <w:rFonts w:ascii="Times New Roman" w:eastAsiaTheme="minorEastAsia" w:hAnsi="Times New Roman"/>
          <w:b w:val="0"/>
          <w:bCs w:val="0"/>
          <w:noProof/>
        </w:rPr>
      </w:pPr>
      <w:r w:rsidRPr="003B152B">
        <w:rPr>
          <w:rFonts w:ascii="Times New Roman" w:eastAsia="Malgun Gothic" w:hAnsi="Times New Roman"/>
          <w:b w:val="0"/>
          <w:noProof/>
        </w:rPr>
        <w:t>C.</w:t>
      </w:r>
      <w:r w:rsidRPr="003B152B">
        <w:rPr>
          <w:rFonts w:ascii="Times New Roman" w:eastAsiaTheme="minorEastAsia" w:hAnsi="Times New Roman"/>
          <w:b w:val="0"/>
          <w:bCs w:val="0"/>
          <w:noProof/>
        </w:rPr>
        <w:tab/>
      </w:r>
      <w:r w:rsidRPr="003B152B">
        <w:rPr>
          <w:rFonts w:ascii="Times New Roman" w:eastAsia="Malgun Gothic" w:hAnsi="Times New Roman"/>
          <w:b w:val="0"/>
          <w:noProof/>
        </w:rPr>
        <w:t>Abus des droits de l’homme</w:t>
      </w:r>
      <w:r w:rsidR="00583C8A">
        <w:rPr>
          <w:rFonts w:ascii="Times New Roman" w:eastAsia="Malgun Gothic" w:hAnsi="Times New Roman"/>
          <w:b w:val="0"/>
          <w:noProof/>
        </w:rPr>
        <w:t xml:space="preserve"> et du droit international humanitaire</w:t>
      </w:r>
      <w:r w:rsidRPr="003B152B">
        <w:rPr>
          <w:rFonts w:ascii="Times New Roman" w:eastAsia="Malgun Gothic" w:hAnsi="Times New Roman"/>
          <w:b w:val="0"/>
          <w:noProof/>
        </w:rPr>
        <w:t xml:space="preserve"> commis par les groupes armés</w:t>
      </w:r>
      <w:r w:rsidRPr="003B152B">
        <w:rPr>
          <w:rFonts w:ascii="Times New Roman" w:hAnsi="Times New Roman"/>
          <w:b w:val="0"/>
          <w:noProof/>
        </w:rPr>
        <w:tab/>
      </w:r>
      <w:r w:rsidRPr="003B152B">
        <w:rPr>
          <w:rFonts w:ascii="Times New Roman" w:hAnsi="Times New Roman"/>
          <w:b w:val="0"/>
          <w:noProof/>
        </w:rPr>
        <w:fldChar w:fldCharType="begin"/>
      </w:r>
      <w:r w:rsidRPr="003B152B">
        <w:rPr>
          <w:rFonts w:ascii="Times New Roman" w:hAnsi="Times New Roman"/>
          <w:b w:val="0"/>
          <w:noProof/>
        </w:rPr>
        <w:instrText xml:space="preserve"> PAGEREF _Toc401931496 \h </w:instrText>
      </w:r>
      <w:r w:rsidRPr="003B152B">
        <w:rPr>
          <w:rFonts w:ascii="Times New Roman" w:hAnsi="Times New Roman"/>
          <w:b w:val="0"/>
          <w:noProof/>
        </w:rPr>
      </w:r>
      <w:r w:rsidRPr="003B152B">
        <w:rPr>
          <w:rFonts w:ascii="Times New Roman" w:hAnsi="Times New Roman"/>
          <w:b w:val="0"/>
          <w:noProof/>
        </w:rPr>
        <w:fldChar w:fldCharType="separate"/>
      </w:r>
      <w:r w:rsidR="002D4B31">
        <w:rPr>
          <w:rFonts w:ascii="Times New Roman" w:hAnsi="Times New Roman"/>
          <w:b w:val="0"/>
          <w:noProof/>
        </w:rPr>
        <w:t>21</w:t>
      </w:r>
      <w:r w:rsidRPr="003B152B">
        <w:rPr>
          <w:rFonts w:ascii="Times New Roman" w:hAnsi="Times New Roman"/>
          <w:b w:val="0"/>
          <w:noProof/>
        </w:rPr>
        <w:fldChar w:fldCharType="end"/>
      </w:r>
    </w:p>
    <w:p w:rsidR="002A4B50" w:rsidRPr="003B152B" w:rsidRDefault="002A4B50">
      <w:pPr>
        <w:pStyle w:val="TOC1"/>
        <w:tabs>
          <w:tab w:val="left" w:pos="660"/>
          <w:tab w:val="right" w:leader="hyphen" w:pos="8920"/>
        </w:tabs>
        <w:rPr>
          <w:rFonts w:ascii="Times New Roman" w:eastAsiaTheme="minorEastAsia" w:hAnsi="Times New Roman"/>
          <w:b w:val="0"/>
          <w:bCs w:val="0"/>
          <w:i w:val="0"/>
          <w:iCs w:val="0"/>
          <w:noProof/>
          <w:sz w:val="22"/>
          <w:szCs w:val="22"/>
        </w:rPr>
      </w:pPr>
      <w:r w:rsidRPr="003B152B">
        <w:rPr>
          <w:rFonts w:ascii="Times New Roman" w:eastAsia="Malgun Gothic" w:hAnsi="Times New Roman"/>
          <w:i w:val="0"/>
          <w:noProof/>
        </w:rPr>
        <w:t>VI</w:t>
      </w:r>
      <w:r w:rsidR="007C3417">
        <w:rPr>
          <w:rFonts w:ascii="Times New Roman" w:eastAsia="Malgun Gothic" w:hAnsi="Times New Roman"/>
          <w:i w:val="0"/>
          <w:noProof/>
        </w:rPr>
        <w:t>I</w:t>
      </w:r>
      <w:r w:rsidRPr="003B152B">
        <w:rPr>
          <w:rFonts w:ascii="Times New Roman" w:eastAsia="Malgun Gothic" w:hAnsi="Times New Roman"/>
          <w:i w:val="0"/>
          <w:noProof/>
        </w:rPr>
        <w:t>.</w:t>
      </w:r>
      <w:r w:rsidR="00FA103F">
        <w:rPr>
          <w:rFonts w:ascii="Times New Roman" w:eastAsiaTheme="minorEastAsia" w:hAnsi="Times New Roman"/>
          <w:b w:val="0"/>
          <w:bCs w:val="0"/>
          <w:i w:val="0"/>
          <w:iCs w:val="0"/>
          <w:noProof/>
          <w:sz w:val="22"/>
          <w:szCs w:val="22"/>
        </w:rPr>
        <w:t xml:space="preserve">   </w:t>
      </w:r>
      <w:r w:rsidRPr="003B152B">
        <w:rPr>
          <w:rFonts w:ascii="Times New Roman" w:hAnsi="Times New Roman"/>
          <w:i w:val="0"/>
          <w:noProof/>
        </w:rPr>
        <w:t>Violences intercommunautaires</w:t>
      </w:r>
      <w:r w:rsidRPr="003B152B">
        <w:rPr>
          <w:rFonts w:ascii="Times New Roman" w:hAnsi="Times New Roman"/>
          <w:i w:val="0"/>
          <w:noProof/>
        </w:rPr>
        <w:tab/>
      </w:r>
      <w:r w:rsidRPr="003B152B">
        <w:rPr>
          <w:rFonts w:ascii="Times New Roman" w:hAnsi="Times New Roman"/>
          <w:i w:val="0"/>
          <w:noProof/>
        </w:rPr>
        <w:fldChar w:fldCharType="begin"/>
      </w:r>
      <w:r w:rsidRPr="003B152B">
        <w:rPr>
          <w:rFonts w:ascii="Times New Roman" w:hAnsi="Times New Roman"/>
          <w:i w:val="0"/>
          <w:noProof/>
        </w:rPr>
        <w:instrText xml:space="preserve"> PAGEREF _Toc401931497 \h </w:instrText>
      </w:r>
      <w:r w:rsidRPr="003B152B">
        <w:rPr>
          <w:rFonts w:ascii="Times New Roman" w:hAnsi="Times New Roman"/>
          <w:i w:val="0"/>
          <w:noProof/>
        </w:rPr>
      </w:r>
      <w:r w:rsidRPr="003B152B">
        <w:rPr>
          <w:rFonts w:ascii="Times New Roman" w:hAnsi="Times New Roman"/>
          <w:i w:val="0"/>
          <w:noProof/>
        </w:rPr>
        <w:fldChar w:fldCharType="separate"/>
      </w:r>
      <w:r w:rsidR="002D4B31">
        <w:rPr>
          <w:rFonts w:ascii="Times New Roman" w:hAnsi="Times New Roman"/>
          <w:i w:val="0"/>
          <w:noProof/>
        </w:rPr>
        <w:t>22</w:t>
      </w:r>
      <w:r w:rsidRPr="003B152B">
        <w:rPr>
          <w:rFonts w:ascii="Times New Roman" w:hAnsi="Times New Roman"/>
          <w:i w:val="0"/>
          <w:noProof/>
        </w:rPr>
        <w:fldChar w:fldCharType="end"/>
      </w:r>
    </w:p>
    <w:p w:rsidR="002A4B50" w:rsidRPr="003B152B" w:rsidRDefault="002A4B50">
      <w:pPr>
        <w:pStyle w:val="TOC1"/>
        <w:tabs>
          <w:tab w:val="left" w:pos="660"/>
          <w:tab w:val="right" w:leader="hyphen" w:pos="8920"/>
        </w:tabs>
        <w:rPr>
          <w:rFonts w:ascii="Times New Roman" w:eastAsiaTheme="minorEastAsia" w:hAnsi="Times New Roman"/>
          <w:b w:val="0"/>
          <w:bCs w:val="0"/>
          <w:i w:val="0"/>
          <w:iCs w:val="0"/>
          <w:noProof/>
          <w:sz w:val="22"/>
          <w:szCs w:val="22"/>
        </w:rPr>
      </w:pPr>
      <w:r w:rsidRPr="003B152B">
        <w:rPr>
          <w:rFonts w:ascii="Times New Roman" w:hAnsi="Times New Roman"/>
          <w:i w:val="0"/>
          <w:noProof/>
        </w:rPr>
        <w:t>VII</w:t>
      </w:r>
      <w:r w:rsidR="007C3417">
        <w:rPr>
          <w:rFonts w:ascii="Times New Roman" w:hAnsi="Times New Roman"/>
          <w:i w:val="0"/>
          <w:noProof/>
        </w:rPr>
        <w:t>I</w:t>
      </w:r>
      <w:r w:rsidRPr="003B152B">
        <w:rPr>
          <w:rFonts w:ascii="Times New Roman" w:hAnsi="Times New Roman"/>
          <w:i w:val="0"/>
          <w:noProof/>
        </w:rPr>
        <w:t>.</w:t>
      </w:r>
      <w:r w:rsidR="00FA103F">
        <w:rPr>
          <w:rFonts w:ascii="Times New Roman" w:eastAsiaTheme="minorEastAsia" w:hAnsi="Times New Roman"/>
          <w:b w:val="0"/>
          <w:bCs w:val="0"/>
          <w:i w:val="0"/>
          <w:iCs w:val="0"/>
          <w:noProof/>
          <w:sz w:val="22"/>
          <w:szCs w:val="22"/>
        </w:rPr>
        <w:t xml:space="preserve">  </w:t>
      </w:r>
      <w:r w:rsidRPr="003B152B">
        <w:rPr>
          <w:rFonts w:ascii="Times New Roman" w:hAnsi="Times New Roman"/>
          <w:i w:val="0"/>
          <w:noProof/>
        </w:rPr>
        <w:t>Protection des femmes et des enfants</w:t>
      </w:r>
      <w:r w:rsidRPr="003B152B">
        <w:rPr>
          <w:rFonts w:ascii="Times New Roman" w:hAnsi="Times New Roman"/>
          <w:i w:val="0"/>
          <w:noProof/>
        </w:rPr>
        <w:tab/>
      </w:r>
      <w:r w:rsidRPr="003B152B">
        <w:rPr>
          <w:rFonts w:ascii="Times New Roman" w:hAnsi="Times New Roman"/>
          <w:i w:val="0"/>
          <w:noProof/>
        </w:rPr>
        <w:fldChar w:fldCharType="begin"/>
      </w:r>
      <w:r w:rsidRPr="003B152B">
        <w:rPr>
          <w:rFonts w:ascii="Times New Roman" w:hAnsi="Times New Roman"/>
          <w:i w:val="0"/>
          <w:noProof/>
        </w:rPr>
        <w:instrText xml:space="preserve"> PAGEREF _Toc401931498 \h </w:instrText>
      </w:r>
      <w:r w:rsidRPr="003B152B">
        <w:rPr>
          <w:rFonts w:ascii="Times New Roman" w:hAnsi="Times New Roman"/>
          <w:i w:val="0"/>
          <w:noProof/>
        </w:rPr>
      </w:r>
      <w:r w:rsidRPr="003B152B">
        <w:rPr>
          <w:rFonts w:ascii="Times New Roman" w:hAnsi="Times New Roman"/>
          <w:i w:val="0"/>
          <w:noProof/>
        </w:rPr>
        <w:fldChar w:fldCharType="separate"/>
      </w:r>
      <w:r w:rsidR="002D4B31">
        <w:rPr>
          <w:rFonts w:ascii="Times New Roman" w:hAnsi="Times New Roman"/>
          <w:i w:val="0"/>
          <w:noProof/>
        </w:rPr>
        <w:t>24</w:t>
      </w:r>
      <w:r w:rsidRPr="003B152B">
        <w:rPr>
          <w:rFonts w:ascii="Times New Roman" w:hAnsi="Times New Roman"/>
          <w:i w:val="0"/>
          <w:noProof/>
        </w:rPr>
        <w:fldChar w:fldCharType="end"/>
      </w:r>
    </w:p>
    <w:p w:rsidR="002A4B50" w:rsidRPr="003B152B" w:rsidRDefault="007C3417">
      <w:pPr>
        <w:pStyle w:val="TOC1"/>
        <w:tabs>
          <w:tab w:val="left" w:pos="660"/>
          <w:tab w:val="right" w:leader="hyphen" w:pos="8920"/>
        </w:tabs>
        <w:rPr>
          <w:rFonts w:ascii="Times New Roman" w:eastAsiaTheme="minorEastAsia" w:hAnsi="Times New Roman"/>
          <w:b w:val="0"/>
          <w:bCs w:val="0"/>
          <w:i w:val="0"/>
          <w:iCs w:val="0"/>
          <w:noProof/>
          <w:sz w:val="22"/>
          <w:szCs w:val="22"/>
        </w:rPr>
      </w:pPr>
      <w:r>
        <w:rPr>
          <w:rFonts w:ascii="Times New Roman" w:eastAsia="Malgun Gothic" w:hAnsi="Times New Roman"/>
          <w:i w:val="0"/>
          <w:noProof/>
        </w:rPr>
        <w:t>IX</w:t>
      </w:r>
      <w:r w:rsidR="002A4B50" w:rsidRPr="003B152B">
        <w:rPr>
          <w:rFonts w:ascii="Times New Roman" w:eastAsia="Malgun Gothic" w:hAnsi="Times New Roman"/>
          <w:i w:val="0"/>
          <w:noProof/>
        </w:rPr>
        <w:t>.</w:t>
      </w:r>
      <w:r w:rsidR="00FA103F">
        <w:rPr>
          <w:rFonts w:ascii="Times New Roman" w:eastAsiaTheme="minorEastAsia" w:hAnsi="Times New Roman"/>
          <w:b w:val="0"/>
          <w:bCs w:val="0"/>
          <w:i w:val="0"/>
          <w:iCs w:val="0"/>
          <w:noProof/>
          <w:sz w:val="22"/>
          <w:szCs w:val="22"/>
        </w:rPr>
        <w:t xml:space="preserve">    </w:t>
      </w:r>
      <w:r w:rsidR="002A4B50" w:rsidRPr="003B152B">
        <w:rPr>
          <w:rFonts w:ascii="Times New Roman" w:eastAsia="Malgun Gothic" w:hAnsi="Times New Roman"/>
          <w:i w:val="0"/>
          <w:noProof/>
        </w:rPr>
        <w:t>Situation des réfugiés et personnes déplacées</w:t>
      </w:r>
      <w:r w:rsidR="002A4B50" w:rsidRPr="003B152B">
        <w:rPr>
          <w:rFonts w:ascii="Times New Roman" w:hAnsi="Times New Roman"/>
          <w:i w:val="0"/>
          <w:noProof/>
        </w:rPr>
        <w:tab/>
      </w:r>
      <w:r w:rsidR="002A4B50" w:rsidRPr="003B152B">
        <w:rPr>
          <w:rFonts w:ascii="Times New Roman" w:hAnsi="Times New Roman"/>
          <w:i w:val="0"/>
          <w:noProof/>
        </w:rPr>
        <w:fldChar w:fldCharType="begin"/>
      </w:r>
      <w:r w:rsidR="002A4B50" w:rsidRPr="003B152B">
        <w:rPr>
          <w:rFonts w:ascii="Times New Roman" w:hAnsi="Times New Roman"/>
          <w:i w:val="0"/>
          <w:noProof/>
        </w:rPr>
        <w:instrText xml:space="preserve"> PAGEREF _Toc401931499 \h </w:instrText>
      </w:r>
      <w:r w:rsidR="002A4B50" w:rsidRPr="003B152B">
        <w:rPr>
          <w:rFonts w:ascii="Times New Roman" w:hAnsi="Times New Roman"/>
          <w:i w:val="0"/>
          <w:noProof/>
        </w:rPr>
      </w:r>
      <w:r w:rsidR="002A4B50" w:rsidRPr="003B152B">
        <w:rPr>
          <w:rFonts w:ascii="Times New Roman" w:hAnsi="Times New Roman"/>
          <w:i w:val="0"/>
          <w:noProof/>
        </w:rPr>
        <w:fldChar w:fldCharType="separate"/>
      </w:r>
      <w:r w:rsidR="002D4B31">
        <w:rPr>
          <w:rFonts w:ascii="Times New Roman" w:hAnsi="Times New Roman"/>
          <w:i w:val="0"/>
          <w:noProof/>
        </w:rPr>
        <w:t>25</w:t>
      </w:r>
      <w:r w:rsidR="002A4B50" w:rsidRPr="003B152B">
        <w:rPr>
          <w:rFonts w:ascii="Times New Roman" w:hAnsi="Times New Roman"/>
          <w:i w:val="0"/>
          <w:noProof/>
        </w:rPr>
        <w:fldChar w:fldCharType="end"/>
      </w:r>
    </w:p>
    <w:p w:rsidR="002A4B50" w:rsidRPr="003B152B" w:rsidRDefault="002A4B50">
      <w:pPr>
        <w:pStyle w:val="TOC1"/>
        <w:tabs>
          <w:tab w:val="left" w:pos="660"/>
          <w:tab w:val="right" w:leader="hyphen" w:pos="8920"/>
        </w:tabs>
        <w:rPr>
          <w:rFonts w:ascii="Times New Roman" w:eastAsiaTheme="minorEastAsia" w:hAnsi="Times New Roman"/>
          <w:b w:val="0"/>
          <w:bCs w:val="0"/>
          <w:i w:val="0"/>
          <w:iCs w:val="0"/>
          <w:noProof/>
          <w:sz w:val="22"/>
          <w:szCs w:val="22"/>
        </w:rPr>
      </w:pPr>
      <w:r w:rsidRPr="003B152B">
        <w:rPr>
          <w:rFonts w:ascii="Times New Roman" w:eastAsia="Malgun Gothic" w:hAnsi="Times New Roman"/>
          <w:i w:val="0"/>
          <w:noProof/>
          <w:lang w:val="fr-CH"/>
        </w:rPr>
        <w:t>X.</w:t>
      </w:r>
      <w:r w:rsidR="00FA103F">
        <w:rPr>
          <w:rFonts w:ascii="Times New Roman" w:eastAsiaTheme="minorEastAsia" w:hAnsi="Times New Roman"/>
          <w:b w:val="0"/>
          <w:bCs w:val="0"/>
          <w:i w:val="0"/>
          <w:iCs w:val="0"/>
          <w:noProof/>
          <w:sz w:val="22"/>
          <w:szCs w:val="22"/>
        </w:rPr>
        <w:t xml:space="preserve">     </w:t>
      </w:r>
      <w:r w:rsidRPr="003B152B">
        <w:rPr>
          <w:rFonts w:ascii="Times New Roman" w:eastAsia="Malgun Gothic" w:hAnsi="Times New Roman"/>
          <w:i w:val="0"/>
          <w:noProof/>
        </w:rPr>
        <w:t>Lutte contre l’impunité et justice transitionnelle</w:t>
      </w:r>
      <w:r w:rsidRPr="003B152B">
        <w:rPr>
          <w:rFonts w:ascii="Times New Roman" w:hAnsi="Times New Roman"/>
          <w:i w:val="0"/>
          <w:noProof/>
        </w:rPr>
        <w:tab/>
      </w:r>
      <w:r w:rsidRPr="003B152B">
        <w:rPr>
          <w:rFonts w:ascii="Times New Roman" w:hAnsi="Times New Roman"/>
          <w:i w:val="0"/>
          <w:noProof/>
        </w:rPr>
        <w:fldChar w:fldCharType="begin"/>
      </w:r>
      <w:r w:rsidRPr="003B152B">
        <w:rPr>
          <w:rFonts w:ascii="Times New Roman" w:hAnsi="Times New Roman"/>
          <w:i w:val="0"/>
          <w:noProof/>
        </w:rPr>
        <w:instrText xml:space="preserve"> PAGEREF _Toc401931500 \h </w:instrText>
      </w:r>
      <w:r w:rsidRPr="003B152B">
        <w:rPr>
          <w:rFonts w:ascii="Times New Roman" w:hAnsi="Times New Roman"/>
          <w:i w:val="0"/>
          <w:noProof/>
        </w:rPr>
      </w:r>
      <w:r w:rsidRPr="003B152B">
        <w:rPr>
          <w:rFonts w:ascii="Times New Roman" w:hAnsi="Times New Roman"/>
          <w:i w:val="0"/>
          <w:noProof/>
        </w:rPr>
        <w:fldChar w:fldCharType="separate"/>
      </w:r>
      <w:r w:rsidR="002D4B31">
        <w:rPr>
          <w:rFonts w:ascii="Times New Roman" w:hAnsi="Times New Roman"/>
          <w:i w:val="0"/>
          <w:noProof/>
        </w:rPr>
        <w:t>26</w:t>
      </w:r>
      <w:r w:rsidRPr="003B152B">
        <w:rPr>
          <w:rFonts w:ascii="Times New Roman" w:hAnsi="Times New Roman"/>
          <w:i w:val="0"/>
          <w:noProof/>
        </w:rPr>
        <w:fldChar w:fldCharType="end"/>
      </w:r>
    </w:p>
    <w:p w:rsidR="002A4B50" w:rsidRPr="003B152B" w:rsidRDefault="002A4B50">
      <w:pPr>
        <w:pStyle w:val="TOC2"/>
        <w:tabs>
          <w:tab w:val="left" w:pos="660"/>
          <w:tab w:val="right" w:leader="hyphen" w:pos="8920"/>
        </w:tabs>
        <w:rPr>
          <w:rFonts w:ascii="Times New Roman" w:eastAsiaTheme="minorEastAsia" w:hAnsi="Times New Roman"/>
          <w:b w:val="0"/>
          <w:bCs w:val="0"/>
          <w:noProof/>
        </w:rPr>
      </w:pPr>
      <w:r w:rsidRPr="003B152B">
        <w:rPr>
          <w:rFonts w:ascii="Times New Roman" w:eastAsia="Malgun Gothic" w:hAnsi="Times New Roman"/>
          <w:b w:val="0"/>
          <w:noProof/>
        </w:rPr>
        <w:t>A.</w:t>
      </w:r>
      <w:r w:rsidRPr="003B152B">
        <w:rPr>
          <w:rFonts w:ascii="Times New Roman" w:eastAsiaTheme="minorEastAsia" w:hAnsi="Times New Roman"/>
          <w:b w:val="0"/>
          <w:bCs w:val="0"/>
          <w:noProof/>
        </w:rPr>
        <w:tab/>
      </w:r>
      <w:r w:rsidR="001F46AE">
        <w:rPr>
          <w:rFonts w:ascii="Times New Roman" w:eastAsia="Malgun Gothic" w:hAnsi="Times New Roman"/>
          <w:b w:val="0"/>
          <w:noProof/>
        </w:rPr>
        <w:t>Crimes</w:t>
      </w:r>
      <w:r w:rsidR="001F46AE" w:rsidRPr="003B152B">
        <w:rPr>
          <w:rFonts w:ascii="Times New Roman" w:eastAsia="Malgun Gothic" w:hAnsi="Times New Roman"/>
          <w:b w:val="0"/>
          <w:noProof/>
        </w:rPr>
        <w:t xml:space="preserve"> </w:t>
      </w:r>
      <w:r w:rsidRPr="003B152B">
        <w:rPr>
          <w:rFonts w:ascii="Times New Roman" w:eastAsia="Malgun Gothic" w:hAnsi="Times New Roman"/>
          <w:b w:val="0"/>
          <w:noProof/>
        </w:rPr>
        <w:t>graves du passé et lutte contre l’impunité</w:t>
      </w:r>
      <w:r w:rsidRPr="003B152B">
        <w:rPr>
          <w:rFonts w:ascii="Times New Roman" w:hAnsi="Times New Roman"/>
          <w:b w:val="0"/>
          <w:noProof/>
        </w:rPr>
        <w:tab/>
      </w:r>
      <w:r w:rsidRPr="003B152B">
        <w:rPr>
          <w:rFonts w:ascii="Times New Roman" w:hAnsi="Times New Roman"/>
          <w:b w:val="0"/>
          <w:noProof/>
        </w:rPr>
        <w:fldChar w:fldCharType="begin"/>
      </w:r>
      <w:r w:rsidRPr="003B152B">
        <w:rPr>
          <w:rFonts w:ascii="Times New Roman" w:hAnsi="Times New Roman"/>
          <w:b w:val="0"/>
          <w:noProof/>
        </w:rPr>
        <w:instrText xml:space="preserve"> PAGEREF _Toc401931501 \h </w:instrText>
      </w:r>
      <w:r w:rsidRPr="003B152B">
        <w:rPr>
          <w:rFonts w:ascii="Times New Roman" w:hAnsi="Times New Roman"/>
          <w:b w:val="0"/>
          <w:noProof/>
        </w:rPr>
      </w:r>
      <w:r w:rsidRPr="003B152B">
        <w:rPr>
          <w:rFonts w:ascii="Times New Roman" w:hAnsi="Times New Roman"/>
          <w:b w:val="0"/>
          <w:noProof/>
        </w:rPr>
        <w:fldChar w:fldCharType="separate"/>
      </w:r>
      <w:r w:rsidR="002D4B31">
        <w:rPr>
          <w:rFonts w:ascii="Times New Roman" w:hAnsi="Times New Roman"/>
          <w:b w:val="0"/>
          <w:noProof/>
        </w:rPr>
        <w:t>26</w:t>
      </w:r>
      <w:r w:rsidRPr="003B152B">
        <w:rPr>
          <w:rFonts w:ascii="Times New Roman" w:hAnsi="Times New Roman"/>
          <w:b w:val="0"/>
          <w:noProof/>
        </w:rPr>
        <w:fldChar w:fldCharType="end"/>
      </w:r>
    </w:p>
    <w:p w:rsidR="002A4B50" w:rsidRPr="003B152B" w:rsidRDefault="002A4B50">
      <w:pPr>
        <w:pStyle w:val="TOC2"/>
        <w:tabs>
          <w:tab w:val="left" w:pos="660"/>
          <w:tab w:val="right" w:leader="hyphen" w:pos="8920"/>
        </w:tabs>
        <w:rPr>
          <w:rFonts w:ascii="Times New Roman" w:eastAsiaTheme="minorEastAsia" w:hAnsi="Times New Roman"/>
          <w:b w:val="0"/>
          <w:bCs w:val="0"/>
          <w:noProof/>
        </w:rPr>
      </w:pPr>
      <w:r w:rsidRPr="003B152B">
        <w:rPr>
          <w:rFonts w:ascii="Times New Roman" w:eastAsia="Malgun Gothic" w:hAnsi="Times New Roman"/>
          <w:b w:val="0"/>
          <w:noProof/>
        </w:rPr>
        <w:t>B.</w:t>
      </w:r>
      <w:r w:rsidRPr="003B152B">
        <w:rPr>
          <w:rFonts w:ascii="Times New Roman" w:eastAsiaTheme="minorEastAsia" w:hAnsi="Times New Roman"/>
          <w:b w:val="0"/>
          <w:bCs w:val="0"/>
          <w:noProof/>
        </w:rPr>
        <w:tab/>
      </w:r>
      <w:r w:rsidRPr="003B152B">
        <w:rPr>
          <w:rFonts w:ascii="Times New Roman" w:eastAsia="Malgun Gothic" w:hAnsi="Times New Roman"/>
          <w:b w:val="0"/>
          <w:noProof/>
        </w:rPr>
        <w:t>La justice transitionnelle</w:t>
      </w:r>
      <w:r w:rsidRPr="003B152B">
        <w:rPr>
          <w:rFonts w:ascii="Times New Roman" w:hAnsi="Times New Roman"/>
          <w:b w:val="0"/>
          <w:noProof/>
        </w:rPr>
        <w:tab/>
      </w:r>
      <w:r w:rsidRPr="003B152B">
        <w:rPr>
          <w:rFonts w:ascii="Times New Roman" w:hAnsi="Times New Roman"/>
          <w:b w:val="0"/>
          <w:noProof/>
        </w:rPr>
        <w:fldChar w:fldCharType="begin"/>
      </w:r>
      <w:r w:rsidRPr="003B152B">
        <w:rPr>
          <w:rFonts w:ascii="Times New Roman" w:hAnsi="Times New Roman"/>
          <w:b w:val="0"/>
          <w:noProof/>
        </w:rPr>
        <w:instrText xml:space="preserve"> PAGEREF _Toc401931502 \h </w:instrText>
      </w:r>
      <w:r w:rsidRPr="003B152B">
        <w:rPr>
          <w:rFonts w:ascii="Times New Roman" w:hAnsi="Times New Roman"/>
          <w:b w:val="0"/>
          <w:noProof/>
        </w:rPr>
      </w:r>
      <w:r w:rsidRPr="003B152B">
        <w:rPr>
          <w:rFonts w:ascii="Times New Roman" w:hAnsi="Times New Roman"/>
          <w:b w:val="0"/>
          <w:noProof/>
        </w:rPr>
        <w:fldChar w:fldCharType="separate"/>
      </w:r>
      <w:r w:rsidR="002D4B31">
        <w:rPr>
          <w:rFonts w:ascii="Times New Roman" w:hAnsi="Times New Roman"/>
          <w:b w:val="0"/>
          <w:noProof/>
        </w:rPr>
        <w:t>28</w:t>
      </w:r>
      <w:r w:rsidRPr="003B152B">
        <w:rPr>
          <w:rFonts w:ascii="Times New Roman" w:hAnsi="Times New Roman"/>
          <w:b w:val="0"/>
          <w:noProof/>
        </w:rPr>
        <w:fldChar w:fldCharType="end"/>
      </w:r>
    </w:p>
    <w:p w:rsidR="002A4B50" w:rsidRPr="003B152B" w:rsidRDefault="002A4B50">
      <w:pPr>
        <w:pStyle w:val="TOC2"/>
        <w:tabs>
          <w:tab w:val="left" w:pos="660"/>
          <w:tab w:val="right" w:leader="hyphen" w:pos="8920"/>
        </w:tabs>
        <w:rPr>
          <w:rFonts w:ascii="Times New Roman" w:eastAsiaTheme="minorEastAsia" w:hAnsi="Times New Roman"/>
          <w:b w:val="0"/>
          <w:bCs w:val="0"/>
          <w:noProof/>
        </w:rPr>
      </w:pPr>
      <w:r w:rsidRPr="003B152B">
        <w:rPr>
          <w:rFonts w:ascii="Times New Roman" w:eastAsia="Malgun Gothic" w:hAnsi="Times New Roman"/>
          <w:b w:val="0"/>
          <w:noProof/>
        </w:rPr>
        <w:t>C.</w:t>
      </w:r>
      <w:r w:rsidRPr="003B152B">
        <w:rPr>
          <w:rFonts w:ascii="Times New Roman" w:eastAsiaTheme="minorEastAsia" w:hAnsi="Times New Roman"/>
          <w:b w:val="0"/>
          <w:bCs w:val="0"/>
          <w:noProof/>
        </w:rPr>
        <w:tab/>
      </w:r>
      <w:r w:rsidRPr="003B152B">
        <w:rPr>
          <w:rFonts w:ascii="Times New Roman" w:eastAsia="Malgun Gothic" w:hAnsi="Times New Roman"/>
          <w:b w:val="0"/>
          <w:noProof/>
        </w:rPr>
        <w:t>La Commission vérité, justice et réconciliation</w:t>
      </w:r>
      <w:r w:rsidRPr="003B152B">
        <w:rPr>
          <w:rFonts w:ascii="Times New Roman" w:hAnsi="Times New Roman"/>
          <w:b w:val="0"/>
          <w:noProof/>
        </w:rPr>
        <w:tab/>
      </w:r>
      <w:r w:rsidRPr="003B152B">
        <w:rPr>
          <w:rFonts w:ascii="Times New Roman" w:hAnsi="Times New Roman"/>
          <w:b w:val="0"/>
          <w:noProof/>
        </w:rPr>
        <w:fldChar w:fldCharType="begin"/>
      </w:r>
      <w:r w:rsidRPr="003B152B">
        <w:rPr>
          <w:rFonts w:ascii="Times New Roman" w:hAnsi="Times New Roman"/>
          <w:b w:val="0"/>
          <w:noProof/>
        </w:rPr>
        <w:instrText xml:space="preserve"> PAGEREF _Toc401931503 \h </w:instrText>
      </w:r>
      <w:r w:rsidRPr="003B152B">
        <w:rPr>
          <w:rFonts w:ascii="Times New Roman" w:hAnsi="Times New Roman"/>
          <w:b w:val="0"/>
          <w:noProof/>
        </w:rPr>
      </w:r>
      <w:r w:rsidRPr="003B152B">
        <w:rPr>
          <w:rFonts w:ascii="Times New Roman" w:hAnsi="Times New Roman"/>
          <w:b w:val="0"/>
          <w:noProof/>
        </w:rPr>
        <w:fldChar w:fldCharType="separate"/>
      </w:r>
      <w:r w:rsidR="002D4B31">
        <w:rPr>
          <w:rFonts w:ascii="Times New Roman" w:hAnsi="Times New Roman"/>
          <w:b w:val="0"/>
          <w:noProof/>
        </w:rPr>
        <w:t>29</w:t>
      </w:r>
      <w:r w:rsidRPr="003B152B">
        <w:rPr>
          <w:rFonts w:ascii="Times New Roman" w:hAnsi="Times New Roman"/>
          <w:b w:val="0"/>
          <w:noProof/>
        </w:rPr>
        <w:fldChar w:fldCharType="end"/>
      </w:r>
    </w:p>
    <w:p w:rsidR="002A4B50" w:rsidRPr="003B152B" w:rsidRDefault="002A4B50">
      <w:pPr>
        <w:pStyle w:val="TOC1"/>
        <w:tabs>
          <w:tab w:val="left" w:pos="440"/>
          <w:tab w:val="right" w:leader="hyphen" w:pos="8920"/>
        </w:tabs>
        <w:rPr>
          <w:rFonts w:ascii="Times New Roman" w:eastAsiaTheme="minorEastAsia" w:hAnsi="Times New Roman"/>
          <w:b w:val="0"/>
          <w:bCs w:val="0"/>
          <w:i w:val="0"/>
          <w:iCs w:val="0"/>
          <w:noProof/>
          <w:sz w:val="22"/>
          <w:szCs w:val="22"/>
        </w:rPr>
      </w:pPr>
      <w:r w:rsidRPr="003B152B">
        <w:rPr>
          <w:rFonts w:ascii="Times New Roman" w:eastAsia="Malgun Gothic" w:hAnsi="Times New Roman"/>
          <w:i w:val="0"/>
          <w:noProof/>
        </w:rPr>
        <w:t>X</w:t>
      </w:r>
      <w:r w:rsidR="007C3417">
        <w:rPr>
          <w:rFonts w:ascii="Times New Roman" w:eastAsia="Malgun Gothic" w:hAnsi="Times New Roman"/>
          <w:i w:val="0"/>
          <w:noProof/>
        </w:rPr>
        <w:t>I</w:t>
      </w:r>
      <w:r w:rsidRPr="003B152B">
        <w:rPr>
          <w:rFonts w:ascii="Times New Roman" w:eastAsia="Malgun Gothic" w:hAnsi="Times New Roman"/>
          <w:i w:val="0"/>
          <w:noProof/>
        </w:rPr>
        <w:t>.</w:t>
      </w:r>
      <w:r w:rsidRPr="003B152B">
        <w:rPr>
          <w:rFonts w:ascii="Times New Roman" w:eastAsiaTheme="minorEastAsia" w:hAnsi="Times New Roman"/>
          <w:b w:val="0"/>
          <w:bCs w:val="0"/>
          <w:i w:val="0"/>
          <w:iCs w:val="0"/>
          <w:noProof/>
          <w:sz w:val="22"/>
          <w:szCs w:val="22"/>
        </w:rPr>
        <w:tab/>
      </w:r>
      <w:r w:rsidRPr="003B152B">
        <w:rPr>
          <w:rFonts w:ascii="Times New Roman" w:eastAsia="Malgun Gothic" w:hAnsi="Times New Roman"/>
          <w:i w:val="0"/>
          <w:noProof/>
        </w:rPr>
        <w:t>Contribution de la MINUSMA dans le domaine des droits de l’homme.</w:t>
      </w:r>
      <w:r w:rsidRPr="003B152B">
        <w:rPr>
          <w:rFonts w:ascii="Times New Roman" w:hAnsi="Times New Roman"/>
          <w:i w:val="0"/>
          <w:noProof/>
        </w:rPr>
        <w:tab/>
      </w:r>
      <w:r w:rsidRPr="003B152B">
        <w:rPr>
          <w:rFonts w:ascii="Times New Roman" w:hAnsi="Times New Roman"/>
          <w:i w:val="0"/>
          <w:noProof/>
        </w:rPr>
        <w:fldChar w:fldCharType="begin"/>
      </w:r>
      <w:r w:rsidRPr="003B152B">
        <w:rPr>
          <w:rFonts w:ascii="Times New Roman" w:hAnsi="Times New Roman"/>
          <w:i w:val="0"/>
          <w:noProof/>
        </w:rPr>
        <w:instrText xml:space="preserve"> PAGEREF _Toc401931504 \h </w:instrText>
      </w:r>
      <w:r w:rsidRPr="003B152B">
        <w:rPr>
          <w:rFonts w:ascii="Times New Roman" w:hAnsi="Times New Roman"/>
          <w:i w:val="0"/>
          <w:noProof/>
        </w:rPr>
      </w:r>
      <w:r w:rsidRPr="003B152B">
        <w:rPr>
          <w:rFonts w:ascii="Times New Roman" w:hAnsi="Times New Roman"/>
          <w:i w:val="0"/>
          <w:noProof/>
        </w:rPr>
        <w:fldChar w:fldCharType="separate"/>
      </w:r>
      <w:r w:rsidR="002D4B31">
        <w:rPr>
          <w:rFonts w:ascii="Times New Roman" w:hAnsi="Times New Roman"/>
          <w:i w:val="0"/>
          <w:noProof/>
        </w:rPr>
        <w:t>30</w:t>
      </w:r>
      <w:r w:rsidRPr="003B152B">
        <w:rPr>
          <w:rFonts w:ascii="Times New Roman" w:hAnsi="Times New Roman"/>
          <w:i w:val="0"/>
          <w:noProof/>
        </w:rPr>
        <w:fldChar w:fldCharType="end"/>
      </w:r>
    </w:p>
    <w:p w:rsidR="002A4B50" w:rsidRPr="003B152B" w:rsidRDefault="002A4B50">
      <w:pPr>
        <w:pStyle w:val="TOC2"/>
        <w:tabs>
          <w:tab w:val="left" w:pos="660"/>
          <w:tab w:val="right" w:leader="hyphen" w:pos="8920"/>
        </w:tabs>
        <w:rPr>
          <w:rFonts w:ascii="Times New Roman" w:eastAsiaTheme="minorEastAsia" w:hAnsi="Times New Roman"/>
          <w:b w:val="0"/>
          <w:bCs w:val="0"/>
          <w:noProof/>
        </w:rPr>
      </w:pPr>
      <w:r w:rsidRPr="003B152B">
        <w:rPr>
          <w:rFonts w:ascii="Times New Roman" w:eastAsia="Malgun Gothic" w:hAnsi="Times New Roman"/>
          <w:b w:val="0"/>
          <w:noProof/>
        </w:rPr>
        <w:t>A.</w:t>
      </w:r>
      <w:r w:rsidRPr="003B152B">
        <w:rPr>
          <w:rFonts w:ascii="Times New Roman" w:eastAsiaTheme="minorEastAsia" w:hAnsi="Times New Roman"/>
          <w:b w:val="0"/>
          <w:bCs w:val="0"/>
          <w:noProof/>
        </w:rPr>
        <w:tab/>
      </w:r>
      <w:r w:rsidRPr="003B152B">
        <w:rPr>
          <w:rFonts w:ascii="Times New Roman" w:eastAsia="Malgun Gothic" w:hAnsi="Times New Roman"/>
          <w:b w:val="0"/>
          <w:noProof/>
        </w:rPr>
        <w:t>Réforme de la Commission nationale des droits de l’homme</w:t>
      </w:r>
      <w:r w:rsidRPr="003B152B">
        <w:rPr>
          <w:rFonts w:ascii="Times New Roman" w:hAnsi="Times New Roman"/>
          <w:b w:val="0"/>
          <w:noProof/>
        </w:rPr>
        <w:tab/>
      </w:r>
      <w:r w:rsidRPr="003B152B">
        <w:rPr>
          <w:rFonts w:ascii="Times New Roman" w:hAnsi="Times New Roman"/>
          <w:b w:val="0"/>
          <w:noProof/>
        </w:rPr>
        <w:fldChar w:fldCharType="begin"/>
      </w:r>
      <w:r w:rsidRPr="003B152B">
        <w:rPr>
          <w:rFonts w:ascii="Times New Roman" w:hAnsi="Times New Roman"/>
          <w:b w:val="0"/>
          <w:noProof/>
        </w:rPr>
        <w:instrText xml:space="preserve"> PAGEREF _Toc401931505 \h </w:instrText>
      </w:r>
      <w:r w:rsidRPr="003B152B">
        <w:rPr>
          <w:rFonts w:ascii="Times New Roman" w:hAnsi="Times New Roman"/>
          <w:b w:val="0"/>
          <w:noProof/>
        </w:rPr>
      </w:r>
      <w:r w:rsidRPr="003B152B">
        <w:rPr>
          <w:rFonts w:ascii="Times New Roman" w:hAnsi="Times New Roman"/>
          <w:b w:val="0"/>
          <w:noProof/>
        </w:rPr>
        <w:fldChar w:fldCharType="separate"/>
      </w:r>
      <w:r w:rsidR="002D4B31">
        <w:rPr>
          <w:rFonts w:ascii="Times New Roman" w:hAnsi="Times New Roman"/>
          <w:b w:val="0"/>
          <w:noProof/>
        </w:rPr>
        <w:t>30</w:t>
      </w:r>
      <w:r w:rsidRPr="003B152B">
        <w:rPr>
          <w:rFonts w:ascii="Times New Roman" w:hAnsi="Times New Roman"/>
          <w:b w:val="0"/>
          <w:noProof/>
        </w:rPr>
        <w:fldChar w:fldCharType="end"/>
      </w:r>
    </w:p>
    <w:p w:rsidR="002A4B50" w:rsidRPr="003B152B" w:rsidRDefault="002A4B50">
      <w:pPr>
        <w:pStyle w:val="TOC2"/>
        <w:tabs>
          <w:tab w:val="left" w:pos="660"/>
          <w:tab w:val="right" w:leader="hyphen" w:pos="8920"/>
        </w:tabs>
        <w:rPr>
          <w:rFonts w:ascii="Times New Roman" w:eastAsiaTheme="minorEastAsia" w:hAnsi="Times New Roman"/>
          <w:b w:val="0"/>
          <w:bCs w:val="0"/>
          <w:noProof/>
        </w:rPr>
      </w:pPr>
      <w:r w:rsidRPr="003B152B">
        <w:rPr>
          <w:rFonts w:ascii="Times New Roman" w:eastAsia="Malgun Gothic" w:hAnsi="Times New Roman"/>
          <w:b w:val="0"/>
          <w:noProof/>
        </w:rPr>
        <w:t>B.</w:t>
      </w:r>
      <w:r w:rsidRPr="003B152B">
        <w:rPr>
          <w:rFonts w:ascii="Times New Roman" w:eastAsiaTheme="minorEastAsia" w:hAnsi="Times New Roman"/>
          <w:b w:val="0"/>
          <w:bCs w:val="0"/>
          <w:noProof/>
        </w:rPr>
        <w:tab/>
      </w:r>
      <w:r w:rsidRPr="003B152B">
        <w:rPr>
          <w:rFonts w:ascii="Times New Roman" w:eastAsia="Malgun Gothic" w:hAnsi="Times New Roman"/>
          <w:b w:val="0"/>
          <w:noProof/>
        </w:rPr>
        <w:t>Appui aux institutions nationales</w:t>
      </w:r>
      <w:r w:rsidRPr="003B152B">
        <w:rPr>
          <w:rFonts w:ascii="Times New Roman" w:hAnsi="Times New Roman"/>
          <w:b w:val="0"/>
          <w:noProof/>
        </w:rPr>
        <w:tab/>
      </w:r>
      <w:r w:rsidRPr="003B152B">
        <w:rPr>
          <w:rFonts w:ascii="Times New Roman" w:hAnsi="Times New Roman"/>
          <w:b w:val="0"/>
          <w:noProof/>
        </w:rPr>
        <w:fldChar w:fldCharType="begin"/>
      </w:r>
      <w:r w:rsidRPr="003B152B">
        <w:rPr>
          <w:rFonts w:ascii="Times New Roman" w:hAnsi="Times New Roman"/>
          <w:b w:val="0"/>
          <w:noProof/>
        </w:rPr>
        <w:instrText xml:space="preserve"> PAGEREF _Toc401931506 \h </w:instrText>
      </w:r>
      <w:r w:rsidRPr="003B152B">
        <w:rPr>
          <w:rFonts w:ascii="Times New Roman" w:hAnsi="Times New Roman"/>
          <w:b w:val="0"/>
          <w:noProof/>
        </w:rPr>
      </w:r>
      <w:r w:rsidRPr="003B152B">
        <w:rPr>
          <w:rFonts w:ascii="Times New Roman" w:hAnsi="Times New Roman"/>
          <w:b w:val="0"/>
          <w:noProof/>
        </w:rPr>
        <w:fldChar w:fldCharType="separate"/>
      </w:r>
      <w:r w:rsidR="002D4B31">
        <w:rPr>
          <w:rFonts w:ascii="Times New Roman" w:hAnsi="Times New Roman"/>
          <w:b w:val="0"/>
          <w:noProof/>
        </w:rPr>
        <w:t>31</w:t>
      </w:r>
      <w:r w:rsidRPr="003B152B">
        <w:rPr>
          <w:rFonts w:ascii="Times New Roman" w:hAnsi="Times New Roman"/>
          <w:b w:val="0"/>
          <w:noProof/>
        </w:rPr>
        <w:fldChar w:fldCharType="end"/>
      </w:r>
    </w:p>
    <w:p w:rsidR="002A4B50" w:rsidRPr="003B152B" w:rsidRDefault="002A4B50">
      <w:pPr>
        <w:pStyle w:val="TOC2"/>
        <w:tabs>
          <w:tab w:val="left" w:pos="660"/>
          <w:tab w:val="right" w:leader="hyphen" w:pos="8920"/>
        </w:tabs>
        <w:rPr>
          <w:rFonts w:ascii="Times New Roman" w:eastAsiaTheme="minorEastAsia" w:hAnsi="Times New Roman"/>
          <w:b w:val="0"/>
          <w:bCs w:val="0"/>
          <w:noProof/>
        </w:rPr>
      </w:pPr>
      <w:r w:rsidRPr="003B152B">
        <w:rPr>
          <w:rFonts w:ascii="Times New Roman" w:eastAsia="Malgun Gothic" w:hAnsi="Times New Roman"/>
          <w:b w:val="0"/>
          <w:noProof/>
        </w:rPr>
        <w:t>C.</w:t>
      </w:r>
      <w:r w:rsidRPr="003B152B">
        <w:rPr>
          <w:rFonts w:ascii="Times New Roman" w:eastAsiaTheme="minorEastAsia" w:hAnsi="Times New Roman"/>
          <w:b w:val="0"/>
          <w:bCs w:val="0"/>
          <w:noProof/>
        </w:rPr>
        <w:tab/>
      </w:r>
      <w:r w:rsidRPr="003B152B">
        <w:rPr>
          <w:rFonts w:ascii="Times New Roman" w:eastAsia="Malgun Gothic" w:hAnsi="Times New Roman"/>
          <w:b w:val="0"/>
          <w:noProof/>
        </w:rPr>
        <w:t>Appui à la société civile</w:t>
      </w:r>
      <w:r w:rsidRPr="003B152B">
        <w:rPr>
          <w:rFonts w:ascii="Times New Roman" w:hAnsi="Times New Roman"/>
          <w:b w:val="0"/>
          <w:noProof/>
        </w:rPr>
        <w:tab/>
      </w:r>
      <w:r w:rsidRPr="003B152B">
        <w:rPr>
          <w:rFonts w:ascii="Times New Roman" w:hAnsi="Times New Roman"/>
          <w:b w:val="0"/>
          <w:noProof/>
        </w:rPr>
        <w:fldChar w:fldCharType="begin"/>
      </w:r>
      <w:r w:rsidRPr="003B152B">
        <w:rPr>
          <w:rFonts w:ascii="Times New Roman" w:hAnsi="Times New Roman"/>
          <w:b w:val="0"/>
          <w:noProof/>
        </w:rPr>
        <w:instrText xml:space="preserve"> PAGEREF _Toc401931507 \h </w:instrText>
      </w:r>
      <w:r w:rsidRPr="003B152B">
        <w:rPr>
          <w:rFonts w:ascii="Times New Roman" w:hAnsi="Times New Roman"/>
          <w:b w:val="0"/>
          <w:noProof/>
        </w:rPr>
      </w:r>
      <w:r w:rsidRPr="003B152B">
        <w:rPr>
          <w:rFonts w:ascii="Times New Roman" w:hAnsi="Times New Roman"/>
          <w:b w:val="0"/>
          <w:noProof/>
        </w:rPr>
        <w:fldChar w:fldCharType="separate"/>
      </w:r>
      <w:r w:rsidR="002D4B31">
        <w:rPr>
          <w:rFonts w:ascii="Times New Roman" w:hAnsi="Times New Roman"/>
          <w:b w:val="0"/>
          <w:noProof/>
        </w:rPr>
        <w:t>33</w:t>
      </w:r>
      <w:r w:rsidRPr="003B152B">
        <w:rPr>
          <w:rFonts w:ascii="Times New Roman" w:hAnsi="Times New Roman"/>
          <w:b w:val="0"/>
          <w:noProof/>
        </w:rPr>
        <w:fldChar w:fldCharType="end"/>
      </w:r>
    </w:p>
    <w:p w:rsidR="002A4B50" w:rsidRPr="003B152B" w:rsidRDefault="002A4B50">
      <w:pPr>
        <w:pStyle w:val="TOC1"/>
        <w:tabs>
          <w:tab w:val="left" w:pos="660"/>
          <w:tab w:val="right" w:leader="hyphen" w:pos="8920"/>
        </w:tabs>
        <w:rPr>
          <w:rFonts w:ascii="Times New Roman" w:eastAsiaTheme="minorEastAsia" w:hAnsi="Times New Roman"/>
          <w:b w:val="0"/>
          <w:bCs w:val="0"/>
          <w:i w:val="0"/>
          <w:iCs w:val="0"/>
          <w:noProof/>
          <w:sz w:val="22"/>
          <w:szCs w:val="22"/>
        </w:rPr>
      </w:pPr>
      <w:r w:rsidRPr="003B152B">
        <w:rPr>
          <w:rFonts w:ascii="Times New Roman" w:eastAsia="Malgun Gothic" w:hAnsi="Times New Roman"/>
          <w:i w:val="0"/>
          <w:noProof/>
        </w:rPr>
        <w:t>XI</w:t>
      </w:r>
      <w:r w:rsidR="007C3417">
        <w:rPr>
          <w:rFonts w:ascii="Times New Roman" w:eastAsia="Malgun Gothic" w:hAnsi="Times New Roman"/>
          <w:i w:val="0"/>
          <w:noProof/>
        </w:rPr>
        <w:t>I</w:t>
      </w:r>
      <w:r w:rsidRPr="003B152B">
        <w:rPr>
          <w:rFonts w:ascii="Times New Roman" w:eastAsia="Malgun Gothic" w:hAnsi="Times New Roman"/>
          <w:i w:val="0"/>
          <w:noProof/>
        </w:rPr>
        <w:t>.</w:t>
      </w:r>
      <w:r w:rsidR="00FA103F">
        <w:rPr>
          <w:rFonts w:ascii="Times New Roman" w:eastAsiaTheme="minorEastAsia" w:hAnsi="Times New Roman"/>
          <w:b w:val="0"/>
          <w:bCs w:val="0"/>
          <w:i w:val="0"/>
          <w:iCs w:val="0"/>
          <w:noProof/>
          <w:sz w:val="22"/>
          <w:szCs w:val="22"/>
        </w:rPr>
        <w:t xml:space="preserve">   </w:t>
      </w:r>
      <w:r w:rsidRPr="003B152B">
        <w:rPr>
          <w:rFonts w:ascii="Times New Roman" w:eastAsia="Malgun Gothic" w:hAnsi="Times New Roman"/>
          <w:i w:val="0"/>
          <w:noProof/>
        </w:rPr>
        <w:t>Conclusion et Recommandations</w:t>
      </w:r>
      <w:r w:rsidRPr="003B152B">
        <w:rPr>
          <w:rFonts w:ascii="Times New Roman" w:hAnsi="Times New Roman"/>
          <w:i w:val="0"/>
          <w:noProof/>
        </w:rPr>
        <w:tab/>
      </w:r>
      <w:r w:rsidRPr="003B152B">
        <w:rPr>
          <w:rFonts w:ascii="Times New Roman" w:hAnsi="Times New Roman"/>
          <w:i w:val="0"/>
          <w:noProof/>
        </w:rPr>
        <w:fldChar w:fldCharType="begin"/>
      </w:r>
      <w:r w:rsidRPr="003B152B">
        <w:rPr>
          <w:rFonts w:ascii="Times New Roman" w:hAnsi="Times New Roman"/>
          <w:i w:val="0"/>
          <w:noProof/>
        </w:rPr>
        <w:instrText xml:space="preserve"> PAGEREF _Toc401931508 \h </w:instrText>
      </w:r>
      <w:r w:rsidRPr="003B152B">
        <w:rPr>
          <w:rFonts w:ascii="Times New Roman" w:hAnsi="Times New Roman"/>
          <w:i w:val="0"/>
          <w:noProof/>
        </w:rPr>
      </w:r>
      <w:r w:rsidRPr="003B152B">
        <w:rPr>
          <w:rFonts w:ascii="Times New Roman" w:hAnsi="Times New Roman"/>
          <w:i w:val="0"/>
          <w:noProof/>
        </w:rPr>
        <w:fldChar w:fldCharType="separate"/>
      </w:r>
      <w:r w:rsidR="002D4B31">
        <w:rPr>
          <w:rFonts w:ascii="Times New Roman" w:hAnsi="Times New Roman"/>
          <w:i w:val="0"/>
          <w:noProof/>
        </w:rPr>
        <w:t>34</w:t>
      </w:r>
      <w:r w:rsidRPr="003B152B">
        <w:rPr>
          <w:rFonts w:ascii="Times New Roman" w:hAnsi="Times New Roman"/>
          <w:i w:val="0"/>
          <w:noProof/>
        </w:rPr>
        <w:fldChar w:fldCharType="end"/>
      </w:r>
    </w:p>
    <w:p w:rsidR="002A4B50" w:rsidRPr="003B152B" w:rsidRDefault="002A4B50">
      <w:pPr>
        <w:pStyle w:val="TOC2"/>
        <w:tabs>
          <w:tab w:val="left" w:pos="660"/>
          <w:tab w:val="right" w:leader="hyphen" w:pos="8920"/>
        </w:tabs>
        <w:rPr>
          <w:rFonts w:ascii="Times New Roman" w:eastAsiaTheme="minorEastAsia" w:hAnsi="Times New Roman"/>
          <w:b w:val="0"/>
          <w:bCs w:val="0"/>
          <w:noProof/>
        </w:rPr>
      </w:pPr>
      <w:r w:rsidRPr="003B152B">
        <w:rPr>
          <w:rFonts w:ascii="Times New Roman" w:eastAsia="Malgun Gothic" w:hAnsi="Times New Roman"/>
          <w:b w:val="0"/>
          <w:noProof/>
        </w:rPr>
        <w:lastRenderedPageBreak/>
        <w:t>A.</w:t>
      </w:r>
      <w:r w:rsidRPr="003B152B">
        <w:rPr>
          <w:rFonts w:ascii="Times New Roman" w:eastAsiaTheme="minorEastAsia" w:hAnsi="Times New Roman"/>
          <w:b w:val="0"/>
          <w:bCs w:val="0"/>
          <w:noProof/>
        </w:rPr>
        <w:tab/>
      </w:r>
      <w:r w:rsidRPr="003B152B">
        <w:rPr>
          <w:rFonts w:ascii="Times New Roman" w:eastAsia="Malgun Gothic" w:hAnsi="Times New Roman"/>
          <w:b w:val="0"/>
          <w:noProof/>
        </w:rPr>
        <w:t>Au gouvernement du Mali</w:t>
      </w:r>
      <w:r w:rsidRPr="003B152B">
        <w:rPr>
          <w:rFonts w:ascii="Times New Roman" w:hAnsi="Times New Roman"/>
          <w:b w:val="0"/>
          <w:noProof/>
        </w:rPr>
        <w:tab/>
      </w:r>
      <w:r w:rsidRPr="003B152B">
        <w:rPr>
          <w:rFonts w:ascii="Times New Roman" w:hAnsi="Times New Roman"/>
          <w:b w:val="0"/>
          <w:noProof/>
        </w:rPr>
        <w:fldChar w:fldCharType="begin"/>
      </w:r>
      <w:r w:rsidRPr="003B152B">
        <w:rPr>
          <w:rFonts w:ascii="Times New Roman" w:hAnsi="Times New Roman"/>
          <w:b w:val="0"/>
          <w:noProof/>
        </w:rPr>
        <w:instrText xml:space="preserve"> PAGEREF _Toc401931509 \h </w:instrText>
      </w:r>
      <w:r w:rsidRPr="003B152B">
        <w:rPr>
          <w:rFonts w:ascii="Times New Roman" w:hAnsi="Times New Roman"/>
          <w:b w:val="0"/>
          <w:noProof/>
        </w:rPr>
      </w:r>
      <w:r w:rsidRPr="003B152B">
        <w:rPr>
          <w:rFonts w:ascii="Times New Roman" w:hAnsi="Times New Roman"/>
          <w:b w:val="0"/>
          <w:noProof/>
        </w:rPr>
        <w:fldChar w:fldCharType="separate"/>
      </w:r>
      <w:r w:rsidR="002D4B31">
        <w:rPr>
          <w:rFonts w:ascii="Times New Roman" w:hAnsi="Times New Roman"/>
          <w:b w:val="0"/>
          <w:noProof/>
        </w:rPr>
        <w:t>35</w:t>
      </w:r>
      <w:r w:rsidRPr="003B152B">
        <w:rPr>
          <w:rFonts w:ascii="Times New Roman" w:hAnsi="Times New Roman"/>
          <w:b w:val="0"/>
          <w:noProof/>
        </w:rPr>
        <w:fldChar w:fldCharType="end"/>
      </w:r>
    </w:p>
    <w:p w:rsidR="002A4B50" w:rsidRPr="003B152B" w:rsidRDefault="002A4B50">
      <w:pPr>
        <w:pStyle w:val="TOC2"/>
        <w:tabs>
          <w:tab w:val="left" w:pos="660"/>
          <w:tab w:val="right" w:leader="hyphen" w:pos="8920"/>
        </w:tabs>
        <w:rPr>
          <w:rFonts w:ascii="Times New Roman" w:eastAsiaTheme="minorEastAsia" w:hAnsi="Times New Roman"/>
          <w:b w:val="0"/>
          <w:bCs w:val="0"/>
          <w:noProof/>
        </w:rPr>
      </w:pPr>
      <w:r w:rsidRPr="003B152B">
        <w:rPr>
          <w:rFonts w:ascii="Times New Roman" w:eastAsia="Malgun Gothic" w:hAnsi="Times New Roman"/>
          <w:b w:val="0"/>
          <w:noProof/>
        </w:rPr>
        <w:t>B.</w:t>
      </w:r>
      <w:r w:rsidRPr="003B152B">
        <w:rPr>
          <w:rFonts w:ascii="Times New Roman" w:eastAsiaTheme="minorEastAsia" w:hAnsi="Times New Roman"/>
          <w:b w:val="0"/>
          <w:bCs w:val="0"/>
          <w:noProof/>
        </w:rPr>
        <w:tab/>
      </w:r>
      <w:r w:rsidRPr="003B152B">
        <w:rPr>
          <w:rFonts w:ascii="Times New Roman" w:eastAsia="Malgun Gothic" w:hAnsi="Times New Roman"/>
          <w:b w:val="0"/>
          <w:noProof/>
        </w:rPr>
        <w:t xml:space="preserve">Aux groupes armés </w:t>
      </w:r>
      <w:r w:rsidRPr="003B152B">
        <w:rPr>
          <w:rFonts w:ascii="Times New Roman" w:hAnsi="Times New Roman"/>
          <w:b w:val="0"/>
          <w:noProof/>
        </w:rPr>
        <w:tab/>
      </w:r>
      <w:r w:rsidRPr="003B152B">
        <w:rPr>
          <w:rFonts w:ascii="Times New Roman" w:hAnsi="Times New Roman"/>
          <w:b w:val="0"/>
          <w:noProof/>
        </w:rPr>
        <w:fldChar w:fldCharType="begin"/>
      </w:r>
      <w:r w:rsidRPr="003B152B">
        <w:rPr>
          <w:rFonts w:ascii="Times New Roman" w:hAnsi="Times New Roman"/>
          <w:b w:val="0"/>
          <w:noProof/>
        </w:rPr>
        <w:instrText xml:space="preserve"> PAGEREF _Toc401931510 \h </w:instrText>
      </w:r>
      <w:r w:rsidRPr="003B152B">
        <w:rPr>
          <w:rFonts w:ascii="Times New Roman" w:hAnsi="Times New Roman"/>
          <w:b w:val="0"/>
          <w:noProof/>
        </w:rPr>
      </w:r>
      <w:r w:rsidRPr="003B152B">
        <w:rPr>
          <w:rFonts w:ascii="Times New Roman" w:hAnsi="Times New Roman"/>
          <w:b w:val="0"/>
          <w:noProof/>
        </w:rPr>
        <w:fldChar w:fldCharType="separate"/>
      </w:r>
      <w:r w:rsidR="002D4B31">
        <w:rPr>
          <w:rFonts w:ascii="Times New Roman" w:hAnsi="Times New Roman"/>
          <w:b w:val="0"/>
          <w:noProof/>
        </w:rPr>
        <w:t>36</w:t>
      </w:r>
      <w:r w:rsidRPr="003B152B">
        <w:rPr>
          <w:rFonts w:ascii="Times New Roman" w:hAnsi="Times New Roman"/>
          <w:b w:val="0"/>
          <w:noProof/>
        </w:rPr>
        <w:fldChar w:fldCharType="end"/>
      </w:r>
    </w:p>
    <w:p w:rsidR="0014735B" w:rsidRDefault="002A4B50" w:rsidP="00785F0D">
      <w:pPr>
        <w:pStyle w:val="TOC2"/>
        <w:tabs>
          <w:tab w:val="left" w:pos="660"/>
          <w:tab w:val="right" w:leader="hyphen" w:pos="8920"/>
        </w:tabs>
        <w:rPr>
          <w:rFonts w:ascii="Times New Roman" w:eastAsia="Malgun Gothic" w:hAnsi="Times New Roman"/>
          <w:b w:val="0"/>
          <w:sz w:val="20"/>
          <w:szCs w:val="20"/>
        </w:rPr>
      </w:pPr>
      <w:r w:rsidRPr="003B152B">
        <w:rPr>
          <w:rFonts w:ascii="Times New Roman" w:eastAsia="Malgun Gothic" w:hAnsi="Times New Roman"/>
          <w:b w:val="0"/>
          <w:noProof/>
        </w:rPr>
        <w:t>C.</w:t>
      </w:r>
      <w:r w:rsidRPr="003B152B">
        <w:rPr>
          <w:rFonts w:ascii="Times New Roman" w:eastAsiaTheme="minorEastAsia" w:hAnsi="Times New Roman"/>
          <w:b w:val="0"/>
          <w:bCs w:val="0"/>
          <w:noProof/>
        </w:rPr>
        <w:tab/>
      </w:r>
      <w:r w:rsidRPr="003B152B">
        <w:rPr>
          <w:rFonts w:ascii="Times New Roman" w:eastAsia="Malgun Gothic" w:hAnsi="Times New Roman"/>
          <w:b w:val="0"/>
          <w:noProof/>
        </w:rPr>
        <w:t>A la communauté internationale</w:t>
      </w:r>
      <w:r w:rsidRPr="003B152B">
        <w:rPr>
          <w:rFonts w:ascii="Times New Roman" w:hAnsi="Times New Roman"/>
          <w:b w:val="0"/>
          <w:noProof/>
        </w:rPr>
        <w:tab/>
      </w:r>
      <w:r w:rsidRPr="003B152B">
        <w:rPr>
          <w:rFonts w:ascii="Times New Roman" w:hAnsi="Times New Roman"/>
          <w:b w:val="0"/>
          <w:noProof/>
        </w:rPr>
        <w:fldChar w:fldCharType="begin"/>
      </w:r>
      <w:r w:rsidRPr="003B152B">
        <w:rPr>
          <w:rFonts w:ascii="Times New Roman" w:hAnsi="Times New Roman"/>
          <w:b w:val="0"/>
          <w:noProof/>
        </w:rPr>
        <w:instrText xml:space="preserve"> PAGEREF _Toc401931511 \h </w:instrText>
      </w:r>
      <w:r w:rsidRPr="003B152B">
        <w:rPr>
          <w:rFonts w:ascii="Times New Roman" w:hAnsi="Times New Roman"/>
          <w:b w:val="0"/>
          <w:noProof/>
        </w:rPr>
      </w:r>
      <w:r w:rsidRPr="003B152B">
        <w:rPr>
          <w:rFonts w:ascii="Times New Roman" w:hAnsi="Times New Roman"/>
          <w:b w:val="0"/>
          <w:noProof/>
        </w:rPr>
        <w:fldChar w:fldCharType="separate"/>
      </w:r>
      <w:r w:rsidR="002D4B31">
        <w:rPr>
          <w:rFonts w:ascii="Times New Roman" w:hAnsi="Times New Roman"/>
          <w:b w:val="0"/>
          <w:noProof/>
        </w:rPr>
        <w:t>37</w:t>
      </w:r>
      <w:r w:rsidRPr="003B152B">
        <w:rPr>
          <w:rFonts w:ascii="Times New Roman" w:hAnsi="Times New Roman"/>
          <w:b w:val="0"/>
          <w:noProof/>
        </w:rPr>
        <w:fldChar w:fldCharType="end"/>
      </w:r>
      <w:r w:rsidRPr="003B152B">
        <w:rPr>
          <w:rFonts w:ascii="Times New Roman" w:hAnsi="Times New Roman"/>
          <w:lang w:eastAsia="en-GB"/>
        </w:rPr>
        <w:fldChar w:fldCharType="end"/>
      </w:r>
      <w:bookmarkStart w:id="1" w:name="_Toc336643303"/>
      <w:bookmarkStart w:id="2" w:name="_Toc348096446"/>
      <w:r w:rsidR="0014735B">
        <w:rPr>
          <w:rFonts w:ascii="Times New Roman" w:eastAsia="Malgun Gothic" w:hAnsi="Times New Roman"/>
          <w:b w:val="0"/>
          <w:sz w:val="20"/>
          <w:szCs w:val="20"/>
        </w:rPr>
        <w:br w:type="page"/>
      </w:r>
    </w:p>
    <w:p w:rsidR="0014735B" w:rsidRPr="003B152B" w:rsidRDefault="005313DF" w:rsidP="00D73A4B">
      <w:pPr>
        <w:keepNext/>
        <w:shd w:val="clear" w:color="auto" w:fill="FFFFFF"/>
        <w:tabs>
          <w:tab w:val="left" w:pos="567"/>
        </w:tabs>
        <w:spacing w:after="0" w:line="240" w:lineRule="auto"/>
        <w:outlineLvl w:val="0"/>
        <w:rPr>
          <w:rFonts w:ascii="Times New Roman" w:eastAsia="Malgun Gothic" w:hAnsi="Times New Roman"/>
          <w:b/>
        </w:rPr>
      </w:pPr>
      <w:r w:rsidRPr="003B152B">
        <w:rPr>
          <w:rFonts w:ascii="Times New Roman" w:eastAsia="Malgun Gothic" w:hAnsi="Times New Roman"/>
          <w:b/>
        </w:rPr>
        <w:lastRenderedPageBreak/>
        <w:t>Liste des acronymes</w:t>
      </w:r>
    </w:p>
    <w:p w:rsidR="0014735B" w:rsidRPr="003B152B" w:rsidRDefault="0014735B" w:rsidP="00D73A4B">
      <w:pPr>
        <w:keepNext/>
        <w:shd w:val="clear" w:color="auto" w:fill="FFFFFF"/>
        <w:tabs>
          <w:tab w:val="left" w:pos="567"/>
        </w:tabs>
        <w:spacing w:after="0" w:line="240" w:lineRule="auto"/>
        <w:outlineLvl w:val="0"/>
        <w:rPr>
          <w:rFonts w:ascii="Times New Roman" w:eastAsia="Malgun Gothic" w:hAnsi="Times New Roman"/>
          <w:b/>
        </w:rPr>
      </w:pPr>
    </w:p>
    <w:p w:rsidR="005313DF" w:rsidRPr="003B152B" w:rsidRDefault="005313DF" w:rsidP="00D73A4B">
      <w:pPr>
        <w:pStyle w:val="Default"/>
        <w:tabs>
          <w:tab w:val="left" w:pos="567"/>
        </w:tabs>
        <w:ind w:left="360"/>
        <w:jc w:val="both"/>
        <w:rPr>
          <w:rFonts w:eastAsia="Malgun Gothic"/>
          <w:color w:val="auto"/>
          <w:sz w:val="22"/>
          <w:szCs w:val="22"/>
          <w:lang w:val="fr-FR"/>
        </w:rPr>
      </w:pPr>
      <w:r w:rsidRPr="003B152B">
        <w:rPr>
          <w:rFonts w:eastAsia="Malgun Gothic"/>
          <w:color w:val="auto"/>
          <w:sz w:val="22"/>
          <w:szCs w:val="22"/>
          <w:lang w:val="fr-FR"/>
        </w:rPr>
        <w:t>AQMI</w:t>
      </w:r>
      <w:r w:rsidR="0033219C" w:rsidRPr="003B152B">
        <w:rPr>
          <w:rFonts w:eastAsia="Malgun Gothic"/>
          <w:color w:val="auto"/>
          <w:sz w:val="22"/>
          <w:szCs w:val="22"/>
          <w:lang w:val="fr-FR"/>
        </w:rPr>
        <w:tab/>
      </w:r>
      <w:r w:rsidR="00785F0D">
        <w:rPr>
          <w:rFonts w:eastAsia="Malgun Gothic"/>
          <w:color w:val="auto"/>
          <w:sz w:val="22"/>
          <w:szCs w:val="22"/>
          <w:lang w:val="fr-FR"/>
        </w:rPr>
        <w:t xml:space="preserve">    </w:t>
      </w:r>
      <w:r w:rsidRPr="003B152B">
        <w:rPr>
          <w:rFonts w:eastAsia="Malgun Gothic"/>
          <w:color w:val="auto"/>
          <w:sz w:val="22"/>
          <w:szCs w:val="22"/>
          <w:lang w:val="fr-FR"/>
        </w:rPr>
        <w:t>Al-Qaida au Maghreb islamique</w:t>
      </w:r>
    </w:p>
    <w:p w:rsidR="00E5262D" w:rsidRPr="003B152B" w:rsidRDefault="00E5262D" w:rsidP="00D73A4B">
      <w:pPr>
        <w:pStyle w:val="Default"/>
        <w:tabs>
          <w:tab w:val="left" w:pos="567"/>
        </w:tabs>
        <w:ind w:left="360"/>
        <w:jc w:val="both"/>
        <w:rPr>
          <w:rFonts w:eastAsia="Malgun Gothic"/>
          <w:color w:val="auto"/>
          <w:sz w:val="22"/>
          <w:szCs w:val="22"/>
          <w:lang w:val="fr-FR"/>
        </w:rPr>
      </w:pPr>
    </w:p>
    <w:p w:rsidR="005313DF" w:rsidRPr="003B152B" w:rsidRDefault="005313DF" w:rsidP="00D73A4B">
      <w:pPr>
        <w:pStyle w:val="Default"/>
        <w:tabs>
          <w:tab w:val="left" w:pos="567"/>
          <w:tab w:val="left" w:pos="1620"/>
        </w:tabs>
        <w:ind w:left="360"/>
        <w:rPr>
          <w:rFonts w:eastAsia="Malgun Gothic"/>
          <w:color w:val="auto"/>
          <w:sz w:val="22"/>
          <w:szCs w:val="22"/>
          <w:lang w:val="fr-FR"/>
        </w:rPr>
      </w:pPr>
      <w:r w:rsidRPr="003B152B">
        <w:rPr>
          <w:rFonts w:eastAsia="Malgun Gothic"/>
          <w:color w:val="auto"/>
          <w:sz w:val="22"/>
          <w:szCs w:val="22"/>
          <w:lang w:val="fr-FR"/>
        </w:rPr>
        <w:t>CDR               Commission Dialogue et Réconciliation</w:t>
      </w:r>
    </w:p>
    <w:p w:rsidR="00E5262D" w:rsidRPr="003B152B" w:rsidRDefault="00E5262D" w:rsidP="00D73A4B">
      <w:pPr>
        <w:pStyle w:val="Default"/>
        <w:tabs>
          <w:tab w:val="left" w:pos="567"/>
          <w:tab w:val="left" w:pos="1620"/>
        </w:tabs>
        <w:ind w:left="360"/>
        <w:rPr>
          <w:rFonts w:eastAsia="Malgun Gothic"/>
          <w:color w:val="auto"/>
          <w:sz w:val="22"/>
          <w:szCs w:val="22"/>
          <w:lang w:val="fr-FR"/>
        </w:rPr>
      </w:pPr>
    </w:p>
    <w:p w:rsidR="005313DF" w:rsidRPr="003B152B" w:rsidRDefault="005313DF" w:rsidP="00D73A4B">
      <w:pPr>
        <w:pStyle w:val="Default"/>
        <w:tabs>
          <w:tab w:val="left" w:pos="1710"/>
        </w:tabs>
        <w:ind w:left="360"/>
        <w:rPr>
          <w:rFonts w:eastAsia="Malgun Gothic"/>
          <w:color w:val="auto"/>
          <w:sz w:val="22"/>
          <w:szCs w:val="22"/>
          <w:lang w:val="fr-FR"/>
        </w:rPr>
      </w:pPr>
      <w:r w:rsidRPr="003B152B">
        <w:rPr>
          <w:rFonts w:eastAsia="Malgun Gothic"/>
          <w:color w:val="auto"/>
          <w:sz w:val="22"/>
          <w:szCs w:val="22"/>
          <w:lang w:val="fr-FR"/>
        </w:rPr>
        <w:t xml:space="preserve">CEDEAO       Communauté </w:t>
      </w:r>
      <w:r w:rsidR="00146EC1" w:rsidRPr="003B152B">
        <w:rPr>
          <w:rFonts w:eastAsia="Malgun Gothic"/>
          <w:color w:val="auto"/>
          <w:sz w:val="22"/>
          <w:szCs w:val="22"/>
          <w:lang w:val="fr-FR"/>
        </w:rPr>
        <w:t>é</w:t>
      </w:r>
      <w:r w:rsidRPr="003B152B">
        <w:rPr>
          <w:rFonts w:eastAsia="Malgun Gothic"/>
          <w:color w:val="auto"/>
          <w:sz w:val="22"/>
          <w:szCs w:val="22"/>
          <w:lang w:val="fr-FR"/>
        </w:rPr>
        <w:t>conomique des Etats d’Afrique de l’Ouest</w:t>
      </w:r>
    </w:p>
    <w:p w:rsidR="00E5262D" w:rsidRPr="003B152B" w:rsidRDefault="00E5262D" w:rsidP="00D73A4B">
      <w:pPr>
        <w:pStyle w:val="Default"/>
        <w:tabs>
          <w:tab w:val="left" w:pos="1710"/>
        </w:tabs>
        <w:ind w:left="360"/>
        <w:rPr>
          <w:rFonts w:eastAsia="Malgun Gothic"/>
          <w:color w:val="auto"/>
          <w:sz w:val="22"/>
          <w:szCs w:val="22"/>
          <w:lang w:val="fr-FR"/>
        </w:rPr>
      </w:pPr>
    </w:p>
    <w:p w:rsidR="005313DF" w:rsidRPr="003B152B" w:rsidRDefault="005313DF" w:rsidP="00D73A4B">
      <w:pPr>
        <w:pStyle w:val="Default"/>
        <w:tabs>
          <w:tab w:val="left" w:pos="567"/>
        </w:tabs>
        <w:ind w:left="360"/>
        <w:rPr>
          <w:rFonts w:eastAsia="Malgun Gothic"/>
          <w:color w:val="auto"/>
          <w:sz w:val="22"/>
          <w:szCs w:val="22"/>
          <w:lang w:val="fr-FR"/>
        </w:rPr>
      </w:pPr>
      <w:r w:rsidRPr="003B152B">
        <w:rPr>
          <w:rFonts w:eastAsia="Malgun Gothic"/>
          <w:color w:val="auto"/>
          <w:sz w:val="22"/>
          <w:szCs w:val="22"/>
          <w:lang w:val="fr-FR"/>
        </w:rPr>
        <w:t xml:space="preserve">CVJR             Commission </w:t>
      </w:r>
      <w:r w:rsidR="00C30909" w:rsidRPr="003B152B">
        <w:rPr>
          <w:rFonts w:eastAsia="Malgun Gothic"/>
          <w:color w:val="auto"/>
          <w:sz w:val="22"/>
          <w:szCs w:val="22"/>
          <w:lang w:val="fr-FR"/>
        </w:rPr>
        <w:t>v</w:t>
      </w:r>
      <w:r w:rsidRPr="003B152B">
        <w:rPr>
          <w:rFonts w:eastAsia="Malgun Gothic"/>
          <w:color w:val="auto"/>
          <w:sz w:val="22"/>
          <w:szCs w:val="22"/>
          <w:lang w:val="fr-FR"/>
        </w:rPr>
        <w:t xml:space="preserve">érité, </w:t>
      </w:r>
      <w:r w:rsidR="00C30909" w:rsidRPr="003B152B">
        <w:rPr>
          <w:rFonts w:eastAsia="Malgun Gothic"/>
          <w:color w:val="auto"/>
          <w:sz w:val="22"/>
          <w:szCs w:val="22"/>
          <w:lang w:val="fr-FR"/>
        </w:rPr>
        <w:t>j</w:t>
      </w:r>
      <w:r w:rsidRPr="003B152B">
        <w:rPr>
          <w:rFonts w:eastAsia="Malgun Gothic"/>
          <w:color w:val="auto"/>
          <w:sz w:val="22"/>
          <w:szCs w:val="22"/>
          <w:lang w:val="fr-FR"/>
        </w:rPr>
        <w:t xml:space="preserve">ustice et </w:t>
      </w:r>
      <w:r w:rsidR="00C30909" w:rsidRPr="003B152B">
        <w:rPr>
          <w:rFonts w:eastAsia="Malgun Gothic"/>
          <w:color w:val="auto"/>
          <w:sz w:val="22"/>
          <w:szCs w:val="22"/>
          <w:lang w:val="fr-FR"/>
        </w:rPr>
        <w:t>r</w:t>
      </w:r>
      <w:r w:rsidRPr="003B152B">
        <w:rPr>
          <w:rFonts w:eastAsia="Malgun Gothic"/>
          <w:color w:val="auto"/>
          <w:sz w:val="22"/>
          <w:szCs w:val="22"/>
          <w:lang w:val="fr-FR"/>
        </w:rPr>
        <w:t>éconciliation</w:t>
      </w:r>
    </w:p>
    <w:p w:rsidR="005313DF" w:rsidRPr="003B152B" w:rsidRDefault="005313DF" w:rsidP="002F3564">
      <w:pPr>
        <w:pStyle w:val="Default"/>
        <w:tabs>
          <w:tab w:val="left" w:pos="1418"/>
        </w:tabs>
        <w:rPr>
          <w:rFonts w:eastAsia="Malgun Gothic"/>
          <w:color w:val="auto"/>
          <w:sz w:val="22"/>
          <w:szCs w:val="22"/>
          <w:lang w:val="fr-FR"/>
        </w:rPr>
      </w:pPr>
    </w:p>
    <w:p w:rsidR="005313DF" w:rsidRPr="003B152B" w:rsidRDefault="005313DF" w:rsidP="00D73A4B">
      <w:pPr>
        <w:pStyle w:val="Default"/>
        <w:tabs>
          <w:tab w:val="left" w:pos="567"/>
        </w:tabs>
        <w:ind w:left="360"/>
        <w:rPr>
          <w:rFonts w:eastAsia="Malgun Gothic"/>
          <w:sz w:val="22"/>
          <w:szCs w:val="22"/>
          <w:lang w:val="fr-FR" w:eastAsia="en-GB"/>
        </w:rPr>
      </w:pPr>
      <w:r w:rsidRPr="003B152B">
        <w:rPr>
          <w:rFonts w:eastAsia="Malgun Gothic"/>
          <w:sz w:val="22"/>
          <w:szCs w:val="22"/>
          <w:lang w:val="fr-FR" w:eastAsia="en-GB"/>
        </w:rPr>
        <w:t>DDH              Division des droits de l'homme</w:t>
      </w:r>
    </w:p>
    <w:p w:rsidR="00E5262D" w:rsidRPr="003B152B" w:rsidRDefault="00E5262D" w:rsidP="00D73A4B">
      <w:pPr>
        <w:pStyle w:val="Default"/>
        <w:tabs>
          <w:tab w:val="left" w:pos="567"/>
        </w:tabs>
        <w:ind w:left="360"/>
        <w:rPr>
          <w:rFonts w:eastAsia="Malgun Gothic"/>
          <w:sz w:val="22"/>
          <w:szCs w:val="22"/>
          <w:lang w:val="fr-FR" w:eastAsia="en-GB"/>
        </w:rPr>
      </w:pPr>
    </w:p>
    <w:p w:rsidR="005313DF" w:rsidRPr="003B152B" w:rsidRDefault="005313DF" w:rsidP="00D73A4B">
      <w:pPr>
        <w:pStyle w:val="ListParagraph"/>
        <w:tabs>
          <w:tab w:val="left" w:pos="567"/>
        </w:tabs>
        <w:spacing w:line="240" w:lineRule="auto"/>
        <w:ind w:left="360"/>
        <w:rPr>
          <w:rFonts w:ascii="Times New Roman" w:hAnsi="Times New Roman"/>
          <w:b/>
          <w:bCs/>
          <w:lang w:val="fr-ML"/>
        </w:rPr>
      </w:pPr>
      <w:r w:rsidRPr="003B152B">
        <w:rPr>
          <w:rFonts w:ascii="Times New Roman" w:eastAsia="Malgun Gothic" w:hAnsi="Times New Roman"/>
          <w:lang w:eastAsia="en-GB"/>
        </w:rPr>
        <w:t xml:space="preserve">DTM   </w:t>
      </w:r>
      <w:r w:rsidRPr="003B152B">
        <w:rPr>
          <w:rFonts w:ascii="Times New Roman" w:hAnsi="Times New Roman"/>
        </w:rPr>
        <w:t xml:space="preserve">           Matrice de suivi des déplacements</w:t>
      </w:r>
    </w:p>
    <w:p w:rsidR="005313DF" w:rsidRPr="003B152B" w:rsidRDefault="005313DF" w:rsidP="00D73A4B">
      <w:pPr>
        <w:pStyle w:val="Default"/>
        <w:tabs>
          <w:tab w:val="left" w:pos="567"/>
        </w:tabs>
        <w:ind w:left="360"/>
        <w:rPr>
          <w:rFonts w:eastAsia="Malgun Gothic"/>
          <w:sz w:val="22"/>
          <w:szCs w:val="22"/>
          <w:lang w:val="fr-FR"/>
        </w:rPr>
      </w:pPr>
      <w:r w:rsidRPr="003B152B">
        <w:rPr>
          <w:rFonts w:eastAsia="Malgun Gothic"/>
          <w:sz w:val="22"/>
          <w:szCs w:val="22"/>
          <w:lang w:val="fr-FR" w:eastAsia="en-GB"/>
        </w:rPr>
        <w:t xml:space="preserve">EID                </w:t>
      </w:r>
      <w:r w:rsidRPr="003B152B">
        <w:rPr>
          <w:rFonts w:eastAsia="Malgun Gothic"/>
          <w:sz w:val="22"/>
          <w:szCs w:val="22"/>
          <w:lang w:val="fr-FR"/>
        </w:rPr>
        <w:t xml:space="preserve">Espace d’interpellation </w:t>
      </w:r>
      <w:r w:rsidR="00146EC1" w:rsidRPr="003B152B">
        <w:rPr>
          <w:rFonts w:eastAsia="Malgun Gothic"/>
          <w:sz w:val="22"/>
          <w:szCs w:val="22"/>
          <w:lang w:val="fr-FR"/>
        </w:rPr>
        <w:t>d</w:t>
      </w:r>
      <w:r w:rsidRPr="003B152B">
        <w:rPr>
          <w:rFonts w:eastAsia="Malgun Gothic"/>
          <w:sz w:val="22"/>
          <w:szCs w:val="22"/>
          <w:lang w:val="fr-FR"/>
        </w:rPr>
        <w:t>émocratique</w:t>
      </w:r>
    </w:p>
    <w:p w:rsidR="00E5262D" w:rsidRPr="003B152B" w:rsidRDefault="00E5262D" w:rsidP="00D73A4B">
      <w:pPr>
        <w:pStyle w:val="Default"/>
        <w:tabs>
          <w:tab w:val="left" w:pos="567"/>
        </w:tabs>
        <w:ind w:left="360"/>
        <w:rPr>
          <w:rFonts w:eastAsia="Malgun Gothic"/>
          <w:sz w:val="22"/>
          <w:szCs w:val="22"/>
          <w:lang w:val="fr-FR" w:eastAsia="en-GB"/>
        </w:rPr>
      </w:pPr>
    </w:p>
    <w:p w:rsidR="005313DF" w:rsidRPr="003B152B" w:rsidRDefault="005313DF" w:rsidP="00D73A4B">
      <w:pPr>
        <w:pStyle w:val="Default"/>
        <w:tabs>
          <w:tab w:val="left" w:pos="567"/>
        </w:tabs>
        <w:ind w:left="360"/>
        <w:rPr>
          <w:rFonts w:eastAsia="Malgun Gothic"/>
          <w:bCs/>
          <w:iCs/>
          <w:sz w:val="22"/>
          <w:szCs w:val="22"/>
          <w:lang w:val="fr-FR" w:bidi="th-TH"/>
        </w:rPr>
      </w:pPr>
      <w:r w:rsidRPr="003B152B">
        <w:rPr>
          <w:rFonts w:eastAsia="Malgun Gothic"/>
          <w:sz w:val="22"/>
          <w:szCs w:val="22"/>
          <w:lang w:val="fr-FR" w:eastAsia="en-GB"/>
        </w:rPr>
        <w:t xml:space="preserve">EMP              </w:t>
      </w:r>
      <w:r w:rsidR="002F3564" w:rsidRPr="003B152B">
        <w:rPr>
          <w:rFonts w:eastAsia="Malgun Gothic"/>
          <w:sz w:val="22"/>
          <w:szCs w:val="22"/>
          <w:lang w:val="fr-FR" w:eastAsia="en-GB"/>
        </w:rPr>
        <w:t xml:space="preserve"> </w:t>
      </w:r>
      <w:r w:rsidRPr="003B152B">
        <w:rPr>
          <w:rFonts w:eastAsia="Malgun Gothic"/>
          <w:bCs/>
          <w:iCs/>
          <w:sz w:val="22"/>
          <w:szCs w:val="22"/>
          <w:lang w:val="fr-FR" w:bidi="th-TH"/>
        </w:rPr>
        <w:t xml:space="preserve">Ecole de </w:t>
      </w:r>
      <w:r w:rsidR="00146EC1" w:rsidRPr="003B152B">
        <w:rPr>
          <w:rFonts w:eastAsia="Malgun Gothic"/>
          <w:bCs/>
          <w:iCs/>
          <w:sz w:val="22"/>
          <w:szCs w:val="22"/>
          <w:lang w:val="fr-FR" w:bidi="th-TH"/>
        </w:rPr>
        <w:t>m</w:t>
      </w:r>
      <w:r w:rsidRPr="003B152B">
        <w:rPr>
          <w:rFonts w:eastAsia="Malgun Gothic"/>
          <w:bCs/>
          <w:iCs/>
          <w:sz w:val="22"/>
          <w:szCs w:val="22"/>
          <w:lang w:val="fr-FR" w:bidi="th-TH"/>
        </w:rPr>
        <w:t xml:space="preserve">aintien de la </w:t>
      </w:r>
      <w:r w:rsidR="00146EC1" w:rsidRPr="003B152B">
        <w:rPr>
          <w:rFonts w:eastAsia="Malgun Gothic"/>
          <w:bCs/>
          <w:iCs/>
          <w:sz w:val="22"/>
          <w:szCs w:val="22"/>
          <w:lang w:val="fr-FR" w:bidi="th-TH"/>
        </w:rPr>
        <w:t>p</w:t>
      </w:r>
      <w:r w:rsidRPr="003B152B">
        <w:rPr>
          <w:rFonts w:eastAsia="Malgun Gothic"/>
          <w:bCs/>
          <w:iCs/>
          <w:sz w:val="22"/>
          <w:szCs w:val="22"/>
          <w:lang w:val="fr-FR" w:bidi="th-TH"/>
        </w:rPr>
        <w:t xml:space="preserve">aix </w:t>
      </w:r>
      <w:r w:rsidRPr="003B152B">
        <w:rPr>
          <w:rFonts w:eastAsia="Malgun Gothic"/>
          <w:bCs/>
          <w:i/>
          <w:iCs/>
          <w:sz w:val="22"/>
          <w:szCs w:val="22"/>
          <w:lang w:val="fr-FR" w:bidi="th-TH"/>
        </w:rPr>
        <w:t xml:space="preserve">Alioune Blondin Bèye </w:t>
      </w:r>
      <w:r w:rsidRPr="003B152B">
        <w:rPr>
          <w:rFonts w:eastAsia="Malgun Gothic"/>
          <w:bCs/>
          <w:iCs/>
          <w:sz w:val="22"/>
          <w:szCs w:val="22"/>
          <w:lang w:val="fr-FR" w:bidi="th-TH"/>
        </w:rPr>
        <w:t>de Bamako</w:t>
      </w:r>
    </w:p>
    <w:p w:rsidR="00E5262D" w:rsidRPr="003B152B" w:rsidRDefault="00E5262D" w:rsidP="00D73A4B">
      <w:pPr>
        <w:pStyle w:val="Default"/>
        <w:tabs>
          <w:tab w:val="left" w:pos="567"/>
        </w:tabs>
        <w:ind w:left="360"/>
        <w:rPr>
          <w:rFonts w:eastAsia="Malgun Gothic"/>
          <w:color w:val="auto"/>
          <w:sz w:val="22"/>
          <w:szCs w:val="22"/>
          <w:lang w:val="fr-FR"/>
        </w:rPr>
      </w:pPr>
    </w:p>
    <w:p w:rsidR="005313DF" w:rsidRPr="003B152B" w:rsidRDefault="005313DF" w:rsidP="00D73A4B">
      <w:pPr>
        <w:pStyle w:val="Default"/>
        <w:tabs>
          <w:tab w:val="left" w:pos="567"/>
        </w:tabs>
        <w:ind w:left="360"/>
        <w:rPr>
          <w:rFonts w:eastAsia="Malgun Gothic"/>
          <w:color w:val="auto"/>
          <w:sz w:val="22"/>
          <w:szCs w:val="22"/>
          <w:lang w:val="fr-CH"/>
        </w:rPr>
      </w:pPr>
      <w:r w:rsidRPr="003B152B">
        <w:rPr>
          <w:rFonts w:eastAsia="Malgun Gothic"/>
          <w:color w:val="auto"/>
          <w:sz w:val="22"/>
          <w:szCs w:val="22"/>
          <w:lang w:val="fr-CH"/>
        </w:rPr>
        <w:t xml:space="preserve">EUTM           </w:t>
      </w:r>
      <w:r w:rsidR="002F3564" w:rsidRPr="003B152B">
        <w:rPr>
          <w:rFonts w:eastAsia="Malgun Gothic"/>
          <w:color w:val="auto"/>
          <w:sz w:val="22"/>
          <w:szCs w:val="22"/>
          <w:lang w:val="fr-CH"/>
        </w:rPr>
        <w:t xml:space="preserve"> </w:t>
      </w:r>
      <w:r w:rsidR="00EA49E3" w:rsidRPr="003B152B">
        <w:rPr>
          <w:rFonts w:eastAsia="Malgun Gothic"/>
          <w:color w:val="auto"/>
          <w:sz w:val="22"/>
          <w:szCs w:val="22"/>
          <w:lang w:val="fr-CH"/>
        </w:rPr>
        <w:t>Mission</w:t>
      </w:r>
      <w:r w:rsidR="00920C43" w:rsidRPr="003B152B">
        <w:rPr>
          <w:rFonts w:eastAsia="Malgun Gothic"/>
          <w:color w:val="auto"/>
          <w:sz w:val="22"/>
          <w:szCs w:val="22"/>
          <w:lang w:val="fr-CH"/>
        </w:rPr>
        <w:t xml:space="preserve"> de formation de l’Union</w:t>
      </w:r>
      <w:r w:rsidR="00EA49E3" w:rsidRPr="003B152B">
        <w:rPr>
          <w:rFonts w:eastAsia="Malgun Gothic"/>
          <w:color w:val="auto"/>
          <w:sz w:val="22"/>
          <w:szCs w:val="22"/>
          <w:lang w:val="fr-CH"/>
        </w:rPr>
        <w:t xml:space="preserve"> européenne </w:t>
      </w:r>
      <w:r w:rsidR="00920C43" w:rsidRPr="003B152B">
        <w:rPr>
          <w:rFonts w:eastAsia="Malgun Gothic"/>
          <w:color w:val="auto"/>
          <w:sz w:val="22"/>
          <w:szCs w:val="22"/>
          <w:lang w:val="fr-CH"/>
        </w:rPr>
        <w:t>au Mali</w:t>
      </w:r>
      <w:r w:rsidR="00920C43" w:rsidRPr="003B152B">
        <w:rPr>
          <w:rFonts w:eastAsia="Malgun Gothic"/>
          <w:color w:val="auto"/>
          <w:sz w:val="22"/>
          <w:szCs w:val="22"/>
          <w:lang w:val="fr-CH"/>
        </w:rPr>
        <w:br/>
      </w:r>
    </w:p>
    <w:p w:rsidR="005313DF" w:rsidRPr="003B152B" w:rsidRDefault="005313DF" w:rsidP="00D73A4B">
      <w:pPr>
        <w:pStyle w:val="ListParagraph"/>
        <w:keepNext/>
        <w:shd w:val="clear" w:color="auto" w:fill="FFFFFF"/>
        <w:tabs>
          <w:tab w:val="left" w:pos="567"/>
        </w:tabs>
        <w:spacing w:after="0" w:line="240" w:lineRule="auto"/>
        <w:ind w:left="360"/>
        <w:outlineLvl w:val="0"/>
        <w:rPr>
          <w:rFonts w:ascii="Times New Roman" w:eastAsia="Malgun Gothic" w:hAnsi="Times New Roman"/>
          <w:lang w:eastAsia="en-GB"/>
        </w:rPr>
      </w:pPr>
      <w:r w:rsidRPr="003B152B">
        <w:rPr>
          <w:rFonts w:ascii="Times New Roman" w:eastAsia="Malgun Gothic" w:hAnsi="Times New Roman"/>
          <w:lang w:eastAsia="en-GB"/>
        </w:rPr>
        <w:lastRenderedPageBreak/>
        <w:t xml:space="preserve">FAMa            </w:t>
      </w:r>
      <w:r w:rsidR="002F3564" w:rsidRPr="003B152B">
        <w:rPr>
          <w:rFonts w:ascii="Times New Roman" w:eastAsia="Malgun Gothic" w:hAnsi="Times New Roman"/>
          <w:lang w:eastAsia="en-GB"/>
        </w:rPr>
        <w:t xml:space="preserve"> </w:t>
      </w:r>
      <w:r w:rsidRPr="003B152B">
        <w:rPr>
          <w:rFonts w:ascii="Times New Roman" w:eastAsia="Malgun Gothic" w:hAnsi="Times New Roman"/>
          <w:lang w:eastAsia="en-GB"/>
        </w:rPr>
        <w:t xml:space="preserve">Forces armées et de sécurité du Mali </w:t>
      </w:r>
    </w:p>
    <w:p w:rsidR="005313DF" w:rsidRPr="003B152B" w:rsidRDefault="005313DF" w:rsidP="00D73A4B">
      <w:pPr>
        <w:pStyle w:val="ListParagraph"/>
        <w:keepNext/>
        <w:shd w:val="clear" w:color="auto" w:fill="FFFFFF"/>
        <w:tabs>
          <w:tab w:val="left" w:pos="567"/>
        </w:tabs>
        <w:spacing w:after="0" w:line="240" w:lineRule="auto"/>
        <w:ind w:left="360"/>
        <w:outlineLvl w:val="0"/>
        <w:rPr>
          <w:rFonts w:ascii="Times New Roman" w:eastAsia="Malgun Gothic" w:hAnsi="Times New Roman"/>
          <w:lang w:eastAsia="en-GB"/>
        </w:rPr>
      </w:pPr>
    </w:p>
    <w:p w:rsidR="005313DF" w:rsidRPr="003B152B" w:rsidRDefault="005313DF" w:rsidP="00D73A4B">
      <w:pPr>
        <w:pStyle w:val="ListParagraph"/>
        <w:keepNext/>
        <w:shd w:val="clear" w:color="auto" w:fill="FFFFFF"/>
        <w:tabs>
          <w:tab w:val="left" w:pos="567"/>
        </w:tabs>
        <w:spacing w:after="0" w:line="240" w:lineRule="auto"/>
        <w:ind w:left="360"/>
        <w:outlineLvl w:val="0"/>
        <w:rPr>
          <w:rFonts w:ascii="Times New Roman" w:eastAsia="Malgun Gothic" w:hAnsi="Times New Roman"/>
          <w:lang w:eastAsia="en-GB"/>
        </w:rPr>
      </w:pPr>
      <w:r w:rsidRPr="003B152B">
        <w:rPr>
          <w:rFonts w:ascii="Times New Roman" w:eastAsia="Malgun Gothic" w:hAnsi="Times New Roman"/>
          <w:lang w:eastAsia="en-GB"/>
        </w:rPr>
        <w:t xml:space="preserve">GTIA    </w:t>
      </w:r>
      <w:r w:rsidRPr="003B152B">
        <w:rPr>
          <w:rFonts w:ascii="Times New Roman" w:eastAsia="Malgun Gothic" w:hAnsi="Times New Roman"/>
        </w:rPr>
        <w:t xml:space="preserve">         </w:t>
      </w:r>
      <w:r w:rsidR="002F3564" w:rsidRPr="003B152B">
        <w:rPr>
          <w:rFonts w:ascii="Times New Roman" w:eastAsia="Malgun Gothic" w:hAnsi="Times New Roman"/>
        </w:rPr>
        <w:t xml:space="preserve"> </w:t>
      </w:r>
      <w:r w:rsidRPr="003B152B">
        <w:rPr>
          <w:rFonts w:ascii="Times New Roman" w:eastAsia="Malgun Gothic" w:hAnsi="Times New Roman"/>
        </w:rPr>
        <w:t xml:space="preserve">Groupements </w:t>
      </w:r>
      <w:r w:rsidR="00146EC1" w:rsidRPr="003B152B">
        <w:rPr>
          <w:rFonts w:ascii="Times New Roman" w:eastAsia="Malgun Gothic" w:hAnsi="Times New Roman"/>
        </w:rPr>
        <w:t>t</w:t>
      </w:r>
      <w:r w:rsidRPr="003B152B">
        <w:rPr>
          <w:rFonts w:ascii="Times New Roman" w:eastAsia="Malgun Gothic" w:hAnsi="Times New Roman"/>
        </w:rPr>
        <w:t>actiques Interarmes</w:t>
      </w:r>
    </w:p>
    <w:p w:rsidR="005313DF" w:rsidRPr="003B152B" w:rsidRDefault="005313DF" w:rsidP="00D73A4B">
      <w:pPr>
        <w:pStyle w:val="ListParagraph"/>
        <w:keepNext/>
        <w:shd w:val="clear" w:color="auto" w:fill="FFFFFF"/>
        <w:tabs>
          <w:tab w:val="left" w:pos="567"/>
        </w:tabs>
        <w:spacing w:after="0" w:line="240" w:lineRule="auto"/>
        <w:ind w:left="360"/>
        <w:outlineLvl w:val="0"/>
        <w:rPr>
          <w:rFonts w:ascii="Times New Roman" w:eastAsia="Malgun Gothic" w:hAnsi="Times New Roman"/>
          <w:lang w:eastAsia="en-GB"/>
        </w:rPr>
      </w:pPr>
    </w:p>
    <w:p w:rsidR="005313DF" w:rsidRPr="003B152B" w:rsidRDefault="005313DF" w:rsidP="00D73A4B">
      <w:pPr>
        <w:pStyle w:val="ListParagraph"/>
        <w:tabs>
          <w:tab w:val="left" w:pos="567"/>
        </w:tabs>
        <w:spacing w:line="240" w:lineRule="auto"/>
        <w:ind w:left="360"/>
        <w:rPr>
          <w:rFonts w:ascii="Times New Roman" w:eastAsia="Malgun Gothic" w:hAnsi="Times New Roman"/>
          <w:b/>
        </w:rPr>
      </w:pPr>
      <w:r w:rsidRPr="003B152B">
        <w:rPr>
          <w:rFonts w:ascii="Times New Roman" w:eastAsia="Malgun Gothic" w:hAnsi="Times New Roman"/>
          <w:lang w:eastAsia="en-GB"/>
        </w:rPr>
        <w:t xml:space="preserve">HCDH           </w:t>
      </w:r>
      <w:r w:rsidR="002F3564" w:rsidRPr="003B152B">
        <w:rPr>
          <w:rFonts w:ascii="Times New Roman" w:eastAsia="Malgun Gothic" w:hAnsi="Times New Roman"/>
          <w:lang w:eastAsia="en-GB"/>
        </w:rPr>
        <w:t xml:space="preserve"> </w:t>
      </w:r>
      <w:r w:rsidRPr="003B152B">
        <w:rPr>
          <w:rFonts w:ascii="Times New Roman" w:eastAsia="Malgun Gothic" w:hAnsi="Times New Roman"/>
          <w:lang w:eastAsia="en-GB"/>
        </w:rPr>
        <w:t xml:space="preserve">Haut-Commissariat </w:t>
      </w:r>
      <w:r w:rsidR="00146EC1" w:rsidRPr="003B152B">
        <w:rPr>
          <w:rFonts w:ascii="Times New Roman" w:eastAsia="Malgun Gothic" w:hAnsi="Times New Roman"/>
          <w:lang w:eastAsia="en-GB"/>
        </w:rPr>
        <w:t xml:space="preserve">des Nations unies </w:t>
      </w:r>
      <w:r w:rsidRPr="003B152B">
        <w:rPr>
          <w:rFonts w:ascii="Times New Roman" w:eastAsia="Malgun Gothic" w:hAnsi="Times New Roman"/>
          <w:lang w:eastAsia="en-GB"/>
        </w:rPr>
        <w:t>aux droits de l’homme</w:t>
      </w:r>
    </w:p>
    <w:p w:rsidR="005313DF" w:rsidRPr="003B152B" w:rsidRDefault="005313DF" w:rsidP="00D73A4B">
      <w:pPr>
        <w:pStyle w:val="ListParagraph"/>
        <w:keepNext/>
        <w:shd w:val="clear" w:color="auto" w:fill="FFFFFF"/>
        <w:tabs>
          <w:tab w:val="left" w:pos="567"/>
        </w:tabs>
        <w:spacing w:after="0" w:line="240" w:lineRule="auto"/>
        <w:ind w:left="360"/>
        <w:outlineLvl w:val="0"/>
        <w:rPr>
          <w:rFonts w:ascii="Times New Roman" w:eastAsia="Malgun Gothic" w:hAnsi="Times New Roman"/>
          <w:b/>
        </w:rPr>
      </w:pPr>
    </w:p>
    <w:p w:rsidR="005313DF" w:rsidRPr="003B152B" w:rsidRDefault="005313DF" w:rsidP="00D73A4B">
      <w:pPr>
        <w:pStyle w:val="ListParagraph"/>
        <w:keepNext/>
        <w:shd w:val="clear" w:color="auto" w:fill="FFFFFF"/>
        <w:tabs>
          <w:tab w:val="left" w:pos="567"/>
        </w:tabs>
        <w:spacing w:after="0" w:line="240" w:lineRule="auto"/>
        <w:ind w:left="360"/>
        <w:outlineLvl w:val="0"/>
        <w:rPr>
          <w:rFonts w:ascii="Times New Roman" w:eastAsia="Malgun Gothic" w:hAnsi="Times New Roman"/>
        </w:rPr>
      </w:pPr>
      <w:r w:rsidRPr="003B152B">
        <w:rPr>
          <w:rFonts w:ascii="Times New Roman" w:eastAsia="Malgun Gothic" w:hAnsi="Times New Roman"/>
        </w:rPr>
        <w:t xml:space="preserve">HCR             </w:t>
      </w:r>
      <w:r w:rsidR="002F3564" w:rsidRPr="003B152B">
        <w:rPr>
          <w:rFonts w:ascii="Times New Roman" w:eastAsia="Malgun Gothic" w:hAnsi="Times New Roman"/>
        </w:rPr>
        <w:t xml:space="preserve"> </w:t>
      </w:r>
      <w:r w:rsidRPr="003B152B">
        <w:rPr>
          <w:rFonts w:ascii="Times New Roman" w:eastAsia="Malgun Gothic" w:hAnsi="Times New Roman"/>
        </w:rPr>
        <w:t xml:space="preserve"> Haut-Commissariat des Nations unies pour les réfugiés </w:t>
      </w:r>
    </w:p>
    <w:p w:rsidR="005313DF" w:rsidRPr="003B152B" w:rsidRDefault="005313DF" w:rsidP="00D73A4B">
      <w:pPr>
        <w:pStyle w:val="ListParagraph"/>
        <w:keepNext/>
        <w:shd w:val="clear" w:color="auto" w:fill="FFFFFF"/>
        <w:tabs>
          <w:tab w:val="left" w:pos="567"/>
        </w:tabs>
        <w:spacing w:after="0" w:line="240" w:lineRule="auto"/>
        <w:ind w:left="360"/>
        <w:outlineLvl w:val="0"/>
        <w:rPr>
          <w:rFonts w:ascii="Times New Roman" w:eastAsia="Malgun Gothic" w:hAnsi="Times New Roman"/>
        </w:rPr>
      </w:pPr>
    </w:p>
    <w:p w:rsidR="005313DF" w:rsidRPr="003B152B" w:rsidRDefault="005313DF" w:rsidP="00D73A4B">
      <w:pPr>
        <w:pStyle w:val="ListParagraph"/>
        <w:keepNext/>
        <w:shd w:val="clear" w:color="auto" w:fill="FFFFFF"/>
        <w:tabs>
          <w:tab w:val="left" w:pos="567"/>
        </w:tabs>
        <w:spacing w:after="0" w:line="240" w:lineRule="auto"/>
        <w:ind w:left="360"/>
        <w:outlineLvl w:val="0"/>
        <w:rPr>
          <w:rFonts w:ascii="Times New Roman" w:eastAsia="Malgun Gothic" w:hAnsi="Times New Roman"/>
        </w:rPr>
      </w:pPr>
      <w:r w:rsidRPr="003B152B">
        <w:rPr>
          <w:rFonts w:ascii="Times New Roman" w:eastAsia="Malgun Gothic" w:hAnsi="Times New Roman"/>
        </w:rPr>
        <w:t xml:space="preserve">HCUA           </w:t>
      </w:r>
      <w:r w:rsidR="002F3564" w:rsidRPr="003B152B">
        <w:rPr>
          <w:rFonts w:ascii="Times New Roman" w:eastAsia="Malgun Gothic" w:hAnsi="Times New Roman"/>
        </w:rPr>
        <w:t xml:space="preserve"> </w:t>
      </w:r>
      <w:r w:rsidRPr="003B152B">
        <w:rPr>
          <w:rFonts w:ascii="Times New Roman" w:eastAsia="Malgun Gothic" w:hAnsi="Times New Roman"/>
        </w:rPr>
        <w:t xml:space="preserve">Haut </w:t>
      </w:r>
      <w:r w:rsidR="00146EC1" w:rsidRPr="003B152B">
        <w:rPr>
          <w:rFonts w:ascii="Times New Roman" w:eastAsia="Malgun Gothic" w:hAnsi="Times New Roman"/>
        </w:rPr>
        <w:t>c</w:t>
      </w:r>
      <w:r w:rsidRPr="003B152B">
        <w:rPr>
          <w:rFonts w:ascii="Times New Roman" w:eastAsia="Malgun Gothic" w:hAnsi="Times New Roman"/>
        </w:rPr>
        <w:t>onseil pour unité de l’Azawad</w:t>
      </w:r>
    </w:p>
    <w:p w:rsidR="005313DF" w:rsidRPr="003B152B" w:rsidRDefault="005313DF" w:rsidP="00D73A4B">
      <w:pPr>
        <w:pStyle w:val="ListParagraph"/>
        <w:keepNext/>
        <w:shd w:val="clear" w:color="auto" w:fill="FFFFFF"/>
        <w:tabs>
          <w:tab w:val="left" w:pos="567"/>
          <w:tab w:val="left" w:pos="4633"/>
        </w:tabs>
        <w:spacing w:after="0" w:line="240" w:lineRule="auto"/>
        <w:ind w:left="360"/>
        <w:outlineLvl w:val="0"/>
        <w:rPr>
          <w:rFonts w:ascii="Times New Roman" w:eastAsia="Malgun Gothic" w:hAnsi="Times New Roman"/>
        </w:rPr>
      </w:pPr>
    </w:p>
    <w:p w:rsidR="005313DF" w:rsidRPr="003B152B" w:rsidRDefault="005313DF" w:rsidP="00D73A4B">
      <w:pPr>
        <w:pStyle w:val="Default"/>
        <w:tabs>
          <w:tab w:val="left" w:pos="567"/>
        </w:tabs>
        <w:ind w:left="360"/>
        <w:rPr>
          <w:rFonts w:eastAsia="Malgun Gothic"/>
          <w:color w:val="auto"/>
          <w:sz w:val="22"/>
          <w:szCs w:val="22"/>
          <w:lang w:val="fr-FR"/>
        </w:rPr>
      </w:pPr>
      <w:r w:rsidRPr="003B152B">
        <w:rPr>
          <w:rFonts w:eastAsia="Malgun Gothic"/>
          <w:color w:val="auto"/>
          <w:sz w:val="22"/>
          <w:szCs w:val="22"/>
          <w:lang w:val="fr-FR"/>
        </w:rPr>
        <w:t xml:space="preserve">MAA             </w:t>
      </w:r>
      <w:r w:rsidR="002F3564" w:rsidRPr="003B152B">
        <w:rPr>
          <w:rFonts w:eastAsia="Malgun Gothic"/>
          <w:color w:val="auto"/>
          <w:sz w:val="22"/>
          <w:szCs w:val="22"/>
          <w:lang w:val="fr-FR"/>
        </w:rPr>
        <w:t xml:space="preserve"> </w:t>
      </w:r>
      <w:r w:rsidRPr="003B152B">
        <w:rPr>
          <w:rFonts w:eastAsia="Malgun Gothic"/>
          <w:color w:val="auto"/>
          <w:sz w:val="22"/>
          <w:szCs w:val="22"/>
          <w:lang w:val="fr-FR"/>
        </w:rPr>
        <w:t xml:space="preserve">Mouvement </w:t>
      </w:r>
      <w:r w:rsidR="00146EC1" w:rsidRPr="003B152B">
        <w:rPr>
          <w:rFonts w:eastAsia="Malgun Gothic"/>
          <w:color w:val="auto"/>
          <w:sz w:val="22"/>
          <w:szCs w:val="22"/>
          <w:lang w:val="fr-FR"/>
        </w:rPr>
        <w:t>a</w:t>
      </w:r>
      <w:r w:rsidRPr="003B152B">
        <w:rPr>
          <w:rFonts w:eastAsia="Malgun Gothic"/>
          <w:color w:val="auto"/>
          <w:sz w:val="22"/>
          <w:szCs w:val="22"/>
          <w:lang w:val="fr-FR"/>
        </w:rPr>
        <w:t>rabe de l’Azawad</w:t>
      </w:r>
    </w:p>
    <w:p w:rsidR="005313DF" w:rsidRPr="003B152B" w:rsidRDefault="005313DF" w:rsidP="00D73A4B">
      <w:pPr>
        <w:pStyle w:val="Default"/>
        <w:tabs>
          <w:tab w:val="left" w:pos="567"/>
        </w:tabs>
        <w:ind w:left="360"/>
        <w:rPr>
          <w:rFonts w:eastAsia="Malgun Gothic"/>
          <w:color w:val="auto"/>
          <w:sz w:val="22"/>
          <w:szCs w:val="22"/>
          <w:lang w:val="fr-FR"/>
        </w:rPr>
      </w:pPr>
    </w:p>
    <w:p w:rsidR="005313DF" w:rsidRPr="003B152B" w:rsidRDefault="005313DF" w:rsidP="00D73A4B">
      <w:pPr>
        <w:pStyle w:val="ListParagraph"/>
        <w:tabs>
          <w:tab w:val="left" w:pos="567"/>
        </w:tabs>
        <w:spacing w:line="240" w:lineRule="auto"/>
        <w:ind w:left="360"/>
        <w:rPr>
          <w:rStyle w:val="st"/>
          <w:rFonts w:ascii="Times New Roman" w:hAnsi="Times New Roman"/>
          <w:lang w:val="fr-ML"/>
        </w:rPr>
      </w:pPr>
      <w:r w:rsidRPr="003B152B">
        <w:rPr>
          <w:rFonts w:ascii="Times New Roman" w:hAnsi="Times New Roman"/>
          <w:bCs/>
        </w:rPr>
        <w:t xml:space="preserve">MARA        </w:t>
      </w:r>
      <w:r w:rsidR="00F65458" w:rsidRPr="003B152B">
        <w:rPr>
          <w:rFonts w:ascii="Times New Roman" w:hAnsi="Times New Roman"/>
          <w:bCs/>
        </w:rPr>
        <w:t xml:space="preserve"> </w:t>
      </w:r>
      <w:r w:rsidRPr="003B152B">
        <w:rPr>
          <w:rFonts w:ascii="Times New Roman" w:hAnsi="Times New Roman"/>
          <w:bCs/>
        </w:rPr>
        <w:t xml:space="preserve"> </w:t>
      </w:r>
      <w:r w:rsidR="002F3564" w:rsidRPr="003B152B">
        <w:rPr>
          <w:rFonts w:ascii="Times New Roman" w:hAnsi="Times New Roman"/>
          <w:bCs/>
        </w:rPr>
        <w:t xml:space="preserve"> </w:t>
      </w:r>
      <w:r w:rsidRPr="003B152B">
        <w:rPr>
          <w:rStyle w:val="Emphasis"/>
          <w:rFonts w:ascii="Times New Roman" w:hAnsi="Times New Roman"/>
          <w:b w:val="0"/>
          <w:lang w:val="fr-ML"/>
        </w:rPr>
        <w:t>Arrangements</w:t>
      </w:r>
      <w:r w:rsidRPr="003B152B">
        <w:rPr>
          <w:rStyle w:val="st"/>
          <w:rFonts w:ascii="Times New Roman" w:hAnsi="Times New Roman"/>
          <w:lang w:val="fr-ML"/>
        </w:rPr>
        <w:t xml:space="preserve"> de </w:t>
      </w:r>
      <w:r w:rsidRPr="003B152B">
        <w:rPr>
          <w:rStyle w:val="st"/>
          <w:rFonts w:ascii="Times New Roman" w:hAnsi="Times New Roman"/>
          <w:bCs/>
          <w:lang w:val="fr-ML"/>
        </w:rPr>
        <w:t>suivi</w:t>
      </w:r>
      <w:r w:rsidRPr="003B152B">
        <w:rPr>
          <w:rStyle w:val="st"/>
          <w:rFonts w:ascii="Times New Roman" w:hAnsi="Times New Roman"/>
          <w:lang w:val="fr-ML"/>
        </w:rPr>
        <w:t>,</w:t>
      </w:r>
      <w:r w:rsidRPr="003B152B">
        <w:rPr>
          <w:rStyle w:val="st"/>
          <w:rFonts w:ascii="Times New Roman" w:hAnsi="Times New Roman"/>
          <w:b/>
          <w:lang w:val="fr-ML"/>
        </w:rPr>
        <w:t xml:space="preserve"> </w:t>
      </w:r>
      <w:r w:rsidRPr="003B152B">
        <w:rPr>
          <w:rStyle w:val="st"/>
          <w:rFonts w:ascii="Times New Roman" w:hAnsi="Times New Roman"/>
          <w:lang w:val="fr-ML"/>
        </w:rPr>
        <w:t>d'</w:t>
      </w:r>
      <w:r w:rsidRPr="003B152B">
        <w:rPr>
          <w:rStyle w:val="Emphasis"/>
          <w:rFonts w:ascii="Times New Roman" w:hAnsi="Times New Roman"/>
          <w:b w:val="0"/>
          <w:lang w:val="fr-ML"/>
        </w:rPr>
        <w:t>analyse</w:t>
      </w:r>
      <w:r w:rsidRPr="003B152B">
        <w:rPr>
          <w:rStyle w:val="st"/>
          <w:rFonts w:ascii="Times New Roman" w:hAnsi="Times New Roman"/>
          <w:lang w:val="fr-ML"/>
        </w:rPr>
        <w:t xml:space="preserve"> et de </w:t>
      </w:r>
      <w:r w:rsidRPr="003B152B">
        <w:rPr>
          <w:rStyle w:val="st"/>
          <w:rFonts w:ascii="Times New Roman" w:hAnsi="Times New Roman"/>
          <w:bCs/>
          <w:lang w:val="fr-ML"/>
        </w:rPr>
        <w:t xml:space="preserve">communication </w:t>
      </w:r>
      <w:r w:rsidRPr="003B152B">
        <w:rPr>
          <w:rStyle w:val="st"/>
          <w:rFonts w:ascii="Times New Roman" w:hAnsi="Times New Roman"/>
          <w:lang w:val="fr-ML"/>
        </w:rPr>
        <w:t xml:space="preserve">de l'information sur la </w:t>
      </w:r>
    </w:p>
    <w:p w:rsidR="005313DF" w:rsidRPr="003B152B" w:rsidRDefault="005B1CBD" w:rsidP="00F65458">
      <w:pPr>
        <w:pStyle w:val="ListParagraph"/>
        <w:tabs>
          <w:tab w:val="left" w:pos="1418"/>
        </w:tabs>
        <w:spacing w:line="240" w:lineRule="auto"/>
        <w:ind w:left="360"/>
        <w:rPr>
          <w:rFonts w:ascii="Times New Roman" w:eastAsia="Malgun Gothic" w:hAnsi="Times New Roman"/>
        </w:rPr>
      </w:pPr>
      <w:r w:rsidRPr="003B152B">
        <w:rPr>
          <w:rStyle w:val="st"/>
          <w:rFonts w:ascii="Times New Roman" w:hAnsi="Times New Roman"/>
          <w:lang w:val="fr-ML"/>
        </w:rPr>
        <w:tab/>
      </w:r>
      <w:r w:rsidR="00785F0D">
        <w:rPr>
          <w:rStyle w:val="st"/>
          <w:rFonts w:ascii="Times New Roman" w:hAnsi="Times New Roman"/>
          <w:lang w:val="fr-ML"/>
        </w:rPr>
        <w:t xml:space="preserve">    </w:t>
      </w:r>
      <w:r w:rsidR="005313DF" w:rsidRPr="003B152B">
        <w:rPr>
          <w:rStyle w:val="st"/>
          <w:rFonts w:ascii="Times New Roman" w:hAnsi="Times New Roman"/>
          <w:lang w:val="fr-ML"/>
        </w:rPr>
        <w:t>violence sexuelle liée aux conflits</w:t>
      </w:r>
      <w:r w:rsidR="005313DF" w:rsidRPr="003B152B">
        <w:rPr>
          <w:rFonts w:ascii="Times New Roman" w:eastAsia="Malgun Gothic" w:hAnsi="Times New Roman"/>
        </w:rPr>
        <w:t xml:space="preserve"> </w:t>
      </w:r>
    </w:p>
    <w:p w:rsidR="005313DF" w:rsidRPr="003B152B" w:rsidRDefault="005313DF" w:rsidP="00D73A4B">
      <w:pPr>
        <w:pStyle w:val="ListParagraph"/>
        <w:tabs>
          <w:tab w:val="left" w:pos="567"/>
        </w:tabs>
        <w:spacing w:line="240" w:lineRule="auto"/>
        <w:ind w:left="360"/>
        <w:rPr>
          <w:rFonts w:ascii="Times New Roman" w:eastAsia="Malgun Gothic" w:hAnsi="Times New Roman"/>
        </w:rPr>
      </w:pPr>
    </w:p>
    <w:p w:rsidR="005313DF" w:rsidRPr="003B152B" w:rsidRDefault="005313DF" w:rsidP="003E220D">
      <w:pPr>
        <w:pStyle w:val="ListParagraph"/>
        <w:tabs>
          <w:tab w:val="left" w:pos="1276"/>
        </w:tabs>
        <w:spacing w:line="240" w:lineRule="auto"/>
        <w:ind w:left="360"/>
        <w:rPr>
          <w:rFonts w:ascii="Times New Roman" w:eastAsia="Malgun Gothic" w:hAnsi="Times New Roman"/>
        </w:rPr>
      </w:pPr>
      <w:r w:rsidRPr="003B152B">
        <w:rPr>
          <w:rFonts w:ascii="Times New Roman" w:eastAsia="Malgun Gothic" w:hAnsi="Times New Roman"/>
        </w:rPr>
        <w:t>MCA</w:t>
      </w:r>
      <w:r w:rsidR="003E220D" w:rsidRPr="003B152B">
        <w:rPr>
          <w:rFonts w:ascii="Times New Roman" w:eastAsia="Malgun Gothic" w:hAnsi="Times New Roman"/>
        </w:rPr>
        <w:tab/>
      </w:r>
      <w:r w:rsidR="00F65458" w:rsidRPr="003B152B">
        <w:rPr>
          <w:rFonts w:ascii="Times New Roman" w:eastAsia="Malgun Gothic" w:hAnsi="Times New Roman"/>
        </w:rPr>
        <w:t xml:space="preserve"> </w:t>
      </w:r>
      <w:r w:rsidR="002F3564" w:rsidRPr="003B152B">
        <w:rPr>
          <w:rFonts w:ascii="Times New Roman" w:eastAsia="Malgun Gothic" w:hAnsi="Times New Roman"/>
        </w:rPr>
        <w:t xml:space="preserve"> </w:t>
      </w:r>
      <w:r w:rsidR="00785F0D">
        <w:rPr>
          <w:rFonts w:ascii="Times New Roman" w:eastAsia="Malgun Gothic" w:hAnsi="Times New Roman"/>
        </w:rPr>
        <w:t xml:space="preserve">    </w:t>
      </w:r>
      <w:r w:rsidRPr="003B152B">
        <w:rPr>
          <w:rFonts w:ascii="Times New Roman" w:eastAsia="Malgun Gothic" w:hAnsi="Times New Roman"/>
        </w:rPr>
        <w:t>Maison centrale d’arrêt de Bamako</w:t>
      </w:r>
    </w:p>
    <w:p w:rsidR="005313DF" w:rsidRPr="003B152B" w:rsidRDefault="005313DF" w:rsidP="00D73A4B">
      <w:pPr>
        <w:pStyle w:val="ListParagraph"/>
        <w:tabs>
          <w:tab w:val="left" w:pos="567"/>
        </w:tabs>
        <w:spacing w:line="240" w:lineRule="auto"/>
        <w:ind w:left="360"/>
        <w:rPr>
          <w:rFonts w:ascii="Times New Roman" w:eastAsia="Malgun Gothic" w:hAnsi="Times New Roman"/>
        </w:rPr>
      </w:pPr>
    </w:p>
    <w:p w:rsidR="005313DF" w:rsidRPr="003B152B" w:rsidRDefault="005313DF" w:rsidP="00D73A4B">
      <w:pPr>
        <w:pStyle w:val="ListParagraph"/>
        <w:tabs>
          <w:tab w:val="left" w:pos="567"/>
        </w:tabs>
        <w:spacing w:line="240" w:lineRule="auto"/>
        <w:ind w:left="360"/>
        <w:rPr>
          <w:rFonts w:ascii="Times New Roman" w:eastAsia="Malgun Gothic" w:hAnsi="Times New Roman"/>
        </w:rPr>
      </w:pPr>
      <w:r w:rsidRPr="003B152B">
        <w:rPr>
          <w:rFonts w:ascii="Times New Roman" w:eastAsia="Malgun Gothic" w:hAnsi="Times New Roman"/>
        </w:rPr>
        <w:t xml:space="preserve">MIA            </w:t>
      </w:r>
      <w:r w:rsidR="00F65458" w:rsidRPr="003B152B">
        <w:rPr>
          <w:rFonts w:ascii="Times New Roman" w:eastAsia="Malgun Gothic" w:hAnsi="Times New Roman"/>
        </w:rPr>
        <w:t xml:space="preserve"> </w:t>
      </w:r>
      <w:r w:rsidRPr="003B152B">
        <w:rPr>
          <w:rFonts w:ascii="Times New Roman" w:eastAsia="Malgun Gothic" w:hAnsi="Times New Roman"/>
        </w:rPr>
        <w:t xml:space="preserve"> </w:t>
      </w:r>
      <w:r w:rsidR="002F3564" w:rsidRPr="003B152B">
        <w:rPr>
          <w:rFonts w:ascii="Times New Roman" w:eastAsia="Malgun Gothic" w:hAnsi="Times New Roman"/>
        </w:rPr>
        <w:t xml:space="preserve"> </w:t>
      </w:r>
      <w:r w:rsidRPr="003B152B">
        <w:rPr>
          <w:rFonts w:ascii="Times New Roman" w:eastAsia="Malgun Gothic" w:hAnsi="Times New Roman"/>
        </w:rPr>
        <w:t xml:space="preserve">Mouvement </w:t>
      </w:r>
      <w:r w:rsidR="00146EC1" w:rsidRPr="003B152B">
        <w:rPr>
          <w:rFonts w:ascii="Times New Roman" w:eastAsia="Malgun Gothic" w:hAnsi="Times New Roman"/>
        </w:rPr>
        <w:t>i</w:t>
      </w:r>
      <w:r w:rsidRPr="003B152B">
        <w:rPr>
          <w:rFonts w:ascii="Times New Roman" w:eastAsia="Malgun Gothic" w:hAnsi="Times New Roman"/>
        </w:rPr>
        <w:t>slamique de l’Azawad</w:t>
      </w:r>
    </w:p>
    <w:p w:rsidR="005313DF" w:rsidRPr="003B152B" w:rsidRDefault="005313DF" w:rsidP="00D73A4B">
      <w:pPr>
        <w:pStyle w:val="ListParagraph"/>
        <w:tabs>
          <w:tab w:val="left" w:pos="567"/>
        </w:tabs>
        <w:spacing w:line="240" w:lineRule="auto"/>
        <w:ind w:left="360"/>
        <w:rPr>
          <w:rFonts w:ascii="Times New Roman" w:eastAsia="Malgun Gothic" w:hAnsi="Times New Roman"/>
        </w:rPr>
      </w:pPr>
    </w:p>
    <w:p w:rsidR="005313DF" w:rsidRPr="003B152B" w:rsidRDefault="005313DF" w:rsidP="00D73A4B">
      <w:pPr>
        <w:pStyle w:val="ListParagraph"/>
        <w:tabs>
          <w:tab w:val="left" w:pos="567"/>
        </w:tabs>
        <w:spacing w:line="240" w:lineRule="auto"/>
        <w:ind w:left="360"/>
        <w:rPr>
          <w:rFonts w:ascii="Times New Roman" w:eastAsia="Malgun Gothic" w:hAnsi="Times New Roman"/>
        </w:rPr>
      </w:pPr>
      <w:r w:rsidRPr="003B152B">
        <w:rPr>
          <w:rFonts w:ascii="Times New Roman" w:eastAsia="Malgun Gothic" w:hAnsi="Times New Roman"/>
        </w:rPr>
        <w:t xml:space="preserve">MNLA         </w:t>
      </w:r>
      <w:r w:rsidR="002F3564" w:rsidRPr="003B152B">
        <w:rPr>
          <w:rFonts w:ascii="Times New Roman" w:eastAsia="Malgun Gothic" w:hAnsi="Times New Roman"/>
        </w:rPr>
        <w:t xml:space="preserve">  </w:t>
      </w:r>
      <w:r w:rsidRPr="003B152B">
        <w:rPr>
          <w:rFonts w:ascii="Times New Roman" w:eastAsia="Malgun Gothic" w:hAnsi="Times New Roman"/>
        </w:rPr>
        <w:t xml:space="preserve">Mouvement </w:t>
      </w:r>
      <w:r w:rsidR="00146EC1" w:rsidRPr="003B152B">
        <w:rPr>
          <w:rFonts w:ascii="Times New Roman" w:eastAsia="Malgun Gothic" w:hAnsi="Times New Roman"/>
        </w:rPr>
        <w:t>n</w:t>
      </w:r>
      <w:r w:rsidRPr="003B152B">
        <w:rPr>
          <w:rFonts w:ascii="Times New Roman" w:eastAsia="Malgun Gothic" w:hAnsi="Times New Roman"/>
        </w:rPr>
        <w:t xml:space="preserve">ational pour la </w:t>
      </w:r>
      <w:r w:rsidR="00146EC1" w:rsidRPr="003B152B">
        <w:rPr>
          <w:rFonts w:ascii="Times New Roman" w:eastAsia="Malgun Gothic" w:hAnsi="Times New Roman"/>
        </w:rPr>
        <w:t>l</w:t>
      </w:r>
      <w:r w:rsidRPr="003B152B">
        <w:rPr>
          <w:rFonts w:ascii="Times New Roman" w:eastAsia="Malgun Gothic" w:hAnsi="Times New Roman"/>
        </w:rPr>
        <w:t>ibération de l’Azawad.</w:t>
      </w:r>
    </w:p>
    <w:p w:rsidR="005313DF" w:rsidRPr="003B152B" w:rsidRDefault="005313DF" w:rsidP="00D73A4B">
      <w:pPr>
        <w:pStyle w:val="ListParagraph"/>
        <w:tabs>
          <w:tab w:val="left" w:pos="567"/>
        </w:tabs>
        <w:spacing w:line="240" w:lineRule="auto"/>
        <w:ind w:left="360"/>
        <w:rPr>
          <w:rFonts w:ascii="Times New Roman" w:eastAsia="Malgun Gothic" w:hAnsi="Times New Roman"/>
        </w:rPr>
      </w:pPr>
    </w:p>
    <w:p w:rsidR="005313DF" w:rsidRPr="003B152B" w:rsidRDefault="005313DF" w:rsidP="00D73A4B">
      <w:pPr>
        <w:pStyle w:val="ListParagraph"/>
        <w:tabs>
          <w:tab w:val="left" w:pos="567"/>
        </w:tabs>
        <w:spacing w:line="240" w:lineRule="auto"/>
        <w:ind w:left="360"/>
        <w:rPr>
          <w:rFonts w:ascii="Times New Roman" w:hAnsi="Times New Roman"/>
        </w:rPr>
      </w:pPr>
      <w:r w:rsidRPr="003B152B">
        <w:rPr>
          <w:rFonts w:ascii="Times New Roman" w:eastAsia="Malgun Gothic" w:hAnsi="Times New Roman"/>
        </w:rPr>
        <w:t>MRM</w:t>
      </w:r>
      <w:r w:rsidRPr="003B152B">
        <w:rPr>
          <w:rStyle w:val="st"/>
          <w:rFonts w:ascii="Times New Roman" w:hAnsi="Times New Roman"/>
          <w:b/>
          <w:bCs/>
          <w:lang w:val="fr-ML"/>
        </w:rPr>
        <w:t xml:space="preserve">           </w:t>
      </w:r>
      <w:r w:rsidR="00F65458" w:rsidRPr="003B152B">
        <w:rPr>
          <w:rStyle w:val="st"/>
          <w:rFonts w:ascii="Times New Roman" w:hAnsi="Times New Roman"/>
          <w:b/>
          <w:bCs/>
          <w:lang w:val="fr-ML"/>
        </w:rPr>
        <w:t xml:space="preserve"> </w:t>
      </w:r>
      <w:r w:rsidR="002F3564" w:rsidRPr="003B152B">
        <w:rPr>
          <w:rStyle w:val="st"/>
          <w:rFonts w:ascii="Times New Roman" w:hAnsi="Times New Roman"/>
          <w:b/>
          <w:bCs/>
          <w:lang w:val="fr-ML"/>
        </w:rPr>
        <w:t xml:space="preserve"> </w:t>
      </w:r>
      <w:r w:rsidRPr="003B152B">
        <w:rPr>
          <w:rFonts w:ascii="Times New Roman" w:hAnsi="Times New Roman"/>
        </w:rPr>
        <w:t xml:space="preserve">Mécanisme de surveillance et de communication de l’information (MRM) sur les  </w:t>
      </w:r>
    </w:p>
    <w:p w:rsidR="005313DF" w:rsidRPr="003B152B" w:rsidRDefault="001C2587" w:rsidP="0033219C">
      <w:pPr>
        <w:pStyle w:val="ListParagraph"/>
        <w:tabs>
          <w:tab w:val="left" w:pos="567"/>
          <w:tab w:val="right" w:pos="1418"/>
        </w:tabs>
        <w:spacing w:line="240" w:lineRule="auto"/>
        <w:ind w:left="360"/>
        <w:rPr>
          <w:rFonts w:ascii="Times New Roman" w:hAnsi="Times New Roman"/>
        </w:rPr>
      </w:pPr>
      <w:r w:rsidRPr="003B152B">
        <w:rPr>
          <w:rFonts w:ascii="Times New Roman" w:hAnsi="Times New Roman"/>
        </w:rPr>
        <w:lastRenderedPageBreak/>
        <w:tab/>
      </w:r>
      <w:r w:rsidRPr="003B152B">
        <w:rPr>
          <w:rFonts w:ascii="Times New Roman" w:hAnsi="Times New Roman"/>
        </w:rPr>
        <w:tab/>
      </w:r>
      <w:r w:rsidR="005B1CBD" w:rsidRPr="003B152B">
        <w:rPr>
          <w:rFonts w:ascii="Times New Roman" w:hAnsi="Times New Roman"/>
        </w:rPr>
        <w:t xml:space="preserve">                   </w:t>
      </w:r>
      <w:r w:rsidR="005313DF" w:rsidRPr="003B152B">
        <w:rPr>
          <w:rFonts w:ascii="Times New Roman" w:hAnsi="Times New Roman"/>
        </w:rPr>
        <w:t xml:space="preserve">violations graves commises à l’encontre d’enfants en situations de conflits armés </w:t>
      </w:r>
    </w:p>
    <w:p w:rsidR="005313DF" w:rsidRPr="003B152B" w:rsidRDefault="005313DF" w:rsidP="002F3564">
      <w:pPr>
        <w:pStyle w:val="ListParagraph"/>
        <w:spacing w:line="240" w:lineRule="auto"/>
        <w:ind w:left="360"/>
        <w:rPr>
          <w:rFonts w:ascii="Times New Roman" w:hAnsi="Times New Roman"/>
        </w:rPr>
      </w:pPr>
      <w:r w:rsidRPr="003B152B">
        <w:rPr>
          <w:rFonts w:ascii="Times New Roman" w:hAnsi="Times New Roman"/>
        </w:rPr>
        <w:t xml:space="preserve">                     </w:t>
      </w:r>
    </w:p>
    <w:p w:rsidR="00D444BE" w:rsidRPr="003B152B" w:rsidRDefault="005313DF" w:rsidP="00D73A4B">
      <w:pPr>
        <w:pStyle w:val="ListParagraph"/>
        <w:tabs>
          <w:tab w:val="left" w:pos="567"/>
        </w:tabs>
        <w:spacing w:line="240" w:lineRule="auto"/>
        <w:ind w:left="360"/>
        <w:rPr>
          <w:rFonts w:ascii="Times New Roman" w:eastAsia="Malgun Gothic" w:hAnsi="Times New Roman"/>
        </w:rPr>
      </w:pPr>
      <w:r w:rsidRPr="003B152B">
        <w:rPr>
          <w:rFonts w:ascii="Times New Roman" w:eastAsia="Malgun Gothic" w:hAnsi="Times New Roman"/>
        </w:rPr>
        <w:t xml:space="preserve">MINUSMA  </w:t>
      </w:r>
      <w:r w:rsidR="00F65458" w:rsidRPr="003B152B">
        <w:rPr>
          <w:rFonts w:ascii="Times New Roman" w:eastAsia="Malgun Gothic" w:hAnsi="Times New Roman"/>
        </w:rPr>
        <w:t xml:space="preserve"> </w:t>
      </w:r>
      <w:r w:rsidR="005B1CBD" w:rsidRPr="003B152B">
        <w:rPr>
          <w:rFonts w:ascii="Times New Roman" w:eastAsia="Malgun Gothic" w:hAnsi="Times New Roman"/>
        </w:rPr>
        <w:t xml:space="preserve"> </w:t>
      </w:r>
      <w:r w:rsidRPr="003B152B">
        <w:rPr>
          <w:rFonts w:ascii="Times New Roman" w:eastAsia="Malgun Gothic" w:hAnsi="Times New Roman"/>
        </w:rPr>
        <w:t xml:space="preserve">Mission  multidimensionnelle </w:t>
      </w:r>
      <w:r w:rsidR="00146EC1" w:rsidRPr="003B152B">
        <w:rPr>
          <w:rFonts w:ascii="Times New Roman" w:eastAsia="Malgun Gothic" w:hAnsi="Times New Roman"/>
        </w:rPr>
        <w:t xml:space="preserve">intégrée des Nations unies </w:t>
      </w:r>
      <w:r w:rsidRPr="003B152B">
        <w:rPr>
          <w:rFonts w:ascii="Times New Roman" w:eastAsia="Malgun Gothic" w:hAnsi="Times New Roman"/>
        </w:rPr>
        <w:t>pour la stabilisation au</w:t>
      </w:r>
    </w:p>
    <w:p w:rsidR="005313DF" w:rsidRPr="003B152B" w:rsidRDefault="00350B93" w:rsidP="005B1CBD">
      <w:pPr>
        <w:pStyle w:val="ListParagraph"/>
        <w:tabs>
          <w:tab w:val="left" w:pos="567"/>
          <w:tab w:val="right" w:pos="709"/>
          <w:tab w:val="right" w:pos="851"/>
          <w:tab w:val="right" w:pos="1418"/>
        </w:tabs>
        <w:spacing w:line="240" w:lineRule="auto"/>
        <w:ind w:left="360"/>
        <w:rPr>
          <w:rFonts w:ascii="Times New Roman" w:eastAsia="Malgun Gothic" w:hAnsi="Times New Roman"/>
        </w:rPr>
      </w:pPr>
      <w:r w:rsidRPr="003B152B">
        <w:rPr>
          <w:rFonts w:ascii="Times New Roman" w:eastAsia="Malgun Gothic" w:hAnsi="Times New Roman"/>
        </w:rPr>
        <w:tab/>
      </w:r>
      <w:r w:rsidRPr="003B152B">
        <w:rPr>
          <w:rFonts w:ascii="Times New Roman" w:eastAsia="Malgun Gothic" w:hAnsi="Times New Roman"/>
        </w:rPr>
        <w:tab/>
      </w:r>
      <w:r w:rsidR="005B1CBD" w:rsidRPr="003B152B">
        <w:rPr>
          <w:rFonts w:ascii="Times New Roman" w:eastAsia="Malgun Gothic" w:hAnsi="Times New Roman"/>
        </w:rPr>
        <w:t xml:space="preserve">                   </w:t>
      </w:r>
      <w:r w:rsidR="005313DF" w:rsidRPr="003B152B">
        <w:rPr>
          <w:rFonts w:ascii="Times New Roman" w:eastAsia="Malgun Gothic" w:hAnsi="Times New Roman"/>
        </w:rPr>
        <w:t>Mali</w:t>
      </w:r>
    </w:p>
    <w:p w:rsidR="005313DF" w:rsidRPr="003B152B" w:rsidRDefault="005313DF" w:rsidP="00D73A4B">
      <w:pPr>
        <w:pStyle w:val="ListParagraph"/>
        <w:tabs>
          <w:tab w:val="left" w:pos="567"/>
        </w:tabs>
        <w:spacing w:line="240" w:lineRule="auto"/>
        <w:ind w:left="360"/>
        <w:rPr>
          <w:rFonts w:ascii="Times New Roman" w:eastAsia="Malgun Gothic" w:hAnsi="Times New Roman"/>
        </w:rPr>
      </w:pPr>
    </w:p>
    <w:p w:rsidR="005313DF" w:rsidRPr="003B152B" w:rsidRDefault="005313DF" w:rsidP="00D73A4B">
      <w:pPr>
        <w:pStyle w:val="ListParagraph"/>
        <w:tabs>
          <w:tab w:val="left" w:pos="567"/>
        </w:tabs>
        <w:spacing w:line="240" w:lineRule="auto"/>
        <w:ind w:left="360"/>
        <w:rPr>
          <w:rFonts w:ascii="Times New Roman" w:eastAsia="Malgun Gothic" w:hAnsi="Times New Roman"/>
        </w:rPr>
      </w:pPr>
      <w:r w:rsidRPr="003B152B">
        <w:rPr>
          <w:rFonts w:ascii="Times New Roman" w:eastAsia="Malgun Gothic" w:hAnsi="Times New Roman"/>
        </w:rPr>
        <w:t xml:space="preserve">MISMA        </w:t>
      </w:r>
      <w:r w:rsidR="002F3564" w:rsidRPr="003B152B">
        <w:rPr>
          <w:rFonts w:ascii="Times New Roman" w:eastAsia="Malgun Gothic" w:hAnsi="Times New Roman"/>
        </w:rPr>
        <w:t xml:space="preserve">  </w:t>
      </w:r>
      <w:r w:rsidRPr="003B152B">
        <w:rPr>
          <w:rFonts w:ascii="Times New Roman" w:eastAsia="Malgun Gothic" w:hAnsi="Times New Roman"/>
        </w:rPr>
        <w:t xml:space="preserve">Mission </w:t>
      </w:r>
      <w:r w:rsidR="00146EC1" w:rsidRPr="003B152B">
        <w:rPr>
          <w:rFonts w:ascii="Times New Roman" w:eastAsia="Malgun Gothic" w:hAnsi="Times New Roman"/>
        </w:rPr>
        <w:t>i</w:t>
      </w:r>
      <w:r w:rsidRPr="003B152B">
        <w:rPr>
          <w:rFonts w:ascii="Times New Roman" w:eastAsia="Malgun Gothic" w:hAnsi="Times New Roman"/>
        </w:rPr>
        <w:t xml:space="preserve">nternationale de </w:t>
      </w:r>
      <w:r w:rsidR="00146EC1" w:rsidRPr="003B152B">
        <w:rPr>
          <w:rFonts w:ascii="Times New Roman" w:eastAsia="Malgun Gothic" w:hAnsi="Times New Roman"/>
        </w:rPr>
        <w:t>s</w:t>
      </w:r>
      <w:r w:rsidRPr="003B152B">
        <w:rPr>
          <w:rFonts w:ascii="Times New Roman" w:eastAsia="Malgun Gothic" w:hAnsi="Times New Roman"/>
        </w:rPr>
        <w:t>outien au Mali sous conduite Africaine</w:t>
      </w:r>
    </w:p>
    <w:p w:rsidR="005313DF" w:rsidRPr="003B152B" w:rsidRDefault="005313DF" w:rsidP="00D73A4B">
      <w:pPr>
        <w:pStyle w:val="ListParagraph"/>
        <w:tabs>
          <w:tab w:val="left" w:pos="567"/>
        </w:tabs>
        <w:spacing w:line="240" w:lineRule="auto"/>
        <w:ind w:left="360"/>
        <w:rPr>
          <w:rFonts w:ascii="Times New Roman" w:eastAsia="Malgun Gothic" w:hAnsi="Times New Roman"/>
        </w:rPr>
      </w:pPr>
    </w:p>
    <w:p w:rsidR="005313DF" w:rsidRPr="003B152B" w:rsidRDefault="005313DF" w:rsidP="00D73A4B">
      <w:pPr>
        <w:pStyle w:val="ListParagraph"/>
        <w:tabs>
          <w:tab w:val="left" w:pos="567"/>
        </w:tabs>
        <w:spacing w:line="240" w:lineRule="auto"/>
        <w:ind w:left="360"/>
        <w:rPr>
          <w:rFonts w:ascii="Times New Roman" w:eastAsia="Malgun Gothic" w:hAnsi="Times New Roman"/>
        </w:rPr>
      </w:pPr>
      <w:r w:rsidRPr="003B152B">
        <w:rPr>
          <w:rFonts w:ascii="Times New Roman" w:eastAsia="Malgun Gothic" w:hAnsi="Times New Roman"/>
        </w:rPr>
        <w:t xml:space="preserve">MUJAO        </w:t>
      </w:r>
      <w:r w:rsidR="002F3564" w:rsidRPr="003B152B">
        <w:rPr>
          <w:rFonts w:ascii="Times New Roman" w:eastAsia="Malgun Gothic" w:hAnsi="Times New Roman"/>
        </w:rPr>
        <w:t xml:space="preserve">  </w:t>
      </w:r>
      <w:r w:rsidRPr="003B152B">
        <w:rPr>
          <w:rFonts w:ascii="Times New Roman" w:eastAsia="Malgun Gothic" w:hAnsi="Times New Roman"/>
        </w:rPr>
        <w:t>Mouvement pour l’</w:t>
      </w:r>
      <w:r w:rsidR="00146EC1" w:rsidRPr="003B152B">
        <w:rPr>
          <w:rFonts w:ascii="Times New Roman" w:eastAsia="Malgun Gothic" w:hAnsi="Times New Roman"/>
        </w:rPr>
        <w:t>u</w:t>
      </w:r>
      <w:r w:rsidRPr="003B152B">
        <w:rPr>
          <w:rFonts w:ascii="Times New Roman" w:eastAsia="Malgun Gothic" w:hAnsi="Times New Roman"/>
        </w:rPr>
        <w:t>nicité et le Jihad en Afrique de l’Ouest</w:t>
      </w:r>
    </w:p>
    <w:p w:rsidR="005313DF" w:rsidRPr="003B152B" w:rsidRDefault="005313DF" w:rsidP="002F3564">
      <w:pPr>
        <w:pStyle w:val="Default"/>
        <w:tabs>
          <w:tab w:val="left" w:pos="1418"/>
        </w:tabs>
        <w:ind w:left="360"/>
        <w:rPr>
          <w:rFonts w:eastAsia="Malgun Gothic"/>
          <w:color w:val="auto"/>
          <w:sz w:val="22"/>
          <w:szCs w:val="22"/>
          <w:lang w:val="fr-FR"/>
        </w:rPr>
      </w:pPr>
      <w:r w:rsidRPr="003B152B">
        <w:rPr>
          <w:rFonts w:eastAsia="Malgun Gothic"/>
          <w:color w:val="auto"/>
          <w:sz w:val="22"/>
          <w:szCs w:val="22"/>
          <w:lang w:val="fr-FR"/>
        </w:rPr>
        <w:t xml:space="preserve">OCHA          </w:t>
      </w:r>
      <w:r w:rsidR="002F3564" w:rsidRPr="003B152B">
        <w:rPr>
          <w:rFonts w:eastAsia="Malgun Gothic"/>
          <w:color w:val="auto"/>
          <w:sz w:val="22"/>
          <w:szCs w:val="22"/>
          <w:lang w:val="fr-FR"/>
        </w:rPr>
        <w:t xml:space="preserve">  </w:t>
      </w:r>
      <w:r w:rsidR="00EA49E3" w:rsidRPr="003B152B">
        <w:rPr>
          <w:rFonts w:eastAsia="Malgun Gothic"/>
          <w:color w:val="auto"/>
          <w:sz w:val="22"/>
          <w:szCs w:val="22"/>
          <w:lang w:val="fr-FR"/>
        </w:rPr>
        <w:t>Bureau de coordination des affaires humanitaires</w:t>
      </w:r>
    </w:p>
    <w:p w:rsidR="005313DF" w:rsidRPr="003B152B" w:rsidRDefault="005313DF" w:rsidP="00D73A4B">
      <w:pPr>
        <w:pStyle w:val="Default"/>
        <w:tabs>
          <w:tab w:val="left" w:pos="567"/>
        </w:tabs>
        <w:ind w:left="360"/>
        <w:rPr>
          <w:rFonts w:eastAsia="Malgun Gothic"/>
          <w:color w:val="auto"/>
          <w:sz w:val="22"/>
          <w:szCs w:val="22"/>
          <w:lang w:val="fr-FR"/>
        </w:rPr>
      </w:pPr>
    </w:p>
    <w:p w:rsidR="005313DF" w:rsidRPr="003B152B" w:rsidRDefault="005313DF" w:rsidP="00D73A4B">
      <w:pPr>
        <w:pStyle w:val="Default"/>
        <w:tabs>
          <w:tab w:val="left" w:pos="567"/>
        </w:tabs>
        <w:ind w:left="360"/>
        <w:rPr>
          <w:rFonts w:eastAsia="Malgun Gothic"/>
          <w:color w:val="auto"/>
          <w:sz w:val="22"/>
          <w:szCs w:val="22"/>
          <w:lang w:val="fr-FR"/>
        </w:rPr>
      </w:pPr>
      <w:r w:rsidRPr="003B152B">
        <w:rPr>
          <w:rFonts w:eastAsia="Malgun Gothic"/>
          <w:color w:val="auto"/>
          <w:sz w:val="22"/>
          <w:szCs w:val="22"/>
          <w:lang w:val="fr-FR"/>
        </w:rPr>
        <w:t xml:space="preserve">ONU             </w:t>
      </w:r>
      <w:r w:rsidR="002F3564" w:rsidRPr="003B152B">
        <w:rPr>
          <w:rFonts w:eastAsia="Malgun Gothic"/>
          <w:color w:val="auto"/>
          <w:sz w:val="22"/>
          <w:szCs w:val="22"/>
          <w:lang w:val="fr-FR"/>
        </w:rPr>
        <w:t xml:space="preserve"> </w:t>
      </w:r>
      <w:r w:rsidRPr="003B152B">
        <w:rPr>
          <w:rFonts w:eastAsia="Malgun Gothic"/>
          <w:color w:val="auto"/>
          <w:sz w:val="22"/>
          <w:szCs w:val="22"/>
          <w:lang w:val="fr-FR"/>
        </w:rPr>
        <w:t xml:space="preserve">Organisation des Nations </w:t>
      </w:r>
      <w:r w:rsidR="00BB053D">
        <w:rPr>
          <w:rFonts w:eastAsia="Malgun Gothic"/>
          <w:color w:val="auto"/>
          <w:sz w:val="22"/>
          <w:szCs w:val="22"/>
          <w:lang w:val="fr-FR"/>
        </w:rPr>
        <w:t>U</w:t>
      </w:r>
      <w:r w:rsidRPr="003B152B">
        <w:rPr>
          <w:rFonts w:eastAsia="Malgun Gothic"/>
          <w:color w:val="auto"/>
          <w:sz w:val="22"/>
          <w:szCs w:val="22"/>
          <w:lang w:val="fr-FR"/>
        </w:rPr>
        <w:t>nies</w:t>
      </w:r>
    </w:p>
    <w:p w:rsidR="007013FD" w:rsidRPr="003B152B" w:rsidRDefault="007013FD" w:rsidP="00D73A4B">
      <w:pPr>
        <w:pStyle w:val="Default"/>
        <w:tabs>
          <w:tab w:val="left" w:pos="567"/>
        </w:tabs>
        <w:ind w:left="360"/>
        <w:rPr>
          <w:rFonts w:eastAsia="Malgun Gothic"/>
          <w:color w:val="auto"/>
          <w:sz w:val="22"/>
          <w:szCs w:val="22"/>
          <w:lang w:val="fr-FR"/>
        </w:rPr>
      </w:pPr>
    </w:p>
    <w:p w:rsidR="007013FD" w:rsidRPr="003B152B" w:rsidRDefault="007013FD" w:rsidP="00D73A4B">
      <w:pPr>
        <w:pStyle w:val="Default"/>
        <w:tabs>
          <w:tab w:val="left" w:pos="567"/>
        </w:tabs>
        <w:ind w:left="360"/>
        <w:rPr>
          <w:rFonts w:eastAsia="Malgun Gothic"/>
          <w:color w:val="auto"/>
          <w:sz w:val="22"/>
          <w:szCs w:val="22"/>
          <w:lang w:val="fr-FR"/>
        </w:rPr>
      </w:pPr>
      <w:r w:rsidRPr="003B152B">
        <w:rPr>
          <w:rFonts w:eastAsia="Malgun Gothic"/>
          <w:color w:val="auto"/>
          <w:sz w:val="22"/>
          <w:szCs w:val="22"/>
          <w:lang w:val="fr-FR"/>
        </w:rPr>
        <w:t>PDH</w:t>
      </w:r>
      <w:r w:rsidRPr="003B152B">
        <w:rPr>
          <w:rFonts w:eastAsia="Malgun Gothic"/>
          <w:color w:val="auto"/>
          <w:sz w:val="22"/>
          <w:szCs w:val="22"/>
          <w:lang w:val="fr-FR"/>
        </w:rPr>
        <w:tab/>
      </w:r>
      <w:r w:rsidR="00785F0D">
        <w:rPr>
          <w:rFonts w:eastAsia="Malgun Gothic"/>
          <w:color w:val="auto"/>
          <w:sz w:val="22"/>
          <w:szCs w:val="22"/>
          <w:lang w:val="fr-FR"/>
        </w:rPr>
        <w:t xml:space="preserve">   </w:t>
      </w:r>
      <w:r w:rsidRPr="003B152B">
        <w:rPr>
          <w:rFonts w:eastAsia="Malgun Gothic"/>
          <w:color w:val="auto"/>
          <w:sz w:val="22"/>
          <w:szCs w:val="22"/>
          <w:lang w:val="fr-FR"/>
        </w:rPr>
        <w:t>Programme Conjoint des Nations Unies pour la promotion des droits de l’homme</w:t>
      </w:r>
    </w:p>
    <w:p w:rsidR="005313DF" w:rsidRPr="003B152B" w:rsidRDefault="005313DF" w:rsidP="00D73A4B">
      <w:pPr>
        <w:pStyle w:val="Default"/>
        <w:tabs>
          <w:tab w:val="left" w:pos="567"/>
        </w:tabs>
        <w:ind w:left="360"/>
        <w:rPr>
          <w:rFonts w:eastAsia="Malgun Gothic"/>
          <w:color w:val="auto"/>
          <w:sz w:val="22"/>
          <w:szCs w:val="22"/>
          <w:lang w:val="fr-FR"/>
        </w:rPr>
      </w:pPr>
    </w:p>
    <w:p w:rsidR="005313DF" w:rsidRPr="003B152B" w:rsidRDefault="005313DF" w:rsidP="00D73A4B">
      <w:pPr>
        <w:pStyle w:val="Default"/>
        <w:tabs>
          <w:tab w:val="left" w:pos="567"/>
        </w:tabs>
        <w:ind w:left="360"/>
        <w:rPr>
          <w:rFonts w:eastAsia="Malgun Gothic"/>
          <w:color w:val="auto"/>
          <w:sz w:val="22"/>
          <w:szCs w:val="22"/>
          <w:lang w:val="fr-FR"/>
        </w:rPr>
      </w:pPr>
      <w:r w:rsidRPr="003B152B">
        <w:rPr>
          <w:rFonts w:eastAsia="Malgun Gothic"/>
          <w:color w:val="auto"/>
          <w:sz w:val="22"/>
          <w:szCs w:val="22"/>
          <w:lang w:val="fr-FR"/>
        </w:rPr>
        <w:t xml:space="preserve">PCDH   </w:t>
      </w:r>
      <w:r w:rsidRPr="003B152B">
        <w:rPr>
          <w:rFonts w:eastAsia="Malgun Gothic"/>
          <w:bCs/>
          <w:iCs/>
          <w:sz w:val="22"/>
          <w:szCs w:val="22"/>
          <w:lang w:val="fr-FR" w:bidi="th-TH"/>
        </w:rPr>
        <w:t xml:space="preserve">        </w:t>
      </w:r>
      <w:r w:rsidR="002F3564" w:rsidRPr="003B152B">
        <w:rPr>
          <w:rFonts w:eastAsia="Malgun Gothic"/>
          <w:bCs/>
          <w:iCs/>
          <w:sz w:val="22"/>
          <w:szCs w:val="22"/>
          <w:lang w:val="fr-FR" w:bidi="th-TH"/>
        </w:rPr>
        <w:t xml:space="preserve"> </w:t>
      </w:r>
      <w:r w:rsidRPr="003B152B">
        <w:rPr>
          <w:rFonts w:eastAsia="Malgun Gothic"/>
          <w:bCs/>
          <w:iCs/>
          <w:sz w:val="22"/>
          <w:szCs w:val="22"/>
          <w:lang w:val="fr-FR" w:bidi="th-TH"/>
        </w:rPr>
        <w:t>Programme Conjoint des Nations Unies pour la promotion des droits de l’homme</w:t>
      </w:r>
    </w:p>
    <w:p w:rsidR="005313DF" w:rsidRPr="003B152B" w:rsidRDefault="005313DF" w:rsidP="00D73A4B">
      <w:pPr>
        <w:pStyle w:val="Default"/>
        <w:tabs>
          <w:tab w:val="left" w:pos="567"/>
        </w:tabs>
        <w:ind w:left="360"/>
        <w:jc w:val="both"/>
        <w:rPr>
          <w:rFonts w:eastAsia="Malgun Gothic"/>
          <w:color w:val="auto"/>
          <w:sz w:val="22"/>
          <w:szCs w:val="22"/>
          <w:lang w:val="fr-FR"/>
        </w:rPr>
      </w:pPr>
    </w:p>
    <w:p w:rsidR="005313DF" w:rsidRPr="003B152B" w:rsidRDefault="005313DF" w:rsidP="00D73A4B">
      <w:pPr>
        <w:pStyle w:val="Default"/>
        <w:tabs>
          <w:tab w:val="left" w:pos="567"/>
        </w:tabs>
        <w:ind w:left="360"/>
        <w:jc w:val="both"/>
        <w:rPr>
          <w:rFonts w:eastAsia="Malgun Gothic"/>
          <w:color w:val="auto"/>
          <w:sz w:val="22"/>
          <w:szCs w:val="22"/>
          <w:lang w:val="fr-FR"/>
        </w:rPr>
      </w:pPr>
      <w:r w:rsidRPr="003B152B">
        <w:rPr>
          <w:rFonts w:eastAsia="Malgun Gothic"/>
          <w:color w:val="auto"/>
          <w:sz w:val="22"/>
          <w:szCs w:val="22"/>
          <w:lang w:val="fr-FR"/>
        </w:rPr>
        <w:t xml:space="preserve">PNUD           </w:t>
      </w:r>
      <w:r w:rsidR="002F3564" w:rsidRPr="003B152B">
        <w:rPr>
          <w:rFonts w:eastAsia="Malgun Gothic"/>
          <w:color w:val="auto"/>
          <w:sz w:val="22"/>
          <w:szCs w:val="22"/>
          <w:lang w:val="fr-FR"/>
        </w:rPr>
        <w:t xml:space="preserve"> </w:t>
      </w:r>
      <w:r w:rsidRPr="003B152B">
        <w:rPr>
          <w:rFonts w:eastAsia="Malgun Gothic"/>
          <w:color w:val="auto"/>
          <w:sz w:val="22"/>
          <w:szCs w:val="22"/>
          <w:lang w:val="fr-FR"/>
        </w:rPr>
        <w:t xml:space="preserve">Programme de Nations Unies pour le Développement </w:t>
      </w:r>
    </w:p>
    <w:p w:rsidR="005313DF" w:rsidRPr="003B152B" w:rsidRDefault="005313DF" w:rsidP="00D73A4B">
      <w:pPr>
        <w:pStyle w:val="Default"/>
        <w:tabs>
          <w:tab w:val="left" w:pos="567"/>
        </w:tabs>
        <w:jc w:val="both"/>
        <w:rPr>
          <w:rFonts w:eastAsia="Malgun Gothic"/>
          <w:color w:val="auto"/>
          <w:sz w:val="22"/>
          <w:szCs w:val="22"/>
          <w:lang w:val="fr-FR"/>
        </w:rPr>
      </w:pPr>
    </w:p>
    <w:p w:rsidR="00D73A4B" w:rsidRPr="003B152B" w:rsidRDefault="00D73A4B" w:rsidP="002F3564">
      <w:pPr>
        <w:pStyle w:val="Default"/>
        <w:tabs>
          <w:tab w:val="left" w:pos="1418"/>
        </w:tabs>
        <w:jc w:val="both"/>
        <w:rPr>
          <w:rFonts w:eastAsia="Malgun Gothic"/>
          <w:color w:val="auto"/>
          <w:sz w:val="22"/>
          <w:szCs w:val="22"/>
          <w:lang w:val="fr-FR"/>
        </w:rPr>
      </w:pPr>
      <w:r w:rsidRPr="003B152B">
        <w:rPr>
          <w:rFonts w:eastAsia="Malgun Gothic"/>
          <w:color w:val="auto"/>
          <w:sz w:val="22"/>
          <w:szCs w:val="22"/>
          <w:lang w:val="fr-FR"/>
        </w:rPr>
        <w:t xml:space="preserve">       </w:t>
      </w:r>
      <w:r w:rsidR="005313DF" w:rsidRPr="003B152B">
        <w:rPr>
          <w:rFonts w:eastAsia="Malgun Gothic"/>
          <w:color w:val="auto"/>
          <w:sz w:val="22"/>
          <w:szCs w:val="22"/>
          <w:lang w:val="fr-FR"/>
        </w:rPr>
        <w:t xml:space="preserve">UA                </w:t>
      </w:r>
      <w:r w:rsidR="002F3564" w:rsidRPr="003B152B">
        <w:rPr>
          <w:rFonts w:eastAsia="Malgun Gothic"/>
          <w:color w:val="auto"/>
          <w:sz w:val="22"/>
          <w:szCs w:val="22"/>
          <w:lang w:val="fr-FR"/>
        </w:rPr>
        <w:t xml:space="preserve"> </w:t>
      </w:r>
      <w:r w:rsidR="005313DF" w:rsidRPr="003B152B">
        <w:rPr>
          <w:rFonts w:eastAsia="Malgun Gothic"/>
          <w:color w:val="auto"/>
          <w:sz w:val="22"/>
          <w:szCs w:val="22"/>
          <w:lang w:val="fr-FR"/>
        </w:rPr>
        <w:t>Union Africaine</w:t>
      </w:r>
    </w:p>
    <w:p w:rsidR="00E81CFC" w:rsidRPr="006948B4" w:rsidRDefault="00D73A4B" w:rsidP="002135F4">
      <w:pPr>
        <w:pStyle w:val="Title"/>
      </w:pPr>
      <w:r w:rsidRPr="00A41F25">
        <w:rPr>
          <w:rFonts w:eastAsia="Malgun Gothic"/>
          <w:sz w:val="18"/>
          <w:szCs w:val="18"/>
        </w:rPr>
        <w:br w:type="page"/>
      </w:r>
      <w:bookmarkStart w:id="3" w:name="_Toc401931483"/>
      <w:r w:rsidR="002135F4">
        <w:lastRenderedPageBreak/>
        <w:t>I</w:t>
      </w:r>
      <w:r w:rsidR="00E81CFC" w:rsidRPr="00001374">
        <w:t>ntroduction</w:t>
      </w:r>
      <w:bookmarkEnd w:id="3"/>
    </w:p>
    <w:p w:rsidR="00B51680" w:rsidRPr="007668DF" w:rsidRDefault="00A50464" w:rsidP="006C2FA0">
      <w:pPr>
        <w:pStyle w:val="ListParagraph"/>
        <w:tabs>
          <w:tab w:val="left" w:pos="567"/>
        </w:tabs>
        <w:spacing w:before="100" w:beforeAutospacing="1" w:after="0"/>
        <w:ind w:left="0"/>
        <w:jc w:val="both"/>
        <w:rPr>
          <w:rFonts w:ascii="Times New Roman" w:eastAsia="Malgun Gothic" w:hAnsi="Times New Roman"/>
          <w:sz w:val="24"/>
          <w:szCs w:val="24"/>
        </w:rPr>
      </w:pPr>
      <w:r w:rsidRPr="007668DF">
        <w:rPr>
          <w:rFonts w:ascii="Times New Roman" w:hAnsi="Times New Roman"/>
          <w:sz w:val="24"/>
          <w:szCs w:val="24"/>
        </w:rPr>
        <w:t>1</w:t>
      </w:r>
      <w:r w:rsidR="00C50FEB" w:rsidRPr="007668DF">
        <w:rPr>
          <w:rFonts w:ascii="Times New Roman" w:hAnsi="Times New Roman"/>
          <w:sz w:val="24"/>
          <w:szCs w:val="24"/>
        </w:rPr>
        <w:t>.</w:t>
      </w:r>
      <w:r w:rsidR="00C50FEB" w:rsidRPr="007668DF">
        <w:rPr>
          <w:rFonts w:ascii="Times New Roman" w:hAnsi="Times New Roman"/>
          <w:sz w:val="24"/>
          <w:szCs w:val="24"/>
        </w:rPr>
        <w:tab/>
      </w:r>
      <w:r w:rsidR="00E81CFC" w:rsidRPr="007668DF">
        <w:rPr>
          <w:rFonts w:ascii="Times New Roman" w:hAnsi="Times New Roman"/>
          <w:sz w:val="24"/>
          <w:szCs w:val="24"/>
        </w:rPr>
        <w:t xml:space="preserve">Le présent rapport est établi conformément à la </w:t>
      </w:r>
      <w:r w:rsidR="00574A39" w:rsidRPr="007668DF">
        <w:rPr>
          <w:rFonts w:ascii="Times New Roman" w:hAnsi="Times New Roman"/>
          <w:sz w:val="24"/>
          <w:szCs w:val="24"/>
        </w:rPr>
        <w:t>r</w:t>
      </w:r>
      <w:r w:rsidR="00E81CFC" w:rsidRPr="007668DF">
        <w:rPr>
          <w:rFonts w:ascii="Times New Roman" w:hAnsi="Times New Roman"/>
          <w:sz w:val="24"/>
          <w:szCs w:val="24"/>
        </w:rPr>
        <w:t>ésolution 2100</w:t>
      </w:r>
      <w:r w:rsidR="00E81CFC" w:rsidRPr="007668DF">
        <w:rPr>
          <w:rStyle w:val="FootnoteReference"/>
          <w:rFonts w:ascii="Times New Roman" w:hAnsi="Times New Roman"/>
          <w:sz w:val="24"/>
          <w:szCs w:val="24"/>
        </w:rPr>
        <w:footnoteReference w:id="1"/>
      </w:r>
      <w:r w:rsidR="00E81CFC" w:rsidRPr="007668DF">
        <w:rPr>
          <w:rFonts w:ascii="Times New Roman" w:hAnsi="Times New Roman"/>
          <w:sz w:val="24"/>
          <w:szCs w:val="24"/>
        </w:rPr>
        <w:t xml:space="preserve"> du Conseil de </w:t>
      </w:r>
      <w:r w:rsidR="00EA49E3" w:rsidRPr="007668DF">
        <w:rPr>
          <w:rFonts w:ascii="Times New Roman" w:hAnsi="Times New Roman"/>
          <w:sz w:val="24"/>
          <w:szCs w:val="24"/>
        </w:rPr>
        <w:t>s</w:t>
      </w:r>
      <w:r w:rsidR="00E81CFC" w:rsidRPr="007668DF">
        <w:rPr>
          <w:rFonts w:ascii="Times New Roman" w:hAnsi="Times New Roman"/>
          <w:sz w:val="24"/>
          <w:szCs w:val="24"/>
        </w:rPr>
        <w:t>écurité des Nations</w:t>
      </w:r>
      <w:r w:rsidR="00EA49E3" w:rsidRPr="007668DF">
        <w:rPr>
          <w:rFonts w:ascii="Times New Roman" w:hAnsi="Times New Roman"/>
          <w:sz w:val="24"/>
          <w:szCs w:val="24"/>
        </w:rPr>
        <w:t xml:space="preserve"> </w:t>
      </w:r>
      <w:r w:rsidR="00BB053D">
        <w:rPr>
          <w:rFonts w:ascii="Times New Roman" w:hAnsi="Times New Roman"/>
          <w:sz w:val="24"/>
          <w:szCs w:val="24"/>
        </w:rPr>
        <w:t>U</w:t>
      </w:r>
      <w:r w:rsidR="00E81CFC" w:rsidRPr="007668DF">
        <w:rPr>
          <w:rFonts w:ascii="Times New Roman" w:hAnsi="Times New Roman"/>
          <w:sz w:val="24"/>
          <w:szCs w:val="24"/>
        </w:rPr>
        <w:t xml:space="preserve">nies </w:t>
      </w:r>
      <w:r w:rsidR="00EA49E3" w:rsidRPr="007668DF">
        <w:rPr>
          <w:rFonts w:ascii="Times New Roman" w:hAnsi="Times New Roman"/>
          <w:sz w:val="24"/>
          <w:szCs w:val="24"/>
        </w:rPr>
        <w:t xml:space="preserve">mandatant notamment </w:t>
      </w:r>
      <w:r w:rsidR="00E81CFC" w:rsidRPr="007668DF">
        <w:rPr>
          <w:rFonts w:ascii="Times New Roman" w:hAnsi="Times New Roman"/>
          <w:sz w:val="24"/>
          <w:szCs w:val="24"/>
        </w:rPr>
        <w:t xml:space="preserve">la MINUSMA </w:t>
      </w:r>
      <w:r w:rsidR="009F12C9" w:rsidRPr="007668DF">
        <w:rPr>
          <w:rFonts w:ascii="Times New Roman" w:hAnsi="Times New Roman"/>
          <w:sz w:val="24"/>
          <w:szCs w:val="24"/>
        </w:rPr>
        <w:t>de</w:t>
      </w:r>
      <w:r w:rsidR="00EA49E3" w:rsidRPr="007668DF">
        <w:rPr>
          <w:rFonts w:ascii="Times New Roman" w:hAnsi="Times New Roman"/>
          <w:sz w:val="24"/>
          <w:szCs w:val="24"/>
        </w:rPr>
        <w:t xml:space="preserve"> </w:t>
      </w:r>
      <w:r w:rsidR="00E81CFC" w:rsidRPr="007668DF">
        <w:rPr>
          <w:rFonts w:ascii="Times New Roman" w:hAnsi="Times New Roman"/>
          <w:sz w:val="24"/>
          <w:szCs w:val="24"/>
        </w:rPr>
        <w:t xml:space="preserve">« </w:t>
      </w:r>
      <w:r w:rsidR="00E81CFC" w:rsidRPr="007668DF">
        <w:rPr>
          <w:rFonts w:ascii="Times New Roman" w:hAnsi="Times New Roman"/>
          <w:i/>
          <w:sz w:val="24"/>
          <w:szCs w:val="24"/>
        </w:rPr>
        <w:t>Surveiller toutes atteintes ou violations concernant les droits de l’homme ou violations du droit international humanitaire commises sur toute l’étendue du pays, concourir aux enquêtes et faire rapport à ce sujet, et aux actions de prévention de ces atteintes et violations”.</w:t>
      </w:r>
      <w:r w:rsidR="00574A39" w:rsidRPr="007668DF">
        <w:rPr>
          <w:rFonts w:ascii="Times New Roman" w:hAnsi="Times New Roman"/>
          <w:sz w:val="24"/>
          <w:szCs w:val="24"/>
        </w:rPr>
        <w:t xml:space="preserve"> Ce rapport décrit et analyse les tendances observées </w:t>
      </w:r>
      <w:r w:rsidR="007C44EC" w:rsidRPr="007668DF">
        <w:rPr>
          <w:rFonts w:ascii="Times New Roman" w:hAnsi="Times New Roman"/>
          <w:sz w:val="24"/>
          <w:szCs w:val="24"/>
        </w:rPr>
        <w:t xml:space="preserve">en matière de </w:t>
      </w:r>
      <w:r w:rsidR="00574A39" w:rsidRPr="007668DF">
        <w:rPr>
          <w:rFonts w:ascii="Times New Roman" w:hAnsi="Times New Roman"/>
          <w:sz w:val="24"/>
          <w:szCs w:val="24"/>
        </w:rPr>
        <w:t>respect des droits de l’homme sur toute l’étendue du territoire</w:t>
      </w:r>
      <w:r w:rsidR="00EA49E3" w:rsidRPr="007668DF">
        <w:rPr>
          <w:rFonts w:ascii="Times New Roman" w:hAnsi="Times New Roman"/>
          <w:sz w:val="24"/>
          <w:szCs w:val="24"/>
        </w:rPr>
        <w:t>,</w:t>
      </w:r>
      <w:r w:rsidR="00574A39" w:rsidRPr="007668DF">
        <w:rPr>
          <w:rFonts w:ascii="Times New Roman" w:hAnsi="Times New Roman"/>
          <w:sz w:val="24"/>
          <w:szCs w:val="24"/>
        </w:rPr>
        <w:t xml:space="preserve"> en mettant un accent particulier sur les violations et abus graves d</w:t>
      </w:r>
      <w:r w:rsidR="006B7F08">
        <w:rPr>
          <w:rFonts w:ascii="Times New Roman" w:hAnsi="Times New Roman"/>
          <w:sz w:val="24"/>
          <w:szCs w:val="24"/>
        </w:rPr>
        <w:t>u droit international d</w:t>
      </w:r>
      <w:r w:rsidR="00574A39" w:rsidRPr="007668DF">
        <w:rPr>
          <w:rFonts w:ascii="Times New Roman" w:hAnsi="Times New Roman"/>
          <w:sz w:val="24"/>
          <w:szCs w:val="24"/>
        </w:rPr>
        <w:t xml:space="preserve">es droits de l’homme </w:t>
      </w:r>
      <w:r w:rsidR="006B7F08">
        <w:rPr>
          <w:rFonts w:ascii="Times New Roman" w:hAnsi="Times New Roman"/>
          <w:sz w:val="24"/>
          <w:szCs w:val="24"/>
        </w:rPr>
        <w:t xml:space="preserve">et du droit </w:t>
      </w:r>
      <w:r w:rsidR="00032D5A">
        <w:rPr>
          <w:rFonts w:ascii="Times New Roman" w:hAnsi="Times New Roman"/>
          <w:sz w:val="24"/>
          <w:szCs w:val="24"/>
        </w:rPr>
        <w:t xml:space="preserve">international humanitaire </w:t>
      </w:r>
      <w:r w:rsidR="00574A39" w:rsidRPr="007668DF">
        <w:rPr>
          <w:rFonts w:ascii="Times New Roman" w:hAnsi="Times New Roman"/>
          <w:sz w:val="24"/>
          <w:szCs w:val="24"/>
        </w:rPr>
        <w:t>commis entre le 1</w:t>
      </w:r>
      <w:r w:rsidR="00F17F37" w:rsidRPr="007668DF">
        <w:rPr>
          <w:rFonts w:ascii="Times New Roman" w:hAnsi="Times New Roman"/>
          <w:sz w:val="24"/>
          <w:szCs w:val="24"/>
          <w:vertAlign w:val="superscript"/>
        </w:rPr>
        <w:t>er</w:t>
      </w:r>
      <w:r w:rsidR="00F17F37" w:rsidRPr="007668DF">
        <w:rPr>
          <w:rFonts w:ascii="Times New Roman" w:hAnsi="Times New Roman"/>
          <w:sz w:val="24"/>
          <w:szCs w:val="24"/>
        </w:rPr>
        <w:t xml:space="preserve"> </w:t>
      </w:r>
      <w:r w:rsidR="00574A39" w:rsidRPr="007668DF">
        <w:rPr>
          <w:rFonts w:ascii="Times New Roman" w:hAnsi="Times New Roman"/>
          <w:sz w:val="24"/>
          <w:szCs w:val="24"/>
        </w:rPr>
        <w:t>novembre 2013 et le 31 mai 2014,</w:t>
      </w:r>
      <w:r w:rsidR="00F17F37" w:rsidRPr="007668DF">
        <w:rPr>
          <w:rFonts w:ascii="Times New Roman" w:hAnsi="Times New Roman"/>
          <w:sz w:val="24"/>
          <w:szCs w:val="24"/>
        </w:rPr>
        <w:t xml:space="preserve"> </w:t>
      </w:r>
      <w:r w:rsidR="00F71670" w:rsidRPr="007668DF">
        <w:rPr>
          <w:rFonts w:ascii="Times New Roman" w:hAnsi="Times New Roman"/>
          <w:sz w:val="24"/>
          <w:szCs w:val="24"/>
        </w:rPr>
        <w:t xml:space="preserve">en particulier </w:t>
      </w:r>
      <w:r w:rsidR="00574A39" w:rsidRPr="007668DF">
        <w:rPr>
          <w:rFonts w:ascii="Times New Roman" w:hAnsi="Times New Roman"/>
          <w:sz w:val="24"/>
          <w:szCs w:val="24"/>
        </w:rPr>
        <w:t>dans la partie nord du pays.</w:t>
      </w:r>
    </w:p>
    <w:p w:rsidR="00574A39" w:rsidRPr="007668DF" w:rsidRDefault="00574A39" w:rsidP="006C2FA0">
      <w:pPr>
        <w:pStyle w:val="ListParagraph"/>
        <w:tabs>
          <w:tab w:val="left" w:pos="567"/>
          <w:tab w:val="left" w:pos="1134"/>
        </w:tabs>
        <w:spacing w:before="100" w:beforeAutospacing="1" w:after="0"/>
        <w:ind w:left="0"/>
        <w:jc w:val="both"/>
        <w:rPr>
          <w:rFonts w:ascii="Times New Roman" w:eastAsia="Malgun Gothic" w:hAnsi="Times New Roman"/>
          <w:sz w:val="24"/>
          <w:szCs w:val="24"/>
        </w:rPr>
      </w:pPr>
    </w:p>
    <w:p w:rsidR="00B51680" w:rsidRPr="007668DF" w:rsidRDefault="00A50464" w:rsidP="006C2FA0">
      <w:pPr>
        <w:pStyle w:val="ListParagraph"/>
        <w:tabs>
          <w:tab w:val="left" w:pos="567"/>
        </w:tabs>
        <w:spacing w:after="0"/>
        <w:ind w:left="0"/>
        <w:jc w:val="both"/>
        <w:rPr>
          <w:rFonts w:ascii="Times New Roman" w:hAnsi="Times New Roman"/>
          <w:sz w:val="24"/>
          <w:szCs w:val="24"/>
        </w:rPr>
      </w:pPr>
      <w:r w:rsidRPr="007668DF">
        <w:rPr>
          <w:rFonts w:ascii="Times New Roman" w:hAnsi="Times New Roman"/>
          <w:sz w:val="24"/>
          <w:szCs w:val="24"/>
        </w:rPr>
        <w:t>2</w:t>
      </w:r>
      <w:r w:rsidR="00CF64A0" w:rsidRPr="007668DF">
        <w:rPr>
          <w:rFonts w:ascii="Times New Roman" w:hAnsi="Times New Roman"/>
          <w:sz w:val="24"/>
          <w:szCs w:val="24"/>
        </w:rPr>
        <w:t>.</w:t>
      </w:r>
      <w:r w:rsidR="00CF64A0" w:rsidRPr="007668DF">
        <w:rPr>
          <w:rFonts w:ascii="Times New Roman" w:hAnsi="Times New Roman"/>
          <w:sz w:val="24"/>
          <w:szCs w:val="24"/>
        </w:rPr>
        <w:tab/>
      </w:r>
      <w:r w:rsidR="00EA49E3" w:rsidRPr="007668DF">
        <w:rPr>
          <w:rFonts w:ascii="Times New Roman" w:hAnsi="Times New Roman"/>
          <w:sz w:val="24"/>
          <w:szCs w:val="24"/>
        </w:rPr>
        <w:t>Le rapport</w:t>
      </w:r>
      <w:r w:rsidR="00B51680" w:rsidRPr="007668DF">
        <w:rPr>
          <w:rFonts w:ascii="Times New Roman" w:hAnsi="Times New Roman"/>
          <w:sz w:val="24"/>
          <w:szCs w:val="24"/>
        </w:rPr>
        <w:t xml:space="preserve"> </w:t>
      </w:r>
      <w:r w:rsidR="00E81CFC" w:rsidRPr="007668DF">
        <w:rPr>
          <w:rFonts w:ascii="Times New Roman" w:hAnsi="Times New Roman"/>
          <w:sz w:val="24"/>
          <w:szCs w:val="24"/>
        </w:rPr>
        <w:t xml:space="preserve">a été élaboré conformément aux méthodes de collecte et de vérification d’informations </w:t>
      </w:r>
      <w:r w:rsidR="00864B20" w:rsidRPr="007668DF">
        <w:rPr>
          <w:rFonts w:ascii="Times New Roman" w:hAnsi="Times New Roman"/>
          <w:sz w:val="24"/>
          <w:szCs w:val="24"/>
        </w:rPr>
        <w:t xml:space="preserve">propres au </w:t>
      </w:r>
      <w:r w:rsidR="00EF0770">
        <w:rPr>
          <w:rFonts w:ascii="Times New Roman" w:hAnsi="Times New Roman"/>
          <w:sz w:val="24"/>
          <w:szCs w:val="24"/>
        </w:rPr>
        <w:t xml:space="preserve">Haut-Commissariat des Nations Unies aux droits de l’homme. </w:t>
      </w:r>
      <w:r w:rsidR="00574A39" w:rsidRPr="007668DF">
        <w:rPr>
          <w:rFonts w:ascii="Times New Roman" w:hAnsi="Times New Roman"/>
          <w:sz w:val="24"/>
          <w:szCs w:val="24"/>
        </w:rPr>
        <w:t xml:space="preserve">Il a été préparé sur </w:t>
      </w:r>
      <w:r w:rsidR="00D24C1E" w:rsidRPr="007668DF">
        <w:rPr>
          <w:rFonts w:ascii="Times New Roman" w:hAnsi="Times New Roman"/>
          <w:sz w:val="24"/>
          <w:szCs w:val="24"/>
        </w:rPr>
        <w:t xml:space="preserve">la </w:t>
      </w:r>
      <w:r w:rsidR="00574A39" w:rsidRPr="007668DF">
        <w:rPr>
          <w:rFonts w:ascii="Times New Roman" w:hAnsi="Times New Roman"/>
          <w:sz w:val="24"/>
          <w:szCs w:val="24"/>
        </w:rPr>
        <w:t>base d’enquêtes menées par</w:t>
      </w:r>
      <w:r w:rsidR="00EF0770">
        <w:rPr>
          <w:rFonts w:ascii="Times New Roman" w:hAnsi="Times New Roman"/>
          <w:sz w:val="24"/>
          <w:szCs w:val="24"/>
        </w:rPr>
        <w:t xml:space="preserve"> les chargés des droits de l’homme de la </w:t>
      </w:r>
      <w:r w:rsidR="005F57F1">
        <w:rPr>
          <w:rFonts w:ascii="Times New Roman" w:hAnsi="Times New Roman"/>
          <w:sz w:val="24"/>
          <w:szCs w:val="24"/>
        </w:rPr>
        <w:t xml:space="preserve">MINUSMA entre le </w:t>
      </w:r>
      <w:r w:rsidR="005F57F1" w:rsidRPr="007668DF">
        <w:rPr>
          <w:rFonts w:ascii="Times New Roman" w:hAnsi="Times New Roman"/>
          <w:sz w:val="24"/>
          <w:szCs w:val="24"/>
        </w:rPr>
        <w:t>1</w:t>
      </w:r>
      <w:r w:rsidR="005F57F1" w:rsidRPr="007668DF">
        <w:rPr>
          <w:rFonts w:ascii="Times New Roman" w:hAnsi="Times New Roman"/>
          <w:sz w:val="24"/>
          <w:szCs w:val="24"/>
          <w:vertAlign w:val="superscript"/>
        </w:rPr>
        <w:t>er</w:t>
      </w:r>
      <w:r w:rsidR="005F57F1" w:rsidRPr="007668DF">
        <w:rPr>
          <w:rFonts w:ascii="Times New Roman" w:hAnsi="Times New Roman"/>
          <w:sz w:val="24"/>
          <w:szCs w:val="24"/>
        </w:rPr>
        <w:t xml:space="preserve"> novembre 2013 et le 31 mai 2014</w:t>
      </w:r>
      <w:r w:rsidR="005F57F1">
        <w:rPr>
          <w:rFonts w:ascii="Times New Roman" w:hAnsi="Times New Roman"/>
          <w:sz w:val="24"/>
          <w:szCs w:val="24"/>
        </w:rPr>
        <w:t xml:space="preserve">. </w:t>
      </w:r>
      <w:r w:rsidR="00EF0770">
        <w:rPr>
          <w:rFonts w:ascii="Times New Roman" w:hAnsi="Times New Roman"/>
          <w:sz w:val="24"/>
          <w:szCs w:val="24"/>
        </w:rPr>
        <w:t xml:space="preserve"> </w:t>
      </w:r>
    </w:p>
    <w:p w:rsidR="00920C43" w:rsidRPr="007668DF" w:rsidRDefault="00920C43" w:rsidP="006C2FA0">
      <w:pPr>
        <w:pStyle w:val="ListParagraph"/>
        <w:tabs>
          <w:tab w:val="left" w:pos="567"/>
        </w:tabs>
        <w:spacing w:after="0"/>
        <w:ind w:left="0"/>
        <w:jc w:val="both"/>
        <w:rPr>
          <w:rFonts w:ascii="Times New Roman" w:eastAsia="Malgun Gothic" w:hAnsi="Times New Roman"/>
          <w:sz w:val="24"/>
          <w:szCs w:val="24"/>
        </w:rPr>
      </w:pPr>
    </w:p>
    <w:p w:rsidR="00B51680" w:rsidRPr="007668DF" w:rsidRDefault="00A50464" w:rsidP="006C2FA0">
      <w:pPr>
        <w:tabs>
          <w:tab w:val="left" w:pos="567"/>
        </w:tabs>
        <w:spacing w:after="0"/>
        <w:jc w:val="both"/>
        <w:rPr>
          <w:rFonts w:ascii="Times New Roman" w:hAnsi="Times New Roman"/>
          <w:sz w:val="24"/>
          <w:szCs w:val="24"/>
        </w:rPr>
      </w:pPr>
      <w:r w:rsidRPr="007668DF">
        <w:rPr>
          <w:rFonts w:ascii="Times New Roman" w:hAnsi="Times New Roman"/>
          <w:sz w:val="24"/>
          <w:szCs w:val="24"/>
        </w:rPr>
        <w:t>3</w:t>
      </w:r>
      <w:r w:rsidR="00CF64A0" w:rsidRPr="007668DF">
        <w:rPr>
          <w:rFonts w:ascii="Times New Roman" w:hAnsi="Times New Roman"/>
          <w:sz w:val="24"/>
          <w:szCs w:val="24"/>
        </w:rPr>
        <w:t>.</w:t>
      </w:r>
      <w:r w:rsidR="00CF64A0" w:rsidRPr="007668DF">
        <w:rPr>
          <w:rFonts w:ascii="Times New Roman" w:hAnsi="Times New Roman"/>
          <w:sz w:val="24"/>
          <w:szCs w:val="24"/>
        </w:rPr>
        <w:tab/>
      </w:r>
      <w:r w:rsidR="0012098B" w:rsidRPr="007668DF">
        <w:rPr>
          <w:rFonts w:ascii="Times New Roman" w:hAnsi="Times New Roman"/>
          <w:sz w:val="24"/>
          <w:szCs w:val="24"/>
        </w:rPr>
        <w:t xml:space="preserve">Le présent rapport décrit les violations </w:t>
      </w:r>
      <w:r w:rsidR="00D049C0">
        <w:rPr>
          <w:rFonts w:ascii="Times New Roman" w:hAnsi="Times New Roman"/>
          <w:sz w:val="24"/>
          <w:szCs w:val="24"/>
        </w:rPr>
        <w:t>d</w:t>
      </w:r>
      <w:r w:rsidR="0012098B" w:rsidRPr="007668DF">
        <w:rPr>
          <w:rFonts w:ascii="Times New Roman" w:hAnsi="Times New Roman"/>
          <w:sz w:val="24"/>
          <w:szCs w:val="24"/>
        </w:rPr>
        <w:t xml:space="preserve">u droit international des droits de l’homme et </w:t>
      </w:r>
      <w:r w:rsidR="00D049C0">
        <w:rPr>
          <w:rFonts w:ascii="Times New Roman" w:hAnsi="Times New Roman"/>
          <w:sz w:val="24"/>
          <w:szCs w:val="24"/>
        </w:rPr>
        <w:t>d</w:t>
      </w:r>
      <w:r w:rsidR="0012098B" w:rsidRPr="007668DF">
        <w:rPr>
          <w:rFonts w:ascii="Times New Roman" w:hAnsi="Times New Roman"/>
          <w:sz w:val="24"/>
          <w:szCs w:val="24"/>
        </w:rPr>
        <w:t xml:space="preserve">u droit international humanitaire, </w:t>
      </w:r>
      <w:r w:rsidR="00326B56" w:rsidRPr="007668DF">
        <w:rPr>
          <w:rFonts w:ascii="Times New Roman" w:hAnsi="Times New Roman"/>
          <w:sz w:val="24"/>
          <w:szCs w:val="24"/>
        </w:rPr>
        <w:t xml:space="preserve">et souligne </w:t>
      </w:r>
      <w:r w:rsidR="0012098B" w:rsidRPr="007668DF">
        <w:rPr>
          <w:rFonts w:ascii="Times New Roman" w:hAnsi="Times New Roman"/>
          <w:sz w:val="24"/>
          <w:szCs w:val="24"/>
        </w:rPr>
        <w:t xml:space="preserve">le rôle des autorités maliennes et la compétence des juridictions et institutions nationales à </w:t>
      </w:r>
      <w:r w:rsidR="0012098B" w:rsidRPr="007668DF">
        <w:rPr>
          <w:rFonts w:ascii="Times New Roman" w:hAnsi="Times New Roman"/>
          <w:sz w:val="24"/>
          <w:szCs w:val="24"/>
        </w:rPr>
        <w:lastRenderedPageBreak/>
        <w:t xml:space="preserve">poursuivre les auteurs présumés et à respecter le droit des victimes de violations à demander réparation. </w:t>
      </w:r>
      <w:r w:rsidR="00E81CFC" w:rsidRPr="007668DF">
        <w:rPr>
          <w:rFonts w:ascii="Times New Roman" w:hAnsi="Times New Roman"/>
          <w:sz w:val="24"/>
          <w:szCs w:val="24"/>
        </w:rPr>
        <w:t>A travers ce rapport</w:t>
      </w:r>
      <w:r w:rsidR="00B51680" w:rsidRPr="007668DF">
        <w:rPr>
          <w:rFonts w:ascii="Times New Roman" w:hAnsi="Times New Roman"/>
          <w:sz w:val="24"/>
          <w:szCs w:val="24"/>
        </w:rPr>
        <w:t xml:space="preserve">, </w:t>
      </w:r>
      <w:r w:rsidR="00E81CFC" w:rsidRPr="007668DF">
        <w:rPr>
          <w:rFonts w:ascii="Times New Roman" w:hAnsi="Times New Roman"/>
          <w:sz w:val="24"/>
          <w:szCs w:val="24"/>
        </w:rPr>
        <w:t xml:space="preserve">la Division des droits de l’homme </w:t>
      </w:r>
      <w:r w:rsidR="00B51680" w:rsidRPr="007668DF">
        <w:rPr>
          <w:rFonts w:ascii="Times New Roman" w:hAnsi="Times New Roman"/>
          <w:sz w:val="24"/>
          <w:szCs w:val="24"/>
        </w:rPr>
        <w:t>de la MINUSMA</w:t>
      </w:r>
      <w:r w:rsidR="00E81CFC" w:rsidRPr="007668DF">
        <w:rPr>
          <w:rFonts w:ascii="Times New Roman" w:hAnsi="Times New Roman"/>
          <w:sz w:val="24"/>
          <w:szCs w:val="24"/>
        </w:rPr>
        <w:t xml:space="preserve"> vise à </w:t>
      </w:r>
      <w:r w:rsidR="00B51680" w:rsidRPr="007668DF">
        <w:rPr>
          <w:rFonts w:ascii="Times New Roman" w:hAnsi="Times New Roman"/>
          <w:sz w:val="24"/>
          <w:szCs w:val="24"/>
        </w:rPr>
        <w:t xml:space="preserve">renforcer la </w:t>
      </w:r>
      <w:r w:rsidR="00606FF5" w:rsidRPr="007668DF">
        <w:rPr>
          <w:rFonts w:ascii="Times New Roman" w:hAnsi="Times New Roman"/>
          <w:sz w:val="24"/>
          <w:szCs w:val="24"/>
        </w:rPr>
        <w:t>responsabilité</w:t>
      </w:r>
      <w:r w:rsidR="00B51680" w:rsidRPr="007668DF">
        <w:rPr>
          <w:rFonts w:ascii="Times New Roman" w:hAnsi="Times New Roman"/>
          <w:sz w:val="24"/>
          <w:szCs w:val="24"/>
        </w:rPr>
        <w:t xml:space="preserve"> de l’Etat </w:t>
      </w:r>
      <w:r w:rsidR="009E4B24" w:rsidRPr="007668DF">
        <w:rPr>
          <w:rFonts w:ascii="Times New Roman" w:hAnsi="Times New Roman"/>
          <w:sz w:val="24"/>
          <w:szCs w:val="24"/>
        </w:rPr>
        <w:t>m</w:t>
      </w:r>
      <w:r w:rsidR="00B51680" w:rsidRPr="007668DF">
        <w:rPr>
          <w:rFonts w:ascii="Times New Roman" w:hAnsi="Times New Roman"/>
          <w:sz w:val="24"/>
          <w:szCs w:val="24"/>
        </w:rPr>
        <w:t>alien dans la protection de</w:t>
      </w:r>
      <w:r w:rsidR="00606FF5" w:rsidRPr="007668DF">
        <w:rPr>
          <w:rFonts w:ascii="Times New Roman" w:hAnsi="Times New Roman"/>
          <w:sz w:val="24"/>
          <w:szCs w:val="24"/>
        </w:rPr>
        <w:t>s droits de l’homme et à soutenir ses efforts</w:t>
      </w:r>
      <w:r w:rsidR="00E81CFC" w:rsidRPr="007668DF">
        <w:rPr>
          <w:rFonts w:ascii="Times New Roman" w:hAnsi="Times New Roman"/>
          <w:sz w:val="24"/>
          <w:szCs w:val="24"/>
        </w:rPr>
        <w:t xml:space="preserve"> dans la lutte contre l’impunité</w:t>
      </w:r>
      <w:r w:rsidR="00606FF5" w:rsidRPr="007668DF">
        <w:rPr>
          <w:rFonts w:ascii="Times New Roman" w:hAnsi="Times New Roman"/>
          <w:sz w:val="24"/>
          <w:szCs w:val="24"/>
        </w:rPr>
        <w:t xml:space="preserve"> et</w:t>
      </w:r>
      <w:r w:rsidR="00E81CFC" w:rsidRPr="007668DF">
        <w:rPr>
          <w:rFonts w:ascii="Times New Roman" w:hAnsi="Times New Roman"/>
          <w:sz w:val="24"/>
          <w:szCs w:val="24"/>
        </w:rPr>
        <w:t xml:space="preserve"> </w:t>
      </w:r>
      <w:r w:rsidR="00F357C9" w:rsidRPr="007668DF">
        <w:rPr>
          <w:rFonts w:ascii="Times New Roman" w:hAnsi="Times New Roman"/>
          <w:sz w:val="24"/>
          <w:szCs w:val="24"/>
        </w:rPr>
        <w:t>la poursuite des</w:t>
      </w:r>
      <w:r w:rsidR="00E81CFC" w:rsidRPr="007668DF">
        <w:rPr>
          <w:rFonts w:ascii="Times New Roman" w:hAnsi="Times New Roman"/>
          <w:sz w:val="24"/>
          <w:szCs w:val="24"/>
        </w:rPr>
        <w:t xml:space="preserve"> auteurs de violations</w:t>
      </w:r>
      <w:r w:rsidR="00062798" w:rsidRPr="007668DF">
        <w:rPr>
          <w:rFonts w:ascii="Times New Roman" w:hAnsi="Times New Roman"/>
          <w:sz w:val="24"/>
          <w:szCs w:val="24"/>
        </w:rPr>
        <w:t xml:space="preserve"> et abus</w:t>
      </w:r>
      <w:r w:rsidR="00E81CFC" w:rsidRPr="007668DF">
        <w:rPr>
          <w:rFonts w:ascii="Times New Roman" w:hAnsi="Times New Roman"/>
          <w:sz w:val="24"/>
          <w:szCs w:val="24"/>
        </w:rPr>
        <w:t xml:space="preserve"> graves des droits de l’homme</w:t>
      </w:r>
      <w:r w:rsidR="008F0F21" w:rsidRPr="007668DF">
        <w:rPr>
          <w:rFonts w:ascii="Times New Roman" w:hAnsi="Times New Roman"/>
          <w:sz w:val="24"/>
          <w:szCs w:val="24"/>
        </w:rPr>
        <w:t xml:space="preserve"> et </w:t>
      </w:r>
      <w:r w:rsidR="001905CA" w:rsidRPr="007668DF">
        <w:rPr>
          <w:rFonts w:ascii="Times New Roman" w:hAnsi="Times New Roman"/>
          <w:sz w:val="24"/>
          <w:szCs w:val="24"/>
        </w:rPr>
        <w:t xml:space="preserve">de violations graves </w:t>
      </w:r>
      <w:r w:rsidR="008F0F21" w:rsidRPr="007668DF">
        <w:rPr>
          <w:rFonts w:ascii="Times New Roman" w:hAnsi="Times New Roman"/>
          <w:sz w:val="24"/>
          <w:szCs w:val="24"/>
        </w:rPr>
        <w:t>du droit international humanitaire</w:t>
      </w:r>
      <w:r w:rsidR="00E81CFC" w:rsidRPr="007668DF">
        <w:rPr>
          <w:rFonts w:ascii="Times New Roman" w:hAnsi="Times New Roman"/>
          <w:sz w:val="24"/>
          <w:szCs w:val="24"/>
        </w:rPr>
        <w:t xml:space="preserve"> </w:t>
      </w:r>
      <w:r w:rsidR="00EB4AC5" w:rsidRPr="007668DF">
        <w:rPr>
          <w:rFonts w:ascii="Times New Roman" w:hAnsi="Times New Roman"/>
          <w:sz w:val="24"/>
          <w:szCs w:val="24"/>
        </w:rPr>
        <w:t>commis</w:t>
      </w:r>
      <w:r w:rsidR="00E81CFC" w:rsidRPr="007668DF">
        <w:rPr>
          <w:rFonts w:ascii="Times New Roman" w:hAnsi="Times New Roman"/>
          <w:sz w:val="24"/>
          <w:szCs w:val="24"/>
        </w:rPr>
        <w:t xml:space="preserve"> sur le territoire national, </w:t>
      </w:r>
      <w:r w:rsidR="00920C43" w:rsidRPr="007668DF">
        <w:rPr>
          <w:rFonts w:ascii="Times New Roman" w:hAnsi="Times New Roman"/>
          <w:sz w:val="24"/>
          <w:szCs w:val="24"/>
        </w:rPr>
        <w:t>notamment</w:t>
      </w:r>
      <w:r w:rsidR="00E81CFC" w:rsidRPr="007668DF">
        <w:rPr>
          <w:rFonts w:ascii="Times New Roman" w:hAnsi="Times New Roman"/>
          <w:sz w:val="24"/>
          <w:szCs w:val="24"/>
        </w:rPr>
        <w:t xml:space="preserve"> en rapport avec la crise de 2012</w:t>
      </w:r>
      <w:r w:rsidR="00E528E5" w:rsidRPr="007668DF">
        <w:rPr>
          <w:rStyle w:val="FootnoteReference"/>
          <w:rFonts w:ascii="Times New Roman" w:hAnsi="Times New Roman"/>
          <w:sz w:val="24"/>
          <w:szCs w:val="24"/>
        </w:rPr>
        <w:footnoteReference w:id="2"/>
      </w:r>
      <w:r w:rsidR="00E81CFC" w:rsidRPr="007668DF">
        <w:rPr>
          <w:rFonts w:ascii="Times New Roman" w:hAnsi="Times New Roman"/>
          <w:sz w:val="24"/>
          <w:szCs w:val="24"/>
        </w:rPr>
        <w:t xml:space="preserve">. </w:t>
      </w:r>
    </w:p>
    <w:p w:rsidR="00E528E5" w:rsidRPr="007668DF" w:rsidRDefault="00B51680" w:rsidP="006C2FA0">
      <w:pPr>
        <w:pStyle w:val="ListParagraph"/>
        <w:tabs>
          <w:tab w:val="left" w:pos="567"/>
          <w:tab w:val="left" w:pos="1134"/>
        </w:tabs>
        <w:ind w:left="0"/>
        <w:jc w:val="both"/>
        <w:rPr>
          <w:rFonts w:ascii="Times New Roman" w:eastAsia="Malgun Gothic" w:hAnsi="Times New Roman"/>
          <w:sz w:val="24"/>
          <w:szCs w:val="24"/>
        </w:rPr>
      </w:pPr>
      <w:r w:rsidRPr="007668DF">
        <w:rPr>
          <w:rFonts w:ascii="Times New Roman" w:hAnsi="Times New Roman"/>
          <w:sz w:val="24"/>
          <w:szCs w:val="24"/>
        </w:rPr>
        <w:tab/>
      </w:r>
    </w:p>
    <w:p w:rsidR="00A264B0" w:rsidRPr="007668DF" w:rsidRDefault="00A50464" w:rsidP="006C2FA0">
      <w:pPr>
        <w:pStyle w:val="ListParagraph"/>
        <w:tabs>
          <w:tab w:val="left" w:pos="567"/>
          <w:tab w:val="left" w:pos="1134"/>
        </w:tabs>
        <w:ind w:left="0"/>
        <w:jc w:val="both"/>
        <w:rPr>
          <w:rFonts w:ascii="Times New Roman" w:eastAsia="Malgun Gothic" w:hAnsi="Times New Roman"/>
          <w:sz w:val="24"/>
          <w:szCs w:val="24"/>
          <w:lang w:eastAsia="en-GB"/>
        </w:rPr>
      </w:pPr>
      <w:r w:rsidRPr="007668DF">
        <w:rPr>
          <w:rFonts w:ascii="Times New Roman" w:eastAsia="Malgun Gothic" w:hAnsi="Times New Roman"/>
          <w:sz w:val="24"/>
          <w:szCs w:val="24"/>
        </w:rPr>
        <w:t>4</w:t>
      </w:r>
      <w:r w:rsidR="00CF64A0" w:rsidRPr="007668DF">
        <w:rPr>
          <w:rFonts w:ascii="Times New Roman" w:eastAsia="Malgun Gothic" w:hAnsi="Times New Roman"/>
          <w:sz w:val="24"/>
          <w:szCs w:val="24"/>
        </w:rPr>
        <w:t>.</w:t>
      </w:r>
      <w:r w:rsidR="00CF64A0" w:rsidRPr="007668DF">
        <w:rPr>
          <w:rFonts w:ascii="Times New Roman" w:eastAsia="Malgun Gothic" w:hAnsi="Times New Roman"/>
          <w:sz w:val="24"/>
          <w:szCs w:val="24"/>
        </w:rPr>
        <w:tab/>
      </w:r>
      <w:r w:rsidR="00E528E5" w:rsidRPr="007668DF">
        <w:rPr>
          <w:rFonts w:ascii="Times New Roman" w:eastAsia="Malgun Gothic" w:hAnsi="Times New Roman"/>
          <w:sz w:val="24"/>
          <w:szCs w:val="24"/>
        </w:rPr>
        <w:t xml:space="preserve">Bien que la situation politique et </w:t>
      </w:r>
      <w:r w:rsidR="0075053D" w:rsidRPr="007668DF">
        <w:rPr>
          <w:rFonts w:ascii="Times New Roman" w:eastAsia="Malgun Gothic" w:hAnsi="Times New Roman"/>
          <w:sz w:val="24"/>
          <w:szCs w:val="24"/>
        </w:rPr>
        <w:t>sécuritaire</w:t>
      </w:r>
      <w:r w:rsidR="00E528E5" w:rsidRPr="007668DF">
        <w:rPr>
          <w:rFonts w:ascii="Times New Roman" w:eastAsia="Malgun Gothic" w:hAnsi="Times New Roman"/>
          <w:sz w:val="24"/>
          <w:szCs w:val="24"/>
        </w:rPr>
        <w:t xml:space="preserve"> </w:t>
      </w:r>
      <w:r w:rsidR="00F17F37" w:rsidRPr="007668DF">
        <w:rPr>
          <w:rFonts w:ascii="Times New Roman" w:eastAsia="Malgun Gothic" w:hAnsi="Times New Roman"/>
          <w:sz w:val="24"/>
          <w:szCs w:val="24"/>
        </w:rPr>
        <w:t xml:space="preserve">se </w:t>
      </w:r>
      <w:r w:rsidR="00ED323A" w:rsidRPr="007668DF">
        <w:rPr>
          <w:rFonts w:ascii="Times New Roman" w:eastAsia="Malgun Gothic" w:hAnsi="Times New Roman"/>
          <w:sz w:val="24"/>
          <w:szCs w:val="24"/>
        </w:rPr>
        <w:t>soit</w:t>
      </w:r>
      <w:r w:rsidR="00F17F37" w:rsidRPr="007668DF">
        <w:rPr>
          <w:rFonts w:ascii="Times New Roman" w:eastAsia="Malgun Gothic" w:hAnsi="Times New Roman"/>
          <w:sz w:val="24"/>
          <w:szCs w:val="24"/>
        </w:rPr>
        <w:t xml:space="preserve"> </w:t>
      </w:r>
      <w:r w:rsidR="0075053D" w:rsidRPr="007668DF">
        <w:rPr>
          <w:rFonts w:ascii="Times New Roman" w:eastAsia="Malgun Gothic" w:hAnsi="Times New Roman"/>
          <w:sz w:val="24"/>
          <w:szCs w:val="24"/>
        </w:rPr>
        <w:t>relativement améliorée jusqu’au</w:t>
      </w:r>
      <w:r w:rsidR="00B858B8" w:rsidRPr="007668DF">
        <w:rPr>
          <w:rFonts w:ascii="Times New Roman" w:eastAsia="Malgun Gothic" w:hAnsi="Times New Roman"/>
          <w:sz w:val="24"/>
          <w:szCs w:val="24"/>
        </w:rPr>
        <w:t xml:space="preserve"> </w:t>
      </w:r>
      <w:r w:rsidR="0075053D" w:rsidRPr="007668DF">
        <w:rPr>
          <w:rFonts w:ascii="Times New Roman" w:eastAsia="Malgun Gothic" w:hAnsi="Times New Roman"/>
          <w:sz w:val="24"/>
          <w:szCs w:val="24"/>
        </w:rPr>
        <w:t>1</w:t>
      </w:r>
      <w:r w:rsidR="00534489" w:rsidRPr="007668DF">
        <w:rPr>
          <w:rFonts w:ascii="Times New Roman" w:eastAsia="Malgun Gothic" w:hAnsi="Times New Roman"/>
          <w:sz w:val="24"/>
          <w:szCs w:val="24"/>
        </w:rPr>
        <w:t>7</w:t>
      </w:r>
      <w:r w:rsidR="0075053D" w:rsidRPr="007668DF">
        <w:rPr>
          <w:rFonts w:ascii="Times New Roman" w:eastAsia="Malgun Gothic" w:hAnsi="Times New Roman"/>
          <w:sz w:val="24"/>
          <w:szCs w:val="24"/>
        </w:rPr>
        <w:t xml:space="preserve"> </w:t>
      </w:r>
      <w:r w:rsidR="00915593" w:rsidRPr="007668DF">
        <w:rPr>
          <w:rFonts w:ascii="Times New Roman" w:eastAsia="Malgun Gothic" w:hAnsi="Times New Roman"/>
          <w:sz w:val="24"/>
          <w:szCs w:val="24"/>
        </w:rPr>
        <w:t>mai</w:t>
      </w:r>
      <w:r w:rsidR="0075053D" w:rsidRPr="007668DF">
        <w:rPr>
          <w:rFonts w:ascii="Times New Roman" w:eastAsia="Malgun Gothic" w:hAnsi="Times New Roman"/>
          <w:sz w:val="24"/>
          <w:szCs w:val="24"/>
        </w:rPr>
        <w:t xml:space="preserve"> 2014</w:t>
      </w:r>
      <w:r w:rsidR="00915593" w:rsidRPr="007668DF">
        <w:rPr>
          <w:rFonts w:ascii="Times New Roman" w:eastAsia="Malgun Gothic" w:hAnsi="Times New Roman"/>
          <w:sz w:val="24"/>
          <w:szCs w:val="24"/>
        </w:rPr>
        <w:t>,</w:t>
      </w:r>
      <w:r w:rsidR="0075053D" w:rsidRPr="007668DF">
        <w:rPr>
          <w:rFonts w:ascii="Times New Roman" w:eastAsia="Malgun Gothic" w:hAnsi="Times New Roman"/>
          <w:sz w:val="24"/>
          <w:szCs w:val="24"/>
        </w:rPr>
        <w:t xml:space="preserve">  </w:t>
      </w:r>
      <w:r w:rsidR="00B858B8" w:rsidRPr="007668DF">
        <w:rPr>
          <w:rFonts w:ascii="Times New Roman" w:eastAsia="Malgun Gothic" w:hAnsi="Times New Roman"/>
          <w:sz w:val="24"/>
          <w:szCs w:val="24"/>
        </w:rPr>
        <w:t>des cas de</w:t>
      </w:r>
      <w:r w:rsidR="0075053D" w:rsidRPr="007668DF">
        <w:rPr>
          <w:rFonts w:ascii="Times New Roman" w:eastAsia="Malgun Gothic" w:hAnsi="Times New Roman"/>
          <w:sz w:val="24"/>
          <w:szCs w:val="24"/>
        </w:rPr>
        <w:t xml:space="preserve"> violations </w:t>
      </w:r>
      <w:r w:rsidR="00534489" w:rsidRPr="007668DF">
        <w:rPr>
          <w:rFonts w:ascii="Times New Roman" w:eastAsia="Malgun Gothic" w:hAnsi="Times New Roman"/>
          <w:sz w:val="24"/>
          <w:szCs w:val="24"/>
        </w:rPr>
        <w:t xml:space="preserve">et d’abus </w:t>
      </w:r>
      <w:r w:rsidR="0075053D" w:rsidRPr="007668DF">
        <w:rPr>
          <w:rFonts w:ascii="Times New Roman" w:eastAsia="Malgun Gothic" w:hAnsi="Times New Roman"/>
          <w:sz w:val="24"/>
          <w:szCs w:val="24"/>
        </w:rPr>
        <w:t xml:space="preserve">graves </w:t>
      </w:r>
      <w:r w:rsidR="00F357C9" w:rsidRPr="007668DF">
        <w:rPr>
          <w:rFonts w:ascii="Times New Roman" w:eastAsia="Malgun Gothic" w:hAnsi="Times New Roman"/>
          <w:sz w:val="24"/>
          <w:szCs w:val="24"/>
        </w:rPr>
        <w:t>des droits de l’homme</w:t>
      </w:r>
      <w:r w:rsidR="002D6840">
        <w:rPr>
          <w:rFonts w:ascii="Times New Roman" w:eastAsia="Malgun Gothic" w:hAnsi="Times New Roman"/>
          <w:sz w:val="24"/>
          <w:szCs w:val="24"/>
        </w:rPr>
        <w:t xml:space="preserve"> et du droit international humanitaire</w:t>
      </w:r>
      <w:r w:rsidR="00F357C9" w:rsidRPr="007668DF">
        <w:rPr>
          <w:rFonts w:ascii="Times New Roman" w:eastAsia="Malgun Gothic" w:hAnsi="Times New Roman"/>
          <w:sz w:val="24"/>
          <w:szCs w:val="24"/>
        </w:rPr>
        <w:t xml:space="preserve"> </w:t>
      </w:r>
      <w:r w:rsidR="009D74BD" w:rsidRPr="007668DF">
        <w:rPr>
          <w:rFonts w:ascii="Times New Roman" w:eastAsia="Malgun Gothic" w:hAnsi="Times New Roman"/>
          <w:sz w:val="24"/>
          <w:szCs w:val="24"/>
        </w:rPr>
        <w:t xml:space="preserve">ont été commis et </w:t>
      </w:r>
      <w:r w:rsidR="0075053D" w:rsidRPr="007668DF">
        <w:rPr>
          <w:rFonts w:ascii="Times New Roman" w:eastAsia="Malgun Gothic" w:hAnsi="Times New Roman"/>
          <w:sz w:val="24"/>
          <w:szCs w:val="24"/>
        </w:rPr>
        <w:t xml:space="preserve">continuent </w:t>
      </w:r>
      <w:r w:rsidR="009F12C9" w:rsidRPr="007668DF">
        <w:rPr>
          <w:rFonts w:ascii="Times New Roman" w:eastAsia="Malgun Gothic" w:hAnsi="Times New Roman"/>
          <w:sz w:val="24"/>
          <w:szCs w:val="24"/>
        </w:rPr>
        <w:t>d’</w:t>
      </w:r>
      <w:r w:rsidR="0075053D" w:rsidRPr="007668DF">
        <w:rPr>
          <w:rFonts w:ascii="Times New Roman" w:eastAsia="Malgun Gothic" w:hAnsi="Times New Roman"/>
          <w:sz w:val="24"/>
          <w:szCs w:val="24"/>
        </w:rPr>
        <w:t>être</w:t>
      </w:r>
      <w:r w:rsidR="009D74BD" w:rsidRPr="007668DF">
        <w:rPr>
          <w:rFonts w:ascii="Times New Roman" w:eastAsia="Malgun Gothic" w:hAnsi="Times New Roman"/>
          <w:sz w:val="24"/>
          <w:szCs w:val="24"/>
        </w:rPr>
        <w:t xml:space="preserve"> commis</w:t>
      </w:r>
      <w:r w:rsidR="0075053D" w:rsidRPr="007668DF">
        <w:rPr>
          <w:rFonts w:ascii="Times New Roman" w:eastAsia="Malgun Gothic" w:hAnsi="Times New Roman"/>
          <w:sz w:val="24"/>
          <w:szCs w:val="24"/>
        </w:rPr>
        <w:t xml:space="preserve"> </w:t>
      </w:r>
      <w:r w:rsidR="00831C52" w:rsidRPr="007668DF">
        <w:rPr>
          <w:rFonts w:ascii="Times New Roman" w:eastAsia="Malgun Gothic" w:hAnsi="Times New Roman"/>
          <w:sz w:val="24"/>
          <w:szCs w:val="24"/>
        </w:rPr>
        <w:t>aussi bien</w:t>
      </w:r>
      <w:r w:rsidR="0075053D" w:rsidRPr="007668DF">
        <w:rPr>
          <w:rFonts w:ascii="Times New Roman" w:eastAsia="Malgun Gothic" w:hAnsi="Times New Roman"/>
          <w:sz w:val="24"/>
          <w:szCs w:val="24"/>
        </w:rPr>
        <w:t xml:space="preserve"> par les éléments des forces armées maliennes</w:t>
      </w:r>
      <w:r w:rsidR="00B858B8" w:rsidRPr="007668DF">
        <w:rPr>
          <w:rFonts w:ascii="Times New Roman" w:eastAsia="Malgun Gothic" w:hAnsi="Times New Roman"/>
          <w:sz w:val="24"/>
          <w:szCs w:val="24"/>
        </w:rPr>
        <w:t xml:space="preserve"> que par les </w:t>
      </w:r>
      <w:r w:rsidR="009E4B24" w:rsidRPr="007668DF">
        <w:rPr>
          <w:rFonts w:ascii="Times New Roman" w:eastAsia="Malgun Gothic" w:hAnsi="Times New Roman"/>
          <w:sz w:val="24"/>
          <w:szCs w:val="24"/>
        </w:rPr>
        <w:t xml:space="preserve">éléments </w:t>
      </w:r>
      <w:r w:rsidR="00B858B8" w:rsidRPr="007668DF">
        <w:rPr>
          <w:rFonts w:ascii="Times New Roman" w:eastAsia="Malgun Gothic" w:hAnsi="Times New Roman"/>
          <w:sz w:val="24"/>
          <w:szCs w:val="24"/>
        </w:rPr>
        <w:t>des groupes armés.</w:t>
      </w:r>
    </w:p>
    <w:p w:rsidR="00E528E5" w:rsidRPr="007668DF" w:rsidRDefault="00E528E5" w:rsidP="006C2FA0">
      <w:pPr>
        <w:pStyle w:val="ListParagraph"/>
        <w:tabs>
          <w:tab w:val="left" w:pos="567"/>
          <w:tab w:val="left" w:pos="1134"/>
        </w:tabs>
        <w:ind w:left="0"/>
        <w:jc w:val="both"/>
        <w:rPr>
          <w:rFonts w:ascii="Times New Roman" w:eastAsia="Malgun Gothic" w:hAnsi="Times New Roman"/>
          <w:sz w:val="24"/>
          <w:szCs w:val="24"/>
        </w:rPr>
      </w:pPr>
    </w:p>
    <w:p w:rsidR="00202212" w:rsidRPr="007668DF" w:rsidRDefault="00A50464" w:rsidP="006C2FA0">
      <w:pPr>
        <w:pStyle w:val="ListParagraph"/>
        <w:tabs>
          <w:tab w:val="left" w:pos="567"/>
        </w:tabs>
        <w:spacing w:after="0"/>
        <w:ind w:left="0"/>
        <w:jc w:val="both"/>
        <w:rPr>
          <w:rFonts w:ascii="Times New Roman" w:eastAsia="Malgun Gothic" w:hAnsi="Times New Roman"/>
          <w:sz w:val="24"/>
          <w:szCs w:val="24"/>
          <w:lang w:eastAsia="en-GB"/>
        </w:rPr>
      </w:pPr>
      <w:r w:rsidRPr="007668DF">
        <w:rPr>
          <w:rFonts w:ascii="Times New Roman" w:eastAsia="Malgun Gothic" w:hAnsi="Times New Roman"/>
          <w:sz w:val="24"/>
          <w:szCs w:val="24"/>
          <w:lang w:eastAsia="en-GB"/>
        </w:rPr>
        <w:t>5</w:t>
      </w:r>
      <w:r w:rsidR="00DF042A" w:rsidRPr="007668DF">
        <w:rPr>
          <w:rFonts w:ascii="Times New Roman" w:eastAsia="Malgun Gothic" w:hAnsi="Times New Roman"/>
          <w:sz w:val="24"/>
          <w:szCs w:val="24"/>
          <w:lang w:eastAsia="en-GB"/>
        </w:rPr>
        <w:t>.</w:t>
      </w:r>
      <w:r w:rsidR="00CF64A0" w:rsidRPr="007668DF">
        <w:rPr>
          <w:rFonts w:ascii="Times New Roman" w:eastAsia="Malgun Gothic" w:hAnsi="Times New Roman"/>
          <w:sz w:val="24"/>
          <w:szCs w:val="24"/>
          <w:lang w:eastAsia="en-GB"/>
        </w:rPr>
        <w:tab/>
      </w:r>
      <w:r w:rsidR="009D74BD" w:rsidRPr="007668DF">
        <w:rPr>
          <w:rFonts w:ascii="Times New Roman" w:eastAsia="Malgun Gothic" w:hAnsi="Times New Roman"/>
          <w:sz w:val="24"/>
          <w:szCs w:val="24"/>
          <w:lang w:eastAsia="en-GB"/>
        </w:rPr>
        <w:t>Depuis la mise en place du gouvernement issu des élections de juillet 2013</w:t>
      </w:r>
      <w:r w:rsidR="00831C52" w:rsidRPr="007668DF">
        <w:rPr>
          <w:rFonts w:ascii="Times New Roman" w:eastAsia="Malgun Gothic" w:hAnsi="Times New Roman"/>
          <w:sz w:val="24"/>
          <w:szCs w:val="24"/>
          <w:lang w:eastAsia="en-GB"/>
        </w:rPr>
        <w:t>,</w:t>
      </w:r>
      <w:r w:rsidR="009D74BD" w:rsidRPr="007668DF">
        <w:rPr>
          <w:rFonts w:ascii="Times New Roman" w:eastAsia="Malgun Gothic" w:hAnsi="Times New Roman"/>
          <w:sz w:val="24"/>
          <w:szCs w:val="24"/>
          <w:lang w:eastAsia="en-GB"/>
        </w:rPr>
        <w:t xml:space="preserve"> l</w:t>
      </w:r>
      <w:r w:rsidR="00B858B8" w:rsidRPr="007668DF">
        <w:rPr>
          <w:rFonts w:ascii="Times New Roman" w:eastAsia="Malgun Gothic" w:hAnsi="Times New Roman"/>
          <w:sz w:val="24"/>
          <w:szCs w:val="24"/>
          <w:lang w:eastAsia="en-GB"/>
        </w:rPr>
        <w:t xml:space="preserve">es autorités maliennes </w:t>
      </w:r>
      <w:r w:rsidR="007013FD">
        <w:rPr>
          <w:rFonts w:ascii="Times New Roman" w:eastAsia="Malgun Gothic" w:hAnsi="Times New Roman"/>
          <w:sz w:val="24"/>
          <w:szCs w:val="24"/>
          <w:lang w:eastAsia="en-GB"/>
        </w:rPr>
        <w:t xml:space="preserve">ont pris des engagements en matière de </w:t>
      </w:r>
      <w:r w:rsidR="00CE7F83" w:rsidRPr="007668DF">
        <w:rPr>
          <w:rFonts w:ascii="Times New Roman" w:eastAsia="Malgun Gothic" w:hAnsi="Times New Roman"/>
          <w:sz w:val="24"/>
          <w:szCs w:val="24"/>
          <w:lang w:eastAsia="en-GB"/>
        </w:rPr>
        <w:t>lutte contre l’impunité</w:t>
      </w:r>
      <w:r w:rsidR="007013FD">
        <w:rPr>
          <w:rFonts w:ascii="Times New Roman" w:eastAsia="Malgun Gothic" w:hAnsi="Times New Roman"/>
          <w:sz w:val="24"/>
          <w:szCs w:val="24"/>
          <w:lang w:eastAsia="en-GB"/>
        </w:rPr>
        <w:t xml:space="preserve">. Du </w:t>
      </w:r>
      <w:r w:rsidR="00BB053D">
        <w:rPr>
          <w:rFonts w:ascii="Times New Roman" w:eastAsia="Malgun Gothic" w:hAnsi="Times New Roman"/>
          <w:sz w:val="24"/>
          <w:szCs w:val="24"/>
          <w:lang w:eastAsia="en-GB"/>
        </w:rPr>
        <w:t>n</w:t>
      </w:r>
      <w:r w:rsidR="007013FD">
        <w:rPr>
          <w:rFonts w:ascii="Times New Roman" w:eastAsia="Malgun Gothic" w:hAnsi="Times New Roman"/>
          <w:sz w:val="24"/>
          <w:szCs w:val="24"/>
          <w:lang w:eastAsia="en-GB"/>
        </w:rPr>
        <w:t xml:space="preserve">ord au </w:t>
      </w:r>
      <w:r w:rsidR="00BB053D">
        <w:rPr>
          <w:rFonts w:ascii="Times New Roman" w:eastAsia="Malgun Gothic" w:hAnsi="Times New Roman"/>
          <w:sz w:val="24"/>
          <w:szCs w:val="24"/>
          <w:lang w:eastAsia="en-GB"/>
        </w:rPr>
        <w:t>s</w:t>
      </w:r>
      <w:r w:rsidR="007013FD">
        <w:rPr>
          <w:rFonts w:ascii="Times New Roman" w:eastAsia="Malgun Gothic" w:hAnsi="Times New Roman"/>
          <w:sz w:val="24"/>
          <w:szCs w:val="24"/>
          <w:lang w:eastAsia="en-GB"/>
        </w:rPr>
        <w:t xml:space="preserve">ud du pays, on observe des disparités notamment dans le suivi judiciaire des affaires eu égard à l’absence de structures judiciaires au </w:t>
      </w:r>
      <w:r w:rsidR="00BB053D">
        <w:rPr>
          <w:rFonts w:ascii="Times New Roman" w:eastAsia="Malgun Gothic" w:hAnsi="Times New Roman"/>
          <w:sz w:val="24"/>
          <w:szCs w:val="24"/>
          <w:lang w:eastAsia="en-GB"/>
        </w:rPr>
        <w:t>n</w:t>
      </w:r>
      <w:r w:rsidR="007013FD">
        <w:rPr>
          <w:rFonts w:ascii="Times New Roman" w:eastAsia="Malgun Gothic" w:hAnsi="Times New Roman"/>
          <w:sz w:val="24"/>
          <w:szCs w:val="24"/>
          <w:lang w:eastAsia="en-GB"/>
        </w:rPr>
        <w:t>ord.</w:t>
      </w:r>
      <w:r w:rsidR="00CE7F83" w:rsidRPr="007668DF">
        <w:rPr>
          <w:rFonts w:ascii="Times New Roman" w:eastAsia="Malgun Gothic" w:hAnsi="Times New Roman"/>
          <w:sz w:val="24"/>
          <w:szCs w:val="24"/>
          <w:lang w:eastAsia="en-GB"/>
        </w:rPr>
        <w:t xml:space="preserve"> </w:t>
      </w:r>
      <w:r w:rsidR="007013FD">
        <w:rPr>
          <w:rFonts w:ascii="Times New Roman" w:eastAsia="Malgun Gothic" w:hAnsi="Times New Roman"/>
          <w:sz w:val="24"/>
          <w:szCs w:val="24"/>
          <w:lang w:eastAsia="en-GB"/>
        </w:rPr>
        <w:t>A cet effet,</w:t>
      </w:r>
      <w:r w:rsidR="00CE7F83" w:rsidRPr="007668DF">
        <w:rPr>
          <w:rFonts w:ascii="Times New Roman" w:eastAsia="Malgun Gothic" w:hAnsi="Times New Roman"/>
          <w:sz w:val="24"/>
          <w:szCs w:val="24"/>
          <w:lang w:eastAsia="en-GB"/>
        </w:rPr>
        <w:t xml:space="preserve"> </w:t>
      </w:r>
      <w:r w:rsidR="007013FD">
        <w:rPr>
          <w:rFonts w:ascii="Times New Roman" w:eastAsia="Malgun Gothic" w:hAnsi="Times New Roman"/>
          <w:sz w:val="24"/>
          <w:szCs w:val="24"/>
          <w:lang w:eastAsia="en-GB"/>
        </w:rPr>
        <w:t>l</w:t>
      </w:r>
      <w:r w:rsidR="00B27C36" w:rsidRPr="007668DF">
        <w:rPr>
          <w:rFonts w:ascii="Times New Roman" w:eastAsia="Malgun Gothic" w:hAnsi="Times New Roman"/>
          <w:sz w:val="24"/>
          <w:szCs w:val="24"/>
          <w:lang w:eastAsia="en-GB"/>
        </w:rPr>
        <w:t>’affaire des bérets rouges</w:t>
      </w:r>
      <w:r w:rsidR="00326B56" w:rsidRPr="007668DF">
        <w:rPr>
          <w:rFonts w:ascii="Times New Roman" w:eastAsia="Malgun Gothic" w:hAnsi="Times New Roman"/>
          <w:sz w:val="24"/>
          <w:szCs w:val="24"/>
          <w:lang w:eastAsia="en-GB"/>
        </w:rPr>
        <w:t>,</w:t>
      </w:r>
      <w:r w:rsidR="00B27C36" w:rsidRPr="007668DF">
        <w:rPr>
          <w:rFonts w:ascii="Times New Roman" w:eastAsia="Malgun Gothic" w:hAnsi="Times New Roman"/>
          <w:sz w:val="24"/>
          <w:szCs w:val="24"/>
          <w:lang w:eastAsia="en-GB"/>
        </w:rPr>
        <w:t xml:space="preserve"> dans l</w:t>
      </w:r>
      <w:r w:rsidR="008F0F21" w:rsidRPr="007668DF">
        <w:rPr>
          <w:rFonts w:ascii="Times New Roman" w:eastAsia="Malgun Gothic" w:hAnsi="Times New Roman"/>
          <w:sz w:val="24"/>
          <w:szCs w:val="24"/>
          <w:lang w:eastAsia="en-GB"/>
        </w:rPr>
        <w:t>a</w:t>
      </w:r>
      <w:r w:rsidR="00B27C36" w:rsidRPr="007668DF">
        <w:rPr>
          <w:rFonts w:ascii="Times New Roman" w:eastAsia="Malgun Gothic" w:hAnsi="Times New Roman"/>
          <w:sz w:val="24"/>
          <w:szCs w:val="24"/>
          <w:lang w:eastAsia="en-GB"/>
        </w:rPr>
        <w:t>quel</w:t>
      </w:r>
      <w:r w:rsidR="008F0F21" w:rsidRPr="007668DF">
        <w:rPr>
          <w:rFonts w:ascii="Times New Roman" w:eastAsia="Malgun Gothic" w:hAnsi="Times New Roman"/>
          <w:sz w:val="24"/>
          <w:szCs w:val="24"/>
          <w:lang w:eastAsia="en-GB"/>
        </w:rPr>
        <w:t>le</w:t>
      </w:r>
      <w:r w:rsidR="00B27C36" w:rsidRPr="007668DF">
        <w:rPr>
          <w:rFonts w:ascii="Times New Roman" w:eastAsia="Malgun Gothic" w:hAnsi="Times New Roman"/>
          <w:sz w:val="24"/>
          <w:szCs w:val="24"/>
          <w:lang w:eastAsia="en-GB"/>
        </w:rPr>
        <w:t xml:space="preserve"> 21 personnes ont été tuées au mois d’avril 2012 à Bamako</w:t>
      </w:r>
      <w:r w:rsidR="00326B56" w:rsidRPr="007668DF">
        <w:rPr>
          <w:rFonts w:ascii="Times New Roman" w:eastAsia="Malgun Gothic" w:hAnsi="Times New Roman"/>
          <w:sz w:val="24"/>
          <w:szCs w:val="24"/>
          <w:lang w:eastAsia="en-GB"/>
        </w:rPr>
        <w:t>,</w:t>
      </w:r>
      <w:r w:rsidR="00B27C36" w:rsidRPr="007668DF">
        <w:rPr>
          <w:rFonts w:ascii="Times New Roman" w:eastAsia="Malgun Gothic" w:hAnsi="Times New Roman"/>
          <w:sz w:val="24"/>
          <w:szCs w:val="24"/>
          <w:lang w:eastAsia="en-GB"/>
        </w:rPr>
        <w:t xml:space="preserve"> et l’affaire dite de la «mutinerie de Kati » de septembre 2013</w:t>
      </w:r>
      <w:r w:rsidR="00326B56" w:rsidRPr="007668DF">
        <w:rPr>
          <w:rFonts w:ascii="Times New Roman" w:eastAsia="Malgun Gothic" w:hAnsi="Times New Roman"/>
          <w:sz w:val="24"/>
          <w:szCs w:val="24"/>
          <w:lang w:eastAsia="en-GB"/>
        </w:rPr>
        <w:t>,</w:t>
      </w:r>
      <w:r w:rsidR="00B27C36" w:rsidRPr="007668DF">
        <w:rPr>
          <w:rFonts w:ascii="Times New Roman" w:eastAsia="Malgun Gothic" w:hAnsi="Times New Roman"/>
          <w:sz w:val="24"/>
          <w:szCs w:val="24"/>
          <w:lang w:eastAsia="en-GB"/>
        </w:rPr>
        <w:t xml:space="preserve"> au cours de laquelle </w:t>
      </w:r>
      <w:r w:rsidR="007013FD">
        <w:rPr>
          <w:rFonts w:ascii="Times New Roman" w:eastAsia="Malgun Gothic" w:hAnsi="Times New Roman"/>
          <w:sz w:val="24"/>
          <w:szCs w:val="24"/>
          <w:lang w:eastAsia="en-GB"/>
        </w:rPr>
        <w:t>4</w:t>
      </w:r>
      <w:r w:rsidR="007013FD" w:rsidRPr="007668DF">
        <w:rPr>
          <w:rFonts w:ascii="Times New Roman" w:eastAsia="Malgun Gothic" w:hAnsi="Times New Roman"/>
          <w:sz w:val="24"/>
          <w:szCs w:val="24"/>
          <w:lang w:eastAsia="en-GB"/>
        </w:rPr>
        <w:t xml:space="preserve"> </w:t>
      </w:r>
      <w:r w:rsidR="00B27C36" w:rsidRPr="007668DF">
        <w:rPr>
          <w:rFonts w:ascii="Times New Roman" w:eastAsia="Malgun Gothic" w:hAnsi="Times New Roman"/>
          <w:sz w:val="24"/>
          <w:szCs w:val="24"/>
          <w:lang w:eastAsia="en-GB"/>
        </w:rPr>
        <w:t xml:space="preserve">militaires avaient été abattus et </w:t>
      </w:r>
      <w:r w:rsidR="007013FD">
        <w:rPr>
          <w:rFonts w:ascii="Times New Roman" w:eastAsia="Malgun Gothic" w:hAnsi="Times New Roman"/>
          <w:sz w:val="24"/>
          <w:szCs w:val="24"/>
          <w:lang w:eastAsia="en-GB"/>
        </w:rPr>
        <w:t>7</w:t>
      </w:r>
      <w:r w:rsidR="007013FD" w:rsidRPr="007668DF">
        <w:rPr>
          <w:rFonts w:ascii="Times New Roman" w:eastAsia="Malgun Gothic" w:hAnsi="Times New Roman"/>
          <w:sz w:val="24"/>
          <w:szCs w:val="24"/>
          <w:lang w:eastAsia="en-GB"/>
        </w:rPr>
        <w:t xml:space="preserve"> </w:t>
      </w:r>
      <w:r w:rsidR="00B27C36" w:rsidRPr="007668DF">
        <w:rPr>
          <w:rFonts w:ascii="Times New Roman" w:eastAsia="Malgun Gothic" w:hAnsi="Times New Roman"/>
          <w:sz w:val="24"/>
          <w:szCs w:val="24"/>
          <w:lang w:eastAsia="en-GB"/>
        </w:rPr>
        <w:t>autres disparu</w:t>
      </w:r>
      <w:r w:rsidR="0017190D">
        <w:rPr>
          <w:rFonts w:ascii="Times New Roman" w:eastAsia="Malgun Gothic" w:hAnsi="Times New Roman"/>
          <w:sz w:val="24"/>
          <w:szCs w:val="24"/>
          <w:lang w:eastAsia="en-GB"/>
        </w:rPr>
        <w:t>s</w:t>
      </w:r>
      <w:r w:rsidR="00326B56" w:rsidRPr="007668DF">
        <w:rPr>
          <w:rFonts w:ascii="Times New Roman" w:eastAsia="Malgun Gothic" w:hAnsi="Times New Roman"/>
          <w:sz w:val="24"/>
          <w:szCs w:val="24"/>
          <w:lang w:eastAsia="en-GB"/>
        </w:rPr>
        <w:t>,</w:t>
      </w:r>
      <w:r w:rsidR="00B27C36" w:rsidRPr="007668DF">
        <w:rPr>
          <w:rFonts w:ascii="Times New Roman" w:eastAsia="Malgun Gothic" w:hAnsi="Times New Roman"/>
          <w:sz w:val="24"/>
          <w:szCs w:val="24"/>
          <w:lang w:eastAsia="en-GB"/>
        </w:rPr>
        <w:t xml:space="preserve"> </w:t>
      </w:r>
      <w:r w:rsidR="00B27C36" w:rsidRPr="007668DF">
        <w:rPr>
          <w:rFonts w:ascii="Times New Roman" w:eastAsia="Malgun Gothic" w:hAnsi="Times New Roman"/>
          <w:sz w:val="24"/>
          <w:szCs w:val="24"/>
          <w:lang w:eastAsia="en-GB"/>
        </w:rPr>
        <w:lastRenderedPageBreak/>
        <w:t xml:space="preserve">ont en effet </w:t>
      </w:r>
      <w:r w:rsidR="00326B56" w:rsidRPr="007668DF">
        <w:rPr>
          <w:rFonts w:ascii="Times New Roman" w:eastAsia="Malgun Gothic" w:hAnsi="Times New Roman"/>
          <w:sz w:val="24"/>
          <w:szCs w:val="24"/>
          <w:lang w:eastAsia="en-GB"/>
        </w:rPr>
        <w:t>progressé</w:t>
      </w:r>
      <w:r w:rsidR="00616741" w:rsidRPr="007668DF">
        <w:rPr>
          <w:rFonts w:ascii="Times New Roman" w:eastAsia="Malgun Gothic" w:hAnsi="Times New Roman"/>
          <w:sz w:val="24"/>
          <w:szCs w:val="24"/>
          <w:lang w:eastAsia="en-GB"/>
        </w:rPr>
        <w:t xml:space="preserve"> </w:t>
      </w:r>
      <w:r w:rsidR="00494BEA" w:rsidRPr="007668DF">
        <w:rPr>
          <w:rFonts w:ascii="Times New Roman" w:eastAsia="Malgun Gothic" w:hAnsi="Times New Roman"/>
          <w:sz w:val="24"/>
          <w:szCs w:val="24"/>
          <w:lang w:eastAsia="en-GB"/>
        </w:rPr>
        <w:t>devant les tribunaux</w:t>
      </w:r>
      <w:r w:rsidR="00B27C36" w:rsidRPr="007668DF">
        <w:rPr>
          <w:rFonts w:ascii="Times New Roman" w:eastAsia="Malgun Gothic" w:hAnsi="Times New Roman"/>
          <w:sz w:val="24"/>
          <w:szCs w:val="24"/>
          <w:lang w:eastAsia="en-GB"/>
        </w:rPr>
        <w:t>.</w:t>
      </w:r>
      <w:r w:rsidR="009D74BD" w:rsidRPr="007668DF">
        <w:rPr>
          <w:rFonts w:ascii="Times New Roman" w:eastAsia="Malgun Gothic" w:hAnsi="Times New Roman"/>
          <w:sz w:val="24"/>
          <w:szCs w:val="24"/>
          <w:lang w:eastAsia="en-GB"/>
        </w:rPr>
        <w:t xml:space="preserve"> </w:t>
      </w:r>
      <w:r w:rsidR="00831C52" w:rsidRPr="007668DF">
        <w:rPr>
          <w:rFonts w:ascii="Times New Roman" w:eastAsia="Malgun Gothic" w:hAnsi="Times New Roman"/>
          <w:sz w:val="24"/>
          <w:szCs w:val="24"/>
          <w:lang w:eastAsia="en-GB"/>
        </w:rPr>
        <w:t>Cependant,</w:t>
      </w:r>
      <w:r w:rsidR="009D74BD" w:rsidRPr="007668DF">
        <w:rPr>
          <w:rFonts w:ascii="Times New Roman" w:eastAsia="Malgun Gothic" w:hAnsi="Times New Roman"/>
          <w:sz w:val="24"/>
          <w:szCs w:val="24"/>
          <w:lang w:eastAsia="en-GB"/>
        </w:rPr>
        <w:t xml:space="preserve"> </w:t>
      </w:r>
      <w:r w:rsidR="00CE7F83" w:rsidRPr="007668DF">
        <w:rPr>
          <w:rFonts w:ascii="Times New Roman" w:eastAsia="Malgun Gothic" w:hAnsi="Times New Roman"/>
          <w:sz w:val="24"/>
          <w:szCs w:val="24"/>
          <w:lang w:eastAsia="en-GB"/>
        </w:rPr>
        <w:t xml:space="preserve">les enquêtes concernant les violations </w:t>
      </w:r>
      <w:r w:rsidR="0017190D">
        <w:rPr>
          <w:rFonts w:ascii="Times New Roman" w:eastAsia="Malgun Gothic" w:hAnsi="Times New Roman"/>
          <w:sz w:val="24"/>
          <w:szCs w:val="24"/>
          <w:lang w:eastAsia="en-GB"/>
        </w:rPr>
        <w:t xml:space="preserve">et abus </w:t>
      </w:r>
      <w:r w:rsidR="00CE7F83" w:rsidRPr="007668DF">
        <w:rPr>
          <w:rFonts w:ascii="Times New Roman" w:eastAsia="Malgun Gothic" w:hAnsi="Times New Roman"/>
          <w:sz w:val="24"/>
          <w:szCs w:val="24"/>
          <w:lang w:eastAsia="en-GB"/>
        </w:rPr>
        <w:t>des droits de l’homme et d</w:t>
      </w:r>
      <w:r w:rsidR="00326B56" w:rsidRPr="007668DF">
        <w:rPr>
          <w:rFonts w:ascii="Times New Roman" w:eastAsia="Malgun Gothic" w:hAnsi="Times New Roman"/>
          <w:sz w:val="24"/>
          <w:szCs w:val="24"/>
          <w:lang w:eastAsia="en-GB"/>
        </w:rPr>
        <w:t>u</w:t>
      </w:r>
      <w:r w:rsidR="00CE7F83" w:rsidRPr="007668DF">
        <w:rPr>
          <w:rFonts w:ascii="Times New Roman" w:eastAsia="Malgun Gothic" w:hAnsi="Times New Roman"/>
          <w:sz w:val="24"/>
          <w:szCs w:val="24"/>
          <w:lang w:eastAsia="en-GB"/>
        </w:rPr>
        <w:t xml:space="preserve"> droit international humanitaire commis</w:t>
      </w:r>
      <w:r w:rsidR="0017190D">
        <w:rPr>
          <w:rFonts w:ascii="Times New Roman" w:eastAsia="Malgun Gothic" w:hAnsi="Times New Roman"/>
          <w:sz w:val="24"/>
          <w:szCs w:val="24"/>
          <w:lang w:eastAsia="en-GB"/>
        </w:rPr>
        <w:t>es</w:t>
      </w:r>
      <w:r w:rsidR="00CE7F83" w:rsidRPr="007668DF">
        <w:rPr>
          <w:rFonts w:ascii="Times New Roman" w:eastAsia="Malgun Gothic" w:hAnsi="Times New Roman"/>
          <w:sz w:val="24"/>
          <w:szCs w:val="24"/>
          <w:lang w:eastAsia="en-GB"/>
        </w:rPr>
        <w:t xml:space="preserve"> dans le nord du pays depuis janvier 2012 </w:t>
      </w:r>
      <w:r w:rsidR="007013FD">
        <w:rPr>
          <w:rFonts w:ascii="Times New Roman" w:eastAsia="Malgun Gothic" w:hAnsi="Times New Roman"/>
          <w:sz w:val="24"/>
          <w:szCs w:val="24"/>
          <w:lang w:eastAsia="en-GB"/>
        </w:rPr>
        <w:t>ont peu progressé</w:t>
      </w:r>
      <w:r w:rsidR="00616741" w:rsidRPr="007668DF">
        <w:rPr>
          <w:rFonts w:ascii="Times New Roman" w:eastAsia="Malgun Gothic" w:hAnsi="Times New Roman"/>
          <w:sz w:val="24"/>
          <w:szCs w:val="24"/>
          <w:lang w:eastAsia="en-GB"/>
        </w:rPr>
        <w:t>.</w:t>
      </w:r>
    </w:p>
    <w:p w:rsidR="00202212" w:rsidRPr="007668DF" w:rsidRDefault="00202212" w:rsidP="006C2FA0">
      <w:pPr>
        <w:pStyle w:val="ListParagraph"/>
        <w:tabs>
          <w:tab w:val="left" w:pos="567"/>
        </w:tabs>
        <w:spacing w:after="0"/>
        <w:ind w:left="0"/>
        <w:jc w:val="both"/>
        <w:rPr>
          <w:rFonts w:ascii="Times New Roman" w:eastAsia="Malgun Gothic" w:hAnsi="Times New Roman"/>
          <w:sz w:val="24"/>
          <w:szCs w:val="24"/>
          <w:lang w:eastAsia="en-GB"/>
        </w:rPr>
      </w:pPr>
    </w:p>
    <w:p w:rsidR="008F68A6" w:rsidRPr="007668DF" w:rsidRDefault="002F07C8" w:rsidP="006C2FA0">
      <w:pPr>
        <w:pStyle w:val="ListParagraph"/>
        <w:tabs>
          <w:tab w:val="left" w:pos="567"/>
        </w:tabs>
        <w:spacing w:after="0"/>
        <w:ind w:left="0"/>
        <w:jc w:val="both"/>
        <w:rPr>
          <w:rFonts w:ascii="Times New Roman" w:eastAsia="Malgun Gothic" w:hAnsi="Times New Roman"/>
          <w:color w:val="FF0000"/>
          <w:sz w:val="24"/>
          <w:szCs w:val="24"/>
          <w:lang w:eastAsia="en-GB"/>
        </w:rPr>
      </w:pPr>
      <w:r w:rsidRPr="007668DF">
        <w:rPr>
          <w:rFonts w:ascii="Times New Roman" w:eastAsia="Malgun Gothic" w:hAnsi="Times New Roman"/>
          <w:sz w:val="24"/>
          <w:szCs w:val="24"/>
          <w:lang w:eastAsia="en-GB"/>
        </w:rPr>
        <w:t xml:space="preserve">6.   </w:t>
      </w:r>
      <w:r w:rsidR="00CE7F83" w:rsidRPr="007668DF">
        <w:rPr>
          <w:rFonts w:ascii="Times New Roman" w:eastAsia="Malgun Gothic" w:hAnsi="Times New Roman"/>
          <w:sz w:val="24"/>
          <w:szCs w:val="24"/>
          <w:lang w:eastAsia="en-GB"/>
        </w:rPr>
        <w:t xml:space="preserve">Certes, certains cas ont </w:t>
      </w:r>
      <w:r w:rsidR="00F17F37" w:rsidRPr="007668DF">
        <w:rPr>
          <w:rFonts w:ascii="Times New Roman" w:eastAsia="Malgun Gothic" w:hAnsi="Times New Roman"/>
          <w:sz w:val="24"/>
          <w:szCs w:val="24"/>
          <w:lang w:eastAsia="en-GB"/>
        </w:rPr>
        <w:t>fait</w:t>
      </w:r>
      <w:r w:rsidR="009D74BD" w:rsidRPr="007668DF">
        <w:rPr>
          <w:rFonts w:ascii="Times New Roman" w:eastAsia="Malgun Gothic" w:hAnsi="Times New Roman"/>
          <w:sz w:val="24"/>
          <w:szCs w:val="24"/>
          <w:lang w:eastAsia="en-GB"/>
        </w:rPr>
        <w:t xml:space="preserve"> l’objet d’ouverture d’enquêtes</w:t>
      </w:r>
      <w:r w:rsidR="007013FD">
        <w:rPr>
          <w:rFonts w:ascii="Times New Roman" w:eastAsia="Malgun Gothic" w:hAnsi="Times New Roman"/>
          <w:sz w:val="24"/>
          <w:szCs w:val="24"/>
          <w:lang w:eastAsia="en-GB"/>
        </w:rPr>
        <w:t xml:space="preserve"> judiciaires au niveau de Bamako</w:t>
      </w:r>
      <w:r w:rsidR="00326B56" w:rsidRPr="007668DF">
        <w:rPr>
          <w:rFonts w:ascii="Times New Roman" w:eastAsia="Malgun Gothic" w:hAnsi="Times New Roman"/>
          <w:sz w:val="24"/>
          <w:szCs w:val="24"/>
          <w:lang w:eastAsia="en-GB"/>
        </w:rPr>
        <w:t>,</w:t>
      </w:r>
      <w:r w:rsidR="00F62C5E" w:rsidRPr="007668DF">
        <w:rPr>
          <w:rFonts w:ascii="Times New Roman" w:eastAsia="Malgun Gothic" w:hAnsi="Times New Roman"/>
          <w:sz w:val="24"/>
          <w:szCs w:val="24"/>
          <w:lang w:eastAsia="en-GB"/>
        </w:rPr>
        <w:t xml:space="preserve"> </w:t>
      </w:r>
      <w:r w:rsidR="002145EE" w:rsidRPr="007668DF">
        <w:rPr>
          <w:rFonts w:ascii="Times New Roman" w:eastAsia="Malgun Gothic" w:hAnsi="Times New Roman"/>
          <w:sz w:val="24"/>
          <w:szCs w:val="24"/>
          <w:lang w:eastAsia="en-GB"/>
        </w:rPr>
        <w:t xml:space="preserve">mais </w:t>
      </w:r>
      <w:r w:rsidR="009B0F70" w:rsidRPr="007668DF">
        <w:rPr>
          <w:rFonts w:ascii="Times New Roman" w:eastAsia="Malgun Gothic" w:hAnsi="Times New Roman"/>
          <w:sz w:val="24"/>
          <w:szCs w:val="24"/>
          <w:lang w:eastAsia="en-GB"/>
        </w:rPr>
        <w:t>celles-ci</w:t>
      </w:r>
      <w:r w:rsidR="00326B56" w:rsidRPr="007668DF">
        <w:rPr>
          <w:rFonts w:ascii="Times New Roman" w:eastAsia="Malgun Gothic" w:hAnsi="Times New Roman"/>
          <w:sz w:val="24"/>
          <w:szCs w:val="24"/>
          <w:lang w:eastAsia="en-GB"/>
        </w:rPr>
        <w:t xml:space="preserve"> </w:t>
      </w:r>
      <w:r w:rsidR="007013FD">
        <w:rPr>
          <w:rFonts w:ascii="Times New Roman" w:eastAsia="Malgun Gothic" w:hAnsi="Times New Roman"/>
          <w:sz w:val="24"/>
          <w:szCs w:val="24"/>
          <w:lang w:eastAsia="en-GB"/>
        </w:rPr>
        <w:t>demeurent toujours pendantes</w:t>
      </w:r>
      <w:r w:rsidR="009B0F70" w:rsidRPr="007668DF">
        <w:rPr>
          <w:rFonts w:ascii="Times New Roman" w:eastAsia="Malgun Gothic" w:hAnsi="Times New Roman"/>
          <w:sz w:val="24"/>
          <w:szCs w:val="24"/>
          <w:lang w:eastAsia="en-GB"/>
        </w:rPr>
        <w:t>. C’est le cas notamment du</w:t>
      </w:r>
      <w:r w:rsidR="00B27C36" w:rsidRPr="007668DF">
        <w:rPr>
          <w:rFonts w:ascii="Times New Roman" w:eastAsia="Malgun Gothic" w:hAnsi="Times New Roman"/>
          <w:sz w:val="24"/>
          <w:szCs w:val="24"/>
          <w:lang w:eastAsia="en-GB"/>
        </w:rPr>
        <w:t xml:space="preserve"> </w:t>
      </w:r>
      <w:r w:rsidR="002145EE" w:rsidRPr="007668DF">
        <w:rPr>
          <w:rFonts w:ascii="Times New Roman" w:eastAsia="Malgun Gothic" w:hAnsi="Times New Roman"/>
          <w:sz w:val="24"/>
          <w:szCs w:val="24"/>
          <w:lang w:eastAsia="en-GB"/>
        </w:rPr>
        <w:t>meurtre de 16 prédicateurs mauritaniens et maliens à Djabali</w:t>
      </w:r>
      <w:r w:rsidR="00326B56" w:rsidRPr="007668DF">
        <w:rPr>
          <w:rFonts w:ascii="Times New Roman" w:eastAsia="Malgun Gothic" w:hAnsi="Times New Roman"/>
          <w:sz w:val="24"/>
          <w:szCs w:val="24"/>
          <w:lang w:eastAsia="en-GB"/>
        </w:rPr>
        <w:t>,</w:t>
      </w:r>
      <w:r w:rsidR="002145EE" w:rsidRPr="007668DF">
        <w:rPr>
          <w:rFonts w:ascii="Times New Roman" w:eastAsia="Malgun Gothic" w:hAnsi="Times New Roman"/>
          <w:sz w:val="24"/>
          <w:szCs w:val="24"/>
          <w:lang w:eastAsia="en-GB"/>
        </w:rPr>
        <w:t xml:space="preserve"> le 9 septembre 2012</w:t>
      </w:r>
      <w:r w:rsidR="00326B56" w:rsidRPr="007668DF">
        <w:rPr>
          <w:rFonts w:ascii="Times New Roman" w:eastAsia="Malgun Gothic" w:hAnsi="Times New Roman"/>
          <w:sz w:val="24"/>
          <w:szCs w:val="24"/>
          <w:lang w:eastAsia="en-GB"/>
        </w:rPr>
        <w:t>,</w:t>
      </w:r>
      <w:r w:rsidR="002145EE" w:rsidRPr="007668DF">
        <w:rPr>
          <w:rFonts w:ascii="Times New Roman" w:eastAsia="Malgun Gothic" w:hAnsi="Times New Roman"/>
          <w:sz w:val="24"/>
          <w:szCs w:val="24"/>
          <w:lang w:eastAsia="en-GB"/>
        </w:rPr>
        <w:t xml:space="preserve"> et </w:t>
      </w:r>
      <w:r w:rsidR="00326B56" w:rsidRPr="007668DF">
        <w:rPr>
          <w:rFonts w:ascii="Times New Roman" w:eastAsia="Malgun Gothic" w:hAnsi="Times New Roman"/>
          <w:sz w:val="24"/>
          <w:szCs w:val="24"/>
          <w:lang w:eastAsia="en-GB"/>
        </w:rPr>
        <w:t xml:space="preserve">celui </w:t>
      </w:r>
      <w:r w:rsidR="007013FD">
        <w:rPr>
          <w:rFonts w:ascii="Times New Roman" w:eastAsia="Malgun Gothic" w:hAnsi="Times New Roman"/>
          <w:sz w:val="24"/>
          <w:szCs w:val="24"/>
          <w:lang w:eastAsia="en-GB"/>
        </w:rPr>
        <w:t xml:space="preserve">du 25 novembre 2013 </w:t>
      </w:r>
      <w:r w:rsidR="002145EE" w:rsidRPr="007668DF">
        <w:rPr>
          <w:rFonts w:ascii="Times New Roman" w:eastAsia="Malgun Gothic" w:hAnsi="Times New Roman"/>
          <w:sz w:val="24"/>
          <w:szCs w:val="24"/>
          <w:lang w:eastAsia="en-GB"/>
        </w:rPr>
        <w:t>à la frontière du Niger vers Ménaka</w:t>
      </w:r>
      <w:r w:rsidR="007013FD">
        <w:rPr>
          <w:rFonts w:ascii="Times New Roman" w:eastAsia="Malgun Gothic" w:hAnsi="Times New Roman"/>
          <w:sz w:val="24"/>
          <w:szCs w:val="24"/>
          <w:lang w:eastAsia="en-GB"/>
        </w:rPr>
        <w:t xml:space="preserve"> où une cinquantaine d’éleveurs </w:t>
      </w:r>
      <w:r w:rsidR="007013FD" w:rsidRPr="003B152B">
        <w:rPr>
          <w:rFonts w:ascii="Times New Roman" w:eastAsia="Malgun Gothic" w:hAnsi="Times New Roman"/>
          <w:i/>
          <w:sz w:val="24"/>
          <w:szCs w:val="24"/>
          <w:lang w:eastAsia="en-GB"/>
        </w:rPr>
        <w:t>peulh</w:t>
      </w:r>
      <w:r w:rsidR="007013FD">
        <w:rPr>
          <w:rFonts w:ascii="Times New Roman" w:eastAsia="Malgun Gothic" w:hAnsi="Times New Roman"/>
          <w:i/>
          <w:sz w:val="24"/>
          <w:szCs w:val="24"/>
          <w:lang w:eastAsia="en-GB"/>
        </w:rPr>
        <w:t>s</w:t>
      </w:r>
      <w:r w:rsidR="007013FD">
        <w:rPr>
          <w:rFonts w:ascii="Times New Roman" w:eastAsia="Malgun Gothic" w:hAnsi="Times New Roman"/>
          <w:sz w:val="24"/>
          <w:szCs w:val="24"/>
          <w:lang w:eastAsia="en-GB"/>
        </w:rPr>
        <w:t xml:space="preserve"> avaient été abattus</w:t>
      </w:r>
      <w:r w:rsidR="002145EE" w:rsidRPr="007668DF">
        <w:rPr>
          <w:rFonts w:ascii="Times New Roman" w:eastAsia="Malgun Gothic" w:hAnsi="Times New Roman"/>
          <w:sz w:val="24"/>
          <w:szCs w:val="24"/>
          <w:lang w:eastAsia="en-GB"/>
        </w:rPr>
        <w:t xml:space="preserve">. </w:t>
      </w:r>
      <w:r w:rsidR="007013FD">
        <w:rPr>
          <w:rFonts w:ascii="Times New Roman" w:eastAsia="Malgun Gothic" w:hAnsi="Times New Roman"/>
          <w:sz w:val="24"/>
          <w:szCs w:val="24"/>
          <w:lang w:eastAsia="en-GB"/>
        </w:rPr>
        <w:t>Par ailleurs, d</w:t>
      </w:r>
      <w:r w:rsidR="002145EE" w:rsidRPr="007668DF">
        <w:rPr>
          <w:rFonts w:ascii="Times New Roman" w:eastAsia="Malgun Gothic" w:hAnsi="Times New Roman"/>
          <w:sz w:val="24"/>
          <w:szCs w:val="24"/>
          <w:lang w:eastAsia="en-GB"/>
        </w:rPr>
        <w:t xml:space="preserve">’autres enquêtes sont restées </w:t>
      </w:r>
      <w:r w:rsidR="007013FD">
        <w:rPr>
          <w:rFonts w:ascii="Times New Roman" w:eastAsia="Malgun Gothic" w:hAnsi="Times New Roman"/>
          <w:sz w:val="24"/>
          <w:szCs w:val="24"/>
          <w:lang w:eastAsia="en-GB"/>
        </w:rPr>
        <w:t>dans la phase</w:t>
      </w:r>
      <w:r w:rsidR="000178F7" w:rsidRPr="007668DF">
        <w:rPr>
          <w:rFonts w:ascii="Times New Roman" w:eastAsia="Malgun Gothic" w:hAnsi="Times New Roman"/>
          <w:sz w:val="24"/>
          <w:szCs w:val="24"/>
          <w:lang w:eastAsia="en-GB"/>
        </w:rPr>
        <w:t xml:space="preserve"> d’intention</w:t>
      </w:r>
      <w:r w:rsidR="00326B56" w:rsidRPr="007668DF">
        <w:rPr>
          <w:rFonts w:ascii="Times New Roman" w:eastAsia="Malgun Gothic" w:hAnsi="Times New Roman"/>
          <w:sz w:val="24"/>
          <w:szCs w:val="24"/>
          <w:lang w:eastAsia="en-GB"/>
        </w:rPr>
        <w:t>.</w:t>
      </w:r>
      <w:r w:rsidR="00742229" w:rsidRPr="007668DF">
        <w:rPr>
          <w:rFonts w:ascii="Times New Roman" w:eastAsia="Malgun Gothic" w:hAnsi="Times New Roman"/>
          <w:sz w:val="24"/>
          <w:szCs w:val="24"/>
          <w:lang w:eastAsia="en-GB"/>
        </w:rPr>
        <w:t xml:space="preserve"> </w:t>
      </w:r>
      <w:r w:rsidR="000178F7" w:rsidRPr="007668DF">
        <w:rPr>
          <w:rFonts w:ascii="Times New Roman" w:eastAsia="Malgun Gothic" w:hAnsi="Times New Roman"/>
          <w:sz w:val="24"/>
          <w:szCs w:val="24"/>
          <w:lang w:eastAsia="en-GB"/>
        </w:rPr>
        <w:t>C</w:t>
      </w:r>
      <w:r w:rsidR="002145EE" w:rsidRPr="007668DF">
        <w:rPr>
          <w:rFonts w:ascii="Times New Roman" w:eastAsia="Malgun Gothic" w:hAnsi="Times New Roman"/>
          <w:sz w:val="24"/>
          <w:szCs w:val="24"/>
          <w:lang w:eastAsia="en-GB"/>
        </w:rPr>
        <w:t xml:space="preserve">’est </w:t>
      </w:r>
      <w:r w:rsidR="004D29B5">
        <w:rPr>
          <w:rFonts w:ascii="Times New Roman" w:eastAsia="Malgun Gothic" w:hAnsi="Times New Roman"/>
          <w:sz w:val="24"/>
          <w:szCs w:val="24"/>
          <w:lang w:eastAsia="en-GB"/>
        </w:rPr>
        <w:t xml:space="preserve">notamment </w:t>
      </w:r>
      <w:r w:rsidR="002145EE" w:rsidRPr="007668DF">
        <w:rPr>
          <w:rFonts w:ascii="Times New Roman" w:eastAsia="Malgun Gothic" w:hAnsi="Times New Roman"/>
          <w:sz w:val="24"/>
          <w:szCs w:val="24"/>
          <w:lang w:eastAsia="en-GB"/>
        </w:rPr>
        <w:t xml:space="preserve">le cas </w:t>
      </w:r>
      <w:r w:rsidR="009F12C9" w:rsidRPr="007668DF">
        <w:rPr>
          <w:rFonts w:ascii="Times New Roman" w:eastAsia="Malgun Gothic" w:hAnsi="Times New Roman"/>
          <w:sz w:val="24"/>
          <w:szCs w:val="24"/>
          <w:lang w:eastAsia="en-GB"/>
        </w:rPr>
        <w:t>du</w:t>
      </w:r>
      <w:r w:rsidR="00326B56" w:rsidRPr="007668DF">
        <w:rPr>
          <w:rFonts w:ascii="Times New Roman" w:eastAsia="Malgun Gothic" w:hAnsi="Times New Roman"/>
          <w:sz w:val="24"/>
          <w:szCs w:val="24"/>
          <w:lang w:eastAsia="en-GB"/>
        </w:rPr>
        <w:t xml:space="preserve"> </w:t>
      </w:r>
      <w:r w:rsidR="002145EE" w:rsidRPr="007668DF">
        <w:rPr>
          <w:rFonts w:ascii="Times New Roman" w:eastAsia="Malgun Gothic" w:hAnsi="Times New Roman"/>
          <w:sz w:val="24"/>
          <w:szCs w:val="24"/>
          <w:lang w:eastAsia="en-GB"/>
        </w:rPr>
        <w:t xml:space="preserve">meurtre de </w:t>
      </w:r>
      <w:r w:rsidR="007013FD">
        <w:rPr>
          <w:rFonts w:ascii="Times New Roman" w:eastAsia="Malgun Gothic" w:hAnsi="Times New Roman"/>
          <w:sz w:val="24"/>
          <w:szCs w:val="24"/>
          <w:lang w:eastAsia="en-GB"/>
        </w:rPr>
        <w:t>3</w:t>
      </w:r>
      <w:r w:rsidR="007013FD" w:rsidRPr="007668DF">
        <w:rPr>
          <w:rFonts w:ascii="Times New Roman" w:eastAsia="Malgun Gothic" w:hAnsi="Times New Roman"/>
          <w:sz w:val="24"/>
          <w:szCs w:val="24"/>
          <w:lang w:eastAsia="en-GB"/>
        </w:rPr>
        <w:t xml:space="preserve"> </w:t>
      </w:r>
      <w:r w:rsidR="002145EE" w:rsidRPr="007668DF">
        <w:rPr>
          <w:rFonts w:ascii="Times New Roman" w:eastAsia="Malgun Gothic" w:hAnsi="Times New Roman"/>
          <w:sz w:val="24"/>
          <w:szCs w:val="24"/>
          <w:lang w:eastAsia="en-GB"/>
        </w:rPr>
        <w:t>éléments du MNLA par les FAM</w:t>
      </w:r>
      <w:r w:rsidR="009921EA" w:rsidRPr="007668DF">
        <w:rPr>
          <w:rFonts w:ascii="Times New Roman" w:eastAsia="Malgun Gothic" w:hAnsi="Times New Roman"/>
          <w:sz w:val="24"/>
          <w:szCs w:val="24"/>
          <w:lang w:eastAsia="en-GB"/>
        </w:rPr>
        <w:t>a</w:t>
      </w:r>
      <w:r w:rsidR="002145EE" w:rsidRPr="007668DF">
        <w:rPr>
          <w:rFonts w:ascii="Times New Roman" w:eastAsia="Malgun Gothic" w:hAnsi="Times New Roman"/>
          <w:sz w:val="24"/>
          <w:szCs w:val="24"/>
          <w:lang w:eastAsia="en-GB"/>
        </w:rPr>
        <w:t xml:space="preserve"> à Tin-Agazargane</w:t>
      </w:r>
      <w:r w:rsidR="00326B56" w:rsidRPr="007668DF">
        <w:rPr>
          <w:rFonts w:ascii="Times New Roman" w:eastAsia="Malgun Gothic" w:hAnsi="Times New Roman"/>
          <w:sz w:val="24"/>
          <w:szCs w:val="24"/>
          <w:lang w:eastAsia="en-GB"/>
        </w:rPr>
        <w:t>,</w:t>
      </w:r>
      <w:r w:rsidR="002145EE" w:rsidRPr="007668DF">
        <w:rPr>
          <w:rFonts w:ascii="Times New Roman" w:eastAsia="Malgun Gothic" w:hAnsi="Times New Roman"/>
          <w:sz w:val="24"/>
          <w:szCs w:val="24"/>
          <w:lang w:eastAsia="en-GB"/>
        </w:rPr>
        <w:t xml:space="preserve"> dans la région de Gao</w:t>
      </w:r>
      <w:r w:rsidR="00326B56" w:rsidRPr="007668DF">
        <w:rPr>
          <w:rFonts w:ascii="Times New Roman" w:eastAsia="Malgun Gothic" w:hAnsi="Times New Roman"/>
          <w:sz w:val="24"/>
          <w:szCs w:val="24"/>
          <w:lang w:eastAsia="en-GB"/>
        </w:rPr>
        <w:t>,</w:t>
      </w:r>
      <w:r w:rsidR="00C4661E" w:rsidRPr="007668DF">
        <w:rPr>
          <w:rFonts w:ascii="Times New Roman" w:eastAsia="Malgun Gothic" w:hAnsi="Times New Roman"/>
          <w:sz w:val="24"/>
          <w:szCs w:val="24"/>
          <w:lang w:eastAsia="en-GB"/>
        </w:rPr>
        <w:t xml:space="preserve"> le 8 novembre 2013</w:t>
      </w:r>
      <w:r w:rsidR="00326B56" w:rsidRPr="007668DF">
        <w:rPr>
          <w:rFonts w:ascii="Times New Roman" w:eastAsia="Malgun Gothic" w:hAnsi="Times New Roman"/>
          <w:sz w:val="24"/>
          <w:szCs w:val="24"/>
          <w:lang w:eastAsia="en-GB"/>
        </w:rPr>
        <w:t>,</w:t>
      </w:r>
      <w:r w:rsidR="002145EE" w:rsidRPr="007668DF">
        <w:rPr>
          <w:rFonts w:ascii="Times New Roman" w:eastAsia="Malgun Gothic" w:hAnsi="Times New Roman"/>
          <w:sz w:val="24"/>
          <w:szCs w:val="24"/>
          <w:lang w:eastAsia="en-GB"/>
        </w:rPr>
        <w:t xml:space="preserve"> </w:t>
      </w:r>
      <w:r w:rsidR="00864B20">
        <w:rPr>
          <w:rFonts w:ascii="Times New Roman" w:eastAsia="Malgun Gothic" w:hAnsi="Times New Roman"/>
          <w:sz w:val="24"/>
          <w:szCs w:val="24"/>
          <w:lang w:eastAsia="en-GB"/>
        </w:rPr>
        <w:t>et celui de</w:t>
      </w:r>
      <w:r w:rsidR="00326B56" w:rsidRPr="007668DF">
        <w:rPr>
          <w:rFonts w:ascii="Times New Roman" w:eastAsia="Malgun Gothic" w:hAnsi="Times New Roman"/>
          <w:sz w:val="24"/>
          <w:szCs w:val="24"/>
          <w:lang w:eastAsia="en-GB"/>
        </w:rPr>
        <w:t xml:space="preserve"> la mort d’une femme, le </w:t>
      </w:r>
      <w:r w:rsidR="00C4661E" w:rsidRPr="007668DF">
        <w:rPr>
          <w:rFonts w:ascii="Times New Roman" w:eastAsia="Malgun Gothic" w:hAnsi="Times New Roman"/>
          <w:sz w:val="24"/>
          <w:szCs w:val="24"/>
          <w:lang w:eastAsia="en-GB"/>
        </w:rPr>
        <w:t>28 novembre 2013</w:t>
      </w:r>
      <w:r w:rsidR="00326B56" w:rsidRPr="007668DF">
        <w:rPr>
          <w:rFonts w:ascii="Times New Roman" w:eastAsia="Malgun Gothic" w:hAnsi="Times New Roman"/>
          <w:sz w:val="24"/>
          <w:szCs w:val="24"/>
          <w:lang w:eastAsia="en-GB"/>
        </w:rPr>
        <w:t xml:space="preserve">, </w:t>
      </w:r>
      <w:r w:rsidR="00C4661E" w:rsidRPr="007668DF">
        <w:rPr>
          <w:rFonts w:ascii="Times New Roman" w:eastAsia="Malgun Gothic" w:hAnsi="Times New Roman"/>
          <w:sz w:val="24"/>
          <w:szCs w:val="24"/>
          <w:lang w:eastAsia="en-GB"/>
        </w:rPr>
        <w:t xml:space="preserve">abattue par </w:t>
      </w:r>
      <w:r w:rsidR="002145EE" w:rsidRPr="007668DF">
        <w:rPr>
          <w:rFonts w:ascii="Times New Roman" w:eastAsia="Malgun Gothic" w:hAnsi="Times New Roman"/>
          <w:sz w:val="24"/>
          <w:szCs w:val="24"/>
          <w:lang w:eastAsia="en-GB"/>
        </w:rPr>
        <w:t>les FAM</w:t>
      </w:r>
      <w:r w:rsidR="009921EA" w:rsidRPr="007668DF">
        <w:rPr>
          <w:rFonts w:ascii="Times New Roman" w:eastAsia="Malgun Gothic" w:hAnsi="Times New Roman"/>
          <w:sz w:val="24"/>
          <w:szCs w:val="24"/>
          <w:lang w:eastAsia="en-GB"/>
        </w:rPr>
        <w:t>a</w:t>
      </w:r>
      <w:r w:rsidR="00326B56" w:rsidRPr="007668DF">
        <w:rPr>
          <w:rFonts w:ascii="Times New Roman" w:eastAsia="Malgun Gothic" w:hAnsi="Times New Roman"/>
          <w:sz w:val="24"/>
          <w:szCs w:val="24"/>
          <w:lang w:eastAsia="en-GB"/>
        </w:rPr>
        <w:t xml:space="preserve">, </w:t>
      </w:r>
      <w:r w:rsidR="00C4661E" w:rsidRPr="007668DF">
        <w:rPr>
          <w:rFonts w:ascii="Times New Roman" w:eastAsia="Malgun Gothic" w:hAnsi="Times New Roman"/>
          <w:sz w:val="24"/>
          <w:szCs w:val="24"/>
          <w:lang w:eastAsia="en-GB"/>
        </w:rPr>
        <w:t xml:space="preserve">lors d’une manifestation à l'aéroport de Kidal. </w:t>
      </w:r>
    </w:p>
    <w:p w:rsidR="00520AB8" w:rsidRPr="007668DF" w:rsidRDefault="00520AB8" w:rsidP="006C2FA0">
      <w:pPr>
        <w:pStyle w:val="ListParagraph"/>
        <w:tabs>
          <w:tab w:val="left" w:pos="567"/>
          <w:tab w:val="left" w:pos="1134"/>
        </w:tabs>
        <w:spacing w:after="0"/>
        <w:ind w:left="0"/>
        <w:jc w:val="both"/>
        <w:rPr>
          <w:rFonts w:ascii="Times New Roman" w:eastAsia="Malgun Gothic" w:hAnsi="Times New Roman"/>
          <w:color w:val="FF0000"/>
          <w:sz w:val="24"/>
          <w:szCs w:val="24"/>
          <w:lang w:eastAsia="en-GB"/>
        </w:rPr>
      </w:pPr>
    </w:p>
    <w:p w:rsidR="00C5240D" w:rsidRPr="007668DF" w:rsidRDefault="00202212" w:rsidP="006C2FA0">
      <w:pPr>
        <w:pStyle w:val="ListParagraph"/>
        <w:tabs>
          <w:tab w:val="left" w:pos="567"/>
        </w:tabs>
        <w:spacing w:after="0"/>
        <w:ind w:left="0"/>
        <w:jc w:val="both"/>
        <w:rPr>
          <w:rFonts w:ascii="Times New Roman" w:eastAsia="Malgun Gothic" w:hAnsi="Times New Roman"/>
          <w:sz w:val="24"/>
          <w:szCs w:val="24"/>
          <w:lang w:eastAsia="en-GB"/>
        </w:rPr>
      </w:pPr>
      <w:r w:rsidRPr="007668DF">
        <w:rPr>
          <w:rFonts w:ascii="Times New Roman" w:eastAsia="Malgun Gothic" w:hAnsi="Times New Roman"/>
          <w:sz w:val="24"/>
          <w:szCs w:val="24"/>
          <w:lang w:eastAsia="en-GB"/>
        </w:rPr>
        <w:t>7</w:t>
      </w:r>
      <w:r w:rsidR="00DF042A" w:rsidRPr="007668DF">
        <w:rPr>
          <w:rFonts w:ascii="Times New Roman" w:eastAsia="Malgun Gothic" w:hAnsi="Times New Roman"/>
          <w:sz w:val="24"/>
          <w:szCs w:val="24"/>
          <w:lang w:eastAsia="en-GB"/>
        </w:rPr>
        <w:t>.</w:t>
      </w:r>
      <w:r w:rsidR="00CF64A0" w:rsidRPr="007668DF">
        <w:rPr>
          <w:rFonts w:ascii="Times New Roman" w:eastAsia="Malgun Gothic" w:hAnsi="Times New Roman"/>
          <w:sz w:val="24"/>
          <w:szCs w:val="24"/>
          <w:lang w:eastAsia="en-GB"/>
        </w:rPr>
        <w:tab/>
      </w:r>
      <w:r w:rsidR="00326B56" w:rsidRPr="007668DF">
        <w:rPr>
          <w:rFonts w:ascii="Times New Roman" w:eastAsia="Malgun Gothic" w:hAnsi="Times New Roman"/>
          <w:sz w:val="24"/>
          <w:szCs w:val="24"/>
          <w:lang w:eastAsia="en-GB"/>
        </w:rPr>
        <w:t>L</w:t>
      </w:r>
      <w:r w:rsidR="007E48D2" w:rsidRPr="007668DF">
        <w:rPr>
          <w:rFonts w:ascii="Times New Roman" w:eastAsia="Malgun Gothic" w:hAnsi="Times New Roman"/>
          <w:sz w:val="24"/>
          <w:szCs w:val="24"/>
          <w:lang w:eastAsia="en-GB"/>
        </w:rPr>
        <w:t xml:space="preserve">e </w:t>
      </w:r>
      <w:r w:rsidR="00DF042A" w:rsidRPr="007668DF">
        <w:rPr>
          <w:rFonts w:ascii="Times New Roman" w:eastAsia="Malgun Gothic" w:hAnsi="Times New Roman"/>
          <w:sz w:val="24"/>
          <w:szCs w:val="24"/>
          <w:lang w:eastAsia="en-GB"/>
        </w:rPr>
        <w:t xml:space="preserve">processus de </w:t>
      </w:r>
      <w:r w:rsidR="00E81CFC" w:rsidRPr="007668DF">
        <w:rPr>
          <w:rFonts w:ascii="Times New Roman" w:eastAsia="Malgun Gothic" w:hAnsi="Times New Roman"/>
          <w:sz w:val="24"/>
          <w:szCs w:val="24"/>
          <w:lang w:eastAsia="en-GB"/>
        </w:rPr>
        <w:t>rétablissement de l’autorité de l'Etat</w:t>
      </w:r>
      <w:r w:rsidR="00BC5870" w:rsidRPr="007668DF">
        <w:rPr>
          <w:rFonts w:ascii="Times New Roman" w:eastAsia="Malgun Gothic" w:hAnsi="Times New Roman"/>
          <w:sz w:val="24"/>
          <w:szCs w:val="24"/>
          <w:lang w:eastAsia="en-GB"/>
        </w:rPr>
        <w:t xml:space="preserve"> et du retour effectif de l’administration dans la partie nord du pays</w:t>
      </w:r>
      <w:r w:rsidR="00494BEA" w:rsidRPr="007668DF">
        <w:rPr>
          <w:rFonts w:ascii="Times New Roman" w:eastAsia="Malgun Gothic" w:hAnsi="Times New Roman"/>
          <w:sz w:val="24"/>
          <w:szCs w:val="24"/>
          <w:lang w:eastAsia="en-GB"/>
        </w:rPr>
        <w:t xml:space="preserve">, lent </w:t>
      </w:r>
      <w:r w:rsidR="007013FD">
        <w:rPr>
          <w:rFonts w:ascii="Times New Roman" w:eastAsia="Malgun Gothic" w:hAnsi="Times New Roman"/>
          <w:sz w:val="24"/>
          <w:szCs w:val="24"/>
          <w:lang w:eastAsia="en-GB"/>
        </w:rPr>
        <w:t>à</w:t>
      </w:r>
      <w:r w:rsidR="00494BEA" w:rsidRPr="007668DF">
        <w:rPr>
          <w:rFonts w:ascii="Times New Roman" w:eastAsia="Malgun Gothic" w:hAnsi="Times New Roman"/>
          <w:sz w:val="24"/>
          <w:szCs w:val="24"/>
          <w:lang w:eastAsia="en-GB"/>
        </w:rPr>
        <w:t xml:space="preserve"> la base,</w:t>
      </w:r>
      <w:r w:rsidR="00DF042A" w:rsidRPr="007668DF">
        <w:rPr>
          <w:rFonts w:ascii="Times New Roman" w:eastAsia="Malgun Gothic" w:hAnsi="Times New Roman"/>
          <w:sz w:val="24"/>
          <w:szCs w:val="24"/>
          <w:lang w:eastAsia="en-GB"/>
        </w:rPr>
        <w:t xml:space="preserve"> </w:t>
      </w:r>
      <w:r w:rsidR="00494BEA" w:rsidRPr="007668DF">
        <w:rPr>
          <w:rFonts w:ascii="Times New Roman" w:eastAsia="Malgun Gothic" w:hAnsi="Times New Roman"/>
          <w:sz w:val="24"/>
          <w:szCs w:val="24"/>
          <w:lang w:eastAsia="en-GB"/>
        </w:rPr>
        <w:t>a</w:t>
      </w:r>
      <w:r w:rsidR="00DF042A" w:rsidRPr="007668DF">
        <w:rPr>
          <w:rFonts w:ascii="Times New Roman" w:eastAsia="Malgun Gothic" w:hAnsi="Times New Roman"/>
          <w:sz w:val="24"/>
          <w:szCs w:val="24"/>
          <w:lang w:eastAsia="en-GB"/>
        </w:rPr>
        <w:t xml:space="preserve"> été </w:t>
      </w:r>
      <w:r w:rsidR="0091319C" w:rsidRPr="007668DF">
        <w:rPr>
          <w:rFonts w:ascii="Times New Roman" w:eastAsia="Malgun Gothic" w:hAnsi="Times New Roman"/>
          <w:sz w:val="24"/>
          <w:szCs w:val="24"/>
          <w:lang w:eastAsia="en-GB"/>
        </w:rPr>
        <w:t xml:space="preserve">brusquement </w:t>
      </w:r>
      <w:r w:rsidR="007E48D2" w:rsidRPr="007668DF">
        <w:rPr>
          <w:rFonts w:ascii="Times New Roman" w:eastAsia="Malgun Gothic" w:hAnsi="Times New Roman"/>
          <w:sz w:val="24"/>
          <w:szCs w:val="24"/>
          <w:lang w:eastAsia="en-GB"/>
        </w:rPr>
        <w:t xml:space="preserve">arrêté </w:t>
      </w:r>
      <w:r w:rsidR="00BC5870" w:rsidRPr="007668DF">
        <w:rPr>
          <w:rFonts w:ascii="Times New Roman" w:eastAsia="Malgun Gothic" w:hAnsi="Times New Roman"/>
          <w:sz w:val="24"/>
          <w:szCs w:val="24"/>
          <w:lang w:eastAsia="en-GB"/>
        </w:rPr>
        <w:t xml:space="preserve">suite </w:t>
      </w:r>
      <w:r w:rsidR="00326B56" w:rsidRPr="007668DF">
        <w:rPr>
          <w:rFonts w:ascii="Times New Roman" w:eastAsia="Malgun Gothic" w:hAnsi="Times New Roman"/>
          <w:sz w:val="24"/>
          <w:szCs w:val="24"/>
          <w:lang w:eastAsia="en-GB"/>
        </w:rPr>
        <w:t>aux</w:t>
      </w:r>
      <w:r w:rsidR="00BC5870" w:rsidRPr="007668DF">
        <w:rPr>
          <w:rFonts w:ascii="Times New Roman" w:eastAsia="Malgun Gothic" w:hAnsi="Times New Roman"/>
          <w:sz w:val="24"/>
          <w:szCs w:val="24"/>
          <w:lang w:eastAsia="en-GB"/>
        </w:rPr>
        <w:t xml:space="preserve"> év</w:t>
      </w:r>
      <w:r w:rsidR="00326B56" w:rsidRPr="007668DF">
        <w:rPr>
          <w:rFonts w:ascii="Times New Roman" w:eastAsia="Malgun Gothic" w:hAnsi="Times New Roman"/>
          <w:sz w:val="24"/>
          <w:szCs w:val="24"/>
          <w:lang w:eastAsia="en-GB"/>
        </w:rPr>
        <w:t>é</w:t>
      </w:r>
      <w:r w:rsidR="00BC5870" w:rsidRPr="007668DF">
        <w:rPr>
          <w:rFonts w:ascii="Times New Roman" w:eastAsia="Malgun Gothic" w:hAnsi="Times New Roman"/>
          <w:sz w:val="24"/>
          <w:szCs w:val="24"/>
          <w:lang w:eastAsia="en-GB"/>
        </w:rPr>
        <w:t>nements de Kidal</w:t>
      </w:r>
      <w:r w:rsidR="000178F7" w:rsidRPr="007668DF">
        <w:rPr>
          <w:rFonts w:ascii="Times New Roman" w:eastAsia="Malgun Gothic" w:hAnsi="Times New Roman"/>
          <w:sz w:val="24"/>
          <w:szCs w:val="24"/>
          <w:lang w:eastAsia="en-GB"/>
        </w:rPr>
        <w:t xml:space="preserve"> </w:t>
      </w:r>
      <w:r w:rsidR="00326B56" w:rsidRPr="007668DF">
        <w:rPr>
          <w:rFonts w:ascii="Times New Roman" w:eastAsia="Malgun Gothic" w:hAnsi="Times New Roman"/>
          <w:sz w:val="24"/>
          <w:szCs w:val="24"/>
          <w:lang w:eastAsia="en-GB"/>
        </w:rPr>
        <w:t xml:space="preserve">survenus </w:t>
      </w:r>
      <w:r w:rsidR="000178F7" w:rsidRPr="007668DF">
        <w:rPr>
          <w:rFonts w:ascii="Times New Roman" w:eastAsia="Malgun Gothic" w:hAnsi="Times New Roman"/>
          <w:sz w:val="24"/>
          <w:szCs w:val="24"/>
          <w:lang w:eastAsia="en-GB"/>
        </w:rPr>
        <w:t>du 16 au 21 mai 2014</w:t>
      </w:r>
      <w:r w:rsidR="00BC5870" w:rsidRPr="007668DF">
        <w:rPr>
          <w:rFonts w:ascii="Times New Roman" w:eastAsia="Malgun Gothic" w:hAnsi="Times New Roman"/>
          <w:sz w:val="24"/>
          <w:szCs w:val="24"/>
          <w:lang w:eastAsia="en-GB"/>
        </w:rPr>
        <w:t>.</w:t>
      </w:r>
      <w:r w:rsidR="00E81CFC" w:rsidRPr="007668DF">
        <w:rPr>
          <w:rFonts w:ascii="Times New Roman" w:eastAsia="Malgun Gothic" w:hAnsi="Times New Roman"/>
          <w:sz w:val="24"/>
          <w:szCs w:val="24"/>
          <w:lang w:eastAsia="en-GB"/>
        </w:rPr>
        <w:t xml:space="preserve"> </w:t>
      </w:r>
      <w:r w:rsidR="0091319C" w:rsidRPr="007668DF">
        <w:rPr>
          <w:rFonts w:ascii="Times New Roman" w:eastAsia="Malgun Gothic" w:hAnsi="Times New Roman"/>
          <w:sz w:val="24"/>
          <w:szCs w:val="24"/>
          <w:lang w:eastAsia="en-GB"/>
        </w:rPr>
        <w:t xml:space="preserve">Aujourd’hui, </w:t>
      </w:r>
      <w:r w:rsidR="00534489" w:rsidRPr="007668DF">
        <w:rPr>
          <w:rFonts w:ascii="Times New Roman" w:eastAsia="Malgun Gothic" w:hAnsi="Times New Roman"/>
          <w:sz w:val="24"/>
          <w:szCs w:val="24"/>
          <w:lang w:eastAsia="en-GB"/>
        </w:rPr>
        <w:t>l</w:t>
      </w:r>
      <w:r w:rsidR="00E81CFC" w:rsidRPr="007668DF">
        <w:rPr>
          <w:rFonts w:ascii="Times New Roman" w:eastAsia="Malgun Gothic" w:hAnsi="Times New Roman"/>
          <w:sz w:val="24"/>
          <w:szCs w:val="24"/>
          <w:lang w:eastAsia="en-GB"/>
        </w:rPr>
        <w:t xml:space="preserve">a région de Kidal et </w:t>
      </w:r>
      <w:r w:rsidR="007E48D2" w:rsidRPr="007668DF">
        <w:rPr>
          <w:rFonts w:ascii="Times New Roman" w:eastAsia="Malgun Gothic" w:hAnsi="Times New Roman"/>
          <w:sz w:val="24"/>
          <w:szCs w:val="24"/>
          <w:lang w:eastAsia="en-GB"/>
        </w:rPr>
        <w:t xml:space="preserve">plusieurs </w:t>
      </w:r>
      <w:r w:rsidR="00E81CFC" w:rsidRPr="007668DF">
        <w:rPr>
          <w:rFonts w:ascii="Times New Roman" w:eastAsia="Malgun Gothic" w:hAnsi="Times New Roman"/>
          <w:sz w:val="24"/>
          <w:szCs w:val="24"/>
          <w:lang w:eastAsia="en-GB"/>
        </w:rPr>
        <w:t xml:space="preserve">autres </w:t>
      </w:r>
      <w:r w:rsidR="007E48D2" w:rsidRPr="007668DF">
        <w:rPr>
          <w:rFonts w:ascii="Times New Roman" w:eastAsia="Malgun Gothic" w:hAnsi="Times New Roman"/>
          <w:sz w:val="24"/>
          <w:szCs w:val="24"/>
          <w:lang w:eastAsia="en-GB"/>
        </w:rPr>
        <w:t>localités</w:t>
      </w:r>
      <w:r w:rsidR="00E81CFC" w:rsidRPr="007668DF">
        <w:rPr>
          <w:rFonts w:ascii="Times New Roman" w:eastAsia="Malgun Gothic" w:hAnsi="Times New Roman"/>
          <w:sz w:val="24"/>
          <w:szCs w:val="24"/>
          <w:lang w:eastAsia="en-GB"/>
        </w:rPr>
        <w:t xml:space="preserve"> du </w:t>
      </w:r>
      <w:r w:rsidR="007E48D2" w:rsidRPr="007668DF">
        <w:rPr>
          <w:rFonts w:ascii="Times New Roman" w:eastAsia="Malgun Gothic" w:hAnsi="Times New Roman"/>
          <w:sz w:val="24"/>
          <w:szCs w:val="24"/>
          <w:lang w:eastAsia="en-GB"/>
        </w:rPr>
        <w:t xml:space="preserve">nord </w:t>
      </w:r>
      <w:r w:rsidR="00E81CFC" w:rsidRPr="007668DF">
        <w:rPr>
          <w:rFonts w:ascii="Times New Roman" w:eastAsia="Malgun Gothic" w:hAnsi="Times New Roman"/>
          <w:sz w:val="24"/>
          <w:szCs w:val="24"/>
          <w:lang w:eastAsia="en-GB"/>
        </w:rPr>
        <w:t>échappent au contrôle des autorités</w:t>
      </w:r>
      <w:r w:rsidR="007E48D2" w:rsidRPr="007668DF">
        <w:rPr>
          <w:rFonts w:ascii="Times New Roman" w:eastAsia="Malgun Gothic" w:hAnsi="Times New Roman"/>
          <w:sz w:val="24"/>
          <w:szCs w:val="24"/>
          <w:lang w:eastAsia="en-GB"/>
        </w:rPr>
        <w:t xml:space="preserve"> </w:t>
      </w:r>
      <w:r w:rsidR="00BC5870" w:rsidRPr="007668DF">
        <w:rPr>
          <w:rFonts w:ascii="Times New Roman" w:eastAsia="Malgun Gothic" w:hAnsi="Times New Roman"/>
          <w:sz w:val="24"/>
          <w:szCs w:val="24"/>
          <w:lang w:eastAsia="en-GB"/>
        </w:rPr>
        <w:t>gouvernementales</w:t>
      </w:r>
      <w:r w:rsidR="00E81CFC" w:rsidRPr="007668DF">
        <w:rPr>
          <w:rFonts w:ascii="Times New Roman" w:eastAsia="Malgun Gothic" w:hAnsi="Times New Roman"/>
          <w:sz w:val="24"/>
          <w:szCs w:val="24"/>
          <w:lang w:eastAsia="en-GB"/>
        </w:rPr>
        <w:t xml:space="preserve">. </w:t>
      </w:r>
      <w:r w:rsidR="00BC5870" w:rsidRPr="007668DF">
        <w:rPr>
          <w:rFonts w:ascii="Times New Roman" w:eastAsia="Malgun Gothic" w:hAnsi="Times New Roman"/>
          <w:sz w:val="24"/>
          <w:szCs w:val="24"/>
          <w:lang w:eastAsia="en-GB"/>
        </w:rPr>
        <w:t>La non</w:t>
      </w:r>
      <w:r w:rsidR="00E31DB1" w:rsidRPr="007668DF">
        <w:rPr>
          <w:rFonts w:ascii="Times New Roman" w:eastAsia="Malgun Gothic" w:hAnsi="Times New Roman"/>
          <w:sz w:val="24"/>
          <w:szCs w:val="24"/>
          <w:lang w:eastAsia="en-GB"/>
        </w:rPr>
        <w:t>-</w:t>
      </w:r>
      <w:r w:rsidR="007B52C3" w:rsidRPr="007668DF">
        <w:rPr>
          <w:rFonts w:ascii="Times New Roman" w:eastAsia="Malgun Gothic" w:hAnsi="Times New Roman"/>
          <w:sz w:val="24"/>
          <w:szCs w:val="24"/>
          <w:lang w:eastAsia="en-GB"/>
        </w:rPr>
        <w:t>présence</w:t>
      </w:r>
      <w:r w:rsidR="00BC5870" w:rsidRPr="007668DF">
        <w:rPr>
          <w:rFonts w:ascii="Times New Roman" w:eastAsia="Malgun Gothic" w:hAnsi="Times New Roman"/>
          <w:sz w:val="24"/>
          <w:szCs w:val="24"/>
          <w:lang w:eastAsia="en-GB"/>
        </w:rPr>
        <w:t xml:space="preserve"> et/ou la </w:t>
      </w:r>
      <w:r w:rsidR="007B52C3" w:rsidRPr="007668DF">
        <w:rPr>
          <w:rFonts w:ascii="Times New Roman" w:eastAsia="Malgun Gothic" w:hAnsi="Times New Roman"/>
          <w:sz w:val="24"/>
          <w:szCs w:val="24"/>
          <w:lang w:eastAsia="en-GB"/>
        </w:rPr>
        <w:t>présence</w:t>
      </w:r>
      <w:r w:rsidR="00BC5870" w:rsidRPr="007668DF">
        <w:rPr>
          <w:rFonts w:ascii="Times New Roman" w:eastAsia="Malgun Gothic" w:hAnsi="Times New Roman"/>
          <w:sz w:val="24"/>
          <w:szCs w:val="24"/>
          <w:lang w:eastAsia="en-GB"/>
        </w:rPr>
        <w:t xml:space="preserve"> </w:t>
      </w:r>
      <w:r w:rsidR="007B52C3" w:rsidRPr="007668DF">
        <w:rPr>
          <w:rFonts w:ascii="Times New Roman" w:eastAsia="Malgun Gothic" w:hAnsi="Times New Roman"/>
          <w:sz w:val="24"/>
          <w:szCs w:val="24"/>
          <w:lang w:eastAsia="en-GB"/>
        </w:rPr>
        <w:t>limitée</w:t>
      </w:r>
      <w:r w:rsidR="00BC5870" w:rsidRPr="007668DF">
        <w:rPr>
          <w:rFonts w:ascii="Times New Roman" w:eastAsia="Malgun Gothic" w:hAnsi="Times New Roman"/>
          <w:sz w:val="24"/>
          <w:szCs w:val="24"/>
          <w:lang w:eastAsia="en-GB"/>
        </w:rPr>
        <w:t xml:space="preserve"> des</w:t>
      </w:r>
      <w:r w:rsidR="00093438" w:rsidRPr="007668DF">
        <w:rPr>
          <w:rFonts w:ascii="Times New Roman" w:eastAsia="Malgun Gothic" w:hAnsi="Times New Roman"/>
          <w:sz w:val="24"/>
          <w:szCs w:val="24"/>
          <w:lang w:eastAsia="en-GB"/>
        </w:rPr>
        <w:t xml:space="preserve"> FAM</w:t>
      </w:r>
      <w:r w:rsidR="009921EA" w:rsidRPr="007668DF">
        <w:rPr>
          <w:rFonts w:ascii="Times New Roman" w:eastAsia="Malgun Gothic" w:hAnsi="Times New Roman"/>
          <w:sz w:val="24"/>
          <w:szCs w:val="24"/>
          <w:lang w:eastAsia="en-GB"/>
        </w:rPr>
        <w:t>a</w:t>
      </w:r>
      <w:r w:rsidR="00093438" w:rsidRPr="007668DF">
        <w:rPr>
          <w:rFonts w:ascii="Times New Roman" w:eastAsia="Malgun Gothic" w:hAnsi="Times New Roman"/>
          <w:sz w:val="24"/>
          <w:szCs w:val="24"/>
          <w:lang w:eastAsia="en-GB"/>
        </w:rPr>
        <w:t xml:space="preserve"> dans plusieurs </w:t>
      </w:r>
      <w:r w:rsidR="00A6740D" w:rsidRPr="007668DF">
        <w:rPr>
          <w:rFonts w:ascii="Times New Roman" w:eastAsia="Malgun Gothic" w:hAnsi="Times New Roman"/>
          <w:sz w:val="24"/>
          <w:szCs w:val="24"/>
          <w:lang w:eastAsia="en-GB"/>
        </w:rPr>
        <w:t xml:space="preserve">de ces </w:t>
      </w:r>
      <w:r w:rsidR="00093438" w:rsidRPr="007668DF">
        <w:rPr>
          <w:rFonts w:ascii="Times New Roman" w:eastAsia="Malgun Gothic" w:hAnsi="Times New Roman"/>
          <w:sz w:val="24"/>
          <w:szCs w:val="24"/>
          <w:lang w:eastAsia="en-GB"/>
        </w:rPr>
        <w:t>localités</w:t>
      </w:r>
      <w:r w:rsidR="00A6740D" w:rsidRPr="007668DF">
        <w:rPr>
          <w:rFonts w:ascii="Times New Roman" w:eastAsia="Malgun Gothic" w:hAnsi="Times New Roman"/>
          <w:sz w:val="24"/>
          <w:szCs w:val="24"/>
          <w:lang w:eastAsia="en-GB"/>
        </w:rPr>
        <w:t xml:space="preserve"> expose</w:t>
      </w:r>
      <w:r w:rsidR="00E31DB1" w:rsidRPr="007668DF">
        <w:rPr>
          <w:rFonts w:ascii="Times New Roman" w:eastAsia="Malgun Gothic" w:hAnsi="Times New Roman"/>
          <w:sz w:val="24"/>
          <w:szCs w:val="24"/>
          <w:lang w:eastAsia="en-GB"/>
        </w:rPr>
        <w:t>nt</w:t>
      </w:r>
      <w:r w:rsidR="00093438" w:rsidRPr="007668DF">
        <w:rPr>
          <w:rFonts w:ascii="Times New Roman" w:eastAsia="Malgun Gothic" w:hAnsi="Times New Roman"/>
          <w:sz w:val="24"/>
          <w:szCs w:val="24"/>
          <w:lang w:eastAsia="en-GB"/>
        </w:rPr>
        <w:t xml:space="preserve"> les populations aux actes de banditisme</w:t>
      </w:r>
      <w:r w:rsidR="00864B20">
        <w:rPr>
          <w:rFonts w:ascii="Times New Roman" w:eastAsia="Malgun Gothic" w:hAnsi="Times New Roman"/>
          <w:sz w:val="24"/>
          <w:szCs w:val="24"/>
          <w:lang w:eastAsia="en-GB"/>
        </w:rPr>
        <w:t xml:space="preserve"> y compris la pose d’engins explosifs</w:t>
      </w:r>
      <w:r w:rsidR="00093438" w:rsidRPr="007668DF">
        <w:rPr>
          <w:rFonts w:ascii="Times New Roman" w:eastAsia="Malgun Gothic" w:hAnsi="Times New Roman"/>
          <w:sz w:val="24"/>
          <w:szCs w:val="24"/>
          <w:lang w:eastAsia="en-GB"/>
        </w:rPr>
        <w:t xml:space="preserve">, </w:t>
      </w:r>
      <w:r w:rsidR="00F74CC7" w:rsidRPr="007668DF">
        <w:rPr>
          <w:rFonts w:ascii="Times New Roman" w:eastAsia="Malgun Gothic" w:hAnsi="Times New Roman"/>
          <w:sz w:val="24"/>
          <w:szCs w:val="24"/>
          <w:lang w:eastAsia="en-GB"/>
        </w:rPr>
        <w:t xml:space="preserve">aux prises d’otages </w:t>
      </w:r>
      <w:r w:rsidR="00864B20" w:rsidRPr="007668DF">
        <w:rPr>
          <w:rFonts w:ascii="Times New Roman" w:eastAsia="Malgun Gothic" w:hAnsi="Times New Roman"/>
          <w:bCs/>
          <w:sz w:val="24"/>
          <w:szCs w:val="24"/>
        </w:rPr>
        <w:t>par les groupes terroristes</w:t>
      </w:r>
      <w:r w:rsidR="00864B20" w:rsidRPr="007668DF">
        <w:rPr>
          <w:rFonts w:ascii="Times New Roman" w:eastAsia="Malgun Gothic" w:hAnsi="Times New Roman"/>
          <w:sz w:val="24"/>
          <w:szCs w:val="24"/>
          <w:lang w:eastAsia="en-GB"/>
        </w:rPr>
        <w:t xml:space="preserve"> </w:t>
      </w:r>
      <w:r w:rsidR="00F74CC7" w:rsidRPr="007668DF">
        <w:rPr>
          <w:rFonts w:ascii="Times New Roman" w:eastAsia="Malgun Gothic" w:hAnsi="Times New Roman"/>
          <w:sz w:val="24"/>
          <w:szCs w:val="24"/>
          <w:lang w:eastAsia="en-GB"/>
        </w:rPr>
        <w:lastRenderedPageBreak/>
        <w:t xml:space="preserve">de civils soupçonnés de collaborer </w:t>
      </w:r>
      <w:r w:rsidR="00F74CC7" w:rsidRPr="007668DF">
        <w:rPr>
          <w:rFonts w:ascii="Times New Roman" w:eastAsia="Malgun Gothic" w:hAnsi="Times New Roman"/>
          <w:bCs/>
          <w:sz w:val="24"/>
          <w:szCs w:val="24"/>
        </w:rPr>
        <w:t xml:space="preserve">avec les forces de l’opération </w:t>
      </w:r>
      <w:r w:rsidR="004E4A3A">
        <w:rPr>
          <w:rFonts w:ascii="Times New Roman" w:eastAsia="Malgun Gothic" w:hAnsi="Times New Roman"/>
          <w:bCs/>
          <w:sz w:val="24"/>
          <w:szCs w:val="24"/>
        </w:rPr>
        <w:t>SERVAL</w:t>
      </w:r>
      <w:r w:rsidR="00F74CC7" w:rsidRPr="007668DF">
        <w:rPr>
          <w:rStyle w:val="FootnoteReference"/>
          <w:rFonts w:ascii="Times New Roman" w:eastAsia="Malgun Gothic" w:hAnsi="Times New Roman"/>
          <w:bCs/>
          <w:sz w:val="24"/>
          <w:szCs w:val="24"/>
        </w:rPr>
        <w:footnoteReference w:id="3"/>
      </w:r>
      <w:r w:rsidR="00F74CC7" w:rsidRPr="007668DF">
        <w:rPr>
          <w:rFonts w:ascii="Times New Roman" w:eastAsia="Malgun Gothic" w:hAnsi="Times New Roman"/>
          <w:bCs/>
          <w:sz w:val="24"/>
          <w:szCs w:val="24"/>
        </w:rPr>
        <w:t xml:space="preserve"> ou les militaires de la MINUSMA</w:t>
      </w:r>
      <w:r w:rsidR="00864B20">
        <w:rPr>
          <w:rFonts w:ascii="Times New Roman" w:eastAsia="Malgun Gothic" w:hAnsi="Times New Roman"/>
          <w:bCs/>
          <w:sz w:val="24"/>
          <w:szCs w:val="24"/>
        </w:rPr>
        <w:t>.</w:t>
      </w:r>
      <w:r w:rsidR="00F74CC7" w:rsidRPr="007668DF">
        <w:rPr>
          <w:rFonts w:ascii="Times New Roman" w:eastAsia="Malgun Gothic" w:hAnsi="Times New Roman"/>
          <w:sz w:val="24"/>
          <w:szCs w:val="24"/>
          <w:lang w:eastAsia="en-GB"/>
        </w:rPr>
        <w:t xml:space="preserve"> </w:t>
      </w:r>
      <w:r w:rsidR="00864B20">
        <w:rPr>
          <w:rFonts w:ascii="Times New Roman" w:eastAsia="Malgun Gothic" w:hAnsi="Times New Roman"/>
          <w:sz w:val="24"/>
          <w:szCs w:val="24"/>
          <w:lang w:eastAsia="en-GB"/>
        </w:rPr>
        <w:t xml:space="preserve"> </w:t>
      </w:r>
      <w:r w:rsidR="00E81CFC" w:rsidRPr="007668DF">
        <w:rPr>
          <w:rFonts w:ascii="Times New Roman" w:eastAsia="Malgun Gothic" w:hAnsi="Times New Roman"/>
          <w:bCs/>
          <w:sz w:val="24"/>
          <w:szCs w:val="24"/>
        </w:rPr>
        <w:t>La protection des civils dans certaines régions est</w:t>
      </w:r>
      <w:r w:rsidR="00E61E38" w:rsidRPr="007668DF">
        <w:rPr>
          <w:rFonts w:ascii="Times New Roman" w:eastAsia="Malgun Gothic" w:hAnsi="Times New Roman"/>
          <w:bCs/>
          <w:sz w:val="24"/>
          <w:szCs w:val="24"/>
        </w:rPr>
        <w:t xml:space="preserve"> donc </w:t>
      </w:r>
      <w:r w:rsidR="00E81CFC" w:rsidRPr="007668DF">
        <w:rPr>
          <w:rFonts w:ascii="Times New Roman" w:eastAsia="Malgun Gothic" w:hAnsi="Times New Roman"/>
          <w:bCs/>
          <w:sz w:val="24"/>
          <w:szCs w:val="24"/>
        </w:rPr>
        <w:t xml:space="preserve">constamment </w:t>
      </w:r>
      <w:r w:rsidR="007B52C3" w:rsidRPr="007668DF">
        <w:rPr>
          <w:rFonts w:ascii="Times New Roman" w:eastAsia="Malgun Gothic" w:hAnsi="Times New Roman"/>
          <w:bCs/>
          <w:sz w:val="24"/>
          <w:szCs w:val="24"/>
        </w:rPr>
        <w:t>menac</w:t>
      </w:r>
      <w:r w:rsidR="00E81CFC" w:rsidRPr="007668DF">
        <w:rPr>
          <w:rFonts w:ascii="Times New Roman" w:eastAsia="Malgun Gothic" w:hAnsi="Times New Roman"/>
          <w:bCs/>
          <w:sz w:val="24"/>
          <w:szCs w:val="24"/>
        </w:rPr>
        <w:t xml:space="preserve">ée </w:t>
      </w:r>
      <w:r w:rsidR="00E61E38" w:rsidRPr="007668DF">
        <w:rPr>
          <w:rFonts w:ascii="Times New Roman" w:eastAsia="Malgun Gothic" w:hAnsi="Times New Roman"/>
          <w:bCs/>
          <w:sz w:val="24"/>
          <w:szCs w:val="24"/>
        </w:rPr>
        <w:t xml:space="preserve">et la </w:t>
      </w:r>
      <w:r w:rsidR="00081CB0" w:rsidRPr="007668DF">
        <w:rPr>
          <w:rFonts w:ascii="Times New Roman" w:eastAsia="Malgun Gothic" w:hAnsi="Times New Roman"/>
          <w:bCs/>
          <w:sz w:val="24"/>
          <w:szCs w:val="24"/>
        </w:rPr>
        <w:t>situation d’insécurité généralisée</w:t>
      </w:r>
      <w:r w:rsidR="00890A9D" w:rsidRPr="007668DF">
        <w:rPr>
          <w:rFonts w:ascii="Times New Roman" w:eastAsia="Malgun Gothic" w:hAnsi="Times New Roman"/>
          <w:bCs/>
          <w:sz w:val="24"/>
          <w:szCs w:val="24"/>
        </w:rPr>
        <w:t xml:space="preserve"> </w:t>
      </w:r>
      <w:r w:rsidR="00081CB0" w:rsidRPr="007668DF">
        <w:rPr>
          <w:rFonts w:ascii="Times New Roman" w:eastAsia="Malgun Gothic" w:hAnsi="Times New Roman"/>
          <w:bCs/>
          <w:sz w:val="24"/>
          <w:szCs w:val="24"/>
        </w:rPr>
        <w:t xml:space="preserve">maintient la population dans </w:t>
      </w:r>
      <w:r w:rsidR="007B52C3" w:rsidRPr="007668DF">
        <w:rPr>
          <w:rFonts w:ascii="Times New Roman" w:eastAsia="Malgun Gothic" w:hAnsi="Times New Roman"/>
          <w:bCs/>
          <w:sz w:val="24"/>
          <w:szCs w:val="24"/>
        </w:rPr>
        <w:t>un climat de terreur permanent</w:t>
      </w:r>
      <w:r w:rsidR="00890A9D" w:rsidRPr="007668DF">
        <w:rPr>
          <w:rFonts w:ascii="Times New Roman" w:eastAsia="Malgun Gothic" w:hAnsi="Times New Roman"/>
          <w:bCs/>
          <w:sz w:val="24"/>
          <w:szCs w:val="24"/>
        </w:rPr>
        <w:t>e</w:t>
      </w:r>
      <w:r w:rsidR="007B52C3" w:rsidRPr="007668DF">
        <w:rPr>
          <w:rFonts w:ascii="Times New Roman" w:eastAsia="Malgun Gothic" w:hAnsi="Times New Roman"/>
          <w:bCs/>
          <w:sz w:val="24"/>
          <w:szCs w:val="24"/>
        </w:rPr>
        <w:t xml:space="preserve">. </w:t>
      </w:r>
    </w:p>
    <w:p w:rsidR="00C5240D" w:rsidRPr="007668DF" w:rsidRDefault="00C5240D" w:rsidP="006C2FA0">
      <w:pPr>
        <w:tabs>
          <w:tab w:val="left" w:pos="567"/>
          <w:tab w:val="left" w:pos="1134"/>
        </w:tabs>
        <w:spacing w:after="0"/>
        <w:jc w:val="both"/>
        <w:rPr>
          <w:rFonts w:ascii="Times New Roman" w:eastAsia="Malgun Gothic" w:hAnsi="Times New Roman"/>
          <w:sz w:val="24"/>
          <w:szCs w:val="24"/>
          <w:lang w:eastAsia="en-GB"/>
        </w:rPr>
      </w:pPr>
    </w:p>
    <w:p w:rsidR="009526DC" w:rsidRDefault="003C3CCB" w:rsidP="006C2FA0">
      <w:pPr>
        <w:tabs>
          <w:tab w:val="left" w:pos="567"/>
        </w:tabs>
        <w:spacing w:after="0"/>
        <w:jc w:val="both"/>
        <w:rPr>
          <w:rFonts w:ascii="Times New Roman" w:eastAsia="Malgun Gothic" w:hAnsi="Times New Roman"/>
          <w:sz w:val="24"/>
          <w:szCs w:val="24"/>
          <w:lang w:eastAsia="en-GB"/>
        </w:rPr>
      </w:pPr>
      <w:r w:rsidRPr="007668DF">
        <w:rPr>
          <w:rFonts w:ascii="Times New Roman" w:eastAsia="Malgun Gothic" w:hAnsi="Times New Roman"/>
          <w:sz w:val="24"/>
          <w:szCs w:val="24"/>
          <w:lang w:eastAsia="en-GB"/>
        </w:rPr>
        <w:t>8</w:t>
      </w:r>
      <w:r w:rsidR="00CF64A0" w:rsidRPr="007668DF">
        <w:rPr>
          <w:rFonts w:ascii="Times New Roman" w:eastAsia="Malgun Gothic" w:hAnsi="Times New Roman"/>
          <w:sz w:val="24"/>
          <w:szCs w:val="24"/>
          <w:lang w:eastAsia="en-GB"/>
        </w:rPr>
        <w:t>.</w:t>
      </w:r>
      <w:r w:rsidR="00CF64A0" w:rsidRPr="007668DF">
        <w:rPr>
          <w:rFonts w:ascii="Times New Roman" w:eastAsia="Malgun Gothic" w:hAnsi="Times New Roman"/>
          <w:sz w:val="24"/>
          <w:szCs w:val="24"/>
          <w:lang w:eastAsia="en-GB"/>
        </w:rPr>
        <w:tab/>
      </w:r>
      <w:r w:rsidR="00C5240D" w:rsidRPr="007668DF">
        <w:rPr>
          <w:rFonts w:ascii="Times New Roman" w:eastAsia="Malgun Gothic" w:hAnsi="Times New Roman"/>
          <w:sz w:val="24"/>
          <w:szCs w:val="24"/>
          <w:lang w:eastAsia="en-GB"/>
        </w:rPr>
        <w:t xml:space="preserve">Enfin, ce rapport se réfère aux données antérieures à la période sous examen en raison de leur impact sur la </w:t>
      </w:r>
      <w:r w:rsidR="00E700F7" w:rsidRPr="007668DF">
        <w:rPr>
          <w:rFonts w:ascii="Times New Roman" w:eastAsia="Malgun Gothic" w:hAnsi="Times New Roman"/>
          <w:sz w:val="24"/>
          <w:szCs w:val="24"/>
          <w:lang w:eastAsia="en-GB"/>
        </w:rPr>
        <w:t>situation actuelle des droits de l’homme</w:t>
      </w:r>
      <w:r w:rsidR="00E06768" w:rsidRPr="007668DF">
        <w:rPr>
          <w:rFonts w:ascii="Times New Roman" w:eastAsia="Malgun Gothic" w:hAnsi="Times New Roman"/>
          <w:sz w:val="24"/>
          <w:szCs w:val="24"/>
          <w:lang w:eastAsia="en-GB"/>
        </w:rPr>
        <w:t>.</w:t>
      </w:r>
      <w:r w:rsidR="00C5240D" w:rsidRPr="007668DF">
        <w:rPr>
          <w:rFonts w:ascii="Times New Roman" w:eastAsia="Malgun Gothic" w:hAnsi="Times New Roman"/>
          <w:sz w:val="24"/>
          <w:szCs w:val="24"/>
          <w:lang w:eastAsia="en-GB"/>
        </w:rPr>
        <w:t xml:space="preserve"> </w:t>
      </w:r>
      <w:r w:rsidR="00E06768" w:rsidRPr="007668DF">
        <w:rPr>
          <w:rFonts w:ascii="Times New Roman" w:eastAsia="Malgun Gothic" w:hAnsi="Times New Roman"/>
          <w:sz w:val="24"/>
          <w:szCs w:val="24"/>
          <w:lang w:eastAsia="en-GB"/>
        </w:rPr>
        <w:t>Les</w:t>
      </w:r>
      <w:r w:rsidR="00C5240D" w:rsidRPr="007668DF">
        <w:rPr>
          <w:rFonts w:ascii="Times New Roman" w:eastAsia="Malgun Gothic" w:hAnsi="Times New Roman"/>
          <w:sz w:val="24"/>
          <w:szCs w:val="24"/>
          <w:lang w:eastAsia="en-GB"/>
        </w:rPr>
        <w:t xml:space="preserve"> évènements de Kidal du 1</w:t>
      </w:r>
      <w:r w:rsidR="008F0F21" w:rsidRPr="007668DF">
        <w:rPr>
          <w:rFonts w:ascii="Times New Roman" w:eastAsia="Malgun Gothic" w:hAnsi="Times New Roman"/>
          <w:sz w:val="24"/>
          <w:szCs w:val="24"/>
          <w:lang w:eastAsia="en-GB"/>
        </w:rPr>
        <w:t>6</w:t>
      </w:r>
      <w:r w:rsidR="00C5240D" w:rsidRPr="007668DF">
        <w:rPr>
          <w:rFonts w:ascii="Times New Roman" w:eastAsia="Malgun Gothic" w:hAnsi="Times New Roman"/>
          <w:sz w:val="24"/>
          <w:szCs w:val="24"/>
          <w:lang w:eastAsia="en-GB"/>
        </w:rPr>
        <w:t xml:space="preserve"> au 21 mai 2014</w:t>
      </w:r>
      <w:r w:rsidR="00326B56" w:rsidRPr="007668DF">
        <w:rPr>
          <w:rFonts w:ascii="Times New Roman" w:eastAsia="Malgun Gothic" w:hAnsi="Times New Roman"/>
          <w:sz w:val="24"/>
          <w:szCs w:val="24"/>
          <w:lang w:eastAsia="en-GB"/>
        </w:rPr>
        <w:t>,</w:t>
      </w:r>
      <w:r w:rsidR="00F24BC5" w:rsidRPr="007668DF">
        <w:rPr>
          <w:rFonts w:ascii="Times New Roman" w:eastAsia="Malgun Gothic" w:hAnsi="Times New Roman"/>
          <w:sz w:val="24"/>
          <w:szCs w:val="24"/>
          <w:lang w:eastAsia="en-GB"/>
        </w:rPr>
        <w:t xml:space="preserve"> </w:t>
      </w:r>
      <w:r w:rsidR="00203A2F" w:rsidRPr="007668DF">
        <w:rPr>
          <w:rFonts w:ascii="Times New Roman" w:eastAsia="Malgun Gothic" w:hAnsi="Times New Roman"/>
          <w:sz w:val="24"/>
          <w:szCs w:val="24"/>
          <w:lang w:eastAsia="en-GB"/>
        </w:rPr>
        <w:t>mentionnés sommairement dans ce rapport</w:t>
      </w:r>
      <w:r w:rsidR="00326B56" w:rsidRPr="007668DF">
        <w:rPr>
          <w:rFonts w:ascii="Times New Roman" w:eastAsia="Malgun Gothic" w:hAnsi="Times New Roman"/>
          <w:sz w:val="24"/>
          <w:szCs w:val="24"/>
          <w:lang w:eastAsia="en-GB"/>
        </w:rPr>
        <w:t>,</w:t>
      </w:r>
      <w:r w:rsidR="00203A2F" w:rsidRPr="007668DF">
        <w:rPr>
          <w:rFonts w:ascii="Times New Roman" w:eastAsia="Malgun Gothic" w:hAnsi="Times New Roman"/>
          <w:sz w:val="24"/>
          <w:szCs w:val="24"/>
          <w:lang w:eastAsia="en-GB"/>
        </w:rPr>
        <w:t xml:space="preserve"> </w:t>
      </w:r>
      <w:r w:rsidR="00F24BC5" w:rsidRPr="007668DF">
        <w:rPr>
          <w:rFonts w:ascii="Times New Roman" w:eastAsia="Malgun Gothic" w:hAnsi="Times New Roman"/>
          <w:sz w:val="24"/>
          <w:szCs w:val="24"/>
          <w:lang w:eastAsia="en-GB"/>
        </w:rPr>
        <w:t xml:space="preserve">feront l’objet d’un rapport spécial </w:t>
      </w:r>
      <w:r w:rsidR="007013FD" w:rsidRPr="007668DF">
        <w:rPr>
          <w:rFonts w:ascii="Times New Roman" w:eastAsia="Malgun Gothic" w:hAnsi="Times New Roman"/>
          <w:sz w:val="24"/>
          <w:szCs w:val="24"/>
          <w:lang w:eastAsia="en-GB"/>
        </w:rPr>
        <w:t>d’</w:t>
      </w:r>
      <w:r w:rsidR="007013FD">
        <w:rPr>
          <w:rFonts w:ascii="Times New Roman" w:eastAsia="Malgun Gothic" w:hAnsi="Times New Roman"/>
          <w:sz w:val="24"/>
          <w:szCs w:val="24"/>
          <w:lang w:eastAsia="en-GB"/>
        </w:rPr>
        <w:t xml:space="preserve">enquête </w:t>
      </w:r>
      <w:r w:rsidR="007013FD" w:rsidRPr="007668DF">
        <w:rPr>
          <w:rFonts w:ascii="Times New Roman" w:eastAsia="Malgun Gothic" w:hAnsi="Times New Roman"/>
          <w:sz w:val="24"/>
          <w:szCs w:val="24"/>
          <w:lang w:eastAsia="en-GB"/>
        </w:rPr>
        <w:t xml:space="preserve"> </w:t>
      </w:r>
      <w:r w:rsidR="00E61E38" w:rsidRPr="007668DF">
        <w:rPr>
          <w:rFonts w:ascii="Times New Roman" w:eastAsia="Malgun Gothic" w:hAnsi="Times New Roman"/>
          <w:sz w:val="24"/>
          <w:szCs w:val="24"/>
          <w:lang w:eastAsia="en-GB"/>
        </w:rPr>
        <w:t>qui sera rendu public</w:t>
      </w:r>
      <w:r w:rsidR="00203A2F" w:rsidRPr="007668DF">
        <w:rPr>
          <w:rFonts w:ascii="Times New Roman" w:eastAsia="Malgun Gothic" w:hAnsi="Times New Roman"/>
          <w:sz w:val="24"/>
          <w:szCs w:val="24"/>
          <w:lang w:eastAsia="en-GB"/>
        </w:rPr>
        <w:t>.</w:t>
      </w:r>
    </w:p>
    <w:p w:rsidR="00001374" w:rsidRDefault="00001374" w:rsidP="006C2FA0">
      <w:pPr>
        <w:tabs>
          <w:tab w:val="left" w:pos="567"/>
        </w:tabs>
        <w:spacing w:after="0"/>
        <w:jc w:val="both"/>
        <w:rPr>
          <w:rFonts w:ascii="Times New Roman" w:eastAsia="Malgun Gothic" w:hAnsi="Times New Roman"/>
          <w:sz w:val="24"/>
          <w:szCs w:val="24"/>
          <w:lang w:eastAsia="en-GB"/>
        </w:rPr>
      </w:pPr>
    </w:p>
    <w:p w:rsidR="00E81CFC" w:rsidRPr="007668DF" w:rsidRDefault="00E81CFC" w:rsidP="003B152B">
      <w:pPr>
        <w:pStyle w:val="Title"/>
        <w:rPr>
          <w:rFonts w:eastAsia="Malgun Gothic"/>
        </w:rPr>
      </w:pPr>
      <w:bookmarkStart w:id="4" w:name="_Toc401931484"/>
      <w:r w:rsidRPr="007668DF">
        <w:rPr>
          <w:rFonts w:eastAsia="Malgun Gothic"/>
        </w:rPr>
        <w:t>Méthodologie</w:t>
      </w:r>
      <w:bookmarkEnd w:id="4"/>
    </w:p>
    <w:p w:rsidR="00E06768" w:rsidRPr="007668DF" w:rsidRDefault="0086130D" w:rsidP="006C2FA0">
      <w:pPr>
        <w:tabs>
          <w:tab w:val="left" w:pos="567"/>
        </w:tabs>
        <w:spacing w:after="0"/>
        <w:jc w:val="both"/>
        <w:rPr>
          <w:rFonts w:ascii="Times New Roman" w:eastAsia="Malgun Gothic" w:hAnsi="Times New Roman"/>
          <w:sz w:val="24"/>
          <w:szCs w:val="24"/>
        </w:rPr>
      </w:pPr>
      <w:r>
        <w:rPr>
          <w:rFonts w:ascii="Times New Roman" w:eastAsia="Malgun Gothic" w:hAnsi="Times New Roman"/>
          <w:sz w:val="24"/>
          <w:szCs w:val="24"/>
        </w:rPr>
        <w:t>9</w:t>
      </w:r>
      <w:r w:rsidR="008361EE" w:rsidRPr="007668DF">
        <w:rPr>
          <w:rFonts w:ascii="Times New Roman" w:eastAsia="Malgun Gothic" w:hAnsi="Times New Roman"/>
          <w:sz w:val="24"/>
          <w:szCs w:val="24"/>
        </w:rPr>
        <w:t>.</w:t>
      </w:r>
      <w:r w:rsidR="008361EE" w:rsidRPr="007668DF">
        <w:rPr>
          <w:rFonts w:ascii="Times New Roman" w:eastAsia="Malgun Gothic" w:hAnsi="Times New Roman"/>
          <w:sz w:val="24"/>
          <w:szCs w:val="24"/>
        </w:rPr>
        <w:tab/>
      </w:r>
      <w:r w:rsidR="00E81CFC" w:rsidRPr="007668DF">
        <w:rPr>
          <w:rFonts w:ascii="Times New Roman" w:eastAsia="Malgun Gothic" w:hAnsi="Times New Roman"/>
          <w:sz w:val="24"/>
          <w:szCs w:val="24"/>
        </w:rPr>
        <w:t>Ce rapport s’appuie principalement sur</w:t>
      </w:r>
      <w:r w:rsidR="00CA5F07" w:rsidRPr="007668DF">
        <w:rPr>
          <w:rFonts w:ascii="Times New Roman" w:eastAsia="Malgun Gothic" w:hAnsi="Times New Roman"/>
          <w:sz w:val="24"/>
          <w:szCs w:val="24"/>
        </w:rPr>
        <w:t xml:space="preserve"> </w:t>
      </w:r>
      <w:r w:rsidR="00E81CFC" w:rsidRPr="007668DF">
        <w:rPr>
          <w:rFonts w:ascii="Times New Roman" w:eastAsia="Malgun Gothic" w:hAnsi="Times New Roman"/>
          <w:sz w:val="24"/>
          <w:szCs w:val="24"/>
        </w:rPr>
        <w:t xml:space="preserve">les informations </w:t>
      </w:r>
      <w:r w:rsidR="00E06768" w:rsidRPr="007668DF">
        <w:rPr>
          <w:rFonts w:ascii="Times New Roman" w:eastAsia="Malgun Gothic" w:hAnsi="Times New Roman"/>
          <w:sz w:val="24"/>
          <w:szCs w:val="24"/>
        </w:rPr>
        <w:t xml:space="preserve">vérifiées </w:t>
      </w:r>
      <w:r w:rsidR="00E81CFC" w:rsidRPr="007668DF">
        <w:rPr>
          <w:rFonts w:ascii="Times New Roman" w:eastAsia="Malgun Gothic" w:hAnsi="Times New Roman"/>
          <w:sz w:val="24"/>
          <w:szCs w:val="24"/>
        </w:rPr>
        <w:t xml:space="preserve">par la Division des droits de l’homme </w:t>
      </w:r>
      <w:r w:rsidR="00F11BE3" w:rsidRPr="007668DF">
        <w:rPr>
          <w:rFonts w:ascii="Times New Roman" w:eastAsia="Malgun Gothic" w:hAnsi="Times New Roman"/>
          <w:sz w:val="24"/>
          <w:szCs w:val="24"/>
        </w:rPr>
        <w:t xml:space="preserve">de la MINUSMA </w:t>
      </w:r>
      <w:r w:rsidR="00E81CFC" w:rsidRPr="007668DF">
        <w:rPr>
          <w:rFonts w:ascii="Times New Roman" w:eastAsia="Malgun Gothic" w:hAnsi="Times New Roman"/>
          <w:sz w:val="24"/>
          <w:szCs w:val="24"/>
        </w:rPr>
        <w:t xml:space="preserve">à travers </w:t>
      </w:r>
      <w:r w:rsidR="00F11BE3" w:rsidRPr="007668DF">
        <w:rPr>
          <w:rFonts w:ascii="Times New Roman" w:eastAsia="Malgun Gothic" w:hAnsi="Times New Roman"/>
          <w:sz w:val="24"/>
          <w:szCs w:val="24"/>
        </w:rPr>
        <w:t>ses</w:t>
      </w:r>
      <w:r w:rsidR="00E81CFC" w:rsidRPr="007668DF">
        <w:rPr>
          <w:rFonts w:ascii="Times New Roman" w:eastAsia="Malgun Gothic" w:hAnsi="Times New Roman"/>
          <w:sz w:val="24"/>
          <w:szCs w:val="24"/>
        </w:rPr>
        <w:t xml:space="preserve"> missions </w:t>
      </w:r>
      <w:r w:rsidR="00494BEA" w:rsidRPr="007668DF">
        <w:rPr>
          <w:rFonts w:ascii="Times New Roman" w:eastAsia="Malgun Gothic" w:hAnsi="Times New Roman"/>
          <w:sz w:val="24"/>
          <w:szCs w:val="24"/>
        </w:rPr>
        <w:t xml:space="preserve">d’enquêtes </w:t>
      </w:r>
      <w:r w:rsidR="00252DBE" w:rsidRPr="007668DF">
        <w:rPr>
          <w:rFonts w:ascii="Times New Roman" w:eastAsia="Malgun Gothic" w:hAnsi="Times New Roman"/>
          <w:sz w:val="24"/>
          <w:szCs w:val="24"/>
        </w:rPr>
        <w:t>et</w:t>
      </w:r>
      <w:r w:rsidR="00E06768" w:rsidRPr="007668DF">
        <w:rPr>
          <w:rFonts w:ascii="Times New Roman" w:eastAsia="Malgun Gothic" w:hAnsi="Times New Roman"/>
          <w:sz w:val="24"/>
          <w:szCs w:val="24"/>
        </w:rPr>
        <w:t xml:space="preserve"> d’établissement des faits, </w:t>
      </w:r>
      <w:r w:rsidR="00252DBE" w:rsidRPr="007668DF">
        <w:rPr>
          <w:rFonts w:ascii="Times New Roman" w:eastAsia="Malgun Gothic" w:hAnsi="Times New Roman"/>
          <w:sz w:val="24"/>
          <w:szCs w:val="24"/>
        </w:rPr>
        <w:t xml:space="preserve">et </w:t>
      </w:r>
      <w:r w:rsidR="00E06768" w:rsidRPr="007668DF">
        <w:rPr>
          <w:rFonts w:ascii="Times New Roman" w:eastAsia="Malgun Gothic" w:hAnsi="Times New Roman"/>
          <w:sz w:val="24"/>
          <w:szCs w:val="24"/>
        </w:rPr>
        <w:t xml:space="preserve">des témoignages crédibles </w:t>
      </w:r>
      <w:r w:rsidR="00252DBE" w:rsidRPr="007668DF">
        <w:rPr>
          <w:rFonts w:ascii="Times New Roman" w:eastAsia="Malgun Gothic" w:hAnsi="Times New Roman"/>
          <w:sz w:val="24"/>
          <w:szCs w:val="24"/>
        </w:rPr>
        <w:t xml:space="preserve">qu’elle a pu recueillir, notamment  de ses </w:t>
      </w:r>
      <w:r w:rsidR="004E4A3A">
        <w:rPr>
          <w:rFonts w:ascii="Times New Roman" w:eastAsia="Malgun Gothic" w:hAnsi="Times New Roman"/>
          <w:sz w:val="24"/>
          <w:szCs w:val="24"/>
        </w:rPr>
        <w:t>4</w:t>
      </w:r>
      <w:r w:rsidR="004E4A3A" w:rsidRPr="007668DF">
        <w:rPr>
          <w:rFonts w:ascii="Times New Roman" w:eastAsia="Malgun Gothic" w:hAnsi="Times New Roman"/>
          <w:sz w:val="24"/>
          <w:szCs w:val="24"/>
        </w:rPr>
        <w:t xml:space="preserve"> </w:t>
      </w:r>
      <w:r w:rsidR="00E81CFC" w:rsidRPr="007668DF">
        <w:rPr>
          <w:rFonts w:ascii="Times New Roman" w:eastAsia="Malgun Gothic" w:hAnsi="Times New Roman"/>
          <w:sz w:val="24"/>
          <w:szCs w:val="24"/>
        </w:rPr>
        <w:t>bureaux régionaux</w:t>
      </w:r>
      <w:r w:rsidR="00890A9D" w:rsidRPr="007668DF">
        <w:rPr>
          <w:rFonts w:ascii="Times New Roman" w:eastAsia="Malgun Gothic" w:hAnsi="Times New Roman"/>
          <w:sz w:val="24"/>
          <w:szCs w:val="24"/>
        </w:rPr>
        <w:t xml:space="preserve"> </w:t>
      </w:r>
      <w:r w:rsidR="00E93FF6" w:rsidRPr="007668DF">
        <w:rPr>
          <w:rFonts w:ascii="Times New Roman" w:eastAsia="Malgun Gothic" w:hAnsi="Times New Roman"/>
          <w:sz w:val="24"/>
          <w:szCs w:val="24"/>
        </w:rPr>
        <w:t>de Kidal, Mopti, Gao et Tombouctou</w:t>
      </w:r>
      <w:r w:rsidR="00E81CFC" w:rsidRPr="007668DF">
        <w:rPr>
          <w:rFonts w:ascii="Times New Roman" w:eastAsia="Malgun Gothic" w:hAnsi="Times New Roman"/>
          <w:sz w:val="24"/>
          <w:szCs w:val="24"/>
        </w:rPr>
        <w:t xml:space="preserve">. </w:t>
      </w:r>
      <w:r w:rsidR="00252DBE" w:rsidRPr="007668DF">
        <w:rPr>
          <w:rFonts w:ascii="Times New Roman" w:eastAsia="Malgun Gothic" w:hAnsi="Times New Roman"/>
          <w:sz w:val="24"/>
          <w:szCs w:val="24"/>
        </w:rPr>
        <w:t>Durant la période examinée, l</w:t>
      </w:r>
      <w:r w:rsidR="00F11BE3" w:rsidRPr="007668DF">
        <w:rPr>
          <w:rFonts w:ascii="Times New Roman" w:eastAsia="Malgun Gothic" w:hAnsi="Times New Roman"/>
          <w:sz w:val="24"/>
          <w:szCs w:val="24"/>
        </w:rPr>
        <w:t>es</w:t>
      </w:r>
      <w:r w:rsidR="00E06768" w:rsidRPr="007668DF">
        <w:rPr>
          <w:rFonts w:ascii="Times New Roman" w:eastAsia="Malgun Gothic" w:hAnsi="Times New Roman"/>
          <w:sz w:val="24"/>
          <w:szCs w:val="24"/>
        </w:rPr>
        <w:t xml:space="preserve"> </w:t>
      </w:r>
      <w:r w:rsidR="00F30568" w:rsidRPr="007668DF">
        <w:rPr>
          <w:rFonts w:ascii="Times New Roman" w:eastAsia="Malgun Gothic" w:hAnsi="Times New Roman"/>
          <w:sz w:val="24"/>
          <w:szCs w:val="24"/>
        </w:rPr>
        <w:t xml:space="preserve">équipes des </w:t>
      </w:r>
      <w:r w:rsidR="00E06768" w:rsidRPr="007668DF">
        <w:rPr>
          <w:rFonts w:ascii="Times New Roman" w:eastAsia="Malgun Gothic" w:hAnsi="Times New Roman"/>
          <w:sz w:val="24"/>
          <w:szCs w:val="24"/>
        </w:rPr>
        <w:t>droits de l’homme</w:t>
      </w:r>
      <w:r w:rsidR="00F11BE3" w:rsidRPr="007668DF">
        <w:rPr>
          <w:rFonts w:ascii="Times New Roman" w:eastAsia="Malgun Gothic" w:hAnsi="Times New Roman"/>
          <w:sz w:val="24"/>
          <w:szCs w:val="24"/>
        </w:rPr>
        <w:t xml:space="preserve"> de la MINUSMA ont </w:t>
      </w:r>
      <w:r w:rsidR="002D2313" w:rsidRPr="007668DF">
        <w:rPr>
          <w:rFonts w:ascii="Times New Roman" w:eastAsia="Malgun Gothic" w:hAnsi="Times New Roman"/>
          <w:sz w:val="24"/>
          <w:szCs w:val="24"/>
        </w:rPr>
        <w:t xml:space="preserve">effectué </w:t>
      </w:r>
      <w:r w:rsidR="00F30568" w:rsidRPr="007668DF">
        <w:rPr>
          <w:rFonts w:ascii="Times New Roman" w:eastAsia="Malgun Gothic" w:hAnsi="Times New Roman"/>
          <w:sz w:val="24"/>
          <w:szCs w:val="24"/>
        </w:rPr>
        <w:t xml:space="preserve">36 missions </w:t>
      </w:r>
      <w:r w:rsidR="00494BEA" w:rsidRPr="007668DF">
        <w:rPr>
          <w:rFonts w:ascii="Times New Roman" w:eastAsia="Malgun Gothic" w:hAnsi="Times New Roman"/>
          <w:sz w:val="24"/>
          <w:szCs w:val="24"/>
        </w:rPr>
        <w:t xml:space="preserve">d’enquêtes </w:t>
      </w:r>
      <w:r w:rsidR="00F30568" w:rsidRPr="007668DF">
        <w:rPr>
          <w:rFonts w:ascii="Times New Roman" w:eastAsia="Malgun Gothic" w:hAnsi="Times New Roman"/>
          <w:sz w:val="24"/>
          <w:szCs w:val="24"/>
        </w:rPr>
        <w:t>et d’établissement des faits</w:t>
      </w:r>
      <w:r w:rsidR="00252DBE" w:rsidRPr="007668DF">
        <w:rPr>
          <w:rFonts w:ascii="Times New Roman" w:eastAsia="Malgun Gothic" w:hAnsi="Times New Roman"/>
          <w:sz w:val="24"/>
          <w:szCs w:val="24"/>
        </w:rPr>
        <w:t>,</w:t>
      </w:r>
      <w:r w:rsidR="00F30568" w:rsidRPr="007668DF">
        <w:rPr>
          <w:rFonts w:ascii="Times New Roman" w:eastAsia="Malgun Gothic" w:hAnsi="Times New Roman"/>
          <w:sz w:val="24"/>
          <w:szCs w:val="24"/>
        </w:rPr>
        <w:t xml:space="preserve"> </w:t>
      </w:r>
      <w:r w:rsidR="00F30568" w:rsidRPr="007668DF">
        <w:rPr>
          <w:rFonts w:ascii="Times New Roman" w:eastAsia="Malgun Gothic" w:hAnsi="Times New Roman"/>
          <w:sz w:val="24"/>
          <w:szCs w:val="24"/>
        </w:rPr>
        <w:lastRenderedPageBreak/>
        <w:t>d’une durée de 2 à 5</w:t>
      </w:r>
      <w:r w:rsidR="00E93BC6" w:rsidRPr="007668DF">
        <w:rPr>
          <w:rFonts w:ascii="Times New Roman" w:eastAsia="Malgun Gothic" w:hAnsi="Times New Roman"/>
          <w:sz w:val="24"/>
          <w:szCs w:val="24"/>
        </w:rPr>
        <w:t xml:space="preserve"> jours</w:t>
      </w:r>
      <w:r w:rsidR="00252DBE" w:rsidRPr="007668DF">
        <w:rPr>
          <w:rFonts w:ascii="Times New Roman" w:eastAsia="Malgun Gothic" w:hAnsi="Times New Roman"/>
          <w:sz w:val="24"/>
          <w:szCs w:val="24"/>
        </w:rPr>
        <w:t>,</w:t>
      </w:r>
      <w:r w:rsidR="00F30568" w:rsidRPr="007668DF">
        <w:rPr>
          <w:rFonts w:ascii="Times New Roman" w:eastAsia="Malgun Gothic" w:hAnsi="Times New Roman"/>
          <w:sz w:val="24"/>
          <w:szCs w:val="24"/>
        </w:rPr>
        <w:t xml:space="preserve"> </w:t>
      </w:r>
      <w:r w:rsidR="00632AB4" w:rsidRPr="007668DF">
        <w:rPr>
          <w:rFonts w:ascii="Times New Roman" w:eastAsia="Malgun Gothic" w:hAnsi="Times New Roman"/>
          <w:sz w:val="24"/>
          <w:szCs w:val="24"/>
        </w:rPr>
        <w:t>dans</w:t>
      </w:r>
      <w:r w:rsidR="00E81CFC" w:rsidRPr="007668DF">
        <w:rPr>
          <w:rFonts w:ascii="Times New Roman" w:eastAsia="Malgun Gothic" w:hAnsi="Times New Roman"/>
          <w:sz w:val="24"/>
          <w:szCs w:val="24"/>
        </w:rPr>
        <w:t xml:space="preserve"> des </w:t>
      </w:r>
      <w:r w:rsidR="00E06768" w:rsidRPr="007668DF">
        <w:rPr>
          <w:rFonts w:ascii="Times New Roman" w:eastAsia="Malgun Gothic" w:hAnsi="Times New Roman"/>
          <w:sz w:val="24"/>
          <w:szCs w:val="24"/>
        </w:rPr>
        <w:t xml:space="preserve">sites </w:t>
      </w:r>
      <w:r w:rsidR="00062798" w:rsidRPr="007668DF">
        <w:rPr>
          <w:rFonts w:ascii="Times New Roman" w:eastAsia="Malgun Gothic" w:hAnsi="Times New Roman"/>
          <w:sz w:val="24"/>
          <w:szCs w:val="24"/>
        </w:rPr>
        <w:t>où</w:t>
      </w:r>
      <w:r w:rsidR="00E06768" w:rsidRPr="007668DF">
        <w:rPr>
          <w:rFonts w:ascii="Times New Roman" w:eastAsia="Malgun Gothic" w:hAnsi="Times New Roman"/>
          <w:sz w:val="24"/>
          <w:szCs w:val="24"/>
        </w:rPr>
        <w:t xml:space="preserve"> </w:t>
      </w:r>
      <w:r w:rsidR="00252DBE" w:rsidRPr="007668DF">
        <w:rPr>
          <w:rFonts w:ascii="Times New Roman" w:eastAsia="Malgun Gothic" w:hAnsi="Times New Roman"/>
          <w:sz w:val="24"/>
          <w:szCs w:val="24"/>
        </w:rPr>
        <w:t>d</w:t>
      </w:r>
      <w:r w:rsidR="00E06768" w:rsidRPr="007668DF">
        <w:rPr>
          <w:rFonts w:ascii="Times New Roman" w:eastAsia="Malgun Gothic" w:hAnsi="Times New Roman"/>
          <w:sz w:val="24"/>
          <w:szCs w:val="24"/>
        </w:rPr>
        <w:t xml:space="preserve">es violations </w:t>
      </w:r>
      <w:r w:rsidR="0084122F" w:rsidRPr="007668DF">
        <w:rPr>
          <w:rFonts w:ascii="Times New Roman" w:eastAsia="Malgun Gothic" w:hAnsi="Times New Roman"/>
          <w:sz w:val="24"/>
          <w:szCs w:val="24"/>
        </w:rPr>
        <w:t xml:space="preserve">et abus </w:t>
      </w:r>
      <w:r w:rsidR="00E06768" w:rsidRPr="007668DF">
        <w:rPr>
          <w:rFonts w:ascii="Times New Roman" w:eastAsia="Malgun Gothic" w:hAnsi="Times New Roman"/>
          <w:sz w:val="24"/>
          <w:szCs w:val="24"/>
        </w:rPr>
        <w:t xml:space="preserve">des droits de l’homme </w:t>
      </w:r>
      <w:r w:rsidR="005142AB">
        <w:rPr>
          <w:rFonts w:ascii="Times New Roman" w:eastAsia="Malgun Gothic" w:hAnsi="Times New Roman"/>
          <w:sz w:val="24"/>
          <w:szCs w:val="24"/>
        </w:rPr>
        <w:t xml:space="preserve">et du droit international humanitaire </w:t>
      </w:r>
      <w:r w:rsidR="00252DBE" w:rsidRPr="007668DF">
        <w:rPr>
          <w:rFonts w:ascii="Times New Roman" w:eastAsia="Malgun Gothic" w:hAnsi="Times New Roman"/>
          <w:sz w:val="24"/>
          <w:szCs w:val="24"/>
        </w:rPr>
        <w:t>avaient</w:t>
      </w:r>
      <w:r w:rsidR="0002276C" w:rsidRPr="007668DF">
        <w:rPr>
          <w:rFonts w:ascii="Times New Roman" w:eastAsia="Malgun Gothic" w:hAnsi="Times New Roman"/>
          <w:sz w:val="24"/>
          <w:szCs w:val="24"/>
        </w:rPr>
        <w:t xml:space="preserve"> été </w:t>
      </w:r>
      <w:r w:rsidR="0084122F" w:rsidRPr="007668DF">
        <w:rPr>
          <w:rFonts w:ascii="Times New Roman" w:eastAsia="Malgun Gothic" w:hAnsi="Times New Roman"/>
          <w:sz w:val="24"/>
          <w:szCs w:val="24"/>
        </w:rPr>
        <w:t>commis</w:t>
      </w:r>
      <w:r w:rsidR="0002276C" w:rsidRPr="007668DF">
        <w:rPr>
          <w:rFonts w:ascii="Times New Roman" w:eastAsia="Malgun Gothic" w:hAnsi="Times New Roman"/>
          <w:sz w:val="24"/>
          <w:szCs w:val="24"/>
        </w:rPr>
        <w:t xml:space="preserve">. </w:t>
      </w:r>
      <w:r w:rsidR="00E77900" w:rsidRPr="007668DF">
        <w:rPr>
          <w:rFonts w:ascii="Times New Roman" w:eastAsia="Malgun Gothic" w:hAnsi="Times New Roman"/>
          <w:sz w:val="24"/>
          <w:szCs w:val="24"/>
        </w:rPr>
        <w:t xml:space="preserve">Elles </w:t>
      </w:r>
      <w:r w:rsidR="0002276C" w:rsidRPr="007668DF">
        <w:rPr>
          <w:rFonts w:ascii="Times New Roman" w:eastAsia="Malgun Gothic" w:hAnsi="Times New Roman"/>
          <w:sz w:val="24"/>
          <w:szCs w:val="24"/>
        </w:rPr>
        <w:t xml:space="preserve">ont </w:t>
      </w:r>
      <w:r w:rsidR="00252DBE" w:rsidRPr="007668DF">
        <w:rPr>
          <w:rFonts w:ascii="Times New Roman" w:eastAsia="Malgun Gothic" w:hAnsi="Times New Roman"/>
          <w:sz w:val="24"/>
          <w:szCs w:val="24"/>
        </w:rPr>
        <w:t>en outre </w:t>
      </w:r>
      <w:r w:rsidR="0002276C" w:rsidRPr="007668DF">
        <w:rPr>
          <w:rFonts w:ascii="Times New Roman" w:eastAsia="Malgun Gothic" w:hAnsi="Times New Roman"/>
          <w:sz w:val="24"/>
          <w:szCs w:val="24"/>
        </w:rPr>
        <w:t xml:space="preserve">visité </w:t>
      </w:r>
      <w:r w:rsidR="00632AB4" w:rsidRPr="007668DF">
        <w:rPr>
          <w:rFonts w:ascii="Times New Roman" w:eastAsia="Malgun Gothic" w:hAnsi="Times New Roman"/>
          <w:sz w:val="24"/>
          <w:szCs w:val="24"/>
        </w:rPr>
        <w:t xml:space="preserve">plus de </w:t>
      </w:r>
      <w:r w:rsidR="002D2313" w:rsidRPr="007668DF">
        <w:rPr>
          <w:rFonts w:ascii="Times New Roman" w:eastAsia="Malgun Gothic" w:hAnsi="Times New Roman"/>
          <w:sz w:val="24"/>
          <w:szCs w:val="24"/>
        </w:rPr>
        <w:t>150</w:t>
      </w:r>
      <w:r w:rsidR="00632AB4" w:rsidRPr="007668DF">
        <w:rPr>
          <w:rFonts w:ascii="Times New Roman" w:eastAsia="Malgun Gothic" w:hAnsi="Times New Roman"/>
          <w:sz w:val="24"/>
          <w:szCs w:val="24"/>
        </w:rPr>
        <w:t xml:space="preserve"> </w:t>
      </w:r>
      <w:r w:rsidR="0002276C" w:rsidRPr="007668DF">
        <w:rPr>
          <w:rFonts w:ascii="Times New Roman" w:eastAsia="Malgun Gothic" w:hAnsi="Times New Roman"/>
          <w:sz w:val="24"/>
          <w:szCs w:val="24"/>
        </w:rPr>
        <w:t>lieux de détention</w:t>
      </w:r>
      <w:r w:rsidR="00E93BC6" w:rsidRPr="007668DF">
        <w:rPr>
          <w:rFonts w:ascii="Times New Roman" w:hAnsi="Times New Roman"/>
          <w:sz w:val="24"/>
          <w:szCs w:val="24"/>
        </w:rPr>
        <w:t xml:space="preserve"> </w:t>
      </w:r>
      <w:r w:rsidR="00E93BC6" w:rsidRPr="007668DF">
        <w:rPr>
          <w:rFonts w:ascii="Times New Roman" w:eastAsia="Malgun Gothic" w:hAnsi="Times New Roman"/>
          <w:sz w:val="24"/>
          <w:szCs w:val="24"/>
        </w:rPr>
        <w:t xml:space="preserve"> dans ces 4 régions, </w:t>
      </w:r>
      <w:r w:rsidR="00252DBE" w:rsidRPr="007668DF">
        <w:rPr>
          <w:rFonts w:ascii="Times New Roman" w:eastAsia="Malgun Gothic" w:hAnsi="Times New Roman"/>
          <w:sz w:val="24"/>
          <w:szCs w:val="24"/>
        </w:rPr>
        <w:t>ainsi que dans</w:t>
      </w:r>
      <w:r w:rsidR="00E93BC6" w:rsidRPr="007668DF">
        <w:rPr>
          <w:rFonts w:ascii="Times New Roman" w:eastAsia="Malgun Gothic" w:hAnsi="Times New Roman"/>
          <w:sz w:val="24"/>
          <w:szCs w:val="24"/>
        </w:rPr>
        <w:t xml:space="preserve"> des localités de Selengue (140km de Bamako), Dioila (200</w:t>
      </w:r>
      <w:r w:rsidR="00171615" w:rsidRPr="007668DF">
        <w:rPr>
          <w:rFonts w:ascii="Times New Roman" w:eastAsia="Malgun Gothic" w:hAnsi="Times New Roman"/>
          <w:sz w:val="24"/>
          <w:szCs w:val="24"/>
        </w:rPr>
        <w:t xml:space="preserve"> km de Bamako), et </w:t>
      </w:r>
      <w:r w:rsidR="00E93BC6" w:rsidRPr="007668DF">
        <w:rPr>
          <w:rFonts w:ascii="Times New Roman" w:eastAsia="Malgun Gothic" w:hAnsi="Times New Roman"/>
          <w:sz w:val="24"/>
          <w:szCs w:val="24"/>
        </w:rPr>
        <w:t xml:space="preserve">Markala (région de </w:t>
      </w:r>
      <w:r w:rsidR="00A91575" w:rsidRPr="007668DF">
        <w:rPr>
          <w:rFonts w:ascii="Times New Roman" w:eastAsia="Malgun Gothic" w:hAnsi="Times New Roman"/>
          <w:sz w:val="24"/>
          <w:szCs w:val="24"/>
        </w:rPr>
        <w:t>Ségou)</w:t>
      </w:r>
      <w:r w:rsidR="00252DBE" w:rsidRPr="007668DF">
        <w:rPr>
          <w:rFonts w:ascii="Times New Roman" w:eastAsia="Malgun Gothic" w:hAnsi="Times New Roman"/>
          <w:sz w:val="24"/>
          <w:szCs w:val="24"/>
        </w:rPr>
        <w:t>,</w:t>
      </w:r>
      <w:r w:rsidR="0002276C" w:rsidRPr="007668DF">
        <w:rPr>
          <w:rFonts w:ascii="Times New Roman" w:eastAsia="Malgun Gothic" w:hAnsi="Times New Roman"/>
          <w:sz w:val="24"/>
          <w:szCs w:val="24"/>
        </w:rPr>
        <w:t xml:space="preserve"> </w:t>
      </w:r>
      <w:r w:rsidR="00252DBE" w:rsidRPr="007668DF">
        <w:rPr>
          <w:rFonts w:ascii="Times New Roman" w:eastAsia="Malgun Gothic" w:hAnsi="Times New Roman"/>
          <w:sz w:val="24"/>
          <w:szCs w:val="24"/>
        </w:rPr>
        <w:t>afin d</w:t>
      </w:r>
      <w:r w:rsidR="00812C79">
        <w:rPr>
          <w:rFonts w:ascii="Times New Roman" w:eastAsia="Malgun Gothic" w:hAnsi="Times New Roman"/>
          <w:sz w:val="24"/>
          <w:szCs w:val="24"/>
        </w:rPr>
        <w:t>’</w:t>
      </w:r>
      <w:r w:rsidR="0002276C" w:rsidRPr="007668DF">
        <w:rPr>
          <w:rFonts w:ascii="Times New Roman" w:eastAsia="Malgun Gothic" w:hAnsi="Times New Roman"/>
          <w:sz w:val="24"/>
          <w:szCs w:val="24"/>
        </w:rPr>
        <w:t xml:space="preserve">évaluer les conditions des </w:t>
      </w:r>
      <w:r w:rsidR="00252DBE" w:rsidRPr="007668DF">
        <w:rPr>
          <w:rFonts w:ascii="Times New Roman" w:eastAsia="Malgun Gothic" w:hAnsi="Times New Roman"/>
          <w:sz w:val="24"/>
          <w:szCs w:val="24"/>
        </w:rPr>
        <w:t xml:space="preserve">personnes </w:t>
      </w:r>
      <w:r w:rsidR="0002276C" w:rsidRPr="007668DF">
        <w:rPr>
          <w:rFonts w:ascii="Times New Roman" w:eastAsia="Malgun Gothic" w:hAnsi="Times New Roman"/>
          <w:sz w:val="24"/>
          <w:szCs w:val="24"/>
        </w:rPr>
        <w:t>détenu</w:t>
      </w:r>
      <w:r w:rsidR="00252DBE" w:rsidRPr="007668DF">
        <w:rPr>
          <w:rFonts w:ascii="Times New Roman" w:eastAsia="Malgun Gothic" w:hAnsi="Times New Roman"/>
          <w:sz w:val="24"/>
          <w:szCs w:val="24"/>
        </w:rPr>
        <w:t>e</w:t>
      </w:r>
      <w:r w:rsidR="0002276C" w:rsidRPr="007668DF">
        <w:rPr>
          <w:rFonts w:ascii="Times New Roman" w:eastAsia="Malgun Gothic" w:hAnsi="Times New Roman"/>
          <w:sz w:val="24"/>
          <w:szCs w:val="24"/>
        </w:rPr>
        <w:t xml:space="preserve">s en </w:t>
      </w:r>
      <w:r w:rsidR="00864B20" w:rsidRPr="007668DF">
        <w:rPr>
          <w:rFonts w:ascii="Times New Roman" w:eastAsia="Malgun Gothic" w:hAnsi="Times New Roman"/>
          <w:sz w:val="24"/>
          <w:szCs w:val="24"/>
        </w:rPr>
        <w:t>ra</w:t>
      </w:r>
      <w:r w:rsidR="00864B20">
        <w:rPr>
          <w:rFonts w:ascii="Times New Roman" w:eastAsia="Malgun Gothic" w:hAnsi="Times New Roman"/>
          <w:sz w:val="24"/>
          <w:szCs w:val="24"/>
        </w:rPr>
        <w:t>ison</w:t>
      </w:r>
      <w:r w:rsidR="00864B20" w:rsidRPr="007668DF">
        <w:rPr>
          <w:rFonts w:ascii="Times New Roman" w:eastAsia="Malgun Gothic" w:hAnsi="Times New Roman"/>
          <w:sz w:val="24"/>
          <w:szCs w:val="24"/>
        </w:rPr>
        <w:t xml:space="preserve"> </w:t>
      </w:r>
      <w:r w:rsidR="00864B20">
        <w:rPr>
          <w:rFonts w:ascii="Times New Roman" w:eastAsia="Malgun Gothic" w:hAnsi="Times New Roman"/>
          <w:sz w:val="24"/>
          <w:szCs w:val="24"/>
        </w:rPr>
        <w:t>du</w:t>
      </w:r>
      <w:r w:rsidR="0002276C" w:rsidRPr="007668DF">
        <w:rPr>
          <w:rFonts w:ascii="Times New Roman" w:eastAsia="Malgun Gothic" w:hAnsi="Times New Roman"/>
          <w:sz w:val="24"/>
          <w:szCs w:val="24"/>
        </w:rPr>
        <w:t xml:space="preserve"> conflit</w:t>
      </w:r>
      <w:r w:rsidR="00E77900" w:rsidRPr="007668DF">
        <w:rPr>
          <w:rFonts w:ascii="Times New Roman" w:eastAsia="Malgun Gothic" w:hAnsi="Times New Roman"/>
          <w:sz w:val="24"/>
          <w:szCs w:val="24"/>
        </w:rPr>
        <w:t xml:space="preserve"> et le coup d’Etat</w:t>
      </w:r>
      <w:r w:rsidR="00914BC6" w:rsidRPr="007668DF">
        <w:rPr>
          <w:rFonts w:ascii="Times New Roman" w:eastAsia="Malgun Gothic" w:hAnsi="Times New Roman"/>
          <w:sz w:val="24"/>
          <w:szCs w:val="24"/>
        </w:rPr>
        <w:t xml:space="preserve"> de 2012</w:t>
      </w:r>
      <w:r w:rsidR="0002276C" w:rsidRPr="007668DF">
        <w:rPr>
          <w:rFonts w:ascii="Times New Roman" w:eastAsia="Malgun Gothic" w:hAnsi="Times New Roman"/>
          <w:sz w:val="24"/>
          <w:szCs w:val="24"/>
        </w:rPr>
        <w:t xml:space="preserve">. </w:t>
      </w:r>
      <w:r w:rsidR="00914BC6" w:rsidRPr="007668DF">
        <w:rPr>
          <w:rFonts w:ascii="Times New Roman" w:eastAsia="Malgun Gothic" w:hAnsi="Times New Roman"/>
          <w:sz w:val="24"/>
          <w:szCs w:val="24"/>
        </w:rPr>
        <w:t xml:space="preserve">Les équipes des droits de l’homme </w:t>
      </w:r>
      <w:r w:rsidR="0002276C" w:rsidRPr="007668DF">
        <w:rPr>
          <w:rFonts w:ascii="Times New Roman" w:eastAsia="Malgun Gothic" w:hAnsi="Times New Roman"/>
          <w:sz w:val="24"/>
          <w:szCs w:val="24"/>
        </w:rPr>
        <w:t xml:space="preserve">ont visité </w:t>
      </w:r>
      <w:r w:rsidR="00890A9D" w:rsidRPr="007668DF">
        <w:rPr>
          <w:rFonts w:ascii="Times New Roman" w:eastAsia="Malgun Gothic" w:hAnsi="Times New Roman"/>
          <w:sz w:val="24"/>
          <w:szCs w:val="24"/>
        </w:rPr>
        <w:t>d</w:t>
      </w:r>
      <w:r w:rsidR="0002276C" w:rsidRPr="007668DF">
        <w:rPr>
          <w:rFonts w:ascii="Times New Roman" w:eastAsia="Malgun Gothic" w:hAnsi="Times New Roman"/>
          <w:sz w:val="24"/>
          <w:szCs w:val="24"/>
        </w:rPr>
        <w:t>es hôpitaux, cliniques et centres de santé</w:t>
      </w:r>
      <w:r w:rsidR="00252DBE" w:rsidRPr="007668DF">
        <w:rPr>
          <w:rFonts w:ascii="Times New Roman" w:eastAsia="Malgun Gothic" w:hAnsi="Times New Roman"/>
          <w:sz w:val="24"/>
          <w:szCs w:val="24"/>
        </w:rPr>
        <w:t xml:space="preserve"> </w:t>
      </w:r>
      <w:r w:rsidR="00E77900" w:rsidRPr="007668DF">
        <w:rPr>
          <w:rFonts w:ascii="Times New Roman" w:eastAsia="Malgun Gothic" w:hAnsi="Times New Roman"/>
          <w:sz w:val="24"/>
          <w:szCs w:val="24"/>
        </w:rPr>
        <w:t xml:space="preserve">dans les </w:t>
      </w:r>
      <w:r w:rsidR="00B423DE">
        <w:rPr>
          <w:rFonts w:ascii="Times New Roman" w:eastAsia="Malgun Gothic" w:hAnsi="Times New Roman"/>
          <w:sz w:val="24"/>
          <w:szCs w:val="24"/>
        </w:rPr>
        <w:t>4</w:t>
      </w:r>
      <w:r w:rsidR="00B423DE" w:rsidRPr="007668DF">
        <w:rPr>
          <w:rFonts w:ascii="Times New Roman" w:eastAsia="Malgun Gothic" w:hAnsi="Times New Roman"/>
          <w:sz w:val="24"/>
          <w:szCs w:val="24"/>
        </w:rPr>
        <w:t xml:space="preserve"> </w:t>
      </w:r>
      <w:r w:rsidR="00914BC6" w:rsidRPr="007668DF">
        <w:rPr>
          <w:rFonts w:ascii="Times New Roman" w:eastAsia="Malgun Gothic" w:hAnsi="Times New Roman"/>
          <w:sz w:val="24"/>
          <w:szCs w:val="24"/>
        </w:rPr>
        <w:t>régions</w:t>
      </w:r>
      <w:r w:rsidR="00E77900" w:rsidRPr="007668DF">
        <w:rPr>
          <w:rFonts w:ascii="Times New Roman" w:eastAsia="Malgun Gothic" w:hAnsi="Times New Roman"/>
          <w:sz w:val="24"/>
          <w:szCs w:val="24"/>
        </w:rPr>
        <w:t xml:space="preserve"> du nord et </w:t>
      </w:r>
      <w:r w:rsidR="00914BC6" w:rsidRPr="007668DF">
        <w:rPr>
          <w:rFonts w:ascii="Times New Roman" w:eastAsia="Malgun Gothic" w:hAnsi="Times New Roman"/>
          <w:sz w:val="24"/>
          <w:szCs w:val="24"/>
        </w:rPr>
        <w:t>à</w:t>
      </w:r>
      <w:r w:rsidR="00E77900" w:rsidRPr="007668DF">
        <w:rPr>
          <w:rFonts w:ascii="Times New Roman" w:eastAsia="Malgun Gothic" w:hAnsi="Times New Roman"/>
          <w:sz w:val="24"/>
          <w:szCs w:val="24"/>
        </w:rPr>
        <w:t xml:space="preserve"> Bamako</w:t>
      </w:r>
      <w:r w:rsidR="00914BC6" w:rsidRPr="007668DF">
        <w:rPr>
          <w:rFonts w:ascii="Times New Roman" w:eastAsia="Malgun Gothic" w:hAnsi="Times New Roman"/>
          <w:sz w:val="24"/>
          <w:szCs w:val="24"/>
        </w:rPr>
        <w:t>. Elles</w:t>
      </w:r>
      <w:r w:rsidR="0002276C" w:rsidRPr="007668DF">
        <w:rPr>
          <w:rFonts w:ascii="Times New Roman" w:eastAsia="Malgun Gothic" w:hAnsi="Times New Roman"/>
          <w:sz w:val="24"/>
          <w:szCs w:val="24"/>
        </w:rPr>
        <w:t xml:space="preserve"> ont </w:t>
      </w:r>
      <w:r w:rsidR="00632AB4" w:rsidRPr="007668DF">
        <w:rPr>
          <w:rFonts w:ascii="Times New Roman" w:eastAsia="Malgun Gothic" w:hAnsi="Times New Roman"/>
          <w:sz w:val="24"/>
          <w:szCs w:val="24"/>
        </w:rPr>
        <w:t xml:space="preserve">conduit </w:t>
      </w:r>
      <w:r w:rsidR="00E81CFC" w:rsidRPr="007668DF">
        <w:rPr>
          <w:rFonts w:ascii="Times New Roman" w:eastAsia="Malgun Gothic" w:hAnsi="Times New Roman"/>
          <w:sz w:val="24"/>
          <w:szCs w:val="24"/>
        </w:rPr>
        <w:t>des entretiens approfondis avec</w:t>
      </w:r>
      <w:r w:rsidR="00F11BE3" w:rsidRPr="007668DF">
        <w:rPr>
          <w:rFonts w:ascii="Times New Roman" w:eastAsia="Malgun Gothic" w:hAnsi="Times New Roman"/>
          <w:sz w:val="24"/>
          <w:szCs w:val="24"/>
        </w:rPr>
        <w:t xml:space="preserve"> </w:t>
      </w:r>
      <w:r w:rsidR="00890A9D" w:rsidRPr="007668DF">
        <w:rPr>
          <w:rFonts w:ascii="Times New Roman" w:eastAsia="Malgun Gothic" w:hAnsi="Times New Roman"/>
          <w:sz w:val="24"/>
          <w:szCs w:val="24"/>
        </w:rPr>
        <w:t>d</w:t>
      </w:r>
      <w:r w:rsidR="00ED323A" w:rsidRPr="007668DF">
        <w:rPr>
          <w:rFonts w:ascii="Times New Roman" w:eastAsia="Malgun Gothic" w:hAnsi="Times New Roman"/>
          <w:sz w:val="24"/>
          <w:szCs w:val="24"/>
        </w:rPr>
        <w:t>e</w:t>
      </w:r>
      <w:r w:rsidR="00890A9D" w:rsidRPr="007668DF">
        <w:rPr>
          <w:rFonts w:ascii="Times New Roman" w:eastAsia="Malgun Gothic" w:hAnsi="Times New Roman"/>
          <w:sz w:val="24"/>
          <w:szCs w:val="24"/>
        </w:rPr>
        <w:t xml:space="preserve"> nombreux témoins et </w:t>
      </w:r>
      <w:r w:rsidR="00E81CFC" w:rsidRPr="007668DF">
        <w:rPr>
          <w:rFonts w:ascii="Times New Roman" w:eastAsia="Malgun Gothic" w:hAnsi="Times New Roman"/>
          <w:sz w:val="24"/>
          <w:szCs w:val="24"/>
        </w:rPr>
        <w:t xml:space="preserve">victimes de violations </w:t>
      </w:r>
      <w:r w:rsidR="00062798" w:rsidRPr="007668DF">
        <w:rPr>
          <w:rFonts w:ascii="Times New Roman" w:eastAsia="Malgun Gothic" w:hAnsi="Times New Roman"/>
          <w:sz w:val="24"/>
          <w:szCs w:val="24"/>
        </w:rPr>
        <w:t xml:space="preserve">et abus </w:t>
      </w:r>
      <w:r w:rsidR="00F11BE3" w:rsidRPr="007668DF">
        <w:rPr>
          <w:rFonts w:ascii="Times New Roman" w:eastAsia="Malgun Gothic" w:hAnsi="Times New Roman"/>
          <w:sz w:val="24"/>
          <w:szCs w:val="24"/>
        </w:rPr>
        <w:t xml:space="preserve">des droits </w:t>
      </w:r>
      <w:r w:rsidR="0002276C" w:rsidRPr="007668DF">
        <w:rPr>
          <w:rFonts w:ascii="Times New Roman" w:eastAsia="Malgun Gothic" w:hAnsi="Times New Roman"/>
          <w:sz w:val="24"/>
          <w:szCs w:val="24"/>
        </w:rPr>
        <w:t>de l’homme</w:t>
      </w:r>
      <w:r w:rsidR="00D049C0">
        <w:rPr>
          <w:rFonts w:ascii="Times New Roman" w:eastAsia="Malgun Gothic" w:hAnsi="Times New Roman"/>
          <w:sz w:val="24"/>
          <w:szCs w:val="24"/>
        </w:rPr>
        <w:t xml:space="preserve"> et du droit international humanitaire</w:t>
      </w:r>
      <w:r w:rsidR="0002276C" w:rsidRPr="007668DF">
        <w:rPr>
          <w:rFonts w:ascii="Times New Roman" w:eastAsia="Malgun Gothic" w:hAnsi="Times New Roman"/>
          <w:sz w:val="24"/>
          <w:szCs w:val="24"/>
        </w:rPr>
        <w:t>.</w:t>
      </w:r>
      <w:r w:rsidR="00D14D8B" w:rsidRPr="007668DF">
        <w:rPr>
          <w:rFonts w:ascii="Times New Roman" w:eastAsia="Malgun Gothic" w:hAnsi="Times New Roman"/>
          <w:sz w:val="24"/>
          <w:szCs w:val="24"/>
        </w:rPr>
        <w:t xml:space="preserve"> </w:t>
      </w:r>
    </w:p>
    <w:p w:rsidR="00E06768" w:rsidRPr="007668DF" w:rsidRDefault="00E06768" w:rsidP="006C2FA0">
      <w:pPr>
        <w:tabs>
          <w:tab w:val="left" w:pos="567"/>
          <w:tab w:val="left" w:pos="1134"/>
        </w:tabs>
        <w:spacing w:after="0"/>
        <w:jc w:val="both"/>
        <w:rPr>
          <w:rFonts w:ascii="Times New Roman" w:eastAsia="Malgun Gothic" w:hAnsi="Times New Roman"/>
          <w:sz w:val="24"/>
          <w:szCs w:val="24"/>
        </w:rPr>
      </w:pPr>
    </w:p>
    <w:p w:rsidR="00D14D8B" w:rsidRPr="007668DF" w:rsidRDefault="00A50464" w:rsidP="006C2FA0">
      <w:pPr>
        <w:tabs>
          <w:tab w:val="left" w:pos="567"/>
        </w:tabs>
        <w:spacing w:after="0"/>
        <w:jc w:val="both"/>
        <w:rPr>
          <w:rFonts w:ascii="Times New Roman" w:eastAsia="Malgun Gothic" w:hAnsi="Times New Roman"/>
          <w:sz w:val="24"/>
          <w:szCs w:val="24"/>
        </w:rPr>
      </w:pPr>
      <w:r w:rsidRPr="007668DF">
        <w:rPr>
          <w:rFonts w:ascii="Times New Roman" w:eastAsia="Malgun Gothic" w:hAnsi="Times New Roman"/>
          <w:sz w:val="24"/>
          <w:szCs w:val="24"/>
        </w:rPr>
        <w:t>1</w:t>
      </w:r>
      <w:r w:rsidR="0086130D">
        <w:rPr>
          <w:rFonts w:ascii="Times New Roman" w:eastAsia="Malgun Gothic" w:hAnsi="Times New Roman"/>
          <w:sz w:val="24"/>
          <w:szCs w:val="24"/>
        </w:rPr>
        <w:t>0</w:t>
      </w:r>
      <w:r w:rsidR="008361EE" w:rsidRPr="007668DF">
        <w:rPr>
          <w:rFonts w:ascii="Times New Roman" w:eastAsia="Malgun Gothic" w:hAnsi="Times New Roman"/>
          <w:sz w:val="24"/>
          <w:szCs w:val="24"/>
        </w:rPr>
        <w:t>.</w:t>
      </w:r>
      <w:r w:rsidR="008361EE" w:rsidRPr="007668DF">
        <w:rPr>
          <w:rFonts w:ascii="Times New Roman" w:eastAsia="Malgun Gothic" w:hAnsi="Times New Roman"/>
          <w:sz w:val="24"/>
          <w:szCs w:val="24"/>
        </w:rPr>
        <w:tab/>
      </w:r>
      <w:r w:rsidR="00D14D8B" w:rsidRPr="007668DF">
        <w:rPr>
          <w:rFonts w:ascii="Times New Roman" w:eastAsia="Malgun Gothic" w:hAnsi="Times New Roman"/>
          <w:sz w:val="24"/>
          <w:szCs w:val="24"/>
        </w:rPr>
        <w:t>Les leaders communautaires et religieux, les chefs des fractions tribales</w:t>
      </w:r>
      <w:r w:rsidR="00252DBE" w:rsidRPr="007668DF">
        <w:rPr>
          <w:rFonts w:ascii="Times New Roman" w:eastAsia="Malgun Gothic" w:hAnsi="Times New Roman"/>
          <w:sz w:val="24"/>
          <w:szCs w:val="24"/>
        </w:rPr>
        <w:t xml:space="preserve">, </w:t>
      </w:r>
      <w:r w:rsidR="00B423DE">
        <w:rPr>
          <w:rFonts w:ascii="Times New Roman" w:eastAsia="Malgun Gothic" w:hAnsi="Times New Roman"/>
          <w:sz w:val="24"/>
          <w:szCs w:val="24"/>
        </w:rPr>
        <w:t>ainsi que</w:t>
      </w:r>
      <w:r w:rsidR="00B423DE" w:rsidRPr="007668DF">
        <w:rPr>
          <w:rFonts w:ascii="Times New Roman" w:eastAsia="Malgun Gothic" w:hAnsi="Times New Roman"/>
          <w:sz w:val="24"/>
          <w:szCs w:val="24"/>
        </w:rPr>
        <w:t xml:space="preserve"> </w:t>
      </w:r>
      <w:r w:rsidR="00252DBE" w:rsidRPr="007668DF">
        <w:rPr>
          <w:rFonts w:ascii="Times New Roman" w:eastAsia="Malgun Gothic" w:hAnsi="Times New Roman"/>
          <w:sz w:val="24"/>
          <w:szCs w:val="24"/>
        </w:rPr>
        <w:t xml:space="preserve">d’autres </w:t>
      </w:r>
      <w:r w:rsidR="00D14D8B" w:rsidRPr="007668DF">
        <w:rPr>
          <w:rFonts w:ascii="Times New Roman" w:eastAsia="Malgun Gothic" w:hAnsi="Times New Roman"/>
          <w:sz w:val="24"/>
          <w:szCs w:val="24"/>
        </w:rPr>
        <w:t xml:space="preserve">partenaires de la </w:t>
      </w:r>
      <w:r w:rsidR="00890A9D" w:rsidRPr="007668DF">
        <w:rPr>
          <w:rFonts w:ascii="Times New Roman" w:eastAsia="Malgun Gothic" w:hAnsi="Times New Roman"/>
          <w:sz w:val="24"/>
          <w:szCs w:val="24"/>
        </w:rPr>
        <w:t>s</w:t>
      </w:r>
      <w:r w:rsidR="00D14D8B" w:rsidRPr="007668DF">
        <w:rPr>
          <w:rFonts w:ascii="Times New Roman" w:eastAsia="Malgun Gothic" w:hAnsi="Times New Roman"/>
          <w:sz w:val="24"/>
          <w:szCs w:val="24"/>
        </w:rPr>
        <w:t xml:space="preserve">ociété </w:t>
      </w:r>
      <w:r w:rsidR="00890A9D" w:rsidRPr="007668DF">
        <w:rPr>
          <w:rFonts w:ascii="Times New Roman" w:eastAsia="Malgun Gothic" w:hAnsi="Times New Roman"/>
          <w:sz w:val="24"/>
          <w:szCs w:val="24"/>
        </w:rPr>
        <w:t>c</w:t>
      </w:r>
      <w:r w:rsidR="00D14D8B" w:rsidRPr="007668DF">
        <w:rPr>
          <w:rFonts w:ascii="Times New Roman" w:eastAsia="Malgun Gothic" w:hAnsi="Times New Roman"/>
          <w:sz w:val="24"/>
          <w:szCs w:val="24"/>
        </w:rPr>
        <w:t>ivile</w:t>
      </w:r>
      <w:r w:rsidR="00252DBE" w:rsidRPr="007668DF">
        <w:rPr>
          <w:rFonts w:ascii="Times New Roman" w:eastAsia="Malgun Gothic" w:hAnsi="Times New Roman"/>
          <w:sz w:val="24"/>
          <w:szCs w:val="24"/>
        </w:rPr>
        <w:t>,</w:t>
      </w:r>
      <w:r w:rsidR="00D14D8B" w:rsidRPr="007668DF">
        <w:rPr>
          <w:rFonts w:ascii="Times New Roman" w:eastAsia="Malgun Gothic" w:hAnsi="Times New Roman"/>
          <w:sz w:val="24"/>
          <w:szCs w:val="24"/>
        </w:rPr>
        <w:t xml:space="preserve"> ont été des interlocuteurs </w:t>
      </w:r>
      <w:r w:rsidR="00864B20">
        <w:rPr>
          <w:rFonts w:ascii="Times New Roman" w:eastAsia="Malgun Gothic" w:hAnsi="Times New Roman"/>
          <w:sz w:val="24"/>
          <w:szCs w:val="24"/>
        </w:rPr>
        <w:t>utiles</w:t>
      </w:r>
      <w:r w:rsidR="00864B20" w:rsidRPr="007668DF">
        <w:rPr>
          <w:rFonts w:ascii="Times New Roman" w:eastAsia="Malgun Gothic" w:hAnsi="Times New Roman"/>
          <w:sz w:val="24"/>
          <w:szCs w:val="24"/>
        </w:rPr>
        <w:t xml:space="preserve"> </w:t>
      </w:r>
      <w:r w:rsidR="003C10D0" w:rsidRPr="007668DF">
        <w:rPr>
          <w:rFonts w:ascii="Times New Roman" w:eastAsia="Malgun Gothic" w:hAnsi="Times New Roman"/>
          <w:sz w:val="24"/>
          <w:szCs w:val="24"/>
        </w:rPr>
        <w:t xml:space="preserve">sur </w:t>
      </w:r>
      <w:r w:rsidR="00D14D8B" w:rsidRPr="007668DF">
        <w:rPr>
          <w:rFonts w:ascii="Times New Roman" w:eastAsia="Malgun Gothic" w:hAnsi="Times New Roman"/>
          <w:sz w:val="24"/>
          <w:szCs w:val="24"/>
        </w:rPr>
        <w:t>les questions liées à leurs communautés</w:t>
      </w:r>
      <w:r w:rsidR="00252DBE" w:rsidRPr="007668DF">
        <w:rPr>
          <w:rFonts w:ascii="Times New Roman" w:eastAsia="Malgun Gothic" w:hAnsi="Times New Roman"/>
          <w:sz w:val="24"/>
          <w:szCs w:val="24"/>
        </w:rPr>
        <w:t>,</w:t>
      </w:r>
      <w:r w:rsidR="0002276C" w:rsidRPr="007668DF">
        <w:rPr>
          <w:rFonts w:ascii="Times New Roman" w:eastAsia="Malgun Gothic" w:hAnsi="Times New Roman"/>
          <w:sz w:val="24"/>
          <w:szCs w:val="24"/>
        </w:rPr>
        <w:t xml:space="preserve"> y compris celles relatives aux violations </w:t>
      </w:r>
      <w:r w:rsidR="00DF0468" w:rsidRPr="007668DF">
        <w:rPr>
          <w:rFonts w:ascii="Times New Roman" w:eastAsia="Malgun Gothic" w:hAnsi="Times New Roman"/>
          <w:sz w:val="24"/>
          <w:szCs w:val="24"/>
        </w:rPr>
        <w:t xml:space="preserve">et abus </w:t>
      </w:r>
      <w:r w:rsidR="0002276C" w:rsidRPr="007668DF">
        <w:rPr>
          <w:rFonts w:ascii="Times New Roman" w:eastAsia="Malgun Gothic" w:hAnsi="Times New Roman"/>
          <w:sz w:val="24"/>
          <w:szCs w:val="24"/>
        </w:rPr>
        <w:t>des droits de l’homme</w:t>
      </w:r>
      <w:r w:rsidR="00D14D8B" w:rsidRPr="007668DF">
        <w:rPr>
          <w:rFonts w:ascii="Times New Roman" w:eastAsia="Malgun Gothic" w:hAnsi="Times New Roman"/>
          <w:sz w:val="24"/>
          <w:szCs w:val="24"/>
        </w:rPr>
        <w:t>.</w:t>
      </w:r>
    </w:p>
    <w:p w:rsidR="008361EE" w:rsidRPr="007668DF" w:rsidRDefault="00E81CFC" w:rsidP="006C2FA0">
      <w:pPr>
        <w:tabs>
          <w:tab w:val="left" w:pos="567"/>
          <w:tab w:val="left" w:pos="1134"/>
        </w:tabs>
        <w:spacing w:after="0"/>
        <w:jc w:val="both"/>
        <w:rPr>
          <w:rFonts w:ascii="Times New Roman" w:eastAsia="Malgun Gothic" w:hAnsi="Times New Roman"/>
          <w:sz w:val="24"/>
          <w:szCs w:val="24"/>
        </w:rPr>
      </w:pPr>
      <w:r w:rsidRPr="007668DF">
        <w:rPr>
          <w:rFonts w:ascii="Times New Roman" w:eastAsia="Malgun Gothic" w:hAnsi="Times New Roman"/>
          <w:sz w:val="24"/>
          <w:szCs w:val="24"/>
        </w:rPr>
        <w:t xml:space="preserve"> </w:t>
      </w:r>
    </w:p>
    <w:p w:rsidR="00E81CFC" w:rsidRPr="007668DF" w:rsidRDefault="00A50464" w:rsidP="006C2FA0">
      <w:pPr>
        <w:tabs>
          <w:tab w:val="left" w:pos="567"/>
        </w:tabs>
        <w:spacing w:after="0"/>
        <w:jc w:val="both"/>
        <w:rPr>
          <w:rFonts w:ascii="Times New Roman" w:eastAsia="Malgun Gothic" w:hAnsi="Times New Roman"/>
          <w:sz w:val="24"/>
          <w:szCs w:val="24"/>
        </w:rPr>
      </w:pPr>
      <w:r w:rsidRPr="007668DF">
        <w:rPr>
          <w:rFonts w:ascii="Times New Roman" w:eastAsia="Malgun Gothic" w:hAnsi="Times New Roman"/>
          <w:sz w:val="24"/>
          <w:szCs w:val="24"/>
        </w:rPr>
        <w:t>1</w:t>
      </w:r>
      <w:r w:rsidR="0086130D">
        <w:rPr>
          <w:rFonts w:ascii="Times New Roman" w:eastAsia="Malgun Gothic" w:hAnsi="Times New Roman"/>
          <w:sz w:val="24"/>
          <w:szCs w:val="24"/>
        </w:rPr>
        <w:t>1</w:t>
      </w:r>
      <w:r w:rsidR="008361EE" w:rsidRPr="007668DF">
        <w:rPr>
          <w:rFonts w:ascii="Times New Roman" w:eastAsia="Malgun Gothic" w:hAnsi="Times New Roman"/>
          <w:sz w:val="24"/>
          <w:szCs w:val="24"/>
        </w:rPr>
        <w:t>.</w:t>
      </w:r>
      <w:r w:rsidR="008361EE" w:rsidRPr="007668DF">
        <w:rPr>
          <w:rFonts w:ascii="Times New Roman" w:eastAsia="Malgun Gothic" w:hAnsi="Times New Roman"/>
          <w:sz w:val="24"/>
          <w:szCs w:val="24"/>
        </w:rPr>
        <w:tab/>
      </w:r>
      <w:r w:rsidR="00E81CFC" w:rsidRPr="007668DF">
        <w:rPr>
          <w:rFonts w:ascii="Times New Roman" w:eastAsia="Malgun Gothic" w:hAnsi="Times New Roman"/>
          <w:sz w:val="24"/>
          <w:szCs w:val="24"/>
        </w:rPr>
        <w:t xml:space="preserve">La Division des droits de l’homme a procédé à des vérifications </w:t>
      </w:r>
      <w:r w:rsidR="00864B20">
        <w:rPr>
          <w:rFonts w:ascii="Times New Roman" w:eastAsia="Malgun Gothic" w:hAnsi="Times New Roman"/>
          <w:sz w:val="24"/>
          <w:szCs w:val="24"/>
        </w:rPr>
        <w:t>d’</w:t>
      </w:r>
      <w:r w:rsidR="00E81CFC" w:rsidRPr="007668DF">
        <w:rPr>
          <w:rFonts w:ascii="Times New Roman" w:eastAsia="Malgun Gothic" w:hAnsi="Times New Roman"/>
          <w:sz w:val="24"/>
          <w:szCs w:val="24"/>
        </w:rPr>
        <w:t>informations auprès de</w:t>
      </w:r>
      <w:r w:rsidR="003C10D0" w:rsidRPr="007668DF">
        <w:rPr>
          <w:rFonts w:ascii="Times New Roman" w:eastAsia="Malgun Gothic" w:hAnsi="Times New Roman"/>
          <w:sz w:val="24"/>
          <w:szCs w:val="24"/>
        </w:rPr>
        <w:t xml:space="preserve"> </w:t>
      </w:r>
      <w:r w:rsidR="000852A5" w:rsidRPr="007668DF">
        <w:rPr>
          <w:rFonts w:ascii="Times New Roman" w:eastAsia="Malgun Gothic" w:hAnsi="Times New Roman"/>
          <w:sz w:val="24"/>
          <w:szCs w:val="24"/>
        </w:rPr>
        <w:t>membres de</w:t>
      </w:r>
      <w:r w:rsidR="00812C79">
        <w:rPr>
          <w:rFonts w:ascii="Times New Roman" w:eastAsia="Malgun Gothic" w:hAnsi="Times New Roman"/>
          <w:sz w:val="24"/>
          <w:szCs w:val="24"/>
        </w:rPr>
        <w:t>s</w:t>
      </w:r>
      <w:r w:rsidR="000852A5" w:rsidRPr="007668DF">
        <w:rPr>
          <w:rFonts w:ascii="Times New Roman" w:eastAsia="Malgun Gothic" w:hAnsi="Times New Roman"/>
          <w:sz w:val="24"/>
          <w:szCs w:val="24"/>
        </w:rPr>
        <w:t xml:space="preserve"> </w:t>
      </w:r>
      <w:r w:rsidR="00812C79">
        <w:rPr>
          <w:rFonts w:ascii="Times New Roman" w:eastAsia="Malgun Gothic" w:hAnsi="Times New Roman"/>
          <w:sz w:val="24"/>
          <w:szCs w:val="24"/>
        </w:rPr>
        <w:t>FAMa</w:t>
      </w:r>
      <w:r w:rsidR="00252DBE" w:rsidRPr="007668DF">
        <w:rPr>
          <w:rFonts w:ascii="Times New Roman" w:eastAsia="Malgun Gothic" w:hAnsi="Times New Roman"/>
          <w:sz w:val="24"/>
          <w:szCs w:val="24"/>
        </w:rPr>
        <w:t>,</w:t>
      </w:r>
      <w:r w:rsidR="00E81CFC" w:rsidRPr="007668DF">
        <w:rPr>
          <w:rFonts w:ascii="Times New Roman" w:eastAsia="Malgun Gothic" w:hAnsi="Times New Roman"/>
          <w:sz w:val="24"/>
          <w:szCs w:val="24"/>
        </w:rPr>
        <w:t xml:space="preserve"> </w:t>
      </w:r>
      <w:r w:rsidR="00252DBE" w:rsidRPr="007668DF">
        <w:rPr>
          <w:rFonts w:ascii="Times New Roman" w:eastAsia="Malgun Gothic" w:hAnsi="Times New Roman"/>
          <w:sz w:val="24"/>
          <w:szCs w:val="24"/>
        </w:rPr>
        <w:t xml:space="preserve">lors de </w:t>
      </w:r>
      <w:r w:rsidR="00E81CFC" w:rsidRPr="007668DF">
        <w:rPr>
          <w:rFonts w:ascii="Times New Roman" w:eastAsia="Malgun Gothic" w:hAnsi="Times New Roman"/>
          <w:sz w:val="24"/>
          <w:szCs w:val="24"/>
        </w:rPr>
        <w:t>rencontres avec les autorités maliennes</w:t>
      </w:r>
      <w:r w:rsidR="00252DBE" w:rsidRPr="007668DF">
        <w:rPr>
          <w:rFonts w:ascii="Times New Roman" w:eastAsia="Malgun Gothic" w:hAnsi="Times New Roman"/>
          <w:sz w:val="24"/>
          <w:szCs w:val="24"/>
        </w:rPr>
        <w:t>,</w:t>
      </w:r>
      <w:r w:rsidR="00E81CFC" w:rsidRPr="007668DF">
        <w:rPr>
          <w:rFonts w:ascii="Times New Roman" w:eastAsia="Malgun Gothic" w:hAnsi="Times New Roman"/>
          <w:sz w:val="24"/>
          <w:szCs w:val="24"/>
        </w:rPr>
        <w:t xml:space="preserve"> aussi bien au niveau local qu’au niveau national</w:t>
      </w:r>
      <w:r w:rsidR="00252DBE" w:rsidRPr="007668DF">
        <w:rPr>
          <w:rFonts w:ascii="Times New Roman" w:eastAsia="Malgun Gothic" w:hAnsi="Times New Roman"/>
          <w:sz w:val="24"/>
          <w:szCs w:val="24"/>
        </w:rPr>
        <w:t>,</w:t>
      </w:r>
      <w:r w:rsidR="00E81CFC" w:rsidRPr="007668DF">
        <w:rPr>
          <w:rFonts w:ascii="Times New Roman" w:eastAsia="Malgun Gothic" w:hAnsi="Times New Roman"/>
          <w:sz w:val="24"/>
          <w:szCs w:val="24"/>
        </w:rPr>
        <w:t xml:space="preserve"> lors de</w:t>
      </w:r>
      <w:r w:rsidR="0002276C" w:rsidRPr="007668DF">
        <w:rPr>
          <w:rFonts w:ascii="Times New Roman" w:eastAsia="Malgun Gothic" w:hAnsi="Times New Roman"/>
          <w:sz w:val="24"/>
          <w:szCs w:val="24"/>
        </w:rPr>
        <w:t>s</w:t>
      </w:r>
      <w:r w:rsidR="00E81CFC" w:rsidRPr="007668DF">
        <w:rPr>
          <w:rFonts w:ascii="Times New Roman" w:eastAsia="Malgun Gothic" w:hAnsi="Times New Roman"/>
          <w:sz w:val="24"/>
          <w:szCs w:val="24"/>
        </w:rPr>
        <w:t xml:space="preserve"> revue</w:t>
      </w:r>
      <w:r w:rsidR="0002276C" w:rsidRPr="007668DF">
        <w:rPr>
          <w:rFonts w:ascii="Times New Roman" w:eastAsia="Malgun Gothic" w:hAnsi="Times New Roman"/>
          <w:sz w:val="24"/>
          <w:szCs w:val="24"/>
        </w:rPr>
        <w:t>s</w:t>
      </w:r>
      <w:r w:rsidR="00E81CFC" w:rsidRPr="007668DF">
        <w:rPr>
          <w:rFonts w:ascii="Times New Roman" w:eastAsia="Malgun Gothic" w:hAnsi="Times New Roman"/>
          <w:sz w:val="24"/>
          <w:szCs w:val="24"/>
        </w:rPr>
        <w:t xml:space="preserve"> </w:t>
      </w:r>
      <w:r w:rsidR="00F71670" w:rsidRPr="007668DF">
        <w:rPr>
          <w:rFonts w:ascii="Times New Roman" w:eastAsia="Malgun Gothic" w:hAnsi="Times New Roman"/>
          <w:sz w:val="24"/>
          <w:szCs w:val="24"/>
        </w:rPr>
        <w:t xml:space="preserve">régulières </w:t>
      </w:r>
      <w:r w:rsidR="00E81CFC" w:rsidRPr="007668DF">
        <w:rPr>
          <w:rFonts w:ascii="Times New Roman" w:eastAsia="Malgun Gothic" w:hAnsi="Times New Roman"/>
          <w:sz w:val="24"/>
          <w:szCs w:val="24"/>
        </w:rPr>
        <w:t>de la situation des droits de l’homme</w:t>
      </w:r>
      <w:r w:rsidR="00D049C0">
        <w:rPr>
          <w:rFonts w:ascii="Times New Roman" w:eastAsia="Malgun Gothic" w:hAnsi="Times New Roman"/>
          <w:sz w:val="24"/>
          <w:szCs w:val="24"/>
        </w:rPr>
        <w:t xml:space="preserve"> et du droit international humanitaire</w:t>
      </w:r>
      <w:r w:rsidR="00E81CFC" w:rsidRPr="007668DF">
        <w:rPr>
          <w:rFonts w:ascii="Times New Roman" w:eastAsia="Malgun Gothic" w:hAnsi="Times New Roman"/>
          <w:sz w:val="24"/>
          <w:szCs w:val="24"/>
        </w:rPr>
        <w:t xml:space="preserve">. </w:t>
      </w:r>
      <w:r w:rsidR="00D14D8B" w:rsidRPr="007668DF">
        <w:rPr>
          <w:rFonts w:ascii="Times New Roman" w:hAnsi="Times New Roman"/>
          <w:sz w:val="24"/>
          <w:szCs w:val="24"/>
        </w:rPr>
        <w:t xml:space="preserve"> </w:t>
      </w:r>
    </w:p>
    <w:p w:rsidR="00BA2D58" w:rsidRPr="007668DF" w:rsidRDefault="00BA2D58" w:rsidP="006C2FA0">
      <w:pPr>
        <w:tabs>
          <w:tab w:val="left" w:pos="567"/>
          <w:tab w:val="left" w:pos="1134"/>
        </w:tabs>
        <w:spacing w:after="0"/>
        <w:jc w:val="both"/>
        <w:rPr>
          <w:rFonts w:ascii="Times New Roman" w:eastAsia="Malgun Gothic" w:hAnsi="Times New Roman"/>
          <w:sz w:val="24"/>
          <w:szCs w:val="24"/>
        </w:rPr>
      </w:pPr>
    </w:p>
    <w:p w:rsidR="00E81CFC" w:rsidRPr="007668DF" w:rsidRDefault="00A50464" w:rsidP="006C2FA0">
      <w:pPr>
        <w:tabs>
          <w:tab w:val="left" w:pos="567"/>
        </w:tabs>
        <w:spacing w:after="0"/>
        <w:jc w:val="both"/>
        <w:rPr>
          <w:rFonts w:ascii="Times New Roman" w:eastAsia="Malgun Gothic" w:hAnsi="Times New Roman"/>
          <w:sz w:val="24"/>
          <w:szCs w:val="24"/>
        </w:rPr>
      </w:pPr>
      <w:r w:rsidRPr="007668DF">
        <w:rPr>
          <w:rFonts w:ascii="Times New Roman" w:eastAsia="Malgun Gothic" w:hAnsi="Times New Roman"/>
          <w:sz w:val="24"/>
          <w:szCs w:val="24"/>
        </w:rPr>
        <w:t>1</w:t>
      </w:r>
      <w:r w:rsidR="0086130D">
        <w:rPr>
          <w:rFonts w:ascii="Times New Roman" w:eastAsia="Malgun Gothic" w:hAnsi="Times New Roman"/>
          <w:sz w:val="24"/>
          <w:szCs w:val="24"/>
        </w:rPr>
        <w:t>2</w:t>
      </w:r>
      <w:r w:rsidR="008361EE" w:rsidRPr="007668DF">
        <w:rPr>
          <w:rFonts w:ascii="Times New Roman" w:eastAsia="Malgun Gothic" w:hAnsi="Times New Roman"/>
          <w:sz w:val="24"/>
          <w:szCs w:val="24"/>
        </w:rPr>
        <w:t>.</w:t>
      </w:r>
      <w:r w:rsidR="008361EE" w:rsidRPr="007668DF">
        <w:rPr>
          <w:rFonts w:ascii="Times New Roman" w:eastAsia="Malgun Gothic" w:hAnsi="Times New Roman"/>
          <w:sz w:val="24"/>
          <w:szCs w:val="24"/>
        </w:rPr>
        <w:tab/>
      </w:r>
      <w:r w:rsidR="00E81CFC" w:rsidRPr="007668DF">
        <w:rPr>
          <w:rFonts w:ascii="Times New Roman" w:eastAsia="Malgun Gothic" w:hAnsi="Times New Roman"/>
          <w:sz w:val="24"/>
          <w:szCs w:val="24"/>
        </w:rPr>
        <w:t xml:space="preserve">Les </w:t>
      </w:r>
      <w:r w:rsidR="006644D5" w:rsidRPr="007668DF">
        <w:rPr>
          <w:rFonts w:ascii="Times New Roman" w:eastAsia="Malgun Gothic" w:hAnsi="Times New Roman"/>
          <w:sz w:val="24"/>
          <w:szCs w:val="24"/>
        </w:rPr>
        <w:t>chargés</w:t>
      </w:r>
      <w:r w:rsidR="00203A2F" w:rsidRPr="007668DF">
        <w:rPr>
          <w:rFonts w:ascii="Times New Roman" w:eastAsia="Malgun Gothic" w:hAnsi="Times New Roman"/>
          <w:sz w:val="24"/>
          <w:szCs w:val="24"/>
        </w:rPr>
        <w:t xml:space="preserve"> </w:t>
      </w:r>
      <w:r w:rsidR="0002276C" w:rsidRPr="007668DF">
        <w:rPr>
          <w:rFonts w:ascii="Times New Roman" w:eastAsia="Malgun Gothic" w:hAnsi="Times New Roman"/>
          <w:sz w:val="24"/>
          <w:szCs w:val="24"/>
        </w:rPr>
        <w:t xml:space="preserve">des droits de l’homme ont </w:t>
      </w:r>
      <w:r w:rsidR="00252DBE" w:rsidRPr="007668DF">
        <w:rPr>
          <w:rFonts w:ascii="Times New Roman" w:eastAsia="Malgun Gothic" w:hAnsi="Times New Roman"/>
          <w:sz w:val="24"/>
          <w:szCs w:val="24"/>
        </w:rPr>
        <w:t xml:space="preserve">également </w:t>
      </w:r>
      <w:r w:rsidR="006644D5" w:rsidRPr="007668DF">
        <w:rPr>
          <w:rFonts w:ascii="Times New Roman" w:eastAsia="Malgun Gothic" w:hAnsi="Times New Roman"/>
          <w:sz w:val="24"/>
          <w:szCs w:val="24"/>
        </w:rPr>
        <w:t>régulièrement</w:t>
      </w:r>
      <w:r w:rsidR="00610C9B" w:rsidRPr="007668DF">
        <w:rPr>
          <w:rFonts w:ascii="Times New Roman" w:eastAsia="Malgun Gothic" w:hAnsi="Times New Roman"/>
          <w:sz w:val="24"/>
          <w:szCs w:val="24"/>
        </w:rPr>
        <w:t xml:space="preserve"> rappor</w:t>
      </w:r>
      <w:r w:rsidR="00AC6BA3" w:rsidRPr="007668DF">
        <w:rPr>
          <w:rFonts w:ascii="Times New Roman" w:eastAsia="Malgun Gothic" w:hAnsi="Times New Roman"/>
          <w:sz w:val="24"/>
          <w:szCs w:val="24"/>
        </w:rPr>
        <w:t>t</w:t>
      </w:r>
      <w:r w:rsidR="00610C9B" w:rsidRPr="007668DF">
        <w:rPr>
          <w:rFonts w:ascii="Times New Roman" w:eastAsia="Malgun Gothic" w:hAnsi="Times New Roman"/>
          <w:sz w:val="24"/>
          <w:szCs w:val="24"/>
        </w:rPr>
        <w:t>é et discuté</w:t>
      </w:r>
      <w:r w:rsidR="0002276C" w:rsidRPr="007668DF">
        <w:rPr>
          <w:rFonts w:ascii="Times New Roman" w:eastAsia="Malgun Gothic" w:hAnsi="Times New Roman"/>
          <w:sz w:val="24"/>
          <w:szCs w:val="24"/>
        </w:rPr>
        <w:t xml:space="preserve"> </w:t>
      </w:r>
      <w:r w:rsidR="00DF0468" w:rsidRPr="007668DF">
        <w:rPr>
          <w:rFonts w:ascii="Times New Roman" w:eastAsia="Malgun Gothic" w:hAnsi="Times New Roman"/>
          <w:sz w:val="24"/>
          <w:szCs w:val="24"/>
        </w:rPr>
        <w:t>l</w:t>
      </w:r>
      <w:r w:rsidR="006644D5" w:rsidRPr="007668DF">
        <w:rPr>
          <w:rFonts w:ascii="Times New Roman" w:eastAsia="Malgun Gothic" w:hAnsi="Times New Roman"/>
          <w:sz w:val="24"/>
          <w:szCs w:val="24"/>
        </w:rPr>
        <w:t xml:space="preserve">es abus des droits de l’homme imputés aux </w:t>
      </w:r>
      <w:r w:rsidR="00E81CFC" w:rsidRPr="007668DF">
        <w:rPr>
          <w:rFonts w:ascii="Times New Roman" w:eastAsia="Malgun Gothic" w:hAnsi="Times New Roman"/>
          <w:sz w:val="24"/>
          <w:szCs w:val="24"/>
        </w:rPr>
        <w:t xml:space="preserve">groupes armés </w:t>
      </w:r>
      <w:r w:rsidR="006644D5" w:rsidRPr="007668DF">
        <w:rPr>
          <w:rFonts w:ascii="Times New Roman" w:eastAsia="Malgun Gothic" w:hAnsi="Times New Roman"/>
          <w:sz w:val="24"/>
          <w:szCs w:val="24"/>
        </w:rPr>
        <w:t xml:space="preserve">avec leurs </w:t>
      </w:r>
      <w:r w:rsidR="00946799" w:rsidRPr="007668DF">
        <w:rPr>
          <w:rFonts w:ascii="Times New Roman" w:eastAsia="Malgun Gothic" w:hAnsi="Times New Roman"/>
          <w:sz w:val="24"/>
          <w:szCs w:val="24"/>
        </w:rPr>
        <w:t xml:space="preserve">chefs </w:t>
      </w:r>
      <w:r w:rsidR="006644D5" w:rsidRPr="007668DF">
        <w:rPr>
          <w:rFonts w:ascii="Times New Roman" w:eastAsia="Malgun Gothic" w:hAnsi="Times New Roman"/>
          <w:sz w:val="24"/>
          <w:szCs w:val="24"/>
        </w:rPr>
        <w:t>respectifs (MNLA</w:t>
      </w:r>
      <w:r w:rsidR="00E81CFC" w:rsidRPr="007668DF">
        <w:rPr>
          <w:rFonts w:ascii="Times New Roman" w:eastAsia="Malgun Gothic" w:hAnsi="Times New Roman"/>
          <w:sz w:val="24"/>
          <w:szCs w:val="24"/>
        </w:rPr>
        <w:t>,</w:t>
      </w:r>
      <w:r w:rsidR="00A264B0" w:rsidRPr="007668DF">
        <w:rPr>
          <w:rFonts w:ascii="Times New Roman" w:eastAsia="Malgun Gothic" w:hAnsi="Times New Roman"/>
          <w:sz w:val="24"/>
          <w:szCs w:val="24"/>
        </w:rPr>
        <w:t xml:space="preserve"> </w:t>
      </w:r>
      <w:r w:rsidR="00E81CFC" w:rsidRPr="007668DF">
        <w:rPr>
          <w:rFonts w:ascii="Times New Roman" w:eastAsia="Malgun Gothic" w:hAnsi="Times New Roman"/>
          <w:sz w:val="24"/>
          <w:szCs w:val="24"/>
        </w:rPr>
        <w:t>HCUA</w:t>
      </w:r>
      <w:r w:rsidR="006644D5" w:rsidRPr="007668DF">
        <w:rPr>
          <w:rFonts w:ascii="Times New Roman" w:eastAsia="Malgun Gothic" w:hAnsi="Times New Roman"/>
          <w:sz w:val="24"/>
          <w:szCs w:val="24"/>
        </w:rPr>
        <w:t>, MAA</w:t>
      </w:r>
      <w:r w:rsidR="00253900" w:rsidRPr="007668DF">
        <w:rPr>
          <w:rFonts w:ascii="Times New Roman" w:eastAsia="Malgun Gothic" w:hAnsi="Times New Roman"/>
          <w:sz w:val="24"/>
          <w:szCs w:val="24"/>
        </w:rPr>
        <w:t>, MIA</w:t>
      </w:r>
      <w:r w:rsidR="00A264B0" w:rsidRPr="007668DF">
        <w:rPr>
          <w:rFonts w:ascii="Times New Roman" w:eastAsia="Malgun Gothic" w:hAnsi="Times New Roman"/>
          <w:sz w:val="24"/>
          <w:szCs w:val="24"/>
        </w:rPr>
        <w:t>)</w:t>
      </w:r>
      <w:r w:rsidR="006644D5" w:rsidRPr="007668DF">
        <w:rPr>
          <w:rFonts w:ascii="Times New Roman" w:eastAsia="Malgun Gothic" w:hAnsi="Times New Roman"/>
          <w:sz w:val="24"/>
          <w:szCs w:val="24"/>
        </w:rPr>
        <w:t>.</w:t>
      </w:r>
    </w:p>
    <w:p w:rsidR="0005649B" w:rsidRPr="007668DF" w:rsidRDefault="0005649B" w:rsidP="006C2FA0">
      <w:pPr>
        <w:tabs>
          <w:tab w:val="left" w:pos="567"/>
          <w:tab w:val="left" w:pos="1134"/>
        </w:tabs>
        <w:spacing w:after="0"/>
        <w:jc w:val="both"/>
        <w:rPr>
          <w:rFonts w:ascii="Times New Roman" w:eastAsia="Malgun Gothic" w:hAnsi="Times New Roman"/>
          <w:sz w:val="24"/>
          <w:szCs w:val="24"/>
        </w:rPr>
      </w:pPr>
    </w:p>
    <w:p w:rsidR="009526DC" w:rsidRPr="007668DF" w:rsidRDefault="00A50464" w:rsidP="006C2FA0">
      <w:pPr>
        <w:tabs>
          <w:tab w:val="left" w:pos="567"/>
          <w:tab w:val="left" w:pos="851"/>
        </w:tabs>
        <w:spacing w:after="0"/>
        <w:jc w:val="both"/>
        <w:rPr>
          <w:rFonts w:ascii="Times New Roman" w:eastAsia="Malgun Gothic" w:hAnsi="Times New Roman"/>
          <w:sz w:val="24"/>
          <w:szCs w:val="24"/>
        </w:rPr>
      </w:pPr>
      <w:r w:rsidRPr="007668DF">
        <w:rPr>
          <w:rFonts w:ascii="Times New Roman" w:eastAsia="Malgun Gothic" w:hAnsi="Times New Roman"/>
          <w:sz w:val="24"/>
          <w:szCs w:val="24"/>
        </w:rPr>
        <w:t>1</w:t>
      </w:r>
      <w:r w:rsidR="0086130D">
        <w:rPr>
          <w:rFonts w:ascii="Times New Roman" w:eastAsia="Malgun Gothic" w:hAnsi="Times New Roman"/>
          <w:sz w:val="24"/>
          <w:szCs w:val="24"/>
        </w:rPr>
        <w:t>3</w:t>
      </w:r>
      <w:r w:rsidR="002E0ACC" w:rsidRPr="007668DF">
        <w:rPr>
          <w:rFonts w:ascii="Times New Roman" w:eastAsia="Malgun Gothic" w:hAnsi="Times New Roman"/>
          <w:sz w:val="24"/>
          <w:szCs w:val="24"/>
        </w:rPr>
        <w:t>.</w:t>
      </w:r>
      <w:r w:rsidR="002E0ACC" w:rsidRPr="007668DF">
        <w:rPr>
          <w:rFonts w:ascii="Times New Roman" w:eastAsia="Malgun Gothic" w:hAnsi="Times New Roman"/>
          <w:sz w:val="24"/>
          <w:szCs w:val="24"/>
        </w:rPr>
        <w:tab/>
      </w:r>
      <w:r w:rsidR="006644D5" w:rsidRPr="007668DF">
        <w:rPr>
          <w:rFonts w:ascii="Times New Roman" w:eastAsia="Malgun Gothic" w:hAnsi="Times New Roman"/>
          <w:sz w:val="24"/>
          <w:szCs w:val="24"/>
        </w:rPr>
        <w:t xml:space="preserve">Des informations </w:t>
      </w:r>
      <w:r w:rsidR="00DF0468" w:rsidRPr="007668DF">
        <w:rPr>
          <w:rFonts w:ascii="Times New Roman" w:eastAsia="Malgun Gothic" w:hAnsi="Times New Roman"/>
          <w:sz w:val="24"/>
          <w:szCs w:val="24"/>
        </w:rPr>
        <w:t>pertinentes</w:t>
      </w:r>
      <w:r w:rsidR="006644D5" w:rsidRPr="007668DF">
        <w:rPr>
          <w:rFonts w:ascii="Times New Roman" w:eastAsia="Malgun Gothic" w:hAnsi="Times New Roman"/>
          <w:sz w:val="24"/>
          <w:szCs w:val="24"/>
        </w:rPr>
        <w:t xml:space="preserve"> en rapport avec les violations et abus des droits de l’homme</w:t>
      </w:r>
      <w:r w:rsidR="00812C79">
        <w:rPr>
          <w:rFonts w:ascii="Times New Roman" w:eastAsia="Malgun Gothic" w:hAnsi="Times New Roman"/>
          <w:sz w:val="24"/>
          <w:szCs w:val="24"/>
        </w:rPr>
        <w:t xml:space="preserve"> et du droit international humanitaire</w:t>
      </w:r>
      <w:r w:rsidR="006644D5" w:rsidRPr="007668DF">
        <w:rPr>
          <w:rFonts w:ascii="Times New Roman" w:eastAsia="Malgun Gothic" w:hAnsi="Times New Roman"/>
          <w:sz w:val="24"/>
          <w:szCs w:val="24"/>
        </w:rPr>
        <w:t xml:space="preserve"> ont </w:t>
      </w:r>
      <w:r w:rsidR="00DF0468" w:rsidRPr="007668DF">
        <w:rPr>
          <w:rFonts w:ascii="Times New Roman" w:eastAsia="Malgun Gothic" w:hAnsi="Times New Roman"/>
          <w:sz w:val="24"/>
          <w:szCs w:val="24"/>
        </w:rPr>
        <w:t xml:space="preserve">également </w:t>
      </w:r>
      <w:r w:rsidR="006644D5" w:rsidRPr="007668DF">
        <w:rPr>
          <w:rFonts w:ascii="Times New Roman" w:eastAsia="Malgun Gothic" w:hAnsi="Times New Roman"/>
          <w:sz w:val="24"/>
          <w:szCs w:val="24"/>
        </w:rPr>
        <w:t>été r</w:t>
      </w:r>
      <w:r w:rsidR="00A74DF4" w:rsidRPr="007668DF">
        <w:rPr>
          <w:rFonts w:ascii="Times New Roman" w:eastAsia="Malgun Gothic" w:hAnsi="Times New Roman"/>
          <w:sz w:val="24"/>
          <w:szCs w:val="24"/>
        </w:rPr>
        <w:t>eç</w:t>
      </w:r>
      <w:r w:rsidR="00C94D73" w:rsidRPr="007668DF">
        <w:rPr>
          <w:rFonts w:ascii="Times New Roman" w:eastAsia="Malgun Gothic" w:hAnsi="Times New Roman"/>
          <w:sz w:val="24"/>
          <w:szCs w:val="24"/>
        </w:rPr>
        <w:t>ues</w:t>
      </w:r>
      <w:r w:rsidR="006644D5" w:rsidRPr="007668DF">
        <w:rPr>
          <w:rFonts w:ascii="Times New Roman" w:eastAsia="Malgun Gothic" w:hAnsi="Times New Roman"/>
          <w:sz w:val="24"/>
          <w:szCs w:val="24"/>
        </w:rPr>
        <w:t xml:space="preserve"> par le biais d</w:t>
      </w:r>
      <w:r w:rsidR="00A74DF4" w:rsidRPr="007668DF">
        <w:rPr>
          <w:rFonts w:ascii="Times New Roman" w:eastAsia="Malgun Gothic" w:hAnsi="Times New Roman"/>
          <w:sz w:val="24"/>
          <w:szCs w:val="24"/>
        </w:rPr>
        <w:t>es</w:t>
      </w:r>
      <w:r w:rsidR="00E81CFC" w:rsidRPr="007668DF">
        <w:rPr>
          <w:rFonts w:ascii="Times New Roman" w:eastAsia="Malgun Gothic" w:hAnsi="Times New Roman"/>
          <w:sz w:val="24"/>
          <w:szCs w:val="24"/>
        </w:rPr>
        <w:t xml:space="preserve"> </w:t>
      </w:r>
      <w:r w:rsidR="006644D5" w:rsidRPr="007668DF">
        <w:rPr>
          <w:rFonts w:ascii="Times New Roman" w:eastAsia="Malgun Gothic" w:hAnsi="Times New Roman"/>
          <w:sz w:val="24"/>
          <w:szCs w:val="24"/>
        </w:rPr>
        <w:t>centre</w:t>
      </w:r>
      <w:r w:rsidR="00A74DF4" w:rsidRPr="007668DF">
        <w:rPr>
          <w:rFonts w:ascii="Times New Roman" w:eastAsia="Malgun Gothic" w:hAnsi="Times New Roman"/>
          <w:sz w:val="24"/>
          <w:szCs w:val="24"/>
        </w:rPr>
        <w:t>s</w:t>
      </w:r>
      <w:r w:rsidR="006644D5" w:rsidRPr="007668DF">
        <w:rPr>
          <w:rFonts w:ascii="Times New Roman" w:eastAsia="Malgun Gothic" w:hAnsi="Times New Roman"/>
          <w:sz w:val="24"/>
          <w:szCs w:val="24"/>
        </w:rPr>
        <w:t xml:space="preserve"> </w:t>
      </w:r>
      <w:r w:rsidR="00B423DE" w:rsidRPr="007668DF">
        <w:rPr>
          <w:rFonts w:ascii="Times New Roman" w:eastAsia="Malgun Gothic" w:hAnsi="Times New Roman"/>
          <w:sz w:val="24"/>
          <w:szCs w:val="24"/>
        </w:rPr>
        <w:t>d’</w:t>
      </w:r>
      <w:r w:rsidR="00B423DE">
        <w:rPr>
          <w:rFonts w:ascii="Times New Roman" w:eastAsia="Malgun Gothic" w:hAnsi="Times New Roman"/>
          <w:sz w:val="24"/>
          <w:szCs w:val="24"/>
        </w:rPr>
        <w:t>appels</w:t>
      </w:r>
      <w:r w:rsidR="00B423DE" w:rsidRPr="007668DF">
        <w:rPr>
          <w:rFonts w:ascii="Times New Roman" w:eastAsia="Malgun Gothic" w:hAnsi="Times New Roman"/>
          <w:sz w:val="24"/>
          <w:szCs w:val="24"/>
        </w:rPr>
        <w:t xml:space="preserve"> </w:t>
      </w:r>
      <w:r w:rsidR="006644D5" w:rsidRPr="007668DF">
        <w:rPr>
          <w:rFonts w:ascii="Times New Roman" w:eastAsia="Malgun Gothic" w:hAnsi="Times New Roman"/>
          <w:sz w:val="24"/>
          <w:szCs w:val="24"/>
        </w:rPr>
        <w:t xml:space="preserve">créés par la </w:t>
      </w:r>
      <w:r w:rsidR="00411BDC" w:rsidRPr="007668DF">
        <w:rPr>
          <w:rFonts w:ascii="Times New Roman" w:eastAsia="Malgun Gothic" w:hAnsi="Times New Roman"/>
          <w:sz w:val="24"/>
          <w:szCs w:val="24"/>
        </w:rPr>
        <w:t>Division des droits de l’homme pour</w:t>
      </w:r>
      <w:r w:rsidR="006644D5" w:rsidRPr="007668DF">
        <w:rPr>
          <w:rFonts w:ascii="Times New Roman" w:eastAsia="Malgun Gothic" w:hAnsi="Times New Roman"/>
          <w:sz w:val="24"/>
          <w:szCs w:val="24"/>
        </w:rPr>
        <w:t xml:space="preserve"> permettre aux victimes, témoins et autres individus de communiquer </w:t>
      </w:r>
      <w:r w:rsidR="00CD13A9">
        <w:rPr>
          <w:rFonts w:ascii="Times New Roman" w:eastAsia="Malgun Gothic" w:hAnsi="Times New Roman"/>
          <w:sz w:val="24"/>
          <w:szCs w:val="24"/>
        </w:rPr>
        <w:t xml:space="preserve">sur </w:t>
      </w:r>
      <w:r w:rsidR="006644D5" w:rsidRPr="007668DF">
        <w:rPr>
          <w:rFonts w:ascii="Times New Roman" w:eastAsia="Malgun Gothic" w:hAnsi="Times New Roman"/>
          <w:sz w:val="24"/>
          <w:szCs w:val="24"/>
        </w:rPr>
        <w:t>toutes violations et abus ou allégations de violation</w:t>
      </w:r>
      <w:r w:rsidR="00252DBE" w:rsidRPr="007668DF">
        <w:rPr>
          <w:rFonts w:ascii="Times New Roman" w:eastAsia="Malgun Gothic" w:hAnsi="Times New Roman"/>
          <w:sz w:val="24"/>
          <w:szCs w:val="24"/>
        </w:rPr>
        <w:t>s</w:t>
      </w:r>
      <w:r w:rsidR="006644D5" w:rsidRPr="007668DF">
        <w:rPr>
          <w:rFonts w:ascii="Times New Roman" w:eastAsia="Malgun Gothic" w:hAnsi="Times New Roman"/>
          <w:sz w:val="24"/>
          <w:szCs w:val="24"/>
        </w:rPr>
        <w:t xml:space="preserve"> </w:t>
      </w:r>
      <w:r w:rsidR="00DF0468" w:rsidRPr="007668DF">
        <w:rPr>
          <w:rFonts w:ascii="Times New Roman" w:eastAsia="Malgun Gothic" w:hAnsi="Times New Roman"/>
          <w:sz w:val="24"/>
          <w:szCs w:val="24"/>
        </w:rPr>
        <w:t>et</w:t>
      </w:r>
      <w:r w:rsidR="006644D5" w:rsidRPr="007668DF">
        <w:rPr>
          <w:rFonts w:ascii="Times New Roman" w:eastAsia="Malgun Gothic" w:hAnsi="Times New Roman"/>
          <w:sz w:val="24"/>
          <w:szCs w:val="24"/>
        </w:rPr>
        <w:t xml:space="preserve"> abus des droits de l’homme</w:t>
      </w:r>
      <w:r w:rsidR="0084122F" w:rsidRPr="007668DF">
        <w:rPr>
          <w:rFonts w:ascii="Times New Roman" w:eastAsia="Malgun Gothic" w:hAnsi="Times New Roman"/>
          <w:sz w:val="24"/>
          <w:szCs w:val="24"/>
        </w:rPr>
        <w:t>.</w:t>
      </w:r>
      <w:r w:rsidR="00E81CFC" w:rsidRPr="007668DF">
        <w:rPr>
          <w:rFonts w:ascii="Times New Roman" w:eastAsia="Malgun Gothic" w:hAnsi="Times New Roman"/>
          <w:sz w:val="24"/>
          <w:szCs w:val="24"/>
        </w:rPr>
        <w:t xml:space="preserve"> </w:t>
      </w:r>
    </w:p>
    <w:p w:rsidR="003536E8" w:rsidRDefault="003536E8" w:rsidP="006C2FA0">
      <w:pPr>
        <w:tabs>
          <w:tab w:val="left" w:pos="567"/>
          <w:tab w:val="left" w:pos="851"/>
        </w:tabs>
        <w:spacing w:after="0"/>
        <w:jc w:val="both"/>
        <w:rPr>
          <w:rFonts w:ascii="Times New Roman" w:hAnsi="Times New Roman"/>
          <w:sz w:val="24"/>
          <w:szCs w:val="24"/>
        </w:rPr>
      </w:pPr>
    </w:p>
    <w:p w:rsidR="00985196" w:rsidRPr="007668DF" w:rsidRDefault="008920B0" w:rsidP="003B152B">
      <w:pPr>
        <w:pStyle w:val="Title"/>
        <w:rPr>
          <w:rFonts w:eastAsia="Malgun Gothic"/>
        </w:rPr>
      </w:pPr>
      <w:bookmarkStart w:id="5" w:name="_Toc401931485"/>
      <w:r w:rsidRPr="007668DF">
        <w:rPr>
          <w:rFonts w:eastAsia="Malgun Gothic"/>
        </w:rPr>
        <w:t>Cadre légal</w:t>
      </w:r>
      <w:bookmarkEnd w:id="5"/>
    </w:p>
    <w:p w:rsidR="006B3AD9" w:rsidRPr="007316E8" w:rsidRDefault="006B3AD9" w:rsidP="004E4A3A">
      <w:pPr>
        <w:autoSpaceDE w:val="0"/>
        <w:autoSpaceDN w:val="0"/>
        <w:adjustRightInd w:val="0"/>
        <w:spacing w:after="0"/>
        <w:jc w:val="both"/>
        <w:rPr>
          <w:rFonts w:ascii="Times New Roman" w:hAnsi="Times New Roman"/>
          <w:color w:val="000000"/>
          <w:sz w:val="24"/>
          <w:szCs w:val="24"/>
          <w:lang w:val="fr-CH" w:eastAsia="en-GB"/>
        </w:rPr>
      </w:pPr>
      <w:r w:rsidRPr="007316E8">
        <w:rPr>
          <w:rFonts w:ascii="Times New Roman" w:hAnsi="Times New Roman"/>
          <w:color w:val="000000"/>
          <w:sz w:val="24"/>
          <w:szCs w:val="24"/>
          <w:lang w:val="fr-CH" w:eastAsia="en-GB"/>
        </w:rPr>
        <w:t>14.</w:t>
      </w:r>
      <w:r w:rsidRPr="007316E8">
        <w:rPr>
          <w:rFonts w:ascii="Times New Roman" w:hAnsi="Times New Roman"/>
          <w:color w:val="000000"/>
          <w:sz w:val="24"/>
          <w:szCs w:val="24"/>
          <w:lang w:val="fr-CH" w:eastAsia="en-GB"/>
        </w:rPr>
        <w:tab/>
        <w:t xml:space="preserve">L’ensemble des droits visés par le présent rapport sont garantis et protégés par le droit international des droits de l'homme et  </w:t>
      </w:r>
      <w:r>
        <w:rPr>
          <w:rFonts w:ascii="Times New Roman" w:hAnsi="Times New Roman"/>
          <w:color w:val="000000"/>
          <w:sz w:val="24"/>
          <w:szCs w:val="24"/>
          <w:lang w:val="fr-CH" w:eastAsia="en-GB"/>
        </w:rPr>
        <w:t xml:space="preserve">le </w:t>
      </w:r>
      <w:r w:rsidRPr="007316E8">
        <w:rPr>
          <w:rFonts w:ascii="Times New Roman" w:hAnsi="Times New Roman"/>
          <w:color w:val="000000"/>
          <w:sz w:val="24"/>
          <w:szCs w:val="24"/>
          <w:lang w:val="fr-CH" w:eastAsia="en-GB"/>
        </w:rPr>
        <w:t>droit international humanitaire</w:t>
      </w:r>
      <w:r w:rsidR="00B90E7D">
        <w:rPr>
          <w:rStyle w:val="FootnoteReference"/>
          <w:rFonts w:ascii="Times New Roman" w:hAnsi="Times New Roman"/>
          <w:color w:val="000000"/>
          <w:sz w:val="24"/>
          <w:szCs w:val="24"/>
          <w:lang w:val="fr-CH" w:eastAsia="en-GB"/>
        </w:rPr>
        <w:footnoteReference w:id="4"/>
      </w:r>
      <w:r>
        <w:rPr>
          <w:rFonts w:ascii="Times New Roman" w:hAnsi="Times New Roman"/>
          <w:color w:val="000000"/>
          <w:sz w:val="24"/>
          <w:szCs w:val="24"/>
          <w:lang w:val="fr-CH" w:eastAsia="en-GB"/>
        </w:rPr>
        <w:t>. Les</w:t>
      </w:r>
      <w:r w:rsidRPr="007316E8">
        <w:rPr>
          <w:rFonts w:ascii="Times New Roman" w:hAnsi="Times New Roman"/>
          <w:color w:val="000000"/>
          <w:sz w:val="24"/>
          <w:szCs w:val="24"/>
          <w:lang w:val="fr-CH" w:eastAsia="en-GB"/>
        </w:rPr>
        <w:t xml:space="preserve"> instruments internationaux et régionaux relatifs aux droits de l’homme, tels que la Déclaration Universelle des Droits de l’Homme et du Citoyen, le Pacte international relatif aux droits civils et politiques (PIDCP)</w:t>
      </w:r>
      <w:r w:rsidR="00997D63">
        <w:rPr>
          <w:rStyle w:val="FootnoteReference"/>
          <w:rFonts w:ascii="Times New Roman" w:hAnsi="Times New Roman"/>
          <w:color w:val="000000"/>
          <w:sz w:val="24"/>
          <w:szCs w:val="24"/>
          <w:lang w:val="fr-CH" w:eastAsia="en-GB"/>
        </w:rPr>
        <w:footnoteReference w:id="5"/>
      </w:r>
      <w:r w:rsidR="00997D63">
        <w:rPr>
          <w:rFonts w:ascii="Times New Roman" w:hAnsi="Times New Roman"/>
          <w:color w:val="000000"/>
          <w:sz w:val="24"/>
          <w:szCs w:val="24"/>
          <w:lang w:val="fr-CH" w:eastAsia="en-GB"/>
        </w:rPr>
        <w:t>,</w:t>
      </w:r>
      <w:r w:rsidR="002A2BBC">
        <w:rPr>
          <w:rFonts w:ascii="Times New Roman" w:hAnsi="Times New Roman"/>
          <w:color w:val="000000"/>
          <w:sz w:val="20"/>
          <w:szCs w:val="20"/>
          <w:lang w:val="fr-CH" w:eastAsia="en-GB"/>
        </w:rPr>
        <w:t xml:space="preserve"> </w:t>
      </w:r>
      <w:r w:rsidRPr="007316E8">
        <w:rPr>
          <w:rFonts w:ascii="Times New Roman" w:hAnsi="Times New Roman"/>
          <w:color w:val="000000"/>
          <w:sz w:val="24"/>
          <w:szCs w:val="24"/>
          <w:lang w:val="fr-CH" w:eastAsia="en-GB"/>
        </w:rPr>
        <w:t xml:space="preserve">la Convention </w:t>
      </w:r>
      <w:r w:rsidR="00CD13A9">
        <w:rPr>
          <w:rFonts w:ascii="Times New Roman" w:hAnsi="Times New Roman"/>
          <w:color w:val="000000"/>
          <w:sz w:val="24"/>
          <w:szCs w:val="24"/>
          <w:lang w:val="fr-CH" w:eastAsia="en-GB"/>
        </w:rPr>
        <w:t xml:space="preserve">internationale pour la protection de toutes les personnes </w:t>
      </w:r>
      <w:r w:rsidRPr="007316E8">
        <w:rPr>
          <w:rFonts w:ascii="Times New Roman" w:hAnsi="Times New Roman"/>
          <w:color w:val="000000"/>
          <w:sz w:val="24"/>
          <w:szCs w:val="24"/>
          <w:lang w:val="fr-CH" w:eastAsia="en-GB"/>
        </w:rPr>
        <w:t>contre les disparitions forc</w:t>
      </w:r>
      <w:r>
        <w:rPr>
          <w:rFonts w:ascii="Times New Roman" w:hAnsi="Times New Roman"/>
          <w:color w:val="000000"/>
          <w:sz w:val="24"/>
          <w:szCs w:val="24"/>
          <w:lang w:val="fr-CH" w:eastAsia="en-GB"/>
        </w:rPr>
        <w:t>é</w:t>
      </w:r>
      <w:r w:rsidRPr="007316E8">
        <w:rPr>
          <w:rFonts w:ascii="Times New Roman" w:hAnsi="Times New Roman"/>
          <w:color w:val="000000"/>
          <w:sz w:val="24"/>
          <w:szCs w:val="24"/>
          <w:lang w:val="fr-CH" w:eastAsia="en-GB"/>
        </w:rPr>
        <w:t>es (CDF)</w:t>
      </w:r>
      <w:r w:rsidR="00997D63">
        <w:rPr>
          <w:rStyle w:val="FootnoteReference"/>
          <w:rFonts w:ascii="Times New Roman" w:hAnsi="Times New Roman"/>
          <w:color w:val="000000"/>
          <w:sz w:val="24"/>
          <w:szCs w:val="24"/>
          <w:lang w:val="fr-CH" w:eastAsia="en-GB"/>
        </w:rPr>
        <w:footnoteReference w:id="6"/>
      </w:r>
      <w:r w:rsidRPr="007316E8">
        <w:rPr>
          <w:rFonts w:ascii="Times New Roman" w:hAnsi="Times New Roman"/>
          <w:color w:val="000000"/>
          <w:sz w:val="24"/>
          <w:szCs w:val="24"/>
          <w:lang w:val="fr-CH" w:eastAsia="en-GB"/>
        </w:rPr>
        <w:t xml:space="preserve">, </w:t>
      </w:r>
      <w:r>
        <w:rPr>
          <w:rFonts w:ascii="Times New Roman" w:hAnsi="Times New Roman"/>
          <w:color w:val="000000"/>
          <w:sz w:val="24"/>
          <w:szCs w:val="24"/>
          <w:lang w:val="fr-CH" w:eastAsia="en-GB"/>
        </w:rPr>
        <w:t xml:space="preserve">la </w:t>
      </w:r>
      <w:r w:rsidRPr="007316E8">
        <w:rPr>
          <w:rFonts w:ascii="Times New Roman" w:hAnsi="Times New Roman"/>
          <w:color w:val="000000"/>
          <w:sz w:val="24"/>
          <w:szCs w:val="24"/>
          <w:lang w:val="fr-CH" w:eastAsia="en-GB"/>
        </w:rPr>
        <w:t>Convention internationale sur l’élimination de toutes les formes de discrimination raciale (CIDR)</w:t>
      </w:r>
      <w:r w:rsidR="00721524">
        <w:rPr>
          <w:rStyle w:val="FootnoteReference"/>
          <w:rFonts w:ascii="Times New Roman" w:hAnsi="Times New Roman"/>
          <w:color w:val="000000"/>
          <w:sz w:val="24"/>
          <w:szCs w:val="24"/>
          <w:lang w:val="fr-CH" w:eastAsia="en-GB"/>
        </w:rPr>
        <w:footnoteReference w:id="7"/>
      </w:r>
      <w:r w:rsidRPr="007316E8">
        <w:rPr>
          <w:rFonts w:ascii="Times New Roman" w:hAnsi="Times New Roman"/>
          <w:color w:val="000000"/>
          <w:sz w:val="24"/>
          <w:szCs w:val="24"/>
          <w:lang w:val="fr-CH" w:eastAsia="en-GB"/>
        </w:rPr>
        <w:t>,</w:t>
      </w:r>
      <w:r w:rsidRPr="007316E8">
        <w:rPr>
          <w:rFonts w:cs="Calibri"/>
          <w:color w:val="000000"/>
          <w:lang w:val="fr-CH" w:eastAsia="en-GB"/>
        </w:rPr>
        <w:t xml:space="preserve"> </w:t>
      </w:r>
      <w:r>
        <w:rPr>
          <w:rFonts w:cs="Calibri"/>
          <w:color w:val="000000"/>
          <w:lang w:val="fr-CH" w:eastAsia="en-GB"/>
        </w:rPr>
        <w:t xml:space="preserve">le </w:t>
      </w:r>
      <w:r w:rsidRPr="007316E8">
        <w:rPr>
          <w:rFonts w:ascii="Times New Roman" w:hAnsi="Times New Roman"/>
          <w:color w:val="000000"/>
          <w:sz w:val="24"/>
          <w:szCs w:val="24"/>
          <w:lang w:val="fr-CH" w:eastAsia="en-GB"/>
        </w:rPr>
        <w:t>Pacte international relatif aux droits économiques, sociaux et culturels (PI</w:t>
      </w:r>
      <w:r w:rsidR="00CD13A9">
        <w:rPr>
          <w:rFonts w:ascii="Times New Roman" w:hAnsi="Times New Roman"/>
          <w:color w:val="000000"/>
          <w:sz w:val="24"/>
          <w:szCs w:val="24"/>
          <w:lang w:val="fr-CH" w:eastAsia="en-GB"/>
        </w:rPr>
        <w:t>D</w:t>
      </w:r>
      <w:r w:rsidRPr="007316E8">
        <w:rPr>
          <w:rFonts w:ascii="Times New Roman" w:hAnsi="Times New Roman"/>
          <w:color w:val="000000"/>
          <w:sz w:val="24"/>
          <w:szCs w:val="24"/>
          <w:lang w:val="fr-CH" w:eastAsia="en-GB"/>
        </w:rPr>
        <w:t>ESC)</w:t>
      </w:r>
      <w:r w:rsidR="00721524">
        <w:rPr>
          <w:rStyle w:val="FootnoteReference"/>
          <w:rFonts w:ascii="Times New Roman" w:hAnsi="Times New Roman"/>
          <w:color w:val="000000"/>
          <w:sz w:val="24"/>
          <w:szCs w:val="24"/>
          <w:lang w:val="fr-CH" w:eastAsia="en-GB"/>
        </w:rPr>
        <w:footnoteReference w:id="8"/>
      </w:r>
      <w:r w:rsidR="00D05361">
        <w:rPr>
          <w:rFonts w:ascii="Times New Roman" w:hAnsi="Times New Roman"/>
          <w:color w:val="000000"/>
          <w:sz w:val="24"/>
          <w:szCs w:val="24"/>
          <w:lang w:val="fr-CH" w:eastAsia="en-GB"/>
        </w:rPr>
        <w:t xml:space="preserve">, </w:t>
      </w:r>
      <w:r w:rsidR="00721524">
        <w:rPr>
          <w:rFonts w:ascii="Times New Roman" w:hAnsi="Times New Roman"/>
          <w:color w:val="000000"/>
          <w:sz w:val="24"/>
          <w:szCs w:val="24"/>
          <w:lang w:val="fr-CH" w:eastAsia="en-GB"/>
        </w:rPr>
        <w:t>l</w:t>
      </w:r>
      <w:r w:rsidR="00D05361" w:rsidRPr="00D05361">
        <w:rPr>
          <w:rFonts w:ascii="Times New Roman" w:hAnsi="Times New Roman"/>
          <w:color w:val="000000"/>
          <w:sz w:val="24"/>
          <w:szCs w:val="24"/>
          <w:lang w:val="fr-CH" w:eastAsia="en-GB"/>
        </w:rPr>
        <w:t xml:space="preserve">a Convention </w:t>
      </w:r>
      <w:r w:rsidR="00D05361" w:rsidRPr="00D05361">
        <w:rPr>
          <w:rFonts w:ascii="Times New Roman" w:hAnsi="Times New Roman"/>
          <w:color w:val="000000"/>
          <w:sz w:val="24"/>
          <w:szCs w:val="24"/>
          <w:lang w:val="fr-CH" w:eastAsia="en-GB"/>
        </w:rPr>
        <w:lastRenderedPageBreak/>
        <w:t xml:space="preserve">sur l'élimination de toutes les formes de discrimination à l’égard des femmes </w:t>
      </w:r>
      <w:r w:rsidR="00D05361">
        <w:rPr>
          <w:rFonts w:ascii="Times New Roman" w:hAnsi="Times New Roman"/>
          <w:color w:val="000000"/>
          <w:sz w:val="24"/>
          <w:szCs w:val="24"/>
          <w:lang w:val="fr-CH" w:eastAsia="en-GB"/>
        </w:rPr>
        <w:t xml:space="preserve">(CEDF), </w:t>
      </w:r>
      <w:r w:rsidRPr="007316E8">
        <w:rPr>
          <w:rFonts w:ascii="Times New Roman" w:hAnsi="Times New Roman"/>
          <w:color w:val="000000"/>
          <w:sz w:val="24"/>
          <w:szCs w:val="24"/>
          <w:lang w:val="fr-CH" w:eastAsia="en-GB"/>
        </w:rPr>
        <w:t xml:space="preserve"> </w:t>
      </w:r>
      <w:r w:rsidR="00721524">
        <w:rPr>
          <w:rFonts w:ascii="Times New Roman" w:hAnsi="Times New Roman"/>
          <w:color w:val="000000"/>
          <w:sz w:val="24"/>
          <w:szCs w:val="24"/>
          <w:lang w:val="fr-CH" w:eastAsia="en-GB"/>
        </w:rPr>
        <w:t>l</w:t>
      </w:r>
      <w:r w:rsidR="00D05361" w:rsidRPr="00D05361">
        <w:rPr>
          <w:rFonts w:ascii="Times New Roman" w:hAnsi="Times New Roman"/>
          <w:color w:val="000000"/>
          <w:sz w:val="24"/>
          <w:szCs w:val="24"/>
          <w:lang w:val="fr-CH" w:eastAsia="en-GB"/>
        </w:rPr>
        <w:t>a Convention internationale des droits de l'enfant</w:t>
      </w:r>
      <w:r w:rsidR="00D05361">
        <w:rPr>
          <w:rFonts w:ascii="Times New Roman" w:hAnsi="Times New Roman"/>
          <w:color w:val="000000"/>
          <w:sz w:val="24"/>
          <w:szCs w:val="24"/>
          <w:lang w:val="fr-CH" w:eastAsia="en-GB"/>
        </w:rPr>
        <w:t xml:space="preserve"> (CIDE), </w:t>
      </w:r>
      <w:r w:rsidR="00721524">
        <w:rPr>
          <w:rFonts w:ascii="Times New Roman" w:hAnsi="Times New Roman"/>
          <w:color w:val="000000"/>
          <w:sz w:val="24"/>
          <w:szCs w:val="24"/>
          <w:lang w:val="fr-CH" w:eastAsia="en-GB"/>
        </w:rPr>
        <w:t>l</w:t>
      </w:r>
      <w:r w:rsidR="00D05361" w:rsidRPr="00D05361">
        <w:rPr>
          <w:rFonts w:ascii="Times New Roman" w:hAnsi="Times New Roman"/>
          <w:color w:val="000000"/>
          <w:sz w:val="24"/>
          <w:szCs w:val="24"/>
          <w:lang w:val="fr-CH" w:eastAsia="en-GB"/>
        </w:rPr>
        <w:t xml:space="preserve">e Protocole facultatif à la Convention </w:t>
      </w:r>
      <w:r w:rsidR="00CD13A9">
        <w:rPr>
          <w:rFonts w:ascii="Times New Roman" w:hAnsi="Times New Roman"/>
          <w:color w:val="000000"/>
          <w:sz w:val="24"/>
          <w:szCs w:val="24"/>
          <w:lang w:val="fr-CH" w:eastAsia="en-GB"/>
        </w:rPr>
        <w:t>relative à</w:t>
      </w:r>
      <w:r w:rsidR="00CD13A9" w:rsidRPr="00D05361">
        <w:rPr>
          <w:rFonts w:ascii="Times New Roman" w:hAnsi="Times New Roman"/>
          <w:color w:val="000000"/>
          <w:sz w:val="24"/>
          <w:szCs w:val="24"/>
          <w:lang w:val="fr-CH" w:eastAsia="en-GB"/>
        </w:rPr>
        <w:t xml:space="preserve"> </w:t>
      </w:r>
      <w:r w:rsidR="00D05361" w:rsidRPr="00D05361">
        <w:rPr>
          <w:rFonts w:ascii="Times New Roman" w:hAnsi="Times New Roman"/>
          <w:color w:val="000000"/>
          <w:sz w:val="24"/>
          <w:szCs w:val="24"/>
          <w:lang w:val="fr-CH" w:eastAsia="en-GB"/>
        </w:rPr>
        <w:t>l’implication d’enfants dans les conflits armés (OPAC</w:t>
      </w:r>
      <w:r w:rsidR="00D05361">
        <w:rPr>
          <w:rFonts w:ascii="Times New Roman" w:hAnsi="Times New Roman"/>
          <w:color w:val="000000"/>
          <w:sz w:val="24"/>
          <w:szCs w:val="24"/>
          <w:lang w:val="fr-CH" w:eastAsia="en-GB"/>
        </w:rPr>
        <w:t>)</w:t>
      </w:r>
      <w:r w:rsidR="00D05361">
        <w:rPr>
          <w:rStyle w:val="FootnoteReference"/>
          <w:rFonts w:ascii="Times New Roman" w:hAnsi="Times New Roman"/>
          <w:color w:val="000000"/>
          <w:sz w:val="24"/>
          <w:szCs w:val="24"/>
          <w:lang w:val="fr-CH" w:eastAsia="en-GB"/>
        </w:rPr>
        <w:footnoteReference w:id="9"/>
      </w:r>
      <w:r w:rsidRPr="007316E8">
        <w:rPr>
          <w:rFonts w:ascii="Times New Roman" w:hAnsi="Times New Roman"/>
          <w:color w:val="000000"/>
          <w:sz w:val="24"/>
          <w:szCs w:val="24"/>
          <w:lang w:val="fr-CH" w:eastAsia="en-GB"/>
        </w:rPr>
        <w:t xml:space="preserve"> et la Charte africaine des droits de l’homme et des peuples (CADHP)</w:t>
      </w:r>
      <w:r w:rsidR="00CC4DE4">
        <w:rPr>
          <w:rStyle w:val="FootnoteReference"/>
          <w:rFonts w:ascii="Times New Roman" w:hAnsi="Times New Roman"/>
          <w:color w:val="000000"/>
          <w:sz w:val="24"/>
          <w:szCs w:val="24"/>
          <w:lang w:val="fr-CH" w:eastAsia="en-GB"/>
        </w:rPr>
        <w:footnoteReference w:id="10"/>
      </w:r>
      <w:r w:rsidR="00A65D3D">
        <w:rPr>
          <w:rFonts w:ascii="Times New Roman" w:hAnsi="Times New Roman"/>
          <w:color w:val="000000"/>
          <w:sz w:val="24"/>
          <w:szCs w:val="24"/>
          <w:lang w:val="fr-CH" w:eastAsia="en-GB"/>
        </w:rPr>
        <w:t xml:space="preserve"> s’appliquent</w:t>
      </w:r>
      <w:r w:rsidRPr="007316E8">
        <w:rPr>
          <w:rFonts w:ascii="Times New Roman" w:hAnsi="Times New Roman"/>
          <w:color w:val="000000"/>
          <w:sz w:val="24"/>
          <w:szCs w:val="24"/>
          <w:lang w:val="fr-CH" w:eastAsia="en-GB"/>
        </w:rPr>
        <w:t>,</w:t>
      </w:r>
      <w:r w:rsidR="00A65D3D">
        <w:rPr>
          <w:rFonts w:ascii="Times New Roman" w:hAnsi="Times New Roman"/>
          <w:color w:val="000000"/>
          <w:sz w:val="24"/>
          <w:szCs w:val="24"/>
          <w:lang w:val="fr-CH" w:eastAsia="en-GB"/>
        </w:rPr>
        <w:t xml:space="preserve"> </w:t>
      </w:r>
      <w:r w:rsidRPr="007316E8">
        <w:rPr>
          <w:rFonts w:ascii="Times New Roman" w:hAnsi="Times New Roman"/>
          <w:color w:val="000000"/>
          <w:sz w:val="24"/>
          <w:szCs w:val="24"/>
          <w:lang w:val="fr-CH" w:eastAsia="en-GB"/>
        </w:rPr>
        <w:t xml:space="preserve">ainsi que le droit international coutumier. Ayant ratifié ces traités, le Mali est tenu non seulement de donner effet aux droits de l’homme et aux libertés fondamentales prévus par ces textes, y compris en période de conflit armé, mais aussi de prévenir et de réprimer les violations et abus de ces droits et de veiller à ce que les victimes </w:t>
      </w:r>
      <w:r>
        <w:rPr>
          <w:rFonts w:ascii="Times New Roman" w:hAnsi="Times New Roman"/>
          <w:color w:val="000000"/>
          <w:sz w:val="24"/>
          <w:szCs w:val="24"/>
          <w:lang w:val="fr-CH" w:eastAsia="en-GB"/>
        </w:rPr>
        <w:t xml:space="preserve">aient </w:t>
      </w:r>
      <w:r w:rsidRPr="007316E8">
        <w:rPr>
          <w:rFonts w:ascii="Times New Roman" w:hAnsi="Times New Roman"/>
          <w:color w:val="000000"/>
          <w:sz w:val="24"/>
          <w:szCs w:val="24"/>
          <w:lang w:val="fr-CH" w:eastAsia="en-GB"/>
        </w:rPr>
        <w:t>un recours effectif</w:t>
      </w:r>
      <w:r>
        <w:rPr>
          <w:rFonts w:ascii="Times New Roman" w:hAnsi="Times New Roman"/>
          <w:color w:val="000000"/>
          <w:sz w:val="24"/>
          <w:szCs w:val="24"/>
          <w:lang w:val="fr-CH" w:eastAsia="en-GB"/>
        </w:rPr>
        <w:t xml:space="preserve"> en cas de violation</w:t>
      </w:r>
      <w:r w:rsidRPr="007316E8">
        <w:rPr>
          <w:rFonts w:ascii="Times New Roman" w:hAnsi="Times New Roman"/>
          <w:color w:val="000000"/>
          <w:sz w:val="24"/>
          <w:szCs w:val="24"/>
          <w:lang w:val="fr-CH" w:eastAsia="en-GB"/>
        </w:rPr>
        <w:t>.</w:t>
      </w:r>
    </w:p>
    <w:p w:rsidR="006B3AD9" w:rsidRPr="007316E8" w:rsidRDefault="006B3AD9" w:rsidP="004E4A3A">
      <w:pPr>
        <w:tabs>
          <w:tab w:val="left" w:pos="567"/>
        </w:tabs>
        <w:autoSpaceDE w:val="0"/>
        <w:autoSpaceDN w:val="0"/>
        <w:adjustRightInd w:val="0"/>
        <w:spacing w:after="0"/>
        <w:jc w:val="both"/>
        <w:rPr>
          <w:rFonts w:ascii="Times New Roman" w:hAnsi="Times New Roman"/>
          <w:color w:val="000000"/>
          <w:sz w:val="24"/>
          <w:szCs w:val="24"/>
          <w:lang w:val="fr-CH" w:eastAsia="en-GB"/>
        </w:rPr>
      </w:pPr>
    </w:p>
    <w:p w:rsidR="006B3AD9" w:rsidRPr="007316E8" w:rsidRDefault="006B3AD9" w:rsidP="004E4A3A">
      <w:pPr>
        <w:tabs>
          <w:tab w:val="left" w:pos="567"/>
        </w:tabs>
        <w:autoSpaceDE w:val="0"/>
        <w:autoSpaceDN w:val="0"/>
        <w:adjustRightInd w:val="0"/>
        <w:spacing w:after="0"/>
        <w:jc w:val="both"/>
        <w:rPr>
          <w:rFonts w:ascii="Times New Roman" w:hAnsi="Times New Roman"/>
          <w:color w:val="000000"/>
          <w:sz w:val="24"/>
          <w:szCs w:val="24"/>
          <w:lang w:val="fr-CH" w:eastAsia="en-GB"/>
        </w:rPr>
      </w:pPr>
      <w:r w:rsidRPr="007316E8">
        <w:rPr>
          <w:rFonts w:ascii="Times New Roman" w:hAnsi="Times New Roman"/>
          <w:color w:val="000000"/>
          <w:sz w:val="24"/>
          <w:szCs w:val="24"/>
          <w:lang w:val="fr-CH" w:eastAsia="en-GB"/>
        </w:rPr>
        <w:t>15.</w:t>
      </w:r>
      <w:r w:rsidRPr="007316E8">
        <w:rPr>
          <w:rFonts w:ascii="Times New Roman" w:hAnsi="Times New Roman"/>
          <w:color w:val="000000"/>
          <w:sz w:val="24"/>
          <w:szCs w:val="24"/>
          <w:lang w:val="fr-CH" w:eastAsia="en-GB"/>
        </w:rPr>
        <w:tab/>
        <w:t xml:space="preserve">Par ailleurs,  la Constitution du Mali garantit le respect de ces droits. Plus précisément, le titre 1 est consacré aux droits de l’homme et protège des droits fondamentaux, </w:t>
      </w:r>
      <w:r>
        <w:rPr>
          <w:rFonts w:ascii="Times New Roman" w:hAnsi="Times New Roman"/>
          <w:color w:val="000000"/>
          <w:sz w:val="24"/>
          <w:szCs w:val="24"/>
          <w:lang w:val="fr-CH" w:eastAsia="en-GB"/>
        </w:rPr>
        <w:t xml:space="preserve">dont </w:t>
      </w:r>
      <w:r w:rsidRPr="007316E8">
        <w:rPr>
          <w:rFonts w:ascii="Times New Roman" w:hAnsi="Times New Roman"/>
          <w:color w:val="000000"/>
          <w:sz w:val="24"/>
          <w:szCs w:val="24"/>
          <w:lang w:val="fr-CH" w:eastAsia="en-GB"/>
        </w:rPr>
        <w:t>le droit à la vie, à la liberté, à la sécurité et à l’intégrité de la personne humaine, considéré</w:t>
      </w:r>
      <w:r w:rsidR="00D9535D">
        <w:rPr>
          <w:rFonts w:ascii="Times New Roman" w:hAnsi="Times New Roman"/>
          <w:color w:val="000000"/>
          <w:sz w:val="24"/>
          <w:szCs w:val="24"/>
          <w:lang w:val="fr-CH" w:eastAsia="en-GB"/>
        </w:rPr>
        <w:t>s</w:t>
      </w:r>
      <w:r w:rsidRPr="007316E8">
        <w:rPr>
          <w:rFonts w:ascii="Times New Roman" w:hAnsi="Times New Roman"/>
          <w:color w:val="000000"/>
          <w:sz w:val="24"/>
          <w:szCs w:val="24"/>
          <w:lang w:val="fr-CH" w:eastAsia="en-GB"/>
        </w:rPr>
        <w:t xml:space="preserve"> comme sacré</w:t>
      </w:r>
      <w:r w:rsidR="00D9535D">
        <w:rPr>
          <w:rFonts w:ascii="Times New Roman" w:hAnsi="Times New Roman"/>
          <w:color w:val="000000"/>
          <w:sz w:val="24"/>
          <w:szCs w:val="24"/>
          <w:lang w:val="fr-CH" w:eastAsia="en-GB"/>
        </w:rPr>
        <w:t>s</w:t>
      </w:r>
      <w:r w:rsidRPr="007316E8">
        <w:rPr>
          <w:rFonts w:ascii="Times New Roman" w:hAnsi="Times New Roman"/>
          <w:color w:val="000000"/>
          <w:sz w:val="24"/>
          <w:szCs w:val="24"/>
          <w:lang w:val="fr-CH" w:eastAsia="en-GB"/>
        </w:rPr>
        <w:t xml:space="preserve">. L’Article 3 de la Constitution dispose que « </w:t>
      </w:r>
      <w:r w:rsidRPr="007316E8">
        <w:rPr>
          <w:rFonts w:ascii="Times New Roman" w:hAnsi="Times New Roman"/>
          <w:i/>
          <w:iCs/>
          <w:color w:val="000000"/>
          <w:sz w:val="24"/>
          <w:szCs w:val="24"/>
          <w:lang w:val="fr-CH" w:eastAsia="en-GB"/>
        </w:rPr>
        <w:t>nul ne sera soumis à la torture, ni à des sévices ou traitements inhumains, cruels, dégradants ou humiliants. Tout individu, tout agent de l'Etat qui se rendrait coupable de tels actes, soit de sa propre initiative, soit sur instruction, sera puni conformément à la loi</w:t>
      </w:r>
      <w:r w:rsidRPr="007316E8">
        <w:rPr>
          <w:rFonts w:ascii="Times New Roman" w:hAnsi="Times New Roman"/>
          <w:color w:val="000000"/>
          <w:sz w:val="24"/>
          <w:szCs w:val="24"/>
          <w:lang w:val="fr-CH" w:eastAsia="en-GB"/>
        </w:rPr>
        <w:t xml:space="preserve">». </w:t>
      </w:r>
    </w:p>
    <w:p w:rsidR="006B3AD9" w:rsidRPr="007316E8" w:rsidRDefault="006B3AD9" w:rsidP="004E4A3A">
      <w:pPr>
        <w:tabs>
          <w:tab w:val="left" w:pos="567"/>
        </w:tabs>
        <w:autoSpaceDE w:val="0"/>
        <w:autoSpaceDN w:val="0"/>
        <w:adjustRightInd w:val="0"/>
        <w:spacing w:after="0"/>
        <w:jc w:val="both"/>
        <w:rPr>
          <w:rFonts w:ascii="Times New Roman" w:hAnsi="Times New Roman"/>
          <w:color w:val="000000"/>
          <w:sz w:val="24"/>
          <w:szCs w:val="24"/>
          <w:lang w:val="fr-CH" w:eastAsia="en-GB"/>
        </w:rPr>
      </w:pPr>
    </w:p>
    <w:p w:rsidR="006B3AD9" w:rsidRPr="007316E8" w:rsidRDefault="006B3AD9" w:rsidP="00D9535D">
      <w:pPr>
        <w:tabs>
          <w:tab w:val="left" w:pos="567"/>
        </w:tabs>
        <w:autoSpaceDE w:val="0"/>
        <w:autoSpaceDN w:val="0"/>
        <w:adjustRightInd w:val="0"/>
        <w:spacing w:after="0"/>
        <w:jc w:val="both"/>
        <w:rPr>
          <w:rFonts w:ascii="Times New Roman" w:hAnsi="Times New Roman"/>
          <w:color w:val="000000"/>
          <w:sz w:val="24"/>
          <w:szCs w:val="24"/>
          <w:lang w:val="fr-CH" w:eastAsia="en-GB"/>
        </w:rPr>
      </w:pPr>
      <w:r w:rsidRPr="007316E8">
        <w:rPr>
          <w:rFonts w:ascii="Times New Roman" w:hAnsi="Times New Roman"/>
          <w:color w:val="000000"/>
          <w:sz w:val="24"/>
          <w:szCs w:val="24"/>
          <w:lang w:val="fr-CH" w:eastAsia="en-GB"/>
        </w:rPr>
        <w:lastRenderedPageBreak/>
        <w:t>16.</w:t>
      </w:r>
      <w:r w:rsidRPr="007316E8">
        <w:rPr>
          <w:rFonts w:ascii="Times New Roman" w:hAnsi="Times New Roman"/>
          <w:color w:val="000000"/>
          <w:sz w:val="24"/>
          <w:szCs w:val="24"/>
          <w:lang w:val="fr-CH" w:eastAsia="en-GB"/>
        </w:rPr>
        <w:tab/>
        <w:t>Aux termes de ces articles de la Constitution, l’Etat malien à une obligation toute particulière vis-à-vis de ses forces de défense et de sécurité, qui consiste d’abord à les empêcher de porter atteinte aux droits des personnes sous sa juridiction</w:t>
      </w:r>
      <w:r>
        <w:rPr>
          <w:rFonts w:ascii="Times New Roman" w:hAnsi="Times New Roman"/>
          <w:color w:val="000000"/>
          <w:sz w:val="24"/>
          <w:szCs w:val="24"/>
          <w:lang w:val="fr-CH" w:eastAsia="en-GB"/>
        </w:rPr>
        <w:t>, notamment en prenant des mesures de prévention et de formation de ces forces, de même qu’en mettant en place un système disciplinaire effectif</w:t>
      </w:r>
      <w:r w:rsidRPr="007316E8">
        <w:rPr>
          <w:rFonts w:ascii="Times New Roman" w:hAnsi="Times New Roman"/>
          <w:color w:val="000000"/>
          <w:sz w:val="24"/>
          <w:szCs w:val="24"/>
          <w:lang w:val="fr-CH" w:eastAsia="en-GB"/>
        </w:rPr>
        <w:t xml:space="preserve">. </w:t>
      </w:r>
      <w:r>
        <w:rPr>
          <w:rFonts w:ascii="Times New Roman" w:hAnsi="Times New Roman"/>
          <w:color w:val="000000"/>
          <w:sz w:val="24"/>
          <w:szCs w:val="24"/>
          <w:lang w:val="fr-CH" w:eastAsia="en-GB"/>
        </w:rPr>
        <w:t>De plus</w:t>
      </w:r>
      <w:r w:rsidRPr="007316E8">
        <w:rPr>
          <w:rFonts w:ascii="Times New Roman" w:hAnsi="Times New Roman"/>
          <w:color w:val="000000"/>
          <w:sz w:val="24"/>
          <w:szCs w:val="24"/>
          <w:lang w:val="fr-CH" w:eastAsia="en-GB"/>
        </w:rPr>
        <w:t>, toute atteinte aux droits de l’homme et au droit international humanitaire commise</w:t>
      </w:r>
      <w:r w:rsidR="00E24A9A">
        <w:rPr>
          <w:rFonts w:ascii="Times New Roman" w:hAnsi="Times New Roman"/>
          <w:color w:val="000000"/>
          <w:sz w:val="24"/>
          <w:szCs w:val="24"/>
          <w:lang w:val="fr-CH" w:eastAsia="en-GB"/>
        </w:rPr>
        <w:t>s</w:t>
      </w:r>
      <w:r w:rsidRPr="007316E8">
        <w:rPr>
          <w:rFonts w:ascii="Times New Roman" w:hAnsi="Times New Roman"/>
          <w:color w:val="000000"/>
          <w:sz w:val="24"/>
          <w:szCs w:val="24"/>
          <w:lang w:val="fr-CH" w:eastAsia="en-GB"/>
        </w:rPr>
        <w:t xml:space="preserve"> par un membre des forces de défense et de sécurité du Mali, ou un élément appartenant aux groupes armés, doit nécessairement entraîner de la part de l’Etat malien une action</w:t>
      </w:r>
      <w:r>
        <w:rPr>
          <w:rFonts w:ascii="Times New Roman" w:hAnsi="Times New Roman"/>
          <w:color w:val="000000"/>
          <w:sz w:val="24"/>
          <w:szCs w:val="24"/>
          <w:lang w:val="fr-CH" w:eastAsia="en-GB"/>
        </w:rPr>
        <w:t xml:space="preserve"> d’enquête et de </w:t>
      </w:r>
      <w:r w:rsidRPr="007316E8">
        <w:rPr>
          <w:rFonts w:ascii="Times New Roman" w:hAnsi="Times New Roman"/>
          <w:color w:val="000000"/>
          <w:sz w:val="24"/>
          <w:szCs w:val="24"/>
          <w:lang w:val="fr-CH" w:eastAsia="en-GB"/>
        </w:rPr>
        <w:t>répressi</w:t>
      </w:r>
      <w:r>
        <w:rPr>
          <w:rFonts w:ascii="Times New Roman" w:hAnsi="Times New Roman"/>
          <w:color w:val="000000"/>
          <w:sz w:val="24"/>
          <w:szCs w:val="24"/>
          <w:lang w:val="fr-CH" w:eastAsia="en-GB"/>
        </w:rPr>
        <w:t>on</w:t>
      </w:r>
      <w:r w:rsidRPr="007316E8">
        <w:rPr>
          <w:rFonts w:ascii="Times New Roman" w:hAnsi="Times New Roman"/>
          <w:color w:val="000000"/>
          <w:sz w:val="24"/>
          <w:szCs w:val="24"/>
          <w:lang w:val="fr-CH" w:eastAsia="en-GB"/>
        </w:rPr>
        <w:t xml:space="preserve">, </w:t>
      </w:r>
      <w:r>
        <w:rPr>
          <w:rFonts w:ascii="Times New Roman" w:hAnsi="Times New Roman"/>
          <w:color w:val="000000"/>
          <w:sz w:val="24"/>
          <w:szCs w:val="24"/>
          <w:lang w:val="fr-CH" w:eastAsia="en-GB"/>
        </w:rPr>
        <w:t xml:space="preserve">notamment pénale, </w:t>
      </w:r>
      <w:r w:rsidRPr="007316E8">
        <w:rPr>
          <w:rFonts w:ascii="Times New Roman" w:hAnsi="Times New Roman"/>
          <w:color w:val="000000"/>
          <w:sz w:val="24"/>
          <w:szCs w:val="24"/>
          <w:lang w:val="fr-CH" w:eastAsia="en-GB"/>
        </w:rPr>
        <w:t xml:space="preserve">et </w:t>
      </w:r>
      <w:r w:rsidR="00CD13A9">
        <w:rPr>
          <w:rFonts w:ascii="Times New Roman" w:hAnsi="Times New Roman"/>
          <w:color w:val="000000"/>
          <w:sz w:val="24"/>
          <w:szCs w:val="24"/>
          <w:lang w:val="fr-CH" w:eastAsia="en-GB"/>
        </w:rPr>
        <w:t xml:space="preserve">ce, </w:t>
      </w:r>
      <w:r w:rsidRPr="007316E8">
        <w:rPr>
          <w:rFonts w:ascii="Times New Roman" w:hAnsi="Times New Roman"/>
          <w:color w:val="000000"/>
          <w:sz w:val="24"/>
          <w:szCs w:val="24"/>
          <w:lang w:val="fr-CH" w:eastAsia="en-GB"/>
        </w:rPr>
        <w:t>quel que soit l’auteur de cette violation.</w:t>
      </w:r>
      <w:r w:rsidR="00ED2FA3">
        <w:rPr>
          <w:rFonts w:ascii="Times New Roman" w:hAnsi="Times New Roman"/>
          <w:color w:val="000000"/>
          <w:sz w:val="24"/>
          <w:szCs w:val="24"/>
          <w:lang w:val="fr-CH" w:eastAsia="en-GB"/>
        </w:rPr>
        <w:t xml:space="preserve"> Ceci est conforme à l</w:t>
      </w:r>
      <w:r w:rsidR="00437F93">
        <w:rPr>
          <w:rFonts w:ascii="Times New Roman" w:hAnsi="Times New Roman"/>
          <w:color w:val="000000"/>
          <w:sz w:val="24"/>
          <w:szCs w:val="24"/>
          <w:lang w:val="fr-CH" w:eastAsia="en-GB"/>
        </w:rPr>
        <w:t>’obligation de l’Etat m</w:t>
      </w:r>
      <w:r w:rsidR="00ED2FA3">
        <w:rPr>
          <w:rFonts w:ascii="Times New Roman" w:hAnsi="Times New Roman"/>
          <w:color w:val="000000"/>
          <w:sz w:val="24"/>
          <w:szCs w:val="24"/>
          <w:lang w:val="fr-CH" w:eastAsia="en-GB"/>
        </w:rPr>
        <w:t>alien d’</w:t>
      </w:r>
      <w:r w:rsidR="00437F93">
        <w:rPr>
          <w:rFonts w:ascii="Times New Roman" w:hAnsi="Times New Roman"/>
          <w:color w:val="000000"/>
          <w:sz w:val="24"/>
          <w:szCs w:val="24"/>
          <w:lang w:val="fr-CH" w:eastAsia="en-GB"/>
        </w:rPr>
        <w:t>enquêter</w:t>
      </w:r>
      <w:r w:rsidR="00ED2FA3">
        <w:rPr>
          <w:rFonts w:ascii="Times New Roman" w:hAnsi="Times New Roman"/>
          <w:color w:val="000000"/>
          <w:sz w:val="24"/>
          <w:szCs w:val="24"/>
          <w:lang w:val="fr-CH" w:eastAsia="en-GB"/>
        </w:rPr>
        <w:t xml:space="preserve"> et de poursuivre les auteurs </w:t>
      </w:r>
      <w:r w:rsidR="00437F93">
        <w:rPr>
          <w:rFonts w:ascii="Times New Roman" w:hAnsi="Times New Roman"/>
          <w:color w:val="000000"/>
          <w:sz w:val="24"/>
          <w:szCs w:val="24"/>
          <w:lang w:val="fr-CH" w:eastAsia="en-GB"/>
        </w:rPr>
        <w:t>présumés</w:t>
      </w:r>
      <w:r w:rsidR="00ED2FA3">
        <w:rPr>
          <w:rFonts w:ascii="Times New Roman" w:hAnsi="Times New Roman"/>
          <w:color w:val="000000"/>
          <w:sz w:val="24"/>
          <w:szCs w:val="24"/>
          <w:lang w:val="fr-CH" w:eastAsia="en-GB"/>
        </w:rPr>
        <w:t xml:space="preserve"> des violations graves de</w:t>
      </w:r>
      <w:r w:rsidR="00E24A9A">
        <w:rPr>
          <w:rFonts w:ascii="Times New Roman" w:hAnsi="Times New Roman"/>
          <w:color w:val="000000"/>
          <w:sz w:val="24"/>
          <w:szCs w:val="24"/>
          <w:lang w:val="fr-CH" w:eastAsia="en-GB"/>
        </w:rPr>
        <w:t>s</w:t>
      </w:r>
      <w:r w:rsidR="00ED2FA3">
        <w:rPr>
          <w:rFonts w:ascii="Times New Roman" w:hAnsi="Times New Roman"/>
          <w:color w:val="000000"/>
          <w:sz w:val="24"/>
          <w:szCs w:val="24"/>
          <w:lang w:val="fr-CH" w:eastAsia="en-GB"/>
        </w:rPr>
        <w:t xml:space="preserve"> </w:t>
      </w:r>
      <w:r w:rsidR="00E36318">
        <w:rPr>
          <w:rFonts w:ascii="Times New Roman" w:hAnsi="Times New Roman"/>
          <w:color w:val="000000"/>
          <w:sz w:val="24"/>
          <w:szCs w:val="24"/>
          <w:lang w:val="fr-CH" w:eastAsia="en-GB"/>
        </w:rPr>
        <w:t>droit</w:t>
      </w:r>
      <w:r w:rsidR="00E24A9A">
        <w:rPr>
          <w:rFonts w:ascii="Times New Roman" w:hAnsi="Times New Roman"/>
          <w:color w:val="000000"/>
          <w:sz w:val="24"/>
          <w:szCs w:val="24"/>
          <w:lang w:val="fr-CH" w:eastAsia="en-GB"/>
        </w:rPr>
        <w:t>s</w:t>
      </w:r>
      <w:r w:rsidR="00E36318">
        <w:rPr>
          <w:rFonts w:ascii="Times New Roman" w:hAnsi="Times New Roman"/>
          <w:color w:val="000000"/>
          <w:sz w:val="24"/>
          <w:szCs w:val="24"/>
          <w:lang w:val="fr-CH" w:eastAsia="en-GB"/>
        </w:rPr>
        <w:t xml:space="preserve"> de l’homme et du droit international humanitaire</w:t>
      </w:r>
      <w:r w:rsidR="00437F93">
        <w:rPr>
          <w:rFonts w:ascii="Times New Roman" w:hAnsi="Times New Roman"/>
          <w:color w:val="000000"/>
          <w:sz w:val="24"/>
          <w:szCs w:val="24"/>
          <w:lang w:val="fr-CH" w:eastAsia="en-GB"/>
        </w:rPr>
        <w:t xml:space="preserve"> en conformité</w:t>
      </w:r>
      <w:r w:rsidR="00ED2FA3">
        <w:rPr>
          <w:rFonts w:ascii="Times New Roman" w:hAnsi="Times New Roman"/>
          <w:color w:val="000000"/>
          <w:sz w:val="24"/>
          <w:szCs w:val="24"/>
          <w:lang w:val="fr-CH" w:eastAsia="en-GB"/>
        </w:rPr>
        <w:t xml:space="preserve"> avec les standards internationaux </w:t>
      </w:r>
      <w:r w:rsidR="00E24A9A">
        <w:rPr>
          <w:rFonts w:ascii="Times New Roman" w:hAnsi="Times New Roman"/>
          <w:color w:val="000000"/>
          <w:sz w:val="24"/>
          <w:szCs w:val="24"/>
          <w:lang w:val="fr-CH" w:eastAsia="en-GB"/>
        </w:rPr>
        <w:t>applicables</w:t>
      </w:r>
      <w:r w:rsidR="00A65D3D">
        <w:rPr>
          <w:rFonts w:ascii="Times New Roman" w:hAnsi="Times New Roman"/>
          <w:color w:val="000000"/>
          <w:sz w:val="24"/>
          <w:szCs w:val="24"/>
          <w:lang w:val="fr-CH" w:eastAsia="en-GB"/>
        </w:rPr>
        <w:t xml:space="preserve"> au Mali</w:t>
      </w:r>
      <w:r w:rsidR="00ED2FA3">
        <w:rPr>
          <w:rFonts w:ascii="Times New Roman" w:hAnsi="Times New Roman"/>
          <w:color w:val="000000"/>
          <w:sz w:val="24"/>
          <w:szCs w:val="24"/>
          <w:lang w:val="fr-CH" w:eastAsia="en-GB"/>
        </w:rPr>
        <w:t>.</w:t>
      </w:r>
    </w:p>
    <w:p w:rsidR="00E24A9A" w:rsidRDefault="00E24A9A" w:rsidP="00D9535D">
      <w:pPr>
        <w:tabs>
          <w:tab w:val="left" w:pos="567"/>
        </w:tabs>
        <w:autoSpaceDE w:val="0"/>
        <w:autoSpaceDN w:val="0"/>
        <w:adjustRightInd w:val="0"/>
        <w:spacing w:after="0"/>
        <w:jc w:val="both"/>
        <w:rPr>
          <w:rFonts w:ascii="Times New Roman" w:hAnsi="Times New Roman"/>
          <w:color w:val="000000"/>
          <w:sz w:val="24"/>
          <w:szCs w:val="24"/>
          <w:lang w:val="fr-CH" w:eastAsia="en-GB"/>
        </w:rPr>
      </w:pPr>
    </w:p>
    <w:p w:rsidR="006B3AD9" w:rsidRPr="007316E8" w:rsidRDefault="006B3AD9" w:rsidP="00D9535D">
      <w:pPr>
        <w:tabs>
          <w:tab w:val="left" w:pos="567"/>
        </w:tabs>
        <w:autoSpaceDE w:val="0"/>
        <w:autoSpaceDN w:val="0"/>
        <w:adjustRightInd w:val="0"/>
        <w:spacing w:after="0"/>
        <w:jc w:val="both"/>
        <w:rPr>
          <w:rFonts w:ascii="Times New Roman" w:hAnsi="Times New Roman"/>
          <w:color w:val="000000"/>
          <w:sz w:val="24"/>
          <w:szCs w:val="24"/>
          <w:lang w:val="fr-CH" w:eastAsia="en-GB"/>
        </w:rPr>
      </w:pPr>
      <w:r w:rsidRPr="007316E8">
        <w:rPr>
          <w:rFonts w:ascii="Times New Roman" w:hAnsi="Times New Roman"/>
          <w:color w:val="000000"/>
          <w:sz w:val="24"/>
          <w:szCs w:val="24"/>
          <w:lang w:val="fr-CH" w:eastAsia="en-GB"/>
        </w:rPr>
        <w:t>17.</w:t>
      </w:r>
      <w:r w:rsidRPr="007316E8">
        <w:rPr>
          <w:rFonts w:ascii="Times New Roman" w:hAnsi="Times New Roman"/>
          <w:color w:val="000000"/>
          <w:sz w:val="24"/>
          <w:szCs w:val="24"/>
          <w:lang w:val="fr-CH" w:eastAsia="en-GB"/>
        </w:rPr>
        <w:tab/>
      </w:r>
      <w:r w:rsidR="001063F2">
        <w:rPr>
          <w:rFonts w:ascii="Times New Roman" w:hAnsi="Times New Roman"/>
          <w:color w:val="000000"/>
          <w:sz w:val="24"/>
          <w:szCs w:val="24"/>
          <w:lang w:val="fr-CH" w:eastAsia="en-GB"/>
        </w:rPr>
        <w:t xml:space="preserve"> </w:t>
      </w:r>
      <w:r w:rsidR="00CD13A9">
        <w:rPr>
          <w:rFonts w:ascii="Times New Roman" w:hAnsi="Times New Roman"/>
          <w:color w:val="000000"/>
          <w:sz w:val="24"/>
          <w:szCs w:val="24"/>
          <w:lang w:val="fr-CH" w:eastAsia="en-GB"/>
        </w:rPr>
        <w:t>La</w:t>
      </w:r>
      <w:r w:rsidR="00CD13A9" w:rsidRPr="007316E8">
        <w:rPr>
          <w:rFonts w:ascii="Times New Roman" w:hAnsi="Times New Roman"/>
          <w:color w:val="000000"/>
          <w:sz w:val="24"/>
          <w:szCs w:val="24"/>
          <w:lang w:val="fr-CH" w:eastAsia="en-GB"/>
        </w:rPr>
        <w:t xml:space="preserve"> </w:t>
      </w:r>
      <w:r w:rsidRPr="007316E8">
        <w:rPr>
          <w:rFonts w:ascii="Times New Roman" w:hAnsi="Times New Roman"/>
          <w:color w:val="000000"/>
          <w:sz w:val="24"/>
          <w:szCs w:val="24"/>
          <w:lang w:val="fr-CH" w:eastAsia="en-GB"/>
        </w:rPr>
        <w:t xml:space="preserve">volonté politique </w:t>
      </w:r>
      <w:r w:rsidR="00ED2FA3">
        <w:rPr>
          <w:rFonts w:ascii="Times New Roman" w:hAnsi="Times New Roman"/>
          <w:color w:val="000000"/>
          <w:sz w:val="24"/>
          <w:szCs w:val="24"/>
          <w:lang w:val="fr-CH" w:eastAsia="en-GB"/>
        </w:rPr>
        <w:t xml:space="preserve">de lutter contre l’impunité </w:t>
      </w:r>
      <w:r w:rsidRPr="007316E8">
        <w:rPr>
          <w:rFonts w:ascii="Times New Roman" w:hAnsi="Times New Roman"/>
          <w:color w:val="000000"/>
          <w:sz w:val="24"/>
          <w:szCs w:val="24"/>
          <w:lang w:val="fr-CH" w:eastAsia="en-GB"/>
        </w:rPr>
        <w:t>s’est notamment matérialisée à travers la lettre du Ministre de la justice</w:t>
      </w:r>
      <w:r w:rsidR="00473883">
        <w:rPr>
          <w:rFonts w:ascii="Times New Roman" w:hAnsi="Times New Roman"/>
          <w:color w:val="000000"/>
          <w:sz w:val="24"/>
          <w:szCs w:val="24"/>
          <w:lang w:val="fr-CH" w:eastAsia="en-GB"/>
        </w:rPr>
        <w:t xml:space="preserve"> et des droits de l’homme</w:t>
      </w:r>
      <w:r w:rsidRPr="007316E8">
        <w:rPr>
          <w:rFonts w:ascii="Times New Roman" w:hAnsi="Times New Roman"/>
          <w:color w:val="000000"/>
          <w:sz w:val="24"/>
          <w:szCs w:val="24"/>
          <w:lang w:val="fr-CH" w:eastAsia="en-GB"/>
        </w:rPr>
        <w:t xml:space="preserve"> du Mali, datée du 13 juillet 2012, déférant à la Cour pénale internationale (CPI) « </w:t>
      </w:r>
      <w:r w:rsidRPr="007316E8">
        <w:rPr>
          <w:rFonts w:ascii="Times New Roman" w:hAnsi="Times New Roman"/>
          <w:i/>
          <w:iCs/>
          <w:color w:val="000000"/>
          <w:sz w:val="24"/>
          <w:szCs w:val="24"/>
          <w:lang w:val="fr-CH" w:eastAsia="en-GB"/>
        </w:rPr>
        <w:t>les crimes les plus graves commis sur son territoire depuis le mois de janvier 2012 dans la mesure où les juridictions maliennes sont dans l'impossibilité de poursuivre ou de juger les auteurs</w:t>
      </w:r>
      <w:r w:rsidRPr="007316E8">
        <w:rPr>
          <w:rFonts w:ascii="Times New Roman" w:hAnsi="Times New Roman"/>
          <w:color w:val="000000"/>
          <w:sz w:val="24"/>
          <w:szCs w:val="24"/>
          <w:lang w:val="fr-CH" w:eastAsia="en-GB"/>
        </w:rPr>
        <w:t>».</w:t>
      </w:r>
    </w:p>
    <w:p w:rsidR="00CD13A9" w:rsidRDefault="00CD13A9" w:rsidP="00D9535D">
      <w:pPr>
        <w:tabs>
          <w:tab w:val="left" w:pos="567"/>
        </w:tabs>
        <w:autoSpaceDE w:val="0"/>
        <w:autoSpaceDN w:val="0"/>
        <w:adjustRightInd w:val="0"/>
        <w:spacing w:after="0"/>
        <w:jc w:val="both"/>
        <w:rPr>
          <w:rFonts w:ascii="Times New Roman" w:hAnsi="Times New Roman"/>
          <w:color w:val="000000"/>
          <w:sz w:val="24"/>
          <w:szCs w:val="24"/>
          <w:lang w:val="fr-CH" w:eastAsia="en-GB"/>
        </w:rPr>
      </w:pPr>
    </w:p>
    <w:p w:rsidR="006B3AD9" w:rsidRDefault="006B3AD9" w:rsidP="00D9535D">
      <w:pPr>
        <w:tabs>
          <w:tab w:val="left" w:pos="567"/>
        </w:tabs>
        <w:autoSpaceDE w:val="0"/>
        <w:autoSpaceDN w:val="0"/>
        <w:adjustRightInd w:val="0"/>
        <w:spacing w:after="0"/>
        <w:jc w:val="both"/>
        <w:rPr>
          <w:rFonts w:ascii="Times New Roman" w:hAnsi="Times New Roman"/>
          <w:color w:val="000000"/>
          <w:sz w:val="24"/>
          <w:szCs w:val="24"/>
          <w:lang w:val="fr-CH" w:eastAsia="en-GB"/>
        </w:rPr>
      </w:pPr>
      <w:r w:rsidRPr="007316E8">
        <w:rPr>
          <w:rFonts w:ascii="Times New Roman" w:hAnsi="Times New Roman"/>
          <w:color w:val="000000"/>
          <w:sz w:val="24"/>
          <w:szCs w:val="24"/>
          <w:lang w:val="fr-CH" w:eastAsia="en-GB"/>
        </w:rPr>
        <w:t>18.</w:t>
      </w:r>
      <w:r w:rsidRPr="007316E8">
        <w:rPr>
          <w:rFonts w:ascii="Times New Roman" w:hAnsi="Times New Roman"/>
          <w:color w:val="000000"/>
          <w:sz w:val="24"/>
          <w:szCs w:val="24"/>
          <w:lang w:val="fr-CH" w:eastAsia="en-GB"/>
        </w:rPr>
        <w:tab/>
        <w:t xml:space="preserve"> Les autorités maliennes se sont référées aux buts et principes consacrés par la Charte des Nations </w:t>
      </w:r>
      <w:r w:rsidR="00473883">
        <w:rPr>
          <w:rFonts w:ascii="Times New Roman" w:hAnsi="Times New Roman"/>
          <w:color w:val="000000"/>
          <w:sz w:val="24"/>
          <w:szCs w:val="24"/>
          <w:lang w:val="fr-CH" w:eastAsia="en-GB"/>
        </w:rPr>
        <w:t>U</w:t>
      </w:r>
      <w:r w:rsidRPr="007316E8">
        <w:rPr>
          <w:rFonts w:ascii="Times New Roman" w:hAnsi="Times New Roman"/>
          <w:color w:val="000000"/>
          <w:sz w:val="24"/>
          <w:szCs w:val="24"/>
          <w:lang w:val="fr-CH" w:eastAsia="en-GB"/>
        </w:rPr>
        <w:t xml:space="preserve">nies, </w:t>
      </w:r>
      <w:r w:rsidR="00CD13A9">
        <w:rPr>
          <w:rFonts w:ascii="Times New Roman" w:hAnsi="Times New Roman"/>
          <w:color w:val="000000"/>
          <w:sz w:val="24"/>
          <w:szCs w:val="24"/>
          <w:lang w:val="fr-CH" w:eastAsia="en-GB"/>
        </w:rPr>
        <w:t xml:space="preserve">à </w:t>
      </w:r>
      <w:r w:rsidRPr="007316E8">
        <w:rPr>
          <w:rFonts w:ascii="Times New Roman" w:hAnsi="Times New Roman"/>
          <w:color w:val="000000"/>
          <w:sz w:val="24"/>
          <w:szCs w:val="24"/>
          <w:lang w:val="fr-CH" w:eastAsia="en-GB"/>
        </w:rPr>
        <w:t xml:space="preserve">l’Acte constitutif de l’Union </w:t>
      </w:r>
      <w:r w:rsidR="000A0B91">
        <w:rPr>
          <w:rFonts w:ascii="Times New Roman" w:hAnsi="Times New Roman"/>
          <w:color w:val="000000"/>
          <w:sz w:val="24"/>
          <w:szCs w:val="24"/>
          <w:lang w:val="fr-CH" w:eastAsia="en-GB"/>
        </w:rPr>
        <w:t>A</w:t>
      </w:r>
      <w:r w:rsidRPr="007316E8">
        <w:rPr>
          <w:rFonts w:ascii="Times New Roman" w:hAnsi="Times New Roman"/>
          <w:color w:val="000000"/>
          <w:sz w:val="24"/>
          <w:szCs w:val="24"/>
          <w:lang w:val="fr-CH" w:eastAsia="en-GB"/>
        </w:rPr>
        <w:t xml:space="preserve">fricaine, et </w:t>
      </w:r>
      <w:r w:rsidR="00CD13A9">
        <w:rPr>
          <w:rFonts w:ascii="Times New Roman" w:hAnsi="Times New Roman"/>
          <w:color w:val="000000"/>
          <w:sz w:val="24"/>
          <w:szCs w:val="24"/>
          <w:lang w:val="fr-CH" w:eastAsia="en-GB"/>
        </w:rPr>
        <w:t>au</w:t>
      </w:r>
      <w:r w:rsidR="00CD13A9" w:rsidRPr="007316E8">
        <w:rPr>
          <w:rFonts w:ascii="Times New Roman" w:hAnsi="Times New Roman"/>
          <w:color w:val="000000"/>
          <w:sz w:val="24"/>
          <w:szCs w:val="24"/>
          <w:lang w:val="fr-CH" w:eastAsia="en-GB"/>
        </w:rPr>
        <w:t xml:space="preserve"> </w:t>
      </w:r>
      <w:r w:rsidRPr="007316E8">
        <w:rPr>
          <w:rFonts w:ascii="Times New Roman" w:hAnsi="Times New Roman"/>
          <w:color w:val="000000"/>
          <w:sz w:val="24"/>
          <w:szCs w:val="24"/>
          <w:lang w:val="fr-CH" w:eastAsia="en-GB"/>
        </w:rPr>
        <w:t xml:space="preserve">Traité révisé de la CEDEAO, pour signer l’Accord </w:t>
      </w:r>
      <w:r w:rsidR="000A0B91">
        <w:rPr>
          <w:rFonts w:ascii="Times New Roman" w:hAnsi="Times New Roman"/>
          <w:color w:val="000000"/>
          <w:sz w:val="24"/>
          <w:szCs w:val="24"/>
          <w:lang w:val="fr-CH" w:eastAsia="en-GB"/>
        </w:rPr>
        <w:t xml:space="preserve">préliminaire </w:t>
      </w:r>
      <w:r w:rsidRPr="007316E8">
        <w:rPr>
          <w:rFonts w:ascii="Times New Roman" w:hAnsi="Times New Roman"/>
          <w:color w:val="000000"/>
          <w:sz w:val="24"/>
          <w:szCs w:val="24"/>
          <w:lang w:val="fr-CH" w:eastAsia="en-GB"/>
        </w:rPr>
        <w:t xml:space="preserve">de </w:t>
      </w:r>
      <w:r w:rsidRPr="007316E8">
        <w:rPr>
          <w:rFonts w:ascii="Times New Roman" w:hAnsi="Times New Roman"/>
          <w:color w:val="000000"/>
          <w:sz w:val="24"/>
          <w:szCs w:val="24"/>
          <w:lang w:val="fr-CH" w:eastAsia="en-GB"/>
        </w:rPr>
        <w:lastRenderedPageBreak/>
        <w:t xml:space="preserve">Ouagadougou. L’article 18 de cet accord préconise notamment la mise en place d’une Commission d’enquête internationale sur les crimes de guerre, les crimes contre l'humanité, les crimes de génocide, les crimes de violence sexuelle, le trafic de drogue et les autres violations graves du droit international des droits de l'homme et du droit international humanitaire commis sur tout le territoire du Mali depuis le début de la crise en 2012. </w:t>
      </w:r>
      <w:r w:rsidR="000A3AF4">
        <w:rPr>
          <w:rFonts w:ascii="Times New Roman" w:hAnsi="Times New Roman"/>
          <w:color w:val="000000"/>
          <w:sz w:val="24"/>
          <w:szCs w:val="24"/>
          <w:lang w:val="fr-CH" w:eastAsia="en-GB"/>
        </w:rPr>
        <w:t xml:space="preserve">La saisine de la CPI </w:t>
      </w:r>
      <w:r w:rsidR="000A3AF4" w:rsidRPr="000A3AF4">
        <w:rPr>
          <w:rFonts w:ascii="Times New Roman" w:hAnsi="Times New Roman"/>
          <w:color w:val="000000"/>
          <w:sz w:val="24"/>
          <w:szCs w:val="24"/>
          <w:lang w:val="fr-CH" w:eastAsia="fr-FR"/>
        </w:rPr>
        <w:t xml:space="preserve">et la mise en </w:t>
      </w:r>
      <w:r w:rsidR="006948B4" w:rsidRPr="000A3AF4">
        <w:rPr>
          <w:rFonts w:ascii="Times New Roman" w:hAnsi="Times New Roman"/>
          <w:color w:val="000000"/>
          <w:sz w:val="24"/>
          <w:szCs w:val="24"/>
          <w:lang w:val="fr-CH" w:eastAsia="fr-FR"/>
        </w:rPr>
        <w:t>œuvre</w:t>
      </w:r>
      <w:r w:rsidR="000A3AF4" w:rsidRPr="000A3AF4">
        <w:rPr>
          <w:rFonts w:ascii="Times New Roman" w:hAnsi="Times New Roman"/>
          <w:color w:val="000000"/>
          <w:sz w:val="24"/>
          <w:szCs w:val="24"/>
          <w:lang w:val="fr-CH" w:eastAsia="fr-FR"/>
        </w:rPr>
        <w:t xml:space="preserve"> de </w:t>
      </w:r>
      <w:r w:rsidRPr="007316E8">
        <w:rPr>
          <w:rFonts w:ascii="Times New Roman" w:hAnsi="Times New Roman"/>
          <w:color w:val="000000"/>
          <w:sz w:val="24"/>
          <w:szCs w:val="24"/>
          <w:lang w:val="fr-CH" w:eastAsia="en-GB"/>
        </w:rPr>
        <w:t>l’</w:t>
      </w:r>
      <w:r w:rsidR="000A0B91">
        <w:rPr>
          <w:rFonts w:ascii="Times New Roman" w:hAnsi="Times New Roman"/>
          <w:color w:val="000000"/>
          <w:sz w:val="24"/>
          <w:szCs w:val="24"/>
          <w:lang w:val="fr-CH" w:eastAsia="en-GB"/>
        </w:rPr>
        <w:t>A</w:t>
      </w:r>
      <w:r w:rsidRPr="007316E8">
        <w:rPr>
          <w:rFonts w:ascii="Times New Roman" w:hAnsi="Times New Roman"/>
          <w:color w:val="000000"/>
          <w:sz w:val="24"/>
          <w:szCs w:val="24"/>
          <w:lang w:val="fr-CH" w:eastAsia="en-GB"/>
        </w:rPr>
        <w:t>ccord</w:t>
      </w:r>
      <w:r w:rsidR="000A0B91">
        <w:rPr>
          <w:rFonts w:ascii="Times New Roman" w:hAnsi="Times New Roman"/>
          <w:color w:val="000000"/>
          <w:sz w:val="24"/>
          <w:szCs w:val="24"/>
          <w:lang w:val="fr-CH" w:eastAsia="en-GB"/>
        </w:rPr>
        <w:t xml:space="preserve"> préliminaire</w:t>
      </w:r>
      <w:r w:rsidRPr="007316E8">
        <w:rPr>
          <w:rFonts w:ascii="Times New Roman" w:hAnsi="Times New Roman"/>
          <w:color w:val="000000"/>
          <w:sz w:val="24"/>
          <w:szCs w:val="24"/>
          <w:lang w:val="fr-CH" w:eastAsia="en-GB"/>
        </w:rPr>
        <w:t xml:space="preserve"> de Ouagadougou n’enlève en rien l’obligation de l’Etat malien de </w:t>
      </w:r>
      <w:r w:rsidR="00A65D3D">
        <w:rPr>
          <w:rFonts w:ascii="Times New Roman" w:hAnsi="Times New Roman"/>
          <w:color w:val="000000"/>
          <w:sz w:val="24"/>
          <w:szCs w:val="24"/>
          <w:lang w:val="fr-CH" w:eastAsia="en-GB"/>
        </w:rPr>
        <w:t xml:space="preserve">respecter et promouvoir les droits de l’homme et en particulier de </w:t>
      </w:r>
      <w:r w:rsidRPr="007316E8">
        <w:rPr>
          <w:rFonts w:ascii="Times New Roman" w:hAnsi="Times New Roman"/>
          <w:color w:val="000000"/>
          <w:sz w:val="24"/>
          <w:szCs w:val="24"/>
          <w:lang w:val="fr-CH" w:eastAsia="en-GB"/>
        </w:rPr>
        <w:t>conduire de façon prompt</w:t>
      </w:r>
      <w:r w:rsidR="00C9567A">
        <w:rPr>
          <w:rFonts w:ascii="Times New Roman" w:hAnsi="Times New Roman"/>
          <w:color w:val="000000"/>
          <w:sz w:val="24"/>
          <w:szCs w:val="24"/>
          <w:lang w:val="fr-CH" w:eastAsia="en-GB"/>
        </w:rPr>
        <w:t>e</w:t>
      </w:r>
      <w:r w:rsidRPr="007316E8">
        <w:rPr>
          <w:rFonts w:ascii="Times New Roman" w:hAnsi="Times New Roman"/>
          <w:color w:val="000000"/>
          <w:sz w:val="24"/>
          <w:szCs w:val="24"/>
          <w:lang w:val="fr-CH" w:eastAsia="en-GB"/>
        </w:rPr>
        <w:t>, impartiale et crédible des enquêtes sur les violations et abus du droit international des droits de l’homme et du droit international humanitaire.</w:t>
      </w:r>
    </w:p>
    <w:p w:rsidR="00E24A9A" w:rsidRPr="007316E8" w:rsidRDefault="00E24A9A" w:rsidP="00D9535D">
      <w:pPr>
        <w:tabs>
          <w:tab w:val="left" w:pos="567"/>
        </w:tabs>
        <w:autoSpaceDE w:val="0"/>
        <w:autoSpaceDN w:val="0"/>
        <w:adjustRightInd w:val="0"/>
        <w:spacing w:after="0"/>
        <w:jc w:val="both"/>
        <w:rPr>
          <w:rFonts w:ascii="Times New Roman" w:hAnsi="Times New Roman"/>
          <w:color w:val="000000"/>
          <w:sz w:val="24"/>
          <w:szCs w:val="24"/>
          <w:lang w:val="fr-CH" w:eastAsia="en-GB"/>
        </w:rPr>
      </w:pPr>
    </w:p>
    <w:p w:rsidR="00896376" w:rsidRPr="007668DF" w:rsidRDefault="001B1E3C" w:rsidP="003B152B">
      <w:pPr>
        <w:pStyle w:val="Title"/>
        <w:rPr>
          <w:rFonts w:eastAsia="Malgun Gothic"/>
        </w:rPr>
      </w:pPr>
      <w:bookmarkStart w:id="6" w:name="_Toc401931486"/>
      <w:r w:rsidRPr="007668DF">
        <w:rPr>
          <w:rFonts w:eastAsia="Malgun Gothic"/>
        </w:rPr>
        <w:t>Contexte politique et sécuritaire</w:t>
      </w:r>
      <w:bookmarkEnd w:id="6"/>
    </w:p>
    <w:p w:rsidR="00E92E15" w:rsidRPr="007668DF" w:rsidRDefault="0086130D" w:rsidP="006C2FA0">
      <w:pPr>
        <w:tabs>
          <w:tab w:val="left" w:pos="567"/>
          <w:tab w:val="left" w:pos="851"/>
          <w:tab w:val="left" w:pos="1134"/>
        </w:tabs>
        <w:spacing w:after="0"/>
        <w:jc w:val="both"/>
        <w:rPr>
          <w:rFonts w:ascii="Times New Roman" w:eastAsia="Malgun Gothic" w:hAnsi="Times New Roman"/>
          <w:sz w:val="24"/>
          <w:szCs w:val="24"/>
        </w:rPr>
      </w:pPr>
      <w:r>
        <w:rPr>
          <w:rFonts w:ascii="Times New Roman" w:hAnsi="Times New Roman"/>
          <w:sz w:val="24"/>
          <w:szCs w:val="24"/>
        </w:rPr>
        <w:t>19</w:t>
      </w:r>
      <w:r w:rsidR="00BE2EDA" w:rsidRPr="007668DF">
        <w:rPr>
          <w:rFonts w:ascii="Times New Roman" w:hAnsi="Times New Roman"/>
          <w:sz w:val="24"/>
          <w:szCs w:val="24"/>
        </w:rPr>
        <w:t>.</w:t>
      </w:r>
      <w:r w:rsidR="00BE2EDA" w:rsidRPr="007668DF">
        <w:rPr>
          <w:rFonts w:ascii="Times New Roman" w:hAnsi="Times New Roman"/>
          <w:sz w:val="24"/>
          <w:szCs w:val="24"/>
        </w:rPr>
        <w:tab/>
      </w:r>
      <w:r w:rsidR="00827B14" w:rsidRPr="007668DF">
        <w:rPr>
          <w:rFonts w:ascii="Times New Roman" w:hAnsi="Times New Roman"/>
          <w:sz w:val="24"/>
          <w:szCs w:val="24"/>
        </w:rPr>
        <w:t xml:space="preserve"> La</w:t>
      </w:r>
      <w:r w:rsidR="007C2242" w:rsidRPr="007668DF">
        <w:rPr>
          <w:rFonts w:ascii="Times New Roman" w:hAnsi="Times New Roman"/>
          <w:sz w:val="24"/>
          <w:szCs w:val="24"/>
        </w:rPr>
        <w:t xml:space="preserve"> période concernée par le présent rapport </w:t>
      </w:r>
      <w:r w:rsidR="00827B14" w:rsidRPr="007668DF">
        <w:rPr>
          <w:rFonts w:ascii="Times New Roman" w:hAnsi="Times New Roman"/>
          <w:sz w:val="24"/>
          <w:szCs w:val="24"/>
        </w:rPr>
        <w:t xml:space="preserve">peut être divisée en deux phases distinctes </w:t>
      </w:r>
      <w:r w:rsidR="00710672" w:rsidRPr="007668DF">
        <w:rPr>
          <w:rFonts w:ascii="Times New Roman" w:hAnsi="Times New Roman"/>
          <w:sz w:val="24"/>
          <w:szCs w:val="24"/>
        </w:rPr>
        <w:t xml:space="preserve">quant au </w:t>
      </w:r>
      <w:r w:rsidR="00827B14" w:rsidRPr="007668DF">
        <w:rPr>
          <w:rFonts w:ascii="Times New Roman" w:hAnsi="Times New Roman"/>
          <w:sz w:val="24"/>
          <w:szCs w:val="24"/>
        </w:rPr>
        <w:t>contexte sécuritaire et politique du pays</w:t>
      </w:r>
      <w:r w:rsidR="00B25AEF" w:rsidRPr="007668DF">
        <w:rPr>
          <w:rFonts w:ascii="Times New Roman" w:hAnsi="Times New Roman"/>
          <w:sz w:val="24"/>
          <w:szCs w:val="24"/>
        </w:rPr>
        <w:t> :</w:t>
      </w:r>
      <w:r w:rsidR="00827B14" w:rsidRPr="007668DF">
        <w:rPr>
          <w:rFonts w:ascii="Times New Roman" w:hAnsi="Times New Roman"/>
          <w:sz w:val="24"/>
          <w:szCs w:val="24"/>
        </w:rPr>
        <w:t xml:space="preserve"> </w:t>
      </w:r>
      <w:r w:rsidR="00F225C3" w:rsidRPr="007668DF">
        <w:rPr>
          <w:rFonts w:ascii="Times New Roman" w:hAnsi="Times New Roman"/>
          <w:sz w:val="24"/>
          <w:szCs w:val="24"/>
        </w:rPr>
        <w:t xml:space="preserve">celle </w:t>
      </w:r>
      <w:r w:rsidR="00890A9D" w:rsidRPr="007668DF">
        <w:rPr>
          <w:rFonts w:ascii="Times New Roman" w:hAnsi="Times New Roman"/>
          <w:sz w:val="24"/>
          <w:szCs w:val="24"/>
        </w:rPr>
        <w:t>précéd</w:t>
      </w:r>
      <w:r w:rsidR="00F74CC7" w:rsidRPr="007668DF">
        <w:rPr>
          <w:rFonts w:ascii="Times New Roman" w:hAnsi="Times New Roman"/>
          <w:sz w:val="24"/>
          <w:szCs w:val="24"/>
        </w:rPr>
        <w:t>a</w:t>
      </w:r>
      <w:r w:rsidR="00890A9D" w:rsidRPr="007668DF">
        <w:rPr>
          <w:rFonts w:ascii="Times New Roman" w:hAnsi="Times New Roman"/>
          <w:sz w:val="24"/>
          <w:szCs w:val="24"/>
        </w:rPr>
        <w:t xml:space="preserve">nt </w:t>
      </w:r>
      <w:r w:rsidR="00F225C3" w:rsidRPr="007668DF">
        <w:rPr>
          <w:rFonts w:ascii="Times New Roman" w:hAnsi="Times New Roman"/>
          <w:sz w:val="24"/>
          <w:szCs w:val="24"/>
        </w:rPr>
        <w:t xml:space="preserve">le </w:t>
      </w:r>
      <w:r w:rsidR="00827B14" w:rsidRPr="007668DF">
        <w:rPr>
          <w:rFonts w:ascii="Times New Roman" w:hAnsi="Times New Roman"/>
          <w:sz w:val="24"/>
          <w:szCs w:val="24"/>
        </w:rPr>
        <w:t>17 mai</w:t>
      </w:r>
      <w:r w:rsidR="007C2242" w:rsidRPr="007668DF">
        <w:rPr>
          <w:rFonts w:ascii="Times New Roman" w:hAnsi="Times New Roman"/>
          <w:sz w:val="24"/>
          <w:szCs w:val="24"/>
        </w:rPr>
        <w:t xml:space="preserve"> </w:t>
      </w:r>
      <w:r w:rsidR="00F225C3" w:rsidRPr="007668DF">
        <w:rPr>
          <w:rFonts w:ascii="Times New Roman" w:hAnsi="Times New Roman"/>
          <w:sz w:val="24"/>
          <w:szCs w:val="24"/>
        </w:rPr>
        <w:t>2014</w:t>
      </w:r>
      <w:r w:rsidR="00710672" w:rsidRPr="007668DF">
        <w:rPr>
          <w:rFonts w:ascii="Times New Roman" w:hAnsi="Times New Roman"/>
          <w:sz w:val="24"/>
          <w:szCs w:val="24"/>
        </w:rPr>
        <w:t>,</w:t>
      </w:r>
      <w:r w:rsidR="007C2242" w:rsidRPr="007668DF">
        <w:rPr>
          <w:rFonts w:ascii="Times New Roman" w:hAnsi="Times New Roman"/>
          <w:sz w:val="24"/>
          <w:szCs w:val="24"/>
        </w:rPr>
        <w:t xml:space="preserve"> marqué</w:t>
      </w:r>
      <w:r w:rsidR="00C8071E" w:rsidRPr="007668DF">
        <w:rPr>
          <w:rFonts w:ascii="Times New Roman" w:hAnsi="Times New Roman"/>
          <w:sz w:val="24"/>
          <w:szCs w:val="24"/>
        </w:rPr>
        <w:t>e</w:t>
      </w:r>
      <w:r w:rsidR="007C2242" w:rsidRPr="007668DF">
        <w:rPr>
          <w:rFonts w:ascii="Times New Roman" w:hAnsi="Times New Roman"/>
          <w:sz w:val="24"/>
          <w:szCs w:val="24"/>
        </w:rPr>
        <w:t xml:space="preserve"> par un retour </w:t>
      </w:r>
      <w:r w:rsidR="007C2242" w:rsidRPr="007668DF">
        <w:rPr>
          <w:rFonts w:ascii="Times New Roman" w:hAnsi="Times New Roman"/>
          <w:color w:val="000000"/>
          <w:sz w:val="24"/>
          <w:szCs w:val="24"/>
        </w:rPr>
        <w:t>progressif</w:t>
      </w:r>
      <w:r w:rsidR="007C2242" w:rsidRPr="007668DF">
        <w:rPr>
          <w:rFonts w:ascii="Times New Roman" w:hAnsi="Times New Roman"/>
          <w:sz w:val="24"/>
          <w:szCs w:val="24"/>
        </w:rPr>
        <w:t xml:space="preserve"> à l’ordre constitutionnel à travers le rétablissement des </w:t>
      </w:r>
      <w:r w:rsidR="00B9494F" w:rsidRPr="007668DF">
        <w:rPr>
          <w:rFonts w:ascii="Times New Roman" w:hAnsi="Times New Roman"/>
          <w:sz w:val="24"/>
          <w:szCs w:val="24"/>
        </w:rPr>
        <w:t>i</w:t>
      </w:r>
      <w:r w:rsidR="007C2242" w:rsidRPr="007668DF">
        <w:rPr>
          <w:rFonts w:ascii="Times New Roman" w:hAnsi="Times New Roman"/>
          <w:sz w:val="24"/>
          <w:szCs w:val="24"/>
        </w:rPr>
        <w:t>nstitutions de l’Etat</w:t>
      </w:r>
      <w:r w:rsidR="00827B14" w:rsidRPr="007668DF">
        <w:rPr>
          <w:rFonts w:ascii="Times New Roman" w:hAnsi="Times New Roman"/>
          <w:sz w:val="24"/>
          <w:szCs w:val="24"/>
        </w:rPr>
        <w:t xml:space="preserve"> découlant des</w:t>
      </w:r>
      <w:r w:rsidR="00E81CFC" w:rsidRPr="007668DF">
        <w:rPr>
          <w:rFonts w:ascii="Times New Roman" w:eastAsia="Malgun Gothic" w:hAnsi="Times New Roman"/>
          <w:sz w:val="24"/>
          <w:szCs w:val="24"/>
        </w:rPr>
        <w:t xml:space="preserve"> élections présidentielles organisées en juillet 2013</w:t>
      </w:r>
      <w:r w:rsidR="00710672" w:rsidRPr="007668DF">
        <w:rPr>
          <w:rFonts w:ascii="Times New Roman" w:eastAsia="Malgun Gothic" w:hAnsi="Times New Roman"/>
          <w:sz w:val="24"/>
          <w:szCs w:val="24"/>
        </w:rPr>
        <w:t>,</w:t>
      </w:r>
      <w:r w:rsidR="00E81CFC" w:rsidRPr="007668DF">
        <w:rPr>
          <w:rFonts w:ascii="Times New Roman" w:eastAsia="Malgun Gothic" w:hAnsi="Times New Roman"/>
          <w:sz w:val="24"/>
          <w:szCs w:val="24"/>
        </w:rPr>
        <w:t xml:space="preserve"> suite </w:t>
      </w:r>
      <w:r w:rsidR="00710672" w:rsidRPr="007668DF">
        <w:rPr>
          <w:rFonts w:ascii="Times New Roman" w:eastAsia="Malgun Gothic" w:hAnsi="Times New Roman"/>
          <w:sz w:val="24"/>
          <w:szCs w:val="24"/>
        </w:rPr>
        <w:t>à</w:t>
      </w:r>
      <w:r w:rsidR="00463557" w:rsidRPr="007668DF">
        <w:rPr>
          <w:rFonts w:ascii="Times New Roman" w:eastAsia="Malgun Gothic" w:hAnsi="Times New Roman"/>
          <w:sz w:val="24"/>
          <w:szCs w:val="24"/>
        </w:rPr>
        <w:t xml:space="preserve"> l’</w:t>
      </w:r>
      <w:r w:rsidR="00E81CFC" w:rsidRPr="007668DF">
        <w:rPr>
          <w:rFonts w:ascii="Times New Roman" w:eastAsia="Malgun Gothic" w:hAnsi="Times New Roman"/>
          <w:sz w:val="24"/>
          <w:szCs w:val="24"/>
        </w:rPr>
        <w:t xml:space="preserve">Accord </w:t>
      </w:r>
      <w:r w:rsidR="00B9494F" w:rsidRPr="007668DF">
        <w:rPr>
          <w:rFonts w:ascii="Times New Roman" w:eastAsia="Malgun Gothic" w:hAnsi="Times New Roman"/>
          <w:sz w:val="24"/>
          <w:szCs w:val="24"/>
        </w:rPr>
        <w:t xml:space="preserve">préliminaire </w:t>
      </w:r>
      <w:r w:rsidR="00E81CFC" w:rsidRPr="007668DF">
        <w:rPr>
          <w:rFonts w:ascii="Times New Roman" w:eastAsia="Malgun Gothic" w:hAnsi="Times New Roman"/>
          <w:sz w:val="24"/>
          <w:szCs w:val="24"/>
        </w:rPr>
        <w:t>de Ouagadougou</w:t>
      </w:r>
      <w:r w:rsidR="00710672" w:rsidRPr="007668DF">
        <w:rPr>
          <w:rFonts w:ascii="Times New Roman" w:eastAsia="Malgun Gothic" w:hAnsi="Times New Roman"/>
          <w:sz w:val="24"/>
          <w:szCs w:val="24"/>
        </w:rPr>
        <w:t> ;</w:t>
      </w:r>
      <w:r w:rsidR="00E81CFC" w:rsidRPr="007668DF">
        <w:rPr>
          <w:rFonts w:ascii="Times New Roman" w:eastAsia="Malgun Gothic" w:hAnsi="Times New Roman"/>
          <w:sz w:val="24"/>
          <w:szCs w:val="24"/>
        </w:rPr>
        <w:t xml:space="preserve"> </w:t>
      </w:r>
      <w:r w:rsidR="00B25AEF" w:rsidRPr="007668DF">
        <w:rPr>
          <w:rFonts w:ascii="Times New Roman" w:eastAsia="Malgun Gothic" w:hAnsi="Times New Roman"/>
          <w:sz w:val="24"/>
          <w:szCs w:val="24"/>
        </w:rPr>
        <w:t>et</w:t>
      </w:r>
      <w:r w:rsidR="00827B14" w:rsidRPr="007668DF">
        <w:rPr>
          <w:rFonts w:ascii="Times New Roman" w:eastAsia="Malgun Gothic" w:hAnsi="Times New Roman"/>
          <w:sz w:val="24"/>
          <w:szCs w:val="24"/>
        </w:rPr>
        <w:t xml:space="preserve"> </w:t>
      </w:r>
      <w:r w:rsidR="00F225C3" w:rsidRPr="007668DF">
        <w:rPr>
          <w:rFonts w:ascii="Times New Roman" w:eastAsia="Malgun Gothic" w:hAnsi="Times New Roman"/>
          <w:sz w:val="24"/>
          <w:szCs w:val="24"/>
        </w:rPr>
        <w:t xml:space="preserve">celle </w:t>
      </w:r>
      <w:r w:rsidR="00890A9D" w:rsidRPr="007668DF">
        <w:rPr>
          <w:rFonts w:ascii="Times New Roman" w:eastAsia="Malgun Gothic" w:hAnsi="Times New Roman"/>
          <w:sz w:val="24"/>
          <w:szCs w:val="24"/>
        </w:rPr>
        <w:t xml:space="preserve">suivant </w:t>
      </w:r>
      <w:r w:rsidR="00F225C3" w:rsidRPr="007668DF">
        <w:rPr>
          <w:rFonts w:ascii="Times New Roman" w:eastAsia="Malgun Gothic" w:hAnsi="Times New Roman"/>
          <w:sz w:val="24"/>
          <w:szCs w:val="24"/>
        </w:rPr>
        <w:t>le 17 mai 2014</w:t>
      </w:r>
      <w:r w:rsidR="00710672" w:rsidRPr="007668DF">
        <w:rPr>
          <w:rFonts w:ascii="Times New Roman" w:eastAsia="Malgun Gothic" w:hAnsi="Times New Roman"/>
          <w:sz w:val="24"/>
          <w:szCs w:val="24"/>
        </w:rPr>
        <w:t xml:space="preserve"> et l</w:t>
      </w:r>
      <w:r w:rsidR="00F225C3" w:rsidRPr="007668DF">
        <w:rPr>
          <w:rFonts w:ascii="Times New Roman" w:eastAsia="Malgun Gothic" w:hAnsi="Times New Roman"/>
          <w:sz w:val="24"/>
          <w:szCs w:val="24"/>
        </w:rPr>
        <w:t xml:space="preserve">es affrontements </w:t>
      </w:r>
      <w:r w:rsidR="00710672" w:rsidRPr="007668DF">
        <w:rPr>
          <w:rFonts w:ascii="Times New Roman" w:eastAsia="Malgun Gothic" w:hAnsi="Times New Roman"/>
          <w:sz w:val="24"/>
          <w:szCs w:val="24"/>
        </w:rPr>
        <w:t xml:space="preserve">meurtriers </w:t>
      </w:r>
      <w:r w:rsidR="00F225C3" w:rsidRPr="007668DF">
        <w:rPr>
          <w:rFonts w:ascii="Times New Roman" w:eastAsia="Malgun Gothic" w:hAnsi="Times New Roman"/>
          <w:sz w:val="24"/>
          <w:szCs w:val="24"/>
        </w:rPr>
        <w:t>entre les FAM</w:t>
      </w:r>
      <w:r w:rsidR="009921EA" w:rsidRPr="007668DF">
        <w:rPr>
          <w:rFonts w:ascii="Times New Roman" w:eastAsia="Malgun Gothic" w:hAnsi="Times New Roman"/>
          <w:sz w:val="24"/>
          <w:szCs w:val="24"/>
        </w:rPr>
        <w:t>a</w:t>
      </w:r>
      <w:r w:rsidR="00F225C3" w:rsidRPr="007668DF">
        <w:rPr>
          <w:rFonts w:ascii="Times New Roman" w:eastAsia="Malgun Gothic" w:hAnsi="Times New Roman"/>
          <w:sz w:val="24"/>
          <w:szCs w:val="24"/>
        </w:rPr>
        <w:t xml:space="preserve"> et les MNLA, HCUA et MAA</w:t>
      </w:r>
      <w:r w:rsidR="00EE32F9" w:rsidRPr="007668DF">
        <w:rPr>
          <w:rFonts w:ascii="Times New Roman" w:eastAsia="Malgun Gothic" w:hAnsi="Times New Roman"/>
          <w:sz w:val="24"/>
          <w:szCs w:val="24"/>
        </w:rPr>
        <w:t xml:space="preserve"> qui ont compromis </w:t>
      </w:r>
      <w:r w:rsidR="00B25AEF" w:rsidRPr="007668DF">
        <w:rPr>
          <w:rFonts w:ascii="Times New Roman" w:eastAsia="Malgun Gothic" w:hAnsi="Times New Roman"/>
          <w:sz w:val="24"/>
          <w:szCs w:val="24"/>
        </w:rPr>
        <w:t xml:space="preserve">les efforts nationaux et </w:t>
      </w:r>
      <w:r w:rsidR="00F225C3" w:rsidRPr="007668DF">
        <w:rPr>
          <w:rFonts w:ascii="Times New Roman" w:eastAsia="Malgun Gothic" w:hAnsi="Times New Roman"/>
          <w:sz w:val="24"/>
          <w:szCs w:val="24"/>
        </w:rPr>
        <w:t xml:space="preserve">ceux de la communauté internationale </w:t>
      </w:r>
      <w:r w:rsidR="00B25AEF" w:rsidRPr="007668DF">
        <w:rPr>
          <w:rFonts w:ascii="Times New Roman" w:eastAsia="Malgun Gothic" w:hAnsi="Times New Roman"/>
          <w:sz w:val="24"/>
          <w:szCs w:val="24"/>
        </w:rPr>
        <w:t xml:space="preserve">tendant à la consolidation des acquis démocratiques issus des élections de juillet et </w:t>
      </w:r>
      <w:r w:rsidR="00B25AEF" w:rsidRPr="007668DF">
        <w:rPr>
          <w:rFonts w:ascii="Times New Roman" w:eastAsia="Malgun Gothic" w:hAnsi="Times New Roman"/>
          <w:sz w:val="24"/>
          <w:szCs w:val="24"/>
        </w:rPr>
        <w:lastRenderedPageBreak/>
        <w:t>octobre 2013</w:t>
      </w:r>
      <w:r w:rsidR="00F225C3" w:rsidRPr="007668DF">
        <w:rPr>
          <w:rFonts w:ascii="Times New Roman" w:eastAsia="Malgun Gothic" w:hAnsi="Times New Roman"/>
          <w:sz w:val="24"/>
          <w:szCs w:val="24"/>
        </w:rPr>
        <w:t>.</w:t>
      </w:r>
      <w:r w:rsidR="003520FD" w:rsidRPr="007668DF">
        <w:rPr>
          <w:rFonts w:ascii="Times New Roman" w:eastAsia="Malgun Gothic" w:hAnsi="Times New Roman"/>
          <w:sz w:val="24"/>
          <w:szCs w:val="24"/>
        </w:rPr>
        <w:t xml:space="preserve"> </w:t>
      </w:r>
      <w:r w:rsidR="00B423DE">
        <w:rPr>
          <w:rFonts w:ascii="Times New Roman" w:eastAsia="Malgun Gothic" w:hAnsi="Times New Roman"/>
          <w:sz w:val="24"/>
          <w:szCs w:val="24"/>
        </w:rPr>
        <w:t>Pendant la période couverte par ce rapport, la proportion du territoire occupée par les groupes armés a substantiellement augmenté (cf. annexe III).</w:t>
      </w:r>
    </w:p>
    <w:p w:rsidR="008A5F03" w:rsidRDefault="008A5F03" w:rsidP="006C2FA0">
      <w:pPr>
        <w:tabs>
          <w:tab w:val="left" w:pos="567"/>
          <w:tab w:val="left" w:pos="851"/>
          <w:tab w:val="left" w:pos="1134"/>
        </w:tabs>
        <w:spacing w:after="0"/>
        <w:jc w:val="both"/>
        <w:rPr>
          <w:rFonts w:ascii="Times New Roman" w:eastAsia="Malgun Gothic" w:hAnsi="Times New Roman"/>
          <w:b/>
          <w:i/>
          <w:sz w:val="24"/>
          <w:szCs w:val="24"/>
        </w:rPr>
      </w:pPr>
    </w:p>
    <w:p w:rsidR="00E92E15" w:rsidRDefault="00E92E15" w:rsidP="003B152B">
      <w:pPr>
        <w:pStyle w:val="Subtitle"/>
        <w:rPr>
          <w:rFonts w:eastAsia="Malgun Gothic"/>
        </w:rPr>
      </w:pPr>
      <w:bookmarkStart w:id="7" w:name="_Toc401931487"/>
      <w:r w:rsidRPr="007668DF">
        <w:rPr>
          <w:rFonts w:eastAsia="Malgun Gothic"/>
        </w:rPr>
        <w:t>Avant les évènements de Kidal du 17 mai</w:t>
      </w:r>
      <w:r w:rsidR="00AA2897" w:rsidRPr="007668DF">
        <w:rPr>
          <w:rFonts w:eastAsia="Malgun Gothic"/>
        </w:rPr>
        <w:t xml:space="preserve"> 2014</w:t>
      </w:r>
      <w:bookmarkEnd w:id="7"/>
    </w:p>
    <w:p w:rsidR="00E81CFC" w:rsidRPr="007668DF" w:rsidRDefault="00670A6F" w:rsidP="006C2FA0">
      <w:pPr>
        <w:shd w:val="clear" w:color="auto" w:fill="FFFFFF"/>
        <w:tabs>
          <w:tab w:val="left" w:pos="567"/>
          <w:tab w:val="left" w:pos="993"/>
        </w:tabs>
        <w:spacing w:after="0"/>
        <w:jc w:val="both"/>
        <w:outlineLvl w:val="4"/>
        <w:rPr>
          <w:rFonts w:ascii="Times New Roman" w:eastAsia="Times New Roman" w:hAnsi="Times New Roman"/>
          <w:sz w:val="24"/>
          <w:szCs w:val="24"/>
          <w:lang w:eastAsia="en-GB"/>
        </w:rPr>
      </w:pPr>
      <w:r w:rsidRPr="007668DF">
        <w:rPr>
          <w:rFonts w:ascii="Times New Roman" w:hAnsi="Times New Roman"/>
          <w:sz w:val="24"/>
          <w:szCs w:val="24"/>
        </w:rPr>
        <w:t>2</w:t>
      </w:r>
      <w:r w:rsidR="0086130D">
        <w:rPr>
          <w:rFonts w:ascii="Times New Roman" w:hAnsi="Times New Roman"/>
          <w:sz w:val="24"/>
          <w:szCs w:val="24"/>
        </w:rPr>
        <w:t>0</w:t>
      </w:r>
      <w:r w:rsidRPr="007668DF">
        <w:rPr>
          <w:rFonts w:ascii="Times New Roman" w:hAnsi="Times New Roman"/>
          <w:sz w:val="24"/>
          <w:szCs w:val="24"/>
        </w:rPr>
        <w:t>.</w:t>
      </w:r>
      <w:r w:rsidRPr="007668DF">
        <w:rPr>
          <w:rFonts w:ascii="Times New Roman" w:hAnsi="Times New Roman"/>
          <w:sz w:val="24"/>
          <w:szCs w:val="24"/>
        </w:rPr>
        <w:tab/>
      </w:r>
      <w:r w:rsidR="00710672" w:rsidRPr="007668DF">
        <w:rPr>
          <w:rFonts w:ascii="Times New Roman" w:hAnsi="Times New Roman"/>
          <w:sz w:val="24"/>
          <w:szCs w:val="24"/>
        </w:rPr>
        <w:t>Depuis</w:t>
      </w:r>
      <w:r w:rsidR="00F74CC7" w:rsidRPr="007668DF">
        <w:rPr>
          <w:rFonts w:ascii="Times New Roman" w:hAnsi="Times New Roman"/>
          <w:sz w:val="24"/>
          <w:szCs w:val="24"/>
        </w:rPr>
        <w:t xml:space="preserve"> novembre 2013,</w:t>
      </w:r>
      <w:r w:rsidR="00B423DE">
        <w:rPr>
          <w:rFonts w:ascii="Times New Roman" w:hAnsi="Times New Roman"/>
          <w:sz w:val="24"/>
          <w:szCs w:val="24"/>
        </w:rPr>
        <w:t xml:space="preserve"> </w:t>
      </w:r>
      <w:r w:rsidR="00710672" w:rsidRPr="007668DF">
        <w:rPr>
          <w:rFonts w:ascii="Times New Roman" w:hAnsi="Times New Roman"/>
          <w:sz w:val="24"/>
          <w:szCs w:val="24"/>
        </w:rPr>
        <w:t>q</w:t>
      </w:r>
      <w:r w:rsidR="00B25AEF" w:rsidRPr="007668DF">
        <w:rPr>
          <w:rFonts w:ascii="Times New Roman" w:hAnsi="Times New Roman"/>
          <w:sz w:val="24"/>
          <w:szCs w:val="24"/>
        </w:rPr>
        <w:t xml:space="preserve">uelques avancées significatives </w:t>
      </w:r>
      <w:r w:rsidR="00C12065" w:rsidRPr="007668DF">
        <w:rPr>
          <w:rFonts w:ascii="Times New Roman" w:hAnsi="Times New Roman"/>
          <w:sz w:val="24"/>
          <w:szCs w:val="24"/>
        </w:rPr>
        <w:t>avaient pu être</w:t>
      </w:r>
      <w:r w:rsidR="00B25AEF" w:rsidRPr="007668DF">
        <w:rPr>
          <w:rFonts w:ascii="Times New Roman" w:hAnsi="Times New Roman"/>
          <w:sz w:val="24"/>
          <w:szCs w:val="24"/>
        </w:rPr>
        <w:t xml:space="preserve"> </w:t>
      </w:r>
      <w:r w:rsidR="002057F5" w:rsidRPr="007668DF">
        <w:rPr>
          <w:rFonts w:ascii="Times New Roman" w:hAnsi="Times New Roman"/>
          <w:sz w:val="24"/>
          <w:szCs w:val="24"/>
        </w:rPr>
        <w:t>notées</w:t>
      </w:r>
      <w:r w:rsidR="00884470" w:rsidRPr="007668DF">
        <w:rPr>
          <w:rFonts w:ascii="Times New Roman" w:hAnsi="Times New Roman"/>
          <w:sz w:val="24"/>
          <w:szCs w:val="24"/>
        </w:rPr>
        <w:t xml:space="preserve"> sur le plan politique</w:t>
      </w:r>
      <w:r w:rsidR="00C12065" w:rsidRPr="007668DF">
        <w:rPr>
          <w:rFonts w:ascii="Times New Roman" w:hAnsi="Times New Roman"/>
          <w:sz w:val="24"/>
          <w:szCs w:val="24"/>
        </w:rPr>
        <w:t xml:space="preserve"> : </w:t>
      </w:r>
      <w:r w:rsidR="002057F5" w:rsidRPr="007668DF">
        <w:rPr>
          <w:rFonts w:ascii="Times New Roman" w:hAnsi="Times New Roman"/>
          <w:sz w:val="24"/>
          <w:szCs w:val="24"/>
        </w:rPr>
        <w:t xml:space="preserve">(i) </w:t>
      </w:r>
      <w:r w:rsidR="00354995">
        <w:rPr>
          <w:rFonts w:ascii="Times New Roman" w:hAnsi="Times New Roman"/>
          <w:sz w:val="24"/>
          <w:szCs w:val="24"/>
        </w:rPr>
        <w:t xml:space="preserve">le rétablissement de l’ordre constitutionnel et </w:t>
      </w:r>
      <w:r w:rsidR="009608A4" w:rsidRPr="007668DF">
        <w:rPr>
          <w:rFonts w:ascii="Times New Roman" w:hAnsi="Times New Roman"/>
          <w:sz w:val="24"/>
          <w:szCs w:val="24"/>
        </w:rPr>
        <w:t xml:space="preserve">l’entrée </w:t>
      </w:r>
      <w:r w:rsidR="00E81CFC" w:rsidRPr="007668DF">
        <w:rPr>
          <w:rFonts w:ascii="Times New Roman" w:hAnsi="Times New Roman"/>
          <w:sz w:val="24"/>
          <w:szCs w:val="24"/>
        </w:rPr>
        <w:t>de certains responsables des groupes armés signataire</w:t>
      </w:r>
      <w:r w:rsidR="004F79AD" w:rsidRPr="007668DF">
        <w:rPr>
          <w:rFonts w:ascii="Times New Roman" w:hAnsi="Times New Roman"/>
          <w:sz w:val="24"/>
          <w:szCs w:val="24"/>
        </w:rPr>
        <w:t>s</w:t>
      </w:r>
      <w:r w:rsidR="00E81CFC" w:rsidRPr="007668DF">
        <w:rPr>
          <w:rFonts w:ascii="Times New Roman" w:hAnsi="Times New Roman"/>
          <w:sz w:val="24"/>
          <w:szCs w:val="24"/>
        </w:rPr>
        <w:t xml:space="preserve"> de</w:t>
      </w:r>
      <w:r w:rsidR="00463557" w:rsidRPr="007668DF">
        <w:rPr>
          <w:rFonts w:ascii="Times New Roman" w:hAnsi="Times New Roman"/>
          <w:sz w:val="24"/>
          <w:szCs w:val="24"/>
        </w:rPr>
        <w:t xml:space="preserve"> l’</w:t>
      </w:r>
      <w:r w:rsidR="00E81CFC" w:rsidRPr="007668DF">
        <w:rPr>
          <w:rFonts w:ascii="Times New Roman" w:hAnsi="Times New Roman"/>
          <w:sz w:val="24"/>
          <w:szCs w:val="24"/>
        </w:rPr>
        <w:t xml:space="preserve">Accord </w:t>
      </w:r>
      <w:r w:rsidR="00CD3EE6" w:rsidRPr="007668DF">
        <w:rPr>
          <w:rFonts w:ascii="Times New Roman" w:hAnsi="Times New Roman"/>
          <w:sz w:val="24"/>
          <w:szCs w:val="24"/>
        </w:rPr>
        <w:t xml:space="preserve">préliminaire </w:t>
      </w:r>
      <w:r w:rsidR="009E34C5" w:rsidRPr="007668DF">
        <w:rPr>
          <w:rFonts w:ascii="Times New Roman" w:hAnsi="Times New Roman"/>
          <w:sz w:val="24"/>
          <w:szCs w:val="24"/>
        </w:rPr>
        <w:t xml:space="preserve">de </w:t>
      </w:r>
      <w:r w:rsidR="00E81CFC" w:rsidRPr="007668DF">
        <w:rPr>
          <w:rFonts w:ascii="Times New Roman" w:hAnsi="Times New Roman"/>
          <w:sz w:val="24"/>
          <w:szCs w:val="24"/>
        </w:rPr>
        <w:t xml:space="preserve">Ouagadougou à l’Assemblée </w:t>
      </w:r>
      <w:r w:rsidR="009608A4" w:rsidRPr="007668DF">
        <w:rPr>
          <w:rFonts w:ascii="Times New Roman" w:hAnsi="Times New Roman"/>
          <w:sz w:val="24"/>
          <w:szCs w:val="24"/>
        </w:rPr>
        <w:t>nationale</w:t>
      </w:r>
      <w:r w:rsidR="00E77900" w:rsidRPr="007668DF">
        <w:rPr>
          <w:rFonts w:ascii="Times New Roman" w:hAnsi="Times New Roman"/>
          <w:sz w:val="24"/>
          <w:szCs w:val="24"/>
        </w:rPr>
        <w:t xml:space="preserve"> </w:t>
      </w:r>
      <w:r w:rsidR="00C12065" w:rsidRPr="007668DF">
        <w:rPr>
          <w:rFonts w:ascii="Times New Roman" w:hAnsi="Times New Roman"/>
          <w:sz w:val="24"/>
          <w:szCs w:val="24"/>
        </w:rPr>
        <w:t xml:space="preserve">à l’issue des </w:t>
      </w:r>
      <w:r w:rsidR="00E81CFC" w:rsidRPr="007668DF">
        <w:rPr>
          <w:rFonts w:ascii="Times New Roman" w:hAnsi="Times New Roman"/>
          <w:sz w:val="24"/>
          <w:szCs w:val="24"/>
        </w:rPr>
        <w:t>élection</w:t>
      </w:r>
      <w:r w:rsidR="00C12065" w:rsidRPr="007668DF">
        <w:rPr>
          <w:rFonts w:ascii="Times New Roman" w:hAnsi="Times New Roman"/>
          <w:sz w:val="24"/>
          <w:szCs w:val="24"/>
        </w:rPr>
        <w:t>s</w:t>
      </w:r>
      <w:r w:rsidR="00E81CFC" w:rsidRPr="007668DF">
        <w:rPr>
          <w:rFonts w:ascii="Times New Roman" w:hAnsi="Times New Roman"/>
          <w:sz w:val="24"/>
          <w:szCs w:val="24"/>
        </w:rPr>
        <w:t xml:space="preserve"> législative</w:t>
      </w:r>
      <w:r w:rsidR="00C12065" w:rsidRPr="007668DF">
        <w:rPr>
          <w:rFonts w:ascii="Times New Roman" w:hAnsi="Times New Roman"/>
          <w:sz w:val="24"/>
          <w:szCs w:val="24"/>
        </w:rPr>
        <w:t>s</w:t>
      </w:r>
      <w:r w:rsidR="00E81CFC" w:rsidRPr="007668DF">
        <w:rPr>
          <w:rFonts w:ascii="Times New Roman" w:hAnsi="Times New Roman"/>
          <w:sz w:val="24"/>
          <w:szCs w:val="24"/>
        </w:rPr>
        <w:t xml:space="preserve"> de novembre 2013</w:t>
      </w:r>
      <w:r w:rsidR="009608A4" w:rsidRPr="007668DF">
        <w:rPr>
          <w:rFonts w:ascii="Times New Roman" w:hAnsi="Times New Roman"/>
          <w:sz w:val="24"/>
          <w:szCs w:val="24"/>
        </w:rPr>
        <w:t>;</w:t>
      </w:r>
      <w:r w:rsidR="00542A06" w:rsidRPr="007668DF">
        <w:rPr>
          <w:rFonts w:ascii="Times New Roman" w:hAnsi="Times New Roman"/>
          <w:sz w:val="24"/>
          <w:szCs w:val="24"/>
        </w:rPr>
        <w:t xml:space="preserve"> </w:t>
      </w:r>
      <w:r w:rsidR="002057F5" w:rsidRPr="007668DF">
        <w:rPr>
          <w:rFonts w:ascii="Times New Roman" w:hAnsi="Times New Roman"/>
          <w:sz w:val="24"/>
          <w:szCs w:val="24"/>
        </w:rPr>
        <w:t>(ii)</w:t>
      </w:r>
      <w:r w:rsidR="00E81CFC" w:rsidRPr="007668DF">
        <w:rPr>
          <w:rFonts w:ascii="Times New Roman" w:hAnsi="Times New Roman"/>
          <w:sz w:val="24"/>
          <w:szCs w:val="24"/>
        </w:rPr>
        <w:t xml:space="preserve"> </w:t>
      </w:r>
      <w:r w:rsidR="009608A4" w:rsidRPr="007668DF">
        <w:rPr>
          <w:rFonts w:ascii="Times New Roman" w:hAnsi="Times New Roman"/>
          <w:sz w:val="24"/>
          <w:szCs w:val="24"/>
        </w:rPr>
        <w:t xml:space="preserve">le </w:t>
      </w:r>
      <w:r w:rsidR="00E81CFC" w:rsidRPr="007668DF">
        <w:rPr>
          <w:rFonts w:ascii="Times New Roman" w:hAnsi="Times New Roman"/>
          <w:sz w:val="24"/>
          <w:szCs w:val="24"/>
        </w:rPr>
        <w:t>retour progressif des réfugiés et des personnes déplacées</w:t>
      </w:r>
      <w:r w:rsidR="00432051">
        <w:rPr>
          <w:rFonts w:ascii="Times New Roman" w:hAnsi="Times New Roman"/>
          <w:sz w:val="24"/>
          <w:szCs w:val="24"/>
        </w:rPr>
        <w:t xml:space="preserve"> internes</w:t>
      </w:r>
      <w:r w:rsidR="00C12065" w:rsidRPr="007668DF">
        <w:rPr>
          <w:rFonts w:ascii="Times New Roman" w:hAnsi="Times New Roman"/>
          <w:sz w:val="24"/>
          <w:szCs w:val="24"/>
        </w:rPr>
        <w:t xml:space="preserve"> au nord (iii)</w:t>
      </w:r>
      <w:r w:rsidR="00E81CFC" w:rsidRPr="007668DF">
        <w:rPr>
          <w:rFonts w:ascii="Times New Roman" w:hAnsi="Times New Roman"/>
          <w:sz w:val="24"/>
          <w:szCs w:val="24"/>
        </w:rPr>
        <w:t xml:space="preserve"> le redéploiement croissant de l’ensemble de l’administration au </w:t>
      </w:r>
      <w:r w:rsidR="000F036A" w:rsidRPr="007668DF">
        <w:rPr>
          <w:rFonts w:ascii="Times New Roman" w:hAnsi="Times New Roman"/>
          <w:sz w:val="24"/>
          <w:szCs w:val="24"/>
        </w:rPr>
        <w:t>n</w:t>
      </w:r>
      <w:r w:rsidR="00E81CFC" w:rsidRPr="007668DF">
        <w:rPr>
          <w:rFonts w:ascii="Times New Roman" w:hAnsi="Times New Roman"/>
          <w:sz w:val="24"/>
          <w:szCs w:val="24"/>
        </w:rPr>
        <w:t>ord</w:t>
      </w:r>
      <w:r w:rsidR="003520FD" w:rsidRPr="007668DF">
        <w:rPr>
          <w:rFonts w:ascii="Times New Roman" w:hAnsi="Times New Roman"/>
          <w:sz w:val="24"/>
          <w:szCs w:val="24"/>
        </w:rPr>
        <w:t xml:space="preserve"> du pays</w:t>
      </w:r>
      <w:r w:rsidR="009608A4" w:rsidRPr="007668DF">
        <w:rPr>
          <w:rFonts w:ascii="Times New Roman" w:hAnsi="Times New Roman"/>
          <w:sz w:val="24"/>
          <w:szCs w:val="24"/>
        </w:rPr>
        <w:t>;</w:t>
      </w:r>
      <w:r w:rsidR="009608A4" w:rsidRPr="007668DF">
        <w:rPr>
          <w:rFonts w:ascii="Times New Roman" w:eastAsia="Times New Roman" w:hAnsi="Times New Roman"/>
          <w:sz w:val="24"/>
          <w:szCs w:val="24"/>
          <w:lang w:eastAsia="en-GB"/>
        </w:rPr>
        <w:t xml:space="preserve"> </w:t>
      </w:r>
      <w:r w:rsidR="002057F5" w:rsidRPr="007668DF">
        <w:rPr>
          <w:rFonts w:ascii="Times New Roman" w:hAnsi="Times New Roman"/>
          <w:sz w:val="24"/>
          <w:szCs w:val="24"/>
        </w:rPr>
        <w:t>(i</w:t>
      </w:r>
      <w:r w:rsidR="00C12065" w:rsidRPr="007668DF">
        <w:rPr>
          <w:rFonts w:ascii="Times New Roman" w:hAnsi="Times New Roman"/>
          <w:sz w:val="24"/>
          <w:szCs w:val="24"/>
        </w:rPr>
        <w:t>v</w:t>
      </w:r>
      <w:r w:rsidR="002057F5" w:rsidRPr="007668DF">
        <w:rPr>
          <w:rFonts w:ascii="Times New Roman" w:hAnsi="Times New Roman"/>
          <w:sz w:val="24"/>
          <w:szCs w:val="24"/>
        </w:rPr>
        <w:t xml:space="preserve">) </w:t>
      </w:r>
      <w:r w:rsidR="009608A4" w:rsidRPr="007668DF">
        <w:rPr>
          <w:rFonts w:ascii="Times New Roman" w:hAnsi="Times New Roman"/>
          <w:sz w:val="24"/>
          <w:szCs w:val="24"/>
        </w:rPr>
        <w:t xml:space="preserve">la </w:t>
      </w:r>
      <w:r w:rsidR="00E81CFC" w:rsidRPr="007668DF">
        <w:rPr>
          <w:rFonts w:ascii="Times New Roman" w:hAnsi="Times New Roman"/>
          <w:sz w:val="24"/>
          <w:szCs w:val="24"/>
        </w:rPr>
        <w:t>mise en place d’un gouvernement</w:t>
      </w:r>
      <w:r w:rsidR="003520FD" w:rsidRPr="007668DF">
        <w:rPr>
          <w:rFonts w:ascii="Times New Roman" w:hAnsi="Times New Roman"/>
          <w:sz w:val="24"/>
          <w:szCs w:val="24"/>
        </w:rPr>
        <w:t xml:space="preserve"> </w:t>
      </w:r>
      <w:r w:rsidR="00C94D73" w:rsidRPr="007668DF">
        <w:rPr>
          <w:rFonts w:ascii="Times New Roman" w:hAnsi="Times New Roman"/>
          <w:sz w:val="24"/>
          <w:szCs w:val="24"/>
        </w:rPr>
        <w:t>l</w:t>
      </w:r>
      <w:r w:rsidR="00252215" w:rsidRPr="007668DF">
        <w:rPr>
          <w:rFonts w:ascii="Times New Roman" w:hAnsi="Times New Roman"/>
          <w:sz w:val="24"/>
          <w:szCs w:val="24"/>
        </w:rPr>
        <w:t>é</w:t>
      </w:r>
      <w:r w:rsidR="00C94D73" w:rsidRPr="007668DF">
        <w:rPr>
          <w:rFonts w:ascii="Times New Roman" w:hAnsi="Times New Roman"/>
          <w:sz w:val="24"/>
          <w:szCs w:val="24"/>
        </w:rPr>
        <w:t>gitime</w:t>
      </w:r>
      <w:r w:rsidR="00E81CFC" w:rsidRPr="007668DF">
        <w:rPr>
          <w:rFonts w:ascii="Times New Roman" w:eastAsia="Times New Roman" w:hAnsi="Times New Roman"/>
          <w:iCs/>
          <w:sz w:val="24"/>
          <w:szCs w:val="24"/>
          <w:lang w:eastAsia="en-GB"/>
        </w:rPr>
        <w:t xml:space="preserve">, et </w:t>
      </w:r>
      <w:r w:rsidR="003520FD" w:rsidRPr="007668DF">
        <w:rPr>
          <w:rFonts w:ascii="Times New Roman" w:eastAsia="Times New Roman" w:hAnsi="Times New Roman"/>
          <w:iCs/>
          <w:sz w:val="24"/>
          <w:szCs w:val="24"/>
          <w:lang w:eastAsia="en-GB"/>
        </w:rPr>
        <w:t xml:space="preserve">la création de deux </w:t>
      </w:r>
      <w:r w:rsidR="009608A4" w:rsidRPr="007668DF">
        <w:rPr>
          <w:rFonts w:ascii="Times New Roman" w:eastAsia="Times New Roman" w:hAnsi="Times New Roman"/>
          <w:iCs/>
          <w:sz w:val="24"/>
          <w:szCs w:val="24"/>
          <w:lang w:eastAsia="en-GB"/>
        </w:rPr>
        <w:t xml:space="preserve">portefeuilles ministériels </w:t>
      </w:r>
      <w:r w:rsidR="00CD13A9" w:rsidRPr="007668DF">
        <w:rPr>
          <w:rFonts w:ascii="Times New Roman" w:eastAsia="Times New Roman" w:hAnsi="Times New Roman"/>
          <w:iCs/>
          <w:sz w:val="24"/>
          <w:szCs w:val="24"/>
          <w:lang w:eastAsia="en-GB"/>
        </w:rPr>
        <w:t>spéci</w:t>
      </w:r>
      <w:r w:rsidR="00CD13A9">
        <w:rPr>
          <w:rFonts w:ascii="Times New Roman" w:eastAsia="Times New Roman" w:hAnsi="Times New Roman"/>
          <w:iCs/>
          <w:sz w:val="24"/>
          <w:szCs w:val="24"/>
          <w:lang w:eastAsia="en-GB"/>
        </w:rPr>
        <w:t>fiques </w:t>
      </w:r>
      <w:r w:rsidR="00354995">
        <w:rPr>
          <w:rFonts w:ascii="Times New Roman" w:eastAsia="Times New Roman" w:hAnsi="Times New Roman"/>
          <w:iCs/>
          <w:sz w:val="24"/>
          <w:szCs w:val="24"/>
          <w:lang w:eastAsia="en-GB"/>
        </w:rPr>
        <w:t>:</w:t>
      </w:r>
      <w:r w:rsidR="00E24A9A">
        <w:rPr>
          <w:rFonts w:ascii="Times New Roman" w:eastAsia="Times New Roman" w:hAnsi="Times New Roman"/>
          <w:iCs/>
          <w:sz w:val="24"/>
          <w:szCs w:val="24"/>
          <w:lang w:eastAsia="en-GB"/>
        </w:rPr>
        <w:t xml:space="preserve"> </w:t>
      </w:r>
      <w:r w:rsidR="00354995">
        <w:rPr>
          <w:rFonts w:ascii="Times New Roman" w:eastAsia="Times New Roman" w:hAnsi="Times New Roman"/>
          <w:iCs/>
          <w:sz w:val="24"/>
          <w:szCs w:val="24"/>
          <w:lang w:eastAsia="en-GB"/>
        </w:rPr>
        <w:t>l</w:t>
      </w:r>
      <w:r w:rsidR="00C12065" w:rsidRPr="007668DF">
        <w:rPr>
          <w:rFonts w:ascii="Times New Roman" w:eastAsia="Times New Roman" w:hAnsi="Times New Roman"/>
          <w:iCs/>
          <w:sz w:val="24"/>
          <w:szCs w:val="24"/>
          <w:lang w:eastAsia="en-GB"/>
        </w:rPr>
        <w:t>’un</w:t>
      </w:r>
      <w:r w:rsidR="0029058E" w:rsidRPr="007668DF">
        <w:rPr>
          <w:rFonts w:ascii="Times New Roman" w:eastAsia="Times New Roman" w:hAnsi="Times New Roman"/>
          <w:iCs/>
          <w:sz w:val="24"/>
          <w:szCs w:val="24"/>
          <w:lang w:eastAsia="en-GB"/>
        </w:rPr>
        <w:t xml:space="preserve"> </w:t>
      </w:r>
      <w:r w:rsidR="003520FD" w:rsidRPr="007668DF">
        <w:rPr>
          <w:rFonts w:ascii="Times New Roman" w:eastAsia="Times New Roman" w:hAnsi="Times New Roman"/>
          <w:iCs/>
          <w:sz w:val="24"/>
          <w:szCs w:val="24"/>
          <w:lang w:eastAsia="en-GB"/>
        </w:rPr>
        <w:t>chargé de</w:t>
      </w:r>
      <w:r w:rsidR="00E81CFC" w:rsidRPr="007668DF">
        <w:rPr>
          <w:rFonts w:ascii="Times New Roman" w:eastAsia="Times New Roman" w:hAnsi="Times New Roman"/>
          <w:iCs/>
          <w:sz w:val="24"/>
          <w:szCs w:val="24"/>
          <w:lang w:eastAsia="en-GB"/>
        </w:rPr>
        <w:t xml:space="preserve"> la réconciliation nationale</w:t>
      </w:r>
      <w:r w:rsidR="00C12065" w:rsidRPr="007668DF">
        <w:rPr>
          <w:rFonts w:ascii="Times New Roman" w:eastAsia="Times New Roman" w:hAnsi="Times New Roman"/>
          <w:iCs/>
          <w:sz w:val="24"/>
          <w:szCs w:val="24"/>
          <w:lang w:eastAsia="en-GB"/>
        </w:rPr>
        <w:t>,</w:t>
      </w:r>
      <w:r w:rsidR="00E81CFC" w:rsidRPr="007668DF">
        <w:rPr>
          <w:rFonts w:ascii="Times New Roman" w:eastAsia="Times New Roman" w:hAnsi="Times New Roman"/>
          <w:iCs/>
          <w:sz w:val="24"/>
          <w:szCs w:val="24"/>
          <w:lang w:eastAsia="en-GB"/>
        </w:rPr>
        <w:t xml:space="preserve"> </w:t>
      </w:r>
      <w:r w:rsidR="003520FD" w:rsidRPr="007668DF">
        <w:rPr>
          <w:rFonts w:ascii="Times New Roman" w:eastAsia="Times New Roman" w:hAnsi="Times New Roman"/>
          <w:iCs/>
          <w:sz w:val="24"/>
          <w:szCs w:val="24"/>
          <w:lang w:eastAsia="en-GB"/>
        </w:rPr>
        <w:t xml:space="preserve">et </w:t>
      </w:r>
      <w:r w:rsidR="0029058E" w:rsidRPr="007668DF">
        <w:rPr>
          <w:rFonts w:ascii="Times New Roman" w:eastAsia="Times New Roman" w:hAnsi="Times New Roman"/>
          <w:iCs/>
          <w:sz w:val="24"/>
          <w:szCs w:val="24"/>
          <w:lang w:eastAsia="en-GB"/>
        </w:rPr>
        <w:t>l</w:t>
      </w:r>
      <w:r w:rsidR="00C12065" w:rsidRPr="007668DF">
        <w:rPr>
          <w:rFonts w:ascii="Times New Roman" w:eastAsia="Times New Roman" w:hAnsi="Times New Roman"/>
          <w:iCs/>
          <w:sz w:val="24"/>
          <w:szCs w:val="24"/>
          <w:lang w:eastAsia="en-GB"/>
        </w:rPr>
        <w:t xml:space="preserve">’autre </w:t>
      </w:r>
      <w:r w:rsidR="00E81CFC" w:rsidRPr="007668DF">
        <w:rPr>
          <w:rFonts w:ascii="Times New Roman" w:eastAsia="Times New Roman" w:hAnsi="Times New Roman"/>
          <w:sz w:val="24"/>
          <w:szCs w:val="24"/>
          <w:lang w:eastAsia="en-GB"/>
        </w:rPr>
        <w:t xml:space="preserve">du développement des régions du Nord </w:t>
      </w:r>
      <w:r w:rsidR="00176560" w:rsidRPr="007668DF">
        <w:rPr>
          <w:rFonts w:ascii="Times New Roman" w:eastAsia="Times New Roman" w:hAnsi="Times New Roman"/>
          <w:sz w:val="24"/>
          <w:szCs w:val="24"/>
          <w:lang w:eastAsia="en-GB"/>
        </w:rPr>
        <w:t>perçu</w:t>
      </w:r>
      <w:r w:rsidR="00C12065" w:rsidRPr="007668DF">
        <w:rPr>
          <w:rFonts w:ascii="Times New Roman" w:eastAsia="Times New Roman" w:hAnsi="Times New Roman"/>
          <w:sz w:val="24"/>
          <w:szCs w:val="24"/>
          <w:lang w:eastAsia="en-GB"/>
        </w:rPr>
        <w:t>s</w:t>
      </w:r>
      <w:r w:rsidR="00176560" w:rsidRPr="007668DF">
        <w:rPr>
          <w:rFonts w:ascii="Times New Roman" w:eastAsia="Times New Roman" w:hAnsi="Times New Roman"/>
          <w:sz w:val="24"/>
          <w:szCs w:val="24"/>
          <w:lang w:eastAsia="en-GB"/>
        </w:rPr>
        <w:t xml:space="preserve"> comme un élément positif pour </w:t>
      </w:r>
      <w:r w:rsidR="00E81CFC" w:rsidRPr="007668DF">
        <w:rPr>
          <w:rFonts w:ascii="Times New Roman" w:eastAsia="Times New Roman" w:hAnsi="Times New Roman"/>
          <w:sz w:val="24"/>
          <w:szCs w:val="24"/>
          <w:lang w:eastAsia="en-GB"/>
        </w:rPr>
        <w:t>faire avancer les négociations avec les groupes armés.</w:t>
      </w:r>
    </w:p>
    <w:p w:rsidR="00176560" w:rsidRPr="007668DF" w:rsidRDefault="00176560" w:rsidP="006C2FA0">
      <w:pPr>
        <w:shd w:val="clear" w:color="auto" w:fill="FFFFFF"/>
        <w:tabs>
          <w:tab w:val="left" w:pos="567"/>
          <w:tab w:val="left" w:pos="1134"/>
        </w:tabs>
        <w:spacing w:after="0"/>
        <w:jc w:val="both"/>
        <w:outlineLvl w:val="4"/>
        <w:rPr>
          <w:rFonts w:ascii="Times New Roman" w:eastAsia="Times New Roman" w:hAnsi="Times New Roman"/>
          <w:sz w:val="24"/>
          <w:szCs w:val="24"/>
          <w:lang w:eastAsia="en-GB"/>
        </w:rPr>
      </w:pPr>
    </w:p>
    <w:p w:rsidR="00E81CFC" w:rsidRPr="007668DF" w:rsidRDefault="00670A6F" w:rsidP="006C2FA0">
      <w:pPr>
        <w:tabs>
          <w:tab w:val="left" w:pos="567"/>
          <w:tab w:val="left" w:pos="1134"/>
        </w:tabs>
        <w:contextualSpacing/>
        <w:jc w:val="both"/>
        <w:rPr>
          <w:rFonts w:ascii="Times New Roman" w:hAnsi="Times New Roman"/>
          <w:sz w:val="24"/>
          <w:szCs w:val="24"/>
        </w:rPr>
      </w:pPr>
      <w:r w:rsidRPr="007668DF">
        <w:rPr>
          <w:rFonts w:ascii="Times New Roman" w:hAnsi="Times New Roman"/>
          <w:sz w:val="24"/>
          <w:szCs w:val="24"/>
        </w:rPr>
        <w:t>2</w:t>
      </w:r>
      <w:r w:rsidR="0086130D">
        <w:rPr>
          <w:rFonts w:ascii="Times New Roman" w:hAnsi="Times New Roman"/>
          <w:sz w:val="24"/>
          <w:szCs w:val="24"/>
        </w:rPr>
        <w:t>1</w:t>
      </w:r>
      <w:r w:rsidR="00BE2EDA" w:rsidRPr="007668DF">
        <w:rPr>
          <w:rFonts w:ascii="Times New Roman" w:hAnsi="Times New Roman"/>
          <w:sz w:val="24"/>
          <w:szCs w:val="24"/>
        </w:rPr>
        <w:t>.</w:t>
      </w:r>
      <w:r w:rsidR="00BE2EDA" w:rsidRPr="007668DF">
        <w:rPr>
          <w:rFonts w:ascii="Times New Roman" w:hAnsi="Times New Roman"/>
          <w:sz w:val="24"/>
          <w:szCs w:val="24"/>
        </w:rPr>
        <w:tab/>
      </w:r>
      <w:r w:rsidR="00E81CFC" w:rsidRPr="007668DF">
        <w:rPr>
          <w:rFonts w:ascii="Times New Roman" w:hAnsi="Times New Roman"/>
          <w:sz w:val="24"/>
          <w:szCs w:val="24"/>
        </w:rPr>
        <w:t xml:space="preserve"> </w:t>
      </w:r>
      <w:r w:rsidR="00935118" w:rsidRPr="007668DF">
        <w:rPr>
          <w:rFonts w:ascii="Times New Roman" w:hAnsi="Times New Roman"/>
          <w:sz w:val="24"/>
          <w:szCs w:val="24"/>
        </w:rPr>
        <w:t>Un</w:t>
      </w:r>
      <w:r w:rsidR="00E81CFC" w:rsidRPr="007668DF">
        <w:rPr>
          <w:rFonts w:ascii="Times New Roman" w:hAnsi="Times New Roman"/>
          <w:sz w:val="24"/>
          <w:szCs w:val="24"/>
        </w:rPr>
        <w:t xml:space="preserve"> atelier sur l’évaluation de la mise en œuvre de</w:t>
      </w:r>
      <w:r w:rsidR="00463557" w:rsidRPr="007668DF">
        <w:rPr>
          <w:rFonts w:ascii="Times New Roman" w:hAnsi="Times New Roman"/>
          <w:sz w:val="24"/>
          <w:szCs w:val="24"/>
        </w:rPr>
        <w:t xml:space="preserve"> l’</w:t>
      </w:r>
      <w:r w:rsidR="00E81CFC" w:rsidRPr="007668DF">
        <w:rPr>
          <w:rFonts w:ascii="Times New Roman" w:hAnsi="Times New Roman"/>
          <w:sz w:val="24"/>
          <w:szCs w:val="24"/>
        </w:rPr>
        <w:t xml:space="preserve">Accord </w:t>
      </w:r>
      <w:r w:rsidR="00CD3EE6" w:rsidRPr="007668DF">
        <w:rPr>
          <w:rFonts w:ascii="Times New Roman" w:hAnsi="Times New Roman"/>
          <w:sz w:val="24"/>
          <w:szCs w:val="24"/>
        </w:rPr>
        <w:t xml:space="preserve">préliminaire </w:t>
      </w:r>
      <w:r w:rsidR="00542A06" w:rsidRPr="007668DF">
        <w:rPr>
          <w:rFonts w:ascii="Times New Roman" w:hAnsi="Times New Roman"/>
          <w:sz w:val="24"/>
          <w:szCs w:val="24"/>
        </w:rPr>
        <w:t xml:space="preserve">de </w:t>
      </w:r>
      <w:r w:rsidR="00E81CFC" w:rsidRPr="007668DF">
        <w:rPr>
          <w:rFonts w:ascii="Times New Roman" w:hAnsi="Times New Roman"/>
          <w:sz w:val="24"/>
          <w:szCs w:val="24"/>
        </w:rPr>
        <w:t xml:space="preserve">Ouagadougou </w:t>
      </w:r>
      <w:r w:rsidR="007C5AB8" w:rsidRPr="007668DF">
        <w:rPr>
          <w:rFonts w:ascii="Times New Roman" w:hAnsi="Times New Roman"/>
          <w:sz w:val="24"/>
          <w:szCs w:val="24"/>
        </w:rPr>
        <w:t xml:space="preserve">a été </w:t>
      </w:r>
      <w:r w:rsidR="00E81CFC" w:rsidRPr="007668DF">
        <w:rPr>
          <w:rFonts w:ascii="Times New Roman" w:hAnsi="Times New Roman"/>
          <w:sz w:val="24"/>
          <w:szCs w:val="24"/>
        </w:rPr>
        <w:t xml:space="preserve">organisé </w:t>
      </w:r>
      <w:r w:rsidR="003C10D0" w:rsidRPr="007668DF">
        <w:rPr>
          <w:rFonts w:ascii="Times New Roman" w:hAnsi="Times New Roman"/>
          <w:sz w:val="24"/>
          <w:szCs w:val="24"/>
        </w:rPr>
        <w:t xml:space="preserve">le 21 mars 2014 </w:t>
      </w:r>
      <w:r w:rsidR="007C5AB8" w:rsidRPr="007668DF">
        <w:rPr>
          <w:rFonts w:ascii="Times New Roman" w:hAnsi="Times New Roman"/>
          <w:sz w:val="24"/>
          <w:szCs w:val="24"/>
        </w:rPr>
        <w:t xml:space="preserve">par </w:t>
      </w:r>
      <w:r w:rsidR="00E81CFC" w:rsidRPr="007668DF">
        <w:rPr>
          <w:rFonts w:ascii="Times New Roman" w:hAnsi="Times New Roman"/>
          <w:sz w:val="24"/>
          <w:szCs w:val="24"/>
        </w:rPr>
        <w:t>le gouvernement malien</w:t>
      </w:r>
      <w:r w:rsidR="007C5AB8" w:rsidRPr="007668DF">
        <w:rPr>
          <w:rFonts w:ascii="Times New Roman" w:hAnsi="Times New Roman"/>
          <w:sz w:val="24"/>
          <w:szCs w:val="24"/>
        </w:rPr>
        <w:t xml:space="preserve"> et la MINUSMA</w:t>
      </w:r>
      <w:r w:rsidR="00E81CFC" w:rsidRPr="007668DF">
        <w:rPr>
          <w:rFonts w:ascii="Times New Roman" w:hAnsi="Times New Roman"/>
          <w:sz w:val="24"/>
          <w:szCs w:val="24"/>
        </w:rPr>
        <w:t xml:space="preserve">. </w:t>
      </w:r>
      <w:r w:rsidR="008A11D0" w:rsidRPr="007668DF">
        <w:rPr>
          <w:rFonts w:ascii="Times New Roman" w:hAnsi="Times New Roman"/>
          <w:sz w:val="24"/>
          <w:szCs w:val="24"/>
        </w:rPr>
        <w:t>Cet atelier</w:t>
      </w:r>
      <w:r w:rsidR="007C5AB8" w:rsidRPr="007668DF">
        <w:rPr>
          <w:rFonts w:ascii="Times New Roman" w:hAnsi="Times New Roman"/>
          <w:sz w:val="24"/>
          <w:szCs w:val="24"/>
        </w:rPr>
        <w:t xml:space="preserve"> </w:t>
      </w:r>
      <w:r w:rsidR="008A11D0" w:rsidRPr="007668DF">
        <w:rPr>
          <w:rFonts w:ascii="Times New Roman" w:hAnsi="Times New Roman"/>
          <w:sz w:val="24"/>
          <w:szCs w:val="24"/>
        </w:rPr>
        <w:t>a</w:t>
      </w:r>
      <w:r w:rsidR="007C5AB8" w:rsidRPr="007668DF">
        <w:rPr>
          <w:rFonts w:ascii="Times New Roman" w:hAnsi="Times New Roman"/>
          <w:sz w:val="24"/>
          <w:szCs w:val="24"/>
        </w:rPr>
        <w:t xml:space="preserve"> permis </w:t>
      </w:r>
      <w:r w:rsidR="00A22EC3" w:rsidRPr="007668DF">
        <w:rPr>
          <w:rFonts w:ascii="Times New Roman" w:hAnsi="Times New Roman"/>
          <w:sz w:val="24"/>
          <w:szCs w:val="24"/>
        </w:rPr>
        <w:t>aux représentants</w:t>
      </w:r>
      <w:r w:rsidR="007C5AB8" w:rsidRPr="007668DF">
        <w:rPr>
          <w:rFonts w:ascii="Times New Roman" w:hAnsi="Times New Roman"/>
          <w:sz w:val="24"/>
          <w:szCs w:val="24"/>
        </w:rPr>
        <w:t xml:space="preserve"> du gouvernement, des groupes </w:t>
      </w:r>
      <w:r w:rsidR="00D0291D" w:rsidRPr="007668DF">
        <w:rPr>
          <w:rFonts w:ascii="Times New Roman" w:hAnsi="Times New Roman"/>
          <w:sz w:val="24"/>
          <w:szCs w:val="24"/>
        </w:rPr>
        <w:t>armés</w:t>
      </w:r>
      <w:r w:rsidR="007C5AB8" w:rsidRPr="007668DF">
        <w:rPr>
          <w:rFonts w:ascii="Times New Roman" w:hAnsi="Times New Roman"/>
          <w:sz w:val="24"/>
          <w:szCs w:val="24"/>
        </w:rPr>
        <w:t xml:space="preserve"> et de la société civile malienne de se réunir pour la </w:t>
      </w:r>
      <w:r w:rsidR="00A22EC3" w:rsidRPr="007668DF">
        <w:rPr>
          <w:rFonts w:ascii="Times New Roman" w:hAnsi="Times New Roman"/>
          <w:sz w:val="24"/>
          <w:szCs w:val="24"/>
        </w:rPr>
        <w:t>première</w:t>
      </w:r>
      <w:r w:rsidR="007C5AB8" w:rsidRPr="007668DF">
        <w:rPr>
          <w:rFonts w:ascii="Times New Roman" w:hAnsi="Times New Roman"/>
          <w:sz w:val="24"/>
          <w:szCs w:val="24"/>
        </w:rPr>
        <w:t xml:space="preserve"> fois à Bamako en vue </w:t>
      </w:r>
      <w:r w:rsidR="00A22EC3" w:rsidRPr="007668DF">
        <w:rPr>
          <w:rFonts w:ascii="Times New Roman" w:hAnsi="Times New Roman"/>
          <w:sz w:val="24"/>
          <w:szCs w:val="24"/>
        </w:rPr>
        <w:t>d’évaluer</w:t>
      </w:r>
      <w:r w:rsidR="007C5AB8" w:rsidRPr="007668DF">
        <w:rPr>
          <w:rFonts w:ascii="Times New Roman" w:hAnsi="Times New Roman"/>
          <w:sz w:val="24"/>
          <w:szCs w:val="24"/>
        </w:rPr>
        <w:t xml:space="preserve"> </w:t>
      </w:r>
      <w:r w:rsidR="00A22EC3" w:rsidRPr="007668DF">
        <w:rPr>
          <w:rFonts w:ascii="Times New Roman" w:hAnsi="Times New Roman"/>
          <w:sz w:val="24"/>
          <w:szCs w:val="24"/>
        </w:rPr>
        <w:t>l’application</w:t>
      </w:r>
      <w:r w:rsidR="007C5AB8" w:rsidRPr="007668DF">
        <w:rPr>
          <w:rFonts w:ascii="Times New Roman" w:hAnsi="Times New Roman"/>
          <w:sz w:val="24"/>
          <w:szCs w:val="24"/>
        </w:rPr>
        <w:t xml:space="preserve"> </w:t>
      </w:r>
      <w:r w:rsidR="00463557" w:rsidRPr="007668DF">
        <w:rPr>
          <w:rFonts w:ascii="Times New Roman" w:hAnsi="Times New Roman"/>
          <w:sz w:val="24"/>
          <w:szCs w:val="24"/>
        </w:rPr>
        <w:t xml:space="preserve">de l’Accord </w:t>
      </w:r>
      <w:r w:rsidR="00CD3EE6" w:rsidRPr="007668DF">
        <w:rPr>
          <w:rFonts w:ascii="Times New Roman" w:hAnsi="Times New Roman"/>
          <w:sz w:val="24"/>
          <w:szCs w:val="24"/>
        </w:rPr>
        <w:t xml:space="preserve">préliminaire </w:t>
      </w:r>
      <w:r w:rsidR="007C5AB8" w:rsidRPr="007668DF">
        <w:rPr>
          <w:rFonts w:ascii="Times New Roman" w:hAnsi="Times New Roman"/>
          <w:sz w:val="24"/>
          <w:szCs w:val="24"/>
        </w:rPr>
        <w:t>de Ouagadougou.</w:t>
      </w:r>
      <w:r w:rsidR="00E81CFC" w:rsidRPr="007668DF">
        <w:rPr>
          <w:rFonts w:ascii="Times New Roman" w:hAnsi="Times New Roman"/>
          <w:sz w:val="24"/>
          <w:szCs w:val="24"/>
        </w:rPr>
        <w:t xml:space="preserve"> Les discussions </w:t>
      </w:r>
      <w:r w:rsidR="00354995">
        <w:rPr>
          <w:rFonts w:ascii="Times New Roman" w:hAnsi="Times New Roman"/>
          <w:sz w:val="24"/>
          <w:szCs w:val="24"/>
        </w:rPr>
        <w:t xml:space="preserve">de ces travaux </w:t>
      </w:r>
      <w:r w:rsidR="00E81CFC" w:rsidRPr="007668DF">
        <w:rPr>
          <w:rFonts w:ascii="Times New Roman" w:hAnsi="Times New Roman"/>
          <w:sz w:val="24"/>
          <w:szCs w:val="24"/>
        </w:rPr>
        <w:t xml:space="preserve">ont abouti à la création de </w:t>
      </w:r>
      <w:r w:rsidR="00E24A9A">
        <w:rPr>
          <w:rFonts w:ascii="Times New Roman" w:hAnsi="Times New Roman"/>
          <w:sz w:val="24"/>
          <w:szCs w:val="24"/>
        </w:rPr>
        <w:t>4</w:t>
      </w:r>
      <w:r w:rsidR="00E24A9A" w:rsidRPr="007668DF">
        <w:rPr>
          <w:rFonts w:ascii="Times New Roman" w:hAnsi="Times New Roman"/>
          <w:sz w:val="24"/>
          <w:szCs w:val="24"/>
        </w:rPr>
        <w:t xml:space="preserve"> </w:t>
      </w:r>
      <w:r w:rsidR="00E81CFC" w:rsidRPr="007668DF">
        <w:rPr>
          <w:rFonts w:ascii="Times New Roman" w:hAnsi="Times New Roman"/>
          <w:sz w:val="24"/>
          <w:szCs w:val="24"/>
        </w:rPr>
        <w:t>groupes de travail chargés d’approfondir l'analyse des préoccupations des signataires</w:t>
      </w:r>
      <w:r w:rsidR="00FD05CF" w:rsidRPr="007668DF">
        <w:rPr>
          <w:rFonts w:ascii="Times New Roman" w:hAnsi="Times New Roman"/>
          <w:sz w:val="24"/>
          <w:szCs w:val="24"/>
        </w:rPr>
        <w:t xml:space="preserve">. La </w:t>
      </w:r>
      <w:r w:rsidR="00E81CFC" w:rsidRPr="007668DF">
        <w:rPr>
          <w:rFonts w:ascii="Times New Roman" w:hAnsi="Times New Roman"/>
          <w:sz w:val="24"/>
          <w:szCs w:val="24"/>
        </w:rPr>
        <w:t xml:space="preserve">Division des </w:t>
      </w:r>
      <w:r w:rsidR="00B9494F" w:rsidRPr="007668DF">
        <w:rPr>
          <w:rFonts w:ascii="Times New Roman" w:hAnsi="Times New Roman"/>
          <w:sz w:val="24"/>
          <w:szCs w:val="24"/>
        </w:rPr>
        <w:t>d</w:t>
      </w:r>
      <w:r w:rsidR="00E81CFC" w:rsidRPr="007668DF">
        <w:rPr>
          <w:rFonts w:ascii="Times New Roman" w:hAnsi="Times New Roman"/>
          <w:sz w:val="24"/>
          <w:szCs w:val="24"/>
        </w:rPr>
        <w:t xml:space="preserve">roits de </w:t>
      </w:r>
      <w:r w:rsidR="00B9494F" w:rsidRPr="007668DF">
        <w:rPr>
          <w:rFonts w:ascii="Times New Roman" w:hAnsi="Times New Roman"/>
          <w:sz w:val="24"/>
          <w:szCs w:val="24"/>
        </w:rPr>
        <w:lastRenderedPageBreak/>
        <w:t>l</w:t>
      </w:r>
      <w:r w:rsidR="00E81CFC" w:rsidRPr="007668DF">
        <w:rPr>
          <w:rFonts w:ascii="Times New Roman" w:hAnsi="Times New Roman"/>
          <w:sz w:val="24"/>
          <w:szCs w:val="24"/>
        </w:rPr>
        <w:t>’</w:t>
      </w:r>
      <w:r w:rsidR="00B9494F" w:rsidRPr="007668DF">
        <w:rPr>
          <w:rFonts w:ascii="Times New Roman" w:hAnsi="Times New Roman"/>
          <w:sz w:val="24"/>
          <w:szCs w:val="24"/>
        </w:rPr>
        <w:t>h</w:t>
      </w:r>
      <w:r w:rsidR="00E81CFC" w:rsidRPr="007668DF">
        <w:rPr>
          <w:rFonts w:ascii="Times New Roman" w:hAnsi="Times New Roman"/>
          <w:sz w:val="24"/>
          <w:szCs w:val="24"/>
        </w:rPr>
        <w:t>omme de la MINUSMA a présidé le groupe de travail sur les mesures de renforcement de confiance</w:t>
      </w:r>
      <w:r w:rsidR="00C12065" w:rsidRPr="007668DF">
        <w:rPr>
          <w:rFonts w:ascii="Times New Roman" w:hAnsi="Times New Roman"/>
          <w:sz w:val="24"/>
          <w:szCs w:val="24"/>
        </w:rPr>
        <w:t>,</w:t>
      </w:r>
      <w:r w:rsidR="00E81CFC" w:rsidRPr="007668DF">
        <w:rPr>
          <w:rFonts w:ascii="Times New Roman" w:hAnsi="Times New Roman"/>
          <w:sz w:val="24"/>
          <w:szCs w:val="24"/>
        </w:rPr>
        <w:t xml:space="preserve"> dont </w:t>
      </w:r>
      <w:r w:rsidR="008A11D0" w:rsidRPr="007668DF">
        <w:rPr>
          <w:rFonts w:ascii="Times New Roman" w:hAnsi="Times New Roman"/>
          <w:sz w:val="24"/>
          <w:szCs w:val="24"/>
        </w:rPr>
        <w:t>l</w:t>
      </w:r>
      <w:r w:rsidR="00CD13A9">
        <w:rPr>
          <w:rFonts w:ascii="Times New Roman" w:hAnsi="Times New Roman"/>
          <w:sz w:val="24"/>
          <w:szCs w:val="24"/>
        </w:rPr>
        <w:t>’objet principal</w:t>
      </w:r>
      <w:r w:rsidR="008A11D0" w:rsidRPr="007668DF">
        <w:rPr>
          <w:rFonts w:ascii="Times New Roman" w:hAnsi="Times New Roman"/>
          <w:sz w:val="24"/>
          <w:szCs w:val="24"/>
        </w:rPr>
        <w:t xml:space="preserve"> </w:t>
      </w:r>
      <w:r w:rsidR="00FD05CF" w:rsidRPr="007668DF">
        <w:rPr>
          <w:rFonts w:ascii="Times New Roman" w:hAnsi="Times New Roman"/>
          <w:sz w:val="24"/>
          <w:szCs w:val="24"/>
        </w:rPr>
        <w:t xml:space="preserve">a </w:t>
      </w:r>
      <w:r w:rsidR="00E81CFC" w:rsidRPr="007668DF">
        <w:rPr>
          <w:rFonts w:ascii="Times New Roman" w:hAnsi="Times New Roman"/>
          <w:sz w:val="24"/>
          <w:szCs w:val="24"/>
        </w:rPr>
        <w:t xml:space="preserve">porté en l’occurrence sur la </w:t>
      </w:r>
      <w:r w:rsidR="002057F5" w:rsidRPr="007668DF">
        <w:rPr>
          <w:rFonts w:ascii="Times New Roman" w:hAnsi="Times New Roman"/>
          <w:sz w:val="24"/>
          <w:szCs w:val="24"/>
        </w:rPr>
        <w:t>libération</w:t>
      </w:r>
      <w:r w:rsidR="00E81CFC" w:rsidRPr="007668DF">
        <w:rPr>
          <w:rFonts w:ascii="Times New Roman" w:hAnsi="Times New Roman"/>
          <w:sz w:val="24"/>
          <w:szCs w:val="24"/>
        </w:rPr>
        <w:t xml:space="preserve"> de</w:t>
      </w:r>
      <w:r w:rsidR="00C12065" w:rsidRPr="007668DF">
        <w:rPr>
          <w:rFonts w:ascii="Times New Roman" w:hAnsi="Times New Roman"/>
          <w:sz w:val="24"/>
          <w:szCs w:val="24"/>
        </w:rPr>
        <w:t>s personnes</w:t>
      </w:r>
      <w:r w:rsidR="00E81CFC" w:rsidRPr="007668DF">
        <w:rPr>
          <w:rFonts w:ascii="Times New Roman" w:hAnsi="Times New Roman"/>
          <w:sz w:val="24"/>
          <w:szCs w:val="24"/>
        </w:rPr>
        <w:t xml:space="preserve"> détenu</w:t>
      </w:r>
      <w:r w:rsidR="00C12065" w:rsidRPr="007668DF">
        <w:rPr>
          <w:rFonts w:ascii="Times New Roman" w:hAnsi="Times New Roman"/>
          <w:sz w:val="24"/>
          <w:szCs w:val="24"/>
        </w:rPr>
        <w:t>e</w:t>
      </w:r>
      <w:r w:rsidR="00E81CFC" w:rsidRPr="007668DF">
        <w:rPr>
          <w:rFonts w:ascii="Times New Roman" w:hAnsi="Times New Roman"/>
          <w:sz w:val="24"/>
          <w:szCs w:val="24"/>
        </w:rPr>
        <w:t xml:space="preserve">s en relation avec le conflit et </w:t>
      </w:r>
      <w:r w:rsidR="00C12065" w:rsidRPr="007668DF">
        <w:rPr>
          <w:rFonts w:ascii="Times New Roman" w:hAnsi="Times New Roman"/>
          <w:sz w:val="24"/>
          <w:szCs w:val="24"/>
        </w:rPr>
        <w:t xml:space="preserve">sur </w:t>
      </w:r>
      <w:r w:rsidR="00E81CFC" w:rsidRPr="007668DF">
        <w:rPr>
          <w:rFonts w:ascii="Times New Roman" w:hAnsi="Times New Roman"/>
          <w:sz w:val="24"/>
          <w:szCs w:val="24"/>
        </w:rPr>
        <w:t>la</w:t>
      </w:r>
      <w:r w:rsidR="00265288" w:rsidRPr="007668DF">
        <w:rPr>
          <w:rFonts w:ascii="Times New Roman" w:hAnsi="Times New Roman"/>
          <w:sz w:val="24"/>
          <w:szCs w:val="24"/>
        </w:rPr>
        <w:t xml:space="preserve"> </w:t>
      </w:r>
      <w:r w:rsidR="00E97FD1" w:rsidRPr="007668DF">
        <w:rPr>
          <w:rFonts w:ascii="Times New Roman" w:hAnsi="Times New Roman"/>
          <w:sz w:val="24"/>
          <w:szCs w:val="24"/>
        </w:rPr>
        <w:t>création d</w:t>
      </w:r>
      <w:r w:rsidR="00C12065" w:rsidRPr="007668DF">
        <w:rPr>
          <w:rFonts w:ascii="Times New Roman" w:hAnsi="Times New Roman"/>
          <w:sz w:val="24"/>
          <w:szCs w:val="24"/>
        </w:rPr>
        <w:t>’une</w:t>
      </w:r>
      <w:r w:rsidR="00E97FD1" w:rsidRPr="007668DF">
        <w:rPr>
          <w:rFonts w:ascii="Times New Roman" w:hAnsi="Times New Roman"/>
          <w:sz w:val="24"/>
          <w:szCs w:val="24"/>
        </w:rPr>
        <w:t xml:space="preserve"> </w:t>
      </w:r>
      <w:r w:rsidR="00E81CFC" w:rsidRPr="007668DF">
        <w:rPr>
          <w:rFonts w:ascii="Times New Roman" w:hAnsi="Times New Roman"/>
          <w:sz w:val="24"/>
          <w:szCs w:val="24"/>
        </w:rPr>
        <w:t xml:space="preserve">Commission </w:t>
      </w:r>
      <w:r w:rsidR="00265288" w:rsidRPr="007668DF">
        <w:rPr>
          <w:rFonts w:ascii="Times New Roman" w:hAnsi="Times New Roman"/>
          <w:sz w:val="24"/>
          <w:szCs w:val="24"/>
        </w:rPr>
        <w:t>d’enquête internationale</w:t>
      </w:r>
      <w:r w:rsidR="00E81CFC" w:rsidRPr="007668DF">
        <w:rPr>
          <w:rFonts w:ascii="Times New Roman" w:hAnsi="Times New Roman"/>
          <w:sz w:val="24"/>
          <w:szCs w:val="24"/>
        </w:rPr>
        <w:t>.</w:t>
      </w:r>
    </w:p>
    <w:p w:rsidR="007C5AB8" w:rsidRPr="007668DF" w:rsidRDefault="007C5AB8" w:rsidP="006C2FA0">
      <w:pPr>
        <w:tabs>
          <w:tab w:val="left" w:pos="567"/>
          <w:tab w:val="left" w:pos="1134"/>
        </w:tabs>
        <w:contextualSpacing/>
        <w:jc w:val="both"/>
        <w:rPr>
          <w:rFonts w:ascii="Times New Roman" w:hAnsi="Times New Roman"/>
          <w:sz w:val="24"/>
          <w:szCs w:val="24"/>
        </w:rPr>
      </w:pPr>
    </w:p>
    <w:p w:rsidR="007C2242" w:rsidRPr="007668DF" w:rsidRDefault="00C50FEB" w:rsidP="006C2FA0">
      <w:pPr>
        <w:tabs>
          <w:tab w:val="left" w:pos="567"/>
          <w:tab w:val="left" w:pos="1134"/>
        </w:tabs>
        <w:spacing w:after="0"/>
        <w:jc w:val="both"/>
        <w:rPr>
          <w:rFonts w:ascii="Times New Roman" w:hAnsi="Times New Roman"/>
          <w:spacing w:val="-2"/>
          <w:sz w:val="24"/>
          <w:szCs w:val="24"/>
        </w:rPr>
      </w:pPr>
      <w:r w:rsidRPr="007668DF">
        <w:rPr>
          <w:rFonts w:ascii="Times New Roman" w:hAnsi="Times New Roman"/>
          <w:sz w:val="24"/>
          <w:szCs w:val="24"/>
        </w:rPr>
        <w:t>2</w:t>
      </w:r>
      <w:r w:rsidR="0086130D">
        <w:rPr>
          <w:rFonts w:ascii="Times New Roman" w:hAnsi="Times New Roman"/>
          <w:sz w:val="24"/>
          <w:szCs w:val="24"/>
        </w:rPr>
        <w:t>2</w:t>
      </w:r>
      <w:r w:rsidR="00A80F0A" w:rsidRPr="007668DF">
        <w:rPr>
          <w:rFonts w:ascii="Times New Roman" w:hAnsi="Times New Roman"/>
          <w:sz w:val="24"/>
          <w:szCs w:val="24"/>
        </w:rPr>
        <w:t>.</w:t>
      </w:r>
      <w:r w:rsidR="00A80F0A" w:rsidRPr="007668DF">
        <w:rPr>
          <w:rFonts w:ascii="Times New Roman" w:hAnsi="Times New Roman"/>
          <w:sz w:val="24"/>
          <w:szCs w:val="24"/>
        </w:rPr>
        <w:tab/>
      </w:r>
      <w:r w:rsidR="007C2242" w:rsidRPr="007668DF">
        <w:rPr>
          <w:rFonts w:ascii="Times New Roman" w:hAnsi="Times New Roman"/>
          <w:sz w:val="24"/>
          <w:szCs w:val="24"/>
        </w:rPr>
        <w:t xml:space="preserve">Sur le plan socio-économique, </w:t>
      </w:r>
      <w:r w:rsidR="00C12065" w:rsidRPr="007668DF">
        <w:rPr>
          <w:rFonts w:ascii="Times New Roman" w:hAnsi="Times New Roman"/>
          <w:sz w:val="24"/>
          <w:szCs w:val="24"/>
        </w:rPr>
        <w:t xml:space="preserve">les </w:t>
      </w:r>
      <w:r w:rsidR="007C2242" w:rsidRPr="007668DF">
        <w:rPr>
          <w:rFonts w:ascii="Times New Roman" w:hAnsi="Times New Roman"/>
          <w:sz w:val="24"/>
          <w:szCs w:val="24"/>
        </w:rPr>
        <w:t xml:space="preserve">relations </w:t>
      </w:r>
      <w:r w:rsidR="00C12065" w:rsidRPr="007668DF">
        <w:rPr>
          <w:rFonts w:ascii="Times New Roman" w:hAnsi="Times New Roman"/>
          <w:sz w:val="24"/>
          <w:szCs w:val="24"/>
        </w:rPr>
        <w:t xml:space="preserve">entre le </w:t>
      </w:r>
      <w:r w:rsidR="008A11D0" w:rsidRPr="007668DF">
        <w:rPr>
          <w:rFonts w:ascii="Times New Roman" w:hAnsi="Times New Roman"/>
          <w:sz w:val="24"/>
          <w:szCs w:val="24"/>
        </w:rPr>
        <w:t>gouvernement</w:t>
      </w:r>
      <w:r w:rsidR="00C12065" w:rsidRPr="007668DF">
        <w:rPr>
          <w:rFonts w:ascii="Times New Roman" w:hAnsi="Times New Roman"/>
          <w:sz w:val="24"/>
          <w:szCs w:val="24"/>
        </w:rPr>
        <w:t xml:space="preserve"> et </w:t>
      </w:r>
      <w:r w:rsidR="007C2242" w:rsidRPr="007668DF">
        <w:rPr>
          <w:rFonts w:ascii="Times New Roman" w:hAnsi="Times New Roman"/>
          <w:sz w:val="24"/>
          <w:szCs w:val="24"/>
        </w:rPr>
        <w:t xml:space="preserve">les partenaires techniques et financiers </w:t>
      </w:r>
      <w:r w:rsidR="00171615" w:rsidRPr="007668DF">
        <w:rPr>
          <w:rFonts w:ascii="Times New Roman" w:hAnsi="Times New Roman"/>
          <w:sz w:val="24"/>
          <w:szCs w:val="24"/>
        </w:rPr>
        <w:t>s</w:t>
      </w:r>
      <w:r w:rsidR="00E24A9A">
        <w:rPr>
          <w:rFonts w:ascii="Times New Roman" w:hAnsi="Times New Roman"/>
          <w:sz w:val="24"/>
          <w:szCs w:val="24"/>
        </w:rPr>
        <w:t>e sont</w:t>
      </w:r>
      <w:r w:rsidR="00171615" w:rsidRPr="007668DF">
        <w:rPr>
          <w:rFonts w:ascii="Times New Roman" w:hAnsi="Times New Roman"/>
          <w:sz w:val="24"/>
          <w:szCs w:val="24"/>
        </w:rPr>
        <w:t xml:space="preserve"> normalisée</w:t>
      </w:r>
      <w:r w:rsidR="00E24A9A">
        <w:rPr>
          <w:rFonts w:ascii="Times New Roman" w:hAnsi="Times New Roman"/>
          <w:sz w:val="24"/>
          <w:szCs w:val="24"/>
        </w:rPr>
        <w:t>s</w:t>
      </w:r>
      <w:r w:rsidR="00171615" w:rsidRPr="007668DF">
        <w:rPr>
          <w:rFonts w:ascii="Times New Roman" w:hAnsi="Times New Roman"/>
          <w:sz w:val="24"/>
          <w:szCs w:val="24"/>
        </w:rPr>
        <w:t xml:space="preserve"> </w:t>
      </w:r>
      <w:r w:rsidR="00C12065" w:rsidRPr="007668DF">
        <w:rPr>
          <w:rFonts w:ascii="Times New Roman" w:hAnsi="Times New Roman"/>
          <w:sz w:val="24"/>
          <w:szCs w:val="24"/>
        </w:rPr>
        <w:t xml:space="preserve">avec </w:t>
      </w:r>
      <w:r w:rsidR="007C2242" w:rsidRPr="007668DF">
        <w:rPr>
          <w:rFonts w:ascii="Times New Roman" w:hAnsi="Times New Roman"/>
          <w:sz w:val="24"/>
          <w:szCs w:val="24"/>
        </w:rPr>
        <w:t xml:space="preserve">la reprise de l’essentiel des programmes qui avaient été interrompus depuis le coup d’Etat de mars 2012. </w:t>
      </w:r>
      <w:r w:rsidR="00E00875" w:rsidRPr="007668DF">
        <w:rPr>
          <w:rFonts w:ascii="Times New Roman" w:hAnsi="Times New Roman"/>
          <w:spacing w:val="-2"/>
          <w:sz w:val="24"/>
          <w:szCs w:val="24"/>
        </w:rPr>
        <w:t xml:space="preserve">Toutefois, dans les régions du </w:t>
      </w:r>
      <w:r w:rsidR="000F036A" w:rsidRPr="007668DF">
        <w:rPr>
          <w:rFonts w:ascii="Times New Roman" w:hAnsi="Times New Roman"/>
          <w:spacing w:val="-2"/>
          <w:sz w:val="24"/>
          <w:szCs w:val="24"/>
        </w:rPr>
        <w:t>N</w:t>
      </w:r>
      <w:r w:rsidR="00E00875" w:rsidRPr="007668DF">
        <w:rPr>
          <w:rFonts w:ascii="Times New Roman" w:hAnsi="Times New Roman"/>
          <w:spacing w:val="-2"/>
          <w:sz w:val="24"/>
          <w:szCs w:val="24"/>
        </w:rPr>
        <w:t>ord, les po</w:t>
      </w:r>
      <w:r w:rsidR="00BF7DEF" w:rsidRPr="007668DF">
        <w:rPr>
          <w:rFonts w:ascii="Times New Roman" w:hAnsi="Times New Roman"/>
          <w:spacing w:val="-2"/>
          <w:sz w:val="24"/>
          <w:szCs w:val="24"/>
        </w:rPr>
        <w:t xml:space="preserve">pulations ont continué à vivre </w:t>
      </w:r>
      <w:r w:rsidR="00E00875" w:rsidRPr="007668DF">
        <w:rPr>
          <w:rFonts w:ascii="Times New Roman" w:hAnsi="Times New Roman"/>
          <w:spacing w:val="-2"/>
          <w:sz w:val="24"/>
          <w:szCs w:val="24"/>
        </w:rPr>
        <w:t xml:space="preserve">dans la précarité par manque d’accès aux services sociaux de base. </w:t>
      </w:r>
      <w:r w:rsidR="007C2242" w:rsidRPr="007668DF">
        <w:rPr>
          <w:rFonts w:ascii="Times New Roman" w:hAnsi="Times New Roman"/>
          <w:spacing w:val="-2"/>
          <w:sz w:val="24"/>
          <w:szCs w:val="24"/>
        </w:rPr>
        <w:t xml:space="preserve">La tenue à Bamako, </w:t>
      </w:r>
      <w:r w:rsidR="00C61EFA" w:rsidRPr="007668DF">
        <w:rPr>
          <w:rFonts w:ascii="Times New Roman" w:hAnsi="Times New Roman"/>
          <w:spacing w:val="-2"/>
          <w:sz w:val="24"/>
          <w:szCs w:val="24"/>
        </w:rPr>
        <w:t xml:space="preserve">du </w:t>
      </w:r>
      <w:r w:rsidR="007C2242" w:rsidRPr="007668DF">
        <w:rPr>
          <w:rFonts w:ascii="Times New Roman" w:hAnsi="Times New Roman"/>
          <w:spacing w:val="-2"/>
          <w:sz w:val="24"/>
          <w:szCs w:val="24"/>
        </w:rPr>
        <w:t xml:space="preserve">23 </w:t>
      </w:r>
      <w:r w:rsidR="00C61EFA" w:rsidRPr="007668DF">
        <w:rPr>
          <w:rFonts w:ascii="Times New Roman" w:hAnsi="Times New Roman"/>
          <w:spacing w:val="-2"/>
          <w:sz w:val="24"/>
          <w:szCs w:val="24"/>
        </w:rPr>
        <w:t xml:space="preserve">au </w:t>
      </w:r>
      <w:r w:rsidR="007C2242" w:rsidRPr="007668DF">
        <w:rPr>
          <w:rFonts w:ascii="Times New Roman" w:hAnsi="Times New Roman"/>
          <w:spacing w:val="-2"/>
          <w:sz w:val="24"/>
          <w:szCs w:val="24"/>
        </w:rPr>
        <w:t xml:space="preserve">24 janvier 2014, du Forum sur </w:t>
      </w:r>
      <w:r w:rsidR="00935118" w:rsidRPr="007668DF">
        <w:rPr>
          <w:rFonts w:ascii="Times New Roman" w:hAnsi="Times New Roman"/>
          <w:spacing w:val="-2"/>
          <w:sz w:val="24"/>
          <w:szCs w:val="24"/>
        </w:rPr>
        <w:t>la corruption</w:t>
      </w:r>
      <w:r w:rsidR="007C2242" w:rsidRPr="007668DF">
        <w:rPr>
          <w:rFonts w:ascii="Times New Roman" w:hAnsi="Times New Roman"/>
          <w:spacing w:val="-2"/>
          <w:sz w:val="24"/>
          <w:szCs w:val="24"/>
        </w:rPr>
        <w:t xml:space="preserve"> et la </w:t>
      </w:r>
      <w:r w:rsidR="00935118" w:rsidRPr="007668DF">
        <w:rPr>
          <w:rFonts w:ascii="Times New Roman" w:hAnsi="Times New Roman"/>
          <w:spacing w:val="-2"/>
          <w:sz w:val="24"/>
          <w:szCs w:val="24"/>
        </w:rPr>
        <w:t>d</w:t>
      </w:r>
      <w:r w:rsidR="007C2242" w:rsidRPr="007668DF">
        <w:rPr>
          <w:rFonts w:ascii="Times New Roman" w:hAnsi="Times New Roman"/>
          <w:spacing w:val="-2"/>
          <w:sz w:val="24"/>
          <w:szCs w:val="24"/>
        </w:rPr>
        <w:t xml:space="preserve">élinquance </w:t>
      </w:r>
      <w:r w:rsidR="00935118" w:rsidRPr="007668DF">
        <w:rPr>
          <w:rFonts w:ascii="Times New Roman" w:hAnsi="Times New Roman"/>
          <w:spacing w:val="-2"/>
          <w:sz w:val="24"/>
          <w:szCs w:val="24"/>
        </w:rPr>
        <w:t>f</w:t>
      </w:r>
      <w:r w:rsidR="007C2242" w:rsidRPr="007668DF">
        <w:rPr>
          <w:rFonts w:ascii="Times New Roman" w:hAnsi="Times New Roman"/>
          <w:spacing w:val="-2"/>
          <w:sz w:val="24"/>
          <w:szCs w:val="24"/>
        </w:rPr>
        <w:t>inancière regroupant tous les p</w:t>
      </w:r>
      <w:r w:rsidR="002057F5" w:rsidRPr="007668DF">
        <w:rPr>
          <w:rFonts w:ascii="Times New Roman" w:hAnsi="Times New Roman"/>
          <w:spacing w:val="-2"/>
          <w:sz w:val="24"/>
          <w:szCs w:val="24"/>
        </w:rPr>
        <w:t>artenaires</w:t>
      </w:r>
      <w:r w:rsidR="007C2242" w:rsidRPr="007668DF">
        <w:rPr>
          <w:rFonts w:ascii="Times New Roman" w:hAnsi="Times New Roman"/>
          <w:spacing w:val="-2"/>
          <w:sz w:val="24"/>
          <w:szCs w:val="24"/>
        </w:rPr>
        <w:t xml:space="preserve"> </w:t>
      </w:r>
      <w:r w:rsidR="00D0291D" w:rsidRPr="007668DF">
        <w:rPr>
          <w:rFonts w:ascii="Times New Roman" w:hAnsi="Times New Roman"/>
          <w:spacing w:val="-2"/>
          <w:sz w:val="24"/>
          <w:szCs w:val="24"/>
        </w:rPr>
        <w:t xml:space="preserve">a </w:t>
      </w:r>
      <w:r w:rsidR="000F036A" w:rsidRPr="007668DF">
        <w:rPr>
          <w:rFonts w:ascii="Times New Roman" w:hAnsi="Times New Roman"/>
          <w:spacing w:val="-2"/>
          <w:sz w:val="24"/>
          <w:szCs w:val="24"/>
        </w:rPr>
        <w:t xml:space="preserve">montré </w:t>
      </w:r>
      <w:r w:rsidR="007C2242" w:rsidRPr="007668DF">
        <w:rPr>
          <w:rFonts w:ascii="Times New Roman" w:hAnsi="Times New Roman"/>
          <w:spacing w:val="-2"/>
          <w:sz w:val="24"/>
          <w:szCs w:val="24"/>
        </w:rPr>
        <w:t xml:space="preserve">la détermination du </w:t>
      </w:r>
      <w:r w:rsidR="00C12065" w:rsidRPr="007668DF">
        <w:rPr>
          <w:rFonts w:ascii="Times New Roman" w:hAnsi="Times New Roman"/>
          <w:spacing w:val="-2"/>
          <w:sz w:val="24"/>
          <w:szCs w:val="24"/>
        </w:rPr>
        <w:t>g</w:t>
      </w:r>
      <w:r w:rsidR="007C2242" w:rsidRPr="007668DF">
        <w:rPr>
          <w:rFonts w:ascii="Times New Roman" w:hAnsi="Times New Roman"/>
          <w:spacing w:val="-2"/>
          <w:sz w:val="24"/>
          <w:szCs w:val="24"/>
        </w:rPr>
        <w:t xml:space="preserve">ouvernement à lutter efficacement contre </w:t>
      </w:r>
      <w:r w:rsidR="004F79AD" w:rsidRPr="007668DF">
        <w:rPr>
          <w:rFonts w:ascii="Times New Roman" w:hAnsi="Times New Roman"/>
          <w:spacing w:val="-2"/>
          <w:sz w:val="24"/>
          <w:szCs w:val="24"/>
        </w:rPr>
        <w:t xml:space="preserve">la corruption </w:t>
      </w:r>
      <w:r w:rsidR="007C2242" w:rsidRPr="007668DF">
        <w:rPr>
          <w:rFonts w:ascii="Times New Roman" w:hAnsi="Times New Roman"/>
          <w:spacing w:val="-2"/>
          <w:sz w:val="24"/>
          <w:szCs w:val="24"/>
        </w:rPr>
        <w:t>et l’impunité</w:t>
      </w:r>
      <w:r w:rsidR="00E00875" w:rsidRPr="007668DF">
        <w:rPr>
          <w:rFonts w:ascii="Times New Roman" w:hAnsi="Times New Roman"/>
          <w:spacing w:val="-2"/>
          <w:sz w:val="24"/>
          <w:szCs w:val="24"/>
        </w:rPr>
        <w:t xml:space="preserve"> dans ce domaine</w:t>
      </w:r>
      <w:r w:rsidR="007C2242" w:rsidRPr="007668DF">
        <w:rPr>
          <w:rFonts w:ascii="Times New Roman" w:hAnsi="Times New Roman"/>
          <w:spacing w:val="-2"/>
          <w:sz w:val="24"/>
          <w:szCs w:val="24"/>
        </w:rPr>
        <w:t xml:space="preserve">. </w:t>
      </w:r>
      <w:r w:rsidR="00935118" w:rsidRPr="007668DF">
        <w:rPr>
          <w:rFonts w:ascii="Times New Roman" w:hAnsi="Times New Roman"/>
          <w:spacing w:val="-2"/>
          <w:sz w:val="24"/>
          <w:szCs w:val="24"/>
        </w:rPr>
        <w:t xml:space="preserve">Le gouvernement </w:t>
      </w:r>
      <w:r w:rsidR="00354995">
        <w:rPr>
          <w:rFonts w:ascii="Times New Roman" w:hAnsi="Times New Roman"/>
          <w:spacing w:val="-2"/>
          <w:sz w:val="24"/>
          <w:szCs w:val="24"/>
        </w:rPr>
        <w:t xml:space="preserve">du Mali a </w:t>
      </w:r>
      <w:r w:rsidR="00935118" w:rsidRPr="007668DF">
        <w:rPr>
          <w:rFonts w:ascii="Times New Roman" w:hAnsi="Times New Roman"/>
          <w:spacing w:val="-2"/>
          <w:sz w:val="24"/>
          <w:szCs w:val="24"/>
        </w:rPr>
        <w:t>décidé</w:t>
      </w:r>
      <w:r w:rsidR="007C2242" w:rsidRPr="007668DF">
        <w:rPr>
          <w:rFonts w:ascii="Times New Roman" w:hAnsi="Times New Roman"/>
          <w:spacing w:val="-2"/>
          <w:sz w:val="24"/>
          <w:szCs w:val="24"/>
        </w:rPr>
        <w:t xml:space="preserve"> d’actualiser le Plan </w:t>
      </w:r>
      <w:r w:rsidR="00C61EFA" w:rsidRPr="007668DF">
        <w:rPr>
          <w:rFonts w:ascii="Times New Roman" w:hAnsi="Times New Roman"/>
          <w:spacing w:val="-2"/>
          <w:sz w:val="24"/>
          <w:szCs w:val="24"/>
        </w:rPr>
        <w:t xml:space="preserve">national </w:t>
      </w:r>
      <w:r w:rsidR="007C2242" w:rsidRPr="007668DF">
        <w:rPr>
          <w:rFonts w:ascii="Times New Roman" w:hAnsi="Times New Roman"/>
          <w:spacing w:val="-2"/>
          <w:sz w:val="24"/>
          <w:szCs w:val="24"/>
        </w:rPr>
        <w:t xml:space="preserve">2009-2013 de lutte contre la délinquance </w:t>
      </w:r>
      <w:r w:rsidR="002057F5" w:rsidRPr="007668DF">
        <w:rPr>
          <w:rFonts w:ascii="Times New Roman" w:hAnsi="Times New Roman"/>
          <w:spacing w:val="-2"/>
          <w:sz w:val="24"/>
          <w:szCs w:val="24"/>
        </w:rPr>
        <w:t>f</w:t>
      </w:r>
      <w:r w:rsidR="007C2242" w:rsidRPr="007668DF">
        <w:rPr>
          <w:rFonts w:ascii="Times New Roman" w:hAnsi="Times New Roman"/>
          <w:spacing w:val="-2"/>
          <w:sz w:val="24"/>
          <w:szCs w:val="24"/>
        </w:rPr>
        <w:t xml:space="preserve">inancière en l’adaptant au </w:t>
      </w:r>
      <w:r w:rsidR="00E24A9A" w:rsidRPr="007668DF">
        <w:rPr>
          <w:rFonts w:ascii="Times New Roman" w:hAnsi="Times New Roman"/>
          <w:spacing w:val="-2"/>
          <w:sz w:val="24"/>
          <w:szCs w:val="24"/>
        </w:rPr>
        <w:t xml:space="preserve">nouveau </w:t>
      </w:r>
      <w:r w:rsidR="007C2242" w:rsidRPr="007668DF">
        <w:rPr>
          <w:rFonts w:ascii="Times New Roman" w:hAnsi="Times New Roman"/>
          <w:spacing w:val="-2"/>
          <w:sz w:val="24"/>
          <w:szCs w:val="24"/>
        </w:rPr>
        <w:t>contexte</w:t>
      </w:r>
      <w:r w:rsidR="007C5AB8" w:rsidRPr="007668DF">
        <w:rPr>
          <w:rFonts w:ascii="Times New Roman" w:hAnsi="Times New Roman"/>
          <w:spacing w:val="-2"/>
          <w:sz w:val="24"/>
          <w:szCs w:val="24"/>
        </w:rPr>
        <w:t xml:space="preserve">. </w:t>
      </w:r>
    </w:p>
    <w:p w:rsidR="007C5AB8" w:rsidRPr="007668DF" w:rsidRDefault="007C5AB8" w:rsidP="006C2FA0">
      <w:pPr>
        <w:tabs>
          <w:tab w:val="left" w:pos="567"/>
          <w:tab w:val="left" w:pos="1134"/>
        </w:tabs>
        <w:spacing w:after="0"/>
        <w:jc w:val="both"/>
        <w:rPr>
          <w:rFonts w:ascii="Times New Roman" w:hAnsi="Times New Roman"/>
          <w:sz w:val="24"/>
          <w:szCs w:val="24"/>
        </w:rPr>
      </w:pPr>
    </w:p>
    <w:p w:rsidR="008243AC" w:rsidRDefault="00A80F0A" w:rsidP="006C2FA0">
      <w:pPr>
        <w:tabs>
          <w:tab w:val="left" w:pos="567"/>
          <w:tab w:val="left" w:pos="1134"/>
        </w:tabs>
        <w:spacing w:after="0"/>
        <w:jc w:val="both"/>
        <w:rPr>
          <w:rFonts w:ascii="Times New Roman" w:eastAsia="Times New Roman" w:hAnsi="Times New Roman"/>
          <w:sz w:val="24"/>
          <w:szCs w:val="24"/>
        </w:rPr>
      </w:pPr>
      <w:r w:rsidRPr="007668DF">
        <w:rPr>
          <w:rFonts w:ascii="Times New Roman" w:eastAsia="Times New Roman" w:hAnsi="Times New Roman"/>
          <w:sz w:val="24"/>
          <w:szCs w:val="24"/>
        </w:rPr>
        <w:t>2</w:t>
      </w:r>
      <w:r w:rsidR="0086130D">
        <w:rPr>
          <w:rFonts w:ascii="Times New Roman" w:eastAsia="Times New Roman" w:hAnsi="Times New Roman"/>
          <w:sz w:val="24"/>
          <w:szCs w:val="24"/>
        </w:rPr>
        <w:t>3</w:t>
      </w:r>
      <w:r w:rsidRPr="007668DF">
        <w:rPr>
          <w:rFonts w:ascii="Times New Roman" w:eastAsia="Times New Roman" w:hAnsi="Times New Roman"/>
          <w:sz w:val="24"/>
          <w:szCs w:val="24"/>
        </w:rPr>
        <w:t>.</w:t>
      </w:r>
      <w:r w:rsidRPr="007668DF">
        <w:rPr>
          <w:rFonts w:ascii="Times New Roman" w:eastAsia="Times New Roman" w:hAnsi="Times New Roman"/>
          <w:sz w:val="24"/>
          <w:szCs w:val="24"/>
        </w:rPr>
        <w:tab/>
      </w:r>
      <w:r w:rsidR="00354995">
        <w:rPr>
          <w:rFonts w:ascii="Times New Roman" w:eastAsia="Times New Roman" w:hAnsi="Times New Roman"/>
          <w:sz w:val="24"/>
          <w:szCs w:val="24"/>
        </w:rPr>
        <w:t>D’une manière générale, l</w:t>
      </w:r>
      <w:r w:rsidR="00E81CFC" w:rsidRPr="007668DF">
        <w:rPr>
          <w:rFonts w:ascii="Times New Roman" w:eastAsia="Times New Roman" w:hAnsi="Times New Roman"/>
          <w:sz w:val="24"/>
          <w:szCs w:val="24"/>
        </w:rPr>
        <w:t xml:space="preserve">a situation </w:t>
      </w:r>
      <w:r w:rsidR="008D56AB" w:rsidRPr="007668DF">
        <w:rPr>
          <w:rFonts w:ascii="Times New Roman" w:eastAsia="Times New Roman" w:hAnsi="Times New Roman"/>
          <w:sz w:val="24"/>
          <w:szCs w:val="24"/>
        </w:rPr>
        <w:t xml:space="preserve">sécuritaire </w:t>
      </w:r>
      <w:r w:rsidR="00E81CFC" w:rsidRPr="007668DF">
        <w:rPr>
          <w:rFonts w:ascii="Times New Roman" w:eastAsia="Times New Roman" w:hAnsi="Times New Roman"/>
          <w:sz w:val="24"/>
          <w:szCs w:val="24"/>
        </w:rPr>
        <w:t xml:space="preserve">dans le nord </w:t>
      </w:r>
      <w:r w:rsidR="0082534F" w:rsidRPr="007668DF">
        <w:rPr>
          <w:rFonts w:ascii="Times New Roman" w:eastAsia="Times New Roman" w:hAnsi="Times New Roman"/>
          <w:sz w:val="24"/>
          <w:szCs w:val="24"/>
        </w:rPr>
        <w:t>demeur</w:t>
      </w:r>
      <w:r w:rsidR="00CD13A9">
        <w:rPr>
          <w:rFonts w:ascii="Times New Roman" w:eastAsia="Times New Roman" w:hAnsi="Times New Roman"/>
          <w:sz w:val="24"/>
          <w:szCs w:val="24"/>
        </w:rPr>
        <w:t>ait</w:t>
      </w:r>
      <w:r w:rsidR="00E81CFC" w:rsidRPr="007668DF">
        <w:rPr>
          <w:rFonts w:ascii="Times New Roman" w:eastAsia="Times New Roman" w:hAnsi="Times New Roman"/>
          <w:sz w:val="24"/>
          <w:szCs w:val="24"/>
        </w:rPr>
        <w:t xml:space="preserve"> </w:t>
      </w:r>
      <w:r w:rsidR="000F036A" w:rsidRPr="007668DF">
        <w:rPr>
          <w:rFonts w:ascii="Times New Roman" w:eastAsia="Times New Roman" w:hAnsi="Times New Roman"/>
          <w:sz w:val="24"/>
          <w:szCs w:val="24"/>
        </w:rPr>
        <w:t>fragile</w:t>
      </w:r>
      <w:r w:rsidR="00E81CFC" w:rsidRPr="007668DF">
        <w:rPr>
          <w:rFonts w:ascii="Times New Roman" w:eastAsia="Times New Roman" w:hAnsi="Times New Roman"/>
          <w:sz w:val="24"/>
          <w:szCs w:val="24"/>
        </w:rPr>
        <w:t xml:space="preserve">. </w:t>
      </w:r>
      <w:r w:rsidR="0082534F" w:rsidRPr="007668DF">
        <w:rPr>
          <w:rFonts w:ascii="Times New Roman" w:eastAsia="Times New Roman" w:hAnsi="Times New Roman"/>
          <w:sz w:val="24"/>
          <w:szCs w:val="24"/>
        </w:rPr>
        <w:t>Du</w:t>
      </w:r>
      <w:r w:rsidR="00AA2897" w:rsidRPr="007668DF">
        <w:rPr>
          <w:rFonts w:ascii="Times New Roman" w:eastAsia="Times New Roman" w:hAnsi="Times New Roman"/>
          <w:sz w:val="24"/>
          <w:szCs w:val="24"/>
        </w:rPr>
        <w:t>rant toute la période examinée</w:t>
      </w:r>
      <w:r w:rsidR="0082534F" w:rsidRPr="007668DF">
        <w:rPr>
          <w:rFonts w:ascii="Times New Roman" w:eastAsia="Times New Roman" w:hAnsi="Times New Roman"/>
          <w:sz w:val="24"/>
          <w:szCs w:val="24"/>
        </w:rPr>
        <w:t>, d</w:t>
      </w:r>
      <w:r w:rsidR="00E81CFC" w:rsidRPr="007668DF">
        <w:rPr>
          <w:rFonts w:ascii="Times New Roman" w:eastAsia="Times New Roman" w:hAnsi="Times New Roman"/>
          <w:sz w:val="24"/>
          <w:szCs w:val="24"/>
        </w:rPr>
        <w:t xml:space="preserve">es cycles d’insécurité </w:t>
      </w:r>
      <w:r w:rsidR="008D56AB" w:rsidRPr="007668DF">
        <w:rPr>
          <w:rFonts w:ascii="Times New Roman" w:eastAsia="Times New Roman" w:hAnsi="Times New Roman"/>
          <w:sz w:val="24"/>
          <w:szCs w:val="24"/>
        </w:rPr>
        <w:t>ont été</w:t>
      </w:r>
      <w:r w:rsidR="00E81CFC" w:rsidRPr="007668DF">
        <w:rPr>
          <w:rFonts w:ascii="Times New Roman" w:eastAsia="Times New Roman" w:hAnsi="Times New Roman"/>
          <w:sz w:val="24"/>
          <w:szCs w:val="24"/>
        </w:rPr>
        <w:t xml:space="preserve"> observés dans la bande sahélo</w:t>
      </w:r>
      <w:r w:rsidR="0082534F" w:rsidRPr="007668DF">
        <w:rPr>
          <w:rFonts w:ascii="Times New Roman" w:eastAsia="Times New Roman" w:hAnsi="Times New Roman"/>
          <w:sz w:val="24"/>
          <w:szCs w:val="24"/>
        </w:rPr>
        <w:t>-</w:t>
      </w:r>
      <w:r w:rsidR="00E81CFC" w:rsidRPr="007668DF">
        <w:rPr>
          <w:rFonts w:ascii="Times New Roman" w:eastAsia="Times New Roman" w:hAnsi="Times New Roman"/>
          <w:sz w:val="24"/>
          <w:szCs w:val="24"/>
        </w:rPr>
        <w:t>saharienne</w:t>
      </w:r>
      <w:r w:rsidR="00B9494F" w:rsidRPr="007668DF">
        <w:rPr>
          <w:rFonts w:ascii="Times New Roman" w:eastAsia="Times New Roman" w:hAnsi="Times New Roman"/>
          <w:sz w:val="24"/>
          <w:szCs w:val="24"/>
        </w:rPr>
        <w:t>,</w:t>
      </w:r>
      <w:r w:rsidR="00E81CFC" w:rsidRPr="007668DF">
        <w:rPr>
          <w:rFonts w:ascii="Times New Roman" w:eastAsia="Times New Roman" w:hAnsi="Times New Roman"/>
          <w:sz w:val="24"/>
          <w:szCs w:val="24"/>
        </w:rPr>
        <w:t xml:space="preserve"> en particulier </w:t>
      </w:r>
      <w:r w:rsidR="00B9494F" w:rsidRPr="007668DF">
        <w:rPr>
          <w:rFonts w:ascii="Times New Roman" w:eastAsia="Times New Roman" w:hAnsi="Times New Roman"/>
          <w:sz w:val="24"/>
          <w:szCs w:val="24"/>
        </w:rPr>
        <w:t xml:space="preserve">dans </w:t>
      </w:r>
      <w:r w:rsidR="00E81CFC" w:rsidRPr="007668DF">
        <w:rPr>
          <w:rFonts w:ascii="Times New Roman" w:eastAsia="Times New Roman" w:hAnsi="Times New Roman"/>
          <w:sz w:val="24"/>
          <w:szCs w:val="24"/>
        </w:rPr>
        <w:t xml:space="preserve">les régions nord du Mali. </w:t>
      </w:r>
      <w:r w:rsidR="0090110D" w:rsidRPr="007668DF">
        <w:rPr>
          <w:rFonts w:ascii="Times New Roman" w:eastAsia="Times New Roman" w:hAnsi="Times New Roman"/>
          <w:sz w:val="24"/>
          <w:szCs w:val="24"/>
        </w:rPr>
        <w:t>L</w:t>
      </w:r>
      <w:r w:rsidR="00E81CFC" w:rsidRPr="007668DF">
        <w:rPr>
          <w:rFonts w:ascii="Times New Roman" w:eastAsia="Times New Roman" w:hAnsi="Times New Roman"/>
          <w:sz w:val="24"/>
          <w:szCs w:val="24"/>
        </w:rPr>
        <w:t>es attaques des grandes agglomérations par les groupes armés sont devenues récurrentes</w:t>
      </w:r>
      <w:r w:rsidR="008D56AB" w:rsidRPr="007668DF">
        <w:rPr>
          <w:rFonts w:ascii="Times New Roman" w:eastAsia="Times New Roman" w:hAnsi="Times New Roman"/>
          <w:sz w:val="24"/>
          <w:szCs w:val="24"/>
        </w:rPr>
        <w:t>.</w:t>
      </w:r>
      <w:r w:rsidR="00E81CFC" w:rsidRPr="007668DF">
        <w:rPr>
          <w:rFonts w:ascii="Times New Roman" w:eastAsia="Times New Roman" w:hAnsi="Times New Roman"/>
          <w:sz w:val="24"/>
          <w:szCs w:val="24"/>
        </w:rPr>
        <w:t xml:space="preserve"> </w:t>
      </w:r>
      <w:r w:rsidR="008D56AB" w:rsidRPr="007668DF">
        <w:rPr>
          <w:rFonts w:ascii="Times New Roman" w:eastAsia="Times New Roman" w:hAnsi="Times New Roman"/>
          <w:sz w:val="24"/>
          <w:szCs w:val="24"/>
        </w:rPr>
        <w:t xml:space="preserve">Au cours de la période couverte par ce rapport, </w:t>
      </w:r>
      <w:r w:rsidR="00F5334E" w:rsidRPr="007668DF">
        <w:rPr>
          <w:rFonts w:ascii="Times New Roman" w:eastAsia="Times New Roman" w:hAnsi="Times New Roman"/>
          <w:sz w:val="24"/>
          <w:szCs w:val="24"/>
        </w:rPr>
        <w:t xml:space="preserve">la </w:t>
      </w:r>
      <w:r w:rsidR="008D56AB" w:rsidRPr="007668DF">
        <w:rPr>
          <w:rFonts w:ascii="Times New Roman" w:eastAsia="Times New Roman" w:hAnsi="Times New Roman"/>
          <w:sz w:val="24"/>
          <w:szCs w:val="24"/>
        </w:rPr>
        <w:t xml:space="preserve">MINUSMA a enregistré </w:t>
      </w:r>
      <w:r w:rsidR="00F5334E" w:rsidRPr="007668DF">
        <w:rPr>
          <w:rFonts w:ascii="Times New Roman" w:eastAsia="Times New Roman" w:hAnsi="Times New Roman"/>
          <w:sz w:val="24"/>
          <w:szCs w:val="24"/>
        </w:rPr>
        <w:t xml:space="preserve">une cinquantaine d’attaques </w:t>
      </w:r>
      <w:r w:rsidR="008D56AB" w:rsidRPr="007668DF">
        <w:rPr>
          <w:rFonts w:ascii="Times New Roman" w:eastAsia="Times New Roman" w:hAnsi="Times New Roman"/>
          <w:sz w:val="24"/>
          <w:szCs w:val="24"/>
        </w:rPr>
        <w:t xml:space="preserve">aux engins explosifs ayant fait </w:t>
      </w:r>
      <w:r w:rsidR="00F5334E" w:rsidRPr="007668DF">
        <w:rPr>
          <w:rFonts w:ascii="Times New Roman" w:eastAsia="Times New Roman" w:hAnsi="Times New Roman"/>
          <w:sz w:val="24"/>
          <w:szCs w:val="24"/>
        </w:rPr>
        <w:t xml:space="preserve">une vingtaine de </w:t>
      </w:r>
      <w:r w:rsidR="00481A3E" w:rsidRPr="007668DF">
        <w:rPr>
          <w:rFonts w:ascii="Times New Roman" w:eastAsia="Times New Roman" w:hAnsi="Times New Roman"/>
          <w:sz w:val="24"/>
          <w:szCs w:val="24"/>
        </w:rPr>
        <w:t>victimes</w:t>
      </w:r>
      <w:r w:rsidR="0082534F" w:rsidRPr="007668DF">
        <w:rPr>
          <w:rFonts w:ascii="Times New Roman" w:eastAsia="Times New Roman" w:hAnsi="Times New Roman"/>
          <w:sz w:val="24"/>
          <w:szCs w:val="24"/>
        </w:rPr>
        <w:t>,</w:t>
      </w:r>
      <w:r w:rsidR="00481A3E" w:rsidRPr="007668DF">
        <w:rPr>
          <w:rFonts w:ascii="Times New Roman" w:eastAsia="Times New Roman" w:hAnsi="Times New Roman"/>
          <w:sz w:val="24"/>
          <w:szCs w:val="24"/>
        </w:rPr>
        <w:t xml:space="preserve"> </w:t>
      </w:r>
      <w:r w:rsidR="00F5334E" w:rsidRPr="007668DF">
        <w:rPr>
          <w:rFonts w:ascii="Times New Roman" w:eastAsia="Times New Roman" w:hAnsi="Times New Roman"/>
          <w:sz w:val="24"/>
          <w:szCs w:val="24"/>
        </w:rPr>
        <w:t>dont 11</w:t>
      </w:r>
      <w:r w:rsidR="00935118" w:rsidRPr="007668DF">
        <w:rPr>
          <w:rFonts w:ascii="Times New Roman" w:eastAsia="Times New Roman" w:hAnsi="Times New Roman"/>
          <w:sz w:val="24"/>
          <w:szCs w:val="24"/>
        </w:rPr>
        <w:t xml:space="preserve"> </w:t>
      </w:r>
      <w:r w:rsidR="00F5334E" w:rsidRPr="007668DF">
        <w:rPr>
          <w:rFonts w:ascii="Times New Roman" w:eastAsia="Times New Roman" w:hAnsi="Times New Roman"/>
          <w:sz w:val="24"/>
          <w:szCs w:val="24"/>
        </w:rPr>
        <w:t>morts.</w:t>
      </w:r>
      <w:r w:rsidR="008D56AB" w:rsidRPr="007668DF">
        <w:rPr>
          <w:rFonts w:ascii="Times New Roman" w:eastAsia="Times New Roman" w:hAnsi="Times New Roman"/>
          <w:sz w:val="24"/>
          <w:szCs w:val="24"/>
        </w:rPr>
        <w:t xml:space="preserve"> Ces victimes sont </w:t>
      </w:r>
      <w:r w:rsidR="00354995">
        <w:rPr>
          <w:rFonts w:ascii="Times New Roman" w:eastAsia="Times New Roman" w:hAnsi="Times New Roman"/>
          <w:sz w:val="24"/>
          <w:szCs w:val="24"/>
        </w:rPr>
        <w:t>diverses : des civils (</w:t>
      </w:r>
      <w:r w:rsidR="008D56AB" w:rsidRPr="007668DF">
        <w:rPr>
          <w:rFonts w:ascii="Times New Roman" w:eastAsia="Times New Roman" w:hAnsi="Times New Roman"/>
          <w:sz w:val="24"/>
          <w:szCs w:val="24"/>
        </w:rPr>
        <w:t xml:space="preserve">des éleveurs, des voyageurs, </w:t>
      </w:r>
      <w:r w:rsidR="008D56AB" w:rsidRPr="007668DF">
        <w:rPr>
          <w:rFonts w:ascii="Times New Roman" w:eastAsia="Times New Roman" w:hAnsi="Times New Roman"/>
          <w:sz w:val="24"/>
          <w:szCs w:val="24"/>
        </w:rPr>
        <w:lastRenderedPageBreak/>
        <w:t>des commerçants, des transporteurs</w:t>
      </w:r>
      <w:r w:rsidR="00E24A9A">
        <w:rPr>
          <w:rFonts w:ascii="Times New Roman" w:eastAsia="Times New Roman" w:hAnsi="Times New Roman"/>
          <w:sz w:val="24"/>
          <w:szCs w:val="24"/>
        </w:rPr>
        <w:t>…</w:t>
      </w:r>
      <w:r w:rsidR="00354995">
        <w:rPr>
          <w:rFonts w:ascii="Times New Roman" w:eastAsia="Times New Roman" w:hAnsi="Times New Roman"/>
          <w:sz w:val="24"/>
          <w:szCs w:val="24"/>
        </w:rPr>
        <w:t xml:space="preserve">) et </w:t>
      </w:r>
      <w:r w:rsidR="008D56AB" w:rsidRPr="007668DF">
        <w:rPr>
          <w:rFonts w:ascii="Times New Roman" w:eastAsia="Times New Roman" w:hAnsi="Times New Roman"/>
          <w:sz w:val="24"/>
          <w:szCs w:val="24"/>
        </w:rPr>
        <w:t xml:space="preserve">des militaires </w:t>
      </w:r>
      <w:r w:rsidR="00354995">
        <w:rPr>
          <w:rFonts w:ascii="Times New Roman" w:eastAsia="Times New Roman" w:hAnsi="Times New Roman"/>
          <w:sz w:val="24"/>
          <w:szCs w:val="24"/>
        </w:rPr>
        <w:t>(</w:t>
      </w:r>
      <w:r w:rsidR="008D56AB" w:rsidRPr="007668DF">
        <w:rPr>
          <w:rFonts w:ascii="Times New Roman" w:eastAsia="Times New Roman" w:hAnsi="Times New Roman"/>
          <w:sz w:val="24"/>
          <w:szCs w:val="24"/>
        </w:rPr>
        <w:t>des FAM</w:t>
      </w:r>
      <w:r w:rsidR="009921EA" w:rsidRPr="007668DF">
        <w:rPr>
          <w:rFonts w:ascii="Times New Roman" w:eastAsia="Times New Roman" w:hAnsi="Times New Roman"/>
          <w:sz w:val="24"/>
          <w:szCs w:val="24"/>
        </w:rPr>
        <w:t>a</w:t>
      </w:r>
      <w:r w:rsidR="008D56AB" w:rsidRPr="007668DF">
        <w:rPr>
          <w:rFonts w:ascii="Times New Roman" w:eastAsia="Times New Roman" w:hAnsi="Times New Roman"/>
          <w:sz w:val="24"/>
          <w:szCs w:val="24"/>
        </w:rPr>
        <w:t xml:space="preserve">, des </w:t>
      </w:r>
      <w:r w:rsidR="009B5C1B" w:rsidRPr="007668DF">
        <w:rPr>
          <w:rFonts w:ascii="Times New Roman" w:eastAsia="Times New Roman" w:hAnsi="Times New Roman"/>
          <w:sz w:val="24"/>
          <w:szCs w:val="24"/>
        </w:rPr>
        <w:t xml:space="preserve">éléments du contingent militaire </w:t>
      </w:r>
      <w:r w:rsidR="008D56AB" w:rsidRPr="007668DF">
        <w:rPr>
          <w:rFonts w:ascii="Times New Roman" w:eastAsia="Times New Roman" w:hAnsi="Times New Roman"/>
          <w:sz w:val="24"/>
          <w:szCs w:val="24"/>
        </w:rPr>
        <w:t xml:space="preserve">de la MINUSMA et des </w:t>
      </w:r>
      <w:r w:rsidR="009B5C1B" w:rsidRPr="007668DF">
        <w:rPr>
          <w:rFonts w:ascii="Times New Roman" w:eastAsia="Times New Roman" w:hAnsi="Times New Roman"/>
          <w:sz w:val="24"/>
          <w:szCs w:val="24"/>
        </w:rPr>
        <w:t xml:space="preserve">éléments de </w:t>
      </w:r>
      <w:r w:rsidR="008D56AB" w:rsidRPr="007668DF">
        <w:rPr>
          <w:rFonts w:ascii="Times New Roman" w:eastAsia="Times New Roman" w:hAnsi="Times New Roman"/>
          <w:sz w:val="24"/>
          <w:szCs w:val="24"/>
        </w:rPr>
        <w:t xml:space="preserve">forces françaises de </w:t>
      </w:r>
      <w:r w:rsidR="009B5C1B" w:rsidRPr="007668DF">
        <w:rPr>
          <w:rFonts w:ascii="Times New Roman" w:eastAsia="Times New Roman" w:hAnsi="Times New Roman"/>
          <w:sz w:val="24"/>
          <w:szCs w:val="24"/>
        </w:rPr>
        <w:t xml:space="preserve">l’opération </w:t>
      </w:r>
      <w:r w:rsidR="00354995" w:rsidRPr="007668DF">
        <w:rPr>
          <w:rFonts w:ascii="Times New Roman" w:eastAsia="Times New Roman" w:hAnsi="Times New Roman"/>
          <w:sz w:val="24"/>
          <w:szCs w:val="24"/>
        </w:rPr>
        <w:t>S</w:t>
      </w:r>
      <w:r w:rsidR="00354995">
        <w:rPr>
          <w:rFonts w:ascii="Times New Roman" w:eastAsia="Times New Roman" w:hAnsi="Times New Roman"/>
          <w:sz w:val="24"/>
          <w:szCs w:val="24"/>
        </w:rPr>
        <w:t>ERVAL)</w:t>
      </w:r>
      <w:r w:rsidR="00481A3E" w:rsidRPr="007668DF">
        <w:rPr>
          <w:rFonts w:ascii="Times New Roman" w:eastAsia="Times New Roman" w:hAnsi="Times New Roman"/>
          <w:sz w:val="24"/>
          <w:szCs w:val="24"/>
        </w:rPr>
        <w:t>.</w:t>
      </w:r>
    </w:p>
    <w:p w:rsidR="008A5F03" w:rsidRPr="007668DF" w:rsidRDefault="008A5F03" w:rsidP="006C2FA0">
      <w:pPr>
        <w:tabs>
          <w:tab w:val="left" w:pos="567"/>
          <w:tab w:val="left" w:pos="1134"/>
        </w:tabs>
        <w:spacing w:after="0"/>
        <w:jc w:val="both"/>
        <w:rPr>
          <w:rFonts w:ascii="Times New Roman" w:eastAsia="Times New Roman" w:hAnsi="Times New Roman"/>
          <w:sz w:val="24"/>
          <w:szCs w:val="24"/>
        </w:rPr>
      </w:pPr>
    </w:p>
    <w:p w:rsidR="008D56AB" w:rsidRPr="007668DF" w:rsidRDefault="008C0749" w:rsidP="003B152B">
      <w:pPr>
        <w:pStyle w:val="Subtitle"/>
      </w:pPr>
      <w:bookmarkStart w:id="8" w:name="_Toc401931488"/>
      <w:r w:rsidRPr="007668DF">
        <w:t>Après</w:t>
      </w:r>
      <w:r w:rsidR="008D56AB" w:rsidRPr="007668DF">
        <w:t xml:space="preserve"> les év</w:t>
      </w:r>
      <w:r w:rsidR="0082534F" w:rsidRPr="007668DF">
        <w:t>é</w:t>
      </w:r>
      <w:r w:rsidR="008D56AB" w:rsidRPr="007668DF">
        <w:t>nements de Kidal du 17 mai</w:t>
      </w:r>
      <w:r w:rsidR="00AA2897" w:rsidRPr="007668DF">
        <w:t xml:space="preserve"> 2014</w:t>
      </w:r>
      <w:bookmarkEnd w:id="8"/>
    </w:p>
    <w:p w:rsidR="00C6477D" w:rsidRPr="007668DF" w:rsidRDefault="003051DD" w:rsidP="006C2FA0">
      <w:pPr>
        <w:tabs>
          <w:tab w:val="left" w:pos="567"/>
        </w:tabs>
        <w:jc w:val="both"/>
        <w:rPr>
          <w:rFonts w:ascii="Times New Roman" w:hAnsi="Times New Roman"/>
          <w:sz w:val="24"/>
          <w:szCs w:val="24"/>
        </w:rPr>
      </w:pPr>
      <w:r w:rsidRPr="007668DF">
        <w:rPr>
          <w:rFonts w:ascii="Times New Roman" w:hAnsi="Times New Roman"/>
          <w:sz w:val="24"/>
          <w:szCs w:val="24"/>
        </w:rPr>
        <w:t>2</w:t>
      </w:r>
      <w:r w:rsidR="0086130D">
        <w:rPr>
          <w:rFonts w:ascii="Times New Roman" w:hAnsi="Times New Roman"/>
          <w:sz w:val="24"/>
          <w:szCs w:val="24"/>
        </w:rPr>
        <w:t>4</w:t>
      </w:r>
      <w:r w:rsidR="00B241A7" w:rsidRPr="007668DF">
        <w:rPr>
          <w:rFonts w:ascii="Times New Roman" w:hAnsi="Times New Roman"/>
          <w:sz w:val="24"/>
          <w:szCs w:val="24"/>
        </w:rPr>
        <w:t xml:space="preserve">. </w:t>
      </w:r>
      <w:r w:rsidR="008A3B41" w:rsidRPr="007668DF">
        <w:rPr>
          <w:rFonts w:ascii="Times New Roman" w:hAnsi="Times New Roman"/>
          <w:sz w:val="24"/>
          <w:szCs w:val="24"/>
        </w:rPr>
        <w:tab/>
      </w:r>
      <w:r w:rsidR="0082534F" w:rsidRPr="007668DF">
        <w:rPr>
          <w:rFonts w:ascii="Times New Roman" w:hAnsi="Times New Roman"/>
          <w:sz w:val="24"/>
          <w:szCs w:val="24"/>
        </w:rPr>
        <w:t>S</w:t>
      </w:r>
      <w:r w:rsidR="009356DD" w:rsidRPr="007668DF">
        <w:rPr>
          <w:rFonts w:ascii="Times New Roman" w:hAnsi="Times New Roman"/>
          <w:sz w:val="24"/>
          <w:szCs w:val="24"/>
        </w:rPr>
        <w:t xml:space="preserve">uite </w:t>
      </w:r>
      <w:r w:rsidR="0082534F" w:rsidRPr="007668DF">
        <w:rPr>
          <w:rFonts w:ascii="Times New Roman" w:hAnsi="Times New Roman"/>
          <w:sz w:val="24"/>
          <w:szCs w:val="24"/>
        </w:rPr>
        <w:t>à</w:t>
      </w:r>
      <w:r w:rsidR="009356DD" w:rsidRPr="007668DF">
        <w:rPr>
          <w:rFonts w:ascii="Times New Roman" w:hAnsi="Times New Roman"/>
          <w:sz w:val="24"/>
          <w:szCs w:val="24"/>
        </w:rPr>
        <w:t xml:space="preserve"> la</w:t>
      </w:r>
      <w:r w:rsidR="00B241A7" w:rsidRPr="007668DF">
        <w:rPr>
          <w:rFonts w:ascii="Times New Roman" w:hAnsi="Times New Roman"/>
          <w:sz w:val="24"/>
          <w:szCs w:val="24"/>
        </w:rPr>
        <w:t xml:space="preserve"> visite du Premier Ministre </w:t>
      </w:r>
      <w:r w:rsidR="0090110D" w:rsidRPr="007668DF">
        <w:rPr>
          <w:rFonts w:ascii="Times New Roman" w:hAnsi="Times New Roman"/>
          <w:sz w:val="24"/>
          <w:szCs w:val="24"/>
        </w:rPr>
        <w:t>m</w:t>
      </w:r>
      <w:r w:rsidR="00B241A7" w:rsidRPr="007668DF">
        <w:rPr>
          <w:rFonts w:ascii="Times New Roman" w:hAnsi="Times New Roman"/>
          <w:sz w:val="24"/>
          <w:szCs w:val="24"/>
        </w:rPr>
        <w:t>alien</w:t>
      </w:r>
      <w:r w:rsidR="001B2B7C">
        <w:rPr>
          <w:rFonts w:ascii="Times New Roman" w:hAnsi="Times New Roman"/>
          <w:sz w:val="24"/>
          <w:szCs w:val="24"/>
        </w:rPr>
        <w:t xml:space="preserve"> (Mr. Moussa Mara)</w:t>
      </w:r>
      <w:r w:rsidR="00B241A7" w:rsidRPr="007668DF">
        <w:rPr>
          <w:rFonts w:ascii="Times New Roman" w:hAnsi="Times New Roman"/>
          <w:sz w:val="24"/>
          <w:szCs w:val="24"/>
        </w:rPr>
        <w:t xml:space="preserve"> dans les régions du </w:t>
      </w:r>
      <w:r w:rsidR="000F036A" w:rsidRPr="007668DF">
        <w:rPr>
          <w:rFonts w:ascii="Times New Roman" w:hAnsi="Times New Roman"/>
          <w:sz w:val="24"/>
          <w:szCs w:val="24"/>
        </w:rPr>
        <w:t>N</w:t>
      </w:r>
      <w:r w:rsidR="00B241A7" w:rsidRPr="007668DF">
        <w:rPr>
          <w:rFonts w:ascii="Times New Roman" w:hAnsi="Times New Roman"/>
          <w:sz w:val="24"/>
          <w:szCs w:val="24"/>
        </w:rPr>
        <w:t>ord, notamment à Tombouctou, Gao et Kidal</w:t>
      </w:r>
      <w:r w:rsidR="0082534F" w:rsidRPr="007668DF">
        <w:rPr>
          <w:rFonts w:ascii="Times New Roman" w:hAnsi="Times New Roman"/>
          <w:sz w:val="24"/>
          <w:szCs w:val="24"/>
        </w:rPr>
        <w:t>,</w:t>
      </w:r>
      <w:r w:rsidR="00B241A7" w:rsidRPr="007668DF">
        <w:rPr>
          <w:rFonts w:ascii="Times New Roman" w:hAnsi="Times New Roman"/>
          <w:sz w:val="24"/>
          <w:szCs w:val="24"/>
        </w:rPr>
        <w:t xml:space="preserve"> entre le</w:t>
      </w:r>
      <w:r w:rsidR="0082534F" w:rsidRPr="007668DF">
        <w:rPr>
          <w:rFonts w:ascii="Times New Roman" w:hAnsi="Times New Roman"/>
          <w:sz w:val="24"/>
          <w:szCs w:val="24"/>
        </w:rPr>
        <w:t>s</w:t>
      </w:r>
      <w:r w:rsidR="00B241A7" w:rsidRPr="007668DF">
        <w:rPr>
          <w:rFonts w:ascii="Times New Roman" w:hAnsi="Times New Roman"/>
          <w:sz w:val="24"/>
          <w:szCs w:val="24"/>
        </w:rPr>
        <w:t xml:space="preserve"> 16 et 17 mai 2014</w:t>
      </w:r>
      <w:r w:rsidR="009356DD" w:rsidRPr="007668DF">
        <w:rPr>
          <w:rFonts w:ascii="Times New Roman" w:hAnsi="Times New Roman"/>
          <w:sz w:val="24"/>
          <w:szCs w:val="24"/>
        </w:rPr>
        <w:t>,</w:t>
      </w:r>
      <w:r w:rsidR="00B07A2F" w:rsidRPr="007668DF">
        <w:rPr>
          <w:rFonts w:ascii="Times New Roman" w:hAnsi="Times New Roman"/>
          <w:sz w:val="24"/>
          <w:szCs w:val="24"/>
        </w:rPr>
        <w:t xml:space="preserve"> de </w:t>
      </w:r>
      <w:r w:rsidR="00B241A7" w:rsidRPr="007668DF">
        <w:rPr>
          <w:rFonts w:ascii="Times New Roman" w:hAnsi="Times New Roman"/>
          <w:sz w:val="24"/>
          <w:szCs w:val="24"/>
        </w:rPr>
        <w:t>violent</w:t>
      </w:r>
      <w:r w:rsidR="00B07A2F" w:rsidRPr="007668DF">
        <w:rPr>
          <w:rFonts w:ascii="Times New Roman" w:hAnsi="Times New Roman"/>
          <w:sz w:val="24"/>
          <w:szCs w:val="24"/>
        </w:rPr>
        <w:t>s</w:t>
      </w:r>
      <w:r w:rsidR="00B241A7" w:rsidRPr="007668DF">
        <w:rPr>
          <w:rFonts w:ascii="Times New Roman" w:hAnsi="Times New Roman"/>
          <w:sz w:val="24"/>
          <w:szCs w:val="24"/>
        </w:rPr>
        <w:t xml:space="preserve"> </w:t>
      </w:r>
      <w:r w:rsidR="00B07A2F" w:rsidRPr="007668DF">
        <w:rPr>
          <w:rFonts w:ascii="Times New Roman" w:hAnsi="Times New Roman"/>
          <w:sz w:val="24"/>
          <w:szCs w:val="24"/>
        </w:rPr>
        <w:t xml:space="preserve">affrontements </w:t>
      </w:r>
      <w:r w:rsidR="00B241A7" w:rsidRPr="007668DF">
        <w:rPr>
          <w:rFonts w:ascii="Times New Roman" w:hAnsi="Times New Roman"/>
          <w:sz w:val="24"/>
          <w:szCs w:val="24"/>
        </w:rPr>
        <w:t>armé</w:t>
      </w:r>
      <w:r w:rsidR="00B07A2F" w:rsidRPr="007668DF">
        <w:rPr>
          <w:rFonts w:ascii="Times New Roman" w:hAnsi="Times New Roman"/>
          <w:sz w:val="24"/>
          <w:szCs w:val="24"/>
        </w:rPr>
        <w:t>s</w:t>
      </w:r>
      <w:r w:rsidR="009356DD" w:rsidRPr="007668DF">
        <w:rPr>
          <w:rFonts w:ascii="Times New Roman" w:hAnsi="Times New Roman"/>
          <w:sz w:val="24"/>
          <w:szCs w:val="24"/>
        </w:rPr>
        <w:t xml:space="preserve"> ont éclaté</w:t>
      </w:r>
      <w:r w:rsidR="00B241A7" w:rsidRPr="007668DF">
        <w:rPr>
          <w:rFonts w:ascii="Times New Roman" w:hAnsi="Times New Roman"/>
          <w:sz w:val="24"/>
          <w:szCs w:val="24"/>
        </w:rPr>
        <w:t xml:space="preserve"> </w:t>
      </w:r>
      <w:r w:rsidR="00B07A2F" w:rsidRPr="007668DF">
        <w:rPr>
          <w:rFonts w:ascii="Times New Roman" w:hAnsi="Times New Roman"/>
          <w:sz w:val="24"/>
          <w:szCs w:val="24"/>
        </w:rPr>
        <w:t>à</w:t>
      </w:r>
      <w:r w:rsidR="00B241A7" w:rsidRPr="007668DF">
        <w:rPr>
          <w:rFonts w:ascii="Times New Roman" w:hAnsi="Times New Roman"/>
          <w:sz w:val="24"/>
          <w:szCs w:val="24"/>
        </w:rPr>
        <w:t xml:space="preserve"> Kidal. </w:t>
      </w:r>
      <w:r w:rsidR="0082534F" w:rsidRPr="007668DF">
        <w:rPr>
          <w:rFonts w:ascii="Times New Roman" w:hAnsi="Times New Roman"/>
          <w:sz w:val="24"/>
          <w:szCs w:val="24"/>
        </w:rPr>
        <w:t>D</w:t>
      </w:r>
      <w:r w:rsidR="00B07A2F" w:rsidRPr="007668DF">
        <w:rPr>
          <w:rFonts w:ascii="Times New Roman" w:hAnsi="Times New Roman"/>
          <w:sz w:val="24"/>
          <w:szCs w:val="24"/>
        </w:rPr>
        <w:t>ans la matinée</w:t>
      </w:r>
      <w:r w:rsidR="0082534F" w:rsidRPr="007668DF">
        <w:rPr>
          <w:rFonts w:ascii="Times New Roman" w:hAnsi="Times New Roman"/>
          <w:sz w:val="24"/>
          <w:szCs w:val="24"/>
        </w:rPr>
        <w:t xml:space="preserve"> du 21 mai</w:t>
      </w:r>
      <w:r w:rsidR="00B07A2F" w:rsidRPr="007668DF">
        <w:rPr>
          <w:rFonts w:ascii="Times New Roman" w:hAnsi="Times New Roman"/>
          <w:sz w:val="24"/>
          <w:szCs w:val="24"/>
        </w:rPr>
        <w:t xml:space="preserve">, des </w:t>
      </w:r>
      <w:r w:rsidR="00B241A7" w:rsidRPr="007668DF">
        <w:rPr>
          <w:rFonts w:ascii="Times New Roman" w:hAnsi="Times New Roman"/>
          <w:sz w:val="24"/>
          <w:szCs w:val="24"/>
        </w:rPr>
        <w:t xml:space="preserve">combats à l’arme lourde ont opposé les forces armés gouvernementales aux </w:t>
      </w:r>
      <w:r w:rsidR="0015680B" w:rsidRPr="007668DF">
        <w:rPr>
          <w:rFonts w:ascii="Times New Roman" w:hAnsi="Times New Roman"/>
          <w:sz w:val="24"/>
          <w:szCs w:val="24"/>
        </w:rPr>
        <w:t>différents</w:t>
      </w:r>
      <w:r w:rsidR="00B241A7" w:rsidRPr="007668DF">
        <w:rPr>
          <w:rFonts w:ascii="Times New Roman" w:hAnsi="Times New Roman"/>
          <w:sz w:val="24"/>
          <w:szCs w:val="24"/>
        </w:rPr>
        <w:t xml:space="preserve"> groupes armés présent</w:t>
      </w:r>
      <w:r w:rsidR="00B07A2F" w:rsidRPr="007668DF">
        <w:rPr>
          <w:rFonts w:ascii="Times New Roman" w:hAnsi="Times New Roman"/>
          <w:sz w:val="24"/>
          <w:szCs w:val="24"/>
        </w:rPr>
        <w:t>s</w:t>
      </w:r>
      <w:r w:rsidR="00B241A7" w:rsidRPr="007668DF">
        <w:rPr>
          <w:rFonts w:ascii="Times New Roman" w:hAnsi="Times New Roman"/>
          <w:sz w:val="24"/>
          <w:szCs w:val="24"/>
        </w:rPr>
        <w:t xml:space="preserve"> </w:t>
      </w:r>
      <w:r w:rsidR="008457D5" w:rsidRPr="007668DF">
        <w:rPr>
          <w:rFonts w:ascii="Times New Roman" w:hAnsi="Times New Roman"/>
          <w:sz w:val="24"/>
          <w:szCs w:val="24"/>
        </w:rPr>
        <w:t>dans la ville</w:t>
      </w:r>
      <w:r w:rsidR="0015680B" w:rsidRPr="007668DF">
        <w:rPr>
          <w:rFonts w:ascii="Times New Roman" w:hAnsi="Times New Roman"/>
          <w:sz w:val="24"/>
          <w:szCs w:val="24"/>
        </w:rPr>
        <w:t>. L</w:t>
      </w:r>
      <w:r w:rsidR="00E87AB9" w:rsidRPr="007668DF">
        <w:rPr>
          <w:rFonts w:ascii="Times New Roman" w:hAnsi="Times New Roman"/>
          <w:sz w:val="24"/>
          <w:szCs w:val="24"/>
        </w:rPr>
        <w:t xml:space="preserve">es combats </w:t>
      </w:r>
      <w:r w:rsidR="008457D5" w:rsidRPr="007668DF">
        <w:rPr>
          <w:rFonts w:ascii="Times New Roman" w:hAnsi="Times New Roman"/>
          <w:sz w:val="24"/>
          <w:szCs w:val="24"/>
        </w:rPr>
        <w:t>dans et autour du bâtiment du gouvernorat</w:t>
      </w:r>
      <w:r w:rsidR="0015680B" w:rsidRPr="007668DF">
        <w:rPr>
          <w:rFonts w:ascii="Times New Roman" w:hAnsi="Times New Roman"/>
          <w:sz w:val="24"/>
          <w:szCs w:val="24"/>
        </w:rPr>
        <w:t xml:space="preserve"> de Kidal </w:t>
      </w:r>
      <w:r w:rsidR="00E87AB9" w:rsidRPr="007668DF">
        <w:rPr>
          <w:rFonts w:ascii="Times New Roman" w:hAnsi="Times New Roman"/>
          <w:sz w:val="24"/>
          <w:szCs w:val="24"/>
        </w:rPr>
        <w:t>ont</w:t>
      </w:r>
      <w:r w:rsidR="0015680B" w:rsidRPr="007668DF">
        <w:rPr>
          <w:rFonts w:ascii="Times New Roman" w:hAnsi="Times New Roman"/>
          <w:sz w:val="24"/>
          <w:szCs w:val="24"/>
        </w:rPr>
        <w:t xml:space="preserve"> </w:t>
      </w:r>
      <w:r w:rsidR="008457D5" w:rsidRPr="007668DF">
        <w:rPr>
          <w:rFonts w:ascii="Times New Roman" w:hAnsi="Times New Roman"/>
          <w:sz w:val="24"/>
          <w:szCs w:val="24"/>
        </w:rPr>
        <w:t xml:space="preserve">entrainé </w:t>
      </w:r>
      <w:r w:rsidR="00354995">
        <w:rPr>
          <w:rFonts w:ascii="Times New Roman" w:hAnsi="Times New Roman"/>
          <w:sz w:val="24"/>
          <w:szCs w:val="24"/>
        </w:rPr>
        <w:t xml:space="preserve">des pertes en vie humaines </w:t>
      </w:r>
      <w:r w:rsidR="0082534F" w:rsidRPr="007668DF">
        <w:rPr>
          <w:rFonts w:ascii="Times New Roman" w:hAnsi="Times New Roman"/>
          <w:sz w:val="24"/>
          <w:szCs w:val="24"/>
        </w:rPr>
        <w:t xml:space="preserve"> </w:t>
      </w:r>
      <w:r w:rsidR="00805953">
        <w:rPr>
          <w:rFonts w:ascii="Times New Roman" w:hAnsi="Times New Roman"/>
          <w:sz w:val="24"/>
          <w:szCs w:val="24"/>
        </w:rPr>
        <w:t>(</w:t>
      </w:r>
      <w:r w:rsidR="008457D5" w:rsidRPr="007668DF">
        <w:rPr>
          <w:rFonts w:ascii="Times New Roman" w:hAnsi="Times New Roman"/>
          <w:sz w:val="24"/>
          <w:szCs w:val="24"/>
        </w:rPr>
        <w:t xml:space="preserve">civils et </w:t>
      </w:r>
      <w:r w:rsidR="0082534F" w:rsidRPr="007668DF">
        <w:rPr>
          <w:rFonts w:ascii="Times New Roman" w:hAnsi="Times New Roman"/>
          <w:sz w:val="24"/>
          <w:szCs w:val="24"/>
        </w:rPr>
        <w:t xml:space="preserve">de </w:t>
      </w:r>
      <w:r w:rsidR="008457D5" w:rsidRPr="007668DF">
        <w:rPr>
          <w:rFonts w:ascii="Times New Roman" w:hAnsi="Times New Roman"/>
          <w:sz w:val="24"/>
          <w:szCs w:val="24"/>
        </w:rPr>
        <w:t>militaire</w:t>
      </w:r>
      <w:r w:rsidR="006B4705" w:rsidRPr="007668DF">
        <w:rPr>
          <w:rFonts w:ascii="Times New Roman" w:hAnsi="Times New Roman"/>
          <w:sz w:val="24"/>
          <w:szCs w:val="24"/>
        </w:rPr>
        <w:t>s</w:t>
      </w:r>
      <w:r w:rsidR="00805953">
        <w:rPr>
          <w:rFonts w:ascii="Times New Roman" w:hAnsi="Times New Roman"/>
          <w:sz w:val="24"/>
          <w:szCs w:val="24"/>
        </w:rPr>
        <w:t>)</w:t>
      </w:r>
      <w:r w:rsidR="0015680B" w:rsidRPr="007668DF">
        <w:rPr>
          <w:rFonts w:ascii="Times New Roman" w:hAnsi="Times New Roman"/>
          <w:sz w:val="24"/>
          <w:szCs w:val="24"/>
        </w:rPr>
        <w:t xml:space="preserve"> </w:t>
      </w:r>
      <w:r w:rsidR="008457D5" w:rsidRPr="007668DF">
        <w:rPr>
          <w:rFonts w:ascii="Times New Roman" w:hAnsi="Times New Roman"/>
          <w:sz w:val="24"/>
          <w:szCs w:val="24"/>
        </w:rPr>
        <w:t xml:space="preserve">et </w:t>
      </w:r>
      <w:r w:rsidR="0015680B" w:rsidRPr="007668DF">
        <w:rPr>
          <w:rFonts w:ascii="Times New Roman" w:hAnsi="Times New Roman"/>
          <w:sz w:val="24"/>
          <w:szCs w:val="24"/>
        </w:rPr>
        <w:t>d’important</w:t>
      </w:r>
      <w:r w:rsidR="006B4705" w:rsidRPr="007668DF">
        <w:rPr>
          <w:rFonts w:ascii="Times New Roman" w:hAnsi="Times New Roman"/>
          <w:sz w:val="24"/>
          <w:szCs w:val="24"/>
        </w:rPr>
        <w:t>s</w:t>
      </w:r>
      <w:r w:rsidR="0015680B" w:rsidRPr="007668DF">
        <w:rPr>
          <w:rFonts w:ascii="Times New Roman" w:hAnsi="Times New Roman"/>
          <w:sz w:val="24"/>
          <w:szCs w:val="24"/>
        </w:rPr>
        <w:t xml:space="preserve"> dégât</w:t>
      </w:r>
      <w:r w:rsidR="006B4705" w:rsidRPr="007668DF">
        <w:rPr>
          <w:rFonts w:ascii="Times New Roman" w:hAnsi="Times New Roman"/>
          <w:sz w:val="24"/>
          <w:szCs w:val="24"/>
        </w:rPr>
        <w:t>s</w:t>
      </w:r>
      <w:r w:rsidR="0015680B" w:rsidRPr="007668DF">
        <w:rPr>
          <w:rFonts w:ascii="Times New Roman" w:hAnsi="Times New Roman"/>
          <w:sz w:val="24"/>
          <w:szCs w:val="24"/>
        </w:rPr>
        <w:t xml:space="preserve"> matériel</w:t>
      </w:r>
      <w:r w:rsidR="006B4705" w:rsidRPr="007668DF">
        <w:rPr>
          <w:rFonts w:ascii="Times New Roman" w:hAnsi="Times New Roman"/>
          <w:sz w:val="24"/>
          <w:szCs w:val="24"/>
        </w:rPr>
        <w:t>s</w:t>
      </w:r>
      <w:r w:rsidR="0015680B" w:rsidRPr="007668DF">
        <w:rPr>
          <w:rFonts w:ascii="Times New Roman" w:hAnsi="Times New Roman"/>
          <w:sz w:val="24"/>
          <w:szCs w:val="24"/>
        </w:rPr>
        <w:t>. Parmi les répercussions</w:t>
      </w:r>
      <w:r w:rsidR="008457D5" w:rsidRPr="007668DF">
        <w:rPr>
          <w:rFonts w:ascii="Times New Roman" w:hAnsi="Times New Roman"/>
          <w:sz w:val="24"/>
          <w:szCs w:val="24"/>
        </w:rPr>
        <w:t xml:space="preserve"> les plus significatives sur le plan </w:t>
      </w:r>
      <w:r w:rsidR="00200C52" w:rsidRPr="007668DF">
        <w:rPr>
          <w:rFonts w:ascii="Times New Roman" w:hAnsi="Times New Roman"/>
          <w:sz w:val="24"/>
          <w:szCs w:val="24"/>
        </w:rPr>
        <w:t>géo</w:t>
      </w:r>
      <w:r w:rsidR="00535080" w:rsidRPr="007668DF">
        <w:rPr>
          <w:rFonts w:ascii="Times New Roman" w:hAnsi="Times New Roman"/>
          <w:sz w:val="24"/>
          <w:szCs w:val="24"/>
        </w:rPr>
        <w:t>politique et sécuritaire,</w:t>
      </w:r>
      <w:r w:rsidR="008457D5" w:rsidRPr="007668DF">
        <w:rPr>
          <w:rFonts w:ascii="Times New Roman" w:hAnsi="Times New Roman"/>
          <w:sz w:val="24"/>
          <w:szCs w:val="24"/>
        </w:rPr>
        <w:t xml:space="preserve"> il convient </w:t>
      </w:r>
      <w:r w:rsidR="00535080" w:rsidRPr="007668DF">
        <w:rPr>
          <w:rFonts w:ascii="Times New Roman" w:hAnsi="Times New Roman"/>
          <w:sz w:val="24"/>
          <w:szCs w:val="24"/>
        </w:rPr>
        <w:t>de citer </w:t>
      </w:r>
      <w:r w:rsidR="0015680B" w:rsidRPr="007668DF">
        <w:rPr>
          <w:rFonts w:ascii="Times New Roman" w:hAnsi="Times New Roman"/>
          <w:sz w:val="24"/>
          <w:szCs w:val="24"/>
        </w:rPr>
        <w:t xml:space="preserve">(i) </w:t>
      </w:r>
      <w:r w:rsidR="00535080" w:rsidRPr="007668DF">
        <w:rPr>
          <w:rFonts w:ascii="Times New Roman" w:hAnsi="Times New Roman"/>
          <w:sz w:val="24"/>
          <w:szCs w:val="24"/>
        </w:rPr>
        <w:t>l’occupation de la région de Kidal et de plusieurs autres localités du nord par les groupes armés</w:t>
      </w:r>
      <w:r w:rsidR="00200C52" w:rsidRPr="007668DF">
        <w:rPr>
          <w:rFonts w:ascii="Times New Roman" w:hAnsi="Times New Roman"/>
          <w:sz w:val="24"/>
          <w:szCs w:val="24"/>
        </w:rPr>
        <w:t xml:space="preserve"> ; </w:t>
      </w:r>
      <w:r w:rsidR="00535080" w:rsidRPr="007668DF">
        <w:rPr>
          <w:rFonts w:ascii="Times New Roman" w:hAnsi="Times New Roman"/>
          <w:sz w:val="24"/>
          <w:szCs w:val="24"/>
        </w:rPr>
        <w:t>(</w:t>
      </w:r>
      <w:r w:rsidR="0015680B" w:rsidRPr="007668DF">
        <w:rPr>
          <w:rFonts w:ascii="Times New Roman" w:hAnsi="Times New Roman"/>
          <w:sz w:val="24"/>
          <w:szCs w:val="24"/>
        </w:rPr>
        <w:t>ii)</w:t>
      </w:r>
      <w:r w:rsidR="00535080" w:rsidRPr="007668DF">
        <w:rPr>
          <w:rFonts w:ascii="Times New Roman" w:hAnsi="Times New Roman"/>
          <w:sz w:val="24"/>
          <w:szCs w:val="24"/>
        </w:rPr>
        <w:t xml:space="preserve"> </w:t>
      </w:r>
      <w:r w:rsidR="0082534F" w:rsidRPr="007668DF">
        <w:rPr>
          <w:rFonts w:ascii="Times New Roman" w:hAnsi="Times New Roman"/>
          <w:sz w:val="24"/>
          <w:szCs w:val="24"/>
        </w:rPr>
        <w:t xml:space="preserve">un </w:t>
      </w:r>
      <w:r w:rsidR="00535080" w:rsidRPr="007668DF">
        <w:rPr>
          <w:rFonts w:ascii="Times New Roman" w:hAnsi="Times New Roman"/>
          <w:sz w:val="24"/>
          <w:szCs w:val="24"/>
        </w:rPr>
        <w:t>accroissement du nombre de déplacés internes</w:t>
      </w:r>
      <w:r w:rsidR="00200C52" w:rsidRPr="007668DF">
        <w:rPr>
          <w:rFonts w:ascii="Times New Roman" w:hAnsi="Times New Roman"/>
          <w:sz w:val="24"/>
          <w:szCs w:val="24"/>
        </w:rPr>
        <w:t xml:space="preserve"> ; </w:t>
      </w:r>
      <w:r w:rsidR="0015680B" w:rsidRPr="007668DF">
        <w:rPr>
          <w:rFonts w:ascii="Times New Roman" w:hAnsi="Times New Roman"/>
          <w:sz w:val="24"/>
          <w:szCs w:val="24"/>
        </w:rPr>
        <w:t>(iii)</w:t>
      </w:r>
      <w:r w:rsidR="00B308B4" w:rsidRPr="007668DF">
        <w:rPr>
          <w:rFonts w:ascii="Times New Roman" w:hAnsi="Times New Roman"/>
          <w:sz w:val="24"/>
          <w:szCs w:val="24"/>
        </w:rPr>
        <w:t xml:space="preserve"> </w:t>
      </w:r>
      <w:r w:rsidR="00200C52" w:rsidRPr="007668DF">
        <w:rPr>
          <w:rFonts w:ascii="Times New Roman" w:hAnsi="Times New Roman"/>
          <w:sz w:val="24"/>
          <w:szCs w:val="24"/>
        </w:rPr>
        <w:t xml:space="preserve">l’arrêt </w:t>
      </w:r>
      <w:r w:rsidR="00B308B4" w:rsidRPr="007668DF">
        <w:rPr>
          <w:rFonts w:ascii="Times New Roman" w:hAnsi="Times New Roman"/>
          <w:sz w:val="24"/>
          <w:szCs w:val="24"/>
        </w:rPr>
        <w:t xml:space="preserve">du processus de redéploiement de l’administration au </w:t>
      </w:r>
      <w:r w:rsidR="000F036A" w:rsidRPr="007668DF">
        <w:rPr>
          <w:rFonts w:ascii="Times New Roman" w:hAnsi="Times New Roman"/>
          <w:sz w:val="24"/>
          <w:szCs w:val="24"/>
        </w:rPr>
        <w:t>n</w:t>
      </w:r>
      <w:r w:rsidR="00B308B4" w:rsidRPr="007668DF">
        <w:rPr>
          <w:rFonts w:ascii="Times New Roman" w:hAnsi="Times New Roman"/>
          <w:sz w:val="24"/>
          <w:szCs w:val="24"/>
        </w:rPr>
        <w:t>ord</w:t>
      </w:r>
      <w:r w:rsidR="0082534F" w:rsidRPr="007668DF">
        <w:rPr>
          <w:rFonts w:ascii="Times New Roman" w:hAnsi="Times New Roman"/>
          <w:sz w:val="24"/>
          <w:szCs w:val="24"/>
        </w:rPr>
        <w:t>, exacerbant</w:t>
      </w:r>
      <w:r w:rsidR="00B308B4" w:rsidRPr="007668DF">
        <w:rPr>
          <w:rFonts w:ascii="Times New Roman" w:hAnsi="Times New Roman"/>
          <w:sz w:val="24"/>
          <w:szCs w:val="24"/>
        </w:rPr>
        <w:t xml:space="preserve"> un climat de peur et d’insécurité </w:t>
      </w:r>
      <w:r w:rsidR="00200C52" w:rsidRPr="007668DF">
        <w:rPr>
          <w:rFonts w:ascii="Times New Roman" w:hAnsi="Times New Roman"/>
          <w:sz w:val="24"/>
          <w:szCs w:val="24"/>
        </w:rPr>
        <w:t xml:space="preserve">généralisé </w:t>
      </w:r>
      <w:r w:rsidR="00B308B4" w:rsidRPr="007668DF">
        <w:rPr>
          <w:rFonts w:ascii="Times New Roman" w:hAnsi="Times New Roman"/>
          <w:sz w:val="24"/>
          <w:szCs w:val="24"/>
        </w:rPr>
        <w:t>au sein de la population.</w:t>
      </w:r>
      <w:r w:rsidR="00B241A7" w:rsidRPr="007668DF">
        <w:rPr>
          <w:rFonts w:ascii="Times New Roman" w:hAnsi="Times New Roman"/>
          <w:sz w:val="24"/>
          <w:szCs w:val="24"/>
        </w:rPr>
        <w:t xml:space="preserve"> </w:t>
      </w:r>
    </w:p>
    <w:p w:rsidR="00C6477D" w:rsidRPr="007668DF" w:rsidRDefault="00C6477D" w:rsidP="006C2FA0">
      <w:pPr>
        <w:tabs>
          <w:tab w:val="left" w:pos="567"/>
        </w:tabs>
        <w:jc w:val="both"/>
        <w:rPr>
          <w:rFonts w:ascii="Times New Roman" w:hAnsi="Times New Roman"/>
          <w:sz w:val="24"/>
          <w:szCs w:val="24"/>
        </w:rPr>
      </w:pPr>
      <w:r w:rsidRPr="007668DF">
        <w:rPr>
          <w:rFonts w:ascii="Times New Roman" w:hAnsi="Times New Roman"/>
          <w:sz w:val="24"/>
          <w:szCs w:val="24"/>
        </w:rPr>
        <w:t>2</w:t>
      </w:r>
      <w:r w:rsidR="0086130D">
        <w:rPr>
          <w:rFonts w:ascii="Times New Roman" w:hAnsi="Times New Roman"/>
          <w:sz w:val="24"/>
          <w:szCs w:val="24"/>
        </w:rPr>
        <w:t>5</w:t>
      </w:r>
      <w:r w:rsidR="00BF7DEF" w:rsidRPr="007668DF">
        <w:rPr>
          <w:rFonts w:ascii="Times New Roman" w:hAnsi="Times New Roman"/>
          <w:sz w:val="24"/>
          <w:szCs w:val="24"/>
        </w:rPr>
        <w:t>.</w:t>
      </w:r>
      <w:r w:rsidR="00BF7DEF" w:rsidRPr="007668DF">
        <w:rPr>
          <w:rFonts w:ascii="Times New Roman" w:hAnsi="Times New Roman"/>
          <w:sz w:val="24"/>
          <w:szCs w:val="24"/>
        </w:rPr>
        <w:tab/>
      </w:r>
      <w:r w:rsidR="00C92B40" w:rsidRPr="007668DF">
        <w:rPr>
          <w:rFonts w:ascii="Times New Roman" w:hAnsi="Times New Roman"/>
          <w:sz w:val="24"/>
          <w:szCs w:val="24"/>
        </w:rPr>
        <w:t>Toutefois,</w:t>
      </w:r>
      <w:r w:rsidR="00FE22FD" w:rsidRPr="007668DF">
        <w:rPr>
          <w:rFonts w:ascii="Times New Roman" w:hAnsi="Times New Roman"/>
          <w:sz w:val="24"/>
          <w:szCs w:val="24"/>
        </w:rPr>
        <w:t xml:space="preserve"> </w:t>
      </w:r>
      <w:r w:rsidR="00C92B40" w:rsidRPr="007668DF">
        <w:rPr>
          <w:rFonts w:ascii="Times New Roman" w:hAnsi="Times New Roman"/>
          <w:sz w:val="24"/>
          <w:szCs w:val="24"/>
        </w:rPr>
        <w:t xml:space="preserve">quelques avancées </w:t>
      </w:r>
      <w:r w:rsidR="00714BB7" w:rsidRPr="007668DF">
        <w:rPr>
          <w:rFonts w:ascii="Times New Roman" w:hAnsi="Times New Roman"/>
          <w:sz w:val="24"/>
          <w:szCs w:val="24"/>
        </w:rPr>
        <w:t xml:space="preserve">importantes </w:t>
      </w:r>
      <w:r w:rsidR="00C92B40" w:rsidRPr="007668DF">
        <w:rPr>
          <w:rFonts w:ascii="Times New Roman" w:hAnsi="Times New Roman"/>
          <w:sz w:val="24"/>
          <w:szCs w:val="24"/>
        </w:rPr>
        <w:t>ont été notées</w:t>
      </w:r>
      <w:r w:rsidR="0082534F" w:rsidRPr="007668DF">
        <w:rPr>
          <w:rFonts w:ascii="Times New Roman" w:hAnsi="Times New Roman"/>
          <w:sz w:val="24"/>
          <w:szCs w:val="24"/>
        </w:rPr>
        <w:t>, en particulier</w:t>
      </w:r>
      <w:r w:rsidR="00C92B40" w:rsidRPr="007668DF">
        <w:rPr>
          <w:rFonts w:ascii="Times New Roman" w:hAnsi="Times New Roman"/>
          <w:sz w:val="24"/>
          <w:szCs w:val="24"/>
        </w:rPr>
        <w:t> </w:t>
      </w:r>
      <w:r w:rsidR="00714BB7" w:rsidRPr="007668DF">
        <w:rPr>
          <w:rFonts w:ascii="Times New Roman" w:hAnsi="Times New Roman"/>
          <w:sz w:val="24"/>
          <w:szCs w:val="24"/>
        </w:rPr>
        <w:t xml:space="preserve">la </w:t>
      </w:r>
      <w:r w:rsidR="00FE22FD" w:rsidRPr="007668DF">
        <w:rPr>
          <w:rFonts w:ascii="Times New Roman" w:hAnsi="Times New Roman"/>
          <w:sz w:val="24"/>
          <w:szCs w:val="24"/>
        </w:rPr>
        <w:t>signature</w:t>
      </w:r>
      <w:r w:rsidR="002427CD" w:rsidRPr="007668DF">
        <w:rPr>
          <w:rFonts w:ascii="Times New Roman" w:hAnsi="Times New Roman"/>
          <w:sz w:val="24"/>
          <w:szCs w:val="24"/>
        </w:rPr>
        <w:t xml:space="preserve"> le</w:t>
      </w:r>
      <w:r w:rsidR="00AA2897" w:rsidRPr="007668DF">
        <w:rPr>
          <w:rFonts w:ascii="Times New Roman" w:hAnsi="Times New Roman"/>
          <w:sz w:val="24"/>
          <w:szCs w:val="24"/>
        </w:rPr>
        <w:t xml:space="preserve"> 23 </w:t>
      </w:r>
      <w:r w:rsidR="007848FF">
        <w:rPr>
          <w:rFonts w:ascii="Times New Roman" w:hAnsi="Times New Roman"/>
          <w:sz w:val="24"/>
          <w:szCs w:val="24"/>
        </w:rPr>
        <w:t>m</w:t>
      </w:r>
      <w:r w:rsidR="00AA2897" w:rsidRPr="007668DF">
        <w:rPr>
          <w:rFonts w:ascii="Times New Roman" w:hAnsi="Times New Roman"/>
          <w:sz w:val="24"/>
          <w:szCs w:val="24"/>
        </w:rPr>
        <w:t xml:space="preserve">ai 2014 </w:t>
      </w:r>
      <w:r w:rsidR="00FE22FD" w:rsidRPr="007668DF">
        <w:rPr>
          <w:rFonts w:ascii="Times New Roman" w:hAnsi="Times New Roman"/>
          <w:sz w:val="24"/>
          <w:szCs w:val="24"/>
        </w:rPr>
        <w:t xml:space="preserve">d’un accord de cessez-le-feu suite à la médiation du </w:t>
      </w:r>
      <w:r w:rsidR="00714BB7" w:rsidRPr="007668DF">
        <w:rPr>
          <w:rFonts w:ascii="Times New Roman" w:hAnsi="Times New Roman"/>
          <w:sz w:val="24"/>
          <w:szCs w:val="24"/>
        </w:rPr>
        <w:t xml:space="preserve">Président de la </w:t>
      </w:r>
      <w:r w:rsidR="000F036A" w:rsidRPr="007668DF">
        <w:rPr>
          <w:rFonts w:ascii="Times New Roman" w:hAnsi="Times New Roman"/>
          <w:sz w:val="24"/>
          <w:szCs w:val="24"/>
        </w:rPr>
        <w:t>R</w:t>
      </w:r>
      <w:r w:rsidR="00714BB7" w:rsidRPr="007668DF">
        <w:rPr>
          <w:rFonts w:ascii="Times New Roman" w:hAnsi="Times New Roman"/>
          <w:sz w:val="24"/>
          <w:szCs w:val="24"/>
        </w:rPr>
        <w:t>épublique islamique de Mauritanie</w:t>
      </w:r>
      <w:r w:rsidR="00FE22FD" w:rsidRPr="007668DF">
        <w:rPr>
          <w:rFonts w:ascii="Times New Roman" w:hAnsi="Times New Roman"/>
          <w:sz w:val="24"/>
          <w:szCs w:val="24"/>
        </w:rPr>
        <w:t>, Mohamed Ould Abdel Aziz</w:t>
      </w:r>
      <w:r w:rsidR="00823812" w:rsidRPr="007668DF">
        <w:rPr>
          <w:rFonts w:ascii="Times New Roman" w:hAnsi="Times New Roman"/>
          <w:sz w:val="24"/>
          <w:szCs w:val="24"/>
        </w:rPr>
        <w:t xml:space="preserve">, </w:t>
      </w:r>
      <w:r w:rsidR="0082534F" w:rsidRPr="007668DF">
        <w:rPr>
          <w:rFonts w:ascii="Times New Roman" w:hAnsi="Times New Roman"/>
          <w:sz w:val="24"/>
          <w:szCs w:val="24"/>
        </w:rPr>
        <w:t>(</w:t>
      </w:r>
      <w:r w:rsidR="00FE22FD" w:rsidRPr="007668DF">
        <w:rPr>
          <w:rFonts w:ascii="Times New Roman" w:hAnsi="Times New Roman"/>
          <w:sz w:val="24"/>
          <w:szCs w:val="24"/>
        </w:rPr>
        <w:t xml:space="preserve">actuel </w:t>
      </w:r>
      <w:r w:rsidR="000F036A" w:rsidRPr="007668DF">
        <w:rPr>
          <w:rFonts w:ascii="Times New Roman" w:hAnsi="Times New Roman"/>
          <w:sz w:val="24"/>
          <w:szCs w:val="24"/>
        </w:rPr>
        <w:t>P</w:t>
      </w:r>
      <w:r w:rsidR="00FE22FD" w:rsidRPr="007668DF">
        <w:rPr>
          <w:rFonts w:ascii="Times New Roman" w:hAnsi="Times New Roman"/>
          <w:sz w:val="24"/>
          <w:szCs w:val="24"/>
        </w:rPr>
        <w:t xml:space="preserve">résident en exercice de l’Union </w:t>
      </w:r>
      <w:r w:rsidR="008E3EA6">
        <w:rPr>
          <w:rFonts w:ascii="Times New Roman" w:hAnsi="Times New Roman"/>
          <w:sz w:val="24"/>
          <w:szCs w:val="24"/>
        </w:rPr>
        <w:t>A</w:t>
      </w:r>
      <w:r w:rsidR="00FE22FD" w:rsidRPr="007668DF">
        <w:rPr>
          <w:rFonts w:ascii="Times New Roman" w:hAnsi="Times New Roman"/>
          <w:sz w:val="24"/>
          <w:szCs w:val="24"/>
        </w:rPr>
        <w:t>fricaine</w:t>
      </w:r>
      <w:r w:rsidR="0082534F" w:rsidRPr="007668DF">
        <w:rPr>
          <w:rFonts w:ascii="Times New Roman" w:hAnsi="Times New Roman"/>
          <w:sz w:val="24"/>
          <w:szCs w:val="24"/>
        </w:rPr>
        <w:t>)</w:t>
      </w:r>
      <w:r w:rsidR="00F71670" w:rsidRPr="007668DF">
        <w:rPr>
          <w:rFonts w:ascii="Times New Roman" w:hAnsi="Times New Roman"/>
          <w:sz w:val="24"/>
          <w:szCs w:val="24"/>
        </w:rPr>
        <w:t xml:space="preserve"> et le Représentant </w:t>
      </w:r>
      <w:r w:rsidR="001B2B7C">
        <w:rPr>
          <w:rFonts w:ascii="Times New Roman" w:hAnsi="Times New Roman"/>
          <w:sz w:val="24"/>
          <w:szCs w:val="24"/>
        </w:rPr>
        <w:t>S</w:t>
      </w:r>
      <w:r w:rsidR="00F71670" w:rsidRPr="007668DF">
        <w:rPr>
          <w:rFonts w:ascii="Times New Roman" w:hAnsi="Times New Roman"/>
          <w:sz w:val="24"/>
          <w:szCs w:val="24"/>
        </w:rPr>
        <w:t xml:space="preserve">pécial du </w:t>
      </w:r>
      <w:r w:rsidR="0082534F" w:rsidRPr="007668DF">
        <w:rPr>
          <w:rFonts w:ascii="Times New Roman" w:hAnsi="Times New Roman"/>
          <w:sz w:val="24"/>
          <w:szCs w:val="24"/>
        </w:rPr>
        <w:t>S</w:t>
      </w:r>
      <w:r w:rsidR="00F71670" w:rsidRPr="007668DF">
        <w:rPr>
          <w:rFonts w:ascii="Times New Roman" w:hAnsi="Times New Roman"/>
          <w:sz w:val="24"/>
          <w:szCs w:val="24"/>
        </w:rPr>
        <w:t xml:space="preserve">ecrétaire </w:t>
      </w:r>
      <w:r w:rsidR="001B2B7C">
        <w:rPr>
          <w:rFonts w:ascii="Times New Roman" w:hAnsi="Times New Roman"/>
          <w:sz w:val="24"/>
          <w:szCs w:val="24"/>
        </w:rPr>
        <w:t>G</w:t>
      </w:r>
      <w:r w:rsidR="00F71670" w:rsidRPr="007668DF">
        <w:rPr>
          <w:rFonts w:ascii="Times New Roman" w:hAnsi="Times New Roman"/>
          <w:sz w:val="24"/>
          <w:szCs w:val="24"/>
        </w:rPr>
        <w:t>énéral</w:t>
      </w:r>
      <w:r w:rsidR="00884470" w:rsidRPr="007668DF">
        <w:rPr>
          <w:rFonts w:ascii="Times New Roman" w:hAnsi="Times New Roman"/>
          <w:sz w:val="24"/>
          <w:szCs w:val="24"/>
        </w:rPr>
        <w:t xml:space="preserve"> </w:t>
      </w:r>
      <w:r w:rsidR="00F71670" w:rsidRPr="007668DF">
        <w:rPr>
          <w:rFonts w:ascii="Times New Roman" w:hAnsi="Times New Roman"/>
          <w:sz w:val="24"/>
          <w:szCs w:val="24"/>
        </w:rPr>
        <w:t xml:space="preserve">pour le </w:t>
      </w:r>
      <w:r w:rsidR="00F71670" w:rsidRPr="007668DF">
        <w:rPr>
          <w:rFonts w:ascii="Times New Roman" w:hAnsi="Times New Roman"/>
          <w:sz w:val="24"/>
          <w:szCs w:val="24"/>
        </w:rPr>
        <w:lastRenderedPageBreak/>
        <w:t>Mali</w:t>
      </w:r>
      <w:r w:rsidR="000F036A" w:rsidRPr="007668DF">
        <w:rPr>
          <w:rFonts w:ascii="Times New Roman" w:hAnsi="Times New Roman"/>
          <w:sz w:val="24"/>
          <w:szCs w:val="24"/>
        </w:rPr>
        <w:t>,</w:t>
      </w:r>
      <w:r w:rsidR="00F71670" w:rsidRPr="007668DF">
        <w:rPr>
          <w:rFonts w:ascii="Times New Roman" w:hAnsi="Times New Roman"/>
          <w:sz w:val="24"/>
          <w:szCs w:val="24"/>
        </w:rPr>
        <w:t xml:space="preserve"> Albert G. Koenders</w:t>
      </w:r>
      <w:r w:rsidR="0082534F" w:rsidRPr="007668DF">
        <w:rPr>
          <w:rFonts w:ascii="Times New Roman" w:hAnsi="Times New Roman"/>
          <w:sz w:val="24"/>
          <w:szCs w:val="24"/>
        </w:rPr>
        <w:t>. L</w:t>
      </w:r>
      <w:r w:rsidR="00823812" w:rsidRPr="007668DF">
        <w:rPr>
          <w:rFonts w:ascii="Times New Roman" w:hAnsi="Times New Roman"/>
          <w:sz w:val="24"/>
          <w:szCs w:val="24"/>
        </w:rPr>
        <w:t xml:space="preserve">es </w:t>
      </w:r>
      <w:r w:rsidR="00FE22FD" w:rsidRPr="007668DF">
        <w:rPr>
          <w:rFonts w:ascii="Times New Roman" w:hAnsi="Times New Roman"/>
          <w:sz w:val="24"/>
          <w:szCs w:val="24"/>
        </w:rPr>
        <w:t>déclarations publiques des autorités gouvernementales et des chefs des groupes armés</w:t>
      </w:r>
      <w:r w:rsidR="0082534F" w:rsidRPr="007668DF">
        <w:rPr>
          <w:rFonts w:ascii="Times New Roman" w:hAnsi="Times New Roman"/>
          <w:sz w:val="24"/>
          <w:szCs w:val="24"/>
        </w:rPr>
        <w:t>,</w:t>
      </w:r>
      <w:r w:rsidR="00FE22FD" w:rsidRPr="007668DF">
        <w:rPr>
          <w:rFonts w:ascii="Times New Roman" w:hAnsi="Times New Roman"/>
          <w:sz w:val="24"/>
          <w:szCs w:val="24"/>
        </w:rPr>
        <w:t xml:space="preserve"> exprimant une volonté commune de résoudre la crise par la voie </w:t>
      </w:r>
      <w:r w:rsidR="00823812" w:rsidRPr="007668DF">
        <w:rPr>
          <w:rFonts w:ascii="Times New Roman" w:hAnsi="Times New Roman"/>
          <w:sz w:val="24"/>
          <w:szCs w:val="24"/>
        </w:rPr>
        <w:t>pacifique</w:t>
      </w:r>
      <w:r w:rsidR="0082534F" w:rsidRPr="007668DF">
        <w:rPr>
          <w:rFonts w:ascii="Times New Roman" w:hAnsi="Times New Roman"/>
          <w:sz w:val="24"/>
          <w:szCs w:val="24"/>
        </w:rPr>
        <w:t>, sont également encourageantes</w:t>
      </w:r>
      <w:r w:rsidR="00FE22FD" w:rsidRPr="007668DF">
        <w:rPr>
          <w:rFonts w:ascii="Times New Roman" w:hAnsi="Times New Roman"/>
          <w:sz w:val="24"/>
          <w:szCs w:val="24"/>
        </w:rPr>
        <w:t>.</w:t>
      </w:r>
    </w:p>
    <w:p w:rsidR="00877B4C" w:rsidRPr="007668DF" w:rsidRDefault="00E81CFC" w:rsidP="003B152B">
      <w:pPr>
        <w:pStyle w:val="Title"/>
        <w:rPr>
          <w:rFonts w:eastAsia="Malgun Gothic"/>
        </w:rPr>
      </w:pPr>
      <w:bookmarkStart w:id="9" w:name="_Toc401931489"/>
      <w:r w:rsidRPr="007668DF">
        <w:rPr>
          <w:rFonts w:eastAsia="Malgun Gothic"/>
        </w:rPr>
        <w:t>Situation des droits de l’homme</w:t>
      </w:r>
      <w:bookmarkEnd w:id="9"/>
    </w:p>
    <w:p w:rsidR="00E81CFC" w:rsidRPr="003B152B" w:rsidRDefault="001B140E" w:rsidP="003B152B">
      <w:pPr>
        <w:pStyle w:val="Subtitle"/>
        <w:numPr>
          <w:ilvl w:val="0"/>
          <w:numId w:val="45"/>
        </w:numPr>
        <w:rPr>
          <w:rFonts w:eastAsia="Malgun Gothic"/>
          <w:b w:val="0"/>
        </w:rPr>
      </w:pPr>
      <w:bookmarkStart w:id="10" w:name="_Toc401931490"/>
      <w:r w:rsidRPr="003B152B">
        <w:rPr>
          <w:rFonts w:eastAsia="Malgun Gothic"/>
        </w:rPr>
        <w:t>Aperçu général</w:t>
      </w:r>
      <w:bookmarkEnd w:id="10"/>
    </w:p>
    <w:p w:rsidR="00E81CFC" w:rsidRPr="007668DF" w:rsidRDefault="00C50FEB" w:rsidP="006C2FA0">
      <w:pPr>
        <w:tabs>
          <w:tab w:val="left" w:pos="567"/>
          <w:tab w:val="left" w:pos="1134"/>
        </w:tabs>
        <w:spacing w:after="0"/>
        <w:jc w:val="both"/>
        <w:rPr>
          <w:rFonts w:ascii="Times New Roman" w:eastAsia="Malgun Gothic" w:hAnsi="Times New Roman"/>
          <w:color w:val="000000"/>
          <w:kern w:val="24"/>
          <w:sz w:val="24"/>
          <w:szCs w:val="24"/>
          <w:lang w:eastAsia="en-GB"/>
        </w:rPr>
      </w:pPr>
      <w:r w:rsidRPr="007668DF">
        <w:rPr>
          <w:rFonts w:ascii="Times New Roman" w:eastAsia="Malgun Gothic" w:hAnsi="Times New Roman"/>
          <w:sz w:val="24"/>
          <w:szCs w:val="24"/>
        </w:rPr>
        <w:t>2</w:t>
      </w:r>
      <w:r w:rsidR="0086130D">
        <w:rPr>
          <w:rFonts w:ascii="Times New Roman" w:eastAsia="Malgun Gothic" w:hAnsi="Times New Roman"/>
          <w:sz w:val="24"/>
          <w:szCs w:val="24"/>
        </w:rPr>
        <w:t>6</w:t>
      </w:r>
      <w:r w:rsidR="0004027B" w:rsidRPr="007668DF">
        <w:rPr>
          <w:rFonts w:ascii="Times New Roman" w:eastAsia="Malgun Gothic" w:hAnsi="Times New Roman"/>
          <w:sz w:val="24"/>
          <w:szCs w:val="24"/>
        </w:rPr>
        <w:t>.</w:t>
      </w:r>
      <w:r w:rsidR="00BF7DEF" w:rsidRPr="007668DF">
        <w:rPr>
          <w:rFonts w:ascii="Times New Roman" w:eastAsia="Malgun Gothic" w:hAnsi="Times New Roman"/>
          <w:sz w:val="24"/>
          <w:szCs w:val="24"/>
        </w:rPr>
        <w:tab/>
      </w:r>
      <w:r w:rsidR="00341B5F" w:rsidRPr="007668DF">
        <w:rPr>
          <w:rFonts w:ascii="Times New Roman" w:eastAsia="Malgun Gothic" w:hAnsi="Times New Roman"/>
          <w:sz w:val="24"/>
          <w:szCs w:val="24"/>
        </w:rPr>
        <w:t>De novembre 2013 au 16 mai 2014</w:t>
      </w:r>
      <w:r w:rsidR="00BF7DEF" w:rsidRPr="007668DF">
        <w:rPr>
          <w:rFonts w:ascii="Times New Roman" w:eastAsia="Malgun Gothic" w:hAnsi="Times New Roman"/>
          <w:sz w:val="24"/>
          <w:szCs w:val="24"/>
        </w:rPr>
        <w:t xml:space="preserve">, </w:t>
      </w:r>
      <w:r w:rsidR="00341B5F" w:rsidRPr="007668DF">
        <w:rPr>
          <w:rFonts w:ascii="Times New Roman" w:eastAsia="Malgun Gothic" w:hAnsi="Times New Roman"/>
          <w:sz w:val="24"/>
          <w:szCs w:val="24"/>
        </w:rPr>
        <w:t xml:space="preserve">la situation des droits de l’homme </w:t>
      </w:r>
      <w:r w:rsidR="00805953">
        <w:rPr>
          <w:rFonts w:ascii="Times New Roman" w:eastAsia="Malgun Gothic" w:hAnsi="Times New Roman"/>
          <w:sz w:val="24"/>
          <w:szCs w:val="24"/>
        </w:rPr>
        <w:t>est demeuré</w:t>
      </w:r>
      <w:r w:rsidR="008E3EA6">
        <w:rPr>
          <w:rFonts w:ascii="Times New Roman" w:eastAsia="Malgun Gothic" w:hAnsi="Times New Roman"/>
          <w:sz w:val="24"/>
          <w:szCs w:val="24"/>
        </w:rPr>
        <w:t>e</w:t>
      </w:r>
      <w:r w:rsidR="00805953" w:rsidRPr="007668DF">
        <w:rPr>
          <w:rFonts w:ascii="Times New Roman" w:eastAsia="Malgun Gothic" w:hAnsi="Times New Roman"/>
          <w:sz w:val="24"/>
          <w:szCs w:val="24"/>
        </w:rPr>
        <w:t xml:space="preserve"> </w:t>
      </w:r>
      <w:r w:rsidR="00341B5F" w:rsidRPr="007668DF">
        <w:rPr>
          <w:rFonts w:ascii="Times New Roman" w:eastAsia="Malgun Gothic" w:hAnsi="Times New Roman"/>
          <w:sz w:val="24"/>
          <w:szCs w:val="24"/>
        </w:rPr>
        <w:t>fragile dans son ensemble.</w:t>
      </w:r>
      <w:r w:rsidR="007E7B2A" w:rsidRPr="007668DF">
        <w:rPr>
          <w:rFonts w:ascii="Times New Roman" w:eastAsia="Malgun Gothic" w:hAnsi="Times New Roman"/>
          <w:sz w:val="24"/>
          <w:szCs w:val="24"/>
        </w:rPr>
        <w:t xml:space="preserve"> </w:t>
      </w:r>
      <w:r w:rsidR="00316C66" w:rsidRPr="007668DF">
        <w:rPr>
          <w:rFonts w:ascii="Times New Roman" w:eastAsia="Malgun Gothic" w:hAnsi="Times New Roman"/>
          <w:sz w:val="24"/>
          <w:szCs w:val="24"/>
        </w:rPr>
        <w:t>En effet, la Division des droits de l’homme a documenté d</w:t>
      </w:r>
      <w:r w:rsidR="00E81CFC" w:rsidRPr="007668DF">
        <w:rPr>
          <w:rFonts w:ascii="Times New Roman" w:eastAsia="Malgun Gothic" w:hAnsi="Times New Roman"/>
          <w:sz w:val="24"/>
          <w:szCs w:val="24"/>
        </w:rPr>
        <w:t>es cas d’exécution</w:t>
      </w:r>
      <w:r w:rsidR="00F54761" w:rsidRPr="007668DF">
        <w:rPr>
          <w:rFonts w:ascii="Times New Roman" w:eastAsia="Malgun Gothic" w:hAnsi="Times New Roman"/>
          <w:sz w:val="24"/>
          <w:szCs w:val="24"/>
        </w:rPr>
        <w:t>s</w:t>
      </w:r>
      <w:r w:rsidR="00E81CFC" w:rsidRPr="007668DF">
        <w:rPr>
          <w:rFonts w:ascii="Times New Roman" w:eastAsia="Malgun Gothic" w:hAnsi="Times New Roman"/>
          <w:sz w:val="24"/>
          <w:szCs w:val="24"/>
        </w:rPr>
        <w:t xml:space="preserve"> sommaire</w:t>
      </w:r>
      <w:r w:rsidR="00F54761" w:rsidRPr="007668DF">
        <w:rPr>
          <w:rFonts w:ascii="Times New Roman" w:eastAsia="Malgun Gothic" w:hAnsi="Times New Roman"/>
          <w:sz w:val="24"/>
          <w:szCs w:val="24"/>
        </w:rPr>
        <w:t>s</w:t>
      </w:r>
      <w:r w:rsidR="005C4DD4" w:rsidRPr="007668DF">
        <w:rPr>
          <w:rFonts w:ascii="Times New Roman" w:eastAsia="Malgun Gothic" w:hAnsi="Times New Roman"/>
          <w:sz w:val="24"/>
          <w:szCs w:val="24"/>
        </w:rPr>
        <w:t xml:space="preserve"> et </w:t>
      </w:r>
      <w:r w:rsidR="001B2B7C">
        <w:rPr>
          <w:rFonts w:ascii="Times New Roman" w:eastAsia="Malgun Gothic" w:hAnsi="Times New Roman"/>
          <w:sz w:val="24"/>
          <w:szCs w:val="24"/>
        </w:rPr>
        <w:t>extr</w:t>
      </w:r>
      <w:r w:rsidR="00750DED" w:rsidRPr="007668DF">
        <w:rPr>
          <w:rFonts w:ascii="Times New Roman" w:eastAsia="Malgun Gothic" w:hAnsi="Times New Roman"/>
          <w:sz w:val="24"/>
          <w:szCs w:val="24"/>
        </w:rPr>
        <w:t>a-judiciaire</w:t>
      </w:r>
      <w:r w:rsidR="00F54761" w:rsidRPr="007668DF">
        <w:rPr>
          <w:rFonts w:ascii="Times New Roman" w:eastAsia="Malgun Gothic" w:hAnsi="Times New Roman"/>
          <w:sz w:val="24"/>
          <w:szCs w:val="24"/>
        </w:rPr>
        <w:t>s</w:t>
      </w:r>
      <w:r w:rsidR="00E81CFC" w:rsidRPr="007668DF">
        <w:rPr>
          <w:rFonts w:ascii="Times New Roman" w:eastAsia="Malgun Gothic" w:hAnsi="Times New Roman"/>
          <w:sz w:val="24"/>
          <w:szCs w:val="24"/>
        </w:rPr>
        <w:t xml:space="preserve">, </w:t>
      </w:r>
      <w:r w:rsidR="00750DED" w:rsidRPr="007668DF">
        <w:rPr>
          <w:rFonts w:ascii="Times New Roman" w:eastAsia="Malgun Gothic" w:hAnsi="Times New Roman"/>
          <w:sz w:val="24"/>
          <w:szCs w:val="24"/>
        </w:rPr>
        <w:t>de</w:t>
      </w:r>
      <w:r w:rsidR="001B2B7C">
        <w:rPr>
          <w:rFonts w:ascii="Times New Roman" w:eastAsia="Malgun Gothic" w:hAnsi="Times New Roman"/>
          <w:sz w:val="24"/>
          <w:szCs w:val="24"/>
        </w:rPr>
        <w:t>s cas de</w:t>
      </w:r>
      <w:r w:rsidR="00750DED" w:rsidRPr="007668DF">
        <w:rPr>
          <w:rFonts w:ascii="Times New Roman" w:eastAsia="Malgun Gothic" w:hAnsi="Times New Roman"/>
          <w:sz w:val="24"/>
          <w:szCs w:val="24"/>
        </w:rPr>
        <w:t xml:space="preserve"> </w:t>
      </w:r>
      <w:r w:rsidR="00E81CFC" w:rsidRPr="007668DF">
        <w:rPr>
          <w:rFonts w:ascii="Times New Roman" w:eastAsia="Malgun Gothic" w:hAnsi="Times New Roman"/>
          <w:sz w:val="24"/>
          <w:szCs w:val="24"/>
        </w:rPr>
        <w:t xml:space="preserve">torture, </w:t>
      </w:r>
      <w:r w:rsidR="00750DED" w:rsidRPr="007668DF">
        <w:rPr>
          <w:rFonts w:ascii="Times New Roman" w:eastAsia="Malgun Gothic" w:hAnsi="Times New Roman"/>
          <w:sz w:val="24"/>
          <w:szCs w:val="24"/>
        </w:rPr>
        <w:t xml:space="preserve">de </w:t>
      </w:r>
      <w:r w:rsidR="00E81CFC" w:rsidRPr="007668DF">
        <w:rPr>
          <w:rFonts w:ascii="Times New Roman" w:eastAsia="Malgun Gothic" w:hAnsi="Times New Roman"/>
          <w:sz w:val="24"/>
          <w:szCs w:val="24"/>
        </w:rPr>
        <w:t>traitement</w:t>
      </w:r>
      <w:r w:rsidR="00750DED" w:rsidRPr="007668DF">
        <w:rPr>
          <w:rFonts w:ascii="Times New Roman" w:eastAsia="Malgun Gothic" w:hAnsi="Times New Roman"/>
          <w:sz w:val="24"/>
          <w:szCs w:val="24"/>
        </w:rPr>
        <w:t xml:space="preserve">s </w:t>
      </w:r>
      <w:r w:rsidR="00A300F8" w:rsidRPr="007668DF">
        <w:rPr>
          <w:rFonts w:ascii="Times New Roman" w:eastAsia="Malgun Gothic" w:hAnsi="Times New Roman"/>
          <w:sz w:val="24"/>
          <w:szCs w:val="24"/>
        </w:rPr>
        <w:t xml:space="preserve">cruels, </w:t>
      </w:r>
      <w:r w:rsidR="00750DED" w:rsidRPr="007668DF">
        <w:rPr>
          <w:rFonts w:ascii="Times New Roman" w:eastAsia="Malgun Gothic" w:hAnsi="Times New Roman"/>
          <w:sz w:val="24"/>
          <w:szCs w:val="24"/>
        </w:rPr>
        <w:t xml:space="preserve">inhumains </w:t>
      </w:r>
      <w:r w:rsidR="002D1CD6" w:rsidRPr="007668DF">
        <w:rPr>
          <w:rFonts w:ascii="Times New Roman" w:eastAsia="Malgun Gothic" w:hAnsi="Times New Roman"/>
          <w:sz w:val="24"/>
          <w:szCs w:val="24"/>
        </w:rPr>
        <w:t>ou</w:t>
      </w:r>
      <w:r w:rsidR="00750DED" w:rsidRPr="007668DF">
        <w:rPr>
          <w:rFonts w:ascii="Times New Roman" w:eastAsia="Malgun Gothic" w:hAnsi="Times New Roman"/>
          <w:sz w:val="24"/>
          <w:szCs w:val="24"/>
        </w:rPr>
        <w:t xml:space="preserve"> dégradants</w:t>
      </w:r>
      <w:r w:rsidR="00E81CFC" w:rsidRPr="007668DF">
        <w:rPr>
          <w:rFonts w:ascii="Times New Roman" w:eastAsia="Malgun Gothic" w:hAnsi="Times New Roman"/>
          <w:sz w:val="24"/>
          <w:szCs w:val="24"/>
        </w:rPr>
        <w:t xml:space="preserve">, </w:t>
      </w:r>
      <w:r w:rsidR="00750DED" w:rsidRPr="007668DF">
        <w:rPr>
          <w:rFonts w:ascii="Times New Roman" w:eastAsia="Malgun Gothic" w:hAnsi="Times New Roman"/>
          <w:sz w:val="24"/>
          <w:szCs w:val="24"/>
        </w:rPr>
        <w:t>d’</w:t>
      </w:r>
      <w:r w:rsidR="00E81CFC" w:rsidRPr="007668DF">
        <w:rPr>
          <w:rFonts w:ascii="Times New Roman" w:eastAsia="Malgun Gothic" w:hAnsi="Times New Roman"/>
          <w:sz w:val="24"/>
          <w:szCs w:val="24"/>
        </w:rPr>
        <w:t>arrestation</w:t>
      </w:r>
      <w:r w:rsidR="00F54761" w:rsidRPr="007668DF">
        <w:rPr>
          <w:rFonts w:ascii="Times New Roman" w:eastAsia="Malgun Gothic" w:hAnsi="Times New Roman"/>
          <w:sz w:val="24"/>
          <w:szCs w:val="24"/>
        </w:rPr>
        <w:t>s</w:t>
      </w:r>
      <w:r w:rsidR="00E81CFC" w:rsidRPr="007668DF">
        <w:rPr>
          <w:rFonts w:ascii="Times New Roman" w:eastAsia="Malgun Gothic" w:hAnsi="Times New Roman"/>
          <w:sz w:val="24"/>
          <w:szCs w:val="24"/>
        </w:rPr>
        <w:t xml:space="preserve"> et </w:t>
      </w:r>
      <w:r w:rsidR="005C4DD4" w:rsidRPr="007668DF">
        <w:rPr>
          <w:rFonts w:ascii="Times New Roman" w:eastAsia="Malgun Gothic" w:hAnsi="Times New Roman"/>
          <w:sz w:val="24"/>
          <w:szCs w:val="24"/>
        </w:rPr>
        <w:t>détention</w:t>
      </w:r>
      <w:r w:rsidR="00F54761" w:rsidRPr="007668DF">
        <w:rPr>
          <w:rFonts w:ascii="Times New Roman" w:eastAsia="Malgun Gothic" w:hAnsi="Times New Roman"/>
          <w:sz w:val="24"/>
          <w:szCs w:val="24"/>
        </w:rPr>
        <w:t xml:space="preserve">s arbitraires </w:t>
      </w:r>
      <w:r w:rsidR="00E81CFC" w:rsidRPr="007668DF">
        <w:rPr>
          <w:rFonts w:ascii="Times New Roman" w:eastAsia="Malgun Gothic" w:hAnsi="Times New Roman"/>
          <w:sz w:val="24"/>
          <w:szCs w:val="24"/>
        </w:rPr>
        <w:t xml:space="preserve">commis par les </w:t>
      </w:r>
      <w:r w:rsidR="00F54761" w:rsidRPr="007668DF">
        <w:rPr>
          <w:rFonts w:ascii="Times New Roman" w:eastAsia="Malgun Gothic" w:hAnsi="Times New Roman"/>
          <w:sz w:val="24"/>
          <w:szCs w:val="24"/>
        </w:rPr>
        <w:t>FAMa</w:t>
      </w:r>
      <w:r w:rsidR="00316C66" w:rsidRPr="007668DF">
        <w:rPr>
          <w:rFonts w:ascii="Times New Roman" w:eastAsia="Malgun Gothic" w:hAnsi="Times New Roman"/>
          <w:sz w:val="24"/>
          <w:szCs w:val="24"/>
        </w:rPr>
        <w:t>, ainsi que des</w:t>
      </w:r>
      <w:r w:rsidR="00E81CFC" w:rsidRPr="007668DF">
        <w:rPr>
          <w:rFonts w:ascii="Times New Roman" w:eastAsia="Malgun Gothic" w:hAnsi="Times New Roman"/>
          <w:sz w:val="24"/>
          <w:szCs w:val="24"/>
        </w:rPr>
        <w:t xml:space="preserve"> abus des droits de l’homme </w:t>
      </w:r>
      <w:r w:rsidR="008E3EA6">
        <w:rPr>
          <w:rFonts w:ascii="Times New Roman" w:eastAsia="Malgun Gothic" w:hAnsi="Times New Roman"/>
          <w:sz w:val="24"/>
          <w:szCs w:val="24"/>
        </w:rPr>
        <w:t xml:space="preserve">et du droit international humanitaire </w:t>
      </w:r>
      <w:r w:rsidR="00EB5231" w:rsidRPr="007668DF">
        <w:rPr>
          <w:rFonts w:ascii="Times New Roman" w:eastAsia="Malgun Gothic" w:hAnsi="Times New Roman"/>
          <w:sz w:val="24"/>
          <w:szCs w:val="24"/>
        </w:rPr>
        <w:t xml:space="preserve">perpétrés </w:t>
      </w:r>
      <w:r w:rsidR="00E81CFC" w:rsidRPr="007668DF">
        <w:rPr>
          <w:rFonts w:ascii="Times New Roman" w:eastAsia="Malgun Gothic" w:hAnsi="Times New Roman"/>
          <w:sz w:val="24"/>
          <w:szCs w:val="24"/>
        </w:rPr>
        <w:t>par les combattants des groupes armés</w:t>
      </w:r>
      <w:r w:rsidR="001B140E" w:rsidRPr="007668DF">
        <w:rPr>
          <w:rFonts w:ascii="Times New Roman" w:eastAsia="Malgun Gothic" w:hAnsi="Times New Roman"/>
          <w:sz w:val="24"/>
          <w:szCs w:val="24"/>
        </w:rPr>
        <w:t xml:space="preserve">. </w:t>
      </w:r>
    </w:p>
    <w:p w:rsidR="003905DB" w:rsidRPr="007668DF" w:rsidRDefault="003905DB" w:rsidP="006C2FA0">
      <w:pPr>
        <w:tabs>
          <w:tab w:val="left" w:pos="567"/>
          <w:tab w:val="left" w:pos="1134"/>
        </w:tabs>
        <w:spacing w:after="0"/>
        <w:jc w:val="both"/>
        <w:rPr>
          <w:rFonts w:ascii="Times New Roman" w:eastAsia="Malgun Gothic" w:hAnsi="Times New Roman"/>
          <w:sz w:val="24"/>
          <w:szCs w:val="24"/>
        </w:rPr>
      </w:pPr>
    </w:p>
    <w:p w:rsidR="00E81CFC" w:rsidRPr="007668DF" w:rsidRDefault="00E81CFC" w:rsidP="003B152B">
      <w:pPr>
        <w:pStyle w:val="Subtitle"/>
        <w:rPr>
          <w:rFonts w:eastAsia="Malgun Gothic"/>
        </w:rPr>
      </w:pPr>
      <w:bookmarkStart w:id="11" w:name="_Toc401931491"/>
      <w:r w:rsidRPr="007668DF">
        <w:rPr>
          <w:rFonts w:eastAsia="Malgun Gothic"/>
        </w:rPr>
        <w:t>Violations des droits de l</w:t>
      </w:r>
      <w:r w:rsidR="00931438" w:rsidRPr="007668DF">
        <w:rPr>
          <w:rFonts w:eastAsia="Malgun Gothic"/>
        </w:rPr>
        <w:t>’</w:t>
      </w:r>
      <w:r w:rsidRPr="007668DF">
        <w:rPr>
          <w:rFonts w:eastAsia="Malgun Gothic"/>
        </w:rPr>
        <w:t>homme</w:t>
      </w:r>
      <w:r w:rsidR="008E3EA6">
        <w:rPr>
          <w:rFonts w:eastAsia="Malgun Gothic"/>
        </w:rPr>
        <w:t xml:space="preserve"> et du droit international humanitaire</w:t>
      </w:r>
      <w:r w:rsidRPr="007668DF">
        <w:rPr>
          <w:rFonts w:eastAsia="Malgun Gothic"/>
        </w:rPr>
        <w:t xml:space="preserve"> commises par </w:t>
      </w:r>
      <w:r w:rsidR="004935DB" w:rsidRPr="007668DF">
        <w:rPr>
          <w:rFonts w:eastAsia="Malgun Gothic"/>
        </w:rPr>
        <w:t>les forces armées maliennes</w:t>
      </w:r>
      <w:bookmarkEnd w:id="11"/>
      <w:r w:rsidR="004935DB" w:rsidRPr="007668DF">
        <w:rPr>
          <w:rFonts w:eastAsia="Malgun Gothic"/>
        </w:rPr>
        <w:t xml:space="preserve"> </w:t>
      </w:r>
    </w:p>
    <w:p w:rsidR="00341B5F" w:rsidRPr="007668DF" w:rsidRDefault="00C50FEB" w:rsidP="006C2FA0">
      <w:pPr>
        <w:tabs>
          <w:tab w:val="left" w:pos="567"/>
          <w:tab w:val="left" w:pos="1134"/>
        </w:tabs>
        <w:spacing w:after="0"/>
        <w:jc w:val="both"/>
        <w:rPr>
          <w:rFonts w:ascii="Times New Roman" w:eastAsia="Malgun Gothic" w:hAnsi="Times New Roman"/>
          <w:sz w:val="24"/>
          <w:szCs w:val="24"/>
        </w:rPr>
      </w:pPr>
      <w:r w:rsidRPr="007668DF">
        <w:rPr>
          <w:rFonts w:ascii="Times New Roman" w:eastAsia="Malgun Gothic" w:hAnsi="Times New Roman"/>
          <w:sz w:val="24"/>
          <w:szCs w:val="24"/>
        </w:rPr>
        <w:t>2</w:t>
      </w:r>
      <w:r w:rsidR="0086130D">
        <w:rPr>
          <w:rFonts w:ascii="Times New Roman" w:eastAsia="Malgun Gothic" w:hAnsi="Times New Roman"/>
          <w:sz w:val="24"/>
          <w:szCs w:val="24"/>
        </w:rPr>
        <w:t>7</w:t>
      </w:r>
      <w:r w:rsidR="0004027B" w:rsidRPr="007668DF">
        <w:rPr>
          <w:rFonts w:ascii="Times New Roman" w:eastAsia="Malgun Gothic" w:hAnsi="Times New Roman"/>
          <w:sz w:val="24"/>
          <w:szCs w:val="24"/>
        </w:rPr>
        <w:t>.</w:t>
      </w:r>
      <w:r w:rsidR="0004027B" w:rsidRPr="007668DF">
        <w:rPr>
          <w:rFonts w:ascii="Times New Roman" w:eastAsia="Malgun Gothic" w:hAnsi="Times New Roman"/>
          <w:sz w:val="24"/>
          <w:szCs w:val="24"/>
        </w:rPr>
        <w:tab/>
      </w:r>
      <w:r w:rsidR="00341B5F" w:rsidRPr="007668DF">
        <w:rPr>
          <w:rFonts w:ascii="Times New Roman" w:eastAsia="Malgun Gothic" w:hAnsi="Times New Roman"/>
          <w:sz w:val="24"/>
          <w:szCs w:val="24"/>
        </w:rPr>
        <w:t>Malgré la cessation des hostilités consacrée par l’Acc</w:t>
      </w:r>
      <w:r w:rsidR="00BF7DEF" w:rsidRPr="007668DF">
        <w:rPr>
          <w:rFonts w:ascii="Times New Roman" w:eastAsia="Malgun Gothic" w:hAnsi="Times New Roman"/>
          <w:sz w:val="24"/>
          <w:szCs w:val="24"/>
        </w:rPr>
        <w:t>ord préliminaire de Ouagadougou</w:t>
      </w:r>
      <w:r w:rsidR="00341B5F" w:rsidRPr="007668DF">
        <w:rPr>
          <w:rFonts w:ascii="Times New Roman" w:eastAsia="Malgun Gothic" w:hAnsi="Times New Roman"/>
          <w:sz w:val="24"/>
          <w:szCs w:val="24"/>
        </w:rPr>
        <w:t xml:space="preserve">, des témoignages recueillis par la Division des droits de l’homme et corroborés par les acteurs et observateurs locaux, y compris des leaders communautaires, démontrent que des tensions persistent entre les militaires FAMa déployés dans les régions du nord et des membres de certaines communautés qui sont accusés d’être complices des groupes armés et </w:t>
      </w:r>
      <w:r w:rsidR="00F47D98">
        <w:rPr>
          <w:rFonts w:ascii="Times New Roman" w:eastAsia="Malgun Gothic" w:hAnsi="Times New Roman"/>
          <w:sz w:val="24"/>
          <w:szCs w:val="24"/>
        </w:rPr>
        <w:t xml:space="preserve">groupes </w:t>
      </w:r>
      <w:r w:rsidR="00D049C0">
        <w:rPr>
          <w:rFonts w:ascii="Times New Roman" w:eastAsia="Malgun Gothic" w:hAnsi="Times New Roman"/>
          <w:sz w:val="24"/>
          <w:szCs w:val="24"/>
        </w:rPr>
        <w:lastRenderedPageBreak/>
        <w:t>extrémistes</w:t>
      </w:r>
      <w:r w:rsidR="00582341" w:rsidRPr="007668DF">
        <w:rPr>
          <w:rFonts w:ascii="Times New Roman" w:eastAsia="Malgun Gothic" w:hAnsi="Times New Roman"/>
          <w:sz w:val="24"/>
          <w:szCs w:val="24"/>
        </w:rPr>
        <w:t xml:space="preserve"> </w:t>
      </w:r>
      <w:r w:rsidR="00341B5F" w:rsidRPr="007668DF">
        <w:rPr>
          <w:rFonts w:ascii="Times New Roman" w:eastAsia="Malgun Gothic" w:hAnsi="Times New Roman"/>
          <w:sz w:val="24"/>
          <w:szCs w:val="24"/>
        </w:rPr>
        <w:t>pendant l’occupation du nord du pays avant mars 2013. Les équipes de la Division des droits de l’homme ont reçu des informations crédibles selon lesquelles des militaires auraient commis des violations des droits de l’homme sur des civils, notamment des exécutions sommaires, des cas de torture</w:t>
      </w:r>
      <w:r w:rsidR="001B2B7C">
        <w:rPr>
          <w:rFonts w:ascii="Times New Roman" w:eastAsia="Malgun Gothic" w:hAnsi="Times New Roman"/>
          <w:sz w:val="24"/>
          <w:szCs w:val="24"/>
        </w:rPr>
        <w:t>,</w:t>
      </w:r>
      <w:r w:rsidR="00341B5F" w:rsidRPr="007668DF">
        <w:rPr>
          <w:rFonts w:ascii="Times New Roman" w:eastAsia="Malgun Gothic" w:hAnsi="Times New Roman"/>
          <w:sz w:val="24"/>
          <w:szCs w:val="24"/>
        </w:rPr>
        <w:t xml:space="preserve"> de traitements cruels</w:t>
      </w:r>
      <w:r w:rsidR="001B2B7C">
        <w:rPr>
          <w:rFonts w:ascii="Times New Roman" w:eastAsia="Malgun Gothic" w:hAnsi="Times New Roman"/>
          <w:sz w:val="24"/>
          <w:szCs w:val="24"/>
        </w:rPr>
        <w:t xml:space="preserve">, </w:t>
      </w:r>
      <w:r w:rsidR="00341B5F" w:rsidRPr="007668DF">
        <w:rPr>
          <w:rFonts w:ascii="Times New Roman" w:eastAsia="Malgun Gothic" w:hAnsi="Times New Roman"/>
          <w:sz w:val="24"/>
          <w:szCs w:val="24"/>
        </w:rPr>
        <w:t>inhumains</w:t>
      </w:r>
      <w:r w:rsidR="00805953">
        <w:rPr>
          <w:rFonts w:ascii="Times New Roman" w:eastAsia="Malgun Gothic" w:hAnsi="Times New Roman"/>
          <w:sz w:val="24"/>
          <w:szCs w:val="24"/>
        </w:rPr>
        <w:t xml:space="preserve"> ou dégradants, des viols,</w:t>
      </w:r>
      <w:r w:rsidR="00805953" w:rsidRPr="007668DF">
        <w:rPr>
          <w:rFonts w:ascii="Times New Roman" w:eastAsia="Malgun Gothic" w:hAnsi="Times New Roman"/>
          <w:sz w:val="24"/>
          <w:szCs w:val="24"/>
        </w:rPr>
        <w:t xml:space="preserve"> des</w:t>
      </w:r>
      <w:r w:rsidR="00341B5F" w:rsidRPr="007668DF">
        <w:rPr>
          <w:rFonts w:ascii="Times New Roman" w:eastAsia="Malgun Gothic" w:hAnsi="Times New Roman"/>
          <w:sz w:val="24"/>
          <w:szCs w:val="24"/>
        </w:rPr>
        <w:t xml:space="preserve"> enlèvements, des arrestations arbitraires et </w:t>
      </w:r>
      <w:r w:rsidR="00CD13A9">
        <w:rPr>
          <w:rFonts w:ascii="Times New Roman" w:eastAsia="Malgun Gothic" w:hAnsi="Times New Roman"/>
          <w:sz w:val="24"/>
          <w:szCs w:val="24"/>
        </w:rPr>
        <w:t xml:space="preserve">des </w:t>
      </w:r>
      <w:r w:rsidR="00341B5F" w:rsidRPr="007668DF">
        <w:rPr>
          <w:rFonts w:ascii="Times New Roman" w:eastAsia="Malgun Gothic" w:hAnsi="Times New Roman"/>
          <w:sz w:val="24"/>
          <w:szCs w:val="24"/>
        </w:rPr>
        <w:t>détentions illégales, en particulier à Kidal o</w:t>
      </w:r>
      <w:r w:rsidR="001B2B7C">
        <w:rPr>
          <w:rFonts w:ascii="Times New Roman" w:eastAsia="Malgun Gothic" w:hAnsi="Times New Roman"/>
          <w:sz w:val="24"/>
          <w:szCs w:val="24"/>
        </w:rPr>
        <w:t>ù</w:t>
      </w:r>
      <w:r w:rsidR="00341B5F" w:rsidRPr="007668DF">
        <w:rPr>
          <w:rFonts w:ascii="Times New Roman" w:eastAsia="Malgun Gothic" w:hAnsi="Times New Roman"/>
          <w:sz w:val="24"/>
          <w:szCs w:val="24"/>
        </w:rPr>
        <w:t xml:space="preserve"> les violations enregistrées ont été les plus nombreuses, mais aussi</w:t>
      </w:r>
      <w:r w:rsidR="00F410E9" w:rsidRPr="007668DF">
        <w:rPr>
          <w:rFonts w:ascii="Times New Roman" w:eastAsia="Malgun Gothic" w:hAnsi="Times New Roman"/>
          <w:sz w:val="24"/>
          <w:szCs w:val="24"/>
        </w:rPr>
        <w:t xml:space="preserve"> </w:t>
      </w:r>
      <w:r w:rsidR="00CD13A9">
        <w:rPr>
          <w:rFonts w:ascii="Times New Roman" w:eastAsia="Malgun Gothic" w:hAnsi="Times New Roman"/>
          <w:sz w:val="24"/>
          <w:szCs w:val="24"/>
        </w:rPr>
        <w:t xml:space="preserve">à </w:t>
      </w:r>
      <w:r w:rsidR="00F410E9" w:rsidRPr="007668DF">
        <w:rPr>
          <w:rFonts w:ascii="Times New Roman" w:eastAsia="Malgun Gothic" w:hAnsi="Times New Roman"/>
          <w:sz w:val="24"/>
          <w:szCs w:val="24"/>
        </w:rPr>
        <w:t>Anefis, Tarssek,</w:t>
      </w:r>
      <w:r w:rsidR="00341B5F" w:rsidRPr="007668DF">
        <w:rPr>
          <w:rFonts w:ascii="Times New Roman" w:eastAsia="Malgun Gothic" w:hAnsi="Times New Roman"/>
          <w:sz w:val="24"/>
          <w:szCs w:val="24"/>
        </w:rPr>
        <w:t xml:space="preserve"> Ague</w:t>
      </w:r>
      <w:r w:rsidR="00F410E9" w:rsidRPr="007668DF">
        <w:rPr>
          <w:rFonts w:ascii="Times New Roman" w:eastAsia="Malgun Gothic" w:hAnsi="Times New Roman"/>
          <w:sz w:val="24"/>
          <w:szCs w:val="24"/>
        </w:rPr>
        <w:t>lhok et dans la région de Gao.</w:t>
      </w:r>
    </w:p>
    <w:p w:rsidR="002427CD" w:rsidRPr="007668DF" w:rsidRDefault="00002306" w:rsidP="006C2FA0">
      <w:pPr>
        <w:keepNext/>
        <w:tabs>
          <w:tab w:val="left" w:pos="567"/>
          <w:tab w:val="left" w:pos="1134"/>
        </w:tabs>
        <w:spacing w:after="0"/>
        <w:jc w:val="both"/>
        <w:outlineLvl w:val="0"/>
        <w:rPr>
          <w:rFonts w:ascii="Times New Roman" w:hAnsi="Times New Roman"/>
          <w:sz w:val="24"/>
          <w:szCs w:val="24"/>
        </w:rPr>
      </w:pPr>
      <w:r w:rsidRPr="007668DF">
        <w:rPr>
          <w:rFonts w:ascii="Times New Roman" w:eastAsia="Malgun Gothic" w:hAnsi="Times New Roman"/>
          <w:sz w:val="24"/>
          <w:szCs w:val="24"/>
        </w:rPr>
        <w:t xml:space="preserve"> </w:t>
      </w:r>
      <w:r w:rsidR="00C635E7" w:rsidRPr="007668DF">
        <w:rPr>
          <w:rFonts w:ascii="Times New Roman" w:eastAsia="Malgun Gothic" w:hAnsi="Times New Roman"/>
          <w:sz w:val="24"/>
          <w:szCs w:val="24"/>
        </w:rPr>
        <w:tab/>
      </w:r>
    </w:p>
    <w:p w:rsidR="00F652C7" w:rsidRDefault="00A300F8" w:rsidP="006C2FA0">
      <w:pPr>
        <w:pStyle w:val="ListParagraph"/>
        <w:keepNext/>
        <w:tabs>
          <w:tab w:val="left" w:pos="567"/>
          <w:tab w:val="left" w:pos="1134"/>
        </w:tabs>
        <w:spacing w:after="0"/>
        <w:ind w:left="1004"/>
        <w:jc w:val="both"/>
        <w:outlineLvl w:val="0"/>
        <w:rPr>
          <w:rFonts w:ascii="Times New Roman" w:eastAsia="Malgun Gothic" w:hAnsi="Times New Roman"/>
          <w:i/>
          <w:sz w:val="24"/>
          <w:szCs w:val="24"/>
        </w:rPr>
      </w:pPr>
      <w:r w:rsidRPr="007668DF">
        <w:rPr>
          <w:rFonts w:ascii="Times New Roman" w:eastAsia="Malgun Gothic" w:hAnsi="Times New Roman"/>
          <w:i/>
          <w:sz w:val="24"/>
          <w:szCs w:val="24"/>
        </w:rPr>
        <w:t>Atteinte au droit à la vie</w:t>
      </w:r>
    </w:p>
    <w:p w:rsidR="00E42446" w:rsidRPr="007668DF" w:rsidRDefault="00E42446" w:rsidP="006C2FA0">
      <w:pPr>
        <w:pStyle w:val="ListParagraph"/>
        <w:keepNext/>
        <w:tabs>
          <w:tab w:val="left" w:pos="567"/>
          <w:tab w:val="left" w:pos="1134"/>
        </w:tabs>
        <w:spacing w:after="0"/>
        <w:ind w:left="1004"/>
        <w:jc w:val="both"/>
        <w:outlineLvl w:val="0"/>
        <w:rPr>
          <w:rFonts w:ascii="Times New Roman" w:eastAsia="Malgun Gothic" w:hAnsi="Times New Roman"/>
          <w:i/>
          <w:sz w:val="24"/>
          <w:szCs w:val="24"/>
        </w:rPr>
      </w:pPr>
    </w:p>
    <w:p w:rsidR="00A714BF" w:rsidRDefault="0086130D" w:rsidP="003B152B">
      <w:pPr>
        <w:tabs>
          <w:tab w:val="left" w:pos="567"/>
          <w:tab w:val="left" w:pos="709"/>
          <w:tab w:val="left" w:pos="851"/>
        </w:tabs>
        <w:spacing w:after="0"/>
        <w:jc w:val="both"/>
        <w:rPr>
          <w:rFonts w:ascii="Times New Roman" w:eastAsia="Malgun Gothic" w:hAnsi="Times New Roman"/>
          <w:bCs/>
          <w:color w:val="222222"/>
          <w:sz w:val="24"/>
          <w:szCs w:val="24"/>
        </w:rPr>
      </w:pPr>
      <w:r w:rsidRPr="007668DF">
        <w:rPr>
          <w:rFonts w:ascii="Times New Roman" w:eastAsia="Malgun Gothic" w:hAnsi="Times New Roman"/>
          <w:sz w:val="24"/>
          <w:szCs w:val="24"/>
        </w:rPr>
        <w:t>2</w:t>
      </w:r>
      <w:r>
        <w:rPr>
          <w:rFonts w:ascii="Times New Roman" w:eastAsia="Malgun Gothic" w:hAnsi="Times New Roman"/>
          <w:sz w:val="24"/>
          <w:szCs w:val="24"/>
        </w:rPr>
        <w:t>8</w:t>
      </w:r>
      <w:r w:rsidRPr="007668DF">
        <w:rPr>
          <w:rFonts w:ascii="Times New Roman" w:eastAsia="Malgun Gothic" w:hAnsi="Times New Roman"/>
          <w:sz w:val="24"/>
          <w:szCs w:val="24"/>
        </w:rPr>
        <w:t>.</w:t>
      </w:r>
      <w:r w:rsidRPr="007668DF">
        <w:rPr>
          <w:rFonts w:ascii="Times New Roman" w:eastAsia="Malgun Gothic" w:hAnsi="Times New Roman"/>
          <w:sz w:val="24"/>
          <w:szCs w:val="24"/>
        </w:rPr>
        <w:tab/>
      </w:r>
      <w:r w:rsidR="00AC56D6" w:rsidRPr="007668DF">
        <w:rPr>
          <w:rFonts w:ascii="Times New Roman" w:eastAsia="Malgun Gothic" w:hAnsi="Times New Roman"/>
          <w:bCs/>
          <w:color w:val="222222"/>
          <w:sz w:val="24"/>
          <w:szCs w:val="24"/>
        </w:rPr>
        <w:t>Le 28 novembre 2013</w:t>
      </w:r>
      <w:r w:rsidR="00F04B42" w:rsidRPr="007668DF">
        <w:rPr>
          <w:rFonts w:ascii="Times New Roman" w:eastAsia="Malgun Gothic" w:hAnsi="Times New Roman"/>
          <w:bCs/>
          <w:color w:val="222222"/>
          <w:sz w:val="24"/>
          <w:szCs w:val="24"/>
        </w:rPr>
        <w:t xml:space="preserve"> </w:t>
      </w:r>
      <w:r w:rsidR="00AC56D6" w:rsidRPr="007668DF">
        <w:rPr>
          <w:rFonts w:ascii="Times New Roman" w:eastAsia="Malgun Gothic" w:hAnsi="Times New Roman"/>
          <w:bCs/>
          <w:color w:val="222222"/>
          <w:sz w:val="24"/>
          <w:szCs w:val="24"/>
        </w:rPr>
        <w:t xml:space="preserve">à Kidal, une femme a été tuée et </w:t>
      </w:r>
      <w:r w:rsidR="001B2B7C">
        <w:rPr>
          <w:rFonts w:ascii="Times New Roman" w:eastAsia="Malgun Gothic" w:hAnsi="Times New Roman"/>
          <w:bCs/>
          <w:color w:val="222222"/>
          <w:sz w:val="24"/>
          <w:szCs w:val="24"/>
        </w:rPr>
        <w:t>3</w:t>
      </w:r>
      <w:r w:rsidR="001B2B7C" w:rsidRPr="007668DF">
        <w:rPr>
          <w:rFonts w:ascii="Times New Roman" w:eastAsia="Malgun Gothic" w:hAnsi="Times New Roman"/>
          <w:bCs/>
          <w:color w:val="222222"/>
          <w:sz w:val="24"/>
          <w:szCs w:val="24"/>
        </w:rPr>
        <w:t xml:space="preserve"> </w:t>
      </w:r>
      <w:r w:rsidR="00AC56D6" w:rsidRPr="007668DF">
        <w:rPr>
          <w:rFonts w:ascii="Times New Roman" w:eastAsia="Malgun Gothic" w:hAnsi="Times New Roman"/>
          <w:bCs/>
          <w:color w:val="222222"/>
          <w:sz w:val="24"/>
          <w:szCs w:val="24"/>
        </w:rPr>
        <w:t>autres personnes grièvement blessées au cours d’une manifestation contre l’arrivée annoncée de l’ancien Premier ministre malien</w:t>
      </w:r>
      <w:r w:rsidR="00AC56D6" w:rsidRPr="007668DF">
        <w:rPr>
          <w:rFonts w:ascii="Times New Roman" w:hAnsi="Times New Roman"/>
          <w:sz w:val="24"/>
          <w:szCs w:val="24"/>
        </w:rPr>
        <w:t xml:space="preserve"> </w:t>
      </w:r>
      <w:r w:rsidR="00F410E9" w:rsidRPr="007668DF">
        <w:rPr>
          <w:rFonts w:ascii="Times New Roman" w:eastAsia="Malgun Gothic" w:hAnsi="Times New Roman"/>
          <w:bCs/>
          <w:color w:val="222222"/>
          <w:sz w:val="24"/>
          <w:szCs w:val="24"/>
        </w:rPr>
        <w:t xml:space="preserve">à l’aérodrome </w:t>
      </w:r>
      <w:r w:rsidR="00AC56D6" w:rsidRPr="007668DF">
        <w:rPr>
          <w:rFonts w:ascii="Times New Roman" w:eastAsia="Malgun Gothic" w:hAnsi="Times New Roman"/>
          <w:bCs/>
          <w:color w:val="222222"/>
          <w:sz w:val="24"/>
          <w:szCs w:val="24"/>
        </w:rPr>
        <w:t>de Kidal. Au cours de cette manifestation, des jets de pierre ont été lancés par les manifestants et les forces de l’ordre ont ouvert le feu sur les manifestants</w:t>
      </w:r>
      <w:r w:rsidR="00805953">
        <w:rPr>
          <w:rFonts w:ascii="Times New Roman" w:eastAsia="Malgun Gothic" w:hAnsi="Times New Roman"/>
          <w:bCs/>
          <w:color w:val="222222"/>
          <w:sz w:val="24"/>
          <w:szCs w:val="24"/>
        </w:rPr>
        <w:t xml:space="preserve"> sous le regard de plusieurs témoins présents à l’aérodrome. Cependant, cet incident n’a fait l’objet d’aucune enquête à ce jour compte tenu de l’absence des institutions judiciaires dans la ville de Kidal.</w:t>
      </w:r>
    </w:p>
    <w:p w:rsidR="00E42446" w:rsidRPr="007668DF" w:rsidRDefault="00E42446" w:rsidP="003B152B">
      <w:pPr>
        <w:tabs>
          <w:tab w:val="left" w:pos="567"/>
          <w:tab w:val="left" w:pos="709"/>
          <w:tab w:val="left" w:pos="851"/>
        </w:tabs>
        <w:spacing w:after="0"/>
        <w:jc w:val="both"/>
        <w:rPr>
          <w:rFonts w:ascii="Times New Roman" w:eastAsia="Malgun Gothic" w:hAnsi="Times New Roman"/>
          <w:sz w:val="24"/>
          <w:szCs w:val="24"/>
        </w:rPr>
      </w:pPr>
    </w:p>
    <w:p w:rsidR="00C73016" w:rsidRPr="007668DF" w:rsidRDefault="0086130D" w:rsidP="003B152B">
      <w:pPr>
        <w:tabs>
          <w:tab w:val="left" w:pos="567"/>
          <w:tab w:val="left" w:pos="851"/>
          <w:tab w:val="left" w:pos="1134"/>
        </w:tabs>
        <w:spacing w:after="0"/>
        <w:jc w:val="both"/>
        <w:rPr>
          <w:rFonts w:ascii="Times New Roman" w:eastAsia="Malgun Gothic" w:hAnsi="Times New Roman"/>
          <w:sz w:val="24"/>
          <w:szCs w:val="24"/>
        </w:rPr>
      </w:pPr>
      <w:r w:rsidRPr="007668DF">
        <w:rPr>
          <w:rFonts w:ascii="Times New Roman" w:eastAsia="Malgun Gothic" w:hAnsi="Times New Roman"/>
          <w:sz w:val="24"/>
          <w:szCs w:val="24"/>
        </w:rPr>
        <w:t>2</w:t>
      </w:r>
      <w:r>
        <w:rPr>
          <w:rFonts w:ascii="Times New Roman" w:eastAsia="Malgun Gothic" w:hAnsi="Times New Roman"/>
          <w:sz w:val="24"/>
          <w:szCs w:val="24"/>
        </w:rPr>
        <w:t>9</w:t>
      </w:r>
      <w:r w:rsidRPr="007668DF">
        <w:rPr>
          <w:rFonts w:ascii="Times New Roman" w:eastAsia="Malgun Gothic" w:hAnsi="Times New Roman"/>
          <w:sz w:val="24"/>
          <w:szCs w:val="24"/>
        </w:rPr>
        <w:t>.</w:t>
      </w:r>
      <w:r w:rsidRPr="007668DF">
        <w:rPr>
          <w:rFonts w:ascii="Times New Roman" w:eastAsia="Malgun Gothic" w:hAnsi="Times New Roman"/>
          <w:sz w:val="24"/>
          <w:szCs w:val="24"/>
        </w:rPr>
        <w:tab/>
      </w:r>
      <w:r w:rsidR="00E81CFC" w:rsidRPr="007668DF">
        <w:rPr>
          <w:rStyle w:val="hps"/>
          <w:rFonts w:ascii="Times New Roman" w:eastAsia="Malgun Gothic" w:hAnsi="Times New Roman"/>
          <w:sz w:val="24"/>
          <w:szCs w:val="24"/>
        </w:rPr>
        <w:t>Le 19</w:t>
      </w:r>
      <w:r w:rsidR="00E81CFC" w:rsidRPr="007668DF">
        <w:rPr>
          <w:rFonts w:ascii="Times New Roman" w:eastAsia="Malgun Gothic" w:hAnsi="Times New Roman"/>
          <w:sz w:val="24"/>
          <w:szCs w:val="24"/>
        </w:rPr>
        <w:t xml:space="preserve"> </w:t>
      </w:r>
      <w:r w:rsidR="00E81CFC" w:rsidRPr="007668DF">
        <w:rPr>
          <w:rStyle w:val="hps"/>
          <w:rFonts w:ascii="Times New Roman" w:eastAsia="Malgun Gothic" w:hAnsi="Times New Roman"/>
          <w:sz w:val="24"/>
          <w:szCs w:val="24"/>
        </w:rPr>
        <w:t xml:space="preserve">février 2014, </w:t>
      </w:r>
      <w:r w:rsidR="00805953">
        <w:rPr>
          <w:rStyle w:val="hps"/>
          <w:rFonts w:ascii="Times New Roman" w:eastAsia="Malgun Gothic" w:hAnsi="Times New Roman"/>
          <w:sz w:val="24"/>
          <w:szCs w:val="24"/>
        </w:rPr>
        <w:t>3</w:t>
      </w:r>
      <w:r w:rsidR="00805953" w:rsidRPr="007668DF">
        <w:rPr>
          <w:rFonts w:ascii="Times New Roman" w:eastAsia="Malgun Gothic" w:hAnsi="Times New Roman"/>
          <w:sz w:val="24"/>
          <w:szCs w:val="24"/>
        </w:rPr>
        <w:t xml:space="preserve"> </w:t>
      </w:r>
      <w:r w:rsidR="00E81CFC" w:rsidRPr="007668DF">
        <w:rPr>
          <w:rStyle w:val="hps"/>
          <w:rFonts w:ascii="Times New Roman" w:eastAsia="Malgun Gothic" w:hAnsi="Times New Roman"/>
          <w:sz w:val="24"/>
          <w:szCs w:val="24"/>
        </w:rPr>
        <w:t>civils</w:t>
      </w:r>
      <w:r w:rsidR="008E17D1" w:rsidRPr="007668DF">
        <w:rPr>
          <w:rStyle w:val="hps"/>
          <w:rFonts w:ascii="Times New Roman" w:eastAsia="Malgun Gothic" w:hAnsi="Times New Roman"/>
          <w:sz w:val="24"/>
          <w:szCs w:val="24"/>
        </w:rPr>
        <w:t>,</w:t>
      </w:r>
      <w:r w:rsidR="00E81CFC" w:rsidRPr="007668DF">
        <w:rPr>
          <w:rFonts w:ascii="Times New Roman" w:eastAsia="Malgun Gothic" w:hAnsi="Times New Roman"/>
          <w:sz w:val="24"/>
          <w:szCs w:val="24"/>
        </w:rPr>
        <w:t xml:space="preserve"> </w:t>
      </w:r>
      <w:r w:rsidR="0048562E" w:rsidRPr="007668DF">
        <w:rPr>
          <w:rFonts w:ascii="Times New Roman" w:eastAsia="Malgun Gothic" w:hAnsi="Times New Roman"/>
          <w:sz w:val="24"/>
          <w:szCs w:val="24"/>
        </w:rPr>
        <w:t>membre</w:t>
      </w:r>
      <w:r w:rsidR="002C4CF1" w:rsidRPr="007668DF">
        <w:rPr>
          <w:rFonts w:ascii="Times New Roman" w:eastAsia="Malgun Gothic" w:hAnsi="Times New Roman"/>
          <w:sz w:val="24"/>
          <w:szCs w:val="24"/>
        </w:rPr>
        <w:t>s</w:t>
      </w:r>
      <w:r w:rsidR="0048562E" w:rsidRPr="007668DF">
        <w:rPr>
          <w:rFonts w:ascii="Times New Roman" w:eastAsia="Malgun Gothic" w:hAnsi="Times New Roman"/>
          <w:sz w:val="24"/>
          <w:szCs w:val="24"/>
        </w:rPr>
        <w:t xml:space="preserve"> de </w:t>
      </w:r>
      <w:r w:rsidR="00091778" w:rsidRPr="007668DF">
        <w:rPr>
          <w:rFonts w:ascii="Times New Roman" w:eastAsia="Malgun Gothic" w:hAnsi="Times New Roman"/>
          <w:sz w:val="24"/>
          <w:szCs w:val="24"/>
        </w:rPr>
        <w:t>la</w:t>
      </w:r>
      <w:r w:rsidR="00E81CFC" w:rsidRPr="007668DF">
        <w:rPr>
          <w:rStyle w:val="hps"/>
          <w:rFonts w:ascii="Times New Roman" w:eastAsia="Malgun Gothic" w:hAnsi="Times New Roman"/>
          <w:sz w:val="24"/>
          <w:szCs w:val="24"/>
        </w:rPr>
        <w:t xml:space="preserve"> communauté</w:t>
      </w:r>
      <w:r w:rsidR="00E81CFC" w:rsidRPr="007668DF">
        <w:rPr>
          <w:rFonts w:ascii="Times New Roman" w:eastAsia="Malgun Gothic" w:hAnsi="Times New Roman"/>
          <w:sz w:val="24"/>
          <w:szCs w:val="24"/>
        </w:rPr>
        <w:t xml:space="preserve"> </w:t>
      </w:r>
      <w:r w:rsidR="000810C2" w:rsidRPr="007668DF">
        <w:rPr>
          <w:rStyle w:val="hps"/>
          <w:rFonts w:ascii="Times New Roman" w:eastAsia="Malgun Gothic" w:hAnsi="Times New Roman"/>
          <w:i/>
          <w:sz w:val="24"/>
          <w:szCs w:val="24"/>
        </w:rPr>
        <w:t>Touareg</w:t>
      </w:r>
      <w:r w:rsidR="007A1C00" w:rsidRPr="007668DF">
        <w:rPr>
          <w:rStyle w:val="hps"/>
          <w:rFonts w:ascii="Times New Roman" w:eastAsia="Malgun Gothic" w:hAnsi="Times New Roman"/>
          <w:sz w:val="24"/>
          <w:szCs w:val="24"/>
        </w:rPr>
        <w:t xml:space="preserve"> </w:t>
      </w:r>
      <w:r w:rsidR="008E17D1" w:rsidRPr="007668DF">
        <w:rPr>
          <w:rStyle w:val="hps"/>
          <w:rFonts w:ascii="Times New Roman" w:eastAsia="Malgun Gothic" w:hAnsi="Times New Roman"/>
          <w:sz w:val="24"/>
          <w:szCs w:val="24"/>
        </w:rPr>
        <w:t xml:space="preserve">et </w:t>
      </w:r>
      <w:r w:rsidR="007A1C00" w:rsidRPr="007668DF">
        <w:rPr>
          <w:rStyle w:val="hps"/>
          <w:rFonts w:ascii="Times New Roman" w:eastAsia="Malgun Gothic" w:hAnsi="Times New Roman"/>
          <w:sz w:val="24"/>
          <w:szCs w:val="24"/>
        </w:rPr>
        <w:t xml:space="preserve">suspectés d’appartenir </w:t>
      </w:r>
      <w:r w:rsidR="005418E7" w:rsidRPr="007668DF">
        <w:rPr>
          <w:rStyle w:val="hps"/>
          <w:rFonts w:ascii="Times New Roman" w:eastAsia="Malgun Gothic" w:hAnsi="Times New Roman"/>
          <w:sz w:val="24"/>
          <w:szCs w:val="24"/>
        </w:rPr>
        <w:t xml:space="preserve">à un groupe </w:t>
      </w:r>
      <w:r w:rsidR="007A1C00" w:rsidRPr="007668DF">
        <w:rPr>
          <w:rStyle w:val="hps"/>
          <w:rFonts w:ascii="Times New Roman" w:eastAsia="Malgun Gothic" w:hAnsi="Times New Roman"/>
          <w:sz w:val="24"/>
          <w:szCs w:val="24"/>
        </w:rPr>
        <w:t>armé</w:t>
      </w:r>
      <w:r w:rsidR="00E81CFC" w:rsidRPr="007668DF">
        <w:rPr>
          <w:rFonts w:ascii="Times New Roman" w:eastAsia="Malgun Gothic" w:hAnsi="Times New Roman"/>
          <w:sz w:val="24"/>
          <w:szCs w:val="24"/>
        </w:rPr>
        <w:t xml:space="preserve"> </w:t>
      </w:r>
      <w:r w:rsidR="00E81CFC" w:rsidRPr="007668DF">
        <w:rPr>
          <w:rStyle w:val="hps"/>
          <w:rFonts w:ascii="Times New Roman" w:eastAsia="Malgun Gothic" w:hAnsi="Times New Roman"/>
          <w:sz w:val="24"/>
          <w:szCs w:val="24"/>
        </w:rPr>
        <w:t>ont été arrêtés</w:t>
      </w:r>
      <w:r w:rsidR="00E81CFC" w:rsidRPr="007668DF">
        <w:rPr>
          <w:rFonts w:ascii="Times New Roman" w:eastAsia="Malgun Gothic" w:hAnsi="Times New Roman"/>
          <w:sz w:val="24"/>
          <w:szCs w:val="24"/>
        </w:rPr>
        <w:t>,</w:t>
      </w:r>
      <w:r w:rsidR="007A1C00" w:rsidRPr="007668DF">
        <w:rPr>
          <w:rFonts w:ascii="Times New Roman" w:eastAsia="Malgun Gothic" w:hAnsi="Times New Roman"/>
          <w:sz w:val="24"/>
          <w:szCs w:val="24"/>
        </w:rPr>
        <w:t xml:space="preserve"> </w:t>
      </w:r>
      <w:r w:rsidR="00E81CFC" w:rsidRPr="007668DF">
        <w:rPr>
          <w:rStyle w:val="hps"/>
          <w:rFonts w:ascii="Times New Roman" w:eastAsia="Malgun Gothic" w:hAnsi="Times New Roman"/>
          <w:sz w:val="24"/>
          <w:szCs w:val="24"/>
        </w:rPr>
        <w:t>exécutés</w:t>
      </w:r>
      <w:r w:rsidR="00805953">
        <w:rPr>
          <w:rStyle w:val="hps"/>
          <w:rFonts w:ascii="Times New Roman" w:eastAsia="Malgun Gothic" w:hAnsi="Times New Roman"/>
          <w:sz w:val="24"/>
          <w:szCs w:val="24"/>
        </w:rPr>
        <w:t xml:space="preserve">, ligotés </w:t>
      </w:r>
      <w:r w:rsidR="00E81CFC" w:rsidRPr="007668DF">
        <w:rPr>
          <w:rStyle w:val="hps"/>
          <w:rFonts w:ascii="Times New Roman" w:eastAsia="Malgun Gothic" w:hAnsi="Times New Roman"/>
          <w:sz w:val="24"/>
          <w:szCs w:val="24"/>
        </w:rPr>
        <w:t>et enterrés</w:t>
      </w:r>
      <w:r w:rsidR="00E81CFC" w:rsidRPr="007668DF">
        <w:rPr>
          <w:rFonts w:ascii="Times New Roman" w:eastAsia="Malgun Gothic" w:hAnsi="Times New Roman"/>
          <w:sz w:val="24"/>
          <w:szCs w:val="24"/>
        </w:rPr>
        <w:t xml:space="preserve"> </w:t>
      </w:r>
      <w:r w:rsidR="00E81CFC" w:rsidRPr="007668DF">
        <w:rPr>
          <w:rStyle w:val="hps"/>
          <w:rFonts w:ascii="Times New Roman" w:eastAsia="Malgun Gothic" w:hAnsi="Times New Roman"/>
          <w:sz w:val="24"/>
          <w:szCs w:val="24"/>
        </w:rPr>
        <w:t>dans une fosse commune</w:t>
      </w:r>
      <w:r w:rsidR="00E81CFC" w:rsidRPr="007668DF">
        <w:rPr>
          <w:rFonts w:ascii="Times New Roman" w:eastAsia="Malgun Gothic" w:hAnsi="Times New Roman"/>
          <w:sz w:val="24"/>
          <w:szCs w:val="24"/>
        </w:rPr>
        <w:t xml:space="preserve"> </w:t>
      </w:r>
      <w:r w:rsidR="00E81CFC" w:rsidRPr="007668DF">
        <w:rPr>
          <w:rStyle w:val="hps"/>
          <w:rFonts w:ascii="Times New Roman" w:eastAsia="Malgun Gothic" w:hAnsi="Times New Roman"/>
          <w:sz w:val="24"/>
          <w:szCs w:val="24"/>
        </w:rPr>
        <w:t xml:space="preserve">par des </w:t>
      </w:r>
      <w:r w:rsidR="00452A8F" w:rsidRPr="007668DF">
        <w:rPr>
          <w:rStyle w:val="hps"/>
          <w:rFonts w:ascii="Times New Roman" w:eastAsia="Malgun Gothic" w:hAnsi="Times New Roman"/>
          <w:sz w:val="24"/>
          <w:szCs w:val="24"/>
        </w:rPr>
        <w:t xml:space="preserve">militaires </w:t>
      </w:r>
      <w:r w:rsidR="00E81CFC" w:rsidRPr="007668DF">
        <w:rPr>
          <w:rStyle w:val="hps"/>
          <w:rFonts w:ascii="Times New Roman" w:eastAsia="Malgun Gothic" w:hAnsi="Times New Roman"/>
          <w:sz w:val="24"/>
          <w:szCs w:val="24"/>
        </w:rPr>
        <w:t>des</w:t>
      </w:r>
      <w:r w:rsidR="00E81CFC" w:rsidRPr="007668DF">
        <w:rPr>
          <w:rFonts w:ascii="Times New Roman" w:eastAsia="Malgun Gothic" w:hAnsi="Times New Roman"/>
          <w:sz w:val="24"/>
          <w:szCs w:val="24"/>
        </w:rPr>
        <w:t xml:space="preserve"> FAM</w:t>
      </w:r>
      <w:r w:rsidR="009921EA" w:rsidRPr="007668DF">
        <w:rPr>
          <w:rFonts w:ascii="Times New Roman" w:eastAsia="Malgun Gothic" w:hAnsi="Times New Roman"/>
          <w:sz w:val="24"/>
          <w:szCs w:val="24"/>
        </w:rPr>
        <w:t>a</w:t>
      </w:r>
      <w:r w:rsidR="00E81CFC" w:rsidRPr="007668DF">
        <w:rPr>
          <w:rFonts w:ascii="Times New Roman" w:eastAsia="Malgun Gothic" w:hAnsi="Times New Roman"/>
          <w:sz w:val="24"/>
          <w:szCs w:val="24"/>
        </w:rPr>
        <w:t xml:space="preserve"> </w:t>
      </w:r>
      <w:r w:rsidR="00805953">
        <w:rPr>
          <w:rFonts w:ascii="Times New Roman" w:eastAsia="Malgun Gothic" w:hAnsi="Times New Roman"/>
          <w:sz w:val="24"/>
          <w:szCs w:val="24"/>
        </w:rPr>
        <w:t xml:space="preserve">du bataillon ETA </w:t>
      </w:r>
      <w:r w:rsidR="00805953">
        <w:rPr>
          <w:rFonts w:ascii="Times New Roman" w:eastAsia="Malgun Gothic" w:hAnsi="Times New Roman"/>
          <w:sz w:val="24"/>
          <w:szCs w:val="24"/>
        </w:rPr>
        <w:lastRenderedPageBreak/>
        <w:t xml:space="preserve">43 DAMI </w:t>
      </w:r>
      <w:r w:rsidR="00E81CFC" w:rsidRPr="007668DF">
        <w:rPr>
          <w:rStyle w:val="hps"/>
          <w:rFonts w:ascii="Times New Roman" w:eastAsia="Malgun Gothic" w:hAnsi="Times New Roman"/>
          <w:sz w:val="24"/>
          <w:szCs w:val="24"/>
        </w:rPr>
        <w:t>déployés à</w:t>
      </w:r>
      <w:r w:rsidR="00E81CFC" w:rsidRPr="007668DF">
        <w:rPr>
          <w:rFonts w:ascii="Times New Roman" w:eastAsia="Malgun Gothic" w:hAnsi="Times New Roman"/>
          <w:sz w:val="24"/>
          <w:szCs w:val="24"/>
        </w:rPr>
        <w:t xml:space="preserve"> </w:t>
      </w:r>
      <w:r w:rsidR="00E81CFC" w:rsidRPr="007668DF">
        <w:rPr>
          <w:rStyle w:val="hps"/>
          <w:rFonts w:ascii="Times New Roman" w:eastAsia="Malgun Gothic" w:hAnsi="Times New Roman"/>
          <w:sz w:val="24"/>
          <w:szCs w:val="24"/>
        </w:rPr>
        <w:t>Djebock</w:t>
      </w:r>
      <w:r w:rsidR="00805953">
        <w:rPr>
          <w:rStyle w:val="hps"/>
          <w:rFonts w:ascii="Times New Roman" w:eastAsia="Malgun Gothic" w:hAnsi="Times New Roman"/>
          <w:sz w:val="24"/>
          <w:szCs w:val="24"/>
        </w:rPr>
        <w:t xml:space="preserve"> (</w:t>
      </w:r>
      <w:r w:rsidR="000C1AE3" w:rsidRPr="007668DF">
        <w:rPr>
          <w:rStyle w:val="hps"/>
          <w:rFonts w:ascii="Times New Roman" w:eastAsia="Malgun Gothic" w:hAnsi="Times New Roman"/>
          <w:sz w:val="24"/>
          <w:szCs w:val="24"/>
        </w:rPr>
        <w:t>région de Gao</w:t>
      </w:r>
      <w:r w:rsidR="00805953">
        <w:rPr>
          <w:rStyle w:val="hps"/>
          <w:rFonts w:ascii="Times New Roman" w:eastAsia="Malgun Gothic" w:hAnsi="Times New Roman"/>
          <w:sz w:val="24"/>
          <w:szCs w:val="24"/>
        </w:rPr>
        <w:t>)</w:t>
      </w:r>
      <w:r w:rsidR="00E81CFC" w:rsidRPr="007668DF">
        <w:rPr>
          <w:rStyle w:val="hps"/>
          <w:rFonts w:ascii="Times New Roman" w:eastAsia="Malgun Gothic" w:hAnsi="Times New Roman"/>
          <w:sz w:val="24"/>
          <w:szCs w:val="24"/>
        </w:rPr>
        <w:t>.</w:t>
      </w:r>
      <w:r w:rsidR="00E81CFC" w:rsidRPr="007668DF">
        <w:rPr>
          <w:rFonts w:ascii="Times New Roman" w:eastAsia="Malgun Gothic" w:hAnsi="Times New Roman"/>
          <w:sz w:val="24"/>
          <w:szCs w:val="24"/>
        </w:rPr>
        <w:t xml:space="preserve"> </w:t>
      </w:r>
      <w:r w:rsidR="00452A8F" w:rsidRPr="007668DF">
        <w:rPr>
          <w:rFonts w:ascii="Times New Roman" w:eastAsia="Malgun Gothic" w:hAnsi="Times New Roman"/>
          <w:sz w:val="24"/>
          <w:szCs w:val="24"/>
        </w:rPr>
        <w:t xml:space="preserve">L’enquête ouverte sur cette affaire par la justice malienne a abouti à la mise en accusation de </w:t>
      </w:r>
      <w:r w:rsidR="001B2B7C">
        <w:rPr>
          <w:rFonts w:ascii="Times New Roman" w:eastAsia="Malgun Gothic" w:hAnsi="Times New Roman"/>
          <w:sz w:val="24"/>
          <w:szCs w:val="24"/>
        </w:rPr>
        <w:t>4</w:t>
      </w:r>
      <w:r w:rsidR="001B2B7C" w:rsidRPr="007668DF">
        <w:rPr>
          <w:rFonts w:ascii="Times New Roman" w:eastAsia="Malgun Gothic" w:hAnsi="Times New Roman"/>
          <w:sz w:val="24"/>
          <w:szCs w:val="24"/>
        </w:rPr>
        <w:t xml:space="preserve"> </w:t>
      </w:r>
      <w:r w:rsidR="00452A8F" w:rsidRPr="007668DF">
        <w:rPr>
          <w:rFonts w:ascii="Times New Roman" w:eastAsia="Malgun Gothic" w:hAnsi="Times New Roman"/>
          <w:sz w:val="24"/>
          <w:szCs w:val="24"/>
        </w:rPr>
        <w:t xml:space="preserve">militaires pour homicide volontaire. </w:t>
      </w:r>
    </w:p>
    <w:p w:rsidR="00E81CFC" w:rsidRPr="007668DF" w:rsidRDefault="00E81CFC" w:rsidP="006C2FA0">
      <w:pPr>
        <w:tabs>
          <w:tab w:val="left" w:pos="567"/>
          <w:tab w:val="left" w:pos="1134"/>
        </w:tabs>
        <w:spacing w:after="0"/>
        <w:jc w:val="both"/>
        <w:rPr>
          <w:rStyle w:val="hps"/>
          <w:rFonts w:ascii="Times New Roman" w:eastAsia="Malgun Gothic" w:hAnsi="Times New Roman"/>
          <w:sz w:val="24"/>
          <w:szCs w:val="24"/>
        </w:rPr>
      </w:pPr>
      <w:r w:rsidRPr="007668DF">
        <w:rPr>
          <w:rStyle w:val="hps"/>
          <w:rFonts w:ascii="Times New Roman" w:eastAsia="Malgun Gothic" w:hAnsi="Times New Roman"/>
          <w:sz w:val="24"/>
          <w:szCs w:val="24"/>
        </w:rPr>
        <w:t xml:space="preserve"> </w:t>
      </w:r>
    </w:p>
    <w:p w:rsidR="00E81CFC" w:rsidRPr="007668DF" w:rsidRDefault="00C50FEB" w:rsidP="006C2FA0">
      <w:pPr>
        <w:tabs>
          <w:tab w:val="left" w:pos="567"/>
          <w:tab w:val="left" w:pos="1134"/>
        </w:tabs>
        <w:spacing w:after="0"/>
        <w:jc w:val="both"/>
        <w:rPr>
          <w:rFonts w:ascii="Times New Roman" w:eastAsia="Malgun Gothic" w:hAnsi="Times New Roman"/>
          <w:color w:val="000000"/>
          <w:sz w:val="24"/>
          <w:szCs w:val="24"/>
          <w:lang w:eastAsia="en-GB"/>
        </w:rPr>
      </w:pPr>
      <w:r w:rsidRPr="007668DF">
        <w:rPr>
          <w:rStyle w:val="hps"/>
          <w:rFonts w:ascii="Times New Roman" w:eastAsia="Malgun Gothic" w:hAnsi="Times New Roman"/>
          <w:sz w:val="24"/>
          <w:szCs w:val="24"/>
        </w:rPr>
        <w:t>3</w:t>
      </w:r>
      <w:r w:rsidR="0086130D">
        <w:rPr>
          <w:rStyle w:val="hps"/>
          <w:rFonts w:ascii="Times New Roman" w:eastAsia="Malgun Gothic" w:hAnsi="Times New Roman"/>
          <w:sz w:val="24"/>
          <w:szCs w:val="24"/>
        </w:rPr>
        <w:t>0</w:t>
      </w:r>
      <w:r w:rsidR="0004027B" w:rsidRPr="007668DF">
        <w:rPr>
          <w:rStyle w:val="hps"/>
          <w:rFonts w:ascii="Times New Roman" w:eastAsia="Malgun Gothic" w:hAnsi="Times New Roman"/>
          <w:sz w:val="24"/>
          <w:szCs w:val="24"/>
        </w:rPr>
        <w:t>.</w:t>
      </w:r>
      <w:r w:rsidR="0004027B" w:rsidRPr="007668DF">
        <w:rPr>
          <w:rStyle w:val="hps"/>
          <w:rFonts w:ascii="Times New Roman" w:eastAsia="Malgun Gothic" w:hAnsi="Times New Roman"/>
          <w:sz w:val="24"/>
          <w:szCs w:val="24"/>
        </w:rPr>
        <w:tab/>
      </w:r>
      <w:r w:rsidR="00E81CFC" w:rsidRPr="007668DF">
        <w:rPr>
          <w:rStyle w:val="hps"/>
          <w:rFonts w:ascii="Times New Roman" w:eastAsia="Malgun Gothic" w:hAnsi="Times New Roman"/>
          <w:sz w:val="24"/>
          <w:szCs w:val="24"/>
        </w:rPr>
        <w:t>Le 16 avril 2014</w:t>
      </w:r>
      <w:r w:rsidR="008E17D1" w:rsidRPr="007668DF">
        <w:rPr>
          <w:rStyle w:val="hps"/>
          <w:rFonts w:ascii="Times New Roman" w:eastAsia="Malgun Gothic" w:hAnsi="Times New Roman"/>
          <w:sz w:val="24"/>
          <w:szCs w:val="24"/>
        </w:rPr>
        <w:t>,</w:t>
      </w:r>
      <w:r w:rsidR="00E81CFC" w:rsidRPr="007668DF">
        <w:rPr>
          <w:rStyle w:val="hps"/>
          <w:rFonts w:ascii="Times New Roman" w:eastAsia="Malgun Gothic" w:hAnsi="Times New Roman"/>
          <w:sz w:val="24"/>
          <w:szCs w:val="24"/>
        </w:rPr>
        <w:t xml:space="preserve"> à Gao, un </w:t>
      </w:r>
      <w:r w:rsidR="00452A8F" w:rsidRPr="007668DF">
        <w:rPr>
          <w:rStyle w:val="hps"/>
          <w:rFonts w:ascii="Times New Roman" w:eastAsia="Malgun Gothic" w:hAnsi="Times New Roman"/>
          <w:sz w:val="24"/>
          <w:szCs w:val="24"/>
        </w:rPr>
        <w:t xml:space="preserve">civil appartenant à la communauté </w:t>
      </w:r>
      <w:r w:rsidR="00E81CFC" w:rsidRPr="007668DF">
        <w:rPr>
          <w:rStyle w:val="hps"/>
          <w:rFonts w:ascii="Times New Roman" w:eastAsia="Malgun Gothic" w:hAnsi="Times New Roman"/>
          <w:i/>
          <w:sz w:val="24"/>
          <w:szCs w:val="24"/>
        </w:rPr>
        <w:t>Touareg</w:t>
      </w:r>
      <w:r w:rsidR="00E81CFC" w:rsidRPr="007668DF">
        <w:rPr>
          <w:rStyle w:val="hps"/>
          <w:rFonts w:ascii="Times New Roman" w:eastAsia="Malgun Gothic" w:hAnsi="Times New Roman"/>
          <w:sz w:val="24"/>
          <w:szCs w:val="24"/>
        </w:rPr>
        <w:t xml:space="preserve"> </w:t>
      </w:r>
      <w:r w:rsidR="00E81CFC" w:rsidRPr="007668DF">
        <w:rPr>
          <w:rFonts w:ascii="Times New Roman" w:eastAsia="Malgun Gothic" w:hAnsi="Times New Roman"/>
          <w:sz w:val="24"/>
          <w:szCs w:val="24"/>
        </w:rPr>
        <w:t xml:space="preserve">a été </w:t>
      </w:r>
      <w:r w:rsidR="007A1C00" w:rsidRPr="007668DF">
        <w:rPr>
          <w:rFonts w:ascii="Times New Roman" w:eastAsia="Malgun Gothic" w:hAnsi="Times New Roman"/>
          <w:sz w:val="24"/>
          <w:szCs w:val="24"/>
        </w:rPr>
        <w:t xml:space="preserve">sommairement exécuté </w:t>
      </w:r>
      <w:r w:rsidR="00E81CFC" w:rsidRPr="007668DF">
        <w:rPr>
          <w:rFonts w:ascii="Times New Roman" w:eastAsia="Malgun Gothic" w:hAnsi="Times New Roman"/>
          <w:sz w:val="24"/>
          <w:szCs w:val="24"/>
        </w:rPr>
        <w:t xml:space="preserve">par un militaire </w:t>
      </w:r>
      <w:r w:rsidR="00452A8F" w:rsidRPr="007668DF">
        <w:rPr>
          <w:rFonts w:ascii="Times New Roman" w:eastAsia="Malgun Gothic" w:hAnsi="Times New Roman"/>
          <w:sz w:val="24"/>
          <w:szCs w:val="24"/>
        </w:rPr>
        <w:t xml:space="preserve">des </w:t>
      </w:r>
      <w:r w:rsidR="00E81CFC" w:rsidRPr="007668DF">
        <w:rPr>
          <w:rFonts w:ascii="Times New Roman" w:eastAsia="Malgun Gothic" w:hAnsi="Times New Roman"/>
          <w:sz w:val="24"/>
          <w:szCs w:val="24"/>
        </w:rPr>
        <w:t>FAM</w:t>
      </w:r>
      <w:r w:rsidR="009921EA" w:rsidRPr="007668DF">
        <w:rPr>
          <w:rFonts w:ascii="Times New Roman" w:eastAsia="Malgun Gothic" w:hAnsi="Times New Roman"/>
          <w:sz w:val="24"/>
          <w:szCs w:val="24"/>
        </w:rPr>
        <w:t>a</w:t>
      </w:r>
      <w:r w:rsidR="00E81CFC" w:rsidRPr="007668DF">
        <w:rPr>
          <w:rFonts w:ascii="Times New Roman" w:eastAsia="Malgun Gothic" w:hAnsi="Times New Roman"/>
          <w:sz w:val="24"/>
          <w:szCs w:val="24"/>
        </w:rPr>
        <w:t xml:space="preserve"> pendant </w:t>
      </w:r>
      <w:r w:rsidR="00452A8F" w:rsidRPr="007668DF">
        <w:rPr>
          <w:rFonts w:ascii="Times New Roman" w:eastAsia="Malgun Gothic" w:hAnsi="Times New Roman"/>
          <w:sz w:val="24"/>
          <w:szCs w:val="24"/>
        </w:rPr>
        <w:t xml:space="preserve">qu’il </w:t>
      </w:r>
      <w:r w:rsidR="00E81CFC" w:rsidRPr="007668DF">
        <w:rPr>
          <w:rFonts w:ascii="Times New Roman" w:eastAsia="Malgun Gothic" w:hAnsi="Times New Roman"/>
          <w:sz w:val="24"/>
          <w:szCs w:val="24"/>
        </w:rPr>
        <w:t xml:space="preserve">s’occupait de </w:t>
      </w:r>
      <w:r w:rsidR="00452A8F" w:rsidRPr="007668DF">
        <w:rPr>
          <w:rFonts w:ascii="Times New Roman" w:eastAsia="Malgun Gothic" w:hAnsi="Times New Roman"/>
          <w:sz w:val="24"/>
          <w:szCs w:val="24"/>
        </w:rPr>
        <w:t>son troupeau non loin du</w:t>
      </w:r>
      <w:r w:rsidR="00E81CFC" w:rsidRPr="007668DF">
        <w:rPr>
          <w:rFonts w:ascii="Times New Roman" w:eastAsia="Malgun Gothic" w:hAnsi="Times New Roman"/>
          <w:sz w:val="24"/>
          <w:szCs w:val="24"/>
        </w:rPr>
        <w:t xml:space="preserve"> camp militaire</w:t>
      </w:r>
      <w:r w:rsidR="008A4A14" w:rsidRPr="007668DF">
        <w:rPr>
          <w:rFonts w:ascii="Times New Roman" w:eastAsia="Malgun Gothic" w:hAnsi="Times New Roman"/>
          <w:sz w:val="24"/>
          <w:szCs w:val="24"/>
        </w:rPr>
        <w:t>.</w:t>
      </w:r>
      <w:r w:rsidR="00E81CFC" w:rsidRPr="007668DF">
        <w:rPr>
          <w:rFonts w:ascii="Times New Roman" w:eastAsia="Malgun Gothic" w:hAnsi="Times New Roman"/>
          <w:sz w:val="24"/>
          <w:szCs w:val="24"/>
        </w:rPr>
        <w:t xml:space="preserve"> </w:t>
      </w:r>
      <w:r w:rsidR="00E81CFC" w:rsidRPr="007668DF">
        <w:rPr>
          <w:rFonts w:ascii="Times New Roman" w:eastAsia="Malgun Gothic" w:hAnsi="Times New Roman"/>
          <w:color w:val="000000"/>
          <w:sz w:val="24"/>
          <w:szCs w:val="24"/>
          <w:lang w:eastAsia="en-GB"/>
        </w:rPr>
        <w:t xml:space="preserve">L'auteur présumé a été arrêté et est actuellement </w:t>
      </w:r>
      <w:r w:rsidR="00884470" w:rsidRPr="007668DF">
        <w:rPr>
          <w:rFonts w:ascii="Times New Roman" w:eastAsia="Malgun Gothic" w:hAnsi="Times New Roman"/>
          <w:color w:val="000000"/>
          <w:sz w:val="24"/>
          <w:szCs w:val="24"/>
          <w:lang w:eastAsia="en-GB"/>
        </w:rPr>
        <w:t xml:space="preserve">en détention en attendant l’ouverture de son procès. </w:t>
      </w:r>
    </w:p>
    <w:p w:rsidR="00452A8F" w:rsidRPr="007668DF" w:rsidRDefault="00452A8F" w:rsidP="006C2FA0">
      <w:pPr>
        <w:pStyle w:val="ListParagraph"/>
        <w:tabs>
          <w:tab w:val="left" w:pos="567"/>
          <w:tab w:val="left" w:pos="1134"/>
        </w:tabs>
        <w:spacing w:after="0"/>
        <w:ind w:left="284"/>
        <w:jc w:val="both"/>
        <w:rPr>
          <w:rFonts w:ascii="Times New Roman" w:eastAsia="Malgun Gothic" w:hAnsi="Times New Roman"/>
          <w:color w:val="000000"/>
          <w:sz w:val="24"/>
          <w:szCs w:val="24"/>
          <w:lang w:eastAsia="en-GB"/>
        </w:rPr>
      </w:pPr>
    </w:p>
    <w:p w:rsidR="00E81CFC" w:rsidRPr="007668DF" w:rsidRDefault="00C50FEB" w:rsidP="006C2FA0">
      <w:pPr>
        <w:shd w:val="clear" w:color="auto" w:fill="FFFFFF"/>
        <w:tabs>
          <w:tab w:val="left" w:pos="567"/>
          <w:tab w:val="left" w:pos="1134"/>
        </w:tabs>
        <w:spacing w:after="0"/>
        <w:jc w:val="both"/>
        <w:rPr>
          <w:rFonts w:ascii="Times New Roman" w:eastAsia="Malgun Gothic" w:hAnsi="Times New Roman"/>
          <w:color w:val="000000"/>
          <w:sz w:val="24"/>
          <w:szCs w:val="24"/>
          <w:lang w:eastAsia="en-GB"/>
        </w:rPr>
      </w:pPr>
      <w:r w:rsidRPr="007668DF">
        <w:rPr>
          <w:rFonts w:ascii="Times New Roman" w:eastAsia="Malgun Gothic" w:hAnsi="Times New Roman"/>
          <w:color w:val="000000"/>
          <w:sz w:val="24"/>
          <w:szCs w:val="24"/>
          <w:lang w:eastAsia="en-GB"/>
        </w:rPr>
        <w:t>3</w:t>
      </w:r>
      <w:r w:rsidR="0086130D">
        <w:rPr>
          <w:rFonts w:ascii="Times New Roman" w:eastAsia="Malgun Gothic" w:hAnsi="Times New Roman"/>
          <w:color w:val="000000"/>
          <w:sz w:val="24"/>
          <w:szCs w:val="24"/>
          <w:lang w:eastAsia="en-GB"/>
        </w:rPr>
        <w:t>1</w:t>
      </w:r>
      <w:r w:rsidR="0004027B" w:rsidRPr="007668DF">
        <w:rPr>
          <w:rFonts w:ascii="Times New Roman" w:eastAsia="Malgun Gothic" w:hAnsi="Times New Roman"/>
          <w:color w:val="000000"/>
          <w:sz w:val="24"/>
          <w:szCs w:val="24"/>
          <w:lang w:eastAsia="en-GB"/>
        </w:rPr>
        <w:t>.</w:t>
      </w:r>
      <w:r w:rsidR="0004027B" w:rsidRPr="007668DF">
        <w:rPr>
          <w:rFonts w:ascii="Times New Roman" w:eastAsia="Malgun Gothic" w:hAnsi="Times New Roman"/>
          <w:color w:val="000000"/>
          <w:sz w:val="24"/>
          <w:szCs w:val="24"/>
          <w:lang w:eastAsia="en-GB"/>
        </w:rPr>
        <w:tab/>
      </w:r>
      <w:r w:rsidR="00126E47" w:rsidRPr="007668DF">
        <w:rPr>
          <w:rFonts w:ascii="Times New Roman" w:eastAsia="Malgun Gothic" w:hAnsi="Times New Roman"/>
          <w:color w:val="000000"/>
          <w:sz w:val="24"/>
          <w:szCs w:val="24"/>
          <w:lang w:eastAsia="en-GB"/>
        </w:rPr>
        <w:t xml:space="preserve">Le 23 avril 2014, </w:t>
      </w:r>
      <w:r w:rsidR="000810C2" w:rsidRPr="007668DF">
        <w:rPr>
          <w:rFonts w:ascii="Times New Roman" w:eastAsia="Malgun Gothic" w:hAnsi="Times New Roman"/>
          <w:color w:val="000000"/>
          <w:sz w:val="24"/>
          <w:szCs w:val="24"/>
          <w:lang w:eastAsia="en-GB"/>
        </w:rPr>
        <w:t>à</w:t>
      </w:r>
      <w:r w:rsidR="00126E47" w:rsidRPr="007668DF">
        <w:rPr>
          <w:rFonts w:ascii="Times New Roman" w:eastAsia="Malgun Gothic" w:hAnsi="Times New Roman"/>
          <w:color w:val="000000"/>
          <w:sz w:val="24"/>
          <w:szCs w:val="24"/>
          <w:lang w:eastAsia="en-GB"/>
        </w:rPr>
        <w:t xml:space="preserve"> Tassidjdant</w:t>
      </w:r>
      <w:r w:rsidR="008E17D1" w:rsidRPr="007668DF">
        <w:rPr>
          <w:rFonts w:ascii="Times New Roman" w:eastAsia="Malgun Gothic" w:hAnsi="Times New Roman"/>
          <w:color w:val="000000"/>
          <w:sz w:val="24"/>
          <w:szCs w:val="24"/>
          <w:lang w:eastAsia="en-GB"/>
        </w:rPr>
        <w:t>,</w:t>
      </w:r>
      <w:r w:rsidR="00126E47" w:rsidRPr="007668DF">
        <w:rPr>
          <w:rFonts w:ascii="Times New Roman" w:eastAsia="Malgun Gothic" w:hAnsi="Times New Roman"/>
          <w:color w:val="000000"/>
          <w:sz w:val="24"/>
          <w:szCs w:val="24"/>
          <w:lang w:eastAsia="en-GB"/>
        </w:rPr>
        <w:t xml:space="preserve"> d</w:t>
      </w:r>
      <w:r w:rsidR="00E81CFC" w:rsidRPr="007668DF">
        <w:rPr>
          <w:rFonts w:ascii="Times New Roman" w:eastAsia="Malgun Gothic" w:hAnsi="Times New Roman"/>
          <w:color w:val="000000"/>
          <w:sz w:val="24"/>
          <w:szCs w:val="24"/>
          <w:lang w:eastAsia="en-GB"/>
        </w:rPr>
        <w:t xml:space="preserve">ans la région de Kidal, un </w:t>
      </w:r>
      <w:r w:rsidR="00452A8F" w:rsidRPr="007668DF">
        <w:rPr>
          <w:rFonts w:ascii="Times New Roman" w:eastAsia="Malgun Gothic" w:hAnsi="Times New Roman"/>
          <w:color w:val="000000"/>
          <w:sz w:val="24"/>
          <w:szCs w:val="24"/>
          <w:lang w:eastAsia="en-GB"/>
        </w:rPr>
        <w:t xml:space="preserve">civil appartenant à la communauté </w:t>
      </w:r>
      <w:r w:rsidR="00E81CFC" w:rsidRPr="007668DF">
        <w:rPr>
          <w:rFonts w:ascii="Times New Roman" w:eastAsia="Malgun Gothic" w:hAnsi="Times New Roman"/>
          <w:i/>
          <w:color w:val="000000"/>
          <w:sz w:val="24"/>
          <w:szCs w:val="24"/>
          <w:lang w:eastAsia="en-GB"/>
        </w:rPr>
        <w:t>Touareg</w:t>
      </w:r>
      <w:r w:rsidR="008A4A14" w:rsidRPr="007668DF">
        <w:rPr>
          <w:rFonts w:ascii="Times New Roman" w:eastAsia="Malgun Gothic" w:hAnsi="Times New Roman"/>
          <w:color w:val="000000"/>
          <w:sz w:val="24"/>
          <w:szCs w:val="24"/>
          <w:lang w:eastAsia="en-GB"/>
        </w:rPr>
        <w:t xml:space="preserve"> </w:t>
      </w:r>
      <w:r w:rsidR="00E81CFC" w:rsidRPr="007668DF">
        <w:rPr>
          <w:rFonts w:ascii="Times New Roman" w:eastAsia="Malgun Gothic" w:hAnsi="Times New Roman"/>
          <w:color w:val="000000"/>
          <w:sz w:val="24"/>
          <w:szCs w:val="24"/>
          <w:lang w:eastAsia="en-GB"/>
        </w:rPr>
        <w:t xml:space="preserve">a été poignardé </w:t>
      </w:r>
      <w:r w:rsidR="00126E47" w:rsidRPr="007668DF">
        <w:rPr>
          <w:rFonts w:ascii="Times New Roman" w:eastAsia="Malgun Gothic" w:hAnsi="Times New Roman"/>
          <w:color w:val="000000"/>
          <w:sz w:val="24"/>
          <w:szCs w:val="24"/>
          <w:lang w:eastAsia="en-GB"/>
        </w:rPr>
        <w:t>par des militaires FAM</w:t>
      </w:r>
      <w:r w:rsidR="009921EA" w:rsidRPr="007668DF">
        <w:rPr>
          <w:rFonts w:ascii="Times New Roman" w:eastAsia="Malgun Gothic" w:hAnsi="Times New Roman"/>
          <w:color w:val="000000"/>
          <w:sz w:val="24"/>
          <w:szCs w:val="24"/>
          <w:lang w:eastAsia="en-GB"/>
        </w:rPr>
        <w:t>a</w:t>
      </w:r>
      <w:r w:rsidR="00126E47" w:rsidRPr="007668DF">
        <w:rPr>
          <w:rFonts w:ascii="Times New Roman" w:eastAsia="Malgun Gothic" w:hAnsi="Times New Roman"/>
          <w:color w:val="000000"/>
          <w:sz w:val="24"/>
          <w:szCs w:val="24"/>
          <w:lang w:eastAsia="en-GB"/>
        </w:rPr>
        <w:t xml:space="preserve"> </w:t>
      </w:r>
      <w:r w:rsidR="00E81CFC" w:rsidRPr="007668DF">
        <w:rPr>
          <w:rFonts w:ascii="Times New Roman" w:eastAsia="Malgun Gothic" w:hAnsi="Times New Roman"/>
          <w:color w:val="000000"/>
          <w:sz w:val="24"/>
          <w:szCs w:val="24"/>
          <w:lang w:eastAsia="en-GB"/>
        </w:rPr>
        <w:t xml:space="preserve">après son </w:t>
      </w:r>
      <w:r w:rsidR="00E81CFC" w:rsidRPr="007668DF">
        <w:rPr>
          <w:rFonts w:ascii="Times New Roman" w:eastAsia="Malgun Gothic" w:hAnsi="Times New Roman"/>
          <w:sz w:val="24"/>
          <w:szCs w:val="24"/>
          <w:shd w:val="clear" w:color="auto" w:fill="FFFFFF"/>
          <w:lang w:eastAsia="en-GB"/>
        </w:rPr>
        <w:t>interpellation</w:t>
      </w:r>
      <w:r w:rsidR="00E81CFC" w:rsidRPr="007668DF">
        <w:rPr>
          <w:rFonts w:ascii="Times New Roman" w:eastAsia="Malgun Gothic" w:hAnsi="Times New Roman"/>
          <w:color w:val="000000"/>
          <w:sz w:val="24"/>
          <w:szCs w:val="24"/>
          <w:lang w:eastAsia="en-GB"/>
        </w:rPr>
        <w:t xml:space="preserve"> </w:t>
      </w:r>
      <w:r w:rsidR="008E17D1" w:rsidRPr="007668DF">
        <w:rPr>
          <w:rFonts w:ascii="Times New Roman" w:eastAsia="Malgun Gothic" w:hAnsi="Times New Roman"/>
          <w:color w:val="000000"/>
          <w:sz w:val="24"/>
          <w:szCs w:val="24"/>
          <w:lang w:eastAsia="en-GB"/>
        </w:rPr>
        <w:t>survenue alors qu’</w:t>
      </w:r>
      <w:r w:rsidR="00E81CFC" w:rsidRPr="007668DF">
        <w:rPr>
          <w:rFonts w:ascii="Times New Roman" w:eastAsia="Malgun Gothic" w:hAnsi="Times New Roman"/>
          <w:color w:val="000000"/>
          <w:sz w:val="24"/>
          <w:szCs w:val="24"/>
          <w:lang w:eastAsia="en-GB"/>
        </w:rPr>
        <w:t xml:space="preserve">il revenait d’un </w:t>
      </w:r>
      <w:r w:rsidR="00A40F70" w:rsidRPr="007668DF">
        <w:rPr>
          <w:rFonts w:ascii="Times New Roman" w:eastAsia="Malgun Gothic" w:hAnsi="Times New Roman"/>
          <w:color w:val="000000"/>
          <w:sz w:val="24"/>
          <w:szCs w:val="24"/>
          <w:lang w:eastAsia="en-GB"/>
        </w:rPr>
        <w:t>puit</w:t>
      </w:r>
      <w:r w:rsidR="00E81CFC" w:rsidRPr="007668DF">
        <w:rPr>
          <w:rFonts w:ascii="Times New Roman" w:eastAsia="Malgun Gothic" w:hAnsi="Times New Roman"/>
          <w:color w:val="000000"/>
          <w:sz w:val="24"/>
          <w:szCs w:val="24"/>
          <w:lang w:eastAsia="en-GB"/>
        </w:rPr>
        <w:t xml:space="preserve"> pour abreuver son bétail.</w:t>
      </w:r>
      <w:r w:rsidR="00126E47" w:rsidRPr="007668DF">
        <w:rPr>
          <w:rFonts w:ascii="Times New Roman" w:eastAsia="Malgun Gothic" w:hAnsi="Times New Roman"/>
          <w:color w:val="000000"/>
          <w:sz w:val="24"/>
          <w:szCs w:val="24"/>
          <w:lang w:eastAsia="en-GB"/>
        </w:rPr>
        <w:t xml:space="preserve"> Selon les informations </w:t>
      </w:r>
      <w:r w:rsidR="008D02C8" w:rsidRPr="007668DF">
        <w:rPr>
          <w:rFonts w:ascii="Times New Roman" w:eastAsia="Malgun Gothic" w:hAnsi="Times New Roman"/>
          <w:color w:val="000000"/>
          <w:sz w:val="24"/>
          <w:szCs w:val="24"/>
          <w:lang w:eastAsia="en-GB"/>
        </w:rPr>
        <w:t xml:space="preserve">et témoignages </w:t>
      </w:r>
      <w:r w:rsidR="00126E47" w:rsidRPr="007668DF">
        <w:rPr>
          <w:rFonts w:ascii="Times New Roman" w:eastAsia="Malgun Gothic" w:hAnsi="Times New Roman"/>
          <w:color w:val="000000"/>
          <w:sz w:val="24"/>
          <w:szCs w:val="24"/>
          <w:lang w:eastAsia="en-GB"/>
        </w:rPr>
        <w:t xml:space="preserve">recueillis par la </w:t>
      </w:r>
      <w:r w:rsidR="00411BDC" w:rsidRPr="007668DF">
        <w:rPr>
          <w:rFonts w:ascii="Times New Roman" w:eastAsia="Malgun Gothic" w:hAnsi="Times New Roman"/>
          <w:color w:val="000000"/>
          <w:sz w:val="24"/>
          <w:szCs w:val="24"/>
          <w:lang w:eastAsia="en-GB"/>
        </w:rPr>
        <w:t xml:space="preserve">Division des droits de </w:t>
      </w:r>
      <w:r w:rsidR="000C1AE3" w:rsidRPr="007668DF">
        <w:rPr>
          <w:rFonts w:ascii="Times New Roman" w:eastAsia="Malgun Gothic" w:hAnsi="Times New Roman"/>
          <w:color w:val="000000"/>
          <w:sz w:val="24"/>
          <w:szCs w:val="24"/>
          <w:lang w:eastAsia="en-GB"/>
        </w:rPr>
        <w:t>l’homme,</w:t>
      </w:r>
      <w:r w:rsidR="00126E47" w:rsidRPr="007668DF">
        <w:rPr>
          <w:rFonts w:ascii="Times New Roman" w:eastAsia="Malgun Gothic" w:hAnsi="Times New Roman"/>
          <w:color w:val="000000"/>
          <w:sz w:val="24"/>
          <w:szCs w:val="24"/>
          <w:lang w:eastAsia="en-GB"/>
        </w:rPr>
        <w:t xml:space="preserve"> l</w:t>
      </w:r>
      <w:r w:rsidR="00E81CFC" w:rsidRPr="007668DF">
        <w:rPr>
          <w:rFonts w:ascii="Times New Roman" w:eastAsia="Malgun Gothic" w:hAnsi="Times New Roman"/>
          <w:color w:val="000000"/>
          <w:sz w:val="24"/>
          <w:szCs w:val="24"/>
          <w:lang w:eastAsia="en-GB"/>
        </w:rPr>
        <w:t>a victime a</w:t>
      </w:r>
      <w:r w:rsidR="008E17D1" w:rsidRPr="007668DF">
        <w:rPr>
          <w:rFonts w:ascii="Times New Roman" w:eastAsia="Malgun Gothic" w:hAnsi="Times New Roman"/>
          <w:color w:val="000000"/>
          <w:sz w:val="24"/>
          <w:szCs w:val="24"/>
          <w:lang w:eastAsia="en-GB"/>
        </w:rPr>
        <w:t>urait</w:t>
      </w:r>
      <w:r w:rsidR="00E81CFC" w:rsidRPr="007668DF">
        <w:rPr>
          <w:rFonts w:ascii="Times New Roman" w:eastAsia="Malgun Gothic" w:hAnsi="Times New Roman"/>
          <w:color w:val="000000"/>
          <w:sz w:val="24"/>
          <w:szCs w:val="24"/>
          <w:lang w:eastAsia="en-GB"/>
        </w:rPr>
        <w:t xml:space="preserve"> été agressée en </w:t>
      </w:r>
      <w:r w:rsidR="00126E47" w:rsidRPr="007668DF">
        <w:rPr>
          <w:rFonts w:ascii="Times New Roman" w:eastAsia="Malgun Gothic" w:hAnsi="Times New Roman"/>
          <w:color w:val="000000"/>
          <w:sz w:val="24"/>
          <w:szCs w:val="24"/>
          <w:lang w:eastAsia="en-GB"/>
        </w:rPr>
        <w:t xml:space="preserve">raison </w:t>
      </w:r>
      <w:r w:rsidR="00E81CFC" w:rsidRPr="007668DF">
        <w:rPr>
          <w:rFonts w:ascii="Times New Roman" w:eastAsia="Malgun Gothic" w:hAnsi="Times New Roman"/>
          <w:color w:val="000000"/>
          <w:sz w:val="24"/>
          <w:szCs w:val="24"/>
          <w:lang w:eastAsia="en-GB"/>
        </w:rPr>
        <w:t xml:space="preserve"> de son </w:t>
      </w:r>
      <w:r w:rsidR="000810C2" w:rsidRPr="007668DF">
        <w:rPr>
          <w:rFonts w:ascii="Times New Roman" w:eastAsia="Malgun Gothic" w:hAnsi="Times New Roman"/>
          <w:color w:val="000000"/>
          <w:sz w:val="24"/>
          <w:szCs w:val="24"/>
          <w:lang w:eastAsia="en-GB"/>
        </w:rPr>
        <w:t>appartenance communautaire</w:t>
      </w:r>
      <w:r w:rsidR="00E81CFC" w:rsidRPr="007668DF">
        <w:rPr>
          <w:rFonts w:ascii="Times New Roman" w:eastAsia="Malgun Gothic" w:hAnsi="Times New Roman"/>
          <w:color w:val="000000"/>
          <w:sz w:val="24"/>
          <w:szCs w:val="24"/>
          <w:lang w:eastAsia="en-GB"/>
        </w:rPr>
        <w:t>.</w:t>
      </w:r>
      <w:r w:rsidR="00335688" w:rsidRPr="007668DF">
        <w:rPr>
          <w:rFonts w:ascii="Times New Roman" w:hAnsi="Times New Roman"/>
          <w:sz w:val="24"/>
          <w:szCs w:val="24"/>
        </w:rPr>
        <w:t xml:space="preserve"> </w:t>
      </w:r>
      <w:r w:rsidR="00335688" w:rsidRPr="007668DF">
        <w:rPr>
          <w:rFonts w:ascii="Times New Roman" w:eastAsia="Malgun Gothic" w:hAnsi="Times New Roman"/>
          <w:color w:val="000000"/>
          <w:sz w:val="24"/>
          <w:szCs w:val="24"/>
          <w:lang w:eastAsia="en-GB"/>
        </w:rPr>
        <w:t xml:space="preserve">Aucune </w:t>
      </w:r>
      <w:r w:rsidR="00A40F70" w:rsidRPr="007668DF">
        <w:rPr>
          <w:rFonts w:ascii="Times New Roman" w:eastAsia="Malgun Gothic" w:hAnsi="Times New Roman"/>
          <w:color w:val="000000"/>
          <w:sz w:val="24"/>
          <w:szCs w:val="24"/>
          <w:lang w:eastAsia="en-GB"/>
        </w:rPr>
        <w:t>enquête</w:t>
      </w:r>
      <w:r w:rsidR="00335688" w:rsidRPr="007668DF">
        <w:rPr>
          <w:rFonts w:ascii="Times New Roman" w:eastAsia="Malgun Gothic" w:hAnsi="Times New Roman"/>
          <w:color w:val="000000"/>
          <w:sz w:val="24"/>
          <w:szCs w:val="24"/>
          <w:lang w:eastAsia="en-GB"/>
        </w:rPr>
        <w:t xml:space="preserve"> n’a été ouverte à ce sujet.</w:t>
      </w:r>
    </w:p>
    <w:p w:rsidR="00335688" w:rsidRDefault="00335688" w:rsidP="006C2FA0">
      <w:pPr>
        <w:pStyle w:val="ListParagraph"/>
        <w:tabs>
          <w:tab w:val="left" w:pos="567"/>
          <w:tab w:val="left" w:pos="1134"/>
        </w:tabs>
        <w:ind w:left="0"/>
        <w:jc w:val="both"/>
        <w:rPr>
          <w:rFonts w:ascii="Times New Roman" w:eastAsia="Malgun Gothic" w:hAnsi="Times New Roman"/>
          <w:color w:val="000000"/>
          <w:sz w:val="24"/>
          <w:szCs w:val="24"/>
          <w:lang w:eastAsia="en-GB"/>
        </w:rPr>
      </w:pPr>
    </w:p>
    <w:p w:rsidR="00893033" w:rsidRDefault="00893033" w:rsidP="006C2FA0">
      <w:pPr>
        <w:pStyle w:val="ListParagraph"/>
        <w:tabs>
          <w:tab w:val="left" w:pos="567"/>
          <w:tab w:val="left" w:pos="1134"/>
        </w:tabs>
        <w:ind w:left="0"/>
        <w:jc w:val="both"/>
        <w:rPr>
          <w:rFonts w:ascii="Times New Roman" w:eastAsia="Malgun Gothic" w:hAnsi="Times New Roman"/>
          <w:i/>
          <w:color w:val="000000"/>
          <w:sz w:val="24"/>
          <w:szCs w:val="24"/>
          <w:lang w:eastAsia="en-GB"/>
        </w:rPr>
      </w:pPr>
      <w:r>
        <w:rPr>
          <w:rFonts w:ascii="Times New Roman" w:eastAsia="Malgun Gothic" w:hAnsi="Times New Roman"/>
          <w:color w:val="000000"/>
          <w:sz w:val="24"/>
          <w:szCs w:val="24"/>
          <w:lang w:eastAsia="en-GB"/>
        </w:rPr>
        <w:tab/>
      </w:r>
      <w:r>
        <w:rPr>
          <w:rFonts w:ascii="Times New Roman" w:eastAsia="Malgun Gothic" w:hAnsi="Times New Roman"/>
          <w:color w:val="000000"/>
          <w:sz w:val="24"/>
          <w:szCs w:val="24"/>
          <w:lang w:eastAsia="en-GB"/>
        </w:rPr>
        <w:tab/>
      </w:r>
      <w:r w:rsidRPr="003B152B">
        <w:rPr>
          <w:rFonts w:ascii="Times New Roman" w:eastAsia="Malgun Gothic" w:hAnsi="Times New Roman"/>
          <w:i/>
          <w:color w:val="000000"/>
          <w:sz w:val="24"/>
          <w:szCs w:val="24"/>
          <w:lang w:eastAsia="en-GB"/>
        </w:rPr>
        <w:t xml:space="preserve">Tortures, traitements cruels, inhumains ou </w:t>
      </w:r>
      <w:r w:rsidRPr="00785F0D">
        <w:rPr>
          <w:rFonts w:ascii="Times New Roman" w:eastAsia="Malgun Gothic" w:hAnsi="Times New Roman"/>
          <w:i/>
          <w:color w:val="000000"/>
          <w:sz w:val="24"/>
          <w:szCs w:val="24"/>
          <w:lang w:eastAsia="en-GB"/>
        </w:rPr>
        <w:t>dégradants</w:t>
      </w:r>
      <w:r w:rsidR="006B3AD9" w:rsidRPr="00785F0D">
        <w:rPr>
          <w:rFonts w:ascii="Times New Roman" w:eastAsia="Malgun Gothic" w:hAnsi="Times New Roman"/>
          <w:i/>
          <w:color w:val="000000"/>
          <w:sz w:val="24"/>
          <w:szCs w:val="24"/>
          <w:lang w:eastAsia="en-GB"/>
        </w:rPr>
        <w:t xml:space="preserve"> et</w:t>
      </w:r>
      <w:r w:rsidRPr="00785F0D">
        <w:rPr>
          <w:rFonts w:ascii="Times New Roman" w:eastAsia="Malgun Gothic" w:hAnsi="Times New Roman"/>
          <w:i/>
          <w:color w:val="000000"/>
          <w:sz w:val="24"/>
          <w:szCs w:val="24"/>
          <w:lang w:eastAsia="en-GB"/>
        </w:rPr>
        <w:t xml:space="preserve"> viols</w:t>
      </w:r>
    </w:p>
    <w:p w:rsidR="00893033" w:rsidRDefault="00893033" w:rsidP="00893033">
      <w:pPr>
        <w:shd w:val="clear" w:color="auto" w:fill="FFFFFF"/>
        <w:tabs>
          <w:tab w:val="left" w:pos="567"/>
          <w:tab w:val="left" w:pos="1134"/>
        </w:tabs>
        <w:spacing w:after="0"/>
        <w:jc w:val="both"/>
        <w:rPr>
          <w:rFonts w:ascii="Times New Roman" w:eastAsia="Malgun Gothic" w:hAnsi="Times New Roman"/>
          <w:color w:val="000000"/>
          <w:sz w:val="24"/>
          <w:szCs w:val="24"/>
          <w:lang w:eastAsia="en-GB"/>
        </w:rPr>
      </w:pPr>
      <w:r>
        <w:rPr>
          <w:rFonts w:ascii="Times New Roman" w:eastAsia="Malgun Gothic" w:hAnsi="Times New Roman"/>
          <w:color w:val="000000"/>
          <w:sz w:val="24"/>
          <w:szCs w:val="24"/>
          <w:lang w:eastAsia="en-GB"/>
        </w:rPr>
        <w:t>32.</w:t>
      </w:r>
      <w:r>
        <w:rPr>
          <w:rFonts w:ascii="Times New Roman" w:eastAsia="Malgun Gothic" w:hAnsi="Times New Roman"/>
          <w:color w:val="000000"/>
          <w:sz w:val="24"/>
          <w:szCs w:val="24"/>
          <w:lang w:eastAsia="en-GB"/>
        </w:rPr>
        <w:tab/>
        <w:t>L</w:t>
      </w:r>
      <w:r w:rsidRPr="001F3A8B">
        <w:rPr>
          <w:rFonts w:ascii="Times New Roman" w:eastAsia="Malgun Gothic" w:hAnsi="Times New Roman"/>
          <w:color w:val="000000"/>
          <w:sz w:val="24"/>
          <w:szCs w:val="24"/>
          <w:lang w:eastAsia="en-GB"/>
        </w:rPr>
        <w:t xml:space="preserve">e 11 novembre </w:t>
      </w:r>
      <w:r>
        <w:rPr>
          <w:rFonts w:ascii="Times New Roman" w:eastAsia="Malgun Gothic" w:hAnsi="Times New Roman"/>
          <w:color w:val="000000"/>
          <w:sz w:val="24"/>
          <w:szCs w:val="24"/>
          <w:lang w:eastAsia="en-GB"/>
        </w:rPr>
        <w:t>20</w:t>
      </w:r>
      <w:r w:rsidRPr="001F3A8B">
        <w:rPr>
          <w:rFonts w:ascii="Times New Roman" w:eastAsia="Malgun Gothic" w:hAnsi="Times New Roman"/>
          <w:color w:val="000000"/>
          <w:sz w:val="24"/>
          <w:szCs w:val="24"/>
          <w:lang w:eastAsia="en-GB"/>
        </w:rPr>
        <w:t>13</w:t>
      </w:r>
      <w:r>
        <w:rPr>
          <w:rFonts w:ascii="Times New Roman" w:eastAsia="Malgun Gothic" w:hAnsi="Times New Roman"/>
          <w:color w:val="000000"/>
          <w:sz w:val="24"/>
          <w:szCs w:val="24"/>
          <w:lang w:eastAsia="en-GB"/>
        </w:rPr>
        <w:t>, des bergers</w:t>
      </w:r>
      <w:r w:rsidR="00A439E4">
        <w:rPr>
          <w:rFonts w:ascii="Times New Roman" w:eastAsia="Malgun Gothic" w:hAnsi="Times New Roman"/>
          <w:color w:val="000000"/>
          <w:sz w:val="24"/>
          <w:szCs w:val="24"/>
          <w:lang w:eastAsia="en-GB"/>
        </w:rPr>
        <w:t>, membres de la communauté</w:t>
      </w:r>
      <w:r>
        <w:rPr>
          <w:rFonts w:ascii="Times New Roman" w:eastAsia="Malgun Gothic" w:hAnsi="Times New Roman"/>
          <w:color w:val="000000"/>
          <w:sz w:val="24"/>
          <w:szCs w:val="24"/>
          <w:lang w:eastAsia="en-GB"/>
        </w:rPr>
        <w:t xml:space="preserve"> </w:t>
      </w:r>
      <w:r w:rsidRPr="00BE77F4">
        <w:rPr>
          <w:rFonts w:ascii="Times New Roman" w:eastAsia="Malgun Gothic" w:hAnsi="Times New Roman"/>
          <w:i/>
          <w:color w:val="000000"/>
          <w:sz w:val="24"/>
          <w:szCs w:val="24"/>
          <w:lang w:eastAsia="en-GB"/>
        </w:rPr>
        <w:t xml:space="preserve">Touaregs </w:t>
      </w:r>
      <w:r>
        <w:rPr>
          <w:rFonts w:ascii="Times New Roman" w:eastAsia="Malgun Gothic" w:hAnsi="Times New Roman"/>
          <w:color w:val="000000"/>
          <w:sz w:val="24"/>
          <w:szCs w:val="24"/>
          <w:lang w:eastAsia="en-GB"/>
        </w:rPr>
        <w:t>ont été encerclés par des FAMa alors qu’ils abreuvaient leurs troupeaux</w:t>
      </w:r>
      <w:r w:rsidR="00C5716E">
        <w:rPr>
          <w:rFonts w:ascii="Times New Roman" w:eastAsia="Malgun Gothic" w:hAnsi="Times New Roman"/>
          <w:color w:val="000000"/>
          <w:sz w:val="24"/>
          <w:szCs w:val="24"/>
          <w:lang w:eastAsia="en-GB"/>
        </w:rPr>
        <w:t xml:space="preserve"> à Labezzanga (région de Gao)</w:t>
      </w:r>
      <w:r>
        <w:rPr>
          <w:rFonts w:ascii="Times New Roman" w:eastAsia="Malgun Gothic" w:hAnsi="Times New Roman"/>
          <w:color w:val="000000"/>
          <w:sz w:val="24"/>
          <w:szCs w:val="24"/>
          <w:lang w:eastAsia="en-GB"/>
        </w:rPr>
        <w:t xml:space="preserve">. Après une tentative de fuite, ceux-ci auraient été arrêtés, </w:t>
      </w:r>
      <w:r w:rsidRPr="001F3A8B">
        <w:rPr>
          <w:rFonts w:ascii="Times New Roman" w:eastAsia="Malgun Gothic" w:hAnsi="Times New Roman"/>
          <w:color w:val="000000"/>
          <w:sz w:val="24"/>
          <w:szCs w:val="24"/>
          <w:lang w:eastAsia="en-GB"/>
        </w:rPr>
        <w:t>attaché</w:t>
      </w:r>
      <w:r>
        <w:rPr>
          <w:rFonts w:ascii="Times New Roman" w:eastAsia="Malgun Gothic" w:hAnsi="Times New Roman"/>
          <w:color w:val="000000"/>
          <w:sz w:val="24"/>
          <w:szCs w:val="24"/>
          <w:lang w:eastAsia="en-GB"/>
        </w:rPr>
        <w:t>s,</w:t>
      </w:r>
      <w:r w:rsidRPr="001F3A8B">
        <w:rPr>
          <w:rFonts w:ascii="Times New Roman" w:eastAsia="Malgun Gothic" w:hAnsi="Times New Roman"/>
          <w:color w:val="000000"/>
          <w:sz w:val="24"/>
          <w:szCs w:val="24"/>
          <w:lang w:eastAsia="en-GB"/>
        </w:rPr>
        <w:t xml:space="preserve"> pieds </w:t>
      </w:r>
      <w:r>
        <w:rPr>
          <w:rFonts w:ascii="Times New Roman" w:eastAsia="Malgun Gothic" w:hAnsi="Times New Roman"/>
          <w:color w:val="000000"/>
          <w:sz w:val="24"/>
          <w:szCs w:val="24"/>
          <w:lang w:eastAsia="en-GB"/>
        </w:rPr>
        <w:t>et poings liés, les yeux bandé</w:t>
      </w:r>
      <w:r w:rsidRPr="001F3A8B">
        <w:rPr>
          <w:rFonts w:ascii="Times New Roman" w:eastAsia="Malgun Gothic" w:hAnsi="Times New Roman"/>
          <w:color w:val="000000"/>
          <w:sz w:val="24"/>
          <w:szCs w:val="24"/>
          <w:lang w:eastAsia="en-GB"/>
        </w:rPr>
        <w:t xml:space="preserve">s </w:t>
      </w:r>
      <w:r>
        <w:rPr>
          <w:rFonts w:ascii="Times New Roman" w:eastAsia="Malgun Gothic" w:hAnsi="Times New Roman"/>
          <w:color w:val="000000"/>
          <w:sz w:val="24"/>
          <w:szCs w:val="24"/>
          <w:lang w:eastAsia="en-GB"/>
        </w:rPr>
        <w:t>à l’aide</w:t>
      </w:r>
      <w:r w:rsidRPr="001F3A8B">
        <w:rPr>
          <w:rFonts w:ascii="Times New Roman" w:eastAsia="Malgun Gothic" w:hAnsi="Times New Roman"/>
          <w:color w:val="000000"/>
          <w:sz w:val="24"/>
          <w:szCs w:val="24"/>
          <w:lang w:eastAsia="en-GB"/>
        </w:rPr>
        <w:t xml:space="preserve"> </w:t>
      </w:r>
      <w:r>
        <w:rPr>
          <w:rFonts w:ascii="Times New Roman" w:eastAsia="Malgun Gothic" w:hAnsi="Times New Roman"/>
          <w:color w:val="000000"/>
          <w:sz w:val="24"/>
          <w:szCs w:val="24"/>
          <w:lang w:eastAsia="en-GB"/>
        </w:rPr>
        <w:t>de</w:t>
      </w:r>
      <w:r w:rsidRPr="001F3A8B">
        <w:rPr>
          <w:rFonts w:ascii="Times New Roman" w:eastAsia="Malgun Gothic" w:hAnsi="Times New Roman"/>
          <w:color w:val="000000"/>
          <w:sz w:val="24"/>
          <w:szCs w:val="24"/>
          <w:lang w:eastAsia="en-GB"/>
        </w:rPr>
        <w:t xml:space="preserve"> turbans</w:t>
      </w:r>
      <w:r>
        <w:rPr>
          <w:rFonts w:ascii="Times New Roman" w:eastAsia="Malgun Gothic" w:hAnsi="Times New Roman"/>
          <w:color w:val="000000"/>
          <w:sz w:val="24"/>
          <w:szCs w:val="24"/>
          <w:lang w:eastAsia="en-GB"/>
        </w:rPr>
        <w:t xml:space="preserve"> et les têtes recouvertes de sacs. Selon les témoignages</w:t>
      </w:r>
      <w:r w:rsidR="00A439E4">
        <w:rPr>
          <w:rFonts w:ascii="Times New Roman" w:eastAsia="Malgun Gothic" w:hAnsi="Times New Roman"/>
          <w:color w:val="000000"/>
          <w:sz w:val="24"/>
          <w:szCs w:val="24"/>
          <w:lang w:eastAsia="en-GB"/>
        </w:rPr>
        <w:t xml:space="preserve"> concordants et corroborés par</w:t>
      </w:r>
      <w:r>
        <w:rPr>
          <w:rFonts w:ascii="Times New Roman" w:eastAsia="Malgun Gothic" w:hAnsi="Times New Roman"/>
          <w:color w:val="000000"/>
          <w:sz w:val="24"/>
          <w:szCs w:val="24"/>
          <w:lang w:eastAsia="en-GB"/>
        </w:rPr>
        <w:t xml:space="preserve"> les interrogatoires des policiers à la brigade, les têtes des bergers </w:t>
      </w:r>
      <w:r w:rsidR="00A439E4">
        <w:rPr>
          <w:rFonts w:ascii="Times New Roman" w:eastAsia="Malgun Gothic" w:hAnsi="Times New Roman"/>
          <w:color w:val="000000"/>
          <w:sz w:val="24"/>
          <w:szCs w:val="24"/>
          <w:lang w:eastAsia="en-GB"/>
        </w:rPr>
        <w:t>on</w:t>
      </w:r>
      <w:r>
        <w:rPr>
          <w:rFonts w:ascii="Times New Roman" w:eastAsia="Malgun Gothic" w:hAnsi="Times New Roman"/>
          <w:color w:val="000000"/>
          <w:sz w:val="24"/>
          <w:szCs w:val="24"/>
          <w:lang w:eastAsia="en-GB"/>
        </w:rPr>
        <w:t xml:space="preserve">t été </w:t>
      </w:r>
      <w:r>
        <w:rPr>
          <w:rFonts w:ascii="Times New Roman" w:eastAsia="Malgun Gothic" w:hAnsi="Times New Roman"/>
          <w:color w:val="000000"/>
          <w:sz w:val="24"/>
          <w:szCs w:val="24"/>
          <w:lang w:eastAsia="en-GB"/>
        </w:rPr>
        <w:lastRenderedPageBreak/>
        <w:t xml:space="preserve">à plusieurs reprises cognées contre un mur par le Commandant de brigade et les prévenus </w:t>
      </w:r>
      <w:r w:rsidR="00A439E4">
        <w:rPr>
          <w:rFonts w:ascii="Times New Roman" w:eastAsia="Malgun Gothic" w:hAnsi="Times New Roman"/>
          <w:color w:val="000000"/>
          <w:sz w:val="24"/>
          <w:szCs w:val="24"/>
          <w:lang w:eastAsia="en-GB"/>
        </w:rPr>
        <w:t>on</w:t>
      </w:r>
      <w:r>
        <w:rPr>
          <w:rFonts w:ascii="Times New Roman" w:eastAsia="Malgun Gothic" w:hAnsi="Times New Roman"/>
          <w:color w:val="000000"/>
          <w:sz w:val="24"/>
          <w:szCs w:val="24"/>
          <w:lang w:eastAsia="en-GB"/>
        </w:rPr>
        <w:t>t été menacés à l’aide d’un couteau</w:t>
      </w:r>
      <w:r w:rsidR="00A439E4">
        <w:rPr>
          <w:rFonts w:ascii="Times New Roman" w:eastAsia="Malgun Gothic" w:hAnsi="Times New Roman"/>
          <w:color w:val="000000"/>
          <w:sz w:val="24"/>
          <w:szCs w:val="24"/>
          <w:lang w:eastAsia="en-GB"/>
        </w:rPr>
        <w:t xml:space="preserve"> dans le but d’obtenir les aveux de leur appartenance à un groupe armé</w:t>
      </w:r>
      <w:r>
        <w:rPr>
          <w:rFonts w:ascii="Times New Roman" w:eastAsia="Malgun Gothic" w:hAnsi="Times New Roman"/>
          <w:color w:val="000000"/>
          <w:sz w:val="24"/>
          <w:szCs w:val="24"/>
          <w:lang w:eastAsia="en-GB"/>
        </w:rPr>
        <w:t xml:space="preserve">. Aucune procédure judiciaire n’a encore été introduite </w:t>
      </w:r>
      <w:r w:rsidR="00A439E4">
        <w:rPr>
          <w:rFonts w:ascii="Times New Roman" w:eastAsia="Malgun Gothic" w:hAnsi="Times New Roman"/>
          <w:color w:val="000000"/>
          <w:sz w:val="24"/>
          <w:szCs w:val="24"/>
          <w:lang w:eastAsia="en-GB"/>
        </w:rPr>
        <w:t>à la suite de</w:t>
      </w:r>
      <w:r>
        <w:rPr>
          <w:rFonts w:ascii="Times New Roman" w:eastAsia="Malgun Gothic" w:hAnsi="Times New Roman"/>
          <w:color w:val="000000"/>
          <w:sz w:val="24"/>
          <w:szCs w:val="24"/>
          <w:lang w:eastAsia="en-GB"/>
        </w:rPr>
        <w:t xml:space="preserve"> ces faits.</w:t>
      </w:r>
    </w:p>
    <w:p w:rsidR="00893033" w:rsidRPr="001F3A8B" w:rsidRDefault="00893033" w:rsidP="00893033">
      <w:pPr>
        <w:shd w:val="clear" w:color="auto" w:fill="FFFFFF"/>
        <w:tabs>
          <w:tab w:val="left" w:pos="567"/>
          <w:tab w:val="left" w:pos="1134"/>
        </w:tabs>
        <w:spacing w:after="0"/>
        <w:jc w:val="both"/>
        <w:rPr>
          <w:rFonts w:ascii="Times New Roman" w:eastAsia="Malgun Gothic" w:hAnsi="Times New Roman"/>
          <w:color w:val="000000"/>
          <w:sz w:val="24"/>
          <w:szCs w:val="24"/>
          <w:lang w:eastAsia="en-GB"/>
        </w:rPr>
      </w:pPr>
    </w:p>
    <w:p w:rsidR="00893033" w:rsidRPr="00C50FEB" w:rsidRDefault="00893033" w:rsidP="00893033">
      <w:pPr>
        <w:tabs>
          <w:tab w:val="left" w:pos="567"/>
          <w:tab w:val="left" w:pos="1134"/>
        </w:tabs>
        <w:jc w:val="both"/>
        <w:rPr>
          <w:rStyle w:val="hps"/>
          <w:rFonts w:ascii="Times New Roman" w:eastAsia="Malgun Gothic" w:hAnsi="Times New Roman"/>
          <w:color w:val="000000"/>
          <w:sz w:val="24"/>
          <w:szCs w:val="24"/>
          <w:lang w:eastAsia="en-GB"/>
        </w:rPr>
      </w:pPr>
      <w:r>
        <w:rPr>
          <w:rFonts w:ascii="Times New Roman" w:eastAsia="Malgun Gothic" w:hAnsi="Times New Roman"/>
          <w:color w:val="000000"/>
          <w:sz w:val="24"/>
          <w:szCs w:val="24"/>
          <w:lang w:eastAsia="en-GB"/>
        </w:rPr>
        <w:t>33.</w:t>
      </w:r>
      <w:r>
        <w:rPr>
          <w:rFonts w:ascii="Times New Roman" w:eastAsia="Malgun Gothic" w:hAnsi="Times New Roman"/>
          <w:color w:val="000000"/>
          <w:sz w:val="24"/>
          <w:szCs w:val="24"/>
          <w:lang w:eastAsia="en-GB"/>
        </w:rPr>
        <w:tab/>
      </w:r>
      <w:r w:rsidRPr="0041228B">
        <w:rPr>
          <w:rFonts w:ascii="Times New Roman" w:eastAsia="Malgun Gothic" w:hAnsi="Times New Roman"/>
          <w:color w:val="000000"/>
          <w:sz w:val="24"/>
          <w:szCs w:val="24"/>
          <w:lang w:eastAsia="en-GB"/>
        </w:rPr>
        <w:t>Le 11 avril</w:t>
      </w:r>
      <w:r>
        <w:rPr>
          <w:rFonts w:ascii="Times New Roman" w:eastAsia="Malgun Gothic" w:hAnsi="Times New Roman"/>
          <w:color w:val="000000"/>
          <w:sz w:val="24"/>
          <w:szCs w:val="24"/>
          <w:lang w:eastAsia="en-GB"/>
        </w:rPr>
        <w:t xml:space="preserve"> </w:t>
      </w:r>
      <w:r w:rsidRPr="0041228B">
        <w:rPr>
          <w:rFonts w:ascii="Times New Roman" w:eastAsia="Malgun Gothic" w:hAnsi="Times New Roman"/>
          <w:color w:val="000000"/>
          <w:sz w:val="24"/>
          <w:szCs w:val="24"/>
          <w:lang w:eastAsia="en-GB"/>
        </w:rPr>
        <w:t xml:space="preserve">2014, à Mopti, un homme </w:t>
      </w:r>
      <w:r w:rsidR="00A439E4">
        <w:rPr>
          <w:rFonts w:ascii="Times New Roman" w:eastAsia="Malgun Gothic" w:hAnsi="Times New Roman"/>
          <w:color w:val="000000"/>
          <w:sz w:val="24"/>
          <w:szCs w:val="24"/>
          <w:lang w:eastAsia="en-GB"/>
        </w:rPr>
        <w:t xml:space="preserve">de nationalité </w:t>
      </w:r>
      <w:r w:rsidR="00A439E4" w:rsidRPr="00A439E4">
        <w:rPr>
          <w:rFonts w:ascii="Times New Roman" w:eastAsia="Malgun Gothic" w:hAnsi="Times New Roman"/>
          <w:i/>
          <w:color w:val="000000"/>
          <w:sz w:val="24"/>
          <w:szCs w:val="24"/>
          <w:lang w:eastAsia="en-GB"/>
        </w:rPr>
        <w:t>Burkinabé</w:t>
      </w:r>
      <w:r w:rsidR="00A439E4">
        <w:rPr>
          <w:rFonts w:ascii="Times New Roman" w:eastAsia="Malgun Gothic" w:hAnsi="Times New Roman"/>
          <w:color w:val="000000"/>
          <w:sz w:val="24"/>
          <w:szCs w:val="24"/>
          <w:lang w:eastAsia="en-GB"/>
        </w:rPr>
        <w:t xml:space="preserve">, </w:t>
      </w:r>
      <w:r>
        <w:rPr>
          <w:rFonts w:ascii="Times New Roman" w:eastAsia="Malgun Gothic" w:hAnsi="Times New Roman"/>
          <w:color w:val="000000"/>
          <w:sz w:val="24"/>
          <w:szCs w:val="24"/>
          <w:lang w:eastAsia="en-GB"/>
        </w:rPr>
        <w:t>a été victime de traitement</w:t>
      </w:r>
      <w:r w:rsidR="003F3A61">
        <w:rPr>
          <w:rFonts w:ascii="Times New Roman" w:eastAsia="Malgun Gothic" w:hAnsi="Times New Roman"/>
          <w:color w:val="000000"/>
          <w:sz w:val="24"/>
          <w:szCs w:val="24"/>
          <w:lang w:eastAsia="en-GB"/>
        </w:rPr>
        <w:t>s</w:t>
      </w:r>
      <w:r>
        <w:rPr>
          <w:rFonts w:ascii="Times New Roman" w:eastAsia="Malgun Gothic" w:hAnsi="Times New Roman"/>
          <w:color w:val="000000"/>
          <w:sz w:val="24"/>
          <w:szCs w:val="24"/>
          <w:lang w:eastAsia="en-GB"/>
        </w:rPr>
        <w:t xml:space="preserve"> dégradants infligés par les FAMa </w:t>
      </w:r>
      <w:r w:rsidR="00A439E4">
        <w:rPr>
          <w:rFonts w:ascii="Times New Roman" w:eastAsia="Malgun Gothic" w:hAnsi="Times New Roman"/>
          <w:color w:val="000000"/>
          <w:sz w:val="24"/>
          <w:szCs w:val="24"/>
          <w:lang w:eastAsia="en-GB"/>
        </w:rPr>
        <w:t>lors</w:t>
      </w:r>
      <w:r>
        <w:rPr>
          <w:rFonts w:ascii="Times New Roman" w:eastAsia="Malgun Gothic" w:hAnsi="Times New Roman"/>
          <w:color w:val="000000"/>
          <w:sz w:val="24"/>
          <w:szCs w:val="24"/>
          <w:lang w:eastAsia="en-GB"/>
        </w:rPr>
        <w:t xml:space="preserve"> </w:t>
      </w:r>
      <w:r w:rsidR="00A439E4">
        <w:rPr>
          <w:rFonts w:ascii="Times New Roman" w:eastAsia="Malgun Gothic" w:hAnsi="Times New Roman"/>
          <w:color w:val="000000"/>
          <w:sz w:val="24"/>
          <w:szCs w:val="24"/>
          <w:lang w:eastAsia="en-GB"/>
        </w:rPr>
        <w:t>de</w:t>
      </w:r>
      <w:r>
        <w:rPr>
          <w:rFonts w:ascii="Times New Roman" w:eastAsia="Malgun Gothic" w:hAnsi="Times New Roman"/>
          <w:color w:val="000000"/>
          <w:sz w:val="24"/>
          <w:szCs w:val="24"/>
          <w:lang w:eastAsia="en-GB"/>
        </w:rPr>
        <w:t xml:space="preserve"> son interpellation. </w:t>
      </w:r>
      <w:r w:rsidR="00A439E4">
        <w:rPr>
          <w:rFonts w:ascii="Times New Roman" w:eastAsia="Malgun Gothic" w:hAnsi="Times New Roman"/>
          <w:color w:val="000000"/>
          <w:sz w:val="24"/>
          <w:szCs w:val="24"/>
          <w:lang w:eastAsia="en-GB"/>
        </w:rPr>
        <w:t xml:space="preserve">En effet, la victime portait sur son corps des marques de coups au niveau des pommettes et avait la lèvre fendue. </w:t>
      </w:r>
      <w:r w:rsidR="00C80E22">
        <w:rPr>
          <w:rFonts w:ascii="Times New Roman" w:eastAsia="Malgun Gothic" w:hAnsi="Times New Roman"/>
          <w:color w:val="000000"/>
          <w:sz w:val="24"/>
          <w:szCs w:val="24"/>
          <w:lang w:eastAsia="en-GB"/>
        </w:rPr>
        <w:t xml:space="preserve">Ces faits ont été confirmés par </w:t>
      </w:r>
      <w:r w:rsidR="003F3A61">
        <w:rPr>
          <w:rFonts w:ascii="Times New Roman" w:eastAsia="Malgun Gothic" w:hAnsi="Times New Roman"/>
          <w:color w:val="000000"/>
          <w:sz w:val="24"/>
          <w:szCs w:val="24"/>
          <w:lang w:eastAsia="en-GB"/>
        </w:rPr>
        <w:t>d</w:t>
      </w:r>
      <w:r w:rsidR="00C80E22">
        <w:rPr>
          <w:rFonts w:ascii="Times New Roman" w:eastAsia="Malgun Gothic" w:hAnsi="Times New Roman"/>
          <w:color w:val="000000"/>
          <w:sz w:val="24"/>
          <w:szCs w:val="24"/>
          <w:lang w:eastAsia="en-GB"/>
        </w:rPr>
        <w:t xml:space="preserve">es témoins et par les conclusions de l’enquête des </w:t>
      </w:r>
      <w:r w:rsidR="00C80E22" w:rsidRPr="006B3AD9">
        <w:rPr>
          <w:rFonts w:ascii="Times New Roman" w:eastAsia="Malgun Gothic" w:hAnsi="Times New Roman"/>
          <w:color w:val="000000"/>
          <w:sz w:val="24"/>
          <w:szCs w:val="24"/>
          <w:lang w:eastAsia="en-GB"/>
        </w:rPr>
        <w:t>chargées des droits de l’homme</w:t>
      </w:r>
      <w:r w:rsidR="006B3AD9">
        <w:rPr>
          <w:rFonts w:ascii="Times New Roman" w:eastAsia="Malgun Gothic" w:hAnsi="Times New Roman"/>
          <w:color w:val="000000"/>
          <w:sz w:val="24"/>
          <w:szCs w:val="24"/>
          <w:lang w:eastAsia="en-GB"/>
        </w:rPr>
        <w:t xml:space="preserve"> de la </w:t>
      </w:r>
      <w:r w:rsidR="003B152B">
        <w:rPr>
          <w:rFonts w:ascii="Times New Roman" w:eastAsia="Malgun Gothic" w:hAnsi="Times New Roman"/>
          <w:color w:val="000000"/>
          <w:sz w:val="24"/>
          <w:szCs w:val="24"/>
          <w:lang w:eastAsia="en-GB"/>
        </w:rPr>
        <w:t>MINUSMA</w:t>
      </w:r>
      <w:r w:rsidR="00C80E22">
        <w:rPr>
          <w:rFonts w:ascii="Times New Roman" w:eastAsia="Malgun Gothic" w:hAnsi="Times New Roman"/>
          <w:color w:val="000000"/>
          <w:sz w:val="24"/>
          <w:szCs w:val="24"/>
          <w:lang w:eastAsia="en-GB"/>
        </w:rPr>
        <w:t>. Cependant, a</w:t>
      </w:r>
      <w:r w:rsidRPr="0041228B">
        <w:rPr>
          <w:rFonts w:ascii="Times New Roman" w:eastAsia="Malgun Gothic" w:hAnsi="Times New Roman"/>
          <w:color w:val="000000"/>
          <w:sz w:val="24"/>
          <w:szCs w:val="24"/>
          <w:lang w:eastAsia="en-GB"/>
        </w:rPr>
        <w:t xml:space="preserve">ucune enquête n’a été ouverte </w:t>
      </w:r>
      <w:r>
        <w:rPr>
          <w:rFonts w:ascii="Times New Roman" w:eastAsia="Malgun Gothic" w:hAnsi="Times New Roman"/>
          <w:color w:val="000000"/>
          <w:sz w:val="24"/>
          <w:szCs w:val="24"/>
          <w:lang w:eastAsia="en-GB"/>
        </w:rPr>
        <w:t>concernant ces faits</w:t>
      </w:r>
      <w:r w:rsidRPr="0041228B">
        <w:rPr>
          <w:rFonts w:ascii="Times New Roman" w:eastAsia="Malgun Gothic" w:hAnsi="Times New Roman"/>
          <w:color w:val="000000"/>
          <w:sz w:val="24"/>
          <w:szCs w:val="24"/>
          <w:lang w:eastAsia="en-GB"/>
        </w:rPr>
        <w:t>.</w:t>
      </w:r>
      <w:r w:rsidR="00C80E22">
        <w:rPr>
          <w:rFonts w:ascii="Times New Roman" w:eastAsia="Malgun Gothic" w:hAnsi="Times New Roman"/>
          <w:color w:val="000000"/>
          <w:sz w:val="24"/>
          <w:szCs w:val="24"/>
          <w:lang w:eastAsia="en-GB"/>
        </w:rPr>
        <w:t xml:space="preserve"> </w:t>
      </w:r>
    </w:p>
    <w:p w:rsidR="00893033" w:rsidRDefault="00893033" w:rsidP="00893033">
      <w:pPr>
        <w:shd w:val="clear" w:color="auto" w:fill="FFFFFF"/>
        <w:tabs>
          <w:tab w:val="left" w:pos="567"/>
          <w:tab w:val="left" w:pos="1134"/>
        </w:tabs>
        <w:spacing w:after="0"/>
        <w:jc w:val="both"/>
        <w:rPr>
          <w:rFonts w:ascii="Times New Roman" w:eastAsia="Malgun Gothic" w:hAnsi="Times New Roman"/>
          <w:color w:val="000000"/>
          <w:sz w:val="24"/>
          <w:szCs w:val="24"/>
          <w:lang w:eastAsia="en-GB"/>
        </w:rPr>
      </w:pPr>
      <w:r>
        <w:rPr>
          <w:rFonts w:ascii="Times New Roman" w:eastAsia="Malgun Gothic" w:hAnsi="Times New Roman"/>
          <w:color w:val="000000"/>
          <w:sz w:val="24"/>
          <w:szCs w:val="24"/>
          <w:lang w:eastAsia="en-GB"/>
        </w:rPr>
        <w:t>34.</w:t>
      </w:r>
      <w:r>
        <w:rPr>
          <w:rFonts w:ascii="Times New Roman" w:eastAsia="Malgun Gothic" w:hAnsi="Times New Roman"/>
          <w:color w:val="000000"/>
          <w:sz w:val="24"/>
          <w:szCs w:val="24"/>
          <w:lang w:eastAsia="en-GB"/>
        </w:rPr>
        <w:tab/>
      </w:r>
      <w:r w:rsidRPr="00D03BF7">
        <w:rPr>
          <w:rFonts w:ascii="Times New Roman" w:eastAsia="Malgun Gothic" w:hAnsi="Times New Roman"/>
          <w:color w:val="000000"/>
          <w:sz w:val="24"/>
          <w:szCs w:val="24"/>
          <w:lang w:eastAsia="en-GB"/>
        </w:rPr>
        <w:t xml:space="preserve">Le 9 mai 2014, une jeune fille de 14 ans a été </w:t>
      </w:r>
      <w:r>
        <w:rPr>
          <w:rFonts w:ascii="Times New Roman" w:eastAsia="Malgun Gothic" w:hAnsi="Times New Roman"/>
          <w:color w:val="000000"/>
          <w:sz w:val="24"/>
          <w:szCs w:val="24"/>
          <w:lang w:eastAsia="en-GB"/>
        </w:rPr>
        <w:t>violé</w:t>
      </w:r>
      <w:r w:rsidRPr="00D03BF7">
        <w:rPr>
          <w:rFonts w:ascii="Times New Roman" w:eastAsia="Malgun Gothic" w:hAnsi="Times New Roman"/>
          <w:color w:val="000000"/>
          <w:sz w:val="24"/>
          <w:szCs w:val="24"/>
          <w:lang w:eastAsia="en-GB"/>
        </w:rPr>
        <w:t xml:space="preserve"> par un militaire </w:t>
      </w:r>
      <w:r>
        <w:rPr>
          <w:rFonts w:ascii="Times New Roman" w:eastAsia="Malgun Gothic" w:hAnsi="Times New Roman"/>
          <w:color w:val="000000"/>
          <w:sz w:val="24"/>
          <w:szCs w:val="24"/>
          <w:lang w:eastAsia="en-GB"/>
        </w:rPr>
        <w:t>« </w:t>
      </w:r>
      <w:r w:rsidR="00C80E22" w:rsidRPr="00D03BF7">
        <w:rPr>
          <w:rFonts w:ascii="Times New Roman" w:eastAsia="Malgun Gothic" w:hAnsi="Times New Roman"/>
          <w:color w:val="000000"/>
          <w:sz w:val="24"/>
          <w:szCs w:val="24"/>
          <w:lang w:eastAsia="en-GB"/>
        </w:rPr>
        <w:t>béret</w:t>
      </w:r>
      <w:r w:rsidRPr="00D03BF7">
        <w:rPr>
          <w:rFonts w:ascii="Times New Roman" w:eastAsia="Malgun Gothic" w:hAnsi="Times New Roman"/>
          <w:color w:val="000000"/>
          <w:sz w:val="24"/>
          <w:szCs w:val="24"/>
          <w:lang w:eastAsia="en-GB"/>
        </w:rPr>
        <w:t xml:space="preserve"> rouge</w:t>
      </w:r>
      <w:r>
        <w:rPr>
          <w:rFonts w:ascii="Times New Roman" w:eastAsia="Malgun Gothic" w:hAnsi="Times New Roman"/>
          <w:color w:val="000000"/>
          <w:sz w:val="24"/>
          <w:szCs w:val="24"/>
          <w:lang w:eastAsia="en-GB"/>
        </w:rPr>
        <w:t> »</w:t>
      </w:r>
      <w:r w:rsidRPr="00D03BF7">
        <w:rPr>
          <w:rFonts w:ascii="Times New Roman" w:eastAsia="Malgun Gothic" w:hAnsi="Times New Roman"/>
          <w:color w:val="000000"/>
          <w:sz w:val="24"/>
          <w:szCs w:val="24"/>
          <w:lang w:eastAsia="en-GB"/>
        </w:rPr>
        <w:t xml:space="preserve"> dans la ville de Gao. Selon le récit de la victime, le jour de l’incident</w:t>
      </w:r>
      <w:r>
        <w:rPr>
          <w:rFonts w:ascii="Times New Roman" w:eastAsia="Malgun Gothic" w:hAnsi="Times New Roman"/>
          <w:color w:val="000000"/>
          <w:sz w:val="24"/>
          <w:szCs w:val="24"/>
          <w:lang w:eastAsia="en-GB"/>
        </w:rPr>
        <w:t>,</w:t>
      </w:r>
      <w:r w:rsidRPr="00D03BF7">
        <w:rPr>
          <w:rFonts w:ascii="Times New Roman" w:eastAsia="Malgun Gothic" w:hAnsi="Times New Roman"/>
          <w:color w:val="000000"/>
          <w:sz w:val="24"/>
          <w:szCs w:val="24"/>
          <w:lang w:eastAsia="en-GB"/>
        </w:rPr>
        <w:t xml:space="preserve"> aux environs de 13h, </w:t>
      </w:r>
      <w:r>
        <w:rPr>
          <w:rFonts w:ascii="Times New Roman" w:eastAsia="Malgun Gothic" w:hAnsi="Times New Roman"/>
          <w:color w:val="000000"/>
          <w:sz w:val="24"/>
          <w:szCs w:val="24"/>
          <w:lang w:eastAsia="en-GB"/>
        </w:rPr>
        <w:t>2</w:t>
      </w:r>
      <w:r w:rsidRPr="00D03BF7">
        <w:rPr>
          <w:rFonts w:ascii="Times New Roman" w:eastAsia="Malgun Gothic" w:hAnsi="Times New Roman"/>
          <w:color w:val="000000"/>
          <w:sz w:val="24"/>
          <w:szCs w:val="24"/>
          <w:lang w:eastAsia="en-GB"/>
        </w:rPr>
        <w:t xml:space="preserve"> militaires venus à bord d’un véhicule FAMa, </w:t>
      </w:r>
      <w:r w:rsidR="00C80E22">
        <w:rPr>
          <w:rFonts w:ascii="Times New Roman" w:eastAsia="Malgun Gothic" w:hAnsi="Times New Roman"/>
          <w:color w:val="000000"/>
          <w:sz w:val="24"/>
          <w:szCs w:val="24"/>
          <w:lang w:eastAsia="en-GB"/>
        </w:rPr>
        <w:t>ont ordonné</w:t>
      </w:r>
      <w:r>
        <w:rPr>
          <w:rFonts w:ascii="Times New Roman" w:eastAsia="Malgun Gothic" w:hAnsi="Times New Roman"/>
          <w:color w:val="000000"/>
          <w:sz w:val="24"/>
          <w:szCs w:val="24"/>
          <w:lang w:eastAsia="en-GB"/>
        </w:rPr>
        <w:t xml:space="preserve"> à la victime de les suivre </w:t>
      </w:r>
      <w:r w:rsidR="00C80E22">
        <w:rPr>
          <w:rFonts w:ascii="Times New Roman" w:eastAsia="Malgun Gothic" w:hAnsi="Times New Roman"/>
          <w:color w:val="000000"/>
          <w:sz w:val="24"/>
          <w:szCs w:val="24"/>
          <w:lang w:eastAsia="en-GB"/>
        </w:rPr>
        <w:t xml:space="preserve">en lui faisant croire qu’ils voulaient lui donner du linge à laver. </w:t>
      </w:r>
      <w:r w:rsidRPr="00D03BF7">
        <w:rPr>
          <w:rFonts w:ascii="Times New Roman" w:eastAsia="Malgun Gothic" w:hAnsi="Times New Roman"/>
          <w:color w:val="000000"/>
          <w:sz w:val="24"/>
          <w:szCs w:val="24"/>
          <w:lang w:eastAsia="en-GB"/>
        </w:rPr>
        <w:t>Arrivée chez eux,</w:t>
      </w:r>
      <w:r>
        <w:rPr>
          <w:rFonts w:ascii="Times New Roman" w:eastAsia="Malgun Gothic" w:hAnsi="Times New Roman"/>
          <w:color w:val="000000"/>
          <w:sz w:val="24"/>
          <w:szCs w:val="24"/>
          <w:lang w:eastAsia="en-GB"/>
        </w:rPr>
        <w:t xml:space="preserve"> cette dernière a été conduite dans la chambre, poussée sur le lit, contrainte par une arme sur son visage et la bouche bandée avec du ruban adhésif. Elle aurait été sexuellement</w:t>
      </w:r>
      <w:r w:rsidRPr="00D03BF7">
        <w:rPr>
          <w:rFonts w:ascii="Times New Roman" w:eastAsia="Malgun Gothic" w:hAnsi="Times New Roman"/>
          <w:color w:val="000000"/>
          <w:sz w:val="24"/>
          <w:szCs w:val="24"/>
          <w:lang w:eastAsia="en-GB"/>
        </w:rPr>
        <w:t xml:space="preserve"> abus</w:t>
      </w:r>
      <w:r>
        <w:rPr>
          <w:rFonts w:ascii="Times New Roman" w:eastAsia="Malgun Gothic" w:hAnsi="Times New Roman"/>
          <w:color w:val="000000"/>
          <w:sz w:val="24"/>
          <w:szCs w:val="24"/>
          <w:lang w:eastAsia="en-GB"/>
        </w:rPr>
        <w:t>ée</w:t>
      </w:r>
      <w:r w:rsidRPr="00D03BF7">
        <w:rPr>
          <w:rFonts w:ascii="Times New Roman" w:eastAsia="Malgun Gothic" w:hAnsi="Times New Roman"/>
          <w:color w:val="000000"/>
          <w:sz w:val="24"/>
          <w:szCs w:val="24"/>
          <w:lang w:eastAsia="en-GB"/>
        </w:rPr>
        <w:t xml:space="preserve"> </w:t>
      </w:r>
      <w:r>
        <w:rPr>
          <w:rFonts w:ascii="Times New Roman" w:eastAsia="Malgun Gothic" w:hAnsi="Times New Roman"/>
          <w:color w:val="000000"/>
          <w:sz w:val="24"/>
          <w:szCs w:val="24"/>
          <w:lang w:eastAsia="en-GB"/>
        </w:rPr>
        <w:t xml:space="preserve">par un militaire pendant qu’un autre </w:t>
      </w:r>
      <w:r w:rsidR="00C80E22">
        <w:rPr>
          <w:rFonts w:ascii="Times New Roman" w:eastAsia="Malgun Gothic" w:hAnsi="Times New Roman"/>
          <w:color w:val="000000"/>
          <w:sz w:val="24"/>
          <w:szCs w:val="24"/>
          <w:lang w:eastAsia="en-GB"/>
        </w:rPr>
        <w:t>« </w:t>
      </w:r>
      <w:r w:rsidR="00C80E22" w:rsidRPr="00C80E22">
        <w:rPr>
          <w:rFonts w:ascii="Times New Roman" w:eastAsia="Malgun Gothic" w:hAnsi="Times New Roman"/>
          <w:i/>
          <w:color w:val="000000"/>
          <w:sz w:val="24"/>
          <w:szCs w:val="24"/>
          <w:lang w:eastAsia="en-GB"/>
        </w:rPr>
        <w:t>faisait le piquet</w:t>
      </w:r>
      <w:r w:rsidR="00C80E22">
        <w:rPr>
          <w:rFonts w:ascii="Times New Roman" w:eastAsia="Malgun Gothic" w:hAnsi="Times New Roman"/>
          <w:color w:val="000000"/>
          <w:sz w:val="24"/>
          <w:szCs w:val="24"/>
          <w:lang w:eastAsia="en-GB"/>
        </w:rPr>
        <w:t> »</w:t>
      </w:r>
      <w:r>
        <w:rPr>
          <w:rFonts w:ascii="Times New Roman" w:eastAsia="Malgun Gothic" w:hAnsi="Times New Roman"/>
          <w:color w:val="000000"/>
          <w:sz w:val="24"/>
          <w:szCs w:val="24"/>
          <w:lang w:eastAsia="en-GB"/>
        </w:rPr>
        <w:t xml:space="preserve"> à</w:t>
      </w:r>
      <w:r w:rsidRPr="00D03BF7">
        <w:rPr>
          <w:rFonts w:ascii="Times New Roman" w:eastAsia="Malgun Gothic" w:hAnsi="Times New Roman"/>
          <w:color w:val="000000"/>
          <w:sz w:val="24"/>
          <w:szCs w:val="24"/>
          <w:lang w:eastAsia="en-GB"/>
        </w:rPr>
        <w:t xml:space="preserve"> la porte</w:t>
      </w:r>
      <w:r>
        <w:rPr>
          <w:rFonts w:ascii="Times New Roman" w:eastAsia="Malgun Gothic" w:hAnsi="Times New Roman"/>
          <w:color w:val="000000"/>
          <w:sz w:val="24"/>
          <w:szCs w:val="24"/>
          <w:lang w:eastAsia="en-GB"/>
        </w:rPr>
        <w:t xml:space="preserve"> d’entrée</w:t>
      </w:r>
      <w:r w:rsidRPr="00D03BF7">
        <w:rPr>
          <w:rFonts w:ascii="Times New Roman" w:eastAsia="Malgun Gothic" w:hAnsi="Times New Roman"/>
          <w:color w:val="000000"/>
          <w:sz w:val="24"/>
          <w:szCs w:val="24"/>
          <w:lang w:eastAsia="en-GB"/>
        </w:rPr>
        <w:t xml:space="preserve">. </w:t>
      </w:r>
      <w:r>
        <w:rPr>
          <w:rFonts w:ascii="Times New Roman" w:eastAsia="Malgun Gothic" w:hAnsi="Times New Roman"/>
          <w:color w:val="000000"/>
          <w:sz w:val="24"/>
          <w:szCs w:val="24"/>
          <w:lang w:eastAsia="en-GB"/>
        </w:rPr>
        <w:t>Ces deux militaires l’</w:t>
      </w:r>
      <w:r w:rsidR="003F3A61">
        <w:rPr>
          <w:rFonts w:ascii="Times New Roman" w:eastAsia="Malgun Gothic" w:hAnsi="Times New Roman"/>
          <w:color w:val="000000"/>
          <w:sz w:val="24"/>
          <w:szCs w:val="24"/>
          <w:lang w:eastAsia="en-GB"/>
        </w:rPr>
        <w:t>auraie</w:t>
      </w:r>
      <w:r w:rsidR="00C80E22">
        <w:rPr>
          <w:rFonts w:ascii="Times New Roman" w:eastAsia="Malgun Gothic" w:hAnsi="Times New Roman"/>
          <w:color w:val="000000"/>
          <w:sz w:val="24"/>
          <w:szCs w:val="24"/>
          <w:lang w:eastAsia="en-GB"/>
        </w:rPr>
        <w:t>nt</w:t>
      </w:r>
      <w:r>
        <w:rPr>
          <w:rFonts w:ascii="Times New Roman" w:eastAsia="Malgun Gothic" w:hAnsi="Times New Roman"/>
          <w:color w:val="000000"/>
          <w:sz w:val="24"/>
          <w:szCs w:val="24"/>
          <w:lang w:eastAsia="en-GB"/>
        </w:rPr>
        <w:t xml:space="preserve"> ensuite conduit à quelques mètres, l’auraient descendu du véhicule en lui jetant un billet de 1000fcfa</w:t>
      </w:r>
      <w:r w:rsidRPr="00D03BF7">
        <w:rPr>
          <w:rFonts w:ascii="Times New Roman" w:eastAsia="Malgun Gothic" w:hAnsi="Times New Roman"/>
          <w:color w:val="000000"/>
          <w:sz w:val="24"/>
          <w:szCs w:val="24"/>
          <w:lang w:eastAsia="en-GB"/>
        </w:rPr>
        <w:t xml:space="preserve">. </w:t>
      </w:r>
      <w:r>
        <w:rPr>
          <w:rFonts w:ascii="Times New Roman" w:eastAsia="Malgun Gothic" w:hAnsi="Times New Roman"/>
          <w:color w:val="000000"/>
          <w:sz w:val="24"/>
          <w:szCs w:val="24"/>
          <w:lang w:eastAsia="en-GB"/>
        </w:rPr>
        <w:t xml:space="preserve">Une ONG </w:t>
      </w:r>
      <w:r w:rsidR="001371B4">
        <w:rPr>
          <w:rFonts w:ascii="Times New Roman" w:eastAsia="Malgun Gothic" w:hAnsi="Times New Roman"/>
          <w:color w:val="000000"/>
          <w:sz w:val="24"/>
          <w:szCs w:val="24"/>
          <w:lang w:eastAsia="en-GB"/>
        </w:rPr>
        <w:t xml:space="preserve">nationale </w:t>
      </w:r>
      <w:r>
        <w:rPr>
          <w:rFonts w:ascii="Times New Roman" w:eastAsia="Malgun Gothic" w:hAnsi="Times New Roman"/>
          <w:color w:val="000000"/>
          <w:sz w:val="24"/>
          <w:szCs w:val="24"/>
          <w:lang w:eastAsia="en-GB"/>
        </w:rPr>
        <w:t>a assuré l</w:t>
      </w:r>
      <w:r w:rsidRPr="00D03BF7">
        <w:rPr>
          <w:rFonts w:ascii="Times New Roman" w:eastAsia="Malgun Gothic" w:hAnsi="Times New Roman"/>
          <w:color w:val="000000"/>
          <w:sz w:val="24"/>
          <w:szCs w:val="24"/>
          <w:lang w:eastAsia="en-GB"/>
        </w:rPr>
        <w:t xml:space="preserve">a prise en charge médicale </w:t>
      </w:r>
      <w:r>
        <w:rPr>
          <w:rFonts w:ascii="Times New Roman" w:eastAsia="Malgun Gothic" w:hAnsi="Times New Roman"/>
          <w:color w:val="000000"/>
          <w:sz w:val="24"/>
          <w:szCs w:val="24"/>
          <w:lang w:eastAsia="en-GB"/>
        </w:rPr>
        <w:t xml:space="preserve">et a déposé </w:t>
      </w:r>
      <w:r>
        <w:rPr>
          <w:rFonts w:ascii="Times New Roman" w:eastAsia="Malgun Gothic" w:hAnsi="Times New Roman"/>
          <w:color w:val="000000"/>
          <w:sz w:val="24"/>
          <w:szCs w:val="24"/>
          <w:lang w:eastAsia="en-GB"/>
        </w:rPr>
        <w:lastRenderedPageBreak/>
        <w:t>une plainte auprès de la gendarmerie locale. A ce jour, les présumés auteurs sont toujours en liberté et en exercice malgré la plainte déposée.</w:t>
      </w:r>
    </w:p>
    <w:p w:rsidR="00660AD5" w:rsidRPr="00D03BF7" w:rsidRDefault="00660AD5" w:rsidP="00893033">
      <w:pPr>
        <w:shd w:val="clear" w:color="auto" w:fill="FFFFFF"/>
        <w:tabs>
          <w:tab w:val="left" w:pos="567"/>
          <w:tab w:val="left" w:pos="1134"/>
        </w:tabs>
        <w:spacing w:after="0"/>
        <w:jc w:val="both"/>
        <w:rPr>
          <w:rFonts w:ascii="Times New Roman" w:eastAsia="Malgun Gothic" w:hAnsi="Times New Roman"/>
          <w:color w:val="000000"/>
          <w:sz w:val="24"/>
          <w:szCs w:val="24"/>
          <w:lang w:eastAsia="en-GB"/>
        </w:rPr>
      </w:pPr>
    </w:p>
    <w:p w:rsidR="00893033" w:rsidRPr="0041228B" w:rsidRDefault="00893033" w:rsidP="00893033">
      <w:pPr>
        <w:shd w:val="clear" w:color="auto" w:fill="FFFFFF"/>
        <w:tabs>
          <w:tab w:val="left" w:pos="567"/>
          <w:tab w:val="left" w:pos="1134"/>
        </w:tabs>
        <w:spacing w:after="0"/>
        <w:jc w:val="both"/>
        <w:rPr>
          <w:rFonts w:ascii="Times New Roman" w:eastAsia="Malgun Gothic" w:hAnsi="Times New Roman"/>
          <w:color w:val="000000"/>
          <w:sz w:val="24"/>
          <w:szCs w:val="24"/>
          <w:lang w:eastAsia="en-GB"/>
        </w:rPr>
      </w:pPr>
      <w:r>
        <w:rPr>
          <w:rFonts w:ascii="Times New Roman" w:eastAsia="Malgun Gothic" w:hAnsi="Times New Roman"/>
          <w:color w:val="000000"/>
          <w:sz w:val="24"/>
          <w:szCs w:val="24"/>
          <w:lang w:eastAsia="en-GB"/>
        </w:rPr>
        <w:t>35.</w:t>
      </w:r>
      <w:r>
        <w:rPr>
          <w:rFonts w:ascii="Times New Roman" w:eastAsia="Malgun Gothic" w:hAnsi="Times New Roman"/>
          <w:color w:val="000000"/>
          <w:sz w:val="24"/>
          <w:szCs w:val="24"/>
          <w:lang w:eastAsia="en-GB"/>
        </w:rPr>
        <w:tab/>
        <w:t xml:space="preserve">La Division des droits de l’homme a ainsi pu documenter dans les différentes régions des cas de </w:t>
      </w:r>
      <w:r w:rsidR="006B3AD9">
        <w:rPr>
          <w:rFonts w:ascii="Times New Roman" w:eastAsia="Malgun Gothic" w:hAnsi="Times New Roman"/>
          <w:color w:val="000000"/>
          <w:sz w:val="24"/>
          <w:szCs w:val="24"/>
          <w:lang w:eastAsia="en-GB"/>
        </w:rPr>
        <w:t xml:space="preserve">torture, </w:t>
      </w:r>
      <w:r>
        <w:rPr>
          <w:rFonts w:ascii="Times New Roman" w:eastAsia="Malgun Gothic" w:hAnsi="Times New Roman"/>
          <w:color w:val="000000"/>
          <w:sz w:val="24"/>
          <w:szCs w:val="24"/>
          <w:lang w:eastAsia="en-GB"/>
        </w:rPr>
        <w:t>traitements cruels</w:t>
      </w:r>
      <w:r w:rsidR="00FF57D0">
        <w:rPr>
          <w:rFonts w:ascii="Times New Roman" w:eastAsia="Malgun Gothic" w:hAnsi="Times New Roman"/>
          <w:color w:val="000000"/>
          <w:sz w:val="24"/>
          <w:szCs w:val="24"/>
          <w:lang w:eastAsia="en-GB"/>
        </w:rPr>
        <w:t>,</w:t>
      </w:r>
      <w:r>
        <w:rPr>
          <w:rFonts w:ascii="Times New Roman" w:eastAsia="Malgun Gothic" w:hAnsi="Times New Roman"/>
          <w:color w:val="000000"/>
          <w:sz w:val="24"/>
          <w:szCs w:val="24"/>
          <w:lang w:eastAsia="en-GB"/>
        </w:rPr>
        <w:t xml:space="preserve"> inhumains ou dégradants, et des cas de viols commis </w:t>
      </w:r>
      <w:r w:rsidR="00660AD5">
        <w:rPr>
          <w:rFonts w:ascii="Times New Roman" w:eastAsia="Malgun Gothic" w:hAnsi="Times New Roman"/>
          <w:color w:val="000000"/>
          <w:sz w:val="24"/>
          <w:szCs w:val="24"/>
          <w:lang w:eastAsia="en-GB"/>
        </w:rPr>
        <w:t>par</w:t>
      </w:r>
      <w:r w:rsidR="003F3A61">
        <w:rPr>
          <w:rFonts w:ascii="Times New Roman" w:eastAsia="Malgun Gothic" w:hAnsi="Times New Roman"/>
          <w:color w:val="000000"/>
          <w:sz w:val="24"/>
          <w:szCs w:val="24"/>
          <w:lang w:eastAsia="en-GB"/>
        </w:rPr>
        <w:t>/</w:t>
      </w:r>
      <w:r w:rsidR="00660AD5">
        <w:rPr>
          <w:rFonts w:ascii="Times New Roman" w:eastAsia="Malgun Gothic" w:hAnsi="Times New Roman"/>
          <w:color w:val="000000"/>
          <w:sz w:val="24"/>
          <w:szCs w:val="24"/>
          <w:lang w:eastAsia="en-GB"/>
        </w:rPr>
        <w:t xml:space="preserve">ou imputés aux </w:t>
      </w:r>
      <w:r>
        <w:rPr>
          <w:rFonts w:ascii="Times New Roman" w:eastAsia="Malgun Gothic" w:hAnsi="Times New Roman"/>
          <w:color w:val="000000"/>
          <w:sz w:val="24"/>
          <w:szCs w:val="24"/>
          <w:lang w:eastAsia="en-GB"/>
        </w:rPr>
        <w:t>Forces armées maliennes.</w:t>
      </w:r>
    </w:p>
    <w:p w:rsidR="00893033" w:rsidRPr="00893033" w:rsidRDefault="00893033" w:rsidP="006C2FA0">
      <w:pPr>
        <w:pStyle w:val="ListParagraph"/>
        <w:tabs>
          <w:tab w:val="left" w:pos="567"/>
          <w:tab w:val="left" w:pos="1134"/>
        </w:tabs>
        <w:ind w:left="0"/>
        <w:jc w:val="both"/>
        <w:rPr>
          <w:rFonts w:ascii="Times New Roman" w:eastAsia="Malgun Gothic" w:hAnsi="Times New Roman"/>
          <w:color w:val="000000"/>
          <w:sz w:val="24"/>
          <w:szCs w:val="24"/>
          <w:lang w:eastAsia="en-GB"/>
        </w:rPr>
      </w:pPr>
    </w:p>
    <w:p w:rsidR="00335688" w:rsidRPr="007668DF" w:rsidRDefault="00335688" w:rsidP="006C2FA0">
      <w:pPr>
        <w:pStyle w:val="ListParagraph"/>
        <w:tabs>
          <w:tab w:val="left" w:pos="567"/>
          <w:tab w:val="left" w:pos="1134"/>
        </w:tabs>
        <w:ind w:left="1004"/>
        <w:jc w:val="both"/>
        <w:rPr>
          <w:rFonts w:ascii="Times New Roman" w:eastAsia="Malgun Gothic" w:hAnsi="Times New Roman"/>
          <w:i/>
          <w:color w:val="000000"/>
          <w:sz w:val="24"/>
          <w:szCs w:val="24"/>
          <w:lang w:eastAsia="en-GB"/>
        </w:rPr>
      </w:pPr>
      <w:r w:rsidRPr="007668DF">
        <w:rPr>
          <w:rFonts w:ascii="Times New Roman" w:eastAsia="Malgun Gothic" w:hAnsi="Times New Roman"/>
          <w:i/>
          <w:color w:val="000000"/>
          <w:sz w:val="24"/>
          <w:szCs w:val="24"/>
          <w:lang w:eastAsia="en-GB"/>
        </w:rPr>
        <w:t xml:space="preserve">Arrestations </w:t>
      </w:r>
      <w:r w:rsidR="00EA6A98" w:rsidRPr="007668DF">
        <w:rPr>
          <w:rFonts w:ascii="Times New Roman" w:eastAsia="Malgun Gothic" w:hAnsi="Times New Roman"/>
          <w:i/>
          <w:color w:val="000000"/>
          <w:sz w:val="24"/>
          <w:szCs w:val="24"/>
          <w:lang w:eastAsia="en-GB"/>
        </w:rPr>
        <w:t xml:space="preserve">et détentions </w:t>
      </w:r>
      <w:r w:rsidRPr="007668DF">
        <w:rPr>
          <w:rFonts w:ascii="Times New Roman" w:eastAsia="Malgun Gothic" w:hAnsi="Times New Roman"/>
          <w:i/>
          <w:color w:val="000000"/>
          <w:sz w:val="24"/>
          <w:szCs w:val="24"/>
          <w:lang w:eastAsia="en-GB"/>
        </w:rPr>
        <w:t>arbitraire</w:t>
      </w:r>
      <w:r w:rsidR="00A75983" w:rsidRPr="007668DF">
        <w:rPr>
          <w:rFonts w:ascii="Times New Roman" w:eastAsia="Malgun Gothic" w:hAnsi="Times New Roman"/>
          <w:i/>
          <w:color w:val="000000"/>
          <w:sz w:val="24"/>
          <w:szCs w:val="24"/>
          <w:lang w:eastAsia="en-GB"/>
        </w:rPr>
        <w:t>s</w:t>
      </w:r>
      <w:r w:rsidR="008B5CA6" w:rsidRPr="007668DF">
        <w:rPr>
          <w:rFonts w:ascii="Times New Roman" w:eastAsia="Malgun Gothic" w:hAnsi="Times New Roman"/>
          <w:i/>
          <w:color w:val="000000"/>
          <w:sz w:val="24"/>
          <w:szCs w:val="24"/>
          <w:lang w:eastAsia="en-GB"/>
        </w:rPr>
        <w:t xml:space="preserve"> en </w:t>
      </w:r>
      <w:r w:rsidR="00E30288" w:rsidRPr="007668DF">
        <w:rPr>
          <w:rFonts w:ascii="Times New Roman" w:eastAsia="Malgun Gothic" w:hAnsi="Times New Roman"/>
          <w:i/>
          <w:color w:val="000000"/>
          <w:sz w:val="24"/>
          <w:szCs w:val="24"/>
          <w:lang w:eastAsia="en-GB"/>
        </w:rPr>
        <w:t>relation</w:t>
      </w:r>
      <w:r w:rsidR="008B5CA6" w:rsidRPr="007668DF">
        <w:rPr>
          <w:rFonts w:ascii="Times New Roman" w:eastAsia="Malgun Gothic" w:hAnsi="Times New Roman"/>
          <w:i/>
          <w:color w:val="000000"/>
          <w:sz w:val="24"/>
          <w:szCs w:val="24"/>
          <w:lang w:eastAsia="en-GB"/>
        </w:rPr>
        <w:t xml:space="preserve"> avec l</w:t>
      </w:r>
      <w:r w:rsidR="00E30288" w:rsidRPr="007668DF">
        <w:rPr>
          <w:rFonts w:ascii="Times New Roman" w:eastAsia="Malgun Gothic" w:hAnsi="Times New Roman"/>
          <w:i/>
          <w:color w:val="000000"/>
          <w:sz w:val="24"/>
          <w:szCs w:val="24"/>
          <w:lang w:eastAsia="en-GB"/>
        </w:rPr>
        <w:t xml:space="preserve">e conflit </w:t>
      </w:r>
    </w:p>
    <w:p w:rsidR="00F378E3" w:rsidRPr="007668DF" w:rsidRDefault="00C50FEB" w:rsidP="006C2FA0">
      <w:pPr>
        <w:tabs>
          <w:tab w:val="left" w:pos="567"/>
        </w:tabs>
        <w:jc w:val="both"/>
        <w:rPr>
          <w:rFonts w:ascii="Times New Roman" w:eastAsia="Malgun Gothic" w:hAnsi="Times New Roman"/>
          <w:color w:val="000000"/>
          <w:sz w:val="24"/>
          <w:szCs w:val="24"/>
          <w:lang w:eastAsia="en-GB"/>
        </w:rPr>
      </w:pPr>
      <w:r w:rsidRPr="007668DF">
        <w:rPr>
          <w:rFonts w:ascii="Times New Roman" w:eastAsia="Malgun Gothic" w:hAnsi="Times New Roman"/>
          <w:color w:val="000000"/>
          <w:sz w:val="24"/>
          <w:szCs w:val="24"/>
          <w:lang w:eastAsia="en-GB"/>
        </w:rPr>
        <w:t>3</w:t>
      </w:r>
      <w:r w:rsidR="0086130D">
        <w:rPr>
          <w:rFonts w:ascii="Times New Roman" w:eastAsia="Malgun Gothic" w:hAnsi="Times New Roman"/>
          <w:color w:val="000000"/>
          <w:sz w:val="24"/>
          <w:szCs w:val="24"/>
          <w:lang w:eastAsia="en-GB"/>
        </w:rPr>
        <w:t>6</w:t>
      </w:r>
      <w:r w:rsidR="00B14AE5" w:rsidRPr="007668DF">
        <w:rPr>
          <w:rFonts w:ascii="Times New Roman" w:eastAsia="Malgun Gothic" w:hAnsi="Times New Roman"/>
          <w:color w:val="000000"/>
          <w:sz w:val="24"/>
          <w:szCs w:val="24"/>
          <w:lang w:eastAsia="en-GB"/>
        </w:rPr>
        <w:t>.</w:t>
      </w:r>
      <w:r w:rsidR="00E81CFC" w:rsidRPr="007668DF">
        <w:rPr>
          <w:rFonts w:ascii="Times New Roman" w:eastAsia="Malgun Gothic" w:hAnsi="Times New Roman"/>
          <w:sz w:val="24"/>
          <w:szCs w:val="24"/>
          <w:lang w:eastAsia="en-GB"/>
        </w:rPr>
        <w:t xml:space="preserve"> </w:t>
      </w:r>
      <w:r w:rsidR="004745E5" w:rsidRPr="007668DF">
        <w:rPr>
          <w:rFonts w:ascii="Times New Roman" w:eastAsia="Malgun Gothic" w:hAnsi="Times New Roman"/>
          <w:sz w:val="24"/>
          <w:szCs w:val="24"/>
          <w:lang w:eastAsia="en-GB"/>
        </w:rPr>
        <w:tab/>
      </w:r>
      <w:r w:rsidR="00E81CFC" w:rsidRPr="007668DF">
        <w:rPr>
          <w:rFonts w:ascii="Times New Roman" w:eastAsia="Malgun Gothic" w:hAnsi="Times New Roman"/>
          <w:color w:val="000000"/>
          <w:sz w:val="24"/>
          <w:szCs w:val="24"/>
          <w:lang w:eastAsia="en-GB"/>
        </w:rPr>
        <w:t xml:space="preserve">Depuis le retour des </w:t>
      </w:r>
      <w:r w:rsidR="00AC56D6" w:rsidRPr="007668DF">
        <w:rPr>
          <w:rFonts w:ascii="Times New Roman" w:eastAsia="Malgun Gothic" w:hAnsi="Times New Roman"/>
          <w:color w:val="000000"/>
          <w:sz w:val="24"/>
          <w:szCs w:val="24"/>
          <w:lang w:eastAsia="en-GB"/>
        </w:rPr>
        <w:t>FAMa</w:t>
      </w:r>
      <w:r w:rsidR="00E81CFC" w:rsidRPr="007668DF">
        <w:rPr>
          <w:rFonts w:ascii="Times New Roman" w:eastAsia="Malgun Gothic" w:hAnsi="Times New Roman"/>
          <w:color w:val="000000"/>
          <w:sz w:val="24"/>
          <w:szCs w:val="24"/>
          <w:lang w:eastAsia="en-GB"/>
        </w:rPr>
        <w:t xml:space="preserve"> dans les régions du </w:t>
      </w:r>
      <w:r w:rsidR="007848FF">
        <w:rPr>
          <w:rFonts w:ascii="Times New Roman" w:eastAsia="Malgun Gothic" w:hAnsi="Times New Roman"/>
          <w:color w:val="000000"/>
          <w:sz w:val="24"/>
          <w:szCs w:val="24"/>
          <w:lang w:eastAsia="en-GB"/>
        </w:rPr>
        <w:t>n</w:t>
      </w:r>
      <w:r w:rsidR="00E81CFC" w:rsidRPr="007668DF">
        <w:rPr>
          <w:rFonts w:ascii="Times New Roman" w:eastAsia="Malgun Gothic" w:hAnsi="Times New Roman"/>
          <w:color w:val="000000"/>
          <w:sz w:val="24"/>
          <w:szCs w:val="24"/>
          <w:lang w:eastAsia="en-GB"/>
        </w:rPr>
        <w:t xml:space="preserve">ord en juin 2013, la Division des droits de l’homme estime à </w:t>
      </w:r>
      <w:r w:rsidR="00112BA2">
        <w:rPr>
          <w:rFonts w:ascii="Times New Roman" w:eastAsia="Malgun Gothic" w:hAnsi="Times New Roman"/>
          <w:color w:val="000000"/>
          <w:sz w:val="24"/>
          <w:szCs w:val="24"/>
          <w:lang w:eastAsia="en-GB"/>
        </w:rPr>
        <w:t>392</w:t>
      </w:r>
      <w:r w:rsidR="00112BA2" w:rsidRPr="007668DF">
        <w:rPr>
          <w:rFonts w:ascii="Times New Roman" w:eastAsia="Malgun Gothic" w:hAnsi="Times New Roman"/>
          <w:color w:val="000000"/>
          <w:sz w:val="24"/>
          <w:szCs w:val="24"/>
          <w:lang w:eastAsia="en-GB"/>
        </w:rPr>
        <w:t xml:space="preserve"> </w:t>
      </w:r>
      <w:r w:rsidR="00112BA2">
        <w:rPr>
          <w:rStyle w:val="FootnoteReference"/>
          <w:rFonts w:ascii="Times New Roman" w:eastAsia="Malgun Gothic" w:hAnsi="Times New Roman"/>
          <w:color w:val="000000"/>
          <w:sz w:val="24"/>
          <w:szCs w:val="24"/>
          <w:lang w:eastAsia="en-GB"/>
        </w:rPr>
        <w:footnoteReference w:id="11"/>
      </w:r>
      <w:r w:rsidR="003B1F11" w:rsidRPr="007668DF">
        <w:rPr>
          <w:rFonts w:ascii="Times New Roman" w:eastAsia="Malgun Gothic" w:hAnsi="Times New Roman"/>
          <w:color w:val="000000"/>
          <w:sz w:val="24"/>
          <w:szCs w:val="24"/>
          <w:lang w:eastAsia="en-GB"/>
        </w:rPr>
        <w:t>le nombre d’</w:t>
      </w:r>
      <w:r w:rsidR="00E81CFC" w:rsidRPr="007668DF">
        <w:rPr>
          <w:rFonts w:ascii="Times New Roman" w:eastAsia="Malgun Gothic" w:hAnsi="Times New Roman"/>
          <w:color w:val="000000"/>
          <w:sz w:val="24"/>
          <w:szCs w:val="24"/>
          <w:lang w:eastAsia="en-GB"/>
        </w:rPr>
        <w:t xml:space="preserve">individus </w:t>
      </w:r>
      <w:r w:rsidR="003B1F11" w:rsidRPr="007668DF">
        <w:rPr>
          <w:rFonts w:ascii="Times New Roman" w:eastAsia="Malgun Gothic" w:hAnsi="Times New Roman"/>
          <w:color w:val="000000"/>
          <w:sz w:val="24"/>
          <w:szCs w:val="24"/>
          <w:lang w:eastAsia="en-GB"/>
        </w:rPr>
        <w:t>combattants et civils arrêtés et/ou détenus par les FAM</w:t>
      </w:r>
      <w:r w:rsidR="009921EA" w:rsidRPr="007668DF">
        <w:rPr>
          <w:rFonts w:ascii="Times New Roman" w:eastAsia="Malgun Gothic" w:hAnsi="Times New Roman"/>
          <w:color w:val="000000"/>
          <w:sz w:val="24"/>
          <w:szCs w:val="24"/>
          <w:lang w:eastAsia="en-GB"/>
        </w:rPr>
        <w:t>a</w:t>
      </w:r>
      <w:r w:rsidR="00E30288" w:rsidRPr="007668DF">
        <w:rPr>
          <w:rFonts w:ascii="Times New Roman" w:eastAsia="Malgun Gothic" w:hAnsi="Times New Roman"/>
          <w:color w:val="000000"/>
          <w:sz w:val="24"/>
          <w:szCs w:val="24"/>
          <w:lang w:eastAsia="en-GB"/>
        </w:rPr>
        <w:t xml:space="preserve"> en relation avec le conflit</w:t>
      </w:r>
      <w:r w:rsidR="0080530A" w:rsidRPr="007668DF">
        <w:rPr>
          <w:rFonts w:ascii="Times New Roman" w:eastAsia="Malgun Gothic" w:hAnsi="Times New Roman"/>
          <w:color w:val="000000"/>
          <w:sz w:val="24"/>
          <w:szCs w:val="24"/>
          <w:lang w:eastAsia="en-GB"/>
        </w:rPr>
        <w:t xml:space="preserve"> </w:t>
      </w:r>
      <w:r w:rsidR="00112BA2">
        <w:rPr>
          <w:rFonts w:ascii="Times New Roman" w:eastAsia="Malgun Gothic" w:hAnsi="Times New Roman"/>
          <w:color w:val="000000"/>
          <w:sz w:val="24"/>
          <w:szCs w:val="24"/>
          <w:lang w:eastAsia="en-GB"/>
        </w:rPr>
        <w:t>entre le 1</w:t>
      </w:r>
      <w:r w:rsidR="00112BA2" w:rsidRPr="00EB5F69">
        <w:rPr>
          <w:rFonts w:ascii="Times New Roman" w:eastAsia="Malgun Gothic" w:hAnsi="Times New Roman"/>
          <w:color w:val="000000"/>
          <w:sz w:val="24"/>
          <w:szCs w:val="24"/>
          <w:vertAlign w:val="superscript"/>
          <w:lang w:eastAsia="en-GB"/>
        </w:rPr>
        <w:t>er</w:t>
      </w:r>
      <w:r w:rsidR="00112BA2">
        <w:rPr>
          <w:rFonts w:ascii="Times New Roman" w:eastAsia="Malgun Gothic" w:hAnsi="Times New Roman"/>
          <w:color w:val="000000"/>
          <w:sz w:val="24"/>
          <w:szCs w:val="24"/>
          <w:lang w:eastAsia="en-GB"/>
        </w:rPr>
        <w:t xml:space="preserve"> novembre et 31 mai 2014</w:t>
      </w:r>
      <w:r w:rsidR="00710EA4" w:rsidRPr="007668DF">
        <w:rPr>
          <w:rFonts w:ascii="Times New Roman" w:eastAsia="Malgun Gothic" w:hAnsi="Times New Roman"/>
          <w:color w:val="000000"/>
          <w:sz w:val="24"/>
          <w:szCs w:val="24"/>
          <w:lang w:eastAsia="en-GB"/>
        </w:rPr>
        <w:t>.</w:t>
      </w:r>
      <w:r w:rsidR="003B1F11" w:rsidRPr="007668DF">
        <w:rPr>
          <w:rFonts w:ascii="Times New Roman" w:eastAsia="Malgun Gothic" w:hAnsi="Times New Roman"/>
          <w:color w:val="000000"/>
          <w:sz w:val="24"/>
          <w:szCs w:val="24"/>
          <w:lang w:eastAsia="en-GB"/>
        </w:rPr>
        <w:t xml:space="preserve"> </w:t>
      </w:r>
      <w:r w:rsidR="00710EA4" w:rsidRPr="007668DF">
        <w:rPr>
          <w:rFonts w:ascii="Times New Roman" w:eastAsia="Malgun Gothic" w:hAnsi="Times New Roman"/>
          <w:color w:val="000000"/>
          <w:sz w:val="24"/>
          <w:szCs w:val="24"/>
          <w:lang w:eastAsia="en-GB"/>
        </w:rPr>
        <w:t>L</w:t>
      </w:r>
      <w:r w:rsidR="00E81CFC" w:rsidRPr="007668DF">
        <w:rPr>
          <w:rFonts w:ascii="Times New Roman" w:eastAsia="Malgun Gothic" w:hAnsi="Times New Roman"/>
          <w:color w:val="000000"/>
          <w:sz w:val="24"/>
          <w:szCs w:val="24"/>
          <w:lang w:eastAsia="en-GB"/>
        </w:rPr>
        <w:t xml:space="preserve">a plupart </w:t>
      </w:r>
      <w:r w:rsidR="003B1F11" w:rsidRPr="007668DF">
        <w:rPr>
          <w:rFonts w:ascii="Times New Roman" w:eastAsia="Malgun Gothic" w:hAnsi="Times New Roman"/>
          <w:color w:val="000000"/>
          <w:sz w:val="24"/>
          <w:szCs w:val="24"/>
          <w:lang w:eastAsia="en-GB"/>
        </w:rPr>
        <w:t xml:space="preserve">de ces personnes </w:t>
      </w:r>
      <w:r w:rsidR="00E81CFC" w:rsidRPr="007668DF">
        <w:rPr>
          <w:rFonts w:ascii="Times New Roman" w:eastAsia="Malgun Gothic" w:hAnsi="Times New Roman"/>
          <w:color w:val="000000"/>
          <w:sz w:val="24"/>
          <w:szCs w:val="24"/>
          <w:lang w:eastAsia="en-GB"/>
        </w:rPr>
        <w:t xml:space="preserve">sont originaires du </w:t>
      </w:r>
      <w:r w:rsidR="007848FF">
        <w:rPr>
          <w:rFonts w:ascii="Times New Roman" w:eastAsia="Malgun Gothic" w:hAnsi="Times New Roman"/>
          <w:color w:val="000000"/>
          <w:sz w:val="24"/>
          <w:szCs w:val="24"/>
          <w:lang w:eastAsia="en-GB"/>
        </w:rPr>
        <w:t>n</w:t>
      </w:r>
      <w:r w:rsidR="00E81CFC" w:rsidRPr="007668DF">
        <w:rPr>
          <w:rFonts w:ascii="Times New Roman" w:eastAsia="Malgun Gothic" w:hAnsi="Times New Roman"/>
          <w:color w:val="000000"/>
          <w:sz w:val="24"/>
          <w:szCs w:val="24"/>
          <w:lang w:eastAsia="en-GB"/>
        </w:rPr>
        <w:t xml:space="preserve">ord et </w:t>
      </w:r>
      <w:r w:rsidR="00234677" w:rsidRPr="007668DF">
        <w:rPr>
          <w:rFonts w:ascii="Times New Roman" w:eastAsia="Malgun Gothic" w:hAnsi="Times New Roman"/>
          <w:color w:val="000000"/>
          <w:sz w:val="24"/>
          <w:szCs w:val="24"/>
          <w:lang w:eastAsia="en-GB"/>
        </w:rPr>
        <w:t xml:space="preserve">majoritairement </w:t>
      </w:r>
      <w:r w:rsidR="00710EA4" w:rsidRPr="007668DF">
        <w:rPr>
          <w:rFonts w:ascii="Times New Roman" w:eastAsia="Malgun Gothic" w:hAnsi="Times New Roman"/>
          <w:color w:val="000000"/>
          <w:sz w:val="24"/>
          <w:szCs w:val="24"/>
          <w:lang w:eastAsia="en-GB"/>
        </w:rPr>
        <w:t xml:space="preserve">membres </w:t>
      </w:r>
      <w:r w:rsidR="00E81CFC" w:rsidRPr="007668DF">
        <w:rPr>
          <w:rFonts w:ascii="Times New Roman" w:eastAsia="Malgun Gothic" w:hAnsi="Times New Roman"/>
          <w:color w:val="000000"/>
          <w:sz w:val="24"/>
          <w:szCs w:val="24"/>
          <w:lang w:eastAsia="en-GB"/>
        </w:rPr>
        <w:t xml:space="preserve">des </w:t>
      </w:r>
      <w:r w:rsidR="003B1F11" w:rsidRPr="007668DF">
        <w:rPr>
          <w:rFonts w:ascii="Times New Roman" w:eastAsia="Malgun Gothic" w:hAnsi="Times New Roman"/>
          <w:color w:val="000000"/>
          <w:sz w:val="24"/>
          <w:szCs w:val="24"/>
          <w:lang w:eastAsia="en-GB"/>
        </w:rPr>
        <w:t xml:space="preserve">communautés </w:t>
      </w:r>
      <w:r w:rsidR="003B1F11" w:rsidRPr="003B152B">
        <w:rPr>
          <w:rFonts w:ascii="Times New Roman" w:eastAsia="Malgun Gothic" w:hAnsi="Times New Roman"/>
          <w:i/>
          <w:color w:val="000000"/>
          <w:sz w:val="24"/>
          <w:szCs w:val="24"/>
          <w:lang w:eastAsia="en-GB"/>
        </w:rPr>
        <w:t>Touareg</w:t>
      </w:r>
      <w:r w:rsidR="003B1F11" w:rsidRPr="007668DF">
        <w:rPr>
          <w:rFonts w:ascii="Times New Roman" w:eastAsia="Malgun Gothic" w:hAnsi="Times New Roman"/>
          <w:color w:val="000000"/>
          <w:sz w:val="24"/>
          <w:szCs w:val="24"/>
          <w:lang w:eastAsia="en-GB"/>
        </w:rPr>
        <w:t xml:space="preserve"> et </w:t>
      </w:r>
      <w:r w:rsidR="003B1F11" w:rsidRPr="003B152B">
        <w:rPr>
          <w:rFonts w:ascii="Times New Roman" w:eastAsia="Malgun Gothic" w:hAnsi="Times New Roman"/>
          <w:i/>
          <w:color w:val="000000"/>
          <w:sz w:val="24"/>
          <w:szCs w:val="24"/>
          <w:lang w:eastAsia="en-GB"/>
        </w:rPr>
        <w:t>A</w:t>
      </w:r>
      <w:r w:rsidR="00E81CFC" w:rsidRPr="003B152B">
        <w:rPr>
          <w:rFonts w:ascii="Times New Roman" w:eastAsia="Malgun Gothic" w:hAnsi="Times New Roman"/>
          <w:i/>
          <w:color w:val="000000"/>
          <w:sz w:val="24"/>
          <w:szCs w:val="24"/>
          <w:lang w:eastAsia="en-GB"/>
        </w:rPr>
        <w:t>rabe</w:t>
      </w:r>
      <w:r w:rsidR="00EA6A98" w:rsidRPr="007668DF">
        <w:rPr>
          <w:rFonts w:ascii="Times New Roman" w:eastAsia="Malgun Gothic" w:hAnsi="Times New Roman"/>
          <w:i/>
          <w:color w:val="000000"/>
          <w:sz w:val="24"/>
          <w:szCs w:val="24"/>
          <w:lang w:eastAsia="en-GB"/>
        </w:rPr>
        <w:t xml:space="preserve">. </w:t>
      </w:r>
      <w:r w:rsidR="00EA6A98" w:rsidRPr="007668DF">
        <w:rPr>
          <w:rFonts w:ascii="Times New Roman" w:eastAsia="Malgun Gothic" w:hAnsi="Times New Roman"/>
          <w:color w:val="000000"/>
          <w:sz w:val="24"/>
          <w:szCs w:val="24"/>
          <w:lang w:eastAsia="en-GB"/>
        </w:rPr>
        <w:t xml:space="preserve">Quelques </w:t>
      </w:r>
      <w:r w:rsidR="00E81CFC" w:rsidRPr="007668DF">
        <w:rPr>
          <w:rFonts w:ascii="Times New Roman" w:eastAsia="Malgun Gothic" w:hAnsi="Times New Roman"/>
          <w:color w:val="000000"/>
          <w:sz w:val="24"/>
          <w:szCs w:val="24"/>
          <w:lang w:eastAsia="en-GB"/>
        </w:rPr>
        <w:t xml:space="preserve">combattants étrangers </w:t>
      </w:r>
      <w:r w:rsidR="003B1F11" w:rsidRPr="007668DF">
        <w:rPr>
          <w:rFonts w:ascii="Times New Roman" w:eastAsia="Malgun Gothic" w:hAnsi="Times New Roman"/>
          <w:color w:val="000000"/>
          <w:sz w:val="24"/>
          <w:szCs w:val="24"/>
          <w:lang w:eastAsia="en-GB"/>
        </w:rPr>
        <w:t xml:space="preserve">d’origine </w:t>
      </w:r>
      <w:r w:rsidR="003B1F11" w:rsidRPr="003B152B">
        <w:rPr>
          <w:rFonts w:ascii="Times New Roman" w:eastAsia="Malgun Gothic" w:hAnsi="Times New Roman"/>
          <w:i/>
          <w:color w:val="000000"/>
          <w:sz w:val="24"/>
          <w:szCs w:val="24"/>
          <w:lang w:eastAsia="en-GB"/>
        </w:rPr>
        <w:t xml:space="preserve">somalienne, </w:t>
      </w:r>
      <w:r w:rsidR="000C1AE3" w:rsidRPr="003B152B">
        <w:rPr>
          <w:rFonts w:ascii="Times New Roman" w:eastAsia="Malgun Gothic" w:hAnsi="Times New Roman"/>
          <w:i/>
          <w:color w:val="000000"/>
          <w:sz w:val="24"/>
          <w:szCs w:val="24"/>
          <w:lang w:eastAsia="en-GB"/>
        </w:rPr>
        <w:t xml:space="preserve">nigérienne, </w:t>
      </w:r>
      <w:r w:rsidR="008A4A14" w:rsidRPr="003B152B">
        <w:rPr>
          <w:rFonts w:ascii="Times New Roman" w:eastAsia="Malgun Gothic" w:hAnsi="Times New Roman"/>
          <w:i/>
          <w:color w:val="000000"/>
          <w:sz w:val="24"/>
          <w:szCs w:val="24"/>
          <w:lang w:eastAsia="en-GB"/>
        </w:rPr>
        <w:t>n</w:t>
      </w:r>
      <w:r w:rsidR="007A1C00" w:rsidRPr="003B152B">
        <w:rPr>
          <w:rFonts w:ascii="Times New Roman" w:eastAsia="Malgun Gothic" w:hAnsi="Times New Roman"/>
          <w:i/>
          <w:color w:val="000000"/>
          <w:sz w:val="24"/>
          <w:szCs w:val="24"/>
          <w:lang w:eastAsia="en-GB"/>
        </w:rPr>
        <w:t>igériane</w:t>
      </w:r>
      <w:r w:rsidR="000C1AE3" w:rsidRPr="003B152B">
        <w:rPr>
          <w:rFonts w:ascii="Times New Roman" w:eastAsia="Malgun Gothic" w:hAnsi="Times New Roman"/>
          <w:i/>
          <w:color w:val="000000"/>
          <w:sz w:val="24"/>
          <w:szCs w:val="24"/>
          <w:lang w:eastAsia="en-GB"/>
        </w:rPr>
        <w:t xml:space="preserve">, </w:t>
      </w:r>
      <w:r w:rsidR="000867BB" w:rsidRPr="003B152B">
        <w:rPr>
          <w:rFonts w:ascii="Times New Roman" w:eastAsia="Malgun Gothic" w:hAnsi="Times New Roman"/>
          <w:i/>
          <w:color w:val="000000"/>
          <w:sz w:val="24"/>
          <w:szCs w:val="24"/>
          <w:lang w:eastAsia="en-GB"/>
        </w:rPr>
        <w:t>algérienne</w:t>
      </w:r>
      <w:r w:rsidR="003B1F11" w:rsidRPr="007668DF">
        <w:rPr>
          <w:rFonts w:ascii="Times New Roman" w:eastAsia="Malgun Gothic" w:hAnsi="Times New Roman"/>
          <w:color w:val="000000"/>
          <w:sz w:val="24"/>
          <w:szCs w:val="24"/>
          <w:lang w:eastAsia="en-GB"/>
        </w:rPr>
        <w:t xml:space="preserve"> et </w:t>
      </w:r>
      <w:r w:rsidR="008A4A14" w:rsidRPr="003B152B">
        <w:rPr>
          <w:rFonts w:ascii="Times New Roman" w:eastAsia="Malgun Gothic" w:hAnsi="Times New Roman"/>
          <w:i/>
          <w:color w:val="000000"/>
          <w:sz w:val="24"/>
          <w:szCs w:val="24"/>
          <w:lang w:eastAsia="en-GB"/>
        </w:rPr>
        <w:t>t</w:t>
      </w:r>
      <w:r w:rsidR="003B1F11" w:rsidRPr="003B152B">
        <w:rPr>
          <w:rFonts w:ascii="Times New Roman" w:eastAsia="Malgun Gothic" w:hAnsi="Times New Roman"/>
          <w:i/>
          <w:color w:val="000000"/>
          <w:sz w:val="24"/>
          <w:szCs w:val="24"/>
          <w:lang w:eastAsia="en-GB"/>
        </w:rPr>
        <w:t xml:space="preserve">unisienne </w:t>
      </w:r>
      <w:r w:rsidR="003B1F11" w:rsidRPr="007668DF">
        <w:rPr>
          <w:rFonts w:ascii="Times New Roman" w:eastAsia="Malgun Gothic" w:hAnsi="Times New Roman"/>
          <w:color w:val="000000"/>
          <w:sz w:val="24"/>
          <w:szCs w:val="24"/>
          <w:lang w:eastAsia="en-GB"/>
        </w:rPr>
        <w:t>ont égale</w:t>
      </w:r>
      <w:r w:rsidR="00F410E9" w:rsidRPr="007668DF">
        <w:rPr>
          <w:rFonts w:ascii="Times New Roman" w:eastAsia="Malgun Gothic" w:hAnsi="Times New Roman"/>
          <w:color w:val="000000"/>
          <w:sz w:val="24"/>
          <w:szCs w:val="24"/>
          <w:lang w:eastAsia="en-GB"/>
        </w:rPr>
        <w:t>ment été arrêtés et/ou détenus.</w:t>
      </w:r>
      <w:r w:rsidR="00E81CFC" w:rsidRPr="007668DF">
        <w:rPr>
          <w:rFonts w:ascii="Times New Roman" w:eastAsia="Malgun Gothic" w:hAnsi="Times New Roman"/>
          <w:color w:val="000000"/>
          <w:sz w:val="24"/>
          <w:szCs w:val="24"/>
          <w:lang w:eastAsia="en-GB"/>
        </w:rPr>
        <w:t xml:space="preserve"> </w:t>
      </w:r>
    </w:p>
    <w:p w:rsidR="009C5569" w:rsidRPr="007668DF" w:rsidRDefault="00C50FEB" w:rsidP="006C2FA0">
      <w:pPr>
        <w:tabs>
          <w:tab w:val="left" w:pos="567"/>
        </w:tabs>
        <w:jc w:val="both"/>
        <w:rPr>
          <w:rFonts w:ascii="Times New Roman" w:eastAsia="Malgun Gothic" w:hAnsi="Times New Roman"/>
          <w:b/>
          <w:sz w:val="24"/>
          <w:szCs w:val="24"/>
        </w:rPr>
      </w:pPr>
      <w:r w:rsidRPr="007668DF">
        <w:rPr>
          <w:rFonts w:ascii="Times New Roman" w:eastAsia="Malgun Gothic" w:hAnsi="Times New Roman"/>
          <w:color w:val="000000"/>
          <w:sz w:val="24"/>
          <w:szCs w:val="24"/>
          <w:lang w:eastAsia="en-GB"/>
        </w:rPr>
        <w:t>3</w:t>
      </w:r>
      <w:r w:rsidR="0086130D">
        <w:rPr>
          <w:rFonts w:ascii="Times New Roman" w:eastAsia="Malgun Gothic" w:hAnsi="Times New Roman"/>
          <w:color w:val="000000"/>
          <w:sz w:val="24"/>
          <w:szCs w:val="24"/>
          <w:lang w:eastAsia="en-GB"/>
        </w:rPr>
        <w:t>7</w:t>
      </w:r>
      <w:r w:rsidR="00B14AE5" w:rsidRPr="007668DF">
        <w:rPr>
          <w:rFonts w:ascii="Times New Roman" w:eastAsia="Malgun Gothic" w:hAnsi="Times New Roman"/>
          <w:color w:val="000000"/>
          <w:sz w:val="24"/>
          <w:szCs w:val="24"/>
          <w:lang w:eastAsia="en-GB"/>
        </w:rPr>
        <w:t>.</w:t>
      </w:r>
      <w:r w:rsidR="00B14AE5" w:rsidRPr="007668DF">
        <w:rPr>
          <w:rFonts w:ascii="Times New Roman" w:eastAsia="Malgun Gothic" w:hAnsi="Times New Roman"/>
          <w:color w:val="000000"/>
          <w:sz w:val="24"/>
          <w:szCs w:val="24"/>
          <w:lang w:eastAsia="en-GB"/>
        </w:rPr>
        <w:tab/>
      </w:r>
      <w:r w:rsidR="00370125" w:rsidRPr="007668DF">
        <w:rPr>
          <w:rFonts w:ascii="Times New Roman" w:eastAsia="Malgun Gothic" w:hAnsi="Times New Roman"/>
          <w:color w:val="000000"/>
          <w:sz w:val="24"/>
          <w:szCs w:val="24"/>
          <w:lang w:eastAsia="en-GB"/>
        </w:rPr>
        <w:t xml:space="preserve">La </w:t>
      </w:r>
      <w:r w:rsidR="00411BDC" w:rsidRPr="007668DF">
        <w:rPr>
          <w:rFonts w:ascii="Times New Roman" w:eastAsia="Malgun Gothic" w:hAnsi="Times New Roman"/>
          <w:color w:val="000000"/>
          <w:sz w:val="24"/>
          <w:szCs w:val="24"/>
          <w:lang w:eastAsia="en-GB"/>
        </w:rPr>
        <w:t>Division des droits de l’homme</w:t>
      </w:r>
      <w:r w:rsidR="00370125" w:rsidRPr="007668DF">
        <w:rPr>
          <w:rFonts w:ascii="Times New Roman" w:eastAsia="Malgun Gothic" w:hAnsi="Times New Roman"/>
          <w:color w:val="000000"/>
          <w:sz w:val="24"/>
          <w:szCs w:val="24"/>
          <w:lang w:eastAsia="en-GB"/>
        </w:rPr>
        <w:t xml:space="preserve"> a reçu des informations selon lesquelles</w:t>
      </w:r>
      <w:r w:rsidR="008E17D1" w:rsidRPr="007668DF">
        <w:rPr>
          <w:rFonts w:ascii="Times New Roman" w:eastAsia="Malgun Gothic" w:hAnsi="Times New Roman"/>
          <w:color w:val="000000"/>
          <w:sz w:val="24"/>
          <w:szCs w:val="24"/>
          <w:lang w:eastAsia="en-GB"/>
        </w:rPr>
        <w:t xml:space="preserve"> certaines</w:t>
      </w:r>
      <w:r w:rsidR="00370125" w:rsidRPr="007668DF">
        <w:rPr>
          <w:rFonts w:ascii="Times New Roman" w:eastAsia="Malgun Gothic" w:hAnsi="Times New Roman"/>
          <w:color w:val="000000"/>
          <w:sz w:val="24"/>
          <w:szCs w:val="24"/>
          <w:lang w:eastAsia="en-GB"/>
        </w:rPr>
        <w:t xml:space="preserve"> </w:t>
      </w:r>
      <w:r w:rsidR="008E17D1" w:rsidRPr="007668DF">
        <w:rPr>
          <w:rFonts w:ascii="Times New Roman" w:eastAsia="Malgun Gothic" w:hAnsi="Times New Roman"/>
          <w:color w:val="000000"/>
          <w:sz w:val="24"/>
          <w:szCs w:val="24"/>
          <w:lang w:eastAsia="en-GB"/>
        </w:rPr>
        <w:t>d</w:t>
      </w:r>
      <w:r w:rsidR="00370125" w:rsidRPr="007668DF">
        <w:rPr>
          <w:rFonts w:ascii="Times New Roman" w:eastAsia="Malgun Gothic" w:hAnsi="Times New Roman"/>
          <w:color w:val="000000"/>
          <w:sz w:val="24"/>
          <w:szCs w:val="24"/>
          <w:lang w:eastAsia="en-GB"/>
        </w:rPr>
        <w:t>e</w:t>
      </w:r>
      <w:r w:rsidR="008E17D1" w:rsidRPr="007668DF">
        <w:rPr>
          <w:rFonts w:ascii="Times New Roman" w:eastAsia="Malgun Gothic" w:hAnsi="Times New Roman"/>
          <w:color w:val="000000"/>
          <w:sz w:val="24"/>
          <w:szCs w:val="24"/>
          <w:lang w:eastAsia="en-GB"/>
        </w:rPr>
        <w:t xml:space="preserve"> ce</w:t>
      </w:r>
      <w:r w:rsidR="00370125" w:rsidRPr="007668DF">
        <w:rPr>
          <w:rFonts w:ascii="Times New Roman" w:eastAsia="Malgun Gothic" w:hAnsi="Times New Roman"/>
          <w:color w:val="000000"/>
          <w:sz w:val="24"/>
          <w:szCs w:val="24"/>
          <w:lang w:eastAsia="en-GB"/>
        </w:rPr>
        <w:t xml:space="preserve">s personnes </w:t>
      </w:r>
      <w:r w:rsidR="008E17D1" w:rsidRPr="007668DF">
        <w:rPr>
          <w:rFonts w:ascii="Times New Roman" w:eastAsia="Malgun Gothic" w:hAnsi="Times New Roman"/>
          <w:color w:val="000000"/>
          <w:sz w:val="24"/>
          <w:szCs w:val="24"/>
          <w:lang w:eastAsia="en-GB"/>
        </w:rPr>
        <w:t xml:space="preserve">auraient été </w:t>
      </w:r>
      <w:r w:rsidR="00370125" w:rsidRPr="007668DF">
        <w:rPr>
          <w:rFonts w:ascii="Times New Roman" w:eastAsia="Malgun Gothic" w:hAnsi="Times New Roman"/>
          <w:color w:val="000000"/>
          <w:sz w:val="24"/>
          <w:szCs w:val="24"/>
          <w:lang w:eastAsia="en-GB"/>
        </w:rPr>
        <w:t xml:space="preserve">arrêtées sur </w:t>
      </w:r>
      <w:r w:rsidR="00E1789B" w:rsidRPr="007668DF">
        <w:rPr>
          <w:rFonts w:ascii="Times New Roman" w:eastAsia="Malgun Gothic" w:hAnsi="Times New Roman"/>
          <w:color w:val="000000"/>
          <w:sz w:val="24"/>
          <w:szCs w:val="24"/>
          <w:lang w:eastAsia="en-GB"/>
        </w:rPr>
        <w:t xml:space="preserve">la </w:t>
      </w:r>
      <w:r w:rsidR="00370125" w:rsidRPr="007668DF">
        <w:rPr>
          <w:rFonts w:ascii="Times New Roman" w:eastAsia="Malgun Gothic" w:hAnsi="Times New Roman"/>
          <w:color w:val="000000"/>
          <w:sz w:val="24"/>
          <w:szCs w:val="24"/>
          <w:lang w:eastAsia="en-GB"/>
        </w:rPr>
        <w:t>base</w:t>
      </w:r>
      <w:r w:rsidR="00E81CFC" w:rsidRPr="007668DF">
        <w:rPr>
          <w:rFonts w:ascii="Times New Roman" w:eastAsia="Malgun Gothic" w:hAnsi="Times New Roman"/>
          <w:color w:val="000000"/>
          <w:sz w:val="24"/>
          <w:szCs w:val="24"/>
          <w:lang w:eastAsia="en-GB"/>
        </w:rPr>
        <w:t xml:space="preserve"> </w:t>
      </w:r>
      <w:r w:rsidR="00370125" w:rsidRPr="007668DF">
        <w:rPr>
          <w:rFonts w:ascii="Times New Roman" w:eastAsia="Malgun Gothic" w:hAnsi="Times New Roman"/>
          <w:color w:val="000000"/>
          <w:sz w:val="24"/>
          <w:szCs w:val="24"/>
          <w:lang w:eastAsia="en-GB"/>
        </w:rPr>
        <w:t xml:space="preserve">de dénonciations </w:t>
      </w:r>
      <w:r w:rsidR="00582C18" w:rsidRPr="007668DF">
        <w:rPr>
          <w:rFonts w:ascii="Times New Roman" w:eastAsia="Malgun Gothic" w:hAnsi="Times New Roman"/>
          <w:color w:val="000000"/>
          <w:sz w:val="24"/>
          <w:szCs w:val="24"/>
          <w:lang w:eastAsia="en-GB"/>
        </w:rPr>
        <w:t>calomnieuses</w:t>
      </w:r>
      <w:r w:rsidR="00512993" w:rsidRPr="007668DF">
        <w:rPr>
          <w:rFonts w:ascii="Times New Roman" w:eastAsia="Malgun Gothic" w:hAnsi="Times New Roman"/>
          <w:color w:val="000000"/>
          <w:sz w:val="24"/>
          <w:szCs w:val="24"/>
          <w:lang w:eastAsia="en-GB"/>
        </w:rPr>
        <w:t>.</w:t>
      </w:r>
      <w:r w:rsidR="00E81CFC" w:rsidRPr="007668DF">
        <w:rPr>
          <w:rFonts w:ascii="Times New Roman" w:eastAsia="Malgun Gothic" w:hAnsi="Times New Roman"/>
          <w:color w:val="000000"/>
          <w:sz w:val="24"/>
          <w:szCs w:val="24"/>
          <w:lang w:eastAsia="en-GB"/>
        </w:rPr>
        <w:t xml:space="preserve"> A cet égard, de simples allégations </w:t>
      </w:r>
      <w:r w:rsidR="007737FC" w:rsidRPr="007668DF">
        <w:rPr>
          <w:rFonts w:ascii="Times New Roman" w:eastAsia="Malgun Gothic" w:hAnsi="Times New Roman"/>
          <w:color w:val="000000"/>
          <w:sz w:val="24"/>
          <w:szCs w:val="24"/>
          <w:lang w:eastAsia="en-GB"/>
        </w:rPr>
        <w:t xml:space="preserve">par </w:t>
      </w:r>
      <w:r w:rsidR="00E81CFC" w:rsidRPr="007668DF">
        <w:rPr>
          <w:rFonts w:ascii="Times New Roman" w:eastAsia="Malgun Gothic" w:hAnsi="Times New Roman"/>
          <w:color w:val="000000"/>
          <w:sz w:val="24"/>
          <w:szCs w:val="24"/>
          <w:lang w:eastAsia="en-GB"/>
        </w:rPr>
        <w:t xml:space="preserve">des tiers contre un </w:t>
      </w:r>
      <w:r w:rsidR="00557C22" w:rsidRPr="007668DF">
        <w:rPr>
          <w:rFonts w:ascii="Times New Roman" w:eastAsia="Malgun Gothic" w:hAnsi="Times New Roman"/>
          <w:color w:val="000000"/>
          <w:sz w:val="24"/>
          <w:szCs w:val="24"/>
          <w:lang w:eastAsia="en-GB"/>
        </w:rPr>
        <w:t xml:space="preserve">ou plusieurs </w:t>
      </w:r>
      <w:r w:rsidR="00512993" w:rsidRPr="007668DF">
        <w:rPr>
          <w:rFonts w:ascii="Times New Roman" w:eastAsia="Malgun Gothic" w:hAnsi="Times New Roman"/>
          <w:color w:val="000000"/>
          <w:sz w:val="24"/>
          <w:szCs w:val="24"/>
          <w:lang w:eastAsia="en-GB"/>
        </w:rPr>
        <w:t>membre</w:t>
      </w:r>
      <w:r w:rsidR="00557C22" w:rsidRPr="007668DF">
        <w:rPr>
          <w:rFonts w:ascii="Times New Roman" w:eastAsia="Malgun Gothic" w:hAnsi="Times New Roman"/>
          <w:color w:val="000000"/>
          <w:sz w:val="24"/>
          <w:szCs w:val="24"/>
          <w:lang w:eastAsia="en-GB"/>
        </w:rPr>
        <w:t>s</w:t>
      </w:r>
      <w:r w:rsidR="00512993" w:rsidRPr="007668DF">
        <w:rPr>
          <w:rFonts w:ascii="Times New Roman" w:eastAsia="Malgun Gothic" w:hAnsi="Times New Roman"/>
          <w:color w:val="000000"/>
          <w:sz w:val="24"/>
          <w:szCs w:val="24"/>
          <w:lang w:eastAsia="en-GB"/>
        </w:rPr>
        <w:t xml:space="preserve"> de la communauté </w:t>
      </w:r>
      <w:r w:rsidR="00893033">
        <w:rPr>
          <w:rFonts w:ascii="Times New Roman" w:eastAsia="Malgun Gothic" w:hAnsi="Times New Roman"/>
          <w:i/>
          <w:color w:val="000000"/>
          <w:sz w:val="24"/>
          <w:szCs w:val="24"/>
          <w:lang w:eastAsia="en-GB"/>
        </w:rPr>
        <w:t>T</w:t>
      </w:r>
      <w:r w:rsidR="00710EA4" w:rsidRPr="003B152B">
        <w:rPr>
          <w:rFonts w:ascii="Times New Roman" w:eastAsia="Malgun Gothic" w:hAnsi="Times New Roman"/>
          <w:i/>
          <w:color w:val="000000"/>
          <w:sz w:val="24"/>
          <w:szCs w:val="24"/>
          <w:lang w:eastAsia="en-GB"/>
        </w:rPr>
        <w:t xml:space="preserve">ouareg </w:t>
      </w:r>
      <w:r w:rsidR="00E81CFC" w:rsidRPr="007668DF">
        <w:rPr>
          <w:rFonts w:ascii="Times New Roman" w:eastAsia="Malgun Gothic" w:hAnsi="Times New Roman"/>
          <w:color w:val="000000"/>
          <w:sz w:val="24"/>
          <w:szCs w:val="24"/>
          <w:lang w:eastAsia="en-GB"/>
        </w:rPr>
        <w:t xml:space="preserve">ou </w:t>
      </w:r>
      <w:r w:rsidR="00893033">
        <w:rPr>
          <w:rFonts w:ascii="Times New Roman" w:eastAsia="Malgun Gothic" w:hAnsi="Times New Roman"/>
          <w:i/>
          <w:color w:val="000000"/>
          <w:sz w:val="24"/>
          <w:szCs w:val="24"/>
          <w:lang w:eastAsia="en-GB"/>
        </w:rPr>
        <w:t>A</w:t>
      </w:r>
      <w:r w:rsidR="00710EA4" w:rsidRPr="003B152B">
        <w:rPr>
          <w:rFonts w:ascii="Times New Roman" w:eastAsia="Malgun Gothic" w:hAnsi="Times New Roman"/>
          <w:i/>
          <w:color w:val="000000"/>
          <w:sz w:val="24"/>
          <w:szCs w:val="24"/>
          <w:lang w:eastAsia="en-GB"/>
        </w:rPr>
        <w:t>rabe</w:t>
      </w:r>
      <w:r w:rsidR="008E17D1" w:rsidRPr="003B152B">
        <w:rPr>
          <w:rFonts w:ascii="Times New Roman" w:eastAsia="Malgun Gothic" w:hAnsi="Times New Roman"/>
          <w:i/>
          <w:color w:val="000000"/>
          <w:sz w:val="24"/>
          <w:szCs w:val="24"/>
          <w:lang w:eastAsia="en-GB"/>
        </w:rPr>
        <w:t>,</w:t>
      </w:r>
      <w:r w:rsidR="00710EA4" w:rsidRPr="007668DF">
        <w:rPr>
          <w:rFonts w:ascii="Times New Roman" w:eastAsia="Malgun Gothic" w:hAnsi="Times New Roman"/>
          <w:color w:val="000000"/>
          <w:sz w:val="24"/>
          <w:szCs w:val="24"/>
          <w:lang w:eastAsia="en-GB"/>
        </w:rPr>
        <w:t xml:space="preserve"> </w:t>
      </w:r>
      <w:r w:rsidR="00557C22" w:rsidRPr="007668DF">
        <w:rPr>
          <w:rFonts w:ascii="Times New Roman" w:eastAsia="Malgun Gothic" w:hAnsi="Times New Roman"/>
          <w:color w:val="000000"/>
          <w:sz w:val="24"/>
          <w:szCs w:val="24"/>
          <w:lang w:eastAsia="en-GB"/>
        </w:rPr>
        <w:t xml:space="preserve">le ou les accusant </w:t>
      </w:r>
      <w:r w:rsidR="00512993" w:rsidRPr="007668DF">
        <w:rPr>
          <w:rFonts w:ascii="Times New Roman" w:eastAsia="Malgun Gothic" w:hAnsi="Times New Roman"/>
          <w:color w:val="000000"/>
          <w:sz w:val="24"/>
          <w:szCs w:val="24"/>
          <w:lang w:eastAsia="en-GB"/>
        </w:rPr>
        <w:t xml:space="preserve">de collaborer ou d’avoir </w:t>
      </w:r>
      <w:r w:rsidR="000C1AE3" w:rsidRPr="007668DF">
        <w:rPr>
          <w:rFonts w:ascii="Times New Roman" w:eastAsia="Malgun Gothic" w:hAnsi="Times New Roman"/>
          <w:color w:val="000000"/>
          <w:sz w:val="24"/>
          <w:szCs w:val="24"/>
          <w:lang w:eastAsia="en-GB"/>
        </w:rPr>
        <w:t>collaboré</w:t>
      </w:r>
      <w:r w:rsidR="00512993" w:rsidRPr="007668DF">
        <w:rPr>
          <w:rFonts w:ascii="Times New Roman" w:eastAsia="Malgun Gothic" w:hAnsi="Times New Roman"/>
          <w:color w:val="000000"/>
          <w:sz w:val="24"/>
          <w:szCs w:val="24"/>
          <w:lang w:eastAsia="en-GB"/>
        </w:rPr>
        <w:t xml:space="preserve"> </w:t>
      </w:r>
      <w:r w:rsidR="00512993" w:rsidRPr="007668DF">
        <w:rPr>
          <w:rFonts w:ascii="Times New Roman" w:eastAsia="Malgun Gothic" w:hAnsi="Times New Roman"/>
          <w:color w:val="000000"/>
          <w:sz w:val="24"/>
          <w:szCs w:val="24"/>
          <w:lang w:eastAsia="en-GB"/>
        </w:rPr>
        <w:lastRenderedPageBreak/>
        <w:t xml:space="preserve">avec </w:t>
      </w:r>
      <w:r w:rsidR="00557C22" w:rsidRPr="007668DF">
        <w:rPr>
          <w:rFonts w:ascii="Times New Roman" w:eastAsia="Malgun Gothic" w:hAnsi="Times New Roman"/>
          <w:color w:val="000000"/>
          <w:sz w:val="24"/>
          <w:szCs w:val="24"/>
          <w:lang w:eastAsia="en-GB"/>
        </w:rPr>
        <w:t>les</w:t>
      </w:r>
      <w:r w:rsidR="00E81CFC" w:rsidRPr="007668DF">
        <w:rPr>
          <w:rFonts w:ascii="Times New Roman" w:eastAsia="Malgun Gothic" w:hAnsi="Times New Roman"/>
          <w:color w:val="000000"/>
          <w:sz w:val="24"/>
          <w:szCs w:val="24"/>
          <w:lang w:eastAsia="en-GB"/>
        </w:rPr>
        <w:t xml:space="preserve"> </w:t>
      </w:r>
      <w:r w:rsidR="00F47D98" w:rsidRPr="007668DF">
        <w:rPr>
          <w:rFonts w:ascii="Times New Roman" w:eastAsia="Malgun Gothic" w:hAnsi="Times New Roman"/>
          <w:sz w:val="24"/>
          <w:szCs w:val="24"/>
        </w:rPr>
        <w:t xml:space="preserve">groupes armés </w:t>
      </w:r>
      <w:r w:rsidR="00582341">
        <w:rPr>
          <w:rFonts w:ascii="Times New Roman" w:eastAsia="Malgun Gothic" w:hAnsi="Times New Roman"/>
          <w:color w:val="000000"/>
          <w:sz w:val="24"/>
          <w:szCs w:val="24"/>
          <w:lang w:eastAsia="en-GB"/>
        </w:rPr>
        <w:t xml:space="preserve"> extrémistes</w:t>
      </w:r>
      <w:r w:rsidR="00E81CFC" w:rsidRPr="007668DF">
        <w:rPr>
          <w:rFonts w:ascii="Times New Roman" w:eastAsia="Malgun Gothic" w:hAnsi="Times New Roman"/>
          <w:color w:val="000000"/>
          <w:sz w:val="24"/>
          <w:szCs w:val="24"/>
          <w:lang w:eastAsia="en-GB"/>
        </w:rPr>
        <w:t xml:space="preserve"> pendant l’occupation, </w:t>
      </w:r>
      <w:r w:rsidR="00234677" w:rsidRPr="007668DF">
        <w:rPr>
          <w:rFonts w:ascii="Times New Roman" w:eastAsia="Malgun Gothic" w:hAnsi="Times New Roman"/>
          <w:color w:val="000000"/>
          <w:sz w:val="24"/>
          <w:szCs w:val="24"/>
          <w:lang w:eastAsia="en-GB"/>
        </w:rPr>
        <w:t xml:space="preserve">ont </w:t>
      </w:r>
      <w:r w:rsidR="00E81CFC" w:rsidRPr="007668DF">
        <w:rPr>
          <w:rFonts w:ascii="Times New Roman" w:eastAsia="Malgun Gothic" w:hAnsi="Times New Roman"/>
          <w:color w:val="000000"/>
          <w:sz w:val="24"/>
          <w:szCs w:val="24"/>
          <w:lang w:eastAsia="en-GB"/>
        </w:rPr>
        <w:t xml:space="preserve">immédiatement </w:t>
      </w:r>
      <w:r w:rsidR="008E17D1" w:rsidRPr="007668DF">
        <w:rPr>
          <w:rFonts w:ascii="Times New Roman" w:eastAsia="Malgun Gothic" w:hAnsi="Times New Roman"/>
          <w:color w:val="000000"/>
          <w:sz w:val="24"/>
          <w:szCs w:val="24"/>
          <w:lang w:eastAsia="en-GB"/>
        </w:rPr>
        <w:t xml:space="preserve">entraîné </w:t>
      </w:r>
      <w:r w:rsidR="00512993" w:rsidRPr="007668DF">
        <w:rPr>
          <w:rFonts w:ascii="Times New Roman" w:eastAsia="Malgun Gothic" w:hAnsi="Times New Roman"/>
          <w:color w:val="000000"/>
          <w:sz w:val="24"/>
          <w:szCs w:val="24"/>
          <w:lang w:eastAsia="en-GB"/>
        </w:rPr>
        <w:t xml:space="preserve">une </w:t>
      </w:r>
      <w:r w:rsidR="00E81CFC" w:rsidRPr="007668DF">
        <w:rPr>
          <w:rFonts w:ascii="Times New Roman" w:eastAsia="Malgun Gothic" w:hAnsi="Times New Roman"/>
          <w:color w:val="000000"/>
          <w:sz w:val="24"/>
          <w:szCs w:val="24"/>
          <w:lang w:eastAsia="en-GB"/>
        </w:rPr>
        <w:t xml:space="preserve">présomption de culpabilité </w:t>
      </w:r>
      <w:r w:rsidR="00512993" w:rsidRPr="007668DF">
        <w:rPr>
          <w:rFonts w:ascii="Times New Roman" w:eastAsia="Malgun Gothic" w:hAnsi="Times New Roman"/>
          <w:color w:val="000000"/>
          <w:sz w:val="24"/>
          <w:szCs w:val="24"/>
          <w:lang w:eastAsia="en-GB"/>
        </w:rPr>
        <w:t>du suspect</w:t>
      </w:r>
      <w:r w:rsidR="008E17D1" w:rsidRPr="007668DF">
        <w:rPr>
          <w:rFonts w:ascii="Times New Roman" w:eastAsia="Malgun Gothic" w:hAnsi="Times New Roman"/>
          <w:color w:val="000000"/>
          <w:sz w:val="24"/>
          <w:szCs w:val="24"/>
          <w:lang w:eastAsia="en-GB"/>
        </w:rPr>
        <w:t>,</w:t>
      </w:r>
      <w:r w:rsidR="00E81CFC" w:rsidRPr="007668DF">
        <w:rPr>
          <w:rFonts w:ascii="Times New Roman" w:eastAsia="Malgun Gothic" w:hAnsi="Times New Roman"/>
          <w:color w:val="000000"/>
          <w:sz w:val="24"/>
          <w:szCs w:val="24"/>
          <w:lang w:eastAsia="en-GB"/>
        </w:rPr>
        <w:t xml:space="preserve"> </w:t>
      </w:r>
      <w:r w:rsidR="003F3A61">
        <w:rPr>
          <w:rFonts w:ascii="Times New Roman" w:eastAsia="Malgun Gothic" w:hAnsi="Times New Roman"/>
          <w:color w:val="000000"/>
          <w:sz w:val="24"/>
          <w:szCs w:val="24"/>
          <w:lang w:eastAsia="en-GB"/>
        </w:rPr>
        <w:t xml:space="preserve">contraire </w:t>
      </w:r>
      <w:r w:rsidR="00E43ED2" w:rsidRPr="007668DF">
        <w:rPr>
          <w:rFonts w:ascii="Times New Roman" w:eastAsia="Malgun Gothic" w:hAnsi="Times New Roman"/>
          <w:color w:val="000000"/>
          <w:sz w:val="24"/>
          <w:szCs w:val="24"/>
          <w:lang w:eastAsia="en-GB"/>
        </w:rPr>
        <w:t>à toute</w:t>
      </w:r>
      <w:r w:rsidR="00E81CFC" w:rsidRPr="007668DF">
        <w:rPr>
          <w:rFonts w:ascii="Times New Roman" w:eastAsia="Malgun Gothic" w:hAnsi="Times New Roman"/>
          <w:color w:val="000000"/>
          <w:sz w:val="24"/>
          <w:szCs w:val="24"/>
          <w:lang w:eastAsia="en-GB"/>
        </w:rPr>
        <w:t xml:space="preserve"> garantie </w:t>
      </w:r>
      <w:r w:rsidR="008D02C8" w:rsidRPr="007668DF">
        <w:rPr>
          <w:rFonts w:ascii="Times New Roman" w:eastAsia="Malgun Gothic" w:hAnsi="Times New Roman"/>
          <w:color w:val="000000"/>
          <w:sz w:val="24"/>
          <w:szCs w:val="24"/>
          <w:lang w:eastAsia="en-GB"/>
        </w:rPr>
        <w:t>légale et judiciaire</w:t>
      </w:r>
      <w:r w:rsidR="00893033">
        <w:rPr>
          <w:rStyle w:val="FootnoteReference"/>
          <w:rFonts w:ascii="Times New Roman" w:eastAsia="Malgun Gothic" w:hAnsi="Times New Roman"/>
          <w:color w:val="000000"/>
          <w:sz w:val="24"/>
          <w:szCs w:val="24"/>
          <w:lang w:eastAsia="en-GB"/>
        </w:rPr>
        <w:footnoteReference w:id="12"/>
      </w:r>
      <w:r w:rsidR="008D02C8" w:rsidRPr="007668DF">
        <w:rPr>
          <w:rFonts w:ascii="Times New Roman" w:eastAsia="Malgun Gothic" w:hAnsi="Times New Roman"/>
          <w:color w:val="000000"/>
          <w:sz w:val="24"/>
          <w:szCs w:val="24"/>
          <w:lang w:eastAsia="en-GB"/>
        </w:rPr>
        <w:t>.</w:t>
      </w:r>
      <w:r w:rsidR="00E81CFC" w:rsidRPr="007668DF">
        <w:rPr>
          <w:rFonts w:ascii="Times New Roman" w:eastAsia="Malgun Gothic" w:hAnsi="Times New Roman"/>
          <w:color w:val="000000"/>
          <w:sz w:val="24"/>
          <w:szCs w:val="24"/>
          <w:lang w:eastAsia="en-GB"/>
        </w:rPr>
        <w:t xml:space="preserve"> </w:t>
      </w:r>
      <w:r w:rsidR="00512993" w:rsidRPr="007668DF">
        <w:rPr>
          <w:rFonts w:ascii="Times New Roman" w:eastAsia="Malgun Gothic" w:hAnsi="Times New Roman"/>
          <w:color w:val="000000"/>
          <w:sz w:val="24"/>
          <w:szCs w:val="24"/>
          <w:lang w:eastAsia="en-GB"/>
        </w:rPr>
        <w:t xml:space="preserve">Sur cette base, la gendarmerie et l’armée malienne sont accusées d’avoir </w:t>
      </w:r>
      <w:r w:rsidR="00E43ED2" w:rsidRPr="007668DF">
        <w:rPr>
          <w:rFonts w:ascii="Times New Roman" w:eastAsia="Malgun Gothic" w:hAnsi="Times New Roman"/>
          <w:color w:val="000000"/>
          <w:sz w:val="24"/>
          <w:szCs w:val="24"/>
          <w:lang w:eastAsia="en-GB"/>
        </w:rPr>
        <w:t xml:space="preserve">notamment </w:t>
      </w:r>
      <w:r w:rsidR="006E5433" w:rsidRPr="007668DF">
        <w:rPr>
          <w:rFonts w:ascii="Times New Roman" w:eastAsia="Malgun Gothic" w:hAnsi="Times New Roman"/>
          <w:color w:val="000000"/>
          <w:sz w:val="24"/>
          <w:szCs w:val="24"/>
          <w:lang w:eastAsia="en-GB"/>
        </w:rPr>
        <w:t xml:space="preserve">organisé </w:t>
      </w:r>
      <w:r w:rsidR="007133AB" w:rsidRPr="007668DF">
        <w:rPr>
          <w:rFonts w:ascii="Times New Roman" w:eastAsia="Malgun Gothic" w:hAnsi="Times New Roman"/>
          <w:color w:val="000000"/>
          <w:sz w:val="24"/>
          <w:szCs w:val="24"/>
          <w:lang w:eastAsia="en-GB"/>
        </w:rPr>
        <w:t xml:space="preserve">sans enquête crédible, </w:t>
      </w:r>
      <w:r w:rsidR="00512993" w:rsidRPr="007668DF">
        <w:rPr>
          <w:rFonts w:ascii="Times New Roman" w:eastAsia="Malgun Gothic" w:hAnsi="Times New Roman"/>
          <w:color w:val="000000"/>
          <w:sz w:val="24"/>
          <w:szCs w:val="24"/>
          <w:lang w:eastAsia="en-GB"/>
        </w:rPr>
        <w:t>des arrestations</w:t>
      </w:r>
      <w:r w:rsidR="006E5433" w:rsidRPr="007668DF">
        <w:rPr>
          <w:rFonts w:ascii="Times New Roman" w:eastAsia="Malgun Gothic" w:hAnsi="Times New Roman"/>
          <w:color w:val="000000"/>
          <w:sz w:val="24"/>
          <w:szCs w:val="24"/>
          <w:lang w:eastAsia="en-GB"/>
        </w:rPr>
        <w:t xml:space="preserve"> et des transfèrements vers Bamako </w:t>
      </w:r>
      <w:r w:rsidR="00512993" w:rsidRPr="007668DF">
        <w:rPr>
          <w:rFonts w:ascii="Times New Roman" w:eastAsia="Malgun Gothic" w:hAnsi="Times New Roman"/>
          <w:color w:val="000000"/>
          <w:sz w:val="24"/>
          <w:szCs w:val="24"/>
          <w:lang w:eastAsia="en-GB"/>
        </w:rPr>
        <w:t>de</w:t>
      </w:r>
      <w:r w:rsidR="006E5433" w:rsidRPr="007668DF">
        <w:rPr>
          <w:rFonts w:ascii="Times New Roman" w:eastAsia="Malgun Gothic" w:hAnsi="Times New Roman"/>
          <w:color w:val="000000"/>
          <w:sz w:val="24"/>
          <w:szCs w:val="24"/>
          <w:lang w:eastAsia="en-GB"/>
        </w:rPr>
        <w:t xml:space="preserve"> </w:t>
      </w:r>
      <w:r w:rsidR="00512993" w:rsidRPr="007668DF">
        <w:rPr>
          <w:rFonts w:ascii="Times New Roman" w:eastAsia="Malgun Gothic" w:hAnsi="Times New Roman"/>
          <w:color w:val="000000"/>
          <w:sz w:val="24"/>
          <w:szCs w:val="24"/>
          <w:lang w:eastAsia="en-GB"/>
        </w:rPr>
        <w:t>p</w:t>
      </w:r>
      <w:r w:rsidR="00E81CFC" w:rsidRPr="007668DF">
        <w:rPr>
          <w:rFonts w:ascii="Times New Roman" w:eastAsia="Malgun Gothic" w:hAnsi="Times New Roman"/>
          <w:color w:val="000000"/>
          <w:sz w:val="24"/>
          <w:szCs w:val="24"/>
          <w:lang w:eastAsia="en-GB"/>
        </w:rPr>
        <w:t xml:space="preserve">lusieurs </w:t>
      </w:r>
      <w:r w:rsidR="00512993" w:rsidRPr="007668DF">
        <w:rPr>
          <w:rFonts w:ascii="Times New Roman" w:eastAsia="Malgun Gothic" w:hAnsi="Times New Roman"/>
          <w:color w:val="000000"/>
          <w:sz w:val="24"/>
          <w:szCs w:val="24"/>
          <w:lang w:eastAsia="en-GB"/>
        </w:rPr>
        <w:t xml:space="preserve">personnes appartenant </w:t>
      </w:r>
      <w:r w:rsidR="00557C22" w:rsidRPr="007668DF">
        <w:rPr>
          <w:rFonts w:ascii="Times New Roman" w:eastAsia="Malgun Gothic" w:hAnsi="Times New Roman"/>
          <w:color w:val="000000"/>
          <w:sz w:val="24"/>
          <w:szCs w:val="24"/>
          <w:lang w:eastAsia="en-GB"/>
        </w:rPr>
        <w:t>aux</w:t>
      </w:r>
      <w:r w:rsidR="00512993" w:rsidRPr="007668DF">
        <w:rPr>
          <w:rFonts w:ascii="Times New Roman" w:eastAsia="Malgun Gothic" w:hAnsi="Times New Roman"/>
          <w:color w:val="000000"/>
          <w:sz w:val="24"/>
          <w:szCs w:val="24"/>
          <w:lang w:eastAsia="en-GB"/>
        </w:rPr>
        <w:t xml:space="preserve"> communauté</w:t>
      </w:r>
      <w:r w:rsidR="00557C22" w:rsidRPr="007668DF">
        <w:rPr>
          <w:rFonts w:ascii="Times New Roman" w:eastAsia="Malgun Gothic" w:hAnsi="Times New Roman"/>
          <w:color w:val="000000"/>
          <w:sz w:val="24"/>
          <w:szCs w:val="24"/>
          <w:lang w:eastAsia="en-GB"/>
        </w:rPr>
        <w:t>s</w:t>
      </w:r>
      <w:r w:rsidR="00512993" w:rsidRPr="007668DF">
        <w:rPr>
          <w:rFonts w:ascii="Times New Roman" w:eastAsia="Malgun Gothic" w:hAnsi="Times New Roman"/>
          <w:color w:val="000000"/>
          <w:sz w:val="24"/>
          <w:szCs w:val="24"/>
          <w:lang w:eastAsia="en-GB"/>
        </w:rPr>
        <w:t xml:space="preserve"> </w:t>
      </w:r>
      <w:r w:rsidR="00893033" w:rsidRPr="003B152B">
        <w:rPr>
          <w:rFonts w:ascii="Times New Roman" w:eastAsia="Malgun Gothic" w:hAnsi="Times New Roman"/>
          <w:i/>
          <w:color w:val="000000"/>
          <w:sz w:val="24"/>
          <w:szCs w:val="24"/>
          <w:lang w:eastAsia="en-GB"/>
        </w:rPr>
        <w:t>T</w:t>
      </w:r>
      <w:r w:rsidR="00557C22" w:rsidRPr="003B152B">
        <w:rPr>
          <w:rFonts w:ascii="Times New Roman" w:eastAsia="Malgun Gothic" w:hAnsi="Times New Roman"/>
          <w:i/>
          <w:color w:val="000000"/>
          <w:sz w:val="24"/>
          <w:szCs w:val="24"/>
          <w:lang w:eastAsia="en-GB"/>
        </w:rPr>
        <w:t>ouareg</w:t>
      </w:r>
      <w:r w:rsidR="00557C22" w:rsidRPr="007668DF">
        <w:rPr>
          <w:rFonts w:ascii="Times New Roman" w:eastAsia="Malgun Gothic" w:hAnsi="Times New Roman"/>
          <w:color w:val="000000"/>
          <w:sz w:val="24"/>
          <w:szCs w:val="24"/>
          <w:lang w:eastAsia="en-GB"/>
        </w:rPr>
        <w:t xml:space="preserve"> </w:t>
      </w:r>
      <w:r w:rsidR="000C1AE3" w:rsidRPr="007668DF">
        <w:rPr>
          <w:rFonts w:ascii="Times New Roman" w:eastAsia="Malgun Gothic" w:hAnsi="Times New Roman"/>
          <w:color w:val="000000"/>
          <w:sz w:val="24"/>
          <w:szCs w:val="24"/>
          <w:lang w:eastAsia="en-GB"/>
        </w:rPr>
        <w:t xml:space="preserve">et </w:t>
      </w:r>
      <w:r w:rsidR="00893033" w:rsidRPr="003B152B">
        <w:rPr>
          <w:rFonts w:ascii="Times New Roman" w:eastAsia="Malgun Gothic" w:hAnsi="Times New Roman"/>
          <w:i/>
          <w:color w:val="000000"/>
          <w:sz w:val="24"/>
          <w:szCs w:val="24"/>
          <w:lang w:eastAsia="en-GB"/>
        </w:rPr>
        <w:t>A</w:t>
      </w:r>
      <w:r w:rsidR="00557C22" w:rsidRPr="003B152B">
        <w:rPr>
          <w:rFonts w:ascii="Times New Roman" w:eastAsia="Malgun Gothic" w:hAnsi="Times New Roman"/>
          <w:i/>
          <w:color w:val="000000"/>
          <w:sz w:val="24"/>
          <w:szCs w:val="24"/>
          <w:lang w:eastAsia="en-GB"/>
        </w:rPr>
        <w:t>rabe</w:t>
      </w:r>
      <w:r w:rsidR="006E5433" w:rsidRPr="007668DF">
        <w:rPr>
          <w:rFonts w:ascii="Times New Roman" w:eastAsia="Malgun Gothic" w:hAnsi="Times New Roman"/>
          <w:color w:val="000000"/>
          <w:sz w:val="24"/>
          <w:szCs w:val="24"/>
          <w:lang w:eastAsia="en-GB"/>
        </w:rPr>
        <w:t>.</w:t>
      </w:r>
    </w:p>
    <w:p w:rsidR="00F378E3" w:rsidRPr="007668DF" w:rsidRDefault="00C50FEB" w:rsidP="006C2FA0">
      <w:pPr>
        <w:tabs>
          <w:tab w:val="left" w:pos="567"/>
        </w:tabs>
        <w:jc w:val="both"/>
        <w:rPr>
          <w:rFonts w:ascii="Times New Roman" w:eastAsia="Malgun Gothic" w:hAnsi="Times New Roman"/>
          <w:color w:val="000000"/>
          <w:sz w:val="24"/>
          <w:szCs w:val="24"/>
          <w:lang w:eastAsia="en-GB"/>
        </w:rPr>
      </w:pPr>
      <w:r w:rsidRPr="007668DF">
        <w:rPr>
          <w:rFonts w:ascii="Times New Roman" w:eastAsia="Malgun Gothic" w:hAnsi="Times New Roman"/>
          <w:color w:val="000000"/>
          <w:sz w:val="24"/>
          <w:szCs w:val="24"/>
          <w:lang w:eastAsia="en-GB"/>
        </w:rPr>
        <w:t>3</w:t>
      </w:r>
      <w:r w:rsidR="0086130D">
        <w:rPr>
          <w:rFonts w:ascii="Times New Roman" w:eastAsia="Malgun Gothic" w:hAnsi="Times New Roman"/>
          <w:color w:val="000000"/>
          <w:sz w:val="24"/>
          <w:szCs w:val="24"/>
          <w:lang w:eastAsia="en-GB"/>
        </w:rPr>
        <w:t>8</w:t>
      </w:r>
      <w:r w:rsidR="00B14AE5" w:rsidRPr="007668DF">
        <w:rPr>
          <w:rFonts w:ascii="Times New Roman" w:eastAsia="Malgun Gothic" w:hAnsi="Times New Roman"/>
          <w:color w:val="000000"/>
          <w:sz w:val="24"/>
          <w:szCs w:val="24"/>
          <w:lang w:eastAsia="en-GB"/>
        </w:rPr>
        <w:t>.</w:t>
      </w:r>
      <w:r w:rsidR="00B14AE5" w:rsidRPr="007668DF">
        <w:rPr>
          <w:rFonts w:ascii="Times New Roman" w:eastAsia="Malgun Gothic" w:hAnsi="Times New Roman"/>
          <w:color w:val="000000"/>
          <w:sz w:val="24"/>
          <w:szCs w:val="24"/>
          <w:lang w:eastAsia="en-GB"/>
        </w:rPr>
        <w:tab/>
      </w:r>
      <w:r w:rsidR="00B14AE5" w:rsidRPr="007668DF">
        <w:rPr>
          <w:rFonts w:ascii="Times New Roman" w:eastAsia="Malgun Gothic" w:hAnsi="Times New Roman"/>
          <w:color w:val="000000"/>
          <w:sz w:val="24"/>
          <w:szCs w:val="24"/>
          <w:lang w:eastAsia="en-GB"/>
        </w:rPr>
        <w:tab/>
      </w:r>
      <w:r w:rsidR="00E43ED2" w:rsidRPr="007668DF">
        <w:rPr>
          <w:rFonts w:ascii="Times New Roman" w:eastAsia="Malgun Gothic" w:hAnsi="Times New Roman"/>
          <w:color w:val="000000"/>
          <w:sz w:val="24"/>
          <w:szCs w:val="24"/>
          <w:lang w:eastAsia="en-GB"/>
        </w:rPr>
        <w:t>Il ressort d</w:t>
      </w:r>
      <w:r w:rsidR="00E81CFC" w:rsidRPr="007668DF">
        <w:rPr>
          <w:rFonts w:ascii="Times New Roman" w:eastAsia="Malgun Gothic" w:hAnsi="Times New Roman"/>
          <w:color w:val="000000"/>
          <w:sz w:val="24"/>
          <w:szCs w:val="24"/>
          <w:lang w:eastAsia="en-GB"/>
        </w:rPr>
        <w:t xml:space="preserve">es statistiques comparatives de la Division des droits de l’homme </w:t>
      </w:r>
      <w:r w:rsidR="00E43ED2" w:rsidRPr="007668DF">
        <w:rPr>
          <w:rFonts w:ascii="Times New Roman" w:eastAsia="Malgun Gothic" w:hAnsi="Times New Roman"/>
          <w:color w:val="000000"/>
          <w:sz w:val="24"/>
          <w:szCs w:val="24"/>
          <w:lang w:eastAsia="en-GB"/>
        </w:rPr>
        <w:t xml:space="preserve">que </w:t>
      </w:r>
      <w:r w:rsidR="00E81CFC" w:rsidRPr="007668DF">
        <w:rPr>
          <w:rFonts w:ascii="Times New Roman" w:eastAsia="Malgun Gothic" w:hAnsi="Times New Roman"/>
          <w:color w:val="000000"/>
          <w:sz w:val="24"/>
          <w:szCs w:val="24"/>
          <w:lang w:eastAsia="en-GB"/>
        </w:rPr>
        <w:t>1</w:t>
      </w:r>
      <w:r w:rsidR="00AC00F7" w:rsidRPr="007668DF">
        <w:rPr>
          <w:rFonts w:ascii="Times New Roman" w:eastAsia="Malgun Gothic" w:hAnsi="Times New Roman"/>
          <w:color w:val="000000"/>
          <w:sz w:val="24"/>
          <w:szCs w:val="24"/>
          <w:lang w:eastAsia="en-GB"/>
        </w:rPr>
        <w:t>50</w:t>
      </w:r>
      <w:r w:rsidR="00E81CFC" w:rsidRPr="007668DF">
        <w:rPr>
          <w:rFonts w:ascii="Times New Roman" w:eastAsia="Malgun Gothic" w:hAnsi="Times New Roman"/>
          <w:color w:val="000000"/>
          <w:sz w:val="24"/>
          <w:szCs w:val="24"/>
          <w:lang w:eastAsia="en-GB"/>
        </w:rPr>
        <w:t xml:space="preserve"> arrestations</w:t>
      </w:r>
      <w:r w:rsidR="00C5716E">
        <w:rPr>
          <w:rFonts w:ascii="Times New Roman" w:eastAsia="Malgun Gothic" w:hAnsi="Times New Roman"/>
          <w:color w:val="000000"/>
          <w:sz w:val="24"/>
          <w:szCs w:val="24"/>
          <w:lang w:eastAsia="en-GB"/>
        </w:rPr>
        <w:t xml:space="preserve"> arbitraires</w:t>
      </w:r>
      <w:r w:rsidR="00E81CFC" w:rsidRPr="007668DF">
        <w:rPr>
          <w:rFonts w:ascii="Times New Roman" w:eastAsia="Malgun Gothic" w:hAnsi="Times New Roman"/>
          <w:color w:val="000000"/>
          <w:sz w:val="24"/>
          <w:szCs w:val="24"/>
          <w:lang w:eastAsia="en-GB"/>
        </w:rPr>
        <w:t xml:space="preserve"> </w:t>
      </w:r>
      <w:r w:rsidR="00E43ED2" w:rsidRPr="007668DF">
        <w:rPr>
          <w:rFonts w:ascii="Times New Roman" w:eastAsia="Malgun Gothic" w:hAnsi="Times New Roman"/>
          <w:color w:val="000000"/>
          <w:sz w:val="24"/>
          <w:szCs w:val="24"/>
          <w:lang w:eastAsia="en-GB"/>
        </w:rPr>
        <w:t>ont été effectuées</w:t>
      </w:r>
      <w:r w:rsidR="00E81CFC" w:rsidRPr="007668DF">
        <w:rPr>
          <w:rFonts w:ascii="Times New Roman" w:eastAsia="Malgun Gothic" w:hAnsi="Times New Roman"/>
          <w:color w:val="000000"/>
          <w:sz w:val="24"/>
          <w:szCs w:val="24"/>
          <w:lang w:eastAsia="en-GB"/>
        </w:rPr>
        <w:t xml:space="preserve"> par les FAM</w:t>
      </w:r>
      <w:r w:rsidR="009921EA" w:rsidRPr="007668DF">
        <w:rPr>
          <w:rFonts w:ascii="Times New Roman" w:eastAsia="Malgun Gothic" w:hAnsi="Times New Roman"/>
          <w:color w:val="000000"/>
          <w:sz w:val="24"/>
          <w:szCs w:val="24"/>
          <w:lang w:eastAsia="en-GB"/>
        </w:rPr>
        <w:t>a</w:t>
      </w:r>
      <w:r w:rsidR="00E81CFC" w:rsidRPr="007668DF">
        <w:rPr>
          <w:rFonts w:ascii="Times New Roman" w:eastAsia="Malgun Gothic" w:hAnsi="Times New Roman"/>
          <w:color w:val="000000"/>
          <w:sz w:val="24"/>
          <w:szCs w:val="24"/>
          <w:lang w:eastAsia="en-GB"/>
        </w:rPr>
        <w:t xml:space="preserve"> entre </w:t>
      </w:r>
      <w:r w:rsidR="003F3A61">
        <w:rPr>
          <w:rFonts w:ascii="Times New Roman" w:eastAsia="Malgun Gothic" w:hAnsi="Times New Roman"/>
          <w:color w:val="000000"/>
          <w:sz w:val="24"/>
          <w:szCs w:val="24"/>
          <w:lang w:eastAsia="en-GB"/>
        </w:rPr>
        <w:t xml:space="preserve">le </w:t>
      </w:r>
      <w:r w:rsidR="003B011C" w:rsidRPr="007668DF">
        <w:rPr>
          <w:rFonts w:ascii="Times New Roman" w:eastAsia="Malgun Gothic" w:hAnsi="Times New Roman"/>
          <w:color w:val="000000"/>
          <w:sz w:val="24"/>
          <w:szCs w:val="24"/>
          <w:lang w:eastAsia="en-GB"/>
        </w:rPr>
        <w:t>1</w:t>
      </w:r>
      <w:r w:rsidR="003F3A61" w:rsidRPr="003F3A61">
        <w:rPr>
          <w:rFonts w:ascii="Times New Roman" w:eastAsia="Malgun Gothic" w:hAnsi="Times New Roman"/>
          <w:color w:val="000000"/>
          <w:sz w:val="24"/>
          <w:szCs w:val="24"/>
          <w:vertAlign w:val="superscript"/>
          <w:lang w:eastAsia="en-GB"/>
        </w:rPr>
        <w:t>er</w:t>
      </w:r>
      <w:r w:rsidR="003F3A61">
        <w:rPr>
          <w:rFonts w:ascii="Times New Roman" w:eastAsia="Malgun Gothic" w:hAnsi="Times New Roman"/>
          <w:color w:val="000000"/>
          <w:sz w:val="24"/>
          <w:szCs w:val="24"/>
          <w:lang w:eastAsia="en-GB"/>
        </w:rPr>
        <w:t xml:space="preserve"> </w:t>
      </w:r>
      <w:r w:rsidR="003B011C" w:rsidRPr="007668DF">
        <w:rPr>
          <w:rFonts w:ascii="Times New Roman" w:eastAsia="Malgun Gothic" w:hAnsi="Times New Roman"/>
          <w:color w:val="000000"/>
          <w:sz w:val="24"/>
          <w:szCs w:val="24"/>
          <w:lang w:eastAsia="en-GB"/>
        </w:rPr>
        <w:t xml:space="preserve">novembre et 31 mai 2014 dont au moins 78 </w:t>
      </w:r>
      <w:r w:rsidR="003B011C" w:rsidRPr="003B152B">
        <w:rPr>
          <w:rFonts w:ascii="Times New Roman" w:eastAsia="Malgun Gothic" w:hAnsi="Times New Roman"/>
          <w:i/>
          <w:color w:val="000000"/>
          <w:sz w:val="24"/>
          <w:szCs w:val="24"/>
          <w:lang w:eastAsia="en-GB"/>
        </w:rPr>
        <w:t>Touaregs</w:t>
      </w:r>
      <w:r w:rsidR="003B011C" w:rsidRPr="007668DF">
        <w:rPr>
          <w:rFonts w:ascii="Times New Roman" w:eastAsia="Malgun Gothic" w:hAnsi="Times New Roman"/>
          <w:color w:val="000000"/>
          <w:sz w:val="24"/>
          <w:szCs w:val="24"/>
          <w:lang w:eastAsia="en-GB"/>
        </w:rPr>
        <w:t xml:space="preserve">, 31 </w:t>
      </w:r>
      <w:r w:rsidR="003B011C" w:rsidRPr="003B152B">
        <w:rPr>
          <w:rFonts w:ascii="Times New Roman" w:eastAsia="Malgun Gothic" w:hAnsi="Times New Roman"/>
          <w:i/>
          <w:color w:val="000000"/>
          <w:sz w:val="24"/>
          <w:szCs w:val="24"/>
          <w:lang w:eastAsia="en-GB"/>
        </w:rPr>
        <w:t>Arabes,</w:t>
      </w:r>
      <w:r w:rsidR="003B011C" w:rsidRPr="007668DF">
        <w:rPr>
          <w:rFonts w:ascii="Times New Roman" w:eastAsia="Malgun Gothic" w:hAnsi="Times New Roman"/>
          <w:color w:val="000000"/>
          <w:sz w:val="24"/>
          <w:szCs w:val="24"/>
          <w:lang w:eastAsia="en-GB"/>
        </w:rPr>
        <w:t xml:space="preserve"> 16 </w:t>
      </w:r>
      <w:r w:rsidR="003B011C" w:rsidRPr="003B152B">
        <w:rPr>
          <w:rFonts w:ascii="Times New Roman" w:eastAsia="Malgun Gothic" w:hAnsi="Times New Roman"/>
          <w:i/>
          <w:color w:val="000000"/>
          <w:sz w:val="24"/>
          <w:szCs w:val="24"/>
          <w:lang w:eastAsia="en-GB"/>
        </w:rPr>
        <w:t>Songhaïs</w:t>
      </w:r>
      <w:r w:rsidR="003B011C" w:rsidRPr="007668DF">
        <w:rPr>
          <w:rFonts w:ascii="Times New Roman" w:eastAsia="Malgun Gothic" w:hAnsi="Times New Roman"/>
          <w:color w:val="000000"/>
          <w:sz w:val="24"/>
          <w:szCs w:val="24"/>
          <w:lang w:eastAsia="en-GB"/>
        </w:rPr>
        <w:t xml:space="preserve"> et 1 </w:t>
      </w:r>
      <w:r w:rsidR="003B011C" w:rsidRPr="003B152B">
        <w:rPr>
          <w:rFonts w:ascii="Times New Roman" w:eastAsia="Malgun Gothic" w:hAnsi="Times New Roman"/>
          <w:i/>
          <w:color w:val="000000"/>
          <w:sz w:val="24"/>
          <w:szCs w:val="24"/>
          <w:lang w:eastAsia="en-GB"/>
        </w:rPr>
        <w:t>Français</w:t>
      </w:r>
      <w:r w:rsidR="003B011C" w:rsidRPr="007668DF">
        <w:rPr>
          <w:rFonts w:ascii="Times New Roman" w:eastAsia="Malgun Gothic" w:hAnsi="Times New Roman"/>
          <w:color w:val="000000"/>
          <w:sz w:val="24"/>
          <w:szCs w:val="24"/>
          <w:lang w:eastAsia="en-GB"/>
        </w:rPr>
        <w:t xml:space="preserve"> ; contre 117 arrestations entre </w:t>
      </w:r>
      <w:r w:rsidR="00FF57D0">
        <w:rPr>
          <w:rFonts w:ascii="Times New Roman" w:eastAsia="Malgun Gothic" w:hAnsi="Times New Roman"/>
          <w:color w:val="000000"/>
          <w:sz w:val="24"/>
          <w:szCs w:val="24"/>
          <w:lang w:eastAsia="en-GB"/>
        </w:rPr>
        <w:t>m</w:t>
      </w:r>
      <w:r w:rsidR="003B011C" w:rsidRPr="007668DF">
        <w:rPr>
          <w:rFonts w:ascii="Times New Roman" w:eastAsia="Malgun Gothic" w:hAnsi="Times New Roman"/>
          <w:color w:val="000000"/>
          <w:sz w:val="24"/>
          <w:szCs w:val="24"/>
          <w:lang w:eastAsia="en-GB"/>
        </w:rPr>
        <w:t xml:space="preserve">ai et </w:t>
      </w:r>
      <w:r w:rsidR="00FF57D0">
        <w:rPr>
          <w:rFonts w:ascii="Times New Roman" w:eastAsia="Malgun Gothic" w:hAnsi="Times New Roman"/>
          <w:color w:val="000000"/>
          <w:sz w:val="24"/>
          <w:szCs w:val="24"/>
          <w:lang w:eastAsia="en-GB"/>
        </w:rPr>
        <w:t>o</w:t>
      </w:r>
      <w:r w:rsidR="00FF57D0" w:rsidRPr="007668DF">
        <w:rPr>
          <w:rFonts w:ascii="Times New Roman" w:eastAsia="Malgun Gothic" w:hAnsi="Times New Roman"/>
          <w:color w:val="000000"/>
          <w:sz w:val="24"/>
          <w:szCs w:val="24"/>
          <w:lang w:eastAsia="en-GB"/>
        </w:rPr>
        <w:t xml:space="preserve">ctobre </w:t>
      </w:r>
      <w:r w:rsidR="003B011C" w:rsidRPr="007668DF">
        <w:rPr>
          <w:rFonts w:ascii="Times New Roman" w:eastAsia="Malgun Gothic" w:hAnsi="Times New Roman"/>
          <w:color w:val="000000"/>
          <w:sz w:val="24"/>
          <w:szCs w:val="24"/>
          <w:lang w:eastAsia="en-GB"/>
        </w:rPr>
        <w:t xml:space="preserve">2013. </w:t>
      </w:r>
      <w:r w:rsidR="00893033">
        <w:rPr>
          <w:rFonts w:ascii="Times New Roman" w:eastAsia="Malgun Gothic" w:hAnsi="Times New Roman"/>
          <w:color w:val="000000"/>
          <w:sz w:val="24"/>
          <w:szCs w:val="24"/>
          <w:lang w:eastAsia="en-GB"/>
        </w:rPr>
        <w:t>En l’absence d’</w:t>
      </w:r>
      <w:r w:rsidR="00843765">
        <w:rPr>
          <w:rFonts w:ascii="Times New Roman" w:eastAsia="Malgun Gothic" w:hAnsi="Times New Roman"/>
          <w:color w:val="000000"/>
          <w:sz w:val="24"/>
          <w:szCs w:val="24"/>
          <w:lang w:eastAsia="en-GB"/>
        </w:rPr>
        <w:t>éléments</w:t>
      </w:r>
      <w:r w:rsidR="00C5716E">
        <w:rPr>
          <w:rFonts w:ascii="Times New Roman" w:eastAsia="Malgun Gothic" w:hAnsi="Times New Roman"/>
          <w:color w:val="000000"/>
          <w:sz w:val="24"/>
          <w:szCs w:val="24"/>
          <w:lang w:eastAsia="en-GB"/>
        </w:rPr>
        <w:t xml:space="preserve"> sur les 2</w:t>
      </w:r>
      <w:r w:rsidR="00893033">
        <w:rPr>
          <w:rFonts w:ascii="Times New Roman" w:eastAsia="Malgun Gothic" w:hAnsi="Times New Roman"/>
          <w:color w:val="000000"/>
          <w:sz w:val="24"/>
          <w:szCs w:val="24"/>
          <w:lang w:eastAsia="en-GB"/>
        </w:rPr>
        <w:t>4 autres personnes</w:t>
      </w:r>
      <w:r w:rsidR="001763D8">
        <w:rPr>
          <w:rFonts w:ascii="Times New Roman" w:eastAsia="Malgun Gothic" w:hAnsi="Times New Roman"/>
          <w:color w:val="000000"/>
          <w:sz w:val="24"/>
          <w:szCs w:val="24"/>
          <w:lang w:eastAsia="en-GB"/>
        </w:rPr>
        <w:t>,</w:t>
      </w:r>
      <w:r w:rsidR="00843765">
        <w:rPr>
          <w:rFonts w:ascii="Times New Roman" w:eastAsia="Malgun Gothic" w:hAnsi="Times New Roman"/>
          <w:color w:val="000000"/>
          <w:sz w:val="24"/>
          <w:szCs w:val="24"/>
          <w:lang w:eastAsia="en-GB"/>
        </w:rPr>
        <w:t xml:space="preserve"> il a été impossible à la Division des droits de l’homme d’établir leur appartenance communautaire. </w:t>
      </w:r>
      <w:r w:rsidR="003B011C" w:rsidRPr="007668DF">
        <w:rPr>
          <w:rFonts w:ascii="Times New Roman" w:eastAsia="Malgun Gothic" w:hAnsi="Times New Roman"/>
          <w:color w:val="000000"/>
          <w:sz w:val="24"/>
          <w:szCs w:val="24"/>
          <w:lang w:eastAsia="en-GB"/>
        </w:rPr>
        <w:t>Il convient donc de noter que</w:t>
      </w:r>
      <w:r w:rsidR="00E81CFC" w:rsidRPr="007668DF">
        <w:rPr>
          <w:rFonts w:ascii="Times New Roman" w:eastAsia="Malgun Gothic" w:hAnsi="Times New Roman"/>
          <w:color w:val="000000"/>
          <w:sz w:val="24"/>
          <w:szCs w:val="24"/>
          <w:lang w:eastAsia="en-GB"/>
        </w:rPr>
        <w:t xml:space="preserve"> le nombre d</w:t>
      </w:r>
      <w:r w:rsidR="008E17D1" w:rsidRPr="007668DF">
        <w:rPr>
          <w:rFonts w:ascii="Times New Roman" w:eastAsia="Malgun Gothic" w:hAnsi="Times New Roman"/>
          <w:color w:val="000000"/>
          <w:sz w:val="24"/>
          <w:szCs w:val="24"/>
          <w:lang w:eastAsia="en-GB"/>
        </w:rPr>
        <w:t xml:space="preserve">’arrestations </w:t>
      </w:r>
      <w:r w:rsidR="003B011C" w:rsidRPr="007668DF">
        <w:rPr>
          <w:rFonts w:ascii="Times New Roman" w:eastAsia="Malgun Gothic" w:hAnsi="Times New Roman"/>
          <w:color w:val="000000"/>
          <w:sz w:val="24"/>
          <w:szCs w:val="24"/>
          <w:lang w:eastAsia="en-GB"/>
        </w:rPr>
        <w:t>a augmenté et ce</w:t>
      </w:r>
      <w:r w:rsidR="009F6B72" w:rsidRPr="007668DF">
        <w:rPr>
          <w:rFonts w:ascii="Times New Roman" w:eastAsia="Malgun Gothic" w:hAnsi="Times New Roman"/>
          <w:color w:val="000000"/>
          <w:sz w:val="24"/>
          <w:szCs w:val="24"/>
          <w:lang w:eastAsia="en-GB"/>
        </w:rPr>
        <w:t xml:space="preserve"> </w:t>
      </w:r>
      <w:r w:rsidR="008E17D1" w:rsidRPr="007668DF">
        <w:rPr>
          <w:rFonts w:ascii="Times New Roman" w:eastAsia="Malgun Gothic" w:hAnsi="Times New Roman"/>
          <w:color w:val="000000"/>
          <w:sz w:val="24"/>
          <w:szCs w:val="24"/>
          <w:lang w:eastAsia="en-GB"/>
        </w:rPr>
        <w:t>suite à</w:t>
      </w:r>
      <w:r w:rsidR="00E81CFC" w:rsidRPr="007668DF">
        <w:rPr>
          <w:rFonts w:ascii="Times New Roman" w:eastAsia="Malgun Gothic" w:hAnsi="Times New Roman"/>
          <w:color w:val="000000"/>
          <w:sz w:val="24"/>
          <w:szCs w:val="24"/>
          <w:lang w:eastAsia="en-GB"/>
        </w:rPr>
        <w:t xml:space="preserve"> des attaques à la roquette ou </w:t>
      </w:r>
      <w:r w:rsidR="003F3A61">
        <w:rPr>
          <w:rFonts w:ascii="Times New Roman" w:eastAsia="Malgun Gothic" w:hAnsi="Times New Roman"/>
          <w:color w:val="000000"/>
          <w:sz w:val="24"/>
          <w:szCs w:val="24"/>
          <w:lang w:eastAsia="en-GB"/>
        </w:rPr>
        <w:t xml:space="preserve">à </w:t>
      </w:r>
      <w:r w:rsidR="00E81CFC" w:rsidRPr="007668DF">
        <w:rPr>
          <w:rFonts w:ascii="Times New Roman" w:eastAsia="Malgun Gothic" w:hAnsi="Times New Roman"/>
          <w:color w:val="000000"/>
          <w:sz w:val="24"/>
          <w:szCs w:val="24"/>
          <w:lang w:eastAsia="en-GB"/>
        </w:rPr>
        <w:t xml:space="preserve">des attentats aux engins explosifs improvisés </w:t>
      </w:r>
      <w:r w:rsidR="007A1C00" w:rsidRPr="007668DF">
        <w:rPr>
          <w:rFonts w:ascii="Times New Roman" w:eastAsia="Malgun Gothic" w:hAnsi="Times New Roman"/>
          <w:color w:val="000000"/>
          <w:sz w:val="24"/>
          <w:szCs w:val="24"/>
          <w:lang w:eastAsia="en-GB"/>
        </w:rPr>
        <w:t>dans l</w:t>
      </w:r>
      <w:r w:rsidR="008E17D1" w:rsidRPr="007668DF">
        <w:rPr>
          <w:rFonts w:ascii="Times New Roman" w:eastAsia="Malgun Gothic" w:hAnsi="Times New Roman"/>
          <w:color w:val="000000"/>
          <w:sz w:val="24"/>
          <w:szCs w:val="24"/>
          <w:lang w:eastAsia="en-GB"/>
        </w:rPr>
        <w:t>e</w:t>
      </w:r>
      <w:r w:rsidR="007A1C00" w:rsidRPr="007668DF">
        <w:rPr>
          <w:rFonts w:ascii="Times New Roman" w:eastAsia="Malgun Gothic" w:hAnsi="Times New Roman"/>
          <w:color w:val="000000"/>
          <w:sz w:val="24"/>
          <w:szCs w:val="24"/>
          <w:lang w:eastAsia="en-GB"/>
        </w:rPr>
        <w:t xml:space="preserve"> nord du pays</w:t>
      </w:r>
      <w:r w:rsidR="00E81CFC" w:rsidRPr="007668DF">
        <w:rPr>
          <w:rFonts w:ascii="Times New Roman" w:eastAsia="Malgun Gothic" w:hAnsi="Times New Roman"/>
          <w:color w:val="000000"/>
          <w:sz w:val="24"/>
          <w:szCs w:val="24"/>
          <w:lang w:eastAsia="en-GB"/>
        </w:rPr>
        <w:t>.</w:t>
      </w:r>
      <w:r w:rsidR="00E9298C" w:rsidRPr="007668DF">
        <w:rPr>
          <w:rFonts w:ascii="Times New Roman" w:eastAsia="Malgun Gothic" w:hAnsi="Times New Roman"/>
          <w:color w:val="000000"/>
          <w:sz w:val="24"/>
          <w:szCs w:val="24"/>
          <w:lang w:eastAsia="en-GB"/>
        </w:rPr>
        <w:t xml:space="preserve"> </w:t>
      </w:r>
    </w:p>
    <w:p w:rsidR="008243AC" w:rsidRPr="007668DF" w:rsidRDefault="00C50FEB" w:rsidP="006C2FA0">
      <w:pPr>
        <w:tabs>
          <w:tab w:val="left" w:pos="567"/>
        </w:tabs>
        <w:jc w:val="both"/>
        <w:rPr>
          <w:rFonts w:ascii="Times New Roman" w:eastAsia="Malgun Gothic" w:hAnsi="Times New Roman"/>
          <w:sz w:val="24"/>
          <w:szCs w:val="24"/>
        </w:rPr>
      </w:pPr>
      <w:r w:rsidRPr="007668DF">
        <w:rPr>
          <w:rFonts w:ascii="Times New Roman" w:eastAsia="Malgun Gothic" w:hAnsi="Times New Roman"/>
          <w:sz w:val="24"/>
          <w:szCs w:val="24"/>
        </w:rPr>
        <w:t>3</w:t>
      </w:r>
      <w:r w:rsidR="0086130D">
        <w:rPr>
          <w:rFonts w:ascii="Times New Roman" w:eastAsia="Malgun Gothic" w:hAnsi="Times New Roman"/>
          <w:sz w:val="24"/>
          <w:szCs w:val="24"/>
        </w:rPr>
        <w:t>9</w:t>
      </w:r>
      <w:r w:rsidR="00B14AE5" w:rsidRPr="007668DF">
        <w:rPr>
          <w:rFonts w:ascii="Times New Roman" w:eastAsia="Malgun Gothic" w:hAnsi="Times New Roman"/>
          <w:sz w:val="24"/>
          <w:szCs w:val="24"/>
        </w:rPr>
        <w:t>.</w:t>
      </w:r>
      <w:r w:rsidR="00B14AE5" w:rsidRPr="007668DF">
        <w:rPr>
          <w:rFonts w:ascii="Times New Roman" w:eastAsia="Malgun Gothic" w:hAnsi="Times New Roman"/>
          <w:sz w:val="24"/>
          <w:szCs w:val="24"/>
        </w:rPr>
        <w:tab/>
      </w:r>
      <w:r w:rsidR="00FF724A">
        <w:rPr>
          <w:rFonts w:ascii="Times New Roman" w:eastAsia="Malgun Gothic" w:hAnsi="Times New Roman"/>
          <w:sz w:val="24"/>
          <w:szCs w:val="24"/>
        </w:rPr>
        <w:t>À</w:t>
      </w:r>
      <w:r w:rsidR="00223D88" w:rsidRPr="007668DF">
        <w:rPr>
          <w:rFonts w:ascii="Times New Roman" w:eastAsia="Malgun Gothic" w:hAnsi="Times New Roman"/>
          <w:sz w:val="24"/>
          <w:szCs w:val="24"/>
        </w:rPr>
        <w:t xml:space="preserve"> la date du</w:t>
      </w:r>
      <w:r w:rsidR="00E81CFC" w:rsidRPr="007668DF">
        <w:rPr>
          <w:rFonts w:ascii="Times New Roman" w:eastAsia="Malgun Gothic" w:hAnsi="Times New Roman"/>
          <w:sz w:val="24"/>
          <w:szCs w:val="24"/>
        </w:rPr>
        <w:t xml:space="preserve"> 30 avril 2014, </w:t>
      </w:r>
      <w:r w:rsidR="00E9298C" w:rsidRPr="007668DF">
        <w:rPr>
          <w:rFonts w:ascii="Times New Roman" w:eastAsia="Malgun Gothic" w:hAnsi="Times New Roman"/>
          <w:sz w:val="24"/>
          <w:szCs w:val="24"/>
        </w:rPr>
        <w:t>247 personnes</w:t>
      </w:r>
      <w:r w:rsidR="00E3634C" w:rsidRPr="007668DF">
        <w:rPr>
          <w:rFonts w:ascii="Times New Roman" w:eastAsia="Malgun Gothic" w:hAnsi="Times New Roman"/>
          <w:sz w:val="24"/>
          <w:szCs w:val="24"/>
        </w:rPr>
        <w:t xml:space="preserve"> </w:t>
      </w:r>
      <w:r w:rsidR="00843765">
        <w:rPr>
          <w:rFonts w:ascii="Times New Roman" w:eastAsia="Malgun Gothic" w:hAnsi="Times New Roman"/>
          <w:sz w:val="24"/>
          <w:szCs w:val="24"/>
        </w:rPr>
        <w:t xml:space="preserve">comprenant </w:t>
      </w:r>
      <w:r w:rsidR="00A81F44" w:rsidRPr="007668DF">
        <w:rPr>
          <w:rFonts w:ascii="Times New Roman" w:eastAsia="Malgun Gothic" w:hAnsi="Times New Roman"/>
          <w:sz w:val="24"/>
          <w:szCs w:val="24"/>
        </w:rPr>
        <w:t xml:space="preserve">des </w:t>
      </w:r>
      <w:r w:rsidR="00E9298C" w:rsidRPr="007668DF">
        <w:rPr>
          <w:rFonts w:ascii="Times New Roman" w:eastAsia="Malgun Gothic" w:hAnsi="Times New Roman"/>
          <w:sz w:val="24"/>
          <w:szCs w:val="24"/>
        </w:rPr>
        <w:t xml:space="preserve">civils, </w:t>
      </w:r>
      <w:r w:rsidR="00A81F44" w:rsidRPr="007668DF">
        <w:rPr>
          <w:rFonts w:ascii="Times New Roman" w:eastAsia="Malgun Gothic" w:hAnsi="Times New Roman"/>
          <w:sz w:val="24"/>
          <w:szCs w:val="24"/>
        </w:rPr>
        <w:t xml:space="preserve">des </w:t>
      </w:r>
      <w:r w:rsidR="00E9298C" w:rsidRPr="007668DF">
        <w:rPr>
          <w:rFonts w:ascii="Times New Roman" w:eastAsia="Malgun Gothic" w:hAnsi="Times New Roman"/>
          <w:sz w:val="24"/>
          <w:szCs w:val="24"/>
        </w:rPr>
        <w:t xml:space="preserve">militaires et </w:t>
      </w:r>
      <w:r w:rsidR="00A81F44" w:rsidRPr="007668DF">
        <w:rPr>
          <w:rFonts w:ascii="Times New Roman" w:eastAsia="Malgun Gothic" w:hAnsi="Times New Roman"/>
          <w:sz w:val="24"/>
          <w:szCs w:val="24"/>
        </w:rPr>
        <w:t xml:space="preserve">des </w:t>
      </w:r>
      <w:r w:rsidR="00E9298C" w:rsidRPr="007668DF">
        <w:rPr>
          <w:rFonts w:ascii="Times New Roman" w:eastAsia="Malgun Gothic" w:hAnsi="Times New Roman"/>
          <w:sz w:val="24"/>
          <w:szCs w:val="24"/>
        </w:rPr>
        <w:t>combattants</w:t>
      </w:r>
      <w:r w:rsidR="00E3634C" w:rsidRPr="007668DF">
        <w:rPr>
          <w:rFonts w:ascii="Times New Roman" w:eastAsia="Malgun Gothic" w:hAnsi="Times New Roman"/>
          <w:sz w:val="24"/>
          <w:szCs w:val="24"/>
        </w:rPr>
        <w:t xml:space="preserve"> </w:t>
      </w:r>
      <w:r w:rsidR="008E17D1" w:rsidRPr="007668DF">
        <w:rPr>
          <w:rFonts w:ascii="Times New Roman" w:eastAsia="Malgun Gothic" w:hAnsi="Times New Roman"/>
          <w:sz w:val="24"/>
          <w:szCs w:val="24"/>
        </w:rPr>
        <w:t>étaient</w:t>
      </w:r>
      <w:r w:rsidR="00E9298C" w:rsidRPr="007668DF">
        <w:rPr>
          <w:rFonts w:ascii="Times New Roman" w:eastAsia="Malgun Gothic" w:hAnsi="Times New Roman"/>
          <w:sz w:val="24"/>
          <w:szCs w:val="24"/>
        </w:rPr>
        <w:t xml:space="preserve"> </w:t>
      </w:r>
      <w:r w:rsidR="00E048DC" w:rsidRPr="007668DF">
        <w:rPr>
          <w:rFonts w:ascii="Times New Roman" w:eastAsia="Malgun Gothic" w:hAnsi="Times New Roman"/>
          <w:sz w:val="24"/>
          <w:szCs w:val="24"/>
        </w:rPr>
        <w:t>détenu</w:t>
      </w:r>
      <w:r w:rsidR="00223D88" w:rsidRPr="007668DF">
        <w:rPr>
          <w:rFonts w:ascii="Times New Roman" w:eastAsia="Malgun Gothic" w:hAnsi="Times New Roman"/>
          <w:sz w:val="24"/>
          <w:szCs w:val="24"/>
        </w:rPr>
        <w:t>e</w:t>
      </w:r>
      <w:r w:rsidR="00E048DC" w:rsidRPr="007668DF">
        <w:rPr>
          <w:rFonts w:ascii="Times New Roman" w:eastAsia="Malgun Gothic" w:hAnsi="Times New Roman"/>
          <w:sz w:val="24"/>
          <w:szCs w:val="24"/>
        </w:rPr>
        <w:t>s</w:t>
      </w:r>
      <w:r w:rsidR="00E9298C" w:rsidRPr="007668DF">
        <w:rPr>
          <w:rFonts w:ascii="Times New Roman" w:eastAsia="Malgun Gothic" w:hAnsi="Times New Roman"/>
          <w:sz w:val="24"/>
          <w:szCs w:val="24"/>
        </w:rPr>
        <w:t xml:space="preserve"> dans différent</w:t>
      </w:r>
      <w:r w:rsidR="00494BEA" w:rsidRPr="007668DF">
        <w:rPr>
          <w:rFonts w:ascii="Times New Roman" w:eastAsia="Malgun Gothic" w:hAnsi="Times New Roman"/>
          <w:sz w:val="24"/>
          <w:szCs w:val="24"/>
        </w:rPr>
        <w:t xml:space="preserve">s centres de détention </w:t>
      </w:r>
      <w:r w:rsidR="00E9298C" w:rsidRPr="007668DF">
        <w:rPr>
          <w:rFonts w:ascii="Times New Roman" w:eastAsia="Malgun Gothic" w:hAnsi="Times New Roman"/>
          <w:sz w:val="24"/>
          <w:szCs w:val="24"/>
        </w:rPr>
        <w:t>à travers le pays</w:t>
      </w:r>
      <w:r w:rsidR="00E81CFC" w:rsidRPr="007668DF">
        <w:rPr>
          <w:rFonts w:ascii="Times New Roman" w:eastAsia="Malgun Gothic" w:hAnsi="Times New Roman"/>
          <w:sz w:val="24"/>
          <w:szCs w:val="24"/>
        </w:rPr>
        <w:t xml:space="preserve"> </w:t>
      </w:r>
      <w:r w:rsidR="008E17D1" w:rsidRPr="007668DF">
        <w:rPr>
          <w:rFonts w:ascii="Times New Roman" w:eastAsia="Malgun Gothic" w:hAnsi="Times New Roman"/>
          <w:sz w:val="24"/>
          <w:szCs w:val="24"/>
        </w:rPr>
        <w:t xml:space="preserve">sur la base d’accusations </w:t>
      </w:r>
      <w:r w:rsidR="00E81CFC" w:rsidRPr="007668DF">
        <w:rPr>
          <w:rFonts w:ascii="Times New Roman" w:eastAsia="Malgun Gothic" w:hAnsi="Times New Roman"/>
          <w:sz w:val="24"/>
          <w:szCs w:val="24"/>
        </w:rPr>
        <w:t>liées au conflit.</w:t>
      </w:r>
      <w:r w:rsidR="007F1720" w:rsidRPr="007668DF">
        <w:rPr>
          <w:rFonts w:ascii="Times New Roman" w:eastAsia="Malgun Gothic" w:hAnsi="Times New Roman"/>
          <w:sz w:val="24"/>
          <w:szCs w:val="24"/>
        </w:rPr>
        <w:t xml:space="preserve"> Certains</w:t>
      </w:r>
      <w:r w:rsidR="00E81CFC" w:rsidRPr="007668DF">
        <w:rPr>
          <w:rFonts w:ascii="Times New Roman" w:eastAsia="Malgun Gothic" w:hAnsi="Times New Roman"/>
          <w:sz w:val="24"/>
          <w:szCs w:val="24"/>
        </w:rPr>
        <w:t xml:space="preserve"> </w:t>
      </w:r>
      <w:r w:rsidR="00E81CFC" w:rsidRPr="007668DF">
        <w:rPr>
          <w:rFonts w:ascii="Times New Roman" w:eastAsia="Malgun Gothic" w:hAnsi="Times New Roman"/>
          <w:sz w:val="24"/>
          <w:szCs w:val="24"/>
        </w:rPr>
        <w:lastRenderedPageBreak/>
        <w:t xml:space="preserve">détenus ont été libérés </w:t>
      </w:r>
      <w:r w:rsidR="007F1720" w:rsidRPr="007668DF">
        <w:rPr>
          <w:rFonts w:ascii="Times New Roman" w:eastAsia="Malgun Gothic" w:hAnsi="Times New Roman"/>
          <w:sz w:val="24"/>
          <w:szCs w:val="24"/>
        </w:rPr>
        <w:t>dans le cadre de l’application de l’article 1</w:t>
      </w:r>
      <w:r w:rsidR="00AC56D6" w:rsidRPr="007668DF">
        <w:rPr>
          <w:rFonts w:ascii="Times New Roman" w:eastAsia="Malgun Gothic" w:hAnsi="Times New Roman"/>
          <w:sz w:val="24"/>
          <w:szCs w:val="24"/>
        </w:rPr>
        <w:t>7</w:t>
      </w:r>
      <w:r w:rsidR="007F1720" w:rsidRPr="007668DF">
        <w:rPr>
          <w:rFonts w:ascii="Times New Roman" w:eastAsia="Malgun Gothic" w:hAnsi="Times New Roman"/>
          <w:sz w:val="24"/>
          <w:szCs w:val="24"/>
        </w:rPr>
        <w:t xml:space="preserve"> </w:t>
      </w:r>
      <w:r w:rsidR="00463557" w:rsidRPr="007668DF">
        <w:rPr>
          <w:rFonts w:ascii="Times New Roman" w:eastAsia="Malgun Gothic" w:hAnsi="Times New Roman"/>
          <w:sz w:val="24"/>
          <w:szCs w:val="24"/>
        </w:rPr>
        <w:t xml:space="preserve">de l’Accord </w:t>
      </w:r>
      <w:r w:rsidR="00CD3EE6" w:rsidRPr="007668DF">
        <w:rPr>
          <w:rFonts w:ascii="Times New Roman" w:eastAsia="Malgun Gothic" w:hAnsi="Times New Roman"/>
          <w:sz w:val="24"/>
          <w:szCs w:val="24"/>
        </w:rPr>
        <w:t xml:space="preserve">préliminaire </w:t>
      </w:r>
      <w:r w:rsidR="00223D88" w:rsidRPr="007668DF">
        <w:rPr>
          <w:rFonts w:ascii="Times New Roman" w:eastAsia="Malgun Gothic" w:hAnsi="Times New Roman"/>
          <w:sz w:val="24"/>
          <w:szCs w:val="24"/>
        </w:rPr>
        <w:t>d’Ouagadougou</w:t>
      </w:r>
      <w:r w:rsidR="00AC56D6" w:rsidRPr="007668DF">
        <w:rPr>
          <w:rStyle w:val="FootnoteReference"/>
          <w:rFonts w:ascii="Times New Roman" w:eastAsia="Malgun Gothic" w:hAnsi="Times New Roman"/>
          <w:sz w:val="24"/>
          <w:szCs w:val="24"/>
        </w:rPr>
        <w:footnoteReference w:id="13"/>
      </w:r>
      <w:r w:rsidR="008E17D1" w:rsidRPr="007668DF">
        <w:rPr>
          <w:rFonts w:ascii="Times New Roman" w:eastAsia="Malgun Gothic" w:hAnsi="Times New Roman"/>
          <w:sz w:val="24"/>
          <w:szCs w:val="24"/>
        </w:rPr>
        <w:t xml:space="preserve">, </w:t>
      </w:r>
      <w:r w:rsidR="007F1720" w:rsidRPr="007668DF">
        <w:rPr>
          <w:rFonts w:ascii="Times New Roman" w:eastAsia="Malgun Gothic" w:hAnsi="Times New Roman"/>
          <w:sz w:val="24"/>
          <w:szCs w:val="24"/>
        </w:rPr>
        <w:t>avant ou après l</w:t>
      </w:r>
      <w:r w:rsidR="000C1AE3" w:rsidRPr="007668DF">
        <w:rPr>
          <w:rFonts w:ascii="Times New Roman" w:eastAsia="Malgun Gothic" w:hAnsi="Times New Roman"/>
          <w:sz w:val="24"/>
          <w:szCs w:val="24"/>
        </w:rPr>
        <w:t>a t</w:t>
      </w:r>
      <w:r w:rsidR="007F1720" w:rsidRPr="007668DF">
        <w:rPr>
          <w:rFonts w:ascii="Times New Roman" w:eastAsia="Malgun Gothic" w:hAnsi="Times New Roman"/>
          <w:sz w:val="24"/>
          <w:szCs w:val="24"/>
        </w:rPr>
        <w:t>e</w:t>
      </w:r>
      <w:r w:rsidR="000C1AE3" w:rsidRPr="007668DF">
        <w:rPr>
          <w:rFonts w:ascii="Times New Roman" w:eastAsia="Malgun Gothic" w:hAnsi="Times New Roman"/>
          <w:sz w:val="24"/>
          <w:szCs w:val="24"/>
        </w:rPr>
        <w:t xml:space="preserve">nue de la </w:t>
      </w:r>
      <w:r w:rsidR="0018072E" w:rsidRPr="007668DF">
        <w:rPr>
          <w:rFonts w:ascii="Times New Roman" w:eastAsia="Malgun Gothic" w:hAnsi="Times New Roman"/>
          <w:sz w:val="24"/>
          <w:szCs w:val="24"/>
        </w:rPr>
        <w:t>réunion du</w:t>
      </w:r>
      <w:r w:rsidR="007F1720" w:rsidRPr="007668DF">
        <w:rPr>
          <w:rFonts w:ascii="Times New Roman" w:eastAsia="Malgun Gothic" w:hAnsi="Times New Roman"/>
          <w:sz w:val="24"/>
          <w:szCs w:val="24"/>
        </w:rPr>
        <w:t xml:space="preserve"> </w:t>
      </w:r>
      <w:r w:rsidR="00A75983" w:rsidRPr="007668DF">
        <w:rPr>
          <w:rFonts w:ascii="Times New Roman" w:eastAsia="Malgun Gothic" w:hAnsi="Times New Roman"/>
          <w:sz w:val="24"/>
          <w:szCs w:val="24"/>
        </w:rPr>
        <w:t>C</w:t>
      </w:r>
      <w:r w:rsidR="007F1720" w:rsidRPr="007668DF">
        <w:rPr>
          <w:rFonts w:ascii="Times New Roman" w:eastAsia="Malgun Gothic" w:hAnsi="Times New Roman"/>
          <w:sz w:val="24"/>
          <w:szCs w:val="24"/>
        </w:rPr>
        <w:t xml:space="preserve">omité de </w:t>
      </w:r>
      <w:r w:rsidR="00843765">
        <w:rPr>
          <w:rFonts w:ascii="Times New Roman" w:eastAsia="Malgun Gothic" w:hAnsi="Times New Roman"/>
          <w:sz w:val="24"/>
          <w:szCs w:val="24"/>
        </w:rPr>
        <w:t>S</w:t>
      </w:r>
      <w:r w:rsidR="007F1720" w:rsidRPr="007668DF">
        <w:rPr>
          <w:rFonts w:ascii="Times New Roman" w:eastAsia="Malgun Gothic" w:hAnsi="Times New Roman"/>
          <w:sz w:val="24"/>
          <w:szCs w:val="24"/>
        </w:rPr>
        <w:t>uivi et d’</w:t>
      </w:r>
      <w:r w:rsidR="00843765">
        <w:rPr>
          <w:rFonts w:ascii="Times New Roman" w:eastAsia="Malgun Gothic" w:hAnsi="Times New Roman"/>
          <w:sz w:val="24"/>
          <w:szCs w:val="24"/>
        </w:rPr>
        <w:t>E</w:t>
      </w:r>
      <w:r w:rsidR="007F1720" w:rsidRPr="007668DF">
        <w:rPr>
          <w:rFonts w:ascii="Times New Roman" w:eastAsia="Malgun Gothic" w:hAnsi="Times New Roman"/>
          <w:sz w:val="24"/>
          <w:szCs w:val="24"/>
        </w:rPr>
        <w:t>valuation</w:t>
      </w:r>
      <w:r w:rsidR="000F23EA" w:rsidRPr="007668DF">
        <w:rPr>
          <w:rFonts w:ascii="Times New Roman" w:eastAsia="Malgun Gothic" w:hAnsi="Times New Roman"/>
          <w:sz w:val="24"/>
          <w:szCs w:val="24"/>
        </w:rPr>
        <w:t xml:space="preserve"> </w:t>
      </w:r>
      <w:r w:rsidR="00A75983" w:rsidRPr="007668DF">
        <w:rPr>
          <w:rFonts w:ascii="Times New Roman" w:eastAsia="Malgun Gothic" w:hAnsi="Times New Roman"/>
          <w:sz w:val="24"/>
          <w:szCs w:val="24"/>
        </w:rPr>
        <w:t>(CSE)</w:t>
      </w:r>
      <w:r w:rsidR="00A81F44" w:rsidRPr="007668DF">
        <w:rPr>
          <w:rFonts w:ascii="Times New Roman" w:eastAsia="Malgun Gothic" w:hAnsi="Times New Roman"/>
          <w:sz w:val="24"/>
          <w:szCs w:val="24"/>
        </w:rPr>
        <w:t xml:space="preserve"> dudit </w:t>
      </w:r>
      <w:r w:rsidR="007737FC" w:rsidRPr="007668DF">
        <w:rPr>
          <w:rFonts w:ascii="Times New Roman" w:eastAsia="Malgun Gothic" w:hAnsi="Times New Roman"/>
          <w:sz w:val="24"/>
          <w:szCs w:val="24"/>
        </w:rPr>
        <w:t>a</w:t>
      </w:r>
      <w:r w:rsidR="00463557" w:rsidRPr="007668DF">
        <w:rPr>
          <w:rFonts w:ascii="Times New Roman" w:eastAsia="Malgun Gothic" w:hAnsi="Times New Roman"/>
          <w:sz w:val="24"/>
          <w:szCs w:val="24"/>
        </w:rPr>
        <w:t>ccord</w:t>
      </w:r>
      <w:r w:rsidR="008E17D1" w:rsidRPr="007668DF">
        <w:rPr>
          <w:rFonts w:ascii="Times New Roman" w:eastAsia="Malgun Gothic" w:hAnsi="Times New Roman"/>
          <w:sz w:val="24"/>
          <w:szCs w:val="24"/>
        </w:rPr>
        <w:t xml:space="preserve"> </w:t>
      </w:r>
      <w:r w:rsidR="00027CFF" w:rsidRPr="007668DF">
        <w:rPr>
          <w:rFonts w:ascii="Times New Roman" w:eastAsia="Malgun Gothic" w:hAnsi="Times New Roman"/>
          <w:sz w:val="24"/>
          <w:szCs w:val="24"/>
        </w:rPr>
        <w:t>en septembre 2013</w:t>
      </w:r>
      <w:r w:rsidR="00582C18" w:rsidRPr="007668DF">
        <w:rPr>
          <w:rFonts w:ascii="Times New Roman" w:eastAsia="Malgun Gothic" w:hAnsi="Times New Roman"/>
          <w:sz w:val="24"/>
          <w:szCs w:val="24"/>
        </w:rPr>
        <w:t>.</w:t>
      </w:r>
      <w:r w:rsidR="00463557" w:rsidRPr="007668DF">
        <w:rPr>
          <w:rFonts w:ascii="Times New Roman" w:eastAsia="Malgun Gothic" w:hAnsi="Times New Roman"/>
          <w:sz w:val="24"/>
          <w:szCs w:val="24"/>
        </w:rPr>
        <w:t xml:space="preserve"> </w:t>
      </w:r>
    </w:p>
    <w:p w:rsidR="00F378E3" w:rsidRPr="007668DF" w:rsidRDefault="0086130D" w:rsidP="006C2FA0">
      <w:pPr>
        <w:tabs>
          <w:tab w:val="left" w:pos="567"/>
        </w:tabs>
        <w:jc w:val="both"/>
        <w:rPr>
          <w:rFonts w:ascii="Times New Roman" w:eastAsia="Malgun Gothic" w:hAnsi="Times New Roman"/>
          <w:sz w:val="24"/>
          <w:szCs w:val="24"/>
        </w:rPr>
      </w:pPr>
      <w:r>
        <w:rPr>
          <w:rFonts w:ascii="Times New Roman" w:eastAsia="Malgun Gothic" w:hAnsi="Times New Roman"/>
          <w:sz w:val="24"/>
          <w:szCs w:val="24"/>
        </w:rPr>
        <w:t>40</w:t>
      </w:r>
      <w:r w:rsidR="004745E5" w:rsidRPr="007668DF">
        <w:rPr>
          <w:rFonts w:ascii="Times New Roman" w:eastAsia="Malgun Gothic" w:hAnsi="Times New Roman"/>
          <w:sz w:val="24"/>
          <w:szCs w:val="24"/>
        </w:rPr>
        <w:t>.</w:t>
      </w:r>
      <w:r w:rsidR="003718B0" w:rsidRPr="007668DF">
        <w:rPr>
          <w:rFonts w:ascii="Times New Roman" w:eastAsia="Malgun Gothic" w:hAnsi="Times New Roman"/>
          <w:sz w:val="24"/>
          <w:szCs w:val="24"/>
        </w:rPr>
        <w:tab/>
      </w:r>
      <w:r w:rsidR="002D446C" w:rsidRPr="007668DF">
        <w:rPr>
          <w:rFonts w:ascii="Times New Roman" w:eastAsia="Malgun Gothic" w:hAnsi="Times New Roman"/>
          <w:sz w:val="24"/>
          <w:szCs w:val="24"/>
        </w:rPr>
        <w:t xml:space="preserve">Les équipes de la Division des droits de l’homme </w:t>
      </w:r>
      <w:r w:rsidR="00843765">
        <w:rPr>
          <w:rFonts w:ascii="Times New Roman" w:eastAsia="Malgun Gothic" w:hAnsi="Times New Roman"/>
          <w:sz w:val="24"/>
          <w:szCs w:val="24"/>
        </w:rPr>
        <w:t xml:space="preserve">dans le cadre de leurs activités de suivi, </w:t>
      </w:r>
      <w:r w:rsidR="002D446C" w:rsidRPr="007668DF">
        <w:rPr>
          <w:rFonts w:ascii="Times New Roman" w:eastAsia="Malgun Gothic" w:hAnsi="Times New Roman"/>
          <w:sz w:val="24"/>
          <w:szCs w:val="24"/>
        </w:rPr>
        <w:t>ont régulièrement visité l</w:t>
      </w:r>
      <w:r w:rsidR="00E81CFC" w:rsidRPr="007668DF">
        <w:rPr>
          <w:rFonts w:ascii="Times New Roman" w:eastAsia="Malgun Gothic" w:hAnsi="Times New Roman"/>
          <w:sz w:val="24"/>
          <w:szCs w:val="24"/>
        </w:rPr>
        <w:t>es lieux de détention</w:t>
      </w:r>
      <w:r w:rsidR="00E7643B" w:rsidRPr="007668DF">
        <w:rPr>
          <w:rFonts w:ascii="Times New Roman" w:eastAsia="Malgun Gothic" w:hAnsi="Times New Roman"/>
          <w:sz w:val="24"/>
          <w:szCs w:val="24"/>
        </w:rPr>
        <w:t>,</w:t>
      </w:r>
      <w:r w:rsidR="00E81CFC" w:rsidRPr="007668DF">
        <w:rPr>
          <w:rFonts w:ascii="Times New Roman" w:eastAsia="Malgun Gothic" w:hAnsi="Times New Roman"/>
          <w:sz w:val="24"/>
          <w:szCs w:val="24"/>
        </w:rPr>
        <w:t xml:space="preserve"> à Bamako et dans les régions. Les conditions de détention sont en général précaires en raison </w:t>
      </w:r>
      <w:r w:rsidR="00223D88" w:rsidRPr="007668DF">
        <w:rPr>
          <w:rFonts w:ascii="Times New Roman" w:eastAsia="Malgun Gothic" w:hAnsi="Times New Roman"/>
          <w:sz w:val="24"/>
          <w:szCs w:val="24"/>
        </w:rPr>
        <w:t>de</w:t>
      </w:r>
      <w:r w:rsidR="00A11778" w:rsidRPr="007668DF">
        <w:rPr>
          <w:rFonts w:ascii="Times New Roman" w:eastAsia="Malgun Gothic" w:hAnsi="Times New Roman"/>
          <w:sz w:val="24"/>
          <w:szCs w:val="24"/>
        </w:rPr>
        <w:t>s moyens dérisoires affectés à ces structures, ce qui occasionne une</w:t>
      </w:r>
      <w:r w:rsidR="00223D88" w:rsidRPr="007668DF">
        <w:rPr>
          <w:rFonts w:ascii="Times New Roman" w:eastAsia="Malgun Gothic" w:hAnsi="Times New Roman"/>
          <w:sz w:val="24"/>
          <w:szCs w:val="24"/>
        </w:rPr>
        <w:t xml:space="preserve"> surpopulation carcérale</w:t>
      </w:r>
      <w:r w:rsidR="00E81CFC" w:rsidRPr="007668DF">
        <w:rPr>
          <w:rFonts w:ascii="Times New Roman" w:eastAsia="Malgun Gothic" w:hAnsi="Times New Roman"/>
          <w:sz w:val="24"/>
          <w:szCs w:val="24"/>
        </w:rPr>
        <w:t xml:space="preserve">, de l’insalubrité, des mauvaises conditions d’hygiène, </w:t>
      </w:r>
      <w:r w:rsidR="003F3A61">
        <w:rPr>
          <w:rFonts w:ascii="Times New Roman" w:eastAsia="Malgun Gothic" w:hAnsi="Times New Roman"/>
          <w:sz w:val="24"/>
          <w:szCs w:val="24"/>
        </w:rPr>
        <w:t>une</w:t>
      </w:r>
      <w:r w:rsidR="00B51D49">
        <w:rPr>
          <w:rFonts w:ascii="Times New Roman" w:eastAsia="Malgun Gothic" w:hAnsi="Times New Roman"/>
          <w:sz w:val="24"/>
          <w:szCs w:val="24"/>
        </w:rPr>
        <w:t xml:space="preserve"> </w:t>
      </w:r>
      <w:r w:rsidR="002D446C" w:rsidRPr="007668DF">
        <w:rPr>
          <w:rFonts w:ascii="Times New Roman" w:eastAsia="Malgun Gothic" w:hAnsi="Times New Roman"/>
          <w:sz w:val="24"/>
          <w:szCs w:val="24"/>
        </w:rPr>
        <w:t xml:space="preserve">mauvaise alimentation et </w:t>
      </w:r>
      <w:r w:rsidR="003F3A61">
        <w:rPr>
          <w:rFonts w:ascii="Times New Roman" w:eastAsia="Malgun Gothic" w:hAnsi="Times New Roman"/>
          <w:sz w:val="24"/>
          <w:szCs w:val="24"/>
        </w:rPr>
        <w:t xml:space="preserve">un </w:t>
      </w:r>
      <w:r w:rsidR="004745E5" w:rsidRPr="007668DF">
        <w:rPr>
          <w:rFonts w:ascii="Times New Roman" w:eastAsia="Malgun Gothic" w:hAnsi="Times New Roman"/>
          <w:sz w:val="24"/>
          <w:szCs w:val="24"/>
        </w:rPr>
        <w:t>accès</w:t>
      </w:r>
      <w:r w:rsidR="00941C05" w:rsidRPr="007668DF">
        <w:rPr>
          <w:rFonts w:ascii="Times New Roman" w:eastAsia="Malgun Gothic" w:hAnsi="Times New Roman"/>
          <w:sz w:val="24"/>
          <w:szCs w:val="24"/>
        </w:rPr>
        <w:t xml:space="preserve"> difficile aux soins de santé</w:t>
      </w:r>
      <w:r w:rsidR="002D446C" w:rsidRPr="007668DF">
        <w:rPr>
          <w:rFonts w:ascii="Times New Roman" w:eastAsia="Malgun Gothic" w:hAnsi="Times New Roman"/>
          <w:sz w:val="24"/>
          <w:szCs w:val="24"/>
        </w:rPr>
        <w:t>.</w:t>
      </w:r>
      <w:r w:rsidR="00E81CFC" w:rsidRPr="007668DF">
        <w:rPr>
          <w:rFonts w:ascii="Times New Roman" w:eastAsia="Malgun Gothic" w:hAnsi="Times New Roman"/>
          <w:sz w:val="24"/>
          <w:szCs w:val="24"/>
        </w:rPr>
        <w:t xml:space="preserve"> </w:t>
      </w:r>
    </w:p>
    <w:p w:rsidR="00F378E3" w:rsidRPr="007668DF" w:rsidRDefault="0086130D" w:rsidP="006C2FA0">
      <w:pPr>
        <w:tabs>
          <w:tab w:val="left" w:pos="567"/>
        </w:tabs>
        <w:jc w:val="both"/>
        <w:rPr>
          <w:rFonts w:ascii="Times New Roman" w:eastAsia="Malgun Gothic" w:hAnsi="Times New Roman"/>
          <w:sz w:val="24"/>
          <w:szCs w:val="24"/>
        </w:rPr>
      </w:pPr>
      <w:r>
        <w:rPr>
          <w:rFonts w:ascii="Times New Roman" w:eastAsia="Malgun Gothic" w:hAnsi="Times New Roman"/>
          <w:sz w:val="24"/>
          <w:szCs w:val="24"/>
        </w:rPr>
        <w:t>41</w:t>
      </w:r>
      <w:r w:rsidR="00D43C30" w:rsidRPr="007668DF">
        <w:rPr>
          <w:rFonts w:ascii="Times New Roman" w:eastAsia="Malgun Gothic" w:hAnsi="Times New Roman"/>
          <w:sz w:val="24"/>
          <w:szCs w:val="24"/>
        </w:rPr>
        <w:t>.</w:t>
      </w:r>
      <w:r w:rsidR="003718B0" w:rsidRPr="007668DF">
        <w:rPr>
          <w:rFonts w:ascii="Times New Roman" w:eastAsia="Malgun Gothic" w:hAnsi="Times New Roman"/>
          <w:sz w:val="24"/>
          <w:szCs w:val="24"/>
        </w:rPr>
        <w:tab/>
      </w:r>
      <w:r w:rsidR="00E81CFC" w:rsidRPr="007668DF">
        <w:rPr>
          <w:rFonts w:ascii="Times New Roman" w:eastAsia="Malgun Gothic" w:hAnsi="Times New Roman"/>
          <w:sz w:val="24"/>
          <w:szCs w:val="24"/>
        </w:rPr>
        <w:t>En revanche,</w:t>
      </w:r>
      <w:r w:rsidR="004334B6" w:rsidRPr="007668DF">
        <w:rPr>
          <w:rFonts w:ascii="Times New Roman" w:eastAsia="Malgun Gothic" w:hAnsi="Times New Roman"/>
          <w:sz w:val="24"/>
          <w:szCs w:val="24"/>
        </w:rPr>
        <w:t xml:space="preserve"> il convient de rappeler </w:t>
      </w:r>
      <w:r w:rsidR="003F3A61">
        <w:rPr>
          <w:rFonts w:ascii="Times New Roman" w:eastAsia="Malgun Gothic" w:hAnsi="Times New Roman"/>
          <w:sz w:val="24"/>
          <w:szCs w:val="24"/>
        </w:rPr>
        <w:t xml:space="preserve">qu’un seul lieu de détention </w:t>
      </w:r>
      <w:r w:rsidR="003F3A61" w:rsidRPr="007668DF">
        <w:rPr>
          <w:rFonts w:ascii="Times New Roman" w:eastAsia="Malgun Gothic" w:hAnsi="Times New Roman"/>
          <w:sz w:val="24"/>
          <w:szCs w:val="24"/>
        </w:rPr>
        <w:t>a toujours été refusé à la Division des droits de l’homme</w:t>
      </w:r>
      <w:r w:rsidR="003F3A61">
        <w:rPr>
          <w:rFonts w:ascii="Times New Roman" w:eastAsia="Malgun Gothic" w:hAnsi="Times New Roman"/>
          <w:sz w:val="24"/>
          <w:szCs w:val="24"/>
        </w:rPr>
        <w:t> ; il s’agit de</w:t>
      </w:r>
      <w:r w:rsidR="003F3A61" w:rsidRPr="007668DF">
        <w:rPr>
          <w:rFonts w:ascii="Times New Roman" w:eastAsia="Malgun Gothic" w:hAnsi="Times New Roman"/>
          <w:sz w:val="24"/>
          <w:szCs w:val="24"/>
        </w:rPr>
        <w:t xml:space="preserve"> </w:t>
      </w:r>
      <w:r w:rsidR="00AE35D4" w:rsidRPr="007668DF">
        <w:rPr>
          <w:rFonts w:ascii="Times New Roman" w:eastAsia="Malgun Gothic" w:hAnsi="Times New Roman"/>
          <w:sz w:val="24"/>
          <w:szCs w:val="24"/>
        </w:rPr>
        <w:t>l’accès au lieu de détention de la Sécurité d’Etat</w:t>
      </w:r>
      <w:r w:rsidR="007051C7" w:rsidRPr="007668DF">
        <w:rPr>
          <w:rFonts w:ascii="Times New Roman" w:eastAsia="Malgun Gothic" w:hAnsi="Times New Roman"/>
          <w:sz w:val="24"/>
          <w:szCs w:val="24"/>
        </w:rPr>
        <w:t>,</w:t>
      </w:r>
      <w:r w:rsidR="00F808C5" w:rsidRPr="007668DF">
        <w:rPr>
          <w:rFonts w:ascii="Times New Roman" w:eastAsia="Malgun Gothic" w:hAnsi="Times New Roman"/>
          <w:sz w:val="24"/>
          <w:szCs w:val="24"/>
        </w:rPr>
        <w:t xml:space="preserve"> </w:t>
      </w:r>
      <w:r w:rsidR="00AE35D4" w:rsidRPr="007668DF">
        <w:rPr>
          <w:rFonts w:ascii="Times New Roman" w:eastAsia="Malgun Gothic" w:hAnsi="Times New Roman"/>
          <w:sz w:val="24"/>
          <w:szCs w:val="24"/>
        </w:rPr>
        <w:t>les services de renseignement du Mali</w:t>
      </w:r>
      <w:r w:rsidR="00E3634C" w:rsidRPr="007668DF">
        <w:rPr>
          <w:rFonts w:ascii="Times New Roman" w:eastAsia="Malgun Gothic" w:hAnsi="Times New Roman"/>
          <w:sz w:val="24"/>
          <w:szCs w:val="24"/>
        </w:rPr>
        <w:t xml:space="preserve"> </w:t>
      </w:r>
      <w:r w:rsidR="00AE35D4" w:rsidRPr="007668DF">
        <w:rPr>
          <w:rFonts w:ascii="Times New Roman" w:eastAsia="Malgun Gothic" w:hAnsi="Times New Roman"/>
          <w:sz w:val="24"/>
          <w:szCs w:val="24"/>
        </w:rPr>
        <w:t xml:space="preserve">à Bamako. </w:t>
      </w:r>
      <w:r w:rsidR="009449E8" w:rsidRPr="007668DF">
        <w:rPr>
          <w:rFonts w:ascii="Times New Roman" w:eastAsia="Malgun Gothic" w:hAnsi="Times New Roman"/>
          <w:sz w:val="24"/>
          <w:szCs w:val="24"/>
        </w:rPr>
        <w:t>D</w:t>
      </w:r>
      <w:r w:rsidR="00E81CFC" w:rsidRPr="007668DF">
        <w:rPr>
          <w:rFonts w:ascii="Times New Roman" w:eastAsia="Malgun Gothic" w:hAnsi="Times New Roman"/>
          <w:sz w:val="24"/>
          <w:szCs w:val="24"/>
        </w:rPr>
        <w:t>’après les témoignages recueillis, certain</w:t>
      </w:r>
      <w:r w:rsidR="00C74CD3" w:rsidRPr="007668DF">
        <w:rPr>
          <w:rFonts w:ascii="Times New Roman" w:eastAsia="Malgun Gothic" w:hAnsi="Times New Roman"/>
          <w:sz w:val="24"/>
          <w:szCs w:val="24"/>
        </w:rPr>
        <w:t>e</w:t>
      </w:r>
      <w:r w:rsidR="00E81CFC" w:rsidRPr="007668DF">
        <w:rPr>
          <w:rFonts w:ascii="Times New Roman" w:eastAsia="Malgun Gothic" w:hAnsi="Times New Roman"/>
          <w:sz w:val="24"/>
          <w:szCs w:val="24"/>
        </w:rPr>
        <w:t>s</w:t>
      </w:r>
      <w:r w:rsidR="00C74CD3" w:rsidRPr="007668DF">
        <w:rPr>
          <w:rFonts w:ascii="Times New Roman" w:eastAsia="Malgun Gothic" w:hAnsi="Times New Roman"/>
          <w:sz w:val="24"/>
          <w:szCs w:val="24"/>
        </w:rPr>
        <w:t xml:space="preserve"> personnes </w:t>
      </w:r>
      <w:r w:rsidR="009449E8" w:rsidRPr="007668DF">
        <w:rPr>
          <w:rFonts w:ascii="Times New Roman" w:eastAsia="Malgun Gothic" w:hAnsi="Times New Roman"/>
          <w:sz w:val="24"/>
          <w:szCs w:val="24"/>
        </w:rPr>
        <w:t>détenues</w:t>
      </w:r>
      <w:r w:rsidR="00E81CFC" w:rsidRPr="007668DF">
        <w:rPr>
          <w:rFonts w:ascii="Times New Roman" w:eastAsia="Malgun Gothic" w:hAnsi="Times New Roman"/>
          <w:sz w:val="24"/>
          <w:szCs w:val="24"/>
        </w:rPr>
        <w:t xml:space="preserve"> </w:t>
      </w:r>
      <w:r w:rsidR="00C74CD3" w:rsidRPr="007668DF">
        <w:rPr>
          <w:rFonts w:ascii="Times New Roman" w:eastAsia="Malgun Gothic" w:hAnsi="Times New Roman"/>
          <w:sz w:val="24"/>
          <w:szCs w:val="24"/>
        </w:rPr>
        <w:t xml:space="preserve">en relation avec </w:t>
      </w:r>
      <w:r w:rsidR="006F433D" w:rsidRPr="007668DF">
        <w:rPr>
          <w:rFonts w:ascii="Times New Roman" w:eastAsia="Malgun Gothic" w:hAnsi="Times New Roman"/>
          <w:sz w:val="24"/>
          <w:szCs w:val="24"/>
        </w:rPr>
        <w:t>le conflit</w:t>
      </w:r>
      <w:r w:rsidR="00C74CD3" w:rsidRPr="007668DF">
        <w:rPr>
          <w:rFonts w:ascii="Times New Roman" w:eastAsia="Malgun Gothic" w:hAnsi="Times New Roman"/>
          <w:sz w:val="24"/>
          <w:szCs w:val="24"/>
        </w:rPr>
        <w:t xml:space="preserve"> </w:t>
      </w:r>
      <w:r w:rsidR="00223D88" w:rsidRPr="007668DF">
        <w:rPr>
          <w:rFonts w:ascii="Times New Roman" w:eastAsia="Malgun Gothic" w:hAnsi="Times New Roman"/>
          <w:sz w:val="24"/>
          <w:szCs w:val="24"/>
        </w:rPr>
        <w:t xml:space="preserve">y </w:t>
      </w:r>
      <w:r w:rsidR="00C85725" w:rsidRPr="007668DF">
        <w:rPr>
          <w:rFonts w:ascii="Times New Roman" w:eastAsia="Malgun Gothic" w:hAnsi="Times New Roman"/>
          <w:sz w:val="24"/>
          <w:szCs w:val="24"/>
        </w:rPr>
        <w:t xml:space="preserve">auraient </w:t>
      </w:r>
      <w:r w:rsidR="006F433D" w:rsidRPr="007668DF">
        <w:rPr>
          <w:rFonts w:ascii="Times New Roman" w:eastAsia="Malgun Gothic" w:hAnsi="Times New Roman"/>
          <w:sz w:val="24"/>
          <w:szCs w:val="24"/>
        </w:rPr>
        <w:t xml:space="preserve">subi </w:t>
      </w:r>
      <w:r w:rsidR="002D446C" w:rsidRPr="007668DF">
        <w:rPr>
          <w:rFonts w:ascii="Times New Roman" w:eastAsia="Malgun Gothic" w:hAnsi="Times New Roman"/>
          <w:sz w:val="24"/>
          <w:szCs w:val="24"/>
        </w:rPr>
        <w:t>de</w:t>
      </w:r>
      <w:r w:rsidR="006F433D" w:rsidRPr="007668DF">
        <w:rPr>
          <w:rFonts w:ascii="Times New Roman" w:eastAsia="Malgun Gothic" w:hAnsi="Times New Roman"/>
          <w:sz w:val="24"/>
          <w:szCs w:val="24"/>
        </w:rPr>
        <w:t xml:space="preserve"> mauvais traitement</w:t>
      </w:r>
      <w:r w:rsidR="002D446C" w:rsidRPr="007668DF">
        <w:rPr>
          <w:rFonts w:ascii="Times New Roman" w:eastAsia="Malgun Gothic" w:hAnsi="Times New Roman"/>
          <w:sz w:val="24"/>
          <w:szCs w:val="24"/>
        </w:rPr>
        <w:t>s</w:t>
      </w:r>
      <w:r w:rsidR="006F433D" w:rsidRPr="007668DF">
        <w:rPr>
          <w:rFonts w:ascii="Times New Roman" w:eastAsia="Malgun Gothic" w:hAnsi="Times New Roman"/>
          <w:sz w:val="24"/>
          <w:szCs w:val="24"/>
        </w:rPr>
        <w:t xml:space="preserve"> et des actes de torture </w:t>
      </w:r>
      <w:r w:rsidR="00C85725" w:rsidRPr="007668DF">
        <w:rPr>
          <w:rFonts w:ascii="Times New Roman" w:eastAsia="Malgun Gothic" w:hAnsi="Times New Roman"/>
          <w:sz w:val="24"/>
          <w:szCs w:val="24"/>
        </w:rPr>
        <w:t>au cours d</w:t>
      </w:r>
      <w:r w:rsidR="00B51D49">
        <w:rPr>
          <w:rFonts w:ascii="Times New Roman" w:eastAsia="Malgun Gothic" w:hAnsi="Times New Roman"/>
          <w:sz w:val="24"/>
          <w:szCs w:val="24"/>
        </w:rPr>
        <w:t>’</w:t>
      </w:r>
      <w:r w:rsidR="00C85725" w:rsidRPr="007668DF">
        <w:rPr>
          <w:rFonts w:ascii="Times New Roman" w:eastAsia="Malgun Gothic" w:hAnsi="Times New Roman"/>
          <w:sz w:val="24"/>
          <w:szCs w:val="24"/>
        </w:rPr>
        <w:t>interrogatoires</w:t>
      </w:r>
      <w:r w:rsidR="006F433D" w:rsidRPr="007668DF">
        <w:rPr>
          <w:rFonts w:ascii="Times New Roman" w:eastAsia="Malgun Gothic" w:hAnsi="Times New Roman"/>
          <w:sz w:val="24"/>
          <w:szCs w:val="24"/>
        </w:rPr>
        <w:t>.</w:t>
      </w:r>
      <w:r w:rsidR="00C85725" w:rsidRPr="007668DF">
        <w:rPr>
          <w:rFonts w:ascii="Times New Roman" w:eastAsia="Malgun Gothic" w:hAnsi="Times New Roman"/>
          <w:sz w:val="24"/>
          <w:szCs w:val="24"/>
        </w:rPr>
        <w:t xml:space="preserve"> </w:t>
      </w:r>
    </w:p>
    <w:p w:rsidR="001660B5" w:rsidRDefault="00C50FEB" w:rsidP="006C2FA0">
      <w:pPr>
        <w:tabs>
          <w:tab w:val="left" w:pos="567"/>
        </w:tabs>
        <w:jc w:val="both"/>
        <w:rPr>
          <w:rFonts w:ascii="Times New Roman" w:eastAsia="Malgun Gothic" w:hAnsi="Times New Roman"/>
          <w:sz w:val="24"/>
          <w:szCs w:val="24"/>
        </w:rPr>
      </w:pPr>
      <w:r w:rsidRPr="007668DF">
        <w:rPr>
          <w:rFonts w:ascii="Times New Roman" w:eastAsia="Malgun Gothic" w:hAnsi="Times New Roman"/>
          <w:sz w:val="24"/>
          <w:szCs w:val="24"/>
        </w:rPr>
        <w:t>4</w:t>
      </w:r>
      <w:r w:rsidR="0086130D">
        <w:rPr>
          <w:rFonts w:ascii="Times New Roman" w:eastAsia="Malgun Gothic" w:hAnsi="Times New Roman"/>
          <w:sz w:val="24"/>
          <w:szCs w:val="24"/>
        </w:rPr>
        <w:t>2</w:t>
      </w:r>
      <w:r w:rsidR="004745E5" w:rsidRPr="007668DF">
        <w:rPr>
          <w:rFonts w:ascii="Times New Roman" w:eastAsia="Malgun Gothic" w:hAnsi="Times New Roman"/>
          <w:sz w:val="24"/>
          <w:szCs w:val="24"/>
        </w:rPr>
        <w:t>.</w:t>
      </w:r>
      <w:r w:rsidR="00557E68" w:rsidRPr="007668DF">
        <w:rPr>
          <w:rFonts w:ascii="Times New Roman" w:eastAsia="Malgun Gothic" w:hAnsi="Times New Roman"/>
          <w:sz w:val="24"/>
          <w:szCs w:val="24"/>
        </w:rPr>
        <w:tab/>
      </w:r>
      <w:r w:rsidR="00E81CFC" w:rsidRPr="007668DF">
        <w:rPr>
          <w:rFonts w:ascii="Times New Roman" w:eastAsia="Malgun Gothic" w:hAnsi="Times New Roman"/>
          <w:sz w:val="24"/>
          <w:szCs w:val="24"/>
        </w:rPr>
        <w:t>Les conditions de garde à vue sont également préoccupantes à Bamako</w:t>
      </w:r>
      <w:r w:rsidR="005E4ED9" w:rsidRPr="007668DF">
        <w:rPr>
          <w:rFonts w:ascii="Times New Roman" w:eastAsia="Malgun Gothic" w:hAnsi="Times New Roman"/>
          <w:sz w:val="24"/>
          <w:szCs w:val="24"/>
        </w:rPr>
        <w:t xml:space="preserve"> et d</w:t>
      </w:r>
      <w:r w:rsidR="00E81CFC" w:rsidRPr="007668DF">
        <w:rPr>
          <w:rFonts w:ascii="Times New Roman" w:eastAsia="Malgun Gothic" w:hAnsi="Times New Roman"/>
          <w:sz w:val="24"/>
          <w:szCs w:val="24"/>
        </w:rPr>
        <w:t>ans les régions</w:t>
      </w:r>
      <w:r w:rsidR="00CC13D8">
        <w:rPr>
          <w:rFonts w:ascii="Times New Roman" w:eastAsia="Malgun Gothic" w:hAnsi="Times New Roman"/>
          <w:sz w:val="24"/>
          <w:szCs w:val="24"/>
        </w:rPr>
        <w:t>. En effet,</w:t>
      </w:r>
      <w:r w:rsidR="00C85725" w:rsidRPr="007668DF">
        <w:rPr>
          <w:rFonts w:ascii="Times New Roman" w:eastAsia="Malgun Gothic" w:hAnsi="Times New Roman"/>
          <w:sz w:val="24"/>
          <w:szCs w:val="24"/>
        </w:rPr>
        <w:t xml:space="preserve"> le manque d’infrastructure</w:t>
      </w:r>
      <w:r w:rsidR="00223D88" w:rsidRPr="007668DF">
        <w:rPr>
          <w:rFonts w:ascii="Times New Roman" w:eastAsia="Malgun Gothic" w:hAnsi="Times New Roman"/>
          <w:sz w:val="24"/>
          <w:szCs w:val="24"/>
        </w:rPr>
        <w:t>s et d’équipements</w:t>
      </w:r>
      <w:r w:rsidR="00C85725" w:rsidRPr="007668DF">
        <w:rPr>
          <w:rFonts w:ascii="Times New Roman" w:eastAsia="Malgun Gothic" w:hAnsi="Times New Roman"/>
          <w:sz w:val="24"/>
          <w:szCs w:val="24"/>
        </w:rPr>
        <w:t xml:space="preserve"> </w:t>
      </w:r>
      <w:r w:rsidR="00223D88" w:rsidRPr="007668DF">
        <w:rPr>
          <w:rFonts w:ascii="Times New Roman" w:eastAsia="Malgun Gothic" w:hAnsi="Times New Roman"/>
          <w:sz w:val="24"/>
          <w:szCs w:val="24"/>
        </w:rPr>
        <w:t xml:space="preserve">adéquats </w:t>
      </w:r>
      <w:r w:rsidR="00C85725" w:rsidRPr="007668DF">
        <w:rPr>
          <w:rFonts w:ascii="Times New Roman" w:eastAsia="Malgun Gothic" w:hAnsi="Times New Roman"/>
          <w:sz w:val="24"/>
          <w:szCs w:val="24"/>
        </w:rPr>
        <w:t>ne permet pas</w:t>
      </w:r>
      <w:r w:rsidR="00B569AA" w:rsidRPr="007668DF">
        <w:rPr>
          <w:rFonts w:ascii="Times New Roman" w:eastAsia="Malgun Gothic" w:hAnsi="Times New Roman"/>
          <w:sz w:val="24"/>
          <w:szCs w:val="24"/>
        </w:rPr>
        <w:t>,</w:t>
      </w:r>
      <w:r w:rsidR="00C85725" w:rsidRPr="007668DF">
        <w:rPr>
          <w:rFonts w:ascii="Times New Roman" w:eastAsia="Malgun Gothic" w:hAnsi="Times New Roman"/>
          <w:sz w:val="24"/>
          <w:szCs w:val="24"/>
        </w:rPr>
        <w:t xml:space="preserve"> </w:t>
      </w:r>
      <w:r w:rsidR="005A035C" w:rsidRPr="007668DF">
        <w:rPr>
          <w:rFonts w:ascii="Times New Roman" w:eastAsia="Malgun Gothic" w:hAnsi="Times New Roman"/>
          <w:sz w:val="24"/>
          <w:szCs w:val="24"/>
        </w:rPr>
        <w:t>d’une part</w:t>
      </w:r>
      <w:r w:rsidR="00B569AA" w:rsidRPr="007668DF">
        <w:rPr>
          <w:rFonts w:ascii="Times New Roman" w:eastAsia="Malgun Gothic" w:hAnsi="Times New Roman"/>
          <w:sz w:val="24"/>
          <w:szCs w:val="24"/>
        </w:rPr>
        <w:t>,</w:t>
      </w:r>
      <w:r w:rsidR="005A035C" w:rsidRPr="007668DF">
        <w:rPr>
          <w:rFonts w:ascii="Times New Roman" w:eastAsia="Malgun Gothic" w:hAnsi="Times New Roman"/>
          <w:sz w:val="24"/>
          <w:szCs w:val="24"/>
        </w:rPr>
        <w:t xml:space="preserve"> </w:t>
      </w:r>
      <w:r w:rsidR="00C85725" w:rsidRPr="007668DF">
        <w:rPr>
          <w:rFonts w:ascii="Times New Roman" w:eastAsia="Malgun Gothic" w:hAnsi="Times New Roman"/>
          <w:sz w:val="24"/>
          <w:szCs w:val="24"/>
        </w:rPr>
        <w:t xml:space="preserve">aux officiers de police </w:t>
      </w:r>
      <w:r w:rsidR="005A035C" w:rsidRPr="007668DF">
        <w:rPr>
          <w:rFonts w:ascii="Times New Roman" w:eastAsia="Malgun Gothic" w:hAnsi="Times New Roman"/>
          <w:sz w:val="24"/>
          <w:szCs w:val="24"/>
        </w:rPr>
        <w:t xml:space="preserve">judiciaire de travailler </w:t>
      </w:r>
      <w:r w:rsidR="005A035C" w:rsidRPr="007668DF">
        <w:rPr>
          <w:rFonts w:ascii="Times New Roman" w:eastAsia="Malgun Gothic" w:hAnsi="Times New Roman"/>
          <w:sz w:val="24"/>
          <w:szCs w:val="24"/>
        </w:rPr>
        <w:lastRenderedPageBreak/>
        <w:t>d</w:t>
      </w:r>
      <w:r w:rsidR="002D446C" w:rsidRPr="007668DF">
        <w:rPr>
          <w:rFonts w:ascii="Times New Roman" w:eastAsia="Malgun Gothic" w:hAnsi="Times New Roman"/>
          <w:sz w:val="24"/>
          <w:szCs w:val="24"/>
        </w:rPr>
        <w:t>e</w:t>
      </w:r>
      <w:r w:rsidR="005A035C" w:rsidRPr="007668DF">
        <w:rPr>
          <w:rFonts w:ascii="Times New Roman" w:eastAsia="Malgun Gothic" w:hAnsi="Times New Roman"/>
          <w:sz w:val="24"/>
          <w:szCs w:val="24"/>
        </w:rPr>
        <w:t xml:space="preserve"> manière professionnelle et</w:t>
      </w:r>
      <w:r w:rsidR="00B569AA" w:rsidRPr="007668DF">
        <w:rPr>
          <w:rFonts w:ascii="Times New Roman" w:eastAsia="Malgun Gothic" w:hAnsi="Times New Roman"/>
          <w:sz w:val="24"/>
          <w:szCs w:val="24"/>
        </w:rPr>
        <w:t>,</w:t>
      </w:r>
      <w:r w:rsidR="005A035C" w:rsidRPr="007668DF">
        <w:rPr>
          <w:rFonts w:ascii="Times New Roman" w:eastAsia="Malgun Gothic" w:hAnsi="Times New Roman"/>
          <w:sz w:val="24"/>
          <w:szCs w:val="24"/>
        </w:rPr>
        <w:t xml:space="preserve"> </w:t>
      </w:r>
      <w:r w:rsidR="004745E5" w:rsidRPr="007668DF">
        <w:rPr>
          <w:rFonts w:ascii="Times New Roman" w:eastAsia="Malgun Gothic" w:hAnsi="Times New Roman"/>
          <w:sz w:val="24"/>
          <w:szCs w:val="24"/>
        </w:rPr>
        <w:t>d’autre</w:t>
      </w:r>
      <w:r w:rsidR="005A035C" w:rsidRPr="007668DF">
        <w:rPr>
          <w:rFonts w:ascii="Times New Roman" w:eastAsia="Malgun Gothic" w:hAnsi="Times New Roman"/>
          <w:sz w:val="24"/>
          <w:szCs w:val="24"/>
        </w:rPr>
        <w:t xml:space="preserve"> part</w:t>
      </w:r>
      <w:r w:rsidR="00B569AA" w:rsidRPr="007668DF">
        <w:rPr>
          <w:rFonts w:ascii="Times New Roman" w:eastAsia="Malgun Gothic" w:hAnsi="Times New Roman"/>
          <w:sz w:val="24"/>
          <w:szCs w:val="24"/>
        </w:rPr>
        <w:t>,</w:t>
      </w:r>
      <w:r w:rsidR="005A035C" w:rsidRPr="007668DF">
        <w:rPr>
          <w:rFonts w:ascii="Times New Roman" w:eastAsia="Malgun Gothic" w:hAnsi="Times New Roman"/>
          <w:sz w:val="24"/>
          <w:szCs w:val="24"/>
        </w:rPr>
        <w:t xml:space="preserve"> aux justiciables de bénéficier de leur droit </w:t>
      </w:r>
      <w:r w:rsidR="007737FC" w:rsidRPr="007668DF">
        <w:rPr>
          <w:rFonts w:ascii="Times New Roman" w:eastAsia="Malgun Gothic" w:hAnsi="Times New Roman"/>
          <w:sz w:val="24"/>
          <w:szCs w:val="24"/>
        </w:rPr>
        <w:t>à la</w:t>
      </w:r>
      <w:r w:rsidR="005A035C" w:rsidRPr="007668DF">
        <w:rPr>
          <w:rFonts w:ascii="Times New Roman" w:eastAsia="Malgun Gothic" w:hAnsi="Times New Roman"/>
          <w:sz w:val="24"/>
          <w:szCs w:val="24"/>
        </w:rPr>
        <w:t xml:space="preserve"> confidentialité pendant les </w:t>
      </w:r>
      <w:r w:rsidR="005D01B6" w:rsidRPr="007668DF">
        <w:rPr>
          <w:rFonts w:ascii="Times New Roman" w:eastAsia="Malgun Gothic" w:hAnsi="Times New Roman"/>
          <w:sz w:val="24"/>
          <w:szCs w:val="24"/>
        </w:rPr>
        <w:t xml:space="preserve">auditions. </w:t>
      </w:r>
    </w:p>
    <w:p w:rsidR="00135527" w:rsidRPr="007668DF" w:rsidRDefault="005109FC" w:rsidP="003B152B">
      <w:pPr>
        <w:pStyle w:val="Subtitle"/>
        <w:rPr>
          <w:rFonts w:eastAsia="Malgun Gothic"/>
        </w:rPr>
      </w:pPr>
      <w:bookmarkStart w:id="12" w:name="_Toc401931492"/>
      <w:r w:rsidRPr="007668DF">
        <w:rPr>
          <w:rFonts w:eastAsia="Malgun Gothic"/>
        </w:rPr>
        <w:t>Abus</w:t>
      </w:r>
      <w:r w:rsidR="00135527" w:rsidRPr="007668DF">
        <w:rPr>
          <w:rFonts w:eastAsia="Malgun Gothic"/>
        </w:rPr>
        <w:t xml:space="preserve"> des droits de l’homme </w:t>
      </w:r>
      <w:r w:rsidR="00583C8A">
        <w:rPr>
          <w:rFonts w:eastAsia="Malgun Gothic"/>
        </w:rPr>
        <w:t xml:space="preserve">et du droit international humanitaire </w:t>
      </w:r>
      <w:r w:rsidR="00135527" w:rsidRPr="007668DF">
        <w:rPr>
          <w:rFonts w:eastAsia="Malgun Gothic"/>
        </w:rPr>
        <w:t>commis par les groupes armés</w:t>
      </w:r>
      <w:bookmarkEnd w:id="12"/>
    </w:p>
    <w:p w:rsidR="00621FA5" w:rsidRPr="007668DF" w:rsidRDefault="00C50FEB" w:rsidP="006C2FA0">
      <w:pPr>
        <w:tabs>
          <w:tab w:val="left" w:pos="567"/>
        </w:tabs>
        <w:jc w:val="both"/>
        <w:rPr>
          <w:rFonts w:ascii="Times New Roman" w:eastAsia="Malgun Gothic" w:hAnsi="Times New Roman"/>
          <w:i/>
          <w:sz w:val="24"/>
          <w:szCs w:val="24"/>
        </w:rPr>
      </w:pPr>
      <w:r w:rsidRPr="007668DF">
        <w:rPr>
          <w:rFonts w:ascii="Times New Roman" w:eastAsia="Malgun Gothic" w:hAnsi="Times New Roman"/>
          <w:sz w:val="24"/>
          <w:szCs w:val="24"/>
        </w:rPr>
        <w:t>4</w:t>
      </w:r>
      <w:r w:rsidR="0086130D">
        <w:rPr>
          <w:rFonts w:ascii="Times New Roman" w:eastAsia="Malgun Gothic" w:hAnsi="Times New Roman"/>
          <w:sz w:val="24"/>
          <w:szCs w:val="24"/>
        </w:rPr>
        <w:t>3</w:t>
      </w:r>
      <w:r w:rsidR="00557E68" w:rsidRPr="007668DF">
        <w:rPr>
          <w:rFonts w:ascii="Times New Roman" w:eastAsia="Malgun Gothic" w:hAnsi="Times New Roman"/>
          <w:sz w:val="24"/>
          <w:szCs w:val="24"/>
        </w:rPr>
        <w:t>.</w:t>
      </w:r>
      <w:r w:rsidR="00557E68" w:rsidRPr="007668DF">
        <w:rPr>
          <w:rFonts w:ascii="Times New Roman" w:eastAsia="Malgun Gothic" w:hAnsi="Times New Roman"/>
          <w:sz w:val="24"/>
          <w:szCs w:val="24"/>
        </w:rPr>
        <w:tab/>
      </w:r>
      <w:r w:rsidR="002D446C" w:rsidRPr="007668DF">
        <w:rPr>
          <w:rFonts w:ascii="Times New Roman" w:eastAsia="Malgun Gothic" w:hAnsi="Times New Roman"/>
          <w:sz w:val="24"/>
          <w:szCs w:val="24"/>
        </w:rPr>
        <w:t>L</w:t>
      </w:r>
      <w:r w:rsidR="00135527" w:rsidRPr="007668DF">
        <w:rPr>
          <w:rFonts w:ascii="Times New Roman" w:eastAsia="Malgun Gothic" w:hAnsi="Times New Roman"/>
          <w:sz w:val="24"/>
          <w:szCs w:val="24"/>
        </w:rPr>
        <w:t xml:space="preserve">a Division des droits de l’homme fait la distinction entre </w:t>
      </w:r>
      <w:r w:rsidR="003F3A61">
        <w:rPr>
          <w:rFonts w:ascii="Times New Roman" w:eastAsia="Malgun Gothic" w:hAnsi="Times New Roman"/>
          <w:sz w:val="24"/>
          <w:szCs w:val="24"/>
        </w:rPr>
        <w:t xml:space="preserve">les </w:t>
      </w:r>
      <w:r w:rsidR="00135527" w:rsidRPr="007668DF">
        <w:rPr>
          <w:rFonts w:ascii="Times New Roman" w:eastAsia="Malgun Gothic" w:hAnsi="Times New Roman"/>
          <w:sz w:val="24"/>
          <w:szCs w:val="24"/>
        </w:rPr>
        <w:t xml:space="preserve">groupes armés ayant signé l’Accord préliminaire </w:t>
      </w:r>
      <w:r w:rsidR="00223D88" w:rsidRPr="007668DF">
        <w:rPr>
          <w:rFonts w:ascii="Times New Roman" w:eastAsia="Malgun Gothic" w:hAnsi="Times New Roman"/>
          <w:sz w:val="24"/>
          <w:szCs w:val="24"/>
        </w:rPr>
        <w:t>d</w:t>
      </w:r>
      <w:r w:rsidR="002D446C" w:rsidRPr="007668DF">
        <w:rPr>
          <w:rFonts w:ascii="Times New Roman" w:eastAsia="Malgun Gothic" w:hAnsi="Times New Roman"/>
          <w:sz w:val="24"/>
          <w:szCs w:val="24"/>
        </w:rPr>
        <w:t>e</w:t>
      </w:r>
      <w:r w:rsidR="005109FC" w:rsidRPr="007668DF">
        <w:rPr>
          <w:rFonts w:ascii="Times New Roman" w:eastAsia="Malgun Gothic" w:hAnsi="Times New Roman"/>
          <w:sz w:val="24"/>
          <w:szCs w:val="24"/>
        </w:rPr>
        <w:t xml:space="preserve"> </w:t>
      </w:r>
      <w:r w:rsidR="00223D88" w:rsidRPr="007668DF">
        <w:rPr>
          <w:rFonts w:ascii="Times New Roman" w:eastAsia="Malgun Gothic" w:hAnsi="Times New Roman"/>
          <w:sz w:val="24"/>
          <w:szCs w:val="24"/>
        </w:rPr>
        <w:t>Ouagadougou</w:t>
      </w:r>
      <w:r w:rsidR="00135527" w:rsidRPr="007668DF">
        <w:rPr>
          <w:rFonts w:ascii="Times New Roman" w:eastAsia="Malgun Gothic" w:hAnsi="Times New Roman"/>
          <w:sz w:val="24"/>
          <w:szCs w:val="24"/>
        </w:rPr>
        <w:t xml:space="preserve"> et</w:t>
      </w:r>
      <w:r w:rsidR="007737FC" w:rsidRPr="007668DF">
        <w:rPr>
          <w:rFonts w:ascii="Times New Roman" w:eastAsia="Malgun Gothic" w:hAnsi="Times New Roman"/>
          <w:sz w:val="24"/>
          <w:szCs w:val="24"/>
        </w:rPr>
        <w:t xml:space="preserve"> les</w:t>
      </w:r>
      <w:r w:rsidR="00135527" w:rsidRPr="007668DF">
        <w:rPr>
          <w:rFonts w:ascii="Times New Roman" w:eastAsia="Malgun Gothic" w:hAnsi="Times New Roman"/>
          <w:sz w:val="24"/>
          <w:szCs w:val="24"/>
        </w:rPr>
        <w:t xml:space="preserve"> autres groupes, y compris les groupes</w:t>
      </w:r>
      <w:r w:rsidR="00F47D98">
        <w:rPr>
          <w:rFonts w:ascii="Times New Roman" w:eastAsia="Malgun Gothic" w:hAnsi="Times New Roman"/>
          <w:sz w:val="24"/>
          <w:szCs w:val="24"/>
        </w:rPr>
        <w:t xml:space="preserve"> armés</w:t>
      </w:r>
      <w:r w:rsidR="00135527" w:rsidRPr="007668DF">
        <w:rPr>
          <w:rFonts w:ascii="Times New Roman" w:eastAsia="Malgun Gothic" w:hAnsi="Times New Roman"/>
          <w:sz w:val="24"/>
          <w:szCs w:val="24"/>
        </w:rPr>
        <w:t xml:space="preserve"> </w:t>
      </w:r>
      <w:r w:rsidR="00D049C0">
        <w:rPr>
          <w:rFonts w:ascii="Times New Roman" w:eastAsia="Malgun Gothic" w:hAnsi="Times New Roman"/>
          <w:sz w:val="24"/>
          <w:szCs w:val="24"/>
        </w:rPr>
        <w:t>extrémistes</w:t>
      </w:r>
      <w:r w:rsidR="00135527" w:rsidRPr="007668DF">
        <w:rPr>
          <w:rFonts w:ascii="Times New Roman" w:eastAsia="Malgun Gothic" w:hAnsi="Times New Roman"/>
          <w:sz w:val="24"/>
          <w:szCs w:val="24"/>
        </w:rPr>
        <w:t xml:space="preserve">. Cette distinction a toute son importance </w:t>
      </w:r>
      <w:r w:rsidR="002D446C" w:rsidRPr="007668DF">
        <w:rPr>
          <w:rFonts w:ascii="Times New Roman" w:eastAsia="Malgun Gothic" w:hAnsi="Times New Roman"/>
          <w:sz w:val="24"/>
          <w:szCs w:val="24"/>
        </w:rPr>
        <w:t xml:space="preserve">pour </w:t>
      </w:r>
      <w:r w:rsidR="00135527" w:rsidRPr="007668DF">
        <w:rPr>
          <w:rFonts w:ascii="Times New Roman" w:eastAsia="Malgun Gothic" w:hAnsi="Times New Roman"/>
          <w:sz w:val="24"/>
          <w:szCs w:val="24"/>
        </w:rPr>
        <w:t xml:space="preserve">la compréhension du contexte de l’Accord préliminaire </w:t>
      </w:r>
      <w:r w:rsidR="00223D88" w:rsidRPr="007668DF">
        <w:rPr>
          <w:rFonts w:ascii="Times New Roman" w:eastAsia="Malgun Gothic" w:hAnsi="Times New Roman"/>
          <w:sz w:val="24"/>
          <w:szCs w:val="24"/>
        </w:rPr>
        <w:t>d</w:t>
      </w:r>
      <w:r w:rsidR="002D446C" w:rsidRPr="007668DF">
        <w:rPr>
          <w:rFonts w:ascii="Times New Roman" w:eastAsia="Malgun Gothic" w:hAnsi="Times New Roman"/>
          <w:sz w:val="24"/>
          <w:szCs w:val="24"/>
        </w:rPr>
        <w:t xml:space="preserve">e </w:t>
      </w:r>
      <w:r w:rsidR="00223D88" w:rsidRPr="007668DF">
        <w:rPr>
          <w:rFonts w:ascii="Times New Roman" w:eastAsia="Malgun Gothic" w:hAnsi="Times New Roman"/>
          <w:sz w:val="24"/>
          <w:szCs w:val="24"/>
        </w:rPr>
        <w:t>Ouagadougou</w:t>
      </w:r>
      <w:r w:rsidR="002D446C" w:rsidRPr="007668DF">
        <w:rPr>
          <w:rFonts w:ascii="Times New Roman" w:eastAsia="Malgun Gothic" w:hAnsi="Times New Roman"/>
          <w:sz w:val="24"/>
          <w:szCs w:val="24"/>
        </w:rPr>
        <w:t>,</w:t>
      </w:r>
      <w:r w:rsidR="00135527" w:rsidRPr="007668DF">
        <w:rPr>
          <w:rFonts w:ascii="Times New Roman" w:eastAsia="Malgun Gothic" w:hAnsi="Times New Roman"/>
          <w:sz w:val="24"/>
          <w:szCs w:val="24"/>
        </w:rPr>
        <w:t xml:space="preserve"> qui a accordé un statut officiel au MNLA</w:t>
      </w:r>
      <w:r w:rsidR="00843765">
        <w:rPr>
          <w:rFonts w:ascii="Times New Roman" w:eastAsia="Malgun Gothic" w:hAnsi="Times New Roman"/>
          <w:sz w:val="24"/>
          <w:szCs w:val="24"/>
        </w:rPr>
        <w:t xml:space="preserve"> et</w:t>
      </w:r>
      <w:r w:rsidR="00135527" w:rsidRPr="007668DF">
        <w:rPr>
          <w:rFonts w:ascii="Times New Roman" w:eastAsia="Malgun Gothic" w:hAnsi="Times New Roman"/>
          <w:sz w:val="24"/>
          <w:szCs w:val="24"/>
        </w:rPr>
        <w:t xml:space="preserve"> </w:t>
      </w:r>
      <w:r w:rsidR="007737FC" w:rsidRPr="007668DF">
        <w:rPr>
          <w:rFonts w:ascii="Times New Roman" w:eastAsia="Malgun Gothic" w:hAnsi="Times New Roman"/>
          <w:sz w:val="24"/>
          <w:szCs w:val="24"/>
        </w:rPr>
        <w:t xml:space="preserve">au </w:t>
      </w:r>
      <w:r w:rsidR="00135527" w:rsidRPr="007668DF">
        <w:rPr>
          <w:rFonts w:ascii="Times New Roman" w:eastAsia="Malgun Gothic" w:hAnsi="Times New Roman"/>
          <w:sz w:val="24"/>
          <w:szCs w:val="24"/>
        </w:rPr>
        <w:t xml:space="preserve">HCUA </w:t>
      </w:r>
      <w:r w:rsidR="00A33D12">
        <w:rPr>
          <w:rFonts w:ascii="Times New Roman" w:eastAsia="Malgun Gothic" w:hAnsi="Times New Roman"/>
          <w:sz w:val="24"/>
          <w:szCs w:val="24"/>
        </w:rPr>
        <w:t xml:space="preserve"> </w:t>
      </w:r>
      <w:r w:rsidR="00135527" w:rsidRPr="007668DF">
        <w:rPr>
          <w:rFonts w:ascii="Times New Roman" w:eastAsia="Malgun Gothic" w:hAnsi="Times New Roman"/>
          <w:sz w:val="24"/>
          <w:szCs w:val="24"/>
        </w:rPr>
        <w:t>en tant que signataires de cet instrument.</w:t>
      </w:r>
      <w:r w:rsidR="000B2221" w:rsidRPr="007668DF">
        <w:rPr>
          <w:rFonts w:ascii="Times New Roman" w:eastAsia="Malgun Gothic" w:hAnsi="Times New Roman"/>
          <w:i/>
          <w:sz w:val="24"/>
          <w:szCs w:val="24"/>
        </w:rPr>
        <w:tab/>
      </w:r>
      <w:r w:rsidR="000B2221" w:rsidRPr="007668DF">
        <w:rPr>
          <w:rFonts w:ascii="Times New Roman" w:eastAsia="Malgun Gothic" w:hAnsi="Times New Roman"/>
          <w:i/>
          <w:sz w:val="24"/>
          <w:szCs w:val="24"/>
        </w:rPr>
        <w:tab/>
      </w:r>
    </w:p>
    <w:p w:rsidR="000B2221" w:rsidRPr="007668DF" w:rsidRDefault="001660B5" w:rsidP="006C2FA0">
      <w:pPr>
        <w:tabs>
          <w:tab w:val="left" w:pos="567"/>
        </w:tabs>
        <w:jc w:val="both"/>
        <w:rPr>
          <w:rFonts w:ascii="Times New Roman" w:eastAsia="Malgun Gothic" w:hAnsi="Times New Roman"/>
          <w:sz w:val="24"/>
          <w:szCs w:val="24"/>
        </w:rPr>
      </w:pPr>
      <w:r>
        <w:rPr>
          <w:rFonts w:ascii="Times New Roman" w:eastAsia="Malgun Gothic" w:hAnsi="Times New Roman"/>
          <w:i/>
          <w:sz w:val="24"/>
          <w:szCs w:val="24"/>
        </w:rPr>
        <w:tab/>
      </w:r>
      <w:r w:rsidR="000B2221" w:rsidRPr="007668DF">
        <w:rPr>
          <w:rFonts w:ascii="Times New Roman" w:eastAsia="Malgun Gothic" w:hAnsi="Times New Roman"/>
          <w:i/>
          <w:sz w:val="24"/>
          <w:szCs w:val="24"/>
        </w:rPr>
        <w:t>Atteinte au droit à la vie</w:t>
      </w:r>
    </w:p>
    <w:p w:rsidR="00135527" w:rsidRPr="007668DF" w:rsidRDefault="00C50FEB" w:rsidP="006C2FA0">
      <w:pPr>
        <w:tabs>
          <w:tab w:val="left" w:pos="567"/>
        </w:tabs>
        <w:jc w:val="both"/>
        <w:rPr>
          <w:rFonts w:ascii="Times New Roman" w:eastAsia="Malgun Gothic" w:hAnsi="Times New Roman"/>
          <w:sz w:val="24"/>
          <w:szCs w:val="24"/>
        </w:rPr>
      </w:pPr>
      <w:r w:rsidRPr="007668DF">
        <w:rPr>
          <w:rFonts w:ascii="Times New Roman" w:eastAsia="Malgun Gothic" w:hAnsi="Times New Roman"/>
          <w:sz w:val="24"/>
          <w:szCs w:val="24"/>
        </w:rPr>
        <w:t>4</w:t>
      </w:r>
      <w:r w:rsidR="0086130D">
        <w:rPr>
          <w:rFonts w:ascii="Times New Roman" w:eastAsia="Malgun Gothic" w:hAnsi="Times New Roman"/>
          <w:sz w:val="24"/>
          <w:szCs w:val="24"/>
        </w:rPr>
        <w:t>4</w:t>
      </w:r>
      <w:r w:rsidR="00135527" w:rsidRPr="007668DF">
        <w:rPr>
          <w:rFonts w:ascii="Times New Roman" w:eastAsia="Malgun Gothic" w:hAnsi="Times New Roman"/>
          <w:sz w:val="24"/>
          <w:szCs w:val="24"/>
        </w:rPr>
        <w:t>.</w:t>
      </w:r>
      <w:r w:rsidR="00135527" w:rsidRPr="007668DF">
        <w:rPr>
          <w:rFonts w:ascii="Times New Roman" w:eastAsia="Malgun Gothic" w:hAnsi="Times New Roman"/>
          <w:sz w:val="24"/>
          <w:szCs w:val="24"/>
        </w:rPr>
        <w:tab/>
      </w:r>
      <w:r w:rsidR="00B71A48" w:rsidRPr="007668DF">
        <w:rPr>
          <w:rFonts w:ascii="Times New Roman" w:eastAsia="Malgun Gothic" w:hAnsi="Times New Roman"/>
          <w:sz w:val="24"/>
          <w:szCs w:val="24"/>
        </w:rPr>
        <w:t>D</w:t>
      </w:r>
      <w:r w:rsidR="00135527" w:rsidRPr="007668DF">
        <w:rPr>
          <w:rFonts w:ascii="Times New Roman" w:eastAsia="Malgun Gothic" w:hAnsi="Times New Roman"/>
          <w:sz w:val="24"/>
          <w:szCs w:val="24"/>
        </w:rPr>
        <w:t xml:space="preserve">es attaques indiscriminées et </w:t>
      </w:r>
      <w:r w:rsidR="00B71A48" w:rsidRPr="007668DF">
        <w:rPr>
          <w:rFonts w:ascii="Times New Roman" w:eastAsia="Malgun Gothic" w:hAnsi="Times New Roman"/>
          <w:sz w:val="24"/>
          <w:szCs w:val="24"/>
        </w:rPr>
        <w:t>d</w:t>
      </w:r>
      <w:r w:rsidR="007737FC" w:rsidRPr="007668DF">
        <w:rPr>
          <w:rFonts w:ascii="Times New Roman" w:eastAsia="Malgun Gothic" w:hAnsi="Times New Roman"/>
          <w:sz w:val="24"/>
          <w:szCs w:val="24"/>
        </w:rPr>
        <w:t xml:space="preserve">es </w:t>
      </w:r>
      <w:r w:rsidR="00135527" w:rsidRPr="007668DF">
        <w:rPr>
          <w:rFonts w:ascii="Times New Roman" w:eastAsia="Malgun Gothic" w:hAnsi="Times New Roman"/>
          <w:sz w:val="24"/>
          <w:szCs w:val="24"/>
        </w:rPr>
        <w:t xml:space="preserve">actes </w:t>
      </w:r>
      <w:r w:rsidR="009B165D" w:rsidRPr="007668DF">
        <w:rPr>
          <w:rFonts w:ascii="Times New Roman" w:eastAsia="Malgun Gothic" w:hAnsi="Times New Roman"/>
          <w:sz w:val="24"/>
          <w:szCs w:val="24"/>
        </w:rPr>
        <w:t xml:space="preserve">visant à répandre la terreur au sein de la population civile </w:t>
      </w:r>
      <w:r w:rsidR="00135527" w:rsidRPr="007668DF">
        <w:rPr>
          <w:rFonts w:ascii="Times New Roman" w:eastAsia="Malgun Gothic" w:hAnsi="Times New Roman"/>
          <w:sz w:val="24"/>
          <w:szCs w:val="24"/>
        </w:rPr>
        <w:t xml:space="preserve">perpétrés par les groupes armés au nord du Mali font régulièrement l’objet de surveillance par la Division des droits de l’homme. Avant la période couverte par le présent rapport, </w:t>
      </w:r>
      <w:r w:rsidR="00B454AE" w:rsidRPr="007668DF">
        <w:rPr>
          <w:rFonts w:ascii="Times New Roman" w:eastAsia="Malgun Gothic" w:hAnsi="Times New Roman"/>
          <w:sz w:val="24"/>
          <w:szCs w:val="24"/>
        </w:rPr>
        <w:t xml:space="preserve">la Division des droits de l’homme avait ainsi </w:t>
      </w:r>
      <w:r w:rsidR="005E4ED9" w:rsidRPr="007668DF">
        <w:rPr>
          <w:rFonts w:ascii="Times New Roman" w:eastAsia="Malgun Gothic" w:hAnsi="Times New Roman"/>
          <w:sz w:val="24"/>
          <w:szCs w:val="24"/>
        </w:rPr>
        <w:t>répertorié</w:t>
      </w:r>
      <w:r w:rsidR="00B454AE" w:rsidRPr="007668DF">
        <w:rPr>
          <w:rFonts w:ascii="Times New Roman" w:eastAsia="Malgun Gothic" w:hAnsi="Times New Roman"/>
          <w:sz w:val="24"/>
          <w:szCs w:val="24"/>
        </w:rPr>
        <w:t xml:space="preserve"> </w:t>
      </w:r>
      <w:r w:rsidR="003F3A61">
        <w:rPr>
          <w:rFonts w:ascii="Times New Roman" w:eastAsia="Malgun Gothic" w:hAnsi="Times New Roman"/>
          <w:sz w:val="24"/>
          <w:szCs w:val="24"/>
        </w:rPr>
        <w:t>plusieur</w:t>
      </w:r>
      <w:r w:rsidR="003F3A61" w:rsidRPr="007668DF">
        <w:rPr>
          <w:rFonts w:ascii="Times New Roman" w:eastAsia="Malgun Gothic" w:hAnsi="Times New Roman"/>
          <w:sz w:val="24"/>
          <w:szCs w:val="24"/>
        </w:rPr>
        <w:t xml:space="preserve">s </w:t>
      </w:r>
      <w:r w:rsidR="00135527" w:rsidRPr="007668DF">
        <w:rPr>
          <w:rFonts w:ascii="Times New Roman" w:eastAsia="Malgun Gothic" w:hAnsi="Times New Roman"/>
          <w:sz w:val="24"/>
          <w:szCs w:val="24"/>
        </w:rPr>
        <w:t>attaques</w:t>
      </w:r>
      <w:r w:rsidR="00B454AE" w:rsidRPr="007668DF">
        <w:rPr>
          <w:rFonts w:ascii="Times New Roman" w:eastAsia="Malgun Gothic" w:hAnsi="Times New Roman"/>
          <w:sz w:val="24"/>
          <w:szCs w:val="24"/>
        </w:rPr>
        <w:t> :</w:t>
      </w:r>
      <w:r w:rsidR="00135527" w:rsidRPr="007668DF">
        <w:rPr>
          <w:rFonts w:ascii="Times New Roman" w:eastAsia="Malgun Gothic" w:hAnsi="Times New Roman"/>
          <w:sz w:val="24"/>
          <w:szCs w:val="24"/>
        </w:rPr>
        <w:t xml:space="preserve"> </w:t>
      </w:r>
      <w:r w:rsidR="00B454AE" w:rsidRPr="007668DF">
        <w:rPr>
          <w:rFonts w:ascii="Times New Roman" w:eastAsia="Malgun Gothic" w:hAnsi="Times New Roman"/>
          <w:sz w:val="24"/>
          <w:szCs w:val="24"/>
        </w:rPr>
        <w:t>l</w:t>
      </w:r>
      <w:r w:rsidR="00135527" w:rsidRPr="007668DF">
        <w:rPr>
          <w:rFonts w:ascii="Times New Roman" w:eastAsia="Malgun Gothic" w:hAnsi="Times New Roman"/>
          <w:sz w:val="24"/>
          <w:szCs w:val="24"/>
        </w:rPr>
        <w:t>e 7 octobre</w:t>
      </w:r>
      <w:r w:rsidR="00882BA8" w:rsidRPr="007668DF">
        <w:rPr>
          <w:rFonts w:ascii="Times New Roman" w:eastAsia="Malgun Gothic" w:hAnsi="Times New Roman"/>
          <w:sz w:val="24"/>
          <w:szCs w:val="24"/>
        </w:rPr>
        <w:t xml:space="preserve"> 2013</w:t>
      </w:r>
      <w:r w:rsidR="00135527" w:rsidRPr="007668DF">
        <w:rPr>
          <w:rFonts w:ascii="Times New Roman" w:eastAsia="Malgun Gothic" w:hAnsi="Times New Roman"/>
          <w:sz w:val="24"/>
          <w:szCs w:val="24"/>
        </w:rPr>
        <w:t xml:space="preserve">, </w:t>
      </w:r>
      <w:r w:rsidR="00CC13D8">
        <w:rPr>
          <w:rFonts w:ascii="Times New Roman" w:eastAsia="Malgun Gothic" w:hAnsi="Times New Roman"/>
          <w:sz w:val="24"/>
          <w:szCs w:val="24"/>
        </w:rPr>
        <w:t>4</w:t>
      </w:r>
      <w:r w:rsidR="00CC13D8" w:rsidRPr="007668DF">
        <w:rPr>
          <w:rFonts w:ascii="Times New Roman" w:eastAsia="Malgun Gothic" w:hAnsi="Times New Roman"/>
          <w:sz w:val="24"/>
          <w:szCs w:val="24"/>
        </w:rPr>
        <w:t xml:space="preserve"> </w:t>
      </w:r>
      <w:r w:rsidR="00135527" w:rsidRPr="007668DF">
        <w:rPr>
          <w:rFonts w:ascii="Times New Roman" w:eastAsia="Malgun Gothic" w:hAnsi="Times New Roman"/>
          <w:sz w:val="24"/>
          <w:szCs w:val="24"/>
        </w:rPr>
        <w:t xml:space="preserve">roquettes </w:t>
      </w:r>
      <w:r w:rsidR="00B454AE" w:rsidRPr="007668DF">
        <w:rPr>
          <w:rFonts w:ascii="Times New Roman" w:eastAsia="Malgun Gothic" w:hAnsi="Times New Roman"/>
          <w:sz w:val="24"/>
          <w:szCs w:val="24"/>
        </w:rPr>
        <w:t>étaient</w:t>
      </w:r>
      <w:r w:rsidR="00135527" w:rsidRPr="007668DF">
        <w:rPr>
          <w:rFonts w:ascii="Times New Roman" w:eastAsia="Malgun Gothic" w:hAnsi="Times New Roman"/>
          <w:sz w:val="24"/>
          <w:szCs w:val="24"/>
        </w:rPr>
        <w:t xml:space="preserve"> tirées sur la ville de Gao</w:t>
      </w:r>
      <w:r w:rsidR="00B454AE" w:rsidRPr="007668DF">
        <w:rPr>
          <w:rFonts w:ascii="Times New Roman" w:eastAsia="Malgun Gothic" w:hAnsi="Times New Roman"/>
          <w:sz w:val="24"/>
          <w:szCs w:val="24"/>
        </w:rPr>
        <w:t>,</w:t>
      </w:r>
      <w:r w:rsidR="00135527" w:rsidRPr="007668DF">
        <w:rPr>
          <w:rFonts w:ascii="Times New Roman" w:eastAsia="Malgun Gothic" w:hAnsi="Times New Roman"/>
          <w:sz w:val="24"/>
          <w:szCs w:val="24"/>
        </w:rPr>
        <w:t xml:space="preserve"> blessant grièvement un soldat malien</w:t>
      </w:r>
      <w:r w:rsidR="00B454AE" w:rsidRPr="007668DF">
        <w:rPr>
          <w:rFonts w:ascii="Times New Roman" w:eastAsia="Malgun Gothic" w:hAnsi="Times New Roman"/>
          <w:sz w:val="24"/>
          <w:szCs w:val="24"/>
        </w:rPr>
        <w:t> ; l</w:t>
      </w:r>
      <w:r w:rsidR="00135527" w:rsidRPr="007668DF">
        <w:rPr>
          <w:rFonts w:ascii="Times New Roman" w:eastAsia="Malgun Gothic" w:hAnsi="Times New Roman"/>
          <w:sz w:val="24"/>
          <w:szCs w:val="24"/>
        </w:rPr>
        <w:t>e même jour, un pont situé à 45 kilomètres au sud-est d’Ansongo ét</w:t>
      </w:r>
      <w:r w:rsidR="00B454AE" w:rsidRPr="007668DF">
        <w:rPr>
          <w:rFonts w:ascii="Times New Roman" w:eastAsia="Malgun Gothic" w:hAnsi="Times New Roman"/>
          <w:sz w:val="24"/>
          <w:szCs w:val="24"/>
        </w:rPr>
        <w:t>ait</w:t>
      </w:r>
      <w:r w:rsidR="00135527" w:rsidRPr="007668DF">
        <w:rPr>
          <w:rFonts w:ascii="Times New Roman" w:eastAsia="Malgun Gothic" w:hAnsi="Times New Roman"/>
          <w:sz w:val="24"/>
          <w:szCs w:val="24"/>
        </w:rPr>
        <w:t xml:space="preserve"> partiellement endommagé par un engin explosif improvisé</w:t>
      </w:r>
      <w:r w:rsidR="00B454AE" w:rsidRPr="007668DF">
        <w:rPr>
          <w:rFonts w:ascii="Times New Roman" w:eastAsia="Malgun Gothic" w:hAnsi="Times New Roman"/>
          <w:sz w:val="24"/>
          <w:szCs w:val="24"/>
        </w:rPr>
        <w:t> ; l</w:t>
      </w:r>
      <w:r w:rsidR="00135527" w:rsidRPr="007668DF">
        <w:rPr>
          <w:rFonts w:ascii="Times New Roman" w:eastAsia="Malgun Gothic" w:hAnsi="Times New Roman"/>
          <w:sz w:val="24"/>
          <w:szCs w:val="24"/>
        </w:rPr>
        <w:t>e 23 octobre</w:t>
      </w:r>
      <w:r w:rsidR="00882BA8" w:rsidRPr="007668DF">
        <w:rPr>
          <w:rFonts w:ascii="Times New Roman" w:eastAsia="Malgun Gothic" w:hAnsi="Times New Roman"/>
          <w:sz w:val="24"/>
          <w:szCs w:val="24"/>
        </w:rPr>
        <w:t xml:space="preserve"> 2013</w:t>
      </w:r>
      <w:r w:rsidR="00135527" w:rsidRPr="007668DF">
        <w:rPr>
          <w:rFonts w:ascii="Times New Roman" w:eastAsia="Malgun Gothic" w:hAnsi="Times New Roman"/>
          <w:sz w:val="24"/>
          <w:szCs w:val="24"/>
        </w:rPr>
        <w:t xml:space="preserve">, </w:t>
      </w:r>
      <w:r w:rsidR="00CC13D8">
        <w:rPr>
          <w:rFonts w:ascii="Times New Roman" w:eastAsia="Malgun Gothic" w:hAnsi="Times New Roman"/>
          <w:sz w:val="24"/>
          <w:szCs w:val="24"/>
        </w:rPr>
        <w:t xml:space="preserve">4 </w:t>
      </w:r>
      <w:r w:rsidR="00135527" w:rsidRPr="007668DF">
        <w:rPr>
          <w:rFonts w:ascii="Times New Roman" w:eastAsia="Malgun Gothic" w:hAnsi="Times New Roman"/>
          <w:sz w:val="24"/>
          <w:szCs w:val="24"/>
        </w:rPr>
        <w:t xml:space="preserve">individus en voiture </w:t>
      </w:r>
      <w:r w:rsidR="00882BA8" w:rsidRPr="007668DF">
        <w:rPr>
          <w:rFonts w:ascii="Times New Roman" w:eastAsia="Malgun Gothic" w:hAnsi="Times New Roman"/>
          <w:sz w:val="24"/>
          <w:szCs w:val="24"/>
        </w:rPr>
        <w:t>jet</w:t>
      </w:r>
      <w:r w:rsidR="00B454AE" w:rsidRPr="007668DF">
        <w:rPr>
          <w:rFonts w:ascii="Times New Roman" w:eastAsia="Malgun Gothic" w:hAnsi="Times New Roman"/>
          <w:sz w:val="24"/>
          <w:szCs w:val="24"/>
        </w:rPr>
        <w:t>aient</w:t>
      </w:r>
      <w:r w:rsidR="00882BA8" w:rsidRPr="007668DF">
        <w:rPr>
          <w:rFonts w:ascii="Times New Roman" w:eastAsia="Malgun Gothic" w:hAnsi="Times New Roman"/>
          <w:sz w:val="24"/>
          <w:szCs w:val="24"/>
        </w:rPr>
        <w:t xml:space="preserve"> </w:t>
      </w:r>
      <w:r w:rsidR="00135527" w:rsidRPr="007668DF">
        <w:rPr>
          <w:rFonts w:ascii="Times New Roman" w:eastAsia="Malgun Gothic" w:hAnsi="Times New Roman"/>
          <w:sz w:val="24"/>
          <w:szCs w:val="24"/>
        </w:rPr>
        <w:t xml:space="preserve">un engin explosif improvisé </w:t>
      </w:r>
      <w:r w:rsidR="00882BA8" w:rsidRPr="007668DF">
        <w:rPr>
          <w:rFonts w:ascii="Times New Roman" w:eastAsia="Malgun Gothic" w:hAnsi="Times New Roman"/>
          <w:sz w:val="24"/>
          <w:szCs w:val="24"/>
        </w:rPr>
        <w:t>sur</w:t>
      </w:r>
      <w:r w:rsidR="00375131" w:rsidRPr="007668DF">
        <w:rPr>
          <w:rFonts w:ascii="Times New Roman" w:eastAsia="Malgun Gothic" w:hAnsi="Times New Roman"/>
          <w:sz w:val="24"/>
          <w:szCs w:val="24"/>
        </w:rPr>
        <w:t xml:space="preserve"> un </w:t>
      </w:r>
      <w:r w:rsidR="00135527" w:rsidRPr="007668DF">
        <w:rPr>
          <w:rFonts w:ascii="Times New Roman" w:eastAsia="Malgun Gothic" w:hAnsi="Times New Roman"/>
          <w:sz w:val="24"/>
          <w:szCs w:val="24"/>
        </w:rPr>
        <w:t xml:space="preserve">poste de contrôle de la MINUSMA à Tessalit. </w:t>
      </w:r>
      <w:r w:rsidR="00CC13D8">
        <w:rPr>
          <w:rFonts w:ascii="Times New Roman" w:eastAsia="Malgun Gothic" w:hAnsi="Times New Roman"/>
          <w:sz w:val="24"/>
          <w:szCs w:val="24"/>
        </w:rPr>
        <w:t>7</w:t>
      </w:r>
      <w:r w:rsidR="00CC13D8" w:rsidRPr="007668DF">
        <w:rPr>
          <w:rFonts w:ascii="Times New Roman" w:eastAsia="Malgun Gothic" w:hAnsi="Times New Roman"/>
          <w:sz w:val="24"/>
          <w:szCs w:val="24"/>
        </w:rPr>
        <w:t xml:space="preserve"> </w:t>
      </w:r>
      <w:r w:rsidR="00135527" w:rsidRPr="007668DF">
        <w:rPr>
          <w:rFonts w:ascii="Times New Roman" w:eastAsia="Malgun Gothic" w:hAnsi="Times New Roman"/>
          <w:sz w:val="24"/>
          <w:szCs w:val="24"/>
        </w:rPr>
        <w:t xml:space="preserve">personnes </w:t>
      </w:r>
      <w:r w:rsidR="00B454AE" w:rsidRPr="007668DF">
        <w:rPr>
          <w:rFonts w:ascii="Times New Roman" w:eastAsia="Malgun Gothic" w:hAnsi="Times New Roman"/>
          <w:sz w:val="24"/>
          <w:szCs w:val="24"/>
        </w:rPr>
        <w:t>avaient</w:t>
      </w:r>
      <w:r w:rsidR="00135527" w:rsidRPr="007668DF">
        <w:rPr>
          <w:rFonts w:ascii="Times New Roman" w:eastAsia="Malgun Gothic" w:hAnsi="Times New Roman"/>
          <w:sz w:val="24"/>
          <w:szCs w:val="24"/>
        </w:rPr>
        <w:t xml:space="preserve"> été tuées, dont </w:t>
      </w:r>
      <w:r w:rsidR="00CC13D8">
        <w:rPr>
          <w:rFonts w:ascii="Times New Roman" w:eastAsia="Malgun Gothic" w:hAnsi="Times New Roman"/>
          <w:sz w:val="24"/>
          <w:szCs w:val="24"/>
        </w:rPr>
        <w:t>4</w:t>
      </w:r>
      <w:r w:rsidR="00CC13D8" w:rsidRPr="007668DF">
        <w:rPr>
          <w:rFonts w:ascii="Times New Roman" w:eastAsia="Malgun Gothic" w:hAnsi="Times New Roman"/>
          <w:sz w:val="24"/>
          <w:szCs w:val="24"/>
        </w:rPr>
        <w:t xml:space="preserve"> </w:t>
      </w:r>
      <w:r w:rsidR="00135527" w:rsidRPr="007668DF">
        <w:rPr>
          <w:rFonts w:ascii="Times New Roman" w:eastAsia="Malgun Gothic" w:hAnsi="Times New Roman"/>
          <w:sz w:val="24"/>
          <w:szCs w:val="24"/>
        </w:rPr>
        <w:t xml:space="preserve">civils adultes, un garçon de 6 ans et </w:t>
      </w:r>
      <w:r w:rsidR="00CC13D8">
        <w:rPr>
          <w:rFonts w:ascii="Times New Roman" w:eastAsia="Malgun Gothic" w:hAnsi="Times New Roman"/>
          <w:sz w:val="24"/>
          <w:szCs w:val="24"/>
        </w:rPr>
        <w:t>2</w:t>
      </w:r>
      <w:r w:rsidR="00CC13D8" w:rsidRPr="007668DF">
        <w:rPr>
          <w:rFonts w:ascii="Times New Roman" w:eastAsia="Malgun Gothic" w:hAnsi="Times New Roman"/>
          <w:sz w:val="24"/>
          <w:szCs w:val="24"/>
        </w:rPr>
        <w:t xml:space="preserve"> </w:t>
      </w:r>
      <w:r w:rsidR="00135527" w:rsidRPr="007668DF">
        <w:rPr>
          <w:rFonts w:ascii="Times New Roman" w:eastAsia="Malgun Gothic" w:hAnsi="Times New Roman"/>
          <w:sz w:val="24"/>
          <w:szCs w:val="24"/>
        </w:rPr>
        <w:t xml:space="preserve">soldats de </w:t>
      </w:r>
      <w:r w:rsidR="00135527" w:rsidRPr="007668DF">
        <w:rPr>
          <w:rFonts w:ascii="Times New Roman" w:eastAsia="Malgun Gothic" w:hAnsi="Times New Roman"/>
          <w:sz w:val="24"/>
          <w:szCs w:val="24"/>
        </w:rPr>
        <w:lastRenderedPageBreak/>
        <w:t>la MINUSMA.</w:t>
      </w:r>
      <w:r w:rsidR="00375131" w:rsidRPr="007668DF">
        <w:rPr>
          <w:rFonts w:ascii="Times New Roman" w:eastAsia="Malgun Gothic" w:hAnsi="Times New Roman"/>
          <w:sz w:val="24"/>
          <w:szCs w:val="24"/>
        </w:rPr>
        <w:t xml:space="preserve"> </w:t>
      </w:r>
      <w:r w:rsidR="007737FC" w:rsidRPr="007668DF">
        <w:rPr>
          <w:rFonts w:ascii="Times New Roman" w:eastAsia="Malgun Gothic" w:hAnsi="Times New Roman"/>
          <w:sz w:val="24"/>
          <w:szCs w:val="24"/>
        </w:rPr>
        <w:t>AQMI</w:t>
      </w:r>
      <w:r w:rsidR="00135527" w:rsidRPr="007668DF">
        <w:rPr>
          <w:rFonts w:ascii="Times New Roman" w:eastAsia="Malgun Gothic" w:hAnsi="Times New Roman"/>
          <w:sz w:val="24"/>
          <w:szCs w:val="24"/>
        </w:rPr>
        <w:t xml:space="preserve"> a revendiqué l’attaque. </w:t>
      </w:r>
      <w:r w:rsidR="00FF0F46" w:rsidRPr="007668DF">
        <w:rPr>
          <w:rFonts w:ascii="Times New Roman" w:eastAsia="Malgun Gothic" w:hAnsi="Times New Roman"/>
          <w:sz w:val="24"/>
          <w:szCs w:val="24"/>
        </w:rPr>
        <w:t xml:space="preserve">Le MUJAO a également revendiqué plusieurs actes </w:t>
      </w:r>
      <w:r w:rsidR="00B454AE" w:rsidRPr="007668DF">
        <w:rPr>
          <w:rFonts w:ascii="Times New Roman" w:eastAsia="Malgun Gothic" w:hAnsi="Times New Roman"/>
          <w:sz w:val="24"/>
          <w:szCs w:val="24"/>
        </w:rPr>
        <w:t xml:space="preserve">perpétrés à Gao, </w:t>
      </w:r>
      <w:r w:rsidR="009B165D" w:rsidRPr="007668DF">
        <w:rPr>
          <w:rFonts w:ascii="Times New Roman" w:eastAsia="Malgun Gothic" w:hAnsi="Times New Roman"/>
          <w:sz w:val="24"/>
          <w:szCs w:val="24"/>
        </w:rPr>
        <w:t xml:space="preserve">visant à répandre la terreur au sein de </w:t>
      </w:r>
      <w:r w:rsidR="00B454AE" w:rsidRPr="007668DF">
        <w:rPr>
          <w:rFonts w:ascii="Times New Roman" w:eastAsia="Malgun Gothic" w:hAnsi="Times New Roman"/>
          <w:sz w:val="24"/>
          <w:szCs w:val="24"/>
        </w:rPr>
        <w:t xml:space="preserve">la </w:t>
      </w:r>
      <w:r w:rsidR="009B165D" w:rsidRPr="007668DF">
        <w:rPr>
          <w:rFonts w:ascii="Times New Roman" w:eastAsia="Malgun Gothic" w:hAnsi="Times New Roman"/>
          <w:sz w:val="24"/>
          <w:szCs w:val="24"/>
        </w:rPr>
        <w:t>population</w:t>
      </w:r>
      <w:r w:rsidR="00FF0F46" w:rsidRPr="007668DF">
        <w:rPr>
          <w:rFonts w:ascii="Times New Roman" w:eastAsia="Malgun Gothic" w:hAnsi="Times New Roman"/>
          <w:sz w:val="24"/>
          <w:szCs w:val="24"/>
        </w:rPr>
        <w:t>.</w:t>
      </w:r>
    </w:p>
    <w:p w:rsidR="00135527" w:rsidRPr="007668DF" w:rsidRDefault="00C50FEB" w:rsidP="006C2FA0">
      <w:pPr>
        <w:tabs>
          <w:tab w:val="left" w:pos="567"/>
        </w:tabs>
        <w:jc w:val="both"/>
        <w:rPr>
          <w:rFonts w:ascii="Times New Roman" w:eastAsia="Malgun Gothic" w:hAnsi="Times New Roman"/>
          <w:sz w:val="24"/>
          <w:szCs w:val="24"/>
        </w:rPr>
      </w:pPr>
      <w:r w:rsidRPr="007668DF">
        <w:rPr>
          <w:rFonts w:ascii="Times New Roman" w:eastAsia="Malgun Gothic" w:hAnsi="Times New Roman"/>
          <w:sz w:val="24"/>
          <w:szCs w:val="24"/>
        </w:rPr>
        <w:t>4</w:t>
      </w:r>
      <w:r w:rsidR="0086130D">
        <w:rPr>
          <w:rFonts w:ascii="Times New Roman" w:eastAsia="Malgun Gothic" w:hAnsi="Times New Roman"/>
          <w:sz w:val="24"/>
          <w:szCs w:val="24"/>
        </w:rPr>
        <w:t>5</w:t>
      </w:r>
      <w:r w:rsidR="00135527" w:rsidRPr="007668DF">
        <w:rPr>
          <w:rFonts w:ascii="Times New Roman" w:eastAsia="Malgun Gothic" w:hAnsi="Times New Roman"/>
          <w:sz w:val="24"/>
          <w:szCs w:val="24"/>
        </w:rPr>
        <w:t>.</w:t>
      </w:r>
      <w:r w:rsidR="00135527" w:rsidRPr="007668DF">
        <w:rPr>
          <w:rFonts w:ascii="Times New Roman" w:eastAsia="Malgun Gothic" w:hAnsi="Times New Roman"/>
          <w:sz w:val="24"/>
          <w:szCs w:val="24"/>
        </w:rPr>
        <w:tab/>
      </w:r>
      <w:r w:rsidR="00AC00F7" w:rsidRPr="007668DF">
        <w:rPr>
          <w:rFonts w:ascii="Times New Roman" w:eastAsia="Malgun Gothic" w:hAnsi="Times New Roman"/>
          <w:sz w:val="24"/>
          <w:szCs w:val="24"/>
        </w:rPr>
        <w:t xml:space="preserve">La Division des droits de l’homme a pu confirmer 38 attaques asymétriques pendant la période couverte par le présent </w:t>
      </w:r>
      <w:r w:rsidR="003718B0" w:rsidRPr="007668DF">
        <w:rPr>
          <w:rFonts w:ascii="Times New Roman" w:eastAsia="Malgun Gothic" w:hAnsi="Times New Roman"/>
          <w:sz w:val="24"/>
          <w:szCs w:val="24"/>
        </w:rPr>
        <w:t xml:space="preserve">rapport. </w:t>
      </w:r>
      <w:r w:rsidR="00882BA8" w:rsidRPr="007668DF">
        <w:rPr>
          <w:rFonts w:ascii="Times New Roman" w:eastAsia="Malgun Gothic" w:hAnsi="Times New Roman"/>
          <w:sz w:val="24"/>
          <w:szCs w:val="24"/>
        </w:rPr>
        <w:t>L</w:t>
      </w:r>
      <w:r w:rsidR="00135527" w:rsidRPr="007668DF">
        <w:rPr>
          <w:rFonts w:ascii="Times New Roman" w:eastAsia="Malgun Gothic" w:hAnsi="Times New Roman"/>
          <w:sz w:val="24"/>
          <w:szCs w:val="24"/>
        </w:rPr>
        <w:t xml:space="preserve">e 2 novembre 2013, </w:t>
      </w:r>
      <w:r w:rsidR="00843765">
        <w:rPr>
          <w:rFonts w:ascii="Times New Roman" w:eastAsia="Malgun Gothic" w:hAnsi="Times New Roman"/>
          <w:sz w:val="24"/>
          <w:szCs w:val="24"/>
        </w:rPr>
        <w:t>2</w:t>
      </w:r>
      <w:r w:rsidR="00843765" w:rsidRPr="007668DF">
        <w:rPr>
          <w:rFonts w:ascii="Times New Roman" w:eastAsia="Malgun Gothic" w:hAnsi="Times New Roman"/>
          <w:sz w:val="24"/>
          <w:szCs w:val="24"/>
        </w:rPr>
        <w:t xml:space="preserve"> </w:t>
      </w:r>
      <w:r w:rsidR="00135527" w:rsidRPr="007668DF">
        <w:rPr>
          <w:rFonts w:ascii="Times New Roman" w:eastAsia="Malgun Gothic" w:hAnsi="Times New Roman"/>
          <w:sz w:val="24"/>
          <w:szCs w:val="24"/>
        </w:rPr>
        <w:t>journalistes français de Radio France Internationale</w:t>
      </w:r>
      <w:r w:rsidR="003F177B">
        <w:rPr>
          <w:rFonts w:ascii="Times New Roman" w:eastAsia="Malgun Gothic" w:hAnsi="Times New Roman"/>
          <w:sz w:val="24"/>
          <w:szCs w:val="24"/>
        </w:rPr>
        <w:t>(RFI)</w:t>
      </w:r>
      <w:r w:rsidR="00135527" w:rsidRPr="007668DF">
        <w:rPr>
          <w:rFonts w:ascii="Times New Roman" w:eastAsia="Malgun Gothic" w:hAnsi="Times New Roman"/>
          <w:sz w:val="24"/>
          <w:szCs w:val="24"/>
        </w:rPr>
        <w:t xml:space="preserve"> </w:t>
      </w:r>
      <w:r w:rsidR="00B454AE" w:rsidRPr="007668DF">
        <w:rPr>
          <w:rFonts w:ascii="Times New Roman" w:eastAsia="Malgun Gothic" w:hAnsi="Times New Roman"/>
          <w:sz w:val="24"/>
          <w:szCs w:val="24"/>
        </w:rPr>
        <w:t>étaient sommairement</w:t>
      </w:r>
      <w:r w:rsidR="00135527" w:rsidRPr="007668DF">
        <w:rPr>
          <w:rFonts w:ascii="Times New Roman" w:eastAsia="Malgun Gothic" w:hAnsi="Times New Roman"/>
          <w:sz w:val="24"/>
          <w:szCs w:val="24"/>
        </w:rPr>
        <w:t xml:space="preserve"> exécutés</w:t>
      </w:r>
      <w:r w:rsidR="00B454AE" w:rsidRPr="007668DF">
        <w:rPr>
          <w:rFonts w:ascii="Times New Roman" w:eastAsia="Malgun Gothic" w:hAnsi="Times New Roman"/>
          <w:sz w:val="24"/>
          <w:szCs w:val="24"/>
        </w:rPr>
        <w:t xml:space="preserve"> </w:t>
      </w:r>
      <w:r w:rsidR="00135527" w:rsidRPr="007668DF">
        <w:rPr>
          <w:rFonts w:ascii="Times New Roman" w:eastAsia="Malgun Gothic" w:hAnsi="Times New Roman"/>
          <w:sz w:val="24"/>
          <w:szCs w:val="24"/>
        </w:rPr>
        <w:t xml:space="preserve">après avoir été enlevés par des </w:t>
      </w:r>
      <w:r w:rsidR="00F47D98" w:rsidRPr="007668DF">
        <w:rPr>
          <w:rFonts w:ascii="Times New Roman" w:eastAsia="Malgun Gothic" w:hAnsi="Times New Roman"/>
          <w:sz w:val="24"/>
          <w:szCs w:val="24"/>
        </w:rPr>
        <w:t xml:space="preserve">groupes armés </w:t>
      </w:r>
      <w:r w:rsidR="00D049C0">
        <w:rPr>
          <w:rFonts w:ascii="Times New Roman" w:eastAsia="Malgun Gothic" w:hAnsi="Times New Roman"/>
          <w:sz w:val="24"/>
          <w:szCs w:val="24"/>
        </w:rPr>
        <w:t>extrémistes</w:t>
      </w:r>
      <w:r w:rsidR="00135527" w:rsidRPr="007668DF">
        <w:rPr>
          <w:rFonts w:ascii="Times New Roman" w:eastAsia="Malgun Gothic" w:hAnsi="Times New Roman"/>
          <w:sz w:val="24"/>
          <w:szCs w:val="24"/>
        </w:rPr>
        <w:t xml:space="preserve"> devant la résidence d’un haut responsable du MNLA à Kidal. </w:t>
      </w:r>
      <w:r w:rsidR="00A11778" w:rsidRPr="007668DF">
        <w:rPr>
          <w:rFonts w:ascii="Times New Roman" w:eastAsia="Malgun Gothic" w:hAnsi="Times New Roman"/>
          <w:sz w:val="24"/>
          <w:szCs w:val="24"/>
        </w:rPr>
        <w:t xml:space="preserve">Par ailleurs, </w:t>
      </w:r>
      <w:r w:rsidR="007737FC" w:rsidRPr="007668DF">
        <w:rPr>
          <w:rFonts w:ascii="Times New Roman" w:eastAsia="Malgun Gothic" w:hAnsi="Times New Roman"/>
          <w:sz w:val="24"/>
          <w:szCs w:val="24"/>
        </w:rPr>
        <w:t>AQMI</w:t>
      </w:r>
      <w:r w:rsidR="00135527" w:rsidRPr="007668DF">
        <w:rPr>
          <w:rFonts w:ascii="Times New Roman" w:eastAsia="Malgun Gothic" w:hAnsi="Times New Roman"/>
          <w:sz w:val="24"/>
          <w:szCs w:val="24"/>
        </w:rPr>
        <w:t xml:space="preserve"> a revendiqué la responsabilité</w:t>
      </w:r>
      <w:r w:rsidR="00B454AE" w:rsidRPr="007668DF">
        <w:rPr>
          <w:rFonts w:ascii="Times New Roman" w:eastAsia="Malgun Gothic" w:hAnsi="Times New Roman"/>
          <w:sz w:val="24"/>
          <w:szCs w:val="24"/>
        </w:rPr>
        <w:t xml:space="preserve"> de cet acte</w:t>
      </w:r>
      <w:r w:rsidR="00135527" w:rsidRPr="007668DF">
        <w:rPr>
          <w:rFonts w:ascii="Times New Roman" w:eastAsia="Malgun Gothic" w:hAnsi="Times New Roman"/>
          <w:sz w:val="24"/>
          <w:szCs w:val="24"/>
        </w:rPr>
        <w:t>. Le 4 novembre</w:t>
      </w:r>
      <w:r w:rsidR="00882BA8" w:rsidRPr="007668DF">
        <w:rPr>
          <w:rFonts w:ascii="Times New Roman" w:eastAsia="Malgun Gothic" w:hAnsi="Times New Roman"/>
          <w:sz w:val="24"/>
          <w:szCs w:val="24"/>
        </w:rPr>
        <w:t xml:space="preserve"> 2013</w:t>
      </w:r>
      <w:r w:rsidR="00135527" w:rsidRPr="007668DF">
        <w:rPr>
          <w:rFonts w:ascii="Times New Roman" w:eastAsia="Malgun Gothic" w:hAnsi="Times New Roman"/>
          <w:sz w:val="24"/>
          <w:szCs w:val="24"/>
        </w:rPr>
        <w:t xml:space="preserve">, </w:t>
      </w:r>
      <w:r w:rsidR="00843765">
        <w:rPr>
          <w:rFonts w:ascii="Times New Roman" w:eastAsia="Malgun Gothic" w:hAnsi="Times New Roman"/>
          <w:sz w:val="24"/>
          <w:szCs w:val="24"/>
        </w:rPr>
        <w:t>4</w:t>
      </w:r>
      <w:r w:rsidR="00843765" w:rsidRPr="007668DF">
        <w:rPr>
          <w:rFonts w:ascii="Times New Roman" w:eastAsia="Malgun Gothic" w:hAnsi="Times New Roman"/>
          <w:sz w:val="24"/>
          <w:szCs w:val="24"/>
        </w:rPr>
        <w:t xml:space="preserve"> </w:t>
      </w:r>
      <w:r w:rsidR="00135527" w:rsidRPr="007668DF">
        <w:rPr>
          <w:rFonts w:ascii="Times New Roman" w:eastAsia="Malgun Gothic" w:hAnsi="Times New Roman"/>
          <w:sz w:val="24"/>
          <w:szCs w:val="24"/>
        </w:rPr>
        <w:t xml:space="preserve">civils </w:t>
      </w:r>
      <w:r w:rsidR="00B454AE" w:rsidRPr="007668DF">
        <w:rPr>
          <w:rFonts w:ascii="Times New Roman" w:eastAsia="Malgun Gothic" w:hAnsi="Times New Roman"/>
          <w:sz w:val="24"/>
          <w:szCs w:val="24"/>
        </w:rPr>
        <w:t>étaient</w:t>
      </w:r>
      <w:r w:rsidR="00135527" w:rsidRPr="007668DF">
        <w:rPr>
          <w:rFonts w:ascii="Times New Roman" w:eastAsia="Malgun Gothic" w:hAnsi="Times New Roman"/>
          <w:sz w:val="24"/>
          <w:szCs w:val="24"/>
        </w:rPr>
        <w:t xml:space="preserve"> tués et </w:t>
      </w:r>
      <w:r w:rsidR="00843765">
        <w:rPr>
          <w:rFonts w:ascii="Times New Roman" w:eastAsia="Malgun Gothic" w:hAnsi="Times New Roman"/>
          <w:sz w:val="24"/>
          <w:szCs w:val="24"/>
        </w:rPr>
        <w:t>7</w:t>
      </w:r>
      <w:r w:rsidR="00843765" w:rsidRPr="007668DF">
        <w:rPr>
          <w:rFonts w:ascii="Times New Roman" w:eastAsia="Malgun Gothic" w:hAnsi="Times New Roman"/>
          <w:sz w:val="24"/>
          <w:szCs w:val="24"/>
        </w:rPr>
        <w:t xml:space="preserve"> </w:t>
      </w:r>
      <w:r w:rsidR="00135527" w:rsidRPr="007668DF">
        <w:rPr>
          <w:rFonts w:ascii="Times New Roman" w:eastAsia="Malgun Gothic" w:hAnsi="Times New Roman"/>
          <w:sz w:val="24"/>
          <w:szCs w:val="24"/>
        </w:rPr>
        <w:t>autres blessés par un engin explosif improvisé déclenché par fil</w:t>
      </w:r>
      <w:r w:rsidR="00B454AE" w:rsidRPr="007668DF">
        <w:rPr>
          <w:rFonts w:ascii="Times New Roman" w:eastAsia="Malgun Gothic" w:hAnsi="Times New Roman"/>
          <w:sz w:val="24"/>
          <w:szCs w:val="24"/>
        </w:rPr>
        <w:t>,</w:t>
      </w:r>
      <w:r w:rsidR="00135527" w:rsidRPr="007668DF">
        <w:rPr>
          <w:rFonts w:ascii="Times New Roman" w:eastAsia="Malgun Gothic" w:hAnsi="Times New Roman"/>
          <w:sz w:val="24"/>
          <w:szCs w:val="24"/>
        </w:rPr>
        <w:t xml:space="preserve"> sur la route reliant Ménaka à Ansongo</w:t>
      </w:r>
      <w:r w:rsidR="00B454AE" w:rsidRPr="007668DF">
        <w:rPr>
          <w:rFonts w:ascii="Times New Roman" w:eastAsia="Malgun Gothic" w:hAnsi="Times New Roman"/>
          <w:sz w:val="24"/>
          <w:szCs w:val="24"/>
        </w:rPr>
        <w:t>,</w:t>
      </w:r>
      <w:r w:rsidR="00375131" w:rsidRPr="007668DF">
        <w:rPr>
          <w:rFonts w:ascii="Times New Roman" w:eastAsia="Malgun Gothic" w:hAnsi="Times New Roman"/>
          <w:sz w:val="24"/>
          <w:szCs w:val="24"/>
        </w:rPr>
        <w:t xml:space="preserve"> dans la région de Gao</w:t>
      </w:r>
      <w:r w:rsidR="00135527" w:rsidRPr="007668DF">
        <w:rPr>
          <w:rFonts w:ascii="Times New Roman" w:eastAsia="Malgun Gothic" w:hAnsi="Times New Roman"/>
          <w:sz w:val="24"/>
          <w:szCs w:val="24"/>
        </w:rPr>
        <w:t>. Le 13 novembre</w:t>
      </w:r>
      <w:r w:rsidR="00882BA8" w:rsidRPr="007668DF">
        <w:rPr>
          <w:rFonts w:ascii="Times New Roman" w:eastAsia="Malgun Gothic" w:hAnsi="Times New Roman"/>
          <w:sz w:val="24"/>
          <w:szCs w:val="24"/>
        </w:rPr>
        <w:t xml:space="preserve"> 2013</w:t>
      </w:r>
      <w:r w:rsidR="00135527" w:rsidRPr="007668DF">
        <w:rPr>
          <w:rFonts w:ascii="Times New Roman" w:eastAsia="Malgun Gothic" w:hAnsi="Times New Roman"/>
          <w:sz w:val="24"/>
          <w:szCs w:val="24"/>
        </w:rPr>
        <w:t xml:space="preserve">, un véhicule de l’armée malienne escortant </w:t>
      </w:r>
      <w:r w:rsidR="00843765">
        <w:rPr>
          <w:rFonts w:ascii="Times New Roman" w:eastAsia="Malgun Gothic" w:hAnsi="Times New Roman"/>
          <w:sz w:val="24"/>
          <w:szCs w:val="24"/>
        </w:rPr>
        <w:t>2</w:t>
      </w:r>
      <w:r w:rsidR="00843765" w:rsidRPr="007668DF">
        <w:rPr>
          <w:rFonts w:ascii="Times New Roman" w:eastAsia="Malgun Gothic" w:hAnsi="Times New Roman"/>
          <w:sz w:val="24"/>
          <w:szCs w:val="24"/>
        </w:rPr>
        <w:t xml:space="preserve"> </w:t>
      </w:r>
      <w:r w:rsidR="00135527" w:rsidRPr="007668DF">
        <w:rPr>
          <w:rFonts w:ascii="Times New Roman" w:eastAsia="Malgun Gothic" w:hAnsi="Times New Roman"/>
          <w:sz w:val="24"/>
          <w:szCs w:val="24"/>
        </w:rPr>
        <w:t xml:space="preserve">journalistes étrangers </w:t>
      </w:r>
      <w:r w:rsidR="00B454AE" w:rsidRPr="007668DF">
        <w:rPr>
          <w:rFonts w:ascii="Times New Roman" w:eastAsia="Malgun Gothic" w:hAnsi="Times New Roman"/>
          <w:sz w:val="24"/>
          <w:szCs w:val="24"/>
        </w:rPr>
        <w:t>étaient</w:t>
      </w:r>
      <w:r w:rsidR="00135527" w:rsidRPr="007668DF">
        <w:rPr>
          <w:rFonts w:ascii="Times New Roman" w:eastAsia="Malgun Gothic" w:hAnsi="Times New Roman"/>
          <w:sz w:val="24"/>
          <w:szCs w:val="24"/>
        </w:rPr>
        <w:t xml:space="preserve"> pris pour cible par un engin explosif de pénétration près d’Almoustarat</w:t>
      </w:r>
      <w:r w:rsidR="00B454AE" w:rsidRPr="007668DF">
        <w:rPr>
          <w:rFonts w:ascii="Times New Roman" w:eastAsia="Malgun Gothic" w:hAnsi="Times New Roman"/>
          <w:sz w:val="24"/>
          <w:szCs w:val="24"/>
        </w:rPr>
        <w:t>,</w:t>
      </w:r>
      <w:r w:rsidR="00135527" w:rsidRPr="007668DF">
        <w:rPr>
          <w:rFonts w:ascii="Times New Roman" w:eastAsia="Malgun Gothic" w:hAnsi="Times New Roman"/>
          <w:sz w:val="24"/>
          <w:szCs w:val="24"/>
        </w:rPr>
        <w:t xml:space="preserve"> dans la région de Gao, </w:t>
      </w:r>
      <w:r w:rsidR="00B454AE" w:rsidRPr="007668DF">
        <w:rPr>
          <w:rFonts w:ascii="Times New Roman" w:eastAsia="Malgun Gothic" w:hAnsi="Times New Roman"/>
          <w:sz w:val="24"/>
          <w:szCs w:val="24"/>
        </w:rPr>
        <w:t xml:space="preserve">blessant </w:t>
      </w:r>
      <w:r w:rsidR="00135527" w:rsidRPr="007668DF">
        <w:rPr>
          <w:rFonts w:ascii="Times New Roman" w:eastAsia="Malgun Gothic" w:hAnsi="Times New Roman"/>
          <w:sz w:val="24"/>
          <w:szCs w:val="24"/>
        </w:rPr>
        <w:t>un soldat malien. Le 20 novembre</w:t>
      </w:r>
      <w:r w:rsidR="00882BA8" w:rsidRPr="007668DF">
        <w:rPr>
          <w:rFonts w:ascii="Times New Roman" w:eastAsia="Malgun Gothic" w:hAnsi="Times New Roman"/>
          <w:sz w:val="24"/>
          <w:szCs w:val="24"/>
        </w:rPr>
        <w:t xml:space="preserve"> 2013</w:t>
      </w:r>
      <w:r w:rsidR="00135527" w:rsidRPr="007668DF">
        <w:rPr>
          <w:rFonts w:ascii="Times New Roman" w:eastAsia="Malgun Gothic" w:hAnsi="Times New Roman"/>
          <w:sz w:val="24"/>
          <w:szCs w:val="24"/>
        </w:rPr>
        <w:t xml:space="preserve">, </w:t>
      </w:r>
      <w:r w:rsidR="00B454AE" w:rsidRPr="007668DF">
        <w:rPr>
          <w:rFonts w:ascii="Times New Roman" w:eastAsia="Malgun Gothic" w:hAnsi="Times New Roman"/>
          <w:sz w:val="24"/>
          <w:szCs w:val="24"/>
        </w:rPr>
        <w:t xml:space="preserve">à Kidal, </w:t>
      </w:r>
      <w:r w:rsidR="00135527" w:rsidRPr="007668DF">
        <w:rPr>
          <w:rFonts w:ascii="Times New Roman" w:eastAsia="Malgun Gothic" w:hAnsi="Times New Roman"/>
          <w:sz w:val="24"/>
          <w:szCs w:val="24"/>
        </w:rPr>
        <w:t xml:space="preserve">un véhicule de l’opération </w:t>
      </w:r>
      <w:r w:rsidR="00D05121" w:rsidRPr="007668DF">
        <w:rPr>
          <w:rFonts w:ascii="Times New Roman" w:eastAsia="Malgun Gothic" w:hAnsi="Times New Roman"/>
          <w:sz w:val="24"/>
          <w:szCs w:val="24"/>
        </w:rPr>
        <w:t>S</w:t>
      </w:r>
      <w:r w:rsidR="00D05121">
        <w:rPr>
          <w:rFonts w:ascii="Times New Roman" w:eastAsia="Malgun Gothic" w:hAnsi="Times New Roman"/>
          <w:sz w:val="24"/>
          <w:szCs w:val="24"/>
        </w:rPr>
        <w:t>ERVAL</w:t>
      </w:r>
      <w:r w:rsidR="00D05121" w:rsidRPr="007668DF">
        <w:rPr>
          <w:rFonts w:ascii="Times New Roman" w:eastAsia="Malgun Gothic" w:hAnsi="Times New Roman"/>
          <w:sz w:val="24"/>
          <w:szCs w:val="24"/>
        </w:rPr>
        <w:t xml:space="preserve"> </w:t>
      </w:r>
      <w:r w:rsidR="00B454AE" w:rsidRPr="007668DF">
        <w:rPr>
          <w:rFonts w:ascii="Times New Roman" w:eastAsia="Malgun Gothic" w:hAnsi="Times New Roman"/>
          <w:sz w:val="24"/>
          <w:szCs w:val="24"/>
        </w:rPr>
        <w:t xml:space="preserve">était </w:t>
      </w:r>
      <w:r w:rsidR="00135527" w:rsidRPr="007668DF">
        <w:rPr>
          <w:rFonts w:ascii="Times New Roman" w:eastAsia="Malgun Gothic" w:hAnsi="Times New Roman"/>
          <w:sz w:val="24"/>
          <w:szCs w:val="24"/>
        </w:rPr>
        <w:t xml:space="preserve">pris pour cible par un engin explosif improvisé commandé par radio, blessant </w:t>
      </w:r>
      <w:r w:rsidR="00843765">
        <w:rPr>
          <w:rFonts w:ascii="Times New Roman" w:eastAsia="Malgun Gothic" w:hAnsi="Times New Roman"/>
          <w:sz w:val="24"/>
          <w:szCs w:val="24"/>
        </w:rPr>
        <w:t>03</w:t>
      </w:r>
      <w:r w:rsidR="00843765" w:rsidRPr="007668DF">
        <w:rPr>
          <w:rFonts w:ascii="Times New Roman" w:eastAsia="Malgun Gothic" w:hAnsi="Times New Roman"/>
          <w:sz w:val="24"/>
          <w:szCs w:val="24"/>
        </w:rPr>
        <w:t xml:space="preserve"> </w:t>
      </w:r>
      <w:r w:rsidR="00135527" w:rsidRPr="007668DF">
        <w:rPr>
          <w:rFonts w:ascii="Times New Roman" w:eastAsia="Malgun Gothic" w:hAnsi="Times New Roman"/>
          <w:sz w:val="24"/>
          <w:szCs w:val="24"/>
        </w:rPr>
        <w:t xml:space="preserve">soldats français. </w:t>
      </w:r>
    </w:p>
    <w:p w:rsidR="00135527" w:rsidRPr="007668DF" w:rsidRDefault="00C50FEB" w:rsidP="006C2FA0">
      <w:pPr>
        <w:tabs>
          <w:tab w:val="left" w:pos="567"/>
        </w:tabs>
        <w:jc w:val="both"/>
        <w:rPr>
          <w:rFonts w:ascii="Times New Roman" w:eastAsia="Malgun Gothic" w:hAnsi="Times New Roman"/>
          <w:sz w:val="24"/>
          <w:szCs w:val="24"/>
        </w:rPr>
      </w:pPr>
      <w:r w:rsidRPr="007668DF">
        <w:rPr>
          <w:rFonts w:ascii="Times New Roman" w:eastAsia="Malgun Gothic" w:hAnsi="Times New Roman"/>
          <w:sz w:val="24"/>
          <w:szCs w:val="24"/>
        </w:rPr>
        <w:t>4</w:t>
      </w:r>
      <w:r w:rsidR="0086130D">
        <w:rPr>
          <w:rFonts w:ascii="Times New Roman" w:eastAsia="Malgun Gothic" w:hAnsi="Times New Roman"/>
          <w:sz w:val="24"/>
          <w:szCs w:val="24"/>
        </w:rPr>
        <w:t>6</w:t>
      </w:r>
      <w:r w:rsidR="00135527" w:rsidRPr="007668DF">
        <w:rPr>
          <w:rFonts w:ascii="Times New Roman" w:eastAsia="Malgun Gothic" w:hAnsi="Times New Roman"/>
          <w:sz w:val="24"/>
          <w:szCs w:val="24"/>
        </w:rPr>
        <w:t>.</w:t>
      </w:r>
      <w:r w:rsidR="00135527" w:rsidRPr="007668DF">
        <w:rPr>
          <w:rFonts w:ascii="Times New Roman" w:eastAsia="Malgun Gothic" w:hAnsi="Times New Roman"/>
          <w:sz w:val="24"/>
          <w:szCs w:val="24"/>
        </w:rPr>
        <w:tab/>
        <w:t>Le 14 décembre 201</w:t>
      </w:r>
      <w:r w:rsidR="00ED0F7E" w:rsidRPr="007668DF">
        <w:rPr>
          <w:rFonts w:ascii="Times New Roman" w:eastAsia="Malgun Gothic" w:hAnsi="Times New Roman"/>
          <w:sz w:val="24"/>
          <w:szCs w:val="24"/>
        </w:rPr>
        <w:t>3</w:t>
      </w:r>
      <w:r w:rsidR="00135527" w:rsidRPr="007668DF">
        <w:rPr>
          <w:rFonts w:ascii="Times New Roman" w:eastAsia="Malgun Gothic" w:hAnsi="Times New Roman"/>
          <w:sz w:val="24"/>
          <w:szCs w:val="24"/>
        </w:rPr>
        <w:t xml:space="preserve">, </w:t>
      </w:r>
      <w:r w:rsidR="00B454AE" w:rsidRPr="007668DF">
        <w:rPr>
          <w:rFonts w:ascii="Times New Roman" w:eastAsia="Malgun Gothic" w:hAnsi="Times New Roman"/>
          <w:sz w:val="24"/>
          <w:szCs w:val="24"/>
        </w:rPr>
        <w:t xml:space="preserve">à Kidal, </w:t>
      </w:r>
      <w:r w:rsidR="00135527" w:rsidRPr="007668DF">
        <w:rPr>
          <w:rFonts w:ascii="Times New Roman" w:eastAsia="Malgun Gothic" w:hAnsi="Times New Roman"/>
          <w:sz w:val="24"/>
          <w:szCs w:val="24"/>
        </w:rPr>
        <w:t>un engin explosif improvisé placé dans un véhicule explos</w:t>
      </w:r>
      <w:r w:rsidR="00B454AE" w:rsidRPr="007668DF">
        <w:rPr>
          <w:rFonts w:ascii="Times New Roman" w:eastAsia="Malgun Gothic" w:hAnsi="Times New Roman"/>
          <w:sz w:val="24"/>
          <w:szCs w:val="24"/>
        </w:rPr>
        <w:t>ait</w:t>
      </w:r>
      <w:r w:rsidR="00135527" w:rsidRPr="007668DF">
        <w:rPr>
          <w:rFonts w:ascii="Times New Roman" w:eastAsia="Malgun Gothic" w:hAnsi="Times New Roman"/>
          <w:sz w:val="24"/>
          <w:szCs w:val="24"/>
        </w:rPr>
        <w:t xml:space="preserve">, tuant </w:t>
      </w:r>
      <w:r w:rsidR="00843765">
        <w:rPr>
          <w:rFonts w:ascii="Times New Roman" w:eastAsia="Malgun Gothic" w:hAnsi="Times New Roman"/>
          <w:sz w:val="24"/>
          <w:szCs w:val="24"/>
        </w:rPr>
        <w:t>2</w:t>
      </w:r>
      <w:r w:rsidR="00843765" w:rsidRPr="007668DF">
        <w:rPr>
          <w:rFonts w:ascii="Times New Roman" w:eastAsia="Malgun Gothic" w:hAnsi="Times New Roman"/>
          <w:sz w:val="24"/>
          <w:szCs w:val="24"/>
        </w:rPr>
        <w:t xml:space="preserve"> </w:t>
      </w:r>
      <w:r w:rsidR="00135527" w:rsidRPr="007668DF">
        <w:rPr>
          <w:rFonts w:ascii="Times New Roman" w:eastAsia="Malgun Gothic" w:hAnsi="Times New Roman"/>
          <w:sz w:val="24"/>
          <w:szCs w:val="24"/>
        </w:rPr>
        <w:t xml:space="preserve">soldats </w:t>
      </w:r>
      <w:r w:rsidR="00494BEA" w:rsidRPr="007668DF">
        <w:rPr>
          <w:rFonts w:ascii="Times New Roman" w:eastAsia="Malgun Gothic" w:hAnsi="Times New Roman"/>
          <w:sz w:val="24"/>
          <w:szCs w:val="24"/>
        </w:rPr>
        <w:t xml:space="preserve">du bataillon </w:t>
      </w:r>
      <w:r w:rsidR="00135527" w:rsidRPr="007668DF">
        <w:rPr>
          <w:rFonts w:ascii="Times New Roman" w:eastAsia="Malgun Gothic" w:hAnsi="Times New Roman"/>
          <w:sz w:val="24"/>
          <w:szCs w:val="24"/>
        </w:rPr>
        <w:t xml:space="preserve">sénégalais de la MINUSMA et blessant </w:t>
      </w:r>
      <w:r w:rsidR="00843765">
        <w:rPr>
          <w:rFonts w:ascii="Times New Roman" w:eastAsia="Malgun Gothic" w:hAnsi="Times New Roman"/>
          <w:sz w:val="24"/>
          <w:szCs w:val="24"/>
        </w:rPr>
        <w:t xml:space="preserve">7 </w:t>
      </w:r>
      <w:r w:rsidR="00135527" w:rsidRPr="007668DF">
        <w:rPr>
          <w:rFonts w:ascii="Times New Roman" w:eastAsia="Malgun Gothic" w:hAnsi="Times New Roman"/>
          <w:sz w:val="24"/>
          <w:szCs w:val="24"/>
        </w:rPr>
        <w:t xml:space="preserve">autres casques bleus et </w:t>
      </w:r>
      <w:r w:rsidR="00843765">
        <w:rPr>
          <w:rFonts w:ascii="Times New Roman" w:eastAsia="Malgun Gothic" w:hAnsi="Times New Roman"/>
          <w:sz w:val="24"/>
          <w:szCs w:val="24"/>
        </w:rPr>
        <w:t>4</w:t>
      </w:r>
      <w:r w:rsidR="00843765" w:rsidRPr="007668DF">
        <w:rPr>
          <w:rFonts w:ascii="Times New Roman" w:eastAsia="Malgun Gothic" w:hAnsi="Times New Roman"/>
          <w:sz w:val="24"/>
          <w:szCs w:val="24"/>
        </w:rPr>
        <w:t xml:space="preserve"> </w:t>
      </w:r>
      <w:r w:rsidR="00135527" w:rsidRPr="007668DF">
        <w:rPr>
          <w:rFonts w:ascii="Times New Roman" w:eastAsia="Malgun Gothic" w:hAnsi="Times New Roman"/>
          <w:sz w:val="24"/>
          <w:szCs w:val="24"/>
        </w:rPr>
        <w:t xml:space="preserve">soldats maliens. </w:t>
      </w:r>
      <w:r w:rsidR="00B454AE" w:rsidRPr="007668DF">
        <w:rPr>
          <w:rFonts w:ascii="Times New Roman" w:eastAsia="Malgun Gothic" w:hAnsi="Times New Roman"/>
          <w:sz w:val="24"/>
          <w:szCs w:val="24"/>
        </w:rPr>
        <w:t>L</w:t>
      </w:r>
      <w:r w:rsidR="00135527" w:rsidRPr="007668DF">
        <w:rPr>
          <w:rFonts w:ascii="Times New Roman" w:eastAsia="Malgun Gothic" w:hAnsi="Times New Roman"/>
          <w:sz w:val="24"/>
          <w:szCs w:val="24"/>
        </w:rPr>
        <w:t xml:space="preserve">e 29 mai 2014, </w:t>
      </w:r>
      <w:r w:rsidR="00843765">
        <w:rPr>
          <w:rFonts w:ascii="Times New Roman" w:eastAsia="Malgun Gothic" w:hAnsi="Times New Roman"/>
          <w:sz w:val="24"/>
          <w:szCs w:val="24"/>
        </w:rPr>
        <w:t>2</w:t>
      </w:r>
      <w:r w:rsidR="00843765" w:rsidRPr="007668DF">
        <w:rPr>
          <w:rFonts w:ascii="Times New Roman" w:eastAsia="Malgun Gothic" w:hAnsi="Times New Roman"/>
          <w:sz w:val="24"/>
          <w:szCs w:val="24"/>
        </w:rPr>
        <w:t xml:space="preserve"> </w:t>
      </w:r>
      <w:r w:rsidR="00135527" w:rsidRPr="007668DF">
        <w:rPr>
          <w:rFonts w:ascii="Times New Roman" w:eastAsia="Malgun Gothic" w:hAnsi="Times New Roman"/>
          <w:sz w:val="24"/>
          <w:szCs w:val="24"/>
        </w:rPr>
        <w:t>travailleurs humanitaires maliens, qui étaient à bord d'un véhicule du Haut-</w:t>
      </w:r>
      <w:r w:rsidR="00B454AE" w:rsidRPr="007668DF">
        <w:rPr>
          <w:rFonts w:ascii="Times New Roman" w:eastAsia="Malgun Gothic" w:hAnsi="Times New Roman"/>
          <w:sz w:val="24"/>
          <w:szCs w:val="24"/>
        </w:rPr>
        <w:t>C</w:t>
      </w:r>
      <w:r w:rsidR="00135527" w:rsidRPr="007668DF">
        <w:rPr>
          <w:rFonts w:ascii="Times New Roman" w:eastAsia="Malgun Gothic" w:hAnsi="Times New Roman"/>
          <w:sz w:val="24"/>
          <w:szCs w:val="24"/>
        </w:rPr>
        <w:t xml:space="preserve">ommissariat des Nations </w:t>
      </w:r>
      <w:r w:rsidR="0045676E">
        <w:rPr>
          <w:rFonts w:ascii="Times New Roman" w:eastAsia="Malgun Gothic" w:hAnsi="Times New Roman"/>
          <w:sz w:val="24"/>
          <w:szCs w:val="24"/>
        </w:rPr>
        <w:t>U</w:t>
      </w:r>
      <w:r w:rsidR="00135527" w:rsidRPr="007668DF">
        <w:rPr>
          <w:rFonts w:ascii="Times New Roman" w:eastAsia="Malgun Gothic" w:hAnsi="Times New Roman"/>
          <w:sz w:val="24"/>
          <w:szCs w:val="24"/>
        </w:rPr>
        <w:t xml:space="preserve">nies pour les </w:t>
      </w:r>
      <w:r w:rsidR="00882BA8" w:rsidRPr="007668DF">
        <w:rPr>
          <w:rFonts w:ascii="Times New Roman" w:eastAsia="Malgun Gothic" w:hAnsi="Times New Roman"/>
          <w:sz w:val="24"/>
          <w:szCs w:val="24"/>
        </w:rPr>
        <w:t>r</w:t>
      </w:r>
      <w:r w:rsidR="00135527" w:rsidRPr="007668DF">
        <w:rPr>
          <w:rFonts w:ascii="Times New Roman" w:eastAsia="Malgun Gothic" w:hAnsi="Times New Roman"/>
          <w:sz w:val="24"/>
          <w:szCs w:val="24"/>
        </w:rPr>
        <w:t xml:space="preserve">éfugiés, </w:t>
      </w:r>
      <w:r w:rsidR="00D05121">
        <w:rPr>
          <w:rFonts w:ascii="Times New Roman" w:eastAsia="Malgun Gothic" w:hAnsi="Times New Roman"/>
          <w:sz w:val="24"/>
          <w:szCs w:val="24"/>
        </w:rPr>
        <w:t>o</w:t>
      </w:r>
      <w:r w:rsidR="00D05121" w:rsidRPr="007668DF">
        <w:rPr>
          <w:rFonts w:ascii="Times New Roman" w:eastAsia="Malgun Gothic" w:hAnsi="Times New Roman"/>
          <w:sz w:val="24"/>
          <w:szCs w:val="24"/>
        </w:rPr>
        <w:t xml:space="preserve">nt </w:t>
      </w:r>
      <w:r w:rsidR="00D05121">
        <w:rPr>
          <w:rFonts w:ascii="Times New Roman" w:eastAsia="Malgun Gothic" w:hAnsi="Times New Roman"/>
          <w:sz w:val="24"/>
          <w:szCs w:val="24"/>
        </w:rPr>
        <w:t xml:space="preserve">été </w:t>
      </w:r>
      <w:r w:rsidR="00135527" w:rsidRPr="007668DF">
        <w:rPr>
          <w:rFonts w:ascii="Times New Roman" w:eastAsia="Malgun Gothic" w:hAnsi="Times New Roman"/>
          <w:sz w:val="24"/>
          <w:szCs w:val="24"/>
        </w:rPr>
        <w:t>tués lorsque leur véhicule a sauté sur une mine dans le nord-ouest du Mali.</w:t>
      </w:r>
    </w:p>
    <w:p w:rsidR="00135527" w:rsidRPr="007668DF" w:rsidRDefault="00C50FEB" w:rsidP="006C2FA0">
      <w:pPr>
        <w:tabs>
          <w:tab w:val="left" w:pos="567"/>
        </w:tabs>
        <w:jc w:val="both"/>
        <w:rPr>
          <w:rFonts w:ascii="Times New Roman" w:eastAsia="Malgun Gothic" w:hAnsi="Times New Roman"/>
          <w:sz w:val="24"/>
          <w:szCs w:val="24"/>
        </w:rPr>
      </w:pPr>
      <w:r w:rsidRPr="007668DF">
        <w:rPr>
          <w:rFonts w:ascii="Times New Roman" w:eastAsia="Malgun Gothic" w:hAnsi="Times New Roman"/>
          <w:sz w:val="24"/>
          <w:szCs w:val="24"/>
        </w:rPr>
        <w:t>4</w:t>
      </w:r>
      <w:r w:rsidR="0086130D">
        <w:rPr>
          <w:rFonts w:ascii="Times New Roman" w:eastAsia="Malgun Gothic" w:hAnsi="Times New Roman"/>
          <w:sz w:val="24"/>
          <w:szCs w:val="24"/>
        </w:rPr>
        <w:t>7</w:t>
      </w:r>
      <w:r w:rsidR="00135527" w:rsidRPr="007668DF">
        <w:rPr>
          <w:rFonts w:ascii="Times New Roman" w:eastAsia="Malgun Gothic" w:hAnsi="Times New Roman"/>
          <w:sz w:val="24"/>
          <w:szCs w:val="24"/>
        </w:rPr>
        <w:t>.</w:t>
      </w:r>
      <w:r w:rsidR="00135527" w:rsidRPr="007668DF">
        <w:rPr>
          <w:rFonts w:ascii="Times New Roman" w:eastAsia="Malgun Gothic" w:hAnsi="Times New Roman"/>
          <w:sz w:val="24"/>
          <w:szCs w:val="24"/>
        </w:rPr>
        <w:tab/>
        <w:t xml:space="preserve">Au </w:t>
      </w:r>
      <w:r w:rsidR="0045676E">
        <w:rPr>
          <w:rFonts w:ascii="Times New Roman" w:eastAsia="Malgun Gothic" w:hAnsi="Times New Roman"/>
          <w:sz w:val="24"/>
          <w:szCs w:val="24"/>
        </w:rPr>
        <w:t>n</w:t>
      </w:r>
      <w:r w:rsidR="00135527" w:rsidRPr="007668DF">
        <w:rPr>
          <w:rFonts w:ascii="Times New Roman" w:eastAsia="Malgun Gothic" w:hAnsi="Times New Roman"/>
          <w:sz w:val="24"/>
          <w:szCs w:val="24"/>
        </w:rPr>
        <w:t xml:space="preserve">ord, les populations civiles </w:t>
      </w:r>
      <w:r w:rsidR="002F79D6">
        <w:rPr>
          <w:rFonts w:ascii="Times New Roman" w:eastAsia="Malgun Gothic" w:hAnsi="Times New Roman"/>
          <w:sz w:val="24"/>
          <w:szCs w:val="24"/>
        </w:rPr>
        <w:t>étaient</w:t>
      </w:r>
      <w:r w:rsidR="003F3A61" w:rsidRPr="007668DF">
        <w:rPr>
          <w:rFonts w:ascii="Times New Roman" w:eastAsia="Malgun Gothic" w:hAnsi="Times New Roman"/>
          <w:sz w:val="24"/>
          <w:szCs w:val="24"/>
        </w:rPr>
        <w:t xml:space="preserve"> </w:t>
      </w:r>
      <w:r w:rsidR="00135527" w:rsidRPr="007668DF">
        <w:rPr>
          <w:rFonts w:ascii="Times New Roman" w:eastAsia="Malgun Gothic" w:hAnsi="Times New Roman"/>
          <w:sz w:val="24"/>
          <w:szCs w:val="24"/>
        </w:rPr>
        <w:t>de plus en plus vulnérables aux activités des groupes armés</w:t>
      </w:r>
      <w:r w:rsidR="00882BA8" w:rsidRPr="007668DF">
        <w:rPr>
          <w:rFonts w:ascii="Times New Roman" w:eastAsia="Malgun Gothic" w:hAnsi="Times New Roman"/>
          <w:sz w:val="24"/>
          <w:szCs w:val="24"/>
        </w:rPr>
        <w:t>, notamment d’</w:t>
      </w:r>
      <w:r w:rsidR="00135527" w:rsidRPr="007668DF">
        <w:rPr>
          <w:rFonts w:ascii="Times New Roman" w:eastAsia="Malgun Gothic" w:hAnsi="Times New Roman"/>
          <w:sz w:val="24"/>
          <w:szCs w:val="24"/>
        </w:rPr>
        <w:t xml:space="preserve">actes </w:t>
      </w:r>
      <w:r w:rsidR="001A07F4" w:rsidRPr="007668DF">
        <w:rPr>
          <w:rFonts w:ascii="Times New Roman" w:eastAsia="Malgun Gothic" w:hAnsi="Times New Roman"/>
          <w:sz w:val="24"/>
          <w:szCs w:val="24"/>
        </w:rPr>
        <w:t xml:space="preserve">visant à répandre la terreur </w:t>
      </w:r>
      <w:r w:rsidR="00135527" w:rsidRPr="007668DF">
        <w:rPr>
          <w:rFonts w:ascii="Times New Roman" w:eastAsia="Malgun Gothic" w:hAnsi="Times New Roman"/>
          <w:sz w:val="24"/>
          <w:szCs w:val="24"/>
        </w:rPr>
        <w:t xml:space="preserve">et </w:t>
      </w:r>
      <w:r w:rsidR="00882BA8" w:rsidRPr="007668DF">
        <w:rPr>
          <w:rFonts w:ascii="Times New Roman" w:eastAsia="Malgun Gothic" w:hAnsi="Times New Roman"/>
          <w:sz w:val="24"/>
          <w:szCs w:val="24"/>
        </w:rPr>
        <w:t>d’</w:t>
      </w:r>
      <w:r w:rsidR="00135527" w:rsidRPr="007668DF">
        <w:rPr>
          <w:rFonts w:ascii="Times New Roman" w:eastAsia="Malgun Gothic" w:hAnsi="Times New Roman"/>
          <w:sz w:val="24"/>
          <w:szCs w:val="24"/>
        </w:rPr>
        <w:t xml:space="preserve">attaques indiscriminées. Le </w:t>
      </w:r>
      <w:r w:rsidR="00135527" w:rsidRPr="007668DF">
        <w:rPr>
          <w:rFonts w:ascii="Times New Roman" w:eastAsia="Malgun Gothic" w:hAnsi="Times New Roman"/>
          <w:i/>
          <w:sz w:val="24"/>
          <w:szCs w:val="24"/>
        </w:rPr>
        <w:t>modus operandi</w:t>
      </w:r>
      <w:r w:rsidR="00135527" w:rsidRPr="007668DF">
        <w:rPr>
          <w:rFonts w:ascii="Times New Roman" w:eastAsia="Malgun Gothic" w:hAnsi="Times New Roman"/>
          <w:sz w:val="24"/>
          <w:szCs w:val="24"/>
        </w:rPr>
        <w:t xml:space="preserve"> de</w:t>
      </w:r>
      <w:r w:rsidR="00882BA8" w:rsidRPr="007668DF">
        <w:rPr>
          <w:rFonts w:ascii="Times New Roman" w:eastAsia="Malgun Gothic" w:hAnsi="Times New Roman"/>
          <w:sz w:val="24"/>
          <w:szCs w:val="24"/>
        </w:rPr>
        <w:t xml:space="preserve"> ce</w:t>
      </w:r>
      <w:r w:rsidR="00135527" w:rsidRPr="007668DF">
        <w:rPr>
          <w:rFonts w:ascii="Times New Roman" w:eastAsia="Malgun Gothic" w:hAnsi="Times New Roman"/>
          <w:sz w:val="24"/>
          <w:szCs w:val="24"/>
        </w:rPr>
        <w:t xml:space="preserve">s groupes </w:t>
      </w:r>
      <w:r w:rsidR="00882BA8" w:rsidRPr="007668DF">
        <w:rPr>
          <w:rFonts w:ascii="Times New Roman" w:eastAsia="Malgun Gothic" w:hAnsi="Times New Roman"/>
          <w:sz w:val="24"/>
          <w:szCs w:val="24"/>
        </w:rPr>
        <w:t xml:space="preserve">armés </w:t>
      </w:r>
      <w:r w:rsidR="00135527" w:rsidRPr="007668DF">
        <w:rPr>
          <w:rFonts w:ascii="Times New Roman" w:eastAsia="Malgun Gothic" w:hAnsi="Times New Roman"/>
          <w:sz w:val="24"/>
          <w:szCs w:val="24"/>
        </w:rPr>
        <w:t>consist</w:t>
      </w:r>
      <w:r w:rsidR="00843765">
        <w:rPr>
          <w:rFonts w:ascii="Times New Roman" w:eastAsia="Malgun Gothic" w:hAnsi="Times New Roman"/>
          <w:sz w:val="24"/>
          <w:szCs w:val="24"/>
        </w:rPr>
        <w:t>ait</w:t>
      </w:r>
      <w:r w:rsidR="00135527" w:rsidRPr="007668DF">
        <w:rPr>
          <w:rFonts w:ascii="Times New Roman" w:eastAsia="Malgun Gothic" w:hAnsi="Times New Roman"/>
          <w:sz w:val="24"/>
          <w:szCs w:val="24"/>
        </w:rPr>
        <w:t xml:space="preserve"> </w:t>
      </w:r>
      <w:r w:rsidR="008C7646">
        <w:rPr>
          <w:rFonts w:ascii="Times New Roman" w:eastAsia="Malgun Gothic" w:hAnsi="Times New Roman"/>
          <w:sz w:val="24"/>
          <w:szCs w:val="24"/>
        </w:rPr>
        <w:lastRenderedPageBreak/>
        <w:t>en</w:t>
      </w:r>
      <w:r w:rsidR="00135527" w:rsidRPr="007668DF">
        <w:rPr>
          <w:rFonts w:ascii="Times New Roman" w:eastAsia="Malgun Gothic" w:hAnsi="Times New Roman"/>
          <w:sz w:val="24"/>
          <w:szCs w:val="24"/>
        </w:rPr>
        <w:t xml:space="preserve"> </w:t>
      </w:r>
      <w:r w:rsidR="008C7646">
        <w:rPr>
          <w:rFonts w:ascii="Times New Roman" w:eastAsia="Malgun Gothic" w:hAnsi="Times New Roman"/>
          <w:sz w:val="24"/>
          <w:szCs w:val="24"/>
        </w:rPr>
        <w:t>l’</w:t>
      </w:r>
      <w:r w:rsidR="00135527" w:rsidRPr="007668DF">
        <w:rPr>
          <w:rFonts w:ascii="Times New Roman" w:eastAsia="Malgun Gothic" w:hAnsi="Times New Roman"/>
          <w:sz w:val="24"/>
          <w:szCs w:val="24"/>
        </w:rPr>
        <w:t>utilis</w:t>
      </w:r>
      <w:r w:rsidR="008C7646">
        <w:rPr>
          <w:rFonts w:ascii="Times New Roman" w:eastAsia="Malgun Gothic" w:hAnsi="Times New Roman"/>
          <w:sz w:val="24"/>
          <w:szCs w:val="24"/>
        </w:rPr>
        <w:t>ation</w:t>
      </w:r>
      <w:r w:rsidR="00135527" w:rsidRPr="007668DF">
        <w:rPr>
          <w:rFonts w:ascii="Times New Roman" w:eastAsia="Malgun Gothic" w:hAnsi="Times New Roman"/>
          <w:sz w:val="24"/>
          <w:szCs w:val="24"/>
        </w:rPr>
        <w:t xml:space="preserve"> </w:t>
      </w:r>
      <w:r w:rsidR="008C7646" w:rsidRPr="007668DF">
        <w:rPr>
          <w:rFonts w:ascii="Times New Roman" w:eastAsia="Malgun Gothic" w:hAnsi="Times New Roman"/>
          <w:sz w:val="24"/>
          <w:szCs w:val="24"/>
        </w:rPr>
        <w:t>d</w:t>
      </w:r>
      <w:r w:rsidR="008C7646">
        <w:rPr>
          <w:rFonts w:ascii="Times New Roman" w:eastAsia="Malgun Gothic" w:hAnsi="Times New Roman"/>
          <w:sz w:val="24"/>
          <w:szCs w:val="24"/>
        </w:rPr>
        <w:t>’</w:t>
      </w:r>
      <w:r w:rsidR="00135527" w:rsidRPr="007668DF">
        <w:rPr>
          <w:rFonts w:ascii="Times New Roman" w:eastAsia="Malgun Gothic" w:hAnsi="Times New Roman"/>
          <w:sz w:val="24"/>
          <w:szCs w:val="24"/>
        </w:rPr>
        <w:t xml:space="preserve">engins explosifs improvisés, à </w:t>
      </w:r>
      <w:r w:rsidR="008C7646">
        <w:rPr>
          <w:rFonts w:ascii="Times New Roman" w:eastAsia="Malgun Gothic" w:hAnsi="Times New Roman"/>
          <w:sz w:val="24"/>
          <w:szCs w:val="24"/>
        </w:rPr>
        <w:t xml:space="preserve">la </w:t>
      </w:r>
      <w:r w:rsidR="008C7646" w:rsidRPr="007668DF">
        <w:rPr>
          <w:rFonts w:ascii="Times New Roman" w:eastAsia="Malgun Gothic" w:hAnsi="Times New Roman"/>
          <w:sz w:val="24"/>
          <w:szCs w:val="24"/>
        </w:rPr>
        <w:t>pr</w:t>
      </w:r>
      <w:r w:rsidR="008C7646">
        <w:rPr>
          <w:rFonts w:ascii="Times New Roman" w:eastAsia="Malgun Gothic" w:hAnsi="Times New Roman"/>
          <w:sz w:val="24"/>
          <w:szCs w:val="24"/>
        </w:rPr>
        <w:t>ise</w:t>
      </w:r>
      <w:r w:rsidR="008C7646" w:rsidRPr="007668DF">
        <w:rPr>
          <w:rFonts w:ascii="Times New Roman" w:eastAsia="Malgun Gothic" w:hAnsi="Times New Roman"/>
          <w:sz w:val="24"/>
          <w:szCs w:val="24"/>
        </w:rPr>
        <w:t xml:space="preserve"> </w:t>
      </w:r>
      <w:r w:rsidR="00B454AE" w:rsidRPr="007668DF">
        <w:rPr>
          <w:rFonts w:ascii="Times New Roman" w:eastAsia="Malgun Gothic" w:hAnsi="Times New Roman"/>
          <w:sz w:val="24"/>
          <w:szCs w:val="24"/>
        </w:rPr>
        <w:t xml:space="preserve">des </w:t>
      </w:r>
      <w:r w:rsidR="00135527" w:rsidRPr="007668DF">
        <w:rPr>
          <w:rFonts w:ascii="Times New Roman" w:eastAsia="Malgun Gothic" w:hAnsi="Times New Roman"/>
          <w:sz w:val="24"/>
          <w:szCs w:val="24"/>
        </w:rPr>
        <w:t>otages pour exiger des rançons</w:t>
      </w:r>
      <w:r w:rsidR="00B454AE" w:rsidRPr="007668DF">
        <w:rPr>
          <w:rFonts w:ascii="Times New Roman" w:eastAsia="Malgun Gothic" w:hAnsi="Times New Roman"/>
          <w:sz w:val="24"/>
          <w:szCs w:val="24"/>
        </w:rPr>
        <w:t>,</w:t>
      </w:r>
      <w:r w:rsidR="00135527" w:rsidRPr="007668DF">
        <w:rPr>
          <w:rFonts w:ascii="Times New Roman" w:eastAsia="Malgun Gothic" w:hAnsi="Times New Roman"/>
          <w:sz w:val="24"/>
          <w:szCs w:val="24"/>
        </w:rPr>
        <w:t xml:space="preserve"> et à </w:t>
      </w:r>
      <w:r w:rsidR="008C7646">
        <w:rPr>
          <w:rFonts w:ascii="Times New Roman" w:eastAsia="Malgun Gothic" w:hAnsi="Times New Roman"/>
          <w:sz w:val="24"/>
          <w:szCs w:val="24"/>
        </w:rPr>
        <w:t>l’</w:t>
      </w:r>
      <w:r w:rsidR="00135527" w:rsidRPr="007668DF">
        <w:rPr>
          <w:rFonts w:ascii="Times New Roman" w:eastAsia="Malgun Gothic" w:hAnsi="Times New Roman"/>
          <w:sz w:val="24"/>
          <w:szCs w:val="24"/>
        </w:rPr>
        <w:t>organis</w:t>
      </w:r>
      <w:r w:rsidR="008C7646">
        <w:rPr>
          <w:rFonts w:ascii="Times New Roman" w:eastAsia="Malgun Gothic" w:hAnsi="Times New Roman"/>
          <w:sz w:val="24"/>
          <w:szCs w:val="24"/>
        </w:rPr>
        <w:t>ation</w:t>
      </w:r>
      <w:r w:rsidR="00135527" w:rsidRPr="007668DF">
        <w:rPr>
          <w:rFonts w:ascii="Times New Roman" w:eastAsia="Malgun Gothic" w:hAnsi="Times New Roman"/>
          <w:sz w:val="24"/>
          <w:szCs w:val="24"/>
        </w:rPr>
        <w:t xml:space="preserve"> </w:t>
      </w:r>
      <w:r w:rsidR="008C7646" w:rsidRPr="007668DF">
        <w:rPr>
          <w:rFonts w:ascii="Times New Roman" w:eastAsia="Malgun Gothic" w:hAnsi="Times New Roman"/>
          <w:sz w:val="24"/>
          <w:szCs w:val="24"/>
        </w:rPr>
        <w:t>d</w:t>
      </w:r>
      <w:r w:rsidR="008C7646">
        <w:rPr>
          <w:rFonts w:ascii="Times New Roman" w:eastAsia="Malgun Gothic" w:hAnsi="Times New Roman"/>
          <w:sz w:val="24"/>
          <w:szCs w:val="24"/>
        </w:rPr>
        <w:t>’</w:t>
      </w:r>
      <w:r w:rsidR="00135527" w:rsidRPr="007668DF">
        <w:rPr>
          <w:rFonts w:ascii="Times New Roman" w:eastAsia="Malgun Gothic" w:hAnsi="Times New Roman"/>
          <w:sz w:val="24"/>
          <w:szCs w:val="24"/>
        </w:rPr>
        <w:t xml:space="preserve">actes de criminalité ciblée. Les forces de la MINUSMA, </w:t>
      </w:r>
      <w:r w:rsidR="007737FC" w:rsidRPr="007668DF">
        <w:rPr>
          <w:rFonts w:ascii="Times New Roman" w:eastAsia="Malgun Gothic" w:hAnsi="Times New Roman"/>
          <w:sz w:val="24"/>
          <w:szCs w:val="24"/>
        </w:rPr>
        <w:t xml:space="preserve">de l’opération </w:t>
      </w:r>
      <w:r w:rsidR="002F79D6">
        <w:rPr>
          <w:rFonts w:ascii="Times New Roman" w:eastAsia="Malgun Gothic" w:hAnsi="Times New Roman"/>
          <w:sz w:val="24"/>
          <w:szCs w:val="24"/>
        </w:rPr>
        <w:t>SERVAL</w:t>
      </w:r>
      <w:r w:rsidR="00135527" w:rsidRPr="007668DF">
        <w:rPr>
          <w:rFonts w:ascii="Times New Roman" w:eastAsia="Malgun Gothic" w:hAnsi="Times New Roman"/>
          <w:sz w:val="24"/>
          <w:szCs w:val="24"/>
        </w:rPr>
        <w:t>, les membres d</w:t>
      </w:r>
      <w:r w:rsidR="00F54761" w:rsidRPr="007668DF">
        <w:rPr>
          <w:rFonts w:ascii="Times New Roman" w:eastAsia="Malgun Gothic" w:hAnsi="Times New Roman"/>
          <w:sz w:val="24"/>
          <w:szCs w:val="24"/>
        </w:rPr>
        <w:t xml:space="preserve">’organisations non gouvernementales </w:t>
      </w:r>
      <w:r w:rsidR="00B64CD3" w:rsidRPr="007668DF">
        <w:rPr>
          <w:rFonts w:ascii="Times New Roman" w:eastAsia="Malgun Gothic" w:hAnsi="Times New Roman"/>
          <w:sz w:val="24"/>
          <w:szCs w:val="24"/>
        </w:rPr>
        <w:t>internationales (</w:t>
      </w:r>
      <w:r w:rsidR="00C24BF7" w:rsidRPr="007668DF">
        <w:rPr>
          <w:rFonts w:ascii="Times New Roman" w:eastAsia="Malgun Gothic" w:hAnsi="Times New Roman"/>
          <w:sz w:val="24"/>
          <w:szCs w:val="24"/>
        </w:rPr>
        <w:t>M</w:t>
      </w:r>
      <w:r w:rsidR="001A07F4" w:rsidRPr="007668DF">
        <w:rPr>
          <w:rFonts w:ascii="Times New Roman" w:eastAsia="Malgun Gothic" w:hAnsi="Times New Roman"/>
          <w:sz w:val="24"/>
          <w:szCs w:val="24"/>
        </w:rPr>
        <w:t>é</w:t>
      </w:r>
      <w:r w:rsidR="00C24BF7" w:rsidRPr="007668DF">
        <w:rPr>
          <w:rFonts w:ascii="Times New Roman" w:eastAsia="Malgun Gothic" w:hAnsi="Times New Roman"/>
          <w:sz w:val="24"/>
          <w:szCs w:val="24"/>
        </w:rPr>
        <w:t xml:space="preserve">decins du </w:t>
      </w:r>
      <w:r w:rsidR="00E1789B" w:rsidRPr="007668DF">
        <w:rPr>
          <w:rFonts w:ascii="Times New Roman" w:eastAsia="Malgun Gothic" w:hAnsi="Times New Roman"/>
          <w:sz w:val="24"/>
          <w:szCs w:val="24"/>
        </w:rPr>
        <w:t>M</w:t>
      </w:r>
      <w:r w:rsidR="00B64CD3" w:rsidRPr="007668DF">
        <w:rPr>
          <w:rFonts w:ascii="Times New Roman" w:eastAsia="Malgun Gothic" w:hAnsi="Times New Roman"/>
          <w:sz w:val="24"/>
          <w:szCs w:val="24"/>
        </w:rPr>
        <w:t xml:space="preserve">onde, </w:t>
      </w:r>
      <w:r w:rsidR="00B64CD3" w:rsidRPr="007668DF">
        <w:rPr>
          <w:rFonts w:ascii="Times New Roman" w:eastAsia="Malgun Gothic" w:hAnsi="Times New Roman"/>
          <w:i/>
          <w:sz w:val="24"/>
          <w:szCs w:val="24"/>
        </w:rPr>
        <w:t xml:space="preserve">Norwegian </w:t>
      </w:r>
      <w:r w:rsidR="00E1789B" w:rsidRPr="007668DF">
        <w:rPr>
          <w:rFonts w:ascii="Times New Roman" w:eastAsia="Malgun Gothic" w:hAnsi="Times New Roman"/>
          <w:i/>
          <w:sz w:val="24"/>
          <w:szCs w:val="24"/>
        </w:rPr>
        <w:t>R</w:t>
      </w:r>
      <w:r w:rsidR="00B64CD3" w:rsidRPr="007668DF">
        <w:rPr>
          <w:rFonts w:ascii="Times New Roman" w:eastAsia="Malgun Gothic" w:hAnsi="Times New Roman"/>
          <w:i/>
          <w:sz w:val="24"/>
          <w:szCs w:val="24"/>
        </w:rPr>
        <w:t xml:space="preserve">efugee </w:t>
      </w:r>
      <w:r w:rsidR="00E1789B" w:rsidRPr="007668DF">
        <w:rPr>
          <w:rFonts w:ascii="Times New Roman" w:eastAsia="Malgun Gothic" w:hAnsi="Times New Roman"/>
          <w:i/>
          <w:sz w:val="24"/>
          <w:szCs w:val="24"/>
        </w:rPr>
        <w:t>C</w:t>
      </w:r>
      <w:r w:rsidR="00B64CD3" w:rsidRPr="007668DF">
        <w:rPr>
          <w:rFonts w:ascii="Times New Roman" w:eastAsia="Malgun Gothic" w:hAnsi="Times New Roman"/>
          <w:i/>
          <w:sz w:val="24"/>
          <w:szCs w:val="24"/>
        </w:rPr>
        <w:t>ouncil</w:t>
      </w:r>
      <w:r w:rsidR="00B64CD3" w:rsidRPr="007668DF">
        <w:rPr>
          <w:rFonts w:ascii="Times New Roman" w:eastAsia="Malgun Gothic" w:hAnsi="Times New Roman"/>
          <w:sz w:val="24"/>
          <w:szCs w:val="24"/>
        </w:rPr>
        <w:t>)</w:t>
      </w:r>
      <w:r w:rsidR="00135527" w:rsidRPr="007668DF">
        <w:rPr>
          <w:rFonts w:ascii="Times New Roman" w:eastAsia="Malgun Gothic" w:hAnsi="Times New Roman"/>
          <w:sz w:val="24"/>
          <w:szCs w:val="24"/>
        </w:rPr>
        <w:t xml:space="preserve"> et les FAM</w:t>
      </w:r>
      <w:r w:rsidR="00F54761" w:rsidRPr="007668DF">
        <w:rPr>
          <w:rFonts w:ascii="Times New Roman" w:eastAsia="Malgun Gothic" w:hAnsi="Times New Roman"/>
          <w:sz w:val="24"/>
          <w:szCs w:val="24"/>
        </w:rPr>
        <w:t>a</w:t>
      </w:r>
      <w:r w:rsidR="00135527" w:rsidRPr="007668DF">
        <w:rPr>
          <w:rFonts w:ascii="Times New Roman" w:eastAsia="Malgun Gothic" w:hAnsi="Times New Roman"/>
          <w:sz w:val="24"/>
          <w:szCs w:val="24"/>
        </w:rPr>
        <w:t xml:space="preserve"> ont été à plusieurs reprises la cible </w:t>
      </w:r>
      <w:r w:rsidR="00882BA8" w:rsidRPr="007668DF">
        <w:rPr>
          <w:rFonts w:ascii="Times New Roman" w:eastAsia="Malgun Gothic" w:hAnsi="Times New Roman"/>
          <w:sz w:val="24"/>
          <w:szCs w:val="24"/>
        </w:rPr>
        <w:t>d’</w:t>
      </w:r>
      <w:r w:rsidR="00135527" w:rsidRPr="007668DF">
        <w:rPr>
          <w:rFonts w:ascii="Times New Roman" w:eastAsia="Malgun Gothic" w:hAnsi="Times New Roman"/>
          <w:sz w:val="24"/>
          <w:szCs w:val="24"/>
        </w:rPr>
        <w:t xml:space="preserve">attaques de cette nature. La MINUSMA a documenté plus d’une cinquantaine d’incidents impliquant l’utilisation d’engins explosifs improvisés, </w:t>
      </w:r>
      <w:r w:rsidR="00F54761" w:rsidRPr="007668DF">
        <w:rPr>
          <w:rFonts w:ascii="Times New Roman" w:eastAsia="Malgun Gothic" w:hAnsi="Times New Roman"/>
          <w:sz w:val="24"/>
          <w:szCs w:val="24"/>
        </w:rPr>
        <w:t>et d</w:t>
      </w:r>
      <w:r w:rsidR="00135527" w:rsidRPr="007668DF">
        <w:rPr>
          <w:rFonts w:ascii="Times New Roman" w:eastAsia="Malgun Gothic" w:hAnsi="Times New Roman"/>
          <w:sz w:val="24"/>
          <w:szCs w:val="24"/>
        </w:rPr>
        <w:t>e</w:t>
      </w:r>
      <w:r w:rsidR="00634626">
        <w:rPr>
          <w:rFonts w:ascii="Times New Roman" w:eastAsia="Malgun Gothic" w:hAnsi="Times New Roman"/>
          <w:sz w:val="24"/>
          <w:szCs w:val="24"/>
        </w:rPr>
        <w:t>s</w:t>
      </w:r>
      <w:r w:rsidR="00135527" w:rsidRPr="007668DF">
        <w:rPr>
          <w:rFonts w:ascii="Times New Roman" w:eastAsia="Malgun Gothic" w:hAnsi="Times New Roman"/>
          <w:sz w:val="24"/>
          <w:szCs w:val="24"/>
        </w:rPr>
        <w:t xml:space="preserve"> tirs de roquettes</w:t>
      </w:r>
      <w:r w:rsidR="00840D10" w:rsidRPr="007668DF">
        <w:rPr>
          <w:rFonts w:ascii="Times New Roman" w:eastAsia="Malgun Gothic" w:hAnsi="Times New Roman"/>
          <w:sz w:val="24"/>
          <w:szCs w:val="24"/>
        </w:rPr>
        <w:t xml:space="preserve">. </w:t>
      </w:r>
    </w:p>
    <w:p w:rsidR="00816B77" w:rsidRPr="007668DF" w:rsidRDefault="00816B77" w:rsidP="006C2FA0">
      <w:pPr>
        <w:tabs>
          <w:tab w:val="left" w:pos="567"/>
        </w:tabs>
        <w:ind w:left="1440"/>
        <w:jc w:val="both"/>
        <w:rPr>
          <w:rFonts w:ascii="Times New Roman" w:eastAsia="Malgun Gothic" w:hAnsi="Times New Roman"/>
          <w:i/>
          <w:sz w:val="24"/>
          <w:szCs w:val="24"/>
        </w:rPr>
      </w:pPr>
      <w:r w:rsidRPr="007668DF">
        <w:rPr>
          <w:rFonts w:ascii="Times New Roman" w:eastAsia="Malgun Gothic" w:hAnsi="Times New Roman"/>
          <w:i/>
          <w:sz w:val="24"/>
          <w:szCs w:val="24"/>
        </w:rPr>
        <w:t xml:space="preserve">Arrestations et détentions </w:t>
      </w:r>
      <w:r w:rsidR="008C7646">
        <w:rPr>
          <w:rFonts w:ascii="Times New Roman" w:eastAsia="Malgun Gothic" w:hAnsi="Times New Roman"/>
          <w:i/>
          <w:sz w:val="24"/>
          <w:szCs w:val="24"/>
        </w:rPr>
        <w:t>illégales</w:t>
      </w:r>
      <w:r w:rsidRPr="007668DF">
        <w:rPr>
          <w:rFonts w:ascii="Times New Roman" w:eastAsia="Malgun Gothic" w:hAnsi="Times New Roman"/>
          <w:i/>
          <w:sz w:val="24"/>
          <w:szCs w:val="24"/>
        </w:rPr>
        <w:t>, torture et traitements cruels, inhumains ou dégradants.</w:t>
      </w:r>
    </w:p>
    <w:p w:rsidR="00BC1A25" w:rsidRPr="007668DF" w:rsidRDefault="003718B0" w:rsidP="006C2FA0">
      <w:pPr>
        <w:tabs>
          <w:tab w:val="left" w:pos="567"/>
        </w:tabs>
        <w:jc w:val="both"/>
        <w:rPr>
          <w:rFonts w:ascii="Times New Roman" w:eastAsia="Malgun Gothic" w:hAnsi="Times New Roman"/>
          <w:sz w:val="24"/>
          <w:szCs w:val="24"/>
        </w:rPr>
      </w:pPr>
      <w:r w:rsidRPr="007668DF">
        <w:rPr>
          <w:rFonts w:ascii="Times New Roman" w:eastAsia="Malgun Gothic" w:hAnsi="Times New Roman"/>
          <w:sz w:val="24"/>
          <w:szCs w:val="24"/>
        </w:rPr>
        <w:t>4</w:t>
      </w:r>
      <w:r w:rsidR="0086130D">
        <w:rPr>
          <w:rFonts w:ascii="Times New Roman" w:eastAsia="Malgun Gothic" w:hAnsi="Times New Roman"/>
          <w:sz w:val="24"/>
          <w:szCs w:val="24"/>
        </w:rPr>
        <w:t>8</w:t>
      </w:r>
      <w:r w:rsidRPr="007668DF">
        <w:rPr>
          <w:rFonts w:ascii="Times New Roman" w:eastAsia="Malgun Gothic" w:hAnsi="Times New Roman"/>
          <w:sz w:val="24"/>
          <w:szCs w:val="24"/>
        </w:rPr>
        <w:t>.</w:t>
      </w:r>
      <w:r w:rsidRPr="007668DF">
        <w:rPr>
          <w:rFonts w:ascii="Times New Roman" w:eastAsia="Malgun Gothic" w:hAnsi="Times New Roman"/>
          <w:sz w:val="24"/>
          <w:szCs w:val="24"/>
        </w:rPr>
        <w:tab/>
      </w:r>
      <w:r w:rsidR="00392819" w:rsidRPr="007668DF">
        <w:rPr>
          <w:rFonts w:ascii="Times New Roman" w:eastAsia="Malgun Gothic" w:hAnsi="Times New Roman"/>
          <w:sz w:val="24"/>
          <w:szCs w:val="24"/>
        </w:rPr>
        <w:t xml:space="preserve">La Division des droits de l’homme visite régulièrement les centres de détention contrôlés par des groupes armés (MNLA et HCUA) dans le nord. Dans la région de Kidal, et jusqu’en </w:t>
      </w:r>
      <w:r w:rsidR="008C7646">
        <w:rPr>
          <w:rFonts w:ascii="Times New Roman" w:eastAsia="Malgun Gothic" w:hAnsi="Times New Roman"/>
          <w:sz w:val="24"/>
          <w:szCs w:val="24"/>
        </w:rPr>
        <w:t>m</w:t>
      </w:r>
      <w:r w:rsidR="00392819" w:rsidRPr="007668DF">
        <w:rPr>
          <w:rFonts w:ascii="Times New Roman" w:eastAsia="Malgun Gothic" w:hAnsi="Times New Roman"/>
          <w:sz w:val="24"/>
          <w:szCs w:val="24"/>
        </w:rPr>
        <w:t xml:space="preserve">ai 2014, 11 civils </w:t>
      </w:r>
      <w:r w:rsidR="008C7646">
        <w:rPr>
          <w:rFonts w:ascii="Times New Roman" w:eastAsia="Malgun Gothic" w:hAnsi="Times New Roman"/>
          <w:sz w:val="24"/>
          <w:szCs w:val="24"/>
        </w:rPr>
        <w:t>étaient</w:t>
      </w:r>
      <w:r w:rsidR="008C7646" w:rsidRPr="007668DF">
        <w:rPr>
          <w:rFonts w:ascii="Times New Roman" w:eastAsia="Malgun Gothic" w:hAnsi="Times New Roman"/>
          <w:sz w:val="24"/>
          <w:szCs w:val="24"/>
        </w:rPr>
        <w:t xml:space="preserve"> </w:t>
      </w:r>
      <w:r w:rsidR="00392819" w:rsidRPr="007668DF">
        <w:rPr>
          <w:rFonts w:ascii="Times New Roman" w:eastAsia="Malgun Gothic" w:hAnsi="Times New Roman"/>
          <w:sz w:val="24"/>
          <w:szCs w:val="24"/>
        </w:rPr>
        <w:t xml:space="preserve">détenus au centre de détention du MNLA pour des </w:t>
      </w:r>
      <w:r w:rsidR="00A33D12">
        <w:rPr>
          <w:rFonts w:ascii="Times New Roman" w:eastAsia="Malgun Gothic" w:hAnsi="Times New Roman"/>
          <w:sz w:val="24"/>
          <w:szCs w:val="24"/>
        </w:rPr>
        <w:t>infractions</w:t>
      </w:r>
      <w:r w:rsidR="00A33D12" w:rsidRPr="007668DF">
        <w:rPr>
          <w:rFonts w:ascii="Times New Roman" w:eastAsia="Malgun Gothic" w:hAnsi="Times New Roman"/>
          <w:sz w:val="24"/>
          <w:szCs w:val="24"/>
        </w:rPr>
        <w:t xml:space="preserve"> </w:t>
      </w:r>
      <w:r w:rsidR="00392819" w:rsidRPr="007668DF">
        <w:rPr>
          <w:rFonts w:ascii="Times New Roman" w:eastAsia="Malgun Gothic" w:hAnsi="Times New Roman"/>
          <w:sz w:val="24"/>
          <w:szCs w:val="24"/>
        </w:rPr>
        <w:t xml:space="preserve">de droit commun. Quant au HCUA, il détenait </w:t>
      </w:r>
      <w:r w:rsidR="00A33D12">
        <w:rPr>
          <w:rFonts w:ascii="Times New Roman" w:eastAsia="Malgun Gothic" w:hAnsi="Times New Roman"/>
          <w:sz w:val="24"/>
          <w:szCs w:val="24"/>
        </w:rPr>
        <w:t>6</w:t>
      </w:r>
      <w:r w:rsidR="00A33D12" w:rsidRPr="007668DF">
        <w:rPr>
          <w:rFonts w:ascii="Times New Roman" w:eastAsia="Malgun Gothic" w:hAnsi="Times New Roman"/>
          <w:sz w:val="24"/>
          <w:szCs w:val="24"/>
        </w:rPr>
        <w:t xml:space="preserve"> </w:t>
      </w:r>
      <w:r w:rsidR="00392819" w:rsidRPr="007668DF">
        <w:rPr>
          <w:rFonts w:ascii="Times New Roman" w:eastAsia="Malgun Gothic" w:hAnsi="Times New Roman"/>
          <w:sz w:val="24"/>
          <w:szCs w:val="24"/>
        </w:rPr>
        <w:t xml:space="preserve">civils dont </w:t>
      </w:r>
      <w:r w:rsidR="00A33D12">
        <w:rPr>
          <w:rFonts w:ascii="Times New Roman" w:eastAsia="Malgun Gothic" w:hAnsi="Times New Roman"/>
          <w:sz w:val="24"/>
          <w:szCs w:val="24"/>
        </w:rPr>
        <w:t>2</w:t>
      </w:r>
      <w:r w:rsidR="00A33D12" w:rsidRPr="007668DF">
        <w:rPr>
          <w:rFonts w:ascii="Times New Roman" w:eastAsia="Malgun Gothic" w:hAnsi="Times New Roman"/>
          <w:sz w:val="24"/>
          <w:szCs w:val="24"/>
        </w:rPr>
        <w:t xml:space="preserve"> </w:t>
      </w:r>
      <w:r w:rsidR="00392819" w:rsidRPr="007668DF">
        <w:rPr>
          <w:rFonts w:ascii="Times New Roman" w:eastAsia="Malgun Gothic" w:hAnsi="Times New Roman"/>
          <w:sz w:val="24"/>
          <w:szCs w:val="24"/>
        </w:rPr>
        <w:t>mineurs</w:t>
      </w:r>
      <w:r w:rsidRPr="007668DF">
        <w:rPr>
          <w:rFonts w:ascii="Times New Roman" w:eastAsia="Malgun Gothic" w:hAnsi="Times New Roman"/>
          <w:sz w:val="24"/>
          <w:szCs w:val="24"/>
        </w:rPr>
        <w:t xml:space="preserve"> mais</w:t>
      </w:r>
      <w:r w:rsidR="00392819" w:rsidRPr="007668DF">
        <w:rPr>
          <w:rFonts w:ascii="Times New Roman" w:eastAsia="Malgun Gothic" w:hAnsi="Times New Roman"/>
          <w:sz w:val="24"/>
          <w:szCs w:val="24"/>
        </w:rPr>
        <w:t xml:space="preserve"> tous </w:t>
      </w:r>
      <w:r w:rsidR="008C7646">
        <w:rPr>
          <w:rFonts w:ascii="Times New Roman" w:eastAsia="Malgun Gothic" w:hAnsi="Times New Roman"/>
          <w:sz w:val="24"/>
          <w:szCs w:val="24"/>
        </w:rPr>
        <w:t xml:space="preserve">ont été </w:t>
      </w:r>
      <w:r w:rsidR="00392819" w:rsidRPr="007668DF">
        <w:rPr>
          <w:rFonts w:ascii="Times New Roman" w:eastAsia="Malgun Gothic" w:hAnsi="Times New Roman"/>
          <w:sz w:val="24"/>
          <w:szCs w:val="24"/>
        </w:rPr>
        <w:t>libérés suite au plaidoyer fait par la Division des droits de l’homme.</w:t>
      </w:r>
    </w:p>
    <w:p w:rsidR="00816B77" w:rsidRPr="007668DF" w:rsidRDefault="003A74E5" w:rsidP="006C2FA0">
      <w:pPr>
        <w:tabs>
          <w:tab w:val="left" w:pos="567"/>
        </w:tabs>
        <w:jc w:val="both"/>
        <w:rPr>
          <w:rFonts w:ascii="Times New Roman" w:eastAsia="Malgun Gothic" w:hAnsi="Times New Roman"/>
          <w:sz w:val="24"/>
          <w:szCs w:val="24"/>
        </w:rPr>
      </w:pPr>
      <w:r w:rsidRPr="007668DF">
        <w:rPr>
          <w:rFonts w:ascii="Times New Roman" w:eastAsia="Malgun Gothic" w:hAnsi="Times New Roman"/>
          <w:sz w:val="24"/>
          <w:szCs w:val="24"/>
        </w:rPr>
        <w:t>4</w:t>
      </w:r>
      <w:r w:rsidR="0086130D">
        <w:rPr>
          <w:rFonts w:ascii="Times New Roman" w:eastAsia="Malgun Gothic" w:hAnsi="Times New Roman"/>
          <w:sz w:val="24"/>
          <w:szCs w:val="24"/>
        </w:rPr>
        <w:t>9</w:t>
      </w:r>
      <w:r w:rsidRPr="007668DF">
        <w:rPr>
          <w:rFonts w:ascii="Times New Roman" w:eastAsia="Malgun Gothic" w:hAnsi="Times New Roman"/>
          <w:sz w:val="24"/>
          <w:szCs w:val="24"/>
        </w:rPr>
        <w:t>.</w:t>
      </w:r>
      <w:r w:rsidRPr="007668DF">
        <w:rPr>
          <w:rFonts w:ascii="Times New Roman" w:eastAsia="Malgun Gothic" w:hAnsi="Times New Roman"/>
          <w:sz w:val="24"/>
          <w:szCs w:val="24"/>
        </w:rPr>
        <w:tab/>
      </w:r>
      <w:r w:rsidR="00816B77" w:rsidRPr="007668DF">
        <w:rPr>
          <w:rFonts w:ascii="Times New Roman" w:eastAsia="Malgun Gothic" w:hAnsi="Times New Roman"/>
          <w:sz w:val="24"/>
          <w:szCs w:val="24"/>
        </w:rPr>
        <w:t>Le 17 décembre 2013, la Division des droits de l’homme a reçu un civil venu l’informer d’actes de torture dont il aurait été victime, le 15 septembre 2013, dans une cellule de détention tenue par le MNLA à Kidal. L’individu aurait été enlevé à son domicile par un geôlier qui le soupçonnait du vol d’une arme. Il aurait été suspendu par les pieds à l’aide de cordes, et battu pendant plusieurs heures. La Division des droits de l’homme a pu constater que la personne a</w:t>
      </w:r>
      <w:r w:rsidR="00CF163F" w:rsidRPr="007668DF">
        <w:rPr>
          <w:rFonts w:ascii="Times New Roman" w:eastAsia="Malgun Gothic" w:hAnsi="Times New Roman"/>
          <w:sz w:val="24"/>
          <w:szCs w:val="24"/>
        </w:rPr>
        <w:t>vait des difficultés à marcher.</w:t>
      </w:r>
    </w:p>
    <w:p w:rsidR="00816B77" w:rsidRPr="007668DF" w:rsidRDefault="0086130D" w:rsidP="006C2FA0">
      <w:pPr>
        <w:tabs>
          <w:tab w:val="left" w:pos="567"/>
        </w:tabs>
        <w:jc w:val="both"/>
        <w:rPr>
          <w:rFonts w:ascii="Times New Roman" w:eastAsia="Malgun Gothic" w:hAnsi="Times New Roman"/>
          <w:sz w:val="24"/>
          <w:szCs w:val="24"/>
        </w:rPr>
      </w:pPr>
      <w:r>
        <w:rPr>
          <w:rFonts w:ascii="Times New Roman" w:eastAsia="Malgun Gothic" w:hAnsi="Times New Roman"/>
          <w:sz w:val="24"/>
          <w:szCs w:val="24"/>
        </w:rPr>
        <w:lastRenderedPageBreak/>
        <w:t>50</w:t>
      </w:r>
      <w:r w:rsidR="00816B77" w:rsidRPr="007668DF">
        <w:rPr>
          <w:rFonts w:ascii="Times New Roman" w:eastAsia="Malgun Gothic" w:hAnsi="Times New Roman"/>
          <w:sz w:val="24"/>
          <w:szCs w:val="24"/>
        </w:rPr>
        <w:t>.</w:t>
      </w:r>
      <w:r w:rsidR="00816B77" w:rsidRPr="007668DF">
        <w:rPr>
          <w:rFonts w:ascii="Times New Roman" w:eastAsia="Malgun Gothic" w:hAnsi="Times New Roman"/>
          <w:sz w:val="24"/>
          <w:szCs w:val="24"/>
        </w:rPr>
        <w:tab/>
      </w:r>
      <w:r w:rsidR="00392819" w:rsidRPr="007668DF">
        <w:rPr>
          <w:rFonts w:ascii="Times New Roman" w:eastAsia="Malgun Gothic" w:hAnsi="Times New Roman"/>
          <w:sz w:val="24"/>
          <w:szCs w:val="24"/>
        </w:rPr>
        <w:t xml:space="preserve">Le 12 </w:t>
      </w:r>
      <w:r w:rsidR="006B24A8" w:rsidRPr="007668DF">
        <w:rPr>
          <w:rFonts w:ascii="Times New Roman" w:eastAsia="Malgun Gothic" w:hAnsi="Times New Roman"/>
          <w:sz w:val="24"/>
          <w:szCs w:val="24"/>
        </w:rPr>
        <w:t>mars 2014</w:t>
      </w:r>
      <w:r w:rsidR="00734E7A" w:rsidRPr="007668DF">
        <w:rPr>
          <w:rFonts w:ascii="Times New Roman" w:eastAsia="Malgun Gothic" w:hAnsi="Times New Roman"/>
          <w:sz w:val="24"/>
          <w:szCs w:val="24"/>
        </w:rPr>
        <w:t xml:space="preserve">, </w:t>
      </w:r>
      <w:r w:rsidR="00A33D12">
        <w:rPr>
          <w:rFonts w:ascii="Times New Roman" w:eastAsia="Malgun Gothic" w:hAnsi="Times New Roman"/>
          <w:sz w:val="24"/>
          <w:szCs w:val="24"/>
        </w:rPr>
        <w:t>à</w:t>
      </w:r>
      <w:r w:rsidR="00734E7A" w:rsidRPr="007668DF">
        <w:rPr>
          <w:rFonts w:ascii="Times New Roman" w:eastAsia="Malgun Gothic" w:hAnsi="Times New Roman"/>
          <w:sz w:val="24"/>
          <w:szCs w:val="24"/>
        </w:rPr>
        <w:t xml:space="preserve"> Ber (Tombouctou)</w:t>
      </w:r>
      <w:r w:rsidR="00816B77" w:rsidRPr="007668DF">
        <w:rPr>
          <w:rFonts w:ascii="Times New Roman" w:eastAsia="Malgun Gothic" w:hAnsi="Times New Roman"/>
          <w:sz w:val="24"/>
          <w:szCs w:val="24"/>
        </w:rPr>
        <w:t xml:space="preserve">, </w:t>
      </w:r>
      <w:r w:rsidR="00A33D12">
        <w:rPr>
          <w:rFonts w:ascii="Times New Roman" w:eastAsia="Malgun Gothic" w:hAnsi="Times New Roman"/>
          <w:sz w:val="24"/>
          <w:szCs w:val="24"/>
        </w:rPr>
        <w:t>5</w:t>
      </w:r>
      <w:r w:rsidR="00A33D12" w:rsidRPr="007668DF">
        <w:rPr>
          <w:rFonts w:ascii="Times New Roman" w:eastAsia="Malgun Gothic" w:hAnsi="Times New Roman"/>
          <w:sz w:val="24"/>
          <w:szCs w:val="24"/>
        </w:rPr>
        <w:t xml:space="preserve"> </w:t>
      </w:r>
      <w:r w:rsidR="00816B77" w:rsidRPr="007668DF">
        <w:rPr>
          <w:rFonts w:ascii="Times New Roman" w:eastAsia="Malgun Gothic" w:hAnsi="Times New Roman"/>
          <w:sz w:val="24"/>
          <w:szCs w:val="24"/>
        </w:rPr>
        <w:t xml:space="preserve">civils dont </w:t>
      </w:r>
      <w:r w:rsidR="00A33D12">
        <w:rPr>
          <w:rFonts w:ascii="Times New Roman" w:eastAsia="Malgun Gothic" w:hAnsi="Times New Roman"/>
          <w:sz w:val="24"/>
          <w:szCs w:val="24"/>
        </w:rPr>
        <w:t>4</w:t>
      </w:r>
      <w:r w:rsidR="00A33D12" w:rsidRPr="007668DF">
        <w:rPr>
          <w:rFonts w:ascii="Times New Roman" w:eastAsia="Malgun Gothic" w:hAnsi="Times New Roman"/>
          <w:sz w:val="24"/>
          <w:szCs w:val="24"/>
        </w:rPr>
        <w:t xml:space="preserve"> </w:t>
      </w:r>
      <w:r w:rsidR="00816B77" w:rsidRPr="007668DF">
        <w:rPr>
          <w:rFonts w:ascii="Times New Roman" w:eastAsia="Malgun Gothic" w:hAnsi="Times New Roman"/>
          <w:sz w:val="24"/>
          <w:szCs w:val="24"/>
        </w:rPr>
        <w:t xml:space="preserve">membres de la communauté </w:t>
      </w:r>
      <w:r w:rsidR="00A33D12" w:rsidRPr="003B152B">
        <w:rPr>
          <w:rFonts w:ascii="Times New Roman" w:eastAsia="Malgun Gothic" w:hAnsi="Times New Roman"/>
          <w:i/>
          <w:sz w:val="24"/>
          <w:szCs w:val="24"/>
        </w:rPr>
        <w:t>A</w:t>
      </w:r>
      <w:r w:rsidR="00816B77" w:rsidRPr="003B152B">
        <w:rPr>
          <w:rFonts w:ascii="Times New Roman" w:eastAsia="Malgun Gothic" w:hAnsi="Times New Roman"/>
          <w:i/>
          <w:sz w:val="24"/>
          <w:szCs w:val="24"/>
        </w:rPr>
        <w:t>rabe</w:t>
      </w:r>
      <w:r w:rsidR="00816B77" w:rsidRPr="007668DF">
        <w:rPr>
          <w:rFonts w:ascii="Times New Roman" w:eastAsia="Malgun Gothic" w:hAnsi="Times New Roman"/>
          <w:i/>
          <w:sz w:val="24"/>
          <w:szCs w:val="24"/>
        </w:rPr>
        <w:t xml:space="preserve"> </w:t>
      </w:r>
      <w:r w:rsidR="00816B77" w:rsidRPr="007668DF">
        <w:rPr>
          <w:rFonts w:ascii="Times New Roman" w:eastAsia="Malgun Gothic" w:hAnsi="Times New Roman"/>
          <w:sz w:val="24"/>
          <w:szCs w:val="24"/>
        </w:rPr>
        <w:t xml:space="preserve">et un membre de la communauté </w:t>
      </w:r>
      <w:r w:rsidR="00A33D12" w:rsidRPr="003B152B">
        <w:rPr>
          <w:rFonts w:ascii="Times New Roman" w:eastAsia="Malgun Gothic" w:hAnsi="Times New Roman"/>
          <w:i/>
          <w:sz w:val="24"/>
          <w:szCs w:val="24"/>
        </w:rPr>
        <w:t>S</w:t>
      </w:r>
      <w:r w:rsidR="00816B77" w:rsidRPr="003B152B">
        <w:rPr>
          <w:rFonts w:ascii="Times New Roman" w:eastAsia="Malgun Gothic" w:hAnsi="Times New Roman"/>
          <w:i/>
          <w:sz w:val="24"/>
          <w:szCs w:val="24"/>
        </w:rPr>
        <w:t>onghaï</w:t>
      </w:r>
      <w:r w:rsidR="006B24A8" w:rsidRPr="007668DF">
        <w:rPr>
          <w:rFonts w:ascii="Times New Roman" w:eastAsia="Malgun Gothic" w:hAnsi="Times New Roman"/>
          <w:sz w:val="24"/>
          <w:szCs w:val="24"/>
        </w:rPr>
        <w:t xml:space="preserve"> ont été arrêtés par</w:t>
      </w:r>
      <w:r w:rsidR="00816B77" w:rsidRPr="007668DF">
        <w:rPr>
          <w:rFonts w:ascii="Times New Roman" w:eastAsia="Malgun Gothic" w:hAnsi="Times New Roman"/>
          <w:sz w:val="24"/>
          <w:szCs w:val="24"/>
        </w:rPr>
        <w:t xml:space="preserve"> le MAA sur leur base militaire à Tichit (70 km de Ber, près de la frontière avec l’Algérie).</w:t>
      </w:r>
    </w:p>
    <w:p w:rsidR="00816B77" w:rsidRPr="007668DF" w:rsidRDefault="00CF163F" w:rsidP="006C2FA0">
      <w:pPr>
        <w:tabs>
          <w:tab w:val="left" w:pos="567"/>
        </w:tabs>
        <w:jc w:val="both"/>
        <w:rPr>
          <w:rFonts w:ascii="Times New Roman" w:eastAsia="Malgun Gothic" w:hAnsi="Times New Roman"/>
          <w:sz w:val="24"/>
          <w:szCs w:val="24"/>
        </w:rPr>
      </w:pPr>
      <w:r w:rsidRPr="007668DF">
        <w:rPr>
          <w:rFonts w:ascii="Times New Roman" w:eastAsia="Malgun Gothic" w:hAnsi="Times New Roman"/>
          <w:sz w:val="24"/>
          <w:szCs w:val="24"/>
        </w:rPr>
        <w:t>5</w:t>
      </w:r>
      <w:r w:rsidR="0086130D">
        <w:rPr>
          <w:rFonts w:ascii="Times New Roman" w:eastAsia="Malgun Gothic" w:hAnsi="Times New Roman"/>
          <w:sz w:val="24"/>
          <w:szCs w:val="24"/>
        </w:rPr>
        <w:t>1</w:t>
      </w:r>
      <w:r w:rsidR="001571F9" w:rsidRPr="007668DF">
        <w:rPr>
          <w:rFonts w:ascii="Times New Roman" w:eastAsia="Malgun Gothic" w:hAnsi="Times New Roman"/>
          <w:sz w:val="24"/>
          <w:szCs w:val="24"/>
        </w:rPr>
        <w:t>.</w:t>
      </w:r>
      <w:r w:rsidR="001571F9" w:rsidRPr="007668DF">
        <w:rPr>
          <w:rFonts w:ascii="Times New Roman" w:eastAsia="Malgun Gothic" w:hAnsi="Times New Roman"/>
          <w:sz w:val="24"/>
          <w:szCs w:val="24"/>
        </w:rPr>
        <w:tab/>
      </w:r>
      <w:r w:rsidR="006B24A8" w:rsidRPr="007668DF">
        <w:rPr>
          <w:rFonts w:ascii="Times New Roman" w:eastAsia="Malgun Gothic" w:hAnsi="Times New Roman"/>
          <w:sz w:val="24"/>
          <w:szCs w:val="24"/>
        </w:rPr>
        <w:t xml:space="preserve">Le 23 mars 2014, un jeune homme appartenant à la communauté </w:t>
      </w:r>
      <w:r w:rsidR="006B24A8" w:rsidRPr="008C7646">
        <w:rPr>
          <w:rFonts w:ascii="Times New Roman" w:eastAsia="Malgun Gothic" w:hAnsi="Times New Roman"/>
          <w:i/>
          <w:sz w:val="24"/>
          <w:szCs w:val="24"/>
        </w:rPr>
        <w:t>songhaï</w:t>
      </w:r>
      <w:r w:rsidR="006B24A8" w:rsidRPr="007668DF">
        <w:rPr>
          <w:rFonts w:ascii="Times New Roman" w:eastAsia="Malgun Gothic" w:hAnsi="Times New Roman"/>
          <w:sz w:val="24"/>
          <w:szCs w:val="24"/>
        </w:rPr>
        <w:t xml:space="preserve"> s’est rendu à la gendarmerie de Kidal après s’être évadé d’une cellule de détention du MNLA où il était détenu. Lors de son entretien avec la Division des droits de l’homme, il a déclaré que son geôlier </w:t>
      </w:r>
      <w:r w:rsidR="001C1AEC" w:rsidRPr="007668DF">
        <w:rPr>
          <w:rFonts w:ascii="Times New Roman" w:eastAsia="Malgun Gothic" w:hAnsi="Times New Roman"/>
          <w:sz w:val="24"/>
          <w:szCs w:val="24"/>
        </w:rPr>
        <w:t>l’a</w:t>
      </w:r>
      <w:r w:rsidR="001C1AEC">
        <w:rPr>
          <w:rFonts w:ascii="Times New Roman" w:eastAsia="Malgun Gothic" w:hAnsi="Times New Roman"/>
          <w:sz w:val="24"/>
          <w:szCs w:val="24"/>
        </w:rPr>
        <w:t>v</w:t>
      </w:r>
      <w:r w:rsidR="001C1AEC" w:rsidRPr="007668DF">
        <w:rPr>
          <w:rFonts w:ascii="Times New Roman" w:eastAsia="Malgun Gothic" w:hAnsi="Times New Roman"/>
          <w:sz w:val="24"/>
          <w:szCs w:val="24"/>
        </w:rPr>
        <w:t xml:space="preserve">ait </w:t>
      </w:r>
      <w:r w:rsidR="006B24A8" w:rsidRPr="007668DF">
        <w:rPr>
          <w:rFonts w:ascii="Times New Roman" w:eastAsia="Malgun Gothic" w:hAnsi="Times New Roman"/>
          <w:sz w:val="24"/>
          <w:szCs w:val="24"/>
        </w:rPr>
        <w:t>brûlé à la lèvre supérieure et à l’organe génital  avec une cigarette</w:t>
      </w:r>
      <w:r w:rsidR="000C377A" w:rsidRPr="007668DF">
        <w:rPr>
          <w:rFonts w:ascii="Times New Roman" w:eastAsia="Malgun Gothic" w:hAnsi="Times New Roman"/>
          <w:sz w:val="24"/>
          <w:szCs w:val="24"/>
        </w:rPr>
        <w:t>.</w:t>
      </w:r>
    </w:p>
    <w:p w:rsidR="00135527" w:rsidRPr="007668DF" w:rsidRDefault="00A33D12" w:rsidP="006C2FA0">
      <w:pPr>
        <w:tabs>
          <w:tab w:val="left" w:pos="567"/>
        </w:tabs>
        <w:ind w:left="720"/>
        <w:jc w:val="both"/>
        <w:rPr>
          <w:rFonts w:ascii="Times New Roman" w:eastAsia="Malgun Gothic" w:hAnsi="Times New Roman"/>
          <w:sz w:val="24"/>
          <w:szCs w:val="24"/>
        </w:rPr>
      </w:pPr>
      <w:r>
        <w:rPr>
          <w:rFonts w:ascii="Times New Roman" w:eastAsia="Malgun Gothic" w:hAnsi="Times New Roman"/>
          <w:i/>
          <w:sz w:val="24"/>
          <w:szCs w:val="24"/>
        </w:rPr>
        <w:t xml:space="preserve">Accès </w:t>
      </w:r>
      <w:r w:rsidR="008C7646">
        <w:rPr>
          <w:rFonts w:ascii="Times New Roman" w:eastAsia="Malgun Gothic" w:hAnsi="Times New Roman"/>
          <w:i/>
          <w:sz w:val="24"/>
          <w:szCs w:val="24"/>
        </w:rPr>
        <w:t>à</w:t>
      </w:r>
      <w:r>
        <w:rPr>
          <w:rFonts w:ascii="Times New Roman" w:eastAsia="Malgun Gothic" w:hAnsi="Times New Roman"/>
          <w:i/>
          <w:sz w:val="24"/>
          <w:szCs w:val="24"/>
        </w:rPr>
        <w:t xml:space="preserve"> la justice et procès équitable :</w:t>
      </w:r>
      <w:r w:rsidR="003938A3">
        <w:rPr>
          <w:rFonts w:ascii="Times New Roman" w:eastAsia="Malgun Gothic" w:hAnsi="Times New Roman"/>
          <w:i/>
          <w:sz w:val="24"/>
          <w:szCs w:val="24"/>
        </w:rPr>
        <w:t xml:space="preserve"> </w:t>
      </w:r>
      <w:r w:rsidR="00135527" w:rsidRPr="007668DF">
        <w:rPr>
          <w:rFonts w:ascii="Times New Roman" w:eastAsia="Malgun Gothic" w:hAnsi="Times New Roman"/>
          <w:i/>
          <w:sz w:val="24"/>
          <w:szCs w:val="24"/>
        </w:rPr>
        <w:t>Administration de la justice de fait par les groupes armés dans le nord du pays</w:t>
      </w:r>
    </w:p>
    <w:p w:rsidR="00135527" w:rsidRPr="007668DF" w:rsidRDefault="00A9353A" w:rsidP="006C2FA0">
      <w:pPr>
        <w:tabs>
          <w:tab w:val="left" w:pos="567"/>
        </w:tabs>
        <w:jc w:val="both"/>
        <w:rPr>
          <w:rFonts w:ascii="Times New Roman" w:eastAsia="Malgun Gothic" w:hAnsi="Times New Roman"/>
          <w:sz w:val="24"/>
          <w:szCs w:val="24"/>
        </w:rPr>
      </w:pPr>
      <w:r w:rsidRPr="007668DF">
        <w:rPr>
          <w:rFonts w:ascii="Times New Roman" w:eastAsia="Malgun Gothic" w:hAnsi="Times New Roman"/>
          <w:sz w:val="24"/>
          <w:szCs w:val="24"/>
        </w:rPr>
        <w:t>5</w:t>
      </w:r>
      <w:r w:rsidR="0086130D">
        <w:rPr>
          <w:rFonts w:ascii="Times New Roman" w:eastAsia="Malgun Gothic" w:hAnsi="Times New Roman"/>
          <w:sz w:val="24"/>
          <w:szCs w:val="24"/>
        </w:rPr>
        <w:t>2</w:t>
      </w:r>
      <w:r w:rsidR="00135527" w:rsidRPr="007668DF">
        <w:rPr>
          <w:rFonts w:ascii="Times New Roman" w:eastAsia="Malgun Gothic" w:hAnsi="Times New Roman"/>
          <w:sz w:val="24"/>
          <w:szCs w:val="24"/>
        </w:rPr>
        <w:t>.</w:t>
      </w:r>
      <w:r w:rsidR="00135527" w:rsidRPr="007668DF">
        <w:rPr>
          <w:rFonts w:ascii="Times New Roman" w:eastAsia="Malgun Gothic" w:hAnsi="Times New Roman"/>
          <w:sz w:val="24"/>
          <w:szCs w:val="24"/>
        </w:rPr>
        <w:tab/>
        <w:t xml:space="preserve">L’absence du déploiement effectif des forces de sécurité et de l’administration dans le nord du Mali laisse </w:t>
      </w:r>
      <w:r w:rsidR="00B454AE" w:rsidRPr="007668DF">
        <w:rPr>
          <w:rFonts w:ascii="Times New Roman" w:eastAsia="Malgun Gothic" w:hAnsi="Times New Roman"/>
          <w:sz w:val="24"/>
          <w:szCs w:val="24"/>
        </w:rPr>
        <w:t>le</w:t>
      </w:r>
      <w:r w:rsidR="00135527" w:rsidRPr="007668DF">
        <w:rPr>
          <w:rFonts w:ascii="Times New Roman" w:eastAsia="Malgun Gothic" w:hAnsi="Times New Roman"/>
          <w:sz w:val="24"/>
          <w:szCs w:val="24"/>
        </w:rPr>
        <w:t xml:space="preserve"> champ libre aux principaux groupes armés présents dans cette zone qui y exercent </w:t>
      </w:r>
      <w:r w:rsidR="00B454AE" w:rsidRPr="007668DF">
        <w:rPr>
          <w:rFonts w:ascii="Times New Roman" w:eastAsia="Malgun Gothic" w:hAnsi="Times New Roman"/>
          <w:sz w:val="24"/>
          <w:szCs w:val="24"/>
        </w:rPr>
        <w:t xml:space="preserve">alors nombre de </w:t>
      </w:r>
      <w:r w:rsidR="00135527" w:rsidRPr="007668DF">
        <w:rPr>
          <w:rFonts w:ascii="Times New Roman" w:eastAsia="Malgun Gothic" w:hAnsi="Times New Roman"/>
          <w:sz w:val="24"/>
          <w:szCs w:val="24"/>
        </w:rPr>
        <w:t xml:space="preserve">prérogatives </w:t>
      </w:r>
      <w:r w:rsidR="00882BA8" w:rsidRPr="007668DF">
        <w:rPr>
          <w:rFonts w:ascii="Times New Roman" w:eastAsia="Malgun Gothic" w:hAnsi="Times New Roman"/>
          <w:sz w:val="24"/>
          <w:szCs w:val="24"/>
        </w:rPr>
        <w:t>d</w:t>
      </w:r>
      <w:r w:rsidR="00135527" w:rsidRPr="007668DF">
        <w:rPr>
          <w:rFonts w:ascii="Times New Roman" w:eastAsia="Malgun Gothic" w:hAnsi="Times New Roman"/>
          <w:sz w:val="24"/>
          <w:szCs w:val="24"/>
        </w:rPr>
        <w:t>évolues à l’Etat</w:t>
      </w:r>
      <w:r w:rsidR="007737FC" w:rsidRPr="007668DF">
        <w:rPr>
          <w:rFonts w:ascii="Times New Roman" w:eastAsia="Malgun Gothic" w:hAnsi="Times New Roman"/>
          <w:sz w:val="24"/>
          <w:szCs w:val="24"/>
        </w:rPr>
        <w:t>,</w:t>
      </w:r>
      <w:r w:rsidR="00135527" w:rsidRPr="007668DF">
        <w:rPr>
          <w:rFonts w:ascii="Times New Roman" w:eastAsia="Malgun Gothic" w:hAnsi="Times New Roman"/>
          <w:sz w:val="24"/>
          <w:szCs w:val="24"/>
        </w:rPr>
        <w:t xml:space="preserve"> en violation de l’Accord préliminaire de Ouagadougou qui prévoit notamment la reconnaissance de </w:t>
      </w:r>
      <w:r w:rsidR="006077A4" w:rsidRPr="007668DF">
        <w:rPr>
          <w:rFonts w:ascii="Times New Roman" w:eastAsia="Malgun Gothic" w:hAnsi="Times New Roman"/>
          <w:sz w:val="24"/>
          <w:szCs w:val="24"/>
        </w:rPr>
        <w:t xml:space="preserve">l’autorité de l’Etat et de </w:t>
      </w:r>
      <w:r w:rsidR="00135527" w:rsidRPr="007668DF">
        <w:rPr>
          <w:rFonts w:ascii="Times New Roman" w:eastAsia="Malgun Gothic" w:hAnsi="Times New Roman"/>
          <w:sz w:val="24"/>
          <w:szCs w:val="24"/>
        </w:rPr>
        <w:t>l’intégrité territoriale du Mali.</w:t>
      </w:r>
    </w:p>
    <w:p w:rsidR="00B64CD3" w:rsidRPr="007668DF" w:rsidRDefault="00A9353A" w:rsidP="006C2FA0">
      <w:pPr>
        <w:tabs>
          <w:tab w:val="left" w:pos="567"/>
        </w:tabs>
        <w:jc w:val="both"/>
        <w:rPr>
          <w:rFonts w:ascii="Times New Roman" w:eastAsia="Malgun Gothic" w:hAnsi="Times New Roman"/>
          <w:sz w:val="24"/>
          <w:szCs w:val="24"/>
        </w:rPr>
      </w:pPr>
      <w:r w:rsidRPr="007668DF">
        <w:rPr>
          <w:rFonts w:ascii="Times New Roman" w:eastAsia="Malgun Gothic" w:hAnsi="Times New Roman"/>
          <w:sz w:val="24"/>
          <w:szCs w:val="24"/>
        </w:rPr>
        <w:t>5</w:t>
      </w:r>
      <w:r w:rsidR="0086130D">
        <w:rPr>
          <w:rFonts w:ascii="Times New Roman" w:eastAsia="Malgun Gothic" w:hAnsi="Times New Roman"/>
          <w:sz w:val="24"/>
          <w:szCs w:val="24"/>
        </w:rPr>
        <w:t>3</w:t>
      </w:r>
      <w:r w:rsidR="00C12237" w:rsidRPr="007668DF">
        <w:rPr>
          <w:rFonts w:ascii="Times New Roman" w:eastAsia="Malgun Gothic" w:hAnsi="Times New Roman"/>
          <w:sz w:val="24"/>
          <w:szCs w:val="24"/>
        </w:rPr>
        <w:t>.</w:t>
      </w:r>
      <w:r w:rsidR="00C12237" w:rsidRPr="007668DF">
        <w:rPr>
          <w:rFonts w:ascii="Times New Roman" w:eastAsia="Malgun Gothic" w:hAnsi="Times New Roman"/>
          <w:sz w:val="24"/>
          <w:szCs w:val="24"/>
        </w:rPr>
        <w:tab/>
      </w:r>
      <w:r w:rsidR="00B64CD3" w:rsidRPr="007668DF">
        <w:rPr>
          <w:rFonts w:ascii="Times New Roman" w:eastAsia="Malgun Gothic" w:hAnsi="Times New Roman"/>
          <w:sz w:val="24"/>
          <w:szCs w:val="24"/>
        </w:rPr>
        <w:t xml:space="preserve">A Kidal, l’environnement sécuritaire instable et volatile a poussé la plupart des fonctionnaires de l’appareil judiciaire à quitter la région. Ce vide judiciaire </w:t>
      </w:r>
      <w:r w:rsidR="004E367F" w:rsidRPr="007668DF">
        <w:rPr>
          <w:rFonts w:ascii="Times New Roman" w:eastAsia="Malgun Gothic" w:hAnsi="Times New Roman"/>
          <w:sz w:val="24"/>
          <w:szCs w:val="24"/>
        </w:rPr>
        <w:t xml:space="preserve">institutionnel </w:t>
      </w:r>
      <w:r w:rsidR="00B64CD3" w:rsidRPr="007668DF">
        <w:rPr>
          <w:rFonts w:ascii="Times New Roman" w:eastAsia="Malgun Gothic" w:hAnsi="Times New Roman"/>
          <w:sz w:val="24"/>
          <w:szCs w:val="24"/>
        </w:rPr>
        <w:t xml:space="preserve">a été comblé par les groupes armés MNLA et HCUA qui </w:t>
      </w:r>
      <w:r w:rsidR="004E367F" w:rsidRPr="007668DF">
        <w:rPr>
          <w:rFonts w:ascii="Times New Roman" w:eastAsia="Malgun Gothic" w:hAnsi="Times New Roman"/>
          <w:sz w:val="24"/>
          <w:szCs w:val="24"/>
        </w:rPr>
        <w:t>s’acquittent désormais de cette fonction. Toutefois</w:t>
      </w:r>
      <w:r w:rsidR="00B64CD3" w:rsidRPr="007668DF">
        <w:rPr>
          <w:rFonts w:ascii="Times New Roman" w:eastAsia="Malgun Gothic" w:hAnsi="Times New Roman"/>
          <w:sz w:val="24"/>
          <w:szCs w:val="24"/>
        </w:rPr>
        <w:t xml:space="preserve">, certains auteurs présumés de crimes </w:t>
      </w:r>
      <w:r w:rsidR="001C1AEC">
        <w:rPr>
          <w:rFonts w:ascii="Times New Roman" w:eastAsia="Malgun Gothic" w:hAnsi="Times New Roman"/>
          <w:sz w:val="24"/>
          <w:szCs w:val="24"/>
        </w:rPr>
        <w:t xml:space="preserve">ont été </w:t>
      </w:r>
      <w:r w:rsidR="00B64CD3" w:rsidRPr="007668DF">
        <w:rPr>
          <w:rFonts w:ascii="Times New Roman" w:eastAsia="Malgun Gothic" w:hAnsi="Times New Roman"/>
          <w:sz w:val="24"/>
          <w:szCs w:val="24"/>
        </w:rPr>
        <w:t>transférés</w:t>
      </w:r>
      <w:r w:rsidR="004905B4" w:rsidRPr="007668DF">
        <w:rPr>
          <w:rFonts w:ascii="Times New Roman" w:eastAsia="Malgun Gothic" w:hAnsi="Times New Roman"/>
          <w:sz w:val="24"/>
          <w:szCs w:val="24"/>
        </w:rPr>
        <w:t xml:space="preserve"> soit </w:t>
      </w:r>
      <w:r w:rsidR="004905B4" w:rsidRPr="007668DF">
        <w:rPr>
          <w:rFonts w:ascii="Times New Roman" w:eastAsia="Malgun Gothic" w:hAnsi="Times New Roman"/>
          <w:sz w:val="24"/>
          <w:szCs w:val="24"/>
        </w:rPr>
        <w:lastRenderedPageBreak/>
        <w:t xml:space="preserve">par </w:t>
      </w:r>
      <w:r w:rsidR="00A33D12">
        <w:rPr>
          <w:rFonts w:ascii="Times New Roman" w:eastAsia="Malgun Gothic" w:hAnsi="Times New Roman"/>
          <w:sz w:val="24"/>
          <w:szCs w:val="24"/>
        </w:rPr>
        <w:t xml:space="preserve">les </w:t>
      </w:r>
      <w:r w:rsidR="004905B4" w:rsidRPr="007668DF">
        <w:rPr>
          <w:rFonts w:ascii="Times New Roman" w:eastAsia="Malgun Gothic" w:hAnsi="Times New Roman"/>
          <w:sz w:val="24"/>
          <w:szCs w:val="24"/>
        </w:rPr>
        <w:t>FAMa soit par SERVAL</w:t>
      </w:r>
      <w:r w:rsidR="00B64CD3" w:rsidRPr="007668DF">
        <w:rPr>
          <w:rFonts w:ascii="Times New Roman" w:eastAsia="Malgun Gothic" w:hAnsi="Times New Roman"/>
          <w:sz w:val="24"/>
          <w:szCs w:val="24"/>
        </w:rPr>
        <w:t xml:space="preserve"> à Gao sans enquête préalable au niveau de Kidal en attendant qu’un tribunal se charge de leur jugement.</w:t>
      </w:r>
    </w:p>
    <w:p w:rsidR="00884470" w:rsidRPr="007668DF" w:rsidRDefault="00A9353A" w:rsidP="006C2FA0">
      <w:pPr>
        <w:tabs>
          <w:tab w:val="left" w:pos="567"/>
        </w:tabs>
        <w:jc w:val="both"/>
        <w:rPr>
          <w:rFonts w:ascii="Times New Roman" w:eastAsia="Malgun Gothic" w:hAnsi="Times New Roman"/>
          <w:sz w:val="24"/>
          <w:szCs w:val="24"/>
        </w:rPr>
      </w:pPr>
      <w:r w:rsidRPr="007668DF">
        <w:rPr>
          <w:rFonts w:ascii="Times New Roman" w:eastAsia="Malgun Gothic" w:hAnsi="Times New Roman"/>
          <w:sz w:val="24"/>
          <w:szCs w:val="24"/>
        </w:rPr>
        <w:t>5</w:t>
      </w:r>
      <w:r w:rsidR="0086130D">
        <w:rPr>
          <w:rFonts w:ascii="Times New Roman" w:eastAsia="Malgun Gothic" w:hAnsi="Times New Roman"/>
          <w:sz w:val="24"/>
          <w:szCs w:val="24"/>
        </w:rPr>
        <w:t>4</w:t>
      </w:r>
      <w:r w:rsidR="00135527" w:rsidRPr="007668DF">
        <w:rPr>
          <w:rFonts w:ascii="Times New Roman" w:eastAsia="Malgun Gothic" w:hAnsi="Times New Roman"/>
          <w:sz w:val="24"/>
          <w:szCs w:val="24"/>
        </w:rPr>
        <w:t>.</w:t>
      </w:r>
      <w:r w:rsidR="00135527" w:rsidRPr="007668DF">
        <w:rPr>
          <w:rFonts w:ascii="Times New Roman" w:eastAsia="Malgun Gothic" w:hAnsi="Times New Roman"/>
          <w:sz w:val="24"/>
          <w:szCs w:val="24"/>
        </w:rPr>
        <w:tab/>
        <w:t xml:space="preserve">Les groupes armés ont donc remplacé, </w:t>
      </w:r>
      <w:r w:rsidR="00135527" w:rsidRPr="007668DF">
        <w:rPr>
          <w:rFonts w:ascii="Times New Roman" w:eastAsia="Malgun Gothic" w:hAnsi="Times New Roman"/>
          <w:i/>
          <w:sz w:val="24"/>
          <w:szCs w:val="24"/>
        </w:rPr>
        <w:t>de facto</w:t>
      </w:r>
      <w:r w:rsidR="00135527" w:rsidRPr="007668DF">
        <w:rPr>
          <w:rFonts w:ascii="Times New Roman" w:eastAsia="Malgun Gothic" w:hAnsi="Times New Roman"/>
          <w:sz w:val="24"/>
          <w:szCs w:val="24"/>
        </w:rPr>
        <w:t xml:space="preserve">, l’Etat malien et ont mis en place des mécanismes pour régler des litiges d’ordre judiciaire opposant des civils. Les suspects sont présentés aux </w:t>
      </w:r>
      <w:r w:rsidR="00CC127D" w:rsidRPr="007668DF">
        <w:rPr>
          <w:rFonts w:ascii="Times New Roman" w:eastAsia="Malgun Gothic" w:hAnsi="Times New Roman"/>
          <w:sz w:val="24"/>
          <w:szCs w:val="24"/>
        </w:rPr>
        <w:t>marabouts et aux Cadi</w:t>
      </w:r>
      <w:r w:rsidR="00CC127D" w:rsidRPr="007668DF">
        <w:rPr>
          <w:rStyle w:val="FootnoteReference"/>
          <w:rFonts w:ascii="Times New Roman" w:eastAsia="Malgun Gothic" w:hAnsi="Times New Roman"/>
          <w:sz w:val="24"/>
          <w:szCs w:val="24"/>
        </w:rPr>
        <w:footnoteReference w:id="14"/>
      </w:r>
      <w:r w:rsidR="00CC127D" w:rsidRPr="007668DF">
        <w:rPr>
          <w:rFonts w:ascii="Times New Roman" w:eastAsia="Malgun Gothic" w:hAnsi="Times New Roman"/>
          <w:sz w:val="24"/>
          <w:szCs w:val="24"/>
        </w:rPr>
        <w:t xml:space="preserve"> qui tranchent les litiges selon les faits commis, ou sont confiés à leurs chefs de fractions tribales </w:t>
      </w:r>
      <w:r w:rsidR="00B454AE" w:rsidRPr="007668DF">
        <w:rPr>
          <w:rFonts w:ascii="Times New Roman" w:eastAsia="Malgun Gothic" w:hAnsi="Times New Roman"/>
          <w:sz w:val="24"/>
          <w:szCs w:val="24"/>
        </w:rPr>
        <w:t xml:space="preserve">qui exercent une </w:t>
      </w:r>
      <w:r w:rsidR="00CC127D" w:rsidRPr="007668DF">
        <w:rPr>
          <w:rFonts w:ascii="Times New Roman" w:eastAsia="Malgun Gothic" w:hAnsi="Times New Roman"/>
          <w:sz w:val="24"/>
          <w:szCs w:val="24"/>
        </w:rPr>
        <w:t xml:space="preserve">autorité morale </w:t>
      </w:r>
      <w:r w:rsidR="00B454AE" w:rsidRPr="007668DF">
        <w:rPr>
          <w:rFonts w:ascii="Times New Roman" w:eastAsia="Malgun Gothic" w:hAnsi="Times New Roman"/>
          <w:sz w:val="24"/>
          <w:szCs w:val="24"/>
        </w:rPr>
        <w:t xml:space="preserve">et sont </w:t>
      </w:r>
      <w:r w:rsidR="00CC127D" w:rsidRPr="007668DF">
        <w:rPr>
          <w:rFonts w:ascii="Times New Roman" w:eastAsia="Malgun Gothic" w:hAnsi="Times New Roman"/>
          <w:sz w:val="24"/>
          <w:szCs w:val="24"/>
        </w:rPr>
        <w:t>chargées de surveiller le comportement</w:t>
      </w:r>
      <w:r w:rsidR="00B454AE" w:rsidRPr="007668DF">
        <w:rPr>
          <w:rFonts w:ascii="Times New Roman" w:eastAsia="Malgun Gothic" w:hAnsi="Times New Roman"/>
          <w:sz w:val="24"/>
          <w:szCs w:val="24"/>
        </w:rPr>
        <w:t xml:space="preserve"> des civils</w:t>
      </w:r>
      <w:r w:rsidR="00CC127D" w:rsidRPr="007668DF">
        <w:rPr>
          <w:rFonts w:ascii="Times New Roman" w:eastAsia="Malgun Gothic" w:hAnsi="Times New Roman"/>
          <w:sz w:val="24"/>
          <w:szCs w:val="24"/>
        </w:rPr>
        <w:t xml:space="preserve"> dans la société.</w:t>
      </w:r>
      <w:r w:rsidR="00135527" w:rsidRPr="007668DF">
        <w:rPr>
          <w:rFonts w:ascii="Times New Roman" w:eastAsia="Malgun Gothic" w:hAnsi="Times New Roman"/>
          <w:sz w:val="24"/>
          <w:szCs w:val="24"/>
        </w:rPr>
        <w:t xml:space="preserve"> Les peines privatives de liberté sont souvent </w:t>
      </w:r>
      <w:r w:rsidR="007737FC" w:rsidRPr="007668DF">
        <w:rPr>
          <w:rFonts w:ascii="Times New Roman" w:eastAsia="Malgun Gothic" w:hAnsi="Times New Roman"/>
          <w:sz w:val="24"/>
          <w:szCs w:val="24"/>
        </w:rPr>
        <w:t xml:space="preserve">accompagnées </w:t>
      </w:r>
      <w:r w:rsidR="00135527" w:rsidRPr="007668DF">
        <w:rPr>
          <w:rFonts w:ascii="Times New Roman" w:eastAsia="Malgun Gothic" w:hAnsi="Times New Roman"/>
          <w:sz w:val="24"/>
          <w:szCs w:val="24"/>
        </w:rPr>
        <w:t>de mesures subsidiaires, notamment le paiement en nature de sommes d’argent ou de têtes de bétail</w:t>
      </w:r>
      <w:r w:rsidR="00B454AE" w:rsidRPr="007668DF">
        <w:rPr>
          <w:rFonts w:ascii="Times New Roman" w:eastAsia="Malgun Gothic" w:hAnsi="Times New Roman"/>
          <w:sz w:val="24"/>
          <w:szCs w:val="24"/>
        </w:rPr>
        <w:t>,</w:t>
      </w:r>
      <w:r w:rsidR="00135527" w:rsidRPr="007668DF">
        <w:rPr>
          <w:rFonts w:ascii="Times New Roman" w:eastAsia="Malgun Gothic" w:hAnsi="Times New Roman"/>
          <w:sz w:val="24"/>
          <w:szCs w:val="24"/>
        </w:rPr>
        <w:t xml:space="preserve"> selon le</w:t>
      </w:r>
      <w:r w:rsidR="00B454AE" w:rsidRPr="007668DF">
        <w:rPr>
          <w:rFonts w:ascii="Times New Roman" w:eastAsia="Malgun Gothic" w:hAnsi="Times New Roman"/>
          <w:sz w:val="24"/>
          <w:szCs w:val="24"/>
        </w:rPr>
        <w:t>s</w:t>
      </w:r>
      <w:r w:rsidR="00135527" w:rsidRPr="007668DF">
        <w:rPr>
          <w:rFonts w:ascii="Times New Roman" w:eastAsia="Malgun Gothic" w:hAnsi="Times New Roman"/>
          <w:sz w:val="24"/>
          <w:szCs w:val="24"/>
        </w:rPr>
        <w:t xml:space="preserve"> cas. Cette procédure traditionnelle</w:t>
      </w:r>
      <w:r w:rsidR="00B454AE" w:rsidRPr="007668DF">
        <w:rPr>
          <w:rFonts w:ascii="Times New Roman" w:eastAsia="Malgun Gothic" w:hAnsi="Times New Roman"/>
          <w:sz w:val="24"/>
          <w:szCs w:val="24"/>
        </w:rPr>
        <w:t>,</w:t>
      </w:r>
      <w:r w:rsidR="00135527" w:rsidRPr="007668DF">
        <w:rPr>
          <w:rFonts w:ascii="Times New Roman" w:eastAsia="Malgun Gothic" w:hAnsi="Times New Roman"/>
          <w:sz w:val="24"/>
          <w:szCs w:val="24"/>
        </w:rPr>
        <w:t xml:space="preserve"> qui se déroule souvent en présence des plaignants et des familles des personnes arrêtées</w:t>
      </w:r>
      <w:r w:rsidR="00B454AE" w:rsidRPr="007668DF">
        <w:rPr>
          <w:rFonts w:ascii="Times New Roman" w:eastAsia="Malgun Gothic" w:hAnsi="Times New Roman"/>
          <w:sz w:val="24"/>
          <w:szCs w:val="24"/>
        </w:rPr>
        <w:t>,</w:t>
      </w:r>
      <w:r w:rsidR="00135527" w:rsidRPr="007668DF">
        <w:rPr>
          <w:rFonts w:ascii="Times New Roman" w:eastAsia="Malgun Gothic" w:hAnsi="Times New Roman"/>
          <w:sz w:val="24"/>
          <w:szCs w:val="24"/>
        </w:rPr>
        <w:t xml:space="preserve"> est perçue comme une forme de conciliation.</w:t>
      </w:r>
      <w:r w:rsidR="00ED0F7E" w:rsidRPr="007668DF">
        <w:rPr>
          <w:rFonts w:ascii="Times New Roman" w:eastAsia="Malgun Gothic" w:hAnsi="Times New Roman"/>
          <w:sz w:val="24"/>
          <w:szCs w:val="24"/>
        </w:rPr>
        <w:t xml:space="preserve"> </w:t>
      </w:r>
      <w:r w:rsidR="00884470" w:rsidRPr="007668DF">
        <w:rPr>
          <w:rFonts w:ascii="Times New Roman" w:eastAsia="Malgun Gothic" w:hAnsi="Times New Roman"/>
          <w:sz w:val="24"/>
          <w:szCs w:val="24"/>
        </w:rPr>
        <w:tab/>
      </w:r>
    </w:p>
    <w:p w:rsidR="00135527" w:rsidRPr="007668DF" w:rsidRDefault="00A9353A" w:rsidP="006C2FA0">
      <w:pPr>
        <w:tabs>
          <w:tab w:val="left" w:pos="567"/>
        </w:tabs>
        <w:jc w:val="both"/>
        <w:rPr>
          <w:rFonts w:ascii="Times New Roman" w:eastAsia="Malgun Gothic" w:hAnsi="Times New Roman"/>
          <w:sz w:val="24"/>
          <w:szCs w:val="24"/>
        </w:rPr>
      </w:pPr>
      <w:r w:rsidRPr="007668DF">
        <w:rPr>
          <w:rFonts w:ascii="Times New Roman" w:eastAsia="Malgun Gothic" w:hAnsi="Times New Roman"/>
          <w:sz w:val="24"/>
          <w:szCs w:val="24"/>
        </w:rPr>
        <w:t>5</w:t>
      </w:r>
      <w:r w:rsidR="0086130D">
        <w:rPr>
          <w:rFonts w:ascii="Times New Roman" w:eastAsia="Malgun Gothic" w:hAnsi="Times New Roman"/>
          <w:sz w:val="24"/>
          <w:szCs w:val="24"/>
        </w:rPr>
        <w:t>5</w:t>
      </w:r>
      <w:r w:rsidR="00135527" w:rsidRPr="007668DF">
        <w:rPr>
          <w:rFonts w:ascii="Times New Roman" w:eastAsia="Malgun Gothic" w:hAnsi="Times New Roman"/>
          <w:sz w:val="24"/>
          <w:szCs w:val="24"/>
        </w:rPr>
        <w:t>.</w:t>
      </w:r>
      <w:r w:rsidR="00135527" w:rsidRPr="007668DF">
        <w:rPr>
          <w:rFonts w:ascii="Times New Roman" w:eastAsia="Malgun Gothic" w:hAnsi="Times New Roman"/>
          <w:sz w:val="24"/>
          <w:szCs w:val="24"/>
        </w:rPr>
        <w:tab/>
      </w:r>
      <w:r w:rsidR="00B454AE" w:rsidRPr="007668DF">
        <w:rPr>
          <w:rFonts w:ascii="Times New Roman" w:eastAsia="Malgun Gothic" w:hAnsi="Times New Roman"/>
          <w:sz w:val="24"/>
          <w:szCs w:val="24"/>
        </w:rPr>
        <w:t>C</w:t>
      </w:r>
      <w:r w:rsidR="00135527" w:rsidRPr="007668DF">
        <w:rPr>
          <w:rFonts w:ascii="Times New Roman" w:eastAsia="Malgun Gothic" w:hAnsi="Times New Roman"/>
          <w:sz w:val="24"/>
          <w:szCs w:val="24"/>
        </w:rPr>
        <w:t xml:space="preserve">ette forme de justice se manifeste par des </w:t>
      </w:r>
      <w:r w:rsidR="00B24072" w:rsidRPr="007668DF">
        <w:rPr>
          <w:rFonts w:ascii="Times New Roman" w:eastAsia="Malgun Gothic" w:hAnsi="Times New Roman"/>
          <w:sz w:val="24"/>
          <w:szCs w:val="24"/>
        </w:rPr>
        <w:t xml:space="preserve">violations </w:t>
      </w:r>
      <w:r w:rsidR="00135527" w:rsidRPr="007668DF">
        <w:rPr>
          <w:rFonts w:ascii="Times New Roman" w:eastAsia="Malgun Gothic" w:hAnsi="Times New Roman"/>
          <w:sz w:val="24"/>
          <w:szCs w:val="24"/>
        </w:rPr>
        <w:t>de divers ordres</w:t>
      </w:r>
      <w:r w:rsidR="00073D38" w:rsidRPr="007668DF">
        <w:rPr>
          <w:rFonts w:ascii="Times New Roman" w:eastAsia="Malgun Gothic" w:hAnsi="Times New Roman"/>
          <w:sz w:val="24"/>
          <w:szCs w:val="24"/>
        </w:rPr>
        <w:t>,</w:t>
      </w:r>
      <w:r w:rsidR="00135527" w:rsidRPr="007668DF">
        <w:rPr>
          <w:rFonts w:ascii="Times New Roman" w:eastAsia="Malgun Gothic" w:hAnsi="Times New Roman"/>
          <w:sz w:val="24"/>
          <w:szCs w:val="24"/>
        </w:rPr>
        <w:t xml:space="preserve"> tel</w:t>
      </w:r>
      <w:r w:rsidR="00073D38" w:rsidRPr="007668DF">
        <w:rPr>
          <w:rFonts w:ascii="Times New Roman" w:eastAsia="Malgun Gothic" w:hAnsi="Times New Roman"/>
          <w:sz w:val="24"/>
          <w:szCs w:val="24"/>
        </w:rPr>
        <w:t>le</w:t>
      </w:r>
      <w:r w:rsidR="00135527" w:rsidRPr="007668DF">
        <w:rPr>
          <w:rFonts w:ascii="Times New Roman" w:eastAsia="Malgun Gothic" w:hAnsi="Times New Roman"/>
          <w:sz w:val="24"/>
          <w:szCs w:val="24"/>
        </w:rPr>
        <w:t xml:space="preserve">s que </w:t>
      </w:r>
      <w:r w:rsidR="00B454AE" w:rsidRPr="007668DF">
        <w:rPr>
          <w:rFonts w:ascii="Times New Roman" w:eastAsia="Malgun Gothic" w:hAnsi="Times New Roman"/>
          <w:sz w:val="24"/>
          <w:szCs w:val="24"/>
        </w:rPr>
        <w:t>d</w:t>
      </w:r>
      <w:r w:rsidR="00135527" w:rsidRPr="007668DF">
        <w:rPr>
          <w:rFonts w:ascii="Times New Roman" w:eastAsia="Malgun Gothic" w:hAnsi="Times New Roman"/>
          <w:sz w:val="24"/>
          <w:szCs w:val="24"/>
        </w:rPr>
        <w:t xml:space="preserve">es détentions </w:t>
      </w:r>
      <w:r w:rsidR="008743C2" w:rsidRPr="007668DF">
        <w:rPr>
          <w:rFonts w:ascii="Times New Roman" w:eastAsia="Malgun Gothic" w:hAnsi="Times New Roman"/>
          <w:sz w:val="24"/>
          <w:szCs w:val="24"/>
        </w:rPr>
        <w:t>arbitraires,</w:t>
      </w:r>
      <w:r w:rsidR="00135527" w:rsidRPr="007668DF">
        <w:rPr>
          <w:rFonts w:ascii="Times New Roman" w:eastAsia="Malgun Gothic" w:hAnsi="Times New Roman"/>
          <w:sz w:val="24"/>
          <w:szCs w:val="24"/>
        </w:rPr>
        <w:t xml:space="preserve"> </w:t>
      </w:r>
      <w:r w:rsidR="00B454AE" w:rsidRPr="007668DF">
        <w:rPr>
          <w:rFonts w:ascii="Times New Roman" w:eastAsia="Malgun Gothic" w:hAnsi="Times New Roman"/>
          <w:sz w:val="24"/>
          <w:szCs w:val="24"/>
        </w:rPr>
        <w:t>d</w:t>
      </w:r>
      <w:r w:rsidR="00135527" w:rsidRPr="007668DF">
        <w:rPr>
          <w:rFonts w:ascii="Times New Roman" w:eastAsia="Malgun Gothic" w:hAnsi="Times New Roman"/>
          <w:sz w:val="24"/>
          <w:szCs w:val="24"/>
        </w:rPr>
        <w:t xml:space="preserve">es traitements </w:t>
      </w:r>
      <w:r w:rsidR="006077A4" w:rsidRPr="007668DF">
        <w:rPr>
          <w:rFonts w:ascii="Times New Roman" w:eastAsia="Malgun Gothic" w:hAnsi="Times New Roman"/>
          <w:sz w:val="24"/>
          <w:szCs w:val="24"/>
        </w:rPr>
        <w:t xml:space="preserve">cruels, </w:t>
      </w:r>
      <w:r w:rsidR="00135527" w:rsidRPr="007668DF">
        <w:rPr>
          <w:rFonts w:ascii="Times New Roman" w:eastAsia="Malgun Gothic" w:hAnsi="Times New Roman"/>
          <w:sz w:val="24"/>
          <w:szCs w:val="24"/>
        </w:rPr>
        <w:t xml:space="preserve">inhumains </w:t>
      </w:r>
      <w:r w:rsidR="002D1CD6" w:rsidRPr="007668DF">
        <w:rPr>
          <w:rFonts w:ascii="Times New Roman" w:eastAsia="Malgun Gothic" w:hAnsi="Times New Roman"/>
          <w:sz w:val="24"/>
          <w:szCs w:val="24"/>
        </w:rPr>
        <w:t>ou</w:t>
      </w:r>
      <w:r w:rsidR="00135527" w:rsidRPr="007668DF">
        <w:rPr>
          <w:rFonts w:ascii="Times New Roman" w:eastAsia="Malgun Gothic" w:hAnsi="Times New Roman"/>
          <w:sz w:val="24"/>
          <w:szCs w:val="24"/>
        </w:rPr>
        <w:t xml:space="preserve"> dégradants ainsi que certains actes de torture</w:t>
      </w:r>
      <w:r w:rsidR="00B454AE" w:rsidRPr="007668DF">
        <w:rPr>
          <w:rFonts w:ascii="Times New Roman" w:eastAsia="Malgun Gothic" w:hAnsi="Times New Roman"/>
          <w:sz w:val="24"/>
          <w:szCs w:val="24"/>
        </w:rPr>
        <w:t xml:space="preserve">. Cette situation est favorisée par </w:t>
      </w:r>
      <w:r w:rsidR="00135527" w:rsidRPr="007668DF">
        <w:rPr>
          <w:rFonts w:ascii="Times New Roman" w:eastAsia="Malgun Gothic" w:hAnsi="Times New Roman"/>
          <w:sz w:val="24"/>
          <w:szCs w:val="24"/>
        </w:rPr>
        <w:t>l’absence d’inspection et de contrôle judiciaire</w:t>
      </w:r>
      <w:r w:rsidR="00B454AE" w:rsidRPr="007668DF">
        <w:rPr>
          <w:rFonts w:ascii="Times New Roman" w:eastAsia="Malgun Gothic" w:hAnsi="Times New Roman"/>
          <w:sz w:val="24"/>
          <w:szCs w:val="24"/>
        </w:rPr>
        <w:t>, et par le trafic d’influence</w:t>
      </w:r>
      <w:r w:rsidR="00135527" w:rsidRPr="007668DF">
        <w:rPr>
          <w:rFonts w:ascii="Times New Roman" w:eastAsia="Malgun Gothic" w:hAnsi="Times New Roman"/>
          <w:sz w:val="24"/>
          <w:szCs w:val="24"/>
        </w:rPr>
        <w:t xml:space="preserve">. Par ailleurs, </w:t>
      </w:r>
      <w:r w:rsidR="00240B10" w:rsidRPr="007668DF">
        <w:rPr>
          <w:rFonts w:ascii="Times New Roman" w:eastAsia="Malgun Gothic" w:hAnsi="Times New Roman"/>
          <w:sz w:val="24"/>
          <w:szCs w:val="24"/>
        </w:rPr>
        <w:t xml:space="preserve">par </w:t>
      </w:r>
      <w:r w:rsidR="00135527" w:rsidRPr="007668DF">
        <w:rPr>
          <w:rFonts w:ascii="Times New Roman" w:eastAsia="Malgun Gothic" w:hAnsi="Times New Roman"/>
          <w:sz w:val="24"/>
          <w:szCs w:val="24"/>
        </w:rPr>
        <w:t xml:space="preserve">manque de confiance </w:t>
      </w:r>
      <w:r w:rsidR="00240B10" w:rsidRPr="007668DF">
        <w:rPr>
          <w:rFonts w:ascii="Times New Roman" w:eastAsia="Malgun Gothic" w:hAnsi="Times New Roman"/>
          <w:sz w:val="24"/>
          <w:szCs w:val="24"/>
        </w:rPr>
        <w:t xml:space="preserve">en la justice nationale, </w:t>
      </w:r>
      <w:r w:rsidR="00135527" w:rsidRPr="007668DF">
        <w:rPr>
          <w:rFonts w:ascii="Times New Roman" w:eastAsia="Malgun Gothic" w:hAnsi="Times New Roman"/>
          <w:sz w:val="24"/>
          <w:szCs w:val="24"/>
        </w:rPr>
        <w:t xml:space="preserve">une partie de la population de Kidal </w:t>
      </w:r>
      <w:r w:rsidR="00240B10" w:rsidRPr="007668DF">
        <w:rPr>
          <w:rFonts w:ascii="Times New Roman" w:eastAsia="Malgun Gothic" w:hAnsi="Times New Roman"/>
          <w:sz w:val="24"/>
          <w:szCs w:val="24"/>
        </w:rPr>
        <w:t xml:space="preserve">tend à référer </w:t>
      </w:r>
      <w:r w:rsidR="00135527" w:rsidRPr="007668DF">
        <w:rPr>
          <w:rFonts w:ascii="Times New Roman" w:eastAsia="Malgun Gothic" w:hAnsi="Times New Roman"/>
          <w:sz w:val="24"/>
          <w:szCs w:val="24"/>
        </w:rPr>
        <w:t xml:space="preserve">les plaintes </w:t>
      </w:r>
      <w:r w:rsidR="00240B10" w:rsidRPr="007668DF">
        <w:rPr>
          <w:rFonts w:ascii="Times New Roman" w:eastAsia="Malgun Gothic" w:hAnsi="Times New Roman"/>
          <w:sz w:val="24"/>
          <w:szCs w:val="24"/>
        </w:rPr>
        <w:t xml:space="preserve">pour </w:t>
      </w:r>
      <w:r w:rsidR="00135527" w:rsidRPr="007668DF">
        <w:rPr>
          <w:rFonts w:ascii="Times New Roman" w:eastAsia="Malgun Gothic" w:hAnsi="Times New Roman"/>
          <w:sz w:val="24"/>
          <w:szCs w:val="24"/>
        </w:rPr>
        <w:t xml:space="preserve">infractions </w:t>
      </w:r>
      <w:r w:rsidR="00240B10" w:rsidRPr="007668DF">
        <w:rPr>
          <w:rFonts w:ascii="Times New Roman" w:eastAsia="Malgun Gothic" w:hAnsi="Times New Roman"/>
          <w:sz w:val="24"/>
          <w:szCs w:val="24"/>
        </w:rPr>
        <w:t>au</w:t>
      </w:r>
      <w:r w:rsidR="00135527" w:rsidRPr="007668DF">
        <w:rPr>
          <w:rFonts w:ascii="Times New Roman" w:eastAsia="Malgun Gothic" w:hAnsi="Times New Roman"/>
          <w:sz w:val="24"/>
          <w:szCs w:val="24"/>
        </w:rPr>
        <w:t xml:space="preserve"> droit commun au MNLA et HCUA. </w:t>
      </w:r>
    </w:p>
    <w:p w:rsidR="00AA26CA" w:rsidRPr="007668DF" w:rsidRDefault="00C50FEB" w:rsidP="006C2FA0">
      <w:pPr>
        <w:tabs>
          <w:tab w:val="left" w:pos="567"/>
        </w:tabs>
        <w:jc w:val="both"/>
        <w:rPr>
          <w:rFonts w:ascii="Times New Roman" w:eastAsia="Malgun Gothic" w:hAnsi="Times New Roman"/>
          <w:sz w:val="24"/>
          <w:szCs w:val="24"/>
        </w:rPr>
      </w:pPr>
      <w:r w:rsidRPr="007668DF">
        <w:rPr>
          <w:rFonts w:ascii="Times New Roman" w:eastAsia="Malgun Gothic" w:hAnsi="Times New Roman"/>
          <w:sz w:val="24"/>
          <w:szCs w:val="24"/>
        </w:rPr>
        <w:lastRenderedPageBreak/>
        <w:t>5</w:t>
      </w:r>
      <w:r w:rsidR="0086130D">
        <w:rPr>
          <w:rFonts w:ascii="Times New Roman" w:eastAsia="Malgun Gothic" w:hAnsi="Times New Roman"/>
          <w:sz w:val="24"/>
          <w:szCs w:val="24"/>
        </w:rPr>
        <w:t>6</w:t>
      </w:r>
      <w:r w:rsidR="00135527" w:rsidRPr="007668DF">
        <w:rPr>
          <w:rFonts w:ascii="Times New Roman" w:eastAsia="Malgun Gothic" w:hAnsi="Times New Roman"/>
          <w:sz w:val="24"/>
          <w:szCs w:val="24"/>
        </w:rPr>
        <w:t>.</w:t>
      </w:r>
      <w:r w:rsidR="00135527" w:rsidRPr="007668DF">
        <w:rPr>
          <w:rFonts w:ascii="Times New Roman" w:eastAsia="Malgun Gothic" w:hAnsi="Times New Roman"/>
          <w:sz w:val="24"/>
          <w:szCs w:val="24"/>
        </w:rPr>
        <w:tab/>
      </w:r>
      <w:r w:rsidR="00392819" w:rsidRPr="007668DF">
        <w:rPr>
          <w:rFonts w:ascii="Times New Roman" w:eastAsia="Malgun Gothic" w:hAnsi="Times New Roman"/>
          <w:sz w:val="24"/>
          <w:szCs w:val="24"/>
        </w:rPr>
        <w:t>Par ailleurs, la gendarmerie et la p</w:t>
      </w:r>
      <w:r w:rsidR="004935DB" w:rsidRPr="007668DF">
        <w:rPr>
          <w:rFonts w:ascii="Times New Roman" w:eastAsia="Malgun Gothic" w:hAnsi="Times New Roman"/>
          <w:sz w:val="24"/>
          <w:szCs w:val="24"/>
        </w:rPr>
        <w:t xml:space="preserve">olice de Kidal, </w:t>
      </w:r>
      <w:r w:rsidR="00392819" w:rsidRPr="007668DF">
        <w:rPr>
          <w:rFonts w:ascii="Times New Roman" w:eastAsia="Malgun Gothic" w:hAnsi="Times New Roman"/>
          <w:sz w:val="24"/>
          <w:szCs w:val="24"/>
        </w:rPr>
        <w:t xml:space="preserve">avec seulement 100 officiers de police et 40 gendarmes </w:t>
      </w:r>
      <w:r w:rsidR="004935DB" w:rsidRPr="007668DF">
        <w:rPr>
          <w:rFonts w:ascii="Times New Roman" w:eastAsia="Malgun Gothic" w:hAnsi="Times New Roman"/>
          <w:sz w:val="24"/>
          <w:szCs w:val="24"/>
        </w:rPr>
        <w:t>n’étaient</w:t>
      </w:r>
      <w:r w:rsidR="00392819" w:rsidRPr="007668DF">
        <w:rPr>
          <w:rFonts w:ascii="Times New Roman" w:eastAsia="Malgun Gothic" w:hAnsi="Times New Roman"/>
          <w:sz w:val="24"/>
          <w:szCs w:val="24"/>
        </w:rPr>
        <w:t xml:space="preserve"> presque pas opérationnelles</w:t>
      </w:r>
      <w:r w:rsidR="004935DB" w:rsidRPr="007668DF">
        <w:rPr>
          <w:rFonts w:ascii="Times New Roman" w:eastAsia="Malgun Gothic" w:hAnsi="Times New Roman"/>
          <w:sz w:val="24"/>
          <w:szCs w:val="24"/>
        </w:rPr>
        <w:t xml:space="preserve"> et n’étaient</w:t>
      </w:r>
      <w:r w:rsidR="00392819" w:rsidRPr="007668DF">
        <w:rPr>
          <w:rFonts w:ascii="Times New Roman" w:eastAsia="Malgun Gothic" w:hAnsi="Times New Roman"/>
          <w:sz w:val="24"/>
          <w:szCs w:val="24"/>
        </w:rPr>
        <w:t xml:space="preserve"> donc pas en mesure de mener des enquêtes dans la ville, </w:t>
      </w:r>
      <w:r w:rsidR="001C1AEC">
        <w:rPr>
          <w:rFonts w:ascii="Times New Roman" w:eastAsia="Malgun Gothic" w:hAnsi="Times New Roman"/>
          <w:sz w:val="24"/>
          <w:szCs w:val="24"/>
        </w:rPr>
        <w:t>et encore moins</w:t>
      </w:r>
      <w:r w:rsidR="00392819" w:rsidRPr="007668DF">
        <w:rPr>
          <w:rFonts w:ascii="Times New Roman" w:eastAsia="Malgun Gothic" w:hAnsi="Times New Roman"/>
          <w:sz w:val="24"/>
          <w:szCs w:val="24"/>
        </w:rPr>
        <w:t xml:space="preserve"> d’adresser des convocations aux suspects. De plus, leur </w:t>
      </w:r>
      <w:r w:rsidR="006B24A8" w:rsidRPr="007668DF">
        <w:rPr>
          <w:rFonts w:ascii="Times New Roman" w:eastAsia="Malgun Gothic" w:hAnsi="Times New Roman"/>
          <w:sz w:val="24"/>
          <w:szCs w:val="24"/>
        </w:rPr>
        <w:t>autorité</w:t>
      </w:r>
      <w:r w:rsidR="00392819" w:rsidRPr="007668DF">
        <w:rPr>
          <w:rFonts w:ascii="Times New Roman" w:eastAsia="Malgun Gothic" w:hAnsi="Times New Roman"/>
          <w:sz w:val="24"/>
          <w:szCs w:val="24"/>
        </w:rPr>
        <w:t xml:space="preserve"> était fortement </w:t>
      </w:r>
      <w:r w:rsidR="006B24A8" w:rsidRPr="007668DF">
        <w:rPr>
          <w:rFonts w:ascii="Times New Roman" w:eastAsia="Malgun Gothic" w:hAnsi="Times New Roman"/>
          <w:sz w:val="24"/>
          <w:szCs w:val="24"/>
        </w:rPr>
        <w:t>contestée par la population locale qui préférait s</w:t>
      </w:r>
      <w:r w:rsidR="00621FA5" w:rsidRPr="007668DF">
        <w:rPr>
          <w:rFonts w:ascii="Times New Roman" w:eastAsia="Malgun Gothic" w:hAnsi="Times New Roman"/>
          <w:sz w:val="24"/>
          <w:szCs w:val="24"/>
        </w:rPr>
        <w:t xml:space="preserve">e référer aux groupes armés. </w:t>
      </w:r>
      <w:r w:rsidR="00135527" w:rsidRPr="007668DF">
        <w:rPr>
          <w:rFonts w:ascii="Times New Roman" w:eastAsia="Malgun Gothic" w:hAnsi="Times New Roman"/>
          <w:sz w:val="24"/>
          <w:szCs w:val="24"/>
        </w:rPr>
        <w:t xml:space="preserve">Certains combattants du MNLA </w:t>
      </w:r>
      <w:r w:rsidR="006B24A8" w:rsidRPr="007668DF">
        <w:rPr>
          <w:rFonts w:ascii="Times New Roman" w:eastAsia="Malgun Gothic" w:hAnsi="Times New Roman"/>
          <w:sz w:val="24"/>
          <w:szCs w:val="24"/>
        </w:rPr>
        <w:t xml:space="preserve">auraient même </w:t>
      </w:r>
      <w:r w:rsidR="000B4141" w:rsidRPr="007668DF">
        <w:rPr>
          <w:rFonts w:ascii="Times New Roman" w:eastAsia="Malgun Gothic" w:hAnsi="Times New Roman"/>
          <w:sz w:val="24"/>
          <w:szCs w:val="24"/>
        </w:rPr>
        <w:t>parfois</w:t>
      </w:r>
      <w:r w:rsidR="00135527" w:rsidRPr="007668DF">
        <w:rPr>
          <w:rFonts w:ascii="Times New Roman" w:eastAsia="Malgun Gothic" w:hAnsi="Times New Roman"/>
          <w:sz w:val="24"/>
          <w:szCs w:val="24"/>
        </w:rPr>
        <w:t xml:space="preserve"> empêché la gendarmerie et la police de procéder à l’interpellation de suspects soupçonnés d’avoir commis des infractions au regard de la loi malienne</w:t>
      </w:r>
      <w:r w:rsidR="00A75983" w:rsidRPr="007668DF">
        <w:rPr>
          <w:rFonts w:ascii="Times New Roman" w:eastAsia="Malgun Gothic" w:hAnsi="Times New Roman"/>
          <w:sz w:val="24"/>
          <w:szCs w:val="24"/>
        </w:rPr>
        <w:t>.</w:t>
      </w:r>
      <w:r w:rsidR="00135527" w:rsidRPr="007668DF">
        <w:rPr>
          <w:rFonts w:ascii="Times New Roman" w:eastAsia="Malgun Gothic" w:hAnsi="Times New Roman"/>
          <w:sz w:val="24"/>
          <w:szCs w:val="24"/>
        </w:rPr>
        <w:t xml:space="preserve"> </w:t>
      </w:r>
      <w:r w:rsidR="00240B10" w:rsidRPr="007668DF">
        <w:rPr>
          <w:rFonts w:ascii="Times New Roman" w:eastAsia="Malgun Gothic" w:hAnsi="Times New Roman"/>
          <w:sz w:val="24"/>
          <w:szCs w:val="24"/>
        </w:rPr>
        <w:t>A</w:t>
      </w:r>
      <w:r w:rsidR="00135527" w:rsidRPr="007668DF">
        <w:rPr>
          <w:rFonts w:ascii="Times New Roman" w:eastAsia="Malgun Gothic" w:hAnsi="Times New Roman"/>
          <w:sz w:val="24"/>
          <w:szCs w:val="24"/>
        </w:rPr>
        <w:t>insi</w:t>
      </w:r>
      <w:r w:rsidR="00240B10" w:rsidRPr="007668DF">
        <w:rPr>
          <w:rFonts w:ascii="Times New Roman" w:eastAsia="Malgun Gothic" w:hAnsi="Times New Roman"/>
          <w:sz w:val="24"/>
          <w:szCs w:val="24"/>
        </w:rPr>
        <w:t>,</w:t>
      </w:r>
      <w:r w:rsidR="00135527" w:rsidRPr="007668DF">
        <w:rPr>
          <w:rFonts w:ascii="Times New Roman" w:eastAsia="Malgun Gothic" w:hAnsi="Times New Roman"/>
          <w:sz w:val="24"/>
          <w:szCs w:val="24"/>
        </w:rPr>
        <w:t xml:space="preserve"> le 6 janvier 2014</w:t>
      </w:r>
      <w:r w:rsidR="00240B10" w:rsidRPr="007668DF">
        <w:rPr>
          <w:rFonts w:ascii="Times New Roman" w:eastAsia="Malgun Gothic" w:hAnsi="Times New Roman"/>
          <w:sz w:val="24"/>
          <w:szCs w:val="24"/>
        </w:rPr>
        <w:t>,</w:t>
      </w:r>
      <w:r w:rsidR="00135527" w:rsidRPr="007668DF">
        <w:rPr>
          <w:rFonts w:ascii="Times New Roman" w:eastAsia="Malgun Gothic" w:hAnsi="Times New Roman"/>
          <w:sz w:val="24"/>
          <w:szCs w:val="24"/>
        </w:rPr>
        <w:t xml:space="preserve"> un membre du MNLA est intervenu pour empêcher la gendarmerie de procéder à l’interpellation d’un suspect de vol au marché de Kidal. </w:t>
      </w:r>
    </w:p>
    <w:p w:rsidR="00306EE3" w:rsidRPr="007668DF" w:rsidRDefault="00FB5626" w:rsidP="006C2FA0">
      <w:pPr>
        <w:numPr>
          <w:ilvl w:val="0"/>
          <w:numId w:val="27"/>
        </w:numPr>
        <w:tabs>
          <w:tab w:val="left" w:pos="567"/>
        </w:tabs>
        <w:jc w:val="both"/>
        <w:rPr>
          <w:rFonts w:ascii="Times New Roman" w:eastAsia="Times New Roman" w:hAnsi="Times New Roman"/>
          <w:sz w:val="24"/>
          <w:szCs w:val="24"/>
        </w:rPr>
      </w:pPr>
      <w:bookmarkStart w:id="13" w:name="_Toc401931493"/>
      <w:r w:rsidRPr="00660AD5">
        <w:rPr>
          <w:rStyle w:val="TitleChar"/>
        </w:rPr>
        <w:t xml:space="preserve">Les évènements de Kidal </w:t>
      </w:r>
      <w:r w:rsidR="004935DB" w:rsidRPr="00660AD5">
        <w:rPr>
          <w:rStyle w:val="TitleChar"/>
        </w:rPr>
        <w:t>de mai 2014</w:t>
      </w:r>
      <w:bookmarkEnd w:id="13"/>
    </w:p>
    <w:p w:rsidR="00306EE3" w:rsidRPr="00660AD5" w:rsidRDefault="00306EE3" w:rsidP="00660AD5">
      <w:pPr>
        <w:pStyle w:val="Subtitle"/>
        <w:numPr>
          <w:ilvl w:val="0"/>
          <w:numId w:val="46"/>
        </w:numPr>
        <w:rPr>
          <w:rFonts w:eastAsia="Times New Roman"/>
        </w:rPr>
      </w:pPr>
      <w:bookmarkStart w:id="14" w:name="_Toc401931494"/>
      <w:r w:rsidRPr="00660AD5">
        <w:rPr>
          <w:rFonts w:eastAsia="Malgun Gothic"/>
        </w:rPr>
        <w:t>Aperçu général</w:t>
      </w:r>
      <w:bookmarkEnd w:id="14"/>
      <w:r w:rsidRPr="00660AD5">
        <w:rPr>
          <w:rFonts w:eastAsia="Malgun Gothic"/>
        </w:rPr>
        <w:t xml:space="preserve"> </w:t>
      </w:r>
      <w:r w:rsidR="00FB5626" w:rsidRPr="00660AD5">
        <w:rPr>
          <w:rFonts w:eastAsia="Times New Roman"/>
        </w:rPr>
        <w:t xml:space="preserve"> </w:t>
      </w:r>
    </w:p>
    <w:p w:rsidR="00262587" w:rsidRPr="003B152B" w:rsidRDefault="0086130D" w:rsidP="003B152B">
      <w:pPr>
        <w:widowControl w:val="0"/>
        <w:spacing w:after="120"/>
        <w:ind w:right="39"/>
        <w:jc w:val="both"/>
        <w:rPr>
          <w:rFonts w:ascii="Times New Roman" w:eastAsia="Times New Roman" w:hAnsi="Times New Roman"/>
          <w:sz w:val="24"/>
          <w:szCs w:val="24"/>
        </w:rPr>
      </w:pPr>
      <w:r>
        <w:rPr>
          <w:rFonts w:ascii="Times New Roman" w:eastAsia="Malgun Gothic" w:hAnsi="Times New Roman"/>
          <w:sz w:val="24"/>
          <w:szCs w:val="24"/>
        </w:rPr>
        <w:t>57</w:t>
      </w:r>
      <w:r w:rsidRPr="007668DF">
        <w:rPr>
          <w:rFonts w:ascii="Times New Roman" w:eastAsia="Malgun Gothic" w:hAnsi="Times New Roman"/>
          <w:sz w:val="24"/>
          <w:szCs w:val="24"/>
        </w:rPr>
        <w:t>.</w:t>
      </w:r>
      <w:r w:rsidRPr="007668DF">
        <w:rPr>
          <w:rFonts w:ascii="Times New Roman" w:eastAsia="Malgun Gothic" w:hAnsi="Times New Roman"/>
          <w:sz w:val="24"/>
          <w:szCs w:val="24"/>
        </w:rPr>
        <w:tab/>
      </w:r>
      <w:r w:rsidR="00306EE3" w:rsidRPr="003B152B">
        <w:rPr>
          <w:rFonts w:ascii="Times New Roman" w:eastAsia="Times New Roman" w:hAnsi="Times New Roman"/>
          <w:sz w:val="24"/>
          <w:szCs w:val="24"/>
        </w:rPr>
        <w:t>Le 16 mai 2014, dans le contexte d’une manifestation contre l’arrivée du Premier Ministre malien, une foule, estimée à une centaine de personnes a envahi la piste d’atterrissage de l’aérodrome de la ville afin d’empêcher l’arrivée annoncée de la délégation du Premier Ministre venue de Bamako. Ces manifestants, identifiés par différentes sources locales et témoins comme sympathisants du</w:t>
      </w:r>
      <w:r w:rsidR="00BA201D" w:rsidRPr="003B152B">
        <w:rPr>
          <w:rFonts w:ascii="Times New Roman" w:eastAsia="Times New Roman" w:hAnsi="Times New Roman"/>
          <w:sz w:val="24"/>
          <w:szCs w:val="24"/>
        </w:rPr>
        <w:t xml:space="preserve"> MNLA</w:t>
      </w:r>
      <w:r w:rsidR="00306EE3" w:rsidRPr="003B152B">
        <w:rPr>
          <w:rFonts w:ascii="Times New Roman" w:eastAsia="Times New Roman" w:hAnsi="Times New Roman"/>
          <w:sz w:val="24"/>
          <w:szCs w:val="24"/>
        </w:rPr>
        <w:t xml:space="preserve">, ont attaqué, à l’aide de  jets de pierre et de cocktails Molotov, les </w:t>
      </w:r>
      <w:r w:rsidR="003A55E0" w:rsidRPr="003B152B">
        <w:rPr>
          <w:rFonts w:ascii="Times New Roman" w:eastAsia="Times New Roman" w:hAnsi="Times New Roman"/>
          <w:sz w:val="24"/>
          <w:szCs w:val="24"/>
        </w:rPr>
        <w:t>FAMa et</w:t>
      </w:r>
      <w:r w:rsidR="00306EE3" w:rsidRPr="003B152B">
        <w:rPr>
          <w:rFonts w:ascii="Times New Roman" w:eastAsia="Times New Roman" w:hAnsi="Times New Roman"/>
          <w:sz w:val="24"/>
          <w:szCs w:val="24"/>
        </w:rPr>
        <w:t xml:space="preserve"> la police des Nations Unies chargés du rétablissement de l’ordre public à l’aérodrome de Kidal. </w:t>
      </w:r>
      <w:r w:rsidR="00412320">
        <w:rPr>
          <w:rFonts w:ascii="Times New Roman" w:eastAsia="Times New Roman" w:hAnsi="Times New Roman"/>
          <w:sz w:val="24"/>
          <w:szCs w:val="24"/>
        </w:rPr>
        <w:t>À</w:t>
      </w:r>
      <w:r w:rsidR="00306EE3" w:rsidRPr="003B152B">
        <w:rPr>
          <w:rFonts w:ascii="Times New Roman" w:eastAsia="Times New Roman" w:hAnsi="Times New Roman"/>
          <w:sz w:val="24"/>
          <w:szCs w:val="24"/>
        </w:rPr>
        <w:t xml:space="preserve"> la suite de ces affrontements, plusieurs manifestants ont été blessés, dont </w:t>
      </w:r>
      <w:r w:rsidR="001C1AEC">
        <w:rPr>
          <w:rFonts w:ascii="Times New Roman" w:eastAsia="Times New Roman" w:hAnsi="Times New Roman"/>
          <w:sz w:val="24"/>
          <w:szCs w:val="24"/>
        </w:rPr>
        <w:t>d</w:t>
      </w:r>
      <w:r w:rsidR="001C1AEC" w:rsidRPr="003B152B">
        <w:rPr>
          <w:rFonts w:ascii="Times New Roman" w:eastAsia="Times New Roman" w:hAnsi="Times New Roman"/>
          <w:sz w:val="24"/>
          <w:szCs w:val="24"/>
        </w:rPr>
        <w:t xml:space="preserve">es </w:t>
      </w:r>
      <w:r w:rsidR="00306EE3" w:rsidRPr="003B152B">
        <w:rPr>
          <w:rFonts w:ascii="Times New Roman" w:eastAsia="Times New Roman" w:hAnsi="Times New Roman"/>
          <w:sz w:val="24"/>
          <w:szCs w:val="24"/>
        </w:rPr>
        <w:t xml:space="preserve">femmes et enfants. Des véhicules de la MINUSMA ont également été endommagés. Ces évènements ont contraint le Premier Ministre </w:t>
      </w:r>
      <w:r w:rsidR="00306EE3" w:rsidRPr="003B152B">
        <w:rPr>
          <w:rFonts w:ascii="Times New Roman" w:eastAsia="Times New Roman" w:hAnsi="Times New Roman"/>
          <w:sz w:val="24"/>
          <w:szCs w:val="24"/>
        </w:rPr>
        <w:lastRenderedPageBreak/>
        <w:t>à un ajournement de sa visite à Kidal au 17 mai 2014.</w:t>
      </w:r>
    </w:p>
    <w:p w:rsidR="00262587" w:rsidRPr="007668DF" w:rsidRDefault="0086130D" w:rsidP="001660B5">
      <w:pPr>
        <w:widowControl w:val="0"/>
        <w:spacing w:after="120"/>
        <w:ind w:right="39"/>
        <w:jc w:val="both"/>
        <w:rPr>
          <w:rFonts w:ascii="Times New Roman" w:eastAsia="Times New Roman" w:hAnsi="Times New Roman"/>
          <w:sz w:val="24"/>
          <w:szCs w:val="24"/>
        </w:rPr>
      </w:pPr>
      <w:r>
        <w:rPr>
          <w:rFonts w:ascii="Times New Roman" w:eastAsia="Malgun Gothic" w:hAnsi="Times New Roman"/>
          <w:sz w:val="24"/>
          <w:szCs w:val="24"/>
        </w:rPr>
        <w:t>58</w:t>
      </w:r>
      <w:r w:rsidRPr="007668DF">
        <w:rPr>
          <w:rFonts w:ascii="Times New Roman" w:eastAsia="Malgun Gothic" w:hAnsi="Times New Roman"/>
          <w:sz w:val="24"/>
          <w:szCs w:val="24"/>
        </w:rPr>
        <w:t>.</w:t>
      </w:r>
      <w:r w:rsidRPr="007668DF">
        <w:rPr>
          <w:rFonts w:ascii="Times New Roman" w:eastAsia="Malgun Gothic" w:hAnsi="Times New Roman"/>
          <w:sz w:val="24"/>
          <w:szCs w:val="24"/>
        </w:rPr>
        <w:tab/>
      </w:r>
      <w:r w:rsidR="00306EE3" w:rsidRPr="003B152B">
        <w:rPr>
          <w:rFonts w:ascii="Times New Roman" w:eastAsia="Times New Roman" w:hAnsi="Times New Roman"/>
          <w:sz w:val="24"/>
          <w:szCs w:val="24"/>
        </w:rPr>
        <w:t>Le 17 mai 2014, la délégation du Premier Ministre est finalement arrivée à Kidal et s’est rendue</w:t>
      </w:r>
      <w:r w:rsidR="003A55E0" w:rsidRPr="003B152B">
        <w:rPr>
          <w:rFonts w:ascii="Times New Roman" w:eastAsia="Times New Roman" w:hAnsi="Times New Roman"/>
          <w:sz w:val="24"/>
          <w:szCs w:val="24"/>
        </w:rPr>
        <w:t xml:space="preserve"> au gouvernorat. </w:t>
      </w:r>
      <w:r w:rsidR="00306EE3" w:rsidRPr="003B152B">
        <w:rPr>
          <w:rFonts w:ascii="Times New Roman" w:eastAsia="Times New Roman" w:hAnsi="Times New Roman"/>
          <w:sz w:val="24"/>
          <w:szCs w:val="24"/>
        </w:rPr>
        <w:t xml:space="preserve">Par la suite,  de violents combats ont éclaté et opposé les éléments armés du MNLA aux militaires FAMa. </w:t>
      </w:r>
      <w:r w:rsidR="00412320">
        <w:rPr>
          <w:rFonts w:ascii="Times New Roman" w:eastAsia="Times New Roman" w:hAnsi="Times New Roman"/>
          <w:sz w:val="24"/>
          <w:szCs w:val="24"/>
        </w:rPr>
        <w:t>À</w:t>
      </w:r>
      <w:r w:rsidR="00306EE3" w:rsidRPr="003B152B">
        <w:rPr>
          <w:rFonts w:ascii="Times New Roman" w:eastAsia="Times New Roman" w:hAnsi="Times New Roman"/>
          <w:sz w:val="24"/>
          <w:szCs w:val="24"/>
        </w:rPr>
        <w:t xml:space="preserve"> la suite de ces combats qui se sont achevés par la prise du gouvernorat par les éléments du MNLA et du </w:t>
      </w:r>
      <w:r w:rsidR="003A55E0" w:rsidRPr="003B152B">
        <w:rPr>
          <w:rFonts w:ascii="Times New Roman" w:eastAsia="Times New Roman" w:hAnsi="Times New Roman"/>
          <w:sz w:val="24"/>
          <w:szCs w:val="24"/>
        </w:rPr>
        <w:t xml:space="preserve">HCUA, </w:t>
      </w:r>
      <w:r w:rsidR="00306EE3" w:rsidRPr="003B152B">
        <w:rPr>
          <w:rFonts w:ascii="Times New Roman" w:eastAsia="Times New Roman" w:hAnsi="Times New Roman"/>
          <w:sz w:val="24"/>
          <w:szCs w:val="24"/>
        </w:rPr>
        <w:t>l</w:t>
      </w:r>
      <w:r w:rsidR="00394E3C" w:rsidRPr="003B152B">
        <w:rPr>
          <w:rFonts w:ascii="Times New Roman" w:eastAsia="Times New Roman" w:hAnsi="Times New Roman"/>
          <w:sz w:val="24"/>
          <w:szCs w:val="24"/>
        </w:rPr>
        <w:t>e bilan s’est avéré préoccupant</w:t>
      </w:r>
      <w:r w:rsidR="00306EE3" w:rsidRPr="003B152B">
        <w:rPr>
          <w:rFonts w:ascii="Times New Roman" w:eastAsia="Times New Roman" w:hAnsi="Times New Roman"/>
          <w:sz w:val="24"/>
          <w:szCs w:val="24"/>
        </w:rPr>
        <w:t>: 11</w:t>
      </w:r>
      <w:r w:rsidR="003A55E0" w:rsidRPr="003B152B">
        <w:rPr>
          <w:rFonts w:ascii="Times New Roman" w:eastAsia="Times New Roman" w:hAnsi="Times New Roman"/>
          <w:sz w:val="24"/>
          <w:szCs w:val="24"/>
        </w:rPr>
        <w:t xml:space="preserve"> </w:t>
      </w:r>
      <w:r w:rsidR="00306EE3" w:rsidRPr="003B152B">
        <w:rPr>
          <w:rFonts w:ascii="Times New Roman" w:eastAsia="Times New Roman" w:hAnsi="Times New Roman"/>
          <w:sz w:val="24"/>
          <w:szCs w:val="24"/>
        </w:rPr>
        <w:t xml:space="preserve">morts </w:t>
      </w:r>
      <w:r w:rsidR="001C1AEC">
        <w:rPr>
          <w:rFonts w:ascii="Times New Roman" w:eastAsia="Times New Roman" w:hAnsi="Times New Roman"/>
          <w:sz w:val="24"/>
          <w:szCs w:val="24"/>
        </w:rPr>
        <w:t>(</w:t>
      </w:r>
      <w:r w:rsidR="00306EE3" w:rsidRPr="003B152B">
        <w:rPr>
          <w:rFonts w:ascii="Times New Roman" w:eastAsia="Times New Roman" w:hAnsi="Times New Roman"/>
          <w:sz w:val="24"/>
          <w:szCs w:val="24"/>
        </w:rPr>
        <w:t>comprenant huit</w:t>
      </w:r>
      <w:r w:rsidR="003A55E0" w:rsidRPr="003B152B">
        <w:rPr>
          <w:rFonts w:ascii="Times New Roman" w:eastAsia="Times New Roman" w:hAnsi="Times New Roman"/>
          <w:sz w:val="24"/>
          <w:szCs w:val="24"/>
        </w:rPr>
        <w:t xml:space="preserve"> 8</w:t>
      </w:r>
      <w:r w:rsidR="00306EE3" w:rsidRPr="003B152B">
        <w:rPr>
          <w:rFonts w:ascii="Times New Roman" w:eastAsia="Times New Roman" w:hAnsi="Times New Roman"/>
          <w:sz w:val="24"/>
          <w:szCs w:val="24"/>
        </w:rPr>
        <w:t xml:space="preserve"> civils et </w:t>
      </w:r>
      <w:r w:rsidR="003A55E0" w:rsidRPr="003B152B">
        <w:rPr>
          <w:rFonts w:ascii="Times New Roman" w:eastAsia="Times New Roman" w:hAnsi="Times New Roman"/>
          <w:sz w:val="24"/>
          <w:szCs w:val="24"/>
        </w:rPr>
        <w:t xml:space="preserve">trois 3 </w:t>
      </w:r>
      <w:r w:rsidR="00306EE3" w:rsidRPr="003B152B">
        <w:rPr>
          <w:rFonts w:ascii="Times New Roman" w:eastAsia="Times New Roman" w:hAnsi="Times New Roman"/>
          <w:sz w:val="24"/>
          <w:szCs w:val="24"/>
        </w:rPr>
        <w:t>militaires FAMa</w:t>
      </w:r>
      <w:r w:rsidR="001C1AEC">
        <w:rPr>
          <w:rFonts w:ascii="Times New Roman" w:eastAsia="Times New Roman" w:hAnsi="Times New Roman"/>
          <w:sz w:val="24"/>
          <w:szCs w:val="24"/>
        </w:rPr>
        <w:t>)</w:t>
      </w:r>
      <w:r w:rsidR="00306EE3" w:rsidRPr="003B152B">
        <w:rPr>
          <w:rFonts w:ascii="Times New Roman" w:eastAsia="Times New Roman" w:hAnsi="Times New Roman"/>
          <w:sz w:val="24"/>
          <w:szCs w:val="24"/>
        </w:rPr>
        <w:t>, la détention de 34 civils et des dommages matériels</w:t>
      </w:r>
      <w:r w:rsidR="001C1AEC">
        <w:rPr>
          <w:rFonts w:ascii="Times New Roman" w:eastAsia="Times New Roman" w:hAnsi="Times New Roman"/>
          <w:sz w:val="24"/>
          <w:szCs w:val="24"/>
        </w:rPr>
        <w:t xml:space="preserve"> conséquents</w:t>
      </w:r>
      <w:r w:rsidR="00306EE3" w:rsidRPr="003B152B">
        <w:rPr>
          <w:rFonts w:ascii="Times New Roman" w:eastAsia="Times New Roman" w:hAnsi="Times New Roman"/>
          <w:sz w:val="24"/>
          <w:szCs w:val="24"/>
        </w:rPr>
        <w:t>.</w:t>
      </w:r>
      <w:r w:rsidR="00306EE3" w:rsidRPr="007668DF">
        <w:rPr>
          <w:rFonts w:ascii="Times New Roman" w:eastAsia="Times New Roman" w:hAnsi="Times New Roman"/>
          <w:sz w:val="24"/>
          <w:szCs w:val="24"/>
        </w:rPr>
        <w:t xml:space="preserve"> </w:t>
      </w:r>
    </w:p>
    <w:p w:rsidR="006B466F" w:rsidRPr="003B152B" w:rsidRDefault="0086130D" w:rsidP="003B152B">
      <w:pPr>
        <w:widowControl w:val="0"/>
        <w:spacing w:after="120"/>
        <w:ind w:right="39"/>
        <w:jc w:val="both"/>
        <w:rPr>
          <w:rFonts w:ascii="Times New Roman" w:eastAsia="Times New Roman" w:hAnsi="Times New Roman"/>
          <w:sz w:val="24"/>
          <w:szCs w:val="24"/>
        </w:rPr>
      </w:pPr>
      <w:r>
        <w:rPr>
          <w:rFonts w:ascii="Times New Roman" w:eastAsia="Malgun Gothic" w:hAnsi="Times New Roman"/>
          <w:sz w:val="24"/>
          <w:szCs w:val="24"/>
        </w:rPr>
        <w:t>59</w:t>
      </w:r>
      <w:r w:rsidRPr="007668DF">
        <w:rPr>
          <w:rFonts w:ascii="Times New Roman" w:eastAsia="Malgun Gothic" w:hAnsi="Times New Roman"/>
          <w:sz w:val="24"/>
          <w:szCs w:val="24"/>
        </w:rPr>
        <w:t>.</w:t>
      </w:r>
      <w:r w:rsidRPr="007668DF">
        <w:rPr>
          <w:rFonts w:ascii="Times New Roman" w:eastAsia="Malgun Gothic" w:hAnsi="Times New Roman"/>
          <w:sz w:val="24"/>
          <w:szCs w:val="24"/>
        </w:rPr>
        <w:tab/>
      </w:r>
      <w:r w:rsidR="00306EE3" w:rsidRPr="003B152B">
        <w:rPr>
          <w:rFonts w:ascii="Times New Roman" w:eastAsia="Times New Roman" w:hAnsi="Times New Roman"/>
          <w:sz w:val="24"/>
          <w:szCs w:val="24"/>
        </w:rPr>
        <w:t xml:space="preserve">Le 21 mai 2014, l’armée régulière malienne, après un renforcement de ses positions, a lancé une offensive armée contre les positions du MNLA, HCUA et MAA présents dans la ville de Kidal. Des tirs à l’arme lourde et légère ont été engagés pour le contrôle de la ville. Au terme de violents combats d’environ </w:t>
      </w:r>
      <w:r w:rsidR="003938A3">
        <w:rPr>
          <w:rFonts w:ascii="Times New Roman" w:eastAsia="Times New Roman" w:hAnsi="Times New Roman"/>
          <w:sz w:val="24"/>
          <w:szCs w:val="24"/>
        </w:rPr>
        <w:t>3</w:t>
      </w:r>
      <w:r w:rsidR="003938A3" w:rsidRPr="003B152B">
        <w:rPr>
          <w:rFonts w:ascii="Times New Roman" w:eastAsia="Times New Roman" w:hAnsi="Times New Roman"/>
          <w:sz w:val="24"/>
          <w:szCs w:val="24"/>
        </w:rPr>
        <w:t xml:space="preserve"> </w:t>
      </w:r>
      <w:r w:rsidR="00306EE3" w:rsidRPr="003B152B">
        <w:rPr>
          <w:rFonts w:ascii="Times New Roman" w:eastAsia="Times New Roman" w:hAnsi="Times New Roman"/>
          <w:sz w:val="24"/>
          <w:szCs w:val="24"/>
        </w:rPr>
        <w:t xml:space="preserve">heures, les groupes armés ont pris le contrôle du camp militaire des FAMa obligeant ceux-ci à battre en retraite en dehors de la ville de Kidal. Le bilan de ces combats ferait état de : 36 personnes tuées dont 32 du côté FAMa </w:t>
      </w:r>
      <w:r w:rsidR="003A55E0" w:rsidRPr="003B152B">
        <w:rPr>
          <w:rFonts w:ascii="Times New Roman" w:eastAsia="Times New Roman" w:hAnsi="Times New Roman"/>
          <w:sz w:val="24"/>
          <w:szCs w:val="24"/>
        </w:rPr>
        <w:t>et quatre 4</w:t>
      </w:r>
      <w:r w:rsidR="00306EE3" w:rsidRPr="003B152B">
        <w:rPr>
          <w:rFonts w:ascii="Times New Roman" w:eastAsia="Times New Roman" w:hAnsi="Times New Roman"/>
          <w:sz w:val="24"/>
          <w:szCs w:val="24"/>
        </w:rPr>
        <w:t xml:space="preserve"> du côté des groupes armés, 93 blessés, 45 prisonniers FAMa détenus par les groupes armés et plusieurs immeubles (bâtiments administratifs, résidences des civils) vandalisés et pillés. </w:t>
      </w:r>
    </w:p>
    <w:p w:rsidR="00660AD5" w:rsidRDefault="0086130D" w:rsidP="00412320">
      <w:pPr>
        <w:widowControl w:val="0"/>
        <w:spacing w:after="0"/>
        <w:ind w:right="43"/>
        <w:jc w:val="both"/>
        <w:rPr>
          <w:rFonts w:ascii="Times New Roman" w:eastAsia="Times New Roman" w:hAnsi="Times New Roman"/>
          <w:sz w:val="24"/>
          <w:szCs w:val="24"/>
        </w:rPr>
      </w:pPr>
      <w:r>
        <w:rPr>
          <w:rFonts w:ascii="Times New Roman" w:eastAsia="Malgun Gothic" w:hAnsi="Times New Roman"/>
          <w:sz w:val="24"/>
          <w:szCs w:val="24"/>
        </w:rPr>
        <w:t>60</w:t>
      </w:r>
      <w:r w:rsidRPr="007668DF">
        <w:rPr>
          <w:rFonts w:ascii="Times New Roman" w:eastAsia="Malgun Gothic" w:hAnsi="Times New Roman"/>
          <w:sz w:val="24"/>
          <w:szCs w:val="24"/>
        </w:rPr>
        <w:t>.</w:t>
      </w:r>
      <w:r w:rsidRPr="007668DF">
        <w:rPr>
          <w:rFonts w:ascii="Times New Roman" w:eastAsia="Malgun Gothic" w:hAnsi="Times New Roman"/>
          <w:sz w:val="24"/>
          <w:szCs w:val="24"/>
        </w:rPr>
        <w:tab/>
      </w:r>
      <w:r w:rsidR="003A55E0" w:rsidRPr="003B152B">
        <w:rPr>
          <w:rFonts w:ascii="Times New Roman" w:eastAsia="Times New Roman" w:hAnsi="Times New Roman"/>
          <w:sz w:val="24"/>
          <w:szCs w:val="24"/>
        </w:rPr>
        <w:t>Suite à ces évènements, la Division des Droits de l’H</w:t>
      </w:r>
      <w:r w:rsidR="00F8098F" w:rsidRPr="003B152B">
        <w:rPr>
          <w:rFonts w:ascii="Times New Roman" w:eastAsia="Times New Roman" w:hAnsi="Times New Roman"/>
          <w:sz w:val="24"/>
          <w:szCs w:val="24"/>
        </w:rPr>
        <w:t xml:space="preserve">omme </w:t>
      </w:r>
      <w:r w:rsidR="003A55E0" w:rsidRPr="003B152B">
        <w:rPr>
          <w:rFonts w:ascii="Times New Roman" w:eastAsia="Times New Roman" w:hAnsi="Times New Roman"/>
          <w:sz w:val="24"/>
          <w:szCs w:val="24"/>
        </w:rPr>
        <w:t>a conduit</w:t>
      </w:r>
      <w:r w:rsidR="00F8098F" w:rsidRPr="003B152B">
        <w:rPr>
          <w:rFonts w:ascii="Times New Roman" w:eastAsia="Times New Roman" w:hAnsi="Times New Roman"/>
          <w:sz w:val="24"/>
          <w:szCs w:val="24"/>
        </w:rPr>
        <w:t xml:space="preserve"> sept </w:t>
      </w:r>
      <w:r w:rsidR="003A55E0" w:rsidRPr="003B152B">
        <w:rPr>
          <w:rFonts w:ascii="Times New Roman" w:eastAsia="Times New Roman" w:hAnsi="Times New Roman"/>
          <w:sz w:val="24"/>
          <w:szCs w:val="24"/>
        </w:rPr>
        <w:t xml:space="preserve"> missions d’enquête spéciales dans les différentes r</w:t>
      </w:r>
      <w:r w:rsidR="00394E3C" w:rsidRPr="003B152B">
        <w:rPr>
          <w:rFonts w:ascii="Times New Roman" w:eastAsia="Times New Roman" w:hAnsi="Times New Roman"/>
          <w:sz w:val="24"/>
          <w:szCs w:val="24"/>
        </w:rPr>
        <w:t>égions au nord du Mali à savoir</w:t>
      </w:r>
      <w:r w:rsidR="003A55E0" w:rsidRPr="003B152B">
        <w:rPr>
          <w:rFonts w:ascii="Times New Roman" w:eastAsia="Times New Roman" w:hAnsi="Times New Roman"/>
          <w:sz w:val="24"/>
          <w:szCs w:val="24"/>
        </w:rPr>
        <w:t>: Kidal, Gao et Tombouctou</w:t>
      </w:r>
      <w:r w:rsidR="00F8098F" w:rsidRPr="003B152B">
        <w:rPr>
          <w:rFonts w:ascii="Times New Roman" w:eastAsia="Times New Roman" w:hAnsi="Times New Roman"/>
          <w:sz w:val="24"/>
          <w:szCs w:val="24"/>
        </w:rPr>
        <w:t>.</w:t>
      </w:r>
      <w:r w:rsidR="003A55E0" w:rsidRPr="003B152B">
        <w:rPr>
          <w:rFonts w:ascii="Times New Roman" w:eastAsia="Times New Roman" w:hAnsi="Times New Roman"/>
          <w:sz w:val="24"/>
          <w:szCs w:val="24"/>
        </w:rPr>
        <w:t xml:space="preserve"> A l’issue de ces enquêtes, des constatations de violations et abus des droits de l’homme et du droit international humanitaire impliquant les deux parties au conflit ont été faites. D’une part, les FAMa ont manqué aux normes de droit international humanitaire et à leurs </w:t>
      </w:r>
      <w:r w:rsidR="003A55E0" w:rsidRPr="003B152B">
        <w:rPr>
          <w:rFonts w:ascii="Times New Roman" w:eastAsia="Times New Roman" w:hAnsi="Times New Roman"/>
          <w:sz w:val="24"/>
          <w:szCs w:val="24"/>
        </w:rPr>
        <w:lastRenderedPageBreak/>
        <w:t>obligations découlant de conventions internationales portant sur l’usage d’armes lourdes en agglomération. D’autre part, les groupes armés ont été à l’or</w:t>
      </w:r>
      <w:r w:rsidR="003A74E5" w:rsidRPr="003B152B">
        <w:rPr>
          <w:rFonts w:ascii="Times New Roman" w:eastAsia="Times New Roman" w:hAnsi="Times New Roman"/>
          <w:sz w:val="24"/>
          <w:szCs w:val="24"/>
        </w:rPr>
        <w:t>igine de nombreux abus à savoir</w:t>
      </w:r>
      <w:r w:rsidR="003A55E0" w:rsidRPr="003B152B">
        <w:rPr>
          <w:rFonts w:ascii="Times New Roman" w:eastAsia="Times New Roman" w:hAnsi="Times New Roman"/>
          <w:sz w:val="24"/>
          <w:szCs w:val="24"/>
        </w:rPr>
        <w:t xml:space="preserve">: des exécutions sommaires et arbitraires, l’utilisation ou l’enrôlement d’enfants dans les conflits armés, </w:t>
      </w:r>
      <w:r w:rsidR="001C1AEC">
        <w:rPr>
          <w:rFonts w:ascii="Times New Roman" w:eastAsia="Times New Roman" w:hAnsi="Times New Roman"/>
          <w:sz w:val="24"/>
          <w:szCs w:val="24"/>
        </w:rPr>
        <w:t>d</w:t>
      </w:r>
      <w:r w:rsidR="003A55E0" w:rsidRPr="003B152B">
        <w:rPr>
          <w:rFonts w:ascii="Times New Roman" w:eastAsia="Times New Roman" w:hAnsi="Times New Roman"/>
          <w:sz w:val="24"/>
          <w:szCs w:val="24"/>
        </w:rPr>
        <w:t xml:space="preserve">es arrestations et détentions illégales, </w:t>
      </w:r>
      <w:r w:rsidR="001C1AEC">
        <w:rPr>
          <w:rFonts w:ascii="Times New Roman" w:eastAsia="Times New Roman" w:hAnsi="Times New Roman"/>
          <w:sz w:val="24"/>
          <w:szCs w:val="24"/>
        </w:rPr>
        <w:t>d</w:t>
      </w:r>
      <w:r w:rsidR="003A55E0" w:rsidRPr="003B152B">
        <w:rPr>
          <w:rFonts w:ascii="Times New Roman" w:eastAsia="Times New Roman" w:hAnsi="Times New Roman"/>
          <w:sz w:val="24"/>
          <w:szCs w:val="24"/>
        </w:rPr>
        <w:t>es traitements inhumains, cr</w:t>
      </w:r>
      <w:r w:rsidR="003A74E5" w:rsidRPr="003B152B">
        <w:rPr>
          <w:rFonts w:ascii="Times New Roman" w:eastAsia="Times New Roman" w:hAnsi="Times New Roman"/>
          <w:sz w:val="24"/>
          <w:szCs w:val="24"/>
        </w:rPr>
        <w:t>u</w:t>
      </w:r>
      <w:r w:rsidR="003A55E0" w:rsidRPr="003B152B">
        <w:rPr>
          <w:rFonts w:ascii="Times New Roman" w:eastAsia="Times New Roman" w:hAnsi="Times New Roman"/>
          <w:sz w:val="24"/>
          <w:szCs w:val="24"/>
        </w:rPr>
        <w:t xml:space="preserve">els ou dégradants et </w:t>
      </w:r>
      <w:r w:rsidR="001C1AEC">
        <w:rPr>
          <w:rFonts w:ascii="Times New Roman" w:eastAsia="Times New Roman" w:hAnsi="Times New Roman"/>
          <w:sz w:val="24"/>
          <w:szCs w:val="24"/>
        </w:rPr>
        <w:t>d</w:t>
      </w:r>
      <w:r w:rsidR="003A55E0" w:rsidRPr="003B152B">
        <w:rPr>
          <w:rFonts w:ascii="Times New Roman" w:eastAsia="Times New Roman" w:hAnsi="Times New Roman"/>
          <w:sz w:val="24"/>
          <w:szCs w:val="24"/>
        </w:rPr>
        <w:t>es violations des droits économiques.</w:t>
      </w:r>
    </w:p>
    <w:p w:rsidR="006948B4" w:rsidRPr="002116D5" w:rsidRDefault="006948B4" w:rsidP="006948B4">
      <w:pPr>
        <w:widowControl w:val="0"/>
        <w:spacing w:after="120"/>
        <w:ind w:right="39"/>
        <w:jc w:val="both"/>
        <w:rPr>
          <w:rFonts w:ascii="Times New Roman" w:eastAsia="Times New Roman" w:hAnsi="Times New Roman"/>
          <w:sz w:val="24"/>
          <w:szCs w:val="24"/>
        </w:rPr>
      </w:pPr>
    </w:p>
    <w:p w:rsidR="00410959" w:rsidRPr="007668DF" w:rsidRDefault="00410959" w:rsidP="006B466F">
      <w:pPr>
        <w:pStyle w:val="Subtitle"/>
        <w:rPr>
          <w:rFonts w:eastAsia="Malgun Gothic"/>
        </w:rPr>
      </w:pPr>
      <w:bookmarkStart w:id="15" w:name="_Toc401931495"/>
      <w:r w:rsidRPr="007668DF">
        <w:rPr>
          <w:rFonts w:eastAsia="Malgun Gothic"/>
        </w:rPr>
        <w:t xml:space="preserve">Violations </w:t>
      </w:r>
      <w:r w:rsidR="00656ED4" w:rsidRPr="007668DF">
        <w:rPr>
          <w:rFonts w:eastAsia="Malgun Gothic"/>
        </w:rPr>
        <w:t xml:space="preserve">des droits de </w:t>
      </w:r>
      <w:r w:rsidR="00C40C36" w:rsidRPr="007668DF">
        <w:rPr>
          <w:rFonts w:eastAsia="Malgun Gothic"/>
        </w:rPr>
        <w:t>l’homme</w:t>
      </w:r>
      <w:r w:rsidR="002D526A">
        <w:rPr>
          <w:rFonts w:eastAsia="Malgun Gothic"/>
        </w:rPr>
        <w:t xml:space="preserve"> et du droit international humanitaire</w:t>
      </w:r>
      <w:r w:rsidR="00C40C36" w:rsidRPr="007668DF">
        <w:rPr>
          <w:rFonts w:eastAsia="Malgun Gothic"/>
        </w:rPr>
        <w:t xml:space="preserve"> commises</w:t>
      </w:r>
      <w:r w:rsidRPr="007668DF">
        <w:rPr>
          <w:rFonts w:eastAsia="Malgun Gothic"/>
        </w:rPr>
        <w:t xml:space="preserve"> par les Forces Armées Maliennes</w:t>
      </w:r>
      <w:bookmarkEnd w:id="15"/>
      <w:r w:rsidRPr="007668DF">
        <w:rPr>
          <w:rFonts w:eastAsia="Malgun Gothic"/>
        </w:rPr>
        <w:t xml:space="preserve">  </w:t>
      </w:r>
    </w:p>
    <w:p w:rsidR="00410959" w:rsidRPr="007668DF" w:rsidRDefault="00ED7580" w:rsidP="006C2FA0">
      <w:pPr>
        <w:ind w:left="720"/>
        <w:rPr>
          <w:rFonts w:ascii="Times New Roman" w:eastAsia="Malgun Gothic" w:hAnsi="Times New Roman"/>
          <w:i/>
          <w:sz w:val="24"/>
          <w:szCs w:val="24"/>
        </w:rPr>
      </w:pPr>
      <w:r>
        <w:rPr>
          <w:rFonts w:ascii="Times New Roman" w:eastAsia="Malgun Gothic" w:hAnsi="Times New Roman"/>
          <w:i/>
          <w:sz w:val="24"/>
          <w:szCs w:val="24"/>
        </w:rPr>
        <w:t xml:space="preserve">Attaques indiscriminées ou </w:t>
      </w:r>
      <w:r w:rsidR="00583C8A">
        <w:rPr>
          <w:rFonts w:ascii="Times New Roman" w:eastAsia="Malgun Gothic" w:hAnsi="Times New Roman"/>
          <w:i/>
          <w:sz w:val="24"/>
          <w:szCs w:val="24"/>
        </w:rPr>
        <w:t>disproportionnée</w:t>
      </w:r>
      <w:r w:rsidR="002D526A">
        <w:rPr>
          <w:rFonts w:ascii="Times New Roman" w:eastAsia="Malgun Gothic" w:hAnsi="Times New Roman"/>
          <w:i/>
          <w:sz w:val="24"/>
          <w:szCs w:val="24"/>
        </w:rPr>
        <w:t>s</w:t>
      </w:r>
      <w:r>
        <w:rPr>
          <w:rFonts w:ascii="Times New Roman" w:eastAsia="Malgun Gothic" w:hAnsi="Times New Roman"/>
          <w:i/>
          <w:sz w:val="24"/>
          <w:szCs w:val="24"/>
        </w:rPr>
        <w:t xml:space="preserve"> : </w:t>
      </w:r>
      <w:r w:rsidR="00410959" w:rsidRPr="007668DF">
        <w:rPr>
          <w:rFonts w:ascii="Times New Roman" w:eastAsia="Malgun Gothic" w:hAnsi="Times New Roman"/>
          <w:i/>
          <w:sz w:val="24"/>
          <w:szCs w:val="24"/>
        </w:rPr>
        <w:t>L’utilisation d’armes lourdes de façon disproportionnée dans la ville de Kidal</w:t>
      </w:r>
    </w:p>
    <w:p w:rsidR="00410959" w:rsidRPr="007668DF" w:rsidRDefault="001660B5" w:rsidP="006C2FA0">
      <w:pPr>
        <w:jc w:val="both"/>
        <w:rPr>
          <w:rFonts w:ascii="Times New Roman" w:eastAsia="Malgun Gothic" w:hAnsi="Times New Roman"/>
          <w:sz w:val="24"/>
          <w:szCs w:val="24"/>
        </w:rPr>
      </w:pPr>
      <w:r>
        <w:rPr>
          <w:rFonts w:ascii="Times New Roman" w:eastAsia="Malgun Gothic" w:hAnsi="Times New Roman"/>
          <w:sz w:val="24"/>
          <w:szCs w:val="24"/>
        </w:rPr>
        <w:t>61</w:t>
      </w:r>
      <w:r w:rsidR="0098158C" w:rsidRPr="007668DF">
        <w:rPr>
          <w:rFonts w:ascii="Times New Roman" w:eastAsia="Malgun Gothic" w:hAnsi="Times New Roman"/>
          <w:sz w:val="24"/>
          <w:szCs w:val="24"/>
        </w:rPr>
        <w:t>.</w:t>
      </w:r>
      <w:r w:rsidR="0098158C" w:rsidRPr="007668DF">
        <w:rPr>
          <w:rFonts w:ascii="Times New Roman" w:eastAsia="Malgun Gothic" w:hAnsi="Times New Roman"/>
          <w:sz w:val="24"/>
          <w:szCs w:val="24"/>
        </w:rPr>
        <w:tab/>
      </w:r>
      <w:r w:rsidR="00410959" w:rsidRPr="007668DF">
        <w:rPr>
          <w:rFonts w:ascii="Times New Roman" w:eastAsia="Malgun Gothic" w:hAnsi="Times New Roman"/>
          <w:sz w:val="24"/>
          <w:szCs w:val="24"/>
        </w:rPr>
        <w:t>Le rapport de l’expert en balistique, atteste de l’usage</w:t>
      </w:r>
      <w:r w:rsidR="00AD65EB" w:rsidRPr="007668DF">
        <w:rPr>
          <w:rFonts w:ascii="Times New Roman" w:eastAsia="Malgun Gothic" w:hAnsi="Times New Roman"/>
          <w:sz w:val="24"/>
          <w:szCs w:val="24"/>
        </w:rPr>
        <w:t xml:space="preserve">, en date du 21 mai 2014, </w:t>
      </w:r>
      <w:r w:rsidR="00410959" w:rsidRPr="007668DF">
        <w:rPr>
          <w:rFonts w:ascii="Times New Roman" w:eastAsia="Malgun Gothic" w:hAnsi="Times New Roman"/>
          <w:sz w:val="24"/>
          <w:szCs w:val="24"/>
        </w:rPr>
        <w:t xml:space="preserve">par les FAMa de roquettes de 122mm, aussi connu sous le nom de BM-21, </w:t>
      </w:r>
      <w:r w:rsidR="00AD65EB" w:rsidRPr="007668DF">
        <w:rPr>
          <w:rFonts w:ascii="Times New Roman" w:eastAsia="Malgun Gothic" w:hAnsi="Times New Roman"/>
          <w:sz w:val="24"/>
          <w:szCs w:val="24"/>
        </w:rPr>
        <w:t xml:space="preserve">sans un ciblage explicite d’objectifs militaires occasionnant par conséquent </w:t>
      </w:r>
      <w:r w:rsidR="001C1AEC">
        <w:rPr>
          <w:rFonts w:ascii="Times New Roman" w:eastAsia="Malgun Gothic" w:hAnsi="Times New Roman"/>
          <w:sz w:val="24"/>
          <w:szCs w:val="24"/>
        </w:rPr>
        <w:t>de nombreux</w:t>
      </w:r>
      <w:r w:rsidR="001C1AEC" w:rsidRPr="007668DF">
        <w:rPr>
          <w:rFonts w:ascii="Times New Roman" w:eastAsia="Malgun Gothic" w:hAnsi="Times New Roman"/>
          <w:sz w:val="24"/>
          <w:szCs w:val="24"/>
        </w:rPr>
        <w:t xml:space="preserve"> </w:t>
      </w:r>
      <w:r w:rsidR="00AD65EB" w:rsidRPr="007668DF">
        <w:rPr>
          <w:rFonts w:ascii="Times New Roman" w:eastAsia="Malgun Gothic" w:hAnsi="Times New Roman"/>
          <w:sz w:val="24"/>
          <w:szCs w:val="24"/>
        </w:rPr>
        <w:t>dommages du côté civil dans la ville de Kidal</w:t>
      </w:r>
      <w:r w:rsidR="0098158C" w:rsidRPr="007668DF">
        <w:rPr>
          <w:rFonts w:ascii="Times New Roman" w:eastAsia="Malgun Gothic" w:hAnsi="Times New Roman"/>
          <w:sz w:val="24"/>
          <w:szCs w:val="24"/>
        </w:rPr>
        <w:t xml:space="preserve">. </w:t>
      </w:r>
      <w:r w:rsidR="00410959" w:rsidRPr="007668DF">
        <w:rPr>
          <w:rFonts w:ascii="Times New Roman" w:eastAsia="Malgun Gothic" w:hAnsi="Times New Roman"/>
          <w:sz w:val="24"/>
          <w:szCs w:val="24"/>
        </w:rPr>
        <w:t>Par l’utili</w:t>
      </w:r>
      <w:r w:rsidR="00FB111F" w:rsidRPr="007668DF">
        <w:rPr>
          <w:rFonts w:ascii="Times New Roman" w:eastAsia="Malgun Gothic" w:hAnsi="Times New Roman"/>
          <w:sz w:val="24"/>
          <w:szCs w:val="24"/>
        </w:rPr>
        <w:t xml:space="preserve">sation d’armes tel que le BM-21, </w:t>
      </w:r>
      <w:r w:rsidR="00410959" w:rsidRPr="007668DF">
        <w:rPr>
          <w:rFonts w:ascii="Times New Roman" w:eastAsia="Malgun Gothic" w:hAnsi="Times New Roman"/>
          <w:sz w:val="24"/>
          <w:szCs w:val="24"/>
        </w:rPr>
        <w:t xml:space="preserve">les FAMa auraient commis une attaque </w:t>
      </w:r>
      <w:r w:rsidR="001C1AEC">
        <w:rPr>
          <w:rFonts w:ascii="Times New Roman" w:eastAsia="Malgun Gothic" w:hAnsi="Times New Roman"/>
          <w:sz w:val="24"/>
          <w:szCs w:val="24"/>
        </w:rPr>
        <w:t>indiscriminée</w:t>
      </w:r>
      <w:r w:rsidR="001C1AEC" w:rsidRPr="007668DF">
        <w:rPr>
          <w:rFonts w:ascii="Times New Roman" w:eastAsia="Malgun Gothic" w:hAnsi="Times New Roman"/>
          <w:sz w:val="24"/>
          <w:szCs w:val="24"/>
        </w:rPr>
        <w:t xml:space="preserve"> </w:t>
      </w:r>
      <w:r w:rsidR="00410959" w:rsidRPr="007668DF">
        <w:rPr>
          <w:rFonts w:ascii="Times New Roman" w:eastAsia="Malgun Gothic" w:hAnsi="Times New Roman"/>
          <w:sz w:val="24"/>
          <w:szCs w:val="24"/>
        </w:rPr>
        <w:t>et disproportionnée, contraire aux règles coutumières du droit international humanitaire</w:t>
      </w:r>
      <w:r w:rsidR="00AD65EB" w:rsidRPr="007668DF">
        <w:rPr>
          <w:rStyle w:val="FootnoteReference"/>
          <w:rFonts w:ascii="Times New Roman" w:eastAsia="Malgun Gothic" w:hAnsi="Times New Roman"/>
          <w:sz w:val="24"/>
          <w:szCs w:val="24"/>
        </w:rPr>
        <w:footnoteReference w:id="15"/>
      </w:r>
      <w:r w:rsidR="00AD65EB" w:rsidRPr="007668DF">
        <w:rPr>
          <w:rFonts w:ascii="Times New Roman" w:eastAsia="Malgun Gothic" w:hAnsi="Times New Roman"/>
          <w:sz w:val="24"/>
          <w:szCs w:val="24"/>
        </w:rPr>
        <w:t>.</w:t>
      </w:r>
      <w:r w:rsidR="005D2411" w:rsidRPr="007668DF">
        <w:rPr>
          <w:rFonts w:ascii="Times New Roman" w:eastAsia="Malgun Gothic" w:hAnsi="Times New Roman"/>
          <w:sz w:val="24"/>
          <w:szCs w:val="24"/>
        </w:rPr>
        <w:t xml:space="preserve"> </w:t>
      </w:r>
    </w:p>
    <w:p w:rsidR="00410959" w:rsidRPr="000C01F9" w:rsidRDefault="001660B5" w:rsidP="006C2FA0">
      <w:pPr>
        <w:jc w:val="both"/>
        <w:rPr>
          <w:rFonts w:ascii="Times New Roman" w:eastAsia="Malgun Gothic" w:hAnsi="Times New Roman"/>
          <w:sz w:val="24"/>
          <w:szCs w:val="24"/>
        </w:rPr>
      </w:pPr>
      <w:r>
        <w:rPr>
          <w:rFonts w:ascii="Times New Roman" w:eastAsia="Malgun Gothic" w:hAnsi="Times New Roman"/>
          <w:sz w:val="24"/>
          <w:szCs w:val="24"/>
        </w:rPr>
        <w:lastRenderedPageBreak/>
        <w:t>62</w:t>
      </w:r>
      <w:r w:rsidR="00410959" w:rsidRPr="007668DF">
        <w:rPr>
          <w:rFonts w:ascii="Times New Roman" w:eastAsia="Malgun Gothic" w:hAnsi="Times New Roman"/>
          <w:sz w:val="24"/>
          <w:szCs w:val="24"/>
        </w:rPr>
        <w:t>.</w:t>
      </w:r>
      <w:r w:rsidR="00410959" w:rsidRPr="007668DF">
        <w:rPr>
          <w:rFonts w:ascii="Times New Roman" w:eastAsia="Malgun Gothic" w:hAnsi="Times New Roman"/>
          <w:sz w:val="24"/>
          <w:szCs w:val="24"/>
        </w:rPr>
        <w:tab/>
        <w:t>D’autre part, selon les éléments recueillis, les FAMa ont été les instigateurs des hostilités du 21 mai 2014. Ce fait constitue</w:t>
      </w:r>
      <w:r w:rsidR="00FB111F" w:rsidRPr="007668DF">
        <w:rPr>
          <w:rFonts w:ascii="Times New Roman" w:eastAsia="Malgun Gothic" w:hAnsi="Times New Roman"/>
          <w:sz w:val="24"/>
          <w:szCs w:val="24"/>
        </w:rPr>
        <w:t xml:space="preserve"> une violation de l’A</w:t>
      </w:r>
      <w:r w:rsidR="00410959" w:rsidRPr="007668DF">
        <w:rPr>
          <w:rFonts w:ascii="Times New Roman" w:eastAsia="Malgun Gothic" w:hAnsi="Times New Roman"/>
          <w:sz w:val="24"/>
          <w:szCs w:val="24"/>
        </w:rPr>
        <w:t xml:space="preserve">ccord </w:t>
      </w:r>
      <w:r w:rsidR="00FB111F" w:rsidRPr="007668DF">
        <w:rPr>
          <w:rFonts w:ascii="Times New Roman" w:eastAsia="Malgun Gothic" w:hAnsi="Times New Roman"/>
          <w:sz w:val="24"/>
          <w:szCs w:val="24"/>
        </w:rPr>
        <w:t xml:space="preserve">préliminaire </w:t>
      </w:r>
      <w:r w:rsidR="00410959" w:rsidRPr="007668DF">
        <w:rPr>
          <w:rFonts w:ascii="Times New Roman" w:eastAsia="Malgun Gothic" w:hAnsi="Times New Roman"/>
          <w:sz w:val="24"/>
          <w:szCs w:val="24"/>
        </w:rPr>
        <w:t xml:space="preserve">de Ouagadougou et d’autre part de l’accord verbal conclu le 17 mai entre le Gouvernement malien et les </w:t>
      </w:r>
      <w:r w:rsidR="00410959" w:rsidRPr="00DE4C5F">
        <w:rPr>
          <w:rFonts w:ascii="Times New Roman" w:eastAsia="Malgun Gothic" w:hAnsi="Times New Roman"/>
          <w:sz w:val="24"/>
          <w:szCs w:val="24"/>
        </w:rPr>
        <w:t xml:space="preserve">groupes armés belligérants. </w:t>
      </w:r>
    </w:p>
    <w:p w:rsidR="00410959" w:rsidRPr="001660B5" w:rsidRDefault="000C01F9" w:rsidP="001660B5">
      <w:pPr>
        <w:tabs>
          <w:tab w:val="left" w:pos="426"/>
        </w:tabs>
        <w:ind w:left="426"/>
        <w:jc w:val="both"/>
        <w:rPr>
          <w:rFonts w:ascii="Times New Roman" w:eastAsia="Malgun Gothic" w:hAnsi="Times New Roman"/>
          <w:b/>
          <w:sz w:val="24"/>
          <w:szCs w:val="24"/>
        </w:rPr>
      </w:pPr>
      <w:bookmarkStart w:id="16" w:name="_Toc401931496"/>
      <w:r w:rsidRPr="001660B5">
        <w:rPr>
          <w:rFonts w:ascii="Times New Roman" w:eastAsia="Malgun Gothic" w:hAnsi="Times New Roman"/>
          <w:b/>
          <w:sz w:val="24"/>
          <w:szCs w:val="24"/>
        </w:rPr>
        <w:t>C.</w:t>
      </w:r>
      <w:r w:rsidRPr="001660B5">
        <w:rPr>
          <w:rFonts w:ascii="Times New Roman" w:eastAsia="Malgun Gothic" w:hAnsi="Times New Roman"/>
          <w:b/>
          <w:sz w:val="24"/>
          <w:szCs w:val="24"/>
        </w:rPr>
        <w:tab/>
      </w:r>
      <w:r w:rsidR="00D45321" w:rsidRPr="001660B5">
        <w:rPr>
          <w:rFonts w:ascii="Times New Roman" w:eastAsia="Malgun Gothic" w:hAnsi="Times New Roman"/>
          <w:b/>
          <w:sz w:val="24"/>
          <w:szCs w:val="24"/>
        </w:rPr>
        <w:t xml:space="preserve">Abus </w:t>
      </w:r>
      <w:r w:rsidR="00697FC7" w:rsidRPr="001660B5">
        <w:rPr>
          <w:rFonts w:ascii="Times New Roman" w:eastAsia="Malgun Gothic" w:hAnsi="Times New Roman"/>
          <w:b/>
          <w:sz w:val="24"/>
          <w:szCs w:val="24"/>
        </w:rPr>
        <w:t xml:space="preserve">des droits de l’homme </w:t>
      </w:r>
      <w:r w:rsidR="00583C8A">
        <w:rPr>
          <w:rFonts w:ascii="Times New Roman" w:eastAsia="Malgun Gothic" w:hAnsi="Times New Roman"/>
          <w:b/>
          <w:sz w:val="24"/>
          <w:szCs w:val="24"/>
        </w:rPr>
        <w:t xml:space="preserve">et du droit international humanitaire </w:t>
      </w:r>
      <w:r w:rsidR="00D45321" w:rsidRPr="001660B5">
        <w:rPr>
          <w:rFonts w:ascii="Times New Roman" w:eastAsia="Malgun Gothic" w:hAnsi="Times New Roman"/>
          <w:b/>
          <w:sz w:val="24"/>
          <w:szCs w:val="24"/>
        </w:rPr>
        <w:t>commis par les groupes ar</w:t>
      </w:r>
      <w:r w:rsidR="00397013" w:rsidRPr="001660B5">
        <w:rPr>
          <w:rFonts w:ascii="Times New Roman" w:eastAsia="Malgun Gothic" w:hAnsi="Times New Roman"/>
          <w:b/>
          <w:sz w:val="24"/>
          <w:szCs w:val="24"/>
        </w:rPr>
        <w:t>mé</w:t>
      </w:r>
      <w:r w:rsidR="00D45321" w:rsidRPr="001660B5">
        <w:rPr>
          <w:rFonts w:ascii="Times New Roman" w:eastAsia="Malgun Gothic" w:hAnsi="Times New Roman"/>
          <w:b/>
          <w:sz w:val="24"/>
          <w:szCs w:val="24"/>
        </w:rPr>
        <w:t>s</w:t>
      </w:r>
      <w:bookmarkEnd w:id="16"/>
      <w:r w:rsidR="00D45321" w:rsidRPr="001660B5">
        <w:rPr>
          <w:rFonts w:ascii="Times New Roman" w:eastAsia="Malgun Gothic" w:hAnsi="Times New Roman"/>
          <w:b/>
          <w:sz w:val="24"/>
          <w:szCs w:val="24"/>
        </w:rPr>
        <w:t xml:space="preserve"> </w:t>
      </w:r>
    </w:p>
    <w:p w:rsidR="00397013" w:rsidRPr="000C01F9" w:rsidRDefault="00397013" w:rsidP="006C2FA0">
      <w:pPr>
        <w:ind w:firstLine="644"/>
        <w:jc w:val="both"/>
        <w:rPr>
          <w:rFonts w:ascii="Times New Roman" w:eastAsia="Malgun Gothic" w:hAnsi="Times New Roman"/>
          <w:i/>
          <w:sz w:val="24"/>
          <w:szCs w:val="24"/>
        </w:rPr>
      </w:pPr>
      <w:r w:rsidRPr="00DE4C5F">
        <w:rPr>
          <w:rFonts w:ascii="Times New Roman" w:eastAsia="Malgun Gothic" w:hAnsi="Times New Roman"/>
          <w:i/>
          <w:sz w:val="24"/>
          <w:szCs w:val="24"/>
        </w:rPr>
        <w:t xml:space="preserve">Atteinte </w:t>
      </w:r>
      <w:r w:rsidR="00ED7580">
        <w:rPr>
          <w:rFonts w:ascii="Times New Roman" w:eastAsia="Malgun Gothic" w:hAnsi="Times New Roman"/>
          <w:i/>
          <w:sz w:val="24"/>
          <w:szCs w:val="24"/>
        </w:rPr>
        <w:t>a</w:t>
      </w:r>
      <w:r w:rsidR="00412320">
        <w:rPr>
          <w:rFonts w:ascii="Times New Roman" w:eastAsia="Malgun Gothic" w:hAnsi="Times New Roman"/>
          <w:i/>
          <w:sz w:val="24"/>
          <w:szCs w:val="24"/>
        </w:rPr>
        <w:t xml:space="preserve">u droit </w:t>
      </w:r>
      <w:r w:rsidRPr="00DE4C5F">
        <w:rPr>
          <w:rFonts w:ascii="Times New Roman" w:eastAsia="Malgun Gothic" w:hAnsi="Times New Roman"/>
          <w:i/>
          <w:sz w:val="24"/>
          <w:szCs w:val="24"/>
        </w:rPr>
        <w:t>à la vie</w:t>
      </w:r>
      <w:r w:rsidR="00B241DA" w:rsidRPr="000C01F9" w:rsidDel="00B241DA">
        <w:rPr>
          <w:rFonts w:ascii="Times New Roman" w:eastAsia="Malgun Gothic" w:hAnsi="Times New Roman"/>
          <w:i/>
          <w:sz w:val="24"/>
          <w:szCs w:val="24"/>
        </w:rPr>
        <w:t xml:space="preserve"> </w:t>
      </w:r>
    </w:p>
    <w:p w:rsidR="004016B1" w:rsidRPr="007668DF" w:rsidRDefault="00DC4F65" w:rsidP="006A45E8">
      <w:pPr>
        <w:jc w:val="both"/>
        <w:rPr>
          <w:rFonts w:ascii="Times New Roman" w:eastAsia="Times New Roman" w:hAnsi="Times New Roman"/>
          <w:sz w:val="24"/>
          <w:szCs w:val="24"/>
        </w:rPr>
      </w:pPr>
      <w:r>
        <w:rPr>
          <w:rFonts w:ascii="Times New Roman" w:eastAsia="Times New Roman" w:hAnsi="Times New Roman"/>
          <w:sz w:val="24"/>
          <w:szCs w:val="24"/>
        </w:rPr>
        <w:t>63</w:t>
      </w:r>
      <w:r w:rsidR="00B5280E" w:rsidRPr="007668DF">
        <w:rPr>
          <w:rFonts w:ascii="Times New Roman" w:eastAsia="Times New Roman" w:hAnsi="Times New Roman"/>
          <w:sz w:val="24"/>
          <w:szCs w:val="24"/>
        </w:rPr>
        <w:t>.</w:t>
      </w:r>
      <w:r w:rsidR="00B5280E" w:rsidRPr="007668DF">
        <w:rPr>
          <w:rFonts w:ascii="Times New Roman" w:eastAsia="Times New Roman" w:hAnsi="Times New Roman"/>
          <w:sz w:val="24"/>
          <w:szCs w:val="24"/>
        </w:rPr>
        <w:tab/>
      </w:r>
      <w:r w:rsidR="004016B1" w:rsidRPr="007668DF">
        <w:rPr>
          <w:rFonts w:ascii="Times New Roman" w:eastAsia="Times New Roman" w:hAnsi="Times New Roman"/>
          <w:sz w:val="24"/>
          <w:szCs w:val="24"/>
        </w:rPr>
        <w:t>Le 17</w:t>
      </w:r>
      <w:r w:rsidR="00E0268D" w:rsidRPr="007668DF">
        <w:rPr>
          <w:rFonts w:ascii="Times New Roman" w:eastAsia="Times New Roman" w:hAnsi="Times New Roman"/>
          <w:sz w:val="24"/>
          <w:szCs w:val="24"/>
        </w:rPr>
        <w:t xml:space="preserve"> mai 2014, </w:t>
      </w:r>
      <w:r w:rsidR="004016B1" w:rsidRPr="007668DF">
        <w:rPr>
          <w:rFonts w:ascii="Times New Roman" w:eastAsia="Times New Roman" w:hAnsi="Times New Roman"/>
          <w:sz w:val="24"/>
          <w:szCs w:val="24"/>
        </w:rPr>
        <w:t xml:space="preserve">les combattants du MNLA </w:t>
      </w:r>
      <w:r w:rsidR="00506D6C" w:rsidRPr="007668DF">
        <w:rPr>
          <w:rFonts w:ascii="Times New Roman" w:eastAsia="Times New Roman" w:hAnsi="Times New Roman"/>
          <w:sz w:val="24"/>
          <w:szCs w:val="24"/>
        </w:rPr>
        <w:t xml:space="preserve">ont délibérément tué </w:t>
      </w:r>
      <w:r w:rsidR="00412320">
        <w:rPr>
          <w:rFonts w:ascii="Times New Roman" w:eastAsia="Times New Roman" w:hAnsi="Times New Roman"/>
          <w:sz w:val="24"/>
          <w:szCs w:val="24"/>
        </w:rPr>
        <w:t>8</w:t>
      </w:r>
      <w:r w:rsidR="00412320" w:rsidRPr="007668DF">
        <w:rPr>
          <w:rFonts w:ascii="Times New Roman" w:eastAsia="Times New Roman" w:hAnsi="Times New Roman"/>
          <w:sz w:val="24"/>
          <w:szCs w:val="24"/>
        </w:rPr>
        <w:t xml:space="preserve"> </w:t>
      </w:r>
      <w:r w:rsidR="00397013" w:rsidRPr="007668DF">
        <w:rPr>
          <w:rFonts w:ascii="Times New Roman" w:eastAsia="Times New Roman" w:hAnsi="Times New Roman"/>
          <w:sz w:val="24"/>
          <w:szCs w:val="24"/>
        </w:rPr>
        <w:t>civils</w:t>
      </w:r>
      <w:r w:rsidR="00506D6C" w:rsidRPr="007668DF">
        <w:rPr>
          <w:rFonts w:ascii="Times New Roman" w:eastAsia="Times New Roman" w:hAnsi="Times New Roman"/>
          <w:sz w:val="24"/>
          <w:szCs w:val="24"/>
        </w:rPr>
        <w:t xml:space="preserve">. </w:t>
      </w:r>
      <w:r w:rsidR="00587831" w:rsidRPr="007668DF">
        <w:rPr>
          <w:rFonts w:ascii="Times New Roman" w:eastAsia="Times New Roman" w:hAnsi="Times New Roman"/>
          <w:sz w:val="24"/>
          <w:szCs w:val="24"/>
        </w:rPr>
        <w:t>I</w:t>
      </w:r>
      <w:r w:rsidR="00397013" w:rsidRPr="007668DF">
        <w:rPr>
          <w:rFonts w:ascii="Times New Roman" w:eastAsia="Times New Roman" w:hAnsi="Times New Roman"/>
          <w:sz w:val="24"/>
          <w:szCs w:val="24"/>
        </w:rPr>
        <w:t>l a été établi que les préfets</w:t>
      </w:r>
      <w:r w:rsidR="001C1AEC">
        <w:rPr>
          <w:rFonts w:ascii="Times New Roman" w:eastAsia="Times New Roman" w:hAnsi="Times New Roman"/>
          <w:sz w:val="24"/>
          <w:szCs w:val="24"/>
        </w:rPr>
        <w:t xml:space="preserve"> et</w:t>
      </w:r>
      <w:r w:rsidR="00397013" w:rsidRPr="007668DF">
        <w:rPr>
          <w:rFonts w:ascii="Times New Roman" w:eastAsia="Times New Roman" w:hAnsi="Times New Roman"/>
          <w:sz w:val="24"/>
          <w:szCs w:val="24"/>
        </w:rPr>
        <w:t xml:space="preserve"> sous-préfets se trouvant dans le salon du gouverneur étaient non armés, de ce fait ne présenta</w:t>
      </w:r>
      <w:r w:rsidR="001C1AEC">
        <w:rPr>
          <w:rFonts w:ascii="Times New Roman" w:eastAsia="Times New Roman" w:hAnsi="Times New Roman"/>
          <w:sz w:val="24"/>
          <w:szCs w:val="24"/>
        </w:rPr>
        <w:t>ie</w:t>
      </w:r>
      <w:r w:rsidR="00397013" w:rsidRPr="007668DF">
        <w:rPr>
          <w:rFonts w:ascii="Times New Roman" w:eastAsia="Times New Roman" w:hAnsi="Times New Roman"/>
          <w:sz w:val="24"/>
          <w:szCs w:val="24"/>
        </w:rPr>
        <w:t xml:space="preserve">nt aucune menace directe ou indirecte pour les assaillants. </w:t>
      </w:r>
      <w:r w:rsidR="007247DD" w:rsidRPr="007668DF">
        <w:rPr>
          <w:rFonts w:ascii="Times New Roman" w:eastAsia="Times New Roman" w:hAnsi="Times New Roman"/>
          <w:sz w:val="24"/>
          <w:szCs w:val="24"/>
        </w:rPr>
        <w:t xml:space="preserve">De plus, les combattants du MNLA ont grièvement blessé </w:t>
      </w:r>
      <w:r w:rsidR="00412320">
        <w:rPr>
          <w:rFonts w:ascii="Times New Roman" w:eastAsia="Times New Roman" w:hAnsi="Times New Roman"/>
          <w:sz w:val="24"/>
          <w:szCs w:val="24"/>
        </w:rPr>
        <w:t>4</w:t>
      </w:r>
      <w:r w:rsidR="00412320" w:rsidRPr="007668DF">
        <w:rPr>
          <w:rFonts w:ascii="Times New Roman" w:eastAsia="Times New Roman" w:hAnsi="Times New Roman"/>
          <w:sz w:val="24"/>
          <w:szCs w:val="24"/>
        </w:rPr>
        <w:t xml:space="preserve"> </w:t>
      </w:r>
      <w:r w:rsidR="007247DD" w:rsidRPr="007668DF">
        <w:rPr>
          <w:rFonts w:ascii="Times New Roman" w:eastAsia="Times New Roman" w:hAnsi="Times New Roman"/>
          <w:sz w:val="24"/>
          <w:szCs w:val="24"/>
        </w:rPr>
        <w:t xml:space="preserve">hommes qui </w:t>
      </w:r>
      <w:r w:rsidR="00587831" w:rsidRPr="007668DF">
        <w:rPr>
          <w:rFonts w:ascii="Times New Roman" w:eastAsia="Times New Roman" w:hAnsi="Times New Roman"/>
          <w:sz w:val="24"/>
          <w:szCs w:val="24"/>
        </w:rPr>
        <w:t>ont été touchés par balle au moment où ils tentaient de quitter précipitamment le gouvernorat</w:t>
      </w:r>
      <w:r w:rsidR="00E0268D" w:rsidRPr="007668DF">
        <w:rPr>
          <w:rFonts w:ascii="Times New Roman" w:eastAsia="Times New Roman" w:hAnsi="Times New Roman"/>
          <w:sz w:val="24"/>
          <w:szCs w:val="24"/>
        </w:rPr>
        <w:t>.</w:t>
      </w:r>
    </w:p>
    <w:p w:rsidR="007247DD" w:rsidRPr="007668DF" w:rsidRDefault="007247DD" w:rsidP="00DC4F65">
      <w:pPr>
        <w:pStyle w:val="Heading2"/>
        <w:widowControl w:val="0"/>
        <w:ind w:left="567"/>
        <w:jc w:val="both"/>
        <w:rPr>
          <w:rFonts w:ascii="Times New Roman" w:hAnsi="Times New Roman"/>
          <w:b w:val="0"/>
          <w:bCs w:val="0"/>
          <w:i/>
          <w:color w:val="auto"/>
          <w:sz w:val="24"/>
          <w:szCs w:val="24"/>
          <w:lang w:val="fr-FR" w:eastAsia="en-US"/>
        </w:rPr>
      </w:pPr>
      <w:r w:rsidRPr="007668DF">
        <w:rPr>
          <w:rFonts w:ascii="Times New Roman" w:hAnsi="Times New Roman"/>
          <w:b w:val="0"/>
          <w:bCs w:val="0"/>
          <w:i/>
          <w:color w:val="auto"/>
          <w:sz w:val="24"/>
          <w:szCs w:val="24"/>
          <w:lang w:val="fr-FR" w:eastAsia="en-US"/>
        </w:rPr>
        <w:lastRenderedPageBreak/>
        <w:t>Utilisation ou enrôlement d’enfants</w:t>
      </w:r>
      <w:r w:rsidR="00ED7580">
        <w:rPr>
          <w:rFonts w:ascii="Times New Roman" w:hAnsi="Times New Roman"/>
          <w:b w:val="0"/>
          <w:bCs w:val="0"/>
          <w:i/>
          <w:color w:val="auto"/>
          <w:sz w:val="24"/>
          <w:szCs w:val="24"/>
          <w:lang w:val="fr-FR" w:eastAsia="en-US"/>
        </w:rPr>
        <w:t xml:space="preserve"> dans les groupes armés</w:t>
      </w:r>
    </w:p>
    <w:p w:rsidR="000E2A1D" w:rsidRPr="00412320" w:rsidRDefault="00DC4F65" w:rsidP="00262FDD">
      <w:pPr>
        <w:pStyle w:val="Heading2"/>
        <w:widowControl w:val="0"/>
        <w:jc w:val="both"/>
        <w:rPr>
          <w:rFonts w:ascii="Times New Roman" w:hAnsi="Times New Roman"/>
          <w:b w:val="0"/>
          <w:color w:val="auto"/>
          <w:sz w:val="24"/>
          <w:szCs w:val="24"/>
          <w:lang w:val="fr-FR"/>
        </w:rPr>
      </w:pPr>
      <w:r w:rsidRPr="00412320">
        <w:rPr>
          <w:rFonts w:ascii="Times New Roman" w:hAnsi="Times New Roman"/>
          <w:b w:val="0"/>
          <w:color w:val="auto"/>
          <w:sz w:val="24"/>
          <w:szCs w:val="24"/>
          <w:lang w:val="fr-FR"/>
        </w:rPr>
        <w:t>64</w:t>
      </w:r>
      <w:r w:rsidR="00E0268D" w:rsidRPr="00412320">
        <w:rPr>
          <w:rFonts w:ascii="Times New Roman" w:hAnsi="Times New Roman"/>
          <w:b w:val="0"/>
          <w:color w:val="auto"/>
          <w:sz w:val="24"/>
          <w:szCs w:val="24"/>
          <w:lang w:val="fr-FR"/>
        </w:rPr>
        <w:t>.</w:t>
      </w:r>
      <w:r w:rsidR="00E0268D" w:rsidRPr="00412320">
        <w:rPr>
          <w:rFonts w:ascii="Times New Roman" w:hAnsi="Times New Roman"/>
          <w:sz w:val="24"/>
          <w:szCs w:val="24"/>
          <w:lang w:val="fr-FR"/>
        </w:rPr>
        <w:tab/>
      </w:r>
      <w:r w:rsidR="007247DD" w:rsidRPr="00412320">
        <w:rPr>
          <w:rFonts w:ascii="Times New Roman" w:hAnsi="Times New Roman"/>
          <w:b w:val="0"/>
          <w:color w:val="auto"/>
          <w:sz w:val="24"/>
          <w:szCs w:val="24"/>
          <w:lang w:val="fr-FR"/>
        </w:rPr>
        <w:t xml:space="preserve">Les missions d’enquêtes spéciales de la Division des droits de l’homme </w:t>
      </w:r>
      <w:r w:rsidR="004016B1" w:rsidRPr="00412320">
        <w:rPr>
          <w:rFonts w:ascii="Times New Roman" w:hAnsi="Times New Roman"/>
          <w:b w:val="0"/>
          <w:color w:val="auto"/>
          <w:sz w:val="24"/>
          <w:szCs w:val="24"/>
          <w:lang w:val="fr-FR"/>
        </w:rPr>
        <w:t>ont  recueilli plusieurs témoignages confirmant la présence d’enfants dans les rangs des groupes armés</w:t>
      </w:r>
      <w:r w:rsidR="007247DD" w:rsidRPr="00412320">
        <w:rPr>
          <w:rFonts w:ascii="Times New Roman" w:hAnsi="Times New Roman"/>
          <w:b w:val="0"/>
          <w:color w:val="auto"/>
          <w:sz w:val="24"/>
          <w:szCs w:val="24"/>
          <w:lang w:val="fr-FR"/>
        </w:rPr>
        <w:t xml:space="preserve"> </w:t>
      </w:r>
      <w:r w:rsidR="00FB2692" w:rsidRPr="00412320">
        <w:rPr>
          <w:rFonts w:ascii="Times New Roman" w:hAnsi="Times New Roman"/>
          <w:b w:val="0"/>
          <w:color w:val="auto"/>
          <w:sz w:val="24"/>
          <w:szCs w:val="24"/>
          <w:lang w:val="fr-FR"/>
        </w:rPr>
        <w:t>à</w:t>
      </w:r>
      <w:r w:rsidR="007247DD" w:rsidRPr="00412320">
        <w:rPr>
          <w:rFonts w:ascii="Times New Roman" w:hAnsi="Times New Roman"/>
          <w:b w:val="0"/>
          <w:color w:val="auto"/>
          <w:sz w:val="24"/>
          <w:szCs w:val="24"/>
          <w:lang w:val="fr-FR"/>
        </w:rPr>
        <w:t xml:space="preserve"> diverses étapes des évènements</w:t>
      </w:r>
      <w:r w:rsidR="00FB2692" w:rsidRPr="00412320">
        <w:rPr>
          <w:rFonts w:ascii="Times New Roman" w:hAnsi="Times New Roman"/>
          <w:b w:val="0"/>
          <w:color w:val="auto"/>
          <w:sz w:val="24"/>
          <w:szCs w:val="24"/>
          <w:lang w:val="fr-FR"/>
        </w:rPr>
        <w:t xml:space="preserve"> de Kidal ; lors de l’attaque du gouvernorat, pendant le transport des personnes enlevées et enfin ils auraient en outre servi de geôliers pour ces personnes.</w:t>
      </w:r>
    </w:p>
    <w:p w:rsidR="004016B1" w:rsidRPr="007668DF" w:rsidRDefault="004016B1" w:rsidP="006C2FA0">
      <w:pPr>
        <w:pStyle w:val="Heading2"/>
        <w:widowControl w:val="0"/>
        <w:spacing w:before="0" w:after="200"/>
        <w:ind w:left="1440"/>
        <w:jc w:val="both"/>
        <w:rPr>
          <w:rStyle w:val="SubtleEmphasis"/>
          <w:rFonts w:ascii="Times New Roman" w:hAnsi="Times New Roman"/>
          <w:b w:val="0"/>
          <w:color w:val="auto"/>
          <w:sz w:val="24"/>
          <w:szCs w:val="24"/>
          <w:lang w:val="fr-FR"/>
        </w:rPr>
      </w:pPr>
      <w:bookmarkStart w:id="17" w:name="_Toc396666219"/>
      <w:r w:rsidRPr="007668DF">
        <w:rPr>
          <w:rStyle w:val="SubtleEmphasis"/>
          <w:rFonts w:ascii="Times New Roman" w:hAnsi="Times New Roman"/>
          <w:b w:val="0"/>
          <w:color w:val="auto"/>
          <w:sz w:val="24"/>
          <w:szCs w:val="24"/>
          <w:lang w:val="fr-FR"/>
        </w:rPr>
        <w:t>Arrestations et détentions illégales</w:t>
      </w:r>
      <w:bookmarkEnd w:id="17"/>
      <w:r w:rsidRPr="007668DF">
        <w:rPr>
          <w:rStyle w:val="SubtleEmphasis"/>
          <w:rFonts w:ascii="Times New Roman" w:hAnsi="Times New Roman"/>
          <w:b w:val="0"/>
          <w:color w:val="auto"/>
          <w:sz w:val="24"/>
          <w:szCs w:val="24"/>
          <w:lang w:val="fr-FR"/>
        </w:rPr>
        <w:t xml:space="preserve"> </w:t>
      </w:r>
    </w:p>
    <w:p w:rsidR="004016B1" w:rsidRDefault="00DC4F65" w:rsidP="006C2FA0">
      <w:pPr>
        <w:jc w:val="both"/>
        <w:rPr>
          <w:rFonts w:ascii="Times New Roman" w:eastAsia="Times New Roman" w:hAnsi="Times New Roman"/>
          <w:sz w:val="24"/>
          <w:szCs w:val="24"/>
        </w:rPr>
      </w:pPr>
      <w:r>
        <w:rPr>
          <w:rFonts w:ascii="Times New Roman" w:eastAsia="Times New Roman" w:hAnsi="Times New Roman"/>
          <w:sz w:val="24"/>
          <w:szCs w:val="24"/>
        </w:rPr>
        <w:t>65</w:t>
      </w:r>
      <w:r w:rsidR="00B553F0" w:rsidRPr="007668DF">
        <w:rPr>
          <w:rFonts w:ascii="Times New Roman" w:eastAsia="Times New Roman" w:hAnsi="Times New Roman"/>
          <w:sz w:val="24"/>
          <w:szCs w:val="24"/>
        </w:rPr>
        <w:t>.</w:t>
      </w:r>
      <w:r w:rsidR="00617558" w:rsidRPr="007668DF">
        <w:rPr>
          <w:rFonts w:ascii="Times New Roman" w:eastAsia="Times New Roman" w:hAnsi="Times New Roman"/>
          <w:sz w:val="24"/>
          <w:szCs w:val="24"/>
        </w:rPr>
        <w:tab/>
      </w:r>
      <w:r w:rsidR="00FB2692" w:rsidRPr="007668DF">
        <w:rPr>
          <w:rFonts w:ascii="Times New Roman" w:eastAsia="Times New Roman" w:hAnsi="Times New Roman"/>
          <w:sz w:val="24"/>
          <w:szCs w:val="24"/>
        </w:rPr>
        <w:t>L</w:t>
      </w:r>
      <w:r w:rsidR="004016B1" w:rsidRPr="007668DF">
        <w:rPr>
          <w:rFonts w:ascii="Times New Roman" w:eastAsia="Times New Roman" w:hAnsi="Times New Roman"/>
          <w:sz w:val="24"/>
          <w:szCs w:val="24"/>
        </w:rPr>
        <w:t>e 17 mai 2014</w:t>
      </w:r>
      <w:r w:rsidR="00FB2692" w:rsidRPr="007668DF">
        <w:rPr>
          <w:rFonts w:ascii="Times New Roman" w:eastAsia="Times New Roman" w:hAnsi="Times New Roman"/>
          <w:sz w:val="24"/>
          <w:szCs w:val="24"/>
        </w:rPr>
        <w:t xml:space="preserve">, après la prise du gouvernorat, </w:t>
      </w:r>
      <w:r w:rsidR="001C1AEC">
        <w:rPr>
          <w:rFonts w:ascii="Times New Roman" w:eastAsia="Times New Roman" w:hAnsi="Times New Roman"/>
          <w:sz w:val="24"/>
          <w:szCs w:val="24"/>
        </w:rPr>
        <w:t xml:space="preserve">le </w:t>
      </w:r>
      <w:r w:rsidR="00FB2692" w:rsidRPr="007668DF">
        <w:rPr>
          <w:rFonts w:ascii="Times New Roman" w:eastAsia="Times New Roman" w:hAnsi="Times New Roman"/>
          <w:sz w:val="24"/>
          <w:szCs w:val="24"/>
        </w:rPr>
        <w:t>MNLA et</w:t>
      </w:r>
      <w:r w:rsidR="004016B1" w:rsidRPr="007668DF">
        <w:rPr>
          <w:rFonts w:ascii="Times New Roman" w:eastAsia="Times New Roman" w:hAnsi="Times New Roman"/>
          <w:sz w:val="24"/>
          <w:szCs w:val="24"/>
        </w:rPr>
        <w:t xml:space="preserve"> </w:t>
      </w:r>
      <w:r w:rsidR="001C1AEC">
        <w:rPr>
          <w:rFonts w:ascii="Times New Roman" w:eastAsia="Times New Roman" w:hAnsi="Times New Roman"/>
          <w:sz w:val="24"/>
          <w:szCs w:val="24"/>
        </w:rPr>
        <w:t xml:space="preserve">le </w:t>
      </w:r>
      <w:r w:rsidR="004016B1" w:rsidRPr="007668DF">
        <w:rPr>
          <w:rFonts w:ascii="Times New Roman" w:eastAsia="Times New Roman" w:hAnsi="Times New Roman"/>
          <w:sz w:val="24"/>
          <w:szCs w:val="24"/>
        </w:rPr>
        <w:t>HCUA ont capturé et retenu illégalement pendant au</w:t>
      </w:r>
      <w:r w:rsidR="00FB2692" w:rsidRPr="007668DF">
        <w:rPr>
          <w:rFonts w:ascii="Times New Roman" w:eastAsia="Times New Roman" w:hAnsi="Times New Roman"/>
          <w:sz w:val="24"/>
          <w:szCs w:val="24"/>
        </w:rPr>
        <w:t xml:space="preserve"> moins 48 heures, 34</w:t>
      </w:r>
      <w:r w:rsidR="004016B1" w:rsidRPr="007668DF">
        <w:rPr>
          <w:rFonts w:ascii="Times New Roman" w:eastAsia="Times New Roman" w:hAnsi="Times New Roman"/>
          <w:sz w:val="24"/>
          <w:szCs w:val="24"/>
        </w:rPr>
        <w:t xml:space="preserve"> civils qui avaient été trouvés dans et aux a</w:t>
      </w:r>
      <w:r w:rsidR="00FB2692" w:rsidRPr="007668DF">
        <w:rPr>
          <w:rFonts w:ascii="Times New Roman" w:eastAsia="Times New Roman" w:hAnsi="Times New Roman"/>
          <w:sz w:val="24"/>
          <w:szCs w:val="24"/>
        </w:rPr>
        <w:t>lentours du gouvernorat</w:t>
      </w:r>
      <w:r w:rsidR="004016B1" w:rsidRPr="007668DF">
        <w:rPr>
          <w:rFonts w:ascii="Times New Roman" w:eastAsia="Times New Roman" w:hAnsi="Times New Roman"/>
          <w:sz w:val="24"/>
          <w:szCs w:val="24"/>
        </w:rPr>
        <w:t>. La D</w:t>
      </w:r>
      <w:r w:rsidR="00FB2692" w:rsidRPr="007668DF">
        <w:rPr>
          <w:rFonts w:ascii="Times New Roman" w:eastAsia="Times New Roman" w:hAnsi="Times New Roman"/>
          <w:sz w:val="24"/>
          <w:szCs w:val="24"/>
        </w:rPr>
        <w:t>ivision des droits de l’homme</w:t>
      </w:r>
      <w:r w:rsidR="004016B1" w:rsidRPr="007668DF">
        <w:rPr>
          <w:rFonts w:ascii="Times New Roman" w:eastAsia="Times New Roman" w:hAnsi="Times New Roman"/>
          <w:sz w:val="24"/>
          <w:szCs w:val="24"/>
        </w:rPr>
        <w:t xml:space="preserve"> a activement participé aux négociations pour obtenir la libération de ces 34 personnes et les a reçus des mains des responsables du MNLA.</w:t>
      </w:r>
    </w:p>
    <w:p w:rsidR="00ED7580" w:rsidRPr="00ED7580" w:rsidRDefault="00ED7580" w:rsidP="00ED7580">
      <w:pPr>
        <w:ind w:left="720" w:firstLine="720"/>
        <w:rPr>
          <w:rFonts w:ascii="Times New Roman" w:eastAsia="Times New Roman" w:hAnsi="Times New Roman"/>
          <w:sz w:val="24"/>
          <w:szCs w:val="24"/>
        </w:rPr>
      </w:pPr>
      <w:r w:rsidRPr="00ED7580">
        <w:rPr>
          <w:rStyle w:val="SubtleEmphasis"/>
          <w:rFonts w:ascii="Times New Roman" w:hAnsi="Times New Roman"/>
          <w:color w:val="auto"/>
          <w:sz w:val="24"/>
          <w:szCs w:val="24"/>
        </w:rPr>
        <w:t>Traitements inhumains, cruels ou dégradants</w:t>
      </w:r>
    </w:p>
    <w:p w:rsidR="00ED7580" w:rsidRPr="00ED7580" w:rsidRDefault="00ED7580" w:rsidP="00ED7580">
      <w:pPr>
        <w:jc w:val="both"/>
        <w:rPr>
          <w:rFonts w:ascii="Times New Roman" w:eastAsia="Times New Roman" w:hAnsi="Times New Roman"/>
          <w:sz w:val="24"/>
          <w:szCs w:val="24"/>
        </w:rPr>
      </w:pPr>
      <w:r w:rsidRPr="00A24E5C">
        <w:rPr>
          <w:rFonts w:ascii="Times New Roman" w:eastAsia="Times New Roman" w:hAnsi="Times New Roman"/>
          <w:sz w:val="24"/>
          <w:szCs w:val="24"/>
        </w:rPr>
        <w:t>66.</w:t>
      </w:r>
      <w:r w:rsidRPr="00A24E5C">
        <w:rPr>
          <w:rFonts w:ascii="Times New Roman" w:eastAsia="Times New Roman" w:hAnsi="Times New Roman"/>
          <w:sz w:val="24"/>
          <w:szCs w:val="24"/>
        </w:rPr>
        <w:tab/>
        <w:t>Au cours de l’enquête, les chargés des droits de l’homme ont recueilli les propos des personnes détenues qui ont notamment subi des mauvais traitements lors de leur détention. 8 personnes ont décrit un climat tendu et certains actes de mauvais traitement à leur égard.</w:t>
      </w:r>
    </w:p>
    <w:p w:rsidR="00D45321" w:rsidRPr="007668DF" w:rsidRDefault="00ED7580" w:rsidP="006C2FA0">
      <w:pPr>
        <w:ind w:left="720" w:firstLine="720"/>
        <w:rPr>
          <w:rFonts w:ascii="Times New Roman" w:eastAsia="Times New Roman" w:hAnsi="Times New Roman"/>
          <w:sz w:val="24"/>
          <w:szCs w:val="24"/>
        </w:rPr>
      </w:pPr>
      <w:r>
        <w:rPr>
          <w:rStyle w:val="SubtleEmphasis"/>
          <w:rFonts w:ascii="Times New Roman" w:hAnsi="Times New Roman"/>
          <w:color w:val="auto"/>
          <w:sz w:val="24"/>
          <w:szCs w:val="24"/>
        </w:rPr>
        <w:t>Pillages ou destruction des biens</w:t>
      </w:r>
    </w:p>
    <w:p w:rsidR="00DC4F65" w:rsidRPr="00DC4F65" w:rsidRDefault="00DC4F65" w:rsidP="00412320">
      <w:pPr>
        <w:pStyle w:val="Title"/>
        <w:numPr>
          <w:ilvl w:val="0"/>
          <w:numId w:val="0"/>
        </w:numPr>
        <w:spacing w:after="0" w:line="276" w:lineRule="auto"/>
        <w:jc w:val="both"/>
        <w:rPr>
          <w:rFonts w:eastAsia="Times New Roman"/>
          <w:b w:val="0"/>
          <w:sz w:val="24"/>
          <w:szCs w:val="24"/>
        </w:rPr>
      </w:pPr>
      <w:r w:rsidRPr="001C1AEC">
        <w:rPr>
          <w:rFonts w:eastAsia="Times New Roman"/>
          <w:b w:val="0"/>
          <w:sz w:val="24"/>
          <w:szCs w:val="24"/>
        </w:rPr>
        <w:lastRenderedPageBreak/>
        <w:t>6</w:t>
      </w:r>
      <w:r w:rsidR="00ED7580" w:rsidRPr="001C1AEC">
        <w:rPr>
          <w:rFonts w:eastAsia="Times New Roman"/>
          <w:b w:val="0"/>
          <w:sz w:val="24"/>
          <w:szCs w:val="24"/>
        </w:rPr>
        <w:t>7</w:t>
      </w:r>
      <w:r w:rsidR="00617558" w:rsidRPr="001C1AEC">
        <w:rPr>
          <w:rFonts w:eastAsia="Times New Roman"/>
          <w:b w:val="0"/>
          <w:sz w:val="24"/>
          <w:szCs w:val="24"/>
        </w:rPr>
        <w:t>.</w:t>
      </w:r>
      <w:r w:rsidR="00617558" w:rsidRPr="007668DF">
        <w:rPr>
          <w:rFonts w:eastAsia="Times New Roman"/>
          <w:sz w:val="24"/>
          <w:szCs w:val="24"/>
        </w:rPr>
        <w:tab/>
      </w:r>
      <w:r w:rsidR="00ED7580" w:rsidRPr="00A24E5C">
        <w:rPr>
          <w:rFonts w:eastAsia="Times New Roman"/>
          <w:b w:val="0"/>
          <w:sz w:val="24"/>
          <w:szCs w:val="24"/>
        </w:rPr>
        <w:t xml:space="preserve">Les constatations et </w:t>
      </w:r>
      <w:r w:rsidR="001C1AEC" w:rsidRPr="00A24E5C">
        <w:rPr>
          <w:rFonts w:eastAsia="Times New Roman"/>
          <w:b w:val="0"/>
          <w:sz w:val="24"/>
          <w:szCs w:val="24"/>
        </w:rPr>
        <w:t>témoignages</w:t>
      </w:r>
      <w:r w:rsidR="00ED7580" w:rsidRPr="00A24E5C">
        <w:rPr>
          <w:rFonts w:eastAsia="Times New Roman"/>
          <w:b w:val="0"/>
          <w:sz w:val="24"/>
          <w:szCs w:val="24"/>
        </w:rPr>
        <w:t xml:space="preserve"> collect</w:t>
      </w:r>
      <w:r w:rsidR="00ED7580" w:rsidRPr="00A24E5C">
        <w:rPr>
          <w:rFonts w:eastAsia="Times New Roman" w:cs="Times New Roman"/>
          <w:b w:val="0"/>
          <w:sz w:val="24"/>
          <w:szCs w:val="24"/>
        </w:rPr>
        <w:t>é</w:t>
      </w:r>
      <w:r w:rsidR="00ED7580" w:rsidRPr="00A24E5C">
        <w:rPr>
          <w:rFonts w:eastAsia="Times New Roman"/>
          <w:b w:val="0"/>
          <w:sz w:val="24"/>
          <w:szCs w:val="24"/>
        </w:rPr>
        <w:t>s par</w:t>
      </w:r>
      <w:r w:rsidR="00EB5F69">
        <w:rPr>
          <w:rFonts w:eastAsia="Times New Roman"/>
          <w:b w:val="0"/>
          <w:sz w:val="24"/>
          <w:szCs w:val="24"/>
        </w:rPr>
        <w:t xml:space="preserve"> les </w:t>
      </w:r>
      <w:r w:rsidR="00E6498C">
        <w:rPr>
          <w:rFonts w:eastAsia="Times New Roman"/>
          <w:b w:val="0"/>
          <w:sz w:val="24"/>
          <w:szCs w:val="24"/>
        </w:rPr>
        <w:t>chargés</w:t>
      </w:r>
      <w:r w:rsidR="00EB5F69">
        <w:rPr>
          <w:rFonts w:eastAsia="Times New Roman"/>
          <w:b w:val="0"/>
          <w:sz w:val="24"/>
          <w:szCs w:val="24"/>
        </w:rPr>
        <w:t xml:space="preserve"> des droits </w:t>
      </w:r>
      <w:r w:rsidR="00E6498C">
        <w:rPr>
          <w:rFonts w:eastAsia="Times New Roman"/>
          <w:b w:val="0"/>
          <w:sz w:val="24"/>
          <w:szCs w:val="24"/>
        </w:rPr>
        <w:t xml:space="preserve">de l’homme, corroborés par le rapport de l’expert en balistique suggèrent </w:t>
      </w:r>
      <w:r w:rsidR="00ED7580" w:rsidRPr="00A24E5C">
        <w:rPr>
          <w:rFonts w:eastAsia="Times New Roman"/>
          <w:b w:val="0"/>
          <w:sz w:val="24"/>
          <w:szCs w:val="24"/>
        </w:rPr>
        <w:t xml:space="preserve">des cas de pillages et de destructions des biens dans l’enceinte du gouvernorat en date du 17 mai 2014 et dans les locaux des FAMa </w:t>
      </w:r>
      <w:r w:rsidR="001C1AEC">
        <w:rPr>
          <w:rFonts w:eastAsia="Times New Roman"/>
          <w:b w:val="0"/>
          <w:sz w:val="24"/>
          <w:szCs w:val="24"/>
        </w:rPr>
        <w:t>le</w:t>
      </w:r>
      <w:r w:rsidR="00ED7580" w:rsidRPr="00A24E5C">
        <w:rPr>
          <w:rFonts w:eastAsia="Times New Roman"/>
          <w:b w:val="0"/>
          <w:sz w:val="24"/>
          <w:szCs w:val="24"/>
        </w:rPr>
        <w:t xml:space="preserve"> 21 mai 2014. Ces actes de pillages </w:t>
      </w:r>
      <w:r w:rsidR="001C1AEC" w:rsidRPr="00A24E5C">
        <w:rPr>
          <w:rFonts w:eastAsia="Times New Roman"/>
          <w:b w:val="0"/>
          <w:sz w:val="24"/>
          <w:szCs w:val="24"/>
        </w:rPr>
        <w:t>avér</w:t>
      </w:r>
      <w:r w:rsidR="001C1AEC" w:rsidRPr="00A24E5C">
        <w:rPr>
          <w:rFonts w:eastAsia="Times New Roman" w:cs="Times New Roman"/>
          <w:b w:val="0"/>
          <w:sz w:val="24"/>
          <w:szCs w:val="24"/>
        </w:rPr>
        <w:t>é</w:t>
      </w:r>
      <w:r w:rsidR="001C1AEC" w:rsidRPr="00A24E5C">
        <w:rPr>
          <w:rFonts w:eastAsia="Times New Roman"/>
          <w:b w:val="0"/>
          <w:sz w:val="24"/>
          <w:szCs w:val="24"/>
        </w:rPr>
        <w:t>s</w:t>
      </w:r>
      <w:r w:rsidR="00ED7580" w:rsidRPr="00A24E5C">
        <w:rPr>
          <w:rFonts w:eastAsia="Times New Roman"/>
          <w:b w:val="0"/>
          <w:sz w:val="24"/>
          <w:szCs w:val="24"/>
        </w:rPr>
        <w:t xml:space="preserve"> en l’</w:t>
      </w:r>
      <w:r w:rsidR="001C1AEC" w:rsidRPr="00A24E5C">
        <w:rPr>
          <w:rFonts w:eastAsia="Times New Roman"/>
          <w:b w:val="0"/>
          <w:sz w:val="24"/>
          <w:szCs w:val="24"/>
        </w:rPr>
        <w:t>espèce</w:t>
      </w:r>
      <w:r w:rsidR="00ED7580" w:rsidRPr="00A24E5C">
        <w:rPr>
          <w:rFonts w:eastAsia="Times New Roman"/>
          <w:b w:val="0"/>
          <w:sz w:val="24"/>
          <w:szCs w:val="24"/>
        </w:rPr>
        <w:t xml:space="preserve"> constituent une violation du droit international humanitaire par les groupes arm</w:t>
      </w:r>
      <w:r w:rsidR="00ED7580" w:rsidRPr="00A24E5C">
        <w:rPr>
          <w:rFonts w:eastAsia="Times New Roman" w:cs="Times New Roman"/>
          <w:b w:val="0"/>
          <w:sz w:val="24"/>
          <w:szCs w:val="24"/>
        </w:rPr>
        <w:t>é</w:t>
      </w:r>
      <w:r w:rsidR="00ED7580" w:rsidRPr="00A24E5C">
        <w:rPr>
          <w:rFonts w:eastAsia="Times New Roman"/>
          <w:b w:val="0"/>
          <w:sz w:val="24"/>
          <w:szCs w:val="24"/>
        </w:rPr>
        <w:t>s et une violation du droit national.</w:t>
      </w:r>
      <w:bookmarkStart w:id="18" w:name="_Toc401931497"/>
    </w:p>
    <w:p w:rsidR="00DC4F65" w:rsidRPr="00DC4F65" w:rsidRDefault="00DC4F65" w:rsidP="00DC4F65">
      <w:pPr>
        <w:pStyle w:val="Title"/>
        <w:numPr>
          <w:ilvl w:val="0"/>
          <w:numId w:val="0"/>
        </w:numPr>
        <w:jc w:val="both"/>
        <w:rPr>
          <w:rFonts w:eastAsia="Times New Roman"/>
          <w:b w:val="0"/>
          <w:sz w:val="24"/>
          <w:szCs w:val="24"/>
        </w:rPr>
      </w:pPr>
    </w:p>
    <w:p w:rsidR="00135527" w:rsidRPr="007668DF" w:rsidRDefault="00DC4F65" w:rsidP="00DC4F65">
      <w:pPr>
        <w:pStyle w:val="Title"/>
        <w:numPr>
          <w:ilvl w:val="0"/>
          <w:numId w:val="0"/>
        </w:numPr>
        <w:ind w:firstLine="720"/>
        <w:rPr>
          <w:rFonts w:eastAsia="Malgun Gothic"/>
        </w:rPr>
      </w:pPr>
      <w:r>
        <w:t>VII.</w:t>
      </w:r>
      <w:r w:rsidRPr="007668DF">
        <w:t xml:space="preserve"> Violences</w:t>
      </w:r>
      <w:r w:rsidR="00135527" w:rsidRPr="007668DF">
        <w:t xml:space="preserve"> intercommunautaires</w:t>
      </w:r>
      <w:bookmarkEnd w:id="18"/>
    </w:p>
    <w:p w:rsidR="00135527" w:rsidRDefault="00C50FEB" w:rsidP="006C2FA0">
      <w:pPr>
        <w:tabs>
          <w:tab w:val="left" w:pos="567"/>
        </w:tabs>
        <w:spacing w:after="0"/>
        <w:jc w:val="both"/>
        <w:rPr>
          <w:rFonts w:ascii="Times New Roman" w:eastAsia="Malgun Gothic" w:hAnsi="Times New Roman"/>
          <w:sz w:val="24"/>
          <w:szCs w:val="24"/>
        </w:rPr>
      </w:pPr>
      <w:r w:rsidRPr="007668DF">
        <w:rPr>
          <w:rFonts w:ascii="Times New Roman" w:eastAsia="Malgun Gothic" w:hAnsi="Times New Roman"/>
          <w:sz w:val="24"/>
          <w:szCs w:val="24"/>
        </w:rPr>
        <w:t>6</w:t>
      </w:r>
      <w:r w:rsidR="006A45E8">
        <w:rPr>
          <w:rFonts w:ascii="Times New Roman" w:eastAsia="Malgun Gothic" w:hAnsi="Times New Roman"/>
          <w:sz w:val="24"/>
          <w:szCs w:val="24"/>
        </w:rPr>
        <w:t>8</w:t>
      </w:r>
      <w:r w:rsidR="00135527" w:rsidRPr="007668DF">
        <w:rPr>
          <w:rFonts w:ascii="Times New Roman" w:eastAsia="Malgun Gothic" w:hAnsi="Times New Roman"/>
          <w:sz w:val="24"/>
          <w:szCs w:val="24"/>
        </w:rPr>
        <w:t>.</w:t>
      </w:r>
      <w:r w:rsidR="00135527" w:rsidRPr="007668DF">
        <w:rPr>
          <w:rFonts w:ascii="Times New Roman" w:eastAsia="Malgun Gothic" w:hAnsi="Times New Roman"/>
          <w:sz w:val="24"/>
          <w:szCs w:val="24"/>
        </w:rPr>
        <w:tab/>
      </w:r>
      <w:r w:rsidR="00396000" w:rsidRPr="007668DF">
        <w:rPr>
          <w:rFonts w:ascii="Times New Roman" w:eastAsia="Malgun Gothic" w:hAnsi="Times New Roman"/>
          <w:sz w:val="24"/>
          <w:szCs w:val="24"/>
        </w:rPr>
        <w:t>Préoccupée</w:t>
      </w:r>
      <w:r w:rsidR="00135527" w:rsidRPr="007668DF">
        <w:rPr>
          <w:rFonts w:ascii="Times New Roman" w:eastAsia="Malgun Gothic" w:hAnsi="Times New Roman"/>
          <w:sz w:val="24"/>
          <w:szCs w:val="24"/>
        </w:rPr>
        <w:t xml:space="preserve"> par les conséquences des tensions et </w:t>
      </w:r>
      <w:r w:rsidR="001C1AEC">
        <w:rPr>
          <w:rFonts w:ascii="Times New Roman" w:eastAsia="Malgun Gothic" w:hAnsi="Times New Roman"/>
          <w:sz w:val="24"/>
          <w:szCs w:val="24"/>
        </w:rPr>
        <w:t xml:space="preserve">des </w:t>
      </w:r>
      <w:r w:rsidR="00135527" w:rsidRPr="007668DF">
        <w:rPr>
          <w:rFonts w:ascii="Times New Roman" w:eastAsia="Malgun Gothic" w:hAnsi="Times New Roman"/>
          <w:sz w:val="24"/>
          <w:szCs w:val="24"/>
        </w:rPr>
        <w:t xml:space="preserve">conflits intercommunautaires sur les populations civiles, la Division des droits de l’homme a suivi de près l’évolution de cette situation à Gao, Kidal, Tombouctou et Mopti. Des violences entre communautés, principalement au nord du pays, se sont souvent soldées par la mort de plusieurs civils et ont contribué à entretenir un climat propice à la vengeance et à la haine. </w:t>
      </w:r>
    </w:p>
    <w:p w:rsidR="00A54DB1" w:rsidRPr="007668DF" w:rsidRDefault="00A54DB1" w:rsidP="006C2FA0">
      <w:pPr>
        <w:tabs>
          <w:tab w:val="left" w:pos="567"/>
        </w:tabs>
        <w:spacing w:after="0"/>
        <w:jc w:val="both"/>
        <w:rPr>
          <w:rFonts w:ascii="Times New Roman" w:eastAsia="Malgun Gothic" w:hAnsi="Times New Roman"/>
          <w:sz w:val="24"/>
          <w:szCs w:val="24"/>
        </w:rPr>
      </w:pPr>
    </w:p>
    <w:p w:rsidR="00135527" w:rsidRPr="007668DF" w:rsidRDefault="006A45E8" w:rsidP="006C2FA0">
      <w:pPr>
        <w:tabs>
          <w:tab w:val="left" w:pos="567"/>
        </w:tabs>
        <w:jc w:val="both"/>
        <w:rPr>
          <w:rFonts w:ascii="Times New Roman" w:eastAsia="Malgun Gothic" w:hAnsi="Times New Roman"/>
          <w:sz w:val="24"/>
          <w:szCs w:val="24"/>
        </w:rPr>
      </w:pPr>
      <w:r>
        <w:rPr>
          <w:rFonts w:ascii="Times New Roman" w:eastAsia="Malgun Gothic" w:hAnsi="Times New Roman"/>
          <w:sz w:val="24"/>
          <w:szCs w:val="24"/>
        </w:rPr>
        <w:t>69</w:t>
      </w:r>
      <w:r w:rsidR="00135527" w:rsidRPr="007668DF">
        <w:rPr>
          <w:rFonts w:ascii="Times New Roman" w:eastAsia="Malgun Gothic" w:hAnsi="Times New Roman"/>
          <w:sz w:val="24"/>
          <w:szCs w:val="24"/>
        </w:rPr>
        <w:t>.</w:t>
      </w:r>
      <w:r w:rsidR="00135527" w:rsidRPr="007668DF">
        <w:rPr>
          <w:rFonts w:ascii="Times New Roman" w:eastAsia="Malgun Gothic" w:hAnsi="Times New Roman"/>
          <w:sz w:val="24"/>
          <w:szCs w:val="24"/>
        </w:rPr>
        <w:tab/>
        <w:t xml:space="preserve">Dans ce contexte, plusieurs actes de provocation réciproque </w:t>
      </w:r>
      <w:r w:rsidR="000E2A1D">
        <w:rPr>
          <w:rFonts w:ascii="Times New Roman" w:eastAsia="Malgun Gothic" w:hAnsi="Times New Roman"/>
          <w:sz w:val="24"/>
          <w:szCs w:val="24"/>
        </w:rPr>
        <w:t>on</w:t>
      </w:r>
      <w:r w:rsidR="000E2A1D" w:rsidRPr="007668DF">
        <w:rPr>
          <w:rFonts w:ascii="Times New Roman" w:eastAsia="Malgun Gothic" w:hAnsi="Times New Roman"/>
          <w:sz w:val="24"/>
          <w:szCs w:val="24"/>
        </w:rPr>
        <w:t xml:space="preserve">t </w:t>
      </w:r>
      <w:r w:rsidR="00135527" w:rsidRPr="007668DF">
        <w:rPr>
          <w:rFonts w:ascii="Times New Roman" w:eastAsia="Malgun Gothic" w:hAnsi="Times New Roman"/>
          <w:sz w:val="24"/>
          <w:szCs w:val="24"/>
        </w:rPr>
        <w:t xml:space="preserve">précédé les incidents majeurs documentés de novembre 2013 à </w:t>
      </w:r>
      <w:r w:rsidR="00412320">
        <w:rPr>
          <w:rFonts w:ascii="Times New Roman" w:eastAsia="Malgun Gothic" w:hAnsi="Times New Roman"/>
          <w:sz w:val="24"/>
          <w:szCs w:val="24"/>
        </w:rPr>
        <w:t>mai</w:t>
      </w:r>
      <w:r w:rsidR="00412320" w:rsidRPr="007668DF">
        <w:rPr>
          <w:rFonts w:ascii="Times New Roman" w:eastAsia="Malgun Gothic" w:hAnsi="Times New Roman"/>
          <w:sz w:val="24"/>
          <w:szCs w:val="24"/>
        </w:rPr>
        <w:t xml:space="preserve"> </w:t>
      </w:r>
      <w:r w:rsidR="00135527" w:rsidRPr="007668DF">
        <w:rPr>
          <w:rFonts w:ascii="Times New Roman" w:eastAsia="Malgun Gothic" w:hAnsi="Times New Roman"/>
          <w:sz w:val="24"/>
          <w:szCs w:val="24"/>
        </w:rPr>
        <w:t>2014. Selon des informations crédibles et concordantes rassemblées par l</w:t>
      </w:r>
      <w:r w:rsidR="004D265B" w:rsidRPr="007668DF">
        <w:rPr>
          <w:rFonts w:ascii="Times New Roman" w:eastAsia="Malgun Gothic" w:hAnsi="Times New Roman"/>
          <w:sz w:val="24"/>
          <w:szCs w:val="24"/>
        </w:rPr>
        <w:t>a</w:t>
      </w:r>
      <w:r w:rsidR="00135527" w:rsidRPr="007668DF">
        <w:rPr>
          <w:rFonts w:ascii="Times New Roman" w:eastAsia="Malgun Gothic" w:hAnsi="Times New Roman"/>
          <w:sz w:val="24"/>
          <w:szCs w:val="24"/>
        </w:rPr>
        <w:t xml:space="preserve"> Division des droits de l’homme</w:t>
      </w:r>
      <w:r w:rsidR="00EE329F" w:rsidRPr="007668DF">
        <w:rPr>
          <w:rFonts w:ascii="Times New Roman" w:eastAsia="Malgun Gothic" w:hAnsi="Times New Roman"/>
          <w:sz w:val="24"/>
          <w:szCs w:val="24"/>
        </w:rPr>
        <w:t>,</w:t>
      </w:r>
      <w:r w:rsidR="00135527" w:rsidRPr="007668DF">
        <w:rPr>
          <w:rFonts w:ascii="Times New Roman" w:eastAsia="Malgun Gothic" w:hAnsi="Times New Roman"/>
          <w:sz w:val="24"/>
          <w:szCs w:val="24"/>
        </w:rPr>
        <w:t xml:space="preserve"> des élus locaux et autres acteurs influents de la région</w:t>
      </w:r>
      <w:r w:rsidR="007955B1" w:rsidRPr="007668DF">
        <w:rPr>
          <w:rFonts w:ascii="Times New Roman" w:eastAsia="Malgun Gothic" w:hAnsi="Times New Roman"/>
          <w:sz w:val="24"/>
          <w:szCs w:val="24"/>
        </w:rPr>
        <w:t>,</w:t>
      </w:r>
      <w:r w:rsidR="00135527" w:rsidRPr="007668DF">
        <w:rPr>
          <w:rFonts w:ascii="Times New Roman" w:eastAsia="Malgun Gothic" w:hAnsi="Times New Roman"/>
          <w:sz w:val="24"/>
          <w:szCs w:val="24"/>
        </w:rPr>
        <w:t xml:space="preserve"> ainsi que des éléments des </w:t>
      </w:r>
      <w:r w:rsidR="00EF7A97" w:rsidRPr="007668DF">
        <w:rPr>
          <w:rFonts w:ascii="Times New Roman" w:eastAsia="Malgun Gothic" w:hAnsi="Times New Roman"/>
          <w:sz w:val="24"/>
          <w:szCs w:val="24"/>
        </w:rPr>
        <w:t>FAMa</w:t>
      </w:r>
      <w:r w:rsidR="007955B1" w:rsidRPr="007668DF">
        <w:rPr>
          <w:rFonts w:ascii="Times New Roman" w:eastAsia="Malgun Gothic" w:hAnsi="Times New Roman"/>
          <w:sz w:val="24"/>
          <w:szCs w:val="24"/>
        </w:rPr>
        <w:t>,</w:t>
      </w:r>
      <w:r w:rsidR="00135527" w:rsidRPr="007668DF">
        <w:rPr>
          <w:rFonts w:ascii="Times New Roman" w:eastAsia="Malgun Gothic" w:hAnsi="Times New Roman"/>
          <w:sz w:val="24"/>
          <w:szCs w:val="24"/>
        </w:rPr>
        <w:t xml:space="preserve"> auraient </w:t>
      </w:r>
      <w:r w:rsidR="00135527" w:rsidRPr="007668DF">
        <w:rPr>
          <w:rFonts w:ascii="Times New Roman" w:eastAsia="Malgun Gothic" w:hAnsi="Times New Roman"/>
          <w:sz w:val="24"/>
          <w:szCs w:val="24"/>
        </w:rPr>
        <w:lastRenderedPageBreak/>
        <w:t xml:space="preserve">incité les civils </w:t>
      </w:r>
      <w:r w:rsidR="00135527" w:rsidRPr="007668DF">
        <w:rPr>
          <w:rFonts w:ascii="Times New Roman" w:eastAsia="Malgun Gothic" w:hAnsi="Times New Roman"/>
          <w:i/>
          <w:sz w:val="24"/>
          <w:szCs w:val="24"/>
        </w:rPr>
        <w:t>Imghad</w:t>
      </w:r>
      <w:r w:rsidR="00135527" w:rsidRPr="007668DF">
        <w:rPr>
          <w:rFonts w:ascii="Times New Roman" w:eastAsia="Malgun Gothic" w:hAnsi="Times New Roman"/>
          <w:sz w:val="24"/>
          <w:szCs w:val="24"/>
        </w:rPr>
        <w:t xml:space="preserve"> à commettre des actes de violence contre les </w:t>
      </w:r>
      <w:r w:rsidR="00135527" w:rsidRPr="003B152B">
        <w:rPr>
          <w:rFonts w:ascii="Times New Roman" w:eastAsia="Malgun Gothic" w:hAnsi="Times New Roman"/>
          <w:i/>
          <w:sz w:val="24"/>
          <w:szCs w:val="24"/>
        </w:rPr>
        <w:t>Idnans</w:t>
      </w:r>
      <w:r w:rsidR="000E2A1D">
        <w:rPr>
          <w:rStyle w:val="FootnoteReference"/>
          <w:rFonts w:ascii="Times New Roman" w:eastAsia="Malgun Gothic" w:hAnsi="Times New Roman"/>
          <w:i/>
          <w:sz w:val="24"/>
          <w:szCs w:val="24"/>
        </w:rPr>
        <w:footnoteReference w:id="16"/>
      </w:r>
      <w:r w:rsidR="001158EC" w:rsidRPr="007668DF">
        <w:rPr>
          <w:rFonts w:ascii="Times New Roman" w:eastAsia="Malgun Gothic" w:hAnsi="Times New Roman"/>
          <w:sz w:val="24"/>
          <w:szCs w:val="24"/>
        </w:rPr>
        <w:t>,</w:t>
      </w:r>
      <w:r w:rsidR="00135527" w:rsidRPr="007668DF">
        <w:rPr>
          <w:rFonts w:ascii="Times New Roman" w:eastAsia="Malgun Gothic" w:hAnsi="Times New Roman"/>
          <w:sz w:val="24"/>
          <w:szCs w:val="24"/>
        </w:rPr>
        <w:t xml:space="preserve"> notamment en leur fournissant des armes. </w:t>
      </w:r>
    </w:p>
    <w:p w:rsidR="00412320" w:rsidRDefault="006A45E8" w:rsidP="006C2FA0">
      <w:pPr>
        <w:tabs>
          <w:tab w:val="left" w:pos="567"/>
        </w:tabs>
        <w:jc w:val="both"/>
        <w:rPr>
          <w:rFonts w:ascii="Times New Roman" w:eastAsia="Malgun Gothic" w:hAnsi="Times New Roman"/>
          <w:sz w:val="24"/>
          <w:szCs w:val="24"/>
        </w:rPr>
      </w:pPr>
      <w:r>
        <w:rPr>
          <w:rFonts w:ascii="Times New Roman" w:eastAsia="Malgun Gothic" w:hAnsi="Times New Roman"/>
          <w:sz w:val="24"/>
          <w:szCs w:val="24"/>
        </w:rPr>
        <w:t>70</w:t>
      </w:r>
      <w:r w:rsidR="00135527" w:rsidRPr="007668DF">
        <w:rPr>
          <w:rFonts w:ascii="Times New Roman" w:eastAsia="Malgun Gothic" w:hAnsi="Times New Roman"/>
          <w:sz w:val="24"/>
          <w:szCs w:val="24"/>
        </w:rPr>
        <w:t>.</w:t>
      </w:r>
      <w:r w:rsidR="00135527" w:rsidRPr="007668DF">
        <w:rPr>
          <w:rFonts w:ascii="Times New Roman" w:eastAsia="Malgun Gothic" w:hAnsi="Times New Roman"/>
          <w:sz w:val="24"/>
          <w:szCs w:val="24"/>
        </w:rPr>
        <w:tab/>
        <w:t xml:space="preserve">Dans la région de Gao, des cas de violences intercommunautaires, opposant notamment les membres des communautés </w:t>
      </w:r>
      <w:r w:rsidR="000E2A1D">
        <w:rPr>
          <w:rFonts w:ascii="Times New Roman" w:eastAsia="Malgun Gothic" w:hAnsi="Times New Roman"/>
          <w:i/>
          <w:sz w:val="24"/>
          <w:szCs w:val="24"/>
        </w:rPr>
        <w:t>P</w:t>
      </w:r>
      <w:r w:rsidR="00135527" w:rsidRPr="003B152B">
        <w:rPr>
          <w:rFonts w:ascii="Times New Roman" w:eastAsia="Malgun Gothic" w:hAnsi="Times New Roman"/>
          <w:i/>
          <w:sz w:val="24"/>
          <w:szCs w:val="24"/>
        </w:rPr>
        <w:t xml:space="preserve">eulh </w:t>
      </w:r>
      <w:r w:rsidR="001C10C4" w:rsidRPr="007668DF">
        <w:rPr>
          <w:rFonts w:ascii="Times New Roman" w:eastAsia="Malgun Gothic" w:hAnsi="Times New Roman"/>
          <w:sz w:val="24"/>
          <w:szCs w:val="24"/>
        </w:rPr>
        <w:t xml:space="preserve">et </w:t>
      </w:r>
      <w:r w:rsidR="000E2A1D">
        <w:rPr>
          <w:rFonts w:ascii="Times New Roman" w:eastAsia="Malgun Gothic" w:hAnsi="Times New Roman"/>
          <w:i/>
          <w:sz w:val="24"/>
          <w:szCs w:val="24"/>
        </w:rPr>
        <w:t>T</w:t>
      </w:r>
      <w:r w:rsidR="00135527" w:rsidRPr="003B152B">
        <w:rPr>
          <w:rFonts w:ascii="Times New Roman" w:eastAsia="Malgun Gothic" w:hAnsi="Times New Roman"/>
          <w:i/>
          <w:sz w:val="24"/>
          <w:szCs w:val="24"/>
        </w:rPr>
        <w:t>ouareg</w:t>
      </w:r>
      <w:r w:rsidR="00135527" w:rsidRPr="007668DF">
        <w:rPr>
          <w:rFonts w:ascii="Times New Roman" w:eastAsia="Malgun Gothic" w:hAnsi="Times New Roman"/>
          <w:sz w:val="24"/>
          <w:szCs w:val="24"/>
        </w:rPr>
        <w:t xml:space="preserve"> entre novembre 2013 et avril 2014</w:t>
      </w:r>
      <w:r w:rsidR="001158EC" w:rsidRPr="007668DF">
        <w:rPr>
          <w:rFonts w:ascii="Times New Roman" w:eastAsia="Malgun Gothic" w:hAnsi="Times New Roman"/>
          <w:sz w:val="24"/>
          <w:szCs w:val="24"/>
        </w:rPr>
        <w:t>,</w:t>
      </w:r>
      <w:r w:rsidR="00135527" w:rsidRPr="007668DF">
        <w:rPr>
          <w:rFonts w:ascii="Times New Roman" w:eastAsia="Malgun Gothic" w:hAnsi="Times New Roman"/>
          <w:sz w:val="24"/>
          <w:szCs w:val="24"/>
        </w:rPr>
        <w:t xml:space="preserve"> n’ont fait l’objet d’aucune </w:t>
      </w:r>
      <w:r w:rsidR="000E2A1D">
        <w:rPr>
          <w:rFonts w:ascii="Times New Roman" w:eastAsia="Malgun Gothic" w:hAnsi="Times New Roman"/>
          <w:sz w:val="24"/>
          <w:szCs w:val="24"/>
        </w:rPr>
        <w:t>enquête</w:t>
      </w:r>
      <w:r w:rsidR="000E2A1D" w:rsidRPr="007668DF">
        <w:rPr>
          <w:rFonts w:ascii="Times New Roman" w:eastAsia="Malgun Gothic" w:hAnsi="Times New Roman"/>
          <w:sz w:val="24"/>
          <w:szCs w:val="24"/>
        </w:rPr>
        <w:t xml:space="preserve"> </w:t>
      </w:r>
      <w:r w:rsidR="00073D38" w:rsidRPr="007668DF">
        <w:rPr>
          <w:rFonts w:ascii="Times New Roman" w:eastAsia="Malgun Gothic" w:hAnsi="Times New Roman"/>
          <w:sz w:val="24"/>
          <w:szCs w:val="24"/>
        </w:rPr>
        <w:t>par l</w:t>
      </w:r>
      <w:r w:rsidR="00135527" w:rsidRPr="007668DF">
        <w:rPr>
          <w:rFonts w:ascii="Times New Roman" w:eastAsia="Malgun Gothic" w:hAnsi="Times New Roman"/>
          <w:sz w:val="24"/>
          <w:szCs w:val="24"/>
        </w:rPr>
        <w:t xml:space="preserve">es autorités maliennes. </w:t>
      </w:r>
      <w:r w:rsidR="000E2A1D">
        <w:rPr>
          <w:rFonts w:ascii="Times New Roman" w:eastAsia="Malgun Gothic" w:hAnsi="Times New Roman"/>
          <w:sz w:val="24"/>
          <w:szCs w:val="24"/>
        </w:rPr>
        <w:t>En dépit de</w:t>
      </w:r>
      <w:r w:rsidR="000E2A1D" w:rsidRPr="007668DF">
        <w:rPr>
          <w:rFonts w:ascii="Times New Roman" w:eastAsia="Malgun Gothic" w:hAnsi="Times New Roman"/>
          <w:sz w:val="24"/>
          <w:szCs w:val="24"/>
        </w:rPr>
        <w:t xml:space="preserve"> </w:t>
      </w:r>
      <w:r w:rsidR="00135527" w:rsidRPr="007668DF">
        <w:rPr>
          <w:rFonts w:ascii="Times New Roman" w:eastAsia="Malgun Gothic" w:hAnsi="Times New Roman"/>
          <w:sz w:val="24"/>
          <w:szCs w:val="24"/>
        </w:rPr>
        <w:t>quelques initiatives communautaires prises par les chefs de</w:t>
      </w:r>
      <w:r w:rsidR="000E2A1D">
        <w:rPr>
          <w:rFonts w:ascii="Times New Roman" w:eastAsia="Malgun Gothic" w:hAnsi="Times New Roman"/>
          <w:sz w:val="24"/>
          <w:szCs w:val="24"/>
        </w:rPr>
        <w:t xml:space="preserve"> fraction</w:t>
      </w:r>
      <w:r w:rsidR="00135527" w:rsidRPr="007668DF">
        <w:rPr>
          <w:rFonts w:ascii="Times New Roman" w:eastAsia="Malgun Gothic" w:hAnsi="Times New Roman"/>
          <w:sz w:val="24"/>
          <w:szCs w:val="24"/>
        </w:rPr>
        <w:t xml:space="preserve">s </w:t>
      </w:r>
      <w:r w:rsidR="000E2A1D">
        <w:rPr>
          <w:rFonts w:ascii="Times New Roman" w:eastAsia="Malgun Gothic" w:hAnsi="Times New Roman"/>
          <w:sz w:val="24"/>
          <w:szCs w:val="24"/>
        </w:rPr>
        <w:t xml:space="preserve">et </w:t>
      </w:r>
      <w:r w:rsidR="001C1AEC">
        <w:rPr>
          <w:rFonts w:ascii="Times New Roman" w:eastAsia="Malgun Gothic" w:hAnsi="Times New Roman"/>
          <w:sz w:val="24"/>
          <w:szCs w:val="24"/>
        </w:rPr>
        <w:t xml:space="preserve">les </w:t>
      </w:r>
      <w:r w:rsidR="000E2A1D">
        <w:rPr>
          <w:rFonts w:ascii="Times New Roman" w:eastAsia="Malgun Gothic" w:hAnsi="Times New Roman"/>
          <w:sz w:val="24"/>
          <w:szCs w:val="24"/>
        </w:rPr>
        <w:t xml:space="preserve">leaders des </w:t>
      </w:r>
      <w:r w:rsidR="00135527" w:rsidRPr="007668DF">
        <w:rPr>
          <w:rFonts w:ascii="Times New Roman" w:eastAsia="Malgun Gothic" w:hAnsi="Times New Roman"/>
          <w:sz w:val="24"/>
          <w:szCs w:val="24"/>
        </w:rPr>
        <w:t>communautés locales,</w:t>
      </w:r>
      <w:r w:rsidR="001158EC" w:rsidRPr="007668DF">
        <w:rPr>
          <w:rFonts w:ascii="Times New Roman" w:eastAsia="Malgun Gothic" w:hAnsi="Times New Roman"/>
          <w:sz w:val="24"/>
          <w:szCs w:val="24"/>
        </w:rPr>
        <w:t xml:space="preserve"> </w:t>
      </w:r>
      <w:r w:rsidR="000E2A1D">
        <w:rPr>
          <w:rFonts w:ascii="Times New Roman" w:eastAsia="Malgun Gothic" w:hAnsi="Times New Roman"/>
          <w:sz w:val="24"/>
          <w:szCs w:val="24"/>
        </w:rPr>
        <w:t>aucune mesure visant à</w:t>
      </w:r>
      <w:r w:rsidR="001B0CD2">
        <w:rPr>
          <w:rFonts w:ascii="Times New Roman" w:eastAsia="Malgun Gothic" w:hAnsi="Times New Roman"/>
          <w:sz w:val="24"/>
          <w:szCs w:val="24"/>
        </w:rPr>
        <w:t xml:space="preserve"> </w:t>
      </w:r>
      <w:r w:rsidR="00135527" w:rsidRPr="007668DF">
        <w:rPr>
          <w:rFonts w:ascii="Times New Roman" w:eastAsia="Malgun Gothic" w:hAnsi="Times New Roman"/>
          <w:sz w:val="24"/>
          <w:szCs w:val="24"/>
        </w:rPr>
        <w:t>renforcer la sécurité de la population</w:t>
      </w:r>
      <w:r w:rsidR="001B0CD2">
        <w:rPr>
          <w:rFonts w:ascii="Times New Roman" w:eastAsia="Malgun Gothic" w:hAnsi="Times New Roman"/>
          <w:sz w:val="24"/>
          <w:szCs w:val="24"/>
        </w:rPr>
        <w:t xml:space="preserve"> n’a été mise en place par le gouvernement</w:t>
      </w:r>
      <w:r w:rsidR="00135527" w:rsidRPr="007668DF">
        <w:rPr>
          <w:rFonts w:ascii="Times New Roman" w:eastAsia="Malgun Gothic" w:hAnsi="Times New Roman"/>
          <w:sz w:val="24"/>
          <w:szCs w:val="24"/>
        </w:rPr>
        <w:t>.</w:t>
      </w:r>
      <w:r w:rsidR="001B0CD2">
        <w:rPr>
          <w:rFonts w:ascii="Times New Roman" w:eastAsia="Malgun Gothic" w:hAnsi="Times New Roman"/>
          <w:sz w:val="24"/>
          <w:szCs w:val="24"/>
        </w:rPr>
        <w:t xml:space="preserve"> </w:t>
      </w:r>
    </w:p>
    <w:p w:rsidR="00135527" w:rsidRPr="007668DF" w:rsidRDefault="006A45E8" w:rsidP="006C2FA0">
      <w:pPr>
        <w:tabs>
          <w:tab w:val="left" w:pos="567"/>
        </w:tabs>
        <w:jc w:val="both"/>
        <w:rPr>
          <w:rFonts w:ascii="Times New Roman" w:eastAsia="Malgun Gothic" w:hAnsi="Times New Roman"/>
          <w:sz w:val="24"/>
          <w:szCs w:val="24"/>
        </w:rPr>
      </w:pPr>
      <w:r>
        <w:rPr>
          <w:rFonts w:ascii="Times New Roman" w:eastAsia="Malgun Gothic" w:hAnsi="Times New Roman"/>
          <w:sz w:val="24"/>
          <w:szCs w:val="24"/>
        </w:rPr>
        <w:t>71</w:t>
      </w:r>
      <w:r w:rsidR="0086130D" w:rsidRPr="007668DF">
        <w:rPr>
          <w:rFonts w:ascii="Times New Roman" w:eastAsia="Malgun Gothic" w:hAnsi="Times New Roman"/>
          <w:sz w:val="24"/>
          <w:szCs w:val="24"/>
        </w:rPr>
        <w:t>.</w:t>
      </w:r>
      <w:r w:rsidR="0086130D" w:rsidRPr="007668DF">
        <w:rPr>
          <w:rFonts w:ascii="Times New Roman" w:eastAsia="Malgun Gothic" w:hAnsi="Times New Roman"/>
          <w:sz w:val="24"/>
          <w:szCs w:val="24"/>
        </w:rPr>
        <w:tab/>
      </w:r>
      <w:r w:rsidR="00135527" w:rsidRPr="007668DF">
        <w:rPr>
          <w:rFonts w:ascii="Times New Roman" w:eastAsia="Malgun Gothic" w:hAnsi="Times New Roman"/>
          <w:sz w:val="24"/>
          <w:szCs w:val="24"/>
        </w:rPr>
        <w:t xml:space="preserve">La Division des droits de l’homme a documenté et enquêté sur le cycle de violences intercommunautaires qui a opposé les communautés </w:t>
      </w:r>
      <w:r w:rsidR="002D153C" w:rsidRPr="007B7EF2">
        <w:rPr>
          <w:rFonts w:ascii="Times New Roman" w:eastAsia="Malgun Gothic" w:hAnsi="Times New Roman"/>
          <w:i/>
          <w:sz w:val="24"/>
          <w:szCs w:val="24"/>
        </w:rPr>
        <w:t>p</w:t>
      </w:r>
      <w:r w:rsidR="00135527" w:rsidRPr="007B7EF2">
        <w:rPr>
          <w:rFonts w:ascii="Times New Roman" w:eastAsia="Malgun Gothic" w:hAnsi="Times New Roman"/>
          <w:i/>
          <w:sz w:val="24"/>
          <w:szCs w:val="24"/>
        </w:rPr>
        <w:t>eulh</w:t>
      </w:r>
      <w:r w:rsidR="00135527" w:rsidRPr="007668DF">
        <w:rPr>
          <w:rFonts w:ascii="Times New Roman" w:eastAsia="Malgun Gothic" w:hAnsi="Times New Roman"/>
          <w:sz w:val="24"/>
          <w:szCs w:val="24"/>
        </w:rPr>
        <w:t xml:space="preserve"> et </w:t>
      </w:r>
      <w:r w:rsidR="002D153C" w:rsidRPr="007B7EF2">
        <w:rPr>
          <w:rFonts w:ascii="Times New Roman" w:eastAsia="Malgun Gothic" w:hAnsi="Times New Roman"/>
          <w:i/>
          <w:sz w:val="24"/>
          <w:szCs w:val="24"/>
        </w:rPr>
        <w:t>t</w:t>
      </w:r>
      <w:r w:rsidR="00135527" w:rsidRPr="007B7EF2">
        <w:rPr>
          <w:rFonts w:ascii="Times New Roman" w:eastAsia="Malgun Gothic" w:hAnsi="Times New Roman"/>
          <w:i/>
          <w:sz w:val="24"/>
          <w:szCs w:val="24"/>
        </w:rPr>
        <w:t>amasheq</w:t>
      </w:r>
      <w:r w:rsidR="00135527" w:rsidRPr="007668DF">
        <w:rPr>
          <w:rFonts w:ascii="Times New Roman" w:eastAsia="Malgun Gothic" w:hAnsi="Times New Roman"/>
          <w:sz w:val="24"/>
          <w:szCs w:val="24"/>
        </w:rPr>
        <w:t xml:space="preserve"> </w:t>
      </w:r>
      <w:r w:rsidR="00BE2961" w:rsidRPr="007668DF">
        <w:rPr>
          <w:rFonts w:ascii="Times New Roman" w:eastAsia="Malgun Gothic" w:hAnsi="Times New Roman"/>
          <w:sz w:val="24"/>
          <w:szCs w:val="24"/>
        </w:rPr>
        <w:t>entre</w:t>
      </w:r>
      <w:r w:rsidR="00135527" w:rsidRPr="007668DF">
        <w:rPr>
          <w:rFonts w:ascii="Times New Roman" w:eastAsia="Malgun Gothic" w:hAnsi="Times New Roman"/>
          <w:sz w:val="24"/>
          <w:szCs w:val="24"/>
        </w:rPr>
        <w:t xml:space="preserve"> novembre 2013</w:t>
      </w:r>
      <w:r w:rsidR="00BE2961" w:rsidRPr="007668DF">
        <w:rPr>
          <w:rFonts w:ascii="Times New Roman" w:eastAsia="Malgun Gothic" w:hAnsi="Times New Roman"/>
          <w:sz w:val="24"/>
          <w:szCs w:val="24"/>
        </w:rPr>
        <w:t xml:space="preserve"> et </w:t>
      </w:r>
      <w:r w:rsidR="007B7EF2">
        <w:rPr>
          <w:rFonts w:ascii="Times New Roman" w:eastAsia="Malgun Gothic" w:hAnsi="Times New Roman"/>
          <w:sz w:val="24"/>
          <w:szCs w:val="24"/>
        </w:rPr>
        <w:t>mai</w:t>
      </w:r>
      <w:r w:rsidR="007B7EF2" w:rsidRPr="007668DF">
        <w:rPr>
          <w:rFonts w:ascii="Times New Roman" w:eastAsia="Malgun Gothic" w:hAnsi="Times New Roman"/>
          <w:sz w:val="24"/>
          <w:szCs w:val="24"/>
        </w:rPr>
        <w:t xml:space="preserve"> </w:t>
      </w:r>
      <w:r w:rsidR="00BE2961" w:rsidRPr="007668DF">
        <w:rPr>
          <w:rFonts w:ascii="Times New Roman" w:eastAsia="Malgun Gothic" w:hAnsi="Times New Roman"/>
          <w:sz w:val="24"/>
          <w:szCs w:val="24"/>
        </w:rPr>
        <w:t>2014</w:t>
      </w:r>
      <w:r w:rsidR="008446C4" w:rsidRPr="007668DF">
        <w:rPr>
          <w:rFonts w:ascii="Times New Roman" w:eastAsia="Malgun Gothic" w:hAnsi="Times New Roman"/>
          <w:sz w:val="24"/>
          <w:szCs w:val="24"/>
        </w:rPr>
        <w:t xml:space="preserve">. </w:t>
      </w:r>
      <w:r w:rsidR="001B0CD2">
        <w:rPr>
          <w:rFonts w:ascii="Times New Roman" w:eastAsia="Malgun Gothic" w:hAnsi="Times New Roman"/>
          <w:sz w:val="24"/>
          <w:szCs w:val="24"/>
        </w:rPr>
        <w:t>Au terme de son enquête, e</w:t>
      </w:r>
      <w:r w:rsidR="00135527" w:rsidRPr="007668DF">
        <w:rPr>
          <w:rFonts w:ascii="Times New Roman" w:eastAsia="Malgun Gothic" w:hAnsi="Times New Roman"/>
          <w:sz w:val="24"/>
          <w:szCs w:val="24"/>
        </w:rPr>
        <w:t xml:space="preserve">lle a </w:t>
      </w:r>
      <w:r w:rsidR="00BE2961" w:rsidRPr="007668DF">
        <w:rPr>
          <w:rFonts w:ascii="Times New Roman" w:eastAsia="Malgun Gothic" w:hAnsi="Times New Roman"/>
          <w:sz w:val="24"/>
          <w:szCs w:val="24"/>
        </w:rPr>
        <w:t xml:space="preserve">ainsi pu </w:t>
      </w:r>
      <w:r w:rsidR="00135527" w:rsidRPr="007668DF">
        <w:rPr>
          <w:rFonts w:ascii="Times New Roman" w:eastAsia="Malgun Gothic" w:hAnsi="Times New Roman"/>
          <w:sz w:val="24"/>
          <w:szCs w:val="24"/>
        </w:rPr>
        <w:t>confirm</w:t>
      </w:r>
      <w:r w:rsidR="00BE2961" w:rsidRPr="007668DF">
        <w:rPr>
          <w:rFonts w:ascii="Times New Roman" w:eastAsia="Malgun Gothic" w:hAnsi="Times New Roman"/>
          <w:sz w:val="24"/>
          <w:szCs w:val="24"/>
        </w:rPr>
        <w:t>er</w:t>
      </w:r>
      <w:r w:rsidR="00135527" w:rsidRPr="007668DF">
        <w:rPr>
          <w:rFonts w:ascii="Times New Roman" w:eastAsia="Malgun Gothic" w:hAnsi="Times New Roman"/>
          <w:sz w:val="24"/>
          <w:szCs w:val="24"/>
        </w:rPr>
        <w:t xml:space="preserve"> 12 affrontements </w:t>
      </w:r>
      <w:r w:rsidR="002D153C" w:rsidRPr="007668DF">
        <w:rPr>
          <w:rFonts w:ascii="Times New Roman" w:eastAsia="Malgun Gothic" w:hAnsi="Times New Roman"/>
          <w:sz w:val="24"/>
          <w:szCs w:val="24"/>
        </w:rPr>
        <w:t xml:space="preserve">successifs </w:t>
      </w:r>
      <w:r w:rsidR="00BE2961" w:rsidRPr="007668DF">
        <w:rPr>
          <w:rFonts w:ascii="Times New Roman" w:eastAsia="Malgun Gothic" w:hAnsi="Times New Roman"/>
          <w:sz w:val="24"/>
          <w:szCs w:val="24"/>
        </w:rPr>
        <w:t xml:space="preserve">majeurs </w:t>
      </w:r>
      <w:r w:rsidR="00135527" w:rsidRPr="007668DF">
        <w:rPr>
          <w:rFonts w:ascii="Times New Roman" w:eastAsia="Malgun Gothic" w:hAnsi="Times New Roman"/>
          <w:sz w:val="24"/>
          <w:szCs w:val="24"/>
        </w:rPr>
        <w:t xml:space="preserve">ayant causé </w:t>
      </w:r>
      <w:r w:rsidR="00BE2961" w:rsidRPr="007668DF">
        <w:rPr>
          <w:rFonts w:ascii="Times New Roman" w:eastAsia="Malgun Gothic" w:hAnsi="Times New Roman"/>
          <w:sz w:val="24"/>
          <w:szCs w:val="24"/>
        </w:rPr>
        <w:t xml:space="preserve">la mort de </w:t>
      </w:r>
      <w:r w:rsidR="008446C4" w:rsidRPr="007668DF">
        <w:rPr>
          <w:rFonts w:ascii="Times New Roman" w:eastAsia="Malgun Gothic" w:hAnsi="Times New Roman"/>
          <w:sz w:val="24"/>
          <w:szCs w:val="24"/>
        </w:rPr>
        <w:t xml:space="preserve">75 personnes et des dizaines de blessés </w:t>
      </w:r>
      <w:r w:rsidR="00135527" w:rsidRPr="007668DF">
        <w:rPr>
          <w:rFonts w:ascii="Times New Roman" w:eastAsia="Malgun Gothic" w:hAnsi="Times New Roman"/>
          <w:sz w:val="24"/>
          <w:szCs w:val="24"/>
        </w:rPr>
        <w:t>dans l’intervalle d</w:t>
      </w:r>
      <w:r w:rsidR="001C1AEC">
        <w:rPr>
          <w:rFonts w:ascii="Times New Roman" w:eastAsia="Malgun Gothic" w:hAnsi="Times New Roman"/>
          <w:sz w:val="24"/>
          <w:szCs w:val="24"/>
        </w:rPr>
        <w:t>’une</w:t>
      </w:r>
      <w:r w:rsidR="00135527" w:rsidRPr="007668DF">
        <w:rPr>
          <w:rFonts w:ascii="Times New Roman" w:eastAsia="Malgun Gothic" w:hAnsi="Times New Roman"/>
          <w:sz w:val="24"/>
          <w:szCs w:val="24"/>
        </w:rPr>
        <w:t xml:space="preserve"> courte période.</w:t>
      </w:r>
    </w:p>
    <w:p w:rsidR="00135527" w:rsidRPr="007668DF" w:rsidRDefault="00C50FEB" w:rsidP="006C2FA0">
      <w:pPr>
        <w:tabs>
          <w:tab w:val="left" w:pos="567"/>
        </w:tabs>
        <w:jc w:val="both"/>
        <w:rPr>
          <w:rFonts w:ascii="Times New Roman" w:eastAsia="Malgun Gothic" w:hAnsi="Times New Roman"/>
          <w:sz w:val="24"/>
          <w:szCs w:val="24"/>
        </w:rPr>
      </w:pPr>
      <w:r w:rsidRPr="007668DF">
        <w:rPr>
          <w:rFonts w:ascii="Times New Roman" w:eastAsia="Malgun Gothic" w:hAnsi="Times New Roman"/>
          <w:sz w:val="24"/>
          <w:szCs w:val="24"/>
        </w:rPr>
        <w:t>7</w:t>
      </w:r>
      <w:r w:rsidR="006A45E8">
        <w:rPr>
          <w:rFonts w:ascii="Times New Roman" w:eastAsia="Malgun Gothic" w:hAnsi="Times New Roman"/>
          <w:sz w:val="24"/>
          <w:szCs w:val="24"/>
        </w:rPr>
        <w:t>2</w:t>
      </w:r>
      <w:r w:rsidR="00135527" w:rsidRPr="007668DF">
        <w:rPr>
          <w:rFonts w:ascii="Times New Roman" w:eastAsia="Malgun Gothic" w:hAnsi="Times New Roman"/>
          <w:sz w:val="24"/>
          <w:szCs w:val="24"/>
        </w:rPr>
        <w:t>.</w:t>
      </w:r>
      <w:r w:rsidR="00135527" w:rsidRPr="007668DF">
        <w:rPr>
          <w:rFonts w:ascii="Times New Roman" w:eastAsia="Malgun Gothic" w:hAnsi="Times New Roman"/>
          <w:sz w:val="24"/>
          <w:szCs w:val="24"/>
        </w:rPr>
        <w:tab/>
      </w:r>
      <w:r w:rsidR="00BE2961" w:rsidRPr="007668DF">
        <w:rPr>
          <w:rFonts w:ascii="Times New Roman" w:eastAsia="Malgun Gothic" w:hAnsi="Times New Roman"/>
          <w:sz w:val="24"/>
          <w:szCs w:val="24"/>
        </w:rPr>
        <w:t>L</w:t>
      </w:r>
      <w:r w:rsidR="00135527" w:rsidRPr="007668DF">
        <w:rPr>
          <w:rFonts w:ascii="Times New Roman" w:eastAsia="Malgun Gothic" w:hAnsi="Times New Roman"/>
          <w:sz w:val="24"/>
          <w:szCs w:val="24"/>
        </w:rPr>
        <w:t>’assassinat d’un</w:t>
      </w:r>
      <w:r w:rsidR="002D153C" w:rsidRPr="007668DF">
        <w:rPr>
          <w:rFonts w:ascii="Times New Roman" w:eastAsia="Malgun Gothic" w:hAnsi="Times New Roman"/>
          <w:sz w:val="24"/>
          <w:szCs w:val="24"/>
        </w:rPr>
        <w:t xml:space="preserve"> chef</w:t>
      </w:r>
      <w:r w:rsidR="00135527" w:rsidRPr="007668DF">
        <w:rPr>
          <w:rFonts w:ascii="Times New Roman" w:eastAsia="Malgun Gothic" w:hAnsi="Times New Roman"/>
          <w:sz w:val="24"/>
          <w:szCs w:val="24"/>
        </w:rPr>
        <w:t xml:space="preserve"> </w:t>
      </w:r>
      <w:r w:rsidR="001B0CD2" w:rsidRPr="003B152B">
        <w:rPr>
          <w:rFonts w:ascii="Times New Roman" w:eastAsia="Malgun Gothic" w:hAnsi="Times New Roman"/>
          <w:i/>
          <w:sz w:val="24"/>
          <w:szCs w:val="24"/>
        </w:rPr>
        <w:t>T</w:t>
      </w:r>
      <w:r w:rsidR="00135527" w:rsidRPr="003B152B">
        <w:rPr>
          <w:rFonts w:ascii="Times New Roman" w:eastAsia="Malgun Gothic" w:hAnsi="Times New Roman"/>
          <w:i/>
          <w:sz w:val="24"/>
          <w:szCs w:val="24"/>
        </w:rPr>
        <w:t>ouareg</w:t>
      </w:r>
      <w:r w:rsidR="00135527" w:rsidRPr="007668DF">
        <w:rPr>
          <w:rFonts w:ascii="Times New Roman" w:eastAsia="Malgun Gothic" w:hAnsi="Times New Roman"/>
          <w:sz w:val="24"/>
          <w:szCs w:val="24"/>
        </w:rPr>
        <w:t xml:space="preserve"> à Intakabart</w:t>
      </w:r>
      <w:r w:rsidR="00BE2961" w:rsidRPr="007668DF">
        <w:rPr>
          <w:rFonts w:ascii="Times New Roman" w:eastAsia="Malgun Gothic" w:hAnsi="Times New Roman"/>
          <w:sz w:val="24"/>
          <w:szCs w:val="24"/>
        </w:rPr>
        <w:t>,</w:t>
      </w:r>
      <w:r w:rsidR="00135527" w:rsidRPr="007668DF">
        <w:rPr>
          <w:rFonts w:ascii="Times New Roman" w:eastAsia="Malgun Gothic" w:hAnsi="Times New Roman"/>
          <w:sz w:val="24"/>
          <w:szCs w:val="24"/>
        </w:rPr>
        <w:t xml:space="preserve"> le 18 novembre 2013</w:t>
      </w:r>
      <w:r w:rsidR="00BE2961" w:rsidRPr="007668DF">
        <w:rPr>
          <w:rFonts w:ascii="Times New Roman" w:eastAsia="Malgun Gothic" w:hAnsi="Times New Roman"/>
          <w:sz w:val="24"/>
          <w:szCs w:val="24"/>
        </w:rPr>
        <w:t>, semble avoir été </w:t>
      </w:r>
      <w:r w:rsidR="00135527" w:rsidRPr="007668DF">
        <w:rPr>
          <w:rFonts w:ascii="Times New Roman" w:eastAsia="Malgun Gothic" w:hAnsi="Times New Roman"/>
          <w:sz w:val="24"/>
          <w:szCs w:val="24"/>
        </w:rPr>
        <w:t xml:space="preserve">l’élément déclencheur des conflits intercommunautaires dans la région de Gao. Les </w:t>
      </w:r>
      <w:r w:rsidR="001C10C4" w:rsidRPr="007668DF">
        <w:rPr>
          <w:rFonts w:ascii="Times New Roman" w:eastAsia="Malgun Gothic" w:hAnsi="Times New Roman"/>
          <w:i/>
          <w:sz w:val="24"/>
          <w:szCs w:val="24"/>
        </w:rPr>
        <w:t>T</w:t>
      </w:r>
      <w:r w:rsidR="00135527" w:rsidRPr="007668DF">
        <w:rPr>
          <w:rFonts w:ascii="Times New Roman" w:eastAsia="Malgun Gothic" w:hAnsi="Times New Roman"/>
          <w:i/>
          <w:sz w:val="24"/>
          <w:szCs w:val="24"/>
        </w:rPr>
        <w:t>ouareg</w:t>
      </w:r>
      <w:r w:rsidR="006E2DB6" w:rsidRPr="007668DF">
        <w:rPr>
          <w:rFonts w:ascii="Times New Roman" w:eastAsia="Malgun Gothic" w:hAnsi="Times New Roman"/>
          <w:sz w:val="24"/>
          <w:szCs w:val="24"/>
        </w:rPr>
        <w:t>,</w:t>
      </w:r>
      <w:r w:rsidR="00135527" w:rsidRPr="007668DF">
        <w:rPr>
          <w:rFonts w:ascii="Times New Roman" w:eastAsia="Malgun Gothic" w:hAnsi="Times New Roman"/>
          <w:sz w:val="24"/>
          <w:szCs w:val="24"/>
        </w:rPr>
        <w:t xml:space="preserve"> considérant que cet assassinat était le fait de </w:t>
      </w:r>
      <w:r w:rsidR="001C10C4" w:rsidRPr="003B152B">
        <w:rPr>
          <w:rFonts w:ascii="Times New Roman" w:eastAsia="Malgun Gothic" w:hAnsi="Times New Roman"/>
          <w:i/>
          <w:sz w:val="24"/>
          <w:szCs w:val="24"/>
        </w:rPr>
        <w:t>P</w:t>
      </w:r>
      <w:r w:rsidR="00135527" w:rsidRPr="003B152B">
        <w:rPr>
          <w:rFonts w:ascii="Times New Roman" w:eastAsia="Malgun Gothic" w:hAnsi="Times New Roman"/>
          <w:i/>
          <w:sz w:val="24"/>
          <w:szCs w:val="24"/>
        </w:rPr>
        <w:t>eulh</w:t>
      </w:r>
      <w:r w:rsidR="002D153C" w:rsidRPr="003B152B">
        <w:rPr>
          <w:rFonts w:ascii="Times New Roman" w:eastAsia="Malgun Gothic" w:hAnsi="Times New Roman"/>
          <w:i/>
          <w:sz w:val="24"/>
          <w:szCs w:val="24"/>
        </w:rPr>
        <w:t>s</w:t>
      </w:r>
      <w:r w:rsidR="006E2DB6" w:rsidRPr="007668DF">
        <w:rPr>
          <w:rFonts w:ascii="Times New Roman" w:eastAsia="Malgun Gothic" w:hAnsi="Times New Roman"/>
          <w:sz w:val="24"/>
          <w:szCs w:val="24"/>
        </w:rPr>
        <w:t>,</w:t>
      </w:r>
      <w:r w:rsidR="00135527" w:rsidRPr="007668DF">
        <w:rPr>
          <w:rFonts w:ascii="Times New Roman" w:eastAsia="Malgun Gothic" w:hAnsi="Times New Roman"/>
          <w:sz w:val="24"/>
          <w:szCs w:val="24"/>
        </w:rPr>
        <w:t xml:space="preserve"> se sont organisés</w:t>
      </w:r>
      <w:r w:rsidR="00BE2961" w:rsidRPr="007668DF">
        <w:rPr>
          <w:rFonts w:ascii="Times New Roman" w:eastAsia="Malgun Gothic" w:hAnsi="Times New Roman"/>
          <w:sz w:val="24"/>
          <w:szCs w:val="24"/>
        </w:rPr>
        <w:t>, recherchant</w:t>
      </w:r>
      <w:r w:rsidR="00135527" w:rsidRPr="007668DF">
        <w:rPr>
          <w:rFonts w:ascii="Times New Roman" w:eastAsia="Malgun Gothic" w:hAnsi="Times New Roman"/>
          <w:sz w:val="24"/>
          <w:szCs w:val="24"/>
        </w:rPr>
        <w:t xml:space="preserve"> toute personne d’origine </w:t>
      </w:r>
      <w:r w:rsidR="002D153C" w:rsidRPr="003B152B">
        <w:rPr>
          <w:rFonts w:ascii="Times New Roman" w:eastAsia="Malgun Gothic" w:hAnsi="Times New Roman"/>
          <w:i/>
          <w:sz w:val="24"/>
          <w:szCs w:val="24"/>
        </w:rPr>
        <w:t>p</w:t>
      </w:r>
      <w:r w:rsidR="001C10C4" w:rsidRPr="003B152B">
        <w:rPr>
          <w:rFonts w:ascii="Times New Roman" w:eastAsia="Malgun Gothic" w:hAnsi="Times New Roman"/>
          <w:i/>
          <w:sz w:val="24"/>
          <w:szCs w:val="24"/>
        </w:rPr>
        <w:t>eulh</w:t>
      </w:r>
      <w:r w:rsidR="00135527" w:rsidRPr="007668DF">
        <w:rPr>
          <w:rFonts w:ascii="Times New Roman" w:eastAsia="Malgun Gothic" w:hAnsi="Times New Roman"/>
          <w:sz w:val="24"/>
          <w:szCs w:val="24"/>
        </w:rPr>
        <w:t xml:space="preserve"> dans les localités de Teringhit, Tin Hamma, </w:t>
      </w:r>
      <w:r w:rsidR="00135527" w:rsidRPr="007668DF">
        <w:rPr>
          <w:rFonts w:ascii="Times New Roman" w:eastAsia="Malgun Gothic" w:hAnsi="Times New Roman"/>
          <w:sz w:val="24"/>
          <w:szCs w:val="24"/>
        </w:rPr>
        <w:lastRenderedPageBreak/>
        <w:t xml:space="preserve">Indelimane </w:t>
      </w:r>
      <w:r w:rsidR="00BE2961" w:rsidRPr="007668DF">
        <w:rPr>
          <w:rFonts w:ascii="Times New Roman" w:eastAsia="Malgun Gothic" w:hAnsi="Times New Roman"/>
          <w:sz w:val="24"/>
          <w:szCs w:val="24"/>
        </w:rPr>
        <w:t>dans le but</w:t>
      </w:r>
      <w:r w:rsidR="00135527" w:rsidRPr="007668DF">
        <w:rPr>
          <w:rFonts w:ascii="Times New Roman" w:eastAsia="Malgun Gothic" w:hAnsi="Times New Roman"/>
          <w:sz w:val="24"/>
          <w:szCs w:val="24"/>
        </w:rPr>
        <w:t xml:space="preserve"> </w:t>
      </w:r>
      <w:r w:rsidR="00BE2961" w:rsidRPr="007668DF">
        <w:rPr>
          <w:rFonts w:ascii="Times New Roman" w:eastAsia="Malgun Gothic" w:hAnsi="Times New Roman"/>
          <w:sz w:val="24"/>
          <w:szCs w:val="24"/>
        </w:rPr>
        <w:t xml:space="preserve">de </w:t>
      </w:r>
      <w:r w:rsidR="00135527" w:rsidRPr="007668DF">
        <w:rPr>
          <w:rFonts w:ascii="Times New Roman" w:eastAsia="Malgun Gothic" w:hAnsi="Times New Roman"/>
          <w:sz w:val="24"/>
          <w:szCs w:val="24"/>
        </w:rPr>
        <w:t xml:space="preserve">se venger. Cette chasse à </w:t>
      </w:r>
      <w:r w:rsidR="001C1AEC" w:rsidRPr="007668DF">
        <w:rPr>
          <w:rFonts w:ascii="Times New Roman" w:eastAsia="Malgun Gothic" w:hAnsi="Times New Roman"/>
          <w:sz w:val="24"/>
          <w:szCs w:val="24"/>
        </w:rPr>
        <w:t>l’h</w:t>
      </w:r>
      <w:r w:rsidR="001C1AEC">
        <w:rPr>
          <w:rFonts w:ascii="Times New Roman" w:eastAsia="Malgun Gothic" w:hAnsi="Times New Roman"/>
          <w:sz w:val="24"/>
          <w:szCs w:val="24"/>
        </w:rPr>
        <w:t>omme</w:t>
      </w:r>
      <w:r w:rsidR="001C1AEC" w:rsidRPr="007668DF">
        <w:rPr>
          <w:rFonts w:ascii="Times New Roman" w:eastAsia="Malgun Gothic" w:hAnsi="Times New Roman"/>
          <w:sz w:val="24"/>
          <w:szCs w:val="24"/>
        </w:rPr>
        <w:t xml:space="preserve"> </w:t>
      </w:r>
      <w:r w:rsidR="00135527" w:rsidRPr="007668DF">
        <w:rPr>
          <w:rFonts w:ascii="Times New Roman" w:eastAsia="Malgun Gothic" w:hAnsi="Times New Roman"/>
          <w:sz w:val="24"/>
          <w:szCs w:val="24"/>
        </w:rPr>
        <w:t xml:space="preserve">aurait entrainé le massacre de 53 membres de la communauté </w:t>
      </w:r>
      <w:r w:rsidR="002D153C" w:rsidRPr="007B7EF2">
        <w:rPr>
          <w:rFonts w:ascii="Times New Roman" w:eastAsia="Malgun Gothic" w:hAnsi="Times New Roman"/>
          <w:i/>
          <w:sz w:val="24"/>
          <w:szCs w:val="24"/>
        </w:rPr>
        <w:t>p</w:t>
      </w:r>
      <w:r w:rsidR="00135527" w:rsidRPr="007B7EF2">
        <w:rPr>
          <w:rFonts w:ascii="Times New Roman" w:eastAsia="Malgun Gothic" w:hAnsi="Times New Roman"/>
          <w:i/>
          <w:sz w:val="24"/>
          <w:szCs w:val="24"/>
        </w:rPr>
        <w:t>eulh</w:t>
      </w:r>
      <w:r w:rsidR="00135527" w:rsidRPr="007668DF">
        <w:rPr>
          <w:rFonts w:ascii="Times New Roman" w:eastAsia="Malgun Gothic" w:hAnsi="Times New Roman"/>
          <w:sz w:val="24"/>
          <w:szCs w:val="24"/>
        </w:rPr>
        <w:t xml:space="preserve"> de nationalité nigéri</w:t>
      </w:r>
      <w:r w:rsidR="007B7EF2">
        <w:rPr>
          <w:rFonts w:ascii="Times New Roman" w:eastAsia="Malgun Gothic" w:hAnsi="Times New Roman"/>
          <w:sz w:val="24"/>
          <w:szCs w:val="24"/>
        </w:rPr>
        <w:t>e</w:t>
      </w:r>
      <w:r w:rsidR="00135527" w:rsidRPr="007668DF">
        <w:rPr>
          <w:rFonts w:ascii="Times New Roman" w:eastAsia="Malgun Gothic" w:hAnsi="Times New Roman"/>
          <w:sz w:val="24"/>
          <w:szCs w:val="24"/>
        </w:rPr>
        <w:t>n</w:t>
      </w:r>
      <w:r w:rsidR="001E766E">
        <w:rPr>
          <w:rFonts w:ascii="Times New Roman" w:eastAsia="Malgun Gothic" w:hAnsi="Times New Roman"/>
          <w:sz w:val="24"/>
          <w:szCs w:val="24"/>
        </w:rPr>
        <w:t>n</w:t>
      </w:r>
      <w:r w:rsidR="00135527" w:rsidRPr="007668DF">
        <w:rPr>
          <w:rFonts w:ascii="Times New Roman" w:eastAsia="Malgun Gothic" w:hAnsi="Times New Roman"/>
          <w:sz w:val="24"/>
          <w:szCs w:val="24"/>
        </w:rPr>
        <w:t>e</w:t>
      </w:r>
      <w:r w:rsidR="00BE2961" w:rsidRPr="007668DF">
        <w:rPr>
          <w:rFonts w:ascii="Times New Roman" w:eastAsia="Malgun Gothic" w:hAnsi="Times New Roman"/>
          <w:sz w:val="24"/>
          <w:szCs w:val="24"/>
        </w:rPr>
        <w:t xml:space="preserve"> </w:t>
      </w:r>
      <w:r w:rsidR="00135527" w:rsidRPr="007668DF">
        <w:rPr>
          <w:rFonts w:ascii="Times New Roman" w:eastAsia="Malgun Gothic" w:hAnsi="Times New Roman"/>
          <w:sz w:val="24"/>
          <w:szCs w:val="24"/>
        </w:rPr>
        <w:t xml:space="preserve">par </w:t>
      </w:r>
      <w:r w:rsidR="00BE2961" w:rsidRPr="007668DF">
        <w:rPr>
          <w:rFonts w:ascii="Times New Roman" w:eastAsia="Malgun Gothic" w:hAnsi="Times New Roman"/>
          <w:sz w:val="24"/>
          <w:szCs w:val="24"/>
        </w:rPr>
        <w:t>d</w:t>
      </w:r>
      <w:r w:rsidR="00135527" w:rsidRPr="007668DF">
        <w:rPr>
          <w:rFonts w:ascii="Times New Roman" w:eastAsia="Malgun Gothic" w:hAnsi="Times New Roman"/>
          <w:sz w:val="24"/>
          <w:szCs w:val="24"/>
        </w:rPr>
        <w:t>e</w:t>
      </w:r>
      <w:r w:rsidR="00802FC3" w:rsidRPr="007668DF">
        <w:rPr>
          <w:rFonts w:ascii="Times New Roman" w:eastAsia="Malgun Gothic" w:hAnsi="Times New Roman"/>
          <w:sz w:val="24"/>
          <w:szCs w:val="24"/>
        </w:rPr>
        <w:t>s</w:t>
      </w:r>
      <w:r w:rsidR="00135527" w:rsidRPr="007668DF">
        <w:rPr>
          <w:rFonts w:ascii="Times New Roman" w:eastAsia="Malgun Gothic" w:hAnsi="Times New Roman"/>
          <w:sz w:val="24"/>
          <w:szCs w:val="24"/>
        </w:rPr>
        <w:t xml:space="preserve"> </w:t>
      </w:r>
      <w:r w:rsidR="002D153C" w:rsidRPr="007B7EF2">
        <w:rPr>
          <w:rFonts w:ascii="Times New Roman" w:eastAsia="Malgun Gothic" w:hAnsi="Times New Roman"/>
          <w:i/>
          <w:sz w:val="24"/>
          <w:szCs w:val="24"/>
        </w:rPr>
        <w:t>Touaregs</w:t>
      </w:r>
      <w:r w:rsidR="00BE2961" w:rsidRPr="007668DF">
        <w:rPr>
          <w:rFonts w:ascii="Times New Roman" w:eastAsia="Malgun Gothic" w:hAnsi="Times New Roman"/>
          <w:sz w:val="24"/>
          <w:szCs w:val="24"/>
        </w:rPr>
        <w:t>,</w:t>
      </w:r>
      <w:r w:rsidR="002D153C" w:rsidRPr="007668DF">
        <w:rPr>
          <w:rFonts w:ascii="Times New Roman" w:eastAsia="Malgun Gothic" w:hAnsi="Times New Roman"/>
          <w:sz w:val="24"/>
          <w:szCs w:val="24"/>
        </w:rPr>
        <w:t xml:space="preserve"> </w:t>
      </w:r>
      <w:r w:rsidR="00135527" w:rsidRPr="007668DF">
        <w:rPr>
          <w:rFonts w:ascii="Times New Roman" w:eastAsia="Malgun Gothic" w:hAnsi="Times New Roman"/>
          <w:sz w:val="24"/>
          <w:szCs w:val="24"/>
        </w:rPr>
        <w:t xml:space="preserve">entre le 18 novembre et le 5 décembre 2013. </w:t>
      </w:r>
    </w:p>
    <w:p w:rsidR="00135527" w:rsidRPr="007668DF" w:rsidRDefault="00C50FEB" w:rsidP="006C2FA0">
      <w:pPr>
        <w:tabs>
          <w:tab w:val="left" w:pos="567"/>
        </w:tabs>
        <w:jc w:val="both"/>
        <w:rPr>
          <w:rFonts w:ascii="Times New Roman" w:eastAsia="Malgun Gothic" w:hAnsi="Times New Roman"/>
          <w:sz w:val="24"/>
          <w:szCs w:val="24"/>
        </w:rPr>
      </w:pPr>
      <w:r w:rsidRPr="007668DF">
        <w:rPr>
          <w:rFonts w:ascii="Times New Roman" w:eastAsia="Malgun Gothic" w:hAnsi="Times New Roman"/>
          <w:sz w:val="24"/>
          <w:szCs w:val="24"/>
        </w:rPr>
        <w:t>7</w:t>
      </w:r>
      <w:r w:rsidR="006A45E8">
        <w:rPr>
          <w:rFonts w:ascii="Times New Roman" w:eastAsia="Malgun Gothic" w:hAnsi="Times New Roman"/>
          <w:sz w:val="24"/>
          <w:szCs w:val="24"/>
        </w:rPr>
        <w:t>3</w:t>
      </w:r>
      <w:r w:rsidR="00135527" w:rsidRPr="007668DF">
        <w:rPr>
          <w:rFonts w:ascii="Times New Roman" w:eastAsia="Malgun Gothic" w:hAnsi="Times New Roman"/>
          <w:sz w:val="24"/>
          <w:szCs w:val="24"/>
        </w:rPr>
        <w:t>.</w:t>
      </w:r>
      <w:r w:rsidR="00135527" w:rsidRPr="007668DF">
        <w:rPr>
          <w:rFonts w:ascii="Times New Roman" w:eastAsia="Malgun Gothic" w:hAnsi="Times New Roman"/>
          <w:sz w:val="24"/>
          <w:szCs w:val="24"/>
        </w:rPr>
        <w:tab/>
        <w:t xml:space="preserve">La Division des droits de l’homme a enquêté sur les violences intercommunautaires du 5 décembre 2013 et a pu confirmer la mort de 23 </w:t>
      </w:r>
      <w:r w:rsidR="001C10C4" w:rsidRPr="003B152B">
        <w:rPr>
          <w:rFonts w:ascii="Times New Roman" w:eastAsia="Malgun Gothic" w:hAnsi="Times New Roman"/>
          <w:i/>
          <w:sz w:val="24"/>
          <w:szCs w:val="24"/>
        </w:rPr>
        <w:t>P</w:t>
      </w:r>
      <w:r w:rsidR="00135527" w:rsidRPr="003B152B">
        <w:rPr>
          <w:rFonts w:ascii="Times New Roman" w:eastAsia="Malgun Gothic" w:hAnsi="Times New Roman"/>
          <w:i/>
          <w:sz w:val="24"/>
          <w:szCs w:val="24"/>
        </w:rPr>
        <w:t>eulh</w:t>
      </w:r>
      <w:r w:rsidR="002D153C" w:rsidRPr="003B152B">
        <w:rPr>
          <w:rFonts w:ascii="Times New Roman" w:eastAsia="Malgun Gothic" w:hAnsi="Times New Roman"/>
          <w:i/>
          <w:sz w:val="24"/>
          <w:szCs w:val="24"/>
        </w:rPr>
        <w:t>s</w:t>
      </w:r>
      <w:r w:rsidR="00135527" w:rsidRPr="007668DF">
        <w:rPr>
          <w:rFonts w:ascii="Times New Roman" w:eastAsia="Malgun Gothic" w:hAnsi="Times New Roman"/>
          <w:sz w:val="24"/>
          <w:szCs w:val="24"/>
        </w:rPr>
        <w:t xml:space="preserve"> et le déplacement d’une centaine de </w:t>
      </w:r>
      <w:r w:rsidR="00A6409E" w:rsidRPr="007668DF">
        <w:rPr>
          <w:rFonts w:ascii="Times New Roman" w:eastAsia="Malgun Gothic" w:hAnsi="Times New Roman"/>
          <w:sz w:val="24"/>
          <w:szCs w:val="24"/>
        </w:rPr>
        <w:t xml:space="preserve">familles </w:t>
      </w:r>
      <w:r w:rsidR="002D153C" w:rsidRPr="003B152B">
        <w:rPr>
          <w:rFonts w:ascii="Times New Roman" w:eastAsia="Malgun Gothic" w:hAnsi="Times New Roman"/>
          <w:i/>
          <w:sz w:val="24"/>
          <w:szCs w:val="24"/>
        </w:rPr>
        <w:t>p</w:t>
      </w:r>
      <w:r w:rsidR="00135527" w:rsidRPr="003B152B">
        <w:rPr>
          <w:rFonts w:ascii="Times New Roman" w:eastAsia="Malgun Gothic" w:hAnsi="Times New Roman"/>
          <w:i/>
          <w:sz w:val="24"/>
          <w:szCs w:val="24"/>
        </w:rPr>
        <w:t>eulh</w:t>
      </w:r>
      <w:r w:rsidR="00135527" w:rsidRPr="007668DF">
        <w:rPr>
          <w:rFonts w:ascii="Times New Roman" w:eastAsia="Malgun Gothic" w:hAnsi="Times New Roman"/>
          <w:sz w:val="24"/>
          <w:szCs w:val="24"/>
        </w:rPr>
        <w:t xml:space="preserve"> à Sorori, commune de Fafa, dans le cercle d’Ansongo</w:t>
      </w:r>
      <w:r w:rsidR="00BE2961" w:rsidRPr="007668DF">
        <w:rPr>
          <w:rFonts w:ascii="Times New Roman" w:eastAsia="Malgun Gothic" w:hAnsi="Times New Roman"/>
          <w:sz w:val="24"/>
          <w:szCs w:val="24"/>
        </w:rPr>
        <w:t>,</w:t>
      </w:r>
      <w:r w:rsidR="00135527" w:rsidRPr="007668DF">
        <w:rPr>
          <w:rFonts w:ascii="Times New Roman" w:eastAsia="Malgun Gothic" w:hAnsi="Times New Roman"/>
          <w:sz w:val="24"/>
          <w:szCs w:val="24"/>
        </w:rPr>
        <w:t xml:space="preserve"> dans la région de Gao.</w:t>
      </w:r>
    </w:p>
    <w:p w:rsidR="00135527" w:rsidRPr="007668DF" w:rsidRDefault="00C50FEB" w:rsidP="006C2FA0">
      <w:pPr>
        <w:tabs>
          <w:tab w:val="left" w:pos="567"/>
        </w:tabs>
        <w:jc w:val="both"/>
        <w:rPr>
          <w:rFonts w:ascii="Times New Roman" w:eastAsia="Malgun Gothic" w:hAnsi="Times New Roman"/>
          <w:sz w:val="24"/>
          <w:szCs w:val="24"/>
        </w:rPr>
      </w:pPr>
      <w:r w:rsidRPr="007668DF">
        <w:rPr>
          <w:rFonts w:ascii="Times New Roman" w:eastAsia="Malgun Gothic" w:hAnsi="Times New Roman"/>
          <w:sz w:val="24"/>
          <w:szCs w:val="24"/>
        </w:rPr>
        <w:t>7</w:t>
      </w:r>
      <w:r w:rsidR="006A45E8">
        <w:rPr>
          <w:rFonts w:ascii="Times New Roman" w:eastAsia="Malgun Gothic" w:hAnsi="Times New Roman"/>
          <w:sz w:val="24"/>
          <w:szCs w:val="24"/>
        </w:rPr>
        <w:t>4</w:t>
      </w:r>
      <w:r w:rsidR="00135527" w:rsidRPr="007668DF">
        <w:rPr>
          <w:rFonts w:ascii="Times New Roman" w:eastAsia="Malgun Gothic" w:hAnsi="Times New Roman"/>
          <w:sz w:val="24"/>
          <w:szCs w:val="24"/>
        </w:rPr>
        <w:t>.</w:t>
      </w:r>
      <w:r w:rsidR="00135527" w:rsidRPr="007668DF">
        <w:rPr>
          <w:rFonts w:ascii="Times New Roman" w:eastAsia="Malgun Gothic" w:hAnsi="Times New Roman"/>
          <w:sz w:val="24"/>
          <w:szCs w:val="24"/>
        </w:rPr>
        <w:tab/>
        <w:t xml:space="preserve">Le 6 février 2014, une attaque </w:t>
      </w:r>
      <w:r w:rsidR="00BE2961" w:rsidRPr="007668DF">
        <w:rPr>
          <w:rFonts w:ascii="Times New Roman" w:eastAsia="Malgun Gothic" w:hAnsi="Times New Roman"/>
          <w:sz w:val="24"/>
          <w:szCs w:val="24"/>
        </w:rPr>
        <w:t xml:space="preserve">imputée à des </w:t>
      </w:r>
      <w:r w:rsidR="00BE2961" w:rsidRPr="003B152B">
        <w:rPr>
          <w:rFonts w:ascii="Times New Roman" w:eastAsia="Malgun Gothic" w:hAnsi="Times New Roman"/>
          <w:i/>
          <w:sz w:val="24"/>
          <w:szCs w:val="24"/>
        </w:rPr>
        <w:t>Peulhs</w:t>
      </w:r>
      <w:r w:rsidR="00BE2961" w:rsidRPr="007668DF">
        <w:rPr>
          <w:rFonts w:ascii="Times New Roman" w:eastAsia="Malgun Gothic" w:hAnsi="Times New Roman"/>
          <w:sz w:val="24"/>
          <w:szCs w:val="24"/>
        </w:rPr>
        <w:t xml:space="preserve"> </w:t>
      </w:r>
      <w:r w:rsidR="00135527" w:rsidRPr="007668DF">
        <w:rPr>
          <w:rFonts w:ascii="Times New Roman" w:eastAsia="Malgun Gothic" w:hAnsi="Times New Roman"/>
          <w:sz w:val="24"/>
          <w:szCs w:val="24"/>
        </w:rPr>
        <w:t xml:space="preserve">contre un convoi de véhicules </w:t>
      </w:r>
      <w:r w:rsidR="002D153C" w:rsidRPr="007668DF">
        <w:rPr>
          <w:rFonts w:ascii="Times New Roman" w:eastAsia="Malgun Gothic" w:hAnsi="Times New Roman"/>
          <w:sz w:val="24"/>
          <w:szCs w:val="24"/>
        </w:rPr>
        <w:t xml:space="preserve">appartenant à des </w:t>
      </w:r>
      <w:r w:rsidR="002D153C" w:rsidRPr="003B152B">
        <w:rPr>
          <w:rFonts w:ascii="Times New Roman" w:eastAsia="Malgun Gothic" w:hAnsi="Times New Roman"/>
          <w:i/>
          <w:sz w:val="24"/>
          <w:szCs w:val="24"/>
        </w:rPr>
        <w:t>T</w:t>
      </w:r>
      <w:r w:rsidR="00135527" w:rsidRPr="003B152B">
        <w:rPr>
          <w:rFonts w:ascii="Times New Roman" w:eastAsia="Malgun Gothic" w:hAnsi="Times New Roman"/>
          <w:i/>
          <w:sz w:val="24"/>
          <w:szCs w:val="24"/>
        </w:rPr>
        <w:t>ouareg</w:t>
      </w:r>
      <w:r w:rsidR="002D153C" w:rsidRPr="003B152B">
        <w:rPr>
          <w:rFonts w:ascii="Times New Roman" w:eastAsia="Malgun Gothic" w:hAnsi="Times New Roman"/>
          <w:i/>
          <w:sz w:val="24"/>
          <w:szCs w:val="24"/>
        </w:rPr>
        <w:t>s</w:t>
      </w:r>
      <w:r w:rsidR="00BE2961" w:rsidRPr="007668DF">
        <w:rPr>
          <w:rFonts w:ascii="Times New Roman" w:eastAsia="Malgun Gothic" w:hAnsi="Times New Roman"/>
          <w:sz w:val="24"/>
          <w:szCs w:val="24"/>
        </w:rPr>
        <w:t>,</w:t>
      </w:r>
      <w:r w:rsidR="00135527" w:rsidRPr="007668DF">
        <w:rPr>
          <w:rFonts w:ascii="Times New Roman" w:eastAsia="Malgun Gothic" w:hAnsi="Times New Roman"/>
          <w:sz w:val="24"/>
          <w:szCs w:val="24"/>
        </w:rPr>
        <w:t xml:space="preserve"> a eu lieu à Tamkoutat, commune de Djebock</w:t>
      </w:r>
      <w:r w:rsidR="00BE2961" w:rsidRPr="007668DF">
        <w:rPr>
          <w:rFonts w:ascii="Times New Roman" w:eastAsia="Malgun Gothic" w:hAnsi="Times New Roman"/>
          <w:sz w:val="24"/>
          <w:szCs w:val="24"/>
        </w:rPr>
        <w:t xml:space="preserve">, faisant </w:t>
      </w:r>
      <w:r w:rsidR="00135527" w:rsidRPr="007668DF">
        <w:rPr>
          <w:rFonts w:ascii="Times New Roman" w:eastAsia="Malgun Gothic" w:hAnsi="Times New Roman"/>
          <w:sz w:val="24"/>
          <w:szCs w:val="24"/>
        </w:rPr>
        <w:t xml:space="preserve">25 morts, tous </w:t>
      </w:r>
      <w:r w:rsidR="00677E4D" w:rsidRPr="007668DF">
        <w:rPr>
          <w:rFonts w:ascii="Times New Roman" w:eastAsia="Malgun Gothic" w:hAnsi="Times New Roman"/>
          <w:sz w:val="24"/>
          <w:szCs w:val="24"/>
        </w:rPr>
        <w:t>T</w:t>
      </w:r>
      <w:r w:rsidR="00135527" w:rsidRPr="007668DF">
        <w:rPr>
          <w:rFonts w:ascii="Times New Roman" w:eastAsia="Malgun Gothic" w:hAnsi="Times New Roman"/>
          <w:sz w:val="24"/>
          <w:szCs w:val="24"/>
        </w:rPr>
        <w:t>ouareg</w:t>
      </w:r>
      <w:r w:rsidR="002D153C" w:rsidRPr="007668DF">
        <w:rPr>
          <w:rFonts w:ascii="Times New Roman" w:eastAsia="Malgun Gothic" w:hAnsi="Times New Roman"/>
          <w:sz w:val="24"/>
          <w:szCs w:val="24"/>
        </w:rPr>
        <w:t>s</w:t>
      </w:r>
      <w:r w:rsidR="00135527" w:rsidRPr="007668DF">
        <w:rPr>
          <w:rFonts w:ascii="Times New Roman" w:eastAsia="Malgun Gothic" w:hAnsi="Times New Roman"/>
          <w:sz w:val="24"/>
          <w:szCs w:val="24"/>
        </w:rPr>
        <w:t xml:space="preserve">. </w:t>
      </w:r>
      <w:r w:rsidR="00BE2961" w:rsidRPr="007668DF">
        <w:rPr>
          <w:rFonts w:ascii="Times New Roman" w:eastAsia="Malgun Gothic" w:hAnsi="Times New Roman"/>
          <w:sz w:val="24"/>
          <w:szCs w:val="24"/>
        </w:rPr>
        <w:t xml:space="preserve">Cette attaque </w:t>
      </w:r>
      <w:r w:rsidR="00135527" w:rsidRPr="007668DF">
        <w:rPr>
          <w:rFonts w:ascii="Times New Roman" w:eastAsia="Malgun Gothic" w:hAnsi="Times New Roman"/>
          <w:sz w:val="24"/>
          <w:szCs w:val="24"/>
        </w:rPr>
        <w:t>a été suivi d’une contre-attaque de</w:t>
      </w:r>
      <w:r w:rsidR="00BE2961" w:rsidRPr="007668DF">
        <w:rPr>
          <w:rFonts w:ascii="Times New Roman" w:hAnsi="Times New Roman"/>
          <w:sz w:val="24"/>
          <w:szCs w:val="24"/>
        </w:rPr>
        <w:t xml:space="preserve"> </w:t>
      </w:r>
      <w:r w:rsidR="00677E4D" w:rsidRPr="003B152B">
        <w:rPr>
          <w:rFonts w:ascii="Times New Roman" w:eastAsia="Malgun Gothic" w:hAnsi="Times New Roman"/>
          <w:i/>
          <w:sz w:val="24"/>
          <w:szCs w:val="24"/>
        </w:rPr>
        <w:t>Touareg</w:t>
      </w:r>
      <w:r w:rsidR="002D153C" w:rsidRPr="003B152B">
        <w:rPr>
          <w:rFonts w:ascii="Times New Roman" w:eastAsia="Malgun Gothic" w:hAnsi="Times New Roman"/>
          <w:i/>
          <w:sz w:val="24"/>
          <w:szCs w:val="24"/>
        </w:rPr>
        <w:t>s</w:t>
      </w:r>
      <w:r w:rsidR="00135527" w:rsidRPr="007668DF">
        <w:rPr>
          <w:rFonts w:ascii="Times New Roman" w:eastAsia="Malgun Gothic" w:hAnsi="Times New Roman"/>
          <w:sz w:val="24"/>
          <w:szCs w:val="24"/>
        </w:rPr>
        <w:t xml:space="preserve"> contre </w:t>
      </w:r>
      <w:r w:rsidR="00BE2961" w:rsidRPr="007668DF">
        <w:rPr>
          <w:rFonts w:ascii="Times New Roman" w:eastAsia="Malgun Gothic" w:hAnsi="Times New Roman"/>
          <w:sz w:val="24"/>
          <w:szCs w:val="24"/>
        </w:rPr>
        <w:t>d</w:t>
      </w:r>
      <w:r w:rsidR="00135527" w:rsidRPr="007668DF">
        <w:rPr>
          <w:rFonts w:ascii="Times New Roman" w:eastAsia="Malgun Gothic" w:hAnsi="Times New Roman"/>
          <w:sz w:val="24"/>
          <w:szCs w:val="24"/>
        </w:rPr>
        <w:t>e</w:t>
      </w:r>
      <w:r w:rsidR="002D153C" w:rsidRPr="007668DF">
        <w:rPr>
          <w:rFonts w:ascii="Times New Roman" w:eastAsia="Malgun Gothic" w:hAnsi="Times New Roman"/>
          <w:sz w:val="24"/>
          <w:szCs w:val="24"/>
        </w:rPr>
        <w:t>s</w:t>
      </w:r>
      <w:r w:rsidR="00135527" w:rsidRPr="007668DF">
        <w:rPr>
          <w:rFonts w:ascii="Times New Roman" w:eastAsia="Malgun Gothic" w:hAnsi="Times New Roman"/>
          <w:sz w:val="24"/>
          <w:szCs w:val="24"/>
        </w:rPr>
        <w:t xml:space="preserve"> </w:t>
      </w:r>
      <w:r w:rsidR="00677E4D" w:rsidRPr="003B152B">
        <w:rPr>
          <w:rFonts w:ascii="Times New Roman" w:eastAsia="Malgun Gothic" w:hAnsi="Times New Roman"/>
          <w:i/>
          <w:sz w:val="24"/>
          <w:szCs w:val="24"/>
        </w:rPr>
        <w:t>P</w:t>
      </w:r>
      <w:r w:rsidR="00135527" w:rsidRPr="003B152B">
        <w:rPr>
          <w:rFonts w:ascii="Times New Roman" w:eastAsia="Malgun Gothic" w:hAnsi="Times New Roman"/>
          <w:i/>
          <w:sz w:val="24"/>
          <w:szCs w:val="24"/>
        </w:rPr>
        <w:t>eulh</w:t>
      </w:r>
      <w:r w:rsidR="002D153C" w:rsidRPr="003B152B">
        <w:rPr>
          <w:rFonts w:ascii="Times New Roman" w:eastAsia="Malgun Gothic" w:hAnsi="Times New Roman"/>
          <w:i/>
          <w:sz w:val="24"/>
          <w:szCs w:val="24"/>
        </w:rPr>
        <w:t>s</w:t>
      </w:r>
      <w:r w:rsidR="00135527" w:rsidRPr="007668DF">
        <w:rPr>
          <w:rFonts w:ascii="Times New Roman" w:eastAsia="Malgun Gothic" w:hAnsi="Times New Roman"/>
          <w:i/>
          <w:sz w:val="24"/>
          <w:szCs w:val="24"/>
        </w:rPr>
        <w:t xml:space="preserve"> </w:t>
      </w:r>
      <w:r w:rsidR="00135527" w:rsidRPr="007668DF">
        <w:rPr>
          <w:rFonts w:ascii="Times New Roman" w:eastAsia="Malgun Gothic" w:hAnsi="Times New Roman"/>
          <w:sz w:val="24"/>
          <w:szCs w:val="24"/>
        </w:rPr>
        <w:t>de la localité de Tamkoutat jusqu’à Akabar</w:t>
      </w:r>
      <w:r w:rsidR="00BE2961" w:rsidRPr="007668DF">
        <w:rPr>
          <w:rFonts w:ascii="Times New Roman" w:eastAsia="Malgun Gothic" w:hAnsi="Times New Roman"/>
          <w:sz w:val="24"/>
          <w:szCs w:val="24"/>
        </w:rPr>
        <w:t>,</w:t>
      </w:r>
      <w:r w:rsidR="00135527" w:rsidRPr="007668DF">
        <w:rPr>
          <w:rFonts w:ascii="Times New Roman" w:eastAsia="Malgun Gothic" w:hAnsi="Times New Roman"/>
          <w:sz w:val="24"/>
          <w:szCs w:val="24"/>
        </w:rPr>
        <w:t xml:space="preserve"> à la frontière avec le Niger. Ces affrontements</w:t>
      </w:r>
      <w:r w:rsidR="00BE2961" w:rsidRPr="007668DF">
        <w:rPr>
          <w:rFonts w:ascii="Times New Roman" w:eastAsia="Malgun Gothic" w:hAnsi="Times New Roman"/>
          <w:sz w:val="24"/>
          <w:szCs w:val="24"/>
        </w:rPr>
        <w:t>,</w:t>
      </w:r>
      <w:r w:rsidR="00135527" w:rsidRPr="007668DF">
        <w:rPr>
          <w:rFonts w:ascii="Times New Roman" w:eastAsia="Malgun Gothic" w:hAnsi="Times New Roman"/>
          <w:sz w:val="24"/>
          <w:szCs w:val="24"/>
        </w:rPr>
        <w:t xml:space="preserve"> qui se sont déroulés entre le</w:t>
      </w:r>
      <w:r w:rsidR="00BE2961" w:rsidRPr="007668DF">
        <w:rPr>
          <w:rFonts w:ascii="Times New Roman" w:eastAsia="Malgun Gothic" w:hAnsi="Times New Roman"/>
          <w:sz w:val="24"/>
          <w:szCs w:val="24"/>
        </w:rPr>
        <w:t>s</w:t>
      </w:r>
      <w:r w:rsidR="00135527" w:rsidRPr="007668DF">
        <w:rPr>
          <w:rFonts w:ascii="Times New Roman" w:eastAsia="Malgun Gothic" w:hAnsi="Times New Roman"/>
          <w:sz w:val="24"/>
          <w:szCs w:val="24"/>
        </w:rPr>
        <w:t xml:space="preserve"> 7 et 11 février 2014</w:t>
      </w:r>
      <w:r w:rsidR="00BE2961" w:rsidRPr="007668DF">
        <w:rPr>
          <w:rFonts w:ascii="Times New Roman" w:eastAsia="Malgun Gothic" w:hAnsi="Times New Roman"/>
          <w:sz w:val="24"/>
          <w:szCs w:val="24"/>
        </w:rPr>
        <w:t>,</w:t>
      </w:r>
      <w:r w:rsidR="00135527" w:rsidRPr="007668DF">
        <w:rPr>
          <w:rFonts w:ascii="Times New Roman" w:eastAsia="Malgun Gothic" w:hAnsi="Times New Roman"/>
          <w:sz w:val="24"/>
          <w:szCs w:val="24"/>
        </w:rPr>
        <w:t xml:space="preserve"> ont fait 21 morts</w:t>
      </w:r>
      <w:r w:rsidR="00BE2961" w:rsidRPr="007668DF">
        <w:rPr>
          <w:rFonts w:ascii="Times New Roman" w:eastAsia="Malgun Gothic" w:hAnsi="Times New Roman"/>
          <w:sz w:val="24"/>
          <w:szCs w:val="24"/>
        </w:rPr>
        <w:t>,</w:t>
      </w:r>
      <w:r w:rsidR="00135527" w:rsidRPr="007668DF">
        <w:rPr>
          <w:rFonts w:ascii="Times New Roman" w:eastAsia="Malgun Gothic" w:hAnsi="Times New Roman"/>
          <w:sz w:val="24"/>
          <w:szCs w:val="24"/>
        </w:rPr>
        <w:t xml:space="preserve"> dont 17 </w:t>
      </w:r>
      <w:r w:rsidR="00135527" w:rsidRPr="003B152B">
        <w:rPr>
          <w:rFonts w:ascii="Times New Roman" w:eastAsia="Malgun Gothic" w:hAnsi="Times New Roman"/>
          <w:i/>
          <w:sz w:val="24"/>
          <w:szCs w:val="24"/>
        </w:rPr>
        <w:t>Touareg</w:t>
      </w:r>
      <w:r w:rsidR="002D153C" w:rsidRPr="003B152B">
        <w:rPr>
          <w:rFonts w:ascii="Times New Roman" w:eastAsia="Malgun Gothic" w:hAnsi="Times New Roman"/>
          <w:i/>
          <w:sz w:val="24"/>
          <w:szCs w:val="24"/>
        </w:rPr>
        <w:t>s</w:t>
      </w:r>
      <w:r w:rsidR="00BE2961" w:rsidRPr="007668DF">
        <w:rPr>
          <w:rFonts w:ascii="Times New Roman" w:eastAsia="Malgun Gothic" w:hAnsi="Times New Roman"/>
          <w:sz w:val="24"/>
          <w:szCs w:val="24"/>
        </w:rPr>
        <w:t xml:space="preserve"> et </w:t>
      </w:r>
      <w:r w:rsidR="007B7EF2">
        <w:rPr>
          <w:rFonts w:ascii="Times New Roman" w:eastAsia="Malgun Gothic" w:hAnsi="Times New Roman"/>
          <w:sz w:val="24"/>
          <w:szCs w:val="24"/>
        </w:rPr>
        <w:t>4</w:t>
      </w:r>
      <w:r w:rsidR="007B7EF2" w:rsidRPr="007668DF">
        <w:rPr>
          <w:rFonts w:ascii="Times New Roman" w:eastAsia="Malgun Gothic" w:hAnsi="Times New Roman"/>
          <w:sz w:val="24"/>
          <w:szCs w:val="24"/>
        </w:rPr>
        <w:t xml:space="preserve"> </w:t>
      </w:r>
      <w:r w:rsidR="00BE2961" w:rsidRPr="003B152B">
        <w:rPr>
          <w:rFonts w:ascii="Times New Roman" w:eastAsia="Malgun Gothic" w:hAnsi="Times New Roman"/>
          <w:i/>
          <w:sz w:val="24"/>
          <w:szCs w:val="24"/>
        </w:rPr>
        <w:t>Peulh</w:t>
      </w:r>
      <w:r w:rsidR="001B0CD2" w:rsidRPr="003B152B">
        <w:rPr>
          <w:rFonts w:ascii="Times New Roman" w:eastAsia="Malgun Gothic" w:hAnsi="Times New Roman"/>
          <w:i/>
          <w:sz w:val="24"/>
          <w:szCs w:val="24"/>
        </w:rPr>
        <w:t>s</w:t>
      </w:r>
      <w:r w:rsidR="00135527" w:rsidRPr="007668DF">
        <w:rPr>
          <w:rFonts w:ascii="Times New Roman" w:eastAsia="Malgun Gothic" w:hAnsi="Times New Roman"/>
          <w:sz w:val="24"/>
          <w:szCs w:val="24"/>
        </w:rPr>
        <w:t xml:space="preserve">.  </w:t>
      </w:r>
      <w:r w:rsidR="00BE2961" w:rsidRPr="007668DF">
        <w:rPr>
          <w:rFonts w:ascii="Times New Roman" w:eastAsia="Malgun Gothic" w:hAnsi="Times New Roman"/>
          <w:sz w:val="24"/>
          <w:szCs w:val="24"/>
        </w:rPr>
        <w:t xml:space="preserve">La Division </w:t>
      </w:r>
      <w:r w:rsidR="00135527" w:rsidRPr="007668DF">
        <w:rPr>
          <w:rFonts w:ascii="Times New Roman" w:eastAsia="Malgun Gothic" w:hAnsi="Times New Roman"/>
          <w:sz w:val="24"/>
          <w:szCs w:val="24"/>
        </w:rPr>
        <w:t xml:space="preserve">des droits de l’homme </w:t>
      </w:r>
      <w:r w:rsidR="00BE2961" w:rsidRPr="007668DF">
        <w:rPr>
          <w:rFonts w:ascii="Times New Roman" w:eastAsia="Malgun Gothic" w:hAnsi="Times New Roman"/>
          <w:sz w:val="24"/>
          <w:szCs w:val="24"/>
        </w:rPr>
        <w:t>a</w:t>
      </w:r>
      <w:r w:rsidR="00135527" w:rsidRPr="007668DF">
        <w:rPr>
          <w:rFonts w:ascii="Times New Roman" w:eastAsia="Malgun Gothic" w:hAnsi="Times New Roman"/>
          <w:sz w:val="24"/>
          <w:szCs w:val="24"/>
        </w:rPr>
        <w:t xml:space="preserve"> recueilli des informations concordantes selon lesquelles</w:t>
      </w:r>
      <w:r w:rsidR="00BE2961" w:rsidRPr="007668DF">
        <w:rPr>
          <w:rFonts w:ascii="Times New Roman" w:eastAsia="Malgun Gothic" w:hAnsi="Times New Roman"/>
          <w:sz w:val="24"/>
          <w:szCs w:val="24"/>
        </w:rPr>
        <w:t>,</w:t>
      </w:r>
      <w:r w:rsidR="00135527" w:rsidRPr="007668DF">
        <w:rPr>
          <w:rFonts w:ascii="Times New Roman" w:eastAsia="Malgun Gothic" w:hAnsi="Times New Roman"/>
          <w:sz w:val="24"/>
          <w:szCs w:val="24"/>
        </w:rPr>
        <w:t xml:space="preserve"> parmi les 17 individus </w:t>
      </w:r>
      <w:r w:rsidR="001B0CD2" w:rsidRPr="003B152B">
        <w:rPr>
          <w:rFonts w:ascii="Times New Roman" w:eastAsia="Malgun Gothic" w:hAnsi="Times New Roman"/>
          <w:i/>
          <w:sz w:val="24"/>
          <w:szCs w:val="24"/>
        </w:rPr>
        <w:t>T</w:t>
      </w:r>
      <w:r w:rsidR="00135527" w:rsidRPr="003B152B">
        <w:rPr>
          <w:rFonts w:ascii="Times New Roman" w:eastAsia="Malgun Gothic" w:hAnsi="Times New Roman"/>
          <w:i/>
          <w:sz w:val="24"/>
          <w:szCs w:val="24"/>
        </w:rPr>
        <w:t>ouareg</w:t>
      </w:r>
      <w:r w:rsidR="002D153C" w:rsidRPr="003B152B">
        <w:rPr>
          <w:rFonts w:ascii="Times New Roman" w:eastAsia="Malgun Gothic" w:hAnsi="Times New Roman"/>
          <w:i/>
          <w:sz w:val="24"/>
          <w:szCs w:val="24"/>
        </w:rPr>
        <w:t>s</w:t>
      </w:r>
      <w:r w:rsidR="00135527" w:rsidRPr="007668DF">
        <w:rPr>
          <w:rFonts w:ascii="Times New Roman" w:eastAsia="Malgun Gothic" w:hAnsi="Times New Roman"/>
          <w:sz w:val="24"/>
          <w:szCs w:val="24"/>
        </w:rPr>
        <w:t xml:space="preserve"> tués à Akabar, certains étaient vêtus d’uniformes des </w:t>
      </w:r>
      <w:r w:rsidR="00A0607E" w:rsidRPr="007668DF">
        <w:rPr>
          <w:rFonts w:ascii="Times New Roman" w:eastAsia="Malgun Gothic" w:hAnsi="Times New Roman"/>
          <w:sz w:val="24"/>
          <w:szCs w:val="24"/>
        </w:rPr>
        <w:t>FAM</w:t>
      </w:r>
      <w:r w:rsidR="009921EA" w:rsidRPr="007668DF">
        <w:rPr>
          <w:rFonts w:ascii="Times New Roman" w:eastAsia="Malgun Gothic" w:hAnsi="Times New Roman"/>
          <w:sz w:val="24"/>
          <w:szCs w:val="24"/>
        </w:rPr>
        <w:t>a</w:t>
      </w:r>
      <w:r w:rsidR="00135527" w:rsidRPr="007668DF">
        <w:rPr>
          <w:rFonts w:ascii="Times New Roman" w:eastAsia="Malgun Gothic" w:hAnsi="Times New Roman"/>
          <w:sz w:val="24"/>
          <w:szCs w:val="24"/>
        </w:rPr>
        <w:t>, ce qui suppose</w:t>
      </w:r>
      <w:r w:rsidR="00BE2961" w:rsidRPr="007668DF">
        <w:rPr>
          <w:rFonts w:ascii="Times New Roman" w:eastAsia="Malgun Gothic" w:hAnsi="Times New Roman"/>
          <w:sz w:val="24"/>
          <w:szCs w:val="24"/>
        </w:rPr>
        <w:t>rait</w:t>
      </w:r>
      <w:r w:rsidR="00135527" w:rsidRPr="007668DF">
        <w:rPr>
          <w:rFonts w:ascii="Times New Roman" w:eastAsia="Malgun Gothic" w:hAnsi="Times New Roman"/>
          <w:sz w:val="24"/>
          <w:szCs w:val="24"/>
        </w:rPr>
        <w:t xml:space="preserve"> une implication directe de FAM</w:t>
      </w:r>
      <w:r w:rsidR="009921EA" w:rsidRPr="007668DF">
        <w:rPr>
          <w:rFonts w:ascii="Times New Roman" w:eastAsia="Malgun Gothic" w:hAnsi="Times New Roman"/>
          <w:sz w:val="24"/>
          <w:szCs w:val="24"/>
        </w:rPr>
        <w:t>a</w:t>
      </w:r>
      <w:r w:rsidR="00135527" w:rsidRPr="007668DF">
        <w:rPr>
          <w:rFonts w:ascii="Times New Roman" w:eastAsia="Malgun Gothic" w:hAnsi="Times New Roman"/>
          <w:sz w:val="24"/>
          <w:szCs w:val="24"/>
        </w:rPr>
        <w:t xml:space="preserve"> d’origine </w:t>
      </w:r>
      <w:r w:rsidR="001B0CD2" w:rsidRPr="003B152B">
        <w:rPr>
          <w:rFonts w:ascii="Times New Roman" w:eastAsia="Malgun Gothic" w:hAnsi="Times New Roman"/>
          <w:i/>
          <w:sz w:val="24"/>
          <w:szCs w:val="24"/>
        </w:rPr>
        <w:t>T</w:t>
      </w:r>
      <w:r w:rsidR="00135527" w:rsidRPr="003B152B">
        <w:rPr>
          <w:rFonts w:ascii="Times New Roman" w:eastAsia="Malgun Gothic" w:hAnsi="Times New Roman"/>
          <w:i/>
          <w:sz w:val="24"/>
          <w:szCs w:val="24"/>
        </w:rPr>
        <w:t>ouareg</w:t>
      </w:r>
      <w:r w:rsidR="00135527" w:rsidRPr="007668DF">
        <w:rPr>
          <w:rFonts w:ascii="Times New Roman" w:eastAsia="Malgun Gothic" w:hAnsi="Times New Roman"/>
          <w:i/>
          <w:sz w:val="24"/>
          <w:szCs w:val="24"/>
        </w:rPr>
        <w:t xml:space="preserve"> </w:t>
      </w:r>
      <w:r w:rsidR="00135527" w:rsidRPr="007668DF">
        <w:rPr>
          <w:rFonts w:ascii="Times New Roman" w:eastAsia="Malgun Gothic" w:hAnsi="Times New Roman"/>
          <w:sz w:val="24"/>
          <w:szCs w:val="24"/>
        </w:rPr>
        <w:t>dans ce cas précis de conflit intercommunautaire.</w:t>
      </w:r>
    </w:p>
    <w:p w:rsidR="00135527" w:rsidRPr="007668DF" w:rsidRDefault="00C50FEB" w:rsidP="007C331C">
      <w:pPr>
        <w:tabs>
          <w:tab w:val="left" w:pos="567"/>
        </w:tabs>
        <w:jc w:val="both"/>
        <w:rPr>
          <w:rFonts w:ascii="Times New Roman" w:eastAsia="Malgun Gothic" w:hAnsi="Times New Roman"/>
          <w:sz w:val="24"/>
          <w:szCs w:val="24"/>
        </w:rPr>
      </w:pPr>
      <w:r w:rsidRPr="007668DF">
        <w:rPr>
          <w:rFonts w:ascii="Times New Roman" w:eastAsia="Malgun Gothic" w:hAnsi="Times New Roman"/>
          <w:sz w:val="24"/>
          <w:szCs w:val="24"/>
        </w:rPr>
        <w:t>7</w:t>
      </w:r>
      <w:r w:rsidR="006A45E8">
        <w:rPr>
          <w:rFonts w:ascii="Times New Roman" w:eastAsia="Malgun Gothic" w:hAnsi="Times New Roman"/>
          <w:sz w:val="24"/>
          <w:szCs w:val="24"/>
        </w:rPr>
        <w:t>5</w:t>
      </w:r>
      <w:r w:rsidR="00135527" w:rsidRPr="007668DF">
        <w:rPr>
          <w:rFonts w:ascii="Times New Roman" w:eastAsia="Malgun Gothic" w:hAnsi="Times New Roman"/>
          <w:sz w:val="24"/>
          <w:szCs w:val="24"/>
        </w:rPr>
        <w:t>.</w:t>
      </w:r>
      <w:r w:rsidR="00135527" w:rsidRPr="007668DF">
        <w:rPr>
          <w:rFonts w:ascii="Times New Roman" w:eastAsia="Malgun Gothic" w:hAnsi="Times New Roman"/>
          <w:sz w:val="24"/>
          <w:szCs w:val="24"/>
        </w:rPr>
        <w:tab/>
        <w:t xml:space="preserve">Dans la région de Kidal, les terminologies </w:t>
      </w:r>
      <w:r w:rsidR="006E2DB6" w:rsidRPr="007668DF">
        <w:rPr>
          <w:rFonts w:ascii="Times New Roman" w:eastAsia="Malgun Gothic" w:hAnsi="Times New Roman"/>
          <w:sz w:val="24"/>
          <w:szCs w:val="24"/>
        </w:rPr>
        <w:t>« </w:t>
      </w:r>
      <w:r w:rsidR="00135527" w:rsidRPr="007668DF">
        <w:rPr>
          <w:rFonts w:ascii="Times New Roman" w:eastAsia="Malgun Gothic" w:hAnsi="Times New Roman"/>
          <w:sz w:val="24"/>
          <w:szCs w:val="24"/>
        </w:rPr>
        <w:t>Pro</w:t>
      </w:r>
      <w:r w:rsidR="002D153C" w:rsidRPr="007668DF">
        <w:rPr>
          <w:rFonts w:ascii="Times New Roman" w:eastAsia="Malgun Gothic" w:hAnsi="Times New Roman"/>
          <w:sz w:val="24"/>
          <w:szCs w:val="24"/>
        </w:rPr>
        <w:t>-</w:t>
      </w:r>
      <w:r w:rsidR="00135527" w:rsidRPr="007668DF">
        <w:rPr>
          <w:rFonts w:ascii="Times New Roman" w:eastAsia="Malgun Gothic" w:hAnsi="Times New Roman"/>
          <w:sz w:val="24"/>
          <w:szCs w:val="24"/>
        </w:rPr>
        <w:t>Maliens</w:t>
      </w:r>
      <w:r w:rsidR="006E2DB6" w:rsidRPr="007668DF">
        <w:rPr>
          <w:rFonts w:ascii="Times New Roman" w:eastAsia="Malgun Gothic" w:hAnsi="Times New Roman"/>
          <w:sz w:val="24"/>
          <w:szCs w:val="24"/>
        </w:rPr>
        <w:t> »</w:t>
      </w:r>
      <w:r w:rsidR="00135527" w:rsidRPr="007668DF">
        <w:rPr>
          <w:rFonts w:ascii="Times New Roman" w:eastAsia="Malgun Gothic" w:hAnsi="Times New Roman"/>
          <w:sz w:val="24"/>
          <w:szCs w:val="24"/>
        </w:rPr>
        <w:t xml:space="preserve"> et </w:t>
      </w:r>
      <w:r w:rsidR="006E2DB6" w:rsidRPr="007668DF">
        <w:rPr>
          <w:rFonts w:ascii="Times New Roman" w:eastAsia="Malgun Gothic" w:hAnsi="Times New Roman"/>
          <w:sz w:val="24"/>
          <w:szCs w:val="24"/>
        </w:rPr>
        <w:t>« </w:t>
      </w:r>
      <w:r w:rsidR="00135527" w:rsidRPr="007668DF">
        <w:rPr>
          <w:rFonts w:ascii="Times New Roman" w:eastAsia="Malgun Gothic" w:hAnsi="Times New Roman"/>
          <w:sz w:val="24"/>
          <w:szCs w:val="24"/>
        </w:rPr>
        <w:t>Pro</w:t>
      </w:r>
      <w:r w:rsidR="002D153C" w:rsidRPr="007668DF">
        <w:rPr>
          <w:rFonts w:ascii="Times New Roman" w:eastAsia="Malgun Gothic" w:hAnsi="Times New Roman"/>
          <w:sz w:val="24"/>
          <w:szCs w:val="24"/>
        </w:rPr>
        <w:t>-</w:t>
      </w:r>
      <w:r w:rsidR="00135527" w:rsidRPr="007668DF">
        <w:rPr>
          <w:rFonts w:ascii="Times New Roman" w:eastAsia="Malgun Gothic" w:hAnsi="Times New Roman"/>
          <w:sz w:val="24"/>
          <w:szCs w:val="24"/>
        </w:rPr>
        <w:t>Azawadiens</w:t>
      </w:r>
      <w:r w:rsidR="006E2DB6" w:rsidRPr="007668DF">
        <w:rPr>
          <w:rFonts w:ascii="Times New Roman" w:eastAsia="Malgun Gothic" w:hAnsi="Times New Roman"/>
          <w:sz w:val="24"/>
          <w:szCs w:val="24"/>
        </w:rPr>
        <w:t> »</w:t>
      </w:r>
      <w:r w:rsidR="00135527" w:rsidRPr="007668DF">
        <w:rPr>
          <w:rFonts w:ascii="Times New Roman" w:eastAsia="Malgun Gothic" w:hAnsi="Times New Roman"/>
          <w:sz w:val="24"/>
          <w:szCs w:val="24"/>
        </w:rPr>
        <w:t xml:space="preserve"> sont régulièrement utilisées entre </w:t>
      </w:r>
      <w:r w:rsidR="00677E4D" w:rsidRPr="003B152B">
        <w:rPr>
          <w:rFonts w:ascii="Times New Roman" w:eastAsia="Malgun Gothic" w:hAnsi="Times New Roman"/>
          <w:i/>
          <w:sz w:val="24"/>
          <w:szCs w:val="24"/>
        </w:rPr>
        <w:t>T</w:t>
      </w:r>
      <w:r w:rsidR="00135527" w:rsidRPr="003B152B">
        <w:rPr>
          <w:rFonts w:ascii="Times New Roman" w:eastAsia="Malgun Gothic" w:hAnsi="Times New Roman"/>
          <w:i/>
          <w:sz w:val="24"/>
          <w:szCs w:val="24"/>
        </w:rPr>
        <w:t>ouareg</w:t>
      </w:r>
      <w:r w:rsidR="00135527" w:rsidRPr="007668DF">
        <w:rPr>
          <w:rFonts w:ascii="Times New Roman" w:eastAsia="Malgun Gothic" w:hAnsi="Times New Roman"/>
          <w:sz w:val="24"/>
          <w:szCs w:val="24"/>
        </w:rPr>
        <w:t xml:space="preserve"> </w:t>
      </w:r>
      <w:r w:rsidR="00135527" w:rsidRPr="003B152B">
        <w:rPr>
          <w:rFonts w:ascii="Times New Roman" w:eastAsia="Malgun Gothic" w:hAnsi="Times New Roman"/>
          <w:i/>
          <w:sz w:val="24"/>
          <w:szCs w:val="24"/>
        </w:rPr>
        <w:t>Idnan</w:t>
      </w:r>
      <w:r w:rsidR="00135527" w:rsidRPr="007668DF">
        <w:rPr>
          <w:rFonts w:ascii="Times New Roman" w:eastAsia="Malgun Gothic" w:hAnsi="Times New Roman"/>
          <w:sz w:val="24"/>
          <w:szCs w:val="24"/>
        </w:rPr>
        <w:t xml:space="preserve"> et </w:t>
      </w:r>
      <w:r w:rsidR="00135527" w:rsidRPr="003B152B">
        <w:rPr>
          <w:rFonts w:ascii="Times New Roman" w:eastAsia="Malgun Gothic" w:hAnsi="Times New Roman"/>
          <w:i/>
          <w:sz w:val="24"/>
          <w:szCs w:val="24"/>
        </w:rPr>
        <w:t>Imghads</w:t>
      </w:r>
      <w:r w:rsidR="00BE2961" w:rsidRPr="007668DF">
        <w:rPr>
          <w:rFonts w:ascii="Times New Roman" w:eastAsia="Malgun Gothic" w:hAnsi="Times New Roman"/>
          <w:sz w:val="24"/>
          <w:szCs w:val="24"/>
        </w:rPr>
        <w:t>,</w:t>
      </w:r>
      <w:r w:rsidR="00135527" w:rsidRPr="007668DF">
        <w:rPr>
          <w:rFonts w:ascii="Times New Roman" w:eastAsia="Malgun Gothic" w:hAnsi="Times New Roman"/>
          <w:sz w:val="24"/>
          <w:szCs w:val="24"/>
        </w:rPr>
        <w:t xml:space="preserve"> particulièrement à Aguelhok. Plusieurs incidents liés à </w:t>
      </w:r>
      <w:r w:rsidR="00FB2EEA" w:rsidRPr="007668DF">
        <w:rPr>
          <w:rFonts w:ascii="Times New Roman" w:eastAsia="Malgun Gothic" w:hAnsi="Times New Roman"/>
          <w:sz w:val="24"/>
          <w:szCs w:val="24"/>
        </w:rPr>
        <w:t>ces affrontements intercommunautaires</w:t>
      </w:r>
      <w:r w:rsidR="00135527" w:rsidRPr="007668DF">
        <w:rPr>
          <w:rFonts w:ascii="Times New Roman" w:eastAsia="Malgun Gothic" w:hAnsi="Times New Roman"/>
          <w:sz w:val="24"/>
          <w:szCs w:val="24"/>
        </w:rPr>
        <w:t xml:space="preserve"> ont été documentés par la Division des droits de l’homme</w:t>
      </w:r>
      <w:r w:rsidR="002D153C" w:rsidRPr="007668DF">
        <w:rPr>
          <w:rFonts w:ascii="Times New Roman" w:eastAsia="Malgun Gothic" w:hAnsi="Times New Roman"/>
          <w:sz w:val="24"/>
          <w:szCs w:val="24"/>
        </w:rPr>
        <w:t>,</w:t>
      </w:r>
      <w:r w:rsidR="00135527" w:rsidRPr="007668DF">
        <w:rPr>
          <w:rFonts w:ascii="Times New Roman" w:eastAsia="Malgun Gothic" w:hAnsi="Times New Roman"/>
          <w:sz w:val="24"/>
          <w:szCs w:val="24"/>
        </w:rPr>
        <w:t xml:space="preserve"> notamment des exécutions sommaires, des enlèvements, des tentatives de meurtres, de</w:t>
      </w:r>
      <w:r w:rsidR="00877B4C" w:rsidRPr="007668DF">
        <w:rPr>
          <w:rFonts w:ascii="Times New Roman" w:eastAsia="Malgun Gothic" w:hAnsi="Times New Roman"/>
          <w:sz w:val="24"/>
          <w:szCs w:val="24"/>
        </w:rPr>
        <w:t>s menaces et intimidations.</w:t>
      </w:r>
      <w:r w:rsidR="001B0CD2">
        <w:rPr>
          <w:rFonts w:ascii="Times New Roman" w:eastAsia="Malgun Gothic" w:hAnsi="Times New Roman"/>
          <w:sz w:val="24"/>
          <w:szCs w:val="24"/>
        </w:rPr>
        <w:t xml:space="preserve"> A titre d’illustration, le 05 octobre 2013, des proches du MNLA </w:t>
      </w:r>
      <w:r w:rsidR="001C1AEC">
        <w:rPr>
          <w:rFonts w:ascii="Times New Roman" w:eastAsia="Malgun Gothic" w:hAnsi="Times New Roman"/>
          <w:sz w:val="24"/>
          <w:szCs w:val="24"/>
        </w:rPr>
        <w:t xml:space="preserve">ont enlevé </w:t>
      </w:r>
      <w:r w:rsidR="001B0CD2">
        <w:rPr>
          <w:rFonts w:ascii="Times New Roman" w:eastAsia="Malgun Gothic" w:hAnsi="Times New Roman"/>
          <w:sz w:val="24"/>
          <w:szCs w:val="24"/>
        </w:rPr>
        <w:t>2 civils</w:t>
      </w:r>
      <w:r w:rsidR="00135527" w:rsidRPr="007668DF">
        <w:rPr>
          <w:rFonts w:ascii="Times New Roman" w:eastAsia="Malgun Gothic" w:hAnsi="Times New Roman"/>
          <w:sz w:val="24"/>
          <w:szCs w:val="24"/>
        </w:rPr>
        <w:t xml:space="preserve"> </w:t>
      </w:r>
      <w:r w:rsidR="00135527" w:rsidRPr="003B152B">
        <w:rPr>
          <w:rFonts w:ascii="Times New Roman" w:eastAsia="Malgun Gothic" w:hAnsi="Times New Roman"/>
          <w:i/>
          <w:sz w:val="24"/>
          <w:szCs w:val="24"/>
        </w:rPr>
        <w:t>Imghad</w:t>
      </w:r>
      <w:r w:rsidR="00135527" w:rsidRPr="007668DF">
        <w:rPr>
          <w:rFonts w:ascii="Times New Roman" w:eastAsia="Malgun Gothic" w:hAnsi="Times New Roman"/>
          <w:sz w:val="24"/>
          <w:szCs w:val="24"/>
        </w:rPr>
        <w:t xml:space="preserve"> et </w:t>
      </w:r>
      <w:r w:rsidR="00EB5B13">
        <w:rPr>
          <w:rFonts w:ascii="Times New Roman" w:eastAsia="Malgun Gothic" w:hAnsi="Times New Roman"/>
          <w:sz w:val="24"/>
          <w:szCs w:val="24"/>
        </w:rPr>
        <w:t>ont</w:t>
      </w:r>
      <w:r w:rsidR="00EB5B13" w:rsidRPr="007668DF">
        <w:rPr>
          <w:rFonts w:ascii="Times New Roman" w:eastAsia="Malgun Gothic" w:hAnsi="Times New Roman"/>
          <w:sz w:val="24"/>
          <w:szCs w:val="24"/>
        </w:rPr>
        <w:t xml:space="preserve"> exécut</w:t>
      </w:r>
      <w:r w:rsidR="00EB5B13">
        <w:rPr>
          <w:rFonts w:ascii="Times New Roman" w:eastAsia="Malgun Gothic" w:hAnsi="Times New Roman"/>
          <w:sz w:val="24"/>
          <w:szCs w:val="24"/>
        </w:rPr>
        <w:t>é</w:t>
      </w:r>
      <w:r w:rsidR="00EB5B13" w:rsidRPr="007668DF">
        <w:rPr>
          <w:rFonts w:ascii="Times New Roman" w:eastAsia="Malgun Gothic" w:hAnsi="Times New Roman"/>
          <w:sz w:val="24"/>
          <w:szCs w:val="24"/>
        </w:rPr>
        <w:t xml:space="preserve"> </w:t>
      </w:r>
      <w:r w:rsidR="001B0CD2">
        <w:rPr>
          <w:rFonts w:ascii="Times New Roman" w:eastAsia="Malgun Gothic" w:hAnsi="Times New Roman"/>
          <w:sz w:val="24"/>
          <w:szCs w:val="24"/>
        </w:rPr>
        <w:t>03</w:t>
      </w:r>
      <w:r w:rsidR="001B0CD2" w:rsidRPr="007668DF">
        <w:rPr>
          <w:rFonts w:ascii="Times New Roman" w:eastAsia="Malgun Gothic" w:hAnsi="Times New Roman"/>
          <w:sz w:val="24"/>
          <w:szCs w:val="24"/>
        </w:rPr>
        <w:t xml:space="preserve"> </w:t>
      </w:r>
      <w:r w:rsidR="00135527" w:rsidRPr="007668DF">
        <w:rPr>
          <w:rFonts w:ascii="Times New Roman" w:eastAsia="Malgun Gothic" w:hAnsi="Times New Roman"/>
          <w:sz w:val="24"/>
          <w:szCs w:val="24"/>
        </w:rPr>
        <w:t xml:space="preserve">autres à Intenhert, </w:t>
      </w:r>
      <w:r w:rsidR="00C025F5" w:rsidRPr="007668DF">
        <w:rPr>
          <w:rFonts w:ascii="Times New Roman" w:eastAsia="Malgun Gothic" w:hAnsi="Times New Roman"/>
          <w:sz w:val="24"/>
          <w:szCs w:val="24"/>
        </w:rPr>
        <w:t xml:space="preserve">à </w:t>
      </w:r>
      <w:r w:rsidR="00135527" w:rsidRPr="007668DF">
        <w:rPr>
          <w:rFonts w:ascii="Times New Roman" w:eastAsia="Malgun Gothic" w:hAnsi="Times New Roman"/>
          <w:sz w:val="24"/>
          <w:szCs w:val="24"/>
        </w:rPr>
        <w:t xml:space="preserve">30 Km à l’Est d’Aguelhok. </w:t>
      </w:r>
    </w:p>
    <w:p w:rsidR="00135527" w:rsidRDefault="000B5C72" w:rsidP="006C2FA0">
      <w:pPr>
        <w:tabs>
          <w:tab w:val="left" w:pos="567"/>
        </w:tabs>
        <w:jc w:val="both"/>
        <w:rPr>
          <w:rFonts w:ascii="Times New Roman" w:eastAsia="Malgun Gothic" w:hAnsi="Times New Roman"/>
          <w:sz w:val="24"/>
          <w:szCs w:val="24"/>
        </w:rPr>
      </w:pPr>
      <w:r w:rsidRPr="007668DF">
        <w:rPr>
          <w:rFonts w:ascii="Times New Roman" w:eastAsia="Malgun Gothic" w:hAnsi="Times New Roman"/>
          <w:sz w:val="24"/>
          <w:szCs w:val="24"/>
        </w:rPr>
        <w:lastRenderedPageBreak/>
        <w:t>7</w:t>
      </w:r>
      <w:r w:rsidR="006A45E8">
        <w:rPr>
          <w:rFonts w:ascii="Times New Roman" w:eastAsia="Malgun Gothic" w:hAnsi="Times New Roman"/>
          <w:sz w:val="24"/>
          <w:szCs w:val="24"/>
        </w:rPr>
        <w:t>6</w:t>
      </w:r>
      <w:r w:rsidR="00135527" w:rsidRPr="007668DF">
        <w:rPr>
          <w:rFonts w:ascii="Times New Roman" w:eastAsia="Malgun Gothic" w:hAnsi="Times New Roman"/>
          <w:sz w:val="24"/>
          <w:szCs w:val="24"/>
        </w:rPr>
        <w:t>.</w:t>
      </w:r>
      <w:r w:rsidR="00135527" w:rsidRPr="007668DF">
        <w:rPr>
          <w:rFonts w:ascii="Times New Roman" w:eastAsia="Malgun Gothic" w:hAnsi="Times New Roman"/>
          <w:sz w:val="24"/>
          <w:szCs w:val="24"/>
        </w:rPr>
        <w:tab/>
        <w:t xml:space="preserve">Le 12 avril 2014, un conseiller municipal </w:t>
      </w:r>
      <w:r w:rsidR="00135527" w:rsidRPr="003B152B">
        <w:rPr>
          <w:rFonts w:ascii="Times New Roman" w:eastAsia="Malgun Gothic" w:hAnsi="Times New Roman"/>
          <w:i/>
          <w:sz w:val="24"/>
          <w:szCs w:val="24"/>
        </w:rPr>
        <w:t>Imghad</w:t>
      </w:r>
      <w:r w:rsidR="00135527" w:rsidRPr="007668DF">
        <w:rPr>
          <w:rFonts w:ascii="Times New Roman" w:eastAsia="Malgun Gothic" w:hAnsi="Times New Roman"/>
          <w:sz w:val="24"/>
          <w:szCs w:val="24"/>
        </w:rPr>
        <w:t xml:space="preserve"> ét</w:t>
      </w:r>
      <w:r w:rsidR="00C025F5" w:rsidRPr="007668DF">
        <w:rPr>
          <w:rFonts w:ascii="Times New Roman" w:eastAsia="Malgun Gothic" w:hAnsi="Times New Roman"/>
          <w:sz w:val="24"/>
          <w:szCs w:val="24"/>
        </w:rPr>
        <w:t>ait</w:t>
      </w:r>
      <w:r w:rsidR="00135527" w:rsidRPr="007668DF">
        <w:rPr>
          <w:rFonts w:ascii="Times New Roman" w:eastAsia="Malgun Gothic" w:hAnsi="Times New Roman"/>
          <w:sz w:val="24"/>
          <w:szCs w:val="24"/>
        </w:rPr>
        <w:t xml:space="preserve"> assassiné par des pro</w:t>
      </w:r>
      <w:r w:rsidR="00C025F5" w:rsidRPr="007668DF">
        <w:rPr>
          <w:rFonts w:ascii="Times New Roman" w:eastAsia="Malgun Gothic" w:hAnsi="Times New Roman"/>
          <w:sz w:val="24"/>
          <w:szCs w:val="24"/>
        </w:rPr>
        <w:t>-</w:t>
      </w:r>
      <w:r w:rsidR="00135527" w:rsidRPr="007668DF">
        <w:rPr>
          <w:rFonts w:ascii="Times New Roman" w:eastAsia="Malgun Gothic" w:hAnsi="Times New Roman"/>
          <w:sz w:val="24"/>
          <w:szCs w:val="24"/>
        </w:rPr>
        <w:t>Azawad</w:t>
      </w:r>
      <w:r w:rsidR="00C025F5" w:rsidRPr="007668DF">
        <w:rPr>
          <w:rFonts w:ascii="Times New Roman" w:eastAsia="Malgun Gothic" w:hAnsi="Times New Roman"/>
          <w:sz w:val="24"/>
          <w:szCs w:val="24"/>
        </w:rPr>
        <w:t>,</w:t>
      </w:r>
      <w:r w:rsidR="00135527" w:rsidRPr="007668DF">
        <w:rPr>
          <w:rFonts w:ascii="Times New Roman" w:eastAsia="Malgun Gothic" w:hAnsi="Times New Roman"/>
          <w:sz w:val="24"/>
          <w:szCs w:val="24"/>
        </w:rPr>
        <w:t xml:space="preserve"> à Aguelhok et</w:t>
      </w:r>
      <w:r w:rsidR="00C025F5" w:rsidRPr="007668DF">
        <w:rPr>
          <w:rFonts w:ascii="Times New Roman" w:eastAsia="Malgun Gothic" w:hAnsi="Times New Roman"/>
          <w:sz w:val="24"/>
          <w:szCs w:val="24"/>
        </w:rPr>
        <w:t>,</w:t>
      </w:r>
      <w:r w:rsidR="00135527" w:rsidRPr="007668DF">
        <w:rPr>
          <w:rFonts w:ascii="Times New Roman" w:eastAsia="Malgun Gothic" w:hAnsi="Times New Roman"/>
          <w:sz w:val="24"/>
          <w:szCs w:val="24"/>
        </w:rPr>
        <w:t xml:space="preserve"> le 22 avril 2014, un </w:t>
      </w:r>
      <w:r w:rsidR="00135527" w:rsidRPr="003B152B">
        <w:rPr>
          <w:rFonts w:ascii="Times New Roman" w:eastAsia="Malgun Gothic" w:hAnsi="Times New Roman"/>
          <w:i/>
          <w:sz w:val="24"/>
          <w:szCs w:val="24"/>
        </w:rPr>
        <w:t>Idnan</w:t>
      </w:r>
      <w:r w:rsidR="00135527" w:rsidRPr="007668DF">
        <w:rPr>
          <w:rFonts w:ascii="Times New Roman" w:eastAsia="Malgun Gothic" w:hAnsi="Times New Roman"/>
          <w:sz w:val="24"/>
          <w:szCs w:val="24"/>
        </w:rPr>
        <w:t xml:space="preserve"> âgé de 60 ans ét</w:t>
      </w:r>
      <w:r w:rsidR="00C025F5" w:rsidRPr="007668DF">
        <w:rPr>
          <w:rFonts w:ascii="Times New Roman" w:eastAsia="Malgun Gothic" w:hAnsi="Times New Roman"/>
          <w:sz w:val="24"/>
          <w:szCs w:val="24"/>
        </w:rPr>
        <w:t>ait</w:t>
      </w:r>
      <w:r w:rsidR="00135527" w:rsidRPr="007668DF">
        <w:rPr>
          <w:rFonts w:ascii="Times New Roman" w:eastAsia="Malgun Gothic" w:hAnsi="Times New Roman"/>
          <w:sz w:val="24"/>
          <w:szCs w:val="24"/>
        </w:rPr>
        <w:t xml:space="preserve"> victime d</w:t>
      </w:r>
      <w:r w:rsidR="00EB5B13">
        <w:rPr>
          <w:rFonts w:ascii="Times New Roman" w:eastAsia="Malgun Gothic" w:hAnsi="Times New Roman"/>
          <w:sz w:val="24"/>
          <w:szCs w:val="24"/>
        </w:rPr>
        <w:t>’une</w:t>
      </w:r>
      <w:r w:rsidR="00135527" w:rsidRPr="007668DF">
        <w:rPr>
          <w:rFonts w:ascii="Times New Roman" w:eastAsia="Malgun Gothic" w:hAnsi="Times New Roman"/>
          <w:sz w:val="24"/>
          <w:szCs w:val="24"/>
        </w:rPr>
        <w:t xml:space="preserve"> tentative de meurtre et </w:t>
      </w:r>
      <w:r w:rsidR="00C025F5" w:rsidRPr="007668DF">
        <w:rPr>
          <w:rFonts w:ascii="Times New Roman" w:eastAsia="Malgun Gothic" w:hAnsi="Times New Roman"/>
          <w:sz w:val="24"/>
          <w:szCs w:val="24"/>
        </w:rPr>
        <w:t xml:space="preserve">de </w:t>
      </w:r>
      <w:r w:rsidR="00C5182A" w:rsidRPr="007668DF">
        <w:rPr>
          <w:rFonts w:ascii="Times New Roman" w:eastAsia="Malgun Gothic" w:hAnsi="Times New Roman"/>
          <w:sz w:val="24"/>
          <w:szCs w:val="24"/>
        </w:rPr>
        <w:t xml:space="preserve">mauvais </w:t>
      </w:r>
      <w:r w:rsidR="00135527" w:rsidRPr="007668DF">
        <w:rPr>
          <w:rFonts w:ascii="Times New Roman" w:eastAsia="Malgun Gothic" w:hAnsi="Times New Roman"/>
          <w:sz w:val="24"/>
          <w:szCs w:val="24"/>
        </w:rPr>
        <w:t xml:space="preserve">traitements de la part de civils </w:t>
      </w:r>
      <w:r w:rsidR="00135527" w:rsidRPr="003B152B">
        <w:rPr>
          <w:rFonts w:ascii="Times New Roman" w:eastAsia="Malgun Gothic" w:hAnsi="Times New Roman"/>
          <w:i/>
          <w:sz w:val="24"/>
          <w:szCs w:val="24"/>
        </w:rPr>
        <w:t>Imghads</w:t>
      </w:r>
      <w:r w:rsidR="00135527" w:rsidRPr="007668DF">
        <w:rPr>
          <w:rFonts w:ascii="Times New Roman" w:eastAsia="Malgun Gothic" w:hAnsi="Times New Roman"/>
          <w:sz w:val="24"/>
          <w:szCs w:val="24"/>
        </w:rPr>
        <w:t xml:space="preserve"> armés qui étaient en convoi en compagnie de FAM</w:t>
      </w:r>
      <w:r w:rsidR="009921EA" w:rsidRPr="007668DF">
        <w:rPr>
          <w:rFonts w:ascii="Times New Roman" w:eastAsia="Malgun Gothic" w:hAnsi="Times New Roman"/>
          <w:sz w:val="24"/>
          <w:szCs w:val="24"/>
        </w:rPr>
        <w:t>a</w:t>
      </w:r>
      <w:r w:rsidR="00135527" w:rsidRPr="007668DF">
        <w:rPr>
          <w:rFonts w:ascii="Times New Roman" w:eastAsia="Malgun Gothic" w:hAnsi="Times New Roman"/>
          <w:sz w:val="24"/>
          <w:szCs w:val="24"/>
        </w:rPr>
        <w:t>.</w:t>
      </w:r>
    </w:p>
    <w:p w:rsidR="001B0CD2" w:rsidRPr="007668DF" w:rsidRDefault="006A45E8" w:rsidP="002F610C">
      <w:pPr>
        <w:tabs>
          <w:tab w:val="left" w:pos="567"/>
        </w:tabs>
        <w:jc w:val="both"/>
        <w:rPr>
          <w:rFonts w:ascii="Times New Roman" w:eastAsia="Malgun Gothic" w:hAnsi="Times New Roman"/>
          <w:sz w:val="24"/>
          <w:szCs w:val="24"/>
        </w:rPr>
      </w:pPr>
      <w:r>
        <w:rPr>
          <w:rFonts w:ascii="Times New Roman" w:eastAsia="Malgun Gothic" w:hAnsi="Times New Roman"/>
          <w:sz w:val="24"/>
          <w:szCs w:val="24"/>
        </w:rPr>
        <w:t>77</w:t>
      </w:r>
      <w:r w:rsidR="001B0CD2" w:rsidRPr="007668DF">
        <w:rPr>
          <w:rFonts w:ascii="Times New Roman" w:eastAsia="Malgun Gothic" w:hAnsi="Times New Roman"/>
          <w:sz w:val="24"/>
          <w:szCs w:val="24"/>
        </w:rPr>
        <w:t>.</w:t>
      </w:r>
      <w:r w:rsidR="001B0CD2" w:rsidRPr="007668DF">
        <w:rPr>
          <w:rFonts w:ascii="Times New Roman" w:eastAsia="Malgun Gothic" w:hAnsi="Times New Roman"/>
          <w:sz w:val="24"/>
          <w:szCs w:val="24"/>
        </w:rPr>
        <w:tab/>
      </w:r>
      <w:r w:rsidR="001B0CD2">
        <w:rPr>
          <w:rFonts w:ascii="Times New Roman" w:eastAsia="Malgun Gothic" w:hAnsi="Times New Roman"/>
          <w:sz w:val="24"/>
          <w:szCs w:val="24"/>
        </w:rPr>
        <w:t xml:space="preserve">Dans la région de Mopti, la Division des droits de l’homme a documenté une tendance à des conflits plutôt intracommunautaires </w:t>
      </w:r>
      <w:r w:rsidR="002F610C">
        <w:rPr>
          <w:rFonts w:ascii="Times New Roman" w:eastAsia="Malgun Gothic" w:hAnsi="Times New Roman"/>
          <w:sz w:val="24"/>
          <w:szCs w:val="24"/>
        </w:rPr>
        <w:t>à</w:t>
      </w:r>
      <w:r w:rsidR="001B0CD2">
        <w:rPr>
          <w:rFonts w:ascii="Times New Roman" w:eastAsia="Malgun Gothic" w:hAnsi="Times New Roman"/>
          <w:sz w:val="24"/>
          <w:szCs w:val="24"/>
        </w:rPr>
        <w:t xml:space="preserve"> l’approche de la saison pluvieuse. </w:t>
      </w:r>
      <w:r w:rsidR="002F610C" w:rsidRPr="002F610C">
        <w:rPr>
          <w:rFonts w:ascii="Times New Roman" w:eastAsia="Malgun Gothic" w:hAnsi="Times New Roman"/>
          <w:sz w:val="24"/>
          <w:szCs w:val="24"/>
        </w:rPr>
        <w:t>La violence de ces affrontement</w:t>
      </w:r>
      <w:r w:rsidR="002F610C">
        <w:rPr>
          <w:rFonts w:ascii="Times New Roman" w:eastAsia="Malgun Gothic" w:hAnsi="Times New Roman"/>
          <w:sz w:val="24"/>
          <w:szCs w:val="24"/>
        </w:rPr>
        <w:t>s</w:t>
      </w:r>
      <w:r w:rsidR="002F610C" w:rsidRPr="002F610C">
        <w:rPr>
          <w:rFonts w:ascii="Times New Roman" w:eastAsia="Malgun Gothic" w:hAnsi="Times New Roman"/>
          <w:sz w:val="24"/>
          <w:szCs w:val="24"/>
        </w:rPr>
        <w:t xml:space="preserve"> est illustrée dans l’affaire di</w:t>
      </w:r>
      <w:r w:rsidR="00462AFD">
        <w:rPr>
          <w:rFonts w:ascii="Times New Roman" w:eastAsia="Malgun Gothic" w:hAnsi="Times New Roman"/>
          <w:sz w:val="24"/>
          <w:szCs w:val="24"/>
        </w:rPr>
        <w:t>t</w:t>
      </w:r>
      <w:r w:rsidR="002F610C" w:rsidRPr="002F610C">
        <w:rPr>
          <w:rFonts w:ascii="Times New Roman" w:eastAsia="Malgun Gothic" w:hAnsi="Times New Roman"/>
          <w:sz w:val="24"/>
          <w:szCs w:val="24"/>
        </w:rPr>
        <w:t xml:space="preserve">e de « </w:t>
      </w:r>
      <w:r w:rsidR="002F610C" w:rsidRPr="003B152B">
        <w:rPr>
          <w:rFonts w:ascii="Times New Roman" w:eastAsia="Malgun Gothic" w:hAnsi="Times New Roman"/>
          <w:i/>
          <w:sz w:val="24"/>
          <w:szCs w:val="24"/>
        </w:rPr>
        <w:t>Ningari</w:t>
      </w:r>
      <w:r w:rsidR="002F610C" w:rsidRPr="002F610C">
        <w:rPr>
          <w:rFonts w:ascii="Times New Roman" w:eastAsia="Malgun Gothic" w:hAnsi="Times New Roman"/>
          <w:sz w:val="24"/>
          <w:szCs w:val="24"/>
        </w:rPr>
        <w:t xml:space="preserve"> » opposant</w:t>
      </w:r>
      <w:r w:rsidR="002F610C">
        <w:rPr>
          <w:rFonts w:ascii="Times New Roman" w:eastAsia="Malgun Gothic" w:hAnsi="Times New Roman"/>
          <w:sz w:val="24"/>
          <w:szCs w:val="24"/>
        </w:rPr>
        <w:t xml:space="preserve"> 2 composantes de la communauté </w:t>
      </w:r>
      <w:r w:rsidR="002F610C" w:rsidRPr="003B152B">
        <w:rPr>
          <w:rFonts w:ascii="Times New Roman" w:eastAsia="Malgun Gothic" w:hAnsi="Times New Roman"/>
          <w:i/>
          <w:sz w:val="24"/>
          <w:szCs w:val="24"/>
        </w:rPr>
        <w:t>Dogon </w:t>
      </w:r>
      <w:r w:rsidR="002F610C">
        <w:rPr>
          <w:rFonts w:ascii="Times New Roman" w:eastAsia="Malgun Gothic" w:hAnsi="Times New Roman"/>
          <w:sz w:val="24"/>
          <w:szCs w:val="24"/>
        </w:rPr>
        <w:t>:</w:t>
      </w:r>
      <w:r w:rsidR="002F610C" w:rsidRPr="002F610C">
        <w:rPr>
          <w:rFonts w:ascii="Times New Roman" w:eastAsia="Malgun Gothic" w:hAnsi="Times New Roman"/>
          <w:sz w:val="24"/>
          <w:szCs w:val="24"/>
        </w:rPr>
        <w:t xml:space="preserve"> les </w:t>
      </w:r>
      <w:r w:rsidR="002F610C" w:rsidRPr="003B152B">
        <w:rPr>
          <w:rFonts w:ascii="Times New Roman" w:eastAsia="Malgun Gothic" w:hAnsi="Times New Roman"/>
          <w:i/>
          <w:sz w:val="24"/>
          <w:szCs w:val="24"/>
        </w:rPr>
        <w:t xml:space="preserve">Yacoulye </w:t>
      </w:r>
      <w:r w:rsidR="002F610C">
        <w:rPr>
          <w:rFonts w:ascii="Times New Roman" w:eastAsia="Malgun Gothic" w:hAnsi="Times New Roman"/>
          <w:sz w:val="24"/>
          <w:szCs w:val="24"/>
        </w:rPr>
        <w:t>et les</w:t>
      </w:r>
      <w:r w:rsidR="002F610C" w:rsidRPr="002F610C">
        <w:rPr>
          <w:rFonts w:ascii="Times New Roman" w:eastAsia="Malgun Gothic" w:hAnsi="Times New Roman"/>
          <w:sz w:val="24"/>
          <w:szCs w:val="24"/>
        </w:rPr>
        <w:t xml:space="preserve"> </w:t>
      </w:r>
      <w:r w:rsidR="002F610C" w:rsidRPr="003B152B">
        <w:rPr>
          <w:rFonts w:ascii="Times New Roman" w:eastAsia="Malgun Gothic" w:hAnsi="Times New Roman"/>
          <w:i/>
          <w:sz w:val="24"/>
          <w:szCs w:val="24"/>
        </w:rPr>
        <w:t>Kansaye</w:t>
      </w:r>
      <w:r w:rsidR="002F610C">
        <w:rPr>
          <w:rFonts w:ascii="Times New Roman" w:eastAsia="Malgun Gothic" w:hAnsi="Times New Roman"/>
          <w:sz w:val="24"/>
          <w:szCs w:val="24"/>
        </w:rPr>
        <w:t xml:space="preserve">. Le 25 août 2013, suite à un conflit foncier, </w:t>
      </w:r>
      <w:r w:rsidR="002F610C" w:rsidRPr="002F610C">
        <w:rPr>
          <w:rFonts w:ascii="Times New Roman" w:eastAsia="Malgun Gothic" w:hAnsi="Times New Roman"/>
          <w:sz w:val="24"/>
          <w:szCs w:val="24"/>
        </w:rPr>
        <w:t xml:space="preserve">les </w:t>
      </w:r>
      <w:r w:rsidR="002F610C" w:rsidRPr="00F20241">
        <w:rPr>
          <w:rFonts w:ascii="Times New Roman" w:eastAsia="Malgun Gothic" w:hAnsi="Times New Roman"/>
          <w:i/>
          <w:sz w:val="24"/>
          <w:szCs w:val="24"/>
        </w:rPr>
        <w:t xml:space="preserve">Yacoulye </w:t>
      </w:r>
      <w:r w:rsidR="002F610C">
        <w:rPr>
          <w:rFonts w:ascii="Times New Roman" w:eastAsia="Malgun Gothic" w:hAnsi="Times New Roman"/>
          <w:sz w:val="24"/>
          <w:szCs w:val="24"/>
        </w:rPr>
        <w:t>et les</w:t>
      </w:r>
      <w:r w:rsidR="002F610C" w:rsidRPr="002F610C">
        <w:rPr>
          <w:rFonts w:ascii="Times New Roman" w:eastAsia="Malgun Gothic" w:hAnsi="Times New Roman"/>
          <w:sz w:val="24"/>
          <w:szCs w:val="24"/>
        </w:rPr>
        <w:t xml:space="preserve"> </w:t>
      </w:r>
      <w:r w:rsidR="002F610C" w:rsidRPr="00F20241">
        <w:rPr>
          <w:rFonts w:ascii="Times New Roman" w:eastAsia="Malgun Gothic" w:hAnsi="Times New Roman"/>
          <w:i/>
          <w:sz w:val="24"/>
          <w:szCs w:val="24"/>
        </w:rPr>
        <w:t>Kansaye</w:t>
      </w:r>
      <w:r w:rsidR="002F610C">
        <w:rPr>
          <w:rFonts w:ascii="Times New Roman" w:eastAsia="Malgun Gothic" w:hAnsi="Times New Roman"/>
          <w:i/>
          <w:sz w:val="24"/>
          <w:szCs w:val="24"/>
        </w:rPr>
        <w:t xml:space="preserve"> </w:t>
      </w:r>
      <w:r w:rsidR="002F610C" w:rsidRPr="003B152B">
        <w:rPr>
          <w:rFonts w:ascii="Times New Roman" w:eastAsia="Malgun Gothic" w:hAnsi="Times New Roman"/>
          <w:sz w:val="24"/>
          <w:szCs w:val="24"/>
        </w:rPr>
        <w:t>se sont affrontés </w:t>
      </w:r>
      <w:r w:rsidR="002F610C" w:rsidRPr="002F610C">
        <w:rPr>
          <w:rFonts w:ascii="Times New Roman" w:eastAsia="Malgun Gothic" w:hAnsi="Times New Roman"/>
          <w:sz w:val="24"/>
          <w:szCs w:val="24"/>
        </w:rPr>
        <w:t xml:space="preserve">; il en est résulté </w:t>
      </w:r>
      <w:r w:rsidR="002F610C">
        <w:rPr>
          <w:rFonts w:ascii="Times New Roman" w:eastAsia="Malgun Gothic" w:hAnsi="Times New Roman"/>
          <w:sz w:val="24"/>
          <w:szCs w:val="24"/>
        </w:rPr>
        <w:t>un</w:t>
      </w:r>
      <w:r w:rsidR="002F610C" w:rsidRPr="002F610C">
        <w:rPr>
          <w:rFonts w:ascii="Times New Roman" w:eastAsia="Malgun Gothic" w:hAnsi="Times New Roman"/>
          <w:sz w:val="24"/>
          <w:szCs w:val="24"/>
        </w:rPr>
        <w:t xml:space="preserve"> mort (</w:t>
      </w:r>
      <w:r w:rsidR="002F610C" w:rsidRPr="003B152B">
        <w:rPr>
          <w:rFonts w:ascii="Times New Roman" w:eastAsia="Malgun Gothic" w:hAnsi="Times New Roman"/>
          <w:i/>
          <w:sz w:val="24"/>
          <w:szCs w:val="24"/>
        </w:rPr>
        <w:t>Kansaye</w:t>
      </w:r>
      <w:r w:rsidR="002F610C" w:rsidRPr="002F610C">
        <w:rPr>
          <w:rFonts w:ascii="Times New Roman" w:eastAsia="Malgun Gothic" w:hAnsi="Times New Roman"/>
          <w:sz w:val="24"/>
          <w:szCs w:val="24"/>
        </w:rPr>
        <w:t>) et d’importants dégâts matériels. L’intervention  de la gendarmerie a été nécessaire pour ces</w:t>
      </w:r>
      <w:r w:rsidR="002F610C">
        <w:rPr>
          <w:rFonts w:ascii="Times New Roman" w:eastAsia="Malgun Gothic" w:hAnsi="Times New Roman"/>
          <w:sz w:val="24"/>
          <w:szCs w:val="24"/>
        </w:rPr>
        <w:t xml:space="preserve">ser le trouble et ces derniers </w:t>
      </w:r>
      <w:r w:rsidR="00EB5B13">
        <w:rPr>
          <w:rFonts w:ascii="Times New Roman" w:eastAsia="Malgun Gothic" w:hAnsi="Times New Roman"/>
          <w:sz w:val="24"/>
          <w:szCs w:val="24"/>
        </w:rPr>
        <w:t>ont</w:t>
      </w:r>
      <w:r w:rsidR="00EB5B13" w:rsidRPr="002F610C">
        <w:rPr>
          <w:rFonts w:ascii="Times New Roman" w:eastAsia="Malgun Gothic" w:hAnsi="Times New Roman"/>
          <w:sz w:val="24"/>
          <w:szCs w:val="24"/>
        </w:rPr>
        <w:t xml:space="preserve"> </w:t>
      </w:r>
      <w:r w:rsidR="002F610C" w:rsidRPr="002F610C">
        <w:rPr>
          <w:rFonts w:ascii="Times New Roman" w:eastAsia="Malgun Gothic" w:hAnsi="Times New Roman"/>
          <w:sz w:val="24"/>
          <w:szCs w:val="24"/>
        </w:rPr>
        <w:t>procédé</w:t>
      </w:r>
      <w:r w:rsidR="002F610C">
        <w:rPr>
          <w:rFonts w:ascii="Times New Roman" w:eastAsia="Malgun Gothic" w:hAnsi="Times New Roman"/>
          <w:sz w:val="24"/>
          <w:szCs w:val="24"/>
        </w:rPr>
        <w:t xml:space="preserve"> à</w:t>
      </w:r>
      <w:r w:rsidR="002F610C" w:rsidRPr="002F610C">
        <w:rPr>
          <w:rFonts w:ascii="Times New Roman" w:eastAsia="Malgun Gothic" w:hAnsi="Times New Roman"/>
          <w:sz w:val="24"/>
          <w:szCs w:val="24"/>
        </w:rPr>
        <w:t xml:space="preserve"> l’interpellation de 152 personnes (70 femmes et 82 hommes), toutes  des </w:t>
      </w:r>
      <w:r w:rsidR="002F610C" w:rsidRPr="003B152B">
        <w:rPr>
          <w:rFonts w:ascii="Times New Roman" w:eastAsia="Malgun Gothic" w:hAnsi="Times New Roman"/>
          <w:i/>
          <w:sz w:val="24"/>
          <w:szCs w:val="24"/>
        </w:rPr>
        <w:t>Yalcouye</w:t>
      </w:r>
      <w:r w:rsidR="002F610C" w:rsidRPr="002F610C">
        <w:rPr>
          <w:rFonts w:ascii="Times New Roman" w:eastAsia="Malgun Gothic" w:hAnsi="Times New Roman"/>
          <w:sz w:val="24"/>
          <w:szCs w:val="24"/>
        </w:rPr>
        <w:t>. Une instruction a été ouverte et les personnes arrêtées ont été inculpées pour co</w:t>
      </w:r>
      <w:r w:rsidR="002A28A1">
        <w:rPr>
          <w:rFonts w:ascii="Times New Roman" w:eastAsia="Malgun Gothic" w:hAnsi="Times New Roman"/>
          <w:sz w:val="24"/>
          <w:szCs w:val="24"/>
        </w:rPr>
        <w:t>ups</w:t>
      </w:r>
      <w:r w:rsidR="00462AFD">
        <w:rPr>
          <w:rFonts w:ascii="Times New Roman" w:eastAsia="Malgun Gothic" w:hAnsi="Times New Roman"/>
          <w:sz w:val="24"/>
          <w:szCs w:val="24"/>
        </w:rPr>
        <w:t>,</w:t>
      </w:r>
      <w:r w:rsidR="002A28A1">
        <w:rPr>
          <w:rFonts w:ascii="Times New Roman" w:eastAsia="Malgun Gothic" w:hAnsi="Times New Roman"/>
          <w:sz w:val="24"/>
          <w:szCs w:val="24"/>
        </w:rPr>
        <w:t xml:space="preserve"> blessures et assassinat. Dans le cadre de cette affaire toujours d’actualité</w:t>
      </w:r>
      <w:r w:rsidR="002F610C" w:rsidRPr="002F610C">
        <w:rPr>
          <w:rFonts w:ascii="Times New Roman" w:eastAsia="Malgun Gothic" w:hAnsi="Times New Roman"/>
          <w:sz w:val="24"/>
          <w:szCs w:val="24"/>
        </w:rPr>
        <w:t xml:space="preserve">,  </w:t>
      </w:r>
      <w:r w:rsidR="002A28A1">
        <w:rPr>
          <w:rFonts w:ascii="Times New Roman" w:eastAsia="Malgun Gothic" w:hAnsi="Times New Roman"/>
          <w:sz w:val="24"/>
          <w:szCs w:val="24"/>
        </w:rPr>
        <w:t>tous les protagonistes ont été provisoirement libérés dans l’attente du procès</w:t>
      </w:r>
      <w:r w:rsidR="002F610C" w:rsidRPr="002F610C">
        <w:rPr>
          <w:rFonts w:ascii="Times New Roman" w:eastAsia="Malgun Gothic" w:hAnsi="Times New Roman"/>
          <w:sz w:val="24"/>
          <w:szCs w:val="24"/>
        </w:rPr>
        <w:t xml:space="preserve">. </w:t>
      </w:r>
      <w:r w:rsidR="002A28A1">
        <w:rPr>
          <w:rFonts w:ascii="Times New Roman" w:eastAsia="Malgun Gothic" w:hAnsi="Times New Roman"/>
          <w:sz w:val="24"/>
          <w:szCs w:val="24"/>
        </w:rPr>
        <w:t>De tels conflits trouvent leurs sources dans l’impossibilité d’une jouissance effective des droits économiques et sociaux, notamment le droit à l’alimentation</w:t>
      </w:r>
      <w:r w:rsidR="003122B5">
        <w:rPr>
          <w:rFonts w:ascii="Times New Roman" w:eastAsia="Malgun Gothic" w:hAnsi="Times New Roman"/>
          <w:sz w:val="24"/>
          <w:szCs w:val="24"/>
        </w:rPr>
        <w:t>.</w:t>
      </w:r>
      <w:r w:rsidR="002A28A1">
        <w:rPr>
          <w:rFonts w:ascii="Times New Roman" w:eastAsia="Malgun Gothic" w:hAnsi="Times New Roman"/>
          <w:sz w:val="24"/>
          <w:szCs w:val="24"/>
        </w:rPr>
        <w:t xml:space="preserve"> </w:t>
      </w:r>
    </w:p>
    <w:p w:rsidR="006E2DB6" w:rsidRDefault="006A45E8" w:rsidP="006C2FA0">
      <w:pPr>
        <w:tabs>
          <w:tab w:val="left" w:pos="567"/>
        </w:tabs>
        <w:jc w:val="both"/>
        <w:rPr>
          <w:rFonts w:ascii="Times New Roman" w:eastAsia="Malgun Gothic" w:hAnsi="Times New Roman"/>
          <w:sz w:val="24"/>
          <w:szCs w:val="24"/>
        </w:rPr>
      </w:pPr>
      <w:r>
        <w:rPr>
          <w:rFonts w:ascii="Times New Roman" w:eastAsia="Malgun Gothic" w:hAnsi="Times New Roman"/>
          <w:sz w:val="24"/>
          <w:szCs w:val="24"/>
        </w:rPr>
        <w:t>78</w:t>
      </w:r>
      <w:r w:rsidR="00135527" w:rsidRPr="007668DF">
        <w:rPr>
          <w:rFonts w:ascii="Times New Roman" w:eastAsia="Malgun Gothic" w:hAnsi="Times New Roman"/>
          <w:sz w:val="24"/>
          <w:szCs w:val="24"/>
        </w:rPr>
        <w:t>.</w:t>
      </w:r>
      <w:r w:rsidR="00135527" w:rsidRPr="007668DF">
        <w:rPr>
          <w:rFonts w:ascii="Times New Roman" w:eastAsia="Malgun Gothic" w:hAnsi="Times New Roman"/>
          <w:sz w:val="24"/>
          <w:szCs w:val="24"/>
        </w:rPr>
        <w:tab/>
      </w:r>
      <w:r w:rsidR="00C025F5" w:rsidRPr="007668DF">
        <w:rPr>
          <w:rFonts w:ascii="Times New Roman" w:eastAsia="Malgun Gothic" w:hAnsi="Times New Roman"/>
          <w:sz w:val="24"/>
          <w:szCs w:val="24"/>
        </w:rPr>
        <w:t>L</w:t>
      </w:r>
      <w:r w:rsidR="00135527" w:rsidRPr="007668DF">
        <w:rPr>
          <w:rFonts w:ascii="Times New Roman" w:eastAsia="Malgun Gothic" w:hAnsi="Times New Roman"/>
          <w:sz w:val="24"/>
          <w:szCs w:val="24"/>
        </w:rPr>
        <w:t xml:space="preserve">es conflits </w:t>
      </w:r>
      <w:r w:rsidR="00AB43B5">
        <w:rPr>
          <w:rFonts w:ascii="Times New Roman" w:eastAsia="Malgun Gothic" w:hAnsi="Times New Roman"/>
          <w:sz w:val="24"/>
          <w:szCs w:val="24"/>
        </w:rPr>
        <w:t>inter</w:t>
      </w:r>
      <w:r w:rsidR="00135527" w:rsidRPr="007668DF">
        <w:rPr>
          <w:rFonts w:ascii="Times New Roman" w:eastAsia="Malgun Gothic" w:hAnsi="Times New Roman"/>
          <w:sz w:val="24"/>
          <w:szCs w:val="24"/>
        </w:rPr>
        <w:t xml:space="preserve"> et</w:t>
      </w:r>
      <w:r w:rsidR="00AB43B5">
        <w:rPr>
          <w:rFonts w:ascii="Times New Roman" w:eastAsia="Malgun Gothic" w:hAnsi="Times New Roman"/>
          <w:sz w:val="24"/>
          <w:szCs w:val="24"/>
        </w:rPr>
        <w:t xml:space="preserve"> intra</w:t>
      </w:r>
      <w:r w:rsidR="00AB43B5" w:rsidRPr="007668DF">
        <w:rPr>
          <w:rFonts w:ascii="Times New Roman" w:eastAsia="Malgun Gothic" w:hAnsi="Times New Roman"/>
          <w:sz w:val="24"/>
          <w:szCs w:val="24"/>
        </w:rPr>
        <w:t>-communautaires</w:t>
      </w:r>
      <w:r w:rsidR="00135527" w:rsidRPr="007668DF">
        <w:rPr>
          <w:rFonts w:ascii="Times New Roman" w:eastAsia="Malgun Gothic" w:hAnsi="Times New Roman"/>
          <w:sz w:val="24"/>
          <w:szCs w:val="24"/>
        </w:rPr>
        <w:t xml:space="preserve"> </w:t>
      </w:r>
      <w:r w:rsidR="002A28A1">
        <w:rPr>
          <w:rFonts w:ascii="Times New Roman" w:eastAsia="Malgun Gothic" w:hAnsi="Times New Roman"/>
          <w:sz w:val="24"/>
          <w:szCs w:val="24"/>
        </w:rPr>
        <w:t>présentent des risques non négligeables dans le processus de réconciliation nationale et le retour effectif des personnes déplacées</w:t>
      </w:r>
      <w:r w:rsidR="002A78D8">
        <w:rPr>
          <w:rFonts w:ascii="Times New Roman" w:eastAsia="Malgun Gothic" w:hAnsi="Times New Roman"/>
          <w:sz w:val="24"/>
          <w:szCs w:val="24"/>
        </w:rPr>
        <w:t xml:space="preserve"> internes</w:t>
      </w:r>
      <w:r w:rsidR="002A28A1">
        <w:rPr>
          <w:rFonts w:ascii="Times New Roman" w:eastAsia="Malgun Gothic" w:hAnsi="Times New Roman"/>
          <w:sz w:val="24"/>
          <w:szCs w:val="24"/>
        </w:rPr>
        <w:t xml:space="preserve"> et r</w:t>
      </w:r>
      <w:r w:rsidR="002A78D8">
        <w:rPr>
          <w:rFonts w:ascii="Times New Roman" w:eastAsia="Malgun Gothic" w:hAnsi="Times New Roman"/>
          <w:sz w:val="24"/>
          <w:szCs w:val="24"/>
        </w:rPr>
        <w:t>é</w:t>
      </w:r>
      <w:r w:rsidR="002A28A1">
        <w:rPr>
          <w:rFonts w:ascii="Times New Roman" w:eastAsia="Malgun Gothic" w:hAnsi="Times New Roman"/>
          <w:sz w:val="24"/>
          <w:szCs w:val="24"/>
        </w:rPr>
        <w:t xml:space="preserve">fugiés. </w:t>
      </w:r>
      <w:r w:rsidR="00135527" w:rsidRPr="007668DF">
        <w:rPr>
          <w:rFonts w:ascii="Times New Roman" w:eastAsia="Malgun Gothic" w:hAnsi="Times New Roman"/>
          <w:sz w:val="24"/>
          <w:szCs w:val="24"/>
        </w:rPr>
        <w:t xml:space="preserve">Les risques de représailles sont significatifs </w:t>
      </w:r>
      <w:r w:rsidR="002A28A1">
        <w:rPr>
          <w:rFonts w:ascii="Times New Roman" w:eastAsia="Malgun Gothic" w:hAnsi="Times New Roman"/>
          <w:sz w:val="24"/>
          <w:szCs w:val="24"/>
        </w:rPr>
        <w:t xml:space="preserve">d’une part, </w:t>
      </w:r>
      <w:r w:rsidR="00135527" w:rsidRPr="007668DF">
        <w:rPr>
          <w:rFonts w:ascii="Times New Roman" w:eastAsia="Malgun Gothic" w:hAnsi="Times New Roman"/>
          <w:sz w:val="24"/>
          <w:szCs w:val="24"/>
        </w:rPr>
        <w:t>entre les individus associés ou accusés d'être associés à des groupes armés</w:t>
      </w:r>
      <w:r w:rsidR="002A28A1">
        <w:rPr>
          <w:rFonts w:ascii="Times New Roman" w:eastAsia="Malgun Gothic" w:hAnsi="Times New Roman"/>
          <w:sz w:val="24"/>
          <w:szCs w:val="24"/>
        </w:rPr>
        <w:t xml:space="preserve"> et d’autre part </w:t>
      </w:r>
      <w:r w:rsidR="00EB5B13">
        <w:rPr>
          <w:rFonts w:ascii="Times New Roman" w:eastAsia="Malgun Gothic" w:hAnsi="Times New Roman"/>
          <w:sz w:val="24"/>
          <w:szCs w:val="24"/>
        </w:rPr>
        <w:t xml:space="preserve">entre </w:t>
      </w:r>
      <w:r w:rsidR="00135527" w:rsidRPr="007668DF">
        <w:rPr>
          <w:rFonts w:ascii="Times New Roman" w:eastAsia="Malgun Gothic" w:hAnsi="Times New Roman"/>
          <w:sz w:val="24"/>
          <w:szCs w:val="24"/>
        </w:rPr>
        <w:t xml:space="preserve">les populations sédentaires et </w:t>
      </w:r>
      <w:r w:rsidR="006E2DB6" w:rsidRPr="007668DF">
        <w:rPr>
          <w:rFonts w:ascii="Times New Roman" w:eastAsia="Malgun Gothic" w:hAnsi="Times New Roman"/>
          <w:sz w:val="24"/>
          <w:szCs w:val="24"/>
        </w:rPr>
        <w:t xml:space="preserve">celles </w:t>
      </w:r>
      <w:r w:rsidR="002A28A1">
        <w:rPr>
          <w:rFonts w:ascii="Times New Roman" w:eastAsia="Malgun Gothic" w:hAnsi="Times New Roman"/>
          <w:sz w:val="24"/>
          <w:szCs w:val="24"/>
        </w:rPr>
        <w:t xml:space="preserve">déplacées. </w:t>
      </w:r>
    </w:p>
    <w:p w:rsidR="006948B4" w:rsidRPr="007668DF" w:rsidRDefault="006948B4" w:rsidP="006C2FA0">
      <w:pPr>
        <w:tabs>
          <w:tab w:val="left" w:pos="567"/>
        </w:tabs>
        <w:jc w:val="both"/>
        <w:rPr>
          <w:rFonts w:ascii="Times New Roman" w:eastAsia="Malgun Gothic" w:hAnsi="Times New Roman"/>
          <w:sz w:val="24"/>
          <w:szCs w:val="24"/>
        </w:rPr>
      </w:pPr>
    </w:p>
    <w:p w:rsidR="002D153C" w:rsidRPr="006948B4" w:rsidRDefault="00B130F4" w:rsidP="006948B4">
      <w:pPr>
        <w:pStyle w:val="Title"/>
        <w:numPr>
          <w:ilvl w:val="0"/>
          <w:numId w:val="0"/>
        </w:numPr>
        <w:ind w:left="720"/>
      </w:pPr>
      <w:bookmarkStart w:id="19" w:name="_Toc401931498"/>
      <w:r w:rsidRPr="007668DF">
        <w:t>VII</w:t>
      </w:r>
      <w:r w:rsidR="00CB5EDA" w:rsidRPr="007668DF">
        <w:rPr>
          <w:lang w:val="fr-CH"/>
        </w:rPr>
        <w:t>I</w:t>
      </w:r>
      <w:r w:rsidRPr="007668DF">
        <w:t>.</w:t>
      </w:r>
      <w:r w:rsidR="00AF5742">
        <w:tab/>
      </w:r>
      <w:r w:rsidR="003D57B8" w:rsidRPr="007668DF">
        <w:t xml:space="preserve">Protection des femmes et des </w:t>
      </w:r>
      <w:r w:rsidR="00C74DFE" w:rsidRPr="007668DF">
        <w:t>enfants</w:t>
      </w:r>
      <w:bookmarkEnd w:id="19"/>
      <w:r w:rsidR="00C74DFE" w:rsidRPr="007668DF">
        <w:t xml:space="preserve"> </w:t>
      </w:r>
    </w:p>
    <w:p w:rsidR="002D153C" w:rsidRPr="007668DF" w:rsidRDefault="002D153C" w:rsidP="006C2FA0">
      <w:pPr>
        <w:tabs>
          <w:tab w:val="left" w:pos="567"/>
          <w:tab w:val="left" w:pos="709"/>
        </w:tabs>
        <w:spacing w:after="0"/>
        <w:jc w:val="both"/>
        <w:rPr>
          <w:rFonts w:ascii="Times New Roman" w:hAnsi="Times New Roman"/>
          <w:i/>
          <w:sz w:val="24"/>
          <w:szCs w:val="24"/>
        </w:rPr>
      </w:pPr>
      <w:r w:rsidRPr="007668DF">
        <w:rPr>
          <w:rFonts w:ascii="Times New Roman" w:hAnsi="Times New Roman"/>
          <w:i/>
          <w:sz w:val="24"/>
          <w:szCs w:val="24"/>
        </w:rPr>
        <w:tab/>
        <w:t>Violences à l’encontre des femmes</w:t>
      </w:r>
    </w:p>
    <w:p w:rsidR="003D57B8" w:rsidRPr="007668DF" w:rsidRDefault="00F163E1" w:rsidP="006C2FA0">
      <w:pPr>
        <w:tabs>
          <w:tab w:val="left" w:pos="567"/>
          <w:tab w:val="left" w:pos="709"/>
        </w:tabs>
        <w:spacing w:after="0"/>
        <w:jc w:val="both"/>
        <w:rPr>
          <w:rFonts w:ascii="Times New Roman" w:hAnsi="Times New Roman"/>
          <w:sz w:val="24"/>
          <w:szCs w:val="24"/>
        </w:rPr>
      </w:pPr>
      <w:r w:rsidRPr="007668DF">
        <w:rPr>
          <w:rFonts w:ascii="Times New Roman" w:hAnsi="Times New Roman"/>
          <w:sz w:val="24"/>
          <w:szCs w:val="24"/>
        </w:rPr>
        <w:br/>
      </w:r>
      <w:r w:rsidR="006A45E8">
        <w:rPr>
          <w:rFonts w:ascii="Times New Roman" w:hAnsi="Times New Roman"/>
          <w:bCs/>
          <w:sz w:val="24"/>
          <w:szCs w:val="24"/>
        </w:rPr>
        <w:t>79</w:t>
      </w:r>
      <w:r w:rsidR="00375593" w:rsidRPr="007668DF">
        <w:rPr>
          <w:rFonts w:ascii="Times New Roman" w:hAnsi="Times New Roman"/>
          <w:bCs/>
          <w:sz w:val="24"/>
          <w:szCs w:val="24"/>
        </w:rPr>
        <w:t>.</w:t>
      </w:r>
      <w:r w:rsidR="00375593" w:rsidRPr="007668DF">
        <w:rPr>
          <w:rFonts w:ascii="Times New Roman" w:hAnsi="Times New Roman"/>
          <w:bCs/>
          <w:sz w:val="24"/>
          <w:szCs w:val="24"/>
        </w:rPr>
        <w:tab/>
      </w:r>
      <w:r w:rsidR="003D57B8" w:rsidRPr="007668DF">
        <w:rPr>
          <w:rFonts w:ascii="Times New Roman" w:hAnsi="Times New Roman"/>
          <w:bCs/>
          <w:sz w:val="24"/>
          <w:szCs w:val="24"/>
        </w:rPr>
        <w:t>L</w:t>
      </w:r>
      <w:r w:rsidR="00103A6B" w:rsidRPr="007668DF">
        <w:rPr>
          <w:rFonts w:ascii="Times New Roman" w:hAnsi="Times New Roman"/>
          <w:bCs/>
          <w:sz w:val="24"/>
          <w:szCs w:val="24"/>
        </w:rPr>
        <w:t>es</w:t>
      </w:r>
      <w:r w:rsidR="003D57B8" w:rsidRPr="007668DF">
        <w:rPr>
          <w:rFonts w:ascii="Times New Roman" w:hAnsi="Times New Roman"/>
          <w:bCs/>
          <w:sz w:val="24"/>
          <w:szCs w:val="24"/>
        </w:rPr>
        <w:t xml:space="preserve"> </w:t>
      </w:r>
      <w:r w:rsidR="00103A6B" w:rsidRPr="007668DF">
        <w:rPr>
          <w:rFonts w:ascii="Times New Roman" w:hAnsi="Times New Roman"/>
          <w:bCs/>
          <w:sz w:val="24"/>
          <w:szCs w:val="24"/>
        </w:rPr>
        <w:t>violences</w:t>
      </w:r>
      <w:r w:rsidR="003D57B8" w:rsidRPr="007668DF">
        <w:rPr>
          <w:rFonts w:ascii="Times New Roman" w:hAnsi="Times New Roman"/>
          <w:bCs/>
          <w:sz w:val="24"/>
          <w:szCs w:val="24"/>
        </w:rPr>
        <w:t xml:space="preserve"> et </w:t>
      </w:r>
      <w:r w:rsidR="00103A6B" w:rsidRPr="007668DF">
        <w:rPr>
          <w:rFonts w:ascii="Times New Roman" w:hAnsi="Times New Roman"/>
          <w:bCs/>
          <w:sz w:val="24"/>
          <w:szCs w:val="24"/>
        </w:rPr>
        <w:t>les discriminations</w:t>
      </w:r>
      <w:r w:rsidR="003D57B8" w:rsidRPr="007668DF">
        <w:rPr>
          <w:rFonts w:ascii="Times New Roman" w:hAnsi="Times New Roman"/>
          <w:bCs/>
          <w:sz w:val="24"/>
          <w:szCs w:val="24"/>
        </w:rPr>
        <w:t xml:space="preserve"> </w:t>
      </w:r>
      <w:r w:rsidR="002A28A1">
        <w:rPr>
          <w:rFonts w:ascii="Times New Roman" w:hAnsi="Times New Roman"/>
          <w:bCs/>
          <w:sz w:val="24"/>
          <w:szCs w:val="24"/>
        </w:rPr>
        <w:t>à l’égard</w:t>
      </w:r>
      <w:r w:rsidR="00C025F5" w:rsidRPr="007668DF">
        <w:rPr>
          <w:rFonts w:ascii="Times New Roman" w:hAnsi="Times New Roman"/>
          <w:bCs/>
          <w:sz w:val="24"/>
          <w:szCs w:val="24"/>
        </w:rPr>
        <w:t xml:space="preserve"> </w:t>
      </w:r>
      <w:r w:rsidR="002A28A1">
        <w:rPr>
          <w:rFonts w:ascii="Times New Roman" w:hAnsi="Times New Roman"/>
          <w:bCs/>
          <w:sz w:val="24"/>
          <w:szCs w:val="24"/>
        </w:rPr>
        <w:t>d</w:t>
      </w:r>
      <w:r w:rsidR="003D57B8" w:rsidRPr="007668DF">
        <w:rPr>
          <w:rFonts w:ascii="Times New Roman" w:hAnsi="Times New Roman"/>
          <w:bCs/>
          <w:sz w:val="24"/>
          <w:szCs w:val="24"/>
        </w:rPr>
        <w:t xml:space="preserve">es femmes dans le </w:t>
      </w:r>
      <w:r w:rsidR="001C1616" w:rsidRPr="007668DF">
        <w:rPr>
          <w:rFonts w:ascii="Times New Roman" w:hAnsi="Times New Roman"/>
          <w:bCs/>
          <w:sz w:val="24"/>
          <w:szCs w:val="24"/>
        </w:rPr>
        <w:t>n</w:t>
      </w:r>
      <w:r w:rsidR="003D57B8" w:rsidRPr="007668DF">
        <w:rPr>
          <w:rFonts w:ascii="Times New Roman" w:hAnsi="Times New Roman"/>
          <w:bCs/>
          <w:sz w:val="24"/>
          <w:szCs w:val="24"/>
        </w:rPr>
        <w:t xml:space="preserve">ord du </w:t>
      </w:r>
      <w:r w:rsidR="00103A6B" w:rsidRPr="007668DF">
        <w:rPr>
          <w:rFonts w:ascii="Times New Roman" w:hAnsi="Times New Roman"/>
          <w:bCs/>
          <w:sz w:val="24"/>
          <w:szCs w:val="24"/>
        </w:rPr>
        <w:t>M</w:t>
      </w:r>
      <w:r w:rsidR="003D57B8" w:rsidRPr="007668DF">
        <w:rPr>
          <w:rFonts w:ascii="Times New Roman" w:hAnsi="Times New Roman"/>
          <w:bCs/>
          <w:sz w:val="24"/>
          <w:szCs w:val="24"/>
        </w:rPr>
        <w:t xml:space="preserve">ali </w:t>
      </w:r>
      <w:r w:rsidR="003D57B8" w:rsidRPr="007668DF">
        <w:rPr>
          <w:rFonts w:ascii="Times New Roman" w:hAnsi="Times New Roman"/>
          <w:sz w:val="24"/>
          <w:szCs w:val="24"/>
        </w:rPr>
        <w:t>rest</w:t>
      </w:r>
      <w:r w:rsidR="00C025F5" w:rsidRPr="007668DF">
        <w:rPr>
          <w:rFonts w:ascii="Times New Roman" w:hAnsi="Times New Roman"/>
          <w:sz w:val="24"/>
          <w:szCs w:val="24"/>
        </w:rPr>
        <w:t xml:space="preserve">ent </w:t>
      </w:r>
      <w:r w:rsidR="003D57B8" w:rsidRPr="007668DF">
        <w:rPr>
          <w:rFonts w:ascii="Times New Roman" w:hAnsi="Times New Roman"/>
          <w:sz w:val="24"/>
          <w:szCs w:val="24"/>
        </w:rPr>
        <w:t>une source de préoccupation majeure. Le contexte d’insécurité, l’accès limit</w:t>
      </w:r>
      <w:r w:rsidR="006E2DB6" w:rsidRPr="007668DF">
        <w:rPr>
          <w:rFonts w:ascii="Times New Roman" w:hAnsi="Times New Roman"/>
          <w:sz w:val="24"/>
          <w:szCs w:val="24"/>
        </w:rPr>
        <w:t>é</w:t>
      </w:r>
      <w:r w:rsidR="003D57B8" w:rsidRPr="007668DF">
        <w:rPr>
          <w:rFonts w:ascii="Times New Roman" w:hAnsi="Times New Roman"/>
          <w:sz w:val="24"/>
          <w:szCs w:val="24"/>
        </w:rPr>
        <w:t xml:space="preserve"> des acteurs de protection</w:t>
      </w:r>
      <w:r w:rsidR="007D0390" w:rsidRPr="007668DF">
        <w:rPr>
          <w:rFonts w:ascii="Times New Roman" w:hAnsi="Times New Roman"/>
          <w:sz w:val="24"/>
          <w:szCs w:val="24"/>
        </w:rPr>
        <w:t xml:space="preserve"> </w:t>
      </w:r>
      <w:r w:rsidR="00B71A48" w:rsidRPr="007668DF">
        <w:rPr>
          <w:rFonts w:ascii="Times New Roman" w:hAnsi="Times New Roman"/>
          <w:sz w:val="24"/>
          <w:szCs w:val="24"/>
        </w:rPr>
        <w:t xml:space="preserve">ont pour </w:t>
      </w:r>
      <w:r w:rsidR="00447B92" w:rsidRPr="007668DF">
        <w:rPr>
          <w:rFonts w:ascii="Times New Roman" w:hAnsi="Times New Roman"/>
          <w:sz w:val="24"/>
          <w:szCs w:val="24"/>
        </w:rPr>
        <w:t xml:space="preserve">conséquence </w:t>
      </w:r>
      <w:r w:rsidR="003D57B8" w:rsidRPr="007668DF">
        <w:rPr>
          <w:rFonts w:ascii="Times New Roman" w:hAnsi="Times New Roman"/>
          <w:sz w:val="24"/>
          <w:szCs w:val="24"/>
        </w:rPr>
        <w:t>de maintenir les femmes et les enfants dans une situation de vulnérabilité.</w:t>
      </w:r>
      <w:r w:rsidR="004D6820" w:rsidRPr="007668DF">
        <w:rPr>
          <w:rFonts w:ascii="Times New Roman" w:hAnsi="Times New Roman"/>
          <w:sz w:val="24"/>
          <w:szCs w:val="24"/>
        </w:rPr>
        <w:t xml:space="preserve"> </w:t>
      </w:r>
      <w:r w:rsidR="00EB5B13">
        <w:rPr>
          <w:rFonts w:ascii="Times New Roman" w:hAnsi="Times New Roman"/>
          <w:sz w:val="24"/>
          <w:szCs w:val="24"/>
        </w:rPr>
        <w:t>Outre</w:t>
      </w:r>
      <w:r w:rsidR="00EB5B13" w:rsidRPr="007668DF">
        <w:rPr>
          <w:rFonts w:ascii="Times New Roman" w:hAnsi="Times New Roman"/>
          <w:sz w:val="24"/>
          <w:szCs w:val="24"/>
        </w:rPr>
        <w:t xml:space="preserve"> </w:t>
      </w:r>
      <w:r w:rsidR="00963C92" w:rsidRPr="007668DF">
        <w:rPr>
          <w:rFonts w:ascii="Times New Roman" w:hAnsi="Times New Roman"/>
          <w:sz w:val="24"/>
          <w:szCs w:val="24"/>
        </w:rPr>
        <w:t xml:space="preserve">le fait que la Division des droits de l’homme ne dispose pas de statistiques exactes, </w:t>
      </w:r>
      <w:r w:rsidR="002F686C" w:rsidRPr="007668DF">
        <w:rPr>
          <w:rFonts w:ascii="Times New Roman" w:hAnsi="Times New Roman"/>
          <w:sz w:val="24"/>
          <w:szCs w:val="24"/>
        </w:rPr>
        <w:t>certaines</w:t>
      </w:r>
      <w:r w:rsidR="003D57B8" w:rsidRPr="007668DF">
        <w:rPr>
          <w:rFonts w:ascii="Times New Roman" w:hAnsi="Times New Roman"/>
          <w:sz w:val="24"/>
          <w:szCs w:val="24"/>
        </w:rPr>
        <w:t xml:space="preserve"> femmes </w:t>
      </w:r>
      <w:r w:rsidR="00C025F5" w:rsidRPr="007668DF">
        <w:rPr>
          <w:rFonts w:ascii="Times New Roman" w:hAnsi="Times New Roman"/>
          <w:sz w:val="24"/>
          <w:szCs w:val="24"/>
        </w:rPr>
        <w:t xml:space="preserve">particulièrement </w:t>
      </w:r>
      <w:r w:rsidR="003D57B8" w:rsidRPr="007668DF">
        <w:rPr>
          <w:rFonts w:ascii="Times New Roman" w:hAnsi="Times New Roman"/>
          <w:sz w:val="24"/>
          <w:szCs w:val="24"/>
        </w:rPr>
        <w:t>au sein de la population de</w:t>
      </w:r>
      <w:r w:rsidR="00EB5B13">
        <w:rPr>
          <w:rFonts w:ascii="Times New Roman" w:hAnsi="Times New Roman"/>
          <w:sz w:val="24"/>
          <w:szCs w:val="24"/>
        </w:rPr>
        <w:t>s</w:t>
      </w:r>
      <w:r w:rsidR="003D57B8" w:rsidRPr="007668DF">
        <w:rPr>
          <w:rFonts w:ascii="Times New Roman" w:hAnsi="Times New Roman"/>
          <w:sz w:val="24"/>
          <w:szCs w:val="24"/>
        </w:rPr>
        <w:t xml:space="preserve"> personnes déplacées internes, </w:t>
      </w:r>
      <w:r w:rsidR="00B71A48" w:rsidRPr="007668DF">
        <w:rPr>
          <w:rFonts w:ascii="Times New Roman" w:hAnsi="Times New Roman"/>
          <w:sz w:val="24"/>
          <w:szCs w:val="24"/>
        </w:rPr>
        <w:t xml:space="preserve">ont été victimes de </w:t>
      </w:r>
      <w:r w:rsidR="003D57B8" w:rsidRPr="007668DF">
        <w:rPr>
          <w:rFonts w:ascii="Times New Roman" w:hAnsi="Times New Roman"/>
          <w:sz w:val="24"/>
          <w:szCs w:val="24"/>
        </w:rPr>
        <w:t>violence sexuelle</w:t>
      </w:r>
      <w:r w:rsidR="00447B92" w:rsidRPr="007668DF">
        <w:rPr>
          <w:rFonts w:ascii="Times New Roman" w:hAnsi="Times New Roman"/>
          <w:sz w:val="24"/>
          <w:szCs w:val="24"/>
        </w:rPr>
        <w:t xml:space="preserve"> et </w:t>
      </w:r>
      <w:r w:rsidR="00B71A48" w:rsidRPr="007668DF">
        <w:rPr>
          <w:rFonts w:ascii="Times New Roman" w:hAnsi="Times New Roman"/>
          <w:sz w:val="24"/>
          <w:szCs w:val="24"/>
        </w:rPr>
        <w:t>basées sur le genre</w:t>
      </w:r>
      <w:r w:rsidR="00C025F5" w:rsidRPr="007668DF">
        <w:rPr>
          <w:rFonts w:ascii="Times New Roman" w:hAnsi="Times New Roman"/>
          <w:sz w:val="24"/>
          <w:szCs w:val="24"/>
        </w:rPr>
        <w:t xml:space="preserve">, </w:t>
      </w:r>
      <w:r w:rsidR="00B71A48" w:rsidRPr="007668DF">
        <w:rPr>
          <w:rFonts w:ascii="Times New Roman" w:hAnsi="Times New Roman"/>
          <w:sz w:val="24"/>
          <w:szCs w:val="24"/>
        </w:rPr>
        <w:t xml:space="preserve">et </w:t>
      </w:r>
      <w:r w:rsidR="00C025F5" w:rsidRPr="007668DF">
        <w:rPr>
          <w:rFonts w:ascii="Times New Roman" w:hAnsi="Times New Roman"/>
          <w:sz w:val="24"/>
          <w:szCs w:val="24"/>
        </w:rPr>
        <w:t xml:space="preserve">ont fait face </w:t>
      </w:r>
      <w:r w:rsidR="00447B92" w:rsidRPr="007668DF">
        <w:rPr>
          <w:rFonts w:ascii="Times New Roman" w:hAnsi="Times New Roman"/>
          <w:sz w:val="24"/>
          <w:szCs w:val="24"/>
        </w:rPr>
        <w:t xml:space="preserve">à l’insécurité alimentaire </w:t>
      </w:r>
      <w:r w:rsidR="003D57B8" w:rsidRPr="007668DF">
        <w:rPr>
          <w:rFonts w:ascii="Times New Roman" w:hAnsi="Times New Roman"/>
          <w:sz w:val="24"/>
          <w:szCs w:val="24"/>
        </w:rPr>
        <w:t>dans les régions de Gao</w:t>
      </w:r>
      <w:r w:rsidR="00103A6B" w:rsidRPr="007668DF">
        <w:rPr>
          <w:rFonts w:ascii="Times New Roman" w:hAnsi="Times New Roman"/>
          <w:sz w:val="24"/>
          <w:szCs w:val="24"/>
        </w:rPr>
        <w:t>,</w:t>
      </w:r>
      <w:r w:rsidR="003D57B8" w:rsidRPr="007668DF">
        <w:rPr>
          <w:rFonts w:ascii="Times New Roman" w:hAnsi="Times New Roman"/>
          <w:sz w:val="24"/>
          <w:szCs w:val="24"/>
        </w:rPr>
        <w:t xml:space="preserve"> Kidal</w:t>
      </w:r>
      <w:r w:rsidR="00103A6B" w:rsidRPr="007668DF">
        <w:rPr>
          <w:rFonts w:ascii="Times New Roman" w:hAnsi="Times New Roman"/>
          <w:sz w:val="24"/>
          <w:szCs w:val="24"/>
        </w:rPr>
        <w:t xml:space="preserve">, Mopti, </w:t>
      </w:r>
      <w:r w:rsidR="00C5182A" w:rsidRPr="007668DF">
        <w:rPr>
          <w:rFonts w:ascii="Times New Roman" w:hAnsi="Times New Roman"/>
          <w:sz w:val="24"/>
          <w:szCs w:val="24"/>
        </w:rPr>
        <w:t xml:space="preserve">et </w:t>
      </w:r>
      <w:r w:rsidR="00103A6B" w:rsidRPr="007668DF">
        <w:rPr>
          <w:rFonts w:ascii="Times New Roman" w:hAnsi="Times New Roman"/>
          <w:sz w:val="24"/>
          <w:szCs w:val="24"/>
        </w:rPr>
        <w:t>Tombouctou</w:t>
      </w:r>
      <w:r w:rsidR="003D57B8" w:rsidRPr="007668DF">
        <w:rPr>
          <w:rFonts w:ascii="Times New Roman" w:hAnsi="Times New Roman"/>
          <w:sz w:val="24"/>
          <w:szCs w:val="24"/>
        </w:rPr>
        <w:t xml:space="preserve">. </w:t>
      </w:r>
    </w:p>
    <w:p w:rsidR="005668DF" w:rsidRPr="007668DF" w:rsidRDefault="005668DF" w:rsidP="006C2FA0">
      <w:pPr>
        <w:tabs>
          <w:tab w:val="left" w:pos="567"/>
          <w:tab w:val="left" w:pos="709"/>
        </w:tabs>
        <w:spacing w:after="0"/>
        <w:jc w:val="both"/>
        <w:rPr>
          <w:rFonts w:ascii="Times New Roman" w:hAnsi="Times New Roman"/>
          <w:b/>
          <w:bCs/>
          <w:sz w:val="24"/>
          <w:szCs w:val="24"/>
        </w:rPr>
      </w:pPr>
    </w:p>
    <w:p w:rsidR="003D57B8" w:rsidRPr="007668DF" w:rsidRDefault="006A45E8" w:rsidP="006C2FA0">
      <w:pPr>
        <w:tabs>
          <w:tab w:val="left" w:pos="567"/>
          <w:tab w:val="left" w:pos="709"/>
        </w:tabs>
        <w:spacing w:after="0"/>
        <w:jc w:val="both"/>
        <w:rPr>
          <w:rFonts w:ascii="Times New Roman" w:hAnsi="Times New Roman"/>
          <w:sz w:val="24"/>
          <w:szCs w:val="24"/>
        </w:rPr>
      </w:pPr>
      <w:r>
        <w:rPr>
          <w:rFonts w:ascii="Times New Roman" w:hAnsi="Times New Roman"/>
          <w:sz w:val="24"/>
          <w:szCs w:val="24"/>
        </w:rPr>
        <w:t>80</w:t>
      </w:r>
      <w:r w:rsidR="00375593" w:rsidRPr="007668DF">
        <w:rPr>
          <w:rFonts w:ascii="Times New Roman" w:hAnsi="Times New Roman"/>
          <w:sz w:val="24"/>
          <w:szCs w:val="24"/>
        </w:rPr>
        <w:t>.</w:t>
      </w:r>
      <w:r w:rsidR="00375593" w:rsidRPr="007668DF">
        <w:rPr>
          <w:rFonts w:ascii="Times New Roman" w:hAnsi="Times New Roman"/>
          <w:sz w:val="24"/>
          <w:szCs w:val="24"/>
        </w:rPr>
        <w:tab/>
      </w:r>
      <w:r w:rsidR="00C025F5" w:rsidRPr="007668DF">
        <w:rPr>
          <w:rFonts w:ascii="Times New Roman" w:hAnsi="Times New Roman"/>
          <w:sz w:val="24"/>
          <w:szCs w:val="24"/>
        </w:rPr>
        <w:t xml:space="preserve">Malgré une présence permanente de la Division des droits de l’homme dans le nord depuis juillet 2013, elle </w:t>
      </w:r>
      <w:r w:rsidR="00EB5B13">
        <w:rPr>
          <w:rFonts w:ascii="Times New Roman" w:hAnsi="Times New Roman"/>
          <w:sz w:val="24"/>
          <w:szCs w:val="24"/>
        </w:rPr>
        <w:t>n’</w:t>
      </w:r>
      <w:r w:rsidR="00C025F5" w:rsidRPr="007668DF">
        <w:rPr>
          <w:rFonts w:ascii="Times New Roman" w:hAnsi="Times New Roman"/>
          <w:sz w:val="24"/>
          <w:szCs w:val="24"/>
        </w:rPr>
        <w:t xml:space="preserve">a </w:t>
      </w:r>
      <w:r w:rsidR="003D57B8" w:rsidRPr="007668DF">
        <w:rPr>
          <w:rFonts w:ascii="Times New Roman" w:hAnsi="Times New Roman"/>
          <w:sz w:val="24"/>
          <w:szCs w:val="24"/>
        </w:rPr>
        <w:t xml:space="preserve">été en mesure de documenter et de vérifier </w:t>
      </w:r>
      <w:r w:rsidR="00EB5B13">
        <w:rPr>
          <w:rFonts w:ascii="Times New Roman" w:hAnsi="Times New Roman"/>
          <w:sz w:val="24"/>
          <w:szCs w:val="24"/>
        </w:rPr>
        <w:t>qu’</w:t>
      </w:r>
      <w:r w:rsidR="003D57B8" w:rsidRPr="007668DF">
        <w:rPr>
          <w:rFonts w:ascii="Times New Roman" w:hAnsi="Times New Roman"/>
          <w:sz w:val="24"/>
          <w:szCs w:val="24"/>
        </w:rPr>
        <w:t>un nombre limité d’incidents de violence sexuelle liée au conflit en 2013</w:t>
      </w:r>
      <w:r w:rsidR="002F686C" w:rsidRPr="007668DF">
        <w:rPr>
          <w:rFonts w:ascii="Times New Roman" w:hAnsi="Times New Roman"/>
          <w:sz w:val="24"/>
          <w:szCs w:val="24"/>
        </w:rPr>
        <w:t>.</w:t>
      </w:r>
      <w:r w:rsidR="004D6820" w:rsidRPr="007668DF">
        <w:rPr>
          <w:rFonts w:ascii="Times New Roman" w:hAnsi="Times New Roman"/>
          <w:sz w:val="24"/>
          <w:szCs w:val="24"/>
        </w:rPr>
        <w:t xml:space="preserve"> Les victimes sont confrontées à une multitude d’obstacles, y compris l’absence de tribunaux et de personnel judiciaire, ainsi que l’absence de structures et de protocoles de protection des victimes et </w:t>
      </w:r>
      <w:r w:rsidR="00EB5B13">
        <w:rPr>
          <w:rFonts w:ascii="Times New Roman" w:hAnsi="Times New Roman"/>
          <w:sz w:val="24"/>
          <w:szCs w:val="24"/>
        </w:rPr>
        <w:t xml:space="preserve">des </w:t>
      </w:r>
      <w:r w:rsidR="004D6820" w:rsidRPr="007668DF">
        <w:rPr>
          <w:rFonts w:ascii="Times New Roman" w:hAnsi="Times New Roman"/>
          <w:sz w:val="24"/>
          <w:szCs w:val="24"/>
        </w:rPr>
        <w:t xml:space="preserve">témoins. Dans la plupart des cas, il est extrêmement difficile pour les victimes, témoins et autres sources d’identifier de manière </w:t>
      </w:r>
      <w:r w:rsidR="004D6820" w:rsidRPr="007668DF">
        <w:rPr>
          <w:rFonts w:ascii="Times New Roman" w:hAnsi="Times New Roman"/>
          <w:sz w:val="24"/>
          <w:szCs w:val="24"/>
        </w:rPr>
        <w:lastRenderedPageBreak/>
        <w:t xml:space="preserve">fiable les auteurs présumés ou les groupes armés responsables des violations. En 2013, seules </w:t>
      </w:r>
      <w:r w:rsidR="007C331C">
        <w:rPr>
          <w:rFonts w:ascii="Times New Roman" w:hAnsi="Times New Roman"/>
          <w:sz w:val="24"/>
          <w:szCs w:val="24"/>
        </w:rPr>
        <w:t>7</w:t>
      </w:r>
      <w:r w:rsidR="007C331C" w:rsidRPr="007668DF">
        <w:rPr>
          <w:rFonts w:ascii="Times New Roman" w:hAnsi="Times New Roman"/>
          <w:sz w:val="24"/>
          <w:szCs w:val="24"/>
        </w:rPr>
        <w:t xml:space="preserve"> </w:t>
      </w:r>
      <w:r w:rsidR="004D6820" w:rsidRPr="007668DF">
        <w:rPr>
          <w:rFonts w:ascii="Times New Roman" w:hAnsi="Times New Roman"/>
          <w:sz w:val="24"/>
          <w:szCs w:val="24"/>
        </w:rPr>
        <w:t xml:space="preserve">victimes de violences sexuelles ont engagé des poursuites </w:t>
      </w:r>
      <w:r w:rsidR="007C331C">
        <w:rPr>
          <w:rFonts w:ascii="Times New Roman" w:hAnsi="Times New Roman"/>
          <w:sz w:val="24"/>
          <w:szCs w:val="24"/>
        </w:rPr>
        <w:t>devant la</w:t>
      </w:r>
      <w:r w:rsidR="007C331C" w:rsidRPr="007668DF">
        <w:rPr>
          <w:rFonts w:ascii="Times New Roman" w:hAnsi="Times New Roman"/>
          <w:sz w:val="24"/>
          <w:szCs w:val="24"/>
        </w:rPr>
        <w:t xml:space="preserve"> </w:t>
      </w:r>
      <w:r w:rsidR="004D6820" w:rsidRPr="007668DF">
        <w:rPr>
          <w:rFonts w:ascii="Times New Roman" w:hAnsi="Times New Roman"/>
          <w:sz w:val="24"/>
          <w:szCs w:val="24"/>
        </w:rPr>
        <w:t xml:space="preserve">justice. </w:t>
      </w:r>
      <w:r w:rsidR="00BC4286" w:rsidRPr="007668DF">
        <w:rPr>
          <w:rFonts w:ascii="Times New Roman" w:hAnsi="Times New Roman"/>
          <w:sz w:val="24"/>
          <w:szCs w:val="24"/>
        </w:rPr>
        <w:t>De plus</w:t>
      </w:r>
      <w:r w:rsidR="00CF3F28" w:rsidRPr="007668DF">
        <w:rPr>
          <w:rFonts w:ascii="Times New Roman" w:hAnsi="Times New Roman"/>
          <w:sz w:val="24"/>
          <w:szCs w:val="24"/>
        </w:rPr>
        <w:t>, souvent l</w:t>
      </w:r>
      <w:r w:rsidR="003D57B8" w:rsidRPr="007668DF">
        <w:rPr>
          <w:rFonts w:ascii="Times New Roman" w:hAnsi="Times New Roman"/>
          <w:sz w:val="24"/>
          <w:szCs w:val="24"/>
        </w:rPr>
        <w:t xml:space="preserve">es victimes </w:t>
      </w:r>
      <w:r w:rsidR="00CF3F28" w:rsidRPr="007668DF">
        <w:rPr>
          <w:rFonts w:ascii="Times New Roman" w:hAnsi="Times New Roman"/>
          <w:sz w:val="24"/>
          <w:szCs w:val="24"/>
        </w:rPr>
        <w:t xml:space="preserve">ne </w:t>
      </w:r>
      <w:r w:rsidR="003D57B8" w:rsidRPr="007668DF">
        <w:rPr>
          <w:rFonts w:ascii="Times New Roman" w:hAnsi="Times New Roman"/>
          <w:sz w:val="24"/>
          <w:szCs w:val="24"/>
        </w:rPr>
        <w:t>rapporte</w:t>
      </w:r>
      <w:r w:rsidR="00CF3F28" w:rsidRPr="007668DF">
        <w:rPr>
          <w:rFonts w:ascii="Times New Roman" w:hAnsi="Times New Roman"/>
          <w:sz w:val="24"/>
          <w:szCs w:val="24"/>
        </w:rPr>
        <w:t>nt pas</w:t>
      </w:r>
      <w:r w:rsidR="003D57B8" w:rsidRPr="007668DF">
        <w:rPr>
          <w:rFonts w:ascii="Times New Roman" w:hAnsi="Times New Roman"/>
          <w:sz w:val="24"/>
          <w:szCs w:val="24"/>
        </w:rPr>
        <w:t xml:space="preserve"> les incidents par</w:t>
      </w:r>
      <w:r w:rsidR="00462AFD">
        <w:rPr>
          <w:rFonts w:ascii="Times New Roman" w:hAnsi="Times New Roman"/>
          <w:sz w:val="24"/>
          <w:szCs w:val="24"/>
        </w:rPr>
        <w:t xml:space="preserve"> </w:t>
      </w:r>
      <w:r w:rsidR="003D57B8" w:rsidRPr="007668DF">
        <w:rPr>
          <w:rFonts w:ascii="Times New Roman" w:hAnsi="Times New Roman"/>
          <w:sz w:val="24"/>
          <w:szCs w:val="24"/>
        </w:rPr>
        <w:t>crainte</w:t>
      </w:r>
      <w:r w:rsidR="00534F4F" w:rsidRPr="007668DF">
        <w:rPr>
          <w:rFonts w:ascii="Times New Roman" w:hAnsi="Times New Roman"/>
          <w:sz w:val="24"/>
          <w:szCs w:val="24"/>
        </w:rPr>
        <w:t xml:space="preserve"> de stigmatisation sociale et</w:t>
      </w:r>
      <w:r w:rsidR="003D57B8" w:rsidRPr="007668DF">
        <w:rPr>
          <w:rFonts w:ascii="Times New Roman" w:hAnsi="Times New Roman"/>
          <w:sz w:val="24"/>
          <w:szCs w:val="24"/>
        </w:rPr>
        <w:t xml:space="preserve"> de représailles </w:t>
      </w:r>
      <w:r w:rsidR="00C025F5" w:rsidRPr="007668DF">
        <w:rPr>
          <w:rFonts w:ascii="Times New Roman" w:hAnsi="Times New Roman"/>
          <w:sz w:val="24"/>
          <w:szCs w:val="24"/>
        </w:rPr>
        <w:t>d</w:t>
      </w:r>
      <w:r w:rsidR="003D57B8" w:rsidRPr="007668DF">
        <w:rPr>
          <w:rFonts w:ascii="Times New Roman" w:hAnsi="Times New Roman"/>
          <w:sz w:val="24"/>
          <w:szCs w:val="24"/>
        </w:rPr>
        <w:t>es auteurs présumés</w:t>
      </w:r>
      <w:r w:rsidR="00591DCE" w:rsidRPr="007668DF">
        <w:rPr>
          <w:rFonts w:ascii="Times New Roman" w:hAnsi="Times New Roman"/>
          <w:sz w:val="24"/>
          <w:szCs w:val="24"/>
        </w:rPr>
        <w:t xml:space="preserve"> envers </w:t>
      </w:r>
      <w:r w:rsidR="00C025F5" w:rsidRPr="007668DF">
        <w:rPr>
          <w:rFonts w:ascii="Times New Roman" w:hAnsi="Times New Roman"/>
          <w:sz w:val="24"/>
          <w:szCs w:val="24"/>
        </w:rPr>
        <w:t xml:space="preserve"> </w:t>
      </w:r>
      <w:r w:rsidR="003D57B8" w:rsidRPr="007668DF">
        <w:rPr>
          <w:rFonts w:ascii="Times New Roman" w:hAnsi="Times New Roman"/>
          <w:sz w:val="24"/>
          <w:szCs w:val="24"/>
        </w:rPr>
        <w:t>leur</w:t>
      </w:r>
      <w:r w:rsidR="00CF3F28" w:rsidRPr="007668DF">
        <w:rPr>
          <w:rFonts w:ascii="Times New Roman" w:hAnsi="Times New Roman"/>
          <w:sz w:val="24"/>
          <w:szCs w:val="24"/>
        </w:rPr>
        <w:t>s</w:t>
      </w:r>
      <w:r w:rsidR="003D57B8" w:rsidRPr="007668DF">
        <w:rPr>
          <w:rFonts w:ascii="Times New Roman" w:hAnsi="Times New Roman"/>
          <w:sz w:val="24"/>
          <w:szCs w:val="24"/>
        </w:rPr>
        <w:t xml:space="preserve"> famille</w:t>
      </w:r>
      <w:r w:rsidR="00CF3F28" w:rsidRPr="007668DF">
        <w:rPr>
          <w:rFonts w:ascii="Times New Roman" w:hAnsi="Times New Roman"/>
          <w:sz w:val="24"/>
          <w:szCs w:val="24"/>
        </w:rPr>
        <w:t>s</w:t>
      </w:r>
      <w:r w:rsidR="003D57B8" w:rsidRPr="007668DF">
        <w:rPr>
          <w:rFonts w:ascii="Times New Roman" w:hAnsi="Times New Roman"/>
          <w:sz w:val="24"/>
          <w:szCs w:val="24"/>
        </w:rPr>
        <w:t xml:space="preserve"> ou </w:t>
      </w:r>
      <w:r w:rsidR="00CF3F28" w:rsidRPr="007668DF">
        <w:rPr>
          <w:rFonts w:ascii="Times New Roman" w:hAnsi="Times New Roman"/>
          <w:sz w:val="24"/>
          <w:szCs w:val="24"/>
        </w:rPr>
        <w:t xml:space="preserve">même </w:t>
      </w:r>
      <w:r w:rsidR="00EB5B13">
        <w:rPr>
          <w:rFonts w:ascii="Times New Roman" w:hAnsi="Times New Roman"/>
          <w:sz w:val="24"/>
          <w:szCs w:val="24"/>
        </w:rPr>
        <w:t xml:space="preserve">de la part </w:t>
      </w:r>
      <w:r w:rsidR="00CF3F28" w:rsidRPr="007668DF">
        <w:rPr>
          <w:rFonts w:ascii="Times New Roman" w:hAnsi="Times New Roman"/>
          <w:sz w:val="24"/>
          <w:szCs w:val="24"/>
        </w:rPr>
        <w:t>de</w:t>
      </w:r>
      <w:r w:rsidR="003D57B8" w:rsidRPr="007668DF">
        <w:rPr>
          <w:rFonts w:ascii="Times New Roman" w:hAnsi="Times New Roman"/>
          <w:sz w:val="24"/>
          <w:szCs w:val="24"/>
        </w:rPr>
        <w:t xml:space="preserve"> </w:t>
      </w:r>
      <w:r w:rsidR="002846DC" w:rsidRPr="007668DF">
        <w:rPr>
          <w:rFonts w:ascii="Times New Roman" w:hAnsi="Times New Roman"/>
          <w:sz w:val="24"/>
          <w:szCs w:val="24"/>
        </w:rPr>
        <w:t>leurs propres communautés</w:t>
      </w:r>
      <w:r w:rsidR="007C331C">
        <w:rPr>
          <w:rStyle w:val="FootnoteReference"/>
          <w:rFonts w:ascii="Times New Roman" w:hAnsi="Times New Roman"/>
          <w:sz w:val="24"/>
          <w:szCs w:val="24"/>
        </w:rPr>
        <w:footnoteReference w:id="17"/>
      </w:r>
      <w:r w:rsidR="003D57B8" w:rsidRPr="007668DF">
        <w:rPr>
          <w:rFonts w:ascii="Times New Roman" w:hAnsi="Times New Roman"/>
          <w:sz w:val="24"/>
          <w:szCs w:val="24"/>
        </w:rPr>
        <w:t>. Pour ces raisons, il reste difficile pour la MINUSMA d’obtenir des données précises, crédibles</w:t>
      </w:r>
      <w:r w:rsidR="005668DF" w:rsidRPr="007668DF">
        <w:rPr>
          <w:rFonts w:ascii="Times New Roman" w:hAnsi="Times New Roman"/>
          <w:sz w:val="24"/>
          <w:szCs w:val="24"/>
        </w:rPr>
        <w:t>,</w:t>
      </w:r>
      <w:r w:rsidR="003D57B8" w:rsidRPr="007668DF">
        <w:rPr>
          <w:rFonts w:ascii="Times New Roman" w:hAnsi="Times New Roman"/>
          <w:sz w:val="24"/>
          <w:szCs w:val="24"/>
        </w:rPr>
        <w:t xml:space="preserve"> fiables et suffisantes sur les incidents de violence contre les femmes pendant la période </w:t>
      </w:r>
      <w:r w:rsidR="008C4991" w:rsidRPr="007668DF">
        <w:rPr>
          <w:rFonts w:ascii="Times New Roman" w:hAnsi="Times New Roman"/>
          <w:sz w:val="24"/>
          <w:szCs w:val="24"/>
        </w:rPr>
        <w:t>couverte par ce rapport</w:t>
      </w:r>
      <w:r w:rsidR="003D57B8" w:rsidRPr="007668DF">
        <w:rPr>
          <w:rFonts w:ascii="Times New Roman" w:hAnsi="Times New Roman"/>
          <w:sz w:val="24"/>
          <w:szCs w:val="24"/>
        </w:rPr>
        <w:t xml:space="preserve">. </w:t>
      </w:r>
    </w:p>
    <w:p w:rsidR="005668DF" w:rsidRPr="007668DF" w:rsidRDefault="005668DF" w:rsidP="006C2FA0">
      <w:pPr>
        <w:tabs>
          <w:tab w:val="left" w:pos="567"/>
          <w:tab w:val="left" w:pos="709"/>
        </w:tabs>
        <w:spacing w:after="0"/>
        <w:jc w:val="both"/>
        <w:rPr>
          <w:rFonts w:ascii="Times New Roman" w:hAnsi="Times New Roman"/>
          <w:b/>
          <w:bCs/>
          <w:sz w:val="24"/>
          <w:szCs w:val="24"/>
        </w:rPr>
      </w:pPr>
    </w:p>
    <w:p w:rsidR="002F0E7F" w:rsidRPr="007668DF" w:rsidRDefault="004A69C0" w:rsidP="006C2FA0">
      <w:pPr>
        <w:tabs>
          <w:tab w:val="left" w:pos="567"/>
          <w:tab w:val="left" w:pos="709"/>
        </w:tabs>
        <w:spacing w:after="0"/>
        <w:jc w:val="both"/>
        <w:rPr>
          <w:rFonts w:ascii="Times New Roman" w:hAnsi="Times New Roman"/>
          <w:sz w:val="24"/>
          <w:szCs w:val="24"/>
        </w:rPr>
      </w:pPr>
      <w:r w:rsidRPr="007668DF">
        <w:rPr>
          <w:rFonts w:ascii="Times New Roman" w:hAnsi="Times New Roman"/>
          <w:sz w:val="24"/>
          <w:szCs w:val="24"/>
        </w:rPr>
        <w:t>8</w:t>
      </w:r>
      <w:r w:rsidR="006A45E8">
        <w:rPr>
          <w:rFonts w:ascii="Times New Roman" w:hAnsi="Times New Roman"/>
          <w:sz w:val="24"/>
          <w:szCs w:val="24"/>
        </w:rPr>
        <w:t>1</w:t>
      </w:r>
      <w:r w:rsidR="00FE308E" w:rsidRPr="007668DF">
        <w:rPr>
          <w:rFonts w:ascii="Times New Roman" w:hAnsi="Times New Roman"/>
          <w:sz w:val="24"/>
          <w:szCs w:val="24"/>
        </w:rPr>
        <w:t>.</w:t>
      </w:r>
      <w:r w:rsidR="00FE308E" w:rsidRPr="007668DF">
        <w:rPr>
          <w:rFonts w:ascii="Times New Roman" w:hAnsi="Times New Roman"/>
          <w:sz w:val="24"/>
          <w:szCs w:val="24"/>
        </w:rPr>
        <w:tab/>
      </w:r>
      <w:r w:rsidR="003D57B8" w:rsidRPr="007668DF">
        <w:rPr>
          <w:rFonts w:ascii="Times New Roman" w:hAnsi="Times New Roman"/>
          <w:sz w:val="24"/>
          <w:szCs w:val="24"/>
        </w:rPr>
        <w:t>Les seules données disponibles relatives aux violences sexuelles sont limitées aux zones géographiques o</w:t>
      </w:r>
      <w:r w:rsidR="00462AFD">
        <w:rPr>
          <w:rFonts w:ascii="Times New Roman" w:hAnsi="Times New Roman"/>
          <w:sz w:val="24"/>
          <w:szCs w:val="24"/>
        </w:rPr>
        <w:t>ù</w:t>
      </w:r>
      <w:r w:rsidR="003D57B8" w:rsidRPr="007668DF">
        <w:rPr>
          <w:rFonts w:ascii="Times New Roman" w:hAnsi="Times New Roman"/>
          <w:sz w:val="24"/>
          <w:szCs w:val="24"/>
        </w:rPr>
        <w:t xml:space="preserve"> </w:t>
      </w:r>
      <w:r w:rsidR="00181D1A" w:rsidRPr="007668DF">
        <w:rPr>
          <w:rFonts w:ascii="Times New Roman" w:hAnsi="Times New Roman"/>
          <w:sz w:val="24"/>
          <w:szCs w:val="24"/>
        </w:rPr>
        <w:t>d</w:t>
      </w:r>
      <w:r w:rsidR="003D57B8" w:rsidRPr="007668DF">
        <w:rPr>
          <w:rFonts w:ascii="Times New Roman" w:hAnsi="Times New Roman"/>
          <w:sz w:val="24"/>
          <w:szCs w:val="24"/>
        </w:rPr>
        <w:t>es services</w:t>
      </w:r>
      <w:r w:rsidR="00181D1A" w:rsidRPr="007668DF">
        <w:rPr>
          <w:rFonts w:ascii="Times New Roman" w:hAnsi="Times New Roman"/>
          <w:sz w:val="24"/>
          <w:szCs w:val="24"/>
        </w:rPr>
        <w:t xml:space="preserve"> de prise en charge des victimes </w:t>
      </w:r>
      <w:r w:rsidR="003D57B8" w:rsidRPr="007668DF">
        <w:rPr>
          <w:rFonts w:ascii="Times New Roman" w:hAnsi="Times New Roman"/>
          <w:sz w:val="24"/>
          <w:szCs w:val="24"/>
        </w:rPr>
        <w:t>sont disponibles</w:t>
      </w:r>
      <w:r w:rsidR="00290CAE" w:rsidRPr="007668DF">
        <w:rPr>
          <w:rFonts w:ascii="Times New Roman" w:hAnsi="Times New Roman"/>
          <w:sz w:val="24"/>
          <w:szCs w:val="24"/>
        </w:rPr>
        <w:t xml:space="preserve"> </w:t>
      </w:r>
      <w:r w:rsidR="00534F4F" w:rsidRPr="007668DF">
        <w:rPr>
          <w:rFonts w:ascii="Times New Roman" w:hAnsi="Times New Roman"/>
          <w:sz w:val="24"/>
          <w:szCs w:val="24"/>
        </w:rPr>
        <w:t>notamment à Tombouctou</w:t>
      </w:r>
      <w:r w:rsidR="00840D10" w:rsidRPr="007668DF">
        <w:rPr>
          <w:rStyle w:val="FootnoteReference"/>
          <w:rFonts w:ascii="Times New Roman" w:hAnsi="Times New Roman"/>
          <w:sz w:val="24"/>
          <w:szCs w:val="24"/>
        </w:rPr>
        <w:footnoteReference w:id="18"/>
      </w:r>
      <w:r w:rsidR="00A0607E" w:rsidRPr="007668DF">
        <w:rPr>
          <w:rFonts w:ascii="Times New Roman" w:hAnsi="Times New Roman"/>
          <w:sz w:val="24"/>
          <w:szCs w:val="24"/>
        </w:rPr>
        <w:t>.</w:t>
      </w:r>
    </w:p>
    <w:p w:rsidR="002F0E7F" w:rsidRPr="007668DF" w:rsidRDefault="002F0E7F" w:rsidP="006C2FA0">
      <w:pPr>
        <w:tabs>
          <w:tab w:val="left" w:pos="567"/>
          <w:tab w:val="left" w:pos="709"/>
        </w:tabs>
        <w:spacing w:after="0"/>
        <w:jc w:val="both"/>
        <w:rPr>
          <w:rFonts w:ascii="Times New Roman" w:hAnsi="Times New Roman"/>
          <w:b/>
          <w:bCs/>
          <w:sz w:val="24"/>
          <w:szCs w:val="24"/>
        </w:rPr>
      </w:pPr>
    </w:p>
    <w:p w:rsidR="003D57B8" w:rsidRPr="007668DF" w:rsidRDefault="001F669A" w:rsidP="006C2FA0">
      <w:pPr>
        <w:tabs>
          <w:tab w:val="left" w:pos="567"/>
          <w:tab w:val="left" w:pos="709"/>
        </w:tabs>
        <w:jc w:val="both"/>
        <w:rPr>
          <w:rFonts w:ascii="Times New Roman" w:hAnsi="Times New Roman"/>
          <w:sz w:val="24"/>
          <w:szCs w:val="24"/>
        </w:rPr>
      </w:pPr>
      <w:r w:rsidRPr="007668DF">
        <w:rPr>
          <w:rFonts w:ascii="Times New Roman" w:hAnsi="Times New Roman"/>
          <w:sz w:val="24"/>
          <w:szCs w:val="24"/>
        </w:rPr>
        <w:t>8</w:t>
      </w:r>
      <w:r w:rsidR="006A45E8">
        <w:rPr>
          <w:rFonts w:ascii="Times New Roman" w:hAnsi="Times New Roman"/>
          <w:sz w:val="24"/>
          <w:szCs w:val="24"/>
        </w:rPr>
        <w:t>2</w:t>
      </w:r>
      <w:r w:rsidR="00375593" w:rsidRPr="007668DF">
        <w:rPr>
          <w:rFonts w:ascii="Times New Roman" w:hAnsi="Times New Roman"/>
          <w:sz w:val="24"/>
          <w:szCs w:val="24"/>
        </w:rPr>
        <w:t>.</w:t>
      </w:r>
      <w:r w:rsidR="00375593" w:rsidRPr="007668DF">
        <w:rPr>
          <w:rFonts w:ascii="Times New Roman" w:hAnsi="Times New Roman"/>
          <w:sz w:val="24"/>
          <w:szCs w:val="24"/>
        </w:rPr>
        <w:tab/>
      </w:r>
      <w:r w:rsidR="003D57B8" w:rsidRPr="007668DF">
        <w:rPr>
          <w:rFonts w:ascii="Times New Roman" w:hAnsi="Times New Roman"/>
          <w:sz w:val="24"/>
          <w:szCs w:val="24"/>
        </w:rPr>
        <w:t>Bien que le gouvernement du Mali ait pris des mesures propres à répondre à certaines allégations</w:t>
      </w:r>
      <w:r w:rsidR="001A6FAA" w:rsidRPr="007668DF">
        <w:rPr>
          <w:rFonts w:ascii="Times New Roman" w:hAnsi="Times New Roman"/>
          <w:sz w:val="24"/>
          <w:szCs w:val="24"/>
        </w:rPr>
        <w:t xml:space="preserve"> </w:t>
      </w:r>
      <w:r w:rsidR="003D57B8" w:rsidRPr="007668DF">
        <w:rPr>
          <w:rFonts w:ascii="Times New Roman" w:hAnsi="Times New Roman"/>
          <w:sz w:val="24"/>
          <w:szCs w:val="24"/>
        </w:rPr>
        <w:t>de violence sexuelle, il n’a pas agi avec la diligence voulue pour enquêter efficacement sur les allégations de violence sexuelle</w:t>
      </w:r>
      <w:r w:rsidR="001A6FAA" w:rsidRPr="007668DF">
        <w:rPr>
          <w:rFonts w:ascii="Times New Roman" w:hAnsi="Times New Roman"/>
          <w:sz w:val="24"/>
          <w:szCs w:val="24"/>
        </w:rPr>
        <w:t>,</w:t>
      </w:r>
      <w:r w:rsidR="003D57B8" w:rsidRPr="007668DF">
        <w:rPr>
          <w:rFonts w:ascii="Times New Roman" w:hAnsi="Times New Roman"/>
          <w:sz w:val="24"/>
          <w:szCs w:val="24"/>
        </w:rPr>
        <w:t xml:space="preserve"> </w:t>
      </w:r>
      <w:r w:rsidR="001A6FAA" w:rsidRPr="007668DF">
        <w:rPr>
          <w:rFonts w:ascii="Times New Roman" w:hAnsi="Times New Roman"/>
          <w:sz w:val="24"/>
          <w:szCs w:val="24"/>
        </w:rPr>
        <w:t>pour</w:t>
      </w:r>
      <w:r w:rsidR="003D57B8" w:rsidRPr="007668DF">
        <w:rPr>
          <w:rFonts w:ascii="Times New Roman" w:hAnsi="Times New Roman"/>
          <w:sz w:val="24"/>
          <w:szCs w:val="24"/>
        </w:rPr>
        <w:t xml:space="preserve"> mettre fin à l’impunité </w:t>
      </w:r>
      <w:r w:rsidR="00930856" w:rsidRPr="007668DF">
        <w:rPr>
          <w:rFonts w:ascii="Times New Roman" w:hAnsi="Times New Roman"/>
          <w:sz w:val="24"/>
          <w:szCs w:val="24"/>
        </w:rPr>
        <w:t xml:space="preserve">concernant </w:t>
      </w:r>
      <w:r w:rsidR="003D57B8" w:rsidRPr="007668DF">
        <w:rPr>
          <w:rFonts w:ascii="Times New Roman" w:hAnsi="Times New Roman"/>
          <w:sz w:val="24"/>
          <w:szCs w:val="24"/>
        </w:rPr>
        <w:t xml:space="preserve">ces crimes graves et </w:t>
      </w:r>
      <w:r w:rsidR="001A6FAA" w:rsidRPr="007668DF">
        <w:rPr>
          <w:rFonts w:ascii="Times New Roman" w:hAnsi="Times New Roman"/>
          <w:sz w:val="24"/>
          <w:szCs w:val="24"/>
        </w:rPr>
        <w:t xml:space="preserve">pour </w:t>
      </w:r>
      <w:r w:rsidR="003D57B8" w:rsidRPr="007668DF">
        <w:rPr>
          <w:rFonts w:ascii="Times New Roman" w:hAnsi="Times New Roman"/>
          <w:sz w:val="24"/>
          <w:szCs w:val="24"/>
        </w:rPr>
        <w:t xml:space="preserve">contribuer ainsi à leur prévention. </w:t>
      </w:r>
    </w:p>
    <w:p w:rsidR="002D153C" w:rsidRPr="007668DF" w:rsidRDefault="002D153C" w:rsidP="006C2FA0">
      <w:pPr>
        <w:tabs>
          <w:tab w:val="left" w:pos="567"/>
          <w:tab w:val="left" w:pos="709"/>
          <w:tab w:val="left" w:pos="851"/>
        </w:tabs>
        <w:jc w:val="both"/>
        <w:rPr>
          <w:rFonts w:ascii="Times New Roman" w:hAnsi="Times New Roman"/>
          <w:i/>
          <w:color w:val="222222"/>
          <w:sz w:val="24"/>
          <w:szCs w:val="24"/>
        </w:rPr>
      </w:pPr>
      <w:r w:rsidRPr="007668DF">
        <w:rPr>
          <w:rFonts w:ascii="Times New Roman" w:hAnsi="Times New Roman"/>
          <w:i/>
          <w:color w:val="222222"/>
          <w:sz w:val="24"/>
          <w:szCs w:val="24"/>
        </w:rPr>
        <w:lastRenderedPageBreak/>
        <w:tab/>
        <w:t>Violences à l’encontre des enfants</w:t>
      </w:r>
    </w:p>
    <w:p w:rsidR="006948B4" w:rsidRDefault="006A45E8" w:rsidP="006C2FA0">
      <w:pPr>
        <w:tabs>
          <w:tab w:val="left" w:pos="567"/>
          <w:tab w:val="left" w:pos="709"/>
          <w:tab w:val="left" w:pos="851"/>
        </w:tabs>
        <w:jc w:val="both"/>
        <w:rPr>
          <w:rFonts w:ascii="Times New Roman" w:hAnsi="Times New Roman"/>
          <w:sz w:val="24"/>
          <w:szCs w:val="24"/>
        </w:rPr>
      </w:pPr>
      <w:r>
        <w:rPr>
          <w:rFonts w:ascii="Times New Roman" w:hAnsi="Times New Roman"/>
          <w:color w:val="222222"/>
          <w:sz w:val="24"/>
          <w:szCs w:val="24"/>
        </w:rPr>
        <w:t>83</w:t>
      </w:r>
      <w:r w:rsidR="00FE308E" w:rsidRPr="007668DF">
        <w:rPr>
          <w:rFonts w:ascii="Times New Roman" w:hAnsi="Times New Roman"/>
          <w:color w:val="222222"/>
          <w:sz w:val="24"/>
          <w:szCs w:val="24"/>
        </w:rPr>
        <w:t>.</w:t>
      </w:r>
      <w:r w:rsidR="00FE308E" w:rsidRPr="007668DF">
        <w:rPr>
          <w:rFonts w:ascii="Times New Roman" w:hAnsi="Times New Roman"/>
          <w:color w:val="222222"/>
          <w:sz w:val="24"/>
          <w:szCs w:val="24"/>
        </w:rPr>
        <w:tab/>
      </w:r>
      <w:r w:rsidR="00AF32BA" w:rsidRPr="007668DF">
        <w:rPr>
          <w:rFonts w:ascii="Times New Roman" w:hAnsi="Times New Roman"/>
          <w:sz w:val="24"/>
          <w:szCs w:val="24"/>
        </w:rPr>
        <w:t xml:space="preserve">Malgré les relatives améliorations de la situation sécuritaire dans le </w:t>
      </w:r>
      <w:r w:rsidR="003839C1" w:rsidRPr="007668DF">
        <w:rPr>
          <w:rFonts w:ascii="Times New Roman" w:hAnsi="Times New Roman"/>
          <w:sz w:val="24"/>
          <w:szCs w:val="24"/>
        </w:rPr>
        <w:t>n</w:t>
      </w:r>
      <w:r w:rsidR="00AF32BA" w:rsidRPr="007668DF">
        <w:rPr>
          <w:rFonts w:ascii="Times New Roman" w:hAnsi="Times New Roman"/>
          <w:sz w:val="24"/>
          <w:szCs w:val="24"/>
        </w:rPr>
        <w:t>ord du Mali fin 2013, les enfants ont continu</w:t>
      </w:r>
      <w:r w:rsidR="003839C1" w:rsidRPr="007668DF">
        <w:rPr>
          <w:rFonts w:ascii="Times New Roman" w:hAnsi="Times New Roman"/>
          <w:sz w:val="24"/>
          <w:szCs w:val="24"/>
        </w:rPr>
        <w:t>é</w:t>
      </w:r>
      <w:r w:rsidR="00AF32BA" w:rsidRPr="007668DF">
        <w:rPr>
          <w:rFonts w:ascii="Times New Roman" w:hAnsi="Times New Roman"/>
          <w:sz w:val="24"/>
          <w:szCs w:val="24"/>
        </w:rPr>
        <w:t xml:space="preserve"> d’être exposés aux violations</w:t>
      </w:r>
      <w:r w:rsidR="00B431E1">
        <w:rPr>
          <w:rFonts w:ascii="Times New Roman" w:hAnsi="Times New Roman"/>
          <w:sz w:val="24"/>
          <w:szCs w:val="24"/>
        </w:rPr>
        <w:t xml:space="preserve"> et abus</w:t>
      </w:r>
      <w:r w:rsidR="00AF32BA" w:rsidRPr="007668DF">
        <w:rPr>
          <w:rFonts w:ascii="Times New Roman" w:hAnsi="Times New Roman"/>
          <w:sz w:val="24"/>
          <w:szCs w:val="24"/>
        </w:rPr>
        <w:t xml:space="preserve"> graves</w:t>
      </w:r>
      <w:r w:rsidR="00B431E1">
        <w:rPr>
          <w:rFonts w:ascii="Times New Roman" w:hAnsi="Times New Roman"/>
          <w:sz w:val="24"/>
          <w:szCs w:val="24"/>
        </w:rPr>
        <w:t xml:space="preserve"> du droit international des droits de l’homme et du droit international humanitaire</w:t>
      </w:r>
      <w:r w:rsidR="007C331C">
        <w:rPr>
          <w:rFonts w:ascii="Times New Roman" w:hAnsi="Times New Roman"/>
          <w:sz w:val="24"/>
          <w:szCs w:val="24"/>
        </w:rPr>
        <w:t>.</w:t>
      </w:r>
      <w:r w:rsidR="00AF32BA" w:rsidRPr="007668DF">
        <w:rPr>
          <w:rFonts w:ascii="Times New Roman" w:hAnsi="Times New Roman"/>
          <w:sz w:val="24"/>
          <w:szCs w:val="24"/>
        </w:rPr>
        <w:t xml:space="preserve"> </w:t>
      </w:r>
      <w:r w:rsidR="007C331C">
        <w:rPr>
          <w:rFonts w:ascii="Times New Roman" w:hAnsi="Times New Roman"/>
          <w:sz w:val="24"/>
          <w:szCs w:val="24"/>
        </w:rPr>
        <w:t>C</w:t>
      </w:r>
      <w:r w:rsidR="00AF32BA" w:rsidRPr="007668DF">
        <w:rPr>
          <w:rFonts w:ascii="Times New Roman" w:hAnsi="Times New Roman"/>
          <w:sz w:val="24"/>
          <w:szCs w:val="24"/>
        </w:rPr>
        <w:t>es violations</w:t>
      </w:r>
      <w:r w:rsidR="00B431E1">
        <w:rPr>
          <w:rFonts w:ascii="Times New Roman" w:hAnsi="Times New Roman"/>
          <w:sz w:val="24"/>
          <w:szCs w:val="24"/>
        </w:rPr>
        <w:t xml:space="preserve"> et abus</w:t>
      </w:r>
      <w:r w:rsidR="00AF32BA" w:rsidRPr="007668DF">
        <w:rPr>
          <w:rFonts w:ascii="Times New Roman" w:hAnsi="Times New Roman"/>
          <w:sz w:val="24"/>
          <w:szCs w:val="24"/>
        </w:rPr>
        <w:t xml:space="preserve"> graves </w:t>
      </w:r>
      <w:r w:rsidR="00CE1167" w:rsidRPr="007668DF">
        <w:rPr>
          <w:rFonts w:ascii="Times New Roman" w:hAnsi="Times New Roman"/>
          <w:sz w:val="24"/>
          <w:szCs w:val="24"/>
        </w:rPr>
        <w:t>ont</w:t>
      </w:r>
      <w:r w:rsidR="00AF32BA" w:rsidRPr="007668DF">
        <w:rPr>
          <w:rFonts w:ascii="Times New Roman" w:hAnsi="Times New Roman"/>
          <w:sz w:val="24"/>
          <w:szCs w:val="24"/>
        </w:rPr>
        <w:t xml:space="preserve"> été attribués </w:t>
      </w:r>
      <w:r w:rsidR="007C331C">
        <w:rPr>
          <w:rFonts w:ascii="Times New Roman" w:hAnsi="Times New Roman"/>
          <w:sz w:val="24"/>
          <w:szCs w:val="24"/>
        </w:rPr>
        <w:t xml:space="preserve">tant </w:t>
      </w:r>
      <w:r w:rsidR="00AF32BA" w:rsidRPr="007668DF">
        <w:rPr>
          <w:rFonts w:ascii="Times New Roman" w:hAnsi="Times New Roman"/>
          <w:sz w:val="24"/>
          <w:szCs w:val="24"/>
        </w:rPr>
        <w:t>aux FAMa</w:t>
      </w:r>
      <w:r w:rsidR="00591DCE" w:rsidRPr="007668DF">
        <w:rPr>
          <w:rFonts w:ascii="Times New Roman" w:hAnsi="Times New Roman"/>
          <w:sz w:val="24"/>
          <w:szCs w:val="24"/>
        </w:rPr>
        <w:t xml:space="preserve">, </w:t>
      </w:r>
      <w:r w:rsidR="007C331C">
        <w:rPr>
          <w:rFonts w:ascii="Times New Roman" w:hAnsi="Times New Roman"/>
          <w:sz w:val="24"/>
          <w:szCs w:val="24"/>
        </w:rPr>
        <w:t>qu’aux groupes armés. Du côté des FAMa, il s’agit notamment des faits de détention illégale d’enfants  pour association présumée avec les groupes armés. Du côté</w:t>
      </w:r>
      <w:r w:rsidR="007C331C" w:rsidRPr="007668DF">
        <w:rPr>
          <w:rFonts w:ascii="Times New Roman" w:hAnsi="Times New Roman"/>
          <w:sz w:val="24"/>
          <w:szCs w:val="24"/>
        </w:rPr>
        <w:t xml:space="preserve"> </w:t>
      </w:r>
      <w:r w:rsidR="007C331C">
        <w:rPr>
          <w:rFonts w:ascii="Times New Roman" w:hAnsi="Times New Roman"/>
          <w:sz w:val="24"/>
          <w:szCs w:val="24"/>
        </w:rPr>
        <w:t xml:space="preserve">des groupes armés (MNLA et HCUA), il s’agit notamment des faits d’occupation des </w:t>
      </w:r>
      <w:r w:rsidR="0048703A">
        <w:rPr>
          <w:rFonts w:ascii="Times New Roman" w:hAnsi="Times New Roman"/>
          <w:sz w:val="24"/>
          <w:szCs w:val="24"/>
        </w:rPr>
        <w:t>é</w:t>
      </w:r>
      <w:r w:rsidR="007C331C">
        <w:rPr>
          <w:rFonts w:ascii="Times New Roman" w:hAnsi="Times New Roman"/>
          <w:sz w:val="24"/>
          <w:szCs w:val="24"/>
        </w:rPr>
        <w:t>coles dans les r</w:t>
      </w:r>
      <w:r w:rsidR="0048703A">
        <w:rPr>
          <w:rFonts w:ascii="Times New Roman" w:hAnsi="Times New Roman"/>
          <w:sz w:val="24"/>
          <w:szCs w:val="24"/>
        </w:rPr>
        <w:t>é</w:t>
      </w:r>
      <w:r w:rsidR="007C331C">
        <w:rPr>
          <w:rFonts w:ascii="Times New Roman" w:hAnsi="Times New Roman"/>
          <w:sz w:val="24"/>
          <w:szCs w:val="24"/>
        </w:rPr>
        <w:t xml:space="preserve">gions de Gao et Kidal. </w:t>
      </w:r>
      <w:r w:rsidR="003817EE" w:rsidRPr="007668DF">
        <w:rPr>
          <w:rFonts w:ascii="Times New Roman" w:hAnsi="Times New Roman"/>
          <w:sz w:val="24"/>
          <w:szCs w:val="24"/>
        </w:rPr>
        <w:t>Entre le 1er novembre 2013 et le 31 mai 2014, la D</w:t>
      </w:r>
      <w:r w:rsidR="006F58E5">
        <w:rPr>
          <w:rFonts w:ascii="Times New Roman" w:hAnsi="Times New Roman"/>
          <w:sz w:val="24"/>
          <w:szCs w:val="24"/>
        </w:rPr>
        <w:t>ivision des droits de l’homme</w:t>
      </w:r>
      <w:r w:rsidR="003817EE" w:rsidRPr="007668DF">
        <w:rPr>
          <w:rFonts w:ascii="Times New Roman" w:hAnsi="Times New Roman"/>
          <w:sz w:val="24"/>
          <w:szCs w:val="24"/>
        </w:rPr>
        <w:t xml:space="preserve"> a documenté la libération de </w:t>
      </w:r>
      <w:r w:rsidR="007C331C">
        <w:rPr>
          <w:rFonts w:ascii="Times New Roman" w:hAnsi="Times New Roman"/>
          <w:sz w:val="24"/>
          <w:szCs w:val="24"/>
        </w:rPr>
        <w:t>08</w:t>
      </w:r>
      <w:r w:rsidR="007C331C" w:rsidRPr="007668DF">
        <w:rPr>
          <w:rFonts w:ascii="Times New Roman" w:hAnsi="Times New Roman"/>
          <w:sz w:val="24"/>
          <w:szCs w:val="24"/>
        </w:rPr>
        <w:t xml:space="preserve"> </w:t>
      </w:r>
      <w:r w:rsidR="003817EE" w:rsidRPr="007668DF">
        <w:rPr>
          <w:rFonts w:ascii="Times New Roman" w:hAnsi="Times New Roman"/>
          <w:sz w:val="24"/>
          <w:szCs w:val="24"/>
        </w:rPr>
        <w:t>mineurs ayant fait l’objet d’arrestation en lien avec le conflit par les forces gouvernementales</w:t>
      </w:r>
      <w:r w:rsidR="007C331C">
        <w:rPr>
          <w:rStyle w:val="FootnoteReference"/>
          <w:rFonts w:ascii="Times New Roman" w:hAnsi="Times New Roman"/>
          <w:sz w:val="24"/>
          <w:szCs w:val="24"/>
        </w:rPr>
        <w:footnoteReference w:id="19"/>
      </w:r>
      <w:r w:rsidR="003817EE" w:rsidRPr="007668DF">
        <w:rPr>
          <w:rFonts w:ascii="Times New Roman" w:hAnsi="Times New Roman"/>
          <w:sz w:val="24"/>
          <w:szCs w:val="24"/>
        </w:rPr>
        <w:t>.</w:t>
      </w:r>
      <w:r w:rsidR="00AF32BA" w:rsidRPr="007668DF">
        <w:rPr>
          <w:rFonts w:ascii="Times New Roman" w:hAnsi="Times New Roman"/>
          <w:sz w:val="24"/>
          <w:szCs w:val="24"/>
        </w:rPr>
        <w:t xml:space="preserve"> </w:t>
      </w:r>
      <w:r w:rsidR="007C331C">
        <w:rPr>
          <w:rFonts w:ascii="Times New Roman" w:hAnsi="Times New Roman"/>
          <w:sz w:val="24"/>
          <w:szCs w:val="24"/>
        </w:rPr>
        <w:t>Cependant, m</w:t>
      </w:r>
      <w:r w:rsidR="00857E8B" w:rsidRPr="007668DF">
        <w:rPr>
          <w:rFonts w:ascii="Times New Roman" w:hAnsi="Times New Roman"/>
          <w:sz w:val="24"/>
          <w:szCs w:val="24"/>
        </w:rPr>
        <w:t>algré</w:t>
      </w:r>
      <w:r w:rsidR="003817EE" w:rsidRPr="007668DF">
        <w:rPr>
          <w:rFonts w:ascii="Times New Roman" w:hAnsi="Times New Roman"/>
          <w:sz w:val="24"/>
          <w:szCs w:val="24"/>
        </w:rPr>
        <w:t xml:space="preserve"> ces libérations, </w:t>
      </w:r>
      <w:r w:rsidR="00EB5B13">
        <w:rPr>
          <w:rFonts w:ascii="Times New Roman" w:hAnsi="Times New Roman"/>
          <w:sz w:val="24"/>
          <w:szCs w:val="24"/>
        </w:rPr>
        <w:t xml:space="preserve">le </w:t>
      </w:r>
      <w:r w:rsidR="00CE1167" w:rsidRPr="007668DF">
        <w:rPr>
          <w:rFonts w:ascii="Times New Roman" w:hAnsi="Times New Roman"/>
          <w:sz w:val="24"/>
          <w:szCs w:val="24"/>
        </w:rPr>
        <w:t>g</w:t>
      </w:r>
      <w:r w:rsidR="00AF32BA" w:rsidRPr="007668DF">
        <w:rPr>
          <w:rFonts w:ascii="Times New Roman" w:hAnsi="Times New Roman"/>
          <w:sz w:val="24"/>
          <w:szCs w:val="24"/>
        </w:rPr>
        <w:t xml:space="preserve">ouvernement </w:t>
      </w:r>
      <w:r w:rsidR="007C331C">
        <w:rPr>
          <w:rFonts w:ascii="Times New Roman" w:hAnsi="Times New Roman"/>
          <w:sz w:val="24"/>
          <w:szCs w:val="24"/>
        </w:rPr>
        <w:t>malien</w:t>
      </w:r>
      <w:r w:rsidR="00AD385D">
        <w:rPr>
          <w:rFonts w:ascii="Times New Roman" w:hAnsi="Times New Roman"/>
          <w:sz w:val="24"/>
          <w:szCs w:val="24"/>
        </w:rPr>
        <w:t xml:space="preserve"> détenait</w:t>
      </w:r>
      <w:r w:rsidR="00AF32BA" w:rsidRPr="007668DF">
        <w:rPr>
          <w:rFonts w:ascii="Times New Roman" w:hAnsi="Times New Roman"/>
          <w:sz w:val="24"/>
          <w:szCs w:val="24"/>
        </w:rPr>
        <w:t xml:space="preserve"> </w:t>
      </w:r>
      <w:r w:rsidR="00AD385D">
        <w:rPr>
          <w:rFonts w:ascii="Times New Roman" w:hAnsi="Times New Roman"/>
          <w:sz w:val="24"/>
          <w:szCs w:val="24"/>
        </w:rPr>
        <w:t xml:space="preserve">au 31 mai 2014, </w:t>
      </w:r>
      <w:r w:rsidR="00A0224F">
        <w:rPr>
          <w:rFonts w:ascii="Times New Roman" w:hAnsi="Times New Roman"/>
          <w:sz w:val="24"/>
          <w:szCs w:val="24"/>
        </w:rPr>
        <w:t>05</w:t>
      </w:r>
      <w:r w:rsidR="007C331C" w:rsidRPr="007668DF">
        <w:rPr>
          <w:rFonts w:ascii="Times New Roman" w:hAnsi="Times New Roman"/>
          <w:sz w:val="24"/>
          <w:szCs w:val="24"/>
        </w:rPr>
        <w:t xml:space="preserve"> </w:t>
      </w:r>
      <w:r w:rsidR="00AD385D">
        <w:rPr>
          <w:rFonts w:ascii="Times New Roman" w:hAnsi="Times New Roman"/>
          <w:sz w:val="24"/>
          <w:szCs w:val="24"/>
        </w:rPr>
        <w:t>mineurs</w:t>
      </w:r>
      <w:r w:rsidR="00AF32BA" w:rsidRPr="007668DF">
        <w:rPr>
          <w:rFonts w:ascii="Times New Roman" w:hAnsi="Times New Roman"/>
          <w:sz w:val="24"/>
          <w:szCs w:val="24"/>
        </w:rPr>
        <w:t xml:space="preserve"> à Bamako</w:t>
      </w:r>
      <w:r w:rsidR="00CE1167" w:rsidRPr="007668DF">
        <w:rPr>
          <w:rFonts w:ascii="Times New Roman" w:hAnsi="Times New Roman"/>
          <w:sz w:val="24"/>
          <w:szCs w:val="24"/>
        </w:rPr>
        <w:t>,</w:t>
      </w:r>
      <w:r w:rsidR="00AF32BA" w:rsidRPr="007668DF">
        <w:rPr>
          <w:rFonts w:ascii="Times New Roman" w:hAnsi="Times New Roman"/>
          <w:sz w:val="24"/>
          <w:szCs w:val="24"/>
        </w:rPr>
        <w:t xml:space="preserve"> </w:t>
      </w:r>
      <w:r w:rsidR="00CE1167" w:rsidRPr="007668DF">
        <w:rPr>
          <w:rFonts w:ascii="Times New Roman" w:hAnsi="Times New Roman"/>
          <w:sz w:val="24"/>
          <w:szCs w:val="24"/>
        </w:rPr>
        <w:t>sur la base</w:t>
      </w:r>
      <w:r w:rsidR="003839C1" w:rsidRPr="007668DF">
        <w:rPr>
          <w:rFonts w:ascii="Times New Roman" w:hAnsi="Times New Roman"/>
          <w:sz w:val="24"/>
          <w:szCs w:val="24"/>
        </w:rPr>
        <w:t xml:space="preserve">  de </w:t>
      </w:r>
      <w:r w:rsidR="00AF32BA" w:rsidRPr="007668DF">
        <w:rPr>
          <w:rFonts w:ascii="Times New Roman" w:hAnsi="Times New Roman"/>
          <w:sz w:val="24"/>
          <w:szCs w:val="24"/>
        </w:rPr>
        <w:t>leur association présumée avec des groupes arm</w:t>
      </w:r>
      <w:r w:rsidR="003839C1" w:rsidRPr="007668DF">
        <w:rPr>
          <w:rFonts w:ascii="Times New Roman" w:hAnsi="Times New Roman"/>
          <w:sz w:val="24"/>
          <w:szCs w:val="24"/>
        </w:rPr>
        <w:t>é</w:t>
      </w:r>
      <w:r w:rsidR="00AF32BA" w:rsidRPr="007668DF">
        <w:rPr>
          <w:rFonts w:ascii="Times New Roman" w:hAnsi="Times New Roman"/>
          <w:sz w:val="24"/>
          <w:szCs w:val="24"/>
        </w:rPr>
        <w:t xml:space="preserve">s. </w:t>
      </w:r>
      <w:r w:rsidR="007C331C">
        <w:rPr>
          <w:rFonts w:ascii="Times New Roman" w:hAnsi="Times New Roman"/>
          <w:sz w:val="24"/>
          <w:szCs w:val="24"/>
        </w:rPr>
        <w:t>Par ailleurs, l</w:t>
      </w:r>
      <w:r w:rsidR="00AF32BA" w:rsidRPr="007668DF">
        <w:rPr>
          <w:rFonts w:ascii="Times New Roman" w:hAnsi="Times New Roman"/>
          <w:sz w:val="24"/>
          <w:szCs w:val="24"/>
        </w:rPr>
        <w:t xml:space="preserve">es </w:t>
      </w:r>
      <w:r w:rsidR="00B05D56">
        <w:rPr>
          <w:rFonts w:ascii="Times New Roman" w:hAnsi="Times New Roman"/>
          <w:sz w:val="24"/>
          <w:szCs w:val="24"/>
        </w:rPr>
        <w:t>mineurs</w:t>
      </w:r>
      <w:r w:rsidR="00AF32BA" w:rsidRPr="007668DF">
        <w:rPr>
          <w:rFonts w:ascii="Times New Roman" w:hAnsi="Times New Roman"/>
          <w:sz w:val="24"/>
          <w:szCs w:val="24"/>
        </w:rPr>
        <w:t xml:space="preserve"> continu</w:t>
      </w:r>
      <w:r w:rsidR="007C331C">
        <w:rPr>
          <w:rFonts w:ascii="Times New Roman" w:hAnsi="Times New Roman"/>
          <w:sz w:val="24"/>
          <w:szCs w:val="24"/>
        </w:rPr>
        <w:t>ent</w:t>
      </w:r>
      <w:r w:rsidR="00AF32BA" w:rsidRPr="007668DF">
        <w:rPr>
          <w:rFonts w:ascii="Times New Roman" w:hAnsi="Times New Roman"/>
          <w:sz w:val="24"/>
          <w:szCs w:val="24"/>
        </w:rPr>
        <w:t xml:space="preserve"> d’être victimes </w:t>
      </w:r>
      <w:r w:rsidR="00F12000" w:rsidRPr="007668DF">
        <w:rPr>
          <w:rFonts w:ascii="Times New Roman" w:hAnsi="Times New Roman"/>
          <w:sz w:val="24"/>
          <w:szCs w:val="24"/>
        </w:rPr>
        <w:t xml:space="preserve">d’engins explosifs et </w:t>
      </w:r>
      <w:r w:rsidR="00EB5B13">
        <w:rPr>
          <w:rFonts w:ascii="Times New Roman" w:hAnsi="Times New Roman"/>
          <w:sz w:val="24"/>
          <w:szCs w:val="24"/>
        </w:rPr>
        <w:t>d’</w:t>
      </w:r>
      <w:r w:rsidR="00F12000" w:rsidRPr="007668DF">
        <w:rPr>
          <w:rFonts w:ascii="Times New Roman" w:hAnsi="Times New Roman"/>
          <w:sz w:val="24"/>
          <w:szCs w:val="24"/>
        </w:rPr>
        <w:t xml:space="preserve">autres </w:t>
      </w:r>
      <w:r w:rsidR="00AF32BA" w:rsidRPr="007668DF">
        <w:rPr>
          <w:rFonts w:ascii="Times New Roman" w:hAnsi="Times New Roman"/>
          <w:sz w:val="24"/>
          <w:szCs w:val="24"/>
        </w:rPr>
        <w:t xml:space="preserve">débris </w:t>
      </w:r>
      <w:r w:rsidR="00F12000" w:rsidRPr="007668DF">
        <w:rPr>
          <w:rFonts w:ascii="Times New Roman" w:hAnsi="Times New Roman"/>
          <w:sz w:val="24"/>
          <w:szCs w:val="24"/>
        </w:rPr>
        <w:t xml:space="preserve">abandonnés par les combattants durant </w:t>
      </w:r>
      <w:r w:rsidR="00C5182A" w:rsidRPr="007668DF">
        <w:rPr>
          <w:rFonts w:ascii="Times New Roman" w:hAnsi="Times New Roman"/>
          <w:sz w:val="24"/>
          <w:szCs w:val="24"/>
        </w:rPr>
        <w:t>le conflit armé</w:t>
      </w:r>
      <w:r w:rsidR="00AF32BA" w:rsidRPr="007668DF">
        <w:rPr>
          <w:rFonts w:ascii="Times New Roman" w:hAnsi="Times New Roman"/>
          <w:sz w:val="24"/>
          <w:szCs w:val="24"/>
        </w:rPr>
        <w:t xml:space="preserve"> dans le Nord. </w:t>
      </w:r>
    </w:p>
    <w:p w:rsidR="00462AFD" w:rsidRPr="006948B4" w:rsidRDefault="00462AFD" w:rsidP="006C2FA0">
      <w:pPr>
        <w:tabs>
          <w:tab w:val="left" w:pos="567"/>
          <w:tab w:val="left" w:pos="709"/>
          <w:tab w:val="left" w:pos="851"/>
        </w:tabs>
        <w:jc w:val="both"/>
        <w:rPr>
          <w:rFonts w:ascii="Times New Roman" w:hAnsi="Times New Roman"/>
          <w:sz w:val="24"/>
          <w:szCs w:val="24"/>
        </w:rPr>
      </w:pPr>
    </w:p>
    <w:p w:rsidR="0024142C" w:rsidRPr="007668DF" w:rsidRDefault="0024142C" w:rsidP="003B152B">
      <w:pPr>
        <w:pStyle w:val="Title"/>
        <w:numPr>
          <w:ilvl w:val="0"/>
          <w:numId w:val="0"/>
        </w:numPr>
        <w:ind w:left="720"/>
        <w:rPr>
          <w:rFonts w:eastAsia="Malgun Gothic"/>
        </w:rPr>
      </w:pPr>
      <w:bookmarkStart w:id="20" w:name="_Toc401931499"/>
      <w:r w:rsidRPr="007668DF">
        <w:rPr>
          <w:rFonts w:eastAsia="Malgun Gothic"/>
        </w:rPr>
        <w:t>IX.</w:t>
      </w:r>
      <w:r w:rsidR="00DC4F65">
        <w:rPr>
          <w:rFonts w:eastAsia="Malgun Gothic"/>
        </w:rPr>
        <w:tab/>
      </w:r>
      <w:r w:rsidR="00CE1167" w:rsidRPr="007668DF">
        <w:rPr>
          <w:rFonts w:eastAsia="Malgun Gothic"/>
        </w:rPr>
        <w:t>Situation des r</w:t>
      </w:r>
      <w:r w:rsidRPr="007668DF">
        <w:rPr>
          <w:rFonts w:eastAsia="Malgun Gothic"/>
        </w:rPr>
        <w:t xml:space="preserve">éfugiés et </w:t>
      </w:r>
      <w:r w:rsidR="003839C1" w:rsidRPr="007668DF">
        <w:rPr>
          <w:rFonts w:eastAsia="Malgun Gothic"/>
        </w:rPr>
        <w:t>p</w:t>
      </w:r>
      <w:r w:rsidRPr="007668DF">
        <w:rPr>
          <w:rFonts w:eastAsia="Malgun Gothic"/>
        </w:rPr>
        <w:t>ersonnes déplacées</w:t>
      </w:r>
      <w:bookmarkEnd w:id="20"/>
      <w:r w:rsidRPr="007668DF">
        <w:rPr>
          <w:rFonts w:eastAsia="Malgun Gothic"/>
        </w:rPr>
        <w:t xml:space="preserve"> </w:t>
      </w:r>
    </w:p>
    <w:p w:rsidR="0024142C" w:rsidRPr="007668DF" w:rsidRDefault="0086130D" w:rsidP="008B1A45">
      <w:pPr>
        <w:tabs>
          <w:tab w:val="left" w:pos="567"/>
          <w:tab w:val="left" w:pos="709"/>
          <w:tab w:val="left" w:pos="851"/>
        </w:tabs>
        <w:jc w:val="both"/>
        <w:rPr>
          <w:rFonts w:ascii="Times New Roman" w:eastAsia="Malgun Gothic" w:hAnsi="Times New Roman"/>
          <w:bCs/>
          <w:sz w:val="24"/>
          <w:szCs w:val="24"/>
        </w:rPr>
      </w:pPr>
      <w:r>
        <w:rPr>
          <w:rFonts w:ascii="Times New Roman" w:eastAsia="Malgun Gothic" w:hAnsi="Times New Roman"/>
          <w:bCs/>
          <w:sz w:val="24"/>
          <w:szCs w:val="24"/>
        </w:rPr>
        <w:lastRenderedPageBreak/>
        <w:t>8</w:t>
      </w:r>
      <w:r w:rsidR="006A45E8">
        <w:rPr>
          <w:rFonts w:ascii="Times New Roman" w:eastAsia="Malgun Gothic" w:hAnsi="Times New Roman"/>
          <w:bCs/>
          <w:sz w:val="24"/>
          <w:szCs w:val="24"/>
        </w:rPr>
        <w:t>4</w:t>
      </w:r>
      <w:r w:rsidR="0024142C" w:rsidRPr="007668DF">
        <w:rPr>
          <w:rFonts w:ascii="Times New Roman" w:eastAsia="Malgun Gothic" w:hAnsi="Times New Roman"/>
          <w:bCs/>
          <w:sz w:val="24"/>
          <w:szCs w:val="24"/>
        </w:rPr>
        <w:t>.</w:t>
      </w:r>
      <w:r w:rsidR="0024142C" w:rsidRPr="007668DF">
        <w:rPr>
          <w:rFonts w:ascii="Times New Roman" w:eastAsia="Malgun Gothic" w:hAnsi="Times New Roman"/>
          <w:bCs/>
          <w:sz w:val="24"/>
          <w:szCs w:val="24"/>
        </w:rPr>
        <w:tab/>
        <w:t>Dans le cadre de son mandat de surveillance et de sa stratégie d'intégration des droits de l'homme dans l'action humanitaire, la Division des droits de l’homme travaille étroitement avec les partenaires humanitaires sur la question des conditions d</w:t>
      </w:r>
      <w:r w:rsidR="009C3FCE">
        <w:rPr>
          <w:rFonts w:ascii="Times New Roman" w:eastAsia="Malgun Gothic" w:hAnsi="Times New Roman"/>
          <w:bCs/>
          <w:sz w:val="24"/>
          <w:szCs w:val="24"/>
        </w:rPr>
        <w:t>u</w:t>
      </w:r>
      <w:r w:rsidR="0024142C" w:rsidRPr="007668DF">
        <w:rPr>
          <w:rFonts w:ascii="Times New Roman" w:eastAsia="Malgun Gothic" w:hAnsi="Times New Roman"/>
          <w:bCs/>
          <w:sz w:val="24"/>
          <w:szCs w:val="24"/>
        </w:rPr>
        <w:t xml:space="preserve"> retour</w:t>
      </w:r>
      <w:r w:rsidR="009C3FCE">
        <w:rPr>
          <w:rFonts w:ascii="Times New Roman" w:eastAsia="Malgun Gothic" w:hAnsi="Times New Roman"/>
          <w:bCs/>
          <w:sz w:val="24"/>
          <w:szCs w:val="24"/>
        </w:rPr>
        <w:t xml:space="preserve"> </w:t>
      </w:r>
      <w:r w:rsidR="009C3FCE" w:rsidRPr="009C3FCE">
        <w:rPr>
          <w:rFonts w:ascii="Times New Roman" w:eastAsia="Malgun Gothic" w:hAnsi="Times New Roman"/>
          <w:bCs/>
          <w:sz w:val="24"/>
          <w:szCs w:val="24"/>
        </w:rPr>
        <w:t xml:space="preserve">sûr </w:t>
      </w:r>
      <w:r w:rsidR="009C3FCE">
        <w:rPr>
          <w:rFonts w:ascii="Times New Roman" w:eastAsia="Malgun Gothic" w:hAnsi="Times New Roman"/>
          <w:bCs/>
          <w:sz w:val="24"/>
          <w:szCs w:val="24"/>
        </w:rPr>
        <w:t>et digne</w:t>
      </w:r>
      <w:r w:rsidR="0024142C" w:rsidRPr="007668DF">
        <w:rPr>
          <w:rFonts w:ascii="Times New Roman" w:eastAsia="Malgun Gothic" w:hAnsi="Times New Roman"/>
          <w:bCs/>
          <w:sz w:val="24"/>
          <w:szCs w:val="24"/>
        </w:rPr>
        <w:t xml:space="preserve"> des réfugiés maliens et des personnes déplacées internes dans le </w:t>
      </w:r>
      <w:r w:rsidR="003839C1" w:rsidRPr="007668DF">
        <w:rPr>
          <w:rFonts w:ascii="Times New Roman" w:eastAsia="Malgun Gothic" w:hAnsi="Times New Roman"/>
          <w:bCs/>
          <w:sz w:val="24"/>
          <w:szCs w:val="24"/>
        </w:rPr>
        <w:t>n</w:t>
      </w:r>
      <w:r w:rsidR="0024142C" w:rsidRPr="007668DF">
        <w:rPr>
          <w:rFonts w:ascii="Times New Roman" w:eastAsia="Malgun Gothic" w:hAnsi="Times New Roman"/>
          <w:bCs/>
          <w:sz w:val="24"/>
          <w:szCs w:val="24"/>
        </w:rPr>
        <w:t xml:space="preserve">ord du Mali. Le nombre des personnes déplacées internes </w:t>
      </w:r>
      <w:r w:rsidR="008F1E7F" w:rsidRPr="007668DF">
        <w:rPr>
          <w:rFonts w:ascii="Times New Roman" w:eastAsia="Malgun Gothic" w:hAnsi="Times New Roman"/>
          <w:bCs/>
          <w:sz w:val="24"/>
          <w:szCs w:val="24"/>
        </w:rPr>
        <w:t xml:space="preserve">depuis la crise </w:t>
      </w:r>
      <w:r w:rsidR="0024142C" w:rsidRPr="007668DF">
        <w:rPr>
          <w:rFonts w:ascii="Times New Roman" w:eastAsia="Malgun Gothic" w:hAnsi="Times New Roman"/>
          <w:bCs/>
          <w:sz w:val="24"/>
          <w:szCs w:val="24"/>
        </w:rPr>
        <w:t xml:space="preserve">est estimé à 186,884 dans l’ensemble du pays. Au sud, </w:t>
      </w:r>
      <w:r w:rsidR="007A2DB4" w:rsidRPr="007668DF">
        <w:rPr>
          <w:rFonts w:ascii="Times New Roman" w:eastAsia="Malgun Gothic" w:hAnsi="Times New Roman"/>
          <w:bCs/>
          <w:sz w:val="24"/>
          <w:szCs w:val="24"/>
        </w:rPr>
        <w:t xml:space="preserve">le district de </w:t>
      </w:r>
      <w:r w:rsidR="0024142C" w:rsidRPr="007668DF">
        <w:rPr>
          <w:rFonts w:ascii="Times New Roman" w:eastAsia="Malgun Gothic" w:hAnsi="Times New Roman"/>
          <w:bCs/>
          <w:sz w:val="24"/>
          <w:szCs w:val="24"/>
        </w:rPr>
        <w:t>Bamako continue d'accueillir le plus grand nombre de personnes déplacées</w:t>
      </w:r>
      <w:r w:rsidR="009C3FCE">
        <w:rPr>
          <w:rFonts w:ascii="Times New Roman" w:eastAsia="Malgun Gothic" w:hAnsi="Times New Roman"/>
          <w:bCs/>
          <w:sz w:val="24"/>
          <w:szCs w:val="24"/>
        </w:rPr>
        <w:t xml:space="preserve"> internes</w:t>
      </w:r>
      <w:r w:rsidR="0024142C" w:rsidRPr="007668DF">
        <w:rPr>
          <w:rFonts w:ascii="Times New Roman" w:eastAsia="Malgun Gothic" w:hAnsi="Times New Roman"/>
          <w:bCs/>
          <w:sz w:val="24"/>
          <w:szCs w:val="24"/>
        </w:rPr>
        <w:t xml:space="preserve"> et </w:t>
      </w:r>
      <w:r w:rsidR="007A2DB4" w:rsidRPr="007668DF">
        <w:rPr>
          <w:rFonts w:ascii="Times New Roman" w:eastAsia="Malgun Gothic" w:hAnsi="Times New Roman"/>
          <w:bCs/>
          <w:sz w:val="24"/>
          <w:szCs w:val="24"/>
        </w:rPr>
        <w:t xml:space="preserve">au </w:t>
      </w:r>
      <w:r w:rsidR="0024142C" w:rsidRPr="007668DF">
        <w:rPr>
          <w:rFonts w:ascii="Times New Roman" w:eastAsia="Malgun Gothic" w:hAnsi="Times New Roman"/>
          <w:bCs/>
          <w:sz w:val="24"/>
          <w:szCs w:val="24"/>
        </w:rPr>
        <w:t xml:space="preserve">nord, la majorité </w:t>
      </w:r>
      <w:r w:rsidR="00611402">
        <w:rPr>
          <w:rFonts w:ascii="Times New Roman" w:eastAsia="Malgun Gothic" w:hAnsi="Times New Roman"/>
          <w:bCs/>
          <w:sz w:val="24"/>
          <w:szCs w:val="24"/>
        </w:rPr>
        <w:t>se trouve</w:t>
      </w:r>
      <w:r w:rsidR="00611402" w:rsidRPr="007668DF">
        <w:rPr>
          <w:rFonts w:ascii="Times New Roman" w:eastAsia="Malgun Gothic" w:hAnsi="Times New Roman"/>
          <w:bCs/>
          <w:sz w:val="24"/>
          <w:szCs w:val="24"/>
        </w:rPr>
        <w:t xml:space="preserve"> </w:t>
      </w:r>
      <w:r w:rsidR="0024142C" w:rsidRPr="007668DF">
        <w:rPr>
          <w:rFonts w:ascii="Times New Roman" w:eastAsia="Malgun Gothic" w:hAnsi="Times New Roman"/>
          <w:bCs/>
          <w:sz w:val="24"/>
          <w:szCs w:val="24"/>
        </w:rPr>
        <w:t xml:space="preserve">à Tombouctou (37,864 personnes) et Kidal (34,092 personnes). </w:t>
      </w:r>
    </w:p>
    <w:p w:rsidR="00B3569D" w:rsidRPr="0041228B" w:rsidRDefault="006A45E8" w:rsidP="00B3569D">
      <w:pPr>
        <w:tabs>
          <w:tab w:val="left" w:pos="567"/>
          <w:tab w:val="left" w:pos="709"/>
          <w:tab w:val="left" w:pos="851"/>
        </w:tabs>
        <w:spacing w:after="0"/>
        <w:jc w:val="both"/>
        <w:rPr>
          <w:rFonts w:ascii="Times New Roman" w:eastAsia="Malgun Gothic" w:hAnsi="Times New Roman"/>
          <w:bCs/>
          <w:sz w:val="24"/>
          <w:szCs w:val="24"/>
        </w:rPr>
      </w:pPr>
      <w:r>
        <w:rPr>
          <w:rFonts w:ascii="Times New Roman" w:eastAsia="Malgun Gothic" w:hAnsi="Times New Roman"/>
          <w:bCs/>
          <w:sz w:val="24"/>
          <w:szCs w:val="24"/>
        </w:rPr>
        <w:t>85</w:t>
      </w:r>
      <w:r w:rsidR="00B3569D" w:rsidRPr="0041228B">
        <w:rPr>
          <w:rFonts w:ascii="Times New Roman" w:eastAsia="Malgun Gothic" w:hAnsi="Times New Roman"/>
          <w:bCs/>
          <w:sz w:val="24"/>
          <w:szCs w:val="24"/>
        </w:rPr>
        <w:t>.</w:t>
      </w:r>
      <w:r w:rsidR="00B3569D" w:rsidRPr="0041228B">
        <w:rPr>
          <w:rFonts w:ascii="Times New Roman" w:eastAsia="Malgun Gothic" w:hAnsi="Times New Roman"/>
          <w:bCs/>
          <w:sz w:val="24"/>
          <w:szCs w:val="24"/>
        </w:rPr>
        <w:tab/>
      </w:r>
      <w:r w:rsidR="00B3569D">
        <w:rPr>
          <w:rFonts w:ascii="Times New Roman" w:eastAsia="Malgun Gothic" w:hAnsi="Times New Roman"/>
          <w:bCs/>
          <w:sz w:val="24"/>
          <w:szCs w:val="24"/>
        </w:rPr>
        <w:t xml:space="preserve">La question du retour des </w:t>
      </w:r>
      <w:r w:rsidR="009C3FCE">
        <w:rPr>
          <w:rFonts w:ascii="Times New Roman" w:eastAsia="Malgun Gothic" w:hAnsi="Times New Roman"/>
          <w:bCs/>
          <w:sz w:val="24"/>
          <w:szCs w:val="24"/>
        </w:rPr>
        <w:t xml:space="preserve">personnes </w:t>
      </w:r>
      <w:r w:rsidR="00B3569D">
        <w:rPr>
          <w:rFonts w:ascii="Times New Roman" w:eastAsia="Malgun Gothic" w:hAnsi="Times New Roman"/>
          <w:bCs/>
          <w:sz w:val="24"/>
          <w:szCs w:val="24"/>
        </w:rPr>
        <w:t>déplacées</w:t>
      </w:r>
      <w:r w:rsidR="009C3FCE">
        <w:rPr>
          <w:rFonts w:ascii="Times New Roman" w:eastAsia="Malgun Gothic" w:hAnsi="Times New Roman"/>
          <w:bCs/>
          <w:sz w:val="24"/>
          <w:szCs w:val="24"/>
        </w:rPr>
        <w:t xml:space="preserve"> internes</w:t>
      </w:r>
      <w:r w:rsidR="00B3569D">
        <w:rPr>
          <w:rFonts w:ascii="Times New Roman" w:eastAsia="Malgun Gothic" w:hAnsi="Times New Roman"/>
          <w:bCs/>
          <w:sz w:val="24"/>
          <w:szCs w:val="24"/>
        </w:rPr>
        <w:t xml:space="preserve"> se pose sur le prisme de leur sécurité. En effet, suite à des retours ayant occasionné divers incidents, le besoin de mise en place de conditions adapté</w:t>
      </w:r>
      <w:r w:rsidR="00EB5B13">
        <w:rPr>
          <w:rFonts w:ascii="Times New Roman" w:eastAsia="Malgun Gothic" w:hAnsi="Times New Roman"/>
          <w:bCs/>
          <w:sz w:val="24"/>
          <w:szCs w:val="24"/>
        </w:rPr>
        <w:t>e</w:t>
      </w:r>
      <w:r w:rsidR="00B3569D">
        <w:rPr>
          <w:rFonts w:ascii="Times New Roman" w:eastAsia="Malgun Gothic" w:hAnsi="Times New Roman"/>
          <w:bCs/>
          <w:sz w:val="24"/>
          <w:szCs w:val="24"/>
        </w:rPr>
        <w:t xml:space="preserve">s afin de faciliter ces retours et leur intégration se pose.  L’illustration de la vulnérabilité de ces </w:t>
      </w:r>
      <w:r w:rsidR="009C3FCE">
        <w:rPr>
          <w:rFonts w:ascii="Times New Roman" w:eastAsia="Malgun Gothic" w:hAnsi="Times New Roman"/>
          <w:bCs/>
          <w:sz w:val="24"/>
          <w:szCs w:val="24"/>
        </w:rPr>
        <w:t xml:space="preserve">personnes </w:t>
      </w:r>
      <w:r w:rsidR="00B3569D">
        <w:rPr>
          <w:rFonts w:ascii="Times New Roman" w:eastAsia="Malgun Gothic" w:hAnsi="Times New Roman"/>
          <w:bCs/>
          <w:sz w:val="24"/>
          <w:szCs w:val="24"/>
        </w:rPr>
        <w:t>a été faite à Tombouctou où le 31 mai 2014, d</w:t>
      </w:r>
      <w:r w:rsidR="00B3569D" w:rsidRPr="0041228B">
        <w:rPr>
          <w:rFonts w:ascii="Times New Roman" w:eastAsia="Malgun Gothic" w:hAnsi="Times New Roman"/>
          <w:bCs/>
          <w:sz w:val="24"/>
          <w:szCs w:val="24"/>
        </w:rPr>
        <w:t xml:space="preserve">es membres </w:t>
      </w:r>
      <w:r w:rsidR="00B3569D">
        <w:rPr>
          <w:rFonts w:ascii="Times New Roman" w:eastAsia="Malgun Gothic" w:hAnsi="Times New Roman"/>
          <w:bCs/>
          <w:sz w:val="24"/>
          <w:szCs w:val="24"/>
        </w:rPr>
        <w:t>de 2</w:t>
      </w:r>
      <w:r w:rsidR="00B3569D" w:rsidRPr="0041228B">
        <w:rPr>
          <w:rFonts w:ascii="Times New Roman" w:eastAsia="Malgun Gothic" w:hAnsi="Times New Roman"/>
          <w:bCs/>
          <w:sz w:val="24"/>
          <w:szCs w:val="24"/>
        </w:rPr>
        <w:t xml:space="preserve"> familles</w:t>
      </w:r>
      <w:r w:rsidR="00B3569D">
        <w:rPr>
          <w:rFonts w:ascii="Times New Roman" w:eastAsia="Malgun Gothic" w:hAnsi="Times New Roman"/>
          <w:bCs/>
          <w:sz w:val="24"/>
          <w:szCs w:val="24"/>
        </w:rPr>
        <w:t xml:space="preserve"> </w:t>
      </w:r>
      <w:r w:rsidR="00B3569D" w:rsidRPr="00105BA5">
        <w:rPr>
          <w:rFonts w:ascii="Times New Roman" w:eastAsia="Malgun Gothic" w:hAnsi="Times New Roman"/>
          <w:bCs/>
          <w:i/>
          <w:sz w:val="24"/>
          <w:szCs w:val="24"/>
        </w:rPr>
        <w:t>Touaregs</w:t>
      </w:r>
      <w:r w:rsidR="00B3569D" w:rsidRPr="0041228B">
        <w:rPr>
          <w:rFonts w:ascii="Times New Roman" w:eastAsia="Malgun Gothic" w:hAnsi="Times New Roman"/>
          <w:bCs/>
          <w:sz w:val="24"/>
          <w:szCs w:val="24"/>
        </w:rPr>
        <w:t xml:space="preserve"> </w:t>
      </w:r>
      <w:r w:rsidR="00B3569D">
        <w:rPr>
          <w:rFonts w:ascii="Times New Roman" w:eastAsia="Malgun Gothic" w:hAnsi="Times New Roman"/>
          <w:bCs/>
          <w:sz w:val="24"/>
          <w:szCs w:val="24"/>
        </w:rPr>
        <w:t>ont</w:t>
      </w:r>
      <w:r w:rsidR="00B3569D" w:rsidRPr="0041228B">
        <w:rPr>
          <w:rFonts w:ascii="Times New Roman" w:eastAsia="Malgun Gothic" w:hAnsi="Times New Roman"/>
          <w:bCs/>
          <w:sz w:val="24"/>
          <w:szCs w:val="24"/>
        </w:rPr>
        <w:t xml:space="preserve"> été agressés </w:t>
      </w:r>
      <w:r w:rsidR="00B3569D">
        <w:rPr>
          <w:rFonts w:ascii="Times New Roman" w:eastAsia="Malgun Gothic" w:hAnsi="Times New Roman"/>
          <w:bCs/>
          <w:sz w:val="24"/>
          <w:szCs w:val="24"/>
        </w:rPr>
        <w:t xml:space="preserve">à l’occasion de leur retour </w:t>
      </w:r>
      <w:r w:rsidR="00B3569D" w:rsidRPr="0041228B">
        <w:rPr>
          <w:rFonts w:ascii="Times New Roman" w:eastAsia="Malgun Gothic" w:hAnsi="Times New Roman"/>
          <w:bCs/>
          <w:sz w:val="24"/>
          <w:szCs w:val="24"/>
        </w:rPr>
        <w:t xml:space="preserve">par une foule </w:t>
      </w:r>
      <w:r w:rsidR="00EB5B13">
        <w:rPr>
          <w:rFonts w:ascii="Times New Roman" w:eastAsia="Malgun Gothic" w:hAnsi="Times New Roman"/>
          <w:bCs/>
          <w:sz w:val="24"/>
          <w:szCs w:val="24"/>
        </w:rPr>
        <w:t>dans le</w:t>
      </w:r>
      <w:r w:rsidR="00EB5B13" w:rsidRPr="0041228B">
        <w:rPr>
          <w:rFonts w:ascii="Times New Roman" w:eastAsia="Malgun Gothic" w:hAnsi="Times New Roman"/>
          <w:bCs/>
          <w:sz w:val="24"/>
          <w:szCs w:val="24"/>
        </w:rPr>
        <w:t xml:space="preserve"> </w:t>
      </w:r>
      <w:r w:rsidR="00B3569D" w:rsidRPr="0041228B">
        <w:rPr>
          <w:rFonts w:ascii="Times New Roman" w:eastAsia="Malgun Gothic" w:hAnsi="Times New Roman"/>
          <w:bCs/>
          <w:sz w:val="24"/>
          <w:szCs w:val="24"/>
        </w:rPr>
        <w:t>quartier de Hamabangou. Ils auraient été victimes de jets de pierre,</w:t>
      </w:r>
      <w:r w:rsidR="00B3569D">
        <w:rPr>
          <w:rFonts w:ascii="Times New Roman" w:eastAsia="Malgun Gothic" w:hAnsi="Times New Roman"/>
          <w:bCs/>
          <w:sz w:val="24"/>
          <w:szCs w:val="24"/>
        </w:rPr>
        <w:t xml:space="preserve"> d’injures et menaces de mort. </w:t>
      </w:r>
    </w:p>
    <w:p w:rsidR="00B3569D" w:rsidRPr="0041228B" w:rsidRDefault="00B3569D" w:rsidP="00B3569D">
      <w:pPr>
        <w:tabs>
          <w:tab w:val="left" w:pos="567"/>
          <w:tab w:val="left" w:pos="709"/>
          <w:tab w:val="left" w:pos="851"/>
        </w:tabs>
        <w:spacing w:after="0"/>
        <w:jc w:val="both"/>
        <w:rPr>
          <w:rFonts w:ascii="Times New Roman" w:eastAsia="Malgun Gothic" w:hAnsi="Times New Roman"/>
          <w:bCs/>
          <w:sz w:val="24"/>
          <w:szCs w:val="24"/>
        </w:rPr>
      </w:pPr>
    </w:p>
    <w:p w:rsidR="00B3569D" w:rsidRDefault="006A45E8" w:rsidP="006948B4">
      <w:pPr>
        <w:tabs>
          <w:tab w:val="left" w:pos="567"/>
          <w:tab w:val="left" w:pos="709"/>
          <w:tab w:val="left" w:pos="851"/>
        </w:tabs>
        <w:spacing w:after="0"/>
        <w:jc w:val="both"/>
        <w:rPr>
          <w:rFonts w:ascii="Times New Roman" w:eastAsia="Malgun Gothic" w:hAnsi="Times New Roman"/>
          <w:bCs/>
          <w:sz w:val="24"/>
          <w:szCs w:val="24"/>
        </w:rPr>
      </w:pPr>
      <w:r>
        <w:rPr>
          <w:rFonts w:ascii="Times New Roman" w:eastAsia="Malgun Gothic" w:hAnsi="Times New Roman"/>
          <w:bCs/>
          <w:sz w:val="24"/>
          <w:szCs w:val="24"/>
        </w:rPr>
        <w:t>86</w:t>
      </w:r>
      <w:r w:rsidR="00B3569D" w:rsidRPr="0041228B">
        <w:rPr>
          <w:rFonts w:ascii="Times New Roman" w:eastAsia="Malgun Gothic" w:hAnsi="Times New Roman"/>
          <w:bCs/>
          <w:sz w:val="24"/>
          <w:szCs w:val="24"/>
        </w:rPr>
        <w:t>.</w:t>
      </w:r>
      <w:r w:rsidR="00B3569D" w:rsidRPr="0041228B">
        <w:rPr>
          <w:rFonts w:ascii="Times New Roman" w:eastAsia="Malgun Gothic" w:hAnsi="Times New Roman"/>
          <w:bCs/>
          <w:sz w:val="24"/>
          <w:szCs w:val="24"/>
        </w:rPr>
        <w:tab/>
      </w:r>
      <w:r w:rsidR="00B3569D">
        <w:rPr>
          <w:rFonts w:ascii="Times New Roman" w:eastAsia="Malgun Gothic" w:hAnsi="Times New Roman"/>
          <w:bCs/>
          <w:sz w:val="24"/>
          <w:szCs w:val="24"/>
        </w:rPr>
        <w:t>Par ailleurs, l</w:t>
      </w:r>
      <w:r w:rsidR="00B3569D" w:rsidRPr="00877B4C">
        <w:rPr>
          <w:rFonts w:ascii="Times New Roman" w:eastAsia="Malgun Gothic" w:hAnsi="Times New Roman"/>
          <w:bCs/>
          <w:sz w:val="24"/>
          <w:szCs w:val="24"/>
        </w:rPr>
        <w:t xml:space="preserve">'insécurité alimentaire et la protection </w:t>
      </w:r>
      <w:r w:rsidR="00EB5B13">
        <w:rPr>
          <w:rFonts w:ascii="Times New Roman" w:eastAsia="Malgun Gothic" w:hAnsi="Times New Roman"/>
          <w:bCs/>
          <w:sz w:val="24"/>
          <w:szCs w:val="24"/>
        </w:rPr>
        <w:t>des réfugiés et personnes déplacées</w:t>
      </w:r>
      <w:r w:rsidR="00BC6049">
        <w:rPr>
          <w:rFonts w:ascii="Times New Roman" w:eastAsia="Malgun Gothic" w:hAnsi="Times New Roman"/>
          <w:bCs/>
          <w:sz w:val="24"/>
          <w:szCs w:val="24"/>
        </w:rPr>
        <w:t xml:space="preserve"> internes</w:t>
      </w:r>
      <w:r w:rsidR="00EB5B13">
        <w:rPr>
          <w:rFonts w:ascii="Times New Roman" w:eastAsia="Malgun Gothic" w:hAnsi="Times New Roman"/>
          <w:bCs/>
          <w:sz w:val="24"/>
          <w:szCs w:val="24"/>
        </w:rPr>
        <w:t xml:space="preserve"> </w:t>
      </w:r>
      <w:r w:rsidR="00B3569D" w:rsidRPr="00877B4C">
        <w:rPr>
          <w:rFonts w:ascii="Times New Roman" w:eastAsia="Malgun Gothic" w:hAnsi="Times New Roman"/>
          <w:bCs/>
          <w:sz w:val="24"/>
          <w:szCs w:val="24"/>
        </w:rPr>
        <w:t>sont les principales préoccupations humanitaires dans le nord du Mali. Le</w:t>
      </w:r>
      <w:r w:rsidR="00B3569D">
        <w:rPr>
          <w:rFonts w:ascii="Times New Roman" w:eastAsia="Malgun Gothic" w:hAnsi="Times New Roman"/>
          <w:bCs/>
          <w:sz w:val="24"/>
          <w:szCs w:val="24"/>
        </w:rPr>
        <w:t xml:space="preserve"> retour des réfugiés et personnes déplacées</w:t>
      </w:r>
      <w:r w:rsidR="00BC6049">
        <w:rPr>
          <w:rFonts w:ascii="Times New Roman" w:eastAsia="Malgun Gothic" w:hAnsi="Times New Roman"/>
          <w:bCs/>
          <w:sz w:val="24"/>
          <w:szCs w:val="24"/>
        </w:rPr>
        <w:t xml:space="preserve"> internes</w:t>
      </w:r>
      <w:r w:rsidR="00B3569D">
        <w:rPr>
          <w:rFonts w:ascii="Times New Roman" w:eastAsia="Malgun Gothic" w:hAnsi="Times New Roman"/>
          <w:bCs/>
          <w:sz w:val="24"/>
          <w:szCs w:val="24"/>
        </w:rPr>
        <w:t xml:space="preserve"> e</w:t>
      </w:r>
      <w:r w:rsidR="00B3569D" w:rsidRPr="00877B4C">
        <w:rPr>
          <w:rFonts w:ascii="Times New Roman" w:eastAsia="Malgun Gothic" w:hAnsi="Times New Roman"/>
          <w:bCs/>
          <w:sz w:val="24"/>
          <w:szCs w:val="24"/>
        </w:rPr>
        <w:t>s</w:t>
      </w:r>
      <w:r w:rsidR="00B3569D">
        <w:rPr>
          <w:rFonts w:ascii="Times New Roman" w:eastAsia="Malgun Gothic" w:hAnsi="Times New Roman"/>
          <w:bCs/>
          <w:sz w:val="24"/>
          <w:szCs w:val="24"/>
        </w:rPr>
        <w:t xml:space="preserve">t freiné par l’absence des </w:t>
      </w:r>
      <w:r w:rsidR="00B3569D" w:rsidRPr="00877B4C">
        <w:rPr>
          <w:rFonts w:ascii="Times New Roman" w:eastAsia="Malgun Gothic" w:hAnsi="Times New Roman"/>
          <w:bCs/>
          <w:sz w:val="24"/>
          <w:szCs w:val="24"/>
        </w:rPr>
        <w:t>services sociaux de base tels que la santé</w:t>
      </w:r>
      <w:r w:rsidR="00B3569D">
        <w:rPr>
          <w:rFonts w:ascii="Times New Roman" w:eastAsia="Malgun Gothic" w:hAnsi="Times New Roman"/>
          <w:bCs/>
          <w:sz w:val="24"/>
          <w:szCs w:val="24"/>
        </w:rPr>
        <w:t xml:space="preserve"> et</w:t>
      </w:r>
      <w:r w:rsidR="00B3569D" w:rsidRPr="00877B4C">
        <w:rPr>
          <w:rFonts w:ascii="Times New Roman" w:eastAsia="Malgun Gothic" w:hAnsi="Times New Roman"/>
          <w:bCs/>
          <w:sz w:val="24"/>
          <w:szCs w:val="24"/>
        </w:rPr>
        <w:t xml:space="preserve"> l'éducation</w:t>
      </w:r>
      <w:r w:rsidR="00B3569D">
        <w:rPr>
          <w:rFonts w:ascii="Times New Roman" w:eastAsia="Malgun Gothic" w:hAnsi="Times New Roman"/>
          <w:bCs/>
          <w:sz w:val="24"/>
          <w:szCs w:val="24"/>
        </w:rPr>
        <w:t>.</w:t>
      </w:r>
      <w:r w:rsidR="00B3569D" w:rsidRPr="00877B4C">
        <w:rPr>
          <w:rFonts w:ascii="Times New Roman" w:eastAsia="Malgun Gothic" w:hAnsi="Times New Roman"/>
          <w:bCs/>
          <w:sz w:val="24"/>
          <w:szCs w:val="24"/>
        </w:rPr>
        <w:t xml:space="preserve"> </w:t>
      </w:r>
      <w:r w:rsidR="00B3569D">
        <w:rPr>
          <w:rFonts w:ascii="Times New Roman" w:eastAsia="Malgun Gothic" w:hAnsi="Times New Roman"/>
          <w:bCs/>
          <w:sz w:val="24"/>
          <w:szCs w:val="24"/>
        </w:rPr>
        <w:t>Cette situation s’est d’avantage dégradée</w:t>
      </w:r>
      <w:r w:rsidR="006948B4">
        <w:rPr>
          <w:rFonts w:ascii="Times New Roman" w:eastAsia="Malgun Gothic" w:hAnsi="Times New Roman"/>
          <w:bCs/>
          <w:sz w:val="24"/>
          <w:szCs w:val="24"/>
        </w:rPr>
        <w:t xml:space="preserve"> suite aux évènements de Kidal.</w:t>
      </w:r>
    </w:p>
    <w:p w:rsidR="006948B4" w:rsidRDefault="006948B4" w:rsidP="006948B4">
      <w:pPr>
        <w:tabs>
          <w:tab w:val="left" w:pos="567"/>
          <w:tab w:val="left" w:pos="709"/>
          <w:tab w:val="left" w:pos="851"/>
        </w:tabs>
        <w:spacing w:after="0"/>
        <w:jc w:val="both"/>
        <w:rPr>
          <w:rFonts w:ascii="Times New Roman" w:eastAsia="Malgun Gothic" w:hAnsi="Times New Roman"/>
          <w:bCs/>
          <w:sz w:val="24"/>
          <w:szCs w:val="24"/>
        </w:rPr>
      </w:pPr>
    </w:p>
    <w:p w:rsidR="0024142C" w:rsidRPr="007668DF" w:rsidRDefault="0024142C" w:rsidP="003B152B">
      <w:pPr>
        <w:pStyle w:val="Title"/>
        <w:numPr>
          <w:ilvl w:val="0"/>
          <w:numId w:val="0"/>
        </w:numPr>
        <w:ind w:left="720"/>
        <w:rPr>
          <w:rFonts w:eastAsia="Malgun Gothic"/>
          <w:lang w:val="fr-CH"/>
        </w:rPr>
      </w:pPr>
      <w:bookmarkStart w:id="21" w:name="_Toc401931500"/>
      <w:r w:rsidRPr="007668DF">
        <w:rPr>
          <w:rFonts w:eastAsia="Malgun Gothic"/>
        </w:rPr>
        <w:lastRenderedPageBreak/>
        <w:t>X.</w:t>
      </w:r>
      <w:r w:rsidR="00DC4F65">
        <w:rPr>
          <w:rFonts w:eastAsia="Malgun Gothic"/>
        </w:rPr>
        <w:tab/>
      </w:r>
      <w:r w:rsidR="00C72ED9" w:rsidRPr="007668DF">
        <w:rPr>
          <w:rFonts w:eastAsia="Malgun Gothic"/>
        </w:rPr>
        <w:t>Lutte contre l’impunité et j</w:t>
      </w:r>
      <w:r w:rsidRPr="007668DF">
        <w:rPr>
          <w:rFonts w:eastAsia="Malgun Gothic"/>
        </w:rPr>
        <w:t xml:space="preserve">ustice </w:t>
      </w:r>
      <w:r w:rsidR="00C72ED9" w:rsidRPr="007668DF">
        <w:rPr>
          <w:rFonts w:eastAsia="Malgun Gothic"/>
        </w:rPr>
        <w:t>t</w:t>
      </w:r>
      <w:r w:rsidRPr="007668DF">
        <w:rPr>
          <w:rFonts w:eastAsia="Malgun Gothic"/>
        </w:rPr>
        <w:t>ransitionnelle</w:t>
      </w:r>
      <w:bookmarkEnd w:id="21"/>
    </w:p>
    <w:p w:rsidR="006229E1" w:rsidRPr="007668DF" w:rsidRDefault="006229E1" w:rsidP="006229E1">
      <w:pPr>
        <w:spacing w:after="0"/>
        <w:rPr>
          <w:rFonts w:ascii="Times New Roman" w:hAnsi="Times New Roman"/>
          <w:sz w:val="24"/>
          <w:szCs w:val="24"/>
          <w:lang w:val="fr-CH" w:eastAsia="x-none"/>
        </w:rPr>
      </w:pPr>
    </w:p>
    <w:p w:rsidR="0024142C" w:rsidRPr="003B152B" w:rsidRDefault="00AD24AE" w:rsidP="003B152B">
      <w:pPr>
        <w:pStyle w:val="Subtitle"/>
        <w:numPr>
          <w:ilvl w:val="0"/>
          <w:numId w:val="47"/>
        </w:numPr>
        <w:rPr>
          <w:rFonts w:eastAsia="Malgun Gothic"/>
          <w:b w:val="0"/>
        </w:rPr>
      </w:pPr>
      <w:bookmarkStart w:id="22" w:name="_Toc401931501"/>
      <w:r>
        <w:rPr>
          <w:rFonts w:eastAsia="Malgun Gothic"/>
        </w:rPr>
        <w:t>Crimes</w:t>
      </w:r>
      <w:r w:rsidR="0024142C" w:rsidRPr="003B152B">
        <w:rPr>
          <w:rFonts w:eastAsia="Malgun Gothic"/>
        </w:rPr>
        <w:t xml:space="preserve"> graves du passé et lutte contre </w:t>
      </w:r>
      <w:r w:rsidR="00405C5D" w:rsidRPr="003B152B">
        <w:rPr>
          <w:rFonts w:eastAsia="Malgun Gothic"/>
        </w:rPr>
        <w:t>l’impunité</w:t>
      </w:r>
      <w:bookmarkEnd w:id="22"/>
      <w:r w:rsidR="00405C5D" w:rsidRPr="003B152B">
        <w:rPr>
          <w:rFonts w:eastAsia="Malgun Gothic"/>
        </w:rPr>
        <w:t xml:space="preserve"> </w:t>
      </w:r>
    </w:p>
    <w:p w:rsidR="0024142C" w:rsidRPr="007668DF" w:rsidRDefault="006A45E8" w:rsidP="00255116">
      <w:pPr>
        <w:tabs>
          <w:tab w:val="left" w:pos="567"/>
          <w:tab w:val="left" w:pos="709"/>
          <w:tab w:val="left" w:pos="851"/>
        </w:tabs>
        <w:jc w:val="both"/>
        <w:rPr>
          <w:rFonts w:ascii="Times New Roman" w:eastAsia="Malgun Gothic" w:hAnsi="Times New Roman"/>
          <w:bCs/>
          <w:sz w:val="24"/>
          <w:szCs w:val="24"/>
        </w:rPr>
      </w:pPr>
      <w:r>
        <w:rPr>
          <w:rFonts w:ascii="Times New Roman" w:eastAsia="Malgun Gothic" w:hAnsi="Times New Roman"/>
          <w:bCs/>
          <w:sz w:val="24"/>
          <w:szCs w:val="24"/>
        </w:rPr>
        <w:t>87</w:t>
      </w:r>
      <w:r w:rsidR="0024142C" w:rsidRPr="007668DF">
        <w:rPr>
          <w:rFonts w:ascii="Times New Roman" w:eastAsia="Malgun Gothic" w:hAnsi="Times New Roman"/>
          <w:bCs/>
          <w:sz w:val="24"/>
          <w:szCs w:val="24"/>
        </w:rPr>
        <w:t>.</w:t>
      </w:r>
      <w:r w:rsidR="0024142C" w:rsidRPr="007668DF">
        <w:rPr>
          <w:rFonts w:ascii="Times New Roman" w:eastAsia="Malgun Gothic" w:hAnsi="Times New Roman"/>
          <w:bCs/>
          <w:sz w:val="24"/>
          <w:szCs w:val="24"/>
        </w:rPr>
        <w:tab/>
        <w:t>L</w:t>
      </w:r>
      <w:r w:rsidR="00775DD0" w:rsidRPr="007668DF">
        <w:rPr>
          <w:rFonts w:ascii="Times New Roman" w:eastAsia="Malgun Gothic" w:hAnsi="Times New Roman"/>
          <w:bCs/>
          <w:sz w:val="24"/>
          <w:szCs w:val="24"/>
        </w:rPr>
        <w:t>e conflit </w:t>
      </w:r>
      <w:r w:rsidR="00F85458" w:rsidRPr="007668DF">
        <w:rPr>
          <w:rFonts w:ascii="Times New Roman" w:eastAsia="Malgun Gothic" w:hAnsi="Times New Roman"/>
          <w:bCs/>
          <w:sz w:val="24"/>
          <w:szCs w:val="24"/>
        </w:rPr>
        <w:t xml:space="preserve"> </w:t>
      </w:r>
      <w:r w:rsidR="0024142C" w:rsidRPr="007668DF">
        <w:rPr>
          <w:rFonts w:ascii="Times New Roman" w:eastAsia="Malgun Gothic" w:hAnsi="Times New Roman"/>
          <w:bCs/>
          <w:sz w:val="24"/>
          <w:szCs w:val="24"/>
        </w:rPr>
        <w:t xml:space="preserve">au nord du Mali </w:t>
      </w:r>
      <w:r w:rsidR="00F85458" w:rsidRPr="007668DF">
        <w:rPr>
          <w:rFonts w:ascii="Times New Roman" w:eastAsia="Malgun Gothic" w:hAnsi="Times New Roman"/>
          <w:bCs/>
          <w:sz w:val="24"/>
          <w:szCs w:val="24"/>
        </w:rPr>
        <w:t xml:space="preserve">a </w:t>
      </w:r>
      <w:r w:rsidR="0024142C" w:rsidRPr="007668DF">
        <w:rPr>
          <w:rFonts w:ascii="Times New Roman" w:eastAsia="Malgun Gothic" w:hAnsi="Times New Roman"/>
          <w:bCs/>
          <w:sz w:val="24"/>
          <w:szCs w:val="24"/>
        </w:rPr>
        <w:t>relanc</w:t>
      </w:r>
      <w:r w:rsidR="00F85458" w:rsidRPr="007668DF">
        <w:rPr>
          <w:rFonts w:ascii="Times New Roman" w:eastAsia="Malgun Gothic" w:hAnsi="Times New Roman"/>
          <w:bCs/>
          <w:sz w:val="24"/>
          <w:szCs w:val="24"/>
        </w:rPr>
        <w:t>é</w:t>
      </w:r>
      <w:r w:rsidR="0024142C" w:rsidRPr="007668DF">
        <w:rPr>
          <w:rFonts w:ascii="Times New Roman" w:eastAsia="Malgun Gothic" w:hAnsi="Times New Roman"/>
          <w:bCs/>
          <w:sz w:val="24"/>
          <w:szCs w:val="24"/>
        </w:rPr>
        <w:t xml:space="preserve"> </w:t>
      </w:r>
      <w:r w:rsidR="00B3569D" w:rsidRPr="007668DF">
        <w:rPr>
          <w:rFonts w:ascii="Times New Roman" w:eastAsia="Malgun Gothic" w:hAnsi="Times New Roman"/>
          <w:bCs/>
          <w:sz w:val="24"/>
          <w:szCs w:val="24"/>
        </w:rPr>
        <w:t>l</w:t>
      </w:r>
      <w:r w:rsidR="00B3569D">
        <w:rPr>
          <w:rFonts w:ascii="Times New Roman" w:eastAsia="Malgun Gothic" w:hAnsi="Times New Roman"/>
          <w:bCs/>
          <w:sz w:val="24"/>
          <w:szCs w:val="24"/>
        </w:rPr>
        <w:t>a</w:t>
      </w:r>
      <w:r w:rsidR="00B3569D" w:rsidRPr="007668DF">
        <w:rPr>
          <w:rFonts w:ascii="Times New Roman" w:eastAsia="Malgun Gothic" w:hAnsi="Times New Roman"/>
          <w:bCs/>
          <w:sz w:val="24"/>
          <w:szCs w:val="24"/>
        </w:rPr>
        <w:t xml:space="preserve"> </w:t>
      </w:r>
      <w:r w:rsidR="0024142C" w:rsidRPr="007668DF">
        <w:rPr>
          <w:rFonts w:ascii="Times New Roman" w:eastAsia="Malgun Gothic" w:hAnsi="Times New Roman"/>
          <w:bCs/>
          <w:sz w:val="24"/>
          <w:szCs w:val="24"/>
        </w:rPr>
        <w:t>question de l’impunité dont jouissent les</w:t>
      </w:r>
      <w:r w:rsidR="001A6FAA" w:rsidRPr="007668DF">
        <w:rPr>
          <w:rFonts w:ascii="Times New Roman" w:eastAsia="Malgun Gothic" w:hAnsi="Times New Roman"/>
          <w:bCs/>
          <w:sz w:val="24"/>
          <w:szCs w:val="24"/>
        </w:rPr>
        <w:t xml:space="preserve"> responsables des groupes armés</w:t>
      </w:r>
      <w:r w:rsidR="00B3569D">
        <w:rPr>
          <w:rFonts w:ascii="Times New Roman" w:eastAsia="Malgun Gothic" w:hAnsi="Times New Roman"/>
          <w:bCs/>
          <w:sz w:val="24"/>
          <w:szCs w:val="24"/>
        </w:rPr>
        <w:t xml:space="preserve"> (MNLA) et des groupes </w:t>
      </w:r>
      <w:r w:rsidR="00F47D98">
        <w:rPr>
          <w:rFonts w:ascii="Times New Roman" w:eastAsia="Malgun Gothic" w:hAnsi="Times New Roman"/>
          <w:bCs/>
          <w:sz w:val="24"/>
          <w:szCs w:val="24"/>
        </w:rPr>
        <w:t xml:space="preserve">armés </w:t>
      </w:r>
      <w:r w:rsidR="00B3569D">
        <w:rPr>
          <w:rFonts w:ascii="Times New Roman" w:eastAsia="Malgun Gothic" w:hAnsi="Times New Roman"/>
          <w:bCs/>
          <w:sz w:val="24"/>
          <w:szCs w:val="24"/>
        </w:rPr>
        <w:t>extrémistes (</w:t>
      </w:r>
      <w:r w:rsidR="00B3569D" w:rsidRPr="003B152B">
        <w:rPr>
          <w:rFonts w:ascii="Times New Roman" w:eastAsia="Malgun Gothic" w:hAnsi="Times New Roman"/>
          <w:bCs/>
          <w:i/>
          <w:sz w:val="24"/>
          <w:szCs w:val="24"/>
        </w:rPr>
        <w:t>Ansar Dine</w:t>
      </w:r>
      <w:r w:rsidR="00B3569D">
        <w:rPr>
          <w:rFonts w:ascii="Times New Roman" w:eastAsia="Malgun Gothic" w:hAnsi="Times New Roman"/>
          <w:bCs/>
          <w:sz w:val="24"/>
          <w:szCs w:val="24"/>
        </w:rPr>
        <w:t xml:space="preserve"> et MUJAO)</w:t>
      </w:r>
      <w:r w:rsidR="001A6FAA" w:rsidRPr="007668DF" w:rsidDel="001A6FAA">
        <w:rPr>
          <w:rFonts w:ascii="Times New Roman" w:eastAsia="Malgun Gothic" w:hAnsi="Times New Roman"/>
          <w:bCs/>
          <w:sz w:val="24"/>
          <w:szCs w:val="24"/>
        </w:rPr>
        <w:t xml:space="preserve"> </w:t>
      </w:r>
      <w:r w:rsidR="001A6FAA" w:rsidRPr="007668DF">
        <w:rPr>
          <w:rFonts w:ascii="Times New Roman" w:eastAsia="Malgun Gothic" w:hAnsi="Times New Roman"/>
          <w:bCs/>
          <w:sz w:val="24"/>
          <w:szCs w:val="24"/>
        </w:rPr>
        <w:t>quant aux</w:t>
      </w:r>
      <w:r w:rsidR="0024142C" w:rsidRPr="007668DF">
        <w:rPr>
          <w:rFonts w:ascii="Times New Roman" w:eastAsia="Malgun Gothic" w:hAnsi="Times New Roman"/>
          <w:bCs/>
          <w:sz w:val="24"/>
          <w:szCs w:val="24"/>
        </w:rPr>
        <w:t xml:space="preserve"> crimes graves </w:t>
      </w:r>
      <w:r w:rsidR="00F85458" w:rsidRPr="007668DF">
        <w:rPr>
          <w:rFonts w:ascii="Times New Roman" w:eastAsia="Malgun Gothic" w:hAnsi="Times New Roman"/>
          <w:bCs/>
          <w:sz w:val="24"/>
          <w:szCs w:val="24"/>
        </w:rPr>
        <w:t>commis à l’encontre de</w:t>
      </w:r>
      <w:r w:rsidR="0024142C" w:rsidRPr="007668DF">
        <w:rPr>
          <w:rFonts w:ascii="Times New Roman" w:eastAsia="Malgun Gothic" w:hAnsi="Times New Roman"/>
          <w:bCs/>
          <w:sz w:val="24"/>
          <w:szCs w:val="24"/>
        </w:rPr>
        <w:t xml:space="preserve"> soldats </w:t>
      </w:r>
      <w:r w:rsidR="001A6FAA" w:rsidRPr="007668DF">
        <w:rPr>
          <w:rFonts w:ascii="Times New Roman" w:eastAsia="Malgun Gothic" w:hAnsi="Times New Roman"/>
          <w:bCs/>
          <w:sz w:val="24"/>
          <w:szCs w:val="24"/>
        </w:rPr>
        <w:t>m</w:t>
      </w:r>
      <w:r w:rsidR="0024142C" w:rsidRPr="007668DF">
        <w:rPr>
          <w:rFonts w:ascii="Times New Roman" w:eastAsia="Malgun Gothic" w:hAnsi="Times New Roman"/>
          <w:bCs/>
          <w:sz w:val="24"/>
          <w:szCs w:val="24"/>
        </w:rPr>
        <w:t xml:space="preserve">aliens et </w:t>
      </w:r>
      <w:r w:rsidR="00F85458" w:rsidRPr="007668DF">
        <w:rPr>
          <w:rFonts w:ascii="Times New Roman" w:eastAsia="Malgun Gothic" w:hAnsi="Times New Roman"/>
          <w:bCs/>
          <w:sz w:val="24"/>
          <w:szCs w:val="24"/>
        </w:rPr>
        <w:t xml:space="preserve">de </w:t>
      </w:r>
      <w:r w:rsidR="00EB5B13">
        <w:rPr>
          <w:rFonts w:ascii="Times New Roman" w:eastAsia="Malgun Gothic" w:hAnsi="Times New Roman"/>
          <w:bCs/>
          <w:sz w:val="24"/>
          <w:szCs w:val="24"/>
        </w:rPr>
        <w:t xml:space="preserve">la </w:t>
      </w:r>
      <w:r w:rsidR="0024142C" w:rsidRPr="007668DF">
        <w:rPr>
          <w:rFonts w:ascii="Times New Roman" w:eastAsia="Malgun Gothic" w:hAnsi="Times New Roman"/>
          <w:bCs/>
          <w:sz w:val="24"/>
          <w:szCs w:val="24"/>
        </w:rPr>
        <w:t>population civile au moment de la prise des casernes militaires en 2012. De même, les militaires des FAM</w:t>
      </w:r>
      <w:r w:rsidR="009921EA" w:rsidRPr="007668DF">
        <w:rPr>
          <w:rFonts w:ascii="Times New Roman" w:eastAsia="Malgun Gothic" w:hAnsi="Times New Roman"/>
          <w:bCs/>
          <w:sz w:val="24"/>
          <w:szCs w:val="24"/>
        </w:rPr>
        <w:t>a</w:t>
      </w:r>
      <w:r w:rsidR="0024142C" w:rsidRPr="007668DF">
        <w:rPr>
          <w:rFonts w:ascii="Times New Roman" w:eastAsia="Malgun Gothic" w:hAnsi="Times New Roman"/>
          <w:bCs/>
          <w:sz w:val="24"/>
          <w:szCs w:val="24"/>
        </w:rPr>
        <w:t xml:space="preserve">, en </w:t>
      </w:r>
      <w:r w:rsidR="00CF756C" w:rsidRPr="007668DF">
        <w:rPr>
          <w:rFonts w:ascii="Times New Roman" w:eastAsia="Malgun Gothic" w:hAnsi="Times New Roman"/>
          <w:bCs/>
          <w:sz w:val="24"/>
          <w:szCs w:val="24"/>
        </w:rPr>
        <w:t>représailles</w:t>
      </w:r>
      <w:r w:rsidR="0024142C" w:rsidRPr="007668DF">
        <w:rPr>
          <w:rFonts w:ascii="Times New Roman" w:eastAsia="Malgun Gothic" w:hAnsi="Times New Roman"/>
          <w:bCs/>
          <w:sz w:val="24"/>
          <w:szCs w:val="24"/>
        </w:rPr>
        <w:t xml:space="preserve">, </w:t>
      </w:r>
      <w:r w:rsidR="00C72ED9" w:rsidRPr="007668DF">
        <w:rPr>
          <w:rFonts w:ascii="Times New Roman" w:eastAsia="Malgun Gothic" w:hAnsi="Times New Roman"/>
          <w:bCs/>
          <w:sz w:val="24"/>
          <w:szCs w:val="24"/>
        </w:rPr>
        <w:t xml:space="preserve">ont </w:t>
      </w:r>
      <w:r w:rsidR="0024142C" w:rsidRPr="007668DF">
        <w:rPr>
          <w:rFonts w:ascii="Times New Roman" w:eastAsia="Malgun Gothic" w:hAnsi="Times New Roman"/>
          <w:bCs/>
          <w:sz w:val="24"/>
          <w:szCs w:val="24"/>
        </w:rPr>
        <w:t xml:space="preserve">commis </w:t>
      </w:r>
      <w:r w:rsidR="00F85458" w:rsidRPr="007668DF">
        <w:rPr>
          <w:rFonts w:ascii="Times New Roman" w:eastAsia="Malgun Gothic" w:hAnsi="Times New Roman"/>
          <w:bCs/>
          <w:sz w:val="24"/>
          <w:szCs w:val="24"/>
        </w:rPr>
        <w:t xml:space="preserve">des </w:t>
      </w:r>
      <w:r w:rsidR="0024142C" w:rsidRPr="007668DF">
        <w:rPr>
          <w:rFonts w:ascii="Times New Roman" w:eastAsia="Malgun Gothic" w:hAnsi="Times New Roman"/>
          <w:bCs/>
          <w:sz w:val="24"/>
          <w:szCs w:val="24"/>
        </w:rPr>
        <w:t>violations des droits de l’homme</w:t>
      </w:r>
      <w:r w:rsidR="00977096">
        <w:rPr>
          <w:rFonts w:ascii="Times New Roman" w:eastAsia="Malgun Gothic" w:hAnsi="Times New Roman"/>
          <w:bCs/>
          <w:sz w:val="24"/>
          <w:szCs w:val="24"/>
        </w:rPr>
        <w:t xml:space="preserve"> et du droit international humanitaire</w:t>
      </w:r>
      <w:r w:rsidR="0024142C" w:rsidRPr="007668DF">
        <w:rPr>
          <w:rFonts w:ascii="Times New Roman" w:eastAsia="Malgun Gothic" w:hAnsi="Times New Roman"/>
          <w:bCs/>
          <w:sz w:val="24"/>
          <w:szCs w:val="24"/>
        </w:rPr>
        <w:t xml:space="preserve"> sur des civils </w:t>
      </w:r>
      <w:r w:rsidR="00C72ED9" w:rsidRPr="007668DF">
        <w:rPr>
          <w:rFonts w:ascii="Times New Roman" w:eastAsia="Malgun Gothic" w:hAnsi="Times New Roman"/>
          <w:bCs/>
          <w:sz w:val="24"/>
          <w:szCs w:val="24"/>
        </w:rPr>
        <w:t xml:space="preserve">sur la base </w:t>
      </w:r>
      <w:r w:rsidR="0024142C" w:rsidRPr="007668DF">
        <w:rPr>
          <w:rFonts w:ascii="Times New Roman" w:eastAsia="Malgun Gothic" w:hAnsi="Times New Roman"/>
          <w:bCs/>
          <w:sz w:val="24"/>
          <w:szCs w:val="24"/>
        </w:rPr>
        <w:t>de soupçons d’appartenance ou de collaboration avec les groupes armés précités.</w:t>
      </w:r>
    </w:p>
    <w:p w:rsidR="0024142C" w:rsidRPr="007668DF" w:rsidRDefault="006A45E8" w:rsidP="006C2FA0">
      <w:pPr>
        <w:tabs>
          <w:tab w:val="left" w:pos="567"/>
          <w:tab w:val="left" w:pos="709"/>
          <w:tab w:val="left" w:pos="851"/>
        </w:tabs>
        <w:spacing w:after="0"/>
        <w:jc w:val="both"/>
        <w:rPr>
          <w:rFonts w:ascii="Times New Roman" w:eastAsia="Malgun Gothic" w:hAnsi="Times New Roman"/>
          <w:bCs/>
          <w:sz w:val="24"/>
          <w:szCs w:val="24"/>
        </w:rPr>
      </w:pPr>
      <w:r>
        <w:rPr>
          <w:rFonts w:ascii="Times New Roman" w:eastAsia="Malgun Gothic" w:hAnsi="Times New Roman"/>
          <w:bCs/>
          <w:sz w:val="24"/>
          <w:szCs w:val="24"/>
        </w:rPr>
        <w:t>88</w:t>
      </w:r>
      <w:r w:rsidR="0024142C" w:rsidRPr="007668DF">
        <w:rPr>
          <w:rFonts w:ascii="Times New Roman" w:eastAsia="Malgun Gothic" w:hAnsi="Times New Roman"/>
          <w:bCs/>
          <w:sz w:val="24"/>
          <w:szCs w:val="24"/>
        </w:rPr>
        <w:t>.</w:t>
      </w:r>
      <w:r w:rsidR="0024142C" w:rsidRPr="007668DF">
        <w:rPr>
          <w:rFonts w:ascii="Times New Roman" w:eastAsia="Malgun Gothic" w:hAnsi="Times New Roman"/>
          <w:bCs/>
          <w:sz w:val="24"/>
          <w:szCs w:val="24"/>
        </w:rPr>
        <w:tab/>
        <w:t>Certains de ces év</w:t>
      </w:r>
      <w:r w:rsidR="00F85458" w:rsidRPr="007668DF">
        <w:rPr>
          <w:rFonts w:ascii="Times New Roman" w:eastAsia="Malgun Gothic" w:hAnsi="Times New Roman"/>
          <w:bCs/>
          <w:sz w:val="24"/>
          <w:szCs w:val="24"/>
        </w:rPr>
        <w:t>é</w:t>
      </w:r>
      <w:r w:rsidR="0024142C" w:rsidRPr="007668DF">
        <w:rPr>
          <w:rFonts w:ascii="Times New Roman" w:eastAsia="Malgun Gothic" w:hAnsi="Times New Roman"/>
          <w:bCs/>
          <w:sz w:val="24"/>
          <w:szCs w:val="24"/>
        </w:rPr>
        <w:t xml:space="preserve">nements, ont </w:t>
      </w:r>
      <w:r w:rsidR="00F85458" w:rsidRPr="007668DF">
        <w:rPr>
          <w:rFonts w:ascii="Times New Roman" w:eastAsia="Malgun Gothic" w:hAnsi="Times New Roman"/>
          <w:bCs/>
          <w:sz w:val="24"/>
          <w:szCs w:val="24"/>
        </w:rPr>
        <w:t xml:space="preserve">conduit </w:t>
      </w:r>
      <w:r w:rsidR="0024142C" w:rsidRPr="007668DF">
        <w:rPr>
          <w:rFonts w:ascii="Times New Roman" w:eastAsia="Malgun Gothic" w:hAnsi="Times New Roman"/>
          <w:bCs/>
          <w:sz w:val="24"/>
          <w:szCs w:val="24"/>
        </w:rPr>
        <w:t xml:space="preserve">la Cour </w:t>
      </w:r>
      <w:r w:rsidR="00462AFD">
        <w:rPr>
          <w:rFonts w:ascii="Times New Roman" w:eastAsia="Malgun Gothic" w:hAnsi="Times New Roman"/>
          <w:bCs/>
          <w:sz w:val="24"/>
          <w:szCs w:val="24"/>
        </w:rPr>
        <w:t>S</w:t>
      </w:r>
      <w:r w:rsidR="0024142C" w:rsidRPr="007668DF">
        <w:rPr>
          <w:rFonts w:ascii="Times New Roman" w:eastAsia="Malgun Gothic" w:hAnsi="Times New Roman"/>
          <w:bCs/>
          <w:sz w:val="24"/>
          <w:szCs w:val="24"/>
        </w:rPr>
        <w:t xml:space="preserve">uprême de </w:t>
      </w:r>
      <w:r w:rsidR="00462AFD">
        <w:rPr>
          <w:rFonts w:ascii="Times New Roman" w:eastAsia="Malgun Gothic" w:hAnsi="Times New Roman"/>
          <w:bCs/>
          <w:sz w:val="24"/>
          <w:szCs w:val="24"/>
        </w:rPr>
        <w:t>J</w:t>
      </w:r>
      <w:r w:rsidR="0024142C" w:rsidRPr="007668DF">
        <w:rPr>
          <w:rFonts w:ascii="Times New Roman" w:eastAsia="Malgun Gothic" w:hAnsi="Times New Roman"/>
          <w:bCs/>
          <w:sz w:val="24"/>
          <w:szCs w:val="24"/>
        </w:rPr>
        <w:t xml:space="preserve">ustice du Mali à </w:t>
      </w:r>
      <w:r w:rsidR="00F85458" w:rsidRPr="007668DF">
        <w:rPr>
          <w:rFonts w:ascii="Times New Roman" w:eastAsia="Malgun Gothic" w:hAnsi="Times New Roman"/>
          <w:bCs/>
          <w:sz w:val="24"/>
          <w:szCs w:val="24"/>
        </w:rPr>
        <w:t>émettre</w:t>
      </w:r>
      <w:r w:rsidR="0024142C" w:rsidRPr="007668DF">
        <w:rPr>
          <w:rFonts w:ascii="Times New Roman" w:eastAsia="Malgun Gothic" w:hAnsi="Times New Roman"/>
          <w:bCs/>
          <w:sz w:val="24"/>
          <w:szCs w:val="24"/>
        </w:rPr>
        <w:t xml:space="preserve"> deux arrêts</w:t>
      </w:r>
      <w:r w:rsidR="00F85458" w:rsidRPr="007668DF">
        <w:rPr>
          <w:rFonts w:ascii="Times New Roman" w:eastAsia="Malgun Gothic" w:hAnsi="Times New Roman"/>
          <w:bCs/>
          <w:sz w:val="24"/>
          <w:szCs w:val="24"/>
        </w:rPr>
        <w:t xml:space="preserve">, les </w:t>
      </w:r>
      <w:r w:rsidR="0024142C" w:rsidRPr="007668DF">
        <w:rPr>
          <w:rFonts w:ascii="Times New Roman" w:eastAsia="Malgun Gothic" w:hAnsi="Times New Roman"/>
          <w:bCs/>
          <w:sz w:val="24"/>
          <w:szCs w:val="24"/>
        </w:rPr>
        <w:t>16 juillet 2012 et 21 janvier 2013</w:t>
      </w:r>
      <w:r w:rsidR="008F1CE5" w:rsidRPr="007668DF">
        <w:rPr>
          <w:rFonts w:ascii="Times New Roman" w:eastAsia="Malgun Gothic" w:hAnsi="Times New Roman"/>
          <w:bCs/>
          <w:sz w:val="24"/>
          <w:szCs w:val="24"/>
        </w:rPr>
        <w:t>,</w:t>
      </w:r>
      <w:r w:rsidR="0024142C" w:rsidRPr="007668DF">
        <w:rPr>
          <w:rFonts w:ascii="Times New Roman" w:eastAsia="Malgun Gothic" w:hAnsi="Times New Roman"/>
          <w:bCs/>
          <w:sz w:val="24"/>
          <w:szCs w:val="24"/>
        </w:rPr>
        <w:t xml:space="preserve"> ordonn</w:t>
      </w:r>
      <w:r w:rsidR="001A6FAA" w:rsidRPr="007668DF">
        <w:rPr>
          <w:rFonts w:ascii="Times New Roman" w:eastAsia="Malgun Gothic" w:hAnsi="Times New Roman"/>
          <w:bCs/>
          <w:sz w:val="24"/>
          <w:szCs w:val="24"/>
        </w:rPr>
        <w:t>a</w:t>
      </w:r>
      <w:r w:rsidR="0024142C" w:rsidRPr="007668DF">
        <w:rPr>
          <w:rFonts w:ascii="Times New Roman" w:eastAsia="Malgun Gothic" w:hAnsi="Times New Roman"/>
          <w:bCs/>
          <w:sz w:val="24"/>
          <w:szCs w:val="24"/>
        </w:rPr>
        <w:t>nt le dessaisissement du Tribunal de paix de Kidal et des autres juridictions des zones occupées</w:t>
      </w:r>
      <w:r w:rsidR="00F85458" w:rsidRPr="007668DF">
        <w:rPr>
          <w:rFonts w:ascii="Times New Roman" w:eastAsia="Malgun Gothic" w:hAnsi="Times New Roman"/>
          <w:bCs/>
          <w:sz w:val="24"/>
          <w:szCs w:val="24"/>
        </w:rPr>
        <w:t>,</w:t>
      </w:r>
      <w:r w:rsidR="0024142C" w:rsidRPr="007668DF">
        <w:rPr>
          <w:rFonts w:ascii="Times New Roman" w:eastAsia="Malgun Gothic" w:hAnsi="Times New Roman"/>
          <w:bCs/>
          <w:sz w:val="24"/>
          <w:szCs w:val="24"/>
        </w:rPr>
        <w:t xml:space="preserve"> et le transfert des compétences au Tribunal de première instance de la commune III du district de Bamako.</w:t>
      </w:r>
      <w:r w:rsidR="00C72ED9" w:rsidRPr="007668DF" w:rsidDel="00C72ED9">
        <w:rPr>
          <w:rFonts w:ascii="Times New Roman" w:eastAsia="Malgun Gothic" w:hAnsi="Times New Roman"/>
          <w:bCs/>
          <w:sz w:val="24"/>
          <w:szCs w:val="24"/>
        </w:rPr>
        <w:t xml:space="preserve"> </w:t>
      </w:r>
      <w:r w:rsidR="0024142C" w:rsidRPr="007668DF">
        <w:rPr>
          <w:rFonts w:ascii="Times New Roman" w:eastAsia="Malgun Gothic" w:hAnsi="Times New Roman"/>
          <w:bCs/>
          <w:sz w:val="24"/>
          <w:szCs w:val="24"/>
        </w:rPr>
        <w:t xml:space="preserve">En conséquence, </w:t>
      </w:r>
      <w:r w:rsidR="00F85458" w:rsidRPr="007668DF">
        <w:rPr>
          <w:rFonts w:ascii="Times New Roman" w:eastAsia="Malgun Gothic" w:hAnsi="Times New Roman"/>
          <w:bCs/>
          <w:sz w:val="24"/>
          <w:szCs w:val="24"/>
        </w:rPr>
        <w:t xml:space="preserve">ce dernier </w:t>
      </w:r>
      <w:r w:rsidR="0024142C" w:rsidRPr="007668DF">
        <w:rPr>
          <w:rFonts w:ascii="Times New Roman" w:eastAsia="Malgun Gothic" w:hAnsi="Times New Roman"/>
          <w:bCs/>
          <w:sz w:val="24"/>
          <w:szCs w:val="24"/>
        </w:rPr>
        <w:t xml:space="preserve">a été désigné pour traiter des crimes d’assassinats, meurtres, coups et blessures volontaires, viols, traitements inhumains, désertion, rébellion, crimes d’atteinte à la sureté intérieure de l’État, prises d’otages, séquestration, vols qualifiés, extorsions de fonds, destruction d’édifices et de biens publics, destruction de </w:t>
      </w:r>
      <w:r w:rsidR="0024142C" w:rsidRPr="007668DF">
        <w:rPr>
          <w:rFonts w:ascii="Times New Roman" w:eastAsia="Malgun Gothic" w:hAnsi="Times New Roman"/>
          <w:bCs/>
          <w:sz w:val="24"/>
          <w:szCs w:val="24"/>
        </w:rPr>
        <w:lastRenderedPageBreak/>
        <w:t>monuments publics et de lieux de culte, profanation de tombes, détention illégale d’armes à feu et de guerre, détention et consommation de drogues</w:t>
      </w:r>
      <w:r w:rsidR="00B3569D">
        <w:rPr>
          <w:rFonts w:ascii="Times New Roman" w:eastAsia="Malgun Gothic" w:hAnsi="Times New Roman"/>
          <w:bCs/>
          <w:sz w:val="24"/>
          <w:szCs w:val="24"/>
        </w:rPr>
        <w:t xml:space="preserve"> en application du Code Pénal malien.</w:t>
      </w:r>
    </w:p>
    <w:p w:rsidR="0024142C" w:rsidRPr="007668DF" w:rsidRDefault="0024142C" w:rsidP="006C2FA0">
      <w:pPr>
        <w:tabs>
          <w:tab w:val="left" w:pos="567"/>
          <w:tab w:val="left" w:pos="709"/>
          <w:tab w:val="left" w:pos="851"/>
        </w:tabs>
        <w:spacing w:after="0"/>
        <w:jc w:val="both"/>
        <w:rPr>
          <w:rFonts w:ascii="Times New Roman" w:eastAsia="Malgun Gothic" w:hAnsi="Times New Roman"/>
          <w:bCs/>
          <w:sz w:val="24"/>
          <w:szCs w:val="24"/>
        </w:rPr>
      </w:pPr>
    </w:p>
    <w:p w:rsidR="0024142C" w:rsidRPr="007668DF" w:rsidRDefault="006A45E8" w:rsidP="006C2FA0">
      <w:pPr>
        <w:tabs>
          <w:tab w:val="left" w:pos="567"/>
          <w:tab w:val="left" w:pos="709"/>
          <w:tab w:val="left" w:pos="851"/>
        </w:tabs>
        <w:spacing w:after="0"/>
        <w:jc w:val="both"/>
        <w:rPr>
          <w:rFonts w:ascii="Times New Roman" w:eastAsia="Malgun Gothic" w:hAnsi="Times New Roman"/>
          <w:bCs/>
          <w:sz w:val="24"/>
          <w:szCs w:val="24"/>
        </w:rPr>
      </w:pPr>
      <w:r>
        <w:rPr>
          <w:rFonts w:ascii="Times New Roman" w:eastAsia="Malgun Gothic" w:hAnsi="Times New Roman"/>
          <w:bCs/>
          <w:sz w:val="24"/>
          <w:szCs w:val="24"/>
        </w:rPr>
        <w:t>89</w:t>
      </w:r>
      <w:r w:rsidR="0024142C" w:rsidRPr="007668DF">
        <w:rPr>
          <w:rFonts w:ascii="Times New Roman" w:eastAsia="Malgun Gothic" w:hAnsi="Times New Roman"/>
          <w:bCs/>
          <w:sz w:val="24"/>
          <w:szCs w:val="24"/>
        </w:rPr>
        <w:t>.</w:t>
      </w:r>
      <w:r w:rsidR="0024142C" w:rsidRPr="007668DF">
        <w:rPr>
          <w:rFonts w:ascii="Times New Roman" w:eastAsia="Malgun Gothic" w:hAnsi="Times New Roman"/>
          <w:bCs/>
          <w:sz w:val="24"/>
          <w:szCs w:val="24"/>
        </w:rPr>
        <w:tab/>
        <w:t>L’application de ces deux arrêts a une portée très générale</w:t>
      </w:r>
      <w:r w:rsidR="00F85458" w:rsidRPr="007668DF">
        <w:rPr>
          <w:rFonts w:ascii="Times New Roman" w:eastAsia="Malgun Gothic" w:hAnsi="Times New Roman"/>
          <w:bCs/>
          <w:sz w:val="24"/>
          <w:szCs w:val="24"/>
        </w:rPr>
        <w:t>,</w:t>
      </w:r>
      <w:r w:rsidR="0024142C" w:rsidRPr="007668DF">
        <w:rPr>
          <w:rFonts w:ascii="Times New Roman" w:eastAsia="Malgun Gothic" w:hAnsi="Times New Roman"/>
          <w:bCs/>
          <w:sz w:val="24"/>
          <w:szCs w:val="24"/>
        </w:rPr>
        <w:t xml:space="preserve"> alors que l’examen de leur con</w:t>
      </w:r>
      <w:r w:rsidR="00D33322" w:rsidRPr="007668DF">
        <w:rPr>
          <w:rFonts w:ascii="Times New Roman" w:eastAsia="Malgun Gothic" w:hAnsi="Times New Roman"/>
          <w:bCs/>
          <w:sz w:val="24"/>
          <w:szCs w:val="24"/>
        </w:rPr>
        <w:t xml:space="preserve">tenu démontre qu’ils concernent </w:t>
      </w:r>
      <w:r w:rsidR="0024142C" w:rsidRPr="007668DF">
        <w:rPr>
          <w:rFonts w:ascii="Times New Roman" w:eastAsia="Malgun Gothic" w:hAnsi="Times New Roman"/>
          <w:bCs/>
          <w:sz w:val="24"/>
          <w:szCs w:val="24"/>
        </w:rPr>
        <w:t xml:space="preserve">deux affaires précises pour lesquelles la Commission d’enquête criminelle sur les crimes commis à Aguelhok par </w:t>
      </w:r>
      <w:r w:rsidR="0024142C" w:rsidRPr="003B152B">
        <w:rPr>
          <w:rFonts w:ascii="Times New Roman" w:eastAsia="Malgun Gothic" w:hAnsi="Times New Roman"/>
          <w:bCs/>
          <w:i/>
          <w:sz w:val="24"/>
          <w:szCs w:val="24"/>
        </w:rPr>
        <w:t>Ansar Dine</w:t>
      </w:r>
      <w:r w:rsidR="0024142C" w:rsidRPr="007668DF">
        <w:rPr>
          <w:rFonts w:ascii="Times New Roman" w:eastAsia="Malgun Gothic" w:hAnsi="Times New Roman"/>
          <w:bCs/>
          <w:sz w:val="24"/>
          <w:szCs w:val="24"/>
        </w:rPr>
        <w:t>, MNLA et MUJAO</w:t>
      </w:r>
      <w:r w:rsidR="00F85458" w:rsidRPr="007668DF">
        <w:rPr>
          <w:rFonts w:ascii="Times New Roman" w:eastAsia="Malgun Gothic" w:hAnsi="Times New Roman"/>
          <w:bCs/>
          <w:sz w:val="24"/>
          <w:szCs w:val="24"/>
        </w:rPr>
        <w:t>,</w:t>
      </w:r>
      <w:r w:rsidR="0024142C" w:rsidRPr="007668DF">
        <w:rPr>
          <w:rFonts w:ascii="Times New Roman" w:eastAsia="Malgun Gothic" w:hAnsi="Times New Roman"/>
          <w:bCs/>
          <w:sz w:val="24"/>
          <w:szCs w:val="24"/>
        </w:rPr>
        <w:t xml:space="preserve"> du 18 au 24 janvier 2012</w:t>
      </w:r>
      <w:r w:rsidR="00F85458" w:rsidRPr="007668DF">
        <w:rPr>
          <w:rFonts w:ascii="Times New Roman" w:eastAsia="Malgun Gothic" w:hAnsi="Times New Roman"/>
          <w:bCs/>
          <w:sz w:val="24"/>
          <w:szCs w:val="24"/>
        </w:rPr>
        <w:t>,</w:t>
      </w:r>
      <w:r w:rsidR="0024142C" w:rsidRPr="007668DF">
        <w:rPr>
          <w:rFonts w:ascii="Times New Roman" w:eastAsia="Malgun Gothic" w:hAnsi="Times New Roman"/>
          <w:bCs/>
          <w:sz w:val="24"/>
          <w:szCs w:val="24"/>
        </w:rPr>
        <w:t xml:space="preserve"> et le Procureur Général près la Cour d’Appel de Mopti</w:t>
      </w:r>
      <w:r w:rsidR="00746FAC" w:rsidRPr="007668DF">
        <w:rPr>
          <w:rFonts w:ascii="Times New Roman" w:eastAsia="Malgun Gothic" w:hAnsi="Times New Roman"/>
          <w:bCs/>
          <w:sz w:val="24"/>
          <w:szCs w:val="24"/>
        </w:rPr>
        <w:t>,</w:t>
      </w:r>
      <w:r w:rsidR="0024142C" w:rsidRPr="007668DF">
        <w:rPr>
          <w:rFonts w:ascii="Times New Roman" w:eastAsia="Malgun Gothic" w:hAnsi="Times New Roman"/>
          <w:bCs/>
          <w:sz w:val="24"/>
          <w:szCs w:val="24"/>
        </w:rPr>
        <w:t xml:space="preserve"> agissant avec les héritiers du chef de village Hombori contre des officiers de la gendarmerie de ce village, avaient saisi la Cour </w:t>
      </w:r>
      <w:r w:rsidR="001A6FAA" w:rsidRPr="007668DF">
        <w:rPr>
          <w:rFonts w:ascii="Times New Roman" w:eastAsia="Malgun Gothic" w:hAnsi="Times New Roman"/>
          <w:bCs/>
          <w:sz w:val="24"/>
          <w:szCs w:val="24"/>
        </w:rPr>
        <w:t>s</w:t>
      </w:r>
      <w:r w:rsidR="0024142C" w:rsidRPr="007668DF">
        <w:rPr>
          <w:rFonts w:ascii="Times New Roman" w:eastAsia="Malgun Gothic" w:hAnsi="Times New Roman"/>
          <w:bCs/>
          <w:sz w:val="24"/>
          <w:szCs w:val="24"/>
        </w:rPr>
        <w:t xml:space="preserve">uprême de </w:t>
      </w:r>
      <w:r w:rsidR="001A6FAA" w:rsidRPr="007668DF">
        <w:rPr>
          <w:rFonts w:ascii="Times New Roman" w:eastAsia="Malgun Gothic" w:hAnsi="Times New Roman"/>
          <w:bCs/>
          <w:sz w:val="24"/>
          <w:szCs w:val="24"/>
        </w:rPr>
        <w:t>j</w:t>
      </w:r>
      <w:r w:rsidR="0024142C" w:rsidRPr="007668DF">
        <w:rPr>
          <w:rFonts w:ascii="Times New Roman" w:eastAsia="Malgun Gothic" w:hAnsi="Times New Roman"/>
          <w:bCs/>
          <w:sz w:val="24"/>
          <w:szCs w:val="24"/>
        </w:rPr>
        <w:t>ustice</w:t>
      </w:r>
      <w:r w:rsidR="00746FAC" w:rsidRPr="007668DF">
        <w:rPr>
          <w:rFonts w:ascii="Times New Roman" w:eastAsia="Malgun Gothic" w:hAnsi="Times New Roman"/>
          <w:bCs/>
          <w:sz w:val="24"/>
          <w:szCs w:val="24"/>
        </w:rPr>
        <w:t>.</w:t>
      </w:r>
      <w:r w:rsidR="00802C10" w:rsidRPr="007668DF">
        <w:rPr>
          <w:rFonts w:ascii="Times New Roman" w:eastAsia="Malgun Gothic" w:hAnsi="Times New Roman"/>
          <w:bCs/>
          <w:sz w:val="24"/>
          <w:szCs w:val="24"/>
        </w:rPr>
        <w:t xml:space="preserve"> </w:t>
      </w:r>
      <w:r w:rsidR="00746FAC" w:rsidRPr="007668DF">
        <w:rPr>
          <w:rFonts w:ascii="Times New Roman" w:eastAsia="Malgun Gothic" w:hAnsi="Times New Roman"/>
          <w:bCs/>
          <w:sz w:val="24"/>
          <w:szCs w:val="24"/>
        </w:rPr>
        <w:t xml:space="preserve">Mais cette requête avait été </w:t>
      </w:r>
      <w:r w:rsidR="0024142C" w:rsidRPr="007668DF">
        <w:rPr>
          <w:rFonts w:ascii="Times New Roman" w:eastAsia="Malgun Gothic" w:hAnsi="Times New Roman"/>
          <w:bCs/>
          <w:sz w:val="24"/>
          <w:szCs w:val="24"/>
        </w:rPr>
        <w:t>renvoyé</w:t>
      </w:r>
      <w:r w:rsidR="0099709F" w:rsidRPr="007668DF">
        <w:rPr>
          <w:rFonts w:ascii="Times New Roman" w:eastAsia="Malgun Gothic" w:hAnsi="Times New Roman"/>
          <w:bCs/>
          <w:sz w:val="24"/>
          <w:szCs w:val="24"/>
        </w:rPr>
        <w:t>e</w:t>
      </w:r>
      <w:r w:rsidR="0024142C" w:rsidRPr="007668DF">
        <w:rPr>
          <w:rFonts w:ascii="Times New Roman" w:eastAsia="Malgun Gothic" w:hAnsi="Times New Roman"/>
          <w:bCs/>
          <w:sz w:val="24"/>
          <w:szCs w:val="24"/>
        </w:rPr>
        <w:t xml:space="preserve"> devant une juridiction pouvant valablement juger ces faits, en l’occurrence le Tribunal de première instance de la commune III du district de Bamako.</w:t>
      </w:r>
    </w:p>
    <w:p w:rsidR="0024142C" w:rsidRPr="007668DF" w:rsidRDefault="0024142C" w:rsidP="006C2FA0">
      <w:pPr>
        <w:tabs>
          <w:tab w:val="left" w:pos="567"/>
          <w:tab w:val="left" w:pos="709"/>
          <w:tab w:val="left" w:pos="851"/>
        </w:tabs>
        <w:spacing w:after="0"/>
        <w:jc w:val="both"/>
        <w:rPr>
          <w:rFonts w:ascii="Times New Roman" w:eastAsia="Malgun Gothic" w:hAnsi="Times New Roman"/>
          <w:bCs/>
          <w:sz w:val="24"/>
          <w:szCs w:val="24"/>
        </w:rPr>
      </w:pPr>
    </w:p>
    <w:p w:rsidR="0024142C" w:rsidRPr="007668DF" w:rsidRDefault="006A45E8" w:rsidP="006C2FA0">
      <w:pPr>
        <w:tabs>
          <w:tab w:val="left" w:pos="567"/>
          <w:tab w:val="left" w:pos="709"/>
          <w:tab w:val="left" w:pos="851"/>
        </w:tabs>
        <w:spacing w:after="0"/>
        <w:jc w:val="both"/>
        <w:rPr>
          <w:rFonts w:ascii="Times New Roman" w:eastAsia="Malgun Gothic" w:hAnsi="Times New Roman"/>
          <w:bCs/>
          <w:sz w:val="24"/>
          <w:szCs w:val="24"/>
        </w:rPr>
      </w:pPr>
      <w:r>
        <w:rPr>
          <w:rFonts w:ascii="Times New Roman" w:eastAsia="Malgun Gothic" w:hAnsi="Times New Roman"/>
          <w:bCs/>
          <w:sz w:val="24"/>
          <w:szCs w:val="24"/>
        </w:rPr>
        <w:t>90</w:t>
      </w:r>
      <w:r w:rsidR="0024142C" w:rsidRPr="007668DF">
        <w:rPr>
          <w:rFonts w:ascii="Times New Roman" w:eastAsia="Malgun Gothic" w:hAnsi="Times New Roman"/>
          <w:bCs/>
          <w:sz w:val="24"/>
          <w:szCs w:val="24"/>
        </w:rPr>
        <w:t>.</w:t>
      </w:r>
      <w:r w:rsidR="0024142C" w:rsidRPr="007668DF">
        <w:rPr>
          <w:rFonts w:ascii="Times New Roman" w:eastAsia="Malgun Gothic" w:hAnsi="Times New Roman"/>
          <w:bCs/>
          <w:sz w:val="24"/>
          <w:szCs w:val="24"/>
        </w:rPr>
        <w:tab/>
      </w:r>
      <w:r w:rsidR="00022F0B" w:rsidRPr="007668DF">
        <w:rPr>
          <w:rFonts w:ascii="Times New Roman" w:eastAsia="Malgun Gothic" w:hAnsi="Times New Roman"/>
          <w:bCs/>
          <w:sz w:val="24"/>
          <w:szCs w:val="24"/>
        </w:rPr>
        <w:t xml:space="preserve"> </w:t>
      </w:r>
      <w:r w:rsidR="0024142C" w:rsidRPr="007668DF">
        <w:rPr>
          <w:rFonts w:ascii="Times New Roman" w:eastAsia="Malgun Gothic" w:hAnsi="Times New Roman"/>
          <w:bCs/>
          <w:sz w:val="24"/>
          <w:szCs w:val="24"/>
        </w:rPr>
        <w:t xml:space="preserve">A ce jour, le Tribunal de première instance de la commune III </w:t>
      </w:r>
      <w:r w:rsidR="00F85458" w:rsidRPr="007668DF">
        <w:rPr>
          <w:rFonts w:ascii="Times New Roman" w:eastAsia="Malgun Gothic" w:hAnsi="Times New Roman"/>
          <w:bCs/>
          <w:sz w:val="24"/>
          <w:szCs w:val="24"/>
        </w:rPr>
        <w:t xml:space="preserve">de Bamako </w:t>
      </w:r>
      <w:r w:rsidR="0024142C" w:rsidRPr="007668DF">
        <w:rPr>
          <w:rFonts w:ascii="Times New Roman" w:eastAsia="Malgun Gothic" w:hAnsi="Times New Roman"/>
          <w:bCs/>
          <w:sz w:val="24"/>
          <w:szCs w:val="24"/>
        </w:rPr>
        <w:t xml:space="preserve">n’a pas suffisamment avancé dans le traitement des dossiers </w:t>
      </w:r>
      <w:r w:rsidR="00930856" w:rsidRPr="007668DF">
        <w:rPr>
          <w:rFonts w:ascii="Times New Roman" w:eastAsia="Malgun Gothic" w:hAnsi="Times New Roman"/>
          <w:bCs/>
          <w:sz w:val="24"/>
          <w:szCs w:val="24"/>
        </w:rPr>
        <w:t xml:space="preserve">qui </w:t>
      </w:r>
      <w:r w:rsidR="0024142C" w:rsidRPr="007668DF">
        <w:rPr>
          <w:rFonts w:ascii="Times New Roman" w:eastAsia="Malgun Gothic" w:hAnsi="Times New Roman"/>
          <w:bCs/>
          <w:sz w:val="24"/>
          <w:szCs w:val="24"/>
        </w:rPr>
        <w:t>lui</w:t>
      </w:r>
      <w:r w:rsidR="00930856" w:rsidRPr="007668DF">
        <w:rPr>
          <w:rFonts w:ascii="Times New Roman" w:eastAsia="Malgun Gothic" w:hAnsi="Times New Roman"/>
          <w:bCs/>
          <w:sz w:val="24"/>
          <w:szCs w:val="24"/>
        </w:rPr>
        <w:t xml:space="preserve"> ont</w:t>
      </w:r>
      <w:r w:rsidR="0024142C" w:rsidRPr="007668DF">
        <w:rPr>
          <w:rFonts w:ascii="Times New Roman" w:eastAsia="Malgun Gothic" w:hAnsi="Times New Roman"/>
          <w:bCs/>
          <w:sz w:val="24"/>
          <w:szCs w:val="24"/>
        </w:rPr>
        <w:t xml:space="preserve"> </w:t>
      </w:r>
      <w:r w:rsidR="00F85458" w:rsidRPr="007668DF">
        <w:rPr>
          <w:rFonts w:ascii="Times New Roman" w:eastAsia="Malgun Gothic" w:hAnsi="Times New Roman"/>
          <w:bCs/>
          <w:sz w:val="24"/>
          <w:szCs w:val="24"/>
        </w:rPr>
        <w:t xml:space="preserve">été </w:t>
      </w:r>
      <w:r w:rsidR="0024142C" w:rsidRPr="007668DF">
        <w:rPr>
          <w:rFonts w:ascii="Times New Roman" w:eastAsia="Malgun Gothic" w:hAnsi="Times New Roman"/>
          <w:bCs/>
          <w:sz w:val="24"/>
          <w:szCs w:val="24"/>
        </w:rPr>
        <w:t>confiés. De même, le traitement de certains dossiers pour lesquels les victimes ont porté plainte</w:t>
      </w:r>
      <w:r w:rsidR="00F85458" w:rsidRPr="007668DF">
        <w:rPr>
          <w:rFonts w:ascii="Times New Roman" w:eastAsia="Malgun Gothic" w:hAnsi="Times New Roman"/>
          <w:bCs/>
          <w:sz w:val="24"/>
          <w:szCs w:val="24"/>
        </w:rPr>
        <w:t>,</w:t>
      </w:r>
      <w:r w:rsidR="0024142C" w:rsidRPr="007668DF">
        <w:rPr>
          <w:rFonts w:ascii="Times New Roman" w:eastAsia="Malgun Gothic" w:hAnsi="Times New Roman"/>
          <w:bCs/>
          <w:sz w:val="24"/>
          <w:szCs w:val="24"/>
        </w:rPr>
        <w:t xml:space="preserve"> particulièrement les dossiers datant de la période de crise, n’</w:t>
      </w:r>
      <w:r w:rsidR="00022F0B" w:rsidRPr="007668DF">
        <w:rPr>
          <w:rFonts w:ascii="Times New Roman" w:eastAsia="Malgun Gothic" w:hAnsi="Times New Roman"/>
          <w:bCs/>
          <w:sz w:val="24"/>
          <w:szCs w:val="24"/>
        </w:rPr>
        <w:t>ont guère progressé</w:t>
      </w:r>
      <w:r w:rsidR="0024142C" w:rsidRPr="007668DF">
        <w:rPr>
          <w:rFonts w:ascii="Times New Roman" w:eastAsia="Malgun Gothic" w:hAnsi="Times New Roman"/>
          <w:bCs/>
          <w:sz w:val="24"/>
          <w:szCs w:val="24"/>
        </w:rPr>
        <w:t xml:space="preserve">. Les autorités judiciaires ont invoqué le manque des moyens et l’insécurité pour </w:t>
      </w:r>
      <w:r w:rsidR="001A6FAA" w:rsidRPr="007668DF">
        <w:rPr>
          <w:rFonts w:ascii="Times New Roman" w:eastAsia="Malgun Gothic" w:hAnsi="Times New Roman"/>
          <w:bCs/>
          <w:sz w:val="24"/>
          <w:szCs w:val="24"/>
        </w:rPr>
        <w:t xml:space="preserve">expliquer leurs difficultés à </w:t>
      </w:r>
      <w:r w:rsidR="0024142C" w:rsidRPr="007668DF">
        <w:rPr>
          <w:rFonts w:ascii="Times New Roman" w:eastAsia="Malgun Gothic" w:hAnsi="Times New Roman"/>
          <w:bCs/>
          <w:sz w:val="24"/>
          <w:szCs w:val="24"/>
        </w:rPr>
        <w:t>mener à bien les enquêtes.</w:t>
      </w:r>
    </w:p>
    <w:p w:rsidR="0024142C" w:rsidRPr="007668DF" w:rsidRDefault="0024142C" w:rsidP="006C2FA0">
      <w:pPr>
        <w:tabs>
          <w:tab w:val="left" w:pos="567"/>
          <w:tab w:val="left" w:pos="709"/>
          <w:tab w:val="left" w:pos="851"/>
        </w:tabs>
        <w:spacing w:after="0"/>
        <w:jc w:val="both"/>
        <w:rPr>
          <w:rFonts w:ascii="Times New Roman" w:eastAsia="Malgun Gothic" w:hAnsi="Times New Roman"/>
          <w:bCs/>
          <w:sz w:val="24"/>
          <w:szCs w:val="24"/>
        </w:rPr>
      </w:pPr>
    </w:p>
    <w:p w:rsidR="00D079CE" w:rsidRDefault="00A21002" w:rsidP="00D079CE">
      <w:pPr>
        <w:tabs>
          <w:tab w:val="left" w:pos="567"/>
          <w:tab w:val="left" w:pos="709"/>
          <w:tab w:val="left" w:pos="851"/>
        </w:tabs>
        <w:spacing w:after="0"/>
        <w:jc w:val="both"/>
        <w:rPr>
          <w:rFonts w:ascii="Times New Roman" w:eastAsia="Malgun Gothic" w:hAnsi="Times New Roman"/>
          <w:bCs/>
          <w:sz w:val="24"/>
          <w:szCs w:val="24"/>
        </w:rPr>
      </w:pPr>
      <w:r>
        <w:rPr>
          <w:rFonts w:ascii="Times New Roman" w:eastAsia="Malgun Gothic" w:hAnsi="Times New Roman"/>
          <w:bCs/>
          <w:sz w:val="24"/>
          <w:szCs w:val="24"/>
        </w:rPr>
        <w:lastRenderedPageBreak/>
        <w:t>91</w:t>
      </w:r>
      <w:r w:rsidR="00A5136C" w:rsidRPr="007668DF">
        <w:rPr>
          <w:rFonts w:ascii="Times New Roman" w:eastAsia="Malgun Gothic" w:hAnsi="Times New Roman"/>
          <w:bCs/>
          <w:sz w:val="24"/>
          <w:szCs w:val="24"/>
        </w:rPr>
        <w:t>.</w:t>
      </w:r>
      <w:r w:rsidR="00A5136C" w:rsidRPr="007668DF">
        <w:rPr>
          <w:rFonts w:ascii="Times New Roman" w:eastAsia="Malgun Gothic" w:hAnsi="Times New Roman"/>
          <w:bCs/>
          <w:sz w:val="24"/>
          <w:szCs w:val="24"/>
        </w:rPr>
        <w:tab/>
      </w:r>
      <w:r w:rsidR="00022F0B" w:rsidRPr="007668DF">
        <w:rPr>
          <w:rFonts w:ascii="Times New Roman" w:eastAsia="Malgun Gothic" w:hAnsi="Times New Roman"/>
          <w:bCs/>
          <w:sz w:val="24"/>
          <w:szCs w:val="24"/>
        </w:rPr>
        <w:t xml:space="preserve"> </w:t>
      </w:r>
      <w:r w:rsidR="00A5136C" w:rsidRPr="007668DF">
        <w:rPr>
          <w:rFonts w:ascii="Times New Roman" w:eastAsia="Malgun Gothic" w:hAnsi="Times New Roman"/>
          <w:bCs/>
          <w:sz w:val="24"/>
          <w:szCs w:val="24"/>
        </w:rPr>
        <w:t xml:space="preserve">C’est le cas notamment </w:t>
      </w:r>
      <w:r w:rsidR="00F85458" w:rsidRPr="007668DF">
        <w:rPr>
          <w:rFonts w:ascii="Times New Roman" w:eastAsia="Malgun Gothic" w:hAnsi="Times New Roman"/>
          <w:bCs/>
          <w:sz w:val="24"/>
          <w:szCs w:val="24"/>
        </w:rPr>
        <w:t>concernant</w:t>
      </w:r>
      <w:r w:rsidR="00A5136C" w:rsidRPr="007668DF">
        <w:rPr>
          <w:rFonts w:ascii="Times New Roman" w:eastAsia="Malgun Gothic" w:hAnsi="Times New Roman"/>
          <w:bCs/>
          <w:sz w:val="24"/>
          <w:szCs w:val="24"/>
        </w:rPr>
        <w:t xml:space="preserve"> l’incident de Tin-Agazargane</w:t>
      </w:r>
      <w:r w:rsidR="008D456B">
        <w:rPr>
          <w:rFonts w:ascii="Times New Roman" w:eastAsia="Malgun Gothic" w:hAnsi="Times New Roman"/>
          <w:bCs/>
          <w:sz w:val="24"/>
          <w:szCs w:val="24"/>
        </w:rPr>
        <w:t xml:space="preserve"> du 6 novembre 2013</w:t>
      </w:r>
      <w:r w:rsidR="00A5136C" w:rsidRPr="007668DF">
        <w:rPr>
          <w:rFonts w:ascii="Times New Roman" w:eastAsia="Malgun Gothic" w:hAnsi="Times New Roman"/>
          <w:bCs/>
          <w:sz w:val="24"/>
          <w:szCs w:val="24"/>
        </w:rPr>
        <w:t xml:space="preserve"> </w:t>
      </w:r>
      <w:r w:rsidR="00D079CE">
        <w:rPr>
          <w:rFonts w:ascii="Times New Roman" w:eastAsia="Malgun Gothic" w:hAnsi="Times New Roman"/>
          <w:bCs/>
          <w:sz w:val="24"/>
          <w:szCs w:val="24"/>
        </w:rPr>
        <w:t>dans le cercle de Menaka (r</w:t>
      </w:r>
      <w:r w:rsidR="00A5136C" w:rsidRPr="007668DF">
        <w:rPr>
          <w:rFonts w:ascii="Times New Roman" w:eastAsia="Malgun Gothic" w:hAnsi="Times New Roman"/>
          <w:bCs/>
          <w:sz w:val="24"/>
          <w:szCs w:val="24"/>
        </w:rPr>
        <w:t xml:space="preserve">égion </w:t>
      </w:r>
      <w:r w:rsidR="00F85458" w:rsidRPr="007668DF">
        <w:rPr>
          <w:rFonts w:ascii="Times New Roman" w:eastAsia="Malgun Gothic" w:hAnsi="Times New Roman"/>
          <w:bCs/>
          <w:sz w:val="24"/>
          <w:szCs w:val="24"/>
        </w:rPr>
        <w:t xml:space="preserve">de </w:t>
      </w:r>
      <w:r w:rsidR="00A5136C" w:rsidRPr="007668DF">
        <w:rPr>
          <w:rFonts w:ascii="Times New Roman" w:eastAsia="Malgun Gothic" w:hAnsi="Times New Roman"/>
          <w:bCs/>
          <w:sz w:val="24"/>
          <w:szCs w:val="24"/>
        </w:rPr>
        <w:t>Gao</w:t>
      </w:r>
      <w:r w:rsidR="00D079CE">
        <w:rPr>
          <w:rFonts w:ascii="Times New Roman" w:eastAsia="Malgun Gothic" w:hAnsi="Times New Roman"/>
          <w:bCs/>
          <w:sz w:val="24"/>
          <w:szCs w:val="24"/>
        </w:rPr>
        <w:t>)</w:t>
      </w:r>
      <w:r w:rsidR="00A5136C" w:rsidRPr="007668DF">
        <w:rPr>
          <w:rFonts w:ascii="Times New Roman" w:eastAsia="Malgun Gothic" w:hAnsi="Times New Roman"/>
          <w:bCs/>
          <w:sz w:val="24"/>
          <w:szCs w:val="24"/>
        </w:rPr>
        <w:t>,</w:t>
      </w:r>
      <w:r w:rsidR="00D079CE">
        <w:rPr>
          <w:rFonts w:ascii="Times New Roman" w:eastAsia="Malgun Gothic" w:hAnsi="Times New Roman"/>
          <w:bCs/>
          <w:sz w:val="24"/>
          <w:szCs w:val="24"/>
        </w:rPr>
        <w:t xml:space="preserve"> qui a opposé le MNLA et </w:t>
      </w:r>
      <w:r w:rsidR="002E78B1">
        <w:rPr>
          <w:rFonts w:ascii="Times New Roman" w:eastAsia="Malgun Gothic" w:hAnsi="Times New Roman"/>
          <w:bCs/>
          <w:sz w:val="24"/>
          <w:szCs w:val="24"/>
        </w:rPr>
        <w:t>les FAMa. L’</w:t>
      </w:r>
      <w:r w:rsidR="00D079CE" w:rsidRPr="007668DF">
        <w:rPr>
          <w:rFonts w:ascii="Times New Roman" w:eastAsia="Malgun Gothic" w:hAnsi="Times New Roman"/>
          <w:bCs/>
          <w:sz w:val="24"/>
          <w:szCs w:val="24"/>
        </w:rPr>
        <w:t>usage excessif de la fo</w:t>
      </w:r>
      <w:r w:rsidR="002E78B1">
        <w:rPr>
          <w:rFonts w:ascii="Times New Roman" w:eastAsia="Malgun Gothic" w:hAnsi="Times New Roman"/>
          <w:bCs/>
          <w:sz w:val="24"/>
          <w:szCs w:val="24"/>
        </w:rPr>
        <w:t>rce mortelle par les</w:t>
      </w:r>
      <w:r w:rsidR="00D079CE" w:rsidRPr="007668DF">
        <w:rPr>
          <w:rFonts w:ascii="Times New Roman" w:eastAsia="Malgun Gothic" w:hAnsi="Times New Roman"/>
          <w:bCs/>
          <w:sz w:val="24"/>
          <w:szCs w:val="24"/>
        </w:rPr>
        <w:t xml:space="preserve"> </w:t>
      </w:r>
      <w:r w:rsidR="002E78B1">
        <w:rPr>
          <w:rFonts w:ascii="Times New Roman" w:eastAsia="Malgun Gothic" w:hAnsi="Times New Roman"/>
          <w:bCs/>
          <w:sz w:val="24"/>
          <w:szCs w:val="24"/>
        </w:rPr>
        <w:t>FAMa</w:t>
      </w:r>
      <w:r w:rsidR="00EB211C">
        <w:rPr>
          <w:rFonts w:ascii="Times New Roman" w:eastAsia="Malgun Gothic" w:hAnsi="Times New Roman"/>
          <w:bCs/>
          <w:sz w:val="24"/>
          <w:szCs w:val="24"/>
        </w:rPr>
        <w:t xml:space="preserve"> </w:t>
      </w:r>
      <w:r w:rsidR="00D079CE" w:rsidRPr="007668DF">
        <w:rPr>
          <w:rFonts w:ascii="Times New Roman" w:eastAsia="Malgun Gothic" w:hAnsi="Times New Roman"/>
          <w:bCs/>
          <w:sz w:val="24"/>
          <w:szCs w:val="24"/>
        </w:rPr>
        <w:t>a</w:t>
      </w:r>
      <w:r w:rsidR="00EB211C">
        <w:rPr>
          <w:rFonts w:ascii="Times New Roman" w:eastAsia="Malgun Gothic" w:hAnsi="Times New Roman"/>
          <w:bCs/>
          <w:sz w:val="24"/>
          <w:szCs w:val="24"/>
        </w:rPr>
        <w:t xml:space="preserve">urait fait 03 blessés. L’enquête sur cet incident n’est toujours pas ouverte.  </w:t>
      </w:r>
      <w:r w:rsidR="00D079CE" w:rsidRPr="007668DF">
        <w:rPr>
          <w:rFonts w:ascii="Times New Roman" w:eastAsia="Malgun Gothic" w:hAnsi="Times New Roman"/>
          <w:bCs/>
          <w:sz w:val="24"/>
          <w:szCs w:val="24"/>
        </w:rPr>
        <w:t xml:space="preserve"> </w:t>
      </w:r>
    </w:p>
    <w:p w:rsidR="0024142C" w:rsidRPr="007668DF" w:rsidRDefault="0024142C" w:rsidP="006C2FA0">
      <w:pPr>
        <w:tabs>
          <w:tab w:val="left" w:pos="567"/>
          <w:tab w:val="left" w:pos="709"/>
          <w:tab w:val="left" w:pos="851"/>
        </w:tabs>
        <w:spacing w:after="0"/>
        <w:jc w:val="both"/>
        <w:rPr>
          <w:rFonts w:ascii="Times New Roman" w:eastAsia="Malgun Gothic" w:hAnsi="Times New Roman"/>
          <w:bCs/>
          <w:sz w:val="24"/>
          <w:szCs w:val="24"/>
        </w:rPr>
      </w:pPr>
    </w:p>
    <w:p w:rsidR="0024142C" w:rsidRPr="007668DF" w:rsidRDefault="00A21002" w:rsidP="006C2FA0">
      <w:pPr>
        <w:tabs>
          <w:tab w:val="left" w:pos="567"/>
          <w:tab w:val="left" w:pos="709"/>
          <w:tab w:val="left" w:pos="851"/>
        </w:tabs>
        <w:spacing w:after="0"/>
        <w:jc w:val="both"/>
        <w:rPr>
          <w:rFonts w:ascii="Times New Roman" w:eastAsia="Malgun Gothic" w:hAnsi="Times New Roman"/>
          <w:bCs/>
          <w:sz w:val="24"/>
          <w:szCs w:val="24"/>
        </w:rPr>
      </w:pPr>
      <w:r>
        <w:rPr>
          <w:rFonts w:ascii="Times New Roman" w:eastAsia="Malgun Gothic" w:hAnsi="Times New Roman"/>
          <w:bCs/>
          <w:sz w:val="24"/>
          <w:szCs w:val="24"/>
        </w:rPr>
        <w:t>92</w:t>
      </w:r>
      <w:r w:rsidR="0024142C" w:rsidRPr="007668DF">
        <w:rPr>
          <w:rFonts w:ascii="Times New Roman" w:eastAsia="Malgun Gothic" w:hAnsi="Times New Roman"/>
          <w:bCs/>
          <w:sz w:val="24"/>
          <w:szCs w:val="24"/>
        </w:rPr>
        <w:t>.</w:t>
      </w:r>
      <w:r w:rsidR="0024142C" w:rsidRPr="007668DF">
        <w:rPr>
          <w:rFonts w:ascii="Times New Roman" w:eastAsia="Malgun Gothic" w:hAnsi="Times New Roman"/>
          <w:bCs/>
          <w:sz w:val="24"/>
          <w:szCs w:val="24"/>
        </w:rPr>
        <w:tab/>
      </w:r>
      <w:r w:rsidR="00022F0B" w:rsidRPr="007668DF">
        <w:rPr>
          <w:rFonts w:ascii="Times New Roman" w:eastAsia="Malgun Gothic" w:hAnsi="Times New Roman"/>
          <w:bCs/>
          <w:sz w:val="24"/>
          <w:szCs w:val="24"/>
        </w:rPr>
        <w:t xml:space="preserve"> </w:t>
      </w:r>
      <w:r w:rsidR="001A6FAA" w:rsidRPr="007668DF">
        <w:rPr>
          <w:rFonts w:ascii="Times New Roman" w:eastAsia="Malgun Gothic" w:hAnsi="Times New Roman"/>
          <w:bCs/>
          <w:sz w:val="24"/>
          <w:szCs w:val="24"/>
        </w:rPr>
        <w:t>L</w:t>
      </w:r>
      <w:r w:rsidR="0024142C" w:rsidRPr="007668DF">
        <w:rPr>
          <w:rFonts w:ascii="Times New Roman" w:eastAsia="Malgun Gothic" w:hAnsi="Times New Roman"/>
          <w:bCs/>
          <w:sz w:val="24"/>
          <w:szCs w:val="24"/>
        </w:rPr>
        <w:t xml:space="preserve">a Division des droits de l’homme note </w:t>
      </w:r>
      <w:r w:rsidR="001A6FAA" w:rsidRPr="007668DF">
        <w:rPr>
          <w:rFonts w:ascii="Times New Roman" w:eastAsia="Malgun Gothic" w:hAnsi="Times New Roman"/>
          <w:bCs/>
          <w:sz w:val="24"/>
          <w:szCs w:val="24"/>
        </w:rPr>
        <w:t xml:space="preserve">cependant </w:t>
      </w:r>
      <w:r w:rsidR="0024142C" w:rsidRPr="007668DF">
        <w:rPr>
          <w:rFonts w:ascii="Times New Roman" w:eastAsia="Malgun Gothic" w:hAnsi="Times New Roman"/>
          <w:bCs/>
          <w:sz w:val="24"/>
          <w:szCs w:val="24"/>
        </w:rPr>
        <w:t xml:space="preserve">des avancées positives dans le traitement judiciaire de certains dossiers. C’est le cas </w:t>
      </w:r>
      <w:r w:rsidR="00F85458" w:rsidRPr="007668DF">
        <w:rPr>
          <w:rFonts w:ascii="Times New Roman" w:eastAsia="Malgun Gothic" w:hAnsi="Times New Roman"/>
          <w:bCs/>
          <w:sz w:val="24"/>
          <w:szCs w:val="24"/>
        </w:rPr>
        <w:t>concernant</w:t>
      </w:r>
      <w:r w:rsidR="0024142C" w:rsidRPr="007668DF">
        <w:rPr>
          <w:rFonts w:ascii="Times New Roman" w:eastAsia="Malgun Gothic" w:hAnsi="Times New Roman"/>
          <w:bCs/>
          <w:sz w:val="24"/>
          <w:szCs w:val="24"/>
        </w:rPr>
        <w:t xml:space="preserve"> </w:t>
      </w:r>
      <w:r w:rsidR="00F85458" w:rsidRPr="007668DF">
        <w:rPr>
          <w:rFonts w:ascii="Times New Roman" w:eastAsia="Malgun Gothic" w:hAnsi="Times New Roman"/>
          <w:bCs/>
          <w:sz w:val="24"/>
          <w:szCs w:val="24"/>
        </w:rPr>
        <w:t xml:space="preserve">les </w:t>
      </w:r>
      <w:r w:rsidR="0024142C" w:rsidRPr="007668DF">
        <w:rPr>
          <w:rFonts w:ascii="Times New Roman" w:eastAsia="Malgun Gothic" w:hAnsi="Times New Roman"/>
          <w:bCs/>
          <w:sz w:val="24"/>
          <w:szCs w:val="24"/>
        </w:rPr>
        <w:t>événements qui se sont déroulés à Bamako et Kati</w:t>
      </w:r>
      <w:r w:rsidR="00462AFD">
        <w:rPr>
          <w:rFonts w:ascii="Times New Roman" w:eastAsia="Malgun Gothic" w:hAnsi="Times New Roman"/>
          <w:bCs/>
          <w:sz w:val="24"/>
          <w:szCs w:val="24"/>
        </w:rPr>
        <w:t xml:space="preserve"> </w:t>
      </w:r>
      <w:r w:rsidR="00425DF4" w:rsidRPr="007668DF">
        <w:rPr>
          <w:rFonts w:ascii="Times New Roman" w:eastAsia="Malgun Gothic" w:hAnsi="Times New Roman"/>
          <w:bCs/>
          <w:sz w:val="24"/>
          <w:szCs w:val="24"/>
        </w:rPr>
        <w:t>en avril 2012 et septembre 2013</w:t>
      </w:r>
      <w:r w:rsidR="00022F0B" w:rsidRPr="007668DF">
        <w:rPr>
          <w:rFonts w:ascii="Times New Roman" w:eastAsia="Malgun Gothic" w:hAnsi="Times New Roman"/>
          <w:bCs/>
          <w:sz w:val="24"/>
          <w:szCs w:val="24"/>
        </w:rPr>
        <w:t xml:space="preserve"> </w:t>
      </w:r>
      <w:r w:rsidR="001A6FAA" w:rsidRPr="007668DF">
        <w:rPr>
          <w:rFonts w:ascii="Times New Roman" w:eastAsia="Malgun Gothic" w:hAnsi="Times New Roman"/>
          <w:bCs/>
          <w:sz w:val="24"/>
          <w:szCs w:val="24"/>
        </w:rPr>
        <w:t xml:space="preserve">pour lesquels </w:t>
      </w:r>
      <w:r w:rsidR="0024142C" w:rsidRPr="007668DF">
        <w:rPr>
          <w:rFonts w:ascii="Times New Roman" w:eastAsia="Malgun Gothic" w:hAnsi="Times New Roman"/>
          <w:bCs/>
          <w:sz w:val="24"/>
          <w:szCs w:val="24"/>
        </w:rPr>
        <w:t xml:space="preserve">le Tribunal de première instance de la commune III </w:t>
      </w:r>
      <w:r w:rsidR="00F85458" w:rsidRPr="007668DF">
        <w:rPr>
          <w:rFonts w:ascii="Times New Roman" w:eastAsia="Malgun Gothic" w:hAnsi="Times New Roman"/>
          <w:bCs/>
          <w:sz w:val="24"/>
          <w:szCs w:val="24"/>
        </w:rPr>
        <w:t xml:space="preserve">de Bamako </w:t>
      </w:r>
      <w:r w:rsidR="0024142C" w:rsidRPr="007668DF">
        <w:rPr>
          <w:rFonts w:ascii="Times New Roman" w:eastAsia="Malgun Gothic" w:hAnsi="Times New Roman"/>
          <w:bCs/>
          <w:sz w:val="24"/>
          <w:szCs w:val="24"/>
        </w:rPr>
        <w:t>est compétent. Cette affaire, connue sous le nom du « Dossier des Bérets Rouges »</w:t>
      </w:r>
      <w:r w:rsidR="00F85458" w:rsidRPr="007668DF">
        <w:rPr>
          <w:rFonts w:ascii="Times New Roman" w:eastAsia="Malgun Gothic" w:hAnsi="Times New Roman"/>
          <w:bCs/>
          <w:sz w:val="24"/>
          <w:szCs w:val="24"/>
        </w:rPr>
        <w:t>,</w:t>
      </w:r>
      <w:r w:rsidR="0024142C" w:rsidRPr="007668DF">
        <w:rPr>
          <w:rFonts w:ascii="Times New Roman" w:eastAsia="Malgun Gothic" w:hAnsi="Times New Roman"/>
          <w:bCs/>
          <w:sz w:val="24"/>
          <w:szCs w:val="24"/>
        </w:rPr>
        <w:t xml:space="preserve"> est </w:t>
      </w:r>
      <w:r w:rsidR="001A6FAA" w:rsidRPr="007668DF">
        <w:rPr>
          <w:rFonts w:ascii="Times New Roman" w:eastAsia="Malgun Gothic" w:hAnsi="Times New Roman"/>
          <w:bCs/>
          <w:sz w:val="24"/>
          <w:szCs w:val="24"/>
        </w:rPr>
        <w:t>à l’origine</w:t>
      </w:r>
      <w:r w:rsidR="0024142C" w:rsidRPr="007668DF">
        <w:rPr>
          <w:rFonts w:ascii="Times New Roman" w:eastAsia="Malgun Gothic" w:hAnsi="Times New Roman"/>
          <w:bCs/>
          <w:sz w:val="24"/>
          <w:szCs w:val="24"/>
        </w:rPr>
        <w:t xml:space="preserve"> de l’arrestation du </w:t>
      </w:r>
      <w:r w:rsidR="00462AFD">
        <w:rPr>
          <w:rFonts w:ascii="Times New Roman" w:eastAsia="Malgun Gothic" w:hAnsi="Times New Roman"/>
          <w:bCs/>
          <w:sz w:val="24"/>
          <w:szCs w:val="24"/>
        </w:rPr>
        <w:t>G</w:t>
      </w:r>
      <w:r w:rsidR="0024142C" w:rsidRPr="007668DF">
        <w:rPr>
          <w:rFonts w:ascii="Times New Roman" w:eastAsia="Malgun Gothic" w:hAnsi="Times New Roman"/>
          <w:bCs/>
          <w:sz w:val="24"/>
          <w:szCs w:val="24"/>
        </w:rPr>
        <w:t xml:space="preserve">énéral Sanogo et d’autres officiers et responsables de la sécurité, tous inculpés par le juge d’instruction pour enlèvement, assassinat et complicité d’enlèvement et d’assassinat. </w:t>
      </w:r>
      <w:r w:rsidR="00C72ED9" w:rsidRPr="007668DF">
        <w:rPr>
          <w:rFonts w:ascii="Times New Roman" w:eastAsia="Malgun Gothic" w:hAnsi="Times New Roman"/>
          <w:bCs/>
          <w:sz w:val="24"/>
          <w:szCs w:val="24"/>
        </w:rPr>
        <w:t>D</w:t>
      </w:r>
      <w:r w:rsidR="0024142C" w:rsidRPr="007668DF">
        <w:rPr>
          <w:rFonts w:ascii="Times New Roman" w:eastAsia="Malgun Gothic" w:hAnsi="Times New Roman"/>
          <w:bCs/>
          <w:sz w:val="24"/>
          <w:szCs w:val="24"/>
        </w:rPr>
        <w:t xml:space="preserve">ans la nuit du 13 décembre 2013, un charnier contenant 21 restes </w:t>
      </w:r>
      <w:r w:rsidR="001A6FAA" w:rsidRPr="007668DF">
        <w:rPr>
          <w:rFonts w:ascii="Times New Roman" w:eastAsia="Malgun Gothic" w:hAnsi="Times New Roman"/>
          <w:bCs/>
          <w:sz w:val="24"/>
          <w:szCs w:val="24"/>
        </w:rPr>
        <w:t xml:space="preserve">de corps </w:t>
      </w:r>
      <w:r w:rsidR="00F85458" w:rsidRPr="007668DF">
        <w:rPr>
          <w:rFonts w:ascii="Times New Roman" w:eastAsia="Malgun Gothic" w:hAnsi="Times New Roman"/>
          <w:bCs/>
          <w:sz w:val="24"/>
          <w:szCs w:val="24"/>
        </w:rPr>
        <w:t>était</w:t>
      </w:r>
      <w:r w:rsidR="0024142C" w:rsidRPr="007668DF">
        <w:rPr>
          <w:rFonts w:ascii="Times New Roman" w:eastAsia="Malgun Gothic" w:hAnsi="Times New Roman"/>
          <w:bCs/>
          <w:sz w:val="24"/>
          <w:szCs w:val="24"/>
        </w:rPr>
        <w:t xml:space="preserve"> découvert dans la commune de Diago (située à 15km de Bamako). Trois jours plus tard, </w:t>
      </w:r>
      <w:r w:rsidR="00C72ED9" w:rsidRPr="007668DF">
        <w:rPr>
          <w:rFonts w:ascii="Times New Roman" w:eastAsia="Malgun Gothic" w:hAnsi="Times New Roman"/>
          <w:bCs/>
          <w:sz w:val="24"/>
          <w:szCs w:val="24"/>
        </w:rPr>
        <w:t>quatre</w:t>
      </w:r>
      <w:r w:rsidR="0024142C" w:rsidRPr="007668DF">
        <w:rPr>
          <w:rFonts w:ascii="Times New Roman" w:eastAsia="Malgun Gothic" w:hAnsi="Times New Roman"/>
          <w:bCs/>
          <w:sz w:val="24"/>
          <w:szCs w:val="24"/>
        </w:rPr>
        <w:t xml:space="preserve"> autres tombes présumé</w:t>
      </w:r>
      <w:r w:rsidR="001D4584" w:rsidRPr="007668DF">
        <w:rPr>
          <w:rFonts w:ascii="Times New Roman" w:eastAsia="Malgun Gothic" w:hAnsi="Times New Roman"/>
          <w:bCs/>
          <w:sz w:val="24"/>
          <w:szCs w:val="24"/>
        </w:rPr>
        <w:t>e</w:t>
      </w:r>
      <w:r w:rsidR="0024142C" w:rsidRPr="007668DF">
        <w:rPr>
          <w:rFonts w:ascii="Times New Roman" w:eastAsia="Malgun Gothic" w:hAnsi="Times New Roman"/>
          <w:bCs/>
          <w:sz w:val="24"/>
          <w:szCs w:val="24"/>
        </w:rPr>
        <w:t>s de bérets rouges ét</w:t>
      </w:r>
      <w:r w:rsidR="00341F75" w:rsidRPr="007668DF">
        <w:rPr>
          <w:rFonts w:ascii="Times New Roman" w:eastAsia="Malgun Gothic" w:hAnsi="Times New Roman"/>
          <w:bCs/>
          <w:sz w:val="24"/>
          <w:szCs w:val="24"/>
        </w:rPr>
        <w:t>aient</w:t>
      </w:r>
      <w:r w:rsidR="0024142C" w:rsidRPr="007668DF">
        <w:rPr>
          <w:rFonts w:ascii="Times New Roman" w:eastAsia="Malgun Gothic" w:hAnsi="Times New Roman"/>
          <w:bCs/>
          <w:sz w:val="24"/>
          <w:szCs w:val="24"/>
        </w:rPr>
        <w:t xml:space="preserve"> découvert</w:t>
      </w:r>
      <w:r w:rsidR="001D4584" w:rsidRPr="007668DF">
        <w:rPr>
          <w:rFonts w:ascii="Times New Roman" w:eastAsia="Malgun Gothic" w:hAnsi="Times New Roman"/>
          <w:bCs/>
          <w:sz w:val="24"/>
          <w:szCs w:val="24"/>
        </w:rPr>
        <w:t>e</w:t>
      </w:r>
      <w:r w:rsidR="0024142C" w:rsidRPr="007668DF">
        <w:rPr>
          <w:rFonts w:ascii="Times New Roman" w:eastAsia="Malgun Gothic" w:hAnsi="Times New Roman"/>
          <w:bCs/>
          <w:sz w:val="24"/>
          <w:szCs w:val="24"/>
        </w:rPr>
        <w:t>s au cimetière de Hamdallaye</w:t>
      </w:r>
      <w:r w:rsidR="001D4584" w:rsidRPr="007668DF">
        <w:rPr>
          <w:rFonts w:ascii="Times New Roman" w:eastAsia="Malgun Gothic" w:hAnsi="Times New Roman"/>
          <w:bCs/>
          <w:sz w:val="24"/>
          <w:szCs w:val="24"/>
        </w:rPr>
        <w:t xml:space="preserve"> </w:t>
      </w:r>
      <w:r w:rsidR="0024142C" w:rsidRPr="007668DF">
        <w:rPr>
          <w:rFonts w:ascii="Times New Roman" w:eastAsia="Malgun Gothic" w:hAnsi="Times New Roman"/>
          <w:bCs/>
          <w:sz w:val="24"/>
          <w:szCs w:val="24"/>
        </w:rPr>
        <w:t>(Bamako). Un groupe de médecins légistes a procédé au regroupement des ossements et à des prélèvements sanguins sur les parents directs des victimes présumé</w:t>
      </w:r>
      <w:r w:rsidR="001D4584" w:rsidRPr="007668DF">
        <w:rPr>
          <w:rFonts w:ascii="Times New Roman" w:eastAsia="Malgun Gothic" w:hAnsi="Times New Roman"/>
          <w:bCs/>
          <w:sz w:val="24"/>
          <w:szCs w:val="24"/>
        </w:rPr>
        <w:t>e</w:t>
      </w:r>
      <w:r w:rsidR="0024142C" w:rsidRPr="007668DF">
        <w:rPr>
          <w:rFonts w:ascii="Times New Roman" w:eastAsia="Malgun Gothic" w:hAnsi="Times New Roman"/>
          <w:bCs/>
          <w:sz w:val="24"/>
          <w:szCs w:val="24"/>
        </w:rPr>
        <w:t>s en vue de procéder aux expertises médico-légales. Il en est de même de l’affaire dite de «la Mutinerie de Kati»</w:t>
      </w:r>
      <w:r w:rsidR="0034450D">
        <w:rPr>
          <w:rFonts w:ascii="Times New Roman" w:eastAsia="Malgun Gothic" w:hAnsi="Times New Roman"/>
          <w:bCs/>
          <w:sz w:val="24"/>
          <w:szCs w:val="24"/>
        </w:rPr>
        <w:t xml:space="preserve"> de fin septembre 2013</w:t>
      </w:r>
      <w:r w:rsidR="00341F75" w:rsidRPr="007668DF">
        <w:rPr>
          <w:rFonts w:ascii="Times New Roman" w:eastAsia="Malgun Gothic" w:hAnsi="Times New Roman"/>
          <w:bCs/>
          <w:sz w:val="24"/>
          <w:szCs w:val="24"/>
        </w:rPr>
        <w:t>,</w:t>
      </w:r>
      <w:r w:rsidR="0024142C" w:rsidRPr="007668DF">
        <w:rPr>
          <w:rFonts w:ascii="Times New Roman" w:eastAsia="Malgun Gothic" w:hAnsi="Times New Roman"/>
          <w:bCs/>
          <w:sz w:val="24"/>
          <w:szCs w:val="24"/>
        </w:rPr>
        <w:t xml:space="preserve"> dans laquelle une enquête a été ouverte par la gendarmerie</w:t>
      </w:r>
      <w:r w:rsidR="00C72ED9" w:rsidRPr="007668DF">
        <w:rPr>
          <w:rFonts w:ascii="Times New Roman" w:eastAsia="Malgun Gothic" w:hAnsi="Times New Roman"/>
          <w:bCs/>
          <w:sz w:val="24"/>
          <w:szCs w:val="24"/>
        </w:rPr>
        <w:t>.</w:t>
      </w:r>
      <w:r w:rsidR="0024142C" w:rsidRPr="007668DF">
        <w:rPr>
          <w:rFonts w:ascii="Times New Roman" w:eastAsia="Malgun Gothic" w:hAnsi="Times New Roman"/>
          <w:bCs/>
          <w:sz w:val="24"/>
          <w:szCs w:val="24"/>
        </w:rPr>
        <w:t xml:space="preserve"> </w:t>
      </w:r>
      <w:r w:rsidR="00C72ED9" w:rsidRPr="007668DF">
        <w:rPr>
          <w:rFonts w:ascii="Times New Roman" w:eastAsia="Malgun Gothic" w:hAnsi="Times New Roman"/>
          <w:bCs/>
          <w:sz w:val="24"/>
          <w:szCs w:val="24"/>
        </w:rPr>
        <w:t>L</w:t>
      </w:r>
      <w:r w:rsidR="0024142C" w:rsidRPr="007668DF">
        <w:rPr>
          <w:rFonts w:ascii="Times New Roman" w:eastAsia="Malgun Gothic" w:hAnsi="Times New Roman"/>
          <w:bCs/>
          <w:sz w:val="24"/>
          <w:szCs w:val="24"/>
        </w:rPr>
        <w:t xml:space="preserve">e dossier a été transmis au procureur de la </w:t>
      </w:r>
      <w:r w:rsidR="00341F75" w:rsidRPr="007668DF">
        <w:rPr>
          <w:rFonts w:ascii="Times New Roman" w:eastAsia="Malgun Gothic" w:hAnsi="Times New Roman"/>
          <w:bCs/>
          <w:sz w:val="24"/>
          <w:szCs w:val="24"/>
        </w:rPr>
        <w:t>R</w:t>
      </w:r>
      <w:r w:rsidR="0024142C" w:rsidRPr="007668DF">
        <w:rPr>
          <w:rFonts w:ascii="Times New Roman" w:eastAsia="Malgun Gothic" w:hAnsi="Times New Roman"/>
          <w:bCs/>
          <w:sz w:val="24"/>
          <w:szCs w:val="24"/>
        </w:rPr>
        <w:t xml:space="preserve">épublique de la commune III </w:t>
      </w:r>
      <w:r w:rsidR="00341F75" w:rsidRPr="007668DF">
        <w:rPr>
          <w:rFonts w:ascii="Times New Roman" w:eastAsia="Malgun Gothic" w:hAnsi="Times New Roman"/>
          <w:bCs/>
          <w:sz w:val="24"/>
          <w:szCs w:val="24"/>
        </w:rPr>
        <w:t xml:space="preserve">en </w:t>
      </w:r>
      <w:r w:rsidR="0024142C" w:rsidRPr="007668DF">
        <w:rPr>
          <w:rFonts w:ascii="Times New Roman" w:eastAsia="Malgun Gothic" w:hAnsi="Times New Roman"/>
          <w:bCs/>
          <w:sz w:val="24"/>
          <w:szCs w:val="24"/>
        </w:rPr>
        <w:t xml:space="preserve">janvier 2014. </w:t>
      </w:r>
    </w:p>
    <w:p w:rsidR="0024142C" w:rsidRPr="007668DF" w:rsidRDefault="0024142C" w:rsidP="006C2FA0">
      <w:pPr>
        <w:tabs>
          <w:tab w:val="left" w:pos="567"/>
          <w:tab w:val="left" w:pos="709"/>
          <w:tab w:val="left" w:pos="851"/>
        </w:tabs>
        <w:spacing w:after="0"/>
        <w:jc w:val="both"/>
        <w:rPr>
          <w:rFonts w:ascii="Times New Roman" w:eastAsia="Malgun Gothic" w:hAnsi="Times New Roman"/>
          <w:bCs/>
          <w:sz w:val="24"/>
          <w:szCs w:val="24"/>
        </w:rPr>
      </w:pPr>
    </w:p>
    <w:p w:rsidR="0024142C" w:rsidRDefault="00A21002" w:rsidP="006C2FA0">
      <w:pPr>
        <w:tabs>
          <w:tab w:val="left" w:pos="567"/>
          <w:tab w:val="left" w:pos="709"/>
          <w:tab w:val="left" w:pos="851"/>
        </w:tabs>
        <w:spacing w:after="0"/>
        <w:jc w:val="both"/>
        <w:rPr>
          <w:rFonts w:ascii="Times New Roman" w:eastAsia="Malgun Gothic" w:hAnsi="Times New Roman"/>
          <w:bCs/>
          <w:sz w:val="24"/>
          <w:szCs w:val="24"/>
        </w:rPr>
      </w:pPr>
      <w:r>
        <w:rPr>
          <w:rFonts w:ascii="Times New Roman" w:eastAsia="Malgun Gothic" w:hAnsi="Times New Roman"/>
          <w:bCs/>
          <w:sz w:val="24"/>
          <w:szCs w:val="24"/>
        </w:rPr>
        <w:lastRenderedPageBreak/>
        <w:t>93</w:t>
      </w:r>
      <w:r w:rsidR="0024142C" w:rsidRPr="007668DF">
        <w:rPr>
          <w:rFonts w:ascii="Times New Roman" w:eastAsia="Malgun Gothic" w:hAnsi="Times New Roman"/>
          <w:bCs/>
          <w:sz w:val="24"/>
          <w:szCs w:val="24"/>
        </w:rPr>
        <w:t>.</w:t>
      </w:r>
      <w:r w:rsidR="0024142C" w:rsidRPr="007668DF">
        <w:rPr>
          <w:rFonts w:ascii="Times New Roman" w:eastAsia="Malgun Gothic" w:hAnsi="Times New Roman"/>
          <w:bCs/>
          <w:sz w:val="24"/>
          <w:szCs w:val="24"/>
        </w:rPr>
        <w:tab/>
      </w:r>
      <w:r w:rsidR="00022F0B" w:rsidRPr="007668DF">
        <w:rPr>
          <w:rFonts w:ascii="Times New Roman" w:eastAsia="Malgun Gothic" w:hAnsi="Times New Roman"/>
          <w:bCs/>
          <w:sz w:val="24"/>
          <w:szCs w:val="24"/>
        </w:rPr>
        <w:t xml:space="preserve"> </w:t>
      </w:r>
      <w:r w:rsidR="0024142C" w:rsidRPr="007668DF">
        <w:rPr>
          <w:rFonts w:ascii="Times New Roman" w:eastAsia="Malgun Gothic" w:hAnsi="Times New Roman"/>
          <w:bCs/>
          <w:sz w:val="24"/>
          <w:szCs w:val="24"/>
        </w:rPr>
        <w:t xml:space="preserve">La Division des droits de l’homme </w:t>
      </w:r>
      <w:r w:rsidR="005F564E" w:rsidRPr="007668DF">
        <w:rPr>
          <w:rFonts w:ascii="Times New Roman" w:eastAsia="Malgun Gothic" w:hAnsi="Times New Roman"/>
          <w:bCs/>
          <w:sz w:val="24"/>
          <w:szCs w:val="24"/>
        </w:rPr>
        <w:t>note avec appréciation</w:t>
      </w:r>
      <w:r w:rsidR="008A372F" w:rsidRPr="007668DF">
        <w:rPr>
          <w:rFonts w:ascii="Times New Roman" w:eastAsia="Malgun Gothic" w:hAnsi="Times New Roman"/>
          <w:bCs/>
          <w:sz w:val="24"/>
          <w:szCs w:val="24"/>
        </w:rPr>
        <w:t xml:space="preserve"> </w:t>
      </w:r>
      <w:r w:rsidR="00C72ED9" w:rsidRPr="007668DF">
        <w:rPr>
          <w:rFonts w:ascii="Times New Roman" w:eastAsia="Malgun Gothic" w:hAnsi="Times New Roman"/>
          <w:bCs/>
          <w:sz w:val="24"/>
          <w:szCs w:val="24"/>
        </w:rPr>
        <w:t xml:space="preserve">l’envoi par </w:t>
      </w:r>
      <w:r w:rsidR="0024142C" w:rsidRPr="007668DF">
        <w:rPr>
          <w:rFonts w:ascii="Times New Roman" w:eastAsia="Malgun Gothic" w:hAnsi="Times New Roman"/>
          <w:bCs/>
          <w:sz w:val="24"/>
          <w:szCs w:val="24"/>
        </w:rPr>
        <w:t>la gendarmerie malienne, au début d</w:t>
      </w:r>
      <w:r w:rsidR="00341F75" w:rsidRPr="007668DF">
        <w:rPr>
          <w:rFonts w:ascii="Times New Roman" w:eastAsia="Malgun Gothic" w:hAnsi="Times New Roman"/>
          <w:bCs/>
          <w:sz w:val="24"/>
          <w:szCs w:val="24"/>
        </w:rPr>
        <w:t>’</w:t>
      </w:r>
      <w:r w:rsidR="0024142C" w:rsidRPr="007668DF">
        <w:rPr>
          <w:rFonts w:ascii="Times New Roman" w:eastAsia="Malgun Gothic" w:hAnsi="Times New Roman"/>
          <w:bCs/>
          <w:sz w:val="24"/>
          <w:szCs w:val="24"/>
        </w:rPr>
        <w:t xml:space="preserve">avril 2014, </w:t>
      </w:r>
      <w:r w:rsidR="00C72ED9" w:rsidRPr="007668DF">
        <w:rPr>
          <w:rFonts w:ascii="Times New Roman" w:eastAsia="Malgun Gothic" w:hAnsi="Times New Roman"/>
          <w:bCs/>
          <w:sz w:val="24"/>
          <w:szCs w:val="24"/>
        </w:rPr>
        <w:t>d’</w:t>
      </w:r>
      <w:r w:rsidR="0024142C" w:rsidRPr="007668DF">
        <w:rPr>
          <w:rFonts w:ascii="Times New Roman" w:eastAsia="Malgun Gothic" w:hAnsi="Times New Roman"/>
          <w:bCs/>
          <w:sz w:val="24"/>
          <w:szCs w:val="24"/>
        </w:rPr>
        <w:t>une équipe d’enquête à Doungura (région de Mopti) afin d’enquêter sur l</w:t>
      </w:r>
      <w:r w:rsidR="00341F75" w:rsidRPr="007668DF">
        <w:rPr>
          <w:rFonts w:ascii="Times New Roman" w:eastAsia="Malgun Gothic" w:hAnsi="Times New Roman"/>
          <w:bCs/>
          <w:sz w:val="24"/>
          <w:szCs w:val="24"/>
        </w:rPr>
        <w:t xml:space="preserve">a mort </w:t>
      </w:r>
      <w:r w:rsidR="0024142C" w:rsidRPr="007668DF">
        <w:rPr>
          <w:rFonts w:ascii="Times New Roman" w:eastAsia="Malgun Gothic" w:hAnsi="Times New Roman"/>
          <w:bCs/>
          <w:sz w:val="24"/>
          <w:szCs w:val="24"/>
        </w:rPr>
        <w:t xml:space="preserve">d’une vingtaine de personnes jetées dans un puit le 19 mars 2013 par des assaillants d’origine </w:t>
      </w:r>
      <w:r w:rsidR="00C72ED9" w:rsidRPr="007668DF">
        <w:rPr>
          <w:rFonts w:ascii="Times New Roman" w:eastAsia="Malgun Gothic" w:hAnsi="Times New Roman"/>
          <w:bCs/>
          <w:sz w:val="24"/>
          <w:szCs w:val="24"/>
        </w:rPr>
        <w:t>t</w:t>
      </w:r>
      <w:r w:rsidR="0024142C" w:rsidRPr="007668DF">
        <w:rPr>
          <w:rFonts w:ascii="Times New Roman" w:eastAsia="Malgun Gothic" w:hAnsi="Times New Roman"/>
          <w:bCs/>
          <w:sz w:val="24"/>
          <w:szCs w:val="24"/>
        </w:rPr>
        <w:t xml:space="preserve">ouareg associés aux groupes armés. </w:t>
      </w:r>
    </w:p>
    <w:p w:rsidR="00216DBC" w:rsidRPr="007668DF" w:rsidRDefault="00216DBC" w:rsidP="006C2FA0">
      <w:pPr>
        <w:tabs>
          <w:tab w:val="left" w:pos="567"/>
          <w:tab w:val="left" w:pos="709"/>
          <w:tab w:val="left" w:pos="851"/>
        </w:tabs>
        <w:spacing w:after="0"/>
        <w:jc w:val="both"/>
        <w:rPr>
          <w:rFonts w:ascii="Times New Roman" w:eastAsia="Malgun Gothic" w:hAnsi="Times New Roman"/>
          <w:bCs/>
          <w:sz w:val="24"/>
          <w:szCs w:val="24"/>
        </w:rPr>
      </w:pPr>
    </w:p>
    <w:p w:rsidR="00AF5742" w:rsidRPr="007668DF" w:rsidRDefault="00AF5742" w:rsidP="006C2FA0">
      <w:pPr>
        <w:tabs>
          <w:tab w:val="left" w:pos="567"/>
          <w:tab w:val="left" w:pos="709"/>
          <w:tab w:val="left" w:pos="851"/>
        </w:tabs>
        <w:spacing w:after="0"/>
        <w:jc w:val="both"/>
        <w:rPr>
          <w:rFonts w:ascii="Times New Roman" w:eastAsia="Malgun Gothic" w:hAnsi="Times New Roman"/>
          <w:b/>
          <w:bCs/>
          <w:sz w:val="24"/>
          <w:szCs w:val="24"/>
        </w:rPr>
      </w:pPr>
    </w:p>
    <w:p w:rsidR="0024142C" w:rsidRPr="007668DF" w:rsidRDefault="0024142C" w:rsidP="003B152B">
      <w:pPr>
        <w:pStyle w:val="Subtitle"/>
        <w:rPr>
          <w:rFonts w:eastAsia="Malgun Gothic"/>
        </w:rPr>
      </w:pPr>
      <w:bookmarkStart w:id="23" w:name="_Toc401931502"/>
      <w:r w:rsidRPr="007668DF">
        <w:rPr>
          <w:rFonts w:eastAsia="Malgun Gothic"/>
        </w:rPr>
        <w:t>La justice transitionnelle</w:t>
      </w:r>
      <w:bookmarkEnd w:id="23"/>
      <w:r w:rsidRPr="007668DF">
        <w:rPr>
          <w:rFonts w:eastAsia="Malgun Gothic"/>
        </w:rPr>
        <w:t xml:space="preserve"> </w:t>
      </w:r>
    </w:p>
    <w:p w:rsidR="00B3569D" w:rsidRPr="009C2994" w:rsidRDefault="00A21002" w:rsidP="00B3569D">
      <w:pPr>
        <w:tabs>
          <w:tab w:val="left" w:pos="567"/>
          <w:tab w:val="left" w:pos="709"/>
          <w:tab w:val="left" w:pos="851"/>
        </w:tabs>
        <w:spacing w:after="0"/>
        <w:jc w:val="both"/>
        <w:rPr>
          <w:rFonts w:ascii="Times New Roman" w:eastAsia="Malgun Gothic" w:hAnsi="Times New Roman"/>
          <w:bCs/>
          <w:sz w:val="24"/>
          <w:szCs w:val="24"/>
        </w:rPr>
      </w:pPr>
      <w:r>
        <w:rPr>
          <w:rFonts w:ascii="Times New Roman" w:eastAsia="Malgun Gothic" w:hAnsi="Times New Roman"/>
          <w:bCs/>
          <w:sz w:val="24"/>
          <w:szCs w:val="24"/>
        </w:rPr>
        <w:t>94</w:t>
      </w:r>
      <w:r w:rsidR="00B3569D">
        <w:rPr>
          <w:rFonts w:ascii="Times New Roman" w:eastAsia="Malgun Gothic" w:hAnsi="Times New Roman"/>
          <w:bCs/>
          <w:sz w:val="24"/>
          <w:szCs w:val="24"/>
        </w:rPr>
        <w:t>.</w:t>
      </w:r>
      <w:r w:rsidR="00B3569D">
        <w:rPr>
          <w:rFonts w:ascii="Times New Roman" w:eastAsia="Malgun Gothic" w:hAnsi="Times New Roman"/>
          <w:bCs/>
          <w:sz w:val="24"/>
          <w:szCs w:val="24"/>
        </w:rPr>
        <w:tab/>
        <w:t xml:space="preserve"> </w:t>
      </w:r>
      <w:r w:rsidR="00B3569D" w:rsidRPr="009C2994">
        <w:rPr>
          <w:rFonts w:ascii="Times New Roman" w:eastAsia="Malgun Gothic" w:hAnsi="Times New Roman"/>
          <w:bCs/>
          <w:sz w:val="24"/>
          <w:szCs w:val="24"/>
        </w:rPr>
        <w:t xml:space="preserve">Le Secrétaire Général des Nations Unies définit la justice transitionnelle comme suit : </w:t>
      </w:r>
    </w:p>
    <w:p w:rsidR="00B3569D" w:rsidRDefault="00B3569D" w:rsidP="00B3569D">
      <w:pPr>
        <w:tabs>
          <w:tab w:val="left" w:pos="567"/>
          <w:tab w:val="left" w:pos="709"/>
          <w:tab w:val="left" w:pos="851"/>
        </w:tabs>
        <w:spacing w:after="0"/>
        <w:jc w:val="both"/>
        <w:rPr>
          <w:rFonts w:ascii="Times New Roman" w:eastAsia="Malgun Gothic" w:hAnsi="Times New Roman"/>
          <w:bCs/>
          <w:sz w:val="24"/>
          <w:szCs w:val="24"/>
        </w:rPr>
      </w:pPr>
      <w:r w:rsidRPr="009C2994">
        <w:rPr>
          <w:rFonts w:ascii="Times New Roman" w:eastAsia="Malgun Gothic" w:hAnsi="Times New Roman"/>
          <w:bCs/>
          <w:sz w:val="24"/>
          <w:szCs w:val="24"/>
        </w:rPr>
        <w:t>« Le concept d’« administration de la justice pendant la période de transition » (« justice transitionnelle ») (…) englobe l’éventail complet des divers processus et mécanismes mis en œuvre par une société pour tenter de faire face à des exactions massives commises dans le passé, en vue d’établir les responsabilités, de rendre la justice et de permettre la réconciliation. Peuvent figurer au nombre de ces processus des mécanismes tant judiciaires que non judiciaires, avec (le cas échéant) une intervention plus ou moins importante de la communauté internationale, et des poursuites engagées contre des individus, des indemnisations, des enquêtes visant à établir la vérité, une réforme des institutions, des contrôles et des révocations, ou une combinaison de ces mesures. »</w:t>
      </w:r>
      <w:r>
        <w:rPr>
          <w:rStyle w:val="FootnoteReference"/>
          <w:rFonts w:ascii="Times New Roman" w:eastAsia="Malgun Gothic" w:hAnsi="Times New Roman"/>
          <w:bCs/>
          <w:sz w:val="24"/>
          <w:szCs w:val="24"/>
        </w:rPr>
        <w:footnoteReference w:id="20"/>
      </w:r>
    </w:p>
    <w:p w:rsidR="00B3569D" w:rsidRDefault="00B3569D" w:rsidP="006C2FA0">
      <w:pPr>
        <w:tabs>
          <w:tab w:val="left" w:pos="567"/>
          <w:tab w:val="left" w:pos="709"/>
          <w:tab w:val="left" w:pos="851"/>
        </w:tabs>
        <w:spacing w:after="0"/>
        <w:jc w:val="both"/>
        <w:rPr>
          <w:rFonts w:ascii="Times New Roman" w:eastAsia="Malgun Gothic" w:hAnsi="Times New Roman"/>
          <w:bCs/>
          <w:sz w:val="24"/>
          <w:szCs w:val="24"/>
        </w:rPr>
      </w:pPr>
    </w:p>
    <w:p w:rsidR="0024142C" w:rsidRPr="007668DF" w:rsidRDefault="00A21002" w:rsidP="006C2FA0">
      <w:pPr>
        <w:tabs>
          <w:tab w:val="left" w:pos="567"/>
          <w:tab w:val="left" w:pos="709"/>
          <w:tab w:val="left" w:pos="851"/>
        </w:tabs>
        <w:spacing w:after="0"/>
        <w:jc w:val="both"/>
        <w:rPr>
          <w:rFonts w:ascii="Times New Roman" w:eastAsia="Malgun Gothic" w:hAnsi="Times New Roman"/>
          <w:bCs/>
          <w:sz w:val="24"/>
          <w:szCs w:val="24"/>
        </w:rPr>
      </w:pPr>
      <w:r>
        <w:rPr>
          <w:rFonts w:ascii="Times New Roman" w:eastAsia="Malgun Gothic" w:hAnsi="Times New Roman"/>
          <w:bCs/>
          <w:sz w:val="24"/>
          <w:szCs w:val="24"/>
        </w:rPr>
        <w:lastRenderedPageBreak/>
        <w:t>95</w:t>
      </w:r>
      <w:r w:rsidR="0024142C" w:rsidRPr="007668DF">
        <w:rPr>
          <w:rFonts w:ascii="Times New Roman" w:eastAsia="Malgun Gothic" w:hAnsi="Times New Roman"/>
          <w:bCs/>
          <w:sz w:val="24"/>
          <w:szCs w:val="24"/>
        </w:rPr>
        <w:t xml:space="preserve">. </w:t>
      </w:r>
      <w:r w:rsidR="0024142C" w:rsidRPr="007668DF">
        <w:rPr>
          <w:rFonts w:ascii="Times New Roman" w:eastAsia="Malgun Gothic" w:hAnsi="Times New Roman"/>
          <w:bCs/>
          <w:sz w:val="24"/>
          <w:szCs w:val="24"/>
        </w:rPr>
        <w:tab/>
      </w:r>
      <w:r w:rsidR="00022F0B" w:rsidRPr="007668DF">
        <w:rPr>
          <w:rFonts w:ascii="Times New Roman" w:eastAsia="Malgun Gothic" w:hAnsi="Times New Roman"/>
          <w:bCs/>
          <w:sz w:val="24"/>
          <w:szCs w:val="24"/>
        </w:rPr>
        <w:tab/>
      </w:r>
      <w:r w:rsidR="0024142C" w:rsidRPr="007668DF">
        <w:rPr>
          <w:rFonts w:ascii="Times New Roman" w:eastAsia="Malgun Gothic" w:hAnsi="Times New Roman"/>
          <w:bCs/>
          <w:sz w:val="24"/>
          <w:szCs w:val="24"/>
        </w:rPr>
        <w:t xml:space="preserve">Le récent conflit dans le nord du Mali a engendré des contentieux spécifiques qui nécessitent d’être portés devant la justice nationale. Cependant, en raison de leur nature et de leur ampleur, </w:t>
      </w:r>
      <w:r w:rsidR="00341F75" w:rsidRPr="007668DF">
        <w:rPr>
          <w:rFonts w:ascii="Times New Roman" w:eastAsia="Malgun Gothic" w:hAnsi="Times New Roman"/>
          <w:bCs/>
          <w:sz w:val="24"/>
          <w:szCs w:val="24"/>
        </w:rPr>
        <w:t xml:space="preserve">ils </w:t>
      </w:r>
      <w:r w:rsidR="0024142C" w:rsidRPr="007668DF">
        <w:rPr>
          <w:rFonts w:ascii="Times New Roman" w:eastAsia="Malgun Gothic" w:hAnsi="Times New Roman"/>
          <w:bCs/>
          <w:sz w:val="24"/>
          <w:szCs w:val="24"/>
        </w:rPr>
        <w:t xml:space="preserve">ne peuvent être traités que </w:t>
      </w:r>
      <w:r w:rsidR="00EB5B13">
        <w:rPr>
          <w:rFonts w:ascii="Times New Roman" w:eastAsia="Malgun Gothic" w:hAnsi="Times New Roman"/>
          <w:bCs/>
          <w:sz w:val="24"/>
          <w:szCs w:val="24"/>
        </w:rPr>
        <w:t>par des mécanismes judiciaires</w:t>
      </w:r>
      <w:r w:rsidR="0024142C" w:rsidRPr="007668DF">
        <w:rPr>
          <w:rFonts w:ascii="Times New Roman" w:eastAsia="Malgun Gothic" w:hAnsi="Times New Roman"/>
          <w:bCs/>
          <w:sz w:val="24"/>
          <w:szCs w:val="24"/>
        </w:rPr>
        <w:t xml:space="preserve">. Ils requièrent en effet la mise en place de mécanismes permettant de dégager une vérité communément acceptée et de réparer individuellement les victimes. </w:t>
      </w:r>
    </w:p>
    <w:p w:rsidR="0024142C" w:rsidRPr="007668DF" w:rsidRDefault="0024142C" w:rsidP="006C2FA0">
      <w:pPr>
        <w:tabs>
          <w:tab w:val="left" w:pos="567"/>
          <w:tab w:val="left" w:pos="709"/>
          <w:tab w:val="left" w:pos="851"/>
        </w:tabs>
        <w:spacing w:after="0"/>
        <w:jc w:val="both"/>
        <w:rPr>
          <w:rFonts w:ascii="Times New Roman" w:eastAsia="Malgun Gothic" w:hAnsi="Times New Roman"/>
          <w:bCs/>
          <w:sz w:val="24"/>
          <w:szCs w:val="24"/>
        </w:rPr>
      </w:pPr>
    </w:p>
    <w:p w:rsidR="0024142C" w:rsidRPr="007668DF" w:rsidRDefault="00A21002" w:rsidP="006C2FA0">
      <w:pPr>
        <w:tabs>
          <w:tab w:val="left" w:pos="567"/>
          <w:tab w:val="left" w:pos="709"/>
          <w:tab w:val="left" w:pos="851"/>
        </w:tabs>
        <w:spacing w:after="0"/>
        <w:jc w:val="both"/>
        <w:rPr>
          <w:rFonts w:ascii="Times New Roman" w:eastAsia="Malgun Gothic" w:hAnsi="Times New Roman"/>
          <w:bCs/>
          <w:sz w:val="24"/>
          <w:szCs w:val="24"/>
        </w:rPr>
      </w:pPr>
      <w:r>
        <w:rPr>
          <w:rFonts w:ascii="Times New Roman" w:eastAsia="Malgun Gothic" w:hAnsi="Times New Roman"/>
          <w:bCs/>
          <w:sz w:val="24"/>
          <w:szCs w:val="24"/>
        </w:rPr>
        <w:t>96</w:t>
      </w:r>
      <w:r w:rsidR="0024142C" w:rsidRPr="007668DF">
        <w:rPr>
          <w:rFonts w:ascii="Times New Roman" w:eastAsia="Malgun Gothic" w:hAnsi="Times New Roman"/>
          <w:bCs/>
          <w:sz w:val="24"/>
          <w:szCs w:val="24"/>
        </w:rPr>
        <w:t xml:space="preserve">. </w:t>
      </w:r>
      <w:r w:rsidR="0024142C" w:rsidRPr="007668DF">
        <w:rPr>
          <w:rFonts w:ascii="Times New Roman" w:eastAsia="Malgun Gothic" w:hAnsi="Times New Roman"/>
          <w:bCs/>
          <w:sz w:val="24"/>
          <w:szCs w:val="24"/>
        </w:rPr>
        <w:tab/>
      </w:r>
      <w:r w:rsidR="00022F0B" w:rsidRPr="007668DF">
        <w:rPr>
          <w:rFonts w:ascii="Times New Roman" w:eastAsia="Malgun Gothic" w:hAnsi="Times New Roman"/>
          <w:bCs/>
          <w:sz w:val="24"/>
          <w:szCs w:val="24"/>
        </w:rPr>
        <w:tab/>
      </w:r>
      <w:r w:rsidR="0024142C" w:rsidRPr="007668DF">
        <w:rPr>
          <w:rFonts w:ascii="Times New Roman" w:eastAsia="Malgun Gothic" w:hAnsi="Times New Roman"/>
          <w:bCs/>
          <w:sz w:val="24"/>
          <w:szCs w:val="24"/>
        </w:rPr>
        <w:t>L’actuel conflit s’ajoute aux précédentes crises et rébellions qui ont eu lieu au Mali depuis l’indépendance. Leur récurrence et leur cause profonde nécessitent une politique nationale capable d’identifier et de traiter le problème à partir de la source.</w:t>
      </w:r>
    </w:p>
    <w:p w:rsidR="0024142C" w:rsidRPr="007668DF" w:rsidRDefault="0024142C" w:rsidP="006C2FA0">
      <w:pPr>
        <w:tabs>
          <w:tab w:val="left" w:pos="567"/>
          <w:tab w:val="left" w:pos="709"/>
          <w:tab w:val="left" w:pos="851"/>
        </w:tabs>
        <w:spacing w:after="0"/>
        <w:jc w:val="both"/>
        <w:rPr>
          <w:rFonts w:ascii="Times New Roman" w:eastAsia="Malgun Gothic" w:hAnsi="Times New Roman"/>
          <w:bCs/>
          <w:sz w:val="24"/>
          <w:szCs w:val="24"/>
        </w:rPr>
      </w:pPr>
    </w:p>
    <w:p w:rsidR="0024142C" w:rsidRPr="007668DF" w:rsidRDefault="00A21002" w:rsidP="006C2FA0">
      <w:pPr>
        <w:tabs>
          <w:tab w:val="left" w:pos="567"/>
          <w:tab w:val="left" w:pos="709"/>
          <w:tab w:val="left" w:pos="851"/>
        </w:tabs>
        <w:spacing w:after="0"/>
        <w:jc w:val="both"/>
        <w:rPr>
          <w:rFonts w:ascii="Times New Roman" w:eastAsia="Malgun Gothic" w:hAnsi="Times New Roman"/>
          <w:bCs/>
          <w:sz w:val="24"/>
          <w:szCs w:val="24"/>
        </w:rPr>
      </w:pPr>
      <w:r>
        <w:rPr>
          <w:rFonts w:ascii="Times New Roman" w:eastAsia="Malgun Gothic" w:hAnsi="Times New Roman"/>
          <w:bCs/>
          <w:sz w:val="24"/>
          <w:szCs w:val="24"/>
        </w:rPr>
        <w:t>97</w:t>
      </w:r>
      <w:r w:rsidR="0024142C" w:rsidRPr="007668DF">
        <w:rPr>
          <w:rFonts w:ascii="Times New Roman" w:eastAsia="Malgun Gothic" w:hAnsi="Times New Roman"/>
          <w:bCs/>
          <w:sz w:val="24"/>
          <w:szCs w:val="24"/>
        </w:rPr>
        <w:t>.</w:t>
      </w:r>
      <w:r w:rsidR="0024142C" w:rsidRPr="007668DF">
        <w:rPr>
          <w:rFonts w:ascii="Times New Roman" w:eastAsia="Malgun Gothic" w:hAnsi="Times New Roman"/>
          <w:bCs/>
          <w:sz w:val="24"/>
          <w:szCs w:val="24"/>
        </w:rPr>
        <w:tab/>
      </w:r>
      <w:r w:rsidR="00022F0B" w:rsidRPr="007668DF">
        <w:rPr>
          <w:rFonts w:ascii="Times New Roman" w:eastAsia="Malgun Gothic" w:hAnsi="Times New Roman"/>
          <w:bCs/>
          <w:sz w:val="24"/>
          <w:szCs w:val="24"/>
        </w:rPr>
        <w:t xml:space="preserve"> </w:t>
      </w:r>
      <w:r w:rsidR="0024142C" w:rsidRPr="007668DF">
        <w:rPr>
          <w:rFonts w:ascii="Times New Roman" w:eastAsia="Malgun Gothic" w:hAnsi="Times New Roman"/>
          <w:bCs/>
          <w:sz w:val="24"/>
          <w:szCs w:val="24"/>
        </w:rPr>
        <w:t xml:space="preserve">Le besoin de mettre en place un processus de justice transitionnelle est rapidement apparu et des initiatives dans </w:t>
      </w:r>
      <w:r w:rsidR="00C72ED9" w:rsidRPr="007668DF">
        <w:rPr>
          <w:rFonts w:ascii="Times New Roman" w:eastAsia="Malgun Gothic" w:hAnsi="Times New Roman"/>
          <w:bCs/>
          <w:sz w:val="24"/>
          <w:szCs w:val="24"/>
        </w:rPr>
        <w:t>c</w:t>
      </w:r>
      <w:r w:rsidR="0024142C" w:rsidRPr="007668DF">
        <w:rPr>
          <w:rFonts w:ascii="Times New Roman" w:eastAsia="Malgun Gothic" w:hAnsi="Times New Roman"/>
          <w:bCs/>
          <w:sz w:val="24"/>
          <w:szCs w:val="24"/>
        </w:rPr>
        <w:t xml:space="preserve">e domaine ont été entreprises dès 2012. Il s’agit de la loi du 12 juillet </w:t>
      </w:r>
      <w:r w:rsidR="00C5182A" w:rsidRPr="007668DF">
        <w:rPr>
          <w:rFonts w:ascii="Times New Roman" w:eastAsia="Malgun Gothic" w:hAnsi="Times New Roman"/>
          <w:bCs/>
          <w:sz w:val="24"/>
          <w:szCs w:val="24"/>
        </w:rPr>
        <w:t xml:space="preserve">2012 </w:t>
      </w:r>
      <w:r w:rsidR="0024142C" w:rsidRPr="007668DF">
        <w:rPr>
          <w:rFonts w:ascii="Times New Roman" w:eastAsia="Malgun Gothic" w:hAnsi="Times New Roman"/>
          <w:bCs/>
          <w:sz w:val="24"/>
          <w:szCs w:val="24"/>
        </w:rPr>
        <w:t xml:space="preserve">portant indemnisation des victimes de la rébellion du 17 janvier 2012 et du mouvement insurrectionnel du 22 mars 2012; de la lettre du 13 juillet 2012 du ministre de la Justice du gouvernement de transition au Procureur </w:t>
      </w:r>
      <w:r w:rsidR="00BC6DF7" w:rsidRPr="007668DF">
        <w:rPr>
          <w:rFonts w:ascii="Times New Roman" w:eastAsia="Malgun Gothic" w:hAnsi="Times New Roman"/>
          <w:bCs/>
          <w:sz w:val="24"/>
          <w:szCs w:val="24"/>
        </w:rPr>
        <w:t xml:space="preserve">de </w:t>
      </w:r>
      <w:r w:rsidR="0024142C" w:rsidRPr="007668DF">
        <w:rPr>
          <w:rFonts w:ascii="Times New Roman" w:eastAsia="Malgun Gothic" w:hAnsi="Times New Roman"/>
          <w:bCs/>
          <w:sz w:val="24"/>
          <w:szCs w:val="24"/>
        </w:rPr>
        <w:t xml:space="preserve">la </w:t>
      </w:r>
      <w:r w:rsidR="002A0496" w:rsidRPr="007668DF">
        <w:rPr>
          <w:rFonts w:ascii="Times New Roman" w:eastAsia="Malgun Gothic" w:hAnsi="Times New Roman"/>
          <w:bCs/>
          <w:sz w:val="24"/>
          <w:szCs w:val="24"/>
        </w:rPr>
        <w:t>CPI</w:t>
      </w:r>
      <w:r w:rsidR="00EB5B13">
        <w:rPr>
          <w:rFonts w:ascii="Times New Roman" w:eastAsia="Malgun Gothic" w:hAnsi="Times New Roman"/>
          <w:bCs/>
          <w:sz w:val="24"/>
          <w:szCs w:val="24"/>
        </w:rPr>
        <w:t>,</w:t>
      </w:r>
      <w:r w:rsidR="00775DD0" w:rsidRPr="007668DF">
        <w:rPr>
          <w:rFonts w:ascii="Times New Roman" w:eastAsia="Malgun Gothic" w:hAnsi="Times New Roman"/>
          <w:bCs/>
          <w:sz w:val="24"/>
          <w:szCs w:val="24"/>
        </w:rPr>
        <w:t xml:space="preserve"> </w:t>
      </w:r>
      <w:r w:rsidR="0024142C" w:rsidRPr="007668DF">
        <w:rPr>
          <w:rFonts w:ascii="Times New Roman" w:eastAsia="Malgun Gothic" w:hAnsi="Times New Roman"/>
          <w:bCs/>
          <w:sz w:val="24"/>
          <w:szCs w:val="24"/>
        </w:rPr>
        <w:t>demandant l’ouverture d’enquêtes sur les allégations de crimes contre l’humanité et crimes de guerre ; de deux arrêts de la cour suprême</w:t>
      </w:r>
      <w:r w:rsidR="002A0496" w:rsidRPr="007668DF">
        <w:rPr>
          <w:rFonts w:ascii="Times New Roman" w:eastAsia="Malgun Gothic" w:hAnsi="Times New Roman"/>
          <w:bCs/>
          <w:sz w:val="24"/>
          <w:szCs w:val="24"/>
        </w:rPr>
        <w:t>,</w:t>
      </w:r>
      <w:r w:rsidR="001D4584" w:rsidRPr="007668DF">
        <w:rPr>
          <w:rFonts w:ascii="Times New Roman" w:eastAsia="Malgun Gothic" w:hAnsi="Times New Roman"/>
          <w:bCs/>
          <w:sz w:val="24"/>
          <w:szCs w:val="24"/>
        </w:rPr>
        <w:t xml:space="preserve"> </w:t>
      </w:r>
      <w:r w:rsidR="0024142C" w:rsidRPr="007668DF">
        <w:rPr>
          <w:rFonts w:ascii="Times New Roman" w:eastAsia="Malgun Gothic" w:hAnsi="Times New Roman"/>
          <w:bCs/>
          <w:sz w:val="24"/>
          <w:szCs w:val="24"/>
        </w:rPr>
        <w:t>du 16</w:t>
      </w:r>
      <w:r w:rsidR="002A0496" w:rsidRPr="007668DF">
        <w:rPr>
          <w:rFonts w:ascii="Times New Roman" w:eastAsia="Malgun Gothic" w:hAnsi="Times New Roman"/>
          <w:bCs/>
          <w:sz w:val="24"/>
          <w:szCs w:val="24"/>
        </w:rPr>
        <w:t xml:space="preserve"> juillet </w:t>
      </w:r>
      <w:r w:rsidR="0024142C" w:rsidRPr="007668DF">
        <w:rPr>
          <w:rFonts w:ascii="Times New Roman" w:eastAsia="Malgun Gothic" w:hAnsi="Times New Roman"/>
          <w:bCs/>
          <w:sz w:val="24"/>
          <w:szCs w:val="24"/>
        </w:rPr>
        <w:t>2012 et du 21</w:t>
      </w:r>
      <w:r w:rsidR="002A0496" w:rsidRPr="007668DF">
        <w:rPr>
          <w:rFonts w:ascii="Times New Roman" w:eastAsia="Malgun Gothic" w:hAnsi="Times New Roman"/>
          <w:bCs/>
          <w:sz w:val="24"/>
          <w:szCs w:val="24"/>
        </w:rPr>
        <w:t xml:space="preserve"> janvier </w:t>
      </w:r>
      <w:r w:rsidR="0024142C" w:rsidRPr="007668DF">
        <w:rPr>
          <w:rFonts w:ascii="Times New Roman" w:eastAsia="Malgun Gothic" w:hAnsi="Times New Roman"/>
          <w:bCs/>
          <w:sz w:val="24"/>
          <w:szCs w:val="24"/>
        </w:rPr>
        <w:t>2013</w:t>
      </w:r>
      <w:r w:rsidR="002A0496" w:rsidRPr="007668DF">
        <w:rPr>
          <w:rFonts w:ascii="Times New Roman" w:eastAsia="Malgun Gothic" w:hAnsi="Times New Roman"/>
          <w:bCs/>
          <w:sz w:val="24"/>
          <w:szCs w:val="24"/>
        </w:rPr>
        <w:t>,</w:t>
      </w:r>
      <w:r w:rsidR="0024142C" w:rsidRPr="007668DF">
        <w:rPr>
          <w:rFonts w:ascii="Times New Roman" w:eastAsia="Malgun Gothic" w:hAnsi="Times New Roman"/>
          <w:bCs/>
          <w:sz w:val="24"/>
          <w:szCs w:val="24"/>
        </w:rPr>
        <w:t xml:space="preserve"> aboutissant au dessaisissement des juridictions des zones occupées au Nord du pays au profit du Tribunal de première instance de la Commune III du District de Bamako pour connaitre des infractions c</w:t>
      </w:r>
      <w:r w:rsidR="00022F0B" w:rsidRPr="007668DF">
        <w:rPr>
          <w:rFonts w:ascii="Times New Roman" w:eastAsia="Malgun Gothic" w:hAnsi="Times New Roman"/>
          <w:bCs/>
          <w:sz w:val="24"/>
          <w:szCs w:val="24"/>
        </w:rPr>
        <w:t>ommises dans les zones occupées</w:t>
      </w:r>
      <w:r w:rsidR="0024142C" w:rsidRPr="007668DF">
        <w:rPr>
          <w:rFonts w:ascii="Times New Roman" w:eastAsia="Malgun Gothic" w:hAnsi="Times New Roman"/>
          <w:bCs/>
          <w:sz w:val="24"/>
          <w:szCs w:val="24"/>
        </w:rPr>
        <w:t xml:space="preserve">; et </w:t>
      </w:r>
      <w:r w:rsidR="002A0496" w:rsidRPr="007668DF">
        <w:rPr>
          <w:rFonts w:ascii="Times New Roman" w:eastAsia="Malgun Gothic" w:hAnsi="Times New Roman"/>
          <w:bCs/>
          <w:sz w:val="24"/>
          <w:szCs w:val="24"/>
        </w:rPr>
        <w:t xml:space="preserve">du </w:t>
      </w:r>
      <w:r w:rsidR="0024142C" w:rsidRPr="007668DF">
        <w:rPr>
          <w:rFonts w:ascii="Times New Roman" w:eastAsia="Malgun Gothic" w:hAnsi="Times New Roman"/>
          <w:bCs/>
          <w:sz w:val="24"/>
          <w:szCs w:val="24"/>
        </w:rPr>
        <w:t xml:space="preserve">décret du 6 mars 2013 </w:t>
      </w:r>
      <w:r w:rsidR="002A0496" w:rsidRPr="007668DF">
        <w:rPr>
          <w:rFonts w:ascii="Times New Roman" w:eastAsia="Malgun Gothic" w:hAnsi="Times New Roman"/>
          <w:bCs/>
          <w:sz w:val="24"/>
          <w:szCs w:val="24"/>
        </w:rPr>
        <w:t xml:space="preserve">créant </w:t>
      </w:r>
      <w:r w:rsidR="0024142C" w:rsidRPr="007668DF">
        <w:rPr>
          <w:rFonts w:ascii="Times New Roman" w:eastAsia="Malgun Gothic" w:hAnsi="Times New Roman"/>
          <w:bCs/>
          <w:sz w:val="24"/>
          <w:szCs w:val="24"/>
        </w:rPr>
        <w:t xml:space="preserve">une </w:t>
      </w:r>
      <w:r w:rsidR="00B52C94">
        <w:rPr>
          <w:rFonts w:ascii="Times New Roman" w:eastAsia="Malgun Gothic" w:hAnsi="Times New Roman"/>
          <w:bCs/>
          <w:sz w:val="24"/>
          <w:szCs w:val="24"/>
        </w:rPr>
        <w:t>C</w:t>
      </w:r>
      <w:r w:rsidR="0024142C" w:rsidRPr="007668DF">
        <w:rPr>
          <w:rFonts w:ascii="Times New Roman" w:eastAsia="Malgun Gothic" w:hAnsi="Times New Roman"/>
          <w:bCs/>
          <w:sz w:val="24"/>
          <w:szCs w:val="24"/>
        </w:rPr>
        <w:t>ommission dialogue et réconciliation</w:t>
      </w:r>
      <w:r w:rsidR="001D4584" w:rsidRPr="007668DF">
        <w:rPr>
          <w:rFonts w:ascii="Times New Roman" w:eastAsia="Malgun Gothic" w:hAnsi="Times New Roman"/>
          <w:bCs/>
          <w:sz w:val="24"/>
          <w:szCs w:val="24"/>
        </w:rPr>
        <w:t xml:space="preserve"> (CDR)</w:t>
      </w:r>
      <w:r w:rsidR="0024142C" w:rsidRPr="007668DF">
        <w:rPr>
          <w:rFonts w:ascii="Times New Roman" w:eastAsia="Malgun Gothic" w:hAnsi="Times New Roman"/>
          <w:bCs/>
          <w:sz w:val="24"/>
          <w:szCs w:val="24"/>
        </w:rPr>
        <w:t>.</w:t>
      </w:r>
    </w:p>
    <w:p w:rsidR="0024142C" w:rsidRPr="007668DF" w:rsidRDefault="0024142C" w:rsidP="006C2FA0">
      <w:pPr>
        <w:tabs>
          <w:tab w:val="left" w:pos="567"/>
          <w:tab w:val="left" w:pos="709"/>
          <w:tab w:val="left" w:pos="851"/>
        </w:tabs>
        <w:spacing w:after="0"/>
        <w:jc w:val="both"/>
        <w:rPr>
          <w:rFonts w:ascii="Times New Roman" w:eastAsia="Malgun Gothic" w:hAnsi="Times New Roman"/>
          <w:bCs/>
          <w:sz w:val="24"/>
          <w:szCs w:val="24"/>
        </w:rPr>
      </w:pPr>
    </w:p>
    <w:p w:rsidR="0024142C" w:rsidRPr="007668DF" w:rsidRDefault="00A21002" w:rsidP="006C2FA0">
      <w:pPr>
        <w:tabs>
          <w:tab w:val="left" w:pos="567"/>
          <w:tab w:val="left" w:pos="709"/>
          <w:tab w:val="left" w:pos="851"/>
        </w:tabs>
        <w:spacing w:after="0"/>
        <w:jc w:val="both"/>
        <w:rPr>
          <w:rFonts w:ascii="Times New Roman" w:eastAsia="Malgun Gothic" w:hAnsi="Times New Roman"/>
          <w:bCs/>
          <w:sz w:val="24"/>
          <w:szCs w:val="24"/>
        </w:rPr>
      </w:pPr>
      <w:r>
        <w:rPr>
          <w:rFonts w:ascii="Times New Roman" w:eastAsia="Malgun Gothic" w:hAnsi="Times New Roman"/>
          <w:bCs/>
          <w:sz w:val="24"/>
          <w:szCs w:val="24"/>
        </w:rPr>
        <w:t>98</w:t>
      </w:r>
      <w:r w:rsidR="0024142C" w:rsidRPr="007668DF">
        <w:rPr>
          <w:rFonts w:ascii="Times New Roman" w:eastAsia="Malgun Gothic" w:hAnsi="Times New Roman"/>
          <w:bCs/>
          <w:sz w:val="24"/>
          <w:szCs w:val="24"/>
        </w:rPr>
        <w:t>.</w:t>
      </w:r>
      <w:r w:rsidR="0024142C" w:rsidRPr="007668DF">
        <w:rPr>
          <w:rFonts w:ascii="Times New Roman" w:eastAsia="Malgun Gothic" w:hAnsi="Times New Roman"/>
          <w:bCs/>
          <w:sz w:val="24"/>
          <w:szCs w:val="24"/>
        </w:rPr>
        <w:tab/>
      </w:r>
      <w:r w:rsidR="00EB5B13">
        <w:rPr>
          <w:rFonts w:ascii="Times New Roman" w:eastAsia="Malgun Gothic" w:hAnsi="Times New Roman"/>
          <w:bCs/>
          <w:sz w:val="24"/>
          <w:szCs w:val="24"/>
        </w:rPr>
        <w:t>L</w:t>
      </w:r>
      <w:r w:rsidR="0024142C" w:rsidRPr="007668DF">
        <w:rPr>
          <w:rFonts w:ascii="Times New Roman" w:eastAsia="Malgun Gothic" w:hAnsi="Times New Roman"/>
          <w:bCs/>
          <w:sz w:val="24"/>
          <w:szCs w:val="24"/>
        </w:rPr>
        <w:t xml:space="preserve">e gouvernement issu de l’élection présidentielle </w:t>
      </w:r>
      <w:r w:rsidR="00775DD0" w:rsidRPr="007668DF">
        <w:rPr>
          <w:rFonts w:ascii="Times New Roman" w:eastAsia="Malgun Gothic" w:hAnsi="Times New Roman"/>
          <w:bCs/>
          <w:sz w:val="24"/>
          <w:szCs w:val="24"/>
        </w:rPr>
        <w:t>d</w:t>
      </w:r>
      <w:r w:rsidR="00E624A7">
        <w:rPr>
          <w:rFonts w:ascii="Times New Roman" w:eastAsia="Malgun Gothic" w:hAnsi="Times New Roman"/>
          <w:bCs/>
          <w:sz w:val="24"/>
          <w:szCs w:val="24"/>
        </w:rPr>
        <w:t>’</w:t>
      </w:r>
      <w:r w:rsidR="00B3569D">
        <w:rPr>
          <w:rFonts w:ascii="Times New Roman" w:eastAsia="Malgun Gothic" w:hAnsi="Times New Roman"/>
          <w:bCs/>
          <w:sz w:val="24"/>
          <w:szCs w:val="24"/>
        </w:rPr>
        <w:t xml:space="preserve">août </w:t>
      </w:r>
      <w:r w:rsidR="0024142C" w:rsidRPr="007668DF">
        <w:rPr>
          <w:rFonts w:ascii="Times New Roman" w:eastAsia="Malgun Gothic" w:hAnsi="Times New Roman"/>
          <w:bCs/>
          <w:sz w:val="24"/>
          <w:szCs w:val="24"/>
        </w:rPr>
        <w:t>2013 s’est engagé à corriger les erreurs commises lors de la création de la CDR</w:t>
      </w:r>
      <w:r w:rsidR="001D4584" w:rsidRPr="007668DF">
        <w:rPr>
          <w:rFonts w:ascii="Times New Roman" w:eastAsia="Malgun Gothic" w:hAnsi="Times New Roman"/>
          <w:bCs/>
          <w:sz w:val="24"/>
          <w:szCs w:val="24"/>
        </w:rPr>
        <w:t xml:space="preserve"> </w:t>
      </w:r>
      <w:r w:rsidR="0024142C" w:rsidRPr="007668DF">
        <w:rPr>
          <w:rFonts w:ascii="Times New Roman" w:eastAsia="Malgun Gothic" w:hAnsi="Times New Roman"/>
          <w:bCs/>
          <w:sz w:val="24"/>
          <w:szCs w:val="24"/>
        </w:rPr>
        <w:t xml:space="preserve">en </w:t>
      </w:r>
      <w:r w:rsidR="001D4584" w:rsidRPr="007668DF">
        <w:rPr>
          <w:rFonts w:ascii="Times New Roman" w:eastAsia="Malgun Gothic" w:hAnsi="Times New Roman"/>
          <w:bCs/>
          <w:sz w:val="24"/>
          <w:szCs w:val="24"/>
        </w:rPr>
        <w:t xml:space="preserve">redynamisant </w:t>
      </w:r>
      <w:r w:rsidR="0024142C" w:rsidRPr="007668DF">
        <w:rPr>
          <w:rFonts w:ascii="Times New Roman" w:eastAsia="Malgun Gothic" w:hAnsi="Times New Roman"/>
          <w:bCs/>
          <w:sz w:val="24"/>
          <w:szCs w:val="24"/>
        </w:rPr>
        <w:t xml:space="preserve">le processus de justice transitionnelle au Mali. </w:t>
      </w:r>
      <w:r w:rsidR="001D4584" w:rsidRPr="007668DF">
        <w:rPr>
          <w:rFonts w:ascii="Times New Roman" w:eastAsia="Malgun Gothic" w:hAnsi="Times New Roman"/>
          <w:bCs/>
          <w:sz w:val="24"/>
          <w:szCs w:val="24"/>
        </w:rPr>
        <w:t>L</w:t>
      </w:r>
      <w:r w:rsidR="0024142C" w:rsidRPr="007668DF">
        <w:rPr>
          <w:rFonts w:ascii="Times New Roman" w:eastAsia="Malgun Gothic" w:hAnsi="Times New Roman"/>
          <w:bCs/>
          <w:sz w:val="24"/>
          <w:szCs w:val="24"/>
        </w:rPr>
        <w:t xml:space="preserve">e mandat de cette commission et </w:t>
      </w:r>
      <w:r w:rsidR="00C30909" w:rsidRPr="007668DF">
        <w:rPr>
          <w:rFonts w:ascii="Times New Roman" w:eastAsia="Malgun Gothic" w:hAnsi="Times New Roman"/>
          <w:bCs/>
          <w:sz w:val="24"/>
          <w:szCs w:val="24"/>
        </w:rPr>
        <w:t>le</w:t>
      </w:r>
      <w:r w:rsidR="0024142C" w:rsidRPr="007668DF">
        <w:rPr>
          <w:rFonts w:ascii="Times New Roman" w:eastAsia="Malgun Gothic" w:hAnsi="Times New Roman"/>
          <w:bCs/>
          <w:sz w:val="24"/>
          <w:szCs w:val="24"/>
        </w:rPr>
        <w:t xml:space="preserve"> nombre important de </w:t>
      </w:r>
      <w:r w:rsidR="00C30909" w:rsidRPr="007668DF">
        <w:rPr>
          <w:rFonts w:ascii="Times New Roman" w:eastAsia="Malgun Gothic" w:hAnsi="Times New Roman"/>
          <w:bCs/>
          <w:sz w:val="24"/>
          <w:szCs w:val="24"/>
        </w:rPr>
        <w:t xml:space="preserve">ses </w:t>
      </w:r>
      <w:r w:rsidR="0024142C" w:rsidRPr="007668DF">
        <w:rPr>
          <w:rFonts w:ascii="Times New Roman" w:eastAsia="Malgun Gothic" w:hAnsi="Times New Roman"/>
          <w:bCs/>
          <w:sz w:val="24"/>
          <w:szCs w:val="24"/>
        </w:rPr>
        <w:t xml:space="preserve">commissaires </w:t>
      </w:r>
      <w:r w:rsidR="001D4584" w:rsidRPr="007668DF">
        <w:rPr>
          <w:rFonts w:ascii="Times New Roman" w:eastAsia="Malgun Gothic" w:hAnsi="Times New Roman"/>
          <w:bCs/>
          <w:sz w:val="24"/>
          <w:szCs w:val="24"/>
        </w:rPr>
        <w:t xml:space="preserve">ayant </w:t>
      </w:r>
      <w:r w:rsidR="0024142C" w:rsidRPr="007668DF">
        <w:rPr>
          <w:rFonts w:ascii="Times New Roman" w:eastAsia="Malgun Gothic" w:hAnsi="Times New Roman"/>
          <w:bCs/>
          <w:sz w:val="24"/>
          <w:szCs w:val="24"/>
        </w:rPr>
        <w:t>été très critiqués dans les médias</w:t>
      </w:r>
      <w:r w:rsidR="001D4584" w:rsidRPr="007668DF">
        <w:rPr>
          <w:rFonts w:ascii="Times New Roman" w:eastAsia="Malgun Gothic" w:hAnsi="Times New Roman"/>
          <w:bCs/>
          <w:sz w:val="24"/>
          <w:szCs w:val="24"/>
        </w:rPr>
        <w:t>,</w:t>
      </w:r>
      <w:r w:rsidR="0024142C" w:rsidRPr="007668DF">
        <w:rPr>
          <w:rFonts w:ascii="Times New Roman" w:eastAsia="Malgun Gothic" w:hAnsi="Times New Roman"/>
          <w:bCs/>
          <w:sz w:val="24"/>
          <w:szCs w:val="24"/>
        </w:rPr>
        <w:t xml:space="preserve"> le gouvernement a décidé</w:t>
      </w:r>
      <w:r w:rsidR="00775DD0" w:rsidRPr="007668DF">
        <w:rPr>
          <w:rFonts w:ascii="Times New Roman" w:eastAsia="Malgun Gothic" w:hAnsi="Times New Roman"/>
          <w:bCs/>
          <w:sz w:val="24"/>
          <w:szCs w:val="24"/>
        </w:rPr>
        <w:t xml:space="preserve"> </w:t>
      </w:r>
      <w:r w:rsidR="0024142C" w:rsidRPr="007668DF">
        <w:rPr>
          <w:rFonts w:ascii="Times New Roman" w:eastAsia="Malgun Gothic" w:hAnsi="Times New Roman"/>
          <w:bCs/>
          <w:sz w:val="24"/>
          <w:szCs w:val="24"/>
        </w:rPr>
        <w:t>de créer</w:t>
      </w:r>
      <w:r w:rsidR="00775DD0" w:rsidRPr="007668DF">
        <w:rPr>
          <w:rFonts w:ascii="Times New Roman" w:eastAsia="Malgun Gothic" w:hAnsi="Times New Roman"/>
          <w:bCs/>
          <w:sz w:val="24"/>
          <w:szCs w:val="24"/>
        </w:rPr>
        <w:t>, en janvier 2014,</w:t>
      </w:r>
      <w:r w:rsidR="0024142C" w:rsidRPr="007668DF">
        <w:rPr>
          <w:rFonts w:ascii="Times New Roman" w:eastAsia="Malgun Gothic" w:hAnsi="Times New Roman"/>
          <w:bCs/>
          <w:sz w:val="24"/>
          <w:szCs w:val="24"/>
        </w:rPr>
        <w:t xml:space="preserve"> la Commission </w:t>
      </w:r>
      <w:r w:rsidR="00712200" w:rsidRPr="007668DF">
        <w:rPr>
          <w:rFonts w:ascii="Times New Roman" w:eastAsia="Malgun Gothic" w:hAnsi="Times New Roman"/>
          <w:bCs/>
          <w:sz w:val="24"/>
          <w:szCs w:val="24"/>
        </w:rPr>
        <w:t>v</w:t>
      </w:r>
      <w:r w:rsidR="0024142C" w:rsidRPr="007668DF">
        <w:rPr>
          <w:rFonts w:ascii="Times New Roman" w:eastAsia="Malgun Gothic" w:hAnsi="Times New Roman"/>
          <w:bCs/>
          <w:sz w:val="24"/>
          <w:szCs w:val="24"/>
        </w:rPr>
        <w:t xml:space="preserve">érité, </w:t>
      </w:r>
      <w:r w:rsidR="00712200" w:rsidRPr="007668DF">
        <w:rPr>
          <w:rFonts w:ascii="Times New Roman" w:eastAsia="Malgun Gothic" w:hAnsi="Times New Roman"/>
          <w:bCs/>
          <w:sz w:val="24"/>
          <w:szCs w:val="24"/>
        </w:rPr>
        <w:t>j</w:t>
      </w:r>
      <w:r w:rsidR="0024142C" w:rsidRPr="007668DF">
        <w:rPr>
          <w:rFonts w:ascii="Times New Roman" w:eastAsia="Malgun Gothic" w:hAnsi="Times New Roman"/>
          <w:bCs/>
          <w:sz w:val="24"/>
          <w:szCs w:val="24"/>
        </w:rPr>
        <w:t xml:space="preserve">ustice et </w:t>
      </w:r>
      <w:r w:rsidR="00712200" w:rsidRPr="007668DF">
        <w:rPr>
          <w:rFonts w:ascii="Times New Roman" w:eastAsia="Malgun Gothic" w:hAnsi="Times New Roman"/>
          <w:bCs/>
          <w:sz w:val="24"/>
          <w:szCs w:val="24"/>
        </w:rPr>
        <w:t>r</w:t>
      </w:r>
      <w:r w:rsidR="0024142C" w:rsidRPr="007668DF">
        <w:rPr>
          <w:rFonts w:ascii="Times New Roman" w:eastAsia="Malgun Gothic" w:hAnsi="Times New Roman"/>
          <w:bCs/>
          <w:sz w:val="24"/>
          <w:szCs w:val="24"/>
        </w:rPr>
        <w:t>éconciliation (CVJR).</w:t>
      </w:r>
    </w:p>
    <w:p w:rsidR="0024142C" w:rsidRDefault="0024142C" w:rsidP="006C2FA0">
      <w:pPr>
        <w:tabs>
          <w:tab w:val="left" w:pos="567"/>
          <w:tab w:val="left" w:pos="709"/>
          <w:tab w:val="left" w:pos="851"/>
        </w:tabs>
        <w:spacing w:after="0"/>
        <w:jc w:val="both"/>
        <w:rPr>
          <w:rFonts w:ascii="Times New Roman" w:eastAsia="Malgun Gothic" w:hAnsi="Times New Roman"/>
          <w:bCs/>
          <w:sz w:val="24"/>
          <w:szCs w:val="24"/>
        </w:rPr>
      </w:pPr>
    </w:p>
    <w:p w:rsidR="006948B4" w:rsidRPr="007668DF" w:rsidRDefault="006948B4" w:rsidP="006C2FA0">
      <w:pPr>
        <w:tabs>
          <w:tab w:val="left" w:pos="567"/>
          <w:tab w:val="left" w:pos="709"/>
          <w:tab w:val="left" w:pos="851"/>
        </w:tabs>
        <w:spacing w:after="0"/>
        <w:jc w:val="both"/>
        <w:rPr>
          <w:rFonts w:ascii="Times New Roman" w:eastAsia="Malgun Gothic" w:hAnsi="Times New Roman"/>
          <w:bCs/>
          <w:sz w:val="24"/>
          <w:szCs w:val="24"/>
        </w:rPr>
      </w:pPr>
    </w:p>
    <w:p w:rsidR="0024142C" w:rsidRPr="007668DF" w:rsidRDefault="00CC127D" w:rsidP="003B152B">
      <w:pPr>
        <w:pStyle w:val="Subtitle"/>
        <w:rPr>
          <w:rFonts w:eastAsia="Malgun Gothic"/>
        </w:rPr>
      </w:pPr>
      <w:bookmarkStart w:id="24" w:name="_Toc401931503"/>
      <w:r w:rsidRPr="007668DF">
        <w:rPr>
          <w:rFonts w:eastAsia="Malgun Gothic"/>
        </w:rPr>
        <w:t xml:space="preserve">La Commission </w:t>
      </w:r>
      <w:r w:rsidR="00712200" w:rsidRPr="007668DF">
        <w:rPr>
          <w:rFonts w:eastAsia="Malgun Gothic"/>
        </w:rPr>
        <w:t>v</w:t>
      </w:r>
      <w:r w:rsidRPr="007668DF">
        <w:rPr>
          <w:rFonts w:eastAsia="Malgun Gothic"/>
        </w:rPr>
        <w:t>érité</w:t>
      </w:r>
      <w:r w:rsidR="00C30909" w:rsidRPr="007668DF">
        <w:rPr>
          <w:rFonts w:eastAsia="Malgun Gothic"/>
        </w:rPr>
        <w:t>,</w:t>
      </w:r>
      <w:r w:rsidRPr="007668DF">
        <w:rPr>
          <w:rFonts w:eastAsia="Malgun Gothic"/>
        </w:rPr>
        <w:t xml:space="preserve"> </w:t>
      </w:r>
      <w:r w:rsidR="00712200" w:rsidRPr="007668DF">
        <w:rPr>
          <w:rFonts w:eastAsia="Malgun Gothic"/>
        </w:rPr>
        <w:t>j</w:t>
      </w:r>
      <w:r w:rsidRPr="007668DF">
        <w:rPr>
          <w:rFonts w:eastAsia="Malgun Gothic"/>
        </w:rPr>
        <w:t xml:space="preserve">ustice et </w:t>
      </w:r>
      <w:r w:rsidR="00712200" w:rsidRPr="007668DF">
        <w:rPr>
          <w:rFonts w:eastAsia="Malgun Gothic"/>
        </w:rPr>
        <w:t>r</w:t>
      </w:r>
      <w:r w:rsidRPr="007668DF">
        <w:rPr>
          <w:rFonts w:eastAsia="Malgun Gothic"/>
        </w:rPr>
        <w:t>éconciliation</w:t>
      </w:r>
      <w:bookmarkEnd w:id="24"/>
    </w:p>
    <w:p w:rsidR="0024142C" w:rsidRPr="007668DF" w:rsidRDefault="00A21002" w:rsidP="006C2FA0">
      <w:pPr>
        <w:tabs>
          <w:tab w:val="left" w:pos="567"/>
          <w:tab w:val="left" w:pos="709"/>
          <w:tab w:val="left" w:pos="851"/>
        </w:tabs>
        <w:spacing w:after="0"/>
        <w:jc w:val="both"/>
        <w:rPr>
          <w:rFonts w:ascii="Times New Roman" w:eastAsia="Malgun Gothic" w:hAnsi="Times New Roman"/>
          <w:bCs/>
          <w:sz w:val="24"/>
          <w:szCs w:val="24"/>
        </w:rPr>
      </w:pPr>
      <w:r>
        <w:rPr>
          <w:rFonts w:ascii="Times New Roman" w:eastAsia="Malgun Gothic" w:hAnsi="Times New Roman"/>
          <w:bCs/>
          <w:sz w:val="24"/>
          <w:szCs w:val="24"/>
        </w:rPr>
        <w:t>99</w:t>
      </w:r>
      <w:r w:rsidR="0024142C" w:rsidRPr="007668DF">
        <w:rPr>
          <w:rFonts w:ascii="Times New Roman" w:eastAsia="Malgun Gothic" w:hAnsi="Times New Roman"/>
          <w:bCs/>
          <w:sz w:val="24"/>
          <w:szCs w:val="24"/>
        </w:rPr>
        <w:t>.</w:t>
      </w:r>
      <w:r w:rsidR="0024142C" w:rsidRPr="007668DF">
        <w:rPr>
          <w:rFonts w:ascii="Times New Roman" w:eastAsia="Malgun Gothic" w:hAnsi="Times New Roman"/>
          <w:bCs/>
          <w:sz w:val="24"/>
          <w:szCs w:val="24"/>
        </w:rPr>
        <w:tab/>
      </w:r>
      <w:r w:rsidR="002979AA" w:rsidRPr="007668DF">
        <w:rPr>
          <w:rFonts w:ascii="Times New Roman" w:eastAsia="Malgun Gothic" w:hAnsi="Times New Roman"/>
          <w:bCs/>
          <w:sz w:val="24"/>
          <w:szCs w:val="24"/>
        </w:rPr>
        <w:t xml:space="preserve"> </w:t>
      </w:r>
      <w:r w:rsidR="0024142C" w:rsidRPr="007668DF">
        <w:rPr>
          <w:rFonts w:ascii="Times New Roman" w:eastAsia="Malgun Gothic" w:hAnsi="Times New Roman"/>
          <w:bCs/>
          <w:sz w:val="24"/>
          <w:szCs w:val="24"/>
        </w:rPr>
        <w:t xml:space="preserve">Le 15 janvier 2014, le Conseil des ministres </w:t>
      </w:r>
      <w:r w:rsidR="00EB5B13">
        <w:rPr>
          <w:rFonts w:ascii="Times New Roman" w:eastAsia="Malgun Gothic" w:hAnsi="Times New Roman"/>
          <w:bCs/>
          <w:sz w:val="24"/>
          <w:szCs w:val="24"/>
        </w:rPr>
        <w:t>a adopté</w:t>
      </w:r>
      <w:r w:rsidR="00EB5B13" w:rsidRPr="007668DF">
        <w:rPr>
          <w:rFonts w:ascii="Times New Roman" w:eastAsia="Malgun Gothic" w:hAnsi="Times New Roman"/>
          <w:bCs/>
          <w:sz w:val="24"/>
          <w:szCs w:val="24"/>
        </w:rPr>
        <w:t xml:space="preserve"> </w:t>
      </w:r>
      <w:r w:rsidR="0024142C" w:rsidRPr="007668DF">
        <w:rPr>
          <w:rFonts w:ascii="Times New Roman" w:eastAsia="Malgun Gothic" w:hAnsi="Times New Roman"/>
          <w:bCs/>
          <w:sz w:val="24"/>
          <w:szCs w:val="24"/>
        </w:rPr>
        <w:t xml:space="preserve">une ordonnance portant création de la CVJR et un décret fixant l’organisation et les modalités de son fonctionnement. Le 20 mars 2014, l’Assemblée </w:t>
      </w:r>
      <w:r w:rsidR="00E624A7">
        <w:rPr>
          <w:rFonts w:ascii="Times New Roman" w:eastAsia="Malgun Gothic" w:hAnsi="Times New Roman"/>
          <w:bCs/>
          <w:sz w:val="24"/>
          <w:szCs w:val="24"/>
        </w:rPr>
        <w:t>N</w:t>
      </w:r>
      <w:r w:rsidR="0024142C" w:rsidRPr="007668DF">
        <w:rPr>
          <w:rFonts w:ascii="Times New Roman" w:eastAsia="Malgun Gothic" w:hAnsi="Times New Roman"/>
          <w:bCs/>
          <w:sz w:val="24"/>
          <w:szCs w:val="24"/>
        </w:rPr>
        <w:t xml:space="preserve">ationale </w:t>
      </w:r>
      <w:r w:rsidR="00EB5B13">
        <w:rPr>
          <w:rFonts w:ascii="Times New Roman" w:eastAsia="Malgun Gothic" w:hAnsi="Times New Roman"/>
          <w:bCs/>
          <w:sz w:val="24"/>
          <w:szCs w:val="24"/>
        </w:rPr>
        <w:t>a adopté</w:t>
      </w:r>
      <w:r w:rsidR="0024142C" w:rsidRPr="007668DF">
        <w:rPr>
          <w:rFonts w:ascii="Times New Roman" w:eastAsia="Malgun Gothic" w:hAnsi="Times New Roman"/>
          <w:bCs/>
          <w:sz w:val="24"/>
          <w:szCs w:val="24"/>
        </w:rPr>
        <w:t xml:space="preserve"> le projet de loi de ratification de l’ordonnance</w:t>
      </w:r>
      <w:r w:rsidR="00C30909" w:rsidRPr="007668DF">
        <w:rPr>
          <w:rFonts w:ascii="Times New Roman" w:eastAsia="Malgun Gothic" w:hAnsi="Times New Roman"/>
          <w:bCs/>
          <w:sz w:val="24"/>
          <w:szCs w:val="24"/>
        </w:rPr>
        <w:t>,</w:t>
      </w:r>
      <w:r w:rsidR="0024142C" w:rsidRPr="007668DF">
        <w:rPr>
          <w:rFonts w:ascii="Times New Roman" w:eastAsia="Malgun Gothic" w:hAnsi="Times New Roman"/>
          <w:bCs/>
          <w:sz w:val="24"/>
          <w:szCs w:val="24"/>
        </w:rPr>
        <w:t xml:space="preserve"> sans apporter de modification sur le fond du texte. Un décret d’application est attendu pour remplacer l’actuel décret du 15 janvier 2014</w:t>
      </w:r>
      <w:r w:rsidR="001A07F4" w:rsidRPr="007668DF">
        <w:rPr>
          <w:rFonts w:ascii="Times New Roman" w:eastAsia="Malgun Gothic" w:hAnsi="Times New Roman"/>
          <w:bCs/>
          <w:sz w:val="24"/>
          <w:szCs w:val="24"/>
        </w:rPr>
        <w:t xml:space="preserve"> ainsi que pour </w:t>
      </w:r>
      <w:r w:rsidR="00FA641B" w:rsidRPr="007668DF">
        <w:rPr>
          <w:rFonts w:ascii="Times New Roman" w:eastAsia="Malgun Gothic" w:hAnsi="Times New Roman"/>
          <w:bCs/>
          <w:sz w:val="24"/>
          <w:szCs w:val="24"/>
        </w:rPr>
        <w:t>nommer l</w:t>
      </w:r>
      <w:r w:rsidR="001A07F4" w:rsidRPr="007668DF">
        <w:rPr>
          <w:rFonts w:ascii="Times New Roman" w:eastAsia="Malgun Gothic" w:hAnsi="Times New Roman"/>
          <w:bCs/>
          <w:sz w:val="24"/>
          <w:szCs w:val="24"/>
        </w:rPr>
        <w:t xml:space="preserve">es membres de la CVJR. </w:t>
      </w:r>
    </w:p>
    <w:p w:rsidR="0024142C" w:rsidRPr="007668DF" w:rsidRDefault="0024142C" w:rsidP="006C2FA0">
      <w:pPr>
        <w:tabs>
          <w:tab w:val="left" w:pos="567"/>
          <w:tab w:val="left" w:pos="709"/>
          <w:tab w:val="left" w:pos="851"/>
        </w:tabs>
        <w:spacing w:after="0"/>
        <w:jc w:val="both"/>
        <w:rPr>
          <w:rFonts w:ascii="Times New Roman" w:eastAsia="Malgun Gothic" w:hAnsi="Times New Roman"/>
          <w:bCs/>
          <w:sz w:val="24"/>
          <w:szCs w:val="24"/>
        </w:rPr>
      </w:pPr>
    </w:p>
    <w:p w:rsidR="0024142C" w:rsidRPr="007668DF" w:rsidRDefault="00A21002" w:rsidP="006C2FA0">
      <w:pPr>
        <w:tabs>
          <w:tab w:val="left" w:pos="567"/>
          <w:tab w:val="left" w:pos="709"/>
          <w:tab w:val="left" w:pos="851"/>
        </w:tabs>
        <w:spacing w:after="0"/>
        <w:jc w:val="both"/>
        <w:rPr>
          <w:rFonts w:ascii="Times New Roman" w:eastAsia="Malgun Gothic" w:hAnsi="Times New Roman"/>
          <w:bCs/>
          <w:sz w:val="24"/>
          <w:szCs w:val="24"/>
        </w:rPr>
      </w:pPr>
      <w:r>
        <w:rPr>
          <w:rFonts w:ascii="Times New Roman" w:eastAsia="Malgun Gothic" w:hAnsi="Times New Roman"/>
          <w:bCs/>
          <w:sz w:val="24"/>
          <w:szCs w:val="24"/>
        </w:rPr>
        <w:t>100</w:t>
      </w:r>
      <w:r w:rsidR="0024142C" w:rsidRPr="007668DF">
        <w:rPr>
          <w:rFonts w:ascii="Times New Roman" w:eastAsia="Malgun Gothic" w:hAnsi="Times New Roman"/>
          <w:bCs/>
          <w:sz w:val="24"/>
          <w:szCs w:val="24"/>
        </w:rPr>
        <w:t>.</w:t>
      </w:r>
      <w:r w:rsidR="0024142C" w:rsidRPr="007668DF">
        <w:rPr>
          <w:rFonts w:ascii="Times New Roman" w:eastAsia="Malgun Gothic" w:hAnsi="Times New Roman"/>
          <w:bCs/>
          <w:sz w:val="24"/>
          <w:szCs w:val="24"/>
        </w:rPr>
        <w:tab/>
        <w:t>Contrairement à la défunte CDR</w:t>
      </w:r>
      <w:r w:rsidR="003B092A" w:rsidRPr="007668DF">
        <w:rPr>
          <w:rFonts w:ascii="Times New Roman" w:eastAsia="Malgun Gothic" w:hAnsi="Times New Roman"/>
          <w:bCs/>
          <w:sz w:val="24"/>
          <w:szCs w:val="24"/>
        </w:rPr>
        <w:t>,</w:t>
      </w:r>
      <w:r w:rsidR="00C30909" w:rsidRPr="007668DF">
        <w:rPr>
          <w:rFonts w:ascii="Times New Roman" w:eastAsia="Malgun Gothic" w:hAnsi="Times New Roman"/>
          <w:bCs/>
          <w:sz w:val="24"/>
          <w:szCs w:val="24"/>
        </w:rPr>
        <w:t xml:space="preserve"> qui</w:t>
      </w:r>
      <w:r w:rsidR="003B092A" w:rsidRPr="007668DF">
        <w:rPr>
          <w:rFonts w:ascii="Times New Roman" w:eastAsia="Malgun Gothic" w:hAnsi="Times New Roman"/>
          <w:bCs/>
          <w:sz w:val="24"/>
          <w:szCs w:val="24"/>
        </w:rPr>
        <w:t xml:space="preserve"> semblait plus orientée vers le dialogue politique, </w:t>
      </w:r>
      <w:r w:rsidR="0024142C" w:rsidRPr="007668DF">
        <w:rPr>
          <w:rFonts w:ascii="Times New Roman" w:eastAsia="Malgun Gothic" w:hAnsi="Times New Roman"/>
          <w:bCs/>
          <w:sz w:val="24"/>
          <w:szCs w:val="24"/>
        </w:rPr>
        <w:t>le mandat de la CVJR inclut les enquêtes et la recherche de la vérité sur les violations graves des droits de l’</w:t>
      </w:r>
      <w:r w:rsidR="005F564E" w:rsidRPr="007668DF">
        <w:rPr>
          <w:rFonts w:ascii="Times New Roman" w:eastAsia="Malgun Gothic" w:hAnsi="Times New Roman"/>
          <w:bCs/>
          <w:sz w:val="24"/>
          <w:szCs w:val="24"/>
        </w:rPr>
        <w:t>h</w:t>
      </w:r>
      <w:r w:rsidR="0024142C" w:rsidRPr="007668DF">
        <w:rPr>
          <w:rFonts w:ascii="Times New Roman" w:eastAsia="Malgun Gothic" w:hAnsi="Times New Roman"/>
          <w:bCs/>
          <w:sz w:val="24"/>
          <w:szCs w:val="24"/>
        </w:rPr>
        <w:t>omme</w:t>
      </w:r>
      <w:r w:rsidR="0034450D">
        <w:rPr>
          <w:rFonts w:ascii="Times New Roman" w:eastAsia="Malgun Gothic" w:hAnsi="Times New Roman"/>
          <w:bCs/>
          <w:sz w:val="24"/>
          <w:szCs w:val="24"/>
        </w:rPr>
        <w:t xml:space="preserve"> et du droit international humanitaire</w:t>
      </w:r>
      <w:r w:rsidR="0024142C" w:rsidRPr="007668DF">
        <w:rPr>
          <w:rFonts w:ascii="Times New Roman" w:eastAsia="Malgun Gothic" w:hAnsi="Times New Roman"/>
          <w:bCs/>
          <w:sz w:val="24"/>
          <w:szCs w:val="24"/>
        </w:rPr>
        <w:t xml:space="preserve"> et atteintes aux biens culturels</w:t>
      </w:r>
      <w:r w:rsidR="00C30909" w:rsidRPr="007668DF">
        <w:rPr>
          <w:rFonts w:ascii="Times New Roman" w:eastAsia="Malgun Gothic" w:hAnsi="Times New Roman"/>
          <w:bCs/>
          <w:sz w:val="24"/>
          <w:szCs w:val="24"/>
        </w:rPr>
        <w:t xml:space="preserve"> commises </w:t>
      </w:r>
      <w:r w:rsidR="00775DD0" w:rsidRPr="007668DF">
        <w:rPr>
          <w:rFonts w:ascii="Times New Roman" w:eastAsia="Malgun Gothic" w:hAnsi="Times New Roman"/>
          <w:bCs/>
          <w:sz w:val="24"/>
          <w:szCs w:val="24"/>
        </w:rPr>
        <w:t>sur toute l’étendue du territoire</w:t>
      </w:r>
      <w:r w:rsidR="00000F57" w:rsidRPr="007668DF">
        <w:rPr>
          <w:rFonts w:ascii="Times New Roman" w:eastAsia="Malgun Gothic" w:hAnsi="Times New Roman"/>
          <w:bCs/>
          <w:sz w:val="24"/>
          <w:szCs w:val="24"/>
        </w:rPr>
        <w:t xml:space="preserve"> du Mali</w:t>
      </w:r>
      <w:r w:rsidR="00775DD0" w:rsidRPr="007668DF">
        <w:rPr>
          <w:rFonts w:ascii="Times New Roman" w:eastAsia="Malgun Gothic" w:hAnsi="Times New Roman"/>
          <w:bCs/>
          <w:sz w:val="24"/>
          <w:szCs w:val="24"/>
        </w:rPr>
        <w:t xml:space="preserve"> depuis l’indépendance </w:t>
      </w:r>
      <w:r w:rsidR="00775DD0" w:rsidRPr="007668DF">
        <w:rPr>
          <w:rFonts w:ascii="Times New Roman" w:eastAsia="Malgun Gothic" w:hAnsi="Times New Roman"/>
          <w:bCs/>
          <w:sz w:val="24"/>
          <w:szCs w:val="24"/>
        </w:rPr>
        <w:lastRenderedPageBreak/>
        <w:t>en 1960</w:t>
      </w:r>
      <w:r w:rsidR="00000F57" w:rsidRPr="007668DF">
        <w:rPr>
          <w:rFonts w:ascii="Times New Roman" w:eastAsia="Malgun Gothic" w:hAnsi="Times New Roman"/>
          <w:bCs/>
          <w:sz w:val="24"/>
          <w:szCs w:val="24"/>
        </w:rPr>
        <w:t xml:space="preserve"> et</w:t>
      </w:r>
      <w:r w:rsidR="00C30909" w:rsidRPr="007668DF">
        <w:rPr>
          <w:rFonts w:ascii="Times New Roman" w:eastAsia="Malgun Gothic" w:hAnsi="Times New Roman"/>
          <w:bCs/>
          <w:sz w:val="24"/>
          <w:szCs w:val="24"/>
        </w:rPr>
        <w:t xml:space="preserve"> pas seulement dans le cadre du conflit de janvier 2012, comme c’était le cas pour la CDR</w:t>
      </w:r>
      <w:r w:rsidR="0024142C" w:rsidRPr="007668DF">
        <w:rPr>
          <w:rFonts w:ascii="Times New Roman" w:eastAsia="Malgun Gothic" w:hAnsi="Times New Roman"/>
          <w:bCs/>
          <w:sz w:val="24"/>
          <w:szCs w:val="24"/>
        </w:rPr>
        <w:t>. Le nombre de commissaires est également réduit de 33</w:t>
      </w:r>
      <w:r w:rsidR="001D4584" w:rsidRPr="007668DF">
        <w:rPr>
          <w:rFonts w:ascii="Times New Roman" w:eastAsia="Malgun Gothic" w:hAnsi="Times New Roman"/>
          <w:bCs/>
          <w:sz w:val="24"/>
          <w:szCs w:val="24"/>
        </w:rPr>
        <w:t xml:space="preserve"> </w:t>
      </w:r>
      <w:r w:rsidR="0024142C" w:rsidRPr="007668DF">
        <w:rPr>
          <w:rFonts w:ascii="Times New Roman" w:eastAsia="Malgun Gothic" w:hAnsi="Times New Roman"/>
          <w:bCs/>
          <w:sz w:val="24"/>
          <w:szCs w:val="24"/>
        </w:rPr>
        <w:t>(</w:t>
      </w:r>
      <w:r w:rsidR="001D4584" w:rsidRPr="007668DF">
        <w:rPr>
          <w:rFonts w:ascii="Times New Roman" w:eastAsia="Malgun Gothic" w:hAnsi="Times New Roman"/>
          <w:bCs/>
          <w:sz w:val="24"/>
          <w:szCs w:val="24"/>
        </w:rPr>
        <w:t xml:space="preserve">pour la </w:t>
      </w:r>
      <w:r w:rsidR="0024142C" w:rsidRPr="007668DF">
        <w:rPr>
          <w:rFonts w:ascii="Times New Roman" w:eastAsia="Malgun Gothic" w:hAnsi="Times New Roman"/>
          <w:bCs/>
          <w:sz w:val="24"/>
          <w:szCs w:val="24"/>
        </w:rPr>
        <w:t>CDR) à 15</w:t>
      </w:r>
      <w:r w:rsidR="001D4584" w:rsidRPr="007668DF">
        <w:rPr>
          <w:rFonts w:ascii="Times New Roman" w:eastAsia="Malgun Gothic" w:hAnsi="Times New Roman"/>
          <w:bCs/>
          <w:sz w:val="24"/>
          <w:szCs w:val="24"/>
        </w:rPr>
        <w:t xml:space="preserve"> </w:t>
      </w:r>
      <w:r w:rsidR="0024142C" w:rsidRPr="007668DF">
        <w:rPr>
          <w:rFonts w:ascii="Times New Roman" w:eastAsia="Malgun Gothic" w:hAnsi="Times New Roman"/>
          <w:bCs/>
          <w:sz w:val="24"/>
          <w:szCs w:val="24"/>
        </w:rPr>
        <w:t>(</w:t>
      </w:r>
      <w:r w:rsidR="001D4584" w:rsidRPr="007668DF">
        <w:rPr>
          <w:rFonts w:ascii="Times New Roman" w:eastAsia="Malgun Gothic" w:hAnsi="Times New Roman"/>
          <w:bCs/>
          <w:sz w:val="24"/>
          <w:szCs w:val="24"/>
        </w:rPr>
        <w:t xml:space="preserve">pour la </w:t>
      </w:r>
      <w:r w:rsidR="0024142C" w:rsidRPr="007668DF">
        <w:rPr>
          <w:rFonts w:ascii="Times New Roman" w:eastAsia="Malgun Gothic" w:hAnsi="Times New Roman"/>
          <w:bCs/>
          <w:sz w:val="24"/>
          <w:szCs w:val="24"/>
        </w:rPr>
        <w:t xml:space="preserve">CVJR). Par ailleurs, la durée du mandat de la </w:t>
      </w:r>
      <w:r w:rsidR="00A11778" w:rsidRPr="007668DF">
        <w:rPr>
          <w:rFonts w:ascii="Times New Roman" w:eastAsia="Malgun Gothic" w:hAnsi="Times New Roman"/>
          <w:bCs/>
          <w:sz w:val="24"/>
          <w:szCs w:val="24"/>
        </w:rPr>
        <w:t xml:space="preserve">CVJR est de trois ans, conformément </w:t>
      </w:r>
      <w:r w:rsidR="00E624A7" w:rsidRPr="007668DF">
        <w:rPr>
          <w:rFonts w:ascii="Times New Roman" w:eastAsia="Malgun Gothic" w:hAnsi="Times New Roman"/>
          <w:bCs/>
          <w:sz w:val="24"/>
          <w:szCs w:val="24"/>
        </w:rPr>
        <w:t>à</w:t>
      </w:r>
      <w:r w:rsidR="00A11778" w:rsidRPr="007668DF">
        <w:rPr>
          <w:rFonts w:ascii="Times New Roman" w:eastAsia="Malgun Gothic" w:hAnsi="Times New Roman"/>
          <w:bCs/>
          <w:sz w:val="24"/>
          <w:szCs w:val="24"/>
        </w:rPr>
        <w:t xml:space="preserve"> l’article 1</w:t>
      </w:r>
      <w:r w:rsidR="00A11778" w:rsidRPr="007668DF">
        <w:rPr>
          <w:rFonts w:ascii="Times New Roman" w:eastAsia="Malgun Gothic" w:hAnsi="Times New Roman"/>
          <w:bCs/>
          <w:sz w:val="24"/>
          <w:szCs w:val="24"/>
          <w:vertAlign w:val="superscript"/>
        </w:rPr>
        <w:t>er</w:t>
      </w:r>
      <w:r w:rsidR="00A11778" w:rsidRPr="007668DF">
        <w:rPr>
          <w:rFonts w:ascii="Times New Roman" w:eastAsia="Malgun Gothic" w:hAnsi="Times New Roman"/>
          <w:bCs/>
          <w:sz w:val="24"/>
          <w:szCs w:val="24"/>
        </w:rPr>
        <w:t xml:space="preserve"> de l’Ordonnance n</w:t>
      </w:r>
      <w:r w:rsidR="00EB5B13">
        <w:rPr>
          <w:rFonts w:ascii="Times New Roman" w:eastAsia="Malgun Gothic" w:hAnsi="Times New Roman"/>
          <w:bCs/>
          <w:sz w:val="24"/>
          <w:szCs w:val="24"/>
        </w:rPr>
        <w:t>°</w:t>
      </w:r>
      <w:r w:rsidR="00A11778" w:rsidRPr="007668DF">
        <w:rPr>
          <w:rFonts w:ascii="Times New Roman" w:eastAsia="Malgun Gothic" w:hAnsi="Times New Roman"/>
          <w:bCs/>
          <w:sz w:val="24"/>
          <w:szCs w:val="24"/>
        </w:rPr>
        <w:t xml:space="preserve"> 2014-003 dont la possibilité de renouvellement de mandat n’est pas expressément mentionnée.</w:t>
      </w:r>
      <w:r w:rsidR="00D74543" w:rsidRPr="007668DF">
        <w:rPr>
          <w:rFonts w:ascii="Times New Roman" w:eastAsia="Malgun Gothic" w:hAnsi="Times New Roman"/>
          <w:bCs/>
          <w:sz w:val="24"/>
          <w:szCs w:val="24"/>
        </w:rPr>
        <w:t xml:space="preserve"> </w:t>
      </w:r>
      <w:r w:rsidR="0024142C" w:rsidRPr="007668DF">
        <w:rPr>
          <w:rFonts w:ascii="Times New Roman" w:eastAsia="Malgun Gothic" w:hAnsi="Times New Roman"/>
          <w:bCs/>
          <w:sz w:val="24"/>
          <w:szCs w:val="24"/>
        </w:rPr>
        <w:t xml:space="preserve">La CVJR n’est pas une juridiction mais un organe complémentaire au système judiciaire dans le cadre de la justice transitionnelle. La période couverte par les travaux de la CVJR </w:t>
      </w:r>
      <w:r w:rsidR="001D4584" w:rsidRPr="007668DF">
        <w:rPr>
          <w:rFonts w:ascii="Times New Roman" w:eastAsia="Malgun Gothic" w:hAnsi="Times New Roman"/>
          <w:bCs/>
          <w:sz w:val="24"/>
          <w:szCs w:val="24"/>
        </w:rPr>
        <w:t xml:space="preserve">s’étend </w:t>
      </w:r>
      <w:r w:rsidR="0024142C" w:rsidRPr="007668DF">
        <w:rPr>
          <w:rFonts w:ascii="Times New Roman" w:eastAsia="Malgun Gothic" w:hAnsi="Times New Roman"/>
          <w:bCs/>
          <w:sz w:val="24"/>
          <w:szCs w:val="24"/>
        </w:rPr>
        <w:t>désormais de 1960 à 2013.</w:t>
      </w:r>
    </w:p>
    <w:p w:rsidR="0024142C" w:rsidRPr="007668DF" w:rsidRDefault="0024142C" w:rsidP="006C2FA0">
      <w:pPr>
        <w:tabs>
          <w:tab w:val="left" w:pos="567"/>
          <w:tab w:val="left" w:pos="709"/>
          <w:tab w:val="left" w:pos="851"/>
        </w:tabs>
        <w:spacing w:after="0"/>
        <w:jc w:val="both"/>
        <w:rPr>
          <w:rFonts w:ascii="Times New Roman" w:eastAsia="Malgun Gothic" w:hAnsi="Times New Roman"/>
          <w:bCs/>
          <w:sz w:val="24"/>
          <w:szCs w:val="24"/>
        </w:rPr>
      </w:pPr>
    </w:p>
    <w:p w:rsidR="0024142C" w:rsidRPr="007668DF" w:rsidRDefault="00A21002" w:rsidP="006C2FA0">
      <w:pPr>
        <w:tabs>
          <w:tab w:val="left" w:pos="567"/>
          <w:tab w:val="left" w:pos="709"/>
          <w:tab w:val="left" w:pos="851"/>
        </w:tabs>
        <w:spacing w:after="0"/>
        <w:jc w:val="both"/>
        <w:rPr>
          <w:rFonts w:ascii="Times New Roman" w:eastAsia="Malgun Gothic" w:hAnsi="Times New Roman"/>
          <w:bCs/>
          <w:sz w:val="24"/>
          <w:szCs w:val="24"/>
        </w:rPr>
      </w:pPr>
      <w:r>
        <w:rPr>
          <w:rFonts w:ascii="Times New Roman" w:eastAsia="Malgun Gothic" w:hAnsi="Times New Roman"/>
          <w:bCs/>
          <w:sz w:val="24"/>
          <w:szCs w:val="24"/>
        </w:rPr>
        <w:t>101</w:t>
      </w:r>
      <w:r w:rsidR="0024142C" w:rsidRPr="007668DF">
        <w:rPr>
          <w:rFonts w:ascii="Times New Roman" w:eastAsia="Malgun Gothic" w:hAnsi="Times New Roman"/>
          <w:bCs/>
          <w:sz w:val="24"/>
          <w:szCs w:val="24"/>
        </w:rPr>
        <w:t>.</w:t>
      </w:r>
      <w:r w:rsidR="0024142C" w:rsidRPr="007668DF">
        <w:rPr>
          <w:rFonts w:ascii="Times New Roman" w:eastAsia="Malgun Gothic" w:hAnsi="Times New Roman"/>
          <w:bCs/>
          <w:sz w:val="24"/>
          <w:szCs w:val="24"/>
        </w:rPr>
        <w:tab/>
      </w:r>
      <w:r w:rsidR="00A11778" w:rsidRPr="007668DF">
        <w:rPr>
          <w:rFonts w:ascii="Times New Roman" w:eastAsia="Malgun Gothic" w:hAnsi="Times New Roman"/>
          <w:bCs/>
          <w:sz w:val="24"/>
          <w:szCs w:val="24"/>
        </w:rPr>
        <w:t>Cependant, contrairement à l’ordonnance n</w:t>
      </w:r>
      <w:r w:rsidR="00EE5FE6">
        <w:rPr>
          <w:rFonts w:ascii="Times New Roman" w:eastAsia="Malgun Gothic" w:hAnsi="Times New Roman"/>
          <w:bCs/>
          <w:sz w:val="24"/>
          <w:szCs w:val="24"/>
        </w:rPr>
        <w:t>°</w:t>
      </w:r>
      <w:r w:rsidR="00A11778" w:rsidRPr="007668DF">
        <w:rPr>
          <w:rFonts w:ascii="Times New Roman" w:eastAsia="Malgun Gothic" w:hAnsi="Times New Roman"/>
          <w:bCs/>
          <w:sz w:val="24"/>
          <w:szCs w:val="24"/>
        </w:rPr>
        <w:t xml:space="preserve"> 2014-003 du 15 janvier 2014 portant création de la CVJR qui est conforme aux principes de l’indépendance et limitée seulement à énoncer les principes consacrés, des inquiétudes subsistent, principalement quant à l’indépendance de la Commission au regard de dispositions énoncées dans le décret d’application. Selon le décret d’application, la CVJR est placée sous l’égide du ministère de la </w:t>
      </w:r>
      <w:r w:rsidR="006C1FFB">
        <w:rPr>
          <w:rFonts w:ascii="Times New Roman" w:eastAsia="Malgun Gothic" w:hAnsi="Times New Roman"/>
          <w:bCs/>
          <w:sz w:val="24"/>
          <w:szCs w:val="24"/>
        </w:rPr>
        <w:t>R</w:t>
      </w:r>
      <w:r w:rsidR="00A11778" w:rsidRPr="007668DF">
        <w:rPr>
          <w:rFonts w:ascii="Times New Roman" w:eastAsia="Malgun Gothic" w:hAnsi="Times New Roman"/>
          <w:bCs/>
          <w:sz w:val="24"/>
          <w:szCs w:val="24"/>
        </w:rPr>
        <w:t xml:space="preserve">éconciliation </w:t>
      </w:r>
      <w:r w:rsidR="006C1FFB">
        <w:rPr>
          <w:rFonts w:ascii="Times New Roman" w:eastAsia="Malgun Gothic" w:hAnsi="Times New Roman"/>
          <w:bCs/>
          <w:sz w:val="24"/>
          <w:szCs w:val="24"/>
        </w:rPr>
        <w:t>N</w:t>
      </w:r>
      <w:r w:rsidR="00A11778" w:rsidRPr="007668DF">
        <w:rPr>
          <w:rFonts w:ascii="Times New Roman" w:eastAsia="Malgun Gothic" w:hAnsi="Times New Roman"/>
          <w:bCs/>
          <w:sz w:val="24"/>
          <w:szCs w:val="24"/>
        </w:rPr>
        <w:t>ationale</w:t>
      </w:r>
      <w:r w:rsidR="00185CAD">
        <w:rPr>
          <w:rFonts w:ascii="Times New Roman" w:eastAsia="Malgun Gothic" w:hAnsi="Times New Roman"/>
          <w:bCs/>
          <w:sz w:val="24"/>
          <w:szCs w:val="24"/>
        </w:rPr>
        <w:t xml:space="preserve"> </w:t>
      </w:r>
      <w:r w:rsidR="00185CAD" w:rsidRPr="007668DF">
        <w:rPr>
          <w:rFonts w:ascii="Times New Roman" w:eastAsia="Malgun Gothic" w:hAnsi="Times New Roman"/>
          <w:bCs/>
          <w:sz w:val="24"/>
          <w:szCs w:val="24"/>
        </w:rPr>
        <w:t>et du Développement du Nord</w:t>
      </w:r>
      <w:r w:rsidR="00A11778" w:rsidRPr="007668DF">
        <w:rPr>
          <w:rFonts w:ascii="Times New Roman" w:eastAsia="Malgun Gothic" w:hAnsi="Times New Roman"/>
          <w:bCs/>
          <w:sz w:val="24"/>
          <w:szCs w:val="24"/>
        </w:rPr>
        <w:t xml:space="preserve">, et ses membres doivent être nommés en Conseil des ministres, sur proposition du ministre de tutelle. A travers le décret d’application no 2014-003 du 15 janvier 2014 dont l’élaboration et </w:t>
      </w:r>
      <w:r w:rsidR="00EE5FE6">
        <w:rPr>
          <w:rFonts w:ascii="Times New Roman" w:eastAsia="Malgun Gothic" w:hAnsi="Times New Roman"/>
          <w:bCs/>
          <w:sz w:val="24"/>
          <w:szCs w:val="24"/>
        </w:rPr>
        <w:t xml:space="preserve">la </w:t>
      </w:r>
      <w:r w:rsidR="00A11778" w:rsidRPr="007668DF">
        <w:rPr>
          <w:rFonts w:ascii="Times New Roman" w:eastAsia="Malgun Gothic" w:hAnsi="Times New Roman"/>
          <w:bCs/>
          <w:sz w:val="24"/>
          <w:szCs w:val="24"/>
        </w:rPr>
        <w:t>promulgation est de l’apanage discrétionnaire de l’exécutif, le  gouvernement tarde à revoir les dispositions traitant de l’indépendance de la CVJR ainsi que celles concernant la procédure de nomination de ses membres.</w:t>
      </w:r>
      <w:r w:rsidR="004E367F" w:rsidRPr="007668DF">
        <w:rPr>
          <w:rFonts w:ascii="Times New Roman" w:eastAsia="Malgun Gothic" w:hAnsi="Times New Roman"/>
          <w:bCs/>
          <w:sz w:val="24"/>
          <w:szCs w:val="24"/>
        </w:rPr>
        <w:t xml:space="preserve"> Il </w:t>
      </w:r>
      <w:r w:rsidR="00EE5FE6" w:rsidRPr="007668DF">
        <w:rPr>
          <w:rFonts w:ascii="Times New Roman" w:eastAsia="Malgun Gothic" w:hAnsi="Times New Roman"/>
          <w:bCs/>
          <w:sz w:val="24"/>
          <w:szCs w:val="24"/>
        </w:rPr>
        <w:t>fau</w:t>
      </w:r>
      <w:r w:rsidR="00EE5FE6">
        <w:rPr>
          <w:rFonts w:ascii="Times New Roman" w:eastAsia="Malgun Gothic" w:hAnsi="Times New Roman"/>
          <w:bCs/>
          <w:sz w:val="24"/>
          <w:szCs w:val="24"/>
        </w:rPr>
        <w:t>t</w:t>
      </w:r>
      <w:r w:rsidR="00EE5FE6" w:rsidRPr="007668DF">
        <w:rPr>
          <w:rFonts w:ascii="Times New Roman" w:eastAsia="Malgun Gothic" w:hAnsi="Times New Roman"/>
          <w:bCs/>
          <w:sz w:val="24"/>
          <w:szCs w:val="24"/>
        </w:rPr>
        <w:t xml:space="preserve"> </w:t>
      </w:r>
      <w:r w:rsidR="004E367F" w:rsidRPr="007668DF">
        <w:rPr>
          <w:rFonts w:ascii="Times New Roman" w:eastAsia="Malgun Gothic" w:hAnsi="Times New Roman"/>
          <w:bCs/>
          <w:sz w:val="24"/>
          <w:szCs w:val="24"/>
        </w:rPr>
        <w:t xml:space="preserve">toutefois noter que plusieurs partenaires, notamment la Division </w:t>
      </w:r>
      <w:r w:rsidR="006C1FFB">
        <w:rPr>
          <w:rFonts w:ascii="Times New Roman" w:eastAsia="Malgun Gothic" w:hAnsi="Times New Roman"/>
          <w:bCs/>
          <w:sz w:val="24"/>
          <w:szCs w:val="24"/>
        </w:rPr>
        <w:t>des d</w:t>
      </w:r>
      <w:r w:rsidR="004E367F" w:rsidRPr="007668DF">
        <w:rPr>
          <w:rFonts w:ascii="Times New Roman" w:eastAsia="Malgun Gothic" w:hAnsi="Times New Roman"/>
          <w:bCs/>
          <w:sz w:val="24"/>
          <w:szCs w:val="24"/>
        </w:rPr>
        <w:t>roits de l’homme ont continué à insister sur la nécessité d’une Commission indépendante de l’exécutif qui mettra à sa disposition un budget autonome pour ses activités opérationnelles et non opérationnelles.</w:t>
      </w:r>
    </w:p>
    <w:p w:rsidR="00873380" w:rsidRPr="007668DF" w:rsidRDefault="00873380" w:rsidP="006C2FA0">
      <w:pPr>
        <w:tabs>
          <w:tab w:val="left" w:pos="567"/>
          <w:tab w:val="left" w:pos="709"/>
          <w:tab w:val="left" w:pos="851"/>
        </w:tabs>
        <w:spacing w:after="0"/>
        <w:jc w:val="both"/>
        <w:rPr>
          <w:rFonts w:ascii="Times New Roman" w:eastAsia="Malgun Gothic" w:hAnsi="Times New Roman"/>
          <w:bCs/>
          <w:sz w:val="24"/>
          <w:szCs w:val="24"/>
        </w:rPr>
      </w:pPr>
    </w:p>
    <w:p w:rsidR="00873380" w:rsidRPr="007668DF" w:rsidRDefault="00A21002" w:rsidP="006C2FA0">
      <w:pPr>
        <w:tabs>
          <w:tab w:val="left" w:pos="567"/>
          <w:tab w:val="left" w:pos="709"/>
          <w:tab w:val="left" w:pos="851"/>
        </w:tabs>
        <w:spacing w:after="0"/>
        <w:jc w:val="both"/>
        <w:rPr>
          <w:rFonts w:ascii="Times New Roman" w:eastAsia="Malgun Gothic" w:hAnsi="Times New Roman"/>
          <w:bCs/>
          <w:sz w:val="24"/>
          <w:szCs w:val="24"/>
        </w:rPr>
      </w:pPr>
      <w:r>
        <w:rPr>
          <w:rFonts w:ascii="Times New Roman" w:eastAsia="Malgun Gothic" w:hAnsi="Times New Roman"/>
          <w:bCs/>
          <w:sz w:val="24"/>
          <w:szCs w:val="24"/>
        </w:rPr>
        <w:t>102</w:t>
      </w:r>
      <w:r w:rsidR="00873380" w:rsidRPr="007668DF">
        <w:rPr>
          <w:rFonts w:ascii="Times New Roman" w:eastAsia="Malgun Gothic" w:hAnsi="Times New Roman"/>
          <w:bCs/>
          <w:sz w:val="24"/>
          <w:szCs w:val="24"/>
        </w:rPr>
        <w:t xml:space="preserve">. A cet égard, la Division des droits de l’homme a soumis au Ministre de la Réconciliation Nationale </w:t>
      </w:r>
      <w:r w:rsidR="00185CAD" w:rsidRPr="007668DF">
        <w:rPr>
          <w:rFonts w:ascii="Times New Roman" w:eastAsia="Malgun Gothic" w:hAnsi="Times New Roman"/>
          <w:bCs/>
          <w:sz w:val="24"/>
          <w:szCs w:val="24"/>
        </w:rPr>
        <w:t xml:space="preserve">et du Développement du Nord </w:t>
      </w:r>
      <w:r w:rsidR="00873380" w:rsidRPr="007668DF">
        <w:rPr>
          <w:rFonts w:ascii="Times New Roman" w:eastAsia="Malgun Gothic" w:hAnsi="Times New Roman"/>
          <w:bCs/>
          <w:sz w:val="24"/>
          <w:szCs w:val="24"/>
        </w:rPr>
        <w:t xml:space="preserve">et aux membres de la </w:t>
      </w:r>
      <w:r w:rsidR="006C1FFB">
        <w:rPr>
          <w:rFonts w:ascii="Times New Roman" w:eastAsia="Malgun Gothic" w:hAnsi="Times New Roman"/>
          <w:bCs/>
          <w:sz w:val="24"/>
          <w:szCs w:val="24"/>
        </w:rPr>
        <w:t>C</w:t>
      </w:r>
      <w:r w:rsidR="00873380" w:rsidRPr="007668DF">
        <w:rPr>
          <w:rFonts w:ascii="Times New Roman" w:eastAsia="Malgun Gothic" w:hAnsi="Times New Roman"/>
          <w:bCs/>
          <w:sz w:val="24"/>
          <w:szCs w:val="24"/>
        </w:rPr>
        <w:t>ommission parlementaire des lois constitutionnelles, de la législation, de la justice et des institutions de la République</w:t>
      </w:r>
      <w:r w:rsidR="00EE5FE6">
        <w:rPr>
          <w:rFonts w:ascii="Times New Roman" w:eastAsia="Malgun Gothic" w:hAnsi="Times New Roman"/>
          <w:bCs/>
          <w:sz w:val="24"/>
          <w:szCs w:val="24"/>
        </w:rPr>
        <w:t>,</w:t>
      </w:r>
      <w:r w:rsidR="00873380" w:rsidRPr="007668DF">
        <w:rPr>
          <w:rFonts w:ascii="Times New Roman" w:eastAsia="Malgun Gothic" w:hAnsi="Times New Roman"/>
          <w:bCs/>
          <w:sz w:val="24"/>
          <w:szCs w:val="24"/>
        </w:rPr>
        <w:t xml:space="preserve">  ses </w:t>
      </w:r>
      <w:r w:rsidR="00EE5FE6">
        <w:rPr>
          <w:rFonts w:ascii="Times New Roman" w:eastAsia="Malgun Gothic" w:hAnsi="Times New Roman"/>
          <w:bCs/>
          <w:sz w:val="24"/>
          <w:szCs w:val="24"/>
        </w:rPr>
        <w:t>analyses et recommandations</w:t>
      </w:r>
      <w:r w:rsidR="00EE5FE6" w:rsidRPr="007668DF">
        <w:rPr>
          <w:rFonts w:ascii="Times New Roman" w:eastAsia="Malgun Gothic" w:hAnsi="Times New Roman"/>
          <w:bCs/>
          <w:sz w:val="24"/>
          <w:szCs w:val="24"/>
        </w:rPr>
        <w:t xml:space="preserve"> </w:t>
      </w:r>
      <w:r w:rsidR="00873380" w:rsidRPr="007668DF">
        <w:rPr>
          <w:rFonts w:ascii="Times New Roman" w:eastAsia="Malgun Gothic" w:hAnsi="Times New Roman"/>
          <w:bCs/>
          <w:sz w:val="24"/>
          <w:szCs w:val="24"/>
        </w:rPr>
        <w:t xml:space="preserve">sur la question de l’indépendance </w:t>
      </w:r>
      <w:r w:rsidR="00EE5FE6">
        <w:rPr>
          <w:rFonts w:ascii="Times New Roman" w:eastAsia="Malgun Gothic" w:hAnsi="Times New Roman"/>
          <w:bCs/>
          <w:sz w:val="24"/>
          <w:szCs w:val="24"/>
        </w:rPr>
        <w:t xml:space="preserve">de la Commission </w:t>
      </w:r>
      <w:r w:rsidR="00873380" w:rsidRPr="007668DF">
        <w:rPr>
          <w:rFonts w:ascii="Times New Roman" w:eastAsia="Malgun Gothic" w:hAnsi="Times New Roman"/>
          <w:bCs/>
          <w:sz w:val="24"/>
          <w:szCs w:val="24"/>
        </w:rPr>
        <w:t>à savoi</w:t>
      </w:r>
      <w:r w:rsidR="00394E3C">
        <w:rPr>
          <w:rFonts w:ascii="Times New Roman" w:eastAsia="Malgun Gothic" w:hAnsi="Times New Roman"/>
          <w:bCs/>
          <w:sz w:val="24"/>
          <w:szCs w:val="24"/>
        </w:rPr>
        <w:t>r</w:t>
      </w:r>
      <w:r w:rsidR="00873380" w:rsidRPr="007668DF">
        <w:rPr>
          <w:rFonts w:ascii="Times New Roman" w:eastAsia="Malgun Gothic" w:hAnsi="Times New Roman"/>
          <w:bCs/>
          <w:sz w:val="24"/>
          <w:szCs w:val="24"/>
        </w:rPr>
        <w:t>:</w:t>
      </w:r>
    </w:p>
    <w:p w:rsidR="008B6A5E" w:rsidRPr="007668DF" w:rsidRDefault="008B6A5E" w:rsidP="006C2FA0">
      <w:pPr>
        <w:tabs>
          <w:tab w:val="left" w:pos="567"/>
          <w:tab w:val="left" w:pos="709"/>
          <w:tab w:val="left" w:pos="851"/>
        </w:tabs>
        <w:spacing w:after="0"/>
        <w:jc w:val="both"/>
        <w:rPr>
          <w:rFonts w:ascii="Times New Roman" w:eastAsia="Malgun Gothic" w:hAnsi="Times New Roman"/>
          <w:bCs/>
          <w:sz w:val="24"/>
          <w:szCs w:val="24"/>
        </w:rPr>
      </w:pPr>
    </w:p>
    <w:p w:rsidR="00873380" w:rsidRPr="00DE7E97" w:rsidRDefault="00873380" w:rsidP="00DE7E97">
      <w:pPr>
        <w:pStyle w:val="ListParagraph"/>
        <w:numPr>
          <w:ilvl w:val="0"/>
          <w:numId w:val="40"/>
        </w:numPr>
        <w:jc w:val="both"/>
        <w:rPr>
          <w:rFonts w:ascii="Times New Roman" w:eastAsia="Malgun Gothic" w:hAnsi="Times New Roman"/>
          <w:bCs/>
          <w:sz w:val="24"/>
          <w:szCs w:val="24"/>
        </w:rPr>
      </w:pPr>
      <w:r w:rsidRPr="00DE7E97">
        <w:rPr>
          <w:rFonts w:ascii="Times New Roman" w:eastAsia="Malgun Gothic" w:hAnsi="Times New Roman"/>
          <w:bCs/>
          <w:sz w:val="24"/>
          <w:szCs w:val="24"/>
        </w:rPr>
        <w:t xml:space="preserve">La structuration et les modalités de fonctionnement de la CJVR n’offrent pas suffisamment de garantie de son indépendance. En effet, le décret prévoit que le Secrétaire Général soit nommé par le Premier Ministre, tandis que les commissaires sont nommés par le Conseil des </w:t>
      </w:r>
      <w:r w:rsidR="006C1FFB" w:rsidRPr="00DE7E97">
        <w:rPr>
          <w:rFonts w:ascii="Times New Roman" w:eastAsia="Malgun Gothic" w:hAnsi="Times New Roman"/>
          <w:bCs/>
          <w:sz w:val="24"/>
          <w:szCs w:val="24"/>
        </w:rPr>
        <w:t>m</w:t>
      </w:r>
      <w:r w:rsidRPr="00DE7E97">
        <w:rPr>
          <w:rFonts w:ascii="Times New Roman" w:eastAsia="Malgun Gothic" w:hAnsi="Times New Roman"/>
          <w:bCs/>
          <w:sz w:val="24"/>
          <w:szCs w:val="24"/>
        </w:rPr>
        <w:t xml:space="preserve">inistres, sur proposition du Ministère de la Réconciliation Nationale et du Développement du Nord. </w:t>
      </w:r>
    </w:p>
    <w:p w:rsidR="00873380" w:rsidRPr="007668DF" w:rsidRDefault="00873380" w:rsidP="006C2FA0">
      <w:pPr>
        <w:numPr>
          <w:ilvl w:val="0"/>
          <w:numId w:val="40"/>
        </w:numPr>
        <w:jc w:val="both"/>
        <w:rPr>
          <w:rFonts w:ascii="Times New Roman" w:eastAsia="Malgun Gothic" w:hAnsi="Times New Roman"/>
          <w:bCs/>
          <w:sz w:val="24"/>
          <w:szCs w:val="24"/>
        </w:rPr>
      </w:pPr>
      <w:r w:rsidRPr="007668DF">
        <w:rPr>
          <w:rFonts w:ascii="Times New Roman" w:eastAsia="Malgun Gothic" w:hAnsi="Times New Roman"/>
          <w:bCs/>
          <w:sz w:val="24"/>
          <w:szCs w:val="24"/>
        </w:rPr>
        <w:t xml:space="preserve">La CJVR semble par ailleurs fortement liée au Ministère de la Réconciliation Nationale et du Développement du Nord, ce qui peut la soumettre à des interférences politiques et affecter la perception de sa neutralité. En effet, d’après les standards internationaux relatifs à la justice transitionnelle, les Commissions de Vérité sont des institutions officielles, mais non étatiques. </w:t>
      </w:r>
    </w:p>
    <w:p w:rsidR="0024142C" w:rsidRPr="007668DF" w:rsidRDefault="00873380" w:rsidP="006C2FA0">
      <w:pPr>
        <w:numPr>
          <w:ilvl w:val="0"/>
          <w:numId w:val="40"/>
        </w:numPr>
        <w:jc w:val="both"/>
        <w:rPr>
          <w:rFonts w:ascii="Times New Roman" w:eastAsia="Malgun Gothic" w:hAnsi="Times New Roman"/>
          <w:bCs/>
          <w:sz w:val="24"/>
          <w:szCs w:val="24"/>
        </w:rPr>
      </w:pPr>
      <w:r w:rsidRPr="007668DF">
        <w:rPr>
          <w:rFonts w:ascii="Times New Roman" w:eastAsia="Malgun Gothic" w:hAnsi="Times New Roman"/>
          <w:bCs/>
          <w:sz w:val="24"/>
          <w:szCs w:val="24"/>
        </w:rPr>
        <w:t xml:space="preserve">L’article 16 du décret 0013 établit par ailleurs que les avantages et indemnités des commissaires seront fixés par décret du Conseil des </w:t>
      </w:r>
      <w:r w:rsidR="00185CAD">
        <w:rPr>
          <w:rFonts w:ascii="Times New Roman" w:eastAsia="Malgun Gothic" w:hAnsi="Times New Roman"/>
          <w:bCs/>
          <w:sz w:val="24"/>
          <w:szCs w:val="24"/>
        </w:rPr>
        <w:t>m</w:t>
      </w:r>
      <w:r w:rsidRPr="007668DF">
        <w:rPr>
          <w:rFonts w:ascii="Times New Roman" w:eastAsia="Malgun Gothic" w:hAnsi="Times New Roman"/>
          <w:bCs/>
          <w:sz w:val="24"/>
          <w:szCs w:val="24"/>
        </w:rPr>
        <w:t xml:space="preserve">inistres. Cependant, afin de renforcer la légitimité et l’indépendance des </w:t>
      </w:r>
      <w:r w:rsidRPr="007668DF">
        <w:rPr>
          <w:rFonts w:ascii="Times New Roman" w:eastAsia="Malgun Gothic" w:hAnsi="Times New Roman"/>
          <w:bCs/>
          <w:sz w:val="24"/>
          <w:szCs w:val="24"/>
        </w:rPr>
        <w:lastRenderedPageBreak/>
        <w:t>membres, il importe de s’assurer que ces avantages so</w:t>
      </w:r>
      <w:r w:rsidR="00EE5FE6">
        <w:rPr>
          <w:rFonts w:ascii="Times New Roman" w:eastAsia="Malgun Gothic" w:hAnsi="Times New Roman"/>
          <w:bCs/>
          <w:sz w:val="24"/>
          <w:szCs w:val="24"/>
        </w:rPr>
        <w:t>ie</w:t>
      </w:r>
      <w:r w:rsidRPr="007668DF">
        <w:rPr>
          <w:rFonts w:ascii="Times New Roman" w:eastAsia="Malgun Gothic" w:hAnsi="Times New Roman"/>
          <w:bCs/>
          <w:sz w:val="24"/>
          <w:szCs w:val="24"/>
        </w:rPr>
        <w:t>nt rendus transparents, et de préciser que les commissaires ne peuvent exercer une autre fonction pendant toute la durée de leur mandat.</w:t>
      </w:r>
    </w:p>
    <w:p w:rsidR="008A1858" w:rsidRPr="007668DF" w:rsidRDefault="001F669A" w:rsidP="006C2FA0">
      <w:pPr>
        <w:tabs>
          <w:tab w:val="left" w:pos="567"/>
          <w:tab w:val="left" w:pos="709"/>
          <w:tab w:val="left" w:pos="851"/>
        </w:tabs>
        <w:spacing w:after="0"/>
        <w:jc w:val="both"/>
        <w:rPr>
          <w:rFonts w:ascii="Times New Roman" w:eastAsia="Malgun Gothic" w:hAnsi="Times New Roman"/>
          <w:bCs/>
          <w:sz w:val="24"/>
          <w:szCs w:val="24"/>
        </w:rPr>
      </w:pPr>
      <w:r w:rsidRPr="007668DF">
        <w:rPr>
          <w:rFonts w:ascii="Times New Roman" w:eastAsia="Malgun Gothic" w:hAnsi="Times New Roman"/>
          <w:bCs/>
          <w:sz w:val="24"/>
          <w:szCs w:val="24"/>
        </w:rPr>
        <w:t>1</w:t>
      </w:r>
      <w:r w:rsidR="00A21002">
        <w:rPr>
          <w:rFonts w:ascii="Times New Roman" w:eastAsia="Malgun Gothic" w:hAnsi="Times New Roman"/>
          <w:bCs/>
          <w:sz w:val="24"/>
          <w:szCs w:val="24"/>
        </w:rPr>
        <w:t>03</w:t>
      </w:r>
      <w:r w:rsidR="0024142C" w:rsidRPr="007668DF">
        <w:rPr>
          <w:rFonts w:ascii="Times New Roman" w:eastAsia="Malgun Gothic" w:hAnsi="Times New Roman"/>
          <w:bCs/>
          <w:sz w:val="24"/>
          <w:szCs w:val="24"/>
        </w:rPr>
        <w:t>.</w:t>
      </w:r>
      <w:r w:rsidR="0024142C" w:rsidRPr="007668DF">
        <w:rPr>
          <w:rFonts w:ascii="Times New Roman" w:eastAsia="Malgun Gothic" w:hAnsi="Times New Roman"/>
          <w:bCs/>
          <w:sz w:val="24"/>
          <w:szCs w:val="24"/>
        </w:rPr>
        <w:tab/>
        <w:t xml:space="preserve">Par ailleurs, la dénomination des </w:t>
      </w:r>
      <w:r w:rsidR="00B3569D">
        <w:rPr>
          <w:rFonts w:ascii="Times New Roman" w:eastAsia="Malgun Gothic" w:hAnsi="Times New Roman"/>
          <w:bCs/>
          <w:sz w:val="24"/>
          <w:szCs w:val="24"/>
        </w:rPr>
        <w:t>7</w:t>
      </w:r>
      <w:r w:rsidR="00B3569D" w:rsidRPr="007668DF">
        <w:rPr>
          <w:rFonts w:ascii="Times New Roman" w:eastAsia="Malgun Gothic" w:hAnsi="Times New Roman"/>
          <w:bCs/>
          <w:sz w:val="24"/>
          <w:szCs w:val="24"/>
        </w:rPr>
        <w:t xml:space="preserve"> </w:t>
      </w:r>
      <w:r w:rsidR="0024142C" w:rsidRPr="007668DF">
        <w:rPr>
          <w:rFonts w:ascii="Times New Roman" w:eastAsia="Malgun Gothic" w:hAnsi="Times New Roman"/>
          <w:bCs/>
          <w:sz w:val="24"/>
          <w:szCs w:val="24"/>
        </w:rPr>
        <w:t>groupes de travail</w:t>
      </w:r>
      <w:r w:rsidR="001D4584" w:rsidRPr="007668DF">
        <w:rPr>
          <w:rFonts w:ascii="Times New Roman" w:eastAsia="Malgun Gothic" w:hAnsi="Times New Roman"/>
          <w:bCs/>
          <w:sz w:val="24"/>
          <w:szCs w:val="24"/>
        </w:rPr>
        <w:t xml:space="preserve"> (voir article 9 du décret</w:t>
      </w:r>
      <w:r w:rsidR="00992BA6" w:rsidRPr="007668DF">
        <w:rPr>
          <w:rFonts w:ascii="Times New Roman" w:eastAsia="Malgun Gothic" w:hAnsi="Times New Roman"/>
          <w:bCs/>
          <w:sz w:val="24"/>
          <w:szCs w:val="24"/>
        </w:rPr>
        <w:t xml:space="preserve"> du 15 janvier 2014</w:t>
      </w:r>
      <w:r w:rsidR="001D4584" w:rsidRPr="007668DF">
        <w:rPr>
          <w:rFonts w:ascii="Times New Roman" w:eastAsia="Malgun Gothic" w:hAnsi="Times New Roman"/>
          <w:bCs/>
          <w:sz w:val="24"/>
          <w:szCs w:val="24"/>
        </w:rPr>
        <w:t xml:space="preserve">) </w:t>
      </w:r>
      <w:r w:rsidR="0024142C" w:rsidRPr="007668DF">
        <w:rPr>
          <w:rFonts w:ascii="Times New Roman" w:eastAsia="Malgun Gothic" w:hAnsi="Times New Roman"/>
          <w:bCs/>
          <w:sz w:val="24"/>
          <w:szCs w:val="24"/>
        </w:rPr>
        <w:t>prévus comporte des doublons</w:t>
      </w:r>
      <w:r w:rsidR="00C30909" w:rsidRPr="007668DF">
        <w:rPr>
          <w:rFonts w:ascii="Times New Roman" w:eastAsia="Malgun Gothic" w:hAnsi="Times New Roman"/>
          <w:bCs/>
          <w:sz w:val="24"/>
          <w:szCs w:val="24"/>
        </w:rPr>
        <w:t>, alors qu’</w:t>
      </w:r>
      <w:r w:rsidR="0024142C" w:rsidRPr="007668DF">
        <w:rPr>
          <w:rFonts w:ascii="Times New Roman" w:eastAsia="Malgun Gothic" w:hAnsi="Times New Roman"/>
          <w:bCs/>
          <w:sz w:val="24"/>
          <w:szCs w:val="24"/>
        </w:rPr>
        <w:t xml:space="preserve">aucun groupe </w:t>
      </w:r>
      <w:r w:rsidR="00C30909" w:rsidRPr="007668DF">
        <w:rPr>
          <w:rFonts w:ascii="Times New Roman" w:eastAsia="Malgun Gothic" w:hAnsi="Times New Roman"/>
          <w:bCs/>
          <w:sz w:val="24"/>
          <w:szCs w:val="24"/>
        </w:rPr>
        <w:t xml:space="preserve">n’a été envisagé pour </w:t>
      </w:r>
      <w:r w:rsidR="0024142C" w:rsidRPr="007668DF">
        <w:rPr>
          <w:rFonts w:ascii="Times New Roman" w:eastAsia="Malgun Gothic" w:hAnsi="Times New Roman"/>
          <w:bCs/>
          <w:sz w:val="24"/>
          <w:szCs w:val="24"/>
        </w:rPr>
        <w:t>traite</w:t>
      </w:r>
      <w:r w:rsidR="00C30909" w:rsidRPr="007668DF">
        <w:rPr>
          <w:rFonts w:ascii="Times New Roman" w:eastAsia="Malgun Gothic" w:hAnsi="Times New Roman"/>
          <w:bCs/>
          <w:sz w:val="24"/>
          <w:szCs w:val="24"/>
        </w:rPr>
        <w:t>r</w:t>
      </w:r>
      <w:r w:rsidR="0024142C" w:rsidRPr="007668DF">
        <w:rPr>
          <w:rFonts w:ascii="Times New Roman" w:eastAsia="Malgun Gothic" w:hAnsi="Times New Roman"/>
          <w:bCs/>
          <w:sz w:val="24"/>
          <w:szCs w:val="24"/>
        </w:rPr>
        <w:t xml:space="preserve"> de la thématique du genre et de la protection des enfants.</w:t>
      </w:r>
      <w:r w:rsidR="00AD2A85" w:rsidRPr="007668DF">
        <w:rPr>
          <w:rFonts w:ascii="Times New Roman" w:eastAsia="Malgun Gothic" w:hAnsi="Times New Roman"/>
          <w:bCs/>
          <w:sz w:val="24"/>
          <w:szCs w:val="24"/>
        </w:rPr>
        <w:t xml:space="preserve"> </w:t>
      </w:r>
      <w:r w:rsidR="00C30909" w:rsidRPr="007668DF">
        <w:rPr>
          <w:rFonts w:ascii="Times New Roman" w:eastAsia="Malgun Gothic" w:hAnsi="Times New Roman"/>
          <w:bCs/>
          <w:sz w:val="24"/>
          <w:szCs w:val="24"/>
        </w:rPr>
        <w:t>En outre, l</w:t>
      </w:r>
      <w:r w:rsidR="00AD2A85" w:rsidRPr="007668DF">
        <w:rPr>
          <w:rFonts w:ascii="Times New Roman" w:eastAsia="Malgun Gothic" w:hAnsi="Times New Roman"/>
          <w:bCs/>
          <w:sz w:val="24"/>
          <w:szCs w:val="24"/>
        </w:rPr>
        <w:t>’ordonnance et le décret créant et organisant la CVJR ne prévoient pas explicitement de représentations locales de la commission</w:t>
      </w:r>
      <w:r w:rsidR="0024142C" w:rsidRPr="007668DF">
        <w:rPr>
          <w:rFonts w:ascii="Times New Roman" w:eastAsia="Malgun Gothic" w:hAnsi="Times New Roman"/>
          <w:bCs/>
          <w:sz w:val="24"/>
          <w:szCs w:val="24"/>
        </w:rPr>
        <w:t xml:space="preserve"> </w:t>
      </w:r>
      <w:r w:rsidR="00CC127D" w:rsidRPr="007668DF">
        <w:rPr>
          <w:rFonts w:ascii="Times New Roman" w:eastAsia="Malgun Gothic" w:hAnsi="Times New Roman"/>
          <w:bCs/>
          <w:sz w:val="24"/>
          <w:szCs w:val="24"/>
        </w:rPr>
        <w:t>au niveau des régions</w:t>
      </w:r>
      <w:r w:rsidR="00AD2A85" w:rsidRPr="007668DF">
        <w:rPr>
          <w:rFonts w:ascii="Times New Roman" w:eastAsia="Malgun Gothic" w:hAnsi="Times New Roman"/>
          <w:bCs/>
          <w:sz w:val="24"/>
          <w:szCs w:val="24"/>
        </w:rPr>
        <w:t>.</w:t>
      </w:r>
      <w:r w:rsidR="00BC6DF7" w:rsidRPr="007668DF">
        <w:rPr>
          <w:rFonts w:ascii="Times New Roman" w:eastAsia="Malgun Gothic" w:hAnsi="Times New Roman"/>
          <w:bCs/>
          <w:sz w:val="24"/>
          <w:szCs w:val="24"/>
        </w:rPr>
        <w:t xml:space="preserve"> </w:t>
      </w:r>
      <w:r w:rsidR="0024142C" w:rsidRPr="007668DF">
        <w:rPr>
          <w:rFonts w:ascii="Times New Roman" w:eastAsia="Malgun Gothic" w:hAnsi="Times New Roman"/>
          <w:bCs/>
          <w:sz w:val="24"/>
          <w:szCs w:val="24"/>
        </w:rPr>
        <w:t xml:space="preserve">La coopération entre la CVJR et les juridictions nationales ainsi que la </w:t>
      </w:r>
      <w:r w:rsidR="00C30909" w:rsidRPr="007668DF">
        <w:rPr>
          <w:rFonts w:ascii="Times New Roman" w:eastAsia="Malgun Gothic" w:hAnsi="Times New Roman"/>
          <w:bCs/>
          <w:sz w:val="24"/>
          <w:szCs w:val="24"/>
        </w:rPr>
        <w:t>CPI</w:t>
      </w:r>
      <w:r w:rsidR="0024142C" w:rsidRPr="007668DF">
        <w:rPr>
          <w:rFonts w:ascii="Times New Roman" w:eastAsia="Malgun Gothic" w:hAnsi="Times New Roman"/>
          <w:bCs/>
          <w:sz w:val="24"/>
          <w:szCs w:val="24"/>
        </w:rPr>
        <w:t xml:space="preserve"> n’a pas été définie dans le texte constitutif de la CVJR</w:t>
      </w:r>
      <w:r w:rsidR="00992BA6" w:rsidRPr="007668DF">
        <w:rPr>
          <w:rFonts w:ascii="Times New Roman" w:eastAsia="Malgun Gothic" w:hAnsi="Times New Roman"/>
          <w:bCs/>
          <w:sz w:val="24"/>
          <w:szCs w:val="24"/>
        </w:rPr>
        <w:t>, ce qui peut constituer une entrave à la nécessaire complémentarité de ces différents mécanismes.</w:t>
      </w:r>
    </w:p>
    <w:p w:rsidR="00E624A7" w:rsidRPr="00E624A7" w:rsidRDefault="00E624A7" w:rsidP="00E624A7">
      <w:bookmarkStart w:id="25" w:name="_Toc401931504"/>
    </w:p>
    <w:p w:rsidR="0024142C" w:rsidRPr="007668DF" w:rsidRDefault="0024142C" w:rsidP="003B152B">
      <w:pPr>
        <w:pStyle w:val="Title"/>
        <w:numPr>
          <w:ilvl w:val="0"/>
          <w:numId w:val="0"/>
        </w:numPr>
        <w:ind w:left="720"/>
        <w:rPr>
          <w:rFonts w:eastAsia="Malgun Gothic"/>
        </w:rPr>
      </w:pPr>
      <w:r w:rsidRPr="007668DF">
        <w:rPr>
          <w:rFonts w:eastAsia="Malgun Gothic"/>
        </w:rPr>
        <w:t>XI.</w:t>
      </w:r>
      <w:r w:rsidR="00DC4F65">
        <w:rPr>
          <w:rFonts w:eastAsia="Malgun Gothic"/>
        </w:rPr>
        <w:tab/>
      </w:r>
      <w:r w:rsidRPr="007668DF">
        <w:rPr>
          <w:rFonts w:eastAsia="Malgun Gothic"/>
        </w:rPr>
        <w:t>Contribution de la MINUSMA dans le domaine des droits de l’homme.</w:t>
      </w:r>
      <w:bookmarkEnd w:id="25"/>
    </w:p>
    <w:p w:rsidR="0024142C" w:rsidRPr="007668DF" w:rsidRDefault="0024142C" w:rsidP="006C2FA0">
      <w:pPr>
        <w:tabs>
          <w:tab w:val="left" w:pos="567"/>
          <w:tab w:val="left" w:pos="709"/>
          <w:tab w:val="left" w:pos="851"/>
        </w:tabs>
        <w:spacing w:after="0"/>
        <w:jc w:val="both"/>
        <w:rPr>
          <w:rFonts w:ascii="Times New Roman" w:eastAsia="Malgun Gothic" w:hAnsi="Times New Roman"/>
          <w:bCs/>
          <w:sz w:val="24"/>
          <w:szCs w:val="24"/>
        </w:rPr>
      </w:pPr>
    </w:p>
    <w:p w:rsidR="0024142C" w:rsidRPr="00611402" w:rsidRDefault="00A474F8" w:rsidP="00611402">
      <w:pPr>
        <w:pStyle w:val="Subtitle"/>
        <w:numPr>
          <w:ilvl w:val="0"/>
          <w:numId w:val="48"/>
        </w:numPr>
        <w:rPr>
          <w:rFonts w:eastAsia="Malgun Gothic"/>
          <w:b w:val="0"/>
        </w:rPr>
      </w:pPr>
      <w:bookmarkStart w:id="26" w:name="_Toc401931505"/>
      <w:r w:rsidRPr="00611402">
        <w:rPr>
          <w:rFonts w:eastAsia="Malgun Gothic"/>
        </w:rPr>
        <w:t xml:space="preserve">Réforme </w:t>
      </w:r>
      <w:r w:rsidR="00AD2A85" w:rsidRPr="00611402">
        <w:rPr>
          <w:rFonts w:eastAsia="Malgun Gothic"/>
        </w:rPr>
        <w:t>de la Commission nationale des droits de l’homme</w:t>
      </w:r>
      <w:bookmarkEnd w:id="26"/>
    </w:p>
    <w:p w:rsidR="0024142C" w:rsidRPr="007668DF" w:rsidRDefault="0024142C" w:rsidP="006C2FA0">
      <w:pPr>
        <w:tabs>
          <w:tab w:val="left" w:pos="567"/>
          <w:tab w:val="left" w:pos="709"/>
          <w:tab w:val="left" w:pos="851"/>
        </w:tabs>
        <w:spacing w:after="0"/>
        <w:jc w:val="both"/>
        <w:rPr>
          <w:rFonts w:ascii="Times New Roman" w:eastAsia="Malgun Gothic" w:hAnsi="Times New Roman"/>
          <w:bCs/>
          <w:sz w:val="24"/>
          <w:szCs w:val="24"/>
        </w:rPr>
      </w:pPr>
    </w:p>
    <w:p w:rsidR="0024142C" w:rsidRPr="007668DF" w:rsidRDefault="001F669A" w:rsidP="006C2FA0">
      <w:pPr>
        <w:tabs>
          <w:tab w:val="left" w:pos="567"/>
          <w:tab w:val="left" w:pos="709"/>
          <w:tab w:val="left" w:pos="851"/>
        </w:tabs>
        <w:spacing w:after="0"/>
        <w:jc w:val="both"/>
        <w:rPr>
          <w:rFonts w:ascii="Times New Roman" w:eastAsia="Malgun Gothic" w:hAnsi="Times New Roman"/>
          <w:bCs/>
          <w:sz w:val="24"/>
          <w:szCs w:val="24"/>
        </w:rPr>
      </w:pPr>
      <w:r w:rsidRPr="007668DF">
        <w:rPr>
          <w:rFonts w:ascii="Times New Roman" w:eastAsia="Malgun Gothic" w:hAnsi="Times New Roman"/>
          <w:bCs/>
          <w:sz w:val="24"/>
          <w:szCs w:val="24"/>
        </w:rPr>
        <w:t>1</w:t>
      </w:r>
      <w:r w:rsidR="00A21002">
        <w:rPr>
          <w:rFonts w:ascii="Times New Roman" w:eastAsia="Malgun Gothic" w:hAnsi="Times New Roman"/>
          <w:bCs/>
          <w:sz w:val="24"/>
          <w:szCs w:val="24"/>
        </w:rPr>
        <w:t>04</w:t>
      </w:r>
      <w:r w:rsidR="0024142C" w:rsidRPr="007668DF">
        <w:rPr>
          <w:rFonts w:ascii="Times New Roman" w:eastAsia="Malgun Gothic" w:hAnsi="Times New Roman"/>
          <w:bCs/>
          <w:sz w:val="24"/>
          <w:szCs w:val="24"/>
        </w:rPr>
        <w:t>.</w:t>
      </w:r>
      <w:r w:rsidR="0024142C" w:rsidRPr="007668DF">
        <w:rPr>
          <w:rFonts w:ascii="Times New Roman" w:eastAsia="Malgun Gothic" w:hAnsi="Times New Roman"/>
          <w:bCs/>
          <w:sz w:val="24"/>
          <w:szCs w:val="24"/>
        </w:rPr>
        <w:tab/>
        <w:t>L</w:t>
      </w:r>
      <w:r w:rsidR="00712200" w:rsidRPr="007668DF">
        <w:rPr>
          <w:rFonts w:ascii="Times New Roman" w:eastAsia="Malgun Gothic" w:hAnsi="Times New Roman"/>
          <w:bCs/>
          <w:sz w:val="24"/>
          <w:szCs w:val="24"/>
        </w:rPr>
        <w:t xml:space="preserve">e renforcement </w:t>
      </w:r>
      <w:r w:rsidR="0024142C" w:rsidRPr="007668DF">
        <w:rPr>
          <w:rFonts w:ascii="Times New Roman" w:eastAsia="Malgun Gothic" w:hAnsi="Times New Roman"/>
          <w:bCs/>
          <w:sz w:val="24"/>
          <w:szCs w:val="24"/>
        </w:rPr>
        <w:t>du système national de protection des droits de l’homme au Mali passe par la création d’une institution nationale des droits de l’homme répond</w:t>
      </w:r>
      <w:r w:rsidR="00C30909" w:rsidRPr="007668DF">
        <w:rPr>
          <w:rFonts w:ascii="Times New Roman" w:eastAsia="Malgun Gothic" w:hAnsi="Times New Roman"/>
          <w:bCs/>
          <w:sz w:val="24"/>
          <w:szCs w:val="24"/>
        </w:rPr>
        <w:t>ant</w:t>
      </w:r>
      <w:r w:rsidR="0024142C" w:rsidRPr="007668DF">
        <w:rPr>
          <w:rFonts w:ascii="Times New Roman" w:eastAsia="Malgun Gothic" w:hAnsi="Times New Roman"/>
          <w:bCs/>
          <w:sz w:val="24"/>
          <w:szCs w:val="24"/>
        </w:rPr>
        <w:t xml:space="preserve"> aux standards internationaux </w:t>
      </w:r>
      <w:r w:rsidR="005707C1" w:rsidRPr="007668DF">
        <w:rPr>
          <w:rFonts w:ascii="Times New Roman" w:eastAsia="Malgun Gothic" w:hAnsi="Times New Roman"/>
          <w:bCs/>
          <w:sz w:val="24"/>
          <w:szCs w:val="24"/>
        </w:rPr>
        <w:t xml:space="preserve">pertinents </w:t>
      </w:r>
      <w:r w:rsidR="0024142C" w:rsidRPr="007668DF">
        <w:rPr>
          <w:rFonts w:ascii="Times New Roman" w:eastAsia="Malgun Gothic" w:hAnsi="Times New Roman"/>
          <w:bCs/>
          <w:sz w:val="24"/>
          <w:szCs w:val="24"/>
        </w:rPr>
        <w:t>et doté</w:t>
      </w:r>
      <w:r w:rsidR="00712200" w:rsidRPr="007668DF">
        <w:rPr>
          <w:rFonts w:ascii="Times New Roman" w:eastAsia="Malgun Gothic" w:hAnsi="Times New Roman"/>
          <w:bCs/>
          <w:sz w:val="24"/>
          <w:szCs w:val="24"/>
        </w:rPr>
        <w:t>e</w:t>
      </w:r>
      <w:r w:rsidR="0024142C" w:rsidRPr="007668DF">
        <w:rPr>
          <w:rFonts w:ascii="Times New Roman" w:eastAsia="Malgun Gothic" w:hAnsi="Times New Roman"/>
          <w:bCs/>
          <w:sz w:val="24"/>
          <w:szCs w:val="24"/>
        </w:rPr>
        <w:t xml:space="preserve"> d’un statut </w:t>
      </w:r>
      <w:r w:rsidR="0024142C" w:rsidRPr="007668DF">
        <w:rPr>
          <w:rFonts w:ascii="Times New Roman" w:eastAsia="Malgun Gothic" w:hAnsi="Times New Roman"/>
          <w:bCs/>
          <w:sz w:val="24"/>
          <w:szCs w:val="24"/>
        </w:rPr>
        <w:lastRenderedPageBreak/>
        <w:t xml:space="preserve">qui lui confère une légitimité d’action et de compétences. Pour atteindre cet objectif, il faudra notamment passer par </w:t>
      </w:r>
      <w:r w:rsidR="00C30909" w:rsidRPr="007668DF">
        <w:rPr>
          <w:rFonts w:ascii="Times New Roman" w:eastAsia="Malgun Gothic" w:hAnsi="Times New Roman"/>
          <w:bCs/>
          <w:sz w:val="24"/>
          <w:szCs w:val="24"/>
        </w:rPr>
        <w:t>un</w:t>
      </w:r>
      <w:r w:rsidR="0024142C" w:rsidRPr="007668DF">
        <w:rPr>
          <w:rFonts w:ascii="Times New Roman" w:eastAsia="Malgun Gothic" w:hAnsi="Times New Roman"/>
          <w:bCs/>
          <w:sz w:val="24"/>
          <w:szCs w:val="24"/>
        </w:rPr>
        <w:t xml:space="preserve"> processus de refondation de la Commission </w:t>
      </w:r>
      <w:r w:rsidR="001D4584" w:rsidRPr="007668DF">
        <w:rPr>
          <w:rFonts w:ascii="Times New Roman" w:eastAsia="Malgun Gothic" w:hAnsi="Times New Roman"/>
          <w:bCs/>
          <w:sz w:val="24"/>
          <w:szCs w:val="24"/>
        </w:rPr>
        <w:t>n</w:t>
      </w:r>
      <w:r w:rsidR="0024142C" w:rsidRPr="007668DF">
        <w:rPr>
          <w:rFonts w:ascii="Times New Roman" w:eastAsia="Malgun Gothic" w:hAnsi="Times New Roman"/>
          <w:bCs/>
          <w:sz w:val="24"/>
          <w:szCs w:val="24"/>
        </w:rPr>
        <w:t xml:space="preserve">ationale des </w:t>
      </w:r>
      <w:r w:rsidR="001D4584" w:rsidRPr="007668DF">
        <w:rPr>
          <w:rFonts w:ascii="Times New Roman" w:eastAsia="Malgun Gothic" w:hAnsi="Times New Roman"/>
          <w:bCs/>
          <w:sz w:val="24"/>
          <w:szCs w:val="24"/>
        </w:rPr>
        <w:t>d</w:t>
      </w:r>
      <w:r w:rsidR="0024142C" w:rsidRPr="007668DF">
        <w:rPr>
          <w:rFonts w:ascii="Times New Roman" w:eastAsia="Malgun Gothic" w:hAnsi="Times New Roman"/>
          <w:bCs/>
          <w:sz w:val="24"/>
          <w:szCs w:val="24"/>
        </w:rPr>
        <w:t>roits de l’</w:t>
      </w:r>
      <w:r w:rsidR="001D4584" w:rsidRPr="007668DF">
        <w:rPr>
          <w:rFonts w:ascii="Times New Roman" w:eastAsia="Malgun Gothic" w:hAnsi="Times New Roman"/>
          <w:bCs/>
          <w:sz w:val="24"/>
          <w:szCs w:val="24"/>
        </w:rPr>
        <w:t>h</w:t>
      </w:r>
      <w:r w:rsidR="0024142C" w:rsidRPr="007668DF">
        <w:rPr>
          <w:rFonts w:ascii="Times New Roman" w:eastAsia="Malgun Gothic" w:hAnsi="Times New Roman"/>
          <w:bCs/>
          <w:sz w:val="24"/>
          <w:szCs w:val="24"/>
        </w:rPr>
        <w:t>omme (CNDH).</w:t>
      </w:r>
    </w:p>
    <w:p w:rsidR="0024142C" w:rsidRPr="007668DF" w:rsidRDefault="0024142C" w:rsidP="006C2FA0">
      <w:pPr>
        <w:tabs>
          <w:tab w:val="left" w:pos="567"/>
          <w:tab w:val="left" w:pos="709"/>
          <w:tab w:val="left" w:pos="851"/>
        </w:tabs>
        <w:spacing w:after="0"/>
        <w:jc w:val="both"/>
        <w:rPr>
          <w:rFonts w:ascii="Times New Roman" w:eastAsia="Malgun Gothic" w:hAnsi="Times New Roman"/>
          <w:bCs/>
          <w:sz w:val="24"/>
          <w:szCs w:val="24"/>
        </w:rPr>
      </w:pPr>
    </w:p>
    <w:p w:rsidR="0024142C" w:rsidRPr="007668DF" w:rsidRDefault="001F669A" w:rsidP="006C2FA0">
      <w:pPr>
        <w:tabs>
          <w:tab w:val="left" w:pos="567"/>
          <w:tab w:val="left" w:pos="709"/>
          <w:tab w:val="left" w:pos="851"/>
        </w:tabs>
        <w:spacing w:after="0"/>
        <w:jc w:val="both"/>
        <w:rPr>
          <w:rFonts w:ascii="Times New Roman" w:eastAsia="Malgun Gothic" w:hAnsi="Times New Roman"/>
          <w:bCs/>
          <w:sz w:val="24"/>
          <w:szCs w:val="24"/>
        </w:rPr>
      </w:pPr>
      <w:r w:rsidRPr="007668DF">
        <w:rPr>
          <w:rFonts w:ascii="Times New Roman" w:eastAsia="Malgun Gothic" w:hAnsi="Times New Roman"/>
          <w:bCs/>
          <w:sz w:val="24"/>
          <w:szCs w:val="24"/>
        </w:rPr>
        <w:t>1</w:t>
      </w:r>
      <w:r w:rsidR="00A21002">
        <w:rPr>
          <w:rFonts w:ascii="Times New Roman" w:eastAsia="Malgun Gothic" w:hAnsi="Times New Roman"/>
          <w:bCs/>
          <w:sz w:val="24"/>
          <w:szCs w:val="24"/>
        </w:rPr>
        <w:t>05</w:t>
      </w:r>
      <w:r w:rsidR="0024142C" w:rsidRPr="007668DF">
        <w:rPr>
          <w:rFonts w:ascii="Times New Roman" w:eastAsia="Malgun Gothic" w:hAnsi="Times New Roman"/>
          <w:bCs/>
          <w:sz w:val="24"/>
          <w:szCs w:val="24"/>
        </w:rPr>
        <w:t>.</w:t>
      </w:r>
      <w:r w:rsidR="0024142C" w:rsidRPr="007668DF">
        <w:rPr>
          <w:rFonts w:ascii="Times New Roman" w:eastAsia="Malgun Gothic" w:hAnsi="Times New Roman"/>
          <w:bCs/>
          <w:sz w:val="24"/>
          <w:szCs w:val="24"/>
        </w:rPr>
        <w:tab/>
        <w:t xml:space="preserve">L’actuelle CNDH a été créée par la loi n°09-042 du 19 novembre 2009 et le décret N°09-641/P-RM du 30 novembre 2009 fixe sa composition et </w:t>
      </w:r>
      <w:r w:rsidR="0004483F" w:rsidRPr="007668DF">
        <w:rPr>
          <w:rFonts w:ascii="Times New Roman" w:eastAsia="Malgun Gothic" w:hAnsi="Times New Roman"/>
          <w:bCs/>
          <w:sz w:val="24"/>
          <w:szCs w:val="24"/>
        </w:rPr>
        <w:t>l</w:t>
      </w:r>
      <w:r w:rsidR="0024142C" w:rsidRPr="007668DF">
        <w:rPr>
          <w:rFonts w:ascii="Times New Roman" w:eastAsia="Malgun Gothic" w:hAnsi="Times New Roman"/>
          <w:bCs/>
          <w:sz w:val="24"/>
          <w:szCs w:val="24"/>
        </w:rPr>
        <w:t xml:space="preserve">es modalités de </w:t>
      </w:r>
      <w:r w:rsidR="0004483F" w:rsidRPr="007668DF">
        <w:rPr>
          <w:rFonts w:ascii="Times New Roman" w:eastAsia="Malgun Gothic" w:hAnsi="Times New Roman"/>
          <w:bCs/>
          <w:sz w:val="24"/>
          <w:szCs w:val="24"/>
        </w:rPr>
        <w:t>son</w:t>
      </w:r>
      <w:r w:rsidR="00F44B8C" w:rsidRPr="007668DF">
        <w:rPr>
          <w:rFonts w:ascii="Times New Roman" w:eastAsia="Malgun Gothic" w:hAnsi="Times New Roman"/>
          <w:bCs/>
          <w:sz w:val="24"/>
          <w:szCs w:val="24"/>
        </w:rPr>
        <w:t xml:space="preserve"> </w:t>
      </w:r>
      <w:r w:rsidR="0024142C" w:rsidRPr="007668DF">
        <w:rPr>
          <w:rFonts w:ascii="Times New Roman" w:eastAsia="Malgun Gothic" w:hAnsi="Times New Roman"/>
          <w:bCs/>
          <w:sz w:val="24"/>
          <w:szCs w:val="24"/>
        </w:rPr>
        <w:t xml:space="preserve">fonctionnement. La CNDH a connu un parcours en plusieurs étapes visant </w:t>
      </w:r>
      <w:r w:rsidR="00EE5FE6">
        <w:rPr>
          <w:rFonts w:ascii="Times New Roman" w:eastAsia="Malgun Gothic" w:hAnsi="Times New Roman"/>
          <w:bCs/>
          <w:sz w:val="24"/>
          <w:szCs w:val="24"/>
        </w:rPr>
        <w:t xml:space="preserve">à </w:t>
      </w:r>
      <w:r w:rsidR="0024142C" w:rsidRPr="007668DF">
        <w:rPr>
          <w:rFonts w:ascii="Times New Roman" w:eastAsia="Malgun Gothic" w:hAnsi="Times New Roman"/>
          <w:bCs/>
          <w:sz w:val="24"/>
          <w:szCs w:val="24"/>
        </w:rPr>
        <w:t xml:space="preserve">son amélioration sur les plans légal et institutionnel. La révision du cadre légal et institutionnel de la CNDH reste un défi important par rapport à sa conformité avec les Principes de </w:t>
      </w:r>
      <w:r w:rsidR="002365EA" w:rsidRPr="007668DF">
        <w:rPr>
          <w:rFonts w:ascii="Times New Roman" w:eastAsia="Malgun Gothic" w:hAnsi="Times New Roman"/>
          <w:bCs/>
          <w:sz w:val="24"/>
          <w:szCs w:val="24"/>
        </w:rPr>
        <w:t>Paris</w:t>
      </w:r>
      <w:r w:rsidR="00B3569D">
        <w:rPr>
          <w:rStyle w:val="FootnoteReference"/>
          <w:rFonts w:ascii="Times New Roman" w:eastAsia="Malgun Gothic" w:hAnsi="Times New Roman"/>
          <w:bCs/>
          <w:sz w:val="24"/>
          <w:szCs w:val="24"/>
        </w:rPr>
        <w:footnoteReference w:id="21"/>
      </w:r>
      <w:r w:rsidR="002365EA" w:rsidRPr="007668DF">
        <w:rPr>
          <w:rFonts w:ascii="Times New Roman" w:eastAsia="Malgun Gothic" w:hAnsi="Times New Roman"/>
          <w:bCs/>
          <w:sz w:val="24"/>
          <w:szCs w:val="24"/>
        </w:rPr>
        <w:t>.</w:t>
      </w:r>
      <w:r w:rsidR="00C36403" w:rsidRPr="007668DF">
        <w:rPr>
          <w:rFonts w:ascii="Times New Roman" w:eastAsia="Malgun Gothic" w:hAnsi="Times New Roman"/>
          <w:bCs/>
          <w:sz w:val="24"/>
          <w:szCs w:val="24"/>
        </w:rPr>
        <w:t xml:space="preserve"> </w:t>
      </w:r>
      <w:r w:rsidR="000B5671" w:rsidRPr="007668DF">
        <w:rPr>
          <w:rFonts w:ascii="Times New Roman" w:eastAsia="Malgun Gothic" w:hAnsi="Times New Roman"/>
          <w:bCs/>
          <w:sz w:val="24"/>
          <w:szCs w:val="24"/>
        </w:rPr>
        <w:t>A cet égard, u</w:t>
      </w:r>
      <w:r w:rsidR="00C36403" w:rsidRPr="007668DF">
        <w:rPr>
          <w:rFonts w:ascii="Times New Roman" w:eastAsia="Malgun Gothic" w:hAnsi="Times New Roman"/>
          <w:bCs/>
          <w:sz w:val="24"/>
          <w:szCs w:val="24"/>
        </w:rPr>
        <w:t xml:space="preserve">ne </w:t>
      </w:r>
      <w:r w:rsidR="00DD74C3" w:rsidRPr="007668DF">
        <w:rPr>
          <w:rFonts w:ascii="Times New Roman" w:eastAsia="Malgun Gothic" w:hAnsi="Times New Roman"/>
          <w:bCs/>
          <w:sz w:val="24"/>
          <w:szCs w:val="24"/>
        </w:rPr>
        <w:t>série</w:t>
      </w:r>
      <w:r w:rsidR="00C36403" w:rsidRPr="007668DF">
        <w:rPr>
          <w:rFonts w:ascii="Times New Roman" w:eastAsia="Malgun Gothic" w:hAnsi="Times New Roman"/>
          <w:bCs/>
          <w:sz w:val="24"/>
          <w:szCs w:val="24"/>
        </w:rPr>
        <w:t xml:space="preserve"> d’initiatives d’appui </w:t>
      </w:r>
      <w:r w:rsidR="00DD74C3" w:rsidRPr="007668DF">
        <w:rPr>
          <w:rFonts w:ascii="Times New Roman" w:eastAsia="Malgun Gothic" w:hAnsi="Times New Roman"/>
          <w:bCs/>
          <w:sz w:val="24"/>
          <w:szCs w:val="24"/>
        </w:rPr>
        <w:t>à</w:t>
      </w:r>
      <w:r w:rsidR="00C36403" w:rsidRPr="007668DF">
        <w:rPr>
          <w:rFonts w:ascii="Times New Roman" w:eastAsia="Malgun Gothic" w:hAnsi="Times New Roman"/>
          <w:bCs/>
          <w:sz w:val="24"/>
          <w:szCs w:val="24"/>
        </w:rPr>
        <w:t xml:space="preserve"> la </w:t>
      </w:r>
      <w:r w:rsidR="00DD74C3" w:rsidRPr="007668DF">
        <w:rPr>
          <w:rFonts w:ascii="Times New Roman" w:eastAsia="Malgun Gothic" w:hAnsi="Times New Roman"/>
          <w:bCs/>
          <w:sz w:val="24"/>
          <w:szCs w:val="24"/>
        </w:rPr>
        <w:t>réforme</w:t>
      </w:r>
      <w:r w:rsidR="00C36403" w:rsidRPr="007668DF">
        <w:rPr>
          <w:rFonts w:ascii="Times New Roman" w:eastAsia="Malgun Gothic" w:hAnsi="Times New Roman"/>
          <w:bCs/>
          <w:sz w:val="24"/>
          <w:szCs w:val="24"/>
        </w:rPr>
        <w:t xml:space="preserve"> de la</w:t>
      </w:r>
      <w:r w:rsidR="00DD74C3" w:rsidRPr="007668DF">
        <w:rPr>
          <w:rFonts w:ascii="Times New Roman" w:eastAsia="Malgun Gothic" w:hAnsi="Times New Roman"/>
          <w:bCs/>
          <w:sz w:val="24"/>
          <w:szCs w:val="24"/>
        </w:rPr>
        <w:t xml:space="preserve"> </w:t>
      </w:r>
      <w:r w:rsidR="00C36403" w:rsidRPr="007668DF">
        <w:rPr>
          <w:rFonts w:ascii="Times New Roman" w:eastAsia="Malgun Gothic" w:hAnsi="Times New Roman"/>
          <w:bCs/>
          <w:sz w:val="24"/>
          <w:szCs w:val="24"/>
        </w:rPr>
        <w:t>Commission a été entreprise</w:t>
      </w:r>
      <w:r w:rsidR="000B5671" w:rsidRPr="007668DF">
        <w:rPr>
          <w:rFonts w:ascii="Times New Roman" w:eastAsia="Malgun Gothic" w:hAnsi="Times New Roman"/>
          <w:bCs/>
          <w:sz w:val="24"/>
          <w:szCs w:val="24"/>
        </w:rPr>
        <w:t xml:space="preserve"> et a conduit au projet de loi présenté au parlement pour adoption depuis quelques mois.</w:t>
      </w:r>
      <w:r w:rsidR="002365EA" w:rsidRPr="007668DF">
        <w:rPr>
          <w:rFonts w:ascii="Times New Roman" w:eastAsia="Malgun Gothic" w:hAnsi="Times New Roman"/>
          <w:bCs/>
          <w:sz w:val="24"/>
          <w:szCs w:val="24"/>
        </w:rPr>
        <w:t xml:space="preserve"> </w:t>
      </w:r>
      <w:r w:rsidR="0024142C" w:rsidRPr="007668DF">
        <w:rPr>
          <w:rFonts w:ascii="Times New Roman" w:eastAsia="Malgun Gothic" w:hAnsi="Times New Roman"/>
          <w:bCs/>
          <w:sz w:val="24"/>
          <w:szCs w:val="24"/>
        </w:rPr>
        <w:t xml:space="preserve">Cette préoccupation majeure a été formulée dans le cadre des recommandations acceptées par le Mali lors de son passage à l’Examen périodique universel du Conseil des droits de l’homme des Nations </w:t>
      </w:r>
      <w:r w:rsidR="00EE431B">
        <w:rPr>
          <w:rFonts w:ascii="Times New Roman" w:eastAsia="Malgun Gothic" w:hAnsi="Times New Roman"/>
          <w:bCs/>
          <w:sz w:val="24"/>
          <w:szCs w:val="24"/>
        </w:rPr>
        <w:t>U</w:t>
      </w:r>
      <w:r w:rsidR="0024142C" w:rsidRPr="007668DF">
        <w:rPr>
          <w:rFonts w:ascii="Times New Roman" w:eastAsia="Malgun Gothic" w:hAnsi="Times New Roman"/>
          <w:bCs/>
          <w:sz w:val="24"/>
          <w:szCs w:val="24"/>
        </w:rPr>
        <w:t>nies, en janvier 2013.</w:t>
      </w:r>
    </w:p>
    <w:p w:rsidR="0024142C" w:rsidRPr="007668DF" w:rsidRDefault="0024142C" w:rsidP="006C2FA0">
      <w:pPr>
        <w:tabs>
          <w:tab w:val="left" w:pos="567"/>
          <w:tab w:val="left" w:pos="709"/>
          <w:tab w:val="left" w:pos="851"/>
        </w:tabs>
        <w:spacing w:after="0"/>
        <w:jc w:val="both"/>
        <w:rPr>
          <w:rFonts w:ascii="Times New Roman" w:eastAsia="Malgun Gothic" w:hAnsi="Times New Roman"/>
          <w:bCs/>
          <w:sz w:val="24"/>
          <w:szCs w:val="24"/>
        </w:rPr>
      </w:pPr>
    </w:p>
    <w:p w:rsidR="0024142C" w:rsidRPr="007668DF" w:rsidRDefault="001F669A" w:rsidP="006C2FA0">
      <w:pPr>
        <w:tabs>
          <w:tab w:val="left" w:pos="567"/>
          <w:tab w:val="left" w:pos="709"/>
          <w:tab w:val="left" w:pos="851"/>
        </w:tabs>
        <w:spacing w:after="0"/>
        <w:jc w:val="both"/>
        <w:rPr>
          <w:rFonts w:ascii="Times New Roman" w:eastAsia="Malgun Gothic" w:hAnsi="Times New Roman"/>
          <w:bCs/>
          <w:sz w:val="24"/>
          <w:szCs w:val="24"/>
        </w:rPr>
      </w:pPr>
      <w:r w:rsidRPr="007668DF">
        <w:rPr>
          <w:rFonts w:ascii="Times New Roman" w:eastAsia="Malgun Gothic" w:hAnsi="Times New Roman"/>
          <w:bCs/>
          <w:sz w:val="24"/>
          <w:szCs w:val="24"/>
        </w:rPr>
        <w:t>1</w:t>
      </w:r>
      <w:r w:rsidR="00A21002">
        <w:rPr>
          <w:rFonts w:ascii="Times New Roman" w:eastAsia="Malgun Gothic" w:hAnsi="Times New Roman"/>
          <w:bCs/>
          <w:sz w:val="24"/>
          <w:szCs w:val="24"/>
        </w:rPr>
        <w:t>06</w:t>
      </w:r>
      <w:r w:rsidR="0024142C" w:rsidRPr="007668DF">
        <w:rPr>
          <w:rFonts w:ascii="Times New Roman" w:eastAsia="Malgun Gothic" w:hAnsi="Times New Roman"/>
          <w:bCs/>
          <w:sz w:val="24"/>
          <w:szCs w:val="24"/>
        </w:rPr>
        <w:t>.</w:t>
      </w:r>
      <w:r w:rsidR="0024142C" w:rsidRPr="007668DF">
        <w:rPr>
          <w:rFonts w:ascii="Times New Roman" w:eastAsia="Malgun Gothic" w:hAnsi="Times New Roman"/>
          <w:bCs/>
          <w:sz w:val="24"/>
          <w:szCs w:val="24"/>
        </w:rPr>
        <w:tab/>
        <w:t>C’est dans ce cadre que</w:t>
      </w:r>
      <w:r w:rsidR="0004483F" w:rsidRPr="007668DF">
        <w:rPr>
          <w:rFonts w:ascii="Times New Roman" w:eastAsia="Malgun Gothic" w:hAnsi="Times New Roman"/>
          <w:bCs/>
          <w:sz w:val="24"/>
          <w:szCs w:val="24"/>
        </w:rPr>
        <w:t>,</w:t>
      </w:r>
      <w:r w:rsidR="0024142C" w:rsidRPr="007668DF">
        <w:rPr>
          <w:rFonts w:ascii="Times New Roman" w:eastAsia="Malgun Gothic" w:hAnsi="Times New Roman"/>
          <w:bCs/>
          <w:sz w:val="24"/>
          <w:szCs w:val="24"/>
        </w:rPr>
        <w:t xml:space="preserve"> les 3 et 4 mars 2014, la CNDH et le </w:t>
      </w:r>
      <w:r w:rsidR="00EE431B">
        <w:rPr>
          <w:rFonts w:ascii="Times New Roman" w:eastAsia="Malgun Gothic" w:hAnsi="Times New Roman"/>
          <w:bCs/>
          <w:sz w:val="24"/>
          <w:szCs w:val="24"/>
        </w:rPr>
        <w:t>M</w:t>
      </w:r>
      <w:r w:rsidR="0024142C" w:rsidRPr="007668DF">
        <w:rPr>
          <w:rFonts w:ascii="Times New Roman" w:eastAsia="Malgun Gothic" w:hAnsi="Times New Roman"/>
          <w:bCs/>
          <w:sz w:val="24"/>
          <w:szCs w:val="24"/>
        </w:rPr>
        <w:t xml:space="preserve">inistère de la </w:t>
      </w:r>
      <w:r w:rsidR="00EE431B">
        <w:rPr>
          <w:rFonts w:ascii="Times New Roman" w:eastAsia="Malgun Gothic" w:hAnsi="Times New Roman"/>
          <w:bCs/>
          <w:sz w:val="24"/>
          <w:szCs w:val="24"/>
        </w:rPr>
        <w:t>J</w:t>
      </w:r>
      <w:r w:rsidR="0024142C" w:rsidRPr="007668DF">
        <w:rPr>
          <w:rFonts w:ascii="Times New Roman" w:eastAsia="Malgun Gothic" w:hAnsi="Times New Roman"/>
          <w:bCs/>
          <w:sz w:val="24"/>
          <w:szCs w:val="24"/>
        </w:rPr>
        <w:t>ustice</w:t>
      </w:r>
      <w:r w:rsidR="00EE431B">
        <w:rPr>
          <w:rFonts w:ascii="Times New Roman" w:eastAsia="Malgun Gothic" w:hAnsi="Times New Roman"/>
          <w:bCs/>
          <w:sz w:val="24"/>
          <w:szCs w:val="24"/>
        </w:rPr>
        <w:t xml:space="preserve"> et des droits de l’homme</w:t>
      </w:r>
      <w:r w:rsidR="0024142C" w:rsidRPr="007668DF">
        <w:rPr>
          <w:rFonts w:ascii="Times New Roman" w:eastAsia="Malgun Gothic" w:hAnsi="Times New Roman"/>
          <w:bCs/>
          <w:sz w:val="24"/>
          <w:szCs w:val="24"/>
        </w:rPr>
        <w:t xml:space="preserve">, en partenariat avec la Division des droits de l’homme de la MINUSMA et le Programme </w:t>
      </w:r>
      <w:r w:rsidR="00712200" w:rsidRPr="007668DF">
        <w:rPr>
          <w:rFonts w:ascii="Times New Roman" w:eastAsia="Malgun Gothic" w:hAnsi="Times New Roman"/>
          <w:bCs/>
          <w:sz w:val="24"/>
          <w:szCs w:val="24"/>
        </w:rPr>
        <w:t>c</w:t>
      </w:r>
      <w:r w:rsidR="0024142C" w:rsidRPr="007668DF">
        <w:rPr>
          <w:rFonts w:ascii="Times New Roman" w:eastAsia="Malgun Gothic" w:hAnsi="Times New Roman"/>
          <w:bCs/>
          <w:sz w:val="24"/>
          <w:szCs w:val="24"/>
        </w:rPr>
        <w:t xml:space="preserve">onjoint des Nations </w:t>
      </w:r>
      <w:r w:rsidR="00EC3684">
        <w:rPr>
          <w:rFonts w:ascii="Times New Roman" w:eastAsia="Malgun Gothic" w:hAnsi="Times New Roman"/>
          <w:bCs/>
          <w:sz w:val="24"/>
          <w:szCs w:val="24"/>
        </w:rPr>
        <w:t>U</w:t>
      </w:r>
      <w:r w:rsidR="0024142C" w:rsidRPr="007668DF">
        <w:rPr>
          <w:rFonts w:ascii="Times New Roman" w:eastAsia="Malgun Gothic" w:hAnsi="Times New Roman"/>
          <w:bCs/>
          <w:sz w:val="24"/>
          <w:szCs w:val="24"/>
        </w:rPr>
        <w:t>nies d’</w:t>
      </w:r>
      <w:r w:rsidR="00712200" w:rsidRPr="007668DF">
        <w:rPr>
          <w:rFonts w:ascii="Times New Roman" w:eastAsia="Malgun Gothic" w:hAnsi="Times New Roman"/>
          <w:bCs/>
          <w:sz w:val="24"/>
          <w:szCs w:val="24"/>
        </w:rPr>
        <w:t>a</w:t>
      </w:r>
      <w:r w:rsidR="0024142C" w:rsidRPr="007668DF">
        <w:rPr>
          <w:rFonts w:ascii="Times New Roman" w:eastAsia="Malgun Gothic" w:hAnsi="Times New Roman"/>
          <w:bCs/>
          <w:sz w:val="24"/>
          <w:szCs w:val="24"/>
        </w:rPr>
        <w:t xml:space="preserve">ppui à la promotion des droits de l’homme au Mali (PDH), ont organisé un atelier de lancement du processus de </w:t>
      </w:r>
      <w:r w:rsidR="0024142C" w:rsidRPr="007668DF">
        <w:rPr>
          <w:rFonts w:ascii="Times New Roman" w:eastAsia="Malgun Gothic" w:hAnsi="Times New Roman"/>
          <w:bCs/>
          <w:sz w:val="24"/>
          <w:szCs w:val="24"/>
        </w:rPr>
        <w:lastRenderedPageBreak/>
        <w:t xml:space="preserve">refondation de la CNDH. L’atelier a regroupé </w:t>
      </w:r>
      <w:r w:rsidR="00EC3684">
        <w:rPr>
          <w:rFonts w:ascii="Times New Roman" w:eastAsia="Malgun Gothic" w:hAnsi="Times New Roman"/>
          <w:bCs/>
          <w:sz w:val="24"/>
          <w:szCs w:val="24"/>
        </w:rPr>
        <w:t>d</w:t>
      </w:r>
      <w:r w:rsidR="0024142C" w:rsidRPr="007668DF">
        <w:rPr>
          <w:rFonts w:ascii="Times New Roman" w:eastAsia="Malgun Gothic" w:hAnsi="Times New Roman"/>
          <w:bCs/>
          <w:sz w:val="24"/>
          <w:szCs w:val="24"/>
        </w:rPr>
        <w:t xml:space="preserve">es parlementaires, </w:t>
      </w:r>
      <w:r w:rsidR="00EC3684">
        <w:rPr>
          <w:rFonts w:ascii="Times New Roman" w:eastAsia="Malgun Gothic" w:hAnsi="Times New Roman"/>
          <w:bCs/>
          <w:sz w:val="24"/>
          <w:szCs w:val="24"/>
        </w:rPr>
        <w:t>d</w:t>
      </w:r>
      <w:r w:rsidR="0024142C" w:rsidRPr="007668DF">
        <w:rPr>
          <w:rFonts w:ascii="Times New Roman" w:eastAsia="Malgun Gothic" w:hAnsi="Times New Roman"/>
          <w:bCs/>
          <w:sz w:val="24"/>
          <w:szCs w:val="24"/>
        </w:rPr>
        <w:t xml:space="preserve">es membres du gouvernement et </w:t>
      </w:r>
      <w:r w:rsidR="00EC3684">
        <w:rPr>
          <w:rFonts w:ascii="Times New Roman" w:eastAsia="Malgun Gothic" w:hAnsi="Times New Roman"/>
          <w:bCs/>
          <w:sz w:val="24"/>
          <w:szCs w:val="24"/>
        </w:rPr>
        <w:t>d</w:t>
      </w:r>
      <w:r w:rsidR="0024142C" w:rsidRPr="007668DF">
        <w:rPr>
          <w:rFonts w:ascii="Times New Roman" w:eastAsia="Malgun Gothic" w:hAnsi="Times New Roman"/>
          <w:bCs/>
          <w:sz w:val="24"/>
          <w:szCs w:val="24"/>
        </w:rPr>
        <w:t>es représentants de la société civile</w:t>
      </w:r>
      <w:r w:rsidR="0004483F" w:rsidRPr="007668DF">
        <w:rPr>
          <w:rFonts w:ascii="Times New Roman" w:eastAsia="Malgun Gothic" w:hAnsi="Times New Roman"/>
          <w:bCs/>
          <w:sz w:val="24"/>
          <w:szCs w:val="24"/>
        </w:rPr>
        <w:t xml:space="preserve">, ainsi </w:t>
      </w:r>
      <w:r w:rsidR="0024142C" w:rsidRPr="007668DF">
        <w:rPr>
          <w:rFonts w:ascii="Times New Roman" w:eastAsia="Malgun Gothic" w:hAnsi="Times New Roman"/>
          <w:bCs/>
          <w:sz w:val="24"/>
          <w:szCs w:val="24"/>
        </w:rPr>
        <w:t xml:space="preserve"> </w:t>
      </w:r>
      <w:r w:rsidR="0004483F" w:rsidRPr="007668DF">
        <w:rPr>
          <w:rFonts w:ascii="Times New Roman" w:eastAsia="Malgun Gothic" w:hAnsi="Times New Roman"/>
          <w:bCs/>
          <w:sz w:val="24"/>
          <w:szCs w:val="24"/>
        </w:rPr>
        <w:t xml:space="preserve">que </w:t>
      </w:r>
      <w:r w:rsidR="0024142C" w:rsidRPr="007668DF">
        <w:rPr>
          <w:rFonts w:ascii="Times New Roman" w:eastAsia="Malgun Gothic" w:hAnsi="Times New Roman"/>
          <w:bCs/>
          <w:sz w:val="24"/>
          <w:szCs w:val="24"/>
        </w:rPr>
        <w:t xml:space="preserve">des partenaires des Nations </w:t>
      </w:r>
      <w:r w:rsidR="00EC3684">
        <w:rPr>
          <w:rFonts w:ascii="Times New Roman" w:eastAsia="Malgun Gothic" w:hAnsi="Times New Roman"/>
          <w:bCs/>
          <w:sz w:val="24"/>
          <w:szCs w:val="24"/>
        </w:rPr>
        <w:t>U</w:t>
      </w:r>
      <w:r w:rsidR="0024142C" w:rsidRPr="007668DF">
        <w:rPr>
          <w:rFonts w:ascii="Times New Roman" w:eastAsia="Malgun Gothic" w:hAnsi="Times New Roman"/>
          <w:bCs/>
          <w:sz w:val="24"/>
          <w:szCs w:val="24"/>
        </w:rPr>
        <w:t xml:space="preserve">nies et d’autres institutions </w:t>
      </w:r>
      <w:r w:rsidR="0004483F" w:rsidRPr="007668DF">
        <w:rPr>
          <w:rFonts w:ascii="Times New Roman" w:eastAsia="Malgun Gothic" w:hAnsi="Times New Roman"/>
          <w:bCs/>
          <w:sz w:val="24"/>
          <w:szCs w:val="24"/>
        </w:rPr>
        <w:t>nationales </w:t>
      </w:r>
      <w:r w:rsidR="0024142C" w:rsidRPr="007668DF">
        <w:rPr>
          <w:rFonts w:ascii="Times New Roman" w:eastAsia="Malgun Gothic" w:hAnsi="Times New Roman"/>
          <w:bCs/>
          <w:sz w:val="24"/>
          <w:szCs w:val="24"/>
        </w:rPr>
        <w:t>des droits de l’homme.</w:t>
      </w:r>
    </w:p>
    <w:p w:rsidR="0024142C" w:rsidRPr="007668DF" w:rsidRDefault="0024142C" w:rsidP="006C2FA0">
      <w:pPr>
        <w:tabs>
          <w:tab w:val="left" w:pos="567"/>
          <w:tab w:val="left" w:pos="709"/>
          <w:tab w:val="left" w:pos="851"/>
        </w:tabs>
        <w:spacing w:after="0"/>
        <w:jc w:val="both"/>
        <w:rPr>
          <w:rFonts w:ascii="Times New Roman" w:eastAsia="Malgun Gothic" w:hAnsi="Times New Roman"/>
          <w:bCs/>
          <w:sz w:val="24"/>
          <w:szCs w:val="24"/>
        </w:rPr>
      </w:pPr>
    </w:p>
    <w:p w:rsidR="0024142C" w:rsidRPr="007668DF" w:rsidRDefault="001F669A" w:rsidP="006C2FA0">
      <w:pPr>
        <w:tabs>
          <w:tab w:val="left" w:pos="567"/>
          <w:tab w:val="left" w:pos="709"/>
          <w:tab w:val="left" w:pos="851"/>
        </w:tabs>
        <w:spacing w:after="0"/>
        <w:jc w:val="both"/>
        <w:rPr>
          <w:rFonts w:ascii="Times New Roman" w:eastAsia="Malgun Gothic" w:hAnsi="Times New Roman"/>
          <w:bCs/>
          <w:sz w:val="24"/>
          <w:szCs w:val="24"/>
        </w:rPr>
      </w:pPr>
      <w:r w:rsidRPr="007668DF">
        <w:rPr>
          <w:rFonts w:ascii="Times New Roman" w:eastAsia="Malgun Gothic" w:hAnsi="Times New Roman"/>
          <w:bCs/>
          <w:sz w:val="24"/>
          <w:szCs w:val="24"/>
        </w:rPr>
        <w:t>1</w:t>
      </w:r>
      <w:r w:rsidR="00AA11CC">
        <w:rPr>
          <w:rFonts w:ascii="Times New Roman" w:eastAsia="Malgun Gothic" w:hAnsi="Times New Roman"/>
          <w:bCs/>
          <w:sz w:val="24"/>
          <w:szCs w:val="24"/>
        </w:rPr>
        <w:t>0</w:t>
      </w:r>
      <w:r w:rsidR="00A21002">
        <w:rPr>
          <w:rFonts w:ascii="Times New Roman" w:eastAsia="Malgun Gothic" w:hAnsi="Times New Roman"/>
          <w:bCs/>
          <w:sz w:val="24"/>
          <w:szCs w:val="24"/>
        </w:rPr>
        <w:t>7</w:t>
      </w:r>
      <w:r w:rsidR="0024142C" w:rsidRPr="007668DF">
        <w:rPr>
          <w:rFonts w:ascii="Times New Roman" w:eastAsia="Malgun Gothic" w:hAnsi="Times New Roman"/>
          <w:bCs/>
          <w:sz w:val="24"/>
          <w:szCs w:val="24"/>
        </w:rPr>
        <w:t>.</w:t>
      </w:r>
      <w:r w:rsidR="0024142C" w:rsidRPr="007668DF">
        <w:rPr>
          <w:rFonts w:ascii="Times New Roman" w:eastAsia="Malgun Gothic" w:hAnsi="Times New Roman"/>
          <w:bCs/>
          <w:sz w:val="24"/>
          <w:szCs w:val="24"/>
        </w:rPr>
        <w:tab/>
        <w:t xml:space="preserve">A l’issue de l’atelier, </w:t>
      </w:r>
      <w:r w:rsidR="0004483F" w:rsidRPr="007668DF">
        <w:rPr>
          <w:rFonts w:ascii="Times New Roman" w:eastAsia="Malgun Gothic" w:hAnsi="Times New Roman"/>
          <w:bCs/>
          <w:sz w:val="24"/>
          <w:szCs w:val="24"/>
        </w:rPr>
        <w:t xml:space="preserve">la CNDH a initié </w:t>
      </w:r>
      <w:r w:rsidR="0024142C" w:rsidRPr="007668DF">
        <w:rPr>
          <w:rFonts w:ascii="Times New Roman" w:eastAsia="Malgun Gothic" w:hAnsi="Times New Roman"/>
          <w:bCs/>
          <w:sz w:val="24"/>
          <w:szCs w:val="24"/>
        </w:rPr>
        <w:t>un plaidoyer de haut niveau</w:t>
      </w:r>
      <w:r w:rsidR="0004483F" w:rsidRPr="007668DF">
        <w:rPr>
          <w:rFonts w:ascii="Times New Roman" w:eastAsia="Malgun Gothic" w:hAnsi="Times New Roman"/>
          <w:bCs/>
          <w:sz w:val="24"/>
          <w:szCs w:val="24"/>
        </w:rPr>
        <w:t xml:space="preserve">, </w:t>
      </w:r>
      <w:r w:rsidR="0024142C" w:rsidRPr="007668DF">
        <w:rPr>
          <w:rFonts w:ascii="Times New Roman" w:eastAsia="Malgun Gothic" w:hAnsi="Times New Roman"/>
          <w:bCs/>
          <w:sz w:val="24"/>
          <w:szCs w:val="24"/>
        </w:rPr>
        <w:t>en partenariat avec la Division des droits de l’homme</w:t>
      </w:r>
      <w:r w:rsidR="0004483F" w:rsidRPr="007668DF">
        <w:rPr>
          <w:rFonts w:ascii="Times New Roman" w:eastAsia="Malgun Gothic" w:hAnsi="Times New Roman"/>
          <w:bCs/>
          <w:sz w:val="24"/>
          <w:szCs w:val="24"/>
        </w:rPr>
        <w:t>,</w:t>
      </w:r>
      <w:r w:rsidR="0024142C" w:rsidRPr="007668DF">
        <w:rPr>
          <w:rFonts w:ascii="Times New Roman" w:eastAsia="Malgun Gothic" w:hAnsi="Times New Roman"/>
          <w:bCs/>
          <w:sz w:val="24"/>
          <w:szCs w:val="24"/>
        </w:rPr>
        <w:t xml:space="preserve"> à l’endroit du Président de la République, du Président de l’Assemblée nationale, du Président du Haut </w:t>
      </w:r>
      <w:r w:rsidR="0004483F" w:rsidRPr="007668DF">
        <w:rPr>
          <w:rFonts w:ascii="Times New Roman" w:eastAsia="Malgun Gothic" w:hAnsi="Times New Roman"/>
          <w:bCs/>
          <w:sz w:val="24"/>
          <w:szCs w:val="24"/>
        </w:rPr>
        <w:t>c</w:t>
      </w:r>
      <w:r w:rsidR="0024142C" w:rsidRPr="007668DF">
        <w:rPr>
          <w:rFonts w:ascii="Times New Roman" w:eastAsia="Malgun Gothic" w:hAnsi="Times New Roman"/>
          <w:bCs/>
          <w:sz w:val="24"/>
          <w:szCs w:val="24"/>
        </w:rPr>
        <w:t xml:space="preserve">onseil des collectivités territoriales, du Médiateur de la République et du Président de la Cour </w:t>
      </w:r>
      <w:r w:rsidR="0004483F" w:rsidRPr="007668DF">
        <w:rPr>
          <w:rFonts w:ascii="Times New Roman" w:eastAsia="Malgun Gothic" w:hAnsi="Times New Roman"/>
          <w:bCs/>
          <w:sz w:val="24"/>
          <w:szCs w:val="24"/>
        </w:rPr>
        <w:t>s</w:t>
      </w:r>
      <w:r w:rsidR="0024142C" w:rsidRPr="007668DF">
        <w:rPr>
          <w:rFonts w:ascii="Times New Roman" w:eastAsia="Malgun Gothic" w:hAnsi="Times New Roman"/>
          <w:bCs/>
          <w:sz w:val="24"/>
          <w:szCs w:val="24"/>
        </w:rPr>
        <w:t>uprême dans le but d’obtenir leur engagement à soutenir le processus de révision.</w:t>
      </w:r>
    </w:p>
    <w:p w:rsidR="00001374" w:rsidRDefault="00001374" w:rsidP="006C2FA0">
      <w:pPr>
        <w:tabs>
          <w:tab w:val="left" w:pos="567"/>
          <w:tab w:val="left" w:pos="709"/>
          <w:tab w:val="left" w:pos="851"/>
        </w:tabs>
        <w:spacing w:after="0"/>
        <w:jc w:val="both"/>
        <w:rPr>
          <w:rFonts w:ascii="Times New Roman" w:eastAsia="Malgun Gothic" w:hAnsi="Times New Roman"/>
          <w:bCs/>
          <w:sz w:val="24"/>
          <w:szCs w:val="24"/>
        </w:rPr>
      </w:pPr>
    </w:p>
    <w:p w:rsidR="00E624A7" w:rsidRPr="007668DF" w:rsidRDefault="00E624A7" w:rsidP="006C2FA0">
      <w:pPr>
        <w:tabs>
          <w:tab w:val="left" w:pos="567"/>
          <w:tab w:val="left" w:pos="709"/>
          <w:tab w:val="left" w:pos="851"/>
        </w:tabs>
        <w:spacing w:after="0"/>
        <w:jc w:val="both"/>
        <w:rPr>
          <w:rFonts w:ascii="Times New Roman" w:eastAsia="Malgun Gothic" w:hAnsi="Times New Roman"/>
          <w:bCs/>
          <w:sz w:val="24"/>
          <w:szCs w:val="24"/>
        </w:rPr>
      </w:pPr>
    </w:p>
    <w:p w:rsidR="0024142C" w:rsidRPr="007668DF" w:rsidRDefault="0024142C" w:rsidP="003B152B">
      <w:pPr>
        <w:pStyle w:val="Subtitle"/>
        <w:rPr>
          <w:rFonts w:eastAsia="Malgun Gothic"/>
        </w:rPr>
      </w:pPr>
      <w:bookmarkStart w:id="27" w:name="_Toc401931506"/>
      <w:r w:rsidRPr="007668DF">
        <w:rPr>
          <w:rFonts w:eastAsia="Malgun Gothic"/>
        </w:rPr>
        <w:t>Appui aux institutions nationales</w:t>
      </w:r>
      <w:bookmarkEnd w:id="27"/>
      <w:r w:rsidRPr="007668DF">
        <w:rPr>
          <w:rFonts w:eastAsia="Malgun Gothic"/>
        </w:rPr>
        <w:t xml:space="preserve"> </w:t>
      </w:r>
    </w:p>
    <w:p w:rsidR="00712200" w:rsidRPr="007668DF" w:rsidRDefault="00DC4F65" w:rsidP="006C2FA0">
      <w:pPr>
        <w:tabs>
          <w:tab w:val="left" w:pos="567"/>
          <w:tab w:val="left" w:pos="709"/>
          <w:tab w:val="left" w:pos="851"/>
        </w:tabs>
        <w:spacing w:after="0"/>
        <w:jc w:val="both"/>
        <w:rPr>
          <w:rFonts w:ascii="Times New Roman" w:eastAsia="Malgun Gothic" w:hAnsi="Times New Roman"/>
          <w:bCs/>
          <w:i/>
          <w:sz w:val="24"/>
          <w:szCs w:val="24"/>
        </w:rPr>
      </w:pPr>
      <w:r>
        <w:rPr>
          <w:rFonts w:ascii="Times New Roman" w:eastAsia="Malgun Gothic" w:hAnsi="Times New Roman"/>
          <w:bCs/>
          <w:i/>
          <w:sz w:val="24"/>
          <w:szCs w:val="24"/>
        </w:rPr>
        <w:tab/>
      </w:r>
      <w:r w:rsidR="00712200" w:rsidRPr="007668DF">
        <w:rPr>
          <w:rFonts w:ascii="Times New Roman" w:eastAsia="Malgun Gothic" w:hAnsi="Times New Roman"/>
          <w:bCs/>
          <w:i/>
          <w:sz w:val="24"/>
          <w:szCs w:val="24"/>
        </w:rPr>
        <w:t>Appui au bureau du Médiateur de la République</w:t>
      </w:r>
    </w:p>
    <w:p w:rsidR="00712200" w:rsidRPr="007668DF" w:rsidRDefault="00712200" w:rsidP="006C2FA0">
      <w:pPr>
        <w:tabs>
          <w:tab w:val="left" w:pos="567"/>
          <w:tab w:val="left" w:pos="709"/>
          <w:tab w:val="left" w:pos="851"/>
        </w:tabs>
        <w:spacing w:after="0"/>
        <w:jc w:val="both"/>
        <w:rPr>
          <w:rFonts w:ascii="Times New Roman" w:eastAsia="Malgun Gothic" w:hAnsi="Times New Roman"/>
          <w:bCs/>
          <w:sz w:val="24"/>
          <w:szCs w:val="24"/>
        </w:rPr>
      </w:pPr>
    </w:p>
    <w:p w:rsidR="0024142C" w:rsidRPr="007668DF" w:rsidRDefault="001F669A" w:rsidP="006C2FA0">
      <w:pPr>
        <w:tabs>
          <w:tab w:val="left" w:pos="567"/>
          <w:tab w:val="left" w:pos="709"/>
          <w:tab w:val="left" w:pos="851"/>
        </w:tabs>
        <w:spacing w:after="0"/>
        <w:jc w:val="both"/>
        <w:rPr>
          <w:rFonts w:ascii="Times New Roman" w:eastAsia="Malgun Gothic" w:hAnsi="Times New Roman"/>
          <w:bCs/>
          <w:sz w:val="24"/>
          <w:szCs w:val="24"/>
        </w:rPr>
      </w:pPr>
      <w:r w:rsidRPr="007668DF">
        <w:rPr>
          <w:rFonts w:ascii="Times New Roman" w:eastAsia="Malgun Gothic" w:hAnsi="Times New Roman"/>
          <w:bCs/>
          <w:sz w:val="24"/>
          <w:szCs w:val="24"/>
        </w:rPr>
        <w:t>1</w:t>
      </w:r>
      <w:r w:rsidR="00A21002">
        <w:rPr>
          <w:rFonts w:ascii="Times New Roman" w:eastAsia="Malgun Gothic" w:hAnsi="Times New Roman"/>
          <w:bCs/>
          <w:sz w:val="24"/>
          <w:szCs w:val="24"/>
        </w:rPr>
        <w:t>08</w:t>
      </w:r>
      <w:r w:rsidR="0024142C" w:rsidRPr="007668DF">
        <w:rPr>
          <w:rFonts w:ascii="Times New Roman" w:eastAsia="Malgun Gothic" w:hAnsi="Times New Roman"/>
          <w:bCs/>
          <w:sz w:val="24"/>
          <w:szCs w:val="24"/>
        </w:rPr>
        <w:t>.</w:t>
      </w:r>
      <w:r w:rsidR="0024142C" w:rsidRPr="007668DF">
        <w:rPr>
          <w:rFonts w:ascii="Times New Roman" w:eastAsia="Malgun Gothic" w:hAnsi="Times New Roman"/>
          <w:bCs/>
          <w:sz w:val="24"/>
          <w:szCs w:val="24"/>
        </w:rPr>
        <w:tab/>
        <w:t xml:space="preserve">Cet appui s’est concrétisé à travers le mécanisme national de l’Espace d’interpellation </w:t>
      </w:r>
      <w:r w:rsidR="00712200" w:rsidRPr="007668DF">
        <w:rPr>
          <w:rFonts w:ascii="Times New Roman" w:eastAsia="Malgun Gothic" w:hAnsi="Times New Roman"/>
          <w:bCs/>
          <w:sz w:val="24"/>
          <w:szCs w:val="24"/>
        </w:rPr>
        <w:t>d</w:t>
      </w:r>
      <w:r w:rsidR="0024142C" w:rsidRPr="007668DF">
        <w:rPr>
          <w:rFonts w:ascii="Times New Roman" w:eastAsia="Malgun Gothic" w:hAnsi="Times New Roman"/>
          <w:bCs/>
          <w:sz w:val="24"/>
          <w:szCs w:val="24"/>
        </w:rPr>
        <w:t>émocratique (EID)</w:t>
      </w:r>
      <w:r w:rsidR="0004483F" w:rsidRPr="007668DF">
        <w:rPr>
          <w:rFonts w:ascii="Times New Roman" w:eastAsia="Malgun Gothic" w:hAnsi="Times New Roman"/>
          <w:bCs/>
          <w:sz w:val="24"/>
          <w:szCs w:val="24"/>
        </w:rPr>
        <w:t>,</w:t>
      </w:r>
      <w:r w:rsidR="0024142C" w:rsidRPr="007668DF">
        <w:rPr>
          <w:rFonts w:ascii="Times New Roman" w:eastAsia="Malgun Gothic" w:hAnsi="Times New Roman"/>
          <w:bCs/>
          <w:sz w:val="24"/>
          <w:szCs w:val="24"/>
        </w:rPr>
        <w:t xml:space="preserve"> organisé le 10 décembre de chaque année sous l’égide du bureau du Médiateur de la République. Institué </w:t>
      </w:r>
      <w:r w:rsidR="0004483F" w:rsidRPr="007668DF">
        <w:rPr>
          <w:rFonts w:ascii="Times New Roman" w:eastAsia="Malgun Gothic" w:hAnsi="Times New Roman"/>
          <w:bCs/>
          <w:sz w:val="24"/>
          <w:szCs w:val="24"/>
        </w:rPr>
        <w:t>en</w:t>
      </w:r>
      <w:r w:rsidR="0024142C" w:rsidRPr="007668DF">
        <w:rPr>
          <w:rFonts w:ascii="Times New Roman" w:eastAsia="Malgun Gothic" w:hAnsi="Times New Roman"/>
          <w:bCs/>
          <w:sz w:val="24"/>
          <w:szCs w:val="24"/>
        </w:rPr>
        <w:t xml:space="preserve"> 1995, l’objectif de l’EID est de donner aux titulaires de droits une opportunité novatrice de porter leurs plaintes </w:t>
      </w:r>
      <w:r w:rsidR="00B9286A" w:rsidRPr="007668DF">
        <w:rPr>
          <w:rFonts w:ascii="Times New Roman" w:eastAsia="Malgun Gothic" w:hAnsi="Times New Roman"/>
          <w:bCs/>
          <w:sz w:val="24"/>
          <w:szCs w:val="24"/>
        </w:rPr>
        <w:t xml:space="preserve">à la connaissance des autorités compétentes </w:t>
      </w:r>
      <w:r w:rsidR="0024142C" w:rsidRPr="007668DF">
        <w:rPr>
          <w:rFonts w:ascii="Times New Roman" w:eastAsia="Malgun Gothic" w:hAnsi="Times New Roman"/>
          <w:bCs/>
          <w:sz w:val="24"/>
          <w:szCs w:val="24"/>
        </w:rPr>
        <w:t>en matière de violation</w:t>
      </w:r>
      <w:r w:rsidR="00712200" w:rsidRPr="007668DF">
        <w:rPr>
          <w:rFonts w:ascii="Times New Roman" w:eastAsia="Malgun Gothic" w:hAnsi="Times New Roman"/>
          <w:bCs/>
          <w:sz w:val="24"/>
          <w:szCs w:val="24"/>
        </w:rPr>
        <w:t>s</w:t>
      </w:r>
      <w:r w:rsidR="0024142C" w:rsidRPr="007668DF">
        <w:rPr>
          <w:rFonts w:ascii="Times New Roman" w:eastAsia="Malgun Gothic" w:hAnsi="Times New Roman"/>
          <w:bCs/>
          <w:sz w:val="24"/>
          <w:szCs w:val="24"/>
        </w:rPr>
        <w:t xml:space="preserve"> de leurs droits civils, politiques, économiques</w:t>
      </w:r>
      <w:r w:rsidR="001D4584" w:rsidRPr="007668DF">
        <w:rPr>
          <w:rFonts w:ascii="Times New Roman" w:eastAsia="Malgun Gothic" w:hAnsi="Times New Roman"/>
          <w:bCs/>
          <w:sz w:val="24"/>
          <w:szCs w:val="24"/>
        </w:rPr>
        <w:t>,</w:t>
      </w:r>
      <w:r w:rsidR="0024142C" w:rsidRPr="007668DF">
        <w:rPr>
          <w:rFonts w:ascii="Times New Roman" w:eastAsia="Malgun Gothic" w:hAnsi="Times New Roman"/>
          <w:bCs/>
          <w:sz w:val="24"/>
          <w:szCs w:val="24"/>
        </w:rPr>
        <w:t xml:space="preserve"> </w:t>
      </w:r>
      <w:r w:rsidR="0024142C" w:rsidRPr="007668DF">
        <w:rPr>
          <w:rFonts w:ascii="Times New Roman" w:eastAsia="Malgun Gothic" w:hAnsi="Times New Roman"/>
          <w:bCs/>
          <w:sz w:val="24"/>
          <w:szCs w:val="24"/>
        </w:rPr>
        <w:lastRenderedPageBreak/>
        <w:t xml:space="preserve">sociaux </w:t>
      </w:r>
      <w:r w:rsidR="001D4584" w:rsidRPr="007668DF">
        <w:rPr>
          <w:rFonts w:ascii="Times New Roman" w:eastAsia="Malgun Gothic" w:hAnsi="Times New Roman"/>
          <w:bCs/>
          <w:sz w:val="24"/>
          <w:szCs w:val="24"/>
        </w:rPr>
        <w:t>et culturels</w:t>
      </w:r>
      <w:r w:rsidR="0024142C" w:rsidRPr="007668DF">
        <w:rPr>
          <w:rFonts w:ascii="Times New Roman" w:eastAsia="Malgun Gothic" w:hAnsi="Times New Roman"/>
          <w:bCs/>
          <w:sz w:val="24"/>
          <w:szCs w:val="24"/>
        </w:rPr>
        <w:t>.  En marge de la célébration de la semaine des droits de l’homme</w:t>
      </w:r>
      <w:r w:rsidR="00B9286A" w:rsidRPr="007668DF">
        <w:rPr>
          <w:rFonts w:ascii="Times New Roman" w:eastAsia="Malgun Gothic" w:hAnsi="Times New Roman"/>
          <w:bCs/>
          <w:sz w:val="24"/>
          <w:szCs w:val="24"/>
        </w:rPr>
        <w:t>, en</w:t>
      </w:r>
      <w:r w:rsidR="0024142C" w:rsidRPr="007668DF">
        <w:rPr>
          <w:rFonts w:ascii="Times New Roman" w:eastAsia="Malgun Gothic" w:hAnsi="Times New Roman"/>
          <w:bCs/>
          <w:sz w:val="24"/>
          <w:szCs w:val="24"/>
        </w:rPr>
        <w:t xml:space="preserve"> décembre 2013, la Division des droits de l’homme a octroyé un modeste appui financier à l’organisation de la 18</w:t>
      </w:r>
      <w:r w:rsidR="00B9286A" w:rsidRPr="007668DF">
        <w:rPr>
          <w:rFonts w:ascii="Times New Roman" w:eastAsia="Malgun Gothic" w:hAnsi="Times New Roman"/>
          <w:bCs/>
          <w:sz w:val="24"/>
          <w:szCs w:val="24"/>
        </w:rPr>
        <w:t>ème</w:t>
      </w:r>
      <w:r w:rsidR="0024142C" w:rsidRPr="007668DF">
        <w:rPr>
          <w:rFonts w:ascii="Times New Roman" w:eastAsia="Malgun Gothic" w:hAnsi="Times New Roman"/>
          <w:bCs/>
          <w:sz w:val="24"/>
          <w:szCs w:val="24"/>
        </w:rPr>
        <w:t xml:space="preserve"> édition de l’EID</w:t>
      </w:r>
      <w:r w:rsidR="00B9286A" w:rsidRPr="007668DF">
        <w:rPr>
          <w:rFonts w:ascii="Times New Roman" w:eastAsia="Malgun Gothic" w:hAnsi="Times New Roman"/>
          <w:bCs/>
          <w:sz w:val="24"/>
          <w:szCs w:val="24"/>
        </w:rPr>
        <w:t xml:space="preserve">, </w:t>
      </w:r>
      <w:r w:rsidR="005707C1" w:rsidRPr="007668DF">
        <w:rPr>
          <w:rFonts w:ascii="Times New Roman" w:eastAsia="Malgun Gothic" w:hAnsi="Times New Roman"/>
          <w:bCs/>
          <w:sz w:val="24"/>
          <w:szCs w:val="24"/>
        </w:rPr>
        <w:t>qui</w:t>
      </w:r>
      <w:r w:rsidR="0024142C" w:rsidRPr="007668DF">
        <w:rPr>
          <w:rFonts w:ascii="Times New Roman" w:eastAsia="Malgun Gothic" w:hAnsi="Times New Roman"/>
          <w:bCs/>
          <w:sz w:val="24"/>
          <w:szCs w:val="24"/>
        </w:rPr>
        <w:t xml:space="preserve"> a permis à près d’une soixantaine de personnes en provenance de plusieurs régions du pays de présenter leurs préoccupations en matière des droits de l’homme devant un jury national et international</w:t>
      </w:r>
      <w:r w:rsidR="00C36403" w:rsidRPr="007668DF">
        <w:rPr>
          <w:rFonts w:ascii="Times New Roman" w:eastAsia="Malgun Gothic" w:hAnsi="Times New Roman"/>
          <w:bCs/>
          <w:sz w:val="24"/>
          <w:szCs w:val="24"/>
        </w:rPr>
        <w:t>. Cela s’est fait</w:t>
      </w:r>
      <w:r w:rsidR="00F44B8C" w:rsidRPr="007668DF">
        <w:rPr>
          <w:rFonts w:ascii="Times New Roman" w:eastAsia="Malgun Gothic" w:hAnsi="Times New Roman"/>
          <w:bCs/>
          <w:sz w:val="24"/>
          <w:szCs w:val="24"/>
        </w:rPr>
        <w:t xml:space="preserve"> en présence des membres du gouvernement et </w:t>
      </w:r>
      <w:r w:rsidR="00EE5FE6">
        <w:rPr>
          <w:rFonts w:ascii="Times New Roman" w:eastAsia="Malgun Gothic" w:hAnsi="Times New Roman"/>
          <w:bCs/>
          <w:sz w:val="24"/>
          <w:szCs w:val="24"/>
        </w:rPr>
        <w:t xml:space="preserve">des </w:t>
      </w:r>
      <w:r w:rsidR="00F44B8C" w:rsidRPr="007668DF">
        <w:rPr>
          <w:rFonts w:ascii="Times New Roman" w:eastAsia="Malgun Gothic" w:hAnsi="Times New Roman"/>
          <w:bCs/>
          <w:sz w:val="24"/>
          <w:szCs w:val="24"/>
        </w:rPr>
        <w:t>responsables des services étatiques concernés afin qu’une action soit prise dans le but d’apporter des mesures correctives aux violations des droits de l’homme sus dénoncées.</w:t>
      </w:r>
      <w:r w:rsidR="0024142C" w:rsidRPr="007668DF">
        <w:rPr>
          <w:rFonts w:ascii="Times New Roman" w:eastAsia="Malgun Gothic" w:hAnsi="Times New Roman"/>
          <w:bCs/>
          <w:sz w:val="24"/>
          <w:szCs w:val="24"/>
        </w:rPr>
        <w:t xml:space="preserve"> </w:t>
      </w:r>
    </w:p>
    <w:p w:rsidR="00712200" w:rsidRPr="007668DF" w:rsidRDefault="00712200" w:rsidP="006C2FA0">
      <w:pPr>
        <w:tabs>
          <w:tab w:val="left" w:pos="567"/>
          <w:tab w:val="left" w:pos="709"/>
          <w:tab w:val="left" w:pos="851"/>
        </w:tabs>
        <w:spacing w:after="0"/>
        <w:jc w:val="both"/>
        <w:rPr>
          <w:rFonts w:ascii="Times New Roman" w:eastAsia="Malgun Gothic" w:hAnsi="Times New Roman"/>
          <w:bCs/>
          <w:sz w:val="24"/>
          <w:szCs w:val="24"/>
        </w:rPr>
      </w:pPr>
    </w:p>
    <w:p w:rsidR="00712200" w:rsidRPr="007668DF" w:rsidRDefault="00DC4F65" w:rsidP="006C2FA0">
      <w:pPr>
        <w:tabs>
          <w:tab w:val="left" w:pos="567"/>
          <w:tab w:val="left" w:pos="709"/>
          <w:tab w:val="left" w:pos="851"/>
        </w:tabs>
        <w:spacing w:after="0"/>
        <w:jc w:val="both"/>
        <w:rPr>
          <w:rFonts w:ascii="Times New Roman" w:eastAsia="Malgun Gothic" w:hAnsi="Times New Roman"/>
          <w:bCs/>
          <w:i/>
          <w:sz w:val="24"/>
          <w:szCs w:val="24"/>
        </w:rPr>
      </w:pPr>
      <w:r>
        <w:rPr>
          <w:rFonts w:ascii="Times New Roman" w:eastAsia="Malgun Gothic" w:hAnsi="Times New Roman"/>
          <w:bCs/>
          <w:i/>
          <w:sz w:val="24"/>
          <w:szCs w:val="24"/>
        </w:rPr>
        <w:tab/>
      </w:r>
      <w:r w:rsidR="00712200" w:rsidRPr="007668DF">
        <w:rPr>
          <w:rFonts w:ascii="Times New Roman" w:eastAsia="Malgun Gothic" w:hAnsi="Times New Roman"/>
          <w:bCs/>
          <w:i/>
          <w:sz w:val="24"/>
          <w:szCs w:val="24"/>
        </w:rPr>
        <w:t>Formation des forces de défense et de sécurité du Mali</w:t>
      </w:r>
    </w:p>
    <w:p w:rsidR="0024142C" w:rsidRPr="007668DF" w:rsidRDefault="0024142C" w:rsidP="006C2FA0">
      <w:pPr>
        <w:tabs>
          <w:tab w:val="left" w:pos="567"/>
          <w:tab w:val="left" w:pos="709"/>
          <w:tab w:val="left" w:pos="851"/>
        </w:tabs>
        <w:spacing w:after="0"/>
        <w:jc w:val="both"/>
        <w:rPr>
          <w:rFonts w:ascii="Times New Roman" w:eastAsia="Malgun Gothic" w:hAnsi="Times New Roman"/>
          <w:bCs/>
          <w:sz w:val="24"/>
          <w:szCs w:val="24"/>
        </w:rPr>
      </w:pPr>
    </w:p>
    <w:p w:rsidR="0024142C" w:rsidRPr="007668DF" w:rsidRDefault="001F669A" w:rsidP="006C2FA0">
      <w:pPr>
        <w:tabs>
          <w:tab w:val="left" w:pos="567"/>
          <w:tab w:val="left" w:pos="709"/>
          <w:tab w:val="left" w:pos="851"/>
        </w:tabs>
        <w:spacing w:after="0"/>
        <w:jc w:val="both"/>
        <w:rPr>
          <w:rFonts w:ascii="Times New Roman" w:eastAsia="Malgun Gothic" w:hAnsi="Times New Roman"/>
          <w:bCs/>
          <w:sz w:val="24"/>
          <w:szCs w:val="24"/>
        </w:rPr>
      </w:pPr>
      <w:r w:rsidRPr="007668DF">
        <w:rPr>
          <w:rFonts w:ascii="Times New Roman" w:eastAsia="Malgun Gothic" w:hAnsi="Times New Roman"/>
          <w:bCs/>
          <w:sz w:val="24"/>
          <w:szCs w:val="24"/>
        </w:rPr>
        <w:t>1</w:t>
      </w:r>
      <w:r w:rsidR="00A21002">
        <w:rPr>
          <w:rFonts w:ascii="Times New Roman" w:eastAsia="Malgun Gothic" w:hAnsi="Times New Roman"/>
          <w:bCs/>
          <w:sz w:val="24"/>
          <w:szCs w:val="24"/>
        </w:rPr>
        <w:t>09</w:t>
      </w:r>
      <w:r w:rsidR="0024142C" w:rsidRPr="007668DF">
        <w:rPr>
          <w:rFonts w:ascii="Times New Roman" w:eastAsia="Malgun Gothic" w:hAnsi="Times New Roman"/>
          <w:bCs/>
          <w:sz w:val="24"/>
          <w:szCs w:val="24"/>
        </w:rPr>
        <w:t>.</w:t>
      </w:r>
      <w:r w:rsidR="0024142C" w:rsidRPr="007668DF">
        <w:rPr>
          <w:rFonts w:ascii="Times New Roman" w:eastAsia="Malgun Gothic" w:hAnsi="Times New Roman"/>
          <w:bCs/>
          <w:sz w:val="24"/>
          <w:szCs w:val="24"/>
        </w:rPr>
        <w:tab/>
      </w:r>
      <w:r w:rsidR="00FB6690" w:rsidRPr="007668DF">
        <w:rPr>
          <w:rFonts w:ascii="Times New Roman" w:eastAsia="Malgun Gothic" w:hAnsi="Times New Roman"/>
          <w:bCs/>
          <w:sz w:val="24"/>
          <w:szCs w:val="24"/>
        </w:rPr>
        <w:t xml:space="preserve"> </w:t>
      </w:r>
      <w:r w:rsidR="0024142C" w:rsidRPr="007668DF">
        <w:rPr>
          <w:rFonts w:ascii="Times New Roman" w:eastAsia="Malgun Gothic" w:hAnsi="Times New Roman"/>
          <w:bCs/>
          <w:sz w:val="24"/>
          <w:szCs w:val="24"/>
        </w:rPr>
        <w:t>L’accompagnement des FAM</w:t>
      </w:r>
      <w:r w:rsidR="009921EA" w:rsidRPr="007668DF">
        <w:rPr>
          <w:rFonts w:ascii="Times New Roman" w:eastAsia="Malgun Gothic" w:hAnsi="Times New Roman"/>
          <w:bCs/>
          <w:sz w:val="24"/>
          <w:szCs w:val="24"/>
        </w:rPr>
        <w:t>a</w:t>
      </w:r>
      <w:r w:rsidR="003C54D5" w:rsidRPr="007668DF">
        <w:rPr>
          <w:rFonts w:ascii="Times New Roman" w:eastAsia="Malgun Gothic" w:hAnsi="Times New Roman"/>
          <w:bCs/>
          <w:sz w:val="24"/>
          <w:szCs w:val="24"/>
        </w:rPr>
        <w:t xml:space="preserve">, </w:t>
      </w:r>
      <w:r w:rsidR="0024142C" w:rsidRPr="007668DF">
        <w:rPr>
          <w:rFonts w:ascii="Times New Roman" w:eastAsia="Malgun Gothic" w:hAnsi="Times New Roman"/>
          <w:bCs/>
          <w:sz w:val="24"/>
          <w:szCs w:val="24"/>
        </w:rPr>
        <w:t xml:space="preserve">dans le but de les rendre respectueuses des normes internationales en matière de </w:t>
      </w:r>
      <w:r w:rsidR="003C54D5" w:rsidRPr="007668DF">
        <w:rPr>
          <w:rFonts w:ascii="Times New Roman" w:eastAsia="Malgun Gothic" w:hAnsi="Times New Roman"/>
          <w:bCs/>
          <w:sz w:val="24"/>
          <w:szCs w:val="24"/>
        </w:rPr>
        <w:t>d</w:t>
      </w:r>
      <w:r w:rsidR="0024142C" w:rsidRPr="007668DF">
        <w:rPr>
          <w:rFonts w:ascii="Times New Roman" w:eastAsia="Malgun Gothic" w:hAnsi="Times New Roman"/>
          <w:bCs/>
          <w:sz w:val="24"/>
          <w:szCs w:val="24"/>
        </w:rPr>
        <w:t>roits de l’</w:t>
      </w:r>
      <w:r w:rsidR="003C54D5" w:rsidRPr="007668DF">
        <w:rPr>
          <w:rFonts w:ascii="Times New Roman" w:eastAsia="Malgun Gothic" w:hAnsi="Times New Roman"/>
          <w:bCs/>
          <w:sz w:val="24"/>
          <w:szCs w:val="24"/>
        </w:rPr>
        <w:t>h</w:t>
      </w:r>
      <w:r w:rsidR="0024142C" w:rsidRPr="007668DF">
        <w:rPr>
          <w:rFonts w:ascii="Times New Roman" w:eastAsia="Malgun Gothic" w:hAnsi="Times New Roman"/>
          <w:bCs/>
          <w:sz w:val="24"/>
          <w:szCs w:val="24"/>
        </w:rPr>
        <w:t xml:space="preserve">omme, est au cœur de la contribution de la Division des droits de l’homme. En effet, dans le cadre </w:t>
      </w:r>
      <w:r w:rsidR="00B9286A" w:rsidRPr="007668DF">
        <w:rPr>
          <w:rFonts w:ascii="Times New Roman" w:eastAsia="Malgun Gothic" w:hAnsi="Times New Roman"/>
          <w:bCs/>
          <w:sz w:val="24"/>
          <w:szCs w:val="24"/>
        </w:rPr>
        <w:t xml:space="preserve"> de </w:t>
      </w:r>
      <w:r w:rsidR="005707C1" w:rsidRPr="007668DF">
        <w:rPr>
          <w:rFonts w:ascii="Times New Roman" w:eastAsia="Malgun Gothic" w:hAnsi="Times New Roman"/>
          <w:bCs/>
          <w:sz w:val="24"/>
          <w:szCs w:val="24"/>
        </w:rPr>
        <w:t>la Mission de formation de l'Union européenne au Mali,</w:t>
      </w:r>
      <w:r w:rsidR="0024142C" w:rsidRPr="007668DF">
        <w:rPr>
          <w:rFonts w:ascii="Times New Roman" w:eastAsia="Malgun Gothic" w:hAnsi="Times New Roman"/>
          <w:bCs/>
          <w:sz w:val="24"/>
          <w:szCs w:val="24"/>
        </w:rPr>
        <w:t xml:space="preserve"> la Division des droits de l’homme</w:t>
      </w:r>
      <w:r w:rsidR="00B9286A" w:rsidRPr="007668DF">
        <w:rPr>
          <w:rFonts w:ascii="Times New Roman" w:eastAsia="Malgun Gothic" w:hAnsi="Times New Roman"/>
          <w:bCs/>
          <w:sz w:val="24"/>
          <w:szCs w:val="24"/>
        </w:rPr>
        <w:t xml:space="preserve"> </w:t>
      </w:r>
      <w:r w:rsidR="0024142C" w:rsidRPr="007668DF">
        <w:rPr>
          <w:rFonts w:ascii="Times New Roman" w:eastAsia="Malgun Gothic" w:hAnsi="Times New Roman"/>
          <w:bCs/>
          <w:sz w:val="24"/>
          <w:szCs w:val="24"/>
        </w:rPr>
        <w:t>a contribué, aux côtés</w:t>
      </w:r>
      <w:r w:rsidR="003C54D5" w:rsidRPr="007668DF">
        <w:rPr>
          <w:rFonts w:ascii="Times New Roman" w:eastAsia="Malgun Gothic" w:hAnsi="Times New Roman"/>
          <w:bCs/>
          <w:sz w:val="24"/>
          <w:szCs w:val="24"/>
        </w:rPr>
        <w:t xml:space="preserve"> </w:t>
      </w:r>
      <w:r w:rsidR="0024142C" w:rsidRPr="007668DF">
        <w:rPr>
          <w:rFonts w:ascii="Times New Roman" w:eastAsia="Malgun Gothic" w:hAnsi="Times New Roman"/>
          <w:bCs/>
          <w:sz w:val="24"/>
          <w:szCs w:val="24"/>
        </w:rPr>
        <w:t xml:space="preserve">de l’Union </w:t>
      </w:r>
      <w:r w:rsidR="003C54D5" w:rsidRPr="007668DF">
        <w:rPr>
          <w:rFonts w:ascii="Times New Roman" w:eastAsia="Malgun Gothic" w:hAnsi="Times New Roman"/>
          <w:bCs/>
          <w:sz w:val="24"/>
          <w:szCs w:val="24"/>
        </w:rPr>
        <w:t>e</w:t>
      </w:r>
      <w:r w:rsidR="0024142C" w:rsidRPr="007668DF">
        <w:rPr>
          <w:rFonts w:ascii="Times New Roman" w:eastAsia="Malgun Gothic" w:hAnsi="Times New Roman"/>
          <w:bCs/>
          <w:sz w:val="24"/>
          <w:szCs w:val="24"/>
        </w:rPr>
        <w:t>uropéenne</w:t>
      </w:r>
      <w:r w:rsidR="00B9286A" w:rsidRPr="007668DF">
        <w:rPr>
          <w:rFonts w:ascii="Times New Roman" w:eastAsia="Malgun Gothic" w:hAnsi="Times New Roman"/>
          <w:bCs/>
          <w:sz w:val="24"/>
          <w:szCs w:val="24"/>
        </w:rPr>
        <w:t>,</w:t>
      </w:r>
      <w:r w:rsidR="0024142C" w:rsidRPr="007668DF">
        <w:rPr>
          <w:rFonts w:ascii="Times New Roman" w:eastAsia="Malgun Gothic" w:hAnsi="Times New Roman"/>
          <w:bCs/>
          <w:sz w:val="24"/>
          <w:szCs w:val="24"/>
        </w:rPr>
        <w:t xml:space="preserve"> à la formation de 3400 éléments des bataillons de Groupements </w:t>
      </w:r>
      <w:r w:rsidR="003C54D5" w:rsidRPr="007668DF">
        <w:rPr>
          <w:rFonts w:ascii="Times New Roman" w:eastAsia="Malgun Gothic" w:hAnsi="Times New Roman"/>
          <w:bCs/>
          <w:sz w:val="24"/>
          <w:szCs w:val="24"/>
        </w:rPr>
        <w:t>t</w:t>
      </w:r>
      <w:r w:rsidR="0024142C" w:rsidRPr="007668DF">
        <w:rPr>
          <w:rFonts w:ascii="Times New Roman" w:eastAsia="Malgun Gothic" w:hAnsi="Times New Roman"/>
          <w:bCs/>
          <w:sz w:val="24"/>
          <w:szCs w:val="24"/>
        </w:rPr>
        <w:t xml:space="preserve">actiques </w:t>
      </w:r>
      <w:r w:rsidR="003C54D5" w:rsidRPr="007668DF">
        <w:rPr>
          <w:rFonts w:ascii="Times New Roman" w:eastAsia="Malgun Gothic" w:hAnsi="Times New Roman"/>
          <w:bCs/>
          <w:sz w:val="24"/>
          <w:szCs w:val="24"/>
        </w:rPr>
        <w:t>i</w:t>
      </w:r>
      <w:r w:rsidR="0024142C" w:rsidRPr="007668DF">
        <w:rPr>
          <w:rFonts w:ascii="Times New Roman" w:eastAsia="Malgun Gothic" w:hAnsi="Times New Roman"/>
          <w:bCs/>
          <w:sz w:val="24"/>
          <w:szCs w:val="24"/>
        </w:rPr>
        <w:t>nterarmes (GTIA) à Waraba, Elou, Sigui et Balanzan</w:t>
      </w:r>
      <w:r w:rsidR="00B9286A" w:rsidRPr="007668DF">
        <w:rPr>
          <w:rFonts w:ascii="Times New Roman" w:eastAsia="Malgun Gothic" w:hAnsi="Times New Roman"/>
          <w:bCs/>
          <w:sz w:val="24"/>
          <w:szCs w:val="24"/>
        </w:rPr>
        <w:t>,</w:t>
      </w:r>
      <w:r w:rsidR="0024142C" w:rsidRPr="007668DF">
        <w:rPr>
          <w:rFonts w:ascii="Times New Roman" w:eastAsia="Malgun Gothic" w:hAnsi="Times New Roman"/>
          <w:bCs/>
          <w:sz w:val="24"/>
          <w:szCs w:val="24"/>
        </w:rPr>
        <w:t xml:space="preserve"> entre avril 2013 et avril 2014. Les thèmes abordés par les experts de la Division des droits de l’homme ont porté entre autres sur l’introduction au droit international des droits de l’homme, </w:t>
      </w:r>
      <w:r w:rsidR="003C54D5" w:rsidRPr="007668DF">
        <w:rPr>
          <w:rFonts w:ascii="Times New Roman" w:eastAsia="Malgun Gothic" w:hAnsi="Times New Roman"/>
          <w:bCs/>
          <w:sz w:val="24"/>
          <w:szCs w:val="24"/>
        </w:rPr>
        <w:t xml:space="preserve">au </w:t>
      </w:r>
      <w:r w:rsidR="0024142C" w:rsidRPr="007668DF">
        <w:rPr>
          <w:rFonts w:ascii="Times New Roman" w:eastAsia="Malgun Gothic" w:hAnsi="Times New Roman"/>
          <w:bCs/>
          <w:sz w:val="24"/>
          <w:szCs w:val="24"/>
        </w:rPr>
        <w:t xml:space="preserve">droit international humanitaire, </w:t>
      </w:r>
      <w:r w:rsidR="003C54D5" w:rsidRPr="007668DF">
        <w:rPr>
          <w:rFonts w:ascii="Times New Roman" w:eastAsia="Malgun Gothic" w:hAnsi="Times New Roman"/>
          <w:bCs/>
          <w:sz w:val="24"/>
          <w:szCs w:val="24"/>
        </w:rPr>
        <w:t xml:space="preserve">à </w:t>
      </w:r>
      <w:r w:rsidR="0024142C" w:rsidRPr="007668DF">
        <w:rPr>
          <w:rFonts w:ascii="Times New Roman" w:eastAsia="Malgun Gothic" w:hAnsi="Times New Roman"/>
          <w:bCs/>
          <w:sz w:val="24"/>
          <w:szCs w:val="24"/>
        </w:rPr>
        <w:t>la protection des civils</w:t>
      </w:r>
      <w:r w:rsidR="00B9286A" w:rsidRPr="007668DF">
        <w:rPr>
          <w:rFonts w:ascii="Times New Roman" w:eastAsia="Malgun Gothic" w:hAnsi="Times New Roman"/>
          <w:bCs/>
          <w:sz w:val="24"/>
          <w:szCs w:val="24"/>
        </w:rPr>
        <w:t>,</w:t>
      </w:r>
      <w:r w:rsidR="0024142C" w:rsidRPr="007668DF">
        <w:rPr>
          <w:rFonts w:ascii="Times New Roman" w:eastAsia="Malgun Gothic" w:hAnsi="Times New Roman"/>
          <w:bCs/>
          <w:sz w:val="24"/>
          <w:szCs w:val="24"/>
        </w:rPr>
        <w:t xml:space="preserve"> en particulier des groupes vulnérables, </w:t>
      </w:r>
      <w:r w:rsidR="00B9286A" w:rsidRPr="007668DF">
        <w:rPr>
          <w:rFonts w:ascii="Times New Roman" w:eastAsia="Malgun Gothic" w:hAnsi="Times New Roman"/>
          <w:bCs/>
          <w:sz w:val="24"/>
          <w:szCs w:val="24"/>
        </w:rPr>
        <w:t xml:space="preserve">ainsi que sur </w:t>
      </w:r>
      <w:r w:rsidR="0024142C" w:rsidRPr="007668DF">
        <w:rPr>
          <w:rFonts w:ascii="Times New Roman" w:eastAsia="Malgun Gothic" w:hAnsi="Times New Roman"/>
          <w:bCs/>
          <w:sz w:val="24"/>
          <w:szCs w:val="24"/>
        </w:rPr>
        <w:t xml:space="preserve">les violences sexuelles, et </w:t>
      </w:r>
      <w:r w:rsidR="00B9286A" w:rsidRPr="007668DF">
        <w:rPr>
          <w:rFonts w:ascii="Times New Roman" w:eastAsia="Malgun Gothic" w:hAnsi="Times New Roman"/>
          <w:bCs/>
          <w:sz w:val="24"/>
          <w:szCs w:val="24"/>
        </w:rPr>
        <w:t>le</w:t>
      </w:r>
      <w:r w:rsidR="003C54D5" w:rsidRPr="007668DF">
        <w:rPr>
          <w:rFonts w:ascii="Times New Roman" w:eastAsia="Malgun Gothic" w:hAnsi="Times New Roman"/>
          <w:bCs/>
          <w:sz w:val="24"/>
          <w:szCs w:val="24"/>
        </w:rPr>
        <w:t xml:space="preserve"> </w:t>
      </w:r>
      <w:r w:rsidR="0024142C" w:rsidRPr="007668DF">
        <w:rPr>
          <w:rFonts w:ascii="Times New Roman" w:eastAsia="Malgun Gothic" w:hAnsi="Times New Roman"/>
          <w:bCs/>
          <w:sz w:val="24"/>
          <w:szCs w:val="24"/>
        </w:rPr>
        <w:t>rôle des unités prévôtales de la gendarmerie.</w:t>
      </w:r>
    </w:p>
    <w:p w:rsidR="0024142C" w:rsidRPr="007668DF" w:rsidRDefault="0024142C" w:rsidP="006C2FA0">
      <w:pPr>
        <w:tabs>
          <w:tab w:val="left" w:pos="567"/>
          <w:tab w:val="left" w:pos="709"/>
          <w:tab w:val="left" w:pos="851"/>
        </w:tabs>
        <w:spacing w:after="0"/>
        <w:jc w:val="both"/>
        <w:rPr>
          <w:rFonts w:ascii="Times New Roman" w:eastAsia="Malgun Gothic" w:hAnsi="Times New Roman"/>
          <w:bCs/>
          <w:sz w:val="24"/>
          <w:szCs w:val="24"/>
        </w:rPr>
      </w:pPr>
    </w:p>
    <w:p w:rsidR="0024142C" w:rsidRPr="007668DF" w:rsidRDefault="001F669A" w:rsidP="006C2FA0">
      <w:pPr>
        <w:tabs>
          <w:tab w:val="left" w:pos="567"/>
          <w:tab w:val="left" w:pos="709"/>
          <w:tab w:val="left" w:pos="851"/>
        </w:tabs>
        <w:spacing w:after="0"/>
        <w:jc w:val="both"/>
        <w:rPr>
          <w:rFonts w:ascii="Times New Roman" w:eastAsia="Malgun Gothic" w:hAnsi="Times New Roman"/>
          <w:bCs/>
          <w:sz w:val="24"/>
          <w:szCs w:val="24"/>
        </w:rPr>
      </w:pPr>
      <w:r w:rsidRPr="007668DF">
        <w:rPr>
          <w:rFonts w:ascii="Times New Roman" w:eastAsia="Malgun Gothic" w:hAnsi="Times New Roman"/>
          <w:bCs/>
          <w:sz w:val="24"/>
          <w:szCs w:val="24"/>
        </w:rPr>
        <w:lastRenderedPageBreak/>
        <w:t>1</w:t>
      </w:r>
      <w:r w:rsidR="00A21002">
        <w:rPr>
          <w:rFonts w:ascii="Times New Roman" w:eastAsia="Malgun Gothic" w:hAnsi="Times New Roman"/>
          <w:bCs/>
          <w:sz w:val="24"/>
          <w:szCs w:val="24"/>
        </w:rPr>
        <w:t>10</w:t>
      </w:r>
      <w:r w:rsidR="0024142C" w:rsidRPr="007668DF">
        <w:rPr>
          <w:rFonts w:ascii="Times New Roman" w:eastAsia="Malgun Gothic" w:hAnsi="Times New Roman"/>
          <w:bCs/>
          <w:sz w:val="24"/>
          <w:szCs w:val="24"/>
        </w:rPr>
        <w:t>.</w:t>
      </w:r>
      <w:r w:rsidR="0024142C" w:rsidRPr="007668DF">
        <w:rPr>
          <w:rFonts w:ascii="Times New Roman" w:eastAsia="Malgun Gothic" w:hAnsi="Times New Roman"/>
          <w:bCs/>
          <w:sz w:val="24"/>
          <w:szCs w:val="24"/>
        </w:rPr>
        <w:tab/>
      </w:r>
      <w:r w:rsidR="00FB6690" w:rsidRPr="007668DF">
        <w:rPr>
          <w:rFonts w:ascii="Times New Roman" w:eastAsia="Malgun Gothic" w:hAnsi="Times New Roman"/>
          <w:bCs/>
          <w:sz w:val="24"/>
          <w:szCs w:val="24"/>
        </w:rPr>
        <w:t xml:space="preserve"> </w:t>
      </w:r>
      <w:r w:rsidR="0024142C" w:rsidRPr="007668DF">
        <w:rPr>
          <w:rFonts w:ascii="Times New Roman" w:eastAsia="Malgun Gothic" w:hAnsi="Times New Roman"/>
          <w:bCs/>
          <w:sz w:val="24"/>
          <w:szCs w:val="24"/>
        </w:rPr>
        <w:t xml:space="preserve">De juin 2013 à fin mai 2014, la Division des droits de l’homme a </w:t>
      </w:r>
      <w:r w:rsidR="003C54D5" w:rsidRPr="007668DF">
        <w:rPr>
          <w:rFonts w:ascii="Times New Roman" w:eastAsia="Malgun Gothic" w:hAnsi="Times New Roman"/>
          <w:bCs/>
          <w:sz w:val="24"/>
          <w:szCs w:val="24"/>
        </w:rPr>
        <w:t xml:space="preserve">contribué </w:t>
      </w:r>
      <w:r w:rsidR="0024142C" w:rsidRPr="007668DF">
        <w:rPr>
          <w:rFonts w:ascii="Times New Roman" w:eastAsia="Malgun Gothic" w:hAnsi="Times New Roman"/>
          <w:bCs/>
          <w:sz w:val="24"/>
          <w:szCs w:val="24"/>
        </w:rPr>
        <w:t>à la formation d’environ 1615 agents, dont une cinquantaine de femmes, chargés de l’application de</w:t>
      </w:r>
      <w:r w:rsidR="001D4584" w:rsidRPr="007668DF">
        <w:rPr>
          <w:rFonts w:ascii="Times New Roman" w:eastAsia="Malgun Gothic" w:hAnsi="Times New Roman"/>
          <w:bCs/>
          <w:sz w:val="24"/>
          <w:szCs w:val="24"/>
        </w:rPr>
        <w:t xml:space="preserve">s </w:t>
      </w:r>
      <w:r w:rsidR="002365EA" w:rsidRPr="007668DF">
        <w:rPr>
          <w:rFonts w:ascii="Times New Roman" w:eastAsia="Malgun Gothic" w:hAnsi="Times New Roman"/>
          <w:bCs/>
          <w:sz w:val="24"/>
          <w:szCs w:val="24"/>
        </w:rPr>
        <w:t>lois</w:t>
      </w:r>
      <w:r w:rsidR="00B9286A" w:rsidRPr="007668DF">
        <w:rPr>
          <w:rFonts w:ascii="Times New Roman" w:eastAsia="Malgun Gothic" w:hAnsi="Times New Roman"/>
          <w:bCs/>
          <w:sz w:val="24"/>
          <w:szCs w:val="24"/>
        </w:rPr>
        <w:t>,</w:t>
      </w:r>
      <w:r w:rsidR="002365EA" w:rsidRPr="007668DF">
        <w:rPr>
          <w:rFonts w:ascii="Times New Roman" w:eastAsia="Malgun Gothic" w:hAnsi="Times New Roman"/>
          <w:bCs/>
          <w:sz w:val="24"/>
          <w:szCs w:val="24"/>
        </w:rPr>
        <w:t xml:space="preserve"> notamment</w:t>
      </w:r>
      <w:r w:rsidR="0024142C" w:rsidRPr="007668DF">
        <w:rPr>
          <w:rFonts w:ascii="Times New Roman" w:eastAsia="Malgun Gothic" w:hAnsi="Times New Roman"/>
          <w:bCs/>
          <w:sz w:val="24"/>
          <w:szCs w:val="24"/>
        </w:rPr>
        <w:t xml:space="preserve"> </w:t>
      </w:r>
      <w:r w:rsidR="00B9286A" w:rsidRPr="007668DF">
        <w:rPr>
          <w:rFonts w:ascii="Times New Roman" w:eastAsia="Malgun Gothic" w:hAnsi="Times New Roman"/>
          <w:bCs/>
          <w:sz w:val="24"/>
          <w:szCs w:val="24"/>
        </w:rPr>
        <w:t xml:space="preserve">au sein de </w:t>
      </w:r>
      <w:r w:rsidR="0024142C" w:rsidRPr="007668DF">
        <w:rPr>
          <w:rFonts w:ascii="Times New Roman" w:eastAsia="Malgun Gothic" w:hAnsi="Times New Roman"/>
          <w:bCs/>
          <w:sz w:val="24"/>
          <w:szCs w:val="24"/>
        </w:rPr>
        <w:t xml:space="preserve">la gendarmerie, </w:t>
      </w:r>
      <w:r w:rsidR="00B9286A" w:rsidRPr="007668DF">
        <w:rPr>
          <w:rFonts w:ascii="Times New Roman" w:eastAsia="Malgun Gothic" w:hAnsi="Times New Roman"/>
          <w:bCs/>
          <w:sz w:val="24"/>
          <w:szCs w:val="24"/>
        </w:rPr>
        <w:t xml:space="preserve">de </w:t>
      </w:r>
      <w:r w:rsidR="0024142C" w:rsidRPr="007668DF">
        <w:rPr>
          <w:rFonts w:ascii="Times New Roman" w:eastAsia="Malgun Gothic" w:hAnsi="Times New Roman"/>
          <w:bCs/>
          <w:sz w:val="24"/>
          <w:szCs w:val="24"/>
        </w:rPr>
        <w:t xml:space="preserve">la police, de la garde nationale et de la protection civile. Ces différents corps ont été formés aux standards de maintien de l’ordre en période électorale, </w:t>
      </w:r>
      <w:r w:rsidR="001D4584" w:rsidRPr="007668DF">
        <w:rPr>
          <w:rFonts w:ascii="Times New Roman" w:eastAsia="Malgun Gothic" w:hAnsi="Times New Roman"/>
          <w:bCs/>
          <w:sz w:val="24"/>
          <w:szCs w:val="24"/>
        </w:rPr>
        <w:t xml:space="preserve">aux </w:t>
      </w:r>
      <w:r w:rsidR="0024142C" w:rsidRPr="007668DF">
        <w:rPr>
          <w:rFonts w:ascii="Times New Roman" w:eastAsia="Malgun Gothic" w:hAnsi="Times New Roman"/>
          <w:bCs/>
          <w:sz w:val="24"/>
          <w:szCs w:val="24"/>
        </w:rPr>
        <w:t xml:space="preserve">mesures à prendre dans </w:t>
      </w:r>
      <w:r w:rsidR="00B9286A" w:rsidRPr="007668DF">
        <w:rPr>
          <w:rFonts w:ascii="Times New Roman" w:eastAsia="Malgun Gothic" w:hAnsi="Times New Roman"/>
          <w:bCs/>
          <w:sz w:val="24"/>
          <w:szCs w:val="24"/>
        </w:rPr>
        <w:t>d</w:t>
      </w:r>
      <w:r w:rsidR="0024142C" w:rsidRPr="007668DF">
        <w:rPr>
          <w:rFonts w:ascii="Times New Roman" w:eastAsia="Malgun Gothic" w:hAnsi="Times New Roman"/>
          <w:bCs/>
          <w:sz w:val="24"/>
          <w:szCs w:val="24"/>
        </w:rPr>
        <w:t xml:space="preserve">es situations de troubles civils, d’état d’exception et de conflits armés, </w:t>
      </w:r>
      <w:r w:rsidR="001D4584" w:rsidRPr="007668DF">
        <w:rPr>
          <w:rFonts w:ascii="Times New Roman" w:eastAsia="Malgun Gothic" w:hAnsi="Times New Roman"/>
          <w:bCs/>
          <w:sz w:val="24"/>
          <w:szCs w:val="24"/>
        </w:rPr>
        <w:t xml:space="preserve">aux </w:t>
      </w:r>
      <w:r w:rsidR="0024142C" w:rsidRPr="007668DF">
        <w:rPr>
          <w:rFonts w:ascii="Times New Roman" w:eastAsia="Malgun Gothic" w:hAnsi="Times New Roman"/>
          <w:bCs/>
          <w:sz w:val="24"/>
          <w:szCs w:val="24"/>
        </w:rPr>
        <w:t xml:space="preserve">droits de la personne arrêtée, </w:t>
      </w:r>
      <w:r w:rsidR="001D4584" w:rsidRPr="007668DF">
        <w:rPr>
          <w:rFonts w:ascii="Times New Roman" w:eastAsia="Malgun Gothic" w:hAnsi="Times New Roman"/>
          <w:bCs/>
          <w:sz w:val="24"/>
          <w:szCs w:val="24"/>
        </w:rPr>
        <w:t>à l’interdiction du recours</w:t>
      </w:r>
      <w:r w:rsidR="0024142C" w:rsidRPr="007668DF">
        <w:rPr>
          <w:rFonts w:ascii="Times New Roman" w:eastAsia="Malgun Gothic" w:hAnsi="Times New Roman"/>
          <w:bCs/>
          <w:sz w:val="24"/>
          <w:szCs w:val="24"/>
        </w:rPr>
        <w:t xml:space="preserve"> à la torture, </w:t>
      </w:r>
      <w:r w:rsidR="001D4584" w:rsidRPr="007668DF">
        <w:rPr>
          <w:rFonts w:ascii="Times New Roman" w:eastAsia="Malgun Gothic" w:hAnsi="Times New Roman"/>
          <w:bCs/>
          <w:sz w:val="24"/>
          <w:szCs w:val="24"/>
        </w:rPr>
        <w:t xml:space="preserve">aux règles déterminant </w:t>
      </w:r>
      <w:r w:rsidR="0024142C" w:rsidRPr="007668DF">
        <w:rPr>
          <w:rFonts w:ascii="Times New Roman" w:eastAsia="Malgun Gothic" w:hAnsi="Times New Roman"/>
          <w:bCs/>
          <w:sz w:val="24"/>
          <w:szCs w:val="24"/>
        </w:rPr>
        <w:t>l’usage de la force et des armes à feu</w:t>
      </w:r>
      <w:r w:rsidR="00B9286A" w:rsidRPr="007668DF">
        <w:rPr>
          <w:rFonts w:ascii="Times New Roman" w:eastAsia="Malgun Gothic" w:hAnsi="Times New Roman"/>
          <w:bCs/>
          <w:sz w:val="24"/>
          <w:szCs w:val="24"/>
        </w:rPr>
        <w:t>,</w:t>
      </w:r>
      <w:r w:rsidR="0024142C" w:rsidRPr="007668DF">
        <w:rPr>
          <w:rFonts w:ascii="Times New Roman" w:eastAsia="Malgun Gothic" w:hAnsi="Times New Roman"/>
          <w:bCs/>
          <w:sz w:val="24"/>
          <w:szCs w:val="24"/>
        </w:rPr>
        <w:t xml:space="preserve"> ainsi qu</w:t>
      </w:r>
      <w:r w:rsidR="001D4584" w:rsidRPr="007668DF">
        <w:rPr>
          <w:rFonts w:ascii="Times New Roman" w:eastAsia="Malgun Gothic" w:hAnsi="Times New Roman"/>
          <w:bCs/>
          <w:sz w:val="24"/>
          <w:szCs w:val="24"/>
        </w:rPr>
        <w:t>’au</w:t>
      </w:r>
      <w:r w:rsidR="0024142C" w:rsidRPr="007668DF">
        <w:rPr>
          <w:rFonts w:ascii="Times New Roman" w:eastAsia="Malgun Gothic" w:hAnsi="Times New Roman"/>
          <w:bCs/>
          <w:sz w:val="24"/>
          <w:szCs w:val="24"/>
        </w:rPr>
        <w:t xml:space="preserve"> mandat de la police en matière de protection des droits de l’homme.</w:t>
      </w:r>
    </w:p>
    <w:p w:rsidR="003C54D5" w:rsidRPr="007668DF" w:rsidRDefault="003C54D5" w:rsidP="006C2FA0">
      <w:pPr>
        <w:tabs>
          <w:tab w:val="left" w:pos="567"/>
          <w:tab w:val="left" w:pos="709"/>
          <w:tab w:val="left" w:pos="851"/>
        </w:tabs>
        <w:spacing w:after="0"/>
        <w:jc w:val="both"/>
        <w:rPr>
          <w:rFonts w:ascii="Times New Roman" w:eastAsia="Malgun Gothic" w:hAnsi="Times New Roman"/>
          <w:bCs/>
          <w:sz w:val="24"/>
          <w:szCs w:val="24"/>
        </w:rPr>
      </w:pPr>
    </w:p>
    <w:p w:rsidR="003C54D5" w:rsidRPr="007668DF" w:rsidRDefault="00DC4F65" w:rsidP="006C2FA0">
      <w:pPr>
        <w:tabs>
          <w:tab w:val="left" w:pos="567"/>
          <w:tab w:val="left" w:pos="709"/>
          <w:tab w:val="left" w:pos="851"/>
        </w:tabs>
        <w:spacing w:after="0"/>
        <w:jc w:val="both"/>
        <w:rPr>
          <w:rFonts w:ascii="Times New Roman" w:eastAsia="Malgun Gothic" w:hAnsi="Times New Roman"/>
          <w:bCs/>
          <w:i/>
          <w:sz w:val="24"/>
          <w:szCs w:val="24"/>
        </w:rPr>
      </w:pPr>
      <w:r>
        <w:rPr>
          <w:rFonts w:ascii="Times New Roman" w:eastAsia="Malgun Gothic" w:hAnsi="Times New Roman"/>
          <w:bCs/>
          <w:i/>
          <w:sz w:val="24"/>
          <w:szCs w:val="24"/>
        </w:rPr>
        <w:tab/>
      </w:r>
      <w:r w:rsidR="003C54D5" w:rsidRPr="007668DF">
        <w:rPr>
          <w:rFonts w:ascii="Times New Roman" w:eastAsia="Malgun Gothic" w:hAnsi="Times New Roman"/>
          <w:bCs/>
          <w:i/>
          <w:sz w:val="24"/>
          <w:szCs w:val="24"/>
        </w:rPr>
        <w:t>Renforcement des capacités des magistrats et des avocats</w:t>
      </w:r>
    </w:p>
    <w:p w:rsidR="0024142C" w:rsidRPr="007668DF" w:rsidRDefault="00F163E1" w:rsidP="006C2FA0">
      <w:pPr>
        <w:tabs>
          <w:tab w:val="left" w:pos="567"/>
          <w:tab w:val="left" w:pos="709"/>
          <w:tab w:val="left" w:pos="851"/>
        </w:tabs>
        <w:spacing w:after="0"/>
        <w:jc w:val="both"/>
        <w:rPr>
          <w:rFonts w:ascii="Times New Roman" w:eastAsia="Malgun Gothic" w:hAnsi="Times New Roman"/>
          <w:bCs/>
          <w:sz w:val="24"/>
          <w:szCs w:val="24"/>
        </w:rPr>
      </w:pPr>
      <w:r w:rsidRPr="007668DF">
        <w:rPr>
          <w:rFonts w:ascii="Times New Roman" w:eastAsia="Malgun Gothic" w:hAnsi="Times New Roman"/>
          <w:bCs/>
          <w:sz w:val="24"/>
          <w:szCs w:val="24"/>
        </w:rPr>
        <w:tab/>
      </w:r>
    </w:p>
    <w:p w:rsidR="0024142C" w:rsidRPr="007668DF" w:rsidRDefault="001F669A" w:rsidP="006C2FA0">
      <w:pPr>
        <w:tabs>
          <w:tab w:val="left" w:pos="567"/>
          <w:tab w:val="left" w:pos="709"/>
          <w:tab w:val="left" w:pos="851"/>
        </w:tabs>
        <w:spacing w:after="0"/>
        <w:jc w:val="both"/>
        <w:rPr>
          <w:rFonts w:ascii="Times New Roman" w:eastAsia="Malgun Gothic" w:hAnsi="Times New Roman"/>
          <w:bCs/>
          <w:sz w:val="24"/>
          <w:szCs w:val="24"/>
        </w:rPr>
      </w:pPr>
      <w:r w:rsidRPr="007668DF">
        <w:rPr>
          <w:rFonts w:ascii="Times New Roman" w:eastAsia="Malgun Gothic" w:hAnsi="Times New Roman"/>
          <w:bCs/>
          <w:sz w:val="24"/>
          <w:szCs w:val="24"/>
        </w:rPr>
        <w:t>1</w:t>
      </w:r>
      <w:r w:rsidR="00A21002">
        <w:rPr>
          <w:rFonts w:ascii="Times New Roman" w:eastAsia="Malgun Gothic" w:hAnsi="Times New Roman"/>
          <w:bCs/>
          <w:sz w:val="24"/>
          <w:szCs w:val="24"/>
        </w:rPr>
        <w:t>11</w:t>
      </w:r>
      <w:r w:rsidR="0024142C" w:rsidRPr="007668DF">
        <w:rPr>
          <w:rFonts w:ascii="Times New Roman" w:eastAsia="Malgun Gothic" w:hAnsi="Times New Roman"/>
          <w:bCs/>
          <w:sz w:val="24"/>
          <w:szCs w:val="24"/>
        </w:rPr>
        <w:t>.</w:t>
      </w:r>
      <w:r w:rsidR="0024142C" w:rsidRPr="007668DF">
        <w:rPr>
          <w:rFonts w:ascii="Times New Roman" w:eastAsia="Malgun Gothic" w:hAnsi="Times New Roman"/>
          <w:bCs/>
          <w:sz w:val="24"/>
          <w:szCs w:val="24"/>
        </w:rPr>
        <w:tab/>
      </w:r>
      <w:r w:rsidR="00D31842" w:rsidRPr="007668DF">
        <w:rPr>
          <w:rFonts w:ascii="Times New Roman" w:eastAsia="Malgun Gothic" w:hAnsi="Times New Roman"/>
          <w:bCs/>
          <w:sz w:val="24"/>
          <w:szCs w:val="24"/>
        </w:rPr>
        <w:t xml:space="preserve"> </w:t>
      </w:r>
      <w:r w:rsidR="0024142C" w:rsidRPr="007668DF">
        <w:rPr>
          <w:rFonts w:ascii="Times New Roman" w:eastAsia="Malgun Gothic" w:hAnsi="Times New Roman"/>
          <w:bCs/>
          <w:sz w:val="24"/>
          <w:szCs w:val="24"/>
        </w:rPr>
        <w:t>Conformément à son cadre stratégique, la Division des droits de l’homme contribue au renforcement des capacités des acteurs de la justice en vue de lutter contre l’impunité des auteurs de violations et abus d</w:t>
      </w:r>
      <w:r w:rsidR="00A71B12">
        <w:rPr>
          <w:rFonts w:ascii="Times New Roman" w:eastAsia="Malgun Gothic" w:hAnsi="Times New Roman"/>
          <w:bCs/>
          <w:sz w:val="24"/>
          <w:szCs w:val="24"/>
        </w:rPr>
        <w:t>u droit international des</w:t>
      </w:r>
      <w:r w:rsidR="0024142C" w:rsidRPr="007668DF">
        <w:rPr>
          <w:rFonts w:ascii="Times New Roman" w:eastAsia="Malgun Gothic" w:hAnsi="Times New Roman"/>
          <w:bCs/>
          <w:sz w:val="24"/>
          <w:szCs w:val="24"/>
        </w:rPr>
        <w:t xml:space="preserve"> droits de l’homme</w:t>
      </w:r>
      <w:r w:rsidR="00A71B12">
        <w:rPr>
          <w:rFonts w:ascii="Times New Roman" w:eastAsia="Malgun Gothic" w:hAnsi="Times New Roman"/>
          <w:bCs/>
          <w:sz w:val="24"/>
          <w:szCs w:val="24"/>
        </w:rPr>
        <w:t xml:space="preserve"> et du droit international </w:t>
      </w:r>
      <w:r w:rsidR="00F6377A">
        <w:rPr>
          <w:rFonts w:ascii="Times New Roman" w:eastAsia="Malgun Gothic" w:hAnsi="Times New Roman"/>
          <w:bCs/>
          <w:sz w:val="24"/>
          <w:szCs w:val="24"/>
        </w:rPr>
        <w:t>humanitaire</w:t>
      </w:r>
      <w:r w:rsidR="00A71B12">
        <w:rPr>
          <w:rFonts w:ascii="Times New Roman" w:eastAsia="Malgun Gothic" w:hAnsi="Times New Roman"/>
          <w:bCs/>
          <w:sz w:val="24"/>
          <w:szCs w:val="24"/>
        </w:rPr>
        <w:t xml:space="preserve"> </w:t>
      </w:r>
      <w:r w:rsidR="0024142C" w:rsidRPr="007668DF">
        <w:rPr>
          <w:rFonts w:ascii="Times New Roman" w:eastAsia="Malgun Gothic" w:hAnsi="Times New Roman"/>
          <w:bCs/>
          <w:sz w:val="24"/>
          <w:szCs w:val="24"/>
        </w:rPr>
        <w:t xml:space="preserve"> observés pendant le conflit </w:t>
      </w:r>
      <w:r w:rsidR="00EE5FE6">
        <w:rPr>
          <w:rFonts w:ascii="Times New Roman" w:eastAsia="Malgun Gothic" w:hAnsi="Times New Roman"/>
          <w:bCs/>
          <w:sz w:val="24"/>
          <w:szCs w:val="24"/>
        </w:rPr>
        <w:t xml:space="preserve">au </w:t>
      </w:r>
      <w:r w:rsidR="0024142C" w:rsidRPr="007668DF">
        <w:rPr>
          <w:rFonts w:ascii="Times New Roman" w:eastAsia="Malgun Gothic" w:hAnsi="Times New Roman"/>
          <w:bCs/>
          <w:sz w:val="24"/>
          <w:szCs w:val="24"/>
        </w:rPr>
        <w:t xml:space="preserve">Mali. Cet appui </w:t>
      </w:r>
      <w:r w:rsidR="00B3569D" w:rsidRPr="007668DF">
        <w:rPr>
          <w:rFonts w:ascii="Times New Roman" w:eastAsia="Malgun Gothic" w:hAnsi="Times New Roman"/>
          <w:bCs/>
          <w:sz w:val="24"/>
          <w:szCs w:val="24"/>
        </w:rPr>
        <w:t>é</w:t>
      </w:r>
      <w:r w:rsidR="00B3569D">
        <w:rPr>
          <w:rFonts w:ascii="Times New Roman" w:eastAsia="Malgun Gothic" w:hAnsi="Times New Roman"/>
          <w:bCs/>
          <w:sz w:val="24"/>
          <w:szCs w:val="24"/>
        </w:rPr>
        <w:t>tait</w:t>
      </w:r>
      <w:r w:rsidR="00B9286A" w:rsidRPr="007668DF">
        <w:rPr>
          <w:rFonts w:ascii="Times New Roman" w:eastAsia="Malgun Gothic" w:hAnsi="Times New Roman"/>
          <w:bCs/>
          <w:sz w:val="24"/>
          <w:szCs w:val="24"/>
        </w:rPr>
        <w:t xml:space="preserve"> </w:t>
      </w:r>
      <w:r w:rsidR="0024142C" w:rsidRPr="007668DF">
        <w:rPr>
          <w:rFonts w:ascii="Times New Roman" w:eastAsia="Malgun Gothic" w:hAnsi="Times New Roman"/>
          <w:bCs/>
          <w:sz w:val="24"/>
          <w:szCs w:val="24"/>
        </w:rPr>
        <w:t xml:space="preserve">nécessaire dans la mesure </w:t>
      </w:r>
      <w:r w:rsidR="0034450D" w:rsidRPr="007668DF">
        <w:rPr>
          <w:rFonts w:ascii="Times New Roman" w:eastAsia="Malgun Gothic" w:hAnsi="Times New Roman"/>
          <w:bCs/>
          <w:sz w:val="24"/>
          <w:szCs w:val="24"/>
        </w:rPr>
        <w:t>où</w:t>
      </w:r>
      <w:r w:rsidR="0024142C" w:rsidRPr="007668DF">
        <w:rPr>
          <w:rFonts w:ascii="Times New Roman" w:eastAsia="Malgun Gothic" w:hAnsi="Times New Roman"/>
          <w:bCs/>
          <w:sz w:val="24"/>
          <w:szCs w:val="24"/>
        </w:rPr>
        <w:t xml:space="preserve"> la justice malienne n’</w:t>
      </w:r>
      <w:r w:rsidR="00B3569D" w:rsidRPr="007668DF">
        <w:rPr>
          <w:rFonts w:ascii="Times New Roman" w:eastAsia="Malgun Gothic" w:hAnsi="Times New Roman"/>
          <w:bCs/>
          <w:sz w:val="24"/>
          <w:szCs w:val="24"/>
        </w:rPr>
        <w:t>é</w:t>
      </w:r>
      <w:r w:rsidR="00B3569D">
        <w:rPr>
          <w:rFonts w:ascii="Times New Roman" w:eastAsia="Malgun Gothic" w:hAnsi="Times New Roman"/>
          <w:bCs/>
          <w:sz w:val="24"/>
          <w:szCs w:val="24"/>
        </w:rPr>
        <w:t>tait</w:t>
      </w:r>
      <w:r w:rsidR="0024142C" w:rsidRPr="007668DF">
        <w:rPr>
          <w:rFonts w:ascii="Times New Roman" w:eastAsia="Malgun Gothic" w:hAnsi="Times New Roman"/>
          <w:bCs/>
          <w:sz w:val="24"/>
          <w:szCs w:val="24"/>
        </w:rPr>
        <w:t xml:space="preserve"> pas outillée pour faire face à un nombre aussi important d</w:t>
      </w:r>
      <w:r w:rsidR="00943F85">
        <w:rPr>
          <w:rFonts w:ascii="Times New Roman" w:eastAsia="Malgun Gothic" w:hAnsi="Times New Roman"/>
          <w:bCs/>
          <w:sz w:val="24"/>
          <w:szCs w:val="24"/>
        </w:rPr>
        <w:t>’abus et de</w:t>
      </w:r>
      <w:r w:rsidR="0024142C" w:rsidRPr="007668DF">
        <w:rPr>
          <w:rFonts w:ascii="Times New Roman" w:eastAsia="Malgun Gothic" w:hAnsi="Times New Roman"/>
          <w:bCs/>
          <w:sz w:val="24"/>
          <w:szCs w:val="24"/>
        </w:rPr>
        <w:t xml:space="preserve"> violations</w:t>
      </w:r>
      <w:r w:rsidR="00943F85">
        <w:rPr>
          <w:rFonts w:ascii="Times New Roman" w:eastAsia="Malgun Gothic" w:hAnsi="Times New Roman"/>
          <w:bCs/>
          <w:sz w:val="24"/>
          <w:szCs w:val="24"/>
        </w:rPr>
        <w:t xml:space="preserve">. </w:t>
      </w:r>
    </w:p>
    <w:p w:rsidR="0024142C" w:rsidRPr="007668DF" w:rsidRDefault="0024142C" w:rsidP="006C2FA0">
      <w:pPr>
        <w:tabs>
          <w:tab w:val="left" w:pos="567"/>
          <w:tab w:val="left" w:pos="709"/>
          <w:tab w:val="left" w:pos="851"/>
        </w:tabs>
        <w:spacing w:after="0"/>
        <w:jc w:val="both"/>
        <w:rPr>
          <w:rFonts w:ascii="Times New Roman" w:eastAsia="Malgun Gothic" w:hAnsi="Times New Roman"/>
          <w:bCs/>
          <w:sz w:val="24"/>
          <w:szCs w:val="24"/>
        </w:rPr>
      </w:pPr>
    </w:p>
    <w:p w:rsidR="0024142C" w:rsidRPr="007668DF" w:rsidRDefault="001F669A" w:rsidP="006C2FA0">
      <w:pPr>
        <w:tabs>
          <w:tab w:val="left" w:pos="567"/>
          <w:tab w:val="left" w:pos="709"/>
          <w:tab w:val="left" w:pos="851"/>
        </w:tabs>
        <w:spacing w:after="0"/>
        <w:jc w:val="both"/>
        <w:rPr>
          <w:rFonts w:ascii="Times New Roman" w:eastAsia="Malgun Gothic" w:hAnsi="Times New Roman"/>
          <w:bCs/>
          <w:sz w:val="24"/>
          <w:szCs w:val="24"/>
        </w:rPr>
      </w:pPr>
      <w:r w:rsidRPr="007668DF">
        <w:rPr>
          <w:rFonts w:ascii="Times New Roman" w:eastAsia="Malgun Gothic" w:hAnsi="Times New Roman"/>
          <w:bCs/>
          <w:sz w:val="24"/>
          <w:szCs w:val="24"/>
        </w:rPr>
        <w:lastRenderedPageBreak/>
        <w:t>1</w:t>
      </w:r>
      <w:r w:rsidR="00A21002">
        <w:rPr>
          <w:rFonts w:ascii="Times New Roman" w:eastAsia="Malgun Gothic" w:hAnsi="Times New Roman"/>
          <w:bCs/>
          <w:sz w:val="24"/>
          <w:szCs w:val="24"/>
        </w:rPr>
        <w:t>12</w:t>
      </w:r>
      <w:r w:rsidR="0024142C" w:rsidRPr="007668DF">
        <w:rPr>
          <w:rFonts w:ascii="Times New Roman" w:eastAsia="Malgun Gothic" w:hAnsi="Times New Roman"/>
          <w:bCs/>
          <w:sz w:val="24"/>
          <w:szCs w:val="24"/>
        </w:rPr>
        <w:t>.</w:t>
      </w:r>
      <w:r w:rsidR="0024142C" w:rsidRPr="007668DF">
        <w:rPr>
          <w:rFonts w:ascii="Times New Roman" w:eastAsia="Malgun Gothic" w:hAnsi="Times New Roman"/>
          <w:bCs/>
          <w:sz w:val="24"/>
          <w:szCs w:val="24"/>
        </w:rPr>
        <w:tab/>
      </w:r>
      <w:r w:rsidR="00D31842" w:rsidRPr="007668DF">
        <w:rPr>
          <w:rFonts w:ascii="Times New Roman" w:eastAsia="Malgun Gothic" w:hAnsi="Times New Roman"/>
          <w:bCs/>
          <w:sz w:val="24"/>
          <w:szCs w:val="24"/>
        </w:rPr>
        <w:t xml:space="preserve"> </w:t>
      </w:r>
      <w:r w:rsidR="0024142C" w:rsidRPr="007668DF">
        <w:rPr>
          <w:rFonts w:ascii="Times New Roman" w:eastAsia="Malgun Gothic" w:hAnsi="Times New Roman"/>
          <w:bCs/>
          <w:sz w:val="24"/>
          <w:szCs w:val="24"/>
        </w:rPr>
        <w:t xml:space="preserve">C’est dans ce contexte que la Division des droits de l’homme a organisé une session de formation en droits de l’homme et droit pénal international, en collaboration avec l’Institut </w:t>
      </w:r>
      <w:r w:rsidR="002365EA" w:rsidRPr="007668DF">
        <w:rPr>
          <w:rFonts w:ascii="Times New Roman" w:eastAsia="Malgun Gothic" w:hAnsi="Times New Roman"/>
          <w:bCs/>
          <w:sz w:val="24"/>
          <w:szCs w:val="24"/>
        </w:rPr>
        <w:t>i</w:t>
      </w:r>
      <w:r w:rsidR="0024142C" w:rsidRPr="007668DF">
        <w:rPr>
          <w:rFonts w:ascii="Times New Roman" w:eastAsia="Malgun Gothic" w:hAnsi="Times New Roman"/>
          <w:bCs/>
          <w:sz w:val="24"/>
          <w:szCs w:val="24"/>
        </w:rPr>
        <w:t xml:space="preserve">nternational des </w:t>
      </w:r>
      <w:r w:rsidR="002365EA" w:rsidRPr="007668DF">
        <w:rPr>
          <w:rFonts w:ascii="Times New Roman" w:eastAsia="Malgun Gothic" w:hAnsi="Times New Roman"/>
          <w:bCs/>
          <w:sz w:val="24"/>
          <w:szCs w:val="24"/>
        </w:rPr>
        <w:t>d</w:t>
      </w:r>
      <w:r w:rsidR="0024142C" w:rsidRPr="007668DF">
        <w:rPr>
          <w:rFonts w:ascii="Times New Roman" w:eastAsia="Malgun Gothic" w:hAnsi="Times New Roman"/>
          <w:bCs/>
          <w:sz w:val="24"/>
          <w:szCs w:val="24"/>
        </w:rPr>
        <w:t>roits de l’</w:t>
      </w:r>
      <w:r w:rsidR="002365EA" w:rsidRPr="007668DF">
        <w:rPr>
          <w:rFonts w:ascii="Times New Roman" w:eastAsia="Malgun Gothic" w:hAnsi="Times New Roman"/>
          <w:bCs/>
          <w:sz w:val="24"/>
          <w:szCs w:val="24"/>
        </w:rPr>
        <w:t>h</w:t>
      </w:r>
      <w:r w:rsidR="0024142C" w:rsidRPr="007668DF">
        <w:rPr>
          <w:rFonts w:ascii="Times New Roman" w:eastAsia="Malgun Gothic" w:hAnsi="Times New Roman"/>
          <w:bCs/>
          <w:sz w:val="24"/>
          <w:szCs w:val="24"/>
        </w:rPr>
        <w:t xml:space="preserve">omme </w:t>
      </w:r>
      <w:r w:rsidR="000B24B9" w:rsidRPr="007668DF">
        <w:rPr>
          <w:rFonts w:ascii="Times New Roman" w:eastAsia="Malgun Gothic" w:hAnsi="Times New Roman"/>
          <w:bCs/>
          <w:sz w:val="24"/>
          <w:szCs w:val="24"/>
        </w:rPr>
        <w:t>de Strasbourg</w:t>
      </w:r>
      <w:r w:rsidR="00B9286A" w:rsidRPr="007668DF">
        <w:rPr>
          <w:rFonts w:ascii="Times New Roman" w:eastAsia="Malgun Gothic" w:hAnsi="Times New Roman"/>
          <w:bCs/>
          <w:sz w:val="24"/>
          <w:szCs w:val="24"/>
        </w:rPr>
        <w:t>,</w:t>
      </w:r>
      <w:r w:rsidR="000B24B9" w:rsidRPr="007668DF">
        <w:rPr>
          <w:rFonts w:ascii="Times New Roman" w:eastAsia="Malgun Gothic" w:hAnsi="Times New Roman"/>
          <w:bCs/>
          <w:sz w:val="24"/>
          <w:szCs w:val="24"/>
        </w:rPr>
        <w:t xml:space="preserve"> </w:t>
      </w:r>
      <w:r w:rsidR="0024142C" w:rsidRPr="007668DF">
        <w:rPr>
          <w:rFonts w:ascii="Times New Roman" w:eastAsia="Malgun Gothic" w:hAnsi="Times New Roman"/>
          <w:bCs/>
          <w:sz w:val="24"/>
          <w:szCs w:val="24"/>
        </w:rPr>
        <w:t xml:space="preserve">et en partenariat avec la Fondation Friedrich Neumann, la Coalition </w:t>
      </w:r>
      <w:r w:rsidR="003C54D5" w:rsidRPr="007668DF">
        <w:rPr>
          <w:rFonts w:ascii="Times New Roman" w:eastAsia="Malgun Gothic" w:hAnsi="Times New Roman"/>
          <w:bCs/>
          <w:sz w:val="24"/>
          <w:szCs w:val="24"/>
        </w:rPr>
        <w:t>m</w:t>
      </w:r>
      <w:r w:rsidR="0024142C" w:rsidRPr="007668DF">
        <w:rPr>
          <w:rFonts w:ascii="Times New Roman" w:eastAsia="Malgun Gothic" w:hAnsi="Times New Roman"/>
          <w:bCs/>
          <w:sz w:val="24"/>
          <w:szCs w:val="24"/>
        </w:rPr>
        <w:t xml:space="preserve">alienne pour les </w:t>
      </w:r>
      <w:r w:rsidR="00375DB8" w:rsidRPr="007668DF">
        <w:rPr>
          <w:rFonts w:ascii="Times New Roman" w:eastAsia="Malgun Gothic" w:hAnsi="Times New Roman"/>
          <w:bCs/>
          <w:sz w:val="24"/>
          <w:szCs w:val="24"/>
        </w:rPr>
        <w:t>d</w:t>
      </w:r>
      <w:r w:rsidR="0024142C" w:rsidRPr="007668DF">
        <w:rPr>
          <w:rFonts w:ascii="Times New Roman" w:eastAsia="Malgun Gothic" w:hAnsi="Times New Roman"/>
          <w:bCs/>
          <w:sz w:val="24"/>
          <w:szCs w:val="24"/>
        </w:rPr>
        <w:t>roits de l’</w:t>
      </w:r>
      <w:r w:rsidR="00375DB8" w:rsidRPr="007668DF">
        <w:rPr>
          <w:rFonts w:ascii="Times New Roman" w:eastAsia="Malgun Gothic" w:hAnsi="Times New Roman"/>
          <w:bCs/>
          <w:sz w:val="24"/>
          <w:szCs w:val="24"/>
        </w:rPr>
        <w:t>e</w:t>
      </w:r>
      <w:r w:rsidR="0024142C" w:rsidRPr="007668DF">
        <w:rPr>
          <w:rFonts w:ascii="Times New Roman" w:eastAsia="Malgun Gothic" w:hAnsi="Times New Roman"/>
          <w:bCs/>
          <w:sz w:val="24"/>
          <w:szCs w:val="24"/>
        </w:rPr>
        <w:t xml:space="preserve">nfant et l’Institut </w:t>
      </w:r>
      <w:r w:rsidR="00375DB8" w:rsidRPr="007668DF">
        <w:rPr>
          <w:rFonts w:ascii="Times New Roman" w:eastAsia="Malgun Gothic" w:hAnsi="Times New Roman"/>
          <w:bCs/>
          <w:sz w:val="24"/>
          <w:szCs w:val="24"/>
        </w:rPr>
        <w:t>n</w:t>
      </w:r>
      <w:r w:rsidR="0024142C" w:rsidRPr="007668DF">
        <w:rPr>
          <w:rFonts w:ascii="Times New Roman" w:eastAsia="Malgun Gothic" w:hAnsi="Times New Roman"/>
          <w:bCs/>
          <w:sz w:val="24"/>
          <w:szCs w:val="24"/>
        </w:rPr>
        <w:t xml:space="preserve">ational de </w:t>
      </w:r>
      <w:r w:rsidR="00375DB8" w:rsidRPr="007668DF">
        <w:rPr>
          <w:rFonts w:ascii="Times New Roman" w:eastAsia="Malgun Gothic" w:hAnsi="Times New Roman"/>
          <w:bCs/>
          <w:sz w:val="24"/>
          <w:szCs w:val="24"/>
        </w:rPr>
        <w:t>f</w:t>
      </w:r>
      <w:r w:rsidR="0024142C" w:rsidRPr="007668DF">
        <w:rPr>
          <w:rFonts w:ascii="Times New Roman" w:eastAsia="Malgun Gothic" w:hAnsi="Times New Roman"/>
          <w:bCs/>
          <w:sz w:val="24"/>
          <w:szCs w:val="24"/>
        </w:rPr>
        <w:t xml:space="preserve">ormation </w:t>
      </w:r>
      <w:r w:rsidR="00375DB8" w:rsidRPr="007668DF">
        <w:rPr>
          <w:rFonts w:ascii="Times New Roman" w:eastAsia="Malgun Gothic" w:hAnsi="Times New Roman"/>
          <w:bCs/>
          <w:sz w:val="24"/>
          <w:szCs w:val="24"/>
        </w:rPr>
        <w:t>j</w:t>
      </w:r>
      <w:r w:rsidR="0024142C" w:rsidRPr="007668DF">
        <w:rPr>
          <w:rFonts w:ascii="Times New Roman" w:eastAsia="Malgun Gothic" w:hAnsi="Times New Roman"/>
          <w:bCs/>
          <w:sz w:val="24"/>
          <w:szCs w:val="24"/>
        </w:rPr>
        <w:t>udiciaire. La formation a regroupé 117 participants venus de 17 pays, parmi lesquels une trentaine des magistrats et avocats maliens</w:t>
      </w:r>
      <w:r w:rsidR="00B9286A" w:rsidRPr="007668DF">
        <w:rPr>
          <w:rFonts w:ascii="Times New Roman" w:eastAsia="Malgun Gothic" w:hAnsi="Times New Roman"/>
          <w:bCs/>
          <w:sz w:val="24"/>
          <w:szCs w:val="24"/>
        </w:rPr>
        <w:t>. Elle</w:t>
      </w:r>
      <w:r w:rsidR="0024142C" w:rsidRPr="007668DF">
        <w:rPr>
          <w:rFonts w:ascii="Times New Roman" w:eastAsia="Malgun Gothic" w:hAnsi="Times New Roman"/>
          <w:bCs/>
          <w:sz w:val="24"/>
          <w:szCs w:val="24"/>
        </w:rPr>
        <w:t xml:space="preserve"> a permis aux acteurs de la justice d’avoir </w:t>
      </w:r>
      <w:r w:rsidR="00B9286A" w:rsidRPr="007668DF">
        <w:rPr>
          <w:rFonts w:ascii="Times New Roman" w:eastAsia="Malgun Gothic" w:hAnsi="Times New Roman"/>
          <w:bCs/>
          <w:sz w:val="24"/>
          <w:szCs w:val="24"/>
        </w:rPr>
        <w:t>l</w:t>
      </w:r>
      <w:r w:rsidR="0024142C" w:rsidRPr="007668DF">
        <w:rPr>
          <w:rFonts w:ascii="Times New Roman" w:eastAsia="Malgun Gothic" w:hAnsi="Times New Roman"/>
          <w:bCs/>
          <w:sz w:val="24"/>
          <w:szCs w:val="24"/>
        </w:rPr>
        <w:t>es connaissances nécessaires pour traiter des cas de violations des droits de l’homme commises pendant la crise et qui exigent une approche intégrée et complémentaire des mécanismes juridiques et non juridiques.</w:t>
      </w:r>
    </w:p>
    <w:p w:rsidR="0024142C" w:rsidRPr="007668DF" w:rsidRDefault="0024142C" w:rsidP="006C2FA0">
      <w:pPr>
        <w:tabs>
          <w:tab w:val="left" w:pos="567"/>
          <w:tab w:val="left" w:pos="709"/>
          <w:tab w:val="left" w:pos="851"/>
        </w:tabs>
        <w:spacing w:after="0"/>
        <w:jc w:val="both"/>
        <w:rPr>
          <w:rFonts w:ascii="Times New Roman" w:eastAsia="Malgun Gothic" w:hAnsi="Times New Roman"/>
          <w:bCs/>
          <w:sz w:val="24"/>
          <w:szCs w:val="24"/>
        </w:rPr>
      </w:pPr>
    </w:p>
    <w:p w:rsidR="0024142C" w:rsidRPr="007668DF" w:rsidRDefault="0024142C" w:rsidP="003B152B">
      <w:pPr>
        <w:pStyle w:val="Subtitle"/>
        <w:rPr>
          <w:rFonts w:eastAsia="Malgun Gothic"/>
        </w:rPr>
      </w:pPr>
      <w:bookmarkStart w:id="28" w:name="_Toc401931507"/>
      <w:r w:rsidRPr="007668DF">
        <w:rPr>
          <w:rFonts w:eastAsia="Malgun Gothic"/>
        </w:rPr>
        <w:t>Appui à la société civile</w:t>
      </w:r>
      <w:bookmarkEnd w:id="28"/>
    </w:p>
    <w:p w:rsidR="00EF0F84" w:rsidRDefault="001F669A" w:rsidP="006C2FA0">
      <w:pPr>
        <w:tabs>
          <w:tab w:val="left" w:pos="567"/>
          <w:tab w:val="left" w:pos="709"/>
          <w:tab w:val="left" w:pos="851"/>
        </w:tabs>
        <w:spacing w:after="0"/>
        <w:jc w:val="both"/>
        <w:rPr>
          <w:rFonts w:ascii="Times New Roman" w:eastAsia="Malgun Gothic" w:hAnsi="Times New Roman"/>
          <w:bCs/>
          <w:sz w:val="24"/>
          <w:szCs w:val="24"/>
        </w:rPr>
      </w:pPr>
      <w:r w:rsidRPr="007668DF">
        <w:rPr>
          <w:rFonts w:ascii="Times New Roman" w:eastAsia="Malgun Gothic" w:hAnsi="Times New Roman"/>
          <w:bCs/>
          <w:sz w:val="24"/>
          <w:szCs w:val="24"/>
        </w:rPr>
        <w:t>1</w:t>
      </w:r>
      <w:r w:rsidR="00A21002">
        <w:rPr>
          <w:rFonts w:ascii="Times New Roman" w:eastAsia="Malgun Gothic" w:hAnsi="Times New Roman"/>
          <w:bCs/>
          <w:sz w:val="24"/>
          <w:szCs w:val="24"/>
        </w:rPr>
        <w:t>13</w:t>
      </w:r>
      <w:r w:rsidR="0024142C" w:rsidRPr="007668DF">
        <w:rPr>
          <w:rFonts w:ascii="Times New Roman" w:eastAsia="Malgun Gothic" w:hAnsi="Times New Roman"/>
          <w:bCs/>
          <w:sz w:val="24"/>
          <w:szCs w:val="24"/>
        </w:rPr>
        <w:t>.</w:t>
      </w:r>
      <w:r w:rsidR="0024142C" w:rsidRPr="007668DF">
        <w:rPr>
          <w:rFonts w:ascii="Times New Roman" w:eastAsia="Malgun Gothic" w:hAnsi="Times New Roman"/>
          <w:bCs/>
          <w:sz w:val="24"/>
          <w:szCs w:val="24"/>
        </w:rPr>
        <w:tab/>
      </w:r>
      <w:r w:rsidR="00BF0DA1" w:rsidRPr="007668DF">
        <w:rPr>
          <w:rFonts w:ascii="Times New Roman" w:eastAsia="Malgun Gothic" w:hAnsi="Times New Roman"/>
          <w:bCs/>
          <w:sz w:val="24"/>
          <w:szCs w:val="24"/>
        </w:rPr>
        <w:t xml:space="preserve"> </w:t>
      </w:r>
      <w:r w:rsidR="0024142C" w:rsidRPr="007668DF">
        <w:rPr>
          <w:rFonts w:ascii="Times New Roman" w:eastAsia="Malgun Gothic" w:hAnsi="Times New Roman"/>
          <w:bCs/>
          <w:sz w:val="24"/>
          <w:szCs w:val="24"/>
        </w:rPr>
        <w:t>La Division des droits de l’homme a apporté un appui multiforme aux organisations de la société civile malienne. Entre juillet 2013 et fin mai 2014, une soixant</w:t>
      </w:r>
      <w:r w:rsidR="003F7BF5" w:rsidRPr="007668DF">
        <w:rPr>
          <w:rFonts w:ascii="Times New Roman" w:eastAsia="Malgun Gothic" w:hAnsi="Times New Roman"/>
          <w:bCs/>
          <w:sz w:val="24"/>
          <w:szCs w:val="24"/>
        </w:rPr>
        <w:t>aine</w:t>
      </w:r>
      <w:r w:rsidR="0024142C" w:rsidRPr="007668DF">
        <w:rPr>
          <w:rFonts w:ascii="Times New Roman" w:eastAsia="Malgun Gothic" w:hAnsi="Times New Roman"/>
          <w:bCs/>
          <w:sz w:val="24"/>
          <w:szCs w:val="24"/>
        </w:rPr>
        <w:t xml:space="preserve"> de leaders d’organisations non gouvernementales en provenance de toutes les régions du Mali </w:t>
      </w:r>
      <w:r w:rsidR="00A86C56">
        <w:rPr>
          <w:rFonts w:ascii="Times New Roman" w:eastAsia="Malgun Gothic" w:hAnsi="Times New Roman"/>
          <w:bCs/>
          <w:sz w:val="24"/>
          <w:szCs w:val="24"/>
        </w:rPr>
        <w:t>ont</w:t>
      </w:r>
      <w:r w:rsidR="001D4584" w:rsidRPr="007668DF">
        <w:rPr>
          <w:rFonts w:ascii="Times New Roman" w:eastAsia="Malgun Gothic" w:hAnsi="Times New Roman"/>
          <w:bCs/>
          <w:sz w:val="24"/>
          <w:szCs w:val="24"/>
        </w:rPr>
        <w:t xml:space="preserve"> </w:t>
      </w:r>
      <w:r w:rsidR="0024142C" w:rsidRPr="007668DF">
        <w:rPr>
          <w:rFonts w:ascii="Times New Roman" w:eastAsia="Malgun Gothic" w:hAnsi="Times New Roman"/>
          <w:bCs/>
          <w:sz w:val="24"/>
          <w:szCs w:val="24"/>
        </w:rPr>
        <w:t>été formé</w:t>
      </w:r>
      <w:r w:rsidR="0015403C">
        <w:rPr>
          <w:rFonts w:ascii="Times New Roman" w:eastAsia="Malgun Gothic" w:hAnsi="Times New Roman"/>
          <w:bCs/>
          <w:sz w:val="24"/>
          <w:szCs w:val="24"/>
        </w:rPr>
        <w:t>s</w:t>
      </w:r>
      <w:r w:rsidR="0024142C" w:rsidRPr="007668DF">
        <w:rPr>
          <w:rFonts w:ascii="Times New Roman" w:eastAsia="Malgun Gothic" w:hAnsi="Times New Roman"/>
          <w:bCs/>
          <w:sz w:val="24"/>
          <w:szCs w:val="24"/>
        </w:rPr>
        <w:t xml:space="preserve"> à la surveillance des violations des droits de l’homme durant la période électorale</w:t>
      </w:r>
      <w:r w:rsidR="003F7BF5" w:rsidRPr="007668DF">
        <w:rPr>
          <w:rFonts w:ascii="Times New Roman" w:eastAsia="Malgun Gothic" w:hAnsi="Times New Roman"/>
          <w:bCs/>
          <w:sz w:val="24"/>
          <w:szCs w:val="24"/>
        </w:rPr>
        <w:t>.</w:t>
      </w:r>
      <w:r w:rsidR="00AD2A85" w:rsidRPr="007668DF">
        <w:rPr>
          <w:rFonts w:ascii="Times New Roman" w:eastAsia="Malgun Gothic" w:hAnsi="Times New Roman"/>
          <w:bCs/>
          <w:sz w:val="24"/>
          <w:szCs w:val="24"/>
        </w:rPr>
        <w:t xml:space="preserve"> </w:t>
      </w:r>
      <w:r w:rsidR="0024142C" w:rsidRPr="007668DF">
        <w:rPr>
          <w:rFonts w:ascii="Times New Roman" w:eastAsia="Malgun Gothic" w:hAnsi="Times New Roman"/>
          <w:bCs/>
          <w:sz w:val="24"/>
          <w:szCs w:val="24"/>
        </w:rPr>
        <w:t>Ces formation</w:t>
      </w:r>
      <w:r w:rsidR="001D4584" w:rsidRPr="007668DF">
        <w:rPr>
          <w:rFonts w:ascii="Times New Roman" w:eastAsia="Malgun Gothic" w:hAnsi="Times New Roman"/>
          <w:bCs/>
          <w:sz w:val="24"/>
          <w:szCs w:val="24"/>
        </w:rPr>
        <w:t>s</w:t>
      </w:r>
      <w:r w:rsidR="0024142C" w:rsidRPr="007668DF">
        <w:rPr>
          <w:rFonts w:ascii="Times New Roman" w:eastAsia="Malgun Gothic" w:hAnsi="Times New Roman"/>
          <w:bCs/>
          <w:sz w:val="24"/>
          <w:szCs w:val="24"/>
        </w:rPr>
        <w:t xml:space="preserve"> ont été organisées en collaboration avec le </w:t>
      </w:r>
      <w:r w:rsidR="00372C9F">
        <w:rPr>
          <w:rFonts w:ascii="Times New Roman" w:eastAsia="Malgun Gothic" w:hAnsi="Times New Roman"/>
          <w:bCs/>
          <w:sz w:val="24"/>
          <w:szCs w:val="24"/>
        </w:rPr>
        <w:t>M</w:t>
      </w:r>
      <w:r w:rsidR="0024142C" w:rsidRPr="007668DF">
        <w:rPr>
          <w:rFonts w:ascii="Times New Roman" w:eastAsia="Malgun Gothic" w:hAnsi="Times New Roman"/>
          <w:bCs/>
          <w:sz w:val="24"/>
          <w:szCs w:val="24"/>
        </w:rPr>
        <w:t xml:space="preserve">inistère de la </w:t>
      </w:r>
      <w:r w:rsidR="00372C9F">
        <w:rPr>
          <w:rFonts w:ascii="Times New Roman" w:eastAsia="Malgun Gothic" w:hAnsi="Times New Roman"/>
          <w:bCs/>
          <w:sz w:val="24"/>
          <w:szCs w:val="24"/>
        </w:rPr>
        <w:t>J</w:t>
      </w:r>
      <w:r w:rsidR="0024142C" w:rsidRPr="007668DF">
        <w:rPr>
          <w:rFonts w:ascii="Times New Roman" w:eastAsia="Malgun Gothic" w:hAnsi="Times New Roman"/>
          <w:bCs/>
          <w:sz w:val="24"/>
          <w:szCs w:val="24"/>
        </w:rPr>
        <w:t>ustice</w:t>
      </w:r>
      <w:r w:rsidR="003F7BF5" w:rsidRPr="007668DF">
        <w:rPr>
          <w:rFonts w:ascii="Times New Roman" w:eastAsia="Malgun Gothic" w:hAnsi="Times New Roman"/>
          <w:bCs/>
          <w:sz w:val="24"/>
          <w:szCs w:val="24"/>
        </w:rPr>
        <w:t xml:space="preserve"> et des </w:t>
      </w:r>
      <w:r w:rsidR="00CC127D" w:rsidRPr="007668DF">
        <w:rPr>
          <w:rFonts w:ascii="Times New Roman" w:eastAsia="Malgun Gothic" w:hAnsi="Times New Roman"/>
          <w:bCs/>
          <w:sz w:val="24"/>
          <w:szCs w:val="24"/>
        </w:rPr>
        <w:t>d</w:t>
      </w:r>
      <w:r w:rsidR="003F7BF5" w:rsidRPr="007668DF">
        <w:rPr>
          <w:rFonts w:ascii="Times New Roman" w:eastAsia="Malgun Gothic" w:hAnsi="Times New Roman"/>
          <w:bCs/>
          <w:sz w:val="24"/>
          <w:szCs w:val="24"/>
        </w:rPr>
        <w:t>roits de l’homme</w:t>
      </w:r>
      <w:r w:rsidR="0024142C" w:rsidRPr="007668DF">
        <w:rPr>
          <w:rFonts w:ascii="Times New Roman" w:eastAsia="Malgun Gothic" w:hAnsi="Times New Roman"/>
          <w:bCs/>
          <w:sz w:val="24"/>
          <w:szCs w:val="24"/>
        </w:rPr>
        <w:t xml:space="preserve">, le Programme </w:t>
      </w:r>
      <w:r w:rsidR="003C54D5" w:rsidRPr="007668DF">
        <w:rPr>
          <w:rFonts w:ascii="Times New Roman" w:eastAsia="Malgun Gothic" w:hAnsi="Times New Roman"/>
          <w:bCs/>
          <w:sz w:val="24"/>
          <w:szCs w:val="24"/>
        </w:rPr>
        <w:t>c</w:t>
      </w:r>
      <w:r w:rsidR="0024142C" w:rsidRPr="007668DF">
        <w:rPr>
          <w:rFonts w:ascii="Times New Roman" w:eastAsia="Malgun Gothic" w:hAnsi="Times New Roman"/>
          <w:bCs/>
          <w:sz w:val="24"/>
          <w:szCs w:val="24"/>
        </w:rPr>
        <w:t xml:space="preserve">onjoint des Nations </w:t>
      </w:r>
      <w:r w:rsidR="00B9286A" w:rsidRPr="007668DF">
        <w:rPr>
          <w:rFonts w:ascii="Times New Roman" w:eastAsia="Malgun Gothic" w:hAnsi="Times New Roman"/>
          <w:bCs/>
          <w:sz w:val="24"/>
          <w:szCs w:val="24"/>
        </w:rPr>
        <w:t>u</w:t>
      </w:r>
      <w:r w:rsidR="0024142C" w:rsidRPr="007668DF">
        <w:rPr>
          <w:rFonts w:ascii="Times New Roman" w:eastAsia="Malgun Gothic" w:hAnsi="Times New Roman"/>
          <w:bCs/>
          <w:sz w:val="24"/>
          <w:szCs w:val="24"/>
        </w:rPr>
        <w:t>nies pour la promotion des droits de l’homme (PDH) et le P</w:t>
      </w:r>
      <w:r w:rsidR="00B9286A" w:rsidRPr="007668DF">
        <w:rPr>
          <w:rFonts w:ascii="Times New Roman" w:eastAsia="Malgun Gothic" w:hAnsi="Times New Roman"/>
          <w:bCs/>
          <w:sz w:val="24"/>
          <w:szCs w:val="24"/>
        </w:rPr>
        <w:t xml:space="preserve">rogramme des </w:t>
      </w:r>
      <w:r w:rsidR="0024142C" w:rsidRPr="007668DF">
        <w:rPr>
          <w:rFonts w:ascii="Times New Roman" w:eastAsia="Malgun Gothic" w:hAnsi="Times New Roman"/>
          <w:bCs/>
          <w:sz w:val="24"/>
          <w:szCs w:val="24"/>
        </w:rPr>
        <w:t>N</w:t>
      </w:r>
      <w:r w:rsidR="00B9286A" w:rsidRPr="007668DF">
        <w:rPr>
          <w:rFonts w:ascii="Times New Roman" w:eastAsia="Malgun Gothic" w:hAnsi="Times New Roman"/>
          <w:bCs/>
          <w:sz w:val="24"/>
          <w:szCs w:val="24"/>
        </w:rPr>
        <w:t xml:space="preserve">ations </w:t>
      </w:r>
      <w:r w:rsidR="0024142C" w:rsidRPr="007668DF">
        <w:rPr>
          <w:rFonts w:ascii="Times New Roman" w:eastAsia="Malgun Gothic" w:hAnsi="Times New Roman"/>
          <w:bCs/>
          <w:sz w:val="24"/>
          <w:szCs w:val="24"/>
        </w:rPr>
        <w:t>U</w:t>
      </w:r>
      <w:r w:rsidR="00B9286A" w:rsidRPr="007668DF">
        <w:rPr>
          <w:rFonts w:ascii="Times New Roman" w:eastAsia="Malgun Gothic" w:hAnsi="Times New Roman"/>
          <w:bCs/>
          <w:sz w:val="24"/>
          <w:szCs w:val="24"/>
        </w:rPr>
        <w:t xml:space="preserve">nies pour le </w:t>
      </w:r>
      <w:r w:rsidR="0024142C" w:rsidRPr="007668DF">
        <w:rPr>
          <w:rFonts w:ascii="Times New Roman" w:eastAsia="Malgun Gothic" w:hAnsi="Times New Roman"/>
          <w:bCs/>
          <w:sz w:val="24"/>
          <w:szCs w:val="24"/>
        </w:rPr>
        <w:t>D</w:t>
      </w:r>
      <w:r w:rsidR="00B9286A" w:rsidRPr="007668DF">
        <w:rPr>
          <w:rFonts w:ascii="Times New Roman" w:eastAsia="Malgun Gothic" w:hAnsi="Times New Roman"/>
          <w:bCs/>
          <w:sz w:val="24"/>
          <w:szCs w:val="24"/>
        </w:rPr>
        <w:t>éveloppement</w:t>
      </w:r>
      <w:r w:rsidR="0024142C" w:rsidRPr="007668DF">
        <w:rPr>
          <w:rFonts w:ascii="Times New Roman" w:eastAsia="Malgun Gothic" w:hAnsi="Times New Roman"/>
          <w:bCs/>
          <w:sz w:val="24"/>
          <w:szCs w:val="24"/>
        </w:rPr>
        <w:t xml:space="preserve">. </w:t>
      </w:r>
      <w:r w:rsidR="00B9286A" w:rsidRPr="007668DF">
        <w:rPr>
          <w:rFonts w:ascii="Times New Roman" w:eastAsia="Malgun Gothic" w:hAnsi="Times New Roman"/>
          <w:bCs/>
          <w:sz w:val="24"/>
          <w:szCs w:val="24"/>
        </w:rPr>
        <w:t>S</w:t>
      </w:r>
      <w:r w:rsidR="0024142C" w:rsidRPr="007668DF">
        <w:rPr>
          <w:rFonts w:ascii="Times New Roman" w:eastAsia="Malgun Gothic" w:hAnsi="Times New Roman"/>
          <w:bCs/>
          <w:sz w:val="24"/>
          <w:szCs w:val="24"/>
        </w:rPr>
        <w:t xml:space="preserve">uite </w:t>
      </w:r>
      <w:r w:rsidR="00B9286A" w:rsidRPr="007668DF">
        <w:rPr>
          <w:rFonts w:ascii="Times New Roman" w:eastAsia="Malgun Gothic" w:hAnsi="Times New Roman"/>
          <w:bCs/>
          <w:sz w:val="24"/>
          <w:szCs w:val="24"/>
        </w:rPr>
        <w:t>à</w:t>
      </w:r>
      <w:r w:rsidR="0024142C" w:rsidRPr="007668DF">
        <w:rPr>
          <w:rFonts w:ascii="Times New Roman" w:eastAsia="Malgun Gothic" w:hAnsi="Times New Roman"/>
          <w:bCs/>
          <w:sz w:val="24"/>
          <w:szCs w:val="24"/>
        </w:rPr>
        <w:t xml:space="preserve"> </w:t>
      </w:r>
      <w:r w:rsidR="00FD4A00">
        <w:rPr>
          <w:rFonts w:ascii="Times New Roman" w:eastAsia="Malgun Gothic" w:hAnsi="Times New Roman"/>
          <w:bCs/>
          <w:sz w:val="24"/>
          <w:szCs w:val="24"/>
        </w:rPr>
        <w:t>celles-ci</w:t>
      </w:r>
      <w:r w:rsidR="0024142C" w:rsidRPr="007668DF">
        <w:rPr>
          <w:rFonts w:ascii="Times New Roman" w:eastAsia="Malgun Gothic" w:hAnsi="Times New Roman"/>
          <w:bCs/>
          <w:sz w:val="24"/>
          <w:szCs w:val="24"/>
        </w:rPr>
        <w:t xml:space="preserve">, les organisations </w:t>
      </w:r>
      <w:r w:rsidR="003F7BF5" w:rsidRPr="007668DF">
        <w:rPr>
          <w:rFonts w:ascii="Times New Roman" w:eastAsia="Malgun Gothic" w:hAnsi="Times New Roman"/>
          <w:bCs/>
          <w:sz w:val="24"/>
          <w:szCs w:val="24"/>
        </w:rPr>
        <w:t>participantes ont créé</w:t>
      </w:r>
      <w:r w:rsidR="0024142C" w:rsidRPr="007668DF">
        <w:rPr>
          <w:rFonts w:ascii="Times New Roman" w:eastAsia="Malgun Gothic" w:hAnsi="Times New Roman"/>
          <w:bCs/>
          <w:sz w:val="24"/>
          <w:szCs w:val="24"/>
        </w:rPr>
        <w:t xml:space="preserve"> un </w:t>
      </w:r>
      <w:r w:rsidR="0024142C" w:rsidRPr="007668DF">
        <w:rPr>
          <w:rFonts w:ascii="Times New Roman" w:eastAsia="Malgun Gothic" w:hAnsi="Times New Roman"/>
          <w:bCs/>
          <w:sz w:val="24"/>
          <w:szCs w:val="24"/>
        </w:rPr>
        <w:lastRenderedPageBreak/>
        <w:t>réseau pour la surveillance des droits de l’homme pendant les élections</w:t>
      </w:r>
      <w:r w:rsidR="00B9286A" w:rsidRPr="007668DF">
        <w:rPr>
          <w:rFonts w:ascii="Times New Roman" w:eastAsia="Malgun Gothic" w:hAnsi="Times New Roman"/>
          <w:bCs/>
          <w:sz w:val="24"/>
          <w:szCs w:val="24"/>
        </w:rPr>
        <w:t xml:space="preserve"> </w:t>
      </w:r>
      <w:r w:rsidR="00C325DD">
        <w:rPr>
          <w:rFonts w:ascii="Times New Roman" w:eastAsia="Malgun Gothic" w:hAnsi="Times New Roman"/>
          <w:bCs/>
          <w:sz w:val="24"/>
          <w:szCs w:val="24"/>
        </w:rPr>
        <w:t>présidentielles et législatives</w:t>
      </w:r>
      <w:r w:rsidR="00C325DD">
        <w:rPr>
          <w:rStyle w:val="FootnoteReference"/>
          <w:rFonts w:ascii="Times New Roman" w:eastAsia="Malgun Gothic" w:hAnsi="Times New Roman"/>
          <w:bCs/>
          <w:sz w:val="24"/>
          <w:szCs w:val="24"/>
        </w:rPr>
        <w:footnoteReference w:id="22"/>
      </w:r>
      <w:r w:rsidR="00C325DD">
        <w:rPr>
          <w:rFonts w:ascii="Times New Roman" w:eastAsia="Malgun Gothic" w:hAnsi="Times New Roman"/>
          <w:bCs/>
          <w:sz w:val="24"/>
          <w:szCs w:val="24"/>
        </w:rPr>
        <w:t xml:space="preserve">. Ce réseau a </w:t>
      </w:r>
      <w:r w:rsidR="0024142C" w:rsidRPr="007668DF">
        <w:rPr>
          <w:rFonts w:ascii="Times New Roman" w:eastAsia="Malgun Gothic" w:hAnsi="Times New Roman"/>
          <w:bCs/>
          <w:sz w:val="24"/>
          <w:szCs w:val="24"/>
        </w:rPr>
        <w:t xml:space="preserve">permis de couvrir tout le territoire national et de surveiller la situation des droits de l’homme en temps réel. </w:t>
      </w:r>
    </w:p>
    <w:p w:rsidR="00A86C56" w:rsidRDefault="00A86C56" w:rsidP="006C2FA0">
      <w:pPr>
        <w:tabs>
          <w:tab w:val="left" w:pos="567"/>
          <w:tab w:val="left" w:pos="709"/>
          <w:tab w:val="left" w:pos="851"/>
        </w:tabs>
        <w:spacing w:after="0"/>
        <w:jc w:val="both"/>
        <w:rPr>
          <w:rFonts w:ascii="Times New Roman" w:eastAsia="Malgun Gothic" w:hAnsi="Times New Roman"/>
          <w:bCs/>
          <w:sz w:val="24"/>
          <w:szCs w:val="24"/>
        </w:rPr>
      </w:pPr>
    </w:p>
    <w:p w:rsidR="00D908BF" w:rsidRDefault="00A86C56" w:rsidP="00A86C56">
      <w:pPr>
        <w:tabs>
          <w:tab w:val="left" w:pos="567"/>
          <w:tab w:val="left" w:pos="709"/>
          <w:tab w:val="left" w:pos="851"/>
        </w:tabs>
        <w:spacing w:after="0"/>
        <w:jc w:val="both"/>
        <w:rPr>
          <w:rFonts w:ascii="Times New Roman" w:eastAsia="Malgun Gothic" w:hAnsi="Times New Roman"/>
          <w:bCs/>
          <w:sz w:val="24"/>
          <w:szCs w:val="24"/>
        </w:rPr>
      </w:pPr>
      <w:r w:rsidRPr="007668DF">
        <w:rPr>
          <w:rFonts w:ascii="Times New Roman" w:eastAsia="Malgun Gothic" w:hAnsi="Times New Roman"/>
          <w:bCs/>
          <w:sz w:val="24"/>
          <w:szCs w:val="24"/>
        </w:rPr>
        <w:t>1</w:t>
      </w:r>
      <w:r w:rsidR="00A21002">
        <w:rPr>
          <w:rFonts w:ascii="Times New Roman" w:eastAsia="Malgun Gothic" w:hAnsi="Times New Roman"/>
          <w:bCs/>
          <w:sz w:val="24"/>
          <w:szCs w:val="24"/>
        </w:rPr>
        <w:t>14</w:t>
      </w:r>
      <w:r w:rsidRPr="007668DF">
        <w:rPr>
          <w:rFonts w:ascii="Times New Roman" w:eastAsia="Malgun Gothic" w:hAnsi="Times New Roman"/>
          <w:bCs/>
          <w:sz w:val="24"/>
          <w:szCs w:val="24"/>
        </w:rPr>
        <w:t>.</w:t>
      </w:r>
      <w:r w:rsidRPr="007668DF">
        <w:rPr>
          <w:rFonts w:ascii="Times New Roman" w:eastAsia="Malgun Gothic" w:hAnsi="Times New Roman"/>
          <w:bCs/>
          <w:sz w:val="24"/>
          <w:szCs w:val="24"/>
        </w:rPr>
        <w:tab/>
      </w:r>
      <w:r>
        <w:rPr>
          <w:rFonts w:ascii="Times New Roman" w:eastAsia="Malgun Gothic" w:hAnsi="Times New Roman"/>
          <w:bCs/>
          <w:sz w:val="24"/>
          <w:szCs w:val="24"/>
        </w:rPr>
        <w:t>De manière générale, l</w:t>
      </w:r>
      <w:r w:rsidRPr="00A86C56">
        <w:rPr>
          <w:rFonts w:ascii="Times New Roman" w:eastAsia="Malgun Gothic" w:hAnsi="Times New Roman"/>
          <w:bCs/>
          <w:sz w:val="24"/>
          <w:szCs w:val="24"/>
        </w:rPr>
        <w:t xml:space="preserve">a société civile est un partenaire privilégié </w:t>
      </w:r>
      <w:r>
        <w:rPr>
          <w:rFonts w:ascii="Times New Roman" w:eastAsia="Malgun Gothic" w:hAnsi="Times New Roman"/>
          <w:bCs/>
          <w:sz w:val="24"/>
          <w:szCs w:val="24"/>
        </w:rPr>
        <w:t>de la Division des droits de l’homme de la MINUSMA</w:t>
      </w:r>
      <w:r w:rsidRPr="00A86C56">
        <w:rPr>
          <w:rFonts w:ascii="Times New Roman" w:eastAsia="Malgun Gothic" w:hAnsi="Times New Roman"/>
          <w:bCs/>
          <w:sz w:val="24"/>
          <w:szCs w:val="24"/>
        </w:rPr>
        <w:t xml:space="preserve">. A cet égard </w:t>
      </w:r>
      <w:r w:rsidR="00DC33F8">
        <w:rPr>
          <w:rFonts w:ascii="Times New Roman" w:eastAsia="Malgun Gothic" w:hAnsi="Times New Roman"/>
          <w:bCs/>
          <w:sz w:val="24"/>
          <w:szCs w:val="24"/>
        </w:rPr>
        <w:t>de</w:t>
      </w:r>
      <w:r w:rsidRPr="00A86C56">
        <w:rPr>
          <w:rFonts w:ascii="Times New Roman" w:eastAsia="Malgun Gothic" w:hAnsi="Times New Roman"/>
          <w:bCs/>
          <w:sz w:val="24"/>
          <w:szCs w:val="24"/>
        </w:rPr>
        <w:t xml:space="preserve"> nombreuses </w:t>
      </w:r>
      <w:r w:rsidR="00D908BF">
        <w:rPr>
          <w:rFonts w:ascii="Times New Roman" w:eastAsia="Malgun Gothic" w:hAnsi="Times New Roman"/>
          <w:bCs/>
          <w:sz w:val="24"/>
          <w:szCs w:val="24"/>
        </w:rPr>
        <w:t>réunions</w:t>
      </w:r>
      <w:r w:rsidR="00FD4A00">
        <w:rPr>
          <w:rFonts w:ascii="Times New Roman" w:eastAsia="Malgun Gothic" w:hAnsi="Times New Roman"/>
          <w:bCs/>
          <w:sz w:val="24"/>
          <w:szCs w:val="24"/>
        </w:rPr>
        <w:t xml:space="preserve"> de travail </w:t>
      </w:r>
      <w:r w:rsidR="00D908BF">
        <w:rPr>
          <w:rFonts w:ascii="Times New Roman" w:eastAsia="Malgun Gothic" w:hAnsi="Times New Roman"/>
          <w:bCs/>
          <w:sz w:val="24"/>
          <w:szCs w:val="24"/>
        </w:rPr>
        <w:t xml:space="preserve">ont été </w:t>
      </w:r>
      <w:r w:rsidR="00FD4A00">
        <w:rPr>
          <w:rFonts w:ascii="Times New Roman" w:eastAsia="Malgun Gothic" w:hAnsi="Times New Roman"/>
          <w:bCs/>
          <w:sz w:val="24"/>
          <w:szCs w:val="24"/>
        </w:rPr>
        <w:t>organisées</w:t>
      </w:r>
      <w:r w:rsidR="00D908BF">
        <w:rPr>
          <w:rFonts w:ascii="Times New Roman" w:eastAsia="Malgun Gothic" w:hAnsi="Times New Roman"/>
          <w:bCs/>
          <w:sz w:val="24"/>
          <w:szCs w:val="24"/>
        </w:rPr>
        <w:t xml:space="preserve"> avec des membres de la société civile sur diverses thématiques</w:t>
      </w:r>
      <w:r w:rsidR="00D908BF">
        <w:rPr>
          <w:rStyle w:val="FootnoteReference"/>
          <w:rFonts w:ascii="Times New Roman" w:eastAsia="Malgun Gothic" w:hAnsi="Times New Roman"/>
          <w:bCs/>
          <w:sz w:val="24"/>
          <w:szCs w:val="24"/>
        </w:rPr>
        <w:footnoteReference w:id="23"/>
      </w:r>
      <w:r w:rsidR="00D908BF">
        <w:rPr>
          <w:rFonts w:ascii="Times New Roman" w:eastAsia="Malgun Gothic" w:hAnsi="Times New Roman"/>
          <w:bCs/>
          <w:sz w:val="24"/>
          <w:szCs w:val="24"/>
        </w:rPr>
        <w:t xml:space="preserve"> tendant notamment à souligner leur rôle en période de conflit. Outre ces </w:t>
      </w:r>
      <w:r w:rsidR="0015403C">
        <w:rPr>
          <w:rFonts w:ascii="Times New Roman" w:eastAsia="Malgun Gothic" w:hAnsi="Times New Roman"/>
          <w:bCs/>
          <w:sz w:val="24"/>
          <w:szCs w:val="24"/>
        </w:rPr>
        <w:t>réunions, la D</w:t>
      </w:r>
      <w:r w:rsidR="00D908BF">
        <w:rPr>
          <w:rFonts w:ascii="Times New Roman" w:eastAsia="Malgun Gothic" w:hAnsi="Times New Roman"/>
          <w:bCs/>
          <w:sz w:val="24"/>
          <w:szCs w:val="24"/>
        </w:rPr>
        <w:t xml:space="preserve">ivision des droits de l’homme collabore avec la </w:t>
      </w:r>
      <w:r w:rsidR="0015403C">
        <w:rPr>
          <w:rFonts w:ascii="Times New Roman" w:eastAsia="Malgun Gothic" w:hAnsi="Times New Roman"/>
          <w:bCs/>
          <w:sz w:val="24"/>
          <w:szCs w:val="24"/>
        </w:rPr>
        <w:t>société</w:t>
      </w:r>
      <w:r w:rsidR="00D908BF">
        <w:rPr>
          <w:rFonts w:ascii="Times New Roman" w:eastAsia="Malgun Gothic" w:hAnsi="Times New Roman"/>
          <w:bCs/>
          <w:sz w:val="24"/>
          <w:szCs w:val="24"/>
        </w:rPr>
        <w:t xml:space="preserve"> civile dans le cadre du Cluster Protection qui est un forum d’</w:t>
      </w:r>
      <w:r w:rsidR="0015403C">
        <w:rPr>
          <w:rFonts w:ascii="Times New Roman" w:eastAsia="Malgun Gothic" w:hAnsi="Times New Roman"/>
          <w:bCs/>
          <w:sz w:val="24"/>
          <w:szCs w:val="24"/>
        </w:rPr>
        <w:t>échange</w:t>
      </w:r>
      <w:r w:rsidR="00D908BF">
        <w:rPr>
          <w:rFonts w:ascii="Times New Roman" w:eastAsia="Malgun Gothic" w:hAnsi="Times New Roman"/>
          <w:bCs/>
          <w:sz w:val="24"/>
          <w:szCs w:val="24"/>
        </w:rPr>
        <w:t xml:space="preserve"> entre acteurs agissant dans le domaine de promotion et de protection des </w:t>
      </w:r>
      <w:r w:rsidR="0015403C">
        <w:rPr>
          <w:rFonts w:ascii="Times New Roman" w:eastAsia="Malgun Gothic" w:hAnsi="Times New Roman"/>
          <w:bCs/>
          <w:sz w:val="24"/>
          <w:szCs w:val="24"/>
        </w:rPr>
        <w:t>droits</w:t>
      </w:r>
      <w:r w:rsidR="00D908BF">
        <w:rPr>
          <w:rFonts w:ascii="Times New Roman" w:eastAsia="Malgun Gothic" w:hAnsi="Times New Roman"/>
          <w:bCs/>
          <w:sz w:val="24"/>
          <w:szCs w:val="24"/>
        </w:rPr>
        <w:t xml:space="preserve"> de l’homme.</w:t>
      </w:r>
    </w:p>
    <w:p w:rsidR="00D908BF" w:rsidRDefault="00D908BF" w:rsidP="00A86C56">
      <w:pPr>
        <w:tabs>
          <w:tab w:val="left" w:pos="567"/>
          <w:tab w:val="left" w:pos="709"/>
          <w:tab w:val="left" w:pos="851"/>
        </w:tabs>
        <w:spacing w:after="0"/>
        <w:jc w:val="both"/>
        <w:rPr>
          <w:rFonts w:ascii="Times New Roman" w:eastAsia="Malgun Gothic" w:hAnsi="Times New Roman"/>
          <w:bCs/>
          <w:sz w:val="24"/>
          <w:szCs w:val="24"/>
        </w:rPr>
      </w:pPr>
    </w:p>
    <w:p w:rsidR="009138D8" w:rsidRDefault="009138D8" w:rsidP="00A86C56">
      <w:pPr>
        <w:tabs>
          <w:tab w:val="left" w:pos="567"/>
          <w:tab w:val="left" w:pos="709"/>
          <w:tab w:val="left" w:pos="851"/>
        </w:tabs>
        <w:spacing w:after="0"/>
        <w:jc w:val="both"/>
        <w:rPr>
          <w:rFonts w:ascii="Times New Roman" w:eastAsia="Malgun Gothic" w:hAnsi="Times New Roman"/>
          <w:bCs/>
          <w:sz w:val="24"/>
          <w:szCs w:val="24"/>
        </w:rPr>
      </w:pPr>
      <w:r w:rsidRPr="007668DF">
        <w:rPr>
          <w:rFonts w:ascii="Times New Roman" w:eastAsia="Malgun Gothic" w:hAnsi="Times New Roman"/>
          <w:bCs/>
          <w:sz w:val="24"/>
          <w:szCs w:val="24"/>
        </w:rPr>
        <w:t>1</w:t>
      </w:r>
      <w:r>
        <w:rPr>
          <w:rFonts w:ascii="Times New Roman" w:eastAsia="Malgun Gothic" w:hAnsi="Times New Roman"/>
          <w:bCs/>
          <w:sz w:val="24"/>
          <w:szCs w:val="24"/>
        </w:rPr>
        <w:t>1</w:t>
      </w:r>
      <w:r w:rsidR="00A21002">
        <w:rPr>
          <w:rFonts w:ascii="Times New Roman" w:eastAsia="Malgun Gothic" w:hAnsi="Times New Roman"/>
          <w:bCs/>
          <w:sz w:val="24"/>
          <w:szCs w:val="24"/>
        </w:rPr>
        <w:t>5</w:t>
      </w:r>
      <w:r w:rsidRPr="007668DF">
        <w:rPr>
          <w:rFonts w:ascii="Times New Roman" w:eastAsia="Malgun Gothic" w:hAnsi="Times New Roman"/>
          <w:bCs/>
          <w:sz w:val="24"/>
          <w:szCs w:val="24"/>
        </w:rPr>
        <w:t>.</w:t>
      </w:r>
      <w:r w:rsidR="00DC33F8">
        <w:rPr>
          <w:rFonts w:ascii="Times New Roman" w:eastAsia="Malgun Gothic" w:hAnsi="Times New Roman"/>
          <w:bCs/>
          <w:sz w:val="24"/>
          <w:szCs w:val="24"/>
        </w:rPr>
        <w:t xml:space="preserve"> </w:t>
      </w:r>
      <w:r w:rsidRPr="009138D8">
        <w:rPr>
          <w:rFonts w:ascii="Times New Roman" w:eastAsia="Malgun Gothic" w:hAnsi="Times New Roman"/>
          <w:bCs/>
          <w:sz w:val="24"/>
          <w:szCs w:val="24"/>
        </w:rPr>
        <w:t xml:space="preserve">En avril 2014, dans le but de renforcer les connaissances </w:t>
      </w:r>
      <w:r>
        <w:rPr>
          <w:rFonts w:ascii="Times New Roman" w:eastAsia="Malgun Gothic" w:hAnsi="Times New Roman"/>
          <w:bCs/>
          <w:sz w:val="24"/>
          <w:szCs w:val="24"/>
        </w:rPr>
        <w:t xml:space="preserve">de diverses entités dont les organisations </w:t>
      </w:r>
      <w:r w:rsidR="00EE5FE6">
        <w:rPr>
          <w:rFonts w:ascii="Times New Roman" w:eastAsia="Malgun Gothic" w:hAnsi="Times New Roman"/>
          <w:bCs/>
          <w:sz w:val="24"/>
          <w:szCs w:val="24"/>
        </w:rPr>
        <w:t>n</w:t>
      </w:r>
      <w:r>
        <w:rPr>
          <w:rFonts w:ascii="Times New Roman" w:eastAsia="Malgun Gothic" w:hAnsi="Times New Roman"/>
          <w:bCs/>
          <w:sz w:val="24"/>
          <w:szCs w:val="24"/>
        </w:rPr>
        <w:t>on-</w:t>
      </w:r>
      <w:r w:rsidR="00EE5FE6">
        <w:rPr>
          <w:rFonts w:ascii="Times New Roman" w:eastAsia="Malgun Gothic" w:hAnsi="Times New Roman"/>
          <w:bCs/>
          <w:sz w:val="24"/>
          <w:szCs w:val="24"/>
        </w:rPr>
        <w:t>g</w:t>
      </w:r>
      <w:r>
        <w:rPr>
          <w:rFonts w:ascii="Times New Roman" w:eastAsia="Malgun Gothic" w:hAnsi="Times New Roman"/>
          <w:bCs/>
          <w:sz w:val="24"/>
          <w:szCs w:val="24"/>
        </w:rPr>
        <w:t xml:space="preserve">ouvernementales </w:t>
      </w:r>
      <w:r w:rsidRPr="009138D8">
        <w:rPr>
          <w:rFonts w:ascii="Times New Roman" w:eastAsia="Malgun Gothic" w:hAnsi="Times New Roman"/>
          <w:bCs/>
          <w:sz w:val="24"/>
          <w:szCs w:val="24"/>
        </w:rPr>
        <w:t>en matière de droits de l’homme et de droit international humanitaire, la D</w:t>
      </w:r>
      <w:r>
        <w:rPr>
          <w:rFonts w:ascii="Times New Roman" w:eastAsia="Malgun Gothic" w:hAnsi="Times New Roman"/>
          <w:bCs/>
          <w:sz w:val="24"/>
          <w:szCs w:val="24"/>
        </w:rPr>
        <w:t xml:space="preserve">ivision des </w:t>
      </w:r>
      <w:r w:rsidRPr="009138D8">
        <w:rPr>
          <w:rFonts w:ascii="Times New Roman" w:eastAsia="Malgun Gothic" w:hAnsi="Times New Roman"/>
          <w:bCs/>
          <w:sz w:val="24"/>
          <w:szCs w:val="24"/>
        </w:rPr>
        <w:t>D</w:t>
      </w:r>
      <w:r>
        <w:rPr>
          <w:rFonts w:ascii="Times New Roman" w:eastAsia="Malgun Gothic" w:hAnsi="Times New Roman"/>
          <w:bCs/>
          <w:sz w:val="24"/>
          <w:szCs w:val="24"/>
        </w:rPr>
        <w:t>roits de l’</w:t>
      </w:r>
      <w:r w:rsidRPr="009138D8">
        <w:rPr>
          <w:rFonts w:ascii="Times New Roman" w:eastAsia="Malgun Gothic" w:hAnsi="Times New Roman"/>
          <w:bCs/>
          <w:sz w:val="24"/>
          <w:szCs w:val="24"/>
        </w:rPr>
        <w:t>H</w:t>
      </w:r>
      <w:r>
        <w:rPr>
          <w:rFonts w:ascii="Times New Roman" w:eastAsia="Malgun Gothic" w:hAnsi="Times New Roman"/>
          <w:bCs/>
          <w:sz w:val="24"/>
          <w:szCs w:val="24"/>
        </w:rPr>
        <w:t>omme</w:t>
      </w:r>
      <w:r w:rsidRPr="009138D8">
        <w:rPr>
          <w:rFonts w:ascii="Times New Roman" w:eastAsia="Malgun Gothic" w:hAnsi="Times New Roman"/>
          <w:bCs/>
          <w:sz w:val="24"/>
          <w:szCs w:val="24"/>
        </w:rPr>
        <w:t xml:space="preserve"> a conduit 10 sessions de formations</w:t>
      </w:r>
      <w:r w:rsidR="0079184F">
        <w:rPr>
          <w:rFonts w:ascii="Times New Roman" w:eastAsia="Malgun Gothic" w:hAnsi="Times New Roman"/>
          <w:bCs/>
          <w:sz w:val="24"/>
          <w:szCs w:val="24"/>
        </w:rPr>
        <w:t xml:space="preserve"> dont</w:t>
      </w:r>
      <w:r w:rsidRPr="009138D8">
        <w:rPr>
          <w:rFonts w:ascii="Times New Roman" w:eastAsia="Malgun Gothic" w:hAnsi="Times New Roman"/>
          <w:bCs/>
          <w:sz w:val="24"/>
          <w:szCs w:val="24"/>
        </w:rPr>
        <w:t xml:space="preserve"> </w:t>
      </w:r>
      <w:r w:rsidR="0079184F">
        <w:rPr>
          <w:rFonts w:ascii="Times New Roman" w:eastAsia="Malgun Gothic" w:hAnsi="Times New Roman"/>
          <w:bCs/>
          <w:sz w:val="24"/>
          <w:szCs w:val="24"/>
        </w:rPr>
        <w:t>03</w:t>
      </w:r>
      <w:r w:rsidRPr="009138D8">
        <w:rPr>
          <w:rFonts w:ascii="Times New Roman" w:eastAsia="Malgun Gothic" w:hAnsi="Times New Roman"/>
          <w:bCs/>
          <w:sz w:val="24"/>
          <w:szCs w:val="24"/>
        </w:rPr>
        <w:t xml:space="preserve"> spécifiquement consacrée à 21 membres de la société civile de différents pays tels que la côte d’Ivoire, le Burkina Faso, le Mali, le Benin et le Niger</w:t>
      </w:r>
      <w:r>
        <w:rPr>
          <w:rFonts w:ascii="Times New Roman" w:eastAsia="Malgun Gothic" w:hAnsi="Times New Roman"/>
          <w:bCs/>
          <w:sz w:val="24"/>
          <w:szCs w:val="24"/>
        </w:rPr>
        <w:t>. Cette formation a porté sur la</w:t>
      </w:r>
      <w:r w:rsidRPr="009138D8">
        <w:rPr>
          <w:rFonts w:ascii="Times New Roman" w:eastAsia="Malgun Gothic" w:hAnsi="Times New Roman"/>
          <w:bCs/>
          <w:sz w:val="24"/>
          <w:szCs w:val="24"/>
        </w:rPr>
        <w:t xml:space="preserve"> </w:t>
      </w:r>
      <w:r>
        <w:rPr>
          <w:rFonts w:ascii="Times New Roman" w:eastAsia="Malgun Gothic" w:hAnsi="Times New Roman"/>
          <w:bCs/>
          <w:sz w:val="24"/>
          <w:szCs w:val="24"/>
        </w:rPr>
        <w:t>sensibilisation</w:t>
      </w:r>
      <w:r w:rsidRPr="009138D8">
        <w:rPr>
          <w:rFonts w:ascii="Times New Roman" w:eastAsia="Malgun Gothic" w:hAnsi="Times New Roman"/>
          <w:bCs/>
          <w:sz w:val="24"/>
          <w:szCs w:val="24"/>
        </w:rPr>
        <w:t xml:space="preserve"> </w:t>
      </w:r>
      <w:r>
        <w:rPr>
          <w:rFonts w:ascii="Times New Roman" w:eastAsia="Malgun Gothic" w:hAnsi="Times New Roman"/>
          <w:bCs/>
          <w:sz w:val="24"/>
          <w:szCs w:val="24"/>
        </w:rPr>
        <w:t xml:space="preserve">au </w:t>
      </w:r>
      <w:r w:rsidRPr="009138D8">
        <w:rPr>
          <w:rFonts w:ascii="Times New Roman" w:eastAsia="Malgun Gothic" w:hAnsi="Times New Roman"/>
          <w:bCs/>
          <w:sz w:val="24"/>
          <w:szCs w:val="24"/>
        </w:rPr>
        <w:t xml:space="preserve">droit international des droits de l’homme et </w:t>
      </w:r>
      <w:r w:rsidR="0079184F">
        <w:rPr>
          <w:rFonts w:ascii="Times New Roman" w:eastAsia="Malgun Gothic" w:hAnsi="Times New Roman"/>
          <w:bCs/>
          <w:sz w:val="24"/>
          <w:szCs w:val="24"/>
        </w:rPr>
        <w:t>sur</w:t>
      </w:r>
      <w:r>
        <w:rPr>
          <w:rFonts w:ascii="Times New Roman" w:eastAsia="Malgun Gothic" w:hAnsi="Times New Roman"/>
          <w:bCs/>
          <w:sz w:val="24"/>
          <w:szCs w:val="24"/>
        </w:rPr>
        <w:t xml:space="preserve"> </w:t>
      </w:r>
      <w:r w:rsidRPr="009138D8">
        <w:rPr>
          <w:rFonts w:ascii="Times New Roman" w:eastAsia="Malgun Gothic" w:hAnsi="Times New Roman"/>
          <w:bCs/>
          <w:sz w:val="24"/>
          <w:szCs w:val="24"/>
        </w:rPr>
        <w:t>la protection des personnes civiles pendant les conflits armés.</w:t>
      </w:r>
    </w:p>
    <w:p w:rsidR="00A86C56" w:rsidRPr="00A86C56" w:rsidRDefault="00A86C56" w:rsidP="00A86C56">
      <w:pPr>
        <w:tabs>
          <w:tab w:val="left" w:pos="567"/>
          <w:tab w:val="left" w:pos="709"/>
          <w:tab w:val="left" w:pos="851"/>
        </w:tabs>
        <w:spacing w:after="0"/>
        <w:jc w:val="both"/>
        <w:rPr>
          <w:rFonts w:ascii="Times New Roman" w:eastAsia="Malgun Gothic" w:hAnsi="Times New Roman"/>
          <w:bCs/>
          <w:sz w:val="24"/>
          <w:szCs w:val="24"/>
        </w:rPr>
      </w:pPr>
    </w:p>
    <w:p w:rsidR="00001374" w:rsidRPr="007668DF" w:rsidRDefault="00001374" w:rsidP="006C2FA0">
      <w:pPr>
        <w:tabs>
          <w:tab w:val="left" w:pos="567"/>
          <w:tab w:val="left" w:pos="709"/>
          <w:tab w:val="left" w:pos="851"/>
        </w:tabs>
        <w:spacing w:after="0"/>
        <w:jc w:val="both"/>
        <w:rPr>
          <w:rFonts w:ascii="Times New Roman" w:eastAsia="Malgun Gothic" w:hAnsi="Times New Roman"/>
          <w:bCs/>
          <w:sz w:val="24"/>
          <w:szCs w:val="24"/>
        </w:rPr>
      </w:pPr>
    </w:p>
    <w:p w:rsidR="0024142C" w:rsidRPr="007668DF" w:rsidRDefault="0024142C" w:rsidP="003B152B">
      <w:pPr>
        <w:pStyle w:val="Title"/>
        <w:numPr>
          <w:ilvl w:val="0"/>
          <w:numId w:val="0"/>
        </w:numPr>
        <w:ind w:left="720"/>
        <w:rPr>
          <w:rFonts w:eastAsia="Malgun Gothic"/>
        </w:rPr>
      </w:pPr>
      <w:bookmarkStart w:id="29" w:name="_Toc401931508"/>
      <w:r w:rsidRPr="007668DF">
        <w:rPr>
          <w:rFonts w:eastAsia="Malgun Gothic"/>
        </w:rPr>
        <w:t>XII.</w:t>
      </w:r>
      <w:r w:rsidRPr="007668DF">
        <w:rPr>
          <w:rFonts w:eastAsia="Malgun Gothic"/>
        </w:rPr>
        <w:tab/>
        <w:t>Conclusion et Recommandations</w:t>
      </w:r>
      <w:bookmarkEnd w:id="29"/>
    </w:p>
    <w:p w:rsidR="0024142C" w:rsidRPr="007668DF" w:rsidRDefault="0024142C" w:rsidP="006C2FA0">
      <w:pPr>
        <w:tabs>
          <w:tab w:val="left" w:pos="567"/>
          <w:tab w:val="left" w:pos="709"/>
          <w:tab w:val="left" w:pos="851"/>
        </w:tabs>
        <w:spacing w:after="0"/>
        <w:jc w:val="both"/>
        <w:rPr>
          <w:rFonts w:ascii="Times New Roman" w:eastAsia="Malgun Gothic" w:hAnsi="Times New Roman"/>
          <w:bCs/>
          <w:sz w:val="24"/>
          <w:szCs w:val="24"/>
        </w:rPr>
      </w:pPr>
    </w:p>
    <w:p w:rsidR="007F294E" w:rsidRPr="007668DF" w:rsidRDefault="001F669A" w:rsidP="006C2FA0">
      <w:pPr>
        <w:tabs>
          <w:tab w:val="left" w:pos="567"/>
          <w:tab w:val="left" w:pos="709"/>
          <w:tab w:val="left" w:pos="851"/>
        </w:tabs>
        <w:spacing w:after="0"/>
        <w:jc w:val="both"/>
        <w:rPr>
          <w:rFonts w:ascii="Times New Roman" w:eastAsia="Malgun Gothic" w:hAnsi="Times New Roman"/>
          <w:bCs/>
          <w:sz w:val="24"/>
          <w:szCs w:val="24"/>
        </w:rPr>
      </w:pPr>
      <w:r w:rsidRPr="007668DF">
        <w:rPr>
          <w:rFonts w:ascii="Times New Roman" w:eastAsia="Malgun Gothic" w:hAnsi="Times New Roman"/>
          <w:bCs/>
          <w:sz w:val="24"/>
          <w:szCs w:val="24"/>
        </w:rPr>
        <w:t>1</w:t>
      </w:r>
      <w:r w:rsidR="00AA11CC">
        <w:rPr>
          <w:rFonts w:ascii="Times New Roman" w:eastAsia="Malgun Gothic" w:hAnsi="Times New Roman"/>
          <w:bCs/>
          <w:sz w:val="24"/>
          <w:szCs w:val="24"/>
        </w:rPr>
        <w:t>1</w:t>
      </w:r>
      <w:r w:rsidR="00A21002">
        <w:rPr>
          <w:rFonts w:ascii="Times New Roman" w:eastAsia="Malgun Gothic" w:hAnsi="Times New Roman"/>
          <w:bCs/>
          <w:sz w:val="24"/>
          <w:szCs w:val="24"/>
        </w:rPr>
        <w:t>6</w:t>
      </w:r>
      <w:r w:rsidR="0024142C" w:rsidRPr="007668DF">
        <w:rPr>
          <w:rFonts w:ascii="Times New Roman" w:eastAsia="Malgun Gothic" w:hAnsi="Times New Roman"/>
          <w:bCs/>
          <w:sz w:val="24"/>
          <w:szCs w:val="24"/>
        </w:rPr>
        <w:t>.</w:t>
      </w:r>
      <w:r w:rsidR="0024142C" w:rsidRPr="007668DF">
        <w:rPr>
          <w:rFonts w:ascii="Times New Roman" w:eastAsia="Malgun Gothic" w:hAnsi="Times New Roman"/>
          <w:bCs/>
          <w:sz w:val="24"/>
          <w:szCs w:val="24"/>
        </w:rPr>
        <w:tab/>
        <w:t xml:space="preserve">Entre novembre 2013 et avril 2014, </w:t>
      </w:r>
      <w:r w:rsidR="000B5671" w:rsidRPr="007668DF">
        <w:rPr>
          <w:rFonts w:ascii="Times New Roman" w:eastAsia="Malgun Gothic" w:hAnsi="Times New Roman"/>
          <w:bCs/>
          <w:sz w:val="24"/>
          <w:szCs w:val="24"/>
        </w:rPr>
        <w:t>il a été noté une diminution de</w:t>
      </w:r>
      <w:r w:rsidR="00EE5FE6">
        <w:rPr>
          <w:rFonts w:ascii="Times New Roman" w:eastAsia="Malgun Gothic" w:hAnsi="Times New Roman"/>
          <w:bCs/>
          <w:sz w:val="24"/>
          <w:szCs w:val="24"/>
        </w:rPr>
        <w:t>s</w:t>
      </w:r>
      <w:r w:rsidR="00372C9F">
        <w:rPr>
          <w:rFonts w:ascii="Times New Roman" w:eastAsia="Malgun Gothic" w:hAnsi="Times New Roman"/>
          <w:bCs/>
          <w:sz w:val="24"/>
          <w:szCs w:val="24"/>
        </w:rPr>
        <w:t xml:space="preserve"> </w:t>
      </w:r>
      <w:r w:rsidR="000B5671" w:rsidRPr="007668DF">
        <w:rPr>
          <w:rFonts w:ascii="Times New Roman" w:eastAsia="Malgun Gothic" w:hAnsi="Times New Roman"/>
          <w:bCs/>
          <w:sz w:val="24"/>
          <w:szCs w:val="24"/>
        </w:rPr>
        <w:t xml:space="preserve">violations </w:t>
      </w:r>
      <w:r w:rsidR="00EE5FE6">
        <w:rPr>
          <w:rFonts w:ascii="Times New Roman" w:eastAsia="Malgun Gothic" w:hAnsi="Times New Roman"/>
          <w:bCs/>
          <w:sz w:val="24"/>
          <w:szCs w:val="24"/>
        </w:rPr>
        <w:t xml:space="preserve">graves </w:t>
      </w:r>
      <w:r w:rsidR="000B5671" w:rsidRPr="007668DF">
        <w:rPr>
          <w:rFonts w:ascii="Times New Roman" w:eastAsia="Malgun Gothic" w:hAnsi="Times New Roman"/>
          <w:bCs/>
          <w:sz w:val="24"/>
          <w:szCs w:val="24"/>
        </w:rPr>
        <w:t xml:space="preserve">des droits de l’homme </w:t>
      </w:r>
      <w:r w:rsidR="0024142C" w:rsidRPr="007668DF">
        <w:rPr>
          <w:rFonts w:ascii="Times New Roman" w:eastAsia="Malgun Gothic" w:hAnsi="Times New Roman"/>
          <w:bCs/>
          <w:sz w:val="24"/>
          <w:szCs w:val="24"/>
        </w:rPr>
        <w:t>liée</w:t>
      </w:r>
      <w:r w:rsidR="000B5671" w:rsidRPr="007668DF">
        <w:rPr>
          <w:rFonts w:ascii="Times New Roman" w:eastAsia="Malgun Gothic" w:hAnsi="Times New Roman"/>
          <w:bCs/>
          <w:sz w:val="24"/>
          <w:szCs w:val="24"/>
        </w:rPr>
        <w:t>s</w:t>
      </w:r>
      <w:r w:rsidR="0024142C" w:rsidRPr="007668DF">
        <w:rPr>
          <w:rFonts w:ascii="Times New Roman" w:eastAsia="Malgun Gothic" w:hAnsi="Times New Roman"/>
          <w:bCs/>
          <w:sz w:val="24"/>
          <w:szCs w:val="24"/>
        </w:rPr>
        <w:t xml:space="preserve"> à la crise</w:t>
      </w:r>
      <w:r w:rsidR="000B5671" w:rsidRPr="007668DF">
        <w:rPr>
          <w:rFonts w:ascii="Times New Roman" w:eastAsia="Malgun Gothic" w:hAnsi="Times New Roman"/>
          <w:bCs/>
          <w:sz w:val="24"/>
          <w:szCs w:val="24"/>
        </w:rPr>
        <w:t xml:space="preserve"> </w:t>
      </w:r>
      <w:r w:rsidR="00EE5FE6">
        <w:rPr>
          <w:rFonts w:ascii="Times New Roman" w:eastAsia="Malgun Gothic" w:hAnsi="Times New Roman"/>
          <w:bCs/>
          <w:sz w:val="24"/>
          <w:szCs w:val="24"/>
        </w:rPr>
        <w:t>et ce, en raison de</w:t>
      </w:r>
      <w:r w:rsidR="0009230E" w:rsidRPr="007668DF">
        <w:rPr>
          <w:rFonts w:ascii="Times New Roman" w:eastAsia="Malgun Gothic" w:hAnsi="Times New Roman"/>
          <w:bCs/>
          <w:sz w:val="24"/>
          <w:szCs w:val="24"/>
        </w:rPr>
        <w:t xml:space="preserve"> différents facteurs tenant à la tenue des élections législatives, au retour progressif des </w:t>
      </w:r>
      <w:r w:rsidR="000B5671" w:rsidRPr="007668DF">
        <w:rPr>
          <w:rFonts w:ascii="Times New Roman" w:eastAsia="Malgun Gothic" w:hAnsi="Times New Roman"/>
          <w:bCs/>
          <w:sz w:val="24"/>
          <w:szCs w:val="24"/>
        </w:rPr>
        <w:t>réfugiés et personnes déplacées</w:t>
      </w:r>
      <w:r w:rsidR="0078106B">
        <w:rPr>
          <w:rFonts w:ascii="Times New Roman" w:eastAsia="Malgun Gothic" w:hAnsi="Times New Roman"/>
          <w:bCs/>
          <w:sz w:val="24"/>
          <w:szCs w:val="24"/>
        </w:rPr>
        <w:t xml:space="preserve"> internes</w:t>
      </w:r>
      <w:r w:rsidR="00252588" w:rsidRPr="007668DF">
        <w:rPr>
          <w:rFonts w:ascii="Times New Roman" w:eastAsia="Malgun Gothic" w:hAnsi="Times New Roman"/>
          <w:bCs/>
          <w:sz w:val="24"/>
          <w:szCs w:val="24"/>
        </w:rPr>
        <w:t>, à</w:t>
      </w:r>
      <w:r w:rsidR="0009230E" w:rsidRPr="007668DF">
        <w:rPr>
          <w:rFonts w:ascii="Times New Roman" w:eastAsia="Malgun Gothic" w:hAnsi="Times New Roman"/>
          <w:bCs/>
          <w:sz w:val="24"/>
          <w:szCs w:val="24"/>
        </w:rPr>
        <w:t xml:space="preserve"> une amorce du </w:t>
      </w:r>
      <w:r w:rsidR="00252588" w:rsidRPr="007668DF">
        <w:rPr>
          <w:rFonts w:ascii="Times New Roman" w:eastAsia="Malgun Gothic" w:hAnsi="Times New Roman"/>
          <w:bCs/>
          <w:sz w:val="24"/>
          <w:szCs w:val="24"/>
        </w:rPr>
        <w:t>redéploiement</w:t>
      </w:r>
      <w:r w:rsidR="0009230E" w:rsidRPr="007668DF">
        <w:rPr>
          <w:rFonts w:ascii="Times New Roman" w:eastAsia="Malgun Gothic" w:hAnsi="Times New Roman"/>
          <w:bCs/>
          <w:sz w:val="24"/>
          <w:szCs w:val="24"/>
        </w:rPr>
        <w:t xml:space="preserve"> de l’ensemble de l’administration, et de la mise en place d’un gouvernement </w:t>
      </w:r>
      <w:r w:rsidR="00252588" w:rsidRPr="007668DF">
        <w:rPr>
          <w:rFonts w:ascii="Times New Roman" w:eastAsia="Malgun Gothic" w:hAnsi="Times New Roman"/>
          <w:bCs/>
          <w:sz w:val="24"/>
          <w:szCs w:val="24"/>
        </w:rPr>
        <w:t>légitime</w:t>
      </w:r>
      <w:r w:rsidR="0009230E" w:rsidRPr="007668DF">
        <w:rPr>
          <w:rFonts w:ascii="Times New Roman" w:eastAsia="Malgun Gothic" w:hAnsi="Times New Roman"/>
          <w:bCs/>
          <w:sz w:val="24"/>
          <w:szCs w:val="24"/>
        </w:rPr>
        <w:t>.</w:t>
      </w:r>
    </w:p>
    <w:p w:rsidR="007F294E" w:rsidRPr="007668DF" w:rsidRDefault="007F294E" w:rsidP="006C2FA0">
      <w:pPr>
        <w:tabs>
          <w:tab w:val="left" w:pos="567"/>
          <w:tab w:val="left" w:pos="709"/>
          <w:tab w:val="left" w:pos="851"/>
        </w:tabs>
        <w:spacing w:after="0"/>
        <w:jc w:val="both"/>
        <w:rPr>
          <w:rFonts w:ascii="Times New Roman" w:eastAsia="Malgun Gothic" w:hAnsi="Times New Roman"/>
          <w:bCs/>
          <w:sz w:val="24"/>
          <w:szCs w:val="24"/>
        </w:rPr>
      </w:pPr>
    </w:p>
    <w:p w:rsidR="00E62E1A" w:rsidRPr="007668DF" w:rsidRDefault="007F294E" w:rsidP="006C2FA0">
      <w:pPr>
        <w:tabs>
          <w:tab w:val="left" w:pos="567"/>
          <w:tab w:val="left" w:pos="709"/>
          <w:tab w:val="left" w:pos="851"/>
        </w:tabs>
        <w:spacing w:after="0"/>
        <w:jc w:val="both"/>
        <w:rPr>
          <w:rFonts w:ascii="Times New Roman" w:eastAsia="Malgun Gothic" w:hAnsi="Times New Roman"/>
          <w:bCs/>
          <w:sz w:val="24"/>
          <w:szCs w:val="24"/>
        </w:rPr>
      </w:pPr>
      <w:r w:rsidRPr="007668DF">
        <w:rPr>
          <w:rFonts w:ascii="Times New Roman" w:eastAsia="Malgun Gothic" w:hAnsi="Times New Roman"/>
          <w:bCs/>
          <w:sz w:val="24"/>
          <w:szCs w:val="24"/>
        </w:rPr>
        <w:t>1</w:t>
      </w:r>
      <w:r w:rsidR="00AA11CC">
        <w:rPr>
          <w:rFonts w:ascii="Times New Roman" w:eastAsia="Malgun Gothic" w:hAnsi="Times New Roman"/>
          <w:bCs/>
          <w:sz w:val="24"/>
          <w:szCs w:val="24"/>
        </w:rPr>
        <w:t>1</w:t>
      </w:r>
      <w:r w:rsidR="00A21002">
        <w:rPr>
          <w:rFonts w:ascii="Times New Roman" w:eastAsia="Malgun Gothic" w:hAnsi="Times New Roman"/>
          <w:bCs/>
          <w:sz w:val="24"/>
          <w:szCs w:val="24"/>
        </w:rPr>
        <w:t>7</w:t>
      </w:r>
      <w:r w:rsidRPr="007668DF">
        <w:rPr>
          <w:rFonts w:ascii="Times New Roman" w:eastAsia="Malgun Gothic" w:hAnsi="Times New Roman"/>
          <w:bCs/>
          <w:sz w:val="24"/>
          <w:szCs w:val="24"/>
        </w:rPr>
        <w:t>. Toutefois,</w:t>
      </w:r>
      <w:r w:rsidR="00E62E1A" w:rsidRPr="007668DF">
        <w:rPr>
          <w:rFonts w:ascii="Times New Roman" w:eastAsia="Malgun Gothic" w:hAnsi="Times New Roman"/>
          <w:bCs/>
          <w:sz w:val="24"/>
          <w:szCs w:val="24"/>
        </w:rPr>
        <w:t xml:space="preserve"> les attaques indiscriminées et les actes criminels et terroristes ciblés commis par les </w:t>
      </w:r>
      <w:r w:rsidR="00F47D98" w:rsidRPr="007668DF">
        <w:rPr>
          <w:rFonts w:ascii="Times New Roman" w:eastAsia="Malgun Gothic" w:hAnsi="Times New Roman"/>
          <w:sz w:val="24"/>
          <w:szCs w:val="24"/>
        </w:rPr>
        <w:t xml:space="preserve">groupes armés </w:t>
      </w:r>
      <w:r w:rsidR="00D049C0">
        <w:rPr>
          <w:rFonts w:ascii="Times New Roman" w:eastAsia="Malgun Gothic" w:hAnsi="Times New Roman"/>
          <w:bCs/>
          <w:sz w:val="24"/>
          <w:szCs w:val="24"/>
        </w:rPr>
        <w:t>extrémistes</w:t>
      </w:r>
      <w:r w:rsidR="00E62E1A" w:rsidRPr="007668DF">
        <w:rPr>
          <w:rFonts w:ascii="Times New Roman" w:eastAsia="Malgun Gothic" w:hAnsi="Times New Roman"/>
          <w:bCs/>
          <w:sz w:val="24"/>
          <w:szCs w:val="24"/>
        </w:rPr>
        <w:t xml:space="preserve"> dans les régions du nord, continuent à affecter les civils, les forces nationales et internationales, ainsi que le personnel des Nations </w:t>
      </w:r>
      <w:r w:rsidR="0078106B">
        <w:rPr>
          <w:rFonts w:ascii="Times New Roman" w:eastAsia="Malgun Gothic" w:hAnsi="Times New Roman"/>
          <w:bCs/>
          <w:sz w:val="24"/>
          <w:szCs w:val="24"/>
        </w:rPr>
        <w:t>U</w:t>
      </w:r>
      <w:r w:rsidR="00E62E1A" w:rsidRPr="007668DF">
        <w:rPr>
          <w:rFonts w:ascii="Times New Roman" w:eastAsia="Malgun Gothic" w:hAnsi="Times New Roman"/>
          <w:bCs/>
          <w:sz w:val="24"/>
          <w:szCs w:val="24"/>
        </w:rPr>
        <w:t xml:space="preserve">nies. Cette situation a tendance à se cristalliser et à rapprocher certains groupes armés </w:t>
      </w:r>
      <w:r w:rsidR="00F47D98">
        <w:rPr>
          <w:rFonts w:ascii="Times New Roman" w:eastAsia="Malgun Gothic" w:hAnsi="Times New Roman"/>
          <w:bCs/>
          <w:sz w:val="24"/>
          <w:szCs w:val="24"/>
        </w:rPr>
        <w:t xml:space="preserve">rebelles </w:t>
      </w:r>
      <w:r w:rsidR="00E62E1A" w:rsidRPr="007668DF">
        <w:rPr>
          <w:rFonts w:ascii="Times New Roman" w:eastAsia="Malgun Gothic" w:hAnsi="Times New Roman"/>
          <w:bCs/>
          <w:sz w:val="24"/>
          <w:szCs w:val="24"/>
        </w:rPr>
        <w:t xml:space="preserve">des </w:t>
      </w:r>
      <w:r w:rsidR="00F47D98" w:rsidRPr="007668DF">
        <w:rPr>
          <w:rFonts w:ascii="Times New Roman" w:eastAsia="Malgun Gothic" w:hAnsi="Times New Roman"/>
          <w:sz w:val="24"/>
          <w:szCs w:val="24"/>
        </w:rPr>
        <w:t xml:space="preserve">groupes armés </w:t>
      </w:r>
      <w:r w:rsidR="00D049C0">
        <w:rPr>
          <w:rFonts w:ascii="Times New Roman" w:eastAsia="Malgun Gothic" w:hAnsi="Times New Roman"/>
          <w:bCs/>
          <w:sz w:val="24"/>
          <w:szCs w:val="24"/>
        </w:rPr>
        <w:t>extrémistes</w:t>
      </w:r>
      <w:r w:rsidR="00E62E1A" w:rsidRPr="007668DF">
        <w:rPr>
          <w:rFonts w:ascii="Times New Roman" w:eastAsia="Malgun Gothic" w:hAnsi="Times New Roman"/>
          <w:bCs/>
          <w:sz w:val="24"/>
          <w:szCs w:val="24"/>
        </w:rPr>
        <w:t xml:space="preserve">, dont les activités deviennent récurrentes et dangereuses dans le nord du Mali. </w:t>
      </w:r>
    </w:p>
    <w:p w:rsidR="007F294E" w:rsidRPr="007668DF" w:rsidRDefault="007F294E" w:rsidP="006C2FA0">
      <w:pPr>
        <w:tabs>
          <w:tab w:val="left" w:pos="567"/>
          <w:tab w:val="left" w:pos="709"/>
          <w:tab w:val="left" w:pos="851"/>
        </w:tabs>
        <w:spacing w:after="0"/>
        <w:jc w:val="both"/>
        <w:rPr>
          <w:rFonts w:ascii="Times New Roman" w:eastAsia="Malgun Gothic" w:hAnsi="Times New Roman"/>
          <w:bCs/>
          <w:sz w:val="24"/>
          <w:szCs w:val="24"/>
        </w:rPr>
      </w:pPr>
    </w:p>
    <w:p w:rsidR="0024142C" w:rsidRPr="007668DF" w:rsidRDefault="007F294E" w:rsidP="006C2FA0">
      <w:pPr>
        <w:tabs>
          <w:tab w:val="left" w:pos="567"/>
          <w:tab w:val="left" w:pos="709"/>
          <w:tab w:val="left" w:pos="851"/>
        </w:tabs>
        <w:spacing w:after="0"/>
        <w:jc w:val="both"/>
        <w:rPr>
          <w:rFonts w:ascii="Times New Roman" w:eastAsia="Malgun Gothic" w:hAnsi="Times New Roman"/>
          <w:bCs/>
          <w:sz w:val="24"/>
          <w:szCs w:val="24"/>
        </w:rPr>
      </w:pPr>
      <w:r w:rsidRPr="007668DF">
        <w:rPr>
          <w:rFonts w:ascii="Times New Roman" w:eastAsia="Malgun Gothic" w:hAnsi="Times New Roman"/>
          <w:bCs/>
          <w:sz w:val="24"/>
          <w:szCs w:val="24"/>
        </w:rPr>
        <w:t>1</w:t>
      </w:r>
      <w:r w:rsidR="00AA11CC">
        <w:rPr>
          <w:rFonts w:ascii="Times New Roman" w:eastAsia="Malgun Gothic" w:hAnsi="Times New Roman"/>
          <w:bCs/>
          <w:sz w:val="24"/>
          <w:szCs w:val="24"/>
        </w:rPr>
        <w:t>1</w:t>
      </w:r>
      <w:r w:rsidR="00A21002">
        <w:rPr>
          <w:rFonts w:ascii="Times New Roman" w:eastAsia="Malgun Gothic" w:hAnsi="Times New Roman"/>
          <w:bCs/>
          <w:sz w:val="24"/>
          <w:szCs w:val="24"/>
        </w:rPr>
        <w:t>8</w:t>
      </w:r>
      <w:r w:rsidRPr="007668DF">
        <w:rPr>
          <w:rFonts w:ascii="Times New Roman" w:eastAsia="Malgun Gothic" w:hAnsi="Times New Roman"/>
          <w:bCs/>
          <w:sz w:val="24"/>
          <w:szCs w:val="24"/>
        </w:rPr>
        <w:t>. En outre, l</w:t>
      </w:r>
      <w:r w:rsidR="0024142C" w:rsidRPr="007668DF">
        <w:rPr>
          <w:rFonts w:ascii="Times New Roman" w:eastAsia="Malgun Gothic" w:hAnsi="Times New Roman"/>
          <w:bCs/>
          <w:sz w:val="24"/>
          <w:szCs w:val="24"/>
        </w:rPr>
        <w:t xml:space="preserve">es faiblesses des mécanismes de mise en œuvre de l’Accord préliminaire </w:t>
      </w:r>
      <w:r w:rsidR="003C54D5" w:rsidRPr="007668DF">
        <w:rPr>
          <w:rFonts w:ascii="Times New Roman" w:eastAsia="Malgun Gothic" w:hAnsi="Times New Roman"/>
          <w:bCs/>
          <w:sz w:val="24"/>
          <w:szCs w:val="24"/>
        </w:rPr>
        <w:t>d</w:t>
      </w:r>
      <w:r w:rsidR="002D446C" w:rsidRPr="007668DF">
        <w:rPr>
          <w:rFonts w:ascii="Times New Roman" w:eastAsia="Malgun Gothic" w:hAnsi="Times New Roman"/>
          <w:bCs/>
          <w:sz w:val="24"/>
          <w:szCs w:val="24"/>
        </w:rPr>
        <w:t xml:space="preserve">e </w:t>
      </w:r>
      <w:r w:rsidR="003C54D5" w:rsidRPr="007668DF">
        <w:rPr>
          <w:rFonts w:ascii="Times New Roman" w:eastAsia="Malgun Gothic" w:hAnsi="Times New Roman"/>
          <w:bCs/>
          <w:sz w:val="24"/>
          <w:szCs w:val="24"/>
        </w:rPr>
        <w:t>Ouagadougou</w:t>
      </w:r>
      <w:r w:rsidR="0024142C" w:rsidRPr="007668DF">
        <w:rPr>
          <w:rFonts w:ascii="Times New Roman" w:eastAsia="Malgun Gothic" w:hAnsi="Times New Roman"/>
          <w:bCs/>
          <w:sz w:val="24"/>
          <w:szCs w:val="24"/>
        </w:rPr>
        <w:t xml:space="preserve">, en l’occurrence la Commission </w:t>
      </w:r>
      <w:r w:rsidR="00DC4931" w:rsidRPr="007668DF">
        <w:rPr>
          <w:rFonts w:ascii="Times New Roman" w:eastAsia="Malgun Gothic" w:hAnsi="Times New Roman"/>
          <w:bCs/>
          <w:sz w:val="24"/>
          <w:szCs w:val="24"/>
        </w:rPr>
        <w:t>t</w:t>
      </w:r>
      <w:r w:rsidR="0024142C" w:rsidRPr="007668DF">
        <w:rPr>
          <w:rFonts w:ascii="Times New Roman" w:eastAsia="Malgun Gothic" w:hAnsi="Times New Roman"/>
          <w:bCs/>
          <w:sz w:val="24"/>
          <w:szCs w:val="24"/>
        </w:rPr>
        <w:t xml:space="preserve">echnique </w:t>
      </w:r>
      <w:r w:rsidR="00DC4931" w:rsidRPr="007668DF">
        <w:rPr>
          <w:rFonts w:ascii="Times New Roman" w:eastAsia="Malgun Gothic" w:hAnsi="Times New Roman"/>
          <w:bCs/>
          <w:sz w:val="24"/>
          <w:szCs w:val="24"/>
        </w:rPr>
        <w:t>m</w:t>
      </w:r>
      <w:r w:rsidR="0024142C" w:rsidRPr="007668DF">
        <w:rPr>
          <w:rFonts w:ascii="Times New Roman" w:eastAsia="Malgun Gothic" w:hAnsi="Times New Roman"/>
          <w:bCs/>
          <w:sz w:val="24"/>
          <w:szCs w:val="24"/>
        </w:rPr>
        <w:t xml:space="preserve">ixte de </w:t>
      </w:r>
      <w:r w:rsidR="0078106B">
        <w:rPr>
          <w:rFonts w:ascii="Times New Roman" w:eastAsia="Malgun Gothic" w:hAnsi="Times New Roman"/>
          <w:bCs/>
          <w:sz w:val="24"/>
          <w:szCs w:val="24"/>
        </w:rPr>
        <w:t>s</w:t>
      </w:r>
      <w:r w:rsidR="0024142C" w:rsidRPr="007668DF">
        <w:rPr>
          <w:rFonts w:ascii="Times New Roman" w:eastAsia="Malgun Gothic" w:hAnsi="Times New Roman"/>
          <w:bCs/>
          <w:sz w:val="24"/>
          <w:szCs w:val="24"/>
        </w:rPr>
        <w:t xml:space="preserve">écurité et la Commission de suivi de l’application de l’accord, ont </w:t>
      </w:r>
      <w:r w:rsidRPr="007668DF">
        <w:rPr>
          <w:rFonts w:ascii="Times New Roman" w:eastAsia="Malgun Gothic" w:hAnsi="Times New Roman"/>
          <w:bCs/>
          <w:sz w:val="24"/>
          <w:szCs w:val="24"/>
        </w:rPr>
        <w:lastRenderedPageBreak/>
        <w:t xml:space="preserve">exacerbé </w:t>
      </w:r>
      <w:r w:rsidR="0024142C" w:rsidRPr="007668DF">
        <w:rPr>
          <w:rFonts w:ascii="Times New Roman" w:eastAsia="Malgun Gothic" w:hAnsi="Times New Roman"/>
          <w:bCs/>
          <w:sz w:val="24"/>
          <w:szCs w:val="24"/>
        </w:rPr>
        <w:t xml:space="preserve"> </w:t>
      </w:r>
      <w:r w:rsidRPr="007668DF">
        <w:rPr>
          <w:rFonts w:ascii="Times New Roman" w:eastAsia="Malgun Gothic" w:hAnsi="Times New Roman"/>
          <w:bCs/>
          <w:sz w:val="24"/>
          <w:szCs w:val="24"/>
        </w:rPr>
        <w:t xml:space="preserve">le </w:t>
      </w:r>
      <w:r w:rsidR="0024142C" w:rsidRPr="007668DF">
        <w:rPr>
          <w:rFonts w:ascii="Times New Roman" w:eastAsia="Malgun Gothic" w:hAnsi="Times New Roman"/>
          <w:bCs/>
          <w:sz w:val="24"/>
          <w:szCs w:val="24"/>
        </w:rPr>
        <w:t>manque de confiance de la population à l’égard du gouvernement</w:t>
      </w:r>
      <w:r w:rsidRPr="007668DF">
        <w:rPr>
          <w:rFonts w:ascii="Times New Roman" w:eastAsia="Malgun Gothic" w:hAnsi="Times New Roman"/>
          <w:bCs/>
          <w:sz w:val="24"/>
          <w:szCs w:val="24"/>
        </w:rPr>
        <w:t>, pa</w:t>
      </w:r>
      <w:r w:rsidR="005707C1" w:rsidRPr="007668DF">
        <w:rPr>
          <w:rFonts w:ascii="Times New Roman" w:eastAsia="Malgun Gothic" w:hAnsi="Times New Roman"/>
          <w:bCs/>
          <w:sz w:val="24"/>
          <w:szCs w:val="24"/>
        </w:rPr>
        <w:t>rticulièrement au nord du pays</w:t>
      </w:r>
      <w:r w:rsidR="0024142C" w:rsidRPr="007668DF">
        <w:rPr>
          <w:rFonts w:ascii="Times New Roman" w:eastAsia="Malgun Gothic" w:hAnsi="Times New Roman"/>
          <w:bCs/>
          <w:sz w:val="24"/>
          <w:szCs w:val="24"/>
        </w:rPr>
        <w:t xml:space="preserve">. </w:t>
      </w:r>
      <w:r w:rsidR="00035B8A" w:rsidRPr="007668DF">
        <w:rPr>
          <w:rFonts w:ascii="Times New Roman" w:eastAsia="Malgun Gothic" w:hAnsi="Times New Roman"/>
          <w:bCs/>
          <w:sz w:val="24"/>
          <w:szCs w:val="24"/>
        </w:rPr>
        <w:t>L’absence d’une politique de cohésion sociale par rapport aux conflits intercommunautaires expose davantage les populations civiles et fragilise le processus de paix.</w:t>
      </w:r>
    </w:p>
    <w:p w:rsidR="0024142C" w:rsidRPr="007668DF" w:rsidRDefault="0024142C" w:rsidP="006C2FA0">
      <w:pPr>
        <w:tabs>
          <w:tab w:val="left" w:pos="567"/>
          <w:tab w:val="left" w:pos="709"/>
          <w:tab w:val="left" w:pos="851"/>
        </w:tabs>
        <w:spacing w:after="0"/>
        <w:jc w:val="both"/>
        <w:rPr>
          <w:rFonts w:ascii="Times New Roman" w:eastAsia="Malgun Gothic" w:hAnsi="Times New Roman"/>
          <w:bCs/>
          <w:sz w:val="24"/>
          <w:szCs w:val="24"/>
        </w:rPr>
      </w:pPr>
    </w:p>
    <w:p w:rsidR="0024142C" w:rsidRPr="007668DF" w:rsidRDefault="001F669A" w:rsidP="006C2FA0">
      <w:pPr>
        <w:tabs>
          <w:tab w:val="left" w:pos="567"/>
          <w:tab w:val="left" w:pos="709"/>
          <w:tab w:val="left" w:pos="851"/>
        </w:tabs>
        <w:spacing w:after="0"/>
        <w:jc w:val="both"/>
        <w:rPr>
          <w:rFonts w:ascii="Times New Roman" w:eastAsia="Malgun Gothic" w:hAnsi="Times New Roman"/>
          <w:bCs/>
          <w:sz w:val="24"/>
          <w:szCs w:val="24"/>
        </w:rPr>
      </w:pPr>
      <w:r w:rsidRPr="007668DF">
        <w:rPr>
          <w:rFonts w:ascii="Times New Roman" w:eastAsia="Malgun Gothic" w:hAnsi="Times New Roman"/>
          <w:bCs/>
          <w:sz w:val="24"/>
          <w:szCs w:val="24"/>
        </w:rPr>
        <w:t>1</w:t>
      </w:r>
      <w:r w:rsidR="00AA11CC">
        <w:rPr>
          <w:rFonts w:ascii="Times New Roman" w:eastAsia="Malgun Gothic" w:hAnsi="Times New Roman"/>
          <w:bCs/>
          <w:sz w:val="24"/>
          <w:szCs w:val="24"/>
        </w:rPr>
        <w:t>1</w:t>
      </w:r>
      <w:r w:rsidR="00A21002">
        <w:rPr>
          <w:rFonts w:ascii="Times New Roman" w:eastAsia="Malgun Gothic" w:hAnsi="Times New Roman"/>
          <w:bCs/>
          <w:sz w:val="24"/>
          <w:szCs w:val="24"/>
        </w:rPr>
        <w:t>9</w:t>
      </w:r>
      <w:r w:rsidR="0024142C" w:rsidRPr="007668DF">
        <w:rPr>
          <w:rFonts w:ascii="Times New Roman" w:eastAsia="Malgun Gothic" w:hAnsi="Times New Roman"/>
          <w:bCs/>
          <w:sz w:val="24"/>
          <w:szCs w:val="24"/>
        </w:rPr>
        <w:t>.</w:t>
      </w:r>
      <w:r w:rsidR="0024142C" w:rsidRPr="007668DF">
        <w:rPr>
          <w:rFonts w:ascii="Times New Roman" w:eastAsia="Malgun Gothic" w:hAnsi="Times New Roman"/>
          <w:bCs/>
          <w:sz w:val="24"/>
          <w:szCs w:val="24"/>
        </w:rPr>
        <w:tab/>
      </w:r>
      <w:r w:rsidR="000B5671" w:rsidRPr="007668DF">
        <w:rPr>
          <w:rFonts w:ascii="Times New Roman" w:eastAsia="Malgun Gothic" w:hAnsi="Times New Roman"/>
          <w:bCs/>
          <w:sz w:val="24"/>
          <w:szCs w:val="24"/>
        </w:rPr>
        <w:t xml:space="preserve">Face </w:t>
      </w:r>
      <w:r w:rsidR="00616741" w:rsidRPr="007668DF">
        <w:rPr>
          <w:rFonts w:ascii="Times New Roman" w:eastAsia="Malgun Gothic" w:hAnsi="Times New Roman"/>
          <w:bCs/>
          <w:sz w:val="24"/>
          <w:szCs w:val="24"/>
        </w:rPr>
        <w:t>à</w:t>
      </w:r>
      <w:r w:rsidR="000B5671" w:rsidRPr="007668DF">
        <w:rPr>
          <w:rFonts w:ascii="Times New Roman" w:eastAsia="Malgun Gothic" w:hAnsi="Times New Roman"/>
          <w:bCs/>
          <w:sz w:val="24"/>
          <w:szCs w:val="24"/>
        </w:rPr>
        <w:t xml:space="preserve"> la stagnation des </w:t>
      </w:r>
      <w:r w:rsidR="00616741" w:rsidRPr="007668DF">
        <w:rPr>
          <w:rFonts w:ascii="Times New Roman" w:eastAsia="Malgun Gothic" w:hAnsi="Times New Roman"/>
          <w:bCs/>
          <w:sz w:val="24"/>
          <w:szCs w:val="24"/>
        </w:rPr>
        <w:t>négociations</w:t>
      </w:r>
      <w:r w:rsidR="000B5671" w:rsidRPr="007668DF">
        <w:rPr>
          <w:rFonts w:ascii="Times New Roman" w:eastAsia="Malgun Gothic" w:hAnsi="Times New Roman"/>
          <w:bCs/>
          <w:sz w:val="24"/>
          <w:szCs w:val="24"/>
        </w:rPr>
        <w:t xml:space="preserve"> et </w:t>
      </w:r>
      <w:r w:rsidR="00616741" w:rsidRPr="007668DF">
        <w:rPr>
          <w:rFonts w:ascii="Times New Roman" w:eastAsia="Malgun Gothic" w:hAnsi="Times New Roman"/>
          <w:bCs/>
          <w:sz w:val="24"/>
          <w:szCs w:val="24"/>
        </w:rPr>
        <w:t>à</w:t>
      </w:r>
      <w:r w:rsidR="000B5671" w:rsidRPr="007668DF">
        <w:rPr>
          <w:rFonts w:ascii="Times New Roman" w:eastAsia="Malgun Gothic" w:hAnsi="Times New Roman"/>
          <w:bCs/>
          <w:sz w:val="24"/>
          <w:szCs w:val="24"/>
        </w:rPr>
        <w:t xml:space="preserve"> la suite des </w:t>
      </w:r>
      <w:r w:rsidR="00616741" w:rsidRPr="007668DF">
        <w:rPr>
          <w:rFonts w:ascii="Times New Roman" w:eastAsia="Malgun Gothic" w:hAnsi="Times New Roman"/>
          <w:bCs/>
          <w:sz w:val="24"/>
          <w:szCs w:val="24"/>
        </w:rPr>
        <w:t>évènements</w:t>
      </w:r>
      <w:r w:rsidR="000B5671" w:rsidRPr="007668DF">
        <w:rPr>
          <w:rFonts w:ascii="Times New Roman" w:eastAsia="Malgun Gothic" w:hAnsi="Times New Roman"/>
          <w:bCs/>
          <w:sz w:val="24"/>
          <w:szCs w:val="24"/>
        </w:rPr>
        <w:t xml:space="preserve"> de Kidal, les groupes on</w:t>
      </w:r>
      <w:r w:rsidR="00616741" w:rsidRPr="007668DF">
        <w:rPr>
          <w:rFonts w:ascii="Times New Roman" w:eastAsia="Malgun Gothic" w:hAnsi="Times New Roman"/>
          <w:bCs/>
          <w:sz w:val="24"/>
          <w:szCs w:val="24"/>
        </w:rPr>
        <w:t xml:space="preserve">t étendu leur contrôle effectif sur presque l’ensemble du territoire Nord du pays et se sont </w:t>
      </w:r>
      <w:r w:rsidR="00D74543" w:rsidRPr="007668DF">
        <w:rPr>
          <w:rFonts w:ascii="Times New Roman" w:eastAsia="Malgun Gothic" w:hAnsi="Times New Roman"/>
          <w:bCs/>
          <w:sz w:val="24"/>
          <w:szCs w:val="24"/>
        </w:rPr>
        <w:t>arrogés</w:t>
      </w:r>
      <w:r w:rsidR="00616741" w:rsidRPr="007668DF">
        <w:rPr>
          <w:rFonts w:ascii="Times New Roman" w:eastAsia="Malgun Gothic" w:hAnsi="Times New Roman"/>
          <w:bCs/>
          <w:sz w:val="24"/>
          <w:szCs w:val="24"/>
        </w:rPr>
        <w:t xml:space="preserve"> certains attributs de </w:t>
      </w:r>
      <w:r w:rsidR="00A71DFD" w:rsidRPr="007668DF">
        <w:rPr>
          <w:rFonts w:ascii="Times New Roman" w:eastAsia="Malgun Gothic" w:hAnsi="Times New Roman"/>
          <w:bCs/>
          <w:sz w:val="24"/>
          <w:szCs w:val="24"/>
        </w:rPr>
        <w:t xml:space="preserve">l’Etat tels que la justice et la sécurité. </w:t>
      </w:r>
      <w:r w:rsidR="00616741" w:rsidRPr="007668DF">
        <w:rPr>
          <w:rFonts w:ascii="Times New Roman" w:eastAsia="Malgun Gothic" w:hAnsi="Times New Roman"/>
          <w:bCs/>
          <w:sz w:val="24"/>
          <w:szCs w:val="24"/>
        </w:rPr>
        <w:t>Des cas d’arrestation</w:t>
      </w:r>
      <w:r w:rsidR="00DC33F8">
        <w:rPr>
          <w:rFonts w:ascii="Times New Roman" w:eastAsia="Malgun Gothic" w:hAnsi="Times New Roman"/>
          <w:bCs/>
          <w:sz w:val="24"/>
          <w:szCs w:val="24"/>
        </w:rPr>
        <w:t>s</w:t>
      </w:r>
      <w:r w:rsidR="00616741" w:rsidRPr="007668DF">
        <w:rPr>
          <w:rFonts w:ascii="Times New Roman" w:eastAsia="Malgun Gothic" w:hAnsi="Times New Roman"/>
          <w:bCs/>
          <w:sz w:val="24"/>
          <w:szCs w:val="24"/>
        </w:rPr>
        <w:t xml:space="preserve"> et d’abus des droits de l’homme notamment </w:t>
      </w:r>
      <w:r w:rsidR="00EE5FE6">
        <w:rPr>
          <w:rFonts w:ascii="Times New Roman" w:eastAsia="Malgun Gothic" w:hAnsi="Times New Roman"/>
          <w:bCs/>
          <w:sz w:val="24"/>
          <w:szCs w:val="24"/>
        </w:rPr>
        <w:t>d</w:t>
      </w:r>
      <w:r w:rsidR="00616741" w:rsidRPr="007668DF">
        <w:rPr>
          <w:rFonts w:ascii="Times New Roman" w:eastAsia="Malgun Gothic" w:hAnsi="Times New Roman"/>
          <w:bCs/>
          <w:sz w:val="24"/>
          <w:szCs w:val="24"/>
        </w:rPr>
        <w:t xml:space="preserve">es arrestations arbitraires, </w:t>
      </w:r>
      <w:r w:rsidR="00EE5FE6">
        <w:rPr>
          <w:rFonts w:ascii="Times New Roman" w:eastAsia="Malgun Gothic" w:hAnsi="Times New Roman"/>
          <w:bCs/>
          <w:sz w:val="24"/>
          <w:szCs w:val="24"/>
        </w:rPr>
        <w:t>d</w:t>
      </w:r>
      <w:r w:rsidR="00616741" w:rsidRPr="007668DF">
        <w:rPr>
          <w:rFonts w:ascii="Times New Roman" w:eastAsia="Malgun Gothic" w:hAnsi="Times New Roman"/>
          <w:bCs/>
          <w:sz w:val="24"/>
          <w:szCs w:val="24"/>
        </w:rPr>
        <w:t xml:space="preserve">es traitements </w:t>
      </w:r>
      <w:r w:rsidR="00EE5FE6">
        <w:rPr>
          <w:rFonts w:ascii="Times New Roman" w:eastAsia="Malgun Gothic" w:hAnsi="Times New Roman"/>
          <w:bCs/>
          <w:sz w:val="24"/>
          <w:szCs w:val="24"/>
        </w:rPr>
        <w:t xml:space="preserve"> cruels, </w:t>
      </w:r>
      <w:r w:rsidR="00616741" w:rsidRPr="007668DF">
        <w:rPr>
          <w:rFonts w:ascii="Times New Roman" w:eastAsia="Malgun Gothic" w:hAnsi="Times New Roman"/>
          <w:bCs/>
          <w:sz w:val="24"/>
          <w:szCs w:val="24"/>
        </w:rPr>
        <w:t xml:space="preserve">inhumains </w:t>
      </w:r>
      <w:r w:rsidR="00582341">
        <w:rPr>
          <w:rFonts w:ascii="Times New Roman" w:eastAsia="Malgun Gothic" w:hAnsi="Times New Roman"/>
          <w:bCs/>
          <w:sz w:val="24"/>
          <w:szCs w:val="24"/>
        </w:rPr>
        <w:t>ou</w:t>
      </w:r>
      <w:r w:rsidR="00582341" w:rsidRPr="007668DF">
        <w:rPr>
          <w:rFonts w:ascii="Times New Roman" w:eastAsia="Malgun Gothic" w:hAnsi="Times New Roman"/>
          <w:bCs/>
          <w:sz w:val="24"/>
          <w:szCs w:val="24"/>
        </w:rPr>
        <w:t xml:space="preserve"> </w:t>
      </w:r>
      <w:r w:rsidR="00616741" w:rsidRPr="007668DF">
        <w:rPr>
          <w:rFonts w:ascii="Times New Roman" w:eastAsia="Malgun Gothic" w:hAnsi="Times New Roman"/>
          <w:bCs/>
          <w:sz w:val="24"/>
          <w:szCs w:val="24"/>
        </w:rPr>
        <w:t xml:space="preserve">dégradants, </w:t>
      </w:r>
      <w:r w:rsidR="00EE5FE6">
        <w:rPr>
          <w:rFonts w:ascii="Times New Roman" w:eastAsia="Malgun Gothic" w:hAnsi="Times New Roman"/>
          <w:bCs/>
          <w:sz w:val="24"/>
          <w:szCs w:val="24"/>
        </w:rPr>
        <w:t>d</w:t>
      </w:r>
      <w:r w:rsidR="00616741" w:rsidRPr="007668DF">
        <w:rPr>
          <w:rFonts w:ascii="Times New Roman" w:eastAsia="Malgun Gothic" w:hAnsi="Times New Roman"/>
          <w:bCs/>
          <w:sz w:val="24"/>
          <w:szCs w:val="24"/>
        </w:rPr>
        <w:t xml:space="preserve">es restrictions de mouvement ont commencé à être documentés. Sur le plan de la justice, les Cadi ont commencé à rendre des jugements sur des </w:t>
      </w:r>
      <w:r w:rsidR="003E7DDA" w:rsidRPr="007668DF">
        <w:rPr>
          <w:rFonts w:ascii="Times New Roman" w:eastAsia="Malgun Gothic" w:hAnsi="Times New Roman"/>
          <w:bCs/>
          <w:sz w:val="24"/>
          <w:szCs w:val="24"/>
        </w:rPr>
        <w:t>matières</w:t>
      </w:r>
      <w:r w:rsidR="00616741" w:rsidRPr="007668DF">
        <w:rPr>
          <w:rFonts w:ascii="Times New Roman" w:eastAsia="Malgun Gothic" w:hAnsi="Times New Roman"/>
          <w:bCs/>
          <w:sz w:val="24"/>
          <w:szCs w:val="24"/>
        </w:rPr>
        <w:t xml:space="preserve"> criminelles dévolues aux Cours et tribunaux. </w:t>
      </w:r>
    </w:p>
    <w:p w:rsidR="0024142C" w:rsidRPr="007668DF" w:rsidRDefault="0024142C" w:rsidP="006C2FA0">
      <w:pPr>
        <w:tabs>
          <w:tab w:val="left" w:pos="567"/>
          <w:tab w:val="left" w:pos="709"/>
          <w:tab w:val="left" w:pos="851"/>
        </w:tabs>
        <w:spacing w:after="0"/>
        <w:jc w:val="both"/>
        <w:rPr>
          <w:rFonts w:ascii="Times New Roman" w:eastAsia="Malgun Gothic" w:hAnsi="Times New Roman"/>
          <w:bCs/>
          <w:sz w:val="24"/>
          <w:szCs w:val="24"/>
        </w:rPr>
      </w:pPr>
    </w:p>
    <w:p w:rsidR="007F294E" w:rsidRPr="007668DF" w:rsidRDefault="001F669A" w:rsidP="006C2FA0">
      <w:pPr>
        <w:tabs>
          <w:tab w:val="left" w:pos="567"/>
          <w:tab w:val="left" w:pos="709"/>
          <w:tab w:val="left" w:pos="851"/>
        </w:tabs>
        <w:spacing w:after="0"/>
        <w:jc w:val="both"/>
        <w:rPr>
          <w:rFonts w:ascii="Times New Roman" w:eastAsia="Malgun Gothic" w:hAnsi="Times New Roman"/>
          <w:bCs/>
          <w:sz w:val="24"/>
          <w:szCs w:val="24"/>
        </w:rPr>
      </w:pPr>
      <w:r w:rsidRPr="007668DF">
        <w:rPr>
          <w:rFonts w:ascii="Times New Roman" w:eastAsia="Malgun Gothic" w:hAnsi="Times New Roman"/>
          <w:bCs/>
          <w:sz w:val="24"/>
          <w:szCs w:val="24"/>
        </w:rPr>
        <w:t>1</w:t>
      </w:r>
      <w:r w:rsidR="00A21002">
        <w:rPr>
          <w:rFonts w:ascii="Times New Roman" w:eastAsia="Malgun Gothic" w:hAnsi="Times New Roman"/>
          <w:bCs/>
          <w:sz w:val="24"/>
          <w:szCs w:val="24"/>
        </w:rPr>
        <w:t>20</w:t>
      </w:r>
      <w:r w:rsidR="0024142C" w:rsidRPr="007668DF">
        <w:rPr>
          <w:rFonts w:ascii="Times New Roman" w:eastAsia="Malgun Gothic" w:hAnsi="Times New Roman"/>
          <w:bCs/>
          <w:sz w:val="24"/>
          <w:szCs w:val="24"/>
        </w:rPr>
        <w:t>.</w:t>
      </w:r>
      <w:r w:rsidR="0024142C" w:rsidRPr="007668DF">
        <w:rPr>
          <w:rFonts w:ascii="Times New Roman" w:eastAsia="Malgun Gothic" w:hAnsi="Times New Roman"/>
          <w:bCs/>
          <w:sz w:val="24"/>
          <w:szCs w:val="24"/>
        </w:rPr>
        <w:tab/>
        <w:t xml:space="preserve">Les déclarations finales des congrès tenus respectivement par le MNLA et le HCUA </w:t>
      </w:r>
      <w:r w:rsidR="007F294E" w:rsidRPr="007668DF">
        <w:rPr>
          <w:rFonts w:ascii="Times New Roman" w:eastAsia="Malgun Gothic" w:hAnsi="Times New Roman"/>
          <w:bCs/>
          <w:sz w:val="24"/>
          <w:szCs w:val="24"/>
        </w:rPr>
        <w:t xml:space="preserve">en </w:t>
      </w:r>
      <w:r w:rsidR="0024142C" w:rsidRPr="007668DF">
        <w:rPr>
          <w:rFonts w:ascii="Times New Roman" w:eastAsia="Malgun Gothic" w:hAnsi="Times New Roman"/>
          <w:bCs/>
          <w:sz w:val="24"/>
          <w:szCs w:val="24"/>
        </w:rPr>
        <w:t xml:space="preserve">mai 2014 ont réitéré </w:t>
      </w:r>
      <w:r w:rsidR="001D4584" w:rsidRPr="007668DF">
        <w:rPr>
          <w:rFonts w:ascii="Times New Roman" w:eastAsia="Malgun Gothic" w:hAnsi="Times New Roman"/>
          <w:bCs/>
          <w:sz w:val="24"/>
          <w:szCs w:val="24"/>
        </w:rPr>
        <w:t xml:space="preserve">les </w:t>
      </w:r>
      <w:r w:rsidR="0024142C" w:rsidRPr="007668DF">
        <w:rPr>
          <w:rFonts w:ascii="Times New Roman" w:eastAsia="Malgun Gothic" w:hAnsi="Times New Roman"/>
          <w:bCs/>
          <w:sz w:val="24"/>
          <w:szCs w:val="24"/>
        </w:rPr>
        <w:t>revendication</w:t>
      </w:r>
      <w:r w:rsidR="001D4584" w:rsidRPr="007668DF">
        <w:rPr>
          <w:rFonts w:ascii="Times New Roman" w:eastAsia="Malgun Gothic" w:hAnsi="Times New Roman"/>
          <w:bCs/>
          <w:sz w:val="24"/>
          <w:szCs w:val="24"/>
        </w:rPr>
        <w:t>s de ces groupes</w:t>
      </w:r>
      <w:r w:rsidR="007F294E" w:rsidRPr="007668DF">
        <w:rPr>
          <w:rFonts w:ascii="Times New Roman" w:eastAsia="Malgun Gothic" w:hAnsi="Times New Roman"/>
          <w:bCs/>
          <w:sz w:val="24"/>
          <w:szCs w:val="24"/>
        </w:rPr>
        <w:t>,</w:t>
      </w:r>
      <w:r w:rsidR="0024142C" w:rsidRPr="007668DF">
        <w:rPr>
          <w:rFonts w:ascii="Times New Roman" w:eastAsia="Malgun Gothic" w:hAnsi="Times New Roman"/>
          <w:bCs/>
          <w:sz w:val="24"/>
          <w:szCs w:val="24"/>
        </w:rPr>
        <w:t xml:space="preserve"> à savoir l’indépendance de l’Azawad et l’unification des groupes armés, remettant ainsi en cause l’intégrité territoriale </w:t>
      </w:r>
      <w:r w:rsidR="007F294E" w:rsidRPr="007668DF">
        <w:rPr>
          <w:rFonts w:ascii="Times New Roman" w:eastAsia="Malgun Gothic" w:hAnsi="Times New Roman"/>
          <w:bCs/>
          <w:sz w:val="24"/>
          <w:szCs w:val="24"/>
        </w:rPr>
        <w:t xml:space="preserve">qui est pourtant la clé de voûte </w:t>
      </w:r>
      <w:r w:rsidR="0024142C" w:rsidRPr="007668DF">
        <w:rPr>
          <w:rFonts w:ascii="Times New Roman" w:eastAsia="Malgun Gothic" w:hAnsi="Times New Roman"/>
          <w:bCs/>
          <w:sz w:val="24"/>
          <w:szCs w:val="24"/>
        </w:rPr>
        <w:t xml:space="preserve">de l’Accord préliminaire </w:t>
      </w:r>
      <w:r w:rsidR="003C54D5" w:rsidRPr="007668DF">
        <w:rPr>
          <w:rFonts w:ascii="Times New Roman" w:eastAsia="Malgun Gothic" w:hAnsi="Times New Roman"/>
          <w:bCs/>
          <w:sz w:val="24"/>
          <w:szCs w:val="24"/>
        </w:rPr>
        <w:t>d</w:t>
      </w:r>
      <w:r w:rsidR="002D446C" w:rsidRPr="007668DF">
        <w:rPr>
          <w:rFonts w:ascii="Times New Roman" w:eastAsia="Malgun Gothic" w:hAnsi="Times New Roman"/>
          <w:bCs/>
          <w:sz w:val="24"/>
          <w:szCs w:val="24"/>
        </w:rPr>
        <w:t xml:space="preserve">e </w:t>
      </w:r>
      <w:r w:rsidR="003C54D5" w:rsidRPr="007668DF">
        <w:rPr>
          <w:rFonts w:ascii="Times New Roman" w:eastAsia="Malgun Gothic" w:hAnsi="Times New Roman"/>
          <w:bCs/>
          <w:sz w:val="24"/>
          <w:szCs w:val="24"/>
        </w:rPr>
        <w:t>Ouagadougou</w:t>
      </w:r>
      <w:r w:rsidR="0024142C" w:rsidRPr="007668DF">
        <w:rPr>
          <w:rFonts w:ascii="Times New Roman" w:eastAsia="Malgun Gothic" w:hAnsi="Times New Roman"/>
          <w:bCs/>
          <w:sz w:val="24"/>
          <w:szCs w:val="24"/>
        </w:rPr>
        <w:t xml:space="preserve">.  </w:t>
      </w:r>
    </w:p>
    <w:p w:rsidR="007F294E" w:rsidRPr="007668DF" w:rsidRDefault="007F294E" w:rsidP="006C2FA0">
      <w:pPr>
        <w:tabs>
          <w:tab w:val="left" w:pos="567"/>
          <w:tab w:val="left" w:pos="709"/>
          <w:tab w:val="left" w:pos="851"/>
        </w:tabs>
        <w:spacing w:after="0"/>
        <w:jc w:val="both"/>
        <w:rPr>
          <w:rFonts w:ascii="Times New Roman" w:eastAsia="Malgun Gothic" w:hAnsi="Times New Roman"/>
          <w:bCs/>
          <w:sz w:val="24"/>
          <w:szCs w:val="24"/>
        </w:rPr>
      </w:pPr>
    </w:p>
    <w:p w:rsidR="0017155C" w:rsidRDefault="0017155C" w:rsidP="006C2FA0">
      <w:pPr>
        <w:pStyle w:val="Heading2"/>
        <w:tabs>
          <w:tab w:val="left" w:pos="567"/>
        </w:tabs>
        <w:jc w:val="both"/>
        <w:rPr>
          <w:rFonts w:ascii="Times New Roman" w:eastAsia="Malgun Gothic" w:hAnsi="Times New Roman"/>
          <w:color w:val="auto"/>
          <w:sz w:val="24"/>
          <w:szCs w:val="24"/>
          <w:lang w:val="fr-FR"/>
        </w:rPr>
      </w:pPr>
    </w:p>
    <w:p w:rsidR="003B324D" w:rsidRPr="007668DF" w:rsidRDefault="0017155C" w:rsidP="006C2FA0">
      <w:pPr>
        <w:pStyle w:val="Heading2"/>
        <w:tabs>
          <w:tab w:val="left" w:pos="567"/>
        </w:tabs>
        <w:jc w:val="both"/>
        <w:rPr>
          <w:rFonts w:ascii="Times New Roman" w:eastAsia="Malgun Gothic" w:hAnsi="Times New Roman"/>
          <w:color w:val="auto"/>
          <w:sz w:val="24"/>
          <w:szCs w:val="24"/>
        </w:rPr>
      </w:pPr>
      <w:r w:rsidRPr="007668DF">
        <w:rPr>
          <w:rFonts w:ascii="Times New Roman" w:eastAsia="Malgun Gothic" w:hAnsi="Times New Roman"/>
          <w:color w:val="auto"/>
          <w:sz w:val="24"/>
          <w:szCs w:val="24"/>
        </w:rPr>
        <w:t>Recommandations</w:t>
      </w:r>
    </w:p>
    <w:p w:rsidR="007F294E" w:rsidRPr="007668DF" w:rsidRDefault="007F294E" w:rsidP="006C2FA0">
      <w:pPr>
        <w:tabs>
          <w:tab w:val="left" w:pos="567"/>
          <w:tab w:val="left" w:pos="709"/>
          <w:tab w:val="left" w:pos="851"/>
        </w:tabs>
        <w:spacing w:after="0"/>
        <w:jc w:val="both"/>
        <w:rPr>
          <w:rFonts w:ascii="Times New Roman" w:eastAsia="Malgun Gothic" w:hAnsi="Times New Roman"/>
          <w:bCs/>
          <w:sz w:val="24"/>
          <w:szCs w:val="24"/>
        </w:rPr>
      </w:pPr>
    </w:p>
    <w:p w:rsidR="0024142C" w:rsidRPr="007668DF" w:rsidRDefault="007F294E" w:rsidP="006C2FA0">
      <w:pPr>
        <w:tabs>
          <w:tab w:val="left" w:pos="567"/>
          <w:tab w:val="left" w:pos="709"/>
          <w:tab w:val="left" w:pos="851"/>
        </w:tabs>
        <w:spacing w:after="0"/>
        <w:jc w:val="both"/>
        <w:rPr>
          <w:rFonts w:ascii="Times New Roman" w:eastAsia="Malgun Gothic" w:hAnsi="Times New Roman"/>
          <w:bCs/>
          <w:sz w:val="24"/>
          <w:szCs w:val="24"/>
        </w:rPr>
      </w:pPr>
      <w:r w:rsidRPr="007668DF">
        <w:rPr>
          <w:rFonts w:ascii="Times New Roman" w:eastAsia="Malgun Gothic" w:hAnsi="Times New Roman"/>
          <w:bCs/>
          <w:sz w:val="24"/>
          <w:szCs w:val="24"/>
        </w:rPr>
        <w:t>1</w:t>
      </w:r>
      <w:r w:rsidR="0015403C">
        <w:rPr>
          <w:rFonts w:ascii="Times New Roman" w:eastAsia="Malgun Gothic" w:hAnsi="Times New Roman"/>
          <w:bCs/>
          <w:sz w:val="24"/>
          <w:szCs w:val="24"/>
        </w:rPr>
        <w:t>2</w:t>
      </w:r>
      <w:r w:rsidR="00A21002">
        <w:rPr>
          <w:rFonts w:ascii="Times New Roman" w:eastAsia="Malgun Gothic" w:hAnsi="Times New Roman"/>
          <w:bCs/>
          <w:sz w:val="24"/>
          <w:szCs w:val="24"/>
        </w:rPr>
        <w:t>1</w:t>
      </w:r>
      <w:r w:rsidRPr="007668DF">
        <w:rPr>
          <w:rFonts w:ascii="Times New Roman" w:eastAsia="Malgun Gothic" w:hAnsi="Times New Roman"/>
          <w:bCs/>
          <w:sz w:val="24"/>
          <w:szCs w:val="24"/>
        </w:rPr>
        <w:t xml:space="preserve">. </w:t>
      </w:r>
      <w:r w:rsidR="0024142C" w:rsidRPr="007668DF">
        <w:rPr>
          <w:rFonts w:ascii="Times New Roman" w:eastAsia="Malgun Gothic" w:hAnsi="Times New Roman"/>
          <w:bCs/>
          <w:sz w:val="24"/>
          <w:szCs w:val="24"/>
        </w:rPr>
        <w:t>Au regard de ce qui précède, la MINUSMA formu</w:t>
      </w:r>
      <w:r w:rsidR="00DC4F65">
        <w:rPr>
          <w:rFonts w:ascii="Times New Roman" w:eastAsia="Malgun Gothic" w:hAnsi="Times New Roman"/>
          <w:bCs/>
          <w:sz w:val="24"/>
          <w:szCs w:val="24"/>
        </w:rPr>
        <w:t>le les recommandations ci-après</w:t>
      </w:r>
      <w:r w:rsidR="0024142C" w:rsidRPr="007668DF">
        <w:rPr>
          <w:rFonts w:ascii="Times New Roman" w:eastAsia="Malgun Gothic" w:hAnsi="Times New Roman"/>
          <w:bCs/>
          <w:sz w:val="24"/>
          <w:szCs w:val="24"/>
        </w:rPr>
        <w:t>:</w:t>
      </w:r>
    </w:p>
    <w:p w:rsidR="0024142C" w:rsidRPr="007668DF" w:rsidRDefault="0024142C" w:rsidP="006C2FA0">
      <w:pPr>
        <w:tabs>
          <w:tab w:val="left" w:pos="567"/>
          <w:tab w:val="left" w:pos="709"/>
          <w:tab w:val="left" w:pos="851"/>
        </w:tabs>
        <w:spacing w:after="0"/>
        <w:jc w:val="both"/>
        <w:rPr>
          <w:rFonts w:ascii="Times New Roman" w:eastAsia="Malgun Gothic" w:hAnsi="Times New Roman"/>
          <w:bCs/>
          <w:sz w:val="24"/>
          <w:szCs w:val="24"/>
        </w:rPr>
      </w:pPr>
    </w:p>
    <w:p w:rsidR="0024142C" w:rsidRPr="003B152B" w:rsidRDefault="0024142C" w:rsidP="003B152B">
      <w:pPr>
        <w:pStyle w:val="Subtitle"/>
        <w:numPr>
          <w:ilvl w:val="0"/>
          <w:numId w:val="49"/>
        </w:numPr>
        <w:rPr>
          <w:rFonts w:eastAsia="Malgun Gothic"/>
        </w:rPr>
      </w:pPr>
      <w:bookmarkStart w:id="30" w:name="_Toc401931509"/>
      <w:r w:rsidRPr="003B152B">
        <w:rPr>
          <w:rFonts w:eastAsia="Malgun Gothic"/>
        </w:rPr>
        <w:t xml:space="preserve">Au </w:t>
      </w:r>
      <w:r w:rsidR="007F294E" w:rsidRPr="003B152B">
        <w:rPr>
          <w:rFonts w:eastAsia="Malgun Gothic"/>
        </w:rPr>
        <w:t>g</w:t>
      </w:r>
      <w:r w:rsidRPr="003B152B">
        <w:rPr>
          <w:rFonts w:eastAsia="Malgun Gothic"/>
        </w:rPr>
        <w:t>ouvernement du Mali</w:t>
      </w:r>
      <w:bookmarkEnd w:id="30"/>
    </w:p>
    <w:p w:rsidR="0024142C" w:rsidRPr="007668DF" w:rsidRDefault="0024142C" w:rsidP="006C2FA0">
      <w:pPr>
        <w:tabs>
          <w:tab w:val="left" w:pos="567"/>
          <w:tab w:val="left" w:pos="709"/>
          <w:tab w:val="left" w:pos="851"/>
        </w:tabs>
        <w:spacing w:after="0"/>
        <w:jc w:val="both"/>
        <w:rPr>
          <w:rFonts w:ascii="Times New Roman" w:eastAsia="Malgun Gothic" w:hAnsi="Times New Roman"/>
          <w:b/>
          <w:bCs/>
          <w:sz w:val="24"/>
          <w:szCs w:val="24"/>
        </w:rPr>
      </w:pPr>
      <w:r w:rsidRPr="007668DF">
        <w:rPr>
          <w:rFonts w:ascii="Times New Roman" w:eastAsia="Malgun Gothic" w:hAnsi="Times New Roman"/>
          <w:b/>
          <w:bCs/>
          <w:sz w:val="24"/>
          <w:szCs w:val="24"/>
        </w:rPr>
        <w:t>•</w:t>
      </w:r>
      <w:r w:rsidRPr="007668DF">
        <w:rPr>
          <w:rFonts w:ascii="Times New Roman" w:eastAsia="Malgun Gothic" w:hAnsi="Times New Roman"/>
          <w:b/>
          <w:bCs/>
          <w:sz w:val="24"/>
          <w:szCs w:val="24"/>
        </w:rPr>
        <w:tab/>
      </w:r>
      <w:r w:rsidR="00635C30" w:rsidRPr="007668DF">
        <w:rPr>
          <w:rFonts w:ascii="Times New Roman" w:eastAsia="Malgun Gothic" w:hAnsi="Times New Roman"/>
          <w:b/>
          <w:bCs/>
          <w:sz w:val="24"/>
          <w:szCs w:val="24"/>
        </w:rPr>
        <w:t>S’engager pleinement dans</w:t>
      </w:r>
      <w:r w:rsidR="009356DD" w:rsidRPr="007668DF">
        <w:rPr>
          <w:rFonts w:ascii="Times New Roman" w:eastAsia="Malgun Gothic" w:hAnsi="Times New Roman"/>
          <w:b/>
          <w:bCs/>
          <w:sz w:val="24"/>
          <w:szCs w:val="24"/>
        </w:rPr>
        <w:t xml:space="preserve"> </w:t>
      </w:r>
      <w:r w:rsidRPr="007668DF">
        <w:rPr>
          <w:rFonts w:ascii="Times New Roman" w:eastAsia="Malgun Gothic" w:hAnsi="Times New Roman"/>
          <w:b/>
          <w:bCs/>
          <w:sz w:val="24"/>
          <w:szCs w:val="24"/>
        </w:rPr>
        <w:t>le processus de</w:t>
      </w:r>
      <w:r w:rsidR="007E4807" w:rsidRPr="007668DF">
        <w:rPr>
          <w:rFonts w:ascii="Times New Roman" w:eastAsia="Malgun Gothic" w:hAnsi="Times New Roman"/>
          <w:b/>
          <w:bCs/>
          <w:sz w:val="24"/>
          <w:szCs w:val="24"/>
        </w:rPr>
        <w:t>s</w:t>
      </w:r>
      <w:r w:rsidRPr="007668DF">
        <w:rPr>
          <w:rFonts w:ascii="Times New Roman" w:eastAsia="Malgun Gothic" w:hAnsi="Times New Roman"/>
          <w:b/>
          <w:bCs/>
          <w:sz w:val="24"/>
          <w:szCs w:val="24"/>
        </w:rPr>
        <w:t xml:space="preserve"> négociations politique</w:t>
      </w:r>
      <w:r w:rsidR="007E4807" w:rsidRPr="007668DF">
        <w:rPr>
          <w:rFonts w:ascii="Times New Roman" w:eastAsia="Malgun Gothic" w:hAnsi="Times New Roman"/>
          <w:b/>
          <w:bCs/>
          <w:sz w:val="24"/>
          <w:szCs w:val="24"/>
        </w:rPr>
        <w:t>s</w:t>
      </w:r>
      <w:r w:rsidRPr="007668DF">
        <w:rPr>
          <w:rFonts w:ascii="Times New Roman" w:eastAsia="Malgun Gothic" w:hAnsi="Times New Roman"/>
          <w:b/>
          <w:bCs/>
          <w:sz w:val="24"/>
          <w:szCs w:val="24"/>
        </w:rPr>
        <w:t xml:space="preserve"> et de restauration de la justice et de l’Etat de droit sur l’ensemble du territoire</w:t>
      </w:r>
      <w:r w:rsidR="0048703A">
        <w:rPr>
          <w:rFonts w:ascii="Times New Roman" w:eastAsia="Malgun Gothic" w:hAnsi="Times New Roman"/>
          <w:b/>
          <w:bCs/>
          <w:sz w:val="24"/>
          <w:szCs w:val="24"/>
        </w:rPr>
        <w:t>;</w:t>
      </w:r>
    </w:p>
    <w:p w:rsidR="0024142C" w:rsidRPr="007668DF" w:rsidRDefault="0024142C" w:rsidP="006C2FA0">
      <w:pPr>
        <w:tabs>
          <w:tab w:val="left" w:pos="567"/>
          <w:tab w:val="left" w:pos="709"/>
          <w:tab w:val="left" w:pos="851"/>
        </w:tabs>
        <w:spacing w:after="0"/>
        <w:jc w:val="both"/>
        <w:rPr>
          <w:rFonts w:ascii="Times New Roman" w:eastAsia="Malgun Gothic" w:hAnsi="Times New Roman"/>
          <w:b/>
          <w:bCs/>
          <w:sz w:val="24"/>
          <w:szCs w:val="24"/>
        </w:rPr>
      </w:pPr>
    </w:p>
    <w:p w:rsidR="0024142C" w:rsidRPr="007668DF" w:rsidRDefault="0024142C" w:rsidP="006C2FA0">
      <w:pPr>
        <w:tabs>
          <w:tab w:val="left" w:pos="567"/>
          <w:tab w:val="left" w:pos="709"/>
          <w:tab w:val="left" w:pos="851"/>
        </w:tabs>
        <w:spacing w:after="0"/>
        <w:jc w:val="both"/>
        <w:rPr>
          <w:rFonts w:ascii="Times New Roman" w:eastAsia="Malgun Gothic" w:hAnsi="Times New Roman"/>
          <w:b/>
          <w:bCs/>
          <w:sz w:val="24"/>
          <w:szCs w:val="24"/>
        </w:rPr>
      </w:pPr>
      <w:r w:rsidRPr="007668DF">
        <w:rPr>
          <w:rFonts w:ascii="Times New Roman" w:eastAsia="Malgun Gothic" w:hAnsi="Times New Roman"/>
          <w:b/>
          <w:bCs/>
          <w:sz w:val="24"/>
          <w:szCs w:val="24"/>
        </w:rPr>
        <w:t>•</w:t>
      </w:r>
      <w:r w:rsidRPr="007668DF">
        <w:rPr>
          <w:rFonts w:ascii="Times New Roman" w:eastAsia="Malgun Gothic" w:hAnsi="Times New Roman"/>
          <w:b/>
          <w:bCs/>
          <w:sz w:val="24"/>
          <w:szCs w:val="24"/>
        </w:rPr>
        <w:tab/>
      </w:r>
      <w:r w:rsidR="00D426B4" w:rsidRPr="007668DF">
        <w:rPr>
          <w:rFonts w:ascii="Times New Roman" w:eastAsia="Malgun Gothic" w:hAnsi="Times New Roman"/>
          <w:b/>
          <w:bCs/>
          <w:sz w:val="24"/>
          <w:szCs w:val="24"/>
        </w:rPr>
        <w:t>D</w:t>
      </w:r>
      <w:r w:rsidRPr="007668DF">
        <w:rPr>
          <w:rFonts w:ascii="Times New Roman" w:eastAsia="Malgun Gothic" w:hAnsi="Times New Roman"/>
          <w:b/>
          <w:bCs/>
          <w:sz w:val="24"/>
          <w:szCs w:val="24"/>
        </w:rPr>
        <w:t>éployer et équiper les forces de sécurité de moyens conventionnels suffisants et appropriés pour assurer la protection des civils</w:t>
      </w:r>
      <w:r w:rsidR="007F294E" w:rsidRPr="007668DF">
        <w:rPr>
          <w:rFonts w:ascii="Times New Roman" w:eastAsia="Malgun Gothic" w:hAnsi="Times New Roman"/>
          <w:b/>
          <w:bCs/>
          <w:sz w:val="24"/>
          <w:szCs w:val="24"/>
        </w:rPr>
        <w:t xml:space="preserve"> sur l’ensemble du territoire</w:t>
      </w:r>
      <w:r w:rsidRPr="007668DF">
        <w:rPr>
          <w:rFonts w:ascii="Times New Roman" w:eastAsia="Malgun Gothic" w:hAnsi="Times New Roman"/>
          <w:b/>
          <w:bCs/>
          <w:sz w:val="24"/>
          <w:szCs w:val="24"/>
        </w:rPr>
        <w:t>;</w:t>
      </w:r>
    </w:p>
    <w:p w:rsidR="00F01761" w:rsidRPr="007668DF" w:rsidRDefault="00F01761" w:rsidP="006C2FA0">
      <w:pPr>
        <w:tabs>
          <w:tab w:val="left" w:pos="567"/>
          <w:tab w:val="left" w:pos="709"/>
          <w:tab w:val="left" w:pos="851"/>
        </w:tabs>
        <w:spacing w:after="0"/>
        <w:jc w:val="both"/>
        <w:rPr>
          <w:rFonts w:ascii="Times New Roman" w:eastAsia="Malgun Gothic" w:hAnsi="Times New Roman"/>
          <w:b/>
          <w:bCs/>
          <w:sz w:val="24"/>
          <w:szCs w:val="24"/>
        </w:rPr>
      </w:pPr>
    </w:p>
    <w:p w:rsidR="00F01761" w:rsidRPr="007668DF" w:rsidRDefault="00C46032" w:rsidP="00C46032">
      <w:pPr>
        <w:tabs>
          <w:tab w:val="left" w:pos="0"/>
          <w:tab w:val="left" w:pos="567"/>
          <w:tab w:val="left" w:pos="851"/>
        </w:tabs>
        <w:spacing w:after="0"/>
        <w:jc w:val="both"/>
        <w:rPr>
          <w:rFonts w:ascii="Times New Roman" w:eastAsia="Malgun Gothic" w:hAnsi="Times New Roman"/>
          <w:b/>
          <w:bCs/>
          <w:sz w:val="24"/>
          <w:szCs w:val="24"/>
        </w:rPr>
      </w:pPr>
      <w:r w:rsidRPr="007668DF">
        <w:rPr>
          <w:rFonts w:ascii="Times New Roman" w:eastAsia="Malgun Gothic" w:hAnsi="Times New Roman"/>
          <w:b/>
          <w:bCs/>
          <w:sz w:val="24"/>
          <w:szCs w:val="24"/>
        </w:rPr>
        <w:t>•</w:t>
      </w:r>
      <w:r>
        <w:rPr>
          <w:rFonts w:ascii="Times New Roman" w:eastAsia="Malgun Gothic" w:hAnsi="Times New Roman"/>
          <w:b/>
          <w:bCs/>
          <w:sz w:val="24"/>
          <w:szCs w:val="24"/>
        </w:rPr>
        <w:tab/>
      </w:r>
      <w:r w:rsidR="00F01761" w:rsidRPr="007668DF">
        <w:rPr>
          <w:rFonts w:ascii="Times New Roman" w:eastAsia="Malgun Gothic" w:hAnsi="Times New Roman"/>
          <w:b/>
          <w:bCs/>
          <w:sz w:val="24"/>
          <w:szCs w:val="24"/>
        </w:rPr>
        <w:t xml:space="preserve">Assurer la sécurité des populations, particulièrement celles des régions du Nord, contre les attaques  des groupes armés, </w:t>
      </w:r>
      <w:r w:rsidR="00AE0046">
        <w:rPr>
          <w:rFonts w:ascii="Times New Roman" w:eastAsia="Malgun Gothic" w:hAnsi="Times New Roman"/>
          <w:b/>
          <w:bCs/>
          <w:sz w:val="24"/>
          <w:szCs w:val="24"/>
        </w:rPr>
        <w:t>en particulier</w:t>
      </w:r>
      <w:r w:rsidR="00AE0046" w:rsidRPr="007668DF">
        <w:rPr>
          <w:rFonts w:ascii="Times New Roman" w:eastAsia="Malgun Gothic" w:hAnsi="Times New Roman"/>
          <w:b/>
          <w:bCs/>
          <w:sz w:val="24"/>
          <w:szCs w:val="24"/>
        </w:rPr>
        <w:t xml:space="preserve"> </w:t>
      </w:r>
      <w:r w:rsidR="00F01761" w:rsidRPr="007668DF">
        <w:rPr>
          <w:rFonts w:ascii="Times New Roman" w:eastAsia="Malgun Gothic" w:hAnsi="Times New Roman"/>
          <w:b/>
          <w:bCs/>
          <w:sz w:val="24"/>
          <w:szCs w:val="24"/>
        </w:rPr>
        <w:t xml:space="preserve">des </w:t>
      </w:r>
      <w:r w:rsidR="00AE0046">
        <w:rPr>
          <w:rFonts w:ascii="Times New Roman" w:eastAsia="Malgun Gothic" w:hAnsi="Times New Roman"/>
          <w:b/>
          <w:bCs/>
          <w:sz w:val="24"/>
          <w:szCs w:val="24"/>
        </w:rPr>
        <w:t xml:space="preserve">groupes </w:t>
      </w:r>
      <w:r w:rsidR="00F47D98">
        <w:rPr>
          <w:rFonts w:ascii="Times New Roman" w:eastAsia="Malgun Gothic" w:hAnsi="Times New Roman"/>
          <w:b/>
          <w:bCs/>
          <w:sz w:val="24"/>
          <w:szCs w:val="24"/>
        </w:rPr>
        <w:t xml:space="preserve">armés </w:t>
      </w:r>
      <w:r w:rsidR="00D049C0">
        <w:rPr>
          <w:rFonts w:ascii="Times New Roman" w:eastAsia="Malgun Gothic" w:hAnsi="Times New Roman"/>
          <w:b/>
          <w:bCs/>
          <w:sz w:val="24"/>
          <w:szCs w:val="24"/>
        </w:rPr>
        <w:t>extrémistes</w:t>
      </w:r>
      <w:r w:rsidR="00F01761" w:rsidRPr="007668DF">
        <w:rPr>
          <w:rFonts w:ascii="Times New Roman" w:eastAsia="Malgun Gothic" w:hAnsi="Times New Roman"/>
          <w:b/>
          <w:bCs/>
          <w:sz w:val="24"/>
          <w:szCs w:val="24"/>
        </w:rPr>
        <w:t xml:space="preserve"> (MUJAO, AQMI, Ansar Dine), et les actes de banditisme et de criminalité </w:t>
      </w:r>
      <w:r w:rsidR="00AE0046">
        <w:rPr>
          <w:rFonts w:ascii="Times New Roman" w:eastAsia="Malgun Gothic" w:hAnsi="Times New Roman"/>
          <w:b/>
          <w:bCs/>
          <w:sz w:val="24"/>
          <w:szCs w:val="24"/>
        </w:rPr>
        <w:t>organisée</w:t>
      </w:r>
      <w:r w:rsidR="00F01761" w:rsidRPr="007668DF">
        <w:rPr>
          <w:rFonts w:ascii="Times New Roman" w:eastAsia="Malgun Gothic" w:hAnsi="Times New Roman"/>
          <w:b/>
          <w:bCs/>
          <w:sz w:val="24"/>
          <w:szCs w:val="24"/>
        </w:rPr>
        <w:t>;</w:t>
      </w:r>
    </w:p>
    <w:p w:rsidR="00F01761" w:rsidRPr="007668DF" w:rsidRDefault="00F01761" w:rsidP="006C2FA0">
      <w:pPr>
        <w:tabs>
          <w:tab w:val="left" w:pos="567"/>
          <w:tab w:val="left" w:pos="709"/>
          <w:tab w:val="left" w:pos="851"/>
        </w:tabs>
        <w:spacing w:after="0"/>
        <w:jc w:val="both"/>
        <w:rPr>
          <w:rFonts w:ascii="Times New Roman" w:eastAsia="Malgun Gothic" w:hAnsi="Times New Roman"/>
          <w:b/>
          <w:bCs/>
          <w:sz w:val="24"/>
          <w:szCs w:val="24"/>
        </w:rPr>
      </w:pPr>
    </w:p>
    <w:p w:rsidR="0048358C" w:rsidRPr="007668DF" w:rsidRDefault="0048358C" w:rsidP="006C2FA0">
      <w:pPr>
        <w:tabs>
          <w:tab w:val="left" w:pos="567"/>
          <w:tab w:val="left" w:pos="709"/>
          <w:tab w:val="left" w:pos="851"/>
        </w:tabs>
        <w:spacing w:after="0"/>
        <w:jc w:val="both"/>
        <w:rPr>
          <w:rFonts w:ascii="Times New Roman" w:eastAsia="Malgun Gothic" w:hAnsi="Times New Roman"/>
          <w:b/>
          <w:bCs/>
          <w:sz w:val="24"/>
          <w:szCs w:val="24"/>
        </w:rPr>
      </w:pPr>
      <w:r w:rsidRPr="007668DF">
        <w:rPr>
          <w:rFonts w:ascii="Times New Roman" w:eastAsia="Malgun Gothic" w:hAnsi="Times New Roman"/>
          <w:b/>
          <w:bCs/>
          <w:sz w:val="24"/>
          <w:szCs w:val="24"/>
        </w:rPr>
        <w:lastRenderedPageBreak/>
        <w:t>•</w:t>
      </w:r>
      <w:r w:rsidRPr="007668DF">
        <w:rPr>
          <w:rFonts w:ascii="Times New Roman" w:eastAsia="Malgun Gothic" w:hAnsi="Times New Roman"/>
          <w:b/>
          <w:bCs/>
          <w:sz w:val="24"/>
          <w:szCs w:val="24"/>
        </w:rPr>
        <w:tab/>
      </w:r>
      <w:r w:rsidR="00D426B4" w:rsidRPr="007668DF">
        <w:rPr>
          <w:rFonts w:ascii="Times New Roman" w:eastAsia="Malgun Gothic" w:hAnsi="Times New Roman"/>
          <w:b/>
          <w:bCs/>
          <w:sz w:val="24"/>
          <w:szCs w:val="24"/>
        </w:rPr>
        <w:t>A</w:t>
      </w:r>
      <w:r w:rsidR="003C54D5" w:rsidRPr="007668DF">
        <w:rPr>
          <w:rFonts w:ascii="Times New Roman" w:eastAsia="Malgun Gothic" w:hAnsi="Times New Roman"/>
          <w:b/>
          <w:bCs/>
          <w:sz w:val="24"/>
          <w:szCs w:val="24"/>
        </w:rPr>
        <w:t xml:space="preserve">méliorer les conditions de détention et, dans un souci de transparence et de bonne coopération avec la MINUSMA, </w:t>
      </w:r>
      <w:r w:rsidRPr="007668DF">
        <w:rPr>
          <w:rFonts w:ascii="Times New Roman" w:eastAsia="Malgun Gothic" w:hAnsi="Times New Roman"/>
          <w:b/>
          <w:bCs/>
          <w:sz w:val="24"/>
          <w:szCs w:val="24"/>
        </w:rPr>
        <w:t xml:space="preserve">garantir à la Division des droits de l’homme de la MINUSMA le plein accès </w:t>
      </w:r>
      <w:r w:rsidR="004E1CDE" w:rsidRPr="007668DF">
        <w:rPr>
          <w:rFonts w:ascii="Times New Roman" w:eastAsia="Malgun Gothic" w:hAnsi="Times New Roman"/>
          <w:b/>
          <w:bCs/>
          <w:sz w:val="24"/>
          <w:szCs w:val="24"/>
        </w:rPr>
        <w:t xml:space="preserve">aux lieux de détention sous le contrôle de la </w:t>
      </w:r>
      <w:r w:rsidRPr="007668DF">
        <w:rPr>
          <w:rFonts w:ascii="Times New Roman" w:eastAsia="Malgun Gothic" w:hAnsi="Times New Roman"/>
          <w:b/>
          <w:bCs/>
          <w:sz w:val="24"/>
          <w:szCs w:val="24"/>
        </w:rPr>
        <w:t xml:space="preserve">Sécurité d’Etat afin de </w:t>
      </w:r>
      <w:r w:rsidR="007F294E" w:rsidRPr="007668DF">
        <w:rPr>
          <w:rFonts w:ascii="Times New Roman" w:eastAsia="Malgun Gothic" w:hAnsi="Times New Roman"/>
          <w:b/>
          <w:bCs/>
          <w:sz w:val="24"/>
          <w:szCs w:val="24"/>
        </w:rPr>
        <w:t>lui permettre d’</w:t>
      </w:r>
      <w:r w:rsidRPr="007668DF">
        <w:rPr>
          <w:rFonts w:ascii="Times New Roman" w:eastAsia="Malgun Gothic" w:hAnsi="Times New Roman"/>
          <w:b/>
          <w:bCs/>
          <w:sz w:val="24"/>
          <w:szCs w:val="24"/>
        </w:rPr>
        <w:t>évaluer les conditions de détentio</w:t>
      </w:r>
      <w:r w:rsidR="003B324D" w:rsidRPr="007668DF">
        <w:rPr>
          <w:rFonts w:ascii="Times New Roman" w:eastAsia="Malgun Gothic" w:hAnsi="Times New Roman"/>
          <w:b/>
          <w:bCs/>
          <w:sz w:val="24"/>
          <w:szCs w:val="24"/>
        </w:rPr>
        <w:t>n et de traitement des détenus</w:t>
      </w:r>
      <w:r w:rsidRPr="007668DF">
        <w:rPr>
          <w:rFonts w:ascii="Times New Roman" w:eastAsia="Malgun Gothic" w:hAnsi="Times New Roman"/>
          <w:b/>
          <w:bCs/>
          <w:sz w:val="24"/>
          <w:szCs w:val="24"/>
        </w:rPr>
        <w:t>;</w:t>
      </w:r>
    </w:p>
    <w:p w:rsidR="0024142C" w:rsidRPr="007668DF" w:rsidRDefault="0024142C" w:rsidP="006C2FA0">
      <w:pPr>
        <w:tabs>
          <w:tab w:val="left" w:pos="567"/>
          <w:tab w:val="left" w:pos="709"/>
          <w:tab w:val="left" w:pos="851"/>
        </w:tabs>
        <w:spacing w:after="0"/>
        <w:jc w:val="both"/>
        <w:rPr>
          <w:rFonts w:ascii="Times New Roman" w:eastAsia="Malgun Gothic" w:hAnsi="Times New Roman"/>
          <w:b/>
          <w:bCs/>
          <w:sz w:val="24"/>
          <w:szCs w:val="24"/>
        </w:rPr>
      </w:pPr>
    </w:p>
    <w:p w:rsidR="00CC127D" w:rsidRPr="00216DBC" w:rsidRDefault="0024142C" w:rsidP="00216DBC">
      <w:pPr>
        <w:pStyle w:val="ListParagraph"/>
        <w:tabs>
          <w:tab w:val="left" w:pos="567"/>
          <w:tab w:val="left" w:pos="1134"/>
        </w:tabs>
        <w:ind w:left="0"/>
        <w:jc w:val="both"/>
        <w:rPr>
          <w:rFonts w:ascii="Times New Roman" w:eastAsia="Malgun Gothic" w:hAnsi="Times New Roman"/>
          <w:i/>
          <w:color w:val="000000"/>
          <w:sz w:val="24"/>
          <w:szCs w:val="24"/>
          <w:lang w:eastAsia="en-GB"/>
        </w:rPr>
      </w:pPr>
      <w:r w:rsidRPr="007668DF">
        <w:rPr>
          <w:rFonts w:ascii="Times New Roman" w:eastAsia="Malgun Gothic" w:hAnsi="Times New Roman"/>
          <w:b/>
          <w:bCs/>
          <w:sz w:val="24"/>
          <w:szCs w:val="24"/>
        </w:rPr>
        <w:t>•</w:t>
      </w:r>
      <w:r w:rsidRPr="007668DF">
        <w:rPr>
          <w:rFonts w:ascii="Times New Roman" w:eastAsia="Malgun Gothic" w:hAnsi="Times New Roman"/>
          <w:b/>
          <w:bCs/>
          <w:sz w:val="24"/>
          <w:szCs w:val="24"/>
        </w:rPr>
        <w:tab/>
      </w:r>
      <w:r w:rsidR="00D426B4" w:rsidRPr="007668DF">
        <w:rPr>
          <w:rFonts w:ascii="Times New Roman" w:eastAsia="Malgun Gothic" w:hAnsi="Times New Roman"/>
          <w:b/>
          <w:bCs/>
          <w:sz w:val="24"/>
          <w:szCs w:val="24"/>
        </w:rPr>
        <w:t>M</w:t>
      </w:r>
      <w:r w:rsidRPr="007668DF">
        <w:rPr>
          <w:rFonts w:ascii="Times New Roman" w:eastAsia="Malgun Gothic" w:hAnsi="Times New Roman"/>
          <w:b/>
          <w:bCs/>
          <w:sz w:val="24"/>
          <w:szCs w:val="24"/>
        </w:rPr>
        <w:t xml:space="preserve">ener des enquêtes </w:t>
      </w:r>
      <w:r w:rsidR="00AE0046">
        <w:rPr>
          <w:rFonts w:ascii="Times New Roman" w:eastAsia="Malgun Gothic" w:hAnsi="Times New Roman"/>
          <w:b/>
          <w:bCs/>
          <w:sz w:val="24"/>
          <w:szCs w:val="24"/>
        </w:rPr>
        <w:t xml:space="preserve">approfondies, </w:t>
      </w:r>
      <w:r w:rsidR="007F294E" w:rsidRPr="007668DF">
        <w:rPr>
          <w:rFonts w:ascii="Times New Roman" w:eastAsia="Malgun Gothic" w:hAnsi="Times New Roman"/>
          <w:b/>
          <w:bCs/>
          <w:sz w:val="24"/>
          <w:szCs w:val="24"/>
        </w:rPr>
        <w:t>prompt</w:t>
      </w:r>
      <w:r w:rsidR="00F3688B">
        <w:rPr>
          <w:rFonts w:ascii="Times New Roman" w:eastAsia="Malgun Gothic" w:hAnsi="Times New Roman"/>
          <w:b/>
          <w:bCs/>
          <w:sz w:val="24"/>
          <w:szCs w:val="24"/>
        </w:rPr>
        <w:t>es</w:t>
      </w:r>
      <w:r w:rsidR="007F294E" w:rsidRPr="007668DF">
        <w:rPr>
          <w:rFonts w:ascii="Times New Roman" w:eastAsia="Malgun Gothic" w:hAnsi="Times New Roman"/>
          <w:b/>
          <w:bCs/>
          <w:sz w:val="24"/>
          <w:szCs w:val="24"/>
        </w:rPr>
        <w:t xml:space="preserve"> </w:t>
      </w:r>
      <w:r w:rsidRPr="007668DF">
        <w:rPr>
          <w:rFonts w:ascii="Times New Roman" w:eastAsia="Malgun Gothic" w:hAnsi="Times New Roman"/>
          <w:b/>
          <w:bCs/>
          <w:sz w:val="24"/>
          <w:szCs w:val="24"/>
        </w:rPr>
        <w:t>et impartiales sur les violations</w:t>
      </w:r>
      <w:r w:rsidR="004E1CDE" w:rsidRPr="007668DF">
        <w:rPr>
          <w:rFonts w:ascii="Times New Roman" w:eastAsia="Malgun Gothic" w:hAnsi="Times New Roman"/>
          <w:b/>
          <w:bCs/>
          <w:sz w:val="24"/>
          <w:szCs w:val="24"/>
        </w:rPr>
        <w:t xml:space="preserve"> graves</w:t>
      </w:r>
      <w:r w:rsidRPr="007668DF">
        <w:rPr>
          <w:rFonts w:ascii="Times New Roman" w:eastAsia="Malgun Gothic" w:hAnsi="Times New Roman"/>
          <w:b/>
          <w:bCs/>
          <w:sz w:val="24"/>
          <w:szCs w:val="24"/>
        </w:rPr>
        <w:t xml:space="preserve"> des droits de l’homme</w:t>
      </w:r>
      <w:r w:rsidR="004E1CDE" w:rsidRPr="007668DF">
        <w:rPr>
          <w:rFonts w:ascii="Times New Roman" w:eastAsia="Malgun Gothic" w:hAnsi="Times New Roman"/>
          <w:b/>
          <w:bCs/>
          <w:sz w:val="24"/>
          <w:szCs w:val="24"/>
        </w:rPr>
        <w:t xml:space="preserve"> et du droit international humanitaire</w:t>
      </w:r>
      <w:r w:rsidRPr="007668DF">
        <w:rPr>
          <w:rFonts w:ascii="Times New Roman" w:eastAsia="Malgun Gothic" w:hAnsi="Times New Roman"/>
          <w:b/>
          <w:bCs/>
          <w:sz w:val="24"/>
          <w:szCs w:val="24"/>
        </w:rPr>
        <w:t xml:space="preserve"> documentées, y compris les actes de torture</w:t>
      </w:r>
      <w:r w:rsidR="00B0644B">
        <w:rPr>
          <w:rFonts w:ascii="Times New Roman" w:eastAsia="Malgun Gothic" w:hAnsi="Times New Roman"/>
          <w:b/>
          <w:bCs/>
          <w:sz w:val="24"/>
          <w:szCs w:val="24"/>
        </w:rPr>
        <w:t xml:space="preserve">, de </w:t>
      </w:r>
      <w:r w:rsidR="00B0644B" w:rsidRPr="00216DBC">
        <w:rPr>
          <w:rFonts w:ascii="Times New Roman" w:eastAsia="Malgun Gothic" w:hAnsi="Times New Roman"/>
          <w:b/>
          <w:color w:val="000000"/>
          <w:sz w:val="24"/>
          <w:szCs w:val="24"/>
          <w:lang w:eastAsia="en-GB"/>
        </w:rPr>
        <w:t>traitements cruels, inhumains ou dégradants</w:t>
      </w:r>
      <w:r w:rsidR="00B0644B">
        <w:rPr>
          <w:rFonts w:ascii="Times New Roman" w:eastAsia="Malgun Gothic" w:hAnsi="Times New Roman"/>
          <w:i/>
          <w:color w:val="000000"/>
          <w:sz w:val="24"/>
          <w:szCs w:val="24"/>
          <w:lang w:eastAsia="en-GB"/>
        </w:rPr>
        <w:t xml:space="preserve"> </w:t>
      </w:r>
      <w:r w:rsidRPr="007668DF">
        <w:rPr>
          <w:rFonts w:ascii="Times New Roman" w:eastAsia="Malgun Gothic" w:hAnsi="Times New Roman"/>
          <w:b/>
          <w:bCs/>
          <w:sz w:val="24"/>
          <w:szCs w:val="24"/>
        </w:rPr>
        <w:t xml:space="preserve">infligés aux personnes arrêtées en relation avec le conflit ou en considération de leur appartenance tribale, commis par </w:t>
      </w:r>
      <w:r w:rsidR="00F01761" w:rsidRPr="007668DF">
        <w:rPr>
          <w:rFonts w:ascii="Times New Roman" w:eastAsia="Malgun Gothic" w:hAnsi="Times New Roman"/>
          <w:b/>
          <w:bCs/>
          <w:sz w:val="24"/>
          <w:szCs w:val="24"/>
        </w:rPr>
        <w:t xml:space="preserve">des </w:t>
      </w:r>
      <w:r w:rsidRPr="007668DF">
        <w:rPr>
          <w:rFonts w:ascii="Times New Roman" w:eastAsia="Malgun Gothic" w:hAnsi="Times New Roman"/>
          <w:b/>
          <w:bCs/>
          <w:sz w:val="24"/>
          <w:szCs w:val="24"/>
        </w:rPr>
        <w:t>responsables militaires et de la sécurité malienne;</w:t>
      </w:r>
    </w:p>
    <w:p w:rsidR="00AD2A85" w:rsidRPr="007668DF" w:rsidRDefault="00AD2A85" w:rsidP="006C2FA0">
      <w:pPr>
        <w:tabs>
          <w:tab w:val="left" w:pos="567"/>
          <w:tab w:val="left" w:pos="709"/>
          <w:tab w:val="left" w:pos="851"/>
        </w:tabs>
        <w:spacing w:after="0"/>
        <w:jc w:val="both"/>
        <w:rPr>
          <w:rFonts w:ascii="Times New Roman" w:eastAsia="Malgun Gothic" w:hAnsi="Times New Roman"/>
          <w:b/>
          <w:bCs/>
          <w:sz w:val="24"/>
          <w:szCs w:val="24"/>
        </w:rPr>
      </w:pPr>
    </w:p>
    <w:p w:rsidR="0024142C" w:rsidRPr="007668DF" w:rsidRDefault="0024142C" w:rsidP="006C2FA0">
      <w:pPr>
        <w:tabs>
          <w:tab w:val="left" w:pos="567"/>
          <w:tab w:val="left" w:pos="709"/>
          <w:tab w:val="left" w:pos="851"/>
        </w:tabs>
        <w:spacing w:after="0"/>
        <w:jc w:val="both"/>
        <w:rPr>
          <w:rFonts w:ascii="Times New Roman" w:eastAsia="Malgun Gothic" w:hAnsi="Times New Roman"/>
          <w:b/>
          <w:bCs/>
          <w:sz w:val="24"/>
          <w:szCs w:val="24"/>
        </w:rPr>
      </w:pPr>
      <w:r w:rsidRPr="007668DF">
        <w:rPr>
          <w:rFonts w:ascii="Times New Roman" w:eastAsia="Malgun Gothic" w:hAnsi="Times New Roman"/>
          <w:b/>
          <w:bCs/>
          <w:sz w:val="24"/>
          <w:szCs w:val="24"/>
        </w:rPr>
        <w:t>•</w:t>
      </w:r>
      <w:r w:rsidRPr="007668DF">
        <w:rPr>
          <w:rFonts w:ascii="Times New Roman" w:eastAsia="Malgun Gothic" w:hAnsi="Times New Roman"/>
          <w:b/>
          <w:bCs/>
          <w:sz w:val="24"/>
          <w:szCs w:val="24"/>
        </w:rPr>
        <w:tab/>
      </w:r>
      <w:r w:rsidR="00F01761" w:rsidRPr="007668DF">
        <w:rPr>
          <w:rFonts w:ascii="Times New Roman" w:eastAsia="Malgun Gothic" w:hAnsi="Times New Roman"/>
          <w:b/>
          <w:bCs/>
          <w:sz w:val="24"/>
          <w:szCs w:val="24"/>
        </w:rPr>
        <w:t>Promptement i</w:t>
      </w:r>
      <w:r w:rsidRPr="007668DF">
        <w:rPr>
          <w:rFonts w:ascii="Times New Roman" w:eastAsia="Malgun Gothic" w:hAnsi="Times New Roman"/>
          <w:b/>
          <w:bCs/>
          <w:sz w:val="24"/>
          <w:szCs w:val="24"/>
        </w:rPr>
        <w:t>ni</w:t>
      </w:r>
      <w:r w:rsidR="004E1CDE" w:rsidRPr="007668DF">
        <w:rPr>
          <w:rFonts w:ascii="Times New Roman" w:eastAsia="Malgun Gothic" w:hAnsi="Times New Roman"/>
          <w:b/>
          <w:bCs/>
          <w:sz w:val="24"/>
          <w:szCs w:val="24"/>
        </w:rPr>
        <w:t xml:space="preserve">tier des enquêtes </w:t>
      </w:r>
      <w:r w:rsidR="00AE0046">
        <w:rPr>
          <w:rFonts w:ascii="Times New Roman" w:eastAsia="Malgun Gothic" w:hAnsi="Times New Roman"/>
          <w:b/>
          <w:bCs/>
          <w:sz w:val="24"/>
          <w:szCs w:val="24"/>
        </w:rPr>
        <w:t xml:space="preserve">approfondies, </w:t>
      </w:r>
      <w:r w:rsidRPr="007668DF">
        <w:rPr>
          <w:rFonts w:ascii="Times New Roman" w:eastAsia="Malgun Gothic" w:hAnsi="Times New Roman"/>
          <w:b/>
          <w:bCs/>
          <w:sz w:val="24"/>
          <w:szCs w:val="24"/>
        </w:rPr>
        <w:t>impartiales</w:t>
      </w:r>
      <w:r w:rsidR="004E1CDE" w:rsidRPr="007668DF">
        <w:rPr>
          <w:rFonts w:ascii="Times New Roman" w:eastAsia="Malgun Gothic" w:hAnsi="Times New Roman"/>
          <w:b/>
          <w:bCs/>
          <w:sz w:val="24"/>
          <w:szCs w:val="24"/>
        </w:rPr>
        <w:t xml:space="preserve"> et crédibles</w:t>
      </w:r>
      <w:r w:rsidRPr="007668DF">
        <w:rPr>
          <w:rFonts w:ascii="Times New Roman" w:eastAsia="Malgun Gothic" w:hAnsi="Times New Roman"/>
          <w:b/>
          <w:bCs/>
          <w:sz w:val="24"/>
          <w:szCs w:val="24"/>
        </w:rPr>
        <w:t xml:space="preserve"> sur les actes de violence et de destruction perpétrés par des civils lors des conflits intercommunautaires</w:t>
      </w:r>
      <w:r w:rsidR="00F01761" w:rsidRPr="007668DF">
        <w:rPr>
          <w:rFonts w:ascii="Times New Roman" w:eastAsia="Malgun Gothic" w:hAnsi="Times New Roman"/>
          <w:b/>
          <w:bCs/>
          <w:sz w:val="24"/>
          <w:szCs w:val="24"/>
        </w:rPr>
        <w:t>,</w:t>
      </w:r>
      <w:r w:rsidRPr="007668DF">
        <w:rPr>
          <w:rFonts w:ascii="Times New Roman" w:eastAsia="Malgun Gothic" w:hAnsi="Times New Roman"/>
          <w:b/>
          <w:bCs/>
          <w:sz w:val="24"/>
          <w:szCs w:val="24"/>
        </w:rPr>
        <w:t xml:space="preserve"> et poursuivre leurs auteurs</w:t>
      </w:r>
      <w:r w:rsidR="00F01761" w:rsidRPr="007668DF">
        <w:rPr>
          <w:rFonts w:ascii="Times New Roman" w:eastAsia="Malgun Gothic" w:hAnsi="Times New Roman"/>
          <w:b/>
          <w:bCs/>
          <w:sz w:val="24"/>
          <w:szCs w:val="24"/>
        </w:rPr>
        <w:t xml:space="preserve"> en justice</w:t>
      </w:r>
      <w:r w:rsidRPr="007668DF">
        <w:rPr>
          <w:rFonts w:ascii="Times New Roman" w:eastAsia="Malgun Gothic" w:hAnsi="Times New Roman"/>
          <w:b/>
          <w:bCs/>
          <w:sz w:val="24"/>
          <w:szCs w:val="24"/>
        </w:rPr>
        <w:t xml:space="preserve">; </w:t>
      </w:r>
    </w:p>
    <w:p w:rsidR="0024142C" w:rsidRPr="007668DF" w:rsidRDefault="0024142C" w:rsidP="006C2FA0">
      <w:pPr>
        <w:tabs>
          <w:tab w:val="left" w:pos="567"/>
          <w:tab w:val="left" w:pos="709"/>
          <w:tab w:val="left" w:pos="851"/>
        </w:tabs>
        <w:spacing w:after="0"/>
        <w:jc w:val="both"/>
        <w:rPr>
          <w:rFonts w:ascii="Times New Roman" w:eastAsia="Malgun Gothic" w:hAnsi="Times New Roman"/>
          <w:b/>
          <w:bCs/>
          <w:sz w:val="24"/>
          <w:szCs w:val="24"/>
        </w:rPr>
      </w:pPr>
    </w:p>
    <w:p w:rsidR="0024142C" w:rsidRPr="007668DF" w:rsidRDefault="0024142C" w:rsidP="006C2FA0">
      <w:pPr>
        <w:tabs>
          <w:tab w:val="left" w:pos="567"/>
          <w:tab w:val="left" w:pos="709"/>
          <w:tab w:val="left" w:pos="851"/>
        </w:tabs>
        <w:spacing w:after="0"/>
        <w:jc w:val="both"/>
        <w:rPr>
          <w:rFonts w:ascii="Times New Roman" w:eastAsia="Malgun Gothic" w:hAnsi="Times New Roman"/>
          <w:b/>
          <w:bCs/>
          <w:sz w:val="24"/>
          <w:szCs w:val="24"/>
        </w:rPr>
      </w:pPr>
      <w:r w:rsidRPr="007668DF">
        <w:rPr>
          <w:rFonts w:ascii="Times New Roman" w:eastAsia="Malgun Gothic" w:hAnsi="Times New Roman"/>
          <w:b/>
          <w:bCs/>
          <w:sz w:val="24"/>
          <w:szCs w:val="24"/>
        </w:rPr>
        <w:t>•</w:t>
      </w:r>
      <w:r w:rsidRPr="007668DF">
        <w:rPr>
          <w:rFonts w:ascii="Times New Roman" w:eastAsia="Malgun Gothic" w:hAnsi="Times New Roman"/>
          <w:b/>
          <w:bCs/>
          <w:sz w:val="24"/>
          <w:szCs w:val="24"/>
        </w:rPr>
        <w:tab/>
      </w:r>
      <w:r w:rsidR="00D426B4" w:rsidRPr="007668DF">
        <w:rPr>
          <w:rFonts w:ascii="Times New Roman" w:eastAsia="Malgun Gothic" w:hAnsi="Times New Roman"/>
          <w:b/>
          <w:bCs/>
          <w:sz w:val="24"/>
          <w:szCs w:val="24"/>
        </w:rPr>
        <w:t>P</w:t>
      </w:r>
      <w:r w:rsidRPr="007668DF">
        <w:rPr>
          <w:rFonts w:ascii="Times New Roman" w:eastAsia="Malgun Gothic" w:hAnsi="Times New Roman"/>
          <w:b/>
          <w:bCs/>
          <w:sz w:val="24"/>
          <w:szCs w:val="24"/>
        </w:rPr>
        <w:t>oursuivre l’objectif de lutte contre l’impunité</w:t>
      </w:r>
      <w:r w:rsidR="00AE0046">
        <w:rPr>
          <w:rFonts w:ascii="Times New Roman" w:eastAsia="Malgun Gothic" w:hAnsi="Times New Roman"/>
          <w:b/>
          <w:bCs/>
          <w:sz w:val="24"/>
          <w:szCs w:val="24"/>
        </w:rPr>
        <w:t>, notamment</w:t>
      </w:r>
      <w:r w:rsidRPr="007668DF">
        <w:rPr>
          <w:rFonts w:ascii="Times New Roman" w:eastAsia="Malgun Gothic" w:hAnsi="Times New Roman"/>
          <w:b/>
          <w:bCs/>
          <w:sz w:val="24"/>
          <w:szCs w:val="24"/>
        </w:rPr>
        <w:t xml:space="preserve"> en accélérant les procédures judiciaires en cours contre les présumés auteurs des violations et abus des droits de l’homme </w:t>
      </w:r>
      <w:r w:rsidR="00205C24" w:rsidRPr="007668DF">
        <w:rPr>
          <w:rFonts w:ascii="Times New Roman" w:eastAsia="Malgun Gothic" w:hAnsi="Times New Roman"/>
          <w:b/>
          <w:bCs/>
          <w:sz w:val="24"/>
          <w:szCs w:val="24"/>
        </w:rPr>
        <w:t>et d</w:t>
      </w:r>
      <w:r w:rsidR="00B0644B">
        <w:rPr>
          <w:rFonts w:ascii="Times New Roman" w:eastAsia="Malgun Gothic" w:hAnsi="Times New Roman"/>
          <w:b/>
          <w:bCs/>
          <w:sz w:val="24"/>
          <w:szCs w:val="24"/>
        </w:rPr>
        <w:t>u</w:t>
      </w:r>
      <w:r w:rsidR="00205C24" w:rsidRPr="007668DF">
        <w:rPr>
          <w:rFonts w:ascii="Times New Roman" w:eastAsia="Malgun Gothic" w:hAnsi="Times New Roman"/>
          <w:b/>
          <w:bCs/>
          <w:sz w:val="24"/>
          <w:szCs w:val="24"/>
        </w:rPr>
        <w:t xml:space="preserve"> droit international </w:t>
      </w:r>
      <w:r w:rsidR="00205C24" w:rsidRPr="007668DF">
        <w:rPr>
          <w:rFonts w:ascii="Times New Roman" w:eastAsia="Malgun Gothic" w:hAnsi="Times New Roman"/>
          <w:b/>
          <w:bCs/>
          <w:sz w:val="24"/>
          <w:szCs w:val="24"/>
        </w:rPr>
        <w:lastRenderedPageBreak/>
        <w:t>humanitaire</w:t>
      </w:r>
      <w:r w:rsidR="00F01761" w:rsidRPr="007668DF">
        <w:rPr>
          <w:rFonts w:ascii="Times New Roman" w:eastAsia="Malgun Gothic" w:hAnsi="Times New Roman"/>
          <w:b/>
          <w:bCs/>
          <w:sz w:val="24"/>
          <w:szCs w:val="24"/>
        </w:rPr>
        <w:t>,</w:t>
      </w:r>
      <w:r w:rsidR="00205C24" w:rsidRPr="007668DF">
        <w:rPr>
          <w:rFonts w:ascii="Times New Roman" w:eastAsia="Malgun Gothic" w:hAnsi="Times New Roman"/>
          <w:b/>
          <w:bCs/>
          <w:sz w:val="24"/>
          <w:szCs w:val="24"/>
        </w:rPr>
        <w:t xml:space="preserve"> </w:t>
      </w:r>
      <w:r w:rsidRPr="007668DF">
        <w:rPr>
          <w:rFonts w:ascii="Times New Roman" w:eastAsia="Malgun Gothic" w:hAnsi="Times New Roman"/>
          <w:b/>
          <w:bCs/>
          <w:sz w:val="24"/>
          <w:szCs w:val="24"/>
        </w:rPr>
        <w:t xml:space="preserve">en s’assurant que les garanties judiciaires prévues par </w:t>
      </w:r>
      <w:r w:rsidR="00205C24" w:rsidRPr="007668DF">
        <w:rPr>
          <w:rFonts w:ascii="Times New Roman" w:eastAsia="Malgun Gothic" w:hAnsi="Times New Roman"/>
          <w:b/>
          <w:bCs/>
          <w:sz w:val="24"/>
          <w:szCs w:val="24"/>
        </w:rPr>
        <w:t xml:space="preserve"> le droit international de</w:t>
      </w:r>
      <w:r w:rsidR="00F01761" w:rsidRPr="007668DF">
        <w:rPr>
          <w:rFonts w:ascii="Times New Roman" w:eastAsia="Malgun Gothic" w:hAnsi="Times New Roman"/>
          <w:b/>
          <w:bCs/>
          <w:sz w:val="24"/>
          <w:szCs w:val="24"/>
        </w:rPr>
        <w:t>s</w:t>
      </w:r>
      <w:r w:rsidR="00205C24" w:rsidRPr="007668DF">
        <w:rPr>
          <w:rFonts w:ascii="Times New Roman" w:eastAsia="Malgun Gothic" w:hAnsi="Times New Roman"/>
          <w:b/>
          <w:bCs/>
          <w:sz w:val="24"/>
          <w:szCs w:val="24"/>
        </w:rPr>
        <w:t xml:space="preserve"> droits de l’homme et </w:t>
      </w:r>
      <w:r w:rsidRPr="007668DF">
        <w:rPr>
          <w:rFonts w:ascii="Times New Roman" w:eastAsia="Malgun Gothic" w:hAnsi="Times New Roman"/>
          <w:b/>
          <w:bCs/>
          <w:sz w:val="24"/>
          <w:szCs w:val="24"/>
        </w:rPr>
        <w:t>la Constitution de la République sont appliquées;</w:t>
      </w:r>
    </w:p>
    <w:p w:rsidR="0024142C" w:rsidRPr="007668DF" w:rsidRDefault="0024142C" w:rsidP="006C2FA0">
      <w:pPr>
        <w:tabs>
          <w:tab w:val="left" w:pos="567"/>
          <w:tab w:val="left" w:pos="709"/>
          <w:tab w:val="left" w:pos="851"/>
        </w:tabs>
        <w:spacing w:after="0"/>
        <w:jc w:val="both"/>
        <w:rPr>
          <w:rFonts w:ascii="Times New Roman" w:eastAsia="Malgun Gothic" w:hAnsi="Times New Roman"/>
          <w:b/>
          <w:bCs/>
          <w:sz w:val="24"/>
          <w:szCs w:val="24"/>
        </w:rPr>
      </w:pPr>
    </w:p>
    <w:p w:rsidR="00A20555" w:rsidRPr="007668DF" w:rsidRDefault="0024142C" w:rsidP="006C2FA0">
      <w:pPr>
        <w:tabs>
          <w:tab w:val="left" w:pos="567"/>
          <w:tab w:val="left" w:pos="709"/>
          <w:tab w:val="left" w:pos="851"/>
        </w:tabs>
        <w:spacing w:after="0"/>
        <w:jc w:val="both"/>
        <w:rPr>
          <w:rFonts w:ascii="Times New Roman" w:eastAsia="Malgun Gothic" w:hAnsi="Times New Roman"/>
          <w:b/>
          <w:bCs/>
          <w:sz w:val="24"/>
          <w:szCs w:val="24"/>
        </w:rPr>
      </w:pPr>
      <w:r w:rsidRPr="007668DF">
        <w:rPr>
          <w:rFonts w:ascii="Times New Roman" w:eastAsia="Malgun Gothic" w:hAnsi="Times New Roman"/>
          <w:b/>
          <w:bCs/>
          <w:sz w:val="24"/>
          <w:szCs w:val="24"/>
        </w:rPr>
        <w:t>•</w:t>
      </w:r>
      <w:r w:rsidRPr="007668DF">
        <w:rPr>
          <w:rFonts w:ascii="Times New Roman" w:eastAsia="Malgun Gothic" w:hAnsi="Times New Roman"/>
          <w:b/>
          <w:bCs/>
          <w:sz w:val="24"/>
          <w:szCs w:val="24"/>
        </w:rPr>
        <w:tab/>
      </w:r>
      <w:r w:rsidR="00D426B4" w:rsidRPr="007668DF">
        <w:rPr>
          <w:rFonts w:ascii="Times New Roman" w:eastAsia="Malgun Gothic" w:hAnsi="Times New Roman"/>
          <w:b/>
          <w:bCs/>
          <w:sz w:val="24"/>
          <w:szCs w:val="24"/>
        </w:rPr>
        <w:t>C</w:t>
      </w:r>
      <w:r w:rsidRPr="007668DF">
        <w:rPr>
          <w:rFonts w:ascii="Times New Roman" w:eastAsia="Malgun Gothic" w:hAnsi="Times New Roman"/>
          <w:b/>
          <w:bCs/>
          <w:sz w:val="24"/>
          <w:szCs w:val="24"/>
        </w:rPr>
        <w:t>ontribuer à l’apaisement du climat politique et mettre en œuvre une stratégie transparente pour le fonctionnement de la C</w:t>
      </w:r>
      <w:r w:rsidR="004E1CDE" w:rsidRPr="007668DF">
        <w:rPr>
          <w:rFonts w:ascii="Times New Roman" w:eastAsia="Malgun Gothic" w:hAnsi="Times New Roman"/>
          <w:b/>
          <w:bCs/>
          <w:sz w:val="24"/>
          <w:szCs w:val="24"/>
        </w:rPr>
        <w:t>ommission vérité, justice et réconciliation</w:t>
      </w:r>
      <w:r w:rsidR="00F01761" w:rsidRPr="007668DF">
        <w:rPr>
          <w:rFonts w:ascii="Times New Roman" w:eastAsia="Malgun Gothic" w:hAnsi="Times New Roman"/>
          <w:b/>
          <w:bCs/>
          <w:sz w:val="24"/>
          <w:szCs w:val="24"/>
        </w:rPr>
        <w:t>,</w:t>
      </w:r>
      <w:r w:rsidRPr="007668DF">
        <w:rPr>
          <w:rFonts w:ascii="Times New Roman" w:eastAsia="Malgun Gothic" w:hAnsi="Times New Roman"/>
          <w:b/>
          <w:bCs/>
          <w:sz w:val="24"/>
          <w:szCs w:val="24"/>
        </w:rPr>
        <w:t xml:space="preserve"> </w:t>
      </w:r>
      <w:r w:rsidR="007E4807" w:rsidRPr="007668DF">
        <w:rPr>
          <w:rFonts w:ascii="Times New Roman" w:eastAsia="Malgun Gothic" w:hAnsi="Times New Roman"/>
          <w:b/>
          <w:bCs/>
          <w:sz w:val="24"/>
          <w:szCs w:val="24"/>
        </w:rPr>
        <w:t>ainsi qu’</w:t>
      </w:r>
      <w:r w:rsidRPr="007668DF">
        <w:rPr>
          <w:rFonts w:ascii="Times New Roman" w:eastAsia="Malgun Gothic" w:hAnsi="Times New Roman"/>
          <w:b/>
          <w:bCs/>
          <w:sz w:val="24"/>
          <w:szCs w:val="24"/>
        </w:rPr>
        <w:t>un mécanisme de coordination des partenaires techniques et financiers</w:t>
      </w:r>
      <w:r w:rsidR="00F01761" w:rsidRPr="007668DF">
        <w:rPr>
          <w:rFonts w:ascii="Times New Roman" w:eastAsia="Malgun Gothic" w:hAnsi="Times New Roman"/>
          <w:b/>
          <w:bCs/>
          <w:sz w:val="24"/>
          <w:szCs w:val="24"/>
        </w:rPr>
        <w:t>.</w:t>
      </w:r>
      <w:r w:rsidRPr="007668DF">
        <w:rPr>
          <w:rFonts w:ascii="Times New Roman" w:eastAsia="Malgun Gothic" w:hAnsi="Times New Roman"/>
          <w:b/>
          <w:bCs/>
          <w:sz w:val="24"/>
          <w:szCs w:val="24"/>
        </w:rPr>
        <w:t xml:space="preserve"> </w:t>
      </w:r>
    </w:p>
    <w:p w:rsidR="003C3CCB" w:rsidRDefault="003C3CCB" w:rsidP="006C2FA0">
      <w:pPr>
        <w:tabs>
          <w:tab w:val="left" w:pos="567"/>
          <w:tab w:val="left" w:pos="709"/>
          <w:tab w:val="left" w:pos="851"/>
        </w:tabs>
        <w:spacing w:after="0"/>
        <w:jc w:val="both"/>
        <w:rPr>
          <w:rFonts w:ascii="Times New Roman" w:eastAsia="Malgun Gothic" w:hAnsi="Times New Roman"/>
          <w:b/>
          <w:bCs/>
          <w:sz w:val="24"/>
          <w:szCs w:val="24"/>
        </w:rPr>
      </w:pPr>
    </w:p>
    <w:p w:rsidR="00F439CF" w:rsidRPr="007668DF" w:rsidRDefault="00F439CF" w:rsidP="003B152B">
      <w:pPr>
        <w:pStyle w:val="Subtitle"/>
        <w:rPr>
          <w:rFonts w:eastAsia="Malgun Gothic"/>
        </w:rPr>
      </w:pPr>
      <w:bookmarkStart w:id="31" w:name="_Toc401931510"/>
      <w:r w:rsidRPr="007668DF">
        <w:rPr>
          <w:rFonts w:eastAsia="Malgun Gothic"/>
        </w:rPr>
        <w:t xml:space="preserve">Aux groupes armés </w:t>
      </w:r>
      <w:bookmarkEnd w:id="31"/>
    </w:p>
    <w:p w:rsidR="00441370" w:rsidRPr="007668DF" w:rsidRDefault="00441370" w:rsidP="006C2FA0">
      <w:pPr>
        <w:tabs>
          <w:tab w:val="left" w:pos="567"/>
          <w:tab w:val="left" w:pos="709"/>
          <w:tab w:val="left" w:pos="851"/>
        </w:tabs>
        <w:spacing w:after="0"/>
        <w:jc w:val="both"/>
        <w:rPr>
          <w:rFonts w:ascii="Times New Roman" w:eastAsia="Malgun Gothic" w:hAnsi="Times New Roman"/>
          <w:b/>
          <w:bCs/>
          <w:sz w:val="24"/>
          <w:szCs w:val="24"/>
        </w:rPr>
      </w:pPr>
    </w:p>
    <w:p w:rsidR="00F439CF" w:rsidRPr="007668DF" w:rsidRDefault="00D426B4" w:rsidP="006C2FA0">
      <w:pPr>
        <w:numPr>
          <w:ilvl w:val="0"/>
          <w:numId w:val="12"/>
        </w:numPr>
        <w:tabs>
          <w:tab w:val="left" w:pos="567"/>
          <w:tab w:val="left" w:pos="709"/>
          <w:tab w:val="left" w:pos="851"/>
        </w:tabs>
        <w:spacing w:after="0"/>
        <w:ind w:left="0" w:firstLine="0"/>
        <w:jc w:val="both"/>
        <w:rPr>
          <w:rFonts w:ascii="Times New Roman" w:eastAsia="Malgun Gothic" w:hAnsi="Times New Roman"/>
          <w:b/>
          <w:bCs/>
          <w:sz w:val="24"/>
          <w:szCs w:val="24"/>
        </w:rPr>
      </w:pPr>
      <w:r w:rsidRPr="007668DF">
        <w:rPr>
          <w:rFonts w:ascii="Times New Roman" w:eastAsia="Malgun Gothic" w:hAnsi="Times New Roman"/>
          <w:b/>
          <w:bCs/>
          <w:sz w:val="24"/>
          <w:szCs w:val="24"/>
        </w:rPr>
        <w:t>C</w:t>
      </w:r>
      <w:r w:rsidR="00F439CF" w:rsidRPr="007668DF">
        <w:rPr>
          <w:rFonts w:ascii="Times New Roman" w:eastAsia="Malgun Gothic" w:hAnsi="Times New Roman"/>
          <w:b/>
          <w:bCs/>
          <w:sz w:val="24"/>
          <w:szCs w:val="24"/>
        </w:rPr>
        <w:t>esser immédiatement toutes les attaques</w:t>
      </w:r>
      <w:r w:rsidR="00B0644B">
        <w:rPr>
          <w:rFonts w:ascii="Times New Roman" w:eastAsia="Malgun Gothic" w:hAnsi="Times New Roman"/>
          <w:b/>
          <w:bCs/>
          <w:sz w:val="24"/>
          <w:szCs w:val="24"/>
        </w:rPr>
        <w:t xml:space="preserve"> asymétriques et terroristes</w:t>
      </w:r>
      <w:r w:rsidR="00F439CF" w:rsidRPr="007668DF">
        <w:rPr>
          <w:rFonts w:ascii="Times New Roman" w:eastAsia="Malgun Gothic" w:hAnsi="Times New Roman"/>
          <w:b/>
          <w:bCs/>
          <w:sz w:val="24"/>
          <w:szCs w:val="24"/>
        </w:rPr>
        <w:t xml:space="preserve"> contre les civils et mettre en place des mesu</w:t>
      </w:r>
      <w:r w:rsidR="008E046B" w:rsidRPr="007668DF">
        <w:rPr>
          <w:rFonts w:ascii="Times New Roman" w:eastAsia="Malgun Gothic" w:hAnsi="Times New Roman"/>
          <w:b/>
          <w:bCs/>
          <w:sz w:val="24"/>
          <w:szCs w:val="24"/>
        </w:rPr>
        <w:t xml:space="preserve">res pour </w:t>
      </w:r>
      <w:r w:rsidR="00B520C3">
        <w:rPr>
          <w:rFonts w:ascii="Times New Roman" w:eastAsia="Malgun Gothic" w:hAnsi="Times New Roman"/>
          <w:b/>
          <w:bCs/>
          <w:sz w:val="24"/>
          <w:szCs w:val="24"/>
        </w:rPr>
        <w:t xml:space="preserve">les </w:t>
      </w:r>
      <w:r w:rsidR="008E046B" w:rsidRPr="007668DF">
        <w:rPr>
          <w:rFonts w:ascii="Times New Roman" w:eastAsia="Malgun Gothic" w:hAnsi="Times New Roman"/>
          <w:b/>
          <w:bCs/>
          <w:sz w:val="24"/>
          <w:szCs w:val="24"/>
        </w:rPr>
        <w:t>dissuader</w:t>
      </w:r>
      <w:r w:rsidR="00C325DD">
        <w:rPr>
          <w:rFonts w:ascii="Times New Roman" w:eastAsia="Malgun Gothic" w:hAnsi="Times New Roman"/>
          <w:b/>
          <w:bCs/>
          <w:sz w:val="24"/>
          <w:szCs w:val="24"/>
        </w:rPr>
        <w:t>;</w:t>
      </w:r>
    </w:p>
    <w:p w:rsidR="00F439CF" w:rsidRPr="007668DF" w:rsidRDefault="00F439CF" w:rsidP="006C2FA0">
      <w:pPr>
        <w:tabs>
          <w:tab w:val="left" w:pos="567"/>
          <w:tab w:val="left" w:pos="709"/>
          <w:tab w:val="left" w:pos="851"/>
        </w:tabs>
        <w:spacing w:after="0"/>
        <w:jc w:val="both"/>
        <w:rPr>
          <w:rFonts w:ascii="Times New Roman" w:eastAsia="Malgun Gothic" w:hAnsi="Times New Roman"/>
          <w:b/>
          <w:bCs/>
          <w:sz w:val="24"/>
          <w:szCs w:val="24"/>
        </w:rPr>
      </w:pPr>
    </w:p>
    <w:p w:rsidR="00F439CF" w:rsidRPr="007668DF" w:rsidRDefault="008E046B" w:rsidP="006C2FA0">
      <w:pPr>
        <w:tabs>
          <w:tab w:val="left" w:pos="567"/>
          <w:tab w:val="left" w:pos="709"/>
          <w:tab w:val="left" w:pos="851"/>
        </w:tabs>
        <w:spacing w:after="0"/>
        <w:jc w:val="both"/>
        <w:rPr>
          <w:rFonts w:ascii="Times New Roman" w:eastAsia="Malgun Gothic" w:hAnsi="Times New Roman"/>
          <w:b/>
          <w:bCs/>
          <w:sz w:val="24"/>
          <w:szCs w:val="24"/>
        </w:rPr>
      </w:pPr>
      <w:r w:rsidRPr="007668DF">
        <w:rPr>
          <w:rFonts w:ascii="Times New Roman" w:eastAsia="Malgun Gothic" w:hAnsi="Times New Roman"/>
          <w:b/>
          <w:bCs/>
          <w:sz w:val="24"/>
          <w:szCs w:val="24"/>
        </w:rPr>
        <w:t>•</w:t>
      </w:r>
      <w:r w:rsidRPr="007668DF">
        <w:rPr>
          <w:rFonts w:ascii="Times New Roman" w:eastAsia="Malgun Gothic" w:hAnsi="Times New Roman"/>
          <w:b/>
          <w:bCs/>
          <w:sz w:val="24"/>
          <w:szCs w:val="24"/>
        </w:rPr>
        <w:tab/>
      </w:r>
      <w:r w:rsidR="00D426B4" w:rsidRPr="007668DF">
        <w:rPr>
          <w:rFonts w:ascii="Times New Roman" w:eastAsia="Malgun Gothic" w:hAnsi="Times New Roman"/>
          <w:b/>
          <w:bCs/>
          <w:sz w:val="24"/>
          <w:szCs w:val="24"/>
        </w:rPr>
        <w:t>G</w:t>
      </w:r>
      <w:r w:rsidR="00F82309" w:rsidRPr="007668DF">
        <w:rPr>
          <w:rFonts w:ascii="Times New Roman" w:eastAsia="Malgun Gothic" w:hAnsi="Times New Roman"/>
          <w:b/>
          <w:bCs/>
          <w:sz w:val="24"/>
          <w:szCs w:val="24"/>
        </w:rPr>
        <w:t>arantir</w:t>
      </w:r>
      <w:r w:rsidRPr="007668DF">
        <w:rPr>
          <w:rFonts w:ascii="Times New Roman" w:eastAsia="Malgun Gothic" w:hAnsi="Times New Roman"/>
          <w:b/>
          <w:bCs/>
          <w:sz w:val="24"/>
          <w:szCs w:val="24"/>
        </w:rPr>
        <w:t xml:space="preserve"> l’accès </w:t>
      </w:r>
      <w:r w:rsidR="00F439CF" w:rsidRPr="007668DF">
        <w:rPr>
          <w:rFonts w:ascii="Times New Roman" w:eastAsia="Malgun Gothic" w:hAnsi="Times New Roman"/>
          <w:b/>
          <w:bCs/>
          <w:sz w:val="24"/>
          <w:szCs w:val="24"/>
        </w:rPr>
        <w:t>sans entrave</w:t>
      </w:r>
      <w:r w:rsidRPr="007668DF">
        <w:rPr>
          <w:rFonts w:ascii="Times New Roman" w:eastAsia="Malgun Gothic" w:hAnsi="Times New Roman"/>
          <w:b/>
          <w:bCs/>
          <w:sz w:val="24"/>
          <w:szCs w:val="24"/>
        </w:rPr>
        <w:t xml:space="preserve"> aux acteurs humanitaires</w:t>
      </w:r>
      <w:r w:rsidR="00F439CF" w:rsidRPr="007668DF">
        <w:rPr>
          <w:rFonts w:ascii="Times New Roman" w:eastAsia="Malgun Gothic" w:hAnsi="Times New Roman"/>
          <w:b/>
          <w:bCs/>
          <w:sz w:val="24"/>
          <w:szCs w:val="24"/>
        </w:rPr>
        <w:t xml:space="preserve"> pour l'acheminement de l'aide humanitaire aux personnes affectées par le co</w:t>
      </w:r>
      <w:r w:rsidR="004856B5" w:rsidRPr="007668DF">
        <w:rPr>
          <w:rFonts w:ascii="Times New Roman" w:eastAsia="Malgun Gothic" w:hAnsi="Times New Roman"/>
          <w:b/>
          <w:bCs/>
          <w:sz w:val="24"/>
          <w:szCs w:val="24"/>
        </w:rPr>
        <w:t>nflit, m</w:t>
      </w:r>
      <w:r w:rsidR="005D582E" w:rsidRPr="007668DF">
        <w:rPr>
          <w:rFonts w:ascii="Times New Roman" w:eastAsia="Malgun Gothic" w:hAnsi="Times New Roman"/>
          <w:b/>
          <w:bCs/>
          <w:sz w:val="24"/>
          <w:szCs w:val="24"/>
        </w:rPr>
        <w:t xml:space="preserve">ettre un terme à </w:t>
      </w:r>
      <w:r w:rsidR="00F439CF" w:rsidRPr="007668DF">
        <w:rPr>
          <w:rFonts w:ascii="Times New Roman" w:eastAsia="Malgun Gothic" w:hAnsi="Times New Roman"/>
          <w:b/>
          <w:bCs/>
          <w:sz w:val="24"/>
          <w:szCs w:val="24"/>
        </w:rPr>
        <w:t xml:space="preserve">toutes les attaques contre les acteurs humanitaires, garantir publiquement qu'ils seront autorisés à effectuer leur travail </w:t>
      </w:r>
      <w:r w:rsidR="00F82309" w:rsidRPr="007668DF">
        <w:rPr>
          <w:rFonts w:ascii="Times New Roman" w:eastAsia="Malgun Gothic" w:hAnsi="Times New Roman"/>
          <w:b/>
          <w:bCs/>
          <w:sz w:val="24"/>
          <w:szCs w:val="24"/>
        </w:rPr>
        <w:t xml:space="preserve">en toute sécurité </w:t>
      </w:r>
      <w:r w:rsidR="00F439CF" w:rsidRPr="007668DF">
        <w:rPr>
          <w:rFonts w:ascii="Times New Roman" w:eastAsia="Malgun Gothic" w:hAnsi="Times New Roman"/>
          <w:b/>
          <w:bCs/>
          <w:sz w:val="24"/>
          <w:szCs w:val="24"/>
        </w:rPr>
        <w:t xml:space="preserve">et mettre en place des </w:t>
      </w:r>
      <w:r w:rsidR="00F439CF" w:rsidRPr="007668DF">
        <w:rPr>
          <w:rFonts w:ascii="Times New Roman" w:eastAsia="Malgun Gothic" w:hAnsi="Times New Roman"/>
          <w:b/>
          <w:bCs/>
          <w:sz w:val="24"/>
          <w:szCs w:val="24"/>
        </w:rPr>
        <w:lastRenderedPageBreak/>
        <w:t xml:space="preserve">mesures efficaces pour prévenir les actes de harcèlement ou d’intimidation à leur encontre par des éléments des groupes armés; </w:t>
      </w:r>
    </w:p>
    <w:p w:rsidR="00F439CF" w:rsidRPr="007668DF" w:rsidRDefault="00F439CF" w:rsidP="006C2FA0">
      <w:pPr>
        <w:tabs>
          <w:tab w:val="left" w:pos="567"/>
          <w:tab w:val="left" w:pos="709"/>
          <w:tab w:val="left" w:pos="851"/>
        </w:tabs>
        <w:spacing w:after="0"/>
        <w:jc w:val="both"/>
        <w:rPr>
          <w:rFonts w:ascii="Times New Roman" w:eastAsia="Malgun Gothic" w:hAnsi="Times New Roman"/>
          <w:b/>
          <w:bCs/>
          <w:sz w:val="24"/>
          <w:szCs w:val="24"/>
        </w:rPr>
      </w:pPr>
    </w:p>
    <w:p w:rsidR="00F439CF" w:rsidRPr="007668DF" w:rsidRDefault="00F439CF" w:rsidP="006C2FA0">
      <w:pPr>
        <w:tabs>
          <w:tab w:val="left" w:pos="567"/>
          <w:tab w:val="left" w:pos="709"/>
          <w:tab w:val="left" w:pos="851"/>
        </w:tabs>
        <w:spacing w:after="0"/>
        <w:jc w:val="both"/>
        <w:rPr>
          <w:rFonts w:ascii="Times New Roman" w:eastAsia="Malgun Gothic" w:hAnsi="Times New Roman"/>
          <w:b/>
          <w:bCs/>
          <w:sz w:val="24"/>
          <w:szCs w:val="24"/>
        </w:rPr>
      </w:pPr>
      <w:r w:rsidRPr="007668DF">
        <w:rPr>
          <w:rFonts w:ascii="Times New Roman" w:eastAsia="Malgun Gothic" w:hAnsi="Times New Roman"/>
          <w:b/>
          <w:bCs/>
          <w:sz w:val="24"/>
          <w:szCs w:val="24"/>
        </w:rPr>
        <w:t>•</w:t>
      </w:r>
      <w:r w:rsidRPr="007668DF">
        <w:rPr>
          <w:rFonts w:ascii="Times New Roman" w:eastAsia="Malgun Gothic" w:hAnsi="Times New Roman"/>
          <w:b/>
          <w:bCs/>
          <w:sz w:val="24"/>
          <w:szCs w:val="24"/>
        </w:rPr>
        <w:tab/>
        <w:t xml:space="preserve">Les groupes armés cités </w:t>
      </w:r>
      <w:r w:rsidR="00B520C3" w:rsidRPr="007668DF">
        <w:rPr>
          <w:rFonts w:ascii="Times New Roman" w:eastAsia="Malgun Gothic" w:hAnsi="Times New Roman"/>
          <w:b/>
          <w:bCs/>
          <w:sz w:val="24"/>
          <w:szCs w:val="24"/>
        </w:rPr>
        <w:t xml:space="preserve">(MNLA et MUJAO) </w:t>
      </w:r>
      <w:r w:rsidRPr="007668DF">
        <w:rPr>
          <w:rFonts w:ascii="Times New Roman" w:eastAsia="Malgun Gothic" w:hAnsi="Times New Roman"/>
          <w:b/>
          <w:bCs/>
          <w:sz w:val="24"/>
          <w:szCs w:val="24"/>
        </w:rPr>
        <w:t>dans le rapport annuel du Secrétaire Général des Nations Unies sur les enfants et les conflits armés pour le recrutement et l'utilisation d'enfants devraient cesser immédiatement ces violations graves et développer des plans d'action pour y remédier. D'autres groupes armés qui ne figurent pas dans les annexes du rapport (MAA et HCUA) devraient immédiatement cesser tout recrutement et utilisation d'enfants</w:t>
      </w:r>
      <w:r w:rsidR="003B324D" w:rsidRPr="007668DF">
        <w:rPr>
          <w:rFonts w:ascii="Times New Roman" w:eastAsia="Malgun Gothic" w:hAnsi="Times New Roman"/>
          <w:b/>
          <w:bCs/>
          <w:sz w:val="24"/>
          <w:szCs w:val="24"/>
        </w:rPr>
        <w:t>;</w:t>
      </w:r>
      <w:r w:rsidRPr="007668DF">
        <w:rPr>
          <w:rFonts w:ascii="Times New Roman" w:eastAsia="Malgun Gothic" w:hAnsi="Times New Roman"/>
          <w:b/>
          <w:bCs/>
          <w:sz w:val="24"/>
          <w:szCs w:val="24"/>
        </w:rPr>
        <w:t xml:space="preserve"> </w:t>
      </w:r>
    </w:p>
    <w:p w:rsidR="00F439CF" w:rsidRPr="007668DF" w:rsidRDefault="00F439CF" w:rsidP="006C2FA0">
      <w:pPr>
        <w:tabs>
          <w:tab w:val="left" w:pos="567"/>
          <w:tab w:val="left" w:pos="709"/>
          <w:tab w:val="left" w:pos="851"/>
        </w:tabs>
        <w:spacing w:after="0"/>
        <w:jc w:val="both"/>
        <w:rPr>
          <w:rFonts w:ascii="Times New Roman" w:eastAsia="Malgun Gothic" w:hAnsi="Times New Roman"/>
          <w:b/>
          <w:bCs/>
          <w:sz w:val="24"/>
          <w:szCs w:val="24"/>
        </w:rPr>
      </w:pPr>
    </w:p>
    <w:p w:rsidR="00F82309" w:rsidRPr="007668DF" w:rsidRDefault="00F439CF" w:rsidP="006C2FA0">
      <w:pPr>
        <w:tabs>
          <w:tab w:val="left" w:pos="567"/>
          <w:tab w:val="left" w:pos="709"/>
          <w:tab w:val="left" w:pos="851"/>
        </w:tabs>
        <w:spacing w:after="0"/>
        <w:jc w:val="both"/>
        <w:rPr>
          <w:rFonts w:ascii="Times New Roman" w:eastAsia="Malgun Gothic" w:hAnsi="Times New Roman"/>
          <w:b/>
          <w:bCs/>
          <w:sz w:val="24"/>
          <w:szCs w:val="24"/>
        </w:rPr>
      </w:pPr>
      <w:r w:rsidRPr="007668DF">
        <w:rPr>
          <w:rFonts w:ascii="Times New Roman" w:eastAsia="Malgun Gothic" w:hAnsi="Times New Roman"/>
          <w:b/>
          <w:bCs/>
          <w:sz w:val="24"/>
          <w:szCs w:val="24"/>
        </w:rPr>
        <w:t>•</w:t>
      </w:r>
      <w:r w:rsidRPr="007668DF">
        <w:rPr>
          <w:rFonts w:ascii="Times New Roman" w:eastAsia="Malgun Gothic" w:hAnsi="Times New Roman"/>
          <w:b/>
          <w:bCs/>
          <w:sz w:val="24"/>
          <w:szCs w:val="24"/>
        </w:rPr>
        <w:tab/>
      </w:r>
      <w:r w:rsidR="00D426B4" w:rsidRPr="007668DF">
        <w:rPr>
          <w:rFonts w:ascii="Times New Roman" w:eastAsia="Malgun Gothic" w:hAnsi="Times New Roman"/>
          <w:b/>
          <w:bCs/>
          <w:sz w:val="24"/>
          <w:szCs w:val="24"/>
        </w:rPr>
        <w:t>C</w:t>
      </w:r>
      <w:r w:rsidRPr="007668DF">
        <w:rPr>
          <w:rFonts w:ascii="Times New Roman" w:eastAsia="Malgun Gothic" w:hAnsi="Times New Roman"/>
          <w:b/>
          <w:bCs/>
          <w:sz w:val="24"/>
          <w:szCs w:val="24"/>
        </w:rPr>
        <w:t xml:space="preserve">esser immédiatement </w:t>
      </w:r>
      <w:r w:rsidR="008E046B" w:rsidRPr="007668DF">
        <w:rPr>
          <w:rFonts w:ascii="Times New Roman" w:eastAsia="Malgun Gothic" w:hAnsi="Times New Roman"/>
          <w:b/>
          <w:bCs/>
          <w:sz w:val="24"/>
          <w:szCs w:val="24"/>
        </w:rPr>
        <w:t xml:space="preserve">l’occupation des écoles </w:t>
      </w:r>
      <w:r w:rsidR="00F82309" w:rsidRPr="007668DF">
        <w:rPr>
          <w:rFonts w:ascii="Times New Roman" w:eastAsia="Malgun Gothic" w:hAnsi="Times New Roman"/>
          <w:b/>
          <w:bCs/>
          <w:sz w:val="24"/>
          <w:szCs w:val="24"/>
        </w:rPr>
        <w:t>et</w:t>
      </w:r>
      <w:r w:rsidR="00B520C3">
        <w:rPr>
          <w:rFonts w:ascii="Times New Roman" w:eastAsia="Malgun Gothic" w:hAnsi="Times New Roman"/>
          <w:b/>
          <w:bCs/>
          <w:sz w:val="24"/>
          <w:szCs w:val="24"/>
        </w:rPr>
        <w:t xml:space="preserve"> </w:t>
      </w:r>
      <w:r w:rsidR="00F82309" w:rsidRPr="007668DF">
        <w:rPr>
          <w:rFonts w:ascii="Times New Roman" w:eastAsia="Malgun Gothic" w:hAnsi="Times New Roman"/>
          <w:b/>
          <w:bCs/>
          <w:sz w:val="24"/>
          <w:szCs w:val="24"/>
        </w:rPr>
        <w:t>i</w:t>
      </w:r>
      <w:r w:rsidRPr="007668DF">
        <w:rPr>
          <w:rFonts w:ascii="Times New Roman" w:eastAsia="Malgun Gothic" w:hAnsi="Times New Roman"/>
          <w:b/>
          <w:bCs/>
          <w:sz w:val="24"/>
          <w:szCs w:val="24"/>
        </w:rPr>
        <w:t>nterdire l'utilisation de ces installations</w:t>
      </w:r>
      <w:r w:rsidR="00F82309" w:rsidRPr="007668DF">
        <w:rPr>
          <w:rFonts w:ascii="Times New Roman" w:eastAsia="Malgun Gothic" w:hAnsi="Times New Roman"/>
          <w:b/>
          <w:bCs/>
          <w:sz w:val="24"/>
          <w:szCs w:val="24"/>
        </w:rPr>
        <w:t xml:space="preserve"> </w:t>
      </w:r>
      <w:r w:rsidR="00B520C3">
        <w:rPr>
          <w:rFonts w:ascii="Times New Roman" w:eastAsia="Malgun Gothic" w:hAnsi="Times New Roman"/>
          <w:b/>
          <w:bCs/>
          <w:sz w:val="24"/>
          <w:szCs w:val="24"/>
        </w:rPr>
        <w:t>à des fins militaires</w:t>
      </w:r>
      <w:r w:rsidR="00F82309" w:rsidRPr="007668DF">
        <w:rPr>
          <w:rFonts w:ascii="Times New Roman" w:eastAsia="Malgun Gothic" w:hAnsi="Times New Roman"/>
          <w:b/>
          <w:bCs/>
          <w:sz w:val="24"/>
          <w:szCs w:val="24"/>
        </w:rPr>
        <w:t xml:space="preserve">, </w:t>
      </w:r>
      <w:r w:rsidR="00F01761" w:rsidRPr="007668DF">
        <w:rPr>
          <w:rFonts w:ascii="Times New Roman" w:eastAsia="Malgun Gothic" w:hAnsi="Times New Roman"/>
          <w:b/>
          <w:bCs/>
          <w:sz w:val="24"/>
          <w:szCs w:val="24"/>
        </w:rPr>
        <w:t xml:space="preserve">qui constitue </w:t>
      </w:r>
      <w:r w:rsidR="00B520C3">
        <w:rPr>
          <w:rFonts w:ascii="Times New Roman" w:eastAsia="Malgun Gothic" w:hAnsi="Times New Roman"/>
          <w:b/>
          <w:bCs/>
          <w:sz w:val="24"/>
          <w:szCs w:val="24"/>
        </w:rPr>
        <w:t>une</w:t>
      </w:r>
      <w:r w:rsidRPr="007668DF">
        <w:rPr>
          <w:rFonts w:ascii="Times New Roman" w:eastAsia="Malgun Gothic" w:hAnsi="Times New Roman"/>
          <w:b/>
          <w:bCs/>
          <w:sz w:val="24"/>
          <w:szCs w:val="24"/>
        </w:rPr>
        <w:t xml:space="preserve"> violation </w:t>
      </w:r>
      <w:r w:rsidR="00F82309" w:rsidRPr="007668DF">
        <w:rPr>
          <w:rFonts w:ascii="Times New Roman" w:eastAsia="Malgun Gothic" w:hAnsi="Times New Roman"/>
          <w:b/>
          <w:bCs/>
          <w:sz w:val="24"/>
          <w:szCs w:val="24"/>
        </w:rPr>
        <w:t>du droit international humanitaire</w:t>
      </w:r>
      <w:r w:rsidR="003B324D" w:rsidRPr="007668DF">
        <w:rPr>
          <w:rFonts w:ascii="Times New Roman" w:eastAsia="Malgun Gothic" w:hAnsi="Times New Roman"/>
          <w:b/>
          <w:bCs/>
          <w:sz w:val="24"/>
          <w:szCs w:val="24"/>
        </w:rPr>
        <w:t>;</w:t>
      </w:r>
    </w:p>
    <w:p w:rsidR="00F82309" w:rsidRPr="007668DF" w:rsidRDefault="00F82309" w:rsidP="006C2FA0">
      <w:pPr>
        <w:tabs>
          <w:tab w:val="left" w:pos="567"/>
          <w:tab w:val="left" w:pos="709"/>
          <w:tab w:val="left" w:pos="851"/>
        </w:tabs>
        <w:spacing w:after="0"/>
        <w:jc w:val="both"/>
        <w:rPr>
          <w:rFonts w:ascii="Times New Roman" w:eastAsia="Malgun Gothic" w:hAnsi="Times New Roman"/>
          <w:b/>
          <w:bCs/>
          <w:sz w:val="24"/>
          <w:szCs w:val="24"/>
        </w:rPr>
      </w:pPr>
    </w:p>
    <w:p w:rsidR="00F439CF" w:rsidRPr="007668DF" w:rsidRDefault="00F439CF" w:rsidP="006C2FA0">
      <w:pPr>
        <w:tabs>
          <w:tab w:val="left" w:pos="567"/>
          <w:tab w:val="left" w:pos="709"/>
          <w:tab w:val="left" w:pos="851"/>
        </w:tabs>
        <w:spacing w:after="0"/>
        <w:jc w:val="both"/>
        <w:rPr>
          <w:rFonts w:ascii="Times New Roman" w:eastAsia="Malgun Gothic" w:hAnsi="Times New Roman"/>
          <w:b/>
          <w:bCs/>
          <w:sz w:val="24"/>
          <w:szCs w:val="24"/>
        </w:rPr>
      </w:pPr>
      <w:r w:rsidRPr="007668DF">
        <w:rPr>
          <w:rFonts w:ascii="Times New Roman" w:eastAsia="Malgun Gothic" w:hAnsi="Times New Roman"/>
          <w:b/>
          <w:bCs/>
          <w:sz w:val="24"/>
          <w:szCs w:val="24"/>
        </w:rPr>
        <w:t>•</w:t>
      </w:r>
      <w:r w:rsidRPr="007668DF">
        <w:rPr>
          <w:rFonts w:ascii="Times New Roman" w:eastAsia="Malgun Gothic" w:hAnsi="Times New Roman"/>
          <w:b/>
          <w:bCs/>
          <w:sz w:val="24"/>
          <w:szCs w:val="24"/>
        </w:rPr>
        <w:tab/>
      </w:r>
      <w:r w:rsidR="00D426B4" w:rsidRPr="007668DF">
        <w:rPr>
          <w:rFonts w:ascii="Times New Roman" w:eastAsia="Malgun Gothic" w:hAnsi="Times New Roman"/>
          <w:b/>
          <w:bCs/>
          <w:sz w:val="24"/>
          <w:szCs w:val="24"/>
        </w:rPr>
        <w:t>I</w:t>
      </w:r>
      <w:r w:rsidRPr="007668DF">
        <w:rPr>
          <w:rFonts w:ascii="Times New Roman" w:eastAsia="Malgun Gothic" w:hAnsi="Times New Roman"/>
          <w:b/>
          <w:bCs/>
          <w:sz w:val="24"/>
          <w:szCs w:val="24"/>
        </w:rPr>
        <w:t xml:space="preserve">ntensifier les efforts pour créer un environnement propice au retour volontaire, sûr et </w:t>
      </w:r>
      <w:r w:rsidR="00F82309" w:rsidRPr="007668DF">
        <w:rPr>
          <w:rFonts w:ascii="Times New Roman" w:eastAsia="Malgun Gothic" w:hAnsi="Times New Roman"/>
          <w:b/>
          <w:bCs/>
          <w:sz w:val="24"/>
          <w:szCs w:val="24"/>
        </w:rPr>
        <w:t>durable</w:t>
      </w:r>
      <w:r w:rsidRPr="007668DF">
        <w:rPr>
          <w:rFonts w:ascii="Times New Roman" w:eastAsia="Malgun Gothic" w:hAnsi="Times New Roman"/>
          <w:b/>
          <w:bCs/>
          <w:sz w:val="24"/>
          <w:szCs w:val="24"/>
        </w:rPr>
        <w:t xml:space="preserve"> des personnes déplacées</w:t>
      </w:r>
      <w:r w:rsidR="00F82309" w:rsidRPr="007668DF">
        <w:rPr>
          <w:rFonts w:ascii="Times New Roman" w:eastAsia="Malgun Gothic" w:hAnsi="Times New Roman"/>
          <w:b/>
          <w:bCs/>
          <w:sz w:val="24"/>
          <w:szCs w:val="24"/>
        </w:rPr>
        <w:t xml:space="preserve"> internes</w:t>
      </w:r>
      <w:r w:rsidRPr="007668DF">
        <w:rPr>
          <w:rFonts w:ascii="Times New Roman" w:eastAsia="Malgun Gothic" w:hAnsi="Times New Roman"/>
          <w:b/>
          <w:bCs/>
          <w:sz w:val="24"/>
          <w:szCs w:val="24"/>
        </w:rPr>
        <w:t xml:space="preserve"> et des réfugiés</w:t>
      </w:r>
      <w:r w:rsidR="00F01761" w:rsidRPr="007668DF">
        <w:rPr>
          <w:rFonts w:ascii="Times New Roman" w:eastAsia="Malgun Gothic" w:hAnsi="Times New Roman"/>
          <w:b/>
          <w:bCs/>
          <w:sz w:val="24"/>
          <w:szCs w:val="24"/>
        </w:rPr>
        <w:t> ; à</w:t>
      </w:r>
      <w:r w:rsidRPr="007668DF">
        <w:rPr>
          <w:rFonts w:ascii="Times New Roman" w:eastAsia="Malgun Gothic" w:hAnsi="Times New Roman"/>
          <w:b/>
          <w:bCs/>
          <w:sz w:val="24"/>
          <w:szCs w:val="24"/>
        </w:rPr>
        <w:t xml:space="preserve"> l'intégration locale ou </w:t>
      </w:r>
      <w:r w:rsidR="00F01761" w:rsidRPr="007668DF">
        <w:rPr>
          <w:rFonts w:ascii="Times New Roman" w:eastAsia="Malgun Gothic" w:hAnsi="Times New Roman"/>
          <w:b/>
          <w:bCs/>
          <w:sz w:val="24"/>
          <w:szCs w:val="24"/>
        </w:rPr>
        <w:t xml:space="preserve">à </w:t>
      </w:r>
      <w:r w:rsidRPr="007668DF">
        <w:rPr>
          <w:rFonts w:ascii="Times New Roman" w:eastAsia="Malgun Gothic" w:hAnsi="Times New Roman"/>
          <w:b/>
          <w:bCs/>
          <w:sz w:val="24"/>
          <w:szCs w:val="24"/>
        </w:rPr>
        <w:t xml:space="preserve">la réinstallation volontaire; </w:t>
      </w:r>
    </w:p>
    <w:p w:rsidR="00F439CF" w:rsidRPr="007668DF" w:rsidRDefault="00F439CF" w:rsidP="006C2FA0">
      <w:pPr>
        <w:tabs>
          <w:tab w:val="left" w:pos="567"/>
          <w:tab w:val="left" w:pos="709"/>
          <w:tab w:val="left" w:pos="851"/>
        </w:tabs>
        <w:spacing w:after="0"/>
        <w:jc w:val="both"/>
        <w:rPr>
          <w:rFonts w:ascii="Times New Roman" w:eastAsia="Malgun Gothic" w:hAnsi="Times New Roman"/>
          <w:b/>
          <w:bCs/>
          <w:sz w:val="24"/>
          <w:szCs w:val="24"/>
        </w:rPr>
      </w:pPr>
    </w:p>
    <w:p w:rsidR="00F439CF" w:rsidRPr="007668DF" w:rsidRDefault="00F439CF" w:rsidP="006C2FA0">
      <w:pPr>
        <w:tabs>
          <w:tab w:val="left" w:pos="567"/>
          <w:tab w:val="left" w:pos="709"/>
          <w:tab w:val="left" w:pos="851"/>
        </w:tabs>
        <w:spacing w:after="0"/>
        <w:jc w:val="both"/>
        <w:rPr>
          <w:rFonts w:ascii="Times New Roman" w:eastAsia="Malgun Gothic" w:hAnsi="Times New Roman"/>
          <w:b/>
          <w:bCs/>
          <w:sz w:val="24"/>
          <w:szCs w:val="24"/>
        </w:rPr>
      </w:pPr>
      <w:r w:rsidRPr="007668DF">
        <w:rPr>
          <w:rFonts w:ascii="Times New Roman" w:eastAsia="Malgun Gothic" w:hAnsi="Times New Roman"/>
          <w:b/>
          <w:bCs/>
          <w:sz w:val="24"/>
          <w:szCs w:val="24"/>
        </w:rPr>
        <w:lastRenderedPageBreak/>
        <w:t>•</w:t>
      </w:r>
      <w:r w:rsidRPr="007668DF">
        <w:rPr>
          <w:rFonts w:ascii="Times New Roman" w:eastAsia="Malgun Gothic" w:hAnsi="Times New Roman"/>
          <w:b/>
          <w:bCs/>
          <w:sz w:val="24"/>
          <w:szCs w:val="24"/>
        </w:rPr>
        <w:tab/>
      </w:r>
      <w:r w:rsidR="00D426B4" w:rsidRPr="007668DF">
        <w:rPr>
          <w:rFonts w:ascii="Times New Roman" w:eastAsia="Malgun Gothic" w:hAnsi="Times New Roman"/>
          <w:b/>
          <w:bCs/>
          <w:sz w:val="24"/>
          <w:szCs w:val="24"/>
        </w:rPr>
        <w:t>C</w:t>
      </w:r>
      <w:r w:rsidR="00F82309" w:rsidRPr="007668DF">
        <w:rPr>
          <w:rFonts w:ascii="Times New Roman" w:eastAsia="Malgun Gothic" w:hAnsi="Times New Roman"/>
          <w:b/>
          <w:bCs/>
          <w:sz w:val="24"/>
          <w:szCs w:val="24"/>
        </w:rPr>
        <w:t>oopérer avec la justice nationale et internationale dans les</w:t>
      </w:r>
      <w:r w:rsidRPr="007668DF">
        <w:rPr>
          <w:rFonts w:ascii="Times New Roman" w:eastAsia="Malgun Gothic" w:hAnsi="Times New Roman"/>
          <w:b/>
          <w:bCs/>
          <w:sz w:val="24"/>
          <w:szCs w:val="24"/>
        </w:rPr>
        <w:t xml:space="preserve"> enquêtes </w:t>
      </w:r>
      <w:r w:rsidR="00F82309" w:rsidRPr="007668DF">
        <w:rPr>
          <w:rFonts w:ascii="Times New Roman" w:eastAsia="Malgun Gothic" w:hAnsi="Times New Roman"/>
          <w:b/>
          <w:bCs/>
          <w:sz w:val="24"/>
          <w:szCs w:val="24"/>
        </w:rPr>
        <w:t>criminelles</w:t>
      </w:r>
      <w:r w:rsidRPr="007668DF">
        <w:rPr>
          <w:rFonts w:ascii="Times New Roman" w:eastAsia="Malgun Gothic" w:hAnsi="Times New Roman"/>
          <w:b/>
          <w:bCs/>
          <w:sz w:val="24"/>
          <w:szCs w:val="24"/>
        </w:rPr>
        <w:t xml:space="preserve"> contre les membres des grou</w:t>
      </w:r>
      <w:r w:rsidR="00F82309" w:rsidRPr="007668DF">
        <w:rPr>
          <w:rFonts w:ascii="Times New Roman" w:eastAsia="Malgun Gothic" w:hAnsi="Times New Roman"/>
          <w:b/>
          <w:bCs/>
          <w:sz w:val="24"/>
          <w:szCs w:val="24"/>
        </w:rPr>
        <w:t>pes armés</w:t>
      </w:r>
      <w:r w:rsidR="00F01761" w:rsidRPr="007668DF">
        <w:rPr>
          <w:rFonts w:ascii="Times New Roman" w:eastAsia="Malgun Gothic" w:hAnsi="Times New Roman"/>
          <w:b/>
          <w:bCs/>
          <w:sz w:val="24"/>
          <w:szCs w:val="24"/>
        </w:rPr>
        <w:t>,</w:t>
      </w:r>
      <w:r w:rsidR="00F82309" w:rsidRPr="007668DF">
        <w:rPr>
          <w:rFonts w:ascii="Times New Roman" w:eastAsia="Malgun Gothic" w:hAnsi="Times New Roman"/>
          <w:b/>
          <w:bCs/>
          <w:sz w:val="24"/>
          <w:szCs w:val="24"/>
        </w:rPr>
        <w:t xml:space="preserve"> et coopérer avec les mécanismes de justice transitionnelle mis en place par le Mali</w:t>
      </w:r>
      <w:r w:rsidR="00441370" w:rsidRPr="007668DF">
        <w:rPr>
          <w:rFonts w:ascii="Times New Roman" w:eastAsia="Malgun Gothic" w:hAnsi="Times New Roman"/>
          <w:b/>
          <w:bCs/>
          <w:sz w:val="24"/>
          <w:szCs w:val="24"/>
        </w:rPr>
        <w:t>,</w:t>
      </w:r>
      <w:r w:rsidR="00F82309" w:rsidRPr="007668DF">
        <w:rPr>
          <w:rFonts w:ascii="Times New Roman" w:eastAsia="Malgun Gothic" w:hAnsi="Times New Roman"/>
          <w:b/>
          <w:bCs/>
          <w:sz w:val="24"/>
          <w:szCs w:val="24"/>
        </w:rPr>
        <w:t xml:space="preserve"> notamment </w:t>
      </w:r>
      <w:r w:rsidR="00226518" w:rsidRPr="007668DF">
        <w:rPr>
          <w:rFonts w:ascii="Times New Roman" w:eastAsia="Malgun Gothic" w:hAnsi="Times New Roman"/>
          <w:b/>
          <w:bCs/>
          <w:sz w:val="24"/>
          <w:szCs w:val="24"/>
        </w:rPr>
        <w:t>la Commission vérité, justice et réconciliation</w:t>
      </w:r>
      <w:r w:rsidR="00AD1859" w:rsidRPr="007668DF">
        <w:rPr>
          <w:rFonts w:ascii="Times New Roman" w:eastAsia="Malgun Gothic" w:hAnsi="Times New Roman"/>
          <w:b/>
          <w:bCs/>
          <w:sz w:val="24"/>
          <w:szCs w:val="24"/>
        </w:rPr>
        <w:t>.</w:t>
      </w:r>
      <w:r w:rsidR="00226518" w:rsidRPr="007668DF">
        <w:rPr>
          <w:rFonts w:ascii="Times New Roman" w:eastAsia="Malgun Gothic" w:hAnsi="Times New Roman"/>
          <w:b/>
          <w:bCs/>
          <w:sz w:val="24"/>
          <w:szCs w:val="24"/>
        </w:rPr>
        <w:t xml:space="preserve"> </w:t>
      </w:r>
    </w:p>
    <w:p w:rsidR="00226518" w:rsidRDefault="00226518" w:rsidP="006C2FA0">
      <w:pPr>
        <w:tabs>
          <w:tab w:val="left" w:pos="567"/>
          <w:tab w:val="left" w:pos="709"/>
          <w:tab w:val="left" w:pos="851"/>
        </w:tabs>
        <w:spacing w:after="0"/>
        <w:jc w:val="both"/>
        <w:rPr>
          <w:rFonts w:ascii="Times New Roman" w:eastAsia="Malgun Gothic" w:hAnsi="Times New Roman"/>
          <w:b/>
          <w:bCs/>
          <w:sz w:val="24"/>
          <w:szCs w:val="24"/>
        </w:rPr>
      </w:pPr>
    </w:p>
    <w:p w:rsidR="008471B3" w:rsidRPr="007668DF" w:rsidRDefault="008471B3" w:rsidP="008471B3">
      <w:pPr>
        <w:tabs>
          <w:tab w:val="left" w:pos="0"/>
          <w:tab w:val="left" w:pos="567"/>
          <w:tab w:val="left" w:pos="851"/>
        </w:tabs>
        <w:spacing w:after="0"/>
        <w:jc w:val="both"/>
        <w:rPr>
          <w:rFonts w:ascii="Times New Roman" w:eastAsia="Malgun Gothic" w:hAnsi="Times New Roman"/>
          <w:b/>
          <w:bCs/>
          <w:sz w:val="24"/>
          <w:szCs w:val="24"/>
        </w:rPr>
      </w:pPr>
      <w:r w:rsidRPr="007668DF">
        <w:rPr>
          <w:rFonts w:ascii="Times New Roman" w:eastAsia="Malgun Gothic" w:hAnsi="Times New Roman"/>
          <w:b/>
          <w:bCs/>
          <w:sz w:val="24"/>
          <w:szCs w:val="24"/>
        </w:rPr>
        <w:t>•</w:t>
      </w:r>
      <w:r w:rsidRPr="007668DF">
        <w:rPr>
          <w:rFonts w:ascii="Times New Roman" w:eastAsia="Malgun Gothic" w:hAnsi="Times New Roman"/>
          <w:b/>
          <w:bCs/>
          <w:sz w:val="24"/>
          <w:szCs w:val="24"/>
        </w:rPr>
        <w:tab/>
      </w:r>
      <w:r>
        <w:rPr>
          <w:rFonts w:ascii="Times New Roman" w:eastAsia="Malgun Gothic" w:hAnsi="Times New Roman"/>
          <w:b/>
          <w:bCs/>
          <w:sz w:val="24"/>
          <w:szCs w:val="24"/>
        </w:rPr>
        <w:t>C</w:t>
      </w:r>
      <w:r w:rsidRPr="007668DF">
        <w:rPr>
          <w:rFonts w:ascii="Times New Roman" w:eastAsia="Malgun Gothic" w:hAnsi="Times New Roman"/>
          <w:b/>
          <w:bCs/>
          <w:sz w:val="24"/>
          <w:szCs w:val="24"/>
        </w:rPr>
        <w:t>oopérer avec tous les autres mécanismes onusiens des droits de l’homme,</w:t>
      </w:r>
      <w:r>
        <w:rPr>
          <w:rFonts w:ascii="Times New Roman" w:eastAsia="Malgun Gothic" w:hAnsi="Times New Roman"/>
          <w:b/>
          <w:bCs/>
          <w:sz w:val="24"/>
          <w:szCs w:val="24"/>
        </w:rPr>
        <w:t xml:space="preserve"> </w:t>
      </w:r>
      <w:r w:rsidRPr="008471B3">
        <w:rPr>
          <w:rFonts w:ascii="Times New Roman" w:eastAsia="Malgun Gothic" w:hAnsi="Times New Roman"/>
          <w:b/>
          <w:bCs/>
          <w:sz w:val="24"/>
          <w:szCs w:val="24"/>
        </w:rPr>
        <w:t xml:space="preserve">notamment avec l’Expert indépendant sur la situation des droits de l’homme au </w:t>
      </w:r>
      <w:r w:rsidRPr="007668DF">
        <w:rPr>
          <w:rFonts w:ascii="Times New Roman" w:eastAsia="Malgun Gothic" w:hAnsi="Times New Roman"/>
          <w:b/>
          <w:bCs/>
          <w:sz w:val="24"/>
          <w:szCs w:val="24"/>
        </w:rPr>
        <w:t xml:space="preserve">Mali. </w:t>
      </w:r>
    </w:p>
    <w:p w:rsidR="008471B3" w:rsidRDefault="008471B3" w:rsidP="006C2FA0">
      <w:pPr>
        <w:tabs>
          <w:tab w:val="left" w:pos="567"/>
          <w:tab w:val="left" w:pos="709"/>
          <w:tab w:val="left" w:pos="851"/>
        </w:tabs>
        <w:spacing w:after="0"/>
        <w:jc w:val="both"/>
        <w:rPr>
          <w:rFonts w:ascii="Times New Roman" w:eastAsia="Malgun Gothic" w:hAnsi="Times New Roman"/>
          <w:b/>
          <w:bCs/>
          <w:sz w:val="24"/>
          <w:szCs w:val="24"/>
        </w:rPr>
      </w:pPr>
    </w:p>
    <w:p w:rsidR="008471B3" w:rsidRPr="007668DF" w:rsidRDefault="008471B3" w:rsidP="006C2FA0">
      <w:pPr>
        <w:tabs>
          <w:tab w:val="left" w:pos="567"/>
          <w:tab w:val="left" w:pos="709"/>
          <w:tab w:val="left" w:pos="851"/>
        </w:tabs>
        <w:spacing w:after="0"/>
        <w:jc w:val="both"/>
        <w:rPr>
          <w:rFonts w:ascii="Times New Roman" w:eastAsia="Malgun Gothic" w:hAnsi="Times New Roman"/>
          <w:b/>
          <w:bCs/>
          <w:sz w:val="24"/>
          <w:szCs w:val="24"/>
        </w:rPr>
      </w:pPr>
    </w:p>
    <w:p w:rsidR="0024142C" w:rsidRPr="007668DF" w:rsidRDefault="0024142C" w:rsidP="003B152B">
      <w:pPr>
        <w:pStyle w:val="Subtitle"/>
        <w:rPr>
          <w:rFonts w:eastAsia="Malgun Gothic"/>
        </w:rPr>
      </w:pPr>
      <w:bookmarkStart w:id="32" w:name="_Toc401931511"/>
      <w:r w:rsidRPr="007668DF">
        <w:rPr>
          <w:rFonts w:eastAsia="Malgun Gothic"/>
        </w:rPr>
        <w:t>A la communauté internationale</w:t>
      </w:r>
      <w:bookmarkEnd w:id="32"/>
    </w:p>
    <w:p w:rsidR="0024142C" w:rsidRPr="007668DF" w:rsidRDefault="0024142C" w:rsidP="006C2FA0">
      <w:pPr>
        <w:tabs>
          <w:tab w:val="left" w:pos="567"/>
          <w:tab w:val="left" w:pos="709"/>
          <w:tab w:val="left" w:pos="851"/>
        </w:tabs>
        <w:spacing w:after="0"/>
        <w:jc w:val="both"/>
        <w:rPr>
          <w:rFonts w:ascii="Times New Roman" w:eastAsia="Malgun Gothic" w:hAnsi="Times New Roman"/>
          <w:b/>
          <w:bCs/>
          <w:sz w:val="24"/>
          <w:szCs w:val="24"/>
        </w:rPr>
      </w:pPr>
    </w:p>
    <w:p w:rsidR="0024142C" w:rsidRPr="007668DF" w:rsidRDefault="0024142C" w:rsidP="006C2FA0">
      <w:pPr>
        <w:tabs>
          <w:tab w:val="left" w:pos="567"/>
          <w:tab w:val="left" w:pos="709"/>
          <w:tab w:val="left" w:pos="851"/>
        </w:tabs>
        <w:spacing w:after="0"/>
        <w:jc w:val="both"/>
        <w:rPr>
          <w:rFonts w:ascii="Times New Roman" w:eastAsia="Malgun Gothic" w:hAnsi="Times New Roman"/>
          <w:b/>
          <w:bCs/>
          <w:sz w:val="24"/>
          <w:szCs w:val="24"/>
        </w:rPr>
      </w:pPr>
      <w:r w:rsidRPr="007668DF">
        <w:rPr>
          <w:rFonts w:ascii="Times New Roman" w:eastAsia="Malgun Gothic" w:hAnsi="Times New Roman"/>
          <w:b/>
          <w:bCs/>
          <w:sz w:val="24"/>
          <w:szCs w:val="24"/>
        </w:rPr>
        <w:t>•</w:t>
      </w:r>
      <w:r w:rsidRPr="007668DF">
        <w:rPr>
          <w:rFonts w:ascii="Times New Roman" w:eastAsia="Malgun Gothic" w:hAnsi="Times New Roman"/>
          <w:b/>
          <w:bCs/>
          <w:sz w:val="24"/>
          <w:szCs w:val="24"/>
        </w:rPr>
        <w:tab/>
      </w:r>
      <w:r w:rsidR="00D426B4" w:rsidRPr="007668DF">
        <w:rPr>
          <w:rFonts w:ascii="Times New Roman" w:eastAsia="Malgun Gothic" w:hAnsi="Times New Roman"/>
          <w:b/>
          <w:bCs/>
          <w:sz w:val="24"/>
          <w:szCs w:val="24"/>
        </w:rPr>
        <w:t>E</w:t>
      </w:r>
      <w:r w:rsidRPr="007668DF">
        <w:rPr>
          <w:rFonts w:ascii="Times New Roman" w:eastAsia="Malgun Gothic" w:hAnsi="Times New Roman"/>
          <w:b/>
          <w:bCs/>
          <w:sz w:val="24"/>
          <w:szCs w:val="24"/>
        </w:rPr>
        <w:t>ncourager les autorités à redoubler d’efforts pour prévenir les violations des droits de l’homme</w:t>
      </w:r>
      <w:r w:rsidR="006D6B27">
        <w:rPr>
          <w:rFonts w:ascii="Times New Roman" w:eastAsia="Malgun Gothic" w:hAnsi="Times New Roman"/>
          <w:b/>
          <w:bCs/>
          <w:sz w:val="24"/>
          <w:szCs w:val="24"/>
        </w:rPr>
        <w:t xml:space="preserve"> et du droit international humanitaire</w:t>
      </w:r>
      <w:r w:rsidRPr="007668DF">
        <w:rPr>
          <w:rFonts w:ascii="Times New Roman" w:eastAsia="Malgun Gothic" w:hAnsi="Times New Roman"/>
          <w:b/>
          <w:bCs/>
          <w:sz w:val="24"/>
          <w:szCs w:val="24"/>
        </w:rPr>
        <w:t xml:space="preserve"> et combattre</w:t>
      </w:r>
      <w:r w:rsidR="00A87098" w:rsidRPr="007668DF">
        <w:rPr>
          <w:rFonts w:ascii="Times New Roman" w:eastAsia="Malgun Gothic" w:hAnsi="Times New Roman"/>
          <w:b/>
          <w:bCs/>
          <w:sz w:val="24"/>
          <w:szCs w:val="24"/>
        </w:rPr>
        <w:t xml:space="preserve"> </w:t>
      </w:r>
      <w:r w:rsidR="00F01761" w:rsidRPr="007668DF">
        <w:rPr>
          <w:rFonts w:ascii="Times New Roman" w:eastAsia="Malgun Gothic" w:hAnsi="Times New Roman"/>
          <w:b/>
          <w:bCs/>
          <w:sz w:val="24"/>
          <w:szCs w:val="24"/>
        </w:rPr>
        <w:t>l’impunité</w:t>
      </w:r>
      <w:r w:rsidR="00DC33F8">
        <w:rPr>
          <w:rFonts w:ascii="Times New Roman" w:eastAsia="Malgun Gothic" w:hAnsi="Times New Roman"/>
          <w:b/>
          <w:bCs/>
          <w:sz w:val="24"/>
          <w:szCs w:val="24"/>
        </w:rPr>
        <w:t> ;</w:t>
      </w:r>
    </w:p>
    <w:p w:rsidR="0024142C" w:rsidRPr="007668DF" w:rsidRDefault="0024142C" w:rsidP="006C2FA0">
      <w:pPr>
        <w:tabs>
          <w:tab w:val="left" w:pos="567"/>
          <w:tab w:val="left" w:pos="709"/>
          <w:tab w:val="left" w:pos="851"/>
        </w:tabs>
        <w:spacing w:after="0"/>
        <w:jc w:val="both"/>
        <w:rPr>
          <w:rFonts w:ascii="Times New Roman" w:eastAsia="Malgun Gothic" w:hAnsi="Times New Roman"/>
          <w:b/>
          <w:bCs/>
          <w:sz w:val="24"/>
          <w:szCs w:val="24"/>
        </w:rPr>
      </w:pPr>
    </w:p>
    <w:p w:rsidR="0024142C" w:rsidRPr="007668DF" w:rsidRDefault="0024142C" w:rsidP="006C2FA0">
      <w:pPr>
        <w:tabs>
          <w:tab w:val="left" w:pos="567"/>
          <w:tab w:val="left" w:pos="709"/>
          <w:tab w:val="left" w:pos="851"/>
        </w:tabs>
        <w:spacing w:after="0"/>
        <w:jc w:val="both"/>
        <w:rPr>
          <w:rFonts w:ascii="Times New Roman" w:eastAsia="Malgun Gothic" w:hAnsi="Times New Roman"/>
          <w:b/>
          <w:bCs/>
          <w:sz w:val="24"/>
          <w:szCs w:val="24"/>
        </w:rPr>
      </w:pPr>
      <w:r w:rsidRPr="007668DF">
        <w:rPr>
          <w:rFonts w:ascii="Times New Roman" w:eastAsia="Malgun Gothic" w:hAnsi="Times New Roman"/>
          <w:b/>
          <w:bCs/>
          <w:sz w:val="24"/>
          <w:szCs w:val="24"/>
        </w:rPr>
        <w:t>•</w:t>
      </w:r>
      <w:r w:rsidRPr="007668DF">
        <w:rPr>
          <w:rFonts w:ascii="Times New Roman" w:eastAsia="Malgun Gothic" w:hAnsi="Times New Roman"/>
          <w:b/>
          <w:bCs/>
          <w:sz w:val="24"/>
          <w:szCs w:val="24"/>
        </w:rPr>
        <w:tab/>
        <w:t xml:space="preserve"> </w:t>
      </w:r>
      <w:r w:rsidR="00D426B4" w:rsidRPr="007668DF">
        <w:rPr>
          <w:rFonts w:ascii="Times New Roman" w:eastAsia="Malgun Gothic" w:hAnsi="Times New Roman"/>
          <w:b/>
          <w:bCs/>
          <w:sz w:val="24"/>
          <w:szCs w:val="24"/>
        </w:rPr>
        <w:t>A</w:t>
      </w:r>
      <w:r w:rsidRPr="007668DF">
        <w:rPr>
          <w:rFonts w:ascii="Times New Roman" w:eastAsia="Malgun Gothic" w:hAnsi="Times New Roman"/>
          <w:b/>
          <w:bCs/>
          <w:sz w:val="24"/>
          <w:szCs w:val="24"/>
        </w:rPr>
        <w:t xml:space="preserve">méliorer la stratégie d’appui à la </w:t>
      </w:r>
      <w:r w:rsidR="007E4807" w:rsidRPr="007668DF">
        <w:rPr>
          <w:rFonts w:ascii="Times New Roman" w:eastAsia="Malgun Gothic" w:hAnsi="Times New Roman"/>
          <w:b/>
          <w:bCs/>
          <w:sz w:val="24"/>
          <w:szCs w:val="24"/>
        </w:rPr>
        <w:t xml:space="preserve">MINUSMA </w:t>
      </w:r>
      <w:r w:rsidRPr="007668DF">
        <w:rPr>
          <w:rFonts w:ascii="Times New Roman" w:eastAsia="Malgun Gothic" w:hAnsi="Times New Roman"/>
          <w:b/>
          <w:bCs/>
          <w:sz w:val="24"/>
          <w:szCs w:val="24"/>
        </w:rPr>
        <w:t xml:space="preserve">et concrétiser le déploiement de troupes dotées </w:t>
      </w:r>
      <w:r w:rsidR="00C1054B" w:rsidRPr="007668DF">
        <w:rPr>
          <w:rFonts w:ascii="Times New Roman" w:eastAsia="Malgun Gothic" w:hAnsi="Times New Roman"/>
          <w:b/>
          <w:bCs/>
          <w:sz w:val="24"/>
          <w:szCs w:val="24"/>
        </w:rPr>
        <w:t xml:space="preserve">de </w:t>
      </w:r>
      <w:r w:rsidRPr="007668DF">
        <w:rPr>
          <w:rFonts w:ascii="Times New Roman" w:eastAsia="Malgun Gothic" w:hAnsi="Times New Roman"/>
          <w:b/>
          <w:bCs/>
          <w:sz w:val="24"/>
          <w:szCs w:val="24"/>
        </w:rPr>
        <w:t xml:space="preserve">moyens conséquents pour </w:t>
      </w:r>
      <w:r w:rsidR="000B24B9" w:rsidRPr="007668DF">
        <w:rPr>
          <w:rFonts w:ascii="Times New Roman" w:eastAsia="Malgun Gothic" w:hAnsi="Times New Roman"/>
          <w:b/>
          <w:bCs/>
          <w:sz w:val="24"/>
          <w:szCs w:val="24"/>
        </w:rPr>
        <w:t xml:space="preserve">assurer la protection des civils </w:t>
      </w:r>
      <w:r w:rsidRPr="007668DF">
        <w:rPr>
          <w:rFonts w:ascii="Times New Roman" w:eastAsia="Malgun Gothic" w:hAnsi="Times New Roman"/>
          <w:b/>
          <w:bCs/>
          <w:sz w:val="24"/>
          <w:szCs w:val="24"/>
        </w:rPr>
        <w:t>dans les localités du nord;</w:t>
      </w:r>
    </w:p>
    <w:p w:rsidR="0024142C" w:rsidRPr="007668DF" w:rsidRDefault="0024142C" w:rsidP="006C2FA0">
      <w:pPr>
        <w:tabs>
          <w:tab w:val="left" w:pos="567"/>
          <w:tab w:val="left" w:pos="709"/>
          <w:tab w:val="left" w:pos="851"/>
        </w:tabs>
        <w:spacing w:after="0"/>
        <w:jc w:val="both"/>
        <w:rPr>
          <w:rFonts w:ascii="Times New Roman" w:eastAsia="Malgun Gothic" w:hAnsi="Times New Roman"/>
          <w:b/>
          <w:bCs/>
          <w:sz w:val="24"/>
          <w:szCs w:val="24"/>
        </w:rPr>
      </w:pPr>
    </w:p>
    <w:p w:rsidR="0024142C" w:rsidRPr="007668DF" w:rsidRDefault="0024142C" w:rsidP="006C2FA0">
      <w:pPr>
        <w:tabs>
          <w:tab w:val="left" w:pos="567"/>
          <w:tab w:val="left" w:pos="709"/>
          <w:tab w:val="left" w:pos="851"/>
        </w:tabs>
        <w:spacing w:after="0"/>
        <w:jc w:val="both"/>
        <w:rPr>
          <w:rFonts w:ascii="Times New Roman" w:eastAsia="Malgun Gothic" w:hAnsi="Times New Roman"/>
          <w:b/>
          <w:bCs/>
          <w:sz w:val="24"/>
          <w:szCs w:val="24"/>
        </w:rPr>
      </w:pPr>
      <w:r w:rsidRPr="007668DF">
        <w:rPr>
          <w:rFonts w:ascii="Times New Roman" w:eastAsia="Malgun Gothic" w:hAnsi="Times New Roman"/>
          <w:b/>
          <w:bCs/>
          <w:sz w:val="24"/>
          <w:szCs w:val="24"/>
        </w:rPr>
        <w:lastRenderedPageBreak/>
        <w:t>•</w:t>
      </w:r>
      <w:r w:rsidRPr="007668DF">
        <w:rPr>
          <w:rFonts w:ascii="Times New Roman" w:eastAsia="Malgun Gothic" w:hAnsi="Times New Roman"/>
          <w:b/>
          <w:bCs/>
          <w:sz w:val="24"/>
          <w:szCs w:val="24"/>
        </w:rPr>
        <w:tab/>
      </w:r>
      <w:r w:rsidR="00D426B4" w:rsidRPr="007668DF">
        <w:rPr>
          <w:rFonts w:ascii="Times New Roman" w:eastAsia="Malgun Gothic" w:hAnsi="Times New Roman"/>
          <w:b/>
          <w:bCs/>
          <w:sz w:val="24"/>
          <w:szCs w:val="24"/>
        </w:rPr>
        <w:t>C</w:t>
      </w:r>
      <w:r w:rsidRPr="007668DF">
        <w:rPr>
          <w:rFonts w:ascii="Times New Roman" w:eastAsia="Malgun Gothic" w:hAnsi="Times New Roman"/>
          <w:b/>
          <w:bCs/>
          <w:sz w:val="24"/>
          <w:szCs w:val="24"/>
        </w:rPr>
        <w:t xml:space="preserve">ontinuer à appuyer les efforts du </w:t>
      </w:r>
      <w:r w:rsidR="00F01761" w:rsidRPr="007668DF">
        <w:rPr>
          <w:rFonts w:ascii="Times New Roman" w:eastAsia="Malgun Gothic" w:hAnsi="Times New Roman"/>
          <w:b/>
          <w:bCs/>
          <w:sz w:val="24"/>
          <w:szCs w:val="24"/>
        </w:rPr>
        <w:t>g</w:t>
      </w:r>
      <w:r w:rsidRPr="007668DF">
        <w:rPr>
          <w:rFonts w:ascii="Times New Roman" w:eastAsia="Malgun Gothic" w:hAnsi="Times New Roman"/>
          <w:b/>
          <w:bCs/>
          <w:sz w:val="24"/>
          <w:szCs w:val="24"/>
        </w:rPr>
        <w:t>ouvernement pour garantir la sécurité  des populations sur l’ensemble du territoire national;</w:t>
      </w:r>
    </w:p>
    <w:p w:rsidR="0024142C" w:rsidRPr="007668DF" w:rsidRDefault="0024142C" w:rsidP="006C2FA0">
      <w:pPr>
        <w:tabs>
          <w:tab w:val="left" w:pos="567"/>
          <w:tab w:val="left" w:pos="709"/>
          <w:tab w:val="left" w:pos="851"/>
        </w:tabs>
        <w:spacing w:after="0"/>
        <w:jc w:val="both"/>
        <w:rPr>
          <w:rFonts w:ascii="Times New Roman" w:eastAsia="Malgun Gothic" w:hAnsi="Times New Roman"/>
          <w:b/>
          <w:bCs/>
          <w:sz w:val="24"/>
          <w:szCs w:val="24"/>
        </w:rPr>
      </w:pPr>
      <w:r w:rsidRPr="007668DF">
        <w:rPr>
          <w:rFonts w:ascii="Times New Roman" w:eastAsia="Malgun Gothic" w:hAnsi="Times New Roman"/>
          <w:b/>
          <w:bCs/>
          <w:sz w:val="24"/>
          <w:szCs w:val="24"/>
        </w:rPr>
        <w:t xml:space="preserve"> </w:t>
      </w:r>
    </w:p>
    <w:p w:rsidR="00890D18" w:rsidRPr="007668DF" w:rsidRDefault="0024142C" w:rsidP="006C2FA0">
      <w:pPr>
        <w:tabs>
          <w:tab w:val="left" w:pos="567"/>
          <w:tab w:val="left" w:pos="709"/>
          <w:tab w:val="left" w:pos="851"/>
        </w:tabs>
        <w:spacing w:after="0"/>
        <w:jc w:val="both"/>
        <w:rPr>
          <w:rFonts w:ascii="Times New Roman" w:eastAsia="Malgun Gothic" w:hAnsi="Times New Roman"/>
          <w:b/>
          <w:bCs/>
          <w:sz w:val="24"/>
          <w:szCs w:val="24"/>
        </w:rPr>
      </w:pPr>
      <w:r w:rsidRPr="007668DF">
        <w:rPr>
          <w:rFonts w:ascii="Times New Roman" w:eastAsia="Malgun Gothic" w:hAnsi="Times New Roman"/>
          <w:b/>
          <w:bCs/>
          <w:sz w:val="24"/>
          <w:szCs w:val="24"/>
        </w:rPr>
        <w:t>•</w:t>
      </w:r>
      <w:r w:rsidRPr="007668DF">
        <w:rPr>
          <w:rFonts w:ascii="Times New Roman" w:eastAsia="Malgun Gothic" w:hAnsi="Times New Roman"/>
          <w:b/>
          <w:bCs/>
          <w:sz w:val="24"/>
          <w:szCs w:val="24"/>
        </w:rPr>
        <w:tab/>
      </w:r>
      <w:r w:rsidR="00D426B4" w:rsidRPr="007668DF">
        <w:rPr>
          <w:rFonts w:ascii="Times New Roman" w:eastAsia="Malgun Gothic" w:hAnsi="Times New Roman"/>
          <w:b/>
          <w:bCs/>
          <w:sz w:val="24"/>
          <w:szCs w:val="24"/>
        </w:rPr>
        <w:t>A</w:t>
      </w:r>
      <w:r w:rsidRPr="007668DF">
        <w:rPr>
          <w:rFonts w:ascii="Times New Roman" w:eastAsia="Malgun Gothic" w:hAnsi="Times New Roman"/>
          <w:b/>
          <w:bCs/>
          <w:sz w:val="24"/>
          <w:szCs w:val="24"/>
        </w:rPr>
        <w:t xml:space="preserve">ider le gouvernement à poursuivre le renforcement des capacités nationales, y compris celles des forces de défense et de sécurité et </w:t>
      </w:r>
      <w:r w:rsidR="007E4807" w:rsidRPr="007668DF">
        <w:rPr>
          <w:rFonts w:ascii="Times New Roman" w:eastAsia="Malgun Gothic" w:hAnsi="Times New Roman"/>
          <w:b/>
          <w:bCs/>
          <w:sz w:val="24"/>
          <w:szCs w:val="24"/>
        </w:rPr>
        <w:t>du</w:t>
      </w:r>
      <w:r w:rsidRPr="007668DF">
        <w:rPr>
          <w:rFonts w:ascii="Times New Roman" w:eastAsia="Malgun Gothic" w:hAnsi="Times New Roman"/>
          <w:b/>
          <w:bCs/>
          <w:sz w:val="24"/>
          <w:szCs w:val="24"/>
        </w:rPr>
        <w:t xml:space="preserve"> système judiciaire</w:t>
      </w:r>
      <w:r w:rsidR="00F01761" w:rsidRPr="007668DF">
        <w:rPr>
          <w:rFonts w:ascii="Times New Roman" w:eastAsia="Malgun Gothic" w:hAnsi="Times New Roman"/>
          <w:b/>
          <w:bCs/>
          <w:sz w:val="24"/>
          <w:szCs w:val="24"/>
        </w:rPr>
        <w:t>,</w:t>
      </w:r>
      <w:r w:rsidRPr="007668DF">
        <w:rPr>
          <w:rFonts w:ascii="Times New Roman" w:eastAsia="Malgun Gothic" w:hAnsi="Times New Roman"/>
          <w:b/>
          <w:bCs/>
          <w:sz w:val="24"/>
          <w:szCs w:val="24"/>
        </w:rPr>
        <w:t xml:space="preserve"> pour </w:t>
      </w:r>
      <w:r w:rsidR="00F01761" w:rsidRPr="007668DF">
        <w:rPr>
          <w:rFonts w:ascii="Times New Roman" w:eastAsia="Malgun Gothic" w:hAnsi="Times New Roman"/>
          <w:b/>
          <w:bCs/>
          <w:sz w:val="24"/>
          <w:szCs w:val="24"/>
        </w:rPr>
        <w:t xml:space="preserve">le renforcement de l’Etat de droit et de la démocratie, et </w:t>
      </w:r>
      <w:r w:rsidRPr="007668DF">
        <w:rPr>
          <w:rFonts w:ascii="Times New Roman" w:eastAsia="Malgun Gothic" w:hAnsi="Times New Roman"/>
          <w:b/>
          <w:bCs/>
          <w:sz w:val="24"/>
          <w:szCs w:val="24"/>
        </w:rPr>
        <w:t>l’instauration d’une culture de la paix et des droits de l’homme</w:t>
      </w:r>
      <w:r w:rsidR="0085235A">
        <w:rPr>
          <w:rFonts w:ascii="Times New Roman" w:eastAsia="Malgun Gothic" w:hAnsi="Times New Roman"/>
          <w:b/>
          <w:bCs/>
          <w:sz w:val="24"/>
          <w:szCs w:val="24"/>
        </w:rPr>
        <w:t xml:space="preserve"> au Mali</w:t>
      </w:r>
      <w:r w:rsidRPr="007668DF">
        <w:rPr>
          <w:rFonts w:ascii="Times New Roman" w:eastAsia="Malgun Gothic" w:hAnsi="Times New Roman"/>
          <w:b/>
          <w:bCs/>
          <w:sz w:val="24"/>
          <w:szCs w:val="24"/>
        </w:rPr>
        <w:t>.</w:t>
      </w:r>
      <w:bookmarkEnd w:id="1"/>
      <w:bookmarkEnd w:id="2"/>
    </w:p>
    <w:p w:rsidR="0006415D" w:rsidRPr="007668DF" w:rsidRDefault="00D83D12" w:rsidP="003B152B">
      <w:pPr>
        <w:tabs>
          <w:tab w:val="left" w:pos="567"/>
          <w:tab w:val="left" w:pos="709"/>
          <w:tab w:val="left" w:pos="851"/>
        </w:tabs>
        <w:spacing w:after="0"/>
        <w:jc w:val="center"/>
        <w:rPr>
          <w:rFonts w:ascii="Times New Roman" w:eastAsia="Malgun Gothic" w:hAnsi="Times New Roman"/>
          <w:b/>
          <w:bCs/>
          <w:sz w:val="24"/>
          <w:szCs w:val="24"/>
        </w:rPr>
      </w:pPr>
      <w:r w:rsidRPr="007668DF">
        <w:rPr>
          <w:rFonts w:ascii="Times New Roman" w:eastAsia="Malgun Gothic" w:hAnsi="Times New Roman"/>
          <w:bCs/>
          <w:sz w:val="24"/>
          <w:szCs w:val="24"/>
        </w:rPr>
        <w:br/>
      </w:r>
      <w:r w:rsidR="003C54D5" w:rsidRPr="007668DF">
        <w:rPr>
          <w:rFonts w:ascii="Times New Roman" w:eastAsia="Malgun Gothic" w:hAnsi="Times New Roman"/>
          <w:b/>
          <w:bCs/>
          <w:sz w:val="24"/>
          <w:szCs w:val="24"/>
        </w:rPr>
        <w:t>FIN</w:t>
      </w:r>
      <w:r w:rsidR="00394E3C">
        <w:rPr>
          <w:rFonts w:ascii="Times New Roman" w:eastAsia="Malgun Gothic" w:hAnsi="Times New Roman"/>
          <w:b/>
          <w:bCs/>
          <w:sz w:val="24"/>
          <w:szCs w:val="24"/>
        </w:rPr>
        <w:t>.</w:t>
      </w:r>
    </w:p>
    <w:p w:rsidR="0006415D" w:rsidRPr="007668DF" w:rsidRDefault="0006415D" w:rsidP="006C2FA0">
      <w:pPr>
        <w:tabs>
          <w:tab w:val="left" w:pos="567"/>
          <w:tab w:val="left" w:pos="709"/>
          <w:tab w:val="left" w:pos="851"/>
        </w:tabs>
        <w:spacing w:after="0"/>
        <w:jc w:val="both"/>
        <w:rPr>
          <w:rFonts w:ascii="Times New Roman" w:eastAsia="Malgun Gothic" w:hAnsi="Times New Roman"/>
          <w:b/>
          <w:bCs/>
          <w:sz w:val="24"/>
          <w:szCs w:val="24"/>
        </w:rPr>
      </w:pPr>
    </w:p>
    <w:p w:rsidR="0006415D" w:rsidRPr="007668DF" w:rsidRDefault="0006415D" w:rsidP="006C2FA0">
      <w:pPr>
        <w:tabs>
          <w:tab w:val="left" w:pos="567"/>
          <w:tab w:val="left" w:pos="709"/>
          <w:tab w:val="left" w:pos="851"/>
        </w:tabs>
        <w:spacing w:after="0"/>
        <w:jc w:val="both"/>
        <w:rPr>
          <w:rFonts w:ascii="Times New Roman" w:eastAsia="Malgun Gothic" w:hAnsi="Times New Roman"/>
          <w:b/>
          <w:bCs/>
          <w:sz w:val="24"/>
          <w:szCs w:val="24"/>
        </w:rPr>
      </w:pPr>
    </w:p>
    <w:p w:rsidR="0006415D" w:rsidRPr="007668DF" w:rsidRDefault="0006415D" w:rsidP="006C2FA0">
      <w:pPr>
        <w:tabs>
          <w:tab w:val="left" w:pos="567"/>
          <w:tab w:val="left" w:pos="709"/>
          <w:tab w:val="left" w:pos="851"/>
        </w:tabs>
        <w:spacing w:after="0"/>
        <w:jc w:val="both"/>
        <w:rPr>
          <w:rFonts w:ascii="Times New Roman" w:eastAsia="Malgun Gothic" w:hAnsi="Times New Roman"/>
          <w:b/>
          <w:bCs/>
          <w:sz w:val="24"/>
          <w:szCs w:val="24"/>
        </w:rPr>
      </w:pPr>
    </w:p>
    <w:p w:rsidR="0006415D" w:rsidRPr="007668DF" w:rsidRDefault="0006415D" w:rsidP="006C2FA0">
      <w:pPr>
        <w:tabs>
          <w:tab w:val="left" w:pos="567"/>
          <w:tab w:val="left" w:pos="709"/>
          <w:tab w:val="left" w:pos="851"/>
        </w:tabs>
        <w:spacing w:after="0"/>
        <w:jc w:val="both"/>
        <w:rPr>
          <w:rFonts w:ascii="Times New Roman" w:eastAsia="Malgun Gothic" w:hAnsi="Times New Roman"/>
          <w:b/>
          <w:bCs/>
          <w:sz w:val="24"/>
          <w:szCs w:val="24"/>
        </w:rPr>
      </w:pPr>
    </w:p>
    <w:p w:rsidR="0006415D" w:rsidRPr="007668DF" w:rsidRDefault="0006415D" w:rsidP="006C2FA0">
      <w:pPr>
        <w:tabs>
          <w:tab w:val="left" w:pos="567"/>
          <w:tab w:val="left" w:pos="709"/>
          <w:tab w:val="left" w:pos="851"/>
        </w:tabs>
        <w:spacing w:after="0"/>
        <w:jc w:val="both"/>
        <w:rPr>
          <w:rFonts w:ascii="Times New Roman" w:eastAsia="Malgun Gothic" w:hAnsi="Times New Roman"/>
          <w:b/>
          <w:bCs/>
          <w:sz w:val="24"/>
          <w:szCs w:val="24"/>
        </w:rPr>
      </w:pPr>
    </w:p>
    <w:p w:rsidR="0006415D" w:rsidRPr="007668DF" w:rsidRDefault="0006415D" w:rsidP="006C2FA0">
      <w:pPr>
        <w:tabs>
          <w:tab w:val="left" w:pos="567"/>
          <w:tab w:val="left" w:pos="709"/>
          <w:tab w:val="left" w:pos="851"/>
        </w:tabs>
        <w:spacing w:after="0"/>
        <w:jc w:val="both"/>
        <w:rPr>
          <w:rFonts w:ascii="Times New Roman" w:eastAsia="Malgun Gothic" w:hAnsi="Times New Roman"/>
          <w:b/>
          <w:bCs/>
          <w:sz w:val="24"/>
          <w:szCs w:val="24"/>
        </w:rPr>
      </w:pPr>
    </w:p>
    <w:p w:rsidR="0006415D" w:rsidRPr="007668DF" w:rsidRDefault="0006415D" w:rsidP="006C2FA0">
      <w:pPr>
        <w:tabs>
          <w:tab w:val="left" w:pos="567"/>
          <w:tab w:val="left" w:pos="709"/>
          <w:tab w:val="left" w:pos="851"/>
        </w:tabs>
        <w:spacing w:after="0"/>
        <w:jc w:val="both"/>
        <w:rPr>
          <w:rFonts w:ascii="Times New Roman" w:eastAsia="Malgun Gothic" w:hAnsi="Times New Roman"/>
          <w:b/>
          <w:bCs/>
          <w:sz w:val="24"/>
          <w:szCs w:val="24"/>
        </w:rPr>
      </w:pPr>
    </w:p>
    <w:p w:rsidR="0006415D" w:rsidRPr="007668DF" w:rsidRDefault="0006415D" w:rsidP="006C2FA0">
      <w:pPr>
        <w:tabs>
          <w:tab w:val="left" w:pos="567"/>
          <w:tab w:val="left" w:pos="709"/>
          <w:tab w:val="left" w:pos="851"/>
        </w:tabs>
        <w:spacing w:after="0"/>
        <w:jc w:val="both"/>
        <w:rPr>
          <w:rFonts w:ascii="Times New Roman" w:eastAsia="Malgun Gothic" w:hAnsi="Times New Roman"/>
          <w:b/>
          <w:bCs/>
          <w:sz w:val="24"/>
          <w:szCs w:val="24"/>
        </w:rPr>
      </w:pPr>
    </w:p>
    <w:p w:rsidR="0006415D" w:rsidRPr="007668DF" w:rsidRDefault="0006415D" w:rsidP="006C2FA0">
      <w:pPr>
        <w:tabs>
          <w:tab w:val="left" w:pos="567"/>
          <w:tab w:val="left" w:pos="709"/>
          <w:tab w:val="left" w:pos="851"/>
        </w:tabs>
        <w:spacing w:after="0"/>
        <w:jc w:val="both"/>
        <w:rPr>
          <w:rFonts w:ascii="Times New Roman" w:eastAsia="Malgun Gothic" w:hAnsi="Times New Roman"/>
          <w:b/>
          <w:bCs/>
          <w:sz w:val="24"/>
          <w:szCs w:val="24"/>
        </w:rPr>
      </w:pPr>
    </w:p>
    <w:sectPr w:rsidR="0006415D" w:rsidRPr="007668DF" w:rsidSect="00DA30E2">
      <w:headerReference w:type="default" r:id="rId10"/>
      <w:footerReference w:type="default" r:id="rId11"/>
      <w:footerReference w:type="first" r:id="rId12"/>
      <w:pgSz w:w="12240" w:h="15840"/>
      <w:pgMar w:top="1170" w:right="1750" w:bottom="851" w:left="15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1FC" w:rsidRDefault="004041FC" w:rsidP="000F57A1">
      <w:pPr>
        <w:spacing w:after="0" w:line="240" w:lineRule="auto"/>
      </w:pPr>
      <w:r>
        <w:separator/>
      </w:r>
    </w:p>
  </w:endnote>
  <w:endnote w:type="continuationSeparator" w:id="0">
    <w:p w:rsidR="004041FC" w:rsidRDefault="004041FC" w:rsidP="000F5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408949"/>
      <w:docPartObj>
        <w:docPartGallery w:val="Page Numbers (Bottom of Page)"/>
        <w:docPartUnique/>
      </w:docPartObj>
    </w:sdtPr>
    <w:sdtEndPr>
      <w:rPr>
        <w:rFonts w:ascii="Times New Roman" w:hAnsi="Times New Roman"/>
        <w:noProof/>
      </w:rPr>
    </w:sdtEndPr>
    <w:sdtContent>
      <w:p w:rsidR="00C5716E" w:rsidRPr="003B152B" w:rsidRDefault="00C5716E">
        <w:pPr>
          <w:pStyle w:val="Footer"/>
          <w:jc w:val="right"/>
          <w:rPr>
            <w:rFonts w:ascii="Times New Roman" w:hAnsi="Times New Roman"/>
          </w:rPr>
        </w:pPr>
        <w:r w:rsidRPr="003B152B">
          <w:rPr>
            <w:rFonts w:ascii="Times New Roman" w:hAnsi="Times New Roman"/>
          </w:rPr>
          <w:fldChar w:fldCharType="begin"/>
        </w:r>
        <w:r w:rsidRPr="003B152B">
          <w:rPr>
            <w:rFonts w:ascii="Times New Roman" w:hAnsi="Times New Roman"/>
          </w:rPr>
          <w:instrText xml:space="preserve"> PAGE   \* MERGEFORMAT </w:instrText>
        </w:r>
        <w:r w:rsidRPr="003B152B">
          <w:rPr>
            <w:rFonts w:ascii="Times New Roman" w:hAnsi="Times New Roman"/>
          </w:rPr>
          <w:fldChar w:fldCharType="separate"/>
        </w:r>
        <w:r w:rsidR="000B4C18">
          <w:rPr>
            <w:rFonts w:ascii="Times New Roman" w:hAnsi="Times New Roman"/>
            <w:noProof/>
          </w:rPr>
          <w:t>3</w:t>
        </w:r>
        <w:r w:rsidRPr="003B152B">
          <w:rPr>
            <w:rFonts w:ascii="Times New Roman" w:hAnsi="Times New Roman"/>
            <w:noProof/>
          </w:rPr>
          <w:fldChar w:fldCharType="end"/>
        </w:r>
      </w:p>
    </w:sdtContent>
  </w:sdt>
  <w:p w:rsidR="00C5716E" w:rsidRPr="002812DE" w:rsidRDefault="00C5716E" w:rsidP="00BA4FBA">
    <w:pPr>
      <w:pStyle w:val="Footer"/>
      <w:jc w:val="center"/>
      <w:rPr>
        <w:rFonts w:ascii="Times New Roman" w:hAnsi="Times New Roman"/>
        <w:color w:val="595959" w:themeColor="text1" w:themeTint="A6"/>
        <w:sz w:val="20"/>
        <w:szCs w:val="20"/>
      </w:rPr>
    </w:pPr>
  </w:p>
  <w:p w:rsidR="00C5716E" w:rsidRDefault="00C5716E" w:rsidP="009526DC">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16E" w:rsidRPr="002812DE" w:rsidRDefault="00C5716E" w:rsidP="00160CD4">
    <w:pPr>
      <w:pStyle w:val="Footer"/>
      <w:jc w:val="center"/>
      <w:rPr>
        <w:rFonts w:ascii="Times New Roman" w:hAnsi="Times New Roman"/>
        <w:color w:val="595959" w:themeColor="text1" w:themeTint="A6"/>
        <w:sz w:val="20"/>
        <w:szCs w:val="20"/>
      </w:rPr>
    </w:pPr>
  </w:p>
  <w:p w:rsidR="00C5716E" w:rsidRPr="00160CD4" w:rsidRDefault="00C5716E" w:rsidP="00160C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1FC" w:rsidRDefault="004041FC" w:rsidP="000F57A1">
      <w:pPr>
        <w:spacing w:after="0" w:line="240" w:lineRule="auto"/>
      </w:pPr>
      <w:r>
        <w:separator/>
      </w:r>
    </w:p>
  </w:footnote>
  <w:footnote w:type="continuationSeparator" w:id="0">
    <w:p w:rsidR="004041FC" w:rsidRDefault="004041FC" w:rsidP="000F57A1">
      <w:pPr>
        <w:spacing w:after="0" w:line="240" w:lineRule="auto"/>
      </w:pPr>
      <w:r>
        <w:continuationSeparator/>
      </w:r>
    </w:p>
  </w:footnote>
  <w:footnote w:id="1">
    <w:p w:rsidR="00C5716E" w:rsidRPr="008A3721" w:rsidRDefault="00C5716E" w:rsidP="00E81CFC">
      <w:pPr>
        <w:pStyle w:val="FootnoteText"/>
        <w:rPr>
          <w:rFonts w:ascii="Times New Roman" w:hAnsi="Times New Roman"/>
          <w:sz w:val="18"/>
          <w:szCs w:val="18"/>
        </w:rPr>
      </w:pPr>
      <w:r w:rsidRPr="00216DBC">
        <w:rPr>
          <w:rStyle w:val="FootnoteReference"/>
          <w:rFonts w:ascii="Times New Roman" w:hAnsi="Times New Roman"/>
          <w:sz w:val="18"/>
          <w:szCs w:val="18"/>
        </w:rPr>
        <w:footnoteRef/>
      </w:r>
      <w:r w:rsidRPr="00216DBC">
        <w:rPr>
          <w:rFonts w:ascii="Times New Roman" w:hAnsi="Times New Roman"/>
          <w:sz w:val="18"/>
          <w:szCs w:val="18"/>
        </w:rPr>
        <w:t xml:space="preserve"> </w:t>
      </w:r>
      <w:r w:rsidRPr="008A3721">
        <w:rPr>
          <w:rFonts w:ascii="Times New Roman" w:hAnsi="Times New Roman"/>
          <w:sz w:val="18"/>
          <w:szCs w:val="18"/>
        </w:rPr>
        <w:t xml:space="preserve">La </w:t>
      </w:r>
      <w:hyperlink r:id="rId1" w:history="1">
        <w:r w:rsidRPr="008A3721">
          <w:rPr>
            <w:rStyle w:val="Hyperlink"/>
            <w:rFonts w:ascii="Times New Roman" w:hAnsi="Times New Roman"/>
            <w:color w:val="auto"/>
            <w:sz w:val="18"/>
            <w:szCs w:val="18"/>
          </w:rPr>
          <w:t>résolution 2100</w:t>
        </w:r>
      </w:hyperlink>
      <w:r w:rsidRPr="008A3721">
        <w:rPr>
          <w:rFonts w:ascii="Times New Roman" w:hAnsi="Times New Roman"/>
          <w:sz w:val="18"/>
          <w:szCs w:val="18"/>
        </w:rPr>
        <w:t xml:space="preserve">  adoptée le 25 avril 2013 qui décide la transformation du Bureau des Nations Unies au Mali (UNOM) en La Mission multidimensionnelle intégrée des Nations Unies pour la stabilisation au Mali (MINUSMA).</w:t>
      </w:r>
    </w:p>
  </w:footnote>
  <w:footnote w:id="2">
    <w:p w:rsidR="00C5716E" w:rsidRPr="009214CC" w:rsidRDefault="00C5716E">
      <w:pPr>
        <w:pStyle w:val="FootnoteText"/>
      </w:pPr>
      <w:r w:rsidRPr="00216DBC">
        <w:rPr>
          <w:rStyle w:val="FootnoteReference"/>
          <w:rFonts w:ascii="Times New Roman" w:hAnsi="Times New Roman"/>
          <w:sz w:val="18"/>
          <w:szCs w:val="18"/>
        </w:rPr>
        <w:footnoteRef/>
      </w:r>
      <w:r w:rsidRPr="00216DBC">
        <w:rPr>
          <w:rFonts w:ascii="Times New Roman" w:hAnsi="Times New Roman"/>
          <w:sz w:val="18"/>
          <w:szCs w:val="18"/>
        </w:rPr>
        <w:t xml:space="preserve"> </w:t>
      </w:r>
      <w:r w:rsidRPr="008A3721">
        <w:rPr>
          <w:rFonts w:ascii="Times New Roman" w:hAnsi="Times New Roman"/>
          <w:sz w:val="18"/>
          <w:szCs w:val="18"/>
        </w:rPr>
        <w:t>La crise de 2012 a été déclenchée par l’occupation du nord du Mali par des groupes armés extrémistes</w:t>
      </w:r>
      <w:r w:rsidRPr="00216DBC">
        <w:rPr>
          <w:rFonts w:ascii="Times New Roman" w:hAnsi="Times New Roman"/>
          <w:sz w:val="18"/>
          <w:szCs w:val="18"/>
        </w:rPr>
        <w:t>.</w:t>
      </w:r>
    </w:p>
  </w:footnote>
  <w:footnote w:id="3">
    <w:p w:rsidR="00C5716E" w:rsidRPr="00FD57ED" w:rsidRDefault="00C5716E" w:rsidP="00F74CC7">
      <w:pPr>
        <w:rPr>
          <w:rFonts w:ascii="Times New Roman" w:hAnsi="Times New Roman"/>
          <w:sz w:val="18"/>
          <w:szCs w:val="18"/>
        </w:rPr>
      </w:pPr>
      <w:r w:rsidRPr="00FD57ED">
        <w:rPr>
          <w:rStyle w:val="FootnoteReference"/>
          <w:rFonts w:ascii="Times New Roman" w:hAnsi="Times New Roman"/>
          <w:sz w:val="18"/>
          <w:szCs w:val="18"/>
        </w:rPr>
        <w:footnoteRef/>
      </w:r>
      <w:r w:rsidRPr="00FD57ED">
        <w:rPr>
          <w:rFonts w:ascii="Times New Roman" w:hAnsi="Times New Roman"/>
          <w:sz w:val="18"/>
          <w:szCs w:val="18"/>
        </w:rPr>
        <w:t xml:space="preserve"> Serval est le nom donné depuis le 11 janvier 2013 à l'intervention militaire française au Mali,  l'objectif de cette opération est la mise en œuvre de la résolution 2085 du Conseil de sécurité des Nations Unies.</w:t>
      </w:r>
    </w:p>
    <w:p w:rsidR="00C5716E" w:rsidRPr="00C5240D" w:rsidRDefault="00C5716E" w:rsidP="00F74CC7">
      <w:pPr>
        <w:pStyle w:val="FootnoteText"/>
      </w:pPr>
    </w:p>
  </w:footnote>
  <w:footnote w:id="4">
    <w:p w:rsidR="00C5716E" w:rsidRPr="00112BA2" w:rsidRDefault="00C5716E">
      <w:pPr>
        <w:pStyle w:val="FootnoteText"/>
        <w:rPr>
          <w:rFonts w:ascii="Times New Roman" w:hAnsi="Times New Roman"/>
          <w:sz w:val="18"/>
          <w:szCs w:val="18"/>
          <w:lang w:val="fr-CH"/>
        </w:rPr>
      </w:pPr>
      <w:r w:rsidRPr="00216DBC">
        <w:rPr>
          <w:rStyle w:val="FootnoteReference"/>
          <w:rFonts w:ascii="Times New Roman" w:hAnsi="Times New Roman"/>
          <w:sz w:val="18"/>
          <w:szCs w:val="18"/>
        </w:rPr>
        <w:footnoteRef/>
      </w:r>
      <w:r w:rsidRPr="00216DBC">
        <w:rPr>
          <w:rFonts w:ascii="Times New Roman" w:hAnsi="Times New Roman"/>
          <w:sz w:val="18"/>
          <w:szCs w:val="18"/>
        </w:rPr>
        <w:t xml:space="preserve"> </w:t>
      </w:r>
      <w:r w:rsidRPr="008A3721">
        <w:rPr>
          <w:rFonts w:ascii="Times New Roman" w:hAnsi="Times New Roman"/>
          <w:sz w:val="18"/>
          <w:szCs w:val="18"/>
          <w:lang w:val="fr-CH"/>
        </w:rPr>
        <w:t>Le Mali a adhéré aux Convention</w:t>
      </w:r>
      <w:r w:rsidRPr="00C9567A">
        <w:rPr>
          <w:rFonts w:ascii="Times New Roman" w:hAnsi="Times New Roman"/>
          <w:sz w:val="18"/>
          <w:szCs w:val="18"/>
          <w:lang w:val="fr-CH"/>
        </w:rPr>
        <w:t xml:space="preserve">s de Genève I, II, III, IV de </w:t>
      </w:r>
      <w:r w:rsidRPr="005F57F1">
        <w:rPr>
          <w:rFonts w:ascii="Times New Roman" w:hAnsi="Times New Roman"/>
          <w:sz w:val="18"/>
          <w:szCs w:val="18"/>
          <w:lang w:val="fr-CH"/>
        </w:rPr>
        <w:t>1949, le 24 mai 1965 et aux</w:t>
      </w:r>
      <w:r w:rsidRPr="0085410F">
        <w:rPr>
          <w:rFonts w:ascii="Times New Roman" w:hAnsi="Times New Roman"/>
          <w:sz w:val="18"/>
          <w:szCs w:val="18"/>
          <w:lang w:val="fr-CH"/>
        </w:rPr>
        <w:t xml:space="preserve"> Protocoles</w:t>
      </w:r>
      <w:r w:rsidRPr="00FF3A8F">
        <w:rPr>
          <w:rFonts w:ascii="Times New Roman" w:hAnsi="Times New Roman"/>
          <w:sz w:val="18"/>
          <w:szCs w:val="18"/>
          <w:lang w:val="fr-CH"/>
        </w:rPr>
        <w:t xml:space="preserve"> additionnels</w:t>
      </w:r>
      <w:r w:rsidRPr="00112BA2">
        <w:rPr>
          <w:rFonts w:ascii="Times New Roman" w:hAnsi="Times New Roman"/>
          <w:sz w:val="18"/>
          <w:szCs w:val="18"/>
          <w:lang w:val="fr-CH"/>
        </w:rPr>
        <w:t xml:space="preserve"> I, II de 1977, le 8 février 1989. </w:t>
      </w:r>
    </w:p>
  </w:footnote>
  <w:footnote w:id="5">
    <w:p w:rsidR="00C5716E" w:rsidRPr="008A3721" w:rsidRDefault="00C5716E">
      <w:pPr>
        <w:pStyle w:val="FootnoteText"/>
        <w:rPr>
          <w:rFonts w:ascii="Times New Roman" w:hAnsi="Times New Roman"/>
          <w:sz w:val="18"/>
          <w:szCs w:val="18"/>
        </w:rPr>
      </w:pPr>
      <w:r w:rsidRPr="00794EF2">
        <w:rPr>
          <w:rStyle w:val="FootnoteReference"/>
          <w:rFonts w:ascii="Times New Roman" w:hAnsi="Times New Roman"/>
          <w:sz w:val="18"/>
          <w:szCs w:val="18"/>
        </w:rPr>
        <w:footnoteRef/>
      </w:r>
      <w:r w:rsidRPr="00794EF2">
        <w:rPr>
          <w:rFonts w:ascii="Times New Roman" w:hAnsi="Times New Roman"/>
          <w:sz w:val="18"/>
          <w:szCs w:val="18"/>
        </w:rPr>
        <w:t xml:space="preserve"> </w:t>
      </w:r>
      <w:r w:rsidRPr="008A3721">
        <w:rPr>
          <w:rFonts w:ascii="Times New Roman" w:hAnsi="Times New Roman"/>
          <w:sz w:val="18"/>
          <w:szCs w:val="18"/>
        </w:rPr>
        <w:t>Ratifié le16 juillet 1974 par le Mali</w:t>
      </w:r>
    </w:p>
  </w:footnote>
  <w:footnote w:id="6">
    <w:p w:rsidR="00C5716E" w:rsidRPr="008A3721" w:rsidRDefault="00C5716E">
      <w:pPr>
        <w:pStyle w:val="FootnoteText"/>
        <w:rPr>
          <w:rFonts w:ascii="Times New Roman" w:hAnsi="Times New Roman"/>
          <w:sz w:val="18"/>
          <w:szCs w:val="18"/>
          <w:lang w:val="fr-CH"/>
        </w:rPr>
      </w:pPr>
      <w:r w:rsidRPr="00112BA2">
        <w:rPr>
          <w:rStyle w:val="FootnoteReference"/>
          <w:rFonts w:ascii="Times New Roman" w:hAnsi="Times New Roman"/>
          <w:sz w:val="18"/>
          <w:szCs w:val="18"/>
        </w:rPr>
        <w:footnoteRef/>
      </w:r>
      <w:r w:rsidRPr="00112BA2">
        <w:rPr>
          <w:rFonts w:ascii="Times New Roman" w:hAnsi="Times New Roman"/>
          <w:sz w:val="18"/>
          <w:szCs w:val="18"/>
        </w:rPr>
        <w:t xml:space="preserve"> Ratifié le 01 juillet 2009 par le Mali</w:t>
      </w:r>
    </w:p>
  </w:footnote>
  <w:footnote w:id="7">
    <w:p w:rsidR="00C5716E" w:rsidRPr="00F3688B" w:rsidRDefault="00C5716E">
      <w:pPr>
        <w:pStyle w:val="FootnoteText"/>
        <w:rPr>
          <w:rFonts w:ascii="Times New Roman" w:hAnsi="Times New Roman"/>
          <w:sz w:val="18"/>
          <w:szCs w:val="18"/>
          <w:lang w:val="fr-CH"/>
        </w:rPr>
      </w:pPr>
      <w:r w:rsidRPr="00794EF2">
        <w:rPr>
          <w:rStyle w:val="FootnoteReference"/>
          <w:rFonts w:ascii="Times New Roman" w:hAnsi="Times New Roman"/>
          <w:sz w:val="18"/>
          <w:szCs w:val="18"/>
        </w:rPr>
        <w:footnoteRef/>
      </w:r>
      <w:r w:rsidRPr="00794EF2">
        <w:rPr>
          <w:rFonts w:ascii="Times New Roman" w:hAnsi="Times New Roman"/>
          <w:sz w:val="18"/>
          <w:szCs w:val="18"/>
        </w:rPr>
        <w:t xml:space="preserve"> </w:t>
      </w:r>
      <w:r w:rsidRPr="008A3721">
        <w:rPr>
          <w:rFonts w:ascii="Times New Roman" w:hAnsi="Times New Roman"/>
          <w:sz w:val="18"/>
          <w:szCs w:val="18"/>
        </w:rPr>
        <w:t>Ratifier le 16 juillet 1974 par le Mali</w:t>
      </w:r>
    </w:p>
  </w:footnote>
  <w:footnote w:id="8">
    <w:p w:rsidR="00C5716E" w:rsidRPr="00112BA2" w:rsidRDefault="00C5716E">
      <w:pPr>
        <w:pStyle w:val="FootnoteText"/>
        <w:rPr>
          <w:rFonts w:ascii="Times New Roman" w:hAnsi="Times New Roman"/>
          <w:sz w:val="18"/>
          <w:szCs w:val="18"/>
          <w:lang w:val="fr-CH"/>
        </w:rPr>
      </w:pPr>
      <w:r w:rsidRPr="00112BA2">
        <w:rPr>
          <w:rStyle w:val="FootnoteReference"/>
          <w:rFonts w:ascii="Times New Roman" w:hAnsi="Times New Roman"/>
          <w:sz w:val="18"/>
          <w:szCs w:val="18"/>
        </w:rPr>
        <w:footnoteRef/>
      </w:r>
      <w:r w:rsidRPr="00112BA2">
        <w:rPr>
          <w:rFonts w:ascii="Times New Roman" w:hAnsi="Times New Roman"/>
          <w:sz w:val="18"/>
          <w:szCs w:val="18"/>
        </w:rPr>
        <w:t xml:space="preserve"> Ratifié le 16 juillet 1974 par le Mali</w:t>
      </w:r>
    </w:p>
  </w:footnote>
  <w:footnote w:id="9">
    <w:p w:rsidR="00C5716E" w:rsidRPr="008A3721" w:rsidRDefault="00C5716E">
      <w:pPr>
        <w:pStyle w:val="FootnoteText"/>
        <w:rPr>
          <w:rFonts w:ascii="Times New Roman" w:hAnsi="Times New Roman"/>
          <w:sz w:val="18"/>
          <w:szCs w:val="18"/>
          <w:lang w:val="fr-CH"/>
        </w:rPr>
      </w:pPr>
      <w:r w:rsidRPr="008A3721">
        <w:rPr>
          <w:rStyle w:val="FootnoteReference"/>
          <w:rFonts w:ascii="Times New Roman" w:hAnsi="Times New Roman"/>
          <w:sz w:val="18"/>
          <w:szCs w:val="18"/>
        </w:rPr>
        <w:footnoteRef/>
      </w:r>
      <w:r w:rsidRPr="008A3721">
        <w:rPr>
          <w:rFonts w:ascii="Times New Roman" w:hAnsi="Times New Roman"/>
          <w:sz w:val="18"/>
          <w:szCs w:val="18"/>
        </w:rPr>
        <w:t xml:space="preserve"> Ratifié le 12 mai 2002 par le Mali</w:t>
      </w:r>
    </w:p>
  </w:footnote>
  <w:footnote w:id="10">
    <w:p w:rsidR="00C5716E" w:rsidRPr="008A3721" w:rsidRDefault="00C5716E">
      <w:pPr>
        <w:pStyle w:val="FootnoteText"/>
        <w:rPr>
          <w:rFonts w:ascii="Times New Roman" w:hAnsi="Times New Roman"/>
          <w:sz w:val="18"/>
          <w:szCs w:val="18"/>
          <w:lang w:val="fr-CH"/>
        </w:rPr>
      </w:pPr>
      <w:r w:rsidRPr="008A3721">
        <w:rPr>
          <w:rStyle w:val="FootnoteReference"/>
          <w:rFonts w:ascii="Times New Roman" w:hAnsi="Times New Roman"/>
          <w:sz w:val="18"/>
          <w:szCs w:val="18"/>
        </w:rPr>
        <w:footnoteRef/>
      </w:r>
      <w:r w:rsidRPr="008A3721">
        <w:rPr>
          <w:rFonts w:ascii="Times New Roman" w:hAnsi="Times New Roman"/>
          <w:sz w:val="18"/>
          <w:szCs w:val="18"/>
        </w:rPr>
        <w:t xml:space="preserve"> La CADHP a été ratifié par le Mali en 1981</w:t>
      </w:r>
    </w:p>
  </w:footnote>
  <w:footnote w:id="11">
    <w:p w:rsidR="00C5716E" w:rsidRPr="00794EF2" w:rsidRDefault="00C5716E">
      <w:pPr>
        <w:pStyle w:val="FootnoteText"/>
        <w:rPr>
          <w:rFonts w:ascii="Times New Roman" w:hAnsi="Times New Roman"/>
          <w:sz w:val="18"/>
          <w:szCs w:val="18"/>
        </w:rPr>
      </w:pPr>
      <w:r w:rsidRPr="00794EF2">
        <w:rPr>
          <w:rStyle w:val="FootnoteReference"/>
          <w:rFonts w:ascii="Times New Roman" w:hAnsi="Times New Roman"/>
          <w:sz w:val="18"/>
          <w:szCs w:val="18"/>
        </w:rPr>
        <w:footnoteRef/>
      </w:r>
      <w:r w:rsidRPr="00794EF2">
        <w:rPr>
          <w:rFonts w:ascii="Times New Roman" w:hAnsi="Times New Roman"/>
          <w:sz w:val="18"/>
          <w:szCs w:val="18"/>
        </w:rPr>
        <w:t xml:space="preserve"> Conformément à la base de données interne sur la détention en lien avec le conflit tenue par la Division des droits de l’homme de la MINUSMA</w:t>
      </w:r>
    </w:p>
  </w:footnote>
  <w:footnote w:id="12">
    <w:p w:rsidR="00C5716E" w:rsidRPr="003B152B" w:rsidRDefault="00C5716E" w:rsidP="003B152B">
      <w:pPr>
        <w:pStyle w:val="FootnoteText"/>
        <w:jc w:val="both"/>
        <w:rPr>
          <w:rFonts w:ascii="Times New Roman" w:hAnsi="Times New Roman"/>
          <w:sz w:val="18"/>
          <w:szCs w:val="18"/>
        </w:rPr>
      </w:pPr>
      <w:r w:rsidRPr="00112BA2">
        <w:rPr>
          <w:rStyle w:val="FootnoteReference"/>
          <w:rFonts w:ascii="Times New Roman" w:hAnsi="Times New Roman"/>
          <w:sz w:val="18"/>
          <w:szCs w:val="18"/>
        </w:rPr>
        <w:footnoteRef/>
      </w:r>
      <w:r w:rsidRPr="00112BA2">
        <w:rPr>
          <w:rFonts w:ascii="Times New Roman" w:hAnsi="Times New Roman"/>
          <w:sz w:val="18"/>
          <w:szCs w:val="18"/>
        </w:rPr>
        <w:t xml:space="preserve"> Cela est contraire au principe de la présomption</w:t>
      </w:r>
      <w:r w:rsidRPr="003B152B">
        <w:rPr>
          <w:rFonts w:ascii="Times New Roman" w:hAnsi="Times New Roman"/>
          <w:sz w:val="18"/>
          <w:szCs w:val="18"/>
        </w:rPr>
        <w:t xml:space="preserve"> d’innocence, garanti par les instruments de droit international. Originalement principe de </w:t>
      </w:r>
      <w:r w:rsidRPr="00FF57D0">
        <w:rPr>
          <w:rFonts w:ascii="Times New Roman" w:hAnsi="Times New Roman"/>
          <w:i/>
          <w:sz w:val="18"/>
          <w:szCs w:val="18"/>
        </w:rPr>
        <w:t>common law</w:t>
      </w:r>
      <w:r w:rsidRPr="003B152B">
        <w:rPr>
          <w:rFonts w:ascii="Times New Roman" w:hAnsi="Times New Roman"/>
          <w:sz w:val="18"/>
          <w:szCs w:val="18"/>
        </w:rPr>
        <w:t xml:space="preserve">, la présomption d’innocence a été adoptée par de nombreuses juridictions de </w:t>
      </w:r>
      <w:r>
        <w:rPr>
          <w:rFonts w:ascii="Times New Roman" w:hAnsi="Times New Roman"/>
          <w:i/>
          <w:sz w:val="18"/>
          <w:szCs w:val="18"/>
        </w:rPr>
        <w:t>C</w:t>
      </w:r>
      <w:r w:rsidRPr="00FF57D0">
        <w:rPr>
          <w:rFonts w:ascii="Times New Roman" w:hAnsi="Times New Roman"/>
          <w:i/>
          <w:sz w:val="18"/>
          <w:szCs w:val="18"/>
        </w:rPr>
        <w:t>ivil law</w:t>
      </w:r>
      <w:r w:rsidRPr="003B152B">
        <w:rPr>
          <w:rFonts w:ascii="Times New Roman" w:hAnsi="Times New Roman"/>
          <w:sz w:val="18"/>
          <w:szCs w:val="18"/>
        </w:rPr>
        <w:t>, dont le Mali, qui l’a codifié dans son Code de Procédure Pénal à l’article 2.</w:t>
      </w:r>
    </w:p>
  </w:footnote>
  <w:footnote w:id="13">
    <w:p w:rsidR="00C5716E" w:rsidRPr="005D2411" w:rsidRDefault="00C5716E">
      <w:pPr>
        <w:pStyle w:val="FootnoteText"/>
        <w:rPr>
          <w:rStyle w:val="FootnoteReference"/>
          <w:rFonts w:ascii="Times New Roman" w:hAnsi="Times New Roman"/>
        </w:rPr>
      </w:pPr>
      <w:r w:rsidRPr="003B152B">
        <w:rPr>
          <w:rStyle w:val="FootnoteReference"/>
          <w:rFonts w:ascii="Times New Roman" w:hAnsi="Times New Roman"/>
          <w:sz w:val="18"/>
          <w:szCs w:val="18"/>
        </w:rPr>
        <w:footnoteRef/>
      </w:r>
      <w:r w:rsidRPr="003B152B">
        <w:rPr>
          <w:rFonts w:ascii="Times New Roman" w:hAnsi="Times New Roman"/>
          <w:sz w:val="18"/>
          <w:szCs w:val="18"/>
        </w:rPr>
        <w:t xml:space="preserve"> </w:t>
      </w:r>
      <w:r w:rsidRPr="00E36318">
        <w:rPr>
          <w:rFonts w:ascii="Times New Roman" w:hAnsi="Times New Roman"/>
          <w:sz w:val="18"/>
          <w:szCs w:val="18"/>
        </w:rPr>
        <w:t>Article 17</w:t>
      </w:r>
      <w:r w:rsidRPr="003B152B">
        <w:rPr>
          <w:rFonts w:ascii="Times New Roman" w:hAnsi="Times New Roman"/>
          <w:b/>
          <w:sz w:val="18"/>
          <w:szCs w:val="18"/>
        </w:rPr>
        <w:t xml:space="preserve"> :</w:t>
      </w:r>
      <w:r w:rsidRPr="00E36318">
        <w:rPr>
          <w:rFonts w:ascii="Times New Roman" w:hAnsi="Times New Roman"/>
          <w:sz w:val="18"/>
          <w:szCs w:val="18"/>
        </w:rPr>
        <w:t xml:space="preserve"> « Dans un souci d’apaisement et de confiance, le gouvernement du Mali prendra toutes les dispositions nécessaires pour suspendre les poursuites engagées par la justice malienne du fait du conflit armé contre les membres des groupes armés signataires du pr</w:t>
      </w:r>
      <w:r w:rsidRPr="0006371E">
        <w:rPr>
          <w:rFonts w:ascii="Times New Roman" w:hAnsi="Times New Roman"/>
          <w:sz w:val="18"/>
          <w:szCs w:val="18"/>
        </w:rPr>
        <w:t>ésent accord…Les parties s’e</w:t>
      </w:r>
      <w:r w:rsidRPr="00437F93">
        <w:rPr>
          <w:rFonts w:ascii="Times New Roman" w:hAnsi="Times New Roman"/>
          <w:sz w:val="18"/>
          <w:szCs w:val="18"/>
        </w:rPr>
        <w:t>ngagent à libérer les personnes détenues du fait du conflit armé dès l’entrée en vigueur du cessez-le-feu ».</w:t>
      </w:r>
    </w:p>
  </w:footnote>
  <w:footnote w:id="14">
    <w:p w:rsidR="00C5716E" w:rsidRPr="00794EF2" w:rsidRDefault="00C5716E" w:rsidP="00CC127D">
      <w:pPr>
        <w:pStyle w:val="FootnoteText"/>
        <w:rPr>
          <w:rFonts w:ascii="Times New Roman" w:hAnsi="Times New Roman"/>
          <w:sz w:val="18"/>
          <w:szCs w:val="18"/>
        </w:rPr>
      </w:pPr>
      <w:r w:rsidRPr="00794EF2">
        <w:rPr>
          <w:rStyle w:val="FootnoteReference"/>
          <w:rFonts w:ascii="Times New Roman" w:hAnsi="Times New Roman"/>
          <w:sz w:val="18"/>
          <w:szCs w:val="18"/>
        </w:rPr>
        <w:footnoteRef/>
      </w:r>
      <w:r w:rsidRPr="00794EF2">
        <w:rPr>
          <w:rFonts w:ascii="Times New Roman" w:hAnsi="Times New Roman"/>
          <w:sz w:val="18"/>
          <w:szCs w:val="18"/>
        </w:rPr>
        <w:t xml:space="preserve"> Cadi désigne des personnalités érudites ayant une connaissance approfondie du Coran et qui tranchent des litiges interpersonnels selon les principes de la religion islamique.</w:t>
      </w:r>
    </w:p>
  </w:footnote>
  <w:footnote w:id="15">
    <w:p w:rsidR="00C5716E" w:rsidRPr="00B241DA" w:rsidRDefault="00C5716E" w:rsidP="003B152B">
      <w:pPr>
        <w:pStyle w:val="FootnoteText"/>
        <w:jc w:val="both"/>
        <w:rPr>
          <w:rFonts w:ascii="Times New Roman" w:hAnsi="Times New Roman"/>
          <w:sz w:val="18"/>
          <w:szCs w:val="18"/>
        </w:rPr>
      </w:pPr>
      <w:r w:rsidRPr="00B241DA">
        <w:rPr>
          <w:rStyle w:val="FootnoteReference"/>
          <w:rFonts w:ascii="Times New Roman" w:hAnsi="Times New Roman"/>
          <w:sz w:val="18"/>
          <w:szCs w:val="18"/>
        </w:rPr>
        <w:footnoteRef/>
      </w:r>
      <w:r w:rsidRPr="00B241DA">
        <w:rPr>
          <w:rFonts w:ascii="Times New Roman" w:hAnsi="Times New Roman"/>
          <w:sz w:val="18"/>
          <w:szCs w:val="18"/>
        </w:rPr>
        <w:t xml:space="preserve"> Consacré par le droit international coutumier et aux articles 48 et 13 des Protocoles I et II de la Convention de Genève relative à la protection des populations civiles en temps de guerre (Convention IV du 12 août 1949) " </w:t>
      </w:r>
      <w:r w:rsidRPr="00B241DA">
        <w:rPr>
          <w:rFonts w:ascii="Times New Roman" w:hAnsi="Times New Roman"/>
          <w:i/>
          <w:sz w:val="18"/>
          <w:szCs w:val="18"/>
        </w:rPr>
        <w:t xml:space="preserve">(...) les parties au conflit doivent en tout temps faire la distinction entre la population civile et les combattants, ainsi qu’entre les biens de caractère civil et les objectifs militaires et, par conséquent, ne diriger leurs opérations que contre des objectifs militaires </w:t>
      </w:r>
      <w:r w:rsidRPr="00B241DA">
        <w:rPr>
          <w:rFonts w:ascii="Times New Roman" w:hAnsi="Times New Roman"/>
          <w:sz w:val="18"/>
          <w:szCs w:val="18"/>
        </w:rPr>
        <w:t>" (art. 48, Protocole I ; voir aussi art. 13, Protocole II).</w:t>
      </w:r>
    </w:p>
  </w:footnote>
  <w:footnote w:id="16">
    <w:p w:rsidR="00C5716E" w:rsidRPr="00AB43B5" w:rsidRDefault="00C5716E">
      <w:pPr>
        <w:pStyle w:val="FootnoteText"/>
        <w:rPr>
          <w:rFonts w:ascii="Times New Roman" w:hAnsi="Times New Roman"/>
          <w:sz w:val="18"/>
          <w:szCs w:val="18"/>
        </w:rPr>
      </w:pPr>
      <w:r w:rsidRPr="00AB43B5">
        <w:rPr>
          <w:rStyle w:val="FootnoteReference"/>
          <w:rFonts w:ascii="Times New Roman" w:hAnsi="Times New Roman"/>
          <w:sz w:val="18"/>
          <w:szCs w:val="18"/>
        </w:rPr>
        <w:footnoteRef/>
      </w:r>
      <w:r w:rsidRPr="00AB43B5">
        <w:rPr>
          <w:rFonts w:ascii="Times New Roman" w:hAnsi="Times New Roman"/>
          <w:sz w:val="18"/>
          <w:szCs w:val="18"/>
        </w:rPr>
        <w:t xml:space="preserve"> Il s’agit d’une fraction </w:t>
      </w:r>
      <w:r w:rsidRPr="00AB43B5">
        <w:rPr>
          <w:rFonts w:ascii="Times New Roman" w:hAnsi="Times New Roman"/>
          <w:i/>
          <w:sz w:val="18"/>
          <w:szCs w:val="18"/>
        </w:rPr>
        <w:t xml:space="preserve">Touareg </w:t>
      </w:r>
      <w:r w:rsidRPr="00AB43B5">
        <w:rPr>
          <w:rFonts w:ascii="Times New Roman" w:hAnsi="Times New Roman"/>
          <w:sz w:val="18"/>
          <w:szCs w:val="18"/>
        </w:rPr>
        <w:t>affiliée au MNLA.</w:t>
      </w:r>
    </w:p>
  </w:footnote>
  <w:footnote w:id="17">
    <w:p w:rsidR="00C5716E" w:rsidRPr="00AB43B5" w:rsidRDefault="00C5716E" w:rsidP="003B152B">
      <w:pPr>
        <w:pStyle w:val="FootnoteText"/>
        <w:jc w:val="both"/>
        <w:rPr>
          <w:rFonts w:ascii="Times New Roman" w:hAnsi="Times New Roman"/>
          <w:sz w:val="18"/>
          <w:szCs w:val="18"/>
        </w:rPr>
      </w:pPr>
      <w:r w:rsidRPr="00AB43B5">
        <w:rPr>
          <w:rStyle w:val="FootnoteReference"/>
          <w:rFonts w:ascii="Times New Roman" w:hAnsi="Times New Roman"/>
          <w:sz w:val="18"/>
          <w:szCs w:val="18"/>
        </w:rPr>
        <w:footnoteRef/>
      </w:r>
      <w:r w:rsidRPr="00AB43B5">
        <w:rPr>
          <w:rFonts w:ascii="Times New Roman" w:hAnsi="Times New Roman"/>
          <w:sz w:val="18"/>
          <w:szCs w:val="18"/>
        </w:rPr>
        <w:t xml:space="preserve"> La DDH apporte un appui technique au Collectif Cri de Cœur, une ONG malienne qui apporte une assistance directe à des victimes de violences sexuelles, à savoir une assistance médicale et sociale, ainsi que d’une prise en charge psychologique.</w:t>
      </w:r>
    </w:p>
  </w:footnote>
  <w:footnote w:id="18">
    <w:p w:rsidR="00C5716E" w:rsidRPr="00F55DA0" w:rsidRDefault="00C5716E">
      <w:pPr>
        <w:pStyle w:val="FootnoteText"/>
        <w:rPr>
          <w:sz w:val="18"/>
          <w:szCs w:val="18"/>
        </w:rPr>
      </w:pPr>
      <w:r>
        <w:rPr>
          <w:rStyle w:val="FootnoteReference"/>
        </w:rPr>
        <w:footnoteRef/>
      </w:r>
      <w:r w:rsidRPr="008A3721">
        <w:rPr>
          <w:rFonts w:ascii="Times New Roman" w:hAnsi="Times New Roman"/>
          <w:sz w:val="18"/>
          <w:szCs w:val="18"/>
        </w:rPr>
        <w:t>Les associations qui prennent en charge les victimes de violences sexuelles sont ;</w:t>
      </w:r>
      <w:r w:rsidRPr="00B0644B">
        <w:rPr>
          <w:rFonts w:ascii="Times New Roman" w:hAnsi="Times New Roman"/>
          <w:sz w:val="18"/>
          <w:szCs w:val="18"/>
        </w:rPr>
        <w:t xml:space="preserve"> Association des juristes maliennes; Gomni Kondae; association locale des victim</w:t>
      </w:r>
      <w:r w:rsidRPr="0085410F">
        <w:rPr>
          <w:rFonts w:ascii="Times New Roman" w:hAnsi="Times New Roman"/>
          <w:sz w:val="18"/>
          <w:szCs w:val="18"/>
        </w:rPr>
        <w:t>es de ré</w:t>
      </w:r>
      <w:r w:rsidRPr="00FF3A8F">
        <w:rPr>
          <w:rFonts w:ascii="Times New Roman" w:hAnsi="Times New Roman"/>
          <w:sz w:val="18"/>
          <w:szCs w:val="18"/>
        </w:rPr>
        <w:t>pression des év</w:t>
      </w:r>
      <w:r w:rsidRPr="00112BA2">
        <w:rPr>
          <w:rFonts w:ascii="Times New Roman" w:hAnsi="Times New Roman"/>
          <w:sz w:val="18"/>
          <w:szCs w:val="18"/>
        </w:rPr>
        <w:t>ènements du nord.</w:t>
      </w:r>
      <w:r w:rsidRPr="00F55DA0">
        <w:rPr>
          <w:sz w:val="18"/>
          <w:szCs w:val="18"/>
        </w:rPr>
        <w:t xml:space="preserve">  </w:t>
      </w:r>
    </w:p>
  </w:footnote>
  <w:footnote w:id="19">
    <w:p w:rsidR="00C5716E" w:rsidRPr="0086130D" w:rsidRDefault="00C5716E">
      <w:pPr>
        <w:pStyle w:val="FootnoteText"/>
        <w:rPr>
          <w:rFonts w:ascii="Times New Roman" w:hAnsi="Times New Roman"/>
        </w:rPr>
      </w:pPr>
      <w:r w:rsidRPr="00F55DA0">
        <w:rPr>
          <w:rStyle w:val="FootnoteReference"/>
          <w:rFonts w:ascii="Times New Roman" w:hAnsi="Times New Roman"/>
          <w:sz w:val="18"/>
          <w:szCs w:val="18"/>
        </w:rPr>
        <w:footnoteRef/>
      </w:r>
      <w:r w:rsidRPr="00F55DA0">
        <w:rPr>
          <w:rFonts w:ascii="Times New Roman" w:hAnsi="Times New Roman"/>
          <w:sz w:val="18"/>
          <w:szCs w:val="18"/>
        </w:rPr>
        <w:t xml:space="preserve"> 04 par classement sans suite, 01 en application du Protocole d’accord, 03 sans précisions.</w:t>
      </w:r>
    </w:p>
  </w:footnote>
  <w:footnote w:id="20">
    <w:p w:rsidR="00C5716E" w:rsidRPr="00BE77F4" w:rsidRDefault="00C5716E" w:rsidP="00B3569D">
      <w:pPr>
        <w:pStyle w:val="FootnoteText"/>
        <w:rPr>
          <w:rFonts w:ascii="Times New Roman" w:hAnsi="Times New Roman"/>
        </w:rPr>
      </w:pPr>
      <w:r w:rsidRPr="00BE77F4">
        <w:rPr>
          <w:rStyle w:val="FootnoteReference"/>
          <w:rFonts w:ascii="Times New Roman" w:hAnsi="Times New Roman"/>
        </w:rPr>
        <w:footnoteRef/>
      </w:r>
      <w:r w:rsidRPr="00BE77F4">
        <w:rPr>
          <w:rFonts w:ascii="Times New Roman" w:hAnsi="Times New Roman"/>
        </w:rPr>
        <w:t xml:space="preserve"> </w:t>
      </w:r>
      <w:r w:rsidRPr="0034450D">
        <w:rPr>
          <w:rFonts w:ascii="Times New Roman" w:hAnsi="Times New Roman"/>
          <w:sz w:val="18"/>
          <w:szCs w:val="18"/>
        </w:rPr>
        <w:t>Résolution du Conseil de sécurité : S/2004/616 23.8.2004</w:t>
      </w:r>
    </w:p>
  </w:footnote>
  <w:footnote w:id="21">
    <w:p w:rsidR="00C5716E" w:rsidRPr="00216DBC" w:rsidRDefault="00C5716E">
      <w:pPr>
        <w:pStyle w:val="FootnoteText"/>
        <w:rPr>
          <w:rFonts w:ascii="Times New Roman" w:hAnsi="Times New Roman"/>
          <w:sz w:val="18"/>
          <w:szCs w:val="18"/>
        </w:rPr>
      </w:pPr>
      <w:r w:rsidRPr="00216DBC">
        <w:rPr>
          <w:rStyle w:val="FootnoteReference"/>
          <w:rFonts w:ascii="Times New Roman" w:hAnsi="Times New Roman"/>
          <w:sz w:val="18"/>
          <w:szCs w:val="18"/>
        </w:rPr>
        <w:footnoteRef/>
      </w:r>
      <w:r w:rsidRPr="00216DBC">
        <w:rPr>
          <w:rFonts w:ascii="Times New Roman" w:hAnsi="Times New Roman"/>
          <w:sz w:val="18"/>
          <w:szCs w:val="18"/>
        </w:rPr>
        <w:t xml:space="preserve"> Il s’agit de principes concernant le statut et le fonctionnement des institutions nationales pour la protection et la promotion des droits de l’homme.</w:t>
      </w:r>
    </w:p>
  </w:footnote>
  <w:footnote w:id="22">
    <w:p w:rsidR="00C5716E" w:rsidRPr="00216DBC" w:rsidRDefault="00C5716E">
      <w:pPr>
        <w:pStyle w:val="FootnoteText"/>
        <w:rPr>
          <w:rFonts w:ascii="Times New Roman" w:hAnsi="Times New Roman"/>
          <w:sz w:val="18"/>
          <w:szCs w:val="18"/>
        </w:rPr>
      </w:pPr>
      <w:r w:rsidRPr="00216DBC">
        <w:rPr>
          <w:rStyle w:val="FootnoteReference"/>
          <w:rFonts w:ascii="Times New Roman" w:hAnsi="Times New Roman"/>
          <w:sz w:val="18"/>
          <w:szCs w:val="18"/>
        </w:rPr>
        <w:footnoteRef/>
      </w:r>
      <w:r w:rsidRPr="00216DBC">
        <w:rPr>
          <w:rFonts w:ascii="Times New Roman" w:hAnsi="Times New Roman"/>
          <w:sz w:val="18"/>
          <w:szCs w:val="18"/>
        </w:rPr>
        <w:t xml:space="preserve"> Il s’agit du premier réseau de ce genre au Mali.</w:t>
      </w:r>
    </w:p>
  </w:footnote>
  <w:footnote w:id="23">
    <w:p w:rsidR="00C5716E" w:rsidRPr="0048703A" w:rsidRDefault="00C5716E">
      <w:pPr>
        <w:pStyle w:val="FootnoteText"/>
        <w:rPr>
          <w:rFonts w:ascii="Times New Roman" w:hAnsi="Times New Roman"/>
        </w:rPr>
      </w:pPr>
      <w:r w:rsidRPr="00216DBC">
        <w:rPr>
          <w:rStyle w:val="FootnoteReference"/>
          <w:rFonts w:ascii="Times New Roman" w:hAnsi="Times New Roman"/>
          <w:sz w:val="18"/>
          <w:szCs w:val="18"/>
        </w:rPr>
        <w:footnoteRef/>
      </w:r>
      <w:r w:rsidRPr="00216DBC">
        <w:rPr>
          <w:rFonts w:ascii="Times New Roman" w:hAnsi="Times New Roman"/>
          <w:sz w:val="18"/>
          <w:szCs w:val="18"/>
        </w:rPr>
        <w:t xml:space="preserve">  Notamment sur des thématiques telles que la justice transitionnelle et l’état de droit.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019"/>
      <w:gridCol w:w="1141"/>
    </w:tblGrid>
    <w:tr w:rsidR="00C5716E" w:rsidRPr="005313DF" w:rsidTr="00F468CC">
      <w:trPr>
        <w:trHeight w:val="288"/>
      </w:trPr>
      <w:tc>
        <w:tcPr>
          <w:tcW w:w="7765" w:type="dxa"/>
        </w:tcPr>
        <w:p w:rsidR="00C5716E" w:rsidRPr="005313DF" w:rsidRDefault="00C5716E" w:rsidP="00F468CC">
          <w:pPr>
            <w:pStyle w:val="Header"/>
            <w:jc w:val="right"/>
            <w:rPr>
              <w:rFonts w:ascii="Times New Roman" w:eastAsia="Times New Roman" w:hAnsi="Times New Roman"/>
              <w:sz w:val="24"/>
              <w:szCs w:val="24"/>
            </w:rPr>
          </w:pPr>
          <w:r w:rsidRPr="005313DF">
            <w:rPr>
              <w:rFonts w:ascii="Times New Roman" w:eastAsia="Times New Roman" w:hAnsi="Times New Roman"/>
              <w:sz w:val="24"/>
              <w:szCs w:val="24"/>
            </w:rPr>
            <w:t>MINUSMA-HRD/OHCHR</w:t>
          </w:r>
        </w:p>
      </w:tc>
      <w:tc>
        <w:tcPr>
          <w:tcW w:w="1105" w:type="dxa"/>
        </w:tcPr>
        <w:p w:rsidR="00C5716E" w:rsidRPr="005313DF" w:rsidRDefault="00C5716E" w:rsidP="005313DF">
          <w:pPr>
            <w:pStyle w:val="Header"/>
            <w:rPr>
              <w:rFonts w:ascii="Times New Roman" w:eastAsia="Times New Roman" w:hAnsi="Times New Roman"/>
              <w:b/>
              <w:bCs/>
              <w:sz w:val="24"/>
              <w:szCs w:val="24"/>
            </w:rPr>
          </w:pPr>
          <w:r w:rsidRPr="005313DF">
            <w:rPr>
              <w:rFonts w:ascii="Times New Roman" w:eastAsia="Times New Roman" w:hAnsi="Times New Roman"/>
              <w:b/>
              <w:bCs/>
              <w:sz w:val="24"/>
              <w:szCs w:val="24"/>
            </w:rPr>
            <w:t>2014</w:t>
          </w:r>
        </w:p>
      </w:tc>
    </w:tr>
  </w:tbl>
  <w:p w:rsidR="00C5716E" w:rsidRDefault="00C571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BFA962C"/>
    <w:lvl w:ilvl="0">
      <w:start w:val="1"/>
      <w:numFmt w:val="bullet"/>
      <w:pStyle w:val="ListBullet"/>
      <w:lvlText w:val=""/>
      <w:lvlJc w:val="left"/>
      <w:pPr>
        <w:tabs>
          <w:tab w:val="num" w:pos="0"/>
        </w:tabs>
        <w:ind w:left="0" w:hanging="360"/>
      </w:pPr>
      <w:rPr>
        <w:rFonts w:ascii="Symbol" w:hAnsi="Symbol" w:hint="default"/>
      </w:rPr>
    </w:lvl>
  </w:abstractNum>
  <w:abstractNum w:abstractNumId="1">
    <w:nsid w:val="0DA82338"/>
    <w:multiLevelType w:val="hybridMultilevel"/>
    <w:tmpl w:val="9F2A8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105E07"/>
    <w:multiLevelType w:val="hybridMultilevel"/>
    <w:tmpl w:val="AFFCCB30"/>
    <w:lvl w:ilvl="0" w:tplc="3BC6A7E0">
      <w:start w:val="1"/>
      <w:numFmt w:val="upperLetter"/>
      <w:lvlText w:val="%1."/>
      <w:lvlJc w:val="left"/>
      <w:pPr>
        <w:ind w:left="644" w:hanging="360"/>
      </w:pPr>
      <w:rPr>
        <w:rFont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nsid w:val="103865E0"/>
    <w:multiLevelType w:val="hybridMultilevel"/>
    <w:tmpl w:val="72ACD022"/>
    <w:lvl w:ilvl="0" w:tplc="24646F1A">
      <w:start w:val="1"/>
      <w:numFmt w:val="lowerRoman"/>
      <w:lvlText w:val="%1)"/>
      <w:lvlJc w:val="left"/>
      <w:pPr>
        <w:ind w:left="720" w:hanging="360"/>
      </w:pPr>
      <w:rPr>
        <w:rFonts w:ascii="Times New Roman" w:eastAsia="Malgun Gothic" w:hAnsi="Times New Roman"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0873B3E"/>
    <w:multiLevelType w:val="hybridMultilevel"/>
    <w:tmpl w:val="F66643AE"/>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1842F75"/>
    <w:multiLevelType w:val="hybridMultilevel"/>
    <w:tmpl w:val="B5AE83C8"/>
    <w:lvl w:ilvl="0" w:tplc="84A04DD8">
      <w:start w:val="1"/>
      <w:numFmt w:val="upperRoman"/>
      <w:lvlText w:val="%1."/>
      <w:lvlJc w:val="left"/>
      <w:pPr>
        <w:ind w:left="1080" w:hanging="720"/>
      </w:pPr>
      <w:rPr>
        <w:rFonts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4A2820"/>
    <w:multiLevelType w:val="hybridMultilevel"/>
    <w:tmpl w:val="CB3A2874"/>
    <w:lvl w:ilvl="0" w:tplc="799016EC">
      <w:start w:val="3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342E01"/>
    <w:multiLevelType w:val="hybridMultilevel"/>
    <w:tmpl w:val="F6BE793C"/>
    <w:lvl w:ilvl="0" w:tplc="411A129A">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5435F6C"/>
    <w:multiLevelType w:val="hybridMultilevel"/>
    <w:tmpl w:val="0C48792A"/>
    <w:lvl w:ilvl="0" w:tplc="8B8853C4">
      <w:numFmt w:val="bullet"/>
      <w:lvlText w:val="•"/>
      <w:lvlJc w:val="left"/>
      <w:pPr>
        <w:ind w:left="720" w:hanging="360"/>
      </w:pPr>
      <w:rPr>
        <w:rFonts w:ascii="Times New Roman" w:eastAsia="Malgun Gothic"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8842DC5"/>
    <w:multiLevelType w:val="hybridMultilevel"/>
    <w:tmpl w:val="8634F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1F45012">
      <w:start w:val="750"/>
      <w:numFmt w:val="bullet"/>
      <w:lvlText w:val="-"/>
      <w:lvlJc w:val="left"/>
      <w:pPr>
        <w:ind w:left="2160" w:hanging="360"/>
      </w:pPr>
      <w:rPr>
        <w:rFonts w:ascii="Times New Roman" w:eastAsia="Times New Roman" w:hAnsi="Times New Roman" w:cs="Times New Roman" w:hint="default"/>
      </w:rPr>
    </w:lvl>
    <w:lvl w:ilvl="3" w:tplc="C8C4B306">
      <w:start w:val="750"/>
      <w:numFmt w:val="bullet"/>
      <w:lvlText w:val=""/>
      <w:lvlJc w:val="left"/>
      <w:pPr>
        <w:ind w:left="2880" w:hanging="360"/>
      </w:pPr>
      <w:rPr>
        <w:rFonts w:ascii="Wingdings" w:eastAsia="Times New Roman" w:hAnsi="Wingdings"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203577"/>
    <w:multiLevelType w:val="hybridMultilevel"/>
    <w:tmpl w:val="BA7E16DA"/>
    <w:lvl w:ilvl="0" w:tplc="B3CAE420">
      <w:start w:val="5"/>
      <w:numFmt w:val="upp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7B28AB"/>
    <w:multiLevelType w:val="hybridMultilevel"/>
    <w:tmpl w:val="A8C29514"/>
    <w:lvl w:ilvl="0" w:tplc="6F8CCDD2">
      <w:start w:val="1"/>
      <w:numFmt w:val="upperLetter"/>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2">
    <w:nsid w:val="218E7B15"/>
    <w:multiLevelType w:val="hybridMultilevel"/>
    <w:tmpl w:val="A5DC6BA0"/>
    <w:lvl w:ilvl="0" w:tplc="5994DCE6">
      <w:start w:val="56"/>
      <w:numFmt w:val="decimal"/>
      <w:lvlText w:val="%1."/>
      <w:lvlJc w:val="left"/>
      <w:pPr>
        <w:ind w:left="644" w:hanging="360"/>
      </w:pPr>
      <w:rPr>
        <w:rFonts w:hint="default"/>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3">
    <w:nsid w:val="232D3CB1"/>
    <w:multiLevelType w:val="hybridMultilevel"/>
    <w:tmpl w:val="B12A2046"/>
    <w:lvl w:ilvl="0" w:tplc="EB747248">
      <w:start w:val="1"/>
      <w:numFmt w:val="decimal"/>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4">
    <w:nsid w:val="235F2303"/>
    <w:multiLevelType w:val="hybridMultilevel"/>
    <w:tmpl w:val="128CC7D8"/>
    <w:lvl w:ilvl="0" w:tplc="4E00CC56">
      <w:start w:val="6"/>
      <w:numFmt w:val="upperRoman"/>
      <w:lvlText w:val="%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823994"/>
    <w:multiLevelType w:val="hybridMultilevel"/>
    <w:tmpl w:val="F41434E0"/>
    <w:lvl w:ilvl="0" w:tplc="C602C206">
      <w:start w:val="1"/>
      <w:numFmt w:val="upperLetter"/>
      <w:lvlText w:val="%1."/>
      <w:lvlJc w:val="left"/>
      <w:pPr>
        <w:ind w:left="644" w:hanging="360"/>
      </w:pPr>
      <w:rPr>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294E4ADA"/>
    <w:multiLevelType w:val="hybridMultilevel"/>
    <w:tmpl w:val="96E659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DD4247"/>
    <w:multiLevelType w:val="hybridMultilevel"/>
    <w:tmpl w:val="ABCC24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F54912"/>
    <w:multiLevelType w:val="multilevel"/>
    <w:tmpl w:val="605AB0AC"/>
    <w:lvl w:ilvl="0">
      <w:start w:val="1"/>
      <w:numFmt w:val="upperLetter"/>
      <w:lvlText w:val="%1."/>
      <w:lvlJc w:val="left"/>
      <w:pPr>
        <w:ind w:left="927" w:hanging="360"/>
      </w:pPr>
      <w:rPr>
        <w:rFonts w:hint="default"/>
        <w:color w:val="auto"/>
      </w:rPr>
    </w:lvl>
    <w:lvl w:ilvl="1">
      <w:start w:val="1"/>
      <w:numFmt w:val="bullet"/>
      <w:lvlText w:val=""/>
      <w:lvlJc w:val="left"/>
      <w:pPr>
        <w:ind w:left="851" w:hanging="360"/>
      </w:pPr>
      <w:rPr>
        <w:rFonts w:ascii="Symbol" w:hAnsi="Symbol" w:hint="default"/>
        <w:u w:val="none"/>
      </w:rPr>
    </w:lvl>
    <w:lvl w:ilvl="2">
      <w:start w:val="1"/>
      <w:numFmt w:val="decimal"/>
      <w:isLgl/>
      <w:lvlText w:val="%1.%2.%3"/>
      <w:lvlJc w:val="left"/>
      <w:pPr>
        <w:ind w:left="1347" w:hanging="720"/>
      </w:pPr>
      <w:rPr>
        <w:rFonts w:hint="default"/>
        <w:u w:val="none"/>
      </w:rPr>
    </w:lvl>
    <w:lvl w:ilvl="3">
      <w:start w:val="1"/>
      <w:numFmt w:val="decimal"/>
      <w:isLgl/>
      <w:lvlText w:val="%1.%2.%3.%4"/>
      <w:lvlJc w:val="left"/>
      <w:pPr>
        <w:ind w:left="1377" w:hanging="720"/>
      </w:pPr>
      <w:rPr>
        <w:rFonts w:hint="default"/>
        <w:u w:val="none"/>
      </w:rPr>
    </w:lvl>
    <w:lvl w:ilvl="4">
      <w:start w:val="1"/>
      <w:numFmt w:val="decimal"/>
      <w:isLgl/>
      <w:lvlText w:val="%1.%2.%3.%4.%5"/>
      <w:lvlJc w:val="left"/>
      <w:pPr>
        <w:ind w:left="1767" w:hanging="1080"/>
      </w:pPr>
      <w:rPr>
        <w:rFonts w:hint="default"/>
        <w:u w:val="none"/>
      </w:rPr>
    </w:lvl>
    <w:lvl w:ilvl="5">
      <w:start w:val="1"/>
      <w:numFmt w:val="decimal"/>
      <w:isLgl/>
      <w:lvlText w:val="%1.%2.%3.%4.%5.%6"/>
      <w:lvlJc w:val="left"/>
      <w:pPr>
        <w:ind w:left="1797" w:hanging="1080"/>
      </w:pPr>
      <w:rPr>
        <w:rFonts w:hint="default"/>
        <w:u w:val="none"/>
      </w:rPr>
    </w:lvl>
    <w:lvl w:ilvl="6">
      <w:start w:val="1"/>
      <w:numFmt w:val="decimal"/>
      <w:isLgl/>
      <w:lvlText w:val="%1.%2.%3.%4.%5.%6.%7"/>
      <w:lvlJc w:val="left"/>
      <w:pPr>
        <w:ind w:left="2187" w:hanging="1440"/>
      </w:pPr>
      <w:rPr>
        <w:rFonts w:hint="default"/>
        <w:u w:val="none"/>
      </w:rPr>
    </w:lvl>
    <w:lvl w:ilvl="7">
      <w:start w:val="1"/>
      <w:numFmt w:val="decimal"/>
      <w:isLgl/>
      <w:lvlText w:val="%1.%2.%3.%4.%5.%6.%7.%8"/>
      <w:lvlJc w:val="left"/>
      <w:pPr>
        <w:ind w:left="2217" w:hanging="1440"/>
      </w:pPr>
      <w:rPr>
        <w:rFonts w:hint="default"/>
        <w:u w:val="none"/>
      </w:rPr>
    </w:lvl>
    <w:lvl w:ilvl="8">
      <w:start w:val="1"/>
      <w:numFmt w:val="decimal"/>
      <w:isLgl/>
      <w:lvlText w:val="%1.%2.%3.%4.%5.%6.%7.%8.%9"/>
      <w:lvlJc w:val="left"/>
      <w:pPr>
        <w:ind w:left="2247" w:hanging="1440"/>
      </w:pPr>
      <w:rPr>
        <w:rFonts w:hint="default"/>
        <w:u w:val="none"/>
      </w:rPr>
    </w:lvl>
  </w:abstractNum>
  <w:abstractNum w:abstractNumId="19">
    <w:nsid w:val="2A5822BE"/>
    <w:multiLevelType w:val="hybridMultilevel"/>
    <w:tmpl w:val="2130B86C"/>
    <w:lvl w:ilvl="0" w:tplc="C43E2762">
      <w:start w:val="1"/>
      <w:numFmt w:val="decimal"/>
      <w:lvlText w:val="%1."/>
      <w:lvlJc w:val="left"/>
      <w:pPr>
        <w:ind w:left="644" w:hanging="360"/>
      </w:pPr>
      <w:rPr>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A7140A"/>
    <w:multiLevelType w:val="hybridMultilevel"/>
    <w:tmpl w:val="DD06E5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B666BA"/>
    <w:multiLevelType w:val="hybridMultilevel"/>
    <w:tmpl w:val="05AE5E70"/>
    <w:lvl w:ilvl="0" w:tplc="5584105C">
      <w:start w:val="4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6E2FD1"/>
    <w:multiLevelType w:val="hybridMultilevel"/>
    <w:tmpl w:val="41027AF0"/>
    <w:lvl w:ilvl="0" w:tplc="F00A55AE">
      <w:start w:val="6"/>
      <w:numFmt w:val="upp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FC268B"/>
    <w:multiLevelType w:val="hybridMultilevel"/>
    <w:tmpl w:val="97B8ED1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3DD49F4"/>
    <w:multiLevelType w:val="hybridMultilevel"/>
    <w:tmpl w:val="A99C43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C667E7"/>
    <w:multiLevelType w:val="hybridMultilevel"/>
    <w:tmpl w:val="B3CE546C"/>
    <w:lvl w:ilvl="0" w:tplc="04090015">
      <w:start w:val="1"/>
      <w:numFmt w:val="upperLetter"/>
      <w:lvlText w:val="%1."/>
      <w:lvlJc w:val="left"/>
      <w:pPr>
        <w:ind w:left="644" w:hanging="360"/>
      </w:pPr>
      <w:rPr>
        <w:rFont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6">
    <w:nsid w:val="475E25AC"/>
    <w:multiLevelType w:val="hybridMultilevel"/>
    <w:tmpl w:val="2130B86C"/>
    <w:lvl w:ilvl="0" w:tplc="C43E2762">
      <w:start w:val="1"/>
      <w:numFmt w:val="decimal"/>
      <w:lvlText w:val="%1."/>
      <w:lvlJc w:val="left"/>
      <w:pPr>
        <w:ind w:left="644" w:hanging="360"/>
      </w:pPr>
      <w:rPr>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D4062B"/>
    <w:multiLevelType w:val="hybridMultilevel"/>
    <w:tmpl w:val="90B624D8"/>
    <w:lvl w:ilvl="0" w:tplc="6A0CB26E">
      <w:start w:val="1"/>
      <w:numFmt w:val="upperLetter"/>
      <w:pStyle w:val="Subtit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0921DC"/>
    <w:multiLevelType w:val="hybridMultilevel"/>
    <w:tmpl w:val="289656C8"/>
    <w:lvl w:ilvl="0" w:tplc="557A9C50">
      <w:start w:val="29"/>
      <w:numFmt w:val="decimal"/>
      <w:lvlText w:val="%1."/>
      <w:lvlJc w:val="left"/>
      <w:pPr>
        <w:ind w:left="720" w:hanging="360"/>
      </w:pPr>
      <w:rPr>
        <w:rFonts w:hint="default"/>
        <w:color w:val="2222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1FA2803"/>
    <w:multiLevelType w:val="hybridMultilevel"/>
    <w:tmpl w:val="7C2064B8"/>
    <w:lvl w:ilvl="0" w:tplc="30F816C4">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59616F"/>
    <w:multiLevelType w:val="hybridMultilevel"/>
    <w:tmpl w:val="1A6866BE"/>
    <w:lvl w:ilvl="0" w:tplc="F51A9B16">
      <w:start w:val="1"/>
      <w:numFmt w:val="upp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035E42"/>
    <w:multiLevelType w:val="hybridMultilevel"/>
    <w:tmpl w:val="ACD04C58"/>
    <w:lvl w:ilvl="0" w:tplc="7F0C5A88">
      <w:start w:val="1"/>
      <w:numFmt w:val="upperLetter"/>
      <w:lvlText w:val="%1."/>
      <w:lvlJc w:val="left"/>
      <w:pPr>
        <w:ind w:left="1800" w:hanging="360"/>
      </w:pPr>
      <w:rPr>
        <w:rFonts w:eastAsia="Malgun Gothic"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6983F94"/>
    <w:multiLevelType w:val="hybridMultilevel"/>
    <w:tmpl w:val="C4A8FBF2"/>
    <w:lvl w:ilvl="0" w:tplc="F1D07EFA">
      <w:start w:val="29"/>
      <w:numFmt w:val="decimal"/>
      <w:lvlText w:val="%1."/>
      <w:lvlJc w:val="left"/>
      <w:pPr>
        <w:ind w:left="720" w:hanging="360"/>
      </w:pPr>
      <w:rPr>
        <w:rFonts w:hint="default"/>
        <w:color w:val="2222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2DE2F1A"/>
    <w:multiLevelType w:val="hybridMultilevel"/>
    <w:tmpl w:val="EDCE9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CC637C"/>
    <w:multiLevelType w:val="hybridMultilevel"/>
    <w:tmpl w:val="96E659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224FB4"/>
    <w:multiLevelType w:val="hybridMultilevel"/>
    <w:tmpl w:val="312494C8"/>
    <w:lvl w:ilvl="0" w:tplc="08090013">
      <w:start w:val="1"/>
      <w:numFmt w:val="upperRoman"/>
      <w:lvlText w:val="%1."/>
      <w:lvlJc w:val="right"/>
      <w:pPr>
        <w:ind w:left="780" w:hanging="720"/>
      </w:pPr>
      <w:rPr>
        <w:rFonts w:hint="default"/>
      </w:rPr>
    </w:lvl>
    <w:lvl w:ilvl="1" w:tplc="8B8853C4">
      <w:numFmt w:val="bullet"/>
      <w:lvlText w:val="•"/>
      <w:lvlJc w:val="left"/>
      <w:pPr>
        <w:ind w:left="1500" w:hanging="720"/>
      </w:pPr>
      <w:rPr>
        <w:rFonts w:ascii="Times New Roman" w:eastAsia="Malgun Gothic" w:hAnsi="Times New Roman" w:cs="Times New Roman" w:hint="default"/>
      </w:r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6">
    <w:nsid w:val="67DD64F7"/>
    <w:multiLevelType w:val="multilevel"/>
    <w:tmpl w:val="40B823D4"/>
    <w:lvl w:ilvl="0">
      <w:start w:val="1"/>
      <w:numFmt w:val="upperRoman"/>
      <w:lvlText w:val="%1."/>
      <w:lvlJc w:val="right"/>
      <w:pPr>
        <w:ind w:left="720" w:hanging="360"/>
      </w:pPr>
      <w:rPr>
        <w:b/>
        <w:i w:val="0"/>
        <w:color w:val="auto"/>
      </w:rPr>
    </w:lvl>
    <w:lvl w:ilvl="1">
      <w:start w:val="1"/>
      <w:numFmt w:val="bullet"/>
      <w:lvlText w:val=""/>
      <w:lvlJc w:val="left"/>
      <w:pPr>
        <w:ind w:left="644" w:hanging="360"/>
      </w:pPr>
      <w:rPr>
        <w:rFonts w:ascii="Symbol" w:hAnsi="Symbol" w:hint="default"/>
        <w:u w:val="none"/>
      </w:rPr>
    </w:lvl>
    <w:lvl w:ilvl="2">
      <w:start w:val="1"/>
      <w:numFmt w:val="decimal"/>
      <w:isLgl/>
      <w:lvlText w:val="%1.%2.%3"/>
      <w:lvlJc w:val="left"/>
      <w:pPr>
        <w:ind w:left="1140" w:hanging="720"/>
      </w:pPr>
      <w:rPr>
        <w:rFonts w:hint="default"/>
        <w:u w:val="none"/>
      </w:rPr>
    </w:lvl>
    <w:lvl w:ilvl="3">
      <w:start w:val="1"/>
      <w:numFmt w:val="decimal"/>
      <w:isLgl/>
      <w:lvlText w:val="%1.%2.%3.%4"/>
      <w:lvlJc w:val="left"/>
      <w:pPr>
        <w:ind w:left="1170" w:hanging="720"/>
      </w:pPr>
      <w:rPr>
        <w:rFonts w:hint="default"/>
        <w:u w:val="none"/>
      </w:rPr>
    </w:lvl>
    <w:lvl w:ilvl="4">
      <w:start w:val="1"/>
      <w:numFmt w:val="decimal"/>
      <w:isLgl/>
      <w:lvlText w:val="%1.%2.%3.%4.%5"/>
      <w:lvlJc w:val="left"/>
      <w:pPr>
        <w:ind w:left="1560" w:hanging="1080"/>
      </w:pPr>
      <w:rPr>
        <w:rFonts w:hint="default"/>
        <w:u w:val="none"/>
      </w:rPr>
    </w:lvl>
    <w:lvl w:ilvl="5">
      <w:start w:val="1"/>
      <w:numFmt w:val="decimal"/>
      <w:isLgl/>
      <w:lvlText w:val="%1.%2.%3.%4.%5.%6"/>
      <w:lvlJc w:val="left"/>
      <w:pPr>
        <w:ind w:left="1590" w:hanging="1080"/>
      </w:pPr>
      <w:rPr>
        <w:rFonts w:hint="default"/>
        <w:u w:val="none"/>
      </w:rPr>
    </w:lvl>
    <w:lvl w:ilvl="6">
      <w:start w:val="1"/>
      <w:numFmt w:val="decimal"/>
      <w:isLgl/>
      <w:lvlText w:val="%1.%2.%3.%4.%5.%6.%7"/>
      <w:lvlJc w:val="left"/>
      <w:pPr>
        <w:ind w:left="1980" w:hanging="1440"/>
      </w:pPr>
      <w:rPr>
        <w:rFonts w:hint="default"/>
        <w:u w:val="none"/>
      </w:rPr>
    </w:lvl>
    <w:lvl w:ilvl="7">
      <w:start w:val="1"/>
      <w:numFmt w:val="decimal"/>
      <w:isLgl/>
      <w:lvlText w:val="%1.%2.%3.%4.%5.%6.%7.%8"/>
      <w:lvlJc w:val="left"/>
      <w:pPr>
        <w:ind w:left="2010" w:hanging="1440"/>
      </w:pPr>
      <w:rPr>
        <w:rFonts w:hint="default"/>
        <w:u w:val="none"/>
      </w:rPr>
    </w:lvl>
    <w:lvl w:ilvl="8">
      <w:start w:val="1"/>
      <w:numFmt w:val="decimal"/>
      <w:isLgl/>
      <w:lvlText w:val="%1.%2.%3.%4.%5.%6.%7.%8.%9"/>
      <w:lvlJc w:val="left"/>
      <w:pPr>
        <w:ind w:left="2040" w:hanging="1440"/>
      </w:pPr>
      <w:rPr>
        <w:rFonts w:hint="default"/>
        <w:u w:val="none"/>
      </w:rPr>
    </w:lvl>
  </w:abstractNum>
  <w:abstractNum w:abstractNumId="37">
    <w:nsid w:val="6DE2340E"/>
    <w:multiLevelType w:val="hybridMultilevel"/>
    <w:tmpl w:val="74681D4E"/>
    <w:lvl w:ilvl="0" w:tplc="E8EA1502">
      <w:start w:val="30"/>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AB3350"/>
    <w:multiLevelType w:val="hybridMultilevel"/>
    <w:tmpl w:val="43B62256"/>
    <w:lvl w:ilvl="0" w:tplc="8FE01F78">
      <w:numFmt w:val="bullet"/>
      <w:lvlText w:val="•"/>
      <w:lvlJc w:val="left"/>
      <w:pPr>
        <w:ind w:left="720" w:hanging="360"/>
      </w:pPr>
      <w:rPr>
        <w:rFonts w:ascii="Times New Roman" w:eastAsia="Malgun Gothic"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02345A4"/>
    <w:multiLevelType w:val="hybridMultilevel"/>
    <w:tmpl w:val="ED44FA24"/>
    <w:lvl w:ilvl="0" w:tplc="04090013">
      <w:start w:val="1"/>
      <w:numFmt w:val="upperRoman"/>
      <w:pStyle w:val="Title"/>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7043C0"/>
    <w:multiLevelType w:val="multilevel"/>
    <w:tmpl w:val="E3B2AE28"/>
    <w:lvl w:ilvl="0">
      <w:start w:val="7"/>
      <w:numFmt w:val="upperRoman"/>
      <w:lvlText w:val="%1."/>
      <w:lvlJc w:val="right"/>
      <w:pPr>
        <w:ind w:left="720" w:hanging="360"/>
      </w:pPr>
      <w:rPr>
        <w:rFonts w:hint="default"/>
        <w:b/>
        <w:i w:val="0"/>
      </w:rPr>
    </w:lvl>
    <w:lvl w:ilvl="1">
      <w:start w:val="1"/>
      <w:numFmt w:val="bullet"/>
      <w:lvlText w:val=""/>
      <w:lvlJc w:val="left"/>
      <w:pPr>
        <w:ind w:left="644" w:hanging="360"/>
      </w:pPr>
      <w:rPr>
        <w:rFonts w:ascii="Symbol" w:hAnsi="Symbol" w:hint="default"/>
        <w:u w:val="none"/>
      </w:rPr>
    </w:lvl>
    <w:lvl w:ilvl="2">
      <w:start w:val="1"/>
      <w:numFmt w:val="decimal"/>
      <w:isLgl/>
      <w:lvlText w:val="%1.%2.%3"/>
      <w:lvlJc w:val="left"/>
      <w:pPr>
        <w:ind w:left="1140" w:hanging="720"/>
      </w:pPr>
      <w:rPr>
        <w:rFonts w:hint="default"/>
        <w:u w:val="none"/>
      </w:rPr>
    </w:lvl>
    <w:lvl w:ilvl="3">
      <w:start w:val="1"/>
      <w:numFmt w:val="decimal"/>
      <w:isLgl/>
      <w:lvlText w:val="%1.%2.%3.%4"/>
      <w:lvlJc w:val="left"/>
      <w:pPr>
        <w:ind w:left="1170" w:hanging="720"/>
      </w:pPr>
      <w:rPr>
        <w:rFonts w:hint="default"/>
        <w:u w:val="none"/>
      </w:rPr>
    </w:lvl>
    <w:lvl w:ilvl="4">
      <w:start w:val="1"/>
      <w:numFmt w:val="decimal"/>
      <w:isLgl/>
      <w:lvlText w:val="%1.%2.%3.%4.%5"/>
      <w:lvlJc w:val="left"/>
      <w:pPr>
        <w:ind w:left="1560" w:hanging="1080"/>
      </w:pPr>
      <w:rPr>
        <w:rFonts w:hint="default"/>
        <w:u w:val="none"/>
      </w:rPr>
    </w:lvl>
    <w:lvl w:ilvl="5">
      <w:start w:val="1"/>
      <w:numFmt w:val="decimal"/>
      <w:isLgl/>
      <w:lvlText w:val="%1.%2.%3.%4.%5.%6"/>
      <w:lvlJc w:val="left"/>
      <w:pPr>
        <w:ind w:left="1590" w:hanging="1080"/>
      </w:pPr>
      <w:rPr>
        <w:rFonts w:hint="default"/>
        <w:u w:val="none"/>
      </w:rPr>
    </w:lvl>
    <w:lvl w:ilvl="6">
      <w:start w:val="1"/>
      <w:numFmt w:val="decimal"/>
      <w:isLgl/>
      <w:lvlText w:val="%1.%2.%3.%4.%5.%6.%7"/>
      <w:lvlJc w:val="left"/>
      <w:pPr>
        <w:ind w:left="1980" w:hanging="1440"/>
      </w:pPr>
      <w:rPr>
        <w:rFonts w:hint="default"/>
        <w:u w:val="none"/>
      </w:rPr>
    </w:lvl>
    <w:lvl w:ilvl="7">
      <w:start w:val="1"/>
      <w:numFmt w:val="decimal"/>
      <w:isLgl/>
      <w:lvlText w:val="%1.%2.%3.%4.%5.%6.%7.%8"/>
      <w:lvlJc w:val="left"/>
      <w:pPr>
        <w:ind w:left="2010" w:hanging="1440"/>
      </w:pPr>
      <w:rPr>
        <w:rFonts w:hint="default"/>
        <w:u w:val="none"/>
      </w:rPr>
    </w:lvl>
    <w:lvl w:ilvl="8">
      <w:start w:val="1"/>
      <w:numFmt w:val="decimal"/>
      <w:isLgl/>
      <w:lvlText w:val="%1.%2.%3.%4.%5.%6.%7.%8.%9"/>
      <w:lvlJc w:val="left"/>
      <w:pPr>
        <w:ind w:left="2040" w:hanging="1440"/>
      </w:pPr>
      <w:rPr>
        <w:rFonts w:hint="default"/>
        <w:u w:val="none"/>
      </w:rPr>
    </w:lvl>
  </w:abstractNum>
  <w:abstractNum w:abstractNumId="41">
    <w:nsid w:val="74C31C56"/>
    <w:multiLevelType w:val="multilevel"/>
    <w:tmpl w:val="2130B86C"/>
    <w:lvl w:ilvl="0">
      <w:start w:val="1"/>
      <w:numFmt w:val="decimal"/>
      <w:lvlText w:val="%1."/>
      <w:lvlJc w:val="left"/>
      <w:pPr>
        <w:ind w:left="644" w:hanging="360"/>
      </w:pPr>
      <w:rPr>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6BC563A"/>
    <w:multiLevelType w:val="hybridMultilevel"/>
    <w:tmpl w:val="034857A4"/>
    <w:lvl w:ilvl="0" w:tplc="B91C1CB4">
      <w:start w:val="6"/>
      <w:numFmt w:val="upperRoman"/>
      <w:lvlText w:val="%1."/>
      <w:lvlJc w:val="righ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455F1F"/>
    <w:multiLevelType w:val="hybridMultilevel"/>
    <w:tmpl w:val="49081280"/>
    <w:lvl w:ilvl="0" w:tplc="478C4CCA">
      <w:start w:val="8"/>
      <w:numFmt w:val="bullet"/>
      <w:lvlText w:val="-"/>
      <w:lvlJc w:val="left"/>
      <w:pPr>
        <w:ind w:left="720" w:hanging="360"/>
      </w:pPr>
      <w:rPr>
        <w:rFonts w:ascii="Calibri" w:eastAsia="MS Mincho"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C5F2612"/>
    <w:multiLevelType w:val="hybridMultilevel"/>
    <w:tmpl w:val="596C0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6"/>
  </w:num>
  <w:num w:numId="3">
    <w:abstractNumId w:val="18"/>
  </w:num>
  <w:num w:numId="4">
    <w:abstractNumId w:val="34"/>
  </w:num>
  <w:num w:numId="5">
    <w:abstractNumId w:val="25"/>
  </w:num>
  <w:num w:numId="6">
    <w:abstractNumId w:val="15"/>
  </w:num>
  <w:num w:numId="7">
    <w:abstractNumId w:val="1"/>
  </w:num>
  <w:num w:numId="8">
    <w:abstractNumId w:val="23"/>
  </w:num>
  <w:num w:numId="9">
    <w:abstractNumId w:val="35"/>
  </w:num>
  <w:num w:numId="10">
    <w:abstractNumId w:val="30"/>
  </w:num>
  <w:num w:numId="11">
    <w:abstractNumId w:val="8"/>
  </w:num>
  <w:num w:numId="12">
    <w:abstractNumId w:val="38"/>
  </w:num>
  <w:num w:numId="13">
    <w:abstractNumId w:val="0"/>
  </w:num>
  <w:num w:numId="14">
    <w:abstractNumId w:val="44"/>
  </w:num>
  <w:num w:numId="15">
    <w:abstractNumId w:val="43"/>
  </w:num>
  <w:num w:numId="16">
    <w:abstractNumId w:val="7"/>
  </w:num>
  <w:num w:numId="17">
    <w:abstractNumId w:val="33"/>
  </w:num>
  <w:num w:numId="18">
    <w:abstractNumId w:val="6"/>
  </w:num>
  <w:num w:numId="19">
    <w:abstractNumId w:val="17"/>
  </w:num>
  <w:num w:numId="20">
    <w:abstractNumId w:val="19"/>
  </w:num>
  <w:num w:numId="21">
    <w:abstractNumId w:val="9"/>
  </w:num>
  <w:num w:numId="22">
    <w:abstractNumId w:val="13"/>
  </w:num>
  <w:num w:numId="23">
    <w:abstractNumId w:val="26"/>
  </w:num>
  <w:num w:numId="24">
    <w:abstractNumId w:val="24"/>
  </w:num>
  <w:num w:numId="25">
    <w:abstractNumId w:val="14"/>
  </w:num>
  <w:num w:numId="26">
    <w:abstractNumId w:val="16"/>
  </w:num>
  <w:num w:numId="27">
    <w:abstractNumId w:val="42"/>
  </w:num>
  <w:num w:numId="28">
    <w:abstractNumId w:val="31"/>
  </w:num>
  <w:num w:numId="29">
    <w:abstractNumId w:val="20"/>
  </w:num>
  <w:num w:numId="30">
    <w:abstractNumId w:val="10"/>
  </w:num>
  <w:num w:numId="31">
    <w:abstractNumId w:val="40"/>
  </w:num>
  <w:num w:numId="32">
    <w:abstractNumId w:val="22"/>
  </w:num>
  <w:num w:numId="33">
    <w:abstractNumId w:val="37"/>
  </w:num>
  <w:num w:numId="34">
    <w:abstractNumId w:val="21"/>
  </w:num>
  <w:num w:numId="35">
    <w:abstractNumId w:val="32"/>
  </w:num>
  <w:num w:numId="36">
    <w:abstractNumId w:val="28"/>
  </w:num>
  <w:num w:numId="37">
    <w:abstractNumId w:val="12"/>
  </w:num>
  <w:num w:numId="38">
    <w:abstractNumId w:val="41"/>
  </w:num>
  <w:num w:numId="39">
    <w:abstractNumId w:val="11"/>
  </w:num>
  <w:num w:numId="40">
    <w:abstractNumId w:val="3"/>
  </w:num>
  <w:num w:numId="41">
    <w:abstractNumId w:val="5"/>
  </w:num>
  <w:num w:numId="42">
    <w:abstractNumId w:val="4"/>
  </w:num>
  <w:num w:numId="43">
    <w:abstractNumId w:val="39"/>
  </w:num>
  <w:num w:numId="44">
    <w:abstractNumId w:val="27"/>
  </w:num>
  <w:num w:numId="45">
    <w:abstractNumId w:val="27"/>
    <w:lvlOverride w:ilvl="0">
      <w:startOverride w:val="1"/>
    </w:lvlOverride>
  </w:num>
  <w:num w:numId="46">
    <w:abstractNumId w:val="27"/>
    <w:lvlOverride w:ilvl="0">
      <w:startOverride w:val="1"/>
    </w:lvlOverride>
  </w:num>
  <w:num w:numId="47">
    <w:abstractNumId w:val="27"/>
    <w:lvlOverride w:ilvl="0">
      <w:startOverride w:val="1"/>
    </w:lvlOverride>
  </w:num>
  <w:num w:numId="48">
    <w:abstractNumId w:val="27"/>
    <w:lvlOverride w:ilvl="0">
      <w:startOverride w:val="1"/>
    </w:lvlOverride>
  </w:num>
  <w:num w:numId="49">
    <w:abstractNumId w:val="27"/>
    <w:lvlOverride w:ilvl="0">
      <w:startOverride w:val="1"/>
    </w:lvlOverride>
  </w:num>
  <w:num w:numId="50">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647"/>
    <w:rsid w:val="00000D9D"/>
    <w:rsid w:val="00000F57"/>
    <w:rsid w:val="00001374"/>
    <w:rsid w:val="000022F3"/>
    <w:rsid w:val="00002306"/>
    <w:rsid w:val="000112B2"/>
    <w:rsid w:val="000120A8"/>
    <w:rsid w:val="000178F7"/>
    <w:rsid w:val="00020797"/>
    <w:rsid w:val="00021979"/>
    <w:rsid w:val="00021A5E"/>
    <w:rsid w:val="0002276C"/>
    <w:rsid w:val="00022F0B"/>
    <w:rsid w:val="00023938"/>
    <w:rsid w:val="000246C1"/>
    <w:rsid w:val="00024976"/>
    <w:rsid w:val="00024B37"/>
    <w:rsid w:val="00024FFD"/>
    <w:rsid w:val="00027ACC"/>
    <w:rsid w:val="00027CFF"/>
    <w:rsid w:val="0003129A"/>
    <w:rsid w:val="0003210A"/>
    <w:rsid w:val="00032D5A"/>
    <w:rsid w:val="00033C6F"/>
    <w:rsid w:val="00035B8A"/>
    <w:rsid w:val="0004027B"/>
    <w:rsid w:val="00040758"/>
    <w:rsid w:val="00041CE5"/>
    <w:rsid w:val="00042091"/>
    <w:rsid w:val="0004483F"/>
    <w:rsid w:val="00046B30"/>
    <w:rsid w:val="000507A3"/>
    <w:rsid w:val="000519CC"/>
    <w:rsid w:val="00054602"/>
    <w:rsid w:val="00054BDB"/>
    <w:rsid w:val="00055047"/>
    <w:rsid w:val="0005649B"/>
    <w:rsid w:val="00057321"/>
    <w:rsid w:val="00060058"/>
    <w:rsid w:val="00062798"/>
    <w:rsid w:val="0006371E"/>
    <w:rsid w:val="00063D00"/>
    <w:rsid w:val="00063E9A"/>
    <w:rsid w:val="0006415D"/>
    <w:rsid w:val="00065B74"/>
    <w:rsid w:val="00065BB5"/>
    <w:rsid w:val="00066988"/>
    <w:rsid w:val="000673C3"/>
    <w:rsid w:val="00070055"/>
    <w:rsid w:val="00073D38"/>
    <w:rsid w:val="00075581"/>
    <w:rsid w:val="00080FCF"/>
    <w:rsid w:val="000810C2"/>
    <w:rsid w:val="00081CB0"/>
    <w:rsid w:val="00084210"/>
    <w:rsid w:val="000852A5"/>
    <w:rsid w:val="00085441"/>
    <w:rsid w:val="000867BB"/>
    <w:rsid w:val="0008751A"/>
    <w:rsid w:val="000903B9"/>
    <w:rsid w:val="00090479"/>
    <w:rsid w:val="000910E6"/>
    <w:rsid w:val="00091318"/>
    <w:rsid w:val="0009135B"/>
    <w:rsid w:val="00091778"/>
    <w:rsid w:val="0009230E"/>
    <w:rsid w:val="00092F89"/>
    <w:rsid w:val="00093438"/>
    <w:rsid w:val="00094A0F"/>
    <w:rsid w:val="000A050B"/>
    <w:rsid w:val="000A0B91"/>
    <w:rsid w:val="000A3AF4"/>
    <w:rsid w:val="000A3C9A"/>
    <w:rsid w:val="000A3E88"/>
    <w:rsid w:val="000A4B60"/>
    <w:rsid w:val="000A4F47"/>
    <w:rsid w:val="000A6D13"/>
    <w:rsid w:val="000B2221"/>
    <w:rsid w:val="000B246C"/>
    <w:rsid w:val="000B24B9"/>
    <w:rsid w:val="000B298D"/>
    <w:rsid w:val="000B35C7"/>
    <w:rsid w:val="000B3E36"/>
    <w:rsid w:val="000B4141"/>
    <w:rsid w:val="000B4BB7"/>
    <w:rsid w:val="000B4C18"/>
    <w:rsid w:val="000B5671"/>
    <w:rsid w:val="000B5C72"/>
    <w:rsid w:val="000B7785"/>
    <w:rsid w:val="000B7797"/>
    <w:rsid w:val="000B7892"/>
    <w:rsid w:val="000C01F9"/>
    <w:rsid w:val="000C0511"/>
    <w:rsid w:val="000C0722"/>
    <w:rsid w:val="000C0767"/>
    <w:rsid w:val="000C1AE3"/>
    <w:rsid w:val="000C377A"/>
    <w:rsid w:val="000C5B57"/>
    <w:rsid w:val="000C6E60"/>
    <w:rsid w:val="000C7687"/>
    <w:rsid w:val="000D458F"/>
    <w:rsid w:val="000D4A60"/>
    <w:rsid w:val="000E0214"/>
    <w:rsid w:val="000E24A7"/>
    <w:rsid w:val="000E2A1D"/>
    <w:rsid w:val="000E33EF"/>
    <w:rsid w:val="000E618C"/>
    <w:rsid w:val="000F036A"/>
    <w:rsid w:val="000F23EA"/>
    <w:rsid w:val="000F57A1"/>
    <w:rsid w:val="000F6A02"/>
    <w:rsid w:val="000F767D"/>
    <w:rsid w:val="00102329"/>
    <w:rsid w:val="00103A6B"/>
    <w:rsid w:val="00104CD7"/>
    <w:rsid w:val="00105CF1"/>
    <w:rsid w:val="00105DBB"/>
    <w:rsid w:val="001063F2"/>
    <w:rsid w:val="00110AF9"/>
    <w:rsid w:val="00110F3F"/>
    <w:rsid w:val="00112BA2"/>
    <w:rsid w:val="001135F9"/>
    <w:rsid w:val="00114F7D"/>
    <w:rsid w:val="0011555E"/>
    <w:rsid w:val="001158EC"/>
    <w:rsid w:val="0011609A"/>
    <w:rsid w:val="001170F9"/>
    <w:rsid w:val="0012098B"/>
    <w:rsid w:val="00122406"/>
    <w:rsid w:val="001229F7"/>
    <w:rsid w:val="00123517"/>
    <w:rsid w:val="00123AC5"/>
    <w:rsid w:val="00126E47"/>
    <w:rsid w:val="0012794A"/>
    <w:rsid w:val="00130B81"/>
    <w:rsid w:val="00131C75"/>
    <w:rsid w:val="00135527"/>
    <w:rsid w:val="00135C92"/>
    <w:rsid w:val="00136BBF"/>
    <w:rsid w:val="001371B4"/>
    <w:rsid w:val="00140700"/>
    <w:rsid w:val="00140DBF"/>
    <w:rsid w:val="001417F3"/>
    <w:rsid w:val="00144C54"/>
    <w:rsid w:val="00145E91"/>
    <w:rsid w:val="00146EC1"/>
    <w:rsid w:val="0014735B"/>
    <w:rsid w:val="00153493"/>
    <w:rsid w:val="001536F4"/>
    <w:rsid w:val="0015403C"/>
    <w:rsid w:val="00155D96"/>
    <w:rsid w:val="0015680B"/>
    <w:rsid w:val="001571F9"/>
    <w:rsid w:val="00157437"/>
    <w:rsid w:val="00160CD4"/>
    <w:rsid w:val="00165078"/>
    <w:rsid w:val="0016533A"/>
    <w:rsid w:val="0016594D"/>
    <w:rsid w:val="001660B5"/>
    <w:rsid w:val="0017155C"/>
    <w:rsid w:val="00171615"/>
    <w:rsid w:val="0017190D"/>
    <w:rsid w:val="00173E71"/>
    <w:rsid w:val="0017613E"/>
    <w:rsid w:val="001763D8"/>
    <w:rsid w:val="00176560"/>
    <w:rsid w:val="00180057"/>
    <w:rsid w:val="0018072E"/>
    <w:rsid w:val="00181D1A"/>
    <w:rsid w:val="00184E5E"/>
    <w:rsid w:val="00185CAD"/>
    <w:rsid w:val="001905CA"/>
    <w:rsid w:val="00190DAC"/>
    <w:rsid w:val="001915AA"/>
    <w:rsid w:val="0019164F"/>
    <w:rsid w:val="001916E2"/>
    <w:rsid w:val="001943AA"/>
    <w:rsid w:val="00194A90"/>
    <w:rsid w:val="00195B11"/>
    <w:rsid w:val="001A07F4"/>
    <w:rsid w:val="001A29B3"/>
    <w:rsid w:val="001A3714"/>
    <w:rsid w:val="001A6598"/>
    <w:rsid w:val="001A6FAA"/>
    <w:rsid w:val="001B0C2A"/>
    <w:rsid w:val="001B0CD2"/>
    <w:rsid w:val="001B140E"/>
    <w:rsid w:val="001B1E3C"/>
    <w:rsid w:val="001B2B7C"/>
    <w:rsid w:val="001B3FDF"/>
    <w:rsid w:val="001B5CA2"/>
    <w:rsid w:val="001C01D7"/>
    <w:rsid w:val="001C0B90"/>
    <w:rsid w:val="001C10C4"/>
    <w:rsid w:val="001C1554"/>
    <w:rsid w:val="001C1616"/>
    <w:rsid w:val="001C1AEC"/>
    <w:rsid w:val="001C1FD4"/>
    <w:rsid w:val="001C2587"/>
    <w:rsid w:val="001C4025"/>
    <w:rsid w:val="001C595E"/>
    <w:rsid w:val="001D392C"/>
    <w:rsid w:val="001D4584"/>
    <w:rsid w:val="001D6014"/>
    <w:rsid w:val="001D6106"/>
    <w:rsid w:val="001E030B"/>
    <w:rsid w:val="001E0BE8"/>
    <w:rsid w:val="001E0EF2"/>
    <w:rsid w:val="001E1D2C"/>
    <w:rsid w:val="001E2F7A"/>
    <w:rsid w:val="001E3397"/>
    <w:rsid w:val="001E36AD"/>
    <w:rsid w:val="001E6281"/>
    <w:rsid w:val="001E766E"/>
    <w:rsid w:val="001E777C"/>
    <w:rsid w:val="001E783A"/>
    <w:rsid w:val="001F130D"/>
    <w:rsid w:val="001F2AF7"/>
    <w:rsid w:val="001F3EBF"/>
    <w:rsid w:val="001F4407"/>
    <w:rsid w:val="001F46AE"/>
    <w:rsid w:val="001F669A"/>
    <w:rsid w:val="001F68F9"/>
    <w:rsid w:val="001F6ECA"/>
    <w:rsid w:val="001F73D1"/>
    <w:rsid w:val="001F7409"/>
    <w:rsid w:val="00200C52"/>
    <w:rsid w:val="0020196C"/>
    <w:rsid w:val="00202081"/>
    <w:rsid w:val="00202212"/>
    <w:rsid w:val="00203A2F"/>
    <w:rsid w:val="00203D70"/>
    <w:rsid w:val="00203EA0"/>
    <w:rsid w:val="00204512"/>
    <w:rsid w:val="00204BD0"/>
    <w:rsid w:val="002057F5"/>
    <w:rsid w:val="00205C24"/>
    <w:rsid w:val="00206AC8"/>
    <w:rsid w:val="002116D5"/>
    <w:rsid w:val="00211AB4"/>
    <w:rsid w:val="002135F4"/>
    <w:rsid w:val="00213F6B"/>
    <w:rsid w:val="0021405C"/>
    <w:rsid w:val="002145EE"/>
    <w:rsid w:val="00215165"/>
    <w:rsid w:val="00216AEB"/>
    <w:rsid w:val="00216DBC"/>
    <w:rsid w:val="0021754C"/>
    <w:rsid w:val="002175B5"/>
    <w:rsid w:val="00221010"/>
    <w:rsid w:val="00223D88"/>
    <w:rsid w:val="00226518"/>
    <w:rsid w:val="002279B9"/>
    <w:rsid w:val="0023152F"/>
    <w:rsid w:val="002327F8"/>
    <w:rsid w:val="00232C9F"/>
    <w:rsid w:val="00232E22"/>
    <w:rsid w:val="00234677"/>
    <w:rsid w:val="002365EA"/>
    <w:rsid w:val="00236D73"/>
    <w:rsid w:val="00240B10"/>
    <w:rsid w:val="0024142C"/>
    <w:rsid w:val="00241C43"/>
    <w:rsid w:val="002427CD"/>
    <w:rsid w:val="002439A0"/>
    <w:rsid w:val="00252215"/>
    <w:rsid w:val="00252588"/>
    <w:rsid w:val="00252689"/>
    <w:rsid w:val="00252A7E"/>
    <w:rsid w:val="00252DBE"/>
    <w:rsid w:val="00253900"/>
    <w:rsid w:val="00255116"/>
    <w:rsid w:val="002556D8"/>
    <w:rsid w:val="00260172"/>
    <w:rsid w:val="002613A5"/>
    <w:rsid w:val="00262587"/>
    <w:rsid w:val="00262E81"/>
    <w:rsid w:val="00262FDD"/>
    <w:rsid w:val="00264DC4"/>
    <w:rsid w:val="00264FAE"/>
    <w:rsid w:val="00265288"/>
    <w:rsid w:val="00266D4F"/>
    <w:rsid w:val="00266E89"/>
    <w:rsid w:val="00270079"/>
    <w:rsid w:val="00270B3B"/>
    <w:rsid w:val="00271990"/>
    <w:rsid w:val="00273ADF"/>
    <w:rsid w:val="00273F27"/>
    <w:rsid w:val="00274E34"/>
    <w:rsid w:val="00274ECF"/>
    <w:rsid w:val="00277AE9"/>
    <w:rsid w:val="002812DE"/>
    <w:rsid w:val="00283894"/>
    <w:rsid w:val="002844A4"/>
    <w:rsid w:val="002846DC"/>
    <w:rsid w:val="00287AC1"/>
    <w:rsid w:val="0029058E"/>
    <w:rsid w:val="00290CAE"/>
    <w:rsid w:val="002954D4"/>
    <w:rsid w:val="002979AA"/>
    <w:rsid w:val="00297D82"/>
    <w:rsid w:val="00297EBE"/>
    <w:rsid w:val="002A0496"/>
    <w:rsid w:val="002A28A1"/>
    <w:rsid w:val="002A2BBC"/>
    <w:rsid w:val="002A3106"/>
    <w:rsid w:val="002A3FC8"/>
    <w:rsid w:val="002A4837"/>
    <w:rsid w:val="002A4B50"/>
    <w:rsid w:val="002A5C9C"/>
    <w:rsid w:val="002A6E0E"/>
    <w:rsid w:val="002A78D8"/>
    <w:rsid w:val="002B51AF"/>
    <w:rsid w:val="002B6CC6"/>
    <w:rsid w:val="002C0DC8"/>
    <w:rsid w:val="002C35B4"/>
    <w:rsid w:val="002C36B9"/>
    <w:rsid w:val="002C4429"/>
    <w:rsid w:val="002C49EB"/>
    <w:rsid w:val="002C4CF1"/>
    <w:rsid w:val="002C6111"/>
    <w:rsid w:val="002C7498"/>
    <w:rsid w:val="002C7786"/>
    <w:rsid w:val="002D05EE"/>
    <w:rsid w:val="002D0744"/>
    <w:rsid w:val="002D153C"/>
    <w:rsid w:val="002D1CD6"/>
    <w:rsid w:val="002D2313"/>
    <w:rsid w:val="002D4256"/>
    <w:rsid w:val="002D446C"/>
    <w:rsid w:val="002D4B31"/>
    <w:rsid w:val="002D526A"/>
    <w:rsid w:val="002D5D5B"/>
    <w:rsid w:val="002D6840"/>
    <w:rsid w:val="002E0ACC"/>
    <w:rsid w:val="002E27EA"/>
    <w:rsid w:val="002E2BD0"/>
    <w:rsid w:val="002E5AD0"/>
    <w:rsid w:val="002E6011"/>
    <w:rsid w:val="002E642E"/>
    <w:rsid w:val="002E65E7"/>
    <w:rsid w:val="002E7647"/>
    <w:rsid w:val="002E78B1"/>
    <w:rsid w:val="002F0047"/>
    <w:rsid w:val="002F07C8"/>
    <w:rsid w:val="002F0E7F"/>
    <w:rsid w:val="002F2EE9"/>
    <w:rsid w:val="002F3564"/>
    <w:rsid w:val="002F610C"/>
    <w:rsid w:val="002F686C"/>
    <w:rsid w:val="002F79D6"/>
    <w:rsid w:val="00300550"/>
    <w:rsid w:val="00300DC7"/>
    <w:rsid w:val="00301BC1"/>
    <w:rsid w:val="00301CE2"/>
    <w:rsid w:val="003024F8"/>
    <w:rsid w:val="00302A4F"/>
    <w:rsid w:val="00303035"/>
    <w:rsid w:val="003051DD"/>
    <w:rsid w:val="00305D8F"/>
    <w:rsid w:val="00306092"/>
    <w:rsid w:val="0030628F"/>
    <w:rsid w:val="00306EE3"/>
    <w:rsid w:val="00310325"/>
    <w:rsid w:val="00310ABC"/>
    <w:rsid w:val="0031101E"/>
    <w:rsid w:val="003122B5"/>
    <w:rsid w:val="00312984"/>
    <w:rsid w:val="0031354C"/>
    <w:rsid w:val="0031466A"/>
    <w:rsid w:val="00316B3E"/>
    <w:rsid w:val="00316C66"/>
    <w:rsid w:val="00317C81"/>
    <w:rsid w:val="00317FBC"/>
    <w:rsid w:val="0032264F"/>
    <w:rsid w:val="00323A8D"/>
    <w:rsid w:val="00324606"/>
    <w:rsid w:val="00324844"/>
    <w:rsid w:val="00324A8B"/>
    <w:rsid w:val="0032540B"/>
    <w:rsid w:val="00326B56"/>
    <w:rsid w:val="00331543"/>
    <w:rsid w:val="003315C3"/>
    <w:rsid w:val="003320F7"/>
    <w:rsid w:val="0033219C"/>
    <w:rsid w:val="003336E2"/>
    <w:rsid w:val="00333B0F"/>
    <w:rsid w:val="00335688"/>
    <w:rsid w:val="0034100E"/>
    <w:rsid w:val="00341B5F"/>
    <w:rsid w:val="00341F75"/>
    <w:rsid w:val="00343059"/>
    <w:rsid w:val="00343B0D"/>
    <w:rsid w:val="003444E3"/>
    <w:rsid w:val="0034450D"/>
    <w:rsid w:val="00344535"/>
    <w:rsid w:val="0034475C"/>
    <w:rsid w:val="00345674"/>
    <w:rsid w:val="00346308"/>
    <w:rsid w:val="00346793"/>
    <w:rsid w:val="00350B93"/>
    <w:rsid w:val="003520FD"/>
    <w:rsid w:val="003536E8"/>
    <w:rsid w:val="00354995"/>
    <w:rsid w:val="00360451"/>
    <w:rsid w:val="0036058C"/>
    <w:rsid w:val="003618AA"/>
    <w:rsid w:val="00363BA3"/>
    <w:rsid w:val="003650F9"/>
    <w:rsid w:val="003654E3"/>
    <w:rsid w:val="00365E1D"/>
    <w:rsid w:val="00370125"/>
    <w:rsid w:val="003702A3"/>
    <w:rsid w:val="003714C0"/>
    <w:rsid w:val="0037183A"/>
    <w:rsid w:val="003718B0"/>
    <w:rsid w:val="00372831"/>
    <w:rsid w:val="00372C9F"/>
    <w:rsid w:val="00372E1A"/>
    <w:rsid w:val="00372EEC"/>
    <w:rsid w:val="00373AB0"/>
    <w:rsid w:val="00375131"/>
    <w:rsid w:val="00375593"/>
    <w:rsid w:val="00375DB8"/>
    <w:rsid w:val="00380166"/>
    <w:rsid w:val="003817EE"/>
    <w:rsid w:val="0038397A"/>
    <w:rsid w:val="003839C1"/>
    <w:rsid w:val="0038564B"/>
    <w:rsid w:val="00386416"/>
    <w:rsid w:val="00387C47"/>
    <w:rsid w:val="003905DB"/>
    <w:rsid w:val="00392819"/>
    <w:rsid w:val="003938A3"/>
    <w:rsid w:val="0039435B"/>
    <w:rsid w:val="00394E3C"/>
    <w:rsid w:val="00396000"/>
    <w:rsid w:val="00397013"/>
    <w:rsid w:val="00397A32"/>
    <w:rsid w:val="00397CEA"/>
    <w:rsid w:val="003A0649"/>
    <w:rsid w:val="003A0A09"/>
    <w:rsid w:val="003A341C"/>
    <w:rsid w:val="003A55E0"/>
    <w:rsid w:val="003A66AF"/>
    <w:rsid w:val="003A74E5"/>
    <w:rsid w:val="003B011C"/>
    <w:rsid w:val="003B032B"/>
    <w:rsid w:val="003B092A"/>
    <w:rsid w:val="003B0C79"/>
    <w:rsid w:val="003B152B"/>
    <w:rsid w:val="003B1F11"/>
    <w:rsid w:val="003B324D"/>
    <w:rsid w:val="003B5A78"/>
    <w:rsid w:val="003B5AB5"/>
    <w:rsid w:val="003B5ABB"/>
    <w:rsid w:val="003B65F9"/>
    <w:rsid w:val="003B7E90"/>
    <w:rsid w:val="003B7FD8"/>
    <w:rsid w:val="003C10D0"/>
    <w:rsid w:val="003C2037"/>
    <w:rsid w:val="003C3612"/>
    <w:rsid w:val="003C3CCB"/>
    <w:rsid w:val="003C54D5"/>
    <w:rsid w:val="003D5139"/>
    <w:rsid w:val="003D54FD"/>
    <w:rsid w:val="003D57B8"/>
    <w:rsid w:val="003D5F7D"/>
    <w:rsid w:val="003D6B88"/>
    <w:rsid w:val="003D78B0"/>
    <w:rsid w:val="003E220D"/>
    <w:rsid w:val="003E4746"/>
    <w:rsid w:val="003E5563"/>
    <w:rsid w:val="003E6262"/>
    <w:rsid w:val="003E6E15"/>
    <w:rsid w:val="003E6F23"/>
    <w:rsid w:val="003E7DDA"/>
    <w:rsid w:val="003F0102"/>
    <w:rsid w:val="003F092E"/>
    <w:rsid w:val="003F177B"/>
    <w:rsid w:val="003F2863"/>
    <w:rsid w:val="003F351F"/>
    <w:rsid w:val="003F3A61"/>
    <w:rsid w:val="003F4268"/>
    <w:rsid w:val="003F5C1A"/>
    <w:rsid w:val="003F7BF5"/>
    <w:rsid w:val="004016B1"/>
    <w:rsid w:val="004016F9"/>
    <w:rsid w:val="004025A7"/>
    <w:rsid w:val="004041FC"/>
    <w:rsid w:val="00405204"/>
    <w:rsid w:val="00405C5D"/>
    <w:rsid w:val="00410118"/>
    <w:rsid w:val="00410959"/>
    <w:rsid w:val="00411BDC"/>
    <w:rsid w:val="0041228B"/>
    <w:rsid w:val="00412320"/>
    <w:rsid w:val="00420528"/>
    <w:rsid w:val="00421759"/>
    <w:rsid w:val="00421D54"/>
    <w:rsid w:val="00422617"/>
    <w:rsid w:val="00422ED7"/>
    <w:rsid w:val="00423C03"/>
    <w:rsid w:val="0042407C"/>
    <w:rsid w:val="00425DF4"/>
    <w:rsid w:val="004276E8"/>
    <w:rsid w:val="0043103F"/>
    <w:rsid w:val="00432051"/>
    <w:rsid w:val="00432168"/>
    <w:rsid w:val="004334B6"/>
    <w:rsid w:val="00433AAA"/>
    <w:rsid w:val="00434A10"/>
    <w:rsid w:val="00435630"/>
    <w:rsid w:val="0043777C"/>
    <w:rsid w:val="00437F93"/>
    <w:rsid w:val="00441370"/>
    <w:rsid w:val="00442017"/>
    <w:rsid w:val="00442459"/>
    <w:rsid w:val="004455A7"/>
    <w:rsid w:val="00447B92"/>
    <w:rsid w:val="004508A0"/>
    <w:rsid w:val="00452A8F"/>
    <w:rsid w:val="00452BB7"/>
    <w:rsid w:val="004531A5"/>
    <w:rsid w:val="00454A16"/>
    <w:rsid w:val="00454F01"/>
    <w:rsid w:val="00454F4E"/>
    <w:rsid w:val="0045676E"/>
    <w:rsid w:val="00456866"/>
    <w:rsid w:val="00456A0B"/>
    <w:rsid w:val="0046289D"/>
    <w:rsid w:val="00462AFD"/>
    <w:rsid w:val="00463557"/>
    <w:rsid w:val="00463E95"/>
    <w:rsid w:val="00464E0A"/>
    <w:rsid w:val="00466B9D"/>
    <w:rsid w:val="00470638"/>
    <w:rsid w:val="00473883"/>
    <w:rsid w:val="0047390A"/>
    <w:rsid w:val="004745E5"/>
    <w:rsid w:val="00474803"/>
    <w:rsid w:val="00474AC0"/>
    <w:rsid w:val="00474E7B"/>
    <w:rsid w:val="00475396"/>
    <w:rsid w:val="004770C4"/>
    <w:rsid w:val="004777C9"/>
    <w:rsid w:val="00481A3E"/>
    <w:rsid w:val="004827BD"/>
    <w:rsid w:val="00482A20"/>
    <w:rsid w:val="0048358C"/>
    <w:rsid w:val="0048562E"/>
    <w:rsid w:val="004856B5"/>
    <w:rsid w:val="004859E3"/>
    <w:rsid w:val="00486AD0"/>
    <w:rsid w:val="00486C62"/>
    <w:rsid w:val="0048703A"/>
    <w:rsid w:val="004874CE"/>
    <w:rsid w:val="00487AB5"/>
    <w:rsid w:val="004905B4"/>
    <w:rsid w:val="00491F26"/>
    <w:rsid w:val="004935DB"/>
    <w:rsid w:val="00494BEA"/>
    <w:rsid w:val="004962AB"/>
    <w:rsid w:val="004A1404"/>
    <w:rsid w:val="004A1751"/>
    <w:rsid w:val="004A20AA"/>
    <w:rsid w:val="004A2B44"/>
    <w:rsid w:val="004A3B69"/>
    <w:rsid w:val="004A444A"/>
    <w:rsid w:val="004A515A"/>
    <w:rsid w:val="004A69C0"/>
    <w:rsid w:val="004B1D82"/>
    <w:rsid w:val="004B267B"/>
    <w:rsid w:val="004B31F6"/>
    <w:rsid w:val="004B4A58"/>
    <w:rsid w:val="004B54D3"/>
    <w:rsid w:val="004B6122"/>
    <w:rsid w:val="004B6B67"/>
    <w:rsid w:val="004C1177"/>
    <w:rsid w:val="004C2A86"/>
    <w:rsid w:val="004C3C82"/>
    <w:rsid w:val="004C4948"/>
    <w:rsid w:val="004C6904"/>
    <w:rsid w:val="004D1C7A"/>
    <w:rsid w:val="004D265B"/>
    <w:rsid w:val="004D29B5"/>
    <w:rsid w:val="004D335B"/>
    <w:rsid w:val="004D375A"/>
    <w:rsid w:val="004D6820"/>
    <w:rsid w:val="004D7F34"/>
    <w:rsid w:val="004E1CDE"/>
    <w:rsid w:val="004E2A47"/>
    <w:rsid w:val="004E367F"/>
    <w:rsid w:val="004E49BA"/>
    <w:rsid w:val="004E4A3A"/>
    <w:rsid w:val="004E6044"/>
    <w:rsid w:val="004E620C"/>
    <w:rsid w:val="004E7DA0"/>
    <w:rsid w:val="004F0EF1"/>
    <w:rsid w:val="004F104B"/>
    <w:rsid w:val="004F1AC0"/>
    <w:rsid w:val="004F2BC8"/>
    <w:rsid w:val="004F2D07"/>
    <w:rsid w:val="004F6EC8"/>
    <w:rsid w:val="004F79AD"/>
    <w:rsid w:val="00500C80"/>
    <w:rsid w:val="00501530"/>
    <w:rsid w:val="00506D6C"/>
    <w:rsid w:val="005071D1"/>
    <w:rsid w:val="00507213"/>
    <w:rsid w:val="00510163"/>
    <w:rsid w:val="005109FC"/>
    <w:rsid w:val="005119C7"/>
    <w:rsid w:val="00512993"/>
    <w:rsid w:val="00513336"/>
    <w:rsid w:val="005134B9"/>
    <w:rsid w:val="005142AB"/>
    <w:rsid w:val="00515A5E"/>
    <w:rsid w:val="00516FC6"/>
    <w:rsid w:val="005171A4"/>
    <w:rsid w:val="00520AB8"/>
    <w:rsid w:val="00521120"/>
    <w:rsid w:val="00521EB5"/>
    <w:rsid w:val="00522BCB"/>
    <w:rsid w:val="00523E7D"/>
    <w:rsid w:val="00526AA8"/>
    <w:rsid w:val="005272C8"/>
    <w:rsid w:val="00527879"/>
    <w:rsid w:val="00530C39"/>
    <w:rsid w:val="005313DF"/>
    <w:rsid w:val="00532621"/>
    <w:rsid w:val="00534384"/>
    <w:rsid w:val="00534489"/>
    <w:rsid w:val="00534F4F"/>
    <w:rsid w:val="00535080"/>
    <w:rsid w:val="005353F8"/>
    <w:rsid w:val="00535507"/>
    <w:rsid w:val="00536084"/>
    <w:rsid w:val="00537167"/>
    <w:rsid w:val="005418E7"/>
    <w:rsid w:val="005425AA"/>
    <w:rsid w:val="00542A06"/>
    <w:rsid w:val="00545CBC"/>
    <w:rsid w:val="00546025"/>
    <w:rsid w:val="0055189C"/>
    <w:rsid w:val="005539EF"/>
    <w:rsid w:val="0055418F"/>
    <w:rsid w:val="00554E35"/>
    <w:rsid w:val="00557C22"/>
    <w:rsid w:val="00557E68"/>
    <w:rsid w:val="00560C2F"/>
    <w:rsid w:val="00561605"/>
    <w:rsid w:val="00561E47"/>
    <w:rsid w:val="00563865"/>
    <w:rsid w:val="00564043"/>
    <w:rsid w:val="005651C7"/>
    <w:rsid w:val="00565887"/>
    <w:rsid w:val="00566493"/>
    <w:rsid w:val="005668DF"/>
    <w:rsid w:val="005707C1"/>
    <w:rsid w:val="00571570"/>
    <w:rsid w:val="005721F7"/>
    <w:rsid w:val="005726E7"/>
    <w:rsid w:val="0057282D"/>
    <w:rsid w:val="00572B5F"/>
    <w:rsid w:val="005733AB"/>
    <w:rsid w:val="00574A39"/>
    <w:rsid w:val="00574D14"/>
    <w:rsid w:val="00580C93"/>
    <w:rsid w:val="00582341"/>
    <w:rsid w:val="00582C18"/>
    <w:rsid w:val="00583589"/>
    <w:rsid w:val="00583C8A"/>
    <w:rsid w:val="0058458D"/>
    <w:rsid w:val="00584C5D"/>
    <w:rsid w:val="005869E0"/>
    <w:rsid w:val="00587831"/>
    <w:rsid w:val="005878AA"/>
    <w:rsid w:val="00587D0E"/>
    <w:rsid w:val="00587D93"/>
    <w:rsid w:val="0059090F"/>
    <w:rsid w:val="00591DCE"/>
    <w:rsid w:val="00597391"/>
    <w:rsid w:val="005A035C"/>
    <w:rsid w:val="005A2BB7"/>
    <w:rsid w:val="005A42BD"/>
    <w:rsid w:val="005B1CBD"/>
    <w:rsid w:val="005B1CCE"/>
    <w:rsid w:val="005B22CE"/>
    <w:rsid w:val="005B3B85"/>
    <w:rsid w:val="005B4798"/>
    <w:rsid w:val="005B49A8"/>
    <w:rsid w:val="005B5B83"/>
    <w:rsid w:val="005C13BB"/>
    <w:rsid w:val="005C36CB"/>
    <w:rsid w:val="005C3E70"/>
    <w:rsid w:val="005C4DD4"/>
    <w:rsid w:val="005C5ECD"/>
    <w:rsid w:val="005C67F1"/>
    <w:rsid w:val="005D01B6"/>
    <w:rsid w:val="005D2411"/>
    <w:rsid w:val="005D2834"/>
    <w:rsid w:val="005D42E5"/>
    <w:rsid w:val="005D55B4"/>
    <w:rsid w:val="005D582E"/>
    <w:rsid w:val="005E090F"/>
    <w:rsid w:val="005E43AB"/>
    <w:rsid w:val="005E4D9D"/>
    <w:rsid w:val="005E4ED9"/>
    <w:rsid w:val="005E6BF5"/>
    <w:rsid w:val="005E70F7"/>
    <w:rsid w:val="005F144C"/>
    <w:rsid w:val="005F32E2"/>
    <w:rsid w:val="005F5074"/>
    <w:rsid w:val="005F564E"/>
    <w:rsid w:val="005F57F1"/>
    <w:rsid w:val="005F6B7D"/>
    <w:rsid w:val="00600935"/>
    <w:rsid w:val="00600D83"/>
    <w:rsid w:val="00605325"/>
    <w:rsid w:val="00605F5C"/>
    <w:rsid w:val="00606CFF"/>
    <w:rsid w:val="00606FF5"/>
    <w:rsid w:val="006077A4"/>
    <w:rsid w:val="00610C9B"/>
    <w:rsid w:val="00611402"/>
    <w:rsid w:val="00616741"/>
    <w:rsid w:val="00617558"/>
    <w:rsid w:val="00621272"/>
    <w:rsid w:val="00621FA5"/>
    <w:rsid w:val="006229E1"/>
    <w:rsid w:val="006234C3"/>
    <w:rsid w:val="00624068"/>
    <w:rsid w:val="00624B2E"/>
    <w:rsid w:val="006252D4"/>
    <w:rsid w:val="00632632"/>
    <w:rsid w:val="00632AB4"/>
    <w:rsid w:val="00632B60"/>
    <w:rsid w:val="00633A82"/>
    <w:rsid w:val="00634626"/>
    <w:rsid w:val="00634942"/>
    <w:rsid w:val="00635C30"/>
    <w:rsid w:val="006374B4"/>
    <w:rsid w:val="006406CD"/>
    <w:rsid w:val="00640DF2"/>
    <w:rsid w:val="0064150C"/>
    <w:rsid w:val="006438ED"/>
    <w:rsid w:val="00645586"/>
    <w:rsid w:val="00647722"/>
    <w:rsid w:val="00650A73"/>
    <w:rsid w:val="0065227A"/>
    <w:rsid w:val="00653F81"/>
    <w:rsid w:val="00656483"/>
    <w:rsid w:val="00656ED4"/>
    <w:rsid w:val="00660AD5"/>
    <w:rsid w:val="00661103"/>
    <w:rsid w:val="0066289C"/>
    <w:rsid w:val="00663A27"/>
    <w:rsid w:val="006644D5"/>
    <w:rsid w:val="00665AE9"/>
    <w:rsid w:val="006666C3"/>
    <w:rsid w:val="0066672A"/>
    <w:rsid w:val="00667957"/>
    <w:rsid w:val="00670A6F"/>
    <w:rsid w:val="00673420"/>
    <w:rsid w:val="00676236"/>
    <w:rsid w:val="00677E4D"/>
    <w:rsid w:val="00682B15"/>
    <w:rsid w:val="00690617"/>
    <w:rsid w:val="006947E1"/>
    <w:rsid w:val="006948B4"/>
    <w:rsid w:val="00695675"/>
    <w:rsid w:val="00697FC7"/>
    <w:rsid w:val="006A0475"/>
    <w:rsid w:val="006A45E8"/>
    <w:rsid w:val="006A6D35"/>
    <w:rsid w:val="006B0930"/>
    <w:rsid w:val="006B0E9D"/>
    <w:rsid w:val="006B24A8"/>
    <w:rsid w:val="006B368E"/>
    <w:rsid w:val="006B369F"/>
    <w:rsid w:val="006B3AD9"/>
    <w:rsid w:val="006B466F"/>
    <w:rsid w:val="006B4705"/>
    <w:rsid w:val="006B5982"/>
    <w:rsid w:val="006B7169"/>
    <w:rsid w:val="006B7F08"/>
    <w:rsid w:val="006C1038"/>
    <w:rsid w:val="006C1FFB"/>
    <w:rsid w:val="006C2FA0"/>
    <w:rsid w:val="006C3CB7"/>
    <w:rsid w:val="006C3F5D"/>
    <w:rsid w:val="006C466F"/>
    <w:rsid w:val="006D0AF4"/>
    <w:rsid w:val="006D173D"/>
    <w:rsid w:val="006D1B40"/>
    <w:rsid w:val="006D4589"/>
    <w:rsid w:val="006D4632"/>
    <w:rsid w:val="006D4EC3"/>
    <w:rsid w:val="006D6B27"/>
    <w:rsid w:val="006D777A"/>
    <w:rsid w:val="006E005F"/>
    <w:rsid w:val="006E20A6"/>
    <w:rsid w:val="006E2DB6"/>
    <w:rsid w:val="006E3141"/>
    <w:rsid w:val="006E522F"/>
    <w:rsid w:val="006E5433"/>
    <w:rsid w:val="006E5751"/>
    <w:rsid w:val="006F433D"/>
    <w:rsid w:val="006F4963"/>
    <w:rsid w:val="006F58E5"/>
    <w:rsid w:val="007013FD"/>
    <w:rsid w:val="00703651"/>
    <w:rsid w:val="00703C25"/>
    <w:rsid w:val="007051C7"/>
    <w:rsid w:val="00705ADF"/>
    <w:rsid w:val="00706A72"/>
    <w:rsid w:val="0070761D"/>
    <w:rsid w:val="0070788A"/>
    <w:rsid w:val="00710202"/>
    <w:rsid w:val="007102D6"/>
    <w:rsid w:val="00710672"/>
    <w:rsid w:val="00710EA4"/>
    <w:rsid w:val="00712200"/>
    <w:rsid w:val="007133AB"/>
    <w:rsid w:val="00714BB7"/>
    <w:rsid w:val="007202A9"/>
    <w:rsid w:val="00721479"/>
    <w:rsid w:val="00721524"/>
    <w:rsid w:val="007218A5"/>
    <w:rsid w:val="00721998"/>
    <w:rsid w:val="0072257A"/>
    <w:rsid w:val="007228AD"/>
    <w:rsid w:val="007232E9"/>
    <w:rsid w:val="00724481"/>
    <w:rsid w:val="007247DD"/>
    <w:rsid w:val="00724C01"/>
    <w:rsid w:val="0072510B"/>
    <w:rsid w:val="007255A6"/>
    <w:rsid w:val="00725A4A"/>
    <w:rsid w:val="00726434"/>
    <w:rsid w:val="007318BC"/>
    <w:rsid w:val="007319F8"/>
    <w:rsid w:val="00731CBB"/>
    <w:rsid w:val="00734E7A"/>
    <w:rsid w:val="00736F54"/>
    <w:rsid w:val="00742229"/>
    <w:rsid w:val="00742B9B"/>
    <w:rsid w:val="007449C1"/>
    <w:rsid w:val="00745107"/>
    <w:rsid w:val="00746FAC"/>
    <w:rsid w:val="00747740"/>
    <w:rsid w:val="007503A0"/>
    <w:rsid w:val="0075053D"/>
    <w:rsid w:val="00750DED"/>
    <w:rsid w:val="0075140B"/>
    <w:rsid w:val="00752109"/>
    <w:rsid w:val="00752E3C"/>
    <w:rsid w:val="00755CDA"/>
    <w:rsid w:val="007668DF"/>
    <w:rsid w:val="00767692"/>
    <w:rsid w:val="007737FC"/>
    <w:rsid w:val="00774112"/>
    <w:rsid w:val="00774A4B"/>
    <w:rsid w:val="00775DD0"/>
    <w:rsid w:val="007776F9"/>
    <w:rsid w:val="0078056D"/>
    <w:rsid w:val="00781035"/>
    <w:rsid w:val="0078106B"/>
    <w:rsid w:val="00781B9E"/>
    <w:rsid w:val="007848FF"/>
    <w:rsid w:val="00785F0D"/>
    <w:rsid w:val="00786A29"/>
    <w:rsid w:val="0079184F"/>
    <w:rsid w:val="0079237B"/>
    <w:rsid w:val="00794EF2"/>
    <w:rsid w:val="007955B1"/>
    <w:rsid w:val="00797991"/>
    <w:rsid w:val="007A0230"/>
    <w:rsid w:val="007A1C00"/>
    <w:rsid w:val="007A2533"/>
    <w:rsid w:val="007A2DB4"/>
    <w:rsid w:val="007A7B40"/>
    <w:rsid w:val="007B271B"/>
    <w:rsid w:val="007B2A57"/>
    <w:rsid w:val="007B52C3"/>
    <w:rsid w:val="007B54AD"/>
    <w:rsid w:val="007B61CD"/>
    <w:rsid w:val="007B63E1"/>
    <w:rsid w:val="007B68E4"/>
    <w:rsid w:val="007B7460"/>
    <w:rsid w:val="007B79B2"/>
    <w:rsid w:val="007B7D39"/>
    <w:rsid w:val="007B7EF2"/>
    <w:rsid w:val="007C0DE9"/>
    <w:rsid w:val="007C1EE0"/>
    <w:rsid w:val="007C2242"/>
    <w:rsid w:val="007C331C"/>
    <w:rsid w:val="007C33B3"/>
    <w:rsid w:val="007C3417"/>
    <w:rsid w:val="007C44EC"/>
    <w:rsid w:val="007C560D"/>
    <w:rsid w:val="007C5AB8"/>
    <w:rsid w:val="007C6B6E"/>
    <w:rsid w:val="007C746A"/>
    <w:rsid w:val="007C77C2"/>
    <w:rsid w:val="007D0390"/>
    <w:rsid w:val="007D1206"/>
    <w:rsid w:val="007D2272"/>
    <w:rsid w:val="007D5F84"/>
    <w:rsid w:val="007D6A94"/>
    <w:rsid w:val="007E2C9E"/>
    <w:rsid w:val="007E3718"/>
    <w:rsid w:val="007E4807"/>
    <w:rsid w:val="007E48D2"/>
    <w:rsid w:val="007E4EB0"/>
    <w:rsid w:val="007E55AC"/>
    <w:rsid w:val="007E7B2A"/>
    <w:rsid w:val="007F00E2"/>
    <w:rsid w:val="007F1720"/>
    <w:rsid w:val="007F2364"/>
    <w:rsid w:val="007F294E"/>
    <w:rsid w:val="007F48B8"/>
    <w:rsid w:val="007F6297"/>
    <w:rsid w:val="007F660F"/>
    <w:rsid w:val="007F6C73"/>
    <w:rsid w:val="007F7E70"/>
    <w:rsid w:val="00800A4F"/>
    <w:rsid w:val="00802C10"/>
    <w:rsid w:val="00802FC3"/>
    <w:rsid w:val="0080323B"/>
    <w:rsid w:val="0080530A"/>
    <w:rsid w:val="00805953"/>
    <w:rsid w:val="00807B9C"/>
    <w:rsid w:val="0081091E"/>
    <w:rsid w:val="00812615"/>
    <w:rsid w:val="00812C79"/>
    <w:rsid w:val="00812CD4"/>
    <w:rsid w:val="00813021"/>
    <w:rsid w:val="0081330E"/>
    <w:rsid w:val="0081579D"/>
    <w:rsid w:val="00816B77"/>
    <w:rsid w:val="00822409"/>
    <w:rsid w:val="00822420"/>
    <w:rsid w:val="008237FB"/>
    <w:rsid w:val="00823812"/>
    <w:rsid w:val="00824130"/>
    <w:rsid w:val="008243AC"/>
    <w:rsid w:val="0082534F"/>
    <w:rsid w:val="00825918"/>
    <w:rsid w:val="0082649D"/>
    <w:rsid w:val="00826C01"/>
    <w:rsid w:val="0082752A"/>
    <w:rsid w:val="00827B14"/>
    <w:rsid w:val="00827E0A"/>
    <w:rsid w:val="008304D9"/>
    <w:rsid w:val="00831C52"/>
    <w:rsid w:val="00832F2A"/>
    <w:rsid w:val="0083358C"/>
    <w:rsid w:val="008345E3"/>
    <w:rsid w:val="008360C2"/>
    <w:rsid w:val="008361EE"/>
    <w:rsid w:val="00840309"/>
    <w:rsid w:val="00840D10"/>
    <w:rsid w:val="0084122F"/>
    <w:rsid w:val="00843765"/>
    <w:rsid w:val="008446C4"/>
    <w:rsid w:val="008457D5"/>
    <w:rsid w:val="008471B3"/>
    <w:rsid w:val="00847275"/>
    <w:rsid w:val="0085235A"/>
    <w:rsid w:val="00852AAF"/>
    <w:rsid w:val="00852EFE"/>
    <w:rsid w:val="00853F41"/>
    <w:rsid w:val="0085410F"/>
    <w:rsid w:val="00855079"/>
    <w:rsid w:val="00857E8B"/>
    <w:rsid w:val="0086130D"/>
    <w:rsid w:val="00862B44"/>
    <w:rsid w:val="00864B20"/>
    <w:rsid w:val="00864ECF"/>
    <w:rsid w:val="00865E10"/>
    <w:rsid w:val="0086765A"/>
    <w:rsid w:val="0087040E"/>
    <w:rsid w:val="00872E25"/>
    <w:rsid w:val="00873380"/>
    <w:rsid w:val="0087434C"/>
    <w:rsid w:val="008743C2"/>
    <w:rsid w:val="00877100"/>
    <w:rsid w:val="00877218"/>
    <w:rsid w:val="00877B4C"/>
    <w:rsid w:val="00881203"/>
    <w:rsid w:val="00881330"/>
    <w:rsid w:val="00881F22"/>
    <w:rsid w:val="008821A0"/>
    <w:rsid w:val="00882492"/>
    <w:rsid w:val="00882BA8"/>
    <w:rsid w:val="00884470"/>
    <w:rsid w:val="00885B07"/>
    <w:rsid w:val="008907D3"/>
    <w:rsid w:val="00890A9D"/>
    <w:rsid w:val="00890D18"/>
    <w:rsid w:val="008920B0"/>
    <w:rsid w:val="00893033"/>
    <w:rsid w:val="00896376"/>
    <w:rsid w:val="0089711A"/>
    <w:rsid w:val="008A11D0"/>
    <w:rsid w:val="008A1858"/>
    <w:rsid w:val="008A3721"/>
    <w:rsid w:val="008A372F"/>
    <w:rsid w:val="008A3A4F"/>
    <w:rsid w:val="008A3B41"/>
    <w:rsid w:val="008A4777"/>
    <w:rsid w:val="008A4A14"/>
    <w:rsid w:val="008A5C0E"/>
    <w:rsid w:val="008A5F03"/>
    <w:rsid w:val="008A7178"/>
    <w:rsid w:val="008A76B8"/>
    <w:rsid w:val="008A794F"/>
    <w:rsid w:val="008B1A45"/>
    <w:rsid w:val="008B1B72"/>
    <w:rsid w:val="008B2FD8"/>
    <w:rsid w:val="008B39D1"/>
    <w:rsid w:val="008B5CA6"/>
    <w:rsid w:val="008B6A5E"/>
    <w:rsid w:val="008B762B"/>
    <w:rsid w:val="008C0749"/>
    <w:rsid w:val="008C28EF"/>
    <w:rsid w:val="008C4991"/>
    <w:rsid w:val="008C4F03"/>
    <w:rsid w:val="008C7646"/>
    <w:rsid w:val="008D02C8"/>
    <w:rsid w:val="008D148E"/>
    <w:rsid w:val="008D4561"/>
    <w:rsid w:val="008D456B"/>
    <w:rsid w:val="008D4748"/>
    <w:rsid w:val="008D56AB"/>
    <w:rsid w:val="008D56D8"/>
    <w:rsid w:val="008D6CB7"/>
    <w:rsid w:val="008E046B"/>
    <w:rsid w:val="008E07BF"/>
    <w:rsid w:val="008E17D1"/>
    <w:rsid w:val="008E239F"/>
    <w:rsid w:val="008E3EA6"/>
    <w:rsid w:val="008E4627"/>
    <w:rsid w:val="008E47BB"/>
    <w:rsid w:val="008E491A"/>
    <w:rsid w:val="008E5241"/>
    <w:rsid w:val="008E5E1F"/>
    <w:rsid w:val="008E7989"/>
    <w:rsid w:val="008E7B0F"/>
    <w:rsid w:val="008F0F21"/>
    <w:rsid w:val="008F1CE5"/>
    <w:rsid w:val="008F1E7F"/>
    <w:rsid w:val="008F20B3"/>
    <w:rsid w:val="008F3871"/>
    <w:rsid w:val="008F5D19"/>
    <w:rsid w:val="008F68A6"/>
    <w:rsid w:val="00900FCA"/>
    <w:rsid w:val="0090110D"/>
    <w:rsid w:val="00901A91"/>
    <w:rsid w:val="0090248E"/>
    <w:rsid w:val="00903ABF"/>
    <w:rsid w:val="009045DD"/>
    <w:rsid w:val="00904D39"/>
    <w:rsid w:val="00905139"/>
    <w:rsid w:val="00905B33"/>
    <w:rsid w:val="00906418"/>
    <w:rsid w:val="0090775F"/>
    <w:rsid w:val="00912556"/>
    <w:rsid w:val="0091319C"/>
    <w:rsid w:val="00913732"/>
    <w:rsid w:val="00913805"/>
    <w:rsid w:val="009138D8"/>
    <w:rsid w:val="00914236"/>
    <w:rsid w:val="00914BC6"/>
    <w:rsid w:val="00915593"/>
    <w:rsid w:val="009157BD"/>
    <w:rsid w:val="00920C43"/>
    <w:rsid w:val="009214CC"/>
    <w:rsid w:val="0092187B"/>
    <w:rsid w:val="00924C54"/>
    <w:rsid w:val="00925EE6"/>
    <w:rsid w:val="00930856"/>
    <w:rsid w:val="00931438"/>
    <w:rsid w:val="0093383C"/>
    <w:rsid w:val="00934EDC"/>
    <w:rsid w:val="00935118"/>
    <w:rsid w:val="00935191"/>
    <w:rsid w:val="009356DD"/>
    <w:rsid w:val="00935B38"/>
    <w:rsid w:val="00941C05"/>
    <w:rsid w:val="00943DAC"/>
    <w:rsid w:val="00943F85"/>
    <w:rsid w:val="00944563"/>
    <w:rsid w:val="009449E8"/>
    <w:rsid w:val="0094537E"/>
    <w:rsid w:val="00946799"/>
    <w:rsid w:val="00950956"/>
    <w:rsid w:val="009526DC"/>
    <w:rsid w:val="0095533D"/>
    <w:rsid w:val="00955C3A"/>
    <w:rsid w:val="009567FE"/>
    <w:rsid w:val="00957033"/>
    <w:rsid w:val="0096022F"/>
    <w:rsid w:val="0096027B"/>
    <w:rsid w:val="009608A4"/>
    <w:rsid w:val="00963C92"/>
    <w:rsid w:val="00964808"/>
    <w:rsid w:val="00966BD7"/>
    <w:rsid w:val="009676FB"/>
    <w:rsid w:val="00970573"/>
    <w:rsid w:val="00973860"/>
    <w:rsid w:val="00977096"/>
    <w:rsid w:val="009804C3"/>
    <w:rsid w:val="00981565"/>
    <w:rsid w:val="0098158C"/>
    <w:rsid w:val="00982B87"/>
    <w:rsid w:val="00985196"/>
    <w:rsid w:val="00986C3A"/>
    <w:rsid w:val="009900AD"/>
    <w:rsid w:val="00991714"/>
    <w:rsid w:val="00991D5D"/>
    <w:rsid w:val="009921EA"/>
    <w:rsid w:val="0099284F"/>
    <w:rsid w:val="00992BA6"/>
    <w:rsid w:val="009937CA"/>
    <w:rsid w:val="00995BAF"/>
    <w:rsid w:val="00996734"/>
    <w:rsid w:val="00996882"/>
    <w:rsid w:val="0099709F"/>
    <w:rsid w:val="009977CB"/>
    <w:rsid w:val="00997D63"/>
    <w:rsid w:val="009A04D1"/>
    <w:rsid w:val="009A1FFD"/>
    <w:rsid w:val="009A333B"/>
    <w:rsid w:val="009A7475"/>
    <w:rsid w:val="009B0F70"/>
    <w:rsid w:val="009B165D"/>
    <w:rsid w:val="009B36A8"/>
    <w:rsid w:val="009B5C1B"/>
    <w:rsid w:val="009B7B5E"/>
    <w:rsid w:val="009C0C87"/>
    <w:rsid w:val="009C1F01"/>
    <w:rsid w:val="009C336F"/>
    <w:rsid w:val="009C3FCE"/>
    <w:rsid w:val="009C4415"/>
    <w:rsid w:val="009C46C5"/>
    <w:rsid w:val="009C5569"/>
    <w:rsid w:val="009D10CA"/>
    <w:rsid w:val="009D74BD"/>
    <w:rsid w:val="009E09A5"/>
    <w:rsid w:val="009E1DAA"/>
    <w:rsid w:val="009E2B9F"/>
    <w:rsid w:val="009E330F"/>
    <w:rsid w:val="009E34C5"/>
    <w:rsid w:val="009E3D97"/>
    <w:rsid w:val="009E457E"/>
    <w:rsid w:val="009E4B24"/>
    <w:rsid w:val="009F12C9"/>
    <w:rsid w:val="009F2085"/>
    <w:rsid w:val="009F45F5"/>
    <w:rsid w:val="009F4CE2"/>
    <w:rsid w:val="009F51B1"/>
    <w:rsid w:val="009F553D"/>
    <w:rsid w:val="009F6B72"/>
    <w:rsid w:val="009F6D00"/>
    <w:rsid w:val="00A0224F"/>
    <w:rsid w:val="00A0593C"/>
    <w:rsid w:val="00A0607E"/>
    <w:rsid w:val="00A062C4"/>
    <w:rsid w:val="00A1009C"/>
    <w:rsid w:val="00A115DF"/>
    <w:rsid w:val="00A11778"/>
    <w:rsid w:val="00A14558"/>
    <w:rsid w:val="00A1681F"/>
    <w:rsid w:val="00A20555"/>
    <w:rsid w:val="00A21002"/>
    <w:rsid w:val="00A2124E"/>
    <w:rsid w:val="00A21EAF"/>
    <w:rsid w:val="00A225C2"/>
    <w:rsid w:val="00A22EC3"/>
    <w:rsid w:val="00A2312D"/>
    <w:rsid w:val="00A24763"/>
    <w:rsid w:val="00A24E5C"/>
    <w:rsid w:val="00A264AD"/>
    <w:rsid w:val="00A264B0"/>
    <w:rsid w:val="00A27DFE"/>
    <w:rsid w:val="00A300F8"/>
    <w:rsid w:val="00A31061"/>
    <w:rsid w:val="00A3203C"/>
    <w:rsid w:val="00A329B1"/>
    <w:rsid w:val="00A33D12"/>
    <w:rsid w:val="00A365EF"/>
    <w:rsid w:val="00A40437"/>
    <w:rsid w:val="00A40F70"/>
    <w:rsid w:val="00A41B0C"/>
    <w:rsid w:val="00A41F25"/>
    <w:rsid w:val="00A439E4"/>
    <w:rsid w:val="00A44FD9"/>
    <w:rsid w:val="00A469DA"/>
    <w:rsid w:val="00A46C1B"/>
    <w:rsid w:val="00A4729D"/>
    <w:rsid w:val="00A474F8"/>
    <w:rsid w:val="00A50464"/>
    <w:rsid w:val="00A505F5"/>
    <w:rsid w:val="00A50B4C"/>
    <w:rsid w:val="00A5136C"/>
    <w:rsid w:val="00A533AF"/>
    <w:rsid w:val="00A54DB1"/>
    <w:rsid w:val="00A5568C"/>
    <w:rsid w:val="00A56021"/>
    <w:rsid w:val="00A56910"/>
    <w:rsid w:val="00A57441"/>
    <w:rsid w:val="00A6014C"/>
    <w:rsid w:val="00A6081B"/>
    <w:rsid w:val="00A6409E"/>
    <w:rsid w:val="00A65D3D"/>
    <w:rsid w:val="00A661C1"/>
    <w:rsid w:val="00A6740D"/>
    <w:rsid w:val="00A714BF"/>
    <w:rsid w:val="00A71B12"/>
    <w:rsid w:val="00A71B8D"/>
    <w:rsid w:val="00A71C97"/>
    <w:rsid w:val="00A71DFD"/>
    <w:rsid w:val="00A7238E"/>
    <w:rsid w:val="00A724E0"/>
    <w:rsid w:val="00A74DF4"/>
    <w:rsid w:val="00A75983"/>
    <w:rsid w:val="00A774E4"/>
    <w:rsid w:val="00A775BE"/>
    <w:rsid w:val="00A8009C"/>
    <w:rsid w:val="00A80112"/>
    <w:rsid w:val="00A80F0A"/>
    <w:rsid w:val="00A81F44"/>
    <w:rsid w:val="00A853C0"/>
    <w:rsid w:val="00A85FB1"/>
    <w:rsid w:val="00A86BDD"/>
    <w:rsid w:val="00A86C56"/>
    <w:rsid w:val="00A87098"/>
    <w:rsid w:val="00A91575"/>
    <w:rsid w:val="00A92237"/>
    <w:rsid w:val="00A9353A"/>
    <w:rsid w:val="00AA11CC"/>
    <w:rsid w:val="00AA1A4F"/>
    <w:rsid w:val="00AA2697"/>
    <w:rsid w:val="00AA26CA"/>
    <w:rsid w:val="00AA2897"/>
    <w:rsid w:val="00AA5B73"/>
    <w:rsid w:val="00AA76D3"/>
    <w:rsid w:val="00AB2BE3"/>
    <w:rsid w:val="00AB2DB6"/>
    <w:rsid w:val="00AB43B5"/>
    <w:rsid w:val="00AB4D3B"/>
    <w:rsid w:val="00AB7FBA"/>
    <w:rsid w:val="00AC00F7"/>
    <w:rsid w:val="00AC107F"/>
    <w:rsid w:val="00AC1357"/>
    <w:rsid w:val="00AC16DA"/>
    <w:rsid w:val="00AC197F"/>
    <w:rsid w:val="00AC23F1"/>
    <w:rsid w:val="00AC262C"/>
    <w:rsid w:val="00AC41D7"/>
    <w:rsid w:val="00AC56D6"/>
    <w:rsid w:val="00AC6BA3"/>
    <w:rsid w:val="00AC6C45"/>
    <w:rsid w:val="00AC70F7"/>
    <w:rsid w:val="00AD1859"/>
    <w:rsid w:val="00AD210C"/>
    <w:rsid w:val="00AD24AE"/>
    <w:rsid w:val="00AD2A85"/>
    <w:rsid w:val="00AD385D"/>
    <w:rsid w:val="00AD65EB"/>
    <w:rsid w:val="00AE0046"/>
    <w:rsid w:val="00AE1352"/>
    <w:rsid w:val="00AE183A"/>
    <w:rsid w:val="00AE3210"/>
    <w:rsid w:val="00AE35D4"/>
    <w:rsid w:val="00AE6D89"/>
    <w:rsid w:val="00AF00C1"/>
    <w:rsid w:val="00AF1CDC"/>
    <w:rsid w:val="00AF1EDD"/>
    <w:rsid w:val="00AF1EE9"/>
    <w:rsid w:val="00AF22CA"/>
    <w:rsid w:val="00AF32BA"/>
    <w:rsid w:val="00AF400B"/>
    <w:rsid w:val="00AF5742"/>
    <w:rsid w:val="00AF59C4"/>
    <w:rsid w:val="00AF7B6D"/>
    <w:rsid w:val="00B00B8D"/>
    <w:rsid w:val="00B0163E"/>
    <w:rsid w:val="00B05D56"/>
    <w:rsid w:val="00B0644B"/>
    <w:rsid w:val="00B06B25"/>
    <w:rsid w:val="00B07A2F"/>
    <w:rsid w:val="00B1298E"/>
    <w:rsid w:val="00B130F4"/>
    <w:rsid w:val="00B14AE5"/>
    <w:rsid w:val="00B215AD"/>
    <w:rsid w:val="00B234CD"/>
    <w:rsid w:val="00B2386F"/>
    <w:rsid w:val="00B23AE8"/>
    <w:rsid w:val="00B24072"/>
    <w:rsid w:val="00B241A7"/>
    <w:rsid w:val="00B241DA"/>
    <w:rsid w:val="00B25845"/>
    <w:rsid w:val="00B25AE1"/>
    <w:rsid w:val="00B25AEF"/>
    <w:rsid w:val="00B25E43"/>
    <w:rsid w:val="00B27A3F"/>
    <w:rsid w:val="00B27C36"/>
    <w:rsid w:val="00B301A3"/>
    <w:rsid w:val="00B308B4"/>
    <w:rsid w:val="00B309D9"/>
    <w:rsid w:val="00B30E66"/>
    <w:rsid w:val="00B32678"/>
    <w:rsid w:val="00B336E2"/>
    <w:rsid w:val="00B33CDF"/>
    <w:rsid w:val="00B34557"/>
    <w:rsid w:val="00B35503"/>
    <w:rsid w:val="00B3569D"/>
    <w:rsid w:val="00B40C4B"/>
    <w:rsid w:val="00B40FED"/>
    <w:rsid w:val="00B423DE"/>
    <w:rsid w:val="00B431E1"/>
    <w:rsid w:val="00B454AE"/>
    <w:rsid w:val="00B5159F"/>
    <w:rsid w:val="00B515AF"/>
    <w:rsid w:val="00B51680"/>
    <w:rsid w:val="00B51D49"/>
    <w:rsid w:val="00B520C3"/>
    <w:rsid w:val="00B52548"/>
    <w:rsid w:val="00B5280E"/>
    <w:rsid w:val="00B52C94"/>
    <w:rsid w:val="00B553F0"/>
    <w:rsid w:val="00B55993"/>
    <w:rsid w:val="00B569AA"/>
    <w:rsid w:val="00B579A9"/>
    <w:rsid w:val="00B62804"/>
    <w:rsid w:val="00B62FBA"/>
    <w:rsid w:val="00B64CD3"/>
    <w:rsid w:val="00B70287"/>
    <w:rsid w:val="00B71A48"/>
    <w:rsid w:val="00B73921"/>
    <w:rsid w:val="00B759F5"/>
    <w:rsid w:val="00B75B3C"/>
    <w:rsid w:val="00B768CE"/>
    <w:rsid w:val="00B81C18"/>
    <w:rsid w:val="00B858B8"/>
    <w:rsid w:val="00B87069"/>
    <w:rsid w:val="00B87BEE"/>
    <w:rsid w:val="00B87C07"/>
    <w:rsid w:val="00B90254"/>
    <w:rsid w:val="00B90E7D"/>
    <w:rsid w:val="00B92520"/>
    <w:rsid w:val="00B9286A"/>
    <w:rsid w:val="00B9372F"/>
    <w:rsid w:val="00B9494F"/>
    <w:rsid w:val="00B957B7"/>
    <w:rsid w:val="00B962D9"/>
    <w:rsid w:val="00BA1A02"/>
    <w:rsid w:val="00BA1C4F"/>
    <w:rsid w:val="00BA201D"/>
    <w:rsid w:val="00BA281B"/>
    <w:rsid w:val="00BA2A72"/>
    <w:rsid w:val="00BA2D58"/>
    <w:rsid w:val="00BA350E"/>
    <w:rsid w:val="00BA35CE"/>
    <w:rsid w:val="00BA4FBA"/>
    <w:rsid w:val="00BA62E6"/>
    <w:rsid w:val="00BA71E6"/>
    <w:rsid w:val="00BB053D"/>
    <w:rsid w:val="00BB1C61"/>
    <w:rsid w:val="00BB1D89"/>
    <w:rsid w:val="00BB29D8"/>
    <w:rsid w:val="00BB3706"/>
    <w:rsid w:val="00BB3E53"/>
    <w:rsid w:val="00BB47D2"/>
    <w:rsid w:val="00BB4E92"/>
    <w:rsid w:val="00BC0BF8"/>
    <w:rsid w:val="00BC1A25"/>
    <w:rsid w:val="00BC4286"/>
    <w:rsid w:val="00BC5870"/>
    <w:rsid w:val="00BC6049"/>
    <w:rsid w:val="00BC612E"/>
    <w:rsid w:val="00BC6DF7"/>
    <w:rsid w:val="00BD0526"/>
    <w:rsid w:val="00BD0871"/>
    <w:rsid w:val="00BD55BC"/>
    <w:rsid w:val="00BE2961"/>
    <w:rsid w:val="00BE2EDA"/>
    <w:rsid w:val="00BE3C14"/>
    <w:rsid w:val="00BE43A4"/>
    <w:rsid w:val="00BE58C9"/>
    <w:rsid w:val="00BE64AB"/>
    <w:rsid w:val="00BE6729"/>
    <w:rsid w:val="00BE69B4"/>
    <w:rsid w:val="00BE79DC"/>
    <w:rsid w:val="00BF0D09"/>
    <w:rsid w:val="00BF0DA1"/>
    <w:rsid w:val="00BF1E3E"/>
    <w:rsid w:val="00BF3775"/>
    <w:rsid w:val="00BF388C"/>
    <w:rsid w:val="00BF418B"/>
    <w:rsid w:val="00BF5814"/>
    <w:rsid w:val="00BF7DEF"/>
    <w:rsid w:val="00C025F5"/>
    <w:rsid w:val="00C0409A"/>
    <w:rsid w:val="00C05AC3"/>
    <w:rsid w:val="00C05C1E"/>
    <w:rsid w:val="00C06B81"/>
    <w:rsid w:val="00C1054B"/>
    <w:rsid w:val="00C11895"/>
    <w:rsid w:val="00C12065"/>
    <w:rsid w:val="00C12237"/>
    <w:rsid w:val="00C126E2"/>
    <w:rsid w:val="00C16384"/>
    <w:rsid w:val="00C170D9"/>
    <w:rsid w:val="00C17162"/>
    <w:rsid w:val="00C1725A"/>
    <w:rsid w:val="00C17C8D"/>
    <w:rsid w:val="00C24BF7"/>
    <w:rsid w:val="00C26252"/>
    <w:rsid w:val="00C30909"/>
    <w:rsid w:val="00C325DD"/>
    <w:rsid w:val="00C32A1A"/>
    <w:rsid w:val="00C355FB"/>
    <w:rsid w:val="00C35796"/>
    <w:rsid w:val="00C36403"/>
    <w:rsid w:val="00C36FD0"/>
    <w:rsid w:val="00C372CC"/>
    <w:rsid w:val="00C40C36"/>
    <w:rsid w:val="00C43A6E"/>
    <w:rsid w:val="00C4560D"/>
    <w:rsid w:val="00C46032"/>
    <w:rsid w:val="00C4661E"/>
    <w:rsid w:val="00C46B45"/>
    <w:rsid w:val="00C47360"/>
    <w:rsid w:val="00C47B9D"/>
    <w:rsid w:val="00C47E98"/>
    <w:rsid w:val="00C50FEB"/>
    <w:rsid w:val="00C5182A"/>
    <w:rsid w:val="00C5240D"/>
    <w:rsid w:val="00C5312B"/>
    <w:rsid w:val="00C53C8F"/>
    <w:rsid w:val="00C540D0"/>
    <w:rsid w:val="00C55148"/>
    <w:rsid w:val="00C5716E"/>
    <w:rsid w:val="00C57590"/>
    <w:rsid w:val="00C61EFA"/>
    <w:rsid w:val="00C623E9"/>
    <w:rsid w:val="00C62E24"/>
    <w:rsid w:val="00C635E7"/>
    <w:rsid w:val="00C6477D"/>
    <w:rsid w:val="00C7026B"/>
    <w:rsid w:val="00C70615"/>
    <w:rsid w:val="00C70619"/>
    <w:rsid w:val="00C71B20"/>
    <w:rsid w:val="00C72ED9"/>
    <w:rsid w:val="00C73016"/>
    <w:rsid w:val="00C73BB3"/>
    <w:rsid w:val="00C7456F"/>
    <w:rsid w:val="00C74CD3"/>
    <w:rsid w:val="00C74DFE"/>
    <w:rsid w:val="00C75A17"/>
    <w:rsid w:val="00C75A55"/>
    <w:rsid w:val="00C8071E"/>
    <w:rsid w:val="00C80E22"/>
    <w:rsid w:val="00C83517"/>
    <w:rsid w:val="00C85725"/>
    <w:rsid w:val="00C8739B"/>
    <w:rsid w:val="00C90FA8"/>
    <w:rsid w:val="00C918A8"/>
    <w:rsid w:val="00C92B40"/>
    <w:rsid w:val="00C94567"/>
    <w:rsid w:val="00C94D73"/>
    <w:rsid w:val="00C9567A"/>
    <w:rsid w:val="00C97931"/>
    <w:rsid w:val="00C97AC2"/>
    <w:rsid w:val="00CA120C"/>
    <w:rsid w:val="00CA5F07"/>
    <w:rsid w:val="00CA71B8"/>
    <w:rsid w:val="00CB1643"/>
    <w:rsid w:val="00CB332C"/>
    <w:rsid w:val="00CB3D40"/>
    <w:rsid w:val="00CB4346"/>
    <w:rsid w:val="00CB46AE"/>
    <w:rsid w:val="00CB5183"/>
    <w:rsid w:val="00CB5EDA"/>
    <w:rsid w:val="00CC0EFC"/>
    <w:rsid w:val="00CC127D"/>
    <w:rsid w:val="00CC13D8"/>
    <w:rsid w:val="00CC18BD"/>
    <w:rsid w:val="00CC1DFB"/>
    <w:rsid w:val="00CC3948"/>
    <w:rsid w:val="00CC3E8C"/>
    <w:rsid w:val="00CC4138"/>
    <w:rsid w:val="00CC4450"/>
    <w:rsid w:val="00CC4DE4"/>
    <w:rsid w:val="00CC5762"/>
    <w:rsid w:val="00CC6297"/>
    <w:rsid w:val="00CC62C9"/>
    <w:rsid w:val="00CC6729"/>
    <w:rsid w:val="00CC76B1"/>
    <w:rsid w:val="00CD0931"/>
    <w:rsid w:val="00CD13A9"/>
    <w:rsid w:val="00CD2C22"/>
    <w:rsid w:val="00CD3544"/>
    <w:rsid w:val="00CD3EE6"/>
    <w:rsid w:val="00CD4AB7"/>
    <w:rsid w:val="00CD4D61"/>
    <w:rsid w:val="00CE0493"/>
    <w:rsid w:val="00CE1158"/>
    <w:rsid w:val="00CE1167"/>
    <w:rsid w:val="00CE3401"/>
    <w:rsid w:val="00CE42CD"/>
    <w:rsid w:val="00CE4351"/>
    <w:rsid w:val="00CE6A75"/>
    <w:rsid w:val="00CE6D8E"/>
    <w:rsid w:val="00CE7F83"/>
    <w:rsid w:val="00CF0976"/>
    <w:rsid w:val="00CF1422"/>
    <w:rsid w:val="00CF163F"/>
    <w:rsid w:val="00CF3F28"/>
    <w:rsid w:val="00CF64A0"/>
    <w:rsid w:val="00CF756C"/>
    <w:rsid w:val="00D02309"/>
    <w:rsid w:val="00D02436"/>
    <w:rsid w:val="00D02560"/>
    <w:rsid w:val="00D0291D"/>
    <w:rsid w:val="00D03AC3"/>
    <w:rsid w:val="00D049C0"/>
    <w:rsid w:val="00D05121"/>
    <w:rsid w:val="00D05361"/>
    <w:rsid w:val="00D079CE"/>
    <w:rsid w:val="00D10F73"/>
    <w:rsid w:val="00D14D8B"/>
    <w:rsid w:val="00D16DD6"/>
    <w:rsid w:val="00D17001"/>
    <w:rsid w:val="00D235E9"/>
    <w:rsid w:val="00D24C1E"/>
    <w:rsid w:val="00D274DA"/>
    <w:rsid w:val="00D31842"/>
    <w:rsid w:val="00D32FBF"/>
    <w:rsid w:val="00D33322"/>
    <w:rsid w:val="00D335E7"/>
    <w:rsid w:val="00D33E90"/>
    <w:rsid w:val="00D33EAA"/>
    <w:rsid w:val="00D410B7"/>
    <w:rsid w:val="00D41B3F"/>
    <w:rsid w:val="00D41FFE"/>
    <w:rsid w:val="00D426B4"/>
    <w:rsid w:val="00D42A9F"/>
    <w:rsid w:val="00D43C30"/>
    <w:rsid w:val="00D444BE"/>
    <w:rsid w:val="00D45321"/>
    <w:rsid w:val="00D47146"/>
    <w:rsid w:val="00D4714E"/>
    <w:rsid w:val="00D477AE"/>
    <w:rsid w:val="00D56313"/>
    <w:rsid w:val="00D56CDE"/>
    <w:rsid w:val="00D6184E"/>
    <w:rsid w:val="00D628BD"/>
    <w:rsid w:val="00D6344F"/>
    <w:rsid w:val="00D63B8E"/>
    <w:rsid w:val="00D65B0B"/>
    <w:rsid w:val="00D66CDB"/>
    <w:rsid w:val="00D66E52"/>
    <w:rsid w:val="00D71C85"/>
    <w:rsid w:val="00D71CEE"/>
    <w:rsid w:val="00D73A4B"/>
    <w:rsid w:val="00D73ADA"/>
    <w:rsid w:val="00D74543"/>
    <w:rsid w:val="00D745CE"/>
    <w:rsid w:val="00D759B1"/>
    <w:rsid w:val="00D759E3"/>
    <w:rsid w:val="00D813E9"/>
    <w:rsid w:val="00D8211B"/>
    <w:rsid w:val="00D83D12"/>
    <w:rsid w:val="00D86B81"/>
    <w:rsid w:val="00D86F72"/>
    <w:rsid w:val="00D90437"/>
    <w:rsid w:val="00D908BF"/>
    <w:rsid w:val="00D915BE"/>
    <w:rsid w:val="00D94348"/>
    <w:rsid w:val="00D95175"/>
    <w:rsid w:val="00D9535D"/>
    <w:rsid w:val="00D955DA"/>
    <w:rsid w:val="00D958BC"/>
    <w:rsid w:val="00D96F16"/>
    <w:rsid w:val="00D975B2"/>
    <w:rsid w:val="00DA2EAD"/>
    <w:rsid w:val="00DA30E2"/>
    <w:rsid w:val="00DA3582"/>
    <w:rsid w:val="00DA43D5"/>
    <w:rsid w:val="00DA62DF"/>
    <w:rsid w:val="00DB1239"/>
    <w:rsid w:val="00DB16A0"/>
    <w:rsid w:val="00DB34E4"/>
    <w:rsid w:val="00DB5F2B"/>
    <w:rsid w:val="00DB6EB4"/>
    <w:rsid w:val="00DC178A"/>
    <w:rsid w:val="00DC3200"/>
    <w:rsid w:val="00DC33F8"/>
    <w:rsid w:val="00DC4931"/>
    <w:rsid w:val="00DC4F65"/>
    <w:rsid w:val="00DC6A1A"/>
    <w:rsid w:val="00DC6F48"/>
    <w:rsid w:val="00DD227F"/>
    <w:rsid w:val="00DD298C"/>
    <w:rsid w:val="00DD66EA"/>
    <w:rsid w:val="00DD6D7B"/>
    <w:rsid w:val="00DD6F20"/>
    <w:rsid w:val="00DD74C3"/>
    <w:rsid w:val="00DE4C5F"/>
    <w:rsid w:val="00DE5A8B"/>
    <w:rsid w:val="00DE6B74"/>
    <w:rsid w:val="00DE7E97"/>
    <w:rsid w:val="00DF042A"/>
    <w:rsid w:val="00DF0468"/>
    <w:rsid w:val="00DF6C4C"/>
    <w:rsid w:val="00DF7411"/>
    <w:rsid w:val="00E00875"/>
    <w:rsid w:val="00E009FA"/>
    <w:rsid w:val="00E01A07"/>
    <w:rsid w:val="00E01AC0"/>
    <w:rsid w:val="00E0268D"/>
    <w:rsid w:val="00E02E18"/>
    <w:rsid w:val="00E03BAE"/>
    <w:rsid w:val="00E048DC"/>
    <w:rsid w:val="00E05F7C"/>
    <w:rsid w:val="00E061EE"/>
    <w:rsid w:val="00E06768"/>
    <w:rsid w:val="00E073B6"/>
    <w:rsid w:val="00E10255"/>
    <w:rsid w:val="00E13FBC"/>
    <w:rsid w:val="00E14B84"/>
    <w:rsid w:val="00E15656"/>
    <w:rsid w:val="00E15714"/>
    <w:rsid w:val="00E16F5E"/>
    <w:rsid w:val="00E1789B"/>
    <w:rsid w:val="00E203EE"/>
    <w:rsid w:val="00E20A56"/>
    <w:rsid w:val="00E23C1A"/>
    <w:rsid w:val="00E24081"/>
    <w:rsid w:val="00E24A9A"/>
    <w:rsid w:val="00E27E2A"/>
    <w:rsid w:val="00E30288"/>
    <w:rsid w:val="00E318D5"/>
    <w:rsid w:val="00E31DB1"/>
    <w:rsid w:val="00E32404"/>
    <w:rsid w:val="00E32B5B"/>
    <w:rsid w:val="00E35042"/>
    <w:rsid w:val="00E36318"/>
    <w:rsid w:val="00E3634C"/>
    <w:rsid w:val="00E36932"/>
    <w:rsid w:val="00E36AB1"/>
    <w:rsid w:val="00E42446"/>
    <w:rsid w:val="00E43550"/>
    <w:rsid w:val="00E43687"/>
    <w:rsid w:val="00E43ED2"/>
    <w:rsid w:val="00E45A5E"/>
    <w:rsid w:val="00E509C6"/>
    <w:rsid w:val="00E5262D"/>
    <w:rsid w:val="00E528E5"/>
    <w:rsid w:val="00E52B4D"/>
    <w:rsid w:val="00E5374C"/>
    <w:rsid w:val="00E5460F"/>
    <w:rsid w:val="00E54E4D"/>
    <w:rsid w:val="00E56F95"/>
    <w:rsid w:val="00E6063A"/>
    <w:rsid w:val="00E61194"/>
    <w:rsid w:val="00E61AF4"/>
    <w:rsid w:val="00E61E38"/>
    <w:rsid w:val="00E624A7"/>
    <w:rsid w:val="00E62E1A"/>
    <w:rsid w:val="00E6498C"/>
    <w:rsid w:val="00E6631F"/>
    <w:rsid w:val="00E66A9E"/>
    <w:rsid w:val="00E67976"/>
    <w:rsid w:val="00E67BF9"/>
    <w:rsid w:val="00E700F7"/>
    <w:rsid w:val="00E708AF"/>
    <w:rsid w:val="00E71321"/>
    <w:rsid w:val="00E73264"/>
    <w:rsid w:val="00E736AE"/>
    <w:rsid w:val="00E74A96"/>
    <w:rsid w:val="00E7561F"/>
    <w:rsid w:val="00E7643B"/>
    <w:rsid w:val="00E76731"/>
    <w:rsid w:val="00E77900"/>
    <w:rsid w:val="00E81CFC"/>
    <w:rsid w:val="00E82F9A"/>
    <w:rsid w:val="00E84546"/>
    <w:rsid w:val="00E85E1A"/>
    <w:rsid w:val="00E8735D"/>
    <w:rsid w:val="00E87430"/>
    <w:rsid w:val="00E875C3"/>
    <w:rsid w:val="00E87AB9"/>
    <w:rsid w:val="00E87DCF"/>
    <w:rsid w:val="00E90076"/>
    <w:rsid w:val="00E91E69"/>
    <w:rsid w:val="00E9298C"/>
    <w:rsid w:val="00E92A53"/>
    <w:rsid w:val="00E92E15"/>
    <w:rsid w:val="00E93BC6"/>
    <w:rsid w:val="00E93FF6"/>
    <w:rsid w:val="00E95119"/>
    <w:rsid w:val="00E96636"/>
    <w:rsid w:val="00E97FD1"/>
    <w:rsid w:val="00EA1FE5"/>
    <w:rsid w:val="00EA3A09"/>
    <w:rsid w:val="00EA3A11"/>
    <w:rsid w:val="00EA49E3"/>
    <w:rsid w:val="00EA4C6C"/>
    <w:rsid w:val="00EA60E7"/>
    <w:rsid w:val="00EA6A98"/>
    <w:rsid w:val="00EA7EC5"/>
    <w:rsid w:val="00EB1E76"/>
    <w:rsid w:val="00EB211C"/>
    <w:rsid w:val="00EB4AC5"/>
    <w:rsid w:val="00EB5188"/>
    <w:rsid w:val="00EB5231"/>
    <w:rsid w:val="00EB5B13"/>
    <w:rsid w:val="00EB5F69"/>
    <w:rsid w:val="00EB72B1"/>
    <w:rsid w:val="00EB7BEA"/>
    <w:rsid w:val="00EC3684"/>
    <w:rsid w:val="00EC4D3E"/>
    <w:rsid w:val="00EC5390"/>
    <w:rsid w:val="00EC5927"/>
    <w:rsid w:val="00EC5BF9"/>
    <w:rsid w:val="00EC791C"/>
    <w:rsid w:val="00EC7D96"/>
    <w:rsid w:val="00ED0F7E"/>
    <w:rsid w:val="00ED2DE8"/>
    <w:rsid w:val="00ED2FA3"/>
    <w:rsid w:val="00ED323A"/>
    <w:rsid w:val="00ED7580"/>
    <w:rsid w:val="00EE1622"/>
    <w:rsid w:val="00EE329F"/>
    <w:rsid w:val="00EE32F9"/>
    <w:rsid w:val="00EE431B"/>
    <w:rsid w:val="00EE4D37"/>
    <w:rsid w:val="00EE5FE6"/>
    <w:rsid w:val="00EE7ECB"/>
    <w:rsid w:val="00EF0770"/>
    <w:rsid w:val="00EF0F84"/>
    <w:rsid w:val="00EF2BB2"/>
    <w:rsid w:val="00EF4EB6"/>
    <w:rsid w:val="00EF6D22"/>
    <w:rsid w:val="00EF75C3"/>
    <w:rsid w:val="00EF7A97"/>
    <w:rsid w:val="00F0088F"/>
    <w:rsid w:val="00F008EC"/>
    <w:rsid w:val="00F01761"/>
    <w:rsid w:val="00F02CF0"/>
    <w:rsid w:val="00F04B42"/>
    <w:rsid w:val="00F07E1E"/>
    <w:rsid w:val="00F10CF0"/>
    <w:rsid w:val="00F11BE3"/>
    <w:rsid w:val="00F12000"/>
    <w:rsid w:val="00F12DDF"/>
    <w:rsid w:val="00F152BC"/>
    <w:rsid w:val="00F1593A"/>
    <w:rsid w:val="00F163E1"/>
    <w:rsid w:val="00F1705D"/>
    <w:rsid w:val="00F17F37"/>
    <w:rsid w:val="00F225C3"/>
    <w:rsid w:val="00F24B78"/>
    <w:rsid w:val="00F24BC5"/>
    <w:rsid w:val="00F30568"/>
    <w:rsid w:val="00F30897"/>
    <w:rsid w:val="00F325CC"/>
    <w:rsid w:val="00F335A5"/>
    <w:rsid w:val="00F35615"/>
    <w:rsid w:val="00F357C9"/>
    <w:rsid w:val="00F360DD"/>
    <w:rsid w:val="00F3688B"/>
    <w:rsid w:val="00F36E14"/>
    <w:rsid w:val="00F372CA"/>
    <w:rsid w:val="00F378E3"/>
    <w:rsid w:val="00F37DE7"/>
    <w:rsid w:val="00F404E8"/>
    <w:rsid w:val="00F410E9"/>
    <w:rsid w:val="00F439CF"/>
    <w:rsid w:val="00F44B8C"/>
    <w:rsid w:val="00F44BAB"/>
    <w:rsid w:val="00F468CC"/>
    <w:rsid w:val="00F47D98"/>
    <w:rsid w:val="00F50A01"/>
    <w:rsid w:val="00F50B37"/>
    <w:rsid w:val="00F5334E"/>
    <w:rsid w:val="00F54296"/>
    <w:rsid w:val="00F54761"/>
    <w:rsid w:val="00F55128"/>
    <w:rsid w:val="00F552DD"/>
    <w:rsid w:val="00F5531C"/>
    <w:rsid w:val="00F55DA0"/>
    <w:rsid w:val="00F56E35"/>
    <w:rsid w:val="00F61A73"/>
    <w:rsid w:val="00F62C5E"/>
    <w:rsid w:val="00F62C7A"/>
    <w:rsid w:val="00F63167"/>
    <w:rsid w:val="00F6377A"/>
    <w:rsid w:val="00F64B7E"/>
    <w:rsid w:val="00F64ECF"/>
    <w:rsid w:val="00F652C7"/>
    <w:rsid w:val="00F65458"/>
    <w:rsid w:val="00F657E4"/>
    <w:rsid w:val="00F71670"/>
    <w:rsid w:val="00F722C6"/>
    <w:rsid w:val="00F72768"/>
    <w:rsid w:val="00F731F0"/>
    <w:rsid w:val="00F738DB"/>
    <w:rsid w:val="00F738DF"/>
    <w:rsid w:val="00F74CC7"/>
    <w:rsid w:val="00F7668B"/>
    <w:rsid w:val="00F808C5"/>
    <w:rsid w:val="00F8098F"/>
    <w:rsid w:val="00F819D0"/>
    <w:rsid w:val="00F82309"/>
    <w:rsid w:val="00F83D81"/>
    <w:rsid w:val="00F84E29"/>
    <w:rsid w:val="00F85458"/>
    <w:rsid w:val="00F854A4"/>
    <w:rsid w:val="00F86417"/>
    <w:rsid w:val="00F86793"/>
    <w:rsid w:val="00F867E4"/>
    <w:rsid w:val="00F87BDE"/>
    <w:rsid w:val="00F9034D"/>
    <w:rsid w:val="00F9119E"/>
    <w:rsid w:val="00F91A5D"/>
    <w:rsid w:val="00F91FAD"/>
    <w:rsid w:val="00F92849"/>
    <w:rsid w:val="00F949F9"/>
    <w:rsid w:val="00F94F33"/>
    <w:rsid w:val="00F97C14"/>
    <w:rsid w:val="00FA103F"/>
    <w:rsid w:val="00FA121E"/>
    <w:rsid w:val="00FA5183"/>
    <w:rsid w:val="00FA641B"/>
    <w:rsid w:val="00FB111F"/>
    <w:rsid w:val="00FB2692"/>
    <w:rsid w:val="00FB2EEA"/>
    <w:rsid w:val="00FB371B"/>
    <w:rsid w:val="00FB3880"/>
    <w:rsid w:val="00FB5626"/>
    <w:rsid w:val="00FB6690"/>
    <w:rsid w:val="00FC2ECC"/>
    <w:rsid w:val="00FC368D"/>
    <w:rsid w:val="00FC474B"/>
    <w:rsid w:val="00FC52B3"/>
    <w:rsid w:val="00FC77D5"/>
    <w:rsid w:val="00FD05CF"/>
    <w:rsid w:val="00FD0F13"/>
    <w:rsid w:val="00FD373A"/>
    <w:rsid w:val="00FD4A00"/>
    <w:rsid w:val="00FD57ED"/>
    <w:rsid w:val="00FE171E"/>
    <w:rsid w:val="00FE22FD"/>
    <w:rsid w:val="00FE2CB8"/>
    <w:rsid w:val="00FE308E"/>
    <w:rsid w:val="00FE38AC"/>
    <w:rsid w:val="00FF0F46"/>
    <w:rsid w:val="00FF2243"/>
    <w:rsid w:val="00FF2999"/>
    <w:rsid w:val="00FF3A8F"/>
    <w:rsid w:val="00FF56C3"/>
    <w:rsid w:val="00FF57D0"/>
    <w:rsid w:val="00FF6A4F"/>
    <w:rsid w:val="00FF724A"/>
    <w:rsid w:val="00FF72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D4F0E0-8767-42DC-9289-055F446E9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2A4B50"/>
    <w:pPr>
      <w:keepNext/>
      <w:keepLines/>
      <w:numPr>
        <w:numId w:val="50"/>
      </w:numPr>
      <w:spacing w:before="480" w:after="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1B1E3C"/>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1E777C"/>
    <w:pPr>
      <w:keepNext/>
      <w:keepLines/>
      <w:spacing w:before="200" w:after="0"/>
      <w:outlineLvl w:val="2"/>
    </w:pPr>
    <w:rPr>
      <w:rFonts w:ascii="Cambria" w:eastAsia="Times New Roman"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A82"/>
    <w:pPr>
      <w:ind w:left="720"/>
      <w:contextualSpacing/>
    </w:pPr>
  </w:style>
  <w:style w:type="paragraph" w:styleId="BalloonText">
    <w:name w:val="Balloon Text"/>
    <w:basedOn w:val="Normal"/>
    <w:link w:val="BalloonTextChar"/>
    <w:uiPriority w:val="99"/>
    <w:semiHidden/>
    <w:unhideWhenUsed/>
    <w:rsid w:val="005D55B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D55B4"/>
    <w:rPr>
      <w:rFonts w:ascii="Tahoma" w:hAnsi="Tahoma" w:cs="Tahoma"/>
      <w:sz w:val="16"/>
      <w:szCs w:val="16"/>
    </w:rPr>
  </w:style>
  <w:style w:type="paragraph" w:styleId="FootnoteText">
    <w:name w:val="footnote text"/>
    <w:basedOn w:val="Normal"/>
    <w:link w:val="FootnoteTextChar"/>
    <w:uiPriority w:val="99"/>
    <w:semiHidden/>
    <w:unhideWhenUsed/>
    <w:rsid w:val="000F57A1"/>
    <w:pPr>
      <w:spacing w:after="0" w:line="240" w:lineRule="auto"/>
    </w:pPr>
    <w:rPr>
      <w:sz w:val="20"/>
      <w:szCs w:val="20"/>
      <w:lang w:eastAsia="x-none"/>
    </w:rPr>
  </w:style>
  <w:style w:type="character" w:customStyle="1" w:styleId="FootnoteTextChar">
    <w:name w:val="Footnote Text Char"/>
    <w:link w:val="FootnoteText"/>
    <w:uiPriority w:val="99"/>
    <w:semiHidden/>
    <w:rsid w:val="000F57A1"/>
    <w:rPr>
      <w:sz w:val="20"/>
      <w:szCs w:val="20"/>
      <w:lang w:val="fr-FR"/>
    </w:rPr>
  </w:style>
  <w:style w:type="character" w:styleId="FootnoteReference">
    <w:name w:val="footnote reference"/>
    <w:uiPriority w:val="99"/>
    <w:semiHidden/>
    <w:unhideWhenUsed/>
    <w:rsid w:val="000F57A1"/>
    <w:rPr>
      <w:vertAlign w:val="superscript"/>
    </w:rPr>
  </w:style>
  <w:style w:type="character" w:customStyle="1" w:styleId="hps">
    <w:name w:val="hps"/>
    <w:basedOn w:val="DefaultParagraphFont"/>
    <w:rsid w:val="000F57A1"/>
  </w:style>
  <w:style w:type="paragraph" w:styleId="Header">
    <w:name w:val="header"/>
    <w:basedOn w:val="Normal"/>
    <w:link w:val="HeaderChar"/>
    <w:uiPriority w:val="99"/>
    <w:unhideWhenUsed/>
    <w:rsid w:val="003B5A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5A78"/>
  </w:style>
  <w:style w:type="paragraph" w:styleId="Footer">
    <w:name w:val="footer"/>
    <w:basedOn w:val="Normal"/>
    <w:link w:val="FooterChar"/>
    <w:uiPriority w:val="99"/>
    <w:unhideWhenUsed/>
    <w:rsid w:val="003B5A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5A78"/>
  </w:style>
  <w:style w:type="character" w:styleId="CommentReference">
    <w:name w:val="annotation reference"/>
    <w:uiPriority w:val="99"/>
    <w:semiHidden/>
    <w:unhideWhenUsed/>
    <w:rsid w:val="009A333B"/>
    <w:rPr>
      <w:sz w:val="16"/>
      <w:szCs w:val="16"/>
    </w:rPr>
  </w:style>
  <w:style w:type="paragraph" w:styleId="CommentText">
    <w:name w:val="annotation text"/>
    <w:basedOn w:val="Normal"/>
    <w:link w:val="CommentTextChar"/>
    <w:uiPriority w:val="99"/>
    <w:unhideWhenUsed/>
    <w:rsid w:val="009A333B"/>
    <w:pPr>
      <w:spacing w:line="240" w:lineRule="auto"/>
    </w:pPr>
    <w:rPr>
      <w:sz w:val="20"/>
      <w:szCs w:val="20"/>
      <w:lang w:val="x-none" w:eastAsia="x-none"/>
    </w:rPr>
  </w:style>
  <w:style w:type="character" w:customStyle="1" w:styleId="CommentTextChar">
    <w:name w:val="Comment Text Char"/>
    <w:link w:val="CommentText"/>
    <w:uiPriority w:val="99"/>
    <w:rsid w:val="009A333B"/>
    <w:rPr>
      <w:sz w:val="20"/>
      <w:szCs w:val="20"/>
    </w:rPr>
  </w:style>
  <w:style w:type="paragraph" w:styleId="CommentSubject">
    <w:name w:val="annotation subject"/>
    <w:basedOn w:val="CommentText"/>
    <w:next w:val="CommentText"/>
    <w:link w:val="CommentSubjectChar"/>
    <w:uiPriority w:val="99"/>
    <w:semiHidden/>
    <w:unhideWhenUsed/>
    <w:rsid w:val="00A6081B"/>
    <w:rPr>
      <w:b/>
      <w:bCs/>
    </w:rPr>
  </w:style>
  <w:style w:type="character" w:customStyle="1" w:styleId="CommentSubjectChar">
    <w:name w:val="Comment Subject Char"/>
    <w:link w:val="CommentSubject"/>
    <w:uiPriority w:val="99"/>
    <w:semiHidden/>
    <w:rsid w:val="00A6081B"/>
    <w:rPr>
      <w:b/>
      <w:bCs/>
      <w:sz w:val="20"/>
      <w:szCs w:val="20"/>
    </w:rPr>
  </w:style>
  <w:style w:type="character" w:customStyle="1" w:styleId="atn">
    <w:name w:val="atn"/>
    <w:basedOn w:val="DefaultParagraphFont"/>
    <w:rsid w:val="006406CD"/>
  </w:style>
  <w:style w:type="paragraph" w:styleId="NormalWeb">
    <w:name w:val="Normal (Web)"/>
    <w:basedOn w:val="Normal"/>
    <w:uiPriority w:val="99"/>
    <w:unhideWhenUsed/>
    <w:rsid w:val="00E91E69"/>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316B3E"/>
    <w:pPr>
      <w:autoSpaceDE w:val="0"/>
      <w:autoSpaceDN w:val="0"/>
      <w:adjustRightInd w:val="0"/>
    </w:pPr>
    <w:rPr>
      <w:rFonts w:ascii="Times New Roman" w:hAnsi="Times New Roman"/>
      <w:color w:val="000000"/>
      <w:sz w:val="24"/>
      <w:szCs w:val="24"/>
      <w:lang w:val="en-GB" w:eastAsia="en-US"/>
    </w:rPr>
  </w:style>
  <w:style w:type="character" w:styleId="Emphasis">
    <w:name w:val="Emphasis"/>
    <w:uiPriority w:val="20"/>
    <w:qFormat/>
    <w:rsid w:val="00676236"/>
    <w:rPr>
      <w:b/>
      <w:bCs/>
      <w:i w:val="0"/>
      <w:iCs w:val="0"/>
    </w:rPr>
  </w:style>
  <w:style w:type="character" w:customStyle="1" w:styleId="st">
    <w:name w:val="st"/>
    <w:basedOn w:val="DefaultParagraphFont"/>
    <w:rsid w:val="00676236"/>
  </w:style>
  <w:style w:type="character" w:styleId="Hyperlink">
    <w:name w:val="Hyperlink"/>
    <w:uiPriority w:val="99"/>
    <w:unhideWhenUsed/>
    <w:rsid w:val="00E81CFC"/>
    <w:rPr>
      <w:strike w:val="0"/>
      <w:dstrike w:val="0"/>
      <w:color w:val="1F2638"/>
      <w:u w:val="none"/>
      <w:effect w:val="none"/>
    </w:rPr>
  </w:style>
  <w:style w:type="character" w:customStyle="1" w:styleId="Heading2Char">
    <w:name w:val="Heading 2 Char"/>
    <w:link w:val="Heading2"/>
    <w:uiPriority w:val="9"/>
    <w:rsid w:val="001B1E3C"/>
    <w:rPr>
      <w:rFonts w:ascii="Cambria" w:eastAsia="Times New Roman" w:hAnsi="Cambria" w:cs="Times New Roman"/>
      <w:b/>
      <w:bCs/>
      <w:color w:val="4F81BD"/>
      <w:sz w:val="26"/>
      <w:szCs w:val="26"/>
    </w:rPr>
  </w:style>
  <w:style w:type="character" w:customStyle="1" w:styleId="Heading3Char">
    <w:name w:val="Heading 3 Char"/>
    <w:link w:val="Heading3"/>
    <w:uiPriority w:val="9"/>
    <w:rsid w:val="001E777C"/>
    <w:rPr>
      <w:rFonts w:ascii="Cambria" w:eastAsia="Times New Roman" w:hAnsi="Cambria" w:cs="Times New Roman"/>
      <w:b/>
      <w:bCs/>
      <w:color w:val="4F81BD"/>
    </w:rPr>
  </w:style>
  <w:style w:type="paragraph" w:styleId="NoSpacing">
    <w:name w:val="No Spacing"/>
    <w:uiPriority w:val="1"/>
    <w:qFormat/>
    <w:rsid w:val="00CA120C"/>
    <w:rPr>
      <w:sz w:val="22"/>
      <w:szCs w:val="22"/>
      <w:lang w:eastAsia="en-US"/>
    </w:rPr>
  </w:style>
  <w:style w:type="paragraph" w:styleId="ListBullet">
    <w:name w:val="List Bullet"/>
    <w:basedOn w:val="Normal"/>
    <w:uiPriority w:val="99"/>
    <w:unhideWhenUsed/>
    <w:rsid w:val="00882BA8"/>
    <w:pPr>
      <w:numPr>
        <w:numId w:val="13"/>
      </w:numPr>
      <w:contextualSpacing/>
    </w:pPr>
  </w:style>
  <w:style w:type="character" w:styleId="SubtleEmphasis">
    <w:name w:val="Subtle Emphasis"/>
    <w:uiPriority w:val="19"/>
    <w:qFormat/>
    <w:rsid w:val="004016B1"/>
    <w:rPr>
      <w:i/>
      <w:iCs/>
      <w:color w:val="808080"/>
    </w:rPr>
  </w:style>
  <w:style w:type="paragraph" w:styleId="Title">
    <w:name w:val="Title"/>
    <w:basedOn w:val="Normal"/>
    <w:next w:val="Normal"/>
    <w:link w:val="TitleChar"/>
    <w:uiPriority w:val="10"/>
    <w:qFormat/>
    <w:rsid w:val="00001374"/>
    <w:pPr>
      <w:numPr>
        <w:numId w:val="43"/>
      </w:numPr>
      <w:pBdr>
        <w:bottom w:val="single" w:sz="8" w:space="4" w:color="4F81BD" w:themeColor="accent1"/>
      </w:pBdr>
      <w:spacing w:after="300" w:line="240" w:lineRule="auto"/>
      <w:contextualSpacing/>
    </w:pPr>
    <w:rPr>
      <w:rFonts w:ascii="Times New Roman" w:eastAsiaTheme="majorEastAsia" w:hAnsi="Times New Roman" w:cstheme="majorBidi"/>
      <w:b/>
      <w:spacing w:val="5"/>
      <w:kern w:val="28"/>
      <w:sz w:val="28"/>
      <w:szCs w:val="52"/>
    </w:rPr>
  </w:style>
  <w:style w:type="character" w:customStyle="1" w:styleId="TitleChar">
    <w:name w:val="Title Char"/>
    <w:basedOn w:val="DefaultParagraphFont"/>
    <w:link w:val="Title"/>
    <w:uiPriority w:val="10"/>
    <w:rsid w:val="00001374"/>
    <w:rPr>
      <w:rFonts w:ascii="Times New Roman" w:eastAsiaTheme="majorEastAsia" w:hAnsi="Times New Roman" w:cstheme="majorBidi"/>
      <w:b/>
      <w:spacing w:val="5"/>
      <w:kern w:val="28"/>
      <w:sz w:val="28"/>
      <w:szCs w:val="52"/>
      <w:lang w:eastAsia="en-US"/>
    </w:rPr>
  </w:style>
  <w:style w:type="paragraph" w:styleId="Subtitle">
    <w:name w:val="Subtitle"/>
    <w:basedOn w:val="Normal"/>
    <w:next w:val="Normal"/>
    <w:link w:val="SubtitleChar"/>
    <w:uiPriority w:val="11"/>
    <w:qFormat/>
    <w:rsid w:val="00001374"/>
    <w:pPr>
      <w:numPr>
        <w:numId w:val="44"/>
      </w:numPr>
    </w:pPr>
    <w:rPr>
      <w:rFonts w:ascii="Times New Roman" w:eastAsiaTheme="majorEastAsia" w:hAnsi="Times New Roman" w:cstheme="majorBidi"/>
      <w:b/>
      <w:iCs/>
      <w:spacing w:val="15"/>
      <w:sz w:val="24"/>
      <w:szCs w:val="24"/>
    </w:rPr>
  </w:style>
  <w:style w:type="character" w:customStyle="1" w:styleId="SubtitleChar">
    <w:name w:val="Subtitle Char"/>
    <w:basedOn w:val="DefaultParagraphFont"/>
    <w:link w:val="Subtitle"/>
    <w:uiPriority w:val="11"/>
    <w:rsid w:val="00001374"/>
    <w:rPr>
      <w:rFonts w:ascii="Times New Roman" w:eastAsiaTheme="majorEastAsia" w:hAnsi="Times New Roman" w:cstheme="majorBidi"/>
      <w:b/>
      <w:iCs/>
      <w:spacing w:val="15"/>
      <w:sz w:val="24"/>
      <w:szCs w:val="24"/>
      <w:lang w:eastAsia="en-US"/>
    </w:rPr>
  </w:style>
  <w:style w:type="character" w:customStyle="1" w:styleId="Heading1Char">
    <w:name w:val="Heading 1 Char"/>
    <w:basedOn w:val="DefaultParagraphFont"/>
    <w:link w:val="Heading1"/>
    <w:uiPriority w:val="9"/>
    <w:rsid w:val="002A4B50"/>
    <w:rPr>
      <w:rFonts w:ascii="Times New Roman" w:eastAsiaTheme="majorEastAsia" w:hAnsi="Times New Roman" w:cstheme="majorBidi"/>
      <w:b/>
      <w:bCs/>
      <w:sz w:val="28"/>
      <w:szCs w:val="28"/>
      <w:lang w:eastAsia="en-US"/>
    </w:rPr>
  </w:style>
  <w:style w:type="paragraph" w:styleId="TOCHeading">
    <w:name w:val="TOC Heading"/>
    <w:basedOn w:val="Heading1"/>
    <w:next w:val="Normal"/>
    <w:uiPriority w:val="39"/>
    <w:unhideWhenUsed/>
    <w:qFormat/>
    <w:rsid w:val="002A4B50"/>
    <w:pPr>
      <w:outlineLvl w:val="9"/>
    </w:pPr>
    <w:rPr>
      <w:lang w:val="en-US" w:eastAsia="ja-JP"/>
    </w:rPr>
  </w:style>
  <w:style w:type="paragraph" w:styleId="TOC1">
    <w:name w:val="toc 1"/>
    <w:basedOn w:val="Normal"/>
    <w:next w:val="Normal"/>
    <w:autoRedefine/>
    <w:uiPriority w:val="39"/>
    <w:unhideWhenUsed/>
    <w:rsid w:val="002A4B50"/>
    <w:pPr>
      <w:spacing w:before="120" w:after="0"/>
    </w:pPr>
    <w:rPr>
      <w:rFonts w:asciiTheme="minorHAnsi" w:hAnsiTheme="minorHAnsi"/>
      <w:b/>
      <w:bCs/>
      <w:i/>
      <w:iCs/>
      <w:sz w:val="24"/>
      <w:szCs w:val="24"/>
    </w:rPr>
  </w:style>
  <w:style w:type="paragraph" w:styleId="TOC2">
    <w:name w:val="toc 2"/>
    <w:basedOn w:val="Normal"/>
    <w:next w:val="Normal"/>
    <w:autoRedefine/>
    <w:uiPriority w:val="39"/>
    <w:unhideWhenUsed/>
    <w:rsid w:val="002A4B50"/>
    <w:pPr>
      <w:spacing w:before="120" w:after="0"/>
      <w:ind w:left="220"/>
    </w:pPr>
    <w:rPr>
      <w:rFonts w:asciiTheme="minorHAnsi" w:hAnsiTheme="minorHAnsi"/>
      <w:b/>
      <w:bCs/>
    </w:rPr>
  </w:style>
  <w:style w:type="paragraph" w:styleId="TOC3">
    <w:name w:val="toc 3"/>
    <w:basedOn w:val="Normal"/>
    <w:next w:val="Normal"/>
    <w:autoRedefine/>
    <w:uiPriority w:val="39"/>
    <w:unhideWhenUsed/>
    <w:rsid w:val="002A4B50"/>
    <w:pPr>
      <w:spacing w:after="0"/>
      <w:ind w:left="440"/>
    </w:pPr>
    <w:rPr>
      <w:rFonts w:asciiTheme="minorHAnsi" w:hAnsiTheme="minorHAnsi"/>
      <w:sz w:val="20"/>
      <w:szCs w:val="20"/>
    </w:rPr>
  </w:style>
  <w:style w:type="paragraph" w:styleId="TOC4">
    <w:name w:val="toc 4"/>
    <w:basedOn w:val="Normal"/>
    <w:next w:val="Normal"/>
    <w:autoRedefine/>
    <w:uiPriority w:val="39"/>
    <w:unhideWhenUsed/>
    <w:rsid w:val="002A4B50"/>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2A4B50"/>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2A4B50"/>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2A4B50"/>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2A4B50"/>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2A4B50"/>
    <w:pPr>
      <w:spacing w:after="0"/>
      <w:ind w:left="176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861743">
      <w:bodyDiv w:val="1"/>
      <w:marLeft w:val="0"/>
      <w:marRight w:val="0"/>
      <w:marTop w:val="0"/>
      <w:marBottom w:val="0"/>
      <w:divBdr>
        <w:top w:val="none" w:sz="0" w:space="0" w:color="auto"/>
        <w:left w:val="none" w:sz="0" w:space="0" w:color="auto"/>
        <w:bottom w:val="none" w:sz="0" w:space="0" w:color="auto"/>
        <w:right w:val="none" w:sz="0" w:space="0" w:color="auto"/>
      </w:divBdr>
    </w:div>
    <w:div w:id="589510453">
      <w:bodyDiv w:val="1"/>
      <w:marLeft w:val="0"/>
      <w:marRight w:val="0"/>
      <w:marTop w:val="0"/>
      <w:marBottom w:val="0"/>
      <w:divBdr>
        <w:top w:val="none" w:sz="0" w:space="0" w:color="auto"/>
        <w:left w:val="none" w:sz="0" w:space="0" w:color="auto"/>
        <w:bottom w:val="none" w:sz="0" w:space="0" w:color="auto"/>
        <w:right w:val="none" w:sz="0" w:space="0" w:color="auto"/>
      </w:divBdr>
    </w:div>
    <w:div w:id="1232034573">
      <w:bodyDiv w:val="1"/>
      <w:marLeft w:val="0"/>
      <w:marRight w:val="0"/>
      <w:marTop w:val="0"/>
      <w:marBottom w:val="0"/>
      <w:divBdr>
        <w:top w:val="none" w:sz="0" w:space="0" w:color="auto"/>
        <w:left w:val="none" w:sz="0" w:space="0" w:color="auto"/>
        <w:bottom w:val="none" w:sz="0" w:space="0" w:color="auto"/>
        <w:right w:val="none" w:sz="0" w:space="0" w:color="auto"/>
      </w:divBdr>
    </w:div>
    <w:div w:id="1264846658">
      <w:bodyDiv w:val="1"/>
      <w:marLeft w:val="0"/>
      <w:marRight w:val="0"/>
      <w:marTop w:val="0"/>
      <w:marBottom w:val="0"/>
      <w:divBdr>
        <w:top w:val="none" w:sz="0" w:space="0" w:color="auto"/>
        <w:left w:val="none" w:sz="0" w:space="0" w:color="auto"/>
        <w:bottom w:val="none" w:sz="0" w:space="0" w:color="auto"/>
        <w:right w:val="none" w:sz="0" w:space="0" w:color="auto"/>
      </w:divBdr>
    </w:div>
    <w:div w:id="1383292855">
      <w:bodyDiv w:val="1"/>
      <w:marLeft w:val="0"/>
      <w:marRight w:val="0"/>
      <w:marTop w:val="0"/>
      <w:marBottom w:val="0"/>
      <w:divBdr>
        <w:top w:val="none" w:sz="0" w:space="0" w:color="auto"/>
        <w:left w:val="none" w:sz="0" w:space="0" w:color="auto"/>
        <w:bottom w:val="none" w:sz="0" w:space="0" w:color="auto"/>
        <w:right w:val="none" w:sz="0" w:space="0" w:color="auto"/>
      </w:divBdr>
    </w:div>
    <w:div w:id="1726681979">
      <w:bodyDiv w:val="1"/>
      <w:marLeft w:val="0"/>
      <w:marRight w:val="0"/>
      <w:marTop w:val="0"/>
      <w:marBottom w:val="0"/>
      <w:divBdr>
        <w:top w:val="none" w:sz="0" w:space="0" w:color="auto"/>
        <w:left w:val="none" w:sz="0" w:space="0" w:color="auto"/>
        <w:bottom w:val="none" w:sz="0" w:space="0" w:color="auto"/>
        <w:right w:val="none" w:sz="0" w:space="0" w:color="auto"/>
      </w:divBdr>
      <w:divsChild>
        <w:div w:id="1712608775">
          <w:marLeft w:val="0"/>
          <w:marRight w:val="0"/>
          <w:marTop w:val="0"/>
          <w:marBottom w:val="0"/>
          <w:divBdr>
            <w:top w:val="none" w:sz="0" w:space="0" w:color="auto"/>
            <w:left w:val="none" w:sz="0" w:space="0" w:color="auto"/>
            <w:bottom w:val="none" w:sz="0" w:space="0" w:color="auto"/>
            <w:right w:val="none" w:sz="0" w:space="0" w:color="auto"/>
          </w:divBdr>
          <w:divsChild>
            <w:div w:id="986932794">
              <w:marLeft w:val="0"/>
              <w:marRight w:val="0"/>
              <w:marTop w:val="0"/>
              <w:marBottom w:val="0"/>
              <w:divBdr>
                <w:top w:val="none" w:sz="0" w:space="0" w:color="auto"/>
                <w:left w:val="none" w:sz="0" w:space="0" w:color="auto"/>
                <w:bottom w:val="none" w:sz="0" w:space="0" w:color="auto"/>
                <w:right w:val="none" w:sz="0" w:space="0" w:color="auto"/>
              </w:divBdr>
              <w:divsChild>
                <w:div w:id="1579291277">
                  <w:marLeft w:val="0"/>
                  <w:marRight w:val="0"/>
                  <w:marTop w:val="0"/>
                  <w:marBottom w:val="0"/>
                  <w:divBdr>
                    <w:top w:val="none" w:sz="0" w:space="0" w:color="auto"/>
                    <w:left w:val="none" w:sz="0" w:space="0" w:color="auto"/>
                    <w:bottom w:val="none" w:sz="0" w:space="0" w:color="auto"/>
                    <w:right w:val="none" w:sz="0" w:space="0" w:color="auto"/>
                  </w:divBdr>
                  <w:divsChild>
                    <w:div w:id="332730565">
                      <w:marLeft w:val="0"/>
                      <w:marRight w:val="0"/>
                      <w:marTop w:val="0"/>
                      <w:marBottom w:val="0"/>
                      <w:divBdr>
                        <w:top w:val="none" w:sz="0" w:space="0" w:color="auto"/>
                        <w:left w:val="none" w:sz="0" w:space="0" w:color="auto"/>
                        <w:bottom w:val="none" w:sz="0" w:space="0" w:color="auto"/>
                        <w:right w:val="none" w:sz="0" w:space="0" w:color="auto"/>
                      </w:divBdr>
                      <w:divsChild>
                        <w:div w:id="443310147">
                          <w:marLeft w:val="-225"/>
                          <w:marRight w:val="0"/>
                          <w:marTop w:val="0"/>
                          <w:marBottom w:val="0"/>
                          <w:divBdr>
                            <w:top w:val="none" w:sz="0" w:space="0" w:color="auto"/>
                            <w:left w:val="none" w:sz="0" w:space="0" w:color="auto"/>
                            <w:bottom w:val="none" w:sz="0" w:space="0" w:color="auto"/>
                            <w:right w:val="none" w:sz="0" w:space="0" w:color="auto"/>
                          </w:divBdr>
                          <w:divsChild>
                            <w:div w:id="672344958">
                              <w:marLeft w:val="1500"/>
                              <w:marRight w:val="1500"/>
                              <w:marTop w:val="0"/>
                              <w:marBottom w:val="0"/>
                              <w:divBdr>
                                <w:top w:val="none" w:sz="0" w:space="0" w:color="auto"/>
                                <w:left w:val="none" w:sz="0" w:space="0" w:color="auto"/>
                                <w:bottom w:val="none" w:sz="0" w:space="0" w:color="auto"/>
                                <w:right w:val="none" w:sz="0" w:space="0" w:color="auto"/>
                              </w:divBdr>
                              <w:divsChild>
                                <w:div w:id="1908417416">
                                  <w:marLeft w:val="0"/>
                                  <w:marRight w:val="0"/>
                                  <w:marTop w:val="0"/>
                                  <w:marBottom w:val="345"/>
                                  <w:divBdr>
                                    <w:top w:val="none" w:sz="0" w:space="0" w:color="auto"/>
                                    <w:left w:val="none" w:sz="0" w:space="0" w:color="auto"/>
                                    <w:bottom w:val="none" w:sz="0" w:space="0" w:color="auto"/>
                                    <w:right w:val="none" w:sz="0" w:space="0" w:color="auto"/>
                                  </w:divBdr>
                                  <w:divsChild>
                                    <w:div w:id="204565058">
                                      <w:marLeft w:val="0"/>
                                      <w:marRight w:val="0"/>
                                      <w:marTop w:val="0"/>
                                      <w:marBottom w:val="0"/>
                                      <w:divBdr>
                                        <w:top w:val="none" w:sz="0" w:space="0" w:color="auto"/>
                                        <w:left w:val="none" w:sz="0" w:space="0" w:color="auto"/>
                                        <w:bottom w:val="none" w:sz="0" w:space="0" w:color="auto"/>
                                        <w:right w:val="none" w:sz="0" w:space="0" w:color="auto"/>
                                      </w:divBdr>
                                    </w:div>
                                    <w:div w:id="353579476">
                                      <w:marLeft w:val="0"/>
                                      <w:marRight w:val="0"/>
                                      <w:marTop w:val="0"/>
                                      <w:marBottom w:val="0"/>
                                      <w:divBdr>
                                        <w:top w:val="none" w:sz="0" w:space="0" w:color="auto"/>
                                        <w:left w:val="none" w:sz="0" w:space="0" w:color="auto"/>
                                        <w:bottom w:val="none" w:sz="0" w:space="0" w:color="auto"/>
                                        <w:right w:val="none" w:sz="0" w:space="0" w:color="auto"/>
                                      </w:divBdr>
                                    </w:div>
                                    <w:div w:id="92067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2479407">
      <w:bodyDiv w:val="1"/>
      <w:marLeft w:val="0"/>
      <w:marRight w:val="0"/>
      <w:marTop w:val="0"/>
      <w:marBottom w:val="0"/>
      <w:divBdr>
        <w:top w:val="none" w:sz="0" w:space="0" w:color="auto"/>
        <w:left w:val="none" w:sz="0" w:space="0" w:color="auto"/>
        <w:bottom w:val="none" w:sz="0" w:space="0" w:color="auto"/>
        <w:right w:val="none" w:sz="0" w:space="0" w:color="auto"/>
      </w:divBdr>
    </w:div>
    <w:div w:id="195174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ranceonu.org/IMG/pdf/130424_-_Resolution_on_MALI.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B6725A-5FDF-4F95-B36E-386DE3670F3E}"/>
</file>

<file path=customXml/itemProps2.xml><?xml version="1.0" encoding="utf-8"?>
<ds:datastoreItem xmlns:ds="http://schemas.openxmlformats.org/officeDocument/2006/customXml" ds:itemID="{E2932F5B-4218-4D71-8C3D-833D08F27129}"/>
</file>

<file path=customXml/itemProps3.xml><?xml version="1.0" encoding="utf-8"?>
<ds:datastoreItem xmlns:ds="http://schemas.openxmlformats.org/officeDocument/2006/customXml" ds:itemID="{CE02A91E-DC45-477C-ABAF-60A48A4EAE2B}"/>
</file>

<file path=customXml/itemProps4.xml><?xml version="1.0" encoding="utf-8"?>
<ds:datastoreItem xmlns:ds="http://schemas.openxmlformats.org/officeDocument/2006/customXml" ds:itemID="{72540C25-F937-418C-801A-A82B52EBF515}"/>
</file>

<file path=docProps/app.xml><?xml version="1.0" encoding="utf-8"?>
<Properties xmlns="http://schemas.openxmlformats.org/officeDocument/2006/extended-properties" xmlns:vt="http://schemas.openxmlformats.org/officeDocument/2006/docPropsVTypes">
  <Template>Normal</Template>
  <TotalTime>0</TotalTime>
  <Pages>69</Pages>
  <Words>13590</Words>
  <Characters>77466</Characters>
  <Application>Microsoft Office Word</Application>
  <DocSecurity>0</DocSecurity>
  <Lines>645</Lines>
  <Paragraphs>181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MINUSMA-HRD/OHCHR</vt:lpstr>
      <vt:lpstr>MINUSMA-HRD/OHCHR</vt:lpstr>
    </vt:vector>
  </TitlesOfParts>
  <Company>Deftones</Company>
  <LinksUpToDate>false</LinksUpToDate>
  <CharactersWithSpaces>90875</CharactersWithSpaces>
  <SharedDoc>false</SharedDoc>
  <HLinks>
    <vt:vector size="6" baseType="variant">
      <vt:variant>
        <vt:i4>2097199</vt:i4>
      </vt:variant>
      <vt:variant>
        <vt:i4>0</vt:i4>
      </vt:variant>
      <vt:variant>
        <vt:i4>0</vt:i4>
      </vt:variant>
      <vt:variant>
        <vt:i4>5</vt:i4>
      </vt:variant>
      <vt:variant>
        <vt:lpwstr>http://www.franceonu.org/IMG/pdf/130424_-_Resolution_on_MALI.pdf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MINUSMA-HRD/OHCHR, 1 November 2013 - 31 May 2014 (Word)</dc:title>
  <dc:creator>Murielle Tchouwo</dc:creator>
  <cp:lastModifiedBy>Sophie Busson</cp:lastModifiedBy>
  <cp:revision>2</cp:revision>
  <cp:lastPrinted>2014-11-17T10:51:00Z</cp:lastPrinted>
  <dcterms:created xsi:type="dcterms:W3CDTF">2015-03-18T15:21:00Z</dcterms:created>
  <dcterms:modified xsi:type="dcterms:W3CDTF">2015-03-18T15:21:00Z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2765700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