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24DB" w14:textId="77777777" w:rsidR="000958DF" w:rsidRPr="007C1A09" w:rsidRDefault="000958DF" w:rsidP="00613244">
      <w:pPr>
        <w:pStyle w:val="Header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 wp14:anchorId="1D920965" wp14:editId="067F18EC">
            <wp:extent cx="2486025" cy="895350"/>
            <wp:effectExtent l="0" t="0" r="0" b="0"/>
            <wp:docPr id="5" name="Picture 5" descr="https://intranet.ohchr.org/Offices/Geneva/ExecutiveDirectionManagement/EOS/CommunicationsSection/Logos/Office_logo_EN_blue_SMALL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net.ohchr.org/Offices/Geneva/ExecutiveDirectionManagement/EOS/CommunicationsSection/Logos/Office_logo_EN_blue_SMALL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ab/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7334D37A" w14:textId="77777777" w:rsidR="000958DF" w:rsidRPr="007C1A09" w:rsidRDefault="000958DF" w:rsidP="00613244">
      <w:pPr>
        <w:pStyle w:val="Header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CA1DB24" w14:textId="77777777" w:rsidR="000958DF" w:rsidRPr="007C1A09" w:rsidRDefault="00571DC3" w:rsidP="00613244">
      <w:pPr>
        <w:pStyle w:val="Header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pict w14:anchorId="04C7B0D0">
          <v:rect id="_x0000_i1025" style="width:0;height:1.5pt" o:hralign="center" o:hrstd="t" o:hr="t" fillcolor="#a0a0a0" stroked="f"/>
        </w:pict>
      </w:r>
    </w:p>
    <w:p w14:paraId="7860DC9A" w14:textId="77777777" w:rsidR="000958DF" w:rsidRPr="007C1A09" w:rsidRDefault="000958DF" w:rsidP="00613244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14:paraId="429A72B2" w14:textId="369FA3E6" w:rsidR="009F42CD" w:rsidRPr="007C1A09" w:rsidRDefault="009F42CD" w:rsidP="007C1A09">
      <w:pPr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NOTE CONCEPTUELLE</w:t>
      </w:r>
    </w:p>
    <w:p w14:paraId="36FBE8B2" w14:textId="2CF0D673" w:rsidR="00702BB4" w:rsidRPr="007C1A09" w:rsidRDefault="009F42CD" w:rsidP="0058370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ATELIER SUR LE RENFORCEMENT DE LA COOPÉRATION ENTRE LES </w:t>
      </w:r>
      <w:r w:rsidR="00583702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MÉCANISMES DES </w:t>
      </w: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NATIONS UNIES ET LES </w:t>
      </w:r>
      <w:r w:rsidR="00F20A89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MÉCANISMES </w:t>
      </w: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RÉGIONAUX DE PROMOTION ET DE PROTECTION DES DROITS DE L</w:t>
      </w:r>
      <w:r w:rsid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HOMME</w:t>
      </w:r>
    </w:p>
    <w:p w14:paraId="199080FE" w14:textId="77777777" w:rsidR="009F42CD" w:rsidRPr="007C1A09" w:rsidRDefault="009F42CD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6974"/>
      </w:tblGrid>
      <w:tr w:rsidR="009F42CD" w:rsidRPr="00571DC3" w14:paraId="45248EDA" w14:textId="77777777" w:rsidTr="00855ED0">
        <w:trPr>
          <w:trHeight w:val="1200"/>
        </w:trPr>
        <w:tc>
          <w:tcPr>
            <w:tcW w:w="2017" w:type="dxa"/>
          </w:tcPr>
          <w:p w14:paraId="57B156C8" w14:textId="118FBC2A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974" w:type="dxa"/>
          </w:tcPr>
          <w:p w14:paraId="495B0D93" w14:textId="05787F3C" w:rsidR="009F42CD" w:rsidRPr="007C1A09" w:rsidRDefault="009F42CD" w:rsidP="00B13AD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Renforcer la coopération entre les mécanismes régionaux et les mécanismes internationaux des droits de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homme dans le but d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élaborer des propositions concrètes de coopération entre les mécanismes</w:t>
            </w:r>
            <w:r w:rsidR="0027706E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internationaux et 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mécanismes </w:t>
            </w:r>
            <w:r w:rsidR="0027706E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régionaux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droits de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homme </w:t>
            </w:r>
            <w:r w:rsidR="00BA0349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 matière de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lutte contre le racisme, la discrimination raciale, la xénophobie et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intolérance qui y est associée</w:t>
            </w:r>
            <w:r w:rsidR="00BA0349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 matière </w:t>
            </w:r>
            <w:r w:rsidR="00BA0349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mise en œuvre de la Déclaration et du </w:t>
            </w:r>
            <w:r w:rsidR="00B13ADA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programme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action de Durban.</w:t>
            </w:r>
          </w:p>
        </w:tc>
      </w:tr>
      <w:tr w:rsidR="009F42CD" w:rsidRPr="00571DC3" w14:paraId="5C2F0FFD" w14:textId="77777777" w:rsidTr="00855ED0">
        <w:trPr>
          <w:trHeight w:val="1320"/>
        </w:trPr>
        <w:tc>
          <w:tcPr>
            <w:tcW w:w="2017" w:type="dxa"/>
          </w:tcPr>
          <w:p w14:paraId="28BBE86F" w14:textId="77777777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PARTICIPANTS</w:t>
            </w:r>
          </w:p>
          <w:p w14:paraId="268921DB" w14:textId="34FEA991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6974" w:type="dxa"/>
          </w:tcPr>
          <w:p w14:paraId="75E48E2B" w14:textId="4AF9AD57" w:rsidR="009F42CD" w:rsidRPr="007C1A09" w:rsidRDefault="00BA0349" w:rsidP="0044366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 e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xperts des mécanismes </w:t>
            </w:r>
            <w:r w:rsidR="00443662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Nations Unies </w:t>
            </w:r>
            <w:r w:rsidR="004436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relatifs aux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droits de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homme, y compris les membres actuels et anciens des organes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traités, 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titulaires de mandat au titre des procédures spéciales,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représentants des mécanismes régionaux et sous-régionaux des droits de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homme, des institutions nationales des droits de l</w:t>
            </w:r>
            <w:r w:rsid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’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homme</w:t>
            </w:r>
            <w:r w:rsidR="006C661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(INDH)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des organisations de la société civil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et des milieux universitaires.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</w:t>
            </w:r>
            <w:r w:rsidR="00443662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représentants </w:t>
            </w:r>
            <w:r w:rsidR="004436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Etats membres et des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gouvernement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peuvent également </w:t>
            </w: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y </w:t>
            </w:r>
            <w:r w:rsidR="009F42CD"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participer.</w:t>
            </w:r>
          </w:p>
        </w:tc>
      </w:tr>
      <w:tr w:rsidR="009F42CD" w:rsidRPr="007C1A09" w14:paraId="4D3B4A2E" w14:textId="77777777" w:rsidTr="00855ED0">
        <w:trPr>
          <w:trHeight w:val="645"/>
        </w:trPr>
        <w:tc>
          <w:tcPr>
            <w:tcW w:w="2017" w:type="dxa"/>
          </w:tcPr>
          <w:p w14:paraId="14854D3B" w14:textId="0B7E3A52" w:rsidR="009F42CD" w:rsidRPr="00443662" w:rsidRDefault="009F42CD" w:rsidP="0061324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366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</w:t>
            </w:r>
          </w:p>
        </w:tc>
        <w:tc>
          <w:tcPr>
            <w:tcW w:w="6974" w:type="dxa"/>
          </w:tcPr>
          <w:p w14:paraId="6E6F4F54" w14:textId="77777777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Palais des Nations, Genève</w:t>
            </w:r>
          </w:p>
          <w:p w14:paraId="1F9C60D3" w14:textId="77777777" w:rsidR="009F42CD" w:rsidRPr="007C1A09" w:rsidRDefault="009F42CD" w:rsidP="0061324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9F42CD" w:rsidRPr="007C1A09" w14:paraId="17628F7C" w14:textId="77777777" w:rsidTr="00855ED0">
        <w:trPr>
          <w:trHeight w:val="660"/>
        </w:trPr>
        <w:tc>
          <w:tcPr>
            <w:tcW w:w="2017" w:type="dxa"/>
          </w:tcPr>
          <w:p w14:paraId="7699A425" w14:textId="77777777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6974" w:type="dxa"/>
          </w:tcPr>
          <w:p w14:paraId="7F3B0CAF" w14:textId="12688393" w:rsidR="009F42CD" w:rsidRPr="007C1A09" w:rsidRDefault="009F42CD" w:rsidP="0061324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C1A0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21-22 octobre 2019</w:t>
            </w:r>
          </w:p>
        </w:tc>
      </w:tr>
    </w:tbl>
    <w:p w14:paraId="3B274FE7" w14:textId="77777777" w:rsidR="009F42CD" w:rsidRPr="007C1A09" w:rsidRDefault="009F42CD" w:rsidP="00613244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5E43F7C5" w14:textId="7AAFAB22" w:rsidR="009F42CD" w:rsidRPr="007C1A09" w:rsidRDefault="00BA0349" w:rsidP="00927A1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CONTEXTE</w:t>
      </w:r>
    </w:p>
    <w:p w14:paraId="70851F6C" w14:textId="2B9F7308" w:rsidR="009F42CD" w:rsidRPr="007C1A09" w:rsidRDefault="003D7759" w:rsidP="003D77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En r</w:t>
      </w:r>
      <w:r w:rsidRPr="0093190E">
        <w:rPr>
          <w:rFonts w:asciiTheme="majorBidi" w:hAnsiTheme="majorBidi" w:cstheme="majorBidi"/>
          <w:sz w:val="24"/>
          <w:szCs w:val="24"/>
          <w:lang w:val="fr-FR"/>
        </w:rPr>
        <w:t>econnaiss</w:t>
      </w:r>
      <w:r>
        <w:rPr>
          <w:rFonts w:asciiTheme="majorBidi" w:hAnsiTheme="majorBidi" w:cstheme="majorBidi"/>
          <w:sz w:val="24"/>
          <w:szCs w:val="24"/>
          <w:lang w:val="fr-FR"/>
        </w:rPr>
        <w:t>ance du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rôle vital </w:t>
      </w:r>
      <w:r w:rsidR="00081B78" w:rsidRPr="0093190E">
        <w:rPr>
          <w:rFonts w:asciiTheme="majorBidi" w:hAnsiTheme="majorBidi" w:cstheme="majorBidi"/>
          <w:sz w:val="24"/>
          <w:szCs w:val="24"/>
          <w:lang w:val="fr-FR"/>
        </w:rPr>
        <w:t>que jouent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les mécanismes</w:t>
      </w:r>
      <w:r w:rsidR="00081B78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régionaux et sous-régionaux 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>des droits de l</w:t>
      </w:r>
      <w:r w:rsidR="007C1A09" w:rsidRPr="0093190E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>homme, le Con</w:t>
      </w:r>
      <w:r w:rsidR="00081B78" w:rsidRPr="0093190E">
        <w:rPr>
          <w:rFonts w:asciiTheme="majorBidi" w:hAnsiTheme="majorBidi" w:cstheme="majorBidi"/>
          <w:sz w:val="24"/>
          <w:szCs w:val="24"/>
          <w:lang w:val="fr-FR"/>
        </w:rPr>
        <w:t>seil des droits de l</w:t>
      </w:r>
      <w:r w:rsidR="007C1A09" w:rsidRPr="0093190E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081B78" w:rsidRPr="0093190E">
        <w:rPr>
          <w:rFonts w:asciiTheme="majorBidi" w:hAnsiTheme="majorBidi" w:cstheme="majorBidi"/>
          <w:sz w:val="24"/>
          <w:szCs w:val="24"/>
          <w:lang w:val="fr-FR"/>
        </w:rPr>
        <w:t>homme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81B78" w:rsidRPr="0093190E">
        <w:rPr>
          <w:rFonts w:asciiTheme="majorBidi" w:hAnsiTheme="majorBidi" w:cstheme="majorBidi"/>
          <w:sz w:val="24"/>
          <w:szCs w:val="24"/>
          <w:lang w:val="fr-FR"/>
        </w:rPr>
        <w:t>a demandé depuis 2007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r w:rsidR="00613244" w:rsidRPr="0093190E">
        <w:rPr>
          <w:rFonts w:asciiTheme="majorBidi" w:hAnsiTheme="majorBidi" w:cstheme="majorBidi"/>
          <w:sz w:val="24"/>
          <w:szCs w:val="24"/>
          <w:lang w:val="fr-FR"/>
        </w:rPr>
        <w:t>Haut-Commissariat des Nations Unies aux droits de l</w:t>
      </w:r>
      <w:r w:rsidR="007C1A09" w:rsidRPr="0093190E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613244" w:rsidRPr="0093190E">
        <w:rPr>
          <w:rFonts w:asciiTheme="majorBidi" w:hAnsiTheme="majorBidi" w:cstheme="majorBidi"/>
          <w:sz w:val="24"/>
          <w:szCs w:val="24"/>
          <w:lang w:val="fr-FR"/>
        </w:rPr>
        <w:t xml:space="preserve">homme (HCDH) 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>de réunir les mécanismes internationaux et régionaux des droits de l</w:t>
      </w:r>
      <w:r w:rsidR="007C1A09" w:rsidRPr="0093190E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>homme afin qu</w:t>
      </w:r>
      <w:r w:rsidR="007C1A09" w:rsidRPr="0093190E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ils puissent échanger leurs points de 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lastRenderedPageBreak/>
        <w:t>vue sur les bonnes prati</w:t>
      </w:r>
      <w:r w:rsidR="00613244" w:rsidRPr="0093190E">
        <w:rPr>
          <w:rFonts w:asciiTheme="majorBidi" w:hAnsiTheme="majorBidi" w:cstheme="majorBidi"/>
          <w:sz w:val="24"/>
          <w:szCs w:val="24"/>
          <w:lang w:val="fr-FR"/>
        </w:rPr>
        <w:t>ques et les enseignements tirés afin de</w:t>
      </w:r>
      <w:r w:rsidR="009F42CD" w:rsidRPr="0093190E">
        <w:rPr>
          <w:rFonts w:asciiTheme="majorBidi" w:hAnsiTheme="majorBidi" w:cstheme="majorBidi"/>
          <w:sz w:val="24"/>
          <w:szCs w:val="24"/>
          <w:lang w:val="fr-FR"/>
        </w:rPr>
        <w:t xml:space="preserve"> renforcer la coopération entre eux.</w:t>
      </w:r>
      <w:r w:rsidR="00613244" w:rsidRPr="0093190E">
        <w:rPr>
          <w:rStyle w:val="FootnoteReference"/>
          <w:rFonts w:asciiTheme="majorBidi" w:hAnsiTheme="majorBidi" w:cstheme="majorBidi"/>
          <w:sz w:val="24"/>
          <w:szCs w:val="24"/>
          <w:lang w:val="fr-FR"/>
        </w:rPr>
        <w:footnoteReference w:id="1"/>
      </w:r>
    </w:p>
    <w:p w14:paraId="3E1370CA" w14:textId="77777777" w:rsidR="009F42CD" w:rsidRPr="007C1A09" w:rsidRDefault="009F42CD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ADAC748" w14:textId="4518588E" w:rsidR="009F42CD" w:rsidRPr="007C1A09" w:rsidRDefault="009F42CD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Suite à ces résolutions, les ateliers précédents ont abordé</w:t>
      </w:r>
      <w:r w:rsidR="00613244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:</w:t>
      </w:r>
    </w:p>
    <w:p w14:paraId="5694E674" w14:textId="23DE241A" w:rsidR="00613244" w:rsidRPr="007C1A09" w:rsidRDefault="00613244" w:rsidP="00613244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Les b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onnes pratiques,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valeur ajoutée et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défis pour les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mécanismes régionaux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</w:t>
      </w:r>
      <w:r w:rsidR="0016099B">
        <w:rPr>
          <w:rFonts w:asciiTheme="majorBidi" w:hAnsiTheme="majorBidi" w:cstheme="majorBidi"/>
          <w:sz w:val="24"/>
          <w:szCs w:val="24"/>
          <w:lang w:val="fr-FR"/>
        </w:rPr>
        <w:t xml:space="preserve"> (MRDH)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(2008)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 ;</w:t>
      </w:r>
    </w:p>
    <w:p w14:paraId="5412F22C" w14:textId="143CB2EE" w:rsidR="00E54C76" w:rsidRPr="007C1A09" w:rsidRDefault="00613244" w:rsidP="0093190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Le r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enforcement de la coopération entre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ONU et les </w:t>
      </w:r>
      <w:r w:rsidR="0093190E">
        <w:rPr>
          <w:rFonts w:asciiTheme="majorBidi" w:hAnsiTheme="majorBidi" w:cstheme="majorBidi"/>
          <w:sz w:val="24"/>
          <w:szCs w:val="24"/>
          <w:lang w:val="fr-FR"/>
        </w:rPr>
        <w:t>arrangements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régionaux pour surmonter les obstacles à la promotion et à la protection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homme au niveau régional (2010)</w:t>
      </w:r>
      <w:r w:rsidR="008343E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;</w:t>
      </w:r>
    </w:p>
    <w:p w14:paraId="50E8A51D" w14:textId="0615FAA1" w:rsidR="00C171B7" w:rsidRPr="007C1A09" w:rsidRDefault="00E54C76" w:rsidP="008343E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Le r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enforcement de la coopération en matière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échange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informations,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activités </w:t>
      </w:r>
      <w:r w:rsidR="008343EA">
        <w:rPr>
          <w:rFonts w:asciiTheme="majorBidi" w:hAnsiTheme="majorBidi" w:cstheme="majorBidi"/>
          <w:sz w:val="24"/>
          <w:szCs w:val="24"/>
          <w:lang w:val="fr-FR"/>
        </w:rPr>
        <w:t>conjointes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de suivi des recommandations des mécanismes des Nations Unies</w:t>
      </w:r>
      <w:r w:rsidR="00C171B7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des mécanismes régionaux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homme, en mettant un accent particulier sur la prévention de la torture, les droits des femmes et les droits des enfants (2012)</w:t>
      </w:r>
      <w:r w:rsidR="008343E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;</w:t>
      </w:r>
    </w:p>
    <w:p w14:paraId="26F319E9" w14:textId="77A91007" w:rsidR="00C171B7" w:rsidRPr="007C1A09" w:rsidRDefault="00C171B7" w:rsidP="00C171B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Le r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enforcement de la coopération en matière de droits économiques, sociaux et culturels (2014)</w:t>
      </w:r>
      <w:r w:rsidR="008343E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; et</w:t>
      </w:r>
    </w:p>
    <w:p w14:paraId="7E21D838" w14:textId="69B578ED" w:rsidR="009F42CD" w:rsidRPr="007C1A09" w:rsidRDefault="00C171B7" w:rsidP="00C171B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Le r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enforcement de la coopération en</w:t>
      </w:r>
      <w:r w:rsidR="008343EA">
        <w:rPr>
          <w:rFonts w:asciiTheme="majorBidi" w:hAnsiTheme="majorBidi" w:cstheme="majorBidi"/>
          <w:sz w:val="24"/>
          <w:szCs w:val="24"/>
          <w:lang w:val="fr-FR"/>
        </w:rPr>
        <w:t>tre les mécanismes des Nations u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nies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les mécanismes régionaux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homme, les défenseurs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homme et les organisations de la société civile (2016).</w:t>
      </w:r>
    </w:p>
    <w:p w14:paraId="491D9763" w14:textId="5A8B83A4" w:rsidR="009F42CD" w:rsidRPr="007C1A09" w:rsidRDefault="009F42CD" w:rsidP="00B13ADA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En 2017, le CDH</w:t>
      </w:r>
      <w:r w:rsidR="00C171B7" w:rsidRPr="007C1A09">
        <w:rPr>
          <w:rStyle w:val="FootnoteReference"/>
          <w:rFonts w:asciiTheme="majorBidi" w:hAnsiTheme="majorBidi" w:cstheme="majorBidi"/>
          <w:sz w:val="24"/>
          <w:szCs w:val="24"/>
          <w:lang w:val="fr-FR"/>
        </w:rPr>
        <w:footnoteReference w:id="2"/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a demandé au HCDH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organiser un atelier en 2019 pour faire le point sur les </w:t>
      </w:r>
      <w:r w:rsidR="00DF19F5" w:rsidRPr="007C1A09">
        <w:rPr>
          <w:rFonts w:asciiTheme="majorBidi" w:hAnsiTheme="majorBidi" w:cstheme="majorBidi"/>
          <w:sz w:val="24"/>
          <w:szCs w:val="24"/>
          <w:lang w:val="fr-FR"/>
        </w:rPr>
        <w:t>évolutions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intervenu</w:t>
      </w:r>
      <w:r w:rsidR="00DF19F5" w:rsidRPr="007C1A09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s depuis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atelier de 201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 xml:space="preserve">6, y compris un débat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thématique sur le rôle des arrangements régionaux dans la lutte contre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associée, e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dans la mise en œuvre 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des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engagement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>s pris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>en vertu de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la Déclaration et </w:t>
      </w:r>
      <w:r w:rsidR="00B13ADA" w:rsidRPr="007C1A09">
        <w:rPr>
          <w:rFonts w:asciiTheme="majorBidi" w:hAnsiTheme="majorBidi" w:cstheme="majorBidi"/>
          <w:sz w:val="24"/>
          <w:szCs w:val="24"/>
          <w:lang w:val="fr-FR"/>
        </w:rPr>
        <w:t>du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 xml:space="preserve"> p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rogramme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action de Durban</w:t>
      </w:r>
      <w:r w:rsidR="00CF1018" w:rsidRPr="007C1A09">
        <w:rPr>
          <w:rStyle w:val="FootnoteReference"/>
          <w:rFonts w:asciiTheme="majorBidi" w:hAnsiTheme="majorBidi" w:cstheme="majorBidi"/>
          <w:sz w:val="24"/>
          <w:szCs w:val="24"/>
          <w:lang w:val="fr-FR"/>
        </w:rPr>
        <w:footnoteReference w:id="3"/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869A3D6" w14:textId="54C5B193" w:rsidR="009F42CD" w:rsidRPr="007C1A09" w:rsidRDefault="009F42CD" w:rsidP="00CE5386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Avant cet atelier, le HCDH, en coopération avec les mécanismes régionaux respectifs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homme, avait tenu des consultations régionales à Washington avec la Commission interaméricaine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 et à Banjul avec la Commission africaine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 et des peuples. Les consultations régionales ont été axées sur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expérience concrète et pratique des mécanismes régionaux et ont permis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échanger des informations sur les meilleures pratiques, les enseignements tirés et les domaines de coopération entre les mécanismes régionaux et les mécanismes 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>onusiens</w:t>
      </w:r>
      <w:r w:rsidR="00CE5386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homme </w:t>
      </w:r>
      <w:r w:rsidR="00A83D9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en matière de 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 xml:space="preserve">lutte contre le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racisme.</w:t>
      </w:r>
    </w:p>
    <w:p w14:paraId="4CD1E687" w14:textId="36429D78" w:rsidR="009F42CD" w:rsidRPr="007C1A09" w:rsidRDefault="009F42CD" w:rsidP="00CE5386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consultations ont également permis de discuter de domaines thématiques spécifiques, liés au racisme et à la discrimination, qui prévalaient dans les régions respectives, et de formuler des recommandations sur les 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>axes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thématique</w:t>
      </w:r>
      <w:r w:rsidR="00927A1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s à 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>aborder</w:t>
      </w:r>
      <w:r w:rsidR="00927A1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dans le cadre de cet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atelier sur les arrangements régionaux.</w:t>
      </w:r>
    </w:p>
    <w:p w14:paraId="41702225" w14:textId="15E8E48F" w:rsidR="009F42CD" w:rsidRDefault="009F42CD" w:rsidP="0091401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OBJECTIFS SPÉCIFIQUES</w:t>
      </w:r>
    </w:p>
    <w:p w14:paraId="349FC329" w14:textId="77777777" w:rsidR="00CE5386" w:rsidRPr="007C1A09" w:rsidRDefault="00CE5386" w:rsidP="00CE5386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31F57B2C" w14:textId="342754E8" w:rsidR="00DF0E25" w:rsidRPr="007C1A09" w:rsidRDefault="009F42CD" w:rsidP="00DF0E2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Faire le point sur les </w:t>
      </w:r>
      <w:r w:rsidR="002A07CA" w:rsidRPr="007C1A09">
        <w:rPr>
          <w:rFonts w:asciiTheme="majorBidi" w:hAnsiTheme="majorBidi" w:cstheme="majorBidi"/>
          <w:sz w:val="24"/>
          <w:szCs w:val="24"/>
          <w:lang w:val="fr-FR"/>
        </w:rPr>
        <w:t>évolutions intervenues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depuis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atelier de 2016</w:t>
      </w:r>
      <w:r w:rsidR="002A07CA" w:rsidRPr="007C1A09">
        <w:rPr>
          <w:rFonts w:asciiTheme="majorBidi" w:hAnsiTheme="majorBidi" w:cstheme="majorBidi"/>
          <w:sz w:val="24"/>
          <w:szCs w:val="24"/>
          <w:lang w:val="fr-FR"/>
        </w:rPr>
        <w:t> ;</w:t>
      </w:r>
    </w:p>
    <w:p w14:paraId="1CB49554" w14:textId="3372168D" w:rsidR="00DF0E25" w:rsidRPr="007C1A09" w:rsidRDefault="009F42CD" w:rsidP="00DF0E2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Partager les expériences, les bonnes pratiques et les défis </w:t>
      </w:r>
      <w:r w:rsidR="00DF0E25" w:rsidRPr="007C1A09">
        <w:rPr>
          <w:rFonts w:asciiTheme="majorBidi" w:hAnsiTheme="majorBidi" w:cstheme="majorBidi"/>
          <w:sz w:val="24"/>
          <w:szCs w:val="24"/>
          <w:lang w:val="fr-FR"/>
        </w:rPr>
        <w:t>relatifs au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rôle des arrangements régionaux dans la lutte contre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</w:t>
      </w:r>
      <w:r w:rsidR="00DF0E25" w:rsidRPr="007C1A09">
        <w:rPr>
          <w:rFonts w:asciiTheme="majorBidi" w:hAnsiTheme="majorBidi" w:cstheme="majorBidi"/>
          <w:sz w:val="24"/>
          <w:szCs w:val="24"/>
          <w:lang w:val="fr-FR"/>
        </w:rPr>
        <w:t> ;</w:t>
      </w:r>
    </w:p>
    <w:p w14:paraId="7D859568" w14:textId="4FAB2152" w:rsidR="0025454C" w:rsidRPr="007C1A09" w:rsidRDefault="009F42CD" w:rsidP="00CA7A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Examiner les progrès accomplis et évaluer la mise en œuvre des instruments et </w:t>
      </w:r>
      <w:r w:rsidR="00CE5386">
        <w:rPr>
          <w:rFonts w:asciiTheme="majorBidi" w:hAnsiTheme="majorBidi" w:cstheme="majorBidi"/>
          <w:sz w:val="24"/>
          <w:szCs w:val="24"/>
          <w:lang w:val="fr-FR"/>
        </w:rPr>
        <w:t xml:space="preserve">des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mécanismes internationaux et régionaux </w:t>
      </w:r>
      <w:r w:rsidR="00CA7A18">
        <w:rPr>
          <w:rFonts w:asciiTheme="majorBidi" w:hAnsiTheme="majorBidi" w:cstheme="majorBidi"/>
          <w:sz w:val="24"/>
          <w:szCs w:val="24"/>
          <w:lang w:val="fr-FR"/>
        </w:rPr>
        <w:t>des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homme relatifs au racisme, </w:t>
      </w:r>
      <w:r w:rsidR="00CA7A18">
        <w:rPr>
          <w:rFonts w:asciiTheme="majorBidi" w:hAnsiTheme="majorBidi" w:cstheme="majorBidi"/>
          <w:sz w:val="24"/>
          <w:szCs w:val="24"/>
          <w:lang w:val="fr-FR"/>
        </w:rPr>
        <w:t>dont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5454C" w:rsidRPr="007C1A09">
        <w:rPr>
          <w:rFonts w:asciiTheme="majorBidi" w:hAnsiTheme="majorBidi" w:cstheme="majorBidi"/>
          <w:sz w:val="24"/>
          <w:szCs w:val="24"/>
          <w:lang w:val="fr-FR"/>
        </w:rPr>
        <w:t>la Convention internationale sur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25454C" w:rsidRPr="007C1A09">
        <w:rPr>
          <w:rFonts w:asciiTheme="majorBidi" w:hAnsiTheme="majorBidi" w:cstheme="majorBidi"/>
          <w:sz w:val="24"/>
          <w:szCs w:val="24"/>
          <w:lang w:val="fr-FR"/>
        </w:rPr>
        <w:t>élimination de toutes les formes de discrimination raciale et la Déclaration et le p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rogramme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action de Durban</w:t>
      </w:r>
      <w:r w:rsidR="00CF101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;</w:t>
      </w:r>
    </w:p>
    <w:p w14:paraId="2A1CF59F" w14:textId="54286D18" w:rsidR="00CF1018" w:rsidRPr="007C1A09" w:rsidRDefault="0025454C" w:rsidP="00CF10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Partager les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bonnes pratiques au niveau national</w:t>
      </w:r>
      <w:r w:rsidR="00CF101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 xml:space="preserve">; et discuter des solutions et des </w:t>
      </w:r>
      <w:r w:rsidR="00CF1018" w:rsidRPr="007C1A09">
        <w:rPr>
          <w:rFonts w:asciiTheme="majorBidi" w:hAnsiTheme="majorBidi" w:cstheme="majorBidi"/>
          <w:sz w:val="24"/>
          <w:szCs w:val="24"/>
          <w:lang w:val="fr-FR"/>
        </w:rPr>
        <w:t>voies de recours ;</w:t>
      </w:r>
    </w:p>
    <w:p w14:paraId="6A790D50" w14:textId="0015B81B" w:rsidR="00CF1018" w:rsidRPr="007C1A09" w:rsidRDefault="009F42CD" w:rsidP="00CF10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Identifier les nouvelles formes émergentes et répandues de racisme, de discrimination raciale, de xénophobie et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 dans la région</w:t>
      </w:r>
      <w:r w:rsidR="00CF1018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;</w:t>
      </w:r>
    </w:p>
    <w:p w14:paraId="4A022C77" w14:textId="5C5CE2A2" w:rsidR="009F3D30" w:rsidRPr="007C1A09" w:rsidRDefault="009F42CD" w:rsidP="009F3D30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Identifier les </w:t>
      </w:r>
      <w:r w:rsidR="0091401A" w:rsidRPr="007C1A09">
        <w:rPr>
          <w:rFonts w:asciiTheme="majorBidi" w:hAnsiTheme="majorBidi" w:cstheme="majorBidi"/>
          <w:sz w:val="24"/>
          <w:szCs w:val="24"/>
          <w:lang w:val="fr-FR"/>
        </w:rPr>
        <w:t>modalités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de coopération entre les mécanismes régiona</w:t>
      </w:r>
      <w:r w:rsidR="006C6619">
        <w:rPr>
          <w:rFonts w:asciiTheme="majorBidi" w:hAnsiTheme="majorBidi" w:cstheme="majorBidi"/>
          <w:sz w:val="24"/>
          <w:szCs w:val="24"/>
          <w:lang w:val="fr-FR"/>
        </w:rPr>
        <w:t>ux, les mécanismes des Nations u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nies, la société</w:t>
      </w:r>
      <w:r w:rsidR="0091401A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civile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les institutions nationales</w:t>
      </w:r>
      <w:r w:rsidR="006C661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A922E70" w14:textId="77777777" w:rsidR="009F3D30" w:rsidRPr="007C1A09" w:rsidRDefault="009F3D30" w:rsidP="009F3D3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3DA9B6D" w14:textId="5F6A5031" w:rsidR="009F42CD" w:rsidRPr="007C1A09" w:rsidRDefault="009F42CD" w:rsidP="009F3D3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MÉTHODOLOGIE</w:t>
      </w:r>
    </w:p>
    <w:p w14:paraId="71C1A05C" w14:textId="77777777" w:rsidR="009F3D30" w:rsidRPr="007C1A09" w:rsidRDefault="009F3D30" w:rsidP="009F3D30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557D31A2" w14:textId="223DE795" w:rsidR="009F42CD" w:rsidRPr="007C1A09" w:rsidRDefault="009F42CD" w:rsidP="009F3D3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Participants</w:t>
      </w:r>
    </w:p>
    <w:p w14:paraId="1563B668" w14:textId="53BA8B92" w:rsidR="009F42CD" w:rsidRPr="007C1A09" w:rsidRDefault="009F42CD" w:rsidP="006C661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atelier réunira des participants </w:t>
      </w:r>
      <w:r w:rsidR="009F3D3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représentant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des mécanismes régionaux et sous-régionaux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homme, du système </w:t>
      </w:r>
      <w:r w:rsidR="006C6619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des Nations Unies </w:t>
      </w:r>
      <w:r w:rsidR="006C6619">
        <w:rPr>
          <w:rFonts w:asciiTheme="majorBidi" w:hAnsiTheme="majorBidi" w:cstheme="majorBidi"/>
          <w:sz w:val="24"/>
          <w:szCs w:val="24"/>
          <w:lang w:val="fr-FR"/>
        </w:rPr>
        <w:t>relatif aux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homme, des INDH, de la société civile et du monde universitaire, ainsi que des représentants des gouvernements et des parlements.</w:t>
      </w:r>
    </w:p>
    <w:p w14:paraId="2D597A71" w14:textId="125DFB03" w:rsidR="009F42CD" w:rsidRPr="007C1A09" w:rsidRDefault="009F42CD" w:rsidP="006B344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Format</w:t>
      </w:r>
    </w:p>
    <w:p w14:paraId="5CBAFF8A" w14:textId="2A829974" w:rsidR="009F42CD" w:rsidRPr="007C1A09" w:rsidRDefault="009F42CD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Des discussions en panel auront lieu pendant 2 jours, suivies de discussions interactives. Un modérateur animera les discussions avec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aide de rapporteurs.</w:t>
      </w:r>
    </w:p>
    <w:p w14:paraId="114E03CD" w14:textId="6B541061" w:rsidR="009F42CD" w:rsidRPr="007C1A09" w:rsidRDefault="004529E3" w:rsidP="004529E3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S</w:t>
      </w:r>
      <w:r w:rsidR="009F42CD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ujets</w:t>
      </w:r>
    </w:p>
    <w:p w14:paraId="78F4880A" w14:textId="172A4074" w:rsidR="009F42CD" w:rsidRPr="007C1A09" w:rsidRDefault="009F42CD" w:rsidP="00E931F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La coopération et les partenariats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font partie intégrante de la Déclaration et du </w:t>
      </w:r>
      <w:r w:rsidR="00B76224" w:rsidRPr="007C1A09">
        <w:rPr>
          <w:rFonts w:asciiTheme="majorBidi" w:hAnsiTheme="majorBidi" w:cstheme="majorBidi"/>
          <w:sz w:val="24"/>
          <w:szCs w:val="24"/>
          <w:lang w:val="fr-FR"/>
        </w:rPr>
        <w:t>programme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B76224" w:rsidRPr="007C1A09">
        <w:rPr>
          <w:rFonts w:asciiTheme="majorBidi" w:hAnsiTheme="majorBidi" w:cstheme="majorBidi"/>
          <w:sz w:val="24"/>
          <w:szCs w:val="24"/>
          <w:lang w:val="fr-FR"/>
        </w:rPr>
        <w:t>action de Durban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="00FE5147" w:rsidRPr="007C1A09">
        <w:rPr>
          <w:rFonts w:asciiTheme="majorBidi" w:hAnsiTheme="majorBidi" w:cstheme="majorBidi"/>
          <w:sz w:val="24"/>
          <w:szCs w:val="24"/>
          <w:lang w:val="fr-FR"/>
        </w:rPr>
        <w:t>DPAD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r w:rsidR="005249D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Attribuant </w:t>
      </w:r>
      <w:r w:rsidR="00B474BA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aux Etats </w:t>
      </w:r>
      <w:r w:rsidR="005249D2" w:rsidRPr="007C1A09">
        <w:rPr>
          <w:rFonts w:asciiTheme="majorBidi" w:hAnsiTheme="majorBidi" w:cstheme="majorBidi"/>
          <w:sz w:val="24"/>
          <w:szCs w:val="24"/>
          <w:lang w:val="fr-FR"/>
        </w:rPr>
        <w:t>la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responsabilité première de lutter contre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intolérance qui y est associée, </w:t>
      </w:r>
      <w:r w:rsidR="00B53957" w:rsidRPr="007C1A09">
        <w:rPr>
          <w:rFonts w:asciiTheme="majorBidi" w:hAnsiTheme="majorBidi" w:cstheme="majorBidi"/>
          <w:sz w:val="24"/>
          <w:szCs w:val="24"/>
          <w:lang w:val="fr-FR"/>
        </w:rPr>
        <w:t>la DPAD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931FD">
        <w:rPr>
          <w:rFonts w:asciiTheme="majorBidi" w:hAnsiTheme="majorBidi" w:cstheme="majorBidi"/>
          <w:sz w:val="24"/>
          <w:szCs w:val="24"/>
          <w:lang w:val="fr-FR"/>
        </w:rPr>
        <w:t>préconise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également la participation active des organisations internationales et non gouvernementales, des partis politiques,</w:t>
      </w:r>
      <w:r w:rsidR="00C50933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des </w:t>
      </w:r>
      <w:r w:rsidR="006C6619">
        <w:rPr>
          <w:rFonts w:asciiTheme="majorBidi" w:hAnsiTheme="majorBidi" w:cstheme="majorBidi"/>
          <w:sz w:val="24"/>
          <w:szCs w:val="24"/>
          <w:lang w:val="fr-FR"/>
        </w:rPr>
        <w:t>INDH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, des jeunes,</w:t>
      </w:r>
      <w:r w:rsidR="00C50933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du secteur privé et des médias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="00E931FD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la société civile, en particulier pour la mise en œuvre de la DDPA.</w:t>
      </w:r>
    </w:p>
    <w:p w14:paraId="0F7DE563" w14:textId="251DBA2D" w:rsidR="009F42CD" w:rsidRPr="007C1A09" w:rsidRDefault="009F42CD" w:rsidP="00A8779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Des stratégies visant à réaliser une égalité pleine et effective </w:t>
      </w:r>
      <w:r w:rsidR="00A8779F" w:rsidRPr="007C1A09">
        <w:rPr>
          <w:rFonts w:asciiTheme="majorBidi" w:hAnsiTheme="majorBidi" w:cstheme="majorBidi"/>
          <w:sz w:val="24"/>
          <w:szCs w:val="24"/>
          <w:lang w:val="fr-FR"/>
        </w:rPr>
        <w:t>à travers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la coopération internationale, ré</w:t>
      </w:r>
      <w:r w:rsidR="00A8779F" w:rsidRPr="007C1A09">
        <w:rPr>
          <w:rFonts w:asciiTheme="majorBidi" w:hAnsiTheme="majorBidi" w:cstheme="majorBidi"/>
          <w:sz w:val="24"/>
          <w:szCs w:val="24"/>
          <w:lang w:val="fr-FR"/>
        </w:rPr>
        <w:t>gionale et nationale, ainsi qu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un cadre juridique international efficace et la participation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un large éventail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acteurs</w:t>
      </w:r>
      <w:r w:rsidR="00513875" w:rsidRPr="007C1A09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sont </w:t>
      </w:r>
      <w:r w:rsidR="00E931FD">
        <w:rPr>
          <w:rFonts w:asciiTheme="majorBidi" w:hAnsiTheme="majorBidi" w:cstheme="majorBidi"/>
          <w:sz w:val="24"/>
          <w:szCs w:val="24"/>
          <w:lang w:val="fr-FR"/>
        </w:rPr>
        <w:t>des éléments essentiel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s pour lutter contre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associée.</w:t>
      </w:r>
    </w:p>
    <w:p w14:paraId="7FC904F4" w14:textId="684A483D" w:rsidR="009F42CD" w:rsidRPr="007C1A09" w:rsidRDefault="009F42CD" w:rsidP="00E931F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Chaque </w:t>
      </w:r>
      <w:r w:rsidR="00513875" w:rsidRPr="007C1A09">
        <w:rPr>
          <w:rFonts w:asciiTheme="majorBidi" w:hAnsiTheme="majorBidi" w:cstheme="majorBidi"/>
          <w:sz w:val="24"/>
          <w:szCs w:val="24"/>
          <w:lang w:val="fr-FR"/>
        </w:rPr>
        <w:t>panel de discussion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931FD">
        <w:rPr>
          <w:rFonts w:asciiTheme="majorBidi" w:hAnsiTheme="majorBidi" w:cstheme="majorBidi"/>
          <w:sz w:val="24"/>
          <w:szCs w:val="24"/>
          <w:lang w:val="fr-FR"/>
        </w:rPr>
        <w:t>garantira que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la coopération</w:t>
      </w:r>
      <w:r w:rsidR="00D258E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de toutes les parties prenantes</w:t>
      </w:r>
      <w:r w:rsidR="00E931F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931FD" w:rsidRPr="00E931FD">
        <w:rPr>
          <w:rFonts w:asciiTheme="majorBidi" w:hAnsiTheme="majorBidi" w:cstheme="majorBidi"/>
          <w:sz w:val="24"/>
          <w:szCs w:val="24"/>
          <w:lang w:val="fr-FR"/>
        </w:rPr>
        <w:t>sera intégrée à la discussion.</w:t>
      </w:r>
    </w:p>
    <w:p w14:paraId="5DD00A16" w14:textId="56CDFCCF" w:rsidR="009F42CD" w:rsidRPr="007C1A09" w:rsidRDefault="00A84EE9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Panels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42CD" w:rsidRPr="007C1A09">
        <w:rPr>
          <w:rFonts w:asciiTheme="majorBidi" w:hAnsiTheme="majorBidi" w:cstheme="majorBidi"/>
          <w:sz w:val="24"/>
          <w:szCs w:val="24"/>
          <w:lang w:val="fr-FR"/>
        </w:rPr>
        <w:t>:</w:t>
      </w:r>
    </w:p>
    <w:p w14:paraId="37CB4521" w14:textId="47D9B772" w:rsidR="00C83448" w:rsidRPr="000C77BF" w:rsidRDefault="009F42CD" w:rsidP="007E4A7D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Faire le point sur l</w:t>
      </w:r>
      <w:r w:rsidR="007C1A09"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évolution de la coopération entre les mécanismes </w:t>
      </w:r>
      <w:r w:rsidR="00A84EE9"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des Nations u</w:t>
      </w:r>
      <w:r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nies et les mécanismes régionaux des droits de l</w:t>
      </w:r>
      <w:r w:rsidR="007C1A09"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0C77BF">
        <w:rPr>
          <w:rFonts w:asciiTheme="majorBidi" w:hAnsiTheme="majorBidi" w:cstheme="majorBidi"/>
          <w:b/>
          <w:bCs/>
          <w:sz w:val="24"/>
          <w:szCs w:val="24"/>
          <w:lang w:val="fr-FR"/>
        </w:rPr>
        <w:t>homme depuis 2016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 xml:space="preserve">. Les discussions pourraient porter sur les </w:t>
      </w:r>
      <w:r w:rsidR="00A84EE9" w:rsidRPr="000C77BF">
        <w:rPr>
          <w:rFonts w:asciiTheme="majorBidi" w:hAnsiTheme="majorBidi" w:cstheme="majorBidi"/>
          <w:sz w:val="24"/>
          <w:szCs w:val="24"/>
          <w:lang w:val="fr-FR"/>
        </w:rPr>
        <w:t>questions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 xml:space="preserve"> suivant</w:t>
      </w:r>
      <w:r w:rsidR="00A84EE9" w:rsidRPr="000C77BF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9A6153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: Quels progrès ont été accomplis dans la mise en œuvre des recommandations de l</w:t>
      </w:r>
      <w:r w:rsidR="007C1A09" w:rsidRPr="000C77BF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atelier de 2016</w:t>
      </w:r>
      <w:r w:rsidR="00AA4AA1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? Quels ont été les défis et les lacunes dans la mise en œuvre</w:t>
      </w:r>
      <w:r w:rsidR="006650F8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? Quelles sont les principales leçons apprises</w:t>
      </w:r>
      <w:r w:rsidR="006650F8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? Quelles</w:t>
      </w:r>
      <w:r w:rsidR="00B14A82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sont les</w:t>
      </w:r>
      <w:r w:rsidR="00A84EE9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activités/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 xml:space="preserve">initiatives conjointes </w:t>
      </w:r>
      <w:r w:rsidR="00B14A82" w:rsidRPr="000C77BF">
        <w:rPr>
          <w:rFonts w:asciiTheme="majorBidi" w:hAnsiTheme="majorBidi" w:cstheme="majorBidi"/>
          <w:sz w:val="24"/>
          <w:szCs w:val="24"/>
          <w:lang w:val="fr-FR"/>
        </w:rPr>
        <w:t xml:space="preserve">menées récemment par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="00A84EE9" w:rsidRPr="000C77BF">
        <w:rPr>
          <w:rFonts w:asciiTheme="majorBidi" w:hAnsiTheme="majorBidi" w:cstheme="majorBidi"/>
          <w:sz w:val="24"/>
          <w:szCs w:val="24"/>
          <w:lang w:val="fr-FR"/>
        </w:rPr>
        <w:t>MRDH</w:t>
      </w:r>
      <w:r w:rsidR="00B14A82" w:rsidRPr="000C77BF">
        <w:rPr>
          <w:rFonts w:asciiTheme="majorBidi" w:hAnsiTheme="majorBidi" w:cstheme="majorBidi"/>
          <w:sz w:val="24"/>
          <w:szCs w:val="24"/>
          <w:lang w:val="fr-FR"/>
        </w:rPr>
        <w:t xml:space="preserve"> et l</w:t>
      </w:r>
      <w:r w:rsidR="007C1A09" w:rsidRPr="000C77BF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B14A82" w:rsidRPr="000C77BF">
        <w:rPr>
          <w:rFonts w:asciiTheme="majorBidi" w:hAnsiTheme="majorBidi" w:cstheme="majorBidi"/>
          <w:sz w:val="24"/>
          <w:szCs w:val="24"/>
          <w:lang w:val="fr-FR"/>
        </w:rPr>
        <w:t xml:space="preserve">ONU </w:t>
      </w:r>
      <w:r w:rsidRPr="000C77BF">
        <w:rPr>
          <w:rFonts w:asciiTheme="majorBidi" w:hAnsiTheme="majorBidi" w:cstheme="majorBidi"/>
          <w:sz w:val="24"/>
          <w:szCs w:val="24"/>
          <w:lang w:val="fr-FR"/>
        </w:rPr>
        <w:t>?</w:t>
      </w:r>
    </w:p>
    <w:p w14:paraId="70CB1D20" w14:textId="77777777" w:rsidR="00C83448" w:rsidRPr="007C1A09" w:rsidRDefault="00C83448" w:rsidP="00C83448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8EFB40F" w14:textId="5CFA1536" w:rsidR="00FA7772" w:rsidRPr="007C1A09" w:rsidRDefault="00C83448" w:rsidP="007E4A7D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>Le c</w:t>
      </w:r>
      <w:r w:rsidR="009F42CD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>adre juridique</w:t>
      </w:r>
      <w:r w:rsidR="00FA58E0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le mécanisme</w:t>
      </w:r>
      <w:r w:rsidR="009F42CD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international et régional de protection contre le racisme et la discrimination et comment</w:t>
      </w:r>
      <w:r w:rsidR="00843940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les </w:t>
      </w:r>
      <w:r w:rsid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>MRDH</w:t>
      </w:r>
      <w:r w:rsidR="00843940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les</w:t>
      </w:r>
      <w:r w:rsid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mécanismes des Nations u</w:t>
      </w:r>
      <w:r w:rsidR="00843940" w:rsidRPr="00A84EE9">
        <w:rPr>
          <w:rFonts w:asciiTheme="majorBidi" w:hAnsiTheme="majorBidi" w:cstheme="majorBidi"/>
          <w:b/>
          <w:bCs/>
          <w:sz w:val="24"/>
          <w:szCs w:val="24"/>
          <w:lang w:val="fr-FR"/>
        </w:rPr>
        <w:t>nies coopèrent entre eux</w:t>
      </w:r>
      <w:r w:rsidR="00A84EE9">
        <w:rPr>
          <w:rFonts w:asciiTheme="majorBidi" w:hAnsiTheme="majorBidi" w:cstheme="majorBidi"/>
          <w:sz w:val="24"/>
          <w:szCs w:val="24"/>
          <w:lang w:val="fr-FR"/>
        </w:rPr>
        <w:t>, notamment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pour lutter contre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intolérance qui y est associée. Les participants 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>abonderont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le cadre normatif 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>international et régional relatif à la lutte contre le racisme</w:t>
      </w:r>
      <w:r w:rsidR="00B31FB0">
        <w:rPr>
          <w:rFonts w:asciiTheme="majorBidi" w:hAnsiTheme="majorBidi" w:cstheme="majorBidi"/>
          <w:sz w:val="24"/>
          <w:szCs w:val="24"/>
          <w:lang w:val="fr-FR"/>
        </w:rPr>
        <w:t xml:space="preserve"> ainsi que les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mécanismes tels que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>système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examen périodique universel,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les organes de</w:t>
      </w:r>
      <w:r w:rsidR="00F12C1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surveillance des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traités et les procédures spéciales.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domaines appelant une attention spécifique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pourraient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inclure les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informations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fournies par les </w:t>
      </w:r>
      <w:r w:rsidR="00B31FB0">
        <w:rPr>
          <w:rFonts w:asciiTheme="majorBidi" w:hAnsiTheme="majorBidi" w:cstheme="majorBidi"/>
          <w:sz w:val="24"/>
          <w:szCs w:val="24"/>
          <w:lang w:val="fr-FR"/>
        </w:rPr>
        <w:t>MRDH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E3560">
        <w:rPr>
          <w:rFonts w:asciiTheme="majorBidi" w:hAnsiTheme="majorBidi" w:cstheme="majorBidi"/>
          <w:sz w:val="24"/>
          <w:szCs w:val="24"/>
          <w:lang w:val="fr-FR"/>
        </w:rPr>
        <w:t>dans le cadre des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rapports des parties prenantes, ainsi que la coopération entre le HCDH et les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>MRDH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>en matière de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mise en œuvre par les États membres des recommandations pertinentes.</w:t>
      </w:r>
    </w:p>
    <w:p w14:paraId="0423EADF" w14:textId="77777777" w:rsidR="00FA7772" w:rsidRPr="007C1A09" w:rsidRDefault="00FA7772" w:rsidP="00FA7772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5950572" w14:textId="24648B55" w:rsidR="00E93656" w:rsidRPr="007C1A09" w:rsidRDefault="00843940" w:rsidP="007E4A7D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Un autre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>axe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serait de faire un </w:t>
      </w: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lien </w:t>
      </w:r>
      <w:r w:rsidR="003E3560">
        <w:rPr>
          <w:rFonts w:asciiTheme="majorBidi" w:hAnsiTheme="majorBidi" w:cstheme="majorBidi"/>
          <w:b/>
          <w:bCs/>
          <w:sz w:val="24"/>
          <w:szCs w:val="24"/>
          <w:lang w:val="fr-FR"/>
        </w:rPr>
        <w:t>crucial</w:t>
      </w: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entre le droit au développement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, le Programme 2030 et les objectifs de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développement durable, et la D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PA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le racisme. Les </w:t>
      </w:r>
      <w:r w:rsidR="00221EBF">
        <w:rPr>
          <w:rFonts w:asciiTheme="majorBidi" w:hAnsiTheme="majorBidi" w:cstheme="majorBidi"/>
          <w:sz w:val="24"/>
          <w:szCs w:val="24"/>
          <w:lang w:val="fr-FR"/>
        </w:rPr>
        <w:t>MRDH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>mèneraient une réflexion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21EBF">
        <w:rPr>
          <w:rFonts w:asciiTheme="majorBidi" w:hAnsiTheme="majorBidi" w:cstheme="majorBidi"/>
          <w:sz w:val="24"/>
          <w:szCs w:val="24"/>
          <w:lang w:val="fr-FR"/>
        </w:rPr>
        <w:t>sur</w:t>
      </w:r>
      <w:r w:rsidR="00FA7772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renforcement de la coopération a</w:t>
      </w:r>
      <w:r w:rsidR="00221EBF">
        <w:rPr>
          <w:rFonts w:asciiTheme="majorBidi" w:hAnsiTheme="majorBidi" w:cstheme="majorBidi"/>
          <w:sz w:val="24"/>
          <w:szCs w:val="24"/>
          <w:lang w:val="fr-FR"/>
        </w:rPr>
        <w:t>vec les mécanismes des Nations u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nies, la société civile et les </w:t>
      </w:r>
      <w:r w:rsidR="00221EBF">
        <w:rPr>
          <w:rFonts w:asciiTheme="majorBidi" w:hAnsiTheme="majorBidi" w:cstheme="majorBidi"/>
          <w:sz w:val="24"/>
          <w:szCs w:val="24"/>
          <w:lang w:val="fr-FR"/>
        </w:rPr>
        <w:t>INDH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dans ce domaine interdépendant, en vue de promouvoir un développement inclusif, équitable et durable pour tous, sans discrimination aucune.</w:t>
      </w:r>
    </w:p>
    <w:p w14:paraId="1C673FFD" w14:textId="77777777" w:rsidR="00E93656" w:rsidRPr="007C1A09" w:rsidRDefault="00E93656" w:rsidP="00E93656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76A2EE0" w14:textId="5600BAB1" w:rsidR="00843940" w:rsidRPr="00571DC3" w:rsidRDefault="00843940" w:rsidP="004E39C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</w:pPr>
      <w:r w:rsidRPr="00571DC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t xml:space="preserve">Groupes </w:t>
      </w:r>
      <w:r w:rsidR="00A10FF3" w:rsidRPr="00571DC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t>cibl</w:t>
      </w:r>
      <w:r w:rsidR="00571DC3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É</w:t>
      </w:r>
      <w:r w:rsidR="00A10FF3" w:rsidRPr="00571DC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t xml:space="preserve">s </w:t>
      </w:r>
    </w:p>
    <w:p w14:paraId="4B9A7C31" w14:textId="052F78D7" w:rsidR="00CC329C" w:rsidRPr="007C1A09" w:rsidRDefault="00843940" w:rsidP="00BB146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E93656" w:rsidRPr="007C1A09">
        <w:rPr>
          <w:rFonts w:asciiTheme="majorBidi" w:hAnsiTheme="majorBidi" w:cstheme="majorBidi"/>
          <w:sz w:val="24"/>
          <w:szCs w:val="24"/>
          <w:lang w:val="fr-FR"/>
        </w:rPr>
        <w:t>DPAD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adopte une approche axée sur les victimes pour résoudre les problèmes de racisme, de discrimination raciale, de xénophobie et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associée. Des recommandations spécifiques sont formulées pour lutter contre la discrimination à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égard des Africains et des personnes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ascendance africaine, des Asiatiques et des personnes </w:t>
      </w:r>
      <w:r w:rsidR="00E93656" w:rsidRPr="007C1A09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E93656" w:rsidRPr="007C1A09">
        <w:rPr>
          <w:rFonts w:asciiTheme="majorBidi" w:hAnsiTheme="majorBidi" w:cstheme="majorBidi"/>
          <w:sz w:val="24"/>
          <w:szCs w:val="24"/>
          <w:lang w:val="fr-FR"/>
        </w:rPr>
        <w:t>ascendance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asiatique, des peuples autochtones, des migrants, des réfugiés, des minorités, des Roms et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autres groupes marginalisés.</w:t>
      </w:r>
      <w:r w:rsidR="00E93656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 racisme institutionnel </w:t>
      </w:r>
      <w:r w:rsidR="002A05B1" w:rsidRPr="007C1A09">
        <w:rPr>
          <w:rFonts w:asciiTheme="majorBidi" w:hAnsiTheme="majorBidi" w:cstheme="majorBidi"/>
          <w:sz w:val="24"/>
          <w:szCs w:val="24"/>
          <w:lang w:val="fr-FR"/>
        </w:rPr>
        <w:t xml:space="preserve">qui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reste ancré dans les institutions et </w:t>
      </w:r>
      <w:r w:rsidR="002A05B1"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organes</w:t>
      </w:r>
      <w:r w:rsidR="002A05B1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des États peuvent être observé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dans </w:t>
      </w:r>
      <w:r w:rsidR="00A10FF3">
        <w:rPr>
          <w:rFonts w:asciiTheme="majorBidi" w:hAnsiTheme="majorBidi" w:cstheme="majorBidi"/>
          <w:sz w:val="24"/>
          <w:szCs w:val="24"/>
          <w:lang w:val="fr-FR"/>
        </w:rPr>
        <w:t xml:space="preserve">le domaine de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 xml:space="preserve">police 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>national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administration de la justice, y c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 xml:space="preserve">ompris dans les systèmes pénaux.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participants partageront des informations sur les violations des droits humains auxquelles ces groupes sont confrontés et échangeront les bonnes pratiques 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en matière de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législation</w:t>
      </w:r>
      <w:r w:rsidR="00BB1469" w:rsidRPr="00BB146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existante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, les politiques publ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iques et les programmes adoptés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susceptibles 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r w:rsidR="000248A4" w:rsidRPr="00BB1469">
        <w:rPr>
          <w:rFonts w:asciiTheme="majorBidi" w:hAnsiTheme="majorBidi" w:cstheme="majorBidi"/>
          <w:sz w:val="24"/>
          <w:szCs w:val="24"/>
          <w:lang w:val="fr-FR"/>
        </w:rPr>
        <w:t>favoriser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améliorer les conditions de vie de ces groupes, en particulier en ce qui concerne les droits sociaux, économiques et culturels</w:t>
      </w:r>
      <w:r w:rsidR="00BB1469">
        <w:rPr>
          <w:rFonts w:asciiTheme="majorBidi" w:hAnsiTheme="majorBidi" w:cstheme="majorBidi"/>
          <w:sz w:val="24"/>
          <w:szCs w:val="24"/>
          <w:lang w:val="fr-FR"/>
        </w:rPr>
        <w:t>, ainsi qu’en matière de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mi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>se en œuvre des recommandations émanant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du système international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</w:t>
      </w:r>
      <w:r w:rsidR="000248A4" w:rsidRPr="007C1A09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7C88463" w14:textId="2575ECE9" w:rsidR="00843940" w:rsidRPr="00571DC3" w:rsidRDefault="00843940" w:rsidP="004E39C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</w:pPr>
      <w:r w:rsidRPr="00571DC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t>M</w:t>
      </w:r>
      <w:r w:rsidR="00571DC3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É</w:t>
      </w:r>
      <w:bookmarkStart w:id="0" w:name="_GoBack"/>
      <w:bookmarkEnd w:id="0"/>
      <w:r w:rsidRPr="00571DC3"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  <w:t>canismes nationaux - promotion, protection, surveillance</w:t>
      </w:r>
    </w:p>
    <w:p w14:paraId="147F0BD6" w14:textId="07CB46D6" w:rsidR="00843940" w:rsidRPr="007C1A09" w:rsidRDefault="00CC329C" w:rsidP="00D7508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La D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PA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souligne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importance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une action préventive et concertée, en particulier dans le domaine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éducation et de la sensibilisation, et appelle au renforcement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éducation aux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homme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; </w:t>
      </w:r>
      <w:r w:rsidR="00671F81" w:rsidRPr="007C1A09">
        <w:rPr>
          <w:rFonts w:asciiTheme="majorBidi" w:hAnsiTheme="majorBidi" w:cstheme="majorBidi"/>
          <w:sz w:val="24"/>
          <w:szCs w:val="24"/>
          <w:lang w:val="fr-FR"/>
        </w:rPr>
        <w:t>à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671F81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adoption des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plans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action nationaux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exhaustifs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visant à éliminer le racisme, la discrimination raciale, la xénophobie et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intolérance qui y est associée.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Elle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appelle </w:t>
      </w:r>
      <w:r w:rsidR="00CD30C5" w:rsidRPr="007C1A09">
        <w:rPr>
          <w:rFonts w:asciiTheme="majorBidi" w:hAnsiTheme="majorBidi" w:cstheme="majorBidi"/>
          <w:sz w:val="24"/>
          <w:szCs w:val="24"/>
          <w:lang w:val="fr-FR"/>
        </w:rPr>
        <w:t xml:space="preserve">également 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au renforcement des institutions nationales et formule des recommandations concrètes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relatives à la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législation nationale et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administration de la justice.</w:t>
      </w:r>
    </w:p>
    <w:p w14:paraId="37756A04" w14:textId="31B0CD85" w:rsidR="00843940" w:rsidRPr="007C1A09" w:rsidRDefault="00843940" w:rsidP="00D7508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CD30C5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DPAD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présente en outre des mesures pour lutter contre la discrimination dans les domaines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emploi, de la santé,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de la police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et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éducation.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Elle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appelle les États à adopter des politiques et des programmes pour lutter contre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incitation à la haine raciale. 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>Elle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préconise la collecte de données ventilées, ainsi que des recherches supplémentaires, comme base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actions ciblées.</w:t>
      </w:r>
    </w:p>
    <w:p w14:paraId="3E6DD0B2" w14:textId="50CFD8F9" w:rsidR="00843940" w:rsidRPr="007C1A09" w:rsidRDefault="00843940" w:rsidP="00D9430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Ce panel se penchera sur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efficacité des mesures prises </w:t>
      </w:r>
      <w:r w:rsidR="00D94300" w:rsidRPr="007C1A09">
        <w:rPr>
          <w:rFonts w:asciiTheme="majorBidi" w:hAnsiTheme="majorBidi" w:cstheme="majorBidi"/>
          <w:sz w:val="24"/>
          <w:szCs w:val="24"/>
          <w:lang w:val="fr-FR"/>
        </w:rPr>
        <w:t>au niveau national en matière de</w:t>
      </w:r>
      <w:r w:rsidR="00D75087">
        <w:rPr>
          <w:rFonts w:asciiTheme="majorBidi" w:hAnsiTheme="majorBidi" w:cstheme="majorBidi"/>
          <w:sz w:val="24"/>
          <w:szCs w:val="24"/>
          <w:lang w:val="fr-FR"/>
        </w:rPr>
        <w:t xml:space="preserve"> lutte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contre le racisme, et exposera plus en détail les bonnes pratiques et les défis.</w:t>
      </w:r>
    </w:p>
    <w:p w14:paraId="15EC086B" w14:textId="5329F837" w:rsidR="00843940" w:rsidRPr="007C1A09" w:rsidRDefault="00D94300" w:rsidP="004E39C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V</w:t>
      </w:r>
      <w:r w:rsidR="0089127A"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OIES DE RECOURS </w:t>
      </w:r>
    </w:p>
    <w:p w14:paraId="2C58B1B7" w14:textId="5D486A95" w:rsidR="00843940" w:rsidRPr="007C1A09" w:rsidRDefault="00D94300" w:rsidP="00235F63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La D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PA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exhorte les États à adopter des mesures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action </w:t>
      </w:r>
      <w:r w:rsidR="00235F63" w:rsidRPr="007C1A09">
        <w:rPr>
          <w:rFonts w:asciiTheme="majorBidi" w:hAnsiTheme="majorBidi" w:cstheme="majorBidi"/>
          <w:sz w:val="24"/>
          <w:szCs w:val="24"/>
          <w:lang w:val="fr-FR"/>
        </w:rPr>
        <w:t>affirmative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 xml:space="preserve"> ou positive afin de créer des chances égales pour les victimes du racisme, de la discrimination raciale, de la xénophobie et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843940" w:rsidRPr="007C1A09">
        <w:rPr>
          <w:rFonts w:asciiTheme="majorBidi" w:hAnsiTheme="majorBidi" w:cstheme="majorBidi"/>
          <w:sz w:val="24"/>
          <w:szCs w:val="24"/>
          <w:lang w:val="fr-FR"/>
        </w:rPr>
        <w:t>intolérance qui y est associée dans les sphères décisionnelles politique, économique, sociale et culturelle.</w:t>
      </w:r>
    </w:p>
    <w:p w14:paraId="4DA26BA4" w14:textId="7EF06088" w:rsidR="00843940" w:rsidRPr="007C1A09" w:rsidRDefault="00843940" w:rsidP="00C2187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r w:rsidR="00235F63" w:rsidRPr="007C1A09">
        <w:rPr>
          <w:rFonts w:asciiTheme="majorBidi" w:hAnsiTheme="majorBidi" w:cstheme="majorBidi"/>
          <w:sz w:val="24"/>
          <w:szCs w:val="24"/>
          <w:lang w:val="fr-FR"/>
        </w:rPr>
        <w:t xml:space="preserve">DPAD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exhorte </w:t>
      </w:r>
      <w:r w:rsidR="00BB12D2">
        <w:rPr>
          <w:rFonts w:asciiTheme="majorBidi" w:hAnsiTheme="majorBidi" w:cstheme="majorBidi"/>
          <w:sz w:val="24"/>
          <w:szCs w:val="24"/>
          <w:lang w:val="fr-FR"/>
        </w:rPr>
        <w:t xml:space="preserve">également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gouvernements à mettre en place des recours </w:t>
      </w:r>
      <w:r w:rsidR="00235F63" w:rsidRPr="007C1A09">
        <w:rPr>
          <w:rFonts w:asciiTheme="majorBidi" w:hAnsiTheme="majorBidi" w:cstheme="majorBidi"/>
          <w:sz w:val="24"/>
          <w:szCs w:val="24"/>
          <w:lang w:val="fr-FR"/>
        </w:rPr>
        <w:t>efficaces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, des réparations et des mesures compensatoires pour les victimes et à faire en sorte que les victimes aient accès à une assistance juridique pour pouvoir </w:t>
      </w:r>
      <w:r w:rsidR="00002D11">
        <w:rPr>
          <w:rFonts w:asciiTheme="majorBidi" w:hAnsiTheme="majorBidi" w:cstheme="majorBidi"/>
          <w:sz w:val="24"/>
          <w:szCs w:val="24"/>
          <w:lang w:val="fr-FR"/>
        </w:rPr>
        <w:t>poursuivre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de telles mesures. </w:t>
      </w:r>
      <w:r w:rsidR="00002D11">
        <w:rPr>
          <w:rFonts w:asciiTheme="majorBidi" w:hAnsiTheme="majorBidi" w:cstheme="majorBidi"/>
          <w:sz w:val="24"/>
          <w:szCs w:val="24"/>
          <w:lang w:val="fr-FR"/>
        </w:rPr>
        <w:t>De plus, e</w:t>
      </w:r>
      <w:r w:rsidR="0089127A" w:rsidRPr="007C1A09">
        <w:rPr>
          <w:rFonts w:asciiTheme="majorBidi" w:hAnsiTheme="majorBidi" w:cstheme="majorBidi"/>
          <w:sz w:val="24"/>
          <w:szCs w:val="24"/>
          <w:lang w:val="fr-FR"/>
        </w:rPr>
        <w:t>lle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recommande la création d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organes nationaux compétents pour enquêter de manière </w:t>
      </w:r>
      <w:r w:rsidR="00002D11">
        <w:rPr>
          <w:rFonts w:asciiTheme="majorBidi" w:hAnsiTheme="majorBidi" w:cstheme="majorBidi"/>
          <w:sz w:val="24"/>
          <w:szCs w:val="24"/>
          <w:lang w:val="fr-FR"/>
        </w:rPr>
        <w:t>appropriée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sur le racisme.</w:t>
      </w:r>
    </w:p>
    <w:p w14:paraId="4B3CD785" w14:textId="7E9C8038" w:rsidR="00843940" w:rsidRPr="007C1A09" w:rsidRDefault="00843940" w:rsidP="00C2187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Les participants partageront leurs expériences, bonnes pratiques et défis </w:t>
      </w:r>
      <w:r w:rsidR="0089127A" w:rsidRPr="007C1A09">
        <w:rPr>
          <w:rFonts w:asciiTheme="majorBidi" w:hAnsiTheme="majorBidi" w:cstheme="majorBidi"/>
          <w:sz w:val="24"/>
          <w:szCs w:val="24"/>
          <w:lang w:val="fr-FR"/>
        </w:rPr>
        <w:t>dans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ce domaine </w:t>
      </w:r>
      <w:r w:rsidR="00C2187C" w:rsidRPr="00C2187C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C2187C">
        <w:rPr>
          <w:rFonts w:asciiTheme="majorBidi" w:hAnsiTheme="majorBidi" w:cstheme="majorBidi"/>
          <w:sz w:val="24"/>
          <w:szCs w:val="24"/>
          <w:lang w:val="fr-FR"/>
        </w:rPr>
        <w:t>discuteront la manière par laquelle</w:t>
      </w:r>
      <w:r w:rsidRPr="00C2187C">
        <w:rPr>
          <w:rFonts w:asciiTheme="majorBidi" w:hAnsiTheme="majorBidi" w:cstheme="majorBidi"/>
          <w:sz w:val="24"/>
          <w:szCs w:val="24"/>
          <w:lang w:val="fr-FR"/>
        </w:rPr>
        <w:t xml:space="preserve"> la coopération entre les mécanismes régionaux</w:t>
      </w:r>
      <w:r w:rsidR="00C2187C" w:rsidRPr="00C2187C">
        <w:rPr>
          <w:rFonts w:asciiTheme="majorBidi" w:hAnsiTheme="majorBidi" w:cstheme="majorBidi"/>
          <w:sz w:val="24"/>
          <w:szCs w:val="24"/>
          <w:lang w:val="fr-FR"/>
        </w:rPr>
        <w:t xml:space="preserve"> peut être renforcée</w:t>
      </w:r>
      <w:r w:rsidRPr="00C2187C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824E16E" w14:textId="0FED6AB3" w:rsidR="00843940" w:rsidRPr="007C1A09" w:rsidRDefault="00843940" w:rsidP="004E39C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b/>
          <w:bCs/>
          <w:sz w:val="24"/>
          <w:szCs w:val="24"/>
          <w:lang w:val="fr-FR"/>
        </w:rPr>
        <w:t>RÉSULTAT ESCOMPTÉ</w:t>
      </w:r>
    </w:p>
    <w:p w14:paraId="39E92A2E" w14:textId="4B6A30C5" w:rsidR="00843940" w:rsidRPr="007C1A09" w:rsidRDefault="00843940" w:rsidP="0089127A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C1A09">
        <w:rPr>
          <w:rFonts w:asciiTheme="majorBidi" w:hAnsiTheme="majorBidi" w:cstheme="majorBidi"/>
          <w:sz w:val="24"/>
          <w:szCs w:val="24"/>
          <w:lang w:val="fr-FR"/>
        </w:rPr>
        <w:t>Un rapport sur les recommandations visant à renforcer la coopération entre tous les mécanismes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homme sera </w:t>
      </w:r>
      <w:r w:rsidR="00713E2E">
        <w:rPr>
          <w:rFonts w:asciiTheme="majorBidi" w:hAnsiTheme="majorBidi" w:cstheme="majorBidi"/>
          <w:sz w:val="24"/>
          <w:szCs w:val="24"/>
          <w:lang w:val="fr-FR"/>
        </w:rPr>
        <w:t xml:space="preserve">élaboré et 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présenté aux États membres lors de la 43</w:t>
      </w:r>
      <w:r w:rsidRPr="007C1A09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 xml:space="preserve"> session du Conseil des droits de l</w:t>
      </w:r>
      <w:r w:rsidR="007C1A09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7C1A09">
        <w:rPr>
          <w:rFonts w:asciiTheme="majorBidi" w:hAnsiTheme="majorBidi" w:cstheme="majorBidi"/>
          <w:sz w:val="24"/>
          <w:szCs w:val="24"/>
          <w:lang w:val="fr-FR"/>
        </w:rPr>
        <w:t>homme en mars 2020.</w:t>
      </w:r>
    </w:p>
    <w:p w14:paraId="4103EBDF" w14:textId="77777777" w:rsidR="00843940" w:rsidRPr="007C1A09" w:rsidRDefault="00843940" w:rsidP="0084394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A005847" w14:textId="77777777" w:rsidR="0089127A" w:rsidRPr="007C1A09" w:rsidRDefault="0089127A" w:rsidP="0089127A">
      <w:pPr>
        <w:spacing w:after="0" w:line="276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7C1A09">
        <w:rPr>
          <w:rFonts w:asciiTheme="majorBidi" w:hAnsiTheme="majorBidi" w:cstheme="majorBidi"/>
          <w:sz w:val="24"/>
          <w:szCs w:val="24"/>
        </w:rPr>
        <w:t>******</w:t>
      </w:r>
    </w:p>
    <w:p w14:paraId="11E92755" w14:textId="77777777" w:rsidR="009F42CD" w:rsidRPr="007C1A09" w:rsidRDefault="009F42CD" w:rsidP="0061324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9F42CD" w:rsidRPr="007C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9671" w14:textId="77777777" w:rsidR="00F67DA4" w:rsidRDefault="00F67DA4" w:rsidP="000958DF">
      <w:pPr>
        <w:spacing w:after="0" w:line="240" w:lineRule="auto"/>
      </w:pPr>
      <w:r>
        <w:separator/>
      </w:r>
    </w:p>
  </w:endnote>
  <w:endnote w:type="continuationSeparator" w:id="0">
    <w:p w14:paraId="334D137B" w14:textId="77777777" w:rsidR="00F67DA4" w:rsidRDefault="00F67DA4" w:rsidP="0009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B36E" w14:textId="77777777" w:rsidR="00F67DA4" w:rsidRDefault="00F67DA4" w:rsidP="000958DF">
      <w:pPr>
        <w:spacing w:after="0" w:line="240" w:lineRule="auto"/>
      </w:pPr>
      <w:r>
        <w:separator/>
      </w:r>
    </w:p>
  </w:footnote>
  <w:footnote w:type="continuationSeparator" w:id="0">
    <w:p w14:paraId="04F43456" w14:textId="77777777" w:rsidR="00F67DA4" w:rsidRDefault="00F67DA4" w:rsidP="000958DF">
      <w:pPr>
        <w:spacing w:after="0" w:line="240" w:lineRule="auto"/>
      </w:pPr>
      <w:r>
        <w:continuationSeparator/>
      </w:r>
    </w:p>
  </w:footnote>
  <w:footnote w:id="1">
    <w:p w14:paraId="5D14DAB7" w14:textId="304E1DA4" w:rsidR="00613244" w:rsidRPr="0016099B" w:rsidRDefault="00613244" w:rsidP="0016099B">
      <w:pPr>
        <w:pStyle w:val="FootnoteText"/>
        <w:rPr>
          <w:lang w:val="fr-FR"/>
        </w:rPr>
      </w:pPr>
      <w:r w:rsidRPr="0016099B">
        <w:rPr>
          <w:rStyle w:val="FootnoteReference"/>
        </w:rPr>
        <w:footnoteRef/>
      </w:r>
      <w:r w:rsidRPr="0016099B">
        <w:rPr>
          <w:lang w:val="fr-FR"/>
        </w:rPr>
        <w:t xml:space="preserve"> </w:t>
      </w:r>
      <w:r w:rsidR="0016099B" w:rsidRPr="0016099B">
        <w:rPr>
          <w:sz w:val="18"/>
          <w:szCs w:val="18"/>
          <w:lang w:val="fr-FR"/>
        </w:rPr>
        <w:t>Voir</w:t>
      </w:r>
      <w:r w:rsidR="0016099B">
        <w:rPr>
          <w:sz w:val="18"/>
          <w:szCs w:val="18"/>
          <w:lang w:val="fr-FR"/>
        </w:rPr>
        <w:t xml:space="preserve"> les</w:t>
      </w:r>
      <w:r w:rsidR="0016099B" w:rsidRPr="0016099B">
        <w:rPr>
          <w:sz w:val="18"/>
          <w:szCs w:val="18"/>
          <w:lang w:val="fr-FR"/>
        </w:rPr>
        <w:t xml:space="preserve"> résolution</w:t>
      </w:r>
      <w:r w:rsidR="0016099B">
        <w:rPr>
          <w:sz w:val="18"/>
          <w:szCs w:val="18"/>
          <w:lang w:val="fr-FR"/>
        </w:rPr>
        <w:t>s et les décisions des Nations u</w:t>
      </w:r>
      <w:r w:rsidR="0016099B" w:rsidRPr="0016099B">
        <w:rPr>
          <w:sz w:val="18"/>
          <w:szCs w:val="18"/>
          <w:lang w:val="fr-FR"/>
        </w:rPr>
        <w:t>nies</w:t>
      </w:r>
      <w:r w:rsidR="0016099B">
        <w:rPr>
          <w:sz w:val="18"/>
          <w:szCs w:val="18"/>
          <w:lang w:val="fr-FR"/>
        </w:rPr>
        <w:t> : (A/HRC/RES/6/20 de 2007; A/HRC/RES/12/15 de 2009; A/HRC/RES/18/14 en date du 29 septembre 2011; A/</w:t>
      </w:r>
      <w:r w:rsidR="0016099B" w:rsidRPr="0016099B">
        <w:rPr>
          <w:sz w:val="18"/>
          <w:szCs w:val="18"/>
          <w:lang w:val="fr-FR"/>
        </w:rPr>
        <w:t>HR</w:t>
      </w:r>
      <w:r w:rsidR="0016099B">
        <w:rPr>
          <w:sz w:val="18"/>
          <w:szCs w:val="18"/>
          <w:lang w:val="fr-FR"/>
        </w:rPr>
        <w:t>C/RES/</w:t>
      </w:r>
      <w:r w:rsidR="0016099B" w:rsidRPr="0016099B">
        <w:rPr>
          <w:sz w:val="18"/>
          <w:szCs w:val="18"/>
          <w:lang w:val="fr-FR"/>
        </w:rPr>
        <w:t xml:space="preserve">24/19 </w:t>
      </w:r>
      <w:r w:rsidR="0016099B">
        <w:rPr>
          <w:sz w:val="18"/>
          <w:szCs w:val="18"/>
          <w:lang w:val="fr-FR"/>
        </w:rPr>
        <w:t>en date du</w:t>
      </w:r>
      <w:r w:rsidR="0016099B" w:rsidRPr="0016099B">
        <w:rPr>
          <w:sz w:val="18"/>
          <w:szCs w:val="18"/>
          <w:lang w:val="fr-FR"/>
        </w:rPr>
        <w:t xml:space="preserve"> 8 Octobre 2013</w:t>
      </w:r>
      <w:r w:rsidR="0016099B">
        <w:rPr>
          <w:sz w:val="18"/>
          <w:szCs w:val="18"/>
          <w:lang w:val="fr-FR"/>
        </w:rPr>
        <w:t>)</w:t>
      </w:r>
      <w:r w:rsidR="0016099B" w:rsidRPr="0016099B">
        <w:rPr>
          <w:sz w:val="18"/>
          <w:szCs w:val="18"/>
          <w:lang w:val="fr-FR"/>
        </w:rPr>
        <w:t>.</w:t>
      </w:r>
    </w:p>
  </w:footnote>
  <w:footnote w:id="2">
    <w:p w14:paraId="7B63D49F" w14:textId="5807C4B7" w:rsidR="00C171B7" w:rsidRPr="003D7759" w:rsidRDefault="00C171B7" w:rsidP="00CE538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D7759">
        <w:rPr>
          <w:lang w:val="fr-FR"/>
        </w:rPr>
        <w:t xml:space="preserve"> </w:t>
      </w:r>
      <w:r w:rsidR="00B13ADA" w:rsidRPr="003D7759">
        <w:rPr>
          <w:lang w:val="fr-FR"/>
        </w:rPr>
        <w:t>HRC/RES/34/17</w:t>
      </w:r>
    </w:p>
  </w:footnote>
  <w:footnote w:id="3">
    <w:p w14:paraId="67E074CD" w14:textId="0493FC21" w:rsidR="00CF1018" w:rsidRPr="00CF1018" w:rsidRDefault="00CF1018" w:rsidP="00CF101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CE5386">
        <w:rPr>
          <w:lang w:val="fr-FR"/>
        </w:rPr>
        <w:t xml:space="preserve"> Voir Résolutions :</w:t>
      </w:r>
      <w:r w:rsidRPr="00CF1018">
        <w:rPr>
          <w:lang w:val="fr-FR"/>
        </w:rPr>
        <w:t xml:space="preserve">  http://www.un.org/en/durbanreview2009/resolutions.shtml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ED"/>
    <w:multiLevelType w:val="hybridMultilevel"/>
    <w:tmpl w:val="F0685940"/>
    <w:lvl w:ilvl="0" w:tplc="956C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3F4"/>
    <w:multiLevelType w:val="hybridMultilevel"/>
    <w:tmpl w:val="DC6EF572"/>
    <w:lvl w:ilvl="0" w:tplc="664E3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58"/>
    <w:multiLevelType w:val="hybridMultilevel"/>
    <w:tmpl w:val="87BA6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901"/>
    <w:multiLevelType w:val="hybridMultilevel"/>
    <w:tmpl w:val="D2FE1A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29BB"/>
    <w:multiLevelType w:val="hybridMultilevel"/>
    <w:tmpl w:val="F1D4EFD8"/>
    <w:lvl w:ilvl="0" w:tplc="12DE2FD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B2AF6"/>
    <w:multiLevelType w:val="hybridMultilevel"/>
    <w:tmpl w:val="E01A0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B3F"/>
    <w:multiLevelType w:val="hybridMultilevel"/>
    <w:tmpl w:val="6AB407B8"/>
    <w:lvl w:ilvl="0" w:tplc="91923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2183D"/>
    <w:multiLevelType w:val="hybridMultilevel"/>
    <w:tmpl w:val="AA306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284C"/>
    <w:multiLevelType w:val="hybridMultilevel"/>
    <w:tmpl w:val="381CD4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79A8"/>
    <w:multiLevelType w:val="hybridMultilevel"/>
    <w:tmpl w:val="575E0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91315F"/>
    <w:multiLevelType w:val="hybridMultilevel"/>
    <w:tmpl w:val="6A42E420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33333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621DB"/>
    <w:multiLevelType w:val="hybridMultilevel"/>
    <w:tmpl w:val="7630AA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84B82"/>
    <w:multiLevelType w:val="hybridMultilevel"/>
    <w:tmpl w:val="E1EA7102"/>
    <w:lvl w:ilvl="0" w:tplc="8E74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0199"/>
    <w:multiLevelType w:val="hybridMultilevel"/>
    <w:tmpl w:val="6BA407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F"/>
    <w:rsid w:val="00002D11"/>
    <w:rsid w:val="000248A4"/>
    <w:rsid w:val="00081B78"/>
    <w:rsid w:val="000958DF"/>
    <w:rsid w:val="000C77BF"/>
    <w:rsid w:val="0016099B"/>
    <w:rsid w:val="001A60C0"/>
    <w:rsid w:val="00221EBF"/>
    <w:rsid w:val="00235F63"/>
    <w:rsid w:val="0025454C"/>
    <w:rsid w:val="0027706E"/>
    <w:rsid w:val="002A05B1"/>
    <w:rsid w:val="002A07CA"/>
    <w:rsid w:val="002B7301"/>
    <w:rsid w:val="002D3BFC"/>
    <w:rsid w:val="002E3150"/>
    <w:rsid w:val="002F729C"/>
    <w:rsid w:val="00357AA6"/>
    <w:rsid w:val="00390A0C"/>
    <w:rsid w:val="003D7759"/>
    <w:rsid w:val="003E3560"/>
    <w:rsid w:val="00443662"/>
    <w:rsid w:val="004529E3"/>
    <w:rsid w:val="004D5DBC"/>
    <w:rsid w:val="004E39CC"/>
    <w:rsid w:val="00513875"/>
    <w:rsid w:val="005249D2"/>
    <w:rsid w:val="005606BC"/>
    <w:rsid w:val="00571DC3"/>
    <w:rsid w:val="00583702"/>
    <w:rsid w:val="00613244"/>
    <w:rsid w:val="006650F8"/>
    <w:rsid w:val="00671F81"/>
    <w:rsid w:val="0068345B"/>
    <w:rsid w:val="006B344C"/>
    <w:rsid w:val="006C6619"/>
    <w:rsid w:val="00713E2E"/>
    <w:rsid w:val="007C1A09"/>
    <w:rsid w:val="007E4A7D"/>
    <w:rsid w:val="008343EA"/>
    <w:rsid w:val="00843940"/>
    <w:rsid w:val="0089127A"/>
    <w:rsid w:val="008F2A73"/>
    <w:rsid w:val="0091401A"/>
    <w:rsid w:val="00927A18"/>
    <w:rsid w:val="0093190E"/>
    <w:rsid w:val="009A6153"/>
    <w:rsid w:val="009A6C0E"/>
    <w:rsid w:val="009F3D30"/>
    <w:rsid w:val="009F42CD"/>
    <w:rsid w:val="00A10FF3"/>
    <w:rsid w:val="00A83D98"/>
    <w:rsid w:val="00A84EE9"/>
    <w:rsid w:val="00A8779F"/>
    <w:rsid w:val="00AA4AA1"/>
    <w:rsid w:val="00B13ADA"/>
    <w:rsid w:val="00B14A82"/>
    <w:rsid w:val="00B31FB0"/>
    <w:rsid w:val="00B474BA"/>
    <w:rsid w:val="00B53957"/>
    <w:rsid w:val="00B76224"/>
    <w:rsid w:val="00BA0349"/>
    <w:rsid w:val="00BB12D2"/>
    <w:rsid w:val="00BB1469"/>
    <w:rsid w:val="00C171B7"/>
    <w:rsid w:val="00C2187C"/>
    <w:rsid w:val="00C50933"/>
    <w:rsid w:val="00C83448"/>
    <w:rsid w:val="00CA7A18"/>
    <w:rsid w:val="00CC329C"/>
    <w:rsid w:val="00CD30C5"/>
    <w:rsid w:val="00CE5386"/>
    <w:rsid w:val="00CF1018"/>
    <w:rsid w:val="00D258E2"/>
    <w:rsid w:val="00D75087"/>
    <w:rsid w:val="00D94300"/>
    <w:rsid w:val="00DF0E25"/>
    <w:rsid w:val="00DF19F5"/>
    <w:rsid w:val="00E54C76"/>
    <w:rsid w:val="00E931FD"/>
    <w:rsid w:val="00E93656"/>
    <w:rsid w:val="00EF2AD1"/>
    <w:rsid w:val="00F12C12"/>
    <w:rsid w:val="00F12D14"/>
    <w:rsid w:val="00F20A89"/>
    <w:rsid w:val="00F67DA4"/>
    <w:rsid w:val="00FA58E0"/>
    <w:rsid w:val="00FA7772"/>
    <w:rsid w:val="00FD759C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DB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D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95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8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958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58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58D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C2C95-ECCD-42CE-B0B0-90DC3F313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87F96-1EB7-42CF-90BA-49DE2B3A0735}"/>
</file>

<file path=customXml/itemProps3.xml><?xml version="1.0" encoding="utf-8"?>
<ds:datastoreItem xmlns:ds="http://schemas.openxmlformats.org/officeDocument/2006/customXml" ds:itemID="{9951167D-2AF5-4158-8A9D-2B741E0590C4}"/>
</file>

<file path=customXml/itemProps4.xml><?xml version="1.0" encoding="utf-8"?>
<ds:datastoreItem xmlns:ds="http://schemas.openxmlformats.org/officeDocument/2006/customXml" ds:itemID="{63608B07-2A2E-4042-B4AB-0F724BE98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khadiga hafez</dc:creator>
  <cp:keywords/>
  <dc:description/>
  <cp:lastModifiedBy>GUERRERO-AGBAYANI Cynthia</cp:lastModifiedBy>
  <cp:revision>2</cp:revision>
  <dcterms:created xsi:type="dcterms:W3CDTF">2019-10-17T14:35:00Z</dcterms:created>
  <dcterms:modified xsi:type="dcterms:W3CDTF">2019-10-17T14:35:00Z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