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440E" w14:textId="4E4F746A" w:rsidR="00B73FD1" w:rsidRPr="008C2C68" w:rsidRDefault="00A22A44" w:rsidP="00B73FD1">
      <w:pPr>
        <w:jc w:val="center"/>
        <w:rPr>
          <w:b/>
          <w:bCs/>
          <w:noProof/>
        </w:rPr>
      </w:pPr>
      <w:r w:rsidRPr="008C2C68">
        <w:rPr>
          <w:b/>
          <w:bCs/>
          <w:noProof/>
        </w:rPr>
        <w:t xml:space="preserve">Mandate of the </w:t>
      </w:r>
      <w:r w:rsidR="00117F5F" w:rsidRPr="008C2C68">
        <w:rPr>
          <w:b/>
          <w:bCs/>
          <w:noProof/>
        </w:rPr>
        <w:t xml:space="preserve">Special Rapporteur on </w:t>
      </w:r>
      <w:r w:rsidR="00716707" w:rsidRPr="008C2C68">
        <w:rPr>
          <w:b/>
          <w:bCs/>
          <w:noProof/>
        </w:rPr>
        <w:t>the issue of human rights obligations relating to the enjoyment of a safe, clean, healthy and sustainable environment</w:t>
      </w:r>
    </w:p>
    <w:p w14:paraId="5931DAA7" w14:textId="77777777" w:rsidR="00716707" w:rsidRPr="008C2C68" w:rsidRDefault="00716707" w:rsidP="00B73FD1">
      <w:pPr>
        <w:jc w:val="center"/>
        <w:rPr>
          <w:b/>
          <w:bCs/>
        </w:rPr>
      </w:pPr>
    </w:p>
    <w:p w14:paraId="3FA92B81" w14:textId="54B157E8" w:rsidR="008F57BD" w:rsidRDefault="008F57BD" w:rsidP="000050BA">
      <w:pPr>
        <w:pStyle w:val="Default"/>
        <w:jc w:val="center"/>
        <w:rPr>
          <w:bCs/>
          <w:noProof/>
        </w:rPr>
      </w:pPr>
    </w:p>
    <w:p w14:paraId="767B4A75" w14:textId="57F6DD10" w:rsidR="000050BA" w:rsidRPr="008C2C68" w:rsidRDefault="000050BA" w:rsidP="000050BA">
      <w:pPr>
        <w:pStyle w:val="Default"/>
        <w:jc w:val="center"/>
        <w:rPr>
          <w:b/>
        </w:rPr>
      </w:pPr>
      <w:r w:rsidRPr="008C2C68">
        <w:rPr>
          <w:b/>
        </w:rPr>
        <w:t>Call for Inputs</w:t>
      </w:r>
    </w:p>
    <w:p w14:paraId="0C9EA17D" w14:textId="21578935" w:rsidR="000050BA" w:rsidRPr="008C2C68" w:rsidRDefault="000050BA" w:rsidP="000050BA">
      <w:pPr>
        <w:pStyle w:val="Default"/>
        <w:jc w:val="center"/>
        <w:rPr>
          <w:b/>
        </w:rPr>
      </w:pPr>
    </w:p>
    <w:p w14:paraId="3CA5FEC5" w14:textId="77777777" w:rsidR="000050BA" w:rsidRPr="008C2C68" w:rsidRDefault="000050BA" w:rsidP="000050BA">
      <w:pPr>
        <w:pStyle w:val="Default"/>
        <w:jc w:val="center"/>
        <w:rPr>
          <w:b/>
        </w:rPr>
      </w:pPr>
      <w:r w:rsidRPr="008C2C68">
        <w:rPr>
          <w:b/>
        </w:rPr>
        <w:t xml:space="preserve">Healthy Ecosystems and Human Rights: Sustaining the Foundations of Life </w:t>
      </w:r>
    </w:p>
    <w:p w14:paraId="472B948C" w14:textId="77777777" w:rsidR="000050BA" w:rsidRPr="008C2C68" w:rsidRDefault="000050BA" w:rsidP="000050BA">
      <w:pPr>
        <w:pStyle w:val="Default"/>
      </w:pPr>
    </w:p>
    <w:p w14:paraId="6DEE958D" w14:textId="77777777" w:rsidR="000050BA" w:rsidRPr="008C2C68" w:rsidRDefault="000050BA" w:rsidP="000050BA">
      <w:pPr>
        <w:widowControl w:val="0"/>
        <w:autoSpaceDE w:val="0"/>
        <w:autoSpaceDN w:val="0"/>
        <w:adjustRightInd w:val="0"/>
        <w:ind w:left="720"/>
        <w:rPr>
          <w:bCs/>
          <w:color w:val="000000"/>
          <w:sz w:val="24"/>
          <w:szCs w:val="24"/>
        </w:rPr>
      </w:pPr>
      <w:r w:rsidRPr="008C2C68">
        <w:rPr>
          <w:bCs/>
          <w:color w:val="000000"/>
          <w:sz w:val="24"/>
          <w:szCs w:val="24"/>
        </w:rPr>
        <w:t xml:space="preserve">“Goals for conserving and sustainably using nature and achieving sustainability cannot be met by current trajectories, and goals for 2030 and beyond may only be achieved through </w:t>
      </w:r>
      <w:r w:rsidRPr="008C2C68">
        <w:rPr>
          <w:bCs/>
          <w:color w:val="000000"/>
          <w:sz w:val="24"/>
          <w:szCs w:val="24"/>
          <w:u w:val="single"/>
        </w:rPr>
        <w:t>transformative</w:t>
      </w:r>
      <w:r w:rsidRPr="008C2C68">
        <w:rPr>
          <w:bCs/>
          <w:color w:val="000000"/>
          <w:position w:val="10"/>
          <w:sz w:val="24"/>
          <w:szCs w:val="24"/>
          <w:u w:val="single"/>
        </w:rPr>
        <w:t xml:space="preserve"> </w:t>
      </w:r>
      <w:r w:rsidRPr="008C2C68">
        <w:rPr>
          <w:bCs/>
          <w:color w:val="000000"/>
          <w:sz w:val="24"/>
          <w:szCs w:val="24"/>
          <w:u w:val="single"/>
        </w:rPr>
        <w:t>changes</w:t>
      </w:r>
      <w:r w:rsidRPr="008C2C68">
        <w:rPr>
          <w:bCs/>
          <w:color w:val="000000"/>
          <w:sz w:val="24"/>
          <w:szCs w:val="24"/>
        </w:rPr>
        <w:t xml:space="preserve"> across economic, social, political and technological factors.” </w:t>
      </w:r>
    </w:p>
    <w:p w14:paraId="3CA8587D" w14:textId="77777777" w:rsidR="000050BA" w:rsidRPr="008C2C68" w:rsidRDefault="000050BA" w:rsidP="000050BA">
      <w:pPr>
        <w:widowControl w:val="0"/>
        <w:autoSpaceDE w:val="0"/>
        <w:autoSpaceDN w:val="0"/>
        <w:adjustRightInd w:val="0"/>
        <w:ind w:left="1440"/>
        <w:rPr>
          <w:sz w:val="24"/>
          <w:szCs w:val="24"/>
        </w:rPr>
      </w:pPr>
    </w:p>
    <w:p w14:paraId="74EC2221" w14:textId="77777777" w:rsidR="000050BA" w:rsidRPr="008C2C68" w:rsidRDefault="000050BA" w:rsidP="000050BA">
      <w:pPr>
        <w:widowControl w:val="0"/>
        <w:autoSpaceDE w:val="0"/>
        <w:autoSpaceDN w:val="0"/>
        <w:adjustRightInd w:val="0"/>
        <w:ind w:left="1440"/>
        <w:rPr>
          <w:i/>
          <w:color w:val="000000"/>
          <w:sz w:val="24"/>
          <w:szCs w:val="24"/>
        </w:rPr>
      </w:pPr>
      <w:r w:rsidRPr="008C2C68">
        <w:rPr>
          <w:i/>
          <w:sz w:val="24"/>
          <w:szCs w:val="24"/>
        </w:rPr>
        <w:t xml:space="preserve">Intergovernmental Science-Policy Platform on Biodiversity and Ecosystem Services. 2019. </w:t>
      </w:r>
      <w:r w:rsidRPr="008C2C68">
        <w:rPr>
          <w:bCs/>
          <w:i/>
          <w:color w:val="000000"/>
          <w:sz w:val="24"/>
          <w:szCs w:val="24"/>
        </w:rPr>
        <w:t xml:space="preserve">“Summary for policymakers of the global assessment report on biodiversity and ecosystem services.” </w:t>
      </w:r>
    </w:p>
    <w:p w14:paraId="21E63903" w14:textId="77777777" w:rsidR="000050BA" w:rsidRPr="008C2C68" w:rsidRDefault="000050BA" w:rsidP="000050BA">
      <w:pPr>
        <w:pStyle w:val="Default"/>
      </w:pPr>
    </w:p>
    <w:p w14:paraId="1825E6A8" w14:textId="77777777" w:rsidR="000050BA" w:rsidRPr="008C2C68" w:rsidRDefault="000050BA" w:rsidP="000050BA">
      <w:pPr>
        <w:pStyle w:val="Default"/>
      </w:pPr>
      <w:r w:rsidRPr="008C2C68">
        <w:t xml:space="preserve">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w:t>
      </w:r>
      <w:r w:rsidRPr="008C2C68">
        <w:lastRenderedPageBreak/>
        <w:t>clean air,</w:t>
      </w:r>
      <w:r w:rsidRPr="008C2C68">
        <w:rPr>
          <w:rStyle w:val="FootnoteReference"/>
        </w:rPr>
        <w:footnoteReference w:id="1"/>
      </w:r>
      <w:r w:rsidRPr="008C2C68">
        <w:t xml:space="preserve"> a safe climate,</w:t>
      </w:r>
      <w:r w:rsidRPr="008C2C68">
        <w:rPr>
          <w:rStyle w:val="FootnoteReference"/>
        </w:rPr>
        <w:footnoteReference w:id="2"/>
      </w:r>
      <w:r w:rsidRPr="008C2C68">
        <w:t xml:space="preserve"> and good practices on the promotion and implementation of the right to a safe, clean, healthy and sustainable environment.</w:t>
      </w:r>
      <w:r w:rsidRPr="008C2C68">
        <w:rPr>
          <w:rStyle w:val="FootnoteReference"/>
        </w:rPr>
        <w:footnoteReference w:id="3"/>
      </w:r>
      <w:r w:rsidRPr="008C2C68">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14:paraId="010E8836" w14:textId="77777777" w:rsidR="000050BA" w:rsidRPr="008C2C68" w:rsidRDefault="000050BA" w:rsidP="000050BA">
      <w:pPr>
        <w:pStyle w:val="Default"/>
      </w:pPr>
    </w:p>
    <w:p w14:paraId="258C368B" w14:textId="77777777" w:rsidR="000050BA" w:rsidRPr="008C2C68" w:rsidRDefault="000050BA" w:rsidP="000050BA">
      <w:pPr>
        <w:pStyle w:val="Default"/>
      </w:pPr>
      <w:r w:rsidRPr="008C2C68">
        <w:t xml:space="preserve">Your replies will inform the Special Rapporteur’s analysis and contribute to his report, which will be presented to the General Assembly in October 2020. </w:t>
      </w:r>
    </w:p>
    <w:p w14:paraId="0F152B72" w14:textId="77777777" w:rsidR="000050BA" w:rsidRPr="008C2C68" w:rsidRDefault="000050BA" w:rsidP="000050BA">
      <w:pPr>
        <w:pStyle w:val="Default"/>
      </w:pPr>
    </w:p>
    <w:p w14:paraId="3A307531" w14:textId="77777777" w:rsidR="000050BA" w:rsidRPr="008C2C68" w:rsidRDefault="000050BA" w:rsidP="000050BA">
      <w:pPr>
        <w:pStyle w:val="Default"/>
        <w:jc w:val="center"/>
      </w:pPr>
      <w:r w:rsidRPr="008C2C68">
        <w:rPr>
          <w:b/>
          <w:bCs/>
        </w:rPr>
        <w:t>Questionnaire</w:t>
      </w:r>
    </w:p>
    <w:p w14:paraId="700CA08B" w14:textId="77777777" w:rsidR="000050BA" w:rsidRPr="008C2C68" w:rsidRDefault="000050BA" w:rsidP="000050BA">
      <w:pPr>
        <w:pStyle w:val="Default"/>
      </w:pPr>
      <w:r w:rsidRPr="008C2C68">
        <w:t xml:space="preserve">The Special Rapporteur invites and welcomes your answers to the following questions: </w:t>
      </w:r>
    </w:p>
    <w:p w14:paraId="2F77DE72" w14:textId="77777777" w:rsidR="000050BA" w:rsidRPr="008C2C68" w:rsidRDefault="000050BA" w:rsidP="000050BA">
      <w:pPr>
        <w:pStyle w:val="Default"/>
      </w:pPr>
    </w:p>
    <w:p w14:paraId="249D8F43" w14:textId="77777777" w:rsidR="000050BA" w:rsidRPr="008C2C68" w:rsidRDefault="000050BA" w:rsidP="000050BA">
      <w:pPr>
        <w:pStyle w:val="Default"/>
      </w:pPr>
      <w:r w:rsidRPr="008C2C68">
        <w:t xml:space="preserve">1. Please provide examples of ways in which declining biodiversity and degraded ecosystems are already having </w:t>
      </w:r>
      <w:r w:rsidRPr="008C2C68">
        <w:rPr>
          <w:u w:val="single"/>
        </w:rPr>
        <w:t>adverse impacts on human rights</w:t>
      </w:r>
      <w:r w:rsidRPr="008C2C68">
        <w:t>. Adversely affected rights could include, among others, the rights to life, health, water, food, culture, non-discrimination, a safe, clean, healthy and sustainable environment, and Indigenous rights.</w:t>
      </w:r>
    </w:p>
    <w:p w14:paraId="4B8DBAA1" w14:textId="77777777" w:rsidR="000050BA" w:rsidRPr="008C2C68" w:rsidRDefault="000050BA" w:rsidP="000050BA">
      <w:pPr>
        <w:pStyle w:val="Default"/>
      </w:pPr>
    </w:p>
    <w:p w14:paraId="173DA2A9" w14:textId="77777777" w:rsidR="000050BA" w:rsidRPr="008C2C68" w:rsidRDefault="000050BA" w:rsidP="000050BA">
      <w:pPr>
        <w:pStyle w:val="Default"/>
      </w:pPr>
      <w:r w:rsidRPr="008C2C68">
        <w:t xml:space="preserve">2. To protect a wide range of human rights, what are the </w:t>
      </w:r>
      <w:r w:rsidRPr="008C2C68">
        <w:rPr>
          <w:u w:val="single"/>
        </w:rPr>
        <w:t>specific obligations</w:t>
      </w:r>
      <w:r w:rsidRPr="008C2C68">
        <w:t xml:space="preserve"> of States and responsibilities of businesses in terms of addressing the main direct drivers of harm to biodiversity and eco</w:t>
      </w:r>
      <w:r w:rsidRPr="008C2C68">
        <w:lastRenderedPageBreak/>
        <w:t>systems (e.g. land conversion, loss and degradation of habitat, climate change, overexploitation, pollution, invasive species) and the indirect drivers (unsustainable production and consumption, rapid human population growth, trade, conflict and inequality)?</w:t>
      </w:r>
    </w:p>
    <w:p w14:paraId="3295DDA6" w14:textId="77777777" w:rsidR="000050BA" w:rsidRPr="008C2C68" w:rsidRDefault="000050BA" w:rsidP="000050BA">
      <w:pPr>
        <w:pStyle w:val="Default"/>
      </w:pPr>
    </w:p>
    <w:p w14:paraId="3A65023F" w14:textId="77777777" w:rsidR="000050BA" w:rsidRPr="008C2C68" w:rsidRDefault="000050BA" w:rsidP="000050BA">
      <w:pPr>
        <w:pStyle w:val="Default"/>
      </w:pPr>
      <w:r w:rsidRPr="008C2C68">
        <w:t xml:space="preserve">3. Please provide specific examples of constitutional provisions, legislation, regulations, policies, programs or other measures that employ a </w:t>
      </w:r>
      <w:r w:rsidRPr="008C2C68">
        <w:rPr>
          <w:u w:val="single"/>
        </w:rPr>
        <w:t>rights-based approach</w:t>
      </w:r>
      <w:r w:rsidRPr="008C2C68">
        <w:t xml:space="preserve"> to prevent, reduce, or eliminate harm to biodiversity and ecosystems or to restore and rehabilitate biodiversity and ecosystems. </w:t>
      </w:r>
    </w:p>
    <w:p w14:paraId="5013F5AA" w14:textId="77777777" w:rsidR="000050BA" w:rsidRPr="008C2C68" w:rsidRDefault="000050BA" w:rsidP="000050BA">
      <w:pPr>
        <w:pStyle w:val="Default"/>
      </w:pPr>
    </w:p>
    <w:p w14:paraId="28C45F3D" w14:textId="77777777" w:rsidR="000050BA" w:rsidRPr="008C2C68" w:rsidRDefault="000050BA" w:rsidP="000050BA">
      <w:pPr>
        <w:pStyle w:val="Default"/>
      </w:pPr>
      <w:r w:rsidRPr="008C2C68">
        <w:t>4. If your State is one of the 156 UN Member States that recognizes the right to a safe, clean, healthy and sustainable environment,</w:t>
      </w:r>
      <w:r w:rsidRPr="008C2C68">
        <w:rPr>
          <w:rStyle w:val="FootnoteReference"/>
        </w:rPr>
        <w:footnoteReference w:id="4"/>
      </w:r>
      <w:r w:rsidRPr="008C2C68">
        <w:t xml:space="preserve"> has this right contributed to protecting, conserving and restoring biodiversity and healthy ecosystems? If so, how? If not, why not?</w:t>
      </w:r>
    </w:p>
    <w:p w14:paraId="108670E5" w14:textId="77777777" w:rsidR="000050BA" w:rsidRPr="008C2C68" w:rsidRDefault="000050BA" w:rsidP="000050BA">
      <w:pPr>
        <w:pStyle w:val="Default"/>
      </w:pPr>
    </w:p>
    <w:p w14:paraId="10A5AA7B" w14:textId="77777777" w:rsidR="000050BA" w:rsidRPr="008C2C68" w:rsidRDefault="000050BA" w:rsidP="000050BA">
      <w:pPr>
        <w:pStyle w:val="Default"/>
      </w:pPr>
      <w:r w:rsidRPr="008C2C68">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3E89E762" w14:textId="77777777" w:rsidR="000050BA" w:rsidRPr="008C2C68" w:rsidRDefault="000050BA" w:rsidP="000050BA">
      <w:pPr>
        <w:pStyle w:val="Default"/>
      </w:pPr>
    </w:p>
    <w:p w14:paraId="4B7E6501" w14:textId="77777777" w:rsidR="000050BA" w:rsidRPr="008C2C68" w:rsidRDefault="000050BA" w:rsidP="000050BA">
      <w:pPr>
        <w:pStyle w:val="Default"/>
      </w:pPr>
      <w:r w:rsidRPr="008C2C68">
        <w:lastRenderedPageBreak/>
        <w:t xml:space="preserve">6. Please identify specific gaps, challenges and barriers that your government, business, or organization has faced in attempting to employ a </w:t>
      </w:r>
      <w:r w:rsidRPr="008C2C68">
        <w:rPr>
          <w:u w:val="single"/>
        </w:rPr>
        <w:t>rights-based approach</w:t>
      </w:r>
      <w:r w:rsidRPr="008C2C68">
        <w:t xml:space="preserve"> to preventing, reducing, or eliminating harm to biodiversity and ecosystems.</w:t>
      </w:r>
    </w:p>
    <w:p w14:paraId="4AF5BF5D" w14:textId="77777777" w:rsidR="000050BA" w:rsidRPr="008C2C68" w:rsidRDefault="000050BA" w:rsidP="000050BA">
      <w:pPr>
        <w:pStyle w:val="Default"/>
      </w:pPr>
    </w:p>
    <w:p w14:paraId="50BB311F" w14:textId="77777777" w:rsidR="000050BA" w:rsidRPr="008C2C68" w:rsidRDefault="000050BA" w:rsidP="000050BA">
      <w:pPr>
        <w:widowControl w:val="0"/>
        <w:autoSpaceDE w:val="0"/>
        <w:autoSpaceDN w:val="0"/>
        <w:adjustRightInd w:val="0"/>
        <w:rPr>
          <w:sz w:val="24"/>
          <w:szCs w:val="24"/>
        </w:rPr>
      </w:pPr>
      <w:r w:rsidRPr="008C2C68">
        <w:rPr>
          <w:sz w:val="24"/>
          <w:szCs w:val="24"/>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3858400A" w14:textId="77777777" w:rsidR="000050BA" w:rsidRPr="008C2C68" w:rsidRDefault="000050BA" w:rsidP="000050BA">
      <w:pPr>
        <w:rPr>
          <w:sz w:val="24"/>
          <w:szCs w:val="24"/>
        </w:rPr>
      </w:pPr>
    </w:p>
    <w:p w14:paraId="2C9D87F1" w14:textId="77777777" w:rsidR="000050BA" w:rsidRPr="008C2C68" w:rsidRDefault="000050BA" w:rsidP="000050BA">
      <w:pPr>
        <w:rPr>
          <w:sz w:val="24"/>
          <w:szCs w:val="24"/>
        </w:rPr>
      </w:pPr>
      <w:r w:rsidRPr="008C2C68">
        <w:rPr>
          <w:sz w:val="24"/>
          <w:szCs w:val="24"/>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3274E6E4" w14:textId="77777777" w:rsidR="000050BA" w:rsidRPr="008C2C68" w:rsidRDefault="000050BA" w:rsidP="000050BA">
      <w:pPr>
        <w:rPr>
          <w:sz w:val="24"/>
          <w:szCs w:val="24"/>
        </w:rPr>
      </w:pPr>
    </w:p>
    <w:p w14:paraId="49CA9776" w14:textId="77777777" w:rsidR="000050BA" w:rsidRPr="008C2C68" w:rsidRDefault="000050BA" w:rsidP="000050BA">
      <w:pPr>
        <w:rPr>
          <w:color w:val="000000"/>
          <w:sz w:val="24"/>
          <w:szCs w:val="24"/>
        </w:rPr>
      </w:pPr>
      <w:r w:rsidRPr="008C2C68">
        <w:rPr>
          <w:sz w:val="24"/>
          <w:szCs w:val="24"/>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7C217383" w14:textId="77777777" w:rsidR="000050BA" w:rsidRPr="008C2C68" w:rsidRDefault="000050BA" w:rsidP="000050BA">
      <w:pPr>
        <w:pStyle w:val="Default"/>
      </w:pPr>
    </w:p>
    <w:p w14:paraId="2A596D24" w14:textId="77777777" w:rsidR="000050BA" w:rsidRPr="008C2C68" w:rsidRDefault="000050BA" w:rsidP="000050BA">
      <w:pPr>
        <w:rPr>
          <w:sz w:val="24"/>
          <w:szCs w:val="24"/>
        </w:rPr>
      </w:pPr>
      <w:r w:rsidRPr="008C2C68">
        <w:rPr>
          <w:sz w:val="24"/>
          <w:szCs w:val="24"/>
        </w:rPr>
        <w:t xml:space="preserve">10. For businesses, what policies or practices are in place to ensure that your activities, products, and services across the entire supply </w:t>
      </w:r>
      <w:r w:rsidRPr="008C2C68">
        <w:rPr>
          <w:sz w:val="24"/>
          <w:szCs w:val="24"/>
        </w:rPr>
        <w:lastRenderedPageBreak/>
        <w:t xml:space="preserve">chain (extraction/sourcing, manufacturing, distribution, sale, and end-of life management) minimize biodiversity loss and ecosystem degradation and meet human rights standards, especially those articulated in the Guiding Principles on Business and Human Rights? </w:t>
      </w:r>
    </w:p>
    <w:p w14:paraId="43BCBDFE" w14:textId="77777777" w:rsidR="000050BA" w:rsidRPr="008C2C68" w:rsidRDefault="000050BA" w:rsidP="000050BA">
      <w:pPr>
        <w:rPr>
          <w:sz w:val="24"/>
          <w:szCs w:val="24"/>
        </w:rPr>
      </w:pPr>
    </w:p>
    <w:p w14:paraId="14AC7538" w14:textId="77777777" w:rsidR="000050BA" w:rsidRPr="008C2C68" w:rsidRDefault="000050BA" w:rsidP="000050BA">
      <w:pPr>
        <w:pStyle w:val="Default"/>
      </w:pPr>
      <w:r w:rsidRPr="008C2C68">
        <w:rPr>
          <w:b/>
          <w:bCs/>
        </w:rPr>
        <w:t xml:space="preserve">Submission of responses </w:t>
      </w:r>
    </w:p>
    <w:p w14:paraId="3719A509" w14:textId="77777777" w:rsidR="000050BA" w:rsidRPr="008C2C68" w:rsidRDefault="000050BA" w:rsidP="000050BA">
      <w:pPr>
        <w:pStyle w:val="Default"/>
      </w:pPr>
      <w:r w:rsidRPr="008C2C68">
        <w:t xml:space="preserve">We encourage you to please send your responses to the questionnaire in Word format </w:t>
      </w:r>
      <w:r w:rsidRPr="008C2C68">
        <w:rPr>
          <w:b/>
        </w:rPr>
        <w:t>by email</w:t>
      </w:r>
      <w:r w:rsidRPr="008C2C68">
        <w:t xml:space="preserve"> to </w:t>
      </w:r>
      <w:hyperlink r:id="rId11" w:history="1">
        <w:r w:rsidRPr="008C2C68">
          <w:rPr>
            <w:rStyle w:val="Hyperlink"/>
          </w:rPr>
          <w:t>srenvironment@ohchr.org</w:t>
        </w:r>
      </w:hyperlink>
      <w:r w:rsidRPr="008C2C68">
        <w:t xml:space="preserve">. </w:t>
      </w:r>
    </w:p>
    <w:p w14:paraId="6DDD0CE1" w14:textId="77777777" w:rsidR="000050BA" w:rsidRPr="008C2C68" w:rsidRDefault="000050BA" w:rsidP="000050BA">
      <w:pPr>
        <w:pStyle w:val="Default"/>
      </w:pPr>
    </w:p>
    <w:p w14:paraId="5443FFEF" w14:textId="77777777" w:rsidR="000050BA" w:rsidRPr="008C2C68" w:rsidRDefault="000050BA" w:rsidP="000050BA">
      <w:pPr>
        <w:pStyle w:val="Default"/>
      </w:pPr>
      <w:r w:rsidRPr="008C2C68">
        <w:t>However, submissions will also be accepted via regular mail at the following address:</w:t>
      </w:r>
    </w:p>
    <w:p w14:paraId="4FBE58C1" w14:textId="77777777" w:rsidR="000050BA" w:rsidRPr="008C2C68" w:rsidRDefault="000050BA" w:rsidP="000050BA">
      <w:pPr>
        <w:pStyle w:val="ListParagraph"/>
        <w:rPr>
          <w:sz w:val="24"/>
          <w:szCs w:val="24"/>
        </w:rPr>
      </w:pPr>
      <w:r w:rsidRPr="008C2C68">
        <w:rPr>
          <w:sz w:val="24"/>
          <w:szCs w:val="24"/>
        </w:rPr>
        <w:t>UN Special Rapporteur on human rights and the environment</w:t>
      </w:r>
    </w:p>
    <w:p w14:paraId="545FB14A" w14:textId="77777777" w:rsidR="000050BA" w:rsidRPr="008C2C68" w:rsidRDefault="000050BA" w:rsidP="000050BA">
      <w:pPr>
        <w:pStyle w:val="ListParagraph"/>
        <w:rPr>
          <w:sz w:val="24"/>
          <w:szCs w:val="24"/>
        </w:rPr>
      </w:pPr>
      <w:r w:rsidRPr="008C2C68">
        <w:rPr>
          <w:sz w:val="24"/>
          <w:szCs w:val="24"/>
        </w:rPr>
        <w:t>Thematic Engagement, Special Procedures and Right to Development Division</w:t>
      </w:r>
      <w:r w:rsidRPr="008C2C68">
        <w:rPr>
          <w:sz w:val="24"/>
          <w:szCs w:val="24"/>
        </w:rPr>
        <w:cr/>
        <w:t>UNOG-OHCHR</w:t>
      </w:r>
      <w:r w:rsidRPr="008C2C68">
        <w:rPr>
          <w:sz w:val="24"/>
          <w:szCs w:val="24"/>
        </w:rPr>
        <w:cr/>
        <w:t>CH-1211 Geneva 10, Switzerland</w:t>
      </w:r>
      <w:r w:rsidRPr="008C2C68">
        <w:rPr>
          <w:sz w:val="24"/>
          <w:szCs w:val="24"/>
        </w:rPr>
        <w:cr/>
      </w:r>
    </w:p>
    <w:p w14:paraId="7621412A" w14:textId="77777777" w:rsidR="000050BA" w:rsidRPr="008C2C68" w:rsidRDefault="000050BA" w:rsidP="000050BA">
      <w:pPr>
        <w:pStyle w:val="Default"/>
      </w:pPr>
      <w:r w:rsidRPr="008C2C68">
        <w:t xml:space="preserve">We kindly request that your submission be concise and limited to a maximum of 5 pages (or 2,000 words), not including appendices or attachments. </w:t>
      </w:r>
    </w:p>
    <w:p w14:paraId="74CDEDED" w14:textId="77777777" w:rsidR="000050BA" w:rsidRPr="008C2C68" w:rsidRDefault="000050BA" w:rsidP="000050BA">
      <w:pPr>
        <w:pStyle w:val="Default"/>
      </w:pPr>
    </w:p>
    <w:p w14:paraId="1B2D9F1A" w14:textId="77777777" w:rsidR="000050BA" w:rsidRPr="008C2C68" w:rsidRDefault="000050BA" w:rsidP="000050BA">
      <w:pPr>
        <w:pStyle w:val="Default"/>
        <w:rPr>
          <w:b/>
        </w:rPr>
      </w:pPr>
      <w:r w:rsidRPr="008C2C68">
        <w:rPr>
          <w:b/>
        </w:rPr>
        <w:t xml:space="preserve">Due to a limited capacity for translation, we also request that your inputs be submitted in English, French, or Spanish. </w:t>
      </w:r>
    </w:p>
    <w:p w14:paraId="403D619E" w14:textId="77777777" w:rsidR="000050BA" w:rsidRPr="008C2C68" w:rsidRDefault="000050BA" w:rsidP="000050BA">
      <w:pPr>
        <w:pStyle w:val="Default"/>
      </w:pPr>
    </w:p>
    <w:p w14:paraId="0DD6B495" w14:textId="77777777" w:rsidR="000050BA" w:rsidRPr="008C2C68" w:rsidRDefault="000050BA" w:rsidP="000050BA">
      <w:pPr>
        <w:pStyle w:val="Default"/>
      </w:pPr>
      <w:r w:rsidRPr="008C2C68">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00DA64DE" w14:textId="77777777" w:rsidR="000050BA" w:rsidRPr="008C2C68" w:rsidRDefault="000050BA" w:rsidP="000050BA">
      <w:pPr>
        <w:pStyle w:val="Default"/>
      </w:pPr>
    </w:p>
    <w:p w14:paraId="555C369E" w14:textId="27715F7A" w:rsidR="000050BA" w:rsidRPr="008C2C68" w:rsidRDefault="000050BA" w:rsidP="003C2F7D">
      <w:pPr>
        <w:pStyle w:val="Default"/>
        <w:rPr>
          <w:b/>
        </w:rPr>
      </w:pPr>
      <w:r w:rsidRPr="008C2C68">
        <w:rPr>
          <w:b/>
        </w:rPr>
        <w:lastRenderedPageBreak/>
        <w:t xml:space="preserve">The </w:t>
      </w:r>
      <w:bookmarkStart w:id="0" w:name="_GoBack"/>
      <w:r w:rsidRPr="008C2C68">
        <w:rPr>
          <w:b/>
        </w:rPr>
        <w:t>dead</w:t>
      </w:r>
      <w:bookmarkEnd w:id="0"/>
      <w:r w:rsidRPr="008C2C68">
        <w:rPr>
          <w:b/>
        </w:rPr>
        <w:t xml:space="preserve">line for submission is </w:t>
      </w:r>
      <w:r w:rsidR="003C2F7D">
        <w:rPr>
          <w:b/>
          <w:bCs/>
        </w:rPr>
        <w:t>15 June</w:t>
      </w:r>
      <w:r w:rsidRPr="008C2C68">
        <w:rPr>
          <w:b/>
          <w:bCs/>
        </w:rPr>
        <w:t xml:space="preserve"> 2020</w:t>
      </w:r>
      <w:r w:rsidRPr="008C2C68">
        <w:rPr>
          <w:b/>
        </w:rPr>
        <w:t xml:space="preserve">. </w:t>
      </w:r>
    </w:p>
    <w:p w14:paraId="4DA83E6A" w14:textId="77777777" w:rsidR="000050BA" w:rsidRPr="008C2C68" w:rsidRDefault="000050BA" w:rsidP="000050BA">
      <w:pPr>
        <w:pStyle w:val="Default"/>
      </w:pPr>
    </w:p>
    <w:p w14:paraId="4A6F46D8" w14:textId="77777777" w:rsidR="000050BA" w:rsidRPr="008C2C68" w:rsidRDefault="000050BA" w:rsidP="000050BA">
      <w:pPr>
        <w:rPr>
          <w:sz w:val="24"/>
          <w:szCs w:val="24"/>
        </w:rPr>
      </w:pPr>
      <w:r w:rsidRPr="008C2C68">
        <w:rPr>
          <w:sz w:val="24"/>
          <w:szCs w:val="24"/>
        </w:rPr>
        <w:t xml:space="preserve">Unless otherwise requested, all submissions will be </w:t>
      </w:r>
      <w:r w:rsidRPr="008C2C68">
        <w:rPr>
          <w:i/>
          <w:iCs/>
          <w:sz w:val="24"/>
          <w:szCs w:val="24"/>
        </w:rPr>
        <w:t xml:space="preserve">made publicly available </w:t>
      </w:r>
      <w:r w:rsidRPr="008C2C68">
        <w:rPr>
          <w:sz w:val="24"/>
          <w:szCs w:val="24"/>
        </w:rPr>
        <w:t>and posted on the Special Rapporteur’s homepage at the OHCHR website.</w:t>
      </w:r>
    </w:p>
    <w:p w14:paraId="73EA0561" w14:textId="77777777" w:rsidR="000050BA" w:rsidRPr="008C2C68" w:rsidRDefault="000050BA">
      <w:pPr>
        <w:rPr>
          <w:bCs/>
          <w:noProof/>
          <w:sz w:val="24"/>
          <w:szCs w:val="24"/>
        </w:rPr>
      </w:pPr>
    </w:p>
    <w:p w14:paraId="4EC702D8" w14:textId="77777777" w:rsidR="00716707" w:rsidRPr="008C2C68" w:rsidRDefault="00716707">
      <w:pPr>
        <w:jc w:val="center"/>
        <w:rPr>
          <w:sz w:val="24"/>
          <w:szCs w:val="24"/>
        </w:rPr>
      </w:pPr>
    </w:p>
    <w:sectPr w:rsidR="00716707" w:rsidRPr="008C2C68" w:rsidSect="008C2C68">
      <w:headerReference w:type="default" r:id="rId12"/>
      <w:footerReference w:type="default" r:id="rId13"/>
      <w:headerReference w:type="first" r:id="rId14"/>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7D39" w14:textId="77777777" w:rsidR="00FF1BC3" w:rsidRDefault="00FF1BC3">
      <w:r>
        <w:separator/>
      </w:r>
    </w:p>
  </w:endnote>
  <w:endnote w:type="continuationSeparator" w:id="0">
    <w:p w14:paraId="40119C8D" w14:textId="77777777" w:rsidR="00FF1BC3" w:rsidRDefault="00F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D942" w14:textId="77777777" w:rsidR="00FF1BC3" w:rsidRDefault="00FF1BC3">
      <w:r>
        <w:separator/>
      </w:r>
    </w:p>
  </w:footnote>
  <w:footnote w:type="continuationSeparator" w:id="0">
    <w:p w14:paraId="6165F071" w14:textId="77777777" w:rsidR="00FF1BC3" w:rsidRDefault="00FF1BC3">
      <w:r>
        <w:continuationSeparator/>
      </w:r>
    </w:p>
  </w:footnote>
  <w:footnote w:id="1">
    <w:p w14:paraId="29FD9A3F" w14:textId="77777777" w:rsidR="000050BA" w:rsidRPr="000050BA" w:rsidRDefault="000050BA" w:rsidP="000050BA">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A/HRC/40/55</w:t>
      </w:r>
    </w:p>
  </w:footnote>
  <w:footnote w:id="2">
    <w:p w14:paraId="01132B32" w14:textId="77777777" w:rsidR="000050BA" w:rsidRPr="000050BA" w:rsidRDefault="000050BA" w:rsidP="000050BA">
      <w:pPr>
        <w:pStyle w:val="FootnoteText"/>
        <w:rPr>
          <w:rFonts w:ascii="Times New Roman" w:eastAsia="Malgun Gothic" w:hAnsi="Times New Roman" w:cs="Times New Roman"/>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A/74/161</w:t>
      </w:r>
    </w:p>
  </w:footnote>
  <w:footnote w:id="3">
    <w:p w14:paraId="576CDB81" w14:textId="77777777" w:rsidR="000050BA" w:rsidRPr="00D70B7A" w:rsidRDefault="000050BA" w:rsidP="000050BA">
      <w:pPr>
        <w:pStyle w:val="FootnoteText"/>
        <w:rPr>
          <w:rFonts w:eastAsia="Malgun Gothic"/>
          <w:lang w:eastAsia="ko-KR"/>
        </w:rPr>
      </w:pPr>
      <w:r w:rsidRPr="000050BA">
        <w:rPr>
          <w:rStyle w:val="FootnoteReference"/>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A/HRC/43/53</w:t>
      </w:r>
    </w:p>
  </w:footnote>
  <w:footnote w:id="4">
    <w:p w14:paraId="062DC281" w14:textId="77777777" w:rsidR="000050BA" w:rsidRPr="00D70B7A" w:rsidRDefault="000050BA" w:rsidP="000050BA">
      <w:pPr>
        <w:pStyle w:val="FootnoteText"/>
        <w:rPr>
          <w:rFonts w:eastAsia="Malgun Gothic"/>
          <w:lang w:eastAsia="ko-KR"/>
        </w:rPr>
      </w:pPr>
      <w:r>
        <w:rPr>
          <w:rStyle w:val="FootnoteReference"/>
        </w:rPr>
        <w:footnoteRef/>
      </w:r>
      <w:r>
        <w:t xml:space="preserve"> </w:t>
      </w:r>
      <w:r>
        <w:rPr>
          <w:rFonts w:eastAsia="Malgun Gothic" w:hint="eastAsia"/>
          <w:lang w:eastAsia="ko-KR"/>
        </w:rPr>
        <w:t xml:space="preserve">See, A/HRC/43/53, Annex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2297D"/>
    <w:rsid w:val="00130C65"/>
    <w:rsid w:val="0013487C"/>
    <w:rsid w:val="001456CB"/>
    <w:rsid w:val="001537CC"/>
    <w:rsid w:val="00153DB2"/>
    <w:rsid w:val="0015615C"/>
    <w:rsid w:val="001676BA"/>
    <w:rsid w:val="00183B60"/>
    <w:rsid w:val="00194332"/>
    <w:rsid w:val="001B7B09"/>
    <w:rsid w:val="001C4360"/>
    <w:rsid w:val="001D3313"/>
    <w:rsid w:val="001E3384"/>
    <w:rsid w:val="001E6461"/>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65F4"/>
    <w:rsid w:val="00305B08"/>
    <w:rsid w:val="00335FB9"/>
    <w:rsid w:val="00356299"/>
    <w:rsid w:val="003577DB"/>
    <w:rsid w:val="00380489"/>
    <w:rsid w:val="00394359"/>
    <w:rsid w:val="003956EF"/>
    <w:rsid w:val="00396E4C"/>
    <w:rsid w:val="003A3957"/>
    <w:rsid w:val="003C1A74"/>
    <w:rsid w:val="003C2F7D"/>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29B9"/>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707"/>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2C68"/>
    <w:rsid w:val="008C60C0"/>
    <w:rsid w:val="008D1A3C"/>
    <w:rsid w:val="008D3B8A"/>
    <w:rsid w:val="008E46C1"/>
    <w:rsid w:val="008F0191"/>
    <w:rsid w:val="008F3473"/>
    <w:rsid w:val="008F57BD"/>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C7165"/>
    <w:rsid w:val="009D76A9"/>
    <w:rsid w:val="009E00AF"/>
    <w:rsid w:val="009E69DC"/>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D2C78"/>
    <w:rsid w:val="00BD4A0B"/>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ootnoteText">
    <w:name w:val="footnote text"/>
    <w:basedOn w:val="Normal"/>
    <w:link w:val="FootnoteTextChar"/>
    <w:uiPriority w:val="99"/>
    <w:semiHidden/>
    <w:unhideWhenUsed/>
    <w:rsid w:val="000050B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0050B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vironment@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877BD5A9-3E22-4D57-BA2C-5D583AC789A3}"/>
</file>

<file path=customXml/itemProps3.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C22CEB6-8D75-48AB-9A84-6C6B25CC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6036</Characters>
  <Application>Microsoft Office Word</Application>
  <DocSecurity>4</DocSecurity>
  <Lines>50</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2020-06-02T14:36:00Z</dcterms:created>
  <dcterms:modified xsi:type="dcterms:W3CDTF">2020-06-02T14:36:00Z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