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1030F" w14:textId="0EB4D56C" w:rsidR="00250745" w:rsidRPr="00184404" w:rsidRDefault="005C3D63">
      <w:pPr>
        <w:rPr>
          <w:rFonts w:ascii="Times New Roman" w:hAnsi="Times New Roman" w:cs="Times New Roman"/>
          <w:b/>
          <w:bCs/>
        </w:rPr>
      </w:pPr>
      <w:r w:rsidRPr="00184404">
        <w:rPr>
          <w:rFonts w:ascii="Times New Roman" w:hAnsi="Times New Roman" w:cs="Times New Roman"/>
          <w:b/>
          <w:bCs/>
        </w:rPr>
        <w:t xml:space="preserve">CIEL Submission to SR on Human Rights and the Environment </w:t>
      </w:r>
    </w:p>
    <w:p w14:paraId="39AB022A" w14:textId="28360CC6" w:rsidR="009570F6" w:rsidRPr="00184404" w:rsidRDefault="009570F6">
      <w:pPr>
        <w:rPr>
          <w:rFonts w:ascii="Times New Roman" w:hAnsi="Times New Roman" w:cs="Times New Roman"/>
          <w:b/>
          <w:bCs/>
        </w:rPr>
      </w:pPr>
      <w:r w:rsidRPr="00184404">
        <w:rPr>
          <w:rFonts w:ascii="Times New Roman" w:hAnsi="Times New Roman" w:cs="Times New Roman"/>
          <w:b/>
          <w:bCs/>
        </w:rPr>
        <w:t>Ju</w:t>
      </w:r>
      <w:r w:rsidR="00184404">
        <w:rPr>
          <w:rFonts w:ascii="Times New Roman" w:hAnsi="Times New Roman" w:cs="Times New Roman"/>
          <w:b/>
          <w:bCs/>
        </w:rPr>
        <w:t>ly</w:t>
      </w:r>
      <w:r w:rsidRPr="00184404">
        <w:rPr>
          <w:rFonts w:ascii="Times New Roman" w:hAnsi="Times New Roman" w:cs="Times New Roman"/>
          <w:b/>
          <w:bCs/>
        </w:rPr>
        <w:t xml:space="preserve"> 2020</w:t>
      </w:r>
    </w:p>
    <w:p w14:paraId="29D3AAF4" w14:textId="77777777" w:rsidR="0008551E" w:rsidRPr="00184404" w:rsidRDefault="0008551E" w:rsidP="004E6EBF">
      <w:pPr>
        <w:rPr>
          <w:rFonts w:ascii="Times New Roman" w:hAnsi="Times New Roman" w:cs="Times New Roman"/>
        </w:rPr>
      </w:pPr>
    </w:p>
    <w:p w14:paraId="617720F2" w14:textId="1D7D6D6A" w:rsidR="00184404" w:rsidRDefault="00184404">
      <w:pPr>
        <w:rPr>
          <w:rFonts w:ascii="Times New Roman" w:hAnsi="Times New Roman" w:cs="Times New Roman"/>
        </w:rPr>
      </w:pPr>
      <w:r w:rsidRPr="00184404">
        <w:rPr>
          <w:rFonts w:ascii="Times New Roman" w:hAnsi="Times New Roman" w:cs="Times New Roman"/>
        </w:rPr>
        <w:t xml:space="preserve">As widely understood in the field of human rights and the environment, biodiversity is a foundation of healthy ecosystems, and thus preserving and enhancing biodiversity is a critical imperative for upholding the fullest </w:t>
      </w:r>
      <w:proofErr w:type="spellStart"/>
      <w:r w:rsidRPr="00184404">
        <w:rPr>
          <w:rFonts w:ascii="Times New Roman" w:hAnsi="Times New Roman" w:cs="Times New Roman"/>
        </w:rPr>
        <w:t>realisation</w:t>
      </w:r>
      <w:proofErr w:type="spellEnd"/>
      <w:r w:rsidRPr="00184404">
        <w:rPr>
          <w:rFonts w:ascii="Times New Roman" w:hAnsi="Times New Roman" w:cs="Times New Roman"/>
        </w:rPr>
        <w:t xml:space="preserve"> of human rights obligations. Yet, biodiversity is at a severely heightened risk globally, as highlighted by the most recent IPBES Global Assessment. Up to 1 million species are threatened with extinction, many within decades, due to unsustainable development and industrial practices worldwide.</w:t>
      </w:r>
      <w:r w:rsidRPr="00184404">
        <w:rPr>
          <w:rFonts w:ascii="Times New Roman" w:hAnsi="Times New Roman" w:cs="Times New Roman"/>
          <w:vertAlign w:val="superscript"/>
        </w:rPr>
        <w:footnoteReference w:id="1"/>
      </w:r>
      <w:r w:rsidRPr="00184404">
        <w:rPr>
          <w:rFonts w:ascii="Times New Roman" w:hAnsi="Times New Roman" w:cs="Times New Roman"/>
        </w:rPr>
        <w:t xml:space="preserve"> The Global Assessment Report found a 47% reduction in global indicators of ecosystem condition when compared to their estimated natural baseline, highlighting the urgent need to mitigate biodiversity loss.</w:t>
      </w:r>
      <w:r w:rsidRPr="00184404">
        <w:rPr>
          <w:rFonts w:ascii="Times New Roman" w:hAnsi="Times New Roman" w:cs="Times New Roman"/>
          <w:vertAlign w:val="superscript"/>
        </w:rPr>
        <w:footnoteReference w:id="2"/>
      </w:r>
      <w:r w:rsidRPr="00184404">
        <w:rPr>
          <w:rFonts w:ascii="Times New Roman" w:hAnsi="Times New Roman" w:cs="Times New Roman"/>
        </w:rPr>
        <w:t xml:space="preserve"> Since 1970, the world has lost 60% of its global vertebrate population, and more than 40% of insect species are declining rapidly.</w:t>
      </w:r>
      <w:r w:rsidRPr="00184404">
        <w:rPr>
          <w:rFonts w:ascii="Times New Roman" w:hAnsi="Times New Roman" w:cs="Times New Roman"/>
          <w:vertAlign w:val="superscript"/>
        </w:rPr>
        <w:footnoteReference w:id="3"/>
      </w:r>
    </w:p>
    <w:p w14:paraId="6FDB4EC0" w14:textId="4B691462" w:rsidR="002E4A50" w:rsidRDefault="002E4A50">
      <w:pPr>
        <w:rPr>
          <w:rFonts w:ascii="Times New Roman" w:hAnsi="Times New Roman" w:cs="Times New Roman"/>
        </w:rPr>
      </w:pPr>
    </w:p>
    <w:p w14:paraId="193FDE87" w14:textId="473D9B70" w:rsidR="002E4A50" w:rsidRDefault="001C51AB">
      <w:pPr>
        <w:rPr>
          <w:rFonts w:ascii="Times New Roman" w:hAnsi="Times New Roman" w:cs="Times New Roman"/>
        </w:rPr>
      </w:pPr>
      <w:r>
        <w:rPr>
          <w:rFonts w:ascii="Times New Roman" w:hAnsi="Times New Roman" w:cs="Times New Roman"/>
        </w:rPr>
        <w:t>P</w:t>
      </w:r>
      <w:r w:rsidR="002E4A50" w:rsidRPr="00184404">
        <w:rPr>
          <w:rFonts w:ascii="Times New Roman" w:hAnsi="Times New Roman" w:cs="Times New Roman"/>
        </w:rPr>
        <w:t xml:space="preserve">reserving and enhancing global biodiversity is imperative to the full realization of human rights, as identified by former Special Rapporteur John Knox </w:t>
      </w:r>
      <w:r w:rsidR="002E4A50">
        <w:rPr>
          <w:rFonts w:ascii="Times New Roman" w:hAnsi="Times New Roman" w:cs="Times New Roman"/>
        </w:rPr>
        <w:t xml:space="preserve">in a report </w:t>
      </w:r>
      <w:r w:rsidR="002E4A50" w:rsidRPr="00184404">
        <w:rPr>
          <w:rFonts w:ascii="Times New Roman" w:hAnsi="Times New Roman" w:cs="Times New Roman"/>
        </w:rPr>
        <w:t>highlighting that the full enjoyment of human rights is dependent on services provided by ecosystems, known as ecosystem services</w:t>
      </w:r>
      <w:r w:rsidR="002E4A50" w:rsidRPr="002E4A50">
        <w:rPr>
          <w:rFonts w:ascii="Times New Roman" w:hAnsi="Times New Roman" w:cs="Times New Roman"/>
          <w:vertAlign w:val="superscript"/>
        </w:rPr>
        <w:t xml:space="preserve"> </w:t>
      </w:r>
      <w:r w:rsidR="002E4A50" w:rsidRPr="00184404">
        <w:rPr>
          <w:rFonts w:ascii="Times New Roman" w:hAnsi="Times New Roman" w:cs="Times New Roman"/>
          <w:vertAlign w:val="superscript"/>
        </w:rPr>
        <w:footnoteReference w:id="4"/>
      </w:r>
      <w:r w:rsidR="002E4A50" w:rsidRPr="00184404">
        <w:rPr>
          <w:rFonts w:ascii="Times New Roman" w:hAnsi="Times New Roman" w:cs="Times New Roman"/>
        </w:rPr>
        <w:t xml:space="preserve"> Biodiversity loss undermines health and wellbeing, as it threatens ecosystem services which support the right to life, health, food, water, culture, and non-discrimination.</w:t>
      </w:r>
      <w:r w:rsidR="002E4A50" w:rsidRPr="00184404">
        <w:rPr>
          <w:rFonts w:ascii="Times New Roman" w:hAnsi="Times New Roman" w:cs="Times New Roman"/>
          <w:vertAlign w:val="superscript"/>
        </w:rPr>
        <w:footnoteReference w:id="5"/>
      </w:r>
      <w:r w:rsidR="002E4A50" w:rsidRPr="00184404">
        <w:rPr>
          <w:rFonts w:ascii="Times New Roman" w:hAnsi="Times New Roman" w:cs="Times New Roman"/>
        </w:rPr>
        <w:t xml:space="preserve"> As biodiversity loss is occurring at an alarming and unprecedented rate outlined above, there is an immediate necessity of addressing this </w:t>
      </w:r>
      <w:r>
        <w:rPr>
          <w:rFonts w:ascii="Times New Roman" w:hAnsi="Times New Roman" w:cs="Times New Roman"/>
        </w:rPr>
        <w:t>ongoing</w:t>
      </w:r>
      <w:r w:rsidR="002E4A50" w:rsidRPr="00184404">
        <w:rPr>
          <w:rFonts w:ascii="Times New Roman" w:hAnsi="Times New Roman" w:cs="Times New Roman"/>
        </w:rPr>
        <w:t xml:space="preserve"> crisis through all legal and policy avenues in the international sphere.</w:t>
      </w:r>
    </w:p>
    <w:p w14:paraId="672DB949" w14:textId="602A0B7F" w:rsidR="002E4A50" w:rsidRDefault="002E4A50">
      <w:pPr>
        <w:rPr>
          <w:rFonts w:ascii="Times New Roman" w:hAnsi="Times New Roman" w:cs="Times New Roman"/>
        </w:rPr>
      </w:pPr>
    </w:p>
    <w:p w14:paraId="4807E925" w14:textId="660B732F" w:rsidR="002E4A50" w:rsidRPr="002E4A50" w:rsidRDefault="002E4A50">
      <w:pPr>
        <w:rPr>
          <w:rFonts w:ascii="Times New Roman" w:hAnsi="Times New Roman" w:cs="Times New Roman"/>
        </w:rPr>
      </w:pPr>
      <w:r>
        <w:rPr>
          <w:rFonts w:ascii="Times New Roman" w:hAnsi="Times New Roman" w:cs="Times New Roman"/>
        </w:rPr>
        <w:t xml:space="preserve">This submission </w:t>
      </w:r>
      <w:r w:rsidR="00A32D79">
        <w:rPr>
          <w:rFonts w:ascii="Times New Roman" w:hAnsi="Times New Roman" w:cs="Times New Roman"/>
        </w:rPr>
        <w:t>discusses biodiversity, healthy ecosystems and human rights in relation to several topics</w:t>
      </w:r>
      <w:r w:rsidR="001C51AB">
        <w:rPr>
          <w:rFonts w:ascii="Times New Roman" w:hAnsi="Times New Roman" w:cs="Times New Roman"/>
        </w:rPr>
        <w:t>, namely: geoengineering</w:t>
      </w:r>
      <w:r w:rsidR="00A32D79">
        <w:rPr>
          <w:rFonts w:ascii="Times New Roman" w:hAnsi="Times New Roman" w:cs="Times New Roman"/>
        </w:rPr>
        <w:t xml:space="preserve">; </w:t>
      </w:r>
      <w:r w:rsidR="001C51AB">
        <w:rPr>
          <w:rFonts w:ascii="Times New Roman" w:hAnsi="Times New Roman" w:cs="Times New Roman"/>
        </w:rPr>
        <w:t>fossil fuel-derived p</w:t>
      </w:r>
      <w:r w:rsidR="00A32D79">
        <w:rPr>
          <w:rFonts w:ascii="Times New Roman" w:hAnsi="Times New Roman" w:cs="Times New Roman"/>
        </w:rPr>
        <w:t>lastics, p</w:t>
      </w:r>
      <w:r w:rsidR="001C51AB">
        <w:rPr>
          <w:rFonts w:ascii="Times New Roman" w:hAnsi="Times New Roman" w:cs="Times New Roman"/>
        </w:rPr>
        <w:t>esticides and fertilizers</w:t>
      </w:r>
      <w:r w:rsidR="00A32D79">
        <w:rPr>
          <w:rFonts w:ascii="Times New Roman" w:hAnsi="Times New Roman" w:cs="Times New Roman"/>
        </w:rPr>
        <w:t>; and biodiversity risk monitoring by financial institutions.</w:t>
      </w:r>
      <w:r w:rsidR="001C51AB">
        <w:rPr>
          <w:rFonts w:ascii="Times New Roman" w:hAnsi="Times New Roman" w:cs="Times New Roman"/>
        </w:rPr>
        <w:t xml:space="preserve"> </w:t>
      </w:r>
    </w:p>
    <w:p w14:paraId="46C4A8D0" w14:textId="77777777" w:rsidR="00184404" w:rsidRPr="00184404" w:rsidRDefault="00184404">
      <w:pPr>
        <w:rPr>
          <w:rFonts w:ascii="Times New Roman" w:eastAsia="Times New Roman" w:hAnsi="Times New Roman" w:cs="Times New Roman"/>
          <w:color w:val="000000"/>
          <w:lang w:eastAsia="en-GB"/>
        </w:rPr>
      </w:pPr>
    </w:p>
    <w:p w14:paraId="01D3F8EF" w14:textId="38279475" w:rsidR="00250745" w:rsidRPr="00184404" w:rsidRDefault="005C3D63">
      <w:pPr>
        <w:rPr>
          <w:rFonts w:ascii="Times New Roman" w:hAnsi="Times New Roman" w:cs="Times New Roman"/>
          <w:b/>
          <w:bCs/>
        </w:rPr>
      </w:pPr>
      <w:r w:rsidRPr="00184404">
        <w:rPr>
          <w:rFonts w:ascii="Times New Roman" w:hAnsi="Times New Roman" w:cs="Times New Roman"/>
          <w:b/>
          <w:bCs/>
        </w:rPr>
        <w:t>Geoengineering</w:t>
      </w:r>
    </w:p>
    <w:p w14:paraId="7EA165BA" w14:textId="007766A2" w:rsidR="005C3D63" w:rsidRPr="00184404" w:rsidRDefault="005C3D63">
      <w:pPr>
        <w:rPr>
          <w:rFonts w:ascii="Times New Roman" w:hAnsi="Times New Roman" w:cs="Times New Roman"/>
        </w:rPr>
      </w:pPr>
    </w:p>
    <w:p w14:paraId="2F2CD35E" w14:textId="78B5B80B" w:rsidR="00F97A9C" w:rsidRPr="00184404" w:rsidRDefault="00815FF1" w:rsidP="00F97A9C">
      <w:pPr>
        <w:rPr>
          <w:rFonts w:ascii="Times New Roman" w:eastAsia="Times New Roman" w:hAnsi="Times New Roman" w:cs="Times New Roman"/>
        </w:rPr>
      </w:pPr>
      <w:r w:rsidRPr="00184404">
        <w:rPr>
          <w:rFonts w:ascii="Times New Roman" w:eastAsia="Times New Roman" w:hAnsi="Times New Roman" w:cs="Times New Roman"/>
        </w:rPr>
        <w:t xml:space="preserve">As </w:t>
      </w:r>
      <w:r w:rsidR="00FF4BE3" w:rsidRPr="00184404">
        <w:rPr>
          <w:rFonts w:ascii="Times New Roman" w:eastAsia="Times New Roman" w:hAnsi="Times New Roman" w:cs="Times New Roman"/>
        </w:rPr>
        <w:t>discussed</w:t>
      </w:r>
      <w:r w:rsidRPr="00184404">
        <w:rPr>
          <w:rFonts w:ascii="Times New Roman" w:eastAsia="Times New Roman" w:hAnsi="Times New Roman" w:cs="Times New Roman"/>
        </w:rPr>
        <w:t xml:space="preserve"> extensively in </w:t>
      </w:r>
      <w:r w:rsidR="0006700C" w:rsidRPr="00184404">
        <w:rPr>
          <w:rFonts w:ascii="Times New Roman" w:eastAsia="Times New Roman" w:hAnsi="Times New Roman" w:cs="Times New Roman"/>
        </w:rPr>
        <w:t>CIEL’s</w:t>
      </w:r>
      <w:r w:rsidRPr="00184404">
        <w:rPr>
          <w:rFonts w:ascii="Times New Roman" w:eastAsia="Times New Roman" w:hAnsi="Times New Roman" w:cs="Times New Roman"/>
        </w:rPr>
        <w:t xml:space="preserve"> 2019 report, </w:t>
      </w:r>
      <w:r w:rsidRPr="00184404">
        <w:rPr>
          <w:rFonts w:ascii="Times New Roman" w:eastAsia="Times New Roman" w:hAnsi="Times New Roman" w:cs="Times New Roman"/>
          <w:i/>
          <w:iCs/>
        </w:rPr>
        <w:t>Fuel to the Fire: How Geoengineering Threatens to Entrench Fossil Fuels and Accelerate the Climate Crisis</w:t>
      </w:r>
      <w:r w:rsidRPr="00184404">
        <w:rPr>
          <w:rFonts w:ascii="Times New Roman" w:eastAsia="Times New Roman" w:hAnsi="Times New Roman" w:cs="Times New Roman"/>
        </w:rPr>
        <w:t xml:space="preserve">, </w:t>
      </w:r>
      <w:r w:rsidR="00301AF4" w:rsidRPr="00184404">
        <w:rPr>
          <w:rFonts w:ascii="Times New Roman" w:eastAsia="Times New Roman" w:hAnsi="Times New Roman" w:cs="Times New Roman"/>
        </w:rPr>
        <w:t xml:space="preserve">and as addressed in a separate submission to the Special Rapporteur on behalf of </w:t>
      </w:r>
      <w:proofErr w:type="spellStart"/>
      <w:r w:rsidR="00184404" w:rsidRPr="00184404">
        <w:rPr>
          <w:rFonts w:ascii="Times New Roman" w:eastAsia="Times New Roman" w:hAnsi="Times New Roman" w:cs="Times New Roman"/>
        </w:rPr>
        <w:t>Biofuelwatch</w:t>
      </w:r>
      <w:proofErr w:type="spellEnd"/>
      <w:r w:rsidR="00184404" w:rsidRPr="00184404">
        <w:rPr>
          <w:rFonts w:ascii="Times New Roman" w:eastAsia="Times New Roman" w:hAnsi="Times New Roman" w:cs="Times New Roman"/>
        </w:rPr>
        <w:t xml:space="preserve">, </w:t>
      </w:r>
      <w:proofErr w:type="spellStart"/>
      <w:r w:rsidR="00184404" w:rsidRPr="00184404">
        <w:rPr>
          <w:rFonts w:ascii="Times New Roman" w:eastAsia="Times New Roman" w:hAnsi="Times New Roman" w:cs="Times New Roman"/>
        </w:rPr>
        <w:t>ETC</w:t>
      </w:r>
      <w:proofErr w:type="spellEnd"/>
      <w:r w:rsidR="00184404" w:rsidRPr="00184404">
        <w:rPr>
          <w:rFonts w:ascii="Times New Roman" w:eastAsia="Times New Roman" w:hAnsi="Times New Roman" w:cs="Times New Roman"/>
        </w:rPr>
        <w:t xml:space="preserve"> Group and Heinrich </w:t>
      </w:r>
      <w:proofErr w:type="spellStart"/>
      <w:r w:rsidR="00184404" w:rsidRPr="00184404">
        <w:rPr>
          <w:rFonts w:ascii="Times New Roman" w:eastAsia="Times New Roman" w:hAnsi="Times New Roman" w:cs="Times New Roman"/>
        </w:rPr>
        <w:t>Böll</w:t>
      </w:r>
      <w:proofErr w:type="spellEnd"/>
      <w:r w:rsidR="00184404" w:rsidRPr="00184404">
        <w:rPr>
          <w:rFonts w:ascii="Times New Roman" w:eastAsia="Times New Roman" w:hAnsi="Times New Roman" w:cs="Times New Roman"/>
        </w:rPr>
        <w:t xml:space="preserve"> Foundation</w:t>
      </w:r>
      <w:r w:rsidR="00301AF4" w:rsidRPr="00184404">
        <w:rPr>
          <w:rFonts w:ascii="Times New Roman" w:eastAsia="Times New Roman" w:hAnsi="Times New Roman" w:cs="Times New Roman"/>
        </w:rPr>
        <w:t>,</w:t>
      </w:r>
      <w:r w:rsidR="00C21D1F">
        <w:rPr>
          <w:rStyle w:val="FootnoteReference"/>
          <w:rFonts w:ascii="Times New Roman" w:eastAsia="Times New Roman" w:hAnsi="Times New Roman" w:cs="Times New Roman"/>
        </w:rPr>
        <w:footnoteReference w:id="6"/>
      </w:r>
      <w:r w:rsidR="00301AF4" w:rsidRPr="00184404">
        <w:rPr>
          <w:rFonts w:ascii="Times New Roman" w:eastAsia="Times New Roman" w:hAnsi="Times New Roman" w:cs="Times New Roman"/>
        </w:rPr>
        <w:t xml:space="preserve"> </w:t>
      </w:r>
      <w:r w:rsidRPr="00184404">
        <w:rPr>
          <w:rFonts w:ascii="Times New Roman" w:eastAsia="Times New Roman" w:hAnsi="Times New Roman" w:cs="Times New Roman"/>
        </w:rPr>
        <w:t xml:space="preserve">geoengineering </w:t>
      </w:r>
      <w:r w:rsidR="00477F18" w:rsidRPr="00184404">
        <w:rPr>
          <w:rFonts w:ascii="Times New Roman" w:eastAsia="Times New Roman" w:hAnsi="Times New Roman" w:cs="Times New Roman"/>
        </w:rPr>
        <w:t xml:space="preserve">poses </w:t>
      </w:r>
      <w:r w:rsidR="00EA5C25" w:rsidRPr="00184404">
        <w:rPr>
          <w:rFonts w:ascii="Times New Roman" w:eastAsia="Times New Roman" w:hAnsi="Times New Roman" w:cs="Times New Roman"/>
        </w:rPr>
        <w:t>both direct and indirect</w:t>
      </w:r>
      <w:r w:rsidR="00477F18" w:rsidRPr="00184404">
        <w:rPr>
          <w:rFonts w:ascii="Times New Roman" w:eastAsia="Times New Roman" w:hAnsi="Times New Roman" w:cs="Times New Roman"/>
        </w:rPr>
        <w:t xml:space="preserve"> risk</w:t>
      </w:r>
      <w:r w:rsidR="0008551E" w:rsidRPr="00184404">
        <w:rPr>
          <w:rFonts w:ascii="Times New Roman" w:eastAsia="Times New Roman" w:hAnsi="Times New Roman" w:cs="Times New Roman"/>
        </w:rPr>
        <w:t>s</w:t>
      </w:r>
      <w:r w:rsidR="00477F18" w:rsidRPr="00184404">
        <w:rPr>
          <w:rFonts w:ascii="Times New Roman" w:eastAsia="Times New Roman" w:hAnsi="Times New Roman" w:cs="Times New Roman"/>
        </w:rPr>
        <w:t xml:space="preserve"> </w:t>
      </w:r>
      <w:r w:rsidR="00EA5C25" w:rsidRPr="00184404">
        <w:rPr>
          <w:rFonts w:ascii="Times New Roman" w:eastAsia="Times New Roman" w:hAnsi="Times New Roman" w:cs="Times New Roman"/>
        </w:rPr>
        <w:t>to biodiversity</w:t>
      </w:r>
      <w:r w:rsidR="0008551E" w:rsidRPr="00184404">
        <w:rPr>
          <w:rFonts w:ascii="Times New Roman" w:eastAsia="Times New Roman" w:hAnsi="Times New Roman" w:cs="Times New Roman"/>
        </w:rPr>
        <w:t>,</w:t>
      </w:r>
      <w:r w:rsidR="00EA5C25" w:rsidRPr="00184404">
        <w:rPr>
          <w:rFonts w:ascii="Times New Roman" w:eastAsia="Times New Roman" w:hAnsi="Times New Roman" w:cs="Times New Roman"/>
        </w:rPr>
        <w:t xml:space="preserve"> </w:t>
      </w:r>
      <w:r w:rsidR="00EA5C25" w:rsidRPr="00184404">
        <w:rPr>
          <w:rFonts w:ascii="Times New Roman" w:eastAsia="Times New Roman" w:hAnsi="Times New Roman" w:cs="Times New Roman"/>
        </w:rPr>
        <w:lastRenderedPageBreak/>
        <w:t>healthy ecosystems</w:t>
      </w:r>
      <w:r w:rsidR="0008551E" w:rsidRPr="00184404">
        <w:rPr>
          <w:rFonts w:ascii="Times New Roman" w:eastAsia="Times New Roman" w:hAnsi="Times New Roman" w:cs="Times New Roman"/>
        </w:rPr>
        <w:t xml:space="preserve"> and human rights</w:t>
      </w:r>
      <w:r w:rsidR="00EA5C25" w:rsidRPr="00184404">
        <w:rPr>
          <w:rFonts w:ascii="Times New Roman" w:eastAsia="Times New Roman" w:hAnsi="Times New Roman" w:cs="Times New Roman"/>
        </w:rPr>
        <w:t>.</w:t>
      </w:r>
      <w:r w:rsidR="00F97A9C" w:rsidRPr="00184404">
        <w:rPr>
          <w:rFonts w:ascii="Times New Roman" w:eastAsia="Times New Roman" w:hAnsi="Times New Roman" w:cs="Times New Roman"/>
        </w:rPr>
        <w:t xml:space="preserve"> Geoengineering refers to a diverse array of theories, strategies and technologies that involve deliberate large-scale intervention in the Earth’s climate system.</w:t>
      </w:r>
      <w:r w:rsidR="00F97A9C" w:rsidRPr="00184404">
        <w:rPr>
          <w:rStyle w:val="FootnoteReference"/>
          <w:rFonts w:ascii="Times New Roman" w:eastAsia="Times New Roman" w:hAnsi="Times New Roman" w:cs="Times New Roman"/>
        </w:rPr>
        <w:footnoteReference w:id="7"/>
      </w:r>
      <w:r w:rsidR="00F97A9C" w:rsidRPr="00184404">
        <w:rPr>
          <w:rFonts w:ascii="Times New Roman" w:eastAsia="Times New Roman" w:hAnsi="Times New Roman" w:cs="Times New Roman"/>
        </w:rPr>
        <w:t xml:space="preserve"> </w:t>
      </w:r>
      <w:r w:rsidR="00F97A9C" w:rsidRPr="00184404">
        <w:rPr>
          <w:rFonts w:ascii="Times New Roman" w:hAnsi="Times New Roman" w:cs="Times New Roman"/>
        </w:rPr>
        <w:t xml:space="preserve">Such technologies can broadly be divided into two classes: those </w:t>
      </w:r>
      <w:r w:rsidR="00F97A9C" w:rsidRPr="00184404">
        <w:rPr>
          <w:rFonts w:ascii="Times New Roman" w:eastAsia="Times New Roman" w:hAnsi="Times New Roman" w:cs="Times New Roman"/>
        </w:rPr>
        <w:t>that purport to remove carbon dioxide from the atmosphere (carbon dioxide removal or CDR, also known as “negative emission technologies”), and those that aim to alter the Earth’s balance of solar radiation (solar radiation modification or SRM).</w:t>
      </w:r>
      <w:r w:rsidR="00FF4BE3" w:rsidRPr="00184404">
        <w:rPr>
          <w:rStyle w:val="FootnoteReference"/>
          <w:rFonts w:ascii="Times New Roman" w:eastAsia="Times New Roman" w:hAnsi="Times New Roman" w:cs="Times New Roman"/>
        </w:rPr>
        <w:footnoteReference w:id="8"/>
      </w:r>
    </w:p>
    <w:p w14:paraId="0231DC4D" w14:textId="77777777" w:rsidR="00F97A9C" w:rsidRPr="00184404" w:rsidRDefault="00F97A9C" w:rsidP="00B57A63">
      <w:pPr>
        <w:rPr>
          <w:rFonts w:ascii="Times New Roman" w:eastAsia="Times New Roman" w:hAnsi="Times New Roman" w:cs="Times New Roman"/>
        </w:rPr>
      </w:pPr>
    </w:p>
    <w:p w14:paraId="0A054A4E" w14:textId="38F8D89B" w:rsidR="0008551E" w:rsidRPr="00184404" w:rsidRDefault="0006700C" w:rsidP="00B57A63">
      <w:pPr>
        <w:rPr>
          <w:rFonts w:ascii="Times New Roman" w:eastAsia="Times New Roman" w:hAnsi="Times New Roman" w:cs="Times New Roman"/>
        </w:rPr>
      </w:pPr>
      <w:r w:rsidRPr="00184404">
        <w:rPr>
          <w:rFonts w:ascii="Times New Roman" w:eastAsia="Times New Roman" w:hAnsi="Times New Roman" w:cs="Times New Roman"/>
        </w:rPr>
        <w:t>In terms of direct risks,</w:t>
      </w:r>
      <w:r w:rsidR="009614E1" w:rsidRPr="00184404">
        <w:rPr>
          <w:rFonts w:ascii="Times New Roman" w:eastAsia="Times New Roman" w:hAnsi="Times New Roman" w:cs="Times New Roman"/>
        </w:rPr>
        <w:t xml:space="preserve"> t</w:t>
      </w:r>
      <w:r w:rsidR="00EA5C25" w:rsidRPr="00184404">
        <w:rPr>
          <w:rFonts w:ascii="Times New Roman" w:eastAsia="Times New Roman" w:hAnsi="Times New Roman" w:cs="Times New Roman"/>
        </w:rPr>
        <w:t>echnologies that aim at large</w:t>
      </w:r>
      <w:r w:rsidR="00511BBA" w:rsidRPr="00184404">
        <w:rPr>
          <w:rFonts w:ascii="Times New Roman" w:eastAsia="Times New Roman" w:hAnsi="Times New Roman" w:cs="Times New Roman"/>
        </w:rPr>
        <w:t xml:space="preserve">-scale intervention in climate systems may unleash </w:t>
      </w:r>
      <w:r w:rsidR="0008551E" w:rsidRPr="00184404">
        <w:rPr>
          <w:rFonts w:ascii="Times New Roman" w:eastAsia="Times New Roman" w:hAnsi="Times New Roman" w:cs="Times New Roman"/>
        </w:rPr>
        <w:t xml:space="preserve">irreversible </w:t>
      </w:r>
      <w:r w:rsidR="00F5041B" w:rsidRPr="00184404">
        <w:rPr>
          <w:rFonts w:ascii="Times New Roman" w:eastAsia="Times New Roman" w:hAnsi="Times New Roman" w:cs="Times New Roman"/>
        </w:rPr>
        <w:t xml:space="preserve">impacts </w:t>
      </w:r>
      <w:r w:rsidR="0008551E" w:rsidRPr="00184404">
        <w:rPr>
          <w:rFonts w:ascii="Times New Roman" w:eastAsia="Times New Roman" w:hAnsi="Times New Roman" w:cs="Times New Roman"/>
        </w:rPr>
        <w:t>on terrestrial, forest, marine and other ecosystems, the full nature and extent of which</w:t>
      </w:r>
      <w:r w:rsidR="000E7DD5" w:rsidRPr="00184404">
        <w:rPr>
          <w:rFonts w:ascii="Times New Roman" w:eastAsia="Times New Roman" w:hAnsi="Times New Roman" w:cs="Times New Roman"/>
        </w:rPr>
        <w:t xml:space="preserve"> are</w:t>
      </w:r>
      <w:r w:rsidR="0008551E" w:rsidRPr="00184404">
        <w:rPr>
          <w:rFonts w:ascii="Times New Roman" w:eastAsia="Times New Roman" w:hAnsi="Times New Roman" w:cs="Times New Roman"/>
        </w:rPr>
        <w:t xml:space="preserve"> yet unknown</w:t>
      </w:r>
      <w:r w:rsidR="007A69BC" w:rsidRPr="00184404">
        <w:rPr>
          <w:rFonts w:ascii="Times New Roman" w:eastAsia="Times New Roman" w:hAnsi="Times New Roman" w:cs="Times New Roman"/>
        </w:rPr>
        <w:t xml:space="preserve">. </w:t>
      </w:r>
      <w:r w:rsidR="009614E1" w:rsidRPr="00184404">
        <w:rPr>
          <w:rFonts w:ascii="Times New Roman" w:eastAsia="Times New Roman" w:hAnsi="Times New Roman" w:cs="Times New Roman"/>
        </w:rPr>
        <w:t xml:space="preserve">If pursued </w:t>
      </w:r>
      <w:r w:rsidR="00322AA3" w:rsidRPr="00184404">
        <w:rPr>
          <w:rFonts w:ascii="Times New Roman" w:eastAsia="Times New Roman" w:hAnsi="Times New Roman" w:cs="Times New Roman"/>
        </w:rPr>
        <w:t>widely</w:t>
      </w:r>
      <w:r w:rsidR="009614E1" w:rsidRPr="00184404">
        <w:rPr>
          <w:rFonts w:ascii="Times New Roman" w:eastAsia="Times New Roman" w:hAnsi="Times New Roman" w:cs="Times New Roman"/>
        </w:rPr>
        <w:t>, s</w:t>
      </w:r>
      <w:r w:rsidR="0008551E" w:rsidRPr="00184404">
        <w:rPr>
          <w:rFonts w:ascii="Times New Roman" w:eastAsia="Times New Roman" w:hAnsi="Times New Roman" w:cs="Times New Roman"/>
        </w:rPr>
        <w:t xml:space="preserve">ome technologies, such as </w:t>
      </w:r>
      <w:r w:rsidR="006E3D4E" w:rsidRPr="00184404">
        <w:rPr>
          <w:rFonts w:ascii="Times New Roman" w:eastAsia="Times New Roman" w:hAnsi="Times New Roman" w:cs="Times New Roman"/>
        </w:rPr>
        <w:t>bioenergy with carbon capture and storage (BECCS)</w:t>
      </w:r>
      <w:r w:rsidR="0008551E" w:rsidRPr="00184404">
        <w:rPr>
          <w:rFonts w:ascii="Times New Roman" w:eastAsia="Times New Roman" w:hAnsi="Times New Roman" w:cs="Times New Roman"/>
        </w:rPr>
        <w:t xml:space="preserve">, would not only entail massive diversion of arable land </w:t>
      </w:r>
      <w:r w:rsidR="00F97A9C" w:rsidRPr="00184404">
        <w:rPr>
          <w:rFonts w:ascii="Times New Roman" w:eastAsia="Times New Roman" w:hAnsi="Times New Roman" w:cs="Times New Roman"/>
        </w:rPr>
        <w:t>for</w:t>
      </w:r>
      <w:r w:rsidR="0008551E" w:rsidRPr="00184404">
        <w:rPr>
          <w:rFonts w:ascii="Times New Roman" w:eastAsia="Times New Roman" w:hAnsi="Times New Roman" w:cs="Times New Roman"/>
        </w:rPr>
        <w:t xml:space="preserve"> </w:t>
      </w:r>
      <w:r w:rsidR="00F97A9C" w:rsidRPr="00184404">
        <w:rPr>
          <w:rFonts w:ascii="Times New Roman" w:eastAsia="Times New Roman" w:hAnsi="Times New Roman" w:cs="Times New Roman"/>
        </w:rPr>
        <w:t xml:space="preserve">monocrop </w:t>
      </w:r>
      <w:r w:rsidR="0008551E" w:rsidRPr="00184404">
        <w:rPr>
          <w:rFonts w:ascii="Times New Roman" w:eastAsia="Times New Roman" w:hAnsi="Times New Roman" w:cs="Times New Roman"/>
        </w:rPr>
        <w:t>fuel</w:t>
      </w:r>
      <w:r w:rsidR="009614E1" w:rsidRPr="00184404">
        <w:rPr>
          <w:rFonts w:ascii="Times New Roman" w:eastAsia="Times New Roman" w:hAnsi="Times New Roman" w:cs="Times New Roman"/>
        </w:rPr>
        <w:t xml:space="preserve"> production,</w:t>
      </w:r>
      <w:r w:rsidR="0008551E" w:rsidRPr="00184404">
        <w:rPr>
          <w:rFonts w:ascii="Times New Roman" w:eastAsia="Times New Roman" w:hAnsi="Times New Roman" w:cs="Times New Roman"/>
        </w:rPr>
        <w:t xml:space="preserve"> with co</w:t>
      </w:r>
      <w:r w:rsidR="009614E1" w:rsidRPr="00184404">
        <w:rPr>
          <w:rFonts w:ascii="Times New Roman" w:eastAsia="Times New Roman" w:hAnsi="Times New Roman" w:cs="Times New Roman"/>
        </w:rPr>
        <w:t xml:space="preserve">nsequent impacts on </w:t>
      </w:r>
      <w:r w:rsidR="00F97A9C" w:rsidRPr="00184404">
        <w:rPr>
          <w:rFonts w:ascii="Times New Roman" w:eastAsia="Times New Roman" w:hAnsi="Times New Roman" w:cs="Times New Roman"/>
        </w:rPr>
        <w:t xml:space="preserve">biodiversity, </w:t>
      </w:r>
      <w:r w:rsidR="009614E1" w:rsidRPr="00184404">
        <w:rPr>
          <w:rFonts w:ascii="Times New Roman" w:eastAsia="Times New Roman" w:hAnsi="Times New Roman" w:cs="Times New Roman"/>
        </w:rPr>
        <w:t xml:space="preserve">food security, land tenure, livelihoods and water supplies. </w:t>
      </w:r>
      <w:r w:rsidR="00F97A9C" w:rsidRPr="00184404">
        <w:rPr>
          <w:rFonts w:ascii="Times New Roman" w:eastAsia="Times New Roman" w:hAnsi="Times New Roman" w:cs="Times New Roman"/>
        </w:rPr>
        <w:t>At scale, BECCS</w:t>
      </w:r>
      <w:r w:rsidR="00322AA3" w:rsidRPr="00184404">
        <w:rPr>
          <w:rFonts w:ascii="Times New Roman" w:eastAsia="Times New Roman" w:hAnsi="Times New Roman" w:cs="Times New Roman"/>
        </w:rPr>
        <w:t xml:space="preserve"> </w:t>
      </w:r>
      <w:r w:rsidR="009614E1" w:rsidRPr="00184404">
        <w:rPr>
          <w:rFonts w:ascii="Times New Roman" w:eastAsia="Times New Roman" w:hAnsi="Times New Roman" w:cs="Times New Roman"/>
        </w:rPr>
        <w:t>would also generate significant direct CO2 emissions due to land cover change, loss of forests and grasslands, soil disturbance, and increased use of agricultural chemicals, as well as from the combustion of the bioenergy itself.</w:t>
      </w:r>
      <w:r w:rsidR="00F97A9C" w:rsidRPr="00184404">
        <w:rPr>
          <w:rStyle w:val="FootnoteReference"/>
          <w:rFonts w:ascii="Times New Roman" w:eastAsia="Times New Roman" w:hAnsi="Times New Roman" w:cs="Times New Roman"/>
        </w:rPr>
        <w:footnoteReference w:id="9"/>
      </w:r>
      <w:r w:rsidR="009614E1" w:rsidRPr="00184404">
        <w:rPr>
          <w:rFonts w:ascii="Times New Roman" w:eastAsia="Times New Roman" w:hAnsi="Times New Roman" w:cs="Times New Roman"/>
        </w:rPr>
        <w:t xml:space="preserve"> </w:t>
      </w:r>
    </w:p>
    <w:p w14:paraId="7B3CFEEF" w14:textId="77777777" w:rsidR="009614E1" w:rsidRPr="00184404" w:rsidRDefault="009614E1" w:rsidP="00B57A63">
      <w:pPr>
        <w:rPr>
          <w:rFonts w:ascii="Times New Roman" w:eastAsia="Times New Roman" w:hAnsi="Times New Roman" w:cs="Times New Roman"/>
        </w:rPr>
      </w:pPr>
    </w:p>
    <w:p w14:paraId="1EDB62B4" w14:textId="37235EEC" w:rsidR="00511BBA" w:rsidRPr="00184404" w:rsidRDefault="009614E1" w:rsidP="00B57A63">
      <w:pPr>
        <w:rPr>
          <w:rFonts w:ascii="Times New Roman" w:eastAsia="Times New Roman" w:hAnsi="Times New Roman" w:cs="Times New Roman"/>
        </w:rPr>
      </w:pPr>
      <w:r w:rsidRPr="00184404">
        <w:rPr>
          <w:rFonts w:ascii="Times New Roman" w:eastAsia="Times New Roman" w:hAnsi="Times New Roman" w:cs="Times New Roman"/>
        </w:rPr>
        <w:t xml:space="preserve">Indirectly, </w:t>
      </w:r>
      <w:r w:rsidR="00322AA3" w:rsidRPr="00184404">
        <w:rPr>
          <w:rFonts w:ascii="Times New Roman" w:eastAsia="Times New Roman" w:hAnsi="Times New Roman" w:cs="Times New Roman"/>
        </w:rPr>
        <w:t>geoengineering</w:t>
      </w:r>
      <w:r w:rsidR="007A69BC" w:rsidRPr="00184404">
        <w:rPr>
          <w:rFonts w:ascii="Times New Roman" w:eastAsia="Times New Roman" w:hAnsi="Times New Roman" w:cs="Times New Roman"/>
        </w:rPr>
        <w:t xml:space="preserve"> poses a potential</w:t>
      </w:r>
      <w:r w:rsidR="00322AA3" w:rsidRPr="00184404">
        <w:rPr>
          <w:rFonts w:ascii="Times New Roman" w:eastAsia="Times New Roman" w:hAnsi="Times New Roman" w:cs="Times New Roman"/>
        </w:rPr>
        <w:t xml:space="preserve"> threat</w:t>
      </w:r>
      <w:r w:rsidR="007A69BC" w:rsidRPr="00184404">
        <w:rPr>
          <w:rFonts w:ascii="Times New Roman" w:eastAsia="Times New Roman" w:hAnsi="Times New Roman" w:cs="Times New Roman"/>
        </w:rPr>
        <w:t xml:space="preserve"> to </w:t>
      </w:r>
      <w:r w:rsidR="00322AA3" w:rsidRPr="00184404">
        <w:rPr>
          <w:rFonts w:ascii="Times New Roman" w:eastAsia="Times New Roman" w:hAnsi="Times New Roman" w:cs="Times New Roman"/>
        </w:rPr>
        <w:t xml:space="preserve">human rights and healthy ecosystems </w:t>
      </w:r>
      <w:r w:rsidR="0014021F" w:rsidRPr="00184404">
        <w:rPr>
          <w:rFonts w:ascii="Times New Roman" w:eastAsia="Times New Roman" w:hAnsi="Times New Roman" w:cs="Times New Roman"/>
        </w:rPr>
        <w:t>due to its anticipated impacts on the speed and ambition of fossil fuel reduction. CDR and SRM schemes may divert</w:t>
      </w:r>
      <w:r w:rsidR="00322AA3" w:rsidRPr="00184404">
        <w:rPr>
          <w:rFonts w:ascii="Times New Roman" w:eastAsia="Times New Roman" w:hAnsi="Times New Roman" w:cs="Times New Roman"/>
        </w:rPr>
        <w:t xml:space="preserve"> resources and efforts away from </w:t>
      </w:r>
      <w:r w:rsidR="00511BBA" w:rsidRPr="00184404">
        <w:rPr>
          <w:rFonts w:ascii="Times New Roman" w:eastAsia="Times New Roman" w:hAnsi="Times New Roman" w:cs="Times New Roman"/>
        </w:rPr>
        <w:t>the most reliable way to mitigate climate change</w:t>
      </w:r>
      <w:r w:rsidR="00322AA3" w:rsidRPr="00184404">
        <w:rPr>
          <w:rFonts w:ascii="Times New Roman" w:eastAsia="Times New Roman" w:hAnsi="Times New Roman" w:cs="Times New Roman"/>
        </w:rPr>
        <w:t xml:space="preserve"> and respect human rights: a rapid, equitable managed </w:t>
      </w:r>
      <w:r w:rsidR="006E3D4E" w:rsidRPr="00184404">
        <w:rPr>
          <w:rFonts w:ascii="Times New Roman" w:eastAsia="Times New Roman" w:hAnsi="Times New Roman" w:cs="Times New Roman"/>
        </w:rPr>
        <w:t>phase-out of</w:t>
      </w:r>
      <w:r w:rsidR="00322AA3" w:rsidRPr="00184404">
        <w:rPr>
          <w:rFonts w:ascii="Times New Roman" w:eastAsia="Times New Roman" w:hAnsi="Times New Roman" w:cs="Times New Roman"/>
        </w:rPr>
        <w:t xml:space="preserve"> fossil fuel use.</w:t>
      </w:r>
      <w:r w:rsidR="00511BBA" w:rsidRPr="00184404">
        <w:rPr>
          <w:rFonts w:ascii="Times New Roman" w:eastAsia="Times New Roman" w:hAnsi="Times New Roman" w:cs="Times New Roman"/>
        </w:rPr>
        <w:t xml:space="preserve"> </w:t>
      </w:r>
      <w:r w:rsidR="00322AA3" w:rsidRPr="00184404">
        <w:rPr>
          <w:rFonts w:ascii="Times New Roman" w:eastAsia="Times New Roman" w:hAnsi="Times New Roman" w:cs="Times New Roman"/>
        </w:rPr>
        <w:t xml:space="preserve">Geoengineering has been and continues to be heavily promoted by the fossil fuel industry, as a way to delay or minimize climate action and </w:t>
      </w:r>
      <w:r w:rsidR="005D3AD5" w:rsidRPr="00184404">
        <w:rPr>
          <w:rFonts w:ascii="Times New Roman" w:eastAsia="Times New Roman" w:hAnsi="Times New Roman" w:cs="Times New Roman"/>
        </w:rPr>
        <w:t>prolong</w:t>
      </w:r>
      <w:r w:rsidR="00322AA3" w:rsidRPr="00184404">
        <w:rPr>
          <w:rFonts w:ascii="Times New Roman" w:eastAsia="Times New Roman" w:hAnsi="Times New Roman" w:cs="Times New Roman"/>
        </w:rPr>
        <w:t xml:space="preserve"> business-as-usual fossil fuel use.</w:t>
      </w:r>
      <w:r w:rsidR="00491947" w:rsidRPr="00184404">
        <w:rPr>
          <w:rStyle w:val="FootnoteReference"/>
          <w:rFonts w:ascii="Times New Roman" w:eastAsia="Times New Roman" w:hAnsi="Times New Roman" w:cs="Times New Roman"/>
        </w:rPr>
        <w:footnoteReference w:id="10"/>
      </w:r>
      <w:r w:rsidR="00322AA3" w:rsidRPr="00184404">
        <w:rPr>
          <w:rFonts w:ascii="Times New Roman" w:eastAsia="Times New Roman" w:hAnsi="Times New Roman" w:cs="Times New Roman"/>
        </w:rPr>
        <w:t xml:space="preserve"> </w:t>
      </w:r>
    </w:p>
    <w:p w14:paraId="2EDB803D" w14:textId="77777777" w:rsidR="00511BBA" w:rsidRPr="00184404" w:rsidRDefault="00511BBA" w:rsidP="00B57A63">
      <w:pPr>
        <w:rPr>
          <w:rFonts w:ascii="Times New Roman" w:eastAsia="Times New Roman" w:hAnsi="Times New Roman" w:cs="Times New Roman"/>
        </w:rPr>
      </w:pPr>
    </w:p>
    <w:p w14:paraId="5092C3B6" w14:textId="5523BCEE" w:rsidR="00FC543A" w:rsidRDefault="00F97A9C" w:rsidP="00E02FDC">
      <w:pPr>
        <w:rPr>
          <w:rFonts w:ascii="Times New Roman" w:eastAsia="Times New Roman" w:hAnsi="Times New Roman" w:cs="Times New Roman"/>
        </w:rPr>
      </w:pPr>
      <w:r w:rsidRPr="00184404">
        <w:rPr>
          <w:rFonts w:ascii="Times New Roman" w:eastAsia="Times New Roman" w:hAnsi="Times New Roman" w:cs="Times New Roman"/>
        </w:rPr>
        <w:t xml:space="preserve">The Inter-governmental Panel on Climate Change (IPCC) has expressed concern </w:t>
      </w:r>
      <w:r w:rsidR="005D3AD5" w:rsidRPr="00184404">
        <w:rPr>
          <w:rFonts w:ascii="Times New Roman" w:eastAsia="Times New Roman" w:hAnsi="Times New Roman" w:cs="Times New Roman"/>
        </w:rPr>
        <w:t xml:space="preserve">about reliance on geoengineering technologies, given continued uncertainties about their </w:t>
      </w:r>
      <w:r w:rsidR="00FC543A" w:rsidRPr="00184404">
        <w:rPr>
          <w:rFonts w:ascii="Times New Roman" w:eastAsia="Times New Roman" w:hAnsi="Times New Roman" w:cs="Times New Roman"/>
        </w:rPr>
        <w:t>economic and technical</w:t>
      </w:r>
      <w:r w:rsidR="005D3AD5" w:rsidRPr="00184404">
        <w:rPr>
          <w:rFonts w:ascii="Times New Roman" w:eastAsia="Times New Roman" w:hAnsi="Times New Roman" w:cs="Times New Roman"/>
        </w:rPr>
        <w:t xml:space="preserve"> viability and their likely social and environmental impacts</w:t>
      </w:r>
      <w:r w:rsidR="00FC543A" w:rsidRPr="00184404">
        <w:rPr>
          <w:rFonts w:ascii="Times New Roman" w:eastAsia="Times New Roman" w:hAnsi="Times New Roman" w:cs="Times New Roman"/>
        </w:rPr>
        <w:t>. The IPCC has</w:t>
      </w:r>
      <w:r w:rsidR="005D3AD5" w:rsidRPr="00184404">
        <w:rPr>
          <w:rFonts w:ascii="Times New Roman" w:eastAsia="Times New Roman" w:hAnsi="Times New Roman" w:cs="Times New Roman"/>
        </w:rPr>
        <w:t xml:space="preserve"> declined to incorporate any SRM into its</w:t>
      </w:r>
      <w:r w:rsidR="00FC543A" w:rsidRPr="00184404">
        <w:rPr>
          <w:rFonts w:ascii="Times New Roman" w:eastAsia="Times New Roman" w:hAnsi="Times New Roman" w:cs="Times New Roman"/>
        </w:rPr>
        <w:t xml:space="preserve"> model </w:t>
      </w:r>
      <w:r w:rsidR="007A69BC" w:rsidRPr="00184404">
        <w:rPr>
          <w:rFonts w:ascii="Times New Roman" w:eastAsia="Times New Roman" w:hAnsi="Times New Roman" w:cs="Times New Roman"/>
        </w:rPr>
        <w:t xml:space="preserve">emission </w:t>
      </w:r>
      <w:r w:rsidR="00FC543A" w:rsidRPr="00184404">
        <w:rPr>
          <w:rFonts w:ascii="Times New Roman" w:eastAsia="Times New Roman" w:hAnsi="Times New Roman" w:cs="Times New Roman"/>
        </w:rPr>
        <w:t xml:space="preserve">pathways to </w:t>
      </w:r>
      <w:r w:rsidR="007A69BC" w:rsidRPr="00184404">
        <w:rPr>
          <w:rFonts w:ascii="Times New Roman" w:eastAsia="Times New Roman" w:hAnsi="Times New Roman" w:cs="Times New Roman"/>
        </w:rPr>
        <w:t xml:space="preserve">a </w:t>
      </w:r>
      <w:r w:rsidR="00FC543A" w:rsidRPr="00184404">
        <w:rPr>
          <w:rFonts w:ascii="Times New Roman" w:eastAsia="Times New Roman" w:hAnsi="Times New Roman" w:cs="Times New Roman"/>
        </w:rPr>
        <w:t>1.5 degree</w:t>
      </w:r>
      <w:r w:rsidR="005D3AD5" w:rsidRPr="00184404">
        <w:rPr>
          <w:rFonts w:ascii="Times New Roman" w:eastAsia="Times New Roman" w:hAnsi="Times New Roman" w:cs="Times New Roman"/>
        </w:rPr>
        <w:t xml:space="preserve"> scenario</w:t>
      </w:r>
      <w:r w:rsidR="00E02FDC" w:rsidRPr="00184404">
        <w:rPr>
          <w:rFonts w:ascii="Times New Roman" w:eastAsia="Times New Roman" w:hAnsi="Times New Roman" w:cs="Times New Roman"/>
        </w:rPr>
        <w:t>.</w:t>
      </w:r>
      <w:r w:rsidR="00FC543A" w:rsidRPr="00184404">
        <w:rPr>
          <w:rStyle w:val="FootnoteReference"/>
          <w:rFonts w:ascii="Times New Roman" w:eastAsia="Times New Roman" w:hAnsi="Times New Roman" w:cs="Times New Roman"/>
        </w:rPr>
        <w:t xml:space="preserve"> </w:t>
      </w:r>
      <w:r w:rsidR="00FC543A" w:rsidRPr="00184404">
        <w:rPr>
          <w:rStyle w:val="FootnoteReference"/>
          <w:rFonts w:ascii="Times New Roman" w:eastAsia="Times New Roman" w:hAnsi="Times New Roman" w:cs="Times New Roman"/>
        </w:rPr>
        <w:footnoteReference w:id="11"/>
      </w:r>
      <w:r w:rsidR="00FC543A" w:rsidRPr="00184404">
        <w:rPr>
          <w:rFonts w:ascii="Times New Roman" w:eastAsia="Times New Roman" w:hAnsi="Times New Roman" w:cs="Times New Roman"/>
        </w:rPr>
        <w:t xml:space="preserve"> </w:t>
      </w:r>
      <w:r w:rsidR="00E02FDC" w:rsidRPr="00184404">
        <w:rPr>
          <w:rFonts w:ascii="Times New Roman" w:eastAsia="Times New Roman" w:hAnsi="Times New Roman" w:cs="Times New Roman"/>
        </w:rPr>
        <w:t>A</w:t>
      </w:r>
      <w:r w:rsidR="00FC543A" w:rsidRPr="00184404">
        <w:rPr>
          <w:rFonts w:ascii="Times New Roman" w:eastAsia="Times New Roman" w:hAnsi="Times New Roman" w:cs="Times New Roman"/>
        </w:rPr>
        <w:t>nd</w:t>
      </w:r>
      <w:r w:rsidR="00E02FDC" w:rsidRPr="00184404">
        <w:rPr>
          <w:rFonts w:ascii="Times New Roman" w:eastAsia="Times New Roman" w:hAnsi="Times New Roman" w:cs="Times New Roman"/>
        </w:rPr>
        <w:t xml:space="preserve"> although </w:t>
      </w:r>
      <w:r w:rsidR="00E02FDC" w:rsidRPr="00184404">
        <w:rPr>
          <w:rFonts w:ascii="Times New Roman" w:eastAsia="Times New Roman" w:hAnsi="Times New Roman" w:cs="Times New Roman"/>
        </w:rPr>
        <w:lastRenderedPageBreak/>
        <w:t>it incorporated some reliance on CDR into three of its four pathways, the IPCC</w:t>
      </w:r>
      <w:r w:rsidR="00FC543A" w:rsidRPr="00184404">
        <w:rPr>
          <w:rFonts w:ascii="Times New Roman" w:eastAsia="Times New Roman" w:hAnsi="Times New Roman" w:cs="Times New Roman"/>
        </w:rPr>
        <w:t xml:space="preserve"> has </w:t>
      </w:r>
      <w:r w:rsidR="00E02FDC" w:rsidRPr="00184404">
        <w:rPr>
          <w:rFonts w:ascii="Times New Roman" w:eastAsia="Times New Roman" w:hAnsi="Times New Roman" w:cs="Times New Roman"/>
        </w:rPr>
        <w:t xml:space="preserve">nevertheless </w:t>
      </w:r>
      <w:r w:rsidR="00FC543A" w:rsidRPr="00184404">
        <w:rPr>
          <w:rFonts w:ascii="Times New Roman" w:eastAsia="Times New Roman" w:hAnsi="Times New Roman" w:cs="Times New Roman"/>
        </w:rPr>
        <w:t xml:space="preserve">cautioned with </w:t>
      </w:r>
      <w:r w:rsidR="00E02FDC" w:rsidRPr="00184404">
        <w:rPr>
          <w:rFonts w:ascii="Times New Roman" w:eastAsia="Times New Roman" w:hAnsi="Times New Roman" w:cs="Times New Roman"/>
        </w:rPr>
        <w:t>“</w:t>
      </w:r>
      <w:r w:rsidR="00FC543A" w:rsidRPr="00184404">
        <w:rPr>
          <w:rFonts w:ascii="Times New Roman" w:eastAsia="Times New Roman" w:hAnsi="Times New Roman" w:cs="Times New Roman"/>
        </w:rPr>
        <w:t>high confidence</w:t>
      </w:r>
      <w:r w:rsidR="00E02FDC" w:rsidRPr="00184404">
        <w:rPr>
          <w:rFonts w:ascii="Times New Roman" w:eastAsia="Times New Roman" w:hAnsi="Times New Roman" w:cs="Times New Roman"/>
        </w:rPr>
        <w:t>”</w:t>
      </w:r>
      <w:r w:rsidR="00FC543A" w:rsidRPr="00184404">
        <w:rPr>
          <w:rFonts w:ascii="Times New Roman" w:eastAsia="Times New Roman" w:hAnsi="Times New Roman" w:cs="Times New Roman"/>
        </w:rPr>
        <w:t xml:space="preserve"> that </w:t>
      </w:r>
      <w:r w:rsidR="00E02FDC" w:rsidRPr="00184404">
        <w:rPr>
          <w:rFonts w:ascii="Times New Roman" w:eastAsia="Times New Roman" w:hAnsi="Times New Roman" w:cs="Times New Roman"/>
        </w:rPr>
        <w:t xml:space="preserve">CDR </w:t>
      </w:r>
      <w:r w:rsidR="007A69BC" w:rsidRPr="00184404">
        <w:rPr>
          <w:rFonts w:ascii="Times New Roman" w:eastAsia="Times New Roman" w:hAnsi="Times New Roman" w:cs="Times New Roman"/>
        </w:rPr>
        <w:t xml:space="preserve">remains </w:t>
      </w:r>
      <w:r w:rsidR="00E02FDC" w:rsidRPr="00184404">
        <w:rPr>
          <w:rFonts w:ascii="Times New Roman" w:eastAsia="Times New Roman" w:hAnsi="Times New Roman" w:cs="Times New Roman"/>
        </w:rPr>
        <w:t xml:space="preserve">“uncertain” and “associated with challenges and risks,” including potentially </w:t>
      </w:r>
      <w:r w:rsidR="00FC543A" w:rsidRPr="00184404">
        <w:rPr>
          <w:rFonts w:ascii="Times New Roman" w:eastAsia="Times New Roman" w:hAnsi="Times New Roman" w:cs="Times New Roman"/>
        </w:rPr>
        <w:t>significant impacts on land, energy, water or nutrients if deployed at scale.</w:t>
      </w:r>
      <w:r w:rsidR="00FC543A" w:rsidRPr="00184404">
        <w:rPr>
          <w:rStyle w:val="FootnoteReference"/>
          <w:rFonts w:ascii="Times New Roman" w:eastAsia="Times New Roman" w:hAnsi="Times New Roman" w:cs="Times New Roman"/>
        </w:rPr>
        <w:footnoteReference w:id="12"/>
      </w:r>
      <w:r w:rsidR="00FC543A" w:rsidRPr="00184404">
        <w:rPr>
          <w:rFonts w:ascii="Times New Roman" w:eastAsia="Times New Roman" w:hAnsi="Times New Roman" w:cs="Times New Roman"/>
        </w:rPr>
        <w:t xml:space="preserve"> </w:t>
      </w:r>
    </w:p>
    <w:p w14:paraId="02B8DE55" w14:textId="1D7B13EE" w:rsidR="00FC543A" w:rsidRPr="00184404" w:rsidRDefault="00FC543A" w:rsidP="00FC543A">
      <w:pPr>
        <w:rPr>
          <w:rFonts w:ascii="Times New Roman" w:eastAsia="Times New Roman" w:hAnsi="Times New Roman" w:cs="Times New Roman"/>
        </w:rPr>
      </w:pPr>
    </w:p>
    <w:p w14:paraId="0AE934EA" w14:textId="2852A2A1" w:rsidR="00B94809" w:rsidRPr="00184404" w:rsidRDefault="00B94809" w:rsidP="00A84486">
      <w:pPr>
        <w:rPr>
          <w:rFonts w:ascii="Times New Roman" w:eastAsia="Times New Roman" w:hAnsi="Times New Roman" w:cs="Times New Roman"/>
        </w:rPr>
      </w:pPr>
      <w:r w:rsidRPr="00C901F2">
        <w:rPr>
          <w:rFonts w:ascii="Times New Roman" w:eastAsia="Times New Roman" w:hAnsi="Times New Roman" w:cs="Times New Roman"/>
          <w:b/>
          <w:bCs/>
          <w:i/>
          <w:iCs/>
        </w:rPr>
        <w:t>State obligations</w:t>
      </w:r>
      <w:r w:rsidRPr="00184404">
        <w:rPr>
          <w:rFonts w:ascii="Times New Roman" w:eastAsia="Times New Roman" w:hAnsi="Times New Roman" w:cs="Times New Roman"/>
          <w:b/>
          <w:bCs/>
        </w:rPr>
        <w:t xml:space="preserve">: </w:t>
      </w:r>
      <w:r w:rsidR="00970AC8" w:rsidRPr="00184404">
        <w:rPr>
          <w:rFonts w:ascii="Times New Roman" w:eastAsia="Times New Roman" w:hAnsi="Times New Roman" w:cs="Times New Roman"/>
        </w:rPr>
        <w:t>Under the precautionary principle,</w:t>
      </w:r>
      <w:r w:rsidR="00C014E1">
        <w:rPr>
          <w:rStyle w:val="FootnoteReference"/>
          <w:rFonts w:ascii="Times New Roman" w:eastAsia="Times New Roman" w:hAnsi="Times New Roman" w:cs="Times New Roman"/>
        </w:rPr>
        <w:footnoteReference w:id="13"/>
      </w:r>
      <w:r w:rsidR="00970AC8" w:rsidRPr="00184404">
        <w:rPr>
          <w:rFonts w:ascii="Times New Roman" w:eastAsia="Times New Roman" w:hAnsi="Times New Roman" w:cs="Times New Roman"/>
        </w:rPr>
        <w:t xml:space="preserve"> t</w:t>
      </w:r>
      <w:r w:rsidR="00933C09" w:rsidRPr="00184404">
        <w:rPr>
          <w:rFonts w:ascii="Times New Roman" w:eastAsia="Times New Roman" w:hAnsi="Times New Roman" w:cs="Times New Roman"/>
        </w:rPr>
        <w:t xml:space="preserve">he uncertainty around the </w:t>
      </w:r>
      <w:r w:rsidR="0093468C" w:rsidRPr="00184404">
        <w:rPr>
          <w:rFonts w:ascii="Times New Roman" w:eastAsia="Times New Roman" w:hAnsi="Times New Roman" w:cs="Times New Roman"/>
        </w:rPr>
        <w:t>effects of geoengineering and the risks of</w:t>
      </w:r>
      <w:r w:rsidR="00970AC8" w:rsidRPr="00184404">
        <w:rPr>
          <w:rFonts w:ascii="Times New Roman" w:eastAsia="Times New Roman" w:hAnsi="Times New Roman" w:cs="Times New Roman"/>
        </w:rPr>
        <w:t xml:space="preserve"> its</w:t>
      </w:r>
      <w:r w:rsidR="0093468C" w:rsidRPr="00184404">
        <w:rPr>
          <w:rFonts w:ascii="Times New Roman" w:eastAsia="Times New Roman" w:hAnsi="Times New Roman" w:cs="Times New Roman"/>
        </w:rPr>
        <w:t xml:space="preserve"> significant and potentially irreversible impacts on biodiversity</w:t>
      </w:r>
      <w:r w:rsidR="00970AC8" w:rsidRPr="00184404">
        <w:rPr>
          <w:rFonts w:ascii="Times New Roman" w:eastAsia="Times New Roman" w:hAnsi="Times New Roman" w:cs="Times New Roman"/>
        </w:rPr>
        <w:t>,</w:t>
      </w:r>
      <w:r w:rsidR="0093468C" w:rsidRPr="00184404">
        <w:rPr>
          <w:rFonts w:ascii="Times New Roman" w:eastAsia="Times New Roman" w:hAnsi="Times New Roman" w:cs="Times New Roman"/>
        </w:rPr>
        <w:t xml:space="preserve"> ecosystem health</w:t>
      </w:r>
      <w:r w:rsidR="00970AC8" w:rsidRPr="00184404">
        <w:rPr>
          <w:rFonts w:ascii="Times New Roman" w:eastAsia="Times New Roman" w:hAnsi="Times New Roman" w:cs="Times New Roman"/>
        </w:rPr>
        <w:t xml:space="preserve"> and human rights, should </w:t>
      </w:r>
      <w:r w:rsidR="00C014E1">
        <w:rPr>
          <w:rFonts w:ascii="Times New Roman" w:eastAsia="Times New Roman" w:hAnsi="Times New Roman" w:cs="Times New Roman"/>
        </w:rPr>
        <w:t>not impede states from</w:t>
      </w:r>
      <w:r w:rsidR="00970AC8" w:rsidRPr="00184404">
        <w:rPr>
          <w:rFonts w:ascii="Times New Roman" w:eastAsia="Times New Roman" w:hAnsi="Times New Roman" w:cs="Times New Roman"/>
        </w:rPr>
        <w:t xml:space="preserve"> </w:t>
      </w:r>
      <w:r w:rsidR="00C014E1" w:rsidRPr="00184404">
        <w:rPr>
          <w:rFonts w:ascii="Times New Roman" w:eastAsia="Times New Roman" w:hAnsi="Times New Roman" w:cs="Times New Roman"/>
        </w:rPr>
        <w:t>tak</w:t>
      </w:r>
      <w:r w:rsidR="00C014E1">
        <w:rPr>
          <w:rFonts w:ascii="Times New Roman" w:eastAsia="Times New Roman" w:hAnsi="Times New Roman" w:cs="Times New Roman"/>
        </w:rPr>
        <w:t>ing</w:t>
      </w:r>
      <w:r w:rsidR="00C014E1" w:rsidRPr="00184404">
        <w:rPr>
          <w:rFonts w:ascii="Times New Roman" w:eastAsia="Times New Roman" w:hAnsi="Times New Roman" w:cs="Times New Roman"/>
        </w:rPr>
        <w:t xml:space="preserve"> </w:t>
      </w:r>
      <w:r w:rsidR="00970AC8" w:rsidRPr="00184404">
        <w:rPr>
          <w:rFonts w:ascii="Times New Roman" w:eastAsia="Times New Roman" w:hAnsi="Times New Roman" w:cs="Times New Roman"/>
        </w:rPr>
        <w:t>measures</w:t>
      </w:r>
      <w:r w:rsidR="00C014E1">
        <w:rPr>
          <w:rFonts w:ascii="Times New Roman" w:eastAsia="Times New Roman" w:hAnsi="Times New Roman" w:cs="Times New Roman"/>
        </w:rPr>
        <w:t xml:space="preserve"> to prevent or minimize such risks</w:t>
      </w:r>
      <w:r w:rsidR="00970AC8" w:rsidRPr="00184404">
        <w:rPr>
          <w:rFonts w:ascii="Times New Roman" w:eastAsia="Times New Roman" w:hAnsi="Times New Roman" w:cs="Times New Roman"/>
        </w:rPr>
        <w:t xml:space="preserve">. Such measures may include moratoria on the deployment of geoengineering technologies at scale, </w:t>
      </w:r>
      <w:r w:rsidR="0006700C" w:rsidRPr="00184404">
        <w:rPr>
          <w:rFonts w:ascii="Times New Roman" w:eastAsia="Times New Roman" w:hAnsi="Times New Roman" w:cs="Times New Roman"/>
        </w:rPr>
        <w:t>and</w:t>
      </w:r>
      <w:r w:rsidR="00970AC8" w:rsidRPr="00184404">
        <w:rPr>
          <w:rFonts w:ascii="Times New Roman" w:eastAsia="Times New Roman" w:hAnsi="Times New Roman" w:cs="Times New Roman"/>
        </w:rPr>
        <w:t xml:space="preserve"> prohibitions on open-air experimentation.</w:t>
      </w:r>
      <w:r w:rsidR="007A69BC" w:rsidRPr="00184404">
        <w:rPr>
          <w:rFonts w:ascii="Times New Roman" w:eastAsia="Times New Roman" w:hAnsi="Times New Roman" w:cs="Times New Roman"/>
        </w:rPr>
        <w:t xml:space="preserve"> Moreover, the likely challenges of tracing harmful impacts to </w:t>
      </w:r>
      <w:r w:rsidR="0014021F" w:rsidRPr="00184404">
        <w:rPr>
          <w:rFonts w:ascii="Times New Roman" w:eastAsia="Times New Roman" w:hAnsi="Times New Roman" w:cs="Times New Roman"/>
        </w:rPr>
        <w:t>specific geoengineering</w:t>
      </w:r>
      <w:r w:rsidR="007A69BC" w:rsidRPr="00184404">
        <w:rPr>
          <w:rFonts w:ascii="Times New Roman" w:eastAsia="Times New Roman" w:hAnsi="Times New Roman" w:cs="Times New Roman"/>
        </w:rPr>
        <w:t xml:space="preserve"> interventions makes the prospect of accountability for those impacts remote, underscoring the importance of prevention.</w:t>
      </w:r>
      <w:r w:rsidR="00970AC8" w:rsidRPr="00184404">
        <w:rPr>
          <w:rFonts w:ascii="Times New Roman" w:eastAsia="Times New Roman" w:hAnsi="Times New Roman" w:cs="Times New Roman"/>
        </w:rPr>
        <w:t xml:space="preserve"> </w:t>
      </w:r>
    </w:p>
    <w:p w14:paraId="195A8261" w14:textId="77777777" w:rsidR="00B94809" w:rsidRPr="00184404" w:rsidRDefault="00B94809" w:rsidP="00A84486">
      <w:pPr>
        <w:rPr>
          <w:rFonts w:ascii="Times New Roman" w:eastAsia="Times New Roman" w:hAnsi="Times New Roman" w:cs="Times New Roman"/>
        </w:rPr>
      </w:pPr>
    </w:p>
    <w:p w14:paraId="35C21382" w14:textId="54F79511" w:rsidR="0093468C" w:rsidRPr="00184404" w:rsidRDefault="00B94809" w:rsidP="00A84486">
      <w:pPr>
        <w:rPr>
          <w:rFonts w:ascii="Times New Roman" w:hAnsi="Times New Roman" w:cs="Times New Roman"/>
        </w:rPr>
      </w:pPr>
      <w:r w:rsidRPr="00C901F2">
        <w:rPr>
          <w:rFonts w:ascii="Times New Roman" w:eastAsia="Times New Roman" w:hAnsi="Times New Roman" w:cs="Times New Roman"/>
          <w:b/>
          <w:bCs/>
          <w:i/>
          <w:iCs/>
        </w:rPr>
        <w:t>Best practices</w:t>
      </w:r>
      <w:r w:rsidRPr="00184404">
        <w:rPr>
          <w:rFonts w:ascii="Times New Roman" w:eastAsia="Times New Roman" w:hAnsi="Times New Roman" w:cs="Times New Roman"/>
          <w:b/>
          <w:bCs/>
        </w:rPr>
        <w:t xml:space="preserve">: </w:t>
      </w:r>
      <w:r w:rsidR="00A84486" w:rsidRPr="00184404">
        <w:rPr>
          <w:rFonts w:ascii="Times New Roman" w:eastAsia="Times New Roman" w:hAnsi="Times New Roman" w:cs="Times New Roman"/>
        </w:rPr>
        <w:t>Recognition of risks to biodiversity led the Convention on Biological Diversity (CBD)</w:t>
      </w:r>
      <w:r w:rsidR="00970AC8" w:rsidRPr="00184404">
        <w:rPr>
          <w:rFonts w:ascii="Times New Roman" w:eastAsia="Times New Roman" w:hAnsi="Times New Roman" w:cs="Times New Roman"/>
        </w:rPr>
        <w:t xml:space="preserve"> </w:t>
      </w:r>
      <w:r w:rsidR="00A84486" w:rsidRPr="00184404">
        <w:rPr>
          <w:rFonts w:ascii="Times New Roman" w:eastAsia="Times New Roman" w:hAnsi="Times New Roman" w:cs="Times New Roman"/>
        </w:rPr>
        <w:t xml:space="preserve">to recommend, in 2010, that all states party to the </w:t>
      </w:r>
      <w:r w:rsidR="0014021F" w:rsidRPr="00184404">
        <w:rPr>
          <w:rFonts w:ascii="Times New Roman" w:eastAsia="Times New Roman" w:hAnsi="Times New Roman" w:cs="Times New Roman"/>
        </w:rPr>
        <w:t>C</w:t>
      </w:r>
      <w:r w:rsidR="00A84486" w:rsidRPr="00184404">
        <w:rPr>
          <w:rFonts w:ascii="Times New Roman" w:eastAsia="Times New Roman" w:hAnsi="Times New Roman" w:cs="Times New Roman"/>
        </w:rPr>
        <w:t>onvention</w:t>
      </w:r>
      <w:r w:rsidR="0093468C" w:rsidRPr="00184404">
        <w:rPr>
          <w:rFonts w:ascii="Times New Roman" w:hAnsi="Times New Roman" w:cs="Times New Roman"/>
        </w:rPr>
        <w:t xml:space="preserve"> place a moratorium on</w:t>
      </w:r>
      <w:r w:rsidR="0069164B">
        <w:rPr>
          <w:rFonts w:ascii="Times New Roman" w:hAnsi="Times New Roman" w:cs="Times New Roman"/>
        </w:rPr>
        <w:t xml:space="preserve"> climate-related</w:t>
      </w:r>
      <w:r w:rsidR="0093468C" w:rsidRPr="00184404">
        <w:rPr>
          <w:rFonts w:ascii="Times New Roman" w:hAnsi="Times New Roman" w:cs="Times New Roman"/>
        </w:rPr>
        <w:t xml:space="preserve"> geoengineering unless and until its risks </w:t>
      </w:r>
      <w:r w:rsidR="0069164B">
        <w:rPr>
          <w:rFonts w:ascii="Times New Roman" w:hAnsi="Times New Roman" w:cs="Times New Roman"/>
        </w:rPr>
        <w:t>to the environment and biodiversity, and associated social, economic and cultural impacts</w:t>
      </w:r>
      <w:r w:rsidR="002E4A50">
        <w:rPr>
          <w:rFonts w:ascii="Times New Roman" w:hAnsi="Times New Roman" w:cs="Times New Roman"/>
        </w:rPr>
        <w:t>,</w:t>
      </w:r>
      <w:r w:rsidR="0069164B">
        <w:rPr>
          <w:rFonts w:ascii="Times New Roman" w:hAnsi="Times New Roman" w:cs="Times New Roman"/>
        </w:rPr>
        <w:t xml:space="preserve"> </w:t>
      </w:r>
      <w:r w:rsidR="0093468C" w:rsidRPr="00184404">
        <w:rPr>
          <w:rFonts w:ascii="Times New Roman" w:hAnsi="Times New Roman" w:cs="Times New Roman"/>
        </w:rPr>
        <w:t>were fully assessed and effectively regulated under an agreed global governance regime</w:t>
      </w:r>
      <w:r w:rsidR="006E3D4E" w:rsidRPr="00184404">
        <w:rPr>
          <w:rFonts w:ascii="Times New Roman" w:hAnsi="Times New Roman" w:cs="Times New Roman"/>
        </w:rPr>
        <w:t>.</w:t>
      </w:r>
      <w:r w:rsidR="002E4A50" w:rsidRPr="002E4A50">
        <w:rPr>
          <w:rStyle w:val="FootnoteReference"/>
          <w:rFonts w:ascii="Times New Roman" w:hAnsi="Times New Roman" w:cs="Times New Roman"/>
        </w:rPr>
        <w:t xml:space="preserve"> </w:t>
      </w:r>
      <w:r w:rsidR="002E4A50" w:rsidRPr="00184404">
        <w:rPr>
          <w:rStyle w:val="FootnoteReference"/>
          <w:rFonts w:ascii="Times New Roman" w:hAnsi="Times New Roman" w:cs="Times New Roman"/>
        </w:rPr>
        <w:footnoteReference w:id="14"/>
      </w:r>
      <w:r w:rsidR="006E3D4E" w:rsidRPr="00184404">
        <w:rPr>
          <w:rFonts w:ascii="Times New Roman" w:hAnsi="Times New Roman" w:cs="Times New Roman"/>
        </w:rPr>
        <w:t xml:space="preserve"> CBD</w:t>
      </w:r>
      <w:r w:rsidR="00A84486" w:rsidRPr="00184404">
        <w:rPr>
          <w:rFonts w:ascii="Times New Roman" w:hAnsi="Times New Roman" w:cs="Times New Roman"/>
        </w:rPr>
        <w:t xml:space="preserve"> has subsequently reaffirmed and extende</w:t>
      </w:r>
      <w:r w:rsidR="006E3D4E" w:rsidRPr="00184404">
        <w:rPr>
          <w:rFonts w:ascii="Times New Roman" w:hAnsi="Times New Roman" w:cs="Times New Roman"/>
        </w:rPr>
        <w:t>d this decision</w:t>
      </w:r>
      <w:r w:rsidR="0093468C" w:rsidRPr="00184404">
        <w:rPr>
          <w:rFonts w:ascii="Times New Roman" w:hAnsi="Times New Roman" w:cs="Times New Roman"/>
        </w:rPr>
        <w:t>.</w:t>
      </w:r>
      <w:r w:rsidR="0093468C" w:rsidRPr="00184404">
        <w:rPr>
          <w:rStyle w:val="FootnoteReference"/>
          <w:rFonts w:ascii="Times New Roman" w:hAnsi="Times New Roman" w:cs="Times New Roman"/>
        </w:rPr>
        <w:footnoteReference w:id="15"/>
      </w:r>
      <w:r w:rsidR="0093468C" w:rsidRPr="00184404">
        <w:rPr>
          <w:rFonts w:ascii="Times New Roman" w:hAnsi="Times New Roman" w:cs="Times New Roman"/>
        </w:rPr>
        <w:t xml:space="preserve"> </w:t>
      </w:r>
      <w:r w:rsidR="00A84486" w:rsidRPr="00184404">
        <w:rPr>
          <w:rFonts w:ascii="Times New Roman" w:hAnsi="Times New Roman" w:cs="Times New Roman"/>
        </w:rPr>
        <w:t xml:space="preserve">Similarly, under the London Convention on the Prevention of Marine Pollution, states have agreed to prohibit a specific geoengineering technology, </w:t>
      </w:r>
      <w:r w:rsidR="0093468C" w:rsidRPr="00184404">
        <w:rPr>
          <w:rFonts w:ascii="Times New Roman" w:hAnsi="Times New Roman" w:cs="Times New Roman"/>
        </w:rPr>
        <w:t>ocean fertili</w:t>
      </w:r>
      <w:r w:rsidR="009570F6" w:rsidRPr="00184404">
        <w:rPr>
          <w:rFonts w:ascii="Times New Roman" w:hAnsi="Times New Roman" w:cs="Times New Roman"/>
        </w:rPr>
        <w:t>z</w:t>
      </w:r>
      <w:r w:rsidR="0093468C" w:rsidRPr="00184404">
        <w:rPr>
          <w:rFonts w:ascii="Times New Roman" w:hAnsi="Times New Roman" w:cs="Times New Roman"/>
        </w:rPr>
        <w:t xml:space="preserve">ation, </w:t>
      </w:r>
      <w:r w:rsidR="00A84486" w:rsidRPr="00184404">
        <w:rPr>
          <w:rFonts w:ascii="Times New Roman" w:hAnsi="Times New Roman" w:cs="Times New Roman"/>
        </w:rPr>
        <w:t xml:space="preserve">because of its </w:t>
      </w:r>
      <w:r w:rsidR="0093468C" w:rsidRPr="00184404">
        <w:rPr>
          <w:rFonts w:ascii="Times New Roman" w:hAnsi="Times New Roman" w:cs="Times New Roman"/>
        </w:rPr>
        <w:t>potentially significant risks to marine ecology</w:t>
      </w:r>
      <w:r w:rsidR="00A84486" w:rsidRPr="00184404">
        <w:rPr>
          <w:rFonts w:ascii="Times New Roman" w:hAnsi="Times New Roman" w:cs="Times New Roman"/>
        </w:rPr>
        <w:t>.</w:t>
      </w:r>
      <w:r w:rsidR="00A84486" w:rsidRPr="00184404">
        <w:rPr>
          <w:rStyle w:val="FootnoteReference"/>
          <w:rFonts w:ascii="Times New Roman" w:hAnsi="Times New Roman" w:cs="Times New Roman"/>
        </w:rPr>
        <w:footnoteReference w:id="16"/>
      </w:r>
      <w:r w:rsidR="0093468C" w:rsidRPr="00184404">
        <w:rPr>
          <w:rFonts w:ascii="Times New Roman" w:hAnsi="Times New Roman" w:cs="Times New Roman"/>
          <w:position w:val="8"/>
        </w:rPr>
        <w:t xml:space="preserve"> </w:t>
      </w:r>
    </w:p>
    <w:p w14:paraId="22E7B70E" w14:textId="77777777" w:rsidR="0093468C" w:rsidRPr="00184404" w:rsidRDefault="0093468C" w:rsidP="00FC543A">
      <w:pPr>
        <w:rPr>
          <w:rFonts w:ascii="Times New Roman" w:eastAsia="Times New Roman" w:hAnsi="Times New Roman" w:cs="Times New Roman"/>
        </w:rPr>
      </w:pPr>
    </w:p>
    <w:p w14:paraId="2A2E1D53" w14:textId="2207A02B" w:rsidR="009570F6" w:rsidRPr="00184404" w:rsidRDefault="00B94809" w:rsidP="00B94809">
      <w:pPr>
        <w:rPr>
          <w:rFonts w:ascii="Times New Roman" w:eastAsia="Times New Roman" w:hAnsi="Times New Roman" w:cs="Times New Roman"/>
        </w:rPr>
      </w:pPr>
      <w:r w:rsidRPr="00C901F2">
        <w:rPr>
          <w:rFonts w:ascii="Times New Roman" w:eastAsia="Times New Roman" w:hAnsi="Times New Roman" w:cs="Times New Roman"/>
          <w:b/>
          <w:bCs/>
          <w:i/>
          <w:iCs/>
        </w:rPr>
        <w:t>Obstacles faced by civil society</w:t>
      </w:r>
      <w:r w:rsidRPr="00184404">
        <w:rPr>
          <w:rFonts w:ascii="Times New Roman" w:eastAsia="Times New Roman" w:hAnsi="Times New Roman" w:cs="Times New Roman"/>
          <w:b/>
          <w:bCs/>
        </w:rPr>
        <w:t xml:space="preserve">: </w:t>
      </w:r>
      <w:r w:rsidR="00301AF4" w:rsidRPr="00184404">
        <w:rPr>
          <w:rFonts w:ascii="Times New Roman" w:eastAsia="Times New Roman" w:hAnsi="Times New Roman" w:cs="Times New Roman"/>
        </w:rPr>
        <w:t xml:space="preserve">One of the persistent barriers that civil society organizations face in working to prevent biodiversity harm and ecosystem damage due to the use of geoengineering technologies, is lack of access to information about or opportunities to participate in decision-making regarding geoengineering governance. </w:t>
      </w:r>
      <w:r w:rsidR="00396E97">
        <w:rPr>
          <w:rFonts w:ascii="Times New Roman" w:eastAsia="Times New Roman" w:hAnsi="Times New Roman" w:cs="Times New Roman"/>
        </w:rPr>
        <w:t xml:space="preserve">The rights of access to information and participation in decision-making regarding environmental matters are protected under a variety of international human rights law instruments, including </w:t>
      </w:r>
      <w:r w:rsidR="00396E97">
        <w:rPr>
          <w:rFonts w:ascii="Times New Roman" w:eastAsia="Times New Roman" w:hAnsi="Times New Roman" w:cs="Times New Roman"/>
          <w:i/>
          <w:iCs/>
        </w:rPr>
        <w:t xml:space="preserve">inter alia </w:t>
      </w:r>
      <w:r w:rsidR="00396E97">
        <w:rPr>
          <w:rFonts w:ascii="Times New Roman" w:eastAsia="Times New Roman" w:hAnsi="Times New Roman" w:cs="Times New Roman"/>
        </w:rPr>
        <w:t xml:space="preserve">the </w:t>
      </w:r>
      <w:r w:rsidR="00396E97">
        <w:rPr>
          <w:rFonts w:ascii="Times New Roman" w:eastAsia="Times New Roman" w:hAnsi="Times New Roman" w:cs="Times New Roman"/>
        </w:rPr>
        <w:lastRenderedPageBreak/>
        <w:t>International Covenant on Civil and Political Rights (ICCPR)</w:t>
      </w:r>
      <w:r w:rsidR="00AE281C">
        <w:rPr>
          <w:rFonts w:ascii="Times New Roman" w:eastAsia="Times New Roman" w:hAnsi="Times New Roman" w:cs="Times New Roman"/>
        </w:rPr>
        <w:t xml:space="preserve">, </w:t>
      </w:r>
      <w:r w:rsidR="00396E97">
        <w:rPr>
          <w:rFonts w:ascii="Times New Roman" w:eastAsia="Times New Roman" w:hAnsi="Times New Roman" w:cs="Times New Roman"/>
        </w:rPr>
        <w:t xml:space="preserve">the </w:t>
      </w:r>
      <w:r w:rsidR="00396E97" w:rsidRPr="00396E97">
        <w:rPr>
          <w:rFonts w:ascii="Times New Roman" w:eastAsia="Times New Roman" w:hAnsi="Times New Roman" w:cs="Times New Roman"/>
        </w:rPr>
        <w:t>Aarhus Convention on Access to Information, Public Participation in Decision-Making and Access to Justice in Environmental Matters</w:t>
      </w:r>
      <w:r w:rsidR="00AE281C">
        <w:rPr>
          <w:rFonts w:ascii="Times New Roman" w:eastAsia="Times New Roman" w:hAnsi="Times New Roman" w:cs="Times New Roman"/>
        </w:rPr>
        <w:t xml:space="preserve">, and </w:t>
      </w:r>
      <w:r w:rsidR="00AE281C" w:rsidRPr="00AE281C">
        <w:rPr>
          <w:rFonts w:ascii="Times New Roman" w:eastAsia="Times New Roman" w:hAnsi="Times New Roman" w:cs="Times New Roman"/>
        </w:rPr>
        <w:t>Regional Agreement on Access to Information, Public Participation and Justice in Environmental Matters in Latin America and the Caribbean</w:t>
      </w:r>
      <w:r w:rsidR="00AE281C">
        <w:rPr>
          <w:rFonts w:ascii="Times New Roman" w:eastAsia="Times New Roman" w:hAnsi="Times New Roman" w:cs="Times New Roman"/>
        </w:rPr>
        <w:t xml:space="preserve"> (</w:t>
      </w:r>
      <w:proofErr w:type="spellStart"/>
      <w:r w:rsidR="00AE281C">
        <w:rPr>
          <w:rFonts w:ascii="Times New Roman" w:eastAsia="Times New Roman" w:hAnsi="Times New Roman" w:cs="Times New Roman"/>
        </w:rPr>
        <w:t>Escazú</w:t>
      </w:r>
      <w:proofErr w:type="spellEnd"/>
      <w:r w:rsidR="00AE281C">
        <w:rPr>
          <w:rFonts w:ascii="Times New Roman" w:eastAsia="Times New Roman" w:hAnsi="Times New Roman" w:cs="Times New Roman"/>
        </w:rPr>
        <w:t xml:space="preserve"> Agreement)</w:t>
      </w:r>
      <w:r w:rsidR="00396E97">
        <w:rPr>
          <w:rFonts w:ascii="Times New Roman" w:eastAsia="Times New Roman" w:hAnsi="Times New Roman" w:cs="Times New Roman"/>
        </w:rPr>
        <w:t>.</w:t>
      </w:r>
      <w:r w:rsidR="00396E97">
        <w:rPr>
          <w:rStyle w:val="FootnoteReference"/>
          <w:rFonts w:ascii="Times New Roman" w:eastAsia="Times New Roman" w:hAnsi="Times New Roman" w:cs="Times New Roman"/>
        </w:rPr>
        <w:footnoteReference w:id="17"/>
      </w:r>
      <w:r w:rsidR="00396E97">
        <w:rPr>
          <w:rFonts w:ascii="Times New Roman" w:eastAsia="Times New Roman" w:hAnsi="Times New Roman" w:cs="Times New Roman"/>
        </w:rPr>
        <w:t xml:space="preserve"> </w:t>
      </w:r>
      <w:r w:rsidR="00301AF4" w:rsidRPr="00184404">
        <w:rPr>
          <w:rFonts w:ascii="Times New Roman" w:eastAsia="Times New Roman" w:hAnsi="Times New Roman" w:cs="Times New Roman"/>
        </w:rPr>
        <w:t xml:space="preserve">Discussions about geoengineering are occurring in multiple fora, including in industry-led standard-setting bodies like the International </w:t>
      </w:r>
      <w:proofErr w:type="spellStart"/>
      <w:r w:rsidR="00301AF4" w:rsidRPr="00184404">
        <w:rPr>
          <w:rFonts w:ascii="Times New Roman" w:eastAsia="Times New Roman" w:hAnsi="Times New Roman" w:cs="Times New Roman"/>
        </w:rPr>
        <w:t>Organisation</w:t>
      </w:r>
      <w:proofErr w:type="spellEnd"/>
      <w:r w:rsidR="00301AF4" w:rsidRPr="00184404">
        <w:rPr>
          <w:rFonts w:ascii="Times New Roman" w:eastAsia="Times New Roman" w:hAnsi="Times New Roman" w:cs="Times New Roman"/>
        </w:rPr>
        <w:t xml:space="preserve"> for </w:t>
      </w:r>
      <w:proofErr w:type="spellStart"/>
      <w:r w:rsidR="00301AF4" w:rsidRPr="00184404">
        <w:rPr>
          <w:rFonts w:ascii="Times New Roman" w:eastAsia="Times New Roman" w:hAnsi="Times New Roman" w:cs="Times New Roman"/>
        </w:rPr>
        <w:t>Standardisation</w:t>
      </w:r>
      <w:proofErr w:type="spellEnd"/>
      <w:r w:rsidR="00301AF4" w:rsidRPr="00184404">
        <w:rPr>
          <w:rFonts w:ascii="Times New Roman" w:eastAsia="Times New Roman" w:hAnsi="Times New Roman" w:cs="Times New Roman"/>
        </w:rPr>
        <w:t xml:space="preserve"> (ISO)</w:t>
      </w:r>
      <w:r w:rsidR="0006700C" w:rsidRPr="00184404">
        <w:rPr>
          <w:rFonts w:ascii="Times New Roman" w:eastAsia="Times New Roman" w:hAnsi="Times New Roman" w:cs="Times New Roman"/>
        </w:rPr>
        <w:t>, in which governments entities participate</w:t>
      </w:r>
      <w:r w:rsidR="00301AF4" w:rsidRPr="00184404">
        <w:rPr>
          <w:rFonts w:ascii="Times New Roman" w:eastAsia="Times New Roman" w:hAnsi="Times New Roman" w:cs="Times New Roman"/>
        </w:rPr>
        <w:t xml:space="preserve">. The secrecy that shrouds </w:t>
      </w:r>
      <w:r w:rsidRPr="00184404">
        <w:rPr>
          <w:rFonts w:ascii="Times New Roman" w:eastAsia="Times New Roman" w:hAnsi="Times New Roman" w:cs="Times New Roman"/>
        </w:rPr>
        <w:t xml:space="preserve">the ISO </w:t>
      </w:r>
      <w:r w:rsidR="00301AF4" w:rsidRPr="00184404">
        <w:rPr>
          <w:rFonts w:ascii="Times New Roman" w:eastAsia="Times New Roman" w:hAnsi="Times New Roman" w:cs="Times New Roman"/>
        </w:rPr>
        <w:t>process,</w:t>
      </w:r>
      <w:r w:rsidR="00301AF4" w:rsidRPr="00184404">
        <w:rPr>
          <w:rStyle w:val="FootnoteReference"/>
          <w:rFonts w:ascii="Times New Roman" w:eastAsia="Times New Roman" w:hAnsi="Times New Roman" w:cs="Times New Roman"/>
        </w:rPr>
        <w:footnoteReference w:id="18"/>
      </w:r>
      <w:r w:rsidR="00301AF4" w:rsidRPr="00184404">
        <w:rPr>
          <w:rFonts w:ascii="Times New Roman" w:eastAsia="Times New Roman" w:hAnsi="Times New Roman" w:cs="Times New Roman"/>
        </w:rPr>
        <w:t xml:space="preserve"> and more broadly, the absence of public information around geoengineering investments and experiments</w:t>
      </w:r>
      <w:r w:rsidR="0069164B">
        <w:rPr>
          <w:rFonts w:ascii="Times New Roman" w:eastAsia="Times New Roman" w:hAnsi="Times New Roman" w:cs="Times New Roman"/>
        </w:rPr>
        <w:t>,</w:t>
      </w:r>
      <w:r w:rsidRPr="00184404">
        <w:rPr>
          <w:rFonts w:ascii="Times New Roman" w:eastAsia="Times New Roman" w:hAnsi="Times New Roman" w:cs="Times New Roman"/>
        </w:rPr>
        <w:t xml:space="preserve"> impedes public participation in debates and decisions that are critical to </w:t>
      </w:r>
      <w:r w:rsidR="0006700C" w:rsidRPr="00184404">
        <w:rPr>
          <w:rFonts w:ascii="Times New Roman" w:eastAsia="Times New Roman" w:hAnsi="Times New Roman" w:cs="Times New Roman"/>
        </w:rPr>
        <w:t>protecting</w:t>
      </w:r>
      <w:r w:rsidRPr="00184404">
        <w:rPr>
          <w:rFonts w:ascii="Times New Roman" w:eastAsia="Times New Roman" w:hAnsi="Times New Roman" w:cs="Times New Roman"/>
        </w:rPr>
        <w:t xml:space="preserve"> biodiversity, ecosystem health and human rights, and indeed to the future of life on this planet as we know it</w:t>
      </w:r>
      <w:r w:rsidR="00184404">
        <w:rPr>
          <w:rFonts w:ascii="Times New Roman" w:eastAsia="Times New Roman" w:hAnsi="Times New Roman" w:cs="Times New Roman"/>
        </w:rPr>
        <w:t xml:space="preserve">. </w:t>
      </w:r>
    </w:p>
    <w:p w14:paraId="7FD097B6" w14:textId="5295633D" w:rsidR="009570F6" w:rsidRDefault="009570F6" w:rsidP="00B94809">
      <w:pPr>
        <w:rPr>
          <w:rFonts w:ascii="Times New Roman" w:hAnsi="Times New Roman" w:cs="Times New Roman"/>
        </w:rPr>
      </w:pPr>
    </w:p>
    <w:p w14:paraId="1CCA91A0" w14:textId="42F0733E" w:rsidR="0075557F" w:rsidRPr="00184404" w:rsidRDefault="0075557F" w:rsidP="0075557F">
      <w:pPr>
        <w:rPr>
          <w:rFonts w:ascii="Times New Roman" w:eastAsia="Times New Roman" w:hAnsi="Times New Roman" w:cs="Times New Roman"/>
        </w:rPr>
      </w:pPr>
      <w:r w:rsidRPr="00C901F2">
        <w:rPr>
          <w:rFonts w:ascii="Times New Roman" w:hAnsi="Times New Roman" w:cs="Times New Roman"/>
          <w:b/>
          <w:bCs/>
          <w:i/>
          <w:iCs/>
        </w:rPr>
        <w:t>Opportunity</w:t>
      </w:r>
      <w:r>
        <w:rPr>
          <w:rFonts w:ascii="Times New Roman" w:hAnsi="Times New Roman" w:cs="Times New Roman"/>
        </w:rPr>
        <w:t xml:space="preserve">: </w:t>
      </w:r>
      <w:r>
        <w:rPr>
          <w:rFonts w:ascii="Times New Roman" w:eastAsia="Times New Roman" w:hAnsi="Times New Roman" w:cs="Times New Roman"/>
        </w:rPr>
        <w:t xml:space="preserve">The Special Rapporteur has previously expressed concern about the potentially massive human rights and biodiversity impacts of the deployment of “untested” technologies, such as </w:t>
      </w:r>
      <w:proofErr w:type="spellStart"/>
      <w:r>
        <w:rPr>
          <w:rFonts w:ascii="Times New Roman" w:eastAsia="Times New Roman" w:hAnsi="Times New Roman" w:cs="Times New Roman"/>
        </w:rPr>
        <w:t>SRM</w:t>
      </w:r>
      <w:proofErr w:type="spellEnd"/>
      <w:r>
        <w:rPr>
          <w:rFonts w:ascii="Times New Roman" w:eastAsia="Times New Roman" w:hAnsi="Times New Roman" w:cs="Times New Roman"/>
        </w:rPr>
        <w:t xml:space="preserve"> and ocean fertilization, </w:t>
      </w:r>
      <w:r w:rsidR="002C329A">
        <w:rPr>
          <w:rFonts w:ascii="Times New Roman" w:eastAsia="Times New Roman" w:hAnsi="Times New Roman" w:cs="Times New Roman"/>
        </w:rPr>
        <w:t xml:space="preserve">among others, </w:t>
      </w:r>
      <w:r>
        <w:rPr>
          <w:rFonts w:ascii="Times New Roman" w:eastAsia="Times New Roman" w:hAnsi="Times New Roman" w:cs="Times New Roman"/>
        </w:rPr>
        <w:t>and cautioned against their use “until their implications are much better understood.”</w:t>
      </w:r>
      <w:r>
        <w:rPr>
          <w:rStyle w:val="FootnoteReference"/>
          <w:rFonts w:ascii="Times New Roman" w:eastAsia="Times New Roman" w:hAnsi="Times New Roman" w:cs="Times New Roman"/>
        </w:rPr>
        <w:footnoteReference w:id="19"/>
      </w:r>
      <w:r w:rsidR="00FE2EA9">
        <w:rPr>
          <w:rFonts w:ascii="Times New Roman" w:eastAsia="Times New Roman" w:hAnsi="Times New Roman" w:cs="Times New Roman"/>
        </w:rPr>
        <w:t xml:space="preserve"> </w:t>
      </w:r>
      <w:r w:rsidR="002C329A">
        <w:rPr>
          <w:rFonts w:ascii="Times New Roman" w:eastAsia="Times New Roman" w:hAnsi="Times New Roman" w:cs="Times New Roman"/>
        </w:rPr>
        <w:t xml:space="preserve">The Rapporteur has also acknowledged the risks posed by poorly implemented </w:t>
      </w:r>
      <w:proofErr w:type="spellStart"/>
      <w:r w:rsidR="002C329A">
        <w:rPr>
          <w:rFonts w:ascii="Times New Roman" w:eastAsia="Times New Roman" w:hAnsi="Times New Roman" w:cs="Times New Roman"/>
        </w:rPr>
        <w:t>CDR</w:t>
      </w:r>
      <w:proofErr w:type="spellEnd"/>
      <w:r w:rsidR="002C329A">
        <w:rPr>
          <w:rFonts w:ascii="Times New Roman" w:eastAsia="Times New Roman" w:hAnsi="Times New Roman" w:cs="Times New Roman"/>
        </w:rPr>
        <w:t xml:space="preserve">, such as </w:t>
      </w:r>
      <w:proofErr w:type="spellStart"/>
      <w:r w:rsidR="002C329A">
        <w:rPr>
          <w:rFonts w:ascii="Times New Roman" w:eastAsia="Times New Roman" w:hAnsi="Times New Roman" w:cs="Times New Roman"/>
        </w:rPr>
        <w:t>BECCS</w:t>
      </w:r>
      <w:proofErr w:type="spellEnd"/>
      <w:r w:rsidR="002C329A">
        <w:rPr>
          <w:rFonts w:ascii="Times New Roman" w:eastAsia="Times New Roman" w:hAnsi="Times New Roman" w:cs="Times New Roman"/>
        </w:rPr>
        <w:t>.</w:t>
      </w:r>
      <w:r w:rsidR="002C329A">
        <w:rPr>
          <w:rStyle w:val="FootnoteReference"/>
          <w:rFonts w:ascii="Times New Roman" w:eastAsia="Times New Roman" w:hAnsi="Times New Roman" w:cs="Times New Roman"/>
        </w:rPr>
        <w:footnoteReference w:id="20"/>
      </w:r>
      <w:r w:rsidR="002C329A">
        <w:rPr>
          <w:rFonts w:ascii="Times New Roman" w:eastAsia="Times New Roman" w:hAnsi="Times New Roman" w:cs="Times New Roman"/>
        </w:rPr>
        <w:t xml:space="preserve"> </w:t>
      </w:r>
      <w:r w:rsidR="00FE2EA9">
        <w:rPr>
          <w:rFonts w:ascii="Times New Roman" w:eastAsia="Times New Roman" w:hAnsi="Times New Roman" w:cs="Times New Roman"/>
        </w:rPr>
        <w:t>The current report presents an opportunity</w:t>
      </w:r>
      <w:r w:rsidR="00C014E1">
        <w:rPr>
          <w:rFonts w:ascii="Times New Roman" w:eastAsia="Times New Roman" w:hAnsi="Times New Roman" w:cs="Times New Roman"/>
        </w:rPr>
        <w:t>:</w:t>
      </w:r>
      <w:r w:rsidR="00FE2EA9">
        <w:rPr>
          <w:rFonts w:ascii="Times New Roman" w:eastAsia="Times New Roman" w:hAnsi="Times New Roman" w:cs="Times New Roman"/>
        </w:rPr>
        <w:t xml:space="preserve"> to reinforce and expound on that discussion of the potential risks of geoengineering to biodiversity and healthy ecosystems</w:t>
      </w:r>
      <w:r w:rsidR="00C014E1">
        <w:rPr>
          <w:rFonts w:ascii="Times New Roman" w:eastAsia="Times New Roman" w:hAnsi="Times New Roman" w:cs="Times New Roman"/>
        </w:rPr>
        <w:t>;</w:t>
      </w:r>
      <w:r w:rsidR="00FE2EA9">
        <w:rPr>
          <w:rFonts w:ascii="Times New Roman" w:eastAsia="Times New Roman" w:hAnsi="Times New Roman" w:cs="Times New Roman"/>
        </w:rPr>
        <w:t xml:space="preserve"> to promote respect for existing </w:t>
      </w:r>
      <w:r w:rsidR="00FE2EA9" w:rsidRPr="00C901F2">
        <w:rPr>
          <w:rFonts w:ascii="Times New Roman" w:eastAsia="Times New Roman" w:hAnsi="Times New Roman" w:cs="Times New Roman"/>
          <w:i/>
          <w:iCs/>
        </w:rPr>
        <w:t>de facto</w:t>
      </w:r>
      <w:r w:rsidR="00FE2EA9">
        <w:rPr>
          <w:rFonts w:ascii="Times New Roman" w:eastAsia="Times New Roman" w:hAnsi="Times New Roman" w:cs="Times New Roman"/>
        </w:rPr>
        <w:t xml:space="preserve"> and </w:t>
      </w:r>
      <w:r w:rsidR="00FE2EA9" w:rsidRPr="00C901F2">
        <w:rPr>
          <w:rFonts w:ascii="Times New Roman" w:eastAsia="Times New Roman" w:hAnsi="Times New Roman" w:cs="Times New Roman"/>
          <w:i/>
          <w:iCs/>
        </w:rPr>
        <w:t>de jure</w:t>
      </w:r>
      <w:r w:rsidR="00FE2EA9">
        <w:rPr>
          <w:rFonts w:ascii="Times New Roman" w:eastAsia="Times New Roman" w:hAnsi="Times New Roman" w:cs="Times New Roman"/>
        </w:rPr>
        <w:t xml:space="preserve"> moratoria and prohibitions on the use of certain geoengineering technologies</w:t>
      </w:r>
      <w:r w:rsidR="002C329A">
        <w:rPr>
          <w:rFonts w:ascii="Times New Roman" w:eastAsia="Times New Roman" w:hAnsi="Times New Roman" w:cs="Times New Roman"/>
        </w:rPr>
        <w:t>, consistent with the precautionary principle</w:t>
      </w:r>
      <w:r w:rsidR="00C014E1">
        <w:rPr>
          <w:rFonts w:ascii="Times New Roman" w:eastAsia="Times New Roman" w:hAnsi="Times New Roman" w:cs="Times New Roman"/>
        </w:rPr>
        <w:t>;</w:t>
      </w:r>
      <w:r w:rsidR="00FE2EA9">
        <w:rPr>
          <w:rFonts w:ascii="Times New Roman" w:eastAsia="Times New Roman" w:hAnsi="Times New Roman" w:cs="Times New Roman"/>
        </w:rPr>
        <w:t xml:space="preserve"> and to underscore the importance of upholding the rights to information and participation in the context of </w:t>
      </w:r>
      <w:r w:rsidR="00AE281C">
        <w:rPr>
          <w:rFonts w:ascii="Times New Roman" w:eastAsia="Times New Roman" w:hAnsi="Times New Roman" w:cs="Times New Roman"/>
        </w:rPr>
        <w:t xml:space="preserve">discussions regarding geoengineering and any </w:t>
      </w:r>
      <w:r w:rsidR="00FE2EA9">
        <w:rPr>
          <w:rFonts w:ascii="Times New Roman" w:eastAsia="Times New Roman" w:hAnsi="Times New Roman" w:cs="Times New Roman"/>
        </w:rPr>
        <w:t xml:space="preserve">decisions </w:t>
      </w:r>
      <w:r w:rsidR="00AE281C">
        <w:rPr>
          <w:rFonts w:ascii="Times New Roman" w:eastAsia="Times New Roman" w:hAnsi="Times New Roman" w:cs="Times New Roman"/>
        </w:rPr>
        <w:t>concerning its deployment, regulation or governance.</w:t>
      </w:r>
      <w:r w:rsidR="00FE2EA9">
        <w:rPr>
          <w:rFonts w:ascii="Times New Roman" w:eastAsia="Times New Roman" w:hAnsi="Times New Roman" w:cs="Times New Roman"/>
        </w:rPr>
        <w:t xml:space="preserve">  </w:t>
      </w:r>
    </w:p>
    <w:p w14:paraId="480CEF4E" w14:textId="224158CE" w:rsidR="0075557F" w:rsidRPr="00184404" w:rsidRDefault="0075557F" w:rsidP="00B94809">
      <w:pPr>
        <w:rPr>
          <w:rFonts w:ascii="Times New Roman" w:hAnsi="Times New Roman" w:cs="Times New Roman"/>
        </w:rPr>
      </w:pPr>
    </w:p>
    <w:p w14:paraId="134A4AA3" w14:textId="4F2DE582" w:rsidR="00F97A9C" w:rsidRPr="00184404" w:rsidRDefault="00B94809" w:rsidP="00E830FF">
      <w:pPr>
        <w:rPr>
          <w:rFonts w:ascii="Times New Roman" w:eastAsia="Times New Roman" w:hAnsi="Times New Roman" w:cs="Times New Roman"/>
          <w:b/>
          <w:bCs/>
        </w:rPr>
      </w:pPr>
      <w:r w:rsidRPr="00184404">
        <w:rPr>
          <w:rFonts w:ascii="Times New Roman" w:eastAsia="Times New Roman" w:hAnsi="Times New Roman" w:cs="Times New Roman"/>
          <w:b/>
          <w:bCs/>
        </w:rPr>
        <w:t>Fossil Fuel-</w:t>
      </w:r>
      <w:r w:rsidR="007717EB" w:rsidRPr="00184404">
        <w:rPr>
          <w:rFonts w:ascii="Times New Roman" w:eastAsia="Times New Roman" w:hAnsi="Times New Roman" w:cs="Times New Roman"/>
          <w:b/>
          <w:bCs/>
        </w:rPr>
        <w:t xml:space="preserve">Derived Plastics, Pesticides, and Fertilizers </w:t>
      </w:r>
      <w:r w:rsidR="006E3D4E" w:rsidRPr="00184404">
        <w:rPr>
          <w:rFonts w:ascii="Times New Roman" w:eastAsia="Times New Roman" w:hAnsi="Times New Roman" w:cs="Times New Roman"/>
          <w:b/>
          <w:bCs/>
        </w:rPr>
        <w:t>Threaten Biodiversity</w:t>
      </w:r>
    </w:p>
    <w:p w14:paraId="75044842" w14:textId="77777777" w:rsidR="009570F6" w:rsidRPr="00184404" w:rsidRDefault="009570F6" w:rsidP="00E830FF">
      <w:pPr>
        <w:rPr>
          <w:rFonts w:ascii="Times New Roman" w:eastAsia="Times New Roman" w:hAnsi="Times New Roman" w:cs="Times New Roman"/>
          <w:b/>
          <w:bCs/>
        </w:rPr>
      </w:pPr>
    </w:p>
    <w:p w14:paraId="104C3433" w14:textId="3D9EFA0F" w:rsidR="006D6B5C" w:rsidRPr="00184404" w:rsidRDefault="006E3D4E" w:rsidP="007D28F9">
      <w:pPr>
        <w:rPr>
          <w:rFonts w:ascii="Times New Roman" w:hAnsi="Times New Roman" w:cs="Times New Roman"/>
        </w:rPr>
      </w:pPr>
      <w:r w:rsidRPr="00184404">
        <w:rPr>
          <w:rFonts w:ascii="Times New Roman" w:eastAsia="Times New Roman" w:hAnsi="Times New Roman" w:cs="Times New Roman"/>
        </w:rPr>
        <w:t>Much of the discussion regarding the impacts of fossil fuels on biodiversity and ecosystem health focuses on the upstream effects of oil, gas and coal extraction</w:t>
      </w:r>
      <w:r w:rsidR="007D28F9" w:rsidRPr="00184404">
        <w:rPr>
          <w:rFonts w:ascii="Times New Roman" w:eastAsia="Times New Roman" w:hAnsi="Times New Roman" w:cs="Times New Roman"/>
        </w:rPr>
        <w:t xml:space="preserve"> on local communities and environments</w:t>
      </w:r>
      <w:r w:rsidRPr="00184404">
        <w:rPr>
          <w:rFonts w:ascii="Times New Roman" w:eastAsia="Times New Roman" w:hAnsi="Times New Roman" w:cs="Times New Roman"/>
        </w:rPr>
        <w:t xml:space="preserve">, and the downstream effects of fuel combustion on </w:t>
      </w:r>
      <w:r w:rsidR="007D28F9" w:rsidRPr="00184404">
        <w:rPr>
          <w:rFonts w:ascii="Times New Roman" w:eastAsia="Times New Roman" w:hAnsi="Times New Roman" w:cs="Times New Roman"/>
        </w:rPr>
        <w:t xml:space="preserve">the </w:t>
      </w:r>
      <w:r w:rsidRPr="00184404">
        <w:rPr>
          <w:rFonts w:ascii="Times New Roman" w:eastAsia="Times New Roman" w:hAnsi="Times New Roman" w:cs="Times New Roman"/>
        </w:rPr>
        <w:t>global climate. Less attention has been paid to date to the biodiversity and ecosystem impacts of downstream industries dependent on fossil fuel derivatives</w:t>
      </w:r>
      <w:r w:rsidR="0001283E">
        <w:rPr>
          <w:rFonts w:ascii="Times New Roman" w:eastAsia="Times New Roman" w:hAnsi="Times New Roman" w:cs="Times New Roman"/>
        </w:rPr>
        <w:t>, petrochemicals and other chemical byproducts</w:t>
      </w:r>
      <w:r w:rsidR="0069164B">
        <w:rPr>
          <w:rFonts w:ascii="Times New Roman" w:eastAsia="Times New Roman" w:hAnsi="Times New Roman" w:cs="Times New Roman"/>
        </w:rPr>
        <w:t xml:space="preserve"> </w:t>
      </w:r>
      <w:r w:rsidR="0001283E">
        <w:rPr>
          <w:rFonts w:ascii="Times New Roman" w:eastAsia="Times New Roman" w:hAnsi="Times New Roman" w:cs="Times New Roman"/>
        </w:rPr>
        <w:t xml:space="preserve">of oil and gas </w:t>
      </w:r>
      <w:r w:rsidR="0069164B">
        <w:rPr>
          <w:rFonts w:ascii="Times New Roman" w:eastAsia="Times New Roman" w:hAnsi="Times New Roman" w:cs="Times New Roman"/>
        </w:rPr>
        <w:t>used to produce plastics,</w:t>
      </w:r>
      <w:r w:rsidR="00753E92" w:rsidRPr="00184404">
        <w:rPr>
          <w:rFonts w:ascii="Times New Roman" w:eastAsia="Times New Roman" w:hAnsi="Times New Roman" w:cs="Times New Roman"/>
        </w:rPr>
        <w:t xml:space="preserve"> fertilizer</w:t>
      </w:r>
      <w:r w:rsidR="0069164B">
        <w:rPr>
          <w:rFonts w:ascii="Times New Roman" w:eastAsia="Times New Roman" w:hAnsi="Times New Roman" w:cs="Times New Roman"/>
        </w:rPr>
        <w:t>s</w:t>
      </w:r>
      <w:r w:rsidR="00753E92" w:rsidRPr="00184404">
        <w:rPr>
          <w:rFonts w:ascii="Times New Roman" w:eastAsia="Times New Roman" w:hAnsi="Times New Roman" w:cs="Times New Roman"/>
        </w:rPr>
        <w:t xml:space="preserve"> and pesticide</w:t>
      </w:r>
      <w:r w:rsidR="0069164B">
        <w:rPr>
          <w:rFonts w:ascii="Times New Roman" w:eastAsia="Times New Roman" w:hAnsi="Times New Roman" w:cs="Times New Roman"/>
        </w:rPr>
        <w:t>s</w:t>
      </w:r>
      <w:r w:rsidRPr="00184404">
        <w:rPr>
          <w:rFonts w:ascii="Times New Roman" w:eastAsia="Times New Roman" w:hAnsi="Times New Roman" w:cs="Times New Roman"/>
        </w:rPr>
        <w:t xml:space="preserve">. </w:t>
      </w:r>
      <w:r w:rsidR="007D28F9" w:rsidRPr="00184404">
        <w:rPr>
          <w:rFonts w:ascii="Times New Roman" w:eastAsia="Times New Roman" w:hAnsi="Times New Roman" w:cs="Times New Roman"/>
        </w:rPr>
        <w:t xml:space="preserve">Both the </w:t>
      </w:r>
      <w:r w:rsidR="0069164B">
        <w:rPr>
          <w:rFonts w:ascii="Times New Roman" w:eastAsia="Times New Roman" w:hAnsi="Times New Roman" w:cs="Times New Roman"/>
        </w:rPr>
        <w:t>manufacture</w:t>
      </w:r>
      <w:r w:rsidR="0069164B" w:rsidRPr="00184404">
        <w:rPr>
          <w:rFonts w:ascii="Times New Roman" w:eastAsia="Times New Roman" w:hAnsi="Times New Roman" w:cs="Times New Roman"/>
        </w:rPr>
        <w:t xml:space="preserve"> </w:t>
      </w:r>
      <w:r w:rsidR="007D28F9" w:rsidRPr="00184404">
        <w:rPr>
          <w:rFonts w:ascii="Times New Roman" w:eastAsia="Times New Roman" w:hAnsi="Times New Roman" w:cs="Times New Roman"/>
        </w:rPr>
        <w:t>and end-use of these fossil fuel-based products pose risks to ecosystem health.</w:t>
      </w:r>
      <w:r w:rsidR="00EA3E2D">
        <w:rPr>
          <w:rStyle w:val="FootnoteReference"/>
          <w:rFonts w:ascii="Times New Roman" w:eastAsia="Times New Roman" w:hAnsi="Times New Roman" w:cs="Times New Roman"/>
        </w:rPr>
        <w:footnoteReference w:id="21"/>
      </w:r>
      <w:r w:rsidR="007D28F9" w:rsidRPr="00184404">
        <w:rPr>
          <w:rFonts w:ascii="Times New Roman" w:eastAsia="Times New Roman" w:hAnsi="Times New Roman" w:cs="Times New Roman"/>
        </w:rPr>
        <w:t xml:space="preserve"> </w:t>
      </w:r>
      <w:r w:rsidR="00753E92" w:rsidRPr="00184404">
        <w:rPr>
          <w:rFonts w:ascii="Times New Roman" w:hAnsi="Times New Roman" w:cs="Times New Roman"/>
        </w:rPr>
        <w:t>The overuse of fossil</w:t>
      </w:r>
      <w:r w:rsidR="0069164B">
        <w:rPr>
          <w:rFonts w:ascii="Times New Roman" w:hAnsi="Times New Roman" w:cs="Times New Roman"/>
        </w:rPr>
        <w:t xml:space="preserve"> </w:t>
      </w:r>
      <w:r w:rsidR="00753E92" w:rsidRPr="00184404">
        <w:rPr>
          <w:rFonts w:ascii="Times New Roman" w:hAnsi="Times New Roman" w:cs="Times New Roman"/>
        </w:rPr>
        <w:t>fuel</w:t>
      </w:r>
      <w:r w:rsidR="0069164B">
        <w:rPr>
          <w:rFonts w:ascii="Times New Roman" w:hAnsi="Times New Roman" w:cs="Times New Roman"/>
        </w:rPr>
        <w:t>-</w:t>
      </w:r>
      <w:r w:rsidR="0069164B">
        <w:rPr>
          <w:rFonts w:ascii="Times New Roman" w:hAnsi="Times New Roman" w:cs="Times New Roman"/>
        </w:rPr>
        <w:lastRenderedPageBreak/>
        <w:t xml:space="preserve">derived </w:t>
      </w:r>
      <w:r w:rsidR="00753E92" w:rsidRPr="00184404">
        <w:rPr>
          <w:rFonts w:ascii="Times New Roman" w:hAnsi="Times New Roman" w:cs="Times New Roman"/>
        </w:rPr>
        <w:t>pesticides is a major driver of biodiversity loss for an array of species, including pollinators, amphibians, and most fundamentally, insects.</w:t>
      </w:r>
      <w:r w:rsidR="000B2DA7">
        <w:rPr>
          <w:rStyle w:val="FootnoteReference"/>
          <w:rFonts w:ascii="Times New Roman" w:hAnsi="Times New Roman" w:cs="Times New Roman"/>
        </w:rPr>
        <w:footnoteReference w:id="22"/>
      </w:r>
      <w:r w:rsidR="00753E92" w:rsidRPr="00184404">
        <w:rPr>
          <w:rFonts w:ascii="Times New Roman" w:hAnsi="Times New Roman" w:cs="Times New Roman"/>
        </w:rPr>
        <w:t xml:space="preserve"> Global insect biomass has declined catastrophically in recent decades, jeopardizing both terrestrial and freshwater food webs. </w:t>
      </w:r>
      <w:r w:rsidR="006960A9">
        <w:rPr>
          <w:rFonts w:ascii="Times New Roman" w:hAnsi="Times New Roman" w:cs="Times New Roman"/>
        </w:rPr>
        <w:t>And microplastics, which are ubiquitous in the environment, contaminate and accumulate</w:t>
      </w:r>
      <w:r w:rsidR="006960A9" w:rsidRPr="006960A9">
        <w:t xml:space="preserve"> </w:t>
      </w:r>
      <w:r w:rsidR="006960A9" w:rsidRPr="006960A9">
        <w:rPr>
          <w:rFonts w:ascii="Times New Roman" w:hAnsi="Times New Roman" w:cs="Times New Roman"/>
        </w:rPr>
        <w:t>in food chains through agricultural soils, terrestrial and aquatic food chains, and the water suppl</w:t>
      </w:r>
      <w:r w:rsidR="006960A9">
        <w:rPr>
          <w:rFonts w:ascii="Times New Roman" w:hAnsi="Times New Roman" w:cs="Times New Roman"/>
        </w:rPr>
        <w:t xml:space="preserve">y, affecting biodiversity and human health. </w:t>
      </w:r>
    </w:p>
    <w:p w14:paraId="55E2D47F" w14:textId="77777777" w:rsidR="006D6B5C" w:rsidRPr="00184404" w:rsidRDefault="006D6B5C" w:rsidP="007D28F9">
      <w:pPr>
        <w:rPr>
          <w:rFonts w:ascii="Times New Roman" w:hAnsi="Times New Roman" w:cs="Times New Roman"/>
        </w:rPr>
      </w:pPr>
    </w:p>
    <w:p w14:paraId="1336FD0C" w14:textId="59B0F9FB" w:rsidR="00491947" w:rsidRPr="00184404" w:rsidRDefault="00E13418" w:rsidP="007D28F9">
      <w:pPr>
        <w:rPr>
          <w:rFonts w:ascii="Times New Roman" w:hAnsi="Times New Roman" w:cs="Times New Roman"/>
        </w:rPr>
      </w:pPr>
      <w:r>
        <w:rPr>
          <w:rFonts w:ascii="Times New Roman" w:hAnsi="Times New Roman" w:cs="Times New Roman"/>
          <w:b/>
          <w:bCs/>
          <w:i/>
          <w:iCs/>
        </w:rPr>
        <w:t xml:space="preserve">State obligations and corporate responsibility: </w:t>
      </w:r>
      <w:r w:rsidR="007D28F9" w:rsidRPr="00184404">
        <w:rPr>
          <w:rFonts w:ascii="Times New Roman" w:hAnsi="Times New Roman" w:cs="Times New Roman"/>
        </w:rPr>
        <w:t xml:space="preserve">Pursuant to their duty to protect human rights, </w:t>
      </w:r>
      <w:r w:rsidR="002E4A50">
        <w:rPr>
          <w:rFonts w:ascii="Times New Roman" w:hAnsi="Times New Roman" w:cs="Times New Roman"/>
        </w:rPr>
        <w:t>s</w:t>
      </w:r>
      <w:r w:rsidR="002E4A50" w:rsidRPr="00184404">
        <w:rPr>
          <w:rFonts w:ascii="Times New Roman" w:hAnsi="Times New Roman" w:cs="Times New Roman"/>
        </w:rPr>
        <w:t xml:space="preserve">tates </w:t>
      </w:r>
      <w:r w:rsidR="007D28F9" w:rsidRPr="00184404">
        <w:rPr>
          <w:rFonts w:ascii="Times New Roman" w:hAnsi="Times New Roman" w:cs="Times New Roman"/>
        </w:rPr>
        <w:t xml:space="preserve">have an obligation to ensure that the production of </w:t>
      </w:r>
      <w:r w:rsidR="002E4A50" w:rsidRPr="00184404">
        <w:rPr>
          <w:rFonts w:ascii="Times New Roman" w:hAnsi="Times New Roman" w:cs="Times New Roman"/>
        </w:rPr>
        <w:t xml:space="preserve">fossil fuel-based </w:t>
      </w:r>
      <w:r w:rsidR="007D28F9" w:rsidRPr="00184404">
        <w:rPr>
          <w:rFonts w:ascii="Times New Roman" w:hAnsi="Times New Roman" w:cs="Times New Roman"/>
        </w:rPr>
        <w:t>fertilizers and pesticides does not endanger human health and the health of the ecosystems on which humans depend. That entails enacting sufficiently robust regulations of production processes</w:t>
      </w:r>
      <w:r w:rsidR="006D6B5C" w:rsidRPr="00184404">
        <w:rPr>
          <w:rFonts w:ascii="Times New Roman" w:hAnsi="Times New Roman" w:cs="Times New Roman"/>
        </w:rPr>
        <w:t>,</w:t>
      </w:r>
      <w:r w:rsidR="007D28F9" w:rsidRPr="00184404">
        <w:rPr>
          <w:rFonts w:ascii="Times New Roman" w:hAnsi="Times New Roman" w:cs="Times New Roman"/>
        </w:rPr>
        <w:t xml:space="preserve"> implementing regular monitoring and oversight to ensure compliance with those regulations</w:t>
      </w:r>
      <w:r w:rsidR="006D6B5C" w:rsidRPr="00184404">
        <w:rPr>
          <w:rFonts w:ascii="Times New Roman" w:hAnsi="Times New Roman" w:cs="Times New Roman"/>
        </w:rPr>
        <w:t>, and providing access to remedy when violations occur</w:t>
      </w:r>
      <w:r w:rsidR="007D28F9" w:rsidRPr="00184404">
        <w:rPr>
          <w:rFonts w:ascii="Times New Roman" w:hAnsi="Times New Roman" w:cs="Times New Roman"/>
        </w:rPr>
        <w:t xml:space="preserve">. Corporations, in turn, have a responsibility to ensure </w:t>
      </w:r>
      <w:r w:rsidR="006D6B5C" w:rsidRPr="00184404">
        <w:rPr>
          <w:rFonts w:ascii="Times New Roman" w:hAnsi="Times New Roman" w:cs="Times New Roman"/>
        </w:rPr>
        <w:t xml:space="preserve">that </w:t>
      </w:r>
      <w:r w:rsidR="007D28F9" w:rsidRPr="00184404">
        <w:rPr>
          <w:rFonts w:ascii="Times New Roman" w:hAnsi="Times New Roman" w:cs="Times New Roman"/>
        </w:rPr>
        <w:t>their operations do not cause o</w:t>
      </w:r>
      <w:r w:rsidR="006D6B5C" w:rsidRPr="00184404">
        <w:rPr>
          <w:rFonts w:ascii="Times New Roman" w:hAnsi="Times New Roman" w:cs="Times New Roman"/>
        </w:rPr>
        <w:t>r</w:t>
      </w:r>
      <w:r w:rsidR="007D28F9" w:rsidRPr="00184404">
        <w:rPr>
          <w:rFonts w:ascii="Times New Roman" w:hAnsi="Times New Roman" w:cs="Times New Roman"/>
        </w:rPr>
        <w:t xml:space="preserve"> contribute to human rights violations</w:t>
      </w:r>
      <w:r w:rsidR="00AC19B2" w:rsidRPr="00184404">
        <w:rPr>
          <w:rFonts w:ascii="Times New Roman" w:hAnsi="Times New Roman" w:cs="Times New Roman"/>
        </w:rPr>
        <w:t xml:space="preserve"> and that when they do, they provide for or cooperate in the remediation of human rights and environmental harms.</w:t>
      </w:r>
      <w:r w:rsidR="0001283E">
        <w:rPr>
          <w:rStyle w:val="FootnoteReference"/>
          <w:rFonts w:ascii="Times New Roman" w:hAnsi="Times New Roman" w:cs="Times New Roman"/>
        </w:rPr>
        <w:footnoteReference w:id="23"/>
      </w:r>
    </w:p>
    <w:p w14:paraId="06445B67" w14:textId="77777777" w:rsidR="00E13418" w:rsidRDefault="00E13418" w:rsidP="00E13418">
      <w:pPr>
        <w:rPr>
          <w:rFonts w:ascii="Times New Roman" w:hAnsi="Times New Roman" w:cs="Times New Roman"/>
          <w:b/>
          <w:bCs/>
          <w:i/>
          <w:iCs/>
        </w:rPr>
      </w:pPr>
    </w:p>
    <w:p w14:paraId="23103D1E" w14:textId="68C971A2" w:rsidR="00E13418" w:rsidRPr="00184404" w:rsidRDefault="00E13418" w:rsidP="00E13418">
      <w:pPr>
        <w:rPr>
          <w:rFonts w:ascii="Times New Roman" w:hAnsi="Times New Roman" w:cs="Times New Roman"/>
        </w:rPr>
      </w:pPr>
      <w:r>
        <w:rPr>
          <w:rFonts w:ascii="Times New Roman" w:hAnsi="Times New Roman" w:cs="Times New Roman"/>
          <w:b/>
          <w:bCs/>
          <w:i/>
          <w:iCs/>
        </w:rPr>
        <w:t xml:space="preserve">Opportunity: </w:t>
      </w:r>
      <w:r w:rsidRPr="00184404">
        <w:rPr>
          <w:rFonts w:ascii="Times New Roman" w:hAnsi="Times New Roman" w:cs="Times New Roman"/>
        </w:rPr>
        <w:t xml:space="preserve">To date, </w:t>
      </w:r>
      <w:r>
        <w:rPr>
          <w:rFonts w:ascii="Times New Roman" w:hAnsi="Times New Roman" w:cs="Times New Roman"/>
        </w:rPr>
        <w:t xml:space="preserve">many </w:t>
      </w:r>
      <w:r w:rsidRPr="00184404">
        <w:rPr>
          <w:rFonts w:ascii="Times New Roman" w:hAnsi="Times New Roman" w:cs="Times New Roman"/>
        </w:rPr>
        <w:t xml:space="preserve">efforts to prevent </w:t>
      </w:r>
      <w:r>
        <w:rPr>
          <w:rFonts w:ascii="Times New Roman" w:hAnsi="Times New Roman" w:cs="Times New Roman"/>
        </w:rPr>
        <w:t>the above-mentioned</w:t>
      </w:r>
      <w:r w:rsidRPr="00184404">
        <w:rPr>
          <w:rFonts w:ascii="Times New Roman" w:hAnsi="Times New Roman" w:cs="Times New Roman"/>
        </w:rPr>
        <w:t xml:space="preserve"> harms have focused on regulation of the sale</w:t>
      </w:r>
      <w:r w:rsidR="0013129E">
        <w:rPr>
          <w:rFonts w:ascii="Times New Roman" w:hAnsi="Times New Roman" w:cs="Times New Roman"/>
        </w:rPr>
        <w:t xml:space="preserve">, </w:t>
      </w:r>
      <w:r w:rsidRPr="00184404">
        <w:rPr>
          <w:rFonts w:ascii="Times New Roman" w:hAnsi="Times New Roman" w:cs="Times New Roman"/>
        </w:rPr>
        <w:t xml:space="preserve">use </w:t>
      </w:r>
      <w:r w:rsidR="0013129E">
        <w:rPr>
          <w:rFonts w:ascii="Times New Roman" w:hAnsi="Times New Roman" w:cs="Times New Roman"/>
        </w:rPr>
        <w:t xml:space="preserve">and disposal </w:t>
      </w:r>
      <w:r w:rsidRPr="00184404">
        <w:rPr>
          <w:rFonts w:ascii="Times New Roman" w:hAnsi="Times New Roman" w:cs="Times New Roman"/>
        </w:rPr>
        <w:t xml:space="preserve">of </w:t>
      </w:r>
      <w:r w:rsidR="0013129E">
        <w:rPr>
          <w:rFonts w:ascii="Times New Roman" w:hAnsi="Times New Roman" w:cs="Times New Roman"/>
        </w:rPr>
        <w:t xml:space="preserve">plastics, pesticides and </w:t>
      </w:r>
      <w:r w:rsidRPr="00184404">
        <w:rPr>
          <w:rFonts w:ascii="Times New Roman" w:hAnsi="Times New Roman" w:cs="Times New Roman"/>
        </w:rPr>
        <w:t xml:space="preserve">fertilizers, not their production or the fossil fuel-derived inputs on which they depend. Much like the campaign to phase-out the use of oil, gas and coal as fuel, </w:t>
      </w:r>
      <w:r>
        <w:rPr>
          <w:rFonts w:ascii="Times New Roman" w:hAnsi="Times New Roman" w:cs="Times New Roman"/>
        </w:rPr>
        <w:t xml:space="preserve">however, </w:t>
      </w:r>
      <w:r w:rsidRPr="00184404">
        <w:rPr>
          <w:rFonts w:ascii="Times New Roman" w:hAnsi="Times New Roman" w:cs="Times New Roman"/>
        </w:rPr>
        <w:t xml:space="preserve">the push to reduce the use of </w:t>
      </w:r>
      <w:r w:rsidR="0013129E">
        <w:rPr>
          <w:rFonts w:ascii="Times New Roman" w:hAnsi="Times New Roman" w:cs="Times New Roman"/>
        </w:rPr>
        <w:t xml:space="preserve">plastics, </w:t>
      </w:r>
      <w:r w:rsidRPr="00184404">
        <w:rPr>
          <w:rFonts w:ascii="Times New Roman" w:hAnsi="Times New Roman" w:cs="Times New Roman"/>
        </w:rPr>
        <w:t xml:space="preserve">chemical pesticides and fertilizers cannot focus only on the demand side; it must also look up the chain, to stem the glut of supply at its source. </w:t>
      </w:r>
      <w:r>
        <w:rPr>
          <w:rFonts w:ascii="Times New Roman" w:hAnsi="Times New Roman" w:cs="Times New Roman"/>
        </w:rPr>
        <w:t xml:space="preserve">The Report on Healthy Ecosystems and Human Rights provides an opportunity to highlight the connection between </w:t>
      </w:r>
      <w:r w:rsidR="009A185E">
        <w:rPr>
          <w:rFonts w:ascii="Times New Roman" w:hAnsi="Times New Roman" w:cs="Times New Roman"/>
        </w:rPr>
        <w:t xml:space="preserve">the </w:t>
      </w:r>
      <w:r>
        <w:rPr>
          <w:rFonts w:ascii="Times New Roman" w:hAnsi="Times New Roman" w:cs="Times New Roman"/>
        </w:rPr>
        <w:t xml:space="preserve">fossil fuel </w:t>
      </w:r>
      <w:r w:rsidR="009A185E">
        <w:rPr>
          <w:rFonts w:ascii="Times New Roman" w:hAnsi="Times New Roman" w:cs="Times New Roman"/>
        </w:rPr>
        <w:t xml:space="preserve">industry and the downstream biodiversity impacts of the plastics, pesticides and fertilizers derived from it, and to emphasize </w:t>
      </w:r>
      <w:r w:rsidR="0013129E">
        <w:rPr>
          <w:rFonts w:ascii="Times New Roman" w:hAnsi="Times New Roman" w:cs="Times New Roman"/>
        </w:rPr>
        <w:t xml:space="preserve">that to be effective, solutions must also address the source of the harmful products. </w:t>
      </w:r>
      <w:r w:rsidR="009A185E">
        <w:rPr>
          <w:rFonts w:ascii="Times New Roman" w:hAnsi="Times New Roman" w:cs="Times New Roman"/>
        </w:rPr>
        <w:t xml:space="preserve">    </w:t>
      </w:r>
    </w:p>
    <w:p w14:paraId="42FE9CD1" w14:textId="77777777" w:rsidR="00184404" w:rsidRPr="00184404" w:rsidRDefault="00184404" w:rsidP="00184404">
      <w:pPr>
        <w:rPr>
          <w:rFonts w:ascii="Times New Roman" w:eastAsia="Times New Roman" w:hAnsi="Times New Roman" w:cs="Times New Roman"/>
          <w:lang w:eastAsia="en-GB"/>
        </w:rPr>
      </w:pPr>
    </w:p>
    <w:p w14:paraId="588004F6" w14:textId="77777777" w:rsidR="00184404" w:rsidRPr="00184404" w:rsidRDefault="00184404" w:rsidP="00184404">
      <w:pPr>
        <w:rPr>
          <w:rFonts w:ascii="Times New Roman" w:hAnsi="Times New Roman" w:cs="Times New Roman"/>
          <w:b/>
          <w:iCs/>
        </w:rPr>
      </w:pPr>
      <w:r w:rsidRPr="00184404">
        <w:rPr>
          <w:rFonts w:ascii="Times New Roman" w:hAnsi="Times New Roman" w:cs="Times New Roman"/>
          <w:b/>
          <w:iCs/>
        </w:rPr>
        <w:t xml:space="preserve">Obligations of Financial Actors to Safeguard Healthy Ecosystems </w:t>
      </w:r>
    </w:p>
    <w:p w14:paraId="424B2895" w14:textId="77777777" w:rsidR="00184404" w:rsidRPr="00184404" w:rsidRDefault="00184404" w:rsidP="00184404">
      <w:pPr>
        <w:rPr>
          <w:rFonts w:ascii="Times New Roman" w:hAnsi="Times New Roman" w:cs="Times New Roman"/>
        </w:rPr>
      </w:pPr>
    </w:p>
    <w:p w14:paraId="00A6848B" w14:textId="13193A22" w:rsidR="00184404" w:rsidRPr="00184404" w:rsidRDefault="00184404" w:rsidP="00184404">
      <w:pPr>
        <w:jc w:val="both"/>
        <w:rPr>
          <w:rFonts w:ascii="Times New Roman" w:hAnsi="Times New Roman" w:cs="Times New Roman"/>
        </w:rPr>
      </w:pPr>
      <w:r w:rsidRPr="00184404">
        <w:rPr>
          <w:rFonts w:ascii="Times New Roman" w:hAnsi="Times New Roman" w:cs="Times New Roman"/>
        </w:rPr>
        <w:t>There is an immediate need to underscore the duties of financial actors to both assess and mitigate the risk of harm on biological diversity resulting from their investments through appropriate biodiversity monitoring and disclosure, in order to uphold the full extent of international human rights obligations. Similar to the importance of climate-related risk disclosure and monitoring in financial institutions, better governance of financial institutions can preclude the further investment in industries and practices which threaten global biodiversity loss. Th</w:t>
      </w:r>
      <w:r>
        <w:rPr>
          <w:rFonts w:ascii="Times New Roman" w:hAnsi="Times New Roman" w:cs="Times New Roman"/>
        </w:rPr>
        <w:t>e</w:t>
      </w:r>
      <w:r w:rsidRPr="00184404">
        <w:rPr>
          <w:rFonts w:ascii="Times New Roman" w:hAnsi="Times New Roman" w:cs="Times New Roman"/>
        </w:rPr>
        <w:t xml:space="preserve"> prevention of biodiversity damage is only possible through a holistic approach to the monitoring, assessment, and disclosure of biodiversity risks in the </w:t>
      </w:r>
      <w:r w:rsidR="002E4A50">
        <w:rPr>
          <w:rFonts w:ascii="Times New Roman" w:hAnsi="Times New Roman" w:cs="Times New Roman"/>
        </w:rPr>
        <w:t>early</w:t>
      </w:r>
      <w:r w:rsidR="002E4A50" w:rsidRPr="00184404">
        <w:rPr>
          <w:rFonts w:ascii="Times New Roman" w:hAnsi="Times New Roman" w:cs="Times New Roman"/>
        </w:rPr>
        <w:t xml:space="preserve"> </w:t>
      </w:r>
      <w:r w:rsidRPr="00184404">
        <w:rPr>
          <w:rFonts w:ascii="Times New Roman" w:hAnsi="Times New Roman" w:cs="Times New Roman"/>
        </w:rPr>
        <w:t xml:space="preserve">stages of project development within financial institutions, ultimately preventing large-scale development projects which threaten biodiversity. </w:t>
      </w:r>
    </w:p>
    <w:p w14:paraId="0F37760E" w14:textId="77777777" w:rsidR="00184404" w:rsidRPr="00184404" w:rsidRDefault="00184404" w:rsidP="00184404">
      <w:pPr>
        <w:rPr>
          <w:rFonts w:ascii="Times New Roman" w:hAnsi="Times New Roman" w:cs="Times New Roman"/>
        </w:rPr>
      </w:pPr>
    </w:p>
    <w:p w14:paraId="5DB8BB58" w14:textId="5F28A6F7" w:rsidR="00184404" w:rsidRPr="00184404" w:rsidRDefault="00184404" w:rsidP="00184404">
      <w:pPr>
        <w:jc w:val="both"/>
        <w:rPr>
          <w:rFonts w:ascii="Times New Roman" w:hAnsi="Times New Roman" w:cs="Times New Roman"/>
        </w:rPr>
      </w:pPr>
      <w:r w:rsidRPr="00184404">
        <w:rPr>
          <w:rFonts w:ascii="Times New Roman" w:hAnsi="Times New Roman" w:cs="Times New Roman"/>
          <w:b/>
          <w:i/>
        </w:rPr>
        <w:lastRenderedPageBreak/>
        <w:t>Upholding Human Rights Obligations</w:t>
      </w:r>
      <w:r w:rsidRPr="00184404">
        <w:rPr>
          <w:rFonts w:ascii="Times New Roman" w:hAnsi="Times New Roman" w:cs="Times New Roman"/>
        </w:rPr>
        <w:t xml:space="preserve">: </w:t>
      </w:r>
    </w:p>
    <w:p w14:paraId="12F81685" w14:textId="77777777" w:rsidR="00184404" w:rsidRPr="00184404" w:rsidRDefault="00184404" w:rsidP="00184404">
      <w:pPr>
        <w:jc w:val="both"/>
        <w:rPr>
          <w:rFonts w:ascii="Times New Roman" w:hAnsi="Times New Roman" w:cs="Times New Roman"/>
        </w:rPr>
      </w:pPr>
    </w:p>
    <w:p w14:paraId="5284AB8E" w14:textId="77777777" w:rsidR="00184404" w:rsidRPr="00184404" w:rsidRDefault="00184404" w:rsidP="00184404">
      <w:pPr>
        <w:jc w:val="both"/>
        <w:rPr>
          <w:rFonts w:ascii="Times New Roman" w:hAnsi="Times New Roman" w:cs="Times New Roman"/>
        </w:rPr>
      </w:pPr>
      <w:r w:rsidRPr="00184404">
        <w:rPr>
          <w:rFonts w:ascii="Times New Roman" w:hAnsi="Times New Roman" w:cs="Times New Roman"/>
        </w:rPr>
        <w:t xml:space="preserve">The relevance of biodiversity risk monitoring, assessment, and disclosure, can be further linked to previous reports of the Special Rapporteur. For example, Paragraph 78 of the Issue of Human Rights Obligations Relating the Enjoyment of a Safe, Clean, Healthy, and Sustainable Environment, stated that  “International financial mechanisms should ensure that the projects that they support </w:t>
      </w:r>
      <w:r w:rsidRPr="00184404">
        <w:rPr>
          <w:rFonts w:ascii="Times New Roman" w:hAnsi="Times New Roman" w:cs="Times New Roman"/>
          <w:i/>
        </w:rPr>
        <w:t>do not cause environmental harm</w:t>
      </w:r>
      <w:r w:rsidRPr="00184404">
        <w:rPr>
          <w:rFonts w:ascii="Times New Roman" w:hAnsi="Times New Roman" w:cs="Times New Roman"/>
          <w:b/>
        </w:rPr>
        <w:t xml:space="preserve"> </w:t>
      </w:r>
      <w:r w:rsidRPr="00184404">
        <w:rPr>
          <w:rFonts w:ascii="Times New Roman" w:hAnsi="Times New Roman" w:cs="Times New Roman"/>
        </w:rPr>
        <w:t>… and include appropriate protections in their environmental safeguards.”</w:t>
      </w:r>
      <w:r w:rsidRPr="00184404">
        <w:rPr>
          <w:rFonts w:ascii="Times New Roman" w:hAnsi="Times New Roman" w:cs="Times New Roman"/>
          <w:vertAlign w:val="superscript"/>
        </w:rPr>
        <w:footnoteReference w:id="24"/>
      </w:r>
      <w:r w:rsidRPr="00184404">
        <w:rPr>
          <w:rFonts w:ascii="Times New Roman" w:hAnsi="Times New Roman" w:cs="Times New Roman"/>
        </w:rPr>
        <w:t xml:space="preserve"> Additionally, it has been identified by the Special Rapporteur that international financial institutions, as well as State agencies that provide international assistance, “should adopt and implement environmental and social safeguards that are consistent with human rights obligations, including by: requiring the </w:t>
      </w:r>
      <w:r w:rsidRPr="00184404">
        <w:rPr>
          <w:rFonts w:ascii="Times New Roman" w:hAnsi="Times New Roman" w:cs="Times New Roman"/>
          <w:i/>
        </w:rPr>
        <w:t>environmental assessment</w:t>
      </w:r>
      <w:r w:rsidRPr="00184404">
        <w:rPr>
          <w:rFonts w:ascii="Times New Roman" w:hAnsi="Times New Roman" w:cs="Times New Roman"/>
        </w:rPr>
        <w:t xml:space="preserve"> of every proposed project and requiring legal and institutional protections against environmental risks”.</w:t>
      </w:r>
      <w:r w:rsidRPr="00184404">
        <w:rPr>
          <w:rFonts w:ascii="Times New Roman" w:hAnsi="Times New Roman" w:cs="Times New Roman"/>
          <w:vertAlign w:val="superscript"/>
        </w:rPr>
        <w:footnoteReference w:id="25"/>
      </w:r>
      <w:r w:rsidRPr="00184404">
        <w:rPr>
          <w:rFonts w:ascii="Times New Roman" w:hAnsi="Times New Roman" w:cs="Times New Roman"/>
        </w:rPr>
        <w:t xml:space="preserve"> </w:t>
      </w:r>
    </w:p>
    <w:p w14:paraId="46B64C1D" w14:textId="77777777" w:rsidR="00184404" w:rsidRPr="00184404" w:rsidRDefault="00184404" w:rsidP="00184404">
      <w:pPr>
        <w:ind w:left="2160"/>
        <w:rPr>
          <w:rFonts w:ascii="Times New Roman" w:hAnsi="Times New Roman" w:cs="Times New Roman"/>
        </w:rPr>
      </w:pPr>
    </w:p>
    <w:p w14:paraId="5A92D318" w14:textId="3A61ADE5" w:rsidR="00184404" w:rsidRPr="00184404" w:rsidRDefault="00184404" w:rsidP="00184404">
      <w:pPr>
        <w:jc w:val="both"/>
        <w:rPr>
          <w:rFonts w:ascii="Times New Roman" w:hAnsi="Times New Roman" w:cs="Times New Roman"/>
        </w:rPr>
      </w:pPr>
      <w:r w:rsidRPr="00184404">
        <w:rPr>
          <w:rFonts w:ascii="Times New Roman" w:hAnsi="Times New Roman" w:cs="Times New Roman"/>
          <w:b/>
          <w:i/>
        </w:rPr>
        <w:t>Best practices</w:t>
      </w:r>
      <w:r w:rsidRPr="00184404">
        <w:rPr>
          <w:rFonts w:ascii="Times New Roman" w:hAnsi="Times New Roman" w:cs="Times New Roman"/>
          <w:b/>
        </w:rPr>
        <w:t>:</w:t>
      </w:r>
      <w:r w:rsidRPr="00184404">
        <w:rPr>
          <w:rFonts w:ascii="Times New Roman" w:hAnsi="Times New Roman" w:cs="Times New Roman"/>
          <w:b/>
          <w:i/>
        </w:rPr>
        <w:t xml:space="preserve"> </w:t>
      </w:r>
      <w:r w:rsidRPr="00184404">
        <w:rPr>
          <w:rFonts w:ascii="Times New Roman" w:hAnsi="Times New Roman" w:cs="Times New Roman"/>
        </w:rPr>
        <w:t xml:space="preserve">In its Draft Monitoring Framework for post-2020 Global Diversity Framework, the Convention on Biological Diversity (CBD) includes in Goal B of its 2030 Milestones the provision of valuing nature through </w:t>
      </w:r>
      <w:r w:rsidRPr="00184404">
        <w:rPr>
          <w:rFonts w:ascii="Times New Roman" w:hAnsi="Times New Roman" w:cs="Times New Roman"/>
          <w:i/>
        </w:rPr>
        <w:t>private sector financial disclosure</w:t>
      </w:r>
      <w:r w:rsidRPr="00184404">
        <w:rPr>
          <w:rFonts w:ascii="Times New Roman" w:hAnsi="Times New Roman" w:cs="Times New Roman"/>
        </w:rPr>
        <w:t>.</w:t>
      </w:r>
      <w:r w:rsidRPr="00184404">
        <w:rPr>
          <w:rFonts w:ascii="Times New Roman" w:hAnsi="Times New Roman" w:cs="Times New Roman"/>
          <w:vertAlign w:val="superscript"/>
        </w:rPr>
        <w:footnoteReference w:id="26"/>
      </w:r>
      <w:r w:rsidRPr="00184404">
        <w:rPr>
          <w:rFonts w:ascii="Times New Roman" w:hAnsi="Times New Roman" w:cs="Times New Roman"/>
        </w:rPr>
        <w:t xml:space="preserve"> This goal is echoed in its 2030 Updated Targets, Row 178, to include developing and applying biodiversity risk assessment policies and processes within the financial sector’s monitoring elements. By 2030, this monitoring requirement under the CBD should ultimately demonstrate “decreasing negative impacts on ecosystems and biodiversity” in the portfolios of financial actors and institutions.</w:t>
      </w:r>
      <w:r w:rsidRPr="00184404">
        <w:rPr>
          <w:rFonts w:ascii="Times New Roman" w:hAnsi="Times New Roman" w:cs="Times New Roman"/>
          <w:vertAlign w:val="superscript"/>
        </w:rPr>
        <w:footnoteReference w:id="27"/>
      </w:r>
      <w:r w:rsidRPr="00184404">
        <w:rPr>
          <w:rFonts w:ascii="Times New Roman" w:hAnsi="Times New Roman" w:cs="Times New Roman"/>
        </w:rPr>
        <w:t xml:space="preserve">Additionally, a growing momentum behind the concept of a Task Force for Nature Impacts Disclosure, proposed by </w:t>
      </w:r>
      <w:proofErr w:type="spellStart"/>
      <w:r w:rsidRPr="00184404">
        <w:rPr>
          <w:rFonts w:ascii="Times New Roman" w:hAnsi="Times New Roman" w:cs="Times New Roman"/>
        </w:rPr>
        <w:t>Axa</w:t>
      </w:r>
      <w:proofErr w:type="spellEnd"/>
      <w:r w:rsidRPr="00184404">
        <w:rPr>
          <w:rFonts w:ascii="Times New Roman" w:hAnsi="Times New Roman" w:cs="Times New Roman"/>
        </w:rPr>
        <w:t xml:space="preserve"> and WWF for the G7 in 2019, based on the Task Force for Climate Disclosure, advocates for the required disclosure of material biodiversity related risks.</w:t>
      </w:r>
      <w:r w:rsidRPr="00184404">
        <w:rPr>
          <w:rFonts w:ascii="Times New Roman" w:hAnsi="Times New Roman" w:cs="Times New Roman"/>
          <w:vertAlign w:val="superscript"/>
        </w:rPr>
        <w:footnoteReference w:id="28"/>
      </w:r>
      <w:r w:rsidRPr="00184404">
        <w:rPr>
          <w:rFonts w:ascii="Times New Roman" w:hAnsi="Times New Roman" w:cs="Times New Roman"/>
        </w:rPr>
        <w:t xml:space="preserve"> </w:t>
      </w:r>
      <w:r>
        <w:rPr>
          <w:rFonts w:ascii="Times New Roman" w:hAnsi="Times New Roman" w:cs="Times New Roman"/>
        </w:rPr>
        <w:t xml:space="preserve">Additionally, </w:t>
      </w:r>
      <w:r w:rsidRPr="00184404">
        <w:rPr>
          <w:rFonts w:ascii="Times New Roman" w:hAnsi="Times New Roman" w:cs="Times New Roman"/>
        </w:rPr>
        <w:t>the Central Bank of the Netherlands has start</w:t>
      </w:r>
      <w:r>
        <w:rPr>
          <w:rFonts w:ascii="Times New Roman" w:hAnsi="Times New Roman" w:cs="Times New Roman"/>
        </w:rPr>
        <w:t>ed to</w:t>
      </w:r>
      <w:r w:rsidRPr="00184404">
        <w:rPr>
          <w:rFonts w:ascii="Times New Roman" w:hAnsi="Times New Roman" w:cs="Times New Roman"/>
        </w:rPr>
        <w:t xml:space="preserve"> actively measure the impact of biodiversity-related financial risks on the Dutch financial sector in order to </w:t>
      </w:r>
      <w:r>
        <w:rPr>
          <w:rFonts w:ascii="Times New Roman" w:hAnsi="Times New Roman" w:cs="Times New Roman"/>
        </w:rPr>
        <w:t xml:space="preserve">indicate the importance of preventing </w:t>
      </w:r>
      <w:r w:rsidRPr="00184404">
        <w:rPr>
          <w:rFonts w:ascii="Times New Roman" w:hAnsi="Times New Roman" w:cs="Times New Roman"/>
        </w:rPr>
        <w:t>biodiversity loss.</w:t>
      </w:r>
      <w:r>
        <w:rPr>
          <w:rStyle w:val="FootnoteReference"/>
          <w:rFonts w:ascii="Times New Roman" w:hAnsi="Times New Roman" w:cs="Times New Roman"/>
        </w:rPr>
        <w:footnoteReference w:id="29"/>
      </w:r>
      <w:r w:rsidRPr="00184404">
        <w:rPr>
          <w:rFonts w:ascii="Times New Roman" w:hAnsi="Times New Roman" w:cs="Times New Roman"/>
        </w:rPr>
        <w:t xml:space="preserve"> Furthermore, movement towards better governance on this issue remains crucial, as there remain considerable gaps and inconsistencies in biodiversity finance reporting and tracking.</w:t>
      </w:r>
      <w:r w:rsidRPr="00184404">
        <w:rPr>
          <w:rFonts w:ascii="Times New Roman" w:hAnsi="Times New Roman" w:cs="Times New Roman"/>
          <w:vertAlign w:val="superscript"/>
        </w:rPr>
        <w:footnoteReference w:id="30"/>
      </w:r>
    </w:p>
    <w:p w14:paraId="4DB92266" w14:textId="77777777" w:rsidR="00184404" w:rsidRPr="00184404" w:rsidRDefault="00184404" w:rsidP="00184404">
      <w:pPr>
        <w:ind w:left="1440"/>
        <w:jc w:val="both"/>
        <w:rPr>
          <w:rFonts w:ascii="Times New Roman" w:hAnsi="Times New Roman" w:cs="Times New Roman"/>
        </w:rPr>
      </w:pPr>
    </w:p>
    <w:p w14:paraId="5269855C" w14:textId="7B829849" w:rsidR="00184404" w:rsidRPr="00184404" w:rsidRDefault="00184404" w:rsidP="00184404">
      <w:pPr>
        <w:jc w:val="both"/>
        <w:rPr>
          <w:rFonts w:ascii="Times New Roman" w:hAnsi="Times New Roman" w:cs="Times New Roman"/>
        </w:rPr>
      </w:pPr>
      <w:r w:rsidRPr="00184404">
        <w:rPr>
          <w:rFonts w:ascii="Times New Roman" w:hAnsi="Times New Roman" w:cs="Times New Roman"/>
          <w:b/>
          <w:i/>
        </w:rPr>
        <w:t>Opportunity</w:t>
      </w:r>
      <w:r w:rsidRPr="00184404">
        <w:rPr>
          <w:rFonts w:ascii="Times New Roman" w:hAnsi="Times New Roman" w:cs="Times New Roman"/>
        </w:rPr>
        <w:t xml:space="preserve">: With the evidence presented above, a critical window of opportunity presents itself under the upcoming report on Healthy Ecosystems and Human Rights. This opportunity </w:t>
      </w:r>
      <w:r w:rsidR="001C51AB">
        <w:rPr>
          <w:rFonts w:ascii="Times New Roman" w:hAnsi="Times New Roman" w:cs="Times New Roman"/>
        </w:rPr>
        <w:t>should</w:t>
      </w:r>
      <w:r w:rsidR="001C51AB" w:rsidRPr="00184404">
        <w:rPr>
          <w:rFonts w:ascii="Times New Roman" w:hAnsi="Times New Roman" w:cs="Times New Roman"/>
        </w:rPr>
        <w:t xml:space="preserve"> </w:t>
      </w:r>
      <w:r w:rsidRPr="00184404">
        <w:rPr>
          <w:rFonts w:ascii="Times New Roman" w:hAnsi="Times New Roman" w:cs="Times New Roman"/>
        </w:rPr>
        <w:t xml:space="preserve">be utilized as a platform to illuminate the necessity for states and financial institutions to assess and mitigate damage to biodiversity through disclosure of biodiversity hazards in financial monitoring </w:t>
      </w:r>
      <w:r w:rsidRPr="00184404">
        <w:rPr>
          <w:rFonts w:ascii="Times New Roman" w:hAnsi="Times New Roman" w:cs="Times New Roman"/>
        </w:rPr>
        <w:lastRenderedPageBreak/>
        <w:t>and reporting systems, to ultimately preclude investment</w:t>
      </w:r>
      <w:r w:rsidR="001C51AB">
        <w:rPr>
          <w:rFonts w:ascii="Times New Roman" w:hAnsi="Times New Roman" w:cs="Times New Roman"/>
        </w:rPr>
        <w:t xml:space="preserve"> in</w:t>
      </w:r>
      <w:r w:rsidRPr="00184404">
        <w:rPr>
          <w:rFonts w:ascii="Times New Roman" w:hAnsi="Times New Roman" w:cs="Times New Roman"/>
        </w:rPr>
        <w:t xml:space="preserve"> and perpetuation of economic practices damaging precious ecosystem services vital to the full </w:t>
      </w:r>
      <w:proofErr w:type="spellStart"/>
      <w:r w:rsidRPr="00184404">
        <w:rPr>
          <w:rFonts w:ascii="Times New Roman" w:hAnsi="Times New Roman" w:cs="Times New Roman"/>
        </w:rPr>
        <w:t>realisation</w:t>
      </w:r>
      <w:proofErr w:type="spellEnd"/>
      <w:r w:rsidRPr="00184404">
        <w:rPr>
          <w:rFonts w:ascii="Times New Roman" w:hAnsi="Times New Roman" w:cs="Times New Roman"/>
        </w:rPr>
        <w:t xml:space="preserve"> of human rights. </w:t>
      </w:r>
    </w:p>
    <w:p w14:paraId="352E0040" w14:textId="77777777" w:rsidR="00184404" w:rsidRPr="00184404" w:rsidRDefault="00184404" w:rsidP="00184404">
      <w:pPr>
        <w:rPr>
          <w:rFonts w:ascii="Times New Roman" w:hAnsi="Times New Roman" w:cs="Times New Roman"/>
        </w:rPr>
      </w:pPr>
    </w:p>
    <w:p w14:paraId="40CC6B52" w14:textId="77777777" w:rsidR="00184404" w:rsidRPr="00184404" w:rsidRDefault="00184404" w:rsidP="00184404">
      <w:pPr>
        <w:rPr>
          <w:rFonts w:ascii="Times New Roman" w:hAnsi="Times New Roman" w:cs="Times New Roman"/>
        </w:rPr>
      </w:pPr>
    </w:p>
    <w:p w14:paraId="0C9552FF" w14:textId="77777777" w:rsidR="00184404" w:rsidRPr="00184404" w:rsidRDefault="00184404" w:rsidP="00184404">
      <w:pPr>
        <w:rPr>
          <w:rFonts w:ascii="Times New Roman" w:eastAsia="Times New Roman" w:hAnsi="Times New Roman" w:cs="Times New Roman"/>
        </w:rPr>
      </w:pPr>
    </w:p>
    <w:sectPr w:rsidR="00184404" w:rsidRPr="001844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366C5" w14:textId="77777777" w:rsidR="006A2831" w:rsidRDefault="006A2831" w:rsidP="00F97A9C">
      <w:r>
        <w:separator/>
      </w:r>
    </w:p>
  </w:endnote>
  <w:endnote w:type="continuationSeparator" w:id="0">
    <w:p w14:paraId="2335548F" w14:textId="77777777" w:rsidR="006A2831" w:rsidRDefault="006A2831" w:rsidP="00F9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boto">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13433" w14:textId="77777777" w:rsidR="006A2831" w:rsidRDefault="006A2831" w:rsidP="00F97A9C">
      <w:r>
        <w:separator/>
      </w:r>
    </w:p>
  </w:footnote>
  <w:footnote w:type="continuationSeparator" w:id="0">
    <w:p w14:paraId="6194A0DB" w14:textId="77777777" w:rsidR="006A2831" w:rsidRDefault="006A2831" w:rsidP="00F97A9C">
      <w:r>
        <w:continuationSeparator/>
      </w:r>
    </w:p>
  </w:footnote>
  <w:footnote w:id="1">
    <w:p w14:paraId="6D702AE5" w14:textId="77777777" w:rsidR="00184404" w:rsidRPr="006960A9" w:rsidRDefault="00184404" w:rsidP="006960A9">
      <w:pPr>
        <w:spacing w:before="120"/>
        <w:rPr>
          <w:rFonts w:ascii="Times New Roman" w:hAnsi="Times New Roman" w:cs="Times New Roman"/>
          <w:sz w:val="20"/>
          <w:szCs w:val="20"/>
        </w:rPr>
      </w:pPr>
      <w:r w:rsidRPr="006960A9">
        <w:rPr>
          <w:rFonts w:ascii="Times New Roman" w:hAnsi="Times New Roman" w:cs="Times New Roman"/>
          <w:sz w:val="20"/>
          <w:szCs w:val="20"/>
          <w:vertAlign w:val="superscript"/>
        </w:rPr>
        <w:footnoteRef/>
      </w:r>
      <w:r w:rsidRPr="006960A9">
        <w:rPr>
          <w:rFonts w:ascii="Times New Roman" w:hAnsi="Times New Roman" w:cs="Times New Roman"/>
          <w:sz w:val="20"/>
          <w:szCs w:val="20"/>
        </w:rPr>
        <w:t xml:space="preserve"> </w:t>
      </w:r>
      <w:r w:rsidRPr="006960A9">
        <w:rPr>
          <w:rFonts w:ascii="Times New Roman" w:hAnsi="Times New Roman" w:cs="Times New Roman"/>
          <w:sz w:val="20"/>
          <w:szCs w:val="20"/>
          <w:highlight w:val="white"/>
        </w:rPr>
        <w:t xml:space="preserve">IPBES (2019): Global assessment report on biodiversity and ecosystem services of the Intergovernmental Science-Policy Platform on Biodiversity and Ecosystem Services. </w:t>
      </w:r>
      <w:r w:rsidRPr="006960A9">
        <w:rPr>
          <w:rFonts w:ascii="Times New Roman" w:hAnsi="Times New Roman" w:cs="Times New Roman"/>
          <w:sz w:val="20"/>
          <w:szCs w:val="20"/>
          <w:highlight w:val="white"/>
          <w:lang w:val="it-CH"/>
        </w:rPr>
        <w:t xml:space="preserve">E. S. Brondizio, J. Settele, S. </w:t>
      </w:r>
      <w:r w:rsidRPr="006960A9">
        <w:rPr>
          <w:rFonts w:ascii="Times New Roman" w:eastAsia="Roboto" w:hAnsi="Times New Roman" w:cs="Times New Roman"/>
          <w:sz w:val="20"/>
          <w:szCs w:val="20"/>
          <w:highlight w:val="white"/>
          <w:lang w:val="it-CH"/>
        </w:rPr>
        <w:t xml:space="preserve">Díaz, and H. T. Ngo (editors). </w:t>
      </w:r>
      <w:r w:rsidRPr="006960A9">
        <w:rPr>
          <w:rFonts w:ascii="Times New Roman" w:eastAsia="Roboto" w:hAnsi="Times New Roman" w:cs="Times New Roman"/>
          <w:sz w:val="20"/>
          <w:szCs w:val="20"/>
          <w:highlight w:val="white"/>
        </w:rPr>
        <w:t xml:space="preserve">IPBES secretariat, Bonn, Germany. </w:t>
      </w:r>
    </w:p>
  </w:footnote>
  <w:footnote w:id="2">
    <w:p w14:paraId="032A7F3E" w14:textId="77777777" w:rsidR="00184404" w:rsidRPr="006960A9" w:rsidRDefault="00184404" w:rsidP="006960A9">
      <w:pPr>
        <w:spacing w:before="120"/>
        <w:rPr>
          <w:rFonts w:ascii="Times New Roman" w:hAnsi="Times New Roman" w:cs="Times New Roman"/>
          <w:i/>
          <w:sz w:val="20"/>
          <w:szCs w:val="20"/>
        </w:rPr>
      </w:pPr>
      <w:r w:rsidRPr="006960A9">
        <w:rPr>
          <w:rFonts w:ascii="Times New Roman" w:hAnsi="Times New Roman" w:cs="Times New Roman"/>
          <w:sz w:val="20"/>
          <w:szCs w:val="20"/>
          <w:vertAlign w:val="superscript"/>
        </w:rPr>
        <w:footnoteRef/>
      </w:r>
      <w:r w:rsidRPr="006960A9">
        <w:rPr>
          <w:rFonts w:ascii="Times New Roman" w:hAnsi="Times New Roman" w:cs="Times New Roman"/>
          <w:sz w:val="20"/>
          <w:szCs w:val="20"/>
        </w:rPr>
        <w:t xml:space="preserve"> </w:t>
      </w:r>
      <w:r w:rsidRPr="006960A9">
        <w:rPr>
          <w:rFonts w:ascii="Times New Roman" w:hAnsi="Times New Roman" w:cs="Times New Roman"/>
          <w:i/>
          <w:sz w:val="20"/>
          <w:szCs w:val="20"/>
        </w:rPr>
        <w:t xml:space="preserve">Ibid </w:t>
      </w:r>
    </w:p>
  </w:footnote>
  <w:footnote w:id="3">
    <w:p w14:paraId="10601E4E" w14:textId="77777777" w:rsidR="00184404" w:rsidRPr="006960A9" w:rsidRDefault="00184404" w:rsidP="006960A9">
      <w:pPr>
        <w:spacing w:before="120"/>
        <w:rPr>
          <w:rFonts w:ascii="Times New Roman" w:hAnsi="Times New Roman" w:cs="Times New Roman"/>
          <w:sz w:val="20"/>
          <w:szCs w:val="20"/>
        </w:rPr>
      </w:pPr>
      <w:r w:rsidRPr="006960A9">
        <w:rPr>
          <w:rFonts w:ascii="Times New Roman" w:hAnsi="Times New Roman" w:cs="Times New Roman"/>
          <w:sz w:val="20"/>
          <w:szCs w:val="20"/>
          <w:vertAlign w:val="superscript"/>
        </w:rPr>
        <w:footnoteRef/>
      </w:r>
      <w:r w:rsidRPr="006960A9">
        <w:rPr>
          <w:rFonts w:ascii="Times New Roman" w:hAnsi="Times New Roman" w:cs="Times New Roman"/>
          <w:sz w:val="20"/>
          <w:szCs w:val="20"/>
        </w:rPr>
        <w:t xml:space="preserve"> OECD (2019) “Biodiversity: Finance and the Economic and Business Case for Action” </w:t>
      </w:r>
      <w:hyperlink r:id="rId1">
        <w:r w:rsidRPr="006960A9">
          <w:rPr>
            <w:rFonts w:ascii="Times New Roman" w:hAnsi="Times New Roman" w:cs="Times New Roman"/>
            <w:color w:val="1155CC"/>
            <w:sz w:val="20"/>
            <w:szCs w:val="20"/>
            <w:u w:val="single"/>
          </w:rPr>
          <w:t>https://www.oecd.org/environment/resources/biodiversity/G7-report-Biodiversity-Finance-and-the-Economic-and-Business-Case-for-Action.pdf</w:t>
        </w:r>
      </w:hyperlink>
    </w:p>
  </w:footnote>
  <w:footnote w:id="4">
    <w:p w14:paraId="769E96AA" w14:textId="77777777" w:rsidR="002E4A50" w:rsidRPr="006960A9" w:rsidRDefault="002E4A50" w:rsidP="006960A9">
      <w:pPr>
        <w:spacing w:before="120"/>
        <w:rPr>
          <w:rFonts w:ascii="Times New Roman" w:hAnsi="Times New Roman" w:cs="Times New Roman"/>
          <w:sz w:val="20"/>
          <w:szCs w:val="20"/>
        </w:rPr>
      </w:pPr>
      <w:r w:rsidRPr="006960A9">
        <w:rPr>
          <w:rFonts w:ascii="Times New Roman" w:hAnsi="Times New Roman" w:cs="Times New Roman"/>
          <w:sz w:val="20"/>
          <w:szCs w:val="20"/>
          <w:vertAlign w:val="superscript"/>
        </w:rPr>
        <w:footnoteRef/>
      </w:r>
      <w:r w:rsidRPr="006960A9">
        <w:rPr>
          <w:rFonts w:ascii="Times New Roman" w:hAnsi="Times New Roman" w:cs="Times New Roman"/>
          <w:sz w:val="20"/>
          <w:szCs w:val="20"/>
        </w:rPr>
        <w:t xml:space="preserve"> Special Rapporteur Report A/</w:t>
      </w:r>
      <w:proofErr w:type="spellStart"/>
      <w:r w:rsidRPr="006960A9">
        <w:rPr>
          <w:rFonts w:ascii="Times New Roman" w:hAnsi="Times New Roman" w:cs="Times New Roman"/>
          <w:sz w:val="20"/>
          <w:szCs w:val="20"/>
        </w:rPr>
        <w:t>HRC</w:t>
      </w:r>
      <w:proofErr w:type="spellEnd"/>
      <w:r w:rsidRPr="006960A9">
        <w:rPr>
          <w:rFonts w:ascii="Times New Roman" w:hAnsi="Times New Roman" w:cs="Times New Roman"/>
          <w:sz w:val="20"/>
          <w:szCs w:val="20"/>
        </w:rPr>
        <w:t xml:space="preserve">/34/49 2017 </w:t>
      </w:r>
      <w:hyperlink r:id="rId2">
        <w:r w:rsidRPr="006960A9">
          <w:rPr>
            <w:rFonts w:ascii="Times New Roman" w:hAnsi="Times New Roman" w:cs="Times New Roman"/>
            <w:color w:val="1155CC"/>
            <w:sz w:val="20"/>
            <w:szCs w:val="20"/>
            <w:u w:val="single"/>
          </w:rPr>
          <w:t>https://undocs.org/A/HRC/34/49</w:t>
        </w:r>
      </w:hyperlink>
    </w:p>
  </w:footnote>
  <w:footnote w:id="5">
    <w:p w14:paraId="3D06F50A" w14:textId="77777777" w:rsidR="002E4A50" w:rsidRPr="006960A9" w:rsidRDefault="002E4A50" w:rsidP="006960A9">
      <w:pPr>
        <w:spacing w:before="120"/>
        <w:rPr>
          <w:rFonts w:ascii="Times New Roman" w:hAnsi="Times New Roman" w:cs="Times New Roman"/>
          <w:sz w:val="20"/>
          <w:szCs w:val="20"/>
        </w:rPr>
      </w:pPr>
      <w:r w:rsidRPr="006960A9">
        <w:rPr>
          <w:rFonts w:ascii="Times New Roman" w:hAnsi="Times New Roman" w:cs="Times New Roman"/>
          <w:sz w:val="20"/>
          <w:szCs w:val="20"/>
          <w:vertAlign w:val="superscript"/>
        </w:rPr>
        <w:footnoteRef/>
      </w:r>
      <w:r w:rsidRPr="006960A9">
        <w:rPr>
          <w:rFonts w:ascii="Times New Roman" w:hAnsi="Times New Roman" w:cs="Times New Roman"/>
          <w:sz w:val="20"/>
          <w:szCs w:val="20"/>
        </w:rPr>
        <w:t xml:space="preserve"> </w:t>
      </w:r>
      <w:r w:rsidRPr="006960A9">
        <w:rPr>
          <w:rFonts w:ascii="Times New Roman" w:hAnsi="Times New Roman" w:cs="Times New Roman"/>
          <w:i/>
          <w:sz w:val="20"/>
          <w:szCs w:val="20"/>
        </w:rPr>
        <w:t>Ibid</w:t>
      </w:r>
      <w:r w:rsidRPr="006960A9">
        <w:rPr>
          <w:rFonts w:ascii="Times New Roman" w:hAnsi="Times New Roman" w:cs="Times New Roman"/>
          <w:sz w:val="20"/>
          <w:szCs w:val="20"/>
        </w:rPr>
        <w:t xml:space="preserve"> </w:t>
      </w:r>
    </w:p>
  </w:footnote>
  <w:footnote w:id="6">
    <w:p w14:paraId="6E626CAA" w14:textId="33966C87" w:rsidR="00C21D1F" w:rsidRPr="00C901F2" w:rsidRDefault="00C21D1F" w:rsidP="00C901F2">
      <w:pPr>
        <w:pStyle w:val="FootnoteText"/>
        <w:spacing w:before="120"/>
        <w:rPr>
          <w:rFonts w:ascii="Times New Roman" w:hAnsi="Times New Roman" w:cs="Times New Roman"/>
        </w:rPr>
      </w:pPr>
      <w:r w:rsidRPr="00C901F2">
        <w:rPr>
          <w:rStyle w:val="FootnoteReference"/>
          <w:rFonts w:ascii="Times New Roman" w:hAnsi="Times New Roman" w:cs="Times New Roman"/>
        </w:rPr>
        <w:footnoteRef/>
      </w:r>
      <w:r w:rsidRPr="00C901F2">
        <w:rPr>
          <w:rFonts w:ascii="Times New Roman" w:hAnsi="Times New Roman" w:cs="Times New Roman"/>
        </w:rPr>
        <w:t xml:space="preserve"> </w:t>
      </w:r>
      <w:proofErr w:type="spellStart"/>
      <w:r w:rsidRPr="006960A9">
        <w:rPr>
          <w:rFonts w:ascii="Times New Roman" w:eastAsia="Times New Roman" w:hAnsi="Times New Roman" w:cs="Times New Roman"/>
        </w:rPr>
        <w:t>Biofuelwatch</w:t>
      </w:r>
      <w:proofErr w:type="spellEnd"/>
      <w:r w:rsidRPr="006960A9">
        <w:rPr>
          <w:rFonts w:ascii="Times New Roman" w:eastAsia="Times New Roman" w:hAnsi="Times New Roman" w:cs="Times New Roman"/>
        </w:rPr>
        <w:t xml:space="preserve">, </w:t>
      </w:r>
      <w:proofErr w:type="spellStart"/>
      <w:r w:rsidRPr="006960A9">
        <w:rPr>
          <w:rFonts w:ascii="Times New Roman" w:eastAsia="Times New Roman" w:hAnsi="Times New Roman" w:cs="Times New Roman"/>
        </w:rPr>
        <w:t>ETC</w:t>
      </w:r>
      <w:proofErr w:type="spellEnd"/>
      <w:r w:rsidRPr="006960A9">
        <w:rPr>
          <w:rFonts w:ascii="Times New Roman" w:eastAsia="Times New Roman" w:hAnsi="Times New Roman" w:cs="Times New Roman"/>
        </w:rPr>
        <w:t xml:space="preserve"> Group and Heinrich </w:t>
      </w:r>
      <w:proofErr w:type="spellStart"/>
      <w:r w:rsidRPr="006960A9">
        <w:rPr>
          <w:rFonts w:ascii="Times New Roman" w:eastAsia="Times New Roman" w:hAnsi="Times New Roman" w:cs="Times New Roman"/>
        </w:rPr>
        <w:t>Böell</w:t>
      </w:r>
      <w:proofErr w:type="spellEnd"/>
      <w:r w:rsidRPr="006960A9">
        <w:rPr>
          <w:rFonts w:ascii="Times New Roman" w:eastAsia="Times New Roman" w:hAnsi="Times New Roman" w:cs="Times New Roman"/>
        </w:rPr>
        <w:t xml:space="preserve"> Foundation (2020),</w:t>
      </w:r>
      <w:r w:rsidRPr="006960A9">
        <w:rPr>
          <w:rFonts w:ascii="Times New Roman" w:hAnsi="Times New Roman" w:cs="Times New Roman"/>
        </w:rPr>
        <w:t xml:space="preserve"> </w:t>
      </w:r>
      <w:r w:rsidRPr="00C901F2">
        <w:rPr>
          <w:rFonts w:ascii="Times New Roman" w:hAnsi="Times New Roman" w:cs="Times New Roman"/>
        </w:rPr>
        <w:t>Submission on the impacts of Climate Geoengineering on Biodiversity and Human Rights</w:t>
      </w:r>
      <w:r w:rsidRPr="006960A9">
        <w:rPr>
          <w:rFonts w:ascii="Times New Roman" w:hAnsi="Times New Roman" w:cs="Times New Roman"/>
        </w:rPr>
        <w:t xml:space="preserve"> </w:t>
      </w:r>
      <w:r w:rsidRPr="00C901F2">
        <w:rPr>
          <w:rFonts w:ascii="Times New Roman" w:hAnsi="Times New Roman" w:cs="Times New Roman"/>
        </w:rPr>
        <w:t>to the report on Healthy Ecosystems and Human Rights: Sustaining the Foundations of Life,</w:t>
      </w:r>
      <w:r w:rsidR="00C901F2">
        <w:rPr>
          <w:rFonts w:ascii="Times New Roman" w:hAnsi="Times New Roman" w:cs="Times New Roman"/>
        </w:rPr>
        <w:t xml:space="preserve"> </w:t>
      </w:r>
      <w:r w:rsidRPr="006960A9">
        <w:rPr>
          <w:rFonts w:ascii="Times New Roman" w:hAnsi="Times New Roman" w:cs="Times New Roman"/>
        </w:rPr>
        <w:t>https://www.ohchr.org/Documents/Issues/Environment/SREnvironment/Call/NGOs/BiofuelwatchETCHeinrichB%c3%b6llInputs.docx.</w:t>
      </w:r>
    </w:p>
  </w:footnote>
  <w:footnote w:id="7">
    <w:p w14:paraId="1E6FF39C" w14:textId="648D5823" w:rsidR="00F97A9C" w:rsidRPr="006960A9" w:rsidRDefault="00F97A9C" w:rsidP="006960A9">
      <w:pPr>
        <w:spacing w:before="120"/>
        <w:rPr>
          <w:rFonts w:ascii="Times New Roman" w:eastAsia="Times New Roman" w:hAnsi="Times New Roman" w:cs="Times New Roman"/>
          <w:sz w:val="20"/>
          <w:szCs w:val="20"/>
        </w:rPr>
      </w:pPr>
      <w:r w:rsidRPr="006960A9">
        <w:rPr>
          <w:rStyle w:val="FootnoteReference"/>
          <w:rFonts w:ascii="Times New Roman" w:hAnsi="Times New Roman" w:cs="Times New Roman"/>
          <w:sz w:val="20"/>
          <w:szCs w:val="20"/>
        </w:rPr>
        <w:footnoteRef/>
      </w:r>
      <w:r w:rsidRPr="006960A9">
        <w:rPr>
          <w:rFonts w:ascii="Times New Roman" w:hAnsi="Times New Roman" w:cs="Times New Roman"/>
          <w:sz w:val="20"/>
          <w:szCs w:val="20"/>
        </w:rPr>
        <w:t xml:space="preserve"> </w:t>
      </w:r>
      <w:r w:rsidRPr="006960A9">
        <w:rPr>
          <w:rFonts w:ascii="Times New Roman" w:eastAsia="Times New Roman" w:hAnsi="Times New Roman" w:cs="Times New Roman"/>
          <w:sz w:val="20"/>
          <w:szCs w:val="20"/>
        </w:rPr>
        <w:t xml:space="preserve">CIEL, </w:t>
      </w:r>
      <w:r w:rsidRPr="006960A9">
        <w:rPr>
          <w:rFonts w:ascii="Times New Roman" w:eastAsia="Times New Roman" w:hAnsi="Times New Roman" w:cs="Times New Roman"/>
          <w:i/>
          <w:iCs/>
          <w:sz w:val="20"/>
          <w:szCs w:val="20"/>
        </w:rPr>
        <w:t>Fuel to the Fire</w:t>
      </w:r>
      <w:r w:rsidRPr="006960A9">
        <w:rPr>
          <w:rFonts w:ascii="Times New Roman" w:eastAsia="Times New Roman" w:hAnsi="Times New Roman" w:cs="Times New Roman"/>
          <w:sz w:val="20"/>
          <w:szCs w:val="20"/>
        </w:rPr>
        <w:t xml:space="preserve">: </w:t>
      </w:r>
      <w:r w:rsidRPr="006960A9">
        <w:rPr>
          <w:rFonts w:ascii="Times New Roman" w:eastAsia="Times New Roman" w:hAnsi="Times New Roman" w:cs="Times New Roman"/>
          <w:i/>
          <w:iCs/>
          <w:sz w:val="20"/>
          <w:szCs w:val="20"/>
        </w:rPr>
        <w:t xml:space="preserve">How Geoengineering Threatens to Entrench Fossil Fuels and Accelerate the Climate Crisis </w:t>
      </w:r>
      <w:r w:rsidRPr="006960A9">
        <w:rPr>
          <w:rFonts w:ascii="Times New Roman" w:eastAsia="Times New Roman" w:hAnsi="Times New Roman" w:cs="Times New Roman"/>
          <w:sz w:val="20"/>
          <w:szCs w:val="20"/>
        </w:rPr>
        <w:t>(2019), at 4 n.4</w:t>
      </w:r>
      <w:r w:rsidR="00933C09" w:rsidRPr="006960A9">
        <w:rPr>
          <w:rFonts w:ascii="Times New Roman" w:eastAsia="Times New Roman" w:hAnsi="Times New Roman" w:cs="Times New Roman"/>
          <w:sz w:val="20"/>
          <w:szCs w:val="20"/>
        </w:rPr>
        <w:t xml:space="preserve"> [hereinafter </w:t>
      </w:r>
      <w:r w:rsidR="00933C09" w:rsidRPr="006960A9">
        <w:rPr>
          <w:rFonts w:ascii="Times New Roman" w:eastAsia="Times New Roman" w:hAnsi="Times New Roman" w:cs="Times New Roman"/>
          <w:i/>
          <w:iCs/>
          <w:sz w:val="20"/>
          <w:szCs w:val="20"/>
        </w:rPr>
        <w:t>Fuel to the Fire</w:t>
      </w:r>
      <w:r w:rsidR="00933C09" w:rsidRPr="006960A9">
        <w:rPr>
          <w:rFonts w:ascii="Times New Roman" w:eastAsia="Times New Roman" w:hAnsi="Times New Roman" w:cs="Times New Roman"/>
          <w:sz w:val="20"/>
          <w:szCs w:val="20"/>
        </w:rPr>
        <w:t xml:space="preserve">], </w:t>
      </w:r>
      <w:hyperlink r:id="rId3" w:history="1">
        <w:r w:rsidR="00933C09" w:rsidRPr="006960A9">
          <w:rPr>
            <w:rFonts w:ascii="Times New Roman" w:eastAsia="Times New Roman" w:hAnsi="Times New Roman" w:cs="Times New Roman"/>
            <w:color w:val="0000FF"/>
            <w:sz w:val="20"/>
            <w:szCs w:val="20"/>
            <w:u w:val="single"/>
          </w:rPr>
          <w:t>https://www.ciel.org/wp-content/uploads/2019/02/CIEL_FUEL-TO-THE-FIRE_How-Geoengineering-Threatens-to-Entrench-Fossil-Fuels-and-Accelerate-the-Climate-Crisis_February-2019.pdf</w:t>
        </w:r>
      </w:hyperlink>
      <w:r w:rsidRPr="006960A9">
        <w:rPr>
          <w:rFonts w:ascii="Times New Roman" w:eastAsia="Times New Roman" w:hAnsi="Times New Roman" w:cs="Times New Roman"/>
          <w:sz w:val="20"/>
          <w:szCs w:val="20"/>
        </w:rPr>
        <w:t>.</w:t>
      </w:r>
    </w:p>
  </w:footnote>
  <w:footnote w:id="8">
    <w:p w14:paraId="7534F5C5" w14:textId="7A90E869" w:rsidR="00FF4BE3" w:rsidRPr="006960A9" w:rsidRDefault="00FF4BE3" w:rsidP="006960A9">
      <w:pPr>
        <w:pStyle w:val="FootnoteText"/>
        <w:spacing w:before="120"/>
        <w:rPr>
          <w:rFonts w:ascii="Times New Roman" w:hAnsi="Times New Roman" w:cs="Times New Roman"/>
          <w:iCs/>
        </w:rPr>
      </w:pPr>
      <w:r w:rsidRPr="006960A9">
        <w:rPr>
          <w:rStyle w:val="FootnoteReference"/>
          <w:rFonts w:ascii="Times New Roman" w:hAnsi="Times New Roman" w:cs="Times New Roman"/>
        </w:rPr>
        <w:footnoteRef/>
      </w:r>
      <w:r w:rsidRPr="006960A9">
        <w:rPr>
          <w:rFonts w:ascii="Times New Roman" w:hAnsi="Times New Roman" w:cs="Times New Roman"/>
        </w:rPr>
        <w:t xml:space="preserve"> </w:t>
      </w:r>
      <w:r w:rsidRPr="006960A9">
        <w:rPr>
          <w:rFonts w:ascii="Times New Roman" w:hAnsi="Times New Roman" w:cs="Times New Roman"/>
          <w:i/>
        </w:rPr>
        <w:t>Fuel to the Fire</w:t>
      </w:r>
      <w:r w:rsidRPr="006960A9">
        <w:rPr>
          <w:rFonts w:ascii="Times New Roman" w:hAnsi="Times New Roman" w:cs="Times New Roman"/>
          <w:iCs/>
        </w:rPr>
        <w:t>, at 9 (explaining the two classes of technologies and acknowledging the few techniques that do fall into either CDR or SRM).</w:t>
      </w:r>
      <w:r w:rsidR="006E3D4E" w:rsidRPr="006960A9">
        <w:rPr>
          <w:rFonts w:ascii="Times New Roman" w:hAnsi="Times New Roman" w:cs="Times New Roman"/>
          <w:iCs/>
        </w:rPr>
        <w:t xml:space="preserve"> In addition to afforestation and reforestation, the most widely discussed CDR techniques include bioenergy with carbon capture and storage (BECCS), direct air capture with carbon capture and storage, enhanced weathering, ocean </w:t>
      </w:r>
      <w:proofErr w:type="spellStart"/>
      <w:r w:rsidR="006E3D4E" w:rsidRPr="006960A9">
        <w:rPr>
          <w:rFonts w:ascii="Times New Roman" w:hAnsi="Times New Roman" w:cs="Times New Roman"/>
          <w:iCs/>
        </w:rPr>
        <w:t>alkalinization</w:t>
      </w:r>
      <w:proofErr w:type="spellEnd"/>
      <w:r w:rsidR="006E3D4E" w:rsidRPr="006960A9">
        <w:rPr>
          <w:rFonts w:ascii="Times New Roman" w:hAnsi="Times New Roman" w:cs="Times New Roman"/>
          <w:iCs/>
        </w:rPr>
        <w:t>, and ocean fertilization. SRM includes such technologies as atmospheric aerosol injection, marine cloud brightening, and modifying the reflectivity of polar ice.</w:t>
      </w:r>
    </w:p>
  </w:footnote>
  <w:footnote w:id="9">
    <w:p w14:paraId="67378D68" w14:textId="65A8186C" w:rsidR="00F97A9C" w:rsidRPr="006960A9" w:rsidRDefault="00F97A9C" w:rsidP="006960A9">
      <w:pPr>
        <w:pStyle w:val="FootnoteText"/>
        <w:spacing w:before="120"/>
        <w:rPr>
          <w:rFonts w:ascii="Times New Roman" w:hAnsi="Times New Roman" w:cs="Times New Roman"/>
        </w:rPr>
      </w:pPr>
      <w:r w:rsidRPr="006960A9">
        <w:rPr>
          <w:rStyle w:val="FootnoteReference"/>
          <w:rFonts w:ascii="Times New Roman" w:hAnsi="Times New Roman" w:cs="Times New Roman"/>
        </w:rPr>
        <w:footnoteRef/>
      </w:r>
      <w:r w:rsidRPr="006960A9">
        <w:rPr>
          <w:rFonts w:ascii="Times New Roman" w:hAnsi="Times New Roman" w:cs="Times New Roman"/>
        </w:rPr>
        <w:t xml:space="preserve"> </w:t>
      </w:r>
      <w:r w:rsidRPr="006960A9">
        <w:rPr>
          <w:rFonts w:ascii="Times New Roman" w:hAnsi="Times New Roman" w:cs="Times New Roman"/>
          <w:i/>
          <w:iCs/>
        </w:rPr>
        <w:t>Fuel to the Fire</w:t>
      </w:r>
      <w:r w:rsidRPr="006960A9">
        <w:rPr>
          <w:rFonts w:ascii="Times New Roman" w:hAnsi="Times New Roman" w:cs="Times New Roman"/>
        </w:rPr>
        <w:t>, at 31.</w:t>
      </w:r>
    </w:p>
  </w:footnote>
  <w:footnote w:id="10">
    <w:p w14:paraId="20EF4CE5" w14:textId="2699BB56" w:rsidR="00491947" w:rsidRPr="006960A9" w:rsidRDefault="00491947" w:rsidP="006960A9">
      <w:pPr>
        <w:pStyle w:val="FootnoteText"/>
        <w:spacing w:before="120"/>
        <w:rPr>
          <w:rFonts w:ascii="Times New Roman" w:hAnsi="Times New Roman" w:cs="Times New Roman"/>
        </w:rPr>
      </w:pPr>
      <w:r w:rsidRPr="006960A9">
        <w:rPr>
          <w:rStyle w:val="FootnoteReference"/>
          <w:rFonts w:ascii="Times New Roman" w:hAnsi="Times New Roman" w:cs="Times New Roman"/>
        </w:rPr>
        <w:footnoteRef/>
      </w:r>
      <w:r w:rsidRPr="006960A9">
        <w:rPr>
          <w:rFonts w:ascii="Times New Roman" w:hAnsi="Times New Roman" w:cs="Times New Roman"/>
        </w:rPr>
        <w:t xml:space="preserve"> </w:t>
      </w:r>
      <w:r w:rsidRPr="006960A9">
        <w:rPr>
          <w:rFonts w:ascii="Times New Roman" w:hAnsi="Times New Roman" w:cs="Times New Roman"/>
          <w:i/>
          <w:iCs/>
        </w:rPr>
        <w:t>Fuel to the Fire</w:t>
      </w:r>
      <w:r w:rsidRPr="006960A9">
        <w:rPr>
          <w:rFonts w:ascii="Times New Roman" w:hAnsi="Times New Roman" w:cs="Times New Roman"/>
        </w:rPr>
        <w:t>, at 5, 60.</w:t>
      </w:r>
    </w:p>
  </w:footnote>
  <w:footnote w:id="11">
    <w:p w14:paraId="3F7CAA81" w14:textId="160A2C64" w:rsidR="00FC543A" w:rsidRPr="00C901F2" w:rsidRDefault="00FC543A" w:rsidP="006960A9">
      <w:pPr>
        <w:pStyle w:val="NormalWeb"/>
        <w:shd w:val="clear" w:color="auto" w:fill="FFFFFF"/>
        <w:spacing w:before="120" w:beforeAutospacing="0" w:after="0" w:afterAutospacing="0"/>
        <w:rPr>
          <w:color w:val="0000FF"/>
          <w:sz w:val="20"/>
          <w:szCs w:val="20"/>
        </w:rPr>
      </w:pPr>
      <w:r w:rsidRPr="006960A9">
        <w:rPr>
          <w:rStyle w:val="FootnoteReference"/>
          <w:sz w:val="20"/>
          <w:szCs w:val="20"/>
        </w:rPr>
        <w:footnoteRef/>
      </w:r>
      <w:r w:rsidRPr="006960A9">
        <w:rPr>
          <w:sz w:val="20"/>
          <w:szCs w:val="20"/>
        </w:rPr>
        <w:t xml:space="preserve"> </w:t>
      </w:r>
      <w:r w:rsidRPr="006960A9">
        <w:rPr>
          <w:i/>
          <w:iCs/>
          <w:sz w:val="20"/>
          <w:szCs w:val="20"/>
        </w:rPr>
        <w:t>Fuel to the Fire</w:t>
      </w:r>
      <w:r w:rsidRPr="006960A9">
        <w:rPr>
          <w:sz w:val="20"/>
          <w:szCs w:val="20"/>
        </w:rPr>
        <w:t xml:space="preserve">, at 8. IPCC, 2018: Summary for Policymakers. In: </w:t>
      </w:r>
      <w:r w:rsidRPr="006960A9">
        <w:rPr>
          <w:i/>
          <w:iCs/>
          <w:sz w:val="20"/>
          <w:szCs w:val="20"/>
        </w:rPr>
        <w:t xml:space="preserve">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w:t>
      </w:r>
      <w:r w:rsidRPr="006960A9">
        <w:rPr>
          <w:sz w:val="20"/>
          <w:szCs w:val="20"/>
        </w:rPr>
        <w:t>[Masson-</w:t>
      </w:r>
      <w:proofErr w:type="spellStart"/>
      <w:r w:rsidRPr="006960A9">
        <w:rPr>
          <w:sz w:val="20"/>
          <w:szCs w:val="20"/>
        </w:rPr>
        <w:t>Delmotte</w:t>
      </w:r>
      <w:proofErr w:type="spellEnd"/>
      <w:r w:rsidRPr="006960A9">
        <w:rPr>
          <w:sz w:val="20"/>
          <w:szCs w:val="20"/>
        </w:rPr>
        <w:t xml:space="preserve">, V., P. </w:t>
      </w:r>
      <w:proofErr w:type="spellStart"/>
      <w:r w:rsidRPr="006960A9">
        <w:rPr>
          <w:sz w:val="20"/>
          <w:szCs w:val="20"/>
        </w:rPr>
        <w:t>Zhai</w:t>
      </w:r>
      <w:proofErr w:type="spellEnd"/>
      <w:r w:rsidRPr="006960A9">
        <w:rPr>
          <w:sz w:val="20"/>
          <w:szCs w:val="20"/>
        </w:rPr>
        <w:t xml:space="preserve">, H.-O. </w:t>
      </w:r>
      <w:proofErr w:type="spellStart"/>
      <w:r w:rsidRPr="006960A9">
        <w:rPr>
          <w:sz w:val="20"/>
          <w:szCs w:val="20"/>
        </w:rPr>
        <w:t>Pörtner</w:t>
      </w:r>
      <w:proofErr w:type="spellEnd"/>
      <w:r w:rsidRPr="006960A9">
        <w:rPr>
          <w:sz w:val="20"/>
          <w:szCs w:val="20"/>
        </w:rPr>
        <w:t xml:space="preserve">, D. Roberts, J. </w:t>
      </w:r>
      <w:proofErr w:type="spellStart"/>
      <w:r w:rsidRPr="006960A9">
        <w:rPr>
          <w:sz w:val="20"/>
          <w:szCs w:val="20"/>
        </w:rPr>
        <w:t>Skea</w:t>
      </w:r>
      <w:proofErr w:type="spellEnd"/>
      <w:r w:rsidRPr="006960A9">
        <w:rPr>
          <w:sz w:val="20"/>
          <w:szCs w:val="20"/>
        </w:rPr>
        <w:t xml:space="preserve">, P.R. Shukla, A. Pirani, W. </w:t>
      </w:r>
      <w:proofErr w:type="spellStart"/>
      <w:r w:rsidRPr="006960A9">
        <w:rPr>
          <w:sz w:val="20"/>
          <w:szCs w:val="20"/>
        </w:rPr>
        <w:t>Moufouma-Okia</w:t>
      </w:r>
      <w:proofErr w:type="spellEnd"/>
      <w:r w:rsidRPr="006960A9">
        <w:rPr>
          <w:sz w:val="20"/>
          <w:szCs w:val="20"/>
        </w:rPr>
        <w:t xml:space="preserve">, C. </w:t>
      </w:r>
      <w:proofErr w:type="spellStart"/>
      <w:r w:rsidRPr="006960A9">
        <w:rPr>
          <w:sz w:val="20"/>
          <w:szCs w:val="20"/>
        </w:rPr>
        <w:t>Péan</w:t>
      </w:r>
      <w:proofErr w:type="spellEnd"/>
      <w:r w:rsidRPr="006960A9">
        <w:rPr>
          <w:sz w:val="20"/>
          <w:szCs w:val="20"/>
        </w:rPr>
        <w:t xml:space="preserve">, R. </w:t>
      </w:r>
      <w:proofErr w:type="spellStart"/>
      <w:r w:rsidRPr="006960A9">
        <w:rPr>
          <w:sz w:val="20"/>
          <w:szCs w:val="20"/>
        </w:rPr>
        <w:t>Pidcock</w:t>
      </w:r>
      <w:proofErr w:type="spellEnd"/>
      <w:r w:rsidRPr="006960A9">
        <w:rPr>
          <w:sz w:val="20"/>
          <w:szCs w:val="20"/>
        </w:rPr>
        <w:t xml:space="preserve">, S. Connors, J.B.R. Matthews, Y. Chen, X. Zhou, M.I. </w:t>
      </w:r>
      <w:proofErr w:type="spellStart"/>
      <w:r w:rsidRPr="006960A9">
        <w:rPr>
          <w:sz w:val="20"/>
          <w:szCs w:val="20"/>
        </w:rPr>
        <w:t>Gomis</w:t>
      </w:r>
      <w:proofErr w:type="spellEnd"/>
      <w:r w:rsidRPr="006960A9">
        <w:rPr>
          <w:sz w:val="20"/>
          <w:szCs w:val="20"/>
        </w:rPr>
        <w:t xml:space="preserve">, E. </w:t>
      </w:r>
      <w:proofErr w:type="spellStart"/>
      <w:r w:rsidRPr="006960A9">
        <w:rPr>
          <w:sz w:val="20"/>
          <w:szCs w:val="20"/>
        </w:rPr>
        <w:t>Lonnoy</w:t>
      </w:r>
      <w:proofErr w:type="spellEnd"/>
      <w:r w:rsidRPr="006960A9">
        <w:rPr>
          <w:sz w:val="20"/>
          <w:szCs w:val="20"/>
        </w:rPr>
        <w:t xml:space="preserve">, T. </w:t>
      </w:r>
      <w:proofErr w:type="spellStart"/>
      <w:r w:rsidRPr="006960A9">
        <w:rPr>
          <w:sz w:val="20"/>
          <w:szCs w:val="20"/>
        </w:rPr>
        <w:t>Maycock</w:t>
      </w:r>
      <w:proofErr w:type="spellEnd"/>
      <w:r w:rsidRPr="006960A9">
        <w:rPr>
          <w:sz w:val="20"/>
          <w:szCs w:val="20"/>
        </w:rPr>
        <w:t xml:space="preserve">, M. </w:t>
      </w:r>
      <w:proofErr w:type="spellStart"/>
      <w:r w:rsidRPr="006960A9">
        <w:rPr>
          <w:sz w:val="20"/>
          <w:szCs w:val="20"/>
        </w:rPr>
        <w:t>Tignor</w:t>
      </w:r>
      <w:proofErr w:type="spellEnd"/>
      <w:r w:rsidRPr="006960A9">
        <w:rPr>
          <w:sz w:val="20"/>
          <w:szCs w:val="20"/>
        </w:rPr>
        <w:t>, and T. Waterfield (eds.)]</w:t>
      </w:r>
      <w:r w:rsidR="00C21D1F" w:rsidRPr="006960A9">
        <w:rPr>
          <w:sz w:val="20"/>
          <w:szCs w:val="20"/>
        </w:rPr>
        <w:t>,</w:t>
      </w:r>
      <w:r w:rsidRPr="006960A9">
        <w:rPr>
          <w:sz w:val="20"/>
          <w:szCs w:val="20"/>
        </w:rPr>
        <w:t xml:space="preserve"> </w:t>
      </w:r>
      <w:r w:rsidR="00C21D1F" w:rsidRPr="006960A9">
        <w:rPr>
          <w:sz w:val="20"/>
          <w:szCs w:val="20"/>
        </w:rPr>
        <w:t xml:space="preserve">at </w:t>
      </w:r>
      <w:r w:rsidRPr="006960A9">
        <w:rPr>
          <w:sz w:val="20"/>
          <w:szCs w:val="20"/>
        </w:rPr>
        <w:t>12</w:t>
      </w:r>
      <w:r w:rsidR="00C21D1F" w:rsidRPr="006960A9">
        <w:rPr>
          <w:sz w:val="20"/>
          <w:szCs w:val="20"/>
        </w:rPr>
        <w:t xml:space="preserve"> (para C.1.4)</w:t>
      </w:r>
      <w:r w:rsidRPr="006960A9">
        <w:rPr>
          <w:sz w:val="20"/>
          <w:szCs w:val="20"/>
        </w:rPr>
        <w:t>.</w:t>
      </w:r>
      <w:r w:rsidR="00C21D1F" w:rsidRPr="006960A9">
        <w:rPr>
          <w:color w:val="0000FF"/>
          <w:sz w:val="20"/>
          <w:szCs w:val="20"/>
        </w:rPr>
        <w:t xml:space="preserve"> </w:t>
      </w:r>
      <w:hyperlink r:id="rId4" w:history="1">
        <w:r w:rsidR="00C21D1F" w:rsidRPr="006960A9">
          <w:rPr>
            <w:rStyle w:val="Hyperlink"/>
            <w:sz w:val="20"/>
            <w:szCs w:val="20"/>
          </w:rPr>
          <w:t>https://www.ipcc.ch/site/assets/uploads/sites/2/2019/05/SR15_SPM_version_report_LR.pdf</w:t>
        </w:r>
      </w:hyperlink>
    </w:p>
  </w:footnote>
  <w:footnote w:id="12">
    <w:p w14:paraId="68FA94B0" w14:textId="5116B999" w:rsidR="00FC543A" w:rsidRPr="006960A9" w:rsidRDefault="00FC543A" w:rsidP="006960A9">
      <w:pPr>
        <w:spacing w:before="120"/>
        <w:rPr>
          <w:rFonts w:ascii="Times New Roman" w:hAnsi="Times New Roman" w:cs="Times New Roman"/>
          <w:sz w:val="20"/>
          <w:szCs w:val="20"/>
        </w:rPr>
      </w:pPr>
      <w:r w:rsidRPr="006960A9">
        <w:rPr>
          <w:rStyle w:val="FootnoteReference"/>
          <w:rFonts w:ascii="Times New Roman" w:hAnsi="Times New Roman" w:cs="Times New Roman"/>
          <w:sz w:val="20"/>
          <w:szCs w:val="20"/>
        </w:rPr>
        <w:footnoteRef/>
      </w:r>
      <w:r w:rsidR="007A69BC" w:rsidRPr="006960A9">
        <w:rPr>
          <w:rFonts w:ascii="Times New Roman" w:hAnsi="Times New Roman" w:cs="Times New Roman"/>
          <w:sz w:val="20"/>
          <w:szCs w:val="20"/>
        </w:rPr>
        <w:t xml:space="preserve"> IPCC Summary for Policymakers, at 12, </w:t>
      </w:r>
      <w:hyperlink r:id="rId5" w:history="1">
        <w:r w:rsidR="007A69BC" w:rsidRPr="006960A9">
          <w:rPr>
            <w:rStyle w:val="Hyperlink"/>
            <w:rFonts w:ascii="Times New Roman" w:hAnsi="Times New Roman" w:cs="Times New Roman"/>
            <w:sz w:val="20"/>
            <w:szCs w:val="20"/>
          </w:rPr>
          <w:t>https://www.ipcc.ch/site/assets/uploads/2018/02/ipcc_wg3_ar5_summary-for-policymakers.pdf</w:t>
        </w:r>
      </w:hyperlink>
      <w:r w:rsidR="007A69BC" w:rsidRPr="006960A9">
        <w:rPr>
          <w:rFonts w:ascii="Times New Roman" w:hAnsi="Times New Roman" w:cs="Times New Roman"/>
          <w:sz w:val="20"/>
          <w:szCs w:val="20"/>
        </w:rPr>
        <w:t xml:space="preserve">; </w:t>
      </w:r>
      <w:r w:rsidRPr="006960A9">
        <w:rPr>
          <w:rFonts w:ascii="Times New Roman" w:hAnsi="Times New Roman" w:cs="Times New Roman"/>
          <w:sz w:val="20"/>
          <w:szCs w:val="20"/>
        </w:rPr>
        <w:t xml:space="preserve">CIEL, </w:t>
      </w:r>
      <w:proofErr w:type="spellStart"/>
      <w:r w:rsidRPr="006960A9">
        <w:rPr>
          <w:rFonts w:ascii="Times New Roman" w:hAnsi="Times New Roman" w:cs="Times New Roman"/>
          <w:sz w:val="20"/>
          <w:szCs w:val="20"/>
        </w:rPr>
        <w:t>ETC</w:t>
      </w:r>
      <w:proofErr w:type="spellEnd"/>
      <w:r w:rsidRPr="006960A9">
        <w:rPr>
          <w:rFonts w:ascii="Times New Roman" w:hAnsi="Times New Roman" w:cs="Times New Roman"/>
          <w:sz w:val="20"/>
          <w:szCs w:val="20"/>
        </w:rPr>
        <w:t xml:space="preserve"> Group, Heinrich </w:t>
      </w:r>
      <w:proofErr w:type="spellStart"/>
      <w:r w:rsidRPr="006960A9">
        <w:rPr>
          <w:rFonts w:ascii="Times New Roman" w:hAnsi="Times New Roman" w:cs="Times New Roman"/>
          <w:sz w:val="20"/>
          <w:szCs w:val="20"/>
        </w:rPr>
        <w:t>Boell</w:t>
      </w:r>
      <w:proofErr w:type="spellEnd"/>
      <w:r w:rsidRPr="006960A9">
        <w:rPr>
          <w:rFonts w:ascii="Times New Roman" w:hAnsi="Times New Roman" w:cs="Times New Roman"/>
          <w:sz w:val="20"/>
          <w:szCs w:val="20"/>
        </w:rPr>
        <w:t xml:space="preserve"> Stiftung, </w:t>
      </w:r>
      <w:r w:rsidRPr="006960A9">
        <w:rPr>
          <w:rFonts w:ascii="Times New Roman" w:hAnsi="Times New Roman" w:cs="Times New Roman"/>
          <w:i/>
          <w:iCs/>
          <w:sz w:val="20"/>
          <w:szCs w:val="20"/>
        </w:rPr>
        <w:t xml:space="preserve">Briefing Note on ISO draft guidance standard on radiative forcing management </w:t>
      </w:r>
      <w:r w:rsidRPr="006960A9">
        <w:rPr>
          <w:rFonts w:ascii="Times New Roman" w:hAnsi="Times New Roman" w:cs="Times New Roman"/>
          <w:sz w:val="20"/>
          <w:szCs w:val="20"/>
        </w:rPr>
        <w:t>(ISO/NP 14082)</w:t>
      </w:r>
      <w:r w:rsidR="00301AF4" w:rsidRPr="006960A9">
        <w:rPr>
          <w:rFonts w:ascii="Times New Roman" w:hAnsi="Times New Roman" w:cs="Times New Roman"/>
          <w:sz w:val="20"/>
          <w:szCs w:val="20"/>
        </w:rPr>
        <w:t xml:space="preserve"> (2019)</w:t>
      </w:r>
      <w:r w:rsidRPr="006960A9">
        <w:rPr>
          <w:rFonts w:ascii="Times New Roman" w:hAnsi="Times New Roman" w:cs="Times New Roman"/>
          <w:sz w:val="20"/>
          <w:szCs w:val="20"/>
        </w:rPr>
        <w:t>, at 6 n. 20</w:t>
      </w:r>
      <w:r w:rsidR="007A69BC" w:rsidRPr="006960A9">
        <w:rPr>
          <w:rFonts w:ascii="Times New Roman" w:hAnsi="Times New Roman" w:cs="Times New Roman"/>
          <w:sz w:val="20"/>
          <w:szCs w:val="20"/>
        </w:rPr>
        <w:t xml:space="preserve">, </w:t>
      </w:r>
      <w:hyperlink r:id="rId6" w:history="1">
        <w:r w:rsidR="007A69BC" w:rsidRPr="006960A9">
          <w:rPr>
            <w:rStyle w:val="Hyperlink"/>
            <w:rFonts w:ascii="Times New Roman" w:hAnsi="Times New Roman" w:cs="Times New Roman"/>
            <w:sz w:val="20"/>
            <w:szCs w:val="20"/>
          </w:rPr>
          <w:t>https://www.etcgroup.org/sites/www.etcgroup.org/files/files/geoengineering_iso_brief_sep2019.pdf</w:t>
        </w:r>
      </w:hyperlink>
      <w:r w:rsidRPr="006960A9">
        <w:rPr>
          <w:rFonts w:ascii="Times New Roman" w:eastAsia="Times New Roman" w:hAnsi="Times New Roman" w:cs="Times New Roman"/>
          <w:sz w:val="20"/>
          <w:szCs w:val="20"/>
        </w:rPr>
        <w:t xml:space="preserve">. </w:t>
      </w:r>
      <w:r w:rsidR="000E7DD5" w:rsidRPr="006960A9">
        <w:rPr>
          <w:rFonts w:ascii="Times New Roman" w:eastAsia="Times New Roman" w:hAnsi="Times New Roman" w:cs="Times New Roman"/>
          <w:i/>
          <w:iCs/>
          <w:sz w:val="20"/>
          <w:szCs w:val="20"/>
        </w:rPr>
        <w:t xml:space="preserve">See also </w:t>
      </w:r>
      <w:proofErr w:type="spellStart"/>
      <w:r w:rsidR="000E7DD5" w:rsidRPr="006960A9">
        <w:rPr>
          <w:rFonts w:ascii="Times New Roman" w:eastAsia="Times New Roman" w:hAnsi="Times New Roman" w:cs="Times New Roman"/>
          <w:sz w:val="20"/>
          <w:szCs w:val="20"/>
        </w:rPr>
        <w:t>Heleen</w:t>
      </w:r>
      <w:proofErr w:type="spellEnd"/>
      <w:r w:rsidR="000E7DD5" w:rsidRPr="006960A9">
        <w:rPr>
          <w:rFonts w:ascii="Times New Roman" w:eastAsia="Times New Roman" w:hAnsi="Times New Roman" w:cs="Times New Roman"/>
          <w:sz w:val="20"/>
          <w:szCs w:val="20"/>
        </w:rPr>
        <w:t xml:space="preserve"> de </w:t>
      </w:r>
      <w:proofErr w:type="spellStart"/>
      <w:r w:rsidR="000E7DD5" w:rsidRPr="006960A9">
        <w:rPr>
          <w:rFonts w:ascii="Times New Roman" w:eastAsia="Times New Roman" w:hAnsi="Times New Roman" w:cs="Times New Roman"/>
          <w:sz w:val="20"/>
          <w:szCs w:val="20"/>
        </w:rPr>
        <w:t>Coninck</w:t>
      </w:r>
      <w:proofErr w:type="spellEnd"/>
      <w:r w:rsidR="000E7DD5" w:rsidRPr="006960A9">
        <w:rPr>
          <w:rFonts w:ascii="Times New Roman" w:eastAsia="Times New Roman" w:hAnsi="Times New Roman" w:cs="Times New Roman"/>
          <w:sz w:val="20"/>
          <w:szCs w:val="20"/>
        </w:rPr>
        <w:t xml:space="preserve"> et al., </w:t>
      </w:r>
      <w:r w:rsidR="000E7DD5" w:rsidRPr="006960A9">
        <w:rPr>
          <w:rFonts w:ascii="Times New Roman" w:eastAsia="Times New Roman" w:hAnsi="Times New Roman" w:cs="Times New Roman"/>
          <w:i/>
          <w:iCs/>
          <w:sz w:val="20"/>
          <w:szCs w:val="20"/>
        </w:rPr>
        <w:t>Strengthening and Implementing the Global Response</w:t>
      </w:r>
      <w:r w:rsidR="000E7DD5" w:rsidRPr="006960A9">
        <w:rPr>
          <w:rFonts w:ascii="Times New Roman" w:eastAsia="Times New Roman" w:hAnsi="Times New Roman" w:cs="Times New Roman"/>
          <w:sz w:val="20"/>
          <w:szCs w:val="20"/>
        </w:rPr>
        <w:t xml:space="preserve">, in </w:t>
      </w:r>
      <w:r w:rsidR="000E7DD5" w:rsidRPr="006960A9">
        <w:rPr>
          <w:rFonts w:ascii="Times New Roman" w:eastAsia="Times New Roman" w:hAnsi="Times New Roman" w:cs="Times New Roman"/>
          <w:i/>
          <w:iCs/>
          <w:sz w:val="20"/>
          <w:szCs w:val="20"/>
        </w:rPr>
        <w:t>Global warming of 1.5°C</w:t>
      </w:r>
      <w:r w:rsidR="000E7DD5" w:rsidRPr="006960A9">
        <w:rPr>
          <w:rFonts w:ascii="Times New Roman" w:eastAsia="Times New Roman" w:hAnsi="Times New Roman" w:cs="Times New Roman"/>
          <w:sz w:val="20"/>
          <w:szCs w:val="20"/>
        </w:rPr>
        <w:t xml:space="preserve"> at 316-317, § 4.3.7 (V. Masson-</w:t>
      </w:r>
      <w:proofErr w:type="spellStart"/>
      <w:r w:rsidR="000E7DD5" w:rsidRPr="006960A9">
        <w:rPr>
          <w:rFonts w:ascii="Times New Roman" w:eastAsia="Times New Roman" w:hAnsi="Times New Roman" w:cs="Times New Roman"/>
          <w:sz w:val="20"/>
          <w:szCs w:val="20"/>
        </w:rPr>
        <w:t>Delmotte</w:t>
      </w:r>
      <w:proofErr w:type="spellEnd"/>
      <w:r w:rsidR="000E7DD5" w:rsidRPr="006960A9">
        <w:rPr>
          <w:rFonts w:ascii="Times New Roman" w:eastAsia="Times New Roman" w:hAnsi="Times New Roman" w:cs="Times New Roman"/>
          <w:sz w:val="20"/>
          <w:szCs w:val="20"/>
        </w:rPr>
        <w:t xml:space="preserve"> et al. eds., 2018), https:// www.ipcc.ch/site/assets/uploads/ sites/2/2019/02/SR15_Chapter4_Low_Res. Pdf.</w:t>
      </w:r>
    </w:p>
  </w:footnote>
  <w:footnote w:id="13">
    <w:p w14:paraId="78C4EDEE" w14:textId="0D085FA3" w:rsidR="00C014E1" w:rsidRPr="00C901F2" w:rsidRDefault="00C014E1" w:rsidP="00C901F2">
      <w:pPr>
        <w:spacing w:before="120"/>
        <w:rPr>
          <w:rFonts w:ascii="Times New Roman" w:eastAsia="Times New Roman" w:hAnsi="Times New Roman" w:cs="Times New Roman"/>
        </w:rPr>
      </w:pPr>
      <w:r w:rsidRPr="006960A9">
        <w:rPr>
          <w:rStyle w:val="FootnoteReference"/>
          <w:rFonts w:ascii="Times New Roman" w:hAnsi="Times New Roman" w:cs="Times New Roman"/>
          <w:sz w:val="20"/>
          <w:szCs w:val="20"/>
        </w:rPr>
        <w:footnoteRef/>
      </w:r>
      <w:r w:rsidRPr="006960A9">
        <w:rPr>
          <w:rFonts w:ascii="Times New Roman" w:hAnsi="Times New Roman" w:cs="Times New Roman"/>
          <w:sz w:val="20"/>
          <w:szCs w:val="20"/>
        </w:rPr>
        <w:t xml:space="preserve"> See, e.g., Rio Declaration 1992, Principle 15; Convention on Biological Diversity 1992, preamble; </w:t>
      </w:r>
      <w:r w:rsidRPr="006960A9">
        <w:rPr>
          <w:rFonts w:ascii="Times New Roman" w:hAnsi="Times New Roman" w:cs="Times New Roman"/>
          <w:i/>
          <w:iCs/>
          <w:sz w:val="20"/>
          <w:szCs w:val="20"/>
        </w:rPr>
        <w:t xml:space="preserve">see also </w:t>
      </w:r>
      <w:r w:rsidR="005110F3" w:rsidRPr="006960A9">
        <w:rPr>
          <w:rFonts w:ascii="Times New Roman" w:hAnsi="Times New Roman" w:cs="Times New Roman"/>
          <w:sz w:val="20"/>
          <w:szCs w:val="20"/>
        </w:rPr>
        <w:t xml:space="preserve">Human Rights Committee, General Comment No. 36: Article 6 Right to life, </w:t>
      </w:r>
      <w:r w:rsidRPr="006960A9">
        <w:rPr>
          <w:rFonts w:ascii="Times New Roman" w:hAnsi="Times New Roman" w:cs="Times New Roman"/>
          <w:sz w:val="20"/>
          <w:szCs w:val="20"/>
        </w:rPr>
        <w:t xml:space="preserve">UN Doc. </w:t>
      </w:r>
      <w:proofErr w:type="spellStart"/>
      <w:r w:rsidRPr="006960A9">
        <w:rPr>
          <w:rFonts w:ascii="Times New Roman" w:eastAsia="Times New Roman" w:hAnsi="Times New Roman" w:cs="Times New Roman"/>
          <w:sz w:val="20"/>
          <w:szCs w:val="20"/>
        </w:rPr>
        <w:t>CCPR</w:t>
      </w:r>
      <w:proofErr w:type="spellEnd"/>
      <w:r w:rsidRPr="006960A9">
        <w:rPr>
          <w:rFonts w:ascii="Times New Roman" w:eastAsia="Times New Roman" w:hAnsi="Times New Roman" w:cs="Times New Roman"/>
          <w:sz w:val="20"/>
          <w:szCs w:val="20"/>
        </w:rPr>
        <w:t>/C/GC/36</w:t>
      </w:r>
      <w:r w:rsidR="005110F3" w:rsidRPr="006960A9">
        <w:rPr>
          <w:rFonts w:ascii="Times New Roman" w:eastAsia="Times New Roman" w:hAnsi="Times New Roman" w:cs="Times New Roman"/>
          <w:sz w:val="20"/>
          <w:szCs w:val="20"/>
        </w:rPr>
        <w:t>, at para 62 &amp; n. 251(2019) (stating that the right to life should inform states parties’ obligations under international environmental law and that states should “pay due regard for the precautionary approach”).</w:t>
      </w:r>
    </w:p>
  </w:footnote>
  <w:footnote w:id="14">
    <w:p w14:paraId="78183D60" w14:textId="77777777" w:rsidR="002E4A50" w:rsidRPr="006960A9" w:rsidRDefault="002E4A50" w:rsidP="006960A9">
      <w:pPr>
        <w:pStyle w:val="NormalWeb"/>
        <w:shd w:val="clear" w:color="auto" w:fill="FFFFFF"/>
        <w:spacing w:before="120" w:beforeAutospacing="0" w:after="0" w:afterAutospacing="0"/>
        <w:rPr>
          <w:sz w:val="20"/>
          <w:szCs w:val="20"/>
        </w:rPr>
      </w:pPr>
      <w:r w:rsidRPr="006960A9">
        <w:rPr>
          <w:rStyle w:val="FootnoteReference"/>
          <w:sz w:val="20"/>
          <w:szCs w:val="20"/>
        </w:rPr>
        <w:footnoteRef/>
      </w:r>
      <w:r w:rsidRPr="006960A9">
        <w:rPr>
          <w:sz w:val="20"/>
          <w:szCs w:val="20"/>
        </w:rPr>
        <w:t xml:space="preserve"> See </w:t>
      </w:r>
      <w:r w:rsidRPr="006960A9">
        <w:rPr>
          <w:i/>
          <w:iCs/>
          <w:sz w:val="20"/>
          <w:szCs w:val="20"/>
        </w:rPr>
        <w:t>Climate-related Geoengineering and Biodiversity</w:t>
      </w:r>
      <w:r w:rsidRPr="006960A9">
        <w:rPr>
          <w:sz w:val="20"/>
          <w:szCs w:val="20"/>
        </w:rPr>
        <w:t xml:space="preserve">, Convention on Biological Diversity, </w:t>
      </w:r>
      <w:hyperlink r:id="rId7" w:history="1">
        <w:r w:rsidRPr="006960A9">
          <w:rPr>
            <w:rStyle w:val="Hyperlink"/>
            <w:sz w:val="20"/>
            <w:szCs w:val="20"/>
          </w:rPr>
          <w:t>https://www.cbd.int/climate/geoengineering/</w:t>
        </w:r>
      </w:hyperlink>
      <w:r w:rsidRPr="006960A9">
        <w:rPr>
          <w:color w:val="0000FF"/>
          <w:sz w:val="20"/>
          <w:szCs w:val="20"/>
        </w:rPr>
        <w:t xml:space="preserve"> (</w:t>
      </w:r>
      <w:r w:rsidRPr="006960A9">
        <w:rPr>
          <w:sz w:val="20"/>
          <w:szCs w:val="20"/>
        </w:rPr>
        <w:t>last visited 25 June 2020).</w:t>
      </w:r>
    </w:p>
  </w:footnote>
  <w:footnote w:id="15">
    <w:p w14:paraId="286BB4D7" w14:textId="241C5A83" w:rsidR="0093468C" w:rsidRPr="006960A9" w:rsidRDefault="0093468C" w:rsidP="006960A9">
      <w:pPr>
        <w:pStyle w:val="NormalWeb"/>
        <w:shd w:val="clear" w:color="auto" w:fill="FFFFFF"/>
        <w:spacing w:before="120" w:beforeAutospacing="0" w:after="0" w:afterAutospacing="0"/>
        <w:rPr>
          <w:sz w:val="20"/>
          <w:szCs w:val="20"/>
        </w:rPr>
      </w:pPr>
      <w:r w:rsidRPr="006960A9">
        <w:rPr>
          <w:rStyle w:val="FootnoteReference"/>
          <w:sz w:val="20"/>
          <w:szCs w:val="20"/>
        </w:rPr>
        <w:footnoteRef/>
      </w:r>
      <w:r w:rsidRPr="006960A9">
        <w:rPr>
          <w:sz w:val="20"/>
          <w:szCs w:val="20"/>
        </w:rPr>
        <w:t xml:space="preserve"> </w:t>
      </w:r>
      <w:r w:rsidR="002E4A50" w:rsidRPr="006960A9">
        <w:rPr>
          <w:i/>
          <w:iCs/>
          <w:sz w:val="20"/>
          <w:szCs w:val="20"/>
        </w:rPr>
        <w:t>Ibid</w:t>
      </w:r>
    </w:p>
  </w:footnote>
  <w:footnote w:id="16">
    <w:p w14:paraId="079CA377" w14:textId="66F8B8DE" w:rsidR="00A84486" w:rsidRPr="006960A9" w:rsidRDefault="00A84486" w:rsidP="006960A9">
      <w:pPr>
        <w:pStyle w:val="NormalWeb"/>
        <w:shd w:val="clear" w:color="auto" w:fill="FFFFFF"/>
        <w:spacing w:before="120" w:beforeAutospacing="0" w:after="0" w:afterAutospacing="0"/>
        <w:rPr>
          <w:sz w:val="20"/>
          <w:szCs w:val="20"/>
        </w:rPr>
      </w:pPr>
      <w:r w:rsidRPr="006960A9">
        <w:rPr>
          <w:rStyle w:val="FootnoteReference"/>
          <w:sz w:val="20"/>
          <w:szCs w:val="20"/>
        </w:rPr>
        <w:footnoteRef/>
      </w:r>
      <w:r w:rsidRPr="006960A9">
        <w:rPr>
          <w:sz w:val="20"/>
          <w:szCs w:val="20"/>
        </w:rPr>
        <w:t xml:space="preserve"> Resolution LP.4(8) on the Amendment to the London Protocol to Regulate the Placement of Matter for Ocean</w:t>
      </w:r>
      <w:r w:rsidR="00B94809" w:rsidRPr="006960A9">
        <w:rPr>
          <w:sz w:val="20"/>
          <w:szCs w:val="20"/>
        </w:rPr>
        <w:t xml:space="preserve"> </w:t>
      </w:r>
      <w:r w:rsidRPr="006960A9">
        <w:rPr>
          <w:sz w:val="20"/>
          <w:szCs w:val="20"/>
        </w:rPr>
        <w:t xml:space="preserve">Fertilization and Other Marine Geoengineering Activities LP.8. LC 35/15. Annex 4. Annex 5. 2013. </w:t>
      </w:r>
    </w:p>
  </w:footnote>
  <w:footnote w:id="17">
    <w:p w14:paraId="0975B3F6" w14:textId="3384EAEC" w:rsidR="00396E97" w:rsidRPr="00C901F2" w:rsidRDefault="00396E97" w:rsidP="00C901F2">
      <w:pPr>
        <w:spacing w:before="120"/>
        <w:rPr>
          <w:rFonts w:ascii="Times New Roman" w:eastAsia="Times New Roman" w:hAnsi="Times New Roman" w:cs="Times New Roman"/>
        </w:rPr>
      </w:pPr>
      <w:r w:rsidRPr="006960A9">
        <w:rPr>
          <w:rStyle w:val="FootnoteReference"/>
          <w:rFonts w:ascii="Times New Roman" w:hAnsi="Times New Roman" w:cs="Times New Roman"/>
          <w:sz w:val="20"/>
          <w:szCs w:val="20"/>
        </w:rPr>
        <w:footnoteRef/>
      </w:r>
      <w:r w:rsidRPr="006960A9">
        <w:rPr>
          <w:rFonts w:ascii="Times New Roman" w:hAnsi="Times New Roman" w:cs="Times New Roman"/>
          <w:sz w:val="20"/>
          <w:szCs w:val="20"/>
        </w:rPr>
        <w:t xml:space="preserve"> ICCPR, </w:t>
      </w:r>
      <w:r w:rsidRPr="006960A9">
        <w:rPr>
          <w:rFonts w:ascii="Times New Roman" w:eastAsia="Times New Roman" w:hAnsi="Times New Roman" w:cs="Times New Roman"/>
          <w:sz w:val="20"/>
          <w:szCs w:val="20"/>
        </w:rPr>
        <w:t xml:space="preserve">19 December 1966, 999 </w:t>
      </w:r>
      <w:proofErr w:type="spellStart"/>
      <w:r w:rsidRPr="006960A9">
        <w:rPr>
          <w:rFonts w:ascii="Times New Roman" w:eastAsia="Times New Roman" w:hAnsi="Times New Roman" w:cs="Times New Roman"/>
          <w:sz w:val="20"/>
          <w:szCs w:val="20"/>
        </w:rPr>
        <w:t>UNTS</w:t>
      </w:r>
      <w:proofErr w:type="spellEnd"/>
      <w:r w:rsidRPr="006960A9">
        <w:rPr>
          <w:rFonts w:ascii="Times New Roman" w:eastAsia="Times New Roman" w:hAnsi="Times New Roman" w:cs="Times New Roman"/>
          <w:sz w:val="20"/>
          <w:szCs w:val="20"/>
        </w:rPr>
        <w:t xml:space="preserve"> 171 (entered into force 23 March 1976), art. 19</w:t>
      </w:r>
      <w:r w:rsidRPr="006960A9">
        <w:rPr>
          <w:rFonts w:ascii="Times New Roman" w:hAnsi="Times New Roman" w:cs="Times New Roman"/>
          <w:sz w:val="20"/>
          <w:szCs w:val="20"/>
        </w:rPr>
        <w:t xml:space="preserve">; </w:t>
      </w:r>
      <w:r w:rsidRPr="006960A9">
        <w:rPr>
          <w:rFonts w:ascii="Times New Roman" w:eastAsia="Times New Roman" w:hAnsi="Times New Roman" w:cs="Times New Roman"/>
          <w:sz w:val="20"/>
          <w:szCs w:val="20"/>
        </w:rPr>
        <w:t xml:space="preserve">Aarhus Convention on Access to Information, Public Participation in Decision-Making and Access to Justice in Environmental Matters, 25 June 1998, 2161 </w:t>
      </w:r>
      <w:proofErr w:type="spellStart"/>
      <w:r w:rsidRPr="006960A9">
        <w:rPr>
          <w:rFonts w:ascii="Times New Roman" w:eastAsia="Times New Roman" w:hAnsi="Times New Roman" w:cs="Times New Roman"/>
          <w:sz w:val="20"/>
          <w:szCs w:val="20"/>
        </w:rPr>
        <w:t>UNTS</w:t>
      </w:r>
      <w:proofErr w:type="spellEnd"/>
      <w:r w:rsidRPr="006960A9">
        <w:rPr>
          <w:rFonts w:ascii="Times New Roman" w:eastAsia="Times New Roman" w:hAnsi="Times New Roman" w:cs="Times New Roman"/>
          <w:sz w:val="20"/>
          <w:szCs w:val="20"/>
        </w:rPr>
        <w:t xml:space="preserve"> 447, art 4(4) (entered into force 30 October 2001).</w:t>
      </w:r>
    </w:p>
  </w:footnote>
  <w:footnote w:id="18">
    <w:p w14:paraId="0435387A" w14:textId="596B4F3E" w:rsidR="00301AF4" w:rsidRPr="006960A9" w:rsidRDefault="00301AF4" w:rsidP="006960A9">
      <w:pPr>
        <w:pStyle w:val="FootnoteText"/>
        <w:spacing w:before="120"/>
        <w:rPr>
          <w:rFonts w:ascii="Times New Roman" w:hAnsi="Times New Roman" w:cs="Times New Roman"/>
        </w:rPr>
      </w:pPr>
      <w:r w:rsidRPr="006960A9">
        <w:rPr>
          <w:rStyle w:val="FootnoteReference"/>
          <w:rFonts w:ascii="Times New Roman" w:hAnsi="Times New Roman" w:cs="Times New Roman"/>
        </w:rPr>
        <w:footnoteRef/>
      </w:r>
      <w:r w:rsidRPr="006960A9">
        <w:rPr>
          <w:rFonts w:ascii="Times New Roman" w:hAnsi="Times New Roman" w:cs="Times New Roman"/>
        </w:rPr>
        <w:t xml:space="preserve"> For more discussion on ISO’s development of a standard that could promote and facilitate deployment of geoengineering technologies, see CIEL, </w:t>
      </w:r>
      <w:proofErr w:type="spellStart"/>
      <w:r w:rsidRPr="006960A9">
        <w:rPr>
          <w:rFonts w:ascii="Times New Roman" w:hAnsi="Times New Roman" w:cs="Times New Roman"/>
        </w:rPr>
        <w:t>ETC</w:t>
      </w:r>
      <w:proofErr w:type="spellEnd"/>
      <w:r w:rsidRPr="006960A9">
        <w:rPr>
          <w:rFonts w:ascii="Times New Roman" w:hAnsi="Times New Roman" w:cs="Times New Roman"/>
        </w:rPr>
        <w:t xml:space="preserve"> Group, Heinrich </w:t>
      </w:r>
      <w:proofErr w:type="spellStart"/>
      <w:r w:rsidRPr="006960A9">
        <w:rPr>
          <w:rFonts w:ascii="Times New Roman" w:hAnsi="Times New Roman" w:cs="Times New Roman"/>
        </w:rPr>
        <w:t>Boell</w:t>
      </w:r>
      <w:proofErr w:type="spellEnd"/>
      <w:r w:rsidRPr="006960A9">
        <w:rPr>
          <w:rFonts w:ascii="Times New Roman" w:hAnsi="Times New Roman" w:cs="Times New Roman"/>
        </w:rPr>
        <w:t xml:space="preserve"> Stiftung, </w:t>
      </w:r>
      <w:r w:rsidRPr="006960A9">
        <w:rPr>
          <w:rFonts w:ascii="Times New Roman" w:hAnsi="Times New Roman" w:cs="Times New Roman"/>
          <w:i/>
          <w:iCs/>
        </w:rPr>
        <w:t xml:space="preserve">Briefing Note on ISO draft guidance standard on radiative forcing management </w:t>
      </w:r>
      <w:r w:rsidRPr="006960A9">
        <w:rPr>
          <w:rFonts w:ascii="Times New Roman" w:hAnsi="Times New Roman" w:cs="Times New Roman"/>
        </w:rPr>
        <w:t xml:space="preserve">(ISO/NP 14082) (2019), </w:t>
      </w:r>
      <w:hyperlink r:id="rId8" w:history="1">
        <w:r w:rsidRPr="006960A9">
          <w:rPr>
            <w:rStyle w:val="Hyperlink"/>
            <w:rFonts w:ascii="Times New Roman" w:hAnsi="Times New Roman" w:cs="Times New Roman"/>
          </w:rPr>
          <w:t>https://www.etcgroup.org/sites/www.etcgroup.org/files/files/geoengineering_iso_brief_sep2019.pdf</w:t>
        </w:r>
      </w:hyperlink>
      <w:r w:rsidRPr="006960A9">
        <w:rPr>
          <w:rFonts w:ascii="Times New Roman" w:hAnsi="Times New Roman" w:cs="Times New Roman"/>
        </w:rPr>
        <w:t xml:space="preserve">. </w:t>
      </w:r>
    </w:p>
  </w:footnote>
  <w:footnote w:id="19">
    <w:p w14:paraId="3F54746A" w14:textId="119D838B" w:rsidR="0075557F" w:rsidRPr="006960A9" w:rsidRDefault="0075557F" w:rsidP="006960A9">
      <w:pPr>
        <w:spacing w:before="120"/>
        <w:rPr>
          <w:rFonts w:ascii="Times New Roman" w:hAnsi="Times New Roman" w:cs="Times New Roman"/>
          <w:sz w:val="20"/>
          <w:szCs w:val="20"/>
        </w:rPr>
      </w:pPr>
      <w:r w:rsidRPr="006960A9">
        <w:rPr>
          <w:rStyle w:val="FootnoteReference"/>
          <w:rFonts w:ascii="Times New Roman" w:hAnsi="Times New Roman" w:cs="Times New Roman"/>
          <w:sz w:val="20"/>
          <w:szCs w:val="20"/>
        </w:rPr>
        <w:footnoteRef/>
      </w:r>
      <w:r w:rsidRPr="006960A9">
        <w:rPr>
          <w:rFonts w:ascii="Times New Roman" w:hAnsi="Times New Roman" w:cs="Times New Roman"/>
          <w:sz w:val="20"/>
          <w:szCs w:val="20"/>
        </w:rPr>
        <w:t xml:space="preserve"> See Safe Climate: A Report of the Special Rapporteur on Human Rights and the Environment, UN Doc. A/74/161, at para.</w:t>
      </w:r>
      <w:r w:rsidR="002C329A" w:rsidRPr="006960A9">
        <w:rPr>
          <w:rFonts w:ascii="Times New Roman" w:hAnsi="Times New Roman" w:cs="Times New Roman"/>
          <w:sz w:val="20"/>
          <w:szCs w:val="20"/>
        </w:rPr>
        <w:t xml:space="preserve"> </w:t>
      </w:r>
      <w:r w:rsidRPr="006960A9">
        <w:rPr>
          <w:rFonts w:ascii="Times New Roman" w:hAnsi="Times New Roman" w:cs="Times New Roman"/>
          <w:sz w:val="20"/>
          <w:szCs w:val="20"/>
        </w:rPr>
        <w:t xml:space="preserve">83 (2019) (by </w:t>
      </w:r>
      <w:r w:rsidR="002C329A" w:rsidRPr="006960A9">
        <w:rPr>
          <w:rFonts w:ascii="Times New Roman" w:hAnsi="Times New Roman" w:cs="Times New Roman"/>
          <w:sz w:val="20"/>
          <w:szCs w:val="20"/>
        </w:rPr>
        <w:t>David Boyd</w:t>
      </w:r>
      <w:r w:rsidRPr="006960A9">
        <w:rPr>
          <w:rFonts w:ascii="Times New Roman" w:hAnsi="Times New Roman" w:cs="Times New Roman"/>
          <w:sz w:val="20"/>
          <w:szCs w:val="20"/>
        </w:rPr>
        <w:t>),</w:t>
      </w:r>
      <w:r w:rsidR="00A32D79">
        <w:rPr>
          <w:rFonts w:ascii="Times New Roman" w:hAnsi="Times New Roman" w:cs="Times New Roman"/>
          <w:sz w:val="20"/>
          <w:szCs w:val="20"/>
        </w:rPr>
        <w:t xml:space="preserve"> </w:t>
      </w:r>
      <w:hyperlink r:id="rId9" w:history="1">
        <w:r w:rsidR="00A32D79" w:rsidRPr="00A32D79">
          <w:rPr>
            <w:rStyle w:val="Hyperlink"/>
            <w:rFonts w:ascii="Times New Roman" w:hAnsi="Times New Roman" w:cs="Times New Roman"/>
            <w:sz w:val="20"/>
            <w:szCs w:val="20"/>
          </w:rPr>
          <w:t>https://www.ohchr.org/Documents/Issues/Environment/SREnvironment/Report.pdf</w:t>
        </w:r>
      </w:hyperlink>
    </w:p>
  </w:footnote>
  <w:footnote w:id="20">
    <w:p w14:paraId="5DD11B69" w14:textId="26661991" w:rsidR="002C329A" w:rsidRPr="006960A9" w:rsidRDefault="002C329A" w:rsidP="006960A9">
      <w:pPr>
        <w:pStyle w:val="FootnoteText"/>
        <w:spacing w:before="120"/>
        <w:rPr>
          <w:rFonts w:ascii="Times New Roman" w:hAnsi="Times New Roman" w:cs="Times New Roman"/>
        </w:rPr>
      </w:pPr>
      <w:r w:rsidRPr="006960A9">
        <w:rPr>
          <w:rStyle w:val="FootnoteReference"/>
          <w:rFonts w:ascii="Times New Roman" w:hAnsi="Times New Roman" w:cs="Times New Roman"/>
        </w:rPr>
        <w:footnoteRef/>
      </w:r>
      <w:r w:rsidRPr="006960A9">
        <w:rPr>
          <w:rFonts w:ascii="Times New Roman" w:hAnsi="Times New Roman" w:cs="Times New Roman"/>
        </w:rPr>
        <w:t xml:space="preserve"> </w:t>
      </w:r>
      <w:r w:rsidRPr="006960A9">
        <w:rPr>
          <w:rFonts w:ascii="Times New Roman" w:hAnsi="Times New Roman" w:cs="Times New Roman"/>
          <w:i/>
          <w:iCs/>
        </w:rPr>
        <w:t xml:space="preserve">Ibid </w:t>
      </w:r>
      <w:r w:rsidRPr="006960A9">
        <w:rPr>
          <w:rFonts w:ascii="Times New Roman" w:hAnsi="Times New Roman" w:cs="Times New Roman"/>
        </w:rPr>
        <w:t>at para 21.</w:t>
      </w:r>
    </w:p>
  </w:footnote>
  <w:footnote w:id="21">
    <w:p w14:paraId="6877F77E" w14:textId="5B2298BD" w:rsidR="00EA3E2D" w:rsidRPr="006960A9" w:rsidRDefault="00EA3E2D" w:rsidP="00C901F2">
      <w:pPr>
        <w:spacing w:before="120"/>
        <w:rPr>
          <w:rFonts w:ascii="Times New Roman" w:hAnsi="Times New Roman" w:cs="Times New Roman"/>
        </w:rPr>
      </w:pPr>
      <w:r w:rsidRPr="006960A9">
        <w:rPr>
          <w:rStyle w:val="FootnoteReference"/>
          <w:rFonts w:ascii="Times New Roman" w:hAnsi="Times New Roman" w:cs="Times New Roman"/>
          <w:sz w:val="20"/>
          <w:szCs w:val="20"/>
        </w:rPr>
        <w:footnoteRef/>
      </w:r>
      <w:r w:rsidRPr="006960A9">
        <w:rPr>
          <w:rFonts w:ascii="Times New Roman" w:hAnsi="Times New Roman" w:cs="Times New Roman"/>
          <w:sz w:val="20"/>
          <w:szCs w:val="20"/>
        </w:rPr>
        <w:t xml:space="preserve"> See, e.g., </w:t>
      </w:r>
      <w:r w:rsidRPr="006960A9">
        <w:rPr>
          <w:rFonts w:ascii="Times New Roman" w:eastAsia="Times New Roman" w:hAnsi="Times New Roman" w:cs="Times New Roman"/>
          <w:sz w:val="20"/>
          <w:szCs w:val="20"/>
        </w:rPr>
        <w:t xml:space="preserve">Barbara A </w:t>
      </w:r>
      <w:proofErr w:type="spellStart"/>
      <w:r w:rsidRPr="006960A9">
        <w:rPr>
          <w:rFonts w:ascii="Times New Roman" w:eastAsia="Times New Roman" w:hAnsi="Times New Roman" w:cs="Times New Roman"/>
          <w:sz w:val="20"/>
          <w:szCs w:val="20"/>
        </w:rPr>
        <w:t>Demeneix</w:t>
      </w:r>
      <w:proofErr w:type="spellEnd"/>
      <w:r w:rsidRPr="006960A9">
        <w:rPr>
          <w:rFonts w:ascii="Times New Roman" w:eastAsia="Times New Roman" w:hAnsi="Times New Roman" w:cs="Times New Roman"/>
          <w:sz w:val="20"/>
          <w:szCs w:val="20"/>
        </w:rPr>
        <w:t xml:space="preserve">, </w:t>
      </w:r>
      <w:r w:rsidRPr="00C901F2">
        <w:rPr>
          <w:rFonts w:ascii="Times New Roman" w:eastAsia="Times New Roman" w:hAnsi="Times New Roman" w:cs="Times New Roman"/>
          <w:i/>
          <w:iCs/>
          <w:sz w:val="20"/>
          <w:szCs w:val="20"/>
        </w:rPr>
        <w:t>How fossil fuel-derived pesticides and plastics harm health, biodiversity, and the climate</w:t>
      </w:r>
      <w:r w:rsidRPr="006960A9">
        <w:rPr>
          <w:rFonts w:ascii="Times New Roman" w:eastAsia="Times New Roman" w:hAnsi="Times New Roman" w:cs="Times New Roman"/>
          <w:sz w:val="20"/>
          <w:szCs w:val="20"/>
        </w:rPr>
        <w:t>, 8 The Lancet 462-64 (2020)</w:t>
      </w:r>
      <w:r w:rsidR="009A185E" w:rsidRPr="006960A9">
        <w:rPr>
          <w:rFonts w:ascii="Times New Roman" w:eastAsia="Times New Roman" w:hAnsi="Times New Roman" w:cs="Times New Roman"/>
          <w:sz w:val="20"/>
          <w:szCs w:val="20"/>
        </w:rPr>
        <w:t>;</w:t>
      </w:r>
      <w:r w:rsidR="009A185E" w:rsidRPr="006960A9">
        <w:rPr>
          <w:rFonts w:ascii="Times New Roman" w:eastAsia="Times New Roman" w:hAnsi="Times New Roman" w:cs="Times New Roman"/>
          <w:i/>
          <w:iCs/>
          <w:sz w:val="20"/>
          <w:szCs w:val="20"/>
        </w:rPr>
        <w:t xml:space="preserve"> </w:t>
      </w:r>
      <w:r w:rsidR="009A185E" w:rsidRPr="006960A9">
        <w:rPr>
          <w:rFonts w:ascii="Times New Roman" w:eastAsia="Times New Roman" w:hAnsi="Times New Roman" w:cs="Times New Roman"/>
          <w:sz w:val="20"/>
          <w:szCs w:val="20"/>
        </w:rPr>
        <w:t>CIEL, Fueling Plastics,</w:t>
      </w:r>
      <w:r w:rsidR="006960A9">
        <w:rPr>
          <w:rFonts w:ascii="Times New Roman" w:eastAsia="Times New Roman" w:hAnsi="Times New Roman" w:cs="Times New Roman"/>
          <w:sz w:val="20"/>
          <w:szCs w:val="20"/>
        </w:rPr>
        <w:t xml:space="preserve"> </w:t>
      </w:r>
      <w:hyperlink r:id="rId10" w:history="1">
        <w:r w:rsidR="006960A9" w:rsidRPr="006056F4">
          <w:rPr>
            <w:rStyle w:val="Hyperlink"/>
            <w:rFonts w:ascii="Times New Roman" w:hAnsi="Times New Roman" w:cs="Times New Roman"/>
            <w:sz w:val="20"/>
            <w:szCs w:val="20"/>
          </w:rPr>
          <w:t>https://www.ciel.org/reports/fuelingplastics/</w:t>
        </w:r>
      </w:hyperlink>
      <w:r w:rsidR="009A185E" w:rsidRPr="006960A9">
        <w:rPr>
          <w:rFonts w:ascii="Times New Roman" w:hAnsi="Times New Roman" w:cs="Times New Roman"/>
          <w:sz w:val="20"/>
          <w:szCs w:val="20"/>
        </w:rPr>
        <w:t xml:space="preserve">; CIEL, </w:t>
      </w:r>
      <w:r w:rsidR="009A185E" w:rsidRPr="00C901F2">
        <w:rPr>
          <w:rFonts w:ascii="Times New Roman" w:hAnsi="Times New Roman" w:cs="Times New Roman"/>
          <w:i/>
          <w:iCs/>
          <w:sz w:val="20"/>
          <w:szCs w:val="20"/>
        </w:rPr>
        <w:t>Plastics and Health: the Hidden Costs</w:t>
      </w:r>
      <w:r w:rsidR="009A185E" w:rsidRPr="006960A9">
        <w:rPr>
          <w:rFonts w:ascii="Times New Roman" w:hAnsi="Times New Roman" w:cs="Times New Roman"/>
          <w:sz w:val="20"/>
          <w:szCs w:val="20"/>
        </w:rPr>
        <w:t xml:space="preserve"> </w:t>
      </w:r>
      <w:r w:rsidR="009A185E" w:rsidRPr="00C901F2">
        <w:rPr>
          <w:rFonts w:ascii="Times New Roman" w:hAnsi="Times New Roman" w:cs="Times New Roman"/>
          <w:i/>
          <w:iCs/>
          <w:sz w:val="20"/>
          <w:szCs w:val="20"/>
        </w:rPr>
        <w:t>of a Plastic Planet</w:t>
      </w:r>
      <w:r w:rsidR="009A185E" w:rsidRPr="006960A9">
        <w:rPr>
          <w:rFonts w:ascii="Times New Roman" w:hAnsi="Times New Roman" w:cs="Times New Roman"/>
          <w:sz w:val="20"/>
          <w:szCs w:val="20"/>
        </w:rPr>
        <w:t xml:space="preserve"> (2019), </w:t>
      </w:r>
      <w:hyperlink r:id="rId11" w:history="1">
        <w:r w:rsidR="009A185E" w:rsidRPr="006960A9">
          <w:rPr>
            <w:rStyle w:val="Hyperlink"/>
            <w:rFonts w:ascii="Times New Roman" w:hAnsi="Times New Roman" w:cs="Times New Roman"/>
            <w:sz w:val="20"/>
            <w:szCs w:val="20"/>
          </w:rPr>
          <w:t>https://www.ciel.org/wp-content/uploads/2019/02/Plastic-and-Health-The-Hidden-Costs-of-a-Plastic-Planet-February-2019.pdf</w:t>
        </w:r>
      </w:hyperlink>
      <w:r w:rsidR="009A185E" w:rsidRPr="006960A9">
        <w:rPr>
          <w:rFonts w:ascii="Times New Roman" w:hAnsi="Times New Roman" w:cs="Times New Roman"/>
          <w:sz w:val="20"/>
          <w:szCs w:val="20"/>
        </w:rPr>
        <w:t>.</w:t>
      </w:r>
    </w:p>
  </w:footnote>
  <w:footnote w:id="22">
    <w:p w14:paraId="7CB433D8" w14:textId="78D6E4E2" w:rsidR="000B2DA7" w:rsidRPr="00C901F2" w:rsidRDefault="000B2DA7" w:rsidP="00C901F2">
      <w:pPr>
        <w:spacing w:before="120"/>
        <w:rPr>
          <w:rFonts w:ascii="Times New Roman" w:eastAsia="Times New Roman" w:hAnsi="Times New Roman" w:cs="Times New Roman"/>
        </w:rPr>
      </w:pPr>
      <w:r w:rsidRPr="006960A9">
        <w:rPr>
          <w:rStyle w:val="FootnoteReference"/>
          <w:rFonts w:ascii="Times New Roman" w:hAnsi="Times New Roman" w:cs="Times New Roman"/>
          <w:sz w:val="20"/>
          <w:szCs w:val="20"/>
        </w:rPr>
        <w:footnoteRef/>
      </w:r>
      <w:r w:rsidRPr="006960A9">
        <w:rPr>
          <w:rFonts w:ascii="Times New Roman" w:hAnsi="Times New Roman" w:cs="Times New Roman"/>
          <w:sz w:val="20"/>
          <w:szCs w:val="20"/>
        </w:rPr>
        <w:t xml:space="preserve"> See, e.g., Report of the Special Rapporteur on the Right to Food and </w:t>
      </w:r>
      <w:r w:rsidRPr="006960A9">
        <w:rPr>
          <w:rFonts w:ascii="Times New Roman" w:eastAsia="Times New Roman" w:hAnsi="Times New Roman" w:cs="Times New Roman"/>
          <w:sz w:val="20"/>
          <w:szCs w:val="20"/>
        </w:rPr>
        <w:t xml:space="preserve">the Special Rapporteur on the implications for human rights of the environmentally sound management and disposal of hazardous substances and wastes, </w:t>
      </w:r>
      <w:r w:rsidRPr="006960A9">
        <w:rPr>
          <w:rFonts w:ascii="Times New Roman" w:hAnsi="Times New Roman" w:cs="Times New Roman"/>
          <w:sz w:val="20"/>
          <w:szCs w:val="20"/>
        </w:rPr>
        <w:t xml:space="preserve">UN Doc. </w:t>
      </w:r>
      <w:r w:rsidRPr="006960A9">
        <w:rPr>
          <w:rFonts w:ascii="Times New Roman" w:eastAsia="Times New Roman" w:hAnsi="Times New Roman" w:cs="Times New Roman"/>
          <w:sz w:val="20"/>
          <w:szCs w:val="20"/>
        </w:rPr>
        <w:t>A/</w:t>
      </w:r>
      <w:proofErr w:type="spellStart"/>
      <w:r w:rsidRPr="006960A9">
        <w:rPr>
          <w:rFonts w:ascii="Times New Roman" w:eastAsia="Times New Roman" w:hAnsi="Times New Roman" w:cs="Times New Roman"/>
          <w:sz w:val="20"/>
          <w:szCs w:val="20"/>
        </w:rPr>
        <w:t>HRC</w:t>
      </w:r>
      <w:proofErr w:type="spellEnd"/>
      <w:r w:rsidRPr="006960A9">
        <w:rPr>
          <w:rFonts w:ascii="Times New Roman" w:eastAsia="Times New Roman" w:hAnsi="Times New Roman" w:cs="Times New Roman"/>
          <w:sz w:val="20"/>
          <w:szCs w:val="20"/>
        </w:rPr>
        <w:t>/34/48</w:t>
      </w:r>
      <w:r w:rsidR="00600BB8" w:rsidRPr="006960A9">
        <w:rPr>
          <w:rFonts w:ascii="Times New Roman" w:eastAsia="Times New Roman" w:hAnsi="Times New Roman" w:cs="Times New Roman"/>
          <w:sz w:val="20"/>
          <w:szCs w:val="20"/>
        </w:rPr>
        <w:t xml:space="preserve">, at </w:t>
      </w:r>
      <w:r w:rsidRPr="006960A9">
        <w:rPr>
          <w:rFonts w:ascii="Times New Roman" w:eastAsia="Times New Roman" w:hAnsi="Times New Roman" w:cs="Times New Roman"/>
          <w:sz w:val="20"/>
          <w:szCs w:val="20"/>
        </w:rPr>
        <w:t>paras. 3, 32, 41</w:t>
      </w:r>
      <w:r w:rsidR="00600BB8" w:rsidRPr="006960A9">
        <w:rPr>
          <w:rFonts w:ascii="Times New Roman" w:eastAsia="Times New Roman" w:hAnsi="Times New Roman" w:cs="Times New Roman"/>
          <w:sz w:val="20"/>
          <w:szCs w:val="20"/>
        </w:rPr>
        <w:t xml:space="preserve"> (2017)</w:t>
      </w:r>
      <w:r w:rsidRPr="006960A9">
        <w:rPr>
          <w:rFonts w:ascii="Times New Roman" w:eastAsia="Times New Roman" w:hAnsi="Times New Roman" w:cs="Times New Roman"/>
          <w:sz w:val="20"/>
          <w:szCs w:val="20"/>
        </w:rPr>
        <w:t xml:space="preserve">. </w:t>
      </w:r>
    </w:p>
  </w:footnote>
  <w:footnote w:id="23">
    <w:p w14:paraId="3EB01E86" w14:textId="794E6028" w:rsidR="0001283E" w:rsidRPr="006960A9" w:rsidRDefault="0001283E" w:rsidP="006960A9">
      <w:pPr>
        <w:pStyle w:val="FootnoteText"/>
        <w:spacing w:before="120"/>
        <w:rPr>
          <w:rFonts w:ascii="Times New Roman" w:hAnsi="Times New Roman" w:cs="Times New Roman"/>
        </w:rPr>
      </w:pPr>
      <w:r w:rsidRPr="006960A9">
        <w:rPr>
          <w:rStyle w:val="FootnoteReference"/>
          <w:rFonts w:ascii="Times New Roman" w:hAnsi="Times New Roman" w:cs="Times New Roman"/>
        </w:rPr>
        <w:footnoteRef/>
      </w:r>
      <w:r w:rsidRPr="006960A9">
        <w:rPr>
          <w:rFonts w:ascii="Times New Roman" w:hAnsi="Times New Roman" w:cs="Times New Roman"/>
        </w:rPr>
        <w:t xml:space="preserve"> See United Nations Guiding Principles on Business and Human Rights, UN Doc.HR/PUB/11/04, </w:t>
      </w:r>
      <w:proofErr w:type="spellStart"/>
      <w:r w:rsidRPr="006960A9">
        <w:rPr>
          <w:rFonts w:ascii="Times New Roman" w:hAnsi="Times New Roman" w:cs="Times New Roman"/>
        </w:rPr>
        <w:t>princs</w:t>
      </w:r>
      <w:proofErr w:type="spellEnd"/>
      <w:r w:rsidRPr="006960A9">
        <w:rPr>
          <w:rFonts w:ascii="Times New Roman" w:hAnsi="Times New Roman" w:cs="Times New Roman"/>
        </w:rPr>
        <w:t>. 11-13, 22 (2011).</w:t>
      </w:r>
    </w:p>
  </w:footnote>
  <w:footnote w:id="24">
    <w:p w14:paraId="2B61F79A" w14:textId="77777777" w:rsidR="00184404" w:rsidRPr="006960A9" w:rsidRDefault="00184404" w:rsidP="006960A9">
      <w:pPr>
        <w:spacing w:before="120"/>
        <w:rPr>
          <w:rFonts w:ascii="Times New Roman" w:hAnsi="Times New Roman" w:cs="Times New Roman"/>
          <w:sz w:val="20"/>
          <w:szCs w:val="20"/>
        </w:rPr>
      </w:pPr>
      <w:r w:rsidRPr="006960A9">
        <w:rPr>
          <w:rFonts w:ascii="Times New Roman" w:hAnsi="Times New Roman" w:cs="Times New Roman"/>
          <w:sz w:val="20"/>
          <w:szCs w:val="20"/>
          <w:vertAlign w:val="superscript"/>
        </w:rPr>
        <w:footnoteRef/>
      </w:r>
      <w:r w:rsidRPr="006960A9">
        <w:rPr>
          <w:rFonts w:ascii="Times New Roman" w:hAnsi="Times New Roman" w:cs="Times New Roman"/>
          <w:sz w:val="20"/>
          <w:szCs w:val="20"/>
        </w:rPr>
        <w:t xml:space="preserve"> Paragraph 78 of the Special Rapporteur’s “Issue of human rights obligations relating the </w:t>
      </w:r>
      <w:proofErr w:type="spellStart"/>
      <w:r w:rsidRPr="006960A9">
        <w:rPr>
          <w:rFonts w:ascii="Times New Roman" w:hAnsi="Times New Roman" w:cs="Times New Roman"/>
          <w:sz w:val="20"/>
          <w:szCs w:val="20"/>
        </w:rPr>
        <w:t>the</w:t>
      </w:r>
      <w:proofErr w:type="spellEnd"/>
      <w:r w:rsidRPr="006960A9">
        <w:rPr>
          <w:rFonts w:ascii="Times New Roman" w:hAnsi="Times New Roman" w:cs="Times New Roman"/>
          <w:sz w:val="20"/>
          <w:szCs w:val="20"/>
        </w:rPr>
        <w:t xml:space="preserve"> enjoyment of a safe, clean, healthy, and sustainable environment” Human Rights Council 37th Session 2018 </w:t>
      </w:r>
    </w:p>
  </w:footnote>
  <w:footnote w:id="25">
    <w:p w14:paraId="68648A36" w14:textId="77777777" w:rsidR="00184404" w:rsidRPr="006960A9" w:rsidRDefault="00184404" w:rsidP="006960A9">
      <w:pPr>
        <w:spacing w:before="120"/>
        <w:rPr>
          <w:rFonts w:ascii="Times New Roman" w:hAnsi="Times New Roman" w:cs="Times New Roman"/>
          <w:sz w:val="20"/>
          <w:szCs w:val="20"/>
        </w:rPr>
      </w:pPr>
      <w:r w:rsidRPr="006960A9">
        <w:rPr>
          <w:rFonts w:ascii="Times New Roman" w:hAnsi="Times New Roman" w:cs="Times New Roman"/>
          <w:sz w:val="20"/>
          <w:szCs w:val="20"/>
          <w:vertAlign w:val="superscript"/>
        </w:rPr>
        <w:footnoteRef/>
      </w:r>
      <w:r w:rsidRPr="006960A9">
        <w:rPr>
          <w:rFonts w:ascii="Times New Roman" w:hAnsi="Times New Roman" w:cs="Times New Roman"/>
          <w:sz w:val="20"/>
          <w:szCs w:val="20"/>
        </w:rPr>
        <w:t xml:space="preserve"> Paragraph 39 of Report of the Special Rapporteur on ``The issue of human rights obligations relating the enjoyment of a safe, clean, healthy, and sustainable environment” Human Rights Council 37th Session, 2018.</w:t>
      </w:r>
    </w:p>
  </w:footnote>
  <w:footnote w:id="26">
    <w:p w14:paraId="74172D74" w14:textId="77777777" w:rsidR="00184404" w:rsidRPr="006960A9" w:rsidRDefault="00184404" w:rsidP="006960A9">
      <w:pPr>
        <w:spacing w:before="120"/>
        <w:rPr>
          <w:rFonts w:ascii="Times New Roman" w:hAnsi="Times New Roman" w:cs="Times New Roman"/>
          <w:sz w:val="20"/>
          <w:szCs w:val="20"/>
        </w:rPr>
      </w:pPr>
      <w:r w:rsidRPr="006960A9">
        <w:rPr>
          <w:rFonts w:ascii="Times New Roman" w:hAnsi="Times New Roman" w:cs="Times New Roman"/>
          <w:sz w:val="20"/>
          <w:szCs w:val="20"/>
          <w:vertAlign w:val="superscript"/>
        </w:rPr>
        <w:footnoteRef/>
      </w:r>
      <w:r w:rsidRPr="006960A9">
        <w:rPr>
          <w:rFonts w:ascii="Times New Roman" w:hAnsi="Times New Roman" w:cs="Times New Roman"/>
          <w:sz w:val="20"/>
          <w:szCs w:val="20"/>
        </w:rPr>
        <w:t xml:space="preserve"> </w:t>
      </w:r>
      <w:r w:rsidRPr="006960A9">
        <w:rPr>
          <w:rFonts w:ascii="Times New Roman" w:hAnsi="Times New Roman" w:cs="Times New Roman"/>
          <w:i/>
          <w:sz w:val="20"/>
          <w:szCs w:val="20"/>
        </w:rPr>
        <w:t>Convention for Biological Diversity</w:t>
      </w:r>
      <w:r w:rsidRPr="006960A9">
        <w:rPr>
          <w:rFonts w:ascii="Times New Roman" w:hAnsi="Times New Roman" w:cs="Times New Roman"/>
          <w:sz w:val="20"/>
          <w:szCs w:val="20"/>
        </w:rPr>
        <w:t>, Draft monitoring framework for the post-2020 global biodiversity framework for review</w:t>
      </w:r>
      <w:r w:rsidRPr="006960A9">
        <w:rPr>
          <w:rFonts w:ascii="Times New Roman" w:hAnsi="Times New Roman" w:cs="Times New Roman"/>
          <w:i/>
          <w:sz w:val="20"/>
          <w:szCs w:val="20"/>
        </w:rPr>
        <w:t xml:space="preserve"> </w:t>
      </w:r>
      <w:hyperlink r:id="rId12">
        <w:r w:rsidRPr="006960A9">
          <w:rPr>
            <w:rFonts w:ascii="Times New Roman" w:hAnsi="Times New Roman" w:cs="Times New Roman"/>
            <w:color w:val="1155CC"/>
            <w:sz w:val="20"/>
            <w:szCs w:val="20"/>
            <w:u w:val="single"/>
          </w:rPr>
          <w:t>https://www.cbd.int/sbstta/sbstta-24/post2020-monitoring-en.pdf</w:t>
        </w:r>
      </w:hyperlink>
    </w:p>
  </w:footnote>
  <w:footnote w:id="27">
    <w:p w14:paraId="3837B44D" w14:textId="77777777" w:rsidR="00184404" w:rsidRPr="006960A9" w:rsidRDefault="00184404" w:rsidP="006960A9">
      <w:pPr>
        <w:spacing w:before="120"/>
        <w:rPr>
          <w:rFonts w:ascii="Times New Roman" w:hAnsi="Times New Roman" w:cs="Times New Roman"/>
          <w:i/>
          <w:sz w:val="20"/>
          <w:szCs w:val="20"/>
        </w:rPr>
      </w:pPr>
      <w:r w:rsidRPr="006960A9">
        <w:rPr>
          <w:rFonts w:ascii="Times New Roman" w:hAnsi="Times New Roman" w:cs="Times New Roman"/>
          <w:sz w:val="20"/>
          <w:szCs w:val="20"/>
          <w:vertAlign w:val="superscript"/>
        </w:rPr>
        <w:footnoteRef/>
      </w:r>
      <w:r w:rsidRPr="006960A9">
        <w:rPr>
          <w:rFonts w:ascii="Times New Roman" w:hAnsi="Times New Roman" w:cs="Times New Roman"/>
          <w:sz w:val="20"/>
          <w:szCs w:val="20"/>
        </w:rPr>
        <w:t xml:space="preserve"> </w:t>
      </w:r>
      <w:r w:rsidRPr="006960A9">
        <w:rPr>
          <w:rFonts w:ascii="Times New Roman" w:hAnsi="Times New Roman" w:cs="Times New Roman"/>
          <w:i/>
          <w:sz w:val="20"/>
          <w:szCs w:val="20"/>
        </w:rPr>
        <w:t xml:space="preserve">Ibid </w:t>
      </w:r>
    </w:p>
  </w:footnote>
  <w:footnote w:id="28">
    <w:p w14:paraId="4C0CBCDF" w14:textId="77777777" w:rsidR="00184404" w:rsidRPr="006960A9" w:rsidRDefault="00184404" w:rsidP="006960A9">
      <w:pPr>
        <w:spacing w:before="120"/>
        <w:rPr>
          <w:rFonts w:ascii="Times New Roman" w:hAnsi="Times New Roman" w:cs="Times New Roman"/>
          <w:sz w:val="20"/>
          <w:szCs w:val="20"/>
        </w:rPr>
      </w:pPr>
      <w:r w:rsidRPr="006960A9">
        <w:rPr>
          <w:rFonts w:ascii="Times New Roman" w:hAnsi="Times New Roman" w:cs="Times New Roman"/>
          <w:sz w:val="20"/>
          <w:szCs w:val="20"/>
          <w:vertAlign w:val="superscript"/>
        </w:rPr>
        <w:footnoteRef/>
      </w:r>
      <w:r w:rsidRPr="006960A9">
        <w:rPr>
          <w:rFonts w:ascii="Times New Roman" w:hAnsi="Times New Roman" w:cs="Times New Roman"/>
          <w:sz w:val="20"/>
          <w:szCs w:val="20"/>
        </w:rPr>
        <w:t xml:space="preserve"> AXA and WWF (2019), </w:t>
      </w:r>
      <w:r w:rsidRPr="006960A9">
        <w:rPr>
          <w:rFonts w:ascii="Times New Roman" w:hAnsi="Times New Roman" w:cs="Times New Roman"/>
          <w:i/>
          <w:sz w:val="20"/>
          <w:szCs w:val="20"/>
        </w:rPr>
        <w:t>Into the wild - Integrating nature into investment strategies</w:t>
      </w:r>
      <w:r w:rsidRPr="006960A9">
        <w:rPr>
          <w:rFonts w:ascii="Times New Roman" w:hAnsi="Times New Roman" w:cs="Times New Roman"/>
          <w:sz w:val="20"/>
          <w:szCs w:val="20"/>
        </w:rPr>
        <w:t>, AXA and WWF</w:t>
      </w:r>
    </w:p>
  </w:footnote>
  <w:footnote w:id="29">
    <w:p w14:paraId="5058FD5C" w14:textId="28562FD1" w:rsidR="00184404" w:rsidRPr="006960A9" w:rsidRDefault="00184404" w:rsidP="006960A9">
      <w:pPr>
        <w:pStyle w:val="FootnoteText"/>
        <w:spacing w:before="120"/>
        <w:rPr>
          <w:rFonts w:ascii="Times New Roman" w:hAnsi="Times New Roman" w:cs="Times New Roman"/>
        </w:rPr>
      </w:pPr>
      <w:r w:rsidRPr="006960A9">
        <w:rPr>
          <w:rStyle w:val="FootnoteReference"/>
          <w:rFonts w:ascii="Times New Roman" w:hAnsi="Times New Roman" w:cs="Times New Roman"/>
        </w:rPr>
        <w:footnoteRef/>
      </w:r>
      <w:r w:rsidRPr="006960A9">
        <w:rPr>
          <w:rFonts w:ascii="Times New Roman" w:hAnsi="Times New Roman" w:cs="Times New Roman"/>
        </w:rPr>
        <w:t xml:space="preserve"> Dutch Central Bank (2020), </w:t>
      </w:r>
      <w:r w:rsidRPr="006960A9">
        <w:rPr>
          <w:rFonts w:ascii="Times New Roman" w:hAnsi="Times New Roman" w:cs="Times New Roman"/>
          <w:i/>
          <w:iCs/>
        </w:rPr>
        <w:t xml:space="preserve">Indebted to nature – Exploring biodiversity risks for the Dutch financial sector, </w:t>
      </w:r>
      <w:hyperlink r:id="rId13" w:history="1">
        <w:r w:rsidRPr="006960A9">
          <w:rPr>
            <w:rStyle w:val="Hyperlink"/>
            <w:rFonts w:ascii="Times New Roman" w:hAnsi="Times New Roman" w:cs="Times New Roman"/>
          </w:rPr>
          <w:t>https://www.dnb.nl/en/binaries/Indebted to nature _tcm47-389172.pdf</w:t>
        </w:r>
      </w:hyperlink>
      <w:r w:rsidRPr="006960A9">
        <w:rPr>
          <w:rFonts w:ascii="Times New Roman" w:hAnsi="Times New Roman" w:cs="Times New Roman"/>
        </w:rPr>
        <w:t xml:space="preserve"> </w:t>
      </w:r>
    </w:p>
  </w:footnote>
  <w:footnote w:id="30">
    <w:p w14:paraId="1FB69B1E" w14:textId="77777777" w:rsidR="00184404" w:rsidRPr="006960A9" w:rsidRDefault="00184404" w:rsidP="006960A9">
      <w:pPr>
        <w:spacing w:before="120"/>
        <w:rPr>
          <w:rFonts w:ascii="Times New Roman" w:hAnsi="Times New Roman" w:cs="Times New Roman"/>
          <w:i/>
          <w:sz w:val="20"/>
          <w:szCs w:val="20"/>
        </w:rPr>
      </w:pPr>
      <w:r w:rsidRPr="006960A9">
        <w:rPr>
          <w:rFonts w:ascii="Times New Roman" w:hAnsi="Times New Roman" w:cs="Times New Roman"/>
          <w:sz w:val="20"/>
          <w:szCs w:val="20"/>
          <w:vertAlign w:val="superscript"/>
        </w:rPr>
        <w:footnoteRef/>
      </w:r>
      <w:r w:rsidRPr="006960A9">
        <w:rPr>
          <w:rFonts w:ascii="Times New Roman" w:hAnsi="Times New Roman" w:cs="Times New Roman"/>
          <w:sz w:val="20"/>
          <w:szCs w:val="20"/>
        </w:rPr>
        <w:t xml:space="preserve"> OECD (2019) “Biodiversity: Finance and the Economic and Business Case for Action” </w:t>
      </w:r>
      <w:hyperlink r:id="rId14">
        <w:r w:rsidRPr="006960A9">
          <w:rPr>
            <w:rFonts w:ascii="Times New Roman" w:hAnsi="Times New Roman" w:cs="Times New Roman"/>
            <w:color w:val="1155CC"/>
            <w:sz w:val="20"/>
            <w:szCs w:val="20"/>
            <w:u w:val="single"/>
          </w:rPr>
          <w:t>https://www.oecd.org/environment/resources/biodiversity/G7-report-Biodiversity-Finance-and-the-Economic-and-Business-Case-for-Action.pdf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45"/>
    <w:rsid w:val="0001283E"/>
    <w:rsid w:val="0006700C"/>
    <w:rsid w:val="0008551E"/>
    <w:rsid w:val="000B2DA7"/>
    <w:rsid w:val="000E7DD5"/>
    <w:rsid w:val="0013129E"/>
    <w:rsid w:val="00135787"/>
    <w:rsid w:val="0014021F"/>
    <w:rsid w:val="00167712"/>
    <w:rsid w:val="00184404"/>
    <w:rsid w:val="001C51AB"/>
    <w:rsid w:val="00250745"/>
    <w:rsid w:val="002C329A"/>
    <w:rsid w:val="002E192E"/>
    <w:rsid w:val="002E4A50"/>
    <w:rsid w:val="00301AF4"/>
    <w:rsid w:val="00322AA3"/>
    <w:rsid w:val="00395EC6"/>
    <w:rsid w:val="00396E97"/>
    <w:rsid w:val="00477F18"/>
    <w:rsid w:val="00491947"/>
    <w:rsid w:val="004E6EBF"/>
    <w:rsid w:val="005110F3"/>
    <w:rsid w:val="00511BBA"/>
    <w:rsid w:val="005C3D63"/>
    <w:rsid w:val="005D3AD5"/>
    <w:rsid w:val="00600BB8"/>
    <w:rsid w:val="0065486E"/>
    <w:rsid w:val="0069164B"/>
    <w:rsid w:val="006960A9"/>
    <w:rsid w:val="006A2831"/>
    <w:rsid w:val="006D6B5C"/>
    <w:rsid w:val="006E3D4E"/>
    <w:rsid w:val="00753E92"/>
    <w:rsid w:val="0075557F"/>
    <w:rsid w:val="007717EB"/>
    <w:rsid w:val="007A69BC"/>
    <w:rsid w:val="007D28F9"/>
    <w:rsid w:val="00815FF1"/>
    <w:rsid w:val="0081756A"/>
    <w:rsid w:val="00843436"/>
    <w:rsid w:val="008F393C"/>
    <w:rsid w:val="00933C09"/>
    <w:rsid w:val="0093468C"/>
    <w:rsid w:val="009570F6"/>
    <w:rsid w:val="009614E1"/>
    <w:rsid w:val="00970AC8"/>
    <w:rsid w:val="0099467B"/>
    <w:rsid w:val="009A185E"/>
    <w:rsid w:val="00A32D79"/>
    <w:rsid w:val="00A84486"/>
    <w:rsid w:val="00AC19B2"/>
    <w:rsid w:val="00AE281C"/>
    <w:rsid w:val="00B57A63"/>
    <w:rsid w:val="00B94809"/>
    <w:rsid w:val="00C014E1"/>
    <w:rsid w:val="00C21D1F"/>
    <w:rsid w:val="00C733FD"/>
    <w:rsid w:val="00C86607"/>
    <w:rsid w:val="00C901F2"/>
    <w:rsid w:val="00D31A9C"/>
    <w:rsid w:val="00D452AD"/>
    <w:rsid w:val="00DF4BEA"/>
    <w:rsid w:val="00E02FDC"/>
    <w:rsid w:val="00E13418"/>
    <w:rsid w:val="00E830FF"/>
    <w:rsid w:val="00E85213"/>
    <w:rsid w:val="00EA3E2D"/>
    <w:rsid w:val="00EA5C25"/>
    <w:rsid w:val="00F5041B"/>
    <w:rsid w:val="00F97A9C"/>
    <w:rsid w:val="00FB38FF"/>
    <w:rsid w:val="00FB4E35"/>
    <w:rsid w:val="00FC543A"/>
    <w:rsid w:val="00FE2EA9"/>
    <w:rsid w:val="00FF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4796"/>
  <w15:chartTrackingRefBased/>
  <w15:docId w15:val="{75E76D64-265C-C54E-ABE3-9B277968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8FF"/>
    <w:rPr>
      <w:color w:val="0000FF"/>
      <w:u w:val="single"/>
    </w:rPr>
  </w:style>
  <w:style w:type="character" w:styleId="UnresolvedMention">
    <w:name w:val="Unresolved Mention"/>
    <w:basedOn w:val="DefaultParagraphFont"/>
    <w:uiPriority w:val="99"/>
    <w:semiHidden/>
    <w:unhideWhenUsed/>
    <w:rsid w:val="00FB38FF"/>
    <w:rPr>
      <w:color w:val="605E5C"/>
      <w:shd w:val="clear" w:color="auto" w:fill="E1DFDD"/>
    </w:rPr>
  </w:style>
  <w:style w:type="paragraph" w:styleId="FootnoteText">
    <w:name w:val="footnote text"/>
    <w:basedOn w:val="Normal"/>
    <w:link w:val="FootnoteTextChar"/>
    <w:uiPriority w:val="99"/>
    <w:semiHidden/>
    <w:unhideWhenUsed/>
    <w:rsid w:val="00F97A9C"/>
    <w:rPr>
      <w:sz w:val="20"/>
      <w:szCs w:val="20"/>
    </w:rPr>
  </w:style>
  <w:style w:type="character" w:customStyle="1" w:styleId="FootnoteTextChar">
    <w:name w:val="Footnote Text Char"/>
    <w:basedOn w:val="DefaultParagraphFont"/>
    <w:link w:val="FootnoteText"/>
    <w:uiPriority w:val="99"/>
    <w:semiHidden/>
    <w:rsid w:val="00F97A9C"/>
    <w:rPr>
      <w:sz w:val="20"/>
      <w:szCs w:val="20"/>
    </w:rPr>
  </w:style>
  <w:style w:type="character" w:styleId="FootnoteReference">
    <w:name w:val="footnote reference"/>
    <w:basedOn w:val="DefaultParagraphFont"/>
    <w:uiPriority w:val="99"/>
    <w:semiHidden/>
    <w:unhideWhenUsed/>
    <w:rsid w:val="00F97A9C"/>
    <w:rPr>
      <w:vertAlign w:val="superscript"/>
    </w:rPr>
  </w:style>
  <w:style w:type="paragraph" w:styleId="NormalWeb">
    <w:name w:val="Normal (Web)"/>
    <w:basedOn w:val="Normal"/>
    <w:uiPriority w:val="99"/>
    <w:unhideWhenUsed/>
    <w:rsid w:val="00FC543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C543A"/>
    <w:rPr>
      <w:color w:val="954F72" w:themeColor="followedHyperlink"/>
      <w:u w:val="single"/>
    </w:rPr>
  </w:style>
  <w:style w:type="paragraph" w:styleId="BalloonText">
    <w:name w:val="Balloon Text"/>
    <w:basedOn w:val="Normal"/>
    <w:link w:val="BalloonTextChar"/>
    <w:uiPriority w:val="99"/>
    <w:semiHidden/>
    <w:unhideWhenUsed/>
    <w:rsid w:val="006E3D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3D4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86607"/>
    <w:rPr>
      <w:sz w:val="16"/>
      <w:szCs w:val="16"/>
    </w:rPr>
  </w:style>
  <w:style w:type="paragraph" w:styleId="CommentText">
    <w:name w:val="annotation text"/>
    <w:basedOn w:val="Normal"/>
    <w:link w:val="CommentTextChar"/>
    <w:uiPriority w:val="99"/>
    <w:semiHidden/>
    <w:unhideWhenUsed/>
    <w:rsid w:val="00C86607"/>
    <w:rPr>
      <w:sz w:val="20"/>
      <w:szCs w:val="20"/>
    </w:rPr>
  </w:style>
  <w:style w:type="character" w:customStyle="1" w:styleId="CommentTextChar">
    <w:name w:val="Comment Text Char"/>
    <w:basedOn w:val="DefaultParagraphFont"/>
    <w:link w:val="CommentText"/>
    <w:uiPriority w:val="99"/>
    <w:semiHidden/>
    <w:rsid w:val="00C86607"/>
    <w:rPr>
      <w:sz w:val="20"/>
      <w:szCs w:val="20"/>
    </w:rPr>
  </w:style>
  <w:style w:type="paragraph" w:styleId="CommentSubject">
    <w:name w:val="annotation subject"/>
    <w:basedOn w:val="CommentText"/>
    <w:next w:val="CommentText"/>
    <w:link w:val="CommentSubjectChar"/>
    <w:uiPriority w:val="99"/>
    <w:semiHidden/>
    <w:unhideWhenUsed/>
    <w:rsid w:val="00C86607"/>
    <w:rPr>
      <w:b/>
      <w:bCs/>
    </w:rPr>
  </w:style>
  <w:style w:type="character" w:customStyle="1" w:styleId="CommentSubjectChar">
    <w:name w:val="Comment Subject Char"/>
    <w:basedOn w:val="CommentTextChar"/>
    <w:link w:val="CommentSubject"/>
    <w:uiPriority w:val="99"/>
    <w:semiHidden/>
    <w:rsid w:val="00C866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767">
      <w:bodyDiv w:val="1"/>
      <w:marLeft w:val="0"/>
      <w:marRight w:val="0"/>
      <w:marTop w:val="0"/>
      <w:marBottom w:val="0"/>
      <w:divBdr>
        <w:top w:val="none" w:sz="0" w:space="0" w:color="auto"/>
        <w:left w:val="none" w:sz="0" w:space="0" w:color="auto"/>
        <w:bottom w:val="none" w:sz="0" w:space="0" w:color="auto"/>
        <w:right w:val="none" w:sz="0" w:space="0" w:color="auto"/>
      </w:divBdr>
    </w:div>
    <w:div w:id="16472525">
      <w:bodyDiv w:val="1"/>
      <w:marLeft w:val="0"/>
      <w:marRight w:val="0"/>
      <w:marTop w:val="0"/>
      <w:marBottom w:val="0"/>
      <w:divBdr>
        <w:top w:val="none" w:sz="0" w:space="0" w:color="auto"/>
        <w:left w:val="none" w:sz="0" w:space="0" w:color="auto"/>
        <w:bottom w:val="none" w:sz="0" w:space="0" w:color="auto"/>
        <w:right w:val="none" w:sz="0" w:space="0" w:color="auto"/>
      </w:divBdr>
    </w:div>
    <w:div w:id="37633717">
      <w:bodyDiv w:val="1"/>
      <w:marLeft w:val="0"/>
      <w:marRight w:val="0"/>
      <w:marTop w:val="0"/>
      <w:marBottom w:val="0"/>
      <w:divBdr>
        <w:top w:val="none" w:sz="0" w:space="0" w:color="auto"/>
        <w:left w:val="none" w:sz="0" w:space="0" w:color="auto"/>
        <w:bottom w:val="none" w:sz="0" w:space="0" w:color="auto"/>
        <w:right w:val="none" w:sz="0" w:space="0" w:color="auto"/>
      </w:divBdr>
      <w:divsChild>
        <w:div w:id="1325665214">
          <w:marLeft w:val="0"/>
          <w:marRight w:val="0"/>
          <w:marTop w:val="0"/>
          <w:marBottom w:val="0"/>
          <w:divBdr>
            <w:top w:val="none" w:sz="0" w:space="0" w:color="auto"/>
            <w:left w:val="none" w:sz="0" w:space="0" w:color="auto"/>
            <w:bottom w:val="none" w:sz="0" w:space="0" w:color="auto"/>
            <w:right w:val="none" w:sz="0" w:space="0" w:color="auto"/>
          </w:divBdr>
          <w:divsChild>
            <w:div w:id="1523283611">
              <w:marLeft w:val="0"/>
              <w:marRight w:val="0"/>
              <w:marTop w:val="0"/>
              <w:marBottom w:val="0"/>
              <w:divBdr>
                <w:top w:val="none" w:sz="0" w:space="0" w:color="auto"/>
                <w:left w:val="none" w:sz="0" w:space="0" w:color="auto"/>
                <w:bottom w:val="none" w:sz="0" w:space="0" w:color="auto"/>
                <w:right w:val="none" w:sz="0" w:space="0" w:color="auto"/>
              </w:divBdr>
              <w:divsChild>
                <w:div w:id="663511419">
                  <w:marLeft w:val="0"/>
                  <w:marRight w:val="0"/>
                  <w:marTop w:val="0"/>
                  <w:marBottom w:val="0"/>
                  <w:divBdr>
                    <w:top w:val="none" w:sz="0" w:space="0" w:color="auto"/>
                    <w:left w:val="none" w:sz="0" w:space="0" w:color="auto"/>
                    <w:bottom w:val="none" w:sz="0" w:space="0" w:color="auto"/>
                    <w:right w:val="none" w:sz="0" w:space="0" w:color="auto"/>
                  </w:divBdr>
                  <w:divsChild>
                    <w:div w:id="8367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2205">
      <w:bodyDiv w:val="1"/>
      <w:marLeft w:val="0"/>
      <w:marRight w:val="0"/>
      <w:marTop w:val="0"/>
      <w:marBottom w:val="0"/>
      <w:divBdr>
        <w:top w:val="none" w:sz="0" w:space="0" w:color="auto"/>
        <w:left w:val="none" w:sz="0" w:space="0" w:color="auto"/>
        <w:bottom w:val="none" w:sz="0" w:space="0" w:color="auto"/>
        <w:right w:val="none" w:sz="0" w:space="0" w:color="auto"/>
      </w:divBdr>
    </w:div>
    <w:div w:id="98256627">
      <w:bodyDiv w:val="1"/>
      <w:marLeft w:val="0"/>
      <w:marRight w:val="0"/>
      <w:marTop w:val="0"/>
      <w:marBottom w:val="0"/>
      <w:divBdr>
        <w:top w:val="none" w:sz="0" w:space="0" w:color="auto"/>
        <w:left w:val="none" w:sz="0" w:space="0" w:color="auto"/>
        <w:bottom w:val="none" w:sz="0" w:space="0" w:color="auto"/>
        <w:right w:val="none" w:sz="0" w:space="0" w:color="auto"/>
      </w:divBdr>
    </w:div>
    <w:div w:id="112411178">
      <w:bodyDiv w:val="1"/>
      <w:marLeft w:val="0"/>
      <w:marRight w:val="0"/>
      <w:marTop w:val="0"/>
      <w:marBottom w:val="0"/>
      <w:divBdr>
        <w:top w:val="none" w:sz="0" w:space="0" w:color="auto"/>
        <w:left w:val="none" w:sz="0" w:space="0" w:color="auto"/>
        <w:bottom w:val="none" w:sz="0" w:space="0" w:color="auto"/>
        <w:right w:val="none" w:sz="0" w:space="0" w:color="auto"/>
      </w:divBdr>
    </w:div>
    <w:div w:id="125779422">
      <w:bodyDiv w:val="1"/>
      <w:marLeft w:val="0"/>
      <w:marRight w:val="0"/>
      <w:marTop w:val="0"/>
      <w:marBottom w:val="0"/>
      <w:divBdr>
        <w:top w:val="none" w:sz="0" w:space="0" w:color="auto"/>
        <w:left w:val="none" w:sz="0" w:space="0" w:color="auto"/>
        <w:bottom w:val="none" w:sz="0" w:space="0" w:color="auto"/>
        <w:right w:val="none" w:sz="0" w:space="0" w:color="auto"/>
      </w:divBdr>
    </w:div>
    <w:div w:id="175390535">
      <w:bodyDiv w:val="1"/>
      <w:marLeft w:val="0"/>
      <w:marRight w:val="0"/>
      <w:marTop w:val="0"/>
      <w:marBottom w:val="0"/>
      <w:divBdr>
        <w:top w:val="none" w:sz="0" w:space="0" w:color="auto"/>
        <w:left w:val="none" w:sz="0" w:space="0" w:color="auto"/>
        <w:bottom w:val="none" w:sz="0" w:space="0" w:color="auto"/>
        <w:right w:val="none" w:sz="0" w:space="0" w:color="auto"/>
      </w:divBdr>
    </w:div>
    <w:div w:id="239413000">
      <w:bodyDiv w:val="1"/>
      <w:marLeft w:val="0"/>
      <w:marRight w:val="0"/>
      <w:marTop w:val="0"/>
      <w:marBottom w:val="0"/>
      <w:divBdr>
        <w:top w:val="none" w:sz="0" w:space="0" w:color="auto"/>
        <w:left w:val="none" w:sz="0" w:space="0" w:color="auto"/>
        <w:bottom w:val="none" w:sz="0" w:space="0" w:color="auto"/>
        <w:right w:val="none" w:sz="0" w:space="0" w:color="auto"/>
      </w:divBdr>
    </w:div>
    <w:div w:id="265236525">
      <w:bodyDiv w:val="1"/>
      <w:marLeft w:val="0"/>
      <w:marRight w:val="0"/>
      <w:marTop w:val="0"/>
      <w:marBottom w:val="0"/>
      <w:divBdr>
        <w:top w:val="none" w:sz="0" w:space="0" w:color="auto"/>
        <w:left w:val="none" w:sz="0" w:space="0" w:color="auto"/>
        <w:bottom w:val="none" w:sz="0" w:space="0" w:color="auto"/>
        <w:right w:val="none" w:sz="0" w:space="0" w:color="auto"/>
      </w:divBdr>
    </w:div>
    <w:div w:id="321785332">
      <w:bodyDiv w:val="1"/>
      <w:marLeft w:val="0"/>
      <w:marRight w:val="0"/>
      <w:marTop w:val="0"/>
      <w:marBottom w:val="0"/>
      <w:divBdr>
        <w:top w:val="none" w:sz="0" w:space="0" w:color="auto"/>
        <w:left w:val="none" w:sz="0" w:space="0" w:color="auto"/>
        <w:bottom w:val="none" w:sz="0" w:space="0" w:color="auto"/>
        <w:right w:val="none" w:sz="0" w:space="0" w:color="auto"/>
      </w:divBdr>
    </w:div>
    <w:div w:id="347753328">
      <w:bodyDiv w:val="1"/>
      <w:marLeft w:val="0"/>
      <w:marRight w:val="0"/>
      <w:marTop w:val="0"/>
      <w:marBottom w:val="0"/>
      <w:divBdr>
        <w:top w:val="none" w:sz="0" w:space="0" w:color="auto"/>
        <w:left w:val="none" w:sz="0" w:space="0" w:color="auto"/>
        <w:bottom w:val="none" w:sz="0" w:space="0" w:color="auto"/>
        <w:right w:val="none" w:sz="0" w:space="0" w:color="auto"/>
      </w:divBdr>
    </w:div>
    <w:div w:id="401560095">
      <w:bodyDiv w:val="1"/>
      <w:marLeft w:val="0"/>
      <w:marRight w:val="0"/>
      <w:marTop w:val="0"/>
      <w:marBottom w:val="0"/>
      <w:divBdr>
        <w:top w:val="none" w:sz="0" w:space="0" w:color="auto"/>
        <w:left w:val="none" w:sz="0" w:space="0" w:color="auto"/>
        <w:bottom w:val="none" w:sz="0" w:space="0" w:color="auto"/>
        <w:right w:val="none" w:sz="0" w:space="0" w:color="auto"/>
      </w:divBdr>
    </w:div>
    <w:div w:id="426851655">
      <w:bodyDiv w:val="1"/>
      <w:marLeft w:val="0"/>
      <w:marRight w:val="0"/>
      <w:marTop w:val="0"/>
      <w:marBottom w:val="0"/>
      <w:divBdr>
        <w:top w:val="none" w:sz="0" w:space="0" w:color="auto"/>
        <w:left w:val="none" w:sz="0" w:space="0" w:color="auto"/>
        <w:bottom w:val="none" w:sz="0" w:space="0" w:color="auto"/>
        <w:right w:val="none" w:sz="0" w:space="0" w:color="auto"/>
      </w:divBdr>
    </w:div>
    <w:div w:id="448858309">
      <w:bodyDiv w:val="1"/>
      <w:marLeft w:val="0"/>
      <w:marRight w:val="0"/>
      <w:marTop w:val="0"/>
      <w:marBottom w:val="0"/>
      <w:divBdr>
        <w:top w:val="none" w:sz="0" w:space="0" w:color="auto"/>
        <w:left w:val="none" w:sz="0" w:space="0" w:color="auto"/>
        <w:bottom w:val="none" w:sz="0" w:space="0" w:color="auto"/>
        <w:right w:val="none" w:sz="0" w:space="0" w:color="auto"/>
      </w:divBdr>
    </w:div>
    <w:div w:id="549071277">
      <w:bodyDiv w:val="1"/>
      <w:marLeft w:val="0"/>
      <w:marRight w:val="0"/>
      <w:marTop w:val="0"/>
      <w:marBottom w:val="0"/>
      <w:divBdr>
        <w:top w:val="none" w:sz="0" w:space="0" w:color="auto"/>
        <w:left w:val="none" w:sz="0" w:space="0" w:color="auto"/>
        <w:bottom w:val="none" w:sz="0" w:space="0" w:color="auto"/>
        <w:right w:val="none" w:sz="0" w:space="0" w:color="auto"/>
      </w:divBdr>
    </w:div>
    <w:div w:id="549420391">
      <w:bodyDiv w:val="1"/>
      <w:marLeft w:val="0"/>
      <w:marRight w:val="0"/>
      <w:marTop w:val="0"/>
      <w:marBottom w:val="0"/>
      <w:divBdr>
        <w:top w:val="none" w:sz="0" w:space="0" w:color="auto"/>
        <w:left w:val="none" w:sz="0" w:space="0" w:color="auto"/>
        <w:bottom w:val="none" w:sz="0" w:space="0" w:color="auto"/>
        <w:right w:val="none" w:sz="0" w:space="0" w:color="auto"/>
      </w:divBdr>
    </w:div>
    <w:div w:id="559946364">
      <w:bodyDiv w:val="1"/>
      <w:marLeft w:val="0"/>
      <w:marRight w:val="0"/>
      <w:marTop w:val="0"/>
      <w:marBottom w:val="0"/>
      <w:divBdr>
        <w:top w:val="none" w:sz="0" w:space="0" w:color="auto"/>
        <w:left w:val="none" w:sz="0" w:space="0" w:color="auto"/>
        <w:bottom w:val="none" w:sz="0" w:space="0" w:color="auto"/>
        <w:right w:val="none" w:sz="0" w:space="0" w:color="auto"/>
      </w:divBdr>
    </w:div>
    <w:div w:id="581765616">
      <w:bodyDiv w:val="1"/>
      <w:marLeft w:val="0"/>
      <w:marRight w:val="0"/>
      <w:marTop w:val="0"/>
      <w:marBottom w:val="0"/>
      <w:divBdr>
        <w:top w:val="none" w:sz="0" w:space="0" w:color="auto"/>
        <w:left w:val="none" w:sz="0" w:space="0" w:color="auto"/>
        <w:bottom w:val="none" w:sz="0" w:space="0" w:color="auto"/>
        <w:right w:val="none" w:sz="0" w:space="0" w:color="auto"/>
      </w:divBdr>
      <w:divsChild>
        <w:div w:id="1401488749">
          <w:marLeft w:val="0"/>
          <w:marRight w:val="0"/>
          <w:marTop w:val="0"/>
          <w:marBottom w:val="0"/>
          <w:divBdr>
            <w:top w:val="none" w:sz="0" w:space="0" w:color="auto"/>
            <w:left w:val="none" w:sz="0" w:space="0" w:color="auto"/>
            <w:bottom w:val="none" w:sz="0" w:space="0" w:color="auto"/>
            <w:right w:val="none" w:sz="0" w:space="0" w:color="auto"/>
          </w:divBdr>
          <w:divsChild>
            <w:div w:id="182592149">
              <w:marLeft w:val="0"/>
              <w:marRight w:val="0"/>
              <w:marTop w:val="0"/>
              <w:marBottom w:val="0"/>
              <w:divBdr>
                <w:top w:val="none" w:sz="0" w:space="0" w:color="auto"/>
                <w:left w:val="none" w:sz="0" w:space="0" w:color="auto"/>
                <w:bottom w:val="none" w:sz="0" w:space="0" w:color="auto"/>
                <w:right w:val="none" w:sz="0" w:space="0" w:color="auto"/>
              </w:divBdr>
              <w:divsChild>
                <w:div w:id="703553783">
                  <w:marLeft w:val="0"/>
                  <w:marRight w:val="0"/>
                  <w:marTop w:val="0"/>
                  <w:marBottom w:val="0"/>
                  <w:divBdr>
                    <w:top w:val="none" w:sz="0" w:space="0" w:color="auto"/>
                    <w:left w:val="none" w:sz="0" w:space="0" w:color="auto"/>
                    <w:bottom w:val="none" w:sz="0" w:space="0" w:color="auto"/>
                    <w:right w:val="none" w:sz="0" w:space="0" w:color="auto"/>
                  </w:divBdr>
                  <w:divsChild>
                    <w:div w:id="14498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815547">
      <w:bodyDiv w:val="1"/>
      <w:marLeft w:val="0"/>
      <w:marRight w:val="0"/>
      <w:marTop w:val="0"/>
      <w:marBottom w:val="0"/>
      <w:divBdr>
        <w:top w:val="none" w:sz="0" w:space="0" w:color="auto"/>
        <w:left w:val="none" w:sz="0" w:space="0" w:color="auto"/>
        <w:bottom w:val="none" w:sz="0" w:space="0" w:color="auto"/>
        <w:right w:val="none" w:sz="0" w:space="0" w:color="auto"/>
      </w:divBdr>
    </w:div>
    <w:div w:id="591670625">
      <w:bodyDiv w:val="1"/>
      <w:marLeft w:val="0"/>
      <w:marRight w:val="0"/>
      <w:marTop w:val="0"/>
      <w:marBottom w:val="0"/>
      <w:divBdr>
        <w:top w:val="none" w:sz="0" w:space="0" w:color="auto"/>
        <w:left w:val="none" w:sz="0" w:space="0" w:color="auto"/>
        <w:bottom w:val="none" w:sz="0" w:space="0" w:color="auto"/>
        <w:right w:val="none" w:sz="0" w:space="0" w:color="auto"/>
      </w:divBdr>
      <w:divsChild>
        <w:div w:id="1531524671">
          <w:marLeft w:val="0"/>
          <w:marRight w:val="0"/>
          <w:marTop w:val="0"/>
          <w:marBottom w:val="0"/>
          <w:divBdr>
            <w:top w:val="none" w:sz="0" w:space="0" w:color="auto"/>
            <w:left w:val="none" w:sz="0" w:space="0" w:color="auto"/>
            <w:bottom w:val="none" w:sz="0" w:space="0" w:color="auto"/>
            <w:right w:val="none" w:sz="0" w:space="0" w:color="auto"/>
          </w:divBdr>
          <w:divsChild>
            <w:div w:id="1426264594">
              <w:marLeft w:val="0"/>
              <w:marRight w:val="0"/>
              <w:marTop w:val="0"/>
              <w:marBottom w:val="0"/>
              <w:divBdr>
                <w:top w:val="none" w:sz="0" w:space="0" w:color="auto"/>
                <w:left w:val="none" w:sz="0" w:space="0" w:color="auto"/>
                <w:bottom w:val="none" w:sz="0" w:space="0" w:color="auto"/>
                <w:right w:val="none" w:sz="0" w:space="0" w:color="auto"/>
              </w:divBdr>
              <w:divsChild>
                <w:div w:id="1580287246">
                  <w:marLeft w:val="0"/>
                  <w:marRight w:val="0"/>
                  <w:marTop w:val="0"/>
                  <w:marBottom w:val="0"/>
                  <w:divBdr>
                    <w:top w:val="none" w:sz="0" w:space="0" w:color="auto"/>
                    <w:left w:val="none" w:sz="0" w:space="0" w:color="auto"/>
                    <w:bottom w:val="none" w:sz="0" w:space="0" w:color="auto"/>
                    <w:right w:val="none" w:sz="0" w:space="0" w:color="auto"/>
                  </w:divBdr>
                  <w:divsChild>
                    <w:div w:id="20614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67745">
      <w:bodyDiv w:val="1"/>
      <w:marLeft w:val="0"/>
      <w:marRight w:val="0"/>
      <w:marTop w:val="0"/>
      <w:marBottom w:val="0"/>
      <w:divBdr>
        <w:top w:val="none" w:sz="0" w:space="0" w:color="auto"/>
        <w:left w:val="none" w:sz="0" w:space="0" w:color="auto"/>
        <w:bottom w:val="none" w:sz="0" w:space="0" w:color="auto"/>
        <w:right w:val="none" w:sz="0" w:space="0" w:color="auto"/>
      </w:divBdr>
    </w:div>
    <w:div w:id="672680767">
      <w:bodyDiv w:val="1"/>
      <w:marLeft w:val="0"/>
      <w:marRight w:val="0"/>
      <w:marTop w:val="0"/>
      <w:marBottom w:val="0"/>
      <w:divBdr>
        <w:top w:val="none" w:sz="0" w:space="0" w:color="auto"/>
        <w:left w:val="none" w:sz="0" w:space="0" w:color="auto"/>
        <w:bottom w:val="none" w:sz="0" w:space="0" w:color="auto"/>
        <w:right w:val="none" w:sz="0" w:space="0" w:color="auto"/>
      </w:divBdr>
    </w:div>
    <w:div w:id="692651030">
      <w:bodyDiv w:val="1"/>
      <w:marLeft w:val="0"/>
      <w:marRight w:val="0"/>
      <w:marTop w:val="0"/>
      <w:marBottom w:val="0"/>
      <w:divBdr>
        <w:top w:val="none" w:sz="0" w:space="0" w:color="auto"/>
        <w:left w:val="none" w:sz="0" w:space="0" w:color="auto"/>
        <w:bottom w:val="none" w:sz="0" w:space="0" w:color="auto"/>
        <w:right w:val="none" w:sz="0" w:space="0" w:color="auto"/>
      </w:divBdr>
    </w:div>
    <w:div w:id="692657632">
      <w:bodyDiv w:val="1"/>
      <w:marLeft w:val="0"/>
      <w:marRight w:val="0"/>
      <w:marTop w:val="0"/>
      <w:marBottom w:val="0"/>
      <w:divBdr>
        <w:top w:val="none" w:sz="0" w:space="0" w:color="auto"/>
        <w:left w:val="none" w:sz="0" w:space="0" w:color="auto"/>
        <w:bottom w:val="none" w:sz="0" w:space="0" w:color="auto"/>
        <w:right w:val="none" w:sz="0" w:space="0" w:color="auto"/>
      </w:divBdr>
    </w:div>
    <w:div w:id="751122372">
      <w:bodyDiv w:val="1"/>
      <w:marLeft w:val="0"/>
      <w:marRight w:val="0"/>
      <w:marTop w:val="0"/>
      <w:marBottom w:val="0"/>
      <w:divBdr>
        <w:top w:val="none" w:sz="0" w:space="0" w:color="auto"/>
        <w:left w:val="none" w:sz="0" w:space="0" w:color="auto"/>
        <w:bottom w:val="none" w:sz="0" w:space="0" w:color="auto"/>
        <w:right w:val="none" w:sz="0" w:space="0" w:color="auto"/>
      </w:divBdr>
    </w:div>
    <w:div w:id="761950351">
      <w:bodyDiv w:val="1"/>
      <w:marLeft w:val="0"/>
      <w:marRight w:val="0"/>
      <w:marTop w:val="0"/>
      <w:marBottom w:val="0"/>
      <w:divBdr>
        <w:top w:val="none" w:sz="0" w:space="0" w:color="auto"/>
        <w:left w:val="none" w:sz="0" w:space="0" w:color="auto"/>
        <w:bottom w:val="none" w:sz="0" w:space="0" w:color="auto"/>
        <w:right w:val="none" w:sz="0" w:space="0" w:color="auto"/>
      </w:divBdr>
    </w:div>
    <w:div w:id="803619796">
      <w:bodyDiv w:val="1"/>
      <w:marLeft w:val="0"/>
      <w:marRight w:val="0"/>
      <w:marTop w:val="0"/>
      <w:marBottom w:val="0"/>
      <w:divBdr>
        <w:top w:val="none" w:sz="0" w:space="0" w:color="auto"/>
        <w:left w:val="none" w:sz="0" w:space="0" w:color="auto"/>
        <w:bottom w:val="none" w:sz="0" w:space="0" w:color="auto"/>
        <w:right w:val="none" w:sz="0" w:space="0" w:color="auto"/>
      </w:divBdr>
    </w:div>
    <w:div w:id="859514125">
      <w:bodyDiv w:val="1"/>
      <w:marLeft w:val="0"/>
      <w:marRight w:val="0"/>
      <w:marTop w:val="0"/>
      <w:marBottom w:val="0"/>
      <w:divBdr>
        <w:top w:val="none" w:sz="0" w:space="0" w:color="auto"/>
        <w:left w:val="none" w:sz="0" w:space="0" w:color="auto"/>
        <w:bottom w:val="none" w:sz="0" w:space="0" w:color="auto"/>
        <w:right w:val="none" w:sz="0" w:space="0" w:color="auto"/>
      </w:divBdr>
    </w:div>
    <w:div w:id="874201171">
      <w:bodyDiv w:val="1"/>
      <w:marLeft w:val="0"/>
      <w:marRight w:val="0"/>
      <w:marTop w:val="0"/>
      <w:marBottom w:val="0"/>
      <w:divBdr>
        <w:top w:val="none" w:sz="0" w:space="0" w:color="auto"/>
        <w:left w:val="none" w:sz="0" w:space="0" w:color="auto"/>
        <w:bottom w:val="none" w:sz="0" w:space="0" w:color="auto"/>
        <w:right w:val="none" w:sz="0" w:space="0" w:color="auto"/>
      </w:divBdr>
    </w:div>
    <w:div w:id="946932844">
      <w:bodyDiv w:val="1"/>
      <w:marLeft w:val="0"/>
      <w:marRight w:val="0"/>
      <w:marTop w:val="0"/>
      <w:marBottom w:val="0"/>
      <w:divBdr>
        <w:top w:val="none" w:sz="0" w:space="0" w:color="auto"/>
        <w:left w:val="none" w:sz="0" w:space="0" w:color="auto"/>
        <w:bottom w:val="none" w:sz="0" w:space="0" w:color="auto"/>
        <w:right w:val="none" w:sz="0" w:space="0" w:color="auto"/>
      </w:divBdr>
    </w:div>
    <w:div w:id="978995806">
      <w:bodyDiv w:val="1"/>
      <w:marLeft w:val="0"/>
      <w:marRight w:val="0"/>
      <w:marTop w:val="0"/>
      <w:marBottom w:val="0"/>
      <w:divBdr>
        <w:top w:val="none" w:sz="0" w:space="0" w:color="auto"/>
        <w:left w:val="none" w:sz="0" w:space="0" w:color="auto"/>
        <w:bottom w:val="none" w:sz="0" w:space="0" w:color="auto"/>
        <w:right w:val="none" w:sz="0" w:space="0" w:color="auto"/>
      </w:divBdr>
    </w:div>
    <w:div w:id="1035470983">
      <w:bodyDiv w:val="1"/>
      <w:marLeft w:val="0"/>
      <w:marRight w:val="0"/>
      <w:marTop w:val="0"/>
      <w:marBottom w:val="0"/>
      <w:divBdr>
        <w:top w:val="none" w:sz="0" w:space="0" w:color="auto"/>
        <w:left w:val="none" w:sz="0" w:space="0" w:color="auto"/>
        <w:bottom w:val="none" w:sz="0" w:space="0" w:color="auto"/>
        <w:right w:val="none" w:sz="0" w:space="0" w:color="auto"/>
      </w:divBdr>
    </w:div>
    <w:div w:id="1060832241">
      <w:bodyDiv w:val="1"/>
      <w:marLeft w:val="0"/>
      <w:marRight w:val="0"/>
      <w:marTop w:val="0"/>
      <w:marBottom w:val="0"/>
      <w:divBdr>
        <w:top w:val="none" w:sz="0" w:space="0" w:color="auto"/>
        <w:left w:val="none" w:sz="0" w:space="0" w:color="auto"/>
        <w:bottom w:val="none" w:sz="0" w:space="0" w:color="auto"/>
        <w:right w:val="none" w:sz="0" w:space="0" w:color="auto"/>
      </w:divBdr>
    </w:div>
    <w:div w:id="1104417482">
      <w:bodyDiv w:val="1"/>
      <w:marLeft w:val="0"/>
      <w:marRight w:val="0"/>
      <w:marTop w:val="0"/>
      <w:marBottom w:val="0"/>
      <w:divBdr>
        <w:top w:val="none" w:sz="0" w:space="0" w:color="auto"/>
        <w:left w:val="none" w:sz="0" w:space="0" w:color="auto"/>
        <w:bottom w:val="none" w:sz="0" w:space="0" w:color="auto"/>
        <w:right w:val="none" w:sz="0" w:space="0" w:color="auto"/>
      </w:divBdr>
    </w:div>
    <w:div w:id="1122918182">
      <w:bodyDiv w:val="1"/>
      <w:marLeft w:val="0"/>
      <w:marRight w:val="0"/>
      <w:marTop w:val="0"/>
      <w:marBottom w:val="0"/>
      <w:divBdr>
        <w:top w:val="none" w:sz="0" w:space="0" w:color="auto"/>
        <w:left w:val="none" w:sz="0" w:space="0" w:color="auto"/>
        <w:bottom w:val="none" w:sz="0" w:space="0" w:color="auto"/>
        <w:right w:val="none" w:sz="0" w:space="0" w:color="auto"/>
      </w:divBdr>
      <w:divsChild>
        <w:div w:id="401802399">
          <w:marLeft w:val="0"/>
          <w:marRight w:val="0"/>
          <w:marTop w:val="0"/>
          <w:marBottom w:val="0"/>
          <w:divBdr>
            <w:top w:val="none" w:sz="0" w:space="0" w:color="auto"/>
            <w:left w:val="none" w:sz="0" w:space="0" w:color="auto"/>
            <w:bottom w:val="none" w:sz="0" w:space="0" w:color="auto"/>
            <w:right w:val="none" w:sz="0" w:space="0" w:color="auto"/>
          </w:divBdr>
          <w:divsChild>
            <w:div w:id="406417810">
              <w:marLeft w:val="0"/>
              <w:marRight w:val="0"/>
              <w:marTop w:val="0"/>
              <w:marBottom w:val="0"/>
              <w:divBdr>
                <w:top w:val="none" w:sz="0" w:space="0" w:color="auto"/>
                <w:left w:val="none" w:sz="0" w:space="0" w:color="auto"/>
                <w:bottom w:val="none" w:sz="0" w:space="0" w:color="auto"/>
                <w:right w:val="none" w:sz="0" w:space="0" w:color="auto"/>
              </w:divBdr>
              <w:divsChild>
                <w:div w:id="256334615">
                  <w:marLeft w:val="0"/>
                  <w:marRight w:val="0"/>
                  <w:marTop w:val="0"/>
                  <w:marBottom w:val="0"/>
                  <w:divBdr>
                    <w:top w:val="none" w:sz="0" w:space="0" w:color="auto"/>
                    <w:left w:val="none" w:sz="0" w:space="0" w:color="auto"/>
                    <w:bottom w:val="none" w:sz="0" w:space="0" w:color="auto"/>
                    <w:right w:val="none" w:sz="0" w:space="0" w:color="auto"/>
                  </w:divBdr>
                  <w:divsChild>
                    <w:div w:id="9314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9541">
      <w:bodyDiv w:val="1"/>
      <w:marLeft w:val="0"/>
      <w:marRight w:val="0"/>
      <w:marTop w:val="0"/>
      <w:marBottom w:val="0"/>
      <w:divBdr>
        <w:top w:val="none" w:sz="0" w:space="0" w:color="auto"/>
        <w:left w:val="none" w:sz="0" w:space="0" w:color="auto"/>
        <w:bottom w:val="none" w:sz="0" w:space="0" w:color="auto"/>
        <w:right w:val="none" w:sz="0" w:space="0" w:color="auto"/>
      </w:divBdr>
    </w:div>
    <w:div w:id="1201477947">
      <w:bodyDiv w:val="1"/>
      <w:marLeft w:val="0"/>
      <w:marRight w:val="0"/>
      <w:marTop w:val="0"/>
      <w:marBottom w:val="0"/>
      <w:divBdr>
        <w:top w:val="none" w:sz="0" w:space="0" w:color="auto"/>
        <w:left w:val="none" w:sz="0" w:space="0" w:color="auto"/>
        <w:bottom w:val="none" w:sz="0" w:space="0" w:color="auto"/>
        <w:right w:val="none" w:sz="0" w:space="0" w:color="auto"/>
      </w:divBdr>
    </w:div>
    <w:div w:id="1249920689">
      <w:bodyDiv w:val="1"/>
      <w:marLeft w:val="0"/>
      <w:marRight w:val="0"/>
      <w:marTop w:val="0"/>
      <w:marBottom w:val="0"/>
      <w:divBdr>
        <w:top w:val="none" w:sz="0" w:space="0" w:color="auto"/>
        <w:left w:val="none" w:sz="0" w:space="0" w:color="auto"/>
        <w:bottom w:val="none" w:sz="0" w:space="0" w:color="auto"/>
        <w:right w:val="none" w:sz="0" w:space="0" w:color="auto"/>
      </w:divBdr>
    </w:div>
    <w:div w:id="1342702269">
      <w:bodyDiv w:val="1"/>
      <w:marLeft w:val="0"/>
      <w:marRight w:val="0"/>
      <w:marTop w:val="0"/>
      <w:marBottom w:val="0"/>
      <w:divBdr>
        <w:top w:val="none" w:sz="0" w:space="0" w:color="auto"/>
        <w:left w:val="none" w:sz="0" w:space="0" w:color="auto"/>
        <w:bottom w:val="none" w:sz="0" w:space="0" w:color="auto"/>
        <w:right w:val="none" w:sz="0" w:space="0" w:color="auto"/>
      </w:divBdr>
    </w:div>
    <w:div w:id="1371034282">
      <w:bodyDiv w:val="1"/>
      <w:marLeft w:val="0"/>
      <w:marRight w:val="0"/>
      <w:marTop w:val="0"/>
      <w:marBottom w:val="0"/>
      <w:divBdr>
        <w:top w:val="none" w:sz="0" w:space="0" w:color="auto"/>
        <w:left w:val="none" w:sz="0" w:space="0" w:color="auto"/>
        <w:bottom w:val="none" w:sz="0" w:space="0" w:color="auto"/>
        <w:right w:val="none" w:sz="0" w:space="0" w:color="auto"/>
      </w:divBdr>
    </w:div>
    <w:div w:id="1405179213">
      <w:bodyDiv w:val="1"/>
      <w:marLeft w:val="0"/>
      <w:marRight w:val="0"/>
      <w:marTop w:val="0"/>
      <w:marBottom w:val="0"/>
      <w:divBdr>
        <w:top w:val="none" w:sz="0" w:space="0" w:color="auto"/>
        <w:left w:val="none" w:sz="0" w:space="0" w:color="auto"/>
        <w:bottom w:val="none" w:sz="0" w:space="0" w:color="auto"/>
        <w:right w:val="none" w:sz="0" w:space="0" w:color="auto"/>
      </w:divBdr>
    </w:div>
    <w:div w:id="1418481084">
      <w:bodyDiv w:val="1"/>
      <w:marLeft w:val="0"/>
      <w:marRight w:val="0"/>
      <w:marTop w:val="0"/>
      <w:marBottom w:val="0"/>
      <w:divBdr>
        <w:top w:val="none" w:sz="0" w:space="0" w:color="auto"/>
        <w:left w:val="none" w:sz="0" w:space="0" w:color="auto"/>
        <w:bottom w:val="none" w:sz="0" w:space="0" w:color="auto"/>
        <w:right w:val="none" w:sz="0" w:space="0" w:color="auto"/>
      </w:divBdr>
    </w:div>
    <w:div w:id="1441292499">
      <w:bodyDiv w:val="1"/>
      <w:marLeft w:val="0"/>
      <w:marRight w:val="0"/>
      <w:marTop w:val="0"/>
      <w:marBottom w:val="0"/>
      <w:divBdr>
        <w:top w:val="none" w:sz="0" w:space="0" w:color="auto"/>
        <w:left w:val="none" w:sz="0" w:space="0" w:color="auto"/>
        <w:bottom w:val="none" w:sz="0" w:space="0" w:color="auto"/>
        <w:right w:val="none" w:sz="0" w:space="0" w:color="auto"/>
      </w:divBdr>
    </w:div>
    <w:div w:id="1485774147">
      <w:bodyDiv w:val="1"/>
      <w:marLeft w:val="0"/>
      <w:marRight w:val="0"/>
      <w:marTop w:val="0"/>
      <w:marBottom w:val="0"/>
      <w:divBdr>
        <w:top w:val="none" w:sz="0" w:space="0" w:color="auto"/>
        <w:left w:val="none" w:sz="0" w:space="0" w:color="auto"/>
        <w:bottom w:val="none" w:sz="0" w:space="0" w:color="auto"/>
        <w:right w:val="none" w:sz="0" w:space="0" w:color="auto"/>
      </w:divBdr>
    </w:div>
    <w:div w:id="1487822404">
      <w:bodyDiv w:val="1"/>
      <w:marLeft w:val="0"/>
      <w:marRight w:val="0"/>
      <w:marTop w:val="0"/>
      <w:marBottom w:val="0"/>
      <w:divBdr>
        <w:top w:val="none" w:sz="0" w:space="0" w:color="auto"/>
        <w:left w:val="none" w:sz="0" w:space="0" w:color="auto"/>
        <w:bottom w:val="none" w:sz="0" w:space="0" w:color="auto"/>
        <w:right w:val="none" w:sz="0" w:space="0" w:color="auto"/>
      </w:divBdr>
    </w:div>
    <w:div w:id="1500195231">
      <w:bodyDiv w:val="1"/>
      <w:marLeft w:val="0"/>
      <w:marRight w:val="0"/>
      <w:marTop w:val="0"/>
      <w:marBottom w:val="0"/>
      <w:divBdr>
        <w:top w:val="none" w:sz="0" w:space="0" w:color="auto"/>
        <w:left w:val="none" w:sz="0" w:space="0" w:color="auto"/>
        <w:bottom w:val="none" w:sz="0" w:space="0" w:color="auto"/>
        <w:right w:val="none" w:sz="0" w:space="0" w:color="auto"/>
      </w:divBdr>
    </w:div>
    <w:div w:id="1503931683">
      <w:bodyDiv w:val="1"/>
      <w:marLeft w:val="0"/>
      <w:marRight w:val="0"/>
      <w:marTop w:val="0"/>
      <w:marBottom w:val="0"/>
      <w:divBdr>
        <w:top w:val="none" w:sz="0" w:space="0" w:color="auto"/>
        <w:left w:val="none" w:sz="0" w:space="0" w:color="auto"/>
        <w:bottom w:val="none" w:sz="0" w:space="0" w:color="auto"/>
        <w:right w:val="none" w:sz="0" w:space="0" w:color="auto"/>
      </w:divBdr>
    </w:div>
    <w:div w:id="1506287482">
      <w:bodyDiv w:val="1"/>
      <w:marLeft w:val="0"/>
      <w:marRight w:val="0"/>
      <w:marTop w:val="0"/>
      <w:marBottom w:val="0"/>
      <w:divBdr>
        <w:top w:val="none" w:sz="0" w:space="0" w:color="auto"/>
        <w:left w:val="none" w:sz="0" w:space="0" w:color="auto"/>
        <w:bottom w:val="none" w:sz="0" w:space="0" w:color="auto"/>
        <w:right w:val="none" w:sz="0" w:space="0" w:color="auto"/>
      </w:divBdr>
    </w:div>
    <w:div w:id="1534076852">
      <w:bodyDiv w:val="1"/>
      <w:marLeft w:val="0"/>
      <w:marRight w:val="0"/>
      <w:marTop w:val="0"/>
      <w:marBottom w:val="0"/>
      <w:divBdr>
        <w:top w:val="none" w:sz="0" w:space="0" w:color="auto"/>
        <w:left w:val="none" w:sz="0" w:space="0" w:color="auto"/>
        <w:bottom w:val="none" w:sz="0" w:space="0" w:color="auto"/>
        <w:right w:val="none" w:sz="0" w:space="0" w:color="auto"/>
      </w:divBdr>
    </w:div>
    <w:div w:id="1557471819">
      <w:bodyDiv w:val="1"/>
      <w:marLeft w:val="0"/>
      <w:marRight w:val="0"/>
      <w:marTop w:val="0"/>
      <w:marBottom w:val="0"/>
      <w:divBdr>
        <w:top w:val="none" w:sz="0" w:space="0" w:color="auto"/>
        <w:left w:val="none" w:sz="0" w:space="0" w:color="auto"/>
        <w:bottom w:val="none" w:sz="0" w:space="0" w:color="auto"/>
        <w:right w:val="none" w:sz="0" w:space="0" w:color="auto"/>
      </w:divBdr>
    </w:div>
    <w:div w:id="1592156331">
      <w:bodyDiv w:val="1"/>
      <w:marLeft w:val="0"/>
      <w:marRight w:val="0"/>
      <w:marTop w:val="0"/>
      <w:marBottom w:val="0"/>
      <w:divBdr>
        <w:top w:val="none" w:sz="0" w:space="0" w:color="auto"/>
        <w:left w:val="none" w:sz="0" w:space="0" w:color="auto"/>
        <w:bottom w:val="none" w:sz="0" w:space="0" w:color="auto"/>
        <w:right w:val="none" w:sz="0" w:space="0" w:color="auto"/>
      </w:divBdr>
      <w:divsChild>
        <w:div w:id="1478645088">
          <w:marLeft w:val="0"/>
          <w:marRight w:val="0"/>
          <w:marTop w:val="0"/>
          <w:marBottom w:val="0"/>
          <w:divBdr>
            <w:top w:val="none" w:sz="0" w:space="0" w:color="auto"/>
            <w:left w:val="none" w:sz="0" w:space="0" w:color="auto"/>
            <w:bottom w:val="none" w:sz="0" w:space="0" w:color="auto"/>
            <w:right w:val="none" w:sz="0" w:space="0" w:color="auto"/>
          </w:divBdr>
          <w:divsChild>
            <w:div w:id="157384311">
              <w:marLeft w:val="0"/>
              <w:marRight w:val="0"/>
              <w:marTop w:val="0"/>
              <w:marBottom w:val="0"/>
              <w:divBdr>
                <w:top w:val="none" w:sz="0" w:space="0" w:color="auto"/>
                <w:left w:val="none" w:sz="0" w:space="0" w:color="auto"/>
                <w:bottom w:val="none" w:sz="0" w:space="0" w:color="auto"/>
                <w:right w:val="none" w:sz="0" w:space="0" w:color="auto"/>
              </w:divBdr>
              <w:divsChild>
                <w:div w:id="1136143213">
                  <w:marLeft w:val="0"/>
                  <w:marRight w:val="0"/>
                  <w:marTop w:val="0"/>
                  <w:marBottom w:val="0"/>
                  <w:divBdr>
                    <w:top w:val="none" w:sz="0" w:space="0" w:color="auto"/>
                    <w:left w:val="none" w:sz="0" w:space="0" w:color="auto"/>
                    <w:bottom w:val="none" w:sz="0" w:space="0" w:color="auto"/>
                    <w:right w:val="none" w:sz="0" w:space="0" w:color="auto"/>
                  </w:divBdr>
                  <w:divsChild>
                    <w:div w:id="2867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870729">
      <w:bodyDiv w:val="1"/>
      <w:marLeft w:val="0"/>
      <w:marRight w:val="0"/>
      <w:marTop w:val="0"/>
      <w:marBottom w:val="0"/>
      <w:divBdr>
        <w:top w:val="none" w:sz="0" w:space="0" w:color="auto"/>
        <w:left w:val="none" w:sz="0" w:space="0" w:color="auto"/>
        <w:bottom w:val="none" w:sz="0" w:space="0" w:color="auto"/>
        <w:right w:val="none" w:sz="0" w:space="0" w:color="auto"/>
      </w:divBdr>
    </w:div>
    <w:div w:id="1602180306">
      <w:bodyDiv w:val="1"/>
      <w:marLeft w:val="0"/>
      <w:marRight w:val="0"/>
      <w:marTop w:val="0"/>
      <w:marBottom w:val="0"/>
      <w:divBdr>
        <w:top w:val="none" w:sz="0" w:space="0" w:color="auto"/>
        <w:left w:val="none" w:sz="0" w:space="0" w:color="auto"/>
        <w:bottom w:val="none" w:sz="0" w:space="0" w:color="auto"/>
        <w:right w:val="none" w:sz="0" w:space="0" w:color="auto"/>
      </w:divBdr>
    </w:div>
    <w:div w:id="1668631683">
      <w:bodyDiv w:val="1"/>
      <w:marLeft w:val="0"/>
      <w:marRight w:val="0"/>
      <w:marTop w:val="0"/>
      <w:marBottom w:val="0"/>
      <w:divBdr>
        <w:top w:val="none" w:sz="0" w:space="0" w:color="auto"/>
        <w:left w:val="none" w:sz="0" w:space="0" w:color="auto"/>
        <w:bottom w:val="none" w:sz="0" w:space="0" w:color="auto"/>
        <w:right w:val="none" w:sz="0" w:space="0" w:color="auto"/>
      </w:divBdr>
    </w:div>
    <w:div w:id="1739085662">
      <w:bodyDiv w:val="1"/>
      <w:marLeft w:val="0"/>
      <w:marRight w:val="0"/>
      <w:marTop w:val="0"/>
      <w:marBottom w:val="0"/>
      <w:divBdr>
        <w:top w:val="none" w:sz="0" w:space="0" w:color="auto"/>
        <w:left w:val="none" w:sz="0" w:space="0" w:color="auto"/>
        <w:bottom w:val="none" w:sz="0" w:space="0" w:color="auto"/>
        <w:right w:val="none" w:sz="0" w:space="0" w:color="auto"/>
      </w:divBdr>
    </w:div>
    <w:div w:id="1806196941">
      <w:bodyDiv w:val="1"/>
      <w:marLeft w:val="0"/>
      <w:marRight w:val="0"/>
      <w:marTop w:val="0"/>
      <w:marBottom w:val="0"/>
      <w:divBdr>
        <w:top w:val="none" w:sz="0" w:space="0" w:color="auto"/>
        <w:left w:val="none" w:sz="0" w:space="0" w:color="auto"/>
        <w:bottom w:val="none" w:sz="0" w:space="0" w:color="auto"/>
        <w:right w:val="none" w:sz="0" w:space="0" w:color="auto"/>
      </w:divBdr>
    </w:div>
    <w:div w:id="1813792929">
      <w:bodyDiv w:val="1"/>
      <w:marLeft w:val="0"/>
      <w:marRight w:val="0"/>
      <w:marTop w:val="0"/>
      <w:marBottom w:val="0"/>
      <w:divBdr>
        <w:top w:val="none" w:sz="0" w:space="0" w:color="auto"/>
        <w:left w:val="none" w:sz="0" w:space="0" w:color="auto"/>
        <w:bottom w:val="none" w:sz="0" w:space="0" w:color="auto"/>
        <w:right w:val="none" w:sz="0" w:space="0" w:color="auto"/>
      </w:divBdr>
    </w:div>
    <w:div w:id="1857764599">
      <w:bodyDiv w:val="1"/>
      <w:marLeft w:val="0"/>
      <w:marRight w:val="0"/>
      <w:marTop w:val="0"/>
      <w:marBottom w:val="0"/>
      <w:divBdr>
        <w:top w:val="none" w:sz="0" w:space="0" w:color="auto"/>
        <w:left w:val="none" w:sz="0" w:space="0" w:color="auto"/>
        <w:bottom w:val="none" w:sz="0" w:space="0" w:color="auto"/>
        <w:right w:val="none" w:sz="0" w:space="0" w:color="auto"/>
      </w:divBdr>
    </w:div>
    <w:div w:id="1989899377">
      <w:bodyDiv w:val="1"/>
      <w:marLeft w:val="0"/>
      <w:marRight w:val="0"/>
      <w:marTop w:val="0"/>
      <w:marBottom w:val="0"/>
      <w:divBdr>
        <w:top w:val="none" w:sz="0" w:space="0" w:color="auto"/>
        <w:left w:val="none" w:sz="0" w:space="0" w:color="auto"/>
        <w:bottom w:val="none" w:sz="0" w:space="0" w:color="auto"/>
        <w:right w:val="none" w:sz="0" w:space="0" w:color="auto"/>
      </w:divBdr>
    </w:div>
    <w:div w:id="2021932525">
      <w:bodyDiv w:val="1"/>
      <w:marLeft w:val="0"/>
      <w:marRight w:val="0"/>
      <w:marTop w:val="0"/>
      <w:marBottom w:val="0"/>
      <w:divBdr>
        <w:top w:val="none" w:sz="0" w:space="0" w:color="auto"/>
        <w:left w:val="none" w:sz="0" w:space="0" w:color="auto"/>
        <w:bottom w:val="none" w:sz="0" w:space="0" w:color="auto"/>
        <w:right w:val="none" w:sz="0" w:space="0" w:color="auto"/>
      </w:divBdr>
    </w:div>
    <w:div w:id="20526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etcgroup.org/sites/www.etcgroup.org/files/files/geoengineering_iso_brief_sep2019.pdf" TargetMode="External"/><Relationship Id="rId13" Type="http://schemas.openxmlformats.org/officeDocument/2006/relationships/hyperlink" Target="https://www.dnb.nl/en/binaries/Indebted%20to%20nature%20_tcm47-389172.pdf" TargetMode="External"/><Relationship Id="rId3" Type="http://schemas.openxmlformats.org/officeDocument/2006/relationships/hyperlink" Target="https://www.ciel.org/wp-content/uploads/2019/02/CIEL_FUEL-TO-THE-FIRE_How-Geoengineering-Threatens-to-Entrench-Fossil-Fuels-and-Accelerate-the-Climate-Crisis_February-2019.pdf" TargetMode="External"/><Relationship Id="rId7" Type="http://schemas.openxmlformats.org/officeDocument/2006/relationships/hyperlink" Target="https://www.cbd.int/climate/geoengineering/" TargetMode="External"/><Relationship Id="rId12" Type="http://schemas.openxmlformats.org/officeDocument/2006/relationships/hyperlink" Target="https://www.cbd.int/sbstta/sbstta-24/post2020-monitoring-en.pdf" TargetMode="External"/><Relationship Id="rId2" Type="http://schemas.openxmlformats.org/officeDocument/2006/relationships/hyperlink" Target="https://undocs.org/A/HRC/34/49" TargetMode="External"/><Relationship Id="rId1" Type="http://schemas.openxmlformats.org/officeDocument/2006/relationships/hyperlink" Target="https://www.oecd.org/environment/resources/biodiversity/G7-report-Biodiversity-Finance-and-the-Economic-and-Business-Case-for-Action.pdf" TargetMode="External"/><Relationship Id="rId6" Type="http://schemas.openxmlformats.org/officeDocument/2006/relationships/hyperlink" Target="https://www.etcgroup.org/sites/www.etcgroup.org/files/files/geoengineering_iso_brief_sep2019.pdf" TargetMode="External"/><Relationship Id="rId11" Type="http://schemas.openxmlformats.org/officeDocument/2006/relationships/hyperlink" Target="https://www.ciel.org/wp-content/uploads/2019/02/Plastic-and-Health-The-Hidden-Costs-of-a-Plastic-Planet-February-2019.pdf" TargetMode="External"/><Relationship Id="rId5" Type="http://schemas.openxmlformats.org/officeDocument/2006/relationships/hyperlink" Target="https://www.ipcc.ch/site/assets/uploads/2018/02/ipcc_wg3_ar5_summary-for-policymakers.pdf" TargetMode="External"/><Relationship Id="rId10" Type="http://schemas.openxmlformats.org/officeDocument/2006/relationships/hyperlink" Target="https://www.ciel.org/reports/fuelingplastics/" TargetMode="External"/><Relationship Id="rId4" Type="http://schemas.openxmlformats.org/officeDocument/2006/relationships/hyperlink" Target="https://www.ipcc.ch/site/assets/uploads/sites/2/2019/05/SR15_SPM_version_report_LR.pdf" TargetMode="External"/><Relationship Id="rId9" Type="http://schemas.openxmlformats.org/officeDocument/2006/relationships/hyperlink" Target="https://www.ohchr.org/Documents/Issues/Environment/SREnvironment/Report.pdf" TargetMode="External"/><Relationship Id="rId14" Type="http://schemas.openxmlformats.org/officeDocument/2006/relationships/hyperlink" Target="https://www.oecd.org/environment/resources/biodiversity/G7-report-Biodiversity-Finance-and-the-Economic-and-Business-Case-for-A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E478D3-482D-9144-874D-A9BD6CBF43F8}">
  <ds:schemaRefs>
    <ds:schemaRef ds:uri="http://schemas.openxmlformats.org/officeDocument/2006/bibliography"/>
  </ds:schemaRefs>
</ds:datastoreItem>
</file>

<file path=customXml/itemProps2.xml><?xml version="1.0" encoding="utf-8"?>
<ds:datastoreItem xmlns:ds="http://schemas.openxmlformats.org/officeDocument/2006/customXml" ds:itemID="{CBC02A23-FE91-4E4F-85FC-0DFE5157BAA7}"/>
</file>

<file path=customXml/itemProps3.xml><?xml version="1.0" encoding="utf-8"?>
<ds:datastoreItem xmlns:ds="http://schemas.openxmlformats.org/officeDocument/2006/customXml" ds:itemID="{126CE772-96BD-4009-9596-8741C59F4C06}"/>
</file>

<file path=customXml/itemProps4.xml><?xml version="1.0" encoding="utf-8"?>
<ds:datastoreItem xmlns:ds="http://schemas.openxmlformats.org/officeDocument/2006/customXml" ds:itemID="{F8E76543-862F-4742-A5C6-853F47CB07E0}"/>
</file>

<file path=docProps/app.xml><?xml version="1.0" encoding="utf-8"?>
<Properties xmlns="http://schemas.openxmlformats.org/officeDocument/2006/extended-properties" xmlns:vt="http://schemas.openxmlformats.org/officeDocument/2006/docPropsVTypes">
  <Template>Normal.dotm</Template>
  <TotalTime>1</TotalTime>
  <Pages>7</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Reisch</dc:creator>
  <cp:keywords/>
  <dc:description/>
  <cp:lastModifiedBy>Nikki Reisch</cp:lastModifiedBy>
  <cp:revision>3</cp:revision>
  <dcterms:created xsi:type="dcterms:W3CDTF">2020-07-09T11:12:00Z</dcterms:created>
  <dcterms:modified xsi:type="dcterms:W3CDTF">2020-07-09T11:13:00Z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