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B4E7" w14:textId="77777777" w:rsidR="00B538DA" w:rsidRDefault="00B538DA" w:rsidP="00B538DA">
      <w:pPr>
        <w:jc w:val="center"/>
      </w:pPr>
      <w:r>
        <w:rPr>
          <w:b/>
          <w:bCs/>
          <w:sz w:val="22"/>
          <w:szCs w:val="22"/>
          <w:lang w:val="uk-UA"/>
        </w:rPr>
        <w:t>Україна: Катування з боку російської влади розцінюються як злочини проти людяності – сказали члени Комісії ООН з розслідування</w:t>
      </w:r>
    </w:p>
    <w:p w14:paraId="4E1DF3CF" w14:textId="77777777" w:rsidR="00B538DA" w:rsidRDefault="00B538DA" w:rsidP="00B538DA">
      <w:pPr>
        <w:jc w:val="center"/>
      </w:pPr>
      <w:r>
        <w:rPr>
          <w:b/>
          <w:bCs/>
          <w:sz w:val="22"/>
          <w:szCs w:val="22"/>
          <w:lang w:val="en-US"/>
        </w:rPr>
        <w:t> </w:t>
      </w:r>
    </w:p>
    <w:p w14:paraId="6E1F29A2" w14:textId="77777777" w:rsidR="00B538DA" w:rsidRDefault="00B538DA" w:rsidP="00B538DA">
      <w:pPr>
        <w:jc w:val="both"/>
      </w:pPr>
      <w:r>
        <w:rPr>
          <w:b/>
          <w:bCs/>
          <w:sz w:val="22"/>
          <w:szCs w:val="22"/>
          <w:lang w:val="uk-UA"/>
        </w:rPr>
        <w:t>НЬЮ-ЙОРК / ВІДЕНЬ (29 жовтня 2024 р.)</w:t>
      </w:r>
      <w:r>
        <w:rPr>
          <w:sz w:val="22"/>
          <w:szCs w:val="22"/>
          <w:lang w:val="uk-UA"/>
        </w:rPr>
        <w:t xml:space="preserve"> – Російська влада вчиняє катування, які кваліфікуються як злочини проти людяності, – заявляє Незалежна міжнародна комісія з розслідування порушень в Україні у своїй останній </w:t>
      </w:r>
      <w:hyperlink r:id="rId6" w:history="1">
        <w:r>
          <w:rPr>
            <w:rStyle w:val="Hyperlink"/>
            <w:color w:val="0010FF"/>
            <w:sz w:val="22"/>
            <w:szCs w:val="22"/>
            <w:lang w:val="uk-UA"/>
          </w:rPr>
          <w:t>доповіді</w:t>
        </w:r>
      </w:hyperlink>
      <w:r>
        <w:rPr>
          <w:color w:val="0010FF"/>
          <w:sz w:val="22"/>
          <w:szCs w:val="22"/>
          <w:lang w:val="uk-UA"/>
        </w:rPr>
        <w:t xml:space="preserve"> </w:t>
      </w:r>
      <w:r>
        <w:rPr>
          <w:sz w:val="22"/>
          <w:szCs w:val="22"/>
          <w:lang w:val="uk-UA"/>
        </w:rPr>
        <w:t xml:space="preserve">для Генеральної асамблеї ООН. </w:t>
      </w:r>
    </w:p>
    <w:p w14:paraId="3C8D1919" w14:textId="77777777" w:rsidR="00B538DA" w:rsidRDefault="00B538DA" w:rsidP="00B538DA">
      <w:pPr>
        <w:jc w:val="both"/>
      </w:pPr>
      <w:r>
        <w:rPr>
          <w:sz w:val="22"/>
          <w:szCs w:val="22"/>
          <w:lang w:val="uk-UA"/>
        </w:rPr>
        <w:t> </w:t>
      </w:r>
    </w:p>
    <w:p w14:paraId="0C08A7A1" w14:textId="77777777" w:rsidR="00B538DA" w:rsidRPr="00B538DA" w:rsidRDefault="00B538DA" w:rsidP="00B538DA">
      <w:pPr>
        <w:jc w:val="both"/>
        <w:rPr>
          <w:lang w:val="uk-UA"/>
        </w:rPr>
      </w:pPr>
      <w:r>
        <w:rPr>
          <w:sz w:val="22"/>
          <w:szCs w:val="22"/>
          <w:lang w:val="uk-UA"/>
        </w:rPr>
        <w:t xml:space="preserve">Раніше Комісія встановила, що застосування катувань російською владою є воєнним злочином. Додаткові випадки катувань українських цивільних осіб та військовополонених підтвердили практику застосування російською владою катувань в усіх підконтрольних Росії областях України, а також у слідчих ізоляторах на території Російської Федерації, які були розслідувані Комісією. </w:t>
      </w:r>
    </w:p>
    <w:p w14:paraId="43139345" w14:textId="77777777" w:rsidR="00B538DA" w:rsidRPr="00B538DA" w:rsidRDefault="00B538DA" w:rsidP="00B538DA">
      <w:pPr>
        <w:rPr>
          <w:lang w:val="uk-UA"/>
        </w:rPr>
      </w:pPr>
      <w:r>
        <w:rPr>
          <w:sz w:val="22"/>
          <w:szCs w:val="22"/>
          <w:lang w:val="uk-UA"/>
        </w:rPr>
        <w:t> </w:t>
      </w:r>
    </w:p>
    <w:p w14:paraId="6105985A" w14:textId="77777777" w:rsidR="00B538DA" w:rsidRPr="00B538DA" w:rsidRDefault="00B538DA" w:rsidP="00B538DA">
      <w:pPr>
        <w:rPr>
          <w:lang w:val="ru-RU"/>
        </w:rPr>
      </w:pPr>
      <w:r>
        <w:rPr>
          <w:sz w:val="22"/>
          <w:szCs w:val="22"/>
          <w:lang w:val="uk-UA"/>
        </w:rPr>
        <w:t>У своїх попередніх доповідях Комісія дійшла висновку, що практика застосування російською владою катувань була поширеною. Спільні закономірності також вказують на систематичність цих дій та стосуються таких категорії, як цільові групи, мета та методи застосування катувань.</w:t>
      </w:r>
    </w:p>
    <w:p w14:paraId="2EB2B02E" w14:textId="77777777" w:rsidR="00B538DA" w:rsidRPr="00B538DA" w:rsidRDefault="00B538DA" w:rsidP="00B538DA">
      <w:pPr>
        <w:rPr>
          <w:lang w:val="ru-RU"/>
        </w:rPr>
      </w:pPr>
      <w:r>
        <w:rPr>
          <w:sz w:val="22"/>
          <w:szCs w:val="22"/>
          <w:lang w:val="en-US"/>
        </w:rPr>
        <w:t> </w:t>
      </w:r>
    </w:p>
    <w:p w14:paraId="181D9560" w14:textId="77777777" w:rsidR="00B538DA" w:rsidRPr="00B538DA" w:rsidRDefault="00B538DA" w:rsidP="00B538DA">
      <w:pPr>
        <w:rPr>
          <w:lang w:val="ru-RU"/>
        </w:rPr>
      </w:pPr>
      <w:r>
        <w:rPr>
          <w:sz w:val="22"/>
          <w:szCs w:val="22"/>
          <w:lang w:val="uk-UA"/>
        </w:rPr>
        <w:t>Комісія виявила додаткові спільні елементи, які являють собою перенесення насильницьких практик, поширених у слідчих ізоляторах Російської Федерації, в аналогічні установи в підконтрольних Росії територіях в Україні. Колишні полонені постійно описували ті ж самі жорстокі методи залякування, тиску, приниження, примусу та покарання.</w:t>
      </w:r>
    </w:p>
    <w:p w14:paraId="41F85459" w14:textId="77777777" w:rsidR="00B538DA" w:rsidRPr="00B538DA" w:rsidRDefault="00B538DA" w:rsidP="00B538DA">
      <w:pPr>
        <w:rPr>
          <w:lang w:val="ru-RU"/>
        </w:rPr>
      </w:pPr>
      <w:r>
        <w:rPr>
          <w:sz w:val="22"/>
          <w:szCs w:val="22"/>
          <w:lang w:val="en-US"/>
        </w:rPr>
        <w:t> </w:t>
      </w:r>
    </w:p>
    <w:p w14:paraId="6EC8B751" w14:textId="77777777" w:rsidR="00B538DA" w:rsidRPr="00B538DA" w:rsidRDefault="00B538DA" w:rsidP="00B538DA">
      <w:pPr>
        <w:rPr>
          <w:lang w:val="ru-RU"/>
        </w:rPr>
      </w:pPr>
      <w:r>
        <w:rPr>
          <w:sz w:val="22"/>
          <w:szCs w:val="22"/>
          <w:lang w:val="uk-UA"/>
        </w:rPr>
        <w:t>Докази далі демонструють, що російська влада залучала співробітників окремих служб та органів безпеки з Російської Федерації в різних місцях позбавлення волі на окупованих територіях в Україні. Ці служби та органи діяли скоординовано та зі специфічним розподілом обов’язків під час застосування катувань.</w:t>
      </w:r>
    </w:p>
    <w:p w14:paraId="252D883A" w14:textId="77777777" w:rsidR="00B538DA" w:rsidRPr="00B538DA" w:rsidRDefault="00B538DA" w:rsidP="00B538DA">
      <w:pPr>
        <w:rPr>
          <w:lang w:val="ru-RU"/>
        </w:rPr>
      </w:pPr>
      <w:r>
        <w:rPr>
          <w:sz w:val="22"/>
          <w:szCs w:val="22"/>
          <w:lang w:val="en-US"/>
        </w:rPr>
        <w:t> </w:t>
      </w:r>
    </w:p>
    <w:p w14:paraId="5ECFDED4" w14:textId="77777777" w:rsidR="00B538DA" w:rsidRPr="00B538DA" w:rsidRDefault="00B538DA" w:rsidP="00B538DA">
      <w:pPr>
        <w:rPr>
          <w:lang w:val="uk-UA"/>
        </w:rPr>
      </w:pPr>
      <w:r>
        <w:rPr>
          <w:sz w:val="22"/>
          <w:szCs w:val="22"/>
          <w:lang w:val="uk-UA"/>
        </w:rPr>
        <w:t xml:space="preserve">Крім того, сексуальне насильство як форма катувань систематично застосовувалося переважно щодо полонених чоловічої статі в місцях позбавлення волі, що контролюються російською владою. Один із постраждалих повідомив, що він щонайменше зазнав шість ударів </w:t>
      </w:r>
      <w:proofErr w:type="spellStart"/>
      <w:r>
        <w:rPr>
          <w:sz w:val="22"/>
          <w:szCs w:val="22"/>
          <w:lang w:val="uk-UA"/>
        </w:rPr>
        <w:t>електрошокером</w:t>
      </w:r>
      <w:proofErr w:type="spellEnd"/>
      <w:r>
        <w:rPr>
          <w:sz w:val="22"/>
          <w:szCs w:val="22"/>
          <w:lang w:val="uk-UA"/>
        </w:rPr>
        <w:t xml:space="preserve"> в зоні </w:t>
      </w:r>
      <w:proofErr w:type="spellStart"/>
      <w:r>
        <w:rPr>
          <w:sz w:val="22"/>
          <w:szCs w:val="22"/>
          <w:lang w:val="uk-UA"/>
        </w:rPr>
        <w:t>геніталій</w:t>
      </w:r>
      <w:proofErr w:type="spellEnd"/>
      <w:r>
        <w:rPr>
          <w:sz w:val="22"/>
          <w:szCs w:val="22"/>
          <w:lang w:val="uk-UA"/>
        </w:rPr>
        <w:t>.</w:t>
      </w:r>
    </w:p>
    <w:p w14:paraId="67A448F9" w14:textId="77777777" w:rsidR="00B538DA" w:rsidRPr="00B538DA" w:rsidRDefault="00B538DA" w:rsidP="00B538DA">
      <w:pPr>
        <w:rPr>
          <w:lang w:val="uk-UA"/>
        </w:rPr>
      </w:pPr>
      <w:r>
        <w:rPr>
          <w:sz w:val="22"/>
          <w:szCs w:val="22"/>
          <w:lang w:val="en-US"/>
        </w:rPr>
        <w:t> </w:t>
      </w:r>
    </w:p>
    <w:p w14:paraId="2490701F" w14:textId="77777777" w:rsidR="00B538DA" w:rsidRPr="00B538DA" w:rsidRDefault="00B538DA" w:rsidP="00B538DA">
      <w:pPr>
        <w:rPr>
          <w:lang w:val="ru-RU"/>
        </w:rPr>
      </w:pPr>
      <w:r>
        <w:rPr>
          <w:sz w:val="22"/>
          <w:szCs w:val="22"/>
          <w:lang w:val="uk-UA"/>
        </w:rPr>
        <w:t>Постраждалі та свідки неодноразово вказували на причетність до цього високопосадовців з місць позбавлення волі, а також на накази, які отримував персонал нижчого рангу. Багато з цих посадових осіб застосовували катування відкрито, з очевидним відчуттям безкарності.</w:t>
      </w:r>
    </w:p>
    <w:p w14:paraId="542A0BCF" w14:textId="77777777" w:rsidR="00B538DA" w:rsidRPr="00B538DA" w:rsidRDefault="00B538DA" w:rsidP="00B538DA">
      <w:pPr>
        <w:rPr>
          <w:lang w:val="ru-RU"/>
        </w:rPr>
      </w:pPr>
      <w:r>
        <w:rPr>
          <w:sz w:val="22"/>
          <w:szCs w:val="22"/>
          <w:lang w:val="en-US"/>
        </w:rPr>
        <w:t> </w:t>
      </w:r>
    </w:p>
    <w:p w14:paraId="6C13E707" w14:textId="77777777" w:rsidR="00B538DA" w:rsidRPr="00B538DA" w:rsidRDefault="00B538DA" w:rsidP="00B538DA">
      <w:pPr>
        <w:rPr>
          <w:lang w:val="ru-RU"/>
        </w:rPr>
      </w:pPr>
      <w:r>
        <w:rPr>
          <w:sz w:val="22"/>
          <w:szCs w:val="22"/>
          <w:lang w:val="uk-UA"/>
        </w:rPr>
        <w:t xml:space="preserve">Голова Комісії, пан Ерік </w:t>
      </w:r>
      <w:proofErr w:type="spellStart"/>
      <w:r>
        <w:rPr>
          <w:sz w:val="22"/>
          <w:szCs w:val="22"/>
          <w:lang w:val="uk-UA"/>
        </w:rPr>
        <w:t>Мьосе</w:t>
      </w:r>
      <w:proofErr w:type="spellEnd"/>
      <w:r>
        <w:rPr>
          <w:sz w:val="22"/>
          <w:szCs w:val="22"/>
          <w:lang w:val="uk-UA"/>
        </w:rPr>
        <w:t>, сказав: “На підставі знайдених доказів можна стверджувати, що російська влада діяла у межах скоординованої держаної політики застосування катувань проти українських цивільних осіб та військовополонених и таким чином скоїли злочин проти людяності”.</w:t>
      </w:r>
    </w:p>
    <w:p w14:paraId="5292E7C9" w14:textId="77777777" w:rsidR="00B538DA" w:rsidRPr="00B538DA" w:rsidRDefault="00B538DA" w:rsidP="00B538DA">
      <w:pPr>
        <w:rPr>
          <w:lang w:val="ru-RU"/>
        </w:rPr>
      </w:pPr>
      <w:r>
        <w:rPr>
          <w:sz w:val="22"/>
          <w:szCs w:val="22"/>
          <w:lang w:val="en-US"/>
        </w:rPr>
        <w:t> </w:t>
      </w:r>
    </w:p>
    <w:p w14:paraId="68D2E7C1" w14:textId="77777777" w:rsidR="00B538DA" w:rsidRPr="00B538DA" w:rsidRDefault="00B538DA" w:rsidP="00B538DA">
      <w:pPr>
        <w:rPr>
          <w:lang w:val="ru-RU"/>
        </w:rPr>
      </w:pPr>
      <w:r>
        <w:rPr>
          <w:sz w:val="22"/>
          <w:szCs w:val="22"/>
          <w:lang w:val="uk-UA"/>
        </w:rPr>
        <w:t xml:space="preserve">Постраждалі описали фізичний біль та травми з тривалими або непоправними наслідками, а також підкреслили значні психологічні проблеми, з якими вони стикаються.  </w:t>
      </w:r>
    </w:p>
    <w:p w14:paraId="7E11B9DE" w14:textId="77777777" w:rsidR="00B538DA" w:rsidRPr="00B538DA" w:rsidRDefault="00B538DA" w:rsidP="00B538DA">
      <w:pPr>
        <w:rPr>
          <w:lang w:val="ru-RU"/>
        </w:rPr>
      </w:pPr>
      <w:r>
        <w:rPr>
          <w:sz w:val="22"/>
          <w:szCs w:val="22"/>
          <w:lang w:val="en-US"/>
        </w:rPr>
        <w:t> </w:t>
      </w:r>
    </w:p>
    <w:p w14:paraId="091462ED" w14:textId="77777777" w:rsidR="00B538DA" w:rsidRPr="00B538DA" w:rsidRDefault="00B538DA" w:rsidP="00B538DA">
      <w:pPr>
        <w:rPr>
          <w:lang w:val="uk-UA"/>
        </w:rPr>
      </w:pPr>
      <w:r>
        <w:rPr>
          <w:sz w:val="22"/>
          <w:szCs w:val="22"/>
          <w:lang w:val="uk-UA"/>
        </w:rPr>
        <w:t>Комісія також встановила, що в цих установах часто бракує медичної допомоги або полоненим свідомо відмовляють у лікуванні навіть за наявності поранень, захворювань чи необхідності в догляді після катувань. Один український військовослужбовець розповів Комісії, що, попри серйозне поранення від вибуху, його численні прохання про медичну допомогу залишилися без уваги. Зрештою, через несвоєчасне лікування йому довелося ампутувати частину стопи.</w:t>
      </w:r>
    </w:p>
    <w:p w14:paraId="6E23D983" w14:textId="77777777" w:rsidR="00B538DA" w:rsidRPr="00B538DA" w:rsidRDefault="00B538DA" w:rsidP="00B538DA">
      <w:pPr>
        <w:rPr>
          <w:lang w:val="uk-UA"/>
        </w:rPr>
      </w:pPr>
      <w:r>
        <w:rPr>
          <w:sz w:val="22"/>
          <w:szCs w:val="22"/>
          <w:lang w:val="en-US"/>
        </w:rPr>
        <w:t> </w:t>
      </w:r>
    </w:p>
    <w:p w14:paraId="705C785D" w14:textId="77777777" w:rsidR="00B538DA" w:rsidRPr="00B538DA" w:rsidRDefault="00B538DA" w:rsidP="00B538DA">
      <w:pPr>
        <w:rPr>
          <w:lang w:val="uk-UA"/>
        </w:rPr>
      </w:pPr>
      <w:r>
        <w:rPr>
          <w:sz w:val="22"/>
          <w:szCs w:val="22"/>
          <w:lang w:val="uk-UA"/>
        </w:rPr>
        <w:t xml:space="preserve">Безперервні масовані атаки Російської Федерації на енергетичну інфраструктуру України призвели до </w:t>
      </w:r>
      <w:proofErr w:type="spellStart"/>
      <w:r>
        <w:rPr>
          <w:sz w:val="22"/>
          <w:szCs w:val="22"/>
          <w:lang w:val="uk-UA"/>
        </w:rPr>
        <w:t>блекаутів</w:t>
      </w:r>
      <w:proofErr w:type="spellEnd"/>
      <w:r>
        <w:rPr>
          <w:sz w:val="22"/>
          <w:szCs w:val="22"/>
          <w:lang w:val="uk-UA"/>
        </w:rPr>
        <w:t xml:space="preserve">, які вплинули на мільйони цивільних осіб. Ці відключення </w:t>
      </w:r>
      <w:r>
        <w:rPr>
          <w:sz w:val="22"/>
          <w:szCs w:val="22"/>
          <w:lang w:val="uk-UA"/>
        </w:rPr>
        <w:lastRenderedPageBreak/>
        <w:t xml:space="preserve">електроенергії, серед іншого, обмежували доступ до охорони здоров’я та освіти, що особливо серйозно вплинуло на дітей, людей похилого віку, осіб з інвалідністю або хронічними захворюваннями. Постраждалі відзначали почуття стресу, тривоги та ізоляції.  </w:t>
      </w:r>
    </w:p>
    <w:p w14:paraId="268278B4" w14:textId="77777777" w:rsidR="00B538DA" w:rsidRPr="00B538DA" w:rsidRDefault="00B538DA" w:rsidP="00B538DA">
      <w:pPr>
        <w:rPr>
          <w:lang w:val="uk-UA"/>
        </w:rPr>
      </w:pPr>
      <w:r>
        <w:rPr>
          <w:sz w:val="22"/>
          <w:szCs w:val="22"/>
          <w:lang w:val="uk-UA"/>
        </w:rPr>
        <w:t xml:space="preserve">Комісія продовжує розслідувати атаки з використанням зброї вибухової дії, що завдали шкоди цивільним особам та об'єктам по обидва боки лінії фронту, включно з медичними та культурними установами, захищеними міжнародним правом. </w:t>
      </w:r>
    </w:p>
    <w:p w14:paraId="765D6109" w14:textId="77777777" w:rsidR="00B538DA" w:rsidRPr="00B538DA" w:rsidRDefault="00B538DA" w:rsidP="00B538DA">
      <w:pPr>
        <w:rPr>
          <w:lang w:val="uk-UA"/>
        </w:rPr>
      </w:pPr>
      <w:r>
        <w:rPr>
          <w:sz w:val="22"/>
          <w:szCs w:val="22"/>
          <w:lang w:val="en-US"/>
        </w:rPr>
        <w:t> </w:t>
      </w:r>
    </w:p>
    <w:p w14:paraId="776099B1" w14:textId="77777777" w:rsidR="00B538DA" w:rsidRPr="00B538DA" w:rsidRDefault="00B538DA" w:rsidP="00B538DA">
      <w:pPr>
        <w:rPr>
          <w:lang w:val="ru-RU"/>
        </w:rPr>
      </w:pPr>
      <w:r>
        <w:rPr>
          <w:sz w:val="22"/>
          <w:szCs w:val="22"/>
          <w:lang w:val="uk-UA"/>
        </w:rPr>
        <w:t>Ми наголошуємо на важливості притягнення до судової та позасудової відповідальності. Встановлення осіб та карне переслідування злочинців є ключовим кроком до припинення безкарності та невіддільною частиною здійснення правосуддя для постраждалих.</w:t>
      </w:r>
    </w:p>
    <w:p w14:paraId="4FF50C38" w14:textId="77777777" w:rsidR="00B538DA" w:rsidRPr="00B538DA" w:rsidRDefault="00B538DA" w:rsidP="00B538DA">
      <w:pPr>
        <w:rPr>
          <w:lang w:val="ru-RU"/>
        </w:rPr>
      </w:pPr>
      <w:r>
        <w:rPr>
          <w:sz w:val="22"/>
          <w:szCs w:val="22"/>
          <w:lang w:val="en-US"/>
        </w:rPr>
        <w:t> </w:t>
      </w:r>
    </w:p>
    <w:p w14:paraId="06E28FFF" w14:textId="77777777" w:rsidR="00B538DA" w:rsidRPr="00B538DA" w:rsidRDefault="00B538DA" w:rsidP="00B538DA">
      <w:pPr>
        <w:rPr>
          <w:lang w:val="ru-RU"/>
        </w:rPr>
      </w:pPr>
      <w:r>
        <w:rPr>
          <w:sz w:val="22"/>
          <w:szCs w:val="22"/>
          <w:lang w:val="uk-UA"/>
        </w:rPr>
        <w:t>КІНЕЦЬ</w:t>
      </w:r>
    </w:p>
    <w:p w14:paraId="3CBAE056" w14:textId="77777777" w:rsidR="00B538DA" w:rsidRPr="00B538DA" w:rsidRDefault="00B538DA" w:rsidP="00B538DA">
      <w:pPr>
        <w:rPr>
          <w:lang w:val="ru-RU"/>
        </w:rPr>
      </w:pPr>
      <w:r>
        <w:rPr>
          <w:rFonts w:ascii="Aptos" w:hAnsi="Aptos"/>
          <w:sz w:val="22"/>
          <w:szCs w:val="22"/>
          <w:lang w:val="en-US"/>
        </w:rPr>
        <w:t> </w:t>
      </w:r>
    </w:p>
    <w:p w14:paraId="683D0DA5" w14:textId="77777777" w:rsidR="00B538DA" w:rsidRPr="00B538DA" w:rsidRDefault="00B538DA" w:rsidP="00B538DA">
      <w:pPr>
        <w:rPr>
          <w:lang w:val="ru-RU"/>
        </w:rPr>
      </w:pPr>
      <w:r>
        <w:rPr>
          <w:b/>
          <w:bCs/>
          <w:i/>
          <w:iCs/>
          <w:sz w:val="22"/>
          <w:szCs w:val="22"/>
          <w:lang w:val="uk-UA"/>
        </w:rPr>
        <w:t xml:space="preserve">З повним текстом доповіді англійською мовою можна ознайомитися </w:t>
      </w:r>
      <w:r w:rsidR="00000000">
        <w:fldChar w:fldCharType="begin"/>
      </w:r>
      <w:r w:rsidR="00000000">
        <w:instrText>HYPERLINK</w:instrText>
      </w:r>
      <w:r w:rsidR="00000000" w:rsidRPr="006C04D1">
        <w:rPr>
          <w:lang w:val="ru-RU"/>
        </w:rPr>
        <w:instrText xml:space="preserve"> "</w:instrText>
      </w:r>
      <w:r w:rsidR="00000000">
        <w:instrText>https</w:instrText>
      </w:r>
      <w:r w:rsidR="00000000" w:rsidRPr="006C04D1">
        <w:rPr>
          <w:lang w:val="ru-RU"/>
        </w:rPr>
        <w:instrText>://</w:instrText>
      </w:r>
      <w:r w:rsidR="00000000">
        <w:instrText>www</w:instrText>
      </w:r>
      <w:r w:rsidR="00000000" w:rsidRPr="006C04D1">
        <w:rPr>
          <w:lang w:val="ru-RU"/>
        </w:rPr>
        <w:instrText>.</w:instrText>
      </w:r>
      <w:r w:rsidR="00000000">
        <w:instrText>ohchr</w:instrText>
      </w:r>
      <w:r w:rsidR="00000000" w:rsidRPr="006C04D1">
        <w:rPr>
          <w:lang w:val="ru-RU"/>
        </w:rPr>
        <w:instrText>.</w:instrText>
      </w:r>
      <w:r w:rsidR="00000000">
        <w:instrText>org</w:instrText>
      </w:r>
      <w:r w:rsidR="00000000" w:rsidRPr="006C04D1">
        <w:rPr>
          <w:lang w:val="ru-RU"/>
        </w:rPr>
        <w:instrText>/</w:instrText>
      </w:r>
      <w:r w:rsidR="00000000">
        <w:instrText>sites</w:instrText>
      </w:r>
      <w:r w:rsidR="00000000" w:rsidRPr="006C04D1">
        <w:rPr>
          <w:lang w:val="ru-RU"/>
        </w:rPr>
        <w:instrText>/</w:instrText>
      </w:r>
      <w:r w:rsidR="00000000">
        <w:instrText>default</w:instrText>
      </w:r>
      <w:r w:rsidR="00000000" w:rsidRPr="006C04D1">
        <w:rPr>
          <w:lang w:val="ru-RU"/>
        </w:rPr>
        <w:instrText>/</w:instrText>
      </w:r>
      <w:r w:rsidR="00000000">
        <w:instrText>files</w:instrText>
      </w:r>
      <w:r w:rsidR="00000000" w:rsidRPr="006C04D1">
        <w:rPr>
          <w:lang w:val="ru-RU"/>
        </w:rPr>
        <w:instrText>/</w:instrText>
      </w:r>
      <w:r w:rsidR="00000000">
        <w:instrText>documents</w:instrText>
      </w:r>
      <w:r w:rsidR="00000000" w:rsidRPr="006C04D1">
        <w:rPr>
          <w:lang w:val="ru-RU"/>
        </w:rPr>
        <w:instrText>/</w:instrText>
      </w:r>
      <w:r w:rsidR="00000000">
        <w:instrText>hrbodies</w:instrText>
      </w:r>
      <w:r w:rsidR="00000000" w:rsidRPr="006C04D1">
        <w:rPr>
          <w:lang w:val="ru-RU"/>
        </w:rPr>
        <w:instrText>/</w:instrText>
      </w:r>
      <w:r w:rsidR="00000000">
        <w:instrText>hrcouncil</w:instrText>
      </w:r>
      <w:r w:rsidR="00000000" w:rsidRPr="006C04D1">
        <w:rPr>
          <w:lang w:val="ru-RU"/>
        </w:rPr>
        <w:instrText>/</w:instrText>
      </w:r>
      <w:r w:rsidR="00000000">
        <w:instrText>coiukraine</w:instrText>
      </w:r>
      <w:r w:rsidR="00000000" w:rsidRPr="006C04D1">
        <w:rPr>
          <w:lang w:val="ru-RU"/>
        </w:rPr>
        <w:instrText>/</w:instrText>
      </w:r>
      <w:r w:rsidR="00000000">
        <w:instrText>A</w:instrText>
      </w:r>
      <w:r w:rsidR="00000000" w:rsidRPr="006C04D1">
        <w:rPr>
          <w:lang w:val="ru-RU"/>
        </w:rPr>
        <w:instrText>_79_4632_</w:instrText>
      </w:r>
      <w:r w:rsidR="00000000">
        <w:instrText>AUV</w:instrText>
      </w:r>
      <w:r w:rsidR="00000000" w:rsidRPr="006C04D1">
        <w:rPr>
          <w:lang w:val="ru-RU"/>
        </w:rPr>
        <w:instrText>.</w:instrText>
      </w:r>
      <w:r w:rsidR="00000000">
        <w:instrText>pdf</w:instrText>
      </w:r>
      <w:r w:rsidR="00000000" w:rsidRPr="006C04D1">
        <w:rPr>
          <w:lang w:val="ru-RU"/>
        </w:rPr>
        <w:instrText>"</w:instrText>
      </w:r>
      <w:r w:rsidR="00000000">
        <w:fldChar w:fldCharType="separate"/>
      </w:r>
      <w:r>
        <w:rPr>
          <w:rStyle w:val="Hyperlink"/>
          <w:b/>
          <w:bCs/>
          <w:i/>
          <w:iCs/>
          <w:color w:val="0010FF"/>
          <w:sz w:val="22"/>
          <w:szCs w:val="22"/>
          <w:lang w:val="uk-UA"/>
        </w:rPr>
        <w:t>тут</w:t>
      </w:r>
      <w:r w:rsidR="00000000">
        <w:rPr>
          <w:rStyle w:val="Hyperlink"/>
          <w:b/>
          <w:bCs/>
          <w:i/>
          <w:iCs/>
          <w:color w:val="0010FF"/>
          <w:sz w:val="22"/>
          <w:szCs w:val="22"/>
          <w:lang w:val="uk-UA"/>
        </w:rPr>
        <w:fldChar w:fldCharType="end"/>
      </w:r>
      <w:r w:rsidRPr="00B538DA">
        <w:rPr>
          <w:b/>
          <w:bCs/>
          <w:i/>
          <w:iCs/>
          <w:sz w:val="22"/>
          <w:szCs w:val="22"/>
          <w:lang w:val="ru-RU"/>
        </w:rPr>
        <w:t>.</w:t>
      </w:r>
    </w:p>
    <w:p w14:paraId="09415AF2" w14:textId="77777777" w:rsidR="00B538DA" w:rsidRPr="00B538DA" w:rsidRDefault="00B538DA" w:rsidP="00B538DA">
      <w:pPr>
        <w:rPr>
          <w:lang w:val="ru-RU"/>
        </w:rPr>
      </w:pPr>
      <w:r>
        <w:rPr>
          <w:i/>
          <w:iCs/>
          <w:sz w:val="22"/>
          <w:szCs w:val="22"/>
          <w:lang w:val="ru-RU"/>
        </w:rPr>
        <w:t> </w:t>
      </w:r>
    </w:p>
    <w:p w14:paraId="2B4AADE3" w14:textId="77777777" w:rsidR="00B538DA" w:rsidRPr="00B538DA" w:rsidRDefault="00000000" w:rsidP="00B538DA">
      <w:pPr>
        <w:rPr>
          <w:lang w:val="ru-RU"/>
        </w:rPr>
      </w:pPr>
      <w:r>
        <w:fldChar w:fldCharType="begin"/>
      </w:r>
      <w:r>
        <w:instrText>HYPERLINK</w:instrText>
      </w:r>
      <w:r w:rsidRPr="006C04D1">
        <w:rPr>
          <w:lang w:val="ru-RU"/>
        </w:rPr>
        <w:instrText xml:space="preserve"> "</w:instrText>
      </w:r>
      <w:r>
        <w:instrText>https</w:instrText>
      </w:r>
      <w:r w:rsidRPr="006C04D1">
        <w:rPr>
          <w:lang w:val="ru-RU"/>
        </w:rPr>
        <w:instrText>://</w:instrText>
      </w:r>
      <w:r>
        <w:instrText>www</w:instrText>
      </w:r>
      <w:r w:rsidRPr="006C04D1">
        <w:rPr>
          <w:lang w:val="ru-RU"/>
        </w:rPr>
        <w:instrText>.</w:instrText>
      </w:r>
      <w:r>
        <w:instrText>ohchr</w:instrText>
      </w:r>
      <w:r w:rsidRPr="006C04D1">
        <w:rPr>
          <w:lang w:val="ru-RU"/>
        </w:rPr>
        <w:instrText>.</w:instrText>
      </w:r>
      <w:r>
        <w:instrText>org</w:instrText>
      </w:r>
      <w:r w:rsidRPr="006C04D1">
        <w:rPr>
          <w:lang w:val="ru-RU"/>
        </w:rPr>
        <w:instrText>/</w:instrText>
      </w:r>
      <w:r>
        <w:instrText>en</w:instrText>
      </w:r>
      <w:r w:rsidRPr="006C04D1">
        <w:rPr>
          <w:lang w:val="ru-RU"/>
        </w:rPr>
        <w:instrText>/</w:instrText>
      </w:r>
      <w:r>
        <w:instrText>hr</w:instrText>
      </w:r>
      <w:r w:rsidRPr="006C04D1">
        <w:rPr>
          <w:lang w:val="ru-RU"/>
        </w:rPr>
        <w:instrText>-</w:instrText>
      </w:r>
      <w:r>
        <w:instrText>bodies</w:instrText>
      </w:r>
      <w:r w:rsidRPr="006C04D1">
        <w:rPr>
          <w:lang w:val="ru-RU"/>
        </w:rPr>
        <w:instrText>/</w:instrText>
      </w:r>
      <w:r>
        <w:instrText>hrc</w:instrText>
      </w:r>
      <w:r w:rsidRPr="006C04D1">
        <w:rPr>
          <w:lang w:val="ru-RU"/>
        </w:rPr>
        <w:instrText>/</w:instrText>
      </w:r>
      <w:r>
        <w:instrText>iicihr</w:instrText>
      </w:r>
      <w:r w:rsidRPr="006C04D1">
        <w:rPr>
          <w:lang w:val="ru-RU"/>
        </w:rPr>
        <w:instrText>-</w:instrText>
      </w:r>
      <w:r>
        <w:instrText>ukraine</w:instrText>
      </w:r>
      <w:r w:rsidRPr="006C04D1">
        <w:rPr>
          <w:lang w:val="ru-RU"/>
        </w:rPr>
        <w:instrText>/</w:instrText>
      </w:r>
      <w:r>
        <w:instrText>members</w:instrText>
      </w:r>
      <w:r w:rsidRPr="006C04D1">
        <w:rPr>
          <w:lang w:val="ru-RU"/>
        </w:rPr>
        <w:instrText>" \</w:instrText>
      </w:r>
      <w:r>
        <w:instrText>l</w:instrText>
      </w:r>
      <w:r w:rsidRPr="006C04D1">
        <w:rPr>
          <w:lang w:val="ru-RU"/>
        </w:rPr>
        <w:instrText xml:space="preserve"> "</w:instrText>
      </w:r>
      <w:r>
        <w:instrText>mose</w:instrText>
      </w:r>
      <w:r w:rsidRPr="006C04D1">
        <w:rPr>
          <w:lang w:val="ru-RU"/>
        </w:rPr>
        <w:instrText>" \</w:instrText>
      </w:r>
      <w:r>
        <w:instrText>o</w:instrText>
      </w:r>
      <w:r w:rsidRPr="006C04D1">
        <w:rPr>
          <w:lang w:val="ru-RU"/>
        </w:rPr>
        <w:instrText xml:space="preserve"> "</w:instrText>
      </w:r>
      <w:r>
        <w:instrText>Human</w:instrText>
      </w:r>
      <w:r w:rsidRPr="006C04D1">
        <w:rPr>
          <w:lang w:val="ru-RU"/>
        </w:rPr>
        <w:instrText xml:space="preserve"> </w:instrText>
      </w:r>
      <w:r>
        <w:instrText>Rights</w:instrText>
      </w:r>
      <w:r w:rsidRPr="006C04D1">
        <w:rPr>
          <w:lang w:val="ru-RU"/>
        </w:rPr>
        <w:instrText xml:space="preserve"> </w:instrText>
      </w:r>
      <w:r>
        <w:instrText>Expert</w:instrText>
      </w:r>
      <w:r w:rsidRPr="006C04D1">
        <w:rPr>
          <w:lang w:val="ru-RU"/>
        </w:rPr>
        <w:instrText xml:space="preserve"> </w:instrText>
      </w:r>
      <w:r>
        <w:instrText>Members</w:instrText>
      </w:r>
      <w:r w:rsidRPr="006C04D1">
        <w:rPr>
          <w:lang w:val="ru-RU"/>
        </w:rPr>
        <w:instrText xml:space="preserve"> </w:instrText>
      </w:r>
      <w:r>
        <w:instrText>of</w:instrText>
      </w:r>
      <w:r w:rsidRPr="006C04D1">
        <w:rPr>
          <w:lang w:val="ru-RU"/>
        </w:rPr>
        <w:instrText xml:space="preserve"> </w:instrText>
      </w:r>
      <w:r>
        <w:instrText>the</w:instrText>
      </w:r>
      <w:r w:rsidRPr="006C04D1">
        <w:rPr>
          <w:lang w:val="ru-RU"/>
        </w:rPr>
        <w:instrText xml:space="preserve"> </w:instrText>
      </w:r>
      <w:r>
        <w:instrText>Independent</w:instrText>
      </w:r>
      <w:r w:rsidRPr="006C04D1">
        <w:rPr>
          <w:lang w:val="ru-RU"/>
        </w:rPr>
        <w:instrText xml:space="preserve"> </w:instrText>
      </w:r>
      <w:r>
        <w:instrText>International</w:instrText>
      </w:r>
      <w:r w:rsidRPr="006C04D1">
        <w:rPr>
          <w:lang w:val="ru-RU"/>
        </w:rPr>
        <w:instrText xml:space="preserve"> </w:instrText>
      </w:r>
      <w:r>
        <w:instrText>Commission</w:instrText>
      </w:r>
      <w:r w:rsidRPr="006C04D1">
        <w:rPr>
          <w:lang w:val="ru-RU"/>
        </w:rPr>
        <w:instrText xml:space="preserve"> </w:instrText>
      </w:r>
      <w:r>
        <w:instrText>of</w:instrText>
      </w:r>
      <w:r w:rsidRPr="006C04D1">
        <w:rPr>
          <w:lang w:val="ru-RU"/>
        </w:rPr>
        <w:instrText xml:space="preserve"> </w:instrText>
      </w:r>
      <w:r>
        <w:instrText>Inquiry</w:instrText>
      </w:r>
      <w:r w:rsidRPr="006C04D1">
        <w:rPr>
          <w:lang w:val="ru-RU"/>
        </w:rPr>
        <w:instrText xml:space="preserve"> </w:instrText>
      </w:r>
      <w:r>
        <w:instrText>on</w:instrText>
      </w:r>
      <w:r w:rsidRPr="006C04D1">
        <w:rPr>
          <w:lang w:val="ru-RU"/>
        </w:rPr>
        <w:instrText xml:space="preserve"> </w:instrText>
      </w:r>
      <w:r>
        <w:instrText>Ukraine</w:instrText>
      </w:r>
      <w:r w:rsidRPr="006C04D1">
        <w:rPr>
          <w:lang w:val="ru-RU"/>
        </w:rPr>
        <w:instrText>"</w:instrText>
      </w:r>
      <w:r>
        <w:fldChar w:fldCharType="separate"/>
      </w:r>
      <w:r w:rsidR="00B538DA">
        <w:rPr>
          <w:rStyle w:val="Hyperlink"/>
          <w:b/>
          <w:bCs/>
          <w:i/>
          <w:iCs/>
          <w:color w:val="0010FF"/>
          <w:sz w:val="22"/>
          <w:szCs w:val="22"/>
          <w:lang w:val="uk-UA"/>
        </w:rPr>
        <w:t>Члени </w:t>
      </w:r>
      <w:r w:rsidR="00B538DA">
        <w:rPr>
          <w:rStyle w:val="Hyperlink"/>
          <w:i/>
          <w:iCs/>
          <w:color w:val="0010FF"/>
          <w:sz w:val="22"/>
          <w:szCs w:val="22"/>
          <w:lang w:val="uk-UA"/>
        </w:rPr>
        <w:t>Комісії з</w:t>
      </w:r>
      <w:r>
        <w:rPr>
          <w:rStyle w:val="Hyperlink"/>
          <w:i/>
          <w:iCs/>
          <w:color w:val="0010FF"/>
          <w:sz w:val="22"/>
          <w:szCs w:val="22"/>
          <w:lang w:val="uk-UA"/>
        </w:rPr>
        <w:fldChar w:fldCharType="end"/>
      </w:r>
      <w:r w:rsidR="00B538DA">
        <w:rPr>
          <w:i/>
          <w:iCs/>
          <w:color w:val="0010FF"/>
          <w:sz w:val="22"/>
          <w:szCs w:val="22"/>
          <w:lang w:val="uk-UA"/>
        </w:rPr>
        <w:t> </w:t>
      </w:r>
      <w:r w:rsidR="00B538DA">
        <w:rPr>
          <w:i/>
          <w:iCs/>
          <w:sz w:val="22"/>
          <w:szCs w:val="22"/>
          <w:lang w:val="uk-UA"/>
        </w:rPr>
        <w:t>розслідування порушень в Україні доступні для інтерв’ю.</w:t>
      </w:r>
    </w:p>
    <w:p w14:paraId="6AFDAB3D" w14:textId="77777777" w:rsidR="00B538DA" w:rsidRPr="00B538DA" w:rsidRDefault="00B538DA" w:rsidP="00B538DA">
      <w:pPr>
        <w:rPr>
          <w:lang w:val="ru-RU"/>
        </w:rPr>
      </w:pPr>
      <w:r>
        <w:rPr>
          <w:i/>
          <w:iCs/>
          <w:sz w:val="22"/>
          <w:szCs w:val="22"/>
          <w:lang w:val="en-US"/>
        </w:rPr>
        <w:t> </w:t>
      </w:r>
    </w:p>
    <w:p w14:paraId="209F31D5" w14:textId="77777777" w:rsidR="00B538DA" w:rsidRPr="00B538DA" w:rsidRDefault="00B538DA" w:rsidP="00B538DA">
      <w:pPr>
        <w:rPr>
          <w:lang w:val="ru-RU"/>
        </w:rPr>
      </w:pPr>
      <w:r>
        <w:rPr>
          <w:b/>
          <w:bCs/>
          <w:i/>
          <w:iCs/>
          <w:sz w:val="22"/>
          <w:szCs w:val="22"/>
          <w:lang w:val="uk-UA"/>
        </w:rPr>
        <w:t>Довідкова інформація:</w:t>
      </w:r>
      <w:r>
        <w:rPr>
          <w:i/>
          <w:iCs/>
          <w:sz w:val="22"/>
          <w:szCs w:val="22"/>
          <w:lang w:val="uk-UA"/>
        </w:rPr>
        <w:t xml:space="preserve"> Незалежна міжнародна комісія ООН з розслідування порушень в Україні є незалежним органом, дорученим Радою ООН з прав людини, зокрема, розслідувати всі ймовірні порушення та утиски прав людини, порушення міжнародного гуманітарного права та пов’язані із ними злочини в контексті агресії Російської Федерації проти України. До складу Комісії входять Ерік </w:t>
      </w:r>
      <w:proofErr w:type="spellStart"/>
      <w:r>
        <w:rPr>
          <w:i/>
          <w:iCs/>
          <w:sz w:val="22"/>
          <w:szCs w:val="22"/>
          <w:lang w:val="uk-UA"/>
        </w:rPr>
        <w:t>Мьосе</w:t>
      </w:r>
      <w:proofErr w:type="spellEnd"/>
      <w:r>
        <w:rPr>
          <w:i/>
          <w:iCs/>
          <w:sz w:val="22"/>
          <w:szCs w:val="22"/>
          <w:lang w:val="uk-UA"/>
        </w:rPr>
        <w:t xml:space="preserve"> (голова), </w:t>
      </w:r>
      <w:proofErr w:type="spellStart"/>
      <w:r>
        <w:rPr>
          <w:i/>
          <w:iCs/>
          <w:sz w:val="22"/>
          <w:szCs w:val="22"/>
          <w:lang w:val="uk-UA"/>
        </w:rPr>
        <w:t>Пабло</w:t>
      </w:r>
      <w:proofErr w:type="spellEnd"/>
      <w:r>
        <w:rPr>
          <w:i/>
          <w:iCs/>
          <w:sz w:val="22"/>
          <w:szCs w:val="22"/>
          <w:lang w:val="uk-UA"/>
        </w:rPr>
        <w:t xml:space="preserve"> де </w:t>
      </w:r>
      <w:proofErr w:type="spellStart"/>
      <w:r>
        <w:rPr>
          <w:i/>
          <w:iCs/>
          <w:sz w:val="22"/>
          <w:szCs w:val="22"/>
          <w:lang w:val="uk-UA"/>
        </w:rPr>
        <w:t>Грейф</w:t>
      </w:r>
      <w:proofErr w:type="spellEnd"/>
      <w:r>
        <w:rPr>
          <w:i/>
          <w:iCs/>
          <w:sz w:val="22"/>
          <w:szCs w:val="22"/>
          <w:lang w:val="uk-UA"/>
        </w:rPr>
        <w:t xml:space="preserve"> та </w:t>
      </w:r>
      <w:proofErr w:type="spellStart"/>
      <w:r>
        <w:rPr>
          <w:i/>
          <w:iCs/>
          <w:sz w:val="22"/>
          <w:szCs w:val="22"/>
          <w:lang w:val="uk-UA"/>
        </w:rPr>
        <w:t>Врінда</w:t>
      </w:r>
      <w:proofErr w:type="spellEnd"/>
      <w:r>
        <w:rPr>
          <w:i/>
          <w:iCs/>
          <w:sz w:val="22"/>
          <w:szCs w:val="22"/>
          <w:lang w:val="uk-UA"/>
        </w:rPr>
        <w:t xml:space="preserve"> </w:t>
      </w:r>
      <w:proofErr w:type="spellStart"/>
      <w:r>
        <w:rPr>
          <w:i/>
          <w:iCs/>
          <w:sz w:val="22"/>
          <w:szCs w:val="22"/>
          <w:lang w:val="uk-UA"/>
        </w:rPr>
        <w:t>Ґровер</w:t>
      </w:r>
      <w:proofErr w:type="spellEnd"/>
      <w:r>
        <w:rPr>
          <w:i/>
          <w:iCs/>
          <w:sz w:val="22"/>
          <w:szCs w:val="22"/>
          <w:lang w:val="uk-UA"/>
        </w:rPr>
        <w:t>.</w:t>
      </w:r>
    </w:p>
    <w:p w14:paraId="164776CC" w14:textId="77777777" w:rsidR="00B538DA" w:rsidRPr="00B538DA" w:rsidRDefault="00B538DA" w:rsidP="00B538DA">
      <w:pPr>
        <w:rPr>
          <w:lang w:val="ru-RU"/>
        </w:rPr>
      </w:pPr>
      <w:r>
        <w:rPr>
          <w:i/>
          <w:iCs/>
          <w:sz w:val="22"/>
          <w:szCs w:val="22"/>
          <w:lang w:val="en-US"/>
        </w:rPr>
        <w:t> </w:t>
      </w:r>
    </w:p>
    <w:p w14:paraId="4EA52F59" w14:textId="77777777" w:rsidR="00B538DA" w:rsidRPr="00B538DA" w:rsidRDefault="00B538DA" w:rsidP="00B538DA">
      <w:pPr>
        <w:rPr>
          <w:lang w:val="ru-RU"/>
        </w:rPr>
      </w:pPr>
      <w:r>
        <w:rPr>
          <w:b/>
          <w:bCs/>
          <w:i/>
          <w:iCs/>
          <w:sz w:val="22"/>
          <w:szCs w:val="22"/>
          <w:lang w:val="uk-UA"/>
        </w:rPr>
        <w:t>Більше інформації</w:t>
      </w:r>
      <w:r>
        <w:rPr>
          <w:i/>
          <w:iCs/>
          <w:sz w:val="22"/>
          <w:szCs w:val="22"/>
          <w:lang w:val="uk-UA"/>
        </w:rPr>
        <w:t> про роботу Комісії можна знайти за наступним посиланням: </w:t>
      </w:r>
      <w:r w:rsidR="00000000">
        <w:fldChar w:fldCharType="begin"/>
      </w:r>
      <w:r w:rsidR="00000000">
        <w:instrText>HYPERLINK</w:instrText>
      </w:r>
      <w:r w:rsidR="00000000" w:rsidRPr="006C04D1">
        <w:rPr>
          <w:lang w:val="ru-RU"/>
        </w:rPr>
        <w:instrText xml:space="preserve"> "</w:instrText>
      </w:r>
      <w:r w:rsidR="00000000">
        <w:instrText>https</w:instrText>
      </w:r>
      <w:r w:rsidR="00000000" w:rsidRPr="006C04D1">
        <w:rPr>
          <w:lang w:val="ru-RU"/>
        </w:rPr>
        <w:instrText>://</w:instrText>
      </w:r>
      <w:r w:rsidR="00000000">
        <w:instrText>www</w:instrText>
      </w:r>
      <w:r w:rsidR="00000000" w:rsidRPr="006C04D1">
        <w:rPr>
          <w:lang w:val="ru-RU"/>
        </w:rPr>
        <w:instrText>.</w:instrText>
      </w:r>
      <w:r w:rsidR="00000000">
        <w:instrText>ohchr</w:instrText>
      </w:r>
      <w:r w:rsidR="00000000" w:rsidRPr="006C04D1">
        <w:rPr>
          <w:lang w:val="ru-RU"/>
        </w:rPr>
        <w:instrText>.</w:instrText>
      </w:r>
      <w:r w:rsidR="00000000">
        <w:instrText>org</w:instrText>
      </w:r>
      <w:r w:rsidR="00000000" w:rsidRPr="006C04D1">
        <w:rPr>
          <w:lang w:val="ru-RU"/>
        </w:rPr>
        <w:instrText>/</w:instrText>
      </w:r>
      <w:r w:rsidR="00000000">
        <w:instrText>en</w:instrText>
      </w:r>
      <w:r w:rsidR="00000000" w:rsidRPr="006C04D1">
        <w:rPr>
          <w:lang w:val="ru-RU"/>
        </w:rPr>
        <w:instrText>/</w:instrText>
      </w:r>
      <w:r w:rsidR="00000000">
        <w:instrText>hr</w:instrText>
      </w:r>
      <w:r w:rsidR="00000000" w:rsidRPr="006C04D1">
        <w:rPr>
          <w:lang w:val="ru-RU"/>
        </w:rPr>
        <w:instrText>-</w:instrText>
      </w:r>
      <w:r w:rsidR="00000000">
        <w:instrText>bodies</w:instrText>
      </w:r>
      <w:r w:rsidR="00000000" w:rsidRPr="006C04D1">
        <w:rPr>
          <w:lang w:val="ru-RU"/>
        </w:rPr>
        <w:instrText>/</w:instrText>
      </w:r>
      <w:r w:rsidR="00000000">
        <w:instrText>hrc</w:instrText>
      </w:r>
      <w:r w:rsidR="00000000" w:rsidRPr="006C04D1">
        <w:rPr>
          <w:lang w:val="ru-RU"/>
        </w:rPr>
        <w:instrText>/</w:instrText>
      </w:r>
      <w:r w:rsidR="00000000">
        <w:instrText>iicihr</w:instrText>
      </w:r>
      <w:r w:rsidR="00000000" w:rsidRPr="006C04D1">
        <w:rPr>
          <w:lang w:val="ru-RU"/>
        </w:rPr>
        <w:instrText>-</w:instrText>
      </w:r>
      <w:r w:rsidR="00000000">
        <w:instrText>ukraine</w:instrText>
      </w:r>
      <w:r w:rsidR="00000000" w:rsidRPr="006C04D1">
        <w:rPr>
          <w:lang w:val="ru-RU"/>
        </w:rPr>
        <w:instrText>/</w:instrText>
      </w:r>
      <w:r w:rsidR="00000000">
        <w:instrText>index</w:instrText>
      </w:r>
      <w:r w:rsidR="00000000" w:rsidRPr="006C04D1">
        <w:rPr>
          <w:lang w:val="ru-RU"/>
        </w:rPr>
        <w:instrText>"</w:instrText>
      </w:r>
      <w:r w:rsidR="00000000">
        <w:fldChar w:fldCharType="separate"/>
      </w:r>
      <w:r>
        <w:rPr>
          <w:rStyle w:val="Hyperlink"/>
          <w:i/>
          <w:iCs/>
          <w:color w:val="0010FF"/>
          <w:sz w:val="22"/>
          <w:szCs w:val="22"/>
          <w:lang w:val="ru-RU"/>
        </w:rPr>
        <w:t>https://www.ohchr.org/en/hr-bodies/hrc/iicihr-ukraine/index</w:t>
      </w:r>
      <w:r w:rsidR="00000000">
        <w:rPr>
          <w:rStyle w:val="Hyperlink"/>
          <w:i/>
          <w:iCs/>
          <w:color w:val="0010FF"/>
          <w:sz w:val="22"/>
          <w:szCs w:val="22"/>
          <w:lang w:val="ru-RU"/>
        </w:rPr>
        <w:fldChar w:fldCharType="end"/>
      </w:r>
      <w:r w:rsidRPr="00B538DA">
        <w:rPr>
          <w:b/>
          <w:bCs/>
          <w:i/>
          <w:iCs/>
          <w:color w:val="0010FF"/>
          <w:sz w:val="22"/>
          <w:szCs w:val="22"/>
          <w:u w:val="single"/>
          <w:lang w:val="ru-RU"/>
        </w:rPr>
        <w:t xml:space="preserve"> </w:t>
      </w:r>
    </w:p>
    <w:p w14:paraId="32164EDC" w14:textId="77777777" w:rsidR="00B538DA" w:rsidRPr="00B538DA" w:rsidRDefault="00B538DA" w:rsidP="00B538DA">
      <w:pPr>
        <w:rPr>
          <w:lang w:val="ru-RU"/>
        </w:rPr>
      </w:pPr>
      <w:r>
        <w:rPr>
          <w:b/>
          <w:bCs/>
          <w:i/>
          <w:iCs/>
          <w:sz w:val="22"/>
          <w:szCs w:val="22"/>
          <w:lang w:val="en-US"/>
        </w:rPr>
        <w:t> </w:t>
      </w:r>
    </w:p>
    <w:p w14:paraId="1CDC2C7C" w14:textId="77777777" w:rsidR="00B538DA" w:rsidRPr="00B538DA" w:rsidRDefault="00B538DA" w:rsidP="00B538DA">
      <w:pPr>
        <w:rPr>
          <w:lang w:val="ru-RU"/>
        </w:rPr>
      </w:pPr>
      <w:r>
        <w:rPr>
          <w:b/>
          <w:bCs/>
          <w:i/>
          <w:iCs/>
          <w:sz w:val="22"/>
          <w:szCs w:val="22"/>
          <w:lang w:val="uk-UA"/>
        </w:rPr>
        <w:t>Для запитів ЗМІ, будь ласка, зв’яжіться з наступними співробітниками:</w:t>
      </w:r>
      <w:r>
        <w:rPr>
          <w:i/>
          <w:iCs/>
          <w:sz w:val="22"/>
          <w:szCs w:val="22"/>
          <w:lang w:val="uk-UA"/>
        </w:rPr>
        <w:t xml:space="preserve"> </w:t>
      </w:r>
      <w:proofErr w:type="spellStart"/>
      <w:r>
        <w:rPr>
          <w:i/>
          <w:iCs/>
          <w:sz w:val="22"/>
          <w:szCs w:val="22"/>
          <w:lang w:val="uk-UA"/>
        </w:rPr>
        <w:t>Саулє</w:t>
      </w:r>
      <w:proofErr w:type="spellEnd"/>
      <w:r>
        <w:rPr>
          <w:i/>
          <w:iCs/>
          <w:sz w:val="22"/>
          <w:szCs w:val="22"/>
          <w:lang w:val="uk-UA"/>
        </w:rPr>
        <w:t xml:space="preserve"> </w:t>
      </w:r>
      <w:proofErr w:type="spellStart"/>
      <w:r>
        <w:rPr>
          <w:i/>
          <w:iCs/>
          <w:sz w:val="22"/>
          <w:szCs w:val="22"/>
          <w:lang w:val="uk-UA"/>
        </w:rPr>
        <w:t>Мухаметрахімова</w:t>
      </w:r>
      <w:proofErr w:type="spellEnd"/>
      <w:r>
        <w:rPr>
          <w:i/>
          <w:iCs/>
          <w:sz w:val="22"/>
          <w:szCs w:val="22"/>
          <w:lang w:val="uk-UA"/>
        </w:rPr>
        <w:t xml:space="preserve">, радниця зі </w:t>
      </w:r>
      <w:proofErr w:type="spellStart"/>
      <w:r>
        <w:rPr>
          <w:i/>
          <w:iCs/>
          <w:sz w:val="22"/>
          <w:szCs w:val="22"/>
          <w:lang w:val="uk-UA"/>
        </w:rPr>
        <w:t>зв’язків</w:t>
      </w:r>
      <w:proofErr w:type="spellEnd"/>
      <w:r>
        <w:rPr>
          <w:i/>
          <w:iCs/>
          <w:sz w:val="22"/>
          <w:szCs w:val="22"/>
          <w:lang w:val="uk-UA"/>
        </w:rPr>
        <w:t xml:space="preserve"> із засобами масової інформації при  Комісії з розслідування порушень в Україні, </w:t>
      </w:r>
      <w:r w:rsidR="00000000">
        <w:fldChar w:fldCharType="begin"/>
      </w:r>
      <w:r w:rsidR="00000000">
        <w:instrText>HYPERLINK</w:instrText>
      </w:r>
      <w:r w:rsidR="00000000" w:rsidRPr="006C04D1">
        <w:rPr>
          <w:lang w:val="ru-RU"/>
        </w:rPr>
        <w:instrText xml:space="preserve"> "</w:instrText>
      </w:r>
      <w:r w:rsidR="00000000">
        <w:instrText>mailto</w:instrText>
      </w:r>
      <w:r w:rsidR="00000000" w:rsidRPr="006C04D1">
        <w:rPr>
          <w:lang w:val="ru-RU"/>
        </w:rPr>
        <w:instrText>:</w:instrText>
      </w:r>
      <w:r w:rsidR="00000000">
        <w:instrText>saule</w:instrText>
      </w:r>
      <w:r w:rsidR="00000000" w:rsidRPr="006C04D1">
        <w:rPr>
          <w:lang w:val="ru-RU"/>
        </w:rPr>
        <w:instrText>.</w:instrText>
      </w:r>
      <w:r w:rsidR="00000000">
        <w:instrText>mukhametrakhimova</w:instrText>
      </w:r>
      <w:r w:rsidR="00000000" w:rsidRPr="006C04D1">
        <w:rPr>
          <w:lang w:val="ru-RU"/>
        </w:rPr>
        <w:instrText>@</w:instrText>
      </w:r>
      <w:r w:rsidR="00000000">
        <w:instrText>un</w:instrText>
      </w:r>
      <w:r w:rsidR="00000000" w:rsidRPr="006C04D1">
        <w:rPr>
          <w:lang w:val="ru-RU"/>
        </w:rPr>
        <w:instrText>.</w:instrText>
      </w:r>
      <w:r w:rsidR="00000000">
        <w:instrText>org</w:instrText>
      </w:r>
      <w:r w:rsidR="00000000" w:rsidRPr="006C04D1">
        <w:rPr>
          <w:lang w:val="ru-RU"/>
        </w:rPr>
        <w:instrText>"</w:instrText>
      </w:r>
      <w:r w:rsidR="00000000">
        <w:fldChar w:fldCharType="separate"/>
      </w:r>
      <w:r>
        <w:rPr>
          <w:rStyle w:val="Hyperlink"/>
          <w:i/>
          <w:iCs/>
          <w:color w:val="0010FF"/>
          <w:sz w:val="22"/>
          <w:szCs w:val="22"/>
          <w:lang w:val="uk-UA"/>
        </w:rPr>
        <w:t>saule.mukhametrakhimova@un.org</w:t>
      </w:r>
      <w:r w:rsidR="00000000">
        <w:rPr>
          <w:rStyle w:val="Hyperlink"/>
          <w:i/>
          <w:iCs/>
          <w:color w:val="0010FF"/>
          <w:sz w:val="22"/>
          <w:szCs w:val="22"/>
          <w:lang w:val="uk-UA"/>
        </w:rPr>
        <w:fldChar w:fldCharType="end"/>
      </w:r>
      <w:r w:rsidRPr="00B538DA">
        <w:rPr>
          <w:i/>
          <w:iCs/>
          <w:color w:val="0010FF"/>
          <w:sz w:val="22"/>
          <w:szCs w:val="22"/>
          <w:lang w:val="ru-RU"/>
        </w:rPr>
        <w:t xml:space="preserve"> </w:t>
      </w:r>
      <w:r>
        <w:rPr>
          <w:i/>
          <w:iCs/>
          <w:sz w:val="22"/>
          <w:szCs w:val="22"/>
          <w:lang w:val="uk-UA"/>
        </w:rPr>
        <w:t xml:space="preserve">або (+43-1) 26060-83450 або (+43 676) 3493464; </w:t>
      </w:r>
      <w:proofErr w:type="spellStart"/>
      <w:r>
        <w:rPr>
          <w:i/>
          <w:iCs/>
          <w:sz w:val="22"/>
          <w:szCs w:val="22"/>
          <w:lang w:val="uk-UA"/>
        </w:rPr>
        <w:t>Тод</w:t>
      </w:r>
      <w:proofErr w:type="spellEnd"/>
      <w:r>
        <w:rPr>
          <w:i/>
          <w:iCs/>
          <w:sz w:val="22"/>
          <w:szCs w:val="22"/>
          <w:lang w:val="uk-UA"/>
        </w:rPr>
        <w:t xml:space="preserve"> </w:t>
      </w:r>
      <w:proofErr w:type="spellStart"/>
      <w:r>
        <w:rPr>
          <w:i/>
          <w:iCs/>
          <w:sz w:val="22"/>
          <w:szCs w:val="22"/>
          <w:lang w:val="uk-UA"/>
        </w:rPr>
        <w:t>Пітман</w:t>
      </w:r>
      <w:proofErr w:type="spellEnd"/>
      <w:r>
        <w:rPr>
          <w:i/>
          <w:iCs/>
          <w:sz w:val="22"/>
          <w:szCs w:val="22"/>
          <w:lang w:val="uk-UA"/>
        </w:rPr>
        <w:t xml:space="preserve">, радник зі </w:t>
      </w:r>
      <w:proofErr w:type="spellStart"/>
      <w:r>
        <w:rPr>
          <w:i/>
          <w:iCs/>
          <w:sz w:val="22"/>
          <w:szCs w:val="22"/>
          <w:lang w:val="uk-UA"/>
        </w:rPr>
        <w:t>зв’язків</w:t>
      </w:r>
      <w:proofErr w:type="spellEnd"/>
      <w:r>
        <w:rPr>
          <w:i/>
          <w:iCs/>
          <w:sz w:val="22"/>
          <w:szCs w:val="22"/>
          <w:lang w:val="uk-UA"/>
        </w:rPr>
        <w:t xml:space="preserve"> із засобами масової інформації відділу підтримки розслідувань Ради ООН з прав людини, </w:t>
      </w:r>
      <w:hyperlink r:id="rId7" w:history="1">
        <w:r>
          <w:rPr>
            <w:rStyle w:val="Hyperlink"/>
            <w:i/>
            <w:iCs/>
            <w:color w:val="0010FF"/>
            <w:sz w:val="22"/>
            <w:szCs w:val="22"/>
            <w:lang w:val="uk-UA"/>
          </w:rPr>
          <w:t>todd.pitman@un.org</w:t>
        </w:r>
      </w:hyperlink>
      <w:r w:rsidRPr="00B538DA">
        <w:rPr>
          <w:i/>
          <w:iCs/>
          <w:color w:val="0010FF"/>
          <w:sz w:val="22"/>
          <w:szCs w:val="22"/>
          <w:lang w:val="ru-RU"/>
        </w:rPr>
        <w:t xml:space="preserve"> </w:t>
      </w:r>
      <w:r>
        <w:rPr>
          <w:i/>
          <w:iCs/>
          <w:sz w:val="22"/>
          <w:szCs w:val="22"/>
          <w:lang w:val="uk-UA"/>
        </w:rPr>
        <w:t>або (+41) 76 691 1761.</w:t>
      </w:r>
    </w:p>
    <w:p w14:paraId="45A34D5D" w14:textId="77777777" w:rsidR="00B538DA" w:rsidRPr="00B538DA" w:rsidRDefault="00B538DA" w:rsidP="00B538DA">
      <w:pPr>
        <w:rPr>
          <w:lang w:val="ru-RU"/>
        </w:rPr>
      </w:pPr>
      <w:r>
        <w:rPr>
          <w:i/>
          <w:iCs/>
          <w:sz w:val="22"/>
          <w:szCs w:val="22"/>
          <w:lang w:val="uk-UA"/>
        </w:rPr>
        <w:t> </w:t>
      </w:r>
    </w:p>
    <w:p w14:paraId="24DBCB18" w14:textId="77777777" w:rsidR="00B538DA" w:rsidRPr="00B538DA" w:rsidRDefault="00B538DA" w:rsidP="00B538DA">
      <w:pPr>
        <w:rPr>
          <w:lang w:val="ru-RU"/>
        </w:rPr>
      </w:pPr>
      <w:r>
        <w:rPr>
          <w:i/>
          <w:iCs/>
          <w:sz w:val="22"/>
          <w:szCs w:val="22"/>
          <w:lang w:val="uk-UA"/>
        </w:rPr>
        <w:t> </w:t>
      </w:r>
    </w:p>
    <w:p w14:paraId="1F0B172F" w14:textId="77777777" w:rsidR="00B538DA" w:rsidRPr="00B538DA" w:rsidRDefault="00B538DA" w:rsidP="00B538DA">
      <w:pPr>
        <w:rPr>
          <w:lang w:val="ru-RU"/>
        </w:rPr>
      </w:pPr>
      <w:r>
        <w:t> </w:t>
      </w:r>
    </w:p>
    <w:p w14:paraId="07853A26" w14:textId="77777777" w:rsidR="00B538DA" w:rsidRPr="00B538DA" w:rsidRDefault="00B538DA" w:rsidP="00B538DA">
      <w:pPr>
        <w:rPr>
          <w:lang w:val="ru-RU"/>
        </w:rPr>
      </w:pPr>
      <w:r>
        <w:rPr>
          <w:sz w:val="22"/>
          <w:szCs w:val="22"/>
        </w:rPr>
        <w:t> </w:t>
      </w:r>
    </w:p>
    <w:p w14:paraId="1D146FA4" w14:textId="77777777" w:rsidR="00B538DA" w:rsidRPr="00B538DA" w:rsidRDefault="00B538DA" w:rsidP="00B538DA">
      <w:pPr>
        <w:rPr>
          <w:lang w:val="ru-RU"/>
        </w:rPr>
      </w:pPr>
      <w:r>
        <w:rPr>
          <w:sz w:val="22"/>
          <w:szCs w:val="22"/>
        </w:rPr>
        <w:t> </w:t>
      </w:r>
    </w:p>
    <w:p w14:paraId="340BA405" w14:textId="77777777" w:rsidR="00B538DA" w:rsidRPr="00B538DA" w:rsidRDefault="00B538DA" w:rsidP="00B538DA">
      <w:pPr>
        <w:rPr>
          <w:lang w:val="ru-RU"/>
        </w:rPr>
      </w:pPr>
      <w:r>
        <w:rPr>
          <w:rFonts w:ascii="Aptos" w:hAnsi="Aptos"/>
          <w:sz w:val="22"/>
          <w:szCs w:val="22"/>
          <w:lang w:val="en-US"/>
        </w:rPr>
        <w:t> </w:t>
      </w:r>
    </w:p>
    <w:p w14:paraId="5BC3EAE6" w14:textId="77777777" w:rsidR="00041671" w:rsidRPr="00B538DA" w:rsidRDefault="00041671">
      <w:pPr>
        <w:rPr>
          <w:lang w:val="ru-RU"/>
        </w:rPr>
      </w:pPr>
    </w:p>
    <w:sectPr w:rsidR="00041671" w:rsidRPr="00B538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B672" w14:textId="77777777" w:rsidR="003D4EC8" w:rsidRDefault="003D4EC8" w:rsidP="00B538DA">
      <w:r>
        <w:separator/>
      </w:r>
    </w:p>
  </w:endnote>
  <w:endnote w:type="continuationSeparator" w:id="0">
    <w:p w14:paraId="5CB29335" w14:textId="77777777" w:rsidR="003D4EC8" w:rsidRDefault="003D4EC8" w:rsidP="00B5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C266" w14:textId="77777777" w:rsidR="003D4EC8" w:rsidRDefault="003D4EC8" w:rsidP="00B538DA">
      <w:r>
        <w:separator/>
      </w:r>
    </w:p>
  </w:footnote>
  <w:footnote w:type="continuationSeparator" w:id="0">
    <w:p w14:paraId="42510BF6" w14:textId="77777777" w:rsidR="003D4EC8" w:rsidRDefault="003D4EC8" w:rsidP="00B53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BE2"/>
    <w:rsid w:val="00041671"/>
    <w:rsid w:val="00174BE2"/>
    <w:rsid w:val="003D4EC8"/>
    <w:rsid w:val="006C04D1"/>
    <w:rsid w:val="00B538DA"/>
    <w:rsid w:val="00FA5D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7A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DA"/>
    <w:pPr>
      <w:spacing w:after="0" w:line="240" w:lineRule="auto"/>
    </w:pPr>
    <w:rPr>
      <w:rFonts w:ascii="Calibri"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DA"/>
    <w:pPr>
      <w:tabs>
        <w:tab w:val="center" w:pos="4513"/>
        <w:tab w:val="right" w:pos="9026"/>
      </w:tabs>
    </w:pPr>
    <w:rPr>
      <w:rFonts w:ascii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B538DA"/>
  </w:style>
  <w:style w:type="paragraph" w:styleId="Footer">
    <w:name w:val="footer"/>
    <w:basedOn w:val="Normal"/>
    <w:link w:val="FooterChar"/>
    <w:uiPriority w:val="99"/>
    <w:unhideWhenUsed/>
    <w:rsid w:val="00B538DA"/>
    <w:pPr>
      <w:tabs>
        <w:tab w:val="center" w:pos="4513"/>
        <w:tab w:val="right" w:pos="9026"/>
      </w:tabs>
    </w:pPr>
    <w:rPr>
      <w:rFonts w:ascii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B538DA"/>
  </w:style>
  <w:style w:type="character" w:styleId="Hyperlink">
    <w:name w:val="Hyperlink"/>
    <w:basedOn w:val="DefaultParagraphFont"/>
    <w:uiPriority w:val="99"/>
    <w:semiHidden/>
    <w:unhideWhenUsed/>
    <w:rsid w:val="00B538D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13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odd.pitman@un.org"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sites/default/files/documents/hrbodies/hrcouncil/coiukraine/COI-Ukraine-executive-summary-UA.pdf"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D56DB16371941B4A49EC39CDE7FC0" ma:contentTypeVersion="15" ma:contentTypeDescription="Create a new document." ma:contentTypeScope="" ma:versionID="2bfaedbfbc1f5f0a3fd9e0007e5ea375">
  <xsd:schema xmlns:xsd="http://www.w3.org/2001/XMLSchema" xmlns:xs="http://www.w3.org/2001/XMLSchema" xmlns:p="http://schemas.microsoft.com/office/2006/metadata/properties" xmlns:ns2="472066fe-6871-4755-a034-3d84fb48fbc9" xmlns:ns3="64355c6b-c987-4160-bb25-62777c98a04a" targetNamespace="http://schemas.microsoft.com/office/2006/metadata/properties" ma:root="true" ma:fieldsID="71d1ca0c440c02db3fee4e8e95f36b0c" ns2:_="" ns3:_="">
    <xsd:import namespace="472066fe-6871-4755-a034-3d84fb48fbc9"/>
    <xsd:import namespace="64355c6b-c987-4160-bb25-62777c98a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066fe-6871-4755-a034-3d84fb48f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55c6b-c987-4160-bb25-62777c98a0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206010-d535-4c8b-bcf8-2b1f3fdafa21}" ma:internalName="TaxCatchAll" ma:showField="CatchAllData" ma:web="64355c6b-c987-4160-bb25-62777c98a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355c6b-c987-4160-bb25-62777c98a04a" xsi:nil="true"/>
    <lcf76f155ced4ddcb4097134ff3c332f xmlns="472066fe-6871-4755-a034-3d84fb48fb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DD9B87-0553-497F-B332-73A885668475}"/>
</file>

<file path=customXml/itemProps2.xml><?xml version="1.0" encoding="utf-8"?>
<ds:datastoreItem xmlns:ds="http://schemas.openxmlformats.org/officeDocument/2006/customXml" ds:itemID="{8D66C9FD-7B65-4FE9-9DC5-44ECC24DC65F}"/>
</file>

<file path=customXml/itemProps3.xml><?xml version="1.0" encoding="utf-8"?>
<ds:datastoreItem xmlns:ds="http://schemas.openxmlformats.org/officeDocument/2006/customXml" ds:itemID="{1B49A4D8-1AC7-4227-B495-C5F056D1449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2024-10-29T23:30:00Z</dcterms:created>
  <dcterms:modified xsi:type="dcterms:W3CDTF">2024-10-29T23:30:00Z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0x0101005C6D56DB16371941B4A49EC39CDE7FC0</vt:lpwstr>
  </property>
</Properties>
</file>