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2491D" w14:textId="611D84D6" w:rsidR="00492B05" w:rsidRDefault="00492B05" w:rsidP="00AA33A1">
      <w:pPr>
        <w:spacing w:before="120"/>
        <w:ind w:left="426"/>
        <w:rPr>
          <w:b/>
          <w:bCs/>
          <w:sz w:val="32"/>
          <w:szCs w:val="32"/>
        </w:rPr>
      </w:pPr>
      <w:r w:rsidRPr="00593D73">
        <w:rPr>
          <w:noProof/>
          <w:color w:val="FF0000"/>
          <w:lang w:val="fr-CH" w:eastAsia="fr-CH"/>
        </w:rPr>
        <w:drawing>
          <wp:anchor distT="0" distB="0" distL="114300" distR="114300" simplePos="0" relativeHeight="251660288" behindDoc="0" locked="0" layoutInCell="1" allowOverlap="1" wp14:anchorId="04BA6430" wp14:editId="78572D8C">
            <wp:simplePos x="0" y="0"/>
            <wp:positionH relativeFrom="column">
              <wp:posOffset>400685</wp:posOffset>
            </wp:positionH>
            <wp:positionV relativeFrom="paragraph">
              <wp:posOffset>-405130</wp:posOffset>
            </wp:positionV>
            <wp:extent cx="1171575" cy="968502"/>
            <wp:effectExtent l="0" t="0" r="0" b="3175"/>
            <wp:wrapNone/>
            <wp:docPr id="1626609699" name="Picture 1626609699"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9685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3FA57" w14:textId="77777777" w:rsidR="00492B05" w:rsidRDefault="00492B05" w:rsidP="00AA33A1">
      <w:pPr>
        <w:spacing w:before="120"/>
        <w:ind w:left="426"/>
        <w:rPr>
          <w:b/>
          <w:bCs/>
          <w:sz w:val="32"/>
          <w:szCs w:val="32"/>
        </w:rPr>
      </w:pPr>
    </w:p>
    <w:p w14:paraId="5C91BEE4" w14:textId="77777777" w:rsidR="00492B05" w:rsidRDefault="00492B05" w:rsidP="00AA33A1">
      <w:pPr>
        <w:spacing w:before="120"/>
        <w:ind w:left="426"/>
        <w:rPr>
          <w:b/>
          <w:bCs/>
          <w:sz w:val="32"/>
          <w:szCs w:val="32"/>
        </w:rPr>
      </w:pPr>
    </w:p>
    <w:p w14:paraId="5E86C77E" w14:textId="77777777" w:rsidR="00492B05" w:rsidRDefault="00492B05" w:rsidP="00AA33A1">
      <w:pPr>
        <w:spacing w:before="120"/>
        <w:ind w:left="426"/>
        <w:rPr>
          <w:b/>
          <w:bCs/>
          <w:sz w:val="32"/>
          <w:szCs w:val="32"/>
        </w:rPr>
      </w:pPr>
    </w:p>
    <w:p w14:paraId="1667B0CF" w14:textId="1AFC5CF4" w:rsidR="00AA33A1" w:rsidRPr="00AA33A1" w:rsidRDefault="00AA33A1" w:rsidP="00AA33A1">
      <w:pPr>
        <w:spacing w:before="120"/>
        <w:ind w:left="426"/>
        <w:rPr>
          <w:b/>
          <w:bCs/>
          <w:sz w:val="32"/>
          <w:szCs w:val="32"/>
        </w:rPr>
      </w:pPr>
      <w:r w:rsidRPr="00AB626C">
        <w:rPr>
          <w:b/>
          <w:bCs/>
          <w:sz w:val="32"/>
          <w:szCs w:val="32"/>
        </w:rPr>
        <w:t>53</w:t>
      </w:r>
      <w:r w:rsidRPr="00C700BD">
        <w:rPr>
          <w:b/>
          <w:bCs/>
          <w:sz w:val="32"/>
          <w:szCs w:val="32"/>
          <w:vertAlign w:val="superscript"/>
        </w:rPr>
        <w:t>rd</w:t>
      </w:r>
      <w:r w:rsidR="00C700BD">
        <w:rPr>
          <w:b/>
          <w:bCs/>
          <w:sz w:val="32"/>
          <w:szCs w:val="32"/>
        </w:rPr>
        <w:t xml:space="preserve"> </w:t>
      </w:r>
      <w:r w:rsidRPr="00AB626C">
        <w:rPr>
          <w:b/>
          <w:bCs/>
          <w:sz w:val="32"/>
          <w:szCs w:val="32"/>
        </w:rPr>
        <w:t xml:space="preserve">Session of the </w:t>
      </w:r>
      <w:r w:rsidRPr="00AA33A1">
        <w:rPr>
          <w:b/>
          <w:bCs/>
          <w:sz w:val="32"/>
          <w:szCs w:val="32"/>
        </w:rPr>
        <w:t>Human Rights Council</w:t>
      </w:r>
    </w:p>
    <w:p w14:paraId="3F3AD085" w14:textId="6A254F41" w:rsidR="00AA33A1" w:rsidRPr="00AA33A1" w:rsidRDefault="00AA33A1" w:rsidP="00AA33A1">
      <w:pPr>
        <w:spacing w:before="120"/>
        <w:ind w:left="426"/>
        <w:rPr>
          <w:b/>
          <w:bCs/>
          <w:sz w:val="32"/>
          <w:szCs w:val="32"/>
        </w:rPr>
      </w:pPr>
      <w:r w:rsidRPr="00AA33A1">
        <w:rPr>
          <w:b/>
          <w:bCs/>
          <w:sz w:val="32"/>
          <w:szCs w:val="32"/>
        </w:rPr>
        <w:t>19 June – 14 July</w:t>
      </w:r>
    </w:p>
    <w:p w14:paraId="39F7F15C" w14:textId="77777777" w:rsidR="00AA33A1" w:rsidRDefault="00AA33A1" w:rsidP="00AA33A1">
      <w:pPr>
        <w:ind w:left="426"/>
        <w:rPr>
          <w:sz w:val="28"/>
          <w:szCs w:val="28"/>
        </w:rPr>
      </w:pPr>
    </w:p>
    <w:p w14:paraId="22F6B890" w14:textId="579576C6" w:rsidR="00AA33A1" w:rsidRDefault="00AA33A1" w:rsidP="00AA33A1">
      <w:pPr>
        <w:ind w:left="426"/>
        <w:rPr>
          <w:sz w:val="28"/>
          <w:szCs w:val="28"/>
        </w:rPr>
      </w:pPr>
      <w:r w:rsidRPr="00AB626C">
        <w:rPr>
          <w:sz w:val="28"/>
          <w:szCs w:val="28"/>
        </w:rPr>
        <w:t>Plain English version of</w:t>
      </w:r>
      <w:r w:rsidR="004B2CD9">
        <w:rPr>
          <w:sz w:val="28"/>
          <w:szCs w:val="28"/>
        </w:rPr>
        <w:t xml:space="preserve"> </w:t>
      </w:r>
      <w:r w:rsidR="004B2CD9" w:rsidRPr="004B2CD9">
        <w:rPr>
          <w:sz w:val="28"/>
          <w:szCs w:val="28"/>
        </w:rPr>
        <w:t>UN Symbol Number A/HRC/</w:t>
      </w:r>
      <w:r w:rsidR="004B2CD9">
        <w:rPr>
          <w:sz w:val="28"/>
          <w:szCs w:val="28"/>
        </w:rPr>
        <w:t>53</w:t>
      </w:r>
      <w:r w:rsidR="004B2CD9" w:rsidRPr="004B2CD9">
        <w:rPr>
          <w:sz w:val="28"/>
          <w:szCs w:val="28"/>
        </w:rPr>
        <w:t>/</w:t>
      </w:r>
      <w:r w:rsidR="004B2CD9">
        <w:rPr>
          <w:sz w:val="28"/>
          <w:szCs w:val="28"/>
        </w:rPr>
        <w:t>50</w:t>
      </w:r>
      <w:r w:rsidRPr="00AB626C">
        <w:rPr>
          <w:sz w:val="28"/>
          <w:szCs w:val="28"/>
        </w:rPr>
        <w:t>:</w:t>
      </w:r>
    </w:p>
    <w:p w14:paraId="7BDF1F7B" w14:textId="058C4E67" w:rsidR="00453D20" w:rsidRDefault="00AA33A1" w:rsidP="00453D20">
      <w:pPr>
        <w:pStyle w:val="HChG"/>
        <w:ind w:left="426"/>
      </w:pPr>
      <w:r>
        <w:tab/>
      </w:r>
      <w:r>
        <w:tab/>
      </w:r>
      <w:r w:rsidR="00453D20">
        <w:t>Good practices on how everyone can:</w:t>
      </w:r>
    </w:p>
    <w:p w14:paraId="39C79B1C" w14:textId="11537257" w:rsidR="00453D20" w:rsidRDefault="00453D20" w:rsidP="00593D73">
      <w:pPr>
        <w:pStyle w:val="HChG"/>
        <w:ind w:left="426" w:firstLine="283"/>
      </w:pPr>
      <w:r>
        <w:t>A) get medicines, vaccines and other health products, and</w:t>
      </w:r>
    </w:p>
    <w:p w14:paraId="6D8B1468" w14:textId="4B95F708" w:rsidR="00AA33A1" w:rsidRDefault="00453D20" w:rsidP="00593D73">
      <w:pPr>
        <w:pStyle w:val="HChG"/>
        <w:ind w:left="426" w:firstLine="283"/>
      </w:pPr>
      <w:r>
        <w:t>B) get the best levels of physical and mental health</w:t>
      </w:r>
      <w:r w:rsidR="00AD07F3">
        <w:rPr>
          <w:rStyle w:val="EndnoteReference"/>
        </w:rPr>
        <w:endnoteReference w:id="2"/>
      </w:r>
      <w:r>
        <w:t xml:space="preserve"> </w:t>
      </w:r>
      <w:r w:rsidR="00AA33A1">
        <w:t xml:space="preserve"> </w:t>
      </w:r>
    </w:p>
    <w:p w14:paraId="38B9ACD0" w14:textId="77777777" w:rsidR="00453D20" w:rsidRPr="00593D73" w:rsidRDefault="00453D20" w:rsidP="00593D73">
      <w:pPr>
        <w:rPr>
          <w:lang w:val="en-US"/>
        </w:rPr>
      </w:pPr>
    </w:p>
    <w:p w14:paraId="722F7996" w14:textId="72A8749F" w:rsidR="00AA33A1" w:rsidRDefault="00AA33A1" w:rsidP="00593D73">
      <w:pPr>
        <w:ind w:left="426"/>
        <w:rPr>
          <w:b/>
          <w:sz w:val="24"/>
          <w:szCs w:val="24"/>
        </w:rPr>
      </w:pPr>
      <w:r w:rsidRPr="00341436">
        <w:t xml:space="preserve">Report of the </w:t>
      </w:r>
      <w:r>
        <w:t xml:space="preserve">Office of the </w:t>
      </w:r>
      <w:r w:rsidRPr="00341436">
        <w:t>United Nations High Commissioner for Human Rights</w:t>
      </w:r>
    </w:p>
    <w:p w14:paraId="24ED930D" w14:textId="760CB0DB" w:rsidR="00E80810" w:rsidRDefault="00E80810" w:rsidP="00E80810">
      <w:pPr>
        <w:pStyle w:val="H1G"/>
      </w:pPr>
      <w:r w:rsidRPr="00341436">
        <w:tab/>
      </w:r>
    </w:p>
    <w:tbl>
      <w:tblPr>
        <w:tblStyle w:val="TableGrid"/>
        <w:tblW w:w="0" w:type="auto"/>
        <w:jc w:val="center"/>
        <w:tblCellMar>
          <w:left w:w="0" w:type="dxa"/>
          <w:right w:w="0" w:type="dxa"/>
        </w:tblCellMar>
        <w:tblLook w:val="05E0" w:firstRow="1" w:lastRow="1" w:firstColumn="1" w:lastColumn="1" w:noHBand="0" w:noVBand="1"/>
      </w:tblPr>
      <w:tblGrid>
        <w:gridCol w:w="9629"/>
      </w:tblGrid>
      <w:tr w:rsidR="00DC77B7" w14:paraId="65A4875D" w14:textId="77777777" w:rsidTr="4872E539">
        <w:trPr>
          <w:jc w:val="center"/>
        </w:trPr>
        <w:tc>
          <w:tcPr>
            <w:tcW w:w="9637" w:type="dxa"/>
            <w:tcBorders>
              <w:bottom w:val="nil"/>
            </w:tcBorders>
          </w:tcPr>
          <w:p w14:paraId="5EC92530" w14:textId="218AF7E7" w:rsidR="00DC77B7" w:rsidRPr="00DC77B7" w:rsidRDefault="00AA33A1" w:rsidP="00593D73">
            <w:pPr>
              <w:tabs>
                <w:tab w:val="left" w:pos="1276"/>
              </w:tabs>
              <w:suppressAutoHyphens w:val="0"/>
              <w:spacing w:before="240" w:after="120"/>
              <w:ind w:left="426" w:right="275"/>
              <w:rPr>
                <w:sz w:val="24"/>
              </w:rPr>
            </w:pPr>
            <w:r w:rsidRPr="00AB626C">
              <w:rPr>
                <w:i/>
                <w:sz w:val="24"/>
                <w:szCs w:val="24"/>
              </w:rPr>
              <w:t>What is the aim of this document?</w:t>
            </w:r>
          </w:p>
        </w:tc>
      </w:tr>
      <w:tr w:rsidR="00DC77B7" w14:paraId="7068C36F" w14:textId="77777777" w:rsidTr="4872E539">
        <w:trPr>
          <w:jc w:val="center"/>
        </w:trPr>
        <w:tc>
          <w:tcPr>
            <w:tcW w:w="9637" w:type="dxa"/>
            <w:tcBorders>
              <w:top w:val="nil"/>
              <w:bottom w:val="nil"/>
            </w:tcBorders>
            <w:shd w:val="clear" w:color="auto" w:fill="auto"/>
          </w:tcPr>
          <w:p w14:paraId="73E9EE52" w14:textId="4FC0C121" w:rsidR="00DC77B7" w:rsidRDefault="2B4A4D3E" w:rsidP="00593D73">
            <w:pPr>
              <w:pStyle w:val="SingleTxtG"/>
              <w:ind w:left="426"/>
            </w:pPr>
            <w:r>
              <w:t>T</w:t>
            </w:r>
            <w:r w:rsidR="00C700BD">
              <w:t xml:space="preserve">his </w:t>
            </w:r>
            <w:r w:rsidR="00AD07F3">
              <w:t>document</w:t>
            </w:r>
            <w:r>
              <w:t xml:space="preserve">, prepared </w:t>
            </w:r>
            <w:r w:rsidR="00AA33A1">
              <w:t xml:space="preserve">under </w:t>
            </w:r>
            <w:r>
              <w:t xml:space="preserve">Human Rights Council resolution 50/13, </w:t>
            </w:r>
            <w:r w:rsidR="00EC6C04">
              <w:t xml:space="preserve">presents </w:t>
            </w:r>
            <w:r>
              <w:t xml:space="preserve">an overview of good practices </w:t>
            </w:r>
            <w:r w:rsidR="00EC6C04">
              <w:t xml:space="preserve">on how everyone can get </w:t>
            </w:r>
            <w:r>
              <w:t xml:space="preserve">access to medicines, vaccines and other health products, including policies and interventions that can </w:t>
            </w:r>
            <w:r w:rsidR="00EC6C04">
              <w:t>help in this process</w:t>
            </w:r>
            <w:r>
              <w:t>.</w:t>
            </w:r>
          </w:p>
        </w:tc>
      </w:tr>
      <w:tr w:rsidR="00DC77B7" w14:paraId="72FDB838" w14:textId="77777777" w:rsidTr="4872E539">
        <w:trPr>
          <w:jc w:val="center"/>
        </w:trPr>
        <w:tc>
          <w:tcPr>
            <w:tcW w:w="9637" w:type="dxa"/>
            <w:tcBorders>
              <w:top w:val="nil"/>
              <w:bottom w:val="nil"/>
            </w:tcBorders>
          </w:tcPr>
          <w:p w14:paraId="2E7FA90A" w14:textId="34C6137B" w:rsidR="00C700BD" w:rsidRDefault="00C700BD">
            <w:pPr>
              <w:pStyle w:val="SingleTxtG"/>
              <w:ind w:left="426"/>
            </w:pPr>
            <w:r>
              <w:rPr>
                <w:i/>
                <w:sz w:val="24"/>
                <w:szCs w:val="24"/>
              </w:rPr>
              <w:t>How can these good practices be achieved?</w:t>
            </w:r>
          </w:p>
          <w:p w14:paraId="2A80FAB6" w14:textId="4D64C967" w:rsidR="00C700BD" w:rsidRDefault="00C700BD">
            <w:pPr>
              <w:pStyle w:val="SingleTxtG"/>
              <w:ind w:left="426"/>
            </w:pPr>
            <w:r>
              <w:t>G</w:t>
            </w:r>
            <w:r w:rsidRPr="00341436">
              <w:t>overnments, pharmaceutical companies, health</w:t>
            </w:r>
            <w:r w:rsidR="000101E1">
              <w:t>-</w:t>
            </w:r>
            <w:r w:rsidRPr="00341436">
              <w:t>care providers and international organizations</w:t>
            </w:r>
            <w:r>
              <w:t xml:space="preserve"> must work together to ensure that </w:t>
            </w:r>
            <w:r w:rsidRPr="00341436">
              <w:t xml:space="preserve">medicines, vaccines and other health products </w:t>
            </w:r>
            <w:r>
              <w:t xml:space="preserve">are </w:t>
            </w:r>
            <w:r w:rsidR="00DC77B7" w:rsidRPr="00341436">
              <w:t>availab</w:t>
            </w:r>
            <w:r>
              <w:t>le</w:t>
            </w:r>
            <w:r w:rsidR="00DC77B7" w:rsidRPr="00341436">
              <w:t>, accessib</w:t>
            </w:r>
            <w:r>
              <w:t>le</w:t>
            </w:r>
            <w:r w:rsidR="00DC77B7" w:rsidRPr="00341436">
              <w:t>, acceptab</w:t>
            </w:r>
            <w:r>
              <w:t xml:space="preserve">le and of high </w:t>
            </w:r>
            <w:r w:rsidR="00DC77B7" w:rsidRPr="00341436">
              <w:t xml:space="preserve">quality. </w:t>
            </w:r>
          </w:p>
          <w:p w14:paraId="68BE81E2" w14:textId="3520A3C7" w:rsidR="00C700BD" w:rsidRDefault="00C700BD">
            <w:pPr>
              <w:pStyle w:val="SingleTxtG"/>
              <w:ind w:left="426"/>
            </w:pPr>
            <w:r>
              <w:t xml:space="preserve">To make this possible, </w:t>
            </w:r>
            <w:r w:rsidR="007454D2">
              <w:t xml:space="preserve">we must learn from the </w:t>
            </w:r>
            <w:r>
              <w:t>g</w:t>
            </w:r>
            <w:r w:rsidR="00DC77B7" w:rsidRPr="003A7181">
              <w:t xml:space="preserve">ood practices </w:t>
            </w:r>
            <w:r w:rsidR="007454D2">
              <w:t xml:space="preserve">that are currently used </w:t>
            </w:r>
            <w:r>
              <w:t xml:space="preserve">which </w:t>
            </w:r>
            <w:r w:rsidR="00DC77B7" w:rsidRPr="003A7181">
              <w:t>include manag</w:t>
            </w:r>
            <w:r>
              <w:t>ing</w:t>
            </w:r>
            <w:r w:rsidR="00DC77B7" w:rsidRPr="003A7181">
              <w:t xml:space="preserve"> intellectual property rights, </w:t>
            </w:r>
            <w:r>
              <w:t xml:space="preserve">following </w:t>
            </w:r>
            <w:r w:rsidR="00DC77B7" w:rsidRPr="003A7181">
              <w:t xml:space="preserve">strong regulatory frameworks and </w:t>
            </w:r>
            <w:r w:rsidRPr="003A7181">
              <w:t>invest</w:t>
            </w:r>
            <w:r>
              <w:t>ing</w:t>
            </w:r>
            <w:r w:rsidRPr="003A7181">
              <w:t xml:space="preserve"> </w:t>
            </w:r>
            <w:r w:rsidR="00DC77B7" w:rsidRPr="003A7181">
              <w:t>in research and development of new medicines and vaccines</w:t>
            </w:r>
            <w:r>
              <w:t xml:space="preserve">. </w:t>
            </w:r>
          </w:p>
          <w:p w14:paraId="040AC410" w14:textId="6070B793" w:rsidR="00DC77B7" w:rsidRDefault="00C700BD">
            <w:pPr>
              <w:pStyle w:val="SingleTxtG"/>
              <w:ind w:left="426"/>
            </w:pPr>
            <w:r>
              <w:t xml:space="preserve">This can happen </w:t>
            </w:r>
            <w:r w:rsidR="00DC77B7" w:rsidRPr="003A7181">
              <w:t>through public-private partnerships</w:t>
            </w:r>
            <w:r w:rsidR="007454D2">
              <w:t>,</w:t>
            </w:r>
            <w:r w:rsidR="00DC77B7" w:rsidRPr="003A7181">
              <w:t xml:space="preserve"> </w:t>
            </w:r>
            <w:r w:rsidR="00DC77B7">
              <w:t xml:space="preserve">and </w:t>
            </w:r>
            <w:r w:rsidR="00DC77B7" w:rsidRPr="003A7181">
              <w:t>policies and measures that encourage the production of generic medicines.</w:t>
            </w:r>
          </w:p>
          <w:p w14:paraId="56600C79" w14:textId="77777777" w:rsidR="00C700BD" w:rsidRPr="00593D73" w:rsidRDefault="00C700BD">
            <w:pPr>
              <w:pStyle w:val="SingleTxtG"/>
              <w:ind w:left="426"/>
              <w:rPr>
                <w:i/>
                <w:sz w:val="24"/>
                <w:szCs w:val="24"/>
              </w:rPr>
            </w:pPr>
            <w:r w:rsidRPr="00593D73">
              <w:rPr>
                <w:i/>
                <w:sz w:val="24"/>
                <w:szCs w:val="24"/>
              </w:rPr>
              <w:t>Who might be interested in this document?</w:t>
            </w:r>
          </w:p>
          <w:p w14:paraId="3FE03FF8" w14:textId="2E743E7D" w:rsidR="00724EF7" w:rsidRDefault="00724EF7" w:rsidP="00724EF7">
            <w:pPr>
              <w:pStyle w:val="SingleTxtG"/>
              <w:ind w:left="426"/>
            </w:pPr>
            <w:r>
              <w:t>People or agencies that:</w:t>
            </w:r>
          </w:p>
          <w:p w14:paraId="58AA43B6" w14:textId="7B3B9CCA" w:rsidR="00724EF7" w:rsidRPr="005624E2" w:rsidRDefault="00724EF7" w:rsidP="005624E2">
            <w:pPr>
              <w:pStyle w:val="SingleTxtG"/>
              <w:numPr>
                <w:ilvl w:val="0"/>
                <w:numId w:val="48"/>
              </w:numPr>
            </w:pPr>
            <w:r w:rsidRPr="005624E2">
              <w:t>draft, design, or are interested in policy</w:t>
            </w:r>
            <w:r>
              <w:t xml:space="preserve"> related to health and medicines</w:t>
            </w:r>
            <w:r w:rsidRPr="005624E2">
              <w:t>, or</w:t>
            </w:r>
          </w:p>
          <w:p w14:paraId="7E1E7F11" w14:textId="4037DE43" w:rsidR="00C700BD" w:rsidRDefault="00724EF7" w:rsidP="005624E2">
            <w:pPr>
              <w:pStyle w:val="SingleTxtG"/>
              <w:numPr>
                <w:ilvl w:val="0"/>
                <w:numId w:val="48"/>
              </w:numPr>
            </w:pPr>
            <w:r w:rsidRPr="005624E2">
              <w:t xml:space="preserve">are interested in the area of </w:t>
            </w:r>
            <w:r>
              <w:t>health and medicines</w:t>
            </w:r>
            <w:r w:rsidRPr="005624E2">
              <w:t>.</w:t>
            </w:r>
          </w:p>
        </w:tc>
      </w:tr>
      <w:tr w:rsidR="00DC77B7" w14:paraId="22ECF591" w14:textId="77777777" w:rsidTr="4872E539">
        <w:trPr>
          <w:jc w:val="center"/>
        </w:trPr>
        <w:tc>
          <w:tcPr>
            <w:tcW w:w="9637" w:type="dxa"/>
            <w:tcBorders>
              <w:top w:val="nil"/>
            </w:tcBorders>
          </w:tcPr>
          <w:p w14:paraId="054E2BA4" w14:textId="77777777" w:rsidR="00DC77B7" w:rsidRPr="00341436" w:rsidRDefault="00DC77B7" w:rsidP="00DC77B7">
            <w:pPr>
              <w:suppressAutoHyphens w:val="0"/>
            </w:pPr>
          </w:p>
        </w:tc>
      </w:tr>
    </w:tbl>
    <w:p w14:paraId="05DFDD9C" w14:textId="77777777" w:rsidR="00E80810" w:rsidRDefault="00E80810" w:rsidP="00E80810">
      <w:r>
        <w:br w:type="page"/>
      </w:r>
    </w:p>
    <w:p w14:paraId="18546618" w14:textId="10E29D50" w:rsidR="003779F1" w:rsidRDefault="003779F1" w:rsidP="00E80810">
      <w:pPr>
        <w:rPr>
          <w:b/>
          <w:bCs/>
          <w:sz w:val="28"/>
          <w:szCs w:val="28"/>
        </w:rPr>
      </w:pPr>
      <w:r>
        <w:lastRenderedPageBreak/>
        <w:tab/>
      </w:r>
      <w:r w:rsidRPr="00593D73">
        <w:rPr>
          <w:b/>
          <w:bCs/>
          <w:sz w:val="28"/>
          <w:szCs w:val="28"/>
        </w:rPr>
        <w:t>Contents</w:t>
      </w:r>
    </w:p>
    <w:p w14:paraId="123C8E46" w14:textId="77777777" w:rsidR="003779F1" w:rsidRPr="00593D73" w:rsidRDefault="003779F1" w:rsidP="00E80810">
      <w:pPr>
        <w:rPr>
          <w:b/>
          <w:bCs/>
          <w:sz w:val="28"/>
          <w:szCs w:val="28"/>
        </w:rPr>
      </w:pPr>
    </w:p>
    <w:p w14:paraId="55C90A94" w14:textId="34021421" w:rsidR="003779F1" w:rsidRDefault="004B2CD9" w:rsidP="003779F1">
      <w:pPr>
        <w:pStyle w:val="ListParagraph"/>
        <w:numPr>
          <w:ilvl w:val="0"/>
          <w:numId w:val="41"/>
        </w:numPr>
        <w:rPr>
          <w:b/>
          <w:bCs/>
          <w:sz w:val="24"/>
          <w:szCs w:val="24"/>
        </w:rPr>
      </w:pPr>
      <w:hyperlink w:anchor="I_Setting_why_have_this_report" w:history="1">
        <w:r w:rsidR="007D603D" w:rsidRPr="007454D2">
          <w:rPr>
            <w:rStyle w:val="Hyperlink"/>
            <w:b/>
            <w:bCs/>
            <w:sz w:val="24"/>
            <w:szCs w:val="24"/>
          </w:rPr>
          <w:t>Setting and why we have this report</w:t>
        </w:r>
      </w:hyperlink>
    </w:p>
    <w:p w14:paraId="7B685BD2" w14:textId="77777777" w:rsidR="003779F1" w:rsidRPr="00593D73" w:rsidRDefault="003779F1" w:rsidP="00593D73">
      <w:pPr>
        <w:pStyle w:val="ListParagraph"/>
        <w:ind w:left="1290"/>
        <w:rPr>
          <w:b/>
          <w:bCs/>
          <w:sz w:val="24"/>
          <w:szCs w:val="24"/>
        </w:rPr>
      </w:pPr>
    </w:p>
    <w:p w14:paraId="76605EEB" w14:textId="45EAF1F4" w:rsidR="003779F1" w:rsidRDefault="004B2CD9" w:rsidP="003779F1">
      <w:pPr>
        <w:pStyle w:val="ListParagraph"/>
        <w:numPr>
          <w:ilvl w:val="0"/>
          <w:numId w:val="41"/>
        </w:numPr>
        <w:rPr>
          <w:b/>
          <w:bCs/>
          <w:sz w:val="24"/>
          <w:szCs w:val="24"/>
        </w:rPr>
      </w:pPr>
      <w:hyperlink w:anchor="II_Advice_Suggestions_for_action" w:history="1">
        <w:r w:rsidR="00B9312A" w:rsidRPr="004D1FB8">
          <w:rPr>
            <w:rStyle w:val="Hyperlink"/>
            <w:b/>
            <w:bCs/>
            <w:sz w:val="24"/>
            <w:szCs w:val="24"/>
          </w:rPr>
          <w:t>Advice and Suggestions for action</w:t>
        </w:r>
      </w:hyperlink>
    </w:p>
    <w:p w14:paraId="5BA31D5C" w14:textId="77777777" w:rsidR="003779F1" w:rsidRPr="00593D73" w:rsidRDefault="003779F1" w:rsidP="00593D73">
      <w:pPr>
        <w:rPr>
          <w:b/>
          <w:bCs/>
          <w:sz w:val="24"/>
          <w:szCs w:val="24"/>
        </w:rPr>
      </w:pPr>
    </w:p>
    <w:p w14:paraId="757DD5A3" w14:textId="62E22FDD" w:rsidR="003779F1" w:rsidRDefault="004B2CD9" w:rsidP="003779F1">
      <w:pPr>
        <w:pStyle w:val="ListParagraph"/>
        <w:numPr>
          <w:ilvl w:val="0"/>
          <w:numId w:val="41"/>
        </w:numPr>
        <w:rPr>
          <w:b/>
          <w:bCs/>
          <w:sz w:val="24"/>
          <w:szCs w:val="24"/>
        </w:rPr>
      </w:pPr>
      <w:hyperlink w:anchor="III_relationship_human_rights_fair_acces" w:history="1">
        <w:r w:rsidR="00EC6C04" w:rsidRPr="004D1FB8">
          <w:rPr>
            <w:rStyle w:val="Hyperlink"/>
            <w:b/>
            <w:bCs/>
            <w:sz w:val="24"/>
            <w:szCs w:val="24"/>
          </w:rPr>
          <w:t>The relationship between human rights and getting fair access to medicines, vaccines and other health products</w:t>
        </w:r>
      </w:hyperlink>
    </w:p>
    <w:p w14:paraId="42711169" w14:textId="77777777" w:rsidR="003779F1" w:rsidRPr="00593D73" w:rsidRDefault="003779F1" w:rsidP="00593D73">
      <w:pPr>
        <w:rPr>
          <w:b/>
          <w:bCs/>
          <w:sz w:val="24"/>
          <w:szCs w:val="24"/>
        </w:rPr>
      </w:pPr>
    </w:p>
    <w:p w14:paraId="7E9979BE" w14:textId="71114870" w:rsidR="003779F1" w:rsidRDefault="004B2CD9" w:rsidP="003779F1">
      <w:pPr>
        <w:pStyle w:val="ListParagraph"/>
        <w:numPr>
          <w:ilvl w:val="0"/>
          <w:numId w:val="42"/>
        </w:numPr>
        <w:rPr>
          <w:b/>
          <w:bCs/>
          <w:sz w:val="24"/>
          <w:szCs w:val="24"/>
        </w:rPr>
      </w:pPr>
      <w:hyperlink w:anchor="IIIA_Ensuring_use_human_rights" w:history="1">
        <w:r w:rsidR="00EC6C04" w:rsidRPr="004D1FB8">
          <w:rPr>
            <w:rStyle w:val="Hyperlink"/>
            <w:b/>
            <w:bCs/>
            <w:sz w:val="24"/>
            <w:szCs w:val="24"/>
          </w:rPr>
          <w:t>Ensuring that everyone can use their human rights to get access to medicines, vaccines and other health products</w:t>
        </w:r>
      </w:hyperlink>
    </w:p>
    <w:p w14:paraId="58422824" w14:textId="77777777" w:rsidR="003779F1" w:rsidRPr="00593D73" w:rsidRDefault="003779F1" w:rsidP="00593D73">
      <w:pPr>
        <w:pStyle w:val="ListParagraph"/>
        <w:ind w:left="1695"/>
        <w:rPr>
          <w:b/>
          <w:bCs/>
          <w:sz w:val="24"/>
          <w:szCs w:val="24"/>
        </w:rPr>
      </w:pPr>
    </w:p>
    <w:p w14:paraId="489454CA" w14:textId="1A58C776" w:rsidR="003779F1" w:rsidRPr="00593D73" w:rsidRDefault="004B2CD9" w:rsidP="003779F1">
      <w:pPr>
        <w:pStyle w:val="ListParagraph"/>
        <w:numPr>
          <w:ilvl w:val="0"/>
          <w:numId w:val="42"/>
        </w:numPr>
        <w:rPr>
          <w:b/>
          <w:bCs/>
          <w:sz w:val="24"/>
          <w:szCs w:val="24"/>
        </w:rPr>
      </w:pPr>
      <w:hyperlink w:anchor="IIIB_Increasing_access_availability" w:history="1">
        <w:r w:rsidR="00EC6C04" w:rsidRPr="004D1FB8">
          <w:rPr>
            <w:rStyle w:val="Hyperlink"/>
            <w:b/>
            <w:bCs/>
            <w:sz w:val="24"/>
            <w:szCs w:val="24"/>
          </w:rPr>
          <w:t xml:space="preserve">Increasing </w:t>
        </w:r>
        <w:r w:rsidR="007454D2" w:rsidRPr="004D1FB8">
          <w:rPr>
            <w:rStyle w:val="Hyperlink"/>
            <w:b/>
            <w:bCs/>
            <w:sz w:val="24"/>
            <w:szCs w:val="24"/>
          </w:rPr>
          <w:t xml:space="preserve">the </w:t>
        </w:r>
        <w:r w:rsidR="00EC6C04" w:rsidRPr="004D1FB8">
          <w:rPr>
            <w:rStyle w:val="Hyperlink"/>
            <w:b/>
            <w:bCs/>
            <w:sz w:val="24"/>
            <w:szCs w:val="24"/>
          </w:rPr>
          <w:t>access and availability of medicines, vaccines and other health products</w:t>
        </w:r>
      </w:hyperlink>
    </w:p>
    <w:p w14:paraId="7D859F9F" w14:textId="17C71D57" w:rsidR="003779F1" w:rsidRPr="00593D73" w:rsidRDefault="004B2CD9" w:rsidP="00593D73">
      <w:pPr>
        <w:pStyle w:val="ListParagraph"/>
        <w:numPr>
          <w:ilvl w:val="1"/>
          <w:numId w:val="43"/>
        </w:numPr>
        <w:rPr>
          <w:b/>
          <w:bCs/>
          <w:sz w:val="24"/>
          <w:szCs w:val="24"/>
        </w:rPr>
      </w:pPr>
      <w:hyperlink w:anchor="IIIB1_Funding_partnerships_RD" w:history="1">
        <w:r w:rsidR="003779F1" w:rsidRPr="004D1FB8">
          <w:rPr>
            <w:rStyle w:val="Hyperlink"/>
            <w:b/>
            <w:bCs/>
            <w:sz w:val="24"/>
            <w:szCs w:val="24"/>
          </w:rPr>
          <w:t>Funding and partnerships for research and development</w:t>
        </w:r>
      </w:hyperlink>
    </w:p>
    <w:p w14:paraId="0A499997" w14:textId="0112CFCB" w:rsidR="003779F1" w:rsidRPr="00593D73" w:rsidRDefault="004B2CD9" w:rsidP="00593D73">
      <w:pPr>
        <w:pStyle w:val="ListParagraph"/>
        <w:numPr>
          <w:ilvl w:val="1"/>
          <w:numId w:val="43"/>
        </w:numPr>
        <w:rPr>
          <w:b/>
          <w:bCs/>
          <w:sz w:val="24"/>
          <w:szCs w:val="24"/>
        </w:rPr>
      </w:pPr>
      <w:hyperlink w:anchor="IIIB2_Ensuring_fair_pricing" w:history="1">
        <w:r w:rsidR="00EC6C04" w:rsidRPr="004D1FB8">
          <w:rPr>
            <w:rStyle w:val="Hyperlink"/>
            <w:b/>
            <w:bCs/>
            <w:sz w:val="24"/>
            <w:szCs w:val="24"/>
          </w:rPr>
          <w:t>Ensuring fair pricing</w:t>
        </w:r>
      </w:hyperlink>
      <w:r w:rsidR="00EC6C04">
        <w:rPr>
          <w:b/>
          <w:bCs/>
          <w:sz w:val="24"/>
          <w:szCs w:val="24"/>
        </w:rPr>
        <w:t xml:space="preserve"> </w:t>
      </w:r>
    </w:p>
    <w:p w14:paraId="4495EF07" w14:textId="2B3E2F37" w:rsidR="003779F1" w:rsidRPr="00593D73" w:rsidRDefault="004B2CD9" w:rsidP="00593D73">
      <w:pPr>
        <w:pStyle w:val="ListParagraph"/>
        <w:numPr>
          <w:ilvl w:val="1"/>
          <w:numId w:val="43"/>
        </w:numPr>
        <w:rPr>
          <w:b/>
          <w:bCs/>
          <w:sz w:val="24"/>
          <w:szCs w:val="24"/>
        </w:rPr>
      </w:pPr>
      <w:hyperlink w:anchor="IIIB3_Resolving_problems_IP" w:history="1">
        <w:r w:rsidR="00EC6C04" w:rsidRPr="004D1FB8">
          <w:rPr>
            <w:rStyle w:val="Hyperlink"/>
            <w:b/>
            <w:bCs/>
            <w:sz w:val="24"/>
            <w:szCs w:val="24"/>
          </w:rPr>
          <w:t>Resolving problems concerning intellectual property</w:t>
        </w:r>
      </w:hyperlink>
    </w:p>
    <w:p w14:paraId="46FFA9B9" w14:textId="48D58F01" w:rsidR="003779F1" w:rsidRPr="00593D73" w:rsidRDefault="004B2CD9" w:rsidP="00593D73">
      <w:pPr>
        <w:pStyle w:val="ListParagraph"/>
        <w:numPr>
          <w:ilvl w:val="1"/>
          <w:numId w:val="43"/>
        </w:numPr>
        <w:rPr>
          <w:b/>
          <w:bCs/>
          <w:sz w:val="24"/>
          <w:szCs w:val="24"/>
        </w:rPr>
      </w:pPr>
      <w:hyperlink w:anchor="IIIB4_Increasing_production" w:history="1">
        <w:r w:rsidR="00EC6C04" w:rsidRPr="004D1FB8">
          <w:rPr>
            <w:rStyle w:val="Hyperlink"/>
            <w:b/>
            <w:bCs/>
            <w:sz w:val="24"/>
            <w:szCs w:val="24"/>
          </w:rPr>
          <w:t xml:space="preserve">Increasing </w:t>
        </w:r>
        <w:r w:rsidR="003779F1" w:rsidRPr="004D1FB8">
          <w:rPr>
            <w:rStyle w:val="Hyperlink"/>
            <w:b/>
            <w:bCs/>
            <w:sz w:val="24"/>
            <w:szCs w:val="24"/>
          </w:rPr>
          <w:t>regional and local production</w:t>
        </w:r>
      </w:hyperlink>
    </w:p>
    <w:p w14:paraId="591EF14D" w14:textId="47265E4B" w:rsidR="003779F1" w:rsidRDefault="004B2CD9" w:rsidP="003779F1">
      <w:pPr>
        <w:pStyle w:val="ListParagraph"/>
        <w:numPr>
          <w:ilvl w:val="1"/>
          <w:numId w:val="43"/>
        </w:numPr>
        <w:rPr>
          <w:b/>
          <w:bCs/>
          <w:sz w:val="24"/>
          <w:szCs w:val="24"/>
        </w:rPr>
      </w:pPr>
      <w:hyperlink w:anchor="IIIB5_Ensuring_manage_distribution" w:history="1">
        <w:r w:rsidR="00EC6C04" w:rsidRPr="004D1FB8">
          <w:rPr>
            <w:rStyle w:val="Hyperlink"/>
            <w:b/>
            <w:bCs/>
            <w:sz w:val="24"/>
            <w:szCs w:val="24"/>
          </w:rPr>
          <w:t>Ensuring governments manage distribution</w:t>
        </w:r>
      </w:hyperlink>
      <w:r w:rsidR="003779F1" w:rsidRPr="00593D73">
        <w:rPr>
          <w:b/>
          <w:bCs/>
          <w:sz w:val="24"/>
          <w:szCs w:val="24"/>
        </w:rPr>
        <w:t xml:space="preserve"> </w:t>
      </w:r>
    </w:p>
    <w:p w14:paraId="37B4E4B4" w14:textId="77777777" w:rsidR="003779F1" w:rsidRPr="00593D73" w:rsidRDefault="003779F1" w:rsidP="00593D73">
      <w:pPr>
        <w:pStyle w:val="ListParagraph"/>
        <w:ind w:left="2370"/>
        <w:rPr>
          <w:b/>
          <w:bCs/>
          <w:sz w:val="24"/>
          <w:szCs w:val="24"/>
        </w:rPr>
      </w:pPr>
    </w:p>
    <w:p w14:paraId="131C01AC" w14:textId="5EB5CE87" w:rsidR="003779F1" w:rsidRDefault="004B2CD9" w:rsidP="003779F1">
      <w:pPr>
        <w:pStyle w:val="ListParagraph"/>
        <w:numPr>
          <w:ilvl w:val="0"/>
          <w:numId w:val="42"/>
        </w:numPr>
        <w:rPr>
          <w:b/>
          <w:bCs/>
          <w:sz w:val="24"/>
          <w:szCs w:val="24"/>
        </w:rPr>
      </w:pPr>
      <w:hyperlink w:anchor="IIIC_Ensuring_safe_high_quality" w:history="1">
        <w:r w:rsidR="003779F1" w:rsidRPr="004D1FB8">
          <w:rPr>
            <w:rStyle w:val="Hyperlink"/>
            <w:b/>
            <w:bCs/>
            <w:sz w:val="24"/>
            <w:szCs w:val="24"/>
          </w:rPr>
          <w:t xml:space="preserve">Ensuring </w:t>
        </w:r>
        <w:r w:rsidR="00EC6C04" w:rsidRPr="004D1FB8">
          <w:rPr>
            <w:rStyle w:val="Hyperlink"/>
            <w:b/>
            <w:bCs/>
            <w:sz w:val="24"/>
            <w:szCs w:val="24"/>
          </w:rPr>
          <w:t>that medicines, vaccines and other health products are safe and are of high quality</w:t>
        </w:r>
      </w:hyperlink>
    </w:p>
    <w:p w14:paraId="41E080E5" w14:textId="77777777" w:rsidR="003779F1" w:rsidRPr="00593D73" w:rsidRDefault="003779F1" w:rsidP="00593D73">
      <w:pPr>
        <w:pStyle w:val="ListParagraph"/>
        <w:ind w:left="1695"/>
        <w:rPr>
          <w:b/>
          <w:bCs/>
          <w:sz w:val="24"/>
          <w:szCs w:val="24"/>
        </w:rPr>
      </w:pPr>
    </w:p>
    <w:p w14:paraId="20C1E1ED" w14:textId="7E138C9F" w:rsidR="003779F1" w:rsidRDefault="004B2CD9" w:rsidP="003779F1">
      <w:pPr>
        <w:pStyle w:val="ListParagraph"/>
        <w:numPr>
          <w:ilvl w:val="0"/>
          <w:numId w:val="42"/>
        </w:numPr>
        <w:rPr>
          <w:b/>
          <w:bCs/>
          <w:sz w:val="24"/>
          <w:szCs w:val="24"/>
        </w:rPr>
      </w:pPr>
      <w:hyperlink w:anchor="IIID_Promoting_use" w:history="1">
        <w:r w:rsidR="003779F1" w:rsidRPr="004D1FB8">
          <w:rPr>
            <w:rStyle w:val="Hyperlink"/>
            <w:b/>
            <w:bCs/>
            <w:sz w:val="24"/>
            <w:szCs w:val="24"/>
          </w:rPr>
          <w:t xml:space="preserve">Promoting </w:t>
        </w:r>
        <w:r w:rsidR="00EC6C04" w:rsidRPr="004D1FB8">
          <w:rPr>
            <w:rStyle w:val="Hyperlink"/>
            <w:b/>
            <w:bCs/>
            <w:sz w:val="24"/>
            <w:szCs w:val="24"/>
          </w:rPr>
          <w:t xml:space="preserve">the use of medicines, vaccines and other health products for those who need them </w:t>
        </w:r>
      </w:hyperlink>
      <w:r w:rsidR="00EC6C04" w:rsidRPr="00EC6C04">
        <w:rPr>
          <w:b/>
          <w:bCs/>
          <w:sz w:val="24"/>
          <w:szCs w:val="24"/>
        </w:rPr>
        <w:t xml:space="preserve"> </w:t>
      </w:r>
    </w:p>
    <w:p w14:paraId="7C5BD38E" w14:textId="77777777" w:rsidR="003779F1" w:rsidRPr="00593D73" w:rsidRDefault="003779F1" w:rsidP="00593D73">
      <w:pPr>
        <w:rPr>
          <w:b/>
          <w:bCs/>
          <w:sz w:val="24"/>
          <w:szCs w:val="24"/>
        </w:rPr>
      </w:pPr>
    </w:p>
    <w:p w14:paraId="3946087B" w14:textId="4BBE2239" w:rsidR="003779F1" w:rsidRPr="00593D73" w:rsidRDefault="004B2CD9" w:rsidP="003779F1">
      <w:pPr>
        <w:ind w:left="567"/>
        <w:rPr>
          <w:b/>
          <w:bCs/>
          <w:sz w:val="24"/>
          <w:szCs w:val="24"/>
        </w:rPr>
      </w:pPr>
      <w:hyperlink w:anchor="Endnotes" w:history="1">
        <w:r w:rsidR="003779F1" w:rsidRPr="004D1FB8">
          <w:rPr>
            <w:rStyle w:val="Hyperlink"/>
            <w:b/>
            <w:bCs/>
            <w:sz w:val="24"/>
            <w:szCs w:val="24"/>
          </w:rPr>
          <w:t>Endnotes</w:t>
        </w:r>
      </w:hyperlink>
    </w:p>
    <w:p w14:paraId="20C1AD4D" w14:textId="77777777" w:rsidR="003779F1" w:rsidRDefault="003779F1">
      <w:pPr>
        <w:suppressAutoHyphens w:val="0"/>
        <w:spacing w:after="200" w:line="276" w:lineRule="auto"/>
      </w:pPr>
      <w:r>
        <w:br w:type="page"/>
      </w:r>
    </w:p>
    <w:p w14:paraId="78455E7E" w14:textId="69BFDBA9" w:rsidR="00E80810" w:rsidRPr="00341436" w:rsidRDefault="00E80810" w:rsidP="00E80810">
      <w:pPr>
        <w:pStyle w:val="HChG"/>
      </w:pPr>
      <w:r w:rsidRPr="00341436">
        <w:lastRenderedPageBreak/>
        <w:tab/>
      </w:r>
      <w:bookmarkStart w:id="0" w:name="I_Setting_why_have_this_report"/>
      <w:r w:rsidRPr="00341436">
        <w:t>I.</w:t>
      </w:r>
      <w:r w:rsidRPr="00341436">
        <w:tab/>
      </w:r>
      <w:r w:rsidR="273D582B" w:rsidRPr="00652666">
        <w:t>Setting and why we have this report</w:t>
      </w:r>
      <w:bookmarkEnd w:id="0"/>
    </w:p>
    <w:p w14:paraId="18470A27" w14:textId="32390C87" w:rsidR="00E80810" w:rsidRPr="00341436" w:rsidRDefault="00E80810" w:rsidP="00E80810">
      <w:pPr>
        <w:pStyle w:val="SingleTxtG"/>
      </w:pPr>
      <w:r w:rsidRPr="00341436">
        <w:t>1.</w:t>
      </w:r>
      <w:r w:rsidRPr="00341436">
        <w:tab/>
      </w:r>
      <w:r w:rsidR="00AA33A1">
        <w:t xml:space="preserve">In </w:t>
      </w:r>
      <w:r w:rsidRPr="00341436">
        <w:t>Human Rights Council</w:t>
      </w:r>
      <w:r w:rsidR="00AA33A1">
        <w:t xml:space="preserve"> resolution 50/13, the Council</w:t>
      </w:r>
      <w:r w:rsidRPr="00341436">
        <w:t xml:space="preserve"> requested the </w:t>
      </w:r>
      <w:r>
        <w:t xml:space="preserve">Office of the </w:t>
      </w:r>
      <w:r w:rsidRPr="00341436">
        <w:t xml:space="preserve">United Nations High Commissioner for Human Rights </w:t>
      </w:r>
      <w:r>
        <w:t xml:space="preserve">(OHCHR) </w:t>
      </w:r>
      <w:r w:rsidRPr="00341436">
        <w:t>to submit</w:t>
      </w:r>
      <w:r>
        <w:t xml:space="preserve"> </w:t>
      </w:r>
      <w:r w:rsidRPr="00341436">
        <w:t xml:space="preserve">a compendium </w:t>
      </w:r>
      <w:r w:rsidR="007454D2">
        <w:t xml:space="preserve">that identifies </w:t>
      </w:r>
      <w:r w:rsidRPr="00341436">
        <w:t xml:space="preserve">good practices </w:t>
      </w:r>
      <w:r w:rsidR="007454D2">
        <w:t xml:space="preserve">about how everyone can </w:t>
      </w:r>
      <w:r w:rsidRPr="00341436">
        <w:t xml:space="preserve">access medicines, vaccines and other health products </w:t>
      </w:r>
      <w:r w:rsidR="00C700BD">
        <w:t xml:space="preserve">so that </w:t>
      </w:r>
      <w:r w:rsidRPr="00341436">
        <w:t xml:space="preserve">everyone </w:t>
      </w:r>
      <w:r w:rsidR="00C700BD">
        <w:t xml:space="preserve">can </w:t>
      </w:r>
      <w:r w:rsidR="002A350B">
        <w:t>enjoy</w:t>
      </w:r>
      <w:r w:rsidR="00C700BD">
        <w:t xml:space="preserve"> their right </w:t>
      </w:r>
      <w:r w:rsidRPr="00341436">
        <w:t xml:space="preserve">to </w:t>
      </w:r>
      <w:r w:rsidR="00C700BD">
        <w:t xml:space="preserve">receive </w:t>
      </w:r>
      <w:r w:rsidRPr="00341436">
        <w:t xml:space="preserve">the highest </w:t>
      </w:r>
      <w:r w:rsidR="007454D2">
        <w:t>possible</w:t>
      </w:r>
      <w:r w:rsidR="007454D2" w:rsidRPr="00341436">
        <w:t xml:space="preserve"> </w:t>
      </w:r>
      <w:r w:rsidRPr="00341436">
        <w:t>standard of physical and mental health</w:t>
      </w:r>
      <w:r w:rsidR="00C700BD">
        <w:t>,</w:t>
      </w:r>
      <w:r w:rsidR="00AA33A1">
        <w:t xml:space="preserve"> to the Council </w:t>
      </w:r>
      <w:r w:rsidR="00AA33A1" w:rsidRPr="00341436">
        <w:t xml:space="preserve">at </w:t>
      </w:r>
      <w:r w:rsidR="00AA33A1">
        <w:t>its</w:t>
      </w:r>
      <w:r w:rsidR="00AA33A1" w:rsidRPr="00341436">
        <w:t xml:space="preserve"> </w:t>
      </w:r>
      <w:r w:rsidR="00AA33A1">
        <w:t>53</w:t>
      </w:r>
      <w:r w:rsidR="00AA33A1" w:rsidRPr="00D76987">
        <w:rPr>
          <w:vertAlign w:val="superscript"/>
        </w:rPr>
        <w:t>rd</w:t>
      </w:r>
      <w:r w:rsidR="00AA33A1">
        <w:t xml:space="preserve"> </w:t>
      </w:r>
      <w:r w:rsidR="00AA33A1" w:rsidRPr="00341436">
        <w:t>session</w:t>
      </w:r>
      <w:r w:rsidRPr="00341436">
        <w:t xml:space="preserve">. The compendium will be complemented by an analytical study on key challenges </w:t>
      </w:r>
      <w:r w:rsidR="00354940">
        <w:t xml:space="preserve">which will </w:t>
      </w:r>
      <w:r w:rsidRPr="00341436">
        <w:t xml:space="preserve">be submitted </w:t>
      </w:r>
      <w:r>
        <w:t xml:space="preserve">to the Council </w:t>
      </w:r>
      <w:r w:rsidRPr="00341436">
        <w:t xml:space="preserve">at </w:t>
      </w:r>
      <w:r>
        <w:t>its</w:t>
      </w:r>
      <w:r w:rsidRPr="00341436">
        <w:t xml:space="preserve"> </w:t>
      </w:r>
      <w:r w:rsidR="00346E30">
        <w:t>56</w:t>
      </w:r>
      <w:r w:rsidR="00346E30" w:rsidRPr="00593D73">
        <w:rPr>
          <w:vertAlign w:val="superscript"/>
        </w:rPr>
        <w:t>th</w:t>
      </w:r>
      <w:r w:rsidR="00346E30">
        <w:t xml:space="preserve"> </w:t>
      </w:r>
      <w:r w:rsidRPr="00341436">
        <w:t>session.</w:t>
      </w:r>
    </w:p>
    <w:p w14:paraId="785D2FBD" w14:textId="12948E56" w:rsidR="002E2148" w:rsidRDefault="00E80810" w:rsidP="00E80810">
      <w:pPr>
        <w:pStyle w:val="SingleTxtG"/>
      </w:pPr>
      <w:r w:rsidRPr="00341436">
        <w:t>2.</w:t>
      </w:r>
      <w:r w:rsidRPr="00341436">
        <w:tab/>
      </w:r>
      <w:r w:rsidR="00AA33A1">
        <w:t xml:space="preserve">The </w:t>
      </w:r>
      <w:r>
        <w:t>OHCHR</w:t>
      </w:r>
      <w:r w:rsidRPr="00341436">
        <w:t xml:space="preserve"> would like to thank all stakeholders for participat</w:t>
      </w:r>
      <w:r w:rsidR="00AA33A1">
        <w:t>ing</w:t>
      </w:r>
      <w:r w:rsidRPr="00341436">
        <w:t xml:space="preserve"> in the virtual expert workshop held on 14 February 2023, and for </w:t>
      </w:r>
      <w:r w:rsidR="004940D2">
        <w:t xml:space="preserve">contributing </w:t>
      </w:r>
      <w:r w:rsidRPr="00341436">
        <w:t xml:space="preserve">in </w:t>
      </w:r>
      <w:r w:rsidR="004940D2">
        <w:t xml:space="preserve">the </w:t>
      </w:r>
      <w:r w:rsidRPr="00341436">
        <w:t>prepar</w:t>
      </w:r>
      <w:r w:rsidR="004940D2">
        <w:t>ation of</w:t>
      </w:r>
      <w:r w:rsidRPr="00341436">
        <w:t xml:space="preserve"> th</w:t>
      </w:r>
      <w:r w:rsidR="00C700BD">
        <w:t>is</w:t>
      </w:r>
      <w:r w:rsidRPr="00341436">
        <w:t xml:space="preserve"> compendium. Submissions received are available on the OHCHR website</w:t>
      </w:r>
      <w:r w:rsidR="00AA33A1">
        <w:t>.</w:t>
      </w:r>
      <w:r w:rsidR="002E2148" w:rsidRPr="000812B8">
        <w:rPr>
          <w:rStyle w:val="EndnoteReference"/>
        </w:rPr>
        <w:endnoteReference w:id="3"/>
      </w:r>
      <w:r w:rsidR="002E2148" w:rsidRPr="000812B8">
        <w:rPr>
          <w:rStyle w:val="EndnoteReference"/>
        </w:rPr>
        <w:t xml:space="preserve"> </w:t>
      </w:r>
      <w:r w:rsidR="00AA33A1">
        <w:t xml:space="preserve">The submissions </w:t>
      </w:r>
      <w:r w:rsidR="002017AD">
        <w:t xml:space="preserve">will </w:t>
      </w:r>
      <w:r w:rsidR="00AA33A1">
        <w:t xml:space="preserve">help in preparing </w:t>
      </w:r>
      <w:r w:rsidR="002E2148" w:rsidRPr="00341436">
        <w:t xml:space="preserve">the comprehensive </w:t>
      </w:r>
      <w:r w:rsidR="002E2148">
        <w:t>report</w:t>
      </w:r>
      <w:r w:rsidR="002E2148" w:rsidRPr="00341436">
        <w:t xml:space="preserve"> on access to medicines, vaccines and other health products</w:t>
      </w:r>
      <w:r w:rsidR="002E2148">
        <w:t xml:space="preserve"> </w:t>
      </w:r>
      <w:r w:rsidR="00354940">
        <w:t xml:space="preserve">which will </w:t>
      </w:r>
      <w:r w:rsidR="002E2148" w:rsidRPr="00341436">
        <w:t xml:space="preserve">be submitted </w:t>
      </w:r>
      <w:r w:rsidR="002E2148">
        <w:t xml:space="preserve">to the Human Rights Council </w:t>
      </w:r>
      <w:r w:rsidR="002E2148" w:rsidRPr="00341436">
        <w:t xml:space="preserve">at </w:t>
      </w:r>
      <w:r w:rsidR="002E2148">
        <w:t>its</w:t>
      </w:r>
      <w:r w:rsidR="002E2148" w:rsidRPr="00341436">
        <w:t xml:space="preserve"> </w:t>
      </w:r>
      <w:r w:rsidR="002E2148">
        <w:t>59</w:t>
      </w:r>
      <w:r w:rsidR="002E2148" w:rsidRPr="00593D73">
        <w:rPr>
          <w:vertAlign w:val="superscript"/>
        </w:rPr>
        <w:t>th</w:t>
      </w:r>
      <w:r w:rsidR="002E2148">
        <w:t xml:space="preserve"> </w:t>
      </w:r>
      <w:r w:rsidR="002E2148" w:rsidRPr="00341436">
        <w:t>session.</w:t>
      </w:r>
    </w:p>
    <w:p w14:paraId="0A45CB6B" w14:textId="77777777" w:rsidR="002E2148" w:rsidRDefault="002E2148" w:rsidP="00E80810">
      <w:pPr>
        <w:pStyle w:val="SingleTxtG"/>
      </w:pPr>
    </w:p>
    <w:p w14:paraId="33D96D47" w14:textId="77777777" w:rsidR="00AA33A1" w:rsidRDefault="002E2148" w:rsidP="002E2148">
      <w:pPr>
        <w:pStyle w:val="HChG"/>
      </w:pPr>
      <w:r>
        <w:tab/>
      </w:r>
    </w:p>
    <w:p w14:paraId="79352704" w14:textId="77777777" w:rsidR="00AA33A1" w:rsidRDefault="00AA33A1">
      <w:pPr>
        <w:suppressAutoHyphens w:val="0"/>
        <w:spacing w:after="200" w:line="276" w:lineRule="auto"/>
        <w:rPr>
          <w:b/>
          <w:sz w:val="28"/>
        </w:rPr>
      </w:pPr>
      <w:r>
        <w:br w:type="page"/>
      </w:r>
    </w:p>
    <w:p w14:paraId="319EA2EF" w14:textId="55FB7152" w:rsidR="002E2148" w:rsidRPr="00341436" w:rsidRDefault="00AA33A1" w:rsidP="002E2148">
      <w:pPr>
        <w:pStyle w:val="HChG"/>
      </w:pPr>
      <w:r>
        <w:lastRenderedPageBreak/>
        <w:tab/>
      </w:r>
      <w:r w:rsidR="002E2148">
        <w:t xml:space="preserve">II. </w:t>
      </w:r>
      <w:r>
        <w:tab/>
      </w:r>
      <w:bookmarkStart w:id="1" w:name="II_Advice_Suggestions_for_action"/>
      <w:r w:rsidR="0E3D538B">
        <w:t xml:space="preserve">Advice and Suggestions for action </w:t>
      </w:r>
      <w:bookmarkEnd w:id="1"/>
    </w:p>
    <w:p w14:paraId="3CF1352E" w14:textId="2DB51386" w:rsidR="00AA33A1" w:rsidRPr="00593D73" w:rsidRDefault="00D527A2" w:rsidP="002E2148">
      <w:pPr>
        <w:pStyle w:val="SingleTxtG"/>
      </w:pPr>
      <w:r>
        <w:t>3</w:t>
      </w:r>
      <w:r w:rsidR="002E2148" w:rsidRPr="007733C7">
        <w:t>.</w:t>
      </w:r>
      <w:r w:rsidR="002E2148" w:rsidRPr="007733C7">
        <w:tab/>
      </w:r>
      <w:r w:rsidR="002E2148" w:rsidRPr="00593D73">
        <w:t>Ensuring access to medicines, vaccines and other health products is an integral and fundamental part of the right to health. However, massive inequalities remain as one</w:t>
      </w:r>
      <w:r w:rsidR="007D0532">
        <w:t>-</w:t>
      </w:r>
      <w:r w:rsidR="002E2148" w:rsidRPr="00593D73">
        <w:t>third of the world’s population</w:t>
      </w:r>
      <w:r w:rsidR="00ED495B">
        <w:t xml:space="preserve"> do not have </w:t>
      </w:r>
      <w:r w:rsidR="002E2148" w:rsidRPr="00593D73">
        <w:t>access to essential medicines. The following groups</w:t>
      </w:r>
      <w:r w:rsidR="00580F25">
        <w:t>’ needs</w:t>
      </w:r>
      <w:r w:rsidR="002E2148" w:rsidRPr="00593D73">
        <w:t xml:space="preserve"> are often underestimated, ignored and underserved: </w:t>
      </w:r>
    </w:p>
    <w:p w14:paraId="26C4BAA2" w14:textId="77777777" w:rsidR="00AA33A1" w:rsidRPr="00593D73" w:rsidRDefault="002E2148" w:rsidP="00593D73">
      <w:pPr>
        <w:pStyle w:val="SingleTxtG"/>
        <w:numPr>
          <w:ilvl w:val="0"/>
          <w:numId w:val="30"/>
        </w:numPr>
        <w:ind w:left="2268" w:hanging="425"/>
      </w:pPr>
      <w:r w:rsidRPr="00593D73">
        <w:t xml:space="preserve">persons living in poverty, </w:t>
      </w:r>
    </w:p>
    <w:p w14:paraId="1EDB6467" w14:textId="77777777" w:rsidR="00AA33A1" w:rsidRPr="00593D73" w:rsidRDefault="002E2148" w:rsidP="00593D73">
      <w:pPr>
        <w:pStyle w:val="SingleTxtG"/>
        <w:numPr>
          <w:ilvl w:val="0"/>
          <w:numId w:val="30"/>
        </w:numPr>
        <w:ind w:left="2268" w:hanging="425"/>
      </w:pPr>
      <w:r w:rsidRPr="00593D73">
        <w:t xml:space="preserve">older persons, </w:t>
      </w:r>
    </w:p>
    <w:p w14:paraId="2FFDCF8A" w14:textId="77777777" w:rsidR="00AA33A1" w:rsidRPr="00593D73" w:rsidRDefault="002E2148" w:rsidP="00593D73">
      <w:pPr>
        <w:pStyle w:val="SingleTxtG"/>
        <w:numPr>
          <w:ilvl w:val="0"/>
          <w:numId w:val="30"/>
        </w:numPr>
        <w:ind w:left="2268" w:hanging="425"/>
      </w:pPr>
      <w:r w:rsidRPr="00593D73">
        <w:t xml:space="preserve">persons with disabilities, </w:t>
      </w:r>
    </w:p>
    <w:p w14:paraId="74EB2ED5" w14:textId="77777777" w:rsidR="00AA33A1" w:rsidRPr="00593D73" w:rsidRDefault="002E2148" w:rsidP="00593D73">
      <w:pPr>
        <w:pStyle w:val="SingleTxtG"/>
        <w:numPr>
          <w:ilvl w:val="0"/>
          <w:numId w:val="30"/>
        </w:numPr>
        <w:ind w:left="2268" w:hanging="425"/>
      </w:pPr>
      <w:r w:rsidRPr="00593D73">
        <w:t xml:space="preserve">women, </w:t>
      </w:r>
    </w:p>
    <w:p w14:paraId="4315F98E" w14:textId="71533986" w:rsidR="00AA33A1" w:rsidRPr="00593D73" w:rsidRDefault="002E2148" w:rsidP="00593D73">
      <w:pPr>
        <w:pStyle w:val="SingleTxtG"/>
        <w:numPr>
          <w:ilvl w:val="0"/>
          <w:numId w:val="30"/>
        </w:numPr>
        <w:ind w:left="2268" w:hanging="425"/>
      </w:pPr>
      <w:r w:rsidRPr="00593D73">
        <w:t>children</w:t>
      </w:r>
      <w:r w:rsidR="00354940">
        <w:t>,</w:t>
      </w:r>
      <w:r w:rsidRPr="00593D73">
        <w:t xml:space="preserve"> and </w:t>
      </w:r>
    </w:p>
    <w:p w14:paraId="2DDD89AF" w14:textId="260AE2A8" w:rsidR="002E2148" w:rsidRPr="00593D73" w:rsidRDefault="002E2148" w:rsidP="00593D73">
      <w:pPr>
        <w:pStyle w:val="SingleTxtG"/>
        <w:numPr>
          <w:ilvl w:val="0"/>
          <w:numId w:val="30"/>
        </w:numPr>
        <w:ind w:left="2268" w:hanging="425"/>
      </w:pPr>
      <w:r w:rsidRPr="00593D73">
        <w:t xml:space="preserve">persons </w:t>
      </w:r>
      <w:r w:rsidR="00580F25">
        <w:t xml:space="preserve">who are </w:t>
      </w:r>
      <w:r w:rsidRPr="00593D73">
        <w:t>vulnerab</w:t>
      </w:r>
      <w:r w:rsidR="00580F25">
        <w:t>le</w:t>
      </w:r>
      <w:r w:rsidRPr="00593D73">
        <w:t xml:space="preserve"> and marginaliz</w:t>
      </w:r>
      <w:r w:rsidR="00580F25">
        <w:t>ed</w:t>
      </w:r>
      <w:r w:rsidRPr="00593D73">
        <w:t>.</w:t>
      </w:r>
    </w:p>
    <w:p w14:paraId="72656FFF" w14:textId="16BABD8B" w:rsidR="007D0532" w:rsidRDefault="00D527A2" w:rsidP="002E2148">
      <w:pPr>
        <w:pStyle w:val="SingleTxtG"/>
      </w:pPr>
      <w:r>
        <w:t>4</w:t>
      </w:r>
      <w:r w:rsidR="002E2148" w:rsidRPr="00AA33A1">
        <w:t>.</w:t>
      </w:r>
      <w:r w:rsidR="002E2148" w:rsidRPr="00593D73">
        <w:tab/>
        <w:t xml:space="preserve">The COVID-19 pandemic showed how access to medicine and vaccines could be </w:t>
      </w:r>
      <w:r w:rsidR="00ED495B">
        <w:t>help</w:t>
      </w:r>
      <w:r w:rsidR="007454D2">
        <w:t>ed</w:t>
      </w:r>
      <w:r w:rsidR="007454D2" w:rsidRPr="00593D73">
        <w:t xml:space="preserve"> </w:t>
      </w:r>
      <w:r w:rsidR="002E2148" w:rsidRPr="00593D73">
        <w:t xml:space="preserve">or blocked. </w:t>
      </w:r>
      <w:r w:rsidR="007D0532">
        <w:t xml:space="preserve">Some countries quickly received </w:t>
      </w:r>
      <w:r w:rsidR="00354940" w:rsidRPr="00C85301">
        <w:t xml:space="preserve">life-saving vaccines </w:t>
      </w:r>
      <w:r w:rsidR="007D0532">
        <w:t xml:space="preserve">but </w:t>
      </w:r>
      <w:r w:rsidR="002E2148" w:rsidRPr="00593D73">
        <w:t xml:space="preserve">factors, e.g. cost, patents and national stockpiling, determined which populations received them first. The challenges </w:t>
      </w:r>
      <w:r w:rsidR="0013015E">
        <w:t>identified</w:t>
      </w:r>
      <w:r w:rsidR="00AA33A1">
        <w:t xml:space="preserve"> </w:t>
      </w:r>
      <w:r w:rsidR="002E2148" w:rsidRPr="00593D73">
        <w:t xml:space="preserve">should </w:t>
      </w:r>
      <w:r w:rsidR="002017AD">
        <w:t xml:space="preserve">encourage us </w:t>
      </w:r>
      <w:r w:rsidR="0013015E">
        <w:t xml:space="preserve">to create </w:t>
      </w:r>
      <w:r w:rsidR="002E2148" w:rsidRPr="00593D73">
        <w:t>an enabling global environment free of structural obstacles, in which everyone can</w:t>
      </w:r>
      <w:r w:rsidR="007D0532">
        <w:t>:</w:t>
      </w:r>
      <w:r w:rsidR="002E2148" w:rsidRPr="00593D73">
        <w:t xml:space="preserve"> </w:t>
      </w:r>
    </w:p>
    <w:p w14:paraId="344E1888" w14:textId="6A5970EF" w:rsidR="007D0532" w:rsidRDefault="002A350B" w:rsidP="00593D73">
      <w:pPr>
        <w:pStyle w:val="SingleTxtG"/>
        <w:numPr>
          <w:ilvl w:val="0"/>
          <w:numId w:val="30"/>
        </w:numPr>
        <w:ind w:left="2268" w:hanging="425"/>
      </w:pPr>
      <w:r>
        <w:t>enjoy</w:t>
      </w:r>
      <w:r w:rsidR="002E2148" w:rsidRPr="00593D73">
        <w:t xml:space="preserve"> their right to health</w:t>
      </w:r>
      <w:r w:rsidR="007D0532">
        <w:t>,</w:t>
      </w:r>
      <w:r w:rsidR="00354940">
        <w:t xml:space="preserve"> and </w:t>
      </w:r>
    </w:p>
    <w:p w14:paraId="26F7D6C4" w14:textId="15064A60" w:rsidR="002E2148" w:rsidRPr="00593D73" w:rsidRDefault="007D0532" w:rsidP="00593D73">
      <w:pPr>
        <w:pStyle w:val="SingleTxtG"/>
        <w:numPr>
          <w:ilvl w:val="0"/>
          <w:numId w:val="30"/>
        </w:numPr>
        <w:ind w:left="2268" w:hanging="425"/>
      </w:pPr>
      <w:r>
        <w:t xml:space="preserve">have </w:t>
      </w:r>
      <w:r w:rsidR="002E2148" w:rsidRPr="00593D73">
        <w:t xml:space="preserve">universal and </w:t>
      </w:r>
      <w:r w:rsidR="007454D2">
        <w:t>fair</w:t>
      </w:r>
      <w:r w:rsidR="007454D2" w:rsidRPr="00593D73">
        <w:t xml:space="preserve"> </w:t>
      </w:r>
      <w:r w:rsidR="002E2148" w:rsidRPr="00593D73">
        <w:t>access to medicines, vaccines and other health products.</w:t>
      </w:r>
    </w:p>
    <w:p w14:paraId="0CF6EF07" w14:textId="2BCECCED" w:rsidR="002E2148" w:rsidRPr="00AA33A1" w:rsidRDefault="00D527A2" w:rsidP="002E2148">
      <w:pPr>
        <w:pStyle w:val="SingleTxtG"/>
        <w:rPr>
          <w:rStyle w:val="EndnoteReference"/>
          <w:vertAlign w:val="baseline"/>
        </w:rPr>
      </w:pPr>
      <w:r>
        <w:t>5</w:t>
      </w:r>
      <w:r w:rsidR="002E2148">
        <w:t>.</w:t>
      </w:r>
      <w:r>
        <w:tab/>
      </w:r>
      <w:r w:rsidR="002E2148" w:rsidRPr="00593D73">
        <w:t xml:space="preserve">Governments, national and international actors, the private sector and civil society have a shared responsibility to provide </w:t>
      </w:r>
      <w:r w:rsidR="00354940">
        <w:t xml:space="preserve">everyone with </w:t>
      </w:r>
      <w:r w:rsidR="002E2148" w:rsidRPr="00593D73">
        <w:t xml:space="preserve">access to medicines and vaccines. States </w:t>
      </w:r>
      <w:r w:rsidR="00B93291">
        <w:t xml:space="preserve">must </w:t>
      </w:r>
      <w:r w:rsidR="002E2148" w:rsidRPr="00593D73">
        <w:t xml:space="preserve">guarantee the right to health </w:t>
      </w:r>
      <w:r w:rsidR="00354940">
        <w:t xml:space="preserve">under </w:t>
      </w:r>
      <w:r w:rsidR="002E2148" w:rsidRPr="00593D73">
        <w:t xml:space="preserve">their obligations </w:t>
      </w:r>
      <w:r w:rsidR="00354940">
        <w:t xml:space="preserve">stated in </w:t>
      </w:r>
      <w:r w:rsidR="002E2148" w:rsidRPr="00593D73">
        <w:t xml:space="preserve">the economic, social and cultural rights framework, and that pharmaceutical companies </w:t>
      </w:r>
      <w:r w:rsidR="0013015E">
        <w:t xml:space="preserve">meet </w:t>
      </w:r>
      <w:r w:rsidR="002E2148" w:rsidRPr="00593D73">
        <w:t>their responsibility to respect</w:t>
      </w:r>
      <w:r w:rsidR="0013015E">
        <w:t xml:space="preserve"> their </w:t>
      </w:r>
      <w:r w:rsidR="2DA3EE8F">
        <w:t>duty</w:t>
      </w:r>
      <w:r w:rsidR="002E2148" w:rsidRPr="00593D73">
        <w:t>.</w:t>
      </w:r>
      <w:r w:rsidR="002E2148" w:rsidRPr="00AA33A1">
        <w:rPr>
          <w:rStyle w:val="EndnoteReference"/>
        </w:rPr>
        <w:endnoteReference w:id="4"/>
      </w:r>
    </w:p>
    <w:p w14:paraId="42B50C17" w14:textId="29128DD3" w:rsidR="00354940" w:rsidRDefault="002E2148" w:rsidP="002E2148">
      <w:pPr>
        <w:pStyle w:val="SingleTxtG"/>
      </w:pPr>
      <w:r w:rsidRPr="00AA33A1">
        <w:t>6.</w:t>
      </w:r>
      <w:r w:rsidRPr="00593D73">
        <w:tab/>
      </w:r>
      <w:r w:rsidR="001D33C3">
        <w:t xml:space="preserve">Identified practices that </w:t>
      </w:r>
      <w:r w:rsidRPr="00593D73">
        <w:t>promot</w:t>
      </w:r>
      <w:r w:rsidR="001D33C3">
        <w:t>e</w:t>
      </w:r>
      <w:r w:rsidRPr="00593D73">
        <w:t xml:space="preserve"> the availability, accessibility, acceptability and quality of essential medicines, vaccines and other health products </w:t>
      </w:r>
      <w:r w:rsidR="001D33C3">
        <w:t xml:space="preserve">include those </w:t>
      </w:r>
      <w:r w:rsidRPr="00593D73">
        <w:t>that</w:t>
      </w:r>
      <w:r w:rsidR="00354940">
        <w:t>:</w:t>
      </w:r>
      <w:r w:rsidRPr="00593D73">
        <w:t xml:space="preserve"> </w:t>
      </w:r>
    </w:p>
    <w:p w14:paraId="554AECE2" w14:textId="644DC792" w:rsidR="00354940" w:rsidRDefault="00354940" w:rsidP="00593D73">
      <w:pPr>
        <w:pStyle w:val="SingleTxtG"/>
        <w:numPr>
          <w:ilvl w:val="0"/>
          <w:numId w:val="31"/>
        </w:numPr>
        <w:tabs>
          <w:tab w:val="clear" w:pos="1701"/>
          <w:tab w:val="clear" w:pos="2268"/>
        </w:tabs>
        <w:ind w:left="2268" w:hanging="425"/>
      </w:pPr>
      <w:r>
        <w:t xml:space="preserve">are </w:t>
      </w:r>
      <w:r w:rsidR="0013015E">
        <w:t xml:space="preserve">based on </w:t>
      </w:r>
      <w:r w:rsidR="002E2148" w:rsidRPr="00593D73">
        <w:t>a human rights-based approach</w:t>
      </w:r>
      <w:r>
        <w:t>,</w:t>
      </w:r>
      <w:r w:rsidR="002E2148" w:rsidRPr="00593D73">
        <w:t xml:space="preserve"> and </w:t>
      </w:r>
    </w:p>
    <w:p w14:paraId="592481CF" w14:textId="47290F22" w:rsidR="00354940" w:rsidRDefault="0013015E" w:rsidP="00593D73">
      <w:pPr>
        <w:pStyle w:val="SingleTxtG"/>
        <w:numPr>
          <w:ilvl w:val="0"/>
          <w:numId w:val="31"/>
        </w:numPr>
        <w:tabs>
          <w:tab w:val="clear" w:pos="1701"/>
          <w:tab w:val="clear" w:pos="2268"/>
        </w:tabs>
        <w:ind w:left="2268" w:hanging="425"/>
      </w:pPr>
      <w:r>
        <w:t xml:space="preserve">allow </w:t>
      </w:r>
      <w:r w:rsidR="00354940">
        <w:t>everyone</w:t>
      </w:r>
      <w:r>
        <w:t xml:space="preserve"> to </w:t>
      </w:r>
      <w:r w:rsidR="002E2148" w:rsidRPr="00593D73">
        <w:t>meaningful</w:t>
      </w:r>
      <w:r>
        <w:t>ly</w:t>
      </w:r>
      <w:r w:rsidR="002E2148" w:rsidRPr="00593D73">
        <w:t xml:space="preserve"> participat</w:t>
      </w:r>
      <w:r>
        <w:t>e</w:t>
      </w:r>
      <w:r w:rsidR="002E2148" w:rsidRPr="00593D73">
        <w:t>, including civil society organizations</w:t>
      </w:r>
      <w:r w:rsidR="00354940">
        <w:t>,</w:t>
      </w:r>
      <w:r w:rsidR="002E2148" w:rsidRPr="00593D73">
        <w:t xml:space="preserve"> patients and consumer organizations. </w:t>
      </w:r>
    </w:p>
    <w:p w14:paraId="783CA081" w14:textId="508701BF" w:rsidR="002E2148" w:rsidRPr="00593D73" w:rsidRDefault="002E2148" w:rsidP="002E2148">
      <w:pPr>
        <w:pStyle w:val="SingleTxtG"/>
      </w:pPr>
      <w:r w:rsidRPr="00593D73">
        <w:t>The</w:t>
      </w:r>
      <w:r w:rsidR="00354940">
        <w:t>se</w:t>
      </w:r>
      <w:r w:rsidRPr="00593D73">
        <w:t xml:space="preserve"> include:</w:t>
      </w:r>
    </w:p>
    <w:p w14:paraId="48E66136" w14:textId="7C0952FA" w:rsidR="002E2148" w:rsidRPr="00AA33A1" w:rsidRDefault="002E2148" w:rsidP="00593D73">
      <w:pPr>
        <w:pStyle w:val="SingleTxtG"/>
        <w:ind w:left="2127" w:hanging="993"/>
      </w:pPr>
      <w:r w:rsidRPr="00AA33A1">
        <w:tab/>
      </w:r>
      <w:r>
        <w:t>(a)</w:t>
      </w:r>
      <w:r>
        <w:tab/>
      </w:r>
      <w:r w:rsidRPr="4DBD6537">
        <w:rPr>
          <w:b/>
          <w:bCs/>
        </w:rPr>
        <w:t>Invest</w:t>
      </w:r>
      <w:r w:rsidR="00580F25" w:rsidRPr="4DBD6537">
        <w:rPr>
          <w:b/>
          <w:bCs/>
        </w:rPr>
        <w:t>ing</w:t>
      </w:r>
      <w:r w:rsidRPr="4DBD6537">
        <w:rPr>
          <w:b/>
          <w:bCs/>
        </w:rPr>
        <w:t xml:space="preserve"> in research and develop</w:t>
      </w:r>
      <w:r w:rsidR="00580F25" w:rsidRPr="4DBD6537">
        <w:rPr>
          <w:b/>
          <w:bCs/>
        </w:rPr>
        <w:t>ing</w:t>
      </w:r>
      <w:r w:rsidRPr="4DBD6537">
        <w:rPr>
          <w:b/>
          <w:bCs/>
        </w:rPr>
        <w:t xml:space="preserve"> new medicines and vaccines</w:t>
      </w:r>
      <w:r w:rsidRPr="00593D73">
        <w:t xml:space="preserve"> </w:t>
      </w:r>
      <w:r w:rsidR="00B9312A">
        <w:t>by using</w:t>
      </w:r>
      <w:r w:rsidRPr="00593D73">
        <w:t>:</w:t>
      </w:r>
    </w:p>
    <w:p w14:paraId="492C2145" w14:textId="2E32095D" w:rsidR="002E2148" w:rsidRPr="00593D73" w:rsidRDefault="002E2148" w:rsidP="00593D73">
      <w:pPr>
        <w:pStyle w:val="Bullet2G"/>
        <w:numPr>
          <w:ilvl w:val="0"/>
          <w:numId w:val="0"/>
        </w:numPr>
        <w:tabs>
          <w:tab w:val="left" w:pos="2127"/>
          <w:tab w:val="left" w:pos="2552"/>
        </w:tabs>
        <w:ind w:left="2547" w:hanging="420"/>
      </w:pPr>
      <w:r>
        <w:t>(i)</w:t>
      </w:r>
      <w:r>
        <w:tab/>
      </w:r>
      <w:r w:rsidR="001D33C3">
        <w:t>p</w:t>
      </w:r>
      <w:r w:rsidRPr="00593D73">
        <w:t xml:space="preserve">ublic-private partnerships, </w:t>
      </w:r>
      <w:r w:rsidR="13832989">
        <w:t>for example</w:t>
      </w:r>
      <w:r w:rsidR="00B9312A">
        <w:t>,</w:t>
      </w:r>
      <w:r w:rsidRPr="00593D73">
        <w:t xml:space="preserve"> innovative funding mechanisms and partnerships to </w:t>
      </w:r>
      <w:r w:rsidR="001D33C3">
        <w:t>improve</w:t>
      </w:r>
      <w:r w:rsidRPr="00593D73">
        <w:t xml:space="preserve"> the transfer of technology and investment in research and development, including in medicines and vaccines for non-communicable diseases</w:t>
      </w:r>
      <w:r w:rsidR="00354940">
        <w:t>,</w:t>
      </w:r>
      <w:r w:rsidR="001D33C3">
        <w:t xml:space="preserve"> and</w:t>
      </w:r>
    </w:p>
    <w:p w14:paraId="3D0526F0" w14:textId="2D60064A" w:rsidR="002E2148" w:rsidRPr="00593D73" w:rsidRDefault="002E2148" w:rsidP="00593D73">
      <w:pPr>
        <w:pStyle w:val="Bullet2G"/>
        <w:numPr>
          <w:ilvl w:val="0"/>
          <w:numId w:val="0"/>
        </w:numPr>
        <w:tabs>
          <w:tab w:val="left" w:pos="2127"/>
          <w:tab w:val="left" w:pos="2552"/>
        </w:tabs>
        <w:ind w:left="2547" w:hanging="420"/>
      </w:pPr>
      <w:r w:rsidRPr="00AA33A1">
        <w:t>(ii)</w:t>
      </w:r>
      <w:r w:rsidRPr="00593D73">
        <w:tab/>
      </w:r>
      <w:r w:rsidR="001D33C3">
        <w:t>p</w:t>
      </w:r>
      <w:r w:rsidRPr="00593D73">
        <w:t>olicies and measures to promote the fair pricing of medicines, vaccines and other health products to ensure the</w:t>
      </w:r>
      <w:r w:rsidR="0013015E" w:rsidRPr="00593D73">
        <w:t>y are affordable</w:t>
      </w:r>
      <w:r w:rsidRPr="00593D73">
        <w:t>, p</w:t>
      </w:r>
      <w:r w:rsidR="00ED495B">
        <w:t>utting</w:t>
      </w:r>
      <w:r w:rsidRPr="00593D73">
        <w:t xml:space="preserve"> the right to health considerations before profit, </w:t>
      </w:r>
      <w:r w:rsidR="00EA5695" w:rsidRPr="00593D73">
        <w:t>e.g.</w:t>
      </w:r>
      <w:r w:rsidRPr="00593D73">
        <w:t>:</w:t>
      </w:r>
    </w:p>
    <w:p w14:paraId="09B39AFC" w14:textId="4BF8D062" w:rsidR="002E2148" w:rsidRPr="00593D73" w:rsidRDefault="002E2148" w:rsidP="00593D73">
      <w:pPr>
        <w:pStyle w:val="Bullet1G"/>
        <w:numPr>
          <w:ilvl w:val="0"/>
          <w:numId w:val="0"/>
        </w:numPr>
        <w:ind w:left="2835" w:hanging="283"/>
      </w:pPr>
      <w:r w:rsidRPr="00AA33A1">
        <w:t>a.</w:t>
      </w:r>
      <w:r w:rsidRPr="00593D73">
        <w:tab/>
      </w:r>
      <w:r w:rsidR="00354940">
        <w:t>i</w:t>
      </w:r>
      <w:r w:rsidRPr="00593D73">
        <w:t>nclu</w:t>
      </w:r>
      <w:r w:rsidR="0013015E">
        <w:t xml:space="preserve">ding </w:t>
      </w:r>
      <w:r w:rsidRPr="00593D73">
        <w:t>essential medicines in social protection and reimbursement policies to ensure access to affordable medicines, vaccines and other health products without discrimination, particularly for persons and groups</w:t>
      </w:r>
      <w:r w:rsidR="0013015E">
        <w:t xml:space="preserve"> who are vulnerable or marginalized,</w:t>
      </w:r>
    </w:p>
    <w:p w14:paraId="4A4D6833" w14:textId="1A1A59ED" w:rsidR="002E2148" w:rsidRPr="00AA33A1" w:rsidRDefault="002E2148" w:rsidP="00593D73">
      <w:pPr>
        <w:pStyle w:val="Bullet1G"/>
        <w:numPr>
          <w:ilvl w:val="0"/>
          <w:numId w:val="0"/>
        </w:numPr>
        <w:ind w:left="2835" w:hanging="283"/>
      </w:pPr>
      <w:r w:rsidRPr="00AA33A1">
        <w:t>b.</w:t>
      </w:r>
      <w:r w:rsidRPr="00AA33A1">
        <w:tab/>
      </w:r>
      <w:r w:rsidR="00354940">
        <w:t>c</w:t>
      </w:r>
      <w:r w:rsidR="0013015E">
        <w:t>reating e</w:t>
      </w:r>
      <w:r w:rsidRPr="00593D73">
        <w:t>fficient and transparent procurement practices and procedures that are fair</w:t>
      </w:r>
      <w:r w:rsidR="0013015E">
        <w:t>,</w:t>
      </w:r>
      <w:r w:rsidRPr="00593D73">
        <w:t xml:space="preserve"> competitive and require </w:t>
      </w:r>
      <w:r w:rsidR="0013015E">
        <w:t>suppliers to meet strict rules,</w:t>
      </w:r>
    </w:p>
    <w:p w14:paraId="16A33E47" w14:textId="59979463" w:rsidR="002E2148" w:rsidRPr="00593D73" w:rsidRDefault="002E2148" w:rsidP="00593D73">
      <w:pPr>
        <w:pStyle w:val="Bullet1G"/>
        <w:numPr>
          <w:ilvl w:val="0"/>
          <w:numId w:val="0"/>
        </w:numPr>
        <w:ind w:left="2835" w:hanging="283"/>
      </w:pPr>
      <w:r w:rsidRPr="00AA33A1">
        <w:t>c.</w:t>
      </w:r>
      <w:r w:rsidRPr="00AA33A1">
        <w:tab/>
      </w:r>
      <w:r w:rsidR="00354940">
        <w:t>c</w:t>
      </w:r>
      <w:r w:rsidR="0013015E">
        <w:t>reating p</w:t>
      </w:r>
      <w:r w:rsidRPr="00593D73">
        <w:t xml:space="preserve">olicy frameworks that </w:t>
      </w:r>
      <w:r w:rsidR="0013015E">
        <w:t>encourage</w:t>
      </w:r>
      <w:r w:rsidRPr="00593D73">
        <w:t xml:space="preserve"> the local production of medicines and vaccines to ensure the</w:t>
      </w:r>
      <w:r w:rsidR="0013015E">
        <w:t xml:space="preserve">y are </w:t>
      </w:r>
      <w:r w:rsidRPr="00593D73">
        <w:t>availab</w:t>
      </w:r>
      <w:r w:rsidR="0013015E">
        <w:t>le,</w:t>
      </w:r>
      <w:r w:rsidRPr="00593D73">
        <w:t xml:space="preserve"> </w:t>
      </w:r>
      <w:r w:rsidR="0013015E">
        <w:t xml:space="preserve">accessible </w:t>
      </w:r>
      <w:r w:rsidRPr="00593D73">
        <w:t>long-term and affordab</w:t>
      </w:r>
      <w:r w:rsidR="0013015E">
        <w:t>le, and</w:t>
      </w:r>
    </w:p>
    <w:p w14:paraId="0F98E3CA" w14:textId="4383CCB5" w:rsidR="002E2148" w:rsidRPr="00593D73" w:rsidRDefault="002E2148" w:rsidP="00593D73">
      <w:pPr>
        <w:pStyle w:val="Bullet1G"/>
        <w:numPr>
          <w:ilvl w:val="0"/>
          <w:numId w:val="0"/>
        </w:numPr>
        <w:ind w:left="2835" w:hanging="283"/>
      </w:pPr>
      <w:r w:rsidRPr="00AA33A1">
        <w:lastRenderedPageBreak/>
        <w:t>d.</w:t>
      </w:r>
      <w:r w:rsidRPr="00593D73">
        <w:tab/>
      </w:r>
      <w:r w:rsidR="00354940">
        <w:t>i</w:t>
      </w:r>
      <w:r w:rsidR="0013015E">
        <w:t>ntroducing m</w:t>
      </w:r>
      <w:r w:rsidRPr="00593D73">
        <w:t>easures that encourage generic medicines</w:t>
      </w:r>
      <w:r w:rsidR="0013015E">
        <w:t xml:space="preserve"> to be produced</w:t>
      </w:r>
      <w:r w:rsidRPr="00593D73">
        <w:t xml:space="preserve">, and innovative models </w:t>
      </w:r>
      <w:r w:rsidR="001D33C3">
        <w:t>to buy and distribute medicines</w:t>
      </w:r>
      <w:r w:rsidR="007D0532">
        <w:t>,</w:t>
      </w:r>
    </w:p>
    <w:p w14:paraId="7767867C" w14:textId="6C1235C0" w:rsidR="002E2148" w:rsidRPr="00593D73" w:rsidRDefault="002E2148" w:rsidP="00593D73">
      <w:pPr>
        <w:pStyle w:val="SingleTxtG"/>
        <w:ind w:left="2127" w:hanging="993"/>
      </w:pPr>
      <w:r w:rsidRPr="00593D73">
        <w:tab/>
      </w:r>
      <w:r w:rsidRPr="00AA33A1">
        <w:t>(b)</w:t>
      </w:r>
      <w:r w:rsidRPr="00593D73">
        <w:tab/>
      </w:r>
      <w:r w:rsidR="00580F25" w:rsidRPr="00593D73">
        <w:rPr>
          <w:b/>
          <w:bCs/>
        </w:rPr>
        <w:t>Using</w:t>
      </w:r>
      <w:r w:rsidR="00580F25">
        <w:t xml:space="preserve"> </w:t>
      </w:r>
      <w:r w:rsidR="00580F25">
        <w:rPr>
          <w:b/>
          <w:bCs/>
        </w:rPr>
        <w:t>a</w:t>
      </w:r>
      <w:r w:rsidRPr="00A618B0">
        <w:rPr>
          <w:b/>
          <w:bCs/>
        </w:rPr>
        <w:t>ccess-oriented management of intellectual property rights</w:t>
      </w:r>
      <w:r w:rsidRPr="00593D73">
        <w:t xml:space="preserve"> </w:t>
      </w:r>
      <w:r w:rsidR="00993086">
        <w:t>by using</w:t>
      </w:r>
      <w:r w:rsidRPr="00593D73">
        <w:t xml:space="preserve">: </w:t>
      </w:r>
    </w:p>
    <w:p w14:paraId="599F3589" w14:textId="11A4F5B9" w:rsidR="002E2148" w:rsidRPr="00593D73" w:rsidRDefault="002E2148" w:rsidP="00593D73">
      <w:pPr>
        <w:pStyle w:val="Bullet2G"/>
        <w:numPr>
          <w:ilvl w:val="0"/>
          <w:numId w:val="0"/>
        </w:numPr>
        <w:tabs>
          <w:tab w:val="left" w:pos="2127"/>
          <w:tab w:val="left" w:pos="2552"/>
        </w:tabs>
        <w:ind w:left="2547" w:hanging="420"/>
      </w:pPr>
      <w:r w:rsidRPr="00AA33A1">
        <w:t>(i)</w:t>
      </w:r>
      <w:r w:rsidRPr="00593D73">
        <w:tab/>
      </w:r>
      <w:r w:rsidR="00354940">
        <w:t>m</w:t>
      </w:r>
      <w:r w:rsidRPr="00593D73">
        <w:t xml:space="preserve">echanisms that mitigate the impact of intellectual property rights and promote access to medicines, vaccines and health products </w:t>
      </w:r>
      <w:r w:rsidR="00354940">
        <w:t xml:space="preserve">under </w:t>
      </w:r>
      <w:r w:rsidRPr="00593D73">
        <w:t>the right to health framework</w:t>
      </w:r>
      <w:r w:rsidR="00354940">
        <w:t>,</w:t>
      </w:r>
    </w:p>
    <w:p w14:paraId="4BD5B797" w14:textId="7CD7ED33" w:rsidR="002E2148" w:rsidRPr="00593D73" w:rsidRDefault="002E2148" w:rsidP="00593D73">
      <w:pPr>
        <w:pStyle w:val="Bullet2G"/>
        <w:numPr>
          <w:ilvl w:val="0"/>
          <w:numId w:val="0"/>
        </w:numPr>
        <w:tabs>
          <w:tab w:val="left" w:pos="2127"/>
          <w:tab w:val="left" w:pos="2552"/>
        </w:tabs>
        <w:ind w:left="2547" w:hanging="420"/>
      </w:pPr>
      <w:r w:rsidRPr="00AA33A1">
        <w:t>(ii)</w:t>
      </w:r>
      <w:r w:rsidRPr="00AA33A1">
        <w:tab/>
      </w:r>
      <w:r w:rsidRPr="00593D73">
        <w:t xml:space="preserve">approaches </w:t>
      </w:r>
      <w:r w:rsidR="00ED495B">
        <w:t xml:space="preserve">that increase access </w:t>
      </w:r>
      <w:r w:rsidRPr="00593D73">
        <w:t xml:space="preserve">to intellectual property management, including patent pooling and </w:t>
      </w:r>
      <w:r w:rsidR="001D33C3">
        <w:t xml:space="preserve">using </w:t>
      </w:r>
      <w:r w:rsidRPr="00593D73">
        <w:t>non-exclusive voluntary licensing</w:t>
      </w:r>
      <w:r w:rsidR="00354940">
        <w:t>, and</w:t>
      </w:r>
    </w:p>
    <w:p w14:paraId="60F0E821" w14:textId="02B3AB14" w:rsidR="002E2148" w:rsidRPr="00593D73" w:rsidRDefault="002E2148" w:rsidP="00593D73">
      <w:pPr>
        <w:pStyle w:val="Bullet2G"/>
        <w:numPr>
          <w:ilvl w:val="0"/>
          <w:numId w:val="0"/>
        </w:numPr>
        <w:tabs>
          <w:tab w:val="left" w:pos="2127"/>
          <w:tab w:val="left" w:pos="2552"/>
        </w:tabs>
        <w:ind w:left="2547" w:hanging="420"/>
      </w:pPr>
      <w:r w:rsidRPr="00AA33A1">
        <w:t>(iii)</w:t>
      </w:r>
      <w:r w:rsidRPr="00593D73">
        <w:tab/>
      </w:r>
      <w:r w:rsidR="00354940">
        <w:t>the u</w:t>
      </w:r>
      <w:r w:rsidRPr="00593D73">
        <w:t xml:space="preserve">se of flexibilities under the TRIPS Agreement to promote regional collaboration to pool resources and </w:t>
      </w:r>
      <w:r w:rsidR="00ED495B">
        <w:t>increase</w:t>
      </w:r>
      <w:r w:rsidR="00ED495B" w:rsidRPr="00593D73">
        <w:t xml:space="preserve"> </w:t>
      </w:r>
      <w:r w:rsidRPr="00593D73">
        <w:t>competitiveness of local production</w:t>
      </w:r>
      <w:r w:rsidR="00354940">
        <w:t>,</w:t>
      </w:r>
    </w:p>
    <w:p w14:paraId="150636BF" w14:textId="0E8F1C00" w:rsidR="002E2148" w:rsidRPr="00AA33A1" w:rsidRDefault="002E2148" w:rsidP="002E2148">
      <w:pPr>
        <w:pStyle w:val="SingleTxtG"/>
      </w:pPr>
      <w:r w:rsidRPr="00AA33A1">
        <w:tab/>
        <w:t>(c)</w:t>
      </w:r>
      <w:r w:rsidR="00A55575">
        <w:t xml:space="preserve">  </w:t>
      </w:r>
      <w:r w:rsidR="00580F25" w:rsidRPr="00593D73">
        <w:rPr>
          <w:b/>
          <w:bCs/>
        </w:rPr>
        <w:t>Using</w:t>
      </w:r>
      <w:r w:rsidR="00580F25">
        <w:t xml:space="preserve"> </w:t>
      </w:r>
      <w:r w:rsidR="00580F25">
        <w:rPr>
          <w:b/>
          <w:bCs/>
        </w:rPr>
        <w:t>s</w:t>
      </w:r>
      <w:r w:rsidRPr="00A618B0">
        <w:rPr>
          <w:b/>
          <w:bCs/>
        </w:rPr>
        <w:t>trong regulatory frameworks</w:t>
      </w:r>
      <w:r w:rsidRPr="00593D73">
        <w:t>, including:</w:t>
      </w:r>
    </w:p>
    <w:p w14:paraId="2A6F016C" w14:textId="193FF2C2" w:rsidR="002E2148" w:rsidRPr="00593D73" w:rsidRDefault="002E2148" w:rsidP="00593D73">
      <w:pPr>
        <w:pStyle w:val="Bullet2G"/>
        <w:numPr>
          <w:ilvl w:val="0"/>
          <w:numId w:val="0"/>
        </w:numPr>
        <w:tabs>
          <w:tab w:val="left" w:pos="2127"/>
          <w:tab w:val="left" w:pos="2552"/>
        </w:tabs>
        <w:ind w:left="2547" w:hanging="420"/>
      </w:pPr>
      <w:r w:rsidRPr="00AA33A1">
        <w:t xml:space="preserve">(i) </w:t>
      </w:r>
      <w:r w:rsidRPr="00AA33A1">
        <w:tab/>
      </w:r>
      <w:r w:rsidR="00951CEA">
        <w:t>s</w:t>
      </w:r>
      <w:r w:rsidRPr="00593D73">
        <w:t xml:space="preserve">treamlined review and approval processes to </w:t>
      </w:r>
      <w:r w:rsidR="001D33C3">
        <w:t>help</w:t>
      </w:r>
      <w:r w:rsidRPr="00593D73">
        <w:t xml:space="preserve"> the production of generic medicines, while maintaining the highest standards of quality and safety of medicines and vaccines</w:t>
      </w:r>
      <w:r w:rsidR="00951CEA">
        <w:t>,</w:t>
      </w:r>
    </w:p>
    <w:p w14:paraId="7F96635F" w14:textId="1D92D3E3" w:rsidR="002E2148" w:rsidRPr="00593D73" w:rsidRDefault="002E2148" w:rsidP="00593D73">
      <w:pPr>
        <w:pStyle w:val="Bullet2G"/>
        <w:numPr>
          <w:ilvl w:val="0"/>
          <w:numId w:val="0"/>
        </w:numPr>
        <w:tabs>
          <w:tab w:val="left" w:pos="2127"/>
          <w:tab w:val="left" w:pos="2552"/>
        </w:tabs>
        <w:ind w:left="2547" w:hanging="420"/>
      </w:pPr>
      <w:r w:rsidRPr="00AA33A1">
        <w:t>(ii)</w:t>
      </w:r>
      <w:r w:rsidRPr="00593D73">
        <w:tab/>
      </w:r>
      <w:r w:rsidR="00951CEA">
        <w:t>p</w:t>
      </w:r>
      <w:r w:rsidRPr="00593D73">
        <w:t xml:space="preserve">rocedures for increased transparency and accountability to address corrupt practices, especially in </w:t>
      </w:r>
      <w:r w:rsidR="001D33C3">
        <w:t>how medicines are selected, bought and registered</w:t>
      </w:r>
      <w:r w:rsidR="00951CEA">
        <w:t>,</w:t>
      </w:r>
    </w:p>
    <w:p w14:paraId="476F3D3B" w14:textId="28C0462D" w:rsidR="002E2148" w:rsidRPr="00593D73" w:rsidRDefault="002E2148" w:rsidP="00593D73">
      <w:pPr>
        <w:pStyle w:val="Bullet2G"/>
        <w:numPr>
          <w:ilvl w:val="0"/>
          <w:numId w:val="0"/>
        </w:numPr>
        <w:tabs>
          <w:tab w:val="left" w:pos="2127"/>
          <w:tab w:val="left" w:pos="2552"/>
        </w:tabs>
        <w:ind w:left="2547" w:hanging="420"/>
      </w:pPr>
      <w:r w:rsidRPr="00AA33A1">
        <w:t>(iii)</w:t>
      </w:r>
      <w:r w:rsidRPr="00AA33A1">
        <w:tab/>
      </w:r>
      <w:r w:rsidR="00951CEA">
        <w:t>c</w:t>
      </w:r>
      <w:r w:rsidRPr="00593D73">
        <w:t xml:space="preserve">ompetition laws and policies that prevent </w:t>
      </w:r>
      <w:r w:rsidR="00951CEA" w:rsidRPr="0084585F">
        <w:t>pharmaceutical companies</w:t>
      </w:r>
      <w:r w:rsidR="00951CEA">
        <w:t xml:space="preserve"> </w:t>
      </w:r>
      <w:r w:rsidR="007D0532">
        <w:t xml:space="preserve">from </w:t>
      </w:r>
      <w:r w:rsidR="00951CEA">
        <w:t xml:space="preserve">using </w:t>
      </w:r>
      <w:r w:rsidRPr="00593D73">
        <w:t xml:space="preserve">anticompetitive practices and promote </w:t>
      </w:r>
      <w:r w:rsidR="00951CEA">
        <w:t xml:space="preserve">the </w:t>
      </w:r>
      <w:r w:rsidRPr="00593D73">
        <w:t>competitive pricing of medicines, together with strong enforcement</w:t>
      </w:r>
      <w:r w:rsidR="00951CEA">
        <w:t>, and</w:t>
      </w:r>
    </w:p>
    <w:p w14:paraId="118CD4E2" w14:textId="77C14AB3" w:rsidR="002E2148" w:rsidRPr="00593D73" w:rsidRDefault="002E2148" w:rsidP="00593D73">
      <w:pPr>
        <w:pStyle w:val="Bullet2G"/>
        <w:numPr>
          <w:ilvl w:val="0"/>
          <w:numId w:val="0"/>
        </w:numPr>
        <w:tabs>
          <w:tab w:val="left" w:pos="2127"/>
          <w:tab w:val="left" w:pos="2552"/>
        </w:tabs>
        <w:ind w:left="2547" w:hanging="420"/>
      </w:pPr>
      <w:r w:rsidRPr="00AA33A1">
        <w:t>(iv)</w:t>
      </w:r>
      <w:r w:rsidRPr="00593D73">
        <w:tab/>
      </w:r>
      <w:r w:rsidR="00951CEA">
        <w:t>d</w:t>
      </w:r>
      <w:r w:rsidRPr="00593D73">
        <w:t>isclosure of information on medicine prices and quality, and sharing information on patents and investments in research and development</w:t>
      </w:r>
      <w:r w:rsidR="00951CEA">
        <w:t>,</w:t>
      </w:r>
      <w:r w:rsidRPr="00593D73">
        <w:t xml:space="preserve"> </w:t>
      </w:r>
    </w:p>
    <w:p w14:paraId="62CF8A69" w14:textId="588FB105" w:rsidR="002E2148" w:rsidRPr="00593D73" w:rsidRDefault="002E2148" w:rsidP="00593D73">
      <w:pPr>
        <w:pStyle w:val="SingleTxtG"/>
        <w:ind w:left="2127" w:hanging="1276"/>
      </w:pPr>
      <w:r w:rsidRPr="00AA33A1">
        <w:tab/>
        <w:t>(d)</w:t>
      </w:r>
      <w:r w:rsidR="00A55575">
        <w:t xml:space="preserve"> </w:t>
      </w:r>
      <w:r w:rsidR="00A618B0">
        <w:t xml:space="preserve"> </w:t>
      </w:r>
      <w:r w:rsidR="00580F25" w:rsidRPr="00593D73">
        <w:rPr>
          <w:b/>
          <w:bCs/>
        </w:rPr>
        <w:t>Using m</w:t>
      </w:r>
      <w:r w:rsidRPr="00A618B0">
        <w:rPr>
          <w:b/>
          <w:bCs/>
        </w:rPr>
        <w:t>easures promoting effective participation and acceptability</w:t>
      </w:r>
      <w:r w:rsidRPr="00593D73">
        <w:t>, e.g.:</w:t>
      </w:r>
    </w:p>
    <w:p w14:paraId="4EFDD3B5" w14:textId="41B6C0F5" w:rsidR="002E2148" w:rsidRPr="00593D73" w:rsidRDefault="002E2148" w:rsidP="00593D73">
      <w:pPr>
        <w:pStyle w:val="Bullet2G"/>
        <w:numPr>
          <w:ilvl w:val="0"/>
          <w:numId w:val="0"/>
        </w:numPr>
        <w:tabs>
          <w:tab w:val="left" w:pos="2127"/>
          <w:tab w:val="left" w:pos="2552"/>
        </w:tabs>
        <w:ind w:left="2547" w:hanging="420"/>
      </w:pPr>
      <w:r w:rsidRPr="00AA33A1">
        <w:t>(i)</w:t>
      </w:r>
      <w:r w:rsidRPr="00593D73">
        <w:tab/>
      </w:r>
      <w:r w:rsidR="00951CEA">
        <w:t>e</w:t>
      </w:r>
      <w:r w:rsidRPr="00593D73">
        <w:t>nsuring communities and affected populations</w:t>
      </w:r>
      <w:r w:rsidR="00ED495B">
        <w:t xml:space="preserve"> effectively participate</w:t>
      </w:r>
      <w:r w:rsidRPr="00593D73">
        <w:t xml:space="preserve"> in the decision-making process to increase trust and acceptability of medicines and vaccines</w:t>
      </w:r>
      <w:r w:rsidR="00951CEA">
        <w:t>,</w:t>
      </w:r>
    </w:p>
    <w:p w14:paraId="7AAFA05D" w14:textId="02DBC431" w:rsidR="002E2148" w:rsidRPr="00593D73" w:rsidRDefault="002E2148" w:rsidP="00593D73">
      <w:pPr>
        <w:pStyle w:val="Bullet2G"/>
        <w:numPr>
          <w:ilvl w:val="0"/>
          <w:numId w:val="0"/>
        </w:numPr>
        <w:tabs>
          <w:tab w:val="left" w:pos="2127"/>
          <w:tab w:val="left" w:pos="2552"/>
        </w:tabs>
        <w:ind w:left="2547" w:hanging="420"/>
      </w:pPr>
      <w:r w:rsidRPr="00AA33A1">
        <w:t>(ii)</w:t>
      </w:r>
      <w:r w:rsidRPr="00593D73">
        <w:tab/>
      </w:r>
      <w:r w:rsidR="00951CEA">
        <w:t>c</w:t>
      </w:r>
      <w:r w:rsidRPr="00593D73">
        <w:t xml:space="preserve">reating national essential medicines lists, determined through a transparent and participatory process, that adequately reflect the national health </w:t>
      </w:r>
      <w:r w:rsidR="002A350B">
        <w:t>si</w:t>
      </w:r>
      <w:r w:rsidR="007D0532">
        <w:t>t</w:t>
      </w:r>
      <w:r w:rsidR="002A350B">
        <w:t>uation</w:t>
      </w:r>
      <w:r w:rsidRPr="00593D73">
        <w:t>, particularly the needs of vulnerable groups, and that are regularly updated</w:t>
      </w:r>
      <w:r w:rsidR="00951CEA">
        <w:t>, and</w:t>
      </w:r>
    </w:p>
    <w:p w14:paraId="3EA81947" w14:textId="2EE5F20A" w:rsidR="002E2148" w:rsidRPr="00F26153" w:rsidRDefault="002E2148" w:rsidP="00593D73">
      <w:pPr>
        <w:pStyle w:val="Bullet2G"/>
        <w:numPr>
          <w:ilvl w:val="0"/>
          <w:numId w:val="0"/>
        </w:numPr>
        <w:tabs>
          <w:tab w:val="left" w:pos="2127"/>
          <w:tab w:val="left" w:pos="2552"/>
        </w:tabs>
        <w:ind w:left="2547" w:hanging="420"/>
        <w:rPr>
          <w:b/>
          <w:bCs/>
        </w:rPr>
      </w:pPr>
      <w:r w:rsidRPr="00AA33A1">
        <w:t>(iii)</w:t>
      </w:r>
      <w:r w:rsidRPr="00AA33A1">
        <w:tab/>
      </w:r>
      <w:r w:rsidR="00951CEA">
        <w:t>i</w:t>
      </w:r>
      <w:r w:rsidRPr="00593D73">
        <w:t>ntroducing</w:t>
      </w:r>
      <w:r w:rsidRPr="00AA33A1">
        <w:t xml:space="preserve"> </w:t>
      </w:r>
      <w:r w:rsidRPr="00593D73">
        <w:t xml:space="preserve">tailored interventions supported by behavioural, science-informed analysis to ensure </w:t>
      </w:r>
      <w:r w:rsidR="001D33C3" w:rsidRPr="003E66AC">
        <w:t>medicines and vaccines</w:t>
      </w:r>
      <w:r w:rsidR="001D33C3" w:rsidRPr="001D33C3">
        <w:t xml:space="preserve"> </w:t>
      </w:r>
      <w:r w:rsidR="001D33C3">
        <w:t>are accepted</w:t>
      </w:r>
      <w:r w:rsidRPr="00593D73">
        <w:t>.</w:t>
      </w:r>
    </w:p>
    <w:p w14:paraId="39304EAE" w14:textId="77777777" w:rsidR="002E2148" w:rsidRPr="00341436" w:rsidRDefault="002E2148" w:rsidP="00E80810">
      <w:pPr>
        <w:pStyle w:val="SingleTxtG"/>
      </w:pPr>
    </w:p>
    <w:p w14:paraId="22F5A9AD" w14:textId="77777777" w:rsidR="00AA33A1" w:rsidRDefault="002E2148" w:rsidP="00E80810">
      <w:pPr>
        <w:pStyle w:val="HChG"/>
      </w:pPr>
      <w:r w:rsidRPr="00341436">
        <w:tab/>
      </w:r>
    </w:p>
    <w:p w14:paraId="1D0C215E" w14:textId="77777777" w:rsidR="00AA33A1" w:rsidRDefault="00AA33A1">
      <w:pPr>
        <w:suppressAutoHyphens w:val="0"/>
        <w:spacing w:after="200" w:line="276" w:lineRule="auto"/>
        <w:rPr>
          <w:b/>
          <w:sz w:val="28"/>
        </w:rPr>
      </w:pPr>
      <w:r>
        <w:br w:type="page"/>
      </w:r>
    </w:p>
    <w:p w14:paraId="29FD60FE" w14:textId="7DCB4829" w:rsidR="002E2148" w:rsidRPr="00341436" w:rsidRDefault="00AA33A1" w:rsidP="00E80810">
      <w:pPr>
        <w:pStyle w:val="HChG"/>
      </w:pPr>
      <w:r>
        <w:lastRenderedPageBreak/>
        <w:tab/>
      </w:r>
      <w:r w:rsidR="002E2148" w:rsidRPr="00341436">
        <w:t>II</w:t>
      </w:r>
      <w:r w:rsidR="002E2148">
        <w:t>I</w:t>
      </w:r>
      <w:r w:rsidR="002E2148" w:rsidRPr="00341436">
        <w:t>.</w:t>
      </w:r>
      <w:r w:rsidR="002E2148" w:rsidRPr="00341436">
        <w:tab/>
      </w:r>
      <w:bookmarkStart w:id="2" w:name="III_relationship_human_rights_fair_acces"/>
      <w:r w:rsidR="00EC6C04">
        <w:t xml:space="preserve">The </w:t>
      </w:r>
      <w:r w:rsidR="00EC6C04" w:rsidRPr="00EC6C04">
        <w:t>relationship between human rights and getting fair access to medicines, vaccines and other health products</w:t>
      </w:r>
      <w:bookmarkEnd w:id="2"/>
    </w:p>
    <w:p w14:paraId="787EC983" w14:textId="7A9C4CCB" w:rsidR="002E2148" w:rsidRPr="00341436" w:rsidRDefault="00EC6C04" w:rsidP="00E80810">
      <w:pPr>
        <w:pStyle w:val="H1G"/>
        <w:numPr>
          <w:ilvl w:val="0"/>
          <w:numId w:val="12"/>
        </w:numPr>
      </w:pPr>
      <w:bookmarkStart w:id="3" w:name="_Hlk128686067"/>
      <w:bookmarkStart w:id="4" w:name="IIIA_Ensuring_use_human_rights"/>
      <w:r>
        <w:t>E</w:t>
      </w:r>
      <w:r w:rsidRPr="00EC6C04">
        <w:t>nsuring that everyone can use their human rights to get access to medicines, vaccines and other health products</w:t>
      </w:r>
    </w:p>
    <w:bookmarkEnd w:id="3"/>
    <w:bookmarkEnd w:id="4"/>
    <w:p w14:paraId="33058D3E" w14:textId="5DD14D1C" w:rsidR="002E2148" w:rsidRPr="00341436" w:rsidRDefault="00D527A2" w:rsidP="00E80810">
      <w:pPr>
        <w:pStyle w:val="SingleTxtG"/>
        <w:ind w:left="1130"/>
      </w:pPr>
      <w:r>
        <w:t>7</w:t>
      </w:r>
      <w:r w:rsidR="002E2148" w:rsidRPr="00341436">
        <w:t>.</w:t>
      </w:r>
      <w:r w:rsidR="002E2148" w:rsidRPr="00341436">
        <w:tab/>
      </w:r>
      <w:r w:rsidR="002E2148">
        <w:t>The l</w:t>
      </w:r>
      <w:r w:rsidR="002E2148" w:rsidRPr="00341436">
        <w:t>ack of access to medicines, vaccines and other health products</w:t>
      </w:r>
      <w:r w:rsidR="002E2148" w:rsidRPr="000812B8">
        <w:rPr>
          <w:rStyle w:val="EndnoteReference"/>
        </w:rPr>
        <w:endnoteReference w:id="5"/>
      </w:r>
      <w:r w:rsidR="002E2148" w:rsidRPr="000812B8">
        <w:rPr>
          <w:rStyle w:val="EndnoteReference"/>
        </w:rPr>
        <w:t xml:space="preserve"> </w:t>
      </w:r>
      <w:r w:rsidR="002E2148" w:rsidRPr="00341436">
        <w:t xml:space="preserve">is a complex issue and a major obstacle </w:t>
      </w:r>
      <w:r w:rsidR="00951CEA">
        <w:t xml:space="preserve">that prevents </w:t>
      </w:r>
      <w:r w:rsidR="002E2148">
        <w:t xml:space="preserve">people </w:t>
      </w:r>
      <w:r w:rsidR="00951CEA">
        <w:t xml:space="preserve">from </w:t>
      </w:r>
      <w:r w:rsidR="00010E5B">
        <w:t>enjoying</w:t>
      </w:r>
      <w:r w:rsidR="00951CEA">
        <w:t xml:space="preserve"> </w:t>
      </w:r>
      <w:r w:rsidR="002E2148">
        <w:t xml:space="preserve">their </w:t>
      </w:r>
      <w:r w:rsidR="002E2148" w:rsidRPr="00341436">
        <w:t>right to health.</w:t>
      </w:r>
      <w:r w:rsidR="002E2148" w:rsidRPr="000812B8">
        <w:rPr>
          <w:rStyle w:val="EndnoteReference"/>
        </w:rPr>
        <w:endnoteReference w:id="6"/>
      </w:r>
      <w:r w:rsidR="002E2148" w:rsidRPr="000812B8">
        <w:rPr>
          <w:rStyle w:val="EndnoteReference"/>
        </w:rPr>
        <w:t xml:space="preserve"> </w:t>
      </w:r>
      <w:r w:rsidR="002E2148" w:rsidRPr="00341436">
        <w:t xml:space="preserve">Ensuring access to medicines and vaccines requires a functioning health system that </w:t>
      </w:r>
      <w:r w:rsidR="003C6651">
        <w:t xml:space="preserve">is based on </w:t>
      </w:r>
      <w:r w:rsidR="002E2148" w:rsidRPr="00341436">
        <w:t>the key elements of the right to health</w:t>
      </w:r>
      <w:r w:rsidR="002E2148">
        <w:t>. T</w:t>
      </w:r>
      <w:r w:rsidR="002E2148" w:rsidRPr="00BF23E8">
        <w:t xml:space="preserve">he Committee on Economic, Social and Cultural Rights </w:t>
      </w:r>
      <w:r w:rsidR="002E2148">
        <w:t>outlined</w:t>
      </w:r>
      <w:r w:rsidR="00CE6DD4">
        <w:t>,</w:t>
      </w:r>
      <w:r w:rsidR="002E2148">
        <w:t xml:space="preserve"> </w:t>
      </w:r>
      <w:r w:rsidR="002E2148" w:rsidRPr="00BF23E8">
        <w:t xml:space="preserve">in its interpretation of the normative content of the right to health, </w:t>
      </w:r>
      <w:r w:rsidR="002E2148">
        <w:t xml:space="preserve">that </w:t>
      </w:r>
      <w:r w:rsidR="002E2148" w:rsidRPr="00CE6DD4">
        <w:t>this</w:t>
      </w:r>
      <w:r w:rsidR="002E2148">
        <w:t xml:space="preserve"> includes ensuring that </w:t>
      </w:r>
      <w:r w:rsidR="00845A46">
        <w:t xml:space="preserve">everyone has access to </w:t>
      </w:r>
      <w:r w:rsidR="002E2148" w:rsidRPr="00BF23E8">
        <w:t>medicines</w:t>
      </w:r>
      <w:r w:rsidR="002E2148">
        <w:t xml:space="preserve"> and vaccines</w:t>
      </w:r>
      <w:r w:rsidR="002E2148" w:rsidRPr="00BF23E8">
        <w:t xml:space="preserve"> </w:t>
      </w:r>
      <w:r w:rsidR="00845A46">
        <w:t xml:space="preserve">that </w:t>
      </w:r>
      <w:r w:rsidR="002E2148">
        <w:t xml:space="preserve">are </w:t>
      </w:r>
      <w:r w:rsidR="002E2148" w:rsidRPr="00BF23E8">
        <w:t>available, accessible, acceptable and of good quality</w:t>
      </w:r>
      <w:r w:rsidR="002E2148" w:rsidRPr="00341436">
        <w:t>.</w:t>
      </w:r>
      <w:r w:rsidR="002E2148" w:rsidRPr="000812B8">
        <w:rPr>
          <w:rStyle w:val="EndnoteReference"/>
        </w:rPr>
        <w:endnoteReference w:id="7"/>
      </w:r>
      <w:r w:rsidR="002E2148" w:rsidRPr="000812B8">
        <w:rPr>
          <w:rStyle w:val="EndnoteReference"/>
        </w:rPr>
        <w:t xml:space="preserve"> </w:t>
      </w:r>
      <w:r w:rsidR="00951CEA">
        <w:t>Access</w:t>
      </w:r>
      <w:r w:rsidR="002E2148">
        <w:t xml:space="preserve"> </w:t>
      </w:r>
      <w:r w:rsidR="002E2148" w:rsidRPr="00341436">
        <w:t xml:space="preserve">also </w:t>
      </w:r>
      <w:r w:rsidR="003C6651">
        <w:t xml:space="preserve">means that </w:t>
      </w:r>
      <w:r w:rsidR="002E2148" w:rsidRPr="00341436">
        <w:t>governments, pharmaceutical companies, health</w:t>
      </w:r>
      <w:r w:rsidR="002E2148">
        <w:t>-</w:t>
      </w:r>
      <w:r w:rsidR="002E2148" w:rsidRPr="00341436">
        <w:t xml:space="preserve">care providers and international organizations </w:t>
      </w:r>
      <w:r w:rsidR="002E2148">
        <w:t xml:space="preserve">work </w:t>
      </w:r>
      <w:r w:rsidR="00C700BD">
        <w:t>together</w:t>
      </w:r>
      <w:r w:rsidR="002E2148" w:rsidRPr="00341436">
        <w:t>. Th</w:t>
      </w:r>
      <w:r w:rsidR="00C700BD">
        <w:t>is</w:t>
      </w:r>
      <w:r w:rsidR="002E2148" w:rsidRPr="00341436">
        <w:t xml:space="preserve"> compendium</w:t>
      </w:r>
      <w:r w:rsidR="002E2148">
        <w:t xml:space="preserve"> aim</w:t>
      </w:r>
      <w:r w:rsidR="00845A46">
        <w:t>s</w:t>
      </w:r>
      <w:r w:rsidR="002E2148" w:rsidRPr="00341436">
        <w:t xml:space="preserve"> to provide an overview of practices, policies and interventions that may contribute to improving access to medicines, vaccines and other health products.</w:t>
      </w:r>
    </w:p>
    <w:p w14:paraId="770857AA" w14:textId="4188077C" w:rsidR="002E2148" w:rsidRPr="000812B8" w:rsidRDefault="00D527A2" w:rsidP="00E80810">
      <w:pPr>
        <w:pStyle w:val="SingleTxtG"/>
        <w:rPr>
          <w:rStyle w:val="EndnoteReference"/>
        </w:rPr>
      </w:pPr>
      <w:r>
        <w:t>8</w:t>
      </w:r>
      <w:r w:rsidR="002E2148" w:rsidRPr="00341436">
        <w:t>.</w:t>
      </w:r>
      <w:r w:rsidR="002E2148" w:rsidRPr="00341436">
        <w:tab/>
      </w:r>
      <w:r w:rsidR="002E2148">
        <w:t xml:space="preserve">The coronavirus disease (COVID-19) pandemic </w:t>
      </w:r>
      <w:r w:rsidR="00951CEA">
        <w:t xml:space="preserve">showed </w:t>
      </w:r>
      <w:r w:rsidR="002E2148">
        <w:t>how human health</w:t>
      </w:r>
      <w:r w:rsidR="00CE6DD4">
        <w:t xml:space="preserve"> is interconnected</w:t>
      </w:r>
      <w:r w:rsidR="002E2148">
        <w:t xml:space="preserve">, </w:t>
      </w:r>
      <w:r w:rsidR="00CE6DD4">
        <w:t xml:space="preserve">i.e. </w:t>
      </w:r>
      <w:r w:rsidR="002E2148">
        <w:t xml:space="preserve">where </w:t>
      </w:r>
      <w:r w:rsidR="00414C64">
        <w:t xml:space="preserve">an individual’s </w:t>
      </w:r>
      <w:r w:rsidR="002E2148">
        <w:t xml:space="preserve">health </w:t>
      </w:r>
      <w:r w:rsidR="002E2148" w:rsidRPr="00403024">
        <w:t>in one country impact</w:t>
      </w:r>
      <w:r w:rsidR="002E2148">
        <w:t xml:space="preserve">s </w:t>
      </w:r>
      <w:r w:rsidR="00414C64">
        <w:t xml:space="preserve">a person’s </w:t>
      </w:r>
      <w:r w:rsidR="002E2148" w:rsidRPr="00403024">
        <w:t>health in another country</w:t>
      </w:r>
      <w:r w:rsidR="002E2148">
        <w:t xml:space="preserve">. Efforts to implement the right to health at the national level must recognise that States’ and businesses’ decisions affect people’s </w:t>
      </w:r>
      <w:r w:rsidR="002E2148" w:rsidRPr="00403024">
        <w:t>rights in multiple</w:t>
      </w:r>
      <w:r w:rsidR="00EC6C04">
        <w:t xml:space="preserve"> jurisdictions</w:t>
      </w:r>
      <w:r w:rsidR="002E2148">
        <w:t xml:space="preserve">. In the pharmaceutical sector, which has typically accounted for </w:t>
      </w:r>
      <w:r w:rsidR="5AC0A899">
        <w:t xml:space="preserve">a </w:t>
      </w:r>
      <w:r w:rsidR="00EC6C04">
        <w:t xml:space="preserve">large amount </w:t>
      </w:r>
      <w:r w:rsidR="002E2148">
        <w:t>of health budgets globally,</w:t>
      </w:r>
      <w:r w:rsidR="002E2148" w:rsidRPr="000812B8">
        <w:rPr>
          <w:rStyle w:val="EndnoteReference"/>
        </w:rPr>
        <w:endnoteReference w:id="8"/>
      </w:r>
      <w:r w:rsidR="002E2148" w:rsidRPr="000812B8">
        <w:rPr>
          <w:rStyle w:val="EndnoteReference"/>
        </w:rPr>
        <w:t xml:space="preserve"> </w:t>
      </w:r>
      <w:r w:rsidR="002E2148" w:rsidRPr="0047139B">
        <w:t xml:space="preserve">the pandemic generated </w:t>
      </w:r>
      <w:r w:rsidR="002E2148">
        <w:t xml:space="preserve">and continues to generate </w:t>
      </w:r>
      <w:r w:rsidR="002E2148" w:rsidRPr="0047139B">
        <w:t>extraordinary gains</w:t>
      </w:r>
      <w:r w:rsidR="00CE6DD4">
        <w:t>.</w:t>
      </w:r>
      <w:r w:rsidR="002E2148" w:rsidRPr="000812B8">
        <w:rPr>
          <w:rStyle w:val="EndnoteReference"/>
        </w:rPr>
        <w:endnoteReference w:id="9"/>
      </w:r>
      <w:r w:rsidR="002E2148" w:rsidRPr="000812B8">
        <w:rPr>
          <w:rStyle w:val="EndnoteReference"/>
        </w:rPr>
        <w:t xml:space="preserve"> </w:t>
      </w:r>
      <w:r w:rsidR="00CE6DD4">
        <w:t xml:space="preserve">However, </w:t>
      </w:r>
      <w:r w:rsidR="002E2148" w:rsidRPr="0047139B">
        <w:t>access to life</w:t>
      </w:r>
      <w:r w:rsidR="002E2148">
        <w:t>-</w:t>
      </w:r>
      <w:r w:rsidR="002E2148" w:rsidRPr="0047139B">
        <w:t xml:space="preserve">saving COVID-19 vaccines has remained </w:t>
      </w:r>
      <w:r w:rsidR="003C6651">
        <w:t>worryingly</w:t>
      </w:r>
      <w:r w:rsidR="003C6651" w:rsidRPr="0047139B">
        <w:t xml:space="preserve"> </w:t>
      </w:r>
      <w:r w:rsidR="002E2148" w:rsidRPr="0047139B">
        <w:t>unequal.</w:t>
      </w:r>
      <w:r w:rsidR="002E2148" w:rsidRPr="000812B8">
        <w:rPr>
          <w:rStyle w:val="EndnoteReference"/>
        </w:rPr>
        <w:endnoteReference w:id="10"/>
      </w:r>
    </w:p>
    <w:p w14:paraId="1618144A" w14:textId="1A93F17F" w:rsidR="002E2148" w:rsidRDefault="00D527A2" w:rsidP="00E80810">
      <w:pPr>
        <w:pStyle w:val="SingleTxtG"/>
      </w:pPr>
      <w:r>
        <w:t>9</w:t>
      </w:r>
      <w:r w:rsidR="002E2148">
        <w:t>.</w:t>
      </w:r>
      <w:r w:rsidR="002E2148">
        <w:tab/>
      </w:r>
      <w:r w:rsidR="002E2148" w:rsidRPr="00341436">
        <w:t xml:space="preserve">While </w:t>
      </w:r>
      <w:r w:rsidR="002E2148">
        <w:t xml:space="preserve">the pandemic </w:t>
      </w:r>
      <w:r w:rsidR="002E2148" w:rsidRPr="00341436">
        <w:t xml:space="preserve">has </w:t>
      </w:r>
      <w:r w:rsidR="00845A46">
        <w:t>led to</w:t>
      </w:r>
      <w:r w:rsidR="00845A46" w:rsidRPr="00341436">
        <w:t xml:space="preserve"> </w:t>
      </w:r>
      <w:r w:rsidR="002E2148" w:rsidRPr="00341436">
        <w:t xml:space="preserve">innovation and cooperation, </w:t>
      </w:r>
      <w:r w:rsidR="002E2148">
        <w:t>it has also</w:t>
      </w:r>
      <w:r w:rsidR="002E2148" w:rsidRPr="00341436">
        <w:t xml:space="preserve"> exposed </w:t>
      </w:r>
      <w:r w:rsidR="002E2148">
        <w:t xml:space="preserve">problems </w:t>
      </w:r>
      <w:r w:rsidR="002E2148" w:rsidRPr="00341436">
        <w:t xml:space="preserve">in </w:t>
      </w:r>
      <w:r w:rsidR="002E2148">
        <w:t xml:space="preserve">getting </w:t>
      </w:r>
      <w:r w:rsidR="002E2148" w:rsidRPr="00341436">
        <w:t xml:space="preserve">universal and </w:t>
      </w:r>
      <w:r w:rsidR="007454D2">
        <w:t>fair</w:t>
      </w:r>
      <w:r w:rsidR="007454D2" w:rsidRPr="00341436">
        <w:t xml:space="preserve"> </w:t>
      </w:r>
      <w:r w:rsidR="002E2148" w:rsidRPr="00341436">
        <w:t>access to medicines and vaccines.</w:t>
      </w:r>
      <w:r w:rsidR="002E2148" w:rsidRPr="000812B8">
        <w:rPr>
          <w:rStyle w:val="EndnoteReference"/>
        </w:rPr>
        <w:endnoteReference w:id="11"/>
      </w:r>
      <w:r w:rsidR="002E2148" w:rsidRPr="000812B8">
        <w:rPr>
          <w:rStyle w:val="EndnoteReference"/>
        </w:rPr>
        <w:t xml:space="preserve"> </w:t>
      </w:r>
      <w:r w:rsidR="00CE6DD4">
        <w:t>The pandemic</w:t>
      </w:r>
      <w:r w:rsidR="002E2148" w:rsidRPr="00341436">
        <w:t xml:space="preserve"> has </w:t>
      </w:r>
      <w:r w:rsidR="002E2148">
        <w:t>reconfirmed</w:t>
      </w:r>
      <w:r w:rsidR="002E2148" w:rsidRPr="00341436">
        <w:t xml:space="preserve"> the significant impact </w:t>
      </w:r>
      <w:r w:rsidR="002E2148">
        <w:t xml:space="preserve">that </w:t>
      </w:r>
      <w:r w:rsidR="002E2148" w:rsidRPr="00341436">
        <w:t xml:space="preserve">lack of access </w:t>
      </w:r>
      <w:r w:rsidR="002E2148">
        <w:t xml:space="preserve">to medicine and vaccines </w:t>
      </w:r>
      <w:r w:rsidR="002E2148" w:rsidRPr="00341436">
        <w:t>has on</w:t>
      </w:r>
      <w:r w:rsidR="001A7116">
        <w:t xml:space="preserve"> </w:t>
      </w:r>
      <w:r w:rsidR="002E2148" w:rsidRPr="00341436">
        <w:t>human rights,</w:t>
      </w:r>
      <w:r w:rsidR="001A7116">
        <w:t xml:space="preserve"> e.g. </w:t>
      </w:r>
      <w:r w:rsidR="002E2148" w:rsidRPr="00341436">
        <w:t>the rights to health, to life, to non-discrimination and to development.</w:t>
      </w:r>
      <w:r w:rsidR="002E2148" w:rsidRPr="000812B8">
        <w:rPr>
          <w:rStyle w:val="EndnoteReference"/>
        </w:rPr>
        <w:endnoteReference w:id="12"/>
      </w:r>
      <w:r w:rsidR="002E2148" w:rsidRPr="000812B8">
        <w:rPr>
          <w:rStyle w:val="EndnoteReference"/>
        </w:rPr>
        <w:t xml:space="preserve"> </w:t>
      </w:r>
    </w:p>
    <w:p w14:paraId="34CF145B" w14:textId="38A4599F" w:rsidR="002E2148" w:rsidRPr="00341436" w:rsidRDefault="00D527A2" w:rsidP="00E80810">
      <w:pPr>
        <w:pStyle w:val="SingleTxtG"/>
        <w:rPr>
          <w:lang w:val="en-US"/>
        </w:rPr>
      </w:pPr>
      <w:r>
        <w:t>10</w:t>
      </w:r>
      <w:r w:rsidR="002E2148" w:rsidRPr="00341436">
        <w:t>.</w:t>
      </w:r>
      <w:r w:rsidR="002E2148" w:rsidRPr="00341436">
        <w:tab/>
      </w:r>
      <w:r w:rsidR="002E2148">
        <w:t>Approximately 2 billion people</w:t>
      </w:r>
      <w:r w:rsidR="002E2148" w:rsidRPr="00341436">
        <w:t xml:space="preserve"> have no access to essential medicines </w:t>
      </w:r>
      <w:r w:rsidR="002E2148">
        <w:t xml:space="preserve">and </w:t>
      </w:r>
      <w:r w:rsidR="002E2148" w:rsidRPr="00341436">
        <w:t>80</w:t>
      </w:r>
      <w:r w:rsidR="002E2148">
        <w:t>%</w:t>
      </w:r>
      <w:r w:rsidR="002E2148" w:rsidRPr="00341436">
        <w:t xml:space="preserve"> of the </w:t>
      </w:r>
      <w:r w:rsidR="002E2148">
        <w:t xml:space="preserve">world’s </w:t>
      </w:r>
      <w:r w:rsidR="002E2148" w:rsidRPr="00341436">
        <w:t>population lives in countries with little or no access to controlled medicines for pain relief.</w:t>
      </w:r>
      <w:r w:rsidR="002E2148" w:rsidRPr="000812B8">
        <w:rPr>
          <w:rStyle w:val="EndnoteReference"/>
        </w:rPr>
        <w:endnoteReference w:id="13"/>
      </w:r>
      <w:r w:rsidR="002E2148" w:rsidRPr="000812B8">
        <w:rPr>
          <w:rStyle w:val="EndnoteReference"/>
        </w:rPr>
        <w:t xml:space="preserve"> </w:t>
      </w:r>
      <w:r w:rsidR="002E2148">
        <w:t xml:space="preserve">About </w:t>
      </w:r>
      <w:r w:rsidR="002E2148" w:rsidRPr="00341436">
        <w:t xml:space="preserve">25 million children </w:t>
      </w:r>
      <w:r w:rsidR="00993086">
        <w:t xml:space="preserve">did not have </w:t>
      </w:r>
      <w:r w:rsidR="002E2148" w:rsidRPr="00341436">
        <w:t>life</w:t>
      </w:r>
      <w:r w:rsidR="002E2148">
        <w:t>-</w:t>
      </w:r>
      <w:r w:rsidR="002E2148" w:rsidRPr="00341436">
        <w:t>saving vaccination</w:t>
      </w:r>
      <w:r w:rsidR="00845A46">
        <w:t>s</w:t>
      </w:r>
      <w:r w:rsidR="002E2148" w:rsidRPr="00341436">
        <w:t xml:space="preserve"> in 2021 </w:t>
      </w:r>
      <w:r w:rsidR="002E2148">
        <w:t xml:space="preserve">because of </w:t>
      </w:r>
      <w:r w:rsidR="002E2148" w:rsidRPr="00341436">
        <w:t xml:space="preserve">the COVID-19 pandemic and associated </w:t>
      </w:r>
      <w:r w:rsidR="003C6651">
        <w:t>problems</w:t>
      </w:r>
      <w:r w:rsidR="003C6651" w:rsidRPr="00341436">
        <w:t xml:space="preserve"> </w:t>
      </w:r>
      <w:r w:rsidR="002E2148" w:rsidRPr="00341436">
        <w:t xml:space="preserve">that have </w:t>
      </w:r>
      <w:r w:rsidR="00CE6DD4">
        <w:t>challenged</w:t>
      </w:r>
      <w:r w:rsidR="002E2148" w:rsidRPr="00341436">
        <w:t xml:space="preserve"> health systems.</w:t>
      </w:r>
      <w:r w:rsidR="002E2148" w:rsidRPr="000812B8">
        <w:rPr>
          <w:rStyle w:val="EndnoteReference"/>
        </w:rPr>
        <w:endnoteReference w:id="14"/>
      </w:r>
      <w:r w:rsidR="002E2148" w:rsidRPr="000812B8">
        <w:rPr>
          <w:rStyle w:val="EndnoteReference"/>
        </w:rPr>
        <w:t xml:space="preserve"> </w:t>
      </w:r>
    </w:p>
    <w:p w14:paraId="074CA6C0" w14:textId="140F035A" w:rsidR="002E2148" w:rsidRPr="005A65BB" w:rsidRDefault="00D527A2" w:rsidP="00E80810">
      <w:pPr>
        <w:pStyle w:val="SingleTxtG"/>
        <w:rPr>
          <w:rStyle w:val="EndnoteReference"/>
          <w:vertAlign w:val="baseline"/>
        </w:rPr>
      </w:pPr>
      <w:r>
        <w:rPr>
          <w:lang w:val="en-US"/>
        </w:rPr>
        <w:t>11</w:t>
      </w:r>
      <w:r w:rsidR="002E2148" w:rsidRPr="00341436">
        <w:rPr>
          <w:lang w:val="en-US"/>
        </w:rPr>
        <w:t>.</w:t>
      </w:r>
      <w:r w:rsidR="002E2148" w:rsidRPr="00341436">
        <w:rPr>
          <w:lang w:val="en-US"/>
        </w:rPr>
        <w:tab/>
      </w:r>
      <w:r w:rsidR="002E2148" w:rsidRPr="00341436">
        <w:t xml:space="preserve">The lack of </w:t>
      </w:r>
      <w:r w:rsidR="00CE6DD4">
        <w:t>fair</w:t>
      </w:r>
      <w:r w:rsidR="00CE6DD4" w:rsidRPr="00341436">
        <w:t xml:space="preserve"> </w:t>
      </w:r>
      <w:r w:rsidR="002E2148" w:rsidRPr="00341436">
        <w:t xml:space="preserve">access to medicines, vaccines and other health products disproportionately affects certain groups, </w:t>
      </w:r>
      <w:r w:rsidR="002E2148">
        <w:t xml:space="preserve">e.g. </w:t>
      </w:r>
      <w:r w:rsidR="002E2148" w:rsidRPr="00341436">
        <w:t>persons living in poverty, older persons, persons with disabilities, persons living with chronic illnesses, women and children. Without access to health insurance or social protection, persons living in poverty</w:t>
      </w:r>
      <w:r w:rsidR="002E2148">
        <w:t xml:space="preserve">, </w:t>
      </w:r>
      <w:r w:rsidR="002E2148" w:rsidRPr="00341436">
        <w:t>older persons</w:t>
      </w:r>
      <w:r w:rsidR="002E2148">
        <w:t xml:space="preserve"> and migrants</w:t>
      </w:r>
      <w:r w:rsidR="002E2148" w:rsidRPr="00341436">
        <w:t xml:space="preserve"> cannot afford essential medications, including </w:t>
      </w:r>
      <w:r w:rsidR="002E2148">
        <w:t xml:space="preserve">for </w:t>
      </w:r>
      <w:r w:rsidR="002E2148" w:rsidRPr="00341436">
        <w:t xml:space="preserve">managing chronic conditions. Women and children often </w:t>
      </w:r>
      <w:r w:rsidR="00CE6DD4">
        <w:t xml:space="preserve">have worse </w:t>
      </w:r>
      <w:r w:rsidR="002E2148" w:rsidRPr="00341436">
        <w:t>experience</w:t>
      </w:r>
      <w:r w:rsidR="00CE6DD4">
        <w:t>s</w:t>
      </w:r>
      <w:r w:rsidR="002E2148" w:rsidRPr="00341436">
        <w:t xml:space="preserve"> </w:t>
      </w:r>
      <w:r w:rsidR="00CE6DD4">
        <w:t xml:space="preserve">when fighting </w:t>
      </w:r>
      <w:r w:rsidR="002E2148" w:rsidRPr="00341436">
        <w:t>disease than men, and may face additional challenges in accessing health</w:t>
      </w:r>
      <w:r w:rsidR="002E2148">
        <w:t xml:space="preserve"> </w:t>
      </w:r>
      <w:r w:rsidR="002E2148" w:rsidRPr="00341436">
        <w:t>care and medications.</w:t>
      </w:r>
      <w:r w:rsidR="002E2148" w:rsidRPr="000812B8">
        <w:rPr>
          <w:rStyle w:val="EndnoteReference"/>
        </w:rPr>
        <w:endnoteReference w:id="15"/>
      </w:r>
      <w:r w:rsidR="002E2148" w:rsidRPr="000812B8">
        <w:rPr>
          <w:rStyle w:val="EndnoteReference"/>
        </w:rPr>
        <w:t xml:space="preserve"> </w:t>
      </w:r>
      <w:r w:rsidR="002E2148" w:rsidRPr="00341436">
        <w:rPr>
          <w:lang w:val="en-US"/>
        </w:rPr>
        <w:t xml:space="preserve">Almost </w:t>
      </w:r>
      <w:r w:rsidR="002E2148">
        <w:rPr>
          <w:lang w:val="en-US"/>
        </w:rPr>
        <w:t>1</w:t>
      </w:r>
      <w:r w:rsidR="002E2148" w:rsidRPr="00341436">
        <w:rPr>
          <w:lang w:val="en-US"/>
        </w:rPr>
        <w:t xml:space="preserve"> billion children, older persons and persons with disabilities </w:t>
      </w:r>
      <w:r w:rsidR="003C6651">
        <w:rPr>
          <w:lang w:val="en-US"/>
        </w:rPr>
        <w:t xml:space="preserve">do not have </w:t>
      </w:r>
      <w:r w:rsidR="002E2148" w:rsidRPr="00341436">
        <w:rPr>
          <w:lang w:val="en-US"/>
        </w:rPr>
        <w:t xml:space="preserve">access to assistive technology, </w:t>
      </w:r>
      <w:r w:rsidR="002E2148">
        <w:rPr>
          <w:lang w:val="en-US"/>
        </w:rPr>
        <w:t xml:space="preserve">e.g. </w:t>
      </w:r>
      <w:r w:rsidR="002E2148" w:rsidRPr="00341436">
        <w:rPr>
          <w:lang w:val="en-US"/>
        </w:rPr>
        <w:t>prosthetics, hearing aids and communication devices.</w:t>
      </w:r>
      <w:r w:rsidR="002E2148" w:rsidRPr="000812B8">
        <w:rPr>
          <w:rStyle w:val="EndnoteReference"/>
        </w:rPr>
        <w:endnoteReference w:id="16"/>
      </w:r>
    </w:p>
    <w:p w14:paraId="22A5D65D" w14:textId="1F005E54" w:rsidR="002E2148" w:rsidRPr="009F22A0" w:rsidRDefault="00D527A2" w:rsidP="00E80810">
      <w:pPr>
        <w:pStyle w:val="SingleTxtG"/>
        <w:rPr>
          <w:rStyle w:val="EndnoteReference"/>
          <w:vertAlign w:val="baseline"/>
        </w:rPr>
      </w:pPr>
      <w:r>
        <w:t>12</w:t>
      </w:r>
      <w:r w:rsidR="002E2148" w:rsidRPr="00341436">
        <w:t>.</w:t>
      </w:r>
      <w:r w:rsidR="002E2148" w:rsidRPr="00341436">
        <w:tab/>
      </w:r>
      <w:r w:rsidR="003C6651">
        <w:t xml:space="preserve">Stopping </w:t>
      </w:r>
      <w:r w:rsidR="002E2148" w:rsidRPr="00341436">
        <w:t xml:space="preserve">access to essential medicines, vaccines and other health products creates or </w:t>
      </w:r>
      <w:r w:rsidR="003C6E55">
        <w:t>makes</w:t>
      </w:r>
      <w:r w:rsidR="003C6E55" w:rsidRPr="00341436">
        <w:t xml:space="preserve"> </w:t>
      </w:r>
      <w:r w:rsidR="002E2148" w:rsidRPr="00341436">
        <w:t xml:space="preserve">discrimination and existing inequalities </w:t>
      </w:r>
      <w:r w:rsidR="003C6E55">
        <w:t xml:space="preserve">worse </w:t>
      </w:r>
      <w:r w:rsidR="006E4F70">
        <w:t>regarding</w:t>
      </w:r>
      <w:r w:rsidR="003C6E55">
        <w:t xml:space="preserve"> how </w:t>
      </w:r>
      <w:r w:rsidR="002E2148">
        <w:t xml:space="preserve">people </w:t>
      </w:r>
      <w:r w:rsidR="003C6E55">
        <w:t xml:space="preserve">enforce their </w:t>
      </w:r>
      <w:r w:rsidR="002E2148" w:rsidRPr="00341436">
        <w:t>right to health. Ensuring that the right to non-discrimination is upheld</w:t>
      </w:r>
      <w:r w:rsidR="00A733C9">
        <w:t xml:space="preserve"> needs</w:t>
      </w:r>
      <w:r w:rsidR="002E2148" w:rsidRPr="00341436">
        <w:t xml:space="preserve"> </w:t>
      </w:r>
      <w:r w:rsidR="00845A46">
        <w:t xml:space="preserve">everyone </w:t>
      </w:r>
      <w:r w:rsidR="00A733C9">
        <w:t xml:space="preserve">to have </w:t>
      </w:r>
      <w:r w:rsidR="00845A46">
        <w:t xml:space="preserve">access to </w:t>
      </w:r>
      <w:r w:rsidR="002E2148" w:rsidRPr="00341436">
        <w:t xml:space="preserve">essential medicines and vaccines. Governments have a </w:t>
      </w:r>
      <w:r w:rsidR="002E2148">
        <w:t xml:space="preserve">primary </w:t>
      </w:r>
      <w:r w:rsidR="002E2148" w:rsidRPr="00341436">
        <w:t>responsibility to ensure that vaccines and medicines are available and affordable to everyone</w:t>
      </w:r>
      <w:r w:rsidR="003C6E55">
        <w:t xml:space="preserve">. Governments must also </w:t>
      </w:r>
      <w:r w:rsidR="002E2148" w:rsidRPr="00341436">
        <w:t>address the underlying social and economic factors that contribute to health inequities and discrimination.</w:t>
      </w:r>
      <w:r w:rsidR="002E2148" w:rsidRPr="000812B8">
        <w:rPr>
          <w:rStyle w:val="EndnoteReference"/>
        </w:rPr>
        <w:endnoteReference w:id="17"/>
      </w:r>
    </w:p>
    <w:p w14:paraId="4F1D739E" w14:textId="0B11F273" w:rsidR="002E2148" w:rsidRPr="00341436" w:rsidRDefault="00D527A2" w:rsidP="00E80810">
      <w:pPr>
        <w:pStyle w:val="SingleTxtG"/>
      </w:pPr>
      <w:r>
        <w:t>13</w:t>
      </w:r>
      <w:r w:rsidR="002E2148" w:rsidRPr="00341436">
        <w:t>.</w:t>
      </w:r>
      <w:r w:rsidR="002E2148" w:rsidRPr="00341436">
        <w:tab/>
      </w:r>
      <w:r w:rsidR="002E2148" w:rsidRPr="00F91EAC">
        <w:t xml:space="preserve">While availability is a precondition for access, </w:t>
      </w:r>
      <w:r w:rsidR="002E2148">
        <w:t>a</w:t>
      </w:r>
      <w:r w:rsidR="002E2148" w:rsidRPr="00341436">
        <w:t xml:space="preserve">ffordability is </w:t>
      </w:r>
      <w:r w:rsidR="002E2148">
        <w:t xml:space="preserve">one of </w:t>
      </w:r>
      <w:r w:rsidR="002E2148" w:rsidRPr="00341436">
        <w:t xml:space="preserve">the </w:t>
      </w:r>
      <w:r w:rsidR="002E2148">
        <w:t>dimensions</w:t>
      </w:r>
      <w:r w:rsidR="002E2148" w:rsidRPr="00341436">
        <w:t xml:space="preserve"> of access. Up to 90</w:t>
      </w:r>
      <w:r w:rsidR="002E2148">
        <w:t>%</w:t>
      </w:r>
      <w:r w:rsidR="002E2148" w:rsidRPr="00341436">
        <w:t xml:space="preserve"> of the population in low- and middle-income countries </w:t>
      </w:r>
      <w:r w:rsidR="002E2148">
        <w:t xml:space="preserve">buy </w:t>
      </w:r>
      <w:r w:rsidR="002E2148" w:rsidRPr="00341436">
        <w:t xml:space="preserve">medicines through out-of-pocket payments. A household that is forced to sell an asset, </w:t>
      </w:r>
      <w:r w:rsidR="002E2148">
        <w:t xml:space="preserve">e.g. </w:t>
      </w:r>
      <w:r w:rsidR="002E2148" w:rsidRPr="00341436">
        <w:t xml:space="preserve">the family cow, or take children out of school </w:t>
      </w:r>
      <w:r w:rsidR="002E2148">
        <w:t>to pay for medicines</w:t>
      </w:r>
      <w:r w:rsidR="00845A46">
        <w:t>,</w:t>
      </w:r>
      <w:r w:rsidR="002E2148">
        <w:t xml:space="preserve"> </w:t>
      </w:r>
      <w:r w:rsidR="002E2148" w:rsidRPr="00341436">
        <w:t>may be pushed into intergenerational poverty.</w:t>
      </w:r>
      <w:r w:rsidR="002E2148" w:rsidRPr="000812B8">
        <w:rPr>
          <w:rStyle w:val="EndnoteReference"/>
        </w:rPr>
        <w:endnoteReference w:id="18"/>
      </w:r>
      <w:r w:rsidR="002E2148" w:rsidRPr="000812B8">
        <w:rPr>
          <w:rStyle w:val="EndnoteReference"/>
        </w:rPr>
        <w:t xml:space="preserve"> </w:t>
      </w:r>
      <w:r w:rsidR="002E2148" w:rsidRPr="00341436">
        <w:t xml:space="preserve">Other factors, </w:t>
      </w:r>
      <w:r w:rsidR="002E2148">
        <w:t xml:space="preserve">e.g. </w:t>
      </w:r>
      <w:r w:rsidR="002E2148" w:rsidRPr="00341436">
        <w:t>gaps in local health systems and infrastructure</w:t>
      </w:r>
      <w:r w:rsidR="002E2148">
        <w:t>,</w:t>
      </w:r>
      <w:r w:rsidR="002E2148" w:rsidRPr="00341436">
        <w:t xml:space="preserve"> determine whether people have access to the medicines, vaccines and health products they need. Access also depends on procurement practices and the strength of national regulatory authorities. </w:t>
      </w:r>
      <w:r w:rsidR="002E2148">
        <w:t>While a</w:t>
      </w:r>
      <w:r w:rsidR="002E2148" w:rsidRPr="00341436">
        <w:t xml:space="preserve">ccess to essential medicines for non-communicable diseases is lower than for </w:t>
      </w:r>
      <w:r w:rsidR="002E2148" w:rsidRPr="00341436">
        <w:lastRenderedPageBreak/>
        <w:t>communicable diseases</w:t>
      </w:r>
      <w:r w:rsidR="002E2148">
        <w:t>, m</w:t>
      </w:r>
      <w:r w:rsidR="002E2148" w:rsidRPr="00341436">
        <w:t xml:space="preserve">any medicines for treating non-communicable diseases </w:t>
      </w:r>
      <w:r w:rsidR="00BA2226">
        <w:t>must</w:t>
      </w:r>
      <w:r w:rsidR="002E2148" w:rsidRPr="00341436">
        <w:t xml:space="preserve"> be taken for life</w:t>
      </w:r>
      <w:r w:rsidR="003C6E55">
        <w:t>. Consequently</w:t>
      </w:r>
      <w:r w:rsidR="002E2148" w:rsidRPr="00341436">
        <w:t xml:space="preserve">, </w:t>
      </w:r>
      <w:r w:rsidR="003C6E55">
        <w:t xml:space="preserve">this has </w:t>
      </w:r>
      <w:r w:rsidR="002E2148" w:rsidRPr="00341436">
        <w:t>a severe impact on household expenditure, pushing many families below the level of poverty.</w:t>
      </w:r>
      <w:r w:rsidR="002E2148" w:rsidRPr="000812B8">
        <w:rPr>
          <w:rStyle w:val="EndnoteReference"/>
        </w:rPr>
        <w:endnoteReference w:id="19"/>
      </w:r>
      <w:r w:rsidR="002E2148" w:rsidRPr="000812B8">
        <w:rPr>
          <w:rStyle w:val="EndnoteReference"/>
        </w:rPr>
        <w:t xml:space="preserve"> </w:t>
      </w:r>
      <w:r w:rsidR="002E2148" w:rsidRPr="00341436">
        <w:t xml:space="preserve">Apart from being affordable and of </w:t>
      </w:r>
      <w:bookmarkStart w:id="5" w:name="_Int_sYX6EHCa"/>
      <w:r w:rsidR="002E2148" w:rsidRPr="00341436">
        <w:t>good quality</w:t>
      </w:r>
      <w:bookmarkEnd w:id="5"/>
      <w:r w:rsidR="002E2148" w:rsidRPr="00341436">
        <w:t>, medicines must also be safe. Secure supply chain management is needed to protect populations from substandard or falsified medical products.</w:t>
      </w:r>
      <w:r w:rsidR="002E2148" w:rsidRPr="000812B8">
        <w:rPr>
          <w:rStyle w:val="EndnoteReference"/>
        </w:rPr>
        <w:endnoteReference w:id="20"/>
      </w:r>
      <w:r w:rsidR="002E2148" w:rsidRPr="000812B8">
        <w:rPr>
          <w:rStyle w:val="EndnoteReference"/>
        </w:rPr>
        <w:t xml:space="preserve"> </w:t>
      </w:r>
    </w:p>
    <w:p w14:paraId="37E95954" w14:textId="7BF1E8E1" w:rsidR="002E2148" w:rsidRPr="00341436" w:rsidRDefault="002E2148" w:rsidP="00593D73">
      <w:pPr>
        <w:pStyle w:val="H1G"/>
      </w:pPr>
      <w:r>
        <w:tab/>
        <w:t>B.</w:t>
      </w:r>
      <w:r w:rsidRPr="00341436">
        <w:tab/>
      </w:r>
      <w:bookmarkStart w:id="6" w:name="IIIB_Increasing_access_availability"/>
      <w:r w:rsidR="001855B9" w:rsidRPr="001855B9">
        <w:t xml:space="preserve">Increasing </w:t>
      </w:r>
      <w:r w:rsidR="007454D2">
        <w:t xml:space="preserve">the </w:t>
      </w:r>
      <w:r w:rsidR="001855B9" w:rsidRPr="001855B9">
        <w:t>access and availability of medicines, vaccines and other health products</w:t>
      </w:r>
      <w:r w:rsidR="001855B9">
        <w:t xml:space="preserve"> </w:t>
      </w:r>
      <w:bookmarkEnd w:id="6"/>
    </w:p>
    <w:p w14:paraId="1E63A710" w14:textId="6C2F6CB1" w:rsidR="002E2148" w:rsidRDefault="002E2148" w:rsidP="00E80810">
      <w:pPr>
        <w:pStyle w:val="SingleTxtG"/>
      </w:pPr>
      <w:r w:rsidRPr="00341436">
        <w:t>1</w:t>
      </w:r>
      <w:r w:rsidR="00D527A2">
        <w:t>4</w:t>
      </w:r>
      <w:r w:rsidRPr="00341436">
        <w:t>.</w:t>
      </w:r>
      <w:r w:rsidRPr="00341436">
        <w:tab/>
        <w:t xml:space="preserve">The call to make essential medicines, vaccines and other health products available </w:t>
      </w:r>
      <w:r>
        <w:t xml:space="preserve">and accessible </w:t>
      </w:r>
      <w:r w:rsidRPr="00341436">
        <w:t xml:space="preserve">to everyone everywhere is </w:t>
      </w:r>
      <w:r>
        <w:t xml:space="preserve">based on </w:t>
      </w:r>
      <w:r w:rsidRPr="00341436">
        <w:t>an approach of universal health coverage.</w:t>
      </w:r>
      <w:r w:rsidRPr="000812B8">
        <w:rPr>
          <w:rStyle w:val="EndnoteReference"/>
        </w:rPr>
        <w:endnoteReference w:id="21"/>
      </w:r>
      <w:r w:rsidRPr="000812B8">
        <w:rPr>
          <w:rStyle w:val="EndnoteReference"/>
        </w:rPr>
        <w:t xml:space="preserve"> </w:t>
      </w:r>
      <w:r w:rsidR="000A0E98">
        <w:t xml:space="preserve">Making </w:t>
      </w:r>
      <w:r w:rsidRPr="00341436">
        <w:t>medicines and vaccines</w:t>
      </w:r>
      <w:r>
        <w:t xml:space="preserve"> </w:t>
      </w:r>
      <w:r w:rsidR="000A0E98">
        <w:t xml:space="preserve">as available, accessible and affordable as possible </w:t>
      </w:r>
      <w:r w:rsidRPr="00341436">
        <w:t xml:space="preserve">requires a </w:t>
      </w:r>
      <w:r w:rsidR="003C6651">
        <w:t>varied</w:t>
      </w:r>
      <w:r w:rsidRPr="00341436">
        <w:t xml:space="preserve"> approach that involves</w:t>
      </w:r>
      <w:r>
        <w:t>:</w:t>
      </w:r>
      <w:r w:rsidRPr="00341436">
        <w:t xml:space="preserve"> </w:t>
      </w:r>
    </w:p>
    <w:p w14:paraId="7A203292" w14:textId="77777777" w:rsidR="002E2148" w:rsidRDefault="002E2148" w:rsidP="00593D73">
      <w:pPr>
        <w:pStyle w:val="SingleTxtG"/>
        <w:numPr>
          <w:ilvl w:val="0"/>
          <w:numId w:val="33"/>
        </w:numPr>
        <w:ind w:left="2268" w:hanging="425"/>
      </w:pPr>
      <w:r w:rsidRPr="00D91478">
        <w:t xml:space="preserve">increasing funding for research and development, </w:t>
      </w:r>
    </w:p>
    <w:p w14:paraId="4A947C00" w14:textId="77777777" w:rsidR="002E2148" w:rsidRDefault="002E2148" w:rsidP="00593D73">
      <w:pPr>
        <w:pStyle w:val="SingleTxtG"/>
        <w:numPr>
          <w:ilvl w:val="0"/>
          <w:numId w:val="33"/>
        </w:numPr>
        <w:ind w:left="2268" w:hanging="425"/>
      </w:pPr>
      <w:r w:rsidRPr="00D91478">
        <w:t xml:space="preserve">encouraging generic drug manufacturing, </w:t>
      </w:r>
    </w:p>
    <w:p w14:paraId="20E8EDA8" w14:textId="77777777" w:rsidR="006E4F70" w:rsidRDefault="002E2148" w:rsidP="00593D73">
      <w:pPr>
        <w:pStyle w:val="SingleTxtG"/>
        <w:numPr>
          <w:ilvl w:val="0"/>
          <w:numId w:val="33"/>
        </w:numPr>
        <w:ind w:left="2268" w:hanging="425"/>
      </w:pPr>
      <w:r w:rsidRPr="00D91478">
        <w:t xml:space="preserve">implementing price regulation, </w:t>
      </w:r>
    </w:p>
    <w:p w14:paraId="678D04E5" w14:textId="7A9973D5" w:rsidR="002E2148" w:rsidRDefault="002E2148" w:rsidP="00593D73">
      <w:pPr>
        <w:pStyle w:val="SingleTxtG"/>
        <w:numPr>
          <w:ilvl w:val="0"/>
          <w:numId w:val="33"/>
        </w:numPr>
        <w:ind w:left="2268" w:hanging="425"/>
      </w:pPr>
      <w:r w:rsidRPr="00D91478">
        <w:t>increasing public awareness</w:t>
      </w:r>
      <w:r w:rsidR="006E4F70">
        <w:t>,</w:t>
      </w:r>
      <w:r w:rsidRPr="00D91478">
        <w:t xml:space="preserve"> and </w:t>
      </w:r>
    </w:p>
    <w:p w14:paraId="0E14B8B2" w14:textId="27B50BA8" w:rsidR="002E2148" w:rsidRDefault="002E2148" w:rsidP="00593D73">
      <w:pPr>
        <w:pStyle w:val="SingleTxtG"/>
        <w:numPr>
          <w:ilvl w:val="0"/>
          <w:numId w:val="33"/>
        </w:numPr>
        <w:ind w:left="2268" w:hanging="425"/>
      </w:pPr>
      <w:r w:rsidRPr="00D91478">
        <w:t>addressing intellectual property issues</w:t>
      </w:r>
      <w:r w:rsidRPr="00341436">
        <w:t>.</w:t>
      </w:r>
    </w:p>
    <w:p w14:paraId="4BFE3B96" w14:textId="08CD0B37" w:rsidR="002E2148" w:rsidRDefault="002E2148" w:rsidP="00E80810">
      <w:pPr>
        <w:pStyle w:val="SingleTxtG"/>
      </w:pPr>
      <w:r>
        <w:t>1</w:t>
      </w:r>
      <w:r w:rsidR="00D527A2">
        <w:t>5</w:t>
      </w:r>
      <w:r>
        <w:t>.</w:t>
      </w:r>
      <w:r>
        <w:tab/>
        <w:t xml:space="preserve">It also requires </w:t>
      </w:r>
      <w:r w:rsidR="006E4F70">
        <w:t xml:space="preserve">following </w:t>
      </w:r>
      <w:r>
        <w:t>the Guiding Principles on Business and Human Rights</w:t>
      </w:r>
      <w:r w:rsidR="000A0E98">
        <w:t>. These principles</w:t>
      </w:r>
      <w:r w:rsidRPr="006F2F99">
        <w:t xml:space="preserve"> </w:t>
      </w:r>
      <w:r>
        <w:t xml:space="preserve">require </w:t>
      </w:r>
      <w:r w:rsidRPr="006F2F99">
        <w:t xml:space="preserve">companies </w:t>
      </w:r>
      <w:r>
        <w:t>to assess the</w:t>
      </w:r>
      <w:r w:rsidRPr="006F2F99">
        <w:t xml:space="preserve"> main human rights risks throughout their value chain</w:t>
      </w:r>
      <w:r>
        <w:t xml:space="preserve">, both </w:t>
      </w:r>
      <w:r w:rsidRPr="006F2F99">
        <w:t xml:space="preserve">upstream and downstream. </w:t>
      </w:r>
      <w:r w:rsidRPr="00D91478">
        <w:t xml:space="preserve">Lack of affordability and </w:t>
      </w:r>
      <w:r>
        <w:t>the resulting</w:t>
      </w:r>
      <w:r w:rsidRPr="00D91478">
        <w:t xml:space="preserve"> impact on </w:t>
      </w:r>
      <w:r w:rsidR="006E4F70">
        <w:t xml:space="preserve">how people </w:t>
      </w:r>
      <w:r>
        <w:t xml:space="preserve">enjoy </w:t>
      </w:r>
      <w:r w:rsidR="006E4F70">
        <w:t xml:space="preserve">their </w:t>
      </w:r>
      <w:r w:rsidRPr="00D91478">
        <w:t xml:space="preserve">right to health </w:t>
      </w:r>
      <w:r w:rsidR="008E7855">
        <w:t xml:space="preserve">must </w:t>
      </w:r>
      <w:r w:rsidRPr="00D91478">
        <w:t>be included systematically in pricing discussions.</w:t>
      </w:r>
    </w:p>
    <w:p w14:paraId="7340C8CC" w14:textId="27DAD275" w:rsidR="002E2148" w:rsidRPr="000A405F" w:rsidRDefault="002E2148" w:rsidP="00E80810">
      <w:pPr>
        <w:pStyle w:val="SingleTxtG"/>
        <w:rPr>
          <w:rStyle w:val="EndnoteReference"/>
          <w:vertAlign w:val="baseline"/>
        </w:rPr>
      </w:pPr>
      <w:r>
        <w:rPr>
          <w:lang w:val="en-US"/>
        </w:rPr>
        <w:t>1</w:t>
      </w:r>
      <w:r w:rsidR="00D527A2" w:rsidRPr="4DBD6537">
        <w:rPr>
          <w:lang w:val="en-US"/>
        </w:rPr>
        <w:t>6</w:t>
      </w:r>
      <w:r w:rsidRPr="00341436">
        <w:rPr>
          <w:lang w:val="en-US"/>
        </w:rPr>
        <w:t>.</w:t>
      </w:r>
      <w:r w:rsidRPr="00341436">
        <w:rPr>
          <w:lang w:val="en-US"/>
        </w:rPr>
        <w:tab/>
        <w:t xml:space="preserve">Medical devices are essential </w:t>
      </w:r>
      <w:r w:rsidR="000A0E98" w:rsidRPr="4DBD6537">
        <w:rPr>
          <w:lang w:val="en-US"/>
        </w:rPr>
        <w:t xml:space="preserve">to </w:t>
      </w:r>
      <w:r w:rsidRPr="00341436">
        <w:rPr>
          <w:lang w:val="en-US"/>
        </w:rPr>
        <w:t>prevent, diagnos</w:t>
      </w:r>
      <w:r w:rsidR="000A0E98" w:rsidRPr="4DBD6537">
        <w:rPr>
          <w:lang w:val="en-US"/>
        </w:rPr>
        <w:t>e</w:t>
      </w:r>
      <w:r w:rsidRPr="00341436">
        <w:rPr>
          <w:lang w:val="en-US"/>
        </w:rPr>
        <w:t xml:space="preserve"> and treat illness and disease, </w:t>
      </w:r>
      <w:r>
        <w:rPr>
          <w:lang w:val="en-US"/>
        </w:rPr>
        <w:t>and for</w:t>
      </w:r>
      <w:r w:rsidRPr="00341436">
        <w:rPr>
          <w:lang w:val="en-US"/>
        </w:rPr>
        <w:t xml:space="preserve"> patient rehabilitation. Yet 13</w:t>
      </w:r>
      <w:r w:rsidRPr="4DBD6537">
        <w:rPr>
          <w:lang w:val="en-US"/>
        </w:rPr>
        <w:t>%</w:t>
      </w:r>
      <w:r w:rsidRPr="00341436">
        <w:rPr>
          <w:lang w:val="en-US"/>
        </w:rPr>
        <w:t xml:space="preserve"> of the world</w:t>
      </w:r>
      <w:r>
        <w:rPr>
          <w:lang w:val="en-US"/>
        </w:rPr>
        <w:t>’s</w:t>
      </w:r>
      <w:r w:rsidRPr="00341436">
        <w:rPr>
          <w:lang w:val="en-US"/>
        </w:rPr>
        <w:t xml:space="preserve"> population accounts for </w:t>
      </w:r>
      <w:r>
        <w:rPr>
          <w:lang w:val="en-US"/>
        </w:rPr>
        <w:t>76</w:t>
      </w:r>
      <w:r w:rsidRPr="4DBD6537">
        <w:rPr>
          <w:lang w:val="en-US"/>
        </w:rPr>
        <w:t>%</w:t>
      </w:r>
      <w:r w:rsidRPr="00341436">
        <w:rPr>
          <w:lang w:val="en-US"/>
        </w:rPr>
        <w:t xml:space="preserve"> of the use of global medical devices.</w:t>
      </w:r>
      <w:r w:rsidRPr="000812B8">
        <w:rPr>
          <w:rStyle w:val="EndnoteReference"/>
        </w:rPr>
        <w:endnoteReference w:id="22"/>
      </w:r>
      <w:r w:rsidRPr="000812B8">
        <w:rPr>
          <w:rStyle w:val="EndnoteReference"/>
        </w:rPr>
        <w:t xml:space="preserve"> </w:t>
      </w:r>
      <w:r w:rsidRPr="003114BC">
        <w:rPr>
          <w:lang w:val="en-US"/>
        </w:rPr>
        <w:t xml:space="preserve">Even where they are made available, medical technologies are </w:t>
      </w:r>
      <w:r w:rsidR="000A0E98" w:rsidRPr="4DBD6537">
        <w:rPr>
          <w:lang w:val="en-US"/>
        </w:rPr>
        <w:t xml:space="preserve">not </w:t>
      </w:r>
      <w:r w:rsidRPr="003114BC">
        <w:rPr>
          <w:lang w:val="en-US"/>
        </w:rPr>
        <w:t xml:space="preserve">typically designed for use in settings with </w:t>
      </w:r>
      <w:r w:rsidR="08CDC1F3" w:rsidRPr="003114BC">
        <w:rPr>
          <w:lang w:val="en-US"/>
        </w:rPr>
        <w:t>hot temperatures</w:t>
      </w:r>
      <w:r w:rsidRPr="003114BC">
        <w:rPr>
          <w:lang w:val="en-US"/>
        </w:rPr>
        <w:t xml:space="preserve">, fluctuating electricity or lack of clean water. Installation, maintenance services and user training are often </w:t>
      </w:r>
      <w:r w:rsidR="0072518C">
        <w:rPr>
          <w:lang w:val="en-US"/>
        </w:rPr>
        <w:t>missing</w:t>
      </w:r>
      <w:r w:rsidR="000A0E98" w:rsidRPr="4DBD6537">
        <w:rPr>
          <w:lang w:val="en-US"/>
        </w:rPr>
        <w:t>; this</w:t>
      </w:r>
      <w:r w:rsidR="000101E1" w:rsidRPr="4DBD6537">
        <w:rPr>
          <w:lang w:val="en-US"/>
        </w:rPr>
        <w:t xml:space="preserve"> </w:t>
      </w:r>
      <w:r w:rsidRPr="003114BC">
        <w:rPr>
          <w:lang w:val="en-US"/>
        </w:rPr>
        <w:t>lead</w:t>
      </w:r>
      <w:r w:rsidRPr="4DBD6537">
        <w:rPr>
          <w:lang w:val="en-US"/>
        </w:rPr>
        <w:t>s</w:t>
      </w:r>
      <w:r w:rsidRPr="003114BC">
        <w:rPr>
          <w:lang w:val="en-US"/>
        </w:rPr>
        <w:t xml:space="preserve"> to the unsafe </w:t>
      </w:r>
      <w:r w:rsidR="0072518C">
        <w:rPr>
          <w:lang w:val="en-US"/>
        </w:rPr>
        <w:t>use</w:t>
      </w:r>
      <w:r w:rsidR="0072518C" w:rsidRPr="00341436">
        <w:rPr>
          <w:lang w:val="en-US"/>
        </w:rPr>
        <w:t xml:space="preserve"> </w:t>
      </w:r>
      <w:r w:rsidRPr="00341436">
        <w:rPr>
          <w:lang w:val="en-US"/>
        </w:rPr>
        <w:t>of devices</w:t>
      </w:r>
      <w:r>
        <w:rPr>
          <w:lang w:val="en-US"/>
        </w:rPr>
        <w:t>,</w:t>
      </w:r>
      <w:r w:rsidRPr="00341436">
        <w:rPr>
          <w:lang w:val="en-US"/>
        </w:rPr>
        <w:t xml:space="preserve"> with potentially harmful consequences, </w:t>
      </w:r>
      <w:r w:rsidRPr="4DBD6537">
        <w:rPr>
          <w:lang w:val="en-US"/>
        </w:rPr>
        <w:t>e.g.</w:t>
      </w:r>
      <w:r w:rsidRPr="00341436">
        <w:rPr>
          <w:lang w:val="en-US"/>
        </w:rPr>
        <w:t xml:space="preserve"> misdiagnosis.</w:t>
      </w:r>
      <w:r w:rsidRPr="000812B8">
        <w:rPr>
          <w:rStyle w:val="EndnoteReference"/>
        </w:rPr>
        <w:endnoteReference w:id="23"/>
      </w:r>
    </w:p>
    <w:p w14:paraId="17643C1D" w14:textId="77777777" w:rsidR="002E2148" w:rsidRPr="00341436" w:rsidRDefault="002E2148" w:rsidP="00E80810">
      <w:pPr>
        <w:pStyle w:val="H23G"/>
      </w:pPr>
      <w:r>
        <w:tab/>
        <w:t>1.</w:t>
      </w:r>
      <w:r>
        <w:tab/>
      </w:r>
      <w:bookmarkStart w:id="7" w:name="IIIB1_Funding_partnerships_RD"/>
      <w:r w:rsidRPr="00341436">
        <w:t xml:space="preserve">Funding and partnerships for </w:t>
      </w:r>
      <w:r w:rsidRPr="00652666">
        <w:t>research</w:t>
      </w:r>
      <w:r w:rsidRPr="00341436">
        <w:t xml:space="preserve"> and development</w:t>
      </w:r>
      <w:bookmarkEnd w:id="7"/>
    </w:p>
    <w:p w14:paraId="7B62DDB4" w14:textId="10C89E7C" w:rsidR="002E2148" w:rsidRPr="000A405F" w:rsidRDefault="002E2148" w:rsidP="00E80810">
      <w:pPr>
        <w:pStyle w:val="SingleTxtG"/>
        <w:rPr>
          <w:rStyle w:val="EndnoteReference"/>
          <w:vertAlign w:val="baseline"/>
        </w:rPr>
      </w:pPr>
      <w:r w:rsidRPr="00341436">
        <w:t>1</w:t>
      </w:r>
      <w:r w:rsidR="00D527A2">
        <w:t>7</w:t>
      </w:r>
      <w:r w:rsidRPr="00341436">
        <w:t>.</w:t>
      </w:r>
      <w:r w:rsidRPr="00341436">
        <w:tab/>
        <w:t xml:space="preserve">Public-private partnerships, bringing together governments, pharmaceutical companies and other stakeholders, can </w:t>
      </w:r>
      <w:r w:rsidR="000A0E98">
        <w:t xml:space="preserve">help </w:t>
      </w:r>
      <w:r w:rsidRPr="00341436">
        <w:t>develop and deliver medicines and vaccines to underserved populations</w:t>
      </w:r>
      <w:r>
        <w:t xml:space="preserve"> when human rights considerations become </w:t>
      </w:r>
      <w:r w:rsidR="000A0E98">
        <w:t xml:space="preserve">the focus </w:t>
      </w:r>
      <w:r>
        <w:t>of</w:t>
      </w:r>
      <w:r w:rsidR="00EA5695">
        <w:t xml:space="preserve"> these</w:t>
      </w:r>
      <w:r>
        <w:t xml:space="preserve"> partnerships</w:t>
      </w:r>
      <w:r w:rsidRPr="00341436">
        <w:t xml:space="preserve">. </w:t>
      </w:r>
      <w:r w:rsidR="00EA5695">
        <w:t xml:space="preserve">These </w:t>
      </w:r>
      <w:r w:rsidRPr="00341436">
        <w:t xml:space="preserve">partnerships can </w:t>
      </w:r>
      <w:r w:rsidR="000A0E98">
        <w:t xml:space="preserve">help technology </w:t>
      </w:r>
      <w:r w:rsidRPr="00341436">
        <w:t>invent</w:t>
      </w:r>
      <w:r>
        <w:t>ion and</w:t>
      </w:r>
      <w:r w:rsidRPr="00341436">
        <w:t xml:space="preserve"> </w:t>
      </w:r>
      <w:r>
        <w:t xml:space="preserve">the </w:t>
      </w:r>
      <w:r w:rsidRPr="00341436">
        <w:t>shar</w:t>
      </w:r>
      <w:r>
        <w:t>ing of</w:t>
      </w:r>
      <w:r w:rsidRPr="00341436">
        <w:t xml:space="preserve"> the costs and risks of research and development</w:t>
      </w:r>
      <w:r>
        <w:t>,</w:t>
      </w:r>
      <w:r w:rsidRPr="00341436">
        <w:t xml:space="preserve"> and </w:t>
      </w:r>
      <w:r>
        <w:t xml:space="preserve">can help </w:t>
      </w:r>
      <w:r w:rsidRPr="00341436">
        <w:t xml:space="preserve">increase </w:t>
      </w:r>
      <w:r>
        <w:t xml:space="preserve">the availability of and </w:t>
      </w:r>
      <w:r w:rsidRPr="00341436">
        <w:t>access to health</w:t>
      </w:r>
      <w:r>
        <w:t xml:space="preserve"> </w:t>
      </w:r>
      <w:r w:rsidRPr="00341436">
        <w:t>care. The</w:t>
      </w:r>
      <w:r>
        <w:t>se partnerships</w:t>
      </w:r>
      <w:r w:rsidRPr="00341436">
        <w:t xml:space="preserve"> </w:t>
      </w:r>
      <w:r>
        <w:t xml:space="preserve">can </w:t>
      </w:r>
      <w:r w:rsidRPr="00341436">
        <w:t xml:space="preserve">play </w:t>
      </w:r>
      <w:bookmarkStart w:id="8" w:name="_Int_9GYM7mPK"/>
      <w:r w:rsidRPr="00341436">
        <w:t>an important role</w:t>
      </w:r>
      <w:bookmarkEnd w:id="8"/>
      <w:r w:rsidRPr="00341436">
        <w:t xml:space="preserve"> in improving access to medicines and vaccines in low- and middle-income countries by mobilizing additional resources, promoting collaboration, </w:t>
      </w:r>
      <w:r w:rsidR="0072518C">
        <w:t>supporting</w:t>
      </w:r>
      <w:r w:rsidR="0072518C" w:rsidRPr="00341436">
        <w:t xml:space="preserve"> </w:t>
      </w:r>
      <w:r w:rsidRPr="00341436">
        <w:t>innovation, improving efficiency and ensuring sustainability.</w:t>
      </w:r>
      <w:r w:rsidRPr="000812B8">
        <w:rPr>
          <w:rStyle w:val="EndnoteReference"/>
        </w:rPr>
        <w:endnoteReference w:id="24"/>
      </w:r>
    </w:p>
    <w:p w14:paraId="4D62CEC8" w14:textId="7B74B590" w:rsidR="006E4F70" w:rsidRDefault="002E2148" w:rsidP="00E80810">
      <w:pPr>
        <w:pStyle w:val="SingleTxtG"/>
      </w:pPr>
      <w:r w:rsidRPr="00341436">
        <w:t>1</w:t>
      </w:r>
      <w:r w:rsidR="00D527A2">
        <w:t>8</w:t>
      </w:r>
      <w:r w:rsidRPr="00341436">
        <w:t>.</w:t>
      </w:r>
      <w:r w:rsidRPr="00341436">
        <w:tab/>
      </w:r>
      <w:r w:rsidR="00BA2226">
        <w:t>Several</w:t>
      </w:r>
      <w:r w:rsidRPr="00341436">
        <w:t xml:space="preserve"> public-private partnerships have contributed to </w:t>
      </w:r>
      <w:r>
        <w:t xml:space="preserve">developing </w:t>
      </w:r>
      <w:r w:rsidRPr="00341436">
        <w:t xml:space="preserve">medicines and vaccines and </w:t>
      </w:r>
      <w:r w:rsidR="000A0E98">
        <w:t>helping</w:t>
      </w:r>
      <w:r w:rsidRPr="00341436">
        <w:t xml:space="preserve"> low- and middle</w:t>
      </w:r>
      <w:r>
        <w:t>-</w:t>
      </w:r>
      <w:r w:rsidRPr="00341436">
        <w:t>income countries</w:t>
      </w:r>
      <w:r w:rsidR="000A0E98">
        <w:t xml:space="preserve"> get access</w:t>
      </w:r>
      <w:r w:rsidR="00CA4529">
        <w:t>.</w:t>
      </w:r>
    </w:p>
    <w:tbl>
      <w:tblPr>
        <w:tblStyle w:val="TableGrid"/>
        <w:tblW w:w="0" w:type="auto"/>
        <w:tblInd w:w="1134" w:type="dxa"/>
        <w:tblLook w:val="04A0" w:firstRow="1" w:lastRow="0" w:firstColumn="1" w:lastColumn="0" w:noHBand="0" w:noVBand="1"/>
      </w:tblPr>
      <w:tblGrid>
        <w:gridCol w:w="1696"/>
        <w:gridCol w:w="5670"/>
      </w:tblGrid>
      <w:tr w:rsidR="00CA4529" w14:paraId="28C22F46" w14:textId="77777777" w:rsidTr="00DC1BA3">
        <w:tc>
          <w:tcPr>
            <w:tcW w:w="7366" w:type="dxa"/>
            <w:gridSpan w:val="2"/>
          </w:tcPr>
          <w:p w14:paraId="58E01CEA" w14:textId="25CC2ED8" w:rsidR="00CA4529" w:rsidRPr="005624E2" w:rsidRDefault="00CA4529" w:rsidP="00CB45B5">
            <w:pPr>
              <w:pStyle w:val="SingleTxtG"/>
              <w:ind w:left="-12" w:right="27"/>
              <w:rPr>
                <w:b/>
                <w:bCs/>
              </w:rPr>
            </w:pPr>
            <w:r w:rsidRPr="005624E2">
              <w:rPr>
                <w:b/>
                <w:bCs/>
              </w:rPr>
              <w:t>Examples of public-private partnerships:</w:t>
            </w:r>
          </w:p>
        </w:tc>
      </w:tr>
      <w:tr w:rsidR="006E4F70" w14:paraId="09F2A212" w14:textId="77777777" w:rsidTr="00593D73">
        <w:tc>
          <w:tcPr>
            <w:tcW w:w="1696" w:type="dxa"/>
          </w:tcPr>
          <w:p w14:paraId="38243343" w14:textId="0ECC8EEC" w:rsidR="006E4F70" w:rsidRPr="00021B93" w:rsidRDefault="006E4F70" w:rsidP="00CB45B5">
            <w:pPr>
              <w:pStyle w:val="SingleTxtG"/>
              <w:ind w:left="28" w:right="152"/>
              <w:rPr>
                <w:b/>
                <w:bCs/>
              </w:rPr>
            </w:pPr>
            <w:r w:rsidRPr="4DBD6537">
              <w:rPr>
                <w:b/>
                <w:bCs/>
              </w:rPr>
              <w:t xml:space="preserve">Advance Market Commitments </w:t>
            </w:r>
          </w:p>
          <w:p w14:paraId="6F73A66D" w14:textId="77777777" w:rsidR="006E4F70" w:rsidRDefault="006E4F70" w:rsidP="00593D73">
            <w:pPr>
              <w:pStyle w:val="SingleTxtG"/>
              <w:ind w:left="28" w:right="152"/>
            </w:pPr>
          </w:p>
        </w:tc>
        <w:tc>
          <w:tcPr>
            <w:tcW w:w="5670" w:type="dxa"/>
          </w:tcPr>
          <w:p w14:paraId="2092FC44" w14:textId="1A22181F" w:rsidR="00CA4529" w:rsidRDefault="0072518C" w:rsidP="00CB45B5">
            <w:pPr>
              <w:pStyle w:val="SingleTxtG"/>
              <w:ind w:left="-12" w:right="27"/>
            </w:pPr>
            <w:r>
              <w:t>This</w:t>
            </w:r>
            <w:r w:rsidR="00CA4529">
              <w:t xml:space="preserve"> a</w:t>
            </w:r>
            <w:r w:rsidR="00CA4529" w:rsidRPr="00341436">
              <w:t xml:space="preserve">dvance </w:t>
            </w:r>
            <w:r w:rsidR="00CA4529">
              <w:t>m</w:t>
            </w:r>
            <w:r w:rsidR="00CA4529" w:rsidRPr="00341436">
              <w:t xml:space="preserve">arket </w:t>
            </w:r>
            <w:r w:rsidR="00CA4529">
              <w:t>c</w:t>
            </w:r>
            <w:r w:rsidR="00CA4529" w:rsidRPr="00341436">
              <w:t>ommitment</w:t>
            </w:r>
            <w:r w:rsidR="00CA4529">
              <w:t xml:space="preserve"> was a public-private partnership that made the development and production of </w:t>
            </w:r>
            <w:r w:rsidR="006E4F70" w:rsidRPr="00341436">
              <w:t>the pneumococcal vaccine possible</w:t>
            </w:r>
            <w:r w:rsidR="00CA4529">
              <w:t xml:space="preserve">. </w:t>
            </w:r>
          </w:p>
          <w:p w14:paraId="6DFCC84C" w14:textId="290412B0" w:rsidR="00F9797A" w:rsidRDefault="00CA4529" w:rsidP="00CB45B5">
            <w:pPr>
              <w:pStyle w:val="SingleTxtG"/>
              <w:ind w:left="-12" w:right="27"/>
            </w:pPr>
            <w:r>
              <w:t>An</w:t>
            </w:r>
            <w:r w:rsidR="006E4F70" w:rsidRPr="00341436">
              <w:t xml:space="preserve"> innovative financing mechanism </w:t>
            </w:r>
            <w:r>
              <w:t xml:space="preserve">was used </w:t>
            </w:r>
            <w:r w:rsidR="006E4F70" w:rsidRPr="00341436">
              <w:t xml:space="preserve">that provides guaranteed funding </w:t>
            </w:r>
            <w:r w:rsidR="006E4F70">
              <w:t xml:space="preserve">to develop and produce </w:t>
            </w:r>
            <w:r w:rsidR="006E4F70" w:rsidRPr="00341436">
              <w:t>vaccines</w:t>
            </w:r>
            <w:r w:rsidR="006E4F70">
              <w:t xml:space="preserve">, </w:t>
            </w:r>
            <w:r w:rsidR="006E4F70" w:rsidRPr="00341436">
              <w:t>at an affordable price</w:t>
            </w:r>
            <w:r w:rsidR="006E4F70">
              <w:t>,</w:t>
            </w:r>
            <w:r w:rsidR="006E4F70" w:rsidRPr="00341436">
              <w:t xml:space="preserve"> for diseases that disproportionately affect low- and middle-income countries. </w:t>
            </w:r>
          </w:p>
          <w:p w14:paraId="0FDFCE98" w14:textId="77777777" w:rsidR="00F9797A" w:rsidRDefault="006E4F70" w:rsidP="00CB45B5">
            <w:pPr>
              <w:pStyle w:val="SingleTxtG"/>
              <w:ind w:left="-12" w:right="27"/>
            </w:pPr>
            <w:r w:rsidRPr="00341436">
              <w:lastRenderedPageBreak/>
              <w:t xml:space="preserve">Under the </w:t>
            </w:r>
            <w:r>
              <w:t>advance market commitment</w:t>
            </w:r>
            <w:r w:rsidRPr="00341436">
              <w:t xml:space="preserve">, in return for funding from donors, the manufacturers commit to supplying the medicine or vaccine at an affordable price to low- and middle-income countries. </w:t>
            </w:r>
          </w:p>
          <w:p w14:paraId="42C490C5" w14:textId="532364D3" w:rsidR="006E4F70" w:rsidRDefault="006E4F70" w:rsidP="00593D73">
            <w:pPr>
              <w:pStyle w:val="SingleTxtG"/>
              <w:ind w:left="-12" w:right="27"/>
            </w:pPr>
            <w:r>
              <w:t>This arrangement provides a market for vaccine manufacturers and an incentive for them to invest in research and development.</w:t>
            </w:r>
            <w:r w:rsidRPr="000812B8">
              <w:rPr>
                <w:rStyle w:val="EndnoteReference"/>
              </w:rPr>
              <w:endnoteReference w:id="25"/>
            </w:r>
          </w:p>
        </w:tc>
      </w:tr>
      <w:tr w:rsidR="006E4F70" w14:paraId="489C248A" w14:textId="77777777" w:rsidTr="00593D73">
        <w:tc>
          <w:tcPr>
            <w:tcW w:w="1696" w:type="dxa"/>
          </w:tcPr>
          <w:p w14:paraId="300DA811" w14:textId="77777777" w:rsidR="006E4F70" w:rsidRPr="00996F82" w:rsidRDefault="006E4F70" w:rsidP="00593D73">
            <w:pPr>
              <w:pStyle w:val="SingleTxtG"/>
              <w:ind w:left="28" w:right="152"/>
              <w:rPr>
                <w:b/>
                <w:bCs/>
              </w:rPr>
            </w:pPr>
            <w:r w:rsidRPr="00996F82">
              <w:rPr>
                <w:b/>
                <w:bCs/>
              </w:rPr>
              <w:lastRenderedPageBreak/>
              <w:t>The Gavi Alliance</w:t>
            </w:r>
          </w:p>
          <w:p w14:paraId="3C405179" w14:textId="77777777" w:rsidR="006E4F70" w:rsidRDefault="006E4F70" w:rsidP="00593D73">
            <w:pPr>
              <w:pStyle w:val="SingleTxtG"/>
              <w:ind w:left="28" w:right="152"/>
            </w:pPr>
          </w:p>
        </w:tc>
        <w:tc>
          <w:tcPr>
            <w:tcW w:w="5670" w:type="dxa"/>
          </w:tcPr>
          <w:p w14:paraId="0A826CFF" w14:textId="2B87022A" w:rsidR="006E4F70" w:rsidRDefault="00CB45B5" w:rsidP="00593D73">
            <w:pPr>
              <w:pStyle w:val="SingleTxtG"/>
              <w:ind w:left="-12" w:right="27"/>
            </w:pPr>
            <w:r w:rsidRPr="00341436">
              <w:t xml:space="preserve">The </w:t>
            </w:r>
            <w:r>
              <w:t>Gavi</w:t>
            </w:r>
            <w:r w:rsidRPr="00341436">
              <w:t xml:space="preserve"> Alliance </w:t>
            </w:r>
            <w:r w:rsidR="00CA4529">
              <w:t xml:space="preserve">is a </w:t>
            </w:r>
            <w:r w:rsidR="00CA4529" w:rsidRPr="00341436">
              <w:t>public-private partnership</w:t>
            </w:r>
            <w:r w:rsidR="00CA4529">
              <w:t xml:space="preserve"> that </w:t>
            </w:r>
            <w:r w:rsidRPr="00341436">
              <w:t>helped to immunize over 822 million children and h</w:t>
            </w:r>
            <w:r>
              <w:t>elped to</w:t>
            </w:r>
            <w:r w:rsidRPr="00341436">
              <w:t xml:space="preserve"> prevent over 14 million deaths by improving access to vaccines in low- and middle-income countries</w:t>
            </w:r>
            <w:r>
              <w:t>. The Alliance has served as co-lead of</w:t>
            </w:r>
            <w:r w:rsidRPr="00341436">
              <w:t xml:space="preserve"> COVAX</w:t>
            </w:r>
            <w:r>
              <w:t xml:space="preserve">, </w:t>
            </w:r>
            <w:r w:rsidRPr="00F42BDF">
              <w:t>the vaccines pillar of the Access to COVID-19 Tools (ACT) Accelerator</w:t>
            </w:r>
            <w:r w:rsidRPr="00341436">
              <w:t>.</w:t>
            </w:r>
            <w:r w:rsidRPr="000812B8">
              <w:rPr>
                <w:rStyle w:val="EndnoteReference"/>
              </w:rPr>
              <w:endnoteReference w:id="26"/>
            </w:r>
            <w:r w:rsidRPr="000812B8">
              <w:rPr>
                <w:rStyle w:val="EndnoteReference"/>
              </w:rPr>
              <w:t xml:space="preserve"> </w:t>
            </w:r>
          </w:p>
        </w:tc>
      </w:tr>
      <w:tr w:rsidR="006E4F70" w14:paraId="3FA50DE9" w14:textId="77777777" w:rsidTr="00593D73">
        <w:tc>
          <w:tcPr>
            <w:tcW w:w="1696" w:type="dxa"/>
          </w:tcPr>
          <w:p w14:paraId="29329AED" w14:textId="08D6031A" w:rsidR="006E4F70" w:rsidRDefault="00CB45B5" w:rsidP="00593D73">
            <w:pPr>
              <w:pStyle w:val="SingleTxtG"/>
              <w:ind w:left="28" w:right="152"/>
            </w:pPr>
            <w:r w:rsidRPr="00DE02CA">
              <w:rPr>
                <w:b/>
                <w:bCs/>
              </w:rPr>
              <w:t>The Global Fund to Fight AIDS, Tuberculosis and Malaria</w:t>
            </w:r>
          </w:p>
        </w:tc>
        <w:tc>
          <w:tcPr>
            <w:tcW w:w="5670" w:type="dxa"/>
          </w:tcPr>
          <w:p w14:paraId="6FC8B423" w14:textId="77777777" w:rsidR="00CB45B5" w:rsidRDefault="00CB45B5" w:rsidP="00593D73">
            <w:pPr>
              <w:pStyle w:val="SingleTxtG"/>
              <w:ind w:left="-12" w:right="27"/>
            </w:pPr>
            <w:r>
              <w:t>This g</w:t>
            </w:r>
            <w:r w:rsidRPr="00341436">
              <w:t xml:space="preserve">lobal </w:t>
            </w:r>
            <w:r>
              <w:t>f</w:t>
            </w:r>
            <w:r w:rsidRPr="00341436">
              <w:t>und finances and coordinates programmes to prevent and treat disease through public-private partnerships.</w:t>
            </w:r>
            <w:r w:rsidRPr="000812B8">
              <w:rPr>
                <w:rStyle w:val="EndnoteReference"/>
              </w:rPr>
              <w:endnoteReference w:id="27"/>
            </w:r>
            <w:r w:rsidRPr="000812B8">
              <w:rPr>
                <w:rStyle w:val="EndnoteReference"/>
              </w:rPr>
              <w:t xml:space="preserve"> </w:t>
            </w:r>
          </w:p>
          <w:p w14:paraId="156E32F1" w14:textId="77777777" w:rsidR="006E4F70" w:rsidRDefault="006E4F70" w:rsidP="00593D73">
            <w:pPr>
              <w:pStyle w:val="SingleTxtG"/>
              <w:ind w:left="-12" w:right="27"/>
            </w:pPr>
          </w:p>
        </w:tc>
      </w:tr>
      <w:tr w:rsidR="006E4F70" w14:paraId="72678DD5" w14:textId="77777777" w:rsidTr="00593D73">
        <w:tc>
          <w:tcPr>
            <w:tcW w:w="1696" w:type="dxa"/>
          </w:tcPr>
          <w:p w14:paraId="3A136CA0" w14:textId="67B052E5" w:rsidR="006E4F70" w:rsidRDefault="00CB45B5" w:rsidP="00593D73">
            <w:pPr>
              <w:pStyle w:val="SingleTxtG"/>
              <w:ind w:left="28" w:right="152"/>
            </w:pPr>
            <w:r w:rsidRPr="00F61EA6">
              <w:rPr>
                <w:b/>
                <w:bCs/>
              </w:rPr>
              <w:t>The Medicines for Malaria Venture</w:t>
            </w:r>
          </w:p>
        </w:tc>
        <w:tc>
          <w:tcPr>
            <w:tcW w:w="5670" w:type="dxa"/>
          </w:tcPr>
          <w:p w14:paraId="63491A93" w14:textId="3A155B7D" w:rsidR="00CB45B5" w:rsidRDefault="00CB45B5" w:rsidP="00593D73">
            <w:pPr>
              <w:pStyle w:val="SingleTxtG"/>
              <w:ind w:left="-12" w:right="27"/>
            </w:pPr>
            <w:r>
              <w:t xml:space="preserve">This </w:t>
            </w:r>
            <w:r w:rsidR="00CA4529" w:rsidRPr="00341436">
              <w:t>public-private partnership</w:t>
            </w:r>
            <w:r w:rsidR="00CA4529">
              <w:t xml:space="preserve"> </w:t>
            </w:r>
            <w:r>
              <w:t>scheme</w:t>
            </w:r>
            <w:r w:rsidRPr="00341436">
              <w:t xml:space="preserve"> has contributed to developing new treatments for malaria.</w:t>
            </w:r>
            <w:r w:rsidRPr="000812B8">
              <w:rPr>
                <w:rStyle w:val="EndnoteReference"/>
              </w:rPr>
              <w:endnoteReference w:id="28"/>
            </w:r>
            <w:r w:rsidRPr="000812B8">
              <w:rPr>
                <w:rStyle w:val="EndnoteReference"/>
              </w:rPr>
              <w:t xml:space="preserve"> </w:t>
            </w:r>
          </w:p>
          <w:p w14:paraId="163B0CD2" w14:textId="77777777" w:rsidR="006E4F70" w:rsidRDefault="006E4F70" w:rsidP="00593D73">
            <w:pPr>
              <w:pStyle w:val="SingleTxtG"/>
              <w:ind w:left="-12" w:right="27"/>
            </w:pPr>
          </w:p>
        </w:tc>
      </w:tr>
      <w:tr w:rsidR="006E4F70" w14:paraId="15F842BA" w14:textId="77777777" w:rsidTr="00593D73">
        <w:tc>
          <w:tcPr>
            <w:tcW w:w="1696" w:type="dxa"/>
          </w:tcPr>
          <w:p w14:paraId="09B91167" w14:textId="12749397" w:rsidR="006E4F70" w:rsidRPr="00593D73" w:rsidRDefault="00CB45B5" w:rsidP="00593D73">
            <w:pPr>
              <w:pStyle w:val="SingleTxtG"/>
              <w:ind w:left="28" w:right="152"/>
              <w:rPr>
                <w:b/>
                <w:bCs/>
              </w:rPr>
            </w:pPr>
            <w:r w:rsidRPr="00593D73">
              <w:rPr>
                <w:b/>
                <w:bCs/>
              </w:rPr>
              <w:t>The Innovative Medicines Initiative</w:t>
            </w:r>
          </w:p>
        </w:tc>
        <w:tc>
          <w:tcPr>
            <w:tcW w:w="5670" w:type="dxa"/>
          </w:tcPr>
          <w:p w14:paraId="1BDD5AFC" w14:textId="3967BDB9" w:rsidR="006E4F70" w:rsidRDefault="00CB45B5" w:rsidP="00593D73">
            <w:pPr>
              <w:pStyle w:val="SingleTxtG"/>
              <w:ind w:left="-12" w:right="27"/>
            </w:pPr>
            <w:r>
              <w:t xml:space="preserve">This </w:t>
            </w:r>
            <w:r w:rsidR="00CA4529" w:rsidRPr="00341436">
              <w:t>public-private partnership</w:t>
            </w:r>
            <w:r w:rsidR="00CA4529">
              <w:t xml:space="preserve"> </w:t>
            </w:r>
            <w:r>
              <w:t xml:space="preserve">initiative </w:t>
            </w:r>
            <w:r w:rsidRPr="00341436">
              <w:t xml:space="preserve">was established </w:t>
            </w:r>
            <w:r>
              <w:t xml:space="preserve">in 2008 </w:t>
            </w:r>
            <w:r w:rsidRPr="00341436">
              <w:t>for the development of new treatments for diseases</w:t>
            </w:r>
            <w:r>
              <w:t>,</w:t>
            </w:r>
            <w:r w:rsidRPr="00341436">
              <w:t xml:space="preserve"> </w:t>
            </w:r>
            <w:r>
              <w:t>e.g.</w:t>
            </w:r>
            <w:r w:rsidRPr="00341436">
              <w:t xml:space="preserve"> Alzheimer</w:t>
            </w:r>
            <w:r>
              <w:t>’s</w:t>
            </w:r>
            <w:r w:rsidRPr="00341436">
              <w:t xml:space="preserve">, diabetes and cancer, building on </w:t>
            </w:r>
            <w:r w:rsidR="00C700BD">
              <w:t xml:space="preserve">how </w:t>
            </w:r>
            <w:r w:rsidRPr="00341436">
              <w:t>pharmaceutical companies, research institutions and patient groups</w:t>
            </w:r>
            <w:r w:rsidR="00C700BD">
              <w:t xml:space="preserve"> work together</w:t>
            </w:r>
            <w:r w:rsidRPr="00341436">
              <w:t>.</w:t>
            </w:r>
            <w:r w:rsidRPr="000812B8">
              <w:rPr>
                <w:rStyle w:val="EndnoteReference"/>
              </w:rPr>
              <w:endnoteReference w:id="29"/>
            </w:r>
            <w:r w:rsidRPr="000812B8">
              <w:rPr>
                <w:rStyle w:val="EndnoteReference"/>
              </w:rPr>
              <w:t xml:space="preserve"> </w:t>
            </w:r>
          </w:p>
        </w:tc>
      </w:tr>
      <w:tr w:rsidR="00CB45B5" w14:paraId="18243B5C" w14:textId="77777777" w:rsidTr="00593D73">
        <w:tc>
          <w:tcPr>
            <w:tcW w:w="1696" w:type="dxa"/>
          </w:tcPr>
          <w:p w14:paraId="55C6D7A4" w14:textId="1D1244A5" w:rsidR="00CB45B5" w:rsidRPr="00593D73" w:rsidRDefault="00CB45B5" w:rsidP="00593D73">
            <w:pPr>
              <w:pStyle w:val="SingleTxtG"/>
              <w:ind w:left="28" w:right="152"/>
              <w:rPr>
                <w:b/>
                <w:bCs/>
              </w:rPr>
            </w:pPr>
            <w:r w:rsidRPr="00593D73">
              <w:rPr>
                <w:b/>
                <w:bCs/>
              </w:rPr>
              <w:t xml:space="preserve">The </w:t>
            </w:r>
            <w:r w:rsidRPr="00593D73">
              <w:rPr>
                <w:b/>
                <w:bCs/>
                <w:lang w:val="en-US"/>
              </w:rPr>
              <w:t>Access to Oncology Medicines (ATOM) Coalition</w:t>
            </w:r>
          </w:p>
        </w:tc>
        <w:tc>
          <w:tcPr>
            <w:tcW w:w="5670" w:type="dxa"/>
          </w:tcPr>
          <w:p w14:paraId="0A7C925F" w14:textId="6B8AFB6C" w:rsidR="00CB45B5" w:rsidRPr="00FF32E0" w:rsidRDefault="00CB45B5" w:rsidP="00593D73">
            <w:pPr>
              <w:pStyle w:val="SingleTxtG"/>
              <w:ind w:left="-12" w:right="27"/>
              <w:rPr>
                <w:rStyle w:val="EndnoteReference"/>
                <w:rFonts w:eastAsia="SimSun"/>
                <w:vertAlign w:val="baseline"/>
              </w:rPr>
            </w:pPr>
            <w:r w:rsidRPr="00341436">
              <w:t>In the area of non-communicable diseases,</w:t>
            </w:r>
            <w:r>
              <w:t xml:space="preserve"> this </w:t>
            </w:r>
            <w:r w:rsidR="00CA4529" w:rsidRPr="00341436">
              <w:t>public-private partnership</w:t>
            </w:r>
            <w:r w:rsidRPr="000812B8">
              <w:rPr>
                <w:rStyle w:val="EndnoteReference"/>
              </w:rPr>
              <w:endnoteReference w:id="30"/>
            </w:r>
            <w:r w:rsidRPr="00341436">
              <w:rPr>
                <w:lang w:val="en-US"/>
              </w:rPr>
              <w:t xml:space="preserve"> seeks to increase access to essential cancer medicines and the </w:t>
            </w:r>
            <w:r w:rsidR="0072518C">
              <w:rPr>
                <w:lang w:val="en-US"/>
              </w:rPr>
              <w:t>possibility</w:t>
            </w:r>
            <w:r w:rsidR="0072518C" w:rsidRPr="00341436">
              <w:rPr>
                <w:lang w:val="en-US"/>
              </w:rPr>
              <w:t xml:space="preserve"> </w:t>
            </w:r>
            <w:r w:rsidRPr="00341436">
              <w:rPr>
                <w:lang w:val="en-US"/>
              </w:rPr>
              <w:t>to use them appropriately.</w:t>
            </w:r>
            <w:r w:rsidRPr="000812B8">
              <w:rPr>
                <w:rStyle w:val="EndnoteReference"/>
              </w:rPr>
              <w:endnoteReference w:id="31"/>
            </w:r>
          </w:p>
          <w:p w14:paraId="484B9F1F" w14:textId="77777777" w:rsidR="00CB45B5" w:rsidRDefault="00CB45B5" w:rsidP="00593D73">
            <w:pPr>
              <w:pStyle w:val="SingleTxtG"/>
              <w:ind w:left="-12" w:right="27"/>
            </w:pPr>
          </w:p>
        </w:tc>
      </w:tr>
    </w:tbl>
    <w:p w14:paraId="0CCF033A" w14:textId="61CE358A" w:rsidR="006E4F70" w:rsidRDefault="006E4F70" w:rsidP="00E80810">
      <w:pPr>
        <w:pStyle w:val="SingleTxtG"/>
      </w:pPr>
    </w:p>
    <w:p w14:paraId="21045AD0" w14:textId="521C355A" w:rsidR="002E2148" w:rsidRPr="00341436" w:rsidRDefault="002E2148" w:rsidP="00E80810">
      <w:pPr>
        <w:pStyle w:val="H23G"/>
      </w:pPr>
      <w:r>
        <w:tab/>
        <w:t>2.</w:t>
      </w:r>
      <w:r>
        <w:tab/>
      </w:r>
      <w:bookmarkStart w:id="9" w:name="IIIB2_Ensuring_fair_pricing"/>
      <w:r w:rsidR="001855B9">
        <w:t>Ensuring f</w:t>
      </w:r>
      <w:r w:rsidRPr="00341436">
        <w:t>air pricing</w:t>
      </w:r>
      <w:bookmarkEnd w:id="9"/>
    </w:p>
    <w:p w14:paraId="3F1CA1F9" w14:textId="6611D9B9" w:rsidR="002E2148" w:rsidRPr="00341436" w:rsidRDefault="00F9797A" w:rsidP="00E80810">
      <w:pPr>
        <w:pStyle w:val="SingleTxtG"/>
      </w:pPr>
      <w:r>
        <w:t>19</w:t>
      </w:r>
      <w:r w:rsidR="002E2148" w:rsidRPr="00341436">
        <w:t>.</w:t>
      </w:r>
      <w:r w:rsidR="002E2148" w:rsidRPr="00341436">
        <w:tab/>
        <w:t>Essential medicines and vaccines should be treated as public goods</w:t>
      </w:r>
      <w:r>
        <w:t>; however</w:t>
      </w:r>
      <w:r w:rsidR="002E2148" w:rsidRPr="00341436">
        <w:t>, the</w:t>
      </w:r>
      <w:r w:rsidR="002E2148">
        <w:t>ir</w:t>
      </w:r>
      <w:r w:rsidR="002E2148" w:rsidRPr="00341436">
        <w:t xml:space="preserve"> current cost </w:t>
      </w:r>
      <w:r w:rsidR="0006067B">
        <w:t xml:space="preserve">is </w:t>
      </w:r>
      <w:r w:rsidR="002E2148" w:rsidRPr="00341436">
        <w:t xml:space="preserve">a </w:t>
      </w:r>
      <w:r w:rsidR="0006067B">
        <w:t xml:space="preserve">high </w:t>
      </w:r>
      <w:r w:rsidR="002E2148" w:rsidRPr="00341436">
        <w:t xml:space="preserve">financial burden for low-income countries and </w:t>
      </w:r>
      <w:r w:rsidR="0006067B">
        <w:t xml:space="preserve">is </w:t>
      </w:r>
      <w:r w:rsidR="002E2148" w:rsidRPr="00341436">
        <w:t xml:space="preserve">an important obstacle to </w:t>
      </w:r>
      <w:r w:rsidR="0006067B">
        <w:t xml:space="preserve">global </w:t>
      </w:r>
      <w:r w:rsidR="002E2148">
        <w:t xml:space="preserve">medicine and vaccine </w:t>
      </w:r>
      <w:r w:rsidR="0006067B">
        <w:t>fairness</w:t>
      </w:r>
      <w:r w:rsidR="002E2148" w:rsidRPr="00341436">
        <w:t xml:space="preserve">. Medicines and vaccines </w:t>
      </w:r>
      <w:r w:rsidR="008E7855">
        <w:t xml:space="preserve">must </w:t>
      </w:r>
      <w:r w:rsidR="002E2148" w:rsidRPr="00341436">
        <w:t xml:space="preserve">be priced </w:t>
      </w:r>
      <w:r w:rsidR="00A55575">
        <w:t xml:space="preserve">fairly </w:t>
      </w:r>
      <w:r w:rsidR="002E2148" w:rsidRPr="00341436">
        <w:t>and be affordable so as not to</w:t>
      </w:r>
      <w:r w:rsidR="0006067B">
        <w:t xml:space="preserve"> unfairly</w:t>
      </w:r>
      <w:r w:rsidR="002E2148" w:rsidRPr="00341436">
        <w:t xml:space="preserve"> </w:t>
      </w:r>
      <w:r w:rsidR="0006067B">
        <w:t xml:space="preserve">cause difficulty to </w:t>
      </w:r>
      <w:r w:rsidR="002E2148" w:rsidRPr="00341436">
        <w:t xml:space="preserve">persons living in poverty. </w:t>
      </w:r>
      <w:r w:rsidR="002E2148">
        <w:t>It has been argued that t</w:t>
      </w:r>
      <w:r w:rsidR="002E2148" w:rsidRPr="00341436">
        <w:t xml:space="preserve">he right to health </w:t>
      </w:r>
      <w:r w:rsidR="00A733C9">
        <w:t xml:space="preserve">means </w:t>
      </w:r>
      <w:r w:rsidR="002E2148" w:rsidRPr="00341436">
        <w:t xml:space="preserve">States </w:t>
      </w:r>
      <w:r w:rsidR="00A733C9">
        <w:t xml:space="preserve">must </w:t>
      </w:r>
      <w:r w:rsidR="002E2148">
        <w:t>regulate</w:t>
      </w:r>
      <w:r w:rsidR="002E2148" w:rsidRPr="00341436">
        <w:t xml:space="preserve"> private</w:t>
      </w:r>
      <w:r w:rsidR="000101E1">
        <w:t>-</w:t>
      </w:r>
      <w:r w:rsidR="002E2148" w:rsidRPr="00341436">
        <w:t xml:space="preserve">sector production of essential medicines if </w:t>
      </w:r>
      <w:r w:rsidR="00EA5695">
        <w:t xml:space="preserve">the </w:t>
      </w:r>
      <w:r w:rsidR="002E2148">
        <w:t>production</w:t>
      </w:r>
      <w:r w:rsidR="002E2148" w:rsidRPr="00341436">
        <w:t xml:space="preserve"> </w:t>
      </w:r>
      <w:r w:rsidR="0006067B">
        <w:t>puts medicine affordability and accessibility at risk</w:t>
      </w:r>
      <w:r w:rsidR="002E2148" w:rsidRPr="00341436">
        <w:t>.</w:t>
      </w:r>
      <w:r w:rsidR="002E2148" w:rsidRPr="000812B8">
        <w:rPr>
          <w:rStyle w:val="EndnoteReference"/>
        </w:rPr>
        <w:endnoteReference w:id="32"/>
      </w:r>
      <w:r w:rsidR="002E2148" w:rsidRPr="000812B8">
        <w:rPr>
          <w:rStyle w:val="EndnoteReference"/>
        </w:rPr>
        <w:t xml:space="preserve"> </w:t>
      </w:r>
    </w:p>
    <w:p w14:paraId="487EA114" w14:textId="55DA6E44" w:rsidR="002E2148" w:rsidRPr="00557033" w:rsidRDefault="00D527A2" w:rsidP="00E80810">
      <w:pPr>
        <w:pStyle w:val="SingleTxtG"/>
        <w:rPr>
          <w:rStyle w:val="EndnoteReference"/>
          <w:vertAlign w:val="baseline"/>
        </w:rPr>
      </w:pPr>
      <w:r>
        <w:t>2</w:t>
      </w:r>
      <w:r w:rsidR="00F9797A">
        <w:t>0</w:t>
      </w:r>
      <w:r w:rsidR="002E2148" w:rsidRPr="00341436">
        <w:t>.</w:t>
      </w:r>
      <w:r w:rsidR="002E2148" w:rsidRPr="00341436">
        <w:tab/>
        <w:t xml:space="preserve">Commercial interests </w:t>
      </w:r>
      <w:r w:rsidR="002E2148">
        <w:t xml:space="preserve">may lead to </w:t>
      </w:r>
      <w:r w:rsidR="002E2148" w:rsidRPr="00341436">
        <w:t xml:space="preserve">greater </w:t>
      </w:r>
      <w:r w:rsidR="0006067B">
        <w:t>unfairness</w:t>
      </w:r>
      <w:r w:rsidR="002E2148" w:rsidRPr="00341436">
        <w:t xml:space="preserve"> in </w:t>
      </w:r>
      <w:r w:rsidR="0006067B">
        <w:t xml:space="preserve">how people can get </w:t>
      </w:r>
      <w:r w:rsidR="002E2148" w:rsidRPr="00341436">
        <w:t>access to medicines and vaccine</w:t>
      </w:r>
      <w:r w:rsidR="002E2148">
        <w:t>s.</w:t>
      </w:r>
      <w:r w:rsidR="002E2148" w:rsidRPr="00341436">
        <w:t xml:space="preserve"> At the same time, when prices are </w:t>
      </w:r>
      <w:r w:rsidR="002E2148">
        <w:t>too</w:t>
      </w:r>
      <w:r w:rsidR="002E2148" w:rsidRPr="00341436">
        <w:t xml:space="preserve"> low </w:t>
      </w:r>
      <w:r w:rsidR="002E2148">
        <w:t>and</w:t>
      </w:r>
      <w:r w:rsidR="002E2148" w:rsidRPr="00341436">
        <w:t xml:space="preserve"> </w:t>
      </w:r>
      <w:r w:rsidR="00A55575">
        <w:t xml:space="preserve">this </w:t>
      </w:r>
      <w:r w:rsidR="00F9797A">
        <w:t>limit</w:t>
      </w:r>
      <w:r w:rsidR="00A55575">
        <w:t>s</w:t>
      </w:r>
      <w:r w:rsidR="00F9797A" w:rsidRPr="00341436">
        <w:t xml:space="preserve"> </w:t>
      </w:r>
      <w:r w:rsidR="002E2148" w:rsidRPr="00341436">
        <w:t>profits, companies leave the market</w:t>
      </w:r>
      <w:r w:rsidR="00A55575">
        <w:t xml:space="preserve"> which</w:t>
      </w:r>
      <w:r w:rsidR="002E2148" w:rsidRPr="00341436">
        <w:t xml:space="preserve"> </w:t>
      </w:r>
      <w:r w:rsidR="00F9797A">
        <w:t>reduc</w:t>
      </w:r>
      <w:r w:rsidR="00A55575">
        <w:t>es</w:t>
      </w:r>
      <w:r w:rsidR="00F9797A">
        <w:t xml:space="preserve"> </w:t>
      </w:r>
      <w:r w:rsidR="002E2148" w:rsidRPr="00341436">
        <w:t>the availability of quality products.</w:t>
      </w:r>
      <w:r w:rsidR="002E2148" w:rsidRPr="000812B8">
        <w:rPr>
          <w:rStyle w:val="EndnoteReference"/>
        </w:rPr>
        <w:endnoteReference w:id="33"/>
      </w:r>
      <w:r w:rsidR="002E2148" w:rsidRPr="000812B8">
        <w:rPr>
          <w:rStyle w:val="EndnoteReference"/>
        </w:rPr>
        <w:t xml:space="preserve"> </w:t>
      </w:r>
      <w:r w:rsidR="00F9797A">
        <w:t>Therefore</w:t>
      </w:r>
      <w:r w:rsidR="0006067B">
        <w:t>,</w:t>
      </w:r>
      <w:r w:rsidR="00F9797A">
        <w:t xml:space="preserve"> </w:t>
      </w:r>
      <w:r w:rsidR="002E2148">
        <w:t xml:space="preserve">the </w:t>
      </w:r>
      <w:r w:rsidR="002E2148" w:rsidRPr="00341436">
        <w:t xml:space="preserve">price </w:t>
      </w:r>
      <w:r w:rsidR="002E2148">
        <w:t>of</w:t>
      </w:r>
      <w:r w:rsidR="002E2148" w:rsidRPr="00341436">
        <w:t xml:space="preserve"> new medicines and vaccines</w:t>
      </w:r>
      <w:r w:rsidR="002E2148">
        <w:t xml:space="preserve"> </w:t>
      </w:r>
      <w:r w:rsidR="00F9797A">
        <w:t xml:space="preserve">must </w:t>
      </w:r>
      <w:r w:rsidR="002E2148">
        <w:t>ensure that they</w:t>
      </w:r>
      <w:r w:rsidR="002E2148" w:rsidRPr="00341436">
        <w:t xml:space="preserve"> are affordable to all patients and health systems, </w:t>
      </w:r>
      <w:r w:rsidR="002E2148">
        <w:t xml:space="preserve">while </w:t>
      </w:r>
      <w:r w:rsidR="002E2148" w:rsidRPr="00341436">
        <w:t>allow</w:t>
      </w:r>
      <w:r w:rsidR="002E2148">
        <w:t xml:space="preserve">ing </w:t>
      </w:r>
      <w:r w:rsidR="002E2148" w:rsidRPr="00341436">
        <w:t>for a reasonable profit margin for pharmaceutical companies</w:t>
      </w:r>
      <w:r w:rsidR="002E2148">
        <w:t xml:space="preserve"> and acting</w:t>
      </w:r>
      <w:r w:rsidR="002E2148" w:rsidRPr="00341436">
        <w:t xml:space="preserve"> as a stimulus for further innovation.</w:t>
      </w:r>
      <w:r w:rsidR="002E2148" w:rsidRPr="000812B8">
        <w:rPr>
          <w:rStyle w:val="EndnoteReference"/>
        </w:rPr>
        <w:endnoteReference w:id="34"/>
      </w:r>
    </w:p>
    <w:p w14:paraId="3CF64B04" w14:textId="37C4FB4C" w:rsidR="002E2148" w:rsidRPr="00557033" w:rsidRDefault="00D527A2" w:rsidP="00E80810">
      <w:pPr>
        <w:pStyle w:val="SingleTxtG"/>
        <w:rPr>
          <w:rStyle w:val="EndnoteReference"/>
          <w:vertAlign w:val="baseline"/>
        </w:rPr>
      </w:pPr>
      <w:r>
        <w:t>2</w:t>
      </w:r>
      <w:r w:rsidR="00F9797A">
        <w:t>1</w:t>
      </w:r>
      <w:r w:rsidR="002E2148" w:rsidRPr="00341436">
        <w:t>.</w:t>
      </w:r>
      <w:r w:rsidR="002E2148" w:rsidRPr="00341436">
        <w:tab/>
        <w:t xml:space="preserve">Based on </w:t>
      </w:r>
      <w:r w:rsidR="0006067B">
        <w:t>criteria</w:t>
      </w:r>
      <w:r w:rsidR="002E2148">
        <w:t>, e.g.</w:t>
      </w:r>
      <w:r w:rsidR="002E2148" w:rsidRPr="00341436">
        <w:t xml:space="preserve"> affordability, access and value for money, </w:t>
      </w:r>
      <w:r w:rsidR="002E2148">
        <w:t>the World Health Organization (</w:t>
      </w:r>
      <w:r w:rsidR="002E2148" w:rsidRPr="00341436">
        <w:t>WHO</w:t>
      </w:r>
      <w:r w:rsidR="002E2148">
        <w:t>)</w:t>
      </w:r>
      <w:r w:rsidR="002E2148" w:rsidRPr="00341436">
        <w:t xml:space="preserve"> sets guidelines and </w:t>
      </w:r>
      <w:r w:rsidR="002E2148">
        <w:t xml:space="preserve">makes </w:t>
      </w:r>
      <w:r w:rsidR="002E2148" w:rsidRPr="00341436">
        <w:t>recommendations for fair pricing of medicines and vaccines. By implementing th</w:t>
      </w:r>
      <w:r w:rsidR="002E2148">
        <w:t>o</w:t>
      </w:r>
      <w:r w:rsidR="002E2148" w:rsidRPr="00341436">
        <w:t xml:space="preserve">se, pharmaceutical companies and other stakeholders can work together to ensure that medicines and vaccines are priced fairly and that </w:t>
      </w:r>
      <w:r w:rsidR="00A55575">
        <w:t xml:space="preserve">there is fair </w:t>
      </w:r>
      <w:r w:rsidR="002E2148" w:rsidRPr="00341436">
        <w:t>access to health</w:t>
      </w:r>
      <w:r w:rsidR="002E2148">
        <w:t xml:space="preserve"> </w:t>
      </w:r>
      <w:r w:rsidR="002E2148" w:rsidRPr="00341436">
        <w:t xml:space="preserve">care </w:t>
      </w:r>
      <w:r w:rsidR="002E2148">
        <w:t>nationally and globally.</w:t>
      </w:r>
      <w:r w:rsidR="002E2148" w:rsidRPr="000812B8">
        <w:rPr>
          <w:rStyle w:val="EndnoteReference"/>
        </w:rPr>
        <w:endnoteReference w:id="35"/>
      </w:r>
    </w:p>
    <w:p w14:paraId="4FA8AE9F" w14:textId="5D03AC31" w:rsidR="002E2148" w:rsidRPr="00394589" w:rsidRDefault="00D527A2" w:rsidP="00E80810">
      <w:pPr>
        <w:pStyle w:val="SingleTxtG"/>
        <w:rPr>
          <w:rStyle w:val="EndnoteReference"/>
          <w:vertAlign w:val="baseline"/>
        </w:rPr>
      </w:pPr>
      <w:r>
        <w:t>2</w:t>
      </w:r>
      <w:r w:rsidR="00F9797A">
        <w:t>2</w:t>
      </w:r>
      <w:r w:rsidR="002E2148" w:rsidRPr="00341436">
        <w:t>.</w:t>
      </w:r>
      <w:r w:rsidR="002E2148" w:rsidRPr="00341436">
        <w:tab/>
      </w:r>
      <w:r w:rsidR="00F9797A">
        <w:t xml:space="preserve">Under </w:t>
      </w:r>
      <w:r w:rsidR="002E2148" w:rsidRPr="00341436">
        <w:t xml:space="preserve">the Guiding Principles on Business and Human Rights, pharmaceutical companies </w:t>
      </w:r>
      <w:r w:rsidR="002E2148">
        <w:t xml:space="preserve">must respect </w:t>
      </w:r>
      <w:r w:rsidR="002E2148" w:rsidRPr="00341436">
        <w:t xml:space="preserve">human rights in </w:t>
      </w:r>
      <w:r w:rsidR="00F9797A">
        <w:t xml:space="preserve">how they run </w:t>
      </w:r>
      <w:r w:rsidR="002E2148" w:rsidRPr="00341436">
        <w:t>their business</w:t>
      </w:r>
      <w:r w:rsidR="00F9797A">
        <w:t>es</w:t>
      </w:r>
      <w:r w:rsidR="002E2148" w:rsidRPr="00341436">
        <w:t xml:space="preserve">. They must </w:t>
      </w:r>
      <w:r w:rsidR="002E2148">
        <w:t xml:space="preserve">avoid infringing </w:t>
      </w:r>
      <w:r w:rsidR="00F9797A">
        <w:t xml:space="preserve">others’ </w:t>
      </w:r>
      <w:r w:rsidR="002E2148" w:rsidRPr="00341436">
        <w:t>human rights and</w:t>
      </w:r>
      <w:r w:rsidR="002E2148">
        <w:t xml:space="preserve"> should</w:t>
      </w:r>
      <w:r w:rsidR="002E2148" w:rsidRPr="00341436">
        <w:t xml:space="preserve"> take action to address any negative impacts on human rights resulting from their actions.</w:t>
      </w:r>
      <w:r w:rsidR="002E2148" w:rsidRPr="000812B8">
        <w:rPr>
          <w:rStyle w:val="EndnoteReference"/>
        </w:rPr>
        <w:endnoteReference w:id="36"/>
      </w:r>
      <w:r w:rsidR="002E2148" w:rsidRPr="000812B8">
        <w:rPr>
          <w:rStyle w:val="EndnoteReference"/>
        </w:rPr>
        <w:t xml:space="preserve"> </w:t>
      </w:r>
      <w:r w:rsidR="002E2148" w:rsidRPr="00341436">
        <w:t xml:space="preserve">This responsibility </w:t>
      </w:r>
      <w:r w:rsidR="002E2148">
        <w:t>includes</w:t>
      </w:r>
      <w:r w:rsidR="002E2148" w:rsidRPr="00341436">
        <w:t xml:space="preserve"> conducting appropriate human rights due diligence to identify, prevent, mitigate and address any risk or </w:t>
      </w:r>
      <w:r w:rsidR="002E2148" w:rsidRPr="00341436">
        <w:lastRenderedPageBreak/>
        <w:t>actual human rights impacts of their activities and operations.</w:t>
      </w:r>
      <w:r w:rsidR="002E2148" w:rsidRPr="000812B8">
        <w:rPr>
          <w:rStyle w:val="EndnoteReference"/>
        </w:rPr>
        <w:endnoteReference w:id="37"/>
      </w:r>
      <w:r w:rsidR="002E2148" w:rsidRPr="000812B8">
        <w:rPr>
          <w:rStyle w:val="EndnoteReference"/>
        </w:rPr>
        <w:t xml:space="preserve"> </w:t>
      </w:r>
      <w:r w:rsidR="00A733C9">
        <w:t>A</w:t>
      </w:r>
      <w:r w:rsidR="002E2148" w:rsidRPr="00341436">
        <w:t>lso</w:t>
      </w:r>
      <w:r w:rsidR="00A733C9">
        <w:t>,</w:t>
      </w:r>
      <w:r w:rsidR="002E2148" w:rsidRPr="00341436">
        <w:t xml:space="preserve"> </w:t>
      </w:r>
      <w:r w:rsidR="002E2148">
        <w:t xml:space="preserve">businesses </w:t>
      </w:r>
      <w:r w:rsidR="00A733C9">
        <w:t xml:space="preserve">must </w:t>
      </w:r>
      <w:r w:rsidR="002E2148" w:rsidRPr="00341436">
        <w:t xml:space="preserve">consider the </w:t>
      </w:r>
      <w:r w:rsidR="00EA5695">
        <w:t>negative</w:t>
      </w:r>
      <w:r w:rsidR="00EA5695" w:rsidRPr="00341436">
        <w:t xml:space="preserve"> </w:t>
      </w:r>
      <w:r w:rsidR="002E2148" w:rsidRPr="00341436">
        <w:t>consequences that pricing and distribution decisions may have on equal access to medicines and vaccines, particularly for those in vulnerable and marginalized situations.</w:t>
      </w:r>
      <w:r w:rsidR="002E2148" w:rsidRPr="000812B8">
        <w:rPr>
          <w:rStyle w:val="EndnoteReference"/>
        </w:rPr>
        <w:endnoteReference w:id="38"/>
      </w:r>
    </w:p>
    <w:p w14:paraId="153FDF42" w14:textId="4370E31A" w:rsidR="002E2148" w:rsidRPr="00CA6BA5" w:rsidRDefault="002E2148" w:rsidP="00E80810">
      <w:pPr>
        <w:pStyle w:val="SingleTxtG"/>
        <w:rPr>
          <w:rStyle w:val="EndnoteReference"/>
          <w:vertAlign w:val="baseline"/>
        </w:rPr>
      </w:pPr>
      <w:r>
        <w:t>2</w:t>
      </w:r>
      <w:r w:rsidR="00F9797A">
        <w:t>3</w:t>
      </w:r>
      <w:r w:rsidRPr="00341436">
        <w:t>.</w:t>
      </w:r>
      <w:r w:rsidRPr="00341436">
        <w:tab/>
        <w:t xml:space="preserve">Pharmaceutical companies can play </w:t>
      </w:r>
      <w:r w:rsidR="2472A8E3" w:rsidRPr="00341436">
        <w:t>a key role</w:t>
      </w:r>
      <w:r w:rsidRPr="00341436">
        <w:t xml:space="preserve"> in fair pricing by </w:t>
      </w:r>
      <w:r w:rsidR="00A55575">
        <w:t xml:space="preserve">using </w:t>
      </w:r>
      <w:r w:rsidRPr="00341436">
        <w:t>transparent pricing strategies</w:t>
      </w:r>
      <w:r>
        <w:t xml:space="preserve"> and</w:t>
      </w:r>
      <w:r w:rsidRPr="00341436">
        <w:t xml:space="preserve"> differential pricing, and </w:t>
      </w:r>
      <w:r w:rsidR="00C700BD">
        <w:t xml:space="preserve">working </w:t>
      </w:r>
      <w:r w:rsidRPr="00341436">
        <w:t xml:space="preserve">with stakeholders. </w:t>
      </w:r>
      <w:r>
        <w:t>They</w:t>
      </w:r>
      <w:r w:rsidRPr="00341436">
        <w:t xml:space="preserve"> should be transparent </w:t>
      </w:r>
      <w:r>
        <w:t>about</w:t>
      </w:r>
      <w:r w:rsidRPr="00341436">
        <w:t xml:space="preserve"> the costs of research and development, manufacturing and distribution.</w:t>
      </w:r>
      <w:r>
        <w:t xml:space="preserve"> </w:t>
      </w:r>
      <w:r w:rsidR="004B25C7">
        <w:t xml:space="preserve">Pharmaceutical companies must </w:t>
      </w:r>
      <w:r w:rsidRPr="00B93E72">
        <w:t>have a well-established governance structure</w:t>
      </w:r>
      <w:r>
        <w:t>, and</w:t>
      </w:r>
      <w:r w:rsidRPr="00B93E72">
        <w:t xml:space="preserve"> health technology assessment</w:t>
      </w:r>
      <w:r>
        <w:t>s,</w:t>
      </w:r>
      <w:r w:rsidRPr="00B93E72">
        <w:t xml:space="preserve"> for value-based pricing</w:t>
      </w:r>
      <w:r>
        <w:t>,</w:t>
      </w:r>
      <w:r w:rsidRPr="00B93E72">
        <w:t xml:space="preserve"> to ensure </w:t>
      </w:r>
      <w:r>
        <w:t xml:space="preserve">that </w:t>
      </w:r>
      <w:r w:rsidRPr="00B93E72">
        <w:t>processes are transparent</w:t>
      </w:r>
      <w:r w:rsidR="004B25C7">
        <w:t>.</w:t>
      </w:r>
      <w:r w:rsidRPr="00B93E72">
        <w:t xml:space="preserve"> </w:t>
      </w:r>
      <w:r w:rsidR="004B25C7">
        <w:t>A</w:t>
      </w:r>
      <w:r w:rsidRPr="00B93E72">
        <w:t xml:space="preserve">ssessment reports and decisions </w:t>
      </w:r>
      <w:r>
        <w:t>should be</w:t>
      </w:r>
      <w:r w:rsidRPr="00B93E72">
        <w:t xml:space="preserve"> disseminated publicly.</w:t>
      </w:r>
      <w:r>
        <w:t xml:space="preserve"> The governance structure</w:t>
      </w:r>
      <w:r w:rsidR="004B25C7">
        <w:t xml:space="preserve"> of pharmaceutical companies</w:t>
      </w:r>
      <w:r>
        <w:t xml:space="preserve"> should include enact</w:t>
      </w:r>
      <w:r w:rsidR="00A55575">
        <w:t xml:space="preserve">ing </w:t>
      </w:r>
      <w:r>
        <w:t>legislation, regulations or rules to mandate transparent pricing and reporting of prices, where appropriate.</w:t>
      </w:r>
      <w:r w:rsidRPr="000812B8">
        <w:rPr>
          <w:rStyle w:val="EndnoteReference"/>
        </w:rPr>
        <w:endnoteReference w:id="39"/>
      </w:r>
    </w:p>
    <w:p w14:paraId="03C3A408" w14:textId="560A4A1F" w:rsidR="00F9797A" w:rsidRDefault="002E2148" w:rsidP="00E80810">
      <w:pPr>
        <w:pStyle w:val="SingleTxtG"/>
      </w:pPr>
      <w:r>
        <w:t>2</w:t>
      </w:r>
      <w:r w:rsidR="00F9797A">
        <w:t>4</w:t>
      </w:r>
      <w:r w:rsidRPr="00341436">
        <w:t>.</w:t>
      </w:r>
      <w:r w:rsidRPr="00341436">
        <w:tab/>
        <w:t xml:space="preserve">Differential pricing allows pharmaceutical companies to price medicines and vaccines based on the </w:t>
      </w:r>
      <w:r w:rsidR="00580F25" w:rsidRPr="00341436">
        <w:t>country</w:t>
      </w:r>
      <w:r w:rsidR="00580F25">
        <w:t>’s</w:t>
      </w:r>
      <w:r w:rsidR="00580F25" w:rsidRPr="00341436">
        <w:t xml:space="preserve"> or region</w:t>
      </w:r>
      <w:r w:rsidR="00580F25">
        <w:t>’s</w:t>
      </w:r>
      <w:r w:rsidR="00580F25" w:rsidRPr="00341436">
        <w:t xml:space="preserve"> </w:t>
      </w:r>
      <w:r w:rsidRPr="00341436">
        <w:t>purchasing power where they are sold. This helps to ensure that low- and middle-income countries have access to affordable medicines and vaccines</w:t>
      </w:r>
      <w:r w:rsidR="00F9797A">
        <w:t>, e.g.</w:t>
      </w:r>
      <w:r w:rsidRPr="00341436">
        <w:t xml:space="preserve"> </w:t>
      </w:r>
    </w:p>
    <w:p w14:paraId="649D019A" w14:textId="6865F84F" w:rsidR="00F9797A" w:rsidRPr="0081462E" w:rsidRDefault="00F9797A" w:rsidP="00593D73">
      <w:pPr>
        <w:pStyle w:val="SingleTxtG"/>
        <w:numPr>
          <w:ilvl w:val="0"/>
          <w:numId w:val="34"/>
        </w:numPr>
        <w:tabs>
          <w:tab w:val="clear" w:pos="1701"/>
          <w:tab w:val="clear" w:pos="2268"/>
        </w:tabs>
        <w:ind w:left="2268" w:hanging="425"/>
      </w:pPr>
      <w:r w:rsidRPr="0081462E">
        <w:t>t</w:t>
      </w:r>
      <w:r w:rsidR="002E2148" w:rsidRPr="0081462E">
        <w:t>he Gavi Alliance, for instance, negotiates prices with vaccine manufacturers based on a country’s ability to pay and the volume of doses purchased</w:t>
      </w:r>
      <w:r w:rsidRPr="0081462E">
        <w:t>, and</w:t>
      </w:r>
      <w:r w:rsidR="002E2148" w:rsidRPr="0081462E">
        <w:t xml:space="preserve"> </w:t>
      </w:r>
    </w:p>
    <w:p w14:paraId="4E64A41E" w14:textId="6A82CCB3" w:rsidR="002E2148" w:rsidRPr="00593D73" w:rsidRDefault="00F9797A" w:rsidP="00593D73">
      <w:pPr>
        <w:pStyle w:val="SingleTxtG"/>
        <w:numPr>
          <w:ilvl w:val="0"/>
          <w:numId w:val="34"/>
        </w:numPr>
        <w:ind w:left="2268" w:hanging="425"/>
      </w:pPr>
      <w:r w:rsidRPr="0081462E">
        <w:t>s</w:t>
      </w:r>
      <w:r w:rsidR="002E2148" w:rsidRPr="0081462E">
        <w:t>everal pharmaceutical companies have also implemented differential pricing for HIV/AIDS medicines, e.g. tiered pricing models, depending on the country’s income level, differential pricing for malaria medicine, and cancer medicine offered at a lower price in low- and middle-income countries.</w:t>
      </w:r>
      <w:r w:rsidR="002E2148" w:rsidRPr="00D9020A">
        <w:rPr>
          <w:vertAlign w:val="superscript"/>
        </w:rPr>
        <w:endnoteReference w:id="40"/>
      </w:r>
    </w:p>
    <w:p w14:paraId="05F8F522" w14:textId="085CA4AB" w:rsidR="002E2148" w:rsidRPr="00F063BC" w:rsidRDefault="002E2148" w:rsidP="00E80810">
      <w:pPr>
        <w:pStyle w:val="SingleTxtG"/>
        <w:rPr>
          <w:rStyle w:val="EndnoteReference"/>
          <w:vertAlign w:val="baseline"/>
        </w:rPr>
      </w:pPr>
      <w:r w:rsidRPr="00341436">
        <w:t>2</w:t>
      </w:r>
      <w:r w:rsidR="00F9797A">
        <w:t>5</w:t>
      </w:r>
      <w:r w:rsidRPr="00341436">
        <w:t>.</w:t>
      </w:r>
      <w:r w:rsidRPr="00341436">
        <w:tab/>
        <w:t xml:space="preserve">Public-private partnerships can also contribute to delinking the cost of research and development from the </w:t>
      </w:r>
      <w:r w:rsidR="00580F25" w:rsidRPr="00341436">
        <w:t>final product</w:t>
      </w:r>
      <w:r w:rsidR="00580F25">
        <w:t>’s</w:t>
      </w:r>
      <w:r w:rsidR="00580F25" w:rsidRPr="00341436">
        <w:t xml:space="preserve"> </w:t>
      </w:r>
      <w:r w:rsidRPr="00341436">
        <w:t>price</w:t>
      </w:r>
      <w:r w:rsidR="0006067B">
        <w:t xml:space="preserve">. This can be done </w:t>
      </w:r>
      <w:r w:rsidRPr="00341436">
        <w:t xml:space="preserve">by providing </w:t>
      </w:r>
      <w:r w:rsidR="00A55575">
        <w:t>different</w:t>
      </w:r>
      <w:r w:rsidR="00A55575" w:rsidRPr="00341436">
        <w:t xml:space="preserve"> </w:t>
      </w:r>
      <w:r w:rsidRPr="00341436">
        <w:t>funding mechanisms</w:t>
      </w:r>
      <w:r>
        <w:t>,</w:t>
      </w:r>
      <w:r w:rsidRPr="00341436">
        <w:t xml:space="preserve"> </w:t>
      </w:r>
      <w:r>
        <w:t>including</w:t>
      </w:r>
      <w:r w:rsidRPr="00341436">
        <w:t xml:space="preserve"> public funding through grants</w:t>
      </w:r>
      <w:r>
        <w:t xml:space="preserve"> or</w:t>
      </w:r>
      <w:r w:rsidRPr="00341436">
        <w:t xml:space="preserve"> subsidies or other innovative financing mechanisms, </w:t>
      </w:r>
      <w:r>
        <w:t>e.g.</w:t>
      </w:r>
      <w:r w:rsidRPr="00341436">
        <w:t xml:space="preserve"> advance market commitments. Delinking models allow for </w:t>
      </w:r>
      <w:r>
        <w:t>a</w:t>
      </w:r>
      <w:r w:rsidRPr="00341436">
        <w:t xml:space="preserve"> health product to be sold at a lower price and can help to </w:t>
      </w:r>
      <w:r w:rsidR="0006067B">
        <w:t>encourage</w:t>
      </w:r>
      <w:r w:rsidR="0006067B" w:rsidRPr="00341436">
        <w:t xml:space="preserve"> </w:t>
      </w:r>
      <w:r w:rsidRPr="00341436">
        <w:t>pharmaceutical companies to develop and produce medicines and vaccines for neglected diseases or underserved populations.</w:t>
      </w:r>
      <w:r w:rsidRPr="000812B8">
        <w:rPr>
          <w:rStyle w:val="EndnoteReference"/>
        </w:rPr>
        <w:endnoteReference w:id="41"/>
      </w:r>
    </w:p>
    <w:p w14:paraId="3AE0D1D9" w14:textId="6E29BD79" w:rsidR="002E2148" w:rsidRPr="00F063BC" w:rsidRDefault="002E2148" w:rsidP="00E80810">
      <w:pPr>
        <w:pStyle w:val="SingleTxtG"/>
        <w:rPr>
          <w:rStyle w:val="EndnoteReference"/>
          <w:vertAlign w:val="baseline"/>
        </w:rPr>
      </w:pPr>
      <w:r w:rsidRPr="00341436">
        <w:t>2</w:t>
      </w:r>
      <w:r w:rsidR="00F9797A">
        <w:t>6</w:t>
      </w:r>
      <w:r w:rsidRPr="00341436">
        <w:t>.</w:t>
      </w:r>
      <w:r w:rsidRPr="00341436">
        <w:tab/>
      </w:r>
      <w:r w:rsidR="00580F25">
        <w:t>Regarding the</w:t>
      </w:r>
      <w:r w:rsidRPr="00341436">
        <w:t xml:space="preserve"> COVID-19 response, public-private partnerships played a critical role in vaccine development, but also showed that publicly funded intellectual property ended up entirely in non-governmental hands</w:t>
      </w:r>
      <w:r w:rsidR="00281000">
        <w:t xml:space="preserve">. This </w:t>
      </w:r>
      <w:r w:rsidRPr="00341436">
        <w:t xml:space="preserve">allowed </w:t>
      </w:r>
      <w:r w:rsidR="00A55575">
        <w:t xml:space="preserve">the exercise of </w:t>
      </w:r>
      <w:r w:rsidR="00A55575" w:rsidRPr="00341436">
        <w:t>monopoly rights</w:t>
      </w:r>
      <w:r w:rsidR="00A55575">
        <w:t xml:space="preserve"> </w:t>
      </w:r>
      <w:r w:rsidRPr="00341436">
        <w:t xml:space="preserve">and </w:t>
      </w:r>
      <w:r w:rsidR="00A55575">
        <w:t xml:space="preserve">prices </w:t>
      </w:r>
      <w:r w:rsidRPr="00341436">
        <w:t xml:space="preserve">for vaccine doses </w:t>
      </w:r>
      <w:r w:rsidR="00A55575">
        <w:t xml:space="preserve">to be set </w:t>
      </w:r>
      <w:r w:rsidRPr="00341436">
        <w:t>that were much higher than the actual costs of manufacturing.</w:t>
      </w:r>
      <w:r w:rsidRPr="000812B8">
        <w:rPr>
          <w:rStyle w:val="EndnoteReference"/>
        </w:rPr>
        <w:endnoteReference w:id="42"/>
      </w:r>
      <w:r w:rsidRPr="000812B8">
        <w:rPr>
          <w:rStyle w:val="EndnoteReference"/>
        </w:rPr>
        <w:t xml:space="preserve"> </w:t>
      </w:r>
      <w:r>
        <w:t>S</w:t>
      </w:r>
      <w:r w:rsidRPr="00341436">
        <w:t xml:space="preserve">tates </w:t>
      </w:r>
      <w:r w:rsidR="00281000">
        <w:t xml:space="preserve">must </w:t>
      </w:r>
      <w:r w:rsidRPr="00341436">
        <w:t xml:space="preserve">introduce measures for public investments to ensure that the resulting medical technologies that receive public subsidies in </w:t>
      </w:r>
      <w:r>
        <w:t>their</w:t>
      </w:r>
      <w:r w:rsidRPr="00341436">
        <w:t xml:space="preserve"> development process will be available and accessible to those </w:t>
      </w:r>
      <w:r w:rsidR="00281000">
        <w:t xml:space="preserve">who </w:t>
      </w:r>
      <w:r w:rsidRPr="00341436">
        <w:t>need</w:t>
      </w:r>
      <w:r w:rsidR="00281000">
        <w:t xml:space="preserve"> those </w:t>
      </w:r>
      <w:r w:rsidR="00281000" w:rsidRPr="00341436">
        <w:t>medical technologies</w:t>
      </w:r>
      <w:r w:rsidRPr="00341436">
        <w:t>, domestically and globally.</w:t>
      </w:r>
      <w:r w:rsidRPr="000812B8">
        <w:rPr>
          <w:rStyle w:val="EndnoteReference"/>
        </w:rPr>
        <w:endnoteReference w:id="43"/>
      </w:r>
    </w:p>
    <w:p w14:paraId="1F36F4A7" w14:textId="0A128E83" w:rsidR="00281000" w:rsidRDefault="002E2148" w:rsidP="00E80810">
      <w:pPr>
        <w:pStyle w:val="SingleTxtG"/>
      </w:pPr>
      <w:r>
        <w:t>2</w:t>
      </w:r>
      <w:r w:rsidR="00F9797A">
        <w:t>7</w:t>
      </w:r>
      <w:r>
        <w:t>.</w:t>
      </w:r>
      <w:r>
        <w:tab/>
        <w:t>Some countries use pharmaceutical price regulation to ensure access to essential medicines, while still allowing pharmaceutical companies to cover their costs and make a reasonable profit</w:t>
      </w:r>
      <w:r w:rsidR="008B1DD9">
        <w:t>, e.g.:</w:t>
      </w:r>
      <w:r>
        <w:t xml:space="preserve"> </w:t>
      </w:r>
    </w:p>
    <w:p w14:paraId="2914BCC2" w14:textId="062023D7" w:rsidR="00281000" w:rsidRPr="00593D73" w:rsidRDefault="002E2148" w:rsidP="00593D73">
      <w:pPr>
        <w:pStyle w:val="SingleTxtG"/>
        <w:numPr>
          <w:ilvl w:val="0"/>
          <w:numId w:val="27"/>
        </w:numPr>
        <w:tabs>
          <w:tab w:val="clear" w:pos="1701"/>
          <w:tab w:val="clear" w:pos="2268"/>
        </w:tabs>
        <w:ind w:left="2268" w:hanging="425"/>
      </w:pPr>
      <w:r w:rsidRPr="00593D73">
        <w:rPr>
          <w:b/>
          <w:bCs/>
        </w:rPr>
        <w:t>reference pricing</w:t>
      </w:r>
      <w:r w:rsidR="00993086">
        <w:t xml:space="preserve">, </w:t>
      </w:r>
      <w:r w:rsidR="00800C3F">
        <w:t xml:space="preserve">e.g. </w:t>
      </w:r>
      <w:r w:rsidRPr="0081462E">
        <w:t>setting a maximum price for a group of medicines that have similar therapeutic effects,</w:t>
      </w:r>
      <w:r w:rsidRPr="00D9020A">
        <w:rPr>
          <w:vertAlign w:val="superscript"/>
        </w:rPr>
        <w:endnoteReference w:id="44"/>
      </w:r>
      <w:r w:rsidRPr="00D9020A">
        <w:rPr>
          <w:vertAlign w:val="superscript"/>
        </w:rPr>
        <w:t xml:space="preserve"> </w:t>
      </w:r>
    </w:p>
    <w:p w14:paraId="4B6D7AEC" w14:textId="4CAA420F" w:rsidR="00281000" w:rsidRPr="00593D73" w:rsidRDefault="002E2148" w:rsidP="00593D73">
      <w:pPr>
        <w:pStyle w:val="SingleTxtG"/>
        <w:numPr>
          <w:ilvl w:val="0"/>
          <w:numId w:val="27"/>
        </w:numPr>
        <w:ind w:left="2268" w:hanging="425"/>
      </w:pPr>
      <w:r w:rsidRPr="00593D73">
        <w:rPr>
          <w:b/>
          <w:bCs/>
        </w:rPr>
        <w:t>external reference pricing</w:t>
      </w:r>
      <w:r w:rsidR="00993086" w:rsidRPr="00593D73">
        <w:t xml:space="preserve">, </w:t>
      </w:r>
      <w:r w:rsidR="00800C3F">
        <w:t>e.g.</w:t>
      </w:r>
      <w:r w:rsidRPr="0081462E">
        <w:t xml:space="preserve"> bas</w:t>
      </w:r>
      <w:r w:rsidR="00800C3F">
        <w:t>ing</w:t>
      </w:r>
      <w:r w:rsidRPr="0081462E">
        <w:t xml:space="preserve"> </w:t>
      </w:r>
      <w:r w:rsidR="00414C64">
        <w:t>a medicine</w:t>
      </w:r>
      <w:r w:rsidR="000101E1">
        <w:t>’</w:t>
      </w:r>
      <w:r w:rsidR="00414C64">
        <w:t xml:space="preserve">s </w:t>
      </w:r>
      <w:r w:rsidRPr="0081462E">
        <w:t>price on its price in other countries,</w:t>
      </w:r>
      <w:r w:rsidRPr="00D9020A">
        <w:rPr>
          <w:vertAlign w:val="superscript"/>
        </w:rPr>
        <w:endnoteReference w:id="45"/>
      </w:r>
      <w:r w:rsidRPr="00D9020A">
        <w:rPr>
          <w:vertAlign w:val="superscript"/>
        </w:rPr>
        <w:t xml:space="preserve"> </w:t>
      </w:r>
    </w:p>
    <w:p w14:paraId="5CF423CB" w14:textId="5596B6D7" w:rsidR="00281000" w:rsidRPr="0081462E" w:rsidRDefault="002E2148" w:rsidP="00593D73">
      <w:pPr>
        <w:pStyle w:val="SingleTxtG"/>
        <w:numPr>
          <w:ilvl w:val="0"/>
          <w:numId w:val="27"/>
        </w:numPr>
        <w:ind w:left="2268" w:hanging="425"/>
      </w:pPr>
      <w:r w:rsidRPr="00593D73">
        <w:rPr>
          <w:b/>
          <w:bCs/>
        </w:rPr>
        <w:t>price negotiations with pharmaceutical companies</w:t>
      </w:r>
      <w:r w:rsidR="00800C3F" w:rsidRPr="00593D73">
        <w:t>, e.g.</w:t>
      </w:r>
      <w:r w:rsidRPr="0081462E">
        <w:t xml:space="preserve"> ensur</w:t>
      </w:r>
      <w:r w:rsidR="00800C3F">
        <w:t>ing</w:t>
      </w:r>
      <w:r w:rsidRPr="0081462E">
        <w:t xml:space="preserve"> that medicines are affordable and accessible to patients</w:t>
      </w:r>
      <w:r w:rsidR="00800C3F">
        <w:t xml:space="preserve"> by negotiating with pharmaceutical companies</w:t>
      </w:r>
      <w:r w:rsidRPr="0081462E">
        <w:t>,</w:t>
      </w:r>
      <w:r w:rsidRPr="00D9020A">
        <w:rPr>
          <w:vertAlign w:val="superscript"/>
        </w:rPr>
        <w:endnoteReference w:id="46"/>
      </w:r>
      <w:r w:rsidRPr="00593D73">
        <w:t xml:space="preserve"> </w:t>
      </w:r>
      <w:r w:rsidRPr="0081462E">
        <w:t xml:space="preserve">and </w:t>
      </w:r>
    </w:p>
    <w:p w14:paraId="172BCBB5" w14:textId="11F13F88" w:rsidR="00281000" w:rsidRPr="00593D73" w:rsidRDefault="002E2148" w:rsidP="00593D73">
      <w:pPr>
        <w:pStyle w:val="SingleTxtG"/>
        <w:numPr>
          <w:ilvl w:val="0"/>
          <w:numId w:val="27"/>
        </w:numPr>
        <w:ind w:left="2268" w:hanging="425"/>
      </w:pPr>
      <w:r w:rsidRPr="00593D73">
        <w:rPr>
          <w:b/>
          <w:bCs/>
        </w:rPr>
        <w:t>price controls</w:t>
      </w:r>
      <w:r w:rsidRPr="0081462E">
        <w:t xml:space="preserve">, </w:t>
      </w:r>
      <w:r w:rsidR="00800C3F">
        <w:t xml:space="preserve">e.g. </w:t>
      </w:r>
      <w:r w:rsidRPr="0081462E">
        <w:t>setting a maximum price for a medicine or a group of medicines that are deemed essential for public health.</w:t>
      </w:r>
      <w:r w:rsidRPr="00D9020A">
        <w:rPr>
          <w:vertAlign w:val="superscript"/>
        </w:rPr>
        <w:endnoteReference w:id="47"/>
      </w:r>
      <w:r w:rsidRPr="00D9020A">
        <w:rPr>
          <w:vertAlign w:val="superscript"/>
        </w:rPr>
        <w:t xml:space="preserve"> </w:t>
      </w:r>
    </w:p>
    <w:p w14:paraId="5DDF4A05" w14:textId="6525E81F" w:rsidR="002E2148" w:rsidRPr="000812B8" w:rsidRDefault="008B1DD9" w:rsidP="00E80810">
      <w:pPr>
        <w:pStyle w:val="SingleTxtG"/>
        <w:rPr>
          <w:rStyle w:val="EndnoteReference"/>
        </w:rPr>
      </w:pPr>
      <w:r>
        <w:t xml:space="preserve">As regards </w:t>
      </w:r>
      <w:r w:rsidR="002E2148" w:rsidRPr="00341436">
        <w:t xml:space="preserve">external reference pricing, </w:t>
      </w:r>
      <w:r w:rsidR="002E2148">
        <w:t>to</w:t>
      </w:r>
      <w:r w:rsidR="002E2148" w:rsidRPr="00341436">
        <w:t xml:space="preserve"> </w:t>
      </w:r>
      <w:r w:rsidR="00281000" w:rsidRPr="4DBD6537">
        <w:rPr>
          <w:rFonts w:eastAsia="Calibri"/>
          <w:lang w:eastAsia="en-GB"/>
        </w:rPr>
        <w:t xml:space="preserve">get </w:t>
      </w:r>
      <w:r w:rsidR="002E2148" w:rsidRPr="00341436">
        <w:rPr>
          <w:rFonts w:eastAsia="Calibri"/>
          <w:lang w:eastAsia="en-GB"/>
        </w:rPr>
        <w:t xml:space="preserve">the lowest price for medicines and </w:t>
      </w:r>
      <w:r w:rsidR="0006067B">
        <w:rPr>
          <w:rFonts w:eastAsia="Calibri"/>
          <w:lang w:eastAsia="en-GB"/>
        </w:rPr>
        <w:t>make</w:t>
      </w:r>
      <w:r w:rsidR="0006067B" w:rsidRPr="00341436">
        <w:rPr>
          <w:rFonts w:eastAsia="Calibri"/>
          <w:lang w:eastAsia="en-GB"/>
        </w:rPr>
        <w:t xml:space="preserve"> </w:t>
      </w:r>
      <w:r w:rsidR="002E2148" w:rsidRPr="00341436">
        <w:rPr>
          <w:rFonts w:eastAsia="Calibri"/>
          <w:lang w:eastAsia="en-GB"/>
        </w:rPr>
        <w:t xml:space="preserve">affordable and </w:t>
      </w:r>
      <w:r w:rsidR="00281000" w:rsidRPr="4DBD6537">
        <w:rPr>
          <w:rFonts w:eastAsia="Calibri"/>
          <w:lang w:eastAsia="en-GB"/>
        </w:rPr>
        <w:t xml:space="preserve">fair </w:t>
      </w:r>
      <w:r w:rsidR="002E2148" w:rsidRPr="00341436">
        <w:rPr>
          <w:rFonts w:eastAsia="Calibri"/>
          <w:lang w:eastAsia="en-GB"/>
        </w:rPr>
        <w:t>access to essential medicines</w:t>
      </w:r>
      <w:r w:rsidR="0006067B">
        <w:rPr>
          <w:rFonts w:eastAsia="Calibri"/>
          <w:lang w:eastAsia="en-GB"/>
        </w:rPr>
        <w:t xml:space="preserve"> better</w:t>
      </w:r>
      <w:r w:rsidR="002E2148" w:rsidRPr="00341436">
        <w:rPr>
          <w:rFonts w:eastAsia="Calibri"/>
          <w:lang w:eastAsia="en-GB"/>
        </w:rPr>
        <w:t xml:space="preserve">, purchasing States should select reference countries whose level of economic development is </w:t>
      </w:r>
      <w:r w:rsidR="63DD749A" w:rsidRPr="00341436">
        <w:rPr>
          <w:rFonts w:eastAsia="Calibri"/>
          <w:lang w:eastAsia="en-GB"/>
        </w:rPr>
        <w:t>like</w:t>
      </w:r>
      <w:r w:rsidR="002E2148" w:rsidRPr="00341436">
        <w:rPr>
          <w:rFonts w:eastAsia="Calibri"/>
          <w:lang w:eastAsia="en-GB"/>
        </w:rPr>
        <w:t xml:space="preserve"> theirs.</w:t>
      </w:r>
      <w:r w:rsidR="002E2148" w:rsidRPr="000812B8">
        <w:rPr>
          <w:rStyle w:val="EndnoteReference"/>
        </w:rPr>
        <w:endnoteReference w:id="48"/>
      </w:r>
      <w:r w:rsidR="002E2148" w:rsidRPr="000812B8">
        <w:rPr>
          <w:rStyle w:val="EndnoteReference"/>
        </w:rPr>
        <w:t xml:space="preserve"> </w:t>
      </w:r>
      <w:r w:rsidR="002E2148" w:rsidRPr="00341436">
        <w:t xml:space="preserve">Voluntary agreements between pharmaceutical companies and governments or other organizations that set </w:t>
      </w:r>
      <w:r w:rsidR="00414C64">
        <w:t xml:space="preserve">a medicine’s </w:t>
      </w:r>
      <w:r w:rsidR="002E2148" w:rsidRPr="00341436">
        <w:t xml:space="preserve">price are often used for new and innovative medicines that </w:t>
      </w:r>
      <w:r w:rsidR="002E2148">
        <w:t xml:space="preserve">regulations do not </w:t>
      </w:r>
      <w:r w:rsidR="002E2148" w:rsidRPr="00341436">
        <w:t>yet cover.</w:t>
      </w:r>
      <w:r w:rsidR="002E2148" w:rsidRPr="000812B8">
        <w:rPr>
          <w:rStyle w:val="EndnoteReference"/>
        </w:rPr>
        <w:endnoteReference w:id="49"/>
      </w:r>
      <w:r w:rsidR="002E2148" w:rsidRPr="000812B8">
        <w:rPr>
          <w:rStyle w:val="EndnoteReference"/>
        </w:rPr>
        <w:t xml:space="preserve"> </w:t>
      </w:r>
      <w:r w:rsidR="00281000">
        <w:t>Other measures of indirect control to regulate</w:t>
      </w:r>
      <w:r w:rsidR="000101E1">
        <w:t xml:space="preserve"> the</w:t>
      </w:r>
      <w:r w:rsidR="00281000">
        <w:t xml:space="preserve"> prices of medicines include </w:t>
      </w:r>
      <w:r w:rsidR="00281000">
        <w:lastRenderedPageBreak/>
        <w:t>t</w:t>
      </w:r>
      <w:r w:rsidR="002E2148" w:rsidRPr="00341436">
        <w:t>ax incentives to manufacturers,</w:t>
      </w:r>
      <w:r w:rsidR="002E2148" w:rsidRPr="000812B8">
        <w:rPr>
          <w:rStyle w:val="EndnoteReference"/>
        </w:rPr>
        <w:endnoteReference w:id="50"/>
      </w:r>
      <w:r w:rsidR="002E2148" w:rsidRPr="000812B8">
        <w:rPr>
          <w:rStyle w:val="EndnoteReference"/>
        </w:rPr>
        <w:t xml:space="preserve"> </w:t>
      </w:r>
      <w:r w:rsidR="002E2148" w:rsidRPr="00341436">
        <w:t>wholesalers and retailers</w:t>
      </w:r>
      <w:r w:rsidR="002E1B02">
        <w:t>,</w:t>
      </w:r>
      <w:r w:rsidR="002E2148" w:rsidRPr="00341436">
        <w:t xml:space="preserve"> and government subsidies </w:t>
      </w:r>
      <w:r w:rsidR="002E2148">
        <w:t>for</w:t>
      </w:r>
      <w:r w:rsidR="002E2148" w:rsidRPr="00341436">
        <w:t xml:space="preserve"> manufacture</w:t>
      </w:r>
      <w:r w:rsidR="002E2148">
        <w:t>r</w:t>
      </w:r>
      <w:r w:rsidR="002E2148" w:rsidRPr="00341436">
        <w:t>s.</w:t>
      </w:r>
      <w:r w:rsidR="002E2148" w:rsidRPr="000812B8">
        <w:rPr>
          <w:rStyle w:val="EndnoteReference"/>
        </w:rPr>
        <w:endnoteReference w:id="51"/>
      </w:r>
    </w:p>
    <w:p w14:paraId="568CE78E" w14:textId="3B192662" w:rsidR="00281000" w:rsidRDefault="002E2148" w:rsidP="00E80810">
      <w:pPr>
        <w:pStyle w:val="SingleTxtG"/>
      </w:pPr>
      <w:r w:rsidRPr="00341436">
        <w:t>2</w:t>
      </w:r>
      <w:r w:rsidR="00F9797A">
        <w:t>8</w:t>
      </w:r>
      <w:r w:rsidRPr="00341436">
        <w:t>.</w:t>
      </w:r>
      <w:r w:rsidRPr="00341436">
        <w:tab/>
        <w:t xml:space="preserve">The inclusion of medicines, </w:t>
      </w:r>
      <w:r>
        <w:t>e.g.</w:t>
      </w:r>
      <w:r w:rsidRPr="00341436">
        <w:t xml:space="preserve"> those </w:t>
      </w:r>
      <w:r>
        <w:t xml:space="preserve">referenced </w:t>
      </w:r>
      <w:r w:rsidRPr="00341436">
        <w:t xml:space="preserve">in the WHO </w:t>
      </w:r>
      <w:r>
        <w:t xml:space="preserve">Model List of </w:t>
      </w:r>
      <w:r w:rsidRPr="00341436">
        <w:t>Essential Medicines in social protection</w:t>
      </w:r>
      <w:r>
        <w:t xml:space="preserve"> schemes</w:t>
      </w:r>
      <w:r w:rsidRPr="00341436">
        <w:t xml:space="preserve"> is crucial for</w:t>
      </w:r>
      <w:r w:rsidR="00281000">
        <w:t>:</w:t>
      </w:r>
      <w:r w:rsidRPr="00341436">
        <w:t xml:space="preserve"> </w:t>
      </w:r>
    </w:p>
    <w:p w14:paraId="34188CB5" w14:textId="1076616C" w:rsidR="00281000" w:rsidRDefault="002E2148" w:rsidP="00593D73">
      <w:pPr>
        <w:pStyle w:val="SingleTxtG"/>
        <w:numPr>
          <w:ilvl w:val="0"/>
          <w:numId w:val="27"/>
        </w:numPr>
        <w:tabs>
          <w:tab w:val="clear" w:pos="1701"/>
          <w:tab w:val="clear" w:pos="2268"/>
        </w:tabs>
        <w:ind w:left="2268" w:hanging="425"/>
      </w:pPr>
      <w:r w:rsidRPr="00341436">
        <w:t xml:space="preserve">ensuring </w:t>
      </w:r>
      <w:r w:rsidR="009725EC">
        <w:t>that groups in vulnerable situations</w:t>
      </w:r>
      <w:r w:rsidR="009725EC" w:rsidRPr="00341436">
        <w:t xml:space="preserve"> </w:t>
      </w:r>
      <w:r w:rsidR="009725EC">
        <w:t xml:space="preserve">have </w:t>
      </w:r>
      <w:r w:rsidRPr="00341436">
        <w:t>access to necessary medications, particularly those in low- and middle-income countries</w:t>
      </w:r>
      <w:r w:rsidR="00281000">
        <w:t xml:space="preserve">, </w:t>
      </w:r>
    </w:p>
    <w:p w14:paraId="5A78D141" w14:textId="7050D310" w:rsidR="00281000" w:rsidRDefault="00800C3F" w:rsidP="00593D73">
      <w:pPr>
        <w:pStyle w:val="SingleTxtG"/>
        <w:numPr>
          <w:ilvl w:val="0"/>
          <w:numId w:val="27"/>
        </w:numPr>
        <w:tabs>
          <w:tab w:val="clear" w:pos="1701"/>
          <w:tab w:val="clear" w:pos="2268"/>
        </w:tabs>
        <w:ind w:left="2268" w:hanging="425"/>
      </w:pPr>
      <w:r>
        <w:t xml:space="preserve">making the life of those who have illness as </w:t>
      </w:r>
      <w:r w:rsidR="00841AAA">
        <w:t>comfortable</w:t>
      </w:r>
      <w:r>
        <w:t xml:space="preserve"> as possible</w:t>
      </w:r>
      <w:r w:rsidR="003A27B9">
        <w:t>,</w:t>
      </w:r>
      <w:r w:rsidR="002E2148" w:rsidRPr="00341436">
        <w:t xml:space="preserve"> and</w:t>
      </w:r>
    </w:p>
    <w:p w14:paraId="2B5B04A0" w14:textId="67BDF45C" w:rsidR="00281000" w:rsidRDefault="002E2148" w:rsidP="00593D73">
      <w:pPr>
        <w:pStyle w:val="SingleTxtG"/>
        <w:numPr>
          <w:ilvl w:val="0"/>
          <w:numId w:val="27"/>
        </w:numPr>
        <w:tabs>
          <w:tab w:val="clear" w:pos="1701"/>
          <w:tab w:val="clear" w:pos="2268"/>
        </w:tabs>
        <w:ind w:left="2268" w:hanging="425"/>
      </w:pPr>
      <w:r w:rsidRPr="00341436">
        <w:t>promot</w:t>
      </w:r>
      <w:r>
        <w:t>ing</w:t>
      </w:r>
      <w:r w:rsidRPr="00341436">
        <w:t xml:space="preserve"> </w:t>
      </w:r>
      <w:r w:rsidR="00800C3F">
        <w:t xml:space="preserve">fair </w:t>
      </w:r>
      <w:r w:rsidRPr="00341436">
        <w:t>access to health</w:t>
      </w:r>
      <w:r>
        <w:t>-</w:t>
      </w:r>
      <w:r w:rsidRPr="00341436">
        <w:t xml:space="preserve">care services. </w:t>
      </w:r>
    </w:p>
    <w:p w14:paraId="5A279A00" w14:textId="6541E0D4" w:rsidR="002E2148" w:rsidRPr="00341436" w:rsidRDefault="002E2148" w:rsidP="00E80810">
      <w:pPr>
        <w:pStyle w:val="SingleTxtG"/>
      </w:pPr>
      <w:r w:rsidRPr="00341436">
        <w:t>The use of health insurance schemes to reimburse patients the cost of essential medicines is also common in some States.</w:t>
      </w:r>
    </w:p>
    <w:p w14:paraId="3C4BD954" w14:textId="4E2322B6" w:rsidR="002E2148" w:rsidRPr="00341436" w:rsidRDefault="00F9797A" w:rsidP="00E80810">
      <w:pPr>
        <w:pStyle w:val="SingleTxtG"/>
      </w:pPr>
      <w:r>
        <w:t>29</w:t>
      </w:r>
      <w:r w:rsidR="002E2148" w:rsidRPr="00341436">
        <w:t>.</w:t>
      </w:r>
      <w:r w:rsidR="002E2148" w:rsidRPr="00341436">
        <w:tab/>
        <w:t>Non-governmental organizations have a crucial role to play in ensuring fair pric</w:t>
      </w:r>
      <w:r w:rsidR="002E2148">
        <w:t xml:space="preserve">es for </w:t>
      </w:r>
      <w:r w:rsidR="002E2148" w:rsidRPr="00341436">
        <w:t>medicines and vaccines.</w:t>
      </w:r>
      <w:r w:rsidR="002E2148" w:rsidRPr="000812B8">
        <w:rPr>
          <w:rStyle w:val="EndnoteReference"/>
        </w:rPr>
        <w:endnoteReference w:id="52"/>
      </w:r>
      <w:r w:rsidR="002E2148" w:rsidRPr="000812B8">
        <w:rPr>
          <w:rStyle w:val="EndnoteReference"/>
        </w:rPr>
        <w:t xml:space="preserve"> </w:t>
      </w:r>
      <w:r w:rsidR="002E2148" w:rsidRPr="00341436">
        <w:t xml:space="preserve">By engaging in advocacy, conducting research, </w:t>
      </w:r>
      <w:r w:rsidR="00C700BD">
        <w:t>working</w:t>
      </w:r>
      <w:r w:rsidR="00C700BD" w:rsidRPr="00341436">
        <w:t xml:space="preserve"> </w:t>
      </w:r>
      <w:r w:rsidR="002E2148" w:rsidRPr="00341436">
        <w:t xml:space="preserve">with other stakeholders and building capacity, </w:t>
      </w:r>
      <w:r w:rsidR="002E2148">
        <w:t>they</w:t>
      </w:r>
      <w:r w:rsidR="002E2148" w:rsidRPr="00341436">
        <w:t xml:space="preserve"> can work towards improving access to essential medicines and vaccines for all individuals and communities, particularly for neglected diseases that affect </w:t>
      </w:r>
      <w:r w:rsidR="002E2148">
        <w:t xml:space="preserve">people in </w:t>
      </w:r>
      <w:r w:rsidR="002E2148" w:rsidRPr="00341436">
        <w:t>low- and middle-income countries.</w:t>
      </w:r>
    </w:p>
    <w:p w14:paraId="44DD3180" w14:textId="34D16E15" w:rsidR="002E2148" w:rsidRPr="00341436" w:rsidRDefault="002E2148" w:rsidP="00E80810">
      <w:pPr>
        <w:pStyle w:val="H23G"/>
      </w:pPr>
      <w:r>
        <w:tab/>
        <w:t>3.</w:t>
      </w:r>
      <w:r>
        <w:tab/>
      </w:r>
      <w:bookmarkStart w:id="10" w:name="IIIB3_Resolving_problems_IP"/>
      <w:r w:rsidR="001855B9">
        <w:t xml:space="preserve">Resolving problems </w:t>
      </w:r>
      <w:r w:rsidR="001855B9" w:rsidRPr="001855B9">
        <w:t>concerning intellectual property</w:t>
      </w:r>
      <w:bookmarkEnd w:id="10"/>
    </w:p>
    <w:p w14:paraId="0356DF8D" w14:textId="7A46C958" w:rsidR="00281000" w:rsidRDefault="00D527A2" w:rsidP="00E80810">
      <w:pPr>
        <w:pStyle w:val="SingleTxtG"/>
      </w:pPr>
      <w:r>
        <w:t>3</w:t>
      </w:r>
      <w:r w:rsidR="00F9797A">
        <w:t>0</w:t>
      </w:r>
      <w:r w:rsidR="002E2148" w:rsidRPr="00341436">
        <w:t>.</w:t>
      </w:r>
      <w:r w:rsidR="002E2148" w:rsidRPr="00341436">
        <w:tab/>
        <w:t>Approaches to</w:t>
      </w:r>
      <w:r w:rsidR="004A70FD">
        <w:t xml:space="preserve"> increase access to</w:t>
      </w:r>
      <w:r w:rsidR="002E2148" w:rsidRPr="00341436">
        <w:t xml:space="preserve"> intellectual property management include</w:t>
      </w:r>
      <w:r w:rsidR="00281000">
        <w:t>:</w:t>
      </w:r>
      <w:r w:rsidR="002E2148" w:rsidRPr="00341436">
        <w:t xml:space="preserve"> </w:t>
      </w:r>
    </w:p>
    <w:p w14:paraId="7727F144" w14:textId="77777777" w:rsidR="00281000" w:rsidRDefault="002E2148" w:rsidP="00593D73">
      <w:pPr>
        <w:pStyle w:val="SingleTxtG"/>
        <w:numPr>
          <w:ilvl w:val="0"/>
          <w:numId w:val="27"/>
        </w:numPr>
        <w:tabs>
          <w:tab w:val="clear" w:pos="1701"/>
          <w:tab w:val="clear" w:pos="2268"/>
        </w:tabs>
        <w:ind w:left="2268" w:hanging="425"/>
      </w:pPr>
      <w:r w:rsidRPr="00341436">
        <w:t xml:space="preserve">responsible patenting policies, </w:t>
      </w:r>
    </w:p>
    <w:p w14:paraId="2106EBC0" w14:textId="38AEB80B" w:rsidR="00281000" w:rsidRDefault="002E2148" w:rsidP="00593D73">
      <w:pPr>
        <w:pStyle w:val="SingleTxtG"/>
        <w:numPr>
          <w:ilvl w:val="0"/>
          <w:numId w:val="27"/>
        </w:numPr>
        <w:tabs>
          <w:tab w:val="clear" w:pos="1701"/>
          <w:tab w:val="clear" w:pos="2268"/>
        </w:tabs>
        <w:ind w:left="2268" w:hanging="425"/>
      </w:pPr>
      <w:r w:rsidRPr="00341436">
        <w:t>transparency about existing patents</w:t>
      </w:r>
      <w:r w:rsidR="003A27B9">
        <w:t>,</w:t>
      </w:r>
      <w:r w:rsidRPr="00341436">
        <w:t xml:space="preserve"> and </w:t>
      </w:r>
    </w:p>
    <w:p w14:paraId="74C0C800" w14:textId="2943970F" w:rsidR="002E2148" w:rsidRPr="00593D73" w:rsidRDefault="002E2148" w:rsidP="00593D73">
      <w:pPr>
        <w:pStyle w:val="SingleTxtG"/>
        <w:numPr>
          <w:ilvl w:val="0"/>
          <w:numId w:val="27"/>
        </w:numPr>
        <w:tabs>
          <w:tab w:val="clear" w:pos="1701"/>
          <w:tab w:val="clear" w:pos="2268"/>
        </w:tabs>
        <w:ind w:left="2268" w:hanging="425"/>
      </w:pPr>
      <w:r w:rsidRPr="00341436">
        <w:t>a willingness to engage in non-exclusive voluntary licensing.</w:t>
      </w:r>
      <w:r w:rsidRPr="00AA5964">
        <w:rPr>
          <w:vertAlign w:val="superscript"/>
        </w:rPr>
        <w:endnoteReference w:id="53"/>
      </w:r>
    </w:p>
    <w:p w14:paraId="51420018" w14:textId="2452D8C4" w:rsidR="00DC53FB" w:rsidRDefault="00D527A2" w:rsidP="00E80810">
      <w:pPr>
        <w:pStyle w:val="SingleTxtG"/>
      </w:pPr>
      <w:r>
        <w:t>3</w:t>
      </w:r>
      <w:r w:rsidR="00F9797A">
        <w:t>1</w:t>
      </w:r>
      <w:r w:rsidR="002E2148" w:rsidRPr="00D91478">
        <w:t>.</w:t>
      </w:r>
      <w:r w:rsidR="002E2148" w:rsidRPr="00D91478">
        <w:tab/>
        <w:t xml:space="preserve">The </w:t>
      </w:r>
      <w:r w:rsidR="002E2148">
        <w:t xml:space="preserve">continuing </w:t>
      </w:r>
      <w:r w:rsidR="002E2148" w:rsidRPr="00D91478">
        <w:t xml:space="preserve">discussion on </w:t>
      </w:r>
      <w:r w:rsidR="002E2148">
        <w:t>t</w:t>
      </w:r>
      <w:r w:rsidR="002E2148" w:rsidRPr="00D91478">
        <w:t>rade-</w:t>
      </w:r>
      <w:r w:rsidR="002E2148">
        <w:t>r</w:t>
      </w:r>
      <w:r w:rsidR="002E2148" w:rsidRPr="00D91478">
        <w:t xml:space="preserve">elated </w:t>
      </w:r>
      <w:r w:rsidR="002E2148">
        <w:t>a</w:t>
      </w:r>
      <w:r w:rsidR="002E2148" w:rsidRPr="00D91478">
        <w:t xml:space="preserve">spects of </w:t>
      </w:r>
      <w:r w:rsidR="002E2148">
        <w:t>i</w:t>
      </w:r>
      <w:r w:rsidR="002E2148" w:rsidRPr="00D91478">
        <w:t xml:space="preserve">ntellectual </w:t>
      </w:r>
      <w:r w:rsidR="002E2148">
        <w:t>p</w:t>
      </w:r>
      <w:r w:rsidR="002E2148" w:rsidRPr="00D91478">
        <w:t xml:space="preserve">roperty </w:t>
      </w:r>
      <w:r w:rsidR="002E2148">
        <w:t>r</w:t>
      </w:r>
      <w:r w:rsidR="002E2148" w:rsidRPr="00D91478">
        <w:t xml:space="preserve">ights regarding vaccines and medicines </w:t>
      </w:r>
      <w:r w:rsidR="002E2148">
        <w:t xml:space="preserve">has generated </w:t>
      </w:r>
      <w:r w:rsidR="00281000">
        <w:t xml:space="preserve">different </w:t>
      </w:r>
      <w:r w:rsidR="002E2148">
        <w:t>views on the appropriate</w:t>
      </w:r>
      <w:r w:rsidR="002E2148" w:rsidRPr="00D91478">
        <w:t xml:space="preserve"> balance between protecting intellectual property and ensuring access to affordable medicines and vaccines, particularly in low- and middle-income countries. Article 15 of the International Covenant on Economic, Social and Cultural Rights</w:t>
      </w:r>
      <w:r w:rsidR="00DC53FB">
        <w:t xml:space="preserve">: </w:t>
      </w:r>
    </w:p>
    <w:p w14:paraId="60E43DED" w14:textId="139B4D77" w:rsidR="00DC53FB" w:rsidRDefault="00DC53FB" w:rsidP="00593D73">
      <w:pPr>
        <w:pStyle w:val="SingleTxtG"/>
        <w:tabs>
          <w:tab w:val="clear" w:pos="1701"/>
          <w:tab w:val="clear" w:pos="2268"/>
        </w:tabs>
        <w:ind w:left="2268" w:hanging="850"/>
      </w:pPr>
      <w:r>
        <w:t>a)</w:t>
      </w:r>
      <w:r w:rsidR="002E2148" w:rsidRPr="00D91478">
        <w:t xml:space="preserve"> </w:t>
      </w:r>
      <w:r>
        <w:t>provides</w:t>
      </w:r>
      <w:r w:rsidRPr="00D91478">
        <w:t xml:space="preserve"> </w:t>
      </w:r>
      <w:r w:rsidR="002E2148" w:rsidRPr="00D91478">
        <w:t xml:space="preserve">the right to enjoy the benefits of scientific progress and its applications, </w:t>
      </w:r>
      <w:r>
        <w:t xml:space="preserve">and </w:t>
      </w:r>
    </w:p>
    <w:p w14:paraId="44CF3266" w14:textId="7EE6FB06" w:rsidR="00DC53FB" w:rsidRDefault="00DC53FB" w:rsidP="00593D73">
      <w:pPr>
        <w:pStyle w:val="SingleTxtG"/>
        <w:tabs>
          <w:tab w:val="clear" w:pos="1701"/>
          <w:tab w:val="clear" w:pos="2268"/>
        </w:tabs>
        <w:ind w:left="2268" w:hanging="850"/>
      </w:pPr>
      <w:r>
        <w:t>b) confirms</w:t>
      </w:r>
      <w:r w:rsidRPr="00D91478">
        <w:t xml:space="preserve"> </w:t>
      </w:r>
      <w:r w:rsidR="002E2148" w:rsidRPr="00D91478">
        <w:t xml:space="preserve">the benefits to be derived from international scientific cooperation. </w:t>
      </w:r>
    </w:p>
    <w:p w14:paraId="22C5934D" w14:textId="6D27902E" w:rsidR="002E2148" w:rsidRPr="00DC07B5" w:rsidRDefault="00DC53FB" w:rsidP="00E80810">
      <w:pPr>
        <w:pStyle w:val="SingleTxtG"/>
        <w:rPr>
          <w:rStyle w:val="EndnoteReference"/>
          <w:vertAlign w:val="baseline"/>
        </w:rPr>
      </w:pPr>
      <w:r>
        <w:t xml:space="preserve">Under </w:t>
      </w:r>
      <w:r w:rsidR="002E2148" w:rsidRPr="00D91478">
        <w:t xml:space="preserve">the human right to </w:t>
      </w:r>
      <w:r w:rsidR="002E2148">
        <w:t xml:space="preserve">enjoy the benefits of </w:t>
      </w:r>
      <w:r w:rsidR="002E2148" w:rsidRPr="00D91478">
        <w:t>scien</w:t>
      </w:r>
      <w:r w:rsidR="002E2148">
        <w:t>tific progress</w:t>
      </w:r>
      <w:r w:rsidR="002E2148" w:rsidRPr="00D91478">
        <w:t xml:space="preserve">, scientific knowledge, information and advances must be shared and made accessible to </w:t>
      </w:r>
      <w:r w:rsidR="00845A46">
        <w:t>everyone</w:t>
      </w:r>
      <w:r w:rsidR="002E2148" w:rsidRPr="00D91478">
        <w:t xml:space="preserve">, without discrimination. </w:t>
      </w:r>
      <w:r w:rsidR="00F316B6">
        <w:t xml:space="preserve">Therefore, </w:t>
      </w:r>
      <w:r w:rsidR="002E2148" w:rsidRPr="00D91478">
        <w:t xml:space="preserve">States should direct their own resources and coordinate the actions of others to ensure scientific progress and ensure that the applications and benefits of </w:t>
      </w:r>
      <w:r w:rsidR="00F316B6">
        <w:t xml:space="preserve">that scientific progress </w:t>
      </w:r>
      <w:r w:rsidR="002E2148" w:rsidRPr="00D91478">
        <w:t>are distributed and available</w:t>
      </w:r>
      <w:r w:rsidR="008B1DD9">
        <w:t>,</w:t>
      </w:r>
      <w:r>
        <w:t xml:space="preserve"> especially </w:t>
      </w:r>
      <w:r w:rsidR="002E2148" w:rsidRPr="00D91478">
        <w:t>to groups in vulnerable and marginalized situations.</w:t>
      </w:r>
      <w:r w:rsidR="002E2148" w:rsidRPr="000812B8">
        <w:rPr>
          <w:rStyle w:val="EndnoteReference"/>
        </w:rPr>
        <w:endnoteReference w:id="54"/>
      </w:r>
    </w:p>
    <w:p w14:paraId="10B0A8A6" w14:textId="08A73E3E" w:rsidR="002E2148" w:rsidRPr="00CD4E14" w:rsidRDefault="00D527A2" w:rsidP="00E80810">
      <w:pPr>
        <w:pStyle w:val="SingleTxtG"/>
        <w:rPr>
          <w:rStyle w:val="EndnoteReference"/>
          <w:vertAlign w:val="baseline"/>
        </w:rPr>
      </w:pPr>
      <w:r>
        <w:t>3</w:t>
      </w:r>
      <w:r w:rsidR="00F9797A">
        <w:t>2</w:t>
      </w:r>
      <w:r w:rsidR="002E2148" w:rsidRPr="00D91478">
        <w:t>.</w:t>
      </w:r>
      <w:r w:rsidR="002E2148" w:rsidRPr="00D91478">
        <w:tab/>
        <w:t xml:space="preserve">The </w:t>
      </w:r>
      <w:r w:rsidR="002E2148">
        <w:t>A</w:t>
      </w:r>
      <w:r w:rsidR="002E2148" w:rsidRPr="00D91478">
        <w:t>greement</w:t>
      </w:r>
      <w:r w:rsidR="002E2148">
        <w:t xml:space="preserve"> </w:t>
      </w:r>
      <w:r w:rsidR="002E2148" w:rsidRPr="00B94B41">
        <w:t>on Trade-Related Aspects of Intellectual Property Rights</w:t>
      </w:r>
      <w:r w:rsidR="002E2148" w:rsidRPr="00D91478">
        <w:t xml:space="preserve"> </w:t>
      </w:r>
      <w:r w:rsidR="002E2148">
        <w:t xml:space="preserve">(TRIPS Agreement) </w:t>
      </w:r>
      <w:r w:rsidR="002E2148" w:rsidRPr="00D91478">
        <w:t xml:space="preserve">includes provisions for </w:t>
      </w:r>
      <w:r w:rsidR="00DC53FB">
        <w:t xml:space="preserve">using </w:t>
      </w:r>
      <w:r w:rsidR="002E2148" w:rsidRPr="00D91478">
        <w:t>compulsory licensing</w:t>
      </w:r>
      <w:r w:rsidR="00DC53FB">
        <w:t xml:space="preserve">. This </w:t>
      </w:r>
      <w:r w:rsidR="002E2148" w:rsidRPr="00D91478">
        <w:t xml:space="preserve">allows </w:t>
      </w:r>
      <w:r w:rsidR="002E2148">
        <w:t>G</w:t>
      </w:r>
      <w:r w:rsidR="002E2148" w:rsidRPr="00D91478">
        <w:t>overnments to grant licen</w:t>
      </w:r>
      <w:r w:rsidR="002E2148">
        <w:t>c</w:t>
      </w:r>
      <w:r w:rsidR="002E2148" w:rsidRPr="00D91478">
        <w:t xml:space="preserve">es to third parties to produce and sell patented medicines or vaccines without the </w:t>
      </w:r>
      <w:r w:rsidR="00580F25" w:rsidRPr="00D91478">
        <w:t>patent holder</w:t>
      </w:r>
      <w:r w:rsidR="00580F25">
        <w:t>’s</w:t>
      </w:r>
      <w:r w:rsidR="00580F25" w:rsidRPr="00D91478">
        <w:t xml:space="preserve"> </w:t>
      </w:r>
      <w:r w:rsidR="002E2148" w:rsidRPr="00D91478">
        <w:t>consent, under certain conditions.</w:t>
      </w:r>
      <w:r w:rsidR="002E2148" w:rsidRPr="000812B8">
        <w:rPr>
          <w:rStyle w:val="EndnoteReference"/>
        </w:rPr>
        <w:endnoteReference w:id="55"/>
      </w:r>
      <w:r w:rsidR="002E2148" w:rsidRPr="000812B8">
        <w:rPr>
          <w:rStyle w:val="EndnoteReference"/>
        </w:rPr>
        <w:t xml:space="preserve"> </w:t>
      </w:r>
      <w:r w:rsidR="002E2148" w:rsidRPr="00D91478">
        <w:t>Th</w:t>
      </w:r>
      <w:r w:rsidR="002E2148">
        <w:t>ose</w:t>
      </w:r>
      <w:r w:rsidR="002E2148" w:rsidRPr="00D91478">
        <w:t xml:space="preserve"> provision</w:t>
      </w:r>
      <w:r w:rsidR="002E2148">
        <w:t>s</w:t>
      </w:r>
      <w:r w:rsidR="002E2148" w:rsidRPr="00D91478">
        <w:t xml:space="preserve"> can help to increase access to essential medicines and vaccines in underserved areas. While States did not approve the </w:t>
      </w:r>
      <w:r w:rsidR="002E2148">
        <w:t xml:space="preserve">initially </w:t>
      </w:r>
      <w:r w:rsidR="002E2148" w:rsidRPr="00D91478">
        <w:t xml:space="preserve">proposed </w:t>
      </w:r>
      <w:r w:rsidR="002E2148">
        <w:t xml:space="preserve">waiver of certain protections under the </w:t>
      </w:r>
      <w:r w:rsidR="002E2148" w:rsidRPr="00D91478">
        <w:t xml:space="preserve">TRIPS </w:t>
      </w:r>
      <w:r w:rsidR="002E2148">
        <w:t xml:space="preserve">Agreement, </w:t>
      </w:r>
      <w:r w:rsidR="002E2148" w:rsidRPr="00D91478">
        <w:t xml:space="preserve">at the </w:t>
      </w:r>
      <w:r w:rsidR="00DC53FB">
        <w:t>12</w:t>
      </w:r>
      <w:r w:rsidR="00DC53FB" w:rsidRPr="00593D73">
        <w:rPr>
          <w:vertAlign w:val="superscript"/>
        </w:rPr>
        <w:t>th</w:t>
      </w:r>
      <w:r w:rsidR="00DC53FB">
        <w:t xml:space="preserve"> </w:t>
      </w:r>
      <w:r w:rsidR="002E2148" w:rsidRPr="00D91478">
        <w:t>Ministerial Conference</w:t>
      </w:r>
      <w:r w:rsidR="002E2148">
        <w:t xml:space="preserve"> of the World Trade Organization (</w:t>
      </w:r>
      <w:r w:rsidR="002E2148" w:rsidRPr="00D91478">
        <w:t>WTO</w:t>
      </w:r>
      <w:r w:rsidR="002E2148">
        <w:t>), held</w:t>
      </w:r>
      <w:r w:rsidR="002E2148" w:rsidRPr="00D91478">
        <w:t xml:space="preserve"> in </w:t>
      </w:r>
      <w:r w:rsidR="002E2148">
        <w:t xml:space="preserve">Geneva in </w:t>
      </w:r>
      <w:r w:rsidR="002E2148" w:rsidRPr="00D91478">
        <w:t xml:space="preserve">June 2022, </w:t>
      </w:r>
      <w:r w:rsidR="00DC53FB">
        <w:t>States</w:t>
      </w:r>
      <w:r w:rsidR="00DC53FB" w:rsidRPr="00D91478">
        <w:t xml:space="preserve"> </w:t>
      </w:r>
      <w:r w:rsidR="002E2148" w:rsidRPr="00D91478">
        <w:t xml:space="preserve">agreed to allow countries to use compulsory licensing to produce for their own consumption </w:t>
      </w:r>
      <w:r w:rsidR="00DC53FB">
        <w:t xml:space="preserve">and </w:t>
      </w:r>
      <w:r w:rsidR="002E2148" w:rsidRPr="00D91478">
        <w:t>also to export.</w:t>
      </w:r>
      <w:r w:rsidR="002E2148" w:rsidRPr="000812B8">
        <w:rPr>
          <w:rStyle w:val="EndnoteReference"/>
        </w:rPr>
        <w:endnoteReference w:id="56"/>
      </w:r>
      <w:r w:rsidR="002E2148" w:rsidRPr="000812B8">
        <w:rPr>
          <w:rStyle w:val="EndnoteReference"/>
        </w:rPr>
        <w:t xml:space="preserve"> </w:t>
      </w:r>
      <w:r w:rsidR="002E2148" w:rsidRPr="00D91478">
        <w:t xml:space="preserve">Pharmaceutical companies should not seek to limit, </w:t>
      </w:r>
      <w:r w:rsidR="004A70FD">
        <w:t>reduce</w:t>
      </w:r>
      <w:r w:rsidR="004A70FD" w:rsidRPr="00D91478">
        <w:t xml:space="preserve"> </w:t>
      </w:r>
      <w:r w:rsidR="002E2148" w:rsidRPr="00D91478">
        <w:t>or compromise the flexibilities and other features of the intellectual property regime that are designed to protect and promote access to existing medicines.</w:t>
      </w:r>
      <w:r w:rsidR="002E2148" w:rsidRPr="000812B8">
        <w:rPr>
          <w:rStyle w:val="EndnoteReference"/>
        </w:rPr>
        <w:endnoteReference w:id="57"/>
      </w:r>
      <w:r w:rsidR="002E2148" w:rsidRPr="000812B8">
        <w:rPr>
          <w:rStyle w:val="EndnoteReference"/>
        </w:rPr>
        <w:t xml:space="preserve"> </w:t>
      </w:r>
      <w:r w:rsidR="00DC53FB" w:rsidRPr="00D91478">
        <w:t xml:space="preserve">Pharmaceutical companies </w:t>
      </w:r>
      <w:r w:rsidR="002E2148" w:rsidRPr="00D91478">
        <w:t xml:space="preserve">should </w:t>
      </w:r>
      <w:r w:rsidR="00DC53FB">
        <w:t>stop</w:t>
      </w:r>
      <w:r w:rsidR="00DC53FB" w:rsidRPr="00D91478">
        <w:t xml:space="preserve"> </w:t>
      </w:r>
      <w:r w:rsidR="008B1DD9">
        <w:t>using</w:t>
      </w:r>
      <w:r w:rsidR="002E2148" w:rsidRPr="00D91478">
        <w:t xml:space="preserve"> intellectual property rights in a </w:t>
      </w:r>
      <w:r w:rsidR="00DC53FB">
        <w:t>way</w:t>
      </w:r>
      <w:r w:rsidR="00DC53FB" w:rsidRPr="00D91478">
        <w:t xml:space="preserve"> </w:t>
      </w:r>
      <w:r w:rsidR="002E2148" w:rsidRPr="00D91478">
        <w:t xml:space="preserve">that is inconsistent with </w:t>
      </w:r>
      <w:r w:rsidR="00DC53FB" w:rsidRPr="00D91478">
        <w:t>every person</w:t>
      </w:r>
      <w:r w:rsidR="00DC53FB">
        <w:t>’s</w:t>
      </w:r>
      <w:r w:rsidR="00DC53FB" w:rsidRPr="00D91478">
        <w:t xml:space="preserve"> </w:t>
      </w:r>
      <w:r w:rsidR="002E2148" w:rsidRPr="00D91478">
        <w:t>right to have access to essential medicines and safe and effective vaccines.</w:t>
      </w:r>
      <w:r w:rsidR="002E2148" w:rsidRPr="000812B8">
        <w:rPr>
          <w:rStyle w:val="EndnoteReference"/>
        </w:rPr>
        <w:endnoteReference w:id="58"/>
      </w:r>
    </w:p>
    <w:p w14:paraId="64429A34" w14:textId="0D134822" w:rsidR="002E2148" w:rsidRPr="00857226" w:rsidRDefault="002E2148" w:rsidP="00E80810">
      <w:pPr>
        <w:pStyle w:val="SingleTxtG"/>
        <w:rPr>
          <w:rStyle w:val="EndnoteReference"/>
          <w:vertAlign w:val="baseline"/>
        </w:rPr>
      </w:pPr>
      <w:r w:rsidRPr="00D91478">
        <w:t>3</w:t>
      </w:r>
      <w:r w:rsidR="00F9797A">
        <w:t>3</w:t>
      </w:r>
      <w:r w:rsidRPr="00D91478">
        <w:t>.</w:t>
      </w:r>
      <w:r w:rsidRPr="00D91478">
        <w:tab/>
        <w:t>Pharmaceutical companies can voluntarily license their patents and</w:t>
      </w:r>
      <w:r w:rsidR="00841AAA">
        <w:t xml:space="preserve"> industry</w:t>
      </w:r>
      <w:r w:rsidRPr="00D91478">
        <w:t xml:space="preserve"> </w:t>
      </w:r>
      <w:r w:rsidR="2EC3DD00" w:rsidRPr="00D91478">
        <w:t>knowledge</w:t>
      </w:r>
      <w:r w:rsidRPr="00D91478">
        <w:t xml:space="preserve"> to generic manufacturers in low- and middle-income countries</w:t>
      </w:r>
      <w:r w:rsidR="00DC53FB">
        <w:t>. The generic manufacturers</w:t>
      </w:r>
      <w:r w:rsidRPr="00D91478">
        <w:t xml:space="preserve"> can </w:t>
      </w:r>
      <w:r w:rsidR="00DC53FB">
        <w:t xml:space="preserve">then </w:t>
      </w:r>
      <w:r w:rsidRPr="00D91478">
        <w:t>produce and distribute affordable generic versions of medicines</w:t>
      </w:r>
      <w:r w:rsidRPr="00341436">
        <w:t xml:space="preserve"> and vaccines. The terms of </w:t>
      </w:r>
      <w:r w:rsidR="00EA5695">
        <w:t xml:space="preserve">these </w:t>
      </w:r>
      <w:r w:rsidRPr="00341436">
        <w:t>agreement</w:t>
      </w:r>
      <w:r>
        <w:t>s</w:t>
      </w:r>
      <w:r w:rsidRPr="00341436">
        <w:t xml:space="preserve"> may include provisions for pricing, distribution, </w:t>
      </w:r>
      <w:r w:rsidRPr="00341436">
        <w:lastRenderedPageBreak/>
        <w:t xml:space="preserve">quality control and other aspects of production and sale. Voluntary licensing agreements </w:t>
      </w:r>
      <w:r>
        <w:t xml:space="preserve">that are </w:t>
      </w:r>
      <w:r w:rsidRPr="00341436">
        <w:t xml:space="preserve">limited in geographic scope can help ensure that the product is targeted to areas of greatest need, while also protecting the market for the branded product in other regions. Non-exclusive voluntary licences have been used for HIV and hepatitis, and some companies agreed during the COVID-19 pandemic to </w:t>
      </w:r>
      <w:r>
        <w:t xml:space="preserve">issue </w:t>
      </w:r>
      <w:r w:rsidRPr="00341436">
        <w:t>non-exclusive voluntary licences for their COVID-19 medicines and vaccines. Recently</w:t>
      </w:r>
      <w:r>
        <w:t>, and</w:t>
      </w:r>
      <w:r w:rsidRPr="00341436">
        <w:t xml:space="preserve"> for the first time</w:t>
      </w:r>
      <w:r>
        <w:t>,</w:t>
      </w:r>
      <w:r w:rsidRPr="00341436">
        <w:t xml:space="preserve"> a company used a voluntary licence for </w:t>
      </w:r>
      <w:r>
        <w:t xml:space="preserve">medicine for </w:t>
      </w:r>
      <w:r w:rsidRPr="00341436">
        <w:t>a non-communicable disease</w:t>
      </w:r>
      <w:r w:rsidR="00DC53FB">
        <w:t>;</w:t>
      </w:r>
      <w:r>
        <w:t xml:space="preserve"> namely</w:t>
      </w:r>
      <w:r w:rsidR="00DC53FB">
        <w:t>,</w:t>
      </w:r>
      <w:r w:rsidRPr="00341436">
        <w:t xml:space="preserve"> cancer.</w:t>
      </w:r>
      <w:r w:rsidRPr="000812B8">
        <w:rPr>
          <w:rStyle w:val="EndnoteReference"/>
        </w:rPr>
        <w:endnoteReference w:id="59"/>
      </w:r>
    </w:p>
    <w:p w14:paraId="6A22BC0B" w14:textId="4E10B22D" w:rsidR="002E2148" w:rsidRPr="00857226" w:rsidRDefault="002E2148" w:rsidP="00E80810">
      <w:pPr>
        <w:pStyle w:val="SingleTxtG"/>
        <w:rPr>
          <w:rStyle w:val="EndnoteReference"/>
          <w:vertAlign w:val="baseline"/>
        </w:rPr>
      </w:pPr>
      <w:r>
        <w:t>3</w:t>
      </w:r>
      <w:r w:rsidR="00F9797A">
        <w:t>4</w:t>
      </w:r>
      <w:r w:rsidRPr="00341436">
        <w:t>.</w:t>
      </w:r>
      <w:r w:rsidRPr="00341436">
        <w:tab/>
        <w:t>Patent pooling</w:t>
      </w:r>
      <w:r w:rsidR="00336FC6">
        <w:t>, i.e.</w:t>
      </w:r>
      <w:r w:rsidRPr="00341436">
        <w:t xml:space="preserve"> </w:t>
      </w:r>
      <w:r w:rsidR="00336FC6">
        <w:t xml:space="preserve">an agreement between patent owners to licence one or more of their patents to one another or other companies, </w:t>
      </w:r>
      <w:r w:rsidRPr="00341436">
        <w:t xml:space="preserve">can be an effective strategy for increasing access to vaccines and medicines, particularly in low- and middle-income countries. In patent pooling, companies or institutions that own patents related to a specific technology or product agree to share their intellectual property rights with each other or with a third party. </w:t>
      </w:r>
      <w:r>
        <w:t xml:space="preserve">This </w:t>
      </w:r>
      <w:r w:rsidRPr="00341436">
        <w:t>create</w:t>
      </w:r>
      <w:r>
        <w:t>s</w:t>
      </w:r>
      <w:r w:rsidRPr="00341436">
        <w:t xml:space="preserve"> a larger pool of intellectual property, making it easier for generic manufacturers to produce and distribute essential medicines and vaccines. This approach increases competition and can lower the price of essential medicines and vaccines, making them more accessible to patients</w:t>
      </w:r>
      <w:r>
        <w:t>, including those</w:t>
      </w:r>
      <w:r w:rsidRPr="00D44B32">
        <w:t xml:space="preserve"> </w:t>
      </w:r>
      <w:r w:rsidRPr="00341436">
        <w:t xml:space="preserve">who might not be able to afford them otherwise. </w:t>
      </w:r>
      <w:r>
        <w:t>It</w:t>
      </w:r>
      <w:r w:rsidRPr="00341436">
        <w:t xml:space="preserve"> can </w:t>
      </w:r>
      <w:r>
        <w:t xml:space="preserve">also </w:t>
      </w:r>
      <w:r w:rsidRPr="00341436">
        <w:t>help to increase innovation</w:t>
      </w:r>
      <w:r>
        <w:t xml:space="preserve"> and</w:t>
      </w:r>
      <w:r w:rsidRPr="00341436">
        <w:t xml:space="preserve"> reduce costs</w:t>
      </w:r>
      <w:r>
        <w:t>.</w:t>
      </w:r>
      <w:r w:rsidRPr="000812B8">
        <w:rPr>
          <w:rStyle w:val="EndnoteReference"/>
        </w:rPr>
        <w:endnoteReference w:id="60"/>
      </w:r>
    </w:p>
    <w:p w14:paraId="5194D533" w14:textId="599A4F96" w:rsidR="002E2148" w:rsidRPr="002F7170" w:rsidRDefault="002E2148" w:rsidP="00E80810">
      <w:pPr>
        <w:pStyle w:val="SingleTxtG"/>
        <w:rPr>
          <w:rStyle w:val="EndnoteReference"/>
          <w:vertAlign w:val="baseline"/>
        </w:rPr>
      </w:pPr>
      <w:r w:rsidRPr="00341436">
        <w:t>3</w:t>
      </w:r>
      <w:r w:rsidR="00F9797A">
        <w:t>5</w:t>
      </w:r>
      <w:r w:rsidRPr="00341436">
        <w:t>.</w:t>
      </w:r>
      <w:r w:rsidRPr="00341436">
        <w:tab/>
      </w:r>
      <w:r>
        <w:t>One</w:t>
      </w:r>
      <w:r w:rsidRPr="00341436">
        <w:t xml:space="preserve"> example is the Medicines Patent Pool,</w:t>
      </w:r>
      <w:r w:rsidR="00336FC6">
        <w:rPr>
          <w:rStyle w:val="EndnoteReference"/>
        </w:rPr>
        <w:endnoteReference w:id="61"/>
      </w:r>
      <w:r w:rsidRPr="00341436">
        <w:t xml:space="preserve"> established in 2010 as a public health initiative to promote access to affordable and quality medicines for diseases</w:t>
      </w:r>
      <w:r>
        <w:t>, e.g.</w:t>
      </w:r>
      <w:r w:rsidRPr="00341436">
        <w:t xml:space="preserve"> HIV, tuberculosis and hepatitis C.</w:t>
      </w:r>
      <w:r w:rsidRPr="000812B8">
        <w:rPr>
          <w:rStyle w:val="EndnoteReference"/>
        </w:rPr>
        <w:endnoteReference w:id="62"/>
      </w:r>
      <w:r w:rsidRPr="000812B8">
        <w:rPr>
          <w:rStyle w:val="EndnoteReference"/>
        </w:rPr>
        <w:t xml:space="preserve"> </w:t>
      </w:r>
      <w:r w:rsidRPr="00341436">
        <w:t xml:space="preserve">The </w:t>
      </w:r>
      <w:r>
        <w:t>P</w:t>
      </w:r>
      <w:r w:rsidRPr="00341436">
        <w:t>ool negotiates voluntary licen</w:t>
      </w:r>
      <w:r>
        <w:t>c</w:t>
      </w:r>
      <w:r w:rsidRPr="00341436">
        <w:t>es with pharmaceutical companies to allow generic versions of patented medicines to be produced and sold in low- and middle-income countries at lower prices.</w:t>
      </w:r>
      <w:r w:rsidRPr="000812B8">
        <w:rPr>
          <w:rStyle w:val="EndnoteReference"/>
        </w:rPr>
        <w:endnoteReference w:id="63"/>
      </w:r>
      <w:r w:rsidRPr="000812B8">
        <w:rPr>
          <w:rStyle w:val="EndnoteReference"/>
        </w:rPr>
        <w:t xml:space="preserve"> </w:t>
      </w:r>
      <w:r w:rsidR="00F6442A">
        <w:t>During</w:t>
      </w:r>
      <w:r w:rsidR="00580F25">
        <w:t xml:space="preserve"> the</w:t>
      </w:r>
      <w:r w:rsidRPr="00341436">
        <w:t xml:space="preserve"> COVID-19 pandemic, </w:t>
      </w:r>
      <w:r>
        <w:t>the Pool</w:t>
      </w:r>
      <w:r w:rsidRPr="00341436">
        <w:t xml:space="preserve"> </w:t>
      </w:r>
      <w:r>
        <w:t xml:space="preserve">reached an </w:t>
      </w:r>
      <w:r w:rsidRPr="00341436">
        <w:t>agree</w:t>
      </w:r>
      <w:r>
        <w:t>ment</w:t>
      </w:r>
      <w:r w:rsidRPr="00341436">
        <w:t xml:space="preserve"> with some pharmaceutical companies to issue non-exclusive sublicen</w:t>
      </w:r>
      <w:r>
        <w:t>c</w:t>
      </w:r>
      <w:r w:rsidRPr="00341436">
        <w:t xml:space="preserve">es </w:t>
      </w:r>
      <w:r>
        <w:t>to</w:t>
      </w:r>
      <w:r w:rsidRPr="00341436">
        <w:t xml:space="preserve"> manufactur</w:t>
      </w:r>
      <w:r>
        <w:t>e</w:t>
      </w:r>
      <w:r w:rsidRPr="00341436">
        <w:t xml:space="preserve"> their antiviral medicines.</w:t>
      </w:r>
      <w:r w:rsidRPr="000812B8">
        <w:rPr>
          <w:rStyle w:val="EndnoteReference"/>
        </w:rPr>
        <w:endnoteReference w:id="64"/>
      </w:r>
    </w:p>
    <w:p w14:paraId="55C3F23F" w14:textId="5E63A3CE" w:rsidR="002E2148" w:rsidRPr="002F7170" w:rsidRDefault="002E2148" w:rsidP="00E80810">
      <w:pPr>
        <w:pStyle w:val="SingleTxtG"/>
        <w:rPr>
          <w:rStyle w:val="EndnoteReference"/>
          <w:vertAlign w:val="baseline"/>
        </w:rPr>
      </w:pPr>
      <w:r w:rsidRPr="00341436">
        <w:t>3</w:t>
      </w:r>
      <w:r w:rsidR="00F9797A">
        <w:t>6</w:t>
      </w:r>
      <w:r w:rsidRPr="00341436">
        <w:t>.</w:t>
      </w:r>
      <w:r w:rsidRPr="00341436">
        <w:tab/>
        <w:t xml:space="preserve">Through the patent pool mechanism, licensing by patent holders has accelerated, with broader geographical coverage and improved terms and conditions, </w:t>
      </w:r>
      <w:r w:rsidR="00DC53FB">
        <w:t>allowing</w:t>
      </w:r>
      <w:r w:rsidR="00DC53FB" w:rsidRPr="00341436">
        <w:t xml:space="preserve"> </w:t>
      </w:r>
      <w:r w:rsidR="00DC53FB">
        <w:t>increased</w:t>
      </w:r>
      <w:r w:rsidRPr="00341436">
        <w:t xml:space="preserve"> competition. </w:t>
      </w:r>
      <w:r w:rsidR="00F6442A">
        <w:t>In turn, p</w:t>
      </w:r>
      <w:r w:rsidRPr="00341436">
        <w:t xml:space="preserve">atent holders are rewarded with fair royalties that </w:t>
      </w:r>
      <w:r>
        <w:t>are multiplied</w:t>
      </w:r>
      <w:r w:rsidRPr="00341436">
        <w:t xml:space="preserve"> as low-priced generics bring a surge in demand. Generic manufacturers benefit from the simplified procedure of dealing with a single negotiating body </w:t>
      </w:r>
      <w:r w:rsidR="008E7855">
        <w:t xml:space="preserve">and </w:t>
      </w:r>
      <w:r w:rsidRPr="00341436">
        <w:t>the ability to enter the market before patents expire.</w:t>
      </w:r>
      <w:r w:rsidRPr="000812B8">
        <w:rPr>
          <w:rStyle w:val="EndnoteReference"/>
        </w:rPr>
        <w:endnoteReference w:id="65"/>
      </w:r>
    </w:p>
    <w:p w14:paraId="59314A3B" w14:textId="42A23A5B" w:rsidR="002E2148" w:rsidRPr="0040752B" w:rsidRDefault="002E2148" w:rsidP="00E80810">
      <w:pPr>
        <w:pStyle w:val="SingleTxtG"/>
        <w:rPr>
          <w:rStyle w:val="EndnoteReference"/>
          <w:vertAlign w:val="baseline"/>
        </w:rPr>
      </w:pPr>
      <w:r w:rsidRPr="00341436">
        <w:t>3</w:t>
      </w:r>
      <w:r w:rsidR="00F9797A">
        <w:t>7</w:t>
      </w:r>
      <w:r w:rsidRPr="00341436">
        <w:t>.</w:t>
      </w:r>
      <w:r w:rsidRPr="00341436">
        <w:tab/>
        <w:t xml:space="preserve">Access to transparent patent information is a key element </w:t>
      </w:r>
      <w:r>
        <w:t>in</w:t>
      </w:r>
      <w:r w:rsidRPr="00341436">
        <w:t xml:space="preserve"> ensuring that </w:t>
      </w:r>
      <w:r w:rsidR="00B93291">
        <w:t xml:space="preserve">people can </w:t>
      </w:r>
      <w:r w:rsidR="002A350B">
        <w:t>enjoy</w:t>
      </w:r>
      <w:r w:rsidR="00B93291">
        <w:t xml:space="preserve"> their </w:t>
      </w:r>
      <w:r w:rsidRPr="00341436">
        <w:t xml:space="preserve">right to health. </w:t>
      </w:r>
      <w:r w:rsidR="00DC53FB">
        <w:t>For example, c</w:t>
      </w:r>
      <w:r w:rsidRPr="00341436">
        <w:t xml:space="preserve">ompanies that engage with </w:t>
      </w:r>
      <w:r>
        <w:t>a</w:t>
      </w:r>
      <w:r w:rsidRPr="00341436">
        <w:t xml:space="preserve"> patent pool </w:t>
      </w:r>
      <w:r w:rsidR="00DC53FB">
        <w:t xml:space="preserve">must </w:t>
      </w:r>
      <w:r w:rsidRPr="00341436">
        <w:t>disclose information about their patents, which the pool then makes public.</w:t>
      </w:r>
      <w:r w:rsidRPr="000812B8">
        <w:rPr>
          <w:rStyle w:val="EndnoteReference"/>
        </w:rPr>
        <w:endnoteReference w:id="66"/>
      </w:r>
      <w:r w:rsidRPr="000812B8">
        <w:rPr>
          <w:rStyle w:val="EndnoteReference"/>
        </w:rPr>
        <w:t xml:space="preserve"> </w:t>
      </w:r>
      <w:r w:rsidRPr="00341436">
        <w:t>When information about the status and specifics of intellectual property protection is readily available, competitors can confidently introduce affordable health technologies that are similar to off-patent products.</w:t>
      </w:r>
      <w:r w:rsidRPr="000812B8">
        <w:rPr>
          <w:rStyle w:val="EndnoteReference"/>
        </w:rPr>
        <w:endnoteReference w:id="67"/>
      </w:r>
      <w:r w:rsidRPr="000812B8">
        <w:rPr>
          <w:rStyle w:val="EndnoteReference"/>
        </w:rPr>
        <w:t xml:space="preserve"> </w:t>
      </w:r>
      <w:r w:rsidRPr="00341436">
        <w:t xml:space="preserve">Additionally, governments, generic companies, researchers, and civil society can more easily monitor and challenge questionable patent applications and approvals. To </w:t>
      </w:r>
      <w:r w:rsidR="00DC53FB">
        <w:t>help achieve this</w:t>
      </w:r>
      <w:r w:rsidRPr="00341436">
        <w:t>, several countries and organizations have published patent databases and conducted surveys and analyses.</w:t>
      </w:r>
      <w:r w:rsidRPr="000812B8">
        <w:rPr>
          <w:rStyle w:val="EndnoteReference"/>
        </w:rPr>
        <w:endnoteReference w:id="68"/>
      </w:r>
    </w:p>
    <w:p w14:paraId="52F99020" w14:textId="130B7B03" w:rsidR="002E2148" w:rsidRPr="000B6411" w:rsidRDefault="002E2148" w:rsidP="00E80810">
      <w:pPr>
        <w:pStyle w:val="SingleTxtG"/>
        <w:rPr>
          <w:rStyle w:val="EndnoteReference"/>
          <w:vertAlign w:val="baseline"/>
        </w:rPr>
      </w:pPr>
      <w:r w:rsidRPr="00341436">
        <w:t>3</w:t>
      </w:r>
      <w:r w:rsidR="00F9797A">
        <w:t>8</w:t>
      </w:r>
      <w:r w:rsidRPr="00341436">
        <w:t>.</w:t>
      </w:r>
      <w:r w:rsidRPr="00341436">
        <w:tab/>
        <w:t xml:space="preserve">The Access to Medicine Index is another example </w:t>
      </w:r>
      <w:r>
        <w:t>of</w:t>
      </w:r>
      <w:r w:rsidRPr="00341436">
        <w:t xml:space="preserve"> public scrutiny </w:t>
      </w:r>
      <w:r w:rsidR="00DC53FB">
        <w:t xml:space="preserve">that aims to improve </w:t>
      </w:r>
      <w:r w:rsidRPr="00341436">
        <w:t xml:space="preserve">industry behaviours and </w:t>
      </w:r>
      <w:r w:rsidR="00DC53FB">
        <w:t xml:space="preserve">the </w:t>
      </w:r>
      <w:r>
        <w:t>responsible management of</w:t>
      </w:r>
      <w:r w:rsidRPr="00341436">
        <w:t xml:space="preserve"> intellectual property. The </w:t>
      </w:r>
      <w:r w:rsidRPr="00B27347">
        <w:rPr>
          <w:i/>
          <w:iCs/>
        </w:rPr>
        <w:t>Access to Medicine Index 2022</w:t>
      </w:r>
      <w:r>
        <w:t xml:space="preserve"> report </w:t>
      </w:r>
      <w:r w:rsidRPr="00341436">
        <w:t xml:space="preserve">showed that more companies </w:t>
      </w:r>
      <w:r>
        <w:t>we</w:t>
      </w:r>
      <w:r w:rsidRPr="00341436">
        <w:t xml:space="preserve">re </w:t>
      </w:r>
      <w:r w:rsidR="00DF718B">
        <w:t xml:space="preserve">taking part </w:t>
      </w:r>
      <w:r w:rsidRPr="00341436">
        <w:t>in voluntary licences and technology transfers.</w:t>
      </w:r>
      <w:r w:rsidRPr="000812B8">
        <w:rPr>
          <w:rStyle w:val="EndnoteReference"/>
        </w:rPr>
        <w:endnoteReference w:id="69"/>
      </w:r>
    </w:p>
    <w:p w14:paraId="4B1AFB88" w14:textId="5DB50563" w:rsidR="00DF718B" w:rsidRDefault="00F9797A" w:rsidP="00E80810">
      <w:pPr>
        <w:pStyle w:val="SingleTxtG"/>
      </w:pPr>
      <w:r>
        <w:t>39</w:t>
      </w:r>
      <w:r w:rsidR="002E2148" w:rsidRPr="00341436">
        <w:t>.</w:t>
      </w:r>
      <w:r w:rsidR="002E2148" w:rsidRPr="00341436">
        <w:tab/>
        <w:t xml:space="preserve">The COVID-19 pandemic also </w:t>
      </w:r>
      <w:r w:rsidR="00B93291">
        <w:t xml:space="preserve">showed </w:t>
      </w:r>
      <w:r w:rsidR="002E2148" w:rsidRPr="00341436">
        <w:t xml:space="preserve">that fulfilling the human rights obligations of international assistance and cooperation is crucial to ensure that essential medicines, vaccines and health products are widely shared as a global public good. </w:t>
      </w:r>
      <w:r w:rsidR="002E2148">
        <w:t>T</w:t>
      </w:r>
      <w:r w:rsidR="002E2148" w:rsidRPr="00341436">
        <w:t>he international community must support low</w:t>
      </w:r>
      <w:r w:rsidR="002E2148">
        <w:t>-</w:t>
      </w:r>
      <w:r w:rsidR="002E2148" w:rsidRPr="00341436">
        <w:t xml:space="preserve">income countries in financing a basic package of essential medicines for </w:t>
      </w:r>
      <w:r w:rsidR="00BA2226">
        <w:t>everyone</w:t>
      </w:r>
      <w:r w:rsidR="00BA2226" w:rsidRPr="00341436">
        <w:t xml:space="preserve"> </w:t>
      </w:r>
      <w:r w:rsidR="002E2148" w:rsidRPr="00341436">
        <w:t>if th</w:t>
      </w:r>
      <w:r w:rsidR="00BA2226">
        <w:t xml:space="preserve">ose </w:t>
      </w:r>
      <w:r w:rsidR="00BA2226" w:rsidRPr="00341436">
        <w:t>low</w:t>
      </w:r>
      <w:r w:rsidR="00BA2226">
        <w:t>-</w:t>
      </w:r>
      <w:r w:rsidR="00BA2226" w:rsidRPr="00341436">
        <w:t xml:space="preserve">income countries </w:t>
      </w:r>
      <w:r w:rsidR="002E2148" w:rsidRPr="00341436">
        <w:t xml:space="preserve">are unable to do so domestically. </w:t>
      </w:r>
    </w:p>
    <w:p w14:paraId="049C8A06" w14:textId="77777777" w:rsidR="00DF718B" w:rsidRDefault="00DF718B">
      <w:pPr>
        <w:suppressAutoHyphens w:val="0"/>
        <w:spacing w:after="200" w:line="276" w:lineRule="auto"/>
      </w:pPr>
      <w:r>
        <w:br w:type="page"/>
      </w:r>
    </w:p>
    <w:p w14:paraId="65307D6D" w14:textId="6DB8506B" w:rsidR="002E2148" w:rsidRPr="00341436" w:rsidRDefault="002E2148" w:rsidP="00E80810">
      <w:pPr>
        <w:pStyle w:val="H23G"/>
      </w:pPr>
      <w:r>
        <w:lastRenderedPageBreak/>
        <w:tab/>
        <w:t>4.</w:t>
      </w:r>
      <w:r>
        <w:tab/>
      </w:r>
      <w:r>
        <w:tab/>
      </w:r>
      <w:bookmarkStart w:id="11" w:name="IIIB4_Increasing_production"/>
      <w:r w:rsidR="001855B9">
        <w:t>Increas</w:t>
      </w:r>
      <w:r w:rsidR="001855B9" w:rsidRPr="00341436">
        <w:t xml:space="preserve">ing </w:t>
      </w:r>
      <w:r w:rsidRPr="00341436">
        <w:t>regional and local production</w:t>
      </w:r>
      <w:bookmarkEnd w:id="11"/>
    </w:p>
    <w:p w14:paraId="02392BA0" w14:textId="03825DDF" w:rsidR="00DF718B" w:rsidRDefault="00D527A2" w:rsidP="00E80810">
      <w:pPr>
        <w:pStyle w:val="SingleTxtG"/>
      </w:pPr>
      <w:r>
        <w:t>4</w:t>
      </w:r>
      <w:r w:rsidR="00F9797A">
        <w:t>0</w:t>
      </w:r>
      <w:r w:rsidR="002E2148" w:rsidRPr="00341436">
        <w:t>.</w:t>
      </w:r>
      <w:r w:rsidR="002E2148" w:rsidRPr="00341436">
        <w:tab/>
      </w:r>
      <w:r w:rsidR="004029B7">
        <w:t xml:space="preserve">One </w:t>
      </w:r>
      <w:r w:rsidR="002E2148" w:rsidRPr="00341436">
        <w:t xml:space="preserve">lesson learned from the response to the COVID-19 pandemic is that the </w:t>
      </w:r>
      <w:r w:rsidR="002E2148">
        <w:t>limited</w:t>
      </w:r>
      <w:r w:rsidR="002E2148" w:rsidRPr="00341436">
        <w:t xml:space="preserve"> number of vaccine manufacturers</w:t>
      </w:r>
      <w:r w:rsidR="002E2148" w:rsidRPr="000812B8">
        <w:rPr>
          <w:rStyle w:val="EndnoteReference"/>
        </w:rPr>
        <w:endnoteReference w:id="70"/>
      </w:r>
      <w:r w:rsidR="002E2148" w:rsidRPr="000812B8">
        <w:rPr>
          <w:rStyle w:val="EndnoteReference"/>
        </w:rPr>
        <w:t xml:space="preserve"> </w:t>
      </w:r>
      <w:r w:rsidR="002E2148" w:rsidRPr="00341436">
        <w:t xml:space="preserve">was a </w:t>
      </w:r>
      <w:r w:rsidR="00DC53FB">
        <w:t xml:space="preserve">main reason for unfair </w:t>
      </w:r>
      <w:r w:rsidR="002E2148" w:rsidRPr="00341436">
        <w:t xml:space="preserve">vaccine </w:t>
      </w:r>
      <w:r w:rsidR="00DC53FB">
        <w:t>distribution</w:t>
      </w:r>
      <w:r w:rsidR="002E2148" w:rsidRPr="00341436">
        <w:t>.</w:t>
      </w:r>
      <w:r w:rsidR="002E2148" w:rsidRPr="000812B8">
        <w:rPr>
          <w:rStyle w:val="EndnoteReference"/>
        </w:rPr>
        <w:endnoteReference w:id="71"/>
      </w:r>
      <w:r w:rsidR="002E2148" w:rsidRPr="000812B8">
        <w:rPr>
          <w:rStyle w:val="EndnoteReference"/>
        </w:rPr>
        <w:t xml:space="preserve"> </w:t>
      </w:r>
      <w:r w:rsidR="002E2148" w:rsidRPr="00341436">
        <w:t>Initiatives aim</w:t>
      </w:r>
      <w:r w:rsidR="002E2148">
        <w:t>ed at</w:t>
      </w:r>
      <w:r w:rsidR="002E2148" w:rsidRPr="00341436">
        <w:t xml:space="preserve"> strengthen</w:t>
      </w:r>
      <w:r w:rsidR="002E2148">
        <w:t>ing</w:t>
      </w:r>
      <w:r w:rsidR="002E2148" w:rsidRPr="00341436">
        <w:t xml:space="preserve"> regional and local production of health products, medicines and vaccines can help to</w:t>
      </w:r>
      <w:r w:rsidR="00DC53FB">
        <w:t>:</w:t>
      </w:r>
      <w:r w:rsidR="002E2148" w:rsidRPr="00341436">
        <w:t xml:space="preserve"> </w:t>
      </w:r>
    </w:p>
    <w:p w14:paraId="64DA6571" w14:textId="77777777" w:rsidR="00DC53FB" w:rsidRDefault="002E2148" w:rsidP="00593D73">
      <w:pPr>
        <w:pStyle w:val="SingleTxtG"/>
        <w:numPr>
          <w:ilvl w:val="0"/>
          <w:numId w:val="35"/>
        </w:numPr>
        <w:tabs>
          <w:tab w:val="clear" w:pos="1701"/>
          <w:tab w:val="clear" w:pos="2268"/>
        </w:tabs>
        <w:ind w:left="2268"/>
      </w:pPr>
      <w:r w:rsidRPr="00341436">
        <w:t>increase access to essential health</w:t>
      </w:r>
      <w:r>
        <w:t>-</w:t>
      </w:r>
      <w:r w:rsidRPr="00341436">
        <w:t xml:space="preserve">care services, </w:t>
      </w:r>
    </w:p>
    <w:p w14:paraId="48E2589A" w14:textId="4267F4CB" w:rsidR="00DC53FB" w:rsidRDefault="002E2148" w:rsidP="00593D73">
      <w:pPr>
        <w:pStyle w:val="SingleTxtG"/>
        <w:numPr>
          <w:ilvl w:val="0"/>
          <w:numId w:val="35"/>
        </w:numPr>
        <w:ind w:left="2268"/>
      </w:pPr>
      <w:r w:rsidRPr="00341436">
        <w:t>reduce dependence on imported products</w:t>
      </w:r>
      <w:r w:rsidR="00DC53FB">
        <w:t>,</w:t>
      </w:r>
      <w:r w:rsidRPr="00341436">
        <w:t xml:space="preserve"> and </w:t>
      </w:r>
    </w:p>
    <w:p w14:paraId="1048A374" w14:textId="061759F2" w:rsidR="002E2148" w:rsidRDefault="002E2148">
      <w:pPr>
        <w:pStyle w:val="SingleTxtG"/>
        <w:numPr>
          <w:ilvl w:val="0"/>
          <w:numId w:val="35"/>
        </w:numPr>
        <w:ind w:left="2268"/>
      </w:pPr>
      <w:r w:rsidRPr="00341436">
        <w:t xml:space="preserve">support economic development in </w:t>
      </w:r>
      <w:r>
        <w:t>specific</w:t>
      </w:r>
      <w:r w:rsidRPr="00341436">
        <w:t xml:space="preserve"> region</w:t>
      </w:r>
      <w:r>
        <w:t>s</w:t>
      </w:r>
      <w:r w:rsidRPr="00341436">
        <w:t>.</w:t>
      </w:r>
    </w:p>
    <w:p w14:paraId="66DB1349" w14:textId="668432FC" w:rsidR="004029B7" w:rsidRPr="00341436" w:rsidRDefault="004029B7" w:rsidP="004029B7">
      <w:pPr>
        <w:pStyle w:val="SingleTxtG"/>
      </w:pPr>
      <w:r>
        <w:t>Examples include:</w:t>
      </w:r>
    </w:p>
    <w:tbl>
      <w:tblPr>
        <w:tblStyle w:val="TableGrid"/>
        <w:tblW w:w="0" w:type="auto"/>
        <w:tblInd w:w="1134" w:type="dxa"/>
        <w:tblLook w:val="04A0" w:firstRow="1" w:lastRow="0" w:firstColumn="1" w:lastColumn="0" w:noHBand="0" w:noVBand="1"/>
      </w:tblPr>
      <w:tblGrid>
        <w:gridCol w:w="1741"/>
        <w:gridCol w:w="5670"/>
      </w:tblGrid>
      <w:tr w:rsidR="004029B7" w14:paraId="67B24142" w14:textId="77777777" w:rsidTr="4DBD6537">
        <w:tc>
          <w:tcPr>
            <w:tcW w:w="1696" w:type="dxa"/>
          </w:tcPr>
          <w:p w14:paraId="559F3A28" w14:textId="1D907687" w:rsidR="004029B7" w:rsidRPr="004029B7" w:rsidRDefault="004029B7" w:rsidP="003E66AC">
            <w:pPr>
              <w:pStyle w:val="SingleTxtG"/>
              <w:ind w:left="28" w:right="152"/>
              <w:rPr>
                <w:b/>
                <w:bCs/>
              </w:rPr>
            </w:pPr>
            <w:r w:rsidRPr="00593D73">
              <w:rPr>
                <w:b/>
                <w:bCs/>
              </w:rPr>
              <w:t>The Pharmaceutical Manufacturing Plan for Africa, under the umbrella of the African Union</w:t>
            </w:r>
          </w:p>
        </w:tc>
        <w:tc>
          <w:tcPr>
            <w:tcW w:w="5670" w:type="dxa"/>
          </w:tcPr>
          <w:p w14:paraId="4AF9AEC3" w14:textId="3A7AD531" w:rsidR="004029B7" w:rsidRDefault="004029B7" w:rsidP="003E66AC">
            <w:pPr>
              <w:pStyle w:val="SingleTxtG"/>
              <w:ind w:left="-12" w:right="27"/>
            </w:pPr>
            <w:r>
              <w:t>Th</w:t>
            </w:r>
            <w:r w:rsidR="00DF718B">
              <w:t>is</w:t>
            </w:r>
            <w:r>
              <w:t xml:space="preserve"> aim</w:t>
            </w:r>
            <w:r w:rsidR="000101E1">
              <w:t>s</w:t>
            </w:r>
            <w:r w:rsidRPr="00341436">
              <w:t xml:space="preserve"> to increase </w:t>
            </w:r>
            <w:r>
              <w:t xml:space="preserve">the </w:t>
            </w:r>
            <w:r w:rsidRPr="00341436">
              <w:t xml:space="preserve">local production of essential medicines by promoting investment in local pharmaceutical manufacturing and research and development. The plan has the potential to reduce dependence on imported medicines </w:t>
            </w:r>
            <w:r>
              <w:t xml:space="preserve">in Africa </w:t>
            </w:r>
            <w:r w:rsidRPr="00341436">
              <w:t>and increase access to essential medicines in the region</w:t>
            </w:r>
            <w:r>
              <w:t>.</w:t>
            </w:r>
          </w:p>
        </w:tc>
      </w:tr>
      <w:tr w:rsidR="004029B7" w14:paraId="74FFA1EF" w14:textId="77777777" w:rsidTr="4DBD6537">
        <w:tc>
          <w:tcPr>
            <w:tcW w:w="1696" w:type="dxa"/>
          </w:tcPr>
          <w:p w14:paraId="56CAD488" w14:textId="7711FDFB" w:rsidR="004029B7" w:rsidRPr="004029B7" w:rsidRDefault="004029B7" w:rsidP="003E66AC">
            <w:pPr>
              <w:pStyle w:val="SingleTxtG"/>
              <w:ind w:left="28" w:right="152"/>
              <w:rPr>
                <w:b/>
                <w:bCs/>
              </w:rPr>
            </w:pPr>
            <w:r w:rsidRPr="00593D73">
              <w:rPr>
                <w:b/>
                <w:bCs/>
              </w:rPr>
              <w:t>The Access and Delivery Partnership</w:t>
            </w:r>
          </w:p>
        </w:tc>
        <w:tc>
          <w:tcPr>
            <w:tcW w:w="5670" w:type="dxa"/>
          </w:tcPr>
          <w:p w14:paraId="3E484158" w14:textId="3722C03F" w:rsidR="004029B7" w:rsidRPr="00341436" w:rsidRDefault="004029B7" w:rsidP="003E66AC">
            <w:pPr>
              <w:pStyle w:val="SingleTxtG"/>
              <w:ind w:left="-12" w:right="27"/>
            </w:pPr>
            <w:r w:rsidRPr="00341436">
              <w:t xml:space="preserve">The Access and Delivery Partnership, led by the United Nations Development Programme, </w:t>
            </w:r>
            <w:r w:rsidR="00F759F4">
              <w:t xml:space="preserve">aims </w:t>
            </w:r>
            <w:r w:rsidRPr="00341436">
              <w:t xml:space="preserve">to strengthen </w:t>
            </w:r>
            <w:r>
              <w:t xml:space="preserve">the </w:t>
            </w:r>
            <w:r w:rsidRPr="00341436">
              <w:t xml:space="preserve">local manufacturing and distribution of health products in developing countries. </w:t>
            </w:r>
            <w:r>
              <w:t xml:space="preserve">This is </w:t>
            </w:r>
            <w:r w:rsidRPr="00341436">
              <w:t>focuse</w:t>
            </w:r>
            <w:r>
              <w:t>d</w:t>
            </w:r>
            <w:r w:rsidRPr="00341436">
              <w:t xml:space="preserve"> on building </w:t>
            </w:r>
            <w:r>
              <w:t xml:space="preserve">national </w:t>
            </w:r>
            <w:r w:rsidRPr="00341436">
              <w:t xml:space="preserve">capacity </w:t>
            </w:r>
            <w:r>
              <w:t>to produce</w:t>
            </w:r>
            <w:r w:rsidRPr="00341436">
              <w:t xml:space="preserve"> medicines and health technologies, </w:t>
            </w:r>
            <w:r>
              <w:t>e.g.</w:t>
            </w:r>
            <w:r w:rsidRPr="00341436">
              <w:t xml:space="preserve"> diagnostic tools and medical devices</w:t>
            </w:r>
            <w:r>
              <w:t>.</w:t>
            </w:r>
          </w:p>
        </w:tc>
      </w:tr>
      <w:tr w:rsidR="004029B7" w14:paraId="27ABC694" w14:textId="77777777" w:rsidTr="4DBD6537">
        <w:tc>
          <w:tcPr>
            <w:tcW w:w="1696" w:type="dxa"/>
          </w:tcPr>
          <w:p w14:paraId="1050E635" w14:textId="1A5F579B" w:rsidR="004029B7" w:rsidRPr="004029B7" w:rsidRDefault="004029B7" w:rsidP="003E66AC">
            <w:pPr>
              <w:pStyle w:val="SingleTxtG"/>
              <w:ind w:left="28" w:right="152"/>
              <w:rPr>
                <w:b/>
                <w:bCs/>
              </w:rPr>
            </w:pPr>
            <w:r w:rsidRPr="00593D73">
              <w:rPr>
                <w:b/>
                <w:bCs/>
              </w:rPr>
              <w:t xml:space="preserve">The COVID-19 Vaccine Global Access </w:t>
            </w:r>
            <w:r w:rsidR="009C3AEA" w:rsidRPr="00593D73">
              <w:rPr>
                <w:b/>
                <w:bCs/>
              </w:rPr>
              <w:t xml:space="preserve">Facility </w:t>
            </w:r>
            <w:r w:rsidRPr="00593D73">
              <w:rPr>
                <w:b/>
                <w:bCs/>
              </w:rPr>
              <w:t xml:space="preserve">(COVAX) </w:t>
            </w:r>
          </w:p>
        </w:tc>
        <w:tc>
          <w:tcPr>
            <w:tcW w:w="5670" w:type="dxa"/>
          </w:tcPr>
          <w:p w14:paraId="0A9C4265" w14:textId="15518DFF" w:rsidR="004029B7" w:rsidRPr="00341436" w:rsidRDefault="004029B7" w:rsidP="003E66AC">
            <w:pPr>
              <w:pStyle w:val="SingleTxtG"/>
              <w:ind w:left="-12" w:right="27"/>
            </w:pPr>
            <w:bookmarkStart w:id="12" w:name="_Int_FDQ7wijg"/>
            <w:r>
              <w:t>Concerning vaccine equity, there</w:t>
            </w:r>
            <w:bookmarkEnd w:id="12"/>
            <w:r>
              <w:t xml:space="preserve"> are valuable lessons to be drawn from the COVAX Facility. This aims to ensure </w:t>
            </w:r>
            <w:r w:rsidR="007454D2">
              <w:t xml:space="preserve">fair </w:t>
            </w:r>
            <w:r>
              <w:t>access to COVID-19 vaccines by supporting the development of regional and local vaccine manufacturing capacity.</w:t>
            </w:r>
          </w:p>
        </w:tc>
      </w:tr>
    </w:tbl>
    <w:p w14:paraId="4B39052B" w14:textId="77777777" w:rsidR="004029B7" w:rsidRDefault="004029B7" w:rsidP="00E80810">
      <w:pPr>
        <w:pStyle w:val="SingleTxtG"/>
      </w:pPr>
    </w:p>
    <w:p w14:paraId="755DBABC" w14:textId="4F13DBEA" w:rsidR="002E2148" w:rsidRPr="00341436" w:rsidRDefault="002E2148" w:rsidP="00E80810">
      <w:pPr>
        <w:pStyle w:val="H23G"/>
      </w:pPr>
      <w:r>
        <w:tab/>
        <w:t>5.</w:t>
      </w:r>
      <w:r>
        <w:tab/>
      </w:r>
      <w:bookmarkStart w:id="13" w:name="IIIB5_Ensuring_manage_distribution"/>
      <w:r w:rsidR="001855B9" w:rsidRPr="001855B9">
        <w:t>Ensuring governments manage distribution</w:t>
      </w:r>
      <w:bookmarkEnd w:id="13"/>
    </w:p>
    <w:p w14:paraId="27D1C399" w14:textId="3C05CC4F" w:rsidR="002E2148" w:rsidRDefault="00D527A2" w:rsidP="00E80810">
      <w:pPr>
        <w:pStyle w:val="SingleTxtG"/>
      </w:pPr>
      <w:r>
        <w:t>4</w:t>
      </w:r>
      <w:r w:rsidR="004029B7">
        <w:t>1</w:t>
      </w:r>
      <w:r w:rsidR="002E2148" w:rsidRPr="00341436">
        <w:t>.</w:t>
      </w:r>
      <w:r w:rsidR="002E2148" w:rsidRPr="00341436">
        <w:tab/>
      </w:r>
      <w:r w:rsidR="002E2148">
        <w:t xml:space="preserve">Transparent, </w:t>
      </w:r>
      <w:r w:rsidR="002E2148" w:rsidRPr="00341436">
        <w:t>competitive and fair public procurement and generic substitution ha</w:t>
      </w:r>
      <w:r w:rsidR="002E2148">
        <w:t>ve</w:t>
      </w:r>
      <w:r w:rsidR="002E2148" w:rsidRPr="00341436">
        <w:t xml:space="preserve"> also prove</w:t>
      </w:r>
      <w:r w:rsidR="002E2148">
        <w:t>n</w:t>
      </w:r>
      <w:r w:rsidR="002E2148" w:rsidRPr="00341436">
        <w:t xml:space="preserve"> successful</w:t>
      </w:r>
      <w:r w:rsidR="002E2148">
        <w:t xml:space="preserve"> </w:t>
      </w:r>
      <w:r w:rsidR="000101E1">
        <w:t>in</w:t>
      </w:r>
      <w:r w:rsidR="00D80D08">
        <w:t xml:space="preserve"> making </w:t>
      </w:r>
      <w:r w:rsidR="002E2148" w:rsidRPr="00341436">
        <w:t>essential medicines</w:t>
      </w:r>
      <w:r w:rsidR="00D80D08">
        <w:t xml:space="preserve"> more affordable</w:t>
      </w:r>
      <w:r w:rsidR="002E2148">
        <w:t>.</w:t>
      </w:r>
      <w:r w:rsidR="002E2148" w:rsidRPr="000812B8">
        <w:rPr>
          <w:rStyle w:val="EndnoteReference"/>
        </w:rPr>
        <w:endnoteReference w:id="72"/>
      </w:r>
      <w:r w:rsidR="002E2148" w:rsidRPr="000812B8">
        <w:rPr>
          <w:rStyle w:val="EndnoteReference"/>
        </w:rPr>
        <w:t xml:space="preserve"> </w:t>
      </w:r>
      <w:r w:rsidR="00761DBE">
        <w:t>Here,</w:t>
      </w:r>
      <w:r w:rsidR="002E2148">
        <w:t xml:space="preserve"> t</w:t>
      </w:r>
      <w:r w:rsidR="002E2148" w:rsidRPr="00341436">
        <w:t xml:space="preserve">he Guiding Principles on Business and Human Rights </w:t>
      </w:r>
      <w:r w:rsidR="002E2148">
        <w:t>also extend to commercial transactions of States</w:t>
      </w:r>
      <w:r w:rsidR="00761DBE">
        <w:t xml:space="preserve">; </w:t>
      </w:r>
      <w:r w:rsidR="002E2148">
        <w:t>notably</w:t>
      </w:r>
      <w:r w:rsidR="00761DBE">
        <w:t>,</w:t>
      </w:r>
      <w:r w:rsidR="002E2148">
        <w:t xml:space="preserve"> procurement. The Guiding Principles </w:t>
      </w:r>
      <w:r w:rsidR="00785739">
        <w:t xml:space="preserve">oblige </w:t>
      </w:r>
      <w:r w:rsidR="002E2148" w:rsidRPr="00341436">
        <w:t xml:space="preserve">States </w:t>
      </w:r>
      <w:r w:rsidR="00785739">
        <w:t xml:space="preserve">to </w:t>
      </w:r>
      <w:r w:rsidR="002E2148" w:rsidRPr="00341436">
        <w:t xml:space="preserve">exercise adequate </w:t>
      </w:r>
      <w:r w:rsidR="00D80D08">
        <w:t>supervision</w:t>
      </w:r>
      <w:r w:rsidR="00D80D08" w:rsidRPr="00D80D08">
        <w:t xml:space="preserve"> </w:t>
      </w:r>
      <w:r w:rsidR="00D80D08">
        <w:t xml:space="preserve">of the need for </w:t>
      </w:r>
      <w:r w:rsidR="00D80D08" w:rsidRPr="00341436">
        <w:t xml:space="preserve">service providers </w:t>
      </w:r>
      <w:r w:rsidR="00D80D08">
        <w:t>to</w:t>
      </w:r>
      <w:r w:rsidR="00D80D08" w:rsidRPr="00341436">
        <w:t xml:space="preserve"> respect human </w:t>
      </w:r>
      <w:r w:rsidR="00D80D08">
        <w:t>rights</w:t>
      </w:r>
      <w:r w:rsidR="002E2148" w:rsidRPr="00341436">
        <w:t>, including by</w:t>
      </w:r>
      <w:r w:rsidR="000101E1">
        <w:t xml:space="preserve"> stating this in</w:t>
      </w:r>
      <w:r w:rsidR="002E2148" w:rsidRPr="000101E1">
        <w:t xml:space="preserve"> contracts or </w:t>
      </w:r>
      <w:r w:rsidR="00DF718B">
        <w:t>through</w:t>
      </w:r>
      <w:r w:rsidR="000101E1">
        <w:t xml:space="preserve"> </w:t>
      </w:r>
      <w:r w:rsidR="002E2148" w:rsidRPr="00341436">
        <w:t>legislation.</w:t>
      </w:r>
      <w:r w:rsidR="002E2148" w:rsidRPr="000812B8">
        <w:rPr>
          <w:rStyle w:val="EndnoteReference"/>
        </w:rPr>
        <w:endnoteReference w:id="73"/>
      </w:r>
      <w:r w:rsidR="002E2148" w:rsidRPr="000812B8">
        <w:rPr>
          <w:rStyle w:val="EndnoteReference"/>
        </w:rPr>
        <w:t xml:space="preserve"> </w:t>
      </w:r>
      <w:r w:rsidR="002E2148">
        <w:t>T</w:t>
      </w:r>
      <w:r w:rsidR="002E2148" w:rsidRPr="00341436">
        <w:t>he World Bank, for example</w:t>
      </w:r>
      <w:r w:rsidR="002E2148">
        <w:t xml:space="preserve">, </w:t>
      </w:r>
      <w:r w:rsidR="002E2148" w:rsidRPr="00341436">
        <w:t>is assisting countries globally with vaccine procurement and deployment</w:t>
      </w:r>
      <w:r w:rsidR="002E2148" w:rsidRPr="00F346EE">
        <w:t xml:space="preserve"> </w:t>
      </w:r>
      <w:r w:rsidR="002E2148">
        <w:t>t</w:t>
      </w:r>
      <w:r w:rsidR="002E2148" w:rsidRPr="00341436">
        <w:t>hrough vaccine financing operations.</w:t>
      </w:r>
      <w:r w:rsidR="002E2148" w:rsidRPr="000812B8">
        <w:rPr>
          <w:rStyle w:val="EndnoteReference"/>
        </w:rPr>
        <w:endnoteReference w:id="74"/>
      </w:r>
      <w:r w:rsidR="002E2148" w:rsidRPr="000812B8">
        <w:rPr>
          <w:rStyle w:val="EndnoteReference"/>
        </w:rPr>
        <w:t xml:space="preserve"> </w:t>
      </w:r>
    </w:p>
    <w:p w14:paraId="35497D74" w14:textId="1B6960E4" w:rsidR="002E2148" w:rsidRPr="009C7A1C" w:rsidRDefault="002E2148" w:rsidP="00E80810">
      <w:pPr>
        <w:pStyle w:val="SingleTxtG"/>
        <w:rPr>
          <w:rStyle w:val="EndnoteReference"/>
          <w:vertAlign w:val="baseline"/>
        </w:rPr>
      </w:pPr>
      <w:r>
        <w:t>4</w:t>
      </w:r>
      <w:r w:rsidR="004029B7">
        <w:t>2</w:t>
      </w:r>
      <w:r>
        <w:t>.</w:t>
      </w:r>
      <w:r>
        <w:tab/>
      </w:r>
      <w:r w:rsidRPr="00341436">
        <w:t xml:space="preserve">Another key element of guaranteeing access to medicines and vaccines is to respect donation standards. </w:t>
      </w:r>
      <w:r w:rsidR="00D80D08">
        <w:t xml:space="preserve">For example, a </w:t>
      </w:r>
      <w:r>
        <w:t xml:space="preserve">key constraint in achieving universal access to COVID-19 vaccines has been the allocation of doses, with developing countries </w:t>
      </w:r>
      <w:r w:rsidR="00785739">
        <w:t xml:space="preserve">receiving </w:t>
      </w:r>
      <w:r>
        <w:t>vaccine</w:t>
      </w:r>
      <w:r w:rsidR="00785739">
        <w:t>s last</w:t>
      </w:r>
      <w:r>
        <w:t>.</w:t>
      </w:r>
      <w:r w:rsidRPr="000812B8">
        <w:rPr>
          <w:rStyle w:val="EndnoteReference"/>
        </w:rPr>
        <w:endnoteReference w:id="75"/>
      </w:r>
      <w:r w:rsidRPr="000812B8">
        <w:rPr>
          <w:rStyle w:val="EndnoteReference"/>
        </w:rPr>
        <w:t xml:space="preserve"> </w:t>
      </w:r>
      <w:r>
        <w:t xml:space="preserve">The pandemic also highlighted the need to </w:t>
      </w:r>
      <w:r w:rsidR="00DF718B">
        <w:t xml:space="preserve">introduce a system to ensure that receiving countries receive vaccines </w:t>
      </w:r>
      <w:r>
        <w:t xml:space="preserve">with a shelf life </w:t>
      </w:r>
      <w:r w:rsidR="00DF718B">
        <w:t xml:space="preserve">that will allow </w:t>
      </w:r>
      <w:r>
        <w:t>countries to roll out their vaccination programmes.</w:t>
      </w:r>
      <w:r w:rsidRPr="000812B8">
        <w:rPr>
          <w:rStyle w:val="EndnoteReference"/>
        </w:rPr>
        <w:endnoteReference w:id="76"/>
      </w:r>
      <w:r w:rsidRPr="000812B8">
        <w:rPr>
          <w:rStyle w:val="EndnoteReference"/>
        </w:rPr>
        <w:t xml:space="preserve"> </w:t>
      </w:r>
      <w:r w:rsidRPr="00341436">
        <w:t xml:space="preserve">Implementing the WHO </w:t>
      </w:r>
      <w:r>
        <w:t>G</w:t>
      </w:r>
      <w:r w:rsidRPr="00341436">
        <w:t xml:space="preserve">uidelines </w:t>
      </w:r>
      <w:r>
        <w:t>for</w:t>
      </w:r>
      <w:r w:rsidRPr="00341436">
        <w:t xml:space="preserve"> </w:t>
      </w:r>
      <w:r>
        <w:t>M</w:t>
      </w:r>
      <w:r w:rsidRPr="00341436">
        <w:t xml:space="preserve">edicine </w:t>
      </w:r>
      <w:r>
        <w:t>D</w:t>
      </w:r>
      <w:r w:rsidRPr="00341436">
        <w:t xml:space="preserve">onations involves </w:t>
      </w:r>
      <w:r w:rsidR="00DF718B">
        <w:t>helping</w:t>
      </w:r>
      <w:r w:rsidR="00DF718B" w:rsidRPr="00341436">
        <w:t xml:space="preserve"> </w:t>
      </w:r>
      <w:r w:rsidRPr="00341436">
        <w:t xml:space="preserve">entry and ensuring </w:t>
      </w:r>
      <w:r w:rsidR="00785739">
        <w:t>fair</w:t>
      </w:r>
      <w:r w:rsidR="00785739" w:rsidRPr="00341436">
        <w:t xml:space="preserve"> </w:t>
      </w:r>
      <w:r w:rsidRPr="00341436">
        <w:t>distribution of medicines and vaccines.</w:t>
      </w:r>
      <w:r w:rsidRPr="000812B8">
        <w:rPr>
          <w:rStyle w:val="EndnoteReference"/>
        </w:rPr>
        <w:endnoteReference w:id="77"/>
      </w:r>
    </w:p>
    <w:p w14:paraId="5F5E9FCF" w14:textId="34B6C6FF" w:rsidR="002E2148" w:rsidRPr="009C7A1C" w:rsidRDefault="002E2148" w:rsidP="00E80810">
      <w:pPr>
        <w:pStyle w:val="SingleTxtG"/>
        <w:rPr>
          <w:rStyle w:val="EndnoteReference"/>
          <w:vertAlign w:val="baseline"/>
        </w:rPr>
      </w:pPr>
      <w:r>
        <w:t>4</w:t>
      </w:r>
      <w:r w:rsidR="004029B7">
        <w:t>3</w:t>
      </w:r>
      <w:r>
        <w:t>.</w:t>
      </w:r>
      <w:r>
        <w:tab/>
      </w:r>
      <w:r w:rsidR="00785739">
        <w:t>A</w:t>
      </w:r>
      <w:r w:rsidRPr="00341436">
        <w:t xml:space="preserve">s part of the obligation to address practices that </w:t>
      </w:r>
      <w:r w:rsidR="00492B70">
        <w:t>prevent fair</w:t>
      </w:r>
      <w:r w:rsidRPr="00341436">
        <w:t xml:space="preserve"> access to medicines and vaccines, </w:t>
      </w:r>
      <w:r>
        <w:t xml:space="preserve">States must subject </w:t>
      </w:r>
      <w:r w:rsidRPr="00341436">
        <w:t>the pharmaceutical value chain,</w:t>
      </w:r>
      <w:r>
        <w:t xml:space="preserve"> both upstream and downstream,</w:t>
      </w:r>
      <w:r w:rsidRPr="00341436">
        <w:t xml:space="preserve"> to policy regulation that </w:t>
      </w:r>
      <w:r w:rsidR="00492B70">
        <w:t>protects</w:t>
      </w:r>
      <w:r w:rsidR="00492B70" w:rsidRPr="00341436">
        <w:t xml:space="preserve"> </w:t>
      </w:r>
      <w:r w:rsidRPr="00341436">
        <w:t>rights</w:t>
      </w:r>
      <w:r>
        <w:t>,</w:t>
      </w:r>
      <w:r w:rsidRPr="00341436">
        <w:t xml:space="preserve"> especially </w:t>
      </w:r>
      <w:r>
        <w:t xml:space="preserve">the rights </w:t>
      </w:r>
      <w:r w:rsidRPr="00341436">
        <w:t xml:space="preserve">of </w:t>
      </w:r>
      <w:r>
        <w:t xml:space="preserve">persons </w:t>
      </w:r>
      <w:r w:rsidRPr="00341436">
        <w:t xml:space="preserve">in developing </w:t>
      </w:r>
      <w:r w:rsidR="002A350B">
        <w:t>areas</w:t>
      </w:r>
      <w:r w:rsidR="002A350B" w:rsidRPr="00341436">
        <w:t xml:space="preserve"> </w:t>
      </w:r>
      <w:r w:rsidRPr="00341436">
        <w:t xml:space="preserve">where the costs to the end-user </w:t>
      </w:r>
      <w:r>
        <w:t>are</w:t>
      </w:r>
      <w:r w:rsidRPr="00341436">
        <w:t xml:space="preserve"> </w:t>
      </w:r>
      <w:r w:rsidR="00BF3F8F">
        <w:t>restrictive</w:t>
      </w:r>
      <w:r w:rsidRPr="00341436">
        <w:t>.</w:t>
      </w:r>
      <w:r>
        <w:t xml:space="preserve"> The value chain includes pricing, </w:t>
      </w:r>
      <w:r w:rsidRPr="00341436">
        <w:t>research and development, manufacturing, registration, distribution, procurement and marketing</w:t>
      </w:r>
      <w:r>
        <w:t>.</w:t>
      </w:r>
      <w:r w:rsidRPr="000812B8">
        <w:rPr>
          <w:rStyle w:val="EndnoteReference"/>
        </w:rPr>
        <w:endnoteReference w:id="78"/>
      </w:r>
    </w:p>
    <w:p w14:paraId="4C25ABC7" w14:textId="31E4CA29" w:rsidR="002E2148" w:rsidRPr="009069F9" w:rsidRDefault="002E2148" w:rsidP="00E80810">
      <w:pPr>
        <w:pStyle w:val="SingleTxtG"/>
        <w:rPr>
          <w:rStyle w:val="EndnoteReference"/>
          <w:vertAlign w:val="baseline"/>
        </w:rPr>
      </w:pPr>
      <w:r>
        <w:t>4</w:t>
      </w:r>
      <w:r w:rsidR="004029B7">
        <w:t>4</w:t>
      </w:r>
      <w:r w:rsidRPr="00341436">
        <w:t>.</w:t>
      </w:r>
      <w:r w:rsidRPr="00341436">
        <w:tab/>
        <w:t>Some States use competition laws to ensure access to medicines</w:t>
      </w:r>
      <w:r>
        <w:t>,</w:t>
      </w:r>
      <w:r w:rsidRPr="00341436">
        <w:t xml:space="preserve"> by promoting a competitive marketplace that can prevent monopolies and anticompetitive practices that may restrict or limit the availability of essential medicines. </w:t>
      </w:r>
      <w:r w:rsidR="00EA5695">
        <w:rPr>
          <w:rFonts w:eastAsia="Calibri"/>
        </w:rPr>
        <w:t xml:space="preserve">These </w:t>
      </w:r>
      <w:r>
        <w:rPr>
          <w:rFonts w:eastAsia="Calibri"/>
        </w:rPr>
        <w:t>approaches</w:t>
      </w:r>
      <w:r w:rsidRPr="00341436">
        <w:rPr>
          <w:rFonts w:eastAsia="Calibri"/>
        </w:rPr>
        <w:t xml:space="preserve"> include measures against practices</w:t>
      </w:r>
      <w:r>
        <w:rPr>
          <w:rFonts w:eastAsia="Calibri"/>
        </w:rPr>
        <w:t>, e.g.</w:t>
      </w:r>
      <w:r w:rsidRPr="00341436">
        <w:rPr>
          <w:rFonts w:eastAsia="Calibri"/>
        </w:rPr>
        <w:t xml:space="preserve"> </w:t>
      </w:r>
      <w:r>
        <w:rPr>
          <w:rFonts w:eastAsia="Calibri"/>
        </w:rPr>
        <w:t xml:space="preserve">the </w:t>
      </w:r>
      <w:r w:rsidRPr="00341436">
        <w:rPr>
          <w:rFonts w:eastAsia="Calibri"/>
        </w:rPr>
        <w:t>charging</w:t>
      </w:r>
      <w:r>
        <w:rPr>
          <w:rFonts w:eastAsia="Calibri"/>
        </w:rPr>
        <w:t xml:space="preserve"> of</w:t>
      </w:r>
      <w:r w:rsidRPr="00341436">
        <w:rPr>
          <w:rFonts w:eastAsia="Calibri"/>
        </w:rPr>
        <w:t xml:space="preserve"> excessive prices, restricti</w:t>
      </w:r>
      <w:r>
        <w:rPr>
          <w:rFonts w:eastAsia="Calibri"/>
        </w:rPr>
        <w:t>o</w:t>
      </w:r>
      <w:r w:rsidRPr="00341436">
        <w:rPr>
          <w:rFonts w:eastAsia="Calibri"/>
        </w:rPr>
        <w:t>n</w:t>
      </w:r>
      <w:r>
        <w:rPr>
          <w:rFonts w:eastAsia="Calibri"/>
        </w:rPr>
        <w:t>s</w:t>
      </w:r>
      <w:r w:rsidRPr="00341436">
        <w:rPr>
          <w:rFonts w:eastAsia="Calibri"/>
        </w:rPr>
        <w:t xml:space="preserve"> </w:t>
      </w:r>
      <w:r>
        <w:rPr>
          <w:rFonts w:eastAsia="Calibri"/>
        </w:rPr>
        <w:t>preventing</w:t>
      </w:r>
      <w:r w:rsidRPr="00341436">
        <w:rPr>
          <w:rFonts w:eastAsia="Calibri"/>
        </w:rPr>
        <w:t xml:space="preserve"> other </w:t>
      </w:r>
      <w:r w:rsidRPr="00341436">
        <w:rPr>
          <w:rFonts w:eastAsia="Calibri"/>
        </w:rPr>
        <w:lastRenderedPageBreak/>
        <w:t>companies from accessing the market, collusive tender practices and restrictive agreements.</w:t>
      </w:r>
      <w:r w:rsidRPr="000812B8">
        <w:rPr>
          <w:rStyle w:val="EndnoteReference"/>
        </w:rPr>
        <w:endnoteReference w:id="79"/>
      </w:r>
      <w:r w:rsidRPr="000812B8">
        <w:rPr>
          <w:rStyle w:val="EndnoteReference"/>
        </w:rPr>
        <w:t xml:space="preserve"> </w:t>
      </w:r>
      <w:r w:rsidRPr="00341436">
        <w:t xml:space="preserve">For example, competition laws can be used to prevent pharmaceutical companies from abusing their patent rights or engaging in </w:t>
      </w:r>
      <w:r>
        <w:t xml:space="preserve">so-called </w:t>
      </w:r>
      <w:r w:rsidRPr="00341436">
        <w:t>pay-for-delay tactics that delay the entry of generic drugs into the market</w:t>
      </w:r>
      <w:r w:rsidR="00785739">
        <w:t>. This then</w:t>
      </w:r>
      <w:r w:rsidR="00492B70">
        <w:t xml:space="preserve"> </w:t>
      </w:r>
      <w:r w:rsidRPr="00341436">
        <w:t>limit</w:t>
      </w:r>
      <w:r w:rsidR="00492B70">
        <w:t>s</w:t>
      </w:r>
      <w:r w:rsidRPr="00341436">
        <w:t xml:space="preserve"> competition and driv</w:t>
      </w:r>
      <w:r w:rsidR="00492B70">
        <w:t>es</w:t>
      </w:r>
      <w:r w:rsidRPr="00341436">
        <w:t xml:space="preserve"> up prices.</w:t>
      </w:r>
      <w:r w:rsidRPr="000812B8">
        <w:rPr>
          <w:rStyle w:val="EndnoteReference"/>
        </w:rPr>
        <w:endnoteReference w:id="80"/>
      </w:r>
    </w:p>
    <w:p w14:paraId="5C3BDA7E" w14:textId="067E8763" w:rsidR="002E2148" w:rsidRPr="00EB66B6" w:rsidRDefault="002E2148" w:rsidP="00E80810">
      <w:pPr>
        <w:pStyle w:val="SingleTxtG"/>
        <w:rPr>
          <w:rStyle w:val="EndnoteReference"/>
          <w:vertAlign w:val="baseline"/>
        </w:rPr>
      </w:pPr>
      <w:r>
        <w:t>4</w:t>
      </w:r>
      <w:r w:rsidR="004029B7">
        <w:t>5</w:t>
      </w:r>
      <w:r w:rsidRPr="00341436">
        <w:t>.</w:t>
      </w:r>
      <w:r w:rsidRPr="00341436">
        <w:tab/>
        <w:t>Well</w:t>
      </w:r>
      <w:r>
        <w:t>-</w:t>
      </w:r>
      <w:r w:rsidRPr="00341436">
        <w:t xml:space="preserve">formulated and enforced </w:t>
      </w:r>
      <w:r w:rsidRPr="00DD2C45">
        <w:t>c</w:t>
      </w:r>
      <w:r w:rsidRPr="00341436">
        <w:t>ompetition laws can counter anticompetitive practices at every stage of the pharmaceutical supply chain.</w:t>
      </w:r>
      <w:r w:rsidRPr="000812B8">
        <w:rPr>
          <w:rStyle w:val="EndnoteReference"/>
        </w:rPr>
        <w:endnoteReference w:id="81"/>
      </w:r>
      <w:r w:rsidRPr="000812B8">
        <w:rPr>
          <w:rStyle w:val="EndnoteReference"/>
        </w:rPr>
        <w:t xml:space="preserve"> </w:t>
      </w:r>
      <w:r w:rsidR="00492B70">
        <w:t>Competition laws</w:t>
      </w:r>
      <w:r w:rsidRPr="00341436">
        <w:t xml:space="preserve"> can be used to promote innovation and the development of new medicines by ensuring that pharmaceutical companies can compete and invest in research and development without undue restrictions. </w:t>
      </w:r>
      <w:r>
        <w:t xml:space="preserve">This </w:t>
      </w:r>
      <w:r w:rsidRPr="00341436">
        <w:t xml:space="preserve">can </w:t>
      </w:r>
      <w:r>
        <w:t>enhance</w:t>
      </w:r>
      <w:r w:rsidRPr="00341436">
        <w:t xml:space="preserve"> access to essential medicines </w:t>
      </w:r>
      <w:r>
        <w:t>through a</w:t>
      </w:r>
      <w:r w:rsidRPr="00341436">
        <w:t xml:space="preserve"> competitive market </w:t>
      </w:r>
      <w:r>
        <w:t>with</w:t>
      </w:r>
      <w:r w:rsidRPr="00341436">
        <w:t xml:space="preserve"> fair prices, freedom to choose among various productions, innovation and the availability of high-quality medications.</w:t>
      </w:r>
      <w:r w:rsidRPr="000812B8">
        <w:rPr>
          <w:rStyle w:val="EndnoteReference"/>
        </w:rPr>
        <w:endnoteReference w:id="82"/>
      </w:r>
    </w:p>
    <w:p w14:paraId="7F39EE82" w14:textId="1B4F5432" w:rsidR="002E2148" w:rsidRPr="0029096D" w:rsidRDefault="002E2148" w:rsidP="00E80810">
      <w:pPr>
        <w:pStyle w:val="SingleTxtG"/>
        <w:rPr>
          <w:rStyle w:val="EndnoteReference"/>
          <w:vertAlign w:val="baseline"/>
        </w:rPr>
      </w:pPr>
      <w:r w:rsidRPr="00341436">
        <w:t>4</w:t>
      </w:r>
      <w:r w:rsidR="004029B7">
        <w:t>6</w:t>
      </w:r>
      <w:r w:rsidRPr="00341436">
        <w:t>.</w:t>
      </w:r>
      <w:r w:rsidRPr="00341436">
        <w:tab/>
        <w:t xml:space="preserve">One approach to tackle the problem of complicated and time-consuming medical registration processes is to streamline procedures without compromising </w:t>
      </w:r>
      <w:r>
        <w:t xml:space="preserve">on </w:t>
      </w:r>
      <w:r w:rsidRPr="00341436">
        <w:t>stringent safety and quality standards. States have adopted measures</w:t>
      </w:r>
      <w:r>
        <w:t>, e.g.</w:t>
      </w:r>
      <w:r w:rsidRPr="00341436">
        <w:t xml:space="preserve"> reducing redundant paperwork and bureaucratic processes, </w:t>
      </w:r>
      <w:r>
        <w:t>and</w:t>
      </w:r>
      <w:r w:rsidRPr="00341436">
        <w:t xml:space="preserve"> streamlining the review and approval process for medicines. Additionally, increasing transparency and stakeholder engagement could help to ensure that the registration process is effective, efficient and responsive to </w:t>
      </w:r>
      <w:r w:rsidR="00492B70" w:rsidRPr="00341436">
        <w:t>patients</w:t>
      </w:r>
      <w:r w:rsidR="00492B70">
        <w:t>’</w:t>
      </w:r>
      <w:r w:rsidR="00492B70" w:rsidRPr="00341436">
        <w:t xml:space="preserve"> and health</w:t>
      </w:r>
      <w:r w:rsidR="00492B70">
        <w:t>-</w:t>
      </w:r>
      <w:r w:rsidR="00492B70" w:rsidRPr="00341436">
        <w:t>care providers</w:t>
      </w:r>
      <w:r w:rsidR="00492B70">
        <w:t>’</w:t>
      </w:r>
      <w:r w:rsidR="00492B70" w:rsidRPr="00341436">
        <w:t xml:space="preserve"> </w:t>
      </w:r>
      <w:r w:rsidRPr="00341436">
        <w:t>needs.</w:t>
      </w:r>
      <w:r w:rsidRPr="000812B8">
        <w:rPr>
          <w:rStyle w:val="EndnoteReference"/>
        </w:rPr>
        <w:endnoteReference w:id="83"/>
      </w:r>
      <w:r w:rsidRPr="000812B8">
        <w:rPr>
          <w:rStyle w:val="EndnoteReference"/>
        </w:rPr>
        <w:t xml:space="preserve"> </w:t>
      </w:r>
      <w:r w:rsidRPr="00341436">
        <w:t>National regulatory agencies can also play a role in determining fair pricing by evaluating the safety, efficacy and quality of medicines and vaccines and by setting standards for pricing and reimbursement.</w:t>
      </w:r>
      <w:r w:rsidRPr="000812B8">
        <w:rPr>
          <w:rStyle w:val="EndnoteReference"/>
        </w:rPr>
        <w:endnoteReference w:id="84"/>
      </w:r>
    </w:p>
    <w:p w14:paraId="6C7FF027" w14:textId="3EEDD8E3" w:rsidR="002E2148" w:rsidRPr="000812B8" w:rsidRDefault="002E2148" w:rsidP="00E80810">
      <w:pPr>
        <w:pStyle w:val="SingleTxtG"/>
        <w:rPr>
          <w:rStyle w:val="EndnoteReference"/>
        </w:rPr>
      </w:pPr>
      <w:r w:rsidRPr="00341436">
        <w:t>4</w:t>
      </w:r>
      <w:r w:rsidR="004029B7">
        <w:t>7</w:t>
      </w:r>
      <w:r w:rsidRPr="00341436">
        <w:t>.</w:t>
      </w:r>
      <w:r w:rsidRPr="00341436">
        <w:tab/>
      </w:r>
      <w:r>
        <w:t>G</w:t>
      </w:r>
      <w:r w:rsidRPr="00341436">
        <w:t xml:space="preserve">overnments can also facilitate the production of generic medicines. This can </w:t>
      </w:r>
      <w:r>
        <w:t xml:space="preserve">be through </w:t>
      </w:r>
      <w:r w:rsidRPr="00341436">
        <w:t>measures</w:t>
      </w:r>
      <w:r>
        <w:t>, e.g.</w:t>
      </w:r>
      <w:r w:rsidRPr="00341436">
        <w:t xml:space="preserve"> expedited review processes, flexible regulatory pathways and reliance on data from other regulatory authorities. By reducing barriers to entry for generic manufacturers, governments can promote competition in the market and lower prices for consumers.</w:t>
      </w:r>
      <w:r w:rsidRPr="000812B8">
        <w:rPr>
          <w:rStyle w:val="EndnoteReference"/>
        </w:rPr>
        <w:endnoteReference w:id="85"/>
      </w:r>
      <w:r w:rsidRPr="000812B8">
        <w:rPr>
          <w:rStyle w:val="EndnoteReference"/>
        </w:rPr>
        <w:t xml:space="preserve"> </w:t>
      </w:r>
      <w:r w:rsidR="00B93291">
        <w:t>C</w:t>
      </w:r>
      <w:r w:rsidR="00B93291" w:rsidRPr="00341436">
        <w:t xml:space="preserve">ontinuously </w:t>
      </w:r>
      <w:r w:rsidRPr="00341436">
        <w:t>engag</w:t>
      </w:r>
      <w:r w:rsidR="00B93291">
        <w:t>ing</w:t>
      </w:r>
      <w:r w:rsidRPr="00341436">
        <w:t xml:space="preserve"> with stakeholders </w:t>
      </w:r>
      <w:r w:rsidR="00B93291">
        <w:t xml:space="preserve">is important </w:t>
      </w:r>
      <w:r w:rsidRPr="00341436">
        <w:t xml:space="preserve">to receive feedback on </w:t>
      </w:r>
      <w:r w:rsidR="00492B70">
        <w:t xml:space="preserve">how effective </w:t>
      </w:r>
      <w:r w:rsidRPr="00341436">
        <w:t>regulatory activities</w:t>
      </w:r>
      <w:r w:rsidR="00785739">
        <w:t xml:space="preserve"> are</w:t>
      </w:r>
      <w:r w:rsidRPr="00341436">
        <w:t>.</w:t>
      </w:r>
      <w:r w:rsidRPr="000812B8">
        <w:rPr>
          <w:rStyle w:val="EndnoteReference"/>
        </w:rPr>
        <w:endnoteReference w:id="86"/>
      </w:r>
    </w:p>
    <w:p w14:paraId="6038E5C6" w14:textId="3BED767B" w:rsidR="00B93291" w:rsidRDefault="00F9797A" w:rsidP="00E80810">
      <w:pPr>
        <w:pStyle w:val="SingleTxtG"/>
      </w:pPr>
      <w:r>
        <w:t>4</w:t>
      </w:r>
      <w:r w:rsidR="004029B7">
        <w:t>8</w:t>
      </w:r>
      <w:r w:rsidR="002E2148" w:rsidRPr="00341436">
        <w:t>.</w:t>
      </w:r>
      <w:r w:rsidR="002E2148" w:rsidRPr="00341436">
        <w:tab/>
        <w:t>An efficient procurement system relies on</w:t>
      </w:r>
      <w:r w:rsidR="00B93291">
        <w:t>:</w:t>
      </w:r>
      <w:r w:rsidR="002E2148" w:rsidRPr="00341436">
        <w:t xml:space="preserve"> </w:t>
      </w:r>
    </w:p>
    <w:p w14:paraId="3BA8B235" w14:textId="77777777" w:rsidR="00B93291" w:rsidRPr="00B93291" w:rsidRDefault="002E2148" w:rsidP="00593D73">
      <w:pPr>
        <w:pStyle w:val="SingleTxtG"/>
        <w:numPr>
          <w:ilvl w:val="0"/>
          <w:numId w:val="40"/>
        </w:numPr>
        <w:ind w:left="2268" w:hanging="425"/>
      </w:pPr>
      <w:r w:rsidRPr="00B93291">
        <w:t xml:space="preserve">transparent management, </w:t>
      </w:r>
    </w:p>
    <w:p w14:paraId="38470544" w14:textId="77777777" w:rsidR="00B93291" w:rsidRPr="00B93291" w:rsidRDefault="002E2148" w:rsidP="00593D73">
      <w:pPr>
        <w:pStyle w:val="SingleTxtG"/>
        <w:numPr>
          <w:ilvl w:val="0"/>
          <w:numId w:val="40"/>
        </w:numPr>
        <w:ind w:left="2268" w:hanging="425"/>
      </w:pPr>
      <w:r w:rsidRPr="00B93291">
        <w:t xml:space="preserve">a limited selection of medicines based on a restricted list, </w:t>
      </w:r>
    </w:p>
    <w:p w14:paraId="2E3103FA" w14:textId="77777777" w:rsidR="00B93291" w:rsidRPr="00B93291" w:rsidRDefault="002E2148" w:rsidP="00593D73">
      <w:pPr>
        <w:pStyle w:val="SingleTxtG"/>
        <w:numPr>
          <w:ilvl w:val="0"/>
          <w:numId w:val="40"/>
        </w:numPr>
        <w:ind w:left="2268" w:hanging="425"/>
      </w:pPr>
      <w:r w:rsidRPr="00B93291">
        <w:t xml:space="preserve">accurate forecasting of demand, </w:t>
      </w:r>
    </w:p>
    <w:p w14:paraId="60028CBE" w14:textId="77777777" w:rsidR="00B93291" w:rsidRPr="00B93291" w:rsidRDefault="002E2148" w:rsidP="00593D73">
      <w:pPr>
        <w:pStyle w:val="SingleTxtG"/>
        <w:numPr>
          <w:ilvl w:val="0"/>
          <w:numId w:val="40"/>
        </w:numPr>
        <w:ind w:left="2268" w:hanging="425"/>
      </w:pPr>
      <w:r w:rsidRPr="00B93291">
        <w:t xml:space="preserve">competitive tendering, </w:t>
      </w:r>
    </w:p>
    <w:p w14:paraId="13807039" w14:textId="77777777" w:rsidR="00B93291" w:rsidRPr="00593D73" w:rsidRDefault="002E2148" w:rsidP="00593D73">
      <w:pPr>
        <w:pStyle w:val="SingleTxtG"/>
        <w:numPr>
          <w:ilvl w:val="0"/>
          <w:numId w:val="40"/>
        </w:numPr>
        <w:ind w:left="2268" w:hanging="425"/>
      </w:pPr>
      <w:r w:rsidRPr="00B93291">
        <w:t>multi-product agreements,</w:t>
      </w:r>
      <w:r w:rsidRPr="00D9020A">
        <w:rPr>
          <w:vertAlign w:val="superscript"/>
        </w:rPr>
        <w:endnoteReference w:id="87"/>
      </w:r>
      <w:r w:rsidRPr="00593D73">
        <w:t xml:space="preserve"> </w:t>
      </w:r>
    </w:p>
    <w:p w14:paraId="34F8288E" w14:textId="77777777" w:rsidR="00B93291" w:rsidRPr="00B93291" w:rsidRDefault="002E2148" w:rsidP="00593D73">
      <w:pPr>
        <w:pStyle w:val="SingleTxtG"/>
        <w:numPr>
          <w:ilvl w:val="0"/>
          <w:numId w:val="40"/>
        </w:numPr>
        <w:ind w:left="2268" w:hanging="425"/>
      </w:pPr>
      <w:r w:rsidRPr="00B93291">
        <w:t xml:space="preserve">bulk purchasing, </w:t>
      </w:r>
    </w:p>
    <w:p w14:paraId="02C85008" w14:textId="1FE71F1B" w:rsidR="00B93291" w:rsidRPr="00B93291" w:rsidRDefault="002E2148" w:rsidP="00593D73">
      <w:pPr>
        <w:pStyle w:val="SingleTxtG"/>
        <w:numPr>
          <w:ilvl w:val="0"/>
          <w:numId w:val="40"/>
        </w:numPr>
        <w:ind w:left="2268" w:hanging="425"/>
      </w:pPr>
      <w:r w:rsidRPr="00B93291">
        <w:t>pre-qualification of suppliers</w:t>
      </w:r>
      <w:r w:rsidR="00B93291" w:rsidRPr="00B93291">
        <w:t>,</w:t>
      </w:r>
      <w:r w:rsidRPr="00B93291">
        <w:t xml:space="preserve"> </w:t>
      </w:r>
    </w:p>
    <w:p w14:paraId="0B6FC59B" w14:textId="00A12129" w:rsidR="00B93291" w:rsidRPr="00B93291" w:rsidRDefault="002E2148" w:rsidP="00593D73">
      <w:pPr>
        <w:pStyle w:val="SingleTxtG"/>
        <w:numPr>
          <w:ilvl w:val="0"/>
          <w:numId w:val="40"/>
        </w:numPr>
        <w:ind w:left="2268" w:hanging="425"/>
      </w:pPr>
      <w:r w:rsidRPr="00B93291">
        <w:t xml:space="preserve">close monitoring of selected suppliers, </w:t>
      </w:r>
      <w:r w:rsidR="00B93291" w:rsidRPr="00B93291">
        <w:t xml:space="preserve">and </w:t>
      </w:r>
    </w:p>
    <w:p w14:paraId="6AD93636" w14:textId="77777777" w:rsidR="00B93291" w:rsidRPr="00593D73" w:rsidRDefault="002E2148" w:rsidP="00593D73">
      <w:pPr>
        <w:pStyle w:val="SingleTxtG"/>
        <w:numPr>
          <w:ilvl w:val="0"/>
          <w:numId w:val="40"/>
        </w:numPr>
        <w:ind w:left="2268" w:hanging="425"/>
      </w:pPr>
      <w:r w:rsidRPr="00B93291">
        <w:t>reliable financing.</w:t>
      </w:r>
      <w:r w:rsidRPr="00D9020A">
        <w:rPr>
          <w:vertAlign w:val="superscript"/>
        </w:rPr>
        <w:endnoteReference w:id="88"/>
      </w:r>
      <w:r w:rsidRPr="00D9020A">
        <w:rPr>
          <w:vertAlign w:val="superscript"/>
        </w:rPr>
        <w:t xml:space="preserve"> </w:t>
      </w:r>
    </w:p>
    <w:p w14:paraId="032CFCFC" w14:textId="4DB8A825" w:rsidR="002E2148" w:rsidRPr="00341436" w:rsidRDefault="002E2148" w:rsidP="00E80810">
      <w:pPr>
        <w:pStyle w:val="SingleTxtG"/>
      </w:pPr>
      <w:r w:rsidRPr="00341436">
        <w:t>Bulk purchasing allows governments to negotiate lower prices for essential medicines and vaccines.</w:t>
      </w:r>
      <w:r w:rsidRPr="000812B8">
        <w:rPr>
          <w:rStyle w:val="EndnoteReference"/>
        </w:rPr>
        <w:endnoteReference w:id="89"/>
      </w:r>
      <w:r w:rsidRPr="000812B8">
        <w:rPr>
          <w:rStyle w:val="EndnoteReference"/>
        </w:rPr>
        <w:t xml:space="preserve"> </w:t>
      </w:r>
      <w:r w:rsidRPr="00341436">
        <w:t xml:space="preserve">Quality assurance and good procurement practice </w:t>
      </w:r>
      <w:r w:rsidR="00A733C9">
        <w:t xml:space="preserve">means </w:t>
      </w:r>
      <w:r w:rsidRPr="00341436">
        <w:t xml:space="preserve">that suppliers are certified for </w:t>
      </w:r>
      <w:r>
        <w:t>g</w:t>
      </w:r>
      <w:r w:rsidRPr="00341436">
        <w:t xml:space="preserve">ood </w:t>
      </w:r>
      <w:r>
        <w:t>m</w:t>
      </w:r>
      <w:r w:rsidRPr="00341436">
        <w:t xml:space="preserve">anufacturing </w:t>
      </w:r>
      <w:r>
        <w:t>p</w:t>
      </w:r>
      <w:r w:rsidRPr="00341436">
        <w:t xml:space="preserve">ractices. In decentralized systems, some States have centralized price negotiations </w:t>
      </w:r>
      <w:r>
        <w:t>and</w:t>
      </w:r>
      <w:r w:rsidRPr="00341436">
        <w:t xml:space="preserve"> requir</w:t>
      </w:r>
      <w:r>
        <w:t>e</w:t>
      </w:r>
      <w:r w:rsidRPr="00341436">
        <w:t xml:space="preserve"> lower levels of government to </w:t>
      </w:r>
      <w:r>
        <w:t xml:space="preserve">place </w:t>
      </w:r>
      <w:r w:rsidRPr="00341436">
        <w:t>order</w:t>
      </w:r>
      <w:r>
        <w:t>s</w:t>
      </w:r>
      <w:r w:rsidRPr="00341436">
        <w:t xml:space="preserve"> through the successful bidder at the centrally negotiated price</w:t>
      </w:r>
      <w:r w:rsidRPr="008A1530">
        <w:t xml:space="preserve"> </w:t>
      </w:r>
      <w:r w:rsidRPr="00341436">
        <w:t>to maintain purchase volumes.</w:t>
      </w:r>
      <w:r w:rsidRPr="000812B8">
        <w:rPr>
          <w:rStyle w:val="EndnoteReference"/>
        </w:rPr>
        <w:endnoteReference w:id="90"/>
      </w:r>
      <w:r w:rsidRPr="000812B8">
        <w:rPr>
          <w:rStyle w:val="EndnoteReference"/>
        </w:rPr>
        <w:t xml:space="preserve"> </w:t>
      </w:r>
    </w:p>
    <w:p w14:paraId="6FF209EA" w14:textId="7755C008" w:rsidR="002E2148" w:rsidRPr="00341436" w:rsidRDefault="004029B7" w:rsidP="00E80810">
      <w:pPr>
        <w:pStyle w:val="SingleTxtG"/>
      </w:pPr>
      <w:r>
        <w:t>49</w:t>
      </w:r>
      <w:r w:rsidR="002E2148" w:rsidRPr="00341436">
        <w:t>.</w:t>
      </w:r>
      <w:r w:rsidR="002E2148" w:rsidRPr="00341436">
        <w:tab/>
        <w:t xml:space="preserve">Data on purchase prices and quality test certificates </w:t>
      </w:r>
      <w:r w:rsidR="002E2148">
        <w:t>are</w:t>
      </w:r>
      <w:r w:rsidR="002E2148" w:rsidRPr="00341436">
        <w:t xml:space="preserve"> critical for other governments in benchmarking their purchase prices and making good procurement decisions. Examples of public repositories to promote transparency of medicine prices and quality include the Market Information for Access to Vaccines</w:t>
      </w:r>
      <w:r w:rsidR="002E2148" w:rsidRPr="000812B8">
        <w:rPr>
          <w:rStyle w:val="EndnoteReference"/>
        </w:rPr>
        <w:endnoteReference w:id="91"/>
      </w:r>
      <w:r w:rsidR="002E2148" w:rsidRPr="000812B8">
        <w:rPr>
          <w:rStyle w:val="EndnoteReference"/>
        </w:rPr>
        <w:t xml:space="preserve"> </w:t>
      </w:r>
      <w:r w:rsidR="002E2148" w:rsidRPr="00341436">
        <w:t>and</w:t>
      </w:r>
      <w:r w:rsidR="002E2148">
        <w:t xml:space="preserve"> </w:t>
      </w:r>
      <w:r w:rsidR="002E2148" w:rsidRPr="00341436">
        <w:t xml:space="preserve">Global Fund Price </w:t>
      </w:r>
      <w:r w:rsidR="002E2148">
        <w:t xml:space="preserve">and Quality </w:t>
      </w:r>
      <w:r w:rsidR="002E2148" w:rsidRPr="00341436">
        <w:t>Reporting</w:t>
      </w:r>
      <w:r w:rsidR="002E2148" w:rsidRPr="000812B8">
        <w:rPr>
          <w:rStyle w:val="EndnoteReference"/>
        </w:rPr>
        <w:endnoteReference w:id="92"/>
      </w:r>
      <w:r w:rsidR="002E2148" w:rsidRPr="000812B8">
        <w:rPr>
          <w:rStyle w:val="EndnoteReference"/>
        </w:rPr>
        <w:t xml:space="preserve"> </w:t>
      </w:r>
      <w:r w:rsidR="002E2148">
        <w:t>initiatives</w:t>
      </w:r>
      <w:r w:rsidR="002E2148" w:rsidRPr="00341436">
        <w:t>.</w:t>
      </w:r>
    </w:p>
    <w:p w14:paraId="337342F5" w14:textId="7FC324D2" w:rsidR="002E2148" w:rsidRPr="00554BAA" w:rsidRDefault="00D527A2" w:rsidP="00E80810">
      <w:pPr>
        <w:pStyle w:val="SingleTxtG"/>
        <w:rPr>
          <w:rStyle w:val="EndnoteReference"/>
          <w:vertAlign w:val="baseline"/>
        </w:rPr>
      </w:pPr>
      <w:r>
        <w:rPr>
          <w:lang w:val="en-US"/>
        </w:rPr>
        <w:t>5</w:t>
      </w:r>
      <w:r w:rsidR="004029B7">
        <w:rPr>
          <w:lang w:val="en-US"/>
        </w:rPr>
        <w:t>0</w:t>
      </w:r>
      <w:r w:rsidR="002E2148" w:rsidRPr="00341436">
        <w:rPr>
          <w:lang w:val="en-US"/>
        </w:rPr>
        <w:t>.</w:t>
      </w:r>
      <w:r w:rsidR="002E2148" w:rsidRPr="00341436">
        <w:rPr>
          <w:lang w:val="en-US"/>
        </w:rPr>
        <w:tab/>
        <w:t>The development of appropriate medical devices that respond to the local context and their accessibility has a direct impact on health</w:t>
      </w:r>
      <w:r w:rsidR="002E2148">
        <w:rPr>
          <w:lang w:val="en-US"/>
        </w:rPr>
        <w:t>-</w:t>
      </w:r>
      <w:r w:rsidR="002E2148" w:rsidRPr="00341436">
        <w:rPr>
          <w:lang w:val="en-US"/>
        </w:rPr>
        <w:t xml:space="preserve">care delivery in low- and middle-income countries. WHO has created a compendium </w:t>
      </w:r>
      <w:r w:rsidR="002E2148">
        <w:rPr>
          <w:lang w:val="en-US"/>
        </w:rPr>
        <w:t>of</w:t>
      </w:r>
      <w:r w:rsidR="002E2148" w:rsidRPr="00341436">
        <w:rPr>
          <w:lang w:val="en-US"/>
        </w:rPr>
        <w:t xml:space="preserve"> emerging innovative health technologies for low-resource settings</w:t>
      </w:r>
      <w:r w:rsidR="002E2148">
        <w:rPr>
          <w:lang w:val="en-US"/>
        </w:rPr>
        <w:t xml:space="preserve"> </w:t>
      </w:r>
      <w:r w:rsidR="002E2148" w:rsidRPr="00341436">
        <w:rPr>
          <w:lang w:val="en-US"/>
        </w:rPr>
        <w:t xml:space="preserve">to support </w:t>
      </w:r>
      <w:r w:rsidR="002E2148">
        <w:rPr>
          <w:lang w:val="en-US"/>
        </w:rPr>
        <w:t>non-governmental organizations</w:t>
      </w:r>
      <w:r w:rsidR="002E2148" w:rsidRPr="00341436">
        <w:rPr>
          <w:lang w:val="en-US"/>
        </w:rPr>
        <w:t xml:space="preserve">, governments and other </w:t>
      </w:r>
      <w:r w:rsidR="002E2148" w:rsidRPr="00341436">
        <w:rPr>
          <w:lang w:val="en-US"/>
        </w:rPr>
        <w:lastRenderedPageBreak/>
        <w:t>stakeholders in making procurement decisions and to ensure greater investment in health technology towards universal access to essential health technologies.</w:t>
      </w:r>
      <w:r w:rsidR="002E2148" w:rsidRPr="000812B8">
        <w:rPr>
          <w:rStyle w:val="EndnoteReference"/>
        </w:rPr>
        <w:endnoteReference w:id="93"/>
      </w:r>
    </w:p>
    <w:p w14:paraId="67DC7F9A" w14:textId="6FB1DB42" w:rsidR="002E2148" w:rsidRPr="00940A05" w:rsidRDefault="00D527A2" w:rsidP="00E80810">
      <w:pPr>
        <w:pStyle w:val="SingleTxtG"/>
        <w:rPr>
          <w:rStyle w:val="EndnoteReference"/>
          <w:vertAlign w:val="baseline"/>
        </w:rPr>
      </w:pPr>
      <w:r>
        <w:t>5</w:t>
      </w:r>
      <w:r w:rsidR="004029B7">
        <w:t>1</w:t>
      </w:r>
      <w:r w:rsidR="002E2148" w:rsidRPr="00341436">
        <w:t>.</w:t>
      </w:r>
      <w:r w:rsidR="002E2148" w:rsidRPr="00341436">
        <w:tab/>
        <w:t xml:space="preserve">Many governments create a </w:t>
      </w:r>
      <w:r w:rsidR="002E2148">
        <w:t>n</w:t>
      </w:r>
      <w:r w:rsidR="002E2148" w:rsidRPr="00341436">
        <w:t xml:space="preserve">ational </w:t>
      </w:r>
      <w:r w:rsidR="002E2148">
        <w:t>e</w:t>
      </w:r>
      <w:r w:rsidR="002E2148" w:rsidRPr="00341436">
        <w:t xml:space="preserve">ssential </w:t>
      </w:r>
      <w:r w:rsidR="002E2148">
        <w:t>m</w:t>
      </w:r>
      <w:r w:rsidR="002E2148" w:rsidRPr="00341436">
        <w:t xml:space="preserve">edicines </w:t>
      </w:r>
      <w:r w:rsidR="002E2148">
        <w:t>l</w:t>
      </w:r>
      <w:r w:rsidR="002E2148" w:rsidRPr="00341436">
        <w:t xml:space="preserve">ist that </w:t>
      </w:r>
      <w:r w:rsidR="002E2148">
        <w:t>covers</w:t>
      </w:r>
      <w:r w:rsidR="002E2148" w:rsidRPr="00341436">
        <w:t xml:space="preserve"> medicines and vaccines that are deemed essential for the population</w:t>
      </w:r>
      <w:r w:rsidR="002E2148">
        <w:t>’</w:t>
      </w:r>
      <w:r w:rsidR="002E2148" w:rsidRPr="00341436">
        <w:t>s health. These lists can be used as a reference for procurement, pricing and reimbursement decisions to ensure that essential medicines and vaccines are always available and affordable. The</w:t>
      </w:r>
      <w:r w:rsidR="00BA2226">
        <w:t xml:space="preserve"> lists</w:t>
      </w:r>
      <w:r w:rsidR="002E2148" w:rsidRPr="00341436">
        <w:t xml:space="preserve"> </w:t>
      </w:r>
      <w:r w:rsidR="008E7855">
        <w:t xml:space="preserve">must </w:t>
      </w:r>
      <w:r w:rsidR="002E2148" w:rsidRPr="00341436">
        <w:t>be adapted to the specific health context</w:t>
      </w:r>
      <w:r w:rsidR="002E2148">
        <w:t>,</w:t>
      </w:r>
      <w:r w:rsidR="002E2148" w:rsidRPr="00341436">
        <w:t xml:space="preserve"> taking into consideration the needs of different segments of the population</w:t>
      </w:r>
      <w:r w:rsidR="002E2148">
        <w:t>,</w:t>
      </w:r>
      <w:r w:rsidR="002E2148" w:rsidRPr="00341436">
        <w:t xml:space="preserve"> </w:t>
      </w:r>
      <w:r w:rsidR="002E2148">
        <w:t>e.g.</w:t>
      </w:r>
      <w:r w:rsidR="002E2148" w:rsidRPr="00341436">
        <w:t xml:space="preserve"> women and children, older persons and persons living in poverty, and </w:t>
      </w:r>
      <w:r w:rsidR="002E2148">
        <w:t>must</w:t>
      </w:r>
      <w:r w:rsidR="002E2148" w:rsidRPr="00341436">
        <w:t xml:space="preserve"> be updated </w:t>
      </w:r>
      <w:r w:rsidR="000101E1">
        <w:t>regularly</w:t>
      </w:r>
      <w:r w:rsidR="002E2148" w:rsidRPr="00341436">
        <w:t>, through a participatory process.</w:t>
      </w:r>
      <w:r w:rsidR="002E2148" w:rsidRPr="000812B8">
        <w:rPr>
          <w:rStyle w:val="EndnoteReference"/>
        </w:rPr>
        <w:endnoteReference w:id="94"/>
      </w:r>
    </w:p>
    <w:p w14:paraId="1118258B" w14:textId="0EFFA622" w:rsidR="002E2148" w:rsidRPr="00AE0BAD" w:rsidRDefault="002E2148" w:rsidP="00E80810">
      <w:pPr>
        <w:pStyle w:val="SingleTxtG"/>
        <w:rPr>
          <w:rStyle w:val="EndnoteReference"/>
          <w:vertAlign w:val="baseline"/>
        </w:rPr>
      </w:pPr>
      <w:r>
        <w:t>5</w:t>
      </w:r>
      <w:r w:rsidR="004029B7">
        <w:t>2</w:t>
      </w:r>
      <w:r w:rsidRPr="00341436">
        <w:t>.</w:t>
      </w:r>
      <w:r w:rsidRPr="00341436">
        <w:tab/>
        <w:t xml:space="preserve">Ensuring a robust, efficient and resilient supply chain is also </w:t>
      </w:r>
      <w:r>
        <w:t>important</w:t>
      </w:r>
      <w:r w:rsidRPr="00341436">
        <w:t xml:space="preserve"> to ensuring </w:t>
      </w:r>
      <w:r w:rsidR="00BA2226">
        <w:t xml:space="preserve">everyone has </w:t>
      </w:r>
      <w:r w:rsidRPr="00341436">
        <w:t xml:space="preserve">access to medicines and vaccines. Governments can strengthen supply chain management by investing in </w:t>
      </w:r>
      <w:r w:rsidR="29BE1B11" w:rsidRPr="00341436">
        <w:t>coordination</w:t>
      </w:r>
      <w:r w:rsidR="00BF3F8F">
        <w:t>,</w:t>
      </w:r>
      <w:r w:rsidR="29BE1B11" w:rsidRPr="00341436">
        <w:t xml:space="preserve"> and planning</w:t>
      </w:r>
      <w:r w:rsidRPr="00341436">
        <w:t xml:space="preserve"> and distribution systems and ensuring that they are properly staffed and equipped. </w:t>
      </w:r>
      <w:r w:rsidR="00785739">
        <w:t>For example, t</w:t>
      </w:r>
      <w:r w:rsidRPr="00341436">
        <w:t>he Global Fund</w:t>
      </w:r>
      <w:r w:rsidRPr="009C506F">
        <w:t xml:space="preserve"> to Fight AIDS, Tuberculosis and Malaria</w:t>
      </w:r>
      <w:r w:rsidRPr="00341436">
        <w:t xml:space="preserve"> </w:t>
      </w:r>
      <w:r w:rsidR="00785739">
        <w:t xml:space="preserve">assists </w:t>
      </w:r>
      <w:r>
        <w:t xml:space="preserve">countries </w:t>
      </w:r>
      <w:r w:rsidR="00785739">
        <w:t xml:space="preserve">in procuring </w:t>
      </w:r>
      <w:r w:rsidRPr="00341436">
        <w:t>supply management and facilitates access to technical assistance and capacity-building services in recipient countries in partnership with technical agencies.</w:t>
      </w:r>
      <w:r w:rsidRPr="000812B8">
        <w:rPr>
          <w:rStyle w:val="EndnoteReference"/>
        </w:rPr>
        <w:endnoteReference w:id="95"/>
      </w:r>
    </w:p>
    <w:p w14:paraId="6664FCDE" w14:textId="62FCF901" w:rsidR="002E2148" w:rsidRPr="00AE0BAD" w:rsidRDefault="002E2148" w:rsidP="00E80810">
      <w:pPr>
        <w:pStyle w:val="SingleTxtG"/>
        <w:rPr>
          <w:rStyle w:val="EndnoteReference"/>
          <w:vertAlign w:val="baseline"/>
        </w:rPr>
      </w:pPr>
      <w:r>
        <w:t>5</w:t>
      </w:r>
      <w:r w:rsidR="004029B7">
        <w:t>3</w:t>
      </w:r>
      <w:r w:rsidRPr="00341436">
        <w:t>.</w:t>
      </w:r>
      <w:r w:rsidRPr="00341436">
        <w:tab/>
        <w:t xml:space="preserve">As part of </w:t>
      </w:r>
      <w:r w:rsidR="00785739">
        <w:t xml:space="preserve">States’ </w:t>
      </w:r>
      <w:r w:rsidRPr="00341436">
        <w:t xml:space="preserve">responsibility to ensure that essential medicines, vaccines and other health products are </w:t>
      </w:r>
      <w:r>
        <w:t xml:space="preserve">available and </w:t>
      </w:r>
      <w:r w:rsidRPr="00341436">
        <w:t xml:space="preserve">accessible to </w:t>
      </w:r>
      <w:r w:rsidR="00BA2226">
        <w:t>everyone</w:t>
      </w:r>
      <w:r>
        <w:t xml:space="preserve"> without discrimination</w:t>
      </w:r>
      <w:r w:rsidRPr="00341436">
        <w:t xml:space="preserve">, States </w:t>
      </w:r>
      <w:r w:rsidR="00BA2226">
        <w:t xml:space="preserve">must </w:t>
      </w:r>
      <w:r w:rsidRPr="00341436">
        <w:t>establish effective distribution</w:t>
      </w:r>
      <w:r>
        <w:t xml:space="preserve"> and monitoring</w:t>
      </w:r>
      <w:r w:rsidRPr="00341436">
        <w:t xml:space="preserve"> systems. Additionally, health</w:t>
      </w:r>
      <w:r>
        <w:t>-</w:t>
      </w:r>
      <w:r w:rsidRPr="00341436">
        <w:t>care providers must ensure that medications are prescribed and dispensed in a</w:t>
      </w:r>
      <w:r w:rsidR="00785739">
        <w:t xml:space="preserve"> fair</w:t>
      </w:r>
      <w:r w:rsidRPr="00341436">
        <w:t xml:space="preserve"> and non-discriminatory manner. Some developing countries have successfully adopted certification programmes for distributors.</w:t>
      </w:r>
      <w:r w:rsidRPr="000812B8">
        <w:rPr>
          <w:rStyle w:val="EndnoteReference"/>
        </w:rPr>
        <w:endnoteReference w:id="96"/>
      </w:r>
    </w:p>
    <w:p w14:paraId="4B45B367" w14:textId="1C7538DA" w:rsidR="002E2148" w:rsidRPr="00341436" w:rsidRDefault="002E2148" w:rsidP="00E80810">
      <w:pPr>
        <w:pStyle w:val="SingleTxtG"/>
      </w:pPr>
      <w:r w:rsidRPr="00341436">
        <w:t>5</w:t>
      </w:r>
      <w:r w:rsidR="004029B7">
        <w:t>4</w:t>
      </w:r>
      <w:r w:rsidRPr="00341436">
        <w:t>.</w:t>
      </w:r>
      <w:r w:rsidRPr="00341436">
        <w:tab/>
      </w:r>
      <w:r>
        <w:t>Considering that t</w:t>
      </w:r>
      <w:r w:rsidRPr="00341436">
        <w:t xml:space="preserve">he distribution chain involves various entities, including private actors, </w:t>
      </w:r>
      <w:r>
        <w:t>m</w:t>
      </w:r>
      <w:r w:rsidRPr="00341436">
        <w:t xml:space="preserve">ost States have national regulations in place </w:t>
      </w:r>
      <w:r w:rsidR="004940D2">
        <w:t xml:space="preserve">to distribute </w:t>
      </w:r>
      <w:r w:rsidRPr="00341436">
        <w:t xml:space="preserve">essential medicines in both the public and private sectors. These regulations typically address </w:t>
      </w:r>
      <w:r w:rsidR="00BA2226">
        <w:t xml:space="preserve">how </w:t>
      </w:r>
      <w:r w:rsidRPr="00341436">
        <w:t>medicines</w:t>
      </w:r>
      <w:r w:rsidR="00BA2226">
        <w:t xml:space="preserve"> and </w:t>
      </w:r>
      <w:r w:rsidRPr="00341436">
        <w:t>temperature-sensitive products</w:t>
      </w:r>
      <w:r w:rsidR="00BA2226">
        <w:t xml:space="preserve"> are stored, transporte</w:t>
      </w:r>
      <w:r w:rsidR="004940D2">
        <w:t>d</w:t>
      </w:r>
      <w:r w:rsidR="00BA2226">
        <w:t xml:space="preserve"> and handled</w:t>
      </w:r>
      <w:r w:rsidRPr="00341436">
        <w:t>.</w:t>
      </w:r>
      <w:r w:rsidRPr="000812B8">
        <w:rPr>
          <w:rStyle w:val="EndnoteReference"/>
        </w:rPr>
        <w:endnoteReference w:id="97"/>
      </w:r>
      <w:r w:rsidRPr="000812B8">
        <w:rPr>
          <w:rStyle w:val="EndnoteReference"/>
        </w:rPr>
        <w:t xml:space="preserve"> </w:t>
      </w:r>
    </w:p>
    <w:p w14:paraId="4C005FB1" w14:textId="00C8F829" w:rsidR="002E2148" w:rsidRPr="00341436" w:rsidRDefault="002E2148" w:rsidP="00E80810">
      <w:pPr>
        <w:pStyle w:val="SingleTxtG"/>
      </w:pPr>
      <w:r w:rsidRPr="00341436">
        <w:t>5</w:t>
      </w:r>
      <w:r w:rsidR="004029B7">
        <w:t>5</w:t>
      </w:r>
      <w:r w:rsidRPr="00341436">
        <w:t>.</w:t>
      </w:r>
      <w:r w:rsidRPr="00341436">
        <w:tab/>
        <w:t xml:space="preserve">Transparency is a core component of good governance. Civil society and patient groups rely on transparent information to hold government authorities, private sector companies and international organizations accountable. Transparency can ensure fairness during negotiations that take place between pharmaceutical companies and procurement organizations. </w:t>
      </w:r>
      <w:r w:rsidR="00B93291" w:rsidRPr="00341436">
        <w:t>Transparency</w:t>
      </w:r>
      <w:r w:rsidRPr="00341436">
        <w:t xml:space="preserve"> is also an essential aspect of combating corruption</w:t>
      </w:r>
      <w:r>
        <w:t>, which</w:t>
      </w:r>
      <w:r w:rsidRPr="00341436">
        <w:t xml:space="preserve"> can occur at </w:t>
      </w:r>
      <w:r>
        <w:t>any</w:t>
      </w:r>
      <w:r w:rsidRPr="00341436">
        <w:t xml:space="preserve"> stage of the medicine chain. Reducing corruption in the pharmaceutical sector can </w:t>
      </w:r>
      <w:r>
        <w:t xml:space="preserve">have a </w:t>
      </w:r>
      <w:r w:rsidRPr="00341436">
        <w:t>direct impact</w:t>
      </w:r>
      <w:r>
        <w:t xml:space="preserve"> on</w:t>
      </w:r>
      <w:r w:rsidRPr="00341436">
        <w:t xml:space="preserve"> countries</w:t>
      </w:r>
      <w:r>
        <w:t>’</w:t>
      </w:r>
      <w:r w:rsidRPr="00341436">
        <w:t xml:space="preserve"> investment in health care, while improving access to quality medicines.</w:t>
      </w:r>
    </w:p>
    <w:p w14:paraId="4563EB02" w14:textId="1DE9896F" w:rsidR="002E2148" w:rsidRPr="00341436" w:rsidRDefault="002E2148" w:rsidP="00E80810">
      <w:pPr>
        <w:pStyle w:val="SingleTxtG"/>
      </w:pPr>
      <w:r w:rsidRPr="00341436">
        <w:t>5</w:t>
      </w:r>
      <w:r w:rsidR="004029B7">
        <w:t>6</w:t>
      </w:r>
      <w:r w:rsidRPr="00341436">
        <w:t>.</w:t>
      </w:r>
      <w:r w:rsidRPr="00341436">
        <w:tab/>
      </w:r>
      <w:r w:rsidR="004940D2">
        <w:t>R</w:t>
      </w:r>
      <w:r w:rsidR="004940D2" w:rsidRPr="00341436">
        <w:t>egulatory authorities</w:t>
      </w:r>
      <w:r w:rsidR="004940D2">
        <w:t>’</w:t>
      </w:r>
      <w:r w:rsidR="004940D2" w:rsidRPr="00341436">
        <w:t xml:space="preserve"> </w:t>
      </w:r>
      <w:r w:rsidRPr="00341436">
        <w:t xml:space="preserve">work in </w:t>
      </w:r>
      <w:r w:rsidR="00BA2226">
        <w:t>improving</w:t>
      </w:r>
      <w:r w:rsidR="00BA2226" w:rsidRPr="00341436">
        <w:t xml:space="preserve"> </w:t>
      </w:r>
      <w:r w:rsidRPr="00341436">
        <w:t xml:space="preserve">both innovation and access could be significantly supported if accurate information on the costs of research and development, production and distribution of health technologies were available. Most regulatory authorities already mandate the disclosure of information on quality, safety and efficacy of health technologies and some encourage sharing </w:t>
      </w:r>
      <w:r>
        <w:t xml:space="preserve">of information </w:t>
      </w:r>
      <w:r w:rsidRPr="00341436">
        <w:t xml:space="preserve">on investments made in the </w:t>
      </w:r>
      <w:r>
        <w:t>research and development</w:t>
      </w:r>
      <w:r w:rsidRPr="00341436">
        <w:t xml:space="preserve"> of health technologies.</w:t>
      </w:r>
      <w:r w:rsidRPr="000812B8">
        <w:rPr>
          <w:rStyle w:val="EndnoteReference"/>
        </w:rPr>
        <w:endnoteReference w:id="98"/>
      </w:r>
      <w:r w:rsidRPr="000812B8">
        <w:rPr>
          <w:rStyle w:val="EndnoteReference"/>
        </w:rPr>
        <w:t xml:space="preserve"> </w:t>
      </w:r>
      <w:r w:rsidRPr="00341436">
        <w:t xml:space="preserve">However, this information can be difficult to </w:t>
      </w:r>
      <w:r w:rsidR="00F53951">
        <w:t>break down and understand</w:t>
      </w:r>
      <w:r w:rsidRPr="00341436">
        <w:t xml:space="preserve">. </w:t>
      </w:r>
    </w:p>
    <w:p w14:paraId="253B802C" w14:textId="2C0344DA" w:rsidR="002E2148" w:rsidRPr="00F759F4" w:rsidRDefault="002E2148" w:rsidP="00E80810">
      <w:pPr>
        <w:pStyle w:val="H1G"/>
        <w:numPr>
          <w:ilvl w:val="0"/>
          <w:numId w:val="13"/>
        </w:numPr>
        <w:tabs>
          <w:tab w:val="clear" w:pos="851"/>
          <w:tab w:val="right" w:pos="1134"/>
        </w:tabs>
        <w:ind w:left="1134" w:hanging="567"/>
      </w:pPr>
      <w:bookmarkStart w:id="14" w:name="IIIC_Ensuring_safe_high_quality"/>
      <w:r>
        <w:t xml:space="preserve">Ensuring </w:t>
      </w:r>
      <w:r w:rsidR="001855B9" w:rsidRPr="001855B9">
        <w:t>that medicines, vaccines and other health products are safe and are of high quality</w:t>
      </w:r>
    </w:p>
    <w:bookmarkEnd w:id="14"/>
    <w:p w14:paraId="20300928" w14:textId="234A3AA6" w:rsidR="00EA5695" w:rsidRDefault="002E2148" w:rsidP="00E80810">
      <w:pPr>
        <w:pStyle w:val="SingleTxtG"/>
      </w:pPr>
      <w:r w:rsidRPr="00341436">
        <w:t>5</w:t>
      </w:r>
      <w:r w:rsidR="004029B7">
        <w:t>7</w:t>
      </w:r>
      <w:r w:rsidRPr="00341436">
        <w:t>.</w:t>
      </w:r>
      <w:r w:rsidRPr="00341436">
        <w:tab/>
        <w:t xml:space="preserve">States </w:t>
      </w:r>
      <w:r w:rsidR="00A733C9">
        <w:t xml:space="preserve">must </w:t>
      </w:r>
      <w:r w:rsidRPr="00341436">
        <w:t>protect the population from unsafe and poor-quality medicines. Quality assurance for medicines includes</w:t>
      </w:r>
      <w:r w:rsidR="00EA5695">
        <w:t>, e.g.:</w:t>
      </w:r>
      <w:r w:rsidRPr="00341436">
        <w:t xml:space="preserve"> </w:t>
      </w:r>
    </w:p>
    <w:p w14:paraId="0DF24BC5" w14:textId="37B7060D" w:rsidR="00EA5695" w:rsidRPr="0081462E" w:rsidRDefault="00EB1869" w:rsidP="00593D73">
      <w:pPr>
        <w:pStyle w:val="SingleTxtG"/>
        <w:numPr>
          <w:ilvl w:val="0"/>
          <w:numId w:val="39"/>
        </w:numPr>
        <w:tabs>
          <w:tab w:val="clear" w:pos="1701"/>
          <w:tab w:val="clear" w:pos="2268"/>
        </w:tabs>
        <w:ind w:left="2268" w:hanging="425"/>
      </w:pPr>
      <w:r w:rsidRPr="000101E1">
        <w:t>r</w:t>
      </w:r>
      <w:r w:rsidR="002E2148" w:rsidRPr="000101E1">
        <w:t>egist</w:t>
      </w:r>
      <w:r w:rsidR="002E6BB6" w:rsidRPr="000101E1">
        <w:t>er</w:t>
      </w:r>
      <w:r w:rsidR="00580F25" w:rsidRPr="000101E1">
        <w:t>ing</w:t>
      </w:r>
      <w:r w:rsidR="002E2148" w:rsidRPr="000101E1">
        <w:t xml:space="preserve"> and marketing</w:t>
      </w:r>
      <w:r w:rsidR="002E2148" w:rsidRPr="0081462E">
        <w:t xml:space="preserve"> good quality, safe and efficacious products under ethically and medically validated clinical trials, </w:t>
      </w:r>
    </w:p>
    <w:p w14:paraId="6E54CFD3" w14:textId="03F948D1" w:rsidR="00EA5695" w:rsidRPr="0081462E" w:rsidRDefault="00EB1869" w:rsidP="00593D73">
      <w:pPr>
        <w:pStyle w:val="SingleTxtG"/>
        <w:numPr>
          <w:ilvl w:val="0"/>
          <w:numId w:val="39"/>
        </w:numPr>
        <w:ind w:left="2268" w:hanging="425"/>
      </w:pPr>
      <w:r w:rsidRPr="0081462E">
        <w:t>c</w:t>
      </w:r>
      <w:r w:rsidR="002E2148" w:rsidRPr="0081462E">
        <w:t>ontinuous</w:t>
      </w:r>
      <w:r w:rsidRPr="0081462E">
        <w:t>ly</w:t>
      </w:r>
      <w:r w:rsidR="002E2148" w:rsidRPr="0081462E">
        <w:t xml:space="preserve"> </w:t>
      </w:r>
      <w:r w:rsidRPr="0081462E">
        <w:t>regulating</w:t>
      </w:r>
      <w:r w:rsidR="002E2148" w:rsidRPr="0081462E">
        <w:t xml:space="preserve"> the quality of production of medicines</w:t>
      </w:r>
      <w:r w:rsidRPr="0081462E">
        <w:t>,</w:t>
      </w:r>
      <w:r w:rsidR="002E2148" w:rsidRPr="0081462E">
        <w:t xml:space="preserve"> and </w:t>
      </w:r>
    </w:p>
    <w:p w14:paraId="090CCEF7" w14:textId="618BF32D" w:rsidR="00EA5695" w:rsidRPr="00593D73" w:rsidRDefault="00EB1869" w:rsidP="00593D73">
      <w:pPr>
        <w:pStyle w:val="SingleTxtG"/>
        <w:numPr>
          <w:ilvl w:val="0"/>
          <w:numId w:val="39"/>
        </w:numPr>
        <w:ind w:left="2268" w:hanging="425"/>
      </w:pPr>
      <w:r w:rsidRPr="0081462E">
        <w:t>preventing</w:t>
      </w:r>
      <w:r w:rsidR="002E2148" w:rsidRPr="0081462E">
        <w:t xml:space="preserve"> substandard and spurious medicines from being sold on the market after registration.</w:t>
      </w:r>
      <w:r w:rsidR="002E2148" w:rsidRPr="00D9020A">
        <w:rPr>
          <w:vertAlign w:val="superscript"/>
        </w:rPr>
        <w:endnoteReference w:id="99"/>
      </w:r>
      <w:r w:rsidR="002E2148" w:rsidRPr="00D9020A">
        <w:rPr>
          <w:vertAlign w:val="superscript"/>
        </w:rPr>
        <w:t xml:space="preserve"> </w:t>
      </w:r>
    </w:p>
    <w:p w14:paraId="3798D796" w14:textId="77777777" w:rsidR="005624E2" w:rsidRDefault="005624E2">
      <w:pPr>
        <w:suppressAutoHyphens w:val="0"/>
        <w:spacing w:after="200" w:line="276" w:lineRule="auto"/>
      </w:pPr>
      <w:r>
        <w:br w:type="page"/>
      </w:r>
    </w:p>
    <w:p w14:paraId="5F01A0FD" w14:textId="46AB6043" w:rsidR="00EA5695" w:rsidRPr="0081462E" w:rsidRDefault="002E2148" w:rsidP="00593D73">
      <w:pPr>
        <w:pStyle w:val="SingleTxtG"/>
        <w:tabs>
          <w:tab w:val="clear" w:pos="1701"/>
          <w:tab w:val="clear" w:pos="2268"/>
        </w:tabs>
      </w:pPr>
      <w:r w:rsidRPr="0081462E">
        <w:lastRenderedPageBreak/>
        <w:t>Specific examples include</w:t>
      </w:r>
      <w:r w:rsidR="00EA5695" w:rsidRPr="0081462E">
        <w:t>:</w:t>
      </w:r>
      <w:r w:rsidRPr="0081462E">
        <w:t xml:space="preserve"> </w:t>
      </w:r>
    </w:p>
    <w:p w14:paraId="44DF37F4" w14:textId="77777777" w:rsidR="00EA5695" w:rsidRPr="0081462E" w:rsidRDefault="002E2148" w:rsidP="00593D73">
      <w:pPr>
        <w:pStyle w:val="SingleTxtG"/>
        <w:numPr>
          <w:ilvl w:val="0"/>
          <w:numId w:val="38"/>
        </w:numPr>
        <w:tabs>
          <w:tab w:val="clear" w:pos="2268"/>
          <w:tab w:val="left" w:pos="1854"/>
        </w:tabs>
        <w:ind w:left="2268" w:hanging="425"/>
      </w:pPr>
      <w:r w:rsidRPr="0081462E">
        <w:t xml:space="preserve">quality control, </w:t>
      </w:r>
    </w:p>
    <w:p w14:paraId="1FD9802A" w14:textId="77777777" w:rsidR="00EA5695" w:rsidRPr="00593D73" w:rsidRDefault="002E2148" w:rsidP="00593D73">
      <w:pPr>
        <w:pStyle w:val="SingleTxtG"/>
        <w:numPr>
          <w:ilvl w:val="0"/>
          <w:numId w:val="38"/>
        </w:numPr>
        <w:tabs>
          <w:tab w:val="clear" w:pos="2268"/>
          <w:tab w:val="left" w:pos="1854"/>
        </w:tabs>
        <w:ind w:left="2268" w:hanging="425"/>
      </w:pPr>
      <w:r w:rsidRPr="0081462E">
        <w:t>good manufacturing practices,</w:t>
      </w:r>
      <w:r w:rsidRPr="00D9020A">
        <w:rPr>
          <w:vertAlign w:val="superscript"/>
        </w:rPr>
        <w:endnoteReference w:id="100"/>
      </w:r>
      <w:r w:rsidRPr="00593D73">
        <w:t xml:space="preserve"> </w:t>
      </w:r>
    </w:p>
    <w:p w14:paraId="0DE4429E" w14:textId="77777777" w:rsidR="00EA5695" w:rsidRPr="0081462E" w:rsidRDefault="002E2148" w:rsidP="00593D73">
      <w:pPr>
        <w:pStyle w:val="SingleTxtG"/>
        <w:numPr>
          <w:ilvl w:val="0"/>
          <w:numId w:val="38"/>
        </w:numPr>
        <w:tabs>
          <w:tab w:val="clear" w:pos="2268"/>
          <w:tab w:val="left" w:pos="1854"/>
        </w:tabs>
        <w:ind w:left="2268" w:hanging="425"/>
      </w:pPr>
      <w:r w:rsidRPr="0081462E">
        <w:t xml:space="preserve">quality management systems, </w:t>
      </w:r>
    </w:p>
    <w:p w14:paraId="602E281D" w14:textId="1222A3C3" w:rsidR="00EA5695" w:rsidRPr="0081462E" w:rsidRDefault="002E2148" w:rsidP="00593D73">
      <w:pPr>
        <w:pStyle w:val="SingleTxtG"/>
        <w:numPr>
          <w:ilvl w:val="0"/>
          <w:numId w:val="38"/>
        </w:numPr>
        <w:tabs>
          <w:tab w:val="clear" w:pos="1701"/>
          <w:tab w:val="clear" w:pos="2268"/>
          <w:tab w:val="left" w:pos="1854"/>
        </w:tabs>
        <w:ind w:left="2268" w:hanging="425"/>
      </w:pPr>
      <w:r w:rsidRPr="0081462E">
        <w:t>regulatory oversight</w:t>
      </w:r>
      <w:r w:rsidR="00EB1869" w:rsidRPr="0081462E">
        <w:t>,</w:t>
      </w:r>
      <w:r w:rsidRPr="0081462E">
        <w:t xml:space="preserve"> and </w:t>
      </w:r>
    </w:p>
    <w:p w14:paraId="76B0E6A8" w14:textId="2A217264" w:rsidR="002E2148" w:rsidRPr="0081462E" w:rsidRDefault="002E2148" w:rsidP="00593D73">
      <w:pPr>
        <w:pStyle w:val="SingleTxtG"/>
        <w:numPr>
          <w:ilvl w:val="0"/>
          <w:numId w:val="38"/>
        </w:numPr>
        <w:tabs>
          <w:tab w:val="clear" w:pos="2268"/>
          <w:tab w:val="left" w:pos="1854"/>
        </w:tabs>
        <w:ind w:left="2268" w:hanging="425"/>
      </w:pPr>
      <w:r w:rsidRPr="0081462E">
        <w:t>post-market surveillance.</w:t>
      </w:r>
    </w:p>
    <w:p w14:paraId="7B8DB097" w14:textId="218A737C" w:rsidR="002E2148" w:rsidRDefault="00F9797A" w:rsidP="00E80810">
      <w:pPr>
        <w:pStyle w:val="SingleTxtG"/>
      </w:pPr>
      <w:r>
        <w:t>5</w:t>
      </w:r>
      <w:r w:rsidR="004029B7">
        <w:t>8</w:t>
      </w:r>
      <w:r w:rsidR="002E2148" w:rsidRPr="00341436">
        <w:t>.</w:t>
      </w:r>
      <w:r w:rsidR="002E2148" w:rsidRPr="00341436">
        <w:tab/>
        <w:t xml:space="preserve">Regulatory agencies play a critical role in ensuring the quality of medicines and vaccines. They are responsible for establishing and enforcing quality standards, conducting inspections and audits of manufacturing facilities </w:t>
      </w:r>
      <w:r w:rsidR="00F759F4">
        <w:t xml:space="preserve">as well as </w:t>
      </w:r>
      <w:r w:rsidR="002E2148" w:rsidRPr="00341436">
        <w:t xml:space="preserve">ensuring that products meet all regulatory requirements. </w:t>
      </w:r>
      <w:r w:rsidR="00EA5695">
        <w:t>Th</w:t>
      </w:r>
      <w:r w:rsidR="00EB1869">
        <w:t>erefore</w:t>
      </w:r>
      <w:r w:rsidR="00EA5695">
        <w:t xml:space="preserve">, </w:t>
      </w:r>
      <w:r w:rsidR="002E2148" w:rsidRPr="00341436">
        <w:t xml:space="preserve">they </w:t>
      </w:r>
      <w:r w:rsidR="00EA5695">
        <w:t xml:space="preserve">must be </w:t>
      </w:r>
      <w:r w:rsidR="002E2148" w:rsidRPr="00341436">
        <w:t>adequately resourced.</w:t>
      </w:r>
    </w:p>
    <w:p w14:paraId="05BC90E9" w14:textId="1400A6BD" w:rsidR="002E2148" w:rsidRPr="00341436" w:rsidRDefault="004029B7" w:rsidP="00E80810">
      <w:pPr>
        <w:pStyle w:val="SingleTxtG"/>
      </w:pPr>
      <w:r>
        <w:t>59</w:t>
      </w:r>
      <w:r w:rsidR="002E2148">
        <w:t>.</w:t>
      </w:r>
      <w:r w:rsidR="002E2148">
        <w:tab/>
      </w:r>
      <w:r w:rsidR="00EB1869">
        <w:t>Also, h</w:t>
      </w:r>
      <w:r w:rsidR="002E2148" w:rsidRPr="00341436">
        <w:t>ealth</w:t>
      </w:r>
      <w:r w:rsidR="002E2148">
        <w:t>-</w:t>
      </w:r>
      <w:r w:rsidR="002E2148" w:rsidRPr="00341436">
        <w:t xml:space="preserve">care providers </w:t>
      </w:r>
      <w:r w:rsidR="008E7855">
        <w:t xml:space="preserve">must </w:t>
      </w:r>
      <w:r w:rsidR="002E2148" w:rsidRPr="00341436">
        <w:t xml:space="preserve">be trained to properly administer medications and monitor patients for </w:t>
      </w:r>
      <w:r w:rsidR="00EA5695">
        <w:t>negative</w:t>
      </w:r>
      <w:r w:rsidR="00EA5695" w:rsidRPr="00341436">
        <w:t xml:space="preserve"> </w:t>
      </w:r>
      <w:r w:rsidR="002E2148" w:rsidRPr="00341436">
        <w:t>effects. Ensuring the safety and quality of medicines and vaccines</w:t>
      </w:r>
      <w:r w:rsidR="002E2148" w:rsidRPr="000812B8">
        <w:rPr>
          <w:rStyle w:val="EndnoteReference"/>
        </w:rPr>
        <w:endnoteReference w:id="101"/>
      </w:r>
      <w:r w:rsidR="002E2148" w:rsidRPr="000812B8">
        <w:rPr>
          <w:rStyle w:val="EndnoteReference"/>
        </w:rPr>
        <w:t xml:space="preserve"> </w:t>
      </w:r>
      <w:r w:rsidR="002E2148" w:rsidRPr="00341436">
        <w:t xml:space="preserve">is </w:t>
      </w:r>
      <w:r w:rsidR="002E2148">
        <w:t>essential</w:t>
      </w:r>
      <w:r w:rsidR="002E2148" w:rsidRPr="00341436">
        <w:t xml:space="preserve"> for promoting trust and acceptability.</w:t>
      </w:r>
    </w:p>
    <w:p w14:paraId="2E0FFE75" w14:textId="39C7F6A0" w:rsidR="002E2148" w:rsidRPr="008E66B5" w:rsidRDefault="00D527A2" w:rsidP="00E80810">
      <w:pPr>
        <w:pStyle w:val="SingleTxtG"/>
        <w:rPr>
          <w:rStyle w:val="EndnoteReference"/>
          <w:vertAlign w:val="baseline"/>
        </w:rPr>
      </w:pPr>
      <w:r>
        <w:t>6</w:t>
      </w:r>
      <w:r w:rsidR="004029B7">
        <w:t>0</w:t>
      </w:r>
      <w:r w:rsidR="002E2148" w:rsidRPr="00341436">
        <w:t>.</w:t>
      </w:r>
      <w:r w:rsidR="002E2148" w:rsidRPr="00341436">
        <w:tab/>
        <w:t xml:space="preserve">The WHO Prequalification </w:t>
      </w:r>
      <w:r w:rsidR="002E2148">
        <w:t xml:space="preserve">of Medicines </w:t>
      </w:r>
      <w:r w:rsidR="002E2148" w:rsidRPr="00341436">
        <w:t>Program</w:t>
      </w:r>
      <w:r w:rsidR="002E2148">
        <w:t>me</w:t>
      </w:r>
      <w:r w:rsidR="002E2148" w:rsidRPr="000812B8">
        <w:rPr>
          <w:rStyle w:val="EndnoteReference"/>
        </w:rPr>
        <w:endnoteReference w:id="102"/>
      </w:r>
      <w:r w:rsidR="002E2148" w:rsidRPr="000812B8">
        <w:rPr>
          <w:rStyle w:val="EndnoteReference"/>
        </w:rPr>
        <w:t xml:space="preserve"> </w:t>
      </w:r>
      <w:r w:rsidR="002E2148" w:rsidRPr="00341436">
        <w:t xml:space="preserve">can help improve public health outcomes and reduce </w:t>
      </w:r>
      <w:r w:rsidR="00523E7A">
        <w:t xml:space="preserve">differences in the level of </w:t>
      </w:r>
      <w:r w:rsidR="002E2148" w:rsidRPr="00341436">
        <w:t xml:space="preserve">health by ensuring access to high-quality medicines and vaccines in low- and middle-income countries. </w:t>
      </w:r>
      <w:r w:rsidR="00EA5695">
        <w:t xml:space="preserve">The programme </w:t>
      </w:r>
      <w:r w:rsidR="002E2148" w:rsidRPr="00341436">
        <w:t xml:space="preserve">was created in 2001 to ensure that the large quantities of low-cost treatments for HIV, tuberculosis and malaria produced by generic manufacturers met the need for stringent assessment. </w:t>
      </w:r>
      <w:r w:rsidR="00EA5695">
        <w:t xml:space="preserve">The programme </w:t>
      </w:r>
      <w:r w:rsidR="002E2148" w:rsidRPr="00341436">
        <w:t xml:space="preserve">includes a </w:t>
      </w:r>
      <w:r w:rsidR="00523E7A">
        <w:t xml:space="preserve">detailed </w:t>
      </w:r>
      <w:r w:rsidR="002E2148" w:rsidRPr="00341436">
        <w:t>evaluation process</w:t>
      </w:r>
      <w:r w:rsidR="00580F25">
        <w:t>, e.g.</w:t>
      </w:r>
      <w:r w:rsidR="002E2148" w:rsidRPr="00341436">
        <w:t xml:space="preserve"> review</w:t>
      </w:r>
      <w:r w:rsidR="00580F25">
        <w:t>ing</w:t>
      </w:r>
      <w:r w:rsidR="002E2148" w:rsidRPr="00341436">
        <w:t xml:space="preserve"> the manufacturing facilities, testing the products for quality and safety and assess</w:t>
      </w:r>
      <w:r w:rsidR="00580F25">
        <w:t>ing</w:t>
      </w:r>
      <w:r w:rsidR="002E2148" w:rsidRPr="00341436">
        <w:t xml:space="preserve"> the clinical data</w:t>
      </w:r>
      <w:r w:rsidR="002E2148">
        <w:t xml:space="preserve"> on the product</w:t>
      </w:r>
      <w:r w:rsidR="002E2148" w:rsidRPr="00341436">
        <w:t>. This process helps ensure that the products included in the prequalification list meet international standards and are suitable for use in low- and middle-income countries. The programme also negotiates with manufacturers to secure lower prices for prequalified products</w:t>
      </w:r>
      <w:r w:rsidR="00CE6DD4">
        <w:t>. This</w:t>
      </w:r>
      <w:r w:rsidR="002E2148" w:rsidRPr="00341436">
        <w:t xml:space="preserve"> contributes to ensuring that these products are accessible to countries with limited resources. </w:t>
      </w:r>
      <w:r w:rsidR="00EA5695">
        <w:t>However, t</w:t>
      </w:r>
      <w:r w:rsidR="002E2148" w:rsidRPr="00341436">
        <w:t>he</w:t>
      </w:r>
      <w:r w:rsidR="00580F25">
        <w:t xml:space="preserve"> programme has</w:t>
      </w:r>
      <w:r w:rsidR="002E2148" w:rsidRPr="00341436">
        <w:t xml:space="preserve"> some potential limitations and ongoing efforts are needed to ensure that </w:t>
      </w:r>
      <w:r w:rsidR="002E2148">
        <w:t>implement</w:t>
      </w:r>
      <w:r w:rsidR="00523E7A">
        <w:t>ing the programme</w:t>
      </w:r>
      <w:r w:rsidR="002E2148" w:rsidRPr="00341436">
        <w:t xml:space="preserve"> remains transparent, impartial and effective in achieving </w:t>
      </w:r>
      <w:r w:rsidR="002E2148">
        <w:t>the</w:t>
      </w:r>
      <w:r w:rsidR="002E2148" w:rsidRPr="00341436">
        <w:t xml:space="preserve"> goals.</w:t>
      </w:r>
      <w:r w:rsidR="002E2148" w:rsidRPr="000812B8">
        <w:rPr>
          <w:rStyle w:val="EndnoteReference"/>
        </w:rPr>
        <w:endnoteReference w:id="103"/>
      </w:r>
    </w:p>
    <w:p w14:paraId="36A190BE" w14:textId="7487ADC9" w:rsidR="002E2148" w:rsidRPr="00341436" w:rsidRDefault="00D527A2" w:rsidP="00E80810">
      <w:pPr>
        <w:pStyle w:val="SingleTxtG"/>
      </w:pPr>
      <w:r>
        <w:t>6</w:t>
      </w:r>
      <w:r w:rsidR="004029B7">
        <w:t>1</w:t>
      </w:r>
      <w:r w:rsidR="002E2148" w:rsidRPr="00341436">
        <w:t>.</w:t>
      </w:r>
      <w:r w:rsidR="002E2148" w:rsidRPr="00341436">
        <w:tab/>
      </w:r>
      <w:r w:rsidR="002E2148">
        <w:t>One</w:t>
      </w:r>
      <w:r w:rsidR="002E2148" w:rsidRPr="00341436">
        <w:t xml:space="preserve"> detection and reporting </w:t>
      </w:r>
      <w:r w:rsidR="002E2148">
        <w:t>tool</w:t>
      </w:r>
      <w:r w:rsidR="002E2148" w:rsidRPr="00341436">
        <w:t xml:space="preserve"> is the WHO Global Surveillance and Monitoring System for </w:t>
      </w:r>
      <w:r w:rsidR="002E2148">
        <w:t>s</w:t>
      </w:r>
      <w:r w:rsidR="002E2148" w:rsidRPr="00341436">
        <w:t xml:space="preserve">ubstandard and </w:t>
      </w:r>
      <w:r w:rsidR="002E2148">
        <w:t>f</w:t>
      </w:r>
      <w:r w:rsidR="002E2148" w:rsidRPr="00341436">
        <w:t xml:space="preserve">alsified </w:t>
      </w:r>
      <w:r w:rsidR="002E2148">
        <w:t>m</w:t>
      </w:r>
      <w:r w:rsidR="002E2148" w:rsidRPr="00341436">
        <w:t>edic</w:t>
      </w:r>
      <w:r w:rsidR="002E2148">
        <w:t>al products</w:t>
      </w:r>
      <w:r w:rsidR="002E2148" w:rsidRPr="00341436">
        <w:t>. Information is collected and analy</w:t>
      </w:r>
      <w:r w:rsidR="002E2148">
        <w:t>s</w:t>
      </w:r>
      <w:r w:rsidR="002E2148" w:rsidRPr="00341436">
        <w:t xml:space="preserve">ed </w:t>
      </w:r>
      <w:r w:rsidR="00C700BD">
        <w:t xml:space="preserve">when working together </w:t>
      </w:r>
      <w:r w:rsidR="002E2148">
        <w:t>with</w:t>
      </w:r>
      <w:r w:rsidR="002E2148" w:rsidRPr="00341436">
        <w:t xml:space="preserve"> national regulatory authorities, international organizations and other stakeholders. The system is designed to improve the accuracy and completeness of data on </w:t>
      </w:r>
      <w:r w:rsidR="00EA5695">
        <w:t>s</w:t>
      </w:r>
      <w:r w:rsidR="00EA5695" w:rsidRPr="00341436">
        <w:t xml:space="preserve">ubstandard and </w:t>
      </w:r>
      <w:r w:rsidR="00EA5695">
        <w:t>f</w:t>
      </w:r>
      <w:r w:rsidR="00EA5695" w:rsidRPr="00341436">
        <w:t xml:space="preserve">alsified </w:t>
      </w:r>
      <w:r w:rsidR="00EA5695">
        <w:t>m</w:t>
      </w:r>
      <w:r w:rsidR="00EA5695" w:rsidRPr="00341436">
        <w:t>edic</w:t>
      </w:r>
      <w:r w:rsidR="00EA5695">
        <w:t>al products</w:t>
      </w:r>
      <w:r w:rsidR="002E2148" w:rsidRPr="00341436">
        <w:t xml:space="preserve">, and to facilitate the sharing of information across countries and regions. When </w:t>
      </w:r>
      <w:r w:rsidR="00F759F4">
        <w:t>needed</w:t>
      </w:r>
      <w:r w:rsidR="002E2148" w:rsidRPr="00341436">
        <w:t xml:space="preserve">, WHO issues a global </w:t>
      </w:r>
      <w:r w:rsidR="002E2148">
        <w:t>m</w:t>
      </w:r>
      <w:r w:rsidR="002E2148" w:rsidRPr="00341436">
        <w:t xml:space="preserve">edical </w:t>
      </w:r>
      <w:r w:rsidR="002E2148">
        <w:t>p</w:t>
      </w:r>
      <w:r w:rsidR="002E2148" w:rsidRPr="00341436">
        <w:t xml:space="preserve">roduct </w:t>
      </w:r>
      <w:r w:rsidR="002E2148">
        <w:t>a</w:t>
      </w:r>
      <w:r w:rsidR="002E2148" w:rsidRPr="00341436">
        <w:t xml:space="preserve">lert to warn countries and populations </w:t>
      </w:r>
      <w:r w:rsidR="00580F25">
        <w:t xml:space="preserve">that </w:t>
      </w:r>
      <w:r w:rsidR="002E2148" w:rsidRPr="00341436">
        <w:t>a dangerous medical product</w:t>
      </w:r>
      <w:r w:rsidR="00580F25">
        <w:t xml:space="preserve"> exists</w:t>
      </w:r>
      <w:r w:rsidR="002E2148" w:rsidRPr="00341436">
        <w:t>.</w:t>
      </w:r>
    </w:p>
    <w:p w14:paraId="6F3A9260" w14:textId="1BD31D74" w:rsidR="002E2148" w:rsidRPr="00341436" w:rsidRDefault="002E2148" w:rsidP="00E80810">
      <w:pPr>
        <w:pStyle w:val="H1G"/>
        <w:numPr>
          <w:ilvl w:val="0"/>
          <w:numId w:val="13"/>
        </w:numPr>
        <w:tabs>
          <w:tab w:val="clear" w:pos="851"/>
          <w:tab w:val="right" w:pos="1134"/>
        </w:tabs>
        <w:ind w:left="1134" w:hanging="567"/>
      </w:pPr>
      <w:bookmarkStart w:id="15" w:name="IIID_Promoting_use"/>
      <w:r w:rsidRPr="00341436">
        <w:t xml:space="preserve">Promoting </w:t>
      </w:r>
      <w:r w:rsidR="001855B9" w:rsidRPr="001855B9">
        <w:t>the use of medicines, vaccines and other health products for those who need them</w:t>
      </w:r>
    </w:p>
    <w:bookmarkEnd w:id="15"/>
    <w:p w14:paraId="32B9D695" w14:textId="474D37CF" w:rsidR="00EB1869" w:rsidRDefault="002E2148" w:rsidP="00E80810">
      <w:pPr>
        <w:pStyle w:val="SingleTxtG"/>
      </w:pPr>
      <w:r>
        <w:t>6</w:t>
      </w:r>
      <w:r w:rsidR="004029B7">
        <w:t>2</w:t>
      </w:r>
      <w:r>
        <w:t>.</w:t>
      </w:r>
      <w:r>
        <w:tab/>
        <w:t xml:space="preserve">Promoting good health outcomes </w:t>
      </w:r>
      <w:r w:rsidR="00EB1869">
        <w:t xml:space="preserve">means </w:t>
      </w:r>
      <w:r>
        <w:t>ensuring medicines and vaccines</w:t>
      </w:r>
      <w:r w:rsidR="00523E7A">
        <w:t xml:space="preserve"> are accepted</w:t>
      </w:r>
      <w:r>
        <w:t xml:space="preserve">. </w:t>
      </w:r>
      <w:r w:rsidR="00492B70">
        <w:t xml:space="preserve">This </w:t>
      </w:r>
      <w:r>
        <w:t xml:space="preserve">refers to the extent to which patients or individuals are willing to </w:t>
      </w:r>
      <w:r w:rsidR="00492B70">
        <w:t>follow</w:t>
      </w:r>
      <w:r>
        <w:t xml:space="preserve"> their treatment plan. Acceptability is influenced by </w:t>
      </w:r>
      <w:r w:rsidR="3AB2AD9E">
        <w:t>a range of factors</w:t>
      </w:r>
      <w:r>
        <w:t>, including</w:t>
      </w:r>
      <w:r w:rsidR="00EB1869">
        <w:t>:</w:t>
      </w:r>
      <w:r>
        <w:t xml:space="preserve"> </w:t>
      </w:r>
    </w:p>
    <w:p w14:paraId="471C8E44" w14:textId="515F6211" w:rsidR="00EB1869" w:rsidRDefault="002E2148" w:rsidP="00593D73">
      <w:pPr>
        <w:pStyle w:val="SingleTxtG"/>
        <w:numPr>
          <w:ilvl w:val="0"/>
          <w:numId w:val="32"/>
        </w:numPr>
        <w:ind w:left="2268" w:hanging="425"/>
      </w:pPr>
      <w:r>
        <w:t xml:space="preserve">cultural </w:t>
      </w:r>
      <w:r w:rsidR="57665E43">
        <w:t>codes and customs</w:t>
      </w:r>
      <w:r w:rsidR="00AD799A">
        <w:t>,</w:t>
      </w:r>
      <w:r>
        <w:t xml:space="preserve"> </w:t>
      </w:r>
    </w:p>
    <w:p w14:paraId="4952321B" w14:textId="77777777" w:rsidR="00EB1869" w:rsidRDefault="002E2148" w:rsidP="00593D73">
      <w:pPr>
        <w:pStyle w:val="SingleTxtG"/>
        <w:numPr>
          <w:ilvl w:val="0"/>
          <w:numId w:val="32"/>
        </w:numPr>
        <w:ind w:left="2268" w:hanging="425"/>
      </w:pPr>
      <w:r w:rsidRPr="00341436">
        <w:t xml:space="preserve">personal preferences, </w:t>
      </w:r>
    </w:p>
    <w:p w14:paraId="2DD59B53" w14:textId="77777777" w:rsidR="00EB1869" w:rsidRDefault="002E2148" w:rsidP="00593D73">
      <w:pPr>
        <w:pStyle w:val="SingleTxtG"/>
        <w:numPr>
          <w:ilvl w:val="0"/>
          <w:numId w:val="32"/>
        </w:numPr>
        <w:ind w:left="2268" w:hanging="425"/>
      </w:pPr>
      <w:r w:rsidRPr="00341436">
        <w:t xml:space="preserve">previous experiences with medications or vaccines, </w:t>
      </w:r>
    </w:p>
    <w:p w14:paraId="09729BC3" w14:textId="38FD3F89" w:rsidR="00EB1869" w:rsidRDefault="002E2148" w:rsidP="00593D73">
      <w:pPr>
        <w:pStyle w:val="SingleTxtG"/>
        <w:numPr>
          <w:ilvl w:val="0"/>
          <w:numId w:val="32"/>
        </w:numPr>
        <w:ind w:left="2268" w:hanging="425"/>
      </w:pPr>
      <w:r w:rsidRPr="00341436">
        <w:t>access to health</w:t>
      </w:r>
      <w:r>
        <w:t xml:space="preserve"> </w:t>
      </w:r>
      <w:r w:rsidRPr="00341436">
        <w:t>care</w:t>
      </w:r>
      <w:r w:rsidR="00EB1869">
        <w:t>,</w:t>
      </w:r>
      <w:r w:rsidRPr="00341436">
        <w:t xml:space="preserve"> and </w:t>
      </w:r>
    </w:p>
    <w:p w14:paraId="7AD09B05" w14:textId="77777777" w:rsidR="00EB1869" w:rsidRDefault="002E2148" w:rsidP="00593D73">
      <w:pPr>
        <w:pStyle w:val="SingleTxtG"/>
        <w:numPr>
          <w:ilvl w:val="0"/>
          <w:numId w:val="32"/>
        </w:numPr>
        <w:ind w:left="2268" w:hanging="425"/>
      </w:pPr>
      <w:r>
        <w:t xml:space="preserve">trust in health-care providers or authorities. </w:t>
      </w:r>
    </w:p>
    <w:p w14:paraId="350E6669" w14:textId="51E38D3D" w:rsidR="002E2148" w:rsidRPr="00607FFB" w:rsidRDefault="002E2148" w:rsidP="00E80810">
      <w:pPr>
        <w:pStyle w:val="SingleTxtG"/>
        <w:rPr>
          <w:rStyle w:val="EndnoteReference"/>
          <w:vertAlign w:val="baseline"/>
        </w:rPr>
      </w:pPr>
      <w:r w:rsidRPr="00341436">
        <w:t xml:space="preserve">For example, a medicine or vaccine may be effective in treating or preventing a particular disease but if patients or individuals </w:t>
      </w:r>
      <w:r w:rsidR="00492B70">
        <w:t>think</w:t>
      </w:r>
      <w:r w:rsidR="00492B70" w:rsidRPr="00341436">
        <w:t xml:space="preserve"> </w:t>
      </w:r>
      <w:r w:rsidRPr="00341436">
        <w:t xml:space="preserve">it </w:t>
      </w:r>
      <w:r w:rsidR="00F759F4">
        <w:t>i</w:t>
      </w:r>
      <w:r w:rsidRPr="00341436">
        <w:t xml:space="preserve">s unsafe or ineffective, they may be hesitant to use it. Similarly, if a medicine or vaccine is difficult to access or administer, or if it causes significant side effects, patients may be less likely to </w:t>
      </w:r>
      <w:r w:rsidR="00492B70">
        <w:t>follow</w:t>
      </w:r>
      <w:r w:rsidR="00492B70" w:rsidRPr="00341436">
        <w:t xml:space="preserve"> </w:t>
      </w:r>
      <w:r w:rsidRPr="00341436">
        <w:t>the prescribed treatment.</w:t>
      </w:r>
      <w:r w:rsidRPr="000812B8">
        <w:rPr>
          <w:rStyle w:val="EndnoteReference"/>
        </w:rPr>
        <w:endnoteReference w:id="104"/>
      </w:r>
    </w:p>
    <w:p w14:paraId="047B959A" w14:textId="2B59EDEA" w:rsidR="002E2148" w:rsidRPr="00575A6A" w:rsidRDefault="002E2148" w:rsidP="00E80810">
      <w:pPr>
        <w:pStyle w:val="SingleTxtG"/>
        <w:rPr>
          <w:rStyle w:val="EndnoteReference"/>
          <w:vertAlign w:val="baseline"/>
        </w:rPr>
      </w:pPr>
      <w:r>
        <w:lastRenderedPageBreak/>
        <w:t>6</w:t>
      </w:r>
      <w:r w:rsidR="004029B7">
        <w:t>3</w:t>
      </w:r>
      <w:r w:rsidRPr="00341436">
        <w:t>.</w:t>
      </w:r>
      <w:r w:rsidRPr="00341436">
        <w:tab/>
        <w:t xml:space="preserve">Behavioural science plays </w:t>
      </w:r>
      <w:r w:rsidR="00BA2226" w:rsidRPr="00341436">
        <w:t>an</w:t>
      </w:r>
      <w:r w:rsidRPr="00341436">
        <w:t xml:space="preserve"> </w:t>
      </w:r>
      <w:r w:rsidR="00EB1869">
        <w:t>important</w:t>
      </w:r>
      <w:r w:rsidR="00EB1869" w:rsidRPr="00341436">
        <w:t xml:space="preserve"> </w:t>
      </w:r>
      <w:r w:rsidRPr="00341436">
        <w:t xml:space="preserve">role in ensuring access to medicines and vaccines </w:t>
      </w:r>
      <w:r w:rsidR="00F759F4">
        <w:t xml:space="preserve">by </w:t>
      </w:r>
      <w:r w:rsidR="00492B70">
        <w:t xml:space="preserve">identifying and </w:t>
      </w:r>
      <w:r w:rsidRPr="00341436">
        <w:t xml:space="preserve">addressing barriers that may prevent people from seeking or </w:t>
      </w:r>
      <w:r w:rsidR="00492B70">
        <w:t xml:space="preserve">following </w:t>
      </w:r>
      <w:r w:rsidRPr="00341436">
        <w:t>health</w:t>
      </w:r>
      <w:r>
        <w:t>-</w:t>
      </w:r>
      <w:r w:rsidRPr="00341436">
        <w:t xml:space="preserve">care interventions, including vaccines and medicines. </w:t>
      </w:r>
      <w:r w:rsidR="00492B70">
        <w:t>These</w:t>
      </w:r>
      <w:r w:rsidR="00492B70" w:rsidRPr="00341436">
        <w:t xml:space="preserve"> </w:t>
      </w:r>
      <w:r w:rsidRPr="00341436">
        <w:t>approaches can help identify reasons why some people may be hesitant to take vaccines or medicines</w:t>
      </w:r>
      <w:r w:rsidR="00EB1869">
        <w:t xml:space="preserve">, and </w:t>
      </w:r>
      <w:r>
        <w:t xml:space="preserve">can be used to </w:t>
      </w:r>
      <w:r w:rsidR="0010365B">
        <w:t xml:space="preserve">ensure </w:t>
      </w:r>
      <w:r w:rsidRPr="00341436">
        <w:t xml:space="preserve">public health campaigns and messaging </w:t>
      </w:r>
      <w:r w:rsidR="0010365B">
        <w:t xml:space="preserve">address the correct audience and </w:t>
      </w:r>
      <w:r w:rsidRPr="00341436">
        <w:t xml:space="preserve">address </w:t>
      </w:r>
      <w:r w:rsidR="0010365B" w:rsidRPr="00341436">
        <w:t>th</w:t>
      </w:r>
      <w:r w:rsidR="0010365B">
        <w:t>eir</w:t>
      </w:r>
      <w:r w:rsidR="0010365B" w:rsidRPr="00341436">
        <w:t xml:space="preserve"> </w:t>
      </w:r>
      <w:r w:rsidRPr="00341436">
        <w:t xml:space="preserve">concerns. There are also examples of how behavioural science, </w:t>
      </w:r>
      <w:r w:rsidRPr="00DA0C3B">
        <w:t>including social psychology</w:t>
      </w:r>
      <w:r>
        <w:t>,</w:t>
      </w:r>
      <w:r w:rsidRPr="00341436">
        <w:t xml:space="preserve"> can help </w:t>
      </w:r>
      <w:r>
        <w:t xml:space="preserve">to </w:t>
      </w:r>
      <w:r w:rsidRPr="00341436">
        <w:t>improve communication between health</w:t>
      </w:r>
      <w:r>
        <w:t>-</w:t>
      </w:r>
      <w:r w:rsidRPr="00341436">
        <w:t xml:space="preserve">care providers and patients, </w:t>
      </w:r>
      <w:r>
        <w:t xml:space="preserve">e.g. </w:t>
      </w:r>
      <w:r w:rsidRPr="00341436">
        <w:t xml:space="preserve">through the use of </w:t>
      </w:r>
      <w:r>
        <w:t xml:space="preserve">plain </w:t>
      </w:r>
      <w:r w:rsidRPr="00341436">
        <w:t>language, which can improve patients</w:t>
      </w:r>
      <w:r>
        <w:t>’</w:t>
      </w:r>
      <w:r w:rsidRPr="00341436">
        <w:t xml:space="preserve"> understand</w:t>
      </w:r>
      <w:r w:rsidR="00F759F4">
        <w:t>ing of</w:t>
      </w:r>
      <w:r w:rsidRPr="00341436">
        <w:t xml:space="preserve"> the benefits and risks of vaccines and medicines.</w:t>
      </w:r>
      <w:r w:rsidRPr="000812B8">
        <w:rPr>
          <w:rStyle w:val="EndnoteReference"/>
        </w:rPr>
        <w:endnoteReference w:id="105"/>
      </w:r>
      <w:r w:rsidRPr="000812B8">
        <w:rPr>
          <w:rStyle w:val="EndnoteReference"/>
        </w:rPr>
        <w:t xml:space="preserve"> </w:t>
      </w:r>
      <w:r w:rsidRPr="00341436">
        <w:t xml:space="preserve">The recent </w:t>
      </w:r>
      <w:r w:rsidR="00580F25">
        <w:t xml:space="preserve">resolution </w:t>
      </w:r>
      <w:r w:rsidRPr="00341436">
        <w:t>adopt</w:t>
      </w:r>
      <w:r w:rsidR="00580F25">
        <w:t>ed</w:t>
      </w:r>
      <w:r w:rsidRPr="00341436">
        <w:t xml:space="preserve"> by the WHO Executive Board on behavioural </w:t>
      </w:r>
      <w:r>
        <w:t>i</w:t>
      </w:r>
      <w:r w:rsidRPr="00341436">
        <w:t xml:space="preserve">nsights for better health is important </w:t>
      </w:r>
      <w:r w:rsidR="00580F25">
        <w:t xml:space="preserve">to </w:t>
      </w:r>
      <w:r w:rsidR="00580F25" w:rsidRPr="00341436">
        <w:t>acknowledg</w:t>
      </w:r>
      <w:r w:rsidR="00580F25">
        <w:t>ing</w:t>
      </w:r>
      <w:r w:rsidR="00580F25" w:rsidRPr="00341436">
        <w:t xml:space="preserve"> </w:t>
      </w:r>
      <w:r w:rsidRPr="00341436">
        <w:t xml:space="preserve">the centrality of behavioural science in promoting </w:t>
      </w:r>
      <w:r w:rsidR="00580F25">
        <w:t xml:space="preserve">how people </w:t>
      </w:r>
      <w:r w:rsidR="002A350B">
        <w:t>enjoy</w:t>
      </w:r>
      <w:r w:rsidR="00A55575">
        <w:t xml:space="preserve"> </w:t>
      </w:r>
      <w:r w:rsidR="00580F25">
        <w:t xml:space="preserve">their </w:t>
      </w:r>
      <w:r w:rsidRPr="00341436">
        <w:t>right to health.</w:t>
      </w:r>
      <w:r w:rsidRPr="000812B8">
        <w:rPr>
          <w:rStyle w:val="EndnoteReference"/>
        </w:rPr>
        <w:endnoteReference w:id="106"/>
      </w:r>
    </w:p>
    <w:p w14:paraId="1426E50D" w14:textId="618642F5" w:rsidR="002E2148" w:rsidRPr="00575A6A" w:rsidRDefault="002E2148" w:rsidP="00E80810">
      <w:pPr>
        <w:pStyle w:val="SingleTxtG"/>
        <w:rPr>
          <w:rStyle w:val="EndnoteReference"/>
          <w:vertAlign w:val="baseline"/>
        </w:rPr>
      </w:pPr>
      <w:r>
        <w:t>6</w:t>
      </w:r>
      <w:r w:rsidR="004029B7">
        <w:t>4</w:t>
      </w:r>
      <w:r w:rsidRPr="00341436">
        <w:t>.</w:t>
      </w:r>
      <w:r w:rsidRPr="00341436">
        <w:tab/>
      </w:r>
      <w:r>
        <w:t>T</w:t>
      </w:r>
      <w:r w:rsidRPr="00341436">
        <w:t>o promote acceptability, health</w:t>
      </w:r>
      <w:r>
        <w:t>-</w:t>
      </w:r>
      <w:r w:rsidRPr="00341436">
        <w:t xml:space="preserve">care providers and authorities should consider </w:t>
      </w:r>
      <w:r w:rsidR="00492B70" w:rsidRPr="00341436">
        <w:t>patients</w:t>
      </w:r>
      <w:r w:rsidR="00492B70">
        <w:t>’</w:t>
      </w:r>
      <w:r w:rsidR="00492B70" w:rsidRPr="00341436">
        <w:t xml:space="preserve"> or individuals</w:t>
      </w:r>
      <w:r w:rsidR="00492B70">
        <w:t>’</w:t>
      </w:r>
      <w:r w:rsidR="00492B70" w:rsidRPr="00341436">
        <w:t xml:space="preserve"> </w:t>
      </w:r>
      <w:r w:rsidRPr="00341436">
        <w:t>perspectives and needs when developing health</w:t>
      </w:r>
      <w:r>
        <w:t>-</w:t>
      </w:r>
      <w:r w:rsidRPr="00341436">
        <w:t>care policies and programmes. This includes addressing concerns about safety and efficacy, ensuring accessibility, and promoting education and awareness about the importance of using medicines and vaccines as prescribed.</w:t>
      </w:r>
      <w:r w:rsidRPr="000812B8">
        <w:rPr>
          <w:rStyle w:val="EndnoteReference"/>
        </w:rPr>
        <w:endnoteReference w:id="107"/>
      </w:r>
    </w:p>
    <w:p w14:paraId="332DEEBA" w14:textId="58D70E26" w:rsidR="002E2148" w:rsidRPr="00575A6A" w:rsidRDefault="002E2148" w:rsidP="00E80810">
      <w:pPr>
        <w:pStyle w:val="SingleTxtG"/>
        <w:rPr>
          <w:rStyle w:val="EndnoteReference"/>
          <w:vertAlign w:val="baseline"/>
        </w:rPr>
      </w:pPr>
      <w:r w:rsidRPr="00341436">
        <w:t>6</w:t>
      </w:r>
      <w:r w:rsidR="004029B7">
        <w:t>5</w:t>
      </w:r>
      <w:r w:rsidRPr="00341436">
        <w:t>.</w:t>
      </w:r>
      <w:r w:rsidRPr="00341436">
        <w:tab/>
        <w:t xml:space="preserve">Providing accurate and accessible information on the safety, effectiveness and benefits of medicines and vaccines is essential </w:t>
      </w:r>
      <w:r w:rsidR="00EB1869">
        <w:t xml:space="preserve">to build </w:t>
      </w:r>
      <w:r w:rsidRPr="00341436">
        <w:t xml:space="preserve">trust and </w:t>
      </w:r>
      <w:r w:rsidR="00EB1869" w:rsidRPr="00341436">
        <w:t>increas</w:t>
      </w:r>
      <w:r w:rsidR="00EB1869">
        <w:t>e</w:t>
      </w:r>
      <w:r w:rsidR="00EB1869" w:rsidRPr="00341436">
        <w:t xml:space="preserve"> </w:t>
      </w:r>
      <w:r w:rsidRPr="00341436">
        <w:t xml:space="preserve">acceptability. Health communication should be </w:t>
      </w:r>
      <w:r w:rsidR="0010365B">
        <w:t>written specifically for</w:t>
      </w:r>
      <w:r w:rsidRPr="00341436">
        <w:t xml:space="preserve"> different audiences, using culturally appropriate language and messaging </w:t>
      </w:r>
      <w:r w:rsidR="00EB1869">
        <w:t xml:space="preserve">to allow </w:t>
      </w:r>
      <w:r w:rsidR="00EB1869" w:rsidRPr="00341436">
        <w:t>different communities</w:t>
      </w:r>
      <w:r w:rsidR="00EB1869">
        <w:t xml:space="preserve"> to understand</w:t>
      </w:r>
      <w:r w:rsidRPr="00341436">
        <w:t xml:space="preserve">. To improve levels of acceptance, public information campaigns </w:t>
      </w:r>
      <w:r w:rsidR="00B93291">
        <w:t xml:space="preserve">must </w:t>
      </w:r>
      <w:r w:rsidRPr="00341436">
        <w:t xml:space="preserve">reach all social groups, </w:t>
      </w:r>
      <w:r w:rsidR="00492B70">
        <w:t>especially</w:t>
      </w:r>
      <w:r w:rsidRPr="00341436">
        <w:t xml:space="preserve"> the most marginalized, to ensure that </w:t>
      </w:r>
      <w:r w:rsidR="00EB1869">
        <w:t xml:space="preserve">everyone has </w:t>
      </w:r>
      <w:r w:rsidRPr="00341436">
        <w:t>access to vaccines.</w:t>
      </w:r>
      <w:r w:rsidRPr="000812B8">
        <w:rPr>
          <w:rStyle w:val="EndnoteReference"/>
        </w:rPr>
        <w:endnoteReference w:id="108"/>
      </w:r>
    </w:p>
    <w:p w14:paraId="042C2898" w14:textId="4D46B5CD" w:rsidR="002E2148" w:rsidRPr="00D9281A" w:rsidRDefault="002E2148" w:rsidP="00E80810">
      <w:pPr>
        <w:pStyle w:val="SingleTxtG"/>
        <w:rPr>
          <w:rStyle w:val="EndnoteReference"/>
          <w:vertAlign w:val="baseline"/>
        </w:rPr>
      </w:pPr>
      <w:r w:rsidRPr="00341436">
        <w:t>6</w:t>
      </w:r>
      <w:r w:rsidR="004029B7">
        <w:t>6</w:t>
      </w:r>
      <w:r w:rsidRPr="00341436">
        <w:t>.</w:t>
      </w:r>
      <w:r w:rsidRPr="00341436">
        <w:tab/>
        <w:t xml:space="preserve">Similarly, engaging with communities and involving them in the decision-making process </w:t>
      </w:r>
      <w:r>
        <w:t>is essential to</w:t>
      </w:r>
      <w:r w:rsidRPr="00341436">
        <w:t xml:space="preserve"> increas</w:t>
      </w:r>
      <w:r>
        <w:t>ing</w:t>
      </w:r>
      <w:r w:rsidRPr="00341436">
        <w:t xml:space="preserve"> trust </w:t>
      </w:r>
      <w:r>
        <w:t xml:space="preserve">in </w:t>
      </w:r>
      <w:r w:rsidRPr="00341436">
        <w:t xml:space="preserve">and </w:t>
      </w:r>
      <w:r>
        <w:t xml:space="preserve">the </w:t>
      </w:r>
      <w:r w:rsidRPr="00341436">
        <w:t>acceptability of medicines and vaccines. This can include working with community leader</w:t>
      </w:r>
      <w:r>
        <w:t>s</w:t>
      </w:r>
      <w:r w:rsidRPr="00341436">
        <w:t xml:space="preserve"> and faith-based organizations,</w:t>
      </w:r>
      <w:r w:rsidRPr="000812B8">
        <w:rPr>
          <w:rStyle w:val="EndnoteReference"/>
        </w:rPr>
        <w:endnoteReference w:id="109"/>
      </w:r>
      <w:r w:rsidRPr="000812B8">
        <w:rPr>
          <w:rStyle w:val="EndnoteReference"/>
        </w:rPr>
        <w:t xml:space="preserve"> </w:t>
      </w:r>
      <w:r w:rsidRPr="00341436">
        <w:t>health</w:t>
      </w:r>
      <w:r>
        <w:t>-</w:t>
      </w:r>
      <w:r w:rsidRPr="00341436">
        <w:t>care providers and patient advocates to provide information and address concerns.</w:t>
      </w:r>
      <w:r w:rsidRPr="000812B8">
        <w:rPr>
          <w:rStyle w:val="EndnoteReference"/>
        </w:rPr>
        <w:endnoteReference w:id="110"/>
      </w:r>
      <w:r w:rsidRPr="000812B8">
        <w:rPr>
          <w:rStyle w:val="EndnoteReference"/>
        </w:rPr>
        <w:t xml:space="preserve"> </w:t>
      </w:r>
      <w:r w:rsidRPr="00341436">
        <w:t xml:space="preserve">Information campaigns, surveys, interviews and various research methodologies can help contextualize interventions. </w:t>
      </w:r>
      <w:bookmarkStart w:id="16" w:name="_Hlk129118687"/>
      <w:r w:rsidRPr="00341436">
        <w:t>Understanding people</w:t>
      </w:r>
      <w:r>
        <w:t>’</w:t>
      </w:r>
      <w:r w:rsidRPr="00341436">
        <w:t>s concerns allow</w:t>
      </w:r>
      <w:r>
        <w:t>s</w:t>
      </w:r>
      <w:r w:rsidRPr="00341436">
        <w:t xml:space="preserve"> t</w:t>
      </w:r>
      <w:r>
        <w:t>he</w:t>
      </w:r>
      <w:r w:rsidRPr="00341436">
        <w:t xml:space="preserve"> design</w:t>
      </w:r>
      <w:r>
        <w:t xml:space="preserve"> of</w:t>
      </w:r>
      <w:r w:rsidRPr="00341436">
        <w:t xml:space="preserve"> </w:t>
      </w:r>
      <w:r w:rsidR="00523E7A">
        <w:t xml:space="preserve">specifically targeted </w:t>
      </w:r>
      <w:r w:rsidRPr="00341436">
        <w:t xml:space="preserve">interventions that are multiple, layered and deployed at the local level, taking into consideration the specific </w:t>
      </w:r>
      <w:bookmarkEnd w:id="16"/>
      <w:r w:rsidR="002A350B">
        <w:t>area</w:t>
      </w:r>
      <w:r w:rsidRPr="00341436">
        <w:t>.</w:t>
      </w:r>
      <w:r w:rsidRPr="000812B8">
        <w:rPr>
          <w:rStyle w:val="EndnoteReference"/>
        </w:rPr>
        <w:endnoteReference w:id="111"/>
      </w:r>
    </w:p>
    <w:p w14:paraId="704D16A1" w14:textId="24334AA2" w:rsidR="00E80810" w:rsidRPr="00F26153" w:rsidRDefault="002E2148" w:rsidP="00593D73">
      <w:pPr>
        <w:pStyle w:val="HChG"/>
        <w:rPr>
          <w:bCs/>
        </w:rPr>
      </w:pPr>
      <w:r w:rsidRPr="00341436">
        <w:tab/>
      </w:r>
    </w:p>
    <w:p w14:paraId="66D08872" w14:textId="2D5093AD" w:rsidR="007268F9" w:rsidRPr="00E75317" w:rsidRDefault="00E80810" w:rsidP="00E534B3">
      <w:pPr>
        <w:spacing w:before="240"/>
        <w:jc w:val="center"/>
      </w:pPr>
      <w:bookmarkStart w:id="17" w:name="Endnotes"/>
      <w:r w:rsidRPr="007E00C9">
        <w:rPr>
          <w:u w:val="single"/>
        </w:rPr>
        <w:tab/>
      </w:r>
      <w:r w:rsidRPr="007E00C9">
        <w:rPr>
          <w:u w:val="single"/>
        </w:rPr>
        <w:tab/>
      </w:r>
      <w:r w:rsidRPr="007E00C9">
        <w:rPr>
          <w:u w:val="single"/>
        </w:rPr>
        <w:tab/>
      </w:r>
      <w:bookmarkEnd w:id="17"/>
    </w:p>
    <w:sectPr w:rsidR="007268F9" w:rsidRPr="00E75317" w:rsidSect="006C6ED8">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F6D6E" w14:textId="77777777" w:rsidR="00296DAB" w:rsidRPr="00C47B2E" w:rsidRDefault="00296DAB" w:rsidP="00C47B2E">
      <w:pPr>
        <w:pStyle w:val="Footer"/>
      </w:pPr>
    </w:p>
  </w:endnote>
  <w:endnote w:type="continuationSeparator" w:id="0">
    <w:p w14:paraId="0A49593D" w14:textId="77777777" w:rsidR="00296DAB" w:rsidRPr="00C47B2E" w:rsidRDefault="00296DAB" w:rsidP="00C47B2E">
      <w:pPr>
        <w:pStyle w:val="Footer"/>
      </w:pPr>
    </w:p>
  </w:endnote>
  <w:endnote w:type="continuationNotice" w:id="1">
    <w:p w14:paraId="504D4644" w14:textId="77777777" w:rsidR="00296DAB" w:rsidRPr="00C47B2E" w:rsidRDefault="00296DAB" w:rsidP="00C47B2E">
      <w:pPr>
        <w:pStyle w:val="Footer"/>
      </w:pPr>
    </w:p>
  </w:endnote>
  <w:endnote w:id="2">
    <w:p w14:paraId="5332D096" w14:textId="6226612F" w:rsidR="00AD07F3" w:rsidRPr="00593D73" w:rsidRDefault="00AD07F3" w:rsidP="00593D73">
      <w:pPr>
        <w:pStyle w:val="EndnoteText"/>
        <w:tabs>
          <w:tab w:val="clear" w:pos="1021"/>
          <w:tab w:val="clear" w:pos="1134"/>
          <w:tab w:val="clear" w:pos="1701"/>
          <w:tab w:val="clear" w:pos="2268"/>
        </w:tabs>
        <w:ind w:hanging="141"/>
        <w:rPr>
          <w:lang w:val="en-US"/>
        </w:rPr>
      </w:pPr>
      <w:r>
        <w:rPr>
          <w:rStyle w:val="EndnoteReference"/>
        </w:rPr>
        <w:endnoteRef/>
      </w:r>
      <w:r>
        <w:rPr>
          <w:lang w:val="en-US"/>
        </w:rPr>
        <w:t xml:space="preserve">  Original title: </w:t>
      </w:r>
      <w:r w:rsidRPr="00593D73">
        <w:rPr>
          <w:lang w:val="en-US"/>
        </w:rPr>
        <w:t>Compendium of good practices on access to medicines, vaccines and other health products on how everyone can enjoy their right to receive the highest attainable standard of physical and mental health</w:t>
      </w:r>
    </w:p>
  </w:endnote>
  <w:endnote w:id="3">
    <w:p w14:paraId="76AA4631" w14:textId="250AC890" w:rsidR="002E2148" w:rsidRPr="004A482B" w:rsidRDefault="002E2148" w:rsidP="00150419">
      <w:pPr>
        <w:pStyle w:val="EndnoteText"/>
      </w:pPr>
      <w:r w:rsidRPr="004A482B">
        <w:tab/>
      </w:r>
      <w:r w:rsidRPr="000812B8">
        <w:rPr>
          <w:rStyle w:val="EndnoteReference"/>
        </w:rPr>
        <w:endnoteRef/>
      </w:r>
      <w:r w:rsidRPr="000812B8">
        <w:rPr>
          <w:rStyle w:val="EndnoteReference"/>
        </w:rPr>
        <w:tab/>
      </w:r>
      <w:r>
        <w:t>See</w:t>
      </w:r>
      <w:r w:rsidRPr="004A482B">
        <w:t xml:space="preserve"> </w:t>
      </w:r>
      <w:r w:rsidRPr="004C7E02">
        <w:t>https://www.ohchr.org/en/calls-for-input/2023/call-contributions-good-practices-ensuring-access-medicines-vaccines-and-other</w:t>
      </w:r>
      <w:r w:rsidRPr="004A482B">
        <w:t>.</w:t>
      </w:r>
    </w:p>
  </w:endnote>
  <w:endnote w:id="4">
    <w:p w14:paraId="51DE9E9F" w14:textId="77777777" w:rsidR="002E2148" w:rsidRPr="004A482B" w:rsidRDefault="002E2148" w:rsidP="002E2148">
      <w:pPr>
        <w:pStyle w:val="EndnoteText"/>
      </w:pPr>
      <w:r w:rsidRPr="004A482B">
        <w:tab/>
      </w:r>
      <w:r w:rsidRPr="000812B8">
        <w:rPr>
          <w:rStyle w:val="EndnoteReference"/>
        </w:rPr>
        <w:endnoteRef/>
      </w:r>
      <w:r w:rsidRPr="000812B8">
        <w:rPr>
          <w:rStyle w:val="EndnoteReference"/>
        </w:rPr>
        <w:tab/>
      </w:r>
      <w:r w:rsidRPr="004A482B">
        <w:t xml:space="preserve">See </w:t>
      </w:r>
      <w:hyperlink r:id="rId1" w:history="1">
        <w:r w:rsidRPr="00622842">
          <w:rPr>
            <w:rStyle w:val="Hyperlink"/>
          </w:rPr>
          <w:t>A/63/263</w:t>
        </w:r>
      </w:hyperlink>
      <w:r w:rsidRPr="004A482B">
        <w:t>, annex.</w:t>
      </w:r>
    </w:p>
  </w:endnote>
  <w:endnote w:id="5">
    <w:p w14:paraId="7D53AED9" w14:textId="29BD0ECF"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t>The</w:t>
      </w:r>
      <w:r w:rsidRPr="004A482B">
        <w:t xml:space="preserve"> </w:t>
      </w:r>
      <w:r>
        <w:t>World Health Organization (</w:t>
      </w:r>
      <w:r w:rsidRPr="004C7E02">
        <w:t>WHO)</w:t>
      </w:r>
      <w:r w:rsidRPr="004C7E02">
        <w:rPr>
          <w:i/>
          <w:iCs/>
        </w:rPr>
        <w:t xml:space="preserve"> </w:t>
      </w:r>
      <w:r w:rsidRPr="004C7E02">
        <w:t xml:space="preserve">has described </w:t>
      </w:r>
      <w:r>
        <w:t>“</w:t>
      </w:r>
      <w:r w:rsidRPr="004C7E02">
        <w:t>other health products</w:t>
      </w:r>
      <w:r>
        <w:t>”</w:t>
      </w:r>
      <w:r w:rsidRPr="004C7E02">
        <w:t xml:space="preserve"> as including </w:t>
      </w:r>
      <w:r w:rsidRPr="004A482B">
        <w:t>medical devices, diagnostics, protective equipment and assistive devices.</w:t>
      </w:r>
      <w:r w:rsidRPr="004C7E02">
        <w:t xml:space="preserve"> WHO,</w:t>
      </w:r>
      <w:r w:rsidRPr="00B27347">
        <w:rPr>
          <w:i/>
          <w:iCs/>
        </w:rPr>
        <w:t xml:space="preserve"> Road Map for Access to Medicines, Vaccines and </w:t>
      </w:r>
      <w:r>
        <w:rPr>
          <w:i/>
          <w:iCs/>
        </w:rPr>
        <w:t>O</w:t>
      </w:r>
      <w:r w:rsidRPr="00B27347">
        <w:rPr>
          <w:i/>
          <w:iCs/>
        </w:rPr>
        <w:t>ther Health Products 2019–2023</w:t>
      </w:r>
      <w:r>
        <w:t xml:space="preserve"> (2019),</w:t>
      </w:r>
      <w:r w:rsidRPr="004A482B">
        <w:t xml:space="preserve"> p. 2</w:t>
      </w:r>
      <w:r>
        <w:t>.</w:t>
      </w:r>
    </w:p>
  </w:endnote>
  <w:endnote w:id="6">
    <w:p w14:paraId="0E67AE26" w14:textId="7777777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t xml:space="preserve">See in particular </w:t>
      </w:r>
      <w:r w:rsidRPr="004C7E02">
        <w:t xml:space="preserve">WHO, </w:t>
      </w:r>
      <w:r w:rsidRPr="00B27347">
        <w:rPr>
          <w:i/>
          <w:iCs/>
        </w:rPr>
        <w:t>Road Map</w:t>
      </w:r>
      <w:r w:rsidRPr="004C7E02">
        <w:t xml:space="preserve"> </w:t>
      </w:r>
      <w:r w:rsidRPr="00B27347">
        <w:rPr>
          <w:i/>
          <w:iCs/>
        </w:rPr>
        <w:t>for Access to Medicines</w:t>
      </w:r>
      <w:r w:rsidRPr="004A482B">
        <w:t>.</w:t>
      </w:r>
    </w:p>
  </w:endnote>
  <w:endnote w:id="7">
    <w:p w14:paraId="3A90B043" w14:textId="77777777" w:rsidR="002E2148" w:rsidRPr="00130ECD" w:rsidRDefault="002E2148" w:rsidP="00150419">
      <w:pPr>
        <w:pStyle w:val="EndnoteText"/>
        <w:rPr>
          <w:lang w:val="en-US"/>
        </w:rPr>
      </w:pPr>
      <w:r w:rsidRPr="004A482B">
        <w:tab/>
      </w:r>
      <w:r w:rsidRPr="000812B8">
        <w:rPr>
          <w:rStyle w:val="EndnoteReference"/>
        </w:rPr>
        <w:endnoteRef/>
      </w:r>
      <w:r w:rsidRPr="000812B8">
        <w:rPr>
          <w:rStyle w:val="EndnoteReference"/>
        </w:rPr>
        <w:t xml:space="preserve"> </w:t>
      </w:r>
      <w:r w:rsidRPr="00130ECD">
        <w:rPr>
          <w:lang w:val="en-US"/>
        </w:rPr>
        <w:tab/>
      </w:r>
      <w:r>
        <w:rPr>
          <w:lang w:val="en-US"/>
        </w:rPr>
        <w:t>General comment No. 14 (2000),</w:t>
      </w:r>
      <w:r w:rsidRPr="00130ECD">
        <w:rPr>
          <w:lang w:val="en-US"/>
        </w:rPr>
        <w:t xml:space="preserve"> para. 12.</w:t>
      </w:r>
    </w:p>
  </w:endnote>
  <w:endnote w:id="8">
    <w:p w14:paraId="5BC6C69E" w14:textId="783425A4"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t>Jillian Clare Kohler and others,</w:t>
      </w:r>
      <w:r w:rsidRPr="004A482B">
        <w:t xml:space="preserve"> </w:t>
      </w:r>
      <w:r>
        <w:t>“</w:t>
      </w:r>
      <w:r w:rsidRPr="004A482B">
        <w:t>Corruption in the pharmaceutical sector</w:t>
      </w:r>
      <w:r>
        <w:t>:</w:t>
      </w:r>
      <w:r w:rsidRPr="004A482B">
        <w:t xml:space="preserve"> </w:t>
      </w:r>
      <w:r>
        <w:t>d</w:t>
      </w:r>
      <w:r w:rsidRPr="004A482B">
        <w:t>iagnosing the challenges</w:t>
      </w:r>
      <w:r>
        <w:t>”</w:t>
      </w:r>
      <w:r w:rsidRPr="004A482B">
        <w:t xml:space="preserve"> </w:t>
      </w:r>
      <w:r>
        <w:t>(</w:t>
      </w:r>
      <w:r w:rsidRPr="004A482B">
        <w:t>Transparency International</w:t>
      </w:r>
      <w:r>
        <w:t xml:space="preserve"> UK</w:t>
      </w:r>
      <w:r w:rsidRPr="004A482B">
        <w:t>, 2016</w:t>
      </w:r>
      <w:r>
        <w:t>)</w:t>
      </w:r>
      <w:r w:rsidRPr="004A482B">
        <w:t>, p. 4.</w:t>
      </w:r>
    </w:p>
  </w:endnote>
  <w:endnote w:id="9">
    <w:p w14:paraId="73BE71CA" w14:textId="1F0B18FE"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rPr>
          <w:vertAlign w:val="superscript"/>
        </w:rPr>
        <w:tab/>
      </w:r>
      <w:r>
        <w:t>Esther de Haan and Albert ten Kate</w:t>
      </w:r>
      <w:r w:rsidRPr="004A482B">
        <w:t xml:space="preserve">, </w:t>
      </w:r>
      <w:r w:rsidRPr="00B27347">
        <w:rPr>
          <w:i/>
          <w:iCs/>
        </w:rPr>
        <w:t>Pharma</w:t>
      </w:r>
      <w:r>
        <w:rPr>
          <w:i/>
          <w:iCs/>
        </w:rPr>
        <w:t>’</w:t>
      </w:r>
      <w:r w:rsidRPr="00B27347">
        <w:rPr>
          <w:i/>
          <w:iCs/>
        </w:rPr>
        <w:t>s Pandemic Profits</w:t>
      </w:r>
      <w:r>
        <w:rPr>
          <w:i/>
          <w:iCs/>
        </w:rPr>
        <w:t>:</w:t>
      </w:r>
      <w:r w:rsidRPr="00B27347">
        <w:rPr>
          <w:i/>
          <w:iCs/>
        </w:rPr>
        <w:t xml:space="preserve"> Pharma </w:t>
      </w:r>
      <w:r>
        <w:rPr>
          <w:i/>
          <w:iCs/>
        </w:rPr>
        <w:t>P</w:t>
      </w:r>
      <w:r w:rsidRPr="00B27347">
        <w:rPr>
          <w:i/>
          <w:iCs/>
        </w:rPr>
        <w:t xml:space="preserve">rofits from COVID-19 </w:t>
      </w:r>
      <w:r>
        <w:rPr>
          <w:i/>
          <w:iCs/>
        </w:rPr>
        <w:t>V</w:t>
      </w:r>
      <w:r w:rsidRPr="00B27347">
        <w:rPr>
          <w:i/>
          <w:iCs/>
        </w:rPr>
        <w:t>accines</w:t>
      </w:r>
      <w:r w:rsidRPr="004A482B">
        <w:t xml:space="preserve"> </w:t>
      </w:r>
      <w:r>
        <w:t xml:space="preserve">(Amsterdam, Centre for Research on Multinational Corporations, </w:t>
      </w:r>
      <w:r w:rsidRPr="004A482B">
        <w:t>February 2023</w:t>
      </w:r>
      <w:r>
        <w:t>)</w:t>
      </w:r>
      <w:r w:rsidRPr="004A482B">
        <w:t>, p.</w:t>
      </w:r>
      <w:r>
        <w:t xml:space="preserve"> </w:t>
      </w:r>
      <w:r w:rsidRPr="004A482B">
        <w:t>11.</w:t>
      </w:r>
    </w:p>
  </w:endnote>
  <w:endnote w:id="10">
    <w:p w14:paraId="6C203CC7" w14:textId="5BD5269E"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t xml:space="preserve">See </w:t>
      </w:r>
      <w:hyperlink r:id="rId2" w:history="1">
        <w:r w:rsidRPr="00622842">
          <w:rPr>
            <w:rStyle w:val="Hyperlink"/>
          </w:rPr>
          <w:t>A/HRC/49/35</w:t>
        </w:r>
      </w:hyperlink>
      <w:r w:rsidRPr="004A482B">
        <w:t xml:space="preserve"> and </w:t>
      </w:r>
      <w:hyperlink r:id="rId3" w:history="1">
        <w:r w:rsidRPr="00622842">
          <w:rPr>
            <w:rStyle w:val="Hyperlink"/>
          </w:rPr>
          <w:t>A/HRC/52/56</w:t>
        </w:r>
      </w:hyperlink>
      <w:r w:rsidRPr="004A482B">
        <w:t>.</w:t>
      </w:r>
    </w:p>
  </w:endnote>
  <w:endnote w:id="11">
    <w:p w14:paraId="2BC89BCD" w14:textId="0628D21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t xml:space="preserve">On the human rights challenges </w:t>
      </w:r>
      <w:r>
        <w:t>stemming from the</w:t>
      </w:r>
      <w:r w:rsidRPr="004A482B">
        <w:t xml:space="preserve"> lack of universal and equitable access to COVID-19 vaccines, see </w:t>
      </w:r>
      <w:hyperlink r:id="rId4" w:history="1">
        <w:r w:rsidRPr="00622842">
          <w:rPr>
            <w:rStyle w:val="Hyperlink"/>
          </w:rPr>
          <w:t>A/HRC/49/35</w:t>
        </w:r>
      </w:hyperlink>
      <w:r w:rsidRPr="004A482B">
        <w:t xml:space="preserve"> and </w:t>
      </w:r>
      <w:hyperlink r:id="rId5" w:history="1">
        <w:r w:rsidRPr="00622842">
          <w:rPr>
            <w:rStyle w:val="Hyperlink"/>
          </w:rPr>
          <w:t>A/HRC/52/56</w:t>
        </w:r>
      </w:hyperlink>
      <w:r w:rsidRPr="004A482B">
        <w:t>.</w:t>
      </w:r>
    </w:p>
  </w:endnote>
  <w:endnote w:id="12">
    <w:p w14:paraId="4A0DC48A" w14:textId="0B1C57E6"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t>Ibid.</w:t>
      </w:r>
      <w:r>
        <w:t xml:space="preserve"> See also</w:t>
      </w:r>
      <w:r w:rsidRPr="004A482B">
        <w:t xml:space="preserve"> </w:t>
      </w:r>
      <w:r>
        <w:t>Veronika J. Wirtz and others,</w:t>
      </w:r>
      <w:r w:rsidRPr="006F3280" w:rsidDel="006F3280">
        <w:t xml:space="preserve"> </w:t>
      </w:r>
      <w:r>
        <w:t>“</w:t>
      </w:r>
      <w:r w:rsidRPr="00B27347">
        <w:t>Essential medicines for universal health coverage</w:t>
      </w:r>
      <w:r>
        <w:t>”,</w:t>
      </w:r>
      <w:r w:rsidRPr="00B27347">
        <w:t xml:space="preserve"> </w:t>
      </w:r>
      <w:r>
        <w:rPr>
          <w:i/>
          <w:iCs/>
        </w:rPr>
        <w:t>The Lancet</w:t>
      </w:r>
      <w:r w:rsidRPr="00B27347">
        <w:t xml:space="preserve">, vol. </w:t>
      </w:r>
      <w:r>
        <w:t>389 (January 2017)</w:t>
      </w:r>
      <w:r w:rsidRPr="006F3280">
        <w:t>.</w:t>
      </w:r>
      <w:r w:rsidRPr="004A482B">
        <w:t xml:space="preserve"> </w:t>
      </w:r>
    </w:p>
  </w:endnote>
  <w:endnote w:id="13">
    <w:p w14:paraId="0D39BD66" w14:textId="6848211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rsidRPr="004C7E02">
        <w:t xml:space="preserve">WHO, </w:t>
      </w:r>
      <w:r>
        <w:t>“</w:t>
      </w:r>
      <w:r w:rsidRPr="004C7E02">
        <w:t>Access to medicines: making market forces serve the poor</w:t>
      </w:r>
      <w:r>
        <w:t>”</w:t>
      </w:r>
      <w:r w:rsidRPr="004C7E02">
        <w:t xml:space="preserve"> (2017</w:t>
      </w:r>
      <w:r>
        <w:rPr>
          <w:rStyle w:val="Hyperlink"/>
          <w:color w:val="auto"/>
          <w:szCs w:val="18"/>
        </w:rPr>
        <w:t>)</w:t>
      </w:r>
      <w:r w:rsidRPr="004A482B">
        <w:t>, p</w:t>
      </w:r>
      <w:r>
        <w:t>p</w:t>
      </w:r>
      <w:r w:rsidRPr="004A482B">
        <w:t>. 1</w:t>
      </w:r>
      <w:r>
        <w:t>4 and 15.</w:t>
      </w:r>
    </w:p>
  </w:endnote>
  <w:endnote w:id="14">
    <w:p w14:paraId="7B23AEAB" w14:textId="7631EF24"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t>WHO and United Nations Children’s Fund (</w:t>
      </w:r>
      <w:r w:rsidRPr="004C7E02">
        <w:t>UNICEF</w:t>
      </w:r>
      <w:r>
        <w:t>)</w:t>
      </w:r>
      <w:r w:rsidRPr="004C7E02">
        <w:t xml:space="preserve">, </w:t>
      </w:r>
      <w:r>
        <w:t>“</w:t>
      </w:r>
      <w:r w:rsidRPr="004C7E02">
        <w:t>COVID-19 pandemic fuels largest continued backslide in vaccinations in three decades</w:t>
      </w:r>
      <w:r>
        <w:rPr>
          <w:rStyle w:val="Hyperlink"/>
          <w:color w:val="auto"/>
          <w:szCs w:val="18"/>
        </w:rPr>
        <w:t>”, 15 July 2022</w:t>
      </w:r>
      <w:r w:rsidRPr="004A482B">
        <w:t>.</w:t>
      </w:r>
    </w:p>
  </w:endnote>
  <w:endnote w:id="15">
    <w:p w14:paraId="22F0D44D" w14:textId="7777777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t xml:space="preserve">See </w:t>
      </w:r>
      <w:r w:rsidRPr="00FA7B1F">
        <w:t>https://www.who.int/health-topics/gender#tab=tab_1</w:t>
      </w:r>
      <w:r>
        <w:t>.</w:t>
      </w:r>
      <w:r w:rsidRPr="004A482B">
        <w:t xml:space="preserve"> </w:t>
      </w:r>
    </w:p>
  </w:endnote>
  <w:endnote w:id="16">
    <w:p w14:paraId="0C0D6352" w14:textId="491EF3D1"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t>WHO, “</w:t>
      </w:r>
      <w:r w:rsidRPr="004C7E02">
        <w:t>Almost one billion children and adults with disabilities and older persons in need of assistive technology denied access, according to new report</w:t>
      </w:r>
      <w:r>
        <w:t>”</w:t>
      </w:r>
      <w:r w:rsidRPr="004C7E02">
        <w:t>, 16 May 2022</w:t>
      </w:r>
      <w:r w:rsidRPr="004A482B">
        <w:t xml:space="preserve">. </w:t>
      </w:r>
    </w:p>
  </w:endnote>
  <w:endnote w:id="17">
    <w:p w14:paraId="78A7EFFE" w14:textId="7002E784"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t>S</w:t>
      </w:r>
      <w:r w:rsidRPr="004A482B">
        <w:t xml:space="preserve">ee </w:t>
      </w:r>
      <w:hyperlink r:id="rId6" w:history="1">
        <w:r w:rsidRPr="00622842">
          <w:rPr>
            <w:rStyle w:val="Hyperlink"/>
          </w:rPr>
          <w:t>A/HRC/49/35</w:t>
        </w:r>
      </w:hyperlink>
      <w:r w:rsidRPr="004A482B">
        <w:t xml:space="preserve"> and </w:t>
      </w:r>
      <w:hyperlink r:id="rId7" w:history="1">
        <w:r w:rsidRPr="00622842">
          <w:rPr>
            <w:rStyle w:val="Hyperlink"/>
          </w:rPr>
          <w:t>A/HRC/52/56</w:t>
        </w:r>
      </w:hyperlink>
      <w:r w:rsidRPr="004A482B">
        <w:t>.</w:t>
      </w:r>
    </w:p>
  </w:endnote>
  <w:endnote w:id="18">
    <w:p w14:paraId="5DAECDBF" w14:textId="67EF8C86"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rsidRPr="004C7E02">
        <w:t xml:space="preserve">WHO, </w:t>
      </w:r>
      <w:r>
        <w:t>“</w:t>
      </w:r>
      <w:r w:rsidRPr="004C7E02">
        <w:t>Access to medicines</w:t>
      </w:r>
      <w:r>
        <w:t>”</w:t>
      </w:r>
      <w:r w:rsidRPr="004A482B">
        <w:t>, p. 15.</w:t>
      </w:r>
    </w:p>
  </w:endnote>
  <w:endnote w:id="19">
    <w:p w14:paraId="1617F693" w14:textId="3A43A3D4"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hyperlink r:id="rId8" w:history="1">
        <w:r w:rsidRPr="00622842">
          <w:rPr>
            <w:rStyle w:val="Hyperlink"/>
          </w:rPr>
          <w:t>A/HRC/17/43</w:t>
        </w:r>
      </w:hyperlink>
      <w:r w:rsidRPr="004A482B">
        <w:t>, para. 32</w:t>
      </w:r>
      <w:r>
        <w:t>.</w:t>
      </w:r>
      <w:r w:rsidRPr="004A482B">
        <w:t xml:space="preserve"> </w:t>
      </w:r>
      <w:r>
        <w:t>S</w:t>
      </w:r>
      <w:r w:rsidRPr="004A482B">
        <w:t xml:space="preserve">ee also </w:t>
      </w:r>
      <w:r w:rsidRPr="004C7E02">
        <w:t xml:space="preserve">WHO, </w:t>
      </w:r>
      <w:r w:rsidRPr="00B27347">
        <w:rPr>
          <w:i/>
          <w:iCs/>
        </w:rPr>
        <w:t xml:space="preserve">Access to NCD </w:t>
      </w:r>
      <w:r w:rsidRPr="004C7E02">
        <w:rPr>
          <w:i/>
          <w:iCs/>
        </w:rPr>
        <w:t>M</w:t>
      </w:r>
      <w:r w:rsidRPr="00B27347">
        <w:rPr>
          <w:i/>
          <w:iCs/>
        </w:rPr>
        <w:t xml:space="preserve">edicines: </w:t>
      </w:r>
      <w:r w:rsidRPr="004C7E02">
        <w:rPr>
          <w:i/>
          <w:iCs/>
        </w:rPr>
        <w:t>E</w:t>
      </w:r>
      <w:r w:rsidRPr="00B27347">
        <w:rPr>
          <w:i/>
          <w:iCs/>
        </w:rPr>
        <w:t xml:space="preserve">mergent </w:t>
      </w:r>
      <w:r w:rsidRPr="004C7E02">
        <w:rPr>
          <w:i/>
          <w:iCs/>
        </w:rPr>
        <w:t>I</w:t>
      </w:r>
      <w:r w:rsidRPr="00B27347">
        <w:rPr>
          <w:i/>
          <w:iCs/>
        </w:rPr>
        <w:t xml:space="preserve">ssues during the COVID-19 </w:t>
      </w:r>
      <w:r w:rsidRPr="004C7E02">
        <w:rPr>
          <w:i/>
          <w:iCs/>
        </w:rPr>
        <w:t>P</w:t>
      </w:r>
      <w:r w:rsidRPr="00B27347">
        <w:rPr>
          <w:i/>
          <w:iCs/>
        </w:rPr>
        <w:t xml:space="preserve">andemic and </w:t>
      </w:r>
      <w:r w:rsidRPr="004C7E02">
        <w:rPr>
          <w:i/>
          <w:iCs/>
        </w:rPr>
        <w:t>K</w:t>
      </w:r>
      <w:r w:rsidRPr="00B27347">
        <w:rPr>
          <w:i/>
          <w:iCs/>
        </w:rPr>
        <w:t xml:space="preserve">ey </w:t>
      </w:r>
      <w:r w:rsidRPr="004C7E02">
        <w:rPr>
          <w:i/>
          <w:iCs/>
        </w:rPr>
        <w:t>S</w:t>
      </w:r>
      <w:r w:rsidRPr="00B27347">
        <w:rPr>
          <w:i/>
          <w:iCs/>
        </w:rPr>
        <w:t xml:space="preserve">tructural </w:t>
      </w:r>
      <w:r w:rsidRPr="004C7E02">
        <w:rPr>
          <w:i/>
          <w:iCs/>
        </w:rPr>
        <w:t>F</w:t>
      </w:r>
      <w:r w:rsidRPr="00B27347">
        <w:rPr>
          <w:i/>
          <w:iCs/>
        </w:rPr>
        <w:t>actors</w:t>
      </w:r>
      <w:r w:rsidRPr="004C7E02">
        <w:t xml:space="preserve"> (2023</w:t>
      </w:r>
      <w:r>
        <w:rPr>
          <w:rStyle w:val="Hyperlink"/>
          <w:color w:val="auto"/>
          <w:szCs w:val="18"/>
        </w:rPr>
        <w:t>)</w:t>
      </w:r>
      <w:r w:rsidRPr="004A482B">
        <w:t>.</w:t>
      </w:r>
    </w:p>
  </w:endnote>
  <w:endnote w:id="20">
    <w:p w14:paraId="305B253E" w14:textId="74040BD8"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rsidRPr="004C7E02">
        <w:t xml:space="preserve">WHO, </w:t>
      </w:r>
      <w:r>
        <w:t>“</w:t>
      </w:r>
      <w:r w:rsidRPr="004C7E02">
        <w:t>Access to medicines</w:t>
      </w:r>
      <w:r>
        <w:t>”</w:t>
      </w:r>
      <w:r w:rsidRPr="004A482B">
        <w:t>, p. 15</w:t>
      </w:r>
      <w:r>
        <w:t>.</w:t>
      </w:r>
      <w:r w:rsidRPr="004A482B">
        <w:t xml:space="preserve"> </w:t>
      </w:r>
      <w:r>
        <w:t>S</w:t>
      </w:r>
      <w:r w:rsidRPr="004A482B">
        <w:t xml:space="preserve">ee also </w:t>
      </w:r>
      <w:r>
        <w:t xml:space="preserve">the </w:t>
      </w:r>
      <w:r w:rsidRPr="004A482B">
        <w:t xml:space="preserve">submission </w:t>
      </w:r>
      <w:r>
        <w:t>from</w:t>
      </w:r>
      <w:r w:rsidRPr="004A482B">
        <w:t xml:space="preserve"> </w:t>
      </w:r>
      <w:r>
        <w:t xml:space="preserve">the </w:t>
      </w:r>
      <w:r w:rsidRPr="005D28F9">
        <w:t>Syria</w:t>
      </w:r>
      <w:r>
        <w:t>n Arab Republic (in Arabic)</w:t>
      </w:r>
      <w:r w:rsidRPr="004A482B">
        <w:t>.</w:t>
      </w:r>
    </w:p>
  </w:endnote>
  <w:endnote w:id="21">
    <w:p w14:paraId="33B08C13" w14:textId="32934072" w:rsidR="002E2148" w:rsidRPr="004A482B" w:rsidRDefault="002E2148" w:rsidP="00150419">
      <w:pPr>
        <w:pStyle w:val="EndnoteText"/>
      </w:pPr>
      <w:r w:rsidRPr="004A482B">
        <w:tab/>
      </w:r>
      <w:r w:rsidRPr="000812B8">
        <w:rPr>
          <w:rStyle w:val="EndnoteReference"/>
        </w:rPr>
        <w:endnoteRef/>
      </w:r>
      <w:r w:rsidRPr="000812B8">
        <w:rPr>
          <w:rStyle w:val="EndnoteReference"/>
        </w:rPr>
        <w:tab/>
      </w:r>
      <w:hyperlink r:id="rId9" w:history="1">
        <w:r w:rsidRPr="00622842">
          <w:rPr>
            <w:rStyle w:val="Hyperlink"/>
          </w:rPr>
          <w:t>A/HRC/49/35</w:t>
        </w:r>
      </w:hyperlink>
      <w:r w:rsidRPr="004A482B">
        <w:t xml:space="preserve">, para. </w:t>
      </w:r>
      <w:r>
        <w:t>4</w:t>
      </w:r>
      <w:r w:rsidRPr="004A482B">
        <w:t>5.</w:t>
      </w:r>
    </w:p>
  </w:endnote>
  <w:endnote w:id="22">
    <w:p w14:paraId="16FA727F" w14:textId="0345B15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t xml:space="preserve">Davide Piaggio </w:t>
      </w:r>
      <w:r>
        <w:t>and others</w:t>
      </w:r>
      <w:r w:rsidRPr="004A482B">
        <w:t xml:space="preserve">, </w:t>
      </w:r>
      <w:r>
        <w:t>“</w:t>
      </w:r>
      <w:r w:rsidRPr="004A482B">
        <w:t>A framework for designing medical devices resilient to low-resource settings</w:t>
      </w:r>
      <w:r>
        <w:t>”</w:t>
      </w:r>
      <w:r w:rsidRPr="004A482B">
        <w:t xml:space="preserve">, </w:t>
      </w:r>
      <w:r w:rsidRPr="00B27347">
        <w:rPr>
          <w:i/>
          <w:iCs/>
        </w:rPr>
        <w:t>Global</w:t>
      </w:r>
      <w:r>
        <w:rPr>
          <w:i/>
          <w:iCs/>
        </w:rPr>
        <w:t>ization and</w:t>
      </w:r>
      <w:r w:rsidRPr="00B27347">
        <w:rPr>
          <w:i/>
          <w:iCs/>
        </w:rPr>
        <w:t xml:space="preserve"> Health</w:t>
      </w:r>
      <w:r>
        <w:t>, vol.</w:t>
      </w:r>
      <w:r w:rsidRPr="0062705C">
        <w:t xml:space="preserve"> </w:t>
      </w:r>
      <w:r w:rsidRPr="004A482B">
        <w:t xml:space="preserve">17, </w:t>
      </w:r>
      <w:r>
        <w:t xml:space="preserve">No. </w:t>
      </w:r>
      <w:r w:rsidRPr="004A482B">
        <w:t>64 (2021).</w:t>
      </w:r>
    </w:p>
  </w:endnote>
  <w:endnote w:id="23">
    <w:p w14:paraId="21073174" w14:textId="7777777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rsidRPr="004C7E02">
        <w:t>WHO</w:t>
      </w:r>
      <w:r w:rsidRPr="00B27347">
        <w:rPr>
          <w:i/>
          <w:iCs/>
        </w:rPr>
        <w:t>, Road Map</w:t>
      </w:r>
      <w:r w:rsidRPr="004C7E02">
        <w:t xml:space="preserve"> </w:t>
      </w:r>
      <w:r w:rsidRPr="00B27347">
        <w:rPr>
          <w:i/>
          <w:iCs/>
        </w:rPr>
        <w:t>for Access to Medicines</w:t>
      </w:r>
      <w:r w:rsidRPr="004C7E02">
        <w:t xml:space="preserve">, </w:t>
      </w:r>
      <w:r w:rsidRPr="004A482B">
        <w:t>p. 16.</w:t>
      </w:r>
    </w:p>
  </w:endnote>
  <w:endnote w:id="24">
    <w:p w14:paraId="2C00F546" w14:textId="57A7CA32"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t xml:space="preserve">Florian Till </w:t>
      </w:r>
      <w:r>
        <w:t>and others</w:t>
      </w:r>
      <w:r w:rsidRPr="004A482B">
        <w:t xml:space="preserve">, </w:t>
      </w:r>
      <w:r>
        <w:t>“</w:t>
      </w:r>
      <w:r w:rsidRPr="004A482B">
        <w:t xml:space="preserve">Governing the </w:t>
      </w:r>
      <w:r>
        <w:t>p</w:t>
      </w:r>
      <w:r w:rsidRPr="004A482B">
        <w:t xml:space="preserve">ublic </w:t>
      </w:r>
      <w:r>
        <w:t>p</w:t>
      </w:r>
      <w:r w:rsidRPr="004A482B">
        <w:t xml:space="preserve">rivate </w:t>
      </w:r>
      <w:r>
        <w:t>p</w:t>
      </w:r>
      <w:r w:rsidRPr="004A482B">
        <w:t xml:space="preserve">artnerships of the </w:t>
      </w:r>
      <w:r>
        <w:t>f</w:t>
      </w:r>
      <w:r w:rsidRPr="004A482B">
        <w:t xml:space="preserve">uture: </w:t>
      </w:r>
      <w:r>
        <w:t>l</w:t>
      </w:r>
      <w:r w:rsidRPr="004A482B">
        <w:t xml:space="preserve">earnings from the </w:t>
      </w:r>
      <w:r>
        <w:t>e</w:t>
      </w:r>
      <w:r w:rsidRPr="004A482B">
        <w:t xml:space="preserve">xperiences in </w:t>
      </w:r>
      <w:r>
        <w:t>p</w:t>
      </w:r>
      <w:r w:rsidRPr="004A482B">
        <w:t xml:space="preserve">andemic </w:t>
      </w:r>
      <w:r>
        <w:t>t</w:t>
      </w:r>
      <w:r w:rsidRPr="004A482B">
        <w:t>imes</w:t>
      </w:r>
      <w:r>
        <w:t>”</w:t>
      </w:r>
      <w:r w:rsidRPr="004A482B">
        <w:t xml:space="preserve">, </w:t>
      </w:r>
      <w:r w:rsidRPr="00B27347">
        <w:rPr>
          <w:i/>
          <w:iCs/>
        </w:rPr>
        <w:t>Eurohealth</w:t>
      </w:r>
      <w:r w:rsidRPr="004A482B">
        <w:t xml:space="preserve">, </w:t>
      </w:r>
      <w:r>
        <w:t>v</w:t>
      </w:r>
      <w:r w:rsidRPr="004A482B">
        <w:t>ol.</w:t>
      </w:r>
      <w:r>
        <w:t xml:space="preserve"> </w:t>
      </w:r>
      <w:r w:rsidRPr="004A482B">
        <w:t>27,</w:t>
      </w:r>
      <w:r>
        <w:t xml:space="preserve"> </w:t>
      </w:r>
      <w:r w:rsidRPr="004A482B">
        <w:t>No.</w:t>
      </w:r>
      <w:r>
        <w:t xml:space="preserve"> </w:t>
      </w:r>
      <w:r w:rsidRPr="004A482B">
        <w:t xml:space="preserve">1 </w:t>
      </w:r>
      <w:r>
        <w:t>(</w:t>
      </w:r>
      <w:r w:rsidRPr="004A482B">
        <w:t>2021</w:t>
      </w:r>
      <w:r>
        <w:t>)</w:t>
      </w:r>
      <w:r w:rsidRPr="0028074A">
        <w:t>.</w:t>
      </w:r>
    </w:p>
  </w:endnote>
  <w:endnote w:id="25">
    <w:p w14:paraId="41CABCD0" w14:textId="77777777" w:rsidR="006E4F70" w:rsidRPr="004A482B" w:rsidRDefault="006E4F70" w:rsidP="006E4F70">
      <w:pPr>
        <w:pStyle w:val="EndnoteText"/>
      </w:pPr>
      <w:r w:rsidRPr="004A482B">
        <w:tab/>
      </w:r>
      <w:r w:rsidRPr="000812B8">
        <w:rPr>
          <w:rStyle w:val="EndnoteReference"/>
        </w:rPr>
        <w:endnoteRef/>
      </w:r>
      <w:r w:rsidRPr="000812B8">
        <w:rPr>
          <w:rStyle w:val="EndnoteReference"/>
        </w:rPr>
        <w:t xml:space="preserve"> </w:t>
      </w:r>
      <w:r w:rsidRPr="004A482B">
        <w:tab/>
      </w:r>
      <w:r>
        <w:t xml:space="preserve">See, for example, </w:t>
      </w:r>
      <w:r w:rsidRPr="003B6977">
        <w:t xml:space="preserve">Ernst R. Berndt and others, </w:t>
      </w:r>
      <w:r>
        <w:t>“</w:t>
      </w:r>
      <w:r w:rsidRPr="003B6977">
        <w:t>Advance market commitments for vaccines against neglected diseases: estimating costs and effectiveness</w:t>
      </w:r>
      <w:r>
        <w:t>”</w:t>
      </w:r>
      <w:r w:rsidRPr="003B6977">
        <w:t xml:space="preserve">, </w:t>
      </w:r>
      <w:r w:rsidRPr="003B6977">
        <w:rPr>
          <w:i/>
          <w:iCs/>
        </w:rPr>
        <w:t>Health Economics,</w:t>
      </w:r>
      <w:r w:rsidRPr="003B6977">
        <w:t xml:space="preserve"> vol. 16, No. 5 (2005).</w:t>
      </w:r>
    </w:p>
  </w:endnote>
  <w:endnote w:id="26">
    <w:p w14:paraId="24F0E86F" w14:textId="77777777" w:rsidR="00CB45B5" w:rsidRPr="004A482B" w:rsidRDefault="00CB45B5" w:rsidP="00CB45B5">
      <w:pPr>
        <w:pStyle w:val="EndnoteText"/>
      </w:pPr>
      <w:r w:rsidRPr="004A482B">
        <w:tab/>
      </w:r>
      <w:r w:rsidRPr="000812B8">
        <w:rPr>
          <w:rStyle w:val="EndnoteReference"/>
        </w:rPr>
        <w:endnoteRef/>
      </w:r>
      <w:r w:rsidRPr="000812B8">
        <w:rPr>
          <w:rStyle w:val="EndnoteReference"/>
        </w:rPr>
        <w:t xml:space="preserve"> </w:t>
      </w:r>
      <w:r w:rsidRPr="004A482B">
        <w:tab/>
      </w:r>
      <w:r>
        <w:t xml:space="preserve">See </w:t>
      </w:r>
      <w:r w:rsidRPr="00F42BDF">
        <w:t>https://www.gavi.org/news/media-room/covax-announces-new-agreement-plans-first-deliveries</w:t>
      </w:r>
      <w:r w:rsidRPr="00CA4226">
        <w:t>.</w:t>
      </w:r>
    </w:p>
  </w:endnote>
  <w:endnote w:id="27">
    <w:p w14:paraId="01B388C5" w14:textId="77777777" w:rsidR="00CB45B5" w:rsidRPr="002156D0" w:rsidRDefault="00CB45B5" w:rsidP="00CB45B5">
      <w:pPr>
        <w:pStyle w:val="EndnoteText"/>
      </w:pPr>
      <w:r w:rsidRPr="004A482B">
        <w:tab/>
      </w:r>
      <w:r w:rsidRPr="000812B8">
        <w:rPr>
          <w:rStyle w:val="EndnoteReference"/>
        </w:rPr>
        <w:endnoteRef/>
      </w:r>
      <w:r w:rsidRPr="000812B8">
        <w:rPr>
          <w:rStyle w:val="EndnoteReference"/>
        </w:rPr>
        <w:t xml:space="preserve"> </w:t>
      </w:r>
      <w:r w:rsidRPr="004A482B">
        <w:tab/>
      </w:r>
      <w:r>
        <w:t xml:space="preserve">See </w:t>
      </w:r>
      <w:r w:rsidRPr="00B27347">
        <w:t>https://www.theglobalfund.org/en/</w:t>
      </w:r>
      <w:r w:rsidRPr="002156D0">
        <w:t>.</w:t>
      </w:r>
    </w:p>
  </w:endnote>
  <w:endnote w:id="28">
    <w:p w14:paraId="068D6228" w14:textId="77777777" w:rsidR="00CB45B5" w:rsidRPr="002156D0" w:rsidRDefault="00CB45B5" w:rsidP="00CB45B5">
      <w:pPr>
        <w:pStyle w:val="EndnoteText"/>
      </w:pPr>
      <w:r w:rsidRPr="002156D0">
        <w:tab/>
      </w:r>
      <w:r w:rsidRPr="000812B8">
        <w:rPr>
          <w:rStyle w:val="EndnoteReference"/>
        </w:rPr>
        <w:endnoteRef/>
      </w:r>
      <w:r w:rsidRPr="000812B8">
        <w:rPr>
          <w:rStyle w:val="EndnoteReference"/>
        </w:rPr>
        <w:t xml:space="preserve"> </w:t>
      </w:r>
      <w:r w:rsidRPr="002156D0">
        <w:tab/>
      </w:r>
      <w:r>
        <w:t xml:space="preserve">See </w:t>
      </w:r>
      <w:r w:rsidRPr="00B27347">
        <w:t>https://www.mmv.org/</w:t>
      </w:r>
      <w:r w:rsidRPr="002156D0">
        <w:t xml:space="preserve">. </w:t>
      </w:r>
    </w:p>
  </w:endnote>
  <w:endnote w:id="29">
    <w:p w14:paraId="4945EDA1" w14:textId="77777777" w:rsidR="00CB45B5" w:rsidRPr="00B27347" w:rsidRDefault="00CB45B5" w:rsidP="00CB45B5">
      <w:pPr>
        <w:pStyle w:val="EndnoteText"/>
        <w:rPr>
          <w:highlight w:val="yellow"/>
        </w:rPr>
      </w:pPr>
      <w:r w:rsidRPr="002156D0">
        <w:tab/>
      </w:r>
      <w:r w:rsidRPr="000812B8">
        <w:rPr>
          <w:rStyle w:val="EndnoteReference"/>
        </w:rPr>
        <w:endnoteRef/>
      </w:r>
      <w:r w:rsidRPr="000812B8">
        <w:rPr>
          <w:rStyle w:val="EndnoteReference"/>
        </w:rPr>
        <w:t xml:space="preserve"> </w:t>
      </w:r>
      <w:r w:rsidRPr="002156D0">
        <w:tab/>
      </w:r>
      <w:r>
        <w:t xml:space="preserve">See </w:t>
      </w:r>
      <w:r w:rsidRPr="00B27347">
        <w:t>https://www.imi.europa.eu/</w:t>
      </w:r>
      <w:r w:rsidRPr="002156D0">
        <w:t>.</w:t>
      </w:r>
      <w:r w:rsidRPr="00B27347">
        <w:rPr>
          <w:highlight w:val="yellow"/>
        </w:rPr>
        <w:t xml:space="preserve"> </w:t>
      </w:r>
    </w:p>
  </w:endnote>
  <w:endnote w:id="30">
    <w:p w14:paraId="6807F9FC" w14:textId="77777777" w:rsidR="00CB45B5" w:rsidRPr="004A482B" w:rsidRDefault="00CB45B5" w:rsidP="00CB45B5">
      <w:pPr>
        <w:pStyle w:val="EndnoteText"/>
        <w:rPr>
          <w:lang w:val="en-US"/>
        </w:rPr>
      </w:pPr>
      <w:r w:rsidRPr="002156D0">
        <w:tab/>
      </w:r>
      <w:r w:rsidRPr="000812B8">
        <w:rPr>
          <w:rStyle w:val="EndnoteReference"/>
        </w:rPr>
        <w:endnoteRef/>
      </w:r>
      <w:r w:rsidRPr="000812B8">
        <w:rPr>
          <w:rStyle w:val="EndnoteReference"/>
        </w:rPr>
        <w:t xml:space="preserve"> </w:t>
      </w:r>
      <w:r w:rsidRPr="002156D0">
        <w:tab/>
      </w:r>
      <w:r w:rsidRPr="002156D0">
        <w:rPr>
          <w:lang w:val="en-US"/>
        </w:rPr>
        <w:t>See https://globalhealthprogress.org/collaboration/access-to-oncology-medicines-atom-coalition/</w:t>
      </w:r>
      <w:r>
        <w:rPr>
          <w:lang w:val="en-US"/>
        </w:rPr>
        <w:t>.</w:t>
      </w:r>
    </w:p>
  </w:endnote>
  <w:endnote w:id="31">
    <w:p w14:paraId="150E3096" w14:textId="77777777" w:rsidR="00CB45B5" w:rsidRPr="004A482B" w:rsidRDefault="00CB45B5" w:rsidP="00CB45B5">
      <w:pPr>
        <w:pStyle w:val="EndnoteText"/>
      </w:pPr>
      <w:r w:rsidRPr="004A482B">
        <w:tab/>
      </w:r>
      <w:r w:rsidRPr="000812B8">
        <w:rPr>
          <w:rStyle w:val="EndnoteReference"/>
        </w:rPr>
        <w:endnoteRef/>
      </w:r>
      <w:r w:rsidRPr="000812B8">
        <w:rPr>
          <w:rStyle w:val="EndnoteReference"/>
        </w:rPr>
        <w:t xml:space="preserve"> </w:t>
      </w:r>
      <w:r w:rsidRPr="004A482B">
        <w:tab/>
      </w:r>
      <w:r w:rsidRPr="009C2180">
        <w:t xml:space="preserve">Submission </w:t>
      </w:r>
      <w:r>
        <w:t>from</w:t>
      </w:r>
      <w:r w:rsidRPr="009C2180">
        <w:t xml:space="preserve"> the International Federation of Pharmaceutical Manufacturers &amp; Associations</w:t>
      </w:r>
      <w:r w:rsidRPr="004A482B">
        <w:t>.</w:t>
      </w:r>
    </w:p>
  </w:endnote>
  <w:endnote w:id="32">
    <w:p w14:paraId="7DB8F4F7" w14:textId="50549E94"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hyperlink r:id="rId10" w:history="1">
        <w:r w:rsidRPr="00622842">
          <w:rPr>
            <w:rStyle w:val="Hyperlink"/>
          </w:rPr>
          <w:t>A/HRC/23/42</w:t>
        </w:r>
      </w:hyperlink>
      <w:r w:rsidRPr="004A482B">
        <w:t xml:space="preserve">, para. 21. </w:t>
      </w:r>
    </w:p>
  </w:endnote>
  <w:endnote w:id="33">
    <w:p w14:paraId="3B9AB0DA" w14:textId="61F0DACC"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rsidRPr="004C7E02">
        <w:t xml:space="preserve">WHO, </w:t>
      </w:r>
      <w:r>
        <w:t>“</w:t>
      </w:r>
      <w:r w:rsidRPr="004C7E02">
        <w:t>Access to medicines</w:t>
      </w:r>
      <w:r>
        <w:t>”</w:t>
      </w:r>
      <w:r w:rsidRPr="004A482B">
        <w:t>, p</w:t>
      </w:r>
      <w:r>
        <w:t>p</w:t>
      </w:r>
      <w:r w:rsidRPr="004A482B">
        <w:t>. 15</w:t>
      </w:r>
      <w:r>
        <w:t xml:space="preserve"> and </w:t>
      </w:r>
      <w:r w:rsidRPr="004A482B">
        <w:t>16.</w:t>
      </w:r>
    </w:p>
  </w:endnote>
  <w:endnote w:id="34">
    <w:p w14:paraId="387F5E42" w14:textId="7777777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t>Ibid., p. 24.</w:t>
      </w:r>
    </w:p>
  </w:endnote>
  <w:endnote w:id="35">
    <w:p w14:paraId="094FD343" w14:textId="25173E79" w:rsidR="002E2148" w:rsidRPr="004A482B" w:rsidRDefault="002E2148" w:rsidP="00150419">
      <w:pPr>
        <w:pStyle w:val="EndnoteText"/>
      </w:pPr>
      <w:r w:rsidRPr="004A482B">
        <w:tab/>
      </w:r>
      <w:r w:rsidRPr="000812B8">
        <w:rPr>
          <w:rStyle w:val="EndnoteReference"/>
        </w:rPr>
        <w:endnoteRef/>
      </w:r>
      <w:r w:rsidRPr="000812B8">
        <w:rPr>
          <w:rStyle w:val="EndnoteReference"/>
        </w:rPr>
        <w:tab/>
      </w:r>
      <w:r w:rsidRPr="004A482B">
        <w:t xml:space="preserve">See </w:t>
      </w:r>
      <w:r w:rsidRPr="004C7E02">
        <w:t xml:space="preserve">WHO, </w:t>
      </w:r>
      <w:r>
        <w:t>“</w:t>
      </w:r>
      <w:r w:rsidRPr="004C7E02">
        <w:t>WHO guideline on country pharmaceutical pricing policies</w:t>
      </w:r>
      <w:r>
        <w:t>”</w:t>
      </w:r>
      <w:r w:rsidRPr="004C7E02">
        <w:t xml:space="preserve"> (2020</w:t>
      </w:r>
      <w:r>
        <w:rPr>
          <w:rStyle w:val="Hyperlink"/>
          <w:color w:val="auto"/>
          <w:szCs w:val="18"/>
        </w:rPr>
        <w:t>)</w:t>
      </w:r>
      <w:r w:rsidRPr="004A482B">
        <w:t xml:space="preserve">. </w:t>
      </w:r>
    </w:p>
  </w:endnote>
  <w:endnote w:id="36">
    <w:p w14:paraId="5668572D" w14:textId="77777777" w:rsidR="002E2148" w:rsidRPr="004A482B" w:rsidRDefault="002E2148" w:rsidP="00150419">
      <w:pPr>
        <w:pStyle w:val="EndnoteText"/>
      </w:pPr>
      <w:r w:rsidRPr="004A482B">
        <w:tab/>
      </w:r>
      <w:r w:rsidRPr="000812B8">
        <w:rPr>
          <w:rStyle w:val="EndnoteReference"/>
        </w:rPr>
        <w:endnoteRef/>
      </w:r>
      <w:r w:rsidRPr="000812B8">
        <w:rPr>
          <w:rStyle w:val="EndnoteReference"/>
        </w:rPr>
        <w:tab/>
      </w:r>
      <w:r w:rsidRPr="004A482B">
        <w:t xml:space="preserve">Guiding Principles on Business and Human Rights, principle 11. </w:t>
      </w:r>
    </w:p>
  </w:endnote>
  <w:endnote w:id="37">
    <w:p w14:paraId="7BE54F22" w14:textId="77777777" w:rsidR="002E2148" w:rsidRPr="004A482B" w:rsidRDefault="002E2148" w:rsidP="00150419">
      <w:pPr>
        <w:pStyle w:val="EndnoteText"/>
      </w:pPr>
      <w:r w:rsidRPr="004A482B">
        <w:tab/>
      </w:r>
      <w:r w:rsidRPr="000812B8">
        <w:rPr>
          <w:rStyle w:val="EndnoteReference"/>
        </w:rPr>
        <w:endnoteRef/>
      </w:r>
      <w:r w:rsidRPr="000812B8">
        <w:rPr>
          <w:rStyle w:val="EndnoteReference"/>
        </w:rPr>
        <w:tab/>
      </w:r>
      <w:r w:rsidRPr="004A482B">
        <w:t>Ibid., principle 15.</w:t>
      </w:r>
    </w:p>
  </w:endnote>
  <w:endnote w:id="38">
    <w:p w14:paraId="2719B9DF" w14:textId="4BC54D3E" w:rsidR="002E2148" w:rsidRPr="004A482B" w:rsidRDefault="002E2148" w:rsidP="00150419">
      <w:pPr>
        <w:pStyle w:val="EndnoteText"/>
      </w:pPr>
      <w:r w:rsidRPr="004A482B">
        <w:tab/>
      </w:r>
      <w:r w:rsidRPr="000812B8">
        <w:rPr>
          <w:rStyle w:val="EndnoteReference"/>
        </w:rPr>
        <w:endnoteRef/>
      </w:r>
      <w:r w:rsidRPr="000812B8">
        <w:rPr>
          <w:rStyle w:val="EndnoteReference"/>
        </w:rPr>
        <w:tab/>
      </w:r>
      <w:hyperlink r:id="rId11" w:history="1">
        <w:r w:rsidRPr="00622842">
          <w:rPr>
            <w:rStyle w:val="Hyperlink"/>
          </w:rPr>
          <w:t>A/HRC/49/35</w:t>
        </w:r>
      </w:hyperlink>
      <w:r w:rsidRPr="004A482B">
        <w:t>, para. 16.</w:t>
      </w:r>
    </w:p>
  </w:endnote>
  <w:endnote w:id="39">
    <w:p w14:paraId="20FC76DB" w14:textId="4BC41931" w:rsidR="002E2148" w:rsidRPr="004A482B" w:rsidRDefault="002E2148" w:rsidP="00150419">
      <w:pPr>
        <w:pStyle w:val="EndnoteText"/>
      </w:pPr>
      <w:r w:rsidRPr="004A482B">
        <w:tab/>
      </w:r>
      <w:r w:rsidRPr="000812B8">
        <w:rPr>
          <w:rStyle w:val="EndnoteReference"/>
        </w:rPr>
        <w:endnoteRef/>
      </w:r>
      <w:r w:rsidRPr="000812B8">
        <w:rPr>
          <w:rStyle w:val="EndnoteReference"/>
        </w:rPr>
        <w:tab/>
      </w:r>
      <w:r w:rsidRPr="004A482B">
        <w:t xml:space="preserve">See </w:t>
      </w:r>
      <w:r w:rsidRPr="004C7E02">
        <w:t xml:space="preserve">WHO, </w:t>
      </w:r>
      <w:r>
        <w:t>“</w:t>
      </w:r>
      <w:r w:rsidRPr="004C7E02">
        <w:t>WHO guideline on country pharmaceutical pricing policies</w:t>
      </w:r>
      <w:r>
        <w:t xml:space="preserve">”, and WHO, </w:t>
      </w:r>
      <w:r w:rsidRPr="00B27347">
        <w:rPr>
          <w:i/>
          <w:iCs/>
        </w:rPr>
        <w:t>Country Pharmaceutical Pricing Policies: A Handbook of Case Studies</w:t>
      </w:r>
      <w:r>
        <w:t xml:space="preserve"> (2021)</w:t>
      </w:r>
      <w:r w:rsidRPr="004C7E02">
        <w:t>.</w:t>
      </w:r>
      <w:r w:rsidRPr="004A482B">
        <w:t xml:space="preserve"> </w:t>
      </w:r>
    </w:p>
  </w:endnote>
  <w:endnote w:id="40">
    <w:p w14:paraId="1068770B" w14:textId="74023998" w:rsidR="002E2148" w:rsidRPr="00774EA1" w:rsidRDefault="002E2148" w:rsidP="00150419">
      <w:pPr>
        <w:pStyle w:val="EndnoteText"/>
        <w:rPr>
          <w:rFonts w:asciiTheme="majorBidi" w:hAnsiTheme="majorBidi" w:cstheme="majorBidi"/>
          <w:u w:val="single"/>
        </w:rPr>
      </w:pPr>
      <w:r w:rsidRPr="004A482B">
        <w:tab/>
      </w:r>
      <w:r w:rsidRPr="000812B8">
        <w:rPr>
          <w:rStyle w:val="EndnoteReference"/>
        </w:rPr>
        <w:endnoteRef/>
      </w:r>
      <w:r w:rsidRPr="000812B8">
        <w:rPr>
          <w:rStyle w:val="EndnoteReference"/>
        </w:rPr>
        <w:t xml:space="preserve"> </w:t>
      </w:r>
      <w:r w:rsidRPr="004A482B">
        <w:tab/>
      </w:r>
      <w:r>
        <w:t xml:space="preserve">Suerie Moon and others, “A win-win solution? A critical analysis of tiered pricing to improve access to medicines in developing countries”, </w:t>
      </w:r>
      <w:r>
        <w:rPr>
          <w:i/>
          <w:iCs/>
        </w:rPr>
        <w:t xml:space="preserve">Globalization and </w:t>
      </w:r>
      <w:r w:rsidRPr="00FA7B1F">
        <w:rPr>
          <w:i/>
          <w:iCs/>
        </w:rPr>
        <w:t>Health</w:t>
      </w:r>
      <w:r>
        <w:rPr>
          <w:i/>
          <w:iCs/>
        </w:rPr>
        <w:t xml:space="preserve">, </w:t>
      </w:r>
      <w:r>
        <w:t>vol. 7 (</w:t>
      </w:r>
      <w:r w:rsidRPr="00150419">
        <w:t>2011).</w:t>
      </w:r>
    </w:p>
  </w:endnote>
  <w:endnote w:id="41">
    <w:p w14:paraId="12AB9F6A" w14:textId="0CFE82D1"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rsidRPr="00B27347">
        <w:rPr>
          <w:i/>
          <w:iCs/>
        </w:rPr>
        <w:t>Report of the United Nations Secretary-General</w:t>
      </w:r>
      <w:r>
        <w:rPr>
          <w:i/>
          <w:iCs/>
        </w:rPr>
        <w:t>’</w:t>
      </w:r>
      <w:r w:rsidRPr="00B27347">
        <w:rPr>
          <w:i/>
          <w:iCs/>
        </w:rPr>
        <w:t>s High-Level Panel on Access to Medicines</w:t>
      </w:r>
      <w:r>
        <w:t xml:space="preserve"> (September 2016)</w:t>
      </w:r>
      <w:r w:rsidRPr="004A482B">
        <w:t xml:space="preserve">, p. 29. </w:t>
      </w:r>
    </w:p>
  </w:endnote>
  <w:endnote w:id="42">
    <w:p w14:paraId="5D0F64BF" w14:textId="67B273C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hyperlink r:id="rId12" w:history="1">
        <w:r w:rsidRPr="00622842">
          <w:rPr>
            <w:rStyle w:val="Hyperlink"/>
          </w:rPr>
          <w:t>A/HRC/52/56</w:t>
        </w:r>
      </w:hyperlink>
      <w:r w:rsidRPr="004A482B">
        <w:t>, para. 52.</w:t>
      </w:r>
    </w:p>
  </w:endnote>
  <w:endnote w:id="43">
    <w:p w14:paraId="3298D8EA" w14:textId="30B1F8D0"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rsidRPr="004C7E02">
        <w:t xml:space="preserve">WHO Council on the Economics of Health for All, </w:t>
      </w:r>
      <w:r>
        <w:t>“</w:t>
      </w:r>
      <w:r w:rsidRPr="004C7E02">
        <w:t>Governing health innovation for the common good</w:t>
      </w:r>
      <w:r>
        <w:t>”</w:t>
      </w:r>
      <w:r w:rsidRPr="004C7E02">
        <w:t>, Council Brief No. 1 (2021</w:t>
      </w:r>
      <w:r>
        <w:rPr>
          <w:rStyle w:val="Hyperlink"/>
          <w:color w:val="auto"/>
          <w:szCs w:val="18"/>
        </w:rPr>
        <w:t>)</w:t>
      </w:r>
      <w:r w:rsidRPr="004A482B">
        <w:t>.</w:t>
      </w:r>
    </w:p>
  </w:endnote>
  <w:endnote w:id="44">
    <w:p w14:paraId="2CC66792" w14:textId="5B5F5042"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t xml:space="preserve">Sabine Vogler </w:t>
      </w:r>
      <w:r>
        <w:t>and others</w:t>
      </w:r>
      <w:r w:rsidRPr="004A482B">
        <w:t xml:space="preserve">, </w:t>
      </w:r>
      <w:r>
        <w:t>“</w:t>
      </w:r>
      <w:r w:rsidRPr="004A482B">
        <w:t>Pharmaceutical policies in European countries in response to the global financial crisis</w:t>
      </w:r>
      <w:r>
        <w:t>”</w:t>
      </w:r>
      <w:r w:rsidRPr="004A482B">
        <w:t xml:space="preserve">, </w:t>
      </w:r>
      <w:r w:rsidRPr="00B27347">
        <w:rPr>
          <w:i/>
          <w:iCs/>
        </w:rPr>
        <w:t>Southern Med Review</w:t>
      </w:r>
      <w:r w:rsidRPr="004A482B">
        <w:t xml:space="preserve">, vol. </w:t>
      </w:r>
      <w:r>
        <w:t>4</w:t>
      </w:r>
      <w:r w:rsidRPr="004A482B">
        <w:t xml:space="preserve">, </w:t>
      </w:r>
      <w:r>
        <w:t>N</w:t>
      </w:r>
      <w:r w:rsidRPr="004A482B">
        <w:t xml:space="preserve">o. 2 </w:t>
      </w:r>
      <w:r>
        <w:t>(</w:t>
      </w:r>
      <w:r w:rsidRPr="004A482B">
        <w:t>201</w:t>
      </w:r>
      <w:r>
        <w:t>1). S</w:t>
      </w:r>
      <w:r w:rsidRPr="004A482B">
        <w:t xml:space="preserve">ee </w:t>
      </w:r>
      <w:r w:rsidRPr="00D612A8">
        <w:t xml:space="preserve">also the submission </w:t>
      </w:r>
      <w:r>
        <w:t>from</w:t>
      </w:r>
      <w:r w:rsidRPr="00D612A8">
        <w:t xml:space="preserve"> the national human rights institution of Argentina (in Spanish) and the submission </w:t>
      </w:r>
      <w:r>
        <w:t>from</w:t>
      </w:r>
      <w:r w:rsidRPr="00D612A8">
        <w:t xml:space="preserve"> Argentina (in Spanish).</w:t>
      </w:r>
    </w:p>
  </w:endnote>
  <w:endnote w:id="45">
    <w:p w14:paraId="5280085B" w14:textId="0C2585A0"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t>Jaime Espin</w:t>
      </w:r>
      <w:r>
        <w:t>, Joan Rovira and Antonio Olry de Labry</w:t>
      </w:r>
      <w:r w:rsidRPr="004A482B">
        <w:t xml:space="preserve">, </w:t>
      </w:r>
      <w:r>
        <w:t>“</w:t>
      </w:r>
      <w:r w:rsidRPr="004A482B">
        <w:rPr>
          <w:iCs/>
        </w:rPr>
        <w:t xml:space="preserve">External </w:t>
      </w:r>
      <w:r>
        <w:rPr>
          <w:iCs/>
        </w:rPr>
        <w:t>r</w:t>
      </w:r>
      <w:r w:rsidRPr="004A482B">
        <w:rPr>
          <w:iCs/>
        </w:rPr>
        <w:t xml:space="preserve">eference </w:t>
      </w:r>
      <w:r>
        <w:rPr>
          <w:iCs/>
        </w:rPr>
        <w:t>p</w:t>
      </w:r>
      <w:r w:rsidRPr="004A482B">
        <w:rPr>
          <w:iCs/>
        </w:rPr>
        <w:t>ricing</w:t>
      </w:r>
      <w:r>
        <w:rPr>
          <w:iCs/>
        </w:rPr>
        <w:t>”</w:t>
      </w:r>
      <w:r w:rsidRPr="004A482B">
        <w:rPr>
          <w:iCs/>
          <w:lang w:val="en-US"/>
        </w:rPr>
        <w:t xml:space="preserve">, </w:t>
      </w:r>
      <w:r w:rsidRPr="004A482B">
        <w:t xml:space="preserve">Review Series on Pharmaceutical Pricing Policies and Interventions, </w:t>
      </w:r>
      <w:r>
        <w:t xml:space="preserve">Working Paper No. 1 (WHO and Health Action International, </w:t>
      </w:r>
      <w:r w:rsidRPr="004A482B">
        <w:t>2011</w:t>
      </w:r>
      <w:r>
        <w:t>)</w:t>
      </w:r>
      <w:r w:rsidRPr="004A482B">
        <w:rPr>
          <w:lang w:val="en-US"/>
        </w:rPr>
        <w:t xml:space="preserve">, </w:t>
      </w:r>
      <w:r w:rsidRPr="004A482B">
        <w:rPr>
          <w:bCs/>
        </w:rPr>
        <w:t>p. 1</w:t>
      </w:r>
      <w:r>
        <w:rPr>
          <w:bCs/>
        </w:rPr>
        <w:t>.</w:t>
      </w:r>
      <w:r w:rsidRPr="004A482B">
        <w:rPr>
          <w:bCs/>
        </w:rPr>
        <w:t xml:space="preserve"> </w:t>
      </w:r>
      <w:r>
        <w:rPr>
          <w:bCs/>
        </w:rPr>
        <w:t>S</w:t>
      </w:r>
      <w:r w:rsidRPr="004A482B">
        <w:rPr>
          <w:bCs/>
        </w:rPr>
        <w:t xml:space="preserve">ee also </w:t>
      </w:r>
      <w:r>
        <w:rPr>
          <w:bCs/>
        </w:rPr>
        <w:t xml:space="preserve">the </w:t>
      </w:r>
      <w:r w:rsidRPr="004A482B">
        <w:rPr>
          <w:bCs/>
        </w:rPr>
        <w:t xml:space="preserve">submissions </w:t>
      </w:r>
      <w:r>
        <w:rPr>
          <w:bCs/>
        </w:rPr>
        <w:t>from</w:t>
      </w:r>
      <w:r w:rsidRPr="00D612A8">
        <w:rPr>
          <w:bCs/>
        </w:rPr>
        <w:t xml:space="preserve"> Luxembourg and Malaysia.</w:t>
      </w:r>
    </w:p>
  </w:endnote>
  <w:endnote w:id="46">
    <w:p w14:paraId="14CD6D5E" w14:textId="77777777" w:rsidR="002E2148" w:rsidRPr="004A482B" w:rsidRDefault="002E2148" w:rsidP="00150419">
      <w:pPr>
        <w:pStyle w:val="EndnoteText"/>
        <w:rPr>
          <w:iCs/>
        </w:rPr>
      </w:pPr>
      <w:r w:rsidRPr="004A482B">
        <w:tab/>
      </w:r>
      <w:r w:rsidRPr="000812B8">
        <w:rPr>
          <w:rStyle w:val="EndnoteReference"/>
        </w:rPr>
        <w:endnoteRef/>
      </w:r>
      <w:r w:rsidRPr="000812B8">
        <w:rPr>
          <w:rStyle w:val="EndnoteReference"/>
        </w:rPr>
        <w:t xml:space="preserve"> </w:t>
      </w:r>
      <w:r w:rsidRPr="004A482B">
        <w:tab/>
        <w:t xml:space="preserve">WHO, </w:t>
      </w:r>
      <w:r>
        <w:t xml:space="preserve">report on the 2017 </w:t>
      </w:r>
      <w:r w:rsidRPr="004A482B">
        <w:t>Fair</w:t>
      </w:r>
      <w:r w:rsidRPr="004A482B">
        <w:rPr>
          <w:iCs/>
        </w:rPr>
        <w:t xml:space="preserve"> Pricing Forum, p.</w:t>
      </w:r>
      <w:r>
        <w:rPr>
          <w:iCs/>
        </w:rPr>
        <w:t xml:space="preserve"> </w:t>
      </w:r>
      <w:r w:rsidRPr="004A482B">
        <w:rPr>
          <w:iCs/>
        </w:rPr>
        <w:t>7.</w:t>
      </w:r>
    </w:p>
  </w:endnote>
  <w:endnote w:id="47">
    <w:p w14:paraId="27E96E9D" w14:textId="7777777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t xml:space="preserve">See, for example, </w:t>
      </w:r>
      <w:r w:rsidRPr="004A482B">
        <w:t>Sarah L</w:t>
      </w:r>
      <w:r>
        <w:t>.</w:t>
      </w:r>
      <w:r w:rsidRPr="004A482B">
        <w:t xml:space="preserve"> Barber</w:t>
      </w:r>
      <w:r>
        <w:t>, Luca Lorenzoni and Paul Ong</w:t>
      </w:r>
      <w:r w:rsidRPr="004A482B">
        <w:t xml:space="preserve">, </w:t>
      </w:r>
      <w:r w:rsidRPr="00B27347">
        <w:rPr>
          <w:i/>
          <w:iCs/>
        </w:rPr>
        <w:t xml:space="preserve">Price </w:t>
      </w:r>
      <w:r>
        <w:rPr>
          <w:i/>
          <w:iCs/>
        </w:rPr>
        <w:t>S</w:t>
      </w:r>
      <w:r w:rsidRPr="00B27347">
        <w:rPr>
          <w:i/>
          <w:iCs/>
        </w:rPr>
        <w:t xml:space="preserve">etting and </w:t>
      </w:r>
      <w:r>
        <w:rPr>
          <w:i/>
          <w:iCs/>
        </w:rPr>
        <w:t>P</w:t>
      </w:r>
      <w:r w:rsidRPr="00B27347">
        <w:rPr>
          <w:i/>
          <w:iCs/>
        </w:rPr>
        <w:t xml:space="preserve">rice </w:t>
      </w:r>
      <w:r>
        <w:rPr>
          <w:i/>
          <w:iCs/>
        </w:rPr>
        <w:t>R</w:t>
      </w:r>
      <w:r w:rsidRPr="00B27347">
        <w:rPr>
          <w:i/>
          <w:iCs/>
        </w:rPr>
        <w:t xml:space="preserve">egulation in </w:t>
      </w:r>
      <w:r>
        <w:rPr>
          <w:i/>
          <w:iCs/>
        </w:rPr>
        <w:t>H</w:t>
      </w:r>
      <w:r w:rsidRPr="00B27347">
        <w:rPr>
          <w:i/>
          <w:iCs/>
        </w:rPr>
        <w:t xml:space="preserve">ealth </w:t>
      </w:r>
      <w:r>
        <w:rPr>
          <w:i/>
          <w:iCs/>
        </w:rPr>
        <w:t>C</w:t>
      </w:r>
      <w:r w:rsidRPr="00B27347">
        <w:rPr>
          <w:i/>
          <w:iCs/>
        </w:rPr>
        <w:t xml:space="preserve">are: </w:t>
      </w:r>
      <w:r>
        <w:rPr>
          <w:i/>
          <w:iCs/>
        </w:rPr>
        <w:t>L</w:t>
      </w:r>
      <w:r w:rsidRPr="00B27347">
        <w:rPr>
          <w:i/>
          <w:iCs/>
        </w:rPr>
        <w:t xml:space="preserve">essons for </w:t>
      </w:r>
      <w:r>
        <w:rPr>
          <w:i/>
          <w:iCs/>
        </w:rPr>
        <w:t>A</w:t>
      </w:r>
      <w:r w:rsidRPr="00B27347">
        <w:rPr>
          <w:i/>
          <w:iCs/>
        </w:rPr>
        <w:t>dvancing Universal Health Coverage</w:t>
      </w:r>
      <w:r w:rsidRPr="004A482B">
        <w:t xml:space="preserve"> </w:t>
      </w:r>
      <w:r>
        <w:t xml:space="preserve">(WHO and Organisation for Economic Co-operation and Development, </w:t>
      </w:r>
      <w:r w:rsidRPr="004A482B">
        <w:t>2019</w:t>
      </w:r>
      <w:r>
        <w:t>)</w:t>
      </w:r>
      <w:r w:rsidRPr="00FC1DF1">
        <w:t>.</w:t>
      </w:r>
    </w:p>
  </w:endnote>
  <w:endnote w:id="48">
    <w:p w14:paraId="4145511B" w14:textId="3893DED6" w:rsidR="002E2148" w:rsidRPr="004A482B" w:rsidRDefault="002E2148" w:rsidP="00150419">
      <w:pPr>
        <w:pStyle w:val="EndnoteText"/>
        <w:rPr>
          <w:lang w:val="en-US"/>
        </w:rPr>
      </w:pPr>
      <w:r w:rsidRPr="004A482B">
        <w:tab/>
      </w:r>
      <w:r w:rsidRPr="000812B8">
        <w:rPr>
          <w:rStyle w:val="EndnoteReference"/>
        </w:rPr>
        <w:endnoteRef/>
      </w:r>
      <w:r w:rsidRPr="000812B8">
        <w:rPr>
          <w:rStyle w:val="EndnoteReference"/>
        </w:rPr>
        <w:t xml:space="preserve"> </w:t>
      </w:r>
      <w:r w:rsidRPr="004A482B">
        <w:tab/>
      </w:r>
      <w:hyperlink r:id="rId13" w:history="1">
        <w:r w:rsidRPr="00622842">
          <w:rPr>
            <w:rStyle w:val="Hyperlink"/>
            <w:lang w:val="en-US"/>
          </w:rPr>
          <w:t>A/HRC/20/15/Add.2</w:t>
        </w:r>
      </w:hyperlink>
      <w:r w:rsidRPr="004A482B">
        <w:rPr>
          <w:lang w:val="en-US"/>
        </w:rPr>
        <w:t xml:space="preserve">, </w:t>
      </w:r>
      <w:r>
        <w:rPr>
          <w:lang w:val="en-US"/>
        </w:rPr>
        <w:t>para. 31</w:t>
      </w:r>
      <w:r w:rsidRPr="004A482B">
        <w:rPr>
          <w:lang w:val="en-US"/>
        </w:rPr>
        <w:t>.</w:t>
      </w:r>
    </w:p>
  </w:endnote>
  <w:endnote w:id="49">
    <w:p w14:paraId="1B454B02" w14:textId="0509353D"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t>See</w:t>
      </w:r>
      <w:r>
        <w:t>, for example,</w:t>
      </w:r>
      <w:r w:rsidRPr="004A482B">
        <w:t xml:space="preserve"> </w:t>
      </w:r>
      <w:r w:rsidRPr="004C7E02">
        <w:t>National Institute for Health and Care Excellence</w:t>
      </w:r>
      <w:r>
        <w:rPr>
          <w:rStyle w:val="Hyperlink"/>
          <w:color w:val="auto"/>
          <w:szCs w:val="18"/>
        </w:rPr>
        <w:t>, “Patient Access Schemes Liaison Unit”</w:t>
      </w:r>
      <w:r w:rsidRPr="004A482B">
        <w:t>.</w:t>
      </w:r>
    </w:p>
  </w:endnote>
  <w:endnote w:id="50">
    <w:p w14:paraId="4C5B492B" w14:textId="7777777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rsidRPr="00D612A8">
        <w:t xml:space="preserve">Submission </w:t>
      </w:r>
      <w:r>
        <w:t>from</w:t>
      </w:r>
      <w:r w:rsidRPr="00D612A8">
        <w:t xml:space="preserve"> Burundi.</w:t>
      </w:r>
    </w:p>
  </w:endnote>
  <w:endnote w:id="51">
    <w:p w14:paraId="6512CE5C" w14:textId="7A771735"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hyperlink r:id="rId14" w:history="1">
        <w:r w:rsidRPr="00622842">
          <w:rPr>
            <w:rStyle w:val="Hyperlink"/>
          </w:rPr>
          <w:t>A/HRC/23/42</w:t>
        </w:r>
      </w:hyperlink>
      <w:r w:rsidRPr="004A482B">
        <w:t xml:space="preserve">, para. 22. </w:t>
      </w:r>
    </w:p>
  </w:endnote>
  <w:endnote w:id="52">
    <w:p w14:paraId="1D83942A" w14:textId="7777777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t xml:space="preserve">Non-governmental organizations active in this area include </w:t>
      </w:r>
      <w:r w:rsidRPr="004A482B">
        <w:t xml:space="preserve">Médecins </w:t>
      </w:r>
      <w:r>
        <w:t>s</w:t>
      </w:r>
      <w:r w:rsidRPr="004A482B">
        <w:t xml:space="preserve">ans </w:t>
      </w:r>
      <w:r>
        <w:t>f</w:t>
      </w:r>
      <w:r w:rsidRPr="004A482B">
        <w:t>rontières</w:t>
      </w:r>
      <w:r>
        <w:t>,</w:t>
      </w:r>
      <w:r w:rsidRPr="004A482B">
        <w:t xml:space="preserve"> the Drugs for Neglected Diseases </w:t>
      </w:r>
      <w:r>
        <w:t>i</w:t>
      </w:r>
      <w:r w:rsidRPr="004A482B">
        <w:t>nitiative</w:t>
      </w:r>
      <w:r>
        <w:t>,</w:t>
      </w:r>
      <w:r w:rsidRPr="004A482B">
        <w:t xml:space="preserve"> Health Action International </w:t>
      </w:r>
      <w:r>
        <w:t>and</w:t>
      </w:r>
      <w:r w:rsidRPr="004A482B">
        <w:t xml:space="preserve"> the Access to Medicine Foundation.</w:t>
      </w:r>
    </w:p>
  </w:endnote>
  <w:endnote w:id="53">
    <w:p w14:paraId="5BD7C295" w14:textId="705AF9CE"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rsidRPr="004C7E02">
        <w:t xml:space="preserve">WHO, </w:t>
      </w:r>
      <w:r>
        <w:t>“</w:t>
      </w:r>
      <w:r w:rsidRPr="004C7E02">
        <w:t>Access to medicines</w:t>
      </w:r>
      <w:r>
        <w:t>”</w:t>
      </w:r>
      <w:r w:rsidRPr="004A482B">
        <w:t>, p. 22.</w:t>
      </w:r>
    </w:p>
  </w:endnote>
  <w:endnote w:id="54">
    <w:p w14:paraId="7F50B839" w14:textId="78EB8E7C"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hyperlink r:id="rId15" w:history="1">
        <w:r w:rsidRPr="00622842">
          <w:rPr>
            <w:rStyle w:val="Hyperlink"/>
          </w:rPr>
          <w:t>A/HRC/52/56</w:t>
        </w:r>
      </w:hyperlink>
      <w:r w:rsidRPr="004A482B">
        <w:t>, para. 5</w:t>
      </w:r>
      <w:r>
        <w:t>0</w:t>
      </w:r>
      <w:r w:rsidRPr="004A482B">
        <w:t>.</w:t>
      </w:r>
    </w:p>
  </w:endnote>
  <w:endnote w:id="55">
    <w:p w14:paraId="56B86AB3" w14:textId="1CCE0B43"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rsidRPr="00B27347">
        <w:rPr>
          <w:i/>
          <w:iCs/>
        </w:rPr>
        <w:t>Report of the United Nations Secretary-General</w:t>
      </w:r>
      <w:r>
        <w:rPr>
          <w:i/>
          <w:iCs/>
        </w:rPr>
        <w:t>’</w:t>
      </w:r>
      <w:r w:rsidRPr="00B27347">
        <w:rPr>
          <w:i/>
          <w:iCs/>
        </w:rPr>
        <w:t>s High-Level Panel on Access to Medicines</w:t>
      </w:r>
      <w:r w:rsidRPr="004A482B">
        <w:t xml:space="preserve">, p. </w:t>
      </w:r>
      <w:r>
        <w:t>18</w:t>
      </w:r>
      <w:r w:rsidRPr="004A482B">
        <w:t xml:space="preserve">; </w:t>
      </w:r>
      <w:r>
        <w:t>s</w:t>
      </w:r>
      <w:r w:rsidRPr="004A482B">
        <w:t xml:space="preserve">ee also </w:t>
      </w:r>
      <w:r>
        <w:t>the</w:t>
      </w:r>
      <w:r w:rsidRPr="004A482B">
        <w:t xml:space="preserve"> Declaration on the TRIPS Agreement and Public Health.</w:t>
      </w:r>
    </w:p>
  </w:endnote>
  <w:endnote w:id="56">
    <w:p w14:paraId="7BE248F0" w14:textId="7777777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t>See</w:t>
      </w:r>
      <w:r>
        <w:t xml:space="preserve"> WTO, Ministerial Decision on the TRIPS Agreement, document WT/MIN(22)/30. See also</w:t>
      </w:r>
      <w:r w:rsidRPr="004A482B">
        <w:t xml:space="preserve"> </w:t>
      </w:r>
      <w:r w:rsidRPr="004C7E02">
        <w:t xml:space="preserve">Gita Sen, statement at the OHCHR </w:t>
      </w:r>
      <w:r>
        <w:t>e</w:t>
      </w:r>
      <w:r w:rsidRPr="004C7E02">
        <w:t>xpert workshop on good practices in ensuring access to medicines, vaccines and other health products, Geneva, 14 February 2023</w:t>
      </w:r>
      <w:r w:rsidRPr="004A482B">
        <w:t>.</w:t>
      </w:r>
    </w:p>
  </w:endnote>
  <w:endnote w:id="57">
    <w:p w14:paraId="33151F51" w14:textId="75C017EC" w:rsidR="002E2148" w:rsidRPr="004A482B" w:rsidRDefault="002E2148" w:rsidP="00150419">
      <w:pPr>
        <w:pStyle w:val="EndnoteText"/>
        <w:rPr>
          <w:lang w:val="es-ES"/>
        </w:rPr>
      </w:pPr>
      <w:r w:rsidRPr="004A482B">
        <w:tab/>
      </w:r>
      <w:r w:rsidRPr="000812B8">
        <w:rPr>
          <w:rStyle w:val="EndnoteReference"/>
        </w:rPr>
        <w:endnoteRef/>
      </w:r>
      <w:r w:rsidRPr="000C1124">
        <w:rPr>
          <w:rStyle w:val="EndnoteReference"/>
          <w:lang w:val="es-ES"/>
        </w:rPr>
        <w:tab/>
      </w:r>
      <w:hyperlink r:id="rId16" w:history="1">
        <w:r w:rsidRPr="00622842">
          <w:rPr>
            <w:rStyle w:val="Hyperlink"/>
            <w:lang w:val="es-ES"/>
          </w:rPr>
          <w:t>A/63/263</w:t>
        </w:r>
      </w:hyperlink>
      <w:r w:rsidRPr="004A482B">
        <w:rPr>
          <w:lang w:val="es-ES"/>
        </w:rPr>
        <w:t>, annex, para. 32</w:t>
      </w:r>
      <w:r>
        <w:rPr>
          <w:lang w:val="es-ES"/>
        </w:rPr>
        <w:t>; see also para. 26</w:t>
      </w:r>
      <w:r w:rsidRPr="004A482B">
        <w:rPr>
          <w:lang w:val="es-ES"/>
        </w:rPr>
        <w:t>.</w:t>
      </w:r>
    </w:p>
  </w:endnote>
  <w:endnote w:id="58">
    <w:p w14:paraId="4C5F3147" w14:textId="13C82D52" w:rsidR="002E2148" w:rsidRPr="004A482B" w:rsidRDefault="002E2148" w:rsidP="00150419">
      <w:pPr>
        <w:pStyle w:val="EndnoteText"/>
      </w:pPr>
      <w:r w:rsidRPr="004A482B">
        <w:rPr>
          <w:lang w:val="es-ES"/>
        </w:rPr>
        <w:tab/>
      </w:r>
      <w:r w:rsidRPr="000812B8">
        <w:rPr>
          <w:rStyle w:val="EndnoteReference"/>
        </w:rPr>
        <w:endnoteRef/>
      </w:r>
      <w:r w:rsidRPr="000C1124">
        <w:rPr>
          <w:rStyle w:val="EndnoteReference"/>
          <w:lang w:val="es-ES"/>
        </w:rPr>
        <w:tab/>
      </w:r>
      <w:hyperlink r:id="rId17" w:history="1">
        <w:r w:rsidRPr="00622842">
          <w:rPr>
            <w:rStyle w:val="Hyperlink"/>
            <w:lang w:val="es-ES"/>
          </w:rPr>
          <w:t>E/C.12/2021/1</w:t>
        </w:r>
      </w:hyperlink>
      <w:r w:rsidRPr="004A482B">
        <w:rPr>
          <w:lang w:val="es-ES"/>
        </w:rPr>
        <w:t xml:space="preserve">, para. </w:t>
      </w:r>
      <w:r w:rsidRPr="000C1124">
        <w:rPr>
          <w:lang w:val="en-US"/>
        </w:rPr>
        <w:t xml:space="preserve">6; and </w:t>
      </w:r>
      <w:hyperlink r:id="rId18" w:history="1">
        <w:r w:rsidRPr="000C1124">
          <w:rPr>
            <w:rStyle w:val="Hyperlink"/>
            <w:lang w:val="en-US"/>
          </w:rPr>
          <w:t>A/HRC/49/35</w:t>
        </w:r>
      </w:hyperlink>
      <w:r w:rsidRPr="000C1124">
        <w:rPr>
          <w:lang w:val="en-US"/>
        </w:rPr>
        <w:t xml:space="preserve">, para. </w:t>
      </w:r>
      <w:r w:rsidRPr="004A482B">
        <w:t>18.</w:t>
      </w:r>
    </w:p>
  </w:endnote>
  <w:endnote w:id="59">
    <w:p w14:paraId="7AF25C3D" w14:textId="695A31FE"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t>Access to Medicine Foundation, “</w:t>
      </w:r>
      <w:r w:rsidRPr="00DF0C71">
        <w:t>First voluntary licence for a cancer treatment is a promising sign for future expansion of access to innovative medicines</w:t>
      </w:r>
      <w:r>
        <w:t>”, 15 November 2022</w:t>
      </w:r>
      <w:r w:rsidRPr="00FC7476">
        <w:t xml:space="preserve">. </w:t>
      </w:r>
    </w:p>
  </w:endnote>
  <w:endnote w:id="60">
    <w:p w14:paraId="3EC97C22" w14:textId="10C39C0F"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t xml:space="preserve">See </w:t>
      </w:r>
      <w:r w:rsidRPr="005B1F45">
        <w:t>https://www.wipo.int/patent-law/en/developments/standards.html</w:t>
      </w:r>
      <w:r w:rsidRPr="00396469">
        <w:t xml:space="preserve">; </w:t>
      </w:r>
      <w:r>
        <w:t xml:space="preserve">and </w:t>
      </w:r>
      <w:r w:rsidRPr="00B27347">
        <w:t xml:space="preserve">Esteban Burrone, </w:t>
      </w:r>
      <w:r>
        <w:t>“</w:t>
      </w:r>
      <w:r w:rsidRPr="00B27347">
        <w:t>Patent pooling for global health</w:t>
      </w:r>
      <w:r>
        <w:t>”</w:t>
      </w:r>
      <w:r w:rsidRPr="00396469">
        <w:t xml:space="preserve">, in </w:t>
      </w:r>
      <w:r w:rsidRPr="00B27347">
        <w:rPr>
          <w:i/>
          <w:iCs/>
        </w:rPr>
        <w:t>The Cambridge Handbook of Public-Private Partnerships, Intellectual Property Governance, and Sustainable Development</w:t>
      </w:r>
      <w:r>
        <w:rPr>
          <w:i/>
          <w:iCs/>
        </w:rPr>
        <w:t xml:space="preserve">, </w:t>
      </w:r>
      <w:r>
        <w:t>Margaret Chon, Pedro Roffe and Ahmed Abdel-Latif, eds.</w:t>
      </w:r>
      <w:r w:rsidRPr="00396469">
        <w:t xml:space="preserve"> </w:t>
      </w:r>
      <w:r>
        <w:t>(</w:t>
      </w:r>
      <w:r w:rsidRPr="00396469">
        <w:t>2018</w:t>
      </w:r>
      <w:r>
        <w:t>).</w:t>
      </w:r>
    </w:p>
  </w:endnote>
  <w:endnote w:id="61">
    <w:p w14:paraId="286C4F68" w14:textId="6A3CFBAC" w:rsidR="00336FC6" w:rsidRPr="00336FC6" w:rsidRDefault="00336FC6" w:rsidP="00593D73">
      <w:pPr>
        <w:pStyle w:val="EndnoteText"/>
        <w:tabs>
          <w:tab w:val="clear" w:pos="1021"/>
          <w:tab w:val="clear" w:pos="1134"/>
          <w:tab w:val="clear" w:pos="1701"/>
          <w:tab w:val="clear" w:pos="2268"/>
        </w:tabs>
        <w:ind w:hanging="567"/>
      </w:pPr>
      <w:r>
        <w:t xml:space="preserve">       </w:t>
      </w:r>
      <w:r>
        <w:rPr>
          <w:rStyle w:val="EndnoteReference"/>
        </w:rPr>
        <w:endnoteRef/>
      </w:r>
      <w:r>
        <w:t xml:space="preserve"> </w:t>
      </w:r>
      <w:r w:rsidRPr="00336FC6">
        <w:t>https://medicinespatentpool.org/who-we-are/about-us</w:t>
      </w:r>
    </w:p>
  </w:endnote>
  <w:endnote w:id="62">
    <w:p w14:paraId="52ABF473" w14:textId="4E24177F"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rsidRPr="00B27347">
        <w:t xml:space="preserve">Medicines Patent Pool, </w:t>
      </w:r>
      <w:r>
        <w:t>“</w:t>
      </w:r>
      <w:r w:rsidRPr="00B27347">
        <w:t xml:space="preserve">A decade of making medicines accessible: 18 billion doses of treatment in 10 years – </w:t>
      </w:r>
      <w:r>
        <w:t>a</w:t>
      </w:r>
      <w:r w:rsidRPr="00B27347">
        <w:t xml:space="preserve">nnual </w:t>
      </w:r>
      <w:r>
        <w:t>r</w:t>
      </w:r>
      <w:r w:rsidRPr="00B27347">
        <w:t>eport 2020</w:t>
      </w:r>
      <w:r>
        <w:t>”</w:t>
      </w:r>
      <w:r w:rsidRPr="00B27347">
        <w:t>.</w:t>
      </w:r>
    </w:p>
  </w:endnote>
  <w:endnote w:id="63">
    <w:p w14:paraId="29CDC049" w14:textId="655B513B"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rsidRPr="004C7E02">
        <w:t xml:space="preserve">WHO, </w:t>
      </w:r>
      <w:r>
        <w:t>“</w:t>
      </w:r>
      <w:r w:rsidRPr="004C7E02">
        <w:t>Access to medicines</w:t>
      </w:r>
      <w:r>
        <w:t>”</w:t>
      </w:r>
      <w:r w:rsidRPr="004A482B">
        <w:t>, p. 22.</w:t>
      </w:r>
    </w:p>
  </w:endnote>
  <w:endnote w:id="64">
    <w:p w14:paraId="5556888F" w14:textId="28C3DF65"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t>See</w:t>
      </w:r>
      <w:r>
        <w:t xml:space="preserve"> Medicines Patent Pool, “COVID-19”, and</w:t>
      </w:r>
      <w:r w:rsidRPr="004A482B">
        <w:t xml:space="preserve"> </w:t>
      </w:r>
      <w:hyperlink r:id="rId19" w:history="1">
        <w:r w:rsidRPr="00622842">
          <w:rPr>
            <w:rStyle w:val="Hyperlink"/>
          </w:rPr>
          <w:t>A/HRC/49/35</w:t>
        </w:r>
      </w:hyperlink>
      <w:r w:rsidRPr="004A482B">
        <w:t>, para. 54.</w:t>
      </w:r>
    </w:p>
  </w:endnote>
  <w:endnote w:id="65">
    <w:p w14:paraId="73C1C032" w14:textId="71718E3B"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rsidRPr="004C7E02">
        <w:t xml:space="preserve">WHO, </w:t>
      </w:r>
      <w:r>
        <w:t>“</w:t>
      </w:r>
      <w:r w:rsidRPr="004C7E02">
        <w:t>Access to medicines</w:t>
      </w:r>
      <w:r>
        <w:t>”</w:t>
      </w:r>
      <w:r w:rsidRPr="004A482B">
        <w:t>, p. 23.</w:t>
      </w:r>
    </w:p>
  </w:endnote>
  <w:endnote w:id="66">
    <w:p w14:paraId="6AF72DBB" w14:textId="7777777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t>Ibid.,</w:t>
      </w:r>
      <w:r w:rsidRPr="004A482B">
        <w:rPr>
          <w:rStyle w:val="Hyperlink"/>
          <w:color w:val="auto"/>
          <w:szCs w:val="18"/>
        </w:rPr>
        <w:t xml:space="preserve"> </w:t>
      </w:r>
      <w:r w:rsidRPr="004A482B">
        <w:t>p. 23.</w:t>
      </w:r>
    </w:p>
  </w:endnote>
  <w:endnote w:id="67">
    <w:p w14:paraId="27A24A9B" w14:textId="7777777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t xml:space="preserve">See </w:t>
      </w:r>
      <w:r w:rsidRPr="004C7E02">
        <w:t xml:space="preserve">WHO, </w:t>
      </w:r>
      <w:r>
        <w:t>World Intellectual Property Organization (</w:t>
      </w:r>
      <w:r w:rsidRPr="004C7E02">
        <w:t>WIPO</w:t>
      </w:r>
      <w:r>
        <w:t>)</w:t>
      </w:r>
      <w:r w:rsidRPr="004C7E02">
        <w:t xml:space="preserve"> and WTO, </w:t>
      </w:r>
      <w:r w:rsidRPr="00B27347">
        <w:rPr>
          <w:i/>
          <w:iCs/>
        </w:rPr>
        <w:t xml:space="preserve">Promoting </w:t>
      </w:r>
      <w:r w:rsidRPr="004C7E02">
        <w:rPr>
          <w:i/>
          <w:iCs/>
        </w:rPr>
        <w:t>A</w:t>
      </w:r>
      <w:r w:rsidRPr="00B27347">
        <w:rPr>
          <w:i/>
          <w:iCs/>
        </w:rPr>
        <w:t xml:space="preserve">ccess to </w:t>
      </w:r>
      <w:r w:rsidRPr="004C7E02">
        <w:rPr>
          <w:i/>
          <w:iCs/>
        </w:rPr>
        <w:t>M</w:t>
      </w:r>
      <w:r w:rsidRPr="00B27347">
        <w:rPr>
          <w:i/>
          <w:iCs/>
        </w:rPr>
        <w:t xml:space="preserve">edical </w:t>
      </w:r>
      <w:r w:rsidRPr="004C7E02">
        <w:rPr>
          <w:i/>
          <w:iCs/>
        </w:rPr>
        <w:t>T</w:t>
      </w:r>
      <w:r w:rsidRPr="00B27347">
        <w:rPr>
          <w:i/>
          <w:iCs/>
        </w:rPr>
        <w:t xml:space="preserve">echnologies and </w:t>
      </w:r>
      <w:r w:rsidRPr="004C7E02">
        <w:rPr>
          <w:i/>
          <w:iCs/>
        </w:rPr>
        <w:t>I</w:t>
      </w:r>
      <w:r w:rsidRPr="00B27347">
        <w:rPr>
          <w:i/>
          <w:iCs/>
        </w:rPr>
        <w:t>nnovation</w:t>
      </w:r>
      <w:r>
        <w:t>, 2nd edition</w:t>
      </w:r>
      <w:r w:rsidRPr="004C7E02">
        <w:t xml:space="preserve"> (20</w:t>
      </w:r>
      <w:r>
        <w:t>20</w:t>
      </w:r>
      <w:r w:rsidRPr="000359BA">
        <w:t>)</w:t>
      </w:r>
      <w:r w:rsidRPr="004A482B">
        <w:t xml:space="preserve">; </w:t>
      </w:r>
      <w:r>
        <w:t>and United Nations Development Programme (</w:t>
      </w:r>
      <w:r w:rsidRPr="004C7E02">
        <w:t>UNDP),</w:t>
      </w:r>
      <w:r w:rsidRPr="00B27347">
        <w:rPr>
          <w:i/>
          <w:iCs/>
        </w:rPr>
        <w:t xml:space="preserve"> </w:t>
      </w:r>
      <w:r w:rsidRPr="00AA59EB">
        <w:rPr>
          <w:i/>
          <w:iCs/>
        </w:rPr>
        <w:t xml:space="preserve">Patent Information and Transparency: </w:t>
      </w:r>
      <w:r>
        <w:rPr>
          <w:i/>
          <w:iCs/>
        </w:rPr>
        <w:t>A</w:t>
      </w:r>
      <w:r w:rsidRPr="00AA59EB">
        <w:rPr>
          <w:i/>
          <w:iCs/>
        </w:rPr>
        <w:t xml:space="preserve"> Methodology for Patent Searches on Essential Medicines in Developing Countries</w:t>
      </w:r>
      <w:r w:rsidRPr="004C7E02">
        <w:t xml:space="preserve"> </w:t>
      </w:r>
      <w:r w:rsidRPr="00B27347">
        <w:t>(</w:t>
      </w:r>
      <w:r w:rsidRPr="004C7E02">
        <w:t>2012</w:t>
      </w:r>
      <w:r w:rsidRPr="00B27347">
        <w:rPr>
          <w:rStyle w:val="Hyperlink"/>
          <w:color w:val="auto"/>
          <w:szCs w:val="18"/>
        </w:rPr>
        <w:t>)</w:t>
      </w:r>
      <w:r w:rsidRPr="006F4BB5">
        <w:t>, pp</w:t>
      </w:r>
      <w:r w:rsidRPr="00B27347">
        <w:t>.</w:t>
      </w:r>
      <w:r w:rsidRPr="006F4BB5">
        <w:t xml:space="preserve"> 5</w:t>
      </w:r>
      <w:r w:rsidRPr="00B27347">
        <w:t xml:space="preserve"> and</w:t>
      </w:r>
      <w:r w:rsidRPr="006F4BB5">
        <w:t xml:space="preserve"> 9</w:t>
      </w:r>
      <w:r w:rsidRPr="00B27347">
        <w:t>–</w:t>
      </w:r>
      <w:r w:rsidRPr="006F4BB5">
        <w:t>11.</w:t>
      </w:r>
    </w:p>
  </w:endnote>
  <w:endnote w:id="68">
    <w:p w14:paraId="1814F6E6" w14:textId="4579178B"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rsidRPr="00B27347">
        <w:rPr>
          <w:i/>
          <w:iCs/>
        </w:rPr>
        <w:t>Report of the United Nations Secretary-General</w:t>
      </w:r>
      <w:r>
        <w:rPr>
          <w:i/>
          <w:iCs/>
        </w:rPr>
        <w:t>’</w:t>
      </w:r>
      <w:r w:rsidRPr="00B27347">
        <w:rPr>
          <w:i/>
          <w:iCs/>
        </w:rPr>
        <w:t>s High-Level Panel on Access to Medicines</w:t>
      </w:r>
      <w:r w:rsidRPr="004A482B">
        <w:t>, p. 36.</w:t>
      </w:r>
    </w:p>
  </w:endnote>
  <w:endnote w:id="69">
    <w:p w14:paraId="7750A02E" w14:textId="77777777" w:rsidR="002E2148" w:rsidRPr="004A482B" w:rsidRDefault="002E2148" w:rsidP="00150419">
      <w:pPr>
        <w:pStyle w:val="EndnoteText"/>
      </w:pPr>
      <w:r w:rsidRPr="004A482B">
        <w:tab/>
      </w:r>
      <w:r w:rsidRPr="000812B8">
        <w:rPr>
          <w:rStyle w:val="EndnoteReference"/>
        </w:rPr>
        <w:endnoteRef/>
      </w:r>
      <w:r w:rsidRPr="000812B8">
        <w:rPr>
          <w:rStyle w:val="EndnoteReference"/>
        </w:rPr>
        <w:tab/>
      </w:r>
      <w:r w:rsidRPr="004A482B">
        <w:t xml:space="preserve">See </w:t>
      </w:r>
      <w:r>
        <w:t xml:space="preserve">Access to Medicine Foundation, </w:t>
      </w:r>
      <w:r w:rsidRPr="00B27347">
        <w:rPr>
          <w:i/>
          <w:iCs/>
        </w:rPr>
        <w:t>Access to Medicine Index 2022</w:t>
      </w:r>
      <w:r w:rsidRPr="004A482B">
        <w:t>.</w:t>
      </w:r>
    </w:p>
  </w:endnote>
  <w:endnote w:id="70">
    <w:p w14:paraId="6B1E019D" w14:textId="7777777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rsidRPr="00434F4C">
        <w:t xml:space="preserve">Submissions </w:t>
      </w:r>
      <w:r>
        <w:t>from</w:t>
      </w:r>
      <w:r w:rsidRPr="00434F4C">
        <w:t xml:space="preserve"> Australia and </w:t>
      </w:r>
      <w:r>
        <w:t xml:space="preserve">from </w:t>
      </w:r>
      <w:r w:rsidRPr="00434F4C">
        <w:t>Burundi (in French).</w:t>
      </w:r>
    </w:p>
  </w:endnote>
  <w:endnote w:id="71">
    <w:p w14:paraId="7930DC71" w14:textId="221F97E8" w:rsidR="002E2148" w:rsidRPr="004A482B" w:rsidRDefault="002E2148" w:rsidP="00150419">
      <w:pPr>
        <w:pStyle w:val="EndnoteText"/>
      </w:pPr>
      <w:r w:rsidRPr="004A482B">
        <w:tab/>
      </w:r>
      <w:r w:rsidRPr="000812B8">
        <w:rPr>
          <w:rStyle w:val="EndnoteReference"/>
        </w:rPr>
        <w:endnoteRef/>
      </w:r>
      <w:r w:rsidRPr="000812B8">
        <w:rPr>
          <w:rStyle w:val="EndnoteReference"/>
        </w:rPr>
        <w:tab/>
      </w:r>
      <w:hyperlink r:id="rId20" w:history="1">
        <w:r w:rsidRPr="00622842">
          <w:rPr>
            <w:rStyle w:val="Hyperlink"/>
          </w:rPr>
          <w:t>A/HRC/52/56</w:t>
        </w:r>
      </w:hyperlink>
      <w:r w:rsidRPr="004A482B">
        <w:t xml:space="preserve">, para. 19; </w:t>
      </w:r>
      <w:r>
        <w:t xml:space="preserve">and </w:t>
      </w:r>
      <w:r w:rsidRPr="004C7E02">
        <w:t xml:space="preserve">Victor J. Dzau, Celynne A. Balatbat and Anaeze C. Offodile II, </w:t>
      </w:r>
      <w:r>
        <w:t>“</w:t>
      </w:r>
      <w:r w:rsidRPr="004C7E02">
        <w:t>Closing the global vaccine equity gap: equitably distributed manufacturing</w:t>
      </w:r>
      <w:r>
        <w:t>”</w:t>
      </w:r>
      <w:r w:rsidRPr="004C7E02">
        <w:t xml:space="preserve">, </w:t>
      </w:r>
      <w:r w:rsidRPr="00B27347">
        <w:rPr>
          <w:i/>
          <w:iCs/>
        </w:rPr>
        <w:t>The Lancet</w:t>
      </w:r>
      <w:r w:rsidRPr="004C7E02">
        <w:t xml:space="preserve">, vol. 399 </w:t>
      </w:r>
      <w:r>
        <w:t>(</w:t>
      </w:r>
      <w:r w:rsidRPr="004C7E02">
        <w:t>May 2022</w:t>
      </w:r>
      <w:r>
        <w:t>)</w:t>
      </w:r>
      <w:r w:rsidRPr="004A482B">
        <w:t>, p. 1924.</w:t>
      </w:r>
    </w:p>
  </w:endnote>
  <w:endnote w:id="72">
    <w:p w14:paraId="6285D75B" w14:textId="577812C5"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rPr>
          <w:vertAlign w:val="superscript"/>
        </w:rPr>
        <w:tab/>
      </w:r>
      <w:r w:rsidRPr="004A482B">
        <w:rPr>
          <w:lang w:val="en-US"/>
        </w:rPr>
        <w:t xml:space="preserve">Loraine Hawkins, </w:t>
      </w:r>
      <w:r>
        <w:rPr>
          <w:lang w:val="en-US"/>
        </w:rPr>
        <w:t>“</w:t>
      </w:r>
      <w:r w:rsidRPr="004A482B">
        <w:rPr>
          <w:lang w:val="en-US"/>
        </w:rPr>
        <w:t xml:space="preserve">Competition </w:t>
      </w:r>
      <w:r>
        <w:rPr>
          <w:lang w:val="en-US"/>
        </w:rPr>
        <w:t>p</w:t>
      </w:r>
      <w:r w:rsidRPr="004A482B">
        <w:rPr>
          <w:lang w:val="en-US"/>
        </w:rPr>
        <w:t>olicy</w:t>
      </w:r>
      <w:r>
        <w:rPr>
          <w:lang w:val="en-US"/>
        </w:rPr>
        <w:t>”</w:t>
      </w:r>
      <w:r w:rsidRPr="004A482B">
        <w:rPr>
          <w:lang w:val="en-US"/>
        </w:rPr>
        <w:t xml:space="preserve">, Review Series on Pharmaceutical Pricing Policies and Interventions, </w:t>
      </w:r>
      <w:r>
        <w:rPr>
          <w:lang w:val="en-US"/>
        </w:rPr>
        <w:t>Working Paper No. 4 (</w:t>
      </w:r>
      <w:r w:rsidRPr="004A482B">
        <w:rPr>
          <w:lang w:val="en-US"/>
        </w:rPr>
        <w:t>WHO</w:t>
      </w:r>
      <w:r>
        <w:rPr>
          <w:lang w:val="en-US"/>
        </w:rPr>
        <w:t xml:space="preserve"> and </w:t>
      </w:r>
      <w:r w:rsidRPr="004A482B">
        <w:rPr>
          <w:lang w:val="en-US"/>
        </w:rPr>
        <w:t>Health Action International</w:t>
      </w:r>
      <w:r>
        <w:rPr>
          <w:lang w:val="en-US"/>
        </w:rPr>
        <w:t>,</w:t>
      </w:r>
      <w:r w:rsidRPr="004A482B">
        <w:rPr>
          <w:lang w:val="en-US"/>
        </w:rPr>
        <w:t xml:space="preserve"> 2011)</w:t>
      </w:r>
      <w:r>
        <w:t>. See also the s</w:t>
      </w:r>
      <w:r w:rsidRPr="004A482B">
        <w:t xml:space="preserve">ubmission </w:t>
      </w:r>
      <w:r>
        <w:t>from</w:t>
      </w:r>
      <w:r w:rsidRPr="004A482B">
        <w:t xml:space="preserve"> </w:t>
      </w:r>
      <w:r>
        <w:t xml:space="preserve">the </w:t>
      </w:r>
      <w:r w:rsidRPr="000D3FDB">
        <w:t>Syria</w:t>
      </w:r>
      <w:r>
        <w:t>n Arab Republic</w:t>
      </w:r>
      <w:r w:rsidRPr="00B27347">
        <w:t xml:space="preserve"> (</w:t>
      </w:r>
      <w:r>
        <w:t xml:space="preserve">in </w:t>
      </w:r>
      <w:r w:rsidRPr="00B27347">
        <w:t>Arabic)</w:t>
      </w:r>
      <w:r w:rsidRPr="00CB182F">
        <w:t>.</w:t>
      </w:r>
    </w:p>
  </w:endnote>
  <w:endnote w:id="73">
    <w:p w14:paraId="43A3A516" w14:textId="11437966"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t>Guiding principle 5. See also</w:t>
      </w:r>
      <w:r w:rsidRPr="000D3FDB">
        <w:t xml:space="preserve"> </w:t>
      </w:r>
      <w:r>
        <w:t xml:space="preserve">Claire Methven O’Brien and others, </w:t>
      </w:r>
      <w:r w:rsidRPr="00B27347">
        <w:rPr>
          <w:i/>
          <w:iCs/>
        </w:rPr>
        <w:t>Public Procurement and Human Rights: A Survey of Twenty Jurisdictions</w:t>
      </w:r>
      <w:r w:rsidRPr="004A482B">
        <w:t xml:space="preserve"> </w:t>
      </w:r>
      <w:r>
        <w:t>(International Learning Lab on Public Procurement and Human Rights,</w:t>
      </w:r>
      <w:r w:rsidRPr="004A482B">
        <w:t xml:space="preserve"> July 2016</w:t>
      </w:r>
      <w:r>
        <w:t>)</w:t>
      </w:r>
      <w:r w:rsidRPr="004A482B">
        <w:t xml:space="preserve">, p. 19. </w:t>
      </w:r>
    </w:p>
  </w:endnote>
  <w:endnote w:id="74">
    <w:p w14:paraId="78010D76" w14:textId="77777777" w:rsidR="002E2148" w:rsidRPr="004A482B" w:rsidRDefault="002E2148" w:rsidP="00150419">
      <w:pPr>
        <w:pStyle w:val="EndnoteText"/>
      </w:pPr>
      <w:r w:rsidRPr="004A482B">
        <w:rPr>
          <w:lang w:val="en-US"/>
        </w:rPr>
        <w:tab/>
      </w:r>
      <w:r w:rsidRPr="000812B8">
        <w:rPr>
          <w:rStyle w:val="EndnoteReference"/>
        </w:rPr>
        <w:endnoteRef/>
      </w:r>
      <w:r w:rsidRPr="000812B8">
        <w:rPr>
          <w:rStyle w:val="EndnoteReference"/>
        </w:rPr>
        <w:tab/>
      </w:r>
      <w:r w:rsidRPr="004A482B">
        <w:t xml:space="preserve">See </w:t>
      </w:r>
      <w:r w:rsidRPr="004C7E02">
        <w:t>https://blogs.worldbank.org/voices/tackling-vaccine-inequity-africa</w:t>
      </w:r>
      <w:r w:rsidRPr="004A482B">
        <w:t xml:space="preserve">. </w:t>
      </w:r>
    </w:p>
  </w:endnote>
  <w:endnote w:id="75">
    <w:p w14:paraId="5B6E6B37" w14:textId="44FC1C3A" w:rsidR="002E2148" w:rsidRPr="00130ECD" w:rsidRDefault="002E2148" w:rsidP="00150419">
      <w:pPr>
        <w:pStyle w:val="EndnoteText"/>
        <w:rPr>
          <w:lang w:val="es-ES"/>
        </w:rPr>
      </w:pPr>
      <w:r w:rsidRPr="004A482B">
        <w:tab/>
      </w:r>
      <w:r w:rsidRPr="000812B8">
        <w:rPr>
          <w:rStyle w:val="EndnoteReference"/>
        </w:rPr>
        <w:endnoteRef/>
      </w:r>
      <w:r w:rsidRPr="000C1124">
        <w:rPr>
          <w:rStyle w:val="EndnoteReference"/>
          <w:lang w:val="es-ES"/>
        </w:rPr>
        <w:t xml:space="preserve"> </w:t>
      </w:r>
      <w:r w:rsidRPr="00130ECD">
        <w:rPr>
          <w:lang w:val="es-ES"/>
        </w:rPr>
        <w:tab/>
      </w:r>
      <w:hyperlink r:id="rId21" w:history="1">
        <w:r w:rsidRPr="00622842">
          <w:rPr>
            <w:rStyle w:val="Hyperlink"/>
            <w:lang w:val="es-ES"/>
          </w:rPr>
          <w:t>A/HRC/52/56</w:t>
        </w:r>
      </w:hyperlink>
      <w:r w:rsidRPr="00130ECD">
        <w:rPr>
          <w:lang w:val="es-ES"/>
        </w:rPr>
        <w:t>, para. 51.</w:t>
      </w:r>
    </w:p>
  </w:endnote>
  <w:endnote w:id="76">
    <w:p w14:paraId="361406DB" w14:textId="5E6A4FFC" w:rsidR="002E2148" w:rsidRPr="004A482B" w:rsidRDefault="002E2148" w:rsidP="00150419">
      <w:pPr>
        <w:pStyle w:val="EndnoteText"/>
      </w:pPr>
      <w:r w:rsidRPr="00130ECD">
        <w:rPr>
          <w:lang w:val="es-ES"/>
        </w:rPr>
        <w:tab/>
      </w:r>
      <w:r w:rsidRPr="000812B8">
        <w:rPr>
          <w:rStyle w:val="EndnoteReference"/>
        </w:rPr>
        <w:endnoteRef/>
      </w:r>
      <w:r w:rsidRPr="000C1124">
        <w:rPr>
          <w:rStyle w:val="EndnoteReference"/>
          <w:lang w:val="es-ES"/>
        </w:rPr>
        <w:t xml:space="preserve"> </w:t>
      </w:r>
      <w:r w:rsidRPr="00130ECD">
        <w:rPr>
          <w:lang w:val="es-ES"/>
        </w:rPr>
        <w:tab/>
      </w:r>
      <w:hyperlink r:id="rId22" w:history="1">
        <w:r w:rsidRPr="00622842">
          <w:rPr>
            <w:rStyle w:val="Hyperlink"/>
            <w:lang w:val="es-ES"/>
          </w:rPr>
          <w:t>A/HRC/49/35</w:t>
        </w:r>
      </w:hyperlink>
      <w:r w:rsidRPr="00130ECD">
        <w:rPr>
          <w:lang w:val="es-ES"/>
        </w:rPr>
        <w:t xml:space="preserve">, para. </w:t>
      </w:r>
      <w:r w:rsidRPr="004A482B">
        <w:t>53.</w:t>
      </w:r>
    </w:p>
  </w:endnote>
  <w:endnote w:id="77">
    <w:p w14:paraId="3957CC49" w14:textId="7777777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rsidRPr="004C7E02">
        <w:t xml:space="preserve">Veronika J. Wirtz, </w:t>
      </w:r>
      <w:r>
        <w:t>s</w:t>
      </w:r>
      <w:r w:rsidRPr="004C7E02">
        <w:t>tatement</w:t>
      </w:r>
      <w:r>
        <w:t xml:space="preserve"> </w:t>
      </w:r>
      <w:r w:rsidRPr="004C7E02">
        <w:t xml:space="preserve">at the OHCHR </w:t>
      </w:r>
      <w:r>
        <w:t>e</w:t>
      </w:r>
      <w:r w:rsidRPr="004C7E02">
        <w:t>xpert workshop on good practices in ensuring access to medicines, vaccines and other health products, Geneva, 14 February 2023</w:t>
      </w:r>
      <w:r w:rsidRPr="004A482B">
        <w:t xml:space="preserve">. </w:t>
      </w:r>
    </w:p>
  </w:endnote>
  <w:endnote w:id="78">
    <w:p w14:paraId="7844E65B" w14:textId="7777777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t xml:space="preserve">Special Rapporteur on the right of everyone to the enjoyment of the highest attainable standard of physical and mental health, </w:t>
      </w:r>
      <w:r>
        <w:t>s</w:t>
      </w:r>
      <w:r w:rsidRPr="004A482B">
        <w:t>tatement at the</w:t>
      </w:r>
      <w:r>
        <w:t xml:space="preserve"> OHCHR</w:t>
      </w:r>
      <w:r w:rsidRPr="004A482B">
        <w:t xml:space="preserve"> </w:t>
      </w:r>
      <w:r>
        <w:t>e</w:t>
      </w:r>
      <w:r w:rsidRPr="004A482B">
        <w:t xml:space="preserve">xpert </w:t>
      </w:r>
      <w:r>
        <w:t>w</w:t>
      </w:r>
      <w:r w:rsidRPr="004A482B">
        <w:t xml:space="preserve">orkshop on </w:t>
      </w:r>
      <w:r>
        <w:t>g</w:t>
      </w:r>
      <w:r w:rsidRPr="004A482B">
        <w:t xml:space="preserve">ood </w:t>
      </w:r>
      <w:r>
        <w:t>p</w:t>
      </w:r>
      <w:r w:rsidRPr="004A482B">
        <w:t xml:space="preserve">ractices in </w:t>
      </w:r>
      <w:r>
        <w:t>e</w:t>
      </w:r>
      <w:r w:rsidRPr="004A482B">
        <w:t xml:space="preserve">nsuring </w:t>
      </w:r>
      <w:r>
        <w:t>a</w:t>
      </w:r>
      <w:r w:rsidRPr="004A482B">
        <w:t xml:space="preserve">ccess to </w:t>
      </w:r>
      <w:r>
        <w:t>m</w:t>
      </w:r>
      <w:r w:rsidRPr="004A482B">
        <w:t xml:space="preserve">edicines, </w:t>
      </w:r>
      <w:r>
        <w:t>v</w:t>
      </w:r>
      <w:r w:rsidRPr="004A482B">
        <w:t xml:space="preserve">accines and </w:t>
      </w:r>
      <w:r>
        <w:t>o</w:t>
      </w:r>
      <w:r w:rsidRPr="004A482B">
        <w:t xml:space="preserve">ther </w:t>
      </w:r>
      <w:r>
        <w:t>h</w:t>
      </w:r>
      <w:r w:rsidRPr="004A482B">
        <w:t xml:space="preserve">ealth </w:t>
      </w:r>
      <w:r>
        <w:t>p</w:t>
      </w:r>
      <w:r w:rsidRPr="004A482B">
        <w:t xml:space="preserve">roducts, </w:t>
      </w:r>
      <w:r>
        <w:t xml:space="preserve">Geneva, </w:t>
      </w:r>
      <w:r w:rsidRPr="004A482B">
        <w:t>14 February 2023.</w:t>
      </w:r>
    </w:p>
  </w:endnote>
  <w:endnote w:id="79">
    <w:p w14:paraId="06462919" w14:textId="4463FE8F" w:rsidR="002E2148" w:rsidRPr="004A482B" w:rsidRDefault="002E2148" w:rsidP="00150419">
      <w:pPr>
        <w:pStyle w:val="EndnoteText"/>
      </w:pPr>
      <w:r w:rsidRPr="004A482B">
        <w:tab/>
      </w:r>
      <w:r w:rsidRPr="000812B8">
        <w:rPr>
          <w:rStyle w:val="EndnoteReference"/>
        </w:rPr>
        <w:endnoteRef/>
      </w:r>
      <w:r w:rsidRPr="000812B8">
        <w:rPr>
          <w:rStyle w:val="EndnoteReference"/>
        </w:rPr>
        <w:tab/>
      </w:r>
      <w:r>
        <w:t xml:space="preserve">See, for example, United States of America, </w:t>
      </w:r>
      <w:r w:rsidRPr="004C7E02">
        <w:t>Federal Trade Commission,</w:t>
      </w:r>
      <w:r w:rsidRPr="00172C47">
        <w:t xml:space="preserve"> “</w:t>
      </w:r>
      <w:r w:rsidRPr="004C7E02">
        <w:t>Agreements filed with the Federal Trade Commission under the Medicare Prescription Drug, Improvement, and Modernization Act of 2003: overview of agreements filed in fiscal year 2012</w:t>
      </w:r>
      <w:r>
        <w:t xml:space="preserve"> – </w:t>
      </w:r>
      <w:r w:rsidRPr="004C7E02">
        <w:t>a report by the Bureau of Competition</w:t>
      </w:r>
      <w:r>
        <w:t>”</w:t>
      </w:r>
      <w:r w:rsidRPr="004C7E02">
        <w:t xml:space="preserve"> (2013</w:t>
      </w:r>
      <w:r>
        <w:rPr>
          <w:rStyle w:val="Hyperlink"/>
          <w:color w:val="auto"/>
          <w:szCs w:val="18"/>
        </w:rPr>
        <w:t>)</w:t>
      </w:r>
      <w:r w:rsidRPr="004A482B">
        <w:t xml:space="preserve">. </w:t>
      </w:r>
    </w:p>
  </w:endnote>
  <w:endnote w:id="80">
    <w:p w14:paraId="4CA35742" w14:textId="5111B42D"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t xml:space="preserve">United States of America, </w:t>
      </w:r>
      <w:r w:rsidRPr="004C7E02">
        <w:t xml:space="preserve">Federal Trade Commission, </w:t>
      </w:r>
      <w:r>
        <w:t>“</w:t>
      </w:r>
      <w:r w:rsidRPr="004C7E02">
        <w:t>Pay-for-delay: how drug company pay-offs cost consumers billions</w:t>
      </w:r>
      <w:r>
        <w:t>”</w:t>
      </w:r>
      <w:r w:rsidRPr="004C7E02">
        <w:t xml:space="preserve"> (2010</w:t>
      </w:r>
      <w:r>
        <w:rPr>
          <w:rStyle w:val="Hyperlink"/>
          <w:color w:val="auto"/>
          <w:szCs w:val="18"/>
        </w:rPr>
        <w:t>)</w:t>
      </w:r>
      <w:r w:rsidRPr="004A482B">
        <w:t>.</w:t>
      </w:r>
    </w:p>
  </w:endnote>
  <w:endnote w:id="81">
    <w:p w14:paraId="31575B24" w14:textId="36AA40DF" w:rsidR="002E2148" w:rsidRPr="004A482B" w:rsidRDefault="002E2148" w:rsidP="00150419">
      <w:pPr>
        <w:pStyle w:val="EndnoteText"/>
        <w:rPr>
          <w:lang w:val="en-US"/>
        </w:rPr>
      </w:pPr>
      <w:r w:rsidRPr="004A482B">
        <w:tab/>
      </w:r>
      <w:r w:rsidRPr="000812B8">
        <w:rPr>
          <w:rStyle w:val="EndnoteReference"/>
        </w:rPr>
        <w:endnoteRef/>
      </w:r>
      <w:r w:rsidRPr="000812B8">
        <w:rPr>
          <w:rStyle w:val="EndnoteReference"/>
        </w:rPr>
        <w:t xml:space="preserve"> </w:t>
      </w:r>
      <w:r w:rsidRPr="004A482B">
        <w:rPr>
          <w:vertAlign w:val="superscript"/>
          <w:lang w:val="en-US"/>
        </w:rPr>
        <w:tab/>
      </w:r>
      <w:r w:rsidRPr="004A482B">
        <w:rPr>
          <w:lang w:val="en-US"/>
        </w:rPr>
        <w:t xml:space="preserve">Hawkins, </w:t>
      </w:r>
      <w:r>
        <w:rPr>
          <w:lang w:val="en-US"/>
        </w:rPr>
        <w:t>“</w:t>
      </w:r>
      <w:r w:rsidRPr="004A482B">
        <w:rPr>
          <w:lang w:val="en-US"/>
        </w:rPr>
        <w:t xml:space="preserve">Competition </w:t>
      </w:r>
      <w:r>
        <w:rPr>
          <w:lang w:val="en-US"/>
        </w:rPr>
        <w:t>p</w:t>
      </w:r>
      <w:r w:rsidRPr="004A482B">
        <w:rPr>
          <w:lang w:val="en-US"/>
        </w:rPr>
        <w:t>olicy</w:t>
      </w:r>
      <w:r>
        <w:rPr>
          <w:lang w:val="en-US"/>
        </w:rPr>
        <w:t>”</w:t>
      </w:r>
      <w:r w:rsidRPr="004A482B">
        <w:rPr>
          <w:lang w:val="en-US"/>
        </w:rPr>
        <w:t>, p. 41</w:t>
      </w:r>
      <w:r>
        <w:rPr>
          <w:lang w:val="en-US"/>
        </w:rPr>
        <w:t>.</w:t>
      </w:r>
    </w:p>
  </w:endnote>
  <w:endnote w:id="82">
    <w:p w14:paraId="7F503796" w14:textId="544EB88C"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t>European Commission, “</w:t>
      </w:r>
      <w:r w:rsidRPr="004A482B">
        <w:t xml:space="preserve">Competition </w:t>
      </w:r>
      <w:r>
        <w:t>e</w:t>
      </w:r>
      <w:r w:rsidRPr="004A482B">
        <w:t xml:space="preserve">nforcement in the </w:t>
      </w:r>
      <w:r>
        <w:t>p</w:t>
      </w:r>
      <w:r w:rsidRPr="004A482B">
        <w:t xml:space="preserve">harmaceutical </w:t>
      </w:r>
      <w:r>
        <w:t>s</w:t>
      </w:r>
      <w:r w:rsidRPr="004A482B">
        <w:t>ector (2009</w:t>
      </w:r>
      <w:r>
        <w:t>–</w:t>
      </w:r>
      <w:r w:rsidRPr="004A482B">
        <w:t>2017)</w:t>
      </w:r>
      <w:r>
        <w:t xml:space="preserve">: </w:t>
      </w:r>
      <w:r w:rsidRPr="007E138A">
        <w:t>European competition authorities working together for affordable and innovative medicines</w:t>
      </w:r>
      <w:r>
        <w:t>”</w:t>
      </w:r>
      <w:r w:rsidRPr="004A482B">
        <w:t xml:space="preserve"> </w:t>
      </w:r>
      <w:r>
        <w:t>(</w:t>
      </w:r>
      <w:r w:rsidRPr="004A482B">
        <w:t>2019</w:t>
      </w:r>
      <w:r>
        <w:t>)</w:t>
      </w:r>
      <w:r w:rsidRPr="004A482B">
        <w:t xml:space="preserve">, </w:t>
      </w:r>
      <w:r w:rsidRPr="00DE5CB1">
        <w:t>p</w:t>
      </w:r>
      <w:r>
        <w:t>p</w:t>
      </w:r>
      <w:r w:rsidRPr="00DE5CB1">
        <w:t xml:space="preserve">. 19 </w:t>
      </w:r>
      <w:r>
        <w:t>ff</w:t>
      </w:r>
      <w:r w:rsidRPr="00DE5CB1">
        <w:t>.</w:t>
      </w:r>
    </w:p>
  </w:endnote>
  <w:endnote w:id="83">
    <w:p w14:paraId="43716895" w14:textId="7777777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t>See, for example, the</w:t>
      </w:r>
      <w:r w:rsidRPr="00B27347">
        <w:t xml:space="preserve"> WHO </w:t>
      </w:r>
      <w:r>
        <w:t>G</w:t>
      </w:r>
      <w:r w:rsidRPr="00B27347">
        <w:t xml:space="preserve">lobal </w:t>
      </w:r>
      <w:r>
        <w:t>B</w:t>
      </w:r>
      <w:r w:rsidRPr="00B27347">
        <w:t xml:space="preserve">enchmarking </w:t>
      </w:r>
      <w:r>
        <w:t>T</w:t>
      </w:r>
      <w:r w:rsidRPr="00B27347">
        <w:t xml:space="preserve">ool for </w:t>
      </w:r>
      <w:r>
        <w:t>E</w:t>
      </w:r>
      <w:r w:rsidRPr="00B27347">
        <w:t xml:space="preserve">valuation of </w:t>
      </w:r>
      <w:r>
        <w:t>N</w:t>
      </w:r>
      <w:r w:rsidRPr="00B27347">
        <w:t xml:space="preserve">ational </w:t>
      </w:r>
      <w:r>
        <w:t>R</w:t>
      </w:r>
      <w:r w:rsidRPr="00B27347">
        <w:t xml:space="preserve">egulatory </w:t>
      </w:r>
      <w:r>
        <w:t>S</w:t>
      </w:r>
      <w:r w:rsidRPr="00B27347">
        <w:t xml:space="preserve">ystems for </w:t>
      </w:r>
      <w:r>
        <w:t>M</w:t>
      </w:r>
      <w:r w:rsidRPr="00B27347">
        <w:t xml:space="preserve">edical </w:t>
      </w:r>
      <w:r>
        <w:t>P</w:t>
      </w:r>
      <w:r w:rsidRPr="00B27347">
        <w:t>roducts</w:t>
      </w:r>
      <w:r>
        <w:t>.</w:t>
      </w:r>
      <w:r w:rsidRPr="00DE5CB1">
        <w:t xml:space="preserve"> See also </w:t>
      </w:r>
      <w:r w:rsidRPr="001E0CD1">
        <w:t>https://www.ema.europa.eu/en/human-regulatory/marketing-</w:t>
      </w:r>
      <w:r w:rsidRPr="00ED423C">
        <w:t>authorisation</w:t>
      </w:r>
      <w:r w:rsidRPr="00DE5CB1">
        <w:t xml:space="preserve">; </w:t>
      </w:r>
      <w:r w:rsidRPr="001A4E0A">
        <w:t>https://amrh.nepad.org/who-we-are</w:t>
      </w:r>
      <w:r w:rsidRPr="00DE5CB1">
        <w:t xml:space="preserve">; </w:t>
      </w:r>
      <w:r w:rsidRPr="007A56AD">
        <w:t>https://www.paho.org/en/documents/regulatory-system-strengthening-americas-lessons-learned-national-regulatory-authorities;</w:t>
      </w:r>
      <w:r w:rsidRPr="00DE5CB1">
        <w:t xml:space="preserve"> </w:t>
      </w:r>
      <w:r>
        <w:t xml:space="preserve">and </w:t>
      </w:r>
      <w:r w:rsidRPr="00750404">
        <w:t>https://www.fda.gov/patients/learn-about-drug-and-device-approvals/fast-track-breakthrough-therapy-accelerated-approval-priority-review</w:t>
      </w:r>
      <w:r w:rsidRPr="00DE5CB1">
        <w:t>.</w:t>
      </w:r>
      <w:r w:rsidRPr="004A482B">
        <w:t xml:space="preserve"> </w:t>
      </w:r>
    </w:p>
  </w:endnote>
  <w:endnote w:id="84">
    <w:p w14:paraId="70C5F5F7" w14:textId="7777777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t>See</w:t>
      </w:r>
      <w:r>
        <w:t>, for example,</w:t>
      </w:r>
      <w:r w:rsidRPr="004A482B">
        <w:t xml:space="preserve"> </w:t>
      </w:r>
      <w:r w:rsidRPr="004C7E02">
        <w:t xml:space="preserve">WHO, </w:t>
      </w:r>
      <w:r w:rsidRPr="00B27347">
        <w:rPr>
          <w:i/>
          <w:iCs/>
        </w:rPr>
        <w:t xml:space="preserve">Pricing of </w:t>
      </w:r>
      <w:r>
        <w:rPr>
          <w:i/>
          <w:iCs/>
        </w:rPr>
        <w:t>C</w:t>
      </w:r>
      <w:r w:rsidRPr="00B27347">
        <w:rPr>
          <w:i/>
          <w:iCs/>
        </w:rPr>
        <w:t xml:space="preserve">ancer </w:t>
      </w:r>
      <w:r>
        <w:rPr>
          <w:i/>
          <w:iCs/>
        </w:rPr>
        <w:t>M</w:t>
      </w:r>
      <w:r w:rsidRPr="00B27347">
        <w:rPr>
          <w:i/>
          <w:iCs/>
        </w:rPr>
        <w:t xml:space="preserve">edicines and its </w:t>
      </w:r>
      <w:r>
        <w:rPr>
          <w:i/>
          <w:iCs/>
        </w:rPr>
        <w:t>I</w:t>
      </w:r>
      <w:r w:rsidRPr="00B27347">
        <w:rPr>
          <w:i/>
          <w:iCs/>
        </w:rPr>
        <w:t>mpacts</w:t>
      </w:r>
      <w:r w:rsidRPr="004C7E02">
        <w:t xml:space="preserve"> (2018)</w:t>
      </w:r>
      <w:r w:rsidRPr="004A482B">
        <w:t>.</w:t>
      </w:r>
    </w:p>
  </w:endnote>
  <w:endnote w:id="85">
    <w:p w14:paraId="7579FCC3" w14:textId="5A593ED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t xml:space="preserve">See </w:t>
      </w:r>
      <w:hyperlink r:id="rId23" w:history="1">
        <w:r w:rsidRPr="00622842">
          <w:rPr>
            <w:rStyle w:val="Hyperlink"/>
          </w:rPr>
          <w:t>TD/RBP/CONF.8/3</w:t>
        </w:r>
      </w:hyperlink>
      <w:r w:rsidRPr="00257C89">
        <w:t>.</w:t>
      </w:r>
    </w:p>
  </w:endnote>
  <w:endnote w:id="86">
    <w:p w14:paraId="63E2C4BE" w14:textId="77777777" w:rsidR="002E2148" w:rsidRPr="00D612A8"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rsidRPr="00D612A8">
        <w:t xml:space="preserve">Submission </w:t>
      </w:r>
      <w:r>
        <w:t>from</w:t>
      </w:r>
      <w:r w:rsidRPr="00D612A8">
        <w:t xml:space="preserve"> Australia.</w:t>
      </w:r>
    </w:p>
  </w:endnote>
  <w:endnote w:id="87">
    <w:p w14:paraId="0DA28943" w14:textId="77777777" w:rsidR="002E2148" w:rsidRPr="004A482B" w:rsidRDefault="002E2148" w:rsidP="00150419">
      <w:pPr>
        <w:pStyle w:val="EndnoteText"/>
      </w:pPr>
      <w:r w:rsidRPr="00D612A8">
        <w:tab/>
      </w:r>
      <w:r w:rsidRPr="000812B8">
        <w:rPr>
          <w:rStyle w:val="EndnoteReference"/>
        </w:rPr>
        <w:endnoteRef/>
      </w:r>
      <w:r w:rsidRPr="000812B8">
        <w:rPr>
          <w:rStyle w:val="EndnoteReference"/>
        </w:rPr>
        <w:t xml:space="preserve"> </w:t>
      </w:r>
      <w:r w:rsidRPr="00D612A8">
        <w:tab/>
        <w:t xml:space="preserve">Submission </w:t>
      </w:r>
      <w:r>
        <w:t>from</w:t>
      </w:r>
      <w:r w:rsidRPr="00D612A8">
        <w:t xml:space="preserve"> New Zealand.</w:t>
      </w:r>
    </w:p>
  </w:endnote>
  <w:endnote w:id="88">
    <w:p w14:paraId="2F7899D2" w14:textId="1BF243A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t>WHO</w:t>
      </w:r>
      <w:r>
        <w:t>,</w:t>
      </w:r>
      <w:r w:rsidRPr="004A482B">
        <w:t xml:space="preserve"> </w:t>
      </w:r>
      <w:r>
        <w:t>“</w:t>
      </w:r>
      <w:r w:rsidRPr="004A482B">
        <w:t>Operational principles for good pharmaceutical procurement</w:t>
      </w:r>
      <w:r>
        <w:t>”</w:t>
      </w:r>
      <w:r w:rsidRPr="004A482B">
        <w:t xml:space="preserve"> </w:t>
      </w:r>
      <w:r>
        <w:t xml:space="preserve">(Geneva, </w:t>
      </w:r>
      <w:r w:rsidRPr="004A482B">
        <w:t>1999</w:t>
      </w:r>
      <w:r>
        <w:t>)</w:t>
      </w:r>
      <w:r w:rsidRPr="004A482B">
        <w:t>.</w:t>
      </w:r>
    </w:p>
  </w:endnote>
  <w:endnote w:id="89">
    <w:p w14:paraId="38E16A6D" w14:textId="2421B927" w:rsidR="00D9020A" w:rsidRPr="004A482B" w:rsidRDefault="008751A0" w:rsidP="00150419">
      <w:pPr>
        <w:pStyle w:val="EndnoteText"/>
      </w:pPr>
      <w:r>
        <w:tab/>
      </w:r>
      <w:r w:rsidR="00D9020A" w:rsidRPr="000812B8">
        <w:rPr>
          <w:rStyle w:val="EndnoteReference"/>
        </w:rPr>
        <w:endnoteRef/>
      </w:r>
      <w:r w:rsidR="00D9020A" w:rsidRPr="000812B8">
        <w:rPr>
          <w:rStyle w:val="EndnoteReference"/>
        </w:rPr>
        <w:t xml:space="preserve"> </w:t>
      </w:r>
      <w:r w:rsidR="00D9020A" w:rsidRPr="004A482B">
        <w:tab/>
        <w:t>WHO</w:t>
      </w:r>
      <w:r w:rsidR="00D9020A">
        <w:t>,</w:t>
      </w:r>
      <w:r w:rsidR="00D9020A" w:rsidRPr="004A482B">
        <w:t xml:space="preserve"> </w:t>
      </w:r>
      <w:r w:rsidR="00D9020A">
        <w:t>“</w:t>
      </w:r>
      <w:r w:rsidR="00D9020A" w:rsidRPr="004A482B">
        <w:t>Operational principles for good pharmaceutical procurement</w:t>
      </w:r>
      <w:r w:rsidR="00D9020A">
        <w:t>”</w:t>
      </w:r>
      <w:r w:rsidR="00D9020A" w:rsidRPr="004A482B">
        <w:t xml:space="preserve"> </w:t>
      </w:r>
      <w:r w:rsidR="00D9020A">
        <w:t xml:space="preserve">(Geneva, </w:t>
      </w:r>
      <w:r w:rsidR="00D9020A" w:rsidRPr="004A482B">
        <w:t>1999</w:t>
      </w:r>
      <w:r w:rsidR="00D9020A">
        <w:t>)</w:t>
      </w:r>
      <w:r w:rsidR="00D9020A" w:rsidRPr="004A482B">
        <w:t>.</w:t>
      </w:r>
    </w:p>
    <w:p w14:paraId="40B1D5E5" w14:textId="671FF4DD" w:rsidR="002E2148" w:rsidRPr="004A482B" w:rsidRDefault="002E2148" w:rsidP="00150419">
      <w:pPr>
        <w:pStyle w:val="EndnoteText"/>
      </w:pPr>
      <w:r>
        <w:t xml:space="preserve"> </w:t>
      </w:r>
      <w:r w:rsidR="008751A0">
        <w:tab/>
      </w:r>
      <w:r w:rsidR="008751A0">
        <w:tab/>
      </w:r>
      <w:r w:rsidRPr="004A482B">
        <w:t xml:space="preserve">submissions </w:t>
      </w:r>
      <w:r>
        <w:t>from</w:t>
      </w:r>
      <w:r w:rsidRPr="004A482B">
        <w:t xml:space="preserve"> </w:t>
      </w:r>
      <w:r w:rsidRPr="00D612A8">
        <w:t>Argentina, Ecuador and El Salvador</w:t>
      </w:r>
      <w:r>
        <w:t xml:space="preserve"> (in Spanish). See</w:t>
      </w:r>
      <w:r w:rsidRPr="00D612A8">
        <w:t xml:space="preserve"> also the submission </w:t>
      </w:r>
      <w:r>
        <w:t>from</w:t>
      </w:r>
      <w:r w:rsidRPr="00D612A8">
        <w:t xml:space="preserve"> Spain (in Spanish</w:t>
      </w:r>
      <w:r>
        <w:t>)</w:t>
      </w:r>
      <w:r w:rsidRPr="004A482B">
        <w:t>.</w:t>
      </w:r>
    </w:p>
  </w:endnote>
  <w:endnote w:id="90">
    <w:p w14:paraId="01678C69" w14:textId="08DB6AE2"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hyperlink r:id="rId24" w:history="1">
        <w:r w:rsidRPr="00622842">
          <w:rPr>
            <w:rStyle w:val="Hyperlink"/>
          </w:rPr>
          <w:t>A/HRC/23/42</w:t>
        </w:r>
      </w:hyperlink>
      <w:r w:rsidRPr="004A482B">
        <w:t>, para. 51.</w:t>
      </w:r>
    </w:p>
  </w:endnote>
  <w:endnote w:id="91">
    <w:p w14:paraId="7C823FEE" w14:textId="7777777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t xml:space="preserve">See </w:t>
      </w:r>
      <w:r w:rsidRPr="001D6B0C">
        <w:t>https://www.who.int/teams/immunization-vaccines-and-biologicals/vaccine-access/mi4a</w:t>
      </w:r>
      <w:r w:rsidRPr="004A482B">
        <w:t>.</w:t>
      </w:r>
    </w:p>
  </w:endnote>
  <w:endnote w:id="92">
    <w:p w14:paraId="2BDB789C" w14:textId="7777777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t xml:space="preserve">See </w:t>
      </w:r>
      <w:r w:rsidRPr="00295A08">
        <w:t>https://www.theglobalfund.org/en/sourcing-management/price-quality-reporting</w:t>
      </w:r>
      <w:r w:rsidRPr="004A482B">
        <w:t xml:space="preserve">. </w:t>
      </w:r>
    </w:p>
  </w:endnote>
  <w:endnote w:id="93">
    <w:p w14:paraId="1DAED450" w14:textId="7777777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t xml:space="preserve">Available at </w:t>
      </w:r>
      <w:r w:rsidRPr="00F65549">
        <w:t>https://www.who.int/publications/i/item/9789240049505</w:t>
      </w:r>
      <w:r>
        <w:t>.</w:t>
      </w:r>
    </w:p>
  </w:endnote>
  <w:endnote w:id="94">
    <w:p w14:paraId="5713BA28" w14:textId="7777777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t>See</w:t>
      </w:r>
      <w:r>
        <w:t>, for example,</w:t>
      </w:r>
      <w:r w:rsidRPr="004A482B">
        <w:t xml:space="preserve"> </w:t>
      </w:r>
      <w:r w:rsidRPr="004C7E02">
        <w:t xml:space="preserve">WHO, </w:t>
      </w:r>
      <w:r w:rsidRPr="00B27347">
        <w:rPr>
          <w:i/>
          <w:iCs/>
        </w:rPr>
        <w:t>Model List of Essential Medicines</w:t>
      </w:r>
      <w:r w:rsidRPr="004C7E02">
        <w:t>, 2</w:t>
      </w:r>
      <w:r>
        <w:t>2nd</w:t>
      </w:r>
      <w:r w:rsidRPr="004C7E02">
        <w:t xml:space="preserve"> ed. (20</w:t>
      </w:r>
      <w:r>
        <w:t>2</w:t>
      </w:r>
      <w:r w:rsidRPr="004C7E02">
        <w:t>1</w:t>
      </w:r>
      <w:r>
        <w:rPr>
          <w:rStyle w:val="Hyperlink"/>
          <w:color w:val="auto"/>
          <w:szCs w:val="18"/>
        </w:rPr>
        <w:t>)</w:t>
      </w:r>
      <w:r w:rsidRPr="004A482B">
        <w:t xml:space="preserve">. </w:t>
      </w:r>
    </w:p>
  </w:endnote>
  <w:endnote w:id="95">
    <w:p w14:paraId="2AD97A1B" w14:textId="2EE1A48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hyperlink r:id="rId25" w:history="1">
        <w:r w:rsidRPr="00622842">
          <w:rPr>
            <w:rStyle w:val="Hyperlink"/>
          </w:rPr>
          <w:t>A/HRC/17/43</w:t>
        </w:r>
      </w:hyperlink>
      <w:r w:rsidRPr="004A482B">
        <w:t>, para. 33.</w:t>
      </w:r>
    </w:p>
  </w:endnote>
  <w:endnote w:id="96">
    <w:p w14:paraId="742E3506" w14:textId="428A527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rsidRPr="004C7E02">
        <w:t xml:space="preserve">Center for Global Development, </w:t>
      </w:r>
      <w:r>
        <w:t>“</w:t>
      </w:r>
      <w:r w:rsidRPr="004C7E02">
        <w:t>Drug resistance: improving standards in the medicine distribution chain</w:t>
      </w:r>
      <w:r>
        <w:rPr>
          <w:rStyle w:val="Hyperlink"/>
          <w:color w:val="auto"/>
          <w:szCs w:val="18"/>
        </w:rPr>
        <w:t>”. Available at</w:t>
      </w:r>
      <w:r w:rsidRPr="0051323B">
        <w:t xml:space="preserve"> </w:t>
      </w:r>
      <w:r w:rsidRPr="0051323B">
        <w:rPr>
          <w:rStyle w:val="Hyperlink"/>
          <w:color w:val="auto"/>
          <w:szCs w:val="18"/>
        </w:rPr>
        <w:t>https://www.cgdev.org/sites/default/files/archive/doc/DWRG/distribution_chain.pdf</w:t>
      </w:r>
      <w:r w:rsidRPr="004A482B">
        <w:t>.</w:t>
      </w:r>
    </w:p>
  </w:endnote>
  <w:endnote w:id="97">
    <w:p w14:paraId="2BB51181" w14:textId="099A61CB" w:rsidR="002E2148" w:rsidRPr="00E80810" w:rsidRDefault="002E2148" w:rsidP="00150419">
      <w:pPr>
        <w:pStyle w:val="EndnoteText"/>
        <w:rPr>
          <w:lang w:val="en-US"/>
        </w:rPr>
      </w:pPr>
      <w:r w:rsidRPr="004A482B">
        <w:tab/>
      </w:r>
      <w:r w:rsidRPr="000812B8">
        <w:rPr>
          <w:rStyle w:val="EndnoteReference"/>
        </w:rPr>
        <w:endnoteRef/>
      </w:r>
      <w:r w:rsidRPr="000812B8">
        <w:rPr>
          <w:rStyle w:val="EndnoteReference"/>
        </w:rPr>
        <w:t xml:space="preserve"> </w:t>
      </w:r>
      <w:r w:rsidRPr="00E80810">
        <w:rPr>
          <w:lang w:val="en-US"/>
        </w:rPr>
        <w:tab/>
      </w:r>
      <w:hyperlink r:id="rId26" w:history="1">
        <w:r w:rsidRPr="00622842">
          <w:rPr>
            <w:rStyle w:val="Hyperlink"/>
            <w:lang w:val="en-US"/>
          </w:rPr>
          <w:t>A/HRC/23/42</w:t>
        </w:r>
      </w:hyperlink>
      <w:r w:rsidRPr="00E80810">
        <w:rPr>
          <w:lang w:val="en-US"/>
        </w:rPr>
        <w:t xml:space="preserve">, para. 54. </w:t>
      </w:r>
    </w:p>
  </w:endnote>
  <w:endnote w:id="98">
    <w:p w14:paraId="5C6D521C" w14:textId="7777777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t xml:space="preserve">See, for example, </w:t>
      </w:r>
      <w:r w:rsidRPr="00B27347">
        <w:t xml:space="preserve">WHO and Health Action International, </w:t>
      </w:r>
      <w:r w:rsidRPr="0062483C">
        <w:rPr>
          <w:i/>
          <w:iCs/>
        </w:rPr>
        <w:t>Measuring</w:t>
      </w:r>
      <w:r>
        <w:rPr>
          <w:i/>
          <w:iCs/>
        </w:rPr>
        <w:t xml:space="preserve"> Medicine Prices, Availability, Affordability and Price Components</w:t>
      </w:r>
      <w:r>
        <w:t>, 2nd edition</w:t>
      </w:r>
      <w:r>
        <w:rPr>
          <w:i/>
          <w:iCs/>
        </w:rPr>
        <w:t xml:space="preserve"> </w:t>
      </w:r>
      <w:r>
        <w:t>(2008)</w:t>
      </w:r>
      <w:r w:rsidRPr="004A482B">
        <w:t xml:space="preserve">. </w:t>
      </w:r>
    </w:p>
  </w:endnote>
  <w:endnote w:id="99">
    <w:p w14:paraId="68F3EA9D" w14:textId="43E5B849"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hyperlink r:id="rId27" w:history="1">
        <w:r w:rsidRPr="00622842">
          <w:rPr>
            <w:rStyle w:val="Hyperlink"/>
          </w:rPr>
          <w:t>A/HRC/23/42</w:t>
        </w:r>
      </w:hyperlink>
      <w:r w:rsidRPr="00CD4E91">
        <w:t>, para. 61.</w:t>
      </w:r>
    </w:p>
  </w:endnote>
  <w:endnote w:id="100">
    <w:p w14:paraId="707C7F32" w14:textId="7777777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t xml:space="preserve">See submission </w:t>
      </w:r>
      <w:r>
        <w:t>from</w:t>
      </w:r>
      <w:r w:rsidRPr="004A482B">
        <w:t xml:space="preserve"> the national human rights institution </w:t>
      </w:r>
      <w:r w:rsidRPr="00790F5A">
        <w:t>of Argentina (in</w:t>
      </w:r>
      <w:r>
        <w:t xml:space="preserve"> Spanish)</w:t>
      </w:r>
      <w:r w:rsidRPr="004A482B">
        <w:t>.</w:t>
      </w:r>
    </w:p>
  </w:endnote>
  <w:endnote w:id="101">
    <w:p w14:paraId="73288C29" w14:textId="77777777"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t xml:space="preserve">See </w:t>
      </w:r>
      <w:r w:rsidRPr="00D52D91">
        <w:t>WHO</w:t>
      </w:r>
      <w:r w:rsidRPr="00D20F34">
        <w:t xml:space="preserve">, </w:t>
      </w:r>
      <w:r w:rsidRPr="00B27347">
        <w:rPr>
          <w:i/>
          <w:iCs/>
        </w:rPr>
        <w:t>Safety Monitoring of Medicinal Products</w:t>
      </w:r>
      <w:r>
        <w:t xml:space="preserve"> (2012)</w:t>
      </w:r>
      <w:r w:rsidRPr="00D20F34">
        <w:t>.</w:t>
      </w:r>
      <w:r w:rsidRPr="00D52D91">
        <w:t xml:space="preserve"> </w:t>
      </w:r>
    </w:p>
  </w:endnote>
  <w:endnote w:id="102">
    <w:p w14:paraId="7595E96B" w14:textId="3087431C"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rsidRPr="00B27347">
        <w:t xml:space="preserve">WHO, </w:t>
      </w:r>
      <w:r>
        <w:t>“</w:t>
      </w:r>
      <w:r w:rsidRPr="00B27347">
        <w:t>Prequalification of medicines</w:t>
      </w:r>
      <w:r>
        <w:t xml:space="preserve"> by WHO”.</w:t>
      </w:r>
      <w:r w:rsidRPr="00B27347">
        <w:t xml:space="preserve"> </w:t>
      </w:r>
      <w:hyperlink r:id="rId28" w:history="1">
        <w:r w:rsidR="00841AAA" w:rsidRPr="00154D28">
          <w:rPr>
            <w:rStyle w:val="Hyperlink"/>
          </w:rPr>
          <w:t>https://www.who.int/news-room/fact-sheets/detail/prequalification-of-medicines-by-who</w:t>
        </w:r>
      </w:hyperlink>
      <w:r w:rsidR="00841AAA">
        <w:t xml:space="preserve"> </w:t>
      </w:r>
    </w:p>
  </w:endnote>
  <w:endnote w:id="103">
    <w:p w14:paraId="132896B3" w14:textId="0E84DFC9"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t>Elina Urli Hodges and others</w:t>
      </w:r>
      <w:r w:rsidRPr="004A482B">
        <w:t xml:space="preserve">, </w:t>
      </w:r>
      <w:r>
        <w:t>“</w:t>
      </w:r>
      <w:r w:rsidRPr="004A482B">
        <w:t xml:space="preserve">Navigating </w:t>
      </w:r>
      <w:r>
        <w:t>c</w:t>
      </w:r>
      <w:r w:rsidRPr="004A482B">
        <w:t xml:space="preserve">omplexity </w:t>
      </w:r>
      <w:r>
        <w:t>t</w:t>
      </w:r>
      <w:r w:rsidRPr="004A482B">
        <w:t xml:space="preserve">o </w:t>
      </w:r>
      <w:r>
        <w:t>i</w:t>
      </w:r>
      <w:r w:rsidRPr="004A482B">
        <w:t xml:space="preserve">mprove </w:t>
      </w:r>
      <w:r>
        <w:t>g</w:t>
      </w:r>
      <w:r w:rsidRPr="004A482B">
        <w:t xml:space="preserve">lobal </w:t>
      </w:r>
      <w:r>
        <w:t>a</w:t>
      </w:r>
      <w:r w:rsidRPr="004A482B">
        <w:t xml:space="preserve">ccess: </w:t>
      </w:r>
      <w:r>
        <w:t>s</w:t>
      </w:r>
      <w:r w:rsidRPr="004A482B">
        <w:t xml:space="preserve">upporting a </w:t>
      </w:r>
      <w:r>
        <w:t>m</w:t>
      </w:r>
      <w:r w:rsidRPr="004A482B">
        <w:t xml:space="preserve">ore </w:t>
      </w:r>
      <w:r>
        <w:t>e</w:t>
      </w:r>
      <w:r w:rsidRPr="004A482B">
        <w:t xml:space="preserve">fficient and </w:t>
      </w:r>
      <w:r>
        <w:t>e</w:t>
      </w:r>
      <w:r w:rsidRPr="004A482B">
        <w:t xml:space="preserve">ffective World Health Organization </w:t>
      </w:r>
      <w:r>
        <w:t>p</w:t>
      </w:r>
      <w:r w:rsidRPr="004A482B">
        <w:t xml:space="preserve">requalification </w:t>
      </w:r>
      <w:r>
        <w:t>p</w:t>
      </w:r>
      <w:r w:rsidRPr="004A482B">
        <w:t>rogram</w:t>
      </w:r>
      <w:r>
        <w:t>”</w:t>
      </w:r>
      <w:r w:rsidRPr="004A482B">
        <w:t xml:space="preserve"> </w:t>
      </w:r>
      <w:r>
        <w:t>(</w:t>
      </w:r>
      <w:r w:rsidRPr="004A482B">
        <w:t>Duke Global Health Innovation Center and Global Health Technologies Coalition</w:t>
      </w:r>
      <w:r>
        <w:t>,</w:t>
      </w:r>
      <w:r w:rsidRPr="004A482B">
        <w:t xml:space="preserve"> 2022</w:t>
      </w:r>
      <w:r>
        <w:t>)</w:t>
      </w:r>
      <w:r w:rsidRPr="004A482B">
        <w:t>.</w:t>
      </w:r>
    </w:p>
  </w:endnote>
  <w:endnote w:id="104">
    <w:p w14:paraId="172A0900" w14:textId="7093A0A2"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t xml:space="preserve">Kirsi Kvarnström </w:t>
      </w:r>
      <w:r>
        <w:t>and others</w:t>
      </w:r>
      <w:r w:rsidRPr="004A482B">
        <w:t xml:space="preserve">, </w:t>
      </w:r>
      <w:r>
        <w:t>“</w:t>
      </w:r>
      <w:r w:rsidRPr="004A482B">
        <w:t xml:space="preserve">Factors </w:t>
      </w:r>
      <w:r>
        <w:t>c</w:t>
      </w:r>
      <w:r w:rsidRPr="004A482B">
        <w:t xml:space="preserve">ontributing to </w:t>
      </w:r>
      <w:r>
        <w:t>m</w:t>
      </w:r>
      <w:r w:rsidRPr="004A482B">
        <w:t xml:space="preserve">edication </w:t>
      </w:r>
      <w:r>
        <w:t>a</w:t>
      </w:r>
      <w:r w:rsidRPr="004A482B">
        <w:t xml:space="preserve">dherence in </w:t>
      </w:r>
      <w:r>
        <w:t>p</w:t>
      </w:r>
      <w:r w:rsidRPr="004A482B">
        <w:t xml:space="preserve">atients with a </w:t>
      </w:r>
      <w:r>
        <w:t>c</w:t>
      </w:r>
      <w:r w:rsidRPr="004A482B">
        <w:t xml:space="preserve">hronic </w:t>
      </w:r>
      <w:r>
        <w:t>c</w:t>
      </w:r>
      <w:r w:rsidRPr="004A482B">
        <w:t xml:space="preserve">ondition: </w:t>
      </w:r>
      <w:r>
        <w:t>a</w:t>
      </w:r>
      <w:r w:rsidRPr="004A482B">
        <w:t xml:space="preserve"> </w:t>
      </w:r>
      <w:r>
        <w:t>s</w:t>
      </w:r>
      <w:r w:rsidRPr="004A482B">
        <w:t xml:space="preserve">coping </w:t>
      </w:r>
      <w:r>
        <w:t>r</w:t>
      </w:r>
      <w:r w:rsidRPr="004A482B">
        <w:t xml:space="preserve">eview of </w:t>
      </w:r>
      <w:r>
        <w:t>q</w:t>
      </w:r>
      <w:r w:rsidRPr="004A482B">
        <w:t xml:space="preserve">ualitative </w:t>
      </w:r>
      <w:r>
        <w:t>r</w:t>
      </w:r>
      <w:r w:rsidRPr="004A482B">
        <w:t>esearch</w:t>
      </w:r>
      <w:r>
        <w:t>”</w:t>
      </w:r>
      <w:r w:rsidRPr="004A482B">
        <w:t xml:space="preserve">, </w:t>
      </w:r>
      <w:r w:rsidRPr="00B27347">
        <w:rPr>
          <w:i/>
          <w:iCs/>
        </w:rPr>
        <w:t>Pharmaceutics</w:t>
      </w:r>
      <w:r w:rsidRPr="00B27347">
        <w:t>,</w:t>
      </w:r>
      <w:r w:rsidRPr="00B27347">
        <w:rPr>
          <w:i/>
          <w:iCs/>
        </w:rPr>
        <w:t xml:space="preserve"> </w:t>
      </w:r>
      <w:r>
        <w:t>vol.</w:t>
      </w:r>
      <w:r w:rsidRPr="004A482B">
        <w:t xml:space="preserve"> 13</w:t>
      </w:r>
      <w:r>
        <w:t>, No. 7 (July 2021)</w:t>
      </w:r>
      <w:r w:rsidRPr="004A482B">
        <w:t xml:space="preserve">; </w:t>
      </w:r>
      <w:r>
        <w:t xml:space="preserve">and </w:t>
      </w:r>
      <w:r w:rsidRPr="004A482B">
        <w:t xml:space="preserve">K. Rivet Amico </w:t>
      </w:r>
      <w:r>
        <w:t>and others</w:t>
      </w:r>
      <w:r w:rsidRPr="004A482B">
        <w:t xml:space="preserve">, </w:t>
      </w:r>
      <w:r>
        <w:t>“</w:t>
      </w:r>
      <w:r w:rsidRPr="004A482B">
        <w:t xml:space="preserve">Advantages to </w:t>
      </w:r>
      <w:r>
        <w:t>u</w:t>
      </w:r>
      <w:r w:rsidRPr="004A482B">
        <w:t xml:space="preserve">sing </w:t>
      </w:r>
      <w:r>
        <w:t>s</w:t>
      </w:r>
      <w:r w:rsidRPr="004A482B">
        <w:t>ocial-</w:t>
      </w:r>
      <w:r>
        <w:t>b</w:t>
      </w:r>
      <w:r w:rsidRPr="004A482B">
        <w:t xml:space="preserve">ehavioral </w:t>
      </w:r>
      <w:r>
        <w:t>m</w:t>
      </w:r>
      <w:r w:rsidRPr="004A482B">
        <w:t xml:space="preserve">odels of </w:t>
      </w:r>
      <w:r>
        <w:t>m</w:t>
      </w:r>
      <w:r w:rsidRPr="004A482B">
        <w:t xml:space="preserve">edication </w:t>
      </w:r>
      <w:r>
        <w:t>a</w:t>
      </w:r>
      <w:r w:rsidRPr="004A482B">
        <w:t xml:space="preserve">dherence in </w:t>
      </w:r>
      <w:r>
        <w:t>r</w:t>
      </w:r>
      <w:r w:rsidRPr="004A482B">
        <w:t xml:space="preserve">esearch and </w:t>
      </w:r>
      <w:r>
        <w:t>p</w:t>
      </w:r>
      <w:r w:rsidRPr="004A482B">
        <w:t>ractice</w:t>
      </w:r>
      <w:r>
        <w:t>”</w:t>
      </w:r>
      <w:r w:rsidRPr="004A482B">
        <w:t>,</w:t>
      </w:r>
      <w:r>
        <w:t xml:space="preserve"> </w:t>
      </w:r>
      <w:r>
        <w:rPr>
          <w:i/>
          <w:iCs/>
        </w:rPr>
        <w:t>Journal of General Internal Medicine</w:t>
      </w:r>
      <w:r w:rsidRPr="00B27347">
        <w:t>,</w:t>
      </w:r>
      <w:r>
        <w:rPr>
          <w:i/>
          <w:iCs/>
        </w:rPr>
        <w:t xml:space="preserve"> </w:t>
      </w:r>
      <w:r>
        <w:t xml:space="preserve">vol. 33, No. 2 (February </w:t>
      </w:r>
      <w:r w:rsidRPr="004A482B">
        <w:t>201</w:t>
      </w:r>
      <w:r>
        <w:t>8)</w:t>
      </w:r>
      <w:r w:rsidRPr="004A482B">
        <w:t xml:space="preserve">. </w:t>
      </w:r>
    </w:p>
  </w:endnote>
  <w:endnote w:id="105">
    <w:p w14:paraId="42A812C7" w14:textId="59582BA5"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r>
        <w:t xml:space="preserve">For other examples, see </w:t>
      </w:r>
      <w:hyperlink r:id="rId29" w:history="1">
        <w:r w:rsidRPr="00622842">
          <w:rPr>
            <w:rStyle w:val="Hyperlink"/>
          </w:rPr>
          <w:t>A/HRC/52/56</w:t>
        </w:r>
      </w:hyperlink>
      <w:r w:rsidRPr="004A482B">
        <w:t xml:space="preserve">, para. 23; </w:t>
      </w:r>
      <w:r w:rsidRPr="004C7E02">
        <w:t xml:space="preserve">Fadi Makki, statement at the OHCHR </w:t>
      </w:r>
      <w:r>
        <w:t>e</w:t>
      </w:r>
      <w:r w:rsidRPr="004C7E02">
        <w:t>xpert workshop on good practices in ensuring access to medicines, vaccines and other health products, Geneva, 14 February 2023</w:t>
      </w:r>
      <w:r w:rsidRPr="004A482B">
        <w:t xml:space="preserve">; </w:t>
      </w:r>
      <w:r w:rsidRPr="004C7E02">
        <w:t xml:space="preserve">Malaysia, statement at the </w:t>
      </w:r>
      <w:r>
        <w:t>e</w:t>
      </w:r>
      <w:r w:rsidRPr="004C7E02">
        <w:t>xpert workshop on good practices in ensuring access to medicines, vaccines and other health products, Geneva, 14 February 2023</w:t>
      </w:r>
      <w:r w:rsidRPr="004A482B">
        <w:t>;</w:t>
      </w:r>
      <w:r>
        <w:t xml:space="preserve"> and</w:t>
      </w:r>
      <w:r w:rsidRPr="004A482B">
        <w:t xml:space="preserve"> submission </w:t>
      </w:r>
      <w:r>
        <w:t>from</w:t>
      </w:r>
      <w:r w:rsidRPr="004A482B">
        <w:t xml:space="preserve"> New Zealand.</w:t>
      </w:r>
    </w:p>
  </w:endnote>
  <w:endnote w:id="106">
    <w:p w14:paraId="44E52499" w14:textId="77777777" w:rsidR="002E2148" w:rsidRPr="00D612A8"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t xml:space="preserve">The </w:t>
      </w:r>
      <w:r>
        <w:t>resolution will be considered at the seventy-sixth</w:t>
      </w:r>
      <w:r w:rsidRPr="004A482B">
        <w:t xml:space="preserve"> World Health Assembly</w:t>
      </w:r>
      <w:r>
        <w:t>,</w:t>
      </w:r>
      <w:r w:rsidRPr="004A482B">
        <w:t xml:space="preserve"> which will take place in Geneva in May 2023</w:t>
      </w:r>
      <w:r>
        <w:t>.</w:t>
      </w:r>
      <w:r w:rsidRPr="004A482B">
        <w:t xml:space="preserve"> </w:t>
      </w:r>
      <w:r>
        <w:t>S</w:t>
      </w:r>
      <w:r w:rsidRPr="004A482B">
        <w:t>ee also</w:t>
      </w:r>
      <w:r>
        <w:t xml:space="preserve"> the</w:t>
      </w:r>
      <w:r w:rsidRPr="004A482B">
        <w:t xml:space="preserve"> submission </w:t>
      </w:r>
      <w:r w:rsidRPr="00D612A8">
        <w:t>from Malaysia.</w:t>
      </w:r>
    </w:p>
  </w:endnote>
  <w:endnote w:id="107">
    <w:p w14:paraId="25B9E64A" w14:textId="77777777" w:rsidR="002E2148" w:rsidRPr="004A482B" w:rsidRDefault="002E2148" w:rsidP="00150419">
      <w:pPr>
        <w:pStyle w:val="EndnoteText"/>
      </w:pPr>
      <w:r w:rsidRPr="00D612A8">
        <w:tab/>
      </w:r>
      <w:r w:rsidRPr="000812B8">
        <w:rPr>
          <w:rStyle w:val="EndnoteReference"/>
        </w:rPr>
        <w:endnoteRef/>
      </w:r>
      <w:r w:rsidRPr="000812B8">
        <w:rPr>
          <w:rStyle w:val="EndnoteReference"/>
        </w:rPr>
        <w:t xml:space="preserve"> </w:t>
      </w:r>
      <w:r w:rsidRPr="00D612A8">
        <w:tab/>
      </w:r>
      <w:r w:rsidRPr="00D612A8">
        <w:rPr>
          <w:bCs/>
        </w:rPr>
        <w:t>See also the submission from Luxembourg.</w:t>
      </w:r>
    </w:p>
  </w:endnote>
  <w:endnote w:id="108">
    <w:p w14:paraId="67C45D27" w14:textId="3BFD1B82"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t xml:space="preserve">See </w:t>
      </w:r>
      <w:hyperlink r:id="rId30" w:history="1">
        <w:r w:rsidRPr="00622842">
          <w:rPr>
            <w:rStyle w:val="Hyperlink"/>
          </w:rPr>
          <w:t>A/HRC/52/56</w:t>
        </w:r>
      </w:hyperlink>
      <w:r w:rsidRPr="004A482B">
        <w:t>, para. 43.</w:t>
      </w:r>
    </w:p>
  </w:endnote>
  <w:endnote w:id="109">
    <w:p w14:paraId="73368AD0" w14:textId="77777777" w:rsidR="002E2148" w:rsidRPr="00D612A8" w:rsidRDefault="002E2148" w:rsidP="00150419">
      <w:pPr>
        <w:pStyle w:val="EndnoteText"/>
      </w:pPr>
      <w:r w:rsidRPr="004A482B">
        <w:tab/>
      </w:r>
      <w:r w:rsidRPr="000812B8">
        <w:rPr>
          <w:rStyle w:val="EndnoteReference"/>
        </w:rPr>
        <w:endnoteRef/>
      </w:r>
      <w:r w:rsidRPr="000812B8">
        <w:rPr>
          <w:rStyle w:val="EndnoteReference"/>
        </w:rPr>
        <w:tab/>
      </w:r>
      <w:r w:rsidRPr="004A482B">
        <w:t xml:space="preserve">Submission </w:t>
      </w:r>
      <w:r>
        <w:t>from</w:t>
      </w:r>
      <w:r w:rsidRPr="00D612A8">
        <w:t xml:space="preserve"> Malaysia. </w:t>
      </w:r>
    </w:p>
  </w:endnote>
  <w:endnote w:id="110">
    <w:p w14:paraId="0E78521D" w14:textId="77777777" w:rsidR="002E2148" w:rsidRPr="004A482B" w:rsidRDefault="002E2148" w:rsidP="00150419">
      <w:pPr>
        <w:pStyle w:val="EndnoteText"/>
      </w:pPr>
      <w:r w:rsidRPr="00D612A8">
        <w:tab/>
      </w:r>
      <w:r w:rsidRPr="000812B8">
        <w:rPr>
          <w:rStyle w:val="EndnoteReference"/>
        </w:rPr>
        <w:endnoteRef/>
      </w:r>
      <w:r w:rsidRPr="000812B8">
        <w:rPr>
          <w:rStyle w:val="EndnoteReference"/>
        </w:rPr>
        <w:t xml:space="preserve"> </w:t>
      </w:r>
      <w:r w:rsidRPr="00D612A8">
        <w:tab/>
        <w:t xml:space="preserve">Submission </w:t>
      </w:r>
      <w:r>
        <w:t>from</w:t>
      </w:r>
      <w:r w:rsidRPr="00D612A8">
        <w:t xml:space="preserve"> the Dominican Republic.</w:t>
      </w:r>
    </w:p>
  </w:endnote>
  <w:endnote w:id="111">
    <w:p w14:paraId="38F2E273" w14:textId="024B1299" w:rsidR="002E2148" w:rsidRPr="004A482B" w:rsidRDefault="002E2148" w:rsidP="00150419">
      <w:pPr>
        <w:pStyle w:val="EndnoteText"/>
      </w:pPr>
      <w:r w:rsidRPr="004A482B">
        <w:tab/>
      </w:r>
      <w:r w:rsidRPr="000812B8">
        <w:rPr>
          <w:rStyle w:val="EndnoteReference"/>
        </w:rPr>
        <w:endnoteRef/>
      </w:r>
      <w:r w:rsidRPr="000812B8">
        <w:rPr>
          <w:rStyle w:val="EndnoteReference"/>
        </w:rPr>
        <w:t xml:space="preserve"> </w:t>
      </w:r>
      <w:r w:rsidRPr="004A482B">
        <w:tab/>
      </w:r>
      <w:hyperlink r:id="rId31" w:history="1">
        <w:r w:rsidRPr="00622842">
          <w:rPr>
            <w:rStyle w:val="Hyperlink"/>
          </w:rPr>
          <w:t>A/HRC/52/56</w:t>
        </w:r>
      </w:hyperlink>
      <w:r w:rsidRPr="004A482B">
        <w:t>, paras. 25</w:t>
      </w:r>
      <w:r>
        <w:t xml:space="preserve"> and </w:t>
      </w:r>
      <w:r w:rsidRPr="004A482B">
        <w:t>26.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DE393" w14:textId="48414DCB" w:rsidR="00853235" w:rsidRDefault="00853235" w:rsidP="00853235">
    <w:pPr>
      <w:pStyle w:val="Footer"/>
      <w:tabs>
        <w:tab w:val="right" w:pos="9638"/>
      </w:tabs>
    </w:pPr>
    <w:r w:rsidRPr="00853235">
      <w:rPr>
        <w:b/>
        <w:bCs/>
        <w:sz w:val="18"/>
      </w:rPr>
      <w:fldChar w:fldCharType="begin"/>
    </w:r>
    <w:r w:rsidRPr="00853235">
      <w:rPr>
        <w:b/>
        <w:bCs/>
        <w:sz w:val="18"/>
      </w:rPr>
      <w:instrText xml:space="preserve"> PAGE  \* MERGEFORMAT </w:instrText>
    </w:r>
    <w:r w:rsidRPr="00853235">
      <w:rPr>
        <w:b/>
        <w:bCs/>
        <w:sz w:val="18"/>
      </w:rPr>
      <w:fldChar w:fldCharType="separate"/>
    </w:r>
    <w:r w:rsidRPr="00853235">
      <w:rPr>
        <w:b/>
        <w:bCs/>
        <w:noProof/>
        <w:sz w:val="18"/>
      </w:rPr>
      <w:t>2</w:t>
    </w:r>
    <w:r w:rsidRPr="00853235">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721C1" w14:textId="0C33C8CA" w:rsidR="00853235" w:rsidRDefault="00853235" w:rsidP="00853235">
    <w:pPr>
      <w:pStyle w:val="Footer"/>
      <w:tabs>
        <w:tab w:val="right" w:pos="9638"/>
      </w:tabs>
    </w:pPr>
    <w:r>
      <w:tab/>
    </w:r>
    <w:r w:rsidRPr="00853235">
      <w:rPr>
        <w:b/>
        <w:bCs/>
        <w:sz w:val="18"/>
      </w:rPr>
      <w:fldChar w:fldCharType="begin"/>
    </w:r>
    <w:r w:rsidRPr="00853235">
      <w:rPr>
        <w:b/>
        <w:bCs/>
        <w:sz w:val="18"/>
      </w:rPr>
      <w:instrText xml:space="preserve"> PAGE  \* MERGEFORMAT </w:instrText>
    </w:r>
    <w:r w:rsidRPr="00853235">
      <w:rPr>
        <w:b/>
        <w:bCs/>
        <w:sz w:val="18"/>
      </w:rPr>
      <w:fldChar w:fldCharType="separate"/>
    </w:r>
    <w:r w:rsidRPr="00853235">
      <w:rPr>
        <w:b/>
        <w:bCs/>
        <w:noProof/>
        <w:sz w:val="18"/>
      </w:rPr>
      <w:t>3</w:t>
    </w:r>
    <w:r w:rsidRPr="00853235">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4518" w14:textId="7443686B" w:rsidR="00853235" w:rsidRPr="00853235" w:rsidRDefault="00853235" w:rsidP="00F13904">
    <w:pPr>
      <w:pStyle w:val="Footer"/>
      <w:rPr>
        <w:sz w:val="20"/>
      </w:rPr>
    </w:pPr>
    <w:r>
      <w:rPr>
        <w:noProof/>
        <w:lang w:val="en-US"/>
      </w:rPr>
      <w:drawing>
        <wp:anchor distT="0" distB="0" distL="114300" distR="114300" simplePos="0" relativeHeight="251658240" behindDoc="1" locked="1" layoutInCell="1" allowOverlap="1" wp14:anchorId="4254D3DF" wp14:editId="4B50EB7A">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340DC" w14:textId="77777777" w:rsidR="00296DAB" w:rsidRPr="00C47B2E" w:rsidRDefault="00296DAB" w:rsidP="00C47B2E">
      <w:pPr>
        <w:tabs>
          <w:tab w:val="right" w:pos="2155"/>
        </w:tabs>
        <w:spacing w:after="80" w:line="240" w:lineRule="auto"/>
        <w:ind w:left="680"/>
      </w:pPr>
      <w:r>
        <w:rPr>
          <w:u w:val="single"/>
        </w:rPr>
        <w:tab/>
      </w:r>
    </w:p>
  </w:footnote>
  <w:footnote w:type="continuationSeparator" w:id="0">
    <w:p w14:paraId="2A267DDE" w14:textId="77777777" w:rsidR="00296DAB" w:rsidRPr="00C47B2E" w:rsidRDefault="00296DAB" w:rsidP="005E716E">
      <w:pPr>
        <w:tabs>
          <w:tab w:val="right" w:pos="2155"/>
        </w:tabs>
        <w:spacing w:after="80" w:line="240" w:lineRule="auto"/>
        <w:ind w:left="680"/>
      </w:pPr>
      <w:r>
        <w:rPr>
          <w:u w:val="single"/>
        </w:rPr>
        <w:tab/>
      </w:r>
    </w:p>
  </w:footnote>
  <w:footnote w:type="continuationNotice" w:id="1">
    <w:p w14:paraId="15887E1B" w14:textId="77777777" w:rsidR="00296DAB" w:rsidRPr="00C47B2E" w:rsidRDefault="00296DAB" w:rsidP="00C47B2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F0C44" w14:textId="5BACE553" w:rsidR="00853235" w:rsidRDefault="00853235" w:rsidP="00C446C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52751" w14:textId="1F7488E4" w:rsidR="00853235" w:rsidRDefault="00853235" w:rsidP="00C446C6">
    <w:pPr>
      <w:pStyle w:val="Header"/>
      <w:pBdr>
        <w:bottom w:val="none" w:sz="0" w:space="0" w:color="auto"/>
      </w:pBdr>
      <w:jc w:val="right"/>
    </w:pPr>
  </w:p>
</w:hdr>
</file>

<file path=word/intelligence2.xml><?xml version="1.0" encoding="utf-8"?>
<int2:intelligence xmlns:int2="http://schemas.microsoft.com/office/intelligence/2020/intelligence" xmlns:oel="http://schemas.microsoft.com/office/2019/extlst">
  <int2:observations>
    <int2:textHash int2:hashCode="x9aM4aSZFTF7e8" int2:id="6c6MpRd2">
      <int2:state int2:value="Rejected" int2:type="AugLoop_Text_Critique"/>
    </int2:textHash>
    <int2:textHash int2:hashCode="qEcFZKa70qBnLo" int2:id="8sToYsN2">
      <int2:state int2:value="Rejected" int2:type="AugLoop_Text_Critique"/>
    </int2:textHash>
    <int2:textHash int2:hashCode="NAygpyeanNNtjN" int2:id="HJBowP0d">
      <int2:state int2:value="Rejected" int2:type="AugLoop_Text_Critique"/>
    </int2:textHash>
    <int2:textHash int2:hashCode="+YQY2Gw9wed/Ap" int2:id="KypdRgLh">
      <int2:state int2:value="Rejected" int2:type="AugLoop_Text_Critique"/>
    </int2:textHash>
    <int2:textHash int2:hashCode="BC3EUS+j05HFFw" int2:id="jNTkLQBJ">
      <int2:state int2:value="Rejected" int2:type="AugLoop_Text_Critique"/>
    </int2:textHash>
    <int2:textHash int2:hashCode="FqEuv5xf16YfS9" int2:id="mLFx0GjX">
      <int2:state int2:value="Rejected" int2:type="AugLoop_Text_Critique"/>
    </int2:textHash>
    <int2:textHash int2:hashCode="W3UabM1pHXUfUo" int2:id="oRepshL9">
      <int2:state int2:value="Rejected" int2:type="AugLoop_Text_Critique"/>
    </int2:textHash>
    <int2:bookmark int2:bookmarkName="_Int_sYX6EHCa" int2:invalidationBookmarkName="" int2:hashCode="DvwBF5XRtWRjiY" int2:id="CenAFlIN">
      <int2:state int2:value="Rejected" int2:type="AugLoop_Text_Critique"/>
    </int2:bookmark>
    <int2:bookmark int2:bookmarkName="_Int_9GYM7mPK" int2:invalidationBookmarkName="" int2:hashCode="6KWckmKlp6D6pK" int2:id="qpjIfJIM">
      <int2:state int2:value="Rejected" int2:type="AugLoop_Text_Critique"/>
    </int2:bookmark>
    <int2:bookmark int2:bookmarkName="_Int_FDQ7wijg" int2:invalidationBookmarkName="" int2:hashCode="FA57JfWdfTKIxy" int2:id="wUszaur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4F9B"/>
    <w:multiLevelType w:val="hybridMultilevel"/>
    <w:tmpl w:val="48369C70"/>
    <w:lvl w:ilvl="0" w:tplc="08090001">
      <w:start w:val="1"/>
      <w:numFmt w:val="bullet"/>
      <w:lvlText w:val=""/>
      <w:lvlJc w:val="left"/>
      <w:pPr>
        <w:ind w:left="2214" w:hanging="360"/>
      </w:pPr>
      <w:rPr>
        <w:rFonts w:ascii="Symbol" w:hAnsi="Symbo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D58E0"/>
    <w:multiLevelType w:val="hybridMultilevel"/>
    <w:tmpl w:val="B678CAE4"/>
    <w:lvl w:ilvl="0" w:tplc="04090001">
      <w:start w:val="1"/>
      <w:numFmt w:val="bullet"/>
      <w:lvlText w:val=""/>
      <w:lvlJc w:val="left"/>
      <w:pPr>
        <w:ind w:left="2061" w:hanging="360"/>
      </w:pPr>
      <w:rPr>
        <w:rFonts w:ascii="Symbol" w:hAnsi="Symbol"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 w15:restartNumberingAfterBreak="0">
    <w:nsid w:val="11CA2D63"/>
    <w:multiLevelType w:val="hybridMultilevel"/>
    <w:tmpl w:val="F3EE95F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9661E4D"/>
    <w:multiLevelType w:val="hybridMultilevel"/>
    <w:tmpl w:val="3AB223A4"/>
    <w:lvl w:ilvl="0" w:tplc="0809000F">
      <w:start w:val="1"/>
      <w:numFmt w:val="decimal"/>
      <w:lvlText w:val="%1."/>
      <w:lvlJc w:val="left"/>
      <w:pPr>
        <w:ind w:left="2202" w:hanging="360"/>
      </w:p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D151C"/>
    <w:multiLevelType w:val="hybridMultilevel"/>
    <w:tmpl w:val="0848205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7E07AD7"/>
    <w:multiLevelType w:val="hybridMultilevel"/>
    <w:tmpl w:val="A27ABF96"/>
    <w:lvl w:ilvl="0" w:tplc="0224767A">
      <w:start w:val="1"/>
      <w:numFmt w:val="upperRoman"/>
      <w:lvlText w:val="%1."/>
      <w:lvlJc w:val="left"/>
      <w:pPr>
        <w:ind w:left="1290" w:hanging="72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0" w15:restartNumberingAfterBreak="0">
    <w:nsid w:val="29042E53"/>
    <w:multiLevelType w:val="hybridMultilevel"/>
    <w:tmpl w:val="C9C2C69A"/>
    <w:lvl w:ilvl="0" w:tplc="08090001">
      <w:start w:val="1"/>
      <w:numFmt w:val="bullet"/>
      <w:lvlText w:val=""/>
      <w:lvlJc w:val="left"/>
      <w:pPr>
        <w:ind w:left="2214" w:hanging="360"/>
      </w:pPr>
      <w:rPr>
        <w:rFonts w:ascii="Symbol" w:hAnsi="Symbo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11"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AC4E84"/>
    <w:multiLevelType w:val="hybridMultilevel"/>
    <w:tmpl w:val="94E0CBEE"/>
    <w:lvl w:ilvl="0" w:tplc="FFFFFFFF">
      <w:start w:val="1"/>
      <w:numFmt w:val="lowerRoman"/>
      <w:lvlText w:val="(%1)"/>
      <w:lvlJc w:val="left"/>
      <w:pPr>
        <w:ind w:left="720" w:hanging="360"/>
      </w:pPr>
      <w:rPr>
        <w:rFonts w:hint="default"/>
      </w:rPr>
    </w:lvl>
    <w:lvl w:ilvl="1" w:tplc="514AECD4">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06D0A8E2">
      <w:start w:val="1"/>
      <w:numFmt w:val="lowerRoman"/>
      <w:lvlText w:val="(%4)"/>
      <w:lvlJc w:val="left"/>
      <w:pPr>
        <w:ind w:left="2880" w:hanging="360"/>
      </w:pPr>
      <w:rPr>
        <w:rFonts w:hint="default"/>
        <w:b w:val="0"/>
        <w:bC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A01860"/>
    <w:multiLevelType w:val="hybridMultilevel"/>
    <w:tmpl w:val="AF340CA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3B712F0E"/>
    <w:multiLevelType w:val="hybridMultilevel"/>
    <w:tmpl w:val="7D0EE780"/>
    <w:lvl w:ilvl="0" w:tplc="42FAFAC2">
      <w:start w:val="1"/>
      <w:numFmt w:val="upperLetter"/>
      <w:lvlText w:val="%1."/>
      <w:lvlJc w:val="left"/>
      <w:pPr>
        <w:ind w:left="1695" w:hanging="405"/>
      </w:pPr>
      <w:rPr>
        <w:rFonts w:hint="default"/>
      </w:rPr>
    </w:lvl>
    <w:lvl w:ilvl="1" w:tplc="08090019">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15" w15:restartNumberingAfterBreak="0">
    <w:nsid w:val="3B850BEC"/>
    <w:multiLevelType w:val="hybridMultilevel"/>
    <w:tmpl w:val="09DE07C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3C1416D2"/>
    <w:multiLevelType w:val="hybridMultilevel"/>
    <w:tmpl w:val="6FD019D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45621551"/>
    <w:multiLevelType w:val="hybridMultilevel"/>
    <w:tmpl w:val="13B67B40"/>
    <w:lvl w:ilvl="0" w:tplc="08090001">
      <w:start w:val="1"/>
      <w:numFmt w:val="bullet"/>
      <w:lvlText w:val=""/>
      <w:lvlJc w:val="left"/>
      <w:pPr>
        <w:ind w:left="2574" w:hanging="360"/>
      </w:pPr>
      <w:rPr>
        <w:rFonts w:ascii="Symbol" w:hAnsi="Symbol" w:hint="default"/>
      </w:rPr>
    </w:lvl>
    <w:lvl w:ilvl="1" w:tplc="08090003" w:tentative="1">
      <w:start w:val="1"/>
      <w:numFmt w:val="bullet"/>
      <w:lvlText w:val="o"/>
      <w:lvlJc w:val="left"/>
      <w:pPr>
        <w:ind w:left="3294" w:hanging="360"/>
      </w:pPr>
      <w:rPr>
        <w:rFonts w:ascii="Courier New" w:hAnsi="Courier New" w:cs="Courier New" w:hint="default"/>
      </w:rPr>
    </w:lvl>
    <w:lvl w:ilvl="2" w:tplc="08090005" w:tentative="1">
      <w:start w:val="1"/>
      <w:numFmt w:val="bullet"/>
      <w:lvlText w:val=""/>
      <w:lvlJc w:val="left"/>
      <w:pPr>
        <w:ind w:left="4014" w:hanging="360"/>
      </w:pPr>
      <w:rPr>
        <w:rFonts w:ascii="Wingdings" w:hAnsi="Wingdings" w:hint="default"/>
      </w:rPr>
    </w:lvl>
    <w:lvl w:ilvl="3" w:tplc="08090001" w:tentative="1">
      <w:start w:val="1"/>
      <w:numFmt w:val="bullet"/>
      <w:lvlText w:val=""/>
      <w:lvlJc w:val="left"/>
      <w:pPr>
        <w:ind w:left="4734" w:hanging="360"/>
      </w:pPr>
      <w:rPr>
        <w:rFonts w:ascii="Symbol" w:hAnsi="Symbol" w:hint="default"/>
      </w:rPr>
    </w:lvl>
    <w:lvl w:ilvl="4" w:tplc="08090003" w:tentative="1">
      <w:start w:val="1"/>
      <w:numFmt w:val="bullet"/>
      <w:lvlText w:val="o"/>
      <w:lvlJc w:val="left"/>
      <w:pPr>
        <w:ind w:left="5454" w:hanging="360"/>
      </w:pPr>
      <w:rPr>
        <w:rFonts w:ascii="Courier New" w:hAnsi="Courier New" w:cs="Courier New" w:hint="default"/>
      </w:rPr>
    </w:lvl>
    <w:lvl w:ilvl="5" w:tplc="08090005" w:tentative="1">
      <w:start w:val="1"/>
      <w:numFmt w:val="bullet"/>
      <w:lvlText w:val=""/>
      <w:lvlJc w:val="left"/>
      <w:pPr>
        <w:ind w:left="6174" w:hanging="360"/>
      </w:pPr>
      <w:rPr>
        <w:rFonts w:ascii="Wingdings" w:hAnsi="Wingdings" w:hint="default"/>
      </w:rPr>
    </w:lvl>
    <w:lvl w:ilvl="6" w:tplc="08090001" w:tentative="1">
      <w:start w:val="1"/>
      <w:numFmt w:val="bullet"/>
      <w:lvlText w:val=""/>
      <w:lvlJc w:val="left"/>
      <w:pPr>
        <w:ind w:left="6894" w:hanging="360"/>
      </w:pPr>
      <w:rPr>
        <w:rFonts w:ascii="Symbol" w:hAnsi="Symbol" w:hint="default"/>
      </w:rPr>
    </w:lvl>
    <w:lvl w:ilvl="7" w:tplc="08090003" w:tentative="1">
      <w:start w:val="1"/>
      <w:numFmt w:val="bullet"/>
      <w:lvlText w:val="o"/>
      <w:lvlJc w:val="left"/>
      <w:pPr>
        <w:ind w:left="7614" w:hanging="360"/>
      </w:pPr>
      <w:rPr>
        <w:rFonts w:ascii="Courier New" w:hAnsi="Courier New" w:cs="Courier New" w:hint="default"/>
      </w:rPr>
    </w:lvl>
    <w:lvl w:ilvl="8" w:tplc="08090005" w:tentative="1">
      <w:start w:val="1"/>
      <w:numFmt w:val="bullet"/>
      <w:lvlText w:val=""/>
      <w:lvlJc w:val="left"/>
      <w:pPr>
        <w:ind w:left="8334" w:hanging="360"/>
      </w:pPr>
      <w:rPr>
        <w:rFonts w:ascii="Wingdings" w:hAnsi="Wingdings" w:hint="default"/>
      </w:rPr>
    </w:lvl>
  </w:abstractNum>
  <w:abstractNum w:abstractNumId="18" w15:restartNumberingAfterBreak="0">
    <w:nsid w:val="47537089"/>
    <w:multiLevelType w:val="hybridMultilevel"/>
    <w:tmpl w:val="22D47A7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15:restartNumberingAfterBreak="0">
    <w:nsid w:val="4E304888"/>
    <w:multiLevelType w:val="hybridMultilevel"/>
    <w:tmpl w:val="853E3DF8"/>
    <w:lvl w:ilvl="0" w:tplc="C5C6E7CA">
      <w:start w:val="1"/>
      <w:numFmt w:val="upperLetter"/>
      <w:lvlText w:val="%1)"/>
      <w:lvlJc w:val="left"/>
      <w:pPr>
        <w:ind w:left="1020" w:hanging="360"/>
      </w:pPr>
    </w:lvl>
    <w:lvl w:ilvl="1" w:tplc="BC4C23A6">
      <w:start w:val="1"/>
      <w:numFmt w:val="upperLetter"/>
      <w:lvlText w:val="%2)"/>
      <w:lvlJc w:val="left"/>
      <w:pPr>
        <w:ind w:left="1020" w:hanging="360"/>
      </w:pPr>
    </w:lvl>
    <w:lvl w:ilvl="2" w:tplc="24A660D4">
      <w:start w:val="1"/>
      <w:numFmt w:val="upperLetter"/>
      <w:lvlText w:val="%3)"/>
      <w:lvlJc w:val="left"/>
      <w:pPr>
        <w:ind w:left="1020" w:hanging="360"/>
      </w:pPr>
    </w:lvl>
    <w:lvl w:ilvl="3" w:tplc="0724668C">
      <w:start w:val="1"/>
      <w:numFmt w:val="upperLetter"/>
      <w:lvlText w:val="%4)"/>
      <w:lvlJc w:val="left"/>
      <w:pPr>
        <w:ind w:left="1020" w:hanging="360"/>
      </w:pPr>
    </w:lvl>
    <w:lvl w:ilvl="4" w:tplc="A32A0F4C">
      <w:start w:val="1"/>
      <w:numFmt w:val="upperLetter"/>
      <w:lvlText w:val="%5)"/>
      <w:lvlJc w:val="left"/>
      <w:pPr>
        <w:ind w:left="1020" w:hanging="360"/>
      </w:pPr>
    </w:lvl>
    <w:lvl w:ilvl="5" w:tplc="52FE690C">
      <w:start w:val="1"/>
      <w:numFmt w:val="upperLetter"/>
      <w:lvlText w:val="%6)"/>
      <w:lvlJc w:val="left"/>
      <w:pPr>
        <w:ind w:left="1020" w:hanging="360"/>
      </w:pPr>
    </w:lvl>
    <w:lvl w:ilvl="6" w:tplc="82B030FE">
      <w:start w:val="1"/>
      <w:numFmt w:val="upperLetter"/>
      <w:lvlText w:val="%7)"/>
      <w:lvlJc w:val="left"/>
      <w:pPr>
        <w:ind w:left="1020" w:hanging="360"/>
      </w:pPr>
    </w:lvl>
    <w:lvl w:ilvl="7" w:tplc="D1F4F80E">
      <w:start w:val="1"/>
      <w:numFmt w:val="upperLetter"/>
      <w:lvlText w:val="%8)"/>
      <w:lvlJc w:val="left"/>
      <w:pPr>
        <w:ind w:left="1020" w:hanging="360"/>
      </w:pPr>
    </w:lvl>
    <w:lvl w:ilvl="8" w:tplc="D578F4CE">
      <w:start w:val="1"/>
      <w:numFmt w:val="upperLetter"/>
      <w:lvlText w:val="%9)"/>
      <w:lvlJc w:val="left"/>
      <w:pPr>
        <w:ind w:left="1020" w:hanging="360"/>
      </w:pPr>
    </w:lvl>
  </w:abstractNum>
  <w:abstractNum w:abstractNumId="20" w15:restartNumberingAfterBreak="0">
    <w:nsid w:val="52902AC9"/>
    <w:multiLevelType w:val="hybridMultilevel"/>
    <w:tmpl w:val="7C7E5EF6"/>
    <w:lvl w:ilvl="0" w:tplc="75B89148">
      <w:start w:val="1"/>
      <w:numFmt w:val="lowerLetter"/>
      <w:lvlText w:val="(%1)"/>
      <w:lvlJc w:val="left"/>
      <w:pPr>
        <w:ind w:left="2421" w:hanging="360"/>
      </w:pPr>
      <w:rPr>
        <w:rFonts w:hint="default"/>
        <w:b w:val="0"/>
        <w:bCs w:val="0"/>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1" w15:restartNumberingAfterBreak="0">
    <w:nsid w:val="53583120"/>
    <w:multiLevelType w:val="hybridMultilevel"/>
    <w:tmpl w:val="AEDE1E0C"/>
    <w:lvl w:ilvl="0" w:tplc="069C08AE">
      <w:start w:val="1"/>
      <w:numFmt w:val="decimal"/>
      <w:lvlText w:val="%1."/>
      <w:lvlJc w:val="left"/>
      <w:pPr>
        <w:ind w:left="1020" w:hanging="360"/>
      </w:pPr>
    </w:lvl>
    <w:lvl w:ilvl="1" w:tplc="4222A8F8">
      <w:start w:val="1"/>
      <w:numFmt w:val="decimal"/>
      <w:lvlText w:val="%2."/>
      <w:lvlJc w:val="left"/>
      <w:pPr>
        <w:ind w:left="1020" w:hanging="360"/>
      </w:pPr>
    </w:lvl>
    <w:lvl w:ilvl="2" w:tplc="B21C7D42">
      <w:start w:val="1"/>
      <w:numFmt w:val="decimal"/>
      <w:lvlText w:val="%3."/>
      <w:lvlJc w:val="left"/>
      <w:pPr>
        <w:ind w:left="1020" w:hanging="360"/>
      </w:pPr>
    </w:lvl>
    <w:lvl w:ilvl="3" w:tplc="C65C5C54">
      <w:start w:val="1"/>
      <w:numFmt w:val="decimal"/>
      <w:lvlText w:val="%4."/>
      <w:lvlJc w:val="left"/>
      <w:pPr>
        <w:ind w:left="1020" w:hanging="360"/>
      </w:pPr>
    </w:lvl>
    <w:lvl w:ilvl="4" w:tplc="8CE47A56">
      <w:start w:val="1"/>
      <w:numFmt w:val="decimal"/>
      <w:lvlText w:val="%5."/>
      <w:lvlJc w:val="left"/>
      <w:pPr>
        <w:ind w:left="1020" w:hanging="360"/>
      </w:pPr>
    </w:lvl>
    <w:lvl w:ilvl="5" w:tplc="B1EAF9EA">
      <w:start w:val="1"/>
      <w:numFmt w:val="decimal"/>
      <w:lvlText w:val="%6."/>
      <w:lvlJc w:val="left"/>
      <w:pPr>
        <w:ind w:left="1020" w:hanging="360"/>
      </w:pPr>
    </w:lvl>
    <w:lvl w:ilvl="6" w:tplc="14DEE8A6">
      <w:start w:val="1"/>
      <w:numFmt w:val="decimal"/>
      <w:lvlText w:val="%7."/>
      <w:lvlJc w:val="left"/>
      <w:pPr>
        <w:ind w:left="1020" w:hanging="360"/>
      </w:pPr>
    </w:lvl>
    <w:lvl w:ilvl="7" w:tplc="B5B0AE38">
      <w:start w:val="1"/>
      <w:numFmt w:val="decimal"/>
      <w:lvlText w:val="%8."/>
      <w:lvlJc w:val="left"/>
      <w:pPr>
        <w:ind w:left="1020" w:hanging="360"/>
      </w:pPr>
    </w:lvl>
    <w:lvl w:ilvl="8" w:tplc="4042B758">
      <w:start w:val="1"/>
      <w:numFmt w:val="decimal"/>
      <w:lvlText w:val="%9."/>
      <w:lvlJc w:val="left"/>
      <w:pPr>
        <w:ind w:left="1020" w:hanging="360"/>
      </w:pPr>
    </w:lvl>
  </w:abstractNum>
  <w:abstractNum w:abstractNumId="22" w15:restartNumberingAfterBreak="0">
    <w:nsid w:val="53FD5BC8"/>
    <w:multiLevelType w:val="hybridMultilevel"/>
    <w:tmpl w:val="C1EE7E38"/>
    <w:lvl w:ilvl="0" w:tplc="08090001">
      <w:start w:val="1"/>
      <w:numFmt w:val="bullet"/>
      <w:lvlText w:val=""/>
      <w:lvlJc w:val="left"/>
      <w:pPr>
        <w:ind w:left="2214" w:hanging="360"/>
      </w:pPr>
      <w:rPr>
        <w:rFonts w:ascii="Symbol" w:hAnsi="Symbo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23" w15:restartNumberingAfterBreak="0">
    <w:nsid w:val="55FF6B2B"/>
    <w:multiLevelType w:val="hybridMultilevel"/>
    <w:tmpl w:val="3024345E"/>
    <w:lvl w:ilvl="0" w:tplc="49022CEC">
      <w:start w:val="1"/>
      <w:numFmt w:val="lowerLetter"/>
      <w:lvlText w:val="(%1)"/>
      <w:lvlJc w:val="left"/>
      <w:pPr>
        <w:ind w:left="2345" w:hanging="360"/>
      </w:pPr>
      <w:rPr>
        <w:rFonts w:hint="default"/>
        <w:b w:val="0"/>
        <w:bCs w:val="0"/>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24" w15:restartNumberingAfterBreak="0">
    <w:nsid w:val="59F430E2"/>
    <w:multiLevelType w:val="hybridMultilevel"/>
    <w:tmpl w:val="10BE8608"/>
    <w:lvl w:ilvl="0" w:tplc="FFFFFFFF">
      <w:start w:val="1"/>
      <w:numFmt w:val="lowerLetter"/>
      <w:lvlText w:val="%1)"/>
      <w:lvlJc w:val="left"/>
      <w:pPr>
        <w:ind w:left="1854" w:hanging="360"/>
      </w:pPr>
    </w:lvl>
    <w:lvl w:ilvl="1" w:tplc="41D4BE10">
      <w:start w:val="1"/>
      <w:numFmt w:val="lowerLetter"/>
      <w:lvlText w:val="(%2)"/>
      <w:lvlJc w:val="left"/>
      <w:pPr>
        <w:ind w:left="2421" w:hanging="360"/>
      </w:pPr>
      <w:rPr>
        <w:rFonts w:hint="default"/>
        <w:b w:val="0"/>
        <w:bCs w:val="0"/>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2A684A"/>
    <w:multiLevelType w:val="hybridMultilevel"/>
    <w:tmpl w:val="35625F3C"/>
    <w:lvl w:ilvl="0" w:tplc="E4D44D82">
      <w:start w:val="1"/>
      <w:numFmt w:val="lowerLetter"/>
      <w:lvlText w:val="(%1)"/>
      <w:lvlJc w:val="left"/>
      <w:pPr>
        <w:ind w:left="3337" w:hanging="360"/>
      </w:pPr>
      <w:rPr>
        <w:rFonts w:hint="default"/>
        <w:b w:val="0"/>
        <w:bCs w:val="0"/>
      </w:rPr>
    </w:lvl>
    <w:lvl w:ilvl="1" w:tplc="08090019" w:tentative="1">
      <w:start w:val="1"/>
      <w:numFmt w:val="lowerLetter"/>
      <w:lvlText w:val="%2."/>
      <w:lvlJc w:val="left"/>
      <w:pPr>
        <w:ind w:left="4057" w:hanging="360"/>
      </w:pPr>
    </w:lvl>
    <w:lvl w:ilvl="2" w:tplc="0809001B" w:tentative="1">
      <w:start w:val="1"/>
      <w:numFmt w:val="lowerRoman"/>
      <w:lvlText w:val="%3."/>
      <w:lvlJc w:val="right"/>
      <w:pPr>
        <w:ind w:left="4777" w:hanging="180"/>
      </w:pPr>
    </w:lvl>
    <w:lvl w:ilvl="3" w:tplc="0809000F" w:tentative="1">
      <w:start w:val="1"/>
      <w:numFmt w:val="decimal"/>
      <w:lvlText w:val="%4."/>
      <w:lvlJc w:val="left"/>
      <w:pPr>
        <w:ind w:left="5497" w:hanging="360"/>
      </w:pPr>
    </w:lvl>
    <w:lvl w:ilvl="4" w:tplc="08090019" w:tentative="1">
      <w:start w:val="1"/>
      <w:numFmt w:val="lowerLetter"/>
      <w:lvlText w:val="%5."/>
      <w:lvlJc w:val="left"/>
      <w:pPr>
        <w:ind w:left="6217" w:hanging="360"/>
      </w:pPr>
    </w:lvl>
    <w:lvl w:ilvl="5" w:tplc="0809001B" w:tentative="1">
      <w:start w:val="1"/>
      <w:numFmt w:val="lowerRoman"/>
      <w:lvlText w:val="%6."/>
      <w:lvlJc w:val="right"/>
      <w:pPr>
        <w:ind w:left="6937" w:hanging="180"/>
      </w:pPr>
    </w:lvl>
    <w:lvl w:ilvl="6" w:tplc="0809000F" w:tentative="1">
      <w:start w:val="1"/>
      <w:numFmt w:val="decimal"/>
      <w:lvlText w:val="%7."/>
      <w:lvlJc w:val="left"/>
      <w:pPr>
        <w:ind w:left="7657" w:hanging="360"/>
      </w:pPr>
    </w:lvl>
    <w:lvl w:ilvl="7" w:tplc="08090019" w:tentative="1">
      <w:start w:val="1"/>
      <w:numFmt w:val="lowerLetter"/>
      <w:lvlText w:val="%8."/>
      <w:lvlJc w:val="left"/>
      <w:pPr>
        <w:ind w:left="8377" w:hanging="360"/>
      </w:pPr>
    </w:lvl>
    <w:lvl w:ilvl="8" w:tplc="0809001B" w:tentative="1">
      <w:start w:val="1"/>
      <w:numFmt w:val="lowerRoman"/>
      <w:lvlText w:val="%9."/>
      <w:lvlJc w:val="right"/>
      <w:pPr>
        <w:ind w:left="9097" w:hanging="180"/>
      </w:p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EA5BF0"/>
    <w:multiLevelType w:val="hybridMultilevel"/>
    <w:tmpl w:val="B69E5806"/>
    <w:lvl w:ilvl="0" w:tplc="2EDC08AA">
      <w:start w:val="1"/>
      <w:numFmt w:val="upperLetter"/>
      <w:lvlText w:val="%1."/>
      <w:lvlJc w:val="left"/>
      <w:pPr>
        <w:ind w:left="1130" w:hanging="510"/>
      </w:pPr>
      <w:rPr>
        <w:rFonts w:hint="default"/>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30" w15:restartNumberingAfterBreak="0">
    <w:nsid w:val="6F514C6E"/>
    <w:multiLevelType w:val="hybridMultilevel"/>
    <w:tmpl w:val="C8225AF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1" w15:restartNumberingAfterBreak="0">
    <w:nsid w:val="723402F7"/>
    <w:multiLevelType w:val="hybridMultilevel"/>
    <w:tmpl w:val="D17AD5C8"/>
    <w:lvl w:ilvl="0" w:tplc="08090015">
      <w:start w:val="3"/>
      <w:numFmt w:val="upp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771E07ED"/>
    <w:multiLevelType w:val="hybridMultilevel"/>
    <w:tmpl w:val="714874A0"/>
    <w:lvl w:ilvl="0" w:tplc="08090001">
      <w:start w:val="1"/>
      <w:numFmt w:val="bullet"/>
      <w:lvlText w:val=""/>
      <w:lvlJc w:val="left"/>
      <w:pPr>
        <w:ind w:left="2214" w:hanging="360"/>
      </w:pPr>
      <w:rPr>
        <w:rFonts w:ascii="Symbol" w:hAnsi="Symbo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3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90B5F25"/>
    <w:multiLevelType w:val="hybridMultilevel"/>
    <w:tmpl w:val="A5E6DC1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7A9C0284"/>
    <w:multiLevelType w:val="hybridMultilevel"/>
    <w:tmpl w:val="B0181698"/>
    <w:lvl w:ilvl="0" w:tplc="FFFFFFFF">
      <w:start w:val="1"/>
      <w:numFmt w:val="upperLetter"/>
      <w:lvlText w:val="%1."/>
      <w:lvlJc w:val="left"/>
      <w:pPr>
        <w:ind w:left="1695" w:hanging="405"/>
      </w:pPr>
      <w:rPr>
        <w:rFonts w:hint="default"/>
      </w:rPr>
    </w:lvl>
    <w:lvl w:ilvl="1" w:tplc="0809000F">
      <w:start w:val="1"/>
      <w:numFmt w:val="decimal"/>
      <w:lvlText w:val="%2."/>
      <w:lvlJc w:val="left"/>
      <w:pPr>
        <w:ind w:left="2370" w:hanging="360"/>
      </w:p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36" w15:restartNumberingAfterBreak="0">
    <w:nsid w:val="7AF9688B"/>
    <w:multiLevelType w:val="hybridMultilevel"/>
    <w:tmpl w:val="F7C00D0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7" w15:restartNumberingAfterBreak="0">
    <w:nsid w:val="7C325084"/>
    <w:multiLevelType w:val="hybridMultilevel"/>
    <w:tmpl w:val="33B8A2EA"/>
    <w:lvl w:ilvl="0" w:tplc="829C1B84">
      <w:start w:val="1"/>
      <w:numFmt w:val="upperLetter"/>
      <w:lvlText w:val="%1."/>
      <w:lvlJc w:val="left"/>
      <w:pPr>
        <w:ind w:left="1020" w:hanging="360"/>
      </w:pPr>
    </w:lvl>
    <w:lvl w:ilvl="1" w:tplc="E0FEEEA4">
      <w:start w:val="1"/>
      <w:numFmt w:val="upperLetter"/>
      <w:lvlText w:val="%2."/>
      <w:lvlJc w:val="left"/>
      <w:pPr>
        <w:ind w:left="1020" w:hanging="360"/>
      </w:pPr>
    </w:lvl>
    <w:lvl w:ilvl="2" w:tplc="C5B421AC">
      <w:start w:val="1"/>
      <w:numFmt w:val="upperLetter"/>
      <w:lvlText w:val="%3."/>
      <w:lvlJc w:val="left"/>
      <w:pPr>
        <w:ind w:left="1020" w:hanging="360"/>
      </w:pPr>
    </w:lvl>
    <w:lvl w:ilvl="3" w:tplc="4490B984">
      <w:start w:val="1"/>
      <w:numFmt w:val="upperLetter"/>
      <w:lvlText w:val="%4."/>
      <w:lvlJc w:val="left"/>
      <w:pPr>
        <w:ind w:left="1020" w:hanging="360"/>
      </w:pPr>
    </w:lvl>
    <w:lvl w:ilvl="4" w:tplc="822A029A">
      <w:start w:val="1"/>
      <w:numFmt w:val="upperLetter"/>
      <w:lvlText w:val="%5."/>
      <w:lvlJc w:val="left"/>
      <w:pPr>
        <w:ind w:left="1020" w:hanging="360"/>
      </w:pPr>
    </w:lvl>
    <w:lvl w:ilvl="5" w:tplc="271484B0">
      <w:start w:val="1"/>
      <w:numFmt w:val="upperLetter"/>
      <w:lvlText w:val="%6."/>
      <w:lvlJc w:val="left"/>
      <w:pPr>
        <w:ind w:left="1020" w:hanging="360"/>
      </w:pPr>
    </w:lvl>
    <w:lvl w:ilvl="6" w:tplc="DB2E1788">
      <w:start w:val="1"/>
      <w:numFmt w:val="upperLetter"/>
      <w:lvlText w:val="%7."/>
      <w:lvlJc w:val="left"/>
      <w:pPr>
        <w:ind w:left="1020" w:hanging="360"/>
      </w:pPr>
    </w:lvl>
    <w:lvl w:ilvl="7" w:tplc="23F603D4">
      <w:start w:val="1"/>
      <w:numFmt w:val="upperLetter"/>
      <w:lvlText w:val="%8."/>
      <w:lvlJc w:val="left"/>
      <w:pPr>
        <w:ind w:left="1020" w:hanging="360"/>
      </w:pPr>
    </w:lvl>
    <w:lvl w:ilvl="8" w:tplc="4D5ADD7A">
      <w:start w:val="1"/>
      <w:numFmt w:val="upperLetter"/>
      <w:lvlText w:val="%9."/>
      <w:lvlJc w:val="left"/>
      <w:pPr>
        <w:ind w:left="1020" w:hanging="360"/>
      </w:pPr>
    </w:lvl>
  </w:abstractNum>
  <w:abstractNum w:abstractNumId="38" w15:restartNumberingAfterBreak="0">
    <w:nsid w:val="7E0C6BDE"/>
    <w:multiLevelType w:val="hybridMultilevel"/>
    <w:tmpl w:val="DD6E659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2016151961">
    <w:abstractNumId w:val="11"/>
  </w:num>
  <w:num w:numId="2" w16cid:durableId="885990224">
    <w:abstractNumId w:val="7"/>
  </w:num>
  <w:num w:numId="3" w16cid:durableId="143277755">
    <w:abstractNumId w:val="1"/>
  </w:num>
  <w:num w:numId="4" w16cid:durableId="1343707936">
    <w:abstractNumId w:val="25"/>
  </w:num>
  <w:num w:numId="5" w16cid:durableId="38554958">
    <w:abstractNumId w:val="27"/>
  </w:num>
  <w:num w:numId="6" w16cid:durableId="1749843818">
    <w:abstractNumId w:val="33"/>
  </w:num>
  <w:num w:numId="7" w16cid:durableId="1455295489">
    <w:abstractNumId w:val="5"/>
  </w:num>
  <w:num w:numId="8" w16cid:durableId="280039243">
    <w:abstractNumId w:val="2"/>
  </w:num>
  <w:num w:numId="9" w16cid:durableId="1198396199">
    <w:abstractNumId w:val="28"/>
  </w:num>
  <w:num w:numId="10" w16cid:durableId="2085565874">
    <w:abstractNumId w:val="2"/>
  </w:num>
  <w:num w:numId="11" w16cid:durableId="916481339">
    <w:abstractNumId w:val="28"/>
  </w:num>
  <w:num w:numId="12" w16cid:durableId="757946026">
    <w:abstractNumId w:val="29"/>
  </w:num>
  <w:num w:numId="13" w16cid:durableId="18094458">
    <w:abstractNumId w:val="31"/>
  </w:num>
  <w:num w:numId="14" w16cid:durableId="378092230">
    <w:abstractNumId w:val="12"/>
  </w:num>
  <w:num w:numId="15" w16cid:durableId="136455825">
    <w:abstractNumId w:val="23"/>
  </w:num>
  <w:num w:numId="16" w16cid:durableId="797845484">
    <w:abstractNumId w:val="26"/>
  </w:num>
  <w:num w:numId="17" w16cid:durableId="1428311829">
    <w:abstractNumId w:val="20"/>
  </w:num>
  <w:num w:numId="18" w16cid:durableId="741831534">
    <w:abstractNumId w:val="24"/>
  </w:num>
  <w:num w:numId="19" w16cid:durableId="501237119">
    <w:abstractNumId w:val="6"/>
  </w:num>
  <w:num w:numId="20" w16cid:durableId="363680839">
    <w:abstractNumId w:val="11"/>
  </w:num>
  <w:num w:numId="21" w16cid:durableId="1985430915">
    <w:abstractNumId w:val="7"/>
  </w:num>
  <w:num w:numId="22" w16cid:durableId="1662082082">
    <w:abstractNumId w:val="1"/>
  </w:num>
  <w:num w:numId="23" w16cid:durableId="1326933881">
    <w:abstractNumId w:val="27"/>
  </w:num>
  <w:num w:numId="24" w16cid:durableId="1414082276">
    <w:abstractNumId w:val="5"/>
  </w:num>
  <w:num w:numId="25" w16cid:durableId="429589568">
    <w:abstractNumId w:val="7"/>
  </w:num>
  <w:num w:numId="26" w16cid:durableId="1690063787">
    <w:abstractNumId w:val="7"/>
  </w:num>
  <w:num w:numId="27" w16cid:durableId="284704783">
    <w:abstractNumId w:val="18"/>
  </w:num>
  <w:num w:numId="28" w16cid:durableId="1654792791">
    <w:abstractNumId w:val="4"/>
  </w:num>
  <w:num w:numId="29" w16cid:durableId="147981907">
    <w:abstractNumId w:val="15"/>
  </w:num>
  <w:num w:numId="30" w16cid:durableId="855584575">
    <w:abstractNumId w:val="16"/>
  </w:num>
  <w:num w:numId="31" w16cid:durableId="237599965">
    <w:abstractNumId w:val="3"/>
  </w:num>
  <w:num w:numId="32" w16cid:durableId="762530643">
    <w:abstractNumId w:val="30"/>
  </w:num>
  <w:num w:numId="33" w16cid:durableId="1054548714">
    <w:abstractNumId w:val="8"/>
  </w:num>
  <w:num w:numId="34" w16cid:durableId="260143029">
    <w:abstractNumId w:val="13"/>
  </w:num>
  <w:num w:numId="35" w16cid:durableId="360983669">
    <w:abstractNumId w:val="17"/>
  </w:num>
  <w:num w:numId="36" w16cid:durableId="1357657796">
    <w:abstractNumId w:val="10"/>
  </w:num>
  <w:num w:numId="37" w16cid:durableId="1620602732">
    <w:abstractNumId w:val="22"/>
  </w:num>
  <w:num w:numId="38" w16cid:durableId="1934045376">
    <w:abstractNumId w:val="0"/>
  </w:num>
  <w:num w:numId="39" w16cid:durableId="889069732">
    <w:abstractNumId w:val="32"/>
  </w:num>
  <w:num w:numId="40" w16cid:durableId="1113478886">
    <w:abstractNumId w:val="36"/>
  </w:num>
  <w:num w:numId="41" w16cid:durableId="1331716639">
    <w:abstractNumId w:val="9"/>
  </w:num>
  <w:num w:numId="42" w16cid:durableId="989943811">
    <w:abstractNumId w:val="14"/>
  </w:num>
  <w:num w:numId="43" w16cid:durableId="855197515">
    <w:abstractNumId w:val="35"/>
  </w:num>
  <w:num w:numId="44" w16cid:durableId="131678811">
    <w:abstractNumId w:val="19"/>
  </w:num>
  <w:num w:numId="45" w16cid:durableId="650788840">
    <w:abstractNumId w:val="37"/>
  </w:num>
  <w:num w:numId="46" w16cid:durableId="509415978">
    <w:abstractNumId w:val="21"/>
  </w:num>
  <w:num w:numId="47" w16cid:durableId="825978780">
    <w:abstractNumId w:val="34"/>
  </w:num>
  <w:num w:numId="48" w16cid:durableId="161717206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CD180D"/>
    <w:rsid w:val="000101E1"/>
    <w:rsid w:val="00010E5B"/>
    <w:rsid w:val="00046E92"/>
    <w:rsid w:val="00054FBD"/>
    <w:rsid w:val="0006067B"/>
    <w:rsid w:val="00063C90"/>
    <w:rsid w:val="00072607"/>
    <w:rsid w:val="000812B8"/>
    <w:rsid w:val="000A0E98"/>
    <w:rsid w:val="000A405F"/>
    <w:rsid w:val="000B6411"/>
    <w:rsid w:val="000C1124"/>
    <w:rsid w:val="000C7D7C"/>
    <w:rsid w:val="000E4910"/>
    <w:rsid w:val="00101B98"/>
    <w:rsid w:val="0010365B"/>
    <w:rsid w:val="00122EEB"/>
    <w:rsid w:val="0013015E"/>
    <w:rsid w:val="00131C09"/>
    <w:rsid w:val="00150419"/>
    <w:rsid w:val="0016455C"/>
    <w:rsid w:val="00172C47"/>
    <w:rsid w:val="001818F0"/>
    <w:rsid w:val="001855B9"/>
    <w:rsid w:val="001A7116"/>
    <w:rsid w:val="001D33C3"/>
    <w:rsid w:val="002017AD"/>
    <w:rsid w:val="00227F79"/>
    <w:rsid w:val="00230944"/>
    <w:rsid w:val="00247E2C"/>
    <w:rsid w:val="00251841"/>
    <w:rsid w:val="00281000"/>
    <w:rsid w:val="00284F5F"/>
    <w:rsid w:val="0029096D"/>
    <w:rsid w:val="00296DAB"/>
    <w:rsid w:val="002A32CB"/>
    <w:rsid w:val="002A350B"/>
    <w:rsid w:val="002B319E"/>
    <w:rsid w:val="002D6C53"/>
    <w:rsid w:val="002E1B02"/>
    <w:rsid w:val="002E2148"/>
    <w:rsid w:val="002E4F71"/>
    <w:rsid w:val="002E6BB6"/>
    <w:rsid w:val="002F5595"/>
    <w:rsid w:val="002F7170"/>
    <w:rsid w:val="0031726E"/>
    <w:rsid w:val="00334F6A"/>
    <w:rsid w:val="00336FC6"/>
    <w:rsid w:val="00342AC8"/>
    <w:rsid w:val="00346E30"/>
    <w:rsid w:val="00354940"/>
    <w:rsid w:val="003711B7"/>
    <w:rsid w:val="003779F1"/>
    <w:rsid w:val="00394589"/>
    <w:rsid w:val="003A27B9"/>
    <w:rsid w:val="003A2992"/>
    <w:rsid w:val="003A7255"/>
    <w:rsid w:val="003B4550"/>
    <w:rsid w:val="003C6651"/>
    <w:rsid w:val="003C6E55"/>
    <w:rsid w:val="003D1EB3"/>
    <w:rsid w:val="0040017C"/>
    <w:rsid w:val="004029B7"/>
    <w:rsid w:val="0040752B"/>
    <w:rsid w:val="00414C64"/>
    <w:rsid w:val="00453D20"/>
    <w:rsid w:val="00461253"/>
    <w:rsid w:val="004732AF"/>
    <w:rsid w:val="00486E21"/>
    <w:rsid w:val="00492B05"/>
    <w:rsid w:val="00492B70"/>
    <w:rsid w:val="004940D2"/>
    <w:rsid w:val="004A2814"/>
    <w:rsid w:val="004A70FD"/>
    <w:rsid w:val="004B25C7"/>
    <w:rsid w:val="004B2CD9"/>
    <w:rsid w:val="004C0622"/>
    <w:rsid w:val="004D10F9"/>
    <w:rsid w:val="004D1FB8"/>
    <w:rsid w:val="004D267F"/>
    <w:rsid w:val="004E55AD"/>
    <w:rsid w:val="004F7256"/>
    <w:rsid w:val="00500525"/>
    <w:rsid w:val="005042C2"/>
    <w:rsid w:val="00523E7A"/>
    <w:rsid w:val="00554BAA"/>
    <w:rsid w:val="00557033"/>
    <w:rsid w:val="005624E2"/>
    <w:rsid w:val="00575A6A"/>
    <w:rsid w:val="00580F25"/>
    <w:rsid w:val="00593D73"/>
    <w:rsid w:val="005A65BB"/>
    <w:rsid w:val="005B4227"/>
    <w:rsid w:val="005C4F37"/>
    <w:rsid w:val="005E716E"/>
    <w:rsid w:val="00607FFB"/>
    <w:rsid w:val="00622842"/>
    <w:rsid w:val="00661076"/>
    <w:rsid w:val="00671529"/>
    <w:rsid w:val="0068303D"/>
    <w:rsid w:val="0069310A"/>
    <w:rsid w:val="006C6ED8"/>
    <w:rsid w:val="006D0CB4"/>
    <w:rsid w:val="006D5C48"/>
    <w:rsid w:val="006E4F70"/>
    <w:rsid w:val="006E6697"/>
    <w:rsid w:val="0070489D"/>
    <w:rsid w:val="0072117E"/>
    <w:rsid w:val="0072285C"/>
    <w:rsid w:val="00724EF7"/>
    <w:rsid w:val="0072518C"/>
    <w:rsid w:val="007268F9"/>
    <w:rsid w:val="00733457"/>
    <w:rsid w:val="00734A50"/>
    <w:rsid w:val="007350A2"/>
    <w:rsid w:val="00741E14"/>
    <w:rsid w:val="007454D2"/>
    <w:rsid w:val="007506D3"/>
    <w:rsid w:val="00761DBE"/>
    <w:rsid w:val="00770635"/>
    <w:rsid w:val="00774EA1"/>
    <w:rsid w:val="00785739"/>
    <w:rsid w:val="007869C7"/>
    <w:rsid w:val="007B466E"/>
    <w:rsid w:val="007C52B0"/>
    <w:rsid w:val="007D0532"/>
    <w:rsid w:val="007D603D"/>
    <w:rsid w:val="00800C3F"/>
    <w:rsid w:val="008019A0"/>
    <w:rsid w:val="0081462E"/>
    <w:rsid w:val="008174AF"/>
    <w:rsid w:val="00841AAA"/>
    <w:rsid w:val="00845A46"/>
    <w:rsid w:val="00853235"/>
    <w:rsid w:val="00857226"/>
    <w:rsid w:val="00861B4E"/>
    <w:rsid w:val="00862676"/>
    <w:rsid w:val="008733E9"/>
    <w:rsid w:val="008751A0"/>
    <w:rsid w:val="00882DAA"/>
    <w:rsid w:val="008A1564"/>
    <w:rsid w:val="008B1DD9"/>
    <w:rsid w:val="008C4EB8"/>
    <w:rsid w:val="008E66B5"/>
    <w:rsid w:val="008E7855"/>
    <w:rsid w:val="008F608E"/>
    <w:rsid w:val="009069F9"/>
    <w:rsid w:val="00917DC3"/>
    <w:rsid w:val="00940A05"/>
    <w:rsid w:val="009411B4"/>
    <w:rsid w:val="00951CEA"/>
    <w:rsid w:val="0095409A"/>
    <w:rsid w:val="00962A56"/>
    <w:rsid w:val="009725EC"/>
    <w:rsid w:val="00993086"/>
    <w:rsid w:val="009B4525"/>
    <w:rsid w:val="009C3AEA"/>
    <w:rsid w:val="009C7A1C"/>
    <w:rsid w:val="009D0139"/>
    <w:rsid w:val="009D717D"/>
    <w:rsid w:val="009F22A0"/>
    <w:rsid w:val="009F5CDC"/>
    <w:rsid w:val="009F7A69"/>
    <w:rsid w:val="00A23A9D"/>
    <w:rsid w:val="00A55575"/>
    <w:rsid w:val="00A618B0"/>
    <w:rsid w:val="00A71A4C"/>
    <w:rsid w:val="00A733C9"/>
    <w:rsid w:val="00A775CF"/>
    <w:rsid w:val="00AA33A1"/>
    <w:rsid w:val="00AA5964"/>
    <w:rsid w:val="00AD07F3"/>
    <w:rsid w:val="00AD2B76"/>
    <w:rsid w:val="00AD799A"/>
    <w:rsid w:val="00AE0BAD"/>
    <w:rsid w:val="00AE198E"/>
    <w:rsid w:val="00AF64A9"/>
    <w:rsid w:val="00B06045"/>
    <w:rsid w:val="00B30012"/>
    <w:rsid w:val="00B3645E"/>
    <w:rsid w:val="00B52EF4"/>
    <w:rsid w:val="00B9312A"/>
    <w:rsid w:val="00B93291"/>
    <w:rsid w:val="00BA1A53"/>
    <w:rsid w:val="00BA2226"/>
    <w:rsid w:val="00BF3F8F"/>
    <w:rsid w:val="00C03015"/>
    <w:rsid w:val="00C0358D"/>
    <w:rsid w:val="00C1501A"/>
    <w:rsid w:val="00C15870"/>
    <w:rsid w:val="00C35A27"/>
    <w:rsid w:val="00C4126B"/>
    <w:rsid w:val="00C446C6"/>
    <w:rsid w:val="00C47B2E"/>
    <w:rsid w:val="00C534AF"/>
    <w:rsid w:val="00C54F4D"/>
    <w:rsid w:val="00C57890"/>
    <w:rsid w:val="00C700BD"/>
    <w:rsid w:val="00CA1B04"/>
    <w:rsid w:val="00CA4529"/>
    <w:rsid w:val="00CA5804"/>
    <w:rsid w:val="00CA6BA5"/>
    <w:rsid w:val="00CB45B5"/>
    <w:rsid w:val="00CD180D"/>
    <w:rsid w:val="00CD4E14"/>
    <w:rsid w:val="00CE6DD4"/>
    <w:rsid w:val="00D527A2"/>
    <w:rsid w:val="00D57475"/>
    <w:rsid w:val="00D71738"/>
    <w:rsid w:val="00D80D08"/>
    <w:rsid w:val="00D81A38"/>
    <w:rsid w:val="00D86C47"/>
    <w:rsid w:val="00D9020A"/>
    <w:rsid w:val="00D9281A"/>
    <w:rsid w:val="00DC07B5"/>
    <w:rsid w:val="00DC53FB"/>
    <w:rsid w:val="00DC77B7"/>
    <w:rsid w:val="00DD2C45"/>
    <w:rsid w:val="00DF5535"/>
    <w:rsid w:val="00DF718B"/>
    <w:rsid w:val="00E02C2B"/>
    <w:rsid w:val="00E02F1F"/>
    <w:rsid w:val="00E427A5"/>
    <w:rsid w:val="00E52109"/>
    <w:rsid w:val="00E534B3"/>
    <w:rsid w:val="00E75317"/>
    <w:rsid w:val="00E80810"/>
    <w:rsid w:val="00E80C86"/>
    <w:rsid w:val="00EA5695"/>
    <w:rsid w:val="00EA68E8"/>
    <w:rsid w:val="00EB1869"/>
    <w:rsid w:val="00EB66B6"/>
    <w:rsid w:val="00EC2011"/>
    <w:rsid w:val="00EC6C04"/>
    <w:rsid w:val="00ED495B"/>
    <w:rsid w:val="00ED6C48"/>
    <w:rsid w:val="00EE4271"/>
    <w:rsid w:val="00EF1009"/>
    <w:rsid w:val="00EF3C82"/>
    <w:rsid w:val="00F063BC"/>
    <w:rsid w:val="00F13904"/>
    <w:rsid w:val="00F26153"/>
    <w:rsid w:val="00F316B6"/>
    <w:rsid w:val="00F320C5"/>
    <w:rsid w:val="00F36AEB"/>
    <w:rsid w:val="00F435A5"/>
    <w:rsid w:val="00F53951"/>
    <w:rsid w:val="00F6442A"/>
    <w:rsid w:val="00F65F5D"/>
    <w:rsid w:val="00F759F4"/>
    <w:rsid w:val="00F86A3A"/>
    <w:rsid w:val="00F9797A"/>
    <w:rsid w:val="00FB33DA"/>
    <w:rsid w:val="00FE2048"/>
    <w:rsid w:val="00FF32E0"/>
    <w:rsid w:val="00FF7340"/>
    <w:rsid w:val="05D40FCA"/>
    <w:rsid w:val="086D82E5"/>
    <w:rsid w:val="08CDC1F3"/>
    <w:rsid w:val="0B67916E"/>
    <w:rsid w:val="0E3D538B"/>
    <w:rsid w:val="13832989"/>
    <w:rsid w:val="1B2A3656"/>
    <w:rsid w:val="228259CC"/>
    <w:rsid w:val="23B51E7F"/>
    <w:rsid w:val="2472A8E3"/>
    <w:rsid w:val="26ECBF41"/>
    <w:rsid w:val="273D582B"/>
    <w:rsid w:val="29BE1B11"/>
    <w:rsid w:val="2B4A4D3E"/>
    <w:rsid w:val="2BC03064"/>
    <w:rsid w:val="2C0CAF37"/>
    <w:rsid w:val="2DA3EE8F"/>
    <w:rsid w:val="2EC3DD00"/>
    <w:rsid w:val="2FE4D583"/>
    <w:rsid w:val="3781EF06"/>
    <w:rsid w:val="3A131B32"/>
    <w:rsid w:val="3AB2AD9E"/>
    <w:rsid w:val="3F39C382"/>
    <w:rsid w:val="42716444"/>
    <w:rsid w:val="44CCE76E"/>
    <w:rsid w:val="477BB8AD"/>
    <w:rsid w:val="4872E539"/>
    <w:rsid w:val="4B65BBE0"/>
    <w:rsid w:val="4DBD6537"/>
    <w:rsid w:val="5410EEA8"/>
    <w:rsid w:val="57665E43"/>
    <w:rsid w:val="587F82E4"/>
    <w:rsid w:val="5AC0A899"/>
    <w:rsid w:val="5B9213AA"/>
    <w:rsid w:val="5E67CBE2"/>
    <w:rsid w:val="633B3D05"/>
    <w:rsid w:val="6378466E"/>
    <w:rsid w:val="63DD749A"/>
    <w:rsid w:val="6E102F1D"/>
    <w:rsid w:val="71C86974"/>
    <w:rsid w:val="71FA875D"/>
    <w:rsid w:val="739657BE"/>
    <w:rsid w:val="7532281F"/>
    <w:rsid w:val="7E1935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55CD4"/>
  <w15:docId w15:val="{3DD0DF2F-1847-4F29-9D61-8E7A8FAE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0810"/>
    <w:pPr>
      <w:suppressAutoHyphens/>
      <w:spacing w:after="0" w:line="240" w:lineRule="atLeast"/>
    </w:pPr>
    <w:rPr>
      <w:rFonts w:ascii="Times New Roman" w:hAnsi="Times New Roman" w:cs="Times New Roman"/>
      <w:sz w:val="20"/>
      <w:szCs w:val="20"/>
    </w:rPr>
  </w:style>
  <w:style w:type="paragraph" w:styleId="Heading1">
    <w:name w:val="heading 1"/>
    <w:aliases w:val="Table_G"/>
    <w:basedOn w:val="SingleTxtG"/>
    <w:next w:val="SingleTxtG"/>
    <w:link w:val="Heading1Char"/>
    <w:rsid w:val="00E80810"/>
    <w:pPr>
      <w:spacing w:after="0" w:line="240" w:lineRule="auto"/>
      <w:ind w:right="0"/>
      <w:jc w:val="left"/>
      <w:outlineLvl w:val="0"/>
    </w:pPr>
  </w:style>
  <w:style w:type="paragraph" w:styleId="Heading2">
    <w:name w:val="heading 2"/>
    <w:basedOn w:val="Normal"/>
    <w:next w:val="Normal"/>
    <w:link w:val="Heading2Char"/>
    <w:semiHidden/>
    <w:rsid w:val="00E80810"/>
    <w:pPr>
      <w:spacing w:line="240" w:lineRule="auto"/>
      <w:outlineLvl w:val="1"/>
    </w:pPr>
  </w:style>
  <w:style w:type="paragraph" w:styleId="Heading3">
    <w:name w:val="heading 3"/>
    <w:basedOn w:val="Normal"/>
    <w:next w:val="Normal"/>
    <w:link w:val="Heading3Char"/>
    <w:semiHidden/>
    <w:rsid w:val="00E80810"/>
    <w:pPr>
      <w:spacing w:line="240" w:lineRule="auto"/>
      <w:outlineLvl w:val="2"/>
    </w:pPr>
  </w:style>
  <w:style w:type="paragraph" w:styleId="Heading4">
    <w:name w:val="heading 4"/>
    <w:basedOn w:val="Normal"/>
    <w:next w:val="Normal"/>
    <w:link w:val="Heading4Char"/>
    <w:semiHidden/>
    <w:rsid w:val="00E80810"/>
    <w:pPr>
      <w:spacing w:line="240" w:lineRule="auto"/>
      <w:outlineLvl w:val="3"/>
    </w:pPr>
  </w:style>
  <w:style w:type="paragraph" w:styleId="Heading5">
    <w:name w:val="heading 5"/>
    <w:basedOn w:val="Normal"/>
    <w:next w:val="Normal"/>
    <w:link w:val="Heading5Char"/>
    <w:semiHidden/>
    <w:rsid w:val="00E80810"/>
    <w:pPr>
      <w:spacing w:line="240" w:lineRule="auto"/>
      <w:outlineLvl w:val="4"/>
    </w:pPr>
  </w:style>
  <w:style w:type="paragraph" w:styleId="Heading6">
    <w:name w:val="heading 6"/>
    <w:basedOn w:val="Normal"/>
    <w:next w:val="Normal"/>
    <w:link w:val="Heading6Char"/>
    <w:semiHidden/>
    <w:rsid w:val="00E80810"/>
    <w:pPr>
      <w:spacing w:line="240" w:lineRule="auto"/>
      <w:outlineLvl w:val="5"/>
    </w:pPr>
  </w:style>
  <w:style w:type="paragraph" w:styleId="Heading7">
    <w:name w:val="heading 7"/>
    <w:basedOn w:val="Normal"/>
    <w:next w:val="Normal"/>
    <w:link w:val="Heading7Char"/>
    <w:semiHidden/>
    <w:rsid w:val="00E80810"/>
    <w:pPr>
      <w:spacing w:line="240" w:lineRule="auto"/>
      <w:outlineLvl w:val="6"/>
    </w:pPr>
  </w:style>
  <w:style w:type="paragraph" w:styleId="Heading8">
    <w:name w:val="heading 8"/>
    <w:basedOn w:val="Normal"/>
    <w:next w:val="Normal"/>
    <w:link w:val="Heading8Char"/>
    <w:semiHidden/>
    <w:rsid w:val="00E80810"/>
    <w:pPr>
      <w:spacing w:line="240" w:lineRule="auto"/>
      <w:outlineLvl w:val="7"/>
    </w:pPr>
  </w:style>
  <w:style w:type="paragraph" w:styleId="Heading9">
    <w:name w:val="heading 9"/>
    <w:basedOn w:val="Normal"/>
    <w:next w:val="Normal"/>
    <w:link w:val="Heading9Char"/>
    <w:semiHidden/>
    <w:rsid w:val="00E80810"/>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E80810"/>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hAnsi="Times New Roman" w:cs="Times New Roman"/>
      <w:b/>
      <w:sz w:val="18"/>
      <w:szCs w:val="20"/>
    </w:rPr>
  </w:style>
  <w:style w:type="paragraph" w:styleId="Footer">
    <w:name w:val="footer"/>
    <w:aliases w:val="3_G"/>
    <w:basedOn w:val="Normal"/>
    <w:link w:val="FooterChar"/>
    <w:rsid w:val="00E80810"/>
    <w:pPr>
      <w:spacing w:line="240" w:lineRule="auto"/>
    </w:pPr>
    <w:rPr>
      <w:sz w:val="16"/>
    </w:rPr>
  </w:style>
  <w:style w:type="character" w:customStyle="1" w:styleId="FooterChar">
    <w:name w:val="Footer Char"/>
    <w:aliases w:val="3_G Char"/>
    <w:basedOn w:val="DefaultParagraphFont"/>
    <w:link w:val="Footer"/>
    <w:rsid w:val="00247E2C"/>
    <w:rPr>
      <w:rFonts w:ascii="Times New Roman" w:hAnsi="Times New Roman" w:cs="Times New Roman"/>
      <w:sz w:val="16"/>
      <w:szCs w:val="20"/>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E80810"/>
    <w:pPr>
      <w:tabs>
        <w:tab w:val="left" w:pos="1701"/>
        <w:tab w:val="left" w:pos="2268"/>
      </w:tabs>
      <w:spacing w:after="120"/>
      <w:ind w:left="1134" w:right="1134"/>
      <w:jc w:val="both"/>
    </w:pPr>
  </w:style>
  <w:style w:type="paragraph" w:customStyle="1" w:styleId="SLG">
    <w:name w:val="__S_L_G"/>
    <w:basedOn w:val="Normal"/>
    <w:next w:val="Normal"/>
    <w:rsid w:val="00E80810"/>
    <w:pPr>
      <w:keepNext/>
      <w:keepLines/>
      <w:spacing w:before="240" w:after="240" w:line="580" w:lineRule="exact"/>
      <w:ind w:left="1134" w:right="1134"/>
    </w:pPr>
    <w:rPr>
      <w:b/>
      <w:sz w:val="56"/>
    </w:rPr>
  </w:style>
  <w:style w:type="paragraph" w:customStyle="1" w:styleId="SMG">
    <w:name w:val="__S_M_G"/>
    <w:basedOn w:val="Normal"/>
    <w:next w:val="Normal"/>
    <w:rsid w:val="00E80810"/>
    <w:pPr>
      <w:keepNext/>
      <w:keepLines/>
      <w:spacing w:before="240" w:after="240" w:line="420" w:lineRule="exact"/>
      <w:ind w:left="1134" w:right="1134"/>
    </w:pPr>
    <w:rPr>
      <w:b/>
      <w:sz w:val="40"/>
    </w:rPr>
  </w:style>
  <w:style w:type="paragraph" w:customStyle="1" w:styleId="SSG">
    <w:name w:val="__S_S_G"/>
    <w:basedOn w:val="Normal"/>
    <w:next w:val="Normal"/>
    <w:rsid w:val="00E80810"/>
    <w:pPr>
      <w:keepNext/>
      <w:keepLines/>
      <w:spacing w:before="240" w:after="240" w:line="300" w:lineRule="exact"/>
      <w:ind w:left="1134" w:right="1134"/>
    </w:pPr>
    <w:rPr>
      <w:b/>
      <w:sz w:val="28"/>
    </w:rPr>
  </w:style>
  <w:style w:type="paragraph" w:customStyle="1" w:styleId="XLargeG">
    <w:name w:val="__XLarge_G"/>
    <w:basedOn w:val="Normal"/>
    <w:next w:val="Normal"/>
    <w:rsid w:val="00E80810"/>
    <w:pPr>
      <w:keepNext/>
      <w:keepLines/>
      <w:spacing w:before="240" w:after="240" w:line="420" w:lineRule="exact"/>
      <w:ind w:left="1134" w:right="1134"/>
    </w:pPr>
    <w:rPr>
      <w:b/>
      <w:sz w:val="40"/>
    </w:rPr>
  </w:style>
  <w:style w:type="paragraph" w:customStyle="1" w:styleId="Bullet1G">
    <w:name w:val="_Bullet 1_G"/>
    <w:basedOn w:val="Normal"/>
    <w:rsid w:val="00E80810"/>
    <w:pPr>
      <w:numPr>
        <w:numId w:val="20"/>
      </w:numPr>
      <w:spacing w:after="120"/>
      <w:ind w:right="1134"/>
      <w:jc w:val="both"/>
    </w:pPr>
  </w:style>
  <w:style w:type="paragraph" w:customStyle="1" w:styleId="Bullet2G">
    <w:name w:val="_Bullet 2_G"/>
    <w:basedOn w:val="Normal"/>
    <w:rsid w:val="00E80810"/>
    <w:pPr>
      <w:numPr>
        <w:numId w:val="21"/>
      </w:numPr>
      <w:spacing w:after="120"/>
      <w:ind w:right="1134"/>
      <w:jc w:val="both"/>
    </w:pPr>
  </w:style>
  <w:style w:type="paragraph" w:customStyle="1" w:styleId="ParaNoG">
    <w:name w:val="_ParaNo._G"/>
    <w:basedOn w:val="SingleTxtG"/>
    <w:rsid w:val="00E80810"/>
    <w:pPr>
      <w:numPr>
        <w:numId w:val="22"/>
      </w:numPr>
      <w:tabs>
        <w:tab w:val="clear" w:pos="0"/>
      </w:tabs>
    </w:pPr>
  </w:style>
  <w:style w:type="numbering" w:styleId="111111">
    <w:name w:val="Outline List 2"/>
    <w:basedOn w:val="NoList"/>
    <w:semiHidden/>
    <w:rsid w:val="00E80810"/>
    <w:pPr>
      <w:numPr>
        <w:numId w:val="5"/>
      </w:numPr>
    </w:pPr>
  </w:style>
  <w:style w:type="numbering" w:styleId="1ai">
    <w:name w:val="Outline List 1"/>
    <w:basedOn w:val="NoList"/>
    <w:semiHidden/>
    <w:rsid w:val="00E80810"/>
    <w:pPr>
      <w:numPr>
        <w:numId w:val="6"/>
      </w:numPr>
    </w:pPr>
  </w:style>
  <w:style w:type="character" w:styleId="EndnoteReference">
    <w:name w:val="endnote reference"/>
    <w:aliases w:val="1_G"/>
    <w:rsid w:val="00E80810"/>
    <w:rPr>
      <w:rFonts w:ascii="Times New Roman" w:hAnsi="Times New Roman"/>
      <w:sz w:val="18"/>
      <w:vertAlign w:val="superscript"/>
    </w:rPr>
  </w:style>
  <w:style w:type="paragraph" w:styleId="BalloonText">
    <w:name w:val="Balloon Text"/>
    <w:basedOn w:val="Normal"/>
    <w:link w:val="BalloonTextChar"/>
    <w:rsid w:val="00E8081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80810"/>
    <w:rPr>
      <w:rFonts w:ascii="Tahoma" w:hAnsi="Tahoma" w:cs="Tahoma"/>
      <w:sz w:val="16"/>
      <w:szCs w:val="16"/>
    </w:rPr>
  </w:style>
  <w:style w:type="paragraph" w:styleId="EndnoteText">
    <w:name w:val="endnote text"/>
    <w:aliases w:val="2_G"/>
    <w:basedOn w:val="FootnoteText"/>
    <w:link w:val="EndnoteTextChar"/>
    <w:rsid w:val="00E80810"/>
  </w:style>
  <w:style w:type="character" w:customStyle="1" w:styleId="EndnoteTextChar">
    <w:name w:val="Endnote Text Char"/>
    <w:aliases w:val="2_G Char"/>
    <w:basedOn w:val="DefaultParagraphFont"/>
    <w:link w:val="EndnoteText"/>
    <w:rsid w:val="007268F9"/>
    <w:rPr>
      <w:rFonts w:ascii="Times New Roman" w:hAnsi="Times New Roman" w:cs="Times New Roman"/>
      <w:sz w:val="18"/>
      <w:szCs w:val="20"/>
    </w:rPr>
  </w:style>
  <w:style w:type="paragraph" w:styleId="FootnoteText">
    <w:name w:val="footnote text"/>
    <w:aliases w:val="5_G"/>
    <w:basedOn w:val="Normal"/>
    <w:link w:val="FootnoteTextChar"/>
    <w:rsid w:val="00E80810"/>
    <w:pPr>
      <w:tabs>
        <w:tab w:val="right" w:pos="1021"/>
        <w:tab w:val="left" w:pos="1134"/>
        <w:tab w:val="left" w:pos="1701"/>
        <w:tab w:val="left" w:pos="2268"/>
      </w:tabs>
      <w:spacing w:line="220" w:lineRule="exact"/>
      <w:ind w:left="1134" w:right="1134" w:hanging="1134"/>
    </w:pPr>
    <w:rPr>
      <w:sz w:val="18"/>
    </w:rPr>
  </w:style>
  <w:style w:type="character" w:customStyle="1" w:styleId="Heading1Char">
    <w:name w:val="Heading 1 Char"/>
    <w:aliases w:val="Table_G Char"/>
    <w:basedOn w:val="DefaultParagraphFont"/>
    <w:link w:val="Heading1"/>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rsid w:val="00E80810"/>
    <w:rPr>
      <w:rFonts w:ascii="Times New Roman" w:hAnsi="Times New Roman"/>
      <w:b/>
      <w:sz w:val="18"/>
    </w:rPr>
  </w:style>
  <w:style w:type="character" w:customStyle="1" w:styleId="FootnoteTextChar">
    <w:name w:val="Footnote Text Char"/>
    <w:aliases w:val="5_G Char"/>
    <w:basedOn w:val="DefaultParagraphFont"/>
    <w:link w:val="FootnoteText"/>
    <w:rsid w:val="00E80810"/>
    <w:rPr>
      <w:rFonts w:ascii="Times New Roman" w:hAnsi="Times New Roman" w:cs="Times New Roman"/>
      <w:sz w:val="18"/>
      <w:szCs w:val="20"/>
    </w:rPr>
  </w:style>
  <w:style w:type="character" w:styleId="FootnoteReference">
    <w:name w:val="footnote reference"/>
    <w:aliases w:val="4_G"/>
    <w:rsid w:val="00E80810"/>
    <w:rPr>
      <w:rFonts w:ascii="Times New Roman" w:hAnsi="Times New Roman"/>
      <w:sz w:val="18"/>
      <w:vertAlign w:val="superscript"/>
    </w:rPr>
  </w:style>
  <w:style w:type="table" w:styleId="TableGrid">
    <w:name w:val="Table Grid"/>
    <w:basedOn w:val="TableNormal"/>
    <w:rsid w:val="00E80810"/>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80810"/>
    <w:rPr>
      <w:color w:val="0000FF"/>
      <w:u w:val="none"/>
    </w:rPr>
  </w:style>
  <w:style w:type="character" w:styleId="FollowedHyperlink">
    <w:name w:val="FollowedHyperlink"/>
    <w:unhideWhenUsed/>
    <w:rsid w:val="004A2814"/>
    <w:rPr>
      <w:color w:val="0000FF"/>
      <w:u w:val="none"/>
    </w:rPr>
  </w:style>
  <w:style w:type="character" w:styleId="UnresolvedMention">
    <w:name w:val="Unresolved Mention"/>
    <w:basedOn w:val="DefaultParagraphFont"/>
    <w:uiPriority w:val="99"/>
    <w:semiHidden/>
    <w:unhideWhenUsed/>
    <w:rsid w:val="00622842"/>
    <w:rPr>
      <w:color w:val="605E5C"/>
      <w:shd w:val="clear" w:color="auto" w:fill="E1DFDD"/>
    </w:rPr>
  </w:style>
  <w:style w:type="character" w:customStyle="1" w:styleId="SingleTxtGChar">
    <w:name w:val="_ Single Txt_G Char"/>
    <w:basedOn w:val="DefaultParagraphFont"/>
    <w:link w:val="SingleTxtG"/>
    <w:rsid w:val="00E80810"/>
    <w:rPr>
      <w:rFonts w:ascii="Times New Roman" w:hAnsi="Times New Roman" w:cs="Times New Roman"/>
      <w:sz w:val="20"/>
      <w:szCs w:val="20"/>
    </w:rPr>
  </w:style>
  <w:style w:type="paragraph" w:customStyle="1" w:styleId="SingleTxt">
    <w:name w:val="__Single Txt"/>
    <w:basedOn w:val="Normal"/>
    <w:rsid w:val="00E8081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auto"/>
      <w:ind w:left="1267" w:right="1267"/>
      <w:jc w:val="both"/>
    </w:pPr>
    <w:rPr>
      <w:spacing w:val="4"/>
      <w:w w:val="103"/>
      <w:kern w:val="14"/>
      <w:lang w:val="fr-CA"/>
    </w:rPr>
  </w:style>
  <w:style w:type="paragraph" w:styleId="Revision">
    <w:name w:val="Revision"/>
    <w:hidden/>
    <w:uiPriority w:val="99"/>
    <w:semiHidden/>
    <w:rsid w:val="00E80810"/>
    <w:pPr>
      <w:spacing w:after="0" w:line="240" w:lineRule="auto"/>
    </w:pPr>
    <w:rPr>
      <w:rFonts w:ascii="Times New Roman" w:eastAsiaTheme="minorHAnsi" w:hAnsi="Times New Roman" w:cs="Times New Roman"/>
      <w:sz w:val="20"/>
      <w:szCs w:val="20"/>
      <w:lang w:eastAsia="en-US"/>
    </w:rPr>
  </w:style>
  <w:style w:type="paragraph" w:styleId="ListParagraph">
    <w:name w:val="List Paragraph"/>
    <w:basedOn w:val="Normal"/>
    <w:uiPriority w:val="34"/>
    <w:rsid w:val="00E80810"/>
    <w:pPr>
      <w:ind w:left="720"/>
      <w:contextualSpacing/>
    </w:p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00525"/>
    <w:rPr>
      <w:b/>
      <w:bCs/>
    </w:rPr>
  </w:style>
  <w:style w:type="character" w:customStyle="1" w:styleId="CommentSubjectChar">
    <w:name w:val="Comment Subject Char"/>
    <w:basedOn w:val="CommentTextChar"/>
    <w:link w:val="CommentSubject"/>
    <w:uiPriority w:val="99"/>
    <w:semiHidden/>
    <w:rsid w:val="00500525"/>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135214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undocs.org/en/A/HRC/17/43" TargetMode="External"/><Relationship Id="rId13" Type="http://schemas.openxmlformats.org/officeDocument/2006/relationships/hyperlink" Target="http://undocs.org/en/A/HRC/20/15/Add.2" TargetMode="External"/><Relationship Id="rId18" Type="http://schemas.openxmlformats.org/officeDocument/2006/relationships/hyperlink" Target="http://undocs.org/en/A/HRC/49/35" TargetMode="External"/><Relationship Id="rId26" Type="http://schemas.openxmlformats.org/officeDocument/2006/relationships/hyperlink" Target="http://undocs.org/en/A/HRC/23/42" TargetMode="External"/><Relationship Id="rId3" Type="http://schemas.openxmlformats.org/officeDocument/2006/relationships/hyperlink" Target="http://undocs.org/en/A/HRC/52/56" TargetMode="External"/><Relationship Id="rId21" Type="http://schemas.openxmlformats.org/officeDocument/2006/relationships/hyperlink" Target="http://undocs.org/en/A/HRC/52/56" TargetMode="External"/><Relationship Id="rId7" Type="http://schemas.openxmlformats.org/officeDocument/2006/relationships/hyperlink" Target="http://undocs.org/en/A/HRC/52/56" TargetMode="External"/><Relationship Id="rId12" Type="http://schemas.openxmlformats.org/officeDocument/2006/relationships/hyperlink" Target="http://undocs.org/en/A/HRC/52/56" TargetMode="External"/><Relationship Id="rId17" Type="http://schemas.openxmlformats.org/officeDocument/2006/relationships/hyperlink" Target="http://undocs.org/en/E/C.12/2021/1" TargetMode="External"/><Relationship Id="rId25" Type="http://schemas.openxmlformats.org/officeDocument/2006/relationships/hyperlink" Target="http://undocs.org/en/A/HRC/17/43" TargetMode="External"/><Relationship Id="rId2" Type="http://schemas.openxmlformats.org/officeDocument/2006/relationships/hyperlink" Target="http://undocs.org/en/A/HRC/49/35" TargetMode="External"/><Relationship Id="rId16" Type="http://schemas.openxmlformats.org/officeDocument/2006/relationships/hyperlink" Target="http://undocs.org/en/A/63/263" TargetMode="External"/><Relationship Id="rId20" Type="http://schemas.openxmlformats.org/officeDocument/2006/relationships/hyperlink" Target="http://undocs.org/en/A/HRC/52/56" TargetMode="External"/><Relationship Id="rId29" Type="http://schemas.openxmlformats.org/officeDocument/2006/relationships/hyperlink" Target="http://undocs.org/en/A/HRC/52/56" TargetMode="External"/><Relationship Id="rId1" Type="http://schemas.openxmlformats.org/officeDocument/2006/relationships/hyperlink" Target="http://undocs.org/en/A/63/263" TargetMode="External"/><Relationship Id="rId6" Type="http://schemas.openxmlformats.org/officeDocument/2006/relationships/hyperlink" Target="http://undocs.org/en/A/HRC/49/35" TargetMode="External"/><Relationship Id="rId11" Type="http://schemas.openxmlformats.org/officeDocument/2006/relationships/hyperlink" Target="http://undocs.org/en/A/HRC/49/35" TargetMode="External"/><Relationship Id="rId24" Type="http://schemas.openxmlformats.org/officeDocument/2006/relationships/hyperlink" Target="http://undocs.org/en/A/HRC/23/42" TargetMode="External"/><Relationship Id="rId5" Type="http://schemas.openxmlformats.org/officeDocument/2006/relationships/hyperlink" Target="http://undocs.org/en/A/HRC/52/56" TargetMode="External"/><Relationship Id="rId15" Type="http://schemas.openxmlformats.org/officeDocument/2006/relationships/hyperlink" Target="http://undocs.org/en/A/HRC/52/56" TargetMode="External"/><Relationship Id="rId23" Type="http://schemas.openxmlformats.org/officeDocument/2006/relationships/hyperlink" Target="http://undocs.org/en/TD/RBP/CONF.8/3" TargetMode="External"/><Relationship Id="rId28" Type="http://schemas.openxmlformats.org/officeDocument/2006/relationships/hyperlink" Target="https://www.who.int/news-room/fact-sheets/detail/prequalification-of-medicines-by-who" TargetMode="External"/><Relationship Id="rId10" Type="http://schemas.openxmlformats.org/officeDocument/2006/relationships/hyperlink" Target="http://undocs.org/en/A/HRC/23/42" TargetMode="External"/><Relationship Id="rId19" Type="http://schemas.openxmlformats.org/officeDocument/2006/relationships/hyperlink" Target="http://undocs.org/en/A/HRC/49/35" TargetMode="External"/><Relationship Id="rId31" Type="http://schemas.openxmlformats.org/officeDocument/2006/relationships/hyperlink" Target="http://undocs.org/en/A/HRC/52/56" TargetMode="External"/><Relationship Id="rId4" Type="http://schemas.openxmlformats.org/officeDocument/2006/relationships/hyperlink" Target="http://undocs.org/en/A/HRC/49/35" TargetMode="External"/><Relationship Id="rId9" Type="http://schemas.openxmlformats.org/officeDocument/2006/relationships/hyperlink" Target="http://undocs.org/en/A/HRC/49/35" TargetMode="External"/><Relationship Id="rId14" Type="http://schemas.openxmlformats.org/officeDocument/2006/relationships/hyperlink" Target="http://undocs.org/en/A/HRC/23/42" TargetMode="External"/><Relationship Id="rId22" Type="http://schemas.openxmlformats.org/officeDocument/2006/relationships/hyperlink" Target="http://undocs.org/en/A/HRC/49/35" TargetMode="External"/><Relationship Id="rId27" Type="http://schemas.openxmlformats.org/officeDocument/2006/relationships/hyperlink" Target="http://undocs.org/en/A/HRC/23/42" TargetMode="External"/><Relationship Id="rId30" Type="http://schemas.openxmlformats.org/officeDocument/2006/relationships/hyperlink" Target="http://undocs.org/en/A/HRC/52/56"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58c12741cb100374215bdcbe89dd2f79">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c38832f4e23ec1fa05434d401ecc8c72"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D10AF-28FE-4BAE-9A33-CFC9089AC328}">
  <ds:schemaRefs>
    <ds:schemaRef ds:uri="http://schemas.microsoft.com/office/2006/metadata/properties"/>
    <ds:schemaRef ds:uri="http://schemas.microsoft.com/office/infopath/2007/PartnerControls"/>
    <ds:schemaRef ds:uri="dde0ec8c-57d9-48ca-820d-2254a79dd3c3"/>
    <ds:schemaRef ds:uri="0314c119-7b3a-4a84-ba4c-ba2880b6cd3d"/>
    <ds:schemaRef ds:uri="985ec44e-1bab-4c0b-9df0-6ba128686fc9"/>
    <ds:schemaRef ds:uri="fa1020ff-48ad-4b90-98f4-7161a6f3b630"/>
  </ds:schemaRefs>
</ds:datastoreItem>
</file>

<file path=customXml/itemProps2.xml><?xml version="1.0" encoding="utf-8"?>
<ds:datastoreItem xmlns:ds="http://schemas.openxmlformats.org/officeDocument/2006/customXml" ds:itemID="{5BFCBB24-F0D3-4FFA-B994-B7316155B9C4}">
  <ds:schemaRefs>
    <ds:schemaRef ds:uri="http://schemas.microsoft.com/sharepoint/v3/contenttype/forms"/>
  </ds:schemaRefs>
</ds:datastoreItem>
</file>

<file path=customXml/itemProps3.xml><?xml version="1.0" encoding="utf-8"?>
<ds:datastoreItem xmlns:ds="http://schemas.openxmlformats.org/officeDocument/2006/customXml" ds:itemID="{4AD8338E-8263-410C-BC1A-ED320FED9217}"/>
</file>

<file path=customXml/itemProps4.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7364</Words>
  <Characters>41979</Characters>
  <DocSecurity>0</DocSecurity>
  <Lines>349</Lines>
  <Paragraphs>98</Paragraphs>
  <ScaleCrop>false</ScaleCrop>
  <HeadingPairs>
    <vt:vector size="2" baseType="variant">
      <vt:variant>
        <vt:lpstr>Title</vt:lpstr>
      </vt:variant>
      <vt:variant>
        <vt:i4>1</vt:i4>
      </vt:variant>
    </vt:vector>
  </HeadingPairs>
  <TitlesOfParts>
    <vt:vector size="1" baseType="lpstr">
      <vt:lpstr>A/HRC/53/50</vt:lpstr>
    </vt:vector>
  </TitlesOfParts>
  <Company/>
  <LinksUpToDate>false</LinksUpToDate>
  <CharactersWithSpaces>49245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Chuan Jin</dc:title>
  <cp:keywords/>
  <dc:description/>
  <cp:lastPrinted>2024-01-28T12:33:00Z</cp:lastPrinted>
  <dcterms:created xsi:type="dcterms:W3CDTF">2024-03-11T15:53:00Z</dcterms:created>
  <dcterms:modified xsi:type="dcterms:W3CDTF">2024-08-02T12:12:00Z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y fmtid="{D5CDD505-2E9C-101B-9397-08002B2CF9AE}" pid="4" name="_ExtendedDescription">
    <vt:lpwstr>Kind Request for Posting and Replacing Documents</vt:lpwstr>
  </property>
</Properties>
</file>