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79A6" w14:textId="193B0449" w:rsidR="00447B90" w:rsidRDefault="00447B90" w:rsidP="00447B90">
      <w:pPr>
        <w:spacing w:after="0" w:line="240" w:lineRule="auto"/>
        <w:jc w:val="right"/>
        <w:rPr>
          <w:rFonts w:eastAsia="MS Mincho" w:cs="Arial"/>
          <w:b/>
          <w:sz w:val="32"/>
          <w:szCs w:val="32"/>
          <w:lang w:val="en-US"/>
        </w:rPr>
      </w:pPr>
      <w:r>
        <w:rPr>
          <w:rFonts w:eastAsia="MS Mincho" w:cs="Arial"/>
          <w:b/>
          <w:noProof/>
          <w:sz w:val="32"/>
          <w:szCs w:val="32"/>
          <w:lang w:val="en-US"/>
        </w:rPr>
        <w:drawing>
          <wp:inline distT="0" distB="0" distL="0" distR="0" wp14:anchorId="752083FD" wp14:editId="48F197F5">
            <wp:extent cx="2186305" cy="96878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8484" cy="983043"/>
                    </a:xfrm>
                    <a:prstGeom prst="rect">
                      <a:avLst/>
                    </a:prstGeom>
                    <a:noFill/>
                  </pic:spPr>
                </pic:pic>
              </a:graphicData>
            </a:graphic>
          </wp:inline>
        </w:drawing>
      </w:r>
    </w:p>
    <w:p w14:paraId="5CB814B9" w14:textId="77777777" w:rsidR="00447B90" w:rsidRPr="00447B90" w:rsidRDefault="00447B90" w:rsidP="00447B90">
      <w:pPr>
        <w:spacing w:before="160" w:after="0" w:line="240" w:lineRule="auto"/>
        <w:jc w:val="right"/>
        <w:rPr>
          <w:rFonts w:eastAsia="MS Mincho" w:cs="Arial"/>
          <w:sz w:val="24"/>
          <w:szCs w:val="24"/>
          <w:lang w:val="en-US"/>
        </w:rPr>
      </w:pPr>
      <w:r w:rsidRPr="00447B90">
        <w:rPr>
          <w:rFonts w:eastAsia="MS Mincho" w:cs="Cambria"/>
          <w:b/>
          <w:bCs/>
          <w:sz w:val="32"/>
          <w:szCs w:val="32"/>
          <w:lang w:val="en-US"/>
        </w:rPr>
        <w:t>SUBMISSION</w:t>
      </w:r>
    </w:p>
    <w:p w14:paraId="16C77D61" w14:textId="77777777" w:rsidR="00447B90" w:rsidRPr="00447B90" w:rsidRDefault="00447B90" w:rsidP="00447B90">
      <w:pPr>
        <w:pBdr>
          <w:bottom w:val="single" w:sz="4" w:space="1" w:color="auto"/>
        </w:pBdr>
        <w:spacing w:after="0" w:line="240" w:lineRule="auto"/>
        <w:jc w:val="mediumKashida"/>
        <w:rPr>
          <w:rFonts w:eastAsia="Cambria" w:cs="Cambria"/>
          <w:sz w:val="32"/>
          <w:szCs w:val="32"/>
          <w:lang w:val="en-US"/>
        </w:rPr>
      </w:pPr>
    </w:p>
    <w:p w14:paraId="3FD54901" w14:textId="77777777" w:rsidR="00447B90" w:rsidRPr="00447B90" w:rsidRDefault="00447B90" w:rsidP="00447B90">
      <w:pPr>
        <w:spacing w:after="0" w:line="240" w:lineRule="auto"/>
        <w:rPr>
          <w:rFonts w:eastAsia="MS Mincho" w:cs="Arial"/>
          <w:b/>
          <w:sz w:val="32"/>
          <w:szCs w:val="32"/>
          <w:lang w:val="en-US"/>
        </w:rPr>
      </w:pPr>
    </w:p>
    <w:p w14:paraId="745E735E" w14:textId="76A16A17" w:rsidR="00447B90" w:rsidRPr="00447B90" w:rsidRDefault="00447B90" w:rsidP="00447B90">
      <w:pPr>
        <w:spacing w:after="0" w:line="240" w:lineRule="auto"/>
        <w:jc w:val="both"/>
        <w:rPr>
          <w:rFonts w:eastAsia="MS Mincho" w:cs="Arial"/>
          <w:b/>
          <w:sz w:val="32"/>
          <w:szCs w:val="32"/>
          <w:lang w:val="en-US"/>
        </w:rPr>
      </w:pPr>
      <w:r w:rsidRPr="00447B90">
        <w:rPr>
          <w:rFonts w:eastAsia="MS Mincho" w:cs="Arial"/>
          <w:b/>
          <w:sz w:val="32"/>
          <w:szCs w:val="32"/>
          <w:lang w:val="en-US"/>
        </w:rPr>
        <w:t xml:space="preserve">Special Rapporteur on the human rights of migrants: </w:t>
      </w:r>
      <w:r w:rsidRPr="00447B90">
        <w:rPr>
          <w:rFonts w:eastAsia="MS Mincho" w:cs="Arial"/>
          <w:b/>
          <w:sz w:val="32"/>
          <w:szCs w:val="32"/>
        </w:rPr>
        <w:t>Report on the impact of climate change and the protection of the human rights of migrants</w:t>
      </w:r>
    </w:p>
    <w:p w14:paraId="187A2B43" w14:textId="77777777" w:rsidR="00447B90" w:rsidRPr="00447B90" w:rsidRDefault="00447B90" w:rsidP="00447B90">
      <w:pPr>
        <w:spacing w:after="0" w:line="240" w:lineRule="auto"/>
        <w:jc w:val="mediumKashida"/>
        <w:rPr>
          <w:rFonts w:eastAsia="Times New Roman" w:cs="Segoe UI"/>
          <w:color w:val="333333"/>
          <w:sz w:val="28"/>
          <w:szCs w:val="28"/>
          <w:lang w:val="en-AU"/>
        </w:rPr>
      </w:pPr>
    </w:p>
    <w:p w14:paraId="1CA6F6B9" w14:textId="56D5F77A" w:rsidR="00766F0A" w:rsidRPr="006C4C0B" w:rsidRDefault="00003DF6" w:rsidP="006C4C0B">
      <w:pPr>
        <w:jc w:val="both"/>
        <w:rPr>
          <w:sz w:val="28"/>
          <w:szCs w:val="28"/>
        </w:rPr>
      </w:pPr>
      <w:r w:rsidRPr="006C4C0B">
        <w:rPr>
          <w:sz w:val="28"/>
          <w:szCs w:val="28"/>
        </w:rPr>
        <w:t>Climate change disproportionately affects women</w:t>
      </w:r>
      <w:r w:rsidR="00E766E4">
        <w:rPr>
          <w:rStyle w:val="FootnoteReference"/>
          <w:sz w:val="28"/>
          <w:szCs w:val="28"/>
        </w:rPr>
        <w:footnoteReference w:id="1"/>
      </w:r>
      <w:r w:rsidRPr="006C4C0B">
        <w:rPr>
          <w:sz w:val="28"/>
          <w:szCs w:val="28"/>
        </w:rPr>
        <w:t xml:space="preserve">, girls, persons with disabilities, LGBTIQ+ people, ethnic minorities, </w:t>
      </w:r>
      <w:r w:rsidR="007C07D9">
        <w:rPr>
          <w:sz w:val="28"/>
          <w:szCs w:val="28"/>
        </w:rPr>
        <w:t>i</w:t>
      </w:r>
      <w:r w:rsidRPr="006C4C0B">
        <w:rPr>
          <w:sz w:val="28"/>
          <w:szCs w:val="28"/>
        </w:rPr>
        <w:t xml:space="preserve">ndigenous </w:t>
      </w:r>
      <w:r w:rsidR="007C07D9">
        <w:rPr>
          <w:sz w:val="28"/>
          <w:szCs w:val="28"/>
        </w:rPr>
        <w:t>p</w:t>
      </w:r>
      <w:r w:rsidRPr="006C4C0B">
        <w:rPr>
          <w:sz w:val="28"/>
          <w:szCs w:val="28"/>
        </w:rPr>
        <w:t>eople</w:t>
      </w:r>
      <w:r w:rsidR="007C07D9">
        <w:rPr>
          <w:sz w:val="28"/>
          <w:szCs w:val="28"/>
        </w:rPr>
        <w:t>s</w:t>
      </w:r>
      <w:r w:rsidRPr="006C4C0B">
        <w:rPr>
          <w:sz w:val="28"/>
          <w:szCs w:val="28"/>
        </w:rPr>
        <w:t xml:space="preserve"> and the least economically secure. </w:t>
      </w:r>
      <w:r w:rsidR="00766F0A" w:rsidRPr="00964300">
        <w:rPr>
          <w:sz w:val="28"/>
          <w:szCs w:val="28"/>
        </w:rPr>
        <w:t>The impacts of climate change can worsen the cycle of poverty and exacerbate situations of vulnerability for women and girls</w:t>
      </w:r>
      <w:r w:rsidR="00FC5D06" w:rsidRPr="00964300">
        <w:rPr>
          <w:rStyle w:val="FootnoteReference"/>
          <w:sz w:val="28"/>
          <w:szCs w:val="28"/>
        </w:rPr>
        <w:footnoteReference w:id="2"/>
      </w:r>
      <w:r w:rsidR="00766F0A" w:rsidRPr="00964300">
        <w:rPr>
          <w:sz w:val="28"/>
          <w:szCs w:val="28"/>
        </w:rPr>
        <w:t xml:space="preserve">, </w:t>
      </w:r>
      <w:r w:rsidR="00DD0F2A" w:rsidRPr="00964300">
        <w:rPr>
          <w:sz w:val="28"/>
          <w:szCs w:val="28"/>
        </w:rPr>
        <w:t>including</w:t>
      </w:r>
      <w:r w:rsidR="00766F0A" w:rsidRPr="00964300">
        <w:rPr>
          <w:sz w:val="28"/>
          <w:szCs w:val="28"/>
        </w:rPr>
        <w:t xml:space="preserve"> gender-based discrimination in accessing land, natural resources, financial services, social </w:t>
      </w:r>
      <w:proofErr w:type="gramStart"/>
      <w:r w:rsidR="00766F0A" w:rsidRPr="00964300">
        <w:rPr>
          <w:sz w:val="28"/>
          <w:szCs w:val="28"/>
        </w:rPr>
        <w:t>capital</w:t>
      </w:r>
      <w:proofErr w:type="gramEnd"/>
      <w:r w:rsidR="00766F0A" w:rsidRPr="00964300">
        <w:rPr>
          <w:sz w:val="28"/>
          <w:szCs w:val="28"/>
        </w:rPr>
        <w:t xml:space="preserve"> and technology, </w:t>
      </w:r>
      <w:r w:rsidR="00B80FC1" w:rsidRPr="00964300">
        <w:rPr>
          <w:sz w:val="28"/>
          <w:szCs w:val="28"/>
        </w:rPr>
        <w:t>with limited or no</w:t>
      </w:r>
      <w:r w:rsidR="00766F0A" w:rsidRPr="00964300">
        <w:rPr>
          <w:sz w:val="28"/>
          <w:szCs w:val="28"/>
        </w:rPr>
        <w:t xml:space="preserve"> assets to utilize in the case of natural hazards or disasters.</w:t>
      </w:r>
      <w:r w:rsidR="002059B1" w:rsidRPr="00964300">
        <w:rPr>
          <w:sz w:val="28"/>
          <w:szCs w:val="28"/>
        </w:rPr>
        <w:t xml:space="preserve"> </w:t>
      </w:r>
      <w:r w:rsidR="00757114" w:rsidRPr="00964300">
        <w:rPr>
          <w:sz w:val="28"/>
          <w:szCs w:val="28"/>
        </w:rPr>
        <w:t xml:space="preserve">While global </w:t>
      </w:r>
      <w:r w:rsidR="00802920" w:rsidRPr="00964300">
        <w:rPr>
          <w:sz w:val="28"/>
          <w:szCs w:val="28"/>
        </w:rPr>
        <w:t>sex-</w:t>
      </w:r>
      <w:r w:rsidR="00757114" w:rsidRPr="00964300">
        <w:rPr>
          <w:sz w:val="28"/>
          <w:szCs w:val="28"/>
        </w:rPr>
        <w:t xml:space="preserve">disaggregated data </w:t>
      </w:r>
      <w:r w:rsidR="00802920" w:rsidRPr="00964300">
        <w:rPr>
          <w:sz w:val="28"/>
          <w:szCs w:val="28"/>
        </w:rPr>
        <w:t xml:space="preserve">and gender statistics </w:t>
      </w:r>
      <w:r w:rsidR="00757114" w:rsidRPr="00964300">
        <w:rPr>
          <w:sz w:val="28"/>
          <w:szCs w:val="28"/>
        </w:rPr>
        <w:t>on migration in relation to climate change are limited, figures on internal displacement can shed some light on population movements associated with climate change, with some reports estimating that approximately 80 per cent of people currently displaced by climate-related events are women</w:t>
      </w:r>
      <w:r w:rsidR="009415FE" w:rsidRPr="00964300">
        <w:rPr>
          <w:sz w:val="28"/>
          <w:szCs w:val="28"/>
        </w:rPr>
        <w:t xml:space="preserve"> </w:t>
      </w:r>
      <w:r w:rsidR="00757114" w:rsidRPr="00964300">
        <w:rPr>
          <w:sz w:val="28"/>
          <w:szCs w:val="28"/>
        </w:rPr>
        <w:t xml:space="preserve">and girls. </w:t>
      </w:r>
      <w:r w:rsidR="006D10BF" w:rsidRPr="00964300">
        <w:rPr>
          <w:sz w:val="28"/>
          <w:szCs w:val="28"/>
        </w:rPr>
        <w:t>And with women four per cent more likely than men to live in extreme poverty</w:t>
      </w:r>
      <w:r w:rsidR="00653C4B" w:rsidRPr="00964300">
        <w:rPr>
          <w:rStyle w:val="FootnoteReference"/>
          <w:sz w:val="28"/>
          <w:szCs w:val="28"/>
        </w:rPr>
        <w:footnoteReference w:id="3"/>
      </w:r>
      <w:r w:rsidR="006D10BF" w:rsidRPr="00964300">
        <w:rPr>
          <w:sz w:val="28"/>
          <w:szCs w:val="28"/>
        </w:rPr>
        <w:t xml:space="preserve">, the impacts of climate change, including slow-onset effects, may lead to higher numbers </w:t>
      </w:r>
      <w:r w:rsidR="00C3170D" w:rsidRPr="00964300">
        <w:rPr>
          <w:sz w:val="28"/>
          <w:szCs w:val="28"/>
        </w:rPr>
        <w:t xml:space="preserve">of them </w:t>
      </w:r>
      <w:r w:rsidR="006D10BF" w:rsidRPr="00964300">
        <w:rPr>
          <w:sz w:val="28"/>
          <w:szCs w:val="28"/>
        </w:rPr>
        <w:t xml:space="preserve">migrating </w:t>
      </w:r>
      <w:proofErr w:type="gramStart"/>
      <w:r w:rsidR="006D10BF" w:rsidRPr="00964300">
        <w:rPr>
          <w:sz w:val="28"/>
          <w:szCs w:val="28"/>
        </w:rPr>
        <w:t>as a result of</w:t>
      </w:r>
      <w:proofErr w:type="gramEnd"/>
      <w:r w:rsidR="006D10BF" w:rsidRPr="00964300">
        <w:rPr>
          <w:sz w:val="28"/>
          <w:szCs w:val="28"/>
        </w:rPr>
        <w:t xml:space="preserve"> decreasing crop productivity, water shortages and rising sea levels.</w:t>
      </w:r>
    </w:p>
    <w:p w14:paraId="7E83E361" w14:textId="502423FA" w:rsidR="002A15F5" w:rsidRPr="005A654F" w:rsidRDefault="002A15F5" w:rsidP="006C4C0B">
      <w:pPr>
        <w:jc w:val="both"/>
        <w:rPr>
          <w:sz w:val="28"/>
          <w:szCs w:val="28"/>
        </w:rPr>
      </w:pPr>
      <w:r w:rsidRPr="005A654F">
        <w:rPr>
          <w:sz w:val="28"/>
          <w:szCs w:val="28"/>
        </w:rPr>
        <w:t xml:space="preserve">The decision to migrate in the context of climate change and the means </w:t>
      </w:r>
      <w:r w:rsidR="00143F1C" w:rsidRPr="005A654F">
        <w:rPr>
          <w:sz w:val="28"/>
          <w:szCs w:val="28"/>
        </w:rPr>
        <w:t xml:space="preserve">in which </w:t>
      </w:r>
      <w:r w:rsidRPr="005A654F">
        <w:rPr>
          <w:sz w:val="28"/>
          <w:szCs w:val="28"/>
        </w:rPr>
        <w:t>to do so are inherently gendered, and are dependent on overlapping and intersecting economic, political, social, demographic, and cultural factors.</w:t>
      </w:r>
      <w:r w:rsidR="00653C4B" w:rsidRPr="005A654F">
        <w:rPr>
          <w:rStyle w:val="FootnoteReference"/>
          <w:sz w:val="28"/>
          <w:szCs w:val="28"/>
        </w:rPr>
        <w:footnoteReference w:id="4"/>
      </w:r>
      <w:r w:rsidRPr="005A654F">
        <w:rPr>
          <w:sz w:val="28"/>
          <w:szCs w:val="28"/>
        </w:rPr>
        <w:t xml:space="preserve">  Deeply </w:t>
      </w:r>
      <w:r w:rsidRPr="005A654F">
        <w:rPr>
          <w:sz w:val="28"/>
          <w:szCs w:val="28"/>
        </w:rPr>
        <w:lastRenderedPageBreak/>
        <w:t xml:space="preserve">entrenched gender inequalities as well as social and cultural norms may limit women’s opportunities to migrate and increase their risks </w:t>
      </w:r>
      <w:r w:rsidR="00EB1036" w:rsidRPr="005A654F">
        <w:rPr>
          <w:sz w:val="28"/>
          <w:szCs w:val="28"/>
        </w:rPr>
        <w:t xml:space="preserve">to human rights violations, </w:t>
      </w:r>
      <w:r w:rsidRPr="005A654F">
        <w:rPr>
          <w:sz w:val="28"/>
          <w:szCs w:val="28"/>
        </w:rPr>
        <w:t>especially to gender-based violence.</w:t>
      </w:r>
      <w:r w:rsidR="0002028D" w:rsidRPr="005A654F">
        <w:rPr>
          <w:sz w:val="24"/>
          <w:szCs w:val="24"/>
        </w:rPr>
        <w:t xml:space="preserve"> </w:t>
      </w:r>
      <w:r w:rsidR="0002028D" w:rsidRPr="005A654F">
        <w:rPr>
          <w:sz w:val="28"/>
          <w:szCs w:val="28"/>
        </w:rPr>
        <w:t xml:space="preserve">While migration may be an opportunity for increased autonomy and independence for some women, it may also expose them to risks. The increase in </w:t>
      </w:r>
      <w:r w:rsidR="00840535" w:rsidRPr="005A654F">
        <w:rPr>
          <w:sz w:val="28"/>
          <w:szCs w:val="28"/>
        </w:rPr>
        <w:t xml:space="preserve">gender-based violence </w:t>
      </w:r>
      <w:r w:rsidR="0002028D" w:rsidRPr="005A654F">
        <w:rPr>
          <w:sz w:val="28"/>
          <w:szCs w:val="28"/>
        </w:rPr>
        <w:t>in the aftermath of disasters is well-documented, particularly for women and girls who are displaced and those living in camps or other places without privacy.</w:t>
      </w:r>
      <w:r w:rsidR="003D3634" w:rsidRPr="005A654F">
        <w:rPr>
          <w:rStyle w:val="FootnoteReference"/>
          <w:sz w:val="28"/>
          <w:szCs w:val="28"/>
        </w:rPr>
        <w:footnoteReference w:id="5"/>
      </w:r>
      <w:r w:rsidR="0002028D" w:rsidRPr="005A654F">
        <w:rPr>
          <w:sz w:val="28"/>
          <w:szCs w:val="28"/>
        </w:rPr>
        <w:t xml:space="preserve">  Domestic violence, intimate partner violence, sexual abuse and exploitation, and forced and early marriage also increase significantly during climate crises.</w:t>
      </w:r>
      <w:r w:rsidR="002B42FF" w:rsidRPr="005A654F">
        <w:rPr>
          <w:rStyle w:val="FootnoteReference"/>
          <w:sz w:val="28"/>
          <w:szCs w:val="28"/>
        </w:rPr>
        <w:footnoteReference w:id="6"/>
      </w:r>
      <w:r w:rsidR="002B42FF" w:rsidRPr="005A654F">
        <w:rPr>
          <w:sz w:val="28"/>
          <w:szCs w:val="28"/>
        </w:rPr>
        <w:t xml:space="preserve"> </w:t>
      </w:r>
      <w:r w:rsidR="0002028D" w:rsidRPr="005A654F">
        <w:rPr>
          <w:sz w:val="28"/>
          <w:szCs w:val="28"/>
        </w:rPr>
        <w:t xml:space="preserve">In Ethiopia, for example, the number of girls sold into early marriage in </w:t>
      </w:r>
      <w:r w:rsidR="0002028D" w:rsidRPr="005A654F">
        <w:rPr>
          <w:b/>
          <w:bCs/>
          <w:sz w:val="28"/>
          <w:szCs w:val="28"/>
        </w:rPr>
        <w:t>exchange for livestock increased after drought-induced migration as families struggled to cope with extreme drought conditions</w:t>
      </w:r>
      <w:r w:rsidR="00757114" w:rsidRPr="005A654F">
        <w:rPr>
          <w:sz w:val="28"/>
          <w:szCs w:val="28"/>
        </w:rPr>
        <w:t>.</w:t>
      </w:r>
      <w:r w:rsidR="002B42FF" w:rsidRPr="005A654F">
        <w:rPr>
          <w:rStyle w:val="FootnoteReference"/>
          <w:sz w:val="28"/>
          <w:szCs w:val="28"/>
        </w:rPr>
        <w:footnoteReference w:id="7"/>
      </w:r>
    </w:p>
    <w:p w14:paraId="1F0ED65D" w14:textId="30419A5D" w:rsidR="00F066D2" w:rsidRPr="005A654F" w:rsidRDefault="00417020" w:rsidP="00B31277">
      <w:pPr>
        <w:jc w:val="both"/>
        <w:rPr>
          <w:sz w:val="28"/>
          <w:szCs w:val="28"/>
        </w:rPr>
      </w:pPr>
      <w:r w:rsidRPr="005A654F">
        <w:rPr>
          <w:b/>
          <w:bCs/>
          <w:sz w:val="28"/>
          <w:szCs w:val="28"/>
        </w:rPr>
        <w:t xml:space="preserve">Migration may serve as an important adaptation strategy to climate change and a means to build resilience for individuals and </w:t>
      </w:r>
      <w:r w:rsidR="00014992" w:rsidRPr="005A654F">
        <w:rPr>
          <w:b/>
          <w:bCs/>
          <w:sz w:val="28"/>
          <w:szCs w:val="28"/>
        </w:rPr>
        <w:t>communities</w:t>
      </w:r>
      <w:r w:rsidR="004E1360" w:rsidRPr="005A654F">
        <w:rPr>
          <w:b/>
          <w:bCs/>
          <w:sz w:val="28"/>
          <w:szCs w:val="28"/>
        </w:rPr>
        <w:t xml:space="preserve">, while also </w:t>
      </w:r>
      <w:r w:rsidR="008F5A50" w:rsidRPr="005A654F">
        <w:rPr>
          <w:b/>
          <w:bCs/>
          <w:sz w:val="28"/>
          <w:szCs w:val="28"/>
        </w:rPr>
        <w:t>reducing</w:t>
      </w:r>
      <w:r w:rsidRPr="005A654F">
        <w:rPr>
          <w:b/>
          <w:bCs/>
          <w:sz w:val="28"/>
          <w:szCs w:val="28"/>
        </w:rPr>
        <w:t xml:space="preserve"> exposure and vulnerability to hazards.</w:t>
      </w:r>
      <w:r w:rsidRPr="005A654F">
        <w:rPr>
          <w:sz w:val="28"/>
          <w:szCs w:val="28"/>
        </w:rPr>
        <w:t xml:space="preserve"> The extent to which migration can be a positive adaptation experience will be influenced by gender, age, race, disability status and other relevant factors.</w:t>
      </w:r>
      <w:r w:rsidR="00E40468" w:rsidRPr="005A654F">
        <w:rPr>
          <w:rStyle w:val="FootnoteReference"/>
          <w:sz w:val="28"/>
          <w:szCs w:val="28"/>
        </w:rPr>
        <w:footnoteReference w:id="8"/>
      </w:r>
      <w:r w:rsidR="00735AED" w:rsidRPr="005A654F">
        <w:rPr>
          <w:sz w:val="28"/>
          <w:szCs w:val="28"/>
        </w:rPr>
        <w:t xml:space="preserve"> </w:t>
      </w:r>
      <w:r w:rsidR="00003DF6" w:rsidRPr="005A654F">
        <w:rPr>
          <w:sz w:val="28"/>
          <w:szCs w:val="28"/>
        </w:rPr>
        <w:t>Existing international frameworks and mechanisms to manage safe and regular migration in relation to climate change are limited, and those that do exist have not all adequately integrated a gender-responsive approach</w:t>
      </w:r>
      <w:r w:rsidR="003933D8" w:rsidRPr="005A654F">
        <w:rPr>
          <w:sz w:val="28"/>
          <w:szCs w:val="28"/>
        </w:rPr>
        <w:t>.</w:t>
      </w:r>
      <w:r w:rsidR="008639BA" w:rsidRPr="005A654F">
        <w:rPr>
          <w:sz w:val="24"/>
          <w:szCs w:val="24"/>
        </w:rPr>
        <w:t xml:space="preserve"> </w:t>
      </w:r>
      <w:r w:rsidR="008639BA" w:rsidRPr="005A654F">
        <w:rPr>
          <w:sz w:val="28"/>
          <w:szCs w:val="28"/>
        </w:rPr>
        <w:t xml:space="preserve">Addressing the linkages among gender, climate change and migration requires an integrated multisectoral approach that brings together global, regional, </w:t>
      </w:r>
      <w:proofErr w:type="gramStart"/>
      <w:r w:rsidR="008639BA" w:rsidRPr="005A654F">
        <w:rPr>
          <w:sz w:val="28"/>
          <w:szCs w:val="28"/>
        </w:rPr>
        <w:t>national</w:t>
      </w:r>
      <w:proofErr w:type="gramEnd"/>
      <w:r w:rsidR="008639BA" w:rsidRPr="005A654F">
        <w:rPr>
          <w:sz w:val="28"/>
          <w:szCs w:val="28"/>
        </w:rPr>
        <w:t xml:space="preserve"> and local efforts to ensure that political commitments are translated into </w:t>
      </w:r>
      <w:r w:rsidR="009843D8" w:rsidRPr="005A654F">
        <w:rPr>
          <w:sz w:val="28"/>
          <w:szCs w:val="28"/>
        </w:rPr>
        <w:t xml:space="preserve">concrete </w:t>
      </w:r>
      <w:r w:rsidR="008639BA" w:rsidRPr="005A654F">
        <w:rPr>
          <w:sz w:val="28"/>
          <w:szCs w:val="28"/>
        </w:rPr>
        <w:t>actions</w:t>
      </w:r>
      <w:r w:rsidR="005463FC" w:rsidRPr="005A654F">
        <w:rPr>
          <w:sz w:val="28"/>
          <w:szCs w:val="28"/>
        </w:rPr>
        <w:t xml:space="preserve">. </w:t>
      </w:r>
    </w:p>
    <w:p w14:paraId="5FCBB494" w14:textId="2AC7EE56" w:rsidR="00925AE2" w:rsidRPr="005A654F" w:rsidRDefault="00925AE2" w:rsidP="00B31277">
      <w:pPr>
        <w:jc w:val="both"/>
        <w:rPr>
          <w:b/>
          <w:bCs/>
          <w:sz w:val="28"/>
          <w:szCs w:val="28"/>
        </w:rPr>
      </w:pPr>
      <w:r w:rsidRPr="005A654F">
        <w:rPr>
          <w:b/>
          <w:bCs/>
          <w:sz w:val="28"/>
          <w:szCs w:val="28"/>
        </w:rPr>
        <w:t>Key recommendations</w:t>
      </w:r>
    </w:p>
    <w:p w14:paraId="09FED4C9" w14:textId="15D8FE51" w:rsidR="00925AE2" w:rsidRPr="005A654F" w:rsidRDefault="00925AE2" w:rsidP="00925AE2">
      <w:pPr>
        <w:numPr>
          <w:ilvl w:val="0"/>
          <w:numId w:val="1"/>
        </w:numPr>
        <w:jc w:val="both"/>
        <w:rPr>
          <w:sz w:val="28"/>
          <w:szCs w:val="28"/>
        </w:rPr>
      </w:pPr>
      <w:r w:rsidRPr="005A654F">
        <w:rPr>
          <w:sz w:val="28"/>
          <w:szCs w:val="28"/>
        </w:rPr>
        <w:t>Develop and implement gender-responsive migration policies which protect and promote the human rights of migrant women and gender non-conforming migrants in the context of climate change</w:t>
      </w:r>
      <w:r w:rsidR="00D34DA2" w:rsidRPr="005A654F">
        <w:rPr>
          <w:sz w:val="28"/>
          <w:szCs w:val="28"/>
        </w:rPr>
        <w:t>.</w:t>
      </w:r>
    </w:p>
    <w:p w14:paraId="1035D2AD" w14:textId="77777777" w:rsidR="00925AE2" w:rsidRPr="005A654F" w:rsidRDefault="00925AE2" w:rsidP="00925AE2">
      <w:pPr>
        <w:numPr>
          <w:ilvl w:val="0"/>
          <w:numId w:val="1"/>
        </w:numPr>
        <w:jc w:val="both"/>
        <w:rPr>
          <w:sz w:val="28"/>
          <w:szCs w:val="28"/>
        </w:rPr>
      </w:pPr>
      <w:r w:rsidRPr="005A654F">
        <w:rPr>
          <w:sz w:val="28"/>
          <w:szCs w:val="28"/>
        </w:rPr>
        <w:t xml:space="preserve">Ensure that national mechanisms for gender equality and the empowerment of women play a key role in migration and climate change discussions. </w:t>
      </w:r>
    </w:p>
    <w:p w14:paraId="7BDFFE67" w14:textId="77777777" w:rsidR="00925AE2" w:rsidRPr="005A654F" w:rsidRDefault="00925AE2" w:rsidP="00925AE2">
      <w:pPr>
        <w:numPr>
          <w:ilvl w:val="0"/>
          <w:numId w:val="1"/>
        </w:numPr>
        <w:jc w:val="both"/>
        <w:rPr>
          <w:sz w:val="28"/>
          <w:szCs w:val="28"/>
        </w:rPr>
      </w:pPr>
      <w:r w:rsidRPr="005A654F">
        <w:rPr>
          <w:sz w:val="28"/>
          <w:szCs w:val="28"/>
        </w:rPr>
        <w:lastRenderedPageBreak/>
        <w:t>Create gender-responsive regular migration pathways related to climate change which allow for both temporary and permanent migration.</w:t>
      </w:r>
    </w:p>
    <w:p w14:paraId="5B2FA12A" w14:textId="428BB7F8" w:rsidR="00925AE2" w:rsidRPr="005A654F" w:rsidRDefault="00925AE2" w:rsidP="00925AE2">
      <w:pPr>
        <w:numPr>
          <w:ilvl w:val="0"/>
          <w:numId w:val="1"/>
        </w:numPr>
        <w:jc w:val="both"/>
        <w:rPr>
          <w:sz w:val="28"/>
          <w:szCs w:val="28"/>
        </w:rPr>
      </w:pPr>
      <w:r w:rsidRPr="005A654F">
        <w:rPr>
          <w:sz w:val="28"/>
          <w:szCs w:val="28"/>
        </w:rPr>
        <w:t xml:space="preserve">Provide clear information on existing visas and migration pathways that are available for those migrating </w:t>
      </w:r>
      <w:proofErr w:type="gramStart"/>
      <w:r w:rsidR="00D34DA2" w:rsidRPr="005A654F">
        <w:rPr>
          <w:sz w:val="28"/>
          <w:szCs w:val="28"/>
        </w:rPr>
        <w:t>as a result of</w:t>
      </w:r>
      <w:proofErr w:type="gramEnd"/>
      <w:r w:rsidRPr="005A654F">
        <w:rPr>
          <w:sz w:val="28"/>
          <w:szCs w:val="28"/>
        </w:rPr>
        <w:t xml:space="preserve"> climate change</w:t>
      </w:r>
      <w:r w:rsidR="00051C77" w:rsidRPr="005A654F">
        <w:rPr>
          <w:sz w:val="28"/>
          <w:szCs w:val="28"/>
        </w:rPr>
        <w:t xml:space="preserve"> and </w:t>
      </w:r>
      <w:r w:rsidR="0068770E" w:rsidRPr="005A654F">
        <w:rPr>
          <w:sz w:val="28"/>
          <w:szCs w:val="28"/>
        </w:rPr>
        <w:t>disasters</w:t>
      </w:r>
      <w:r w:rsidR="00051C77" w:rsidRPr="005A654F">
        <w:rPr>
          <w:sz w:val="28"/>
          <w:szCs w:val="28"/>
        </w:rPr>
        <w:t>,</w:t>
      </w:r>
      <w:r w:rsidRPr="005A654F">
        <w:rPr>
          <w:sz w:val="28"/>
          <w:szCs w:val="28"/>
        </w:rPr>
        <w:t xml:space="preserve"> in languages relevant to communities that are most at risk of hazards.</w:t>
      </w:r>
    </w:p>
    <w:p w14:paraId="4D46A9E4" w14:textId="7F992DF4" w:rsidR="00925AE2" w:rsidRPr="005A654F" w:rsidRDefault="00925AE2" w:rsidP="00925AE2">
      <w:pPr>
        <w:numPr>
          <w:ilvl w:val="0"/>
          <w:numId w:val="1"/>
        </w:numPr>
        <w:jc w:val="both"/>
        <w:rPr>
          <w:sz w:val="28"/>
          <w:szCs w:val="28"/>
        </w:rPr>
      </w:pPr>
      <w:r w:rsidRPr="005A654F">
        <w:rPr>
          <w:sz w:val="28"/>
          <w:szCs w:val="28"/>
        </w:rPr>
        <w:t>Invest in the collection</w:t>
      </w:r>
      <w:r w:rsidR="0068770E" w:rsidRPr="005A654F">
        <w:rPr>
          <w:sz w:val="28"/>
          <w:szCs w:val="28"/>
        </w:rPr>
        <w:t xml:space="preserve">, </w:t>
      </w:r>
      <w:r w:rsidRPr="005A654F">
        <w:rPr>
          <w:sz w:val="28"/>
          <w:szCs w:val="28"/>
        </w:rPr>
        <w:t>analysis and dissemination of sex-disaggregated data and gender statistics on climate change impacts and migration flows.</w:t>
      </w:r>
    </w:p>
    <w:p w14:paraId="530F24B2" w14:textId="77777777" w:rsidR="00925AE2" w:rsidRPr="00925AE2" w:rsidRDefault="00925AE2" w:rsidP="00B31277">
      <w:pPr>
        <w:jc w:val="both"/>
        <w:rPr>
          <w:b/>
          <w:bCs/>
          <w:sz w:val="28"/>
          <w:szCs w:val="28"/>
        </w:rPr>
      </w:pPr>
    </w:p>
    <w:sectPr w:rsidR="00925AE2" w:rsidRPr="00925AE2" w:rsidSect="00D34DA2">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FA90" w14:textId="77777777" w:rsidR="00611E0D" w:rsidRDefault="00611E0D" w:rsidP="00447B90">
      <w:pPr>
        <w:spacing w:after="0" w:line="240" w:lineRule="auto"/>
      </w:pPr>
      <w:r>
        <w:separator/>
      </w:r>
    </w:p>
  </w:endnote>
  <w:endnote w:type="continuationSeparator" w:id="0">
    <w:p w14:paraId="72A78B76" w14:textId="77777777" w:rsidR="00611E0D" w:rsidRDefault="00611E0D" w:rsidP="0044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D5E9" w14:textId="77777777" w:rsidR="00611E0D" w:rsidRDefault="00611E0D" w:rsidP="00447B90">
      <w:pPr>
        <w:spacing w:after="0" w:line="240" w:lineRule="auto"/>
      </w:pPr>
      <w:r>
        <w:separator/>
      </w:r>
    </w:p>
  </w:footnote>
  <w:footnote w:type="continuationSeparator" w:id="0">
    <w:p w14:paraId="2E3D12B1" w14:textId="77777777" w:rsidR="00611E0D" w:rsidRDefault="00611E0D" w:rsidP="00447B90">
      <w:pPr>
        <w:spacing w:after="0" w:line="240" w:lineRule="auto"/>
      </w:pPr>
      <w:r>
        <w:continuationSeparator/>
      </w:r>
    </w:p>
  </w:footnote>
  <w:footnote w:id="1">
    <w:p w14:paraId="5FF6FCAF" w14:textId="2B7FE561" w:rsidR="00E766E4" w:rsidRDefault="00E766E4">
      <w:pPr>
        <w:pStyle w:val="FootnoteText"/>
      </w:pPr>
      <w:r>
        <w:rPr>
          <w:rStyle w:val="FootnoteReference"/>
        </w:rPr>
        <w:footnoteRef/>
      </w:r>
      <w:r>
        <w:t xml:space="preserve"> </w:t>
      </w:r>
      <w:r w:rsidR="00DC1C55">
        <w:rPr>
          <w:rFonts w:cstheme="minorHAnsi"/>
          <w:sz w:val="18"/>
          <w:szCs w:val="18"/>
        </w:rPr>
        <w:t>In this submission, the term ‘women’ i</w:t>
      </w:r>
      <w:r w:rsidR="0091559B">
        <w:rPr>
          <w:rFonts w:cstheme="minorHAnsi"/>
          <w:sz w:val="18"/>
          <w:szCs w:val="18"/>
        </w:rPr>
        <w:t xml:space="preserve">ncludes </w:t>
      </w:r>
      <w:r w:rsidRPr="00B31277">
        <w:rPr>
          <w:rFonts w:cstheme="minorHAnsi"/>
          <w:sz w:val="18"/>
          <w:szCs w:val="18"/>
        </w:rPr>
        <w:t>women in all their diversity,</w:t>
      </w:r>
      <w:r w:rsidRPr="00B31277">
        <w:rPr>
          <w:rFonts w:cstheme="minorHAnsi"/>
          <w:sz w:val="18"/>
          <w:szCs w:val="18"/>
          <w:vertAlign w:val="superscript"/>
        </w:rPr>
        <w:t xml:space="preserve"> </w:t>
      </w:r>
      <w:r w:rsidRPr="00B31277">
        <w:rPr>
          <w:rFonts w:cstheme="minorHAnsi"/>
          <w:sz w:val="18"/>
          <w:szCs w:val="18"/>
        </w:rPr>
        <w:t>inclusive of age, including pregnant women, economically marginalised and affluent women, cisgender, transgender, gender non</w:t>
      </w:r>
      <w:r w:rsidR="0091559B">
        <w:rPr>
          <w:rFonts w:cstheme="minorHAnsi"/>
          <w:sz w:val="18"/>
          <w:szCs w:val="18"/>
        </w:rPr>
        <w:t>-</w:t>
      </w:r>
      <w:r w:rsidRPr="00B31277">
        <w:rPr>
          <w:rFonts w:cstheme="minorHAnsi"/>
          <w:sz w:val="18"/>
          <w:szCs w:val="18"/>
        </w:rPr>
        <w:t xml:space="preserve">conforming people, disabled women, women who travel with families and women who travel alone, and migrant women with regular migration status, and those without.  </w:t>
      </w:r>
    </w:p>
  </w:footnote>
  <w:footnote w:id="2">
    <w:p w14:paraId="52931511" w14:textId="03C5BB20" w:rsidR="00FC5D06" w:rsidRPr="00B31277" w:rsidRDefault="00FC5D06">
      <w:pPr>
        <w:pStyle w:val="FootnoteText"/>
        <w:rPr>
          <w:rFonts w:cstheme="minorHAnsi"/>
          <w:sz w:val="18"/>
          <w:szCs w:val="18"/>
        </w:rPr>
      </w:pPr>
      <w:r w:rsidRPr="00B31277">
        <w:rPr>
          <w:rStyle w:val="FootnoteReference"/>
          <w:rFonts w:cstheme="minorHAnsi"/>
          <w:sz w:val="18"/>
          <w:szCs w:val="18"/>
        </w:rPr>
        <w:footnoteRef/>
      </w:r>
      <w:r w:rsidRPr="00B31277">
        <w:rPr>
          <w:rFonts w:cstheme="minorHAnsi"/>
          <w:sz w:val="18"/>
          <w:szCs w:val="18"/>
        </w:rPr>
        <w:t xml:space="preserve"> </w:t>
      </w:r>
      <w:proofErr w:type="spellStart"/>
      <w:r w:rsidR="00293596" w:rsidRPr="00B31277">
        <w:rPr>
          <w:rFonts w:eastAsia="Gill Sans" w:cstheme="minorHAnsi"/>
          <w:color w:val="000000"/>
          <w:sz w:val="18"/>
          <w:szCs w:val="18"/>
        </w:rPr>
        <w:t>Alam</w:t>
      </w:r>
      <w:proofErr w:type="spellEnd"/>
      <w:r w:rsidR="00293596" w:rsidRPr="00B31277">
        <w:rPr>
          <w:rFonts w:eastAsia="Gill Sans" w:cstheme="minorHAnsi"/>
          <w:color w:val="000000"/>
          <w:sz w:val="18"/>
          <w:szCs w:val="18"/>
        </w:rPr>
        <w:t xml:space="preserve">, </w:t>
      </w:r>
      <w:proofErr w:type="spellStart"/>
      <w:r w:rsidR="00293596" w:rsidRPr="00B31277">
        <w:rPr>
          <w:rFonts w:eastAsia="Gill Sans" w:cstheme="minorHAnsi"/>
          <w:color w:val="000000"/>
          <w:sz w:val="18"/>
          <w:szCs w:val="18"/>
        </w:rPr>
        <w:t>Mayesha</w:t>
      </w:r>
      <w:proofErr w:type="spellEnd"/>
      <w:r w:rsidR="00293596" w:rsidRPr="00B31277">
        <w:rPr>
          <w:rFonts w:eastAsia="Gill Sans" w:cstheme="minorHAnsi"/>
          <w:color w:val="000000"/>
          <w:sz w:val="18"/>
          <w:szCs w:val="18"/>
        </w:rPr>
        <w:t xml:space="preserve">, Bhatia, Rukmani, and </w:t>
      </w:r>
      <w:proofErr w:type="spellStart"/>
      <w:r w:rsidR="00293596" w:rsidRPr="00B31277">
        <w:rPr>
          <w:rFonts w:eastAsia="Gill Sans" w:cstheme="minorHAnsi"/>
          <w:color w:val="000000"/>
          <w:sz w:val="18"/>
          <w:szCs w:val="18"/>
        </w:rPr>
        <w:t>Mawby</w:t>
      </w:r>
      <w:proofErr w:type="spellEnd"/>
      <w:r w:rsidR="00293596" w:rsidRPr="00B31277">
        <w:rPr>
          <w:rFonts w:eastAsia="Gill Sans" w:cstheme="minorHAnsi"/>
          <w:color w:val="000000"/>
          <w:sz w:val="18"/>
          <w:szCs w:val="18"/>
        </w:rPr>
        <w:t xml:space="preserve">, Briana. </w:t>
      </w:r>
      <w:hyperlink r:id="rId1" w:history="1">
        <w:r w:rsidR="00293596" w:rsidRPr="00014992">
          <w:rPr>
            <w:rStyle w:val="Hyperlink"/>
            <w:rFonts w:eastAsia="Gill Sans" w:cstheme="minorHAnsi"/>
            <w:i/>
            <w:sz w:val="18"/>
            <w:szCs w:val="18"/>
          </w:rPr>
          <w:t>Women and Climate Change: Impact and Agency in Human Rights, Security, and Economic Development</w:t>
        </w:r>
        <w:r w:rsidR="00293596" w:rsidRPr="00014992">
          <w:rPr>
            <w:rStyle w:val="Hyperlink"/>
            <w:rFonts w:eastAsia="Gill Sans" w:cstheme="minorHAnsi"/>
            <w:sz w:val="18"/>
            <w:szCs w:val="18"/>
          </w:rPr>
          <w:t>.</w:t>
        </w:r>
      </w:hyperlink>
      <w:r w:rsidR="00293596" w:rsidRPr="00B31277">
        <w:rPr>
          <w:rFonts w:eastAsia="Gill Sans" w:cstheme="minorHAnsi"/>
          <w:color w:val="000000"/>
          <w:sz w:val="18"/>
          <w:szCs w:val="18"/>
        </w:rPr>
        <w:t xml:space="preserve"> Washington, DC: Georgetown Institute for Women, Peace and Security, </w:t>
      </w:r>
      <w:proofErr w:type="gramStart"/>
      <w:r w:rsidR="00293596" w:rsidRPr="00B31277">
        <w:rPr>
          <w:rFonts w:eastAsia="Gill Sans" w:cstheme="minorHAnsi"/>
          <w:color w:val="000000"/>
          <w:sz w:val="18"/>
          <w:szCs w:val="18"/>
        </w:rPr>
        <w:t>2015..</w:t>
      </w:r>
      <w:proofErr w:type="gramEnd"/>
    </w:p>
  </w:footnote>
  <w:footnote w:id="3">
    <w:p w14:paraId="2535D237" w14:textId="67E22B48" w:rsidR="00653C4B" w:rsidRPr="000309A9" w:rsidRDefault="00653C4B">
      <w:pPr>
        <w:pStyle w:val="FootnoteText"/>
        <w:rPr>
          <w:i/>
          <w:iCs/>
        </w:rPr>
      </w:pPr>
      <w:r w:rsidRPr="00B31277">
        <w:rPr>
          <w:rStyle w:val="FootnoteReference"/>
          <w:rFonts w:cstheme="minorHAnsi"/>
          <w:sz w:val="18"/>
          <w:szCs w:val="18"/>
        </w:rPr>
        <w:footnoteRef/>
      </w:r>
      <w:r w:rsidRPr="00B31277">
        <w:rPr>
          <w:rFonts w:cstheme="minorHAnsi"/>
          <w:sz w:val="18"/>
          <w:szCs w:val="18"/>
        </w:rPr>
        <w:t xml:space="preserve"> </w:t>
      </w:r>
      <w:r w:rsidR="000B13C2" w:rsidRPr="00B31277">
        <w:rPr>
          <w:rFonts w:cstheme="minorHAnsi"/>
          <w:sz w:val="18"/>
          <w:szCs w:val="18"/>
        </w:rPr>
        <w:t>UN Women</w:t>
      </w:r>
      <w:r w:rsidR="000309A9" w:rsidRPr="00B31277">
        <w:rPr>
          <w:rFonts w:cstheme="minorHAnsi"/>
          <w:sz w:val="18"/>
          <w:szCs w:val="18"/>
        </w:rPr>
        <w:t xml:space="preserve">. 2018. </w:t>
      </w:r>
      <w:hyperlink r:id="rId2" w:history="1">
        <w:r w:rsidR="000309A9" w:rsidRPr="00B31277">
          <w:rPr>
            <w:rStyle w:val="Hyperlink"/>
            <w:rFonts w:cstheme="minorHAnsi"/>
            <w:sz w:val="18"/>
            <w:szCs w:val="18"/>
          </w:rPr>
          <w:t>Turning promises into action: Gender equality in the 2030 Agenda for Sustainable Development</w:t>
        </w:r>
      </w:hyperlink>
    </w:p>
  </w:footnote>
  <w:footnote w:id="4">
    <w:p w14:paraId="752F52A7" w14:textId="4D1FFFDF" w:rsidR="00653C4B" w:rsidRPr="00B31277" w:rsidRDefault="00653C4B">
      <w:pPr>
        <w:pStyle w:val="FootnoteText"/>
        <w:rPr>
          <w:rFonts w:cstheme="minorHAnsi"/>
          <w:sz w:val="18"/>
          <w:szCs w:val="18"/>
        </w:rPr>
      </w:pPr>
      <w:r w:rsidRPr="00B31277">
        <w:rPr>
          <w:rStyle w:val="FootnoteReference"/>
          <w:rFonts w:cstheme="minorHAnsi"/>
          <w:sz w:val="18"/>
          <w:szCs w:val="18"/>
        </w:rPr>
        <w:footnoteRef/>
      </w:r>
      <w:r w:rsidRPr="00B31277">
        <w:rPr>
          <w:rFonts w:cstheme="minorHAnsi"/>
          <w:sz w:val="18"/>
          <w:szCs w:val="18"/>
        </w:rPr>
        <w:t xml:space="preserve"> </w:t>
      </w:r>
      <w:r w:rsidR="00A846D3" w:rsidRPr="00B31277">
        <w:rPr>
          <w:rFonts w:cstheme="minorHAnsi"/>
          <w:sz w:val="18"/>
          <w:szCs w:val="18"/>
        </w:rPr>
        <w:t xml:space="preserve">Black, R., et al. The Effect of Environmental Change on Human Migration. </w:t>
      </w:r>
      <w:r w:rsidR="00A846D3" w:rsidRPr="00B31277">
        <w:rPr>
          <w:rFonts w:cstheme="minorHAnsi"/>
          <w:i/>
          <w:sz w:val="18"/>
          <w:szCs w:val="18"/>
        </w:rPr>
        <w:t>Global Environmental Change</w:t>
      </w:r>
      <w:r w:rsidR="00A846D3" w:rsidRPr="00B31277">
        <w:rPr>
          <w:rFonts w:cstheme="minorHAnsi"/>
          <w:sz w:val="18"/>
          <w:szCs w:val="18"/>
        </w:rPr>
        <w:t>, 21, Supplement I, no. 0 (2011): 3-11.</w:t>
      </w:r>
    </w:p>
  </w:footnote>
  <w:footnote w:id="5">
    <w:p w14:paraId="4B191E18" w14:textId="27C51FAE" w:rsidR="003D3634" w:rsidRPr="00B31277" w:rsidRDefault="003D3634">
      <w:pPr>
        <w:pStyle w:val="FootnoteText"/>
        <w:rPr>
          <w:rFonts w:cstheme="minorHAnsi"/>
          <w:sz w:val="18"/>
          <w:szCs w:val="18"/>
        </w:rPr>
      </w:pPr>
      <w:r w:rsidRPr="00B31277">
        <w:rPr>
          <w:rStyle w:val="FootnoteReference"/>
          <w:rFonts w:cstheme="minorHAnsi"/>
          <w:sz w:val="18"/>
          <w:szCs w:val="18"/>
        </w:rPr>
        <w:footnoteRef/>
      </w:r>
      <w:r w:rsidRPr="00B31277">
        <w:rPr>
          <w:rFonts w:cstheme="minorHAnsi"/>
          <w:sz w:val="18"/>
          <w:szCs w:val="18"/>
        </w:rPr>
        <w:t xml:space="preserve"> </w:t>
      </w:r>
      <w:r w:rsidR="00944F8A" w:rsidRPr="00B31277">
        <w:rPr>
          <w:rFonts w:eastAsia="Gill Sans" w:cstheme="minorHAnsi"/>
          <w:color w:val="000000"/>
          <w:sz w:val="18"/>
          <w:szCs w:val="18"/>
        </w:rPr>
        <w:t xml:space="preserve">Desai, Bharat </w:t>
      </w:r>
      <w:proofErr w:type="gramStart"/>
      <w:r w:rsidR="00944F8A" w:rsidRPr="00B31277">
        <w:rPr>
          <w:rFonts w:eastAsia="Gill Sans" w:cstheme="minorHAnsi"/>
          <w:color w:val="000000"/>
          <w:sz w:val="18"/>
          <w:szCs w:val="18"/>
        </w:rPr>
        <w:t>H.</w:t>
      </w:r>
      <w:proofErr w:type="gramEnd"/>
      <w:r w:rsidR="00944F8A" w:rsidRPr="00B31277">
        <w:rPr>
          <w:rFonts w:eastAsia="Gill Sans" w:cstheme="minorHAnsi"/>
          <w:color w:val="000000"/>
          <w:sz w:val="18"/>
          <w:szCs w:val="18"/>
        </w:rPr>
        <w:t xml:space="preserve"> and Mandal, </w:t>
      </w:r>
      <w:proofErr w:type="spellStart"/>
      <w:r w:rsidR="00944F8A" w:rsidRPr="00B31277">
        <w:rPr>
          <w:rFonts w:eastAsia="Gill Sans" w:cstheme="minorHAnsi"/>
          <w:color w:val="000000"/>
          <w:sz w:val="18"/>
          <w:szCs w:val="18"/>
        </w:rPr>
        <w:t>Moumita</w:t>
      </w:r>
      <w:proofErr w:type="spellEnd"/>
      <w:r w:rsidR="00944F8A" w:rsidRPr="00E60383">
        <w:rPr>
          <w:rFonts w:eastAsia="Gill Sans" w:cstheme="minorHAnsi"/>
          <w:i/>
          <w:iCs/>
          <w:color w:val="000000"/>
          <w:sz w:val="18"/>
          <w:szCs w:val="18"/>
        </w:rPr>
        <w:t xml:space="preserve">. </w:t>
      </w:r>
      <w:r w:rsidR="002C4A50" w:rsidRPr="00E60383">
        <w:rPr>
          <w:i/>
          <w:iCs/>
        </w:rPr>
        <w:t>Environmental Policy and Law</w:t>
      </w:r>
      <w:r w:rsidR="002C4A50" w:rsidRPr="002C4A50">
        <w:t>, 51 (2021) 137–157</w:t>
      </w:r>
      <w:r w:rsidR="002C4A50">
        <w:t>.</w:t>
      </w:r>
      <w:r w:rsidR="00944F8A" w:rsidRPr="00B31277">
        <w:rPr>
          <w:rFonts w:eastAsia="Gill Sans" w:cstheme="minorHAnsi"/>
          <w:color w:val="000000"/>
          <w:sz w:val="18"/>
          <w:szCs w:val="18"/>
        </w:rPr>
        <w:t xml:space="preserve">  </w:t>
      </w:r>
    </w:p>
  </w:footnote>
  <w:footnote w:id="6">
    <w:p w14:paraId="46B24E9D" w14:textId="2A0BBC44" w:rsidR="002B42FF" w:rsidRPr="00E60383" w:rsidRDefault="002B42FF">
      <w:pPr>
        <w:pStyle w:val="FootnoteText"/>
        <w:rPr>
          <w:rFonts w:cstheme="minorHAnsi"/>
          <w:sz w:val="18"/>
          <w:szCs w:val="18"/>
          <w:lang w:val="es-CO"/>
        </w:rPr>
      </w:pPr>
      <w:r w:rsidRPr="00B31277">
        <w:rPr>
          <w:rStyle w:val="FootnoteReference"/>
          <w:rFonts w:cstheme="minorHAnsi"/>
          <w:sz w:val="18"/>
          <w:szCs w:val="18"/>
        </w:rPr>
        <w:footnoteRef/>
      </w:r>
      <w:r w:rsidRPr="00E60383">
        <w:rPr>
          <w:rFonts w:cstheme="minorHAnsi"/>
          <w:sz w:val="18"/>
          <w:szCs w:val="18"/>
          <w:lang w:val="es-CO"/>
        </w:rPr>
        <w:t xml:space="preserve"> </w:t>
      </w:r>
      <w:r w:rsidR="00AA35CB" w:rsidRPr="00E60383">
        <w:rPr>
          <w:rFonts w:eastAsia="Gill Sans" w:cstheme="minorHAnsi"/>
          <w:color w:val="000000"/>
          <w:sz w:val="18"/>
          <w:szCs w:val="18"/>
          <w:lang w:val="es-CO"/>
        </w:rPr>
        <w:t>Ibid</w:t>
      </w:r>
      <w:r w:rsidR="00E60383">
        <w:rPr>
          <w:rFonts w:eastAsia="Gill Sans" w:cstheme="minorHAnsi"/>
          <w:color w:val="000000"/>
          <w:sz w:val="18"/>
          <w:szCs w:val="18"/>
          <w:lang w:val="es-CO"/>
        </w:rPr>
        <w:t>.</w:t>
      </w:r>
      <w:r w:rsidR="00AA35CB" w:rsidRPr="00E60383">
        <w:rPr>
          <w:rFonts w:eastAsia="Gill Sans" w:cstheme="minorHAnsi"/>
          <w:color w:val="000000"/>
          <w:sz w:val="18"/>
          <w:szCs w:val="18"/>
          <w:lang w:val="es-CO"/>
        </w:rPr>
        <w:t xml:space="preserve"> </w:t>
      </w:r>
      <w:r w:rsidR="00015D20" w:rsidRPr="00E60383">
        <w:rPr>
          <w:rFonts w:eastAsia="Gill Sans" w:cstheme="minorHAnsi"/>
          <w:color w:val="000000"/>
          <w:sz w:val="18"/>
          <w:szCs w:val="18"/>
          <w:lang w:val="es-CO"/>
        </w:rPr>
        <w:t xml:space="preserve">  </w:t>
      </w:r>
    </w:p>
  </w:footnote>
  <w:footnote w:id="7">
    <w:p w14:paraId="18B01760" w14:textId="4DBE454E" w:rsidR="002B42FF" w:rsidRPr="00B31277" w:rsidRDefault="002B42FF">
      <w:pPr>
        <w:pStyle w:val="FootnoteText"/>
        <w:rPr>
          <w:rFonts w:cstheme="minorHAnsi"/>
          <w:sz w:val="18"/>
          <w:szCs w:val="18"/>
        </w:rPr>
      </w:pPr>
      <w:r w:rsidRPr="00B31277">
        <w:rPr>
          <w:rStyle w:val="FootnoteReference"/>
          <w:rFonts w:cstheme="minorHAnsi"/>
          <w:sz w:val="18"/>
          <w:szCs w:val="18"/>
        </w:rPr>
        <w:footnoteRef/>
      </w:r>
      <w:r w:rsidRPr="00E60383">
        <w:rPr>
          <w:rFonts w:cstheme="minorHAnsi"/>
          <w:sz w:val="18"/>
          <w:szCs w:val="18"/>
          <w:lang w:val="es-CO"/>
        </w:rPr>
        <w:t xml:space="preserve"> </w:t>
      </w:r>
      <w:r w:rsidR="009A7ACF" w:rsidRPr="00E60383">
        <w:rPr>
          <w:rFonts w:cstheme="minorHAnsi"/>
          <w:sz w:val="18"/>
          <w:szCs w:val="18"/>
          <w:lang w:val="es-CO"/>
        </w:rPr>
        <w:t xml:space="preserve">Castañeda Camey, et al., 2020. </w:t>
      </w:r>
      <w:hyperlink r:id="rId3" w:history="1">
        <w:r w:rsidR="00142B97" w:rsidRPr="00D45CC7">
          <w:rPr>
            <w:rStyle w:val="Hyperlink"/>
            <w:rFonts w:cstheme="minorHAnsi"/>
            <w:i/>
            <w:iCs/>
            <w:sz w:val="18"/>
            <w:szCs w:val="18"/>
          </w:rPr>
          <w:t>Gender-based violence and environment linkages</w:t>
        </w:r>
      </w:hyperlink>
    </w:p>
  </w:footnote>
  <w:footnote w:id="8">
    <w:p w14:paraId="7A9B8511" w14:textId="6CC5E061" w:rsidR="00E40468" w:rsidRDefault="00E40468">
      <w:pPr>
        <w:pStyle w:val="FootnoteText"/>
      </w:pPr>
      <w:r w:rsidRPr="00B31277">
        <w:rPr>
          <w:rStyle w:val="FootnoteReference"/>
          <w:rFonts w:cstheme="minorHAnsi"/>
          <w:sz w:val="18"/>
          <w:szCs w:val="18"/>
        </w:rPr>
        <w:footnoteRef/>
      </w:r>
      <w:r w:rsidRPr="00B31277">
        <w:rPr>
          <w:rFonts w:cstheme="minorHAnsi"/>
          <w:sz w:val="18"/>
          <w:szCs w:val="18"/>
        </w:rPr>
        <w:t xml:space="preserve"> </w:t>
      </w:r>
      <w:proofErr w:type="spellStart"/>
      <w:r w:rsidR="00B31277" w:rsidRPr="00B31277">
        <w:rPr>
          <w:rFonts w:eastAsia="Gill Sans" w:cstheme="minorHAnsi"/>
          <w:color w:val="000000"/>
          <w:sz w:val="18"/>
          <w:szCs w:val="18"/>
        </w:rPr>
        <w:t>Gioli</w:t>
      </w:r>
      <w:proofErr w:type="spellEnd"/>
      <w:r w:rsidR="00B31277" w:rsidRPr="00B31277">
        <w:rPr>
          <w:rFonts w:eastAsia="Gill Sans" w:cstheme="minorHAnsi"/>
          <w:color w:val="000000"/>
          <w:sz w:val="18"/>
          <w:szCs w:val="18"/>
        </w:rPr>
        <w:t xml:space="preserve">, G. and Milan, A. Gender, Migration and (Global) Environmental Change. In </w:t>
      </w:r>
      <w:hyperlink r:id="rId4" w:history="1">
        <w:r w:rsidR="00B31277" w:rsidRPr="00C67E08">
          <w:rPr>
            <w:rStyle w:val="Hyperlink"/>
            <w:rFonts w:eastAsia="Gill Sans" w:cstheme="minorHAnsi"/>
            <w:i/>
            <w:sz w:val="18"/>
            <w:szCs w:val="18"/>
          </w:rPr>
          <w:t>Routledge Handbook of Environmental Displacement and Migration</w:t>
        </w:r>
        <w:r w:rsidR="00B31277" w:rsidRPr="00C67E08">
          <w:rPr>
            <w:rStyle w:val="Hyperlink"/>
            <w:rFonts w:eastAsia="Gill Sans" w:cstheme="minorHAnsi"/>
            <w:sz w:val="18"/>
            <w:szCs w:val="18"/>
          </w:rPr>
          <w:t>.</w:t>
        </w:r>
      </w:hyperlink>
      <w:r w:rsidR="00B31277" w:rsidRPr="00B31277">
        <w:rPr>
          <w:rFonts w:eastAsia="Gill Sans" w:cstheme="minorHAnsi"/>
          <w:color w:val="000000"/>
          <w:sz w:val="18"/>
          <w:szCs w:val="18"/>
        </w:rPr>
        <w:t xml:space="preserve"> R. </w:t>
      </w:r>
      <w:proofErr w:type="spellStart"/>
      <w:r w:rsidR="00B31277" w:rsidRPr="00B31277">
        <w:rPr>
          <w:rFonts w:eastAsia="Gill Sans" w:cstheme="minorHAnsi"/>
          <w:color w:val="000000"/>
          <w:sz w:val="18"/>
          <w:szCs w:val="18"/>
        </w:rPr>
        <w:t>McLeman</w:t>
      </w:r>
      <w:proofErr w:type="spellEnd"/>
      <w:r w:rsidR="00B31277" w:rsidRPr="00B31277">
        <w:rPr>
          <w:rFonts w:eastAsia="Gill Sans" w:cstheme="minorHAnsi"/>
          <w:color w:val="000000"/>
          <w:sz w:val="18"/>
          <w:szCs w:val="18"/>
        </w:rPr>
        <w:t xml:space="preserve"> and F. </w:t>
      </w:r>
      <w:proofErr w:type="spellStart"/>
      <w:r w:rsidR="00B31277" w:rsidRPr="00B31277">
        <w:rPr>
          <w:rFonts w:eastAsia="Gill Sans" w:cstheme="minorHAnsi"/>
          <w:color w:val="000000"/>
          <w:sz w:val="18"/>
          <w:szCs w:val="18"/>
        </w:rPr>
        <w:t>Gemenne</w:t>
      </w:r>
      <w:proofErr w:type="spellEnd"/>
      <w:r w:rsidR="00B31277" w:rsidRPr="00B31277">
        <w:rPr>
          <w:rFonts w:eastAsia="Gill Sans" w:cstheme="minorHAnsi"/>
          <w:color w:val="000000"/>
          <w:sz w:val="18"/>
          <w:szCs w:val="18"/>
        </w:rPr>
        <w:t xml:space="preserve">, eds. London: Routledge International,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838B3"/>
    <w:multiLevelType w:val="multilevel"/>
    <w:tmpl w:val="AF56F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90"/>
    <w:rsid w:val="00003DF6"/>
    <w:rsid w:val="00013954"/>
    <w:rsid w:val="00014992"/>
    <w:rsid w:val="00015D20"/>
    <w:rsid w:val="0002028D"/>
    <w:rsid w:val="000309A9"/>
    <w:rsid w:val="00051C77"/>
    <w:rsid w:val="0005399E"/>
    <w:rsid w:val="000B13C2"/>
    <w:rsid w:val="00102640"/>
    <w:rsid w:val="00111E49"/>
    <w:rsid w:val="00142B97"/>
    <w:rsid w:val="00143F1C"/>
    <w:rsid w:val="002059B1"/>
    <w:rsid w:val="00271927"/>
    <w:rsid w:val="00272BE1"/>
    <w:rsid w:val="00293596"/>
    <w:rsid w:val="002A15F5"/>
    <w:rsid w:val="002B42FF"/>
    <w:rsid w:val="002B656A"/>
    <w:rsid w:val="002C4A50"/>
    <w:rsid w:val="003266B0"/>
    <w:rsid w:val="003933D8"/>
    <w:rsid w:val="003A1AAA"/>
    <w:rsid w:val="003A23C0"/>
    <w:rsid w:val="003D3634"/>
    <w:rsid w:val="00417020"/>
    <w:rsid w:val="00447B90"/>
    <w:rsid w:val="00472296"/>
    <w:rsid w:val="00490D42"/>
    <w:rsid w:val="00491B51"/>
    <w:rsid w:val="004E1360"/>
    <w:rsid w:val="005463FC"/>
    <w:rsid w:val="005A654F"/>
    <w:rsid w:val="00611E0D"/>
    <w:rsid w:val="00617E5C"/>
    <w:rsid w:val="00653C4B"/>
    <w:rsid w:val="0068770E"/>
    <w:rsid w:val="00695E0E"/>
    <w:rsid w:val="006C4C0B"/>
    <w:rsid w:val="006D10BF"/>
    <w:rsid w:val="006F2E3C"/>
    <w:rsid w:val="00702BFF"/>
    <w:rsid w:val="00735AED"/>
    <w:rsid w:val="00757114"/>
    <w:rsid w:val="00766F0A"/>
    <w:rsid w:val="007C07D9"/>
    <w:rsid w:val="007C6C63"/>
    <w:rsid w:val="007C7243"/>
    <w:rsid w:val="007F7411"/>
    <w:rsid w:val="00802920"/>
    <w:rsid w:val="00840535"/>
    <w:rsid w:val="00851B9B"/>
    <w:rsid w:val="008639BA"/>
    <w:rsid w:val="008D359C"/>
    <w:rsid w:val="008F2F49"/>
    <w:rsid w:val="008F5A50"/>
    <w:rsid w:val="00910520"/>
    <w:rsid w:val="0091559B"/>
    <w:rsid w:val="00925AE2"/>
    <w:rsid w:val="009415FE"/>
    <w:rsid w:val="00944F8A"/>
    <w:rsid w:val="009574A9"/>
    <w:rsid w:val="00964300"/>
    <w:rsid w:val="00966C25"/>
    <w:rsid w:val="009843D8"/>
    <w:rsid w:val="009A7ACF"/>
    <w:rsid w:val="009D59BB"/>
    <w:rsid w:val="00A846D3"/>
    <w:rsid w:val="00AA35CB"/>
    <w:rsid w:val="00AF5A39"/>
    <w:rsid w:val="00B31277"/>
    <w:rsid w:val="00B432FB"/>
    <w:rsid w:val="00B728AB"/>
    <w:rsid w:val="00B802DB"/>
    <w:rsid w:val="00B80FC1"/>
    <w:rsid w:val="00BF56F2"/>
    <w:rsid w:val="00BF7D7B"/>
    <w:rsid w:val="00C30344"/>
    <w:rsid w:val="00C3170D"/>
    <w:rsid w:val="00C67E08"/>
    <w:rsid w:val="00C70697"/>
    <w:rsid w:val="00D34DA2"/>
    <w:rsid w:val="00D45CC7"/>
    <w:rsid w:val="00DC1C55"/>
    <w:rsid w:val="00DD0F2A"/>
    <w:rsid w:val="00E00353"/>
    <w:rsid w:val="00E40468"/>
    <w:rsid w:val="00E60383"/>
    <w:rsid w:val="00E652C8"/>
    <w:rsid w:val="00E766E4"/>
    <w:rsid w:val="00EA1D9D"/>
    <w:rsid w:val="00EB1036"/>
    <w:rsid w:val="00F066D2"/>
    <w:rsid w:val="00F2293F"/>
    <w:rsid w:val="00F316EB"/>
    <w:rsid w:val="00F4671C"/>
    <w:rsid w:val="00F527A7"/>
    <w:rsid w:val="00F6364D"/>
    <w:rsid w:val="00FC5D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CDB"/>
  <w15:chartTrackingRefBased/>
  <w15:docId w15:val="{D42FFD53-684F-40CA-9734-278CA107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2"/>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B90"/>
    <w:rPr>
      <w:color w:val="0000FF"/>
      <w:u w:val="single"/>
    </w:rPr>
  </w:style>
  <w:style w:type="paragraph" w:styleId="FootnoteText">
    <w:name w:val="footnote text"/>
    <w:basedOn w:val="Normal"/>
    <w:link w:val="FootnoteTextChar"/>
    <w:uiPriority w:val="99"/>
    <w:semiHidden/>
    <w:unhideWhenUsed/>
    <w:rsid w:val="00447B90"/>
    <w:pPr>
      <w:spacing w:after="0" w:line="240" w:lineRule="auto"/>
      <w:contextualSpacing/>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47B90"/>
    <w:rPr>
      <w:rFonts w:asciiTheme="minorHAnsi" w:hAnsiTheme="minorHAnsi" w:cstheme="minorBidi"/>
      <w:sz w:val="20"/>
      <w:szCs w:val="20"/>
      <w:lang w:val="en-GB"/>
    </w:rPr>
  </w:style>
  <w:style w:type="character" w:styleId="FootnoteReference">
    <w:name w:val="footnote reference"/>
    <w:basedOn w:val="DefaultParagraphFont"/>
    <w:uiPriority w:val="99"/>
    <w:semiHidden/>
    <w:unhideWhenUsed/>
    <w:rsid w:val="00447B90"/>
    <w:rPr>
      <w:vertAlign w:val="superscript"/>
    </w:rPr>
  </w:style>
  <w:style w:type="paragraph" w:styleId="BalloonText">
    <w:name w:val="Balloon Text"/>
    <w:basedOn w:val="Normal"/>
    <w:link w:val="BalloonTextChar"/>
    <w:uiPriority w:val="99"/>
    <w:semiHidden/>
    <w:unhideWhenUsed/>
    <w:rsid w:val="00003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DF6"/>
    <w:rPr>
      <w:rFonts w:ascii="Segoe UI" w:hAnsi="Segoe UI" w:cs="Segoe UI"/>
      <w:sz w:val="18"/>
      <w:szCs w:val="18"/>
      <w:lang w:val="en-GB"/>
    </w:rPr>
  </w:style>
  <w:style w:type="paragraph" w:styleId="EndnoteText">
    <w:name w:val="endnote text"/>
    <w:basedOn w:val="Normal"/>
    <w:link w:val="EndnoteTextChar"/>
    <w:uiPriority w:val="99"/>
    <w:semiHidden/>
    <w:unhideWhenUsed/>
    <w:rsid w:val="00F527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7A7"/>
    <w:rPr>
      <w:sz w:val="20"/>
      <w:szCs w:val="20"/>
      <w:lang w:val="en-GB"/>
    </w:rPr>
  </w:style>
  <w:style w:type="character" w:styleId="EndnoteReference">
    <w:name w:val="endnote reference"/>
    <w:basedOn w:val="DefaultParagraphFont"/>
    <w:uiPriority w:val="99"/>
    <w:semiHidden/>
    <w:unhideWhenUsed/>
    <w:rsid w:val="00F527A7"/>
    <w:rPr>
      <w:vertAlign w:val="superscript"/>
    </w:rPr>
  </w:style>
  <w:style w:type="character" w:styleId="UnresolvedMention">
    <w:name w:val="Unresolved Mention"/>
    <w:basedOn w:val="DefaultParagraphFont"/>
    <w:uiPriority w:val="99"/>
    <w:semiHidden/>
    <w:unhideWhenUsed/>
    <w:rsid w:val="00695E0E"/>
    <w:rPr>
      <w:color w:val="605E5C"/>
      <w:shd w:val="clear" w:color="auto" w:fill="E1DFDD"/>
    </w:rPr>
  </w:style>
  <w:style w:type="character" w:styleId="FollowedHyperlink">
    <w:name w:val="FollowedHyperlink"/>
    <w:basedOn w:val="DefaultParagraphFont"/>
    <w:uiPriority w:val="99"/>
    <w:semiHidden/>
    <w:unhideWhenUsed/>
    <w:rsid w:val="00695E0E"/>
    <w:rPr>
      <w:color w:val="954F72" w:themeColor="followedHyperlink"/>
      <w:u w:val="single"/>
    </w:rPr>
  </w:style>
  <w:style w:type="character" w:styleId="CommentReference">
    <w:name w:val="annotation reference"/>
    <w:basedOn w:val="DefaultParagraphFont"/>
    <w:uiPriority w:val="99"/>
    <w:semiHidden/>
    <w:unhideWhenUsed/>
    <w:rsid w:val="00802920"/>
    <w:rPr>
      <w:sz w:val="16"/>
      <w:szCs w:val="16"/>
    </w:rPr>
  </w:style>
  <w:style w:type="paragraph" w:styleId="CommentText">
    <w:name w:val="annotation text"/>
    <w:basedOn w:val="Normal"/>
    <w:link w:val="CommentTextChar"/>
    <w:uiPriority w:val="99"/>
    <w:semiHidden/>
    <w:unhideWhenUsed/>
    <w:rsid w:val="00802920"/>
    <w:pPr>
      <w:spacing w:line="240" w:lineRule="auto"/>
    </w:pPr>
    <w:rPr>
      <w:sz w:val="20"/>
      <w:szCs w:val="20"/>
    </w:rPr>
  </w:style>
  <w:style w:type="character" w:customStyle="1" w:styleId="CommentTextChar">
    <w:name w:val="Comment Text Char"/>
    <w:basedOn w:val="DefaultParagraphFont"/>
    <w:link w:val="CommentText"/>
    <w:uiPriority w:val="99"/>
    <w:semiHidden/>
    <w:rsid w:val="00802920"/>
    <w:rPr>
      <w:sz w:val="20"/>
      <w:szCs w:val="20"/>
      <w:lang w:val="en-GB"/>
    </w:rPr>
  </w:style>
  <w:style w:type="paragraph" w:styleId="CommentSubject">
    <w:name w:val="annotation subject"/>
    <w:basedOn w:val="CommentText"/>
    <w:next w:val="CommentText"/>
    <w:link w:val="CommentSubjectChar"/>
    <w:uiPriority w:val="99"/>
    <w:semiHidden/>
    <w:unhideWhenUsed/>
    <w:rsid w:val="00802920"/>
    <w:rPr>
      <w:b/>
      <w:bCs/>
    </w:rPr>
  </w:style>
  <w:style w:type="character" w:customStyle="1" w:styleId="CommentSubjectChar">
    <w:name w:val="Comment Subject Char"/>
    <w:basedOn w:val="CommentTextChar"/>
    <w:link w:val="CommentSubject"/>
    <w:uiPriority w:val="99"/>
    <w:semiHidden/>
    <w:rsid w:val="0080292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preventionweb.net/publication/gender-based-violence-and-environment-linkages" TargetMode="External"/><Relationship Id="rId2" Type="http://schemas.openxmlformats.org/officeDocument/2006/relationships/hyperlink" Target="https://www.unwomen.org/en/digital-library/sdg-report" TargetMode="External"/><Relationship Id="rId1" Type="http://schemas.openxmlformats.org/officeDocument/2006/relationships/hyperlink" Target="https://giwps.georgetown.edu/wp-content/uploads/2017/09/Women-and-Climate-Change.pdf." TargetMode="External"/><Relationship Id="rId4" Type="http://schemas.openxmlformats.org/officeDocument/2006/relationships/hyperlink" Target="http://www.taylorfrancis.com/chapters/edit/10.4324/9781315638843-11/gender-migrationglobal-environmental-change-giovanna-gioli-andrea-mi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0AE9F-1801-44F2-8EF6-EC4B28ADB5E5}">
  <ds:schemaRefs>
    <ds:schemaRef ds:uri="http://schemas.microsoft.com/office/2006/metadata/properties"/>
    <ds:schemaRef ds:uri="http://schemas.microsoft.com/office/infopath/2007/PartnerControls"/>
    <ds:schemaRef ds:uri="89040124-3724-453e-9e0f-d53a96d17322"/>
  </ds:schemaRefs>
</ds:datastoreItem>
</file>

<file path=customXml/itemProps2.xml><?xml version="1.0" encoding="utf-8"?>
<ds:datastoreItem xmlns:ds="http://schemas.openxmlformats.org/officeDocument/2006/customXml" ds:itemID="{8F1066DC-9AD1-4479-88E6-0D3C3785C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40124-3724-453e-9e0f-d53a96d17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92D2E-F10D-4871-B813-4F535D11E774}">
  <ds:schemaRefs>
    <ds:schemaRef ds:uri="http://schemas.microsoft.com/sharepoint/v3/contenttype/forms"/>
  </ds:schemaRefs>
</ds:datastoreItem>
</file>

<file path=customXml/itemProps4.xml><?xml version="1.0" encoding="utf-8"?>
<ds:datastoreItem xmlns:ds="http://schemas.openxmlformats.org/officeDocument/2006/customXml" ds:itemID="{C86D1AAC-59F3-48F5-8330-90B5367A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Stewart-Evans</dc:creator>
  <cp:keywords/>
  <dc:description/>
  <cp:lastModifiedBy>Isabela Zaleski Mori (OHCHR-Consultant)</cp:lastModifiedBy>
  <cp:revision>4</cp:revision>
  <dcterms:created xsi:type="dcterms:W3CDTF">2022-05-23T16:10:00Z</dcterms:created>
  <dcterms:modified xsi:type="dcterms:W3CDTF">2022-05-26T10:20:00Z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