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C2B5" w14:textId="596853A2" w:rsidR="00B04E4A" w:rsidRPr="00CA66E7" w:rsidRDefault="00B04E4A" w:rsidP="00CA66E7">
      <w:pPr>
        <w:jc w:val="center"/>
        <w:rPr>
          <w:b/>
          <w:bCs/>
        </w:rPr>
      </w:pPr>
      <w:r w:rsidRPr="00CA66E7">
        <w:rPr>
          <w:b/>
          <w:bCs/>
        </w:rPr>
        <w:t>UNAIDS Submission to the Office of the High Commissioner for Human Rights</w:t>
      </w:r>
    </w:p>
    <w:p w14:paraId="03014E4E" w14:textId="125D4E4A" w:rsidR="00B04E4A" w:rsidRPr="00CA66E7" w:rsidRDefault="00B04E4A" w:rsidP="00CA66E7">
      <w:pPr>
        <w:pBdr>
          <w:bottom w:val="single" w:sz="4" w:space="1" w:color="auto"/>
        </w:pBdr>
        <w:jc w:val="center"/>
        <w:rPr>
          <w:b/>
          <w:bCs/>
        </w:rPr>
      </w:pPr>
      <w:r w:rsidRPr="00CA66E7">
        <w:rPr>
          <w:b/>
          <w:bCs/>
        </w:rPr>
        <w:t>Report to the Human Rights Council Report on Human Rights in the Context of HIV pursuant to HRC resolution 47/14</w:t>
      </w:r>
    </w:p>
    <w:p w14:paraId="7E9D8F72" w14:textId="77777777" w:rsidR="00CA66E7" w:rsidRDefault="00CA66E7" w:rsidP="00CA66E7"/>
    <w:p w14:paraId="152E56FB" w14:textId="3587265F" w:rsidR="00B04E4A" w:rsidRPr="00CA66E7" w:rsidRDefault="00B04E4A" w:rsidP="00CA66E7">
      <w:r w:rsidRPr="00C70E61">
        <w:t>The Secretariat of the Joint United Nations Programme on HIV/AIDS (UNAIDS)</w:t>
      </w:r>
      <w:r w:rsidR="000622C8">
        <w:rPr>
          <w:rStyle w:val="FootnoteReference"/>
        </w:rPr>
        <w:footnoteReference w:id="2"/>
      </w:r>
      <w:r w:rsidRPr="00C70E61">
        <w:t xml:space="preserve"> welcomes the opportunity to make this submission. </w:t>
      </w:r>
    </w:p>
    <w:p w14:paraId="2AF82188" w14:textId="27644E2F" w:rsidR="004F3635" w:rsidRPr="00E35CE8" w:rsidRDefault="00E35CE8" w:rsidP="00CA66E7">
      <w:pPr>
        <w:rPr>
          <w:b/>
          <w:bCs/>
        </w:rPr>
      </w:pPr>
      <w:r w:rsidRPr="00E35CE8">
        <w:rPr>
          <w:b/>
          <w:bCs/>
        </w:rPr>
        <w:t>The importance of the societal enablers</w:t>
      </w:r>
    </w:p>
    <w:p w14:paraId="550522FF" w14:textId="22EBF24C" w:rsidR="001E5872" w:rsidRPr="00C70E61" w:rsidRDefault="001E5872" w:rsidP="001E5872">
      <w:r>
        <w:t xml:space="preserve">Despite significant progress in reducing HIV infections and HIV-related mortality globally, significant inequalities exist within and between countries, as </w:t>
      </w:r>
      <w:r w:rsidR="000F240E">
        <w:t>vulnerable and marginalized populations are left behind</w:t>
      </w:r>
      <w:r>
        <w:t xml:space="preserve">. </w:t>
      </w:r>
    </w:p>
    <w:p w14:paraId="404C9588" w14:textId="28930E0D" w:rsidR="006D5688" w:rsidRDefault="006D5688" w:rsidP="00B76812">
      <w:r w:rsidRPr="00C70E61">
        <w:t xml:space="preserve">Decades of experience and evidence from the HIV response show that intersecting inequalities, including </w:t>
      </w:r>
      <w:proofErr w:type="gramStart"/>
      <w:r w:rsidRPr="00C70E61">
        <w:t>on the basis of</w:t>
      </w:r>
      <w:proofErr w:type="gramEnd"/>
      <w:r w:rsidRPr="00C70E61">
        <w:t xml:space="preserve"> sexual orientation, gender identity, sex, race, health status, involvement in sex work and socio-economic status, are preventing progress towards ending AIDS.</w:t>
      </w:r>
      <w:r w:rsidRPr="00C70E61">
        <w:rPr>
          <w:rStyle w:val="FootnoteReference"/>
        </w:rPr>
        <w:footnoteReference w:id="3"/>
      </w:r>
      <w:r w:rsidRPr="00C70E61">
        <w:t xml:space="preserve"> </w:t>
      </w:r>
      <w:r w:rsidR="00885673">
        <w:t>65% of new HIV infections in 2020 were among key populations and their sexual partners.</w:t>
      </w:r>
      <w:r w:rsidR="00885673">
        <w:rPr>
          <w:rStyle w:val="FootnoteReference"/>
        </w:rPr>
        <w:footnoteReference w:id="4"/>
      </w:r>
      <w:r w:rsidR="00B66E23">
        <w:t xml:space="preserve"> </w:t>
      </w:r>
      <w:r w:rsidR="00B76812">
        <w:t xml:space="preserve">In sub-Saharan Africa, </w:t>
      </w:r>
      <w:r w:rsidR="003D4D94">
        <w:t xml:space="preserve">six in seven new infections among adolescents occur </w:t>
      </w:r>
      <w:r w:rsidR="00EC1B15">
        <w:t>among girls</w:t>
      </w:r>
      <w:r w:rsidR="00B76812">
        <w:t>.</w:t>
      </w:r>
      <w:r w:rsidR="00885673">
        <w:t xml:space="preserve"> </w:t>
      </w:r>
      <w:r w:rsidR="001168FD">
        <w:t xml:space="preserve">Key and underserved populations </w:t>
      </w:r>
      <w:r w:rsidR="00D0184F">
        <w:t xml:space="preserve">are not only </w:t>
      </w:r>
      <w:r w:rsidR="003D3C89">
        <w:t>disproportionately</w:t>
      </w:r>
      <w:r w:rsidR="00D0184F">
        <w:t xml:space="preserve"> affected by HIV, they also experience a range of barriers, including stigma, discrimination, human rights violations, systematic disenfranchisement, social and economic marginalization and criminalisation of p</w:t>
      </w:r>
      <w:r w:rsidR="003D3C89">
        <w:t>ractices that put them at risk.</w:t>
      </w:r>
      <w:r w:rsidR="003D3C89">
        <w:rPr>
          <w:rStyle w:val="FootnoteReference"/>
        </w:rPr>
        <w:footnoteReference w:id="5"/>
      </w:r>
      <w:r w:rsidR="003D3C89">
        <w:t xml:space="preserve"> </w:t>
      </w:r>
      <w:r w:rsidRPr="00C70E61">
        <w:t xml:space="preserve">The new </w:t>
      </w:r>
      <w:hyperlink r:id="rId10" w:history="1">
        <w:r w:rsidRPr="00BD075A">
          <w:rPr>
            <w:rStyle w:val="Hyperlink"/>
          </w:rPr>
          <w:t>Global AIDS Strategy 2021-2026</w:t>
        </w:r>
      </w:hyperlink>
      <w:hyperlink r:id="rId11" w:history="1">
        <w:r w:rsidRPr="00C70E61">
          <w:rPr>
            <w:rStyle w:val="Hyperlink"/>
          </w:rPr>
          <w:t xml:space="preserve"> </w:t>
        </w:r>
      </w:hyperlink>
      <w:r w:rsidRPr="00C70E61">
        <w:t>uses an inequalities lens to identify and end inequalities that represent barriers to people living with and affected by HIV, countries, and communities from ending AIDS as a public health threat as required under SDG3.3.</w:t>
      </w:r>
      <w:r w:rsidRPr="00C70E61">
        <w:rPr>
          <w:rStyle w:val="FootnoteReference"/>
        </w:rPr>
        <w:footnoteReference w:id="6"/>
      </w:r>
    </w:p>
    <w:p w14:paraId="42DE80B1" w14:textId="77777777" w:rsidR="00843A66" w:rsidRDefault="002306D0" w:rsidP="00CA66E7">
      <w:r>
        <w:t>Key to reducing these inequalities are the societal enablers</w:t>
      </w:r>
      <w:r w:rsidR="00737F00">
        <w:t xml:space="preserve"> to the </w:t>
      </w:r>
      <w:r w:rsidR="00282022">
        <w:t>HIV response</w:t>
      </w:r>
      <w:r>
        <w:t>, the 10-10-10s</w:t>
      </w:r>
      <w:r w:rsidR="00EA676F" w:rsidRPr="00C70E61">
        <w:t xml:space="preserve">: </w:t>
      </w:r>
      <w:r w:rsidR="005266A9">
        <w:t xml:space="preserve">targets relating to </w:t>
      </w:r>
      <w:r w:rsidR="00EA676F" w:rsidRPr="00C70E61">
        <w:t>stigma and discrimination, gender-based inequalities and gender-based violence, and punitive</w:t>
      </w:r>
      <w:r w:rsidR="005266A9">
        <w:t xml:space="preserve"> and discriminatory</w:t>
      </w:r>
      <w:r w:rsidR="00EA676F" w:rsidRPr="00C70E61">
        <w:t xml:space="preserve"> laws and policies.</w:t>
      </w:r>
      <w:r w:rsidR="000F240E">
        <w:t xml:space="preserve"> These targets are a critical element in the new Global AIDS Strategy, </w:t>
      </w:r>
      <w:r w:rsidR="00843A66">
        <w:t>adopted by consensus by the UNAIDS Programme Coordinating Board in March 2021.</w:t>
      </w:r>
      <w:r w:rsidR="00EA676F" w:rsidRPr="00C70E61">
        <w:t xml:space="preserve"> </w:t>
      </w:r>
    </w:p>
    <w:p w14:paraId="35F9830E" w14:textId="49265642" w:rsidR="000F240E" w:rsidRPr="00C70E61" w:rsidRDefault="00BC78FC" w:rsidP="00CA66E7">
      <w:r w:rsidRPr="00C70E61">
        <w:t>Modelling indicates that failure to reach the</w:t>
      </w:r>
      <w:r w:rsidR="00072B9E">
        <w:t>se</w:t>
      </w:r>
      <w:r w:rsidR="00B76812">
        <w:t xml:space="preserve"> targets </w:t>
      </w:r>
      <w:r w:rsidRPr="00C70E61">
        <w:t>will lead to an additional 2.5 million new HIV infections and 1.7 million AIDS-related deaths between 2020 and 2030.</w:t>
      </w:r>
      <w:r w:rsidRPr="00C70E61">
        <w:rPr>
          <w:rStyle w:val="FootnoteReference"/>
        </w:rPr>
        <w:footnoteReference w:id="7"/>
      </w:r>
      <w:r w:rsidR="00F17141" w:rsidRPr="00C70E61">
        <w:t xml:space="preserve"> </w:t>
      </w:r>
      <w:r w:rsidR="000F240E">
        <w:t>As the global response to HIV moves towards achieving the newly defined targets for 2025, it is vital that countries accelerate and scale-</w:t>
      </w:r>
      <w:r w:rsidR="000F240E">
        <w:lastRenderedPageBreak/>
        <w:t>up concrete actions, provide sufficient funding and roll out adequate tools for measuring progress and ensuring community leadership in reaching the societal enabler targets of the 2021 Political Declaration on HIV (Political Declaration).</w:t>
      </w:r>
    </w:p>
    <w:p w14:paraId="4194BC3C" w14:textId="654B4037" w:rsidR="00CA5F57" w:rsidRPr="00E35CE8" w:rsidRDefault="00E35CE8" w:rsidP="00CA66E7">
      <w:pPr>
        <w:rPr>
          <w:b/>
          <w:bCs/>
        </w:rPr>
      </w:pPr>
      <w:r>
        <w:rPr>
          <w:b/>
          <w:bCs/>
        </w:rPr>
        <w:t>Where are we now: the data.</w:t>
      </w:r>
    </w:p>
    <w:p w14:paraId="5C55E8D1" w14:textId="2D07FEA6" w:rsidR="00B05FF8" w:rsidRPr="00C70E61" w:rsidRDefault="00B05FF8" w:rsidP="00CA66E7">
      <w:r w:rsidRPr="00C70E61">
        <w:t xml:space="preserve">Under the </w:t>
      </w:r>
      <w:r w:rsidR="00051826">
        <w:t xml:space="preserve">UN General Assembly </w:t>
      </w:r>
      <w:r w:rsidRPr="00C70E61">
        <w:t xml:space="preserve">Political Declaration, member states are obligated to report against their </w:t>
      </w:r>
      <w:r w:rsidR="000B25F1" w:rsidRPr="00C70E61">
        <w:t>commitments</w:t>
      </w:r>
      <w:r w:rsidR="000B25F1">
        <w:t xml:space="preserve"> </w:t>
      </w:r>
      <w:r w:rsidR="000B25F1" w:rsidRPr="00C70E61">
        <w:t>annually</w:t>
      </w:r>
      <w:r w:rsidRPr="00C70E61">
        <w:t xml:space="preserve"> to UNAIDS under the Global AIDS Monitoring mechanism. 2022 will be the first year that </w:t>
      </w:r>
      <w:r w:rsidR="00A747D2">
        <w:t xml:space="preserve">that the reporting mechanisms will include indicators specifically for the </w:t>
      </w:r>
      <w:r w:rsidRPr="00C70E61">
        <w:t>societal enablers</w:t>
      </w:r>
      <w:r w:rsidR="00E11017">
        <w:t xml:space="preserve"> within the Global AIDS Strategy</w:t>
      </w:r>
      <w:r w:rsidR="00750D61">
        <w:t>, with results published in July 2022</w:t>
      </w:r>
      <w:r w:rsidRPr="00C70E61">
        <w:t xml:space="preserve">. However, as many of the enablers reflect similar existing commitments, base-line data </w:t>
      </w:r>
      <w:r w:rsidR="000B25F1">
        <w:t xml:space="preserve">already </w:t>
      </w:r>
      <w:r w:rsidR="00E35CE8">
        <w:t xml:space="preserve">exists for </w:t>
      </w:r>
      <w:proofErr w:type="gramStart"/>
      <w:r w:rsidR="00E35CE8">
        <w:t>a number of</w:t>
      </w:r>
      <w:proofErr w:type="gramEnd"/>
      <w:r w:rsidR="00E35CE8">
        <w:t xml:space="preserve"> targets. </w:t>
      </w:r>
    </w:p>
    <w:p w14:paraId="11CC1E52" w14:textId="43A398A3" w:rsidR="004F3635" w:rsidRPr="00E35CE8" w:rsidRDefault="0034718C" w:rsidP="00CA66E7">
      <w:pPr>
        <w:rPr>
          <w:i/>
          <w:iCs/>
        </w:rPr>
      </w:pPr>
      <w:r w:rsidRPr="00E35CE8">
        <w:rPr>
          <w:i/>
          <w:iCs/>
        </w:rPr>
        <w:t>Enabling legal environments</w:t>
      </w:r>
    </w:p>
    <w:p w14:paraId="4B6C26A5" w14:textId="2213C717" w:rsidR="0034718C" w:rsidRPr="00C70E61" w:rsidRDefault="007E4B40" w:rsidP="00CA66E7">
      <w:r>
        <w:t xml:space="preserve">Despite </w:t>
      </w:r>
      <w:r w:rsidR="00D47732">
        <w:t xml:space="preserve">important progress in law reform in </w:t>
      </w:r>
      <w:proofErr w:type="gramStart"/>
      <w:r w:rsidR="00D47732">
        <w:t>a number of</w:t>
      </w:r>
      <w:proofErr w:type="gramEnd"/>
      <w:r w:rsidR="00D47732">
        <w:t xml:space="preserve"> countries</w:t>
      </w:r>
      <w:r w:rsidR="00D47732">
        <w:rPr>
          <w:rStyle w:val="FootnoteReference"/>
        </w:rPr>
        <w:footnoteReference w:id="8"/>
      </w:r>
      <w:r w:rsidR="00D47732">
        <w:t xml:space="preserve"> </w:t>
      </w:r>
      <w:r w:rsidR="0090711D">
        <w:t xml:space="preserve"> in </w:t>
      </w:r>
      <w:r w:rsidR="007F5D6E">
        <w:t xml:space="preserve">many </w:t>
      </w:r>
      <w:r w:rsidR="0053520E">
        <w:t xml:space="preserve">others </w:t>
      </w:r>
      <w:r w:rsidR="007F5D6E">
        <w:t xml:space="preserve">still </w:t>
      </w:r>
      <w:r w:rsidR="00891D6A">
        <w:t xml:space="preserve">maintain punitive and discriminatory laws. </w:t>
      </w:r>
      <w:r w:rsidR="0034718C" w:rsidRPr="00C70E61">
        <w:t>In 2</w:t>
      </w:r>
      <w:r w:rsidR="00655D26" w:rsidRPr="00C70E61">
        <w:t>02</w:t>
      </w:r>
      <w:r w:rsidR="00C2519D">
        <w:t>1</w:t>
      </w:r>
      <w:r w:rsidR="000B58CD">
        <w:t>, among co</w:t>
      </w:r>
      <w:r w:rsidR="00596C34">
        <w:t>untries</w:t>
      </w:r>
      <w:r w:rsidR="00C2519D">
        <w:t xml:space="preserve"> with available data</w:t>
      </w:r>
      <w:r w:rsidR="00596C34">
        <w:t>:</w:t>
      </w:r>
      <w:r w:rsidR="004926C7" w:rsidRPr="004926C7">
        <w:rPr>
          <w:rStyle w:val="FootnoteTextChar"/>
        </w:rPr>
        <w:t xml:space="preserve"> </w:t>
      </w:r>
      <w:r w:rsidR="004926C7" w:rsidRPr="00C70E61">
        <w:rPr>
          <w:rStyle w:val="FootnoteReference"/>
        </w:rPr>
        <w:footnoteReference w:id="9"/>
      </w:r>
    </w:p>
    <w:p w14:paraId="2879D93D" w14:textId="3CEB1D65" w:rsidR="00655D26" w:rsidRPr="00C70E61" w:rsidRDefault="00655D26" w:rsidP="00E35CE8">
      <w:pPr>
        <w:pStyle w:val="ListParagraph"/>
        <w:numPr>
          <w:ilvl w:val="0"/>
          <w:numId w:val="3"/>
        </w:numPr>
      </w:pPr>
      <w:r w:rsidRPr="00C70E61">
        <w:t xml:space="preserve">135 out of 180 explicitly </w:t>
      </w:r>
      <w:proofErr w:type="spellStart"/>
      <w:r w:rsidRPr="00C70E61">
        <w:t>criminalise</w:t>
      </w:r>
      <w:proofErr w:type="spellEnd"/>
      <w:r w:rsidRPr="00C70E61">
        <w:t xml:space="preserve"> HIV exposure, non-disclosure or transmission or </w:t>
      </w:r>
      <w:r w:rsidR="001A1EC5" w:rsidRPr="00C70E61">
        <w:t xml:space="preserve">otherwise </w:t>
      </w:r>
      <w:r w:rsidRPr="00C70E61">
        <w:t xml:space="preserve">prosecute based on </w:t>
      </w:r>
      <w:r w:rsidR="001A1EC5" w:rsidRPr="00C70E61">
        <w:t>general criminal laws.</w:t>
      </w:r>
      <w:r w:rsidR="00266C15" w:rsidRPr="00266C15">
        <w:rPr>
          <w:rStyle w:val="FootnoteTextChar"/>
        </w:rPr>
        <w:t xml:space="preserve"> </w:t>
      </w:r>
    </w:p>
    <w:p w14:paraId="5F57B029" w14:textId="6BC98C7A" w:rsidR="001A1EC5" w:rsidRPr="00C70E61" w:rsidRDefault="001A1EC5" w:rsidP="00E35CE8">
      <w:pPr>
        <w:pStyle w:val="ListParagraph"/>
        <w:numPr>
          <w:ilvl w:val="0"/>
          <w:numId w:val="3"/>
        </w:numPr>
      </w:pPr>
      <w:r w:rsidRPr="00C70E61">
        <w:t xml:space="preserve">24 of </w:t>
      </w:r>
      <w:r w:rsidR="0013563F" w:rsidRPr="00C70E61">
        <w:t>1</w:t>
      </w:r>
      <w:r w:rsidR="0013563F">
        <w:t>68</w:t>
      </w:r>
      <w:r w:rsidR="0013563F" w:rsidRPr="00C70E61">
        <w:t xml:space="preserve"> </w:t>
      </w:r>
      <w:r w:rsidR="00762B78" w:rsidRPr="00C70E61">
        <w:t>criminalized and/or prosecuted transgender people.</w:t>
      </w:r>
      <w:r w:rsidR="00266C15" w:rsidRPr="00266C15">
        <w:rPr>
          <w:rStyle w:val="FootnoteTextChar"/>
        </w:rPr>
        <w:t xml:space="preserve"> </w:t>
      </w:r>
    </w:p>
    <w:p w14:paraId="527FAFF2" w14:textId="7FB2D99B" w:rsidR="00762B78" w:rsidRPr="00C70E61" w:rsidRDefault="00762B78" w:rsidP="00E35CE8">
      <w:pPr>
        <w:pStyle w:val="ListParagraph"/>
        <w:numPr>
          <w:ilvl w:val="0"/>
          <w:numId w:val="3"/>
        </w:numPr>
      </w:pPr>
      <w:r w:rsidRPr="00C70E61">
        <w:t>133 out of 147 criminalized at least one aspect of sex work.</w:t>
      </w:r>
      <w:r w:rsidR="00266C15" w:rsidRPr="00266C15">
        <w:rPr>
          <w:rStyle w:val="FootnoteTextChar"/>
        </w:rPr>
        <w:t xml:space="preserve"> </w:t>
      </w:r>
    </w:p>
    <w:p w14:paraId="75A2B114" w14:textId="7EC8EF12" w:rsidR="00762B78" w:rsidRPr="00C70E61" w:rsidRDefault="00320A0B" w:rsidP="00E35CE8">
      <w:pPr>
        <w:pStyle w:val="ListParagraph"/>
        <w:numPr>
          <w:ilvl w:val="0"/>
          <w:numId w:val="3"/>
        </w:numPr>
      </w:pPr>
      <w:r w:rsidRPr="00C70E61">
        <w:t xml:space="preserve">71 </w:t>
      </w:r>
      <w:r w:rsidR="005900F5">
        <w:t xml:space="preserve">of 193 </w:t>
      </w:r>
      <w:r w:rsidRPr="00C70E61">
        <w:t>countries criminalized consensual same-sex sexual activity.</w:t>
      </w:r>
      <w:r w:rsidR="007E4B40">
        <w:rPr>
          <w:rStyle w:val="FootnoteReference"/>
        </w:rPr>
        <w:footnoteReference w:id="10"/>
      </w:r>
      <w:r w:rsidRPr="00C70E61">
        <w:t xml:space="preserve"> </w:t>
      </w:r>
    </w:p>
    <w:p w14:paraId="6F3E1DFF" w14:textId="548419F4" w:rsidR="00E35CE8" w:rsidRDefault="004F0F67" w:rsidP="00CA66E7">
      <w:pPr>
        <w:pStyle w:val="ListParagraph"/>
        <w:numPr>
          <w:ilvl w:val="0"/>
          <w:numId w:val="3"/>
        </w:numPr>
      </w:pPr>
      <w:r w:rsidRPr="00C70E61">
        <w:t>65 of 87 criminaliz</w:t>
      </w:r>
      <w:r w:rsidR="002A2E06">
        <w:t>ed</w:t>
      </w:r>
      <w:r w:rsidRPr="00C70E61">
        <w:t xml:space="preserve"> possession of small amounts of drugs for personal use.</w:t>
      </w:r>
    </w:p>
    <w:p w14:paraId="0CFFAC5C" w14:textId="4BC01535" w:rsidR="00B634AE" w:rsidRDefault="00B634AE" w:rsidP="00CA66E7">
      <w:pPr>
        <w:pStyle w:val="ListParagraph"/>
        <w:numPr>
          <w:ilvl w:val="0"/>
          <w:numId w:val="3"/>
        </w:numPr>
      </w:pPr>
      <w:r w:rsidRPr="00C70E61">
        <w:t>108 requir</w:t>
      </w:r>
      <w:r w:rsidR="00EC7805">
        <w:t>ed</w:t>
      </w:r>
      <w:r w:rsidRPr="00C70E61">
        <w:t xml:space="preserve"> parental/guardian consent to access an HIV test</w:t>
      </w:r>
      <w:r w:rsidR="00640E34" w:rsidRPr="00C70E61">
        <w:t xml:space="preserve"> </w:t>
      </w:r>
      <w:r w:rsidR="002464EE">
        <w:t xml:space="preserve">among adolescents and young people </w:t>
      </w:r>
      <w:r w:rsidR="00640E34" w:rsidRPr="00C70E61">
        <w:t xml:space="preserve">and 40 countries reported having laws requiring </w:t>
      </w:r>
      <w:r w:rsidR="00846B06">
        <w:t xml:space="preserve">parental/guardian </w:t>
      </w:r>
      <w:r w:rsidR="00640E34" w:rsidRPr="00C70E61">
        <w:t>consent for accessing hormonal or long-lasting contraceptives.</w:t>
      </w:r>
      <w:r w:rsidR="00146F90" w:rsidRPr="00C70E61">
        <w:rPr>
          <w:rStyle w:val="FootnoteReference"/>
        </w:rPr>
        <w:footnoteReference w:id="11"/>
      </w:r>
    </w:p>
    <w:p w14:paraId="48E493A6" w14:textId="069B702B" w:rsidR="009E0709" w:rsidRPr="00C70E61" w:rsidRDefault="009E0709" w:rsidP="00CA66E7">
      <w:pPr>
        <w:pStyle w:val="ListParagraph"/>
        <w:numPr>
          <w:ilvl w:val="0"/>
          <w:numId w:val="3"/>
        </w:numPr>
      </w:pPr>
      <w:r>
        <w:t>4</w:t>
      </w:r>
      <w:r w:rsidR="00481705">
        <w:t>6</w:t>
      </w:r>
      <w:r>
        <w:t xml:space="preserve"> have HIV-related travel restrictions.</w:t>
      </w:r>
    </w:p>
    <w:p w14:paraId="31C00CBA" w14:textId="7033904E" w:rsidR="004254EB" w:rsidRPr="00C70E61" w:rsidRDefault="00F44605" w:rsidP="00CA66E7">
      <w:r w:rsidRPr="00C70E61">
        <w:t xml:space="preserve">The target also calls for </w:t>
      </w:r>
      <w:r w:rsidR="00696F76" w:rsidRPr="00C70E61">
        <w:t xml:space="preserve">more than 90% of people living with HIV and </w:t>
      </w:r>
      <w:r w:rsidR="00707CC6">
        <w:t>k</w:t>
      </w:r>
      <w:r w:rsidR="00696F76" w:rsidRPr="00C70E61">
        <w:t xml:space="preserve">ey </w:t>
      </w:r>
      <w:r w:rsidR="00707CC6">
        <w:t>p</w:t>
      </w:r>
      <w:r w:rsidR="00696F76" w:rsidRPr="00C70E61">
        <w:t>opulations to have access to legal services</w:t>
      </w:r>
      <w:r w:rsidR="000742F9">
        <w:t xml:space="preserve">, </w:t>
      </w:r>
      <w:r w:rsidR="00026472">
        <w:t>for</w:t>
      </w:r>
      <w:r w:rsidR="00473C19">
        <w:t xml:space="preserve"> </w:t>
      </w:r>
      <w:r w:rsidR="000742F9">
        <w:t xml:space="preserve">more than 90% of countries to have </w:t>
      </w:r>
      <w:r w:rsidR="00696F76" w:rsidRPr="00C70E61">
        <w:t xml:space="preserve">mechanisms for people living with HIV and </w:t>
      </w:r>
      <w:r w:rsidR="000742F9">
        <w:t xml:space="preserve">for </w:t>
      </w:r>
      <w:r w:rsidR="00696F76" w:rsidRPr="00C70E61">
        <w:t xml:space="preserve">key populations to </w:t>
      </w:r>
      <w:r w:rsidR="000742F9">
        <w:t xml:space="preserve">be able to </w:t>
      </w:r>
      <w:r w:rsidR="00696F76" w:rsidRPr="00C70E61">
        <w:t xml:space="preserve">report abuse and discrimination and seek redress by 2025. </w:t>
      </w:r>
      <w:r w:rsidR="00425952" w:rsidRPr="00C70E61">
        <w:t>In 2021, 95 of 131 reporting countries stated that government-established formal mechanisms were in place</w:t>
      </w:r>
      <w:r w:rsidR="008C3306">
        <w:t xml:space="preserve"> to report abuse and seek redress.</w:t>
      </w:r>
      <w:r w:rsidR="00425952" w:rsidRPr="00C70E61">
        <w:t xml:space="preserve"> In 53 countries, civil society reported that communities and/or nongovernmental organizations had established mechanisms to record and address individual complaints. Overall, 116 (60%) countries reported that a formal and/or informal mechanism existed to address cases or individual </w:t>
      </w:r>
      <w:r w:rsidR="00425952" w:rsidRPr="00C70E61">
        <w:lastRenderedPageBreak/>
        <w:t>complaints of HIV-related discrimination.</w:t>
      </w:r>
      <w:r w:rsidR="00216922" w:rsidRPr="00C70E61">
        <w:rPr>
          <w:rStyle w:val="FootnoteReference"/>
        </w:rPr>
        <w:footnoteReference w:id="12"/>
      </w:r>
      <w:r w:rsidR="008362D6">
        <w:t xml:space="preserve"> However, the target also requires that such systems be accessible. </w:t>
      </w:r>
      <w:r w:rsidR="00793FEC">
        <w:t xml:space="preserve">In 2021, civil society groups </w:t>
      </w:r>
      <w:r w:rsidR="00D77651">
        <w:t xml:space="preserve">reported </w:t>
      </w:r>
      <w:r w:rsidR="00AB5883">
        <w:t xml:space="preserve">the following barriers: In 64 countries the mechanisms do not function, </w:t>
      </w:r>
      <w:r w:rsidR="000F7E03">
        <w:t xml:space="preserve">they </w:t>
      </w:r>
      <w:r w:rsidR="00D77651">
        <w:t xml:space="preserve">are not </w:t>
      </w:r>
      <w:r w:rsidR="0034465F">
        <w:t xml:space="preserve">HIV </w:t>
      </w:r>
      <w:r w:rsidR="00D77651">
        <w:t xml:space="preserve">sensitive in 55 countries, affordability constraints in </w:t>
      </w:r>
      <w:r w:rsidR="00C73F81">
        <w:t>31 countries, in 113 countries the awareness or knowledge of how to use such mechanisms is limited.</w:t>
      </w:r>
      <w:r w:rsidR="00C73F81">
        <w:rPr>
          <w:rStyle w:val="FootnoteReference"/>
        </w:rPr>
        <w:footnoteReference w:id="13"/>
      </w:r>
      <w:r w:rsidR="00C73F81">
        <w:t xml:space="preserve"> </w:t>
      </w:r>
    </w:p>
    <w:p w14:paraId="72A9DDA4" w14:textId="26132574" w:rsidR="00B634AE" w:rsidRPr="001105C0" w:rsidRDefault="00B634AE" w:rsidP="00CA66E7">
      <w:pPr>
        <w:rPr>
          <w:i/>
          <w:iCs/>
        </w:rPr>
      </w:pPr>
      <w:r w:rsidRPr="001105C0">
        <w:rPr>
          <w:i/>
          <w:iCs/>
        </w:rPr>
        <w:t>Stigma and Discrimination</w:t>
      </w:r>
    </w:p>
    <w:p w14:paraId="6D1B2554" w14:textId="2650BCC3" w:rsidR="00134EA5" w:rsidRPr="00C70E61" w:rsidRDefault="00C45DC3" w:rsidP="00CA66E7">
      <w:r>
        <w:t>Despite</w:t>
      </w:r>
      <w:r w:rsidRPr="00FC5F92">
        <w:t xml:space="preserve"> </w:t>
      </w:r>
      <w:r w:rsidR="005F3677">
        <w:t>progress</w:t>
      </w:r>
      <w:r w:rsidR="00FC5F92" w:rsidRPr="00FC5F92">
        <w:t xml:space="preserve"> in some countries, </w:t>
      </w:r>
      <w:r w:rsidR="00340665">
        <w:t xml:space="preserve">HIV related </w:t>
      </w:r>
      <w:r w:rsidR="00FC5F92" w:rsidRPr="00FC5F92">
        <w:t xml:space="preserve">stigma persists at extremely high levels. </w:t>
      </w:r>
      <w:r w:rsidR="000D0441">
        <w:t>In 52 of 58 countries with recent population-based survey data, more than 25% of people aged 15–49 years reported holding discriminatory attitudes towards people living with HIV, and more than 50% held discriminatory attitudes in 36 of 58 countries</w:t>
      </w:r>
      <w:r w:rsidR="00FC5F92" w:rsidRPr="00FC5F92">
        <w:t>.</w:t>
      </w:r>
      <w:r w:rsidR="003C49A0">
        <w:rPr>
          <w:rStyle w:val="FootnoteReference"/>
        </w:rPr>
        <w:footnoteReference w:id="14"/>
      </w:r>
      <w:r w:rsidR="00FC5F92" w:rsidRPr="00FC5F92">
        <w:t xml:space="preserve"> </w:t>
      </w:r>
      <w:r w:rsidR="00570852">
        <w:t xml:space="preserve"> </w:t>
      </w:r>
      <w:r w:rsidR="00FC5F92" w:rsidRPr="00FC5F92">
        <w:t>Health care settings represent a common setting for HIV-related discrimination, with the proportion of people</w:t>
      </w:r>
      <w:r w:rsidR="00F851DF">
        <w:t xml:space="preserve"> living with HIV</w:t>
      </w:r>
      <w:r w:rsidR="00FC5F92" w:rsidRPr="00FC5F92">
        <w:t xml:space="preserve"> in 13 countries reporting being denied health services at least once in the previous 12 months ranging from 1.7% to as high as 21%.</w:t>
      </w:r>
      <w:r w:rsidR="006E69DA">
        <w:rPr>
          <w:rStyle w:val="FootnoteReference"/>
        </w:rPr>
        <w:footnoteReference w:id="15"/>
      </w:r>
      <w:r w:rsidR="00FC5F92">
        <w:t xml:space="preserve"> </w:t>
      </w:r>
      <w:r w:rsidR="000F7E03">
        <w:t xml:space="preserve"> </w:t>
      </w:r>
      <w:r w:rsidR="00134EA5" w:rsidRPr="00C70E61">
        <w:t>Across all key populations, at least one in three reporting countries stated that more than 10% of respondents avoided health care, including three in four countries for people who inject drugs.</w:t>
      </w:r>
      <w:r w:rsidR="00134EA5" w:rsidRPr="00C70E61">
        <w:rPr>
          <w:rStyle w:val="FootnoteReference"/>
        </w:rPr>
        <w:footnoteReference w:id="16"/>
      </w:r>
      <w:r w:rsidR="00134EA5" w:rsidRPr="00C70E61">
        <w:t xml:space="preserve"> </w:t>
      </w:r>
    </w:p>
    <w:p w14:paraId="008B9651" w14:textId="6E533746" w:rsidR="009641F9" w:rsidRPr="001105C0" w:rsidRDefault="009641F9" w:rsidP="00CA66E7">
      <w:pPr>
        <w:rPr>
          <w:i/>
          <w:iCs/>
        </w:rPr>
      </w:pPr>
      <w:r w:rsidRPr="001105C0">
        <w:rPr>
          <w:i/>
          <w:iCs/>
        </w:rPr>
        <w:t>Violence</w:t>
      </w:r>
      <w:r w:rsidR="002510E3" w:rsidRPr="001105C0">
        <w:rPr>
          <w:i/>
          <w:iCs/>
        </w:rPr>
        <w:t xml:space="preserve"> and Gender </w:t>
      </w:r>
      <w:r w:rsidR="000F7E03">
        <w:rPr>
          <w:i/>
          <w:iCs/>
        </w:rPr>
        <w:t>Ine</w:t>
      </w:r>
      <w:r w:rsidR="002510E3" w:rsidRPr="001105C0">
        <w:rPr>
          <w:i/>
          <w:iCs/>
        </w:rPr>
        <w:t>quality</w:t>
      </w:r>
    </w:p>
    <w:p w14:paraId="31CA0183" w14:textId="75231D68" w:rsidR="008A537A" w:rsidRDefault="007C6EC7" w:rsidP="00CA66E7">
      <w:r w:rsidRPr="00C70E61">
        <w:t xml:space="preserve">Gender-based discrimination and violence against women and adolescent girls, as well as </w:t>
      </w:r>
      <w:r w:rsidR="00BB4839">
        <w:t>key populations</w:t>
      </w:r>
      <w:r w:rsidRPr="00C70E61">
        <w:t xml:space="preserve">, living with or at high risk of acquiring HIV remain pervasive globally. </w:t>
      </w:r>
      <w:r w:rsidR="009641F9" w:rsidRPr="00C70E61">
        <w:t xml:space="preserve">Globally, more than one in 10 (13%) </w:t>
      </w:r>
      <w:r w:rsidR="00240BA6">
        <w:t xml:space="preserve">of </w:t>
      </w:r>
      <w:proofErr w:type="gramStart"/>
      <w:r w:rsidR="009641F9" w:rsidRPr="00C70E61">
        <w:t>ever-married</w:t>
      </w:r>
      <w:proofErr w:type="gramEnd"/>
      <w:r w:rsidR="009641F9" w:rsidRPr="00C70E61">
        <w:t xml:space="preserve"> or partnered women (aged 15 to 49 years) have experienced physical and/or sexual violence by an intimate partner in the previous 12 months.</w:t>
      </w:r>
      <w:r w:rsidR="00EB020D" w:rsidRPr="00C70E61">
        <w:rPr>
          <w:rStyle w:val="FootnoteReference"/>
        </w:rPr>
        <w:footnoteReference w:id="17"/>
      </w:r>
      <w:r w:rsidR="009641F9" w:rsidRPr="00C70E61">
        <w:t xml:space="preserve"> Only seven of 43 countries with data available between 2015 and 2020 </w:t>
      </w:r>
      <w:r w:rsidR="008D517F">
        <w:t>currently meet</w:t>
      </w:r>
      <w:r w:rsidR="009641F9" w:rsidRPr="00C70E61">
        <w:t xml:space="preserve"> the 2025 target of less than 10%.</w:t>
      </w:r>
      <w:r w:rsidR="0064703C" w:rsidRPr="00C70E61">
        <w:rPr>
          <w:rStyle w:val="FootnoteReference"/>
        </w:rPr>
        <w:footnoteReference w:id="18"/>
      </w:r>
      <w:r w:rsidR="007325DA" w:rsidRPr="00C70E61">
        <w:t xml:space="preserve"> </w:t>
      </w:r>
    </w:p>
    <w:p w14:paraId="3AEF6608" w14:textId="310BF286" w:rsidR="009641F9" w:rsidRPr="00C70E61" w:rsidRDefault="00896094" w:rsidP="00CA66E7">
      <w:r>
        <w:t xml:space="preserve">More than half of sex workers report having experienced physical violence in eight of 36 countries with recently available data. </w:t>
      </w:r>
      <w:r w:rsidR="00E608FC" w:rsidRPr="00C70E61">
        <w:t xml:space="preserve">Women who inject drugs face high levels of physical and sexual violence, which contributes to their high risk of HIV, but they are often ignored by harm reduction </w:t>
      </w:r>
      <w:proofErr w:type="spellStart"/>
      <w:r w:rsidR="00E608FC" w:rsidRPr="00C70E61">
        <w:t>programmes</w:t>
      </w:r>
      <w:proofErr w:type="spellEnd"/>
      <w:r w:rsidR="00E608FC" w:rsidRPr="00C70E61">
        <w:t>.</w:t>
      </w:r>
      <w:r w:rsidR="00E608FC" w:rsidRPr="00C70E61">
        <w:rPr>
          <w:rStyle w:val="FootnoteReference"/>
        </w:rPr>
        <w:footnoteReference w:id="19"/>
      </w:r>
      <w:r w:rsidR="00E608FC">
        <w:t xml:space="preserve"> </w:t>
      </w:r>
      <w:r w:rsidR="00E608FC" w:rsidRPr="00C70E61">
        <w:t xml:space="preserve">There are no comprehensive </w:t>
      </w:r>
      <w:r w:rsidR="008A55DA">
        <w:t>nor</w:t>
      </w:r>
      <w:r w:rsidR="00E608FC" w:rsidRPr="00C70E61">
        <w:t xml:space="preserve"> systematic data on the number of victims of violence</w:t>
      </w:r>
      <w:r w:rsidR="00E608FC">
        <w:t xml:space="preserve"> based on sexual orientation and gender identity</w:t>
      </w:r>
      <w:r w:rsidR="00E608FC" w:rsidRPr="00C70E61">
        <w:t>, but a UN-appointed Independent Expert has estimated that there are millions every year.</w:t>
      </w:r>
      <w:r w:rsidR="00E608FC" w:rsidRPr="00C70E61">
        <w:rPr>
          <w:rStyle w:val="FootnoteReference"/>
        </w:rPr>
        <w:footnoteReference w:id="20"/>
      </w:r>
      <w:r>
        <w:t xml:space="preserve"> High rates of violence</w:t>
      </w:r>
      <w:r w:rsidR="00A6319B">
        <w:t>, including intimate partner violence,</w:t>
      </w:r>
      <w:r>
        <w:t xml:space="preserve"> against transgender </w:t>
      </w:r>
      <w:r>
        <w:lastRenderedPageBreak/>
        <w:t>people and people who inject drugs have also been reported in the limited number of countries with relevant data are available.</w:t>
      </w:r>
      <w:r w:rsidR="00406D79">
        <w:rPr>
          <w:rStyle w:val="FootnoteReference"/>
        </w:rPr>
        <w:footnoteReference w:id="21"/>
      </w:r>
      <w:r w:rsidR="00A6319B">
        <w:t xml:space="preserve"> </w:t>
      </w:r>
      <w:r w:rsidR="00665D59" w:rsidRPr="00C70E61">
        <w:rPr>
          <w:rStyle w:val="FootnoteReference"/>
        </w:rPr>
        <w:footnoteReference w:id="22"/>
      </w:r>
      <w:r w:rsidR="00665D59" w:rsidRPr="00C70E61">
        <w:t xml:space="preserve"> </w:t>
      </w:r>
      <w:r w:rsidR="00665D59" w:rsidRPr="00C70E61">
        <w:rPr>
          <w:rStyle w:val="FootnoteReference"/>
        </w:rPr>
        <w:footnoteReference w:id="23"/>
      </w:r>
      <w:r w:rsidR="00665D59" w:rsidRPr="00C70E61">
        <w:t xml:space="preserve"> </w:t>
      </w:r>
      <w:r w:rsidR="00665D59" w:rsidRPr="00C70E61">
        <w:rPr>
          <w:rStyle w:val="FootnoteReference"/>
        </w:rPr>
        <w:footnoteReference w:id="24"/>
      </w:r>
      <w:r w:rsidR="00D23694" w:rsidRPr="00C70E61">
        <w:t xml:space="preserve"> </w:t>
      </w:r>
      <w:r w:rsidR="00D23694" w:rsidRPr="00C70E61">
        <w:rPr>
          <w:rStyle w:val="FootnoteReference"/>
        </w:rPr>
        <w:footnoteReference w:id="25"/>
      </w:r>
      <w:r w:rsidR="00DA6011" w:rsidRPr="00C70E61">
        <w:t xml:space="preserve"> </w:t>
      </w:r>
      <w:r w:rsidR="004C08FD" w:rsidRPr="00C70E61">
        <w:rPr>
          <w:rStyle w:val="FootnoteReference"/>
        </w:rPr>
        <w:footnoteReference w:id="26"/>
      </w:r>
      <w:r w:rsidR="00A6319B">
        <w:t xml:space="preserve"> </w:t>
      </w:r>
      <w:r w:rsidR="004C08FD" w:rsidRPr="00C70E61">
        <w:rPr>
          <w:rStyle w:val="FootnoteReference"/>
        </w:rPr>
        <w:footnoteReference w:id="27"/>
      </w:r>
    </w:p>
    <w:p w14:paraId="14D8C561" w14:textId="103BE2AF" w:rsidR="002510E3" w:rsidRPr="00B77B90" w:rsidRDefault="00765FCF" w:rsidP="00CA66E7">
      <w:r>
        <w:t xml:space="preserve">Harmful gender norms </w:t>
      </w:r>
      <w:r w:rsidR="006468C9">
        <w:t xml:space="preserve">persist across many countries. Among </w:t>
      </w:r>
      <w:r w:rsidR="002510E3" w:rsidRPr="00C70E61">
        <w:t xml:space="preserve">36 countries with available data, the percentage of young women (aged 15 to 24 years) who agreed that a husband is justified to strike or beat his wife for at least one specific reason ranged </w:t>
      </w:r>
      <w:r w:rsidR="002510E3" w:rsidRPr="00B77B90">
        <w:t>from 3% to 80%.</w:t>
      </w:r>
      <w:r w:rsidR="00DB6A77" w:rsidRPr="00B77B90">
        <w:t xml:space="preserve"> </w:t>
      </w:r>
      <w:r w:rsidR="00FF4F52" w:rsidRPr="00B77B90">
        <w:t>In only one country did less than 10% of men believe a hus</w:t>
      </w:r>
      <w:r w:rsidR="00E17305" w:rsidRPr="00B77B90">
        <w:t xml:space="preserve">band was justified in striking or beating his wife, and in only 4 countries did less than 10% of women believe a husband </w:t>
      </w:r>
      <w:r w:rsidR="005D6F3D" w:rsidRPr="00B77B90">
        <w:t>was justified in beating his wife.</w:t>
      </w:r>
      <w:r w:rsidR="005D6F3D" w:rsidRPr="00B77B90">
        <w:rPr>
          <w:rStyle w:val="FootnoteReference"/>
        </w:rPr>
        <w:footnoteReference w:id="28"/>
      </w:r>
    </w:p>
    <w:p w14:paraId="6603B299" w14:textId="51B5F506" w:rsidR="00840A01" w:rsidRDefault="00840A01" w:rsidP="00CA66E7">
      <w:r w:rsidRPr="00B77B90">
        <w:t xml:space="preserve">Women living with HIV are especially susceptible to institutional violence, mistreatment and reproductive rights violations in health-care settings, including </w:t>
      </w:r>
      <w:r w:rsidR="000260A1" w:rsidRPr="00B77B90">
        <w:t>coerced</w:t>
      </w:r>
      <w:r w:rsidRPr="00B77B90">
        <w:t xml:space="preserve"> sterilization and </w:t>
      </w:r>
      <w:r w:rsidR="00A308AD" w:rsidRPr="00B77B90">
        <w:t xml:space="preserve">obstetric </w:t>
      </w:r>
      <w:r w:rsidR="00C034AE" w:rsidRPr="00B77B90">
        <w:t>violence</w:t>
      </w:r>
      <w:r w:rsidR="008371EB" w:rsidRPr="00B77B90">
        <w:t xml:space="preserve"> </w:t>
      </w:r>
      <w:r w:rsidR="00BC2ABF" w:rsidRPr="00B77B90">
        <w:t>and forced abo</w:t>
      </w:r>
      <w:r w:rsidR="000030C2" w:rsidRPr="00B77B90">
        <w:t>r</w:t>
      </w:r>
      <w:r w:rsidR="00BC2ABF" w:rsidRPr="00B77B90">
        <w:t xml:space="preserve">tions </w:t>
      </w:r>
      <w:r w:rsidR="008371EB" w:rsidRPr="00B77B90">
        <w:t>have been reported in over 31 countries</w:t>
      </w:r>
      <w:r w:rsidRPr="00B77B90">
        <w:t>.</w:t>
      </w:r>
      <w:r w:rsidR="005F4F66" w:rsidRPr="00B77B90">
        <w:rPr>
          <w:rStyle w:val="FootnoteReference"/>
        </w:rPr>
        <w:footnoteReference w:id="29"/>
      </w:r>
      <w:r w:rsidR="008371EB" w:rsidRPr="00B77B90">
        <w:t xml:space="preserve"> </w:t>
      </w:r>
      <w:r w:rsidR="008371EB" w:rsidRPr="00B77B90">
        <w:rPr>
          <w:rStyle w:val="FootnoteReference"/>
        </w:rPr>
        <w:footnoteReference w:id="30"/>
      </w:r>
      <w:r w:rsidR="009B1C5D" w:rsidRPr="00B77B90">
        <w:t xml:space="preserve"> A study in 2019 in seven countries </w:t>
      </w:r>
      <w:r w:rsidR="000B0645" w:rsidRPr="00B77B90">
        <w:t>in Latin America</w:t>
      </w:r>
      <w:r w:rsidR="00651606" w:rsidRPr="00B77B90">
        <w:t xml:space="preserve"> among women living with HIV found that more than 20% of women said they had felt</w:t>
      </w:r>
      <w:r w:rsidR="00651606">
        <w:t xml:space="preserve"> coerced to undergo sterilization and/or abortion, and 48% said they had been denied cervical can</w:t>
      </w:r>
      <w:r w:rsidR="00C8191A">
        <w:t>cer or breast cancer services due to their HIV status.</w:t>
      </w:r>
      <w:r w:rsidR="00C8191A">
        <w:rPr>
          <w:rStyle w:val="FootnoteReference"/>
        </w:rPr>
        <w:footnoteReference w:id="31"/>
      </w:r>
      <w:r w:rsidR="000B0645">
        <w:t xml:space="preserve"> </w:t>
      </w:r>
    </w:p>
    <w:p w14:paraId="5DAAC360" w14:textId="651F529D" w:rsidR="00CA5F57" w:rsidRPr="000B0645" w:rsidRDefault="00F474A6" w:rsidP="00CA66E7">
      <w:pPr>
        <w:rPr>
          <w:b/>
          <w:bCs/>
        </w:rPr>
      </w:pPr>
      <w:r>
        <w:rPr>
          <w:b/>
          <w:bCs/>
        </w:rPr>
        <w:t>BEST PRACTICES AND GAPS</w:t>
      </w:r>
    </w:p>
    <w:p w14:paraId="063E7DF8" w14:textId="77777777" w:rsidR="00A504A8" w:rsidRPr="00F474A6" w:rsidRDefault="00A504A8" w:rsidP="00CA66E7">
      <w:pPr>
        <w:rPr>
          <w:b/>
          <w:bCs/>
        </w:rPr>
      </w:pPr>
      <w:r w:rsidRPr="00F474A6">
        <w:rPr>
          <w:b/>
          <w:bCs/>
        </w:rPr>
        <w:t>Human Rights Based Approach</w:t>
      </w:r>
    </w:p>
    <w:p w14:paraId="1E66E8A5" w14:textId="449A8D20" w:rsidR="0003172E" w:rsidRDefault="00360EB9" w:rsidP="00CA66E7">
      <w:r>
        <w:t>As noted in the Political Declaration,</w:t>
      </w:r>
      <w:r w:rsidR="00C56968" w:rsidRPr="00C70E61">
        <w:t xml:space="preserve"> the </w:t>
      </w:r>
      <w:r>
        <w:t>HIV pandemic</w:t>
      </w:r>
      <w:r w:rsidR="00C56968" w:rsidRPr="00C70E61">
        <w:t xml:space="preserve"> continues to confirm that the relationship between HIV and Human Rights is profound.</w:t>
      </w:r>
      <w:r w:rsidR="005808A6" w:rsidRPr="00C70E61">
        <w:t xml:space="preserve"> </w:t>
      </w:r>
      <w:r w:rsidR="005A6DA4" w:rsidRPr="00C70E61">
        <w:t xml:space="preserve">A human rights-based </w:t>
      </w:r>
      <w:r w:rsidR="00994B85" w:rsidRPr="00C70E61">
        <w:t xml:space="preserve">response </w:t>
      </w:r>
      <w:r w:rsidR="00F8358F" w:rsidRPr="00C70E61">
        <w:t>is necessary to</w:t>
      </w:r>
      <w:r w:rsidR="005C67BB">
        <w:t xml:space="preserve"> successfully</w:t>
      </w:r>
      <w:r w:rsidR="00F8358F" w:rsidRPr="00C70E61">
        <w:t xml:space="preserve"> </w:t>
      </w:r>
      <w:r w:rsidR="00FD28F2" w:rsidRPr="00C70E61">
        <w:t xml:space="preserve">confront and remove those violations of human rights which increase vulnerability to </w:t>
      </w:r>
      <w:proofErr w:type="gramStart"/>
      <w:r w:rsidR="00FD28F2" w:rsidRPr="00C70E61">
        <w:t>HIV</w:t>
      </w:r>
      <w:proofErr w:type="gramEnd"/>
      <w:r w:rsidR="00FD28F2" w:rsidRPr="00C70E61">
        <w:t xml:space="preserve"> </w:t>
      </w:r>
      <w:r w:rsidR="00C65240">
        <w:t xml:space="preserve">or which </w:t>
      </w:r>
      <w:r w:rsidR="00A548EE" w:rsidRPr="00C70E61">
        <w:t xml:space="preserve">continue to impact on people living with HIV. </w:t>
      </w:r>
      <w:r w:rsidR="005C67BB">
        <w:t>P</w:t>
      </w:r>
      <w:r w:rsidR="00D675C3" w:rsidRPr="00C70E61">
        <w:t xml:space="preserve">olicies and </w:t>
      </w:r>
      <w:proofErr w:type="spellStart"/>
      <w:r w:rsidR="00D675C3" w:rsidRPr="00C70E61">
        <w:t>programmes</w:t>
      </w:r>
      <w:proofErr w:type="spellEnd"/>
      <w:r w:rsidR="00D675C3" w:rsidRPr="00C70E61">
        <w:t xml:space="preserve"> </w:t>
      </w:r>
      <w:r w:rsidR="005C67BB">
        <w:t xml:space="preserve">must be </w:t>
      </w:r>
      <w:r w:rsidR="00D675C3" w:rsidRPr="00C70E61">
        <w:t xml:space="preserve">developed and implemented through a participatory process, in a manner that </w:t>
      </w:r>
      <w:r w:rsidR="00590E07" w:rsidRPr="00C70E61">
        <w:t>protects against discrimination, leaving no-one behind.</w:t>
      </w:r>
      <w:r w:rsidR="0003172E">
        <w:t xml:space="preserve"> </w:t>
      </w:r>
    </w:p>
    <w:p w14:paraId="4DA7482F" w14:textId="6246CEF5" w:rsidR="005A6DA4" w:rsidRDefault="00EC0FC0" w:rsidP="00741906">
      <w:r w:rsidRPr="00C70E61">
        <w:t xml:space="preserve">Numerous guidelines have been developed to assist countries in pursuing a rights-based approach to issues that impact upon HIV, including the </w:t>
      </w:r>
      <w:hyperlink r:id="rId12" w:history="1">
        <w:r w:rsidRPr="00C70E61">
          <w:rPr>
            <w:rStyle w:val="Hyperlink"/>
          </w:rPr>
          <w:t>International Guidelines on Human Rights and Drug Policy</w:t>
        </w:r>
      </w:hyperlink>
      <w:r w:rsidR="00ED173D" w:rsidRPr="00C70E61">
        <w:t xml:space="preserve">, the </w:t>
      </w:r>
      <w:hyperlink r:id="rId13" w:history="1">
        <w:r w:rsidR="00ED173D" w:rsidRPr="00C70E61">
          <w:rPr>
            <w:rStyle w:val="Hyperlink"/>
          </w:rPr>
          <w:t>International Guidelines on HIV and Human Rights</w:t>
        </w:r>
      </w:hyperlink>
      <w:r w:rsidR="00483F75" w:rsidRPr="00C70E61">
        <w:t xml:space="preserve">, the </w:t>
      </w:r>
      <w:hyperlink r:id="rId14" w:history="1">
        <w:r w:rsidR="00483F75" w:rsidRPr="00C70E61">
          <w:rPr>
            <w:rStyle w:val="Hyperlink"/>
          </w:rPr>
          <w:t>report</w:t>
        </w:r>
      </w:hyperlink>
      <w:r w:rsidR="00483F75" w:rsidRPr="00C70E61">
        <w:t xml:space="preserve"> and </w:t>
      </w:r>
      <w:hyperlink r:id="rId15" w:history="1">
        <w:r w:rsidR="00483F75" w:rsidRPr="00C70E61">
          <w:rPr>
            <w:rStyle w:val="Hyperlink"/>
          </w:rPr>
          <w:t>supplement</w:t>
        </w:r>
      </w:hyperlink>
      <w:r w:rsidR="00483F75" w:rsidRPr="00C70E61">
        <w:t xml:space="preserve"> of the Global Commission on HIV and the Law</w:t>
      </w:r>
      <w:r w:rsidR="001A4971" w:rsidRPr="00C70E61">
        <w:t xml:space="preserve"> and the African Commission on </w:t>
      </w:r>
      <w:hyperlink r:id="rId16" w:history="1">
        <w:r w:rsidR="001A4971" w:rsidRPr="00C70E61">
          <w:rPr>
            <w:rStyle w:val="Hyperlink"/>
          </w:rPr>
          <w:t xml:space="preserve">HIV and the Law’s HIV, the Law and Human Rights in </w:t>
        </w:r>
        <w:r w:rsidR="001A4971" w:rsidRPr="00C70E61">
          <w:rPr>
            <w:rStyle w:val="Hyperlink"/>
          </w:rPr>
          <w:lastRenderedPageBreak/>
          <w:t>the African Human Rights System: Key Challenges and Opportunities for Rights-Based Responses</w:t>
        </w:r>
      </w:hyperlink>
      <w:r w:rsidR="00F474A6">
        <w:t xml:space="preserve"> and </w:t>
      </w:r>
      <w:r w:rsidR="00234D5D">
        <w:t xml:space="preserve">WHO in 2017 released </w:t>
      </w:r>
      <w:hyperlink r:id="rId17" w:history="1">
        <w:r w:rsidR="00234D5D" w:rsidRPr="00F474A6">
          <w:rPr>
            <w:rStyle w:val="Hyperlink"/>
          </w:rPr>
          <w:t>Consolidated Guideline on Sexual and Reproductive Health and Rights of Women Living with HIV</w:t>
        </w:r>
      </w:hyperlink>
      <w:r w:rsidR="00234D5D">
        <w:t xml:space="preserve">. </w:t>
      </w:r>
      <w:r w:rsidR="00436962" w:rsidRPr="00C70E61">
        <w:t xml:space="preserve"> </w:t>
      </w:r>
      <w:r w:rsidR="00741906">
        <w:t xml:space="preserve">UNDP, with the UNAIDS Secretariat and partners such as the HIV Justice Network and the International Association of Prosecutors, developed </w:t>
      </w:r>
      <w:hyperlink r:id="rId18" w:history="1">
        <w:r w:rsidR="00741906" w:rsidRPr="00855974">
          <w:rPr>
            <w:rStyle w:val="Hyperlink"/>
          </w:rPr>
          <w:t>guidance for prosecutors for limiting the overly-broad use of criminal law in HIV-related cases</w:t>
        </w:r>
      </w:hyperlink>
      <w:r w:rsidR="00741906">
        <w:t xml:space="preserve">. </w:t>
      </w:r>
      <w:r w:rsidR="00436962" w:rsidRPr="00C70E61">
        <w:t xml:space="preserve">UNAIDS has also developed a series of human rights fact sheets bringing together </w:t>
      </w:r>
      <w:r w:rsidR="00910498" w:rsidRPr="00C70E61">
        <w:t>key evidence, data, norms and standards relating to a human rights-based approach to HIV</w:t>
      </w:r>
      <w:r w:rsidR="005D43CC" w:rsidRPr="00C70E61">
        <w:rPr>
          <w:rStyle w:val="FootnoteReference"/>
        </w:rPr>
        <w:footnoteReference w:id="32"/>
      </w:r>
      <w:r w:rsidR="00910498" w:rsidRPr="00C70E61">
        <w:t xml:space="preserve">, as well as </w:t>
      </w:r>
      <w:r w:rsidR="00972D00">
        <w:t xml:space="preserve">a </w:t>
      </w:r>
      <w:r w:rsidR="00910498" w:rsidRPr="00C70E61">
        <w:t>comprehensive guidance</w:t>
      </w:r>
      <w:r w:rsidR="00BF5BE0" w:rsidRPr="00C70E61">
        <w:t xml:space="preserve"> </w:t>
      </w:r>
      <w:r w:rsidR="00972D00">
        <w:t>for mainstreaming human rights in HIV programming (</w:t>
      </w:r>
      <w:r w:rsidR="00BF5BE0" w:rsidRPr="00C70E61">
        <w:t xml:space="preserve"> </w:t>
      </w:r>
      <w:hyperlink r:id="rId19" w:history="1">
        <w:r w:rsidR="00BF5BE0" w:rsidRPr="00C70E61">
          <w:rPr>
            <w:rStyle w:val="Hyperlink"/>
          </w:rPr>
          <w:t>Fast-Track and Human Rights</w:t>
        </w:r>
      </w:hyperlink>
      <w:r w:rsidR="00972D00">
        <w:rPr>
          <w:rStyle w:val="Hyperlink"/>
        </w:rPr>
        <w:t>)</w:t>
      </w:r>
      <w:r w:rsidR="00744C45">
        <w:rPr>
          <w:rStyle w:val="Hyperlink"/>
        </w:rPr>
        <w:t xml:space="preserve"> and a guidance for </w:t>
      </w:r>
      <w:hyperlink r:id="rId20" w:history="1">
        <w:r w:rsidR="00744C45" w:rsidRPr="00921D13">
          <w:rPr>
            <w:rStyle w:val="Hyperlink"/>
          </w:rPr>
          <w:t>preventing and responding to HIV-related human rights crises</w:t>
        </w:r>
      </w:hyperlink>
      <w:r w:rsidR="00BF5BE0" w:rsidRPr="00C70E61">
        <w:t>.</w:t>
      </w:r>
    </w:p>
    <w:p w14:paraId="6A54F431" w14:textId="0C5005FD" w:rsidR="00AB4436" w:rsidRPr="00C70E61" w:rsidRDefault="00586FBD" w:rsidP="00CA66E7">
      <w:r>
        <w:t xml:space="preserve">An example of </w:t>
      </w:r>
      <w:r w:rsidR="006E264B">
        <w:t>best practice for</w:t>
      </w:r>
      <w:r w:rsidR="00AB4436">
        <w:t xml:space="preserve"> mainstream</w:t>
      </w:r>
      <w:r w:rsidR="006E264B">
        <w:t>ing</w:t>
      </w:r>
      <w:r w:rsidR="00AB4436">
        <w:t xml:space="preserve"> human rights</w:t>
      </w:r>
      <w:r w:rsidR="003004FF">
        <w:t xml:space="preserve"> within </w:t>
      </w:r>
      <w:r w:rsidR="00777F79">
        <w:t xml:space="preserve">HIV </w:t>
      </w:r>
      <w:proofErr w:type="spellStart"/>
      <w:r w:rsidR="00777F79">
        <w:t>programmes</w:t>
      </w:r>
      <w:proofErr w:type="spellEnd"/>
      <w:r w:rsidR="00777F79">
        <w:t xml:space="preserve"> and</w:t>
      </w:r>
      <w:r w:rsidR="003004FF">
        <w:t xml:space="preserve"> broader health initiatives</w:t>
      </w:r>
      <w:r w:rsidR="008149A6">
        <w:t xml:space="preserve"> is in relation to </w:t>
      </w:r>
      <w:r w:rsidR="00805ACA">
        <w:t xml:space="preserve">WHO’s process for certifying countries for the </w:t>
      </w:r>
      <w:r w:rsidR="008149A6">
        <w:t>elimination of</w:t>
      </w:r>
      <w:r w:rsidR="00373053">
        <w:t xml:space="preserve">, or </w:t>
      </w:r>
      <w:r w:rsidR="0004303A">
        <w:t xml:space="preserve">for </w:t>
      </w:r>
      <w:r w:rsidR="00373053">
        <w:t>being on the path for the elimination of</w:t>
      </w:r>
      <w:r w:rsidR="0004303A">
        <w:t>,</w:t>
      </w:r>
      <w:r w:rsidR="008149A6">
        <w:t xml:space="preserve"> vertical transmission</w:t>
      </w:r>
      <w:r w:rsidR="00777F79">
        <w:t xml:space="preserve"> of HIV, Hepatitis B and </w:t>
      </w:r>
      <w:r w:rsidR="00525779">
        <w:t>Syphilis</w:t>
      </w:r>
      <w:r w:rsidR="008149A6">
        <w:t xml:space="preserve">. </w:t>
      </w:r>
      <w:r w:rsidR="00322C16">
        <w:t xml:space="preserve">For a country to achieve validation, it needs to demonstrate </w:t>
      </w:r>
      <w:r w:rsidR="003D52D2">
        <w:t>respect and protection of h</w:t>
      </w:r>
      <w:r w:rsidR="00661503" w:rsidRPr="00661503">
        <w:t xml:space="preserve">uman </w:t>
      </w:r>
      <w:r w:rsidR="00C273A6">
        <w:t>r</w:t>
      </w:r>
      <w:r w:rsidR="00661503" w:rsidRPr="00661503">
        <w:t xml:space="preserve">ights, gender equality and community engagement </w:t>
      </w:r>
      <w:r w:rsidR="005D062D">
        <w:t xml:space="preserve">in the design, implementation, </w:t>
      </w:r>
      <w:r w:rsidR="00C273A6">
        <w:t xml:space="preserve">monitoring and evaluation of </w:t>
      </w:r>
      <w:proofErr w:type="spellStart"/>
      <w:r w:rsidR="00C273A6">
        <w:t>programmes</w:t>
      </w:r>
      <w:proofErr w:type="spellEnd"/>
      <w:r w:rsidR="00C273A6">
        <w:t xml:space="preserve"> for the elimination of vertical transmission of the three diseases. This condition is </w:t>
      </w:r>
      <w:r w:rsidR="00BE3076">
        <w:t xml:space="preserve">at par with other criteria for validation, such as the quality </w:t>
      </w:r>
      <w:r w:rsidR="00600C93">
        <w:t xml:space="preserve">of </w:t>
      </w:r>
      <w:r w:rsidR="00661503" w:rsidRPr="00661503">
        <w:t>EMTCT surveillance data and data quality</w:t>
      </w:r>
      <w:r w:rsidR="00600C93">
        <w:t>, the q</w:t>
      </w:r>
      <w:r w:rsidR="00661503" w:rsidRPr="00661503">
        <w:t>uality of management systems used in testing services (Laboratory evaluation and assessment)</w:t>
      </w:r>
      <w:r w:rsidR="00600C93">
        <w:t xml:space="preserve"> and the q</w:t>
      </w:r>
      <w:r w:rsidR="00661503" w:rsidRPr="00661503">
        <w:t xml:space="preserve">uality, scope and accessibility of </w:t>
      </w:r>
      <w:proofErr w:type="spellStart"/>
      <w:r w:rsidR="00661503" w:rsidRPr="00661503">
        <w:t>programmes</w:t>
      </w:r>
      <w:proofErr w:type="spellEnd"/>
      <w:r w:rsidR="00661503" w:rsidRPr="00661503">
        <w:t xml:space="preserve"> and services needed to achieve and sustain EMTC</w:t>
      </w:r>
      <w:r w:rsidR="003004FF">
        <w:t>.</w:t>
      </w:r>
      <w:r w:rsidR="004E014B">
        <w:rPr>
          <w:rStyle w:val="FootnoteReference"/>
        </w:rPr>
        <w:footnoteReference w:id="33"/>
      </w:r>
    </w:p>
    <w:p w14:paraId="0ECE6232" w14:textId="101D5278" w:rsidR="00A504A8" w:rsidRPr="00F474A6" w:rsidRDefault="00A504A8" w:rsidP="00CA66E7">
      <w:pPr>
        <w:rPr>
          <w:b/>
          <w:bCs/>
        </w:rPr>
      </w:pPr>
      <w:r w:rsidRPr="00F474A6">
        <w:rPr>
          <w:b/>
          <w:bCs/>
        </w:rPr>
        <w:t>Community</w:t>
      </w:r>
      <w:r w:rsidR="00543837" w:rsidRPr="00F474A6">
        <w:rPr>
          <w:b/>
          <w:bCs/>
        </w:rPr>
        <w:t xml:space="preserve">-led Response </w:t>
      </w:r>
      <w:r w:rsidR="00366864" w:rsidRPr="00F474A6">
        <w:rPr>
          <w:b/>
          <w:bCs/>
        </w:rPr>
        <w:t>and Civic Space</w:t>
      </w:r>
    </w:p>
    <w:p w14:paraId="5C761095" w14:textId="2322744E" w:rsidR="00200EC8" w:rsidRPr="00C70E61" w:rsidRDefault="00200EC8" w:rsidP="00CA66E7">
      <w:r w:rsidRPr="00C70E61">
        <w:t xml:space="preserve">For decades, affected communities have been driving the global HIV response forward. People living with HIV, key populations, </w:t>
      </w:r>
      <w:proofErr w:type="gramStart"/>
      <w:r w:rsidRPr="00C70E61">
        <w:t>women</w:t>
      </w:r>
      <w:proofErr w:type="gramEnd"/>
      <w:r w:rsidR="005E591C">
        <w:t xml:space="preserve"> and </w:t>
      </w:r>
      <w:r w:rsidRPr="00C70E61">
        <w:t xml:space="preserve">young people have worked together to expand the reach, quality and equity of health services by tirelessly campaigning for stronger action, raising the alarm about gaps and injustices, and putting people's needs at the </w:t>
      </w:r>
      <w:proofErr w:type="spellStart"/>
      <w:r w:rsidRPr="00C70E61">
        <w:t>centre</w:t>
      </w:r>
      <w:proofErr w:type="spellEnd"/>
      <w:r w:rsidRPr="00C70E61">
        <w:t xml:space="preserve"> of HIV </w:t>
      </w:r>
      <w:proofErr w:type="spellStart"/>
      <w:r w:rsidRPr="00C70E61">
        <w:t>programmes</w:t>
      </w:r>
      <w:proofErr w:type="spellEnd"/>
      <w:r w:rsidRPr="00C70E61">
        <w:t xml:space="preserve">. </w:t>
      </w:r>
    </w:p>
    <w:p w14:paraId="71885DEA" w14:textId="6C97855C" w:rsidR="00AD66B2" w:rsidRPr="00C70E61" w:rsidRDefault="00200EC8" w:rsidP="00CA66E7">
      <w:r w:rsidRPr="00C70E61">
        <w:t xml:space="preserve">Community-led organizations raise awareness of obstructive laws and practices, pinpoint missed opportunities, reach marginalized communities and lead by example. </w:t>
      </w:r>
      <w:r w:rsidR="00BD5289" w:rsidRPr="00C70E61">
        <w:t xml:space="preserve">Community-led monitoring systems are a valuable resource, leveraging the knowledge and networks of community organizations to strengthen the performance and accountability of HIV </w:t>
      </w:r>
      <w:proofErr w:type="spellStart"/>
      <w:r w:rsidR="00BD5289" w:rsidRPr="00C70E61">
        <w:t>programmes</w:t>
      </w:r>
      <w:proofErr w:type="spellEnd"/>
      <w:r w:rsidR="00BD5289" w:rsidRPr="00C70E61">
        <w:t>.</w:t>
      </w:r>
      <w:r w:rsidR="00BD5289" w:rsidRPr="00C70E61">
        <w:rPr>
          <w:rStyle w:val="FootnoteReference"/>
        </w:rPr>
        <w:footnoteReference w:id="34"/>
      </w:r>
      <w:r w:rsidR="008A64C3">
        <w:t xml:space="preserve"> In a number of countries civil society </w:t>
      </w:r>
      <w:proofErr w:type="spellStart"/>
      <w:r w:rsidR="008A64C3">
        <w:t>organisations</w:t>
      </w:r>
      <w:proofErr w:type="spellEnd"/>
      <w:r w:rsidR="00D05C04">
        <w:t xml:space="preserve">, including community-led </w:t>
      </w:r>
      <w:proofErr w:type="spellStart"/>
      <w:r w:rsidR="00D05C04">
        <w:t>organisations</w:t>
      </w:r>
      <w:proofErr w:type="spellEnd"/>
      <w:r w:rsidR="00D05C04">
        <w:t>,</w:t>
      </w:r>
      <w:r w:rsidR="008A64C3">
        <w:t xml:space="preserve"> launched legal challenges </w:t>
      </w:r>
      <w:r w:rsidR="009D53D0">
        <w:t xml:space="preserve">leading </w:t>
      </w:r>
      <w:r w:rsidR="008A64C3">
        <w:t>to the removal of laws criminalizing HIV exposure and transmission (Colombia</w:t>
      </w:r>
      <w:r w:rsidR="00CA4144">
        <w:t xml:space="preserve"> and Mexico</w:t>
      </w:r>
      <w:r w:rsidR="008A64C3">
        <w:t>)</w:t>
      </w:r>
      <w:r w:rsidR="00CA4144">
        <w:rPr>
          <w:rStyle w:val="FootnoteReference"/>
        </w:rPr>
        <w:footnoteReference w:id="35"/>
      </w:r>
      <w:r w:rsidR="008A64C3">
        <w:t xml:space="preserve">, </w:t>
      </w:r>
      <w:r w:rsidR="00703734">
        <w:t>consensual same-sex sexual activity (Botswana</w:t>
      </w:r>
      <w:r w:rsidR="00A651E8">
        <w:rPr>
          <w:rStyle w:val="FootnoteReference"/>
        </w:rPr>
        <w:footnoteReference w:id="36"/>
      </w:r>
      <w:r w:rsidR="00703734">
        <w:t>, India</w:t>
      </w:r>
      <w:r w:rsidR="00B81779">
        <w:rPr>
          <w:rStyle w:val="FootnoteReference"/>
        </w:rPr>
        <w:footnoteReference w:id="37"/>
      </w:r>
      <w:r w:rsidR="00703734">
        <w:t>, Trinidad &amp; Tobago</w:t>
      </w:r>
      <w:r w:rsidR="005B2819">
        <w:rPr>
          <w:rStyle w:val="FootnoteReference"/>
        </w:rPr>
        <w:footnoteReference w:id="38"/>
      </w:r>
      <w:r w:rsidR="00696613">
        <w:t>, Belize</w:t>
      </w:r>
      <w:r w:rsidR="00703734">
        <w:t>),</w:t>
      </w:r>
      <w:r w:rsidR="00101D0B">
        <w:t xml:space="preserve"> </w:t>
      </w:r>
      <w:r w:rsidR="006A1B4C">
        <w:t xml:space="preserve">gender identity and expression </w:t>
      </w:r>
      <w:r w:rsidR="006A1B4C">
        <w:lastRenderedPageBreak/>
        <w:t>(Guyana</w:t>
      </w:r>
      <w:r w:rsidR="00841A45">
        <w:rPr>
          <w:rStyle w:val="FootnoteReference"/>
        </w:rPr>
        <w:footnoteReference w:id="39"/>
      </w:r>
      <w:r w:rsidR="006A1B4C">
        <w:t xml:space="preserve">) and led to Government </w:t>
      </w:r>
      <w:r w:rsidR="009D53D0">
        <w:t xml:space="preserve">taking </w:t>
      </w:r>
      <w:r w:rsidR="00505D2E">
        <w:t>action</w:t>
      </w:r>
      <w:r w:rsidR="009D53D0">
        <w:t xml:space="preserve"> to </w:t>
      </w:r>
      <w:r w:rsidR="006A1B4C">
        <w:t>end the involuntary sterilization of women living with HIV</w:t>
      </w:r>
      <w:r w:rsidR="00B33A3F">
        <w:t xml:space="preserve"> (Chile)</w:t>
      </w:r>
      <w:r w:rsidR="00B33A3F">
        <w:rPr>
          <w:rStyle w:val="FootnoteReference"/>
        </w:rPr>
        <w:footnoteReference w:id="40"/>
      </w:r>
      <w:r w:rsidR="00B33A3F">
        <w:t>.</w:t>
      </w:r>
      <w:r w:rsidR="0017350D">
        <w:t xml:space="preserve"> </w:t>
      </w:r>
      <w:r w:rsidR="00101D0B">
        <w:t>Community-led advocacy</w:t>
      </w:r>
      <w:r w:rsidR="00431302">
        <w:t>, research</w:t>
      </w:r>
      <w:r w:rsidR="00101D0B">
        <w:t xml:space="preserve"> and collaboration with Governments has led to legislative reform to remove laws requiring parental consent for HIV services (</w:t>
      </w:r>
      <w:r w:rsidR="0017350D" w:rsidRPr="00C70E61">
        <w:t>Peru</w:t>
      </w:r>
      <w:r w:rsidR="00101D0B">
        <w:t xml:space="preserve"> </w:t>
      </w:r>
      <w:r w:rsidR="0017350D" w:rsidRPr="00C70E61">
        <w:rPr>
          <w:rStyle w:val="FootnoteReference"/>
        </w:rPr>
        <w:footnoteReference w:id="41"/>
      </w:r>
      <w:r w:rsidR="00101D0B">
        <w:t xml:space="preserve">), </w:t>
      </w:r>
      <w:r w:rsidR="00854F65">
        <w:t>decriminalize sex work (Northern Territory and Victoria, Australia), decriminalize consensual same-sex sexual activity (Angola</w:t>
      </w:r>
      <w:proofErr w:type="gramStart"/>
      <w:r w:rsidR="001E5734">
        <w:t>)</w:t>
      </w:r>
      <w:proofErr w:type="gramEnd"/>
      <w:r w:rsidR="002A5DC7">
        <w:t xml:space="preserve"> and</w:t>
      </w:r>
      <w:r w:rsidR="002C5447">
        <w:t xml:space="preserve"> introduce protections for trans and other gender diverse persons (</w:t>
      </w:r>
      <w:r w:rsidR="00E00409">
        <w:t xml:space="preserve">Argentina, </w:t>
      </w:r>
      <w:r w:rsidR="006D41D3">
        <w:t>Chile and Uruguay</w:t>
      </w:r>
      <w:r w:rsidR="006D41D3">
        <w:rPr>
          <w:rStyle w:val="FootnoteReference"/>
        </w:rPr>
        <w:footnoteReference w:id="42"/>
      </w:r>
      <w:r w:rsidR="00FA00F5">
        <w:t>, Pakistan</w:t>
      </w:r>
      <w:r w:rsidR="00FA00F5">
        <w:rPr>
          <w:rStyle w:val="FootnoteReference"/>
        </w:rPr>
        <w:footnoteReference w:id="43"/>
      </w:r>
      <w:r w:rsidR="002C5447">
        <w:t xml:space="preserve"> among others</w:t>
      </w:r>
      <w:r w:rsidR="00667403">
        <w:t>)</w:t>
      </w:r>
      <w:r w:rsidR="002C5447">
        <w:t>.</w:t>
      </w:r>
      <w:r w:rsidR="000445DB">
        <w:t xml:space="preserve"> Community-led </w:t>
      </w:r>
      <w:proofErr w:type="spellStart"/>
      <w:r w:rsidR="000445DB">
        <w:t>organisations</w:t>
      </w:r>
      <w:proofErr w:type="spellEnd"/>
      <w:r w:rsidR="000445DB">
        <w:t xml:space="preserve"> have</w:t>
      </w:r>
      <w:r w:rsidR="002A5DC7">
        <w:t xml:space="preserve"> reduced stigma and discrimination and increased access to justice </w:t>
      </w:r>
      <w:r w:rsidR="00BF1AFB">
        <w:t>through</w:t>
      </w:r>
      <w:r w:rsidR="000445DB">
        <w:t xml:space="preserve"> </w:t>
      </w:r>
      <w:r w:rsidR="00BF1AFB">
        <w:t>s</w:t>
      </w:r>
      <w:r w:rsidR="000445DB">
        <w:t>ensitization campaigns, train</w:t>
      </w:r>
      <w:r w:rsidR="00BF1AFB">
        <w:t>ing</w:t>
      </w:r>
      <w:r w:rsidR="000445DB">
        <w:t xml:space="preserve"> health-care workers, develop</w:t>
      </w:r>
      <w:r w:rsidR="00BF1AFB">
        <w:t>ing</w:t>
      </w:r>
      <w:r w:rsidR="000445DB">
        <w:t xml:space="preserve"> charters of rights for patients living with HIV</w:t>
      </w:r>
      <w:r w:rsidR="00A05D65">
        <w:t xml:space="preserve">, </w:t>
      </w:r>
      <w:proofErr w:type="gramStart"/>
      <w:r w:rsidR="00A05D65">
        <w:t>develop</w:t>
      </w:r>
      <w:r w:rsidR="00BF1AFB">
        <w:t>ing</w:t>
      </w:r>
      <w:proofErr w:type="gramEnd"/>
      <w:r w:rsidR="00A05D65">
        <w:t xml:space="preserve"> and deliver</w:t>
      </w:r>
      <w:r w:rsidR="00BF1AFB">
        <w:t>ing</w:t>
      </w:r>
      <w:r w:rsidR="00A05D65">
        <w:t xml:space="preserve"> legal empowerment courses</w:t>
      </w:r>
      <w:r w:rsidR="00BF1AFB">
        <w:t xml:space="preserve"> among others</w:t>
      </w:r>
      <w:r w:rsidR="00067044">
        <w:t xml:space="preserve">, or </w:t>
      </w:r>
      <w:r w:rsidR="001A5CEF">
        <w:t xml:space="preserve">helped direct people who use drugs </w:t>
      </w:r>
      <w:r w:rsidR="00067044">
        <w:t>to health services</w:t>
      </w:r>
      <w:r w:rsidR="000445DB">
        <w:t>.</w:t>
      </w:r>
      <w:r w:rsidR="000445DB">
        <w:rPr>
          <w:rStyle w:val="FootnoteReference"/>
        </w:rPr>
        <w:footnoteReference w:id="44"/>
      </w:r>
      <w:r w:rsidR="00067044">
        <w:t xml:space="preserve"> </w:t>
      </w:r>
      <w:r w:rsidR="00067044">
        <w:rPr>
          <w:rStyle w:val="FootnoteReference"/>
        </w:rPr>
        <w:footnoteReference w:id="45"/>
      </w:r>
      <w:r w:rsidR="00431302">
        <w:t xml:space="preserve"> </w:t>
      </w:r>
    </w:p>
    <w:p w14:paraId="3F96F955" w14:textId="74409E08" w:rsidR="00587B42" w:rsidRDefault="00FE3749" w:rsidP="00CA66E7">
      <w:r w:rsidRPr="00C70E61">
        <w:t>Under t</w:t>
      </w:r>
      <w:r w:rsidR="00D45A39" w:rsidRPr="00C70E61">
        <w:t>he 2021 Political Declaration</w:t>
      </w:r>
      <w:r w:rsidRPr="00C70E61">
        <w:t xml:space="preserve"> </w:t>
      </w:r>
      <w:r w:rsidR="00BC5CE8">
        <w:t>s</w:t>
      </w:r>
      <w:r w:rsidRPr="00C70E61">
        <w:t xml:space="preserve">tates </w:t>
      </w:r>
      <w:r w:rsidR="00803E58" w:rsidRPr="00C70E61">
        <w:t>reaffirmed, and committed to</w:t>
      </w:r>
      <w:r w:rsidR="00C80D67">
        <w:t>,</w:t>
      </w:r>
      <w:r w:rsidR="00803E58" w:rsidRPr="00C70E61">
        <w:t xml:space="preserve"> </w:t>
      </w:r>
      <w:r w:rsidRPr="00C70E61">
        <w:t>the Greater Involvement of People Living with HIV/AIDS principle (GIPA principle) and to empower communities of people living with, at risk of and affected by HIV</w:t>
      </w:r>
      <w:r w:rsidR="003145A1" w:rsidRPr="00C70E61">
        <w:t xml:space="preserve"> to play a critical leadership role in the response</w:t>
      </w:r>
      <w:r w:rsidR="00A54CA0">
        <w:t xml:space="preserve">, including in </w:t>
      </w:r>
      <w:r w:rsidR="003145A1" w:rsidRPr="00C70E61">
        <w:t>decision-making, planning, implementing and monitoring</w:t>
      </w:r>
      <w:r w:rsidR="00AA56C6" w:rsidRPr="00C70E61">
        <w:t xml:space="preserve"> and are provided with sufficient technical and financial support, </w:t>
      </w:r>
      <w:r w:rsidR="0038172D" w:rsidRPr="00C70E61">
        <w:t>c</w:t>
      </w:r>
      <w:r w:rsidR="00AA56C6" w:rsidRPr="00C70E61">
        <w:t>reating and maintaining enabling civil society space</w:t>
      </w:r>
      <w:r w:rsidR="0085029B">
        <w:t xml:space="preserve"> </w:t>
      </w:r>
      <w:r w:rsidR="00587B42" w:rsidRPr="00C70E61">
        <w:t xml:space="preserve">so that by 2025 community-led </w:t>
      </w:r>
      <w:proofErr w:type="spellStart"/>
      <w:r w:rsidR="00587B42" w:rsidRPr="00C70E61">
        <w:t>organisations</w:t>
      </w:r>
      <w:proofErr w:type="spellEnd"/>
      <w:r w:rsidR="00587B42" w:rsidRPr="00C70E61">
        <w:t xml:space="preserve"> deliver 60% of </w:t>
      </w:r>
      <w:proofErr w:type="spellStart"/>
      <w:r w:rsidR="00587B42" w:rsidRPr="00C70E61">
        <w:t>programmes</w:t>
      </w:r>
      <w:proofErr w:type="spellEnd"/>
      <w:r w:rsidR="00587B42" w:rsidRPr="00C70E61">
        <w:t xml:space="preserve"> to support the achievement of the societal enablers, among others. </w:t>
      </w:r>
    </w:p>
    <w:p w14:paraId="4BFAE720" w14:textId="53575102" w:rsidR="00290AAD" w:rsidRDefault="002D2A26" w:rsidP="00CA66E7">
      <w:r w:rsidRPr="00C70E61">
        <w:t xml:space="preserve">It is critical that in this space, community involvement is through community-led </w:t>
      </w:r>
      <w:proofErr w:type="spellStart"/>
      <w:r w:rsidRPr="00C70E61">
        <w:t>organisations</w:t>
      </w:r>
      <w:proofErr w:type="spellEnd"/>
      <w:r w:rsidR="00874726">
        <w:t xml:space="preserve">, not simply community-based </w:t>
      </w:r>
      <w:proofErr w:type="spellStart"/>
      <w:r w:rsidR="00874726">
        <w:t>organisations</w:t>
      </w:r>
      <w:proofErr w:type="spellEnd"/>
      <w:r w:rsidRPr="00C70E61">
        <w:t xml:space="preserve">. </w:t>
      </w:r>
      <w:r w:rsidR="00165420">
        <w:t xml:space="preserve">For an organization to be considered community-led, the majority (at least fifty percent plus </w:t>
      </w:r>
      <w:r w:rsidR="008213B1">
        <w:t>one</w:t>
      </w:r>
      <w:r w:rsidR="00165420">
        <w:t>) of governance,</w:t>
      </w:r>
      <w:r w:rsidR="000738A2">
        <w:t xml:space="preserve"> </w:t>
      </w:r>
      <w:r w:rsidR="00165420">
        <w:t xml:space="preserve">leadership, and staff </w:t>
      </w:r>
      <w:r w:rsidR="00155806">
        <w:t>must come</w:t>
      </w:r>
      <w:r w:rsidR="00165420">
        <w:t xml:space="preserve"> from the community being served</w:t>
      </w:r>
      <w:r w:rsidR="008213B1">
        <w:rPr>
          <w:rStyle w:val="FootnoteReference"/>
        </w:rPr>
        <w:footnoteReference w:id="46"/>
      </w:r>
      <w:r w:rsidR="00165420">
        <w:t>.</w:t>
      </w:r>
      <w:r w:rsidR="000738A2">
        <w:t xml:space="preserve"> </w:t>
      </w:r>
      <w:r w:rsidRPr="00C70E61">
        <w:t xml:space="preserve">UNAIDS has worked closely with networks </w:t>
      </w:r>
      <w:r w:rsidR="00120BE4">
        <w:t xml:space="preserve">of people living with HIV, key populations, </w:t>
      </w:r>
      <w:r w:rsidR="00510CB1">
        <w:t xml:space="preserve">affected </w:t>
      </w:r>
      <w:r w:rsidR="00120BE4">
        <w:t>women and youth</w:t>
      </w:r>
      <w:r w:rsidR="001C2C4A">
        <w:t>, UN agencies, UN Member States, and other stakeholders</w:t>
      </w:r>
      <w:r w:rsidR="00120BE4">
        <w:t xml:space="preserve"> </w:t>
      </w:r>
      <w:r w:rsidRPr="00C70E61">
        <w:t>to develop meaningful definitions in this regard</w:t>
      </w:r>
      <w:r w:rsidR="00480A5C">
        <w:rPr>
          <w:rStyle w:val="FootnoteReference"/>
        </w:rPr>
        <w:footnoteReference w:id="47"/>
      </w:r>
      <w:r w:rsidR="00290AAD">
        <w:t>:</w:t>
      </w:r>
      <w:r w:rsidRPr="00C70E61">
        <w:t xml:space="preserve"> </w:t>
      </w:r>
    </w:p>
    <w:p w14:paraId="7D6FEDDA" w14:textId="77777777" w:rsidR="001C2C4A" w:rsidRDefault="001C2C4A" w:rsidP="00CA66E7">
      <w:pPr>
        <w:rPr>
          <w:i/>
          <w:iCs/>
        </w:rPr>
      </w:pPr>
      <w:r w:rsidRPr="00450876">
        <w:rPr>
          <w:i/>
          <w:iCs/>
        </w:rPr>
        <w:t xml:space="preserve">(a) Community-led organizations, </w:t>
      </w:r>
      <w:proofErr w:type="gramStart"/>
      <w:r w:rsidRPr="00450876">
        <w:rPr>
          <w:i/>
          <w:iCs/>
        </w:rPr>
        <w:t>groups</w:t>
      </w:r>
      <w:proofErr w:type="gramEnd"/>
      <w:r w:rsidRPr="00450876">
        <w:rPr>
          <w:i/>
          <w:iCs/>
        </w:rPr>
        <w:t xml:space="preserve"> and networks, whether formally or informally organized, are entities for which the majority of governance, leadership, staff, spokespeople, membership and volunteers, reflect and represent the experiences, perspectives, and voices of their constituencies and who have transparent mechanisms of accountability to their constituencies. Community-led organizations, groups, and networks are self-determining and autonomous, and not influenced by government, commercial, or donor agendas. Not all community-based organizations are community </w:t>
      </w:r>
      <w:proofErr w:type="gramStart"/>
      <w:r w:rsidRPr="00450876">
        <w:rPr>
          <w:i/>
          <w:iCs/>
        </w:rPr>
        <w:t>led;</w:t>
      </w:r>
      <w:proofErr w:type="gramEnd"/>
      <w:r w:rsidRPr="00450876">
        <w:rPr>
          <w:i/>
          <w:iCs/>
        </w:rPr>
        <w:t xml:space="preserve"> </w:t>
      </w:r>
    </w:p>
    <w:p w14:paraId="4E65E9AC" w14:textId="09BF77C4" w:rsidR="00AB2056" w:rsidRPr="00290AAD" w:rsidRDefault="001C2C4A" w:rsidP="00CA66E7">
      <w:pPr>
        <w:rPr>
          <w:i/>
          <w:iCs/>
        </w:rPr>
      </w:pPr>
      <w:r w:rsidRPr="00450876">
        <w:rPr>
          <w:i/>
          <w:iCs/>
        </w:rPr>
        <w:lastRenderedPageBreak/>
        <w:t>(b) Community-led responses are actions and strategies that seek to improve the health and human rights of their constituencies, that are specifically informed and implemented by and for communities themselves and the organizations, groups and networks that represent them</w:t>
      </w:r>
      <w:r w:rsidR="00000A6B">
        <w:rPr>
          <w:i/>
          <w:iCs/>
        </w:rPr>
        <w:t>.</w:t>
      </w:r>
      <w:r w:rsidR="00000A6B" w:rsidRPr="00000A6B">
        <w:rPr>
          <w:i/>
          <w:iCs/>
        </w:rPr>
        <w:t xml:space="preserve"> </w:t>
      </w:r>
      <w:r w:rsidR="00AB2056" w:rsidRPr="00290AAD">
        <w:rPr>
          <w:i/>
          <w:iCs/>
        </w:rPr>
        <w:t xml:space="preserve"> </w:t>
      </w:r>
    </w:p>
    <w:p w14:paraId="3569E1D1" w14:textId="77777777" w:rsidR="00D918C8" w:rsidRDefault="00BB3D13" w:rsidP="00CA66E7">
      <w:r>
        <w:t xml:space="preserve">Networks of People living with HIV and key populations </w:t>
      </w:r>
      <w:r w:rsidR="004364C0">
        <w:t>have</w:t>
      </w:r>
      <w:r>
        <w:t xml:space="preserve"> further </w:t>
      </w:r>
      <w:r w:rsidR="003755D2">
        <w:t>articulated</w:t>
      </w:r>
      <w:r w:rsidR="004364C0">
        <w:t xml:space="preserve"> these principles </w:t>
      </w:r>
      <w:r w:rsidR="00AB7640">
        <w:t>with the following explanations:</w:t>
      </w:r>
      <w:r w:rsidR="004364C0">
        <w:t xml:space="preserve"> </w:t>
      </w:r>
    </w:p>
    <w:p w14:paraId="04463F9B" w14:textId="439B3C6C" w:rsidR="00AB2056" w:rsidRPr="00450876" w:rsidRDefault="00AB2056" w:rsidP="00CA66E7">
      <w:r w:rsidRPr="00450876">
        <w:t xml:space="preserve">Community-led responses are determined by and respond to the needs and aspirations of their constituents, and include a range of activities such as advocacy, campaigning and holding decision-makers to account; monitoring of policies, practices, and service delivery; participatory research; education and information sharing; service delivery; capacity building, and funding of community-led </w:t>
      </w:r>
      <w:proofErr w:type="spellStart"/>
      <w:r w:rsidRPr="00450876">
        <w:t>organisations</w:t>
      </w:r>
      <w:proofErr w:type="spellEnd"/>
      <w:r w:rsidRPr="00450876">
        <w:t>, groups, and networks.</w:t>
      </w:r>
    </w:p>
    <w:p w14:paraId="7A0AFF3D" w14:textId="3A5FF82C" w:rsidR="003764C3" w:rsidRDefault="003764C3" w:rsidP="00CA66E7">
      <w:r w:rsidRPr="003764C3">
        <w:t xml:space="preserve">Community-led </w:t>
      </w:r>
      <w:proofErr w:type="spellStart"/>
      <w:r w:rsidRPr="003764C3">
        <w:t>organisations</w:t>
      </w:r>
      <w:proofErr w:type="spellEnd"/>
      <w:r w:rsidRPr="003764C3">
        <w:t xml:space="preserve"> and responses </w:t>
      </w:r>
      <w:r w:rsidR="007B6F99">
        <w:t>are led by and for people living with HIV</w:t>
      </w:r>
      <w:r w:rsidR="00284330">
        <w:t xml:space="preserve">, key populations, </w:t>
      </w:r>
      <w:proofErr w:type="gramStart"/>
      <w:r w:rsidR="00284330">
        <w:t>women</w:t>
      </w:r>
      <w:proofErr w:type="gramEnd"/>
      <w:r w:rsidR="00284330">
        <w:t xml:space="preserve"> and young people. They are</w:t>
      </w:r>
      <w:r w:rsidRPr="003764C3">
        <w:t xml:space="preserve"> distinct from those that are community-based</w:t>
      </w:r>
      <w:r w:rsidR="00284330">
        <w:t xml:space="preserve"> </w:t>
      </w:r>
      <w:r w:rsidR="00F84AF6">
        <w:t xml:space="preserve">– </w:t>
      </w:r>
      <w:r w:rsidRPr="003764C3">
        <w:t>“</w:t>
      </w:r>
      <w:r w:rsidR="00F84AF6">
        <w:t>c</w:t>
      </w:r>
      <w:r w:rsidRPr="003764C3">
        <w:t xml:space="preserve">ommunity-based” refers to </w:t>
      </w:r>
      <w:r w:rsidRPr="001A51AC">
        <w:rPr>
          <w:i/>
          <w:iCs/>
        </w:rPr>
        <w:t>where</w:t>
      </w:r>
      <w:r w:rsidRPr="003764C3">
        <w:t xml:space="preserve"> a response happens, regardless of who is implementing it, while “community-led” refers to </w:t>
      </w:r>
      <w:r w:rsidRPr="001A51AC">
        <w:rPr>
          <w:i/>
          <w:iCs/>
        </w:rPr>
        <w:t>who</w:t>
      </w:r>
      <w:r w:rsidRPr="003764C3">
        <w:t xml:space="preserve"> leads and implements the response.</w:t>
      </w:r>
      <w:r w:rsidR="00F50F07">
        <w:rPr>
          <w:rStyle w:val="FootnoteReference"/>
        </w:rPr>
        <w:footnoteReference w:id="48"/>
      </w:r>
    </w:p>
    <w:p w14:paraId="12CE2F4E" w14:textId="3A34569E" w:rsidR="00543837" w:rsidRPr="00C70E61" w:rsidRDefault="00780592" w:rsidP="00CA66E7">
      <w:r w:rsidRPr="00C70E61">
        <w:t>For communities to be able to lead and participate in the response, civil society space must be protected.</w:t>
      </w:r>
      <w:r w:rsidR="001A51AC">
        <w:rPr>
          <w:rStyle w:val="FootnoteReference"/>
        </w:rPr>
        <w:footnoteReference w:id="49"/>
      </w:r>
      <w:r w:rsidR="00592AD0" w:rsidRPr="00C70E61">
        <w:t xml:space="preserve"> </w:t>
      </w:r>
      <w:r w:rsidR="000D7461" w:rsidRPr="00C70E61">
        <w:t xml:space="preserve">Laws and policies should protect and open civic space </w:t>
      </w:r>
      <w:r w:rsidR="00CE345D">
        <w:t>to community-led organizations</w:t>
      </w:r>
      <w:r w:rsidR="000D7461" w:rsidRPr="00C70E61">
        <w:t xml:space="preserve"> rather than restrict it, reducing barriers to association and operation. </w:t>
      </w:r>
      <w:r w:rsidR="00C127E8">
        <w:t>For example, t</w:t>
      </w:r>
      <w:r w:rsidR="006810F7">
        <w:t>he ability to register an association has been a necessary element in achieving law reform.</w:t>
      </w:r>
      <w:r w:rsidR="00673DD4">
        <w:rPr>
          <w:rStyle w:val="FootnoteReference"/>
        </w:rPr>
        <w:footnoteReference w:id="50"/>
      </w:r>
      <w:r w:rsidR="00673DD4">
        <w:t xml:space="preserve"> </w:t>
      </w:r>
      <w:r w:rsidR="00C127E8">
        <w:t>However, t</w:t>
      </w:r>
      <w:r w:rsidR="00126765" w:rsidRPr="00C70E61">
        <w:t>he International Centre for Non-Profit Law reported that, of the 265 measures in 91 countries related to civic space, 72% of those measures</w:t>
      </w:r>
      <w:r w:rsidR="00244E66" w:rsidRPr="00C70E61">
        <w:t xml:space="preserve"> restricted civic space and constrained human rights defenders, including their ability to access international funding, </w:t>
      </w:r>
      <w:r w:rsidR="00C21A5D" w:rsidRPr="00C70E61">
        <w:t>access the courts or operate without burdensome restrictions.</w:t>
      </w:r>
      <w:r w:rsidR="00C21A5D" w:rsidRPr="00C70E61">
        <w:rPr>
          <w:rStyle w:val="FootnoteReference"/>
        </w:rPr>
        <w:footnoteReference w:id="51"/>
      </w:r>
      <w:r w:rsidR="009E3498" w:rsidRPr="00C70E61">
        <w:t xml:space="preserve"> Shrinking civic space can serious threaten the ability of </w:t>
      </w:r>
      <w:r w:rsidR="00795A98" w:rsidRPr="00C70E61">
        <w:t xml:space="preserve">community-led </w:t>
      </w:r>
      <w:proofErr w:type="spellStart"/>
      <w:r w:rsidR="00795A98" w:rsidRPr="00C70E61">
        <w:t>organisations</w:t>
      </w:r>
      <w:proofErr w:type="spellEnd"/>
      <w:r w:rsidR="00795A98" w:rsidRPr="00C70E61">
        <w:t xml:space="preserve"> to operate in the HIV response</w:t>
      </w:r>
      <w:r w:rsidR="00C127E8">
        <w:t xml:space="preserve">. </w:t>
      </w:r>
      <w:r w:rsidR="00B3101F">
        <w:t xml:space="preserve">In 2021 </w:t>
      </w:r>
      <w:r w:rsidR="005155C0">
        <w:t xml:space="preserve">78 countries reported to </w:t>
      </w:r>
      <w:r w:rsidR="00420D95">
        <w:t xml:space="preserve">UNAIDS on regulations affecting community-led </w:t>
      </w:r>
      <w:proofErr w:type="spellStart"/>
      <w:r w:rsidR="00420D95">
        <w:t>organisations</w:t>
      </w:r>
      <w:proofErr w:type="spellEnd"/>
      <w:r w:rsidR="00420D95">
        <w:t>.</w:t>
      </w:r>
      <w:r w:rsidR="0099356A">
        <w:t xml:space="preserve">, </w:t>
      </w:r>
      <w:r w:rsidR="005900F5">
        <w:t xml:space="preserve">22 countries reported there was a lack of social contracting or other mechanisms allowing funding of community-led service delivery from domestic funds, and 8 countries reported having "foreign agent" or other restrictions to access funding from international donors, 14 countries reported having restrictions on registration and 16 having cumbersome </w:t>
      </w:r>
      <w:proofErr w:type="gramStart"/>
      <w:r w:rsidR="005900F5">
        <w:t>reporting.</w:t>
      </w:r>
      <w:r w:rsidR="00907F12" w:rsidRPr="00C70E61">
        <w:t>.</w:t>
      </w:r>
      <w:proofErr w:type="gramEnd"/>
      <w:r w:rsidR="00907F12" w:rsidRPr="00C70E61">
        <w:rPr>
          <w:rStyle w:val="FootnoteReference"/>
        </w:rPr>
        <w:footnoteReference w:id="52"/>
      </w:r>
    </w:p>
    <w:p w14:paraId="54140664" w14:textId="02CF5D2C" w:rsidR="009450A5" w:rsidRDefault="00F17C4D" w:rsidP="00CA66E7">
      <w:r w:rsidRPr="00C70E61">
        <w:t xml:space="preserve">The UN and donor </w:t>
      </w:r>
      <w:proofErr w:type="spellStart"/>
      <w:r w:rsidRPr="00C70E61">
        <w:t>organisations</w:t>
      </w:r>
      <w:proofErr w:type="spellEnd"/>
      <w:r w:rsidRPr="00C70E61">
        <w:t xml:space="preserve"> have an important role to play</w:t>
      </w:r>
      <w:r w:rsidR="00ED063A">
        <w:t xml:space="preserve"> for enabling civi</w:t>
      </w:r>
      <w:r w:rsidR="001A51AC">
        <w:t>c</w:t>
      </w:r>
      <w:r w:rsidR="00ED063A">
        <w:t xml:space="preserve"> space for civil society</w:t>
      </w:r>
      <w:r w:rsidR="00C127E8">
        <w:t>.</w:t>
      </w:r>
      <w:r w:rsidRPr="00C70E61">
        <w:t xml:space="preserve"> </w:t>
      </w:r>
      <w:r w:rsidR="00C127E8">
        <w:t>T</w:t>
      </w:r>
      <w:r w:rsidRPr="00C70E61">
        <w:t xml:space="preserve">he Global Fund’s provision for technical assistance has helped increase the meaningful engagement of </w:t>
      </w:r>
      <w:r w:rsidRPr="00C70E61">
        <w:lastRenderedPageBreak/>
        <w:t>civil society and communities in their funding cycles.</w:t>
      </w:r>
      <w:r w:rsidR="00237BEB" w:rsidRPr="00C70E61">
        <w:rPr>
          <w:rStyle w:val="FootnoteReference"/>
        </w:rPr>
        <w:footnoteReference w:id="53"/>
      </w:r>
      <w:r w:rsidRPr="00C70E61">
        <w:t xml:space="preserve"> UNDP’s work to advocate with governments to allocate percentages of line ministry budgets to HIV</w:t>
      </w:r>
      <w:r w:rsidRPr="00C70E61">
        <w:rPr>
          <w:rStyle w:val="FootnoteReference"/>
        </w:rPr>
        <w:footnoteReference w:id="54"/>
      </w:r>
      <w:r w:rsidRPr="00C70E61">
        <w:t xml:space="preserve"> and support for efforts to create legal and policy environments that support social contracting, for instance, has shown successes in extending funding to CSOs to provide HIV-related services.</w:t>
      </w:r>
      <w:r w:rsidR="00237BEB" w:rsidRPr="00C70E61">
        <w:rPr>
          <w:rStyle w:val="FootnoteReference"/>
        </w:rPr>
        <w:footnoteReference w:id="55"/>
      </w:r>
      <w:r w:rsidRPr="00C70E61">
        <w:t xml:space="preserve"> </w:t>
      </w:r>
    </w:p>
    <w:p w14:paraId="6231EB71" w14:textId="1E49D754" w:rsidR="00386590" w:rsidRPr="009C1B0B" w:rsidRDefault="00B47FB8" w:rsidP="00386590">
      <w:r>
        <w:rPr>
          <w:b/>
          <w:bCs/>
        </w:rPr>
        <w:t>An i</w:t>
      </w:r>
      <w:r w:rsidR="00386590" w:rsidRPr="009C1B0B">
        <w:rPr>
          <w:b/>
          <w:bCs/>
        </w:rPr>
        <w:t>ntersectional</w:t>
      </w:r>
      <w:r w:rsidR="009C1B0B" w:rsidRPr="009C1B0B">
        <w:rPr>
          <w:b/>
          <w:bCs/>
        </w:rPr>
        <w:t xml:space="preserve"> </w:t>
      </w:r>
      <w:r>
        <w:rPr>
          <w:b/>
          <w:bCs/>
        </w:rPr>
        <w:t>approach</w:t>
      </w:r>
    </w:p>
    <w:p w14:paraId="78FD5F3A" w14:textId="04EBC132" w:rsidR="005D0838" w:rsidRPr="00C70E61" w:rsidRDefault="00386590" w:rsidP="00386590">
      <w:r w:rsidRPr="00E3329C">
        <w:t xml:space="preserve">A strong body of evidence shows that intersecting inequalities fuel the HIV epidemic and block progress towards ending AIDS. By reducing inequalities, we will be able to dramatically reduce new HIV infections and AIDS-related deaths. That, in turn, will contribute to a host of positive social and economic outcomes and accelerate progress towards sustainable development for all. </w:t>
      </w:r>
      <w:r w:rsidR="009B091B">
        <w:t xml:space="preserve">Recent research on </w:t>
      </w:r>
      <w:proofErr w:type="spellStart"/>
      <w:r w:rsidR="009B091B">
        <w:t>intersectionalities</w:t>
      </w:r>
      <w:proofErr w:type="spellEnd"/>
      <w:r w:rsidR="009B091B">
        <w:t xml:space="preserve"> and sex work has found that gender </w:t>
      </w:r>
      <w:r w:rsidR="00E173B1">
        <w:t xml:space="preserve">diverse communities </w:t>
      </w:r>
      <w:r w:rsidR="009B091B">
        <w:t>and migrant women face multiple and intersecting forms of discrimination that can increase their vulnerability to violence and to HIV</w:t>
      </w:r>
      <w:r w:rsidR="00527D70">
        <w:t>.</w:t>
      </w:r>
      <w:r w:rsidRPr="00E3329C">
        <w:rPr>
          <w:rStyle w:val="FootnoteReference"/>
        </w:rPr>
        <w:footnoteReference w:id="56"/>
      </w:r>
      <w:r w:rsidR="00527D70">
        <w:t xml:space="preserve"> </w:t>
      </w:r>
      <w:r w:rsidR="00A4621A">
        <w:rPr>
          <w:rStyle w:val="FootnoteReference"/>
        </w:rPr>
        <w:footnoteReference w:id="57"/>
      </w:r>
      <w:r w:rsidR="00F42524">
        <w:t xml:space="preserve"> </w:t>
      </w:r>
      <w:r w:rsidR="008037EE">
        <w:t xml:space="preserve">Interventions that are founded in an intersectional approach and </w:t>
      </w:r>
      <w:r w:rsidR="00EC6DEF">
        <w:t>look at how stigma and discrimination affect participants’ entire identities</w:t>
      </w:r>
      <w:r w:rsidR="00527D70">
        <w:t>, and that bring in community leaders from a variety of backgrounds,</w:t>
      </w:r>
      <w:r w:rsidR="00EC6DEF">
        <w:t xml:space="preserve"> have been found to improve the ability of people to cope with intersectional discrimination and reduce internalized stigma and</w:t>
      </w:r>
      <w:r w:rsidR="004B17B0">
        <w:t xml:space="preserve"> HIV-specific medical distrust.</w:t>
      </w:r>
      <w:r w:rsidR="004B17B0">
        <w:rPr>
          <w:rStyle w:val="FootnoteReference"/>
        </w:rPr>
        <w:footnoteReference w:id="58"/>
      </w:r>
      <w:r w:rsidR="00527D70">
        <w:t xml:space="preserve"> </w:t>
      </w:r>
      <w:r w:rsidR="00654A37">
        <w:rPr>
          <w:rStyle w:val="FootnoteReference"/>
        </w:rPr>
        <w:footnoteReference w:id="59"/>
      </w:r>
      <w:r w:rsidR="000F7E88">
        <w:t xml:space="preserve"> </w:t>
      </w:r>
      <w:r w:rsidR="0073181A">
        <w:t xml:space="preserve"> </w:t>
      </w:r>
    </w:p>
    <w:p w14:paraId="60D40B76" w14:textId="214CEC04" w:rsidR="00A504A8" w:rsidRPr="00654A37" w:rsidRDefault="005D0838" w:rsidP="00CA66E7">
      <w:pPr>
        <w:rPr>
          <w:b/>
          <w:bCs/>
        </w:rPr>
      </w:pPr>
      <w:r w:rsidRPr="00654A37">
        <w:rPr>
          <w:b/>
          <w:bCs/>
        </w:rPr>
        <w:t xml:space="preserve">Financing </w:t>
      </w:r>
      <w:r w:rsidR="00654A37">
        <w:rPr>
          <w:b/>
          <w:bCs/>
        </w:rPr>
        <w:t>the societal enablers</w:t>
      </w:r>
    </w:p>
    <w:p w14:paraId="2A39CB96" w14:textId="5645B3B3" w:rsidR="0061536D" w:rsidRDefault="0061536D" w:rsidP="00CA66E7">
      <w:r w:rsidRPr="00C70E61">
        <w:t xml:space="preserve">The </w:t>
      </w:r>
      <w:r w:rsidR="00B60FCB">
        <w:t>Political Declaration</w:t>
      </w:r>
      <w:r w:rsidRPr="00C70E61">
        <w:t xml:space="preserve"> also calls for greater investments in societal</w:t>
      </w:r>
      <w:r w:rsidR="007967A4" w:rsidRPr="00C70E61">
        <w:t xml:space="preserve"> </w:t>
      </w:r>
      <w:r w:rsidRPr="00C70E61">
        <w:t>enablers</w:t>
      </w:r>
      <w:r w:rsidR="00366CDD">
        <w:t xml:space="preserve">, </w:t>
      </w:r>
      <w:r w:rsidR="006F1A72">
        <w:t xml:space="preserve">doubling from </w:t>
      </w:r>
      <w:r w:rsidR="00F5147C" w:rsidRPr="00C70E61">
        <w:t>US$ 1.3 billion in 2019 to US$ 3.1 billion in 2025, and grow to 11% of total resource needs.</w:t>
      </w:r>
      <w:r w:rsidR="004F6B6D">
        <w:t xml:space="preserve"> Significant funding also needs to be targeted towards </w:t>
      </w:r>
      <w:r w:rsidR="006345AD">
        <w:t xml:space="preserve">key populations. A study by PITCH and </w:t>
      </w:r>
      <w:proofErr w:type="spellStart"/>
      <w:r w:rsidR="00752450">
        <w:t>AIDSFonds</w:t>
      </w:r>
      <w:proofErr w:type="spellEnd"/>
      <w:r w:rsidR="00752450">
        <w:t xml:space="preserve"> in 2019 found that </w:t>
      </w:r>
      <w:r w:rsidR="00E500C9">
        <w:t xml:space="preserve">only 2% of the total amount spent responding to HIV went to HIV </w:t>
      </w:r>
      <w:proofErr w:type="spellStart"/>
      <w:r w:rsidR="00E500C9">
        <w:t>programmes</w:t>
      </w:r>
      <w:proofErr w:type="spellEnd"/>
      <w:r w:rsidR="00E500C9">
        <w:t xml:space="preserve"> targeting key populations in LMIC</w:t>
      </w:r>
      <w:r w:rsidR="00D66E06">
        <w:t xml:space="preserve"> despite </w:t>
      </w:r>
      <w:r w:rsidR="00057AB0">
        <w:t xml:space="preserve">key populations and their partners accounting for </w:t>
      </w:r>
      <w:r w:rsidR="00D66E06">
        <w:t>more than half of new HIV infections globally</w:t>
      </w:r>
      <w:r w:rsidR="00057AB0">
        <w:t>.</w:t>
      </w:r>
      <w:r w:rsidR="00057AB0">
        <w:rPr>
          <w:rStyle w:val="FootnoteReference"/>
        </w:rPr>
        <w:footnoteReference w:id="60"/>
      </w:r>
      <w:r w:rsidR="00D66E06">
        <w:t xml:space="preserve"> </w:t>
      </w:r>
      <w:r w:rsidR="00A75CD9">
        <w:t>S</w:t>
      </w:r>
      <w:r w:rsidR="00951775">
        <w:t>ome global efforts</w:t>
      </w:r>
      <w:r w:rsidR="00A75CD9">
        <w:t xml:space="preserve"> already exist</w:t>
      </w:r>
      <w:r w:rsidR="00951775">
        <w:t xml:space="preserve"> to increase funding for societal enablers</w:t>
      </w:r>
      <w:r w:rsidR="00A75CD9">
        <w:t xml:space="preserve">: </w:t>
      </w:r>
      <w:r w:rsidR="00A46401">
        <w:t>the Global Fund investment in human rights programs in the 2017-2019 cycle constituted over 123 million.</w:t>
      </w:r>
      <w:r w:rsidR="00BE22EE">
        <w:rPr>
          <w:rStyle w:val="FootnoteReference"/>
        </w:rPr>
        <w:footnoteReference w:id="61"/>
      </w:r>
      <w:r w:rsidR="00A46401">
        <w:t xml:space="preserve"> </w:t>
      </w:r>
      <w:r w:rsidR="00A75CD9">
        <w:t>t</w:t>
      </w:r>
      <w:r w:rsidR="00951775">
        <w:t xml:space="preserve">he Global Fund’s Breaking Down Barriers initiative has </w:t>
      </w:r>
      <w:r w:rsidR="00C9166C">
        <w:t xml:space="preserve">provided </w:t>
      </w:r>
      <w:r w:rsidR="00B62E8A">
        <w:t>US$45 million in additional funds in 2017-2019 and another US$41 million in 2020-2022 to 20 countries to scale up evidence-based programming to reduce human rights-related barriers to HIV, TB and malaria services</w:t>
      </w:r>
      <w:r w:rsidR="00CB66F2">
        <w:t xml:space="preserve">, in addition to increased human rights </w:t>
      </w:r>
      <w:r w:rsidR="00CB66F2">
        <w:lastRenderedPageBreak/>
        <w:t>investments in grants in those countries amounting to US$32 million in 2017-2019, and circa US$38 million in 2020-2022</w:t>
      </w:r>
      <w:r w:rsidR="00B62E8A">
        <w:t>.</w:t>
      </w:r>
      <w:r w:rsidR="00B62E8A">
        <w:rPr>
          <w:rStyle w:val="FootnoteReference"/>
        </w:rPr>
        <w:footnoteReference w:id="62"/>
      </w:r>
      <w:r w:rsidR="00323BEB">
        <w:t xml:space="preserve"> However greater sustainable international and domestic financing is necessary.</w:t>
      </w:r>
    </w:p>
    <w:p w14:paraId="5F10CFA3" w14:textId="62307420" w:rsidR="00CA456F" w:rsidRPr="00C70E61" w:rsidRDefault="00CA456F" w:rsidP="00CA66E7">
      <w:pPr>
        <w:rPr>
          <w:b/>
          <w:bCs/>
        </w:rPr>
      </w:pPr>
      <w:r>
        <w:t>Funding is also necessary at short notice. Human rights violations and crises, such as arrests or snap legal changes, can often happen suddenly and communities need access to emergency resources to be able to respond</w:t>
      </w:r>
      <w:r w:rsidR="000A035B">
        <w:t xml:space="preserve">, including ensuring safety of members of the community, access to legal services and to convene. </w:t>
      </w:r>
      <w:r w:rsidR="00CD666C">
        <w:t xml:space="preserve">UNAIDS has worked closely with communities to develop an emergency fund that can be accessed quickly by community-led </w:t>
      </w:r>
      <w:proofErr w:type="spellStart"/>
      <w:r w:rsidR="00CD666C">
        <w:t>organisations</w:t>
      </w:r>
      <w:proofErr w:type="spellEnd"/>
      <w:r w:rsidR="00CD666C">
        <w:t xml:space="preserve"> </w:t>
      </w:r>
      <w:r w:rsidR="005E3B13">
        <w:t>to protect vulnerable individuals and communities in times of crises.</w:t>
      </w:r>
    </w:p>
    <w:p w14:paraId="58813169" w14:textId="44912168" w:rsidR="00A504A8" w:rsidRDefault="00A504A8" w:rsidP="00CA66E7">
      <w:pPr>
        <w:rPr>
          <w:b/>
          <w:bCs/>
        </w:rPr>
      </w:pPr>
      <w:r w:rsidRPr="00B66A18">
        <w:rPr>
          <w:b/>
          <w:bCs/>
        </w:rPr>
        <w:t>Evidence</w:t>
      </w:r>
      <w:r w:rsidR="00342081" w:rsidRPr="00B66A18">
        <w:rPr>
          <w:b/>
          <w:bCs/>
        </w:rPr>
        <w:t>-</w:t>
      </w:r>
      <w:r w:rsidRPr="00B66A18">
        <w:rPr>
          <w:b/>
          <w:bCs/>
        </w:rPr>
        <w:t>based</w:t>
      </w:r>
      <w:r w:rsidR="00323BEB">
        <w:rPr>
          <w:b/>
          <w:bCs/>
        </w:rPr>
        <w:t xml:space="preserve"> laws and </w:t>
      </w:r>
      <w:proofErr w:type="spellStart"/>
      <w:r w:rsidR="00323BEB">
        <w:rPr>
          <w:b/>
          <w:bCs/>
        </w:rPr>
        <w:t>programmes</w:t>
      </w:r>
      <w:proofErr w:type="spellEnd"/>
    </w:p>
    <w:p w14:paraId="0D93380D" w14:textId="128CA0C2" w:rsidR="008B5728" w:rsidRDefault="00F11366" w:rsidP="004700E2">
      <w:r>
        <w:t xml:space="preserve">Where laws, policies and </w:t>
      </w:r>
      <w:proofErr w:type="spellStart"/>
      <w:r>
        <w:t>programmes</w:t>
      </w:r>
      <w:proofErr w:type="spellEnd"/>
      <w:r>
        <w:t xml:space="preserve"> are introduced or relied upon to reduce stigma and discrimination and improve HIV outcomes, it is critical that they are </w:t>
      </w:r>
      <w:r w:rsidR="0089078A">
        <w:t>evidence-based</w:t>
      </w:r>
      <w:r>
        <w:t xml:space="preserve">. </w:t>
      </w:r>
      <w:r w:rsidR="001300B6">
        <w:t>In</w:t>
      </w:r>
      <w:r w:rsidR="00DD5D67">
        <w:t xml:space="preserve"> 2018, twenty leading scientists </w:t>
      </w:r>
      <w:r w:rsidR="00176A08">
        <w:t xml:space="preserve">developed and published a </w:t>
      </w:r>
      <w:r w:rsidR="00981439">
        <w:t>consensus</w:t>
      </w:r>
      <w:r w:rsidR="00176A08">
        <w:t xml:space="preserve"> statement on the science of HIV </w:t>
      </w:r>
      <w:r w:rsidR="00D82AEE">
        <w:t>in the context of criminalisation</w:t>
      </w:r>
      <w:r w:rsidR="00981439">
        <w:t>, a statement that has since been endorsed by an additional 70 leading scientists from more than 46 countries</w:t>
      </w:r>
      <w:r w:rsidR="00D82AEE">
        <w:t>.</w:t>
      </w:r>
      <w:r w:rsidR="00017594">
        <w:rPr>
          <w:rStyle w:val="FootnoteReference"/>
        </w:rPr>
        <w:footnoteReference w:id="63"/>
      </w:r>
      <w:r w:rsidR="00D82AEE">
        <w:t xml:space="preserve"> </w:t>
      </w:r>
      <w:r w:rsidR="00396DD9">
        <w:t xml:space="preserve">The consensus statement </w:t>
      </w:r>
      <w:r w:rsidR="00906EC5">
        <w:t xml:space="preserve">has been </w:t>
      </w:r>
      <w:r w:rsidR="00F22DA1">
        <w:t>instrumental in overturning HIV criminalisation in the courts,</w:t>
      </w:r>
      <w:r w:rsidR="00974BC8">
        <w:rPr>
          <w:rStyle w:val="FootnoteReference"/>
        </w:rPr>
        <w:footnoteReference w:id="64"/>
      </w:r>
      <w:r w:rsidR="00F22DA1">
        <w:t xml:space="preserve"> and in </w:t>
      </w:r>
      <w:r w:rsidR="00191C8A">
        <w:t xml:space="preserve">advocacy efforts in </w:t>
      </w:r>
      <w:r w:rsidR="00305724">
        <w:t>relation to law reform</w:t>
      </w:r>
      <w:r w:rsidR="0067168C">
        <w:t xml:space="preserve"> and</w:t>
      </w:r>
      <w:r w:rsidR="00305724">
        <w:t xml:space="preserve"> changes to prosecution</w:t>
      </w:r>
      <w:r w:rsidR="0067168C">
        <w:t xml:space="preserve"> and judicial</w:t>
      </w:r>
      <w:r w:rsidR="006968C6">
        <w:t>.</w:t>
      </w:r>
      <w:r w:rsidR="006968C6">
        <w:rPr>
          <w:rStyle w:val="FootnoteReference"/>
        </w:rPr>
        <w:footnoteReference w:id="65"/>
      </w:r>
      <w:r w:rsidR="00346837">
        <w:t xml:space="preserve"> </w:t>
      </w:r>
      <w:r w:rsidR="00B44E0D">
        <w:t xml:space="preserve">Other independent research has led to law reform on HIV criminalisation in </w:t>
      </w:r>
      <w:r w:rsidR="00AA4502">
        <w:t>Los Angeles and is ongoing in parts of Canada.</w:t>
      </w:r>
      <w:r w:rsidR="00346837">
        <w:rPr>
          <w:rStyle w:val="FootnoteReference"/>
        </w:rPr>
        <w:footnoteReference w:id="66"/>
      </w:r>
      <w:r w:rsidR="00AA4502">
        <w:t xml:space="preserve"> </w:t>
      </w:r>
      <w:r w:rsidR="00346837">
        <w:rPr>
          <w:rStyle w:val="FootnoteReference"/>
        </w:rPr>
        <w:footnoteReference w:id="67"/>
      </w:r>
      <w:r w:rsidR="00AA4502">
        <w:t xml:space="preserve"> </w:t>
      </w:r>
      <w:r w:rsidR="004700E2">
        <w:t xml:space="preserve">Where there have been </w:t>
      </w:r>
      <w:r w:rsidR="00C1101F">
        <w:t>data gaps</w:t>
      </w:r>
      <w:r w:rsidR="004700E2">
        <w:t xml:space="preserve">, there have been cases where Governments have commissioned research, such as in Victoria, Australia where research on the health and social needs of sex workers was  </w:t>
      </w:r>
      <w:r w:rsidR="00AA1D65">
        <w:t xml:space="preserve">supported by an advisory board of sex workers. </w:t>
      </w:r>
      <w:r w:rsidR="009F5DDD">
        <w:t>The research was then used to inform government on the implementation of reforms on the decriminalization of sex work in Victoria</w:t>
      </w:r>
      <w:r w:rsidR="006C708E">
        <w:t>.</w:t>
      </w:r>
      <w:r w:rsidR="006C708E">
        <w:rPr>
          <w:rStyle w:val="FootnoteReference"/>
        </w:rPr>
        <w:footnoteReference w:id="68"/>
      </w:r>
    </w:p>
    <w:p w14:paraId="30B1D10E" w14:textId="0010DD53" w:rsidR="00C46512" w:rsidRPr="00C70E61" w:rsidRDefault="00C46512" w:rsidP="00C46512">
      <w:r>
        <w:t>The Global Commission on HIV and the Law</w:t>
      </w:r>
      <w:r w:rsidR="002E19B8">
        <w:t xml:space="preserve">’s findings and recommendations were based, in part, on interviews with </w:t>
      </w:r>
      <w:r>
        <w:t>more than 700 key informants and r</w:t>
      </w:r>
      <w:r w:rsidR="002E19B8">
        <w:t>eview of</w:t>
      </w:r>
      <w:r>
        <w:t xml:space="preserve"> available data.</w:t>
      </w:r>
      <w:r>
        <w:rPr>
          <w:rStyle w:val="FootnoteReference"/>
        </w:rPr>
        <w:footnoteReference w:id="69"/>
      </w:r>
      <w:r>
        <w:t xml:space="preserve"> </w:t>
      </w:r>
      <w:r>
        <w:rPr>
          <w:rStyle w:val="FootnoteReference"/>
        </w:rPr>
        <w:footnoteReference w:id="70"/>
      </w:r>
      <w:r>
        <w:t xml:space="preserve"> An external evaluation found that the Commission had influenced other global processes, advanced substantive discussions relating to HIV and the law, and promoted collaborative learning and action for an enabling environment</w:t>
      </w:r>
      <w:r w:rsidR="006D379D">
        <w:t>, including being cited by the Supreme Court of India when overturning the laws criminalizing same-sex sexual activity</w:t>
      </w:r>
      <w:r>
        <w:t>.</w:t>
      </w:r>
      <w:r>
        <w:rPr>
          <w:rStyle w:val="FootnoteReference"/>
        </w:rPr>
        <w:footnoteReference w:id="71"/>
      </w:r>
      <w:r w:rsidR="006D379D">
        <w:t xml:space="preserve"> </w:t>
      </w:r>
      <w:r>
        <w:rPr>
          <w:rStyle w:val="FootnoteReference"/>
        </w:rPr>
        <w:footnoteReference w:id="72"/>
      </w:r>
    </w:p>
    <w:p w14:paraId="3116297A" w14:textId="0FEA9716" w:rsidR="001C677C" w:rsidRPr="00B66A18" w:rsidRDefault="0071666E" w:rsidP="00CA66E7">
      <w:pPr>
        <w:rPr>
          <w:b/>
          <w:bCs/>
        </w:rPr>
      </w:pPr>
      <w:r w:rsidRPr="00B66A18">
        <w:rPr>
          <w:b/>
          <w:bCs/>
        </w:rPr>
        <w:lastRenderedPageBreak/>
        <w:t>Data and missing populations</w:t>
      </w:r>
    </w:p>
    <w:p w14:paraId="429A3FF2" w14:textId="0605F92C" w:rsidR="004B0505" w:rsidRPr="00C70E61" w:rsidRDefault="00025137" w:rsidP="00CA66E7">
      <w:r w:rsidRPr="00C70E61">
        <w:t>To leave no one behind, we need people-</w:t>
      </w:r>
      <w:proofErr w:type="spellStart"/>
      <w:r w:rsidRPr="00C70E61">
        <w:t>centred</w:t>
      </w:r>
      <w:proofErr w:type="spellEnd"/>
      <w:r w:rsidRPr="00C70E61">
        <w:t xml:space="preserve"> data collection that spotlights the inequalities that are hampering access to services</w:t>
      </w:r>
      <w:r w:rsidR="002E75F2">
        <w:t>.</w:t>
      </w:r>
      <w:r>
        <w:t xml:space="preserve"> </w:t>
      </w:r>
      <w:r w:rsidR="004B0505" w:rsidRPr="00C70E61">
        <w:t xml:space="preserve">An ongoing challenge relates to a lack of data and information for </w:t>
      </w:r>
      <w:r w:rsidR="00FB4999" w:rsidRPr="00C70E61">
        <w:t>vulnerable and marginalized populations, particularly key populations</w:t>
      </w:r>
      <w:r w:rsidR="004B0505" w:rsidRPr="00C70E61">
        <w:t>, both in terms of population sizes and data relating to health. Criminalisation,</w:t>
      </w:r>
      <w:r w:rsidR="00473B3F" w:rsidRPr="00C70E61">
        <w:t xml:space="preserve"> denialism,</w:t>
      </w:r>
      <w:r w:rsidR="004B0505" w:rsidRPr="00C70E61">
        <w:t xml:space="preserve"> stigma and discrimination can lead to a negation of the existence</w:t>
      </w:r>
      <w:r w:rsidR="00613411">
        <w:t>,</w:t>
      </w:r>
      <w:r w:rsidR="00DB50A3" w:rsidRPr="00C70E61">
        <w:t xml:space="preserve"> and reinforce invisibility</w:t>
      </w:r>
      <w:r w:rsidR="004B0505" w:rsidRPr="00C70E61">
        <w:t xml:space="preserve"> of</w:t>
      </w:r>
      <w:r w:rsidR="00613411">
        <w:t>,</w:t>
      </w:r>
      <w:r w:rsidR="004B0505" w:rsidRPr="00C70E61">
        <w:t xml:space="preserve"> </w:t>
      </w:r>
      <w:r w:rsidR="00F264B9" w:rsidRPr="00C70E61">
        <w:t>key populations</w:t>
      </w:r>
      <w:r w:rsidR="004B0505" w:rsidRPr="00C70E61">
        <w:t xml:space="preserve"> in different countries </w:t>
      </w:r>
      <w:r w:rsidR="00705CD1" w:rsidRPr="00C70E61">
        <w:t>and</w:t>
      </w:r>
      <w:r w:rsidR="004B0505" w:rsidRPr="00C70E61">
        <w:t xml:space="preserve"> sub-national regions.</w:t>
      </w:r>
      <w:r w:rsidR="00DB50A3" w:rsidRPr="00C70E61">
        <w:rPr>
          <w:rStyle w:val="FootnoteReference"/>
        </w:rPr>
        <w:footnoteReference w:id="73"/>
      </w:r>
      <w:r w:rsidR="004B0505" w:rsidRPr="00C70E61">
        <w:t xml:space="preserve"> </w:t>
      </w:r>
      <w:r w:rsidR="002E75F2">
        <w:t>C</w:t>
      </w:r>
      <w:r w:rsidR="004B0505" w:rsidRPr="00C70E61">
        <w:t xml:space="preserve">ountries that criminalize same-sex sexual </w:t>
      </w:r>
      <w:proofErr w:type="spellStart"/>
      <w:r w:rsidR="004B0505" w:rsidRPr="00C70E61">
        <w:t>behaviour</w:t>
      </w:r>
      <w:proofErr w:type="spellEnd"/>
      <w:r w:rsidR="004B0505" w:rsidRPr="00C70E61">
        <w:t xml:space="preserve"> </w:t>
      </w:r>
      <w:r w:rsidR="002E75F2">
        <w:t>are</w:t>
      </w:r>
      <w:r w:rsidR="004B0505" w:rsidRPr="00C70E61">
        <w:t xml:space="preserve"> more likely to report implausibly low numbers of gay men and other MSM compared to countries that do not criminalize such </w:t>
      </w:r>
      <w:proofErr w:type="spellStart"/>
      <w:r w:rsidR="004B0505" w:rsidRPr="00C70E61">
        <w:t>behaviour</w:t>
      </w:r>
      <w:proofErr w:type="spellEnd"/>
      <w:r w:rsidR="004B0505" w:rsidRPr="00C70E61">
        <w:t>.</w:t>
      </w:r>
      <w:r w:rsidR="00A64999" w:rsidRPr="00C70E61">
        <w:rPr>
          <w:rStyle w:val="FootnoteReference"/>
        </w:rPr>
        <w:footnoteReference w:id="74"/>
      </w:r>
      <w:r w:rsidR="004B0505" w:rsidRPr="00C70E61">
        <w:t xml:space="preserve">  An analysis by UNAIDS, WHO and the Global Fund estimated that</w:t>
      </w:r>
      <w:r w:rsidR="00A73672">
        <w:t xml:space="preserve">, </w:t>
      </w:r>
      <w:r w:rsidR="003B57A9">
        <w:t>among</w:t>
      </w:r>
      <w:r w:rsidR="00A73672">
        <w:t xml:space="preserve"> the 5</w:t>
      </w:r>
      <w:r w:rsidR="003B57A9">
        <w:t>2</w:t>
      </w:r>
      <w:r w:rsidR="00A73672">
        <w:t xml:space="preserve"> countries that provide population size estimates,</w:t>
      </w:r>
      <w:r w:rsidR="004B0505" w:rsidRPr="00C70E61">
        <w:t xml:space="preserve"> more than 15 million people from key populations who would benefit from HIV prevention, care and treatment services are unaccounted for.</w:t>
      </w:r>
      <w:r w:rsidR="00A73672">
        <w:t xml:space="preserve"> </w:t>
      </w:r>
      <w:r w:rsidR="007441DB">
        <w:t>Globally, t</w:t>
      </w:r>
      <w:r w:rsidR="00A73672">
        <w:t xml:space="preserve">he total number of </w:t>
      </w:r>
      <w:r w:rsidR="005B167C">
        <w:t>people unaccounted for is likely much higher than this.</w:t>
      </w:r>
      <w:r w:rsidR="00613411">
        <w:rPr>
          <w:rStyle w:val="FootnoteReference"/>
        </w:rPr>
        <w:footnoteReference w:id="75"/>
      </w:r>
      <w:r w:rsidR="00D0391D" w:rsidRPr="00C70E61">
        <w:t xml:space="preserve"> </w:t>
      </w:r>
      <w:r w:rsidR="004B0505" w:rsidRPr="00C70E61">
        <w:t xml:space="preserve">The failure to include these individuals in national population estimates has a critical and damaging flow on effect on health care coverage in relation to the budgeting and roll out of life-saving health care services. </w:t>
      </w:r>
    </w:p>
    <w:p w14:paraId="10D86975" w14:textId="3253C2FF" w:rsidR="00B35A1A" w:rsidRDefault="00676F2E" w:rsidP="00E848B3">
      <w:r>
        <w:t>As noted by WHO, “e</w:t>
      </w:r>
      <w:r w:rsidRPr="00676F2E">
        <w:t>fforts to improve the availability and quality of data about key populations must overcome a lack of political will and funding. In many settings, data collection is impeded by discriminatory legal frameworks that criminalize behaviours of key populations. This introduces complexities about the ethics of data collection practices, as necessary protections for the affected communities must be ensured</w:t>
      </w:r>
      <w:r w:rsidR="00CC2EDB">
        <w:t>. For instance, in situations where the safety and human rights of people from key populations cannot be assured, data collection should be avoided.</w:t>
      </w:r>
      <w:r>
        <w:t>”</w:t>
      </w:r>
      <w:r>
        <w:rPr>
          <w:rStyle w:val="FootnoteReference"/>
        </w:rPr>
        <w:footnoteReference w:id="76"/>
      </w:r>
      <w:r w:rsidRPr="00676F2E">
        <w:t xml:space="preserve"> </w:t>
      </w:r>
      <w:r w:rsidR="0007189F">
        <w:t>C</w:t>
      </w:r>
      <w:r w:rsidR="00B35A1A" w:rsidRPr="00C70E61">
        <w:t xml:space="preserve">ommunity-led data collection and analysis is essential for ensuring inclusion of communities left behind in a manner that ensures the security and trust of communities. </w:t>
      </w:r>
      <w:r w:rsidR="003C5CE5">
        <w:t xml:space="preserve">The </w:t>
      </w:r>
      <w:hyperlink r:id="rId21" w:history="1">
        <w:r w:rsidR="00B35A1A" w:rsidRPr="00C70E61">
          <w:rPr>
            <w:rStyle w:val="Hyperlink"/>
          </w:rPr>
          <w:t>People Living with HIV (PLHIV) Stigma Index</w:t>
        </w:r>
      </w:hyperlink>
      <w:r w:rsidR="00B35A1A" w:rsidRPr="00C70E61">
        <w:t>,</w:t>
      </w:r>
      <w:r w:rsidR="00A84172" w:rsidRPr="00C70E61">
        <w:t xml:space="preserve"> </w:t>
      </w:r>
      <w:r w:rsidR="003C5CE5">
        <w:t xml:space="preserve">developed by GNP+, ICW, IPPF and UNAIDS, is </w:t>
      </w:r>
      <w:r w:rsidR="00A84172" w:rsidRPr="00C70E61">
        <w:t xml:space="preserve">a </w:t>
      </w:r>
      <w:r w:rsidR="00B23AE6">
        <w:t xml:space="preserve">best-practice </w:t>
      </w:r>
      <w:r w:rsidR="00A84172" w:rsidRPr="00C70E61">
        <w:t>community-led research initiative that gathers data on the various forms of stigma and discrimination experienced by people living with HIV.</w:t>
      </w:r>
      <w:r w:rsidR="00B35A1A" w:rsidRPr="00C70E61">
        <w:t xml:space="preserve"> The PLHIV Stigma Index was developed to be used by and for people living with HIV. </w:t>
      </w:r>
      <w:r w:rsidR="00786436">
        <w:t>T</w:t>
      </w:r>
      <w:r w:rsidR="00B35A1A" w:rsidRPr="00C70E61">
        <w:t>he PLHIV Stigma Index has been implemented in more than 100 countries with over 100,000 PLHIV participating in the process.</w:t>
      </w:r>
      <w:r w:rsidR="00B35A1A" w:rsidRPr="00C70E61">
        <w:rPr>
          <w:rStyle w:val="FootnoteReference"/>
        </w:rPr>
        <w:footnoteReference w:id="77"/>
      </w:r>
      <w:r w:rsidR="00D70081">
        <w:t xml:space="preserve"> Findings from the Stigma Index have led to the systematic scale up of action t</w:t>
      </w:r>
      <w:r w:rsidR="00C7469D">
        <w:t xml:space="preserve">hat has successfully </w:t>
      </w:r>
      <w:r w:rsidR="00D70081">
        <w:t>reduce</w:t>
      </w:r>
      <w:r w:rsidR="00C7469D">
        <w:t>d HIV-related</w:t>
      </w:r>
      <w:r w:rsidR="00D70081">
        <w:t xml:space="preserve"> </w:t>
      </w:r>
      <w:r w:rsidR="002F12E9">
        <w:t xml:space="preserve">stigma and </w:t>
      </w:r>
      <w:proofErr w:type="gramStart"/>
      <w:r w:rsidR="002F12E9">
        <w:t>discrimination</w:t>
      </w:r>
      <w:r w:rsidR="00693794">
        <w:t>, and</w:t>
      </w:r>
      <w:proofErr w:type="gramEnd"/>
      <w:r w:rsidR="00693794">
        <w:t xml:space="preserve"> launched a national investigation into the practice of forced sterilization</w:t>
      </w:r>
      <w:r w:rsidR="00C7469D">
        <w:t>.</w:t>
      </w:r>
      <w:r w:rsidR="000F6C47">
        <w:rPr>
          <w:rStyle w:val="FootnoteReference"/>
        </w:rPr>
        <w:footnoteReference w:id="78"/>
      </w:r>
      <w:r w:rsidR="00693794">
        <w:t xml:space="preserve"> </w:t>
      </w:r>
      <w:r w:rsidR="000F6C47">
        <w:rPr>
          <w:rStyle w:val="FootnoteReference"/>
        </w:rPr>
        <w:footnoteReference w:id="79"/>
      </w:r>
    </w:p>
    <w:p w14:paraId="0DBD3099" w14:textId="77777777" w:rsidR="005531E7" w:rsidRDefault="00FB07AB" w:rsidP="000100CF">
      <w:r w:rsidRPr="00C70E61">
        <w:lastRenderedPageBreak/>
        <w:t>In addition, investments are needed in pioneering data collection to inform policy and action</w:t>
      </w:r>
      <w:r w:rsidR="001729C7">
        <w:t xml:space="preserve"> on </w:t>
      </w:r>
      <w:proofErr w:type="gramStart"/>
      <w:r w:rsidR="001729C7">
        <w:t>gender based</w:t>
      </w:r>
      <w:proofErr w:type="gramEnd"/>
      <w:r w:rsidR="001729C7">
        <w:t xml:space="preserve"> violence</w:t>
      </w:r>
      <w:r w:rsidRPr="00C70E61">
        <w:t>,</w:t>
      </w:r>
      <w:r w:rsidR="00533D0F">
        <w:t xml:space="preserve"> particularly on </w:t>
      </w:r>
      <w:r w:rsidR="006728D4">
        <w:t>multiple and intersecting forms of stigma and discrimination. One such</w:t>
      </w:r>
      <w:r w:rsidRPr="00C70E61">
        <w:t xml:space="preserve"> </w:t>
      </w:r>
      <w:r w:rsidR="006728D4">
        <w:t xml:space="preserve">landmark </w:t>
      </w:r>
      <w:r w:rsidRPr="00C70E61">
        <w:t xml:space="preserve">study </w:t>
      </w:r>
      <w:r w:rsidR="006728D4">
        <w:t xml:space="preserve">was undertaken </w:t>
      </w:r>
      <w:r w:rsidRPr="00C70E61">
        <w:t xml:space="preserve">in Latin America on violence against women living with HIV supported by UNAIDS, focused on women facing intersecting forms of discrimination, </w:t>
      </w:r>
      <w:proofErr w:type="gramStart"/>
      <w:r w:rsidRPr="00C70E61">
        <w:t>marginalization</w:t>
      </w:r>
      <w:proofErr w:type="gramEnd"/>
      <w:r w:rsidRPr="00C70E61">
        <w:t xml:space="preserve"> and stigma.</w:t>
      </w:r>
      <w:r w:rsidRPr="00C70E61">
        <w:rPr>
          <w:rStyle w:val="FootnoteReference"/>
        </w:rPr>
        <w:footnoteReference w:id="80"/>
      </w:r>
      <w:r w:rsidRPr="00C70E61">
        <w:t xml:space="preserve"> </w:t>
      </w:r>
    </w:p>
    <w:p w14:paraId="59527955" w14:textId="64899271" w:rsidR="00B35A1A" w:rsidRPr="00C70E61" w:rsidRDefault="005531E7" w:rsidP="000100CF">
      <w:r>
        <w:t xml:space="preserve">To obtain data from marginalized and stigmatized populations, </w:t>
      </w:r>
      <w:r w:rsidR="00346F6A">
        <w:t xml:space="preserve">particularly key populations, </w:t>
      </w:r>
      <w:r w:rsidR="00B35A1A" w:rsidRPr="00C70E61">
        <w:t xml:space="preserve">UNAIDS, WHO, FHI 360, and the US Centers for Disease Control and Prevention developed </w:t>
      </w:r>
      <w:hyperlink r:id="rId22" w:history="1">
        <w:proofErr w:type="spellStart"/>
        <w:r w:rsidR="00B35A1A" w:rsidRPr="00C70E61">
          <w:rPr>
            <w:rStyle w:val="Hyperlink"/>
          </w:rPr>
          <w:t>Biobehavioural</w:t>
        </w:r>
        <w:proofErr w:type="spellEnd"/>
        <w:r w:rsidR="00B35A1A" w:rsidRPr="00C70E61">
          <w:rPr>
            <w:rStyle w:val="Hyperlink"/>
          </w:rPr>
          <w:t xml:space="preserve"> Survey Guidelines</w:t>
        </w:r>
      </w:hyperlink>
      <w:r w:rsidR="00B35A1A" w:rsidRPr="00C70E61">
        <w:t xml:space="preserve"> for country-based integrated </w:t>
      </w:r>
      <w:proofErr w:type="spellStart"/>
      <w:r w:rsidR="00B35A1A" w:rsidRPr="00C70E61">
        <w:t>biobehavioural</w:t>
      </w:r>
      <w:proofErr w:type="spellEnd"/>
      <w:r w:rsidR="00B35A1A" w:rsidRPr="00C70E61">
        <w:t xml:space="preserve"> surveys (IBBS) of HIV and HIV-risk behaviours. The surveys ask questions that go to intersectionality </w:t>
      </w:r>
      <w:r w:rsidR="00102E62">
        <w:t>including</w:t>
      </w:r>
      <w:r w:rsidR="00102E62" w:rsidRPr="00C70E61">
        <w:t xml:space="preserve"> gender</w:t>
      </w:r>
      <w:r w:rsidR="00B35A1A" w:rsidRPr="00C70E61">
        <w:t xml:space="preserve"> identity or sexual orientation, sex at birth, </w:t>
      </w:r>
      <w:r w:rsidR="00346F6A">
        <w:t xml:space="preserve">drug use, involvement in sex work </w:t>
      </w:r>
      <w:r w:rsidR="00B35A1A" w:rsidRPr="00C70E61">
        <w:t>educational attainment</w:t>
      </w:r>
      <w:r w:rsidR="00346F6A">
        <w:t xml:space="preserve"> and</w:t>
      </w:r>
      <w:r w:rsidR="00B35A1A" w:rsidRPr="00C70E61">
        <w:t xml:space="preserve"> marital status</w:t>
      </w:r>
      <w:r w:rsidR="00536434">
        <w:t xml:space="preserve">, as well as questions on </w:t>
      </w:r>
      <w:r w:rsidR="00B35A1A" w:rsidRPr="00C70E61">
        <w:t xml:space="preserve">stigma, </w:t>
      </w:r>
      <w:proofErr w:type="gramStart"/>
      <w:r w:rsidR="00B35A1A" w:rsidRPr="00C70E61">
        <w:t>discrimination</w:t>
      </w:r>
      <w:proofErr w:type="gramEnd"/>
      <w:r w:rsidR="00B35A1A" w:rsidRPr="00C70E61">
        <w:t xml:space="preserve"> and harassment</w:t>
      </w:r>
      <w:r w:rsidR="00536434">
        <w:t xml:space="preserve"> and on uptake of HIV services and health outcomes. </w:t>
      </w:r>
      <w:r w:rsidR="00B35A1A" w:rsidRPr="00C70E61">
        <w:t xml:space="preserve">Collecting this type of multi-layered information is particularly important </w:t>
      </w:r>
      <w:r w:rsidR="00102E62" w:rsidRPr="00C70E61">
        <w:t>to</w:t>
      </w:r>
      <w:r w:rsidR="00B35A1A" w:rsidRPr="00C70E61">
        <w:t xml:space="preserve"> understand the multiple and intersecting forms of stigma and discrimination, including structural, that impede the provision of and access to health services.</w:t>
      </w:r>
      <w:r w:rsidR="000100CF">
        <w:t xml:space="preserve"> It can also help to remove structural barriers</w:t>
      </w:r>
      <w:r w:rsidR="002815F3">
        <w:t xml:space="preserve"> as the data from </w:t>
      </w:r>
      <w:r w:rsidR="00832B83">
        <w:t xml:space="preserve">the IBBS survey has been used successfully in </w:t>
      </w:r>
      <w:r w:rsidR="008B6C1F">
        <w:t>strategic litigation challenging criminalisation of same-sex sexual activity</w:t>
      </w:r>
      <w:r w:rsidR="000100CF">
        <w:t>.</w:t>
      </w:r>
      <w:r w:rsidR="00785E28">
        <w:rPr>
          <w:rStyle w:val="FootnoteReference"/>
        </w:rPr>
        <w:footnoteReference w:id="81"/>
      </w:r>
    </w:p>
    <w:p w14:paraId="4C0584D3" w14:textId="59972641" w:rsidR="00B35A1A" w:rsidRPr="00C70E61" w:rsidRDefault="008B6C1F" w:rsidP="00CA66E7">
      <w:proofErr w:type="gramStart"/>
      <w:r>
        <w:t>U</w:t>
      </w:r>
      <w:r w:rsidR="00B35A1A" w:rsidRPr="00C70E61">
        <w:t>nfortunately</w:t>
      </w:r>
      <w:proofErr w:type="gramEnd"/>
      <w:r w:rsidR="00B35A1A" w:rsidRPr="00C70E61">
        <w:t xml:space="preserve"> country uptake </w:t>
      </w:r>
      <w:r>
        <w:t xml:space="preserve">of IBBS </w:t>
      </w:r>
      <w:r w:rsidR="00B35A1A" w:rsidRPr="00C70E61">
        <w:t>is limited. Between 2016 – 2020, only 64 countries reported survey data to UNAIDS on gay men and other MSM</w:t>
      </w:r>
      <w:r w:rsidR="00F116C9" w:rsidRPr="00C70E61">
        <w:t>,</w:t>
      </w:r>
      <w:r w:rsidR="00B35A1A" w:rsidRPr="00C70E61">
        <w:t xml:space="preserve"> 29 countries reported on transgender individuals</w:t>
      </w:r>
      <w:r w:rsidR="00F116C9" w:rsidRPr="00C70E61">
        <w:t xml:space="preserve">, 66 reported </w:t>
      </w:r>
      <w:r w:rsidR="001C09AF" w:rsidRPr="00C70E61">
        <w:t xml:space="preserve">survey </w:t>
      </w:r>
      <w:r w:rsidR="00F116C9" w:rsidRPr="00C70E61">
        <w:t>data for sex workers</w:t>
      </w:r>
      <w:r w:rsidR="001C09AF" w:rsidRPr="00C70E61">
        <w:t xml:space="preserve"> and 25 reported data for people who inject drugs</w:t>
      </w:r>
      <w:r w:rsidR="00B35A1A" w:rsidRPr="00C70E61">
        <w:t>.</w:t>
      </w:r>
      <w:r w:rsidR="00B35A1A" w:rsidRPr="00C70E61">
        <w:rPr>
          <w:rStyle w:val="FootnoteReference"/>
        </w:rPr>
        <w:footnoteReference w:id="82"/>
      </w:r>
      <w:r w:rsidR="00B35A1A" w:rsidRPr="00C70E61">
        <w:t xml:space="preserve"> As such, significant data and research gaps remain. </w:t>
      </w:r>
    </w:p>
    <w:p w14:paraId="2F337A44" w14:textId="2F0DD70C" w:rsidR="00F33182" w:rsidRDefault="00F33182" w:rsidP="00CA66E7">
      <w:pPr>
        <w:rPr>
          <w:b/>
          <w:bCs/>
        </w:rPr>
      </w:pPr>
      <w:r>
        <w:rPr>
          <w:b/>
          <w:bCs/>
        </w:rPr>
        <w:t xml:space="preserve">The Global Partnership for Action to Eliminate All forms of HIV-related Stigma and Discrimination </w:t>
      </w:r>
      <w:r w:rsidR="00984799">
        <w:rPr>
          <w:b/>
          <w:bCs/>
        </w:rPr>
        <w:t>(Global Partnership)</w:t>
      </w:r>
    </w:p>
    <w:p w14:paraId="3FF48718" w14:textId="2C4E68F3" w:rsidR="003A7839" w:rsidRDefault="00F33182" w:rsidP="00F33182">
      <w:r w:rsidRPr="00C70E61">
        <w:t xml:space="preserve">Despite the evidence on the importance of </w:t>
      </w:r>
      <w:proofErr w:type="gramStart"/>
      <w:r w:rsidR="00AF49E0">
        <w:t>taking action</w:t>
      </w:r>
      <w:proofErr w:type="gramEnd"/>
      <w:r w:rsidR="00AF49E0">
        <w:t xml:space="preserve"> on the societal enablers, particularly stigma and discrimination</w:t>
      </w:r>
      <w:r w:rsidRPr="00C70E61">
        <w:t xml:space="preserve">, </w:t>
      </w:r>
      <w:r>
        <w:t xml:space="preserve">till recently, </w:t>
      </w:r>
      <w:r w:rsidR="00AF49E0">
        <w:t>there have been significant gaps in action and funding</w:t>
      </w:r>
      <w:r w:rsidRPr="00C70E61">
        <w:t xml:space="preserve">. For this reason, </w:t>
      </w:r>
      <w:r w:rsidR="00984799">
        <w:t xml:space="preserve">the Global Partnership </w:t>
      </w:r>
      <w:r w:rsidRPr="00C70E61">
        <w:t xml:space="preserve">was formed in 2017 to harness the combined power of governments, civil society, bilateral and multilateral donors, </w:t>
      </w:r>
      <w:proofErr w:type="gramStart"/>
      <w:r w:rsidRPr="00C70E61">
        <w:t>academia</w:t>
      </w:r>
      <w:proofErr w:type="gramEnd"/>
      <w:r w:rsidRPr="00C70E61">
        <w:t xml:space="preserve"> and the United Nations to eliminate HIV-related stigma and discrimination and to inspire countries to take action to remove critical barriers to HIV services.</w:t>
      </w:r>
      <w:r w:rsidRPr="00C70E61">
        <w:rPr>
          <w:rStyle w:val="FootnoteReference"/>
        </w:rPr>
        <w:footnoteReference w:id="83"/>
      </w:r>
      <w:r w:rsidRPr="00C70E61">
        <w:t xml:space="preserve"> </w:t>
      </w:r>
      <w:r w:rsidR="00AF49E0">
        <w:t>Given the inter</w:t>
      </w:r>
      <w:r w:rsidR="003A7839">
        <w:t xml:space="preserve">related nature of the 10-10-10 targets, the Global Partnership is a vehicle for action across all societal enablers, not just stigma and discrimination. </w:t>
      </w:r>
    </w:p>
    <w:p w14:paraId="03A75C78" w14:textId="3AB6AA4C" w:rsidR="00F33182" w:rsidRPr="00C70E61" w:rsidRDefault="00F33182" w:rsidP="00F33182">
      <w:r w:rsidRPr="00C70E61">
        <w:t xml:space="preserve">Co-led by UNAIDS, UNDP, </w:t>
      </w:r>
      <w:proofErr w:type="spellStart"/>
      <w:r w:rsidRPr="00C70E61">
        <w:t>UNWomen</w:t>
      </w:r>
      <w:proofErr w:type="spellEnd"/>
      <w:r w:rsidRPr="00C70E61">
        <w:t xml:space="preserve">, </w:t>
      </w:r>
      <w:r>
        <w:t>GNP+</w:t>
      </w:r>
      <w:r w:rsidRPr="00C70E61">
        <w:t>,</w:t>
      </w:r>
      <w:r w:rsidR="006C1129">
        <w:t xml:space="preserve"> the PCB NGO Delegation,</w:t>
      </w:r>
      <w:r w:rsidRPr="00C70E61">
        <w:t xml:space="preserve"> and the Global Fund for HIV, Tuberculosis and Malaria, the Global Partnership has increased coordinated technical assistance and leveraged synergies of action to support country efforts to end stigma and discrimination across six </w:t>
      </w:r>
      <w:r w:rsidRPr="00C70E61">
        <w:lastRenderedPageBreak/>
        <w:t xml:space="preserve">settings: healthcare, justice, education, workplace, </w:t>
      </w:r>
      <w:proofErr w:type="gramStart"/>
      <w:r w:rsidRPr="00C70E61">
        <w:t>humanitarian</w:t>
      </w:r>
      <w:proofErr w:type="gramEnd"/>
      <w:r w:rsidRPr="00C70E61">
        <w:t xml:space="preserve"> and community</w:t>
      </w:r>
      <w:r w:rsidR="00471607">
        <w:t xml:space="preserve">. </w:t>
      </w:r>
      <w:r w:rsidRPr="00C70E61">
        <w:t xml:space="preserve">As </w:t>
      </w:r>
      <w:r w:rsidR="006C1129">
        <w:t>of</w:t>
      </w:r>
      <w:r w:rsidRPr="00C70E61">
        <w:t xml:space="preserve"> 3 February 2022, twenty-nine countries had joined</w:t>
      </w:r>
      <w:r w:rsidR="00471607">
        <w:t>.</w:t>
      </w:r>
      <w:r w:rsidRPr="00C70E61">
        <w:t xml:space="preserve"> </w:t>
      </w:r>
      <w:r>
        <w:t xml:space="preserve">The Global Partnership has </w:t>
      </w:r>
      <w:r w:rsidR="00471607">
        <w:t>supported</w:t>
      </w:r>
      <w:r>
        <w:t xml:space="preserve"> action on law reform in Benin, Burundi, CAR, Angola, Iran and Kazakhstan and Ukraine</w:t>
      </w:r>
      <w:r w:rsidR="005305C0">
        <w:t>, on</w:t>
      </w:r>
      <w:r>
        <w:t xml:space="preserve"> stigma and discrimination reduction in Thailand, Nepal, Iran, Central African Republic, Jamaica, South Africa, Papua New </w:t>
      </w:r>
      <w:proofErr w:type="gramStart"/>
      <w:r>
        <w:t>Guinea</w:t>
      </w:r>
      <w:proofErr w:type="gramEnd"/>
      <w:r>
        <w:t xml:space="preserve"> and many others. </w:t>
      </w:r>
      <w:r w:rsidR="005305C0">
        <w:t>Action has been taken to reduce stigma and discrimination faced by women and girls in Senega</w:t>
      </w:r>
      <w:r w:rsidR="001863B5">
        <w:t>l</w:t>
      </w:r>
      <w:r w:rsidR="005305C0">
        <w:t xml:space="preserve">, </w:t>
      </w:r>
      <w:proofErr w:type="gramStart"/>
      <w:r w:rsidR="005305C0">
        <w:t>Uganda</w:t>
      </w:r>
      <w:proofErr w:type="gramEnd"/>
      <w:r w:rsidR="005305C0">
        <w:t xml:space="preserve"> and Jamaica. </w:t>
      </w:r>
      <w:r>
        <w:t xml:space="preserve">For </w:t>
      </w:r>
      <w:r w:rsidR="003A7839">
        <w:t xml:space="preserve">further </w:t>
      </w:r>
      <w:r>
        <w:t>details please see</w:t>
      </w:r>
      <w:r w:rsidR="003A7839">
        <w:t xml:space="preserve"> below in </w:t>
      </w:r>
      <w:r w:rsidR="00F30E3D">
        <w:t xml:space="preserve">the section on Stigma and Discrimination and </w:t>
      </w:r>
      <w:r w:rsidRPr="00F33182">
        <w:rPr>
          <w:b/>
          <w:bCs/>
        </w:rPr>
        <w:t>Annex 1</w:t>
      </w:r>
      <w:r>
        <w:t>.</w:t>
      </w:r>
    </w:p>
    <w:p w14:paraId="5F8E01EA" w14:textId="1065DF48" w:rsidR="0047488B" w:rsidRPr="000F6C47" w:rsidRDefault="000F6C47" w:rsidP="00CA66E7">
      <w:pPr>
        <w:rPr>
          <w:b/>
          <w:bCs/>
        </w:rPr>
      </w:pPr>
      <w:r>
        <w:rPr>
          <w:b/>
          <w:bCs/>
        </w:rPr>
        <w:t>SPECIFIC TARGETS</w:t>
      </w:r>
    </w:p>
    <w:p w14:paraId="697FB097" w14:textId="7B8C4032" w:rsidR="008B6F64" w:rsidRPr="000F6C47" w:rsidRDefault="00341E5B" w:rsidP="00CA66E7">
      <w:pPr>
        <w:rPr>
          <w:b/>
          <w:bCs/>
        </w:rPr>
      </w:pPr>
      <w:r>
        <w:rPr>
          <w:b/>
          <w:bCs/>
        </w:rPr>
        <w:t>Removing punitive and discriminatory laws</w:t>
      </w:r>
    </w:p>
    <w:p w14:paraId="57ACDA35" w14:textId="5B7C08D8" w:rsidR="00A4619F" w:rsidRDefault="000A7107" w:rsidP="00CA66E7">
      <w:r>
        <w:t>The first societal enabler calls on countries to remove</w:t>
      </w:r>
      <w:r w:rsidR="00341E5B">
        <w:t xml:space="preserve"> discriminatory and punitive</w:t>
      </w:r>
      <w:r>
        <w:t xml:space="preserve"> laws and policies that create barriers to accessing HIV services</w:t>
      </w:r>
      <w:r w:rsidR="00025137">
        <w:t xml:space="preserve"> including the </w:t>
      </w:r>
      <w:r w:rsidR="006C5119">
        <w:t xml:space="preserve">removal of laws criminalizing sex work, </w:t>
      </w:r>
      <w:r w:rsidR="00D721E8">
        <w:t xml:space="preserve">drug use and possession for personal use, consensual same-sex sexual activity and </w:t>
      </w:r>
      <w:r w:rsidR="00A4619F">
        <w:t xml:space="preserve">HIV criminalisation. </w:t>
      </w:r>
    </w:p>
    <w:p w14:paraId="2EA5B7BD" w14:textId="39108146" w:rsidR="00FE318E" w:rsidRDefault="008639B1" w:rsidP="00FE318E">
      <w:r>
        <w:t>T</w:t>
      </w:r>
      <w:r w:rsidR="00450833">
        <w:t xml:space="preserve">he way in which a country </w:t>
      </w:r>
      <w:r w:rsidR="000B3136">
        <w:t>removes criminal laws is critical to ensuring the barriers to services are removed</w:t>
      </w:r>
      <w:r w:rsidR="00CC2C12">
        <w:t>.</w:t>
      </w:r>
      <w:r w:rsidR="00820B4C">
        <w:t xml:space="preserve"> For example, </w:t>
      </w:r>
      <w:r w:rsidR="00B172DE">
        <w:t xml:space="preserve">in addition to criminalizing the sale of sex, </w:t>
      </w:r>
      <w:r w:rsidR="00FE318E">
        <w:t xml:space="preserve">the criminalization of </w:t>
      </w:r>
      <w:r w:rsidR="00782E7E">
        <w:t xml:space="preserve">any aspect of sex, including </w:t>
      </w:r>
      <w:r>
        <w:t xml:space="preserve">targeting </w:t>
      </w:r>
      <w:r w:rsidR="00FE318E">
        <w:t>the clients of sex workers has been repeatedly shown to negatively affect sex workers’ safety and health, including reducing condom access and use and increasing the rates of violence.</w:t>
      </w:r>
      <w:r w:rsidR="00C1329E">
        <w:t xml:space="preserve"> </w:t>
      </w:r>
      <w:r w:rsidR="003F4A3A">
        <w:rPr>
          <w:rStyle w:val="FootnoteReference"/>
        </w:rPr>
        <w:footnoteReference w:id="84"/>
      </w:r>
      <w:r w:rsidR="003F4A3A">
        <w:t xml:space="preserve"> </w:t>
      </w:r>
      <w:r w:rsidR="003F4A3A">
        <w:rPr>
          <w:rStyle w:val="FootnoteReference"/>
        </w:rPr>
        <w:footnoteReference w:id="85"/>
      </w:r>
      <w:r w:rsidR="00A96C15">
        <w:t xml:space="preserve"> </w:t>
      </w:r>
      <w:r w:rsidR="00A96C15">
        <w:rPr>
          <w:rStyle w:val="FootnoteReference"/>
        </w:rPr>
        <w:footnoteReference w:id="86"/>
      </w:r>
      <w:r w:rsidR="00C1329E">
        <w:t xml:space="preserve"> </w:t>
      </w:r>
      <w:r w:rsidR="00C1329E">
        <w:rPr>
          <w:rStyle w:val="FootnoteReference"/>
        </w:rPr>
        <w:footnoteReference w:id="87"/>
      </w:r>
      <w:r w:rsidR="00FE318E">
        <w:t xml:space="preserve"> </w:t>
      </w:r>
      <w:r w:rsidR="00E86187">
        <w:t>Evidence-based modelling has shown that decriminalization of all aspects of sex work would avert 33-46% of new HIV infections among female sex workers and their clients over ten years.</w:t>
      </w:r>
      <w:r w:rsidR="00E86187">
        <w:rPr>
          <w:rStyle w:val="FootnoteReference"/>
        </w:rPr>
        <w:footnoteReference w:id="88"/>
      </w:r>
      <w:r w:rsidR="00E86187">
        <w:t xml:space="preserve"> </w:t>
      </w:r>
      <w:proofErr w:type="spellStart"/>
      <w:r w:rsidR="000F57BD">
        <w:t>Decriminalisation</w:t>
      </w:r>
      <w:proofErr w:type="spellEnd"/>
      <w:r w:rsidR="000F57BD">
        <w:t xml:space="preserve"> of drug use and possession for personal use is critical for </w:t>
      </w:r>
      <w:r w:rsidR="00A94DC8">
        <w:t>ensuring access to HIV services. However</w:t>
      </w:r>
      <w:r w:rsidR="00F7427A">
        <w:t>,</w:t>
      </w:r>
      <w:r w:rsidR="00A94DC8">
        <w:t xml:space="preserve"> where criminal sanctions are replaced with significant fines or other severe administrative penalties, </w:t>
      </w:r>
      <w:r w:rsidR="00CA24F9">
        <w:t xml:space="preserve">or where thresholds for personal use of drugs are too low, </w:t>
      </w:r>
      <w:r w:rsidR="00A94DC8">
        <w:t>the impact can be similar to that of criminalisation.</w:t>
      </w:r>
      <w:r w:rsidR="00942632">
        <w:rPr>
          <w:rStyle w:val="FootnoteReference"/>
        </w:rPr>
        <w:footnoteReference w:id="89"/>
      </w:r>
      <w:r w:rsidR="00A94DC8">
        <w:t xml:space="preserve"> </w:t>
      </w:r>
      <w:r w:rsidR="00BF41F0">
        <w:t xml:space="preserve">Of particular concern is the continued use of </w:t>
      </w:r>
      <w:r w:rsidR="00553333">
        <w:t xml:space="preserve">compulsory drug detention </w:t>
      </w:r>
      <w:proofErr w:type="spellStart"/>
      <w:r w:rsidR="00553333">
        <w:t>centres</w:t>
      </w:r>
      <w:proofErr w:type="spellEnd"/>
      <w:r w:rsidR="00553333">
        <w:t xml:space="preserve">, a practice </w:t>
      </w:r>
      <w:r w:rsidR="002C54CB">
        <w:t>that has repeatedly been found to violate human rights.</w:t>
      </w:r>
      <w:r w:rsidR="002C54CB">
        <w:rPr>
          <w:rStyle w:val="FootnoteReference"/>
        </w:rPr>
        <w:footnoteReference w:id="90"/>
      </w:r>
      <w:r w:rsidR="002C54CB">
        <w:t xml:space="preserve"> </w:t>
      </w:r>
      <w:r w:rsidR="006A49CF">
        <w:t xml:space="preserve">More general laws, such as vagrancy laws or petty offence laws have also been utilized to target people from key populations, with similar impacts to </w:t>
      </w:r>
      <w:r w:rsidR="005605D0">
        <w:t>the more specific criminal laws. The African Court of Human Rights recently released an advisory position calling for the removal of petty offences laws given their discriminatory impact, including on sex workers.</w:t>
      </w:r>
      <w:r w:rsidR="00553E7B">
        <w:rPr>
          <w:rStyle w:val="FootnoteReference"/>
        </w:rPr>
        <w:footnoteReference w:id="91"/>
      </w:r>
    </w:p>
    <w:p w14:paraId="79A84EE4" w14:textId="4456BB4C" w:rsidR="00E86187" w:rsidRPr="00C70E61" w:rsidRDefault="00E86187" w:rsidP="00E86187">
      <w:r>
        <w:t xml:space="preserve">The policing associated with punitive laws can have </w:t>
      </w:r>
      <w:r w:rsidR="000F65DF">
        <w:t>a similar negative</w:t>
      </w:r>
      <w:r>
        <w:t xml:space="preserve"> impact. Aggressive policing of sex work has been found to be associated with an 87% increase in risk for HIV and sexually transmitted </w:t>
      </w:r>
      <w:r>
        <w:lastRenderedPageBreak/>
        <w:t>infections among sex workers</w:t>
      </w:r>
      <w:r w:rsidR="004076E8">
        <w:t xml:space="preserve"> and a</w:t>
      </w:r>
      <w:r>
        <w:t xml:space="preserve"> nearly three-fold increase in the risk of sexual or physical violence.</w:t>
      </w:r>
      <w:r>
        <w:rPr>
          <w:rStyle w:val="FootnoteReference"/>
        </w:rPr>
        <w:footnoteReference w:id="92"/>
      </w:r>
      <w:r>
        <w:t xml:space="preserve"> Repressive policing of drug use is linked with increased risk of HIV infection, needle sharing and avoidance of harm reduction </w:t>
      </w:r>
      <w:proofErr w:type="spellStart"/>
      <w:r>
        <w:t>programmes</w:t>
      </w:r>
      <w:proofErr w:type="spellEnd"/>
      <w:r>
        <w:t>.</w:t>
      </w:r>
      <w:r>
        <w:rPr>
          <w:rStyle w:val="FootnoteReference"/>
        </w:rPr>
        <w:footnoteReference w:id="93"/>
      </w:r>
    </w:p>
    <w:p w14:paraId="67425CA9" w14:textId="6F95477D" w:rsidR="00263C83" w:rsidRDefault="00263C83" w:rsidP="00263C83">
      <w:r w:rsidRPr="00C70E61">
        <w:t xml:space="preserve">Where law reform is achieved through legislative process, </w:t>
      </w:r>
      <w:r w:rsidR="006612A9">
        <w:t>b</w:t>
      </w:r>
      <w:r w:rsidRPr="00C70E61">
        <w:t xml:space="preserve">y consulting and working closely with communities, it is more likely the reforms will protect and fulfil their </w:t>
      </w:r>
      <w:proofErr w:type="gramStart"/>
      <w:r w:rsidRPr="00C70E61">
        <w:t>rights, and</w:t>
      </w:r>
      <w:proofErr w:type="gramEnd"/>
      <w:r w:rsidRPr="00C70E61">
        <w:t xml:space="preserve"> give full effect to decriminalization. The recent decriminalization of sex work in Victoria </w:t>
      </w:r>
      <w:r w:rsidR="007903F0">
        <w:t>was the result of</w:t>
      </w:r>
      <w:r w:rsidR="007903F0" w:rsidRPr="00C70E61">
        <w:t xml:space="preserve"> close collaboration with sex worker </w:t>
      </w:r>
      <w:proofErr w:type="spellStart"/>
      <w:r w:rsidR="007903F0" w:rsidRPr="00C70E61">
        <w:t>organisations</w:t>
      </w:r>
      <w:proofErr w:type="spellEnd"/>
      <w:r w:rsidR="007903F0">
        <w:t xml:space="preserve"> in every step of the process</w:t>
      </w:r>
      <w:r w:rsidR="007903F0" w:rsidRPr="00C70E61">
        <w:t xml:space="preserve">, including a sex worker advisory panel </w:t>
      </w:r>
      <w:r w:rsidR="00B922F0">
        <w:t xml:space="preserve">supporting research </w:t>
      </w:r>
      <w:r w:rsidR="007903F0" w:rsidRPr="00C70E61">
        <w:t>health and social needs of sex workers</w:t>
      </w:r>
      <w:r w:rsidR="00650BD7">
        <w:t xml:space="preserve"> and </w:t>
      </w:r>
      <w:r w:rsidR="00650BD7" w:rsidRPr="001A51AC">
        <w:t>transparent and open consultative processes</w:t>
      </w:r>
      <w:r w:rsidR="007903F0" w:rsidRPr="001A51AC">
        <w:t>.</w:t>
      </w:r>
      <w:r w:rsidR="007903F0" w:rsidRPr="001A51AC">
        <w:rPr>
          <w:rStyle w:val="FootnoteReference"/>
        </w:rPr>
        <w:footnoteReference w:id="94"/>
      </w:r>
      <w:r w:rsidR="007903F0" w:rsidRPr="001A51AC">
        <w:t xml:space="preserve"> The resulting legislation </w:t>
      </w:r>
      <w:r w:rsidRPr="001A51AC">
        <w:t xml:space="preserve">not only </w:t>
      </w:r>
      <w:proofErr w:type="spellStart"/>
      <w:r w:rsidRPr="001A51AC">
        <w:t>decriminalised</w:t>
      </w:r>
      <w:proofErr w:type="spellEnd"/>
      <w:r w:rsidRPr="001A51AC">
        <w:t xml:space="preserve"> sex work, </w:t>
      </w:r>
      <w:r w:rsidR="000841B2" w:rsidRPr="001040AB">
        <w:t xml:space="preserve">but </w:t>
      </w:r>
      <w:r w:rsidRPr="001A51AC">
        <w:t xml:space="preserve"> also included important elements necessary to ensure people can benefit from decriminalization, such as removing the requirement for registration and committing to destroy the register</w:t>
      </w:r>
      <w:r w:rsidR="003D24A9" w:rsidRPr="001A51AC">
        <w:t xml:space="preserve"> and</w:t>
      </w:r>
      <w:r w:rsidRPr="001A51AC">
        <w:t xml:space="preserve"> providing government funding</w:t>
      </w:r>
      <w:r w:rsidRPr="00C70E61">
        <w:t xml:space="preserve"> to sex-worker led </w:t>
      </w:r>
      <w:proofErr w:type="spellStart"/>
      <w:r w:rsidRPr="00C70E61">
        <w:t>organisations</w:t>
      </w:r>
      <w:proofErr w:type="spellEnd"/>
      <w:r w:rsidRPr="00C70E61">
        <w:t xml:space="preserve"> to give effect to the new laws, through training and sensitization for duty bearers and empowering sex workers to understand their rights, as well as monitoring implementation.</w:t>
      </w:r>
      <w:r w:rsidRPr="00C70E61">
        <w:rPr>
          <w:rStyle w:val="FootnoteReference"/>
        </w:rPr>
        <w:footnoteReference w:id="95"/>
      </w:r>
      <w:r w:rsidRPr="00C70E61">
        <w:t xml:space="preserve"> </w:t>
      </w:r>
    </w:p>
    <w:p w14:paraId="7772E3D1" w14:textId="4A4AE849" w:rsidR="00D052DF" w:rsidRPr="00C70E61" w:rsidRDefault="003D24A9" w:rsidP="00CA66E7">
      <w:r>
        <w:t xml:space="preserve">Law reform may also take a step-by-step process. </w:t>
      </w:r>
      <w:r w:rsidR="00D052DF" w:rsidRPr="00C70E61">
        <w:t xml:space="preserve">Over a period of four years, sustained campaigning by Peruvian nongovernmental organizations, supported by legal and technical support from UN agencies, has gradually dismantled the restrictions </w:t>
      </w:r>
      <w:r w:rsidR="005820FD">
        <w:t xml:space="preserve">for adolescents to access SRHR services. </w:t>
      </w:r>
      <w:r w:rsidR="0001546F">
        <w:t xml:space="preserve">Between 2016 and 2020 </w:t>
      </w:r>
      <w:proofErr w:type="gramStart"/>
      <w:r w:rsidR="0001546F">
        <w:t>a number of</w:t>
      </w:r>
      <w:proofErr w:type="gramEnd"/>
      <w:r w:rsidR="0001546F">
        <w:t xml:space="preserve"> laws and regulations that gradually led to a situation where adolescents aged 14 years and older can access HIV testing without consent. </w:t>
      </w:r>
      <w:r w:rsidR="00635FAA" w:rsidRPr="00C70E61">
        <w:t xml:space="preserve">Critical to this was </w:t>
      </w:r>
      <w:r w:rsidR="009544D1" w:rsidRPr="00C70E61">
        <w:t>civil society campaigning, alliance building</w:t>
      </w:r>
      <w:r w:rsidR="0001546F">
        <w:t xml:space="preserve"> between different Government departments and civil society,</w:t>
      </w:r>
      <w:r w:rsidR="009544D1" w:rsidRPr="00C70E61">
        <w:t xml:space="preserve"> and technical and advocacy support from UN agencies.</w:t>
      </w:r>
      <w:r w:rsidR="009544D1" w:rsidRPr="00C70E61">
        <w:rPr>
          <w:rStyle w:val="FootnoteReference"/>
        </w:rPr>
        <w:footnoteReference w:id="96"/>
      </w:r>
    </w:p>
    <w:p w14:paraId="5BDDA632" w14:textId="50CE5FA0" w:rsidR="009563D3" w:rsidRDefault="00D2486B" w:rsidP="00E37266">
      <w:r>
        <w:t>J</w:t>
      </w:r>
      <w:r w:rsidR="000227C6" w:rsidRPr="00C70E61">
        <w:t>udicial challenges</w:t>
      </w:r>
      <w:r w:rsidR="000227C6">
        <w:t xml:space="preserve"> </w:t>
      </w:r>
      <w:r w:rsidR="000227C6" w:rsidRPr="00C70E61">
        <w:t>have been successful in many countries around</w:t>
      </w:r>
      <w:r w:rsidR="000227C6">
        <w:t xml:space="preserve"> </w:t>
      </w:r>
      <w:r w:rsidR="000227C6" w:rsidRPr="002D3CDC">
        <w:t>the world</w:t>
      </w:r>
      <w:r>
        <w:t xml:space="preserve"> in removing human rights barriers to realizing the right to health</w:t>
      </w:r>
      <w:r w:rsidR="000227C6" w:rsidRPr="002D3CDC">
        <w:t>, setting vital new legal precedents.</w:t>
      </w:r>
      <w:r>
        <w:t xml:space="preserve"> </w:t>
      </w:r>
      <w:proofErr w:type="gramStart"/>
      <w:r>
        <w:t>A number of</w:t>
      </w:r>
      <w:proofErr w:type="gramEnd"/>
      <w:r>
        <w:t xml:space="preserve"> challenges were mentioned above in the section on civil society.</w:t>
      </w:r>
      <w:r w:rsidR="009563D3">
        <w:t xml:space="preserve"> </w:t>
      </w:r>
      <w:r w:rsidR="00327F65">
        <w:t>However</w:t>
      </w:r>
      <w:r w:rsidR="00581590">
        <w:t>,</w:t>
      </w:r>
      <w:r w:rsidR="00327F65">
        <w:t xml:space="preserve"> such an avenue is only possible if </w:t>
      </w:r>
      <w:r w:rsidR="00A57EBD">
        <w:t xml:space="preserve">communities </w:t>
      </w:r>
      <w:r w:rsidR="00581590">
        <w:t xml:space="preserve">are aware of their rights, </w:t>
      </w:r>
      <w:r w:rsidR="00A57EBD">
        <w:t>have meaningful access to justice and judicial mechanisms.</w:t>
      </w:r>
      <w:r w:rsidR="00E37266">
        <w:t xml:space="preserve"> Accountability and oversight mechanisms help realize people’s right to health and ensure that breaches of those rights are remedied. </w:t>
      </w:r>
      <w:r w:rsidR="00A57EBD">
        <w:t xml:space="preserve"> Courts and legal services </w:t>
      </w:r>
      <w:r w:rsidR="003B4AFE">
        <w:t>need to</w:t>
      </w:r>
      <w:r w:rsidR="00A57EBD">
        <w:t xml:space="preserve"> be affordable</w:t>
      </w:r>
      <w:r w:rsidR="003B4AFE">
        <w:t xml:space="preserve"> and accessible</w:t>
      </w:r>
      <w:r w:rsidR="00A57EBD">
        <w:t xml:space="preserve"> to all, and communities should be able to bring cases as individuals and as </w:t>
      </w:r>
      <w:proofErr w:type="spellStart"/>
      <w:r w:rsidR="000227C6">
        <w:t>organisations</w:t>
      </w:r>
      <w:proofErr w:type="spellEnd"/>
      <w:r w:rsidR="000227C6">
        <w:t xml:space="preserve">. </w:t>
      </w:r>
      <w:r w:rsidR="0003447F">
        <w:t xml:space="preserve"> </w:t>
      </w:r>
    </w:p>
    <w:p w14:paraId="695B106C" w14:textId="635F4DD0" w:rsidR="00FE577B" w:rsidRPr="00C70E61" w:rsidRDefault="00FE577B" w:rsidP="00FE577B">
      <w:r>
        <w:t xml:space="preserve">UN agencies have an important role to play in supporting </w:t>
      </w:r>
      <w:r w:rsidR="00CE5AB7">
        <w:t>access to justice</w:t>
      </w:r>
      <w:r>
        <w:t>, including through training, development of standards, and in amicus briefs. Recently, UNAIDS intervened as an amicus in a case that resulted in the Government taking action to end forced sterilization of women living with HIV</w:t>
      </w:r>
      <w:r>
        <w:rPr>
          <w:rStyle w:val="FootnoteReference"/>
        </w:rPr>
        <w:footnoteReference w:id="97"/>
      </w:r>
      <w:r>
        <w:t xml:space="preserve"> and one that led to the decriminalization of HIV exposure and transmission. </w:t>
      </w:r>
    </w:p>
    <w:p w14:paraId="4F19E35B" w14:textId="0A56A1B3" w:rsidR="004017CF" w:rsidRDefault="004017CF" w:rsidP="00CA66E7">
      <w:r>
        <w:lastRenderedPageBreak/>
        <w:t>UNDP and the UN Refugee Agency (UNHCR) supported the judiciary in South Sudan to deploy mobile courts in various states to address the lack of justice services, personnel and facilities, and large case backlogs. In Sudan, the Ministry of Justice added people living with HIV as beneficiaries for legal aid services and deployed a legal counsellor to support each of the branches of the Sudanese People Living with HIV Care Association.</w:t>
      </w:r>
    </w:p>
    <w:p w14:paraId="51C7A2CF" w14:textId="209819A2" w:rsidR="00F114F0" w:rsidRDefault="00F114F0" w:rsidP="00CA66E7">
      <w:r>
        <w:t xml:space="preserve">In Kyrgyzstan, UNDP, the UNAIDS Secretariat and the Global Fund supported 26 civil society organizations working on HIV and TB to launch REACT, an electronic system to register human rights violations. The platform documents cases of rights violations among patients and key population </w:t>
      </w:r>
      <w:proofErr w:type="gramStart"/>
      <w:r>
        <w:t>groups, and</w:t>
      </w:r>
      <w:proofErr w:type="gramEnd"/>
      <w:r>
        <w:t xml:space="preserve"> brings those cases to the attention of justice sector authorities. Through REACT, civil society organizations registered 263 cases of rights violations among key population groups in January–August 2020</w:t>
      </w:r>
      <w:r w:rsidR="002112DB">
        <w:t xml:space="preserve"> in Kyrgyzstan</w:t>
      </w:r>
      <w:r w:rsidR="00331794">
        <w:t>.</w:t>
      </w:r>
    </w:p>
    <w:p w14:paraId="4CFAA377" w14:textId="77C5BEBF" w:rsidR="001C677C" w:rsidRPr="00C70E61" w:rsidRDefault="00113381" w:rsidP="00113381">
      <w:r>
        <w:t>In Nigeria, people living with HIV, lawyers and civil society groups have formed a network of lawyers to provide legal advice and representation to people living with HIV, people belonging to sexual minorities, sex workers and people who inject drugs.</w:t>
      </w:r>
      <w:r w:rsidR="001D5FDA">
        <w:rPr>
          <w:rStyle w:val="FootnoteReference"/>
        </w:rPr>
        <w:footnoteReference w:id="98"/>
      </w:r>
      <w:r w:rsidR="00E37266">
        <w:t xml:space="preserve"> In Mozambique, </w:t>
      </w:r>
      <w:proofErr w:type="spellStart"/>
      <w:r w:rsidR="00E37266">
        <w:t>Namati</w:t>
      </w:r>
      <w:proofErr w:type="spellEnd"/>
      <w:r w:rsidR="00E37266">
        <w:t>, a legal empowerment NGO</w:t>
      </w:r>
      <w:r w:rsidR="00A8429E">
        <w:t xml:space="preserve"> deploys grass roots health advocates to identify and solve health service problems by working with community members and health workers</w:t>
      </w:r>
      <w:r w:rsidR="00C847C5">
        <w:t xml:space="preserve">. Between 2013 and 2019 the health advocates addressed more than 5400 concerns at health facilities, </w:t>
      </w:r>
      <w:r w:rsidR="005C0641">
        <w:t>75% of which were resolved successfully. Complaints included issues relating to disrespectful treatment, breaches of privacy among others.</w:t>
      </w:r>
      <w:r w:rsidR="005C0641">
        <w:rPr>
          <w:rStyle w:val="FootnoteReference"/>
        </w:rPr>
        <w:footnoteReference w:id="99"/>
      </w:r>
    </w:p>
    <w:p w14:paraId="49349D78" w14:textId="4DFA5067" w:rsidR="001C677C" w:rsidRPr="00F04D9A" w:rsidRDefault="001C677C" w:rsidP="00CA66E7">
      <w:pPr>
        <w:rPr>
          <w:b/>
          <w:bCs/>
        </w:rPr>
      </w:pPr>
      <w:r w:rsidRPr="00F04D9A">
        <w:rPr>
          <w:b/>
          <w:bCs/>
        </w:rPr>
        <w:t>Stigma and discrimination</w:t>
      </w:r>
    </w:p>
    <w:p w14:paraId="1138D7F4" w14:textId="06AA897B" w:rsidR="00DA26B4" w:rsidRPr="00732D71" w:rsidRDefault="00A85225" w:rsidP="00CA66E7">
      <w:pPr>
        <w:rPr>
          <w:b/>
          <w:bCs/>
        </w:rPr>
      </w:pPr>
      <w:r>
        <w:t xml:space="preserve">As mentioned above, to spur action on stigma and discrimination, the Global Partnership was developed in </w:t>
      </w:r>
      <w:r w:rsidR="00732D71">
        <w:t xml:space="preserve">2017. </w:t>
      </w:r>
      <w:r w:rsidR="00265670" w:rsidRPr="00C70E61">
        <w:t xml:space="preserve">In 2020, to support the Global Partnership countries, UNAIDS developed </w:t>
      </w:r>
      <w:hyperlink r:id="rId23" w:history="1">
        <w:r w:rsidR="00265670" w:rsidRPr="00C70E61">
          <w:rPr>
            <w:rStyle w:val="Hyperlink"/>
          </w:rPr>
          <w:t>country guidance for effective programming to eliminate HIV-related stigma and discrimination in six settings</w:t>
        </w:r>
      </w:hyperlink>
      <w:r w:rsidR="00265670" w:rsidRPr="00C70E61">
        <w:t xml:space="preserve">. The recommendations include implementing </w:t>
      </w:r>
      <w:proofErr w:type="spellStart"/>
      <w:r w:rsidR="00265670" w:rsidRPr="00C70E61">
        <w:t>programmes</w:t>
      </w:r>
      <w:proofErr w:type="spellEnd"/>
      <w:r w:rsidR="00265670" w:rsidRPr="00C70E61">
        <w:t xml:space="preserve"> to empower populations “being left behind" with legal literacy and access to redress </w:t>
      </w:r>
      <w:proofErr w:type="gramStart"/>
      <w:r w:rsidR="00265670" w:rsidRPr="00C70E61">
        <w:t xml:space="preserve">services, </w:t>
      </w:r>
      <w:r w:rsidR="00C76D6C">
        <w:t xml:space="preserve"> </w:t>
      </w:r>
      <w:r w:rsidR="00265670" w:rsidRPr="00C70E61">
        <w:t>and</w:t>
      </w:r>
      <w:proofErr w:type="gramEnd"/>
      <w:r w:rsidR="00265670" w:rsidRPr="00C70E61">
        <w:t xml:space="preserve"> removing laws criminalizing drug use or possession for personal use, all aspects of sex work, sexual orientation, gender identity, and HIV exposure, non-disclosure and transmission.</w:t>
      </w:r>
      <w:r w:rsidR="00FF4A36" w:rsidRPr="00C70E61">
        <w:t xml:space="preserve"> </w:t>
      </w:r>
      <w:r w:rsidR="00B511FA">
        <w:t>A variety of approaches are required, from legal protections and standard setting, to training and sensitization, monitoring and accountability</w:t>
      </w:r>
      <w:r w:rsidR="00342D10">
        <w:t>.</w:t>
      </w:r>
      <w:r w:rsidR="00B511FA">
        <w:t xml:space="preserve"> </w:t>
      </w:r>
      <w:r w:rsidR="002D471C">
        <w:t xml:space="preserve">Countries have developed and disseminated </w:t>
      </w:r>
      <w:r w:rsidR="0009495B">
        <w:t>Patient’s Charters of Rights</w:t>
      </w:r>
      <w:r w:rsidR="00D06A87">
        <w:t xml:space="preserve"> (Central African Republic)</w:t>
      </w:r>
      <w:r w:rsidR="00D06A87">
        <w:rPr>
          <w:rStyle w:val="FootnoteReference"/>
        </w:rPr>
        <w:footnoteReference w:id="100"/>
      </w:r>
      <w:r w:rsidR="003025F8">
        <w:t>, organized South-South Trainings between Africa and Asia for drafting of country plans</w:t>
      </w:r>
      <w:r w:rsidR="00B55478">
        <w:t xml:space="preserve"> (Thailand),</w:t>
      </w:r>
      <w:r w:rsidR="00B55478">
        <w:rPr>
          <w:rStyle w:val="FootnoteReference"/>
        </w:rPr>
        <w:footnoteReference w:id="101"/>
      </w:r>
      <w:r w:rsidR="00B55478">
        <w:t>. Peer-led processes and peer support processes have led to local actions for women and men living with HIV.</w:t>
      </w:r>
      <w:r w:rsidR="004F34AE">
        <w:rPr>
          <w:rStyle w:val="FootnoteReference"/>
        </w:rPr>
        <w:footnoteReference w:id="102"/>
      </w:r>
      <w:r w:rsidR="004F34AE">
        <w:t xml:space="preserve"> </w:t>
      </w:r>
      <w:r w:rsidR="004F34AE" w:rsidRPr="00C70E61">
        <w:rPr>
          <w:rStyle w:val="FootnoteReference"/>
        </w:rPr>
        <w:footnoteReference w:id="103"/>
      </w:r>
      <w:r w:rsidR="0009495B">
        <w:t xml:space="preserve"> </w:t>
      </w:r>
      <w:r w:rsidR="004F34AE">
        <w:t>For more information see</w:t>
      </w:r>
      <w:r w:rsidR="00732D71">
        <w:t xml:space="preserve"> </w:t>
      </w:r>
      <w:r w:rsidR="00732D71">
        <w:rPr>
          <w:b/>
          <w:bCs/>
        </w:rPr>
        <w:t>Annex 1.</w:t>
      </w:r>
    </w:p>
    <w:p w14:paraId="32485608" w14:textId="5A391CAC" w:rsidR="00851910" w:rsidRDefault="00851910" w:rsidP="00CA66E7">
      <w:bookmarkStart w:id="0" w:name="_Hlk95985989"/>
      <w:r>
        <w:t>Faith-leaders</w:t>
      </w:r>
      <w:r w:rsidR="003714AE">
        <w:t xml:space="preserve"> also have a critical role to play in reducing stigma and discrimination</w:t>
      </w:r>
      <w:r w:rsidR="00140B2F">
        <w:t>. In Kenya</w:t>
      </w:r>
      <w:r w:rsidR="00285B38">
        <w:t xml:space="preserve">, supported by UNAIDS, </w:t>
      </w:r>
      <w:proofErr w:type="spellStart"/>
      <w:r w:rsidR="00285B38">
        <w:t>Inerela</w:t>
      </w:r>
      <w:proofErr w:type="spellEnd"/>
      <w:r w:rsidR="00285B38">
        <w:t>+ and the Ecumenical Advocacy Alliance,</w:t>
      </w:r>
      <w:r w:rsidR="00140B2F">
        <w:t xml:space="preserve"> </w:t>
      </w:r>
      <w:r w:rsidR="00C95213">
        <w:t>a joint dialogue between people living and HIV and religious leaders around stigma</w:t>
      </w:r>
      <w:r w:rsidR="00D16E78">
        <w:t xml:space="preserve"> spearheaded joint advocacy efforts and changed how religious leaders and people living with HIV relate</w:t>
      </w:r>
      <w:r w:rsidR="001C07CE">
        <w:t>. It led to joint advocacy actions around gender</w:t>
      </w:r>
      <w:r w:rsidR="00390344">
        <w:t>-</w:t>
      </w:r>
      <w:r w:rsidR="001C07CE">
        <w:t xml:space="preserve">based violence, HIV stigma and a change in language used by religious leaders to </w:t>
      </w:r>
      <w:r w:rsidR="00944102">
        <w:t>non-judgmental</w:t>
      </w:r>
      <w:r w:rsidR="004E136D">
        <w:t xml:space="preserve"> and non-</w:t>
      </w:r>
      <w:proofErr w:type="spellStart"/>
      <w:r w:rsidR="004E136D">
        <w:t>stigmatising</w:t>
      </w:r>
      <w:proofErr w:type="spellEnd"/>
      <w:r w:rsidR="004E136D">
        <w:t xml:space="preserve">. </w:t>
      </w:r>
      <w:r w:rsidR="00285B38">
        <w:lastRenderedPageBreak/>
        <w:t>After the dialogue and interventions people living with HIV reported feeling understanding and love from the congregation and leaders and a desire to support others in the congregation.</w:t>
      </w:r>
      <w:r w:rsidR="00E20955">
        <w:rPr>
          <w:rStyle w:val="FootnoteReference"/>
        </w:rPr>
        <w:footnoteReference w:id="104"/>
      </w:r>
      <w:bookmarkEnd w:id="0"/>
      <w:r w:rsidR="00487060">
        <w:t xml:space="preserve"> Funding for a faith sector action plan on stigma and discrimination has been secured through the Global Fund grant. </w:t>
      </w:r>
    </w:p>
    <w:p w14:paraId="1E72DDF0" w14:textId="782491BB" w:rsidR="00B370F9" w:rsidRPr="00C70E61" w:rsidRDefault="00B370F9" w:rsidP="00B370F9">
      <w:r>
        <w:t xml:space="preserve">Legal protections against stigma and discrimination are a critical element in reducing discrimination. </w:t>
      </w:r>
      <w:proofErr w:type="gramStart"/>
      <w:r>
        <w:t>A number of</w:t>
      </w:r>
      <w:proofErr w:type="gramEnd"/>
      <w:r>
        <w:t xml:space="preserve"> </w:t>
      </w:r>
      <w:r w:rsidRPr="00C70E61">
        <w:t>countries that have opened legal avenues for changing gender markers and names without the requirement of undergoing gender-reassignment</w:t>
      </w:r>
      <w:r w:rsidR="001D0988">
        <w:t xml:space="preserve"> </w:t>
      </w:r>
      <w:r w:rsidRPr="00C70E61">
        <w:t>surgery.</w:t>
      </w:r>
      <w:r w:rsidRPr="00C70E61">
        <w:rPr>
          <w:rStyle w:val="FootnoteReference"/>
        </w:rPr>
        <w:footnoteReference w:id="105"/>
      </w:r>
      <w:r>
        <w:t xml:space="preserve"> In recent years others have introduced protections against discrimination on the basis of sexual orientation and gender identity.</w:t>
      </w:r>
      <w:r>
        <w:rPr>
          <w:rStyle w:val="FootnoteReference"/>
        </w:rPr>
        <w:footnoteReference w:id="106"/>
      </w:r>
      <w:r>
        <w:t xml:space="preserve"> </w:t>
      </w:r>
      <w:r>
        <w:rPr>
          <w:rStyle w:val="FootnoteReference"/>
        </w:rPr>
        <w:footnoteReference w:id="107"/>
      </w:r>
      <w:r>
        <w:t>.</w:t>
      </w:r>
    </w:p>
    <w:p w14:paraId="37B90007" w14:textId="60B9E38A" w:rsidR="00B370F9" w:rsidRDefault="00B370F9" w:rsidP="00B370F9">
      <w:r>
        <w:t>In reporting</w:t>
      </w:r>
      <w:r w:rsidR="002E11E5">
        <w:rPr>
          <w:rStyle w:val="FootnoteReference"/>
        </w:rPr>
        <w:footnoteReference w:id="108"/>
      </w:r>
      <w:r>
        <w:t xml:space="preserve"> to UNAIDS on whether there were legal protections against discrimination, 72 (n=129) had none for transgender people, 107 (n=126) had none for sex workers, </w:t>
      </w:r>
      <w:r w:rsidR="000812DF">
        <w:t>66</w:t>
      </w:r>
      <w:r>
        <w:t xml:space="preserve"> (n=1</w:t>
      </w:r>
      <w:r w:rsidR="000812DF">
        <w:t>31</w:t>
      </w:r>
      <w:r>
        <w:t>) had none for sexual orientation, 117 (n=195) had none for people who use drugs, and 19(n=10</w:t>
      </w:r>
      <w:r w:rsidR="00D90646">
        <w:t>5</w:t>
      </w:r>
      <w:r>
        <w:t>) had none for HIV status.</w:t>
      </w:r>
    </w:p>
    <w:p w14:paraId="365E79D4" w14:textId="0AA8A553" w:rsidR="0036721E" w:rsidRPr="0036721E" w:rsidRDefault="0036721E" w:rsidP="00603C8F">
      <w:pPr>
        <w:rPr>
          <w:b/>
          <w:bCs/>
        </w:rPr>
      </w:pPr>
      <w:r>
        <w:rPr>
          <w:b/>
          <w:bCs/>
        </w:rPr>
        <w:t xml:space="preserve">Gender equality and violence against women, girls, key </w:t>
      </w:r>
      <w:proofErr w:type="gramStart"/>
      <w:r>
        <w:rPr>
          <w:b/>
          <w:bCs/>
        </w:rPr>
        <w:t>populations</w:t>
      </w:r>
      <w:proofErr w:type="gramEnd"/>
      <w:r>
        <w:rPr>
          <w:b/>
          <w:bCs/>
        </w:rPr>
        <w:t xml:space="preserve"> and people living with HIV.</w:t>
      </w:r>
    </w:p>
    <w:p w14:paraId="00D6BC73" w14:textId="6C4289B2" w:rsidR="00B54A89" w:rsidRDefault="001E244B" w:rsidP="00CA66E7">
      <w:r w:rsidRPr="00C70E61">
        <w:t>Recent global reports and evaluations of the UN Joint Programme on HIV/AIDS attest to the need to redouble efforts on integrating gender-responsive approaches and addressing gender-based violence and sexual and reproductive health and rights.</w:t>
      </w:r>
      <w:r w:rsidRPr="00C70E61">
        <w:rPr>
          <w:rStyle w:val="FootnoteReference"/>
        </w:rPr>
        <w:footnoteReference w:id="109"/>
      </w:r>
      <w:r w:rsidRPr="00C70E61">
        <w:t xml:space="preserve">  The new Global HIV/AIDS Strategy and Political Declaration on HIV/AIDS adopted in 2021 seek to address these gaps by placing gender equality and women’s empowerment at the </w:t>
      </w:r>
      <w:proofErr w:type="spellStart"/>
      <w:r w:rsidRPr="00C70E61">
        <w:t>centre</w:t>
      </w:r>
      <w:proofErr w:type="spellEnd"/>
      <w:r w:rsidRPr="00C70E61">
        <w:t xml:space="preserve"> of ending inequalities and for effectively ending AIDS as a public health threat by 2030. Among the priority areas is scale-up of promising and good practices that tackle unequal gender power dynamics, norms and practices, including increased investments in gender-transformative community-</w:t>
      </w:r>
      <w:r w:rsidR="001A51AC">
        <w:t>led</w:t>
      </w:r>
      <w:r w:rsidR="001A51AC" w:rsidRPr="00C70E61">
        <w:t xml:space="preserve"> </w:t>
      </w:r>
      <w:r w:rsidRPr="00C70E61">
        <w:t>interventions</w:t>
      </w:r>
      <w:r w:rsidRPr="00C70E61">
        <w:rPr>
          <w:rStyle w:val="FootnoteReference"/>
        </w:rPr>
        <w:footnoteReference w:id="110"/>
      </w:r>
      <w:r w:rsidRPr="00C70E61">
        <w:t xml:space="preserve">, especially those shown to reduce both HIV and violence against women; starting early in HIV, SRH and violence prevention and </w:t>
      </w:r>
      <w:r w:rsidR="00B54A89" w:rsidRPr="00C70E61">
        <w:t>transforming gender norms by working with adolescent girls and boys; investing in women-led responses, women’s leadership and meaningful participation in decision-making in shaping the HIV response, building on promising practices supported by the UNAIDS Secretariat</w:t>
      </w:r>
      <w:r w:rsidR="00B54A89" w:rsidRPr="00C70E61">
        <w:rPr>
          <w:rStyle w:val="FootnoteReference"/>
        </w:rPr>
        <w:footnoteReference w:id="111"/>
      </w:r>
      <w:r w:rsidR="00B54A89" w:rsidRPr="00C70E61">
        <w:t>; integrating strong gender components in comprehensive sexuality</w:t>
      </w:r>
      <w:r w:rsidR="0086010A">
        <w:t xml:space="preserve"> education</w:t>
      </w:r>
      <w:r w:rsidR="00B54A89" w:rsidRPr="00C70E61">
        <w:t xml:space="preserve"> </w:t>
      </w:r>
      <w:proofErr w:type="spellStart"/>
      <w:r w:rsidR="00B54A89" w:rsidRPr="00C70E61">
        <w:t>programmes</w:t>
      </w:r>
      <w:proofErr w:type="spellEnd"/>
      <w:r w:rsidR="00B54A89" w:rsidRPr="00C70E61">
        <w:t xml:space="preserve"> (shown to have five-fold better results in preventing STIs</w:t>
      </w:r>
      <w:r w:rsidR="00B54A89" w:rsidRPr="00C70E61">
        <w:rPr>
          <w:rStyle w:val="FootnoteReference"/>
        </w:rPr>
        <w:footnoteReference w:id="112"/>
      </w:r>
      <w:r w:rsidR="00B54A89" w:rsidRPr="00C70E61">
        <w:t xml:space="preserve">); legal reforms such </w:t>
      </w:r>
      <w:r w:rsidR="00B54A89" w:rsidRPr="00C70E61">
        <w:lastRenderedPageBreak/>
        <w:t xml:space="preserve">as changing age of consent laws for adolescents </w:t>
      </w:r>
      <w:r w:rsidR="00B11D39">
        <w:t xml:space="preserve">and young people </w:t>
      </w:r>
      <w:r w:rsidR="00B54A89" w:rsidRPr="00C70E61">
        <w:t xml:space="preserve">to freely access HIV, contraceptive and other essential health services; and strengthened enforcement, access to justice and accountability for violence against women and other human rights violations against women and adolescent girls living with and at risk of HIV.  </w:t>
      </w:r>
    </w:p>
    <w:p w14:paraId="3F4DE725" w14:textId="698A94EC" w:rsidR="009158F7" w:rsidRDefault="00847535" w:rsidP="00CA66E7">
      <w:r>
        <w:t xml:space="preserve">Action under the Global Partnership on Stigma and Discrimination is also </w:t>
      </w:r>
      <w:r w:rsidR="00C42A97">
        <w:t>supporting increasing gender equality and reducing violence</w:t>
      </w:r>
      <w:r w:rsidR="009624B2">
        <w:t xml:space="preserve"> (see Annex 1)</w:t>
      </w:r>
      <w:r w:rsidR="00C42A97">
        <w:t xml:space="preserve">. </w:t>
      </w:r>
    </w:p>
    <w:p w14:paraId="5F4EB1D3" w14:textId="3E28D3B0" w:rsidR="00F33CCD" w:rsidRPr="00C70E61" w:rsidRDefault="00F33CCD" w:rsidP="00CA66E7">
      <w:pPr>
        <w:rPr>
          <w:rFonts w:eastAsia="Times New Roman"/>
        </w:rPr>
      </w:pPr>
      <w:r w:rsidRPr="00C70E61">
        <w:t xml:space="preserve">Furthermore, the flagship gender-responsive initiative, </w:t>
      </w:r>
      <w:r w:rsidRPr="00C70E61">
        <w:rPr>
          <w:i/>
          <w:iCs/>
        </w:rPr>
        <w:t>Education Plus</w:t>
      </w:r>
      <w:r w:rsidRPr="00C70E61">
        <w:rPr>
          <w:rStyle w:val="FootnoteReference"/>
          <w:i/>
          <w:iCs/>
        </w:rPr>
        <w:footnoteReference w:id="113"/>
      </w:r>
      <w:r w:rsidRPr="00C70E61">
        <w:rPr>
          <w:i/>
          <w:iCs/>
        </w:rPr>
        <w:t>,</w:t>
      </w:r>
      <w:r w:rsidRPr="00C70E61">
        <w:t xml:space="preserve"> on the empowerment of adolescent girls and young women in sub-Saharan Africa is being rolled out under the leadership of UNAIDS, UNESCO, UNFPA, UNICEF and UN Women, </w:t>
      </w:r>
      <w:proofErr w:type="spellStart"/>
      <w:r w:rsidRPr="00C70E61">
        <w:t>centred</w:t>
      </w:r>
      <w:proofErr w:type="spellEnd"/>
      <w:r w:rsidRPr="00C70E61">
        <w:t xml:space="preserve"> on a multi-sectoral integrated package of services to, inter alia, accelerate HIV prevention and advance gender equality.</w:t>
      </w:r>
    </w:p>
    <w:p w14:paraId="778A9078" w14:textId="7660F653" w:rsidR="008C3277" w:rsidRPr="00C70E61" w:rsidRDefault="008C3277" w:rsidP="00CA66E7">
      <w:pPr>
        <w:rPr>
          <w:rFonts w:eastAsia="Times New Roman"/>
        </w:rPr>
      </w:pPr>
      <w:r w:rsidRPr="00C70E61">
        <w:t>Priority actions include: repealing discriminatory laws and policies that increase women’s and girls’ vulnerability to HIV; protecting their sexual and reproductive health and rights and ensuring access to justice and remedies for violations; preventing and responding to gender-based violence and its interlinkages with HIV/AIDS; and transforming harmful gender norms and masculinities that undermine the health and wellbeing of both men and women.</w:t>
      </w:r>
      <w:r w:rsidRPr="00C70E61">
        <w:rPr>
          <w:rStyle w:val="FootnoteReference"/>
        </w:rPr>
        <w:footnoteReference w:id="114"/>
      </w:r>
      <w:r w:rsidRPr="00C70E61">
        <w:t xml:space="preserve"> For instance, a global systematic review of sexual and reproductive health interventions involving men and boys found that only 8% of them included components to transform gender relations and unequal power dynamics.</w:t>
      </w:r>
      <w:r w:rsidRPr="00C70E61">
        <w:rPr>
          <w:rStyle w:val="FootnoteReference"/>
        </w:rPr>
        <w:footnoteReference w:id="115"/>
      </w:r>
    </w:p>
    <w:p w14:paraId="19E8884A" w14:textId="631EC791" w:rsidR="00B77B90" w:rsidRPr="00FC6269" w:rsidRDefault="00FC6269" w:rsidP="00B77B90">
      <w:pPr>
        <w:rPr>
          <w:rFonts w:ascii="Quattrocento Sans" w:eastAsia="Quattrocento Sans" w:hAnsi="Quattrocento Sans" w:cs="Quattrocento Sans"/>
          <w:color w:val="FF0000"/>
          <w:sz w:val="20"/>
          <w:szCs w:val="20"/>
          <w:shd w:val="clear" w:color="auto" w:fill="FFF2CC"/>
        </w:rPr>
      </w:pPr>
      <w:r w:rsidRPr="00FC6269">
        <w:rPr>
          <w:color w:val="FF0000"/>
        </w:rPr>
        <w:t xml:space="preserve">The role of community-led </w:t>
      </w:r>
      <w:proofErr w:type="spellStart"/>
      <w:r w:rsidRPr="00FC6269">
        <w:rPr>
          <w:color w:val="FF0000"/>
        </w:rPr>
        <w:t>organisations</w:t>
      </w:r>
      <w:proofErr w:type="spellEnd"/>
      <w:r w:rsidRPr="00FC6269">
        <w:rPr>
          <w:color w:val="FF0000"/>
        </w:rPr>
        <w:t xml:space="preserve"> in research and data collection is critical in this space. </w:t>
      </w:r>
      <w:r w:rsidR="00797564" w:rsidRPr="00FC6269">
        <w:rPr>
          <w:color w:val="FF0000"/>
        </w:rPr>
        <w:t>ICW</w:t>
      </w:r>
      <w:r w:rsidR="006B48D5" w:rsidRPr="00FC6269">
        <w:rPr>
          <w:color w:val="FF0000"/>
        </w:rPr>
        <w:t xml:space="preserve"> with the support of </w:t>
      </w:r>
      <w:r w:rsidR="0047118F" w:rsidRPr="00FC6269">
        <w:rPr>
          <w:color w:val="FF0000"/>
        </w:rPr>
        <w:t>UNAIDS</w:t>
      </w:r>
      <w:r w:rsidR="006B48D5" w:rsidRPr="00FC6269">
        <w:rPr>
          <w:color w:val="FF0000"/>
        </w:rPr>
        <w:t xml:space="preserve"> documents cases of co</w:t>
      </w:r>
      <w:r w:rsidR="001B27EB" w:rsidRPr="00FC6269">
        <w:rPr>
          <w:color w:val="FF0000"/>
        </w:rPr>
        <w:t xml:space="preserve">erced sterilization </w:t>
      </w:r>
      <w:r w:rsidR="0004220E" w:rsidRPr="00FC6269">
        <w:rPr>
          <w:color w:val="FF0000"/>
        </w:rPr>
        <w:t xml:space="preserve">of women living with HIV to </w:t>
      </w:r>
      <w:r w:rsidR="006F4DCF" w:rsidRPr="00FC6269">
        <w:rPr>
          <w:color w:val="FF0000"/>
        </w:rPr>
        <w:t xml:space="preserve">advocate for policy change </w:t>
      </w:r>
      <w:r w:rsidR="00DE04B9" w:rsidRPr="00FC6269">
        <w:rPr>
          <w:color w:val="FF0000"/>
        </w:rPr>
        <w:t>and law reform that ensures the sexual and reproductive rights of</w:t>
      </w:r>
      <w:r w:rsidR="00002977" w:rsidRPr="00FC6269">
        <w:rPr>
          <w:color w:val="FF0000"/>
        </w:rPr>
        <w:t xml:space="preserve"> WLHIV</w:t>
      </w:r>
      <w:r w:rsidR="00EE7DCE" w:rsidRPr="00FC6269">
        <w:rPr>
          <w:color w:val="FF0000"/>
        </w:rPr>
        <w:t xml:space="preserve"> are</w:t>
      </w:r>
      <w:r w:rsidR="004D3ACD" w:rsidRPr="00FC6269">
        <w:rPr>
          <w:color w:val="FF0000"/>
        </w:rPr>
        <w:t xml:space="preserve"> </w:t>
      </w:r>
      <w:r w:rsidR="00C51664" w:rsidRPr="00FC6269">
        <w:rPr>
          <w:color w:val="FF0000"/>
        </w:rPr>
        <w:t>observed</w:t>
      </w:r>
      <w:r w:rsidR="00002977" w:rsidRPr="00FC6269">
        <w:rPr>
          <w:color w:val="FF0000"/>
        </w:rPr>
        <w:t xml:space="preserve">. </w:t>
      </w:r>
      <w:r w:rsidR="0047118F" w:rsidRPr="00FC6269">
        <w:rPr>
          <w:color w:val="FF0000"/>
        </w:rPr>
        <w:t xml:space="preserve">Cases have been presented to law courts and </w:t>
      </w:r>
      <w:r w:rsidR="00842332" w:rsidRPr="00FC6269">
        <w:rPr>
          <w:color w:val="FF0000"/>
        </w:rPr>
        <w:t>national human rights institutions for redress.</w:t>
      </w:r>
      <w:r w:rsidR="00842332" w:rsidRPr="00FC6269">
        <w:rPr>
          <w:rStyle w:val="FootnoteReference"/>
          <w:color w:val="FF0000"/>
        </w:rPr>
        <w:footnoteReference w:id="116"/>
      </w:r>
      <w:r w:rsidR="00842332" w:rsidRPr="00FC6269">
        <w:rPr>
          <w:color w:val="FF0000"/>
        </w:rPr>
        <w:t xml:space="preserve"> </w:t>
      </w:r>
      <w:r w:rsidR="003E1DC9" w:rsidRPr="00FC6269">
        <w:rPr>
          <w:color w:val="FF0000"/>
        </w:rPr>
        <w:t>ICW will be expanding this work in 2022 with a global level assessment</w:t>
      </w:r>
      <w:r w:rsidR="00E869CB" w:rsidRPr="00FC6269">
        <w:rPr>
          <w:color w:val="FF0000"/>
        </w:rPr>
        <w:t xml:space="preserve"> to be utilized to highlight the </w:t>
      </w:r>
      <w:r w:rsidR="00333489" w:rsidRPr="00FC6269">
        <w:rPr>
          <w:color w:val="FF0000"/>
        </w:rPr>
        <w:t>persistence and scope of obstetric violence and forced and coerced sterilization</w:t>
      </w:r>
      <w:r w:rsidR="00C1003A" w:rsidRPr="00FC6269">
        <w:rPr>
          <w:color w:val="FF0000"/>
        </w:rPr>
        <w:t xml:space="preserve"> among WLHI</w:t>
      </w:r>
      <w:r w:rsidR="00B77B90" w:rsidRPr="00FC6269">
        <w:rPr>
          <w:color w:val="FF0000"/>
        </w:rPr>
        <w:t>V</w:t>
      </w:r>
      <w:r w:rsidR="00E869CB" w:rsidRPr="00FC6269">
        <w:rPr>
          <w:color w:val="FF0000"/>
        </w:rPr>
        <w:t xml:space="preserve"> and to advocate for change</w:t>
      </w:r>
      <w:r w:rsidR="00B77B90" w:rsidRPr="00FC6269">
        <w:rPr>
          <w:color w:val="FF0000"/>
        </w:rPr>
        <w:t>.</w:t>
      </w:r>
    </w:p>
    <w:p w14:paraId="2C9AFE03" w14:textId="508C4F9C" w:rsidR="00F65BD0" w:rsidRPr="00C70E61" w:rsidRDefault="00F65BD0" w:rsidP="00CA66E7">
      <w:pPr>
        <w:rPr>
          <w:rFonts w:eastAsia="Times New Roman"/>
        </w:rPr>
      </w:pPr>
    </w:p>
    <w:p w14:paraId="1C976857" w14:textId="24BE0BF4" w:rsidR="008C3277" w:rsidRDefault="0002475F" w:rsidP="00CA66E7">
      <w:pPr>
        <w:rPr>
          <w:b/>
          <w:bCs/>
        </w:rPr>
      </w:pPr>
      <w:r>
        <w:rPr>
          <w:b/>
          <w:bCs/>
        </w:rPr>
        <w:t>Conclusions and recommendations</w:t>
      </w:r>
    </w:p>
    <w:p w14:paraId="161402B0" w14:textId="4C71BE27" w:rsidR="002C39E5" w:rsidRDefault="002C39E5" w:rsidP="0002475F">
      <w:pPr>
        <w:pStyle w:val="ListParagraph"/>
        <w:numPr>
          <w:ilvl w:val="0"/>
          <w:numId w:val="4"/>
        </w:numPr>
        <w:rPr>
          <w:b/>
          <w:bCs/>
        </w:rPr>
      </w:pPr>
      <w:r>
        <w:rPr>
          <w:b/>
          <w:bCs/>
        </w:rPr>
        <w:t xml:space="preserve">Employ a human-rights based approach to achieving the societal enablers, with the full and meaningful participation of community-led </w:t>
      </w:r>
      <w:r w:rsidR="00A266C8">
        <w:rPr>
          <w:b/>
          <w:bCs/>
        </w:rPr>
        <w:t>organizations</w:t>
      </w:r>
      <w:r>
        <w:rPr>
          <w:b/>
          <w:bCs/>
        </w:rPr>
        <w:t>,</w:t>
      </w:r>
      <w:r w:rsidR="00290404">
        <w:rPr>
          <w:b/>
          <w:bCs/>
        </w:rPr>
        <w:t xml:space="preserve"> without </w:t>
      </w:r>
      <w:r w:rsidR="00280AA3">
        <w:rPr>
          <w:b/>
          <w:bCs/>
        </w:rPr>
        <w:t>any</w:t>
      </w:r>
      <w:r w:rsidR="00290404">
        <w:rPr>
          <w:b/>
          <w:bCs/>
        </w:rPr>
        <w:t xml:space="preserve"> discrimination, </w:t>
      </w:r>
      <w:proofErr w:type="gramStart"/>
      <w:r w:rsidR="00915E60">
        <w:rPr>
          <w:b/>
          <w:bCs/>
        </w:rPr>
        <w:t>taking into account</w:t>
      </w:r>
      <w:proofErr w:type="gramEnd"/>
      <w:r w:rsidR="00915E60">
        <w:rPr>
          <w:b/>
          <w:bCs/>
        </w:rPr>
        <w:t xml:space="preserve"> multiple and intersecting forms of discrimination, </w:t>
      </w:r>
      <w:r w:rsidR="00290404">
        <w:rPr>
          <w:b/>
          <w:bCs/>
        </w:rPr>
        <w:t>leaving no-one behind.</w:t>
      </w:r>
    </w:p>
    <w:p w14:paraId="2D698DC3" w14:textId="7B308FDB" w:rsidR="0002475F" w:rsidRDefault="00165A41" w:rsidP="0002475F">
      <w:pPr>
        <w:pStyle w:val="ListParagraph"/>
        <w:numPr>
          <w:ilvl w:val="0"/>
          <w:numId w:val="4"/>
        </w:numPr>
        <w:rPr>
          <w:b/>
          <w:bCs/>
        </w:rPr>
      </w:pPr>
      <w:r>
        <w:rPr>
          <w:b/>
          <w:bCs/>
        </w:rPr>
        <w:t>Ensure that t</w:t>
      </w:r>
      <w:r w:rsidR="00954E14">
        <w:rPr>
          <w:b/>
          <w:bCs/>
        </w:rPr>
        <w:t>he development, implementation and monitoring of all legal and policy changes and programmatic intervent</w:t>
      </w:r>
      <w:r w:rsidR="00290404">
        <w:rPr>
          <w:b/>
          <w:bCs/>
        </w:rPr>
        <w:t xml:space="preserve">ions </w:t>
      </w:r>
      <w:r>
        <w:rPr>
          <w:b/>
          <w:bCs/>
        </w:rPr>
        <w:t>are</w:t>
      </w:r>
      <w:r w:rsidR="00290404">
        <w:rPr>
          <w:b/>
          <w:bCs/>
        </w:rPr>
        <w:t xml:space="preserve"> with the meaningful engagement and leadership of community-led </w:t>
      </w:r>
      <w:proofErr w:type="spellStart"/>
      <w:r w:rsidR="00290404">
        <w:rPr>
          <w:b/>
          <w:bCs/>
        </w:rPr>
        <w:t>organisations</w:t>
      </w:r>
      <w:proofErr w:type="spellEnd"/>
      <w:r w:rsidR="00954E14">
        <w:rPr>
          <w:b/>
          <w:bCs/>
        </w:rPr>
        <w:t xml:space="preserve">. </w:t>
      </w:r>
    </w:p>
    <w:p w14:paraId="2A311411" w14:textId="0B65C024" w:rsidR="00954E14" w:rsidRDefault="004F4F97" w:rsidP="0002475F">
      <w:pPr>
        <w:pStyle w:val="ListParagraph"/>
        <w:numPr>
          <w:ilvl w:val="0"/>
          <w:numId w:val="4"/>
        </w:numPr>
        <w:rPr>
          <w:b/>
          <w:bCs/>
        </w:rPr>
      </w:pPr>
      <w:r>
        <w:rPr>
          <w:b/>
          <w:bCs/>
        </w:rPr>
        <w:lastRenderedPageBreak/>
        <w:t>Ensure that c</w:t>
      </w:r>
      <w:r w:rsidR="00D36B77">
        <w:rPr>
          <w:b/>
          <w:bCs/>
        </w:rPr>
        <w:t xml:space="preserve">ommunity-led </w:t>
      </w:r>
      <w:proofErr w:type="spellStart"/>
      <w:r w:rsidR="004876C7">
        <w:rPr>
          <w:b/>
          <w:bCs/>
        </w:rPr>
        <w:t>organisations</w:t>
      </w:r>
      <w:proofErr w:type="spellEnd"/>
      <w:r w:rsidR="004876C7">
        <w:rPr>
          <w:b/>
          <w:bCs/>
        </w:rPr>
        <w:t xml:space="preserve"> </w:t>
      </w:r>
      <w:r>
        <w:rPr>
          <w:b/>
          <w:bCs/>
        </w:rPr>
        <w:t>are</w:t>
      </w:r>
      <w:r w:rsidR="00D36B77">
        <w:rPr>
          <w:b/>
          <w:bCs/>
        </w:rPr>
        <w:t xml:space="preserve"> empowered, through laws, </w:t>
      </w:r>
      <w:proofErr w:type="gramStart"/>
      <w:r w:rsidR="00D36B77">
        <w:rPr>
          <w:b/>
          <w:bCs/>
        </w:rPr>
        <w:t>policies</w:t>
      </w:r>
      <w:proofErr w:type="gramEnd"/>
      <w:r w:rsidR="00D36B77">
        <w:rPr>
          <w:b/>
          <w:bCs/>
        </w:rPr>
        <w:t xml:space="preserve"> and funding, to operate freely, provide services, advocate, </w:t>
      </w:r>
      <w:r w:rsidR="00FF1471">
        <w:rPr>
          <w:b/>
          <w:bCs/>
        </w:rPr>
        <w:t xml:space="preserve">lead on societal enablers and </w:t>
      </w:r>
      <w:r w:rsidR="00D36B77">
        <w:rPr>
          <w:b/>
          <w:bCs/>
        </w:rPr>
        <w:t>access legal systems.</w:t>
      </w:r>
    </w:p>
    <w:p w14:paraId="61863729" w14:textId="2B1ED159" w:rsidR="006539B8" w:rsidRDefault="006539B8" w:rsidP="0002475F">
      <w:pPr>
        <w:pStyle w:val="ListParagraph"/>
        <w:numPr>
          <w:ilvl w:val="0"/>
          <w:numId w:val="4"/>
        </w:numPr>
        <w:rPr>
          <w:b/>
          <w:bCs/>
        </w:rPr>
      </w:pPr>
      <w:r>
        <w:rPr>
          <w:b/>
          <w:bCs/>
        </w:rPr>
        <w:t>Ensure the collection of data from all populations,</w:t>
      </w:r>
      <w:r w:rsidR="00290404">
        <w:rPr>
          <w:b/>
          <w:bCs/>
        </w:rPr>
        <w:t xml:space="preserve"> disaggregated by gender,</w:t>
      </w:r>
      <w:r>
        <w:rPr>
          <w:b/>
          <w:bCs/>
        </w:rPr>
        <w:t xml:space="preserve"> in</w:t>
      </w:r>
      <w:r w:rsidR="00EE5222">
        <w:rPr>
          <w:b/>
          <w:bCs/>
        </w:rPr>
        <w:t xml:space="preserve"> collaboration with communit</w:t>
      </w:r>
      <w:r w:rsidR="00290404">
        <w:rPr>
          <w:b/>
          <w:bCs/>
        </w:rPr>
        <w:t xml:space="preserve">y-led </w:t>
      </w:r>
      <w:proofErr w:type="spellStart"/>
      <w:r w:rsidR="00290404">
        <w:rPr>
          <w:b/>
          <w:bCs/>
        </w:rPr>
        <w:t>organisations</w:t>
      </w:r>
      <w:proofErr w:type="spellEnd"/>
      <w:r w:rsidR="00EE5222">
        <w:rPr>
          <w:b/>
          <w:bCs/>
        </w:rPr>
        <w:t xml:space="preserve"> and in</w:t>
      </w:r>
      <w:r>
        <w:rPr>
          <w:b/>
          <w:bCs/>
        </w:rPr>
        <w:t xml:space="preserve"> a manner that </w:t>
      </w:r>
      <w:r w:rsidR="00EE5222">
        <w:rPr>
          <w:b/>
          <w:bCs/>
        </w:rPr>
        <w:t>protects the safety and security of vulnerable and marginalized populations</w:t>
      </w:r>
      <w:r w:rsidR="00290404">
        <w:rPr>
          <w:b/>
          <w:bCs/>
        </w:rPr>
        <w:t>.</w:t>
      </w:r>
    </w:p>
    <w:p w14:paraId="274E3AA3" w14:textId="7F2C3D2D" w:rsidR="00B77B90" w:rsidRDefault="00B77B90" w:rsidP="0002475F">
      <w:pPr>
        <w:pStyle w:val="ListParagraph"/>
        <w:numPr>
          <w:ilvl w:val="0"/>
          <w:numId w:val="4"/>
        </w:numPr>
        <w:rPr>
          <w:b/>
          <w:bCs/>
        </w:rPr>
      </w:pPr>
      <w:r w:rsidRPr="00966CFE">
        <w:rPr>
          <w:b/>
          <w:bCs/>
        </w:rPr>
        <w:t>Promote community-led monitoring of human rights violations and of application of protective laws and measures</w:t>
      </w:r>
    </w:p>
    <w:p w14:paraId="1A265DCE" w14:textId="556F98EC" w:rsidR="00915E60" w:rsidRDefault="00915E60" w:rsidP="00915E60">
      <w:pPr>
        <w:pStyle w:val="ListParagraph"/>
        <w:numPr>
          <w:ilvl w:val="0"/>
          <w:numId w:val="4"/>
        </w:numPr>
        <w:rPr>
          <w:b/>
          <w:bCs/>
        </w:rPr>
      </w:pPr>
      <w:r>
        <w:rPr>
          <w:b/>
          <w:bCs/>
        </w:rPr>
        <w:t>Reform laws in a manner that achieves the aim of removing the barriers to enjoying the highest attainable standard of health, including the removal of</w:t>
      </w:r>
      <w:r w:rsidR="00CB5AB3">
        <w:rPr>
          <w:b/>
          <w:bCs/>
        </w:rPr>
        <w:t xml:space="preserve"> laws criminalizing same-sex sexual activity, all aspects of sex work, </w:t>
      </w:r>
      <w:r w:rsidR="00A140C3">
        <w:rPr>
          <w:b/>
          <w:bCs/>
        </w:rPr>
        <w:t xml:space="preserve">possession of drugs for personal use, gender identity and expression, </w:t>
      </w:r>
      <w:r w:rsidR="00721E9E">
        <w:rPr>
          <w:b/>
          <w:bCs/>
        </w:rPr>
        <w:t xml:space="preserve">specific and overly broad criminalisation of </w:t>
      </w:r>
      <w:r w:rsidR="00A140C3">
        <w:rPr>
          <w:b/>
          <w:bCs/>
        </w:rPr>
        <w:t>HIV exposure, non-disclosure and transmission, laws imposing travel restrictions, laws requiring parental or spousal consent to access HIV and SRH services, as well as</w:t>
      </w:r>
      <w:r>
        <w:rPr>
          <w:b/>
          <w:bCs/>
        </w:rPr>
        <w:t xml:space="preserve"> vagrancy and petty offence laws, and punitive administrative penalties.</w:t>
      </w:r>
    </w:p>
    <w:p w14:paraId="6D8FC0AB" w14:textId="77777777" w:rsidR="00954CEC" w:rsidRDefault="00954CEC" w:rsidP="0002475F">
      <w:pPr>
        <w:pStyle w:val="ListParagraph"/>
        <w:numPr>
          <w:ilvl w:val="0"/>
          <w:numId w:val="4"/>
        </w:numPr>
        <w:rPr>
          <w:b/>
          <w:bCs/>
        </w:rPr>
      </w:pPr>
      <w:r>
        <w:rPr>
          <w:b/>
          <w:bCs/>
        </w:rPr>
        <w:t>End the practice of compulsory drug detention and drug treatment.</w:t>
      </w:r>
    </w:p>
    <w:p w14:paraId="0CD98BB2" w14:textId="2C4902DB" w:rsidR="00915E60" w:rsidRDefault="00915E60" w:rsidP="0002475F">
      <w:pPr>
        <w:pStyle w:val="ListParagraph"/>
        <w:numPr>
          <w:ilvl w:val="0"/>
          <w:numId w:val="4"/>
        </w:numPr>
        <w:rPr>
          <w:b/>
          <w:bCs/>
        </w:rPr>
      </w:pPr>
      <w:r>
        <w:rPr>
          <w:b/>
          <w:bCs/>
        </w:rPr>
        <w:t xml:space="preserve">Take action to reduce HIV-related stigma and discrimination through the Global Partnership for Action to Eliminate all Forms of HIV Related Stigma and Discrimination. </w:t>
      </w:r>
    </w:p>
    <w:p w14:paraId="380292E0" w14:textId="06BB4423" w:rsidR="00753F44" w:rsidRDefault="00753F44" w:rsidP="0002475F">
      <w:pPr>
        <w:pStyle w:val="ListParagraph"/>
        <w:numPr>
          <w:ilvl w:val="0"/>
          <w:numId w:val="4"/>
        </w:numPr>
        <w:rPr>
          <w:b/>
          <w:bCs/>
        </w:rPr>
      </w:pPr>
      <w:r>
        <w:rPr>
          <w:b/>
          <w:bCs/>
        </w:rPr>
        <w:t xml:space="preserve">Increase access to justice for all individuals and communities, including reducing barriers such as cost, lack of legal literacy or </w:t>
      </w:r>
      <w:r w:rsidR="00E54387">
        <w:rPr>
          <w:b/>
          <w:bCs/>
        </w:rPr>
        <w:t>legal representation.</w:t>
      </w:r>
    </w:p>
    <w:p w14:paraId="6A9F5BB4" w14:textId="5988EA29" w:rsidR="00C31B26" w:rsidRDefault="00C31B26" w:rsidP="0002475F">
      <w:pPr>
        <w:pStyle w:val="ListParagraph"/>
        <w:numPr>
          <w:ilvl w:val="0"/>
          <w:numId w:val="4"/>
        </w:numPr>
        <w:rPr>
          <w:b/>
          <w:bCs/>
        </w:rPr>
      </w:pPr>
      <w:r w:rsidRPr="004876C7">
        <w:rPr>
          <w:b/>
          <w:bCs/>
        </w:rPr>
        <w:t>Repeal discriminatory laws and policies that increase women’s and girls’ vulnerability to HIV</w:t>
      </w:r>
      <w:r w:rsidR="00DE3857" w:rsidRPr="004876C7">
        <w:rPr>
          <w:b/>
          <w:bCs/>
        </w:rPr>
        <w:t>, including laws</w:t>
      </w:r>
      <w:r w:rsidR="00C93340">
        <w:rPr>
          <w:b/>
          <w:bCs/>
        </w:rPr>
        <w:t xml:space="preserve"> </w:t>
      </w:r>
      <w:r w:rsidR="00300EBB">
        <w:rPr>
          <w:b/>
          <w:bCs/>
        </w:rPr>
        <w:t xml:space="preserve">barring their access to voluntary </w:t>
      </w:r>
      <w:r w:rsidR="00A43962">
        <w:rPr>
          <w:b/>
          <w:bCs/>
        </w:rPr>
        <w:t>HIV testing such as</w:t>
      </w:r>
      <w:r w:rsidR="002D6FD8">
        <w:rPr>
          <w:b/>
          <w:bCs/>
        </w:rPr>
        <w:t xml:space="preserve"> those requiring spousal, parental or guardian’s consent</w:t>
      </w:r>
      <w:r w:rsidR="00DE3857" w:rsidRPr="004876C7">
        <w:rPr>
          <w:b/>
          <w:bCs/>
        </w:rPr>
        <w:t>.</w:t>
      </w:r>
    </w:p>
    <w:p w14:paraId="5E68B280" w14:textId="58797BE6" w:rsidR="00E54387" w:rsidRPr="004876C7" w:rsidRDefault="00E54387" w:rsidP="0002475F">
      <w:pPr>
        <w:pStyle w:val="ListParagraph"/>
        <w:numPr>
          <w:ilvl w:val="0"/>
          <w:numId w:val="4"/>
        </w:numPr>
        <w:rPr>
          <w:b/>
          <w:bCs/>
        </w:rPr>
      </w:pPr>
      <w:r>
        <w:rPr>
          <w:b/>
          <w:bCs/>
        </w:rPr>
        <w:t xml:space="preserve">Apply a gender transformative approach to all </w:t>
      </w:r>
      <w:r w:rsidR="00224366">
        <w:rPr>
          <w:b/>
          <w:bCs/>
        </w:rPr>
        <w:t>action</w:t>
      </w:r>
      <w:r w:rsidR="00C93340">
        <w:rPr>
          <w:b/>
          <w:bCs/>
        </w:rPr>
        <w:t>s</w:t>
      </w:r>
      <w:r w:rsidR="00224366">
        <w:rPr>
          <w:b/>
          <w:bCs/>
        </w:rPr>
        <w:t xml:space="preserve"> in relation to the societal enablers.</w:t>
      </w:r>
    </w:p>
    <w:p w14:paraId="384841F7" w14:textId="748C12DD" w:rsidR="00D075B5" w:rsidRPr="004876C7" w:rsidRDefault="00C31B26" w:rsidP="0002475F">
      <w:pPr>
        <w:pStyle w:val="ListParagraph"/>
        <w:numPr>
          <w:ilvl w:val="0"/>
          <w:numId w:val="4"/>
        </w:numPr>
        <w:rPr>
          <w:b/>
          <w:bCs/>
        </w:rPr>
      </w:pPr>
      <w:r w:rsidRPr="004876C7">
        <w:rPr>
          <w:b/>
          <w:bCs/>
        </w:rPr>
        <w:t>Protect</w:t>
      </w:r>
      <w:r w:rsidR="00C93340">
        <w:rPr>
          <w:b/>
          <w:bCs/>
        </w:rPr>
        <w:t>, respect and fulfill the</w:t>
      </w:r>
      <w:r w:rsidRPr="004876C7">
        <w:rPr>
          <w:b/>
          <w:bCs/>
        </w:rPr>
        <w:t xml:space="preserve"> sexual and reproductive health and rights</w:t>
      </w:r>
      <w:r w:rsidR="00D075B5" w:rsidRPr="004876C7">
        <w:rPr>
          <w:b/>
          <w:bCs/>
        </w:rPr>
        <w:t xml:space="preserve"> of women and </w:t>
      </w:r>
      <w:proofErr w:type="gramStart"/>
      <w:r w:rsidR="00D075B5" w:rsidRPr="004876C7">
        <w:rPr>
          <w:b/>
          <w:bCs/>
        </w:rPr>
        <w:t>girls</w:t>
      </w:r>
      <w:r w:rsidRPr="004876C7">
        <w:rPr>
          <w:b/>
          <w:bCs/>
        </w:rPr>
        <w:t>;</w:t>
      </w:r>
      <w:proofErr w:type="gramEnd"/>
      <w:r w:rsidRPr="004876C7">
        <w:rPr>
          <w:b/>
          <w:bCs/>
        </w:rPr>
        <w:t xml:space="preserve"> </w:t>
      </w:r>
    </w:p>
    <w:p w14:paraId="5E1983F2" w14:textId="2ACE9C60" w:rsidR="00D075B5" w:rsidRDefault="00D075B5" w:rsidP="0002475F">
      <w:pPr>
        <w:pStyle w:val="ListParagraph"/>
        <w:numPr>
          <w:ilvl w:val="0"/>
          <w:numId w:val="4"/>
        </w:numPr>
        <w:rPr>
          <w:b/>
          <w:bCs/>
        </w:rPr>
      </w:pPr>
      <w:r w:rsidRPr="004876C7">
        <w:rPr>
          <w:b/>
          <w:bCs/>
        </w:rPr>
        <w:t>P</w:t>
      </w:r>
      <w:r w:rsidR="00C31B26" w:rsidRPr="004876C7">
        <w:rPr>
          <w:b/>
          <w:bCs/>
        </w:rPr>
        <w:t>revent and respond to gender-based violence and its interlinkages with HIV/</w:t>
      </w:r>
      <w:proofErr w:type="gramStart"/>
      <w:r w:rsidR="00C31B26" w:rsidRPr="004876C7">
        <w:rPr>
          <w:b/>
          <w:bCs/>
        </w:rPr>
        <w:t>AIDS;</w:t>
      </w:r>
      <w:proofErr w:type="gramEnd"/>
      <w:r w:rsidR="00C31B26" w:rsidRPr="004876C7">
        <w:rPr>
          <w:b/>
          <w:bCs/>
        </w:rPr>
        <w:t xml:space="preserve"> </w:t>
      </w:r>
    </w:p>
    <w:p w14:paraId="58758669" w14:textId="3FE73B2A" w:rsidR="00161497" w:rsidRPr="004876C7" w:rsidRDefault="00161497" w:rsidP="0002475F">
      <w:pPr>
        <w:pStyle w:val="ListParagraph"/>
        <w:numPr>
          <w:ilvl w:val="0"/>
          <w:numId w:val="4"/>
        </w:numPr>
        <w:rPr>
          <w:b/>
          <w:bCs/>
        </w:rPr>
      </w:pPr>
      <w:r w:rsidRPr="00161497">
        <w:rPr>
          <w:b/>
          <w:bCs/>
        </w:rPr>
        <w:t>Violence against people from key populations should be prevented and addressed in partnership with key population-led organizations. All violence against people from key population groups should be monitored and reported, and redress mechanisms should be established to provide justice</w:t>
      </w:r>
    </w:p>
    <w:p w14:paraId="0D25C780" w14:textId="1B2CAEBD" w:rsidR="00C31B26" w:rsidRPr="004876C7" w:rsidRDefault="00D075B5" w:rsidP="0002475F">
      <w:pPr>
        <w:pStyle w:val="ListParagraph"/>
        <w:numPr>
          <w:ilvl w:val="0"/>
          <w:numId w:val="4"/>
        </w:numPr>
        <w:rPr>
          <w:b/>
          <w:bCs/>
        </w:rPr>
      </w:pPr>
      <w:r w:rsidRPr="004876C7">
        <w:rPr>
          <w:b/>
          <w:bCs/>
        </w:rPr>
        <w:t>T</w:t>
      </w:r>
      <w:r w:rsidR="00C31B26" w:rsidRPr="004876C7">
        <w:rPr>
          <w:b/>
          <w:bCs/>
        </w:rPr>
        <w:t>ransform harmful gender norms and masculinities that undermine the health and wellbeing of both men and women</w:t>
      </w:r>
    </w:p>
    <w:p w14:paraId="5C2ABAEB" w14:textId="3CBC9EAC" w:rsidR="00DE3857" w:rsidRDefault="00DE3857" w:rsidP="0002475F">
      <w:pPr>
        <w:pStyle w:val="ListParagraph"/>
        <w:numPr>
          <w:ilvl w:val="0"/>
          <w:numId w:val="4"/>
        </w:numPr>
        <w:rPr>
          <w:b/>
          <w:bCs/>
        </w:rPr>
      </w:pPr>
      <w:r w:rsidRPr="004876C7">
        <w:rPr>
          <w:b/>
          <w:bCs/>
        </w:rPr>
        <w:t xml:space="preserve">Integrate strong gender components in </w:t>
      </w:r>
      <w:proofErr w:type="spellStart"/>
      <w:r w:rsidR="00614BAD">
        <w:rPr>
          <w:b/>
          <w:bCs/>
        </w:rPr>
        <w:t>programmes</w:t>
      </w:r>
      <w:proofErr w:type="spellEnd"/>
      <w:r w:rsidR="00614BAD">
        <w:rPr>
          <w:b/>
          <w:bCs/>
        </w:rPr>
        <w:t xml:space="preserve"> for</w:t>
      </w:r>
      <w:r w:rsidRPr="004876C7">
        <w:rPr>
          <w:b/>
          <w:bCs/>
        </w:rPr>
        <w:t xml:space="preserve"> comprehensive sexuality </w:t>
      </w:r>
      <w:r w:rsidR="00614BAD">
        <w:rPr>
          <w:b/>
          <w:bCs/>
        </w:rPr>
        <w:t>information and education</w:t>
      </w:r>
    </w:p>
    <w:p w14:paraId="781266AF" w14:textId="6D496909" w:rsidR="00CD1A3E" w:rsidRPr="00CD1A3E" w:rsidRDefault="00CD1A3E" w:rsidP="00CD1A3E">
      <w:pPr>
        <w:pStyle w:val="ListParagraph"/>
        <w:numPr>
          <w:ilvl w:val="0"/>
          <w:numId w:val="4"/>
        </w:numPr>
        <w:rPr>
          <w:b/>
          <w:bCs/>
        </w:rPr>
      </w:pPr>
      <w:r>
        <w:rPr>
          <w:b/>
          <w:bCs/>
        </w:rPr>
        <w:t>Increase domestic and international funding for the societal enablers to USD$3.1billion by 2025.</w:t>
      </w:r>
    </w:p>
    <w:p w14:paraId="6F3CB21D" w14:textId="6199F117" w:rsidR="00090668" w:rsidRDefault="00090668">
      <w:pPr>
        <w:spacing w:after="160" w:line="259" w:lineRule="auto"/>
        <w:jc w:val="left"/>
        <w:rPr>
          <w:b/>
          <w:bCs/>
        </w:rPr>
      </w:pPr>
      <w:r>
        <w:rPr>
          <w:b/>
          <w:bCs/>
        </w:rPr>
        <w:br w:type="page"/>
      </w:r>
    </w:p>
    <w:p w14:paraId="69C2FB96" w14:textId="2AFB197B" w:rsidR="00FF1471" w:rsidRDefault="00090668" w:rsidP="00090668">
      <w:pPr>
        <w:rPr>
          <w:b/>
          <w:bCs/>
        </w:rPr>
      </w:pPr>
      <w:r>
        <w:rPr>
          <w:b/>
          <w:bCs/>
        </w:rPr>
        <w:lastRenderedPageBreak/>
        <w:t>Annex 1: The Global Partnership for Action to Eliminate all Forms of HIV-related Stigma and Discrimination</w:t>
      </w:r>
    </w:p>
    <w:p w14:paraId="036DB8D1" w14:textId="77777777" w:rsidR="00C307AD" w:rsidRDefault="00C307AD" w:rsidP="00C307AD">
      <w:pPr>
        <w:jc w:val="center"/>
        <w:rPr>
          <w:rFonts w:ascii="Calibri Light" w:hAnsi="Calibri Light" w:cs="Calibri Light"/>
          <w:b/>
          <w:bCs/>
          <w:color w:val="000000" w:themeColor="text1"/>
        </w:rPr>
      </w:pPr>
      <w:r w:rsidRPr="5CA30545">
        <w:rPr>
          <w:rFonts w:ascii="Calibri Light" w:hAnsi="Calibri Light" w:cs="Calibri Light"/>
          <w:b/>
          <w:bCs/>
          <w:color w:val="000000" w:themeColor="text1"/>
        </w:rPr>
        <w:t>Global Partnership Countries’ Best Practices in Reaching 10-10-10 Targets</w:t>
      </w:r>
    </w:p>
    <w:p w14:paraId="2357D3D0" w14:textId="77777777" w:rsidR="00C307AD" w:rsidRDefault="00C307AD" w:rsidP="00C307AD">
      <w:pPr>
        <w:spacing w:after="160"/>
        <w:rPr>
          <w:rFonts w:ascii="Calibri Light" w:eastAsia="Calibri Light" w:hAnsi="Calibri Light" w:cs="Calibri Light"/>
          <w:color w:val="000000" w:themeColor="text1"/>
          <w:sz w:val="20"/>
          <w:szCs w:val="20"/>
          <w:lang w:val="en"/>
        </w:rPr>
      </w:pPr>
      <w:r w:rsidRPr="5CA30545">
        <w:rPr>
          <w:rFonts w:ascii="Calibri Light" w:eastAsia="Calibri Light" w:hAnsi="Calibri Light" w:cs="Calibri Light"/>
          <w:color w:val="000000" w:themeColor="text1"/>
          <w:sz w:val="20"/>
          <w:szCs w:val="20"/>
        </w:rPr>
        <w:t>The Global Partnership for Action to Eliminate All Forms of HIV-Related Stigma and Discrimination (Global Partnership)</w:t>
      </w:r>
      <w:r w:rsidRPr="5CA30545">
        <w:rPr>
          <w:rFonts w:ascii="Calibri Light" w:eastAsia="Calibri Light" w:hAnsi="Calibri Light" w:cs="Calibri Light"/>
          <w:color w:val="000000" w:themeColor="text1"/>
          <w:sz w:val="20"/>
          <w:szCs w:val="20"/>
          <w:lang w:val="en-GB"/>
        </w:rPr>
        <w:t xml:space="preserve"> aims to accelerate the removal of HIV-related human rights barriers and inequalities by eliminating the underlying stigmatizing and discriminatory practices, </w:t>
      </w:r>
      <w:proofErr w:type="gramStart"/>
      <w:r w:rsidRPr="5CA30545">
        <w:rPr>
          <w:rFonts w:ascii="Calibri Light" w:eastAsia="Calibri Light" w:hAnsi="Calibri Light" w:cs="Calibri Light"/>
          <w:color w:val="000000" w:themeColor="text1"/>
          <w:sz w:val="20"/>
          <w:szCs w:val="20"/>
          <w:lang w:val="en-GB"/>
        </w:rPr>
        <w:t>policies</w:t>
      </w:r>
      <w:proofErr w:type="gramEnd"/>
      <w:r w:rsidRPr="5CA30545">
        <w:rPr>
          <w:rFonts w:ascii="Calibri Light" w:eastAsia="Calibri Light" w:hAnsi="Calibri Light" w:cs="Calibri Light"/>
          <w:color w:val="000000" w:themeColor="text1"/>
          <w:sz w:val="20"/>
          <w:szCs w:val="20"/>
          <w:lang w:val="en-GB"/>
        </w:rPr>
        <w:t xml:space="preserve"> and laws across six settings (community, health, justice, education, workplace, and emergency/humanitarian). By building and leveraging political commitment and key synergies, providing catalytic technical support, and promoting targeted advocacy for policy and legal change, the Global Partnership (GP) ensures an intersectoral, coordinated, country-led and scaled up response.</w:t>
      </w:r>
      <w:r w:rsidRPr="5CA30545">
        <w:rPr>
          <w:rFonts w:ascii="Calibri Light" w:eastAsia="Calibri Light" w:hAnsi="Calibri Light" w:cs="Calibri Light"/>
          <w:color w:val="000000" w:themeColor="text1"/>
          <w:sz w:val="20"/>
          <w:szCs w:val="20"/>
        </w:rPr>
        <w:t xml:space="preserve"> The Global Partnership is a community-led and driven initiative, co-convened by UNAIDS, UNDP, UN Women, GNP+, the PCB NGO Delegation and the Global Fund; advised by a Technical Working Group</w:t>
      </w:r>
      <w:r w:rsidRPr="5CA30545">
        <w:rPr>
          <w:rStyle w:val="FootnoteReference"/>
          <w:rFonts w:ascii="Calibri Light" w:eastAsia="Calibri Light" w:hAnsi="Calibri Light" w:cs="Calibri Light"/>
          <w:color w:val="000000" w:themeColor="text1"/>
          <w:sz w:val="20"/>
          <w:szCs w:val="20"/>
        </w:rPr>
        <w:footnoteReference w:id="117"/>
      </w:r>
      <w:r w:rsidRPr="5CA30545">
        <w:rPr>
          <w:rFonts w:ascii="Calibri Light" w:eastAsia="Calibri Light" w:hAnsi="Calibri Light" w:cs="Calibri Light"/>
          <w:color w:val="000000" w:themeColor="text1"/>
          <w:sz w:val="20"/>
          <w:szCs w:val="20"/>
        </w:rPr>
        <w:t>; and supported by a “community of practice”</w:t>
      </w:r>
      <w:r w:rsidRPr="5CA30545">
        <w:rPr>
          <w:rStyle w:val="FootnoteReference"/>
          <w:rFonts w:ascii="Calibri Light" w:eastAsia="Calibri Light" w:hAnsi="Calibri Light" w:cs="Calibri Light"/>
          <w:color w:val="000000" w:themeColor="text1"/>
          <w:sz w:val="20"/>
          <w:szCs w:val="20"/>
        </w:rPr>
        <w:footnoteReference w:id="118"/>
      </w:r>
      <w:r w:rsidRPr="5CA30545">
        <w:rPr>
          <w:rFonts w:ascii="Calibri Light" w:eastAsia="Calibri Light" w:hAnsi="Calibri Light" w:cs="Calibri Light"/>
          <w:color w:val="000000" w:themeColor="text1"/>
          <w:sz w:val="20"/>
          <w:szCs w:val="20"/>
        </w:rPr>
        <w:t xml:space="preserve"> at regional and country level. Bringing together the collaborative efforts of key stakeholders to end stigma and discrimination (S&amp;D), and other human rights-related barriers, the Global Partnership provides an excellent platform to support countries in the implementation of the Global AIDS Strategy and the achievement of its 10-10-10 targets. To date </w:t>
      </w:r>
      <w:r w:rsidRPr="5CA30545">
        <w:rPr>
          <w:rFonts w:ascii="Calibri Light" w:eastAsia="Calibri Light" w:hAnsi="Calibri Light" w:cs="Calibri Light"/>
          <w:color w:val="000000" w:themeColor="text1"/>
          <w:sz w:val="20"/>
          <w:szCs w:val="20"/>
          <w:lang w:val="en"/>
        </w:rPr>
        <w:t>29 countries</w:t>
      </w:r>
      <w:r w:rsidRPr="5CA30545">
        <w:rPr>
          <w:rStyle w:val="FootnoteReference"/>
          <w:rFonts w:ascii="Calibri Light" w:eastAsia="Calibri Light" w:hAnsi="Calibri Light" w:cs="Calibri Light"/>
          <w:color w:val="000000" w:themeColor="text1"/>
          <w:sz w:val="20"/>
          <w:szCs w:val="20"/>
          <w:lang w:val="en"/>
        </w:rPr>
        <w:footnoteReference w:id="119"/>
      </w:r>
      <w:r w:rsidRPr="5CA30545">
        <w:rPr>
          <w:rFonts w:ascii="Calibri Light" w:eastAsia="Calibri Light" w:hAnsi="Calibri Light" w:cs="Calibri Light"/>
          <w:color w:val="000000" w:themeColor="text1"/>
          <w:sz w:val="20"/>
          <w:szCs w:val="20"/>
          <w:lang w:val="en"/>
        </w:rPr>
        <w:t xml:space="preserve"> have joined the Global Partnership. Through its strategic guidance and catalytic technical support, the GP has had the following impact on the ground, in support of the achievement of the societal enabler targets.</w:t>
      </w:r>
    </w:p>
    <w:p w14:paraId="7B659AA4" w14:textId="77777777" w:rsidR="00C307AD" w:rsidRPr="00A22A09" w:rsidRDefault="00C307AD" w:rsidP="00C307AD">
      <w:pPr>
        <w:pStyle w:val="ListParagraph"/>
        <w:numPr>
          <w:ilvl w:val="0"/>
          <w:numId w:val="7"/>
        </w:numPr>
        <w:shd w:val="clear" w:color="auto" w:fill="E2EFD9" w:themeFill="accent6" w:themeFillTint="33"/>
        <w:adjustRightInd w:val="0"/>
        <w:snapToGrid w:val="0"/>
        <w:spacing w:after="80" w:line="240" w:lineRule="auto"/>
        <w:ind w:left="426"/>
        <w:rPr>
          <w:rFonts w:ascii="Calibri Light" w:hAnsi="Calibri Light" w:cs="Calibri Light"/>
          <w:b/>
          <w:bCs/>
        </w:rPr>
      </w:pPr>
      <w:r w:rsidRPr="5CA30545">
        <w:rPr>
          <w:rFonts w:ascii="Calibri Light" w:hAnsi="Calibri Light" w:cs="Calibri Light"/>
          <w:b/>
          <w:bCs/>
          <w:color w:val="000000" w:themeColor="text1"/>
        </w:rPr>
        <w:t xml:space="preserve">Less than 10% of PLHIV and KPs experience S&amp;D </w:t>
      </w:r>
    </w:p>
    <w:p w14:paraId="03EA7BBE" w14:textId="77777777" w:rsidR="00C307AD" w:rsidRPr="00A22A09" w:rsidRDefault="00C307AD" w:rsidP="00C307AD">
      <w:pPr>
        <w:pBdr>
          <w:top w:val="nil"/>
          <w:left w:val="nil"/>
          <w:bottom w:val="nil"/>
          <w:right w:val="nil"/>
          <w:between w:val="nil"/>
          <w:bar w:val="nil"/>
        </w:pBdr>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lang w:val="en-GB"/>
        </w:rPr>
        <w:t>Advocacy</w:t>
      </w:r>
      <w:r w:rsidRPr="5CA30545">
        <w:rPr>
          <w:rFonts w:ascii="Calibri Light" w:eastAsia="Calibri Light" w:hAnsi="Calibri Light" w:cs="Calibri Light"/>
          <w:color w:val="000000" w:themeColor="text1"/>
          <w:sz w:val="20"/>
          <w:szCs w:val="20"/>
          <w:lang w:val="en-GB"/>
        </w:rPr>
        <w:t xml:space="preserve">: The GP’s community-led and partnership-based #MoreThan anti-discrimination campaign serves as an advocacy and education tool and as political leverage to garner country, </w:t>
      </w:r>
      <w:proofErr w:type="gramStart"/>
      <w:r w:rsidRPr="5CA30545">
        <w:rPr>
          <w:rFonts w:ascii="Calibri Light" w:eastAsia="Calibri Light" w:hAnsi="Calibri Light" w:cs="Calibri Light"/>
          <w:color w:val="000000" w:themeColor="text1"/>
          <w:sz w:val="20"/>
          <w:szCs w:val="20"/>
          <w:lang w:val="en-GB"/>
        </w:rPr>
        <w:t>donor</w:t>
      </w:r>
      <w:proofErr w:type="gramEnd"/>
      <w:r w:rsidRPr="5CA30545">
        <w:rPr>
          <w:rFonts w:ascii="Calibri Light" w:eastAsia="Calibri Light" w:hAnsi="Calibri Light" w:cs="Calibri Light"/>
          <w:color w:val="000000" w:themeColor="text1"/>
          <w:sz w:val="20"/>
          <w:szCs w:val="20"/>
          <w:lang w:val="en-GB"/>
        </w:rPr>
        <w:t xml:space="preserve"> and partner support. It fights internal stigma through personal stories by highlighting that everyone is more than their HIV status, empowers communities to know their rights, informs and strongly engages stakeholders on setting- and key population- specific S&amp;D reduction interventions (including for addressing the intersectional nature of HIV-related S&amp;D) and mobilizes political commitment through championing country best practices.</w:t>
      </w:r>
    </w:p>
    <w:p w14:paraId="5599ECBB" w14:textId="77777777" w:rsidR="00C307AD" w:rsidRPr="00A22A09" w:rsidRDefault="00C307AD" w:rsidP="00C307AD">
      <w:pPr>
        <w:pStyle w:val="ListParagraph"/>
        <w:numPr>
          <w:ilvl w:val="0"/>
          <w:numId w:val="6"/>
        </w:numPr>
        <w:pBdr>
          <w:top w:val="nil"/>
          <w:left w:val="nil"/>
          <w:bottom w:val="nil"/>
          <w:right w:val="nil"/>
          <w:between w:val="nil"/>
          <w:bar w:val="nil"/>
        </w:pBdr>
        <w:spacing w:after="0" w:line="240" w:lineRule="auto"/>
        <w:ind w:left="714" w:hanging="357"/>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 xml:space="preserve">Through the #MoreThan campaign for International Workers’ Day, Thailand mobilized the Ministry of </w:t>
      </w:r>
      <w:proofErr w:type="spellStart"/>
      <w:r w:rsidRPr="5CA30545">
        <w:rPr>
          <w:rFonts w:ascii="Calibri Light" w:eastAsia="Calibri Light" w:hAnsi="Calibri Light" w:cs="Calibri Light"/>
          <w:color w:val="000000" w:themeColor="text1"/>
          <w:sz w:val="20"/>
          <w:szCs w:val="20"/>
          <w:lang w:val="en-GB"/>
        </w:rPr>
        <w:t>Labor</w:t>
      </w:r>
      <w:proofErr w:type="spellEnd"/>
      <w:r w:rsidRPr="5CA30545">
        <w:rPr>
          <w:rFonts w:ascii="Calibri Light" w:eastAsia="Calibri Light" w:hAnsi="Calibri Light" w:cs="Calibri Light"/>
          <w:color w:val="000000" w:themeColor="text1"/>
          <w:sz w:val="20"/>
          <w:szCs w:val="20"/>
          <w:lang w:val="en-GB"/>
        </w:rPr>
        <w:t xml:space="preserve">, the Employers </w:t>
      </w:r>
      <w:proofErr w:type="spellStart"/>
      <w:r w:rsidRPr="5CA30545">
        <w:rPr>
          <w:rFonts w:ascii="Calibri Light" w:eastAsia="Calibri Light" w:hAnsi="Calibri Light" w:cs="Calibri Light"/>
          <w:color w:val="000000" w:themeColor="text1"/>
          <w:sz w:val="20"/>
          <w:szCs w:val="20"/>
          <w:lang w:val="en-GB"/>
        </w:rPr>
        <w:t>Conferderation</w:t>
      </w:r>
      <w:proofErr w:type="spellEnd"/>
      <w:r w:rsidRPr="5CA30545">
        <w:rPr>
          <w:rFonts w:ascii="Calibri Light" w:eastAsia="Calibri Light" w:hAnsi="Calibri Light" w:cs="Calibri Light"/>
          <w:color w:val="000000" w:themeColor="text1"/>
          <w:sz w:val="20"/>
          <w:szCs w:val="20"/>
          <w:lang w:val="en-GB"/>
        </w:rPr>
        <w:t xml:space="preserve"> of Thailand (ECOT), and the private sector (</w:t>
      </w:r>
      <w:proofErr w:type="gramStart"/>
      <w:r w:rsidRPr="5CA30545">
        <w:rPr>
          <w:rFonts w:ascii="Calibri Light" w:eastAsia="Calibri Light" w:hAnsi="Calibri Light" w:cs="Calibri Light"/>
          <w:color w:val="000000" w:themeColor="text1"/>
          <w:sz w:val="20"/>
          <w:szCs w:val="20"/>
          <w:lang w:val="en-GB"/>
        </w:rPr>
        <w:t>e.g.</w:t>
      </w:r>
      <w:proofErr w:type="gramEnd"/>
      <w:r w:rsidRPr="5CA30545">
        <w:rPr>
          <w:rFonts w:ascii="Calibri Light" w:eastAsia="Calibri Light" w:hAnsi="Calibri Light" w:cs="Calibri Light"/>
          <w:color w:val="000000" w:themeColor="text1"/>
          <w:sz w:val="20"/>
          <w:szCs w:val="20"/>
          <w:lang w:val="en-GB"/>
        </w:rPr>
        <w:t xml:space="preserve"> PCS Security &amp; Facility Services </w:t>
      </w:r>
      <w:r w:rsidRPr="5CA30545">
        <w:rPr>
          <w:rFonts w:ascii="Calibri Light" w:eastAsia="Calibri Light" w:hAnsi="Calibri Light" w:cs="Calibri Light"/>
          <w:color w:val="000000" w:themeColor="text1"/>
          <w:sz w:val="20"/>
          <w:szCs w:val="20"/>
          <w:lang w:val="en-GB"/>
        </w:rPr>
        <w:lastRenderedPageBreak/>
        <w:t>Ltd.) to participate in the campaign and publicly commit to eliminating HIV-related S&amp;D, through videotaped advocacy messages.</w:t>
      </w:r>
      <w:r w:rsidRPr="5CA30545">
        <w:rPr>
          <w:rFonts w:ascii="Calibri" w:eastAsia="Calibri" w:hAnsi="Calibri" w:cs="Calibri"/>
          <w:color w:val="000000" w:themeColor="text1"/>
          <w:sz w:val="24"/>
          <w:szCs w:val="24"/>
          <w:lang w:val="en-GB"/>
        </w:rPr>
        <w:t xml:space="preserve"> </w:t>
      </w:r>
      <w:r w:rsidRPr="5CA30545">
        <w:rPr>
          <w:rFonts w:ascii="Calibri Light" w:eastAsia="Calibri Light" w:hAnsi="Calibri Light" w:cs="Calibri Light"/>
          <w:color w:val="000000" w:themeColor="text1"/>
          <w:sz w:val="20"/>
          <w:szCs w:val="20"/>
          <w:lang w:val="en-GB"/>
        </w:rPr>
        <w:t>This is in line with the national code of conduct on HIV prevention &amp; management in workplace adopted early 2021.</w:t>
      </w:r>
    </w:p>
    <w:p w14:paraId="0D1BB16E" w14:textId="77777777" w:rsidR="00C307AD" w:rsidRPr="00A22A09" w:rsidRDefault="00C307AD" w:rsidP="00C307AD">
      <w:pPr>
        <w:pBdr>
          <w:top w:val="nil"/>
          <w:left w:val="nil"/>
          <w:bottom w:val="nil"/>
          <w:right w:val="nil"/>
          <w:between w:val="nil"/>
          <w:bar w:val="nil"/>
        </w:pBdr>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rPr>
        <w:t xml:space="preserve">National &amp; Regional Synergies: </w:t>
      </w:r>
      <w:r w:rsidRPr="5CA30545">
        <w:rPr>
          <w:rFonts w:ascii="Calibri Light" w:eastAsia="Calibri Light" w:hAnsi="Calibri Light" w:cs="Calibri Light"/>
          <w:color w:val="000000" w:themeColor="text1"/>
          <w:sz w:val="20"/>
          <w:szCs w:val="20"/>
        </w:rPr>
        <w:t xml:space="preserve">The GP leverages regional &amp; national resources especially from Global Fund (GF) and PEPFAR, opportunities for knowledge-sharing and collaboration, and partnerships, to streamline and accelerate implementation of S&amp;D programming and ensure greater accountability from partners &amp; stakeholders. For ex., 11 </w:t>
      </w:r>
      <w:r w:rsidRPr="5CA30545">
        <w:rPr>
          <w:rFonts w:ascii="Calibri Light" w:eastAsia="Calibri Light" w:hAnsi="Calibri Light" w:cs="Calibri Light"/>
          <w:color w:val="000000" w:themeColor="text1"/>
          <w:sz w:val="20"/>
          <w:szCs w:val="20"/>
          <w:lang w:val="en"/>
        </w:rPr>
        <w:t>of the GP countries</w:t>
      </w:r>
      <w:r w:rsidRPr="5CA30545">
        <w:rPr>
          <w:rStyle w:val="FootnoteReference"/>
          <w:rFonts w:ascii="Calibri Light" w:eastAsia="Calibri Light" w:hAnsi="Calibri Light" w:cs="Calibri Light"/>
          <w:color w:val="000000" w:themeColor="text1"/>
          <w:sz w:val="20"/>
          <w:szCs w:val="20"/>
          <w:lang w:val="en"/>
        </w:rPr>
        <w:footnoteReference w:id="120"/>
      </w:r>
      <w:r w:rsidRPr="5CA30545">
        <w:rPr>
          <w:rFonts w:ascii="Calibri Light" w:eastAsia="Calibri Light" w:hAnsi="Calibri Light" w:cs="Calibri Light"/>
          <w:color w:val="000000" w:themeColor="text1"/>
          <w:sz w:val="20"/>
          <w:szCs w:val="20"/>
          <w:lang w:val="en"/>
        </w:rPr>
        <w:t xml:space="preserve"> are part of the GF Breaking Down Barriers (BDB) initiative, allowing for sustained and comprehensive programmatic responses and leveraging the collective efforts to drive impact.</w:t>
      </w:r>
    </w:p>
    <w:p w14:paraId="7A728739"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rPr>
          <w:color w:val="000000" w:themeColor="text1"/>
          <w:sz w:val="20"/>
          <w:szCs w:val="20"/>
        </w:rPr>
      </w:pPr>
      <w:r w:rsidRPr="5CA30545">
        <w:rPr>
          <w:rFonts w:ascii="Calibri Light" w:eastAsia="Calibri Light" w:hAnsi="Calibri Light" w:cs="Calibri Light"/>
          <w:color w:val="000000" w:themeColor="text1"/>
          <w:sz w:val="20"/>
          <w:szCs w:val="20"/>
        </w:rPr>
        <w:t>Synergies forged with the Focal Country Collaboration among GF, PEPFAR &amp; UNAIDS to accelerate S&amp;D action in select Global Partnership countries (Jamaica, Mozambique, Thailand, Cote d’Ivoire, South Africa) and with the CDC through the CDC-UNAIDS Global Co-operative Agreement to advance implementation of prioritized interventions in 3 countries (Mozambique, Thailand, Cote d’Ivoire).</w:t>
      </w:r>
    </w:p>
    <w:p w14:paraId="16BA93BD"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ind w:left="714" w:hanging="357"/>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rPr>
        <w:t>Country coordinating mechanisms (CCMs) have been leveraged as multistakeholder platforms to coordinate the GP’s implementation to ensure joint and coordinated action in eliminating S&amp;D in Papua New Guinea, Thailand, South Africa &amp; Uganda, among others</w:t>
      </w:r>
    </w:p>
    <w:p w14:paraId="0EC28138"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ind w:left="714" w:hanging="357"/>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rPr>
        <w:t>South-South trainings</w:t>
      </w:r>
      <w:r w:rsidRPr="5CA30545">
        <w:rPr>
          <w:rFonts w:ascii="Calibri Light" w:eastAsia="Calibri Light" w:hAnsi="Calibri Light" w:cs="Calibri Light"/>
          <w:b/>
          <w:bCs/>
          <w:color w:val="000000" w:themeColor="text1"/>
          <w:sz w:val="20"/>
          <w:szCs w:val="20"/>
        </w:rPr>
        <w:t xml:space="preserve"> </w:t>
      </w:r>
      <w:r w:rsidRPr="5CA30545">
        <w:rPr>
          <w:rFonts w:ascii="Calibri Light" w:eastAsia="Calibri Light" w:hAnsi="Calibri Light" w:cs="Calibri Light"/>
          <w:color w:val="000000" w:themeColor="text1"/>
          <w:sz w:val="20"/>
          <w:szCs w:val="20"/>
        </w:rPr>
        <w:t>organized by Thailand’s Department of Disease Control - for stakeholders from Africa and Asia have led to synergies and guidance in drafting country action plans on eliminating S&amp;D and developing and integrating S&amp;D reduction interventions into national &amp; sub-national HIV programs.</w:t>
      </w:r>
    </w:p>
    <w:p w14:paraId="56E406BA"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rPr>
        <w:t>Asia Pacific: Southeast Asia Stigma Reduction Quality Improvement Learning Network (QI) accelerated implementation of national- and facility-level HIV-related S&amp;D reduction activities in region through routine measurement, quality improvement methods, and peer learning and exchange.</w:t>
      </w:r>
    </w:p>
    <w:p w14:paraId="04E2EF0E" w14:textId="77777777" w:rsidR="00C307AD" w:rsidRPr="00A22A09" w:rsidRDefault="00C307AD" w:rsidP="00C307AD">
      <w:pPr>
        <w:pBdr>
          <w:top w:val="nil"/>
          <w:left w:val="nil"/>
          <w:bottom w:val="nil"/>
          <w:right w:val="nil"/>
          <w:between w:val="nil"/>
          <w:bar w:val="nil"/>
        </w:pBdr>
        <w:spacing w:after="80"/>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lang w:val="en-GB"/>
        </w:rPr>
        <w:t>Strategic Guidance</w:t>
      </w:r>
      <w:r w:rsidRPr="5CA30545">
        <w:rPr>
          <w:rFonts w:ascii="Calibri Light" w:eastAsia="Calibri Light" w:hAnsi="Calibri Light" w:cs="Calibri Light"/>
          <w:color w:val="000000" w:themeColor="text1"/>
          <w:sz w:val="20"/>
          <w:szCs w:val="20"/>
          <w:lang w:val="en-GB"/>
        </w:rPr>
        <w:t xml:space="preserve">: Through catalytic technical support, the Global Partnership ensures S&amp;D reduction strategies are embedded into leadership, action plans, and interventions. </w:t>
      </w:r>
    </w:p>
    <w:p w14:paraId="14CAD74F" w14:textId="77777777" w:rsidR="00AD57A1" w:rsidRPr="00A22A09" w:rsidRDefault="00AD57A1" w:rsidP="00AD57A1">
      <w:pPr>
        <w:pStyle w:val="ListParagraph"/>
        <w:numPr>
          <w:ilvl w:val="0"/>
          <w:numId w:val="11"/>
        </w:numPr>
        <w:pBdr>
          <w:top w:val="nil"/>
          <w:left w:val="nil"/>
          <w:bottom w:val="nil"/>
          <w:right w:val="nil"/>
          <w:between w:val="nil"/>
          <w:bar w:val="nil"/>
        </w:pBdr>
        <w:spacing w:after="80" w:line="240" w:lineRule="auto"/>
        <w:rPr>
          <w:rFonts w:ascii="Calibri Light" w:eastAsia="Calibri Light" w:hAnsi="Calibri Light" w:cs="Calibri Light"/>
          <w:color w:val="FF0000"/>
          <w:sz w:val="20"/>
          <w:szCs w:val="20"/>
        </w:rPr>
      </w:pPr>
      <w:r w:rsidRPr="056B10B3">
        <w:rPr>
          <w:rFonts w:ascii="Calibri Light" w:eastAsia="Calibri Light" w:hAnsi="Calibri Light" w:cs="Calibri Light"/>
          <w:color w:val="FF0000"/>
          <w:sz w:val="20"/>
          <w:szCs w:val="20"/>
          <w:lang w:val="en-GB"/>
        </w:rPr>
        <w:t>In Jamaica with support from the BDB initiative,</w:t>
      </w:r>
      <w:r w:rsidRPr="056B10B3">
        <w:rPr>
          <w:rStyle w:val="FootnoteReference"/>
          <w:rFonts w:ascii="Calibri Light" w:eastAsia="Calibri Light" w:hAnsi="Calibri Light" w:cs="Calibri Light"/>
          <w:color w:val="FF0000"/>
          <w:sz w:val="20"/>
          <w:szCs w:val="20"/>
          <w:lang w:val="en-GB"/>
        </w:rPr>
        <w:footnoteReference w:id="121"/>
      </w:r>
      <w:r w:rsidRPr="056B10B3">
        <w:rPr>
          <w:rFonts w:ascii="Calibri Light" w:eastAsia="Calibri Light" w:hAnsi="Calibri Light" w:cs="Calibri Light"/>
          <w:color w:val="FF0000"/>
          <w:sz w:val="20"/>
          <w:szCs w:val="20"/>
          <w:lang w:val="en-GB"/>
        </w:rPr>
        <w:t xml:space="preserve"> the country collaboratively developed a 5-year operational plan aligned with the GP’s 6 settings and existing documents, such as the GP’s Guidance for Addressing S&amp;D, the National Strategic Plan and GF’s Baseline Assessment to ensure complementarity of processes in removing human rights and S&amp;D barriers. Jamaica has</w:t>
      </w:r>
      <w:r w:rsidRPr="056B10B3">
        <w:rPr>
          <w:rFonts w:ascii="Calibri Light" w:eastAsia="Calibri Light" w:hAnsi="Calibri Light" w:cs="Calibri Light"/>
          <w:color w:val="FF0000"/>
          <w:sz w:val="20"/>
          <w:szCs w:val="20"/>
          <w:lang w:val="en-HK"/>
        </w:rPr>
        <w:t xml:space="preserve"> also already completed a Human Rights Scorecard</w:t>
      </w:r>
      <w:r w:rsidRPr="056B10B3">
        <w:rPr>
          <w:rStyle w:val="FootnoteReference"/>
          <w:rFonts w:ascii="Calibri Light" w:eastAsia="Calibri Light" w:hAnsi="Calibri Light" w:cs="Calibri Light"/>
          <w:color w:val="FF0000"/>
          <w:sz w:val="20"/>
          <w:szCs w:val="20"/>
          <w:lang w:val="en-HK"/>
        </w:rPr>
        <w:footnoteReference w:id="122"/>
      </w:r>
      <w:r w:rsidRPr="056B10B3">
        <w:rPr>
          <w:rFonts w:ascii="Calibri Light" w:eastAsia="Calibri Light" w:hAnsi="Calibri Light" w:cs="Calibri Light"/>
          <w:color w:val="FF0000"/>
          <w:sz w:val="20"/>
          <w:szCs w:val="20"/>
          <w:lang w:val="en-HK"/>
        </w:rPr>
        <w:t xml:space="preserve"> to assess implementation, increase awareness and improve alignment and accountability around interventions</w:t>
      </w:r>
      <w:r w:rsidRPr="056B10B3">
        <w:rPr>
          <w:rFonts w:ascii="Arial" w:eastAsia="Arial" w:hAnsi="Arial" w:cs="Arial"/>
          <w:color w:val="FF0000"/>
          <w:sz w:val="24"/>
          <w:szCs w:val="24"/>
          <w:lang w:val="en-HK"/>
        </w:rPr>
        <w:t>.</w:t>
      </w:r>
      <w:r w:rsidRPr="056B10B3">
        <w:rPr>
          <w:rFonts w:ascii="Calibri Light" w:eastAsia="Calibri Light" w:hAnsi="Calibri Light" w:cs="Calibri Light"/>
          <w:color w:val="FF0000"/>
          <w:sz w:val="20"/>
          <w:szCs w:val="20"/>
          <w:lang w:val="en-GB"/>
        </w:rPr>
        <w:t xml:space="preserve"> In Thailand, despite limited resources, strong leadership and commitment from the government and civil society led to the development and implementation of a costed, multisectoral 5-year action plan to eliminate HIV-related S&amp;D.</w:t>
      </w:r>
    </w:p>
    <w:p w14:paraId="5539F429" w14:textId="77777777" w:rsidR="00C307AD" w:rsidRPr="00A22A09" w:rsidRDefault="00C307AD" w:rsidP="00C307AD">
      <w:pPr>
        <w:pStyle w:val="ListParagraph"/>
        <w:numPr>
          <w:ilvl w:val="0"/>
          <w:numId w:val="11"/>
        </w:numPr>
        <w:pBdr>
          <w:top w:val="nil"/>
          <w:left w:val="nil"/>
          <w:bottom w:val="nil"/>
          <w:right w:val="nil"/>
          <w:between w:val="nil"/>
          <w:bar w:val="nil"/>
        </w:pBdr>
        <w:spacing w:after="8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HK"/>
        </w:rPr>
        <w:t xml:space="preserve">In WCA, shared experiences and knowledge have led to streamlined processes/models of national action plans in 7 countries (Senegal, Côte d'Ivoire, the Democratic Republic of the Congo, Liberia, Gambia, </w:t>
      </w:r>
      <w:proofErr w:type="gramStart"/>
      <w:r w:rsidRPr="5CA30545">
        <w:rPr>
          <w:rFonts w:ascii="Calibri Light" w:eastAsia="Calibri Light" w:hAnsi="Calibri Light" w:cs="Calibri Light"/>
          <w:color w:val="000000" w:themeColor="text1"/>
          <w:sz w:val="20"/>
          <w:szCs w:val="20"/>
          <w:lang w:val="en-HK"/>
        </w:rPr>
        <w:t>Guinea</w:t>
      </w:r>
      <w:proofErr w:type="gramEnd"/>
      <w:r w:rsidRPr="5CA30545">
        <w:rPr>
          <w:rFonts w:ascii="Calibri Light" w:eastAsia="Calibri Light" w:hAnsi="Calibri Light" w:cs="Calibri Light"/>
          <w:color w:val="000000" w:themeColor="text1"/>
          <w:sz w:val="20"/>
          <w:szCs w:val="20"/>
          <w:lang w:val="en-HK"/>
        </w:rPr>
        <w:t xml:space="preserve"> and the Central African Republic) providing accountability and accelerating implementation of interventions.</w:t>
      </w:r>
    </w:p>
    <w:p w14:paraId="2B58BD56" w14:textId="77777777" w:rsidR="00C307AD" w:rsidRPr="00A22A09" w:rsidRDefault="00C307AD" w:rsidP="00C307AD">
      <w:pPr>
        <w:pStyle w:val="ListParagraph"/>
        <w:numPr>
          <w:ilvl w:val="0"/>
          <w:numId w:val="11"/>
        </w:numPr>
        <w:pBdr>
          <w:top w:val="nil"/>
          <w:left w:val="nil"/>
          <w:bottom w:val="nil"/>
          <w:right w:val="nil"/>
          <w:between w:val="nil"/>
          <w:bar w:val="nil"/>
        </w:pBdr>
        <w:spacing w:after="8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 xml:space="preserve">In CAR, a Zero Discrimination Platform with 30+ members </w:t>
      </w:r>
      <w:proofErr w:type="gramStart"/>
      <w:r w:rsidRPr="5CA30545">
        <w:rPr>
          <w:rFonts w:ascii="Calibri Light" w:eastAsia="Calibri Light" w:hAnsi="Calibri Light" w:cs="Calibri Light"/>
          <w:color w:val="000000" w:themeColor="text1"/>
          <w:sz w:val="20"/>
          <w:szCs w:val="20"/>
          <w:lang w:val="en-GB"/>
        </w:rPr>
        <w:t>was</w:t>
      </w:r>
      <w:proofErr w:type="gramEnd"/>
      <w:r w:rsidRPr="5CA30545">
        <w:rPr>
          <w:rFonts w:ascii="Calibri Light" w:eastAsia="Calibri Light" w:hAnsi="Calibri Light" w:cs="Calibri Light"/>
          <w:color w:val="000000" w:themeColor="text1"/>
          <w:sz w:val="20"/>
          <w:szCs w:val="20"/>
          <w:lang w:val="en-GB"/>
        </w:rPr>
        <w:t xml:space="preserve"> relaunched to oversee and support implementation of joint activities. To ensure civil society’s meaningful participation, a distinct civil society platform was also established to foster dialogue, implement and follow-up on specific community &amp; advocacy activities. </w:t>
      </w:r>
    </w:p>
    <w:p w14:paraId="06644A10" w14:textId="77777777" w:rsidR="00C307AD" w:rsidRPr="00A22A09" w:rsidRDefault="00C307AD" w:rsidP="00C307AD">
      <w:pPr>
        <w:pStyle w:val="Body"/>
        <w:spacing w:after="0" w:line="240" w:lineRule="auto"/>
        <w:jc w:val="both"/>
        <w:rPr>
          <w:rFonts w:ascii="Calibri Light" w:eastAsia="Calibri Light" w:hAnsi="Calibri Light" w:cs="Calibri Light"/>
          <w:sz w:val="20"/>
          <w:szCs w:val="20"/>
          <w:lang w:val="en-GB"/>
        </w:rPr>
      </w:pPr>
      <w:r w:rsidRPr="5CA30545">
        <w:rPr>
          <w:rFonts w:ascii="Calibri Light" w:eastAsia="Calibri Light" w:hAnsi="Calibri Light" w:cs="Calibri Light"/>
          <w:sz w:val="20"/>
          <w:szCs w:val="20"/>
          <w:u w:val="single"/>
        </w:rPr>
        <w:t>Actors and community advocates capacitated</w:t>
      </w:r>
      <w:r w:rsidRPr="5CA30545">
        <w:rPr>
          <w:rFonts w:ascii="Calibri Light" w:eastAsia="Calibri Light" w:hAnsi="Calibri Light" w:cs="Calibri Light"/>
          <w:sz w:val="20"/>
          <w:szCs w:val="20"/>
        </w:rPr>
        <w:t>:</w:t>
      </w:r>
      <w:r w:rsidRPr="5CA30545">
        <w:rPr>
          <w:rFonts w:ascii="Calibri Light" w:eastAsia="Calibri Light" w:hAnsi="Calibri Light" w:cs="Calibri Light"/>
          <w:sz w:val="20"/>
          <w:szCs w:val="20"/>
          <w:u w:val="single"/>
        </w:rPr>
        <w:t xml:space="preserve"> </w:t>
      </w:r>
      <w:r w:rsidRPr="5CA30545">
        <w:rPr>
          <w:rFonts w:ascii="Calibri Light" w:eastAsia="Calibri Light" w:hAnsi="Calibri Light" w:cs="Calibri Light"/>
          <w:sz w:val="20"/>
          <w:szCs w:val="20"/>
        </w:rPr>
        <w:t xml:space="preserve">to generate and/or use evidence to implement interventions that reduce S&amp;D barriers. In GP countries that are part of the BDB initiative, mid-term assessments have documented progress in scaling up S&amp;D reduction </w:t>
      </w:r>
      <w:proofErr w:type="spellStart"/>
      <w:r w:rsidRPr="5CA30545">
        <w:rPr>
          <w:rFonts w:ascii="Calibri Light" w:eastAsia="Calibri Light" w:hAnsi="Calibri Light" w:cs="Calibri Light"/>
          <w:sz w:val="20"/>
          <w:szCs w:val="20"/>
        </w:rPr>
        <w:t>programmes</w:t>
      </w:r>
      <w:proofErr w:type="spellEnd"/>
      <w:r w:rsidRPr="5CA30545">
        <w:rPr>
          <w:rFonts w:ascii="Calibri Light" w:eastAsia="Calibri Light" w:hAnsi="Calibri Light" w:cs="Calibri Light"/>
          <w:sz w:val="20"/>
          <w:szCs w:val="20"/>
        </w:rPr>
        <w:t xml:space="preserve"> and emerging evidence of impact of community-led </w:t>
      </w:r>
      <w:proofErr w:type="spellStart"/>
      <w:r w:rsidRPr="5CA30545">
        <w:rPr>
          <w:rFonts w:ascii="Calibri Light" w:eastAsia="Calibri Light" w:hAnsi="Calibri Light" w:cs="Calibri Light"/>
          <w:sz w:val="20"/>
          <w:szCs w:val="20"/>
        </w:rPr>
        <w:t>programmes</w:t>
      </w:r>
      <w:proofErr w:type="spellEnd"/>
      <w:r w:rsidRPr="5CA30545">
        <w:rPr>
          <w:rFonts w:ascii="Calibri Light" w:eastAsia="Calibri Light" w:hAnsi="Calibri Light" w:cs="Calibri Light"/>
          <w:sz w:val="20"/>
          <w:szCs w:val="20"/>
        </w:rPr>
        <w:t xml:space="preserve">. </w:t>
      </w:r>
    </w:p>
    <w:p w14:paraId="5079F5AB" w14:textId="77777777" w:rsidR="00C307AD" w:rsidRPr="00A22A09" w:rsidRDefault="00C307AD" w:rsidP="00C307AD">
      <w:pPr>
        <w:pStyle w:val="ListParagraph"/>
        <w:numPr>
          <w:ilvl w:val="0"/>
          <w:numId w:val="12"/>
        </w:numPr>
        <w:pBdr>
          <w:top w:val="nil"/>
          <w:left w:val="nil"/>
          <w:bottom w:val="nil"/>
          <w:right w:val="nil"/>
          <w:between w:val="nil"/>
          <w:bar w:val="nil"/>
        </w:pBdr>
        <w:spacing w:after="0" w:line="240" w:lineRule="auto"/>
        <w:ind w:left="714" w:hanging="357"/>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 xml:space="preserve">Thailand: stakeholder collaboration led to the scale up of interventions in healthcare settings and engagement of communities. Its 3-by-4 package of interventions has been key to removing barriers to </w:t>
      </w:r>
      <w:r w:rsidRPr="5CA30545">
        <w:rPr>
          <w:rFonts w:ascii="Calibri Light" w:eastAsia="Calibri Light" w:hAnsi="Calibri Light" w:cs="Calibri Light"/>
          <w:color w:val="000000" w:themeColor="text1"/>
          <w:sz w:val="20"/>
          <w:szCs w:val="20"/>
          <w:lang w:val="en-GB"/>
        </w:rPr>
        <w:lastRenderedPageBreak/>
        <w:t>healthcare access, sensitizing health personnel and monitoring HIV stigma &amp; discrimination in health facilities.</w:t>
      </w:r>
    </w:p>
    <w:p w14:paraId="71D28140"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ind w:left="714" w:hanging="357"/>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Thailand: the country has mobilized partners, and the private sector to prevent and reduce HIV S&amp;D in the workplace settings with the full engagement of civil society groups (Thai Network of Youth Living with HIV and the Foundation for AIDS Rights). Based on evidence gathered around discriminatory business practices by civil societies,</w:t>
      </w:r>
      <w:r w:rsidRPr="5CA30545">
        <w:rPr>
          <w:rFonts w:ascii="Calibri Light" w:eastAsia="Calibri Light" w:hAnsi="Calibri Light" w:cs="Calibri Light"/>
          <w:b/>
          <w:bCs/>
          <w:color w:val="000000" w:themeColor="text1"/>
          <w:sz w:val="20"/>
          <w:szCs w:val="20"/>
          <w:lang w:val="en-GB"/>
        </w:rPr>
        <w:t xml:space="preserve"> </w:t>
      </w:r>
      <w:r w:rsidRPr="5CA30545">
        <w:rPr>
          <w:rFonts w:ascii="Calibri Light" w:eastAsia="Calibri Light" w:hAnsi="Calibri Light" w:cs="Calibri Light"/>
          <w:color w:val="000000" w:themeColor="text1"/>
          <w:sz w:val="20"/>
          <w:szCs w:val="20"/>
          <w:lang w:val="en-GB"/>
        </w:rPr>
        <w:t xml:space="preserve">3 major private sector employers are undertaking a full review of their HIV policy and its implementation.  </w:t>
      </w:r>
    </w:p>
    <w:p w14:paraId="33B5762D"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 xml:space="preserve">In Nepal and Laos PDR, training modules on reducing S&amp;D have been developed by and for communities of PLHIV and key populations to ensure interventions respond to their needs.  </w:t>
      </w:r>
    </w:p>
    <w:p w14:paraId="538374FD"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Iran: emergency workers have been trained to ensure provision of S&amp;D free HIV services in emergency settings.</w:t>
      </w:r>
    </w:p>
    <w:p w14:paraId="752BE32D" w14:textId="77777777" w:rsidR="00C307AD" w:rsidRPr="00A22A09" w:rsidRDefault="00C307AD" w:rsidP="00C307AD">
      <w:pPr>
        <w:pBdr>
          <w:top w:val="nil"/>
          <w:left w:val="nil"/>
          <w:bottom w:val="nil"/>
          <w:right w:val="nil"/>
          <w:between w:val="nil"/>
          <w:bar w:val="nil"/>
        </w:pBdr>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rPr>
        <w:t>Mechanisms addressing Human Rights Violations in Place and Improved Enabling Environments</w:t>
      </w:r>
    </w:p>
    <w:p w14:paraId="2FB72A50" w14:textId="77777777" w:rsidR="00C307AD" w:rsidRPr="00A22A09" w:rsidRDefault="00C307AD" w:rsidP="00C307AD">
      <w:pPr>
        <w:pStyle w:val="ListParagraph"/>
        <w:numPr>
          <w:ilvl w:val="0"/>
          <w:numId w:val="12"/>
        </w:numPr>
        <w:pBdr>
          <w:top w:val="nil"/>
          <w:left w:val="nil"/>
          <w:bottom w:val="nil"/>
          <w:right w:val="nil"/>
          <w:between w:val="nil"/>
          <w:bar w:val="nil"/>
        </w:pBdr>
        <w:spacing w:after="0" w:line="240" w:lineRule="auto"/>
        <w:ind w:left="714" w:hanging="357"/>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 xml:space="preserve">Thailand adopted a national code of conduct on HIV prevention &amp; management in workplace in 2021 and its Department of Labour will be compiling relevant ministerial regulations and related HIV laws that will be disseminated to the private sector to promote non-discriminatory business practices, as result of their collaboration with the GP. </w:t>
      </w:r>
    </w:p>
    <w:p w14:paraId="20DF075F"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ind w:left="714" w:hanging="357"/>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CAR: the National Charter for Quality of Care &amp; Patients was adopted and includes specific provisions against S&amp;D, including based on HIV status and sexual orientation, in any health service delivery setting. The Charter is being disseminated in health centres and dedicated sensitization and trainings are being organized periodically for medical staff and healthcare providers.</w:t>
      </w:r>
    </w:p>
    <w:p w14:paraId="272A85DB"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ind w:left="714" w:hanging="357"/>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Jamaica: Development of monitoring and evaluation online platform to track progress in eliminating S&amp;D and completion of Human Rights Scorecard featuring 138 interventions (over 10 entities) to increase awareness and improve complementarity, coherence &amp; accountability around interventions.</w:t>
      </w:r>
    </w:p>
    <w:p w14:paraId="255DDAD5" w14:textId="77777777" w:rsidR="00C307AD" w:rsidRPr="00A22A09" w:rsidRDefault="00C307AD" w:rsidP="00C307AD">
      <w:pPr>
        <w:pStyle w:val="ListParagraph"/>
        <w:numPr>
          <w:ilvl w:val="0"/>
          <w:numId w:val="12"/>
        </w:numPr>
        <w:pBdr>
          <w:top w:val="nil"/>
          <w:left w:val="nil"/>
          <w:bottom w:val="nil"/>
          <w:right w:val="nil"/>
          <w:between w:val="nil"/>
          <w:bar w:val="nil"/>
        </w:pBdr>
        <w:spacing w:after="80" w:line="240" w:lineRule="auto"/>
        <w:ind w:left="714" w:hanging="357"/>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In Kazakhstan, a website to collect data and document real time human rights violations of PLHIV and key affected populations has been piloted. The information obtained will be used to strengthen programme design addressing human rights barriers and ensure access to justice.</w:t>
      </w:r>
    </w:p>
    <w:p w14:paraId="1CA0E0AB" w14:textId="77777777" w:rsidR="00C307AD" w:rsidRPr="00A22A09" w:rsidRDefault="00C307AD" w:rsidP="00C307AD">
      <w:pPr>
        <w:pStyle w:val="ListParagraph"/>
        <w:pBdr>
          <w:top w:val="nil"/>
          <w:left w:val="nil"/>
          <w:bottom w:val="nil"/>
          <w:right w:val="nil"/>
          <w:between w:val="nil"/>
          <w:bar w:val="nil"/>
        </w:pBdr>
        <w:spacing w:after="80"/>
        <w:ind w:left="714"/>
        <w:rPr>
          <w:color w:val="000000" w:themeColor="text1"/>
        </w:rPr>
      </w:pPr>
    </w:p>
    <w:p w14:paraId="62D7B7F1" w14:textId="77777777" w:rsidR="00C307AD" w:rsidRPr="003F7E08" w:rsidRDefault="00C307AD" w:rsidP="00C307AD">
      <w:pPr>
        <w:pStyle w:val="ListParagraph"/>
        <w:numPr>
          <w:ilvl w:val="0"/>
          <w:numId w:val="7"/>
        </w:numPr>
        <w:shd w:val="clear" w:color="auto" w:fill="FFF2CC" w:themeFill="accent4" w:themeFillTint="33"/>
        <w:adjustRightInd w:val="0"/>
        <w:snapToGrid w:val="0"/>
        <w:spacing w:after="0" w:line="240" w:lineRule="auto"/>
        <w:ind w:left="426"/>
        <w:rPr>
          <w:rFonts w:ascii="Calibri Light" w:eastAsia="Calibri Light" w:hAnsi="Calibri Light" w:cs="Calibri Light"/>
          <w:b/>
          <w:bCs/>
          <w:sz w:val="20"/>
          <w:szCs w:val="20"/>
        </w:rPr>
      </w:pPr>
      <w:r w:rsidRPr="5CA30545">
        <w:rPr>
          <w:rFonts w:ascii="Calibri Light" w:eastAsia="Calibri Light" w:hAnsi="Calibri Light" w:cs="Calibri Light"/>
          <w:b/>
          <w:bCs/>
          <w:color w:val="000000" w:themeColor="text1"/>
          <w:sz w:val="20"/>
          <w:szCs w:val="20"/>
        </w:rPr>
        <w:t>Less than 10% of women and girls, PLHIV and KPs experience gender inequality &amp; violence</w:t>
      </w:r>
    </w:p>
    <w:p w14:paraId="08B87EC2" w14:textId="77777777" w:rsidR="00C307AD" w:rsidRDefault="00C307AD" w:rsidP="00C307AD">
      <w:pPr>
        <w:spacing w:after="80"/>
        <w:rPr>
          <w:rFonts w:ascii="Calibri Light" w:eastAsia="Calibri Light" w:hAnsi="Calibri Light" w:cs="Calibri Light"/>
          <w:color w:val="000000" w:themeColor="text1"/>
          <w:sz w:val="20"/>
          <w:szCs w:val="20"/>
        </w:rPr>
      </w:pPr>
    </w:p>
    <w:p w14:paraId="28E382AA" w14:textId="77777777" w:rsidR="00C307AD" w:rsidRDefault="00C307AD" w:rsidP="00C307AD">
      <w:pPr>
        <w:spacing w:after="80"/>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rPr>
        <w:t>Through the expertise of its co-leads, Technical Working Group partners and strategic collaborations such as with Women4GlobalFund (W4GF), the Global Partnership brings in a gendered lens to ensure interventions in all settings directly address the rights and needs of women and girls living with HIV in all their diversity</w:t>
      </w:r>
    </w:p>
    <w:p w14:paraId="3B187159" w14:textId="77777777" w:rsidR="00C307AD" w:rsidRDefault="00C307AD" w:rsidP="00C307AD">
      <w:pPr>
        <w:spacing w:after="80"/>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lang w:val="en-GB"/>
        </w:rPr>
        <w:t>Advocacy</w:t>
      </w:r>
    </w:p>
    <w:p w14:paraId="33C14903" w14:textId="77777777" w:rsidR="00C307AD" w:rsidRDefault="00C307AD" w:rsidP="00C307AD">
      <w:pPr>
        <w:pStyle w:val="ListParagraph"/>
        <w:numPr>
          <w:ilvl w:val="0"/>
          <w:numId w:val="10"/>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 xml:space="preserve">Senegal: the Senegal National PLHIV Network (RNP+) held anti-stigma dialogues focused on women and girls and to develop an advocacy strategy for advocating with women lawyers’ associations and women's rights organizations to reduce the discrimination experienced by women and girls living with and affected by HIV in the country. </w:t>
      </w:r>
    </w:p>
    <w:p w14:paraId="191ABE3A" w14:textId="77777777" w:rsidR="00C307AD" w:rsidRDefault="00C307AD" w:rsidP="00C307AD">
      <w:pPr>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lang w:val="en-GB"/>
        </w:rPr>
        <w:t>National and Regional Synergies</w:t>
      </w:r>
    </w:p>
    <w:p w14:paraId="32006B26" w14:textId="77777777" w:rsidR="00C307AD" w:rsidRDefault="00C307AD" w:rsidP="00C307AD">
      <w:pPr>
        <w:pStyle w:val="ListParagraph"/>
        <w:numPr>
          <w:ilvl w:val="0"/>
          <w:numId w:val="10"/>
        </w:numPr>
        <w:spacing w:after="8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 xml:space="preserve">Through the collaboration with W4GF, women’s rights groups in Uganda and Jamaica were supported to enhance south-south collaboration in the exchange of best practices </w:t>
      </w:r>
      <w:r w:rsidRPr="5CA30545">
        <w:rPr>
          <w:rFonts w:ascii="Calibri Light" w:eastAsia="Calibri Light" w:hAnsi="Calibri Light" w:cs="Calibri Light"/>
          <w:color w:val="000000" w:themeColor="text1"/>
          <w:sz w:val="20"/>
          <w:szCs w:val="20"/>
          <w:lang w:val="en-HK"/>
        </w:rPr>
        <w:t xml:space="preserve">to ensure interventions address the gendered aspects of S&amp;D and that they uphold the rights and needs of women and girls in all their diversity. Country-level webinars were held to bring together a wide range of civil society, community and technical partners, and implementers, and build understanding of key entry points to influence how the Global Partnership rolls out in Uganda and Jamaica. </w:t>
      </w:r>
    </w:p>
    <w:p w14:paraId="551B4D7F" w14:textId="77777777" w:rsidR="00C307AD" w:rsidRDefault="00C307AD" w:rsidP="00C307AD">
      <w:pPr>
        <w:pStyle w:val="ListParagraph"/>
        <w:numPr>
          <w:ilvl w:val="0"/>
          <w:numId w:val="10"/>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HK"/>
        </w:rPr>
        <w:t>In Uganda, collaboration with OHCHR led to the development of training manuals for health care providers on human rights-based approaches to sexual and reproductive health and rights (SRHR) services. The manuals will be used to build the capacity of healthcare workers in providing access to SRHR services - free of stigma and discrimination - for women living with HIV.</w:t>
      </w:r>
    </w:p>
    <w:p w14:paraId="1378DFED" w14:textId="77777777" w:rsidR="00C307AD" w:rsidRDefault="00C307AD" w:rsidP="00C307AD">
      <w:pPr>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lang w:val="en-GB"/>
        </w:rPr>
        <w:t>Actors Capacitated</w:t>
      </w:r>
      <w:r w:rsidRPr="5CA30545">
        <w:rPr>
          <w:rFonts w:ascii="Calibri Light" w:eastAsia="Calibri Light" w:hAnsi="Calibri Light" w:cs="Calibri Light"/>
          <w:color w:val="000000" w:themeColor="text1"/>
          <w:sz w:val="20"/>
          <w:szCs w:val="20"/>
          <w:lang w:val="en-GB"/>
        </w:rPr>
        <w:t xml:space="preserve">: </w:t>
      </w:r>
      <w:r w:rsidRPr="5CA30545">
        <w:rPr>
          <w:rFonts w:ascii="Calibri Light" w:eastAsia="Calibri Light" w:hAnsi="Calibri Light" w:cs="Calibri Light"/>
          <w:color w:val="000000" w:themeColor="text1"/>
          <w:sz w:val="20"/>
          <w:szCs w:val="20"/>
        </w:rPr>
        <w:t>to generate and/or use evidence to implement interventions that reduce gender inequalities</w:t>
      </w:r>
    </w:p>
    <w:p w14:paraId="1F3331F5" w14:textId="77777777" w:rsidR="00C307AD" w:rsidRDefault="00C307AD" w:rsidP="00C307AD">
      <w:pPr>
        <w:pStyle w:val="ListParagraph"/>
        <w:numPr>
          <w:ilvl w:val="0"/>
          <w:numId w:val="10"/>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lastRenderedPageBreak/>
        <w:t>Uganda: a community-led scorecard in 56 districts was piloted by ICW-EA to support local leaders and decision-makers in implementing interventions for the elimination of HIV-related S&amp;D against women and girls. ICW-EA also became a sub-recipient of the Global Fund grant to implement interventions to monitor violence against women and HIV-related stigma and discrimination at community level, to provide psychological support to people living with HIV and economic empowerment for young women and girls affected by HIV.</w:t>
      </w:r>
    </w:p>
    <w:p w14:paraId="0A1059F3" w14:textId="77777777" w:rsidR="00C307AD" w:rsidRDefault="00C307AD" w:rsidP="00C307AD">
      <w:pPr>
        <w:spacing w:after="80"/>
        <w:rPr>
          <w:color w:val="000000" w:themeColor="text1"/>
        </w:rPr>
      </w:pPr>
    </w:p>
    <w:p w14:paraId="30577FDE" w14:textId="77777777" w:rsidR="00C307AD" w:rsidRPr="000E717C" w:rsidRDefault="00C307AD" w:rsidP="00C307AD">
      <w:pPr>
        <w:pStyle w:val="ListParagraph"/>
        <w:numPr>
          <w:ilvl w:val="0"/>
          <w:numId w:val="7"/>
        </w:numPr>
        <w:shd w:val="clear" w:color="auto" w:fill="D9E2F3" w:themeFill="accent1" w:themeFillTint="33"/>
        <w:adjustRightInd w:val="0"/>
        <w:snapToGrid w:val="0"/>
        <w:spacing w:after="0" w:line="240" w:lineRule="auto"/>
        <w:ind w:left="426"/>
        <w:rPr>
          <w:rFonts w:ascii="Calibri Light" w:eastAsia="Calibri Light" w:hAnsi="Calibri Light" w:cs="Calibri Light"/>
          <w:b/>
          <w:bCs/>
          <w:color w:val="000000" w:themeColor="text1"/>
          <w:sz w:val="20"/>
          <w:szCs w:val="20"/>
        </w:rPr>
      </w:pPr>
      <w:r w:rsidRPr="5CA30545">
        <w:rPr>
          <w:rFonts w:ascii="Calibri Light" w:eastAsia="Calibri Light" w:hAnsi="Calibri Light" w:cs="Calibri Light"/>
          <w:b/>
          <w:bCs/>
          <w:color w:val="000000" w:themeColor="text1"/>
          <w:sz w:val="20"/>
          <w:szCs w:val="20"/>
        </w:rPr>
        <w:t>Less than 10% of countries have punitive laws and policies</w:t>
      </w:r>
    </w:p>
    <w:p w14:paraId="27D13128" w14:textId="77777777" w:rsidR="00C307AD" w:rsidRDefault="00C307AD" w:rsidP="00C307AD">
      <w:pPr>
        <w:spacing w:after="80"/>
        <w:rPr>
          <w:rFonts w:ascii="Calibri Light" w:eastAsia="Calibri Light" w:hAnsi="Calibri Light" w:cs="Calibri Light"/>
          <w:color w:val="000000" w:themeColor="text1"/>
          <w:sz w:val="20"/>
          <w:szCs w:val="20"/>
          <w:u w:val="single"/>
        </w:rPr>
      </w:pPr>
    </w:p>
    <w:p w14:paraId="1F578647" w14:textId="77777777" w:rsidR="00C307AD" w:rsidRDefault="00C307AD" w:rsidP="00C307AD">
      <w:pPr>
        <w:spacing w:after="80"/>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lang w:val="en-GB"/>
        </w:rPr>
        <w:t>Advocacy</w:t>
      </w:r>
    </w:p>
    <w:p w14:paraId="7BC714DA" w14:textId="77777777" w:rsidR="00C307AD" w:rsidRDefault="00C307AD" w:rsidP="00C307AD">
      <w:pPr>
        <w:pStyle w:val="ListParagraph"/>
        <w:numPr>
          <w:ilvl w:val="0"/>
          <w:numId w:val="9"/>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Kazakhstan: ties established between PLHIV community and parliament to facilitate advocacy around repeal of discriminating laws. Shadow reports have also been drafted by civil society and communities to create visibility on issues touching upon stigma and discrimination, which in turn support advocacy with the government. For instance, an advocacy paper on access to opioid substitution therapy was drafted to advocate and meet with members of Parliament in September 2021.</w:t>
      </w:r>
    </w:p>
    <w:p w14:paraId="1F77DED7" w14:textId="77777777" w:rsidR="00C307AD" w:rsidRDefault="00C307AD" w:rsidP="00C307AD">
      <w:pPr>
        <w:pStyle w:val="ListParagraph"/>
        <w:numPr>
          <w:ilvl w:val="0"/>
          <w:numId w:val="9"/>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Ukraine: through GF grants, significant support is provided for community-led advocacy around law reform, including a Fight for Health platform for engaging with parliamentary members and capacity building of community representatives. Technical support provided on legal reform, including reviewing HIV Law and decriminalizing HIV transmission.</w:t>
      </w:r>
    </w:p>
    <w:p w14:paraId="54ACAA75" w14:textId="77777777" w:rsidR="00C307AD" w:rsidRDefault="00C307AD" w:rsidP="00C307AD">
      <w:pPr>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rPr>
        <w:t>Legal Support</w:t>
      </w:r>
    </w:p>
    <w:p w14:paraId="7F1427DC" w14:textId="77777777" w:rsidR="00C307AD" w:rsidRDefault="00C307AD" w:rsidP="00C307AD">
      <w:pPr>
        <w:pStyle w:val="ListParagraph"/>
        <w:numPr>
          <w:ilvl w:val="0"/>
          <w:numId w:val="9"/>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Angola: the GP provided technical support for legal and policy review, which informed a proposed new legal provision allowing adolescents of 14 years, and those below 14 years with sufficient maturity, to consent independently to HIV testing services.</w:t>
      </w:r>
    </w:p>
    <w:p w14:paraId="434A2F90" w14:textId="77777777" w:rsidR="00C307AD" w:rsidRDefault="00C307AD" w:rsidP="00C307AD">
      <w:pPr>
        <w:pStyle w:val="ListParagraph"/>
        <w:numPr>
          <w:ilvl w:val="0"/>
          <w:numId w:val="9"/>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Ghana: LGBTQI coalition was supported in drafting memorandum to Parliament highlighting the damaging impact of proposed anti LGBTQ+ Bill.</w:t>
      </w:r>
    </w:p>
    <w:p w14:paraId="100F7EE8" w14:textId="77777777" w:rsidR="00C307AD" w:rsidRDefault="00C307AD" w:rsidP="00C307AD">
      <w:pPr>
        <w:pStyle w:val="ListParagraph"/>
        <w:numPr>
          <w:ilvl w:val="0"/>
          <w:numId w:val="9"/>
        </w:numPr>
        <w:spacing w:after="0" w:line="240" w:lineRule="auto"/>
        <w:rPr>
          <w:color w:val="000000" w:themeColor="text1"/>
        </w:rPr>
      </w:pPr>
      <w:r w:rsidRPr="5CA30545">
        <w:rPr>
          <w:rFonts w:ascii="Calibri Light" w:eastAsia="Calibri Light" w:hAnsi="Calibri Light" w:cs="Calibri Light"/>
          <w:color w:val="000000" w:themeColor="text1"/>
          <w:sz w:val="20"/>
          <w:szCs w:val="20"/>
          <w:lang w:val="en-GB"/>
        </w:rPr>
        <w:t>Mozambique: the BDB mid-term assessment documented significant scale up of paralegal and legal support. P</w:t>
      </w:r>
      <w:r w:rsidRPr="5CA30545">
        <w:rPr>
          <w:rFonts w:ascii="Calibri Light" w:eastAsia="Calibri Light" w:hAnsi="Calibri Light" w:cs="Calibri Light"/>
          <w:sz w:val="20"/>
          <w:szCs w:val="20"/>
          <w:lang w:val="en-GB"/>
        </w:rPr>
        <w:t xml:space="preserve">aralegals helped secure the release of 45 sex workers, who were detained by a community safety council for possession of </w:t>
      </w:r>
      <w:proofErr w:type="gramStart"/>
      <w:r w:rsidRPr="5CA30545">
        <w:rPr>
          <w:rFonts w:ascii="Calibri Light" w:eastAsia="Calibri Light" w:hAnsi="Calibri Light" w:cs="Calibri Light"/>
          <w:sz w:val="20"/>
          <w:szCs w:val="20"/>
          <w:lang w:val="en-GB"/>
        </w:rPr>
        <w:t>condoms, and</w:t>
      </w:r>
      <w:proofErr w:type="gramEnd"/>
      <w:r w:rsidRPr="5CA30545">
        <w:rPr>
          <w:rFonts w:ascii="Calibri Light" w:eastAsia="Calibri Light" w:hAnsi="Calibri Light" w:cs="Calibri Light"/>
          <w:sz w:val="20"/>
          <w:szCs w:val="20"/>
          <w:lang w:val="en-GB"/>
        </w:rPr>
        <w:t xml:space="preserve"> helped remove girls from premature unions in the Zambezia, </w:t>
      </w:r>
      <w:proofErr w:type="spellStart"/>
      <w:r w:rsidRPr="5CA30545">
        <w:rPr>
          <w:rFonts w:ascii="Calibri Light" w:eastAsia="Calibri Light" w:hAnsi="Calibri Light" w:cs="Calibri Light"/>
          <w:sz w:val="20"/>
          <w:szCs w:val="20"/>
          <w:lang w:val="en-GB"/>
        </w:rPr>
        <w:t>Manica</w:t>
      </w:r>
      <w:proofErr w:type="spellEnd"/>
      <w:r w:rsidRPr="5CA30545">
        <w:rPr>
          <w:rFonts w:ascii="Calibri Light" w:eastAsia="Calibri Light" w:hAnsi="Calibri Light" w:cs="Calibri Light"/>
          <w:sz w:val="20"/>
          <w:szCs w:val="20"/>
          <w:lang w:val="en-GB"/>
        </w:rPr>
        <w:t xml:space="preserve"> and Tete provinces.</w:t>
      </w:r>
    </w:p>
    <w:p w14:paraId="3D844AB8" w14:textId="77777777" w:rsidR="00C307AD" w:rsidRDefault="00C307AD" w:rsidP="00C307AD">
      <w:pPr>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rPr>
        <w:t>Capacitated Actors</w:t>
      </w:r>
    </w:p>
    <w:p w14:paraId="173356C7" w14:textId="77777777" w:rsidR="00C307AD" w:rsidRDefault="00C307AD" w:rsidP="00C307AD">
      <w:pPr>
        <w:pStyle w:val="ListParagraph"/>
        <w:numPr>
          <w:ilvl w:val="0"/>
          <w:numId w:val="8"/>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Kazakhstan: capacity-building trainings for PLHIV and community representatives were conducted to strengthen their capacity to navigate international and local human rights instruments, as well as improving the efficiency of their engagement with lawmakers.</w:t>
      </w:r>
    </w:p>
    <w:p w14:paraId="2794D348" w14:textId="77777777" w:rsidR="00C307AD" w:rsidRDefault="00C307AD" w:rsidP="00C307AD">
      <w:pPr>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u w:val="single"/>
        </w:rPr>
        <w:t>Improved Legal Environments</w:t>
      </w:r>
    </w:p>
    <w:p w14:paraId="137A3379" w14:textId="77777777" w:rsidR="00C307AD" w:rsidRDefault="00C307AD" w:rsidP="00C307AD">
      <w:pPr>
        <w:pStyle w:val="ListParagraph"/>
        <w:numPr>
          <w:ilvl w:val="0"/>
          <w:numId w:val="9"/>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 xml:space="preserve">In WCA, HIV law reforms are under way in Benin, </w:t>
      </w:r>
      <w:proofErr w:type="gramStart"/>
      <w:r w:rsidRPr="5CA30545">
        <w:rPr>
          <w:rFonts w:ascii="Calibri Light" w:eastAsia="Calibri Light" w:hAnsi="Calibri Light" w:cs="Calibri Light"/>
          <w:color w:val="000000" w:themeColor="text1"/>
          <w:sz w:val="20"/>
          <w:szCs w:val="20"/>
          <w:lang w:val="en-GB"/>
        </w:rPr>
        <w:t>Burundi</w:t>
      </w:r>
      <w:proofErr w:type="gramEnd"/>
      <w:r w:rsidRPr="5CA30545">
        <w:rPr>
          <w:rFonts w:ascii="Calibri Light" w:eastAsia="Calibri Light" w:hAnsi="Calibri Light" w:cs="Calibri Light"/>
          <w:color w:val="000000" w:themeColor="text1"/>
          <w:sz w:val="20"/>
          <w:szCs w:val="20"/>
          <w:lang w:val="en-GB"/>
        </w:rPr>
        <w:t xml:space="preserve"> and CAR with the support of HIV Justice Network. </w:t>
      </w:r>
    </w:p>
    <w:p w14:paraId="521552EB" w14:textId="77777777" w:rsidR="00C307AD" w:rsidRDefault="00C307AD" w:rsidP="00C307AD">
      <w:pPr>
        <w:pStyle w:val="ListParagraph"/>
        <w:numPr>
          <w:ilvl w:val="0"/>
          <w:numId w:val="9"/>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Angola: the new Penal Code has made impressive progress on eliminating punitive laws. In addition, a request was made for the Ministry of Justice and Human Rights to revise the HIV Law.</w:t>
      </w:r>
    </w:p>
    <w:p w14:paraId="171AD06C" w14:textId="77777777" w:rsidR="00C307AD" w:rsidRDefault="00C307AD" w:rsidP="00C307AD">
      <w:pPr>
        <w:pStyle w:val="ListParagraph"/>
        <w:numPr>
          <w:ilvl w:val="0"/>
          <w:numId w:val="9"/>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Iran: HIV anti-discrimination bylaw was adopted for healthcare settings binding them to protect PLHIV and most at-risk populations from S&amp;D.</w:t>
      </w:r>
    </w:p>
    <w:p w14:paraId="7ABA8AE9" w14:textId="77777777" w:rsidR="00C307AD" w:rsidRDefault="00C307AD" w:rsidP="00C307AD">
      <w:pPr>
        <w:pStyle w:val="ListParagraph"/>
        <w:numPr>
          <w:ilvl w:val="0"/>
          <w:numId w:val="9"/>
        </w:numPr>
        <w:spacing w:after="0" w:line="240" w:lineRule="auto"/>
        <w:rPr>
          <w:rFonts w:ascii="Calibri Light" w:eastAsia="Calibri Light" w:hAnsi="Calibri Light" w:cs="Calibri Light"/>
          <w:color w:val="000000" w:themeColor="text1"/>
          <w:sz w:val="20"/>
          <w:szCs w:val="20"/>
        </w:rPr>
      </w:pPr>
      <w:r w:rsidRPr="5CA30545">
        <w:rPr>
          <w:rFonts w:ascii="Calibri Light" w:eastAsia="Calibri Light" w:hAnsi="Calibri Light" w:cs="Calibri Light"/>
          <w:color w:val="000000" w:themeColor="text1"/>
          <w:sz w:val="20"/>
          <w:szCs w:val="20"/>
          <w:lang w:val="en-GB"/>
        </w:rPr>
        <w:t>Kazakhstan: in 2020, the new Code on People’s Health and System of Health Care came to force, prohibiting HIV-related discrimination in workplaces.</w:t>
      </w:r>
    </w:p>
    <w:p w14:paraId="79C486A1" w14:textId="77777777" w:rsidR="00C307AD" w:rsidRPr="00090668" w:rsidRDefault="00C307AD" w:rsidP="00090668">
      <w:pPr>
        <w:rPr>
          <w:b/>
          <w:bCs/>
        </w:rPr>
      </w:pPr>
    </w:p>
    <w:sectPr w:rsidR="00C307AD" w:rsidRPr="00090668" w:rsidSect="00E92BDE">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DBC5" w14:textId="77777777" w:rsidR="00C42221" w:rsidRDefault="00C42221" w:rsidP="00CA66E7">
      <w:r>
        <w:separator/>
      </w:r>
    </w:p>
  </w:endnote>
  <w:endnote w:type="continuationSeparator" w:id="0">
    <w:p w14:paraId="3C7F2909" w14:textId="77777777" w:rsidR="00C42221" w:rsidRDefault="00C42221" w:rsidP="00CA66E7">
      <w:r>
        <w:continuationSeparator/>
      </w:r>
    </w:p>
  </w:endnote>
  <w:endnote w:type="continuationNotice" w:id="1">
    <w:p w14:paraId="03FE8F4E" w14:textId="77777777" w:rsidR="00C42221" w:rsidRDefault="00C42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09C6" w14:textId="77777777" w:rsidR="00C42221" w:rsidRDefault="00C42221" w:rsidP="00CA66E7">
      <w:r>
        <w:separator/>
      </w:r>
    </w:p>
  </w:footnote>
  <w:footnote w:type="continuationSeparator" w:id="0">
    <w:p w14:paraId="57B4B657" w14:textId="77777777" w:rsidR="00C42221" w:rsidRDefault="00C42221" w:rsidP="00CA66E7">
      <w:r>
        <w:continuationSeparator/>
      </w:r>
    </w:p>
  </w:footnote>
  <w:footnote w:type="continuationNotice" w:id="1">
    <w:p w14:paraId="5DD9D42D" w14:textId="77777777" w:rsidR="00C42221" w:rsidRDefault="00C42221">
      <w:pPr>
        <w:spacing w:after="0" w:line="240" w:lineRule="auto"/>
      </w:pPr>
    </w:p>
  </w:footnote>
  <w:footnote w:id="2">
    <w:p w14:paraId="438BE657" w14:textId="2DEE7DB7" w:rsidR="000622C8" w:rsidRPr="00CE608A" w:rsidRDefault="000622C8" w:rsidP="00FA227A">
      <w:pPr>
        <w:pStyle w:val="FootnoteText"/>
        <w:rPr>
          <w:sz w:val="16"/>
          <w:szCs w:val="16"/>
        </w:rPr>
      </w:pPr>
      <w:r w:rsidRPr="00CE608A">
        <w:rPr>
          <w:rStyle w:val="FootnoteReference"/>
          <w:sz w:val="16"/>
          <w:szCs w:val="16"/>
        </w:rPr>
        <w:footnoteRef/>
      </w:r>
      <w:r w:rsidRPr="00CE608A">
        <w:rPr>
          <w:sz w:val="16"/>
          <w:szCs w:val="16"/>
        </w:rPr>
        <w:t xml:space="preserve"> UNAIDS works to support countries, communities, and other stakeholders to remove human rights barriers and improve societal enablers such as laws, policies, reduction of stigma and discrimination and violence, gender norms and inequalities, and promote the health and wellbeing women and girls, and men and boys, trans and other gender diverse persons in all their diversity </w:t>
      </w:r>
      <w:proofErr w:type="gramStart"/>
      <w:r w:rsidRPr="00CE608A">
        <w:rPr>
          <w:sz w:val="16"/>
          <w:szCs w:val="16"/>
        </w:rPr>
        <w:t>in order to</w:t>
      </w:r>
      <w:proofErr w:type="gramEnd"/>
      <w:r w:rsidRPr="00CE608A">
        <w:rPr>
          <w:sz w:val="16"/>
          <w:szCs w:val="16"/>
        </w:rPr>
        <w:t xml:space="preserve"> end AIDS as a public health threat by 2030.</w:t>
      </w:r>
    </w:p>
  </w:footnote>
  <w:footnote w:id="3">
    <w:p w14:paraId="097298EB" w14:textId="77777777" w:rsidR="006D5688" w:rsidRPr="00CE608A" w:rsidRDefault="006D5688"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Throughout the Strategy, the term “ending AIDS” is used to refer to the full term “ending AIDS as a public health threat by 2030”, which is defined as a 90% reduction in new HIV infections and AIDS- related deaths by 2030, compared to a 2010 baseline.</w:t>
      </w:r>
    </w:p>
  </w:footnote>
  <w:footnote w:id="4">
    <w:p w14:paraId="49403105" w14:textId="31FD7DBF" w:rsidR="00885673" w:rsidRPr="00CE608A" w:rsidRDefault="00885673" w:rsidP="00FA227A">
      <w:pPr>
        <w:pStyle w:val="FootnoteText"/>
        <w:rPr>
          <w:sz w:val="16"/>
          <w:szCs w:val="16"/>
        </w:rPr>
      </w:pPr>
      <w:r w:rsidRPr="00CE608A">
        <w:rPr>
          <w:rStyle w:val="FootnoteReference"/>
          <w:sz w:val="16"/>
          <w:szCs w:val="16"/>
        </w:rPr>
        <w:footnoteRef/>
      </w:r>
      <w:r w:rsidRPr="00CE608A">
        <w:rPr>
          <w:sz w:val="16"/>
          <w:szCs w:val="16"/>
        </w:rPr>
        <w:t xml:space="preserve"> Key populations are groups of people who are more likely to be exposed to HIV or are living with HIV. Their engagement is critical to a successful HIV response. In all epidemic settings, key populations at higher risk of HIV infection include gay men and other men who have sex with men, transgender people, people who inject drugs, sex workers and their clients, and people in prisons and other closed settings.</w:t>
      </w:r>
    </w:p>
  </w:footnote>
  <w:footnote w:id="5">
    <w:p w14:paraId="731D0E75" w14:textId="4B493AB3" w:rsidR="003D3C89" w:rsidRPr="00CE608A" w:rsidRDefault="003D3C89">
      <w:pPr>
        <w:pStyle w:val="FootnoteText"/>
        <w:rPr>
          <w:sz w:val="16"/>
          <w:szCs w:val="16"/>
        </w:rPr>
      </w:pPr>
      <w:r w:rsidRPr="00CE608A">
        <w:rPr>
          <w:rStyle w:val="FootnoteReference"/>
          <w:sz w:val="16"/>
          <w:szCs w:val="16"/>
        </w:rPr>
        <w:footnoteRef/>
      </w:r>
      <w:r w:rsidRPr="00CE608A">
        <w:rPr>
          <w:sz w:val="16"/>
          <w:szCs w:val="16"/>
        </w:rPr>
        <w:t xml:space="preserve"> WHO/The Global Fund TFATM, State of Inequality: HIV, Tuberculosis and Malaria, Geneva, 2021. p. 7</w:t>
      </w:r>
    </w:p>
  </w:footnote>
  <w:footnote w:id="6">
    <w:p w14:paraId="0C6127F2" w14:textId="77777777" w:rsidR="006D5688" w:rsidRPr="00CE608A" w:rsidRDefault="006D5688"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The 10 Sustainable Development Goals which are explicitly linked to this Strategy are SDG 1 No Poverty; SDG 2 Zero Hunger; SDG 3 Good Health and Well-Being; SDG 4 Quality Education; SDG 5 Gender Equality; SDG 8 Decent Work and Economic Growth; SDG 10 Reduced Inequalities; SDG 11 Sustainable Cities and Communities; SDG 16 Peace, Justice and Strong Institutions; and SDG 17 Partnerships for the Goals.</w:t>
      </w:r>
    </w:p>
  </w:footnote>
  <w:footnote w:id="7">
    <w:p w14:paraId="03242867" w14:textId="021203E9" w:rsidR="00BC78FC" w:rsidRPr="00CE608A" w:rsidRDefault="00BC78FC"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r w:rsidR="00305D83" w:rsidRPr="00CE608A">
        <w:rPr>
          <w:sz w:val="16"/>
          <w:szCs w:val="16"/>
        </w:rPr>
        <w:t xml:space="preserve">Special analysis by Avenir Health using data from UNAIDS/WHO/UNICEF HIV services tracking tool, November 2020; and UNAIDS epidemiological estimates, 2020 (https://aidsinfo.unaids.org/). </w:t>
      </w:r>
    </w:p>
  </w:footnote>
  <w:footnote w:id="8">
    <w:p w14:paraId="69345C10" w14:textId="77777777" w:rsidR="00D47732" w:rsidRPr="00CE608A" w:rsidRDefault="00D47732" w:rsidP="00D47732">
      <w:pPr>
        <w:pStyle w:val="FootnoteText"/>
        <w:rPr>
          <w:sz w:val="16"/>
          <w:szCs w:val="16"/>
          <w:lang w:val="en-US"/>
        </w:rPr>
      </w:pPr>
      <w:r w:rsidRPr="00CE608A">
        <w:rPr>
          <w:rStyle w:val="FootnoteReference"/>
          <w:sz w:val="16"/>
          <w:szCs w:val="16"/>
        </w:rPr>
        <w:footnoteRef/>
      </w:r>
      <w:r w:rsidRPr="00CE608A">
        <w:rPr>
          <w:sz w:val="16"/>
          <w:szCs w:val="16"/>
        </w:rPr>
        <w:t xml:space="preserve"> Countries that have recently ended criminalization of same-sex sexual relations include Angola, Bhutan, Botswana, </w:t>
      </w:r>
      <w:proofErr w:type="gramStart"/>
      <w:r w:rsidRPr="00CE608A">
        <w:rPr>
          <w:sz w:val="16"/>
          <w:szCs w:val="16"/>
        </w:rPr>
        <w:t>Gabon</w:t>
      </w:r>
      <w:proofErr w:type="gramEnd"/>
      <w:r w:rsidRPr="00CE608A">
        <w:rPr>
          <w:sz w:val="16"/>
          <w:szCs w:val="16"/>
        </w:rPr>
        <w:t xml:space="preserve"> and India. Pakistan reformed its laws related to transgender persons. Belgium, Chile, France, Greece, Iceland, Luxembourg, </w:t>
      </w:r>
      <w:proofErr w:type="gramStart"/>
      <w:r w:rsidRPr="00CE608A">
        <w:rPr>
          <w:sz w:val="16"/>
          <w:szCs w:val="16"/>
        </w:rPr>
        <w:t>Portugal</w:t>
      </w:r>
      <w:proofErr w:type="gramEnd"/>
      <w:r w:rsidRPr="00CE608A">
        <w:rPr>
          <w:sz w:val="16"/>
          <w:szCs w:val="16"/>
        </w:rPr>
        <w:t xml:space="preserve"> and Uruguay are among the countries that have opened legal avenues for changing gender markers and names without the requirement of undergoing gender-reassignment surgery. The Philippines, Colombia, Mexico, the state of Illinois (United States of America) reformed their laws criminalizing HIV, and Malawi opted not to include criminal provisions in its new HIV law. Some countries, however, have moved in the opposite direction, amending their laws in ways that allow for harsher sentences in cases of HIV exposure. Angola and New Zealand removed their remaining restrictions on entry, stay and residence based on HIV status and as of March 2020, sex work had also been legalized or decriminalized in Aruba, parts of Australia, Austria, Bonaire, Ecuador, Germany, Greece, the Netherlands, the state of Nevada (United States of America), Niue, Peru, the </w:t>
      </w:r>
      <w:proofErr w:type="spellStart"/>
      <w:r w:rsidRPr="00CE608A">
        <w:rPr>
          <w:sz w:val="16"/>
          <w:szCs w:val="16"/>
        </w:rPr>
        <w:t>Plurinational</w:t>
      </w:r>
      <w:proofErr w:type="spellEnd"/>
      <w:r w:rsidRPr="00CE608A">
        <w:rPr>
          <w:sz w:val="16"/>
          <w:szCs w:val="16"/>
        </w:rPr>
        <w:t xml:space="preserve"> State of Bolivia, Saint Maarten, Switzerland, Taiwan, Turkey and Uruguay, according to research by the Global Network of Sex Work Projects</w:t>
      </w:r>
    </w:p>
  </w:footnote>
  <w:footnote w:id="9">
    <w:p w14:paraId="12D0673D" w14:textId="77777777" w:rsidR="004926C7" w:rsidRPr="00CE608A" w:rsidRDefault="004926C7" w:rsidP="004926C7">
      <w:pPr>
        <w:pStyle w:val="FootnoteText"/>
        <w:jc w:val="left"/>
        <w:rPr>
          <w:sz w:val="16"/>
          <w:szCs w:val="16"/>
        </w:rPr>
      </w:pPr>
      <w:r w:rsidRPr="00CE608A">
        <w:rPr>
          <w:rStyle w:val="FootnoteReference"/>
          <w:sz w:val="16"/>
          <w:szCs w:val="16"/>
        </w:rPr>
        <w:footnoteRef/>
      </w:r>
      <w:r w:rsidRPr="00CE608A">
        <w:rPr>
          <w:sz w:val="16"/>
          <w:szCs w:val="16"/>
        </w:rPr>
        <w:t xml:space="preserve"> UNAIDS. Unequal, unprepared, under threat. UNAIDS. Geneva; 2021. p. 51.  </w:t>
      </w:r>
    </w:p>
  </w:footnote>
  <w:footnote w:id="10">
    <w:p w14:paraId="66BB29F1" w14:textId="2EF18D20" w:rsidR="007E4B40" w:rsidRPr="00CE608A" w:rsidRDefault="007E4B40" w:rsidP="00FA227A">
      <w:pPr>
        <w:pStyle w:val="FootnoteText"/>
        <w:rPr>
          <w:sz w:val="16"/>
          <w:szCs w:val="16"/>
          <w:lang w:val="en-US"/>
        </w:rPr>
      </w:pPr>
      <w:r w:rsidRPr="00CE608A">
        <w:rPr>
          <w:rStyle w:val="FootnoteReference"/>
          <w:sz w:val="16"/>
          <w:szCs w:val="16"/>
        </w:rPr>
        <w:footnoteRef/>
      </w:r>
      <w:r w:rsidRPr="00CE608A">
        <w:rPr>
          <w:sz w:val="16"/>
          <w:szCs w:val="16"/>
        </w:rPr>
        <w:t xml:space="preserve"> This number includes countries where the law only applies in certain settings, </w:t>
      </w:r>
      <w:proofErr w:type="gramStart"/>
      <w:r w:rsidRPr="00CE608A">
        <w:rPr>
          <w:sz w:val="16"/>
          <w:szCs w:val="16"/>
        </w:rPr>
        <w:t>e.g.</w:t>
      </w:r>
      <w:proofErr w:type="gramEnd"/>
      <w:r w:rsidRPr="00CE608A">
        <w:rPr>
          <w:sz w:val="16"/>
          <w:szCs w:val="16"/>
        </w:rPr>
        <w:t xml:space="preserve"> the military.</w:t>
      </w:r>
    </w:p>
  </w:footnote>
  <w:footnote w:id="11">
    <w:p w14:paraId="7C92DBE3" w14:textId="575BF901" w:rsidR="00146F90" w:rsidRPr="00CE608A" w:rsidRDefault="00146F90"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UNAIDS. Confronting Inequalities. UNAIDS. Geneva: 2021. p.160</w:t>
      </w:r>
    </w:p>
  </w:footnote>
  <w:footnote w:id="12">
    <w:p w14:paraId="66ABC5BE" w14:textId="311818C2" w:rsidR="00216922" w:rsidRPr="00CE608A" w:rsidRDefault="00216922"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UNAIDS. Confronting Inequalities. UNAIDS. Geneva: 2021. p.159</w:t>
      </w:r>
    </w:p>
  </w:footnote>
  <w:footnote w:id="13">
    <w:p w14:paraId="7CA4F3A7" w14:textId="565B1BE5" w:rsidR="00C73F81" w:rsidRPr="00CE608A" w:rsidRDefault="00C73F81"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r w:rsidR="00C90936" w:rsidRPr="00CE608A">
        <w:rPr>
          <w:sz w:val="16"/>
          <w:szCs w:val="16"/>
          <w:lang w:val="en-US"/>
        </w:rPr>
        <w:t xml:space="preserve">UNAIDS. National Commitments and Policy Instrument. Available at </w:t>
      </w:r>
      <w:hyperlink r:id="rId1" w:history="1">
        <w:r w:rsidR="00C90936" w:rsidRPr="00CE608A">
          <w:rPr>
            <w:rStyle w:val="Hyperlink"/>
            <w:sz w:val="16"/>
            <w:szCs w:val="16"/>
            <w:lang w:val="en-US"/>
          </w:rPr>
          <w:t>https://lawsandpolicies.unaids.org</w:t>
        </w:r>
      </w:hyperlink>
      <w:r w:rsidR="00C90936" w:rsidRPr="00CE608A">
        <w:rPr>
          <w:sz w:val="16"/>
          <w:szCs w:val="16"/>
          <w:lang w:val="en-US"/>
        </w:rPr>
        <w:t xml:space="preserve">, accessed 16 </w:t>
      </w:r>
      <w:r w:rsidR="00D6003E" w:rsidRPr="00CE608A">
        <w:rPr>
          <w:sz w:val="16"/>
          <w:szCs w:val="16"/>
          <w:lang w:val="en-US"/>
        </w:rPr>
        <w:t>February</w:t>
      </w:r>
      <w:r w:rsidR="00C90936" w:rsidRPr="00CE608A">
        <w:rPr>
          <w:sz w:val="16"/>
          <w:szCs w:val="16"/>
          <w:lang w:val="en-US"/>
        </w:rPr>
        <w:t xml:space="preserve"> 2022.</w:t>
      </w:r>
    </w:p>
  </w:footnote>
  <w:footnote w:id="14">
    <w:p w14:paraId="6B8FB9AE" w14:textId="1053FCF4" w:rsidR="003C49A0" w:rsidRPr="00CE608A" w:rsidRDefault="003C49A0"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r w:rsidR="0098318F" w:rsidRPr="00CE608A">
        <w:rPr>
          <w:sz w:val="16"/>
          <w:szCs w:val="16"/>
        </w:rPr>
        <w:t>UNAIDS. Confronting Inequalities. UNAIDS. Geneva: 2021</w:t>
      </w:r>
      <w:r w:rsidR="00B13ACC" w:rsidRPr="00CE608A">
        <w:rPr>
          <w:sz w:val="16"/>
          <w:szCs w:val="16"/>
        </w:rPr>
        <w:t>. Analysis of Population-based surveys 2015-2020.</w:t>
      </w:r>
      <w:r w:rsidRPr="00CE608A">
        <w:rPr>
          <w:sz w:val="16"/>
          <w:szCs w:val="16"/>
        </w:rPr>
        <w:t xml:space="preserve">  </w:t>
      </w:r>
    </w:p>
  </w:footnote>
  <w:footnote w:id="15">
    <w:p w14:paraId="74CE8D09" w14:textId="35FD2D9E" w:rsidR="006E69DA" w:rsidRPr="00CE608A" w:rsidRDefault="006E69DA"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People Living with HIV Stigma Index surveys, 2013-2018.  </w:t>
      </w:r>
    </w:p>
  </w:footnote>
  <w:footnote w:id="16">
    <w:p w14:paraId="103ABC41" w14:textId="1C566B06" w:rsidR="00134EA5" w:rsidRPr="00CE608A" w:rsidRDefault="00134EA5" w:rsidP="00FA227A">
      <w:pPr>
        <w:pStyle w:val="FootnoteText"/>
        <w:jc w:val="left"/>
        <w:rPr>
          <w:sz w:val="16"/>
          <w:szCs w:val="16"/>
        </w:rPr>
      </w:pPr>
      <w:r w:rsidRPr="00CE608A">
        <w:rPr>
          <w:rStyle w:val="FootnoteReference"/>
          <w:sz w:val="16"/>
          <w:szCs w:val="16"/>
        </w:rPr>
        <w:footnoteRef/>
      </w:r>
      <w:r w:rsidRPr="00CE608A">
        <w:rPr>
          <w:sz w:val="16"/>
          <w:szCs w:val="16"/>
        </w:rPr>
        <w:t xml:space="preserve"> UNAIDS. Unequal, unprepared, under threat. UNAIDS. Geneva; 2021. p. 53.</w:t>
      </w:r>
    </w:p>
  </w:footnote>
  <w:footnote w:id="17">
    <w:p w14:paraId="4FA90271" w14:textId="2EF8BD2E" w:rsidR="00EB020D" w:rsidRPr="00CE608A" w:rsidRDefault="00EB020D" w:rsidP="00FA227A">
      <w:pPr>
        <w:spacing w:after="0" w:line="240" w:lineRule="auto"/>
        <w:jc w:val="left"/>
        <w:rPr>
          <w:sz w:val="16"/>
          <w:szCs w:val="16"/>
        </w:rPr>
      </w:pPr>
      <w:r w:rsidRPr="00CE608A">
        <w:rPr>
          <w:rStyle w:val="FootnoteReference"/>
          <w:sz w:val="16"/>
          <w:szCs w:val="16"/>
        </w:rPr>
        <w:footnoteRef/>
      </w:r>
      <w:r w:rsidRPr="00CE608A">
        <w:rPr>
          <w:sz w:val="16"/>
          <w:szCs w:val="16"/>
        </w:rPr>
        <w:t xml:space="preserve"> Violence against women prevalence estimates, 2018. Global, </w:t>
      </w:r>
      <w:proofErr w:type="gramStart"/>
      <w:r w:rsidRPr="00CE608A">
        <w:rPr>
          <w:sz w:val="16"/>
          <w:szCs w:val="16"/>
        </w:rPr>
        <w:t>regional</w:t>
      </w:r>
      <w:proofErr w:type="gramEnd"/>
      <w:r w:rsidRPr="00CE608A">
        <w:rPr>
          <w:sz w:val="16"/>
          <w:szCs w:val="16"/>
        </w:rPr>
        <w:t xml:space="preserve"> and national prevalence estimates for intimate</w:t>
      </w:r>
      <w:r w:rsidR="00AB19EF" w:rsidRPr="00CE608A">
        <w:rPr>
          <w:sz w:val="16"/>
          <w:szCs w:val="16"/>
        </w:rPr>
        <w:t xml:space="preserve"> </w:t>
      </w:r>
      <w:r w:rsidRPr="00CE608A">
        <w:rPr>
          <w:sz w:val="16"/>
          <w:szCs w:val="16"/>
        </w:rPr>
        <w:t>partner violence against women and global and regional prevalence estimates for non-partner sexual violence against</w:t>
      </w:r>
      <w:r w:rsidR="00AB19EF" w:rsidRPr="00CE608A">
        <w:rPr>
          <w:sz w:val="16"/>
          <w:szCs w:val="16"/>
        </w:rPr>
        <w:t xml:space="preserve"> </w:t>
      </w:r>
      <w:r w:rsidRPr="00CE608A">
        <w:rPr>
          <w:sz w:val="16"/>
          <w:szCs w:val="16"/>
        </w:rPr>
        <w:t>women. Geneva: WHO; 2021</w:t>
      </w:r>
    </w:p>
  </w:footnote>
  <w:footnote w:id="18">
    <w:p w14:paraId="6ADA2A8E" w14:textId="3D952DB1" w:rsidR="0064703C" w:rsidRPr="00CE608A" w:rsidRDefault="0064703C" w:rsidP="00FA227A">
      <w:pPr>
        <w:pStyle w:val="FootnoteText"/>
        <w:jc w:val="left"/>
        <w:rPr>
          <w:sz w:val="16"/>
          <w:szCs w:val="16"/>
        </w:rPr>
      </w:pPr>
      <w:r w:rsidRPr="00CE608A">
        <w:rPr>
          <w:rStyle w:val="FootnoteReference"/>
          <w:sz w:val="16"/>
          <w:szCs w:val="16"/>
        </w:rPr>
        <w:footnoteRef/>
      </w:r>
      <w:r w:rsidRPr="00CE608A">
        <w:rPr>
          <w:sz w:val="16"/>
          <w:szCs w:val="16"/>
        </w:rPr>
        <w:t xml:space="preserve"> UNAIDS. Unequal, unprepared, under threat. UNAIDS. Geneva; 2021. p. 138</w:t>
      </w:r>
    </w:p>
  </w:footnote>
  <w:footnote w:id="19">
    <w:p w14:paraId="58EFE1F0" w14:textId="77777777" w:rsidR="00E608FC" w:rsidRPr="00CE608A" w:rsidRDefault="00E608FC" w:rsidP="00FA227A">
      <w:pPr>
        <w:spacing w:after="0" w:line="240" w:lineRule="auto"/>
        <w:jc w:val="left"/>
        <w:rPr>
          <w:sz w:val="16"/>
          <w:szCs w:val="16"/>
        </w:rPr>
      </w:pPr>
      <w:r w:rsidRPr="00CE608A">
        <w:rPr>
          <w:rStyle w:val="FootnoteReference"/>
          <w:sz w:val="16"/>
          <w:szCs w:val="16"/>
        </w:rPr>
        <w:footnoteRef/>
      </w:r>
      <w:r w:rsidRPr="00CE608A">
        <w:rPr>
          <w:sz w:val="16"/>
          <w:szCs w:val="16"/>
        </w:rPr>
        <w:t xml:space="preserve"> Iversen J, Page K, Madden A, Maher L. HIV, HCV, and health-related harms among women who inject drugs: implications for prevention and treatment. J </w:t>
      </w:r>
      <w:proofErr w:type="spellStart"/>
      <w:r w:rsidRPr="00CE608A">
        <w:rPr>
          <w:sz w:val="16"/>
          <w:szCs w:val="16"/>
        </w:rPr>
        <w:t>Acquir</w:t>
      </w:r>
      <w:proofErr w:type="spellEnd"/>
      <w:r w:rsidRPr="00CE608A">
        <w:rPr>
          <w:sz w:val="16"/>
          <w:szCs w:val="16"/>
        </w:rPr>
        <w:t xml:space="preserve"> Immune </w:t>
      </w:r>
      <w:proofErr w:type="spellStart"/>
      <w:r w:rsidRPr="00CE608A">
        <w:rPr>
          <w:sz w:val="16"/>
          <w:szCs w:val="16"/>
        </w:rPr>
        <w:t>Defic</w:t>
      </w:r>
      <w:proofErr w:type="spellEnd"/>
      <w:r w:rsidRPr="00CE608A">
        <w:rPr>
          <w:sz w:val="16"/>
          <w:szCs w:val="16"/>
        </w:rPr>
        <w:t xml:space="preserve"> </w:t>
      </w:r>
      <w:proofErr w:type="spellStart"/>
      <w:r w:rsidRPr="00CE608A">
        <w:rPr>
          <w:sz w:val="16"/>
          <w:szCs w:val="16"/>
        </w:rPr>
        <w:t>Syndr</w:t>
      </w:r>
      <w:proofErr w:type="spellEnd"/>
      <w:r w:rsidRPr="00CE608A">
        <w:rPr>
          <w:sz w:val="16"/>
          <w:szCs w:val="16"/>
        </w:rPr>
        <w:t>. 2015;69 Suppl 2(0 1</w:t>
      </w:r>
      <w:proofErr w:type="gramStart"/>
      <w:r w:rsidRPr="00CE608A">
        <w:rPr>
          <w:sz w:val="16"/>
          <w:szCs w:val="16"/>
        </w:rPr>
        <w:t>):S</w:t>
      </w:r>
      <w:proofErr w:type="gramEnd"/>
      <w:r w:rsidRPr="00CE608A">
        <w:rPr>
          <w:sz w:val="16"/>
          <w:szCs w:val="16"/>
        </w:rPr>
        <w:t>176-S181.</w:t>
      </w:r>
    </w:p>
  </w:footnote>
  <w:footnote w:id="20">
    <w:p w14:paraId="16F48142" w14:textId="77777777" w:rsidR="00E608FC" w:rsidRPr="00CE608A" w:rsidRDefault="00E608FC" w:rsidP="00FA227A">
      <w:pPr>
        <w:pStyle w:val="FootnoteText"/>
        <w:jc w:val="left"/>
        <w:rPr>
          <w:sz w:val="16"/>
          <w:szCs w:val="16"/>
        </w:rPr>
      </w:pPr>
      <w:r w:rsidRPr="00CE608A">
        <w:rPr>
          <w:rStyle w:val="FootnoteReference"/>
          <w:sz w:val="16"/>
          <w:szCs w:val="16"/>
        </w:rPr>
        <w:footnoteRef/>
      </w:r>
      <w:r w:rsidRPr="00CE608A">
        <w:rPr>
          <w:sz w:val="16"/>
          <w:szCs w:val="16"/>
        </w:rPr>
        <w:t xml:space="preserve"> Report of the Independent Expert on protection against violence and discrimination based on sexual orientation and gender identity. A/HRC/38/43. 11 May 2018 (https://undocs.org/A/HRC/38/43).</w:t>
      </w:r>
    </w:p>
  </w:footnote>
  <w:footnote w:id="21">
    <w:p w14:paraId="63E3DF1E" w14:textId="24AFB807" w:rsidR="00406D79" w:rsidRPr="00CE608A" w:rsidRDefault="00406D79" w:rsidP="00FA227A">
      <w:pPr>
        <w:pStyle w:val="FootnoteText"/>
        <w:jc w:val="left"/>
        <w:rPr>
          <w:sz w:val="16"/>
          <w:szCs w:val="16"/>
        </w:rPr>
      </w:pPr>
      <w:r w:rsidRPr="00CE608A">
        <w:rPr>
          <w:rStyle w:val="FootnoteReference"/>
          <w:sz w:val="16"/>
          <w:szCs w:val="16"/>
        </w:rPr>
        <w:footnoteRef/>
      </w:r>
      <w:r w:rsidRPr="00CE608A">
        <w:rPr>
          <w:sz w:val="16"/>
          <w:szCs w:val="16"/>
        </w:rPr>
        <w:t xml:space="preserve"> Literature review by UNAIDS and the Key Populations Program of the </w:t>
      </w:r>
      <w:proofErr w:type="spellStart"/>
      <w:r w:rsidRPr="00CE608A">
        <w:rPr>
          <w:sz w:val="16"/>
          <w:szCs w:val="16"/>
        </w:rPr>
        <w:t>Center</w:t>
      </w:r>
      <w:proofErr w:type="spellEnd"/>
      <w:r w:rsidRPr="00CE608A">
        <w:rPr>
          <w:sz w:val="16"/>
          <w:szCs w:val="16"/>
        </w:rPr>
        <w:t xml:space="preserve"> for Public Health and Human Rights, Johns Hopkins University.  </w:t>
      </w:r>
    </w:p>
  </w:footnote>
  <w:footnote w:id="22">
    <w:p w14:paraId="364C45E1" w14:textId="405F0809" w:rsidR="00665D59" w:rsidRPr="00CE608A" w:rsidRDefault="00665D59" w:rsidP="00FA227A">
      <w:pPr>
        <w:spacing w:after="0" w:line="240" w:lineRule="auto"/>
        <w:jc w:val="left"/>
        <w:rPr>
          <w:sz w:val="16"/>
          <w:szCs w:val="16"/>
        </w:rPr>
      </w:pPr>
      <w:r w:rsidRPr="00CE608A">
        <w:rPr>
          <w:rStyle w:val="FootnoteReference"/>
          <w:sz w:val="16"/>
          <w:szCs w:val="16"/>
        </w:rPr>
        <w:footnoteRef/>
      </w:r>
      <w:r w:rsidRPr="00CE608A">
        <w:rPr>
          <w:sz w:val="16"/>
          <w:szCs w:val="16"/>
        </w:rPr>
        <w:t xml:space="preserve"> Barboza GE, Dominguez S, Chace E. Physical victimization, gender identity and suicide risk among transgender men</w:t>
      </w:r>
      <w:r w:rsidR="00F366DB" w:rsidRPr="00CE608A">
        <w:rPr>
          <w:sz w:val="16"/>
          <w:szCs w:val="16"/>
        </w:rPr>
        <w:t xml:space="preserve"> </w:t>
      </w:r>
      <w:r w:rsidRPr="00CE608A">
        <w:rPr>
          <w:sz w:val="16"/>
          <w:szCs w:val="16"/>
        </w:rPr>
        <w:t xml:space="preserve">and women. </w:t>
      </w:r>
      <w:proofErr w:type="spellStart"/>
      <w:r w:rsidRPr="00CE608A">
        <w:rPr>
          <w:sz w:val="16"/>
          <w:szCs w:val="16"/>
        </w:rPr>
        <w:t>Prev</w:t>
      </w:r>
      <w:proofErr w:type="spellEnd"/>
      <w:r w:rsidRPr="00CE608A">
        <w:rPr>
          <w:sz w:val="16"/>
          <w:szCs w:val="16"/>
        </w:rPr>
        <w:t xml:space="preserve"> Med Rep.</w:t>
      </w:r>
      <w:proofErr w:type="gramStart"/>
      <w:r w:rsidRPr="00CE608A">
        <w:rPr>
          <w:sz w:val="16"/>
          <w:szCs w:val="16"/>
        </w:rPr>
        <w:t>2016;4:385</w:t>
      </w:r>
      <w:proofErr w:type="gramEnd"/>
      <w:r w:rsidRPr="00CE608A">
        <w:rPr>
          <w:sz w:val="16"/>
          <w:szCs w:val="16"/>
        </w:rPr>
        <w:t>-90.</w:t>
      </w:r>
    </w:p>
  </w:footnote>
  <w:footnote w:id="23">
    <w:p w14:paraId="6B629E92" w14:textId="7188EB0D" w:rsidR="00665D59" w:rsidRPr="00CE608A" w:rsidRDefault="00665D59" w:rsidP="00FA227A">
      <w:pPr>
        <w:pStyle w:val="FootnoteText"/>
        <w:jc w:val="left"/>
        <w:rPr>
          <w:sz w:val="16"/>
          <w:szCs w:val="16"/>
        </w:rPr>
      </w:pPr>
      <w:r w:rsidRPr="00CE608A">
        <w:rPr>
          <w:rStyle w:val="FootnoteReference"/>
          <w:sz w:val="16"/>
          <w:szCs w:val="16"/>
        </w:rPr>
        <w:footnoteRef/>
      </w:r>
      <w:r w:rsidRPr="00CE608A">
        <w:rPr>
          <w:sz w:val="16"/>
          <w:szCs w:val="16"/>
        </w:rPr>
        <w:t xml:space="preserve"> Bradford J, Reisner SL, </w:t>
      </w:r>
      <w:proofErr w:type="spellStart"/>
      <w:r w:rsidRPr="00CE608A">
        <w:rPr>
          <w:sz w:val="16"/>
          <w:szCs w:val="16"/>
        </w:rPr>
        <w:t>Honnold</w:t>
      </w:r>
      <w:proofErr w:type="spellEnd"/>
      <w:r w:rsidRPr="00CE608A">
        <w:rPr>
          <w:sz w:val="16"/>
          <w:szCs w:val="16"/>
        </w:rPr>
        <w:t xml:space="preserve"> JA, Xavier J. Experiences of transgender-related discrimination and implications for health: results from the Virginia transgender health initiative study. Am J Pub Health. 2013;103(10):1820-9.</w:t>
      </w:r>
    </w:p>
  </w:footnote>
  <w:footnote w:id="24">
    <w:p w14:paraId="7F8707EF" w14:textId="77777777" w:rsidR="00D23694" w:rsidRPr="00CE608A" w:rsidRDefault="00665D59" w:rsidP="00FA227A">
      <w:pPr>
        <w:pStyle w:val="FootnoteText"/>
        <w:jc w:val="left"/>
        <w:rPr>
          <w:sz w:val="16"/>
          <w:szCs w:val="16"/>
        </w:rPr>
      </w:pPr>
      <w:r w:rsidRPr="00CE608A">
        <w:rPr>
          <w:rStyle w:val="FootnoteReference"/>
          <w:sz w:val="16"/>
          <w:szCs w:val="16"/>
        </w:rPr>
        <w:footnoteRef/>
      </w:r>
      <w:r w:rsidRPr="00CE608A">
        <w:rPr>
          <w:sz w:val="16"/>
          <w:szCs w:val="16"/>
        </w:rPr>
        <w:t xml:space="preserve"> </w:t>
      </w:r>
      <w:r w:rsidR="00D23694" w:rsidRPr="00CE608A">
        <w:rPr>
          <w:sz w:val="16"/>
          <w:szCs w:val="16"/>
        </w:rPr>
        <w:t xml:space="preserve">Goldblum P, Testa RJ, </w:t>
      </w:r>
      <w:proofErr w:type="spellStart"/>
      <w:r w:rsidR="00D23694" w:rsidRPr="00CE608A">
        <w:rPr>
          <w:sz w:val="16"/>
          <w:szCs w:val="16"/>
        </w:rPr>
        <w:t>Pflum</w:t>
      </w:r>
      <w:proofErr w:type="spellEnd"/>
      <w:r w:rsidR="00D23694" w:rsidRPr="00CE608A">
        <w:rPr>
          <w:sz w:val="16"/>
          <w:szCs w:val="16"/>
        </w:rPr>
        <w:t xml:space="preserve"> S, Hendricks ML, Bradford J, </w:t>
      </w:r>
      <w:proofErr w:type="spellStart"/>
      <w:r w:rsidR="00D23694" w:rsidRPr="00CE608A">
        <w:rPr>
          <w:sz w:val="16"/>
          <w:szCs w:val="16"/>
        </w:rPr>
        <w:t>Bongar</w:t>
      </w:r>
      <w:proofErr w:type="spellEnd"/>
      <w:r w:rsidR="00D23694" w:rsidRPr="00CE608A">
        <w:rPr>
          <w:sz w:val="16"/>
          <w:szCs w:val="16"/>
        </w:rPr>
        <w:t xml:space="preserve"> B. The relationship between gender-based</w:t>
      </w:r>
    </w:p>
    <w:p w14:paraId="4C2C059C" w14:textId="7A4849BE" w:rsidR="00665D59" w:rsidRPr="00CE608A" w:rsidRDefault="00D23694" w:rsidP="00FA227A">
      <w:pPr>
        <w:pStyle w:val="FootnoteText"/>
        <w:jc w:val="left"/>
        <w:rPr>
          <w:sz w:val="16"/>
          <w:szCs w:val="16"/>
          <w:lang w:val="fr-FR"/>
        </w:rPr>
      </w:pPr>
      <w:r w:rsidRPr="00CE608A">
        <w:rPr>
          <w:sz w:val="16"/>
          <w:szCs w:val="16"/>
        </w:rPr>
        <w:t xml:space="preserve">victimization and suicide attempts in transgender people. </w:t>
      </w:r>
      <w:r w:rsidRPr="00CE608A">
        <w:rPr>
          <w:sz w:val="16"/>
          <w:szCs w:val="16"/>
          <w:lang w:val="fr-FR"/>
        </w:rPr>
        <w:t xml:space="preserve">Prof </w:t>
      </w:r>
      <w:proofErr w:type="spellStart"/>
      <w:r w:rsidRPr="00CE608A">
        <w:rPr>
          <w:sz w:val="16"/>
          <w:szCs w:val="16"/>
          <w:lang w:val="fr-FR"/>
        </w:rPr>
        <w:t>Psychol</w:t>
      </w:r>
      <w:proofErr w:type="spellEnd"/>
      <w:r w:rsidRPr="00CE608A">
        <w:rPr>
          <w:sz w:val="16"/>
          <w:szCs w:val="16"/>
          <w:lang w:val="fr-FR"/>
        </w:rPr>
        <w:t xml:space="preserve"> </w:t>
      </w:r>
      <w:proofErr w:type="spellStart"/>
      <w:r w:rsidRPr="00CE608A">
        <w:rPr>
          <w:sz w:val="16"/>
          <w:szCs w:val="16"/>
          <w:lang w:val="fr-FR"/>
        </w:rPr>
        <w:t>Res</w:t>
      </w:r>
      <w:proofErr w:type="spellEnd"/>
      <w:r w:rsidRPr="00CE608A">
        <w:rPr>
          <w:sz w:val="16"/>
          <w:szCs w:val="16"/>
          <w:lang w:val="fr-FR"/>
        </w:rPr>
        <w:t xml:space="preserve"> Pr. </w:t>
      </w:r>
      <w:proofErr w:type="gramStart"/>
      <w:r w:rsidRPr="00CE608A">
        <w:rPr>
          <w:sz w:val="16"/>
          <w:szCs w:val="16"/>
          <w:lang w:val="fr-FR"/>
        </w:rPr>
        <w:t>2012;</w:t>
      </w:r>
      <w:proofErr w:type="gramEnd"/>
      <w:r w:rsidRPr="00CE608A">
        <w:rPr>
          <w:sz w:val="16"/>
          <w:szCs w:val="16"/>
          <w:lang w:val="fr-FR"/>
        </w:rPr>
        <w:t>43(5):468-75.</w:t>
      </w:r>
    </w:p>
  </w:footnote>
  <w:footnote w:id="25">
    <w:p w14:paraId="122B6DA1" w14:textId="4B65B9D6" w:rsidR="00D23694" w:rsidRPr="00CE608A" w:rsidRDefault="00D23694" w:rsidP="00FA227A">
      <w:pPr>
        <w:spacing w:after="0" w:line="240" w:lineRule="auto"/>
        <w:jc w:val="left"/>
        <w:rPr>
          <w:sz w:val="16"/>
          <w:szCs w:val="16"/>
        </w:rPr>
      </w:pPr>
      <w:r w:rsidRPr="00CE608A">
        <w:rPr>
          <w:rStyle w:val="FootnoteReference"/>
          <w:sz w:val="16"/>
          <w:szCs w:val="16"/>
        </w:rPr>
        <w:footnoteRef/>
      </w:r>
      <w:r w:rsidRPr="00CE608A">
        <w:rPr>
          <w:sz w:val="16"/>
          <w:szCs w:val="16"/>
          <w:lang w:val="fr-FR"/>
        </w:rPr>
        <w:t xml:space="preserve"> McNeil J, Ellis SJ, Eccles FJR. </w:t>
      </w:r>
      <w:r w:rsidRPr="00CE608A">
        <w:rPr>
          <w:sz w:val="16"/>
          <w:szCs w:val="16"/>
        </w:rPr>
        <w:t>Suicide in trans populations: a systematic review of prevalence and correlates. Psychol</w:t>
      </w:r>
      <w:r w:rsidR="00F366DB" w:rsidRPr="00CE608A">
        <w:rPr>
          <w:sz w:val="16"/>
          <w:szCs w:val="16"/>
        </w:rPr>
        <w:t xml:space="preserve"> </w:t>
      </w:r>
      <w:r w:rsidRPr="00CE608A">
        <w:rPr>
          <w:sz w:val="16"/>
          <w:szCs w:val="16"/>
        </w:rPr>
        <w:t xml:space="preserve">Sex </w:t>
      </w:r>
      <w:proofErr w:type="spellStart"/>
      <w:r w:rsidRPr="00CE608A">
        <w:rPr>
          <w:sz w:val="16"/>
          <w:szCs w:val="16"/>
        </w:rPr>
        <w:t>Orientat</w:t>
      </w:r>
      <w:proofErr w:type="spellEnd"/>
      <w:r w:rsidRPr="00CE608A">
        <w:rPr>
          <w:sz w:val="16"/>
          <w:szCs w:val="16"/>
        </w:rPr>
        <w:t xml:space="preserve"> </w:t>
      </w:r>
      <w:proofErr w:type="spellStart"/>
      <w:r w:rsidRPr="00CE608A">
        <w:rPr>
          <w:sz w:val="16"/>
          <w:szCs w:val="16"/>
        </w:rPr>
        <w:t>Gend</w:t>
      </w:r>
      <w:proofErr w:type="spellEnd"/>
      <w:r w:rsidRPr="00CE608A">
        <w:rPr>
          <w:sz w:val="16"/>
          <w:szCs w:val="16"/>
        </w:rPr>
        <w:t xml:space="preserve"> Divers. 2017;4(3):341-53.</w:t>
      </w:r>
    </w:p>
  </w:footnote>
  <w:footnote w:id="26">
    <w:p w14:paraId="47EB96FF" w14:textId="3821E938" w:rsidR="004C08FD" w:rsidRPr="00CE608A" w:rsidRDefault="004C08FD" w:rsidP="00FA227A">
      <w:pPr>
        <w:spacing w:after="0" w:line="240" w:lineRule="auto"/>
        <w:jc w:val="left"/>
        <w:rPr>
          <w:sz w:val="16"/>
          <w:szCs w:val="16"/>
        </w:rPr>
      </w:pPr>
      <w:r w:rsidRPr="00CE608A">
        <w:rPr>
          <w:rStyle w:val="FootnoteReference"/>
          <w:sz w:val="16"/>
          <w:szCs w:val="16"/>
        </w:rPr>
        <w:footnoteRef/>
      </w:r>
      <w:r w:rsidRPr="00CE608A">
        <w:rPr>
          <w:sz w:val="16"/>
          <w:szCs w:val="16"/>
        </w:rPr>
        <w:t xml:space="preserve"> </w:t>
      </w:r>
      <w:proofErr w:type="spellStart"/>
      <w:r w:rsidRPr="00CE608A">
        <w:rPr>
          <w:sz w:val="16"/>
          <w:szCs w:val="16"/>
        </w:rPr>
        <w:t>Peitzmeier</w:t>
      </w:r>
      <w:proofErr w:type="spellEnd"/>
      <w:r w:rsidRPr="00CE608A">
        <w:rPr>
          <w:sz w:val="16"/>
          <w:szCs w:val="16"/>
        </w:rPr>
        <w:t xml:space="preserve"> SM, Malik M, </w:t>
      </w:r>
      <w:proofErr w:type="spellStart"/>
      <w:r w:rsidRPr="00CE608A">
        <w:rPr>
          <w:sz w:val="16"/>
          <w:szCs w:val="16"/>
        </w:rPr>
        <w:t>Kattari</w:t>
      </w:r>
      <w:proofErr w:type="spellEnd"/>
      <w:r w:rsidRPr="00CE608A">
        <w:rPr>
          <w:sz w:val="16"/>
          <w:szCs w:val="16"/>
        </w:rPr>
        <w:t xml:space="preserve"> SK, Marrow E, Stephenson R, </w:t>
      </w:r>
      <w:proofErr w:type="spellStart"/>
      <w:r w:rsidRPr="00CE608A">
        <w:rPr>
          <w:sz w:val="16"/>
          <w:szCs w:val="16"/>
        </w:rPr>
        <w:t>Agénor</w:t>
      </w:r>
      <w:proofErr w:type="spellEnd"/>
      <w:r w:rsidRPr="00CE608A">
        <w:rPr>
          <w:sz w:val="16"/>
          <w:szCs w:val="16"/>
        </w:rPr>
        <w:t xml:space="preserve"> M et al. Intimate partner violence in transgender</w:t>
      </w:r>
      <w:r w:rsidR="005F4F66" w:rsidRPr="00CE608A">
        <w:rPr>
          <w:sz w:val="16"/>
          <w:szCs w:val="16"/>
        </w:rPr>
        <w:t xml:space="preserve"> </w:t>
      </w:r>
      <w:r w:rsidRPr="00CE608A">
        <w:rPr>
          <w:sz w:val="16"/>
          <w:szCs w:val="16"/>
        </w:rPr>
        <w:t>populations: systematic review and meta-analysis of prevalence and correlates. Am J Public Health. 2020;110(9</w:t>
      </w:r>
      <w:proofErr w:type="gramStart"/>
      <w:r w:rsidRPr="00CE608A">
        <w:rPr>
          <w:sz w:val="16"/>
          <w:szCs w:val="16"/>
        </w:rPr>
        <w:t>):e</w:t>
      </w:r>
      <w:proofErr w:type="gramEnd"/>
      <w:r w:rsidRPr="00CE608A">
        <w:rPr>
          <w:sz w:val="16"/>
          <w:szCs w:val="16"/>
        </w:rPr>
        <w:t>1-e14.</w:t>
      </w:r>
    </w:p>
  </w:footnote>
  <w:footnote w:id="27">
    <w:p w14:paraId="32A90542" w14:textId="6CDB6DF7" w:rsidR="004C08FD" w:rsidRPr="00CE608A" w:rsidRDefault="004C08FD" w:rsidP="00FA227A">
      <w:pPr>
        <w:spacing w:after="0" w:line="240" w:lineRule="auto"/>
        <w:jc w:val="left"/>
        <w:rPr>
          <w:sz w:val="16"/>
          <w:szCs w:val="16"/>
        </w:rPr>
      </w:pPr>
      <w:r w:rsidRPr="00CE608A">
        <w:rPr>
          <w:rStyle w:val="FootnoteReference"/>
          <w:sz w:val="16"/>
          <w:szCs w:val="16"/>
        </w:rPr>
        <w:footnoteRef/>
      </w:r>
      <w:r w:rsidRPr="00CE608A">
        <w:rPr>
          <w:sz w:val="16"/>
          <w:szCs w:val="16"/>
        </w:rPr>
        <w:t xml:space="preserve"> </w:t>
      </w:r>
      <w:proofErr w:type="spellStart"/>
      <w:r w:rsidRPr="00CE608A">
        <w:rPr>
          <w:sz w:val="16"/>
          <w:szCs w:val="16"/>
        </w:rPr>
        <w:t>Peitzmeier</w:t>
      </w:r>
      <w:proofErr w:type="spellEnd"/>
      <w:r w:rsidRPr="00CE608A">
        <w:rPr>
          <w:sz w:val="16"/>
          <w:szCs w:val="16"/>
        </w:rPr>
        <w:t xml:space="preserve"> SM, Malik M, </w:t>
      </w:r>
      <w:proofErr w:type="spellStart"/>
      <w:r w:rsidRPr="00CE608A">
        <w:rPr>
          <w:sz w:val="16"/>
          <w:szCs w:val="16"/>
        </w:rPr>
        <w:t>Kattari</w:t>
      </w:r>
      <w:proofErr w:type="spellEnd"/>
      <w:r w:rsidRPr="00CE608A">
        <w:rPr>
          <w:sz w:val="16"/>
          <w:szCs w:val="16"/>
        </w:rPr>
        <w:t xml:space="preserve"> SK, Marrow E, Stephenson R, </w:t>
      </w:r>
      <w:proofErr w:type="spellStart"/>
      <w:r w:rsidRPr="00CE608A">
        <w:rPr>
          <w:sz w:val="16"/>
          <w:szCs w:val="16"/>
        </w:rPr>
        <w:t>Agénor</w:t>
      </w:r>
      <w:proofErr w:type="spellEnd"/>
      <w:r w:rsidRPr="00CE608A">
        <w:rPr>
          <w:sz w:val="16"/>
          <w:szCs w:val="16"/>
        </w:rPr>
        <w:t xml:space="preserve"> M et al. Intimate partner violence in transgender</w:t>
      </w:r>
      <w:r w:rsidR="005F4F66" w:rsidRPr="00CE608A">
        <w:rPr>
          <w:sz w:val="16"/>
          <w:szCs w:val="16"/>
        </w:rPr>
        <w:t xml:space="preserve"> </w:t>
      </w:r>
      <w:r w:rsidRPr="00CE608A">
        <w:rPr>
          <w:sz w:val="16"/>
          <w:szCs w:val="16"/>
        </w:rPr>
        <w:t>populations: systematic review and meta-analysis of prevalence and correlates. Am J Public Health. 2020;110(9</w:t>
      </w:r>
      <w:proofErr w:type="gramStart"/>
      <w:r w:rsidRPr="00CE608A">
        <w:rPr>
          <w:sz w:val="16"/>
          <w:szCs w:val="16"/>
        </w:rPr>
        <w:t>):e</w:t>
      </w:r>
      <w:proofErr w:type="gramEnd"/>
      <w:r w:rsidRPr="00CE608A">
        <w:rPr>
          <w:sz w:val="16"/>
          <w:szCs w:val="16"/>
        </w:rPr>
        <w:t>1-e14.</w:t>
      </w:r>
    </w:p>
  </w:footnote>
  <w:footnote w:id="28">
    <w:p w14:paraId="0CDB7462" w14:textId="49C2BD0E" w:rsidR="005D6F3D" w:rsidRPr="00CE608A" w:rsidRDefault="005D6F3D"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Demographic and Health Surveys, 2015–2020 in UNAIDS. Confronting Inequalities. UNAIDS. Geneva: 2021. p.143</w:t>
      </w:r>
    </w:p>
  </w:footnote>
  <w:footnote w:id="29">
    <w:p w14:paraId="4AAE54CB" w14:textId="64EFB8F9" w:rsidR="005F4F66" w:rsidRPr="00CE608A" w:rsidRDefault="005F4F66" w:rsidP="00FA227A">
      <w:pPr>
        <w:pStyle w:val="FootnoteText"/>
        <w:jc w:val="left"/>
        <w:rPr>
          <w:sz w:val="16"/>
          <w:szCs w:val="16"/>
        </w:rPr>
      </w:pPr>
      <w:r w:rsidRPr="00CE608A">
        <w:rPr>
          <w:rStyle w:val="FootnoteReference"/>
          <w:sz w:val="16"/>
          <w:szCs w:val="16"/>
        </w:rPr>
        <w:footnoteRef/>
      </w:r>
      <w:r w:rsidRPr="00CE608A">
        <w:rPr>
          <w:sz w:val="16"/>
          <w:szCs w:val="16"/>
        </w:rPr>
        <w:t xml:space="preserve"> </w:t>
      </w:r>
      <w:proofErr w:type="spellStart"/>
      <w:r w:rsidRPr="00CE608A">
        <w:rPr>
          <w:sz w:val="16"/>
          <w:szCs w:val="16"/>
        </w:rPr>
        <w:t>Šimonović</w:t>
      </w:r>
      <w:proofErr w:type="spellEnd"/>
      <w:r w:rsidRPr="00CE608A">
        <w:rPr>
          <w:sz w:val="16"/>
          <w:szCs w:val="16"/>
        </w:rPr>
        <w:t xml:space="preserve"> D; United Nations Human Rights Council. A human rights-based approach to mistreatment and violence against women </w:t>
      </w:r>
      <w:proofErr w:type="spellStart"/>
      <w:r w:rsidRPr="00CE608A">
        <w:rPr>
          <w:sz w:val="16"/>
          <w:szCs w:val="16"/>
        </w:rPr>
        <w:t>i</w:t>
      </w:r>
      <w:proofErr w:type="spellEnd"/>
      <w:r w:rsidRPr="00CE608A">
        <w:rPr>
          <w:sz w:val="16"/>
          <w:szCs w:val="16"/>
        </w:rPr>
        <w:t xml:space="preserve"> n reproductive health services with a focus on childbirth and obstetric violence: report of the Special Rapporteur on Violence against Women, its Causes and Consequences. New York: United Nations General Assembly; 2019</w:t>
      </w:r>
    </w:p>
  </w:footnote>
  <w:footnote w:id="30">
    <w:p w14:paraId="06150115" w14:textId="4E1227A6" w:rsidR="008371EB" w:rsidRPr="00CE608A" w:rsidRDefault="008371EB" w:rsidP="00FA227A">
      <w:pPr>
        <w:pStyle w:val="FootnoteText"/>
        <w:rPr>
          <w:sz w:val="16"/>
          <w:szCs w:val="16"/>
        </w:rPr>
      </w:pPr>
      <w:r w:rsidRPr="00CE608A">
        <w:rPr>
          <w:rStyle w:val="FootnoteReference"/>
          <w:sz w:val="16"/>
          <w:szCs w:val="16"/>
        </w:rPr>
        <w:footnoteRef/>
      </w:r>
      <w:r w:rsidRPr="00CE608A">
        <w:rPr>
          <w:sz w:val="16"/>
          <w:szCs w:val="16"/>
        </w:rPr>
        <w:t xml:space="preserve"> </w:t>
      </w:r>
      <w:r w:rsidR="00035449" w:rsidRPr="00CE608A">
        <w:rPr>
          <w:sz w:val="16"/>
          <w:szCs w:val="16"/>
        </w:rPr>
        <w:t xml:space="preserve">Global AIDS update 2021. Geneva: UNAIDS; 2021; and Women, </w:t>
      </w:r>
      <w:proofErr w:type="gramStart"/>
      <w:r w:rsidR="00035449" w:rsidRPr="00CE608A">
        <w:rPr>
          <w:sz w:val="16"/>
          <w:szCs w:val="16"/>
        </w:rPr>
        <w:t>Business</w:t>
      </w:r>
      <w:proofErr w:type="gramEnd"/>
      <w:r w:rsidR="00035449" w:rsidRPr="00CE608A">
        <w:rPr>
          <w:sz w:val="16"/>
          <w:szCs w:val="16"/>
        </w:rPr>
        <w:t xml:space="preserve"> and the Law. Washington DC: World Bank; 2021 (https://www.worldbank.org/content/dam/sites/wbl/documents/2021/02/WBL2021_ENG_v2.pdf)</w:t>
      </w:r>
    </w:p>
  </w:footnote>
  <w:footnote w:id="31">
    <w:p w14:paraId="25D6DF23" w14:textId="373C1C5F" w:rsidR="00C8191A" w:rsidRPr="00CE608A" w:rsidRDefault="00C8191A" w:rsidP="00FA227A">
      <w:pPr>
        <w:pStyle w:val="FootnoteText"/>
        <w:jc w:val="left"/>
        <w:rPr>
          <w:sz w:val="16"/>
          <w:szCs w:val="16"/>
          <w:lang w:val="en-US"/>
        </w:rPr>
      </w:pPr>
      <w:r w:rsidRPr="00CE608A">
        <w:rPr>
          <w:rStyle w:val="FootnoteReference"/>
          <w:sz w:val="16"/>
          <w:szCs w:val="16"/>
        </w:rPr>
        <w:footnoteRef/>
      </w:r>
      <w:r w:rsidRPr="00CE608A">
        <w:rPr>
          <w:sz w:val="16"/>
          <w:szCs w:val="16"/>
          <w:lang w:val="es-ES"/>
        </w:rPr>
        <w:t xml:space="preserve"> </w:t>
      </w:r>
      <w:r w:rsidR="00C42632" w:rsidRPr="00CE608A">
        <w:rPr>
          <w:sz w:val="16"/>
          <w:szCs w:val="16"/>
          <w:lang w:val="es-ES"/>
        </w:rPr>
        <w:t xml:space="preserve">Luciano D, Negrete M, Vázquez M, Hale F, Salas J, </w:t>
      </w:r>
      <w:proofErr w:type="spellStart"/>
      <w:r w:rsidR="00C42632" w:rsidRPr="00CE608A">
        <w:rPr>
          <w:sz w:val="16"/>
          <w:szCs w:val="16"/>
          <w:lang w:val="es-ES"/>
        </w:rPr>
        <w:t>Alvárez-Rudín</w:t>
      </w:r>
      <w:proofErr w:type="spellEnd"/>
      <w:r w:rsidR="00C42632" w:rsidRPr="00CE608A">
        <w:rPr>
          <w:sz w:val="16"/>
          <w:szCs w:val="16"/>
          <w:lang w:val="es-ES"/>
        </w:rPr>
        <w:t xml:space="preserve"> M et al. Estudio regional sobre violencia y mujeres con VIH en América Latina. </w:t>
      </w:r>
      <w:r w:rsidR="00C42632" w:rsidRPr="00CE608A">
        <w:rPr>
          <w:sz w:val="16"/>
          <w:szCs w:val="16"/>
          <w:lang w:val="en-US"/>
        </w:rPr>
        <w:t>Managua: ICW Latina, HIVOS, Development Connections y Salamander Trust; 2019.</w:t>
      </w:r>
    </w:p>
  </w:footnote>
  <w:footnote w:id="32">
    <w:p w14:paraId="6BA159F7" w14:textId="72F937E7" w:rsidR="005D43CC" w:rsidRPr="00CE608A" w:rsidRDefault="005D43CC" w:rsidP="00FA227A">
      <w:pPr>
        <w:pStyle w:val="FootnoteText"/>
        <w:jc w:val="left"/>
        <w:rPr>
          <w:sz w:val="16"/>
          <w:szCs w:val="16"/>
        </w:rPr>
      </w:pPr>
      <w:r w:rsidRPr="00CE608A">
        <w:rPr>
          <w:rStyle w:val="FootnoteReference"/>
          <w:sz w:val="16"/>
          <w:szCs w:val="16"/>
        </w:rPr>
        <w:footnoteRef/>
      </w:r>
      <w:r w:rsidRPr="00CE608A">
        <w:rPr>
          <w:sz w:val="16"/>
          <w:szCs w:val="16"/>
        </w:rPr>
        <w:t xml:space="preserve"> The Human Rights Fact Sheet Series currently includes </w:t>
      </w:r>
      <w:r w:rsidR="00A037A5" w:rsidRPr="00CE608A">
        <w:rPr>
          <w:sz w:val="16"/>
          <w:szCs w:val="16"/>
        </w:rPr>
        <w:t>publications on stigma and discrimination, HIV criminalisation, sex work, gay men and other men who have sex with men, trans and other gender diverse persons, prisons</w:t>
      </w:r>
      <w:r w:rsidR="00C5208B" w:rsidRPr="00CE608A">
        <w:rPr>
          <w:sz w:val="16"/>
          <w:szCs w:val="16"/>
        </w:rPr>
        <w:t xml:space="preserve"> and on drug policy. Links can be found </w:t>
      </w:r>
      <w:r w:rsidR="00082E9B" w:rsidRPr="00CE608A">
        <w:rPr>
          <w:sz w:val="16"/>
          <w:szCs w:val="16"/>
        </w:rPr>
        <w:t>h</w:t>
      </w:r>
      <w:r w:rsidR="00C5208B" w:rsidRPr="00CE608A">
        <w:rPr>
          <w:sz w:val="16"/>
          <w:szCs w:val="16"/>
        </w:rPr>
        <w:t xml:space="preserve">ere: </w:t>
      </w:r>
      <w:hyperlink r:id="rId2" w:history="1">
        <w:r w:rsidR="00082E9B" w:rsidRPr="00CE608A">
          <w:rPr>
            <w:rStyle w:val="Hyperlink"/>
            <w:sz w:val="16"/>
            <w:szCs w:val="16"/>
          </w:rPr>
          <w:t>HIV and stigma and discrimination — Human rights fact sheet series 2021 | UNAIDS</w:t>
        </w:r>
      </w:hyperlink>
    </w:p>
  </w:footnote>
  <w:footnote w:id="33">
    <w:p w14:paraId="420C2900" w14:textId="3FF5F269" w:rsidR="004E014B" w:rsidRPr="00CE608A" w:rsidRDefault="004E014B" w:rsidP="00FA227A">
      <w:pPr>
        <w:pStyle w:val="FootnoteText"/>
        <w:rPr>
          <w:sz w:val="16"/>
          <w:szCs w:val="16"/>
        </w:rPr>
      </w:pPr>
      <w:r w:rsidRPr="00CE608A">
        <w:rPr>
          <w:rStyle w:val="FootnoteReference"/>
          <w:sz w:val="16"/>
          <w:szCs w:val="16"/>
        </w:rPr>
        <w:footnoteRef/>
      </w:r>
      <w:r w:rsidRPr="00CE608A">
        <w:rPr>
          <w:sz w:val="16"/>
          <w:szCs w:val="16"/>
        </w:rPr>
        <w:t xml:space="preserve"> Global guidance on criteria and processes for validation: Elimination of Mother-to-Child Transmission of HIV</w:t>
      </w:r>
      <w:r w:rsidR="008F28C0" w:rsidRPr="00CE608A">
        <w:rPr>
          <w:sz w:val="16"/>
          <w:szCs w:val="16"/>
        </w:rPr>
        <w:t>,</w:t>
      </w:r>
      <w:r w:rsidRPr="00CE608A">
        <w:rPr>
          <w:sz w:val="16"/>
          <w:szCs w:val="16"/>
        </w:rPr>
        <w:t xml:space="preserve"> Syphilis </w:t>
      </w:r>
      <w:r w:rsidR="008F28C0" w:rsidRPr="00CE608A">
        <w:rPr>
          <w:sz w:val="16"/>
          <w:szCs w:val="16"/>
        </w:rPr>
        <w:t>and Hepatitis B virus</w:t>
      </w:r>
      <w:r w:rsidRPr="00CE608A">
        <w:rPr>
          <w:sz w:val="16"/>
          <w:szCs w:val="16"/>
        </w:rPr>
        <w:t xml:space="preserve"> </w:t>
      </w:r>
      <w:r w:rsidR="003E53B1" w:rsidRPr="00CE608A">
        <w:rPr>
          <w:sz w:val="16"/>
          <w:szCs w:val="16"/>
        </w:rPr>
        <w:t>3rd</w:t>
      </w:r>
      <w:r w:rsidRPr="00CE608A">
        <w:rPr>
          <w:sz w:val="16"/>
          <w:szCs w:val="16"/>
        </w:rPr>
        <w:t xml:space="preserve"> edition. WHO, </w:t>
      </w:r>
      <w:proofErr w:type="gramStart"/>
      <w:r w:rsidRPr="00CE608A">
        <w:rPr>
          <w:sz w:val="16"/>
          <w:szCs w:val="16"/>
        </w:rPr>
        <w:t>20</w:t>
      </w:r>
      <w:r w:rsidR="003E53B1" w:rsidRPr="00CE608A">
        <w:rPr>
          <w:sz w:val="16"/>
          <w:szCs w:val="16"/>
        </w:rPr>
        <w:t>21</w:t>
      </w:r>
      <w:r w:rsidRPr="00CE608A">
        <w:rPr>
          <w:sz w:val="16"/>
          <w:szCs w:val="16"/>
        </w:rPr>
        <w:t>.</w:t>
      </w:r>
      <w:proofErr w:type="gramEnd"/>
    </w:p>
  </w:footnote>
  <w:footnote w:id="34">
    <w:p w14:paraId="3602131A" w14:textId="77777777" w:rsidR="00BD5289" w:rsidRPr="00CE608A" w:rsidRDefault="00BD5289" w:rsidP="00FA227A">
      <w:pPr>
        <w:pStyle w:val="FootnoteText"/>
        <w:jc w:val="left"/>
        <w:rPr>
          <w:sz w:val="16"/>
          <w:szCs w:val="16"/>
        </w:rPr>
      </w:pPr>
      <w:r w:rsidRPr="00CE608A">
        <w:rPr>
          <w:rStyle w:val="FootnoteReference"/>
          <w:sz w:val="16"/>
          <w:szCs w:val="16"/>
        </w:rPr>
        <w:footnoteRef/>
      </w:r>
      <w:r w:rsidRPr="00CE608A">
        <w:rPr>
          <w:sz w:val="16"/>
          <w:szCs w:val="16"/>
        </w:rPr>
        <w:t xml:space="preserve"> Establishing community-led monitoring of HIV services. Principles and processes. Geneva: UNAIDS; 2021</w:t>
      </w:r>
    </w:p>
    <w:p w14:paraId="08A38FBC" w14:textId="77777777" w:rsidR="00BD5289" w:rsidRPr="00CE608A" w:rsidRDefault="00BD5289" w:rsidP="00FA227A">
      <w:pPr>
        <w:pStyle w:val="FootnoteText"/>
        <w:jc w:val="left"/>
        <w:rPr>
          <w:sz w:val="16"/>
          <w:szCs w:val="16"/>
        </w:rPr>
      </w:pPr>
      <w:r w:rsidRPr="00CE608A">
        <w:rPr>
          <w:sz w:val="16"/>
          <w:szCs w:val="16"/>
        </w:rPr>
        <w:t>(https://www.unaids.org/sites/default/files/media_asset/establishing-community-led-monitoring-hiv-services_</w:t>
      </w:r>
    </w:p>
    <w:p w14:paraId="05CDD71F" w14:textId="77777777" w:rsidR="00BD5289" w:rsidRPr="00CE608A" w:rsidRDefault="00BD5289" w:rsidP="00FA227A">
      <w:pPr>
        <w:pStyle w:val="FootnoteText"/>
        <w:jc w:val="left"/>
        <w:rPr>
          <w:sz w:val="16"/>
          <w:szCs w:val="16"/>
          <w:lang w:val="en-US"/>
        </w:rPr>
      </w:pPr>
      <w:r w:rsidRPr="00CE608A">
        <w:rPr>
          <w:sz w:val="16"/>
          <w:szCs w:val="16"/>
        </w:rPr>
        <w:t>en.pdf).</w:t>
      </w:r>
    </w:p>
  </w:footnote>
  <w:footnote w:id="35">
    <w:p w14:paraId="78D58311" w14:textId="45187B31" w:rsidR="00CA4144" w:rsidRPr="00CE608A" w:rsidRDefault="00CA4144" w:rsidP="00FA227A">
      <w:pPr>
        <w:pStyle w:val="FootnoteText"/>
        <w:rPr>
          <w:sz w:val="16"/>
          <w:szCs w:val="16"/>
        </w:rPr>
      </w:pPr>
      <w:r w:rsidRPr="00CE608A">
        <w:rPr>
          <w:rStyle w:val="FootnoteReference"/>
          <w:sz w:val="16"/>
          <w:szCs w:val="16"/>
        </w:rPr>
        <w:footnoteRef/>
      </w:r>
      <w:r w:rsidRPr="00CE608A">
        <w:rPr>
          <w:sz w:val="16"/>
          <w:szCs w:val="16"/>
        </w:rPr>
        <w:t xml:space="preserve"> </w:t>
      </w:r>
      <w:r w:rsidRPr="00CE608A">
        <w:rPr>
          <w:sz w:val="16"/>
          <w:szCs w:val="16"/>
          <w:lang w:val="en-US"/>
        </w:rPr>
        <w:t>UNAIDS, Communities at the Centre. UNAIDS. Geneva, 2019. p.132</w:t>
      </w:r>
    </w:p>
  </w:footnote>
  <w:footnote w:id="36">
    <w:p w14:paraId="76825911" w14:textId="65286BFB" w:rsidR="00A651E8" w:rsidRPr="00CE608A" w:rsidRDefault="00A651E8" w:rsidP="00FA227A">
      <w:pPr>
        <w:pStyle w:val="FootnoteText"/>
        <w:rPr>
          <w:sz w:val="16"/>
          <w:szCs w:val="16"/>
        </w:rPr>
      </w:pPr>
      <w:r w:rsidRPr="00CE608A">
        <w:rPr>
          <w:rStyle w:val="FootnoteReference"/>
          <w:sz w:val="16"/>
          <w:szCs w:val="16"/>
        </w:rPr>
        <w:footnoteRef/>
      </w:r>
      <w:r w:rsidRPr="00CE608A">
        <w:rPr>
          <w:sz w:val="16"/>
          <w:szCs w:val="16"/>
        </w:rPr>
        <w:t xml:space="preserve"> </w:t>
      </w:r>
      <w:r w:rsidR="00C35D97" w:rsidRPr="00CE608A">
        <w:rPr>
          <w:sz w:val="16"/>
          <w:szCs w:val="16"/>
        </w:rPr>
        <w:t>Attorney General v</w:t>
      </w:r>
      <w:r w:rsidRPr="00CE608A">
        <w:rPr>
          <w:sz w:val="16"/>
          <w:szCs w:val="16"/>
        </w:rPr>
        <w:t xml:space="preserve"> </w:t>
      </w:r>
      <w:proofErr w:type="spellStart"/>
      <w:r w:rsidRPr="00CE608A">
        <w:rPr>
          <w:sz w:val="16"/>
          <w:szCs w:val="16"/>
        </w:rPr>
        <w:t>Motshidiemang</w:t>
      </w:r>
      <w:proofErr w:type="spellEnd"/>
      <w:r w:rsidR="00C35D97" w:rsidRPr="00CE608A">
        <w:rPr>
          <w:sz w:val="16"/>
          <w:szCs w:val="16"/>
        </w:rPr>
        <w:t>, Botswana Court of Appeal, 29 November 2021</w:t>
      </w:r>
      <w:r w:rsidRPr="00CE608A">
        <w:rPr>
          <w:sz w:val="16"/>
          <w:szCs w:val="16"/>
        </w:rPr>
        <w:t xml:space="preserve"> </w:t>
      </w:r>
    </w:p>
  </w:footnote>
  <w:footnote w:id="37">
    <w:p w14:paraId="726BCF41" w14:textId="27F0A6E4" w:rsidR="00B81779" w:rsidRPr="00CE608A" w:rsidRDefault="00B81779" w:rsidP="00FA227A">
      <w:pPr>
        <w:pStyle w:val="FootnoteText"/>
        <w:rPr>
          <w:sz w:val="16"/>
          <w:szCs w:val="16"/>
        </w:rPr>
      </w:pPr>
      <w:r w:rsidRPr="00CE608A">
        <w:rPr>
          <w:rStyle w:val="FootnoteReference"/>
          <w:sz w:val="16"/>
          <w:szCs w:val="16"/>
        </w:rPr>
        <w:footnoteRef/>
      </w:r>
      <w:r w:rsidRPr="00CE608A">
        <w:rPr>
          <w:sz w:val="16"/>
          <w:szCs w:val="16"/>
        </w:rPr>
        <w:t xml:space="preserve"> </w:t>
      </w:r>
      <w:proofErr w:type="spellStart"/>
      <w:r w:rsidR="00B22231" w:rsidRPr="00CE608A">
        <w:rPr>
          <w:sz w:val="16"/>
          <w:szCs w:val="16"/>
        </w:rPr>
        <w:t>Johar</w:t>
      </w:r>
      <w:proofErr w:type="spellEnd"/>
      <w:r w:rsidR="00B22231" w:rsidRPr="00CE608A">
        <w:rPr>
          <w:sz w:val="16"/>
          <w:szCs w:val="16"/>
        </w:rPr>
        <w:t xml:space="preserve"> v Union of India No 76 of 2016, Supreme Court of India, </w:t>
      </w:r>
      <w:r w:rsidR="009A109F" w:rsidRPr="00CE608A">
        <w:rPr>
          <w:sz w:val="16"/>
          <w:szCs w:val="16"/>
        </w:rPr>
        <w:t>September 2018</w:t>
      </w:r>
    </w:p>
  </w:footnote>
  <w:footnote w:id="38">
    <w:p w14:paraId="43F55748" w14:textId="0D8B3D6F" w:rsidR="005B2819" w:rsidRPr="00CE608A" w:rsidRDefault="005B2819" w:rsidP="00FA227A">
      <w:pPr>
        <w:pStyle w:val="FootnoteText"/>
        <w:rPr>
          <w:sz w:val="16"/>
          <w:szCs w:val="16"/>
        </w:rPr>
      </w:pPr>
      <w:r w:rsidRPr="00CE608A">
        <w:rPr>
          <w:rStyle w:val="FootnoteReference"/>
          <w:sz w:val="16"/>
          <w:szCs w:val="16"/>
        </w:rPr>
        <w:footnoteRef/>
      </w:r>
      <w:r w:rsidRPr="00CE608A">
        <w:rPr>
          <w:sz w:val="16"/>
          <w:szCs w:val="16"/>
        </w:rPr>
        <w:t xml:space="preserve"> Jones v </w:t>
      </w:r>
      <w:r w:rsidR="005C0781" w:rsidRPr="00CE608A">
        <w:rPr>
          <w:sz w:val="16"/>
          <w:szCs w:val="16"/>
        </w:rPr>
        <w:t>Attorney General of Trinidad and Tobago. High Court of Justice. Claim CV2017-00720. April 2018</w:t>
      </w:r>
    </w:p>
  </w:footnote>
  <w:footnote w:id="39">
    <w:p w14:paraId="26DA3EA1" w14:textId="600273C7" w:rsidR="00841A45" w:rsidRPr="00CE608A" w:rsidRDefault="00841A45" w:rsidP="00FA227A">
      <w:pPr>
        <w:pStyle w:val="FootnoteText"/>
        <w:rPr>
          <w:sz w:val="16"/>
          <w:szCs w:val="16"/>
        </w:rPr>
      </w:pPr>
      <w:r w:rsidRPr="00CE608A">
        <w:rPr>
          <w:rStyle w:val="FootnoteReference"/>
          <w:sz w:val="16"/>
          <w:szCs w:val="16"/>
        </w:rPr>
        <w:footnoteRef/>
      </w:r>
      <w:r w:rsidRPr="00CE608A">
        <w:rPr>
          <w:sz w:val="16"/>
          <w:szCs w:val="16"/>
        </w:rPr>
        <w:t xml:space="preserve"> Quincy McEwan, </w:t>
      </w:r>
      <w:proofErr w:type="spellStart"/>
      <w:r w:rsidRPr="00CE608A">
        <w:rPr>
          <w:sz w:val="16"/>
          <w:szCs w:val="16"/>
        </w:rPr>
        <w:t>Seon</w:t>
      </w:r>
      <w:proofErr w:type="spellEnd"/>
      <w:r w:rsidRPr="00CE608A">
        <w:rPr>
          <w:sz w:val="16"/>
          <w:szCs w:val="16"/>
        </w:rPr>
        <w:t xml:space="preserve"> Clarke, Joseph Fraser, </w:t>
      </w:r>
      <w:proofErr w:type="spellStart"/>
      <w:r w:rsidRPr="00CE608A">
        <w:rPr>
          <w:sz w:val="16"/>
          <w:szCs w:val="16"/>
        </w:rPr>
        <w:t>Seyon</w:t>
      </w:r>
      <w:proofErr w:type="spellEnd"/>
      <w:r w:rsidRPr="00CE608A">
        <w:rPr>
          <w:sz w:val="16"/>
          <w:szCs w:val="16"/>
        </w:rPr>
        <w:t xml:space="preserve"> Persaud and the Society Against Sexual Orientation Discrimination (SASOD) v The Attorney General of Guyana, Caribbean Court of Justice Nov 2018</w:t>
      </w:r>
    </w:p>
  </w:footnote>
  <w:footnote w:id="40">
    <w:p w14:paraId="756FCA58" w14:textId="29522397" w:rsidR="00B33A3F" w:rsidRPr="00CE608A" w:rsidRDefault="00B33A3F" w:rsidP="00FA227A">
      <w:pPr>
        <w:pStyle w:val="FootnoteText"/>
        <w:rPr>
          <w:sz w:val="16"/>
          <w:szCs w:val="16"/>
          <w:lang w:val="en-US"/>
        </w:rPr>
      </w:pPr>
      <w:r w:rsidRPr="00CE608A">
        <w:rPr>
          <w:rStyle w:val="FootnoteReference"/>
          <w:sz w:val="16"/>
          <w:szCs w:val="16"/>
        </w:rPr>
        <w:footnoteRef/>
      </w:r>
      <w:r w:rsidRPr="00CE608A">
        <w:rPr>
          <w:sz w:val="16"/>
          <w:szCs w:val="16"/>
        </w:rPr>
        <w:t>Inter-American Commission on Human Rights Press release 2021 in the case of FS v Chile, case 12,956 (https://www.oas.org/en/iachr/jsForm/?File=/en/iachr/media_center/preleases/2021/221.asp).</w:t>
      </w:r>
    </w:p>
  </w:footnote>
  <w:footnote w:id="41">
    <w:p w14:paraId="604C509C" w14:textId="77777777" w:rsidR="0017350D" w:rsidRPr="00CE608A" w:rsidRDefault="0017350D" w:rsidP="00FA227A">
      <w:pPr>
        <w:pStyle w:val="FootnoteText"/>
        <w:jc w:val="left"/>
        <w:rPr>
          <w:sz w:val="16"/>
          <w:szCs w:val="16"/>
        </w:rPr>
      </w:pPr>
      <w:r w:rsidRPr="00CE608A">
        <w:rPr>
          <w:rStyle w:val="FootnoteReference"/>
          <w:sz w:val="16"/>
          <w:szCs w:val="16"/>
        </w:rPr>
        <w:footnoteRef/>
      </w:r>
      <w:r w:rsidRPr="00CE608A">
        <w:rPr>
          <w:sz w:val="16"/>
          <w:szCs w:val="16"/>
        </w:rPr>
        <w:t xml:space="preserve"> UNAIDS. Confronting Inequalities. UNAIDS. Geneva: 2021. p.302</w:t>
      </w:r>
    </w:p>
  </w:footnote>
  <w:footnote w:id="42">
    <w:p w14:paraId="6402CE75" w14:textId="768B0A86" w:rsidR="006D41D3" w:rsidRPr="00CE608A" w:rsidRDefault="006D41D3" w:rsidP="00FA227A">
      <w:pPr>
        <w:pStyle w:val="FootnoteText"/>
        <w:rPr>
          <w:sz w:val="16"/>
          <w:szCs w:val="16"/>
        </w:rPr>
      </w:pPr>
      <w:r w:rsidRPr="00CE608A">
        <w:rPr>
          <w:rStyle w:val="FootnoteReference"/>
          <w:sz w:val="16"/>
          <w:szCs w:val="16"/>
        </w:rPr>
        <w:footnoteRef/>
      </w:r>
      <w:r w:rsidRPr="00CE608A">
        <w:rPr>
          <w:sz w:val="16"/>
          <w:szCs w:val="16"/>
        </w:rPr>
        <w:t xml:space="preserve"> </w:t>
      </w:r>
      <w:r w:rsidRPr="00CE608A">
        <w:rPr>
          <w:sz w:val="16"/>
          <w:szCs w:val="16"/>
          <w:lang w:val="en-US"/>
        </w:rPr>
        <w:t>UNAIDS, Communities at the Centre. UNAIDS. Geneva, 2019. p.</w:t>
      </w:r>
      <w:r w:rsidR="00FA00F5" w:rsidRPr="00CE608A">
        <w:rPr>
          <w:sz w:val="16"/>
          <w:szCs w:val="16"/>
          <w:lang w:val="en-US"/>
        </w:rPr>
        <w:t>126</w:t>
      </w:r>
    </w:p>
  </w:footnote>
  <w:footnote w:id="43">
    <w:p w14:paraId="40B79882" w14:textId="5F8700A4" w:rsidR="00FA00F5" w:rsidRPr="00CE608A" w:rsidRDefault="00FA00F5" w:rsidP="00FA227A">
      <w:pPr>
        <w:pStyle w:val="FootnoteText"/>
        <w:rPr>
          <w:sz w:val="16"/>
          <w:szCs w:val="16"/>
        </w:rPr>
      </w:pPr>
      <w:r w:rsidRPr="00CE608A">
        <w:rPr>
          <w:rStyle w:val="FootnoteReference"/>
          <w:sz w:val="16"/>
          <w:szCs w:val="16"/>
        </w:rPr>
        <w:footnoteRef/>
      </w:r>
      <w:r w:rsidRPr="00CE608A">
        <w:rPr>
          <w:sz w:val="16"/>
          <w:szCs w:val="16"/>
        </w:rPr>
        <w:t xml:space="preserve"> UNAIDS. Confronting Inequalities. UNAIDS. Geneva: 2021. p.157</w:t>
      </w:r>
    </w:p>
  </w:footnote>
  <w:footnote w:id="44">
    <w:p w14:paraId="1B46EC1F" w14:textId="708BE448" w:rsidR="000445DB" w:rsidRPr="00CE608A" w:rsidRDefault="000445DB" w:rsidP="00FA227A">
      <w:pPr>
        <w:pStyle w:val="FootnoteText"/>
        <w:rPr>
          <w:sz w:val="16"/>
          <w:szCs w:val="16"/>
          <w:lang w:val="en-US"/>
        </w:rPr>
      </w:pPr>
      <w:r w:rsidRPr="00CE608A">
        <w:rPr>
          <w:rStyle w:val="FootnoteReference"/>
          <w:sz w:val="16"/>
          <w:szCs w:val="16"/>
        </w:rPr>
        <w:footnoteRef/>
      </w:r>
      <w:r w:rsidRPr="00CE608A">
        <w:rPr>
          <w:sz w:val="16"/>
          <w:szCs w:val="16"/>
        </w:rPr>
        <w:t xml:space="preserve"> </w:t>
      </w:r>
      <w:r w:rsidRPr="00CE608A">
        <w:rPr>
          <w:sz w:val="16"/>
          <w:szCs w:val="16"/>
          <w:lang w:val="en-US"/>
        </w:rPr>
        <w:t>UNAIDS, Communities at the Centre</w:t>
      </w:r>
      <w:r w:rsidR="008D4DBB" w:rsidRPr="00CE608A">
        <w:rPr>
          <w:sz w:val="16"/>
          <w:szCs w:val="16"/>
          <w:lang w:val="en-US"/>
        </w:rPr>
        <w:t>. UNAIDS. Geneva, 2019. p</w:t>
      </w:r>
      <w:r w:rsidR="005B24A0" w:rsidRPr="00CE608A">
        <w:rPr>
          <w:sz w:val="16"/>
          <w:szCs w:val="16"/>
          <w:lang w:val="en-US"/>
        </w:rPr>
        <w:t>p</w:t>
      </w:r>
      <w:r w:rsidR="008D4DBB" w:rsidRPr="00CE608A">
        <w:rPr>
          <w:sz w:val="16"/>
          <w:szCs w:val="16"/>
          <w:lang w:val="en-US"/>
        </w:rPr>
        <w:t>.91</w:t>
      </w:r>
      <w:r w:rsidR="005B24A0" w:rsidRPr="00CE608A">
        <w:rPr>
          <w:sz w:val="16"/>
          <w:szCs w:val="16"/>
          <w:lang w:val="en-US"/>
        </w:rPr>
        <w:t>, 134</w:t>
      </w:r>
    </w:p>
  </w:footnote>
  <w:footnote w:id="45">
    <w:p w14:paraId="6B07AE17" w14:textId="600443D0" w:rsidR="00067044" w:rsidRPr="00CE608A" w:rsidRDefault="00067044" w:rsidP="00FA227A">
      <w:pPr>
        <w:pStyle w:val="FootnoteText"/>
        <w:jc w:val="left"/>
        <w:rPr>
          <w:sz w:val="16"/>
          <w:szCs w:val="16"/>
        </w:rPr>
      </w:pPr>
      <w:r w:rsidRPr="00CE608A">
        <w:rPr>
          <w:rStyle w:val="FootnoteReference"/>
          <w:sz w:val="16"/>
          <w:szCs w:val="16"/>
        </w:rPr>
        <w:footnoteRef/>
      </w:r>
      <w:r w:rsidRPr="00CE608A">
        <w:rPr>
          <w:sz w:val="16"/>
          <w:szCs w:val="16"/>
        </w:rPr>
        <w:t xml:space="preserve"> The Global Fund, UNAIDS and UNDP (2021). Public financing of service provision by civil society organisations in national responses to HIV, </w:t>
      </w:r>
      <w:proofErr w:type="gramStart"/>
      <w:r w:rsidRPr="00CE608A">
        <w:rPr>
          <w:sz w:val="16"/>
          <w:szCs w:val="16"/>
        </w:rPr>
        <w:t>TB</w:t>
      </w:r>
      <w:proofErr w:type="gramEnd"/>
      <w:r w:rsidRPr="00CE608A">
        <w:rPr>
          <w:sz w:val="16"/>
          <w:szCs w:val="16"/>
        </w:rPr>
        <w:t xml:space="preserve"> and malaria.</w:t>
      </w:r>
      <w:r w:rsidR="008E6877" w:rsidRPr="00CE608A">
        <w:rPr>
          <w:sz w:val="16"/>
          <w:szCs w:val="16"/>
        </w:rPr>
        <w:t>9</w:t>
      </w:r>
    </w:p>
  </w:footnote>
  <w:footnote w:id="46">
    <w:p w14:paraId="722D2959" w14:textId="2DD759DB" w:rsidR="008213B1" w:rsidRPr="00CE608A" w:rsidRDefault="008213B1">
      <w:pPr>
        <w:pStyle w:val="FootnoteText"/>
        <w:rPr>
          <w:sz w:val="16"/>
          <w:szCs w:val="16"/>
          <w:lang w:val="en-US"/>
        </w:rPr>
      </w:pPr>
      <w:r w:rsidRPr="00CE608A">
        <w:rPr>
          <w:rStyle w:val="FootnoteReference"/>
          <w:sz w:val="16"/>
          <w:szCs w:val="16"/>
        </w:rPr>
        <w:footnoteRef/>
      </w:r>
      <w:r w:rsidRPr="00CE608A">
        <w:rPr>
          <w:sz w:val="16"/>
          <w:szCs w:val="16"/>
        </w:rPr>
        <w:t xml:space="preserve"> UNAIDS</w:t>
      </w:r>
      <w:r w:rsidR="00911AB0" w:rsidRPr="00CE608A">
        <w:rPr>
          <w:sz w:val="16"/>
          <w:szCs w:val="16"/>
        </w:rPr>
        <w:t xml:space="preserve">. </w:t>
      </w:r>
      <w:r w:rsidR="00C93734" w:rsidRPr="00CE608A">
        <w:rPr>
          <w:sz w:val="16"/>
          <w:szCs w:val="16"/>
          <w:lang w:val="en-US"/>
        </w:rPr>
        <w:t>Global AIDS Strategy 2021-2026 — End Inequalities. End AIDS.</w:t>
      </w:r>
      <w:r w:rsidR="0000642B" w:rsidRPr="00CE608A">
        <w:rPr>
          <w:sz w:val="16"/>
          <w:szCs w:val="16"/>
          <w:lang w:val="en-US"/>
        </w:rPr>
        <w:t xml:space="preserve"> Geneva: 2021. p.</w:t>
      </w:r>
      <w:r w:rsidR="007040AA" w:rsidRPr="00CE608A">
        <w:rPr>
          <w:sz w:val="16"/>
          <w:szCs w:val="16"/>
          <w:lang w:val="en-US"/>
        </w:rPr>
        <w:t>141</w:t>
      </w:r>
      <w:r w:rsidR="00C537FA" w:rsidRPr="00CE608A">
        <w:rPr>
          <w:sz w:val="16"/>
          <w:szCs w:val="16"/>
          <w:lang w:val="en-US"/>
        </w:rPr>
        <w:t>, footnote 35</w:t>
      </w:r>
    </w:p>
  </w:footnote>
  <w:footnote w:id="47">
    <w:p w14:paraId="21453355" w14:textId="50E1FB3F" w:rsidR="00480A5C" w:rsidRPr="00CE608A" w:rsidRDefault="00480A5C">
      <w:pPr>
        <w:pStyle w:val="FootnoteText"/>
        <w:rPr>
          <w:sz w:val="16"/>
          <w:szCs w:val="16"/>
        </w:rPr>
      </w:pPr>
      <w:r w:rsidRPr="00CE608A">
        <w:rPr>
          <w:rStyle w:val="FootnoteReference"/>
          <w:sz w:val="16"/>
          <w:szCs w:val="16"/>
        </w:rPr>
        <w:footnoteRef/>
      </w:r>
      <w:r w:rsidRPr="00CE608A">
        <w:rPr>
          <w:sz w:val="16"/>
          <w:szCs w:val="16"/>
        </w:rPr>
        <w:t xml:space="preserve"> </w:t>
      </w:r>
      <w:r w:rsidR="0054208E" w:rsidRPr="00CE608A">
        <w:rPr>
          <w:sz w:val="16"/>
          <w:szCs w:val="16"/>
        </w:rPr>
        <w:t>The following definitions were presented to the UNAIDS Programme Coordinating Board</w:t>
      </w:r>
      <w:r w:rsidR="002C6D31" w:rsidRPr="00CE608A">
        <w:rPr>
          <w:sz w:val="16"/>
          <w:szCs w:val="16"/>
        </w:rPr>
        <w:t>,</w:t>
      </w:r>
      <w:r w:rsidR="0054208E" w:rsidRPr="00CE608A">
        <w:rPr>
          <w:sz w:val="16"/>
          <w:szCs w:val="16"/>
        </w:rPr>
        <w:t xml:space="preserve"> after extensive constituent consultation and input</w:t>
      </w:r>
      <w:r w:rsidR="002C6D31" w:rsidRPr="00CE608A">
        <w:rPr>
          <w:sz w:val="16"/>
          <w:szCs w:val="16"/>
        </w:rPr>
        <w:t>,</w:t>
      </w:r>
      <w:r w:rsidR="0054208E" w:rsidRPr="00CE608A">
        <w:rPr>
          <w:sz w:val="16"/>
          <w:szCs w:val="16"/>
        </w:rPr>
        <w:t xml:space="preserve"> by a </w:t>
      </w:r>
      <w:proofErr w:type="spellStart"/>
      <w:r w:rsidR="0054208E" w:rsidRPr="00CE608A">
        <w:rPr>
          <w:sz w:val="16"/>
          <w:szCs w:val="16"/>
        </w:rPr>
        <w:t>MultiStakeholder</w:t>
      </w:r>
      <w:proofErr w:type="spellEnd"/>
      <w:r w:rsidR="0054208E" w:rsidRPr="00CE608A">
        <w:rPr>
          <w:sz w:val="16"/>
          <w:szCs w:val="16"/>
        </w:rPr>
        <w:t xml:space="preserve"> Task Team on Community-Led Responses</w:t>
      </w:r>
      <w:r w:rsidR="00512205" w:rsidRPr="00CE608A">
        <w:rPr>
          <w:sz w:val="16"/>
          <w:szCs w:val="16"/>
        </w:rPr>
        <w:t xml:space="preserve">. </w:t>
      </w:r>
      <w:r w:rsidR="002C6D31" w:rsidRPr="00CE608A">
        <w:rPr>
          <w:sz w:val="16"/>
          <w:szCs w:val="16"/>
        </w:rPr>
        <w:t xml:space="preserve">They are undergoing final review </w:t>
      </w:r>
      <w:r w:rsidR="00FD7A21" w:rsidRPr="00CE608A">
        <w:rPr>
          <w:sz w:val="16"/>
          <w:szCs w:val="16"/>
        </w:rPr>
        <w:t>after which they</w:t>
      </w:r>
      <w:r w:rsidR="002C6D31" w:rsidRPr="00CE608A">
        <w:rPr>
          <w:sz w:val="16"/>
          <w:szCs w:val="16"/>
        </w:rPr>
        <w:t xml:space="preserve"> will </w:t>
      </w:r>
      <w:r w:rsidR="00C43EBC" w:rsidRPr="00CE608A">
        <w:rPr>
          <w:sz w:val="16"/>
          <w:szCs w:val="16"/>
        </w:rPr>
        <w:t>be presented</w:t>
      </w:r>
      <w:r w:rsidR="002C6D31" w:rsidRPr="00CE608A">
        <w:rPr>
          <w:sz w:val="16"/>
          <w:szCs w:val="16"/>
        </w:rPr>
        <w:t xml:space="preserve"> </w:t>
      </w:r>
      <w:r w:rsidR="00FD7A21" w:rsidRPr="00CE608A">
        <w:rPr>
          <w:sz w:val="16"/>
          <w:szCs w:val="16"/>
        </w:rPr>
        <w:t xml:space="preserve">to the next Programme Coordinating Board in June 2022. </w:t>
      </w:r>
      <w:r w:rsidR="001A106F" w:rsidRPr="00CE608A">
        <w:rPr>
          <w:sz w:val="16"/>
          <w:szCs w:val="16"/>
          <w:shd w:val="clear" w:color="auto" w:fill="FFFFFF"/>
        </w:rPr>
        <w:t>The definitions</w:t>
      </w:r>
      <w:r w:rsidR="003B58F3" w:rsidRPr="00CE608A">
        <w:rPr>
          <w:sz w:val="16"/>
          <w:szCs w:val="16"/>
          <w:shd w:val="clear" w:color="auto" w:fill="FFFFFF"/>
        </w:rPr>
        <w:t xml:space="preserve"> were conceived as umbrella terms, inclusive of the leadership of people living with HIV, key populations, </w:t>
      </w:r>
      <w:proofErr w:type="gramStart"/>
      <w:r w:rsidR="003B58F3" w:rsidRPr="00CE608A">
        <w:rPr>
          <w:sz w:val="16"/>
          <w:szCs w:val="16"/>
          <w:shd w:val="clear" w:color="auto" w:fill="FFFFFF"/>
        </w:rPr>
        <w:t>women</w:t>
      </w:r>
      <w:proofErr w:type="gramEnd"/>
      <w:r w:rsidR="003B58F3" w:rsidRPr="00CE608A">
        <w:rPr>
          <w:sz w:val="16"/>
          <w:szCs w:val="16"/>
          <w:shd w:val="clear" w:color="auto" w:fill="FFFFFF"/>
        </w:rPr>
        <w:t xml:space="preserve"> and youth in all their diversity. The definitions can be accessed here:</w:t>
      </w:r>
      <w:r w:rsidR="003B58F3" w:rsidRPr="00CE608A">
        <w:rPr>
          <w:sz w:val="16"/>
          <w:szCs w:val="16"/>
        </w:rPr>
        <w:t xml:space="preserve"> </w:t>
      </w:r>
      <w:hyperlink r:id="rId3" w:history="1">
        <w:r w:rsidR="003B58F3" w:rsidRPr="00CE608A">
          <w:rPr>
            <w:rStyle w:val="Hyperlink"/>
            <w:sz w:val="16"/>
            <w:szCs w:val="16"/>
          </w:rPr>
          <w:t>https://www.unaids.org/en/resources/documents/2020/PCB47_Report_Task_Team_Community-led_AIDS_Responses</w:t>
        </w:r>
      </w:hyperlink>
      <w:r w:rsidR="003B58F3" w:rsidRPr="00CE608A">
        <w:rPr>
          <w:sz w:val="16"/>
          <w:szCs w:val="16"/>
        </w:rPr>
        <w:t xml:space="preserve">  </w:t>
      </w:r>
    </w:p>
  </w:footnote>
  <w:footnote w:id="48">
    <w:p w14:paraId="0581C632" w14:textId="77777777" w:rsidR="00F50F07" w:rsidRPr="00AD57A1" w:rsidRDefault="00F50F07" w:rsidP="00F50F07">
      <w:pPr>
        <w:pStyle w:val="FootnoteText"/>
        <w:rPr>
          <w:sz w:val="16"/>
          <w:szCs w:val="16"/>
          <w:lang w:val="en-US"/>
        </w:rPr>
      </w:pPr>
      <w:r w:rsidRPr="00CE608A">
        <w:rPr>
          <w:rStyle w:val="FootnoteReference"/>
          <w:sz w:val="16"/>
          <w:szCs w:val="16"/>
        </w:rPr>
        <w:footnoteRef/>
      </w:r>
      <w:r w:rsidRPr="00CE608A">
        <w:rPr>
          <w:sz w:val="16"/>
          <w:szCs w:val="16"/>
        </w:rPr>
        <w:t xml:space="preserve"> </w:t>
      </w:r>
      <w:r w:rsidRPr="00CE608A">
        <w:rPr>
          <w:sz w:val="16"/>
          <w:szCs w:val="16"/>
          <w:lang w:val="en"/>
        </w:rPr>
        <w:t xml:space="preserve">Agenda item 4 Progress Report on Defining and Measuring Community-Led Responses. UNAIDS, 2019. </w:t>
      </w:r>
      <w:r w:rsidRPr="00AD57A1">
        <w:rPr>
          <w:sz w:val="16"/>
          <w:szCs w:val="16"/>
          <w:lang w:val="en-US"/>
        </w:rPr>
        <w:t>Available at: </w:t>
      </w:r>
      <w:hyperlink r:id="rId4" w:tgtFrame="_blank" w:history="1">
        <w:r w:rsidRPr="00AD57A1">
          <w:rPr>
            <w:rStyle w:val="Hyperlink"/>
            <w:sz w:val="16"/>
            <w:szCs w:val="16"/>
            <w:lang w:val="en-US"/>
          </w:rPr>
          <w:t>https://www.unaids.org/en/resources/documents/2019/PCB45_Community-led-Response</w:t>
        </w:r>
      </w:hyperlink>
      <w:r w:rsidRPr="00AD57A1">
        <w:rPr>
          <w:sz w:val="16"/>
          <w:szCs w:val="16"/>
          <w:lang w:val="en-US"/>
        </w:rPr>
        <w:t>  </w:t>
      </w:r>
    </w:p>
    <w:p w14:paraId="53276B1A" w14:textId="58BB30F2" w:rsidR="00F50F07" w:rsidRPr="00CE608A" w:rsidRDefault="00F50F07">
      <w:pPr>
        <w:pStyle w:val="FootnoteText"/>
        <w:rPr>
          <w:sz w:val="16"/>
          <w:szCs w:val="16"/>
          <w:lang w:val="en-US"/>
        </w:rPr>
      </w:pPr>
      <w:r w:rsidRPr="00CE608A">
        <w:rPr>
          <w:sz w:val="16"/>
          <w:szCs w:val="16"/>
        </w:rPr>
        <w:t xml:space="preserve">For a network or organization to be considered community-led, </w:t>
      </w:r>
      <w:proofErr w:type="gramStart"/>
      <w:r w:rsidRPr="00CE608A">
        <w:rPr>
          <w:sz w:val="16"/>
          <w:szCs w:val="16"/>
        </w:rPr>
        <w:t>the majority of</w:t>
      </w:r>
      <w:proofErr w:type="gramEnd"/>
      <w:r w:rsidRPr="00CE608A">
        <w:rPr>
          <w:sz w:val="16"/>
          <w:szCs w:val="16"/>
        </w:rPr>
        <w:t xml:space="preserve"> governance, leadership, and staff must come from the community, and there must be clear processes for transparency and accountability between the network or organization and the community it serves.</w:t>
      </w:r>
    </w:p>
  </w:footnote>
  <w:footnote w:id="49">
    <w:p w14:paraId="7443B7DB" w14:textId="4E69DC32" w:rsidR="001A51AC" w:rsidRPr="00CE608A" w:rsidRDefault="001A51AC">
      <w:pPr>
        <w:pStyle w:val="FootnoteText"/>
        <w:rPr>
          <w:sz w:val="16"/>
          <w:szCs w:val="16"/>
          <w:lang w:val="en-US"/>
        </w:rPr>
      </w:pPr>
      <w:r w:rsidRPr="00CE608A">
        <w:rPr>
          <w:rStyle w:val="FootnoteReference"/>
          <w:sz w:val="16"/>
          <w:szCs w:val="16"/>
        </w:rPr>
        <w:footnoteRef/>
      </w:r>
      <w:r w:rsidRPr="00CE608A">
        <w:rPr>
          <w:sz w:val="16"/>
          <w:szCs w:val="16"/>
        </w:rPr>
        <w:t xml:space="preserve"> The UN Human Rights Council and the High Commissioner for Human Rights have identified various prerequisites for an enabling civic space for civil society, including (</w:t>
      </w:r>
      <w:proofErr w:type="spellStart"/>
      <w:r w:rsidRPr="00CE608A">
        <w:rPr>
          <w:sz w:val="16"/>
          <w:szCs w:val="16"/>
        </w:rPr>
        <w:t>i</w:t>
      </w:r>
      <w:proofErr w:type="spellEnd"/>
      <w:r w:rsidRPr="00CE608A">
        <w:rPr>
          <w:sz w:val="16"/>
          <w:szCs w:val="16"/>
        </w:rPr>
        <w:t>) an enabling legal framework that respects the safety of all persons, protects rights to public participation, equality and non-discrimination to ensure inclusiveness of even the most marginalized, and promote access to justice for violations of these rights; (ii) an inclusive political environment that promotes participation, transparency and accountability; (iii) access to information; (iv) platforms for civil society to participate in decision-making; and (v) strengthened civil society actors, with access to capacity building, technical support and financial resources. See ICNL and UNDP (2021) Legal Frameworks for Civic Space: A Toolkit</w:t>
      </w:r>
    </w:p>
  </w:footnote>
  <w:footnote w:id="50">
    <w:p w14:paraId="67212E9C" w14:textId="40AF9E64" w:rsidR="00673DD4" w:rsidRPr="00CE608A" w:rsidRDefault="00673DD4" w:rsidP="00FA227A">
      <w:pPr>
        <w:pStyle w:val="FootnoteText"/>
        <w:rPr>
          <w:sz w:val="16"/>
          <w:szCs w:val="16"/>
        </w:rPr>
      </w:pPr>
      <w:r w:rsidRPr="00CE608A">
        <w:rPr>
          <w:rStyle w:val="FootnoteReference"/>
          <w:sz w:val="16"/>
          <w:szCs w:val="16"/>
        </w:rPr>
        <w:footnoteRef/>
      </w:r>
      <w:r w:rsidRPr="00CE608A">
        <w:rPr>
          <w:sz w:val="16"/>
          <w:szCs w:val="16"/>
        </w:rPr>
        <w:t xml:space="preserve"> UNAIDS. Communities at the Centre. </w:t>
      </w:r>
      <w:r w:rsidR="003A63A4" w:rsidRPr="00CE608A">
        <w:rPr>
          <w:sz w:val="16"/>
          <w:szCs w:val="16"/>
        </w:rPr>
        <w:t>UNAIDS. Geneva, 2019. P 122.</w:t>
      </w:r>
    </w:p>
  </w:footnote>
  <w:footnote w:id="51">
    <w:p w14:paraId="7817AC29" w14:textId="69ABF8B7" w:rsidR="00C21A5D" w:rsidRPr="00CE608A" w:rsidRDefault="00C21A5D"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r w:rsidR="00E632F7" w:rsidRPr="00CE608A">
        <w:rPr>
          <w:sz w:val="16"/>
          <w:szCs w:val="16"/>
        </w:rPr>
        <w:t>Data retrieved from ICNL Civic Freedom Monitor, cited in ICNL and UNDP (2021). Legal Frameworks for Civic Space: A Practical Toolkit.</w:t>
      </w:r>
    </w:p>
  </w:footnote>
  <w:footnote w:id="52">
    <w:p w14:paraId="6A0D0CC4" w14:textId="3C4B3854" w:rsidR="00907F12" w:rsidRPr="00CE608A" w:rsidRDefault="00907F12" w:rsidP="00FA227A">
      <w:pPr>
        <w:spacing w:after="0" w:line="240" w:lineRule="auto"/>
        <w:jc w:val="left"/>
        <w:rPr>
          <w:sz w:val="16"/>
          <w:szCs w:val="16"/>
        </w:rPr>
      </w:pPr>
      <w:r w:rsidRPr="00CE608A">
        <w:rPr>
          <w:rStyle w:val="FootnoteReference"/>
          <w:sz w:val="16"/>
          <w:szCs w:val="16"/>
        </w:rPr>
        <w:footnoteRef/>
      </w:r>
      <w:r w:rsidRPr="00CE608A">
        <w:rPr>
          <w:sz w:val="16"/>
          <w:szCs w:val="16"/>
        </w:rPr>
        <w:t xml:space="preserve"> UNAIDS, WHO. National Commitments and Policy Instrument: Laws and Policies Analytics. </w:t>
      </w:r>
      <w:hyperlink r:id="rId5" w:history="1">
        <w:r w:rsidR="00C8688D" w:rsidRPr="00CE608A">
          <w:rPr>
            <w:rStyle w:val="Hyperlink"/>
            <w:sz w:val="16"/>
            <w:szCs w:val="16"/>
          </w:rPr>
          <w:t>https://lawsandpolicies.unaids.org</w:t>
        </w:r>
      </w:hyperlink>
      <w:r w:rsidR="00C8688D" w:rsidRPr="00CE608A">
        <w:rPr>
          <w:sz w:val="16"/>
          <w:szCs w:val="16"/>
        </w:rPr>
        <w:t xml:space="preserve"> </w:t>
      </w:r>
    </w:p>
  </w:footnote>
  <w:footnote w:id="53">
    <w:p w14:paraId="4087FF86" w14:textId="18D1EA26" w:rsidR="00237BEB" w:rsidRPr="00CE608A" w:rsidRDefault="00237BEB" w:rsidP="00FA227A">
      <w:pPr>
        <w:pStyle w:val="FootnoteText"/>
        <w:jc w:val="left"/>
        <w:rPr>
          <w:sz w:val="16"/>
          <w:szCs w:val="16"/>
        </w:rPr>
      </w:pPr>
      <w:r w:rsidRPr="00CE608A">
        <w:rPr>
          <w:rStyle w:val="FootnoteReference"/>
          <w:sz w:val="16"/>
          <w:szCs w:val="16"/>
        </w:rPr>
        <w:footnoteRef/>
      </w:r>
      <w:r w:rsidRPr="00CE608A">
        <w:rPr>
          <w:sz w:val="16"/>
          <w:szCs w:val="16"/>
        </w:rPr>
        <w:t xml:space="preserve"> Global Fund (undated) Technical Assistance on Community Rights and Gender  </w:t>
      </w:r>
    </w:p>
  </w:footnote>
  <w:footnote w:id="54">
    <w:p w14:paraId="480EFAD0" w14:textId="0FC175EC" w:rsidR="00F17C4D" w:rsidRPr="00CE608A" w:rsidRDefault="00F17C4D"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For more information, see UNDP Independent Evaluation Office webpage Evaluation Synthesis.  </w:t>
      </w:r>
    </w:p>
  </w:footnote>
  <w:footnote w:id="55">
    <w:p w14:paraId="771D56A1" w14:textId="4AF21B6B" w:rsidR="00237BEB" w:rsidRPr="00CE608A" w:rsidRDefault="00237BEB"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For more information, see UNDP webpage on Capacity Development: Social Contracting  </w:t>
      </w:r>
    </w:p>
  </w:footnote>
  <w:footnote w:id="56">
    <w:p w14:paraId="7D5C7FAB" w14:textId="29A675A4" w:rsidR="00386590" w:rsidRPr="00CE608A" w:rsidRDefault="00386590" w:rsidP="00FA227A">
      <w:pPr>
        <w:pStyle w:val="FootnoteText"/>
        <w:jc w:val="left"/>
        <w:rPr>
          <w:sz w:val="16"/>
          <w:szCs w:val="16"/>
          <w:lang w:val="en-US"/>
        </w:rPr>
      </w:pPr>
      <w:r w:rsidRPr="00CE608A">
        <w:rPr>
          <w:rStyle w:val="FootnoteReference"/>
          <w:sz w:val="16"/>
          <w:szCs w:val="16"/>
        </w:rPr>
        <w:footnoteRef/>
      </w:r>
      <w:r w:rsidRPr="00CE608A">
        <w:rPr>
          <w:sz w:val="16"/>
          <w:szCs w:val="16"/>
          <w:lang w:val="en-US"/>
        </w:rPr>
        <w:t xml:space="preserve"> Wirtz AL, </w:t>
      </w:r>
      <w:proofErr w:type="spellStart"/>
      <w:r w:rsidRPr="00CE608A">
        <w:rPr>
          <w:sz w:val="16"/>
          <w:szCs w:val="16"/>
          <w:lang w:val="en-US"/>
        </w:rPr>
        <w:t>Poteat</w:t>
      </w:r>
      <w:proofErr w:type="spellEnd"/>
      <w:r w:rsidRPr="00CE608A">
        <w:rPr>
          <w:sz w:val="16"/>
          <w:szCs w:val="16"/>
          <w:lang w:val="en-US"/>
        </w:rPr>
        <w:t xml:space="preserve"> TC, Malik M, Glass N. Gender-Based Violence Against Transgender People in the United States: A Call for Research and Programming. Trauma, Violence and Abuse. 2018; (XX)X 1-15</w:t>
      </w:r>
    </w:p>
  </w:footnote>
  <w:footnote w:id="57">
    <w:p w14:paraId="69483E3A" w14:textId="25E14C5D" w:rsidR="00A4621A" w:rsidRPr="00CE608A" w:rsidRDefault="00A4621A"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r w:rsidR="009C1B0B" w:rsidRPr="00CE608A">
        <w:rPr>
          <w:sz w:val="16"/>
          <w:szCs w:val="16"/>
        </w:rPr>
        <w:t>Undeserving victims? A community report on migrant sex worker victims of crime in Europe. Amsterdam: International Committee on the Rights of Sex Workers in Europe; 2020 (http://www.sexworkeurope.org/sites/default/files/userfiles/files/Undeserving%20victims%20-%20DIGITAL.pdf).</w:t>
      </w:r>
    </w:p>
  </w:footnote>
  <w:footnote w:id="58">
    <w:p w14:paraId="4B907B45" w14:textId="5CFA7C9B" w:rsidR="004B17B0" w:rsidRPr="00CE608A" w:rsidRDefault="004B17B0"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Bogart LM, Galvan FH, </w:t>
      </w:r>
      <w:proofErr w:type="spellStart"/>
      <w:r w:rsidRPr="00CE608A">
        <w:rPr>
          <w:sz w:val="16"/>
          <w:szCs w:val="16"/>
        </w:rPr>
        <w:t>Leija</w:t>
      </w:r>
      <w:proofErr w:type="spellEnd"/>
      <w:r w:rsidRPr="00CE608A">
        <w:rPr>
          <w:sz w:val="16"/>
          <w:szCs w:val="16"/>
        </w:rPr>
        <w:t xml:space="preserve"> J, </w:t>
      </w:r>
      <w:proofErr w:type="spellStart"/>
      <w:r w:rsidRPr="00CE608A">
        <w:rPr>
          <w:sz w:val="16"/>
          <w:szCs w:val="16"/>
        </w:rPr>
        <w:t>MacCarthy</w:t>
      </w:r>
      <w:proofErr w:type="spellEnd"/>
      <w:r w:rsidRPr="00CE608A">
        <w:rPr>
          <w:sz w:val="16"/>
          <w:szCs w:val="16"/>
        </w:rPr>
        <w:t xml:space="preserve"> S, Klein DJ, Pantalone DW. A Pilot Cognitive </w:t>
      </w:r>
      <w:proofErr w:type="spellStart"/>
      <w:r w:rsidRPr="00CE608A">
        <w:rPr>
          <w:sz w:val="16"/>
          <w:szCs w:val="16"/>
        </w:rPr>
        <w:t>Behavior</w:t>
      </w:r>
      <w:proofErr w:type="spellEnd"/>
      <w:r w:rsidRPr="00CE608A">
        <w:rPr>
          <w:sz w:val="16"/>
          <w:szCs w:val="16"/>
        </w:rPr>
        <w:t xml:space="preserve"> Therapy Group Intervention to Address Coping with Discrimination Among HIV-Positive Latino Immigrant Sexual Minority Men. Ann LGBTQ public </w:t>
      </w:r>
      <w:proofErr w:type="spellStart"/>
      <w:r w:rsidRPr="00CE608A">
        <w:rPr>
          <w:sz w:val="16"/>
          <w:szCs w:val="16"/>
        </w:rPr>
        <w:t>Popul</w:t>
      </w:r>
      <w:proofErr w:type="spellEnd"/>
      <w:r w:rsidRPr="00CE608A">
        <w:rPr>
          <w:sz w:val="16"/>
          <w:szCs w:val="16"/>
        </w:rPr>
        <w:t xml:space="preserve"> Heal 2020; 1:6–26.</w:t>
      </w:r>
    </w:p>
  </w:footnote>
  <w:footnote w:id="59">
    <w:p w14:paraId="2CE41DB5" w14:textId="524CD76A" w:rsidR="00654A37" w:rsidRPr="00CE608A" w:rsidRDefault="00654A37"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Li ATW, Fung KPL, </w:t>
      </w:r>
      <w:proofErr w:type="spellStart"/>
      <w:r w:rsidRPr="00CE608A">
        <w:rPr>
          <w:sz w:val="16"/>
          <w:szCs w:val="16"/>
        </w:rPr>
        <w:t>Maticka</w:t>
      </w:r>
      <w:proofErr w:type="spellEnd"/>
      <w:r w:rsidRPr="00CE608A">
        <w:rPr>
          <w:sz w:val="16"/>
          <w:szCs w:val="16"/>
        </w:rPr>
        <w:t xml:space="preserve">-Tyndale E, Wong JPH. Effects Of HIV stigma reduction interventions in diasporic communities: insights from the CHAMP study. AIDS Care - </w:t>
      </w:r>
      <w:proofErr w:type="spellStart"/>
      <w:r w:rsidRPr="00CE608A">
        <w:rPr>
          <w:sz w:val="16"/>
          <w:szCs w:val="16"/>
        </w:rPr>
        <w:t>Psychol</w:t>
      </w:r>
      <w:proofErr w:type="spellEnd"/>
      <w:r w:rsidRPr="00CE608A">
        <w:rPr>
          <w:sz w:val="16"/>
          <w:szCs w:val="16"/>
        </w:rPr>
        <w:t xml:space="preserve"> Socio-Medical Asp AIDS/HIV Published Online First: 2018. doi:10.1080/09540121.2017.1391982</w:t>
      </w:r>
    </w:p>
  </w:footnote>
  <w:footnote w:id="60">
    <w:p w14:paraId="60841FCB" w14:textId="3B95ADA9" w:rsidR="00057AB0" w:rsidRPr="00CE608A" w:rsidRDefault="00057AB0"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r w:rsidRPr="00CE608A">
        <w:rPr>
          <w:sz w:val="16"/>
          <w:szCs w:val="16"/>
          <w:lang w:val="en-US"/>
        </w:rPr>
        <w:t xml:space="preserve">PITCH, </w:t>
      </w:r>
      <w:proofErr w:type="spellStart"/>
      <w:r w:rsidRPr="00CE608A">
        <w:rPr>
          <w:sz w:val="16"/>
          <w:szCs w:val="16"/>
          <w:lang w:val="en-US"/>
        </w:rPr>
        <w:t>AIDSFonds</w:t>
      </w:r>
      <w:proofErr w:type="spellEnd"/>
      <w:r w:rsidRPr="00CE608A">
        <w:rPr>
          <w:sz w:val="16"/>
          <w:szCs w:val="16"/>
          <w:lang w:val="en-US"/>
        </w:rPr>
        <w:t xml:space="preserve">. Fast-Track or Off Track? How insufficient funding for key populations </w:t>
      </w:r>
      <w:proofErr w:type="spellStart"/>
      <w:r w:rsidRPr="00CE608A">
        <w:rPr>
          <w:sz w:val="16"/>
          <w:szCs w:val="16"/>
          <w:lang w:val="en-US"/>
        </w:rPr>
        <w:t>jeopardises</w:t>
      </w:r>
      <w:proofErr w:type="spellEnd"/>
      <w:r w:rsidRPr="00CE608A">
        <w:rPr>
          <w:sz w:val="16"/>
          <w:szCs w:val="16"/>
          <w:lang w:val="en-US"/>
        </w:rPr>
        <w:t xml:space="preserve"> ending AIDS by 2030</w:t>
      </w:r>
      <w:r w:rsidR="00EB3990" w:rsidRPr="00CE608A">
        <w:rPr>
          <w:sz w:val="16"/>
          <w:szCs w:val="16"/>
          <w:lang w:val="en-US"/>
        </w:rPr>
        <w:t xml:space="preserve">. 2019. Available at </w:t>
      </w:r>
      <w:hyperlink r:id="rId6" w:history="1">
        <w:r w:rsidR="00EB3990" w:rsidRPr="00CE608A">
          <w:rPr>
            <w:rStyle w:val="Hyperlink"/>
            <w:sz w:val="16"/>
            <w:szCs w:val="16"/>
            <w:lang w:val="en-US"/>
          </w:rPr>
          <w:t>https://aidsfonds.org/cms/sites/default/files/inline-files/Fast-Track%20or%20Off%20Track%20report-final_0.pdf</w:t>
        </w:r>
      </w:hyperlink>
      <w:r w:rsidR="00EB3990" w:rsidRPr="00CE608A">
        <w:rPr>
          <w:sz w:val="16"/>
          <w:szCs w:val="16"/>
          <w:lang w:val="en-US"/>
        </w:rPr>
        <w:t xml:space="preserve"> </w:t>
      </w:r>
    </w:p>
  </w:footnote>
  <w:footnote w:id="61">
    <w:p w14:paraId="6F1309A7" w14:textId="10901F5F" w:rsidR="00BE22EE" w:rsidRPr="00CE608A" w:rsidRDefault="00BE22EE">
      <w:pPr>
        <w:pStyle w:val="FootnoteText"/>
        <w:rPr>
          <w:sz w:val="16"/>
          <w:szCs w:val="16"/>
          <w:lang w:val="en-US"/>
        </w:rPr>
      </w:pPr>
      <w:r w:rsidRPr="00CE608A">
        <w:rPr>
          <w:rStyle w:val="FootnoteReference"/>
          <w:sz w:val="16"/>
          <w:szCs w:val="16"/>
        </w:rPr>
        <w:footnoteRef/>
      </w:r>
      <w:r w:rsidRPr="00CE608A">
        <w:rPr>
          <w:sz w:val="16"/>
          <w:szCs w:val="16"/>
        </w:rPr>
        <w:t xml:space="preserve"> </w:t>
      </w:r>
      <w:r w:rsidR="00741C93" w:rsidRPr="00CE608A">
        <w:rPr>
          <w:sz w:val="16"/>
          <w:szCs w:val="16"/>
        </w:rPr>
        <w:t xml:space="preserve">The Global Fun OIG Advisory Review: Removing Human Rights Barriers. </w:t>
      </w:r>
      <w:r w:rsidRPr="00CE608A">
        <w:rPr>
          <w:rFonts w:eastAsia="Calibri"/>
          <w:sz w:val="16"/>
          <w:szCs w:val="16"/>
        </w:rPr>
        <w:t>https://www.theglobalfund.org/media/9020/oig_gf-oig-19-023_report_en.pdf</w:t>
      </w:r>
    </w:p>
  </w:footnote>
  <w:footnote w:id="62">
    <w:p w14:paraId="54ADC6D3" w14:textId="1E7BA44C" w:rsidR="00B62E8A" w:rsidRPr="00CE608A" w:rsidRDefault="00B62E8A"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The </w:t>
      </w:r>
      <w:r w:rsidRPr="00CE608A">
        <w:rPr>
          <w:sz w:val="16"/>
          <w:szCs w:val="16"/>
          <w:lang w:val="en-US"/>
        </w:rPr>
        <w:t>Global Fund. Human Rights</w:t>
      </w:r>
      <w:r w:rsidR="00732AAD" w:rsidRPr="00CE608A">
        <w:rPr>
          <w:sz w:val="16"/>
          <w:szCs w:val="16"/>
          <w:lang w:val="en-US"/>
        </w:rPr>
        <w:t xml:space="preserve"> available at </w:t>
      </w:r>
      <w:hyperlink r:id="rId7" w:history="1">
        <w:r w:rsidR="00732AAD" w:rsidRPr="00CE608A">
          <w:rPr>
            <w:rStyle w:val="Hyperlink"/>
            <w:sz w:val="16"/>
            <w:szCs w:val="16"/>
            <w:lang w:val="en-US"/>
          </w:rPr>
          <w:t>https://www.theglobalfund.org/en/human-rights/</w:t>
        </w:r>
      </w:hyperlink>
      <w:r w:rsidR="00732AAD" w:rsidRPr="00CE608A">
        <w:rPr>
          <w:sz w:val="16"/>
          <w:szCs w:val="16"/>
          <w:lang w:val="en-US"/>
        </w:rPr>
        <w:t xml:space="preserve"> accessed 16 </w:t>
      </w:r>
      <w:proofErr w:type="spellStart"/>
      <w:r w:rsidR="00732AAD" w:rsidRPr="00CE608A">
        <w:rPr>
          <w:sz w:val="16"/>
          <w:szCs w:val="16"/>
          <w:lang w:val="en-US"/>
        </w:rPr>
        <w:t>Feburary</w:t>
      </w:r>
      <w:proofErr w:type="spellEnd"/>
      <w:r w:rsidR="00732AAD" w:rsidRPr="00CE608A">
        <w:rPr>
          <w:sz w:val="16"/>
          <w:szCs w:val="16"/>
          <w:lang w:val="en-US"/>
        </w:rPr>
        <w:t xml:space="preserve"> 2022.</w:t>
      </w:r>
    </w:p>
  </w:footnote>
  <w:footnote w:id="63">
    <w:p w14:paraId="08C0811C" w14:textId="2C6A3EB6" w:rsidR="00017594" w:rsidRPr="00CE608A" w:rsidRDefault="00017594" w:rsidP="00FA227A">
      <w:pPr>
        <w:pStyle w:val="FootnoteText"/>
        <w:jc w:val="left"/>
        <w:rPr>
          <w:sz w:val="16"/>
          <w:szCs w:val="16"/>
          <w:lang w:val="en-US"/>
        </w:rPr>
      </w:pPr>
      <w:r w:rsidRPr="00CE608A">
        <w:rPr>
          <w:rStyle w:val="FootnoteReference"/>
          <w:sz w:val="16"/>
          <w:szCs w:val="16"/>
        </w:rPr>
        <w:footnoteRef/>
      </w:r>
      <w:r w:rsidRPr="00CE608A">
        <w:rPr>
          <w:sz w:val="16"/>
          <w:szCs w:val="16"/>
          <w:lang w:val="en-US"/>
        </w:rPr>
        <w:t xml:space="preserve">  Barre-</w:t>
      </w:r>
      <w:proofErr w:type="spellStart"/>
      <w:r w:rsidRPr="00CE608A">
        <w:rPr>
          <w:sz w:val="16"/>
          <w:szCs w:val="16"/>
          <w:lang w:val="en-US"/>
        </w:rPr>
        <w:t>Sinoussi</w:t>
      </w:r>
      <w:proofErr w:type="spellEnd"/>
      <w:r w:rsidRPr="00CE608A">
        <w:rPr>
          <w:sz w:val="16"/>
          <w:szCs w:val="16"/>
          <w:lang w:val="en-US"/>
        </w:rPr>
        <w:t xml:space="preserve"> F, </w:t>
      </w:r>
      <w:proofErr w:type="spellStart"/>
      <w:r w:rsidRPr="00CE608A">
        <w:rPr>
          <w:sz w:val="16"/>
          <w:szCs w:val="16"/>
          <w:lang w:val="en-US"/>
        </w:rPr>
        <w:t>Abdool</w:t>
      </w:r>
      <w:proofErr w:type="spellEnd"/>
      <w:r w:rsidRPr="00CE608A">
        <w:rPr>
          <w:sz w:val="16"/>
          <w:szCs w:val="16"/>
          <w:lang w:val="en-US"/>
        </w:rPr>
        <w:t xml:space="preserve"> Karim SS, </w:t>
      </w:r>
      <w:r w:rsidRPr="00CE608A">
        <w:rPr>
          <w:sz w:val="16"/>
          <w:szCs w:val="16"/>
        </w:rPr>
        <w:t xml:space="preserve">Albert J, </w:t>
      </w:r>
      <w:proofErr w:type="spellStart"/>
      <w:r w:rsidRPr="00CE608A">
        <w:rPr>
          <w:sz w:val="16"/>
          <w:szCs w:val="16"/>
        </w:rPr>
        <w:t>Bekker</w:t>
      </w:r>
      <w:proofErr w:type="spellEnd"/>
      <w:r w:rsidRPr="00CE608A">
        <w:rPr>
          <w:sz w:val="16"/>
          <w:szCs w:val="16"/>
        </w:rPr>
        <w:t xml:space="preserve"> L-G, </w:t>
      </w:r>
      <w:proofErr w:type="spellStart"/>
      <w:r w:rsidRPr="00CE608A">
        <w:rPr>
          <w:sz w:val="16"/>
          <w:szCs w:val="16"/>
        </w:rPr>
        <w:t>Beyrer</w:t>
      </w:r>
      <w:proofErr w:type="spellEnd"/>
      <w:r w:rsidRPr="00CE608A">
        <w:rPr>
          <w:sz w:val="16"/>
          <w:szCs w:val="16"/>
        </w:rPr>
        <w:t xml:space="preserve"> C, </w:t>
      </w:r>
      <w:proofErr w:type="gramStart"/>
      <w:r w:rsidRPr="00CE608A">
        <w:rPr>
          <w:sz w:val="16"/>
          <w:szCs w:val="16"/>
        </w:rPr>
        <w:t xml:space="preserve">Cahn  </w:t>
      </w:r>
      <w:r w:rsidRPr="00CE608A">
        <w:rPr>
          <w:sz w:val="16"/>
          <w:szCs w:val="16"/>
          <w:lang w:val="en-US"/>
        </w:rPr>
        <w:t>P</w:t>
      </w:r>
      <w:proofErr w:type="gramEnd"/>
      <w:r w:rsidRPr="00CE608A">
        <w:rPr>
          <w:sz w:val="16"/>
          <w:szCs w:val="16"/>
          <w:lang w:val="en-US"/>
        </w:rPr>
        <w:t xml:space="preserve">, et al., Expert consensus statement </w:t>
      </w:r>
    </w:p>
    <w:p w14:paraId="417ED518" w14:textId="7A3AA010" w:rsidR="00017594" w:rsidRPr="00CE608A" w:rsidRDefault="00017594" w:rsidP="00FA227A">
      <w:pPr>
        <w:pStyle w:val="FootnoteText"/>
        <w:jc w:val="left"/>
        <w:rPr>
          <w:sz w:val="16"/>
          <w:szCs w:val="16"/>
          <w:lang w:val="fr-FR"/>
        </w:rPr>
      </w:pPr>
      <w:r w:rsidRPr="00CE608A">
        <w:rPr>
          <w:sz w:val="16"/>
          <w:szCs w:val="16"/>
        </w:rPr>
        <w:t xml:space="preserve">on the science of HIV in the context of criminal law. </w:t>
      </w:r>
      <w:r w:rsidRPr="00CE608A">
        <w:rPr>
          <w:sz w:val="16"/>
          <w:szCs w:val="16"/>
          <w:lang w:val="fr-FR"/>
        </w:rPr>
        <w:t xml:space="preserve">J Int AIDS Soc. </w:t>
      </w:r>
      <w:proofErr w:type="gramStart"/>
      <w:r w:rsidRPr="00CE608A">
        <w:rPr>
          <w:sz w:val="16"/>
          <w:szCs w:val="16"/>
          <w:lang w:val="fr-FR"/>
        </w:rPr>
        <w:t>2018;</w:t>
      </w:r>
      <w:proofErr w:type="gramEnd"/>
      <w:r w:rsidRPr="00CE608A">
        <w:rPr>
          <w:sz w:val="16"/>
          <w:szCs w:val="16"/>
          <w:lang w:val="fr-FR"/>
        </w:rPr>
        <w:t xml:space="preserve"> 21(7):e25161.</w:t>
      </w:r>
    </w:p>
  </w:footnote>
  <w:footnote w:id="64">
    <w:p w14:paraId="1CCA1DC1" w14:textId="438C8C18" w:rsidR="00974BC8" w:rsidRPr="00CE608A" w:rsidRDefault="00974BC8" w:rsidP="00FA227A">
      <w:pPr>
        <w:pStyle w:val="FootnoteText"/>
        <w:jc w:val="left"/>
        <w:rPr>
          <w:sz w:val="16"/>
          <w:szCs w:val="16"/>
          <w:lang w:val="en-US"/>
        </w:rPr>
      </w:pPr>
      <w:r w:rsidRPr="00CE608A">
        <w:rPr>
          <w:rStyle w:val="FootnoteReference"/>
          <w:sz w:val="16"/>
          <w:szCs w:val="16"/>
        </w:rPr>
        <w:footnoteRef/>
      </w:r>
      <w:r w:rsidRPr="00CE608A">
        <w:rPr>
          <w:sz w:val="16"/>
          <w:szCs w:val="16"/>
          <w:lang w:val="en-US"/>
        </w:rPr>
        <w:t xml:space="preserve"> Duque v </w:t>
      </w:r>
      <w:r w:rsidR="00520ED9" w:rsidRPr="00CE608A">
        <w:rPr>
          <w:sz w:val="16"/>
          <w:szCs w:val="16"/>
          <w:lang w:val="en-US"/>
        </w:rPr>
        <w:t>Colombia, case D-12883, Constitutional Court of Colombia. Judgement 5 June 2019. https://www.hivjusticeworldwide.org/wp-content/uploads/2017/06/Colombia-Constitutional-Court-2019.pdf</w:t>
      </w:r>
    </w:p>
  </w:footnote>
  <w:footnote w:id="65">
    <w:p w14:paraId="68F6CAAC" w14:textId="075CEC3E" w:rsidR="006968C6" w:rsidRPr="00CE608A" w:rsidRDefault="006968C6"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r w:rsidRPr="00CE608A">
        <w:rPr>
          <w:sz w:val="16"/>
          <w:szCs w:val="16"/>
          <w:lang w:val="en-US"/>
        </w:rPr>
        <w:t xml:space="preserve">HIV Justice Network. Use of the Expert Consensus Statement on the Science of HIV in the Context of Criminal Law. JIV Justice Network. Amsterdam. 2020. </w:t>
      </w:r>
    </w:p>
  </w:footnote>
  <w:footnote w:id="66">
    <w:p w14:paraId="6357B091" w14:textId="77777777" w:rsidR="00346837" w:rsidRPr="00CE608A" w:rsidRDefault="00346837" w:rsidP="00FA227A">
      <w:pPr>
        <w:pStyle w:val="FootnoteText"/>
        <w:rPr>
          <w:sz w:val="16"/>
          <w:szCs w:val="16"/>
        </w:rPr>
      </w:pPr>
      <w:r w:rsidRPr="00CE608A">
        <w:rPr>
          <w:rStyle w:val="FootnoteReference"/>
          <w:sz w:val="16"/>
          <w:szCs w:val="16"/>
        </w:rPr>
        <w:footnoteRef/>
      </w:r>
      <w:r w:rsidRPr="00CE608A">
        <w:rPr>
          <w:sz w:val="16"/>
          <w:szCs w:val="16"/>
        </w:rPr>
        <w:t xml:space="preserve"> HIV Justice Institute, Advancing Justice 3: Growing the global movement against HIV criminalization, 2019 (https://www.hivjustice.net/wp-content/uploads/2019/05/AHJ3-Full-ReportEnglish-Final.pdf, accessed on 5 October 2021)</w:t>
      </w:r>
    </w:p>
  </w:footnote>
  <w:footnote w:id="67">
    <w:p w14:paraId="361D838B" w14:textId="77777777" w:rsidR="00346837" w:rsidRPr="00CE608A" w:rsidRDefault="00346837" w:rsidP="00FA227A">
      <w:pPr>
        <w:pStyle w:val="FootnoteText"/>
        <w:rPr>
          <w:sz w:val="16"/>
          <w:szCs w:val="16"/>
          <w:lang w:val="en-US"/>
        </w:rPr>
      </w:pPr>
      <w:r w:rsidRPr="00CE608A">
        <w:rPr>
          <w:rStyle w:val="FootnoteReference"/>
          <w:sz w:val="16"/>
          <w:szCs w:val="16"/>
        </w:rPr>
        <w:footnoteRef/>
      </w:r>
      <w:r w:rsidRPr="00CE608A">
        <w:rPr>
          <w:sz w:val="16"/>
          <w:szCs w:val="16"/>
        </w:rPr>
        <w:t xml:space="preserve"> Resources for Lawyers and Advocates, 2020, Canadian HIV/AIDS Legal Network (https://www.hivlegalnetwork.ca/site/responding-to-the-criminalization-of-hiv-transmission-orexposure-resources-for-lawyers-and-advocates-2/?lang=en, accessed on 5 October 2021).</w:t>
      </w:r>
    </w:p>
  </w:footnote>
  <w:footnote w:id="68">
    <w:p w14:paraId="313B3ABF" w14:textId="59617FFB" w:rsidR="006C708E" w:rsidRPr="00CE608A" w:rsidRDefault="006C708E"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r w:rsidRPr="00CE608A">
        <w:rPr>
          <w:sz w:val="16"/>
          <w:szCs w:val="16"/>
          <w:lang w:val="en-US"/>
        </w:rPr>
        <w:t>In</w:t>
      </w:r>
      <w:r w:rsidR="00D44DCD" w:rsidRPr="00CE608A">
        <w:rPr>
          <w:sz w:val="16"/>
          <w:szCs w:val="16"/>
          <w:lang w:val="en-US"/>
        </w:rPr>
        <w:t>dividual communication between CEO, Scarlet Alliance and UNAIDS. 16 February 2022.</w:t>
      </w:r>
    </w:p>
  </w:footnote>
  <w:footnote w:id="69">
    <w:p w14:paraId="30ADDC08" w14:textId="77777777" w:rsidR="00C46512" w:rsidRPr="00CE608A" w:rsidRDefault="00C46512" w:rsidP="00FA227A">
      <w:pPr>
        <w:pStyle w:val="FootnoteText"/>
        <w:jc w:val="left"/>
        <w:rPr>
          <w:sz w:val="16"/>
          <w:szCs w:val="16"/>
        </w:rPr>
      </w:pPr>
      <w:r w:rsidRPr="00CE608A">
        <w:rPr>
          <w:rStyle w:val="FootnoteReference"/>
          <w:sz w:val="16"/>
          <w:szCs w:val="16"/>
        </w:rPr>
        <w:footnoteRef/>
      </w:r>
      <w:r w:rsidRPr="00CE608A">
        <w:rPr>
          <w:sz w:val="16"/>
          <w:szCs w:val="16"/>
        </w:rPr>
        <w:t xml:space="preserve"> Global Commission HIV and the Law. Risks, Rights &amp; Health, 2012. New York: United Nations Development Programme; 2012 (https://hivlawcommission.org/wpcontent/uploads/2017/06/FinalReport-RisksRightsHealth-EN.pdf, accessed on 5 October 2021).</w:t>
      </w:r>
    </w:p>
  </w:footnote>
  <w:footnote w:id="70">
    <w:p w14:paraId="18DEDF7F" w14:textId="77777777" w:rsidR="00C46512" w:rsidRPr="00CE608A" w:rsidRDefault="00C46512" w:rsidP="00FA227A">
      <w:pPr>
        <w:pStyle w:val="FootnoteText"/>
        <w:jc w:val="left"/>
        <w:rPr>
          <w:sz w:val="16"/>
          <w:szCs w:val="16"/>
        </w:rPr>
      </w:pPr>
      <w:r w:rsidRPr="00CE608A">
        <w:rPr>
          <w:rStyle w:val="FootnoteReference"/>
          <w:sz w:val="16"/>
          <w:szCs w:val="16"/>
        </w:rPr>
        <w:footnoteRef/>
      </w:r>
      <w:r w:rsidRPr="00CE608A">
        <w:rPr>
          <w:sz w:val="16"/>
          <w:szCs w:val="16"/>
        </w:rPr>
        <w:t xml:space="preserve"> Global Commission HIV and the Law. Risks, Rights &amp; Health, Supplement. New York: United Nations Development Programme; 2018 (https://hivlawcommission.org/wpcontent/uploads/2020/06/Hiv-and-the-Law-supplement_EN_2020.pdf, accessed on 5 October 2021).</w:t>
      </w:r>
    </w:p>
  </w:footnote>
  <w:footnote w:id="71">
    <w:p w14:paraId="3930D4A4" w14:textId="77777777" w:rsidR="00C46512" w:rsidRPr="00CE608A" w:rsidRDefault="00C46512" w:rsidP="00FA227A">
      <w:pPr>
        <w:pStyle w:val="FootnoteText"/>
        <w:jc w:val="left"/>
        <w:rPr>
          <w:sz w:val="16"/>
          <w:szCs w:val="16"/>
        </w:rPr>
      </w:pPr>
      <w:r w:rsidRPr="00CE608A">
        <w:rPr>
          <w:rStyle w:val="FootnoteReference"/>
          <w:sz w:val="16"/>
          <w:szCs w:val="16"/>
        </w:rPr>
        <w:footnoteRef/>
      </w:r>
      <w:r w:rsidRPr="00CE608A">
        <w:rPr>
          <w:sz w:val="16"/>
          <w:szCs w:val="16"/>
        </w:rPr>
        <w:t xml:space="preserve"> Evaluation of the Global Commission on HIV and the Law. Los Angeles: Program on Global Health &amp; Human Rights, University of Southern California; 2021 (https://hivlawcommission.org/wpcontent/uploads/2021/06/Final-Report-Independent-Evaluation-Global-Commission-HIV-and-theLaw.pdf, accessed on 5 October 2021)</w:t>
      </w:r>
    </w:p>
  </w:footnote>
  <w:footnote w:id="72">
    <w:p w14:paraId="215A78B0" w14:textId="77777777" w:rsidR="00C46512" w:rsidRPr="00CE608A" w:rsidRDefault="00C46512" w:rsidP="00FA227A">
      <w:pPr>
        <w:pStyle w:val="FootnoteText"/>
        <w:jc w:val="left"/>
        <w:rPr>
          <w:sz w:val="16"/>
          <w:szCs w:val="16"/>
        </w:rPr>
      </w:pPr>
      <w:r w:rsidRPr="00CE608A">
        <w:rPr>
          <w:rStyle w:val="FootnoteReference"/>
          <w:sz w:val="16"/>
          <w:szCs w:val="16"/>
        </w:rPr>
        <w:footnoteRef/>
      </w:r>
      <w:r w:rsidRPr="00CE608A">
        <w:rPr>
          <w:sz w:val="16"/>
          <w:szCs w:val="16"/>
        </w:rPr>
        <w:t xml:space="preserve"> </w:t>
      </w:r>
      <w:proofErr w:type="spellStart"/>
      <w:r w:rsidRPr="00CE608A">
        <w:rPr>
          <w:sz w:val="16"/>
          <w:szCs w:val="16"/>
        </w:rPr>
        <w:t>Johar</w:t>
      </w:r>
      <w:proofErr w:type="spellEnd"/>
      <w:r w:rsidRPr="00CE608A">
        <w:rPr>
          <w:sz w:val="16"/>
          <w:szCs w:val="16"/>
        </w:rPr>
        <w:t xml:space="preserve"> v. Union of India, Supreme Court of India, 2018 (https://www.thehindu.com/news/national/article24880700.ece/binary/Sec377judgment.pdf, accessed on 5 October 2021).</w:t>
      </w:r>
    </w:p>
  </w:footnote>
  <w:footnote w:id="73">
    <w:p w14:paraId="61698862" w14:textId="219F1F59" w:rsidR="00DB50A3" w:rsidRPr="00CE608A" w:rsidRDefault="00DB50A3" w:rsidP="00FA227A">
      <w:pPr>
        <w:pStyle w:val="FootnoteText"/>
        <w:jc w:val="left"/>
        <w:rPr>
          <w:sz w:val="16"/>
          <w:szCs w:val="16"/>
        </w:rPr>
      </w:pPr>
      <w:r w:rsidRPr="00CE608A">
        <w:rPr>
          <w:rStyle w:val="FootnoteReference"/>
          <w:sz w:val="16"/>
          <w:szCs w:val="16"/>
        </w:rPr>
        <w:footnoteRef/>
      </w:r>
      <w:r w:rsidRPr="00CE608A">
        <w:rPr>
          <w:sz w:val="16"/>
          <w:szCs w:val="16"/>
          <w:lang w:val="en-US"/>
        </w:rPr>
        <w:t xml:space="preserve"> Davis, S</w:t>
      </w:r>
      <w:r w:rsidR="00A64999" w:rsidRPr="00CE608A">
        <w:rPr>
          <w:sz w:val="16"/>
          <w:szCs w:val="16"/>
          <w:lang w:val="en-US"/>
        </w:rPr>
        <w:t>L</w:t>
      </w:r>
      <w:r w:rsidR="00270E33" w:rsidRPr="00CE608A">
        <w:rPr>
          <w:sz w:val="16"/>
          <w:szCs w:val="16"/>
          <w:lang w:val="en-US"/>
        </w:rPr>
        <w:t>M</w:t>
      </w:r>
      <w:r w:rsidRPr="00CE608A">
        <w:rPr>
          <w:sz w:val="16"/>
          <w:szCs w:val="16"/>
          <w:lang w:val="en-US"/>
        </w:rPr>
        <w:t xml:space="preserve">. </w:t>
      </w:r>
      <w:r w:rsidRPr="00CE608A">
        <w:rPr>
          <w:sz w:val="16"/>
          <w:szCs w:val="16"/>
        </w:rPr>
        <w:t>The Uncounted</w:t>
      </w:r>
      <w:r w:rsidR="00270E33" w:rsidRPr="00CE608A">
        <w:rPr>
          <w:sz w:val="16"/>
          <w:szCs w:val="16"/>
        </w:rPr>
        <w:t>: Politics of Data in Global Health</w:t>
      </w:r>
      <w:r w:rsidRPr="00CE608A">
        <w:rPr>
          <w:sz w:val="16"/>
          <w:szCs w:val="16"/>
        </w:rPr>
        <w:t>.</w:t>
      </w:r>
      <w:r w:rsidR="00EE51FD" w:rsidRPr="00CE608A">
        <w:rPr>
          <w:sz w:val="16"/>
          <w:szCs w:val="16"/>
        </w:rPr>
        <w:t xml:space="preserve"> Cambridge</w:t>
      </w:r>
      <w:r w:rsidR="00543837" w:rsidRPr="00CE608A">
        <w:rPr>
          <w:sz w:val="16"/>
          <w:szCs w:val="16"/>
        </w:rPr>
        <w:t xml:space="preserve"> University Press</w:t>
      </w:r>
      <w:r w:rsidR="00EE51FD" w:rsidRPr="00CE608A">
        <w:rPr>
          <w:sz w:val="16"/>
          <w:szCs w:val="16"/>
        </w:rPr>
        <w:t>.</w:t>
      </w:r>
      <w:r w:rsidRPr="00CE608A">
        <w:rPr>
          <w:sz w:val="16"/>
          <w:szCs w:val="16"/>
        </w:rPr>
        <w:t xml:space="preserve"> 2020. </w:t>
      </w:r>
      <w:r w:rsidR="00A51444" w:rsidRPr="00CE608A">
        <w:rPr>
          <w:sz w:val="16"/>
          <w:szCs w:val="16"/>
        </w:rPr>
        <w:t>p.46</w:t>
      </w:r>
    </w:p>
  </w:footnote>
  <w:footnote w:id="74">
    <w:p w14:paraId="531200E1" w14:textId="21C78105" w:rsidR="00A64999" w:rsidRPr="00CE608A" w:rsidRDefault="00A64999" w:rsidP="00FA227A">
      <w:pPr>
        <w:pStyle w:val="FootnoteText"/>
        <w:jc w:val="left"/>
        <w:rPr>
          <w:sz w:val="16"/>
          <w:szCs w:val="16"/>
        </w:rPr>
      </w:pPr>
      <w:r w:rsidRPr="00CE608A">
        <w:rPr>
          <w:rStyle w:val="FootnoteReference"/>
          <w:sz w:val="16"/>
          <w:szCs w:val="16"/>
        </w:rPr>
        <w:footnoteRef/>
      </w:r>
      <w:r w:rsidRPr="00CE608A">
        <w:rPr>
          <w:sz w:val="16"/>
          <w:szCs w:val="16"/>
        </w:rPr>
        <w:t xml:space="preserve"> Davis SL, </w:t>
      </w:r>
      <w:proofErr w:type="spellStart"/>
      <w:r w:rsidRPr="00CE608A">
        <w:rPr>
          <w:sz w:val="16"/>
          <w:szCs w:val="16"/>
        </w:rPr>
        <w:t>Goedel</w:t>
      </w:r>
      <w:proofErr w:type="spellEnd"/>
      <w:r w:rsidRPr="00CE608A">
        <w:rPr>
          <w:sz w:val="16"/>
          <w:szCs w:val="16"/>
        </w:rPr>
        <w:t xml:space="preserve"> WC, Emerson J, </w:t>
      </w:r>
      <w:proofErr w:type="spellStart"/>
      <w:r w:rsidRPr="00CE608A">
        <w:rPr>
          <w:sz w:val="16"/>
          <w:szCs w:val="16"/>
        </w:rPr>
        <w:t>Guven</w:t>
      </w:r>
      <w:proofErr w:type="spellEnd"/>
      <w:r w:rsidRPr="00CE608A">
        <w:rPr>
          <w:sz w:val="16"/>
          <w:szCs w:val="16"/>
        </w:rPr>
        <w:t xml:space="preserve"> BS. Punitive laws, key population size estimates, and Global AIDS Response Progress Reports: an ecological study of 154 countries. J Int AIDS Soc. 2017;20(1):1–8.</w:t>
      </w:r>
    </w:p>
  </w:footnote>
  <w:footnote w:id="75">
    <w:p w14:paraId="6A8B1CFE" w14:textId="1B383338" w:rsidR="00613411" w:rsidRPr="00CE608A" w:rsidRDefault="00613411" w:rsidP="00FA227A">
      <w:pPr>
        <w:pStyle w:val="FootnoteText"/>
        <w:rPr>
          <w:sz w:val="16"/>
          <w:szCs w:val="16"/>
        </w:rPr>
      </w:pPr>
      <w:r w:rsidRPr="00CE608A">
        <w:rPr>
          <w:rStyle w:val="FootnoteReference"/>
          <w:sz w:val="16"/>
          <w:szCs w:val="16"/>
        </w:rPr>
        <w:footnoteRef/>
      </w:r>
      <w:r w:rsidRPr="00CE608A">
        <w:rPr>
          <w:sz w:val="16"/>
          <w:szCs w:val="16"/>
        </w:rPr>
        <w:t xml:space="preserve"> This analysis estimated that approximately 50% of the population of gay men and other MSM, 80% of transwomen, 50% of sex workers and 55% of people who inject drugs are missing from national population estimates.</w:t>
      </w:r>
    </w:p>
  </w:footnote>
  <w:footnote w:id="76">
    <w:p w14:paraId="57FA5032" w14:textId="0D61395C" w:rsidR="00676F2E" w:rsidRPr="00CE608A" w:rsidRDefault="00676F2E">
      <w:pPr>
        <w:pStyle w:val="FootnoteText"/>
        <w:rPr>
          <w:sz w:val="16"/>
          <w:szCs w:val="16"/>
          <w:lang w:val="en-US"/>
        </w:rPr>
      </w:pPr>
      <w:r w:rsidRPr="00CE608A">
        <w:rPr>
          <w:rStyle w:val="FootnoteReference"/>
          <w:sz w:val="16"/>
          <w:szCs w:val="16"/>
        </w:rPr>
        <w:footnoteRef/>
      </w:r>
      <w:r w:rsidRPr="00CE608A">
        <w:rPr>
          <w:sz w:val="16"/>
          <w:szCs w:val="16"/>
        </w:rPr>
        <w:t xml:space="preserve"> </w:t>
      </w:r>
      <w:r w:rsidR="008A4291" w:rsidRPr="00CE608A">
        <w:rPr>
          <w:sz w:val="16"/>
          <w:szCs w:val="16"/>
        </w:rPr>
        <w:t>WHO/The Global Fund TFATM, State of Inequality: HIV, Tuberculosis and Malaria, Geneva, 2021. p.56.</w:t>
      </w:r>
    </w:p>
  </w:footnote>
  <w:footnote w:id="77">
    <w:p w14:paraId="53500A67" w14:textId="77777777" w:rsidR="00B35A1A" w:rsidRPr="00CE608A" w:rsidRDefault="00B35A1A" w:rsidP="00FA227A">
      <w:pPr>
        <w:pStyle w:val="FootnoteText"/>
        <w:jc w:val="left"/>
        <w:rPr>
          <w:sz w:val="16"/>
          <w:szCs w:val="16"/>
        </w:rPr>
      </w:pPr>
      <w:r w:rsidRPr="00CE608A">
        <w:rPr>
          <w:rStyle w:val="FootnoteReference"/>
          <w:sz w:val="16"/>
          <w:szCs w:val="16"/>
        </w:rPr>
        <w:footnoteRef/>
      </w:r>
      <w:r w:rsidRPr="00CE608A">
        <w:rPr>
          <w:sz w:val="16"/>
          <w:szCs w:val="16"/>
        </w:rPr>
        <w:t xml:space="preserve"> During the International AIDS Conference 2018 in Amsterdam, The Netherlands the latest version of the tool was launched. The makeover reflects the latest context in the HIV response globally. The revision process was supported by Population Council and PEPFAR and launched as the PLHIV Stigma Index 2.0.</w:t>
      </w:r>
    </w:p>
  </w:footnote>
  <w:footnote w:id="78">
    <w:p w14:paraId="1D121DE8" w14:textId="53613B92" w:rsidR="000F6C47" w:rsidRPr="00CE608A" w:rsidRDefault="000F6C47"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Stigma and discrimination among health care providers and people living with HIV in </w:t>
      </w:r>
      <w:proofErr w:type="gramStart"/>
      <w:r w:rsidRPr="00CE608A">
        <w:rPr>
          <w:sz w:val="16"/>
          <w:szCs w:val="16"/>
        </w:rPr>
        <w:t>health-care</w:t>
      </w:r>
      <w:proofErr w:type="gramEnd"/>
      <w:r w:rsidRPr="00CE608A">
        <w:rPr>
          <w:sz w:val="16"/>
          <w:szCs w:val="16"/>
        </w:rPr>
        <w:t xml:space="preserve"> setting in Thailand: Comparison of findings from 2014–2015 and 2017. Bangkok: Department of Disease Control, Ministry of Public Health; 2018 (https://hivhub.ddc.moph.go.th/Download/Report/S_D/2_UNAIDS_Final_S_D_Final_Health_care_sett ings_Comparison_a5.pdf, accessed 01 November 2021).</w:t>
      </w:r>
    </w:p>
  </w:footnote>
  <w:footnote w:id="79">
    <w:p w14:paraId="03F74C1E" w14:textId="4BE64591" w:rsidR="000F6C47" w:rsidRPr="00CE608A" w:rsidRDefault="000F6C47"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Investigation report of the forced sterilisation of women with HIV/AIDS in South Africa. Johannesburg: Commission on Gender Equality; 2021 (http://cge.org.za/wpcontent/uploads/2021/01/forced-sterilisation-of-women-living-with-hiv-and-aids-in-south-africa.pdf, accessed on 5 October 2021).</w:t>
      </w:r>
    </w:p>
  </w:footnote>
  <w:footnote w:id="80">
    <w:p w14:paraId="7FCF3FDB" w14:textId="0B737C23" w:rsidR="00FB07AB" w:rsidRPr="00CE608A" w:rsidRDefault="00FB07AB" w:rsidP="00FA227A">
      <w:pPr>
        <w:pStyle w:val="NormalWeb"/>
        <w:spacing w:before="0" w:beforeAutospacing="0" w:after="0" w:afterAutospacing="0"/>
        <w:jc w:val="left"/>
        <w:rPr>
          <w:rFonts w:asciiTheme="minorHAnsi" w:hAnsiTheme="minorHAnsi" w:cstheme="minorHAnsi"/>
          <w:sz w:val="16"/>
          <w:szCs w:val="16"/>
        </w:rPr>
      </w:pPr>
      <w:r w:rsidRPr="00CE608A">
        <w:rPr>
          <w:rStyle w:val="FootnoteReference"/>
          <w:rFonts w:asciiTheme="minorHAnsi" w:hAnsiTheme="minorHAnsi" w:cstheme="minorHAnsi"/>
          <w:sz w:val="16"/>
          <w:szCs w:val="16"/>
        </w:rPr>
        <w:footnoteRef/>
      </w:r>
      <w:r w:rsidRPr="00CE608A">
        <w:rPr>
          <w:rFonts w:asciiTheme="minorHAnsi" w:hAnsiTheme="minorHAnsi" w:cstheme="minorHAnsi"/>
          <w:sz w:val="16"/>
          <w:szCs w:val="16"/>
          <w:lang w:val="es-ES"/>
        </w:rPr>
        <w:t xml:space="preserve"> Luciano D, Negrete M, Vázquez M, Hale F, Salas J, </w:t>
      </w:r>
      <w:proofErr w:type="spellStart"/>
      <w:r w:rsidRPr="00CE608A">
        <w:rPr>
          <w:rFonts w:asciiTheme="minorHAnsi" w:hAnsiTheme="minorHAnsi" w:cstheme="minorHAnsi"/>
          <w:sz w:val="16"/>
          <w:szCs w:val="16"/>
          <w:lang w:val="es-ES"/>
        </w:rPr>
        <w:t>Alvárez-Rudín</w:t>
      </w:r>
      <w:proofErr w:type="spellEnd"/>
      <w:r w:rsidRPr="00CE608A">
        <w:rPr>
          <w:rFonts w:asciiTheme="minorHAnsi" w:hAnsiTheme="minorHAnsi" w:cstheme="minorHAnsi"/>
          <w:sz w:val="16"/>
          <w:szCs w:val="16"/>
          <w:lang w:val="es-ES"/>
        </w:rPr>
        <w:t xml:space="preserve"> M et al. Estudio regional sobre violencia y mujeres con VIH en América Latina. </w:t>
      </w:r>
      <w:r w:rsidRPr="00CE608A">
        <w:rPr>
          <w:rFonts w:asciiTheme="minorHAnsi" w:hAnsiTheme="minorHAnsi" w:cstheme="minorHAnsi"/>
          <w:sz w:val="16"/>
          <w:szCs w:val="16"/>
        </w:rPr>
        <w:t xml:space="preserve">Managua: ICW Latina, HIVOS, Development Connections y Salamander Trust; 2019; </w:t>
      </w:r>
      <w:r w:rsidR="0053473B" w:rsidRPr="00CE608A">
        <w:rPr>
          <w:rFonts w:asciiTheme="minorHAnsi" w:hAnsiTheme="minorHAnsi" w:cstheme="minorHAnsi"/>
          <w:sz w:val="16"/>
          <w:szCs w:val="16"/>
        </w:rPr>
        <w:t xml:space="preserve">For a short summary, </w:t>
      </w:r>
      <w:r w:rsidRPr="00CE608A">
        <w:rPr>
          <w:rFonts w:asciiTheme="minorHAnsi" w:hAnsiTheme="minorHAnsi" w:cstheme="minorHAnsi"/>
          <w:sz w:val="16"/>
          <w:szCs w:val="16"/>
        </w:rPr>
        <w:t xml:space="preserve">see also </w:t>
      </w:r>
      <w:r w:rsidRPr="00CE608A">
        <w:rPr>
          <w:rFonts w:asciiTheme="minorHAnsi" w:hAnsiTheme="minorHAnsi" w:cstheme="minorHAnsi"/>
          <w:i/>
          <w:iCs/>
          <w:sz w:val="16"/>
          <w:szCs w:val="16"/>
        </w:rPr>
        <w:t xml:space="preserve">Box 3: New insights: violence against women living with HIV in Latin America </w:t>
      </w:r>
      <w:r w:rsidRPr="00CE608A">
        <w:rPr>
          <w:rFonts w:asciiTheme="minorHAnsi" w:hAnsiTheme="minorHAnsi" w:cstheme="minorHAnsi"/>
          <w:sz w:val="16"/>
          <w:szCs w:val="16"/>
        </w:rPr>
        <w:t xml:space="preserve">in </w:t>
      </w:r>
      <w:r w:rsidRPr="00CE608A">
        <w:rPr>
          <w:rFonts w:asciiTheme="minorHAnsi" w:hAnsiTheme="minorHAnsi" w:cstheme="minorHAnsi"/>
          <w:i/>
          <w:iCs/>
          <w:sz w:val="16"/>
          <w:szCs w:val="16"/>
        </w:rPr>
        <w:t xml:space="preserve">We’ve Got the Power </w:t>
      </w:r>
      <w:r w:rsidRPr="00CE608A">
        <w:rPr>
          <w:rFonts w:asciiTheme="minorHAnsi" w:hAnsiTheme="minorHAnsi" w:cstheme="minorHAnsi"/>
          <w:sz w:val="16"/>
          <w:szCs w:val="16"/>
        </w:rPr>
        <w:t xml:space="preserve">— </w:t>
      </w:r>
      <w:r w:rsidRPr="00CE608A">
        <w:rPr>
          <w:rFonts w:asciiTheme="minorHAnsi" w:hAnsiTheme="minorHAnsi" w:cstheme="minorHAnsi"/>
          <w:i/>
          <w:iCs/>
          <w:sz w:val="16"/>
          <w:szCs w:val="16"/>
        </w:rPr>
        <w:t xml:space="preserve">Women, adolescent </w:t>
      </w:r>
      <w:proofErr w:type="gramStart"/>
      <w:r w:rsidRPr="00CE608A">
        <w:rPr>
          <w:rFonts w:asciiTheme="minorHAnsi" w:hAnsiTheme="minorHAnsi" w:cstheme="minorHAnsi"/>
          <w:i/>
          <w:iCs/>
          <w:sz w:val="16"/>
          <w:szCs w:val="16"/>
        </w:rPr>
        <w:t>girls</w:t>
      </w:r>
      <w:proofErr w:type="gramEnd"/>
      <w:r w:rsidRPr="00CE608A">
        <w:rPr>
          <w:rFonts w:asciiTheme="minorHAnsi" w:hAnsiTheme="minorHAnsi" w:cstheme="minorHAnsi"/>
          <w:i/>
          <w:iCs/>
          <w:sz w:val="16"/>
          <w:szCs w:val="16"/>
        </w:rPr>
        <w:t xml:space="preserve"> and the HIV response. </w:t>
      </w:r>
      <w:r w:rsidRPr="00CE608A">
        <w:rPr>
          <w:rFonts w:asciiTheme="minorHAnsi" w:hAnsiTheme="minorHAnsi" w:cstheme="minorHAnsi"/>
          <w:sz w:val="16"/>
          <w:szCs w:val="16"/>
        </w:rPr>
        <w:t>Geneva: UNAIDS 2020.</w:t>
      </w:r>
    </w:p>
  </w:footnote>
  <w:footnote w:id="81">
    <w:p w14:paraId="7766E088" w14:textId="4A542F4B" w:rsidR="00785E28" w:rsidRPr="00CE608A" w:rsidRDefault="00785E28"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LM v ATTORNEY GENERAL OF BOTSWANA: Challenging Criminalisation of Same-sex Sexual Relationships Fact Sheet (https://www.southernafricalitigationcentre.org/wpcontent/uploads/2018/05/Fact-Sheet-1.pdf)</w:t>
      </w:r>
    </w:p>
  </w:footnote>
  <w:footnote w:id="82">
    <w:p w14:paraId="40ABE38A" w14:textId="77777777" w:rsidR="00B35A1A" w:rsidRPr="00CE608A" w:rsidRDefault="00B35A1A" w:rsidP="00FA227A">
      <w:pPr>
        <w:pStyle w:val="FootnoteText"/>
        <w:jc w:val="left"/>
        <w:rPr>
          <w:sz w:val="16"/>
          <w:szCs w:val="16"/>
        </w:rPr>
      </w:pPr>
      <w:r w:rsidRPr="00CE608A">
        <w:rPr>
          <w:rStyle w:val="FootnoteReference"/>
          <w:sz w:val="16"/>
          <w:szCs w:val="16"/>
        </w:rPr>
        <w:footnoteRef/>
      </w:r>
      <w:r w:rsidRPr="00CE608A">
        <w:rPr>
          <w:sz w:val="16"/>
          <w:szCs w:val="16"/>
        </w:rPr>
        <w:t xml:space="preserve"> UNAIDS Internal Data</w:t>
      </w:r>
    </w:p>
  </w:footnote>
  <w:footnote w:id="83">
    <w:p w14:paraId="46931A3F" w14:textId="77777777" w:rsidR="00F33182" w:rsidRPr="00CE608A" w:rsidRDefault="00F33182"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The Global Partnership is co-convened by heads of agencies of the Global Network of People living with HIV (GNP+), the Joint United Nations Programme on HIV/AIDS (UNAIDS), the United Nations Entity for Gender Equality and the Empowerment of Women (UN Women), and the United Nations Development Programme (UNDP), and with leadership and technical support of the nongovernmental organization delegation to the UNAIDS Programme Coordinating Board (PCB). In September 2021, the Global Fund formally joined as co-convener of the Global Partnership. This will strengthen coordination and increase the scale of technical assistance and investments to eliminate HIV-related stigma and discrimination, including in the 28 countries that have joined the Global Partnership.</w:t>
      </w:r>
    </w:p>
  </w:footnote>
  <w:footnote w:id="84">
    <w:p w14:paraId="72474FDF" w14:textId="043C0951" w:rsidR="003F4A3A" w:rsidRPr="00CE608A" w:rsidRDefault="003F4A3A" w:rsidP="00FA227A">
      <w:pPr>
        <w:pStyle w:val="FootnoteText"/>
        <w:rPr>
          <w:sz w:val="16"/>
          <w:szCs w:val="16"/>
        </w:rPr>
      </w:pPr>
      <w:r w:rsidRPr="00CE608A">
        <w:rPr>
          <w:rStyle w:val="FootnoteReference"/>
          <w:sz w:val="16"/>
          <w:szCs w:val="16"/>
        </w:rPr>
        <w:footnoteRef/>
      </w:r>
      <w:r w:rsidRPr="00CE608A">
        <w:rPr>
          <w:sz w:val="16"/>
          <w:szCs w:val="16"/>
        </w:rPr>
        <w:t xml:space="preserve"> Global Commission on HIV and the Law. Risks, rights &amp; health, 2012 and 2018 supplement.</w:t>
      </w:r>
    </w:p>
  </w:footnote>
  <w:footnote w:id="85">
    <w:p w14:paraId="51498045" w14:textId="02285CAF" w:rsidR="003F4A3A" w:rsidRPr="00CE608A" w:rsidRDefault="003F4A3A" w:rsidP="00FA227A">
      <w:pPr>
        <w:pStyle w:val="FootnoteText"/>
        <w:rPr>
          <w:sz w:val="16"/>
          <w:szCs w:val="16"/>
        </w:rPr>
      </w:pPr>
      <w:r w:rsidRPr="00CE608A">
        <w:rPr>
          <w:rStyle w:val="FootnoteReference"/>
          <w:sz w:val="16"/>
          <w:szCs w:val="16"/>
        </w:rPr>
        <w:footnoteRef/>
      </w:r>
      <w:r w:rsidRPr="00CE608A">
        <w:rPr>
          <w:sz w:val="16"/>
          <w:szCs w:val="16"/>
        </w:rPr>
        <w:t xml:space="preserve"> </w:t>
      </w:r>
      <w:r w:rsidR="00A96C15" w:rsidRPr="00CE608A">
        <w:rPr>
          <w:sz w:val="16"/>
          <w:szCs w:val="16"/>
        </w:rPr>
        <w:t xml:space="preserve">Platt L, Grenfell P, </w:t>
      </w:r>
      <w:proofErr w:type="spellStart"/>
      <w:r w:rsidR="00A96C15" w:rsidRPr="00CE608A">
        <w:rPr>
          <w:sz w:val="16"/>
          <w:szCs w:val="16"/>
        </w:rPr>
        <w:t>Meiksin</w:t>
      </w:r>
      <w:proofErr w:type="spellEnd"/>
      <w:r w:rsidR="00A96C15" w:rsidRPr="00CE608A">
        <w:rPr>
          <w:sz w:val="16"/>
          <w:szCs w:val="16"/>
        </w:rPr>
        <w:t xml:space="preserve"> R, </w:t>
      </w:r>
      <w:proofErr w:type="spellStart"/>
      <w:r w:rsidR="00A96C15" w:rsidRPr="00CE608A">
        <w:rPr>
          <w:sz w:val="16"/>
          <w:szCs w:val="16"/>
        </w:rPr>
        <w:t>Elmes</w:t>
      </w:r>
      <w:proofErr w:type="spellEnd"/>
      <w:r w:rsidR="00A96C15" w:rsidRPr="00CE608A">
        <w:rPr>
          <w:sz w:val="16"/>
          <w:szCs w:val="16"/>
        </w:rPr>
        <w:t xml:space="preserve"> J, Sherman SG, Sanders T, et al. Associations between sex work laws and sex workers’ health: a systematic review and meta-analysis of quantitative and qualitative studies. PLOS Med. 2018;15(12</w:t>
      </w:r>
      <w:proofErr w:type="gramStart"/>
      <w:r w:rsidR="00A96C15" w:rsidRPr="00CE608A">
        <w:rPr>
          <w:sz w:val="16"/>
          <w:szCs w:val="16"/>
        </w:rPr>
        <w:t>):e</w:t>
      </w:r>
      <w:proofErr w:type="gramEnd"/>
      <w:r w:rsidR="00A96C15" w:rsidRPr="00CE608A">
        <w:rPr>
          <w:sz w:val="16"/>
          <w:szCs w:val="16"/>
        </w:rPr>
        <w:t>1002680.</w:t>
      </w:r>
    </w:p>
  </w:footnote>
  <w:footnote w:id="86">
    <w:p w14:paraId="3D775CE4" w14:textId="67D12432" w:rsidR="00C1329E" w:rsidRPr="00CE608A" w:rsidRDefault="00A96C15" w:rsidP="00FA227A">
      <w:pPr>
        <w:pStyle w:val="FootnoteText"/>
        <w:rPr>
          <w:sz w:val="16"/>
          <w:szCs w:val="16"/>
        </w:rPr>
      </w:pPr>
      <w:r w:rsidRPr="00CE608A">
        <w:rPr>
          <w:rStyle w:val="FootnoteReference"/>
          <w:sz w:val="16"/>
          <w:szCs w:val="16"/>
        </w:rPr>
        <w:footnoteRef/>
      </w:r>
      <w:r w:rsidRPr="00CE608A">
        <w:rPr>
          <w:sz w:val="16"/>
          <w:szCs w:val="16"/>
        </w:rPr>
        <w:t xml:space="preserve"> </w:t>
      </w:r>
      <w:r w:rsidR="00C1329E" w:rsidRPr="00CE608A">
        <w:rPr>
          <w:sz w:val="16"/>
          <w:szCs w:val="16"/>
        </w:rPr>
        <w:t xml:space="preserve">Shannon K, </w:t>
      </w:r>
      <w:proofErr w:type="spellStart"/>
      <w:r w:rsidR="00C1329E" w:rsidRPr="00CE608A">
        <w:rPr>
          <w:sz w:val="16"/>
          <w:szCs w:val="16"/>
        </w:rPr>
        <w:t>Strathdee</w:t>
      </w:r>
      <w:proofErr w:type="spellEnd"/>
      <w:r w:rsidR="00C1329E" w:rsidRPr="00CE608A">
        <w:rPr>
          <w:sz w:val="16"/>
          <w:szCs w:val="16"/>
        </w:rPr>
        <w:t xml:space="preserve"> SA, Goldenberg SM, Duff P, Mwangi </w:t>
      </w:r>
      <w:r w:rsidR="00C1329E" w:rsidRPr="00CE608A">
        <w:rPr>
          <w:sz w:val="16"/>
          <w:szCs w:val="16"/>
          <w:lang w:val="en-US"/>
        </w:rPr>
        <w:t xml:space="preserve">P, </w:t>
      </w:r>
      <w:proofErr w:type="spellStart"/>
      <w:r w:rsidR="00C1329E" w:rsidRPr="00CE608A">
        <w:rPr>
          <w:sz w:val="16"/>
          <w:szCs w:val="16"/>
          <w:lang w:val="en-US"/>
        </w:rPr>
        <w:t>Rusakova</w:t>
      </w:r>
      <w:proofErr w:type="spellEnd"/>
      <w:r w:rsidR="00C1329E" w:rsidRPr="00CE608A">
        <w:rPr>
          <w:sz w:val="16"/>
          <w:szCs w:val="16"/>
          <w:lang w:val="en-US"/>
        </w:rPr>
        <w:t xml:space="preserve"> </w:t>
      </w:r>
      <w:proofErr w:type="spellStart"/>
      <w:proofErr w:type="gramStart"/>
      <w:r w:rsidR="00C1329E" w:rsidRPr="00CE608A">
        <w:rPr>
          <w:sz w:val="16"/>
          <w:szCs w:val="16"/>
          <w:lang w:val="en-US"/>
        </w:rPr>
        <w:t>M,et</w:t>
      </w:r>
      <w:proofErr w:type="spellEnd"/>
      <w:r w:rsidR="00C1329E" w:rsidRPr="00CE608A">
        <w:rPr>
          <w:sz w:val="16"/>
          <w:szCs w:val="16"/>
          <w:lang w:val="en-US"/>
        </w:rPr>
        <w:t xml:space="preserve"> al.</w:t>
      </w:r>
      <w:proofErr w:type="gramEnd"/>
      <w:r w:rsidR="00C1329E" w:rsidRPr="00CE608A">
        <w:rPr>
          <w:sz w:val="16"/>
          <w:szCs w:val="16"/>
          <w:lang w:val="en-US"/>
        </w:rPr>
        <w:t xml:space="preserve"> </w:t>
      </w:r>
      <w:r w:rsidR="00C1329E" w:rsidRPr="00CE608A">
        <w:rPr>
          <w:sz w:val="16"/>
          <w:szCs w:val="16"/>
        </w:rPr>
        <w:t>Global epidemiology of HIV among</w:t>
      </w:r>
    </w:p>
    <w:p w14:paraId="1DD1CD4F" w14:textId="214631BB" w:rsidR="00A96C15" w:rsidRPr="00CE608A" w:rsidRDefault="00C1329E" w:rsidP="00FA227A">
      <w:pPr>
        <w:pStyle w:val="FootnoteText"/>
        <w:rPr>
          <w:sz w:val="16"/>
          <w:szCs w:val="16"/>
        </w:rPr>
      </w:pPr>
      <w:r w:rsidRPr="00CE608A">
        <w:rPr>
          <w:sz w:val="16"/>
          <w:szCs w:val="16"/>
        </w:rPr>
        <w:t>female sex workers: influence of structural determinants. Lancet. 2015;385(9962):55–71.</w:t>
      </w:r>
    </w:p>
  </w:footnote>
  <w:footnote w:id="87">
    <w:p w14:paraId="7171775A" w14:textId="4D94FC3E" w:rsidR="00C1329E" w:rsidRPr="00CE608A" w:rsidRDefault="00C1329E" w:rsidP="00FA227A">
      <w:pPr>
        <w:autoSpaceDE w:val="0"/>
        <w:autoSpaceDN w:val="0"/>
        <w:adjustRightInd w:val="0"/>
        <w:spacing w:after="0" w:line="240" w:lineRule="auto"/>
        <w:jc w:val="left"/>
        <w:rPr>
          <w:sz w:val="16"/>
          <w:szCs w:val="16"/>
          <w:lang w:val="en-GB"/>
        </w:rPr>
      </w:pPr>
      <w:r w:rsidRPr="00CE608A">
        <w:rPr>
          <w:rStyle w:val="FootnoteReference"/>
          <w:sz w:val="16"/>
          <w:szCs w:val="16"/>
        </w:rPr>
        <w:footnoteRef/>
      </w:r>
      <w:r w:rsidRPr="00CE608A">
        <w:rPr>
          <w:sz w:val="16"/>
          <w:szCs w:val="16"/>
        </w:rPr>
        <w:t xml:space="preserve"> Lyons CE, Schwartz SR, Murray SM, Shannon K, Diouf D, </w:t>
      </w:r>
      <w:proofErr w:type="spellStart"/>
      <w:r w:rsidRPr="00CE608A">
        <w:rPr>
          <w:sz w:val="16"/>
          <w:szCs w:val="16"/>
        </w:rPr>
        <w:t>Mothopeng</w:t>
      </w:r>
      <w:proofErr w:type="spellEnd"/>
      <w:r w:rsidRPr="00CE608A">
        <w:rPr>
          <w:sz w:val="16"/>
          <w:szCs w:val="16"/>
        </w:rPr>
        <w:t xml:space="preserve"> T, et al. The role of sex work laws and stigmas in increasing HIV risks among sex workers. Nat </w:t>
      </w:r>
      <w:proofErr w:type="spellStart"/>
      <w:r w:rsidRPr="00CE608A">
        <w:rPr>
          <w:sz w:val="16"/>
          <w:szCs w:val="16"/>
        </w:rPr>
        <w:t>Commun</w:t>
      </w:r>
      <w:proofErr w:type="spellEnd"/>
      <w:r w:rsidRPr="00CE608A">
        <w:rPr>
          <w:sz w:val="16"/>
          <w:szCs w:val="16"/>
        </w:rPr>
        <w:t>. 2020;11(1):773.</w:t>
      </w:r>
    </w:p>
  </w:footnote>
  <w:footnote w:id="88">
    <w:p w14:paraId="634404BB" w14:textId="77777777" w:rsidR="00E86187" w:rsidRPr="00CE608A" w:rsidRDefault="00E86187"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Shannon K, </w:t>
      </w:r>
      <w:proofErr w:type="spellStart"/>
      <w:r w:rsidRPr="00CE608A">
        <w:rPr>
          <w:sz w:val="16"/>
          <w:szCs w:val="16"/>
        </w:rPr>
        <w:t>Strathdee</w:t>
      </w:r>
      <w:proofErr w:type="spellEnd"/>
      <w:r w:rsidRPr="00CE608A">
        <w:rPr>
          <w:sz w:val="16"/>
          <w:szCs w:val="16"/>
        </w:rPr>
        <w:t xml:space="preserve"> SA, Goldenberg, SM, Duff P, Mwangi P, </w:t>
      </w:r>
      <w:proofErr w:type="spellStart"/>
      <w:r w:rsidRPr="00CE608A">
        <w:rPr>
          <w:sz w:val="16"/>
          <w:szCs w:val="16"/>
        </w:rPr>
        <w:t>Rusakova</w:t>
      </w:r>
      <w:proofErr w:type="spellEnd"/>
      <w:r w:rsidRPr="00CE608A">
        <w:rPr>
          <w:sz w:val="16"/>
          <w:szCs w:val="16"/>
        </w:rPr>
        <w:t xml:space="preserve"> M et al. Global epidemiology of HIV among female sex workers: influence of structural determinants. Lancet. </w:t>
      </w:r>
      <w:proofErr w:type="gramStart"/>
      <w:r w:rsidRPr="00CE608A">
        <w:rPr>
          <w:sz w:val="16"/>
          <w:szCs w:val="16"/>
        </w:rPr>
        <w:t>2015;385:55</w:t>
      </w:r>
      <w:proofErr w:type="gramEnd"/>
      <w:r w:rsidRPr="00CE608A">
        <w:rPr>
          <w:sz w:val="16"/>
          <w:szCs w:val="16"/>
        </w:rPr>
        <w:t>-71.</w:t>
      </w:r>
    </w:p>
  </w:footnote>
  <w:footnote w:id="89">
    <w:p w14:paraId="11790FFB" w14:textId="010C3691" w:rsidR="00942632" w:rsidRPr="00CE608A" w:rsidRDefault="00942632" w:rsidP="00FA227A">
      <w:pPr>
        <w:pStyle w:val="FootnoteText"/>
        <w:rPr>
          <w:sz w:val="16"/>
          <w:szCs w:val="16"/>
        </w:rPr>
      </w:pPr>
      <w:r w:rsidRPr="00CE608A">
        <w:rPr>
          <w:rStyle w:val="FootnoteReference"/>
          <w:sz w:val="16"/>
          <w:szCs w:val="16"/>
        </w:rPr>
        <w:footnoteRef/>
      </w:r>
      <w:r w:rsidRPr="00CE608A">
        <w:rPr>
          <w:sz w:val="16"/>
          <w:szCs w:val="16"/>
        </w:rPr>
        <w:t xml:space="preserve"> International Network of People who Use Drugs. Drug decriminalisation: Progress or political red herring?</w:t>
      </w:r>
      <w:r w:rsidR="0028386D" w:rsidRPr="00CE608A">
        <w:rPr>
          <w:sz w:val="16"/>
          <w:szCs w:val="16"/>
        </w:rPr>
        <w:t xml:space="preserve"> London, March 2021. </w:t>
      </w:r>
    </w:p>
  </w:footnote>
  <w:footnote w:id="90">
    <w:p w14:paraId="74E02595" w14:textId="4C6F43FD" w:rsidR="002C54CB" w:rsidRPr="00CE608A" w:rsidRDefault="002C54CB" w:rsidP="00FA227A">
      <w:pPr>
        <w:pStyle w:val="FootnoteText"/>
        <w:rPr>
          <w:sz w:val="16"/>
          <w:szCs w:val="16"/>
        </w:rPr>
      </w:pPr>
      <w:r w:rsidRPr="00CE608A">
        <w:rPr>
          <w:rStyle w:val="FootnoteReference"/>
          <w:sz w:val="16"/>
          <w:szCs w:val="16"/>
        </w:rPr>
        <w:footnoteRef/>
      </w:r>
      <w:r w:rsidRPr="00CE608A">
        <w:rPr>
          <w:sz w:val="16"/>
          <w:szCs w:val="16"/>
        </w:rPr>
        <w:t xml:space="preserve"> </w:t>
      </w:r>
      <w:r w:rsidR="007D6DA3" w:rsidRPr="00CE608A">
        <w:rPr>
          <w:sz w:val="16"/>
          <w:szCs w:val="16"/>
        </w:rPr>
        <w:t>Working Group on Arbitrary Detention</w:t>
      </w:r>
      <w:r w:rsidR="00867155" w:rsidRPr="00CE608A">
        <w:rPr>
          <w:sz w:val="16"/>
          <w:szCs w:val="16"/>
        </w:rPr>
        <w:t>. Study on arbitrary detention relating to drug policies. OHCHR. Geneva, 2021.</w:t>
      </w:r>
      <w:r w:rsidR="00821126" w:rsidRPr="00CE608A">
        <w:rPr>
          <w:sz w:val="16"/>
          <w:szCs w:val="16"/>
        </w:rPr>
        <w:t xml:space="preserve"> p.12.</w:t>
      </w:r>
      <w:r w:rsidR="00867155" w:rsidRPr="00CE608A">
        <w:rPr>
          <w:sz w:val="16"/>
          <w:szCs w:val="16"/>
        </w:rPr>
        <w:t xml:space="preserve"> Available at </w:t>
      </w:r>
      <w:hyperlink r:id="rId8" w:history="1">
        <w:r w:rsidR="00867155" w:rsidRPr="00CE608A">
          <w:rPr>
            <w:rStyle w:val="Hyperlink"/>
            <w:sz w:val="16"/>
            <w:szCs w:val="16"/>
          </w:rPr>
          <w:t>OHCHR | Study on arbitrary detention relating to drug policies</w:t>
        </w:r>
      </w:hyperlink>
      <w:r w:rsidR="00867155" w:rsidRPr="00CE608A">
        <w:rPr>
          <w:sz w:val="16"/>
          <w:szCs w:val="16"/>
        </w:rPr>
        <w:t xml:space="preserve"> </w:t>
      </w:r>
    </w:p>
  </w:footnote>
  <w:footnote w:id="91">
    <w:p w14:paraId="3D78D216" w14:textId="74492EBB" w:rsidR="00553E7B" w:rsidRPr="00CE608A" w:rsidRDefault="00553E7B" w:rsidP="00FA227A">
      <w:pPr>
        <w:pStyle w:val="FootnoteText"/>
        <w:rPr>
          <w:sz w:val="16"/>
          <w:szCs w:val="16"/>
          <w:lang w:val="en-US"/>
        </w:rPr>
      </w:pPr>
      <w:r w:rsidRPr="00CE608A">
        <w:rPr>
          <w:rStyle w:val="FootnoteReference"/>
          <w:sz w:val="16"/>
          <w:szCs w:val="16"/>
        </w:rPr>
        <w:footnoteRef/>
      </w:r>
      <w:r w:rsidRPr="00CE608A">
        <w:rPr>
          <w:sz w:val="16"/>
          <w:szCs w:val="16"/>
        </w:rPr>
        <w:t xml:space="preserve"> </w:t>
      </w:r>
      <w:r w:rsidRPr="00CE608A">
        <w:rPr>
          <w:sz w:val="16"/>
          <w:szCs w:val="16"/>
          <w:lang w:val="en-US"/>
        </w:rPr>
        <w:t>African Court of Human and Peoples’ Rights Advisory opinion - 001/2018 - Introduced by The PAN AFRICAN LAWYERS UNION (PALU)</w:t>
      </w:r>
      <w:r w:rsidR="000F57BD" w:rsidRPr="00CE608A">
        <w:rPr>
          <w:sz w:val="16"/>
          <w:szCs w:val="16"/>
          <w:lang w:val="en-US"/>
        </w:rPr>
        <w:t>. December 4, 2020.</w:t>
      </w:r>
    </w:p>
  </w:footnote>
  <w:footnote w:id="92">
    <w:p w14:paraId="74004511" w14:textId="77777777" w:rsidR="00E86187" w:rsidRPr="00CE608A" w:rsidRDefault="00E86187"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Platt L, Grenfell P, </w:t>
      </w:r>
      <w:proofErr w:type="spellStart"/>
      <w:r w:rsidRPr="00CE608A">
        <w:rPr>
          <w:sz w:val="16"/>
          <w:szCs w:val="16"/>
        </w:rPr>
        <w:t>Meiksin</w:t>
      </w:r>
      <w:proofErr w:type="spellEnd"/>
      <w:r w:rsidRPr="00CE608A">
        <w:rPr>
          <w:sz w:val="16"/>
          <w:szCs w:val="16"/>
        </w:rPr>
        <w:t xml:space="preserve"> R, </w:t>
      </w:r>
      <w:proofErr w:type="spellStart"/>
      <w:r w:rsidRPr="00CE608A">
        <w:rPr>
          <w:sz w:val="16"/>
          <w:szCs w:val="16"/>
        </w:rPr>
        <w:t>Elmes</w:t>
      </w:r>
      <w:proofErr w:type="spellEnd"/>
      <w:r w:rsidRPr="00CE608A">
        <w:rPr>
          <w:sz w:val="16"/>
          <w:szCs w:val="16"/>
        </w:rPr>
        <w:t xml:space="preserve"> J, Sherman SG, Sanders T et al. Associations between sex work laws and sex workers’ health: A systematic review and meta-analysis of quantitative and qualitative studies. </w:t>
      </w:r>
      <w:proofErr w:type="spellStart"/>
      <w:r w:rsidRPr="00CE608A">
        <w:rPr>
          <w:sz w:val="16"/>
          <w:szCs w:val="16"/>
        </w:rPr>
        <w:t>PLoS</w:t>
      </w:r>
      <w:proofErr w:type="spellEnd"/>
      <w:r w:rsidRPr="00CE608A">
        <w:rPr>
          <w:sz w:val="16"/>
          <w:szCs w:val="16"/>
        </w:rPr>
        <w:t xml:space="preserve"> Med. 2018;</w:t>
      </w:r>
      <w:proofErr w:type="gramStart"/>
      <w:r w:rsidRPr="00CE608A">
        <w:rPr>
          <w:sz w:val="16"/>
          <w:szCs w:val="16"/>
        </w:rPr>
        <w:t>15:e</w:t>
      </w:r>
      <w:proofErr w:type="gramEnd"/>
      <w:r w:rsidRPr="00CE608A">
        <w:rPr>
          <w:sz w:val="16"/>
          <w:szCs w:val="16"/>
        </w:rPr>
        <w:t>1002680</w:t>
      </w:r>
    </w:p>
  </w:footnote>
  <w:footnote w:id="93">
    <w:p w14:paraId="4966991B" w14:textId="77777777" w:rsidR="00E86187" w:rsidRPr="00CE608A" w:rsidRDefault="00E86187"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Baker P, </w:t>
      </w:r>
      <w:proofErr w:type="spellStart"/>
      <w:r w:rsidRPr="00CE608A">
        <w:rPr>
          <w:sz w:val="16"/>
          <w:szCs w:val="16"/>
        </w:rPr>
        <w:t>Beletsky</w:t>
      </w:r>
      <w:proofErr w:type="spellEnd"/>
      <w:r w:rsidRPr="00CE608A">
        <w:rPr>
          <w:sz w:val="16"/>
          <w:szCs w:val="16"/>
        </w:rPr>
        <w:t xml:space="preserve"> L, Avalos L, Venegas C, Rivera C, </w:t>
      </w:r>
      <w:proofErr w:type="spellStart"/>
      <w:r w:rsidRPr="00CE608A">
        <w:rPr>
          <w:sz w:val="16"/>
          <w:szCs w:val="16"/>
        </w:rPr>
        <w:t>Strathdee</w:t>
      </w:r>
      <w:proofErr w:type="spellEnd"/>
      <w:r w:rsidRPr="00CE608A">
        <w:rPr>
          <w:sz w:val="16"/>
          <w:szCs w:val="16"/>
        </w:rPr>
        <w:t xml:space="preserve"> SA et al. Policing practices and risk of HIV infection among people who inject drugs. Epidemiologic Reviews. </w:t>
      </w:r>
      <w:proofErr w:type="gramStart"/>
      <w:r w:rsidRPr="00CE608A">
        <w:rPr>
          <w:sz w:val="16"/>
          <w:szCs w:val="16"/>
        </w:rPr>
        <w:t>2020;42:27</w:t>
      </w:r>
      <w:proofErr w:type="gramEnd"/>
      <w:r w:rsidRPr="00CE608A">
        <w:rPr>
          <w:sz w:val="16"/>
          <w:szCs w:val="16"/>
        </w:rPr>
        <w:t>-40.</w:t>
      </w:r>
    </w:p>
  </w:footnote>
  <w:footnote w:id="94">
    <w:p w14:paraId="4F786A3C" w14:textId="0C77B839" w:rsidR="007903F0" w:rsidRPr="00CE608A" w:rsidRDefault="007903F0" w:rsidP="00FA227A">
      <w:pPr>
        <w:pStyle w:val="FootnoteText"/>
        <w:jc w:val="left"/>
        <w:rPr>
          <w:sz w:val="16"/>
          <w:szCs w:val="16"/>
        </w:rPr>
      </w:pPr>
      <w:r w:rsidRPr="00CE608A">
        <w:rPr>
          <w:rStyle w:val="FootnoteReference"/>
          <w:sz w:val="16"/>
          <w:szCs w:val="16"/>
        </w:rPr>
        <w:footnoteRef/>
      </w:r>
      <w:r w:rsidRPr="00CE608A">
        <w:rPr>
          <w:sz w:val="16"/>
          <w:szCs w:val="16"/>
        </w:rPr>
        <w:t xml:space="preserve"> Private communication between UNAIDS and CEO, Scarlet Alliance dated 16 February 2022.</w:t>
      </w:r>
    </w:p>
  </w:footnote>
  <w:footnote w:id="95">
    <w:p w14:paraId="5A90E2F9" w14:textId="77777777" w:rsidR="00263C83" w:rsidRPr="00CE608A" w:rsidRDefault="00263C83" w:rsidP="00FA227A">
      <w:pPr>
        <w:pStyle w:val="FootnoteText"/>
        <w:jc w:val="left"/>
        <w:rPr>
          <w:sz w:val="16"/>
          <w:szCs w:val="16"/>
        </w:rPr>
      </w:pPr>
      <w:r w:rsidRPr="00CE608A">
        <w:rPr>
          <w:rStyle w:val="FootnoteReference"/>
          <w:sz w:val="16"/>
          <w:szCs w:val="16"/>
        </w:rPr>
        <w:footnoteRef/>
      </w:r>
      <w:r w:rsidRPr="00CE608A">
        <w:rPr>
          <w:sz w:val="16"/>
          <w:szCs w:val="16"/>
        </w:rPr>
        <w:t xml:space="preserve"> Sex Work Decriminalisation Bill 2021. Victoria, Australia. </w:t>
      </w:r>
      <w:hyperlink r:id="rId9" w:history="1">
        <w:r w:rsidRPr="00CE608A">
          <w:rPr>
            <w:rStyle w:val="Hyperlink"/>
            <w:sz w:val="16"/>
            <w:szCs w:val="16"/>
          </w:rPr>
          <w:t>https://www.legislation.vic.gov.au/bills/sex-work-decriminalisation-bill-2021</w:t>
        </w:r>
      </w:hyperlink>
      <w:r w:rsidRPr="00CE608A">
        <w:rPr>
          <w:sz w:val="16"/>
          <w:szCs w:val="16"/>
        </w:rPr>
        <w:t xml:space="preserve"> </w:t>
      </w:r>
    </w:p>
  </w:footnote>
  <w:footnote w:id="96">
    <w:p w14:paraId="3104717E" w14:textId="76EB123E" w:rsidR="009544D1" w:rsidRPr="00CE608A" w:rsidRDefault="009544D1"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r w:rsidR="0001546F" w:rsidRPr="00CE608A">
        <w:rPr>
          <w:sz w:val="16"/>
          <w:szCs w:val="16"/>
        </w:rPr>
        <w:t xml:space="preserve">For more information see </w:t>
      </w:r>
      <w:r w:rsidRPr="00CE608A">
        <w:rPr>
          <w:sz w:val="16"/>
          <w:szCs w:val="16"/>
        </w:rPr>
        <w:t>UNAIDS. Confronting Inequalities. UNAIDS. Geneva: 2021. p.303</w:t>
      </w:r>
    </w:p>
  </w:footnote>
  <w:footnote w:id="97">
    <w:p w14:paraId="6591E788" w14:textId="77777777" w:rsidR="00FE577B" w:rsidRPr="00CE608A" w:rsidRDefault="00FE577B" w:rsidP="00FA227A">
      <w:pPr>
        <w:pStyle w:val="FootnoteText"/>
        <w:rPr>
          <w:sz w:val="16"/>
          <w:szCs w:val="16"/>
          <w:lang w:val="en-US"/>
        </w:rPr>
      </w:pPr>
      <w:r w:rsidRPr="00CE608A">
        <w:rPr>
          <w:rStyle w:val="FootnoteReference"/>
          <w:sz w:val="16"/>
          <w:szCs w:val="16"/>
        </w:rPr>
        <w:footnoteRef/>
      </w:r>
      <w:r w:rsidRPr="00CE608A">
        <w:rPr>
          <w:sz w:val="16"/>
          <w:szCs w:val="16"/>
        </w:rPr>
        <w:t xml:space="preserve"> Chile Agrees to End Forced Sterilization Practices and Provide Reparations in Case at the IACHR, (August 2021, </w:t>
      </w:r>
      <w:proofErr w:type="spellStart"/>
      <w:r w:rsidRPr="00CE608A">
        <w:rPr>
          <w:sz w:val="16"/>
          <w:szCs w:val="16"/>
        </w:rPr>
        <w:t>Center</w:t>
      </w:r>
      <w:proofErr w:type="spellEnd"/>
      <w:r w:rsidRPr="00CE608A">
        <w:rPr>
          <w:sz w:val="16"/>
          <w:szCs w:val="16"/>
        </w:rPr>
        <w:t xml:space="preserve"> for Reproductive Rights, https://reproductiverights.org/case-iachr-chile-forcedsterilization-francisca/, accessed on 5 October 2021).</w:t>
      </w:r>
    </w:p>
  </w:footnote>
  <w:footnote w:id="98">
    <w:p w14:paraId="188B0287" w14:textId="74767E37" w:rsidR="001D5FDA" w:rsidRPr="00CE608A" w:rsidRDefault="001D5FDA" w:rsidP="00FA227A">
      <w:pPr>
        <w:autoSpaceDE w:val="0"/>
        <w:autoSpaceDN w:val="0"/>
        <w:adjustRightInd w:val="0"/>
        <w:spacing w:after="0" w:line="240" w:lineRule="auto"/>
        <w:jc w:val="left"/>
        <w:rPr>
          <w:sz w:val="16"/>
          <w:szCs w:val="16"/>
          <w:lang w:val="en-GB"/>
        </w:rPr>
      </w:pPr>
      <w:r w:rsidRPr="00CE608A">
        <w:rPr>
          <w:rStyle w:val="FootnoteReference"/>
          <w:sz w:val="16"/>
          <w:szCs w:val="16"/>
        </w:rPr>
        <w:footnoteRef/>
      </w:r>
      <w:r w:rsidRPr="00CE608A">
        <w:rPr>
          <w:sz w:val="16"/>
          <w:szCs w:val="16"/>
        </w:rPr>
        <w:t xml:space="preserve"> </w:t>
      </w:r>
      <w:r w:rsidRPr="00CE608A">
        <w:rPr>
          <w:color w:val="414142"/>
          <w:sz w:val="16"/>
          <w:szCs w:val="16"/>
        </w:rPr>
        <w:t>Demanding access to justice: UNAIDS spearheads establishment of the Coalition of Lawyers for Human Rights. Geneva: UNAIDS; 2016</w:t>
      </w:r>
    </w:p>
  </w:footnote>
  <w:footnote w:id="99">
    <w:p w14:paraId="7833A908" w14:textId="1CB695D0" w:rsidR="005C0641" w:rsidRPr="00CE608A" w:rsidRDefault="005C0641" w:rsidP="00FA227A">
      <w:pPr>
        <w:pStyle w:val="FootnoteText"/>
        <w:rPr>
          <w:sz w:val="16"/>
          <w:szCs w:val="16"/>
        </w:rPr>
      </w:pPr>
      <w:r w:rsidRPr="00CE608A">
        <w:rPr>
          <w:rStyle w:val="FootnoteReference"/>
          <w:sz w:val="16"/>
          <w:szCs w:val="16"/>
        </w:rPr>
        <w:footnoteRef/>
      </w:r>
      <w:r w:rsidRPr="00CE608A">
        <w:rPr>
          <w:sz w:val="16"/>
          <w:szCs w:val="16"/>
        </w:rPr>
        <w:t xml:space="preserve"> For more information see UNAIDS, Communities at the Centre. UNAIDS, Geneva, 2019. p. 134</w:t>
      </w:r>
    </w:p>
  </w:footnote>
  <w:footnote w:id="100">
    <w:p w14:paraId="753705B9" w14:textId="60A89D82" w:rsidR="00D06A87" w:rsidRPr="00CE608A" w:rsidRDefault="00D06A87" w:rsidP="00FA227A">
      <w:pPr>
        <w:pStyle w:val="FootnoteText"/>
        <w:rPr>
          <w:sz w:val="16"/>
          <w:szCs w:val="16"/>
          <w:lang w:val="en-US"/>
        </w:rPr>
      </w:pPr>
      <w:r w:rsidRPr="00CE608A">
        <w:rPr>
          <w:rStyle w:val="FootnoteReference"/>
          <w:sz w:val="16"/>
          <w:szCs w:val="16"/>
        </w:rPr>
        <w:footnoteRef/>
      </w:r>
      <w:r w:rsidRPr="00CE608A">
        <w:rPr>
          <w:sz w:val="16"/>
          <w:szCs w:val="16"/>
        </w:rPr>
        <w:t xml:space="preserve"> </w:t>
      </w:r>
      <w:hyperlink r:id="rId10" w:history="1">
        <w:r w:rsidRPr="00CE608A">
          <w:rPr>
            <w:rStyle w:val="Hyperlink"/>
            <w:sz w:val="16"/>
            <w:szCs w:val="16"/>
          </w:rPr>
          <w:t>UNAIDS PCB Report on Progress on Actions to Reduce Stigma and Discrimination in all its Forms</w:t>
        </w:r>
      </w:hyperlink>
      <w:r w:rsidRPr="00CE608A">
        <w:rPr>
          <w:sz w:val="16"/>
          <w:szCs w:val="16"/>
        </w:rPr>
        <w:t xml:space="preserve">. UNAIDS. Geneva, 2021. </w:t>
      </w:r>
      <w:r w:rsidR="003025F8" w:rsidRPr="00CE608A">
        <w:rPr>
          <w:sz w:val="16"/>
          <w:szCs w:val="16"/>
        </w:rPr>
        <w:t xml:space="preserve">p.15 </w:t>
      </w:r>
    </w:p>
  </w:footnote>
  <w:footnote w:id="101">
    <w:p w14:paraId="49FA39ED" w14:textId="43A26A40" w:rsidR="00B55478" w:rsidRPr="00CE608A" w:rsidRDefault="00B55478" w:rsidP="00FA227A">
      <w:pPr>
        <w:pStyle w:val="FootnoteText"/>
        <w:rPr>
          <w:sz w:val="16"/>
          <w:szCs w:val="16"/>
          <w:lang w:val="en-US"/>
        </w:rPr>
      </w:pPr>
      <w:r w:rsidRPr="00CE608A">
        <w:rPr>
          <w:rStyle w:val="FootnoteReference"/>
          <w:sz w:val="16"/>
          <w:szCs w:val="16"/>
        </w:rPr>
        <w:footnoteRef/>
      </w:r>
      <w:r w:rsidRPr="00CE608A">
        <w:rPr>
          <w:sz w:val="16"/>
          <w:szCs w:val="16"/>
        </w:rPr>
        <w:t xml:space="preserve"> </w:t>
      </w:r>
      <w:r w:rsidRPr="00CE608A">
        <w:rPr>
          <w:sz w:val="16"/>
          <w:szCs w:val="16"/>
          <w:lang w:val="en-US"/>
        </w:rPr>
        <w:t>See Annex 1</w:t>
      </w:r>
    </w:p>
  </w:footnote>
  <w:footnote w:id="102">
    <w:p w14:paraId="584C399A" w14:textId="4F797CB0" w:rsidR="004F34AE" w:rsidRPr="00CE608A" w:rsidRDefault="004F34AE" w:rsidP="00FA227A">
      <w:pPr>
        <w:pStyle w:val="FootnoteText"/>
        <w:rPr>
          <w:sz w:val="16"/>
          <w:szCs w:val="16"/>
          <w:lang w:val="en-US"/>
        </w:rPr>
      </w:pPr>
      <w:r w:rsidRPr="00CE608A">
        <w:rPr>
          <w:rStyle w:val="FootnoteReference"/>
          <w:sz w:val="16"/>
          <w:szCs w:val="16"/>
        </w:rPr>
        <w:footnoteRef/>
      </w:r>
      <w:r w:rsidRPr="00CE608A">
        <w:rPr>
          <w:sz w:val="16"/>
          <w:szCs w:val="16"/>
        </w:rPr>
        <w:t xml:space="preserve"> </w:t>
      </w:r>
      <w:r w:rsidRPr="00CE608A">
        <w:rPr>
          <w:sz w:val="16"/>
          <w:szCs w:val="16"/>
          <w:lang w:val="en-US"/>
        </w:rPr>
        <w:t xml:space="preserve">See Annex 1 </w:t>
      </w:r>
      <w:proofErr w:type="spellStart"/>
      <w:r w:rsidRPr="00CE608A">
        <w:rPr>
          <w:sz w:val="16"/>
          <w:szCs w:val="16"/>
          <w:lang w:val="en-US"/>
        </w:rPr>
        <w:t>Kyrgysztan</w:t>
      </w:r>
      <w:proofErr w:type="spellEnd"/>
      <w:r w:rsidRPr="00CE608A">
        <w:rPr>
          <w:sz w:val="16"/>
          <w:szCs w:val="16"/>
          <w:lang w:val="en-US"/>
        </w:rPr>
        <w:t xml:space="preserve"> Example</w:t>
      </w:r>
    </w:p>
  </w:footnote>
  <w:footnote w:id="103">
    <w:p w14:paraId="0EF19198" w14:textId="77777777" w:rsidR="004F34AE" w:rsidRPr="00CE608A" w:rsidRDefault="004F34AE"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UNAIDS. Confronting Inequalities. UNAIDS. Geneva: 2021. p.99</w:t>
      </w:r>
    </w:p>
  </w:footnote>
  <w:footnote w:id="104">
    <w:p w14:paraId="4EF29EB6" w14:textId="5AF328A0" w:rsidR="00E20955" w:rsidRPr="00CE608A" w:rsidRDefault="00E20955" w:rsidP="00FA227A">
      <w:pPr>
        <w:pStyle w:val="FootnoteText"/>
        <w:rPr>
          <w:sz w:val="16"/>
          <w:szCs w:val="16"/>
        </w:rPr>
      </w:pPr>
      <w:r w:rsidRPr="00CE608A">
        <w:rPr>
          <w:rStyle w:val="FootnoteReference"/>
          <w:sz w:val="16"/>
          <w:szCs w:val="16"/>
        </w:rPr>
        <w:footnoteRef/>
      </w:r>
      <w:r w:rsidRPr="00CE608A">
        <w:rPr>
          <w:sz w:val="16"/>
          <w:szCs w:val="16"/>
        </w:rPr>
        <w:t xml:space="preserve"> Stigma and Discrimination reduction interventions: Framework for Dialogue between religious leaders and networks of people living with HIV - https://www.interfaith-health-platform.org/_files/ugd/38bdff_79b79d8770cf4225baa3383c107e6f00.pdf (DRC, Kenya, Nigeria, Uganda)</w:t>
      </w:r>
    </w:p>
  </w:footnote>
  <w:footnote w:id="105">
    <w:p w14:paraId="4F42DD17" w14:textId="77777777" w:rsidR="00B370F9" w:rsidRPr="00CE608A" w:rsidRDefault="00B370F9" w:rsidP="00FA227A">
      <w:pPr>
        <w:spacing w:after="0" w:line="240" w:lineRule="auto"/>
        <w:jc w:val="left"/>
        <w:rPr>
          <w:sz w:val="16"/>
          <w:szCs w:val="16"/>
          <w:lang w:val="pt-BR"/>
        </w:rPr>
      </w:pPr>
      <w:r w:rsidRPr="00CE608A">
        <w:rPr>
          <w:rStyle w:val="FootnoteReference"/>
          <w:sz w:val="16"/>
          <w:szCs w:val="16"/>
        </w:rPr>
        <w:footnoteRef/>
      </w:r>
      <w:r w:rsidRPr="00CE608A">
        <w:rPr>
          <w:sz w:val="16"/>
          <w:szCs w:val="16"/>
        </w:rPr>
        <w:t xml:space="preserve"> Trans legal mapping report. Recognition before the law (3rd edition). </w:t>
      </w:r>
      <w:r w:rsidRPr="00CE608A">
        <w:rPr>
          <w:sz w:val="16"/>
          <w:szCs w:val="16"/>
          <w:lang w:val="pt-BR"/>
        </w:rPr>
        <w:t>Geneva: ILGA; 2019 (https://ilga.org/downloads/ILGA_World_Trans_Legal_Mapping_Report_2019_EN.pdf).</w:t>
      </w:r>
    </w:p>
  </w:footnote>
  <w:footnote w:id="106">
    <w:p w14:paraId="53289F4F" w14:textId="77777777" w:rsidR="00B370F9" w:rsidRPr="00CE608A" w:rsidRDefault="00B370F9" w:rsidP="00FA227A">
      <w:pPr>
        <w:pStyle w:val="FootnoteText"/>
        <w:rPr>
          <w:sz w:val="16"/>
          <w:szCs w:val="16"/>
          <w:lang w:val="en-US"/>
        </w:rPr>
      </w:pPr>
      <w:r w:rsidRPr="00CE608A">
        <w:rPr>
          <w:rStyle w:val="FootnoteReference"/>
          <w:sz w:val="16"/>
          <w:szCs w:val="16"/>
        </w:rPr>
        <w:footnoteRef/>
      </w:r>
      <w:r w:rsidRPr="00CE608A">
        <w:rPr>
          <w:sz w:val="16"/>
          <w:szCs w:val="16"/>
          <w:lang w:val="es-MX"/>
        </w:rPr>
        <w:t xml:space="preserve"> ILGA. </w:t>
      </w:r>
      <w:r w:rsidRPr="00CE608A">
        <w:rPr>
          <w:sz w:val="16"/>
          <w:szCs w:val="16"/>
          <w:lang w:val="en-US"/>
        </w:rPr>
        <w:t>State Sponsored Homophobia. 2021.</w:t>
      </w:r>
    </w:p>
  </w:footnote>
  <w:footnote w:id="107">
    <w:p w14:paraId="58747F60" w14:textId="77777777" w:rsidR="00B370F9" w:rsidRPr="00CE608A" w:rsidRDefault="00B370F9" w:rsidP="00FA227A">
      <w:pPr>
        <w:pStyle w:val="FootnoteText"/>
        <w:rPr>
          <w:sz w:val="16"/>
          <w:szCs w:val="16"/>
          <w:lang w:val="en-US"/>
        </w:rPr>
      </w:pPr>
      <w:r w:rsidRPr="00CE608A">
        <w:rPr>
          <w:rStyle w:val="FootnoteReference"/>
          <w:sz w:val="16"/>
          <w:szCs w:val="16"/>
        </w:rPr>
        <w:footnoteRef/>
      </w:r>
      <w:r w:rsidRPr="00CE608A">
        <w:rPr>
          <w:sz w:val="16"/>
          <w:szCs w:val="16"/>
        </w:rPr>
        <w:t xml:space="preserve"> For more information on recent actions to reduce stigma and discrimination, please see the </w:t>
      </w:r>
      <w:hyperlink r:id="rId11" w:history="1">
        <w:r w:rsidRPr="00CE608A">
          <w:rPr>
            <w:rStyle w:val="Hyperlink"/>
            <w:sz w:val="16"/>
            <w:szCs w:val="16"/>
          </w:rPr>
          <w:t>UNAIDS PCB Report on Progress on Actions to Reduce Stigma and Discrimination in all its Forms</w:t>
        </w:r>
      </w:hyperlink>
    </w:p>
  </w:footnote>
  <w:footnote w:id="108">
    <w:p w14:paraId="3D1EDD14" w14:textId="525595AB" w:rsidR="002E11E5" w:rsidRPr="002E11E5" w:rsidRDefault="002E11E5">
      <w:pPr>
        <w:pStyle w:val="FootnoteText"/>
      </w:pPr>
      <w:r>
        <w:rPr>
          <w:rStyle w:val="FootnoteReference"/>
        </w:rPr>
        <w:footnoteRef/>
      </w:r>
      <w:r>
        <w:t xml:space="preserve"> Numbers are an aggregate of reports between 2017 and 2021.</w:t>
      </w:r>
    </w:p>
  </w:footnote>
  <w:footnote w:id="109">
    <w:p w14:paraId="48B0656C" w14:textId="5F7D6516" w:rsidR="001E244B" w:rsidRPr="00CE608A" w:rsidRDefault="001E244B" w:rsidP="00FA227A">
      <w:pPr>
        <w:pStyle w:val="FootnoteText"/>
        <w:jc w:val="left"/>
        <w:rPr>
          <w:i/>
          <w:iCs/>
          <w:sz w:val="16"/>
          <w:szCs w:val="16"/>
        </w:rPr>
      </w:pPr>
      <w:r w:rsidRPr="00CE608A">
        <w:rPr>
          <w:rStyle w:val="FootnoteReference"/>
          <w:sz w:val="16"/>
          <w:szCs w:val="16"/>
        </w:rPr>
        <w:footnoteRef/>
      </w:r>
      <w:r w:rsidRPr="00CE608A">
        <w:rPr>
          <w:sz w:val="16"/>
          <w:szCs w:val="16"/>
        </w:rPr>
        <w:t xml:space="preserve"> </w:t>
      </w:r>
      <w:r w:rsidR="000C6021" w:rsidRPr="00CE608A">
        <w:rPr>
          <w:sz w:val="16"/>
          <w:szCs w:val="16"/>
        </w:rPr>
        <w:t>Joint evaluation of the UN Joint Programme on AIDS on preventing and responding to violence against women and girls</w:t>
      </w:r>
      <w:r w:rsidR="000C6021" w:rsidRPr="00CE608A">
        <w:rPr>
          <w:sz w:val="16"/>
          <w:szCs w:val="16"/>
          <w:lang w:val="en-US"/>
        </w:rPr>
        <w:t xml:space="preserve">. Geneva: UNAIDS, UNESCO, UNFPA, UNHCR and ILO 2021; and </w:t>
      </w:r>
      <w:r w:rsidR="000C6021" w:rsidRPr="00CE608A">
        <w:rPr>
          <w:sz w:val="16"/>
          <w:szCs w:val="16"/>
        </w:rPr>
        <w:t>No Exceptions, No Exclusions</w:t>
      </w:r>
      <w:r w:rsidR="000C6021" w:rsidRPr="00CE608A">
        <w:rPr>
          <w:sz w:val="16"/>
          <w:szCs w:val="16"/>
          <w:lang w:val="en-US"/>
        </w:rPr>
        <w:t>: Realizing Sexual and Reproductive Health, Rights and Justice for All,</w:t>
      </w:r>
      <w:r w:rsidR="000C6021" w:rsidRPr="00CE608A">
        <w:rPr>
          <w:sz w:val="16"/>
          <w:szCs w:val="16"/>
        </w:rPr>
        <w:t xml:space="preserve"> 2021 Report of the High-Level Commission on the Nairobi Summit on ICPD25 Follow-up</w:t>
      </w:r>
      <w:r w:rsidR="000C6021" w:rsidRPr="00CE608A">
        <w:rPr>
          <w:sz w:val="16"/>
          <w:szCs w:val="16"/>
          <w:lang w:val="en-US"/>
        </w:rPr>
        <w:t>. New York: November 2021.</w:t>
      </w:r>
    </w:p>
  </w:footnote>
  <w:footnote w:id="110">
    <w:p w14:paraId="322FACBD" w14:textId="77777777" w:rsidR="001E244B" w:rsidRPr="00CE608A" w:rsidRDefault="001E244B" w:rsidP="00FA227A">
      <w:pPr>
        <w:pStyle w:val="FootnoteText"/>
        <w:jc w:val="left"/>
        <w:rPr>
          <w:sz w:val="16"/>
          <w:szCs w:val="16"/>
        </w:rPr>
      </w:pPr>
      <w:r w:rsidRPr="00CE608A">
        <w:rPr>
          <w:rStyle w:val="FootnoteReference"/>
          <w:sz w:val="16"/>
          <w:szCs w:val="16"/>
        </w:rPr>
        <w:footnoteRef/>
      </w:r>
      <w:r w:rsidRPr="00CE608A">
        <w:rPr>
          <w:sz w:val="16"/>
          <w:szCs w:val="16"/>
        </w:rPr>
        <w:t xml:space="preserve"> Among others, lead examples include </w:t>
      </w:r>
      <w:proofErr w:type="gramStart"/>
      <w:r w:rsidRPr="00CE608A">
        <w:rPr>
          <w:sz w:val="16"/>
          <w:szCs w:val="16"/>
        </w:rPr>
        <w:t>Stepping Stones</w:t>
      </w:r>
      <w:proofErr w:type="gramEnd"/>
      <w:r w:rsidRPr="00CE608A">
        <w:rPr>
          <w:sz w:val="16"/>
          <w:szCs w:val="16"/>
        </w:rPr>
        <w:t xml:space="preserve"> </w:t>
      </w:r>
      <w:hyperlink r:id="rId12" w:history="1">
        <w:r w:rsidRPr="00CE608A">
          <w:rPr>
            <w:rStyle w:val="Hyperlink"/>
            <w:sz w:val="16"/>
            <w:szCs w:val="16"/>
            <w:lang w:val="en-US"/>
          </w:rPr>
          <w:t>https://salamandertrust.net/project/stepping-stones-programmes/</w:t>
        </w:r>
      </w:hyperlink>
      <w:r w:rsidRPr="00CE608A">
        <w:rPr>
          <w:sz w:val="16"/>
          <w:szCs w:val="16"/>
        </w:rPr>
        <w:t>, SASA! (</w:t>
      </w:r>
      <w:hyperlink r:id="rId13" w:history="1">
        <w:r w:rsidRPr="00CE608A">
          <w:rPr>
            <w:rStyle w:val="Hyperlink"/>
            <w:sz w:val="16"/>
            <w:szCs w:val="16"/>
            <w:lang w:val="en-US"/>
          </w:rPr>
          <w:t>https://raisingvoices.org/sasa/</w:t>
        </w:r>
      </w:hyperlink>
      <w:r w:rsidRPr="00CE608A">
        <w:rPr>
          <w:sz w:val="16"/>
          <w:szCs w:val="16"/>
        </w:rPr>
        <w:t xml:space="preserve">) and IMAGE: </w:t>
      </w:r>
      <w:hyperlink r:id="rId14" w:history="1">
        <w:r w:rsidRPr="00CE608A">
          <w:rPr>
            <w:color w:val="0000FF"/>
            <w:sz w:val="16"/>
            <w:szCs w:val="16"/>
            <w:u w:val="single"/>
          </w:rPr>
          <w:t>The Intervention - IMAGE Components (image-sa.co.za)</w:t>
        </w:r>
      </w:hyperlink>
      <w:r w:rsidRPr="00CE608A">
        <w:rPr>
          <w:sz w:val="16"/>
          <w:szCs w:val="16"/>
        </w:rPr>
        <w:t xml:space="preserve">. </w:t>
      </w:r>
    </w:p>
  </w:footnote>
  <w:footnote w:id="111">
    <w:p w14:paraId="0F2C61D8" w14:textId="77777777" w:rsidR="00B54A89" w:rsidRPr="00CE608A" w:rsidRDefault="00B54A89" w:rsidP="00FA227A">
      <w:pPr>
        <w:pStyle w:val="NormalWeb"/>
        <w:spacing w:before="0" w:beforeAutospacing="0" w:after="0" w:afterAutospacing="0"/>
        <w:jc w:val="left"/>
        <w:rPr>
          <w:rFonts w:asciiTheme="minorHAnsi" w:hAnsiTheme="minorHAnsi" w:cstheme="minorHAnsi"/>
          <w:sz w:val="16"/>
          <w:szCs w:val="16"/>
        </w:rPr>
      </w:pPr>
      <w:r w:rsidRPr="00CE608A">
        <w:rPr>
          <w:rStyle w:val="FootnoteReference"/>
          <w:rFonts w:asciiTheme="minorHAnsi" w:hAnsiTheme="minorHAnsi" w:cstheme="minorHAnsi"/>
          <w:sz w:val="16"/>
          <w:szCs w:val="16"/>
        </w:rPr>
        <w:footnoteRef/>
      </w:r>
      <w:r w:rsidRPr="00CE608A">
        <w:rPr>
          <w:rFonts w:asciiTheme="minorHAnsi" w:hAnsiTheme="minorHAnsi" w:cstheme="minorHAnsi"/>
          <w:sz w:val="16"/>
          <w:szCs w:val="16"/>
        </w:rPr>
        <w:t xml:space="preserve"> For example, on addressing violence against women living with HIV, see the ALIVHE Framework, developed and piloted with UNAIDS Secretariat support, and case studies on website; and </w:t>
      </w:r>
      <w:r w:rsidRPr="00CE608A">
        <w:rPr>
          <w:rFonts w:asciiTheme="minorHAnsi" w:hAnsiTheme="minorHAnsi" w:cstheme="minorHAnsi"/>
          <w:i/>
          <w:iCs/>
          <w:sz w:val="16"/>
          <w:szCs w:val="16"/>
        </w:rPr>
        <w:t>Linkages between HIV and gender-based violence in the Middle East and North Africa: key findings from the LEARN MENA project</w:t>
      </w:r>
      <w:r w:rsidRPr="00CE608A">
        <w:rPr>
          <w:rFonts w:asciiTheme="minorHAnsi" w:hAnsiTheme="minorHAnsi" w:cstheme="minorHAnsi"/>
          <w:sz w:val="16"/>
          <w:szCs w:val="16"/>
        </w:rPr>
        <w:t>. LEARN MENA; 2018 (</w:t>
      </w:r>
      <w:hyperlink r:id="rId15" w:history="1">
        <w:r w:rsidRPr="00CE608A">
          <w:rPr>
            <w:rStyle w:val="Hyperlink"/>
            <w:rFonts w:asciiTheme="minorHAnsi" w:hAnsiTheme="minorHAnsi" w:cstheme="minorHAnsi"/>
            <w:sz w:val="16"/>
            <w:szCs w:val="16"/>
          </w:rPr>
          <w:t>http://frontlineaids.org/wp-content/uploads/2019/02/Linkages_between_HIV_and_gender-basaed_violence_in_MENA_original.pdf</w:t>
        </w:r>
      </w:hyperlink>
      <w:r w:rsidRPr="00CE608A">
        <w:rPr>
          <w:rFonts w:asciiTheme="minorHAnsi" w:hAnsiTheme="minorHAnsi" w:cstheme="minorHAnsi"/>
          <w:sz w:val="16"/>
          <w:szCs w:val="16"/>
        </w:rPr>
        <w:t xml:space="preserve"> ), also referenced in the 2020 Global AIDS Monitoring Report (pgs. 323-324 -  </w:t>
      </w:r>
      <w:hyperlink r:id="rId16" w:history="1">
        <w:r w:rsidRPr="00CE608A">
          <w:rPr>
            <w:rStyle w:val="Hyperlink"/>
            <w:rFonts w:asciiTheme="minorHAnsi" w:hAnsiTheme="minorHAnsi" w:cstheme="minorHAnsi"/>
            <w:sz w:val="16"/>
            <w:szCs w:val="16"/>
          </w:rPr>
          <w:t>https://www.unaids.org/sites/default/files/media_asset/2020_global-aids-report_en.pdf</w:t>
        </w:r>
      </w:hyperlink>
      <w:r w:rsidRPr="00CE608A">
        <w:rPr>
          <w:rFonts w:asciiTheme="minorHAnsi" w:hAnsiTheme="minorHAnsi" w:cstheme="minorHAnsi"/>
          <w:sz w:val="16"/>
          <w:szCs w:val="16"/>
        </w:rPr>
        <w:t xml:space="preserve"> . </w:t>
      </w:r>
      <w:r w:rsidRPr="00CE608A">
        <w:rPr>
          <w:rFonts w:asciiTheme="minorHAnsi" w:hAnsiTheme="minorHAnsi" w:cstheme="minorHAnsi"/>
          <w:i/>
          <w:iCs/>
          <w:sz w:val="16"/>
          <w:szCs w:val="16"/>
        </w:rPr>
        <w:t>Note:</w:t>
      </w:r>
      <w:r w:rsidRPr="00CE608A">
        <w:rPr>
          <w:rFonts w:asciiTheme="minorHAnsi" w:hAnsiTheme="minorHAnsi" w:cstheme="minorHAnsi"/>
          <w:sz w:val="16"/>
          <w:szCs w:val="16"/>
        </w:rPr>
        <w:t xml:space="preserve"> LEARN MENA is a project that explores the linkages between violence against women and HIV in various countries of the Middle East and North Africa, led by women living with or at higher risk of HIV. </w:t>
      </w:r>
    </w:p>
  </w:footnote>
  <w:footnote w:id="112">
    <w:p w14:paraId="34B25D08" w14:textId="77777777" w:rsidR="00B54A89" w:rsidRPr="00CE608A" w:rsidRDefault="00B54A89"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w:t>
      </w:r>
      <w:proofErr w:type="spellStart"/>
      <w:r w:rsidRPr="00CE608A">
        <w:rPr>
          <w:sz w:val="16"/>
          <w:szCs w:val="16"/>
        </w:rPr>
        <w:t>Haberland</w:t>
      </w:r>
      <w:proofErr w:type="spellEnd"/>
      <w:r w:rsidRPr="00CE608A">
        <w:rPr>
          <w:sz w:val="16"/>
          <w:szCs w:val="16"/>
        </w:rPr>
        <w:t xml:space="preserve"> N. The case for addressing gender and power in sexuality and HIV education: a comprehensive review of evaluation studies. Int </w:t>
      </w:r>
      <w:proofErr w:type="spellStart"/>
      <w:r w:rsidRPr="00CE608A">
        <w:rPr>
          <w:sz w:val="16"/>
          <w:szCs w:val="16"/>
        </w:rPr>
        <w:t>Perspectiv</w:t>
      </w:r>
      <w:proofErr w:type="spellEnd"/>
      <w:r w:rsidRPr="00CE608A">
        <w:rPr>
          <w:sz w:val="16"/>
          <w:szCs w:val="16"/>
        </w:rPr>
        <w:t xml:space="preserve"> Sex </w:t>
      </w:r>
      <w:proofErr w:type="spellStart"/>
      <w:r w:rsidRPr="00CE608A">
        <w:rPr>
          <w:sz w:val="16"/>
          <w:szCs w:val="16"/>
        </w:rPr>
        <w:t>Reprod</w:t>
      </w:r>
      <w:proofErr w:type="spellEnd"/>
      <w:r w:rsidRPr="00CE608A">
        <w:rPr>
          <w:sz w:val="16"/>
          <w:szCs w:val="16"/>
        </w:rPr>
        <w:t xml:space="preserve"> Health. 2015;41(1):31-42.</w:t>
      </w:r>
    </w:p>
  </w:footnote>
  <w:footnote w:id="113">
    <w:p w14:paraId="121CD279" w14:textId="77777777" w:rsidR="00F33CCD" w:rsidRPr="00CE608A" w:rsidRDefault="00F33CCD" w:rsidP="00FA227A">
      <w:pPr>
        <w:pStyle w:val="FootnoteText"/>
        <w:jc w:val="left"/>
        <w:rPr>
          <w:sz w:val="16"/>
          <w:szCs w:val="16"/>
          <w:lang w:val="en-US"/>
        </w:rPr>
      </w:pPr>
      <w:r w:rsidRPr="00CE608A">
        <w:rPr>
          <w:rStyle w:val="FootnoteReference"/>
          <w:sz w:val="16"/>
          <w:szCs w:val="16"/>
        </w:rPr>
        <w:footnoteRef/>
      </w:r>
      <w:r w:rsidRPr="00CE608A">
        <w:rPr>
          <w:sz w:val="16"/>
          <w:szCs w:val="16"/>
          <w:lang w:val="en-US"/>
        </w:rPr>
        <w:t xml:space="preserve"> See</w:t>
      </w:r>
      <w:r w:rsidRPr="00CE608A">
        <w:rPr>
          <w:sz w:val="16"/>
          <w:szCs w:val="16"/>
        </w:rPr>
        <w:t xml:space="preserve"> </w:t>
      </w:r>
      <w:hyperlink r:id="rId17" w:history="1">
        <w:r w:rsidRPr="00CE608A">
          <w:rPr>
            <w:sz w:val="16"/>
            <w:szCs w:val="16"/>
          </w:rPr>
          <w:t>Education Plus Initiative (2021-2025) Empowerment of adolescent girls and young women in Sub-Saharan Africa (unaids.org)</w:t>
        </w:r>
      </w:hyperlink>
    </w:p>
  </w:footnote>
  <w:footnote w:id="114">
    <w:p w14:paraId="19D534A5" w14:textId="77777777" w:rsidR="008C3277" w:rsidRPr="00CE608A" w:rsidRDefault="008C3277" w:rsidP="00FA227A">
      <w:pPr>
        <w:pStyle w:val="FootnoteText"/>
        <w:jc w:val="left"/>
        <w:rPr>
          <w:sz w:val="16"/>
          <w:szCs w:val="16"/>
        </w:rPr>
      </w:pPr>
      <w:r w:rsidRPr="00CE608A">
        <w:rPr>
          <w:rStyle w:val="FootnoteReference"/>
          <w:sz w:val="16"/>
          <w:szCs w:val="16"/>
        </w:rPr>
        <w:footnoteRef/>
      </w:r>
      <w:r w:rsidRPr="00CE608A">
        <w:rPr>
          <w:sz w:val="16"/>
          <w:szCs w:val="16"/>
        </w:rPr>
        <w:t xml:space="preserve"> Hook C, Miller A, Shand T, </w:t>
      </w:r>
      <w:proofErr w:type="spellStart"/>
      <w:r w:rsidRPr="00CE608A">
        <w:rPr>
          <w:sz w:val="16"/>
          <w:szCs w:val="16"/>
        </w:rPr>
        <w:t>Stiefvater</w:t>
      </w:r>
      <w:proofErr w:type="spellEnd"/>
      <w:r w:rsidRPr="00CE608A">
        <w:rPr>
          <w:sz w:val="16"/>
          <w:szCs w:val="16"/>
        </w:rPr>
        <w:t xml:space="preserve"> E. Getting </w:t>
      </w:r>
      <w:proofErr w:type="gramStart"/>
      <w:r w:rsidRPr="00CE608A">
        <w:rPr>
          <w:sz w:val="16"/>
          <w:szCs w:val="16"/>
        </w:rPr>
        <w:t>to</w:t>
      </w:r>
      <w:proofErr w:type="gramEnd"/>
      <w:r w:rsidRPr="00CE608A">
        <w:rPr>
          <w:sz w:val="16"/>
          <w:szCs w:val="16"/>
        </w:rPr>
        <w:t xml:space="preserve"> equal: engaging men and boys in sexual and reproductive health and rights and gender equality. Washington (DC): </w:t>
      </w:r>
      <w:proofErr w:type="spellStart"/>
      <w:r w:rsidRPr="00CE608A">
        <w:rPr>
          <w:sz w:val="16"/>
          <w:szCs w:val="16"/>
        </w:rPr>
        <w:t>Promundo</w:t>
      </w:r>
      <w:proofErr w:type="spellEnd"/>
      <w:r w:rsidRPr="00CE608A">
        <w:rPr>
          <w:sz w:val="16"/>
          <w:szCs w:val="16"/>
        </w:rPr>
        <w:t>; 2018.</w:t>
      </w:r>
    </w:p>
  </w:footnote>
  <w:footnote w:id="115">
    <w:p w14:paraId="23516AE5" w14:textId="77777777" w:rsidR="008C3277" w:rsidRPr="00CE608A" w:rsidRDefault="008C3277" w:rsidP="00FA227A">
      <w:pPr>
        <w:pStyle w:val="FootnoteText"/>
        <w:jc w:val="left"/>
        <w:rPr>
          <w:sz w:val="16"/>
          <w:szCs w:val="16"/>
          <w:lang w:val="en-US"/>
        </w:rPr>
      </w:pPr>
      <w:r w:rsidRPr="00CE608A">
        <w:rPr>
          <w:rStyle w:val="FootnoteReference"/>
          <w:sz w:val="16"/>
          <w:szCs w:val="16"/>
        </w:rPr>
        <w:footnoteRef/>
      </w:r>
      <w:r w:rsidRPr="00CE608A">
        <w:rPr>
          <w:sz w:val="16"/>
          <w:szCs w:val="16"/>
        </w:rPr>
        <w:t xml:space="preserve"> Ruane-McAteer E, Amin A, Hanratty J, Lynn F, van </w:t>
      </w:r>
      <w:proofErr w:type="spellStart"/>
      <w:r w:rsidRPr="00CE608A">
        <w:rPr>
          <w:sz w:val="16"/>
          <w:szCs w:val="16"/>
        </w:rPr>
        <w:t>Willenswaard</w:t>
      </w:r>
      <w:proofErr w:type="spellEnd"/>
      <w:r w:rsidRPr="00CE608A">
        <w:rPr>
          <w:sz w:val="16"/>
          <w:szCs w:val="16"/>
        </w:rPr>
        <w:t xml:space="preserve"> KC, Reid E et al. Interventions addressing men, masculinities and gender equality in sexual and reproductive health and rights: an evidence and gap map and systematic review of reviews. BMJ Global Health. 2019;4(5</w:t>
      </w:r>
      <w:proofErr w:type="gramStart"/>
      <w:r w:rsidRPr="00CE608A">
        <w:rPr>
          <w:sz w:val="16"/>
          <w:szCs w:val="16"/>
        </w:rPr>
        <w:t>):e</w:t>
      </w:r>
      <w:proofErr w:type="gramEnd"/>
      <w:r w:rsidRPr="00CE608A">
        <w:rPr>
          <w:sz w:val="16"/>
          <w:szCs w:val="16"/>
        </w:rPr>
        <w:t>001634.</w:t>
      </w:r>
      <w:r w:rsidRPr="00CE608A">
        <w:rPr>
          <w:sz w:val="16"/>
          <w:szCs w:val="16"/>
          <w:lang w:val="en-US"/>
        </w:rPr>
        <w:t xml:space="preserve"> See also, </w:t>
      </w:r>
      <w:r w:rsidRPr="00CE608A">
        <w:rPr>
          <w:sz w:val="16"/>
          <w:szCs w:val="16"/>
        </w:rPr>
        <w:t>Ruane-McAteer E, Gillespie K, Amin A</w:t>
      </w:r>
      <w:r w:rsidRPr="00CE608A">
        <w:rPr>
          <w:i/>
          <w:iCs/>
          <w:sz w:val="16"/>
          <w:szCs w:val="16"/>
        </w:rPr>
        <w:t>, et al</w:t>
      </w:r>
      <w:r w:rsidRPr="00CE608A">
        <w:rPr>
          <w:i/>
          <w:iCs/>
          <w:sz w:val="16"/>
          <w:szCs w:val="16"/>
          <w:lang w:val="en-US"/>
        </w:rPr>
        <w:t xml:space="preserve"> </w:t>
      </w:r>
      <w:r w:rsidRPr="00CE608A">
        <w:rPr>
          <w:sz w:val="16"/>
          <w:szCs w:val="16"/>
        </w:rPr>
        <w:t>Gender-transformative programming with men and boys to improve sexual and reproductive health and rights: a systematic review of intervention studies</w:t>
      </w:r>
      <w:r w:rsidRPr="00CE608A">
        <w:rPr>
          <w:sz w:val="16"/>
          <w:szCs w:val="16"/>
          <w:lang w:val="en-US"/>
        </w:rPr>
        <w:t xml:space="preserve"> </w:t>
      </w:r>
      <w:r w:rsidRPr="00CE608A">
        <w:rPr>
          <w:i/>
          <w:iCs/>
          <w:sz w:val="16"/>
          <w:szCs w:val="16"/>
        </w:rPr>
        <w:t>BMJ Global Health </w:t>
      </w:r>
      <w:r w:rsidRPr="00CE608A">
        <w:rPr>
          <w:sz w:val="16"/>
          <w:szCs w:val="16"/>
        </w:rPr>
        <w:t>2020;</w:t>
      </w:r>
      <w:proofErr w:type="gramStart"/>
      <w:r w:rsidRPr="00CE608A">
        <w:rPr>
          <w:b/>
          <w:bCs/>
          <w:sz w:val="16"/>
          <w:szCs w:val="16"/>
        </w:rPr>
        <w:t>5:</w:t>
      </w:r>
      <w:r w:rsidRPr="00CE608A">
        <w:rPr>
          <w:sz w:val="16"/>
          <w:szCs w:val="16"/>
        </w:rPr>
        <w:t>e</w:t>
      </w:r>
      <w:proofErr w:type="gramEnd"/>
      <w:r w:rsidRPr="00CE608A">
        <w:rPr>
          <w:sz w:val="16"/>
          <w:szCs w:val="16"/>
        </w:rPr>
        <w:t>002997.</w:t>
      </w:r>
      <w:r w:rsidRPr="00CE608A">
        <w:rPr>
          <w:sz w:val="16"/>
          <w:szCs w:val="16"/>
          <w:lang w:val="en-US"/>
        </w:rPr>
        <w:t xml:space="preserve"> </w:t>
      </w:r>
    </w:p>
  </w:footnote>
  <w:footnote w:id="116">
    <w:p w14:paraId="224AAA5F" w14:textId="0C3F1770" w:rsidR="00842332" w:rsidRPr="00842332" w:rsidRDefault="00842332">
      <w:pPr>
        <w:pStyle w:val="FootnoteText"/>
        <w:rPr>
          <w:sz w:val="16"/>
          <w:szCs w:val="16"/>
          <w:lang w:val="en-US"/>
        </w:rPr>
      </w:pPr>
      <w:r w:rsidRPr="00842332">
        <w:rPr>
          <w:rStyle w:val="FootnoteReference"/>
          <w:sz w:val="16"/>
          <w:szCs w:val="16"/>
        </w:rPr>
        <w:footnoteRef/>
      </w:r>
      <w:r w:rsidRPr="00842332">
        <w:rPr>
          <w:sz w:val="16"/>
          <w:szCs w:val="16"/>
        </w:rPr>
        <w:t xml:space="preserve"> UNAIDS Technical Support Mechanism: to maximize the impact of Global Fund grants in countries to accelerate implementation to achieve Fast Track Targets October 2020-2021</w:t>
      </w:r>
    </w:p>
  </w:footnote>
  <w:footnote w:id="117">
    <w:p w14:paraId="22BDBA85" w14:textId="580AE6E5" w:rsidR="00C307AD" w:rsidRPr="00CE608A" w:rsidRDefault="00C307AD" w:rsidP="00CE608A">
      <w:pPr>
        <w:rPr>
          <w:rFonts w:eastAsia="Cambria"/>
          <w:sz w:val="16"/>
          <w:szCs w:val="16"/>
        </w:rPr>
      </w:pPr>
      <w:r w:rsidRPr="00CE608A">
        <w:rPr>
          <w:rStyle w:val="FootnoteReference"/>
          <w:rFonts w:eastAsia="Times New Roman"/>
          <w:sz w:val="16"/>
          <w:szCs w:val="16"/>
        </w:rPr>
        <w:footnoteRef/>
      </w:r>
      <w:r w:rsidRPr="00CE608A">
        <w:rPr>
          <w:rFonts w:eastAsia="Times New Roman"/>
          <w:sz w:val="16"/>
          <w:szCs w:val="16"/>
        </w:rPr>
        <w:t xml:space="preserve"> </w:t>
      </w:r>
      <w:r w:rsidRPr="00CE608A">
        <w:rPr>
          <w:rFonts w:eastAsia="Times New Roman"/>
          <w:color w:val="000000" w:themeColor="text1"/>
          <w:sz w:val="16"/>
          <w:szCs w:val="16"/>
          <w:lang w:val="en-GB"/>
        </w:rPr>
        <w:t>The Technical Working Group is organised around the six settings of the Global Partnership with co-leads for each setting. It’s m</w:t>
      </w:r>
      <w:proofErr w:type="spellStart"/>
      <w:r w:rsidRPr="00CE608A">
        <w:rPr>
          <w:rFonts w:eastAsia="Times New Roman"/>
          <w:color w:val="000000" w:themeColor="text1"/>
          <w:sz w:val="16"/>
          <w:szCs w:val="16"/>
        </w:rPr>
        <w:t>ade</w:t>
      </w:r>
      <w:proofErr w:type="spellEnd"/>
      <w:r w:rsidRPr="00CE608A">
        <w:rPr>
          <w:rFonts w:eastAsia="Times New Roman"/>
          <w:color w:val="000000" w:themeColor="text1"/>
          <w:sz w:val="16"/>
          <w:szCs w:val="16"/>
        </w:rPr>
        <w:t xml:space="preserve"> up of ten United Nations agencies (</w:t>
      </w:r>
      <w:r w:rsidRPr="00CE608A">
        <w:rPr>
          <w:rFonts w:eastAsia="Times New Roman"/>
          <w:color w:val="000000" w:themeColor="text1"/>
          <w:sz w:val="16"/>
          <w:szCs w:val="16"/>
          <w:lang w:val="en-HK"/>
        </w:rPr>
        <w:t xml:space="preserve">UNAIDS, UNDP, UNICEF, UNESCO, UNFPA, UNODC, UN Women, WFP, WHO, ILO) </w:t>
      </w:r>
      <w:r w:rsidRPr="00CE608A">
        <w:rPr>
          <w:rFonts w:eastAsia="Times New Roman"/>
          <w:color w:val="000000" w:themeColor="text1"/>
          <w:sz w:val="16"/>
          <w:szCs w:val="16"/>
        </w:rPr>
        <w:t>and 24 civil society members (</w:t>
      </w:r>
      <w:r w:rsidRPr="00CE608A">
        <w:rPr>
          <w:rFonts w:eastAsia="Times New Roman"/>
          <w:color w:val="000000" w:themeColor="text1"/>
          <w:sz w:val="16"/>
          <w:szCs w:val="16"/>
          <w:vertAlign w:val="superscript"/>
          <w:lang w:val="en-HK"/>
        </w:rPr>
        <w:t>4</w:t>
      </w:r>
      <w:r w:rsidRPr="00CE608A">
        <w:rPr>
          <w:rFonts w:eastAsia="Times New Roman"/>
          <w:color w:val="000000" w:themeColor="text1"/>
          <w:sz w:val="16"/>
          <w:szCs w:val="16"/>
          <w:lang w:val="en-HK"/>
        </w:rPr>
        <w:t xml:space="preserve"> International Community of Women living with HIV Eastern Africa (ICW-EA), International Council Of Aids Service Organizations (ICASO), </w:t>
      </w:r>
      <w:proofErr w:type="spellStart"/>
      <w:r w:rsidRPr="00CE608A">
        <w:rPr>
          <w:rFonts w:eastAsia="Times New Roman"/>
          <w:color w:val="000000" w:themeColor="text1"/>
          <w:sz w:val="16"/>
          <w:szCs w:val="16"/>
          <w:lang w:val="en-HK"/>
        </w:rPr>
        <w:t>RedTraSex</w:t>
      </w:r>
      <w:proofErr w:type="spellEnd"/>
      <w:r w:rsidRPr="00CE608A">
        <w:rPr>
          <w:rFonts w:eastAsia="Times New Roman"/>
          <w:color w:val="000000" w:themeColor="text1"/>
          <w:sz w:val="16"/>
          <w:szCs w:val="16"/>
          <w:lang w:val="en-HK"/>
        </w:rPr>
        <w:t xml:space="preserve">, Athena Network, Asia Catalyst, International Federation of Medical Students Associations (IFMSA), Youth Engage, Positive Women Voices, Anti-AIDS Teachers Association Zambia, Africa Sex Workers Alliance (ASWA), International Development Law Organization (IDLO), Asia Pacific Network of People Living with HIV (APN+), Klub </w:t>
      </w:r>
      <w:proofErr w:type="spellStart"/>
      <w:r w:rsidRPr="00CE608A">
        <w:rPr>
          <w:rFonts w:eastAsia="Times New Roman"/>
          <w:color w:val="000000" w:themeColor="text1"/>
          <w:sz w:val="16"/>
          <w:szCs w:val="16"/>
          <w:lang w:val="en-HK"/>
        </w:rPr>
        <w:t>Svitanok</w:t>
      </w:r>
      <w:proofErr w:type="spellEnd"/>
      <w:r w:rsidRPr="00CE608A">
        <w:rPr>
          <w:rFonts w:eastAsia="Times New Roman"/>
          <w:color w:val="000000" w:themeColor="text1"/>
          <w:sz w:val="16"/>
          <w:szCs w:val="16"/>
          <w:lang w:val="en-HK"/>
        </w:rPr>
        <w:t xml:space="preserve">, Uganda Network of Young People Living with HIV/AIDS (UNYPA), Frontline, All-Ukrainian Network of People Living With HIV, CARE International, </w:t>
      </w:r>
      <w:proofErr w:type="spellStart"/>
      <w:r w:rsidRPr="00CE608A">
        <w:rPr>
          <w:rFonts w:eastAsia="Times New Roman"/>
          <w:color w:val="000000" w:themeColor="text1"/>
          <w:sz w:val="16"/>
          <w:szCs w:val="16"/>
          <w:lang w:val="en-HK"/>
        </w:rPr>
        <w:t>Asociación</w:t>
      </w:r>
      <w:proofErr w:type="spellEnd"/>
      <w:r w:rsidRPr="00CE608A">
        <w:rPr>
          <w:rFonts w:eastAsia="Times New Roman"/>
          <w:color w:val="000000" w:themeColor="text1"/>
          <w:sz w:val="16"/>
          <w:szCs w:val="16"/>
          <w:lang w:val="en-HK"/>
        </w:rPr>
        <w:t xml:space="preserve"> de </w:t>
      </w:r>
      <w:proofErr w:type="spellStart"/>
      <w:r w:rsidRPr="00CE608A">
        <w:rPr>
          <w:rFonts w:eastAsia="Times New Roman"/>
          <w:color w:val="000000" w:themeColor="text1"/>
          <w:sz w:val="16"/>
          <w:szCs w:val="16"/>
          <w:lang w:val="en-HK"/>
        </w:rPr>
        <w:t>Mujeres</w:t>
      </w:r>
      <w:proofErr w:type="spellEnd"/>
      <w:r w:rsidRPr="00CE608A">
        <w:rPr>
          <w:rFonts w:eastAsia="Times New Roman"/>
          <w:color w:val="000000" w:themeColor="text1"/>
          <w:sz w:val="16"/>
          <w:szCs w:val="16"/>
          <w:lang w:val="en-HK"/>
        </w:rPr>
        <w:t xml:space="preserve"> Meretrices de Argentina (AMMAR), HIV Justice Worldwide, What Girls Want Campaign, </w:t>
      </w:r>
      <w:proofErr w:type="spellStart"/>
      <w:r w:rsidRPr="00CE608A">
        <w:rPr>
          <w:rFonts w:eastAsia="Times New Roman"/>
          <w:color w:val="000000" w:themeColor="text1"/>
          <w:sz w:val="16"/>
          <w:szCs w:val="16"/>
          <w:lang w:val="en-HK"/>
        </w:rPr>
        <w:t>Asociación</w:t>
      </w:r>
      <w:proofErr w:type="spellEnd"/>
      <w:r w:rsidRPr="00CE608A">
        <w:rPr>
          <w:rFonts w:eastAsia="Times New Roman"/>
          <w:color w:val="000000" w:themeColor="text1"/>
          <w:sz w:val="16"/>
          <w:szCs w:val="16"/>
          <w:lang w:val="en-HK"/>
        </w:rPr>
        <w:t xml:space="preserve"> </w:t>
      </w:r>
      <w:proofErr w:type="spellStart"/>
      <w:r w:rsidRPr="00CE608A">
        <w:rPr>
          <w:rFonts w:eastAsia="Times New Roman"/>
          <w:color w:val="000000" w:themeColor="text1"/>
          <w:sz w:val="16"/>
          <w:szCs w:val="16"/>
          <w:lang w:val="en-HK"/>
        </w:rPr>
        <w:t>Ciclo</w:t>
      </w:r>
      <w:proofErr w:type="spellEnd"/>
      <w:r w:rsidRPr="00CE608A">
        <w:rPr>
          <w:rFonts w:eastAsia="Times New Roman"/>
          <w:color w:val="000000" w:themeColor="text1"/>
          <w:sz w:val="16"/>
          <w:szCs w:val="16"/>
          <w:lang w:val="en-HK"/>
        </w:rPr>
        <w:t xml:space="preserve"> </w:t>
      </w:r>
      <w:proofErr w:type="spellStart"/>
      <w:r w:rsidRPr="00CE608A">
        <w:rPr>
          <w:rFonts w:eastAsia="Times New Roman"/>
          <w:color w:val="000000" w:themeColor="text1"/>
          <w:sz w:val="16"/>
          <w:szCs w:val="16"/>
          <w:lang w:val="en-HK"/>
        </w:rPr>
        <w:t>Positivo</w:t>
      </w:r>
      <w:proofErr w:type="spellEnd"/>
      <w:r w:rsidRPr="00CE608A">
        <w:rPr>
          <w:rFonts w:eastAsia="Times New Roman"/>
          <w:color w:val="000000" w:themeColor="text1"/>
          <w:sz w:val="16"/>
          <w:szCs w:val="16"/>
          <w:lang w:val="en-HK"/>
        </w:rPr>
        <w:t>, Global Network of People Living with HIV (GNP+), NGO Delegation to the UNADS PCB, Brighton and Sussex Medical School)</w:t>
      </w:r>
    </w:p>
  </w:footnote>
  <w:footnote w:id="118">
    <w:p w14:paraId="63A9555C" w14:textId="77777777" w:rsidR="00C307AD" w:rsidRPr="00CE608A" w:rsidRDefault="00C307AD" w:rsidP="00C307AD">
      <w:pPr>
        <w:rPr>
          <w:color w:val="000000" w:themeColor="text1"/>
          <w:sz w:val="16"/>
          <w:szCs w:val="16"/>
        </w:rPr>
      </w:pPr>
      <w:r w:rsidRPr="00CE608A">
        <w:rPr>
          <w:rStyle w:val="FootnoteReference"/>
          <w:rFonts w:eastAsia="Times New Roman"/>
          <w:sz w:val="16"/>
          <w:szCs w:val="16"/>
        </w:rPr>
        <w:footnoteRef/>
      </w:r>
      <w:r w:rsidRPr="00CE608A">
        <w:rPr>
          <w:rFonts w:eastAsia="Times New Roman"/>
          <w:color w:val="000000" w:themeColor="text1"/>
          <w:sz w:val="16"/>
          <w:szCs w:val="16"/>
          <w:lang w:val="en-GB"/>
        </w:rPr>
        <w:t xml:space="preserve"> The Global Partnership’s community of practice is composed of both UNAIDS’ and GNP+’s regional and country coordinators. UNAIDS’ coordinators provide tailored guidance and assistance to countries and regions (or specific communities e.g., LGBTI+) in advancing the Global Partnership's implementation. GNP+ coordinators are also key partners for in-country implementation and are involved at all levels through national consultations, advocacy campaigns and capacity building. They ensure that communities and advocates are capacitated to meaningful engage with national/international entities for their rights, advocate for policy &amp; legal reform (through targeted anti-discrimination campaigns) and implement interventions. Together these coordinators have built a body of expert knowledge and experience, forming the Global Partnership’s “community of practice.”</w:t>
      </w:r>
    </w:p>
  </w:footnote>
  <w:footnote w:id="119">
    <w:p w14:paraId="723C8A7A" w14:textId="77777777" w:rsidR="00C307AD" w:rsidRPr="00CE608A" w:rsidRDefault="00C307AD" w:rsidP="00C307AD">
      <w:pPr>
        <w:pStyle w:val="FootnoteText"/>
        <w:rPr>
          <w:rFonts w:eastAsia="Cambria"/>
          <w:sz w:val="16"/>
          <w:szCs w:val="16"/>
        </w:rPr>
      </w:pPr>
      <w:r w:rsidRPr="00CE608A">
        <w:rPr>
          <w:rStyle w:val="FootnoteReference"/>
          <w:rFonts w:eastAsia="Times New Roman"/>
          <w:sz w:val="16"/>
          <w:szCs w:val="16"/>
        </w:rPr>
        <w:footnoteRef/>
      </w:r>
      <w:r w:rsidRPr="00CE608A">
        <w:rPr>
          <w:rFonts w:eastAsia="Times New Roman"/>
          <w:sz w:val="16"/>
          <w:szCs w:val="16"/>
        </w:rPr>
        <w:t xml:space="preserve"> Angola, Argentina, Central African Republic, Costa Rica, Cote d’Ivoire, Democratic Republic of the Congo, Ecuador, Gambia, Guatemala, Guinea, Guyana, Iran, Jamaica, Kazakhstan, Kyrgyzstan, Laos, Lesotho, Liberia, Moldova, Mozambique, Nepal, Papua New Guinea, Philippines, Senegal, South Africa, Tajikistan, Thailand, Uganda, Ukraine.</w:t>
      </w:r>
    </w:p>
  </w:footnote>
  <w:footnote w:id="120">
    <w:p w14:paraId="17996548" w14:textId="77777777" w:rsidR="00C307AD" w:rsidRPr="00CE608A" w:rsidRDefault="00C307AD" w:rsidP="00C307AD">
      <w:pPr>
        <w:pStyle w:val="FootnoteText"/>
        <w:rPr>
          <w:rFonts w:eastAsia="Times New Roman"/>
          <w:color w:val="242424"/>
          <w:sz w:val="16"/>
          <w:szCs w:val="16"/>
        </w:rPr>
      </w:pPr>
      <w:r w:rsidRPr="00CE608A">
        <w:rPr>
          <w:rStyle w:val="FootnoteReference"/>
          <w:rFonts w:eastAsia="Times New Roman"/>
          <w:sz w:val="16"/>
          <w:szCs w:val="16"/>
        </w:rPr>
        <w:footnoteRef/>
      </w:r>
      <w:r w:rsidRPr="00CE608A">
        <w:rPr>
          <w:rFonts w:eastAsia="Times New Roman"/>
          <w:sz w:val="16"/>
          <w:szCs w:val="16"/>
        </w:rPr>
        <w:t xml:space="preserve"> </w:t>
      </w:r>
      <w:r w:rsidRPr="00CE608A">
        <w:rPr>
          <w:rFonts w:eastAsia="Times New Roman"/>
          <w:color w:val="242424"/>
          <w:sz w:val="16"/>
          <w:szCs w:val="16"/>
        </w:rPr>
        <w:t xml:space="preserve">Cote d’Ivoire, Democratic Republic of the Congo, Jamaica, Kyrgyzstan, Mozambique, Nepal, Philippines, Senegal, South Africa, </w:t>
      </w:r>
      <w:proofErr w:type="gramStart"/>
      <w:r w:rsidRPr="00CE608A">
        <w:rPr>
          <w:rFonts w:eastAsia="Times New Roman"/>
          <w:color w:val="242424"/>
          <w:sz w:val="16"/>
          <w:szCs w:val="16"/>
        </w:rPr>
        <w:t>Uganda</w:t>
      </w:r>
      <w:proofErr w:type="gramEnd"/>
      <w:r w:rsidRPr="00CE608A">
        <w:rPr>
          <w:rFonts w:eastAsia="Times New Roman"/>
          <w:color w:val="242424"/>
          <w:sz w:val="16"/>
          <w:szCs w:val="16"/>
        </w:rPr>
        <w:t xml:space="preserve"> and Ukraine</w:t>
      </w:r>
    </w:p>
  </w:footnote>
  <w:footnote w:id="121">
    <w:p w14:paraId="130A7172" w14:textId="77777777" w:rsidR="00AD57A1" w:rsidRDefault="00AD57A1" w:rsidP="00AD57A1">
      <w:pPr>
        <w:pStyle w:val="FootnoteText"/>
        <w:rPr>
          <w:rFonts w:ascii="Times New Roman" w:eastAsia="Times New Roman" w:hAnsi="Times New Roman" w:cs="Times New Roman"/>
          <w:color w:val="000000" w:themeColor="text1"/>
          <w:sz w:val="16"/>
          <w:szCs w:val="16"/>
        </w:rPr>
      </w:pPr>
      <w:r w:rsidRPr="056B10B3">
        <w:rPr>
          <w:rStyle w:val="FootnoteReference"/>
          <w:rFonts w:ascii="Times New Roman" w:eastAsia="Times New Roman" w:hAnsi="Times New Roman" w:cs="Times New Roman"/>
          <w:color w:val="000000" w:themeColor="text1"/>
          <w:sz w:val="16"/>
          <w:szCs w:val="16"/>
        </w:rPr>
        <w:footnoteRef/>
      </w:r>
      <w:r w:rsidRPr="056B10B3">
        <w:rPr>
          <w:rFonts w:ascii="Times New Roman" w:eastAsia="Times New Roman" w:hAnsi="Times New Roman" w:cs="Times New Roman"/>
          <w:color w:val="000000" w:themeColor="text1"/>
          <w:sz w:val="16"/>
          <w:szCs w:val="16"/>
        </w:rPr>
        <w:t xml:space="preserve"> Such national strategic plans for comprehensive responses to human rights-related barriers have also been developed with support from the BDB initiative, </w:t>
      </w:r>
      <w:proofErr w:type="gramStart"/>
      <w:r w:rsidRPr="056B10B3">
        <w:rPr>
          <w:rFonts w:ascii="Times New Roman" w:eastAsia="Times New Roman" w:hAnsi="Times New Roman" w:cs="Times New Roman"/>
          <w:color w:val="000000" w:themeColor="text1"/>
          <w:sz w:val="16"/>
          <w:szCs w:val="16"/>
        </w:rPr>
        <w:t>e.g.</w:t>
      </w:r>
      <w:proofErr w:type="gramEnd"/>
      <w:r w:rsidRPr="056B10B3">
        <w:rPr>
          <w:rFonts w:ascii="Times New Roman" w:eastAsia="Times New Roman" w:hAnsi="Times New Roman" w:cs="Times New Roman"/>
          <w:color w:val="000000" w:themeColor="text1"/>
          <w:sz w:val="16"/>
          <w:szCs w:val="16"/>
        </w:rPr>
        <w:t xml:space="preserve"> in Kyrgyzstan, Nepal, Senegal, South Africa, Uganda and Ukraine.</w:t>
      </w:r>
    </w:p>
  </w:footnote>
  <w:footnote w:id="122">
    <w:p w14:paraId="12AEEE18" w14:textId="77777777" w:rsidR="00AD57A1" w:rsidRDefault="00AD57A1" w:rsidP="00AD57A1">
      <w:pPr>
        <w:pStyle w:val="FootnoteText"/>
        <w:rPr>
          <w:rFonts w:ascii="Times New Roman" w:eastAsia="Times New Roman" w:hAnsi="Times New Roman" w:cs="Times New Roman"/>
          <w:color w:val="000000" w:themeColor="text1"/>
          <w:sz w:val="16"/>
          <w:szCs w:val="16"/>
        </w:rPr>
      </w:pPr>
      <w:r w:rsidRPr="056B10B3">
        <w:rPr>
          <w:rStyle w:val="FootnoteReference"/>
          <w:rFonts w:ascii="Times New Roman" w:eastAsia="Times New Roman" w:hAnsi="Times New Roman" w:cs="Times New Roman"/>
          <w:color w:val="000000" w:themeColor="text1"/>
          <w:sz w:val="16"/>
          <w:szCs w:val="16"/>
        </w:rPr>
        <w:footnoteRef/>
      </w:r>
      <w:r w:rsidRPr="056B10B3">
        <w:rPr>
          <w:rFonts w:ascii="Times New Roman" w:eastAsia="Times New Roman" w:hAnsi="Times New Roman" w:cs="Times New Roman"/>
          <w:color w:val="000000" w:themeColor="text1"/>
          <w:sz w:val="16"/>
          <w:szCs w:val="16"/>
        </w:rPr>
        <w:t xml:space="preserve"> </w:t>
      </w:r>
      <w:r w:rsidRPr="056B10B3">
        <w:rPr>
          <w:rFonts w:ascii="Times New Roman" w:eastAsia="Times New Roman" w:hAnsi="Times New Roman" w:cs="Times New Roman"/>
          <w:color w:val="000000" w:themeColor="text1"/>
          <w:sz w:val="16"/>
          <w:szCs w:val="16"/>
          <w:lang w:val="en-HK"/>
        </w:rPr>
        <w:t>featuring 138 interventions (across 10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B511" w14:textId="28B67389" w:rsidR="00154895" w:rsidRDefault="00154895">
    <w:pPr>
      <w:pStyle w:val="Header"/>
    </w:pPr>
    <w:r>
      <w:rPr>
        <w:noProof/>
        <w:lang w:val="fr-FR" w:eastAsia="fr-FR"/>
      </w:rPr>
      <w:drawing>
        <wp:anchor distT="0" distB="0" distL="114300" distR="114300" simplePos="0" relativeHeight="251658240" behindDoc="0" locked="0" layoutInCell="1" allowOverlap="1" wp14:anchorId="7A7B1307" wp14:editId="69293302">
          <wp:simplePos x="0" y="0"/>
          <wp:positionH relativeFrom="column">
            <wp:posOffset>4258733</wp:posOffset>
          </wp:positionH>
          <wp:positionV relativeFrom="paragraph">
            <wp:posOffset>-42122</wp:posOffset>
          </wp:positionV>
          <wp:extent cx="2124075" cy="400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00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0D9"/>
    <w:multiLevelType w:val="multilevel"/>
    <w:tmpl w:val="00F05C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80F47FD"/>
    <w:multiLevelType w:val="hybridMultilevel"/>
    <w:tmpl w:val="E0803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D4E2E"/>
    <w:multiLevelType w:val="hybridMultilevel"/>
    <w:tmpl w:val="FFFFFFFF"/>
    <w:lvl w:ilvl="0" w:tplc="158AB85C">
      <w:start w:val="1"/>
      <w:numFmt w:val="bullet"/>
      <w:lvlText w:val=""/>
      <w:lvlJc w:val="left"/>
      <w:pPr>
        <w:ind w:left="720" w:hanging="360"/>
      </w:pPr>
      <w:rPr>
        <w:rFonts w:ascii="Symbol" w:hAnsi="Symbol" w:hint="default"/>
      </w:rPr>
    </w:lvl>
    <w:lvl w:ilvl="1" w:tplc="2A7AD9FE">
      <w:start w:val="1"/>
      <w:numFmt w:val="bullet"/>
      <w:lvlText w:val="o"/>
      <w:lvlJc w:val="left"/>
      <w:pPr>
        <w:ind w:left="1440" w:hanging="360"/>
      </w:pPr>
      <w:rPr>
        <w:rFonts w:ascii="Courier New" w:hAnsi="Courier New" w:hint="default"/>
      </w:rPr>
    </w:lvl>
    <w:lvl w:ilvl="2" w:tplc="91D88F72">
      <w:start w:val="1"/>
      <w:numFmt w:val="bullet"/>
      <w:lvlText w:val=""/>
      <w:lvlJc w:val="left"/>
      <w:pPr>
        <w:ind w:left="2160" w:hanging="360"/>
      </w:pPr>
      <w:rPr>
        <w:rFonts w:ascii="Wingdings" w:hAnsi="Wingdings" w:hint="default"/>
      </w:rPr>
    </w:lvl>
    <w:lvl w:ilvl="3" w:tplc="778467CA">
      <w:start w:val="1"/>
      <w:numFmt w:val="bullet"/>
      <w:lvlText w:val=""/>
      <w:lvlJc w:val="left"/>
      <w:pPr>
        <w:ind w:left="2880" w:hanging="360"/>
      </w:pPr>
      <w:rPr>
        <w:rFonts w:ascii="Symbol" w:hAnsi="Symbol" w:hint="default"/>
      </w:rPr>
    </w:lvl>
    <w:lvl w:ilvl="4" w:tplc="4C1A1186">
      <w:start w:val="1"/>
      <w:numFmt w:val="bullet"/>
      <w:lvlText w:val="o"/>
      <w:lvlJc w:val="left"/>
      <w:pPr>
        <w:ind w:left="3600" w:hanging="360"/>
      </w:pPr>
      <w:rPr>
        <w:rFonts w:ascii="Courier New" w:hAnsi="Courier New" w:hint="default"/>
      </w:rPr>
    </w:lvl>
    <w:lvl w:ilvl="5" w:tplc="C018EAB8">
      <w:start w:val="1"/>
      <w:numFmt w:val="bullet"/>
      <w:lvlText w:val=""/>
      <w:lvlJc w:val="left"/>
      <w:pPr>
        <w:ind w:left="4320" w:hanging="360"/>
      </w:pPr>
      <w:rPr>
        <w:rFonts w:ascii="Wingdings" w:hAnsi="Wingdings" w:hint="default"/>
      </w:rPr>
    </w:lvl>
    <w:lvl w:ilvl="6" w:tplc="5978C20E">
      <w:start w:val="1"/>
      <w:numFmt w:val="bullet"/>
      <w:lvlText w:val=""/>
      <w:lvlJc w:val="left"/>
      <w:pPr>
        <w:ind w:left="5040" w:hanging="360"/>
      </w:pPr>
      <w:rPr>
        <w:rFonts w:ascii="Symbol" w:hAnsi="Symbol" w:hint="default"/>
      </w:rPr>
    </w:lvl>
    <w:lvl w:ilvl="7" w:tplc="0818BD5C">
      <w:start w:val="1"/>
      <w:numFmt w:val="bullet"/>
      <w:lvlText w:val="o"/>
      <w:lvlJc w:val="left"/>
      <w:pPr>
        <w:ind w:left="5760" w:hanging="360"/>
      </w:pPr>
      <w:rPr>
        <w:rFonts w:ascii="Courier New" w:hAnsi="Courier New" w:hint="default"/>
      </w:rPr>
    </w:lvl>
    <w:lvl w:ilvl="8" w:tplc="121E5844">
      <w:start w:val="1"/>
      <w:numFmt w:val="bullet"/>
      <w:lvlText w:val=""/>
      <w:lvlJc w:val="left"/>
      <w:pPr>
        <w:ind w:left="6480" w:hanging="360"/>
      </w:pPr>
      <w:rPr>
        <w:rFonts w:ascii="Wingdings" w:hAnsi="Wingdings" w:hint="default"/>
      </w:rPr>
    </w:lvl>
  </w:abstractNum>
  <w:abstractNum w:abstractNumId="3" w15:restartNumberingAfterBreak="0">
    <w:nsid w:val="2EE66D65"/>
    <w:multiLevelType w:val="hybridMultilevel"/>
    <w:tmpl w:val="FFFFFFFF"/>
    <w:lvl w:ilvl="0" w:tplc="2CBC8A9C">
      <w:start w:val="1"/>
      <w:numFmt w:val="bullet"/>
      <w:lvlText w:val=""/>
      <w:lvlJc w:val="left"/>
      <w:pPr>
        <w:ind w:left="720" w:hanging="360"/>
      </w:pPr>
      <w:rPr>
        <w:rFonts w:ascii="Symbol" w:hAnsi="Symbol" w:hint="default"/>
      </w:rPr>
    </w:lvl>
    <w:lvl w:ilvl="1" w:tplc="2A6E25D2">
      <w:start w:val="1"/>
      <w:numFmt w:val="bullet"/>
      <w:lvlText w:val="o"/>
      <w:lvlJc w:val="left"/>
      <w:pPr>
        <w:ind w:left="1440" w:hanging="360"/>
      </w:pPr>
      <w:rPr>
        <w:rFonts w:ascii="Courier New" w:hAnsi="Courier New" w:hint="default"/>
      </w:rPr>
    </w:lvl>
    <w:lvl w:ilvl="2" w:tplc="395E4764">
      <w:start w:val="1"/>
      <w:numFmt w:val="bullet"/>
      <w:lvlText w:val=""/>
      <w:lvlJc w:val="left"/>
      <w:pPr>
        <w:ind w:left="2160" w:hanging="360"/>
      </w:pPr>
      <w:rPr>
        <w:rFonts w:ascii="Wingdings" w:hAnsi="Wingdings" w:hint="default"/>
      </w:rPr>
    </w:lvl>
    <w:lvl w:ilvl="3" w:tplc="21EA5B98">
      <w:start w:val="1"/>
      <w:numFmt w:val="bullet"/>
      <w:lvlText w:val=""/>
      <w:lvlJc w:val="left"/>
      <w:pPr>
        <w:ind w:left="2880" w:hanging="360"/>
      </w:pPr>
      <w:rPr>
        <w:rFonts w:ascii="Symbol" w:hAnsi="Symbol" w:hint="default"/>
      </w:rPr>
    </w:lvl>
    <w:lvl w:ilvl="4" w:tplc="4A900264">
      <w:start w:val="1"/>
      <w:numFmt w:val="bullet"/>
      <w:lvlText w:val="o"/>
      <w:lvlJc w:val="left"/>
      <w:pPr>
        <w:ind w:left="3600" w:hanging="360"/>
      </w:pPr>
      <w:rPr>
        <w:rFonts w:ascii="Courier New" w:hAnsi="Courier New" w:hint="default"/>
      </w:rPr>
    </w:lvl>
    <w:lvl w:ilvl="5" w:tplc="168C8258">
      <w:start w:val="1"/>
      <w:numFmt w:val="bullet"/>
      <w:lvlText w:val=""/>
      <w:lvlJc w:val="left"/>
      <w:pPr>
        <w:ind w:left="4320" w:hanging="360"/>
      </w:pPr>
      <w:rPr>
        <w:rFonts w:ascii="Wingdings" w:hAnsi="Wingdings" w:hint="default"/>
      </w:rPr>
    </w:lvl>
    <w:lvl w:ilvl="6" w:tplc="C8108D90">
      <w:start w:val="1"/>
      <w:numFmt w:val="bullet"/>
      <w:lvlText w:val=""/>
      <w:lvlJc w:val="left"/>
      <w:pPr>
        <w:ind w:left="5040" w:hanging="360"/>
      </w:pPr>
      <w:rPr>
        <w:rFonts w:ascii="Symbol" w:hAnsi="Symbol" w:hint="default"/>
      </w:rPr>
    </w:lvl>
    <w:lvl w:ilvl="7" w:tplc="651AF93A">
      <w:start w:val="1"/>
      <w:numFmt w:val="bullet"/>
      <w:lvlText w:val="o"/>
      <w:lvlJc w:val="left"/>
      <w:pPr>
        <w:ind w:left="5760" w:hanging="360"/>
      </w:pPr>
      <w:rPr>
        <w:rFonts w:ascii="Courier New" w:hAnsi="Courier New" w:hint="default"/>
      </w:rPr>
    </w:lvl>
    <w:lvl w:ilvl="8" w:tplc="A9D49B78">
      <w:start w:val="1"/>
      <w:numFmt w:val="bullet"/>
      <w:lvlText w:val=""/>
      <w:lvlJc w:val="left"/>
      <w:pPr>
        <w:ind w:left="6480" w:hanging="360"/>
      </w:pPr>
      <w:rPr>
        <w:rFonts w:ascii="Wingdings" w:hAnsi="Wingdings" w:hint="default"/>
      </w:rPr>
    </w:lvl>
  </w:abstractNum>
  <w:abstractNum w:abstractNumId="4" w15:restartNumberingAfterBreak="0">
    <w:nsid w:val="31F67850"/>
    <w:multiLevelType w:val="hybridMultilevel"/>
    <w:tmpl w:val="E1ECB6A8"/>
    <w:lvl w:ilvl="0" w:tplc="0F14EA5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CD5AB7"/>
    <w:multiLevelType w:val="hybridMultilevel"/>
    <w:tmpl w:val="BCBAC0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C423E4"/>
    <w:multiLevelType w:val="hybridMultilevel"/>
    <w:tmpl w:val="FFFFFFFF"/>
    <w:lvl w:ilvl="0" w:tplc="3EB29410">
      <w:start w:val="1"/>
      <w:numFmt w:val="bullet"/>
      <w:lvlText w:val=""/>
      <w:lvlJc w:val="left"/>
      <w:pPr>
        <w:ind w:left="720" w:hanging="360"/>
      </w:pPr>
      <w:rPr>
        <w:rFonts w:ascii="Symbol" w:hAnsi="Symbol" w:hint="default"/>
      </w:rPr>
    </w:lvl>
    <w:lvl w:ilvl="1" w:tplc="8C7E5ED0">
      <w:start w:val="1"/>
      <w:numFmt w:val="bullet"/>
      <w:lvlText w:val="o"/>
      <w:lvlJc w:val="left"/>
      <w:pPr>
        <w:ind w:left="1440" w:hanging="360"/>
      </w:pPr>
      <w:rPr>
        <w:rFonts w:ascii="Courier New" w:hAnsi="Courier New" w:hint="default"/>
      </w:rPr>
    </w:lvl>
    <w:lvl w:ilvl="2" w:tplc="B2143E18">
      <w:start w:val="1"/>
      <w:numFmt w:val="bullet"/>
      <w:lvlText w:val=""/>
      <w:lvlJc w:val="left"/>
      <w:pPr>
        <w:ind w:left="2160" w:hanging="360"/>
      </w:pPr>
      <w:rPr>
        <w:rFonts w:ascii="Wingdings" w:hAnsi="Wingdings" w:hint="default"/>
      </w:rPr>
    </w:lvl>
    <w:lvl w:ilvl="3" w:tplc="88DABC4C">
      <w:start w:val="1"/>
      <w:numFmt w:val="bullet"/>
      <w:lvlText w:val=""/>
      <w:lvlJc w:val="left"/>
      <w:pPr>
        <w:ind w:left="2880" w:hanging="360"/>
      </w:pPr>
      <w:rPr>
        <w:rFonts w:ascii="Symbol" w:hAnsi="Symbol" w:hint="default"/>
      </w:rPr>
    </w:lvl>
    <w:lvl w:ilvl="4" w:tplc="474A7928">
      <w:start w:val="1"/>
      <w:numFmt w:val="bullet"/>
      <w:lvlText w:val="o"/>
      <w:lvlJc w:val="left"/>
      <w:pPr>
        <w:ind w:left="3600" w:hanging="360"/>
      </w:pPr>
      <w:rPr>
        <w:rFonts w:ascii="Courier New" w:hAnsi="Courier New" w:hint="default"/>
      </w:rPr>
    </w:lvl>
    <w:lvl w:ilvl="5" w:tplc="6C6828F2">
      <w:start w:val="1"/>
      <w:numFmt w:val="bullet"/>
      <w:lvlText w:val=""/>
      <w:lvlJc w:val="left"/>
      <w:pPr>
        <w:ind w:left="4320" w:hanging="360"/>
      </w:pPr>
      <w:rPr>
        <w:rFonts w:ascii="Wingdings" w:hAnsi="Wingdings" w:hint="default"/>
      </w:rPr>
    </w:lvl>
    <w:lvl w:ilvl="6" w:tplc="34CE4A1C">
      <w:start w:val="1"/>
      <w:numFmt w:val="bullet"/>
      <w:lvlText w:val=""/>
      <w:lvlJc w:val="left"/>
      <w:pPr>
        <w:ind w:left="5040" w:hanging="360"/>
      </w:pPr>
      <w:rPr>
        <w:rFonts w:ascii="Symbol" w:hAnsi="Symbol" w:hint="default"/>
      </w:rPr>
    </w:lvl>
    <w:lvl w:ilvl="7" w:tplc="8138C6E0">
      <w:start w:val="1"/>
      <w:numFmt w:val="bullet"/>
      <w:lvlText w:val="o"/>
      <w:lvlJc w:val="left"/>
      <w:pPr>
        <w:ind w:left="5760" w:hanging="360"/>
      </w:pPr>
      <w:rPr>
        <w:rFonts w:ascii="Courier New" w:hAnsi="Courier New" w:hint="default"/>
      </w:rPr>
    </w:lvl>
    <w:lvl w:ilvl="8" w:tplc="175C917C">
      <w:start w:val="1"/>
      <w:numFmt w:val="bullet"/>
      <w:lvlText w:val=""/>
      <w:lvlJc w:val="left"/>
      <w:pPr>
        <w:ind w:left="6480" w:hanging="360"/>
      </w:pPr>
      <w:rPr>
        <w:rFonts w:ascii="Wingdings" w:hAnsi="Wingdings" w:hint="default"/>
      </w:rPr>
    </w:lvl>
  </w:abstractNum>
  <w:abstractNum w:abstractNumId="7" w15:restartNumberingAfterBreak="0">
    <w:nsid w:val="42D2250C"/>
    <w:multiLevelType w:val="hybridMultilevel"/>
    <w:tmpl w:val="FFFFFFFF"/>
    <w:lvl w:ilvl="0" w:tplc="E6422C0A">
      <w:start w:val="1"/>
      <w:numFmt w:val="bullet"/>
      <w:lvlText w:val=""/>
      <w:lvlJc w:val="left"/>
      <w:pPr>
        <w:ind w:left="720" w:hanging="360"/>
      </w:pPr>
      <w:rPr>
        <w:rFonts w:ascii="Symbol" w:hAnsi="Symbol" w:hint="default"/>
      </w:rPr>
    </w:lvl>
    <w:lvl w:ilvl="1" w:tplc="CB88BFB2">
      <w:start w:val="1"/>
      <w:numFmt w:val="bullet"/>
      <w:lvlText w:val="o"/>
      <w:lvlJc w:val="left"/>
      <w:pPr>
        <w:ind w:left="1440" w:hanging="360"/>
      </w:pPr>
      <w:rPr>
        <w:rFonts w:ascii="Courier New" w:hAnsi="Courier New" w:hint="default"/>
      </w:rPr>
    </w:lvl>
    <w:lvl w:ilvl="2" w:tplc="93406994">
      <w:start w:val="1"/>
      <w:numFmt w:val="bullet"/>
      <w:lvlText w:val=""/>
      <w:lvlJc w:val="left"/>
      <w:pPr>
        <w:ind w:left="2160" w:hanging="360"/>
      </w:pPr>
      <w:rPr>
        <w:rFonts w:ascii="Wingdings" w:hAnsi="Wingdings" w:hint="default"/>
      </w:rPr>
    </w:lvl>
    <w:lvl w:ilvl="3" w:tplc="C1EE707C">
      <w:start w:val="1"/>
      <w:numFmt w:val="bullet"/>
      <w:lvlText w:val=""/>
      <w:lvlJc w:val="left"/>
      <w:pPr>
        <w:ind w:left="2880" w:hanging="360"/>
      </w:pPr>
      <w:rPr>
        <w:rFonts w:ascii="Symbol" w:hAnsi="Symbol" w:hint="default"/>
      </w:rPr>
    </w:lvl>
    <w:lvl w:ilvl="4" w:tplc="BCF45534">
      <w:start w:val="1"/>
      <w:numFmt w:val="bullet"/>
      <w:lvlText w:val="o"/>
      <w:lvlJc w:val="left"/>
      <w:pPr>
        <w:ind w:left="3600" w:hanging="360"/>
      </w:pPr>
      <w:rPr>
        <w:rFonts w:ascii="Courier New" w:hAnsi="Courier New" w:hint="default"/>
      </w:rPr>
    </w:lvl>
    <w:lvl w:ilvl="5" w:tplc="466C2E5A">
      <w:start w:val="1"/>
      <w:numFmt w:val="bullet"/>
      <w:lvlText w:val=""/>
      <w:lvlJc w:val="left"/>
      <w:pPr>
        <w:ind w:left="4320" w:hanging="360"/>
      </w:pPr>
      <w:rPr>
        <w:rFonts w:ascii="Wingdings" w:hAnsi="Wingdings" w:hint="default"/>
      </w:rPr>
    </w:lvl>
    <w:lvl w:ilvl="6" w:tplc="AD807E92">
      <w:start w:val="1"/>
      <w:numFmt w:val="bullet"/>
      <w:lvlText w:val=""/>
      <w:lvlJc w:val="left"/>
      <w:pPr>
        <w:ind w:left="5040" w:hanging="360"/>
      </w:pPr>
      <w:rPr>
        <w:rFonts w:ascii="Symbol" w:hAnsi="Symbol" w:hint="default"/>
      </w:rPr>
    </w:lvl>
    <w:lvl w:ilvl="7" w:tplc="03623646">
      <w:start w:val="1"/>
      <w:numFmt w:val="bullet"/>
      <w:lvlText w:val="o"/>
      <w:lvlJc w:val="left"/>
      <w:pPr>
        <w:ind w:left="5760" w:hanging="360"/>
      </w:pPr>
      <w:rPr>
        <w:rFonts w:ascii="Courier New" w:hAnsi="Courier New" w:hint="default"/>
      </w:rPr>
    </w:lvl>
    <w:lvl w:ilvl="8" w:tplc="A3AA35EE">
      <w:start w:val="1"/>
      <w:numFmt w:val="bullet"/>
      <w:lvlText w:val=""/>
      <w:lvlJc w:val="left"/>
      <w:pPr>
        <w:ind w:left="6480" w:hanging="360"/>
      </w:pPr>
      <w:rPr>
        <w:rFonts w:ascii="Wingdings" w:hAnsi="Wingdings" w:hint="default"/>
      </w:rPr>
    </w:lvl>
  </w:abstractNum>
  <w:abstractNum w:abstractNumId="8" w15:restartNumberingAfterBreak="0">
    <w:nsid w:val="464C0687"/>
    <w:multiLevelType w:val="hybridMultilevel"/>
    <w:tmpl w:val="E064FCA2"/>
    <w:lvl w:ilvl="0" w:tplc="0F14EA5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811428"/>
    <w:multiLevelType w:val="multilevel"/>
    <w:tmpl w:val="8B20B20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13D0C1E"/>
    <w:multiLevelType w:val="hybridMultilevel"/>
    <w:tmpl w:val="FFFFFFFF"/>
    <w:lvl w:ilvl="0" w:tplc="3702D54A">
      <w:start w:val="1"/>
      <w:numFmt w:val="bullet"/>
      <w:lvlText w:val=""/>
      <w:lvlJc w:val="left"/>
      <w:pPr>
        <w:ind w:left="720" w:hanging="360"/>
      </w:pPr>
      <w:rPr>
        <w:rFonts w:ascii="Symbol" w:hAnsi="Symbol" w:hint="default"/>
      </w:rPr>
    </w:lvl>
    <w:lvl w:ilvl="1" w:tplc="F50C5982">
      <w:start w:val="1"/>
      <w:numFmt w:val="bullet"/>
      <w:lvlText w:val="o"/>
      <w:lvlJc w:val="left"/>
      <w:pPr>
        <w:ind w:left="1440" w:hanging="360"/>
      </w:pPr>
      <w:rPr>
        <w:rFonts w:ascii="Courier New" w:hAnsi="Courier New" w:hint="default"/>
      </w:rPr>
    </w:lvl>
    <w:lvl w:ilvl="2" w:tplc="41B05C78">
      <w:start w:val="1"/>
      <w:numFmt w:val="bullet"/>
      <w:lvlText w:val=""/>
      <w:lvlJc w:val="left"/>
      <w:pPr>
        <w:ind w:left="2160" w:hanging="360"/>
      </w:pPr>
      <w:rPr>
        <w:rFonts w:ascii="Wingdings" w:hAnsi="Wingdings" w:hint="default"/>
      </w:rPr>
    </w:lvl>
    <w:lvl w:ilvl="3" w:tplc="EFA87E50">
      <w:start w:val="1"/>
      <w:numFmt w:val="bullet"/>
      <w:lvlText w:val=""/>
      <w:lvlJc w:val="left"/>
      <w:pPr>
        <w:ind w:left="2880" w:hanging="360"/>
      </w:pPr>
      <w:rPr>
        <w:rFonts w:ascii="Symbol" w:hAnsi="Symbol" w:hint="default"/>
      </w:rPr>
    </w:lvl>
    <w:lvl w:ilvl="4" w:tplc="383E0682">
      <w:start w:val="1"/>
      <w:numFmt w:val="bullet"/>
      <w:lvlText w:val="o"/>
      <w:lvlJc w:val="left"/>
      <w:pPr>
        <w:ind w:left="3600" w:hanging="360"/>
      </w:pPr>
      <w:rPr>
        <w:rFonts w:ascii="Courier New" w:hAnsi="Courier New" w:hint="default"/>
      </w:rPr>
    </w:lvl>
    <w:lvl w:ilvl="5" w:tplc="23F277E0">
      <w:start w:val="1"/>
      <w:numFmt w:val="bullet"/>
      <w:lvlText w:val=""/>
      <w:lvlJc w:val="left"/>
      <w:pPr>
        <w:ind w:left="4320" w:hanging="360"/>
      </w:pPr>
      <w:rPr>
        <w:rFonts w:ascii="Wingdings" w:hAnsi="Wingdings" w:hint="default"/>
      </w:rPr>
    </w:lvl>
    <w:lvl w:ilvl="6" w:tplc="6A3033BC">
      <w:start w:val="1"/>
      <w:numFmt w:val="bullet"/>
      <w:lvlText w:val=""/>
      <w:lvlJc w:val="left"/>
      <w:pPr>
        <w:ind w:left="5040" w:hanging="360"/>
      </w:pPr>
      <w:rPr>
        <w:rFonts w:ascii="Symbol" w:hAnsi="Symbol" w:hint="default"/>
      </w:rPr>
    </w:lvl>
    <w:lvl w:ilvl="7" w:tplc="0E4CC34A">
      <w:start w:val="1"/>
      <w:numFmt w:val="bullet"/>
      <w:lvlText w:val="o"/>
      <w:lvlJc w:val="left"/>
      <w:pPr>
        <w:ind w:left="5760" w:hanging="360"/>
      </w:pPr>
      <w:rPr>
        <w:rFonts w:ascii="Courier New" w:hAnsi="Courier New" w:hint="default"/>
      </w:rPr>
    </w:lvl>
    <w:lvl w:ilvl="8" w:tplc="7DDAA9F4">
      <w:start w:val="1"/>
      <w:numFmt w:val="bullet"/>
      <w:lvlText w:val=""/>
      <w:lvlJc w:val="left"/>
      <w:pPr>
        <w:ind w:left="6480" w:hanging="360"/>
      </w:pPr>
      <w:rPr>
        <w:rFonts w:ascii="Wingdings" w:hAnsi="Wingdings" w:hint="default"/>
      </w:rPr>
    </w:lvl>
  </w:abstractNum>
  <w:abstractNum w:abstractNumId="11" w15:restartNumberingAfterBreak="0">
    <w:nsid w:val="75D71C87"/>
    <w:multiLevelType w:val="hybridMultilevel"/>
    <w:tmpl w:val="FFFFFFFF"/>
    <w:lvl w:ilvl="0" w:tplc="613E0AB2">
      <w:start w:val="1"/>
      <w:numFmt w:val="bullet"/>
      <w:lvlText w:val=""/>
      <w:lvlJc w:val="left"/>
      <w:pPr>
        <w:ind w:left="720" w:hanging="360"/>
      </w:pPr>
      <w:rPr>
        <w:rFonts w:ascii="Symbol" w:hAnsi="Symbol" w:hint="default"/>
      </w:rPr>
    </w:lvl>
    <w:lvl w:ilvl="1" w:tplc="88849C7E">
      <w:start w:val="1"/>
      <w:numFmt w:val="bullet"/>
      <w:lvlText w:val="o"/>
      <w:lvlJc w:val="left"/>
      <w:pPr>
        <w:ind w:left="1440" w:hanging="360"/>
      </w:pPr>
      <w:rPr>
        <w:rFonts w:ascii="Courier New" w:hAnsi="Courier New" w:hint="default"/>
      </w:rPr>
    </w:lvl>
    <w:lvl w:ilvl="2" w:tplc="1CE6132E">
      <w:start w:val="1"/>
      <w:numFmt w:val="bullet"/>
      <w:lvlText w:val=""/>
      <w:lvlJc w:val="left"/>
      <w:pPr>
        <w:ind w:left="2160" w:hanging="360"/>
      </w:pPr>
      <w:rPr>
        <w:rFonts w:ascii="Wingdings" w:hAnsi="Wingdings" w:hint="default"/>
      </w:rPr>
    </w:lvl>
    <w:lvl w:ilvl="3" w:tplc="30022828">
      <w:start w:val="1"/>
      <w:numFmt w:val="bullet"/>
      <w:lvlText w:val=""/>
      <w:lvlJc w:val="left"/>
      <w:pPr>
        <w:ind w:left="2880" w:hanging="360"/>
      </w:pPr>
      <w:rPr>
        <w:rFonts w:ascii="Symbol" w:hAnsi="Symbol" w:hint="default"/>
      </w:rPr>
    </w:lvl>
    <w:lvl w:ilvl="4" w:tplc="D7B282DC">
      <w:start w:val="1"/>
      <w:numFmt w:val="bullet"/>
      <w:lvlText w:val="o"/>
      <w:lvlJc w:val="left"/>
      <w:pPr>
        <w:ind w:left="3600" w:hanging="360"/>
      </w:pPr>
      <w:rPr>
        <w:rFonts w:ascii="Courier New" w:hAnsi="Courier New" w:hint="default"/>
      </w:rPr>
    </w:lvl>
    <w:lvl w:ilvl="5" w:tplc="C986C1FE">
      <w:start w:val="1"/>
      <w:numFmt w:val="bullet"/>
      <w:lvlText w:val=""/>
      <w:lvlJc w:val="left"/>
      <w:pPr>
        <w:ind w:left="4320" w:hanging="360"/>
      </w:pPr>
      <w:rPr>
        <w:rFonts w:ascii="Wingdings" w:hAnsi="Wingdings" w:hint="default"/>
      </w:rPr>
    </w:lvl>
    <w:lvl w:ilvl="6" w:tplc="DFCE6D56">
      <w:start w:val="1"/>
      <w:numFmt w:val="bullet"/>
      <w:lvlText w:val=""/>
      <w:lvlJc w:val="left"/>
      <w:pPr>
        <w:ind w:left="5040" w:hanging="360"/>
      </w:pPr>
      <w:rPr>
        <w:rFonts w:ascii="Symbol" w:hAnsi="Symbol" w:hint="default"/>
      </w:rPr>
    </w:lvl>
    <w:lvl w:ilvl="7" w:tplc="D9CCFCC0">
      <w:start w:val="1"/>
      <w:numFmt w:val="bullet"/>
      <w:lvlText w:val="o"/>
      <w:lvlJc w:val="left"/>
      <w:pPr>
        <w:ind w:left="5760" w:hanging="360"/>
      </w:pPr>
      <w:rPr>
        <w:rFonts w:ascii="Courier New" w:hAnsi="Courier New" w:hint="default"/>
      </w:rPr>
    </w:lvl>
    <w:lvl w:ilvl="8" w:tplc="094AC24E">
      <w:start w:val="1"/>
      <w:numFmt w:val="bullet"/>
      <w:lvlText w:val=""/>
      <w:lvlJc w:val="left"/>
      <w:pPr>
        <w:ind w:left="6480" w:hanging="360"/>
      </w:pPr>
      <w:rPr>
        <w:rFonts w:ascii="Wingdings" w:hAnsi="Wingdings" w:hint="default"/>
      </w:rPr>
    </w:lvl>
  </w:abstractNum>
  <w:abstractNum w:abstractNumId="12" w15:restartNumberingAfterBreak="0">
    <w:nsid w:val="7BBC281F"/>
    <w:multiLevelType w:val="hybridMultilevel"/>
    <w:tmpl w:val="0FD81E0E"/>
    <w:lvl w:ilvl="0" w:tplc="536247B2">
      <w:start w:val="1"/>
      <w:numFmt w:val="bullet"/>
      <w:lvlText w:val=""/>
      <w:lvlJc w:val="left"/>
      <w:pPr>
        <w:ind w:left="720" w:hanging="360"/>
      </w:pPr>
      <w:rPr>
        <w:rFonts w:ascii="Symbol" w:hAnsi="Symbol" w:hint="default"/>
        <w:color w:val="000000" w:themeColor="text1"/>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0"/>
  </w:num>
  <w:num w:numId="9">
    <w:abstractNumId w:val="6"/>
  </w:num>
  <w:num w:numId="10">
    <w:abstractNumId w:val="11"/>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MrM0NTU1MDQwtTBW0lEKTi0uzszPAykwrAUAySMWsCwAAAA="/>
  </w:docVars>
  <w:rsids>
    <w:rsidRoot w:val="0022150F"/>
    <w:rsid w:val="00000A6B"/>
    <w:rsid w:val="00000E03"/>
    <w:rsid w:val="00002977"/>
    <w:rsid w:val="000030C2"/>
    <w:rsid w:val="0000642B"/>
    <w:rsid w:val="00007CFF"/>
    <w:rsid w:val="000100CF"/>
    <w:rsid w:val="0001233C"/>
    <w:rsid w:val="000147C6"/>
    <w:rsid w:val="0001546F"/>
    <w:rsid w:val="00017594"/>
    <w:rsid w:val="000227C6"/>
    <w:rsid w:val="00023393"/>
    <w:rsid w:val="0002475F"/>
    <w:rsid w:val="00025137"/>
    <w:rsid w:val="000260A1"/>
    <w:rsid w:val="00026472"/>
    <w:rsid w:val="0003172E"/>
    <w:rsid w:val="00031EBD"/>
    <w:rsid w:val="0003447F"/>
    <w:rsid w:val="00035449"/>
    <w:rsid w:val="0004220E"/>
    <w:rsid w:val="0004303A"/>
    <w:rsid w:val="000445DB"/>
    <w:rsid w:val="00051826"/>
    <w:rsid w:val="00057AB0"/>
    <w:rsid w:val="000622C8"/>
    <w:rsid w:val="00063059"/>
    <w:rsid w:val="0006409D"/>
    <w:rsid w:val="00064629"/>
    <w:rsid w:val="0006495A"/>
    <w:rsid w:val="00067044"/>
    <w:rsid w:val="00067F0B"/>
    <w:rsid w:val="00070682"/>
    <w:rsid w:val="0007189F"/>
    <w:rsid w:val="00072B9E"/>
    <w:rsid w:val="000738A2"/>
    <w:rsid w:val="00073C74"/>
    <w:rsid w:val="000742F9"/>
    <w:rsid w:val="0007789D"/>
    <w:rsid w:val="000812DF"/>
    <w:rsid w:val="00082E9B"/>
    <w:rsid w:val="000841B2"/>
    <w:rsid w:val="00085F20"/>
    <w:rsid w:val="00090668"/>
    <w:rsid w:val="000914C8"/>
    <w:rsid w:val="0009495B"/>
    <w:rsid w:val="00095663"/>
    <w:rsid w:val="0009662F"/>
    <w:rsid w:val="00096B40"/>
    <w:rsid w:val="000A035B"/>
    <w:rsid w:val="000A7107"/>
    <w:rsid w:val="000A736B"/>
    <w:rsid w:val="000B0182"/>
    <w:rsid w:val="000B0645"/>
    <w:rsid w:val="000B0CA5"/>
    <w:rsid w:val="000B1935"/>
    <w:rsid w:val="000B25F1"/>
    <w:rsid w:val="000B3136"/>
    <w:rsid w:val="000B58CD"/>
    <w:rsid w:val="000C0AED"/>
    <w:rsid w:val="000C35D0"/>
    <w:rsid w:val="000C6021"/>
    <w:rsid w:val="000C6CCF"/>
    <w:rsid w:val="000D0441"/>
    <w:rsid w:val="000D3F78"/>
    <w:rsid w:val="000D4C31"/>
    <w:rsid w:val="000D7461"/>
    <w:rsid w:val="000E2450"/>
    <w:rsid w:val="000E2C94"/>
    <w:rsid w:val="000E4AC3"/>
    <w:rsid w:val="000F0E97"/>
    <w:rsid w:val="000F1D3E"/>
    <w:rsid w:val="000F240E"/>
    <w:rsid w:val="000F443E"/>
    <w:rsid w:val="000F57BD"/>
    <w:rsid w:val="000F65DF"/>
    <w:rsid w:val="000F6C47"/>
    <w:rsid w:val="000F7A82"/>
    <w:rsid w:val="000F7E03"/>
    <w:rsid w:val="000F7E88"/>
    <w:rsid w:val="00101D0B"/>
    <w:rsid w:val="00102E62"/>
    <w:rsid w:val="001040AB"/>
    <w:rsid w:val="00105508"/>
    <w:rsid w:val="00106FC1"/>
    <w:rsid w:val="001105C0"/>
    <w:rsid w:val="00113381"/>
    <w:rsid w:val="00113B49"/>
    <w:rsid w:val="001141C0"/>
    <w:rsid w:val="00115A98"/>
    <w:rsid w:val="001168FD"/>
    <w:rsid w:val="00120BE4"/>
    <w:rsid w:val="001228EF"/>
    <w:rsid w:val="001263FE"/>
    <w:rsid w:val="00126765"/>
    <w:rsid w:val="00126F37"/>
    <w:rsid w:val="001300B6"/>
    <w:rsid w:val="00130904"/>
    <w:rsid w:val="00132CAE"/>
    <w:rsid w:val="00134EA5"/>
    <w:rsid w:val="0013563F"/>
    <w:rsid w:val="00137449"/>
    <w:rsid w:val="00140B2F"/>
    <w:rsid w:val="00142342"/>
    <w:rsid w:val="00143BDB"/>
    <w:rsid w:val="00146F90"/>
    <w:rsid w:val="0014715F"/>
    <w:rsid w:val="00150533"/>
    <w:rsid w:val="00154895"/>
    <w:rsid w:val="00155806"/>
    <w:rsid w:val="00161497"/>
    <w:rsid w:val="00165420"/>
    <w:rsid w:val="00165A41"/>
    <w:rsid w:val="00165BDF"/>
    <w:rsid w:val="00167B7F"/>
    <w:rsid w:val="00172101"/>
    <w:rsid w:val="001729C7"/>
    <w:rsid w:val="0017350D"/>
    <w:rsid w:val="00176A08"/>
    <w:rsid w:val="00176D86"/>
    <w:rsid w:val="001863B5"/>
    <w:rsid w:val="00191C8A"/>
    <w:rsid w:val="00192891"/>
    <w:rsid w:val="00194B15"/>
    <w:rsid w:val="001A106F"/>
    <w:rsid w:val="001A1EC5"/>
    <w:rsid w:val="001A4971"/>
    <w:rsid w:val="001A51AC"/>
    <w:rsid w:val="001A5CEF"/>
    <w:rsid w:val="001B0F8F"/>
    <w:rsid w:val="001B27EB"/>
    <w:rsid w:val="001B53F0"/>
    <w:rsid w:val="001B6B98"/>
    <w:rsid w:val="001B7025"/>
    <w:rsid w:val="001C07CE"/>
    <w:rsid w:val="001C09AF"/>
    <w:rsid w:val="001C2C4A"/>
    <w:rsid w:val="001C579D"/>
    <w:rsid w:val="001C677C"/>
    <w:rsid w:val="001C74FB"/>
    <w:rsid w:val="001D0988"/>
    <w:rsid w:val="001D5FDA"/>
    <w:rsid w:val="001E03B2"/>
    <w:rsid w:val="001E244B"/>
    <w:rsid w:val="001E486B"/>
    <w:rsid w:val="001E48ED"/>
    <w:rsid w:val="001E4D03"/>
    <w:rsid w:val="001E5734"/>
    <w:rsid w:val="001E5872"/>
    <w:rsid w:val="001F3F55"/>
    <w:rsid w:val="001F49FF"/>
    <w:rsid w:val="001F726C"/>
    <w:rsid w:val="00200EC8"/>
    <w:rsid w:val="002067EE"/>
    <w:rsid w:val="00206D99"/>
    <w:rsid w:val="00210410"/>
    <w:rsid w:val="002112DB"/>
    <w:rsid w:val="00216922"/>
    <w:rsid w:val="002175EB"/>
    <w:rsid w:val="0022150F"/>
    <w:rsid w:val="00221FDA"/>
    <w:rsid w:val="002239A6"/>
    <w:rsid w:val="00224366"/>
    <w:rsid w:val="002306D0"/>
    <w:rsid w:val="00234D5D"/>
    <w:rsid w:val="00237A3A"/>
    <w:rsid w:val="00237BEB"/>
    <w:rsid w:val="00240BA6"/>
    <w:rsid w:val="00244E66"/>
    <w:rsid w:val="002464EE"/>
    <w:rsid w:val="0025015F"/>
    <w:rsid w:val="002510E3"/>
    <w:rsid w:val="00255080"/>
    <w:rsid w:val="0026160A"/>
    <w:rsid w:val="00263C83"/>
    <w:rsid w:val="0026432F"/>
    <w:rsid w:val="00265670"/>
    <w:rsid w:val="00266C15"/>
    <w:rsid w:val="00270E33"/>
    <w:rsid w:val="0027362E"/>
    <w:rsid w:val="0028036A"/>
    <w:rsid w:val="00280AA3"/>
    <w:rsid w:val="00280DF3"/>
    <w:rsid w:val="002815F3"/>
    <w:rsid w:val="00282022"/>
    <w:rsid w:val="0028386D"/>
    <w:rsid w:val="00284330"/>
    <w:rsid w:val="00285B38"/>
    <w:rsid w:val="0028719A"/>
    <w:rsid w:val="00290272"/>
    <w:rsid w:val="00290404"/>
    <w:rsid w:val="00290AAD"/>
    <w:rsid w:val="002924D2"/>
    <w:rsid w:val="002930AC"/>
    <w:rsid w:val="002941AE"/>
    <w:rsid w:val="0029496E"/>
    <w:rsid w:val="002962A0"/>
    <w:rsid w:val="00297CCE"/>
    <w:rsid w:val="002A21E3"/>
    <w:rsid w:val="002A2E06"/>
    <w:rsid w:val="002A2FBC"/>
    <w:rsid w:val="002A45EE"/>
    <w:rsid w:val="002A5DC7"/>
    <w:rsid w:val="002B53BC"/>
    <w:rsid w:val="002C0F79"/>
    <w:rsid w:val="002C2F35"/>
    <w:rsid w:val="002C3360"/>
    <w:rsid w:val="002C39E5"/>
    <w:rsid w:val="002C5447"/>
    <w:rsid w:val="002C54CB"/>
    <w:rsid w:val="002C64C8"/>
    <w:rsid w:val="002C6D31"/>
    <w:rsid w:val="002C7173"/>
    <w:rsid w:val="002D0651"/>
    <w:rsid w:val="002D162C"/>
    <w:rsid w:val="002D297E"/>
    <w:rsid w:val="002D2A26"/>
    <w:rsid w:val="002D3CDC"/>
    <w:rsid w:val="002D471C"/>
    <w:rsid w:val="002D6FD8"/>
    <w:rsid w:val="002E11E5"/>
    <w:rsid w:val="002E19B8"/>
    <w:rsid w:val="002E31D4"/>
    <w:rsid w:val="002E327A"/>
    <w:rsid w:val="002E43C7"/>
    <w:rsid w:val="002E4F58"/>
    <w:rsid w:val="002E559B"/>
    <w:rsid w:val="002E56F3"/>
    <w:rsid w:val="002E75F2"/>
    <w:rsid w:val="002F12E9"/>
    <w:rsid w:val="002F4987"/>
    <w:rsid w:val="003004FF"/>
    <w:rsid w:val="00300EBB"/>
    <w:rsid w:val="003025F8"/>
    <w:rsid w:val="00302E48"/>
    <w:rsid w:val="00305724"/>
    <w:rsid w:val="00305D83"/>
    <w:rsid w:val="00307813"/>
    <w:rsid w:val="0031023B"/>
    <w:rsid w:val="003138C5"/>
    <w:rsid w:val="00313A65"/>
    <w:rsid w:val="003145A1"/>
    <w:rsid w:val="003150C4"/>
    <w:rsid w:val="003200C4"/>
    <w:rsid w:val="00320562"/>
    <w:rsid w:val="00320A0B"/>
    <w:rsid w:val="00320B94"/>
    <w:rsid w:val="00322C16"/>
    <w:rsid w:val="003230C4"/>
    <w:rsid w:val="00323BEB"/>
    <w:rsid w:val="00327F65"/>
    <w:rsid w:val="00331794"/>
    <w:rsid w:val="003329A0"/>
    <w:rsid w:val="00333489"/>
    <w:rsid w:val="003341A7"/>
    <w:rsid w:val="00336F33"/>
    <w:rsid w:val="00340665"/>
    <w:rsid w:val="003409D0"/>
    <w:rsid w:val="00341E5B"/>
    <w:rsid w:val="00342081"/>
    <w:rsid w:val="00342D10"/>
    <w:rsid w:val="0034465F"/>
    <w:rsid w:val="00344E0B"/>
    <w:rsid w:val="00345CCE"/>
    <w:rsid w:val="00346837"/>
    <w:rsid w:val="00346F6A"/>
    <w:rsid w:val="0034718C"/>
    <w:rsid w:val="00350018"/>
    <w:rsid w:val="00355727"/>
    <w:rsid w:val="00360EB9"/>
    <w:rsid w:val="0036362B"/>
    <w:rsid w:val="00364FED"/>
    <w:rsid w:val="00366864"/>
    <w:rsid w:val="003668F3"/>
    <w:rsid w:val="00366CDD"/>
    <w:rsid w:val="0036721E"/>
    <w:rsid w:val="003706A8"/>
    <w:rsid w:val="003714AE"/>
    <w:rsid w:val="003721D4"/>
    <w:rsid w:val="00373053"/>
    <w:rsid w:val="003752D3"/>
    <w:rsid w:val="003755D2"/>
    <w:rsid w:val="003764C3"/>
    <w:rsid w:val="0038172D"/>
    <w:rsid w:val="00382BA6"/>
    <w:rsid w:val="003840F8"/>
    <w:rsid w:val="0038532B"/>
    <w:rsid w:val="00386590"/>
    <w:rsid w:val="00390344"/>
    <w:rsid w:val="0039154E"/>
    <w:rsid w:val="00393CAB"/>
    <w:rsid w:val="003945E9"/>
    <w:rsid w:val="00396DD9"/>
    <w:rsid w:val="003A63A4"/>
    <w:rsid w:val="003A7839"/>
    <w:rsid w:val="003B0498"/>
    <w:rsid w:val="003B083F"/>
    <w:rsid w:val="003B3F1A"/>
    <w:rsid w:val="003B4AFE"/>
    <w:rsid w:val="003B57A9"/>
    <w:rsid w:val="003B58F3"/>
    <w:rsid w:val="003C1A09"/>
    <w:rsid w:val="003C3CB5"/>
    <w:rsid w:val="003C49A0"/>
    <w:rsid w:val="003C5CE5"/>
    <w:rsid w:val="003D24A9"/>
    <w:rsid w:val="003D3C89"/>
    <w:rsid w:val="003D4D94"/>
    <w:rsid w:val="003D52D2"/>
    <w:rsid w:val="003D757A"/>
    <w:rsid w:val="003E1DC9"/>
    <w:rsid w:val="003E2AA0"/>
    <w:rsid w:val="003E2E43"/>
    <w:rsid w:val="003E3C62"/>
    <w:rsid w:val="003E53B1"/>
    <w:rsid w:val="003E5B04"/>
    <w:rsid w:val="003F05E5"/>
    <w:rsid w:val="003F2C42"/>
    <w:rsid w:val="003F30A1"/>
    <w:rsid w:val="003F4A3A"/>
    <w:rsid w:val="003F5196"/>
    <w:rsid w:val="003F630C"/>
    <w:rsid w:val="003F6C54"/>
    <w:rsid w:val="003F7071"/>
    <w:rsid w:val="003F7933"/>
    <w:rsid w:val="004017CF"/>
    <w:rsid w:val="00401B91"/>
    <w:rsid w:val="0040225C"/>
    <w:rsid w:val="00402C91"/>
    <w:rsid w:val="00406D79"/>
    <w:rsid w:val="00406DE2"/>
    <w:rsid w:val="00407001"/>
    <w:rsid w:val="004076E8"/>
    <w:rsid w:val="00411FD8"/>
    <w:rsid w:val="00413023"/>
    <w:rsid w:val="004156E5"/>
    <w:rsid w:val="00415CE0"/>
    <w:rsid w:val="00415EB0"/>
    <w:rsid w:val="00416C1B"/>
    <w:rsid w:val="0041717A"/>
    <w:rsid w:val="00417B79"/>
    <w:rsid w:val="00420D95"/>
    <w:rsid w:val="00422426"/>
    <w:rsid w:val="00422E0D"/>
    <w:rsid w:val="00424A67"/>
    <w:rsid w:val="00424B59"/>
    <w:rsid w:val="004254EB"/>
    <w:rsid w:val="00425952"/>
    <w:rsid w:val="00431302"/>
    <w:rsid w:val="00432C0D"/>
    <w:rsid w:val="004364C0"/>
    <w:rsid w:val="00436962"/>
    <w:rsid w:val="0044075E"/>
    <w:rsid w:val="00442717"/>
    <w:rsid w:val="004427BC"/>
    <w:rsid w:val="0044299D"/>
    <w:rsid w:val="00444C27"/>
    <w:rsid w:val="00450833"/>
    <w:rsid w:val="00450876"/>
    <w:rsid w:val="00452474"/>
    <w:rsid w:val="0045419C"/>
    <w:rsid w:val="00461624"/>
    <w:rsid w:val="00462328"/>
    <w:rsid w:val="004700E2"/>
    <w:rsid w:val="0047118F"/>
    <w:rsid w:val="004711F7"/>
    <w:rsid w:val="00471607"/>
    <w:rsid w:val="00471D21"/>
    <w:rsid w:val="00473B3F"/>
    <w:rsid w:val="00473C19"/>
    <w:rsid w:val="00473E36"/>
    <w:rsid w:val="0047488B"/>
    <w:rsid w:val="00474C52"/>
    <w:rsid w:val="00480A5C"/>
    <w:rsid w:val="00481705"/>
    <w:rsid w:val="00483226"/>
    <w:rsid w:val="00483D75"/>
    <w:rsid w:val="00483F75"/>
    <w:rsid w:val="00486258"/>
    <w:rsid w:val="00487060"/>
    <w:rsid w:val="004876C7"/>
    <w:rsid w:val="00487CE6"/>
    <w:rsid w:val="00490899"/>
    <w:rsid w:val="004926C7"/>
    <w:rsid w:val="00494726"/>
    <w:rsid w:val="004A572D"/>
    <w:rsid w:val="004B0505"/>
    <w:rsid w:val="004B17B0"/>
    <w:rsid w:val="004B1AA1"/>
    <w:rsid w:val="004B309D"/>
    <w:rsid w:val="004B73A1"/>
    <w:rsid w:val="004B7A0C"/>
    <w:rsid w:val="004C08FD"/>
    <w:rsid w:val="004D1784"/>
    <w:rsid w:val="004D3593"/>
    <w:rsid w:val="004D3ACD"/>
    <w:rsid w:val="004D3F4D"/>
    <w:rsid w:val="004D5180"/>
    <w:rsid w:val="004E014B"/>
    <w:rsid w:val="004E136D"/>
    <w:rsid w:val="004E2131"/>
    <w:rsid w:val="004E6169"/>
    <w:rsid w:val="004E6901"/>
    <w:rsid w:val="004F0F67"/>
    <w:rsid w:val="004F291F"/>
    <w:rsid w:val="004F34AE"/>
    <w:rsid w:val="004F3635"/>
    <w:rsid w:val="004F37D4"/>
    <w:rsid w:val="004F4F97"/>
    <w:rsid w:val="004F6B6D"/>
    <w:rsid w:val="00500112"/>
    <w:rsid w:val="00503361"/>
    <w:rsid w:val="00505D2E"/>
    <w:rsid w:val="00510CB1"/>
    <w:rsid w:val="00512205"/>
    <w:rsid w:val="005127DA"/>
    <w:rsid w:val="005155C0"/>
    <w:rsid w:val="005177A4"/>
    <w:rsid w:val="005202E9"/>
    <w:rsid w:val="005208FB"/>
    <w:rsid w:val="00520ED9"/>
    <w:rsid w:val="00522669"/>
    <w:rsid w:val="00525779"/>
    <w:rsid w:val="0052578A"/>
    <w:rsid w:val="005266A9"/>
    <w:rsid w:val="00527D70"/>
    <w:rsid w:val="00530254"/>
    <w:rsid w:val="005305C0"/>
    <w:rsid w:val="00533D0F"/>
    <w:rsid w:val="005342BC"/>
    <w:rsid w:val="0053473B"/>
    <w:rsid w:val="0053520E"/>
    <w:rsid w:val="0053594C"/>
    <w:rsid w:val="00536434"/>
    <w:rsid w:val="0054208E"/>
    <w:rsid w:val="00543837"/>
    <w:rsid w:val="0054620B"/>
    <w:rsid w:val="005531E7"/>
    <w:rsid w:val="00553333"/>
    <w:rsid w:val="00553E7B"/>
    <w:rsid w:val="0055489B"/>
    <w:rsid w:val="005605D0"/>
    <w:rsid w:val="00570852"/>
    <w:rsid w:val="00570CA3"/>
    <w:rsid w:val="0057172E"/>
    <w:rsid w:val="00573D1D"/>
    <w:rsid w:val="00577CF9"/>
    <w:rsid w:val="00580001"/>
    <w:rsid w:val="005808A6"/>
    <w:rsid w:val="00581590"/>
    <w:rsid w:val="005820FD"/>
    <w:rsid w:val="0058433F"/>
    <w:rsid w:val="005853D9"/>
    <w:rsid w:val="00585AD6"/>
    <w:rsid w:val="00586FBD"/>
    <w:rsid w:val="0058738F"/>
    <w:rsid w:val="00587B42"/>
    <w:rsid w:val="005900F5"/>
    <w:rsid w:val="0059018F"/>
    <w:rsid w:val="00590E07"/>
    <w:rsid w:val="005912FD"/>
    <w:rsid w:val="00592AD0"/>
    <w:rsid w:val="00593AA8"/>
    <w:rsid w:val="005944DC"/>
    <w:rsid w:val="00594777"/>
    <w:rsid w:val="005962AE"/>
    <w:rsid w:val="00596C34"/>
    <w:rsid w:val="005A19B7"/>
    <w:rsid w:val="005A6DA4"/>
    <w:rsid w:val="005B167C"/>
    <w:rsid w:val="005B24A0"/>
    <w:rsid w:val="005B2819"/>
    <w:rsid w:val="005B5E61"/>
    <w:rsid w:val="005B62A4"/>
    <w:rsid w:val="005C0641"/>
    <w:rsid w:val="005C0781"/>
    <w:rsid w:val="005C39C3"/>
    <w:rsid w:val="005C619B"/>
    <w:rsid w:val="005C67BB"/>
    <w:rsid w:val="005D062D"/>
    <w:rsid w:val="005D0838"/>
    <w:rsid w:val="005D0A61"/>
    <w:rsid w:val="005D22EC"/>
    <w:rsid w:val="005D43CC"/>
    <w:rsid w:val="005D6F3D"/>
    <w:rsid w:val="005E012F"/>
    <w:rsid w:val="005E0F54"/>
    <w:rsid w:val="005E149B"/>
    <w:rsid w:val="005E3B13"/>
    <w:rsid w:val="005E591C"/>
    <w:rsid w:val="005E641C"/>
    <w:rsid w:val="005E6FF9"/>
    <w:rsid w:val="005F0961"/>
    <w:rsid w:val="005F3677"/>
    <w:rsid w:val="005F4F66"/>
    <w:rsid w:val="00600C93"/>
    <w:rsid w:val="006027B5"/>
    <w:rsid w:val="00603C8F"/>
    <w:rsid w:val="00604272"/>
    <w:rsid w:val="006044A7"/>
    <w:rsid w:val="00607534"/>
    <w:rsid w:val="00607FB9"/>
    <w:rsid w:val="006123C6"/>
    <w:rsid w:val="00613411"/>
    <w:rsid w:val="0061348C"/>
    <w:rsid w:val="00614BAD"/>
    <w:rsid w:val="0061536D"/>
    <w:rsid w:val="006168F0"/>
    <w:rsid w:val="00617A2C"/>
    <w:rsid w:val="006225E7"/>
    <w:rsid w:val="006316B2"/>
    <w:rsid w:val="00631902"/>
    <w:rsid w:val="006345AD"/>
    <w:rsid w:val="00635FAA"/>
    <w:rsid w:val="00640739"/>
    <w:rsid w:val="00640989"/>
    <w:rsid w:val="00640E34"/>
    <w:rsid w:val="006468C9"/>
    <w:rsid w:val="0064703C"/>
    <w:rsid w:val="00650BD7"/>
    <w:rsid w:val="00651606"/>
    <w:rsid w:val="006539B8"/>
    <w:rsid w:val="00654A37"/>
    <w:rsid w:val="00655D26"/>
    <w:rsid w:val="00656BEF"/>
    <w:rsid w:val="006612A9"/>
    <w:rsid w:val="00661503"/>
    <w:rsid w:val="00662B5D"/>
    <w:rsid w:val="006650C5"/>
    <w:rsid w:val="00665D59"/>
    <w:rsid w:val="00666D16"/>
    <w:rsid w:val="00667403"/>
    <w:rsid w:val="0067130C"/>
    <w:rsid w:val="0067168C"/>
    <w:rsid w:val="006728D4"/>
    <w:rsid w:val="00673DD4"/>
    <w:rsid w:val="00674634"/>
    <w:rsid w:val="006752A7"/>
    <w:rsid w:val="00676F2E"/>
    <w:rsid w:val="006810F7"/>
    <w:rsid w:val="006814FA"/>
    <w:rsid w:val="00685B0D"/>
    <w:rsid w:val="00687C98"/>
    <w:rsid w:val="006915C2"/>
    <w:rsid w:val="00691B69"/>
    <w:rsid w:val="00693794"/>
    <w:rsid w:val="00694DB9"/>
    <w:rsid w:val="00695780"/>
    <w:rsid w:val="00696613"/>
    <w:rsid w:val="006968C6"/>
    <w:rsid w:val="00696F76"/>
    <w:rsid w:val="006A1B4C"/>
    <w:rsid w:val="006A2321"/>
    <w:rsid w:val="006A49CF"/>
    <w:rsid w:val="006A52A8"/>
    <w:rsid w:val="006B3DCA"/>
    <w:rsid w:val="006B48D5"/>
    <w:rsid w:val="006C101C"/>
    <w:rsid w:val="006C1129"/>
    <w:rsid w:val="006C44B6"/>
    <w:rsid w:val="006C5119"/>
    <w:rsid w:val="006C708E"/>
    <w:rsid w:val="006D379D"/>
    <w:rsid w:val="006D41D3"/>
    <w:rsid w:val="006D5688"/>
    <w:rsid w:val="006D69CF"/>
    <w:rsid w:val="006E264B"/>
    <w:rsid w:val="006E2729"/>
    <w:rsid w:val="006E3C4F"/>
    <w:rsid w:val="006E4340"/>
    <w:rsid w:val="006E69DA"/>
    <w:rsid w:val="006F1A72"/>
    <w:rsid w:val="006F32E4"/>
    <w:rsid w:val="006F4DCF"/>
    <w:rsid w:val="006F70E5"/>
    <w:rsid w:val="00700FBE"/>
    <w:rsid w:val="00701DC1"/>
    <w:rsid w:val="00702AD5"/>
    <w:rsid w:val="00703734"/>
    <w:rsid w:val="007040AA"/>
    <w:rsid w:val="00705CD1"/>
    <w:rsid w:val="00707CC6"/>
    <w:rsid w:val="00712073"/>
    <w:rsid w:val="00715C15"/>
    <w:rsid w:val="0071666E"/>
    <w:rsid w:val="00721E9E"/>
    <w:rsid w:val="00724B50"/>
    <w:rsid w:val="00730A3B"/>
    <w:rsid w:val="0073181A"/>
    <w:rsid w:val="00732041"/>
    <w:rsid w:val="007325DA"/>
    <w:rsid w:val="00732AAD"/>
    <w:rsid w:val="00732D71"/>
    <w:rsid w:val="0073798A"/>
    <w:rsid w:val="00737F00"/>
    <w:rsid w:val="00737FC3"/>
    <w:rsid w:val="00741906"/>
    <w:rsid w:val="00741C93"/>
    <w:rsid w:val="0074353F"/>
    <w:rsid w:val="007437D1"/>
    <w:rsid w:val="007441DB"/>
    <w:rsid w:val="00744C45"/>
    <w:rsid w:val="00746659"/>
    <w:rsid w:val="00750D61"/>
    <w:rsid w:val="00752450"/>
    <w:rsid w:val="00753768"/>
    <w:rsid w:val="00753F44"/>
    <w:rsid w:val="00754EF6"/>
    <w:rsid w:val="0075681C"/>
    <w:rsid w:val="00756CB3"/>
    <w:rsid w:val="0075728B"/>
    <w:rsid w:val="00761A65"/>
    <w:rsid w:val="00762B78"/>
    <w:rsid w:val="00764633"/>
    <w:rsid w:val="00765FCF"/>
    <w:rsid w:val="00772E8C"/>
    <w:rsid w:val="007754BD"/>
    <w:rsid w:val="00777F79"/>
    <w:rsid w:val="00780499"/>
    <w:rsid w:val="00780592"/>
    <w:rsid w:val="00782E7E"/>
    <w:rsid w:val="00785E28"/>
    <w:rsid w:val="00786436"/>
    <w:rsid w:val="00786490"/>
    <w:rsid w:val="007903F0"/>
    <w:rsid w:val="007905FE"/>
    <w:rsid w:val="00790E8C"/>
    <w:rsid w:val="007939E3"/>
    <w:rsid w:val="00793FEC"/>
    <w:rsid w:val="00795A98"/>
    <w:rsid w:val="007967A4"/>
    <w:rsid w:val="00797564"/>
    <w:rsid w:val="007A0BFD"/>
    <w:rsid w:val="007A299B"/>
    <w:rsid w:val="007A3211"/>
    <w:rsid w:val="007A709D"/>
    <w:rsid w:val="007B0ADB"/>
    <w:rsid w:val="007B1E35"/>
    <w:rsid w:val="007B2526"/>
    <w:rsid w:val="007B6F99"/>
    <w:rsid w:val="007C09F9"/>
    <w:rsid w:val="007C1896"/>
    <w:rsid w:val="007C3F6B"/>
    <w:rsid w:val="007C58C0"/>
    <w:rsid w:val="007C6EC7"/>
    <w:rsid w:val="007D43C3"/>
    <w:rsid w:val="007D5D2B"/>
    <w:rsid w:val="007D6D6E"/>
    <w:rsid w:val="007D6DA3"/>
    <w:rsid w:val="007E1260"/>
    <w:rsid w:val="007E3D9B"/>
    <w:rsid w:val="007E422D"/>
    <w:rsid w:val="007E4B40"/>
    <w:rsid w:val="007F27D9"/>
    <w:rsid w:val="007F5D6E"/>
    <w:rsid w:val="007F5EFB"/>
    <w:rsid w:val="00800B7A"/>
    <w:rsid w:val="00802CA5"/>
    <w:rsid w:val="008037EE"/>
    <w:rsid w:val="00803E58"/>
    <w:rsid w:val="00805ACA"/>
    <w:rsid w:val="00806608"/>
    <w:rsid w:val="00811301"/>
    <w:rsid w:val="00811E07"/>
    <w:rsid w:val="008140B3"/>
    <w:rsid w:val="008149A6"/>
    <w:rsid w:val="00820B4C"/>
    <w:rsid w:val="00821126"/>
    <w:rsid w:val="008213B1"/>
    <w:rsid w:val="00824723"/>
    <w:rsid w:val="00825084"/>
    <w:rsid w:val="00831DDF"/>
    <w:rsid w:val="00832B83"/>
    <w:rsid w:val="0083372B"/>
    <w:rsid w:val="008339B7"/>
    <w:rsid w:val="008362D6"/>
    <w:rsid w:val="008371EB"/>
    <w:rsid w:val="00840A01"/>
    <w:rsid w:val="0084119D"/>
    <w:rsid w:val="008417F2"/>
    <w:rsid w:val="00841A45"/>
    <w:rsid w:val="00841D94"/>
    <w:rsid w:val="00842332"/>
    <w:rsid w:val="008424F3"/>
    <w:rsid w:val="00843A66"/>
    <w:rsid w:val="008455F6"/>
    <w:rsid w:val="00846B06"/>
    <w:rsid w:val="008471D3"/>
    <w:rsid w:val="00847535"/>
    <w:rsid w:val="0085029B"/>
    <w:rsid w:val="00851910"/>
    <w:rsid w:val="008524AF"/>
    <w:rsid w:val="0085336E"/>
    <w:rsid w:val="00854893"/>
    <w:rsid w:val="00854F65"/>
    <w:rsid w:val="00855974"/>
    <w:rsid w:val="0086010A"/>
    <w:rsid w:val="00860586"/>
    <w:rsid w:val="008639B1"/>
    <w:rsid w:val="00865318"/>
    <w:rsid w:val="00867155"/>
    <w:rsid w:val="00867726"/>
    <w:rsid w:val="00874726"/>
    <w:rsid w:val="00885673"/>
    <w:rsid w:val="0089078A"/>
    <w:rsid w:val="00890B18"/>
    <w:rsid w:val="00891B1A"/>
    <w:rsid w:val="00891D6A"/>
    <w:rsid w:val="00896094"/>
    <w:rsid w:val="008A3676"/>
    <w:rsid w:val="008A3850"/>
    <w:rsid w:val="008A4291"/>
    <w:rsid w:val="008A499A"/>
    <w:rsid w:val="008A537A"/>
    <w:rsid w:val="008A55DA"/>
    <w:rsid w:val="008A6441"/>
    <w:rsid w:val="008A64C3"/>
    <w:rsid w:val="008B0F2B"/>
    <w:rsid w:val="008B56E0"/>
    <w:rsid w:val="008B5728"/>
    <w:rsid w:val="008B6BB6"/>
    <w:rsid w:val="008B6C1F"/>
    <w:rsid w:val="008B6F64"/>
    <w:rsid w:val="008C223F"/>
    <w:rsid w:val="008C2CDF"/>
    <w:rsid w:val="008C3277"/>
    <w:rsid w:val="008C3306"/>
    <w:rsid w:val="008C34E5"/>
    <w:rsid w:val="008D4DBB"/>
    <w:rsid w:val="008D517F"/>
    <w:rsid w:val="008D665B"/>
    <w:rsid w:val="008D679B"/>
    <w:rsid w:val="008D6F8C"/>
    <w:rsid w:val="008D7852"/>
    <w:rsid w:val="008E6877"/>
    <w:rsid w:val="008E68B2"/>
    <w:rsid w:val="008F28C0"/>
    <w:rsid w:val="008F5707"/>
    <w:rsid w:val="009021A8"/>
    <w:rsid w:val="009033B8"/>
    <w:rsid w:val="00904B8C"/>
    <w:rsid w:val="00906EC5"/>
    <w:rsid w:val="0090711D"/>
    <w:rsid w:val="00907F12"/>
    <w:rsid w:val="00910498"/>
    <w:rsid w:val="0091062B"/>
    <w:rsid w:val="00910F84"/>
    <w:rsid w:val="0091125E"/>
    <w:rsid w:val="00911AB0"/>
    <w:rsid w:val="009158F7"/>
    <w:rsid w:val="00915E60"/>
    <w:rsid w:val="00921D13"/>
    <w:rsid w:val="00924132"/>
    <w:rsid w:val="00924232"/>
    <w:rsid w:val="00931D6F"/>
    <w:rsid w:val="00942632"/>
    <w:rsid w:val="009435EB"/>
    <w:rsid w:val="00944102"/>
    <w:rsid w:val="00944B22"/>
    <w:rsid w:val="009450A5"/>
    <w:rsid w:val="009470A7"/>
    <w:rsid w:val="00951775"/>
    <w:rsid w:val="009524BB"/>
    <w:rsid w:val="0095438D"/>
    <w:rsid w:val="009544D1"/>
    <w:rsid w:val="00954CEC"/>
    <w:rsid w:val="00954E14"/>
    <w:rsid w:val="009563D3"/>
    <w:rsid w:val="009624B2"/>
    <w:rsid w:val="009641F9"/>
    <w:rsid w:val="009642A8"/>
    <w:rsid w:val="00964F72"/>
    <w:rsid w:val="00966CFE"/>
    <w:rsid w:val="00972D00"/>
    <w:rsid w:val="00974BC8"/>
    <w:rsid w:val="00975331"/>
    <w:rsid w:val="009768E0"/>
    <w:rsid w:val="00981439"/>
    <w:rsid w:val="00982135"/>
    <w:rsid w:val="00982C9E"/>
    <w:rsid w:val="0098318F"/>
    <w:rsid w:val="00984799"/>
    <w:rsid w:val="00985380"/>
    <w:rsid w:val="009873EA"/>
    <w:rsid w:val="00992CEA"/>
    <w:rsid w:val="0099356A"/>
    <w:rsid w:val="00994B85"/>
    <w:rsid w:val="009A109F"/>
    <w:rsid w:val="009A56B4"/>
    <w:rsid w:val="009A5F4C"/>
    <w:rsid w:val="009B091B"/>
    <w:rsid w:val="009B16C8"/>
    <w:rsid w:val="009B1C5D"/>
    <w:rsid w:val="009C0594"/>
    <w:rsid w:val="009C064D"/>
    <w:rsid w:val="009C1B0B"/>
    <w:rsid w:val="009C33E5"/>
    <w:rsid w:val="009D53D0"/>
    <w:rsid w:val="009D7624"/>
    <w:rsid w:val="009D7E2B"/>
    <w:rsid w:val="009E0709"/>
    <w:rsid w:val="009E1B93"/>
    <w:rsid w:val="009E2973"/>
    <w:rsid w:val="009E3498"/>
    <w:rsid w:val="009E35CB"/>
    <w:rsid w:val="009E3EA5"/>
    <w:rsid w:val="009E5EDC"/>
    <w:rsid w:val="009F1A07"/>
    <w:rsid w:val="009F2406"/>
    <w:rsid w:val="009F2C34"/>
    <w:rsid w:val="009F5DDD"/>
    <w:rsid w:val="00A009CE"/>
    <w:rsid w:val="00A037A5"/>
    <w:rsid w:val="00A037B1"/>
    <w:rsid w:val="00A05D65"/>
    <w:rsid w:val="00A06269"/>
    <w:rsid w:val="00A11AEE"/>
    <w:rsid w:val="00A132AB"/>
    <w:rsid w:val="00A140C3"/>
    <w:rsid w:val="00A143DA"/>
    <w:rsid w:val="00A15EC3"/>
    <w:rsid w:val="00A167B0"/>
    <w:rsid w:val="00A22C65"/>
    <w:rsid w:val="00A25AEE"/>
    <w:rsid w:val="00A25F28"/>
    <w:rsid w:val="00A266C8"/>
    <w:rsid w:val="00A308AD"/>
    <w:rsid w:val="00A3624B"/>
    <w:rsid w:val="00A37185"/>
    <w:rsid w:val="00A43962"/>
    <w:rsid w:val="00A448CE"/>
    <w:rsid w:val="00A456E6"/>
    <w:rsid w:val="00A4619F"/>
    <w:rsid w:val="00A4621A"/>
    <w:rsid w:val="00A46401"/>
    <w:rsid w:val="00A504A8"/>
    <w:rsid w:val="00A51444"/>
    <w:rsid w:val="00A53E9C"/>
    <w:rsid w:val="00A548EE"/>
    <w:rsid w:val="00A54CA0"/>
    <w:rsid w:val="00A5665B"/>
    <w:rsid w:val="00A57EBD"/>
    <w:rsid w:val="00A6319B"/>
    <w:rsid w:val="00A64715"/>
    <w:rsid w:val="00A64999"/>
    <w:rsid w:val="00A651E8"/>
    <w:rsid w:val="00A664D7"/>
    <w:rsid w:val="00A67243"/>
    <w:rsid w:val="00A67E84"/>
    <w:rsid w:val="00A73672"/>
    <w:rsid w:val="00A747D2"/>
    <w:rsid w:val="00A7545C"/>
    <w:rsid w:val="00A75689"/>
    <w:rsid w:val="00A75861"/>
    <w:rsid w:val="00A75CD9"/>
    <w:rsid w:val="00A82A92"/>
    <w:rsid w:val="00A83DDA"/>
    <w:rsid w:val="00A83FD3"/>
    <w:rsid w:val="00A84172"/>
    <w:rsid w:val="00A8429E"/>
    <w:rsid w:val="00A85225"/>
    <w:rsid w:val="00A86692"/>
    <w:rsid w:val="00A8799C"/>
    <w:rsid w:val="00A90E04"/>
    <w:rsid w:val="00A9388C"/>
    <w:rsid w:val="00A94DC8"/>
    <w:rsid w:val="00A96C15"/>
    <w:rsid w:val="00AA044B"/>
    <w:rsid w:val="00AA0B6F"/>
    <w:rsid w:val="00AA134B"/>
    <w:rsid w:val="00AA1D65"/>
    <w:rsid w:val="00AA4502"/>
    <w:rsid w:val="00AA56C6"/>
    <w:rsid w:val="00AB19EF"/>
    <w:rsid w:val="00AB2056"/>
    <w:rsid w:val="00AB4436"/>
    <w:rsid w:val="00AB5883"/>
    <w:rsid w:val="00AB7640"/>
    <w:rsid w:val="00AC394E"/>
    <w:rsid w:val="00AC3B19"/>
    <w:rsid w:val="00AC41AB"/>
    <w:rsid w:val="00AD4F02"/>
    <w:rsid w:val="00AD57A1"/>
    <w:rsid w:val="00AD66B2"/>
    <w:rsid w:val="00AD76F4"/>
    <w:rsid w:val="00AE10C4"/>
    <w:rsid w:val="00AE463D"/>
    <w:rsid w:val="00AE4696"/>
    <w:rsid w:val="00AF07FD"/>
    <w:rsid w:val="00AF0945"/>
    <w:rsid w:val="00AF1336"/>
    <w:rsid w:val="00AF19D6"/>
    <w:rsid w:val="00AF3DC7"/>
    <w:rsid w:val="00AF49E0"/>
    <w:rsid w:val="00B018B0"/>
    <w:rsid w:val="00B04E4A"/>
    <w:rsid w:val="00B05AAE"/>
    <w:rsid w:val="00B05FF8"/>
    <w:rsid w:val="00B060FD"/>
    <w:rsid w:val="00B10BC9"/>
    <w:rsid w:val="00B11D39"/>
    <w:rsid w:val="00B13ACC"/>
    <w:rsid w:val="00B142DF"/>
    <w:rsid w:val="00B1509C"/>
    <w:rsid w:val="00B15AE5"/>
    <w:rsid w:val="00B172DE"/>
    <w:rsid w:val="00B2089B"/>
    <w:rsid w:val="00B22231"/>
    <w:rsid w:val="00B23AE6"/>
    <w:rsid w:val="00B261F3"/>
    <w:rsid w:val="00B3101F"/>
    <w:rsid w:val="00B33A3F"/>
    <w:rsid w:val="00B33F63"/>
    <w:rsid w:val="00B35A1A"/>
    <w:rsid w:val="00B370F9"/>
    <w:rsid w:val="00B40F3D"/>
    <w:rsid w:val="00B4159D"/>
    <w:rsid w:val="00B41672"/>
    <w:rsid w:val="00B44E0D"/>
    <w:rsid w:val="00B47FB8"/>
    <w:rsid w:val="00B50B69"/>
    <w:rsid w:val="00B511FA"/>
    <w:rsid w:val="00B53E02"/>
    <w:rsid w:val="00B54A89"/>
    <w:rsid w:val="00B55478"/>
    <w:rsid w:val="00B57EA6"/>
    <w:rsid w:val="00B60FCB"/>
    <w:rsid w:val="00B6204C"/>
    <w:rsid w:val="00B62E8A"/>
    <w:rsid w:val="00B634AE"/>
    <w:rsid w:val="00B65E71"/>
    <w:rsid w:val="00B66A18"/>
    <w:rsid w:val="00B66B85"/>
    <w:rsid w:val="00B66E23"/>
    <w:rsid w:val="00B67185"/>
    <w:rsid w:val="00B704DA"/>
    <w:rsid w:val="00B73CD4"/>
    <w:rsid w:val="00B7506F"/>
    <w:rsid w:val="00B76812"/>
    <w:rsid w:val="00B77B90"/>
    <w:rsid w:val="00B81779"/>
    <w:rsid w:val="00B872B2"/>
    <w:rsid w:val="00B87314"/>
    <w:rsid w:val="00B8762E"/>
    <w:rsid w:val="00B877A6"/>
    <w:rsid w:val="00B905ED"/>
    <w:rsid w:val="00B91C85"/>
    <w:rsid w:val="00B922F0"/>
    <w:rsid w:val="00B96874"/>
    <w:rsid w:val="00BA01B0"/>
    <w:rsid w:val="00BA0DC7"/>
    <w:rsid w:val="00BA1D62"/>
    <w:rsid w:val="00BA25ED"/>
    <w:rsid w:val="00BB07F9"/>
    <w:rsid w:val="00BB27BA"/>
    <w:rsid w:val="00BB3D13"/>
    <w:rsid w:val="00BB3FC3"/>
    <w:rsid w:val="00BB4839"/>
    <w:rsid w:val="00BC1DAF"/>
    <w:rsid w:val="00BC21A9"/>
    <w:rsid w:val="00BC2ABF"/>
    <w:rsid w:val="00BC333B"/>
    <w:rsid w:val="00BC5CE8"/>
    <w:rsid w:val="00BC623A"/>
    <w:rsid w:val="00BC78FC"/>
    <w:rsid w:val="00BD038E"/>
    <w:rsid w:val="00BD075A"/>
    <w:rsid w:val="00BD4061"/>
    <w:rsid w:val="00BD5289"/>
    <w:rsid w:val="00BD6771"/>
    <w:rsid w:val="00BD6F18"/>
    <w:rsid w:val="00BE22EE"/>
    <w:rsid w:val="00BE25C6"/>
    <w:rsid w:val="00BE3076"/>
    <w:rsid w:val="00BE3A11"/>
    <w:rsid w:val="00BE4356"/>
    <w:rsid w:val="00BE4D04"/>
    <w:rsid w:val="00BE540F"/>
    <w:rsid w:val="00BF1AFB"/>
    <w:rsid w:val="00BF328F"/>
    <w:rsid w:val="00BF32B8"/>
    <w:rsid w:val="00BF41F0"/>
    <w:rsid w:val="00BF5BE0"/>
    <w:rsid w:val="00BF632B"/>
    <w:rsid w:val="00BF7296"/>
    <w:rsid w:val="00BF7B3A"/>
    <w:rsid w:val="00C02D48"/>
    <w:rsid w:val="00C034AE"/>
    <w:rsid w:val="00C1003A"/>
    <w:rsid w:val="00C1101F"/>
    <w:rsid w:val="00C124E3"/>
    <w:rsid w:val="00C127E8"/>
    <w:rsid w:val="00C1329E"/>
    <w:rsid w:val="00C14FD7"/>
    <w:rsid w:val="00C20BDD"/>
    <w:rsid w:val="00C21A5D"/>
    <w:rsid w:val="00C24D8D"/>
    <w:rsid w:val="00C2519D"/>
    <w:rsid w:val="00C26AEE"/>
    <w:rsid w:val="00C273A6"/>
    <w:rsid w:val="00C307AD"/>
    <w:rsid w:val="00C30C12"/>
    <w:rsid w:val="00C31B26"/>
    <w:rsid w:val="00C355F4"/>
    <w:rsid w:val="00C35D97"/>
    <w:rsid w:val="00C36349"/>
    <w:rsid w:val="00C377C1"/>
    <w:rsid w:val="00C42221"/>
    <w:rsid w:val="00C42632"/>
    <w:rsid w:val="00C42775"/>
    <w:rsid w:val="00C42A97"/>
    <w:rsid w:val="00C43EBC"/>
    <w:rsid w:val="00C45DC3"/>
    <w:rsid w:val="00C46512"/>
    <w:rsid w:val="00C46822"/>
    <w:rsid w:val="00C51664"/>
    <w:rsid w:val="00C5208B"/>
    <w:rsid w:val="00C536F0"/>
    <w:rsid w:val="00C537FA"/>
    <w:rsid w:val="00C5438A"/>
    <w:rsid w:val="00C551F4"/>
    <w:rsid w:val="00C5551B"/>
    <w:rsid w:val="00C56968"/>
    <w:rsid w:val="00C62B07"/>
    <w:rsid w:val="00C65240"/>
    <w:rsid w:val="00C6790D"/>
    <w:rsid w:val="00C70E61"/>
    <w:rsid w:val="00C72354"/>
    <w:rsid w:val="00C73F81"/>
    <w:rsid w:val="00C7469D"/>
    <w:rsid w:val="00C76D6C"/>
    <w:rsid w:val="00C804B7"/>
    <w:rsid w:val="00C80D67"/>
    <w:rsid w:val="00C8157D"/>
    <w:rsid w:val="00C8191A"/>
    <w:rsid w:val="00C8390E"/>
    <w:rsid w:val="00C847C5"/>
    <w:rsid w:val="00C8688D"/>
    <w:rsid w:val="00C90768"/>
    <w:rsid w:val="00C90936"/>
    <w:rsid w:val="00C9166C"/>
    <w:rsid w:val="00C9166F"/>
    <w:rsid w:val="00C929EB"/>
    <w:rsid w:val="00C93340"/>
    <w:rsid w:val="00C93734"/>
    <w:rsid w:val="00C95213"/>
    <w:rsid w:val="00C95457"/>
    <w:rsid w:val="00C9786C"/>
    <w:rsid w:val="00CA24F9"/>
    <w:rsid w:val="00CA32DC"/>
    <w:rsid w:val="00CA3C69"/>
    <w:rsid w:val="00CA3CC2"/>
    <w:rsid w:val="00CA4144"/>
    <w:rsid w:val="00CA456F"/>
    <w:rsid w:val="00CA4D59"/>
    <w:rsid w:val="00CA5F57"/>
    <w:rsid w:val="00CA66E7"/>
    <w:rsid w:val="00CA7DEE"/>
    <w:rsid w:val="00CB39E6"/>
    <w:rsid w:val="00CB5AB3"/>
    <w:rsid w:val="00CB66F2"/>
    <w:rsid w:val="00CB6706"/>
    <w:rsid w:val="00CC1884"/>
    <w:rsid w:val="00CC2C12"/>
    <w:rsid w:val="00CC2EDB"/>
    <w:rsid w:val="00CC4DB3"/>
    <w:rsid w:val="00CC7FFB"/>
    <w:rsid w:val="00CD012A"/>
    <w:rsid w:val="00CD1A3E"/>
    <w:rsid w:val="00CD2EC5"/>
    <w:rsid w:val="00CD5C2A"/>
    <w:rsid w:val="00CD666C"/>
    <w:rsid w:val="00CD6E4C"/>
    <w:rsid w:val="00CE060E"/>
    <w:rsid w:val="00CE1616"/>
    <w:rsid w:val="00CE345D"/>
    <w:rsid w:val="00CE5AB7"/>
    <w:rsid w:val="00CE608A"/>
    <w:rsid w:val="00CE7320"/>
    <w:rsid w:val="00CF3F78"/>
    <w:rsid w:val="00CF44D4"/>
    <w:rsid w:val="00D0184F"/>
    <w:rsid w:val="00D0391D"/>
    <w:rsid w:val="00D052DF"/>
    <w:rsid w:val="00D05C04"/>
    <w:rsid w:val="00D06A87"/>
    <w:rsid w:val="00D075B5"/>
    <w:rsid w:val="00D1215D"/>
    <w:rsid w:val="00D12D77"/>
    <w:rsid w:val="00D1608A"/>
    <w:rsid w:val="00D16E11"/>
    <w:rsid w:val="00D16E78"/>
    <w:rsid w:val="00D2262D"/>
    <w:rsid w:val="00D23694"/>
    <w:rsid w:val="00D2486B"/>
    <w:rsid w:val="00D25117"/>
    <w:rsid w:val="00D350C4"/>
    <w:rsid w:val="00D36B77"/>
    <w:rsid w:val="00D37A5E"/>
    <w:rsid w:val="00D43DEF"/>
    <w:rsid w:val="00D44DCD"/>
    <w:rsid w:val="00D45A39"/>
    <w:rsid w:val="00D45B50"/>
    <w:rsid w:val="00D47732"/>
    <w:rsid w:val="00D5196D"/>
    <w:rsid w:val="00D526FF"/>
    <w:rsid w:val="00D6003E"/>
    <w:rsid w:val="00D604EF"/>
    <w:rsid w:val="00D62F7F"/>
    <w:rsid w:val="00D6415D"/>
    <w:rsid w:val="00D6645E"/>
    <w:rsid w:val="00D66B64"/>
    <w:rsid w:val="00D66E06"/>
    <w:rsid w:val="00D675C3"/>
    <w:rsid w:val="00D70081"/>
    <w:rsid w:val="00D721E8"/>
    <w:rsid w:val="00D735AF"/>
    <w:rsid w:val="00D73BF6"/>
    <w:rsid w:val="00D77651"/>
    <w:rsid w:val="00D776CB"/>
    <w:rsid w:val="00D777D6"/>
    <w:rsid w:val="00D77C14"/>
    <w:rsid w:val="00D820AA"/>
    <w:rsid w:val="00D82AEE"/>
    <w:rsid w:val="00D874E5"/>
    <w:rsid w:val="00D90646"/>
    <w:rsid w:val="00D9101E"/>
    <w:rsid w:val="00D918C8"/>
    <w:rsid w:val="00D94558"/>
    <w:rsid w:val="00D966D2"/>
    <w:rsid w:val="00DA26B4"/>
    <w:rsid w:val="00DA3A86"/>
    <w:rsid w:val="00DA47FD"/>
    <w:rsid w:val="00DA5D96"/>
    <w:rsid w:val="00DA5E83"/>
    <w:rsid w:val="00DA6011"/>
    <w:rsid w:val="00DB0D55"/>
    <w:rsid w:val="00DB50A3"/>
    <w:rsid w:val="00DB5A00"/>
    <w:rsid w:val="00DB6A77"/>
    <w:rsid w:val="00DB7AEB"/>
    <w:rsid w:val="00DC3C79"/>
    <w:rsid w:val="00DC3E6F"/>
    <w:rsid w:val="00DD06C1"/>
    <w:rsid w:val="00DD10B7"/>
    <w:rsid w:val="00DD2C1E"/>
    <w:rsid w:val="00DD2E17"/>
    <w:rsid w:val="00DD5082"/>
    <w:rsid w:val="00DD5D67"/>
    <w:rsid w:val="00DD6FFE"/>
    <w:rsid w:val="00DE04B9"/>
    <w:rsid w:val="00DE1CD7"/>
    <w:rsid w:val="00DE3857"/>
    <w:rsid w:val="00DF2788"/>
    <w:rsid w:val="00E000D2"/>
    <w:rsid w:val="00E00409"/>
    <w:rsid w:val="00E00FAC"/>
    <w:rsid w:val="00E04144"/>
    <w:rsid w:val="00E065C7"/>
    <w:rsid w:val="00E068D2"/>
    <w:rsid w:val="00E11017"/>
    <w:rsid w:val="00E15917"/>
    <w:rsid w:val="00E16C0E"/>
    <w:rsid w:val="00E17305"/>
    <w:rsid w:val="00E173B1"/>
    <w:rsid w:val="00E20955"/>
    <w:rsid w:val="00E20E81"/>
    <w:rsid w:val="00E23AA7"/>
    <w:rsid w:val="00E250F0"/>
    <w:rsid w:val="00E269DA"/>
    <w:rsid w:val="00E3007E"/>
    <w:rsid w:val="00E35A7C"/>
    <w:rsid w:val="00E35CE8"/>
    <w:rsid w:val="00E37266"/>
    <w:rsid w:val="00E500C9"/>
    <w:rsid w:val="00E52727"/>
    <w:rsid w:val="00E53D69"/>
    <w:rsid w:val="00E54387"/>
    <w:rsid w:val="00E56586"/>
    <w:rsid w:val="00E57EAD"/>
    <w:rsid w:val="00E608FC"/>
    <w:rsid w:val="00E62E60"/>
    <w:rsid w:val="00E632F7"/>
    <w:rsid w:val="00E6500E"/>
    <w:rsid w:val="00E650F7"/>
    <w:rsid w:val="00E67FF8"/>
    <w:rsid w:val="00E72260"/>
    <w:rsid w:val="00E83BFB"/>
    <w:rsid w:val="00E848B3"/>
    <w:rsid w:val="00E86187"/>
    <w:rsid w:val="00E869CB"/>
    <w:rsid w:val="00E91116"/>
    <w:rsid w:val="00E924AE"/>
    <w:rsid w:val="00E92BDE"/>
    <w:rsid w:val="00E94191"/>
    <w:rsid w:val="00E94B43"/>
    <w:rsid w:val="00E95E89"/>
    <w:rsid w:val="00E96235"/>
    <w:rsid w:val="00EA044B"/>
    <w:rsid w:val="00EA4EF0"/>
    <w:rsid w:val="00EA54F5"/>
    <w:rsid w:val="00EA5B83"/>
    <w:rsid w:val="00EA676F"/>
    <w:rsid w:val="00EB020D"/>
    <w:rsid w:val="00EB3990"/>
    <w:rsid w:val="00EB5C0D"/>
    <w:rsid w:val="00EC0FC0"/>
    <w:rsid w:val="00EC1B15"/>
    <w:rsid w:val="00EC2592"/>
    <w:rsid w:val="00EC272B"/>
    <w:rsid w:val="00EC6DEF"/>
    <w:rsid w:val="00EC7805"/>
    <w:rsid w:val="00ED063A"/>
    <w:rsid w:val="00ED173D"/>
    <w:rsid w:val="00ED2FCA"/>
    <w:rsid w:val="00ED4A6A"/>
    <w:rsid w:val="00EE0D37"/>
    <w:rsid w:val="00EE2073"/>
    <w:rsid w:val="00EE3427"/>
    <w:rsid w:val="00EE51FD"/>
    <w:rsid w:val="00EE5222"/>
    <w:rsid w:val="00EE5B7B"/>
    <w:rsid w:val="00EE5D80"/>
    <w:rsid w:val="00EE7374"/>
    <w:rsid w:val="00EE7DCE"/>
    <w:rsid w:val="00EF717F"/>
    <w:rsid w:val="00EF7378"/>
    <w:rsid w:val="00F03138"/>
    <w:rsid w:val="00F04529"/>
    <w:rsid w:val="00F04D9A"/>
    <w:rsid w:val="00F10BB4"/>
    <w:rsid w:val="00F11366"/>
    <w:rsid w:val="00F114F0"/>
    <w:rsid w:val="00F1166E"/>
    <w:rsid w:val="00F116C9"/>
    <w:rsid w:val="00F123C4"/>
    <w:rsid w:val="00F17141"/>
    <w:rsid w:val="00F17191"/>
    <w:rsid w:val="00F17C4D"/>
    <w:rsid w:val="00F22DA1"/>
    <w:rsid w:val="00F264B9"/>
    <w:rsid w:val="00F26A4F"/>
    <w:rsid w:val="00F273C3"/>
    <w:rsid w:val="00F30E3D"/>
    <w:rsid w:val="00F3153A"/>
    <w:rsid w:val="00F33182"/>
    <w:rsid w:val="00F33CCD"/>
    <w:rsid w:val="00F3616D"/>
    <w:rsid w:val="00F366DB"/>
    <w:rsid w:val="00F42524"/>
    <w:rsid w:val="00F425CF"/>
    <w:rsid w:val="00F4459C"/>
    <w:rsid w:val="00F44605"/>
    <w:rsid w:val="00F474A6"/>
    <w:rsid w:val="00F508D1"/>
    <w:rsid w:val="00F50F07"/>
    <w:rsid w:val="00F5147C"/>
    <w:rsid w:val="00F5336D"/>
    <w:rsid w:val="00F60D7F"/>
    <w:rsid w:val="00F6112D"/>
    <w:rsid w:val="00F61A2F"/>
    <w:rsid w:val="00F61B16"/>
    <w:rsid w:val="00F65BD0"/>
    <w:rsid w:val="00F7427A"/>
    <w:rsid w:val="00F748A4"/>
    <w:rsid w:val="00F76BF8"/>
    <w:rsid w:val="00F77025"/>
    <w:rsid w:val="00F8358F"/>
    <w:rsid w:val="00F837EE"/>
    <w:rsid w:val="00F83F55"/>
    <w:rsid w:val="00F84AF6"/>
    <w:rsid w:val="00F851DF"/>
    <w:rsid w:val="00F87B09"/>
    <w:rsid w:val="00F87EF4"/>
    <w:rsid w:val="00F93B5E"/>
    <w:rsid w:val="00F942B6"/>
    <w:rsid w:val="00F951D5"/>
    <w:rsid w:val="00F95DDE"/>
    <w:rsid w:val="00FA00F5"/>
    <w:rsid w:val="00FA227A"/>
    <w:rsid w:val="00FB07AB"/>
    <w:rsid w:val="00FB0AA5"/>
    <w:rsid w:val="00FB147C"/>
    <w:rsid w:val="00FB1B57"/>
    <w:rsid w:val="00FB4999"/>
    <w:rsid w:val="00FC1BAA"/>
    <w:rsid w:val="00FC1BC8"/>
    <w:rsid w:val="00FC1F8C"/>
    <w:rsid w:val="00FC5F92"/>
    <w:rsid w:val="00FC6269"/>
    <w:rsid w:val="00FD28F2"/>
    <w:rsid w:val="00FD53BA"/>
    <w:rsid w:val="00FD7A21"/>
    <w:rsid w:val="00FE1683"/>
    <w:rsid w:val="00FE2EB7"/>
    <w:rsid w:val="00FE318E"/>
    <w:rsid w:val="00FE3749"/>
    <w:rsid w:val="00FE577B"/>
    <w:rsid w:val="00FE5F40"/>
    <w:rsid w:val="00FE6646"/>
    <w:rsid w:val="00FE6A70"/>
    <w:rsid w:val="00FE6F8E"/>
    <w:rsid w:val="00FF005B"/>
    <w:rsid w:val="00FF1471"/>
    <w:rsid w:val="00FF1ABD"/>
    <w:rsid w:val="00FF4A36"/>
    <w:rsid w:val="00FF4F52"/>
    <w:rsid w:val="00FF6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32596"/>
  <w15:chartTrackingRefBased/>
  <w15:docId w15:val="{77CA30F2-355D-460B-B2FD-E63A22F6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E7"/>
    <w:pPr>
      <w:spacing w:after="120" w:line="276" w:lineRule="auto"/>
      <w:jc w:val="both"/>
    </w:pPr>
    <w:rPr>
      <w:rFonts w:cstheme="minorHAnsi"/>
      <w:lang w:val="en-US"/>
    </w:rPr>
  </w:style>
  <w:style w:type="paragraph" w:styleId="Heading3">
    <w:name w:val="heading 3"/>
    <w:basedOn w:val="Normal"/>
    <w:next w:val="Normal"/>
    <w:link w:val="Heading3Char"/>
    <w:uiPriority w:val="9"/>
    <w:semiHidden/>
    <w:unhideWhenUsed/>
    <w:qFormat/>
    <w:rsid w:val="00E04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0F"/>
    <w:pPr>
      <w:ind w:left="720"/>
      <w:contextualSpacing/>
    </w:pPr>
  </w:style>
  <w:style w:type="paragraph" w:styleId="FootnoteText">
    <w:name w:val="footnote text"/>
    <w:basedOn w:val="Normal"/>
    <w:link w:val="FootnoteTextChar"/>
    <w:uiPriority w:val="99"/>
    <w:unhideWhenUsed/>
    <w:rsid w:val="00B04E4A"/>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B04E4A"/>
    <w:rPr>
      <w:sz w:val="20"/>
      <w:szCs w:val="20"/>
      <w:lang w:val="en-GB"/>
    </w:rPr>
  </w:style>
  <w:style w:type="character" w:styleId="FootnoteReference">
    <w:name w:val="footnote reference"/>
    <w:basedOn w:val="DefaultParagraphFont"/>
    <w:uiPriority w:val="99"/>
    <w:semiHidden/>
    <w:unhideWhenUsed/>
    <w:rsid w:val="00B04E4A"/>
    <w:rPr>
      <w:vertAlign w:val="superscript"/>
    </w:rPr>
  </w:style>
  <w:style w:type="character" w:styleId="Hyperlink">
    <w:name w:val="Hyperlink"/>
    <w:basedOn w:val="DefaultParagraphFont"/>
    <w:uiPriority w:val="99"/>
    <w:unhideWhenUsed/>
    <w:rsid w:val="00B04E4A"/>
    <w:rPr>
      <w:color w:val="0000FF"/>
      <w:u w:val="single"/>
    </w:rPr>
  </w:style>
  <w:style w:type="paragraph" w:styleId="NormalWeb">
    <w:name w:val="Normal (Web)"/>
    <w:basedOn w:val="Normal"/>
    <w:uiPriority w:val="99"/>
    <w:unhideWhenUsed/>
    <w:rsid w:val="00B54A89"/>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607FB9"/>
    <w:rPr>
      <w:color w:val="605E5C"/>
      <w:shd w:val="clear" w:color="auto" w:fill="E1DFDD"/>
    </w:rPr>
  </w:style>
  <w:style w:type="character" w:styleId="CommentReference">
    <w:name w:val="annotation reference"/>
    <w:basedOn w:val="DefaultParagraphFont"/>
    <w:uiPriority w:val="99"/>
    <w:semiHidden/>
    <w:unhideWhenUsed/>
    <w:rsid w:val="009873EA"/>
    <w:rPr>
      <w:sz w:val="16"/>
      <w:szCs w:val="16"/>
    </w:rPr>
  </w:style>
  <w:style w:type="paragraph" w:styleId="CommentText">
    <w:name w:val="annotation text"/>
    <w:basedOn w:val="Normal"/>
    <w:link w:val="CommentTextChar"/>
    <w:uiPriority w:val="99"/>
    <w:unhideWhenUsed/>
    <w:rsid w:val="009873EA"/>
    <w:pPr>
      <w:spacing w:line="240" w:lineRule="auto"/>
    </w:pPr>
    <w:rPr>
      <w:sz w:val="20"/>
      <w:szCs w:val="20"/>
    </w:rPr>
  </w:style>
  <w:style w:type="character" w:customStyle="1" w:styleId="CommentTextChar">
    <w:name w:val="Comment Text Char"/>
    <w:basedOn w:val="DefaultParagraphFont"/>
    <w:link w:val="CommentText"/>
    <w:uiPriority w:val="99"/>
    <w:rsid w:val="009873EA"/>
    <w:rPr>
      <w:sz w:val="20"/>
      <w:szCs w:val="20"/>
    </w:rPr>
  </w:style>
  <w:style w:type="paragraph" w:styleId="CommentSubject">
    <w:name w:val="annotation subject"/>
    <w:basedOn w:val="CommentText"/>
    <w:next w:val="CommentText"/>
    <w:link w:val="CommentSubjectChar"/>
    <w:uiPriority w:val="99"/>
    <w:semiHidden/>
    <w:unhideWhenUsed/>
    <w:rsid w:val="009873EA"/>
    <w:rPr>
      <w:b/>
      <w:bCs/>
    </w:rPr>
  </w:style>
  <w:style w:type="character" w:customStyle="1" w:styleId="CommentSubjectChar">
    <w:name w:val="Comment Subject Char"/>
    <w:basedOn w:val="CommentTextChar"/>
    <w:link w:val="CommentSubject"/>
    <w:uiPriority w:val="99"/>
    <w:semiHidden/>
    <w:rsid w:val="009873EA"/>
    <w:rPr>
      <w:b/>
      <w:bCs/>
      <w:sz w:val="20"/>
      <w:szCs w:val="20"/>
    </w:rPr>
  </w:style>
  <w:style w:type="paragraph" w:styleId="EndnoteText">
    <w:name w:val="endnote text"/>
    <w:basedOn w:val="Normal"/>
    <w:link w:val="EndnoteTextChar"/>
    <w:uiPriority w:val="99"/>
    <w:unhideWhenUsed/>
    <w:rsid w:val="00FB0AA5"/>
    <w:pPr>
      <w:spacing w:after="0" w:line="240" w:lineRule="auto"/>
    </w:pPr>
    <w:rPr>
      <w:rFonts w:ascii="Calibri" w:hAnsi="Calibri" w:cs="Calibri"/>
      <w:lang w:eastAsia="fr-FR"/>
    </w:rPr>
  </w:style>
  <w:style w:type="character" w:customStyle="1" w:styleId="EndnoteTextChar">
    <w:name w:val="Endnote Text Char"/>
    <w:basedOn w:val="DefaultParagraphFont"/>
    <w:link w:val="EndnoteText"/>
    <w:uiPriority w:val="99"/>
    <w:rsid w:val="00FB0AA5"/>
    <w:rPr>
      <w:rFonts w:ascii="Calibri" w:hAnsi="Calibri" w:cs="Calibri"/>
      <w:lang w:eastAsia="fr-FR"/>
    </w:rPr>
  </w:style>
  <w:style w:type="paragraph" w:styleId="Header">
    <w:name w:val="header"/>
    <w:basedOn w:val="Normal"/>
    <w:link w:val="HeaderChar"/>
    <w:uiPriority w:val="99"/>
    <w:unhideWhenUsed/>
    <w:rsid w:val="00154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895"/>
    <w:rPr>
      <w:rFonts w:cstheme="minorHAnsi"/>
      <w:lang w:val="en-US"/>
    </w:rPr>
  </w:style>
  <w:style w:type="paragraph" w:styleId="Footer">
    <w:name w:val="footer"/>
    <w:basedOn w:val="Normal"/>
    <w:link w:val="FooterChar"/>
    <w:uiPriority w:val="99"/>
    <w:unhideWhenUsed/>
    <w:rsid w:val="00154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895"/>
    <w:rPr>
      <w:rFonts w:cstheme="minorHAnsi"/>
      <w:lang w:val="en-US"/>
    </w:rPr>
  </w:style>
  <w:style w:type="character" w:customStyle="1" w:styleId="Heading3Char">
    <w:name w:val="Heading 3 Char"/>
    <w:basedOn w:val="DefaultParagraphFont"/>
    <w:link w:val="Heading3"/>
    <w:uiPriority w:val="9"/>
    <w:semiHidden/>
    <w:rsid w:val="00E04144"/>
    <w:rPr>
      <w:rFonts w:asciiTheme="majorHAnsi" w:eastAsiaTheme="majorEastAsia" w:hAnsiTheme="majorHAnsi" w:cstheme="majorBidi"/>
      <w:color w:val="1F3763" w:themeColor="accent1" w:themeShade="7F"/>
      <w:sz w:val="24"/>
      <w:szCs w:val="24"/>
      <w:lang w:val="en-US"/>
    </w:rPr>
  </w:style>
  <w:style w:type="paragraph" w:styleId="Revision">
    <w:name w:val="Revision"/>
    <w:hidden/>
    <w:uiPriority w:val="99"/>
    <w:semiHidden/>
    <w:rsid w:val="00E04144"/>
    <w:pPr>
      <w:spacing w:after="0" w:line="240" w:lineRule="auto"/>
    </w:pPr>
    <w:rPr>
      <w:rFonts w:cstheme="minorHAnsi"/>
      <w:lang w:val="en-US"/>
    </w:rPr>
  </w:style>
  <w:style w:type="character" w:styleId="FollowedHyperlink">
    <w:name w:val="FollowedHyperlink"/>
    <w:basedOn w:val="DefaultParagraphFont"/>
    <w:uiPriority w:val="99"/>
    <w:semiHidden/>
    <w:unhideWhenUsed/>
    <w:rsid w:val="00E04144"/>
    <w:rPr>
      <w:color w:val="954F72" w:themeColor="followedHyperlink"/>
      <w:u w:val="single"/>
    </w:rPr>
  </w:style>
  <w:style w:type="paragraph" w:customStyle="1" w:styleId="Body">
    <w:name w:val="Body"/>
    <w:basedOn w:val="Normal"/>
    <w:uiPriority w:val="1"/>
    <w:rsid w:val="00C307AD"/>
    <w:pPr>
      <w:spacing w:after="160" w:line="259" w:lineRule="auto"/>
      <w:jc w:val="left"/>
    </w:pPr>
    <w:rPr>
      <w:rFonts w:ascii="Calibri" w:eastAsia="Arial Unicode MS" w:hAnsi="Calibri" w:cs="Arial Unicode M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0988">
      <w:bodyDiv w:val="1"/>
      <w:marLeft w:val="0"/>
      <w:marRight w:val="0"/>
      <w:marTop w:val="0"/>
      <w:marBottom w:val="0"/>
      <w:divBdr>
        <w:top w:val="none" w:sz="0" w:space="0" w:color="auto"/>
        <w:left w:val="none" w:sz="0" w:space="0" w:color="auto"/>
        <w:bottom w:val="none" w:sz="0" w:space="0" w:color="auto"/>
        <w:right w:val="none" w:sz="0" w:space="0" w:color="auto"/>
      </w:divBdr>
      <w:divsChild>
        <w:div w:id="40449438">
          <w:marLeft w:val="0"/>
          <w:marRight w:val="0"/>
          <w:marTop w:val="0"/>
          <w:marBottom w:val="0"/>
          <w:divBdr>
            <w:top w:val="none" w:sz="0" w:space="0" w:color="auto"/>
            <w:left w:val="none" w:sz="0" w:space="0" w:color="auto"/>
            <w:bottom w:val="none" w:sz="0" w:space="0" w:color="auto"/>
            <w:right w:val="none" w:sz="0" w:space="0" w:color="auto"/>
          </w:divBdr>
        </w:div>
        <w:div w:id="267126861">
          <w:marLeft w:val="0"/>
          <w:marRight w:val="0"/>
          <w:marTop w:val="0"/>
          <w:marBottom w:val="0"/>
          <w:divBdr>
            <w:top w:val="none" w:sz="0" w:space="0" w:color="auto"/>
            <w:left w:val="none" w:sz="0" w:space="0" w:color="auto"/>
            <w:bottom w:val="none" w:sz="0" w:space="0" w:color="auto"/>
            <w:right w:val="none" w:sz="0" w:space="0" w:color="auto"/>
          </w:divBdr>
          <w:divsChild>
            <w:div w:id="19533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674">
      <w:bodyDiv w:val="1"/>
      <w:marLeft w:val="0"/>
      <w:marRight w:val="0"/>
      <w:marTop w:val="0"/>
      <w:marBottom w:val="0"/>
      <w:divBdr>
        <w:top w:val="none" w:sz="0" w:space="0" w:color="auto"/>
        <w:left w:val="none" w:sz="0" w:space="0" w:color="auto"/>
        <w:bottom w:val="none" w:sz="0" w:space="0" w:color="auto"/>
        <w:right w:val="none" w:sz="0" w:space="0" w:color="auto"/>
      </w:divBdr>
    </w:div>
    <w:div w:id="993877623">
      <w:bodyDiv w:val="1"/>
      <w:marLeft w:val="0"/>
      <w:marRight w:val="0"/>
      <w:marTop w:val="0"/>
      <w:marBottom w:val="0"/>
      <w:divBdr>
        <w:top w:val="none" w:sz="0" w:space="0" w:color="auto"/>
        <w:left w:val="none" w:sz="0" w:space="0" w:color="auto"/>
        <w:bottom w:val="none" w:sz="0" w:space="0" w:color="auto"/>
        <w:right w:val="none" w:sz="0" w:space="0" w:color="auto"/>
      </w:divBdr>
    </w:div>
    <w:div w:id="1014457361">
      <w:bodyDiv w:val="1"/>
      <w:marLeft w:val="0"/>
      <w:marRight w:val="0"/>
      <w:marTop w:val="0"/>
      <w:marBottom w:val="0"/>
      <w:divBdr>
        <w:top w:val="none" w:sz="0" w:space="0" w:color="auto"/>
        <w:left w:val="none" w:sz="0" w:space="0" w:color="auto"/>
        <w:bottom w:val="none" w:sz="0" w:space="0" w:color="auto"/>
        <w:right w:val="none" w:sz="0" w:space="0" w:color="auto"/>
      </w:divBdr>
    </w:div>
    <w:div w:id="1216233489">
      <w:bodyDiv w:val="1"/>
      <w:marLeft w:val="0"/>
      <w:marRight w:val="0"/>
      <w:marTop w:val="0"/>
      <w:marBottom w:val="0"/>
      <w:divBdr>
        <w:top w:val="none" w:sz="0" w:space="0" w:color="auto"/>
        <w:left w:val="none" w:sz="0" w:space="0" w:color="auto"/>
        <w:bottom w:val="none" w:sz="0" w:space="0" w:color="auto"/>
        <w:right w:val="none" w:sz="0" w:space="0" w:color="auto"/>
      </w:divBdr>
    </w:div>
    <w:div w:id="1309548958">
      <w:bodyDiv w:val="1"/>
      <w:marLeft w:val="0"/>
      <w:marRight w:val="0"/>
      <w:marTop w:val="0"/>
      <w:marBottom w:val="0"/>
      <w:divBdr>
        <w:top w:val="none" w:sz="0" w:space="0" w:color="auto"/>
        <w:left w:val="none" w:sz="0" w:space="0" w:color="auto"/>
        <w:bottom w:val="none" w:sz="0" w:space="0" w:color="auto"/>
        <w:right w:val="none" w:sz="0" w:space="0" w:color="auto"/>
      </w:divBdr>
      <w:divsChild>
        <w:div w:id="494299465">
          <w:marLeft w:val="0"/>
          <w:marRight w:val="0"/>
          <w:marTop w:val="0"/>
          <w:marBottom w:val="0"/>
          <w:divBdr>
            <w:top w:val="none" w:sz="0" w:space="0" w:color="auto"/>
            <w:left w:val="none" w:sz="0" w:space="0" w:color="auto"/>
            <w:bottom w:val="none" w:sz="0" w:space="0" w:color="auto"/>
            <w:right w:val="none" w:sz="0" w:space="0" w:color="auto"/>
          </w:divBdr>
        </w:div>
        <w:div w:id="1761674928">
          <w:marLeft w:val="0"/>
          <w:marRight w:val="0"/>
          <w:marTop w:val="0"/>
          <w:marBottom w:val="0"/>
          <w:divBdr>
            <w:top w:val="none" w:sz="0" w:space="0" w:color="auto"/>
            <w:left w:val="none" w:sz="0" w:space="0" w:color="auto"/>
            <w:bottom w:val="none" w:sz="0" w:space="0" w:color="auto"/>
            <w:right w:val="none" w:sz="0" w:space="0" w:color="auto"/>
          </w:divBdr>
          <w:divsChild>
            <w:div w:id="14763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658">
      <w:bodyDiv w:val="1"/>
      <w:marLeft w:val="0"/>
      <w:marRight w:val="0"/>
      <w:marTop w:val="0"/>
      <w:marBottom w:val="0"/>
      <w:divBdr>
        <w:top w:val="none" w:sz="0" w:space="0" w:color="auto"/>
        <w:left w:val="none" w:sz="0" w:space="0" w:color="auto"/>
        <w:bottom w:val="none" w:sz="0" w:space="0" w:color="auto"/>
        <w:right w:val="none" w:sz="0" w:space="0" w:color="auto"/>
      </w:divBdr>
      <w:divsChild>
        <w:div w:id="1844124797">
          <w:marLeft w:val="0"/>
          <w:marRight w:val="0"/>
          <w:marTop w:val="0"/>
          <w:marBottom w:val="0"/>
          <w:divBdr>
            <w:top w:val="none" w:sz="0" w:space="0" w:color="auto"/>
            <w:left w:val="none" w:sz="0" w:space="0" w:color="auto"/>
            <w:bottom w:val="none" w:sz="0" w:space="0" w:color="auto"/>
            <w:right w:val="none" w:sz="0" w:space="0" w:color="auto"/>
          </w:divBdr>
          <w:divsChild>
            <w:div w:id="1297679453">
              <w:marLeft w:val="0"/>
              <w:marRight w:val="0"/>
              <w:marTop w:val="0"/>
              <w:marBottom w:val="0"/>
              <w:divBdr>
                <w:top w:val="none" w:sz="0" w:space="0" w:color="auto"/>
                <w:left w:val="none" w:sz="0" w:space="0" w:color="auto"/>
                <w:bottom w:val="none" w:sz="0" w:space="0" w:color="auto"/>
                <w:right w:val="none" w:sz="0" w:space="0" w:color="auto"/>
              </w:divBdr>
            </w:div>
          </w:divsChild>
        </w:div>
        <w:div w:id="2070306315">
          <w:marLeft w:val="0"/>
          <w:marRight w:val="0"/>
          <w:marTop w:val="0"/>
          <w:marBottom w:val="0"/>
          <w:divBdr>
            <w:top w:val="none" w:sz="0" w:space="0" w:color="auto"/>
            <w:left w:val="none" w:sz="0" w:space="0" w:color="auto"/>
            <w:bottom w:val="none" w:sz="0" w:space="0" w:color="auto"/>
            <w:right w:val="none" w:sz="0" w:space="0" w:color="auto"/>
          </w:divBdr>
        </w:div>
      </w:divsChild>
    </w:div>
    <w:div w:id="21383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Documents/Issues/HIV/ConsolidatedGuidelinesHIV.pdf" TargetMode="External"/><Relationship Id="rId18" Type="http://schemas.openxmlformats.org/officeDocument/2006/relationships/hyperlink" Target="https://www.undp.org/publications/undp-guidance-prosecutors-hiv-related-criminal-ca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igmaindex.org/" TargetMode="External"/><Relationship Id="rId7" Type="http://schemas.openxmlformats.org/officeDocument/2006/relationships/webSettings" Target="webSettings.xml"/><Relationship Id="rId12" Type="http://schemas.openxmlformats.org/officeDocument/2006/relationships/hyperlink" Target="https://www.humanrights-drugpolicy.org/" TargetMode="External"/><Relationship Id="rId17" Type="http://schemas.openxmlformats.org/officeDocument/2006/relationships/hyperlink" Target="https://www.who.int/reproductivehealth/publications/gender_rights/Ex-Summ-srhr-women-hiv/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aids.org/en/resources/documents/2018/HIV_Law_AfricanHumanRightsSystem" TargetMode="External"/><Relationship Id="rId20" Type="http://schemas.openxmlformats.org/officeDocument/2006/relationships/hyperlink" Target="HIV-Related-Human-Rights-Crises.pdf%20(u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aids.org/en/Global-AIDS-Strategy-2021-2026"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hivlawcommission.org/supplement/" TargetMode="External"/><Relationship Id="rId23" Type="http://schemas.openxmlformats.org/officeDocument/2006/relationships/hyperlink" Target="https://www.unaids.org/sites/default/files/media_asset/eliminating-discrimination-guidance_en.pdf" TargetMode="External"/><Relationship Id="rId10" Type="http://schemas.openxmlformats.org/officeDocument/2006/relationships/hyperlink" Target="https://www.unaids.org/en/Global-AIDS-Strategy-2021-2026" TargetMode="External"/><Relationship Id="rId19" Type="http://schemas.openxmlformats.org/officeDocument/2006/relationships/hyperlink" Target="https://www.unaids.org/en/resources/documents/2017/fast-track-human-r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vlawcommission.org/report/" TargetMode="External"/><Relationship Id="rId22" Type="http://schemas.openxmlformats.org/officeDocument/2006/relationships/hyperlink" Target="https://www.who.int/publications/i/item/978-92-4-1513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Detention/Pages/Detention-and-drug-policies.aspx" TargetMode="External"/><Relationship Id="rId13" Type="http://schemas.openxmlformats.org/officeDocument/2006/relationships/hyperlink" Target="https://raisingvoices.org/sasa/" TargetMode="External"/><Relationship Id="rId3" Type="http://schemas.openxmlformats.org/officeDocument/2006/relationships/hyperlink" Target="https://www.unaids.org/en/resources/documents/2020/PCB47_Report_Task_Team_Community-led_AIDS_Responses" TargetMode="External"/><Relationship Id="rId7" Type="http://schemas.openxmlformats.org/officeDocument/2006/relationships/hyperlink" Target="https://www.theglobalfund.org/en/human-rights/" TargetMode="External"/><Relationship Id="rId12" Type="http://schemas.openxmlformats.org/officeDocument/2006/relationships/hyperlink" Target="https://salamandertrust.net/project/stepping-stones-programmes/" TargetMode="External"/><Relationship Id="rId17" Type="http://schemas.openxmlformats.org/officeDocument/2006/relationships/hyperlink" Target="https://www.unaids.org/en/topics/education-plus" TargetMode="External"/><Relationship Id="rId2" Type="http://schemas.openxmlformats.org/officeDocument/2006/relationships/hyperlink" Target="https://www.unaids.org/en/resources/documents/2021/07-hiv-human-rights-factsheet-stigma-discrmination" TargetMode="External"/><Relationship Id="rId16" Type="http://schemas.openxmlformats.org/officeDocument/2006/relationships/hyperlink" Target="https://www.unaids.org/sites/default/files/media_asset/2020_global-aids-report_en.pdf" TargetMode="External"/><Relationship Id="rId1" Type="http://schemas.openxmlformats.org/officeDocument/2006/relationships/hyperlink" Target="https://lawsandpolicies.unaids.org" TargetMode="External"/><Relationship Id="rId6" Type="http://schemas.openxmlformats.org/officeDocument/2006/relationships/hyperlink" Target="https://aidsfonds.org/cms/sites/default/files/inline-files/Fast-Track%20or%20Off%20Track%20report-final_0.pdf" TargetMode="External"/><Relationship Id="rId11" Type="http://schemas.openxmlformats.org/officeDocument/2006/relationships/hyperlink" Target="https://www.unaids.org/sites/default/files/media_asset/PCB49_Stigma__Discrimination_EN.pdf" TargetMode="External"/><Relationship Id="rId5" Type="http://schemas.openxmlformats.org/officeDocument/2006/relationships/hyperlink" Target="https://lawsandpolicies.unaids.org" TargetMode="External"/><Relationship Id="rId15" Type="http://schemas.openxmlformats.org/officeDocument/2006/relationships/hyperlink" Target="http://frontlineaids.org/wp-content/uploads/2019/02/Linkages_between_HIV_and_gender-basaed_violence_in_MENA_original.pdf" TargetMode="External"/><Relationship Id="rId10" Type="http://schemas.openxmlformats.org/officeDocument/2006/relationships/hyperlink" Target="https://www.unaids.org/sites/default/files/media_asset/PCB49_Stigma__Discrimination_EN.pdf" TargetMode="External"/><Relationship Id="rId4" Type="http://schemas.openxmlformats.org/officeDocument/2006/relationships/hyperlink" Target="https://www.unaids.org/en/resources/documents/2019/PCB45_Community-led-Response" TargetMode="External"/><Relationship Id="rId9" Type="http://schemas.openxmlformats.org/officeDocument/2006/relationships/hyperlink" Target="https://www.legislation.vic.gov.au/bills/sex-work-decriminalisation-bill-2021" TargetMode="External"/><Relationship Id="rId14" Type="http://schemas.openxmlformats.org/officeDocument/2006/relationships/hyperlink" Target="https://www.image-sa.co.za/PROGRAMME/THE-INTER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CC7CEC674BD4FA2C6440E2C5C37CC" ma:contentTypeVersion="21" ma:contentTypeDescription="Create a new document." ma:contentTypeScope="" ma:versionID="006c44e73445c6f4dc82cd04a55a8939">
  <xsd:schema xmlns:xsd="http://www.w3.org/2001/XMLSchema" xmlns:xs="http://www.w3.org/2001/XMLSchema" xmlns:p="http://schemas.microsoft.com/office/2006/metadata/properties" xmlns:ns2="22426231-67da-44e9-9361-5888dcd2f72e" xmlns:ns3="2ddeef39-65d3-4660-94f2-f063f949c57e" targetNamespace="http://schemas.microsoft.com/office/2006/metadata/properties" ma:root="true" ma:fieldsID="4810d1da7612e77aea0f15562ed9c69a" ns2:_="" ns3:_="">
    <xsd:import namespace="22426231-67da-44e9-9361-5888dcd2f72e"/>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Location" minOccurs="0"/>
                <xsd:element ref="ns2:97866344-d749-489c-8025-2aac0eb66966CountryOrRegion" minOccurs="0"/>
                <xsd:element ref="ns2:97866344-d749-489c-8025-2aac0eb66966State" minOccurs="0"/>
                <xsd:element ref="ns2:97866344-d749-489c-8025-2aac0eb66966City" minOccurs="0"/>
                <xsd:element ref="ns2:97866344-d749-489c-8025-2aac0eb66966PostalCode" minOccurs="0"/>
                <xsd:element ref="ns2:97866344-d749-489c-8025-2aac0eb66966Street" minOccurs="0"/>
                <xsd:element ref="ns2:97866344-d749-489c-8025-2aac0eb66966GeoLoc" minOccurs="0"/>
                <xsd:element ref="ns2:97866344-d749-489c-8025-2aac0eb66966DispName"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6231-67da-44e9-9361-5888dcd2f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Location" ma:index="16" nillable="true" ma:displayName="Location" ma:format="Dropdown" ma:internalName="Location">
      <xsd:simpleType>
        <xsd:restriction base="dms:Unknown"/>
      </xsd:simpleType>
    </xsd:element>
    <xsd:element name="97866344-d749-489c-8025-2aac0eb66966CountryOrRegion" ma:index="17" nillable="true" ma:displayName="Location: Country/Region" ma:internalName="CountryOrRegion" ma:readOnly="true">
      <xsd:simpleType>
        <xsd:restriction base="dms:Text"/>
      </xsd:simpleType>
    </xsd:element>
    <xsd:element name="97866344-d749-489c-8025-2aac0eb66966State" ma:index="18" nillable="true" ma:displayName="Location: State" ma:internalName="State" ma:readOnly="true">
      <xsd:simpleType>
        <xsd:restriction base="dms:Text"/>
      </xsd:simpleType>
    </xsd:element>
    <xsd:element name="97866344-d749-489c-8025-2aac0eb66966City" ma:index="19" nillable="true" ma:displayName="Location: City" ma:internalName="City" ma:readOnly="true">
      <xsd:simpleType>
        <xsd:restriction base="dms:Text"/>
      </xsd:simpleType>
    </xsd:element>
    <xsd:element name="97866344-d749-489c-8025-2aac0eb66966PostalCode" ma:index="20" nillable="true" ma:displayName="Location: Postal Code" ma:internalName="PostalCode" ma:readOnly="true">
      <xsd:simpleType>
        <xsd:restriction base="dms:Text"/>
      </xsd:simpleType>
    </xsd:element>
    <xsd:element name="97866344-d749-489c-8025-2aac0eb66966Street" ma:index="21" nillable="true" ma:displayName="Location: Street" ma:internalName="Street" ma:readOnly="true">
      <xsd:simpleType>
        <xsd:restriction base="dms:Text"/>
      </xsd:simpleType>
    </xsd:element>
    <xsd:element name="97866344-d749-489c-8025-2aac0eb66966GeoLoc" ma:index="22" nillable="true" ma:displayName="Location: Coordinates" ma:internalName="GeoLoc" ma:readOnly="true">
      <xsd:simpleType>
        <xsd:restriction base="dms:Unknown"/>
      </xsd:simpleType>
    </xsd:element>
    <xsd:element name="97866344-d749-489c-8025-2aac0eb66966DispName" ma:index="23" nillable="true" ma:displayName="Location: Name" ma:internalName="DispNam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1ACFC-7F59-4359-82B8-8AF5D4E2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6231-67da-44e9-9361-5888dcd2f72e"/>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07FF1-A399-437F-83C1-EE4B95CDBE48}">
  <ds:schemaRefs>
    <ds:schemaRef ds:uri="http://schemas.openxmlformats.org/officeDocument/2006/bibliography"/>
  </ds:schemaRefs>
</ds:datastoreItem>
</file>

<file path=customXml/itemProps3.xml><?xml version="1.0" encoding="utf-8"?>
<ds:datastoreItem xmlns:ds="http://schemas.openxmlformats.org/officeDocument/2006/customXml" ds:itemID="{7A0D6C87-AAE2-4D75-9ECE-9685882CA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21</Pages>
  <Words>8493</Words>
  <Characters>50623</Characters>
  <Application>Microsoft Office Word</Application>
  <DocSecurity>0</DocSecurity>
  <Lines>421</Lines>
  <Paragraphs>117</Paragraphs>
  <ScaleCrop>false</ScaleCrop>
  <Company/>
  <LinksUpToDate>false</LinksUpToDate>
  <CharactersWithSpaces>58999</CharactersWithSpaces>
  <SharedDoc>false</SharedDoc>
  <HLinks>
    <vt:vector size="186" baseType="variant">
      <vt:variant>
        <vt:i4>5963799</vt:i4>
      </vt:variant>
      <vt:variant>
        <vt:i4>39</vt:i4>
      </vt:variant>
      <vt:variant>
        <vt:i4>0</vt:i4>
      </vt:variant>
      <vt:variant>
        <vt:i4>5</vt:i4>
      </vt:variant>
      <vt:variant>
        <vt:lpwstr>https://www.unaids.org/sites/default/files/media_asset/eliminating-discrimination-guidance_en.pdf</vt:lpwstr>
      </vt:variant>
      <vt:variant>
        <vt:lpwstr/>
      </vt:variant>
      <vt:variant>
        <vt:i4>1441870</vt:i4>
      </vt:variant>
      <vt:variant>
        <vt:i4>36</vt:i4>
      </vt:variant>
      <vt:variant>
        <vt:i4>0</vt:i4>
      </vt:variant>
      <vt:variant>
        <vt:i4>5</vt:i4>
      </vt:variant>
      <vt:variant>
        <vt:lpwstr>https://www.who.int/publications/i/item/978-92-4-151301-2</vt:lpwstr>
      </vt:variant>
      <vt:variant>
        <vt:lpwstr/>
      </vt:variant>
      <vt:variant>
        <vt:i4>4325450</vt:i4>
      </vt:variant>
      <vt:variant>
        <vt:i4>33</vt:i4>
      </vt:variant>
      <vt:variant>
        <vt:i4>0</vt:i4>
      </vt:variant>
      <vt:variant>
        <vt:i4>5</vt:i4>
      </vt:variant>
      <vt:variant>
        <vt:lpwstr>https://www.stigmaindex.org/</vt:lpwstr>
      </vt:variant>
      <vt:variant>
        <vt:lpwstr/>
      </vt:variant>
      <vt:variant>
        <vt:i4>7274618</vt:i4>
      </vt:variant>
      <vt:variant>
        <vt:i4>30</vt:i4>
      </vt:variant>
      <vt:variant>
        <vt:i4>0</vt:i4>
      </vt:variant>
      <vt:variant>
        <vt:i4>5</vt:i4>
      </vt:variant>
      <vt:variant>
        <vt:lpwstr>HIV-Related-Human-Rights-Crises.pdf (un.org</vt:lpwstr>
      </vt:variant>
      <vt:variant>
        <vt:lpwstr/>
      </vt:variant>
      <vt:variant>
        <vt:i4>2097267</vt:i4>
      </vt:variant>
      <vt:variant>
        <vt:i4>27</vt:i4>
      </vt:variant>
      <vt:variant>
        <vt:i4>0</vt:i4>
      </vt:variant>
      <vt:variant>
        <vt:i4>5</vt:i4>
      </vt:variant>
      <vt:variant>
        <vt:lpwstr>https://www.unaids.org/en/resources/documents/2017/fast-track-human-rights</vt:lpwstr>
      </vt:variant>
      <vt:variant>
        <vt:lpwstr/>
      </vt:variant>
      <vt:variant>
        <vt:i4>7077950</vt:i4>
      </vt:variant>
      <vt:variant>
        <vt:i4>24</vt:i4>
      </vt:variant>
      <vt:variant>
        <vt:i4>0</vt:i4>
      </vt:variant>
      <vt:variant>
        <vt:i4>5</vt:i4>
      </vt:variant>
      <vt:variant>
        <vt:lpwstr>https://www.undp.org/publications/undp-guidance-prosecutors-hiv-related-criminal-cases</vt:lpwstr>
      </vt:variant>
      <vt:variant>
        <vt:lpwstr/>
      </vt:variant>
      <vt:variant>
        <vt:i4>5636151</vt:i4>
      </vt:variant>
      <vt:variant>
        <vt:i4>21</vt:i4>
      </vt:variant>
      <vt:variant>
        <vt:i4>0</vt:i4>
      </vt:variant>
      <vt:variant>
        <vt:i4>5</vt:i4>
      </vt:variant>
      <vt:variant>
        <vt:lpwstr>https://www.who.int/reproductivehealth/publications/gender_rights/Ex-Summ-srhr-women-hiv/en/</vt:lpwstr>
      </vt:variant>
      <vt:variant>
        <vt:lpwstr/>
      </vt:variant>
      <vt:variant>
        <vt:i4>7012448</vt:i4>
      </vt:variant>
      <vt:variant>
        <vt:i4>18</vt:i4>
      </vt:variant>
      <vt:variant>
        <vt:i4>0</vt:i4>
      </vt:variant>
      <vt:variant>
        <vt:i4>5</vt:i4>
      </vt:variant>
      <vt:variant>
        <vt:lpwstr>https://www.unaids.org/en/resources/documents/2018/HIV_Law_AfricanHumanRightsSystem</vt:lpwstr>
      </vt:variant>
      <vt:variant>
        <vt:lpwstr/>
      </vt:variant>
      <vt:variant>
        <vt:i4>6160454</vt:i4>
      </vt:variant>
      <vt:variant>
        <vt:i4>15</vt:i4>
      </vt:variant>
      <vt:variant>
        <vt:i4>0</vt:i4>
      </vt:variant>
      <vt:variant>
        <vt:i4>5</vt:i4>
      </vt:variant>
      <vt:variant>
        <vt:lpwstr>https://hivlawcommission.org/supplement/</vt:lpwstr>
      </vt:variant>
      <vt:variant>
        <vt:lpwstr/>
      </vt:variant>
      <vt:variant>
        <vt:i4>4325449</vt:i4>
      </vt:variant>
      <vt:variant>
        <vt:i4>12</vt:i4>
      </vt:variant>
      <vt:variant>
        <vt:i4>0</vt:i4>
      </vt:variant>
      <vt:variant>
        <vt:i4>5</vt:i4>
      </vt:variant>
      <vt:variant>
        <vt:lpwstr>https://hivlawcommission.org/report/</vt:lpwstr>
      </vt:variant>
      <vt:variant>
        <vt:lpwstr/>
      </vt:variant>
      <vt:variant>
        <vt:i4>1310736</vt:i4>
      </vt:variant>
      <vt:variant>
        <vt:i4>9</vt:i4>
      </vt:variant>
      <vt:variant>
        <vt:i4>0</vt:i4>
      </vt:variant>
      <vt:variant>
        <vt:i4>5</vt:i4>
      </vt:variant>
      <vt:variant>
        <vt:lpwstr>https://www.ohchr.org/Documents/Issues/HIV/ConsolidatedGuidelinesHIV.pdf</vt:lpwstr>
      </vt:variant>
      <vt:variant>
        <vt:lpwstr/>
      </vt:variant>
      <vt:variant>
        <vt:i4>7471211</vt:i4>
      </vt:variant>
      <vt:variant>
        <vt:i4>6</vt:i4>
      </vt:variant>
      <vt:variant>
        <vt:i4>0</vt:i4>
      </vt:variant>
      <vt:variant>
        <vt:i4>5</vt:i4>
      </vt:variant>
      <vt:variant>
        <vt:lpwstr>https://www.humanrights-drugpolicy.org/</vt:lpwstr>
      </vt:variant>
      <vt:variant>
        <vt:lpwstr/>
      </vt:variant>
      <vt:variant>
        <vt:i4>1441869</vt:i4>
      </vt:variant>
      <vt:variant>
        <vt:i4>3</vt:i4>
      </vt:variant>
      <vt:variant>
        <vt:i4>0</vt:i4>
      </vt:variant>
      <vt:variant>
        <vt:i4>5</vt:i4>
      </vt:variant>
      <vt:variant>
        <vt:lpwstr>https://www.unaids.org/en/Global-AIDS-Strategy-2021-2026</vt:lpwstr>
      </vt:variant>
      <vt:variant>
        <vt:lpwstr/>
      </vt:variant>
      <vt:variant>
        <vt:i4>1441869</vt:i4>
      </vt:variant>
      <vt:variant>
        <vt:i4>0</vt:i4>
      </vt:variant>
      <vt:variant>
        <vt:i4>0</vt:i4>
      </vt:variant>
      <vt:variant>
        <vt:i4>5</vt:i4>
      </vt:variant>
      <vt:variant>
        <vt:lpwstr>https://www.unaids.org/en/Global-AIDS-Strategy-2021-2026</vt:lpwstr>
      </vt:variant>
      <vt:variant>
        <vt:lpwstr/>
      </vt:variant>
      <vt:variant>
        <vt:i4>7864376</vt:i4>
      </vt:variant>
      <vt:variant>
        <vt:i4>48</vt:i4>
      </vt:variant>
      <vt:variant>
        <vt:i4>0</vt:i4>
      </vt:variant>
      <vt:variant>
        <vt:i4>5</vt:i4>
      </vt:variant>
      <vt:variant>
        <vt:lpwstr>https://www.unaids.org/en/topics/education-plus</vt:lpwstr>
      </vt:variant>
      <vt:variant>
        <vt:lpwstr/>
      </vt:variant>
      <vt:variant>
        <vt:i4>7340033</vt:i4>
      </vt:variant>
      <vt:variant>
        <vt:i4>45</vt:i4>
      </vt:variant>
      <vt:variant>
        <vt:i4>0</vt:i4>
      </vt:variant>
      <vt:variant>
        <vt:i4>5</vt:i4>
      </vt:variant>
      <vt:variant>
        <vt:lpwstr>https://www.unaids.org/sites/default/files/media_asset/2020_global-aids-report_en.pdf</vt:lpwstr>
      </vt:variant>
      <vt:variant>
        <vt:lpwstr/>
      </vt:variant>
      <vt:variant>
        <vt:i4>4980814</vt:i4>
      </vt:variant>
      <vt:variant>
        <vt:i4>42</vt:i4>
      </vt:variant>
      <vt:variant>
        <vt:i4>0</vt:i4>
      </vt:variant>
      <vt:variant>
        <vt:i4>5</vt:i4>
      </vt:variant>
      <vt:variant>
        <vt:lpwstr>http://frontlineaids.org/wp-content/uploads/2019/02/Linkages_between_HIV_and_gender-basaed_violence_in_MENA_original.pdf</vt:lpwstr>
      </vt:variant>
      <vt:variant>
        <vt:lpwstr/>
      </vt:variant>
      <vt:variant>
        <vt:i4>4653123</vt:i4>
      </vt:variant>
      <vt:variant>
        <vt:i4>39</vt:i4>
      </vt:variant>
      <vt:variant>
        <vt:i4>0</vt:i4>
      </vt:variant>
      <vt:variant>
        <vt:i4>5</vt:i4>
      </vt:variant>
      <vt:variant>
        <vt:lpwstr>https://www.image-sa.co.za/PROGRAMME/THE-INTERVENTION</vt:lpwstr>
      </vt:variant>
      <vt:variant>
        <vt:lpwstr/>
      </vt:variant>
      <vt:variant>
        <vt:i4>6553634</vt:i4>
      </vt:variant>
      <vt:variant>
        <vt:i4>36</vt:i4>
      </vt:variant>
      <vt:variant>
        <vt:i4>0</vt:i4>
      </vt:variant>
      <vt:variant>
        <vt:i4>5</vt:i4>
      </vt:variant>
      <vt:variant>
        <vt:lpwstr>https://raisingvoices.org/sasa/</vt:lpwstr>
      </vt:variant>
      <vt:variant>
        <vt:lpwstr/>
      </vt:variant>
      <vt:variant>
        <vt:i4>6488177</vt:i4>
      </vt:variant>
      <vt:variant>
        <vt:i4>33</vt:i4>
      </vt:variant>
      <vt:variant>
        <vt:i4>0</vt:i4>
      </vt:variant>
      <vt:variant>
        <vt:i4>5</vt:i4>
      </vt:variant>
      <vt:variant>
        <vt:lpwstr>https://salamandertrust.net/project/stepping-stones-programmes/</vt:lpwstr>
      </vt:variant>
      <vt:variant>
        <vt:lpwstr/>
      </vt:variant>
      <vt:variant>
        <vt:i4>7143432</vt:i4>
      </vt:variant>
      <vt:variant>
        <vt:i4>30</vt:i4>
      </vt:variant>
      <vt:variant>
        <vt:i4>0</vt:i4>
      </vt:variant>
      <vt:variant>
        <vt:i4>5</vt:i4>
      </vt:variant>
      <vt:variant>
        <vt:lpwstr>https://www.unaids.org/sites/default/files/media_asset/PCB49_Stigma__Discrimination_EN.pdf</vt:lpwstr>
      </vt:variant>
      <vt:variant>
        <vt:lpwstr/>
      </vt:variant>
      <vt:variant>
        <vt:i4>7143432</vt:i4>
      </vt:variant>
      <vt:variant>
        <vt:i4>27</vt:i4>
      </vt:variant>
      <vt:variant>
        <vt:i4>0</vt:i4>
      </vt:variant>
      <vt:variant>
        <vt:i4>5</vt:i4>
      </vt:variant>
      <vt:variant>
        <vt:lpwstr>https://www.unaids.org/sites/default/files/media_asset/PCB49_Stigma__Discrimination_EN.pdf</vt:lpwstr>
      </vt:variant>
      <vt:variant>
        <vt:lpwstr/>
      </vt:variant>
      <vt:variant>
        <vt:i4>524296</vt:i4>
      </vt:variant>
      <vt:variant>
        <vt:i4>24</vt:i4>
      </vt:variant>
      <vt:variant>
        <vt:i4>0</vt:i4>
      </vt:variant>
      <vt:variant>
        <vt:i4>5</vt:i4>
      </vt:variant>
      <vt:variant>
        <vt:lpwstr>https://www.legislation.vic.gov.au/bills/sex-work-decriminalisation-bill-2021</vt:lpwstr>
      </vt:variant>
      <vt:variant>
        <vt:lpwstr/>
      </vt:variant>
      <vt:variant>
        <vt:i4>4522073</vt:i4>
      </vt:variant>
      <vt:variant>
        <vt:i4>21</vt:i4>
      </vt:variant>
      <vt:variant>
        <vt:i4>0</vt:i4>
      </vt:variant>
      <vt:variant>
        <vt:i4>5</vt:i4>
      </vt:variant>
      <vt:variant>
        <vt:lpwstr>https://www.ohchr.org/EN/Issues/Detention/Pages/Detention-and-drug-policies.aspx</vt:lpwstr>
      </vt:variant>
      <vt:variant>
        <vt:lpwstr/>
      </vt:variant>
      <vt:variant>
        <vt:i4>7929899</vt:i4>
      </vt:variant>
      <vt:variant>
        <vt:i4>18</vt:i4>
      </vt:variant>
      <vt:variant>
        <vt:i4>0</vt:i4>
      </vt:variant>
      <vt:variant>
        <vt:i4>5</vt:i4>
      </vt:variant>
      <vt:variant>
        <vt:lpwstr>https://www.theglobalfund.org/en/human-rights/</vt:lpwstr>
      </vt:variant>
      <vt:variant>
        <vt:lpwstr/>
      </vt:variant>
      <vt:variant>
        <vt:i4>2162756</vt:i4>
      </vt:variant>
      <vt:variant>
        <vt:i4>15</vt:i4>
      </vt:variant>
      <vt:variant>
        <vt:i4>0</vt:i4>
      </vt:variant>
      <vt:variant>
        <vt:i4>5</vt:i4>
      </vt:variant>
      <vt:variant>
        <vt:lpwstr>https://aidsfonds.org/cms/sites/default/files/inline-files/Fast-Track or Off Track report-final_0.pdf</vt:lpwstr>
      </vt:variant>
      <vt:variant>
        <vt:lpwstr/>
      </vt:variant>
      <vt:variant>
        <vt:i4>2424942</vt:i4>
      </vt:variant>
      <vt:variant>
        <vt:i4>12</vt:i4>
      </vt:variant>
      <vt:variant>
        <vt:i4>0</vt:i4>
      </vt:variant>
      <vt:variant>
        <vt:i4>5</vt:i4>
      </vt:variant>
      <vt:variant>
        <vt:lpwstr>https://lawsandpolicies.unaids.org/</vt:lpwstr>
      </vt:variant>
      <vt:variant>
        <vt:lpwstr/>
      </vt:variant>
      <vt:variant>
        <vt:i4>3670044</vt:i4>
      </vt:variant>
      <vt:variant>
        <vt:i4>9</vt:i4>
      </vt:variant>
      <vt:variant>
        <vt:i4>0</vt:i4>
      </vt:variant>
      <vt:variant>
        <vt:i4>5</vt:i4>
      </vt:variant>
      <vt:variant>
        <vt:lpwstr>https://www.unaids.org/en/resources/documents/2019/PCB45_Community-led-Response</vt:lpwstr>
      </vt:variant>
      <vt:variant>
        <vt:lpwstr/>
      </vt:variant>
      <vt:variant>
        <vt:i4>5832720</vt:i4>
      </vt:variant>
      <vt:variant>
        <vt:i4>6</vt:i4>
      </vt:variant>
      <vt:variant>
        <vt:i4>0</vt:i4>
      </vt:variant>
      <vt:variant>
        <vt:i4>5</vt:i4>
      </vt:variant>
      <vt:variant>
        <vt:lpwstr>https://www.unaids.org/en/resources/documents/2020/PCB47_Report_Task_Team_Community-led_AIDS_Responses</vt:lpwstr>
      </vt:variant>
      <vt:variant>
        <vt:lpwstr/>
      </vt:variant>
      <vt:variant>
        <vt:i4>5505116</vt:i4>
      </vt:variant>
      <vt:variant>
        <vt:i4>3</vt:i4>
      </vt:variant>
      <vt:variant>
        <vt:i4>0</vt:i4>
      </vt:variant>
      <vt:variant>
        <vt:i4>5</vt:i4>
      </vt:variant>
      <vt:variant>
        <vt:lpwstr>https://www.unaids.org/en/resources/documents/2021/07-hiv-human-rights-factsheet-stigma-discrmination</vt:lpwstr>
      </vt:variant>
      <vt:variant>
        <vt:lpwstr/>
      </vt:variant>
      <vt:variant>
        <vt:i4>2424942</vt:i4>
      </vt:variant>
      <vt:variant>
        <vt:i4>0</vt:i4>
      </vt:variant>
      <vt:variant>
        <vt:i4>0</vt:i4>
      </vt:variant>
      <vt:variant>
        <vt:i4>5</vt:i4>
      </vt:variant>
      <vt:variant>
        <vt:lpwstr>https://lawsandpolicies.unaids.org/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Emily</dc:creator>
  <cp:keywords/>
  <dc:description/>
  <cp:lastModifiedBy>CHRISTIE, Emily</cp:lastModifiedBy>
  <cp:revision>209</cp:revision>
  <dcterms:created xsi:type="dcterms:W3CDTF">2022-02-17T09:27:00Z</dcterms:created>
  <dcterms:modified xsi:type="dcterms:W3CDTF">2022-03-08T09:24:00Z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0x010100F57CC7CEC674BD4FA2C6440E2C5C37CC</vt:lpwstr>
  </property>
</Properties>
</file>