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45828" w14:textId="663819E5" w:rsidR="00177254" w:rsidRPr="00000E70" w:rsidRDefault="00177254" w:rsidP="001A243B">
      <w:pPr>
        <w:jc w:val="center"/>
        <w:rPr>
          <w:rFonts w:ascii="Calibri" w:hAnsi="Calibri" w:cs="Calibri"/>
          <w:b/>
          <w:bCs/>
          <w:sz w:val="22"/>
          <w:szCs w:val="22"/>
        </w:rPr>
      </w:pPr>
      <w:r w:rsidRPr="00000E70">
        <w:rPr>
          <w:rFonts w:ascii="Calibri" w:hAnsi="Calibri" w:cs="Calibri"/>
          <w:b/>
          <w:bCs/>
          <w:sz w:val="22"/>
          <w:szCs w:val="22"/>
        </w:rPr>
        <w:t xml:space="preserve">Treatment Action Group Submission to the Office of the High Commissioner </w:t>
      </w:r>
      <w:r w:rsidR="007E6636" w:rsidRPr="00000E70">
        <w:rPr>
          <w:rFonts w:ascii="Calibri" w:hAnsi="Calibri" w:cs="Calibri"/>
          <w:b/>
          <w:bCs/>
          <w:sz w:val="22"/>
          <w:szCs w:val="22"/>
        </w:rPr>
        <w:t>f</w:t>
      </w:r>
      <w:r w:rsidRPr="00000E70">
        <w:rPr>
          <w:rFonts w:ascii="Calibri" w:hAnsi="Calibri" w:cs="Calibri"/>
          <w:b/>
          <w:bCs/>
          <w:sz w:val="22"/>
          <w:szCs w:val="22"/>
        </w:rPr>
        <w:t>o</w:t>
      </w:r>
      <w:r w:rsidR="007E6636" w:rsidRPr="00000E70">
        <w:rPr>
          <w:rFonts w:ascii="Calibri" w:hAnsi="Calibri" w:cs="Calibri"/>
          <w:b/>
          <w:bCs/>
          <w:sz w:val="22"/>
          <w:szCs w:val="22"/>
        </w:rPr>
        <w:t>r</w:t>
      </w:r>
      <w:r w:rsidRPr="00000E70">
        <w:rPr>
          <w:rFonts w:ascii="Calibri" w:hAnsi="Calibri" w:cs="Calibri"/>
          <w:b/>
          <w:bCs/>
          <w:sz w:val="22"/>
          <w:szCs w:val="22"/>
        </w:rPr>
        <w:t xml:space="preserve"> Human Rights</w:t>
      </w:r>
    </w:p>
    <w:p w14:paraId="2159F754" w14:textId="7C221E8F" w:rsidR="00177254" w:rsidRPr="004F59F0" w:rsidRDefault="00177254" w:rsidP="001A243B">
      <w:pPr>
        <w:jc w:val="center"/>
        <w:rPr>
          <w:rFonts w:ascii="Calibri" w:hAnsi="Calibri" w:cs="Calibri"/>
          <w:b/>
          <w:bCs/>
          <w:sz w:val="22"/>
          <w:szCs w:val="22"/>
        </w:rPr>
      </w:pPr>
      <w:r w:rsidRPr="00000E70">
        <w:rPr>
          <w:rFonts w:ascii="Calibri" w:hAnsi="Calibri" w:cs="Calibri"/>
          <w:b/>
          <w:bCs/>
          <w:sz w:val="22"/>
          <w:szCs w:val="22"/>
        </w:rPr>
        <w:t xml:space="preserve">Input to HRC </w:t>
      </w:r>
      <w:r w:rsidR="00A94D8E" w:rsidRPr="00000E70">
        <w:rPr>
          <w:rFonts w:ascii="Calibri" w:hAnsi="Calibri" w:cs="Calibri"/>
          <w:b/>
          <w:bCs/>
          <w:sz w:val="22"/>
          <w:szCs w:val="22"/>
        </w:rPr>
        <w:t>r</w:t>
      </w:r>
      <w:r w:rsidRPr="00000E70">
        <w:rPr>
          <w:rFonts w:ascii="Calibri" w:hAnsi="Calibri" w:cs="Calibri"/>
          <w:b/>
          <w:bCs/>
          <w:sz w:val="22"/>
          <w:szCs w:val="22"/>
        </w:rPr>
        <w:t>esolution 47/17</w:t>
      </w:r>
    </w:p>
    <w:p w14:paraId="1CA8A2BC" w14:textId="6E71DD0F" w:rsidR="00177254" w:rsidRPr="00000E70" w:rsidRDefault="00F73F7B" w:rsidP="001A243B">
      <w:pPr>
        <w:jc w:val="center"/>
        <w:rPr>
          <w:rFonts w:ascii="Calibri" w:hAnsi="Calibri" w:cs="Calibri"/>
          <w:sz w:val="22"/>
          <w:szCs w:val="22"/>
        </w:rPr>
      </w:pPr>
      <w:r>
        <w:rPr>
          <w:rFonts w:ascii="Calibri" w:hAnsi="Calibri" w:cs="Calibri"/>
          <w:sz w:val="22"/>
          <w:szCs w:val="22"/>
        </w:rPr>
        <w:t>9</w:t>
      </w:r>
      <w:r w:rsidR="00177254" w:rsidRPr="00000E70">
        <w:rPr>
          <w:rFonts w:ascii="Calibri" w:hAnsi="Calibri" w:cs="Calibri"/>
          <w:sz w:val="22"/>
          <w:szCs w:val="22"/>
        </w:rPr>
        <w:t xml:space="preserve"> </w:t>
      </w:r>
      <w:r>
        <w:rPr>
          <w:rFonts w:ascii="Calibri" w:hAnsi="Calibri" w:cs="Calibri"/>
          <w:sz w:val="22"/>
          <w:szCs w:val="22"/>
        </w:rPr>
        <w:t>Febr</w:t>
      </w:r>
      <w:r w:rsidR="00177254" w:rsidRPr="00000E70">
        <w:rPr>
          <w:rFonts w:ascii="Calibri" w:hAnsi="Calibri" w:cs="Calibri"/>
          <w:sz w:val="22"/>
          <w:szCs w:val="22"/>
        </w:rPr>
        <w:t>uary 2022</w:t>
      </w:r>
    </w:p>
    <w:p w14:paraId="7A5D00AB" w14:textId="5CEF90F6" w:rsidR="00177254" w:rsidRPr="00000E70" w:rsidRDefault="00177254" w:rsidP="001A243B">
      <w:pPr>
        <w:jc w:val="both"/>
        <w:rPr>
          <w:rFonts w:ascii="Calibri" w:hAnsi="Calibri" w:cs="Calibri"/>
          <w:sz w:val="22"/>
          <w:szCs w:val="22"/>
        </w:rPr>
      </w:pPr>
    </w:p>
    <w:p w14:paraId="59377AB6" w14:textId="4D3FFEBA" w:rsidR="008958AC" w:rsidRPr="004F59F0" w:rsidRDefault="00177254" w:rsidP="001A243B">
      <w:pPr>
        <w:pStyle w:val="ListParagraph"/>
        <w:numPr>
          <w:ilvl w:val="0"/>
          <w:numId w:val="1"/>
        </w:numPr>
        <w:ind w:left="360"/>
        <w:jc w:val="both"/>
        <w:rPr>
          <w:rFonts w:ascii="Calibri" w:hAnsi="Calibri" w:cs="Calibri"/>
          <w:sz w:val="22"/>
          <w:szCs w:val="22"/>
        </w:rPr>
      </w:pPr>
      <w:r w:rsidRPr="00000E70">
        <w:rPr>
          <w:rFonts w:ascii="Calibri" w:hAnsi="Calibri" w:cs="Calibri"/>
          <w:sz w:val="22"/>
          <w:szCs w:val="22"/>
        </w:rPr>
        <w:t xml:space="preserve">Treatment Action Group </w:t>
      </w:r>
      <w:r w:rsidR="008958AC" w:rsidRPr="00000E70">
        <w:rPr>
          <w:rFonts w:ascii="Calibri" w:hAnsi="Calibri" w:cs="Calibri"/>
          <w:sz w:val="22"/>
          <w:szCs w:val="22"/>
        </w:rPr>
        <w:t xml:space="preserve">(TAG) is </w:t>
      </w:r>
      <w:r w:rsidR="007E6636" w:rsidRPr="00000E70">
        <w:rPr>
          <w:rFonts w:ascii="Calibri" w:hAnsi="Calibri" w:cs="Calibri"/>
          <w:sz w:val="22"/>
          <w:szCs w:val="22"/>
        </w:rPr>
        <w:t xml:space="preserve">pleased to submit this input </w:t>
      </w:r>
      <w:r w:rsidR="00153135">
        <w:rPr>
          <w:rFonts w:ascii="Calibri" w:hAnsi="Calibri" w:cs="Calibri"/>
          <w:sz w:val="22"/>
          <w:szCs w:val="22"/>
        </w:rPr>
        <w:t>to</w:t>
      </w:r>
      <w:r w:rsidR="007E6636" w:rsidRPr="00000E70">
        <w:rPr>
          <w:rFonts w:ascii="Calibri" w:hAnsi="Calibri" w:cs="Calibri"/>
          <w:sz w:val="22"/>
          <w:szCs w:val="22"/>
        </w:rPr>
        <w:t xml:space="preserve"> Human Rights Council resolution 47/17 to the Office of the High Commissioner for Human Rights</w:t>
      </w:r>
      <w:r w:rsidR="000470A6" w:rsidRPr="00000E70">
        <w:rPr>
          <w:rFonts w:ascii="Calibri" w:hAnsi="Calibri" w:cs="Calibri"/>
          <w:sz w:val="22"/>
          <w:szCs w:val="22"/>
        </w:rPr>
        <w:t xml:space="preserve"> (OHCHR)</w:t>
      </w:r>
      <w:r w:rsidR="007E6636" w:rsidRPr="00000E70">
        <w:rPr>
          <w:rFonts w:ascii="Calibri" w:hAnsi="Calibri" w:cs="Calibri"/>
          <w:sz w:val="22"/>
          <w:szCs w:val="22"/>
        </w:rPr>
        <w:t xml:space="preserve">. TAG is </w:t>
      </w:r>
      <w:r w:rsidR="008958AC" w:rsidRPr="00000E70">
        <w:rPr>
          <w:rFonts w:ascii="Calibri" w:hAnsi="Calibri" w:cs="Calibri"/>
          <w:sz w:val="22"/>
          <w:szCs w:val="22"/>
        </w:rPr>
        <w:t xml:space="preserve">an independent, activist, and community-based research and policy think tank committed to racial, gender, and LGBTQ+ equity; social justice; and liberation, fighting to end HIV, tuberculosis (TB), and hepatitis C virus (HCV). </w:t>
      </w:r>
      <w:r w:rsidR="007E6636" w:rsidRPr="004F59F0">
        <w:rPr>
          <w:rFonts w:ascii="Calibri" w:hAnsi="Calibri" w:cs="Calibri"/>
          <w:sz w:val="22"/>
          <w:szCs w:val="22"/>
        </w:rPr>
        <w:t>We</w:t>
      </w:r>
      <w:r w:rsidR="008958AC" w:rsidRPr="004F59F0">
        <w:rPr>
          <w:rFonts w:ascii="Calibri" w:hAnsi="Calibri" w:cs="Calibri"/>
          <w:sz w:val="22"/>
          <w:szCs w:val="22"/>
        </w:rPr>
        <w:t xml:space="preserve"> catalyze open collective action by affected communities, scientists, and policymakers to ensure that all people living with or impacted by HIV, TB, or HCV—especially communities of color and other </w:t>
      </w:r>
      <w:r w:rsidR="004F5BDF" w:rsidRPr="004F59F0">
        <w:rPr>
          <w:rFonts w:ascii="Calibri" w:hAnsi="Calibri" w:cs="Calibri"/>
          <w:sz w:val="22"/>
          <w:szCs w:val="22"/>
        </w:rPr>
        <w:t xml:space="preserve">socially and economically </w:t>
      </w:r>
      <w:r w:rsidR="008958AC" w:rsidRPr="004F59F0">
        <w:rPr>
          <w:rFonts w:ascii="Calibri" w:hAnsi="Calibri" w:cs="Calibri"/>
          <w:sz w:val="22"/>
          <w:szCs w:val="22"/>
        </w:rPr>
        <w:t>marginalized communities experiencing inequities—receive life-saving prevention, diagnosis, treatment, care, and information.</w:t>
      </w:r>
    </w:p>
    <w:p w14:paraId="142B62D0" w14:textId="77777777" w:rsidR="007E6636" w:rsidRPr="00000E70" w:rsidRDefault="007E6636" w:rsidP="001A243B">
      <w:pPr>
        <w:pStyle w:val="ListParagraph"/>
        <w:ind w:left="360"/>
        <w:jc w:val="both"/>
        <w:rPr>
          <w:rFonts w:ascii="Calibri" w:hAnsi="Calibri" w:cs="Calibri"/>
          <w:sz w:val="22"/>
          <w:szCs w:val="22"/>
        </w:rPr>
      </w:pPr>
    </w:p>
    <w:p w14:paraId="557C6D1D" w14:textId="6841697E" w:rsidR="007E6636" w:rsidRDefault="00177254" w:rsidP="00413CB2">
      <w:pPr>
        <w:pStyle w:val="ListParagraph"/>
        <w:numPr>
          <w:ilvl w:val="0"/>
          <w:numId w:val="1"/>
        </w:numPr>
        <w:ind w:left="360"/>
        <w:jc w:val="both"/>
        <w:rPr>
          <w:rFonts w:ascii="Calibri" w:hAnsi="Calibri" w:cs="Calibri"/>
          <w:sz w:val="22"/>
          <w:szCs w:val="22"/>
        </w:rPr>
      </w:pPr>
      <w:r w:rsidRPr="00473EEE">
        <w:rPr>
          <w:rFonts w:ascii="Calibri" w:hAnsi="Calibri" w:cs="Calibri"/>
          <w:sz w:val="22"/>
          <w:szCs w:val="22"/>
        </w:rPr>
        <w:t>The HIV Project at TAG</w:t>
      </w:r>
      <w:r w:rsidR="00CF4236" w:rsidRPr="00473EEE">
        <w:rPr>
          <w:rFonts w:ascii="Calibri" w:hAnsi="Calibri" w:cs="Calibri"/>
          <w:sz w:val="22"/>
          <w:szCs w:val="22"/>
        </w:rPr>
        <w:t xml:space="preserve"> works to maximize equitable, affordable access to the tools, services, policies, and approaches to care that we know can end HIV. </w:t>
      </w:r>
      <w:r w:rsidR="00790976" w:rsidRPr="00473EEE">
        <w:rPr>
          <w:rFonts w:ascii="Calibri" w:hAnsi="Calibri" w:cs="Calibri"/>
          <w:sz w:val="22"/>
          <w:szCs w:val="22"/>
        </w:rPr>
        <w:t xml:space="preserve">With a focus on </w:t>
      </w:r>
      <w:r w:rsidR="0074627E" w:rsidRPr="00473EEE">
        <w:rPr>
          <w:rFonts w:ascii="Calibri" w:hAnsi="Calibri" w:cs="Calibri"/>
          <w:sz w:val="22"/>
          <w:szCs w:val="22"/>
        </w:rPr>
        <w:t xml:space="preserve">ethical and community-engaged </w:t>
      </w:r>
      <w:r w:rsidR="00790976" w:rsidRPr="00473EEE">
        <w:rPr>
          <w:rFonts w:ascii="Calibri" w:hAnsi="Calibri" w:cs="Calibri"/>
          <w:sz w:val="22"/>
          <w:szCs w:val="22"/>
        </w:rPr>
        <w:t>disseminati</w:t>
      </w:r>
      <w:r w:rsidR="0074627E" w:rsidRPr="00473EEE">
        <w:rPr>
          <w:rFonts w:ascii="Calibri" w:hAnsi="Calibri" w:cs="Calibri"/>
          <w:sz w:val="22"/>
          <w:szCs w:val="22"/>
        </w:rPr>
        <w:t xml:space="preserve">on of </w:t>
      </w:r>
      <w:r w:rsidR="00790976" w:rsidRPr="00473EEE">
        <w:rPr>
          <w:rFonts w:ascii="Calibri" w:hAnsi="Calibri" w:cs="Calibri"/>
          <w:sz w:val="22"/>
          <w:szCs w:val="22"/>
        </w:rPr>
        <w:t xml:space="preserve">preventative, therapeutic, and curative biomedical innovations, </w:t>
      </w:r>
      <w:r w:rsidR="0074627E" w:rsidRPr="00473EEE">
        <w:rPr>
          <w:rFonts w:ascii="Calibri" w:hAnsi="Calibri" w:cs="Calibri"/>
          <w:sz w:val="22"/>
          <w:szCs w:val="22"/>
        </w:rPr>
        <w:t xml:space="preserve">TAG strives to ensure access—unencumbered by social or economic barriers—to effective interventions among populations within the United States and globally that are most heavily </w:t>
      </w:r>
      <w:r w:rsidR="003C0220" w:rsidRPr="00473EEE">
        <w:rPr>
          <w:rFonts w:ascii="Calibri" w:hAnsi="Calibri" w:cs="Calibri"/>
          <w:sz w:val="22"/>
          <w:szCs w:val="22"/>
        </w:rPr>
        <w:t xml:space="preserve">or disproportionately </w:t>
      </w:r>
      <w:r w:rsidR="0074627E" w:rsidRPr="00473EEE">
        <w:rPr>
          <w:rFonts w:ascii="Calibri" w:hAnsi="Calibri" w:cs="Calibri"/>
          <w:sz w:val="22"/>
          <w:szCs w:val="22"/>
        </w:rPr>
        <w:t xml:space="preserve">impacted by HIV. </w:t>
      </w:r>
    </w:p>
    <w:p w14:paraId="1BD0A79E" w14:textId="77777777" w:rsidR="00473EEE" w:rsidRPr="00473EEE" w:rsidRDefault="00473EEE" w:rsidP="00473EEE">
      <w:pPr>
        <w:jc w:val="both"/>
        <w:rPr>
          <w:rFonts w:ascii="Calibri" w:hAnsi="Calibri" w:cs="Calibri"/>
          <w:sz w:val="22"/>
          <w:szCs w:val="22"/>
        </w:rPr>
      </w:pPr>
    </w:p>
    <w:p w14:paraId="67CAAFB4" w14:textId="1AA9135D" w:rsidR="00177254" w:rsidRPr="00000E70" w:rsidRDefault="00CF4236" w:rsidP="001A243B">
      <w:pPr>
        <w:pStyle w:val="ListParagraph"/>
        <w:numPr>
          <w:ilvl w:val="0"/>
          <w:numId w:val="1"/>
        </w:numPr>
        <w:ind w:left="360"/>
        <w:jc w:val="both"/>
        <w:rPr>
          <w:rFonts w:ascii="Calibri" w:hAnsi="Calibri" w:cs="Calibri"/>
          <w:sz w:val="22"/>
          <w:szCs w:val="22"/>
        </w:rPr>
      </w:pPr>
      <w:r w:rsidRPr="00000E70">
        <w:rPr>
          <w:rFonts w:ascii="Calibri" w:hAnsi="Calibri" w:cs="Calibri"/>
          <w:sz w:val="22"/>
          <w:szCs w:val="22"/>
        </w:rPr>
        <w:t xml:space="preserve">The </w:t>
      </w:r>
      <w:r w:rsidR="007E6636" w:rsidRPr="00000E70">
        <w:rPr>
          <w:rFonts w:ascii="Calibri" w:hAnsi="Calibri" w:cs="Calibri"/>
          <w:sz w:val="22"/>
          <w:szCs w:val="22"/>
        </w:rPr>
        <w:t xml:space="preserve">2021 </w:t>
      </w:r>
      <w:r w:rsidRPr="00000E70">
        <w:rPr>
          <w:rFonts w:ascii="Calibri" w:hAnsi="Calibri" w:cs="Calibri"/>
          <w:sz w:val="22"/>
          <w:szCs w:val="22"/>
        </w:rPr>
        <w:t>Political Declaration on HIV and AIDS</w:t>
      </w:r>
      <w:r w:rsidR="001A243B">
        <w:rPr>
          <w:rFonts w:ascii="Calibri" w:hAnsi="Calibri" w:cs="Calibri"/>
          <w:sz w:val="22"/>
          <w:szCs w:val="22"/>
        </w:rPr>
        <w:t xml:space="preserve"> </w:t>
      </w:r>
      <w:r w:rsidR="00CA1EB6" w:rsidRPr="00000E70">
        <w:rPr>
          <w:rFonts w:ascii="Calibri" w:hAnsi="Calibri" w:cs="Calibri"/>
          <w:sz w:val="22"/>
          <w:szCs w:val="22"/>
        </w:rPr>
        <w:t xml:space="preserve">sets important </w:t>
      </w:r>
      <w:r w:rsidR="0030504F" w:rsidRPr="00000E70">
        <w:rPr>
          <w:rFonts w:ascii="Calibri" w:hAnsi="Calibri" w:cs="Calibri"/>
          <w:sz w:val="22"/>
          <w:szCs w:val="22"/>
        </w:rPr>
        <w:t>objectives</w:t>
      </w:r>
      <w:r w:rsidR="00CA1EB6" w:rsidRPr="00000E70">
        <w:rPr>
          <w:rFonts w:ascii="Calibri" w:hAnsi="Calibri" w:cs="Calibri"/>
          <w:sz w:val="22"/>
          <w:szCs w:val="22"/>
        </w:rPr>
        <w:t xml:space="preserve"> based in human rights, in particular the right to the highest attainable standard of health; the right to life; the right to non-discrimination; and the right to participation</w:t>
      </w:r>
      <w:r w:rsidR="009D6F57">
        <w:rPr>
          <w:rFonts w:ascii="Calibri" w:hAnsi="Calibri" w:cs="Calibri"/>
          <w:sz w:val="22"/>
          <w:szCs w:val="22"/>
        </w:rPr>
        <w:t>.</w:t>
      </w:r>
    </w:p>
    <w:p w14:paraId="3D0DD972" w14:textId="77777777" w:rsidR="0040029A" w:rsidRPr="00000E70" w:rsidRDefault="0040029A" w:rsidP="001A243B">
      <w:pPr>
        <w:jc w:val="both"/>
        <w:rPr>
          <w:rFonts w:ascii="Calibri" w:hAnsi="Calibri" w:cs="Calibri"/>
          <w:sz w:val="22"/>
          <w:szCs w:val="22"/>
        </w:rPr>
      </w:pPr>
    </w:p>
    <w:p w14:paraId="49CC90AB" w14:textId="3972D44E" w:rsidR="000470A6" w:rsidRPr="0091631C" w:rsidRDefault="007E6636" w:rsidP="001A243B">
      <w:pPr>
        <w:pStyle w:val="ListParagraph"/>
        <w:numPr>
          <w:ilvl w:val="0"/>
          <w:numId w:val="1"/>
        </w:numPr>
        <w:ind w:left="360"/>
        <w:jc w:val="both"/>
        <w:rPr>
          <w:rFonts w:ascii="Calibri" w:hAnsi="Calibri" w:cs="Calibri"/>
          <w:sz w:val="22"/>
          <w:szCs w:val="22"/>
          <w:u w:val="single"/>
        </w:rPr>
      </w:pPr>
      <w:r w:rsidRPr="00000E70">
        <w:rPr>
          <w:rFonts w:ascii="Calibri" w:hAnsi="Calibri" w:cs="Calibri"/>
          <w:sz w:val="22"/>
          <w:szCs w:val="22"/>
        </w:rPr>
        <w:t>U</w:t>
      </w:r>
      <w:r w:rsidR="00CA1EB6" w:rsidRPr="00000E70">
        <w:rPr>
          <w:rFonts w:ascii="Calibri" w:hAnsi="Calibri" w:cs="Calibri"/>
          <w:sz w:val="22"/>
          <w:szCs w:val="22"/>
        </w:rPr>
        <w:t>nfortunately,</w:t>
      </w:r>
      <w:r w:rsidRPr="00000E70">
        <w:rPr>
          <w:rFonts w:ascii="Calibri" w:hAnsi="Calibri" w:cs="Calibri"/>
          <w:sz w:val="22"/>
          <w:szCs w:val="22"/>
        </w:rPr>
        <w:t xml:space="preserve"> the Political Declaration</w:t>
      </w:r>
      <w:r w:rsidR="00CA1EB6" w:rsidRPr="00000E70">
        <w:rPr>
          <w:rFonts w:ascii="Calibri" w:hAnsi="Calibri" w:cs="Calibri"/>
          <w:sz w:val="22"/>
          <w:szCs w:val="22"/>
        </w:rPr>
        <w:t xml:space="preserve"> </w:t>
      </w:r>
      <w:r w:rsidR="00393564" w:rsidRPr="00000E70">
        <w:rPr>
          <w:rFonts w:ascii="Calibri" w:hAnsi="Calibri" w:cs="Calibri"/>
          <w:sz w:val="22"/>
          <w:szCs w:val="22"/>
        </w:rPr>
        <w:t>d</w:t>
      </w:r>
      <w:r w:rsidR="00CA1EB6" w:rsidRPr="00000E70">
        <w:rPr>
          <w:rFonts w:ascii="Calibri" w:hAnsi="Calibri" w:cs="Calibri"/>
          <w:sz w:val="22"/>
          <w:szCs w:val="22"/>
        </w:rPr>
        <w:t>o</w:t>
      </w:r>
      <w:r w:rsidR="00393564" w:rsidRPr="00000E70">
        <w:rPr>
          <w:rFonts w:ascii="Calibri" w:hAnsi="Calibri" w:cs="Calibri"/>
          <w:sz w:val="22"/>
          <w:szCs w:val="22"/>
        </w:rPr>
        <w:t>es</w:t>
      </w:r>
      <w:r w:rsidR="00CA1EB6" w:rsidRPr="00000E70">
        <w:rPr>
          <w:rFonts w:ascii="Calibri" w:hAnsi="Calibri" w:cs="Calibri"/>
          <w:sz w:val="22"/>
          <w:szCs w:val="22"/>
        </w:rPr>
        <w:t xml:space="preserve"> </w:t>
      </w:r>
      <w:r w:rsidR="00393564" w:rsidRPr="00000E70">
        <w:rPr>
          <w:rFonts w:ascii="Calibri" w:hAnsi="Calibri" w:cs="Calibri"/>
          <w:sz w:val="22"/>
          <w:szCs w:val="22"/>
        </w:rPr>
        <w:t>not</w:t>
      </w:r>
      <w:r w:rsidR="00EB44F1" w:rsidRPr="00000E70">
        <w:rPr>
          <w:rFonts w:ascii="Calibri" w:hAnsi="Calibri" w:cs="Calibri"/>
          <w:sz w:val="22"/>
          <w:szCs w:val="22"/>
        </w:rPr>
        <w:t xml:space="preserve"> </w:t>
      </w:r>
      <w:r w:rsidR="00393564" w:rsidRPr="00000E70">
        <w:rPr>
          <w:rFonts w:ascii="Calibri" w:hAnsi="Calibri" w:cs="Calibri"/>
          <w:sz w:val="22"/>
          <w:szCs w:val="22"/>
        </w:rPr>
        <w:t xml:space="preserve">reference </w:t>
      </w:r>
      <w:r w:rsidR="00CA1EB6" w:rsidRPr="00000E70">
        <w:rPr>
          <w:rFonts w:ascii="Calibri" w:hAnsi="Calibri" w:cs="Calibri"/>
          <w:sz w:val="22"/>
          <w:szCs w:val="22"/>
        </w:rPr>
        <w:t>an important human right that is</w:t>
      </w:r>
      <w:r w:rsidR="00393564" w:rsidRPr="00000E70">
        <w:rPr>
          <w:rFonts w:ascii="Calibri" w:hAnsi="Calibri" w:cs="Calibri"/>
          <w:sz w:val="22"/>
          <w:szCs w:val="22"/>
        </w:rPr>
        <w:t xml:space="preserve"> </w:t>
      </w:r>
      <w:r w:rsidR="00170443">
        <w:rPr>
          <w:rFonts w:ascii="Calibri" w:hAnsi="Calibri" w:cs="Calibri"/>
          <w:sz w:val="22"/>
          <w:szCs w:val="22"/>
        </w:rPr>
        <w:t>c</w:t>
      </w:r>
      <w:r w:rsidR="00170443" w:rsidRPr="00000E70">
        <w:rPr>
          <w:rFonts w:ascii="Calibri" w:hAnsi="Calibri" w:cs="Calibri"/>
          <w:sz w:val="22"/>
          <w:szCs w:val="22"/>
        </w:rPr>
        <w:t>ent</w:t>
      </w:r>
      <w:r w:rsidR="00170443">
        <w:rPr>
          <w:rFonts w:ascii="Calibri" w:hAnsi="Calibri" w:cs="Calibri"/>
          <w:sz w:val="22"/>
          <w:szCs w:val="22"/>
        </w:rPr>
        <w:t>r</w:t>
      </w:r>
      <w:r w:rsidR="00170443" w:rsidRPr="00000E70">
        <w:rPr>
          <w:rFonts w:ascii="Calibri" w:hAnsi="Calibri" w:cs="Calibri"/>
          <w:sz w:val="22"/>
          <w:szCs w:val="22"/>
        </w:rPr>
        <w:t xml:space="preserve">al </w:t>
      </w:r>
      <w:r w:rsidR="00CA1EB6" w:rsidRPr="00000E70">
        <w:rPr>
          <w:rFonts w:ascii="Calibri" w:hAnsi="Calibri" w:cs="Calibri"/>
          <w:sz w:val="22"/>
          <w:szCs w:val="22"/>
        </w:rPr>
        <w:t xml:space="preserve">to </w:t>
      </w:r>
      <w:r w:rsidR="0040029A" w:rsidRPr="00000E70">
        <w:rPr>
          <w:rFonts w:ascii="Calibri" w:hAnsi="Calibri" w:cs="Calibri"/>
          <w:sz w:val="22"/>
          <w:szCs w:val="22"/>
        </w:rPr>
        <w:t>the health goals, including those on HIV/AIDS, in the 2030 Agenda for Sustainable Development</w:t>
      </w:r>
      <w:r w:rsidR="00CA1EB6" w:rsidRPr="00000E70">
        <w:rPr>
          <w:rFonts w:ascii="Calibri" w:hAnsi="Calibri" w:cs="Calibri"/>
          <w:sz w:val="22"/>
          <w:szCs w:val="22"/>
        </w:rPr>
        <w:t>: the right to enjoy the benefits of scientific progress and its applications (right to science).</w:t>
      </w:r>
      <w:r w:rsidR="00393564" w:rsidRPr="00000E70">
        <w:rPr>
          <w:rFonts w:ascii="Calibri" w:hAnsi="Calibri" w:cs="Calibri"/>
          <w:sz w:val="22"/>
          <w:szCs w:val="22"/>
        </w:rPr>
        <w:t xml:space="preserve"> </w:t>
      </w:r>
      <w:r w:rsidR="00170443">
        <w:rPr>
          <w:rFonts w:ascii="Calibri" w:hAnsi="Calibri" w:cs="Calibri"/>
          <w:sz w:val="22"/>
          <w:szCs w:val="22"/>
        </w:rPr>
        <w:t>As a cultural right, s</w:t>
      </w:r>
      <w:r w:rsidR="00393564" w:rsidRPr="00000E70">
        <w:rPr>
          <w:rFonts w:ascii="Calibri" w:hAnsi="Calibri" w:cs="Calibri"/>
          <w:sz w:val="22"/>
          <w:szCs w:val="22"/>
        </w:rPr>
        <w:t>cien</w:t>
      </w:r>
      <w:r w:rsidR="0040029A" w:rsidRPr="00000E70">
        <w:rPr>
          <w:rFonts w:ascii="Calibri" w:hAnsi="Calibri" w:cs="Calibri"/>
          <w:sz w:val="22"/>
          <w:szCs w:val="22"/>
        </w:rPr>
        <w:t>tific progress</w:t>
      </w:r>
      <w:r w:rsidR="00393564" w:rsidRPr="00000E70">
        <w:rPr>
          <w:rFonts w:ascii="Calibri" w:hAnsi="Calibri" w:cs="Calibri"/>
          <w:sz w:val="22"/>
          <w:szCs w:val="22"/>
        </w:rPr>
        <w:t xml:space="preserve"> is itself a </w:t>
      </w:r>
      <w:r w:rsidR="0040029A" w:rsidRPr="00000E70">
        <w:rPr>
          <w:rFonts w:ascii="Calibri" w:hAnsi="Calibri" w:cs="Calibri"/>
          <w:sz w:val="22"/>
          <w:szCs w:val="22"/>
        </w:rPr>
        <w:t>key</w:t>
      </w:r>
      <w:r w:rsidR="00393564" w:rsidRPr="00000E70">
        <w:rPr>
          <w:rFonts w:ascii="Calibri" w:hAnsi="Calibri" w:cs="Calibri"/>
          <w:sz w:val="22"/>
          <w:szCs w:val="22"/>
        </w:rPr>
        <w:t xml:space="preserve"> </w:t>
      </w:r>
      <w:r w:rsidR="0040029A" w:rsidRPr="00000E70">
        <w:rPr>
          <w:rFonts w:ascii="Calibri" w:hAnsi="Calibri" w:cs="Calibri"/>
          <w:sz w:val="22"/>
          <w:szCs w:val="22"/>
        </w:rPr>
        <w:t>societal</w:t>
      </w:r>
      <w:r w:rsidR="00393564" w:rsidRPr="00000E70">
        <w:rPr>
          <w:rFonts w:ascii="Calibri" w:hAnsi="Calibri" w:cs="Calibri"/>
          <w:sz w:val="22"/>
          <w:szCs w:val="22"/>
        </w:rPr>
        <w:t xml:space="preserve"> enabler of </w:t>
      </w:r>
      <w:r w:rsidR="0040029A" w:rsidRPr="00000E70">
        <w:rPr>
          <w:rFonts w:ascii="Calibri" w:hAnsi="Calibri" w:cs="Calibri"/>
          <w:sz w:val="22"/>
          <w:szCs w:val="22"/>
        </w:rPr>
        <w:t xml:space="preserve">the HIV/AIDS response and a constitutive element of other societal enablers recognized in the Political Declaration. </w:t>
      </w:r>
      <w:r w:rsidR="000470A6" w:rsidRPr="0091631C">
        <w:rPr>
          <w:rFonts w:ascii="Calibri" w:hAnsi="Calibri" w:cs="Calibri"/>
          <w:b/>
          <w:bCs/>
          <w:sz w:val="22"/>
          <w:szCs w:val="22"/>
          <w:u w:val="single"/>
        </w:rPr>
        <w:t xml:space="preserve">We ask that OHCHR explicitly introduce the right </w:t>
      </w:r>
      <w:r w:rsidR="00153135">
        <w:rPr>
          <w:rFonts w:ascii="Calibri" w:hAnsi="Calibri" w:cs="Calibri"/>
          <w:b/>
          <w:bCs/>
          <w:sz w:val="22"/>
          <w:szCs w:val="22"/>
          <w:u w:val="single"/>
        </w:rPr>
        <w:t xml:space="preserve">to </w:t>
      </w:r>
      <w:r w:rsidR="000470A6" w:rsidRPr="0091631C">
        <w:rPr>
          <w:rFonts w:ascii="Calibri" w:hAnsi="Calibri" w:cs="Calibri"/>
          <w:b/>
          <w:bCs/>
          <w:sz w:val="22"/>
          <w:szCs w:val="22"/>
          <w:u w:val="single"/>
        </w:rPr>
        <w:t>science as a fundamental human right and critical enabler of the HIV/AIDS response in its report to the HRC at its 50</w:t>
      </w:r>
      <w:r w:rsidR="000470A6" w:rsidRPr="0091631C">
        <w:rPr>
          <w:rFonts w:ascii="Calibri" w:hAnsi="Calibri" w:cs="Calibri"/>
          <w:b/>
          <w:bCs/>
          <w:sz w:val="22"/>
          <w:szCs w:val="22"/>
          <w:u w:val="single"/>
          <w:vertAlign w:val="superscript"/>
        </w:rPr>
        <w:t>th</w:t>
      </w:r>
      <w:r w:rsidR="000470A6" w:rsidRPr="0091631C">
        <w:rPr>
          <w:rFonts w:ascii="Calibri" w:hAnsi="Calibri" w:cs="Calibri"/>
          <w:b/>
          <w:bCs/>
          <w:sz w:val="22"/>
          <w:szCs w:val="22"/>
          <w:u w:val="single"/>
        </w:rPr>
        <w:t xml:space="preserve"> session. </w:t>
      </w:r>
    </w:p>
    <w:p w14:paraId="78553BB7" w14:textId="77777777" w:rsidR="0040029A" w:rsidRPr="00000E70" w:rsidRDefault="0040029A" w:rsidP="001A243B">
      <w:pPr>
        <w:pStyle w:val="ListParagraph"/>
        <w:ind w:left="360"/>
        <w:jc w:val="both"/>
        <w:rPr>
          <w:rFonts w:ascii="Calibri" w:hAnsi="Calibri" w:cs="Calibri"/>
          <w:sz w:val="22"/>
          <w:szCs w:val="22"/>
        </w:rPr>
      </w:pPr>
    </w:p>
    <w:p w14:paraId="6F3F0CBB" w14:textId="2BE3ACA7" w:rsidR="0093167F" w:rsidRPr="00000E70" w:rsidRDefault="00BE1575" w:rsidP="001A243B">
      <w:pPr>
        <w:pStyle w:val="ListParagraph"/>
        <w:numPr>
          <w:ilvl w:val="0"/>
          <w:numId w:val="1"/>
        </w:numPr>
        <w:ind w:left="360"/>
        <w:jc w:val="both"/>
        <w:rPr>
          <w:rFonts w:ascii="Calibri" w:hAnsi="Calibri" w:cs="Calibri"/>
          <w:sz w:val="22"/>
          <w:szCs w:val="22"/>
        </w:rPr>
      </w:pPr>
      <w:r w:rsidRPr="00000E70">
        <w:rPr>
          <w:rFonts w:ascii="Calibri" w:hAnsi="Calibri" w:cs="Calibri"/>
          <w:sz w:val="22"/>
          <w:szCs w:val="22"/>
        </w:rPr>
        <w:t>Constituted in the International Covenant on Economic, Social and Cultural Rights (ICESCR) Art. 15 (1) (b), (2), (3) and (4)</w:t>
      </w:r>
      <w:r w:rsidR="00393564" w:rsidRPr="00000E70">
        <w:rPr>
          <w:rFonts w:ascii="Calibri" w:hAnsi="Calibri" w:cs="Calibri"/>
          <w:sz w:val="22"/>
          <w:szCs w:val="22"/>
        </w:rPr>
        <w:t>,</w:t>
      </w:r>
      <w:r w:rsidRPr="00000E70">
        <w:rPr>
          <w:rStyle w:val="FootnoteReference"/>
          <w:rFonts w:ascii="Calibri" w:hAnsi="Calibri" w:cs="Calibri"/>
          <w:sz w:val="22"/>
          <w:szCs w:val="22"/>
        </w:rPr>
        <w:footnoteReference w:id="1"/>
      </w:r>
      <w:r w:rsidRPr="00000E70">
        <w:rPr>
          <w:rFonts w:ascii="Calibri" w:hAnsi="Calibri" w:cs="Calibri"/>
          <w:sz w:val="22"/>
          <w:szCs w:val="22"/>
        </w:rPr>
        <w:t xml:space="preserve"> and analyzed in the 2020 General Comment 25 (GC25) by the Committee on Economic, Social and Cultural Rights</w:t>
      </w:r>
      <w:r w:rsidR="00F02764" w:rsidRPr="00000E70">
        <w:rPr>
          <w:rFonts w:ascii="Calibri" w:hAnsi="Calibri" w:cs="Calibri"/>
          <w:sz w:val="22"/>
          <w:szCs w:val="22"/>
        </w:rPr>
        <w:t xml:space="preserve"> (CESCR)</w:t>
      </w:r>
      <w:r w:rsidR="00393564" w:rsidRPr="00000E70">
        <w:rPr>
          <w:rFonts w:ascii="Calibri" w:hAnsi="Calibri" w:cs="Calibri"/>
          <w:sz w:val="22"/>
          <w:szCs w:val="22"/>
        </w:rPr>
        <w:t>,</w:t>
      </w:r>
      <w:r w:rsidRPr="00000E70">
        <w:rPr>
          <w:rStyle w:val="FootnoteReference"/>
          <w:rFonts w:ascii="Calibri" w:hAnsi="Calibri" w:cs="Calibri"/>
          <w:sz w:val="22"/>
          <w:szCs w:val="22"/>
        </w:rPr>
        <w:footnoteReference w:id="2"/>
      </w:r>
      <w:r w:rsidRPr="00000E70">
        <w:rPr>
          <w:rFonts w:ascii="Calibri" w:hAnsi="Calibri" w:cs="Calibri"/>
          <w:sz w:val="22"/>
          <w:szCs w:val="22"/>
        </w:rPr>
        <w:t xml:space="preserve"> the right to science establishes state obligations to develop, diffuse, and conserve scientific progress and its benefits. It defines</w:t>
      </w:r>
      <w:r w:rsidR="00622F5E" w:rsidRPr="00000E70">
        <w:rPr>
          <w:rFonts w:ascii="Calibri" w:hAnsi="Calibri" w:cs="Calibri"/>
          <w:sz w:val="22"/>
          <w:szCs w:val="22"/>
        </w:rPr>
        <w:t xml:space="preserve"> values of </w:t>
      </w:r>
      <w:r w:rsidRPr="00000E70">
        <w:rPr>
          <w:rFonts w:ascii="Calibri" w:hAnsi="Calibri" w:cs="Calibri"/>
          <w:sz w:val="22"/>
          <w:szCs w:val="22"/>
        </w:rPr>
        <w:t>participation, access, non-discrimination, and international cooperation</w:t>
      </w:r>
      <w:r w:rsidR="0040029A" w:rsidRPr="00000E70">
        <w:rPr>
          <w:rFonts w:ascii="Calibri" w:hAnsi="Calibri" w:cs="Calibri"/>
          <w:sz w:val="22"/>
          <w:szCs w:val="22"/>
        </w:rPr>
        <w:t xml:space="preserve"> in science</w:t>
      </w:r>
      <w:r w:rsidRPr="00000E70">
        <w:rPr>
          <w:rFonts w:ascii="Calibri" w:hAnsi="Calibri" w:cs="Calibri"/>
          <w:sz w:val="22"/>
          <w:szCs w:val="22"/>
        </w:rPr>
        <w:t xml:space="preserve"> as integral to respon</w:t>
      </w:r>
      <w:r w:rsidR="0040029A" w:rsidRPr="00000E70">
        <w:rPr>
          <w:rFonts w:ascii="Calibri" w:hAnsi="Calibri" w:cs="Calibri"/>
          <w:sz w:val="22"/>
          <w:szCs w:val="22"/>
        </w:rPr>
        <w:t>ding to health challenges</w:t>
      </w:r>
      <w:r w:rsidRPr="00000E70">
        <w:rPr>
          <w:rFonts w:ascii="Calibri" w:hAnsi="Calibri" w:cs="Calibri"/>
          <w:sz w:val="22"/>
          <w:szCs w:val="22"/>
        </w:rPr>
        <w:t>.</w:t>
      </w:r>
      <w:r w:rsidRPr="00000E70">
        <w:rPr>
          <w:rStyle w:val="FootnoteReference"/>
          <w:rFonts w:ascii="Calibri" w:hAnsi="Calibri" w:cs="Calibri"/>
          <w:sz w:val="22"/>
          <w:szCs w:val="22"/>
        </w:rPr>
        <w:footnoteReference w:id="3"/>
      </w:r>
      <w:r w:rsidR="0093167F" w:rsidRPr="00000E70">
        <w:rPr>
          <w:rFonts w:ascii="Calibri" w:hAnsi="Calibri" w:cs="Calibri"/>
          <w:sz w:val="22"/>
          <w:szCs w:val="22"/>
        </w:rPr>
        <w:t xml:space="preserve"> </w:t>
      </w:r>
      <w:r w:rsidR="0030504F" w:rsidRPr="00000E70">
        <w:rPr>
          <w:rFonts w:ascii="Calibri" w:hAnsi="Calibri" w:cs="Calibri"/>
          <w:sz w:val="22"/>
          <w:szCs w:val="22"/>
        </w:rPr>
        <w:t>The re</w:t>
      </w:r>
      <w:r w:rsidR="000E7982" w:rsidRPr="00000E70">
        <w:rPr>
          <w:rFonts w:ascii="Calibri" w:hAnsi="Calibri" w:cs="Calibri"/>
          <w:sz w:val="22"/>
          <w:szCs w:val="22"/>
        </w:rPr>
        <w:t>levant</w:t>
      </w:r>
      <w:r w:rsidR="0030504F" w:rsidRPr="00000E70">
        <w:rPr>
          <w:rFonts w:ascii="Calibri" w:hAnsi="Calibri" w:cs="Calibri"/>
          <w:sz w:val="22"/>
          <w:szCs w:val="22"/>
        </w:rPr>
        <w:t xml:space="preserve"> </w:t>
      </w:r>
      <w:r w:rsidR="000E7982" w:rsidRPr="00000E70">
        <w:rPr>
          <w:rFonts w:ascii="Calibri" w:hAnsi="Calibri" w:cs="Calibri"/>
          <w:sz w:val="22"/>
          <w:szCs w:val="22"/>
        </w:rPr>
        <w:t xml:space="preserve">sections on the right to science in the ICESCR read as follows: </w:t>
      </w:r>
    </w:p>
    <w:p w14:paraId="30096E83" w14:textId="259A0C17" w:rsidR="0093167F" w:rsidRPr="00000E70" w:rsidRDefault="000E7982" w:rsidP="0062388F">
      <w:pPr>
        <w:pStyle w:val="ListParagraph"/>
        <w:numPr>
          <w:ilvl w:val="1"/>
          <w:numId w:val="1"/>
        </w:numPr>
        <w:ind w:left="720"/>
        <w:jc w:val="both"/>
        <w:rPr>
          <w:rFonts w:ascii="Calibri" w:hAnsi="Calibri" w:cs="Calibri"/>
          <w:sz w:val="22"/>
          <w:szCs w:val="22"/>
        </w:rPr>
      </w:pPr>
      <w:r w:rsidRPr="00000E70">
        <w:rPr>
          <w:rFonts w:ascii="Calibri" w:hAnsi="Calibri" w:cs="Calibri"/>
          <w:sz w:val="22"/>
          <w:szCs w:val="22"/>
        </w:rPr>
        <w:t>Art. 15.1. “The States Parties to the present Covenant recognize the right of everyone: (b) To enjoy the benefits of scientific progress and its applications;</w:t>
      </w:r>
      <w:r w:rsidR="0093167F" w:rsidRPr="00000E70">
        <w:rPr>
          <w:rFonts w:ascii="Calibri" w:hAnsi="Calibri" w:cs="Calibri"/>
          <w:sz w:val="22"/>
          <w:szCs w:val="22"/>
        </w:rPr>
        <w:t>”</w:t>
      </w:r>
      <w:r w:rsidRPr="00000E70">
        <w:rPr>
          <w:rFonts w:ascii="Calibri" w:hAnsi="Calibri" w:cs="Calibri"/>
          <w:sz w:val="22"/>
          <w:szCs w:val="22"/>
        </w:rPr>
        <w:t xml:space="preserve"> </w:t>
      </w:r>
    </w:p>
    <w:p w14:paraId="258D0607" w14:textId="35469BE1" w:rsidR="0093167F" w:rsidRPr="00000E70" w:rsidRDefault="000E7982" w:rsidP="0062388F">
      <w:pPr>
        <w:pStyle w:val="ListParagraph"/>
        <w:numPr>
          <w:ilvl w:val="1"/>
          <w:numId w:val="1"/>
        </w:numPr>
        <w:ind w:left="720"/>
        <w:jc w:val="both"/>
        <w:rPr>
          <w:rFonts w:ascii="Calibri" w:hAnsi="Calibri" w:cs="Calibri"/>
          <w:sz w:val="22"/>
          <w:szCs w:val="22"/>
        </w:rPr>
      </w:pPr>
      <w:r w:rsidRPr="00000E70">
        <w:rPr>
          <w:rFonts w:ascii="Calibri" w:hAnsi="Calibri" w:cs="Calibri"/>
          <w:sz w:val="22"/>
          <w:szCs w:val="22"/>
        </w:rPr>
        <w:t>Art. 15.2 “The steps to be taken by the States Parties to the present Covenant to achieve the full realization of this right shall include those necessary for the conservation, the development and the diffusion of science</w:t>
      </w:r>
      <w:r w:rsidR="00F57D52" w:rsidRPr="00000E70">
        <w:rPr>
          <w:rFonts w:ascii="Calibri" w:hAnsi="Calibri" w:cs="Calibri"/>
          <w:sz w:val="22"/>
          <w:szCs w:val="22"/>
        </w:rPr>
        <w:t xml:space="preserve"> […]</w:t>
      </w:r>
      <w:r w:rsidRPr="00000E70">
        <w:rPr>
          <w:rFonts w:ascii="Calibri" w:hAnsi="Calibri" w:cs="Calibri"/>
          <w:sz w:val="22"/>
          <w:szCs w:val="22"/>
        </w:rPr>
        <w:t>.</w:t>
      </w:r>
      <w:r w:rsidR="00153135" w:rsidRPr="00000E70">
        <w:rPr>
          <w:rFonts w:ascii="Calibri" w:hAnsi="Calibri" w:cs="Calibri"/>
          <w:sz w:val="22"/>
          <w:szCs w:val="22"/>
        </w:rPr>
        <w:t>”</w:t>
      </w:r>
      <w:r w:rsidR="00153135">
        <w:rPr>
          <w:rFonts w:ascii="Calibri" w:hAnsi="Calibri" w:cs="Calibri"/>
          <w:sz w:val="22"/>
          <w:szCs w:val="22"/>
        </w:rPr>
        <w:t>;</w:t>
      </w:r>
      <w:r w:rsidRPr="00000E70">
        <w:rPr>
          <w:rFonts w:ascii="Calibri" w:hAnsi="Calibri" w:cs="Calibri"/>
          <w:sz w:val="22"/>
          <w:szCs w:val="22"/>
        </w:rPr>
        <w:t xml:space="preserve"> </w:t>
      </w:r>
    </w:p>
    <w:p w14:paraId="075FFA24" w14:textId="77777777" w:rsidR="0093167F" w:rsidRPr="00000E70" w:rsidRDefault="000E7982" w:rsidP="0062388F">
      <w:pPr>
        <w:pStyle w:val="ListParagraph"/>
        <w:numPr>
          <w:ilvl w:val="1"/>
          <w:numId w:val="1"/>
        </w:numPr>
        <w:ind w:left="720"/>
        <w:jc w:val="both"/>
        <w:rPr>
          <w:rFonts w:ascii="Calibri" w:hAnsi="Calibri" w:cs="Calibri"/>
          <w:sz w:val="22"/>
          <w:szCs w:val="22"/>
        </w:rPr>
      </w:pPr>
      <w:r w:rsidRPr="00000E70">
        <w:rPr>
          <w:rFonts w:ascii="Calibri" w:hAnsi="Calibri" w:cs="Calibri"/>
          <w:sz w:val="22"/>
          <w:szCs w:val="22"/>
        </w:rPr>
        <w:lastRenderedPageBreak/>
        <w:t>Art 15.3 “The States Parties to the present Covenant undertake to respect the freedom indispensable for scientific research</w:t>
      </w:r>
      <w:r w:rsidR="00F57D52" w:rsidRPr="00000E70">
        <w:rPr>
          <w:rFonts w:ascii="Calibri" w:hAnsi="Calibri" w:cs="Calibri"/>
          <w:sz w:val="22"/>
          <w:szCs w:val="22"/>
        </w:rPr>
        <w:t xml:space="preserve"> […]</w:t>
      </w:r>
      <w:r w:rsidRPr="00000E70">
        <w:rPr>
          <w:rFonts w:ascii="Calibri" w:hAnsi="Calibri" w:cs="Calibri"/>
          <w:sz w:val="22"/>
          <w:szCs w:val="22"/>
        </w:rPr>
        <w:t xml:space="preserve">.”; and </w:t>
      </w:r>
    </w:p>
    <w:p w14:paraId="2D0B0BEC" w14:textId="0E7F84B2" w:rsidR="000E7982" w:rsidRPr="00000E70" w:rsidRDefault="000E7982" w:rsidP="0062388F">
      <w:pPr>
        <w:pStyle w:val="ListParagraph"/>
        <w:numPr>
          <w:ilvl w:val="1"/>
          <w:numId w:val="1"/>
        </w:numPr>
        <w:ind w:left="720"/>
        <w:jc w:val="both"/>
        <w:rPr>
          <w:rFonts w:ascii="Calibri" w:hAnsi="Calibri" w:cs="Calibri"/>
          <w:sz w:val="22"/>
          <w:szCs w:val="22"/>
        </w:rPr>
      </w:pPr>
      <w:r w:rsidRPr="00000E70">
        <w:rPr>
          <w:rFonts w:ascii="Calibri" w:hAnsi="Calibri" w:cs="Calibri"/>
          <w:sz w:val="22"/>
          <w:szCs w:val="22"/>
        </w:rPr>
        <w:t xml:space="preserve">Art. 15.4 “The States Parties to the present Covenant recognize the benefits to be derived from the encouragement and development of international contacts and co-operation in the scientific </w:t>
      </w:r>
      <w:r w:rsidR="006A5E23" w:rsidRPr="00000E70">
        <w:rPr>
          <w:rFonts w:ascii="Calibri" w:hAnsi="Calibri" w:cs="Calibri"/>
          <w:sz w:val="22"/>
          <w:szCs w:val="22"/>
        </w:rPr>
        <w:t>[…]</w:t>
      </w:r>
      <w:r w:rsidRPr="00000E70">
        <w:rPr>
          <w:rFonts w:ascii="Calibri" w:hAnsi="Calibri" w:cs="Calibri"/>
          <w:sz w:val="22"/>
          <w:szCs w:val="22"/>
        </w:rPr>
        <w:t xml:space="preserve"> fields.”</w:t>
      </w:r>
    </w:p>
    <w:p w14:paraId="468318CC" w14:textId="77777777" w:rsidR="0093167F" w:rsidRPr="00000E70" w:rsidRDefault="0093167F" w:rsidP="0062388F">
      <w:pPr>
        <w:pStyle w:val="ListParagraph"/>
        <w:jc w:val="both"/>
        <w:rPr>
          <w:rFonts w:ascii="Calibri" w:hAnsi="Calibri" w:cs="Calibri"/>
          <w:sz w:val="22"/>
          <w:szCs w:val="22"/>
        </w:rPr>
      </w:pPr>
    </w:p>
    <w:p w14:paraId="3CC22845" w14:textId="679E5267" w:rsidR="00DF0E70" w:rsidRPr="002E6FD8" w:rsidRDefault="00DF0E70" w:rsidP="001A243B">
      <w:pPr>
        <w:pStyle w:val="ListParagraph"/>
        <w:numPr>
          <w:ilvl w:val="0"/>
          <w:numId w:val="1"/>
        </w:numPr>
        <w:ind w:left="360"/>
        <w:jc w:val="both"/>
        <w:rPr>
          <w:rFonts w:ascii="Calibri" w:hAnsi="Calibri" w:cs="Calibri"/>
          <w:sz w:val="22"/>
          <w:szCs w:val="22"/>
        </w:rPr>
      </w:pPr>
      <w:r w:rsidRPr="002E6FD8">
        <w:rPr>
          <w:rFonts w:ascii="Calibri" w:hAnsi="Calibri" w:cs="Calibri"/>
          <w:sz w:val="22"/>
          <w:szCs w:val="22"/>
        </w:rPr>
        <w:t>Under the right to science, States as duty bearers are</w:t>
      </w:r>
      <w:r w:rsidR="000E7982" w:rsidRPr="002E6FD8">
        <w:rPr>
          <w:rFonts w:ascii="Calibri" w:hAnsi="Calibri" w:cs="Calibri"/>
          <w:sz w:val="22"/>
          <w:szCs w:val="22"/>
        </w:rPr>
        <w:t xml:space="preserve"> obligat</w:t>
      </w:r>
      <w:r w:rsidRPr="002E6FD8">
        <w:rPr>
          <w:rFonts w:ascii="Calibri" w:hAnsi="Calibri" w:cs="Calibri"/>
          <w:sz w:val="22"/>
          <w:szCs w:val="22"/>
        </w:rPr>
        <w:t>ed</w:t>
      </w:r>
      <w:r w:rsidR="000E7982" w:rsidRPr="002E6FD8">
        <w:rPr>
          <w:rFonts w:ascii="Calibri" w:hAnsi="Calibri" w:cs="Calibri"/>
          <w:sz w:val="22"/>
          <w:szCs w:val="22"/>
        </w:rPr>
        <w:t xml:space="preserve"> to</w:t>
      </w:r>
      <w:r w:rsidRPr="002E6FD8">
        <w:rPr>
          <w:rFonts w:ascii="Calibri" w:hAnsi="Calibri" w:cs="Calibri"/>
          <w:sz w:val="22"/>
          <w:szCs w:val="22"/>
        </w:rPr>
        <w:t xml:space="preserve"> ensure that everyone</w:t>
      </w:r>
      <w:r w:rsidR="0093167F" w:rsidRPr="002E6FD8">
        <w:rPr>
          <w:rFonts w:ascii="Calibri" w:hAnsi="Calibri" w:cs="Calibri"/>
          <w:sz w:val="22"/>
          <w:szCs w:val="22"/>
        </w:rPr>
        <w:t xml:space="preserve"> can share in the</w:t>
      </w:r>
      <w:r w:rsidRPr="002E6FD8">
        <w:rPr>
          <w:rFonts w:ascii="Calibri" w:hAnsi="Calibri" w:cs="Calibri"/>
          <w:sz w:val="22"/>
          <w:szCs w:val="22"/>
        </w:rPr>
        <w:t xml:space="preserve"> benefits </w:t>
      </w:r>
      <w:r w:rsidR="0093167F" w:rsidRPr="002E6FD8">
        <w:rPr>
          <w:rFonts w:ascii="Calibri" w:hAnsi="Calibri" w:cs="Calibri"/>
          <w:sz w:val="22"/>
          <w:szCs w:val="22"/>
        </w:rPr>
        <w:t xml:space="preserve">of </w:t>
      </w:r>
      <w:r w:rsidRPr="002E6FD8">
        <w:rPr>
          <w:rFonts w:ascii="Calibri" w:hAnsi="Calibri" w:cs="Calibri"/>
          <w:sz w:val="22"/>
          <w:szCs w:val="22"/>
        </w:rPr>
        <w:t>scien</w:t>
      </w:r>
      <w:r w:rsidR="0093167F" w:rsidRPr="002E6FD8">
        <w:rPr>
          <w:rFonts w:ascii="Calibri" w:hAnsi="Calibri" w:cs="Calibri"/>
          <w:sz w:val="22"/>
          <w:szCs w:val="22"/>
        </w:rPr>
        <w:t>tific advancement</w:t>
      </w:r>
      <w:r w:rsidRPr="002E6FD8">
        <w:rPr>
          <w:rFonts w:ascii="Calibri" w:hAnsi="Calibri" w:cs="Calibri"/>
          <w:sz w:val="22"/>
          <w:szCs w:val="22"/>
        </w:rPr>
        <w:t xml:space="preserve">. </w:t>
      </w:r>
      <w:r w:rsidR="008E4A58" w:rsidRPr="002E6FD8">
        <w:rPr>
          <w:rFonts w:ascii="Calibri" w:hAnsi="Calibri" w:cs="Calibri"/>
          <w:sz w:val="22"/>
          <w:szCs w:val="22"/>
        </w:rPr>
        <w:t xml:space="preserve">States are also </w:t>
      </w:r>
      <w:r w:rsidR="00F57D52" w:rsidRPr="002E6FD8">
        <w:rPr>
          <w:rFonts w:ascii="Calibri" w:hAnsi="Calibri" w:cs="Calibri"/>
          <w:sz w:val="22"/>
          <w:szCs w:val="22"/>
        </w:rPr>
        <w:t>obligated to take steps to support scientific advances (</w:t>
      </w:r>
      <w:r w:rsidR="006A5E23" w:rsidRPr="002E6FD8">
        <w:rPr>
          <w:rFonts w:ascii="Calibri" w:hAnsi="Calibri" w:cs="Calibri"/>
          <w:sz w:val="22"/>
          <w:szCs w:val="22"/>
        </w:rPr>
        <w:t>i.e.,</w:t>
      </w:r>
      <w:r w:rsidR="00F57D52" w:rsidRPr="002E6FD8">
        <w:rPr>
          <w:rFonts w:ascii="Calibri" w:hAnsi="Calibri" w:cs="Calibri"/>
          <w:sz w:val="22"/>
          <w:szCs w:val="22"/>
        </w:rPr>
        <w:t xml:space="preserve"> develop), share tangible and intangible benefits of science including e.g.</w:t>
      </w:r>
      <w:r w:rsidR="006A5E23" w:rsidRPr="002E6FD8">
        <w:rPr>
          <w:rFonts w:ascii="Calibri" w:hAnsi="Calibri" w:cs="Calibri"/>
          <w:sz w:val="22"/>
          <w:szCs w:val="22"/>
        </w:rPr>
        <w:t>,</w:t>
      </w:r>
      <w:r w:rsidR="00F57D52" w:rsidRPr="002E6FD8">
        <w:rPr>
          <w:rFonts w:ascii="Calibri" w:hAnsi="Calibri" w:cs="Calibri"/>
          <w:sz w:val="22"/>
          <w:szCs w:val="22"/>
        </w:rPr>
        <w:t xml:space="preserve"> knowledge, therapeutics, diagnostics</w:t>
      </w:r>
      <w:r w:rsidR="00622F5E" w:rsidRPr="002E6FD8">
        <w:rPr>
          <w:rFonts w:ascii="Calibri" w:hAnsi="Calibri" w:cs="Calibri"/>
          <w:sz w:val="22"/>
          <w:szCs w:val="22"/>
        </w:rPr>
        <w:t>,</w:t>
      </w:r>
      <w:r w:rsidR="00F57D52" w:rsidRPr="002E6FD8">
        <w:rPr>
          <w:rFonts w:ascii="Calibri" w:hAnsi="Calibri" w:cs="Calibri"/>
          <w:sz w:val="22"/>
          <w:szCs w:val="22"/>
        </w:rPr>
        <w:t xml:space="preserve"> etc. (i.e.</w:t>
      </w:r>
      <w:r w:rsidR="006A5E23" w:rsidRPr="002E6FD8">
        <w:rPr>
          <w:rFonts w:ascii="Calibri" w:hAnsi="Calibri" w:cs="Calibri"/>
          <w:sz w:val="22"/>
          <w:szCs w:val="22"/>
        </w:rPr>
        <w:t>,</w:t>
      </w:r>
      <w:r w:rsidR="00F57D52" w:rsidRPr="002E6FD8">
        <w:rPr>
          <w:rFonts w:ascii="Calibri" w:hAnsi="Calibri" w:cs="Calibri"/>
          <w:sz w:val="22"/>
          <w:szCs w:val="22"/>
        </w:rPr>
        <w:t xml:space="preserve"> diffuse), and provide a framework to sustain scientific knowledge and advances for future generations (i.e.</w:t>
      </w:r>
      <w:r w:rsidR="006A5E23" w:rsidRPr="002E6FD8">
        <w:rPr>
          <w:rFonts w:ascii="Calibri" w:hAnsi="Calibri" w:cs="Calibri"/>
          <w:sz w:val="22"/>
          <w:szCs w:val="22"/>
        </w:rPr>
        <w:t xml:space="preserve">, </w:t>
      </w:r>
      <w:r w:rsidR="00F57D52" w:rsidRPr="002E6FD8">
        <w:rPr>
          <w:rFonts w:ascii="Calibri" w:hAnsi="Calibri" w:cs="Calibri"/>
          <w:sz w:val="22"/>
          <w:szCs w:val="22"/>
        </w:rPr>
        <w:t>conserve)</w:t>
      </w:r>
      <w:r w:rsidR="006A5E23" w:rsidRPr="002E6FD8">
        <w:rPr>
          <w:rFonts w:ascii="Calibri" w:hAnsi="Calibri" w:cs="Calibri"/>
          <w:sz w:val="22"/>
          <w:szCs w:val="22"/>
        </w:rPr>
        <w:t xml:space="preserve">. </w:t>
      </w:r>
      <w:r w:rsidR="0093167F" w:rsidRPr="002E6FD8">
        <w:rPr>
          <w:rFonts w:ascii="Calibri" w:hAnsi="Calibri" w:cs="Calibri"/>
          <w:sz w:val="22"/>
          <w:szCs w:val="22"/>
        </w:rPr>
        <w:t>S</w:t>
      </w:r>
      <w:r w:rsidR="006A5E23" w:rsidRPr="002E6FD8">
        <w:rPr>
          <w:rFonts w:ascii="Calibri" w:hAnsi="Calibri" w:cs="Calibri"/>
          <w:sz w:val="22"/>
          <w:szCs w:val="22"/>
        </w:rPr>
        <w:t>imultaneously</w:t>
      </w:r>
      <w:r w:rsidR="0093167F" w:rsidRPr="002E6FD8">
        <w:rPr>
          <w:rFonts w:ascii="Calibri" w:hAnsi="Calibri" w:cs="Calibri"/>
          <w:sz w:val="22"/>
          <w:szCs w:val="22"/>
        </w:rPr>
        <w:t xml:space="preserve">, </w:t>
      </w:r>
      <w:r w:rsidR="00E51655">
        <w:rPr>
          <w:rFonts w:ascii="Calibri" w:hAnsi="Calibri" w:cs="Calibri"/>
          <w:sz w:val="22"/>
          <w:szCs w:val="22"/>
        </w:rPr>
        <w:t>S</w:t>
      </w:r>
      <w:r w:rsidR="0093167F" w:rsidRPr="002E6FD8">
        <w:rPr>
          <w:rFonts w:ascii="Calibri" w:hAnsi="Calibri" w:cs="Calibri"/>
          <w:sz w:val="22"/>
          <w:szCs w:val="22"/>
        </w:rPr>
        <w:t>tates must</w:t>
      </w:r>
      <w:r w:rsidR="006A5E23" w:rsidRPr="002E6FD8">
        <w:rPr>
          <w:rFonts w:ascii="Calibri" w:hAnsi="Calibri" w:cs="Calibri"/>
          <w:sz w:val="22"/>
          <w:szCs w:val="22"/>
        </w:rPr>
        <w:t xml:space="preserve"> work to protect scientific freedom and support international cooperation.</w:t>
      </w:r>
    </w:p>
    <w:p w14:paraId="64249807" w14:textId="77777777" w:rsidR="0093167F" w:rsidRPr="00000E70" w:rsidRDefault="0093167F" w:rsidP="001A243B">
      <w:pPr>
        <w:pStyle w:val="ListParagraph"/>
        <w:ind w:left="360"/>
        <w:jc w:val="both"/>
        <w:rPr>
          <w:rFonts w:ascii="Calibri" w:hAnsi="Calibri" w:cs="Calibri"/>
          <w:sz w:val="22"/>
          <w:szCs w:val="22"/>
        </w:rPr>
      </w:pPr>
    </w:p>
    <w:p w14:paraId="39174854" w14:textId="6038E096" w:rsidR="0030504F" w:rsidRPr="00000E70" w:rsidRDefault="008E4A58" w:rsidP="001A243B">
      <w:pPr>
        <w:pStyle w:val="ListParagraph"/>
        <w:numPr>
          <w:ilvl w:val="0"/>
          <w:numId w:val="1"/>
        </w:numPr>
        <w:ind w:left="360"/>
        <w:jc w:val="both"/>
        <w:rPr>
          <w:rFonts w:ascii="Calibri" w:hAnsi="Calibri" w:cs="Calibri"/>
          <w:sz w:val="22"/>
          <w:szCs w:val="22"/>
        </w:rPr>
      </w:pPr>
      <w:r w:rsidRPr="00000E70">
        <w:rPr>
          <w:rFonts w:ascii="Calibri" w:hAnsi="Calibri" w:cs="Calibri"/>
          <w:sz w:val="22"/>
          <w:szCs w:val="22"/>
        </w:rPr>
        <w:t xml:space="preserve">TAG </w:t>
      </w:r>
      <w:r w:rsidR="001B43FA">
        <w:rPr>
          <w:rFonts w:ascii="Calibri" w:hAnsi="Calibri" w:cs="Calibri"/>
          <w:sz w:val="22"/>
          <w:szCs w:val="22"/>
        </w:rPr>
        <w:t xml:space="preserve">has witnessed </w:t>
      </w:r>
      <w:r w:rsidR="00F8575F">
        <w:rPr>
          <w:rFonts w:ascii="Calibri" w:hAnsi="Calibri" w:cs="Calibri"/>
          <w:sz w:val="22"/>
          <w:szCs w:val="22"/>
        </w:rPr>
        <w:t xml:space="preserve">how </w:t>
      </w:r>
      <w:r w:rsidRPr="00000E70">
        <w:rPr>
          <w:rFonts w:ascii="Calibri" w:hAnsi="Calibri" w:cs="Calibri"/>
          <w:sz w:val="22"/>
          <w:szCs w:val="22"/>
        </w:rPr>
        <w:t xml:space="preserve">scientific advances </w:t>
      </w:r>
      <w:r w:rsidR="001B43FA">
        <w:rPr>
          <w:rFonts w:ascii="Calibri" w:hAnsi="Calibri" w:cs="Calibri"/>
          <w:sz w:val="22"/>
          <w:szCs w:val="22"/>
        </w:rPr>
        <w:t>can transform</w:t>
      </w:r>
      <w:r w:rsidRPr="00000E70">
        <w:rPr>
          <w:rFonts w:ascii="Calibri" w:hAnsi="Calibri" w:cs="Calibri"/>
          <w:sz w:val="22"/>
          <w:szCs w:val="22"/>
        </w:rPr>
        <w:t xml:space="preserve"> the course of an epidemic when </w:t>
      </w:r>
      <w:r w:rsidR="00E51655">
        <w:rPr>
          <w:rFonts w:ascii="Calibri" w:hAnsi="Calibri" w:cs="Calibri"/>
          <w:sz w:val="22"/>
          <w:szCs w:val="22"/>
        </w:rPr>
        <w:t>S</w:t>
      </w:r>
      <w:r w:rsidRPr="00000E70">
        <w:rPr>
          <w:rFonts w:ascii="Calibri" w:hAnsi="Calibri" w:cs="Calibri"/>
          <w:sz w:val="22"/>
          <w:szCs w:val="22"/>
        </w:rPr>
        <w:t xml:space="preserve">tates support science through e.g., </w:t>
      </w:r>
      <w:r w:rsidR="00622F5E" w:rsidRPr="00000E70">
        <w:rPr>
          <w:rFonts w:ascii="Calibri" w:hAnsi="Calibri" w:cs="Calibri"/>
          <w:sz w:val="22"/>
          <w:szCs w:val="22"/>
        </w:rPr>
        <w:t xml:space="preserve">investing in </w:t>
      </w:r>
      <w:r w:rsidRPr="00000E70">
        <w:rPr>
          <w:rFonts w:ascii="Calibri" w:hAnsi="Calibri" w:cs="Calibri"/>
          <w:sz w:val="22"/>
          <w:szCs w:val="22"/>
        </w:rPr>
        <w:t xml:space="preserve">research and development (R&amp;D) and disseminate its benefits. </w:t>
      </w:r>
      <w:r w:rsidR="00165C63">
        <w:rPr>
          <w:rFonts w:ascii="Calibri" w:hAnsi="Calibri" w:cs="Calibri"/>
          <w:sz w:val="22"/>
          <w:szCs w:val="22"/>
        </w:rPr>
        <w:t>G</w:t>
      </w:r>
      <w:r w:rsidRPr="00000E70">
        <w:rPr>
          <w:rFonts w:ascii="Calibri" w:hAnsi="Calibri" w:cs="Calibri"/>
          <w:sz w:val="22"/>
          <w:szCs w:val="22"/>
        </w:rPr>
        <w:t xml:space="preserve">rave harm results from </w:t>
      </w:r>
      <w:r w:rsidR="00153135">
        <w:rPr>
          <w:rFonts w:ascii="Calibri" w:hAnsi="Calibri" w:cs="Calibri"/>
          <w:sz w:val="22"/>
          <w:szCs w:val="22"/>
        </w:rPr>
        <w:t>S</w:t>
      </w:r>
      <w:r w:rsidRPr="00000E70">
        <w:rPr>
          <w:rFonts w:ascii="Calibri" w:hAnsi="Calibri" w:cs="Calibri"/>
          <w:sz w:val="22"/>
          <w:szCs w:val="22"/>
        </w:rPr>
        <w:t>tate</w:t>
      </w:r>
      <w:r w:rsidR="00153135">
        <w:rPr>
          <w:rFonts w:ascii="Calibri" w:hAnsi="Calibri" w:cs="Calibri"/>
          <w:sz w:val="22"/>
          <w:szCs w:val="22"/>
        </w:rPr>
        <w:t>s’</w:t>
      </w:r>
      <w:r w:rsidRPr="00000E70">
        <w:rPr>
          <w:rFonts w:ascii="Calibri" w:hAnsi="Calibri" w:cs="Calibri"/>
          <w:sz w:val="22"/>
          <w:szCs w:val="22"/>
        </w:rPr>
        <w:t xml:space="preserve"> inattention to the development and diffusion of science.</w:t>
      </w:r>
    </w:p>
    <w:p w14:paraId="1868AC0D" w14:textId="77777777" w:rsidR="004B5708" w:rsidRPr="00000E70" w:rsidRDefault="004B5708" w:rsidP="001A243B">
      <w:pPr>
        <w:pStyle w:val="ListParagraph"/>
        <w:widowControl w:val="0"/>
        <w:autoSpaceDE w:val="0"/>
        <w:autoSpaceDN w:val="0"/>
        <w:adjustRightInd w:val="0"/>
        <w:ind w:left="360"/>
        <w:jc w:val="both"/>
        <w:rPr>
          <w:rFonts w:ascii="Calibri" w:hAnsi="Calibri" w:cs="Calibri"/>
          <w:sz w:val="22"/>
          <w:szCs w:val="22"/>
        </w:rPr>
      </w:pPr>
    </w:p>
    <w:p w14:paraId="59FB97BA" w14:textId="6694C29C" w:rsidR="0062388F" w:rsidRDefault="002E6FD8" w:rsidP="005B21AC">
      <w:pPr>
        <w:pStyle w:val="ListParagraph"/>
        <w:numPr>
          <w:ilvl w:val="0"/>
          <w:numId w:val="1"/>
        </w:numPr>
        <w:ind w:left="360"/>
        <w:jc w:val="both"/>
        <w:rPr>
          <w:rFonts w:ascii="Calibri" w:hAnsi="Calibri" w:cs="Calibri"/>
          <w:sz w:val="22"/>
          <w:szCs w:val="22"/>
        </w:rPr>
      </w:pPr>
      <w:r w:rsidRPr="0062388F">
        <w:rPr>
          <w:rFonts w:ascii="Calibri" w:hAnsi="Calibri" w:cs="Calibri"/>
          <w:sz w:val="22"/>
          <w:szCs w:val="22"/>
        </w:rPr>
        <w:t xml:space="preserve">The strong interdependence of the right to science, the right to health, and other human rights </w:t>
      </w:r>
      <w:r w:rsidR="003379D4" w:rsidRPr="0062388F">
        <w:rPr>
          <w:rFonts w:ascii="Calibri" w:hAnsi="Calibri" w:cs="Calibri"/>
          <w:sz w:val="22"/>
          <w:szCs w:val="22"/>
        </w:rPr>
        <w:t xml:space="preserve">was </w:t>
      </w:r>
      <w:r w:rsidR="00E51655">
        <w:rPr>
          <w:rFonts w:ascii="Calibri" w:hAnsi="Calibri" w:cs="Calibri"/>
          <w:sz w:val="22"/>
          <w:szCs w:val="22"/>
        </w:rPr>
        <w:t>expressed</w:t>
      </w:r>
      <w:r w:rsidR="00E51655" w:rsidRPr="0062388F">
        <w:rPr>
          <w:rFonts w:ascii="Calibri" w:hAnsi="Calibri" w:cs="Calibri"/>
          <w:sz w:val="22"/>
          <w:szCs w:val="22"/>
        </w:rPr>
        <w:t xml:space="preserve"> </w:t>
      </w:r>
      <w:r w:rsidR="003379D4" w:rsidRPr="0062388F">
        <w:rPr>
          <w:rFonts w:ascii="Calibri" w:hAnsi="Calibri" w:cs="Calibri"/>
          <w:sz w:val="22"/>
          <w:szCs w:val="22"/>
        </w:rPr>
        <w:t xml:space="preserve">in GC25 where CESCR articulated the obligation of </w:t>
      </w:r>
      <w:r w:rsidR="00E51655">
        <w:rPr>
          <w:rFonts w:ascii="Calibri" w:hAnsi="Calibri" w:cs="Calibri"/>
          <w:sz w:val="22"/>
          <w:szCs w:val="22"/>
        </w:rPr>
        <w:t>S</w:t>
      </w:r>
      <w:r w:rsidR="003379D4" w:rsidRPr="0062388F">
        <w:rPr>
          <w:rFonts w:ascii="Calibri" w:hAnsi="Calibri" w:cs="Calibri"/>
          <w:sz w:val="22"/>
          <w:szCs w:val="22"/>
        </w:rPr>
        <w:t>tates to “Ensure access to those applications of scientific progress that are critical to the enjoyment of the right to health and other economic, social and cultural rights.”</w:t>
      </w:r>
      <w:r w:rsidRPr="00000E70">
        <w:rPr>
          <w:rStyle w:val="FootnoteReference"/>
          <w:rFonts w:ascii="Calibri" w:hAnsi="Calibri" w:cs="Calibri"/>
          <w:sz w:val="22"/>
          <w:szCs w:val="22"/>
        </w:rPr>
        <w:footnoteReference w:id="4"/>
      </w:r>
      <w:r w:rsidRPr="0062388F">
        <w:rPr>
          <w:rFonts w:ascii="Calibri" w:hAnsi="Calibri" w:cs="Calibri"/>
          <w:sz w:val="22"/>
          <w:szCs w:val="22"/>
        </w:rPr>
        <w:t xml:space="preserve"> </w:t>
      </w:r>
      <w:r w:rsidR="006A5E23" w:rsidRPr="0062388F">
        <w:rPr>
          <w:rFonts w:ascii="Calibri" w:hAnsi="Calibri" w:cs="Calibri"/>
          <w:sz w:val="22"/>
          <w:szCs w:val="22"/>
        </w:rPr>
        <w:t>TAG’s work with communities and scientists on the frontlines of the HIV epidemic, as well as the</w:t>
      </w:r>
      <w:r w:rsidR="004B5708" w:rsidRPr="0062388F">
        <w:rPr>
          <w:rFonts w:ascii="Calibri" w:hAnsi="Calibri" w:cs="Calibri"/>
          <w:sz w:val="22"/>
          <w:szCs w:val="22"/>
        </w:rPr>
        <w:t xml:space="preserve"> intersecting epidemics of</w:t>
      </w:r>
      <w:r w:rsidR="006A5E23" w:rsidRPr="0062388F">
        <w:rPr>
          <w:rFonts w:ascii="Calibri" w:hAnsi="Calibri" w:cs="Calibri"/>
          <w:sz w:val="22"/>
          <w:szCs w:val="22"/>
        </w:rPr>
        <w:t xml:space="preserve"> TB and HCV</w:t>
      </w:r>
      <w:r w:rsidR="004B5708" w:rsidRPr="0062388F">
        <w:rPr>
          <w:rFonts w:ascii="Calibri" w:hAnsi="Calibri" w:cs="Calibri"/>
          <w:sz w:val="22"/>
          <w:szCs w:val="22"/>
        </w:rPr>
        <w:t>,</w:t>
      </w:r>
      <w:r w:rsidR="006A5E23" w:rsidRPr="0062388F">
        <w:rPr>
          <w:rFonts w:ascii="Calibri" w:hAnsi="Calibri" w:cs="Calibri"/>
          <w:sz w:val="22"/>
          <w:szCs w:val="22"/>
        </w:rPr>
        <w:t xml:space="preserve"> clearly demonstrates how science policy is human rights policy in the context of health. </w:t>
      </w:r>
      <w:r w:rsidR="009B2BAB" w:rsidRPr="0062388F">
        <w:rPr>
          <w:rFonts w:ascii="Calibri" w:hAnsi="Calibri" w:cs="Calibri"/>
          <w:sz w:val="22"/>
          <w:szCs w:val="22"/>
        </w:rPr>
        <w:t xml:space="preserve">The human rights dimensions of science policy manifest in the HIV/AIDS response in </w:t>
      </w:r>
      <w:r w:rsidR="0062388F" w:rsidRPr="0062388F">
        <w:rPr>
          <w:rFonts w:ascii="Calibri" w:hAnsi="Calibri" w:cs="Calibri"/>
          <w:sz w:val="22"/>
          <w:szCs w:val="22"/>
        </w:rPr>
        <w:t>several</w:t>
      </w:r>
      <w:r w:rsidR="009B2BAB" w:rsidRPr="0062388F">
        <w:rPr>
          <w:rFonts w:ascii="Calibri" w:hAnsi="Calibri" w:cs="Calibri"/>
          <w:sz w:val="22"/>
          <w:szCs w:val="22"/>
        </w:rPr>
        <w:t xml:space="preserve"> ways</w:t>
      </w:r>
      <w:r w:rsidR="008F35E3" w:rsidRPr="0062388F">
        <w:rPr>
          <w:rFonts w:ascii="Calibri" w:hAnsi="Calibri" w:cs="Calibri"/>
          <w:sz w:val="22"/>
          <w:szCs w:val="22"/>
        </w:rPr>
        <w:t xml:space="preserve">, appearing </w:t>
      </w:r>
      <w:r w:rsidR="009B2BAB" w:rsidRPr="0062388F">
        <w:rPr>
          <w:rFonts w:ascii="Calibri" w:hAnsi="Calibri" w:cs="Calibri"/>
          <w:sz w:val="22"/>
          <w:szCs w:val="22"/>
        </w:rPr>
        <w:t>in bold and explored below</w:t>
      </w:r>
      <w:r w:rsidR="008F35E3" w:rsidRPr="0062388F">
        <w:rPr>
          <w:rFonts w:ascii="Calibri" w:hAnsi="Calibri" w:cs="Calibri"/>
          <w:sz w:val="22"/>
          <w:szCs w:val="22"/>
        </w:rPr>
        <w:t>.</w:t>
      </w:r>
      <w:r w:rsidR="0062388F" w:rsidRPr="0062388F">
        <w:rPr>
          <w:rFonts w:ascii="Calibri" w:hAnsi="Calibri" w:cs="Calibri"/>
          <w:sz w:val="22"/>
          <w:szCs w:val="22"/>
        </w:rPr>
        <w:t xml:space="preserve"> </w:t>
      </w:r>
    </w:p>
    <w:p w14:paraId="2F8821D5" w14:textId="77777777" w:rsidR="0062388F" w:rsidRPr="0062388F" w:rsidRDefault="0062388F" w:rsidP="0062388F">
      <w:pPr>
        <w:jc w:val="both"/>
        <w:rPr>
          <w:rFonts w:ascii="Calibri" w:hAnsi="Calibri" w:cs="Calibri"/>
          <w:sz w:val="22"/>
          <w:szCs w:val="22"/>
        </w:rPr>
      </w:pPr>
    </w:p>
    <w:p w14:paraId="1497BA75" w14:textId="2723B0E0" w:rsidR="006E5F21" w:rsidRPr="00710492" w:rsidRDefault="000119B5" w:rsidP="00473EEE">
      <w:pPr>
        <w:jc w:val="both"/>
        <w:rPr>
          <w:rFonts w:ascii="Calibri" w:eastAsia="Times New Roman" w:hAnsi="Calibri" w:cs="Calibri"/>
          <w:sz w:val="22"/>
          <w:szCs w:val="22"/>
          <w:u w:val="single"/>
        </w:rPr>
      </w:pPr>
      <w:r w:rsidRPr="00710492">
        <w:rPr>
          <w:rFonts w:ascii="Calibri" w:eastAsia="Times New Roman" w:hAnsi="Calibri" w:cs="Calibri"/>
          <w:sz w:val="22"/>
          <w:szCs w:val="22"/>
          <w:u w:val="single"/>
        </w:rPr>
        <w:t xml:space="preserve">Science policy as human rights policy manifests in the </w:t>
      </w:r>
      <w:r w:rsidRPr="00710492">
        <w:rPr>
          <w:rFonts w:ascii="Calibri" w:eastAsia="Times New Roman" w:hAnsi="Calibri" w:cs="Calibri"/>
          <w:b/>
          <w:bCs/>
          <w:sz w:val="22"/>
          <w:szCs w:val="22"/>
          <w:u w:val="single"/>
        </w:rPr>
        <w:t>right to participat</w:t>
      </w:r>
      <w:r w:rsidR="00D27888" w:rsidRPr="00710492">
        <w:rPr>
          <w:rFonts w:ascii="Calibri" w:eastAsia="Times New Roman" w:hAnsi="Calibri" w:cs="Calibri"/>
          <w:b/>
          <w:bCs/>
          <w:sz w:val="22"/>
          <w:szCs w:val="22"/>
          <w:u w:val="single"/>
        </w:rPr>
        <w:t>ion</w:t>
      </w:r>
      <w:r w:rsidRPr="00710492">
        <w:rPr>
          <w:rFonts w:ascii="Calibri" w:eastAsia="Times New Roman" w:hAnsi="Calibri" w:cs="Calibri"/>
          <w:sz w:val="22"/>
          <w:szCs w:val="22"/>
          <w:u w:val="single"/>
        </w:rPr>
        <w:t xml:space="preserve"> </w:t>
      </w:r>
      <w:r w:rsidRPr="00710492">
        <w:rPr>
          <w:rFonts w:ascii="Calibri" w:hAnsi="Calibri" w:cs="Calibri"/>
          <w:sz w:val="22"/>
          <w:szCs w:val="22"/>
          <w:u w:val="single"/>
        </w:rPr>
        <w:t>in</w:t>
      </w:r>
      <w:r w:rsidR="00D27888" w:rsidRPr="00710492">
        <w:rPr>
          <w:rFonts w:ascii="Calibri" w:hAnsi="Calibri" w:cs="Calibri"/>
          <w:sz w:val="22"/>
          <w:szCs w:val="22"/>
          <w:u w:val="single"/>
        </w:rPr>
        <w:t xml:space="preserve"> all domains of the HIV/AIDS response, </w:t>
      </w:r>
      <w:r w:rsidR="00F8575F" w:rsidRPr="00710492">
        <w:rPr>
          <w:rFonts w:ascii="Calibri" w:hAnsi="Calibri" w:cs="Calibri"/>
          <w:sz w:val="22"/>
          <w:szCs w:val="22"/>
          <w:u w:val="single"/>
        </w:rPr>
        <w:t>particularly</w:t>
      </w:r>
      <w:r w:rsidR="00D70C4F" w:rsidRPr="00710492">
        <w:rPr>
          <w:rFonts w:ascii="Calibri" w:hAnsi="Calibri" w:cs="Calibri"/>
          <w:sz w:val="22"/>
          <w:szCs w:val="22"/>
          <w:u w:val="single"/>
        </w:rPr>
        <w:t xml:space="preserve"> in </w:t>
      </w:r>
      <w:r w:rsidR="00D27888" w:rsidRPr="00710492">
        <w:rPr>
          <w:rFonts w:ascii="Calibri" w:hAnsi="Calibri" w:cs="Calibri"/>
          <w:sz w:val="22"/>
          <w:szCs w:val="22"/>
          <w:u w:val="single"/>
        </w:rPr>
        <w:t>research</w:t>
      </w:r>
      <w:r w:rsidR="00D70C4F" w:rsidRPr="00710492">
        <w:rPr>
          <w:rFonts w:ascii="Calibri" w:hAnsi="Calibri" w:cs="Calibri"/>
          <w:sz w:val="22"/>
          <w:szCs w:val="22"/>
          <w:u w:val="single"/>
        </w:rPr>
        <w:t xml:space="preserve"> and in processes to </w:t>
      </w:r>
      <w:r w:rsidR="00535DCA" w:rsidRPr="00710492">
        <w:rPr>
          <w:rFonts w:ascii="Calibri" w:hAnsi="Calibri" w:cs="Calibri"/>
          <w:sz w:val="22"/>
          <w:szCs w:val="22"/>
          <w:u w:val="single"/>
        </w:rPr>
        <w:t>determin</w:t>
      </w:r>
      <w:r w:rsidR="00D70C4F" w:rsidRPr="00710492">
        <w:rPr>
          <w:rFonts w:ascii="Calibri" w:hAnsi="Calibri" w:cs="Calibri"/>
          <w:sz w:val="22"/>
          <w:szCs w:val="22"/>
          <w:u w:val="single"/>
        </w:rPr>
        <w:t xml:space="preserve">e </w:t>
      </w:r>
      <w:r w:rsidR="00535DCA" w:rsidRPr="00710492">
        <w:rPr>
          <w:rFonts w:ascii="Calibri" w:hAnsi="Calibri" w:cs="Calibri"/>
          <w:sz w:val="22"/>
          <w:szCs w:val="22"/>
          <w:u w:val="single"/>
        </w:rPr>
        <w:t>effective, equitable</w:t>
      </w:r>
      <w:r w:rsidR="00D70C4F" w:rsidRPr="00710492">
        <w:rPr>
          <w:rFonts w:ascii="Calibri" w:hAnsi="Calibri" w:cs="Calibri"/>
          <w:sz w:val="22"/>
          <w:szCs w:val="22"/>
          <w:u w:val="single"/>
        </w:rPr>
        <w:t xml:space="preserve">, and culturally congruent </w:t>
      </w:r>
      <w:r w:rsidR="00535DCA" w:rsidRPr="00710492">
        <w:rPr>
          <w:rFonts w:ascii="Calibri" w:hAnsi="Calibri" w:cs="Calibri"/>
          <w:sz w:val="22"/>
          <w:szCs w:val="22"/>
          <w:u w:val="single"/>
        </w:rPr>
        <w:t xml:space="preserve">dissemination of health technologies </w:t>
      </w:r>
      <w:r w:rsidR="00D70C4F" w:rsidRPr="00710492">
        <w:rPr>
          <w:rFonts w:ascii="Calibri" w:hAnsi="Calibri" w:cs="Calibri"/>
          <w:sz w:val="22"/>
          <w:szCs w:val="22"/>
          <w:u w:val="single"/>
        </w:rPr>
        <w:t>and strategies stemming from research</w:t>
      </w:r>
      <w:r w:rsidR="00D27888" w:rsidRPr="00710492">
        <w:rPr>
          <w:rFonts w:ascii="Calibri" w:hAnsi="Calibri" w:cs="Calibri"/>
          <w:sz w:val="22"/>
          <w:szCs w:val="22"/>
          <w:u w:val="single"/>
        </w:rPr>
        <w:t>.</w:t>
      </w:r>
      <w:r w:rsidR="00D27888" w:rsidRPr="00710492">
        <w:rPr>
          <w:rFonts w:ascii="Calibri" w:eastAsia="Times New Roman" w:hAnsi="Calibri" w:cs="Calibri"/>
          <w:sz w:val="22"/>
          <w:szCs w:val="22"/>
          <w:u w:val="single"/>
        </w:rPr>
        <w:t xml:space="preserve"> </w:t>
      </w:r>
      <w:r w:rsidRPr="00710492">
        <w:rPr>
          <w:rFonts w:ascii="Calibri" w:eastAsia="Times New Roman" w:hAnsi="Calibri" w:cs="Calibri"/>
          <w:sz w:val="22"/>
          <w:szCs w:val="22"/>
          <w:u w:val="single"/>
        </w:rPr>
        <w:t xml:space="preserve"> </w:t>
      </w:r>
    </w:p>
    <w:p w14:paraId="4BD00698" w14:textId="77777777" w:rsidR="006E5F21" w:rsidRPr="006E5F21" w:rsidRDefault="006E5F21" w:rsidP="001A243B">
      <w:pPr>
        <w:jc w:val="both"/>
        <w:rPr>
          <w:rFonts w:ascii="Calibri" w:eastAsia="Times New Roman" w:hAnsi="Calibri" w:cs="Calibri"/>
          <w:i/>
          <w:iCs/>
          <w:sz w:val="22"/>
          <w:szCs w:val="22"/>
        </w:rPr>
      </w:pPr>
    </w:p>
    <w:p w14:paraId="42041A97" w14:textId="075B50BD" w:rsidR="006850DC" w:rsidRPr="006E5F21" w:rsidRDefault="009D7803" w:rsidP="001A243B">
      <w:pPr>
        <w:pStyle w:val="ListParagraph"/>
        <w:numPr>
          <w:ilvl w:val="0"/>
          <w:numId w:val="1"/>
        </w:numPr>
        <w:ind w:left="360"/>
        <w:jc w:val="both"/>
        <w:rPr>
          <w:rFonts w:ascii="Calibri" w:eastAsia="Times New Roman" w:hAnsi="Calibri" w:cs="Calibri"/>
          <w:sz w:val="22"/>
          <w:szCs w:val="22"/>
        </w:rPr>
      </w:pPr>
      <w:r>
        <w:rPr>
          <w:rFonts w:ascii="Calibri" w:hAnsi="Calibri" w:cs="Calibri"/>
          <w:sz w:val="22"/>
          <w:szCs w:val="22"/>
        </w:rPr>
        <w:t xml:space="preserve">As </w:t>
      </w:r>
      <w:r w:rsidR="009B2BAB" w:rsidRPr="006E5F21">
        <w:rPr>
          <w:rFonts w:ascii="Calibri" w:hAnsi="Calibri" w:cs="Calibri"/>
          <w:sz w:val="22"/>
          <w:szCs w:val="22"/>
        </w:rPr>
        <w:t>GC25 e</w:t>
      </w:r>
      <w:r>
        <w:rPr>
          <w:rFonts w:ascii="Calibri" w:hAnsi="Calibri" w:cs="Calibri"/>
          <w:sz w:val="22"/>
          <w:szCs w:val="22"/>
        </w:rPr>
        <w:t>xplain</w:t>
      </w:r>
      <w:r w:rsidR="009B2BAB" w:rsidRPr="006E5F21">
        <w:rPr>
          <w:rFonts w:ascii="Calibri" w:hAnsi="Calibri" w:cs="Calibri"/>
          <w:sz w:val="22"/>
          <w:szCs w:val="22"/>
        </w:rPr>
        <w:t>s</w:t>
      </w:r>
      <w:r>
        <w:rPr>
          <w:rFonts w:ascii="Calibri" w:hAnsi="Calibri" w:cs="Calibri"/>
          <w:sz w:val="22"/>
          <w:szCs w:val="22"/>
        </w:rPr>
        <w:t>,</w:t>
      </w:r>
      <w:r w:rsidR="00991CF0" w:rsidRPr="006E5F21">
        <w:rPr>
          <w:rFonts w:ascii="Calibri" w:hAnsi="Calibri" w:cs="Calibri"/>
          <w:sz w:val="22"/>
          <w:szCs w:val="22"/>
        </w:rPr>
        <w:t xml:space="preserve"> the right to science </w:t>
      </w:r>
      <w:r w:rsidR="00991CF0" w:rsidRPr="006E5F21">
        <w:rPr>
          <w:rFonts w:ascii="Calibri" w:eastAsia="Times New Roman" w:hAnsi="Calibri" w:cs="Calibri"/>
          <w:sz w:val="22"/>
          <w:szCs w:val="22"/>
        </w:rPr>
        <w:t xml:space="preserve">“encompasses not only a right to receive the benefits of the applications of scientific progress but also a right to participate in scientific progress.” </w:t>
      </w:r>
      <w:r w:rsidR="004B5708" w:rsidRPr="006E5F21">
        <w:rPr>
          <w:rFonts w:ascii="Calibri" w:eastAsia="Times New Roman" w:hAnsi="Calibri" w:cs="Calibri"/>
          <w:sz w:val="22"/>
          <w:szCs w:val="22"/>
        </w:rPr>
        <w:t xml:space="preserve">In </w:t>
      </w:r>
      <w:r w:rsidR="00991CF0" w:rsidRPr="006E5F21">
        <w:rPr>
          <w:rFonts w:ascii="Calibri" w:hAnsi="Calibri" w:cs="Calibri"/>
          <w:sz w:val="22"/>
          <w:szCs w:val="22"/>
        </w:rPr>
        <w:t>CESCR</w:t>
      </w:r>
      <w:r w:rsidR="004B5708" w:rsidRPr="006E5F21">
        <w:rPr>
          <w:rFonts w:ascii="Calibri" w:hAnsi="Calibri" w:cs="Calibri"/>
          <w:sz w:val="22"/>
          <w:szCs w:val="22"/>
        </w:rPr>
        <w:t>’s authoritative interpretation, the right to science</w:t>
      </w:r>
      <w:r w:rsidR="00991CF0" w:rsidRPr="006E5F21">
        <w:rPr>
          <w:rFonts w:ascii="Calibri" w:hAnsi="Calibri" w:cs="Calibri"/>
          <w:sz w:val="22"/>
          <w:szCs w:val="22"/>
        </w:rPr>
        <w:t xml:space="preserve"> makes </w:t>
      </w:r>
      <w:r w:rsidR="00991CF0" w:rsidRPr="006E5F21">
        <w:rPr>
          <w:rFonts w:ascii="Calibri" w:eastAsia="Times New Roman" w:hAnsi="Calibri" w:cs="Calibri"/>
          <w:sz w:val="22"/>
          <w:szCs w:val="22"/>
        </w:rPr>
        <w:t>no rigid distinction between scientists and the general public</w:t>
      </w:r>
      <w:r w:rsidR="008F35E3" w:rsidRPr="006E5F21">
        <w:rPr>
          <w:rFonts w:ascii="Calibri" w:eastAsia="Times New Roman" w:hAnsi="Calibri" w:cs="Calibri"/>
          <w:sz w:val="22"/>
          <w:szCs w:val="22"/>
        </w:rPr>
        <w:t>.</w:t>
      </w:r>
      <w:r w:rsidR="00991CF0" w:rsidRPr="006E5F21">
        <w:rPr>
          <w:rFonts w:ascii="Calibri" w:eastAsia="Times New Roman" w:hAnsi="Calibri" w:cs="Calibri"/>
          <w:sz w:val="22"/>
          <w:szCs w:val="22"/>
        </w:rPr>
        <w:t xml:space="preserve"> </w:t>
      </w:r>
      <w:r w:rsidR="008F35E3" w:rsidRPr="006E5F21">
        <w:rPr>
          <w:rFonts w:ascii="Calibri" w:eastAsia="Times New Roman" w:hAnsi="Calibri" w:cs="Calibri"/>
          <w:sz w:val="22"/>
          <w:szCs w:val="22"/>
        </w:rPr>
        <w:t xml:space="preserve">This </w:t>
      </w:r>
      <w:r w:rsidR="00991CF0" w:rsidRPr="006E5F21">
        <w:rPr>
          <w:rFonts w:ascii="Calibri" w:eastAsia="Times New Roman" w:hAnsi="Calibri" w:cs="Calibri"/>
          <w:sz w:val="22"/>
          <w:szCs w:val="22"/>
        </w:rPr>
        <w:t>validat</w:t>
      </w:r>
      <w:r w:rsidR="008F35E3" w:rsidRPr="006E5F21">
        <w:rPr>
          <w:rFonts w:ascii="Calibri" w:eastAsia="Times New Roman" w:hAnsi="Calibri" w:cs="Calibri"/>
          <w:sz w:val="22"/>
          <w:szCs w:val="22"/>
        </w:rPr>
        <w:t>es</w:t>
      </w:r>
      <w:r w:rsidR="00991CF0" w:rsidRPr="006E5F21">
        <w:rPr>
          <w:rFonts w:ascii="Calibri" w:eastAsia="Times New Roman" w:hAnsi="Calibri" w:cs="Calibri"/>
          <w:b/>
          <w:sz w:val="22"/>
          <w:szCs w:val="22"/>
        </w:rPr>
        <w:t xml:space="preserve"> </w:t>
      </w:r>
      <w:r w:rsidR="00991CF0" w:rsidRPr="006E5F21">
        <w:rPr>
          <w:rFonts w:ascii="Calibri" w:eastAsia="Times New Roman" w:hAnsi="Calibri" w:cs="Calibri"/>
          <w:sz w:val="22"/>
          <w:szCs w:val="22"/>
        </w:rPr>
        <w:t xml:space="preserve">the rich tradition of community engagement in global </w:t>
      </w:r>
      <w:r w:rsidR="006850DC" w:rsidRPr="006E5F21">
        <w:rPr>
          <w:rFonts w:ascii="Calibri" w:eastAsia="Times New Roman" w:hAnsi="Calibri" w:cs="Calibri"/>
          <w:sz w:val="22"/>
          <w:szCs w:val="22"/>
        </w:rPr>
        <w:t>HIV/AIDS</w:t>
      </w:r>
      <w:r w:rsidR="00991CF0" w:rsidRPr="006E5F21">
        <w:rPr>
          <w:rFonts w:ascii="Calibri" w:eastAsia="Times New Roman" w:hAnsi="Calibri" w:cs="Calibri"/>
          <w:sz w:val="22"/>
          <w:szCs w:val="22"/>
        </w:rPr>
        <w:t xml:space="preserve"> research and policy formulation</w:t>
      </w:r>
      <w:r w:rsidR="008F35E3" w:rsidRPr="006E5F21">
        <w:rPr>
          <w:rFonts w:ascii="Calibri" w:eastAsia="Times New Roman" w:hAnsi="Calibri" w:cs="Calibri"/>
          <w:sz w:val="22"/>
          <w:szCs w:val="22"/>
        </w:rPr>
        <w:t xml:space="preserve"> and reaffirms ethical pillars of the HIV/AIDS response such as the Denver Principles and the </w:t>
      </w:r>
      <w:r w:rsidR="008F35E3" w:rsidRPr="006E5F21">
        <w:rPr>
          <w:rFonts w:ascii="Calibri" w:hAnsi="Calibri" w:cs="Calibri"/>
          <w:sz w:val="22"/>
          <w:szCs w:val="22"/>
        </w:rPr>
        <w:t>Greater Involvement of People with AIDS (GIPA)</w:t>
      </w:r>
      <w:r w:rsidR="00991CF0" w:rsidRPr="006E5F21">
        <w:rPr>
          <w:rFonts w:ascii="Calibri" w:eastAsia="Times New Roman" w:hAnsi="Calibri" w:cs="Calibri"/>
          <w:sz w:val="22"/>
          <w:szCs w:val="22"/>
        </w:rPr>
        <w:t>.</w:t>
      </w:r>
    </w:p>
    <w:p w14:paraId="3A1EF151" w14:textId="464AE30E" w:rsidR="004B5708" w:rsidRPr="00000E70" w:rsidRDefault="004B5708" w:rsidP="001A243B">
      <w:pPr>
        <w:pStyle w:val="ListParagraph"/>
        <w:ind w:left="360"/>
        <w:jc w:val="both"/>
        <w:rPr>
          <w:rFonts w:ascii="Calibri" w:hAnsi="Calibri" w:cs="Calibri"/>
          <w:sz w:val="22"/>
          <w:szCs w:val="22"/>
        </w:rPr>
      </w:pPr>
    </w:p>
    <w:p w14:paraId="38557DD1" w14:textId="02ED4C68" w:rsidR="00DA3F27" w:rsidRPr="00000E70" w:rsidRDefault="00DA3F27" w:rsidP="001A243B">
      <w:pPr>
        <w:pStyle w:val="ListParagraph"/>
        <w:numPr>
          <w:ilvl w:val="0"/>
          <w:numId w:val="1"/>
        </w:numPr>
        <w:ind w:left="360"/>
        <w:jc w:val="both"/>
        <w:rPr>
          <w:rFonts w:ascii="Calibri" w:eastAsia="Times New Roman" w:hAnsi="Calibri" w:cs="Calibri"/>
          <w:sz w:val="22"/>
          <w:szCs w:val="22"/>
        </w:rPr>
      </w:pPr>
      <w:r w:rsidRPr="00000E70">
        <w:rPr>
          <w:rFonts w:ascii="Calibri" w:hAnsi="Calibri" w:cs="Calibri"/>
          <w:sz w:val="22"/>
          <w:szCs w:val="22"/>
        </w:rPr>
        <w:t xml:space="preserve">Through the GIPA principles, people affected by HIV/AIDS and its major co-infections TB and HCV have participated in shaping the scientific research agenda through mechanisms </w:t>
      </w:r>
      <w:r w:rsidR="00473EEE">
        <w:rPr>
          <w:rFonts w:ascii="Calibri" w:hAnsi="Calibri" w:cs="Calibri"/>
          <w:sz w:val="22"/>
          <w:szCs w:val="22"/>
        </w:rPr>
        <w:t>such as</w:t>
      </w:r>
      <w:r w:rsidR="00F8575F">
        <w:rPr>
          <w:rFonts w:ascii="Calibri" w:hAnsi="Calibri" w:cs="Calibri"/>
          <w:sz w:val="22"/>
          <w:szCs w:val="22"/>
        </w:rPr>
        <w:t xml:space="preserve"> </w:t>
      </w:r>
      <w:r w:rsidRPr="00000E70">
        <w:rPr>
          <w:rFonts w:ascii="Calibri" w:hAnsi="Calibri" w:cs="Calibri"/>
          <w:sz w:val="22"/>
          <w:szCs w:val="22"/>
        </w:rPr>
        <w:t xml:space="preserve">community advisory boards. The meaningful participation of people living with HIV in research must be both safeguarded where it already exists and strengthened where it is still lacking. </w:t>
      </w:r>
    </w:p>
    <w:p w14:paraId="3800492B" w14:textId="77777777" w:rsidR="00D27888" w:rsidRPr="00000E70" w:rsidRDefault="00D27888" w:rsidP="001A243B">
      <w:pPr>
        <w:jc w:val="both"/>
        <w:rPr>
          <w:rFonts w:ascii="Calibri" w:eastAsia="Times New Roman" w:hAnsi="Calibri" w:cs="Calibri"/>
          <w:sz w:val="22"/>
          <w:szCs w:val="22"/>
        </w:rPr>
      </w:pPr>
    </w:p>
    <w:p w14:paraId="7FF4C3B6" w14:textId="7CBC7FA4" w:rsidR="00DA3F27" w:rsidRPr="00000E70" w:rsidRDefault="00DA3F27" w:rsidP="001A243B">
      <w:pPr>
        <w:pStyle w:val="ListParagraph"/>
        <w:numPr>
          <w:ilvl w:val="0"/>
          <w:numId w:val="1"/>
        </w:numPr>
        <w:ind w:left="360"/>
        <w:jc w:val="both"/>
        <w:rPr>
          <w:rFonts w:ascii="Calibri" w:eastAsia="Times New Roman" w:hAnsi="Calibri" w:cs="Calibri"/>
          <w:sz w:val="22"/>
          <w:szCs w:val="22"/>
        </w:rPr>
      </w:pPr>
      <w:r w:rsidRPr="00000E70">
        <w:rPr>
          <w:rFonts w:ascii="Calibri" w:hAnsi="Calibri" w:cs="Calibri"/>
          <w:sz w:val="22"/>
          <w:szCs w:val="22"/>
        </w:rPr>
        <w:t xml:space="preserve">In a positive example, </w:t>
      </w:r>
      <w:r w:rsidRPr="00000E70">
        <w:rPr>
          <w:rFonts w:ascii="Calibri" w:eastAsia="Times New Roman" w:hAnsi="Calibri" w:cs="Calibri"/>
          <w:color w:val="222222"/>
          <w:sz w:val="22"/>
          <w:szCs w:val="22"/>
          <w:shd w:val="clear" w:color="auto" w:fill="FFFFFF"/>
        </w:rPr>
        <w:t>the U.S. National Institutes of Health</w:t>
      </w:r>
      <w:r w:rsidR="00E51655">
        <w:rPr>
          <w:rFonts w:ascii="Calibri" w:eastAsia="Times New Roman" w:hAnsi="Calibri" w:cs="Calibri"/>
          <w:color w:val="222222"/>
          <w:sz w:val="22"/>
          <w:szCs w:val="22"/>
          <w:shd w:val="clear" w:color="auto" w:fill="FFFFFF"/>
        </w:rPr>
        <w:t>-</w:t>
      </w:r>
      <w:r w:rsidRPr="00000E70">
        <w:rPr>
          <w:rFonts w:ascii="Calibri" w:eastAsia="Times New Roman" w:hAnsi="Calibri" w:cs="Calibri"/>
          <w:color w:val="222222"/>
          <w:sz w:val="22"/>
          <w:szCs w:val="22"/>
          <w:shd w:val="clear" w:color="auto" w:fill="FFFFFF"/>
        </w:rPr>
        <w:t xml:space="preserve">funded Community Partners program used the right to science to create a tool called the Representative Studies Rubric, designed to assess and encourage the participation of underrepresented groups in HIV clinical trials sponsored by the </w:t>
      </w:r>
      <w:r w:rsidRPr="00000E70">
        <w:rPr>
          <w:rFonts w:ascii="Calibri" w:eastAsia="Times New Roman" w:hAnsi="Calibri" w:cs="Calibri"/>
          <w:color w:val="222222"/>
          <w:sz w:val="22"/>
          <w:szCs w:val="22"/>
          <w:shd w:val="clear" w:color="auto" w:fill="FFFFFF"/>
        </w:rPr>
        <w:lastRenderedPageBreak/>
        <w:t>NIH, noting that the right to science framework necessitates a conscious, active approach to equal representation of all communities affected by HIV/AIDS</w:t>
      </w:r>
      <w:r w:rsidR="00005062">
        <w:rPr>
          <w:rFonts w:ascii="Calibri" w:eastAsia="Times New Roman" w:hAnsi="Calibri" w:cs="Calibri"/>
          <w:color w:val="222222"/>
          <w:sz w:val="22"/>
          <w:szCs w:val="22"/>
          <w:shd w:val="clear" w:color="auto" w:fill="FFFFFF"/>
        </w:rPr>
        <w:t xml:space="preserve"> in research</w:t>
      </w:r>
      <w:r w:rsidRPr="00000E70">
        <w:rPr>
          <w:rFonts w:ascii="Calibri" w:eastAsia="Times New Roman" w:hAnsi="Calibri" w:cs="Calibri"/>
          <w:color w:val="222222"/>
          <w:sz w:val="22"/>
          <w:szCs w:val="22"/>
          <w:shd w:val="clear" w:color="auto" w:fill="FFFFFF"/>
        </w:rPr>
        <w:t>.</w:t>
      </w:r>
      <w:r w:rsidRPr="00000E70">
        <w:rPr>
          <w:rStyle w:val="FootnoteReference"/>
          <w:rFonts w:ascii="Calibri" w:eastAsia="Times New Roman" w:hAnsi="Calibri" w:cs="Calibri"/>
          <w:color w:val="222222"/>
          <w:sz w:val="22"/>
          <w:szCs w:val="22"/>
          <w:shd w:val="clear" w:color="auto" w:fill="FFFFFF"/>
        </w:rPr>
        <w:footnoteReference w:id="5"/>
      </w:r>
    </w:p>
    <w:p w14:paraId="1D1C2CA7" w14:textId="77777777" w:rsidR="00D27888" w:rsidRPr="00000E70" w:rsidRDefault="00D27888" w:rsidP="001A243B">
      <w:pPr>
        <w:pStyle w:val="ListParagraph"/>
        <w:ind w:left="360"/>
        <w:jc w:val="both"/>
        <w:rPr>
          <w:rFonts w:ascii="Calibri" w:eastAsia="Times New Roman" w:hAnsi="Calibri" w:cs="Calibri"/>
          <w:sz w:val="22"/>
          <w:szCs w:val="22"/>
        </w:rPr>
      </w:pPr>
    </w:p>
    <w:p w14:paraId="560B9452" w14:textId="7CFF53D8" w:rsidR="00DA3F27" w:rsidRPr="00000E70" w:rsidRDefault="00A019F3" w:rsidP="001A243B">
      <w:pPr>
        <w:pStyle w:val="ListParagraph"/>
        <w:numPr>
          <w:ilvl w:val="0"/>
          <w:numId w:val="1"/>
        </w:numPr>
        <w:ind w:left="360"/>
        <w:jc w:val="both"/>
        <w:rPr>
          <w:rFonts w:ascii="Calibri" w:eastAsia="Times New Roman" w:hAnsi="Calibri" w:cs="Calibri"/>
          <w:sz w:val="22"/>
          <w:szCs w:val="22"/>
        </w:rPr>
      </w:pPr>
      <w:r>
        <w:rPr>
          <w:rFonts w:ascii="Calibri" w:hAnsi="Calibri" w:cs="Calibri"/>
          <w:sz w:val="22"/>
          <w:szCs w:val="22"/>
        </w:rPr>
        <w:t>R</w:t>
      </w:r>
      <w:r w:rsidR="00DA3F27" w:rsidRPr="00000E70">
        <w:rPr>
          <w:rFonts w:ascii="Calibri" w:hAnsi="Calibri" w:cs="Calibri"/>
          <w:sz w:val="22"/>
          <w:szCs w:val="22"/>
        </w:rPr>
        <w:t>ecent examples of where communities affected by HIV have been excluded from the HIV/AIDS research agenda</w:t>
      </w:r>
      <w:r>
        <w:rPr>
          <w:rFonts w:ascii="Calibri" w:hAnsi="Calibri" w:cs="Calibri"/>
          <w:sz w:val="22"/>
          <w:szCs w:val="22"/>
        </w:rPr>
        <w:t xml:space="preserve"> include</w:t>
      </w:r>
      <w:r w:rsidR="001D572A">
        <w:rPr>
          <w:rFonts w:ascii="Calibri" w:hAnsi="Calibri" w:cs="Calibri"/>
          <w:sz w:val="22"/>
          <w:szCs w:val="22"/>
        </w:rPr>
        <w:t xml:space="preserve"> inadequate engagement of heavily impacted populations during the earliest stages of research prior to </w:t>
      </w:r>
      <w:r w:rsidR="000E0A11">
        <w:rPr>
          <w:rFonts w:ascii="Calibri" w:hAnsi="Calibri" w:cs="Calibri"/>
          <w:sz w:val="22"/>
          <w:szCs w:val="22"/>
        </w:rPr>
        <w:t>regulatory approvals</w:t>
      </w:r>
      <w:r w:rsidR="001D572A">
        <w:rPr>
          <w:rFonts w:ascii="Calibri" w:hAnsi="Calibri" w:cs="Calibri"/>
          <w:sz w:val="22"/>
          <w:szCs w:val="22"/>
        </w:rPr>
        <w:t xml:space="preserve"> </w:t>
      </w:r>
      <w:r w:rsidR="000E0A11">
        <w:rPr>
          <w:rFonts w:ascii="Calibri" w:hAnsi="Calibri" w:cs="Calibri"/>
          <w:sz w:val="22"/>
          <w:szCs w:val="22"/>
        </w:rPr>
        <w:t xml:space="preserve">of </w:t>
      </w:r>
      <w:r w:rsidR="001D572A">
        <w:rPr>
          <w:rFonts w:ascii="Calibri" w:hAnsi="Calibri" w:cs="Calibri"/>
          <w:sz w:val="22"/>
          <w:szCs w:val="22"/>
        </w:rPr>
        <w:t>oral PrE</w:t>
      </w:r>
      <w:r w:rsidR="000E0A11">
        <w:rPr>
          <w:rFonts w:ascii="Calibri" w:hAnsi="Calibri" w:cs="Calibri"/>
          <w:sz w:val="22"/>
          <w:szCs w:val="22"/>
        </w:rPr>
        <w:t xml:space="preserve">P; and exclusion of people assigned female at birth from </w:t>
      </w:r>
      <w:r w:rsidR="00E86D7A">
        <w:rPr>
          <w:rFonts w:ascii="Calibri" w:hAnsi="Calibri" w:cs="Calibri"/>
          <w:sz w:val="22"/>
          <w:szCs w:val="22"/>
        </w:rPr>
        <w:t xml:space="preserve">initial </w:t>
      </w:r>
      <w:r w:rsidR="000E0A11">
        <w:rPr>
          <w:rFonts w:ascii="Calibri" w:hAnsi="Calibri" w:cs="Calibri"/>
          <w:sz w:val="22"/>
          <w:szCs w:val="22"/>
        </w:rPr>
        <w:t>trials of e</w:t>
      </w:r>
      <w:r w:rsidR="000E0A11" w:rsidRPr="000E0A11">
        <w:rPr>
          <w:rFonts w:ascii="Calibri" w:hAnsi="Calibri" w:cs="Calibri"/>
          <w:sz w:val="22"/>
          <w:szCs w:val="22"/>
        </w:rPr>
        <w:t>mtricitabine</w:t>
      </w:r>
      <w:r w:rsidR="000E0A11">
        <w:rPr>
          <w:rFonts w:ascii="Calibri" w:hAnsi="Calibri" w:cs="Calibri"/>
          <w:sz w:val="22"/>
          <w:szCs w:val="22"/>
        </w:rPr>
        <w:t>-t</w:t>
      </w:r>
      <w:r w:rsidR="000E0A11" w:rsidRPr="000E0A11">
        <w:rPr>
          <w:rFonts w:ascii="Calibri" w:hAnsi="Calibri" w:cs="Calibri"/>
          <w:sz w:val="22"/>
          <w:szCs w:val="22"/>
        </w:rPr>
        <w:t>enofovir</w:t>
      </w:r>
      <w:r w:rsidR="000E0A11">
        <w:rPr>
          <w:rFonts w:ascii="Calibri" w:hAnsi="Calibri" w:cs="Calibri"/>
          <w:sz w:val="22"/>
          <w:szCs w:val="22"/>
        </w:rPr>
        <w:t xml:space="preserve"> for </w:t>
      </w:r>
      <w:r w:rsidR="00533E2A">
        <w:rPr>
          <w:rFonts w:ascii="Calibri" w:hAnsi="Calibri" w:cs="Calibri"/>
          <w:sz w:val="22"/>
          <w:szCs w:val="22"/>
        </w:rPr>
        <w:t>PrEP.</w:t>
      </w:r>
      <w:r w:rsidR="001D572A" w:rsidRPr="00000E70" w:rsidDel="001D572A">
        <w:rPr>
          <w:rFonts w:ascii="Calibri" w:hAnsi="Calibri" w:cs="Calibri"/>
          <w:sz w:val="22"/>
          <w:szCs w:val="22"/>
        </w:rPr>
        <w:t xml:space="preserve"> </w:t>
      </w:r>
      <w:r w:rsidR="001D572A">
        <w:rPr>
          <w:rFonts w:ascii="Calibri" w:hAnsi="Calibri" w:cs="Calibri"/>
          <w:sz w:val="22"/>
          <w:szCs w:val="22"/>
        </w:rPr>
        <w:t xml:space="preserve">Other examples </w:t>
      </w:r>
      <w:r w:rsidR="000E0A11">
        <w:rPr>
          <w:rFonts w:ascii="Calibri" w:hAnsi="Calibri" w:cs="Calibri"/>
          <w:sz w:val="22"/>
          <w:szCs w:val="22"/>
        </w:rPr>
        <w:t xml:space="preserve">are </w:t>
      </w:r>
      <w:r w:rsidR="00D70C4F">
        <w:rPr>
          <w:rFonts w:ascii="Calibri" w:hAnsi="Calibri" w:cs="Calibri"/>
          <w:sz w:val="22"/>
          <w:szCs w:val="22"/>
        </w:rPr>
        <w:t xml:space="preserve">suboptimal engagement </w:t>
      </w:r>
      <w:r w:rsidR="00E609B9">
        <w:rPr>
          <w:rFonts w:ascii="Calibri" w:hAnsi="Calibri" w:cs="Calibri"/>
          <w:sz w:val="22"/>
          <w:szCs w:val="22"/>
        </w:rPr>
        <w:t xml:space="preserve">of racial/ethnic minority populations </w:t>
      </w:r>
      <w:r w:rsidR="00E86D7A">
        <w:rPr>
          <w:rFonts w:ascii="Calibri" w:hAnsi="Calibri" w:cs="Calibri"/>
          <w:sz w:val="22"/>
          <w:szCs w:val="22"/>
        </w:rPr>
        <w:t xml:space="preserve">and transgender populations </w:t>
      </w:r>
      <w:r w:rsidR="00D70C4F">
        <w:rPr>
          <w:rFonts w:ascii="Calibri" w:hAnsi="Calibri" w:cs="Calibri"/>
          <w:sz w:val="22"/>
          <w:szCs w:val="22"/>
        </w:rPr>
        <w:t xml:space="preserve">in </w:t>
      </w:r>
      <w:r w:rsidR="00E86D7A">
        <w:rPr>
          <w:rFonts w:ascii="Calibri" w:hAnsi="Calibri" w:cs="Calibri"/>
          <w:sz w:val="22"/>
          <w:szCs w:val="22"/>
        </w:rPr>
        <w:t>HIV cure-focused research</w:t>
      </w:r>
      <w:r w:rsidR="006E5F21">
        <w:rPr>
          <w:rStyle w:val="FootnoteReference"/>
          <w:rFonts w:ascii="Calibri" w:hAnsi="Calibri" w:cs="Calibri"/>
          <w:sz w:val="22"/>
          <w:szCs w:val="22"/>
        </w:rPr>
        <w:footnoteReference w:id="6"/>
      </w:r>
      <w:r w:rsidR="00E86D7A">
        <w:rPr>
          <w:rFonts w:ascii="Calibri" w:hAnsi="Calibri" w:cs="Calibri"/>
          <w:sz w:val="22"/>
          <w:szCs w:val="22"/>
        </w:rPr>
        <w:t xml:space="preserve"> as well as in </w:t>
      </w:r>
      <w:r w:rsidR="00E609B9">
        <w:rPr>
          <w:rFonts w:ascii="Calibri" w:hAnsi="Calibri" w:cs="Calibri"/>
          <w:sz w:val="22"/>
          <w:szCs w:val="22"/>
        </w:rPr>
        <w:t xml:space="preserve">U.S.-based </w:t>
      </w:r>
      <w:r w:rsidR="00D70C4F">
        <w:rPr>
          <w:rFonts w:ascii="Calibri" w:hAnsi="Calibri" w:cs="Calibri"/>
          <w:sz w:val="22"/>
          <w:szCs w:val="22"/>
        </w:rPr>
        <w:t>vaccine clinical trials</w:t>
      </w:r>
      <w:r w:rsidR="00E609B9">
        <w:rPr>
          <w:rFonts w:ascii="Calibri" w:hAnsi="Calibri" w:cs="Calibri"/>
          <w:sz w:val="22"/>
          <w:szCs w:val="22"/>
        </w:rPr>
        <w:t xml:space="preserve">, </w:t>
      </w:r>
      <w:r w:rsidR="000E0A11">
        <w:rPr>
          <w:rFonts w:ascii="Calibri" w:hAnsi="Calibri" w:cs="Calibri"/>
          <w:sz w:val="22"/>
          <w:szCs w:val="22"/>
        </w:rPr>
        <w:t xml:space="preserve">including </w:t>
      </w:r>
      <w:r w:rsidR="00E609B9">
        <w:rPr>
          <w:rFonts w:ascii="Calibri" w:hAnsi="Calibri" w:cs="Calibri"/>
          <w:sz w:val="22"/>
          <w:szCs w:val="22"/>
        </w:rPr>
        <w:t>pediatric trials</w:t>
      </w:r>
      <w:r w:rsidR="00533E2A">
        <w:rPr>
          <w:rFonts w:ascii="Calibri" w:hAnsi="Calibri" w:cs="Calibri"/>
          <w:sz w:val="22"/>
          <w:szCs w:val="22"/>
        </w:rPr>
        <w:t>;</w:t>
      </w:r>
      <w:r w:rsidR="00E86D7A">
        <w:rPr>
          <w:rFonts w:ascii="Calibri" w:hAnsi="Calibri" w:cs="Calibri"/>
          <w:sz w:val="22"/>
          <w:szCs w:val="22"/>
        </w:rPr>
        <w:t xml:space="preserve"> although there has been </w:t>
      </w:r>
      <w:r w:rsidR="00E609B9">
        <w:rPr>
          <w:rFonts w:ascii="Calibri" w:hAnsi="Calibri" w:cs="Calibri"/>
          <w:sz w:val="22"/>
          <w:szCs w:val="22"/>
        </w:rPr>
        <w:t>progress toward higher representation of female adults</w:t>
      </w:r>
      <w:r w:rsidR="006E5F21">
        <w:rPr>
          <w:rStyle w:val="FootnoteReference"/>
          <w:rFonts w:ascii="Calibri" w:hAnsi="Calibri" w:cs="Calibri"/>
          <w:sz w:val="22"/>
          <w:szCs w:val="22"/>
        </w:rPr>
        <w:footnoteReference w:id="7"/>
      </w:r>
      <w:r w:rsidR="006E5F21">
        <w:rPr>
          <w:rFonts w:ascii="Calibri" w:hAnsi="Calibri" w:cs="Calibri"/>
          <w:sz w:val="22"/>
          <w:szCs w:val="22"/>
        </w:rPr>
        <w:t xml:space="preserve"> </w:t>
      </w:r>
      <w:r w:rsidR="001D572A">
        <w:rPr>
          <w:rFonts w:ascii="Calibri" w:hAnsi="Calibri" w:cs="Calibri"/>
          <w:sz w:val="22"/>
          <w:szCs w:val="22"/>
        </w:rPr>
        <w:t>and successful inclusion of sexual and gender minorities in some prevention trials (e.g., HPTN 085/HVTN 704)</w:t>
      </w:r>
      <w:r w:rsidR="006E5F21">
        <w:rPr>
          <w:rFonts w:ascii="Calibri" w:hAnsi="Calibri" w:cs="Calibri"/>
          <w:sz w:val="22"/>
          <w:szCs w:val="22"/>
        </w:rPr>
        <w:t>.</w:t>
      </w:r>
      <w:r w:rsidR="006E5F21">
        <w:rPr>
          <w:rStyle w:val="FootnoteReference"/>
          <w:rFonts w:ascii="Calibri" w:hAnsi="Calibri" w:cs="Calibri"/>
          <w:sz w:val="22"/>
          <w:szCs w:val="22"/>
        </w:rPr>
        <w:footnoteReference w:id="8"/>
      </w:r>
    </w:p>
    <w:p w14:paraId="33B0A191" w14:textId="6F20C905" w:rsidR="009B2BAB" w:rsidRPr="00000E70" w:rsidRDefault="009B2BAB" w:rsidP="001A243B">
      <w:pPr>
        <w:jc w:val="both"/>
        <w:rPr>
          <w:rFonts w:ascii="Calibri" w:eastAsia="Times New Roman" w:hAnsi="Calibri" w:cs="Calibri"/>
          <w:sz w:val="22"/>
          <w:szCs w:val="22"/>
        </w:rPr>
      </w:pPr>
    </w:p>
    <w:p w14:paraId="210CA74B" w14:textId="748C082C" w:rsidR="009B2BAB" w:rsidRPr="00710492" w:rsidRDefault="009B2BAB" w:rsidP="00473EEE">
      <w:pPr>
        <w:jc w:val="both"/>
        <w:rPr>
          <w:rFonts w:ascii="Calibri" w:eastAsia="Times New Roman" w:hAnsi="Calibri" w:cs="Calibri"/>
          <w:sz w:val="22"/>
          <w:szCs w:val="22"/>
          <w:u w:val="single"/>
        </w:rPr>
      </w:pPr>
      <w:r w:rsidRPr="00710492">
        <w:rPr>
          <w:rFonts w:ascii="Calibri" w:eastAsia="Times New Roman" w:hAnsi="Calibri" w:cs="Calibri"/>
          <w:sz w:val="22"/>
          <w:szCs w:val="22"/>
          <w:u w:val="single"/>
        </w:rPr>
        <w:t xml:space="preserve">Science policy as human rights policy manifests in a </w:t>
      </w:r>
      <w:r w:rsidRPr="00710492">
        <w:rPr>
          <w:rFonts w:ascii="Calibri" w:eastAsia="Times New Roman" w:hAnsi="Calibri" w:cs="Calibri"/>
          <w:b/>
          <w:bCs/>
          <w:sz w:val="22"/>
          <w:szCs w:val="22"/>
          <w:u w:val="single"/>
        </w:rPr>
        <w:t>right of access</w:t>
      </w:r>
      <w:r w:rsidRPr="00710492">
        <w:rPr>
          <w:rFonts w:ascii="Calibri" w:eastAsia="Times New Roman" w:hAnsi="Calibri" w:cs="Calibri"/>
          <w:sz w:val="22"/>
          <w:szCs w:val="22"/>
          <w:u w:val="single"/>
        </w:rPr>
        <w:t xml:space="preserve"> to the </w:t>
      </w:r>
      <w:r w:rsidR="006E5F21" w:rsidRPr="00710492">
        <w:rPr>
          <w:rFonts w:ascii="Calibri" w:eastAsia="Times New Roman" w:hAnsi="Calibri" w:cs="Calibri"/>
          <w:sz w:val="22"/>
          <w:szCs w:val="22"/>
          <w:u w:val="single"/>
        </w:rPr>
        <w:t>ta</w:t>
      </w:r>
      <w:r w:rsidR="00501461" w:rsidRPr="00710492">
        <w:rPr>
          <w:rFonts w:ascii="Calibri" w:eastAsia="Times New Roman" w:hAnsi="Calibri" w:cs="Calibri"/>
          <w:sz w:val="22"/>
          <w:szCs w:val="22"/>
          <w:u w:val="single"/>
        </w:rPr>
        <w:t>ngible and intangible results</w:t>
      </w:r>
      <w:r w:rsidRPr="00710492">
        <w:rPr>
          <w:rFonts w:ascii="Calibri" w:eastAsia="Times New Roman" w:hAnsi="Calibri" w:cs="Calibri"/>
          <w:sz w:val="22"/>
          <w:szCs w:val="22"/>
          <w:u w:val="single"/>
        </w:rPr>
        <w:t xml:space="preserve"> of scientific research on HIV/AIDS. </w:t>
      </w:r>
    </w:p>
    <w:p w14:paraId="648C5DF3" w14:textId="77777777" w:rsidR="009B2BAB" w:rsidRPr="00000E70" w:rsidRDefault="009B2BAB" w:rsidP="001A243B">
      <w:pPr>
        <w:pStyle w:val="ListParagraph"/>
        <w:ind w:left="360"/>
        <w:jc w:val="both"/>
        <w:rPr>
          <w:rFonts w:ascii="Calibri" w:hAnsi="Calibri" w:cs="Calibri"/>
          <w:sz w:val="22"/>
          <w:szCs w:val="22"/>
        </w:rPr>
      </w:pPr>
    </w:p>
    <w:p w14:paraId="2B2791DB" w14:textId="6CE76EEF" w:rsidR="008B2313" w:rsidRPr="00000E70" w:rsidRDefault="006850DC" w:rsidP="001A243B">
      <w:pPr>
        <w:pStyle w:val="ListParagraph"/>
        <w:numPr>
          <w:ilvl w:val="0"/>
          <w:numId w:val="1"/>
        </w:numPr>
        <w:ind w:left="360"/>
        <w:jc w:val="both"/>
        <w:rPr>
          <w:rFonts w:ascii="Calibri" w:hAnsi="Calibri" w:cs="Calibri"/>
          <w:sz w:val="22"/>
          <w:szCs w:val="22"/>
        </w:rPr>
      </w:pPr>
      <w:r w:rsidRPr="00000E70">
        <w:rPr>
          <w:rFonts w:ascii="Calibri" w:hAnsi="Calibri" w:cs="Calibri"/>
          <w:sz w:val="22"/>
          <w:szCs w:val="22"/>
        </w:rPr>
        <w:t xml:space="preserve">GC25 states that the right to science is underpinned by accessibility, acceptability, affordability, and quality (AAAQ) values. </w:t>
      </w:r>
      <w:r w:rsidRPr="00000E70">
        <w:rPr>
          <w:rFonts w:ascii="Calibri" w:eastAsia="Times New Roman" w:hAnsi="Calibri" w:cs="Calibri"/>
          <w:sz w:val="22"/>
          <w:szCs w:val="22"/>
        </w:rPr>
        <w:t>GC25 defines access as encompassing 1)</w:t>
      </w:r>
      <w:r w:rsidR="00BE1973">
        <w:rPr>
          <w:rFonts w:ascii="Calibri" w:eastAsia="Times New Roman" w:hAnsi="Calibri" w:cs="Calibri"/>
          <w:sz w:val="22"/>
          <w:szCs w:val="22"/>
        </w:rPr>
        <w:t xml:space="preserve"> </w:t>
      </w:r>
      <w:r w:rsidR="008F35E3" w:rsidRPr="00000E70">
        <w:rPr>
          <w:rFonts w:ascii="Calibri" w:eastAsia="Times New Roman" w:hAnsi="Calibri" w:cs="Calibri"/>
          <w:sz w:val="22"/>
          <w:szCs w:val="22"/>
        </w:rPr>
        <w:t>intangible goods such</w:t>
      </w:r>
      <w:r w:rsidRPr="00000E70">
        <w:rPr>
          <w:rFonts w:ascii="Calibri" w:eastAsia="Times New Roman" w:hAnsi="Calibri" w:cs="Calibri"/>
          <w:sz w:val="22"/>
          <w:szCs w:val="22"/>
        </w:rPr>
        <w:t xml:space="preserve"> knowledge and information, but also 2) the material results of scientific progress such as medicines and vaccines</w:t>
      </w:r>
      <w:r w:rsidR="00D27888" w:rsidRPr="00000E70">
        <w:rPr>
          <w:rFonts w:ascii="Calibri" w:eastAsia="Times New Roman" w:hAnsi="Calibri" w:cs="Calibri"/>
          <w:sz w:val="22"/>
          <w:szCs w:val="22"/>
        </w:rPr>
        <w:t>,</w:t>
      </w:r>
      <w:r w:rsidRPr="00000E70">
        <w:rPr>
          <w:rFonts w:ascii="Calibri" w:eastAsia="Times New Roman" w:hAnsi="Calibri" w:cs="Calibri"/>
          <w:sz w:val="22"/>
          <w:szCs w:val="22"/>
        </w:rPr>
        <w:t xml:space="preserve"> as well as 3) the means, methods, and materials of scientific discovery.</w:t>
      </w:r>
    </w:p>
    <w:p w14:paraId="0EA2E492" w14:textId="77777777" w:rsidR="008F35E3" w:rsidRPr="00000E70" w:rsidRDefault="008F35E3" w:rsidP="001A243B">
      <w:pPr>
        <w:jc w:val="both"/>
        <w:rPr>
          <w:rFonts w:ascii="Calibri" w:hAnsi="Calibri" w:cs="Calibri"/>
          <w:sz w:val="22"/>
          <w:szCs w:val="22"/>
        </w:rPr>
      </w:pPr>
    </w:p>
    <w:p w14:paraId="1C4DC85E" w14:textId="06EAF5A8" w:rsidR="008B2313" w:rsidRPr="00000E70" w:rsidRDefault="006A7FA2" w:rsidP="001A243B">
      <w:pPr>
        <w:pStyle w:val="ListParagraph"/>
        <w:numPr>
          <w:ilvl w:val="0"/>
          <w:numId w:val="1"/>
        </w:numPr>
        <w:ind w:left="360"/>
        <w:jc w:val="both"/>
        <w:rPr>
          <w:rFonts w:ascii="Calibri" w:hAnsi="Calibri" w:cs="Calibri"/>
          <w:sz w:val="22"/>
          <w:szCs w:val="22"/>
        </w:rPr>
      </w:pPr>
      <w:r w:rsidRPr="00000E70">
        <w:rPr>
          <w:rFonts w:ascii="Calibri" w:hAnsi="Calibri" w:cs="Calibri"/>
          <w:sz w:val="22"/>
          <w:szCs w:val="22"/>
        </w:rPr>
        <w:t xml:space="preserve">As early as the 2006 Consolidated Version of the International Guidelines of HIV/AIDS and Human Rights, </w:t>
      </w:r>
      <w:r w:rsidR="00177254" w:rsidRPr="00000E70">
        <w:rPr>
          <w:rFonts w:ascii="Calibri" w:hAnsi="Calibri" w:cs="Calibri"/>
          <w:sz w:val="22"/>
          <w:szCs w:val="22"/>
        </w:rPr>
        <w:t xml:space="preserve">UNAIDS </w:t>
      </w:r>
      <w:r w:rsidRPr="00000E70">
        <w:rPr>
          <w:rFonts w:ascii="Calibri" w:hAnsi="Calibri" w:cs="Calibri"/>
          <w:sz w:val="22"/>
          <w:szCs w:val="22"/>
        </w:rPr>
        <w:t>took note</w:t>
      </w:r>
      <w:r w:rsidR="00177254" w:rsidRPr="00000E70">
        <w:rPr>
          <w:rFonts w:ascii="Calibri" w:hAnsi="Calibri" w:cs="Calibri"/>
          <w:sz w:val="22"/>
          <w:szCs w:val="22"/>
        </w:rPr>
        <w:t xml:space="preserve"> of</w:t>
      </w:r>
      <w:r w:rsidR="009F3954">
        <w:rPr>
          <w:rFonts w:ascii="Calibri" w:hAnsi="Calibri" w:cs="Calibri"/>
          <w:sz w:val="22"/>
          <w:szCs w:val="22"/>
        </w:rPr>
        <w:t xml:space="preserve"> the</w:t>
      </w:r>
      <w:r w:rsidR="00177254" w:rsidRPr="00000E70">
        <w:rPr>
          <w:rFonts w:ascii="Calibri" w:hAnsi="Calibri" w:cs="Calibri"/>
          <w:sz w:val="22"/>
          <w:szCs w:val="22"/>
        </w:rPr>
        <w:t xml:space="preserve"> right to </w:t>
      </w:r>
      <w:r w:rsidR="008B2313" w:rsidRPr="00000E70">
        <w:rPr>
          <w:rFonts w:ascii="Calibri" w:hAnsi="Calibri" w:cs="Calibri"/>
          <w:sz w:val="22"/>
          <w:szCs w:val="22"/>
        </w:rPr>
        <w:t>science</w:t>
      </w:r>
      <w:r w:rsidRPr="00000E70">
        <w:rPr>
          <w:rFonts w:ascii="Calibri" w:hAnsi="Calibri" w:cs="Calibri"/>
          <w:sz w:val="22"/>
          <w:szCs w:val="22"/>
        </w:rPr>
        <w:t>, stating “In recognition of the human right to share in scientific advancement and its benefits, States should adopt laws and policies, at the domestic and international levels, ensuring that the outcomes of research and development are of national and global benefit, with particular attention to the needs of people in developing countries and people who are poor or otherwise marginalized.”</w:t>
      </w:r>
      <w:r w:rsidRPr="00000E70">
        <w:rPr>
          <w:rStyle w:val="FootnoteReference"/>
          <w:rFonts w:ascii="Calibri" w:hAnsi="Calibri" w:cs="Calibri"/>
          <w:sz w:val="22"/>
          <w:szCs w:val="22"/>
        </w:rPr>
        <w:footnoteReference w:id="9"/>
      </w:r>
      <w:r w:rsidRPr="00000E70">
        <w:rPr>
          <w:rFonts w:ascii="Calibri" w:hAnsi="Calibri" w:cs="Calibri"/>
          <w:sz w:val="22"/>
          <w:szCs w:val="22"/>
        </w:rPr>
        <w:t xml:space="preserve"> </w:t>
      </w:r>
      <w:r w:rsidR="008F35E3" w:rsidRPr="00000E70">
        <w:rPr>
          <w:rFonts w:ascii="Calibri" w:hAnsi="Calibri" w:cs="Calibri"/>
          <w:sz w:val="22"/>
          <w:szCs w:val="22"/>
        </w:rPr>
        <w:t xml:space="preserve">More recently, </w:t>
      </w:r>
      <w:r w:rsidRPr="00000E70">
        <w:rPr>
          <w:rFonts w:ascii="Calibri" w:hAnsi="Calibri" w:cs="Calibri"/>
          <w:sz w:val="22"/>
          <w:szCs w:val="22"/>
        </w:rPr>
        <w:t>UNAIDS’s leadership in the People’s Vaccine Alliance is an example of UNAIDS already supporting a right to science framework.</w:t>
      </w:r>
    </w:p>
    <w:p w14:paraId="7E295D34" w14:textId="77777777" w:rsidR="00CF469A" w:rsidRPr="00000E70" w:rsidRDefault="00CF469A" w:rsidP="001A243B">
      <w:pPr>
        <w:jc w:val="both"/>
        <w:rPr>
          <w:rFonts w:ascii="Calibri" w:hAnsi="Calibri" w:cs="Calibri"/>
          <w:sz w:val="22"/>
          <w:szCs w:val="22"/>
        </w:rPr>
      </w:pPr>
    </w:p>
    <w:p w14:paraId="60FDC3EF" w14:textId="6290EA3C" w:rsidR="002C6E9C" w:rsidRDefault="008B2313" w:rsidP="001A243B">
      <w:pPr>
        <w:pStyle w:val="ListParagraph"/>
        <w:numPr>
          <w:ilvl w:val="0"/>
          <w:numId w:val="1"/>
        </w:numPr>
        <w:ind w:left="360"/>
        <w:jc w:val="both"/>
        <w:rPr>
          <w:rFonts w:ascii="Calibri" w:hAnsi="Calibri" w:cs="Calibri"/>
          <w:sz w:val="22"/>
          <w:szCs w:val="22"/>
        </w:rPr>
      </w:pPr>
      <w:r w:rsidRPr="00000E70">
        <w:rPr>
          <w:rFonts w:ascii="Calibri" w:hAnsi="Calibri" w:cs="Calibri"/>
          <w:sz w:val="22"/>
          <w:szCs w:val="22"/>
        </w:rPr>
        <w:t>UNDP</w:t>
      </w:r>
      <w:r w:rsidR="00EB44F1" w:rsidRPr="00000E70">
        <w:rPr>
          <w:rFonts w:ascii="Calibri" w:hAnsi="Calibri" w:cs="Calibri"/>
          <w:sz w:val="22"/>
          <w:szCs w:val="22"/>
        </w:rPr>
        <w:t xml:space="preserve">-sponsored </w:t>
      </w:r>
      <w:r w:rsidR="00DF65BC" w:rsidRPr="00000E70">
        <w:rPr>
          <w:rFonts w:ascii="Calibri" w:hAnsi="Calibri" w:cs="Calibri"/>
          <w:sz w:val="22"/>
          <w:szCs w:val="22"/>
        </w:rPr>
        <w:t xml:space="preserve">reports of the </w:t>
      </w:r>
      <w:r w:rsidR="00EB44F1" w:rsidRPr="00000E70">
        <w:rPr>
          <w:rFonts w:ascii="Calibri" w:hAnsi="Calibri" w:cs="Calibri"/>
          <w:sz w:val="22"/>
          <w:szCs w:val="22"/>
        </w:rPr>
        <w:t>Global Commission on</w:t>
      </w:r>
      <w:r w:rsidRPr="00000E70">
        <w:rPr>
          <w:rFonts w:ascii="Calibri" w:hAnsi="Calibri" w:cs="Calibri"/>
          <w:sz w:val="22"/>
          <w:szCs w:val="22"/>
        </w:rPr>
        <w:t xml:space="preserve"> HIV and the Law</w:t>
      </w:r>
      <w:r w:rsidR="0091631C">
        <w:rPr>
          <w:rFonts w:ascii="Calibri" w:hAnsi="Calibri" w:cs="Calibri"/>
          <w:sz w:val="22"/>
          <w:szCs w:val="22"/>
        </w:rPr>
        <w:t xml:space="preserve"> (</w:t>
      </w:r>
      <w:r w:rsidR="0091631C" w:rsidRPr="00000E70">
        <w:rPr>
          <w:rFonts w:ascii="Calibri" w:hAnsi="Calibri" w:cs="Calibri"/>
          <w:sz w:val="22"/>
          <w:szCs w:val="22"/>
        </w:rPr>
        <w:t>2015 and 2018</w:t>
      </w:r>
      <w:r w:rsidR="0091631C">
        <w:rPr>
          <w:rFonts w:ascii="Calibri" w:hAnsi="Calibri" w:cs="Calibri"/>
          <w:sz w:val="22"/>
          <w:szCs w:val="22"/>
        </w:rPr>
        <w:t>)</w:t>
      </w:r>
      <w:r w:rsidR="00354596">
        <w:rPr>
          <w:rFonts w:ascii="Calibri" w:hAnsi="Calibri" w:cs="Calibri"/>
          <w:sz w:val="22"/>
          <w:szCs w:val="22"/>
        </w:rPr>
        <w:t>,</w:t>
      </w:r>
      <w:r w:rsidR="00EB44F1" w:rsidRPr="00000E70">
        <w:rPr>
          <w:rFonts w:ascii="Calibri" w:hAnsi="Calibri" w:cs="Calibri"/>
          <w:sz w:val="22"/>
          <w:szCs w:val="22"/>
        </w:rPr>
        <w:t xml:space="preserve"> and the </w:t>
      </w:r>
      <w:r w:rsidR="004F055E" w:rsidRPr="00000E70">
        <w:rPr>
          <w:rFonts w:ascii="Calibri" w:hAnsi="Calibri" w:cs="Calibri"/>
          <w:sz w:val="22"/>
          <w:szCs w:val="22"/>
        </w:rPr>
        <w:t>report by th</w:t>
      </w:r>
      <w:r w:rsidR="00DF65BC" w:rsidRPr="00000E70">
        <w:rPr>
          <w:rFonts w:ascii="Calibri" w:hAnsi="Calibri" w:cs="Calibri"/>
          <w:sz w:val="22"/>
          <w:szCs w:val="22"/>
        </w:rPr>
        <w:t>e</w:t>
      </w:r>
      <w:r w:rsidR="00EB44F1" w:rsidRPr="00000E70">
        <w:rPr>
          <w:rFonts w:ascii="Calibri" w:hAnsi="Calibri" w:cs="Calibri"/>
          <w:sz w:val="22"/>
          <w:szCs w:val="22"/>
        </w:rPr>
        <w:t xml:space="preserve"> </w:t>
      </w:r>
      <w:r w:rsidR="004F055E" w:rsidRPr="00000E70">
        <w:rPr>
          <w:rFonts w:ascii="Calibri" w:hAnsi="Calibri" w:cs="Calibri"/>
          <w:sz w:val="22"/>
          <w:szCs w:val="22"/>
        </w:rPr>
        <w:t>UN</w:t>
      </w:r>
      <w:r w:rsidR="001A243B">
        <w:rPr>
          <w:rFonts w:ascii="Calibri" w:hAnsi="Calibri" w:cs="Calibri"/>
          <w:sz w:val="22"/>
          <w:szCs w:val="22"/>
        </w:rPr>
        <w:t>SG</w:t>
      </w:r>
      <w:r w:rsidR="004F055E" w:rsidRPr="00000E70">
        <w:rPr>
          <w:rFonts w:ascii="Calibri" w:hAnsi="Calibri" w:cs="Calibri"/>
          <w:sz w:val="22"/>
          <w:szCs w:val="22"/>
        </w:rPr>
        <w:t xml:space="preserve"> High-Level Panel on Access to Medicines</w:t>
      </w:r>
      <w:r w:rsidR="00DF65BC" w:rsidRPr="00000E70">
        <w:rPr>
          <w:rFonts w:ascii="Calibri" w:hAnsi="Calibri" w:cs="Calibri"/>
          <w:sz w:val="22"/>
          <w:szCs w:val="22"/>
        </w:rPr>
        <w:t xml:space="preserve"> invoke the right to science as a platform </w:t>
      </w:r>
      <w:r w:rsidR="0091631C">
        <w:rPr>
          <w:rFonts w:ascii="Calibri" w:hAnsi="Calibri" w:cs="Calibri"/>
          <w:sz w:val="22"/>
          <w:szCs w:val="22"/>
        </w:rPr>
        <w:t>for</w:t>
      </w:r>
      <w:r w:rsidR="00DF65BC" w:rsidRPr="00000E70">
        <w:rPr>
          <w:rFonts w:ascii="Calibri" w:hAnsi="Calibri" w:cs="Calibri"/>
          <w:sz w:val="22"/>
          <w:szCs w:val="22"/>
        </w:rPr>
        <w:t xml:space="preserve"> </w:t>
      </w:r>
      <w:r w:rsidR="009F3954">
        <w:rPr>
          <w:rFonts w:ascii="Calibri" w:hAnsi="Calibri" w:cs="Calibri"/>
          <w:sz w:val="22"/>
          <w:szCs w:val="22"/>
        </w:rPr>
        <w:t>S</w:t>
      </w:r>
      <w:r w:rsidR="00DF65BC" w:rsidRPr="00000E70">
        <w:rPr>
          <w:rFonts w:ascii="Calibri" w:hAnsi="Calibri" w:cs="Calibri"/>
          <w:sz w:val="22"/>
          <w:szCs w:val="22"/>
        </w:rPr>
        <w:t>tate</w:t>
      </w:r>
      <w:r w:rsidR="0091631C">
        <w:rPr>
          <w:rFonts w:ascii="Calibri" w:hAnsi="Calibri" w:cs="Calibri"/>
          <w:sz w:val="22"/>
          <w:szCs w:val="22"/>
        </w:rPr>
        <w:t>s</w:t>
      </w:r>
      <w:r w:rsidR="00DF65BC" w:rsidRPr="00000E70">
        <w:rPr>
          <w:rFonts w:ascii="Calibri" w:hAnsi="Calibri" w:cs="Calibri"/>
          <w:sz w:val="22"/>
          <w:szCs w:val="22"/>
        </w:rPr>
        <w:t xml:space="preserve"> </w:t>
      </w:r>
      <w:r w:rsidR="0091631C">
        <w:rPr>
          <w:rFonts w:ascii="Calibri" w:hAnsi="Calibri" w:cs="Calibri"/>
          <w:sz w:val="22"/>
          <w:szCs w:val="22"/>
        </w:rPr>
        <w:t>to</w:t>
      </w:r>
      <w:r w:rsidR="00DF65BC" w:rsidRPr="00000E70">
        <w:rPr>
          <w:rFonts w:ascii="Calibri" w:hAnsi="Calibri" w:cs="Calibri"/>
          <w:sz w:val="22"/>
          <w:szCs w:val="22"/>
        </w:rPr>
        <w:t xml:space="preserve"> </w:t>
      </w:r>
      <w:r w:rsidR="004F055E" w:rsidRPr="00000E70">
        <w:rPr>
          <w:rFonts w:ascii="Calibri" w:hAnsi="Calibri" w:cs="Calibri"/>
          <w:sz w:val="22"/>
          <w:szCs w:val="22"/>
        </w:rPr>
        <w:t>address “the incoherencies between international human rights, trade, intellectual property rights and public health objectives.”</w:t>
      </w:r>
      <w:r w:rsidR="00005062">
        <w:rPr>
          <w:rStyle w:val="FootnoteReference"/>
          <w:rFonts w:ascii="Calibri" w:hAnsi="Calibri" w:cs="Calibri"/>
          <w:sz w:val="22"/>
          <w:szCs w:val="22"/>
        </w:rPr>
        <w:footnoteReference w:id="10"/>
      </w:r>
      <w:r w:rsidR="00DF65BC" w:rsidRPr="00000E70">
        <w:rPr>
          <w:rFonts w:ascii="Calibri" w:hAnsi="Calibri" w:cs="Calibri"/>
          <w:sz w:val="22"/>
          <w:szCs w:val="22"/>
        </w:rPr>
        <w:t xml:space="preserve"> </w:t>
      </w:r>
      <w:r w:rsidR="00354596">
        <w:rPr>
          <w:rFonts w:ascii="Calibri" w:hAnsi="Calibri" w:cs="Calibri"/>
          <w:sz w:val="22"/>
          <w:szCs w:val="22"/>
        </w:rPr>
        <w:t>T</w:t>
      </w:r>
      <w:r w:rsidR="004F055E" w:rsidRPr="00000E70">
        <w:rPr>
          <w:rFonts w:ascii="Calibri" w:hAnsi="Calibri" w:cs="Calibri"/>
          <w:sz w:val="22"/>
          <w:szCs w:val="22"/>
        </w:rPr>
        <w:t>he opening paragraph of the</w:t>
      </w:r>
      <w:r w:rsidR="00DF65BC" w:rsidRPr="00000E70">
        <w:rPr>
          <w:rFonts w:ascii="Calibri" w:hAnsi="Calibri" w:cs="Calibri"/>
          <w:sz w:val="22"/>
          <w:szCs w:val="22"/>
        </w:rPr>
        <w:t xml:space="preserve"> UN</w:t>
      </w:r>
      <w:r w:rsidR="00354596">
        <w:rPr>
          <w:rFonts w:ascii="Calibri" w:hAnsi="Calibri" w:cs="Calibri"/>
          <w:sz w:val="22"/>
          <w:szCs w:val="22"/>
        </w:rPr>
        <w:t>SG’s</w:t>
      </w:r>
      <w:r w:rsidR="004F055E" w:rsidRPr="00000E70">
        <w:rPr>
          <w:rFonts w:ascii="Calibri" w:hAnsi="Calibri" w:cs="Calibri"/>
          <w:sz w:val="22"/>
          <w:szCs w:val="22"/>
        </w:rPr>
        <w:t xml:space="preserve"> Report mention</w:t>
      </w:r>
      <w:r w:rsidR="002C6E9C" w:rsidRPr="00000E70">
        <w:rPr>
          <w:rFonts w:ascii="Calibri" w:hAnsi="Calibri" w:cs="Calibri"/>
          <w:sz w:val="22"/>
          <w:szCs w:val="22"/>
        </w:rPr>
        <w:t>s</w:t>
      </w:r>
      <w:r w:rsidR="004F055E" w:rsidRPr="00000E70">
        <w:rPr>
          <w:rFonts w:ascii="Calibri" w:hAnsi="Calibri" w:cs="Calibri"/>
          <w:sz w:val="22"/>
          <w:szCs w:val="22"/>
        </w:rPr>
        <w:t xml:space="preserve"> the right to science alongside the right to health as necessary to achieve the vision of SDG3 on Health.</w:t>
      </w:r>
      <w:r w:rsidR="002C6E9C" w:rsidRPr="00000E70">
        <w:rPr>
          <w:rFonts w:ascii="Calibri" w:hAnsi="Calibri" w:cs="Calibri"/>
          <w:sz w:val="22"/>
          <w:szCs w:val="22"/>
        </w:rPr>
        <w:t xml:space="preserve"> </w:t>
      </w:r>
    </w:p>
    <w:p w14:paraId="59626E19" w14:textId="77777777" w:rsidR="00473EEE" w:rsidRPr="00473EEE" w:rsidRDefault="00473EEE" w:rsidP="00473EEE">
      <w:pPr>
        <w:pStyle w:val="ListParagraph"/>
        <w:rPr>
          <w:rFonts w:ascii="Calibri" w:hAnsi="Calibri" w:cs="Calibri"/>
          <w:sz w:val="22"/>
          <w:szCs w:val="22"/>
        </w:rPr>
      </w:pPr>
    </w:p>
    <w:p w14:paraId="7D84B7E5" w14:textId="2E0604A3" w:rsidR="00473EEE" w:rsidRPr="00000E70" w:rsidRDefault="009D5091" w:rsidP="00473EEE">
      <w:pPr>
        <w:pStyle w:val="ListParagraph"/>
        <w:numPr>
          <w:ilvl w:val="0"/>
          <w:numId w:val="1"/>
        </w:numPr>
        <w:ind w:left="360"/>
        <w:jc w:val="both"/>
        <w:rPr>
          <w:rFonts w:ascii="Calibri" w:hAnsi="Calibri" w:cs="Calibri"/>
          <w:sz w:val="22"/>
          <w:szCs w:val="22"/>
        </w:rPr>
      </w:pPr>
      <w:r>
        <w:rPr>
          <w:rFonts w:ascii="Calibri" w:hAnsi="Calibri" w:cs="Calibri"/>
          <w:sz w:val="22"/>
          <w:szCs w:val="22"/>
        </w:rPr>
        <w:t xml:space="preserve">Of particular importance in today’s </w:t>
      </w:r>
      <w:r w:rsidR="00165C63">
        <w:rPr>
          <w:rFonts w:ascii="Calibri" w:hAnsi="Calibri" w:cs="Calibri"/>
          <w:sz w:val="22"/>
          <w:szCs w:val="22"/>
        </w:rPr>
        <w:t>scientific landscape</w:t>
      </w:r>
      <w:r>
        <w:rPr>
          <w:rFonts w:ascii="Calibri" w:hAnsi="Calibri" w:cs="Calibri"/>
          <w:sz w:val="22"/>
          <w:szCs w:val="22"/>
        </w:rPr>
        <w:t xml:space="preserve">, </w:t>
      </w:r>
      <w:r w:rsidR="00473EEE">
        <w:rPr>
          <w:rFonts w:ascii="Calibri" w:hAnsi="Calibri" w:cs="Calibri"/>
          <w:sz w:val="22"/>
          <w:szCs w:val="22"/>
        </w:rPr>
        <w:t>TAG</w:t>
      </w:r>
      <w:r w:rsidR="00710492">
        <w:rPr>
          <w:rFonts w:ascii="Calibri" w:hAnsi="Calibri" w:cs="Calibri"/>
          <w:sz w:val="22"/>
          <w:szCs w:val="22"/>
        </w:rPr>
        <w:t>’s HIV Project is</w:t>
      </w:r>
      <w:r w:rsidR="00473EEE">
        <w:rPr>
          <w:rFonts w:ascii="Calibri" w:hAnsi="Calibri" w:cs="Calibri"/>
          <w:sz w:val="22"/>
          <w:szCs w:val="22"/>
        </w:rPr>
        <w:t xml:space="preserve"> committed to advocating for maximal access </w:t>
      </w:r>
      <w:r w:rsidR="00710492">
        <w:rPr>
          <w:rFonts w:ascii="Calibri" w:hAnsi="Calibri" w:cs="Calibri"/>
          <w:sz w:val="22"/>
          <w:szCs w:val="22"/>
        </w:rPr>
        <w:t>to</w:t>
      </w:r>
      <w:r w:rsidR="00473EEE">
        <w:rPr>
          <w:rFonts w:ascii="Calibri" w:hAnsi="Calibri" w:cs="Calibri"/>
          <w:sz w:val="22"/>
          <w:szCs w:val="22"/>
        </w:rPr>
        <w:t xml:space="preserve"> long-acting technologies for HIV treatment and prevention, which are critical </w:t>
      </w:r>
      <w:r w:rsidR="00165C63">
        <w:rPr>
          <w:rFonts w:ascii="Calibri" w:hAnsi="Calibri" w:cs="Calibri"/>
          <w:sz w:val="22"/>
          <w:szCs w:val="22"/>
        </w:rPr>
        <w:t>f</w:t>
      </w:r>
      <w:r w:rsidR="00473EEE">
        <w:rPr>
          <w:rFonts w:ascii="Calibri" w:hAnsi="Calibri" w:cs="Calibri"/>
          <w:sz w:val="22"/>
          <w:szCs w:val="22"/>
        </w:rPr>
        <w:t>or achieving goals of national and international strategic plans to reduce and ultimately altogether end new diagnoses of HIV.</w:t>
      </w:r>
    </w:p>
    <w:p w14:paraId="088E626C" w14:textId="77777777" w:rsidR="00473EEE" w:rsidRPr="00000E70" w:rsidRDefault="00473EEE" w:rsidP="00710492">
      <w:pPr>
        <w:pStyle w:val="ListParagraph"/>
        <w:ind w:left="360"/>
        <w:jc w:val="both"/>
        <w:rPr>
          <w:rFonts w:ascii="Calibri" w:hAnsi="Calibri" w:cs="Calibri"/>
          <w:sz w:val="22"/>
          <w:szCs w:val="22"/>
        </w:rPr>
      </w:pPr>
    </w:p>
    <w:p w14:paraId="787C15A7" w14:textId="77777777" w:rsidR="002C6E9C" w:rsidRPr="0062388F" w:rsidRDefault="002C6E9C" w:rsidP="0062388F">
      <w:pPr>
        <w:jc w:val="both"/>
        <w:rPr>
          <w:rFonts w:ascii="Calibri" w:hAnsi="Calibri" w:cs="Calibri"/>
          <w:sz w:val="22"/>
          <w:szCs w:val="22"/>
        </w:rPr>
      </w:pPr>
    </w:p>
    <w:p w14:paraId="0ADE1DCB" w14:textId="6A40764F" w:rsidR="002C6E9C" w:rsidRPr="00710492" w:rsidRDefault="002C6E9C" w:rsidP="00710492">
      <w:pPr>
        <w:jc w:val="both"/>
        <w:rPr>
          <w:rFonts w:ascii="Calibri" w:hAnsi="Calibri" w:cs="Calibri"/>
          <w:sz w:val="22"/>
          <w:szCs w:val="22"/>
          <w:u w:val="single"/>
        </w:rPr>
      </w:pPr>
      <w:r w:rsidRPr="00710492">
        <w:rPr>
          <w:rFonts w:ascii="Calibri" w:eastAsia="Times New Roman" w:hAnsi="Calibri" w:cs="Calibri"/>
          <w:sz w:val="22"/>
          <w:szCs w:val="22"/>
          <w:u w:val="single"/>
        </w:rPr>
        <w:t xml:space="preserve">Science policy as human rights policy further manifests in </w:t>
      </w:r>
      <w:r w:rsidRPr="00710492">
        <w:rPr>
          <w:rFonts w:ascii="Calibri" w:eastAsia="Times New Roman" w:hAnsi="Calibri" w:cs="Calibri"/>
          <w:b/>
          <w:bCs/>
          <w:sz w:val="22"/>
          <w:szCs w:val="22"/>
          <w:u w:val="single"/>
        </w:rPr>
        <w:t xml:space="preserve">the obligation of </w:t>
      </w:r>
      <w:r w:rsidR="009F3954">
        <w:rPr>
          <w:rFonts w:ascii="Calibri" w:eastAsia="Times New Roman" w:hAnsi="Calibri" w:cs="Calibri"/>
          <w:b/>
          <w:bCs/>
          <w:sz w:val="22"/>
          <w:szCs w:val="22"/>
          <w:u w:val="single"/>
        </w:rPr>
        <w:t>S</w:t>
      </w:r>
      <w:r w:rsidRPr="00710492">
        <w:rPr>
          <w:rFonts w:ascii="Calibri" w:eastAsia="Times New Roman" w:hAnsi="Calibri" w:cs="Calibri"/>
          <w:b/>
          <w:bCs/>
          <w:sz w:val="22"/>
          <w:szCs w:val="22"/>
          <w:u w:val="single"/>
        </w:rPr>
        <w:t xml:space="preserve">tates to develop, disseminate, and conserve science </w:t>
      </w:r>
      <w:r w:rsidRPr="00710492">
        <w:rPr>
          <w:rFonts w:ascii="Calibri" w:eastAsia="Times New Roman" w:hAnsi="Calibri" w:cs="Calibri"/>
          <w:sz w:val="22"/>
          <w:szCs w:val="22"/>
          <w:u w:val="single"/>
        </w:rPr>
        <w:t>on HIV/AIDS and its major co</w:t>
      </w:r>
      <w:r w:rsidR="00533E2A">
        <w:rPr>
          <w:rFonts w:ascii="Calibri" w:eastAsia="Times New Roman" w:hAnsi="Calibri" w:cs="Calibri"/>
          <w:sz w:val="22"/>
          <w:szCs w:val="22"/>
          <w:u w:val="single"/>
        </w:rPr>
        <w:t>-</w:t>
      </w:r>
      <w:r w:rsidRPr="00710492">
        <w:rPr>
          <w:rFonts w:ascii="Calibri" w:eastAsia="Times New Roman" w:hAnsi="Calibri" w:cs="Calibri"/>
          <w:sz w:val="22"/>
          <w:szCs w:val="22"/>
          <w:u w:val="single"/>
        </w:rPr>
        <w:t>infections including TB and HCV.</w:t>
      </w:r>
    </w:p>
    <w:p w14:paraId="0134BDA3" w14:textId="658FEFAE" w:rsidR="002C6E9C" w:rsidRPr="00000E70" w:rsidRDefault="002C6E9C" w:rsidP="001A243B">
      <w:pPr>
        <w:jc w:val="both"/>
        <w:rPr>
          <w:rFonts w:ascii="Calibri" w:hAnsi="Calibri" w:cs="Calibri"/>
          <w:sz w:val="22"/>
          <w:szCs w:val="22"/>
        </w:rPr>
      </w:pPr>
    </w:p>
    <w:p w14:paraId="009431E2" w14:textId="7A431DA7" w:rsidR="00D040A0" w:rsidRDefault="00D040A0" w:rsidP="001A243B">
      <w:pPr>
        <w:pStyle w:val="ListParagraph"/>
        <w:numPr>
          <w:ilvl w:val="0"/>
          <w:numId w:val="1"/>
        </w:numPr>
        <w:ind w:left="360"/>
        <w:jc w:val="both"/>
        <w:rPr>
          <w:rFonts w:ascii="Calibri" w:hAnsi="Calibri" w:cs="Calibri"/>
          <w:sz w:val="22"/>
          <w:szCs w:val="22"/>
        </w:rPr>
      </w:pPr>
      <w:r w:rsidRPr="00000E70">
        <w:rPr>
          <w:rFonts w:ascii="Calibri" w:hAnsi="Calibri" w:cs="Calibri"/>
          <w:sz w:val="22"/>
          <w:szCs w:val="22"/>
        </w:rPr>
        <w:t>T</w:t>
      </w:r>
      <w:r w:rsidR="00991CF0" w:rsidRPr="00000E70">
        <w:rPr>
          <w:rFonts w:ascii="Calibri" w:hAnsi="Calibri" w:cs="Calibri"/>
          <w:sz w:val="22"/>
          <w:szCs w:val="22"/>
        </w:rPr>
        <w:t xml:space="preserve">he ways in which science is financed, conducted, owned, and disseminated can either advance or undermine the realization of other human rights. In HIV, tremendous scientific progress, coupled with generic competition and strong pro-access norms, has improved treatment regimens to the point of simple, safe, and effective single-pill regimens now taken by over 22 million people globally. </w:t>
      </w:r>
    </w:p>
    <w:p w14:paraId="7BD58201" w14:textId="77777777" w:rsidR="002C6E9C" w:rsidRPr="00000E70" w:rsidRDefault="002C6E9C" w:rsidP="001A243B">
      <w:pPr>
        <w:pStyle w:val="ListParagraph"/>
        <w:ind w:left="360"/>
        <w:jc w:val="both"/>
        <w:rPr>
          <w:rFonts w:ascii="Calibri" w:hAnsi="Calibri" w:cs="Calibri"/>
          <w:sz w:val="22"/>
          <w:szCs w:val="22"/>
        </w:rPr>
      </w:pPr>
    </w:p>
    <w:p w14:paraId="5ED5D9E3" w14:textId="5E8EE80E" w:rsidR="00CF469A" w:rsidRPr="00000E70" w:rsidRDefault="00D040A0" w:rsidP="001A243B">
      <w:pPr>
        <w:pStyle w:val="ListParagraph"/>
        <w:numPr>
          <w:ilvl w:val="0"/>
          <w:numId w:val="1"/>
        </w:numPr>
        <w:ind w:left="360"/>
        <w:jc w:val="both"/>
        <w:rPr>
          <w:rFonts w:ascii="Calibri" w:eastAsia="Times New Roman" w:hAnsi="Calibri" w:cs="Calibri"/>
          <w:sz w:val="22"/>
          <w:szCs w:val="22"/>
        </w:rPr>
      </w:pPr>
      <w:r w:rsidRPr="00000E70">
        <w:rPr>
          <w:rFonts w:ascii="Calibri" w:hAnsi="Calibri" w:cs="Calibri"/>
          <w:sz w:val="22"/>
          <w:szCs w:val="22"/>
        </w:rPr>
        <w:t>S</w:t>
      </w:r>
      <w:r w:rsidR="00991CF0" w:rsidRPr="00000E70">
        <w:rPr>
          <w:rFonts w:ascii="Calibri" w:hAnsi="Calibri" w:cs="Calibri"/>
          <w:sz w:val="22"/>
          <w:szCs w:val="22"/>
        </w:rPr>
        <w:t>tate inattention to the development and diffusion of science contribute</w:t>
      </w:r>
      <w:r w:rsidR="00F233D4">
        <w:rPr>
          <w:rFonts w:ascii="Calibri" w:hAnsi="Calibri" w:cs="Calibri"/>
          <w:sz w:val="22"/>
          <w:szCs w:val="22"/>
        </w:rPr>
        <w:t>s</w:t>
      </w:r>
      <w:r w:rsidR="00991CF0" w:rsidRPr="00000E70">
        <w:rPr>
          <w:rFonts w:ascii="Calibri" w:hAnsi="Calibri" w:cs="Calibri"/>
          <w:sz w:val="22"/>
          <w:szCs w:val="22"/>
        </w:rPr>
        <w:t xml:space="preserve"> to human rights</w:t>
      </w:r>
      <w:r w:rsidR="00F233D4">
        <w:rPr>
          <w:rFonts w:ascii="Calibri" w:hAnsi="Calibri" w:cs="Calibri"/>
          <w:sz w:val="22"/>
          <w:szCs w:val="22"/>
        </w:rPr>
        <w:t xml:space="preserve"> violations</w:t>
      </w:r>
      <w:r w:rsidR="00991CF0" w:rsidRPr="00000E70">
        <w:rPr>
          <w:rFonts w:ascii="Calibri" w:hAnsi="Calibri" w:cs="Calibri"/>
          <w:sz w:val="22"/>
          <w:szCs w:val="22"/>
        </w:rPr>
        <w:t>. TB kills more people than any other infectious disease</w:t>
      </w:r>
      <w:r w:rsidR="00D27888" w:rsidRPr="00000E70">
        <w:rPr>
          <w:rFonts w:ascii="Calibri" w:hAnsi="Calibri" w:cs="Calibri"/>
          <w:sz w:val="22"/>
          <w:szCs w:val="22"/>
        </w:rPr>
        <w:t xml:space="preserve"> second to COVID-19 and is the leading cause of death among people living with HIV.</w:t>
      </w:r>
      <w:r w:rsidRPr="00000E70">
        <w:rPr>
          <w:rFonts w:ascii="Calibri" w:hAnsi="Calibri" w:cs="Calibri"/>
          <w:sz w:val="22"/>
          <w:szCs w:val="22"/>
        </w:rPr>
        <w:t xml:space="preserve"> </w:t>
      </w:r>
      <w:r w:rsidR="00D27888" w:rsidRPr="00000E70">
        <w:rPr>
          <w:rFonts w:ascii="Calibri" w:hAnsi="Calibri" w:cs="Calibri"/>
          <w:sz w:val="22"/>
          <w:szCs w:val="22"/>
        </w:rPr>
        <w:t>O</w:t>
      </w:r>
      <w:r w:rsidR="00991CF0" w:rsidRPr="00000E70">
        <w:rPr>
          <w:rFonts w:ascii="Calibri" w:hAnsi="Calibri" w:cs="Calibri"/>
          <w:sz w:val="22"/>
          <w:szCs w:val="22"/>
        </w:rPr>
        <w:t xml:space="preserve">nly </w:t>
      </w:r>
      <w:r w:rsidR="00D27888" w:rsidRPr="00000E70">
        <w:rPr>
          <w:rFonts w:ascii="Calibri" w:hAnsi="Calibri" w:cs="Calibri"/>
          <w:sz w:val="22"/>
          <w:szCs w:val="22"/>
        </w:rPr>
        <w:t xml:space="preserve">three </w:t>
      </w:r>
      <w:r w:rsidR="00991CF0" w:rsidRPr="00000E70">
        <w:rPr>
          <w:rFonts w:ascii="Calibri" w:hAnsi="Calibri" w:cs="Calibri"/>
          <w:sz w:val="22"/>
          <w:szCs w:val="22"/>
        </w:rPr>
        <w:t>new drugs to treat TB have been developed in the last 40 years</w:t>
      </w:r>
      <w:r w:rsidRPr="00000E70">
        <w:rPr>
          <w:rFonts w:ascii="Calibri" w:hAnsi="Calibri" w:cs="Calibri"/>
          <w:sz w:val="22"/>
          <w:szCs w:val="22"/>
        </w:rPr>
        <w:t xml:space="preserve">; </w:t>
      </w:r>
      <w:r w:rsidR="00991CF0" w:rsidRPr="00000E70">
        <w:rPr>
          <w:rFonts w:ascii="Calibri" w:hAnsi="Calibri" w:cs="Calibri"/>
          <w:sz w:val="22"/>
          <w:szCs w:val="22"/>
        </w:rPr>
        <w:t>and funding for TB R&amp;D has never exceeded one-third of the estimated level required.</w:t>
      </w:r>
      <w:r w:rsidR="00E252A7" w:rsidRPr="00000E70">
        <w:rPr>
          <w:rStyle w:val="FootnoteReference"/>
          <w:rFonts w:ascii="Calibri" w:hAnsi="Calibri" w:cs="Calibri"/>
          <w:sz w:val="22"/>
          <w:szCs w:val="22"/>
        </w:rPr>
        <w:footnoteReference w:id="11"/>
      </w:r>
      <w:r w:rsidR="00E252A7" w:rsidRPr="00000E70">
        <w:rPr>
          <w:rFonts w:ascii="Calibri" w:hAnsi="Calibri" w:cs="Calibri"/>
          <w:sz w:val="22"/>
          <w:szCs w:val="22"/>
        </w:rPr>
        <w:t xml:space="preserve"> </w:t>
      </w:r>
      <w:r w:rsidR="00991CF0" w:rsidRPr="00000E70">
        <w:rPr>
          <w:rFonts w:ascii="Calibri" w:hAnsi="Calibri" w:cs="Calibri"/>
          <w:sz w:val="22"/>
          <w:szCs w:val="22"/>
        </w:rPr>
        <w:t xml:space="preserve">The result is an anemic innovation system </w:t>
      </w:r>
      <w:r w:rsidR="009D5091">
        <w:rPr>
          <w:rFonts w:ascii="Calibri" w:hAnsi="Calibri" w:cs="Calibri"/>
          <w:sz w:val="22"/>
          <w:szCs w:val="22"/>
        </w:rPr>
        <w:t xml:space="preserve">that has </w:t>
      </w:r>
      <w:r w:rsidR="00991CF0" w:rsidRPr="00000E70">
        <w:rPr>
          <w:rFonts w:ascii="Calibri" w:hAnsi="Calibri" w:cs="Calibri"/>
          <w:sz w:val="22"/>
          <w:szCs w:val="22"/>
        </w:rPr>
        <w:t>le</w:t>
      </w:r>
      <w:r w:rsidR="009D5091">
        <w:rPr>
          <w:rFonts w:ascii="Calibri" w:hAnsi="Calibri" w:cs="Calibri"/>
          <w:sz w:val="22"/>
          <w:szCs w:val="22"/>
        </w:rPr>
        <w:t>ft</w:t>
      </w:r>
      <w:r w:rsidR="00991CF0" w:rsidRPr="00000E70">
        <w:rPr>
          <w:rFonts w:ascii="Calibri" w:hAnsi="Calibri" w:cs="Calibri"/>
          <w:sz w:val="22"/>
          <w:szCs w:val="22"/>
        </w:rPr>
        <w:t xml:space="preserve"> patients and health systems rel</w:t>
      </w:r>
      <w:r w:rsidR="00D27888" w:rsidRPr="00000E70">
        <w:rPr>
          <w:rFonts w:ascii="Calibri" w:hAnsi="Calibri" w:cs="Calibri"/>
          <w:sz w:val="22"/>
          <w:szCs w:val="22"/>
        </w:rPr>
        <w:t>iant</w:t>
      </w:r>
      <w:r w:rsidR="00991CF0" w:rsidRPr="00000E70">
        <w:rPr>
          <w:rFonts w:ascii="Calibri" w:hAnsi="Calibri" w:cs="Calibri"/>
          <w:sz w:val="22"/>
          <w:szCs w:val="22"/>
        </w:rPr>
        <w:t xml:space="preserve"> on outdated and inadequate technologies to prevent, diagnose, and treat TB. </w:t>
      </w:r>
    </w:p>
    <w:p w14:paraId="16C34029" w14:textId="77777777" w:rsidR="00CF469A" w:rsidRPr="00000E70" w:rsidRDefault="00CF469A" w:rsidP="001A243B">
      <w:pPr>
        <w:jc w:val="both"/>
        <w:rPr>
          <w:rFonts w:ascii="Calibri" w:eastAsia="Times New Roman" w:hAnsi="Calibri" w:cs="Calibri"/>
          <w:sz w:val="22"/>
          <w:szCs w:val="22"/>
        </w:rPr>
      </w:pPr>
    </w:p>
    <w:p w14:paraId="4B0B4EC4" w14:textId="6801CAEC" w:rsidR="00CF469A" w:rsidRPr="00710492" w:rsidRDefault="00CF469A" w:rsidP="00473EEE">
      <w:pPr>
        <w:jc w:val="both"/>
        <w:rPr>
          <w:rFonts w:ascii="Calibri" w:hAnsi="Calibri" w:cs="Calibri"/>
          <w:sz w:val="22"/>
          <w:szCs w:val="22"/>
          <w:u w:val="single"/>
        </w:rPr>
      </w:pPr>
      <w:r w:rsidRPr="00710492">
        <w:rPr>
          <w:rFonts w:ascii="Calibri" w:eastAsia="Times New Roman" w:hAnsi="Calibri" w:cs="Calibri"/>
          <w:sz w:val="22"/>
          <w:szCs w:val="22"/>
          <w:u w:val="single"/>
        </w:rPr>
        <w:t xml:space="preserve">Science policy as human rights policy further manifests in the </w:t>
      </w:r>
      <w:r w:rsidRPr="00710492">
        <w:rPr>
          <w:rFonts w:ascii="Calibri" w:eastAsia="Times New Roman" w:hAnsi="Calibri" w:cs="Calibri"/>
          <w:b/>
          <w:bCs/>
          <w:sz w:val="22"/>
          <w:szCs w:val="22"/>
          <w:u w:val="single"/>
        </w:rPr>
        <w:t>right to nondiscrimination</w:t>
      </w:r>
      <w:r w:rsidRPr="00710492">
        <w:rPr>
          <w:rFonts w:ascii="Calibri" w:eastAsia="Times New Roman" w:hAnsi="Calibri" w:cs="Calibri"/>
          <w:sz w:val="22"/>
          <w:szCs w:val="22"/>
          <w:u w:val="single"/>
        </w:rPr>
        <w:t xml:space="preserve"> at the heart of the HIV/AIDS response. </w:t>
      </w:r>
    </w:p>
    <w:p w14:paraId="66086137" w14:textId="77777777" w:rsidR="00CF469A" w:rsidRPr="00000E70" w:rsidRDefault="00CF469A" w:rsidP="001A243B">
      <w:pPr>
        <w:pStyle w:val="ListParagraph"/>
        <w:ind w:left="360"/>
        <w:jc w:val="both"/>
        <w:rPr>
          <w:rFonts w:ascii="Calibri" w:hAnsi="Calibri" w:cs="Calibri"/>
          <w:sz w:val="22"/>
          <w:szCs w:val="22"/>
        </w:rPr>
      </w:pPr>
    </w:p>
    <w:p w14:paraId="21906442" w14:textId="640855B5" w:rsidR="00354596" w:rsidRDefault="00D040A0" w:rsidP="001A243B">
      <w:pPr>
        <w:pStyle w:val="ListParagraph"/>
        <w:numPr>
          <w:ilvl w:val="0"/>
          <w:numId w:val="1"/>
        </w:numPr>
        <w:ind w:left="360"/>
        <w:jc w:val="both"/>
        <w:rPr>
          <w:rFonts w:ascii="Calibri" w:hAnsi="Calibri" w:cs="Calibri"/>
          <w:sz w:val="22"/>
          <w:szCs w:val="22"/>
        </w:rPr>
      </w:pPr>
      <w:r w:rsidRPr="001F6B74">
        <w:rPr>
          <w:rFonts w:ascii="Calibri" w:hAnsi="Calibri" w:cs="Calibri"/>
          <w:sz w:val="22"/>
          <w:szCs w:val="22"/>
        </w:rPr>
        <w:t>Scientific a</w:t>
      </w:r>
      <w:r w:rsidR="00991CF0" w:rsidRPr="001F6B74">
        <w:rPr>
          <w:rFonts w:ascii="Calibri" w:hAnsi="Calibri" w:cs="Calibri"/>
          <w:sz w:val="22"/>
          <w:szCs w:val="22"/>
        </w:rPr>
        <w:t xml:space="preserve">dvances </w:t>
      </w:r>
      <w:r w:rsidR="001F6B74">
        <w:rPr>
          <w:rFonts w:ascii="Calibri" w:hAnsi="Calibri" w:cs="Calibri"/>
          <w:sz w:val="22"/>
          <w:szCs w:val="22"/>
        </w:rPr>
        <w:t xml:space="preserve">paired with a science-based legislative and policy environment </w:t>
      </w:r>
      <w:r w:rsidR="00991CF0" w:rsidRPr="001F6B74">
        <w:rPr>
          <w:rFonts w:ascii="Calibri" w:hAnsi="Calibri" w:cs="Calibri"/>
          <w:sz w:val="22"/>
          <w:szCs w:val="22"/>
        </w:rPr>
        <w:t>can shift cultural perceptions of disease. At the community level, improved understandings of disease dynamics or new technological capabilities may aid efforts to combat stigma and discrimination</w:t>
      </w:r>
      <w:r w:rsidR="001F6B74" w:rsidRPr="001F6B74">
        <w:rPr>
          <w:rFonts w:ascii="Calibri" w:hAnsi="Calibri" w:cs="Calibri"/>
          <w:sz w:val="22"/>
          <w:szCs w:val="22"/>
        </w:rPr>
        <w:t xml:space="preserve">. Scientific knowledge can </w:t>
      </w:r>
      <w:r w:rsidR="007C221B">
        <w:rPr>
          <w:rFonts w:ascii="Calibri" w:hAnsi="Calibri" w:cs="Calibri"/>
          <w:sz w:val="22"/>
          <w:szCs w:val="22"/>
        </w:rPr>
        <w:t xml:space="preserve">also </w:t>
      </w:r>
      <w:r w:rsidR="001F6B74" w:rsidRPr="001F6B74">
        <w:rPr>
          <w:rFonts w:ascii="Calibri" w:hAnsi="Calibri" w:cs="Calibri"/>
          <w:sz w:val="22"/>
          <w:szCs w:val="22"/>
        </w:rPr>
        <w:t>strengthen legal petitions for redress of disease-related harms.</w:t>
      </w:r>
    </w:p>
    <w:p w14:paraId="65FCDD74" w14:textId="77777777" w:rsidR="001F6B74" w:rsidRPr="001F6B74" w:rsidRDefault="001F6B74" w:rsidP="001A243B">
      <w:pPr>
        <w:jc w:val="both"/>
        <w:rPr>
          <w:rFonts w:ascii="Calibri" w:hAnsi="Calibri" w:cs="Calibri"/>
          <w:sz w:val="22"/>
          <w:szCs w:val="22"/>
        </w:rPr>
      </w:pPr>
    </w:p>
    <w:p w14:paraId="0EAE1E83" w14:textId="441D9A03" w:rsidR="00991CF0" w:rsidRPr="00000E70" w:rsidRDefault="00991CF0" w:rsidP="001A243B">
      <w:pPr>
        <w:pStyle w:val="ListParagraph"/>
        <w:numPr>
          <w:ilvl w:val="0"/>
          <w:numId w:val="1"/>
        </w:numPr>
        <w:ind w:left="360"/>
        <w:jc w:val="both"/>
        <w:rPr>
          <w:rFonts w:ascii="Calibri" w:hAnsi="Calibri" w:cs="Calibri"/>
          <w:sz w:val="22"/>
          <w:szCs w:val="22"/>
        </w:rPr>
      </w:pPr>
      <w:r w:rsidRPr="00000E70">
        <w:rPr>
          <w:rFonts w:ascii="Calibri" w:hAnsi="Calibri" w:cs="Calibri"/>
          <w:sz w:val="22"/>
          <w:szCs w:val="22"/>
        </w:rPr>
        <w:t xml:space="preserve">For example, </w:t>
      </w:r>
      <w:r w:rsidR="009B5CF9">
        <w:rPr>
          <w:rFonts w:ascii="Calibri" w:hAnsi="Calibri" w:cs="Calibri"/>
          <w:sz w:val="22"/>
          <w:szCs w:val="22"/>
        </w:rPr>
        <w:t xml:space="preserve">definitive </w:t>
      </w:r>
      <w:r w:rsidR="00B87B3C">
        <w:rPr>
          <w:rFonts w:ascii="Calibri" w:hAnsi="Calibri" w:cs="Calibri"/>
          <w:sz w:val="22"/>
          <w:szCs w:val="22"/>
        </w:rPr>
        <w:t>determinations from scientific inquir</w:t>
      </w:r>
      <w:r w:rsidR="00C74D6E">
        <w:rPr>
          <w:rFonts w:ascii="Calibri" w:hAnsi="Calibri" w:cs="Calibri"/>
          <w:sz w:val="22"/>
          <w:szCs w:val="22"/>
        </w:rPr>
        <w:t>ies</w:t>
      </w:r>
      <w:r w:rsidR="00B87B3C">
        <w:rPr>
          <w:rFonts w:ascii="Calibri" w:hAnsi="Calibri" w:cs="Calibri"/>
          <w:sz w:val="22"/>
          <w:szCs w:val="22"/>
        </w:rPr>
        <w:t xml:space="preserve"> that HIV is non-transmissible by people living with HIV who have sustained viral suppression, nor transmissible to people who use either oral or injectable preexposure prophylaxis, provide the basis for repeal of laws that </w:t>
      </w:r>
      <w:r w:rsidR="009B5CF9">
        <w:rPr>
          <w:rFonts w:ascii="Calibri" w:hAnsi="Calibri" w:cs="Calibri"/>
          <w:sz w:val="22"/>
          <w:szCs w:val="22"/>
        </w:rPr>
        <w:t>criminalize potential sexual exposure or transmission of HIV.</w:t>
      </w:r>
      <w:r w:rsidRPr="00000E70">
        <w:rPr>
          <w:rFonts w:ascii="Calibri" w:hAnsi="Calibri" w:cs="Calibri"/>
          <w:sz w:val="22"/>
          <w:szCs w:val="22"/>
        </w:rPr>
        <w:t xml:space="preserve"> </w:t>
      </w:r>
      <w:r w:rsidR="0062388F">
        <w:rPr>
          <w:rFonts w:ascii="Calibri" w:hAnsi="Calibri" w:cs="Calibri"/>
          <w:sz w:val="22"/>
          <w:szCs w:val="22"/>
        </w:rPr>
        <w:t>Repeal</w:t>
      </w:r>
      <w:r w:rsidR="00F233D4">
        <w:rPr>
          <w:rFonts w:ascii="Calibri" w:hAnsi="Calibri" w:cs="Calibri"/>
          <w:sz w:val="22"/>
          <w:szCs w:val="22"/>
        </w:rPr>
        <w:t>ing</w:t>
      </w:r>
      <w:r w:rsidR="0062388F">
        <w:rPr>
          <w:rFonts w:ascii="Calibri" w:hAnsi="Calibri" w:cs="Calibri"/>
          <w:sz w:val="22"/>
          <w:szCs w:val="22"/>
        </w:rPr>
        <w:t xml:space="preserve"> </w:t>
      </w:r>
      <w:r w:rsidR="009D6F57">
        <w:rPr>
          <w:rFonts w:ascii="Calibri" w:hAnsi="Calibri" w:cs="Calibri"/>
          <w:sz w:val="22"/>
          <w:szCs w:val="22"/>
        </w:rPr>
        <w:t>laws criminalizing behavior, e.g., same-sex behavior and drug use, would contribute towards reducing fear of these communities to participate freely and voluntarily in certain types of HIV-related research, while at the same time reducing risk of acquiring HIV for communities that experience criminalization of behavior.</w:t>
      </w:r>
      <w:r w:rsidR="00F233D4">
        <w:rPr>
          <w:rStyle w:val="FootnoteReference"/>
          <w:rFonts w:ascii="Calibri" w:hAnsi="Calibri" w:cs="Calibri"/>
          <w:sz w:val="22"/>
          <w:szCs w:val="22"/>
        </w:rPr>
        <w:footnoteReference w:id="12"/>
      </w:r>
    </w:p>
    <w:p w14:paraId="77734C3C" w14:textId="77777777" w:rsidR="00CF469A" w:rsidRPr="00000E70" w:rsidRDefault="00CF469A" w:rsidP="001A243B">
      <w:pPr>
        <w:jc w:val="both"/>
        <w:rPr>
          <w:rFonts w:ascii="Calibri" w:hAnsi="Calibri" w:cs="Calibri"/>
          <w:sz w:val="22"/>
          <w:szCs w:val="22"/>
        </w:rPr>
      </w:pPr>
    </w:p>
    <w:p w14:paraId="57C3BA7B" w14:textId="3EAA4992" w:rsidR="00D86D11" w:rsidRDefault="00016B66" w:rsidP="001A243B">
      <w:pPr>
        <w:pStyle w:val="ListParagraph"/>
        <w:numPr>
          <w:ilvl w:val="0"/>
          <w:numId w:val="1"/>
        </w:numPr>
        <w:ind w:left="360"/>
        <w:jc w:val="both"/>
        <w:rPr>
          <w:rFonts w:ascii="Calibri" w:hAnsi="Calibri" w:cs="Calibri"/>
          <w:sz w:val="22"/>
          <w:szCs w:val="22"/>
        </w:rPr>
      </w:pPr>
      <w:r w:rsidRPr="00000E70">
        <w:rPr>
          <w:rFonts w:ascii="Calibri" w:hAnsi="Calibri" w:cs="Calibri"/>
          <w:sz w:val="22"/>
          <w:szCs w:val="22"/>
        </w:rPr>
        <w:t xml:space="preserve">TAG also asks OHCHR to address the negative impact the ongoing COVID-19 pandemic has </w:t>
      </w:r>
      <w:r w:rsidR="009D5091">
        <w:rPr>
          <w:rFonts w:ascii="Calibri" w:hAnsi="Calibri" w:cs="Calibri"/>
          <w:sz w:val="22"/>
          <w:szCs w:val="22"/>
        </w:rPr>
        <w:t xml:space="preserve">had </w:t>
      </w:r>
      <w:r w:rsidR="00D86D11" w:rsidRPr="00000E70">
        <w:rPr>
          <w:rFonts w:ascii="Calibri" w:hAnsi="Calibri" w:cs="Calibri"/>
          <w:sz w:val="22"/>
          <w:szCs w:val="22"/>
        </w:rPr>
        <w:t>on</w:t>
      </w:r>
      <w:r w:rsidRPr="00000E70">
        <w:rPr>
          <w:rFonts w:ascii="Calibri" w:hAnsi="Calibri" w:cs="Calibri"/>
          <w:sz w:val="22"/>
          <w:szCs w:val="22"/>
        </w:rPr>
        <w:t xml:space="preserve"> </w:t>
      </w:r>
      <w:r w:rsidR="00D86D11" w:rsidRPr="00000E70">
        <w:rPr>
          <w:rFonts w:ascii="Calibri" w:hAnsi="Calibri" w:cs="Calibri"/>
          <w:sz w:val="22"/>
          <w:szCs w:val="22"/>
        </w:rPr>
        <w:t>HI</w:t>
      </w:r>
      <w:r w:rsidRPr="00000E70">
        <w:rPr>
          <w:rFonts w:ascii="Calibri" w:hAnsi="Calibri" w:cs="Calibri"/>
          <w:sz w:val="22"/>
          <w:szCs w:val="22"/>
        </w:rPr>
        <w:t>V/AIDS</w:t>
      </w:r>
      <w:r w:rsidR="009D5091">
        <w:rPr>
          <w:rFonts w:ascii="Calibri" w:hAnsi="Calibri" w:cs="Calibri"/>
          <w:sz w:val="22"/>
          <w:szCs w:val="22"/>
        </w:rPr>
        <w:t>.</w:t>
      </w:r>
      <w:r w:rsidRPr="00000E70">
        <w:rPr>
          <w:rFonts w:ascii="Calibri" w:hAnsi="Calibri" w:cs="Calibri"/>
          <w:sz w:val="22"/>
          <w:szCs w:val="22"/>
        </w:rPr>
        <w:t xml:space="preserve"> Many of the right to science concepts that have contributed to the success of the AIDS response </w:t>
      </w:r>
      <w:r w:rsidR="0056324D">
        <w:rPr>
          <w:rFonts w:ascii="Calibri" w:hAnsi="Calibri" w:cs="Calibri"/>
          <w:sz w:val="22"/>
          <w:szCs w:val="22"/>
        </w:rPr>
        <w:t>have been lacking in</w:t>
      </w:r>
      <w:r w:rsidRPr="00000E70">
        <w:rPr>
          <w:rFonts w:ascii="Calibri" w:hAnsi="Calibri" w:cs="Calibri"/>
          <w:sz w:val="22"/>
          <w:szCs w:val="22"/>
        </w:rPr>
        <w:t xml:space="preserve"> </w:t>
      </w:r>
      <w:r w:rsidR="0056324D">
        <w:rPr>
          <w:rFonts w:ascii="Calibri" w:hAnsi="Calibri" w:cs="Calibri"/>
          <w:sz w:val="22"/>
          <w:szCs w:val="22"/>
        </w:rPr>
        <w:t>responses to</w:t>
      </w:r>
      <w:r w:rsidR="0056324D" w:rsidRPr="00000E70">
        <w:rPr>
          <w:rFonts w:ascii="Calibri" w:hAnsi="Calibri" w:cs="Calibri"/>
          <w:sz w:val="22"/>
          <w:szCs w:val="22"/>
        </w:rPr>
        <w:t xml:space="preserve"> </w:t>
      </w:r>
      <w:r w:rsidRPr="00000E70">
        <w:rPr>
          <w:rFonts w:ascii="Calibri" w:hAnsi="Calibri" w:cs="Calibri"/>
          <w:sz w:val="22"/>
          <w:szCs w:val="22"/>
        </w:rPr>
        <w:t xml:space="preserve">COVID-19, in particular participation and AAAQ. </w:t>
      </w:r>
      <w:r w:rsidR="00165C63">
        <w:rPr>
          <w:rFonts w:ascii="Calibri" w:hAnsi="Calibri" w:cs="Calibri"/>
          <w:sz w:val="22"/>
          <w:szCs w:val="22"/>
        </w:rPr>
        <w:t>A</w:t>
      </w:r>
      <w:r w:rsidRPr="00000E70">
        <w:rPr>
          <w:rFonts w:ascii="Calibri" w:hAnsi="Calibri" w:cs="Calibri"/>
          <w:sz w:val="22"/>
          <w:szCs w:val="22"/>
        </w:rPr>
        <w:t xml:space="preserve"> right to science framework </w:t>
      </w:r>
      <w:r w:rsidR="009D5091">
        <w:rPr>
          <w:rFonts w:ascii="Calibri" w:hAnsi="Calibri" w:cs="Calibri"/>
          <w:sz w:val="22"/>
          <w:szCs w:val="22"/>
        </w:rPr>
        <w:t xml:space="preserve">would </w:t>
      </w:r>
      <w:r w:rsidRPr="00000E70">
        <w:rPr>
          <w:rFonts w:ascii="Calibri" w:hAnsi="Calibri" w:cs="Calibri"/>
          <w:sz w:val="22"/>
          <w:szCs w:val="22"/>
        </w:rPr>
        <w:t>allow policy makers to</w:t>
      </w:r>
      <w:r w:rsidR="007C221B">
        <w:rPr>
          <w:rFonts w:ascii="Calibri" w:hAnsi="Calibri" w:cs="Calibri"/>
          <w:sz w:val="22"/>
          <w:szCs w:val="22"/>
        </w:rPr>
        <w:t xml:space="preserve"> make connections across</w:t>
      </w:r>
      <w:r w:rsidRPr="00000E70">
        <w:rPr>
          <w:rFonts w:ascii="Calibri" w:hAnsi="Calibri" w:cs="Calibri"/>
          <w:sz w:val="22"/>
          <w:szCs w:val="22"/>
        </w:rPr>
        <w:t xml:space="preserve"> HIV/AIDS, COVID-19, </w:t>
      </w:r>
      <w:r w:rsidR="00E252A7" w:rsidRPr="00000E70">
        <w:rPr>
          <w:rFonts w:ascii="Calibri" w:hAnsi="Calibri" w:cs="Calibri"/>
          <w:sz w:val="22"/>
          <w:szCs w:val="22"/>
        </w:rPr>
        <w:t xml:space="preserve">other </w:t>
      </w:r>
      <w:r w:rsidR="00D86D11" w:rsidRPr="00000E70">
        <w:rPr>
          <w:rFonts w:ascii="Calibri" w:hAnsi="Calibri" w:cs="Calibri"/>
          <w:sz w:val="22"/>
          <w:szCs w:val="22"/>
        </w:rPr>
        <w:t>co-morbidities</w:t>
      </w:r>
      <w:r w:rsidR="00165C63">
        <w:rPr>
          <w:rFonts w:ascii="Calibri" w:hAnsi="Calibri" w:cs="Calibri"/>
          <w:sz w:val="22"/>
          <w:szCs w:val="22"/>
        </w:rPr>
        <w:t>,</w:t>
      </w:r>
      <w:r w:rsidR="00D86D11" w:rsidRPr="00000E70">
        <w:rPr>
          <w:rFonts w:ascii="Calibri" w:hAnsi="Calibri" w:cs="Calibri"/>
          <w:sz w:val="22"/>
          <w:szCs w:val="22"/>
        </w:rPr>
        <w:t xml:space="preserve"> and social determinants of health</w:t>
      </w:r>
      <w:r w:rsidR="007C221B">
        <w:rPr>
          <w:rFonts w:ascii="Calibri" w:hAnsi="Calibri" w:cs="Calibri"/>
          <w:sz w:val="22"/>
          <w:szCs w:val="22"/>
        </w:rPr>
        <w:t xml:space="preserve"> and</w:t>
      </w:r>
      <w:r w:rsidR="00E252A7" w:rsidRPr="00000E70">
        <w:rPr>
          <w:rFonts w:ascii="Calibri" w:hAnsi="Calibri" w:cs="Calibri"/>
          <w:sz w:val="22"/>
          <w:szCs w:val="22"/>
        </w:rPr>
        <w:t xml:space="preserve"> </w:t>
      </w:r>
      <w:r w:rsidR="0075550A">
        <w:rPr>
          <w:rFonts w:ascii="Calibri" w:hAnsi="Calibri" w:cs="Calibri"/>
          <w:sz w:val="22"/>
          <w:szCs w:val="22"/>
        </w:rPr>
        <w:t>t</w:t>
      </w:r>
      <w:r w:rsidR="009D5091">
        <w:rPr>
          <w:rFonts w:ascii="Calibri" w:hAnsi="Calibri" w:cs="Calibri"/>
          <w:sz w:val="22"/>
          <w:szCs w:val="22"/>
        </w:rPr>
        <w:t>hus</w:t>
      </w:r>
      <w:r w:rsidR="0075550A">
        <w:rPr>
          <w:rFonts w:ascii="Calibri" w:hAnsi="Calibri" w:cs="Calibri"/>
          <w:sz w:val="22"/>
          <w:szCs w:val="22"/>
        </w:rPr>
        <w:t xml:space="preserve"> yield synergistic</w:t>
      </w:r>
      <w:r w:rsidR="00E252A7" w:rsidRPr="00000E70">
        <w:rPr>
          <w:rFonts w:ascii="Calibri" w:hAnsi="Calibri" w:cs="Calibri"/>
          <w:sz w:val="22"/>
          <w:szCs w:val="22"/>
        </w:rPr>
        <w:t xml:space="preserve"> benefit</w:t>
      </w:r>
      <w:r w:rsidR="0075550A">
        <w:rPr>
          <w:rFonts w:ascii="Calibri" w:hAnsi="Calibri" w:cs="Calibri"/>
          <w:sz w:val="22"/>
          <w:szCs w:val="22"/>
        </w:rPr>
        <w:t>s</w:t>
      </w:r>
      <w:r w:rsidR="00E252A7" w:rsidRPr="00000E70">
        <w:rPr>
          <w:rFonts w:ascii="Calibri" w:hAnsi="Calibri" w:cs="Calibri"/>
          <w:sz w:val="22"/>
          <w:szCs w:val="22"/>
        </w:rPr>
        <w:t xml:space="preserve"> </w:t>
      </w:r>
      <w:r w:rsidR="0075550A">
        <w:rPr>
          <w:rFonts w:ascii="Calibri" w:hAnsi="Calibri" w:cs="Calibri"/>
          <w:sz w:val="22"/>
          <w:szCs w:val="22"/>
        </w:rPr>
        <w:t>for</w:t>
      </w:r>
      <w:r w:rsidR="0075550A" w:rsidRPr="00000E70">
        <w:rPr>
          <w:rFonts w:ascii="Calibri" w:hAnsi="Calibri" w:cs="Calibri"/>
          <w:sz w:val="22"/>
          <w:szCs w:val="22"/>
        </w:rPr>
        <w:t xml:space="preserve"> </w:t>
      </w:r>
      <w:r w:rsidR="00E252A7" w:rsidRPr="00000E70">
        <w:rPr>
          <w:rFonts w:ascii="Calibri" w:hAnsi="Calibri" w:cs="Calibri"/>
          <w:sz w:val="22"/>
          <w:szCs w:val="22"/>
        </w:rPr>
        <w:t>all</w:t>
      </w:r>
      <w:r w:rsidR="0075550A">
        <w:rPr>
          <w:rFonts w:ascii="Calibri" w:hAnsi="Calibri" w:cs="Calibri"/>
          <w:sz w:val="22"/>
          <w:szCs w:val="22"/>
        </w:rPr>
        <w:t xml:space="preserve"> people</w:t>
      </w:r>
      <w:r w:rsidR="00710492">
        <w:rPr>
          <w:rFonts w:ascii="Calibri" w:hAnsi="Calibri" w:cs="Calibri"/>
          <w:sz w:val="22"/>
          <w:szCs w:val="22"/>
        </w:rPr>
        <w:t>.</w:t>
      </w:r>
    </w:p>
    <w:p w14:paraId="60B49710" w14:textId="77777777" w:rsidR="004F59F0" w:rsidRPr="004F59F0" w:rsidRDefault="004F59F0" w:rsidP="001A243B">
      <w:pPr>
        <w:jc w:val="both"/>
        <w:rPr>
          <w:rFonts w:ascii="Calibri" w:hAnsi="Calibri" w:cs="Calibri"/>
          <w:sz w:val="22"/>
          <w:szCs w:val="22"/>
        </w:rPr>
      </w:pPr>
    </w:p>
    <w:p w14:paraId="3A12BB8A" w14:textId="43024696" w:rsidR="00D86D11" w:rsidRPr="00710492" w:rsidRDefault="007C221B" w:rsidP="00710492">
      <w:pPr>
        <w:pStyle w:val="ListParagraph"/>
        <w:numPr>
          <w:ilvl w:val="0"/>
          <w:numId w:val="1"/>
        </w:numPr>
        <w:ind w:left="360"/>
        <w:jc w:val="both"/>
        <w:rPr>
          <w:rFonts w:ascii="Calibri" w:hAnsi="Calibri" w:cs="Calibri"/>
          <w:sz w:val="22"/>
          <w:szCs w:val="22"/>
        </w:rPr>
      </w:pPr>
      <w:r w:rsidRPr="00000E70">
        <w:rPr>
          <w:rFonts w:ascii="Calibri" w:hAnsi="Calibri" w:cs="Calibri"/>
          <w:sz w:val="22"/>
          <w:szCs w:val="22"/>
        </w:rPr>
        <w:t>The right to science is of urgent relevance to global AIDS response. The obligations and entitlements the right evokes must be part of future planning and implementation of the Political Declaration goals</w:t>
      </w:r>
      <w:r>
        <w:rPr>
          <w:rFonts w:ascii="Calibri" w:hAnsi="Calibri" w:cs="Calibri"/>
          <w:sz w:val="22"/>
          <w:szCs w:val="22"/>
        </w:rPr>
        <w:t xml:space="preserve">. </w:t>
      </w:r>
      <w:r w:rsidR="00710492">
        <w:rPr>
          <w:rFonts w:ascii="Calibri" w:hAnsi="Calibri" w:cs="Calibri"/>
          <w:sz w:val="22"/>
          <w:szCs w:val="22"/>
        </w:rPr>
        <w:t>Still</w:t>
      </w:r>
      <w:r w:rsidR="00354596" w:rsidRPr="00710492">
        <w:rPr>
          <w:rFonts w:ascii="Calibri" w:hAnsi="Calibri" w:cs="Calibri"/>
          <w:sz w:val="22"/>
          <w:szCs w:val="22"/>
        </w:rPr>
        <w:t xml:space="preserve">, science alone cannot end AIDS. The right to science framework, with its close interconnection with other human rights, provides </w:t>
      </w:r>
      <w:r>
        <w:rPr>
          <w:rFonts w:ascii="Calibri" w:hAnsi="Calibri" w:cs="Calibri"/>
          <w:sz w:val="22"/>
          <w:szCs w:val="22"/>
        </w:rPr>
        <w:t xml:space="preserve">an </w:t>
      </w:r>
      <w:r w:rsidR="00354596" w:rsidRPr="00710492">
        <w:rPr>
          <w:rFonts w:ascii="Calibri" w:hAnsi="Calibri" w:cs="Calibri"/>
          <w:sz w:val="22"/>
          <w:szCs w:val="22"/>
        </w:rPr>
        <w:t xml:space="preserve">additional </w:t>
      </w:r>
      <w:r>
        <w:rPr>
          <w:rFonts w:ascii="Calibri" w:hAnsi="Calibri" w:cs="Calibri"/>
          <w:sz w:val="22"/>
          <w:szCs w:val="22"/>
        </w:rPr>
        <w:t xml:space="preserve">framework and </w:t>
      </w:r>
      <w:r w:rsidR="00354596" w:rsidRPr="00710492">
        <w:rPr>
          <w:rFonts w:ascii="Calibri" w:hAnsi="Calibri" w:cs="Calibri"/>
          <w:sz w:val="22"/>
          <w:szCs w:val="22"/>
        </w:rPr>
        <w:t xml:space="preserve">set of </w:t>
      </w:r>
      <w:r>
        <w:rPr>
          <w:rFonts w:ascii="Calibri" w:hAnsi="Calibri" w:cs="Calibri"/>
          <w:sz w:val="22"/>
          <w:szCs w:val="22"/>
        </w:rPr>
        <w:t>tools to support a rights-based response to HIV/AIDS by</w:t>
      </w:r>
      <w:r w:rsidR="00354596" w:rsidRPr="00710492">
        <w:rPr>
          <w:rFonts w:ascii="Calibri" w:hAnsi="Calibri" w:cs="Calibri"/>
          <w:sz w:val="22"/>
          <w:szCs w:val="22"/>
        </w:rPr>
        <w:t xml:space="preserve"> </w:t>
      </w:r>
      <w:r w:rsidR="009F3954">
        <w:rPr>
          <w:rFonts w:ascii="Calibri" w:hAnsi="Calibri" w:cs="Calibri"/>
          <w:sz w:val="22"/>
          <w:szCs w:val="22"/>
        </w:rPr>
        <w:t>S</w:t>
      </w:r>
      <w:r w:rsidR="00354596" w:rsidRPr="00710492">
        <w:rPr>
          <w:rFonts w:ascii="Calibri" w:hAnsi="Calibri" w:cs="Calibri"/>
          <w:sz w:val="22"/>
          <w:szCs w:val="22"/>
        </w:rPr>
        <w:t>tates, UN bodies, and civil society</w:t>
      </w:r>
      <w:r w:rsidR="00710492">
        <w:rPr>
          <w:rFonts w:ascii="Calibri" w:hAnsi="Calibri" w:cs="Calibri"/>
          <w:sz w:val="22"/>
          <w:szCs w:val="22"/>
        </w:rPr>
        <w:t>. W</w:t>
      </w:r>
      <w:r w:rsidR="00710492" w:rsidRPr="00710492">
        <w:rPr>
          <w:rFonts w:ascii="Calibri" w:hAnsi="Calibri" w:cs="Calibri"/>
          <w:sz w:val="22"/>
          <w:szCs w:val="22"/>
        </w:rPr>
        <w:t xml:space="preserve">ithout a right to science framework, we will not succeed in realizing the right to health and making an AIDS-free world a </w:t>
      </w:r>
      <w:r w:rsidR="009D5091">
        <w:rPr>
          <w:rFonts w:ascii="Calibri" w:hAnsi="Calibri" w:cs="Calibri"/>
          <w:sz w:val="22"/>
          <w:szCs w:val="22"/>
        </w:rPr>
        <w:t>realit</w:t>
      </w:r>
      <w:r w:rsidR="009D5091" w:rsidRPr="00710492">
        <w:rPr>
          <w:rFonts w:ascii="Calibri" w:hAnsi="Calibri" w:cs="Calibri"/>
          <w:sz w:val="22"/>
          <w:szCs w:val="22"/>
        </w:rPr>
        <w:t>y</w:t>
      </w:r>
      <w:r w:rsidR="00710492" w:rsidRPr="00710492">
        <w:rPr>
          <w:rFonts w:ascii="Calibri" w:hAnsi="Calibri" w:cs="Calibri"/>
          <w:sz w:val="22"/>
          <w:szCs w:val="22"/>
        </w:rPr>
        <w:t>.</w:t>
      </w:r>
    </w:p>
    <w:sectPr w:rsidR="00D86D11" w:rsidRPr="00710492" w:rsidSect="00962DDB">
      <w:headerReference w:type="default" r:id="rId11"/>
      <w:footerReference w:type="even" r:id="rId12"/>
      <w:footerReference w:type="default" r:id="rId13"/>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13D36" w14:textId="77777777" w:rsidR="0050715F" w:rsidRDefault="0050715F" w:rsidP="00177254">
      <w:r>
        <w:separator/>
      </w:r>
    </w:p>
  </w:endnote>
  <w:endnote w:type="continuationSeparator" w:id="0">
    <w:p w14:paraId="448D4D8F" w14:textId="77777777" w:rsidR="0050715F" w:rsidRDefault="0050715F" w:rsidP="0017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7177856"/>
      <w:docPartObj>
        <w:docPartGallery w:val="Page Numbers (Bottom of Page)"/>
        <w:docPartUnique/>
      </w:docPartObj>
    </w:sdtPr>
    <w:sdtEndPr>
      <w:rPr>
        <w:rStyle w:val="PageNumber"/>
      </w:rPr>
    </w:sdtEndPr>
    <w:sdtContent>
      <w:p w14:paraId="5465EAD4" w14:textId="3321D1C6" w:rsidR="00354596" w:rsidRDefault="00354596" w:rsidP="00A60B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3E4EE8" w14:textId="77777777" w:rsidR="00354596" w:rsidRDefault="00354596" w:rsidP="003545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3440994"/>
      <w:docPartObj>
        <w:docPartGallery w:val="Page Numbers (Bottom of Page)"/>
        <w:docPartUnique/>
      </w:docPartObj>
    </w:sdtPr>
    <w:sdtEndPr>
      <w:rPr>
        <w:rStyle w:val="PageNumber"/>
      </w:rPr>
    </w:sdtEndPr>
    <w:sdtContent>
      <w:p w14:paraId="678B027B" w14:textId="739BEC05" w:rsidR="00354596" w:rsidRDefault="00354596" w:rsidP="00A60B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2EFC1F" w14:textId="77777777" w:rsidR="00354596" w:rsidRDefault="00354596" w:rsidP="003545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8FC80" w14:textId="77777777" w:rsidR="0050715F" w:rsidRDefault="0050715F" w:rsidP="00177254">
      <w:r>
        <w:separator/>
      </w:r>
    </w:p>
  </w:footnote>
  <w:footnote w:type="continuationSeparator" w:id="0">
    <w:p w14:paraId="5A123FDE" w14:textId="77777777" w:rsidR="0050715F" w:rsidRDefault="0050715F" w:rsidP="00177254">
      <w:r>
        <w:continuationSeparator/>
      </w:r>
    </w:p>
  </w:footnote>
  <w:footnote w:id="1">
    <w:p w14:paraId="49D40A81" w14:textId="5BA7857F" w:rsidR="00BE1575" w:rsidRPr="001B43FA" w:rsidRDefault="00BE1575" w:rsidP="00BE1575">
      <w:pPr>
        <w:pStyle w:val="FootnoteText"/>
        <w:rPr>
          <w:rFonts w:cstheme="minorHAnsi"/>
          <w:sz w:val="16"/>
          <w:szCs w:val="16"/>
        </w:rPr>
      </w:pPr>
      <w:r w:rsidRPr="001B43FA">
        <w:rPr>
          <w:rStyle w:val="FootnoteReference"/>
          <w:rFonts w:cstheme="minorHAnsi"/>
          <w:sz w:val="16"/>
          <w:szCs w:val="16"/>
        </w:rPr>
        <w:footnoteRef/>
      </w:r>
      <w:r w:rsidR="003A721E">
        <w:rPr>
          <w:rFonts w:cstheme="minorHAnsi"/>
          <w:sz w:val="16"/>
          <w:szCs w:val="16"/>
        </w:rPr>
        <w:t xml:space="preserve">International Covenant on Economic, Social and Cultural Rights. Article 15. </w:t>
      </w:r>
      <w:r w:rsidRPr="001B43FA">
        <w:rPr>
          <w:rFonts w:cstheme="minorHAnsi"/>
          <w:sz w:val="16"/>
          <w:szCs w:val="16"/>
        </w:rPr>
        <w:t>https://www.ohchr.org/en/professionalinterest/pages/cescr.aspx</w:t>
      </w:r>
    </w:p>
  </w:footnote>
  <w:footnote w:id="2">
    <w:p w14:paraId="66A3E0E3" w14:textId="1E51D7A1" w:rsidR="00BE1575" w:rsidRPr="001B43FA" w:rsidRDefault="00BE1575" w:rsidP="00BE1575">
      <w:pPr>
        <w:pStyle w:val="FootnoteText"/>
        <w:rPr>
          <w:rFonts w:cstheme="minorHAnsi"/>
          <w:sz w:val="16"/>
          <w:szCs w:val="16"/>
        </w:rPr>
      </w:pPr>
      <w:r w:rsidRPr="001B43FA">
        <w:rPr>
          <w:rStyle w:val="FootnoteReference"/>
          <w:rFonts w:cstheme="minorHAnsi"/>
          <w:sz w:val="16"/>
          <w:szCs w:val="16"/>
        </w:rPr>
        <w:footnoteRef/>
      </w:r>
      <w:r w:rsidR="00A019F3" w:rsidRPr="001B43FA">
        <w:rPr>
          <w:rFonts w:cstheme="minorHAnsi"/>
          <w:sz w:val="16"/>
          <w:szCs w:val="16"/>
        </w:rPr>
        <w:t>E/C.12/GC/25</w:t>
      </w:r>
    </w:p>
  </w:footnote>
  <w:footnote w:id="3">
    <w:p w14:paraId="37F73F21" w14:textId="21E3C171" w:rsidR="00BE1575" w:rsidRPr="001B43FA" w:rsidRDefault="00BE1575" w:rsidP="00BE1575">
      <w:pPr>
        <w:pStyle w:val="FootnoteText"/>
        <w:rPr>
          <w:rFonts w:cstheme="minorHAnsi"/>
          <w:sz w:val="16"/>
          <w:szCs w:val="16"/>
        </w:rPr>
      </w:pPr>
      <w:r w:rsidRPr="001B43FA">
        <w:rPr>
          <w:rStyle w:val="FootnoteReference"/>
          <w:rFonts w:cstheme="minorHAnsi"/>
          <w:sz w:val="16"/>
          <w:szCs w:val="16"/>
        </w:rPr>
        <w:footnoteRef/>
      </w:r>
      <w:r w:rsidRPr="001B43FA">
        <w:rPr>
          <w:rFonts w:cstheme="minorHAnsi"/>
          <w:sz w:val="16"/>
          <w:szCs w:val="16"/>
        </w:rPr>
        <w:t xml:space="preserve"> </w:t>
      </w:r>
      <w:r w:rsidR="003A721E">
        <w:rPr>
          <w:rFonts w:cstheme="minorHAnsi"/>
          <w:sz w:val="16"/>
          <w:szCs w:val="16"/>
        </w:rPr>
        <w:t xml:space="preserve">Treatment Action Group. Letter to OHCHR re. COVID-19 and the right of everyone to participate in and enjoy the benefits of scientific progress and its applications. </w:t>
      </w:r>
      <w:r w:rsidRPr="001B43FA">
        <w:rPr>
          <w:rFonts w:cstheme="minorHAnsi"/>
          <w:sz w:val="16"/>
          <w:szCs w:val="16"/>
        </w:rPr>
        <w:t>https://www.treatmentactiongroup.org/wp-content/uploads/2020/07/letter_to-_OHCHR_COVID-19_and_right_to_science.pdf</w:t>
      </w:r>
    </w:p>
  </w:footnote>
  <w:footnote w:id="4">
    <w:p w14:paraId="4A9F9B6F" w14:textId="3E0F6272" w:rsidR="002E6FD8" w:rsidRPr="001B43FA" w:rsidRDefault="002E6FD8" w:rsidP="002E6FD8">
      <w:pPr>
        <w:pStyle w:val="FootnoteText"/>
        <w:rPr>
          <w:rFonts w:cstheme="minorHAnsi"/>
          <w:sz w:val="16"/>
          <w:szCs w:val="16"/>
        </w:rPr>
      </w:pPr>
      <w:r w:rsidRPr="001B43FA">
        <w:rPr>
          <w:rStyle w:val="FootnoteReference"/>
          <w:rFonts w:cstheme="minorHAnsi"/>
          <w:sz w:val="16"/>
          <w:szCs w:val="16"/>
        </w:rPr>
        <w:footnoteRef/>
      </w:r>
      <w:r w:rsidRPr="001B43FA">
        <w:rPr>
          <w:rFonts w:cstheme="minorHAnsi"/>
          <w:sz w:val="16"/>
          <w:szCs w:val="16"/>
        </w:rPr>
        <w:t xml:space="preserve"> </w:t>
      </w:r>
      <w:r w:rsidR="00A019F3" w:rsidRPr="001B43FA">
        <w:rPr>
          <w:rFonts w:cstheme="minorHAnsi"/>
          <w:sz w:val="16"/>
          <w:szCs w:val="16"/>
        </w:rPr>
        <w:t xml:space="preserve">E/C.12/GC/25. </w:t>
      </w:r>
      <w:r w:rsidRPr="001B43FA">
        <w:rPr>
          <w:rFonts w:cstheme="minorHAnsi"/>
          <w:sz w:val="16"/>
          <w:szCs w:val="16"/>
        </w:rPr>
        <w:t>See also: Shaheed F. Report of the Special Rapporteur in the field of cultural rights, the right to enjoy the benefits of scientific progress and its applications. A/HRC/20/26. 14 May 2012.</w:t>
      </w:r>
    </w:p>
  </w:footnote>
  <w:footnote w:id="5">
    <w:p w14:paraId="2439724A" w14:textId="1EF5FDB0" w:rsidR="00DA3F27" w:rsidRPr="001B43FA" w:rsidRDefault="00DA3F27" w:rsidP="00DA3F27">
      <w:pPr>
        <w:pStyle w:val="FootnoteText"/>
        <w:rPr>
          <w:rFonts w:cstheme="minorHAnsi"/>
          <w:sz w:val="16"/>
          <w:szCs w:val="16"/>
        </w:rPr>
      </w:pPr>
      <w:r w:rsidRPr="001B43FA">
        <w:rPr>
          <w:rStyle w:val="FootnoteReference"/>
          <w:rFonts w:cstheme="minorHAnsi"/>
          <w:sz w:val="16"/>
          <w:szCs w:val="16"/>
        </w:rPr>
        <w:footnoteRef/>
      </w:r>
      <w:r w:rsidRPr="001B43FA">
        <w:rPr>
          <w:rFonts w:cstheme="minorHAnsi"/>
          <w:sz w:val="16"/>
          <w:szCs w:val="16"/>
        </w:rPr>
        <w:t xml:space="preserve"> </w:t>
      </w:r>
      <w:r w:rsidR="00005062">
        <w:rPr>
          <w:rFonts w:cstheme="minorHAnsi"/>
          <w:sz w:val="16"/>
          <w:szCs w:val="16"/>
        </w:rPr>
        <w:t xml:space="preserve">See, Office of HIV/AIDS Network Coordination: </w:t>
      </w:r>
      <w:r w:rsidRPr="001B43FA">
        <w:rPr>
          <w:rFonts w:cstheme="minorHAnsi"/>
          <w:sz w:val="16"/>
          <w:szCs w:val="16"/>
        </w:rPr>
        <w:t>https://www.hanc.info/content/dam/hanc/resources/RSR-HANC-Website.pdf</w:t>
      </w:r>
    </w:p>
  </w:footnote>
  <w:footnote w:id="6">
    <w:p w14:paraId="691136CA" w14:textId="1A1A0660" w:rsidR="006E5F21" w:rsidRPr="001B43FA" w:rsidRDefault="006E5F21">
      <w:pPr>
        <w:pStyle w:val="FootnoteText"/>
        <w:rPr>
          <w:rFonts w:cstheme="minorHAnsi"/>
          <w:sz w:val="16"/>
          <w:szCs w:val="16"/>
        </w:rPr>
      </w:pPr>
      <w:r w:rsidRPr="001B43FA">
        <w:rPr>
          <w:rStyle w:val="FootnoteReference"/>
          <w:rFonts w:cstheme="minorHAnsi"/>
          <w:sz w:val="16"/>
          <w:szCs w:val="16"/>
        </w:rPr>
        <w:footnoteRef/>
      </w:r>
      <w:r w:rsidRPr="001B43FA">
        <w:rPr>
          <w:rFonts w:cstheme="minorHAnsi"/>
          <w:sz w:val="16"/>
          <w:szCs w:val="16"/>
        </w:rPr>
        <w:t xml:space="preserve"> Flores, L. E., Frontera, W. R., </w:t>
      </w:r>
      <w:proofErr w:type="spellStart"/>
      <w:r w:rsidRPr="001B43FA">
        <w:rPr>
          <w:rFonts w:cstheme="minorHAnsi"/>
          <w:sz w:val="16"/>
          <w:szCs w:val="16"/>
        </w:rPr>
        <w:t>Andrasik</w:t>
      </w:r>
      <w:proofErr w:type="spellEnd"/>
      <w:r w:rsidRPr="001B43FA">
        <w:rPr>
          <w:rFonts w:cstheme="minorHAnsi"/>
          <w:sz w:val="16"/>
          <w:szCs w:val="16"/>
        </w:rPr>
        <w:t xml:space="preserve">, M. P., del Rio, C., </w:t>
      </w:r>
      <w:proofErr w:type="spellStart"/>
      <w:r w:rsidRPr="001B43FA">
        <w:rPr>
          <w:rFonts w:cstheme="minorHAnsi"/>
          <w:sz w:val="16"/>
          <w:szCs w:val="16"/>
        </w:rPr>
        <w:t>Mondríguez</w:t>
      </w:r>
      <w:proofErr w:type="spellEnd"/>
      <w:r w:rsidRPr="001B43FA">
        <w:rPr>
          <w:rFonts w:cstheme="minorHAnsi"/>
          <w:sz w:val="16"/>
          <w:szCs w:val="16"/>
        </w:rPr>
        <w:t xml:space="preserve">-González, A., Price, S. A., Krantz, E. M., </w:t>
      </w:r>
      <w:proofErr w:type="spellStart"/>
      <w:r w:rsidRPr="001B43FA">
        <w:rPr>
          <w:rFonts w:cstheme="minorHAnsi"/>
          <w:sz w:val="16"/>
          <w:szCs w:val="16"/>
        </w:rPr>
        <w:t>Pergam</w:t>
      </w:r>
      <w:proofErr w:type="spellEnd"/>
      <w:r w:rsidRPr="001B43FA">
        <w:rPr>
          <w:rFonts w:cstheme="minorHAnsi"/>
          <w:sz w:val="16"/>
          <w:szCs w:val="16"/>
        </w:rPr>
        <w:t xml:space="preserve">, S. A., &amp; Silver, J. K. (2021). Assessment of the inclusion of racial/ethnic minority, female, and older individuals in vaccine clinical trials. </w:t>
      </w:r>
      <w:r w:rsidRPr="001B43FA">
        <w:rPr>
          <w:rFonts w:cstheme="minorHAnsi"/>
          <w:i/>
          <w:iCs/>
          <w:sz w:val="16"/>
          <w:szCs w:val="16"/>
        </w:rPr>
        <w:t>JAMA Network Open, 4</w:t>
      </w:r>
      <w:r w:rsidRPr="001B43FA">
        <w:rPr>
          <w:rFonts w:cstheme="minorHAnsi"/>
          <w:sz w:val="16"/>
          <w:szCs w:val="16"/>
        </w:rPr>
        <w:t xml:space="preserve">(2), e2037640-e2037640. </w:t>
      </w:r>
      <w:hyperlink r:id="rId1" w:history="1">
        <w:r w:rsidRPr="001B43FA">
          <w:rPr>
            <w:rStyle w:val="Hyperlink"/>
            <w:rFonts w:cstheme="minorHAnsi"/>
            <w:sz w:val="16"/>
            <w:szCs w:val="16"/>
          </w:rPr>
          <w:t>https://doi.org/10.1001/jamanetworkopen.2020.37640</w:t>
        </w:r>
      </w:hyperlink>
    </w:p>
  </w:footnote>
  <w:footnote w:id="7">
    <w:p w14:paraId="14759A94" w14:textId="4A43D41D" w:rsidR="006E5F21" w:rsidRPr="001B43FA" w:rsidRDefault="006E5F21">
      <w:pPr>
        <w:pStyle w:val="FootnoteText"/>
        <w:rPr>
          <w:rFonts w:cstheme="minorHAnsi"/>
          <w:sz w:val="16"/>
          <w:szCs w:val="16"/>
        </w:rPr>
      </w:pPr>
      <w:r w:rsidRPr="001B43FA">
        <w:rPr>
          <w:rStyle w:val="FootnoteReference"/>
          <w:rFonts w:cstheme="minorHAnsi"/>
          <w:sz w:val="16"/>
          <w:szCs w:val="16"/>
        </w:rPr>
        <w:footnoteRef/>
      </w:r>
      <w:r w:rsidRPr="001B43FA">
        <w:rPr>
          <w:rFonts w:cstheme="minorHAnsi"/>
          <w:sz w:val="16"/>
          <w:szCs w:val="16"/>
        </w:rPr>
        <w:t xml:space="preserve"> </w:t>
      </w:r>
      <w:proofErr w:type="spellStart"/>
      <w:r w:rsidRPr="001B43FA">
        <w:rPr>
          <w:rFonts w:cstheme="minorHAnsi"/>
          <w:sz w:val="16"/>
          <w:szCs w:val="16"/>
        </w:rPr>
        <w:t>Curno</w:t>
      </w:r>
      <w:proofErr w:type="spellEnd"/>
      <w:r w:rsidRPr="001B43FA">
        <w:rPr>
          <w:rFonts w:cstheme="minorHAnsi"/>
          <w:sz w:val="16"/>
          <w:szCs w:val="16"/>
        </w:rPr>
        <w:t>, M. J., Rossi, S., Hodges-</w:t>
      </w:r>
      <w:proofErr w:type="spellStart"/>
      <w:r w:rsidRPr="001B43FA">
        <w:rPr>
          <w:rFonts w:cstheme="minorHAnsi"/>
          <w:sz w:val="16"/>
          <w:szCs w:val="16"/>
        </w:rPr>
        <w:t>Mameletzis</w:t>
      </w:r>
      <w:proofErr w:type="spellEnd"/>
      <w:r w:rsidRPr="001B43FA">
        <w:rPr>
          <w:rFonts w:cstheme="minorHAnsi"/>
          <w:sz w:val="16"/>
          <w:szCs w:val="16"/>
        </w:rPr>
        <w:t xml:space="preserve">, I., Johnston, R., Price, M. A., &amp; </w:t>
      </w:r>
      <w:proofErr w:type="spellStart"/>
      <w:r w:rsidRPr="001B43FA">
        <w:rPr>
          <w:rFonts w:cstheme="minorHAnsi"/>
          <w:sz w:val="16"/>
          <w:szCs w:val="16"/>
        </w:rPr>
        <w:t>Heidari</w:t>
      </w:r>
      <w:proofErr w:type="spellEnd"/>
      <w:r w:rsidRPr="001B43FA">
        <w:rPr>
          <w:rFonts w:cstheme="minorHAnsi"/>
          <w:sz w:val="16"/>
          <w:szCs w:val="16"/>
        </w:rPr>
        <w:t xml:space="preserve">, S. (2016). A systematic review of the inclusion (or exclusion) of women in HIV research: From clinical studies of antiretrovirals and vaccines to cure strategies. </w:t>
      </w:r>
      <w:r w:rsidRPr="001B43FA">
        <w:rPr>
          <w:rFonts w:cstheme="minorHAnsi"/>
          <w:i/>
          <w:iCs/>
          <w:sz w:val="16"/>
          <w:szCs w:val="16"/>
        </w:rPr>
        <w:t>Journal of Acquired Immune Deficiency Syndromes, 71</w:t>
      </w:r>
      <w:r w:rsidRPr="001B43FA">
        <w:rPr>
          <w:rFonts w:cstheme="minorHAnsi"/>
          <w:sz w:val="16"/>
          <w:szCs w:val="16"/>
        </w:rPr>
        <w:t xml:space="preserve">(2), 181-188. </w:t>
      </w:r>
      <w:hyperlink r:id="rId2" w:history="1">
        <w:r w:rsidRPr="001B43FA">
          <w:rPr>
            <w:rStyle w:val="Hyperlink"/>
            <w:rFonts w:cstheme="minorHAnsi"/>
            <w:sz w:val="16"/>
            <w:szCs w:val="16"/>
          </w:rPr>
          <w:t>https://doi.org/10.1097/qai.0000000000000842</w:t>
        </w:r>
      </w:hyperlink>
    </w:p>
  </w:footnote>
  <w:footnote w:id="8">
    <w:p w14:paraId="116A3795" w14:textId="0C019E97" w:rsidR="006E5F21" w:rsidRPr="001B43FA" w:rsidRDefault="006E5F21">
      <w:pPr>
        <w:pStyle w:val="FootnoteText"/>
        <w:rPr>
          <w:rFonts w:cstheme="minorHAnsi"/>
          <w:sz w:val="16"/>
          <w:szCs w:val="16"/>
        </w:rPr>
      </w:pPr>
      <w:r w:rsidRPr="001B43FA">
        <w:rPr>
          <w:rStyle w:val="FootnoteReference"/>
          <w:rFonts w:cstheme="minorHAnsi"/>
          <w:sz w:val="16"/>
          <w:szCs w:val="16"/>
        </w:rPr>
        <w:footnoteRef/>
      </w:r>
      <w:r w:rsidRPr="001B43FA">
        <w:rPr>
          <w:rFonts w:cstheme="minorHAnsi"/>
          <w:sz w:val="16"/>
          <w:szCs w:val="16"/>
        </w:rPr>
        <w:t xml:space="preserve"> </w:t>
      </w:r>
      <w:r w:rsidR="00005062">
        <w:rPr>
          <w:rFonts w:cstheme="minorHAnsi"/>
          <w:sz w:val="16"/>
          <w:szCs w:val="16"/>
        </w:rPr>
        <w:t xml:space="preserve">See: </w:t>
      </w:r>
      <w:r w:rsidRPr="001B43FA">
        <w:rPr>
          <w:rFonts w:cstheme="minorHAnsi"/>
          <w:sz w:val="16"/>
          <w:szCs w:val="16"/>
        </w:rPr>
        <w:t>https://www.hptn.org/research/studies/704_085</w:t>
      </w:r>
    </w:p>
  </w:footnote>
  <w:footnote w:id="9">
    <w:p w14:paraId="6BBDAF6E" w14:textId="31E869B1" w:rsidR="006A7FA2" w:rsidRPr="001B43FA" w:rsidRDefault="006A7FA2">
      <w:pPr>
        <w:pStyle w:val="FootnoteText"/>
        <w:rPr>
          <w:rFonts w:cstheme="minorHAnsi"/>
          <w:sz w:val="16"/>
          <w:szCs w:val="16"/>
        </w:rPr>
      </w:pPr>
      <w:r w:rsidRPr="001B43FA">
        <w:rPr>
          <w:rStyle w:val="FootnoteReference"/>
          <w:rFonts w:cstheme="minorHAnsi"/>
          <w:sz w:val="16"/>
          <w:szCs w:val="16"/>
        </w:rPr>
        <w:footnoteRef/>
      </w:r>
      <w:r w:rsidRPr="001B43FA">
        <w:rPr>
          <w:rFonts w:cstheme="minorHAnsi"/>
          <w:sz w:val="16"/>
          <w:szCs w:val="16"/>
        </w:rPr>
        <w:t xml:space="preserve"> OHCHR/UNAIDS. International Guidelines on HIV/AIDS and Human Rights. See </w:t>
      </w:r>
      <w:proofErr w:type="gramStart"/>
      <w:r w:rsidRPr="001B43FA">
        <w:rPr>
          <w:rFonts w:cstheme="minorHAnsi"/>
          <w:sz w:val="16"/>
          <w:szCs w:val="16"/>
        </w:rPr>
        <w:t>e.g.</w:t>
      </w:r>
      <w:proofErr w:type="gramEnd"/>
      <w:r w:rsidRPr="001B43FA">
        <w:rPr>
          <w:rFonts w:cstheme="minorHAnsi"/>
          <w:sz w:val="16"/>
          <w:szCs w:val="16"/>
        </w:rPr>
        <w:t xml:space="preserve"> para. 42 and 125. https://www.ohchr.org/documents/publications/hivaidsguidelinesen.pdf</w:t>
      </w:r>
    </w:p>
  </w:footnote>
  <w:footnote w:id="10">
    <w:p w14:paraId="65ECD9B1" w14:textId="7A6AE17A" w:rsidR="00005062" w:rsidRDefault="00005062">
      <w:pPr>
        <w:pStyle w:val="FootnoteText"/>
      </w:pPr>
      <w:r>
        <w:rPr>
          <w:rStyle w:val="FootnoteReference"/>
        </w:rPr>
        <w:footnoteRef/>
      </w:r>
      <w:r>
        <w:t xml:space="preserve"> </w:t>
      </w:r>
      <w:r w:rsidRPr="00437099">
        <w:rPr>
          <w:sz w:val="16"/>
          <w:szCs w:val="16"/>
        </w:rPr>
        <w:t>See report of the UNSG High-Level Panel on Access to Medicines: http://www.unsgaccessmeds.org/final-report/</w:t>
      </w:r>
    </w:p>
  </w:footnote>
  <w:footnote w:id="11">
    <w:p w14:paraId="5ACC50E9" w14:textId="503F5AE5" w:rsidR="00E252A7" w:rsidRPr="001B43FA" w:rsidRDefault="00E252A7">
      <w:pPr>
        <w:pStyle w:val="FootnoteText"/>
        <w:rPr>
          <w:rFonts w:cstheme="minorHAnsi"/>
          <w:sz w:val="16"/>
          <w:szCs w:val="16"/>
        </w:rPr>
      </w:pPr>
      <w:r w:rsidRPr="001B43FA">
        <w:rPr>
          <w:rStyle w:val="FootnoteReference"/>
          <w:rFonts w:cstheme="minorHAnsi"/>
          <w:sz w:val="16"/>
          <w:szCs w:val="16"/>
        </w:rPr>
        <w:footnoteRef/>
      </w:r>
      <w:r w:rsidRPr="001B43FA">
        <w:rPr>
          <w:rFonts w:cstheme="minorHAnsi"/>
          <w:sz w:val="16"/>
          <w:szCs w:val="16"/>
        </w:rPr>
        <w:t xml:space="preserve"> </w:t>
      </w:r>
      <w:r w:rsidR="009D5091">
        <w:rPr>
          <w:rFonts w:cstheme="minorHAnsi"/>
          <w:sz w:val="16"/>
          <w:szCs w:val="16"/>
        </w:rPr>
        <w:t xml:space="preserve">See </w:t>
      </w:r>
      <w:r w:rsidRPr="001B43FA">
        <w:rPr>
          <w:rFonts w:cstheme="minorHAnsi"/>
          <w:sz w:val="16"/>
          <w:szCs w:val="16"/>
        </w:rPr>
        <w:t>Treatment Action Group</w:t>
      </w:r>
      <w:r w:rsidR="009D5091">
        <w:rPr>
          <w:rFonts w:cstheme="minorHAnsi"/>
          <w:sz w:val="16"/>
          <w:szCs w:val="16"/>
        </w:rPr>
        <w:t xml:space="preserve"> and Stop TB Partnership reports on TB research funding: </w:t>
      </w:r>
      <w:r w:rsidR="009D5091" w:rsidRPr="009D5091">
        <w:rPr>
          <w:rFonts w:cstheme="minorHAnsi"/>
          <w:sz w:val="16"/>
          <w:szCs w:val="16"/>
        </w:rPr>
        <w:t>https://www.treatmentactiongroup.org/resources/tbrd-report/</w:t>
      </w:r>
    </w:p>
  </w:footnote>
  <w:footnote w:id="12">
    <w:p w14:paraId="6155792A" w14:textId="54D0ADD9" w:rsidR="00F233D4" w:rsidRPr="00F233D4" w:rsidRDefault="00F233D4">
      <w:pPr>
        <w:pStyle w:val="FootnoteText"/>
        <w:rPr>
          <w:sz w:val="16"/>
          <w:szCs w:val="16"/>
        </w:rPr>
      </w:pPr>
      <w:r w:rsidRPr="00F233D4">
        <w:rPr>
          <w:rStyle w:val="FootnoteReference"/>
          <w:sz w:val="16"/>
          <w:szCs w:val="16"/>
        </w:rPr>
        <w:footnoteRef/>
      </w:r>
      <w:r w:rsidRPr="00F233D4">
        <w:rPr>
          <w:sz w:val="16"/>
          <w:szCs w:val="16"/>
        </w:rPr>
        <w:t xml:space="preserve"> See for example: Millet et al. Common roots: a contextual review of HIV epidemics in black men who have sex with men across the African diaspora. 2012. https://www.thelancet.com/journals/lancet/article/PIIS0140-6736(12)60722-3/fulltext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3530" w14:textId="75E140A7" w:rsidR="00177254" w:rsidRDefault="00F73F7B">
    <w:pPr>
      <w:pStyle w:val="Header"/>
    </w:pPr>
    <w:r>
      <w:rPr>
        <w:noProof/>
      </w:rPr>
      <w:drawing>
        <wp:anchor distT="0" distB="0" distL="114300" distR="114300" simplePos="0" relativeHeight="251659264" behindDoc="0" locked="0" layoutInCell="1" allowOverlap="1" wp14:anchorId="5D7A3C61" wp14:editId="71537882">
          <wp:simplePos x="0" y="0"/>
          <wp:positionH relativeFrom="column">
            <wp:posOffset>1955800</wp:posOffset>
          </wp:positionH>
          <wp:positionV relativeFrom="paragraph">
            <wp:posOffset>-296545</wp:posOffset>
          </wp:positionV>
          <wp:extent cx="1869440" cy="659765"/>
          <wp:effectExtent l="0" t="0" r="10160" b="635"/>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9440" cy="6597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86873"/>
    <w:multiLevelType w:val="hybridMultilevel"/>
    <w:tmpl w:val="890C0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6F6191"/>
    <w:multiLevelType w:val="hybridMultilevel"/>
    <w:tmpl w:val="56DEE394"/>
    <w:lvl w:ilvl="0" w:tplc="68261A76">
      <w:start w:val="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2486F"/>
    <w:multiLevelType w:val="hybridMultilevel"/>
    <w:tmpl w:val="CBDEB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B77858"/>
    <w:multiLevelType w:val="hybridMultilevel"/>
    <w:tmpl w:val="436C0FDA"/>
    <w:lvl w:ilvl="0" w:tplc="83E0A3B6">
      <w:start w:val="1"/>
      <w:numFmt w:val="decimal"/>
      <w:lvlText w:val="%1."/>
      <w:lvlJc w:val="left"/>
      <w:pPr>
        <w:ind w:left="360" w:hanging="360"/>
      </w:pPr>
      <w:rPr>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54"/>
    <w:rsid w:val="00000E70"/>
    <w:rsid w:val="00001FD7"/>
    <w:rsid w:val="00005062"/>
    <w:rsid w:val="000119B5"/>
    <w:rsid w:val="00016B66"/>
    <w:rsid w:val="000470A6"/>
    <w:rsid w:val="000E0A11"/>
    <w:rsid w:val="000E7982"/>
    <w:rsid w:val="000F372F"/>
    <w:rsid w:val="00153135"/>
    <w:rsid w:val="00165C63"/>
    <w:rsid w:val="00170443"/>
    <w:rsid w:val="00177254"/>
    <w:rsid w:val="001A243B"/>
    <w:rsid w:val="001B43FA"/>
    <w:rsid w:val="001C6C35"/>
    <w:rsid w:val="001D572A"/>
    <w:rsid w:val="001D694C"/>
    <w:rsid w:val="001F6B74"/>
    <w:rsid w:val="00232544"/>
    <w:rsid w:val="00287FC7"/>
    <w:rsid w:val="00297EC5"/>
    <w:rsid w:val="002C6E9C"/>
    <w:rsid w:val="002E6FD8"/>
    <w:rsid w:val="0030504F"/>
    <w:rsid w:val="003224D1"/>
    <w:rsid w:val="003379D4"/>
    <w:rsid w:val="00354596"/>
    <w:rsid w:val="00393564"/>
    <w:rsid w:val="003A721E"/>
    <w:rsid w:val="003C0220"/>
    <w:rsid w:val="0040029A"/>
    <w:rsid w:val="00437099"/>
    <w:rsid w:val="00442A6F"/>
    <w:rsid w:val="00473EEE"/>
    <w:rsid w:val="004B5708"/>
    <w:rsid w:val="004D50DB"/>
    <w:rsid w:val="004F055E"/>
    <w:rsid w:val="004F59F0"/>
    <w:rsid w:val="004F5BDF"/>
    <w:rsid w:val="00501461"/>
    <w:rsid w:val="0050715F"/>
    <w:rsid w:val="00533E2A"/>
    <w:rsid w:val="00535DCA"/>
    <w:rsid w:val="0056324D"/>
    <w:rsid w:val="00622F5E"/>
    <w:rsid w:val="0062388F"/>
    <w:rsid w:val="006850DC"/>
    <w:rsid w:val="006A5E23"/>
    <w:rsid w:val="006A7FA2"/>
    <w:rsid w:val="006E5F21"/>
    <w:rsid w:val="00710492"/>
    <w:rsid w:val="00741E14"/>
    <w:rsid w:val="0074627E"/>
    <w:rsid w:val="0075550A"/>
    <w:rsid w:val="00790976"/>
    <w:rsid w:val="007A5099"/>
    <w:rsid w:val="007C221B"/>
    <w:rsid w:val="007C4904"/>
    <w:rsid w:val="007E6636"/>
    <w:rsid w:val="00866F88"/>
    <w:rsid w:val="008958AC"/>
    <w:rsid w:val="008B2313"/>
    <w:rsid w:val="008E4A58"/>
    <w:rsid w:val="008F35E3"/>
    <w:rsid w:val="0091631C"/>
    <w:rsid w:val="0093167F"/>
    <w:rsid w:val="00962DDB"/>
    <w:rsid w:val="00991CF0"/>
    <w:rsid w:val="009B2BAB"/>
    <w:rsid w:val="009B5CF9"/>
    <w:rsid w:val="009D5091"/>
    <w:rsid w:val="009D6F57"/>
    <w:rsid w:val="009D7803"/>
    <w:rsid w:val="009F3954"/>
    <w:rsid w:val="00A019F3"/>
    <w:rsid w:val="00A066C4"/>
    <w:rsid w:val="00A15E6A"/>
    <w:rsid w:val="00A94D8E"/>
    <w:rsid w:val="00AB3EA5"/>
    <w:rsid w:val="00AD4FB4"/>
    <w:rsid w:val="00B41C21"/>
    <w:rsid w:val="00B563CE"/>
    <w:rsid w:val="00B56AB4"/>
    <w:rsid w:val="00B87B3C"/>
    <w:rsid w:val="00BA1D52"/>
    <w:rsid w:val="00BE1575"/>
    <w:rsid w:val="00BE1973"/>
    <w:rsid w:val="00C63366"/>
    <w:rsid w:val="00C74D6E"/>
    <w:rsid w:val="00CA1EB6"/>
    <w:rsid w:val="00CF4236"/>
    <w:rsid w:val="00CF469A"/>
    <w:rsid w:val="00D040A0"/>
    <w:rsid w:val="00D25D9E"/>
    <w:rsid w:val="00D27888"/>
    <w:rsid w:val="00D70C4F"/>
    <w:rsid w:val="00D77858"/>
    <w:rsid w:val="00D86D11"/>
    <w:rsid w:val="00DA3F27"/>
    <w:rsid w:val="00DB6E3A"/>
    <w:rsid w:val="00DE0409"/>
    <w:rsid w:val="00DF0E70"/>
    <w:rsid w:val="00DF65BC"/>
    <w:rsid w:val="00E12FF8"/>
    <w:rsid w:val="00E252A7"/>
    <w:rsid w:val="00E51655"/>
    <w:rsid w:val="00E609B9"/>
    <w:rsid w:val="00E86D7A"/>
    <w:rsid w:val="00EB44F1"/>
    <w:rsid w:val="00ED06C8"/>
    <w:rsid w:val="00EF320B"/>
    <w:rsid w:val="00EF7389"/>
    <w:rsid w:val="00F02764"/>
    <w:rsid w:val="00F233D4"/>
    <w:rsid w:val="00F57D52"/>
    <w:rsid w:val="00F73F7B"/>
    <w:rsid w:val="00F82A87"/>
    <w:rsid w:val="00F8575F"/>
    <w:rsid w:val="00F9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4B4E"/>
  <w15:chartTrackingRefBased/>
  <w15:docId w15:val="{0DEDFCF6-E095-AF4B-81D2-7627D7D8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33D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254"/>
    <w:pPr>
      <w:tabs>
        <w:tab w:val="center" w:pos="4680"/>
        <w:tab w:val="right" w:pos="9360"/>
      </w:tabs>
    </w:pPr>
  </w:style>
  <w:style w:type="character" w:customStyle="1" w:styleId="HeaderChar">
    <w:name w:val="Header Char"/>
    <w:basedOn w:val="DefaultParagraphFont"/>
    <w:link w:val="Header"/>
    <w:uiPriority w:val="99"/>
    <w:rsid w:val="00177254"/>
  </w:style>
  <w:style w:type="paragraph" w:styleId="Footer">
    <w:name w:val="footer"/>
    <w:basedOn w:val="Normal"/>
    <w:link w:val="FooterChar"/>
    <w:uiPriority w:val="99"/>
    <w:unhideWhenUsed/>
    <w:rsid w:val="00177254"/>
    <w:pPr>
      <w:tabs>
        <w:tab w:val="center" w:pos="4680"/>
        <w:tab w:val="right" w:pos="9360"/>
      </w:tabs>
    </w:pPr>
  </w:style>
  <w:style w:type="character" w:customStyle="1" w:styleId="FooterChar">
    <w:name w:val="Footer Char"/>
    <w:basedOn w:val="DefaultParagraphFont"/>
    <w:link w:val="Footer"/>
    <w:uiPriority w:val="99"/>
    <w:rsid w:val="00177254"/>
  </w:style>
  <w:style w:type="character" w:styleId="CommentReference">
    <w:name w:val="annotation reference"/>
    <w:basedOn w:val="DefaultParagraphFont"/>
    <w:uiPriority w:val="99"/>
    <w:semiHidden/>
    <w:unhideWhenUsed/>
    <w:rsid w:val="00177254"/>
    <w:rPr>
      <w:sz w:val="16"/>
      <w:szCs w:val="16"/>
    </w:rPr>
  </w:style>
  <w:style w:type="paragraph" w:styleId="CommentText">
    <w:name w:val="annotation text"/>
    <w:basedOn w:val="Normal"/>
    <w:link w:val="CommentTextChar"/>
    <w:uiPriority w:val="99"/>
    <w:semiHidden/>
    <w:unhideWhenUsed/>
    <w:rsid w:val="00177254"/>
    <w:rPr>
      <w:sz w:val="20"/>
      <w:szCs w:val="20"/>
    </w:rPr>
  </w:style>
  <w:style w:type="character" w:customStyle="1" w:styleId="CommentTextChar">
    <w:name w:val="Comment Text Char"/>
    <w:basedOn w:val="DefaultParagraphFont"/>
    <w:link w:val="CommentText"/>
    <w:uiPriority w:val="99"/>
    <w:semiHidden/>
    <w:rsid w:val="00177254"/>
    <w:rPr>
      <w:sz w:val="20"/>
      <w:szCs w:val="20"/>
    </w:rPr>
  </w:style>
  <w:style w:type="paragraph" w:styleId="CommentSubject">
    <w:name w:val="annotation subject"/>
    <w:basedOn w:val="CommentText"/>
    <w:next w:val="CommentText"/>
    <w:link w:val="CommentSubjectChar"/>
    <w:uiPriority w:val="99"/>
    <w:semiHidden/>
    <w:unhideWhenUsed/>
    <w:rsid w:val="00177254"/>
    <w:rPr>
      <w:b/>
      <w:bCs/>
    </w:rPr>
  </w:style>
  <w:style w:type="character" w:customStyle="1" w:styleId="CommentSubjectChar">
    <w:name w:val="Comment Subject Char"/>
    <w:basedOn w:val="CommentTextChar"/>
    <w:link w:val="CommentSubject"/>
    <w:uiPriority w:val="99"/>
    <w:semiHidden/>
    <w:rsid w:val="00177254"/>
    <w:rPr>
      <w:b/>
      <w:bCs/>
      <w:sz w:val="20"/>
      <w:szCs w:val="20"/>
    </w:rPr>
  </w:style>
  <w:style w:type="character" w:styleId="Hyperlink">
    <w:name w:val="Hyperlink"/>
    <w:basedOn w:val="DefaultParagraphFont"/>
    <w:uiPriority w:val="99"/>
    <w:unhideWhenUsed/>
    <w:rsid w:val="00177254"/>
    <w:rPr>
      <w:color w:val="0563C1" w:themeColor="hyperlink"/>
      <w:u w:val="single"/>
    </w:rPr>
  </w:style>
  <w:style w:type="character" w:styleId="UnresolvedMention">
    <w:name w:val="Unresolved Mention"/>
    <w:basedOn w:val="DefaultParagraphFont"/>
    <w:uiPriority w:val="99"/>
    <w:semiHidden/>
    <w:unhideWhenUsed/>
    <w:rsid w:val="00177254"/>
    <w:rPr>
      <w:color w:val="605E5C"/>
      <w:shd w:val="clear" w:color="auto" w:fill="E1DFDD"/>
    </w:rPr>
  </w:style>
  <w:style w:type="paragraph" w:styleId="ListParagraph">
    <w:name w:val="List Paragraph"/>
    <w:basedOn w:val="Normal"/>
    <w:uiPriority w:val="34"/>
    <w:qFormat/>
    <w:rsid w:val="00177254"/>
    <w:pPr>
      <w:ind w:left="720"/>
      <w:contextualSpacing/>
    </w:pPr>
  </w:style>
  <w:style w:type="paragraph" w:styleId="NormalWeb">
    <w:name w:val="Normal (Web)"/>
    <w:basedOn w:val="Normal"/>
    <w:uiPriority w:val="99"/>
    <w:semiHidden/>
    <w:unhideWhenUsed/>
    <w:rsid w:val="008958AC"/>
    <w:rPr>
      <w:rFonts w:ascii="Times New Roman" w:hAnsi="Times New Roman" w:cs="Times New Roman"/>
    </w:rPr>
  </w:style>
  <w:style w:type="paragraph" w:styleId="FootnoteText">
    <w:name w:val="footnote text"/>
    <w:basedOn w:val="Normal"/>
    <w:link w:val="FootnoteTextChar"/>
    <w:uiPriority w:val="99"/>
    <w:semiHidden/>
    <w:unhideWhenUsed/>
    <w:rsid w:val="00BE1575"/>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BE1575"/>
    <w:rPr>
      <w:rFonts w:eastAsiaTheme="minorEastAsia"/>
      <w:sz w:val="20"/>
      <w:szCs w:val="20"/>
      <w:lang w:eastAsia="zh-CN"/>
    </w:rPr>
  </w:style>
  <w:style w:type="character" w:styleId="FootnoteReference">
    <w:name w:val="footnote reference"/>
    <w:basedOn w:val="DefaultParagraphFont"/>
    <w:uiPriority w:val="99"/>
    <w:semiHidden/>
    <w:unhideWhenUsed/>
    <w:rsid w:val="00BE1575"/>
    <w:rPr>
      <w:vertAlign w:val="superscript"/>
    </w:rPr>
  </w:style>
  <w:style w:type="paragraph" w:styleId="EndnoteText">
    <w:name w:val="endnote text"/>
    <w:basedOn w:val="Normal"/>
    <w:link w:val="EndnoteTextChar"/>
    <w:uiPriority w:val="99"/>
    <w:unhideWhenUsed/>
    <w:rsid w:val="006A5E23"/>
    <w:rPr>
      <w:rFonts w:eastAsiaTheme="minorEastAsia"/>
    </w:rPr>
  </w:style>
  <w:style w:type="character" w:customStyle="1" w:styleId="EndnoteTextChar">
    <w:name w:val="Endnote Text Char"/>
    <w:basedOn w:val="DefaultParagraphFont"/>
    <w:link w:val="EndnoteText"/>
    <w:uiPriority w:val="99"/>
    <w:rsid w:val="006A5E23"/>
    <w:rPr>
      <w:rFonts w:eastAsiaTheme="minorEastAsia"/>
    </w:rPr>
  </w:style>
  <w:style w:type="character" w:styleId="EndnoteReference">
    <w:name w:val="endnote reference"/>
    <w:basedOn w:val="DefaultParagraphFont"/>
    <w:uiPriority w:val="99"/>
    <w:unhideWhenUsed/>
    <w:rsid w:val="006A5E23"/>
    <w:rPr>
      <w:vertAlign w:val="superscript"/>
    </w:rPr>
  </w:style>
  <w:style w:type="paragraph" w:styleId="Revision">
    <w:name w:val="Revision"/>
    <w:hidden/>
    <w:uiPriority w:val="99"/>
    <w:semiHidden/>
    <w:rsid w:val="00A94D8E"/>
  </w:style>
  <w:style w:type="character" w:styleId="PageNumber">
    <w:name w:val="page number"/>
    <w:basedOn w:val="DefaultParagraphFont"/>
    <w:uiPriority w:val="99"/>
    <w:semiHidden/>
    <w:unhideWhenUsed/>
    <w:rsid w:val="00354596"/>
  </w:style>
  <w:style w:type="character" w:styleId="FollowedHyperlink">
    <w:name w:val="FollowedHyperlink"/>
    <w:basedOn w:val="DefaultParagraphFont"/>
    <w:uiPriority w:val="99"/>
    <w:semiHidden/>
    <w:unhideWhenUsed/>
    <w:rsid w:val="009D6F57"/>
    <w:rPr>
      <w:color w:val="954F72" w:themeColor="followedHyperlink"/>
      <w:u w:val="single"/>
    </w:rPr>
  </w:style>
  <w:style w:type="character" w:customStyle="1" w:styleId="Heading1Char">
    <w:name w:val="Heading 1 Char"/>
    <w:basedOn w:val="DefaultParagraphFont"/>
    <w:link w:val="Heading1"/>
    <w:uiPriority w:val="9"/>
    <w:rsid w:val="00F233D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3391">
      <w:bodyDiv w:val="1"/>
      <w:marLeft w:val="0"/>
      <w:marRight w:val="0"/>
      <w:marTop w:val="0"/>
      <w:marBottom w:val="0"/>
      <w:divBdr>
        <w:top w:val="none" w:sz="0" w:space="0" w:color="auto"/>
        <w:left w:val="none" w:sz="0" w:space="0" w:color="auto"/>
        <w:bottom w:val="none" w:sz="0" w:space="0" w:color="auto"/>
        <w:right w:val="none" w:sz="0" w:space="0" w:color="auto"/>
      </w:divBdr>
    </w:div>
    <w:div w:id="164830110">
      <w:bodyDiv w:val="1"/>
      <w:marLeft w:val="0"/>
      <w:marRight w:val="0"/>
      <w:marTop w:val="0"/>
      <w:marBottom w:val="0"/>
      <w:divBdr>
        <w:top w:val="none" w:sz="0" w:space="0" w:color="auto"/>
        <w:left w:val="none" w:sz="0" w:space="0" w:color="auto"/>
        <w:bottom w:val="none" w:sz="0" w:space="0" w:color="auto"/>
        <w:right w:val="none" w:sz="0" w:space="0" w:color="auto"/>
      </w:divBdr>
    </w:div>
    <w:div w:id="171729921">
      <w:bodyDiv w:val="1"/>
      <w:marLeft w:val="0"/>
      <w:marRight w:val="0"/>
      <w:marTop w:val="0"/>
      <w:marBottom w:val="0"/>
      <w:divBdr>
        <w:top w:val="none" w:sz="0" w:space="0" w:color="auto"/>
        <w:left w:val="none" w:sz="0" w:space="0" w:color="auto"/>
        <w:bottom w:val="none" w:sz="0" w:space="0" w:color="auto"/>
        <w:right w:val="none" w:sz="0" w:space="0" w:color="auto"/>
      </w:divBdr>
    </w:div>
    <w:div w:id="535972422">
      <w:bodyDiv w:val="1"/>
      <w:marLeft w:val="0"/>
      <w:marRight w:val="0"/>
      <w:marTop w:val="0"/>
      <w:marBottom w:val="0"/>
      <w:divBdr>
        <w:top w:val="none" w:sz="0" w:space="0" w:color="auto"/>
        <w:left w:val="none" w:sz="0" w:space="0" w:color="auto"/>
        <w:bottom w:val="none" w:sz="0" w:space="0" w:color="auto"/>
        <w:right w:val="none" w:sz="0" w:space="0" w:color="auto"/>
      </w:divBdr>
    </w:div>
    <w:div w:id="680470718">
      <w:bodyDiv w:val="1"/>
      <w:marLeft w:val="0"/>
      <w:marRight w:val="0"/>
      <w:marTop w:val="0"/>
      <w:marBottom w:val="0"/>
      <w:divBdr>
        <w:top w:val="none" w:sz="0" w:space="0" w:color="auto"/>
        <w:left w:val="none" w:sz="0" w:space="0" w:color="auto"/>
        <w:bottom w:val="none" w:sz="0" w:space="0" w:color="auto"/>
        <w:right w:val="none" w:sz="0" w:space="0" w:color="auto"/>
      </w:divBdr>
    </w:div>
    <w:div w:id="862741986">
      <w:bodyDiv w:val="1"/>
      <w:marLeft w:val="0"/>
      <w:marRight w:val="0"/>
      <w:marTop w:val="0"/>
      <w:marBottom w:val="0"/>
      <w:divBdr>
        <w:top w:val="none" w:sz="0" w:space="0" w:color="auto"/>
        <w:left w:val="none" w:sz="0" w:space="0" w:color="auto"/>
        <w:bottom w:val="none" w:sz="0" w:space="0" w:color="auto"/>
        <w:right w:val="none" w:sz="0" w:space="0" w:color="auto"/>
      </w:divBdr>
    </w:div>
    <w:div w:id="977151879">
      <w:bodyDiv w:val="1"/>
      <w:marLeft w:val="0"/>
      <w:marRight w:val="0"/>
      <w:marTop w:val="0"/>
      <w:marBottom w:val="0"/>
      <w:divBdr>
        <w:top w:val="none" w:sz="0" w:space="0" w:color="auto"/>
        <w:left w:val="none" w:sz="0" w:space="0" w:color="auto"/>
        <w:bottom w:val="none" w:sz="0" w:space="0" w:color="auto"/>
        <w:right w:val="none" w:sz="0" w:space="0" w:color="auto"/>
      </w:divBdr>
    </w:div>
    <w:div w:id="1069696243">
      <w:bodyDiv w:val="1"/>
      <w:marLeft w:val="0"/>
      <w:marRight w:val="0"/>
      <w:marTop w:val="0"/>
      <w:marBottom w:val="0"/>
      <w:divBdr>
        <w:top w:val="none" w:sz="0" w:space="0" w:color="auto"/>
        <w:left w:val="none" w:sz="0" w:space="0" w:color="auto"/>
        <w:bottom w:val="none" w:sz="0" w:space="0" w:color="auto"/>
        <w:right w:val="none" w:sz="0" w:space="0" w:color="auto"/>
      </w:divBdr>
    </w:div>
    <w:div w:id="1098909861">
      <w:bodyDiv w:val="1"/>
      <w:marLeft w:val="0"/>
      <w:marRight w:val="0"/>
      <w:marTop w:val="0"/>
      <w:marBottom w:val="0"/>
      <w:divBdr>
        <w:top w:val="none" w:sz="0" w:space="0" w:color="auto"/>
        <w:left w:val="none" w:sz="0" w:space="0" w:color="auto"/>
        <w:bottom w:val="none" w:sz="0" w:space="0" w:color="auto"/>
        <w:right w:val="none" w:sz="0" w:space="0" w:color="auto"/>
      </w:divBdr>
    </w:div>
    <w:div w:id="1125780837">
      <w:bodyDiv w:val="1"/>
      <w:marLeft w:val="0"/>
      <w:marRight w:val="0"/>
      <w:marTop w:val="0"/>
      <w:marBottom w:val="0"/>
      <w:divBdr>
        <w:top w:val="none" w:sz="0" w:space="0" w:color="auto"/>
        <w:left w:val="none" w:sz="0" w:space="0" w:color="auto"/>
        <w:bottom w:val="none" w:sz="0" w:space="0" w:color="auto"/>
        <w:right w:val="none" w:sz="0" w:space="0" w:color="auto"/>
      </w:divBdr>
    </w:div>
    <w:div w:id="1319724376">
      <w:bodyDiv w:val="1"/>
      <w:marLeft w:val="0"/>
      <w:marRight w:val="0"/>
      <w:marTop w:val="0"/>
      <w:marBottom w:val="0"/>
      <w:divBdr>
        <w:top w:val="none" w:sz="0" w:space="0" w:color="auto"/>
        <w:left w:val="none" w:sz="0" w:space="0" w:color="auto"/>
        <w:bottom w:val="none" w:sz="0" w:space="0" w:color="auto"/>
        <w:right w:val="none" w:sz="0" w:space="0" w:color="auto"/>
      </w:divBdr>
    </w:div>
    <w:div w:id="1368525834">
      <w:bodyDiv w:val="1"/>
      <w:marLeft w:val="0"/>
      <w:marRight w:val="0"/>
      <w:marTop w:val="0"/>
      <w:marBottom w:val="0"/>
      <w:divBdr>
        <w:top w:val="none" w:sz="0" w:space="0" w:color="auto"/>
        <w:left w:val="none" w:sz="0" w:space="0" w:color="auto"/>
        <w:bottom w:val="none" w:sz="0" w:space="0" w:color="auto"/>
        <w:right w:val="none" w:sz="0" w:space="0" w:color="auto"/>
      </w:divBdr>
    </w:div>
    <w:div w:id="1416510612">
      <w:bodyDiv w:val="1"/>
      <w:marLeft w:val="0"/>
      <w:marRight w:val="0"/>
      <w:marTop w:val="0"/>
      <w:marBottom w:val="0"/>
      <w:divBdr>
        <w:top w:val="none" w:sz="0" w:space="0" w:color="auto"/>
        <w:left w:val="none" w:sz="0" w:space="0" w:color="auto"/>
        <w:bottom w:val="none" w:sz="0" w:space="0" w:color="auto"/>
        <w:right w:val="none" w:sz="0" w:space="0" w:color="auto"/>
      </w:divBdr>
    </w:div>
    <w:div w:id="1492408308">
      <w:bodyDiv w:val="1"/>
      <w:marLeft w:val="0"/>
      <w:marRight w:val="0"/>
      <w:marTop w:val="0"/>
      <w:marBottom w:val="0"/>
      <w:divBdr>
        <w:top w:val="none" w:sz="0" w:space="0" w:color="auto"/>
        <w:left w:val="none" w:sz="0" w:space="0" w:color="auto"/>
        <w:bottom w:val="none" w:sz="0" w:space="0" w:color="auto"/>
        <w:right w:val="none" w:sz="0" w:space="0" w:color="auto"/>
      </w:divBdr>
    </w:div>
    <w:div w:id="1812595542">
      <w:bodyDiv w:val="1"/>
      <w:marLeft w:val="0"/>
      <w:marRight w:val="0"/>
      <w:marTop w:val="0"/>
      <w:marBottom w:val="0"/>
      <w:divBdr>
        <w:top w:val="none" w:sz="0" w:space="0" w:color="auto"/>
        <w:left w:val="none" w:sz="0" w:space="0" w:color="auto"/>
        <w:bottom w:val="none" w:sz="0" w:space="0" w:color="auto"/>
        <w:right w:val="none" w:sz="0" w:space="0" w:color="auto"/>
      </w:divBdr>
    </w:div>
    <w:div w:id="1885101166">
      <w:bodyDiv w:val="1"/>
      <w:marLeft w:val="0"/>
      <w:marRight w:val="0"/>
      <w:marTop w:val="0"/>
      <w:marBottom w:val="0"/>
      <w:divBdr>
        <w:top w:val="none" w:sz="0" w:space="0" w:color="auto"/>
        <w:left w:val="none" w:sz="0" w:space="0" w:color="auto"/>
        <w:bottom w:val="none" w:sz="0" w:space="0" w:color="auto"/>
        <w:right w:val="none" w:sz="0" w:space="0" w:color="auto"/>
      </w:divBdr>
    </w:div>
    <w:div w:id="201290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1097/qai.0000000000000842" TargetMode="External"/><Relationship Id="rId1" Type="http://schemas.openxmlformats.org/officeDocument/2006/relationships/hyperlink" Target="https://doi.org/10.1001/jamanetworkopen.2020.376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5F0451-5F41-4449-B54B-217645EB9F7F}">
  <ds:schemaRefs>
    <ds:schemaRef ds:uri="http://schemas.openxmlformats.org/officeDocument/2006/bibliography"/>
  </ds:schemaRefs>
</ds:datastoreItem>
</file>

<file path=customXml/itemProps2.xml><?xml version="1.0" encoding="utf-8"?>
<ds:datastoreItem xmlns:ds="http://schemas.openxmlformats.org/officeDocument/2006/customXml" ds:itemID="{CCA433E6-5679-480E-9E2E-9BFED7FC7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927402-BC6A-4145-8FD9-DFF2447B74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D6C795-C07D-46F0-BA5E-A589080854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Gisa Dang</dc:creator>
  <cp:keywords/>
  <dc:description/>
  <cp:lastModifiedBy>Lynn Gentile</cp:lastModifiedBy>
  <cp:revision>2</cp:revision>
  <dcterms:created xsi:type="dcterms:W3CDTF">2022-03-02T10:04:00Z</dcterms:created>
  <dcterms:modified xsi:type="dcterms:W3CDTF">2022-03-02T10:04:00Z</dcterms:modified>
</cp:coreProperties>
</file>