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9933" w14:textId="4C08D19F" w:rsidR="00AE75CD" w:rsidRPr="008858C5" w:rsidRDefault="004F150A" w:rsidP="00AE75CD">
      <w:pPr>
        <w:rPr>
          <w:rFonts w:ascii="Calibri" w:hAnsi="Calibri" w:cs="Calibri"/>
          <w:sz w:val="22"/>
          <w:szCs w:val="22"/>
        </w:rPr>
      </w:pPr>
      <w:r>
        <w:rPr>
          <w:rFonts w:ascii="Calibri" w:hAnsi="Calibri" w:cs="Calibri"/>
          <w:b/>
          <w:noProof/>
          <w:color w:val="000000"/>
          <w:sz w:val="36"/>
          <w:szCs w:val="36"/>
        </w:rPr>
        <w:drawing>
          <wp:anchor distT="0" distB="0" distL="114300" distR="114300" simplePos="0" relativeHeight="251663360" behindDoc="0" locked="0" layoutInCell="1" allowOverlap="1" wp14:anchorId="5F3399D8" wp14:editId="4E6584B6">
            <wp:simplePos x="0" y="0"/>
            <wp:positionH relativeFrom="column">
              <wp:posOffset>2888615</wp:posOffset>
            </wp:positionH>
            <wp:positionV relativeFrom="paragraph">
              <wp:posOffset>854710</wp:posOffset>
            </wp:positionV>
            <wp:extent cx="2250440" cy="1074420"/>
            <wp:effectExtent l="0" t="0" r="0" b="508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440" cy="107442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1312" behindDoc="1" locked="0" layoutInCell="1" allowOverlap="1" wp14:anchorId="16000439" wp14:editId="39BACD5F">
            <wp:simplePos x="0" y="0"/>
            <wp:positionH relativeFrom="column">
              <wp:posOffset>3103880</wp:posOffset>
            </wp:positionH>
            <wp:positionV relativeFrom="paragraph">
              <wp:posOffset>-335280</wp:posOffset>
            </wp:positionV>
            <wp:extent cx="1806575" cy="1088390"/>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9">
                      <a:extLst>
                        <a:ext uri="{28A0092B-C50C-407E-A947-70E740481C1C}">
                          <a14:useLocalDpi xmlns:a14="http://schemas.microsoft.com/office/drawing/2010/main" val="0"/>
                        </a:ext>
                      </a:extLst>
                    </a:blip>
                    <a:srcRect t="18889" b="20832"/>
                    <a:stretch/>
                  </pic:blipFill>
                  <pic:spPr bwMode="auto">
                    <a:xfrm>
                      <a:off x="0" y="0"/>
                      <a:ext cx="1806575" cy="108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3449F423" wp14:editId="7EAC796A">
            <wp:simplePos x="0" y="0"/>
            <wp:positionH relativeFrom="column">
              <wp:posOffset>859790</wp:posOffset>
            </wp:positionH>
            <wp:positionV relativeFrom="paragraph">
              <wp:posOffset>-269240</wp:posOffset>
            </wp:positionV>
            <wp:extent cx="1315720" cy="849630"/>
            <wp:effectExtent l="0" t="0" r="5080" b="1270"/>
            <wp:wrapNone/>
            <wp:docPr id="3" name="image1.jp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0"/>
                    <a:srcRect/>
                    <a:stretch>
                      <a:fillRect/>
                    </a:stretch>
                  </pic:blipFill>
                  <pic:spPr>
                    <a:xfrm>
                      <a:off x="0" y="0"/>
                      <a:ext cx="1315720" cy="8496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8CCB8A1" wp14:editId="65DA3191">
            <wp:simplePos x="0" y="0"/>
            <wp:positionH relativeFrom="column">
              <wp:posOffset>735330</wp:posOffset>
            </wp:positionH>
            <wp:positionV relativeFrom="paragraph">
              <wp:posOffset>849630</wp:posOffset>
            </wp:positionV>
            <wp:extent cx="1703070" cy="1079500"/>
            <wp:effectExtent l="0" t="0" r="0" b="0"/>
            <wp:wrapNone/>
            <wp:docPr id="1073741825" name="officeArt object"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070" cy="10795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D0417DE" w14:textId="57FF36CE" w:rsidR="00AE75CD" w:rsidRPr="008858C5" w:rsidRDefault="00E563AA" w:rsidP="00E563AA">
      <w:pPr>
        <w:pBdr>
          <w:top w:val="nil"/>
          <w:left w:val="nil"/>
          <w:bottom w:val="nil"/>
          <w:right w:val="nil"/>
          <w:between w:val="nil"/>
        </w:pBdr>
        <w:tabs>
          <w:tab w:val="left" w:pos="5760"/>
        </w:tabs>
        <w:jc w:val="both"/>
        <w:rPr>
          <w:rFonts w:ascii="Calibri" w:hAnsi="Calibri" w:cs="Calibri"/>
          <w:sz w:val="22"/>
          <w:szCs w:val="22"/>
        </w:rPr>
      </w:pPr>
      <w:r>
        <w:rPr>
          <w:rFonts w:ascii="Calibri" w:hAnsi="Calibri" w:cs="Calibri"/>
          <w:sz w:val="22"/>
          <w:szCs w:val="22"/>
        </w:rPr>
        <w:tab/>
      </w:r>
    </w:p>
    <w:p w14:paraId="7114470F" w14:textId="68572A67" w:rsidR="00AE75CD" w:rsidRPr="008858C5" w:rsidRDefault="00E563AA" w:rsidP="00E563AA">
      <w:pPr>
        <w:pBdr>
          <w:top w:val="nil"/>
          <w:left w:val="nil"/>
          <w:bottom w:val="nil"/>
          <w:right w:val="nil"/>
          <w:between w:val="nil"/>
        </w:pBdr>
        <w:tabs>
          <w:tab w:val="left" w:pos="5760"/>
        </w:tabs>
        <w:jc w:val="both"/>
        <w:rPr>
          <w:rFonts w:ascii="Calibri" w:hAnsi="Calibri" w:cs="Calibri"/>
          <w:sz w:val="22"/>
          <w:szCs w:val="22"/>
        </w:rPr>
      </w:pPr>
      <w:r>
        <w:rPr>
          <w:rFonts w:ascii="Calibri" w:hAnsi="Calibri" w:cs="Calibri"/>
          <w:sz w:val="22"/>
          <w:szCs w:val="22"/>
        </w:rPr>
        <w:tab/>
      </w:r>
    </w:p>
    <w:p w14:paraId="31F6F91F" w14:textId="54178536" w:rsidR="00AE75CD" w:rsidRPr="008858C5" w:rsidRDefault="00AE75CD" w:rsidP="00AE75CD">
      <w:pPr>
        <w:pBdr>
          <w:top w:val="nil"/>
          <w:left w:val="nil"/>
          <w:bottom w:val="nil"/>
          <w:right w:val="nil"/>
          <w:between w:val="nil"/>
        </w:pBdr>
        <w:jc w:val="both"/>
        <w:rPr>
          <w:rFonts w:ascii="Calibri" w:hAnsi="Calibri" w:cs="Calibri"/>
          <w:sz w:val="22"/>
          <w:szCs w:val="22"/>
        </w:rPr>
      </w:pPr>
    </w:p>
    <w:p w14:paraId="6ABFD8AD" w14:textId="5F3AFCE5" w:rsidR="00AE75CD" w:rsidRPr="008858C5" w:rsidRDefault="00AE75CD" w:rsidP="00AE75CD">
      <w:pPr>
        <w:pBdr>
          <w:top w:val="nil"/>
          <w:left w:val="nil"/>
          <w:bottom w:val="nil"/>
          <w:right w:val="nil"/>
          <w:between w:val="nil"/>
        </w:pBdr>
        <w:jc w:val="both"/>
        <w:rPr>
          <w:rFonts w:ascii="Calibri" w:hAnsi="Calibri" w:cs="Calibri"/>
          <w:sz w:val="22"/>
          <w:szCs w:val="22"/>
        </w:rPr>
      </w:pPr>
    </w:p>
    <w:p w14:paraId="5CE84A73" w14:textId="262F2E8B" w:rsidR="00AE75CD" w:rsidRPr="008858C5" w:rsidRDefault="00AE75CD" w:rsidP="00AE75CD">
      <w:pPr>
        <w:pBdr>
          <w:top w:val="nil"/>
          <w:left w:val="nil"/>
          <w:bottom w:val="nil"/>
          <w:right w:val="nil"/>
          <w:between w:val="nil"/>
        </w:pBdr>
        <w:jc w:val="both"/>
        <w:rPr>
          <w:rFonts w:ascii="Calibri" w:hAnsi="Calibri" w:cs="Calibri"/>
          <w:sz w:val="22"/>
          <w:szCs w:val="22"/>
        </w:rPr>
      </w:pPr>
    </w:p>
    <w:p w14:paraId="3E99FFAF" w14:textId="2E5C9B19" w:rsidR="00AE75CD" w:rsidRPr="008858C5" w:rsidRDefault="00AE75CD" w:rsidP="00AE75CD">
      <w:pPr>
        <w:pBdr>
          <w:top w:val="nil"/>
          <w:left w:val="nil"/>
          <w:bottom w:val="nil"/>
          <w:right w:val="nil"/>
          <w:between w:val="nil"/>
        </w:pBdr>
        <w:jc w:val="both"/>
        <w:rPr>
          <w:rFonts w:ascii="Calibri" w:hAnsi="Calibri" w:cs="Calibri"/>
          <w:b/>
          <w:color w:val="000000"/>
          <w:sz w:val="22"/>
          <w:szCs w:val="22"/>
        </w:rPr>
      </w:pPr>
    </w:p>
    <w:p w14:paraId="5D279F5F" w14:textId="4A17C2F6" w:rsidR="00AE75CD" w:rsidRDefault="00AE75CD" w:rsidP="00AE75CD">
      <w:pPr>
        <w:pBdr>
          <w:top w:val="nil"/>
          <w:left w:val="nil"/>
          <w:bottom w:val="nil"/>
          <w:right w:val="nil"/>
          <w:between w:val="nil"/>
        </w:pBdr>
        <w:jc w:val="both"/>
        <w:rPr>
          <w:rFonts w:ascii="Calibri" w:hAnsi="Calibri" w:cs="Calibri"/>
          <w:b/>
          <w:color w:val="000000"/>
          <w:sz w:val="36"/>
          <w:szCs w:val="36"/>
        </w:rPr>
      </w:pPr>
    </w:p>
    <w:p w14:paraId="0C9F37F4" w14:textId="53324449" w:rsidR="004F150A" w:rsidRDefault="004F150A" w:rsidP="00AE75CD">
      <w:pPr>
        <w:pBdr>
          <w:top w:val="nil"/>
          <w:left w:val="nil"/>
          <w:bottom w:val="nil"/>
          <w:right w:val="nil"/>
          <w:between w:val="nil"/>
        </w:pBdr>
        <w:jc w:val="both"/>
        <w:rPr>
          <w:rFonts w:ascii="Calibri" w:hAnsi="Calibri" w:cs="Calibri"/>
          <w:b/>
          <w:color w:val="000000"/>
          <w:sz w:val="36"/>
          <w:szCs w:val="36"/>
        </w:rPr>
      </w:pPr>
    </w:p>
    <w:p w14:paraId="4A728AA5" w14:textId="273DCBE3" w:rsidR="004F150A" w:rsidRDefault="004F150A" w:rsidP="00AE75CD">
      <w:pPr>
        <w:pBdr>
          <w:top w:val="nil"/>
          <w:left w:val="nil"/>
          <w:bottom w:val="nil"/>
          <w:right w:val="nil"/>
          <w:between w:val="nil"/>
        </w:pBdr>
        <w:jc w:val="both"/>
        <w:rPr>
          <w:rFonts w:ascii="Calibri" w:hAnsi="Calibri" w:cs="Calibri"/>
          <w:b/>
          <w:color w:val="000000"/>
          <w:sz w:val="36"/>
          <w:szCs w:val="36"/>
        </w:rPr>
      </w:pPr>
    </w:p>
    <w:p w14:paraId="08C3852E" w14:textId="77777777" w:rsidR="004F150A" w:rsidRPr="008858C5" w:rsidRDefault="004F150A" w:rsidP="00AE75CD">
      <w:pPr>
        <w:pBdr>
          <w:top w:val="nil"/>
          <w:left w:val="nil"/>
          <w:bottom w:val="nil"/>
          <w:right w:val="nil"/>
          <w:between w:val="nil"/>
        </w:pBdr>
        <w:jc w:val="both"/>
        <w:rPr>
          <w:rFonts w:ascii="Calibri" w:hAnsi="Calibri" w:cs="Calibri"/>
          <w:b/>
          <w:color w:val="000000"/>
          <w:sz w:val="36"/>
          <w:szCs w:val="36"/>
        </w:rPr>
      </w:pPr>
    </w:p>
    <w:p w14:paraId="63F0C950" w14:textId="77777777" w:rsidR="008711A8" w:rsidRPr="008858C5" w:rsidRDefault="00C73EC2" w:rsidP="00C73EC2">
      <w:pPr>
        <w:pBdr>
          <w:top w:val="nil"/>
          <w:left w:val="nil"/>
          <w:bottom w:val="nil"/>
          <w:right w:val="nil"/>
          <w:between w:val="nil"/>
        </w:pBdr>
        <w:jc w:val="both"/>
        <w:rPr>
          <w:rFonts w:ascii="Calibri" w:hAnsi="Calibri" w:cs="Calibri"/>
          <w:b/>
          <w:color w:val="000000"/>
          <w:sz w:val="42"/>
          <w:szCs w:val="42"/>
        </w:rPr>
      </w:pPr>
      <w:r w:rsidRPr="008858C5">
        <w:rPr>
          <w:rFonts w:ascii="Calibri" w:hAnsi="Calibri" w:cs="Calibri"/>
          <w:b/>
          <w:color w:val="000000"/>
          <w:sz w:val="42"/>
          <w:szCs w:val="42"/>
        </w:rPr>
        <w:t xml:space="preserve">The decriminalisation of people who use drugs: </w:t>
      </w:r>
    </w:p>
    <w:p w14:paraId="3E4B5953" w14:textId="48AA0ABF" w:rsidR="00C73EC2" w:rsidRPr="008858C5" w:rsidRDefault="008711A8" w:rsidP="00C73EC2">
      <w:pPr>
        <w:pBdr>
          <w:top w:val="nil"/>
          <w:left w:val="nil"/>
          <w:bottom w:val="nil"/>
          <w:right w:val="nil"/>
          <w:between w:val="nil"/>
        </w:pBdr>
        <w:jc w:val="both"/>
        <w:rPr>
          <w:rFonts w:ascii="Calibri" w:hAnsi="Calibri" w:cs="Calibri"/>
          <w:b/>
          <w:color w:val="000000"/>
          <w:sz w:val="42"/>
          <w:szCs w:val="42"/>
        </w:rPr>
      </w:pPr>
      <w:r w:rsidRPr="008858C5">
        <w:rPr>
          <w:rFonts w:ascii="Calibri" w:hAnsi="Calibri" w:cs="Calibri"/>
          <w:b/>
          <w:color w:val="000000"/>
          <w:sz w:val="42"/>
          <w:szCs w:val="42"/>
        </w:rPr>
        <w:t>E</w:t>
      </w:r>
      <w:r w:rsidR="006D316F" w:rsidRPr="008858C5">
        <w:rPr>
          <w:rFonts w:ascii="Calibri" w:hAnsi="Calibri" w:cs="Calibri"/>
          <w:b/>
          <w:color w:val="000000"/>
          <w:sz w:val="42"/>
          <w:szCs w:val="42"/>
        </w:rPr>
        <w:t xml:space="preserve">vidence </w:t>
      </w:r>
      <w:r w:rsidRPr="008858C5">
        <w:rPr>
          <w:rFonts w:ascii="Calibri" w:hAnsi="Calibri" w:cs="Calibri"/>
          <w:b/>
          <w:color w:val="000000"/>
          <w:sz w:val="42"/>
          <w:szCs w:val="42"/>
        </w:rPr>
        <w:t>for a critical</w:t>
      </w:r>
      <w:r w:rsidR="00F66BA4" w:rsidRPr="008858C5">
        <w:rPr>
          <w:rFonts w:ascii="Calibri" w:hAnsi="Calibri" w:cs="Calibri"/>
          <w:b/>
          <w:color w:val="000000"/>
          <w:sz w:val="42"/>
          <w:szCs w:val="42"/>
        </w:rPr>
        <w:t xml:space="preserve"> societal enabler </w:t>
      </w:r>
      <w:r w:rsidRPr="008858C5">
        <w:rPr>
          <w:rFonts w:ascii="Calibri" w:hAnsi="Calibri" w:cs="Calibri"/>
          <w:b/>
          <w:color w:val="000000"/>
          <w:sz w:val="42"/>
          <w:szCs w:val="42"/>
        </w:rPr>
        <w:t>to end AIDS</w:t>
      </w:r>
    </w:p>
    <w:p w14:paraId="5D8BA6D3" w14:textId="77777777" w:rsidR="006D316F" w:rsidRPr="008858C5" w:rsidRDefault="006D316F" w:rsidP="00C73EC2">
      <w:pPr>
        <w:pBdr>
          <w:top w:val="nil"/>
          <w:left w:val="nil"/>
          <w:bottom w:val="nil"/>
          <w:right w:val="nil"/>
          <w:between w:val="nil"/>
        </w:pBdr>
        <w:jc w:val="both"/>
        <w:rPr>
          <w:rFonts w:ascii="Calibri" w:hAnsi="Calibri" w:cs="Calibri"/>
          <w:b/>
          <w:color w:val="000000"/>
          <w:sz w:val="36"/>
          <w:szCs w:val="36"/>
        </w:rPr>
      </w:pPr>
    </w:p>
    <w:p w14:paraId="6BAEA535" w14:textId="77777777" w:rsidR="00C73EC2" w:rsidRPr="008858C5" w:rsidRDefault="00C73EC2" w:rsidP="00C73EC2">
      <w:pPr>
        <w:pBdr>
          <w:top w:val="nil"/>
          <w:left w:val="nil"/>
          <w:bottom w:val="nil"/>
          <w:right w:val="nil"/>
          <w:between w:val="nil"/>
        </w:pBdr>
        <w:jc w:val="both"/>
        <w:rPr>
          <w:rFonts w:ascii="Calibri" w:hAnsi="Calibri" w:cs="Calibri"/>
          <w:b/>
          <w:color w:val="000000"/>
          <w:sz w:val="36"/>
          <w:szCs w:val="36"/>
        </w:rPr>
      </w:pPr>
    </w:p>
    <w:p w14:paraId="2604DD37" w14:textId="0438EB49" w:rsidR="00C73EC2" w:rsidRPr="008858C5" w:rsidRDefault="00F66BA4" w:rsidP="00C73EC2">
      <w:pPr>
        <w:pBdr>
          <w:top w:val="nil"/>
          <w:left w:val="nil"/>
          <w:bottom w:val="nil"/>
          <w:right w:val="nil"/>
          <w:between w:val="nil"/>
        </w:pBdr>
        <w:jc w:val="both"/>
        <w:rPr>
          <w:rFonts w:ascii="Calibri" w:hAnsi="Calibri" w:cs="Calibri"/>
          <w:b/>
          <w:color w:val="000000"/>
          <w:sz w:val="36"/>
          <w:szCs w:val="36"/>
        </w:rPr>
      </w:pPr>
      <w:r w:rsidRPr="008858C5">
        <w:rPr>
          <w:rFonts w:ascii="Calibri" w:hAnsi="Calibri" w:cs="Calibri"/>
          <w:b/>
          <w:color w:val="000000"/>
          <w:sz w:val="36"/>
          <w:szCs w:val="36"/>
        </w:rPr>
        <w:t xml:space="preserve">Submission to the </w:t>
      </w:r>
      <w:r w:rsidR="00E07498">
        <w:rPr>
          <w:rFonts w:ascii="Calibri" w:hAnsi="Calibri" w:cs="Calibri"/>
          <w:b/>
          <w:color w:val="000000"/>
          <w:sz w:val="36"/>
          <w:szCs w:val="36"/>
        </w:rPr>
        <w:t xml:space="preserve">UN </w:t>
      </w:r>
      <w:r w:rsidRPr="008858C5">
        <w:rPr>
          <w:rFonts w:ascii="Calibri" w:hAnsi="Calibri" w:cs="Calibri"/>
          <w:b/>
          <w:color w:val="000000"/>
          <w:sz w:val="36"/>
          <w:szCs w:val="36"/>
        </w:rPr>
        <w:t>High Commissioner for Human Rights</w:t>
      </w:r>
    </w:p>
    <w:p w14:paraId="0E46DF87" w14:textId="77777777" w:rsidR="006D316F" w:rsidRPr="008858C5" w:rsidRDefault="006D316F" w:rsidP="00C73EC2">
      <w:pPr>
        <w:pBdr>
          <w:top w:val="nil"/>
          <w:left w:val="nil"/>
          <w:bottom w:val="nil"/>
          <w:right w:val="nil"/>
          <w:between w:val="nil"/>
        </w:pBdr>
        <w:jc w:val="both"/>
        <w:rPr>
          <w:rFonts w:ascii="Calibri" w:hAnsi="Calibri" w:cs="Calibri"/>
          <w:b/>
          <w:color w:val="000000"/>
          <w:sz w:val="36"/>
          <w:szCs w:val="36"/>
        </w:rPr>
      </w:pPr>
    </w:p>
    <w:p w14:paraId="61E7A742" w14:textId="07C5413F" w:rsidR="00C73EC2" w:rsidRPr="008858C5" w:rsidRDefault="00BA14BA" w:rsidP="00C73EC2">
      <w:pPr>
        <w:pBdr>
          <w:top w:val="nil"/>
          <w:left w:val="nil"/>
          <w:bottom w:val="nil"/>
          <w:right w:val="nil"/>
          <w:between w:val="nil"/>
        </w:pBdr>
        <w:jc w:val="both"/>
        <w:rPr>
          <w:rFonts w:ascii="Calibri" w:hAnsi="Calibri" w:cs="Calibri"/>
          <w:b/>
          <w:color w:val="000000"/>
          <w:sz w:val="36"/>
          <w:szCs w:val="36"/>
        </w:rPr>
      </w:pPr>
      <w:r>
        <w:rPr>
          <w:rFonts w:ascii="Calibri" w:hAnsi="Calibri" w:cs="Calibri"/>
          <w:b/>
          <w:color w:val="000000"/>
          <w:sz w:val="36"/>
          <w:szCs w:val="36"/>
        </w:rPr>
        <w:t>18</w:t>
      </w:r>
      <w:r w:rsidR="00F66BA4" w:rsidRPr="008858C5">
        <w:rPr>
          <w:rFonts w:ascii="Calibri" w:hAnsi="Calibri" w:cs="Calibri"/>
          <w:b/>
          <w:color w:val="000000"/>
          <w:sz w:val="36"/>
          <w:szCs w:val="36"/>
        </w:rPr>
        <w:t xml:space="preserve"> February </w:t>
      </w:r>
      <w:r w:rsidR="00C73EC2" w:rsidRPr="008858C5">
        <w:rPr>
          <w:rFonts w:ascii="Calibri" w:hAnsi="Calibri" w:cs="Calibri"/>
          <w:b/>
          <w:color w:val="000000"/>
          <w:sz w:val="36"/>
          <w:szCs w:val="36"/>
        </w:rPr>
        <w:t>202</w:t>
      </w:r>
      <w:r w:rsidR="00F66BA4" w:rsidRPr="008858C5">
        <w:rPr>
          <w:rFonts w:ascii="Calibri" w:hAnsi="Calibri" w:cs="Calibri"/>
          <w:b/>
          <w:color w:val="000000"/>
          <w:sz w:val="36"/>
          <w:szCs w:val="36"/>
        </w:rPr>
        <w:t>2</w:t>
      </w:r>
    </w:p>
    <w:p w14:paraId="0F088B96" w14:textId="77777777" w:rsidR="00C73EC2" w:rsidRPr="008858C5" w:rsidRDefault="00C73EC2" w:rsidP="00C73EC2">
      <w:pPr>
        <w:pBdr>
          <w:top w:val="nil"/>
          <w:left w:val="nil"/>
          <w:bottom w:val="nil"/>
          <w:right w:val="nil"/>
          <w:between w:val="nil"/>
        </w:pBdr>
        <w:jc w:val="both"/>
        <w:rPr>
          <w:rFonts w:ascii="Calibri" w:hAnsi="Calibri" w:cs="Calibri"/>
          <w:color w:val="000000"/>
          <w:sz w:val="36"/>
          <w:szCs w:val="36"/>
        </w:rPr>
      </w:pPr>
    </w:p>
    <w:p w14:paraId="0160133E" w14:textId="2ABDF573" w:rsidR="00C73EC2" w:rsidRDefault="00C73EC2" w:rsidP="00C73EC2">
      <w:pPr>
        <w:pBdr>
          <w:top w:val="nil"/>
          <w:left w:val="nil"/>
          <w:bottom w:val="nil"/>
          <w:right w:val="nil"/>
          <w:between w:val="nil"/>
        </w:pBdr>
        <w:jc w:val="both"/>
        <w:rPr>
          <w:rFonts w:ascii="Calibri" w:hAnsi="Calibri" w:cs="Calibri"/>
          <w:color w:val="000000"/>
          <w:sz w:val="28"/>
          <w:szCs w:val="28"/>
        </w:rPr>
      </w:pPr>
    </w:p>
    <w:p w14:paraId="547E168A" w14:textId="77777777" w:rsidR="004364A3" w:rsidRPr="008858C5" w:rsidRDefault="004364A3" w:rsidP="00C73EC2">
      <w:pPr>
        <w:pBdr>
          <w:top w:val="nil"/>
          <w:left w:val="nil"/>
          <w:bottom w:val="nil"/>
          <w:right w:val="nil"/>
          <w:between w:val="nil"/>
        </w:pBdr>
        <w:jc w:val="both"/>
        <w:rPr>
          <w:rFonts w:ascii="Calibri" w:hAnsi="Calibri" w:cs="Calibri"/>
          <w:color w:val="000000"/>
          <w:sz w:val="28"/>
          <w:szCs w:val="28"/>
        </w:rPr>
      </w:pPr>
    </w:p>
    <w:p w14:paraId="6684538A" w14:textId="25A058E2" w:rsidR="00C73EC2" w:rsidRPr="008858C5" w:rsidRDefault="00C73EC2" w:rsidP="00C73EC2">
      <w:pPr>
        <w:pBdr>
          <w:top w:val="nil"/>
          <w:left w:val="nil"/>
          <w:bottom w:val="nil"/>
          <w:right w:val="nil"/>
          <w:between w:val="nil"/>
        </w:pBdr>
        <w:jc w:val="both"/>
        <w:rPr>
          <w:rFonts w:ascii="Calibri" w:hAnsi="Calibri" w:cs="Calibri"/>
          <w:color w:val="000000"/>
          <w:sz w:val="28"/>
          <w:szCs w:val="28"/>
        </w:rPr>
      </w:pPr>
      <w:r w:rsidRPr="008858C5">
        <w:rPr>
          <w:rFonts w:ascii="Calibri" w:hAnsi="Calibri" w:cs="Calibri"/>
          <w:b/>
          <w:color w:val="000000"/>
          <w:sz w:val="28"/>
          <w:szCs w:val="28"/>
        </w:rPr>
        <w:t>Submitting organisation</w:t>
      </w:r>
      <w:r w:rsidR="008858C5">
        <w:rPr>
          <w:rFonts w:ascii="Calibri" w:hAnsi="Calibri" w:cs="Calibri"/>
          <w:b/>
          <w:color w:val="000000"/>
          <w:sz w:val="28"/>
          <w:szCs w:val="28"/>
        </w:rPr>
        <w:t>s</w:t>
      </w:r>
      <w:r w:rsidRPr="008858C5">
        <w:rPr>
          <w:rFonts w:ascii="Calibri" w:hAnsi="Calibri" w:cs="Calibri"/>
          <w:b/>
          <w:color w:val="000000"/>
          <w:sz w:val="28"/>
          <w:szCs w:val="28"/>
        </w:rPr>
        <w:t xml:space="preserve">: </w:t>
      </w:r>
      <w:r w:rsidRPr="008858C5">
        <w:rPr>
          <w:rFonts w:ascii="Calibri" w:hAnsi="Calibri" w:cs="Calibri"/>
          <w:color w:val="000000"/>
          <w:sz w:val="28"/>
          <w:szCs w:val="28"/>
        </w:rPr>
        <w:t>IDPC Consortium</w:t>
      </w:r>
      <w:r w:rsidR="008711A8" w:rsidRPr="008858C5">
        <w:rPr>
          <w:rFonts w:ascii="Calibri" w:hAnsi="Calibri" w:cs="Calibri"/>
          <w:color w:val="000000"/>
          <w:sz w:val="28"/>
          <w:szCs w:val="28"/>
        </w:rPr>
        <w:t xml:space="preserve">, </w:t>
      </w:r>
      <w:r w:rsidR="006C62A0">
        <w:rPr>
          <w:rFonts w:ascii="Calibri" w:hAnsi="Calibri" w:cs="Calibri"/>
          <w:color w:val="000000"/>
          <w:sz w:val="28"/>
          <w:szCs w:val="28"/>
        </w:rPr>
        <w:t xml:space="preserve">Harm Reduction International, Centre on Drug Policy Evaluation, and </w:t>
      </w:r>
      <w:r w:rsidR="00BA14BA">
        <w:rPr>
          <w:rFonts w:ascii="Calibri" w:hAnsi="Calibri" w:cs="Calibri"/>
          <w:color w:val="000000"/>
          <w:sz w:val="28"/>
          <w:szCs w:val="28"/>
        </w:rPr>
        <w:t xml:space="preserve">Instituto </w:t>
      </w:r>
      <w:r w:rsidR="006C62A0">
        <w:rPr>
          <w:rFonts w:ascii="Calibri" w:hAnsi="Calibri" w:cs="Calibri"/>
          <w:color w:val="000000"/>
          <w:sz w:val="28"/>
          <w:szCs w:val="28"/>
        </w:rPr>
        <w:t>RIA</w:t>
      </w:r>
      <w:r w:rsidR="00BA14BA">
        <w:rPr>
          <w:rFonts w:ascii="Calibri" w:hAnsi="Calibri" w:cs="Calibri"/>
          <w:color w:val="000000"/>
          <w:sz w:val="28"/>
          <w:szCs w:val="28"/>
        </w:rPr>
        <w:t>.</w:t>
      </w:r>
    </w:p>
    <w:p w14:paraId="03F7FB4C" w14:textId="77777777" w:rsidR="00C73EC2" w:rsidRPr="008858C5" w:rsidRDefault="00C73EC2" w:rsidP="00C73EC2">
      <w:pPr>
        <w:pBdr>
          <w:top w:val="nil"/>
          <w:left w:val="nil"/>
          <w:bottom w:val="nil"/>
          <w:right w:val="nil"/>
          <w:between w:val="nil"/>
        </w:pBdr>
        <w:jc w:val="both"/>
        <w:rPr>
          <w:rFonts w:ascii="Calibri" w:hAnsi="Calibri" w:cs="Calibri"/>
          <w:b/>
          <w:color w:val="000000"/>
          <w:sz w:val="28"/>
          <w:szCs w:val="28"/>
        </w:rPr>
      </w:pPr>
    </w:p>
    <w:p w14:paraId="79544EF1" w14:textId="77777777" w:rsidR="004364A3" w:rsidRPr="008858C5" w:rsidRDefault="004364A3" w:rsidP="00C73EC2">
      <w:pPr>
        <w:pBdr>
          <w:top w:val="nil"/>
          <w:left w:val="nil"/>
          <w:bottom w:val="nil"/>
          <w:right w:val="nil"/>
          <w:between w:val="nil"/>
        </w:pBdr>
        <w:jc w:val="both"/>
        <w:rPr>
          <w:rFonts w:ascii="Calibri" w:hAnsi="Calibri" w:cs="Calibri"/>
          <w:color w:val="000000"/>
          <w:sz w:val="28"/>
          <w:szCs w:val="28"/>
        </w:rPr>
      </w:pPr>
    </w:p>
    <w:p w14:paraId="7B40C28D" w14:textId="77777777" w:rsidR="00C73EC2" w:rsidRPr="008858C5" w:rsidRDefault="00C73EC2" w:rsidP="00C73EC2">
      <w:pPr>
        <w:pBdr>
          <w:top w:val="nil"/>
          <w:left w:val="nil"/>
          <w:bottom w:val="nil"/>
          <w:right w:val="nil"/>
          <w:between w:val="nil"/>
        </w:pBdr>
        <w:jc w:val="both"/>
        <w:rPr>
          <w:rFonts w:ascii="Calibri" w:hAnsi="Calibri" w:cs="Calibri"/>
          <w:b/>
          <w:color w:val="000000"/>
          <w:sz w:val="28"/>
          <w:szCs w:val="28"/>
        </w:rPr>
      </w:pPr>
      <w:r w:rsidRPr="008858C5">
        <w:rPr>
          <w:rFonts w:ascii="Calibri" w:hAnsi="Calibri" w:cs="Calibri"/>
          <w:b/>
          <w:color w:val="000000"/>
          <w:sz w:val="28"/>
          <w:szCs w:val="28"/>
        </w:rPr>
        <w:t>Contact details:</w:t>
      </w:r>
    </w:p>
    <w:p w14:paraId="7E749B7F" w14:textId="77777777" w:rsidR="00C73EC2" w:rsidRPr="008858C5" w:rsidRDefault="00C73EC2" w:rsidP="00C73EC2">
      <w:pPr>
        <w:pBdr>
          <w:top w:val="nil"/>
          <w:left w:val="nil"/>
          <w:bottom w:val="nil"/>
          <w:right w:val="nil"/>
          <w:between w:val="nil"/>
        </w:pBdr>
        <w:jc w:val="both"/>
        <w:rPr>
          <w:rFonts w:ascii="Calibri" w:hAnsi="Calibri" w:cs="Calibri"/>
          <w:color w:val="000000"/>
          <w:sz w:val="28"/>
          <w:szCs w:val="28"/>
        </w:rPr>
      </w:pPr>
    </w:p>
    <w:p w14:paraId="5A7E5624" w14:textId="77777777" w:rsidR="00C73EC2" w:rsidRPr="008858C5" w:rsidRDefault="00C73EC2" w:rsidP="00C73EC2">
      <w:pPr>
        <w:pBdr>
          <w:top w:val="nil"/>
          <w:left w:val="nil"/>
          <w:bottom w:val="nil"/>
          <w:right w:val="nil"/>
          <w:between w:val="nil"/>
        </w:pBdr>
        <w:jc w:val="both"/>
        <w:rPr>
          <w:rFonts w:ascii="Calibri" w:hAnsi="Calibri" w:cs="Calibri"/>
          <w:color w:val="000000"/>
          <w:sz w:val="28"/>
          <w:szCs w:val="28"/>
        </w:rPr>
      </w:pPr>
      <w:r w:rsidRPr="008858C5">
        <w:rPr>
          <w:rFonts w:ascii="Calibri" w:hAnsi="Calibri" w:cs="Calibri"/>
          <w:color w:val="000000"/>
          <w:sz w:val="28"/>
          <w:szCs w:val="28"/>
        </w:rPr>
        <w:t>International Drug Policy Consortium</w:t>
      </w:r>
    </w:p>
    <w:p w14:paraId="3BBB786C" w14:textId="77777777" w:rsidR="00C73EC2" w:rsidRPr="008858C5" w:rsidRDefault="00C73EC2" w:rsidP="00C73EC2">
      <w:pPr>
        <w:pBdr>
          <w:top w:val="nil"/>
          <w:left w:val="nil"/>
          <w:bottom w:val="nil"/>
          <w:right w:val="nil"/>
          <w:between w:val="nil"/>
        </w:pBdr>
        <w:jc w:val="both"/>
        <w:rPr>
          <w:rFonts w:ascii="Calibri" w:hAnsi="Calibri" w:cs="Calibri"/>
          <w:color w:val="000000"/>
          <w:sz w:val="28"/>
          <w:szCs w:val="28"/>
        </w:rPr>
      </w:pPr>
      <w:r w:rsidRPr="008858C5">
        <w:rPr>
          <w:rFonts w:ascii="Calibri" w:hAnsi="Calibri" w:cs="Calibri"/>
          <w:color w:val="000000"/>
          <w:sz w:val="28"/>
          <w:szCs w:val="28"/>
        </w:rPr>
        <w:t xml:space="preserve">61 Mansell Street </w:t>
      </w:r>
    </w:p>
    <w:p w14:paraId="22079CCE" w14:textId="77777777" w:rsidR="00C73EC2" w:rsidRPr="008858C5" w:rsidRDefault="00C73EC2" w:rsidP="00C73EC2">
      <w:pPr>
        <w:pBdr>
          <w:top w:val="nil"/>
          <w:left w:val="nil"/>
          <w:bottom w:val="nil"/>
          <w:right w:val="nil"/>
          <w:between w:val="nil"/>
        </w:pBdr>
        <w:jc w:val="both"/>
        <w:rPr>
          <w:rFonts w:ascii="Calibri" w:hAnsi="Calibri" w:cs="Calibri"/>
          <w:color w:val="000000"/>
          <w:sz w:val="28"/>
          <w:szCs w:val="28"/>
        </w:rPr>
      </w:pPr>
      <w:r w:rsidRPr="008858C5">
        <w:rPr>
          <w:rFonts w:ascii="Calibri" w:hAnsi="Calibri" w:cs="Calibri"/>
          <w:color w:val="000000"/>
          <w:sz w:val="28"/>
          <w:szCs w:val="28"/>
        </w:rPr>
        <w:t>E1 8AN London, United Kingdom</w:t>
      </w:r>
    </w:p>
    <w:p w14:paraId="19174EF3" w14:textId="77777777" w:rsidR="00C73EC2" w:rsidRPr="008858C5" w:rsidRDefault="00320DA2" w:rsidP="00C73EC2">
      <w:pPr>
        <w:pBdr>
          <w:top w:val="nil"/>
          <w:left w:val="nil"/>
          <w:bottom w:val="nil"/>
          <w:right w:val="nil"/>
          <w:between w:val="nil"/>
        </w:pBdr>
        <w:jc w:val="both"/>
        <w:rPr>
          <w:rFonts w:ascii="Calibri" w:hAnsi="Calibri" w:cs="Calibri"/>
          <w:color w:val="0563C1"/>
          <w:sz w:val="28"/>
          <w:szCs w:val="28"/>
          <w:u w:val="single"/>
        </w:rPr>
      </w:pPr>
      <w:hyperlink r:id="rId12">
        <w:r w:rsidR="00C73EC2" w:rsidRPr="008858C5">
          <w:rPr>
            <w:rFonts w:ascii="Calibri" w:hAnsi="Calibri" w:cs="Calibri"/>
            <w:color w:val="0563C1"/>
            <w:sz w:val="28"/>
            <w:szCs w:val="28"/>
            <w:u w:val="single"/>
          </w:rPr>
          <w:t>contact@idpc.net</w:t>
        </w:r>
      </w:hyperlink>
    </w:p>
    <w:p w14:paraId="663D0B2F" w14:textId="7BCF84E6" w:rsidR="00AE75CD" w:rsidRDefault="00AE75CD" w:rsidP="00AE75CD">
      <w:pPr>
        <w:rPr>
          <w:rFonts w:ascii="Calibri" w:hAnsi="Calibri" w:cs="Calibri"/>
          <w:sz w:val="28"/>
          <w:szCs w:val="28"/>
        </w:rPr>
      </w:pPr>
    </w:p>
    <w:p w14:paraId="3F04F858" w14:textId="77777777" w:rsidR="00E563AA" w:rsidRDefault="00E563AA">
      <w:pPr>
        <w:rPr>
          <w:rFonts w:ascii="Calibri" w:hAnsi="Calibri" w:cs="Calibri"/>
          <w:sz w:val="28"/>
          <w:szCs w:val="28"/>
          <w:highlight w:val="yellow"/>
        </w:rPr>
      </w:pPr>
      <w:r>
        <w:rPr>
          <w:rFonts w:ascii="Calibri" w:hAnsi="Calibri" w:cs="Calibri"/>
          <w:sz w:val="28"/>
          <w:szCs w:val="28"/>
          <w:highlight w:val="yellow"/>
        </w:rPr>
        <w:br w:type="page"/>
      </w:r>
    </w:p>
    <w:p w14:paraId="199E8DF8" w14:textId="0E5DC96C" w:rsidR="00F66BA4" w:rsidRPr="001158BF" w:rsidRDefault="00F66BA4" w:rsidP="001158BF">
      <w:pPr>
        <w:spacing w:after="200"/>
        <w:jc w:val="both"/>
        <w:rPr>
          <w:rFonts w:ascii="Calibri" w:hAnsi="Calibri" w:cs="Calibri"/>
          <w:b/>
          <w:bCs/>
          <w:sz w:val="30"/>
          <w:szCs w:val="30"/>
        </w:rPr>
      </w:pPr>
      <w:r w:rsidRPr="008858C5">
        <w:rPr>
          <w:rFonts w:ascii="Calibri" w:hAnsi="Calibri" w:cs="Calibri"/>
          <w:b/>
          <w:bCs/>
          <w:sz w:val="30"/>
          <w:szCs w:val="30"/>
        </w:rPr>
        <w:lastRenderedPageBreak/>
        <w:t>Introduction</w:t>
      </w:r>
    </w:p>
    <w:p w14:paraId="16F7AE34" w14:textId="67E869EA" w:rsidR="00577731" w:rsidRPr="006C62A0" w:rsidRDefault="00FA3E66" w:rsidP="006C62A0">
      <w:pPr>
        <w:pStyle w:val="ListParagraph"/>
        <w:numPr>
          <w:ilvl w:val="0"/>
          <w:numId w:val="4"/>
        </w:numPr>
        <w:spacing w:line="240" w:lineRule="auto"/>
        <w:ind w:left="426" w:hanging="426"/>
        <w:jc w:val="both"/>
        <w:rPr>
          <w:rFonts w:ascii="Calibri" w:hAnsi="Calibri" w:cs="Calibri"/>
        </w:rPr>
      </w:pPr>
      <w:r w:rsidRPr="001158BF">
        <w:rPr>
          <w:rFonts w:ascii="Calibri" w:hAnsi="Calibri" w:cs="Calibri"/>
        </w:rPr>
        <w:t>The International Drug Policy Consortiu</w:t>
      </w:r>
      <w:r w:rsidR="006C62A0">
        <w:rPr>
          <w:rFonts w:ascii="Calibri" w:hAnsi="Calibri" w:cs="Calibri"/>
        </w:rPr>
        <w:t xml:space="preserve">m, </w:t>
      </w:r>
      <w:r w:rsidR="006C62A0" w:rsidRPr="006C62A0">
        <w:rPr>
          <w:rFonts w:ascii="Calibri" w:hAnsi="Calibri" w:cs="Calibri"/>
        </w:rPr>
        <w:t xml:space="preserve">Harm Reduction International, </w:t>
      </w:r>
      <w:r w:rsidR="00E563AA">
        <w:rPr>
          <w:rFonts w:ascii="Calibri" w:hAnsi="Calibri" w:cs="Calibri"/>
        </w:rPr>
        <w:t xml:space="preserve">the </w:t>
      </w:r>
      <w:r w:rsidR="006C62A0" w:rsidRPr="006C62A0">
        <w:rPr>
          <w:rFonts w:ascii="Calibri" w:hAnsi="Calibri" w:cs="Calibri"/>
        </w:rPr>
        <w:t>Centre on Drug Policy Evaluation</w:t>
      </w:r>
      <w:r w:rsidR="006C62A0" w:rsidRPr="00E563AA">
        <w:rPr>
          <w:rFonts w:ascii="Calibri" w:hAnsi="Calibri" w:cs="Calibri"/>
        </w:rPr>
        <w:t xml:space="preserve">, and </w:t>
      </w:r>
      <w:r w:rsidR="006C62A0" w:rsidRPr="006C62A0">
        <w:rPr>
          <w:rFonts w:ascii="Calibri" w:hAnsi="Calibri" w:cs="Calibri"/>
        </w:rPr>
        <w:t>Instituto RIA</w:t>
      </w:r>
      <w:r w:rsidR="00B45D47" w:rsidRPr="006C62A0">
        <w:rPr>
          <w:rFonts w:ascii="Calibri" w:hAnsi="Calibri" w:cs="Calibri"/>
        </w:rPr>
        <w:t xml:space="preserve"> </w:t>
      </w:r>
      <w:r w:rsidRPr="006C62A0">
        <w:rPr>
          <w:rFonts w:ascii="Calibri" w:hAnsi="Calibri" w:cs="Calibri"/>
        </w:rPr>
        <w:t xml:space="preserve">welcome the opportunity to </w:t>
      </w:r>
      <w:r w:rsidR="006D316F" w:rsidRPr="006C62A0">
        <w:rPr>
          <w:rFonts w:ascii="Calibri" w:hAnsi="Calibri" w:cs="Calibri"/>
        </w:rPr>
        <w:t xml:space="preserve">provide input to the High Commissioner </w:t>
      </w:r>
      <w:r w:rsidR="0063711E" w:rsidRPr="006C62A0">
        <w:rPr>
          <w:rFonts w:ascii="Calibri" w:hAnsi="Calibri" w:cs="Calibri"/>
        </w:rPr>
        <w:t xml:space="preserve">for </w:t>
      </w:r>
      <w:r w:rsidR="006D316F" w:rsidRPr="006C62A0">
        <w:rPr>
          <w:rFonts w:ascii="Calibri" w:hAnsi="Calibri" w:cs="Calibri"/>
        </w:rPr>
        <w:t xml:space="preserve">Human Rights ahead of </w:t>
      </w:r>
      <w:r w:rsidR="0063711E" w:rsidRPr="006C62A0">
        <w:rPr>
          <w:rFonts w:ascii="Calibri" w:hAnsi="Calibri" w:cs="Calibri"/>
        </w:rPr>
        <w:t xml:space="preserve">her </w:t>
      </w:r>
      <w:r w:rsidR="006D316F" w:rsidRPr="006C62A0">
        <w:rPr>
          <w:rFonts w:ascii="Calibri" w:hAnsi="Calibri" w:cs="Calibri"/>
        </w:rPr>
        <w:t>report on societal enablers</w:t>
      </w:r>
      <w:r w:rsidR="0063711E" w:rsidRPr="006C62A0">
        <w:rPr>
          <w:rFonts w:ascii="Calibri" w:hAnsi="Calibri" w:cs="Calibri"/>
        </w:rPr>
        <w:t xml:space="preserve"> and HIV/AIDS, </w:t>
      </w:r>
      <w:r w:rsidR="008A308F" w:rsidRPr="006C62A0">
        <w:rPr>
          <w:rFonts w:ascii="Calibri" w:hAnsi="Calibri" w:cs="Calibri"/>
        </w:rPr>
        <w:t>which will</w:t>
      </w:r>
      <w:r w:rsidR="0063711E" w:rsidRPr="006C62A0">
        <w:rPr>
          <w:rFonts w:ascii="Calibri" w:hAnsi="Calibri" w:cs="Calibri"/>
        </w:rPr>
        <w:t xml:space="preserve"> </w:t>
      </w:r>
      <w:r w:rsidR="00372C07" w:rsidRPr="006C62A0">
        <w:rPr>
          <w:rFonts w:ascii="Calibri" w:hAnsi="Calibri" w:cs="Calibri"/>
        </w:rPr>
        <w:t xml:space="preserve">be </w:t>
      </w:r>
      <w:r w:rsidR="0063711E" w:rsidRPr="006C62A0">
        <w:rPr>
          <w:rFonts w:ascii="Calibri" w:hAnsi="Calibri" w:cs="Calibri"/>
        </w:rPr>
        <w:t>presented to the Human Rights Council in its 50</w:t>
      </w:r>
      <w:r w:rsidR="0063711E" w:rsidRPr="006C62A0">
        <w:rPr>
          <w:rFonts w:ascii="Calibri" w:hAnsi="Calibri" w:cs="Calibri"/>
          <w:vertAlign w:val="superscript"/>
        </w:rPr>
        <w:t>th</w:t>
      </w:r>
      <w:r w:rsidR="0063711E" w:rsidRPr="006C62A0">
        <w:rPr>
          <w:rFonts w:ascii="Calibri" w:hAnsi="Calibri" w:cs="Calibri"/>
        </w:rPr>
        <w:t xml:space="preserve"> session.</w:t>
      </w:r>
    </w:p>
    <w:p w14:paraId="2DB33D48" w14:textId="2DDB4081" w:rsidR="0063711E" w:rsidRPr="001158BF" w:rsidRDefault="008A308F" w:rsidP="001158BF">
      <w:pPr>
        <w:pStyle w:val="ListParagraph"/>
        <w:numPr>
          <w:ilvl w:val="0"/>
          <w:numId w:val="4"/>
        </w:numPr>
        <w:spacing w:line="240" w:lineRule="auto"/>
        <w:ind w:left="426" w:hanging="426"/>
        <w:jc w:val="both"/>
        <w:rPr>
          <w:rFonts w:ascii="Calibri" w:hAnsi="Calibri" w:cs="Calibri"/>
        </w:rPr>
      </w:pPr>
      <w:r w:rsidRPr="001158BF">
        <w:rPr>
          <w:rFonts w:ascii="Calibri" w:hAnsi="Calibri" w:cs="Calibri"/>
        </w:rPr>
        <w:t xml:space="preserve">The aim of this submission is to </w:t>
      </w:r>
      <w:r w:rsidR="00ED3F52">
        <w:rPr>
          <w:rFonts w:ascii="Calibri" w:hAnsi="Calibri" w:cs="Calibri"/>
        </w:rPr>
        <w:t xml:space="preserve">gather </w:t>
      </w:r>
      <w:r w:rsidRPr="001158BF">
        <w:rPr>
          <w:rFonts w:ascii="Calibri" w:hAnsi="Calibri" w:cs="Calibri"/>
        </w:rPr>
        <w:t xml:space="preserve">evidence on </w:t>
      </w:r>
      <w:r w:rsidR="00372C07">
        <w:rPr>
          <w:rFonts w:ascii="Calibri" w:hAnsi="Calibri" w:cs="Calibri"/>
        </w:rPr>
        <w:t>how</w:t>
      </w:r>
      <w:r w:rsidR="00ED3F52">
        <w:rPr>
          <w:rFonts w:ascii="Calibri" w:hAnsi="Calibri" w:cs="Calibri"/>
        </w:rPr>
        <w:t xml:space="preserve"> the </w:t>
      </w:r>
      <w:r w:rsidRPr="001158BF">
        <w:rPr>
          <w:rFonts w:ascii="Calibri" w:hAnsi="Calibri" w:cs="Calibri"/>
        </w:rPr>
        <w:t xml:space="preserve">criminalisation of people who use drugs </w:t>
      </w:r>
      <w:r w:rsidR="00372C07">
        <w:rPr>
          <w:rFonts w:ascii="Calibri" w:hAnsi="Calibri" w:cs="Calibri"/>
        </w:rPr>
        <w:t xml:space="preserve">acts </w:t>
      </w:r>
      <w:r w:rsidRPr="001158BF">
        <w:rPr>
          <w:rFonts w:ascii="Calibri" w:hAnsi="Calibri" w:cs="Calibri"/>
        </w:rPr>
        <w:t xml:space="preserve">as a major impediment to the realisation of the right to health – </w:t>
      </w:r>
      <w:r w:rsidR="008337E5">
        <w:rPr>
          <w:rFonts w:ascii="Calibri" w:hAnsi="Calibri" w:cs="Calibri"/>
        </w:rPr>
        <w:t xml:space="preserve">with particular attention </w:t>
      </w:r>
      <w:r w:rsidRPr="001158BF">
        <w:rPr>
          <w:rFonts w:ascii="Calibri" w:hAnsi="Calibri" w:cs="Calibri"/>
        </w:rPr>
        <w:t>to HI</w:t>
      </w:r>
      <w:r w:rsidR="00E07498" w:rsidRPr="001158BF">
        <w:rPr>
          <w:rFonts w:ascii="Calibri" w:hAnsi="Calibri" w:cs="Calibri"/>
        </w:rPr>
        <w:t xml:space="preserve">V/AIDS </w:t>
      </w:r>
      <w:r w:rsidRPr="001158BF">
        <w:rPr>
          <w:rFonts w:ascii="Calibri" w:hAnsi="Calibri" w:cs="Calibri"/>
        </w:rPr>
        <w:t>– and drive</w:t>
      </w:r>
      <w:r w:rsidR="00372C07">
        <w:rPr>
          <w:rFonts w:ascii="Calibri" w:hAnsi="Calibri" w:cs="Calibri"/>
        </w:rPr>
        <w:t>s</w:t>
      </w:r>
      <w:r w:rsidRPr="001158BF">
        <w:rPr>
          <w:rFonts w:ascii="Calibri" w:hAnsi="Calibri" w:cs="Calibri"/>
        </w:rPr>
        <w:t xml:space="preserve"> a broad </w:t>
      </w:r>
      <w:r w:rsidR="00B45D47" w:rsidRPr="001158BF">
        <w:rPr>
          <w:rFonts w:ascii="Calibri" w:hAnsi="Calibri" w:cs="Calibri"/>
        </w:rPr>
        <w:t>range</w:t>
      </w:r>
      <w:r w:rsidRPr="001158BF">
        <w:rPr>
          <w:rFonts w:ascii="Calibri" w:hAnsi="Calibri" w:cs="Calibri"/>
        </w:rPr>
        <w:t xml:space="preserve"> of </w:t>
      </w:r>
      <w:r w:rsidR="00E07498" w:rsidRPr="001158BF">
        <w:rPr>
          <w:rFonts w:ascii="Calibri" w:hAnsi="Calibri" w:cs="Calibri"/>
        </w:rPr>
        <w:t xml:space="preserve">human </w:t>
      </w:r>
      <w:r w:rsidRPr="001158BF">
        <w:rPr>
          <w:rFonts w:ascii="Calibri" w:hAnsi="Calibri" w:cs="Calibri"/>
        </w:rPr>
        <w:t xml:space="preserve">rights </w:t>
      </w:r>
      <w:r w:rsidR="00E07498" w:rsidRPr="001158BF">
        <w:rPr>
          <w:rFonts w:ascii="Calibri" w:hAnsi="Calibri" w:cs="Calibri"/>
        </w:rPr>
        <w:t xml:space="preserve">violations for </w:t>
      </w:r>
      <w:r w:rsidRPr="001158BF">
        <w:rPr>
          <w:rFonts w:ascii="Calibri" w:hAnsi="Calibri" w:cs="Calibri"/>
        </w:rPr>
        <w:t xml:space="preserve">people living with or at risk of </w:t>
      </w:r>
      <w:r w:rsidR="00372C07">
        <w:rPr>
          <w:rFonts w:ascii="Calibri" w:hAnsi="Calibri" w:cs="Calibri"/>
        </w:rPr>
        <w:t xml:space="preserve">contracting </w:t>
      </w:r>
      <w:r w:rsidRPr="001158BF">
        <w:rPr>
          <w:rFonts w:ascii="Calibri" w:hAnsi="Calibri" w:cs="Calibri"/>
        </w:rPr>
        <w:t>HIV/AIDS.</w:t>
      </w:r>
    </w:p>
    <w:p w14:paraId="3A6C3C52" w14:textId="48BCB4F6" w:rsidR="008711A8" w:rsidRPr="006C62A0" w:rsidRDefault="00E542B1" w:rsidP="006C62A0">
      <w:pPr>
        <w:pStyle w:val="ListParagraph"/>
        <w:numPr>
          <w:ilvl w:val="0"/>
          <w:numId w:val="4"/>
        </w:numPr>
        <w:spacing w:line="240" w:lineRule="auto"/>
        <w:ind w:left="426" w:hanging="426"/>
        <w:jc w:val="both"/>
        <w:rPr>
          <w:rFonts w:ascii="Calibri" w:hAnsi="Calibri" w:cs="Calibri"/>
        </w:rPr>
      </w:pPr>
      <w:r>
        <w:rPr>
          <w:rFonts w:ascii="Calibri" w:hAnsi="Calibri" w:cs="Calibri"/>
        </w:rPr>
        <w:t>T</w:t>
      </w:r>
      <w:r w:rsidR="00ED3F52">
        <w:rPr>
          <w:rFonts w:ascii="Calibri" w:hAnsi="Calibri" w:cs="Calibri"/>
        </w:rPr>
        <w:t xml:space="preserve">his submission </w:t>
      </w:r>
      <w:r w:rsidR="00F46508" w:rsidRPr="001158BF">
        <w:rPr>
          <w:rFonts w:ascii="Calibri" w:hAnsi="Calibri" w:cs="Calibri"/>
        </w:rPr>
        <w:t>urge</w:t>
      </w:r>
      <w:r>
        <w:rPr>
          <w:rFonts w:ascii="Calibri" w:hAnsi="Calibri" w:cs="Calibri"/>
        </w:rPr>
        <w:t>s</w:t>
      </w:r>
      <w:r w:rsidR="00F46508" w:rsidRPr="001158BF">
        <w:rPr>
          <w:rFonts w:ascii="Calibri" w:hAnsi="Calibri" w:cs="Calibri"/>
        </w:rPr>
        <w:t xml:space="preserve"> the High Commissioner to </w:t>
      </w:r>
      <w:r w:rsidR="00E07498" w:rsidRPr="001158BF">
        <w:rPr>
          <w:rFonts w:ascii="Calibri" w:hAnsi="Calibri" w:cs="Calibri"/>
        </w:rPr>
        <w:t xml:space="preserve">recommend that States </w:t>
      </w:r>
      <w:r w:rsidR="00BA14BA">
        <w:rPr>
          <w:rFonts w:ascii="Calibri" w:hAnsi="Calibri" w:cs="Calibri"/>
        </w:rPr>
        <w:t xml:space="preserve">adopt </w:t>
      </w:r>
      <w:r w:rsidR="00891F1D">
        <w:rPr>
          <w:rFonts w:ascii="Calibri" w:hAnsi="Calibri" w:cs="Calibri"/>
        </w:rPr>
        <w:t xml:space="preserve">the gold standard for the </w:t>
      </w:r>
      <w:r w:rsidR="00F46508" w:rsidRPr="001158BF">
        <w:rPr>
          <w:rFonts w:ascii="Calibri" w:hAnsi="Calibri" w:cs="Calibri"/>
        </w:rPr>
        <w:t>decriminalis</w:t>
      </w:r>
      <w:r w:rsidR="00891F1D">
        <w:rPr>
          <w:rFonts w:ascii="Calibri" w:hAnsi="Calibri" w:cs="Calibri"/>
        </w:rPr>
        <w:t>ation of</w:t>
      </w:r>
      <w:r w:rsidR="00F46508" w:rsidRPr="001158BF">
        <w:rPr>
          <w:rFonts w:ascii="Calibri" w:hAnsi="Calibri" w:cs="Calibri"/>
        </w:rPr>
        <w:t xml:space="preserve"> people who use drugs </w:t>
      </w:r>
      <w:r w:rsidR="00ED3F52">
        <w:rPr>
          <w:rFonts w:ascii="Calibri" w:hAnsi="Calibri" w:cs="Calibri"/>
        </w:rPr>
        <w:t xml:space="preserve">(that is, the removal of all penalties for drug use and ancillary activities), </w:t>
      </w:r>
      <w:r w:rsidR="00F46508" w:rsidRPr="001158BF">
        <w:rPr>
          <w:rFonts w:ascii="Calibri" w:hAnsi="Calibri" w:cs="Calibri"/>
        </w:rPr>
        <w:t>as a critical societal enabler to end HIV/AIDS.</w:t>
      </w:r>
      <w:r w:rsidR="006C62A0">
        <w:rPr>
          <w:rFonts w:ascii="Calibri" w:hAnsi="Calibri" w:cs="Calibri"/>
        </w:rPr>
        <w:t xml:space="preserve"> </w:t>
      </w:r>
      <w:r w:rsidR="006C62A0" w:rsidRPr="006C62A0">
        <w:rPr>
          <w:rFonts w:ascii="Calibri" w:hAnsi="Calibri" w:cs="Calibri"/>
        </w:rPr>
        <w:t xml:space="preserve">Decriminalisation </w:t>
      </w:r>
      <w:r w:rsidR="00BA14BA" w:rsidRPr="006C62A0">
        <w:rPr>
          <w:rFonts w:ascii="Calibri" w:hAnsi="Calibri" w:cs="Calibri"/>
        </w:rPr>
        <w:t xml:space="preserve">should </w:t>
      </w:r>
      <w:r w:rsidR="006C62A0" w:rsidRPr="006C62A0">
        <w:rPr>
          <w:rFonts w:ascii="Calibri" w:hAnsi="Calibri" w:cs="Calibri"/>
        </w:rPr>
        <w:t>be couple</w:t>
      </w:r>
      <w:r w:rsidR="006C62A0">
        <w:rPr>
          <w:rFonts w:ascii="Calibri" w:hAnsi="Calibri" w:cs="Calibri"/>
        </w:rPr>
        <w:t>d</w:t>
      </w:r>
      <w:r w:rsidR="006C62A0" w:rsidRPr="006C62A0">
        <w:rPr>
          <w:rFonts w:ascii="Calibri" w:hAnsi="Calibri" w:cs="Calibri"/>
        </w:rPr>
        <w:t xml:space="preserve"> with increased </w:t>
      </w:r>
      <w:r w:rsidR="00BA14BA" w:rsidRPr="006C62A0">
        <w:rPr>
          <w:rFonts w:ascii="Calibri" w:hAnsi="Calibri" w:cs="Calibri"/>
        </w:rPr>
        <w:t xml:space="preserve">investment in and provision of harm reduction services; a separate submission, led by Harm Reduction International and joined by many of the organisations behind this submission, will </w:t>
      </w:r>
      <w:r w:rsidR="006C62A0">
        <w:rPr>
          <w:rFonts w:ascii="Calibri" w:hAnsi="Calibri" w:cs="Calibri"/>
        </w:rPr>
        <w:t>seek to provide input on that aspect.</w:t>
      </w:r>
    </w:p>
    <w:p w14:paraId="4FBC6763" w14:textId="7843F3B5" w:rsidR="008858C5" w:rsidRPr="001158BF" w:rsidRDefault="00F017A8" w:rsidP="001158BF">
      <w:pPr>
        <w:spacing w:after="200"/>
        <w:jc w:val="both"/>
        <w:rPr>
          <w:rFonts w:ascii="Calibri" w:hAnsi="Calibri" w:cs="Calibri"/>
          <w:b/>
          <w:bCs/>
          <w:sz w:val="30"/>
          <w:szCs w:val="30"/>
        </w:rPr>
      </w:pPr>
      <w:r>
        <w:rPr>
          <w:rFonts w:ascii="Calibri" w:hAnsi="Calibri" w:cs="Calibri"/>
          <w:b/>
          <w:bCs/>
          <w:sz w:val="30"/>
          <w:szCs w:val="30"/>
        </w:rPr>
        <w:t>C</w:t>
      </w:r>
      <w:r w:rsidR="008711A8" w:rsidRPr="008858C5">
        <w:rPr>
          <w:rFonts w:ascii="Calibri" w:hAnsi="Calibri" w:cs="Calibri"/>
          <w:b/>
          <w:bCs/>
          <w:sz w:val="30"/>
          <w:szCs w:val="30"/>
        </w:rPr>
        <w:t xml:space="preserve">riminalisation </w:t>
      </w:r>
      <w:r>
        <w:rPr>
          <w:rFonts w:ascii="Calibri" w:hAnsi="Calibri" w:cs="Calibri"/>
          <w:b/>
          <w:bCs/>
          <w:sz w:val="30"/>
          <w:szCs w:val="30"/>
        </w:rPr>
        <w:t xml:space="preserve">as a driver of the HIV/AIDS </w:t>
      </w:r>
      <w:r w:rsidR="00372C07">
        <w:rPr>
          <w:rFonts w:ascii="Calibri" w:hAnsi="Calibri" w:cs="Calibri"/>
          <w:b/>
          <w:bCs/>
          <w:sz w:val="30"/>
          <w:szCs w:val="30"/>
        </w:rPr>
        <w:t xml:space="preserve">epidemic </w:t>
      </w:r>
    </w:p>
    <w:p w14:paraId="242C1EE7" w14:textId="274E6757" w:rsidR="00F017A8" w:rsidRPr="00F017A8" w:rsidRDefault="00F017A8" w:rsidP="001158BF">
      <w:pPr>
        <w:pStyle w:val="ListParagraph"/>
        <w:numPr>
          <w:ilvl w:val="0"/>
          <w:numId w:val="4"/>
        </w:numPr>
        <w:spacing w:line="240" w:lineRule="auto"/>
        <w:ind w:left="426" w:hanging="426"/>
        <w:jc w:val="both"/>
        <w:rPr>
          <w:rFonts w:ascii="Calibri" w:hAnsi="Calibri" w:cs="Calibri"/>
        </w:rPr>
      </w:pPr>
      <w:r w:rsidRPr="00F017A8">
        <w:rPr>
          <w:rFonts w:ascii="Calibri" w:hAnsi="Calibri" w:cs="Calibri"/>
        </w:rPr>
        <w:t>For years, UN bodies and Member States</w:t>
      </w:r>
      <w:r w:rsidRPr="00F017A8">
        <w:rPr>
          <w:rStyle w:val="EndnoteReference"/>
          <w:rFonts w:ascii="Calibri" w:hAnsi="Calibri" w:cs="Calibri"/>
        </w:rPr>
        <w:endnoteReference w:id="1"/>
      </w:r>
      <w:r w:rsidRPr="00F017A8">
        <w:rPr>
          <w:rFonts w:ascii="Calibri" w:hAnsi="Calibri" w:cs="Calibri"/>
        </w:rPr>
        <w:t xml:space="preserve"> have recognised that people who use drugs – in particular people who inject drugs – are a key population at high risk of HIV infection, </w:t>
      </w:r>
      <w:r>
        <w:rPr>
          <w:rFonts w:ascii="Calibri" w:hAnsi="Calibri" w:cs="Calibri"/>
        </w:rPr>
        <w:t>and that they</w:t>
      </w:r>
      <w:r w:rsidRPr="00F017A8">
        <w:rPr>
          <w:rFonts w:ascii="Calibri" w:hAnsi="Calibri" w:cs="Calibri"/>
        </w:rPr>
        <w:t xml:space="preserve"> are subject to heightened stigma and discrimination. According to data released by UNAIDS in 2021</w:t>
      </w:r>
      <w:r w:rsidRPr="00F017A8">
        <w:rPr>
          <w:rStyle w:val="EndnoteReference"/>
          <w:rFonts w:ascii="Calibri" w:hAnsi="Calibri" w:cs="Calibri"/>
        </w:rPr>
        <w:endnoteReference w:id="2"/>
      </w:r>
      <w:r w:rsidRPr="00F017A8">
        <w:rPr>
          <w:rFonts w:ascii="Calibri" w:hAnsi="Calibri" w:cs="Calibri"/>
        </w:rPr>
        <w:t xml:space="preserve">, people who inject drugs are 35 times </w:t>
      </w:r>
      <w:r w:rsidR="00574EAF">
        <w:rPr>
          <w:rFonts w:ascii="Calibri" w:hAnsi="Calibri" w:cs="Calibri"/>
        </w:rPr>
        <w:t>more likely to</w:t>
      </w:r>
      <w:r w:rsidRPr="00F017A8">
        <w:rPr>
          <w:rFonts w:ascii="Calibri" w:hAnsi="Calibri" w:cs="Calibri"/>
        </w:rPr>
        <w:t xml:space="preserve"> </w:t>
      </w:r>
      <w:r w:rsidR="00574EAF">
        <w:rPr>
          <w:rFonts w:ascii="Calibri" w:hAnsi="Calibri" w:cs="Calibri"/>
        </w:rPr>
        <w:t>contract</w:t>
      </w:r>
      <w:r w:rsidR="00574EAF" w:rsidRPr="00F017A8">
        <w:rPr>
          <w:rFonts w:ascii="Calibri" w:hAnsi="Calibri" w:cs="Calibri"/>
        </w:rPr>
        <w:t xml:space="preserve"> </w:t>
      </w:r>
      <w:r w:rsidRPr="00F017A8">
        <w:rPr>
          <w:rFonts w:ascii="Calibri" w:hAnsi="Calibri" w:cs="Calibri"/>
        </w:rPr>
        <w:t xml:space="preserve">HIV than people who do not inject drugs. </w:t>
      </w:r>
      <w:r w:rsidR="008337E5">
        <w:rPr>
          <w:rFonts w:ascii="Calibri" w:hAnsi="Calibri" w:cs="Calibri"/>
        </w:rPr>
        <w:t>O</w:t>
      </w:r>
      <w:r w:rsidRPr="00F017A8">
        <w:rPr>
          <w:rFonts w:ascii="Calibri" w:hAnsi="Calibri" w:cs="Calibri"/>
        </w:rPr>
        <w:t xml:space="preserve">utside Sub-Saharan Africa, 20% of new HIV infections </w:t>
      </w:r>
      <w:r w:rsidR="00D71B8F">
        <w:rPr>
          <w:rFonts w:ascii="Calibri" w:hAnsi="Calibri" w:cs="Calibri"/>
        </w:rPr>
        <w:t>are associated with injecting drug use</w:t>
      </w:r>
      <w:r w:rsidRPr="00F017A8">
        <w:rPr>
          <w:rFonts w:ascii="Calibri" w:hAnsi="Calibri" w:cs="Calibri"/>
        </w:rPr>
        <w:t xml:space="preserve"> –</w:t>
      </w:r>
      <w:r w:rsidR="008337E5">
        <w:rPr>
          <w:rFonts w:ascii="Calibri" w:hAnsi="Calibri" w:cs="Calibri"/>
        </w:rPr>
        <w:t xml:space="preserve"> rising to </w:t>
      </w:r>
      <w:r w:rsidRPr="00F017A8">
        <w:rPr>
          <w:rFonts w:ascii="Calibri" w:hAnsi="Calibri" w:cs="Calibri"/>
        </w:rPr>
        <w:t>25% in</w:t>
      </w:r>
      <w:r w:rsidR="007D7609">
        <w:rPr>
          <w:rFonts w:ascii="Calibri" w:hAnsi="Calibri" w:cs="Calibri"/>
        </w:rPr>
        <w:t xml:space="preserve"> the</w:t>
      </w:r>
      <w:r w:rsidRPr="00F017A8">
        <w:rPr>
          <w:rFonts w:ascii="Calibri" w:hAnsi="Calibri" w:cs="Calibri"/>
        </w:rPr>
        <w:t xml:space="preserve"> Middle East and North Africa</w:t>
      </w:r>
      <w:r w:rsidRPr="00F017A8">
        <w:rPr>
          <w:rStyle w:val="EndnoteReference"/>
          <w:rFonts w:ascii="Calibri" w:hAnsi="Calibri" w:cs="Calibri"/>
        </w:rPr>
        <w:endnoteReference w:id="3"/>
      </w:r>
      <w:r w:rsidRPr="00F017A8">
        <w:rPr>
          <w:rFonts w:ascii="Calibri" w:hAnsi="Calibri" w:cs="Calibri"/>
        </w:rPr>
        <w:t>, and to 43% in Eastern Europe and Central Asia</w:t>
      </w:r>
      <w:r w:rsidRPr="00F017A8">
        <w:rPr>
          <w:rStyle w:val="EndnoteReference"/>
          <w:rFonts w:ascii="Calibri" w:hAnsi="Calibri" w:cs="Calibri"/>
        </w:rPr>
        <w:endnoteReference w:id="4"/>
      </w:r>
      <w:r w:rsidRPr="00F017A8">
        <w:rPr>
          <w:rFonts w:ascii="Calibri" w:hAnsi="Calibri" w:cs="Calibri"/>
        </w:rPr>
        <w:t xml:space="preserve">.  </w:t>
      </w:r>
    </w:p>
    <w:p w14:paraId="42F09FB8" w14:textId="2A7BE2C2" w:rsidR="00F017A8" w:rsidRDefault="00F017A8" w:rsidP="001158BF">
      <w:pPr>
        <w:pStyle w:val="ListParagraph"/>
        <w:numPr>
          <w:ilvl w:val="0"/>
          <w:numId w:val="4"/>
        </w:numPr>
        <w:spacing w:line="240" w:lineRule="auto"/>
        <w:ind w:left="426" w:hanging="426"/>
        <w:jc w:val="both"/>
        <w:rPr>
          <w:rFonts w:ascii="Calibri" w:hAnsi="Calibri" w:cs="Calibri"/>
          <w:lang w:eastAsia="en-US"/>
        </w:rPr>
      </w:pPr>
      <w:r w:rsidRPr="00F017A8">
        <w:rPr>
          <w:rFonts w:ascii="Calibri" w:hAnsi="Calibri" w:cs="Calibri"/>
        </w:rPr>
        <w:t xml:space="preserve">Alarmingly, </w:t>
      </w:r>
      <w:r w:rsidR="00872A01">
        <w:rPr>
          <w:rFonts w:ascii="Calibri" w:hAnsi="Calibri" w:cs="Calibri"/>
        </w:rPr>
        <w:t xml:space="preserve">HIV </w:t>
      </w:r>
      <w:r w:rsidRPr="00F017A8">
        <w:rPr>
          <w:rFonts w:ascii="Calibri" w:hAnsi="Calibri" w:cs="Calibri"/>
        </w:rPr>
        <w:t xml:space="preserve">infection rates amongst people who inject drugs have </w:t>
      </w:r>
      <w:r w:rsidR="00574EAF">
        <w:rPr>
          <w:rFonts w:ascii="Calibri" w:hAnsi="Calibri" w:cs="Calibri"/>
        </w:rPr>
        <w:t>increased</w:t>
      </w:r>
      <w:r w:rsidRPr="00F017A8">
        <w:rPr>
          <w:rFonts w:ascii="Calibri" w:hAnsi="Calibri" w:cs="Calibri"/>
        </w:rPr>
        <w:t xml:space="preserve"> in recent years. According to UNA</w:t>
      </w:r>
      <w:r w:rsidR="00534130">
        <w:rPr>
          <w:rFonts w:ascii="Calibri" w:hAnsi="Calibri" w:cs="Calibri"/>
        </w:rPr>
        <w:t>I</w:t>
      </w:r>
      <w:r w:rsidRPr="00F017A8">
        <w:rPr>
          <w:rFonts w:ascii="Calibri" w:hAnsi="Calibri" w:cs="Calibri"/>
        </w:rPr>
        <w:t>DS</w:t>
      </w:r>
      <w:r w:rsidRPr="00F017A8">
        <w:rPr>
          <w:rStyle w:val="EndnoteReference"/>
          <w:rFonts w:ascii="Calibri" w:hAnsi="Calibri" w:cs="Calibri"/>
        </w:rPr>
        <w:endnoteReference w:id="5"/>
      </w:r>
      <w:r w:rsidRPr="00F017A8">
        <w:rPr>
          <w:rFonts w:ascii="Calibri" w:hAnsi="Calibri" w:cs="Calibri"/>
        </w:rPr>
        <w:t xml:space="preserve">, </w:t>
      </w:r>
      <w:r w:rsidR="00872A01">
        <w:rPr>
          <w:rFonts w:ascii="Calibri" w:hAnsi="Calibri" w:cs="Calibri"/>
        </w:rPr>
        <w:t xml:space="preserve">while </w:t>
      </w:r>
      <w:r w:rsidRPr="00F017A8">
        <w:rPr>
          <w:rFonts w:ascii="Calibri" w:hAnsi="Calibri" w:cs="Calibri"/>
        </w:rPr>
        <w:t>HIV infection</w:t>
      </w:r>
      <w:r w:rsidR="008337E5">
        <w:rPr>
          <w:rFonts w:ascii="Calibri" w:hAnsi="Calibri" w:cs="Calibri"/>
        </w:rPr>
        <w:t>s</w:t>
      </w:r>
      <w:r w:rsidRPr="00F017A8">
        <w:rPr>
          <w:rFonts w:ascii="Calibri" w:hAnsi="Calibri" w:cs="Calibri"/>
        </w:rPr>
        <w:t xml:space="preserve"> declined </w:t>
      </w:r>
      <w:r w:rsidR="008337E5">
        <w:rPr>
          <w:rFonts w:ascii="Calibri" w:hAnsi="Calibri" w:cs="Calibri"/>
        </w:rPr>
        <w:t xml:space="preserve">globally </w:t>
      </w:r>
      <w:r w:rsidRPr="00F017A8">
        <w:rPr>
          <w:rFonts w:ascii="Calibri" w:hAnsi="Calibri" w:cs="Calibri"/>
        </w:rPr>
        <w:t xml:space="preserve">by 25% between 2010 and 2017, HIV infections among people who inject drugs rose in the same period across the world. In Eastern Europe and Central Asia, this has driven an overall 43% increase in HIV infections from 2010 to 2020, </w:t>
      </w:r>
      <w:r w:rsidR="00574EAF">
        <w:rPr>
          <w:rFonts w:ascii="Calibri" w:hAnsi="Calibri" w:cs="Calibri"/>
        </w:rPr>
        <w:t>with</w:t>
      </w:r>
      <w:r w:rsidRPr="00F017A8">
        <w:rPr>
          <w:rFonts w:ascii="Calibri" w:hAnsi="Calibri" w:cs="Calibri"/>
        </w:rPr>
        <w:t xml:space="preserve"> a </w:t>
      </w:r>
      <w:r w:rsidR="00574EAF">
        <w:rPr>
          <w:rFonts w:ascii="Calibri" w:hAnsi="Calibri" w:cs="Calibri"/>
        </w:rPr>
        <w:t xml:space="preserve">tragic </w:t>
      </w:r>
      <w:r w:rsidRPr="00F017A8">
        <w:rPr>
          <w:rFonts w:ascii="Calibri" w:hAnsi="Calibri" w:cs="Calibri"/>
        </w:rPr>
        <w:t>32% increase in AIDS-related deaths</w:t>
      </w:r>
      <w:r w:rsidRPr="00F017A8">
        <w:rPr>
          <w:rStyle w:val="EndnoteReference"/>
          <w:rFonts w:ascii="Calibri" w:hAnsi="Calibri" w:cs="Calibri"/>
        </w:rPr>
        <w:endnoteReference w:id="6"/>
      </w:r>
      <w:r w:rsidRPr="00F017A8">
        <w:rPr>
          <w:rFonts w:ascii="Calibri" w:hAnsi="Calibri" w:cs="Calibri"/>
        </w:rPr>
        <w:t>.</w:t>
      </w:r>
    </w:p>
    <w:p w14:paraId="1BDD8E87" w14:textId="58C3621F" w:rsidR="00E542B1" w:rsidRDefault="00534130" w:rsidP="001158BF">
      <w:pPr>
        <w:pStyle w:val="ListParagraph"/>
        <w:numPr>
          <w:ilvl w:val="0"/>
          <w:numId w:val="4"/>
        </w:numPr>
        <w:spacing w:line="240" w:lineRule="auto"/>
        <w:ind w:left="426" w:hanging="426"/>
        <w:jc w:val="both"/>
        <w:rPr>
          <w:rFonts w:ascii="Calibri" w:hAnsi="Calibri" w:cs="Calibri"/>
        </w:rPr>
      </w:pPr>
      <w:r w:rsidRPr="00534130">
        <w:rPr>
          <w:rFonts w:ascii="Calibri" w:hAnsi="Calibri" w:cs="Calibri"/>
        </w:rPr>
        <w:t>Evidence shows that punitive laws and policies, including</w:t>
      </w:r>
      <w:r w:rsidR="008337E5">
        <w:rPr>
          <w:rFonts w:ascii="Calibri" w:hAnsi="Calibri" w:cs="Calibri"/>
        </w:rPr>
        <w:t xml:space="preserve"> the</w:t>
      </w:r>
      <w:r w:rsidRPr="00534130">
        <w:rPr>
          <w:rFonts w:ascii="Calibri" w:hAnsi="Calibri" w:cs="Calibri"/>
        </w:rPr>
        <w:t xml:space="preserve"> criminalisation</w:t>
      </w:r>
      <w:r w:rsidR="008337E5">
        <w:rPr>
          <w:rFonts w:ascii="Calibri" w:hAnsi="Calibri" w:cs="Calibri"/>
        </w:rPr>
        <w:t xml:space="preserve"> of people who use drugs</w:t>
      </w:r>
      <w:r w:rsidR="008337E5">
        <w:rPr>
          <w:rStyle w:val="EndnoteReference"/>
          <w:rFonts w:ascii="Calibri" w:hAnsi="Calibri" w:cs="Calibri"/>
        </w:rPr>
        <w:endnoteReference w:id="7"/>
      </w:r>
      <w:r w:rsidRPr="00534130">
        <w:rPr>
          <w:rFonts w:ascii="Calibri" w:hAnsi="Calibri" w:cs="Calibri"/>
        </w:rPr>
        <w:t xml:space="preserve">, </w:t>
      </w:r>
      <w:r w:rsidR="00E542B1">
        <w:rPr>
          <w:rFonts w:ascii="Calibri" w:hAnsi="Calibri" w:cs="Calibri"/>
        </w:rPr>
        <w:t xml:space="preserve">are </w:t>
      </w:r>
      <w:r w:rsidR="009039BF">
        <w:rPr>
          <w:rFonts w:ascii="Calibri" w:hAnsi="Calibri" w:cs="Calibri"/>
        </w:rPr>
        <w:t xml:space="preserve">key </w:t>
      </w:r>
      <w:r w:rsidR="00E542B1">
        <w:rPr>
          <w:rFonts w:ascii="Calibri" w:hAnsi="Calibri" w:cs="Calibri"/>
        </w:rPr>
        <w:t>contributors to</w:t>
      </w:r>
      <w:r w:rsidRPr="00534130">
        <w:rPr>
          <w:rFonts w:ascii="Calibri" w:hAnsi="Calibri" w:cs="Calibri"/>
        </w:rPr>
        <w:t xml:space="preserve"> this negative trend. </w:t>
      </w:r>
      <w:r w:rsidR="009039BF">
        <w:rPr>
          <w:rFonts w:ascii="Calibri" w:hAnsi="Calibri" w:cs="Calibri"/>
        </w:rPr>
        <w:t>T</w:t>
      </w:r>
      <w:r w:rsidRPr="00534130">
        <w:rPr>
          <w:rFonts w:ascii="Calibri" w:hAnsi="Calibri" w:cs="Calibri"/>
        </w:rPr>
        <w:t xml:space="preserve">his </w:t>
      </w:r>
      <w:r w:rsidR="009039BF">
        <w:rPr>
          <w:rFonts w:ascii="Calibri" w:hAnsi="Calibri" w:cs="Calibri"/>
        </w:rPr>
        <w:t>is</w:t>
      </w:r>
      <w:r w:rsidRPr="00534130">
        <w:rPr>
          <w:rFonts w:ascii="Calibri" w:hAnsi="Calibri" w:cs="Calibri"/>
        </w:rPr>
        <w:t xml:space="preserve"> acknowledged </w:t>
      </w:r>
      <w:r w:rsidR="009039BF">
        <w:rPr>
          <w:rFonts w:ascii="Calibri" w:hAnsi="Calibri" w:cs="Calibri"/>
        </w:rPr>
        <w:t>in</w:t>
      </w:r>
      <w:r w:rsidR="009039BF" w:rsidRPr="00534130">
        <w:rPr>
          <w:rFonts w:ascii="Calibri" w:hAnsi="Calibri" w:cs="Calibri"/>
        </w:rPr>
        <w:t xml:space="preserve"> </w:t>
      </w:r>
      <w:r w:rsidRPr="00534130">
        <w:rPr>
          <w:rFonts w:ascii="Calibri" w:hAnsi="Calibri" w:cs="Calibri"/>
        </w:rPr>
        <w:t>the 2021 Political Declaration on Ending AIDS</w:t>
      </w:r>
      <w:r w:rsidRPr="00534130">
        <w:rPr>
          <w:rStyle w:val="EndnoteReference"/>
          <w:rFonts w:ascii="Calibri" w:hAnsi="Calibri" w:cs="Calibri"/>
        </w:rPr>
        <w:endnoteReference w:id="8"/>
      </w:r>
      <w:r w:rsidR="003A29D1">
        <w:rPr>
          <w:rFonts w:ascii="Calibri" w:hAnsi="Calibri" w:cs="Calibri"/>
        </w:rPr>
        <w:t xml:space="preserve"> and the UNAIDS Global AIDS Strategy for 2021-2025</w:t>
      </w:r>
      <w:r w:rsidR="003A29D1">
        <w:rPr>
          <w:rStyle w:val="EndnoteReference"/>
          <w:rFonts w:ascii="Calibri" w:hAnsi="Calibri" w:cs="Calibri"/>
        </w:rPr>
        <w:endnoteReference w:id="9"/>
      </w:r>
      <w:r w:rsidRPr="00534130">
        <w:rPr>
          <w:rFonts w:ascii="Calibri" w:hAnsi="Calibri" w:cs="Calibri"/>
        </w:rPr>
        <w:t xml:space="preserve">. </w:t>
      </w:r>
    </w:p>
    <w:p w14:paraId="21E5ECA4" w14:textId="5D6446C2" w:rsidR="00F455A1" w:rsidRPr="00E542B1" w:rsidRDefault="00534130" w:rsidP="00E542B1">
      <w:pPr>
        <w:pStyle w:val="ListParagraph"/>
        <w:numPr>
          <w:ilvl w:val="0"/>
          <w:numId w:val="4"/>
        </w:numPr>
        <w:spacing w:line="240" w:lineRule="auto"/>
        <w:ind w:left="426" w:hanging="426"/>
        <w:jc w:val="both"/>
        <w:rPr>
          <w:rFonts w:ascii="Calibri" w:hAnsi="Calibri" w:cs="Calibri"/>
        </w:rPr>
      </w:pPr>
      <w:r w:rsidRPr="009C31D5">
        <w:rPr>
          <w:rFonts w:ascii="Calibri" w:hAnsi="Calibri" w:cs="Calibri"/>
        </w:rPr>
        <w:t xml:space="preserve">A global analysis </w:t>
      </w:r>
      <w:r w:rsidR="006454B1" w:rsidRPr="009C31D5">
        <w:rPr>
          <w:rFonts w:ascii="Calibri" w:hAnsi="Calibri" w:cs="Calibri"/>
        </w:rPr>
        <w:t xml:space="preserve">published in 2021 </w:t>
      </w:r>
      <w:r w:rsidRPr="009C31D5">
        <w:rPr>
          <w:rFonts w:ascii="Calibri" w:hAnsi="Calibri" w:cs="Calibri"/>
        </w:rPr>
        <w:t>by Georgetown University show</w:t>
      </w:r>
      <w:r w:rsidR="00F94C23">
        <w:rPr>
          <w:rFonts w:ascii="Calibri" w:hAnsi="Calibri" w:cs="Calibri"/>
        </w:rPr>
        <w:t>ed</w:t>
      </w:r>
      <w:r w:rsidRPr="009C31D5">
        <w:rPr>
          <w:rFonts w:ascii="Calibri" w:hAnsi="Calibri" w:cs="Calibri"/>
        </w:rPr>
        <w:t xml:space="preserve"> that the criminalisation of drug use or possession for personal use was associated with 14% lower rates of both people who knew their HIV status and people who had suppressed the</w:t>
      </w:r>
      <w:r w:rsidR="00D878B5">
        <w:rPr>
          <w:rFonts w:ascii="Calibri" w:hAnsi="Calibri" w:cs="Calibri"/>
        </w:rPr>
        <w:t>ir</w:t>
      </w:r>
      <w:r w:rsidRPr="009C31D5">
        <w:rPr>
          <w:rFonts w:ascii="Calibri" w:hAnsi="Calibri" w:cs="Calibri"/>
        </w:rPr>
        <w:t xml:space="preserve"> HIV viral charge</w:t>
      </w:r>
      <w:r w:rsidRPr="00534130">
        <w:rPr>
          <w:rStyle w:val="EndnoteReference"/>
          <w:rFonts w:ascii="Calibri" w:hAnsi="Calibri" w:cs="Calibri"/>
        </w:rPr>
        <w:endnoteReference w:id="10"/>
      </w:r>
      <w:r w:rsidRPr="009C31D5">
        <w:rPr>
          <w:rFonts w:ascii="Calibri" w:hAnsi="Calibri" w:cs="Calibri"/>
        </w:rPr>
        <w:t>.</w:t>
      </w:r>
      <w:r w:rsidR="009C31D5">
        <w:rPr>
          <w:rFonts w:ascii="Calibri" w:hAnsi="Calibri" w:cs="Calibri"/>
        </w:rPr>
        <w:t xml:space="preserve"> </w:t>
      </w:r>
      <w:r w:rsidR="009C31D5" w:rsidRPr="00E542B1">
        <w:rPr>
          <w:rFonts w:ascii="Calibri" w:hAnsi="Calibri" w:cs="Calibri"/>
        </w:rPr>
        <w:t>This finding confirm</w:t>
      </w:r>
      <w:r w:rsidR="00D878B5">
        <w:rPr>
          <w:rFonts w:ascii="Calibri" w:hAnsi="Calibri" w:cs="Calibri"/>
        </w:rPr>
        <w:t>s</w:t>
      </w:r>
      <w:r w:rsidR="009C31D5" w:rsidRPr="00E542B1">
        <w:rPr>
          <w:rFonts w:ascii="Calibri" w:hAnsi="Calibri" w:cs="Calibri"/>
        </w:rPr>
        <w:t xml:space="preserve"> the result</w:t>
      </w:r>
      <w:r w:rsidR="00D878B5">
        <w:rPr>
          <w:rFonts w:ascii="Calibri" w:hAnsi="Calibri" w:cs="Calibri"/>
        </w:rPr>
        <w:t>s</w:t>
      </w:r>
      <w:r w:rsidR="009C31D5" w:rsidRPr="00E542B1">
        <w:rPr>
          <w:rFonts w:ascii="Calibri" w:hAnsi="Calibri" w:cs="Calibri"/>
        </w:rPr>
        <w:t xml:space="preserve"> of </w:t>
      </w:r>
      <w:r w:rsidR="00E542B1">
        <w:rPr>
          <w:rFonts w:ascii="Calibri" w:hAnsi="Calibri" w:cs="Calibri"/>
        </w:rPr>
        <w:t xml:space="preserve">several </w:t>
      </w:r>
      <w:r w:rsidR="009C31D5" w:rsidRPr="00E542B1">
        <w:rPr>
          <w:rFonts w:ascii="Calibri" w:hAnsi="Calibri" w:cs="Calibri"/>
        </w:rPr>
        <w:t>smaller-</w:t>
      </w:r>
      <w:r w:rsidR="00E542B1">
        <w:rPr>
          <w:rFonts w:ascii="Calibri" w:hAnsi="Calibri" w:cs="Calibri"/>
        </w:rPr>
        <w:t xml:space="preserve">scale </w:t>
      </w:r>
      <w:r w:rsidR="009C31D5" w:rsidRPr="00E542B1">
        <w:rPr>
          <w:rFonts w:ascii="Calibri" w:hAnsi="Calibri" w:cs="Calibri"/>
        </w:rPr>
        <w:t>studies</w:t>
      </w:r>
      <w:r w:rsidR="00490301" w:rsidRPr="00E542B1">
        <w:rPr>
          <w:rFonts w:ascii="Calibri" w:hAnsi="Calibri" w:cs="Calibri"/>
        </w:rPr>
        <w:t xml:space="preserve">. For instance, a survey of 624 female sex workers who inject drugs in </w:t>
      </w:r>
      <w:r w:rsidR="00F94C23" w:rsidRPr="00E542B1">
        <w:rPr>
          <w:rFonts w:ascii="Calibri" w:hAnsi="Calibri" w:cs="Calibri"/>
        </w:rPr>
        <w:t xml:space="preserve">Mexico </w:t>
      </w:r>
      <w:r w:rsidR="00490301" w:rsidRPr="00E542B1">
        <w:rPr>
          <w:rFonts w:ascii="Calibri" w:hAnsi="Calibri" w:cs="Calibri"/>
        </w:rPr>
        <w:t xml:space="preserve">found that syringe confiscation </w:t>
      </w:r>
      <w:r w:rsidR="00F94C23" w:rsidRPr="00E542B1">
        <w:rPr>
          <w:rFonts w:ascii="Calibri" w:hAnsi="Calibri" w:cs="Calibri"/>
        </w:rPr>
        <w:t xml:space="preserve">was </w:t>
      </w:r>
      <w:r w:rsidR="00490301" w:rsidRPr="00E542B1">
        <w:rPr>
          <w:rFonts w:ascii="Calibri" w:hAnsi="Calibri" w:cs="Calibri"/>
        </w:rPr>
        <w:t xml:space="preserve">associated with </w:t>
      </w:r>
      <w:r w:rsidR="00F94C23" w:rsidRPr="00E542B1">
        <w:rPr>
          <w:rFonts w:ascii="Calibri" w:hAnsi="Calibri" w:cs="Calibri"/>
        </w:rPr>
        <w:t xml:space="preserve">higher </w:t>
      </w:r>
      <w:r w:rsidR="00D878B5">
        <w:rPr>
          <w:rFonts w:ascii="Calibri" w:hAnsi="Calibri" w:cs="Calibri"/>
        </w:rPr>
        <w:t>levels of HIV infections</w:t>
      </w:r>
      <w:r w:rsidR="00490301">
        <w:rPr>
          <w:rStyle w:val="EndnoteReference"/>
          <w:rFonts w:ascii="Calibri" w:hAnsi="Calibri" w:cs="Calibri"/>
        </w:rPr>
        <w:endnoteReference w:id="11"/>
      </w:r>
      <w:r w:rsidR="00490301" w:rsidRPr="00E542B1">
        <w:rPr>
          <w:rFonts w:ascii="Calibri" w:hAnsi="Calibri" w:cs="Calibri"/>
        </w:rPr>
        <w:t xml:space="preserve">. </w:t>
      </w:r>
      <w:r w:rsidR="00F455A1" w:rsidRPr="00E542B1">
        <w:rPr>
          <w:rFonts w:ascii="Calibri" w:hAnsi="Calibri" w:cs="Calibri"/>
        </w:rPr>
        <w:t xml:space="preserve">A 2021 survey of 731 women who inject drugs in Indonesia found that </w:t>
      </w:r>
      <w:r w:rsidR="00F455A1" w:rsidRPr="00E542B1">
        <w:rPr>
          <w:rFonts w:asciiTheme="minorHAnsi" w:hAnsiTheme="minorHAnsi"/>
          <w:color w:val="000000" w:themeColor="text1"/>
        </w:rPr>
        <w:t>being exposed to policing and arrest was linked with a 29.6% reduction in past-month access to a needle and syringe programme</w:t>
      </w:r>
      <w:r w:rsidR="00D878B5">
        <w:rPr>
          <w:rFonts w:asciiTheme="minorHAnsi" w:hAnsiTheme="minorHAnsi"/>
          <w:color w:val="000000" w:themeColor="text1"/>
        </w:rPr>
        <w:t>, while</w:t>
      </w:r>
      <w:r w:rsidR="00F455A1" w:rsidRPr="00E542B1">
        <w:rPr>
          <w:rFonts w:asciiTheme="minorHAnsi" w:hAnsiTheme="minorHAnsi"/>
          <w:color w:val="000000" w:themeColor="text1"/>
        </w:rPr>
        <w:t xml:space="preserve"> going to prison for a drug offence increased the likelihood of interrupting antiretroviral treatment by 42.3%</w:t>
      </w:r>
      <w:r w:rsidR="00F455A1">
        <w:rPr>
          <w:rStyle w:val="EndnoteReference"/>
          <w:rFonts w:asciiTheme="minorHAnsi" w:hAnsiTheme="minorHAnsi"/>
          <w:color w:val="000000" w:themeColor="text1"/>
        </w:rPr>
        <w:endnoteReference w:id="12"/>
      </w:r>
      <w:r w:rsidR="00F455A1" w:rsidRPr="00E542B1">
        <w:rPr>
          <w:rFonts w:asciiTheme="minorHAnsi" w:hAnsiTheme="minorHAnsi"/>
          <w:color w:val="000000" w:themeColor="text1"/>
        </w:rPr>
        <w:t>.</w:t>
      </w:r>
    </w:p>
    <w:p w14:paraId="4890453F" w14:textId="338DEBDB" w:rsidR="007E7B8A" w:rsidRDefault="00D61D76" w:rsidP="001158BF">
      <w:pPr>
        <w:pStyle w:val="ListParagraph"/>
        <w:numPr>
          <w:ilvl w:val="0"/>
          <w:numId w:val="4"/>
        </w:numPr>
        <w:spacing w:line="240" w:lineRule="auto"/>
        <w:ind w:left="426" w:hanging="426"/>
        <w:jc w:val="both"/>
        <w:rPr>
          <w:rFonts w:ascii="Calibri" w:hAnsi="Calibri" w:cs="Calibri"/>
        </w:rPr>
      </w:pPr>
      <w:r>
        <w:rPr>
          <w:rFonts w:ascii="Calibri" w:hAnsi="Calibri" w:cs="Calibri"/>
        </w:rPr>
        <w:t xml:space="preserve">The criminalisation of people who use drugs, as well as </w:t>
      </w:r>
      <w:r w:rsidR="00C60870">
        <w:rPr>
          <w:rFonts w:ascii="Calibri" w:hAnsi="Calibri" w:cs="Calibri"/>
        </w:rPr>
        <w:t>punitive</w:t>
      </w:r>
      <w:r>
        <w:rPr>
          <w:rFonts w:ascii="Calibri" w:hAnsi="Calibri" w:cs="Calibri"/>
        </w:rPr>
        <w:t xml:space="preserve"> policing practices such as the surveillance of </w:t>
      </w:r>
      <w:r w:rsidR="00F94C23">
        <w:rPr>
          <w:rFonts w:ascii="Calibri" w:hAnsi="Calibri" w:cs="Calibri"/>
        </w:rPr>
        <w:t>ope</w:t>
      </w:r>
      <w:r w:rsidR="00962BA6">
        <w:rPr>
          <w:rFonts w:ascii="Calibri" w:hAnsi="Calibri" w:cs="Calibri"/>
        </w:rPr>
        <w:t xml:space="preserve">n-air </w:t>
      </w:r>
      <w:r>
        <w:rPr>
          <w:rFonts w:ascii="Calibri" w:hAnsi="Calibri" w:cs="Calibri"/>
        </w:rPr>
        <w:t>drug use</w:t>
      </w:r>
      <w:r w:rsidR="00F94C23">
        <w:rPr>
          <w:rFonts w:ascii="Calibri" w:hAnsi="Calibri" w:cs="Calibri"/>
        </w:rPr>
        <w:t xml:space="preserve"> locations</w:t>
      </w:r>
      <w:r>
        <w:rPr>
          <w:rFonts w:ascii="Calibri" w:hAnsi="Calibri" w:cs="Calibri"/>
        </w:rPr>
        <w:t xml:space="preserve">, </w:t>
      </w:r>
      <w:r w:rsidR="00F94C23">
        <w:rPr>
          <w:rFonts w:ascii="Calibri" w:hAnsi="Calibri" w:cs="Calibri"/>
        </w:rPr>
        <w:t xml:space="preserve">the harassment of people outside harm reduction centres, </w:t>
      </w:r>
      <w:r>
        <w:rPr>
          <w:rFonts w:ascii="Calibri" w:hAnsi="Calibri" w:cs="Calibri"/>
        </w:rPr>
        <w:t xml:space="preserve">the confiscation of drug use equipment, and stop and search of </w:t>
      </w:r>
      <w:r w:rsidR="00C60870">
        <w:rPr>
          <w:rFonts w:ascii="Calibri" w:hAnsi="Calibri" w:cs="Calibri"/>
        </w:rPr>
        <w:t>people suspected of using drugs</w:t>
      </w:r>
      <w:r>
        <w:rPr>
          <w:rFonts w:ascii="Calibri" w:hAnsi="Calibri" w:cs="Calibri"/>
        </w:rPr>
        <w:t xml:space="preserve">, create important barriers to accessing critical </w:t>
      </w:r>
      <w:r w:rsidR="00305E9A">
        <w:rPr>
          <w:rFonts w:ascii="Calibri" w:hAnsi="Calibri" w:cs="Calibri"/>
        </w:rPr>
        <w:t>health</w:t>
      </w:r>
      <w:r w:rsidR="00F43A65">
        <w:rPr>
          <w:rFonts w:ascii="Calibri" w:hAnsi="Calibri" w:cs="Calibri"/>
        </w:rPr>
        <w:t xml:space="preserve"> </w:t>
      </w:r>
      <w:r>
        <w:rPr>
          <w:rFonts w:ascii="Calibri" w:hAnsi="Calibri" w:cs="Calibri"/>
        </w:rPr>
        <w:t xml:space="preserve">and harm reduction </w:t>
      </w:r>
      <w:r w:rsidR="00C60870">
        <w:rPr>
          <w:rFonts w:ascii="Calibri" w:hAnsi="Calibri" w:cs="Calibri"/>
        </w:rPr>
        <w:t>interventions</w:t>
      </w:r>
      <w:r w:rsidR="00F43A65">
        <w:rPr>
          <w:rStyle w:val="EndnoteReference"/>
          <w:rFonts w:ascii="Calibri" w:hAnsi="Calibri" w:cs="Calibri"/>
        </w:rPr>
        <w:endnoteReference w:id="13"/>
      </w:r>
      <w:r w:rsidR="006454B1">
        <w:rPr>
          <w:rFonts w:ascii="Calibri" w:hAnsi="Calibri" w:cs="Calibri"/>
        </w:rPr>
        <w:t xml:space="preserve">, </w:t>
      </w:r>
      <w:r w:rsidR="00962BA6">
        <w:rPr>
          <w:rFonts w:ascii="Calibri" w:hAnsi="Calibri" w:cs="Calibri"/>
        </w:rPr>
        <w:t xml:space="preserve">as people who are </w:t>
      </w:r>
      <w:r w:rsidR="00962BA6">
        <w:rPr>
          <w:rFonts w:ascii="Calibri" w:hAnsi="Calibri" w:cs="Calibri"/>
        </w:rPr>
        <w:lastRenderedPageBreak/>
        <w:t xml:space="preserve">criminalised shun away from medical and harm reduction </w:t>
      </w:r>
      <w:r w:rsidR="00C60870">
        <w:rPr>
          <w:rFonts w:ascii="Calibri" w:hAnsi="Calibri" w:cs="Calibri"/>
        </w:rPr>
        <w:t xml:space="preserve">services </w:t>
      </w:r>
      <w:r w:rsidR="00962BA6">
        <w:rPr>
          <w:rFonts w:ascii="Calibri" w:hAnsi="Calibri" w:cs="Calibri"/>
        </w:rPr>
        <w:t xml:space="preserve">out of fear of </w:t>
      </w:r>
      <w:r w:rsidR="00712AC6">
        <w:rPr>
          <w:rFonts w:ascii="Calibri" w:hAnsi="Calibri" w:cs="Calibri"/>
        </w:rPr>
        <w:t xml:space="preserve">arrest, </w:t>
      </w:r>
      <w:r w:rsidR="00962BA6">
        <w:rPr>
          <w:rFonts w:ascii="Calibri" w:hAnsi="Calibri" w:cs="Calibri"/>
        </w:rPr>
        <w:t xml:space="preserve">punishment or </w:t>
      </w:r>
      <w:r w:rsidR="00C60870">
        <w:rPr>
          <w:rFonts w:ascii="Calibri" w:hAnsi="Calibri" w:cs="Calibri"/>
        </w:rPr>
        <w:t>stigma</w:t>
      </w:r>
      <w:r w:rsidR="00962BA6">
        <w:rPr>
          <w:rFonts w:ascii="Calibri" w:hAnsi="Calibri" w:cs="Calibri"/>
        </w:rPr>
        <w:t xml:space="preserve">. As a result, </w:t>
      </w:r>
      <w:r w:rsidR="00712AC6">
        <w:rPr>
          <w:rFonts w:ascii="Calibri" w:hAnsi="Calibri" w:cs="Calibri"/>
        </w:rPr>
        <w:t xml:space="preserve">people who inject drugs are </w:t>
      </w:r>
      <w:r w:rsidR="006454B1">
        <w:rPr>
          <w:rFonts w:ascii="Calibri" w:hAnsi="Calibri" w:cs="Calibri"/>
        </w:rPr>
        <w:t xml:space="preserve">more likely to share </w:t>
      </w:r>
      <w:r w:rsidR="00962BA6">
        <w:rPr>
          <w:rFonts w:ascii="Calibri" w:hAnsi="Calibri" w:cs="Calibri"/>
        </w:rPr>
        <w:t xml:space="preserve">injecting </w:t>
      </w:r>
      <w:r w:rsidR="006454B1">
        <w:rPr>
          <w:rFonts w:ascii="Calibri" w:hAnsi="Calibri" w:cs="Calibri"/>
        </w:rPr>
        <w:t>equipment</w:t>
      </w:r>
      <w:r w:rsidR="00712AC6">
        <w:rPr>
          <w:rFonts w:ascii="Calibri" w:hAnsi="Calibri" w:cs="Calibri"/>
        </w:rPr>
        <w:t xml:space="preserve"> and to engage in riskier injection practices</w:t>
      </w:r>
      <w:r w:rsidR="006454B1">
        <w:rPr>
          <w:rFonts w:ascii="Calibri" w:hAnsi="Calibri" w:cs="Calibri"/>
        </w:rPr>
        <w:t>, thus exposing themselves to higher risk</w:t>
      </w:r>
      <w:r w:rsidR="00712AC6">
        <w:rPr>
          <w:rFonts w:ascii="Calibri" w:hAnsi="Calibri" w:cs="Calibri"/>
        </w:rPr>
        <w:t>s</w:t>
      </w:r>
      <w:r w:rsidR="006454B1">
        <w:rPr>
          <w:rFonts w:ascii="Calibri" w:hAnsi="Calibri" w:cs="Calibri"/>
        </w:rPr>
        <w:t xml:space="preserve"> of infection</w:t>
      </w:r>
      <w:r w:rsidR="00712AC6">
        <w:rPr>
          <w:rFonts w:ascii="Calibri" w:hAnsi="Calibri" w:cs="Calibri"/>
        </w:rPr>
        <w:t xml:space="preserve"> of blood-borne diseases</w:t>
      </w:r>
      <w:r w:rsidR="006454B1">
        <w:rPr>
          <w:rStyle w:val="EndnoteReference"/>
          <w:rFonts w:ascii="Calibri" w:hAnsi="Calibri" w:cs="Calibri"/>
        </w:rPr>
        <w:endnoteReference w:id="14"/>
      </w:r>
      <w:r w:rsidR="00712AC6">
        <w:rPr>
          <w:rFonts w:ascii="Calibri" w:hAnsi="Calibri" w:cs="Calibri"/>
        </w:rPr>
        <w:t xml:space="preserve"> and </w:t>
      </w:r>
      <w:r w:rsidR="006454B1">
        <w:rPr>
          <w:rFonts w:ascii="Calibri" w:hAnsi="Calibri" w:cs="Calibri"/>
        </w:rPr>
        <w:t>overdose</w:t>
      </w:r>
      <w:r w:rsidR="00F43A65">
        <w:rPr>
          <w:rFonts w:ascii="Calibri" w:hAnsi="Calibri" w:cs="Calibri"/>
        </w:rPr>
        <w:t xml:space="preserve">. </w:t>
      </w:r>
    </w:p>
    <w:p w14:paraId="026479F7" w14:textId="77777777" w:rsidR="001158BF" w:rsidRPr="00962BA6" w:rsidRDefault="001158BF" w:rsidP="00962BA6">
      <w:pPr>
        <w:jc w:val="both"/>
        <w:rPr>
          <w:rFonts w:ascii="Calibri" w:hAnsi="Calibri" w:cs="Calibri"/>
          <w:b/>
          <w:bCs/>
          <w:sz w:val="22"/>
          <w:szCs w:val="22"/>
        </w:rPr>
      </w:pPr>
    </w:p>
    <w:p w14:paraId="74FD94C1" w14:textId="0AEEB362" w:rsidR="007E0504" w:rsidRPr="00712AC6" w:rsidRDefault="000F474C" w:rsidP="001158BF">
      <w:pPr>
        <w:spacing w:after="200"/>
        <w:jc w:val="both"/>
        <w:rPr>
          <w:rFonts w:ascii="Calibri" w:hAnsi="Calibri" w:cs="Calibri"/>
          <w:b/>
          <w:bCs/>
          <w:sz w:val="30"/>
          <w:szCs w:val="30"/>
        </w:rPr>
      </w:pPr>
      <w:r w:rsidRPr="00712AC6">
        <w:rPr>
          <w:rFonts w:ascii="Calibri" w:hAnsi="Calibri" w:cs="Calibri"/>
          <w:b/>
          <w:bCs/>
          <w:sz w:val="30"/>
          <w:szCs w:val="30"/>
        </w:rPr>
        <w:t>I</w:t>
      </w:r>
      <w:r w:rsidR="007E0504" w:rsidRPr="00712AC6">
        <w:rPr>
          <w:rFonts w:ascii="Calibri" w:hAnsi="Calibri" w:cs="Calibri"/>
          <w:b/>
          <w:bCs/>
          <w:sz w:val="30"/>
          <w:szCs w:val="30"/>
        </w:rPr>
        <w:t>mpact of criminalisation on the human rights of people who use drugs</w:t>
      </w:r>
    </w:p>
    <w:p w14:paraId="49498F26" w14:textId="1FDDDB15" w:rsidR="00D46154" w:rsidRDefault="00D46154" w:rsidP="001158BF">
      <w:pPr>
        <w:pStyle w:val="ListParagraph"/>
        <w:numPr>
          <w:ilvl w:val="0"/>
          <w:numId w:val="4"/>
        </w:numPr>
        <w:spacing w:line="240" w:lineRule="auto"/>
        <w:ind w:left="426" w:hanging="426"/>
        <w:jc w:val="both"/>
        <w:rPr>
          <w:rFonts w:ascii="Calibri" w:hAnsi="Calibri" w:cs="Calibri"/>
        </w:rPr>
      </w:pPr>
      <w:r>
        <w:rPr>
          <w:rFonts w:ascii="Calibri" w:hAnsi="Calibri" w:cs="Calibri"/>
        </w:rPr>
        <w:t xml:space="preserve">Criminalisation </w:t>
      </w:r>
      <w:r w:rsidR="00C60870">
        <w:rPr>
          <w:rFonts w:ascii="Calibri" w:hAnsi="Calibri" w:cs="Calibri"/>
        </w:rPr>
        <w:t>has</w:t>
      </w:r>
      <w:r w:rsidR="00C45D9B">
        <w:rPr>
          <w:rFonts w:ascii="Calibri" w:hAnsi="Calibri" w:cs="Calibri"/>
        </w:rPr>
        <w:t xml:space="preserve"> </w:t>
      </w:r>
      <w:r>
        <w:rPr>
          <w:rFonts w:ascii="Calibri" w:hAnsi="Calibri" w:cs="Calibri"/>
        </w:rPr>
        <w:t xml:space="preserve">devastating consequences </w:t>
      </w:r>
      <w:r w:rsidR="00B52817">
        <w:rPr>
          <w:rFonts w:ascii="Calibri" w:hAnsi="Calibri" w:cs="Calibri"/>
        </w:rPr>
        <w:t>on the human rights of</w:t>
      </w:r>
      <w:r w:rsidR="000F474C">
        <w:rPr>
          <w:rFonts w:ascii="Calibri" w:hAnsi="Calibri" w:cs="Calibri"/>
        </w:rPr>
        <w:t xml:space="preserve"> people who use drugs</w:t>
      </w:r>
      <w:r>
        <w:rPr>
          <w:rFonts w:ascii="Calibri" w:hAnsi="Calibri" w:cs="Calibri"/>
        </w:rPr>
        <w:t xml:space="preserve">, </w:t>
      </w:r>
      <w:r w:rsidR="001E0B54">
        <w:rPr>
          <w:rFonts w:ascii="Calibri" w:hAnsi="Calibri" w:cs="Calibri"/>
        </w:rPr>
        <w:t xml:space="preserve">particularly those facing </w:t>
      </w:r>
      <w:r w:rsidR="00712AC6">
        <w:rPr>
          <w:rFonts w:ascii="Calibri" w:hAnsi="Calibri" w:cs="Calibri"/>
        </w:rPr>
        <w:t>intersecting</w:t>
      </w:r>
      <w:r w:rsidR="001E0B54">
        <w:rPr>
          <w:rFonts w:ascii="Calibri" w:hAnsi="Calibri" w:cs="Calibri"/>
        </w:rPr>
        <w:t xml:space="preserve"> forms of </w:t>
      </w:r>
      <w:r w:rsidR="00010B1A">
        <w:rPr>
          <w:rFonts w:ascii="Calibri" w:hAnsi="Calibri" w:cs="Calibri"/>
        </w:rPr>
        <w:t xml:space="preserve">criminalisation and/or </w:t>
      </w:r>
      <w:r w:rsidR="001E0B54">
        <w:rPr>
          <w:rFonts w:ascii="Calibri" w:hAnsi="Calibri" w:cs="Calibri"/>
        </w:rPr>
        <w:t>marginalisation</w:t>
      </w:r>
      <w:r>
        <w:rPr>
          <w:rFonts w:ascii="Calibri" w:hAnsi="Calibri" w:cs="Calibri"/>
        </w:rPr>
        <w:t>.</w:t>
      </w:r>
      <w:r w:rsidR="00BA14BA">
        <w:rPr>
          <w:rFonts w:ascii="Calibri" w:hAnsi="Calibri" w:cs="Calibri"/>
        </w:rPr>
        <w:t xml:space="preserve"> </w:t>
      </w:r>
    </w:p>
    <w:p w14:paraId="23926F59" w14:textId="0D95B357" w:rsidR="001E0B54" w:rsidRPr="001E0B54" w:rsidRDefault="007B002C" w:rsidP="001E0B54">
      <w:pPr>
        <w:pStyle w:val="ListParagraph"/>
        <w:numPr>
          <w:ilvl w:val="0"/>
          <w:numId w:val="4"/>
        </w:numPr>
        <w:spacing w:line="240" w:lineRule="auto"/>
        <w:ind w:left="426" w:hanging="426"/>
        <w:jc w:val="both"/>
        <w:rPr>
          <w:rStyle w:val="apple-converted-space"/>
          <w:rFonts w:ascii="Calibri" w:hAnsi="Calibri" w:cs="Calibri"/>
        </w:rPr>
      </w:pPr>
      <w:r>
        <w:rPr>
          <w:rFonts w:ascii="Calibri" w:hAnsi="Calibri" w:cs="Calibri"/>
          <w:b/>
          <w:bCs/>
        </w:rPr>
        <w:t>R</w:t>
      </w:r>
      <w:r w:rsidR="001E0B54" w:rsidRPr="001E0B54">
        <w:rPr>
          <w:rFonts w:ascii="Calibri" w:hAnsi="Calibri" w:cs="Calibri"/>
          <w:b/>
          <w:bCs/>
        </w:rPr>
        <w:t>ight to liberty</w:t>
      </w:r>
      <w:r w:rsidR="001E0B54" w:rsidRPr="001E0B54">
        <w:rPr>
          <w:rFonts w:ascii="Calibri" w:hAnsi="Calibri" w:cs="Calibri"/>
        </w:rPr>
        <w:t xml:space="preserve">. </w:t>
      </w:r>
      <w:r w:rsidR="00D46154" w:rsidRPr="001E0B54">
        <w:rPr>
          <w:rFonts w:ascii="Calibri" w:hAnsi="Calibri" w:cs="Calibri"/>
        </w:rPr>
        <w:t>The</w:t>
      </w:r>
      <w:r w:rsidR="00D46154">
        <w:rPr>
          <w:rFonts w:ascii="Calibri" w:hAnsi="Calibri" w:cs="Calibri"/>
        </w:rPr>
        <w:t xml:space="preserve"> UN Working Group on Arbitrary Detention has established that </w:t>
      </w:r>
      <w:r w:rsidR="00DC09CD">
        <w:rPr>
          <w:rFonts w:ascii="Calibri" w:hAnsi="Calibri" w:cs="Calibri"/>
        </w:rPr>
        <w:t xml:space="preserve">detention is not an appropriate response to drug use, and that the involuntary detention of people who use drugs can </w:t>
      </w:r>
      <w:r w:rsidR="0028098E">
        <w:rPr>
          <w:rFonts w:ascii="Calibri" w:hAnsi="Calibri" w:cs="Calibri"/>
        </w:rPr>
        <w:t>constitute arbitrary detention</w:t>
      </w:r>
      <w:r w:rsidR="0028098E">
        <w:rPr>
          <w:rStyle w:val="EndnoteReference"/>
          <w:rFonts w:ascii="Calibri" w:hAnsi="Calibri" w:cs="Calibri"/>
        </w:rPr>
        <w:endnoteReference w:id="15"/>
      </w:r>
      <w:r w:rsidR="0028098E">
        <w:rPr>
          <w:rFonts w:ascii="Calibri" w:hAnsi="Calibri" w:cs="Calibri"/>
        </w:rPr>
        <w:t xml:space="preserve">. </w:t>
      </w:r>
      <w:r w:rsidR="00D46154">
        <w:rPr>
          <w:rFonts w:ascii="Calibri" w:hAnsi="Calibri" w:cs="Calibri"/>
        </w:rPr>
        <w:t xml:space="preserve">However, </w:t>
      </w:r>
      <w:r w:rsidR="00D46154">
        <w:rPr>
          <w:rStyle w:val="normaltextrun"/>
          <w:rFonts w:ascii="Calibri" w:hAnsi="Calibri" w:cs="Calibri"/>
        </w:rPr>
        <w:t>a</w:t>
      </w:r>
      <w:r w:rsidR="00904173" w:rsidRPr="00D46154">
        <w:rPr>
          <w:rStyle w:val="normaltextrun"/>
          <w:rFonts w:ascii="Calibri" w:hAnsi="Calibri" w:cs="Calibri"/>
        </w:rPr>
        <w:t xml:space="preserve">ccording to UNODC estimates </w:t>
      </w:r>
      <w:r w:rsidR="00DC02CE">
        <w:rPr>
          <w:rStyle w:val="normaltextrun"/>
          <w:rFonts w:ascii="Calibri" w:hAnsi="Calibri" w:cs="Calibri"/>
        </w:rPr>
        <w:t>for</w:t>
      </w:r>
      <w:r w:rsidR="00904173" w:rsidRPr="00D46154">
        <w:rPr>
          <w:rStyle w:val="normaltextrun"/>
          <w:rFonts w:ascii="Calibri" w:hAnsi="Calibri" w:cs="Calibri"/>
        </w:rPr>
        <w:t xml:space="preserve"> 2017</w:t>
      </w:r>
      <w:r w:rsidR="00DC02CE">
        <w:rPr>
          <w:rStyle w:val="normaltextrun"/>
          <w:rFonts w:ascii="Calibri" w:hAnsi="Calibri" w:cs="Calibri"/>
        </w:rPr>
        <w:t>,</w:t>
      </w:r>
      <w:r w:rsidR="00904173" w:rsidRPr="00D46154">
        <w:rPr>
          <w:rStyle w:val="normaltextrun"/>
          <w:rFonts w:ascii="Calibri" w:hAnsi="Calibri" w:cs="Calibri"/>
        </w:rPr>
        <w:t xml:space="preserve"> </w:t>
      </w:r>
      <w:r w:rsidR="00904173" w:rsidRPr="00D46154">
        <w:rPr>
          <w:rStyle w:val="apple-converted-space"/>
          <w:rFonts w:ascii="Calibri" w:hAnsi="Calibri" w:cs="Calibri"/>
        </w:rPr>
        <w:t xml:space="preserve">470,000 </w:t>
      </w:r>
      <w:r w:rsidR="00D46154">
        <w:rPr>
          <w:rStyle w:val="apple-converted-space"/>
          <w:rFonts w:ascii="Calibri" w:hAnsi="Calibri" w:cs="Calibri"/>
        </w:rPr>
        <w:t>people</w:t>
      </w:r>
      <w:r w:rsidR="00904173" w:rsidRPr="00D46154">
        <w:rPr>
          <w:rStyle w:val="normaltextrun"/>
          <w:rFonts w:ascii="Calibri" w:hAnsi="Calibri" w:cs="Calibri"/>
        </w:rPr>
        <w:t xml:space="preserve"> were incarcerated for drug possession for personal use as the principal offence</w:t>
      </w:r>
      <w:r w:rsidR="00DC09CD">
        <w:rPr>
          <w:rStyle w:val="normaltextrun"/>
          <w:rFonts w:ascii="Calibri" w:hAnsi="Calibri" w:cs="Calibri"/>
        </w:rPr>
        <w:t xml:space="preserve"> – </w:t>
      </w:r>
      <w:r w:rsidR="00C60870">
        <w:rPr>
          <w:rStyle w:val="normaltextrun"/>
          <w:rFonts w:ascii="Calibri" w:hAnsi="Calibri" w:cs="Calibri"/>
        </w:rPr>
        <w:t>representing</w:t>
      </w:r>
      <w:r w:rsidR="00AA280C">
        <w:rPr>
          <w:rStyle w:val="normaltextrun"/>
          <w:rFonts w:ascii="Calibri" w:hAnsi="Calibri" w:cs="Calibri"/>
        </w:rPr>
        <w:t xml:space="preserve"> </w:t>
      </w:r>
      <w:r w:rsidR="00DC09CD">
        <w:rPr>
          <w:rStyle w:val="normaltextrun"/>
          <w:rFonts w:ascii="Calibri" w:hAnsi="Calibri" w:cs="Calibri"/>
        </w:rPr>
        <w:t>approximately 4% of the total prison population</w:t>
      </w:r>
      <w:r w:rsidR="00904173" w:rsidRPr="00D46154">
        <w:rPr>
          <w:rStyle w:val="EndnoteReference"/>
          <w:rFonts w:ascii="Calibri" w:hAnsi="Calibri" w:cs="Calibri"/>
        </w:rPr>
        <w:endnoteReference w:id="16"/>
      </w:r>
      <w:r w:rsidR="001E0B54">
        <w:rPr>
          <w:rStyle w:val="normaltextrun"/>
          <w:rFonts w:ascii="Calibri" w:hAnsi="Calibri" w:cs="Calibri"/>
        </w:rPr>
        <w:t>, and hundreds of thousands more are subject to administrative detention</w:t>
      </w:r>
      <w:r w:rsidR="00AA280C">
        <w:rPr>
          <w:rStyle w:val="normaltextrun"/>
          <w:rFonts w:ascii="Calibri" w:hAnsi="Calibri" w:cs="Calibri"/>
        </w:rPr>
        <w:t>, often under the disguise of “treatment”</w:t>
      </w:r>
      <w:r w:rsidR="00891F1D">
        <w:rPr>
          <w:rStyle w:val="EndnoteReference"/>
          <w:rFonts w:ascii="Calibri" w:hAnsi="Calibri" w:cs="Calibri"/>
        </w:rPr>
        <w:endnoteReference w:id="17"/>
      </w:r>
      <w:r w:rsidR="001E0B54">
        <w:rPr>
          <w:rStyle w:val="normaltextrun"/>
          <w:rFonts w:ascii="Calibri" w:hAnsi="Calibri" w:cs="Calibri"/>
        </w:rPr>
        <w:t>.</w:t>
      </w:r>
      <w:r w:rsidR="00904173" w:rsidRPr="00D46154">
        <w:rPr>
          <w:rStyle w:val="apple-converted-space"/>
          <w:rFonts w:ascii="Calibri" w:hAnsi="Calibri" w:cs="Calibri"/>
        </w:rPr>
        <w:t> </w:t>
      </w:r>
      <w:r w:rsidR="001E0B54">
        <w:rPr>
          <w:rStyle w:val="normaltextrun"/>
          <w:rFonts w:ascii="Calibri" w:hAnsi="Calibri" w:cs="Calibri"/>
        </w:rPr>
        <w:t>I</w:t>
      </w:r>
      <w:r w:rsidR="00DC09CD" w:rsidRPr="001E0B54">
        <w:rPr>
          <w:rStyle w:val="normaltextrun"/>
          <w:rFonts w:ascii="Calibri" w:hAnsi="Calibri" w:cs="Calibri"/>
        </w:rPr>
        <w:t xml:space="preserve">t </w:t>
      </w:r>
      <w:r w:rsidR="00DC02CE">
        <w:rPr>
          <w:rStyle w:val="normaltextrun"/>
          <w:rFonts w:ascii="Calibri" w:hAnsi="Calibri" w:cs="Calibri"/>
        </w:rPr>
        <w:t>is</w:t>
      </w:r>
      <w:r w:rsidR="00DC09CD" w:rsidRPr="001E0B54">
        <w:rPr>
          <w:rStyle w:val="normaltextrun"/>
          <w:rFonts w:ascii="Calibri" w:hAnsi="Calibri" w:cs="Calibri"/>
        </w:rPr>
        <w:t xml:space="preserve"> estimated that between 56</w:t>
      </w:r>
      <w:r w:rsidR="00712AC6">
        <w:rPr>
          <w:rStyle w:val="normaltextrun"/>
          <w:rFonts w:ascii="Calibri" w:hAnsi="Calibri" w:cs="Calibri"/>
        </w:rPr>
        <w:t>%</w:t>
      </w:r>
      <w:r w:rsidR="00DC09CD" w:rsidRPr="001E0B54">
        <w:rPr>
          <w:rStyle w:val="apple-converted-space"/>
          <w:rFonts w:ascii="Calibri" w:hAnsi="Calibri" w:cs="Calibri"/>
        </w:rPr>
        <w:t> </w:t>
      </w:r>
      <w:r w:rsidR="00DC09CD" w:rsidRPr="001E0B54">
        <w:rPr>
          <w:rStyle w:val="normaltextrun"/>
          <w:rFonts w:ascii="Calibri" w:hAnsi="Calibri" w:cs="Calibri"/>
        </w:rPr>
        <w:t>to</w:t>
      </w:r>
      <w:r w:rsidR="00DC09CD" w:rsidRPr="001E0B54">
        <w:rPr>
          <w:rStyle w:val="apple-converted-space"/>
          <w:rFonts w:ascii="Calibri" w:hAnsi="Calibri" w:cs="Calibri"/>
        </w:rPr>
        <w:t> </w:t>
      </w:r>
      <w:r w:rsidR="00DC09CD" w:rsidRPr="001E0B54">
        <w:rPr>
          <w:rStyle w:val="normaltextrun"/>
          <w:rFonts w:ascii="Calibri" w:hAnsi="Calibri" w:cs="Calibri"/>
        </w:rPr>
        <w:t>90% of people who inject drugs will be incarcerated at some stage</w:t>
      </w:r>
      <w:r w:rsidR="00AA280C">
        <w:rPr>
          <w:rStyle w:val="normaltextrun"/>
          <w:rFonts w:ascii="Calibri" w:hAnsi="Calibri" w:cs="Calibri"/>
        </w:rPr>
        <w:t xml:space="preserve"> in their </w:t>
      </w:r>
      <w:r w:rsidR="00AA280C">
        <w:rPr>
          <w:rStyle w:val="normaltextrun"/>
          <w:rFonts w:ascii="Calibri" w:hAnsi="Calibri" w:cs="Calibri"/>
        </w:rPr>
        <w:t>lives</w:t>
      </w:r>
      <w:r w:rsidR="00DC09CD" w:rsidRPr="00D46154">
        <w:rPr>
          <w:rStyle w:val="EndnoteReference"/>
          <w:rFonts w:ascii="Calibri" w:hAnsi="Calibri" w:cs="Calibri"/>
        </w:rPr>
        <w:endnoteReference w:id="18"/>
      </w:r>
      <w:r w:rsidR="00010B1A">
        <w:rPr>
          <w:rStyle w:val="normaltextrun"/>
          <w:rFonts w:ascii="Calibri" w:hAnsi="Calibri" w:cs="Calibri"/>
        </w:rPr>
        <w:t>.</w:t>
      </w:r>
      <w:r w:rsidR="00DC09CD" w:rsidRPr="001E0B54">
        <w:rPr>
          <w:rStyle w:val="apple-converted-space"/>
          <w:rFonts w:ascii="Calibri" w:hAnsi="Calibri" w:cs="Calibri"/>
        </w:rPr>
        <w:t> </w:t>
      </w:r>
      <w:r w:rsidR="00DC09CD" w:rsidRPr="001E0B54">
        <w:rPr>
          <w:rStyle w:val="normaltextrun"/>
          <w:rFonts w:ascii="Calibri" w:hAnsi="Calibri" w:cs="Calibri"/>
        </w:rPr>
        <w:t>Evidence</w:t>
      </w:r>
      <w:r w:rsidR="00DC09CD" w:rsidRPr="001E0B54">
        <w:rPr>
          <w:rStyle w:val="apple-converted-space"/>
          <w:rFonts w:ascii="Calibri" w:hAnsi="Calibri" w:cs="Calibri"/>
        </w:rPr>
        <w:t> </w:t>
      </w:r>
      <w:r w:rsidR="00DC09CD" w:rsidRPr="001E0B54">
        <w:rPr>
          <w:rStyle w:val="normaltextrun"/>
          <w:rFonts w:ascii="Calibri" w:hAnsi="Calibri" w:cs="Calibri"/>
        </w:rPr>
        <w:t>also</w:t>
      </w:r>
      <w:r w:rsidR="00DC09CD" w:rsidRPr="001E0B54">
        <w:rPr>
          <w:rStyle w:val="apple-converted-space"/>
          <w:rFonts w:ascii="Calibri" w:hAnsi="Calibri" w:cs="Calibri"/>
        </w:rPr>
        <w:t> </w:t>
      </w:r>
      <w:r w:rsidR="00DC09CD" w:rsidRPr="001E0B54">
        <w:rPr>
          <w:rStyle w:val="normaltextrun"/>
          <w:rFonts w:ascii="Calibri" w:hAnsi="Calibri" w:cs="Calibri"/>
        </w:rPr>
        <w:t>shows</w:t>
      </w:r>
      <w:r w:rsidR="00DC09CD" w:rsidRPr="001E0B54">
        <w:rPr>
          <w:rStyle w:val="apple-converted-space"/>
          <w:rFonts w:ascii="Calibri" w:hAnsi="Calibri" w:cs="Calibri"/>
        </w:rPr>
        <w:t> </w:t>
      </w:r>
      <w:r w:rsidR="00D507CD">
        <w:rPr>
          <w:rStyle w:val="normaltextrun"/>
          <w:rFonts w:ascii="Calibri" w:hAnsi="Calibri" w:cs="Calibri"/>
        </w:rPr>
        <w:t>that the levels of</w:t>
      </w:r>
      <w:r w:rsidR="00DC09CD" w:rsidRPr="001E0B54">
        <w:rPr>
          <w:rStyle w:val="apple-converted-space"/>
          <w:rFonts w:ascii="Calibri" w:hAnsi="Calibri" w:cs="Calibri"/>
        </w:rPr>
        <w:t> </w:t>
      </w:r>
      <w:r w:rsidR="00DC09CD" w:rsidRPr="001E0B54">
        <w:rPr>
          <w:rStyle w:val="normaltextrun"/>
          <w:rFonts w:ascii="Calibri" w:hAnsi="Calibri" w:cs="Calibri"/>
        </w:rPr>
        <w:t xml:space="preserve">drug dependence, HIV, </w:t>
      </w:r>
      <w:proofErr w:type="gramStart"/>
      <w:r w:rsidR="004E368B">
        <w:rPr>
          <w:rStyle w:val="normaltextrun"/>
          <w:rFonts w:ascii="Calibri" w:hAnsi="Calibri" w:cs="Calibri"/>
        </w:rPr>
        <w:t>t</w:t>
      </w:r>
      <w:r w:rsidR="00DC09CD" w:rsidRPr="001E0B54">
        <w:rPr>
          <w:rStyle w:val="normaltextrun"/>
          <w:rFonts w:ascii="Calibri" w:hAnsi="Calibri" w:cs="Calibri"/>
        </w:rPr>
        <w:t>uberculosis</w:t>
      </w:r>
      <w:proofErr w:type="gramEnd"/>
      <w:r w:rsidR="00DC09CD" w:rsidRPr="001E0B54">
        <w:rPr>
          <w:rStyle w:val="normaltextrun"/>
          <w:rFonts w:ascii="Calibri" w:hAnsi="Calibri" w:cs="Calibri"/>
        </w:rPr>
        <w:t xml:space="preserve"> and </w:t>
      </w:r>
      <w:r w:rsidR="002F342C">
        <w:rPr>
          <w:rStyle w:val="normaltextrun"/>
          <w:rFonts w:ascii="Calibri" w:hAnsi="Calibri" w:cs="Calibri"/>
        </w:rPr>
        <w:t>h</w:t>
      </w:r>
      <w:r w:rsidR="00DC09CD" w:rsidRPr="001E0B54">
        <w:rPr>
          <w:rStyle w:val="normaltextrun"/>
          <w:rFonts w:ascii="Calibri" w:hAnsi="Calibri" w:cs="Calibri"/>
        </w:rPr>
        <w:t>epatitis</w:t>
      </w:r>
      <w:r w:rsidR="001E0B54">
        <w:rPr>
          <w:rStyle w:val="normaltextrun"/>
          <w:rFonts w:ascii="Calibri" w:hAnsi="Calibri" w:cs="Calibri"/>
        </w:rPr>
        <w:t xml:space="preserve"> C</w:t>
      </w:r>
      <w:r w:rsidR="00D507CD">
        <w:rPr>
          <w:rStyle w:val="normaltextrun"/>
          <w:rFonts w:ascii="Calibri" w:hAnsi="Calibri" w:cs="Calibri"/>
        </w:rPr>
        <w:t xml:space="preserve"> are </w:t>
      </w:r>
      <w:r w:rsidR="00355B06">
        <w:rPr>
          <w:rStyle w:val="normaltextrun"/>
          <w:rFonts w:ascii="Calibri" w:hAnsi="Calibri" w:cs="Calibri"/>
        </w:rPr>
        <w:t xml:space="preserve">significantly </w:t>
      </w:r>
      <w:r w:rsidR="00D507CD">
        <w:rPr>
          <w:rStyle w:val="normaltextrun"/>
          <w:rFonts w:ascii="Calibri" w:hAnsi="Calibri" w:cs="Calibri"/>
        </w:rPr>
        <w:t>higher in prison</w:t>
      </w:r>
      <w:r w:rsidR="002709F9">
        <w:rPr>
          <w:rStyle w:val="normaltextrun"/>
          <w:rFonts w:ascii="Calibri" w:hAnsi="Calibri" w:cs="Calibri"/>
        </w:rPr>
        <w:t>s</w:t>
      </w:r>
      <w:r w:rsidR="00D507CD">
        <w:rPr>
          <w:rStyle w:val="normaltextrun"/>
          <w:rFonts w:ascii="Calibri" w:hAnsi="Calibri" w:cs="Calibri"/>
        </w:rPr>
        <w:t xml:space="preserve"> than in the community</w:t>
      </w:r>
      <w:r w:rsidR="00DC09CD" w:rsidRPr="00D46154">
        <w:rPr>
          <w:rStyle w:val="EndnoteReference"/>
          <w:rFonts w:ascii="Calibri" w:hAnsi="Calibri" w:cs="Calibri"/>
        </w:rPr>
        <w:endnoteReference w:id="19"/>
      </w:r>
      <w:r w:rsidR="00010B1A">
        <w:rPr>
          <w:rStyle w:val="normaltextrun"/>
          <w:rFonts w:ascii="Calibri" w:hAnsi="Calibri" w:cs="Calibri"/>
        </w:rPr>
        <w:t>.</w:t>
      </w:r>
      <w:r w:rsidR="00DC09CD" w:rsidRPr="001E0B54">
        <w:rPr>
          <w:rStyle w:val="apple-converted-space"/>
          <w:rFonts w:ascii="Calibri" w:hAnsi="Calibri" w:cs="Calibri"/>
          <w:vertAlign w:val="superscript"/>
        </w:rPr>
        <w:t> </w:t>
      </w:r>
    </w:p>
    <w:p w14:paraId="73809C6B" w14:textId="080BD0A2" w:rsidR="00703DC9" w:rsidRDefault="007B002C" w:rsidP="00703DC9">
      <w:pPr>
        <w:pStyle w:val="ListParagraph"/>
        <w:numPr>
          <w:ilvl w:val="0"/>
          <w:numId w:val="4"/>
        </w:numPr>
        <w:spacing w:line="240" w:lineRule="auto"/>
        <w:ind w:left="426" w:hanging="426"/>
        <w:jc w:val="both"/>
        <w:rPr>
          <w:rFonts w:ascii="Calibri" w:hAnsi="Calibri" w:cs="Calibri"/>
        </w:rPr>
      </w:pPr>
      <w:r>
        <w:rPr>
          <w:rFonts w:ascii="Calibri" w:hAnsi="Calibri" w:cs="Calibri"/>
          <w:b/>
          <w:bCs/>
        </w:rPr>
        <w:t>R</w:t>
      </w:r>
      <w:r w:rsidR="001E0B54">
        <w:rPr>
          <w:rFonts w:ascii="Calibri" w:hAnsi="Calibri" w:cs="Calibri"/>
          <w:b/>
          <w:bCs/>
        </w:rPr>
        <w:t>ight to health</w:t>
      </w:r>
      <w:r w:rsidR="001E0B54" w:rsidRPr="001E0B54">
        <w:rPr>
          <w:rFonts w:ascii="Calibri" w:hAnsi="Calibri" w:cs="Calibri"/>
        </w:rPr>
        <w:t>.</w:t>
      </w:r>
      <w:r w:rsidR="001E0B54">
        <w:rPr>
          <w:rFonts w:ascii="Calibri" w:hAnsi="Calibri" w:cs="Calibri"/>
        </w:rPr>
        <w:t xml:space="preserve"> </w:t>
      </w:r>
      <w:r w:rsidR="00703DC9">
        <w:rPr>
          <w:rFonts w:ascii="Calibri" w:hAnsi="Calibri" w:cs="Calibri"/>
        </w:rPr>
        <w:t>As noted above, t</w:t>
      </w:r>
      <w:r w:rsidR="001E0B54" w:rsidRPr="001E0B54">
        <w:rPr>
          <w:rFonts w:ascii="Calibri" w:hAnsi="Calibri" w:cs="Calibri"/>
        </w:rPr>
        <w:t xml:space="preserve">he criminalisation of people who use drugs has severe impacts on their health and well-being. </w:t>
      </w:r>
      <w:r w:rsidR="00703DC9">
        <w:rPr>
          <w:rFonts w:ascii="Calibri" w:hAnsi="Calibri" w:cs="Calibri"/>
        </w:rPr>
        <w:t>F</w:t>
      </w:r>
      <w:r w:rsidR="001E0B54" w:rsidRPr="001E0B54">
        <w:rPr>
          <w:rFonts w:ascii="Calibri" w:hAnsi="Calibri" w:cs="Calibri"/>
        </w:rPr>
        <w:t>ear of interaction</w:t>
      </w:r>
      <w:r w:rsidR="00703DC9">
        <w:rPr>
          <w:rFonts w:ascii="Calibri" w:hAnsi="Calibri" w:cs="Calibri"/>
        </w:rPr>
        <w:t xml:space="preserve"> with law enforcement</w:t>
      </w:r>
      <w:r w:rsidR="001E0B54" w:rsidRPr="001E0B54">
        <w:rPr>
          <w:rFonts w:ascii="Calibri" w:hAnsi="Calibri" w:cs="Calibri"/>
        </w:rPr>
        <w:t xml:space="preserve">, punishment and </w:t>
      </w:r>
      <w:r w:rsidR="00355B06">
        <w:rPr>
          <w:rFonts w:ascii="Calibri" w:hAnsi="Calibri" w:cs="Calibri"/>
        </w:rPr>
        <w:t xml:space="preserve">stigma </w:t>
      </w:r>
      <w:r w:rsidR="001E0B54" w:rsidRPr="001E0B54">
        <w:rPr>
          <w:rFonts w:ascii="Calibri" w:hAnsi="Calibri" w:cs="Calibri"/>
        </w:rPr>
        <w:t>drives people who use drugs away from life-saving harm reduction</w:t>
      </w:r>
      <w:r w:rsidR="00010B1A">
        <w:rPr>
          <w:rFonts w:ascii="Calibri" w:hAnsi="Calibri" w:cs="Calibri"/>
        </w:rPr>
        <w:t>,</w:t>
      </w:r>
      <w:r w:rsidR="001E0B54" w:rsidRPr="001E0B54">
        <w:rPr>
          <w:rFonts w:ascii="Calibri" w:hAnsi="Calibri" w:cs="Calibri"/>
        </w:rPr>
        <w:t xml:space="preserve"> drug</w:t>
      </w:r>
      <w:r w:rsidR="00355B06">
        <w:rPr>
          <w:rFonts w:ascii="Calibri" w:hAnsi="Calibri" w:cs="Calibri"/>
        </w:rPr>
        <w:t xml:space="preserve"> </w:t>
      </w:r>
      <w:r w:rsidR="001E0B54" w:rsidRPr="001E0B54">
        <w:rPr>
          <w:rFonts w:ascii="Calibri" w:hAnsi="Calibri" w:cs="Calibri"/>
        </w:rPr>
        <w:t>treatment</w:t>
      </w:r>
      <w:r w:rsidR="00355B06">
        <w:rPr>
          <w:rFonts w:ascii="Calibri" w:hAnsi="Calibri" w:cs="Calibri"/>
        </w:rPr>
        <w:t xml:space="preserve"> and other healthcare services</w:t>
      </w:r>
      <w:r w:rsidR="001E0B54" w:rsidRPr="001E0B54">
        <w:rPr>
          <w:rFonts w:ascii="Calibri" w:hAnsi="Calibri" w:cs="Calibri"/>
        </w:rPr>
        <w:t>, increasing their vulnerability to blood-borne diseases such as HIV</w:t>
      </w:r>
      <w:r w:rsidR="00103DAE">
        <w:rPr>
          <w:rFonts w:ascii="Calibri" w:hAnsi="Calibri" w:cs="Calibri"/>
        </w:rPr>
        <w:t xml:space="preserve">, </w:t>
      </w:r>
      <w:r w:rsidR="001E0B54" w:rsidRPr="001E0B54">
        <w:rPr>
          <w:rFonts w:ascii="Calibri" w:hAnsi="Calibri" w:cs="Calibri"/>
        </w:rPr>
        <w:t xml:space="preserve">and </w:t>
      </w:r>
      <w:r w:rsidR="00706FD5">
        <w:rPr>
          <w:rFonts w:ascii="Calibri" w:hAnsi="Calibri" w:cs="Calibri"/>
        </w:rPr>
        <w:t>to</w:t>
      </w:r>
      <w:r w:rsidR="001E0B54" w:rsidRPr="001E0B54">
        <w:rPr>
          <w:rFonts w:ascii="Calibri" w:hAnsi="Calibri" w:cs="Calibri"/>
        </w:rPr>
        <w:t xml:space="preserve"> overdose</w:t>
      </w:r>
      <w:r w:rsidR="00703DC9">
        <w:rPr>
          <w:rFonts w:ascii="Calibri" w:hAnsi="Calibri" w:cs="Calibri"/>
        </w:rPr>
        <w:t>s</w:t>
      </w:r>
      <w:r w:rsidR="001E0B54" w:rsidRPr="001E0B54">
        <w:rPr>
          <w:rFonts w:ascii="Calibri" w:hAnsi="Calibri" w:cs="Calibri"/>
        </w:rPr>
        <w:t xml:space="preserve">. At the same time, </w:t>
      </w:r>
      <w:r w:rsidR="00706FD5">
        <w:rPr>
          <w:rFonts w:ascii="Calibri" w:hAnsi="Calibri" w:cs="Calibri"/>
        </w:rPr>
        <w:t xml:space="preserve">the </w:t>
      </w:r>
      <w:r w:rsidR="001E0B54" w:rsidRPr="001E0B54">
        <w:rPr>
          <w:rFonts w:ascii="Calibri" w:hAnsi="Calibri" w:cs="Calibri"/>
        </w:rPr>
        <w:t xml:space="preserve">criminalisation of </w:t>
      </w:r>
      <w:r w:rsidR="00706FD5">
        <w:rPr>
          <w:rFonts w:ascii="Calibri" w:hAnsi="Calibri" w:cs="Calibri"/>
        </w:rPr>
        <w:t>possession of drug use paraphernalia</w:t>
      </w:r>
      <w:r w:rsidR="00103DAE">
        <w:rPr>
          <w:rFonts w:ascii="Calibri" w:hAnsi="Calibri" w:cs="Calibri"/>
        </w:rPr>
        <w:t xml:space="preserve"> </w:t>
      </w:r>
      <w:r w:rsidR="001E0B54" w:rsidRPr="001E0B54">
        <w:rPr>
          <w:rFonts w:ascii="Calibri" w:hAnsi="Calibri" w:cs="Calibri"/>
        </w:rPr>
        <w:t>such as sterile needles and syringes and crack pipes has undermined efforts to curb HIV and hepatitis epidemics.</w:t>
      </w:r>
      <w:r w:rsidR="001E0B54" w:rsidRPr="00923644">
        <w:rPr>
          <w:rStyle w:val="EndnoteReference"/>
          <w:rFonts w:ascii="Calibri" w:hAnsi="Calibri" w:cs="Calibri"/>
        </w:rPr>
        <w:endnoteReference w:id="20"/>
      </w:r>
      <w:r w:rsidR="001E0B54" w:rsidRPr="001E0B54">
        <w:rPr>
          <w:rFonts w:ascii="Calibri" w:hAnsi="Calibri" w:cs="Calibri"/>
        </w:rPr>
        <w:t xml:space="preserve"> Beyond HIV-specific </w:t>
      </w:r>
      <w:r w:rsidR="00703DC9">
        <w:rPr>
          <w:rFonts w:ascii="Calibri" w:hAnsi="Calibri" w:cs="Calibri"/>
        </w:rPr>
        <w:t>outcomes</w:t>
      </w:r>
      <w:r w:rsidR="001E0B54" w:rsidRPr="001E0B54">
        <w:rPr>
          <w:rFonts w:ascii="Calibri" w:hAnsi="Calibri" w:cs="Calibri"/>
        </w:rPr>
        <w:t>, a history of arrests and police violence is associated with worse mental health outcomes</w:t>
      </w:r>
      <w:r w:rsidR="001E0B54" w:rsidRPr="00923644">
        <w:rPr>
          <w:rStyle w:val="EndnoteReference"/>
          <w:rFonts w:ascii="Calibri" w:hAnsi="Calibri" w:cs="Calibri"/>
        </w:rPr>
        <w:endnoteReference w:id="21"/>
      </w:r>
      <w:r w:rsidR="001E0B54" w:rsidRPr="004364A3">
        <w:rPr>
          <w:rFonts w:ascii="Calibri" w:hAnsi="Calibri" w:cs="Calibri"/>
          <w:vertAlign w:val="superscript"/>
        </w:rPr>
        <w:t>,</w:t>
      </w:r>
      <w:r w:rsidR="001E0B54" w:rsidRPr="00923644">
        <w:rPr>
          <w:rStyle w:val="EndnoteReference"/>
          <w:rFonts w:ascii="Calibri" w:hAnsi="Calibri" w:cs="Calibri"/>
        </w:rPr>
        <w:endnoteReference w:id="22"/>
      </w:r>
      <w:r w:rsidR="001E0B54" w:rsidRPr="001E0B54">
        <w:rPr>
          <w:rFonts w:ascii="Calibri" w:hAnsi="Calibri" w:cs="Calibri"/>
        </w:rPr>
        <w:t xml:space="preserve">. </w:t>
      </w:r>
      <w:r w:rsidR="004E368B">
        <w:rPr>
          <w:rFonts w:ascii="Calibri" w:hAnsi="Calibri" w:cs="Calibri"/>
          <w:color w:val="000000"/>
        </w:rPr>
        <w:t>Women and LBGTQI+ people who use drugs are particularly vulnerable to HIV infections as they face heightened obstacles in accessing harm reduction services</w:t>
      </w:r>
      <w:r w:rsidR="002F342C">
        <w:rPr>
          <w:rFonts w:ascii="Calibri" w:hAnsi="Calibri" w:cs="Calibri"/>
          <w:color w:val="000000"/>
        </w:rPr>
        <w:t xml:space="preserve"> because of</w:t>
      </w:r>
      <w:r w:rsidR="004E368B">
        <w:rPr>
          <w:rFonts w:ascii="Calibri" w:hAnsi="Calibri" w:cs="Calibri"/>
          <w:color w:val="000000"/>
        </w:rPr>
        <w:t xml:space="preserve"> heightened</w:t>
      </w:r>
      <w:r w:rsidR="00BA14BA">
        <w:rPr>
          <w:rFonts w:ascii="Calibri" w:hAnsi="Calibri" w:cs="Calibri"/>
          <w:color w:val="000000"/>
        </w:rPr>
        <w:t xml:space="preserve"> and </w:t>
      </w:r>
      <w:r w:rsidR="00010B1A">
        <w:rPr>
          <w:rFonts w:ascii="Calibri" w:hAnsi="Calibri" w:cs="Calibri"/>
          <w:color w:val="000000"/>
        </w:rPr>
        <w:t>intersecting</w:t>
      </w:r>
      <w:r w:rsidR="004E368B">
        <w:rPr>
          <w:rFonts w:ascii="Calibri" w:hAnsi="Calibri" w:cs="Calibri"/>
          <w:color w:val="000000"/>
        </w:rPr>
        <w:t xml:space="preserve"> stigma and discrimination, lack of availability of gender-sensitive services, and fear of arrest</w:t>
      </w:r>
      <w:r w:rsidR="002F5737">
        <w:rPr>
          <w:rFonts w:ascii="Calibri" w:hAnsi="Calibri" w:cs="Calibri"/>
          <w:color w:val="000000"/>
        </w:rPr>
        <w:t>, police abuse</w:t>
      </w:r>
      <w:r w:rsidR="004E368B">
        <w:rPr>
          <w:rFonts w:ascii="Calibri" w:hAnsi="Calibri" w:cs="Calibri"/>
          <w:color w:val="000000"/>
        </w:rPr>
        <w:t xml:space="preserve"> and incarceration.</w:t>
      </w:r>
      <w:r w:rsidR="004E368B">
        <w:rPr>
          <w:rStyle w:val="EndnoteReference"/>
          <w:rFonts w:ascii="Calibri" w:hAnsi="Calibri" w:cs="Calibri"/>
          <w:color w:val="000000"/>
        </w:rPr>
        <w:endnoteReference w:id="23"/>
      </w:r>
    </w:p>
    <w:p w14:paraId="58EA1ABD" w14:textId="21A5E5AC" w:rsidR="004364A3" w:rsidRDefault="007B002C" w:rsidP="00703DC9">
      <w:pPr>
        <w:pStyle w:val="ListParagraph"/>
        <w:numPr>
          <w:ilvl w:val="0"/>
          <w:numId w:val="4"/>
        </w:numPr>
        <w:spacing w:line="240" w:lineRule="auto"/>
        <w:ind w:left="426" w:hanging="426"/>
        <w:jc w:val="both"/>
        <w:rPr>
          <w:rFonts w:ascii="Calibri" w:hAnsi="Calibri" w:cs="Calibri"/>
        </w:rPr>
      </w:pPr>
      <w:r>
        <w:rPr>
          <w:rFonts w:ascii="Calibri" w:hAnsi="Calibri" w:cs="Calibri"/>
          <w:b/>
          <w:bCs/>
        </w:rPr>
        <w:t>R</w:t>
      </w:r>
      <w:r w:rsidR="00703DC9">
        <w:rPr>
          <w:rFonts w:ascii="Calibri" w:hAnsi="Calibri" w:cs="Calibri"/>
          <w:b/>
          <w:bCs/>
        </w:rPr>
        <w:t>ight to privacy</w:t>
      </w:r>
      <w:r w:rsidR="00703DC9" w:rsidRPr="00703DC9">
        <w:rPr>
          <w:rFonts w:ascii="Calibri" w:hAnsi="Calibri" w:cs="Calibri"/>
        </w:rPr>
        <w:t>.</w:t>
      </w:r>
      <w:r w:rsidR="00703DC9">
        <w:rPr>
          <w:rFonts w:ascii="Calibri" w:hAnsi="Calibri" w:cs="Calibri"/>
        </w:rPr>
        <w:t xml:space="preserve"> </w:t>
      </w:r>
      <w:r w:rsidR="00703DC9" w:rsidRPr="00703DC9">
        <w:rPr>
          <w:rFonts w:ascii="Calibri" w:hAnsi="Calibri" w:cs="Calibri"/>
        </w:rPr>
        <w:t xml:space="preserve">The implementation of criminalising laws is often paired with surveillance </w:t>
      </w:r>
      <w:r w:rsidR="00703DC9">
        <w:rPr>
          <w:rFonts w:ascii="Calibri" w:hAnsi="Calibri" w:cs="Calibri"/>
        </w:rPr>
        <w:t xml:space="preserve">policies </w:t>
      </w:r>
      <w:r w:rsidR="00703DC9" w:rsidRPr="00703DC9">
        <w:rPr>
          <w:rFonts w:ascii="Calibri" w:hAnsi="Calibri" w:cs="Calibri"/>
        </w:rPr>
        <w:t xml:space="preserve">that </w:t>
      </w:r>
      <w:r w:rsidR="00703DC9">
        <w:rPr>
          <w:rFonts w:ascii="Calibri" w:hAnsi="Calibri" w:cs="Calibri"/>
        </w:rPr>
        <w:t xml:space="preserve">impinge on </w:t>
      </w:r>
      <w:r w:rsidR="00703DC9" w:rsidRPr="00703DC9">
        <w:rPr>
          <w:rFonts w:ascii="Calibri" w:hAnsi="Calibri" w:cs="Calibri"/>
        </w:rPr>
        <w:t xml:space="preserve">the right to privacy of people who use drugs. </w:t>
      </w:r>
      <w:r w:rsidR="00703DC9">
        <w:rPr>
          <w:rFonts w:ascii="Calibri" w:hAnsi="Calibri" w:cs="Calibri"/>
        </w:rPr>
        <w:t>For instance, in several countries – including at least 14 Asian states</w:t>
      </w:r>
      <w:r w:rsidR="00703DC9">
        <w:rPr>
          <w:rStyle w:val="EndnoteReference"/>
          <w:rFonts w:ascii="Calibri" w:hAnsi="Calibri" w:cs="Calibri"/>
        </w:rPr>
        <w:endnoteReference w:id="24"/>
      </w:r>
      <w:r w:rsidR="00703DC9">
        <w:rPr>
          <w:rFonts w:ascii="Calibri" w:hAnsi="Calibri" w:cs="Calibri"/>
        </w:rPr>
        <w:t xml:space="preserve"> – law enforcement can obligate people suspected of drug use to undergo m</w:t>
      </w:r>
      <w:r w:rsidR="00703DC9" w:rsidRPr="00703DC9">
        <w:rPr>
          <w:rFonts w:ascii="Calibri" w:hAnsi="Calibri" w:cs="Calibri"/>
        </w:rPr>
        <w:t>andatory urine testing</w:t>
      </w:r>
      <w:r w:rsidR="00703DC9">
        <w:rPr>
          <w:rFonts w:ascii="Calibri" w:hAnsi="Calibri" w:cs="Calibri"/>
        </w:rPr>
        <w:t xml:space="preserve">, an invasive practice that does </w:t>
      </w:r>
      <w:r w:rsidR="00703DC9" w:rsidRPr="00703DC9">
        <w:rPr>
          <w:rFonts w:ascii="Calibri" w:hAnsi="Calibri" w:cs="Calibri"/>
        </w:rPr>
        <w:t xml:space="preserve">not provide reliable evidence of drug use, and </w:t>
      </w:r>
      <w:r w:rsidR="00703DC9">
        <w:rPr>
          <w:rFonts w:ascii="Calibri" w:hAnsi="Calibri" w:cs="Calibri"/>
        </w:rPr>
        <w:t xml:space="preserve">is </w:t>
      </w:r>
      <w:r w:rsidR="00703DC9" w:rsidRPr="00703DC9">
        <w:rPr>
          <w:rFonts w:ascii="Calibri" w:hAnsi="Calibri" w:cs="Calibri"/>
        </w:rPr>
        <w:t>simply inadequate to assess drug dependence</w:t>
      </w:r>
      <w:r w:rsidR="00703DC9">
        <w:rPr>
          <w:rStyle w:val="EndnoteReference"/>
          <w:rFonts w:ascii="Calibri" w:hAnsi="Calibri" w:cs="Calibri"/>
        </w:rPr>
        <w:endnoteReference w:id="25"/>
      </w:r>
      <w:r w:rsidR="00703DC9" w:rsidRPr="00703DC9">
        <w:rPr>
          <w:rFonts w:ascii="Calibri" w:hAnsi="Calibri" w:cs="Calibri"/>
        </w:rPr>
        <w:t xml:space="preserve">. </w:t>
      </w:r>
      <w:r w:rsidR="00703DC9">
        <w:rPr>
          <w:rFonts w:ascii="Calibri" w:hAnsi="Calibri" w:cs="Calibri"/>
        </w:rPr>
        <w:t xml:space="preserve">Additionally, </w:t>
      </w:r>
      <w:r w:rsidR="00103DAE">
        <w:rPr>
          <w:rFonts w:ascii="Calibri" w:hAnsi="Calibri" w:cs="Calibri"/>
        </w:rPr>
        <w:t>some</w:t>
      </w:r>
      <w:r w:rsidR="00703DC9">
        <w:rPr>
          <w:rFonts w:ascii="Calibri" w:hAnsi="Calibri" w:cs="Calibri"/>
        </w:rPr>
        <w:t xml:space="preserve"> </w:t>
      </w:r>
      <w:r w:rsidR="00703DC9" w:rsidRPr="00703DC9">
        <w:rPr>
          <w:rFonts w:ascii="Calibri" w:hAnsi="Calibri" w:cs="Calibri"/>
        </w:rPr>
        <w:t>states – including at least 9 Asian countries</w:t>
      </w:r>
      <w:r w:rsidR="00703DC9">
        <w:rPr>
          <w:rStyle w:val="EndnoteReference"/>
          <w:rFonts w:ascii="Calibri" w:hAnsi="Calibri" w:cs="Calibri"/>
        </w:rPr>
        <w:endnoteReference w:id="26"/>
      </w:r>
      <w:r w:rsidR="00703DC9" w:rsidRPr="00703DC9">
        <w:rPr>
          <w:rFonts w:ascii="Calibri" w:hAnsi="Calibri" w:cs="Calibri"/>
        </w:rPr>
        <w:t xml:space="preserve"> – require the compulsory registration of people who use drugs</w:t>
      </w:r>
      <w:r w:rsidR="00703DC9">
        <w:rPr>
          <w:rFonts w:ascii="Calibri" w:hAnsi="Calibri" w:cs="Calibri"/>
        </w:rPr>
        <w:t xml:space="preserve"> in public state records.</w:t>
      </w:r>
    </w:p>
    <w:p w14:paraId="2233154A" w14:textId="5531F48D" w:rsidR="00C45D9B" w:rsidRPr="004364A3" w:rsidRDefault="007B002C" w:rsidP="004364A3">
      <w:pPr>
        <w:pStyle w:val="ListParagraph"/>
        <w:numPr>
          <w:ilvl w:val="0"/>
          <w:numId w:val="4"/>
        </w:numPr>
        <w:spacing w:line="240" w:lineRule="auto"/>
        <w:ind w:left="426" w:hanging="426"/>
        <w:jc w:val="both"/>
        <w:rPr>
          <w:rFonts w:ascii="Calibri" w:hAnsi="Calibri" w:cs="Calibri"/>
        </w:rPr>
      </w:pPr>
      <w:r w:rsidRPr="004364A3">
        <w:rPr>
          <w:rFonts w:ascii="Calibri" w:hAnsi="Calibri" w:cs="Calibri"/>
          <w:b/>
          <w:bCs/>
        </w:rPr>
        <w:t>E</w:t>
      </w:r>
      <w:r w:rsidR="00C45D9B" w:rsidRPr="004364A3">
        <w:rPr>
          <w:rFonts w:ascii="Calibri" w:hAnsi="Calibri" w:cs="Calibri"/>
          <w:b/>
          <w:bCs/>
        </w:rPr>
        <w:t>conomic and social rights</w:t>
      </w:r>
      <w:r w:rsidR="00C45D9B" w:rsidRPr="004364A3">
        <w:rPr>
          <w:rFonts w:ascii="Calibri" w:hAnsi="Calibri" w:cs="Calibri"/>
        </w:rPr>
        <w:t xml:space="preserve">. The stigma and discrimination derived from criminalisation can limit the access of people who use drugs to basic social services such as housing, education, or benefits. </w:t>
      </w:r>
      <w:r w:rsidR="00C45D9B" w:rsidRPr="004364A3">
        <w:rPr>
          <w:rFonts w:ascii="Calibri" w:hAnsi="Calibri" w:cs="Calibri"/>
          <w:color w:val="000000"/>
        </w:rPr>
        <w:t>In a 2021 survey</w:t>
      </w:r>
      <w:r w:rsidR="00C45D9B" w:rsidRPr="00914DF4">
        <w:rPr>
          <w:rStyle w:val="EndnoteReference"/>
          <w:rFonts w:ascii="Calibri" w:hAnsi="Calibri" w:cs="Calibri"/>
          <w:color w:val="000000"/>
        </w:rPr>
        <w:endnoteReference w:id="27"/>
      </w:r>
      <w:r w:rsidR="00C45D9B" w:rsidRPr="004364A3">
        <w:rPr>
          <w:rFonts w:ascii="Calibri" w:hAnsi="Calibri" w:cs="Calibri"/>
          <w:color w:val="000000"/>
        </w:rPr>
        <w:t xml:space="preserve"> amongst members of the IDPC network that gathered responses from 26 countries, stigma was </w:t>
      </w:r>
      <w:r w:rsidR="00103DAE" w:rsidRPr="004364A3">
        <w:rPr>
          <w:rFonts w:ascii="Calibri" w:hAnsi="Calibri" w:cs="Calibri"/>
          <w:color w:val="000000"/>
        </w:rPr>
        <w:t xml:space="preserve">reported to be </w:t>
      </w:r>
      <w:r w:rsidR="00C45D9B" w:rsidRPr="004364A3">
        <w:rPr>
          <w:rFonts w:ascii="Calibri" w:hAnsi="Calibri" w:cs="Calibri"/>
          <w:color w:val="000000"/>
        </w:rPr>
        <w:t>a barrier to accessing health care in 88% of these countries; as a barrier to maternity care in 65% of the 26 countries</w:t>
      </w:r>
      <w:r w:rsidR="0032266E" w:rsidRPr="004364A3">
        <w:rPr>
          <w:rFonts w:ascii="Calibri" w:hAnsi="Calibri" w:cs="Calibri"/>
          <w:color w:val="000000"/>
        </w:rPr>
        <w:t>;</w:t>
      </w:r>
      <w:r w:rsidR="00C45D9B" w:rsidRPr="004364A3">
        <w:rPr>
          <w:rFonts w:ascii="Calibri" w:hAnsi="Calibri" w:cs="Calibri"/>
          <w:color w:val="000000"/>
        </w:rPr>
        <w:t xml:space="preserve"> and as a barrier to public housing in </w:t>
      </w:r>
      <w:r w:rsidR="00103DAE" w:rsidRPr="004364A3">
        <w:rPr>
          <w:rFonts w:ascii="Calibri" w:hAnsi="Calibri" w:cs="Calibri"/>
          <w:color w:val="000000"/>
        </w:rPr>
        <w:t xml:space="preserve">a </w:t>
      </w:r>
      <w:r w:rsidR="00C45D9B" w:rsidRPr="004364A3">
        <w:rPr>
          <w:rFonts w:ascii="Calibri" w:hAnsi="Calibri" w:cs="Calibri"/>
          <w:color w:val="000000"/>
        </w:rPr>
        <w:t xml:space="preserve">73% of them. In </w:t>
      </w:r>
      <w:r w:rsidR="0032266E" w:rsidRPr="004364A3">
        <w:rPr>
          <w:rFonts w:ascii="Calibri" w:hAnsi="Calibri" w:cs="Calibri"/>
          <w:color w:val="000000"/>
        </w:rPr>
        <w:t xml:space="preserve">many </w:t>
      </w:r>
      <w:r w:rsidR="00C45D9B" w:rsidRPr="004364A3">
        <w:rPr>
          <w:rFonts w:ascii="Calibri" w:hAnsi="Calibri" w:cs="Calibri"/>
          <w:color w:val="000000"/>
        </w:rPr>
        <w:t xml:space="preserve">countries, stigma was also </w:t>
      </w:r>
      <w:r w:rsidR="00103DAE" w:rsidRPr="004364A3">
        <w:rPr>
          <w:rFonts w:ascii="Calibri" w:hAnsi="Calibri" w:cs="Calibri"/>
          <w:color w:val="000000"/>
        </w:rPr>
        <w:t>perceive</w:t>
      </w:r>
      <w:r w:rsidR="004364A3">
        <w:rPr>
          <w:rFonts w:ascii="Calibri" w:hAnsi="Calibri" w:cs="Calibri"/>
          <w:color w:val="000000"/>
        </w:rPr>
        <w:t>d</w:t>
      </w:r>
      <w:r w:rsidR="00103DAE" w:rsidRPr="004364A3">
        <w:rPr>
          <w:rFonts w:ascii="Calibri" w:hAnsi="Calibri" w:cs="Calibri"/>
          <w:color w:val="000000"/>
        </w:rPr>
        <w:t xml:space="preserve"> </w:t>
      </w:r>
      <w:r w:rsidR="00C45D9B" w:rsidRPr="004364A3">
        <w:rPr>
          <w:rFonts w:ascii="Calibri" w:hAnsi="Calibri" w:cs="Calibri"/>
          <w:color w:val="000000"/>
        </w:rPr>
        <w:t xml:space="preserve">to </w:t>
      </w:r>
      <w:r w:rsidR="00103DAE" w:rsidRPr="004364A3">
        <w:rPr>
          <w:rFonts w:ascii="Calibri" w:hAnsi="Calibri" w:cs="Calibri"/>
          <w:color w:val="000000"/>
        </w:rPr>
        <w:t xml:space="preserve">hamper access to </w:t>
      </w:r>
      <w:r w:rsidR="00C45D9B" w:rsidRPr="004364A3">
        <w:rPr>
          <w:rFonts w:ascii="Calibri" w:hAnsi="Calibri" w:cs="Calibri"/>
          <w:color w:val="000000"/>
        </w:rPr>
        <w:t xml:space="preserve">public education and </w:t>
      </w:r>
      <w:r w:rsidR="00103DAE" w:rsidRPr="004364A3">
        <w:rPr>
          <w:rFonts w:ascii="Calibri" w:hAnsi="Calibri" w:cs="Calibri"/>
          <w:color w:val="000000"/>
        </w:rPr>
        <w:t>to benefits</w:t>
      </w:r>
      <w:r w:rsidR="00C45D9B" w:rsidRPr="004364A3">
        <w:rPr>
          <w:rFonts w:ascii="Calibri" w:hAnsi="Calibri" w:cs="Calibri"/>
          <w:color w:val="000000"/>
        </w:rPr>
        <w:t>.</w:t>
      </w:r>
    </w:p>
    <w:p w14:paraId="2D09FB16" w14:textId="7FE3EAA8" w:rsidR="007E0504" w:rsidRPr="00C45D9B" w:rsidRDefault="007B002C" w:rsidP="001158BF">
      <w:pPr>
        <w:pStyle w:val="ListParagraph"/>
        <w:numPr>
          <w:ilvl w:val="0"/>
          <w:numId w:val="4"/>
        </w:numPr>
        <w:spacing w:line="240" w:lineRule="auto"/>
        <w:ind w:left="426" w:hanging="426"/>
        <w:jc w:val="both"/>
        <w:rPr>
          <w:rFonts w:ascii="Calibri" w:hAnsi="Calibri" w:cs="Calibri"/>
        </w:rPr>
      </w:pPr>
      <w:r>
        <w:rPr>
          <w:rStyle w:val="normaltextrun"/>
          <w:rFonts w:ascii="Calibri" w:hAnsi="Calibri" w:cs="Calibri"/>
          <w:b/>
          <w:bCs/>
        </w:rPr>
        <w:t>Right to be free from discrimination</w:t>
      </w:r>
      <w:r w:rsidR="001E0B54" w:rsidRPr="00C45D9B">
        <w:rPr>
          <w:rStyle w:val="normaltextrun"/>
          <w:rFonts w:ascii="Calibri" w:hAnsi="Calibri" w:cs="Calibri"/>
        </w:rPr>
        <w:t xml:space="preserve">. </w:t>
      </w:r>
      <w:r w:rsidR="008672EF" w:rsidRPr="00C45D9B">
        <w:rPr>
          <w:rStyle w:val="normaltextrun"/>
          <w:rFonts w:ascii="Calibri" w:hAnsi="Calibri" w:cs="Calibri"/>
        </w:rPr>
        <w:t>T</w:t>
      </w:r>
      <w:r w:rsidR="005311B9" w:rsidRPr="00C45D9B">
        <w:rPr>
          <w:rStyle w:val="normaltextrun"/>
          <w:rFonts w:ascii="Calibri" w:hAnsi="Calibri" w:cs="Calibri"/>
        </w:rPr>
        <w:t xml:space="preserve">he deployment of laws that criminalise and punish </w:t>
      </w:r>
      <w:r w:rsidR="00026F97" w:rsidRPr="00C45D9B">
        <w:rPr>
          <w:rStyle w:val="normaltextrun"/>
          <w:rFonts w:ascii="Calibri" w:hAnsi="Calibri" w:cs="Calibri"/>
        </w:rPr>
        <w:t xml:space="preserve">people who use drugs </w:t>
      </w:r>
      <w:r w:rsidR="005311B9" w:rsidRPr="00C45D9B">
        <w:rPr>
          <w:rStyle w:val="normaltextrun"/>
          <w:rFonts w:ascii="Calibri" w:hAnsi="Calibri" w:cs="Calibri"/>
        </w:rPr>
        <w:t>has been discriminatory, targeting people who experience intersecting forms of marginali</w:t>
      </w:r>
      <w:r>
        <w:rPr>
          <w:rStyle w:val="normaltextrun"/>
          <w:rFonts w:ascii="Calibri" w:hAnsi="Calibri" w:cs="Calibri"/>
        </w:rPr>
        <w:t>s</w:t>
      </w:r>
      <w:r w:rsidR="005311B9" w:rsidRPr="00C45D9B">
        <w:rPr>
          <w:rStyle w:val="normaltextrun"/>
          <w:rFonts w:ascii="Calibri" w:hAnsi="Calibri" w:cs="Calibri"/>
        </w:rPr>
        <w:t>ation on the basis of their race, ethnicity, gender identity or sexual orientation, and socio-economic status</w:t>
      </w:r>
      <w:r w:rsidR="005311B9" w:rsidRPr="00FA2348">
        <w:rPr>
          <w:rStyle w:val="EndnoteReference"/>
          <w:rFonts w:ascii="Calibri" w:hAnsi="Calibri" w:cs="Calibri"/>
        </w:rPr>
        <w:endnoteReference w:id="28"/>
      </w:r>
      <w:r w:rsidR="005311B9" w:rsidRPr="00C45D9B">
        <w:rPr>
          <w:rStyle w:val="normaltextrun"/>
          <w:rFonts w:ascii="Calibri" w:hAnsi="Calibri" w:cs="Calibri"/>
        </w:rPr>
        <w:t xml:space="preserve">. </w:t>
      </w:r>
      <w:r w:rsidR="00D5164E">
        <w:rPr>
          <w:rStyle w:val="normaltextrun"/>
          <w:rFonts w:ascii="Calibri" w:hAnsi="Calibri" w:cs="Calibri"/>
        </w:rPr>
        <w:t xml:space="preserve">For instance, </w:t>
      </w:r>
      <w:r w:rsidR="00D5164E">
        <w:rPr>
          <w:rFonts w:ascii="Calibri" w:hAnsi="Calibri" w:cs="Calibri"/>
        </w:rPr>
        <w:t>i</w:t>
      </w:r>
      <w:r w:rsidR="00983E93" w:rsidRPr="00C45D9B">
        <w:rPr>
          <w:rFonts w:ascii="Calibri" w:hAnsi="Calibri" w:cs="Calibri"/>
        </w:rPr>
        <w:t>n the U</w:t>
      </w:r>
      <w:r>
        <w:rPr>
          <w:rFonts w:ascii="Calibri" w:hAnsi="Calibri" w:cs="Calibri"/>
        </w:rPr>
        <w:t xml:space="preserve">K </w:t>
      </w:r>
      <w:r w:rsidR="00983E93" w:rsidRPr="00C45D9B">
        <w:rPr>
          <w:rFonts w:ascii="Calibri" w:hAnsi="Calibri" w:cs="Calibri"/>
        </w:rPr>
        <w:t xml:space="preserve">Black and Asian people </w:t>
      </w:r>
      <w:r w:rsidR="00D5164E">
        <w:rPr>
          <w:rFonts w:ascii="Calibri" w:hAnsi="Calibri" w:cs="Calibri"/>
        </w:rPr>
        <w:t xml:space="preserve">are </w:t>
      </w:r>
      <w:r w:rsidR="00983E93" w:rsidRPr="00C45D9B">
        <w:rPr>
          <w:rFonts w:ascii="Calibri" w:hAnsi="Calibri" w:cs="Calibri"/>
        </w:rPr>
        <w:t xml:space="preserve">convicted of cannabis possession </w:t>
      </w:r>
      <w:r w:rsidR="00983E93" w:rsidRPr="00C45D9B">
        <w:rPr>
          <w:rFonts w:ascii="Calibri" w:hAnsi="Calibri" w:cs="Calibri"/>
        </w:rPr>
        <w:lastRenderedPageBreak/>
        <w:t>at 11.8 and 2.4 times the rate of white people, despite lower rates of self-reported cannabis use.</w:t>
      </w:r>
      <w:r w:rsidR="00983E93" w:rsidRPr="00FA2348">
        <w:rPr>
          <w:vertAlign w:val="superscript"/>
        </w:rPr>
        <w:endnoteReference w:id="29"/>
      </w:r>
      <w:r w:rsidR="00983E93" w:rsidRPr="00C45D9B">
        <w:rPr>
          <w:rFonts w:ascii="Calibri" w:hAnsi="Calibri" w:cs="Calibri"/>
        </w:rPr>
        <w:t xml:space="preserve"> A 2018 study from the USA reported that although black people comprise 13% of the US population and use drugs at similar rates to people of other races, they comprise 29% of those arrested for drug offences and represent nearly 40% of those incarcerated in state or federal prison for drug law violations.</w:t>
      </w:r>
      <w:r w:rsidR="00983E93" w:rsidRPr="00FA2348">
        <w:rPr>
          <w:vertAlign w:val="superscript"/>
        </w:rPr>
        <w:endnoteReference w:id="30"/>
      </w:r>
      <w:r w:rsidR="00904173" w:rsidRPr="00C45D9B">
        <w:rPr>
          <w:rStyle w:val="eop"/>
          <w:rFonts w:ascii="Calibri" w:hAnsi="Calibri" w:cs="Calibri"/>
        </w:rPr>
        <w:t> </w:t>
      </w:r>
      <w:r w:rsidR="00983E93" w:rsidRPr="00C45D9B">
        <w:rPr>
          <w:rStyle w:val="eop"/>
          <w:rFonts w:ascii="Calibri" w:hAnsi="Calibri" w:cs="Calibri"/>
        </w:rPr>
        <w:t xml:space="preserve">Data from the </w:t>
      </w:r>
      <w:r w:rsidR="008672EF" w:rsidRPr="00C45D9B">
        <w:rPr>
          <w:rStyle w:val="eop"/>
          <w:rFonts w:ascii="Calibri" w:hAnsi="Calibri" w:cs="Calibri"/>
        </w:rPr>
        <w:t>Global Drug Policy Index</w:t>
      </w:r>
      <w:r w:rsidR="00FA2348" w:rsidRPr="00FA2348">
        <w:rPr>
          <w:rStyle w:val="EndnoteReference"/>
          <w:rFonts w:ascii="Calibri" w:hAnsi="Calibri" w:cs="Calibri"/>
          <w:color w:val="000000"/>
        </w:rPr>
        <w:endnoteReference w:id="31"/>
      </w:r>
      <w:r w:rsidR="008672EF" w:rsidRPr="00C45D9B">
        <w:rPr>
          <w:rStyle w:val="eop"/>
          <w:rFonts w:ascii="Calibri" w:hAnsi="Calibri" w:cs="Calibri"/>
        </w:rPr>
        <w:t xml:space="preserve">, which assesses the performance of drug policies in 30 countries, shows that criminal justice responses to drugs disproportionately impact low-income groups in all </w:t>
      </w:r>
      <w:r>
        <w:rPr>
          <w:rStyle w:val="eop"/>
          <w:rFonts w:ascii="Calibri" w:hAnsi="Calibri" w:cs="Calibri"/>
        </w:rPr>
        <w:t>surveyed</w:t>
      </w:r>
      <w:r w:rsidR="008672EF" w:rsidRPr="00C45D9B">
        <w:rPr>
          <w:rStyle w:val="eop"/>
          <w:rFonts w:ascii="Calibri" w:hAnsi="Calibri" w:cs="Calibri"/>
        </w:rPr>
        <w:t xml:space="preserve"> countries</w:t>
      </w:r>
      <w:r w:rsidR="00FA2348" w:rsidRPr="00C45D9B">
        <w:rPr>
          <w:rStyle w:val="eop"/>
          <w:rFonts w:ascii="Calibri" w:hAnsi="Calibri" w:cs="Calibri"/>
        </w:rPr>
        <w:t xml:space="preserve">, while </w:t>
      </w:r>
      <w:r w:rsidR="004364A3">
        <w:rPr>
          <w:rStyle w:val="eop"/>
          <w:rFonts w:ascii="Calibri" w:hAnsi="Calibri" w:cs="Calibri"/>
        </w:rPr>
        <w:t>several countries report</w:t>
      </w:r>
      <w:r w:rsidR="00103DAE">
        <w:rPr>
          <w:rFonts w:ascii="Calibri" w:hAnsi="Calibri" w:cs="Calibri"/>
          <w:color w:val="000000"/>
        </w:rPr>
        <w:t xml:space="preserve"> a high </w:t>
      </w:r>
      <w:r w:rsidR="00FA2348" w:rsidRPr="00C45D9B">
        <w:rPr>
          <w:rFonts w:ascii="Calibri" w:hAnsi="Calibri" w:cs="Calibri"/>
          <w:color w:val="000000"/>
        </w:rPr>
        <w:t>disproportionate impact on ethnic minorities.</w:t>
      </w:r>
      <w:r w:rsidR="00EA20F3">
        <w:rPr>
          <w:rFonts w:ascii="Calibri" w:hAnsi="Calibri" w:cs="Calibri"/>
          <w:color w:val="000000"/>
        </w:rPr>
        <w:t xml:space="preserve"> </w:t>
      </w:r>
      <w:r w:rsidR="004E368B">
        <w:rPr>
          <w:rFonts w:ascii="Calibri" w:hAnsi="Calibri" w:cs="Calibri"/>
          <w:color w:val="000000"/>
        </w:rPr>
        <w:t xml:space="preserve">Finally, the Index shows that women are disproportionately </w:t>
      </w:r>
      <w:r w:rsidR="001A583B">
        <w:rPr>
          <w:rFonts w:ascii="Calibri" w:hAnsi="Calibri" w:cs="Calibri"/>
          <w:color w:val="000000"/>
        </w:rPr>
        <w:t>impacted by the criminal justice response</w:t>
      </w:r>
      <w:r w:rsidR="004E368B">
        <w:rPr>
          <w:rFonts w:ascii="Calibri" w:hAnsi="Calibri" w:cs="Calibri"/>
          <w:color w:val="000000"/>
        </w:rPr>
        <w:t xml:space="preserve"> </w:t>
      </w:r>
      <w:r w:rsidR="001A583B">
        <w:rPr>
          <w:rFonts w:ascii="Calibri" w:hAnsi="Calibri" w:cs="Calibri"/>
          <w:color w:val="000000"/>
        </w:rPr>
        <w:t>in</w:t>
      </w:r>
      <w:r w:rsidR="004E368B">
        <w:rPr>
          <w:rFonts w:ascii="Calibri" w:hAnsi="Calibri" w:cs="Calibri"/>
          <w:color w:val="000000"/>
        </w:rPr>
        <w:t xml:space="preserve"> drug control</w:t>
      </w:r>
      <w:r w:rsidR="001A583B">
        <w:rPr>
          <w:rFonts w:ascii="Calibri" w:hAnsi="Calibri" w:cs="Calibri"/>
          <w:color w:val="000000"/>
        </w:rPr>
        <w:t xml:space="preserve"> efforts</w:t>
      </w:r>
      <w:r w:rsidR="00A5777E">
        <w:rPr>
          <w:rFonts w:ascii="Calibri" w:hAnsi="Calibri" w:cs="Calibri"/>
          <w:color w:val="000000"/>
        </w:rPr>
        <w:t>, especially</w:t>
      </w:r>
      <w:r w:rsidR="004E368B">
        <w:rPr>
          <w:rFonts w:ascii="Calibri" w:hAnsi="Calibri" w:cs="Calibri"/>
          <w:color w:val="000000"/>
        </w:rPr>
        <w:t xml:space="preserve"> in Latin American countries</w:t>
      </w:r>
      <w:r w:rsidR="002B175B">
        <w:rPr>
          <w:rFonts w:ascii="Calibri" w:hAnsi="Calibri" w:cs="Calibri"/>
          <w:color w:val="000000"/>
        </w:rPr>
        <w:t>.</w:t>
      </w:r>
    </w:p>
    <w:p w14:paraId="6B6F4FD5" w14:textId="77777777" w:rsidR="00C45D9B" w:rsidRPr="00D5164E" w:rsidRDefault="00C45D9B" w:rsidP="00D5164E">
      <w:pPr>
        <w:jc w:val="both"/>
        <w:rPr>
          <w:rFonts w:ascii="Calibri" w:hAnsi="Calibri" w:cs="Calibri"/>
        </w:rPr>
      </w:pPr>
    </w:p>
    <w:p w14:paraId="0F706D1B" w14:textId="65AE3CB8" w:rsidR="007E0504" w:rsidRPr="001158BF" w:rsidRDefault="007E0504" w:rsidP="001158BF">
      <w:pPr>
        <w:spacing w:after="200"/>
        <w:jc w:val="both"/>
        <w:rPr>
          <w:rFonts w:ascii="Calibri" w:hAnsi="Calibri" w:cs="Calibri"/>
          <w:b/>
          <w:bCs/>
        </w:rPr>
      </w:pPr>
      <w:r w:rsidRPr="007E0504">
        <w:rPr>
          <w:rFonts w:ascii="Calibri" w:hAnsi="Calibri" w:cs="Calibri"/>
          <w:b/>
          <w:bCs/>
        </w:rPr>
        <w:t xml:space="preserve">The </w:t>
      </w:r>
      <w:r w:rsidR="00A33CCA">
        <w:rPr>
          <w:rFonts w:ascii="Calibri" w:hAnsi="Calibri" w:cs="Calibri"/>
          <w:b/>
          <w:bCs/>
        </w:rPr>
        <w:t>broad</w:t>
      </w:r>
      <w:r w:rsidR="00A33CCA" w:rsidRPr="007E0504">
        <w:rPr>
          <w:rFonts w:ascii="Calibri" w:hAnsi="Calibri" w:cs="Calibri"/>
          <w:b/>
          <w:bCs/>
        </w:rPr>
        <w:t xml:space="preserve"> </w:t>
      </w:r>
      <w:r w:rsidRPr="007E0504">
        <w:rPr>
          <w:rFonts w:ascii="Calibri" w:hAnsi="Calibri" w:cs="Calibri"/>
          <w:b/>
          <w:bCs/>
        </w:rPr>
        <w:t>consensus for decriminalisation as a critical societal enabler</w:t>
      </w:r>
    </w:p>
    <w:p w14:paraId="4514EE4D" w14:textId="50DA6EF4" w:rsidR="001A583B" w:rsidRPr="004364A3" w:rsidRDefault="008711A8" w:rsidP="001A583B">
      <w:pPr>
        <w:pStyle w:val="ListParagraph"/>
        <w:numPr>
          <w:ilvl w:val="0"/>
          <w:numId w:val="4"/>
        </w:numPr>
        <w:spacing w:line="240" w:lineRule="auto"/>
        <w:ind w:left="426" w:hanging="426"/>
        <w:jc w:val="both"/>
        <w:rPr>
          <w:rFonts w:ascii="Calibri" w:hAnsi="Calibri" w:cs="Calibri"/>
        </w:rPr>
      </w:pPr>
      <w:r w:rsidRPr="001A583B">
        <w:rPr>
          <w:rFonts w:ascii="Calibri" w:hAnsi="Calibri" w:cs="Calibri"/>
        </w:rPr>
        <w:t xml:space="preserve">In recent decades, over </w:t>
      </w:r>
      <w:r w:rsidR="00471A5A" w:rsidRPr="001A583B">
        <w:rPr>
          <w:rFonts w:ascii="Calibri" w:hAnsi="Calibri" w:cs="Calibri"/>
        </w:rPr>
        <w:t xml:space="preserve">50 jurisdictions and more than </w:t>
      </w:r>
      <w:r w:rsidRPr="001A583B">
        <w:rPr>
          <w:rFonts w:ascii="Calibri" w:hAnsi="Calibri" w:cs="Calibri"/>
        </w:rPr>
        <w:t>30 countries</w:t>
      </w:r>
      <w:r w:rsidRPr="001158BF">
        <w:rPr>
          <w:rStyle w:val="EndnoteReference"/>
          <w:rFonts w:ascii="Calibri" w:hAnsi="Calibri" w:cs="Calibri"/>
        </w:rPr>
        <w:endnoteReference w:id="32"/>
      </w:r>
      <w:r w:rsidRPr="001A583B">
        <w:rPr>
          <w:rFonts w:ascii="Calibri" w:hAnsi="Calibri" w:cs="Calibri"/>
        </w:rPr>
        <w:t xml:space="preserve"> have </w:t>
      </w:r>
      <w:r w:rsidR="00471A5A" w:rsidRPr="001A583B">
        <w:rPr>
          <w:rFonts w:ascii="Calibri" w:hAnsi="Calibri" w:cs="Calibri"/>
        </w:rPr>
        <w:t xml:space="preserve">adopted some form of </w:t>
      </w:r>
      <w:r w:rsidRPr="001A583B">
        <w:rPr>
          <w:rFonts w:ascii="Calibri" w:hAnsi="Calibri" w:cs="Calibri"/>
        </w:rPr>
        <w:t>decriminalis</w:t>
      </w:r>
      <w:r w:rsidR="00471A5A" w:rsidRPr="001A583B">
        <w:rPr>
          <w:rFonts w:ascii="Calibri" w:hAnsi="Calibri" w:cs="Calibri"/>
        </w:rPr>
        <w:t>ation</w:t>
      </w:r>
      <w:r w:rsidRPr="001A583B">
        <w:rPr>
          <w:rFonts w:ascii="Calibri" w:hAnsi="Calibri" w:cs="Calibri"/>
        </w:rPr>
        <w:t xml:space="preserve"> </w:t>
      </w:r>
      <w:r w:rsidR="00471A5A" w:rsidRPr="001A583B">
        <w:rPr>
          <w:rFonts w:ascii="Calibri" w:hAnsi="Calibri" w:cs="Calibri"/>
        </w:rPr>
        <w:t>for drug use and related activities</w:t>
      </w:r>
      <w:r w:rsidR="001A583B" w:rsidRPr="001A583B">
        <w:rPr>
          <w:rFonts w:ascii="Calibri" w:hAnsi="Calibri" w:cs="Calibri"/>
        </w:rPr>
        <w:t xml:space="preserve">. </w:t>
      </w:r>
      <w:r w:rsidRPr="001A583B">
        <w:rPr>
          <w:rFonts w:ascii="Calibri" w:hAnsi="Calibri" w:cs="Calibri"/>
        </w:rPr>
        <w:t>The overarching objective of decriminalisation is to end the punishment and stigmatisation of people who use</w:t>
      </w:r>
      <w:r w:rsidR="00010B1A">
        <w:rPr>
          <w:rFonts w:ascii="Calibri" w:hAnsi="Calibri" w:cs="Calibri"/>
        </w:rPr>
        <w:t xml:space="preserve"> (or are suspected of using)</w:t>
      </w:r>
      <w:r w:rsidRPr="001A583B">
        <w:rPr>
          <w:rFonts w:ascii="Calibri" w:hAnsi="Calibri" w:cs="Calibri"/>
        </w:rPr>
        <w:t xml:space="preserve"> drugs. Crucially, when implemented under a harm reduction-oriented approach, decriminalisation can provide a supporting and enabling legal framework within which health interventions can be voluntarily accessed without fear of stigma, arrest and detention</w:t>
      </w:r>
      <w:r w:rsidR="00471A5A" w:rsidRPr="001A583B">
        <w:rPr>
          <w:rFonts w:ascii="Calibri" w:hAnsi="Calibri" w:cs="Calibri"/>
        </w:rPr>
        <w:t>, leading to improved health and human rights outcomes</w:t>
      </w:r>
      <w:r w:rsidRPr="001A583B">
        <w:rPr>
          <w:rFonts w:ascii="Calibri" w:hAnsi="Calibri" w:cs="Calibri"/>
        </w:rPr>
        <w:t>.</w:t>
      </w:r>
      <w:r w:rsidRPr="001158BF">
        <w:rPr>
          <w:rStyle w:val="EndnoteReference"/>
          <w:rFonts w:ascii="Calibri" w:hAnsi="Calibri" w:cs="Calibri"/>
        </w:rPr>
        <w:endnoteReference w:id="33"/>
      </w:r>
      <w:r w:rsidRPr="001A583B">
        <w:rPr>
          <w:rFonts w:ascii="Calibri" w:hAnsi="Calibri" w:cs="Calibri"/>
          <w:vertAlign w:val="superscript"/>
        </w:rPr>
        <w:t xml:space="preserve"> </w:t>
      </w:r>
    </w:p>
    <w:p w14:paraId="078A5B80" w14:textId="6EEDC101" w:rsidR="00D5164E" w:rsidRPr="001A583B" w:rsidRDefault="001A583B" w:rsidP="001A583B">
      <w:pPr>
        <w:pStyle w:val="ListParagraph"/>
        <w:numPr>
          <w:ilvl w:val="0"/>
          <w:numId w:val="4"/>
        </w:numPr>
        <w:spacing w:line="240" w:lineRule="auto"/>
        <w:ind w:left="426" w:hanging="426"/>
        <w:jc w:val="both"/>
        <w:rPr>
          <w:rFonts w:ascii="Calibri" w:hAnsi="Calibri" w:cs="Calibri"/>
        </w:rPr>
      </w:pPr>
      <w:r w:rsidRPr="00D5164E">
        <w:rPr>
          <w:rFonts w:ascii="Calibri" w:hAnsi="Calibri" w:cs="Calibri"/>
        </w:rPr>
        <w:t>In practice, each country designs and implements decriminalisation differently –</w:t>
      </w:r>
      <w:r>
        <w:rPr>
          <w:rFonts w:ascii="Calibri" w:hAnsi="Calibri" w:cs="Calibri"/>
        </w:rPr>
        <w:t xml:space="preserve"> </w:t>
      </w:r>
      <w:r w:rsidRPr="00D5164E">
        <w:rPr>
          <w:rFonts w:ascii="Calibri" w:hAnsi="Calibri" w:cs="Calibri"/>
        </w:rPr>
        <w:t>and they often fall short from the gold standard</w:t>
      </w:r>
      <w:r w:rsidR="004364A3">
        <w:rPr>
          <w:rFonts w:ascii="Calibri" w:hAnsi="Calibri" w:cs="Calibri"/>
        </w:rPr>
        <w:t>, which consists in the removal of all sanctions and punishment</w:t>
      </w:r>
      <w:r w:rsidRPr="001158BF">
        <w:rPr>
          <w:rStyle w:val="EndnoteReference"/>
          <w:rFonts w:ascii="Calibri" w:hAnsi="Calibri" w:cs="Calibri"/>
        </w:rPr>
        <w:endnoteReference w:id="34"/>
      </w:r>
      <w:r w:rsidRPr="00D5164E">
        <w:rPr>
          <w:rFonts w:ascii="Calibri" w:hAnsi="Calibri" w:cs="Calibri"/>
        </w:rPr>
        <w:t xml:space="preserve">. </w:t>
      </w:r>
      <w:r w:rsidR="00E32E9F" w:rsidRPr="001A583B">
        <w:rPr>
          <w:rFonts w:ascii="Calibri" w:hAnsi="Calibri" w:cs="Calibri"/>
        </w:rPr>
        <w:t xml:space="preserve">In countries like Portugal, decriminalisation has been a consolidated part of the legal system for decades, and it has been effective in reducing drug-related deaths, HIV prevalence, and </w:t>
      </w:r>
      <w:r w:rsidR="00471A5A" w:rsidRPr="001A583B">
        <w:rPr>
          <w:rFonts w:ascii="Calibri" w:hAnsi="Calibri" w:cs="Calibri"/>
        </w:rPr>
        <w:t>the number of people</w:t>
      </w:r>
      <w:r w:rsidR="00E32E9F" w:rsidRPr="001A583B">
        <w:rPr>
          <w:rFonts w:ascii="Calibri" w:hAnsi="Calibri" w:cs="Calibri"/>
        </w:rPr>
        <w:t xml:space="preserve"> sentenced for drug offences</w:t>
      </w:r>
      <w:r w:rsidR="00103DAE" w:rsidRPr="001A583B">
        <w:rPr>
          <w:rFonts w:ascii="Calibri" w:hAnsi="Calibri" w:cs="Calibri"/>
        </w:rPr>
        <w:t>, while d</w:t>
      </w:r>
      <w:r w:rsidR="00E32E9F" w:rsidRPr="001A583B">
        <w:rPr>
          <w:rFonts w:ascii="Calibri" w:hAnsi="Calibri" w:cs="Calibri"/>
        </w:rPr>
        <w:t xml:space="preserve">rug use has remained comparable to that of </w:t>
      </w:r>
      <w:r w:rsidR="00D5164E" w:rsidRPr="001A583B">
        <w:rPr>
          <w:rFonts w:ascii="Calibri" w:hAnsi="Calibri" w:cs="Calibri"/>
        </w:rPr>
        <w:t xml:space="preserve">other </w:t>
      </w:r>
      <w:r w:rsidR="00471A5A" w:rsidRPr="001A583B">
        <w:rPr>
          <w:rFonts w:ascii="Calibri" w:hAnsi="Calibri" w:cs="Calibri"/>
        </w:rPr>
        <w:t xml:space="preserve">EU </w:t>
      </w:r>
      <w:r w:rsidR="00D5164E" w:rsidRPr="001A583B">
        <w:rPr>
          <w:rFonts w:ascii="Calibri" w:hAnsi="Calibri" w:cs="Calibri"/>
        </w:rPr>
        <w:t>countries</w:t>
      </w:r>
      <w:r w:rsidR="00E32E9F" w:rsidRPr="001158BF">
        <w:rPr>
          <w:rStyle w:val="EndnoteReference"/>
          <w:rFonts w:ascii="Calibri" w:hAnsi="Calibri" w:cs="Calibri"/>
        </w:rPr>
        <w:endnoteReference w:id="35"/>
      </w:r>
      <w:r w:rsidR="00E32E9F" w:rsidRPr="001A583B">
        <w:rPr>
          <w:rFonts w:ascii="Calibri" w:hAnsi="Calibri" w:cs="Calibri"/>
        </w:rPr>
        <w:t>.</w:t>
      </w:r>
      <w:r>
        <w:rPr>
          <w:rFonts w:ascii="Calibri" w:hAnsi="Calibri" w:cs="Calibri"/>
        </w:rPr>
        <w:t xml:space="preserve"> However, in</w:t>
      </w:r>
      <w:r w:rsidRPr="00D5164E">
        <w:rPr>
          <w:rFonts w:ascii="Calibri" w:hAnsi="Calibri" w:cs="Calibri"/>
        </w:rPr>
        <w:t xml:space="preserve"> countries like Russia</w:t>
      </w:r>
      <w:r w:rsidRPr="001158BF">
        <w:rPr>
          <w:rStyle w:val="EndnoteReference"/>
          <w:rFonts w:ascii="Calibri" w:hAnsi="Calibri" w:cs="Calibri"/>
        </w:rPr>
        <w:endnoteReference w:id="36"/>
      </w:r>
      <w:r w:rsidRPr="00D5164E">
        <w:rPr>
          <w:rFonts w:ascii="Calibri" w:hAnsi="Calibri" w:cs="Calibri"/>
        </w:rPr>
        <w:t>, the maximum quantities of drugs allowed for personal use are so low that people who use drugs are frequently presumed to be trafficking. Other countries impose administrative sanctions, from fines to administrative detention.</w:t>
      </w:r>
      <w:r>
        <w:rPr>
          <w:rFonts w:ascii="Calibri" w:hAnsi="Calibri" w:cs="Calibri"/>
        </w:rPr>
        <w:t xml:space="preserve"> Whether severe or mild in nature, any administrative sanction can have a detrimental impact on people’s lives (e.g., a fine of any sort could be particularly harmful to a homeless person who uses drugs), and should therefore be discouraged. I</w:t>
      </w:r>
      <w:r w:rsidRPr="001158BF">
        <w:rPr>
          <w:rFonts w:ascii="Calibri" w:hAnsi="Calibri" w:cs="Calibri"/>
        </w:rPr>
        <w:t xml:space="preserve">f effectively </w:t>
      </w:r>
      <w:r>
        <w:rPr>
          <w:rFonts w:ascii="Calibri" w:hAnsi="Calibri" w:cs="Calibri"/>
        </w:rPr>
        <w:t xml:space="preserve">designed and </w:t>
      </w:r>
      <w:r w:rsidRPr="001158BF">
        <w:rPr>
          <w:rFonts w:ascii="Calibri" w:hAnsi="Calibri" w:cs="Calibri"/>
        </w:rPr>
        <w:t>implemented</w:t>
      </w:r>
      <w:r>
        <w:rPr>
          <w:rFonts w:ascii="Calibri" w:hAnsi="Calibri" w:cs="Calibri"/>
        </w:rPr>
        <w:t>, decriminalisation</w:t>
      </w:r>
      <w:r w:rsidRPr="001158BF">
        <w:rPr>
          <w:rFonts w:ascii="Calibri" w:hAnsi="Calibri" w:cs="Calibri"/>
        </w:rPr>
        <w:t xml:space="preserve"> can be a powerful instrument to ensure that the rights of people who use drugs are respected, protected, and fulfilled.</w:t>
      </w:r>
    </w:p>
    <w:p w14:paraId="5E466D43" w14:textId="5B96A48C" w:rsidR="00D5164E" w:rsidRDefault="0088450E" w:rsidP="00D5164E">
      <w:pPr>
        <w:pStyle w:val="ListParagraph"/>
        <w:numPr>
          <w:ilvl w:val="0"/>
          <w:numId w:val="4"/>
        </w:numPr>
        <w:spacing w:line="240" w:lineRule="auto"/>
        <w:ind w:left="426" w:hanging="426"/>
        <w:jc w:val="both"/>
        <w:rPr>
          <w:rFonts w:ascii="Calibri" w:hAnsi="Calibri" w:cs="Calibri"/>
        </w:rPr>
      </w:pPr>
      <w:r w:rsidRPr="00D5164E">
        <w:rPr>
          <w:rFonts w:ascii="Calibri" w:hAnsi="Calibri" w:cs="Calibri"/>
        </w:rPr>
        <w:t>The International Narcotics Control Board, the UN body of experts that monitors the implementation of the international drug conventions, has stated</w:t>
      </w:r>
      <w:r w:rsidRPr="001158BF">
        <w:rPr>
          <w:rStyle w:val="EndnoteReference"/>
          <w:rFonts w:ascii="Calibri" w:hAnsi="Calibri" w:cs="Calibri"/>
        </w:rPr>
        <w:endnoteReference w:id="37"/>
      </w:r>
      <w:r w:rsidRPr="00D5164E">
        <w:rPr>
          <w:rFonts w:ascii="Calibri" w:hAnsi="Calibri" w:cs="Calibri"/>
        </w:rPr>
        <w:t xml:space="preserve"> that the UN drug treaties do not require the punishment of drug use or possession for personal use; instead, they allow for States’ response to be centred on the provision of health and social services</w:t>
      </w:r>
      <w:r w:rsidR="00103DAE">
        <w:rPr>
          <w:rFonts w:ascii="Calibri" w:hAnsi="Calibri" w:cs="Calibri"/>
        </w:rPr>
        <w:t>.</w:t>
      </w:r>
    </w:p>
    <w:p w14:paraId="4EE5929A" w14:textId="28082FF9" w:rsidR="00731286" w:rsidRPr="001158BF" w:rsidRDefault="00471A5A" w:rsidP="00D5164E">
      <w:pPr>
        <w:pStyle w:val="ListParagraph"/>
        <w:numPr>
          <w:ilvl w:val="0"/>
          <w:numId w:val="4"/>
        </w:numPr>
        <w:spacing w:line="240" w:lineRule="auto"/>
        <w:ind w:left="426" w:hanging="426"/>
        <w:jc w:val="both"/>
        <w:rPr>
          <w:rFonts w:ascii="Calibri" w:hAnsi="Calibri" w:cs="Calibri"/>
        </w:rPr>
      </w:pPr>
      <w:r w:rsidRPr="004364A3">
        <w:rPr>
          <w:rFonts w:ascii="Calibri" w:hAnsi="Calibri" w:cs="Calibri"/>
        </w:rPr>
        <w:t xml:space="preserve">A </w:t>
      </w:r>
      <w:r w:rsidR="00731286" w:rsidRPr="001158BF">
        <w:rPr>
          <w:rFonts w:ascii="Calibri" w:hAnsi="Calibri" w:cs="Calibri"/>
        </w:rPr>
        <w:t xml:space="preserve">growing number of </w:t>
      </w:r>
      <w:r w:rsidR="00726718" w:rsidRPr="001158BF">
        <w:rPr>
          <w:rFonts w:ascii="Calibri" w:hAnsi="Calibri" w:cs="Calibri"/>
        </w:rPr>
        <w:t xml:space="preserve">UN </w:t>
      </w:r>
      <w:r w:rsidR="00E32E9F" w:rsidRPr="001158BF">
        <w:rPr>
          <w:rFonts w:ascii="Calibri" w:hAnsi="Calibri" w:cs="Calibri"/>
        </w:rPr>
        <w:t xml:space="preserve">entities and </w:t>
      </w:r>
      <w:r w:rsidR="00731286" w:rsidRPr="001158BF">
        <w:rPr>
          <w:rFonts w:ascii="Calibri" w:hAnsi="Calibri" w:cs="Calibri"/>
        </w:rPr>
        <w:t xml:space="preserve">human rights experts </w:t>
      </w:r>
      <w:r>
        <w:rPr>
          <w:rFonts w:ascii="Calibri" w:hAnsi="Calibri" w:cs="Calibri"/>
        </w:rPr>
        <w:t>are supporting and promoting decriminalisation as a core component of a rights and health approach towards people who use drugs</w:t>
      </w:r>
      <w:r w:rsidR="00D0627F" w:rsidRPr="001158BF">
        <w:rPr>
          <w:rFonts w:ascii="Calibri" w:hAnsi="Calibri" w:cs="Calibri"/>
        </w:rPr>
        <w:t>:</w:t>
      </w:r>
    </w:p>
    <w:p w14:paraId="66A685A4" w14:textId="05D5CD28" w:rsidR="00E32E9F" w:rsidRPr="001158BF" w:rsidRDefault="00E32E9F" w:rsidP="001158BF">
      <w:pPr>
        <w:pStyle w:val="ListParagraph"/>
        <w:numPr>
          <w:ilvl w:val="0"/>
          <w:numId w:val="5"/>
        </w:numPr>
        <w:spacing w:line="240" w:lineRule="auto"/>
        <w:jc w:val="both"/>
        <w:rPr>
          <w:rFonts w:ascii="Calibri" w:hAnsi="Calibri" w:cs="Calibri"/>
          <w:b/>
          <w:bCs/>
        </w:rPr>
      </w:pPr>
      <w:r w:rsidRPr="001158BF">
        <w:rPr>
          <w:rFonts w:ascii="Calibri" w:hAnsi="Calibri" w:cs="Calibri"/>
          <w:b/>
          <w:bCs/>
        </w:rPr>
        <w:t>UN Agencies</w:t>
      </w:r>
      <w:r w:rsidRPr="001158BF">
        <w:rPr>
          <w:rFonts w:ascii="Calibri" w:hAnsi="Calibri" w:cs="Calibri"/>
        </w:rPr>
        <w:t>. The UN system Common Position on drugs, the UN overarching policy document on drug-related matters adopted by all 31 UN agencies, promot</w:t>
      </w:r>
      <w:r w:rsidR="00471A5A">
        <w:rPr>
          <w:rFonts w:ascii="Calibri" w:hAnsi="Calibri" w:cs="Calibri"/>
        </w:rPr>
        <w:t>es</w:t>
      </w:r>
      <w:r w:rsidRPr="001158BF">
        <w:rPr>
          <w:rFonts w:ascii="Calibri" w:hAnsi="Calibri" w:cs="Calibri"/>
        </w:rPr>
        <w:t xml:space="preserve"> decriminalisation amongst its directions for action</w:t>
      </w:r>
      <w:r w:rsidRPr="001158BF">
        <w:rPr>
          <w:rStyle w:val="EndnoteReference"/>
          <w:rFonts w:ascii="Calibri" w:hAnsi="Calibri" w:cs="Calibri"/>
        </w:rPr>
        <w:endnoteReference w:id="38"/>
      </w:r>
      <w:r w:rsidRPr="001158BF">
        <w:rPr>
          <w:rFonts w:ascii="Calibri" w:hAnsi="Calibri" w:cs="Calibri"/>
        </w:rPr>
        <w:t xml:space="preserve">. </w:t>
      </w:r>
      <w:r w:rsidR="00471A5A">
        <w:rPr>
          <w:rFonts w:ascii="Calibri" w:hAnsi="Calibri" w:cs="Calibri"/>
        </w:rPr>
        <w:t>Various UN</w:t>
      </w:r>
      <w:r w:rsidRPr="001158BF">
        <w:rPr>
          <w:rFonts w:ascii="Calibri" w:hAnsi="Calibri" w:cs="Calibri"/>
        </w:rPr>
        <w:t xml:space="preserve"> agencies have also explicitly called for </w:t>
      </w:r>
      <w:r w:rsidR="00A75774">
        <w:rPr>
          <w:rFonts w:ascii="Calibri" w:hAnsi="Calibri" w:cs="Calibri"/>
        </w:rPr>
        <w:t>decriminalisation</w:t>
      </w:r>
      <w:r w:rsidRPr="001158BF">
        <w:rPr>
          <w:rFonts w:ascii="Calibri" w:hAnsi="Calibri" w:cs="Calibri"/>
        </w:rPr>
        <w:t>, including OHCHR</w:t>
      </w:r>
      <w:r w:rsidRPr="001158BF">
        <w:rPr>
          <w:rStyle w:val="EndnoteReference"/>
          <w:rFonts w:ascii="Calibri" w:hAnsi="Calibri" w:cs="Calibri"/>
        </w:rPr>
        <w:endnoteReference w:id="39"/>
      </w:r>
      <w:r w:rsidRPr="001158BF">
        <w:rPr>
          <w:rFonts w:ascii="Calibri" w:hAnsi="Calibri" w:cs="Calibri"/>
        </w:rPr>
        <w:t>, UNAIDS</w:t>
      </w:r>
      <w:r w:rsidRPr="001158BF">
        <w:rPr>
          <w:rStyle w:val="EndnoteReference"/>
          <w:rFonts w:ascii="Calibri" w:hAnsi="Calibri" w:cs="Calibri"/>
        </w:rPr>
        <w:endnoteReference w:id="40"/>
      </w:r>
      <w:r w:rsidRPr="001158BF">
        <w:rPr>
          <w:rFonts w:ascii="Calibri" w:hAnsi="Calibri" w:cs="Calibri"/>
        </w:rPr>
        <w:t>, WHO</w:t>
      </w:r>
      <w:r w:rsidRPr="001158BF">
        <w:rPr>
          <w:rStyle w:val="EndnoteReference"/>
          <w:rFonts w:ascii="Calibri" w:hAnsi="Calibri" w:cs="Calibri"/>
        </w:rPr>
        <w:endnoteReference w:id="41"/>
      </w:r>
      <w:r w:rsidRPr="001158BF">
        <w:rPr>
          <w:rFonts w:ascii="Calibri" w:hAnsi="Calibri" w:cs="Calibri"/>
        </w:rPr>
        <w:t>, UNDP</w:t>
      </w:r>
      <w:r w:rsidRPr="001158BF">
        <w:rPr>
          <w:rStyle w:val="EndnoteReference"/>
          <w:rFonts w:ascii="Calibri" w:hAnsi="Calibri" w:cs="Calibri"/>
        </w:rPr>
        <w:endnoteReference w:id="42"/>
      </w:r>
      <w:r w:rsidRPr="001158BF">
        <w:rPr>
          <w:rFonts w:ascii="Calibri" w:hAnsi="Calibri" w:cs="Calibri"/>
        </w:rPr>
        <w:t>, and UN Women</w:t>
      </w:r>
      <w:r w:rsidRPr="001158BF">
        <w:rPr>
          <w:rStyle w:val="EndnoteReference"/>
          <w:rFonts w:ascii="Calibri" w:hAnsi="Calibri" w:cs="Calibri"/>
        </w:rPr>
        <w:endnoteReference w:id="43"/>
      </w:r>
      <w:r w:rsidRPr="001158BF">
        <w:rPr>
          <w:rFonts w:ascii="Calibri" w:hAnsi="Calibri" w:cs="Calibri"/>
        </w:rPr>
        <w:t>.</w:t>
      </w:r>
    </w:p>
    <w:p w14:paraId="30D6C789" w14:textId="77777777" w:rsidR="00E32E9F" w:rsidRPr="001158BF" w:rsidRDefault="00E32E9F" w:rsidP="001158BF">
      <w:pPr>
        <w:pStyle w:val="ListParagraph"/>
        <w:numPr>
          <w:ilvl w:val="0"/>
          <w:numId w:val="5"/>
        </w:numPr>
        <w:spacing w:line="240" w:lineRule="auto"/>
        <w:jc w:val="both"/>
        <w:rPr>
          <w:rFonts w:ascii="Calibri" w:hAnsi="Calibri" w:cs="Calibri"/>
        </w:rPr>
      </w:pPr>
      <w:r w:rsidRPr="001158BF">
        <w:rPr>
          <w:rFonts w:ascii="Calibri" w:hAnsi="Calibri" w:cs="Calibri"/>
          <w:b/>
          <w:bCs/>
        </w:rPr>
        <w:t>International standards.</w:t>
      </w:r>
      <w:r w:rsidRPr="001158BF">
        <w:rPr>
          <w:rFonts w:ascii="Calibri" w:hAnsi="Calibri" w:cs="Calibri"/>
        </w:rPr>
        <w:t xml:space="preserve"> According to the 2019 International Guidelines on Human Rights and Drug Policy, which were developed by a coalition of human rights experts, Member States, WHO, UNAIDS, UNDP, and OHCHR, ‘States shall ensure that people are not detained solely on the basis of drug use or drug dependence’</w:t>
      </w:r>
      <w:r w:rsidRPr="001158BF">
        <w:rPr>
          <w:rStyle w:val="EndnoteReference"/>
          <w:rFonts w:ascii="Calibri" w:hAnsi="Calibri" w:cs="Calibri"/>
        </w:rPr>
        <w:endnoteReference w:id="44"/>
      </w:r>
      <w:r w:rsidRPr="001158BF">
        <w:rPr>
          <w:rFonts w:ascii="Calibri" w:hAnsi="Calibri" w:cs="Calibri"/>
        </w:rPr>
        <w:t>.</w:t>
      </w:r>
    </w:p>
    <w:p w14:paraId="19386B59" w14:textId="762C2742" w:rsidR="00D40241" w:rsidRDefault="00E32E9F" w:rsidP="001158BF">
      <w:pPr>
        <w:pStyle w:val="ListParagraph"/>
        <w:numPr>
          <w:ilvl w:val="0"/>
          <w:numId w:val="5"/>
        </w:numPr>
        <w:spacing w:line="240" w:lineRule="auto"/>
        <w:jc w:val="both"/>
        <w:rPr>
          <w:rFonts w:ascii="Calibri" w:hAnsi="Calibri" w:cs="Calibri"/>
        </w:rPr>
      </w:pPr>
      <w:r w:rsidRPr="001158BF">
        <w:rPr>
          <w:rFonts w:ascii="Calibri" w:hAnsi="Calibri" w:cs="Calibri"/>
          <w:b/>
          <w:bCs/>
        </w:rPr>
        <w:lastRenderedPageBreak/>
        <w:t xml:space="preserve">Human rights </w:t>
      </w:r>
      <w:r w:rsidR="00B94C11" w:rsidRPr="001158BF">
        <w:rPr>
          <w:rFonts w:ascii="Calibri" w:hAnsi="Calibri" w:cs="Calibri"/>
          <w:b/>
          <w:bCs/>
        </w:rPr>
        <w:t>bodies and experts</w:t>
      </w:r>
      <w:r w:rsidR="00731286" w:rsidRPr="001158BF">
        <w:rPr>
          <w:rFonts w:ascii="Calibri" w:hAnsi="Calibri" w:cs="Calibri"/>
          <w:b/>
          <w:bCs/>
        </w:rPr>
        <w:t>.</w:t>
      </w:r>
      <w:r w:rsidR="00EA4DE0" w:rsidRPr="001158BF">
        <w:rPr>
          <w:rFonts w:ascii="Calibri" w:hAnsi="Calibri" w:cs="Calibri"/>
          <w:b/>
          <w:bCs/>
        </w:rPr>
        <w:t xml:space="preserve"> </w:t>
      </w:r>
      <w:r w:rsidR="006B6D20" w:rsidRPr="006B6D20">
        <w:rPr>
          <w:rFonts w:ascii="Calibri" w:hAnsi="Calibri" w:cs="Calibri"/>
        </w:rPr>
        <w:t>Amongst many others,</w:t>
      </w:r>
      <w:r w:rsidR="006B6D20">
        <w:rPr>
          <w:rFonts w:ascii="Calibri" w:hAnsi="Calibri" w:cs="Calibri"/>
          <w:b/>
          <w:bCs/>
        </w:rPr>
        <w:t xml:space="preserve"> </w:t>
      </w:r>
      <w:r w:rsidR="006B6D20">
        <w:rPr>
          <w:rFonts w:ascii="Calibri" w:hAnsi="Calibri" w:cs="Calibri"/>
        </w:rPr>
        <w:t>t</w:t>
      </w:r>
      <w:r w:rsidR="00EA4DE0" w:rsidRPr="001158BF">
        <w:rPr>
          <w:rFonts w:ascii="Calibri" w:hAnsi="Calibri" w:cs="Calibri"/>
        </w:rPr>
        <w:t>he</w:t>
      </w:r>
      <w:r w:rsidR="00EA4DE0" w:rsidRPr="001158BF">
        <w:rPr>
          <w:rFonts w:ascii="Calibri" w:hAnsi="Calibri" w:cs="Calibri"/>
          <w:b/>
          <w:bCs/>
        </w:rPr>
        <w:t xml:space="preserve"> </w:t>
      </w:r>
      <w:r w:rsidR="00EA4DE0" w:rsidRPr="001158BF">
        <w:rPr>
          <w:rFonts w:ascii="Calibri" w:hAnsi="Calibri" w:cs="Calibri"/>
        </w:rPr>
        <w:t xml:space="preserve">CESCR Committee has </w:t>
      </w:r>
      <w:r w:rsidR="00B94C11" w:rsidRPr="001158BF">
        <w:rPr>
          <w:rFonts w:ascii="Calibri" w:hAnsi="Calibri" w:cs="Calibri"/>
        </w:rPr>
        <w:t>explicitly recommended decriminalisation</w:t>
      </w:r>
      <w:r w:rsidR="00B94C11" w:rsidRPr="001158BF">
        <w:rPr>
          <w:rStyle w:val="EndnoteReference"/>
          <w:rFonts w:ascii="Calibri" w:hAnsi="Calibri" w:cs="Calibri"/>
        </w:rPr>
        <w:endnoteReference w:id="45"/>
      </w:r>
      <w:r w:rsidR="00B94C11" w:rsidRPr="001158BF">
        <w:rPr>
          <w:rFonts w:ascii="Calibri" w:hAnsi="Calibri" w:cs="Calibri"/>
        </w:rPr>
        <w:t xml:space="preserve">, </w:t>
      </w:r>
      <w:r w:rsidR="001158BF" w:rsidRPr="001158BF">
        <w:rPr>
          <w:rFonts w:ascii="Calibri" w:hAnsi="Calibri" w:cs="Calibri"/>
        </w:rPr>
        <w:t xml:space="preserve"> </w:t>
      </w:r>
      <w:r w:rsidR="00DD0E90">
        <w:rPr>
          <w:rFonts w:ascii="Calibri" w:hAnsi="Calibri" w:cs="Calibri"/>
        </w:rPr>
        <w:t>as did</w:t>
      </w:r>
      <w:r w:rsidR="001158BF" w:rsidRPr="001158BF">
        <w:rPr>
          <w:rFonts w:ascii="Calibri" w:hAnsi="Calibri" w:cs="Calibri"/>
        </w:rPr>
        <w:t xml:space="preserve"> the Working Group on Arbitrary Detention</w:t>
      </w:r>
      <w:r w:rsidR="001158BF" w:rsidRPr="001158BF">
        <w:rPr>
          <w:rStyle w:val="EndnoteReference"/>
          <w:rFonts w:ascii="Calibri" w:hAnsi="Calibri" w:cs="Calibri"/>
        </w:rPr>
        <w:endnoteReference w:id="46"/>
      </w:r>
      <w:r w:rsidR="00EA4DE0" w:rsidRPr="001158BF">
        <w:rPr>
          <w:rFonts w:ascii="Calibri" w:hAnsi="Calibri" w:cs="Calibri"/>
        </w:rPr>
        <w:t>.</w:t>
      </w:r>
      <w:r w:rsidR="00EF6200" w:rsidRPr="001158BF">
        <w:rPr>
          <w:rFonts w:ascii="Calibri" w:hAnsi="Calibri" w:cs="Calibri"/>
        </w:rPr>
        <w:t xml:space="preserve"> </w:t>
      </w:r>
      <w:r w:rsidR="00D6475D" w:rsidRPr="001158BF">
        <w:rPr>
          <w:rFonts w:ascii="Calibri" w:hAnsi="Calibri" w:cs="Calibri"/>
        </w:rPr>
        <w:t>The High Commissioner for Human Rights</w:t>
      </w:r>
      <w:r w:rsidR="00D6475D" w:rsidRPr="001158BF">
        <w:rPr>
          <w:rStyle w:val="EndnoteReference"/>
          <w:rFonts w:ascii="Calibri" w:hAnsi="Calibri" w:cs="Calibri"/>
        </w:rPr>
        <w:endnoteReference w:id="47"/>
      </w:r>
      <w:r w:rsidR="00D6475D" w:rsidRPr="001158BF">
        <w:rPr>
          <w:rFonts w:ascii="Calibri" w:hAnsi="Calibri" w:cs="Calibri"/>
        </w:rPr>
        <w:t xml:space="preserve">, and the Special Rapporteur on </w:t>
      </w:r>
      <w:r w:rsidR="006B066A" w:rsidRPr="001158BF">
        <w:rPr>
          <w:rFonts w:ascii="Calibri" w:hAnsi="Calibri" w:cs="Calibri"/>
        </w:rPr>
        <w:t>H</w:t>
      </w:r>
      <w:r w:rsidR="00D6475D" w:rsidRPr="001158BF">
        <w:rPr>
          <w:rFonts w:ascii="Calibri" w:hAnsi="Calibri" w:cs="Calibri"/>
        </w:rPr>
        <w:t>ealth</w:t>
      </w:r>
      <w:r w:rsidR="00D6475D" w:rsidRPr="001158BF">
        <w:rPr>
          <w:rStyle w:val="EndnoteReference"/>
          <w:rFonts w:ascii="Calibri" w:hAnsi="Calibri" w:cs="Calibri"/>
        </w:rPr>
        <w:endnoteReference w:id="48"/>
      </w:r>
      <w:r w:rsidR="00D6475D" w:rsidRPr="001158BF">
        <w:rPr>
          <w:rFonts w:ascii="Calibri" w:hAnsi="Calibri" w:cs="Calibri"/>
        </w:rPr>
        <w:t xml:space="preserve"> have also recommended that states consider </w:t>
      </w:r>
      <w:r w:rsidR="006B066A" w:rsidRPr="001158BF">
        <w:rPr>
          <w:rFonts w:ascii="Calibri" w:hAnsi="Calibri" w:cs="Calibri"/>
        </w:rPr>
        <w:t xml:space="preserve">decriminalisation </w:t>
      </w:r>
      <w:r w:rsidR="00D6475D" w:rsidRPr="001158BF">
        <w:rPr>
          <w:rFonts w:ascii="Calibri" w:hAnsi="Calibri" w:cs="Calibri"/>
        </w:rPr>
        <w:t>as a mechanism to remove obstacles to the right to health.</w:t>
      </w:r>
    </w:p>
    <w:p w14:paraId="040BCB20" w14:textId="7418635C" w:rsidR="00471A5A" w:rsidRDefault="00471A5A" w:rsidP="00471A5A">
      <w:pPr>
        <w:jc w:val="both"/>
        <w:rPr>
          <w:rFonts w:ascii="Calibri" w:hAnsi="Calibri" w:cs="Calibri"/>
        </w:rPr>
      </w:pPr>
    </w:p>
    <w:p w14:paraId="7B79CBDF" w14:textId="16EB03DE" w:rsidR="00471A5A" w:rsidRDefault="00471A5A" w:rsidP="00DD0E90">
      <w:pPr>
        <w:jc w:val="both"/>
        <w:rPr>
          <w:rFonts w:ascii="Calibri" w:hAnsi="Calibri" w:cs="Calibri"/>
          <w:b/>
          <w:bCs/>
        </w:rPr>
      </w:pPr>
      <w:r w:rsidRPr="004364A3">
        <w:rPr>
          <w:rFonts w:ascii="Calibri" w:hAnsi="Calibri" w:cs="Calibri"/>
          <w:b/>
          <w:bCs/>
        </w:rPr>
        <w:t>The gold standard of decriminalisation</w:t>
      </w:r>
    </w:p>
    <w:p w14:paraId="3F67BDC3" w14:textId="77777777" w:rsidR="00E04F2F" w:rsidRPr="004364A3" w:rsidRDefault="00E04F2F" w:rsidP="004364A3">
      <w:pPr>
        <w:jc w:val="both"/>
        <w:rPr>
          <w:rFonts w:ascii="Calibri" w:hAnsi="Calibri" w:cs="Calibri"/>
          <w:b/>
          <w:bCs/>
        </w:rPr>
      </w:pPr>
    </w:p>
    <w:p w14:paraId="0A8F2306" w14:textId="03FC93A3" w:rsidR="00471A5A" w:rsidRDefault="00471A5A" w:rsidP="00471A5A">
      <w:pPr>
        <w:pStyle w:val="ListParagraph"/>
        <w:numPr>
          <w:ilvl w:val="0"/>
          <w:numId w:val="4"/>
        </w:numPr>
        <w:spacing w:line="240" w:lineRule="auto"/>
        <w:ind w:left="426" w:hanging="426"/>
        <w:jc w:val="both"/>
        <w:rPr>
          <w:rFonts w:ascii="Calibri" w:hAnsi="Calibri" w:cs="Calibri"/>
        </w:rPr>
      </w:pPr>
      <w:r w:rsidRPr="00D5164E">
        <w:rPr>
          <w:rFonts w:ascii="Calibri" w:hAnsi="Calibri" w:cs="Calibri"/>
        </w:rPr>
        <w:t>The gold standard of decriminalisation</w:t>
      </w:r>
      <w:r>
        <w:rPr>
          <w:rStyle w:val="EndnoteReference"/>
          <w:rFonts w:ascii="Calibri" w:hAnsi="Calibri" w:cs="Calibri"/>
        </w:rPr>
        <w:endnoteReference w:id="49"/>
      </w:r>
      <w:r w:rsidRPr="00D5164E">
        <w:rPr>
          <w:rFonts w:ascii="Calibri" w:hAnsi="Calibri" w:cs="Calibri"/>
        </w:rPr>
        <w:t xml:space="preserve"> is the removal of all sanctions and punishments for drug use and ancillary activities such as drug possession for personal use, the cultivation and purchase of </w:t>
      </w:r>
      <w:r w:rsidRPr="00D5164E">
        <w:rPr>
          <w:rFonts w:ascii="Calibri" w:hAnsi="Calibri" w:cs="Calibri"/>
        </w:rPr>
        <w:t>drug</w:t>
      </w:r>
      <w:r w:rsidR="00C04BD3">
        <w:rPr>
          <w:rFonts w:ascii="Calibri" w:hAnsi="Calibri" w:cs="Calibri"/>
        </w:rPr>
        <w:t>s</w:t>
      </w:r>
      <w:r w:rsidRPr="00D5164E">
        <w:rPr>
          <w:rFonts w:ascii="Calibri" w:hAnsi="Calibri" w:cs="Calibri"/>
        </w:rPr>
        <w:t xml:space="preserve"> for personal use; and possession of </w:t>
      </w:r>
      <w:r w:rsidR="008B0E2A">
        <w:rPr>
          <w:rFonts w:ascii="Calibri" w:hAnsi="Calibri" w:cs="Calibri"/>
        </w:rPr>
        <w:t xml:space="preserve">drug use </w:t>
      </w:r>
      <w:r w:rsidRPr="00D5164E">
        <w:rPr>
          <w:rFonts w:ascii="Calibri" w:hAnsi="Calibri" w:cs="Calibri"/>
        </w:rPr>
        <w:t>paraphernalia</w:t>
      </w:r>
      <w:r w:rsidRPr="001158BF">
        <w:rPr>
          <w:rStyle w:val="EndnoteReference"/>
          <w:rFonts w:ascii="Calibri" w:hAnsi="Calibri" w:cs="Calibri"/>
        </w:rPr>
        <w:endnoteReference w:id="50"/>
      </w:r>
      <w:r w:rsidRPr="00D5164E">
        <w:rPr>
          <w:rFonts w:ascii="Calibri" w:hAnsi="Calibri" w:cs="Calibri"/>
        </w:rPr>
        <w:t xml:space="preserve">. </w:t>
      </w:r>
      <w:r w:rsidR="00E04F2F">
        <w:rPr>
          <w:rFonts w:ascii="Calibri" w:hAnsi="Calibri" w:cs="Calibri"/>
        </w:rPr>
        <w:t>D</w:t>
      </w:r>
      <w:r w:rsidRPr="00D5164E">
        <w:rPr>
          <w:rFonts w:ascii="Calibri" w:hAnsi="Calibri" w:cs="Calibri"/>
        </w:rPr>
        <w:t xml:space="preserve">ecriminalisation should be coupled with </w:t>
      </w:r>
      <w:r w:rsidRPr="00D5164E">
        <w:rPr>
          <w:rFonts w:ascii="Calibri" w:hAnsi="Calibri" w:cs="Calibri"/>
        </w:rPr>
        <w:t>the provision of voluntary, evidence-based, and affordable healthcare, harm reduction and drug treatment</w:t>
      </w:r>
      <w:r w:rsidR="008B0E2A">
        <w:rPr>
          <w:rFonts w:ascii="Calibri" w:hAnsi="Calibri" w:cs="Calibri"/>
        </w:rPr>
        <w:t xml:space="preserve"> services</w:t>
      </w:r>
      <w:r w:rsidR="006C62A0">
        <w:rPr>
          <w:rFonts w:ascii="Calibri" w:hAnsi="Calibri" w:cs="Calibri"/>
        </w:rPr>
        <w:t xml:space="preserve"> (on harm reduction services, see separate submission on harm reduction led by Harm Reduction International)</w:t>
      </w:r>
      <w:r w:rsidRPr="00D5164E">
        <w:rPr>
          <w:rFonts w:ascii="Calibri" w:hAnsi="Calibri" w:cs="Calibri"/>
        </w:rPr>
        <w:t xml:space="preserve">. </w:t>
      </w:r>
      <w:r w:rsidR="00E04F2F" w:rsidRPr="001A583B">
        <w:rPr>
          <w:rFonts w:ascii="Calibri" w:hAnsi="Calibri" w:cs="Calibri"/>
        </w:rPr>
        <w:t xml:space="preserve">Decriminalisation </w:t>
      </w:r>
      <w:r w:rsidR="00E04F2F">
        <w:rPr>
          <w:rFonts w:ascii="Calibri" w:hAnsi="Calibri" w:cs="Calibri"/>
        </w:rPr>
        <w:t>policies</w:t>
      </w:r>
      <w:r w:rsidR="00E04F2F" w:rsidRPr="001A583B">
        <w:rPr>
          <w:rFonts w:ascii="Calibri" w:hAnsi="Calibri" w:cs="Calibri"/>
        </w:rPr>
        <w:t xml:space="preserve"> should be designed and implemented with the full and meaningful participation of people who use drugs.</w:t>
      </w:r>
    </w:p>
    <w:p w14:paraId="21E4C496" w14:textId="4F95BB50" w:rsidR="008B0E2A" w:rsidRPr="001A583B" w:rsidRDefault="008B0E2A" w:rsidP="001A583B">
      <w:pPr>
        <w:pStyle w:val="ListParagraph"/>
        <w:numPr>
          <w:ilvl w:val="0"/>
          <w:numId w:val="4"/>
        </w:numPr>
        <w:spacing w:line="240" w:lineRule="auto"/>
        <w:ind w:left="426" w:hanging="426"/>
        <w:jc w:val="both"/>
        <w:rPr>
          <w:rFonts w:ascii="Calibri" w:hAnsi="Calibri" w:cs="Calibri"/>
        </w:rPr>
      </w:pPr>
      <w:r w:rsidRPr="001A583B">
        <w:rPr>
          <w:rFonts w:ascii="Calibri" w:hAnsi="Calibri" w:cs="Calibri"/>
        </w:rPr>
        <w:t xml:space="preserve">In her report, we call on the High Commissioner to make an unequivocal call for all member states to decriminalise drug use and related activities, with the removal of all sanctions for such activities, and </w:t>
      </w:r>
      <w:r w:rsidR="00566F79" w:rsidRPr="001A583B">
        <w:rPr>
          <w:rFonts w:ascii="Calibri" w:hAnsi="Calibri" w:cs="Calibri"/>
        </w:rPr>
        <w:t xml:space="preserve">possibilities for voluntary referrals to health, social, harm reduction and treatment services that are grounded in evidence, human rights and gender-sensitivity. </w:t>
      </w:r>
    </w:p>
    <w:p w14:paraId="66A8AF3D" w14:textId="77777777" w:rsidR="00471A5A" w:rsidRPr="004364A3" w:rsidRDefault="00471A5A" w:rsidP="004364A3">
      <w:pPr>
        <w:jc w:val="both"/>
        <w:rPr>
          <w:rFonts w:ascii="Calibri" w:hAnsi="Calibri" w:cs="Calibri"/>
        </w:rPr>
      </w:pPr>
    </w:p>
    <w:sectPr w:rsidR="00471A5A" w:rsidRPr="004364A3" w:rsidSect="00712AC6">
      <w:footerReference w:type="default" r:id="rId13"/>
      <w:endnotePr>
        <w:numFmt w:val="decimal"/>
      </w:endnotePr>
      <w:pgSz w:w="12240" w:h="15840"/>
      <w:pgMar w:top="1160" w:right="1440" w:bottom="1193"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3D5C" w14:textId="77777777" w:rsidR="00320DA2" w:rsidRDefault="00320DA2" w:rsidP="0025576F">
      <w:r>
        <w:separator/>
      </w:r>
    </w:p>
  </w:endnote>
  <w:endnote w:type="continuationSeparator" w:id="0">
    <w:p w14:paraId="2C949571" w14:textId="77777777" w:rsidR="00320DA2" w:rsidRDefault="00320DA2" w:rsidP="0025576F">
      <w:r>
        <w:continuationSeparator/>
      </w:r>
    </w:p>
  </w:endnote>
  <w:endnote w:id="1">
    <w:p w14:paraId="2178980D" w14:textId="77777777" w:rsidR="004364A3" w:rsidRDefault="004364A3" w:rsidP="00962BA6">
      <w:pPr>
        <w:pStyle w:val="EndnoteText"/>
        <w:rPr>
          <w:rFonts w:cs="Calibri"/>
          <w:b/>
          <w:bCs/>
          <w:sz w:val="22"/>
          <w:szCs w:val="22"/>
        </w:rPr>
      </w:pPr>
    </w:p>
    <w:p w14:paraId="54187642" w14:textId="5A3433A9" w:rsidR="004364A3" w:rsidRPr="004364A3" w:rsidRDefault="004364A3" w:rsidP="00962BA6">
      <w:pPr>
        <w:pStyle w:val="EndnoteText"/>
        <w:rPr>
          <w:rFonts w:cs="Calibri"/>
          <w:b/>
          <w:bCs/>
          <w:sz w:val="22"/>
          <w:szCs w:val="22"/>
        </w:rPr>
      </w:pPr>
      <w:r w:rsidRPr="004364A3">
        <w:rPr>
          <w:rFonts w:cs="Calibri"/>
          <w:b/>
          <w:bCs/>
          <w:sz w:val="22"/>
          <w:szCs w:val="22"/>
        </w:rPr>
        <w:t>ENDNOTES</w:t>
      </w:r>
      <w:r>
        <w:rPr>
          <w:rFonts w:cs="Calibri"/>
          <w:b/>
          <w:bCs/>
          <w:sz w:val="22"/>
          <w:szCs w:val="22"/>
        </w:rPr>
        <w:t xml:space="preserve"> </w:t>
      </w:r>
    </w:p>
    <w:p w14:paraId="2305CD5C" w14:textId="77777777" w:rsidR="004364A3" w:rsidRPr="004F150A" w:rsidRDefault="004364A3" w:rsidP="004F150A">
      <w:pPr>
        <w:pStyle w:val="EndnoteText"/>
        <w:spacing w:after="120"/>
        <w:rPr>
          <w:rFonts w:cs="Calibri"/>
        </w:rPr>
      </w:pPr>
    </w:p>
    <w:p w14:paraId="5CAE88C4" w14:textId="78A459DD"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 w:history="1">
        <w:r w:rsidRPr="004F150A">
          <w:rPr>
            <w:rStyle w:val="Hyperlink"/>
            <w:rFonts w:cs="Calibri"/>
          </w:rPr>
          <w:t>https://www.unaids.org/sites/default/files/media_asset/2021_political-declaration-on-hiv-and-aids_en.pdf</w:t>
        </w:r>
      </w:hyperlink>
      <w:r w:rsidRPr="004F150A">
        <w:rPr>
          <w:rFonts w:cs="Calibri"/>
        </w:rPr>
        <w:t xml:space="preserve">, para. 25. </w:t>
      </w:r>
    </w:p>
  </w:endnote>
  <w:endnote w:id="2">
    <w:p w14:paraId="2EC1B49A" w14:textId="77777777"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2" w:history="1">
        <w:r w:rsidRPr="004F150A">
          <w:rPr>
            <w:rStyle w:val="Hyperlink"/>
            <w:rFonts w:cs="Calibri"/>
          </w:rPr>
          <w:t>https://www.unaids.org/sites/default/files/media_asset/JC3032_AIDS_Data_book_2021_En.pdf</w:t>
        </w:r>
      </w:hyperlink>
      <w:r w:rsidRPr="004F150A">
        <w:rPr>
          <w:rFonts w:cs="Calibri"/>
        </w:rPr>
        <w:t xml:space="preserve">, p. 11.  </w:t>
      </w:r>
    </w:p>
  </w:endnote>
  <w:endnote w:id="3">
    <w:p w14:paraId="583A32EA" w14:textId="77777777"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3" w:history="1">
        <w:r w:rsidRPr="004F150A">
          <w:rPr>
            <w:rStyle w:val="Hyperlink"/>
            <w:rFonts w:cs="Calibri"/>
          </w:rPr>
          <w:t>https://www.unaids.org/sites/default/files/media_asset/JC3032_AIDS_Data_book_2021_En.pdf</w:t>
        </w:r>
      </w:hyperlink>
      <w:r w:rsidRPr="004F150A">
        <w:rPr>
          <w:rFonts w:cs="Calibri"/>
        </w:rPr>
        <w:t xml:space="preserve">, p. 310. </w:t>
      </w:r>
    </w:p>
  </w:endnote>
  <w:endnote w:id="4">
    <w:p w14:paraId="4BC012F9" w14:textId="77777777"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4" w:history="1">
        <w:r w:rsidRPr="004F150A">
          <w:rPr>
            <w:rStyle w:val="Hyperlink"/>
            <w:rFonts w:cs="Calibri"/>
          </w:rPr>
          <w:t>https://www.unaids.org/sites/default/files/media_asset/JC3032_AIDS_Data_book_2021_En.pdf</w:t>
        </w:r>
      </w:hyperlink>
      <w:r w:rsidRPr="004F150A">
        <w:rPr>
          <w:rFonts w:cs="Calibri"/>
        </w:rPr>
        <w:t>, p. 354.</w:t>
      </w:r>
    </w:p>
  </w:endnote>
  <w:endnote w:id="5">
    <w:p w14:paraId="22A4BDBD" w14:textId="77777777"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5" w:history="1">
        <w:r w:rsidRPr="004F150A">
          <w:rPr>
            <w:rStyle w:val="Hyperlink"/>
            <w:rFonts w:cs="Calibri"/>
          </w:rPr>
          <w:t>https://www.unaids.org/sites/default/files/media_asset/JC2954_UNAIDS_drugs_report_2019_en.pdf</w:t>
        </w:r>
      </w:hyperlink>
      <w:r w:rsidRPr="004F150A">
        <w:rPr>
          <w:rFonts w:cs="Calibri"/>
        </w:rPr>
        <w:t>, pp. 2-3.</w:t>
      </w:r>
    </w:p>
  </w:endnote>
  <w:endnote w:id="6">
    <w:p w14:paraId="250FC8FD" w14:textId="77777777" w:rsidR="00F017A8" w:rsidRPr="004F150A" w:rsidRDefault="00F017A8" w:rsidP="004F150A">
      <w:pPr>
        <w:pStyle w:val="EndnoteText"/>
        <w:spacing w:after="120"/>
        <w:rPr>
          <w:rFonts w:cs="Calibri"/>
        </w:rPr>
      </w:pPr>
      <w:r w:rsidRPr="004F150A">
        <w:rPr>
          <w:rStyle w:val="EndnoteReference"/>
          <w:rFonts w:cs="Calibri"/>
        </w:rPr>
        <w:endnoteRef/>
      </w:r>
      <w:r w:rsidRPr="004F150A">
        <w:rPr>
          <w:rFonts w:cs="Calibri"/>
        </w:rPr>
        <w:t xml:space="preserve"> For both data see: </w:t>
      </w:r>
      <w:hyperlink r:id="rId6" w:history="1">
        <w:r w:rsidRPr="004F150A">
          <w:rPr>
            <w:rStyle w:val="Hyperlink"/>
            <w:rFonts w:cs="Calibri"/>
          </w:rPr>
          <w:t>https://www.unaids.org/sites/default/files/media_asset/JC3032_AIDS_Data_book_2021_En.pdf</w:t>
        </w:r>
      </w:hyperlink>
      <w:r w:rsidRPr="004F150A">
        <w:rPr>
          <w:rFonts w:cs="Calibri"/>
        </w:rPr>
        <w:t xml:space="preserve">, p. 354. </w:t>
      </w:r>
    </w:p>
  </w:endnote>
  <w:endnote w:id="7">
    <w:p w14:paraId="2355D5A5" w14:textId="18BE877E" w:rsidR="008337E5" w:rsidRPr="004F150A" w:rsidRDefault="008337E5" w:rsidP="004F150A">
      <w:pPr>
        <w:pStyle w:val="EndnoteText"/>
        <w:spacing w:after="120"/>
        <w:rPr>
          <w:rFonts w:cs="Calibri"/>
        </w:rPr>
      </w:pPr>
      <w:r w:rsidRPr="004F150A">
        <w:rPr>
          <w:rStyle w:val="EndnoteReference"/>
          <w:rFonts w:cs="Calibri"/>
        </w:rPr>
        <w:endnoteRef/>
      </w:r>
      <w:r w:rsidRPr="004F150A">
        <w:rPr>
          <w:rFonts w:cs="Calibri"/>
        </w:rPr>
        <w:t xml:space="preserve"> By ‘criminalisation of people who use drugs’ we mean the imposition of criminal penalties for the use of illegal drugs, as well as for a series of activities ancillary to such personal use, including the possession of drugs for personal use, the possession of drug use equipment, or the cultivation of cannabis for personal use.</w:t>
      </w:r>
    </w:p>
  </w:endnote>
  <w:endnote w:id="8">
    <w:p w14:paraId="742C23B7" w14:textId="77777777" w:rsidR="00534130" w:rsidRPr="004F150A" w:rsidRDefault="00534130"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7" w:history="1">
        <w:r w:rsidRPr="004F150A">
          <w:rPr>
            <w:rStyle w:val="Hyperlink"/>
            <w:rFonts w:cs="Calibri"/>
          </w:rPr>
          <w:t>https://www.unaids.org/sites/default/files/media_asset/2021_political-declaration-on-hiv-and-aids_en.pdf</w:t>
        </w:r>
      </w:hyperlink>
      <w:r w:rsidRPr="004F150A">
        <w:rPr>
          <w:rFonts w:cs="Calibri"/>
        </w:rPr>
        <w:t>, para. 37.</w:t>
      </w:r>
    </w:p>
  </w:endnote>
  <w:endnote w:id="9">
    <w:p w14:paraId="67FB68A0" w14:textId="25AD1A09" w:rsidR="003A29D1" w:rsidRPr="004F150A" w:rsidRDefault="003A29D1"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8" w:history="1">
        <w:r w:rsidRPr="004F150A">
          <w:rPr>
            <w:rStyle w:val="Hyperlink"/>
            <w:rFonts w:cs="Calibri"/>
          </w:rPr>
          <w:t>https://www.unaids.org/en/resources/documents/2021/2021-2026-global-AIDS-strategy</w:t>
        </w:r>
      </w:hyperlink>
      <w:r w:rsidRPr="004F150A">
        <w:rPr>
          <w:rFonts w:cs="Calibri"/>
        </w:rPr>
        <w:t xml:space="preserve"> </w:t>
      </w:r>
    </w:p>
  </w:endnote>
  <w:endnote w:id="10">
    <w:p w14:paraId="5C631FDC" w14:textId="77777777" w:rsidR="00534130" w:rsidRPr="004F150A" w:rsidRDefault="00534130"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9" w:history="1">
        <w:r w:rsidRPr="004F150A">
          <w:rPr>
            <w:rStyle w:val="Hyperlink"/>
            <w:rFonts w:cs="Calibri"/>
          </w:rPr>
          <w:t>https://gh.bmj.com/content/6/8/e006315</w:t>
        </w:r>
      </w:hyperlink>
      <w:r w:rsidRPr="004F150A">
        <w:rPr>
          <w:rFonts w:cs="Calibri"/>
        </w:rPr>
        <w:t xml:space="preserve"> </w:t>
      </w:r>
    </w:p>
  </w:endnote>
  <w:endnote w:id="11">
    <w:p w14:paraId="3321963B" w14:textId="5649F861" w:rsidR="00490301" w:rsidRPr="004F150A" w:rsidRDefault="00490301"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0" w:history="1">
        <w:r w:rsidRPr="004F150A">
          <w:rPr>
            <w:rStyle w:val="Hyperlink"/>
            <w:rFonts w:cs="Calibri"/>
          </w:rPr>
          <w:t>https://link.springer.com/article/10.1007/s11524-012-9741-3</w:t>
        </w:r>
      </w:hyperlink>
      <w:r w:rsidRPr="004F150A">
        <w:rPr>
          <w:rFonts w:cs="Calibri"/>
        </w:rPr>
        <w:t xml:space="preserve"> </w:t>
      </w:r>
    </w:p>
  </w:endnote>
  <w:endnote w:id="12">
    <w:p w14:paraId="58E84D8D" w14:textId="53A607A0" w:rsidR="00F455A1" w:rsidRPr="004F150A" w:rsidRDefault="00F455A1" w:rsidP="004F150A">
      <w:pPr>
        <w:pStyle w:val="EndnoteText"/>
        <w:spacing w:after="120"/>
        <w:rPr>
          <w:rFonts w:cs="Calibri"/>
        </w:rPr>
      </w:pPr>
      <w:r w:rsidRPr="004F150A">
        <w:rPr>
          <w:rStyle w:val="EndnoteReference"/>
          <w:rFonts w:cs="Calibri"/>
        </w:rPr>
        <w:endnoteRef/>
      </w:r>
      <w:r w:rsidRPr="004F150A">
        <w:rPr>
          <w:rFonts w:cs="Calibri"/>
        </w:rPr>
        <w:t xml:space="preserve"> </w:t>
      </w:r>
      <w:r w:rsidR="006B6D20" w:rsidRPr="004F150A">
        <w:rPr>
          <w:rFonts w:cs="Calibri"/>
        </w:rPr>
        <w:t xml:space="preserve">Research to be published by IDPC in March 2022. Available upon request. </w:t>
      </w:r>
    </w:p>
  </w:endnote>
  <w:endnote w:id="13">
    <w:p w14:paraId="6D92C23A" w14:textId="77777777" w:rsidR="00F43A65" w:rsidRPr="004F150A" w:rsidRDefault="00F43A65"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1" w:history="1">
        <w:r w:rsidRPr="004F150A">
          <w:rPr>
            <w:rStyle w:val="Hyperlink"/>
            <w:rFonts w:cs="Calibri"/>
          </w:rPr>
          <w:t>https://www.unaids.org/sites/default/files/media_asset/JC2954_UNAIDS_drugs_report_2019_en.pdf</w:t>
        </w:r>
      </w:hyperlink>
      <w:r w:rsidRPr="004F150A">
        <w:rPr>
          <w:rFonts w:cs="Calibri"/>
        </w:rPr>
        <w:t xml:space="preserve">, p. 5. </w:t>
      </w:r>
    </w:p>
  </w:endnote>
  <w:endnote w:id="14">
    <w:p w14:paraId="454E3AC8" w14:textId="26A80DE8" w:rsidR="006454B1" w:rsidRPr="004F150A" w:rsidRDefault="006454B1"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2" w:anchor="bib0255" w:history="1">
        <w:r w:rsidRPr="004F150A">
          <w:rPr>
            <w:rStyle w:val="Hyperlink"/>
            <w:rFonts w:cs="Calibri"/>
          </w:rPr>
          <w:t>https://www.sciencedirect.com/science/article/pii/S0955395914002631#bib0255</w:t>
        </w:r>
      </w:hyperlink>
      <w:r w:rsidRPr="004F150A">
        <w:rPr>
          <w:rFonts w:cs="Calibri"/>
        </w:rPr>
        <w:t xml:space="preserve"> </w:t>
      </w:r>
    </w:p>
  </w:endnote>
  <w:endnote w:id="15">
    <w:p w14:paraId="5D7C52C5" w14:textId="524307BE" w:rsidR="0028098E" w:rsidRPr="004F150A" w:rsidRDefault="0028098E"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3" w:history="1">
        <w:r w:rsidR="00DC09CD" w:rsidRPr="004F150A">
          <w:rPr>
            <w:rStyle w:val="Hyperlink"/>
            <w:rFonts w:cs="Calibri"/>
          </w:rPr>
          <w:t>https://undocs.org/A/HRC/47/40</w:t>
        </w:r>
      </w:hyperlink>
      <w:r w:rsidR="00DC09CD" w:rsidRPr="004F150A">
        <w:rPr>
          <w:rFonts w:cs="Calibri"/>
        </w:rPr>
        <w:t>, para. 84 amongst others.</w:t>
      </w:r>
    </w:p>
  </w:endnote>
  <w:endnote w:id="16">
    <w:p w14:paraId="2235D9D5" w14:textId="77777777" w:rsidR="00904173" w:rsidRPr="004F150A" w:rsidRDefault="00904173" w:rsidP="004F150A">
      <w:pPr>
        <w:spacing w:after="120"/>
        <w:rPr>
          <w:rFonts w:ascii="Calibri" w:hAnsi="Calibri" w:cs="Calibri"/>
          <w:sz w:val="20"/>
          <w:szCs w:val="20"/>
          <w:lang w:bidi="th-TH"/>
        </w:rPr>
      </w:pPr>
      <w:r w:rsidRPr="004F150A">
        <w:rPr>
          <w:rStyle w:val="EndnoteReference"/>
          <w:rFonts w:ascii="Calibri" w:hAnsi="Calibri" w:cs="Calibri"/>
          <w:sz w:val="20"/>
          <w:szCs w:val="20"/>
        </w:rPr>
        <w:endnoteRef/>
      </w:r>
      <w:r w:rsidRPr="004F150A">
        <w:rPr>
          <w:rFonts w:ascii="Calibri" w:hAnsi="Calibri" w:cs="Calibri"/>
          <w:sz w:val="20"/>
          <w:szCs w:val="20"/>
        </w:rPr>
        <w:t xml:space="preserve"> </w:t>
      </w:r>
      <w:r w:rsidRPr="004F150A">
        <w:rPr>
          <w:rFonts w:ascii="Calibri" w:eastAsia="Calibri" w:hAnsi="Calibri" w:cs="Calibri"/>
          <w:sz w:val="20"/>
          <w:szCs w:val="20"/>
        </w:rPr>
        <w:t xml:space="preserve">See: </w:t>
      </w:r>
      <w:hyperlink r:id="rId14" w:history="1">
        <w:r w:rsidRPr="004F150A">
          <w:rPr>
            <w:rStyle w:val="Hyperlink"/>
            <w:rFonts w:ascii="Calibri" w:eastAsia="Calibri" w:hAnsi="Calibri" w:cs="Calibri"/>
            <w:sz w:val="20"/>
            <w:szCs w:val="20"/>
          </w:rPr>
          <w:t>http://fileserver.idpc.net/library/UN_What_we_have_learned.pdf</w:t>
        </w:r>
      </w:hyperlink>
      <w:r w:rsidRPr="004F150A">
        <w:rPr>
          <w:rFonts w:ascii="Calibri" w:eastAsia="Calibri" w:hAnsi="Calibri" w:cs="Calibri"/>
          <w:sz w:val="20"/>
          <w:szCs w:val="20"/>
        </w:rPr>
        <w:t xml:space="preserve">, p. 24. </w:t>
      </w:r>
    </w:p>
  </w:endnote>
  <w:endnote w:id="17">
    <w:p w14:paraId="765951F2" w14:textId="0B4D756D" w:rsidR="00891F1D" w:rsidRPr="004F150A" w:rsidRDefault="00891F1D"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15" w:history="1">
        <w:r w:rsidRPr="004F150A">
          <w:rPr>
            <w:rStyle w:val="Hyperlink"/>
            <w:rFonts w:cs="Calibri"/>
          </w:rPr>
          <w:t>https://unaidsapnew.files.wordpress.com/2022/01/booklet-1-12th-jan-2022.pdf</w:t>
        </w:r>
      </w:hyperlink>
      <w:r w:rsidRPr="004F150A">
        <w:rPr>
          <w:rFonts w:cs="Calibri"/>
        </w:rPr>
        <w:t xml:space="preserve"> </w:t>
      </w:r>
    </w:p>
  </w:endnote>
  <w:endnote w:id="18">
    <w:p w14:paraId="304756DD" w14:textId="77777777" w:rsidR="00DC09CD" w:rsidRPr="004F150A" w:rsidRDefault="00DC09CD" w:rsidP="004F150A">
      <w:pPr>
        <w:spacing w:after="120"/>
        <w:rPr>
          <w:rFonts w:ascii="Calibri" w:hAnsi="Calibri" w:cs="Calibri"/>
          <w:sz w:val="20"/>
          <w:szCs w:val="20"/>
          <w:lang w:bidi="th-TH"/>
        </w:rPr>
      </w:pPr>
      <w:r w:rsidRPr="004F150A">
        <w:rPr>
          <w:rStyle w:val="EndnoteReference"/>
          <w:rFonts w:ascii="Calibri" w:hAnsi="Calibri" w:cs="Calibri"/>
          <w:sz w:val="20"/>
          <w:szCs w:val="20"/>
        </w:rPr>
        <w:endnoteRef/>
      </w:r>
      <w:r w:rsidRPr="004F150A">
        <w:rPr>
          <w:rFonts w:ascii="Calibri" w:hAnsi="Calibri" w:cs="Calibri"/>
          <w:sz w:val="20"/>
          <w:szCs w:val="20"/>
        </w:rPr>
        <w:t xml:space="preserve"> See: </w:t>
      </w:r>
      <w:hyperlink r:id="rId16" w:history="1">
        <w:r w:rsidRPr="004F150A">
          <w:rPr>
            <w:rStyle w:val="Hyperlink"/>
            <w:rFonts w:ascii="Calibri" w:hAnsi="Calibri" w:cs="Calibri"/>
            <w:sz w:val="20"/>
            <w:szCs w:val="20"/>
          </w:rPr>
          <w:t>http://www.unaids.org/en/resources/documents/2014/20140716_UNAIDS_gap_report</w:t>
        </w:r>
      </w:hyperlink>
    </w:p>
  </w:endnote>
  <w:endnote w:id="19">
    <w:p w14:paraId="3BDC18AE" w14:textId="77777777" w:rsidR="00DC09CD" w:rsidRPr="004F150A" w:rsidRDefault="00DC09CD" w:rsidP="004F150A">
      <w:pPr>
        <w:spacing w:after="120"/>
        <w:rPr>
          <w:rFonts w:ascii="Calibri" w:hAnsi="Calibri" w:cs="Calibri"/>
          <w:sz w:val="20"/>
          <w:szCs w:val="20"/>
          <w:lang w:bidi="th-TH"/>
        </w:rPr>
      </w:pPr>
      <w:r w:rsidRPr="004F150A">
        <w:rPr>
          <w:rStyle w:val="EndnoteReference"/>
          <w:rFonts w:ascii="Calibri" w:hAnsi="Calibri" w:cs="Calibri"/>
          <w:sz w:val="20"/>
          <w:szCs w:val="20"/>
        </w:rPr>
        <w:endnoteRef/>
      </w:r>
      <w:r w:rsidRPr="004F150A">
        <w:rPr>
          <w:rFonts w:ascii="Calibri" w:hAnsi="Calibri" w:cs="Calibri"/>
          <w:sz w:val="20"/>
          <w:szCs w:val="20"/>
        </w:rPr>
        <w:t xml:space="preserve"> </w:t>
      </w:r>
      <w:r w:rsidRPr="004F150A">
        <w:rPr>
          <w:rFonts w:ascii="Calibri" w:eastAsia="Calibri" w:hAnsi="Calibri" w:cs="Calibri"/>
          <w:sz w:val="20"/>
          <w:szCs w:val="20"/>
        </w:rPr>
        <w:t xml:space="preserve">See: </w:t>
      </w:r>
      <w:hyperlink r:id="rId17" w:history="1">
        <w:r w:rsidRPr="004F150A">
          <w:rPr>
            <w:rStyle w:val="Hyperlink"/>
            <w:rFonts w:ascii="Calibri" w:eastAsia="Calibri" w:hAnsi="Calibri" w:cs="Calibri"/>
            <w:sz w:val="20"/>
            <w:szCs w:val="20"/>
          </w:rPr>
          <w:t>https://www.unodc.org/docs/treatment/111_PRISON.pdf</w:t>
        </w:r>
      </w:hyperlink>
      <w:r w:rsidRPr="004F150A">
        <w:rPr>
          <w:rFonts w:ascii="Calibri" w:eastAsia="Calibri" w:hAnsi="Calibri" w:cs="Calibri"/>
          <w:sz w:val="20"/>
          <w:szCs w:val="20"/>
        </w:rPr>
        <w:t xml:space="preserve">, p. 11.  </w:t>
      </w:r>
    </w:p>
  </w:endnote>
  <w:endnote w:id="20">
    <w:p w14:paraId="0F3C6125" w14:textId="77777777" w:rsidR="001E0B54" w:rsidRPr="004F150A" w:rsidRDefault="001E0B54"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18" w:history="1">
        <w:r w:rsidRPr="004F150A">
          <w:rPr>
            <w:rStyle w:val="Hyperlink"/>
            <w:rFonts w:cs="Calibri"/>
          </w:rPr>
          <w:t>http://globalcommissionondrugs.org/wp-content/themes/gcdp_v1/pdf/GCDP_HIV-AIDS_2012_REFERENCE.pdf</w:t>
        </w:r>
      </w:hyperlink>
      <w:r w:rsidRPr="004F150A">
        <w:rPr>
          <w:rFonts w:cs="Calibri"/>
        </w:rPr>
        <w:t xml:space="preserve">; </w:t>
      </w:r>
      <w:hyperlink r:id="rId19" w:history="1">
        <w:r w:rsidRPr="004F150A">
          <w:rPr>
            <w:rStyle w:val="Hyperlink"/>
            <w:rFonts w:cs="Calibri"/>
          </w:rPr>
          <w:t>http://www.globalcommissionondrugs.org/hepatitis/gcdp_hepatitis_english.pdf</w:t>
        </w:r>
      </w:hyperlink>
      <w:r w:rsidRPr="004F150A">
        <w:rPr>
          <w:rFonts w:cs="Calibri"/>
        </w:rPr>
        <w:t xml:space="preserve">; </w:t>
      </w:r>
      <w:hyperlink r:id="rId20" w:history="1">
        <w:r w:rsidRPr="004F150A">
          <w:rPr>
            <w:rStyle w:val="Hyperlink"/>
            <w:rFonts w:cs="Calibri"/>
          </w:rPr>
          <w:t>http://www.countthecosts.org/sites/default/files/Health-briefing.pdf</w:t>
        </w:r>
      </w:hyperlink>
    </w:p>
  </w:endnote>
  <w:endnote w:id="21">
    <w:p w14:paraId="1A677EEB" w14:textId="782353FF" w:rsidR="001E0B54" w:rsidRPr="004F150A" w:rsidRDefault="001E0B54" w:rsidP="004F150A">
      <w:pPr>
        <w:pStyle w:val="EndnoteText"/>
        <w:spacing w:after="120"/>
        <w:rPr>
          <w:rFonts w:cs="Calibri"/>
        </w:rPr>
      </w:pPr>
      <w:r w:rsidRPr="004F150A">
        <w:rPr>
          <w:rStyle w:val="EndnoteReference"/>
          <w:rFonts w:cs="Calibri"/>
        </w:rPr>
        <w:endnoteRef/>
      </w:r>
      <w:r w:rsidRPr="004F150A">
        <w:rPr>
          <w:rFonts w:cs="Calibri"/>
        </w:rPr>
        <w:t xml:space="preserve"> </w:t>
      </w:r>
      <w:r w:rsidR="006B6D20" w:rsidRPr="004F150A">
        <w:rPr>
          <w:rFonts w:cs="Calibri"/>
        </w:rPr>
        <w:t>Research to be published by IDPC in March 2022. Available upon request.</w:t>
      </w:r>
    </w:p>
  </w:endnote>
  <w:endnote w:id="22">
    <w:p w14:paraId="0F7CB2E0" w14:textId="77777777" w:rsidR="001E0B54" w:rsidRPr="004F150A" w:rsidRDefault="001E0B54"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21" w:tgtFrame="_blank" w:history="1">
        <w:r w:rsidRPr="004F150A">
          <w:rPr>
            <w:rStyle w:val="Hyperlink"/>
            <w:rFonts w:cs="Calibri"/>
          </w:rPr>
          <w:t>http://idpc.net/publications/2016/03/public-health-approach-to-drug-use-in-asia-decriminalisation</w:t>
        </w:r>
      </w:hyperlink>
      <w:r w:rsidRPr="004F150A">
        <w:rPr>
          <w:rFonts w:cs="Calibri"/>
        </w:rPr>
        <w:t xml:space="preserve"> </w:t>
      </w:r>
    </w:p>
  </w:endnote>
  <w:endnote w:id="23">
    <w:p w14:paraId="237DA133" w14:textId="77777777" w:rsidR="004E368B" w:rsidRPr="004F150A" w:rsidRDefault="004E368B" w:rsidP="004F150A">
      <w:pPr>
        <w:pStyle w:val="EndnoteText"/>
        <w:spacing w:after="120"/>
        <w:rPr>
          <w:rFonts w:cs="Calibri"/>
        </w:rPr>
      </w:pPr>
      <w:r w:rsidRPr="004F150A">
        <w:rPr>
          <w:rStyle w:val="EndnoteReference"/>
          <w:rFonts w:cs="Calibri"/>
        </w:rPr>
        <w:endnoteRef/>
      </w:r>
      <w:r w:rsidRPr="004F150A">
        <w:rPr>
          <w:rFonts w:cs="Calibri"/>
        </w:rPr>
        <w:t xml:space="preserve"> </w:t>
      </w:r>
      <w:hyperlink r:id="rId22" w:history="1">
        <w:r w:rsidRPr="004F150A">
          <w:rPr>
            <w:rStyle w:val="Hyperlink"/>
            <w:rFonts w:cs="Calibri"/>
          </w:rPr>
          <w:t>https://www.unodc.org/documents/hiv-aids/2016/Addressing_the_specific_needs_of_women_who_inject_drugs_Practical_guide_for_service_providers_on_gender-responsive_HIV_services.pdf</w:t>
        </w:r>
      </w:hyperlink>
      <w:r w:rsidRPr="004F150A">
        <w:rPr>
          <w:rFonts w:cs="Calibri"/>
        </w:rPr>
        <w:t>, p. 10</w:t>
      </w:r>
    </w:p>
  </w:endnote>
  <w:endnote w:id="24">
    <w:p w14:paraId="4274D657" w14:textId="77777777" w:rsidR="00703DC9" w:rsidRPr="004F150A" w:rsidRDefault="00703DC9"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23" w:history="1">
        <w:r w:rsidRPr="004F150A">
          <w:rPr>
            <w:rStyle w:val="Hyperlink"/>
            <w:rFonts w:cs="Calibri"/>
          </w:rPr>
          <w:t>http://fileserver.idpc.net/library/10-year%20review_ASIA.pdf</w:t>
        </w:r>
      </w:hyperlink>
      <w:r w:rsidRPr="004F150A">
        <w:rPr>
          <w:rFonts w:cs="Calibri"/>
        </w:rPr>
        <w:t xml:space="preserve">, p. 32. </w:t>
      </w:r>
    </w:p>
  </w:endnote>
  <w:endnote w:id="25">
    <w:p w14:paraId="1F307FE5" w14:textId="170E339F" w:rsidR="00703DC9" w:rsidRPr="004F150A" w:rsidRDefault="00703DC9" w:rsidP="004F150A">
      <w:pPr>
        <w:pStyle w:val="EndnoteText"/>
        <w:spacing w:after="120"/>
        <w:rPr>
          <w:rFonts w:cs="Calibri"/>
        </w:rPr>
      </w:pPr>
      <w:r w:rsidRPr="004F150A">
        <w:rPr>
          <w:rStyle w:val="EndnoteReference"/>
          <w:rFonts w:cs="Calibri"/>
        </w:rPr>
        <w:endnoteRef/>
      </w:r>
      <w:r w:rsidRPr="004F150A">
        <w:rPr>
          <w:rFonts w:cs="Calibri"/>
        </w:rPr>
        <w:t xml:space="preserve"> </w:t>
      </w:r>
      <w:r w:rsidR="006B6D20" w:rsidRPr="004F150A">
        <w:rPr>
          <w:rFonts w:cs="Calibri"/>
        </w:rPr>
        <w:t xml:space="preserve">See: </w:t>
      </w:r>
      <w:hyperlink r:id="rId24" w:history="1">
        <w:r w:rsidRPr="004F150A">
          <w:rPr>
            <w:rStyle w:val="Hyperlink"/>
            <w:rFonts w:cs="Calibri"/>
          </w:rPr>
          <w:t>https://drive.google.com/file/d/1DBGu24ggfDEzv57QEqeSf1YZ8ZYvnwuC/view</w:t>
        </w:r>
      </w:hyperlink>
      <w:r w:rsidRPr="004F150A">
        <w:rPr>
          <w:rFonts w:cs="Calibri"/>
        </w:rPr>
        <w:t xml:space="preserve"> </w:t>
      </w:r>
    </w:p>
  </w:endnote>
  <w:endnote w:id="26">
    <w:p w14:paraId="22A743C4" w14:textId="5C757D7B" w:rsidR="00703DC9" w:rsidRPr="004F150A" w:rsidRDefault="00703DC9" w:rsidP="004F150A">
      <w:pPr>
        <w:pStyle w:val="EndnoteText"/>
        <w:spacing w:after="120"/>
        <w:rPr>
          <w:rFonts w:cs="Calibri"/>
        </w:rPr>
      </w:pPr>
      <w:r w:rsidRPr="004F150A">
        <w:rPr>
          <w:rStyle w:val="EndnoteReference"/>
          <w:rFonts w:cs="Calibri"/>
        </w:rPr>
        <w:endnoteRef/>
      </w:r>
      <w:r w:rsidRPr="004F150A">
        <w:rPr>
          <w:rFonts w:cs="Calibri"/>
        </w:rPr>
        <w:t xml:space="preserve"> </w:t>
      </w:r>
      <w:r w:rsidR="006B6D20" w:rsidRPr="004F150A">
        <w:rPr>
          <w:rFonts w:cs="Calibri"/>
        </w:rPr>
        <w:t xml:space="preserve">See: </w:t>
      </w:r>
      <w:hyperlink r:id="rId25" w:history="1">
        <w:r w:rsidR="006B6D20" w:rsidRPr="004F150A">
          <w:rPr>
            <w:rStyle w:val="Hyperlink"/>
            <w:rFonts w:cs="Calibri"/>
          </w:rPr>
          <w:t>http://fileserver.idpc.net/library/10-year%20review_ASIA.pdf</w:t>
        </w:r>
      </w:hyperlink>
      <w:r w:rsidR="006B6D20" w:rsidRPr="004F150A">
        <w:rPr>
          <w:rFonts w:cs="Calibri"/>
        </w:rPr>
        <w:t>, p. 32.</w:t>
      </w:r>
    </w:p>
  </w:endnote>
  <w:endnote w:id="27">
    <w:p w14:paraId="3E6D9DBA" w14:textId="77777777" w:rsidR="00C45D9B" w:rsidRPr="004F150A" w:rsidRDefault="00C45D9B"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26" w:history="1">
        <w:r w:rsidRPr="004F150A">
          <w:rPr>
            <w:rStyle w:val="Hyperlink"/>
            <w:rFonts w:cs="Calibri"/>
          </w:rPr>
          <w:t>https://idpc.net/publications/2022/01/marginalising-the-most-marginalised-gathering-evidence-on-how-the-welfare-stare-discriminates-against-people-who-use-drugs</w:t>
        </w:r>
      </w:hyperlink>
      <w:r w:rsidRPr="004F150A">
        <w:rPr>
          <w:rFonts w:cs="Calibri"/>
        </w:rPr>
        <w:t xml:space="preserve"> </w:t>
      </w:r>
    </w:p>
  </w:endnote>
  <w:endnote w:id="28">
    <w:p w14:paraId="0133E5D9" w14:textId="2DAECEFE" w:rsidR="005311B9" w:rsidRPr="004F150A" w:rsidRDefault="005311B9"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27" w:history="1">
        <w:r w:rsidRPr="004F150A">
          <w:rPr>
            <w:rStyle w:val="Hyperlink"/>
            <w:rFonts w:cs="Calibri"/>
          </w:rPr>
          <w:t>https://undocs.org/A/HRC/47/40</w:t>
        </w:r>
      </w:hyperlink>
      <w:r w:rsidRPr="004F150A">
        <w:rPr>
          <w:rFonts w:cs="Calibri"/>
        </w:rPr>
        <w:t xml:space="preserve">, para. 51.  </w:t>
      </w:r>
    </w:p>
  </w:endnote>
  <w:endnote w:id="29">
    <w:p w14:paraId="1639461B" w14:textId="15EBAEF6" w:rsidR="00983E93" w:rsidRPr="004F150A" w:rsidRDefault="00983E93" w:rsidP="004F150A">
      <w:pPr>
        <w:spacing w:after="120"/>
        <w:rPr>
          <w:rFonts w:ascii="Calibri" w:hAnsi="Calibri" w:cs="Calibri"/>
          <w:sz w:val="20"/>
          <w:szCs w:val="20"/>
        </w:rPr>
      </w:pPr>
      <w:r w:rsidRPr="004F150A">
        <w:rPr>
          <w:rStyle w:val="EndnoteReference"/>
          <w:rFonts w:ascii="Calibri" w:hAnsi="Calibri" w:cs="Calibri"/>
          <w:sz w:val="20"/>
          <w:szCs w:val="20"/>
        </w:rPr>
        <w:endnoteRef/>
      </w:r>
      <w:r w:rsidRPr="004F150A">
        <w:rPr>
          <w:rFonts w:ascii="Calibri" w:hAnsi="Calibri" w:cs="Calibri"/>
          <w:sz w:val="20"/>
          <w:szCs w:val="20"/>
        </w:rPr>
        <w:t xml:space="preserve"> </w:t>
      </w:r>
      <w:r w:rsidR="006B6D20" w:rsidRPr="004F150A">
        <w:rPr>
          <w:rFonts w:ascii="Calibri" w:hAnsi="Calibri" w:cs="Calibri"/>
          <w:sz w:val="20"/>
          <w:szCs w:val="20"/>
        </w:rPr>
        <w:t xml:space="preserve">See: </w:t>
      </w:r>
      <w:hyperlink r:id="rId28">
        <w:r w:rsidRPr="004F150A">
          <w:rPr>
            <w:rFonts w:ascii="Calibri" w:hAnsi="Calibri" w:cs="Calibri"/>
            <w:color w:val="0563C1"/>
            <w:sz w:val="20"/>
            <w:szCs w:val="20"/>
            <w:u w:val="single"/>
          </w:rPr>
          <w:t>https://www.release.org.uk/sites/default/files/pdf/publications/HRI%20and%20Release%20-%20Contribution%20to%20the%20OHCHR%20Report.pdf</w:t>
        </w:r>
      </w:hyperlink>
      <w:r w:rsidRPr="004F150A">
        <w:rPr>
          <w:rFonts w:ascii="Calibri" w:hAnsi="Calibri" w:cs="Calibri"/>
          <w:sz w:val="20"/>
          <w:szCs w:val="20"/>
        </w:rPr>
        <w:t xml:space="preserve">; </w:t>
      </w:r>
      <w:hyperlink r:id="rId29">
        <w:r w:rsidRPr="004F150A">
          <w:rPr>
            <w:rFonts w:ascii="Calibri" w:hAnsi="Calibri" w:cs="Calibri"/>
            <w:color w:val="0563C1"/>
            <w:sz w:val="20"/>
            <w:szCs w:val="20"/>
            <w:u w:val="single"/>
          </w:rPr>
          <w:t>https://www.release.org.uk/publications/numbers-black-and-white-ethnic-disparities-policing-and-prosecution-drug-offences</w:t>
        </w:r>
      </w:hyperlink>
      <w:r w:rsidRPr="004F150A">
        <w:rPr>
          <w:rFonts w:ascii="Calibri" w:hAnsi="Calibri" w:cs="Calibri"/>
          <w:sz w:val="20"/>
          <w:szCs w:val="20"/>
        </w:rPr>
        <w:t xml:space="preserve"> </w:t>
      </w:r>
    </w:p>
  </w:endnote>
  <w:endnote w:id="30">
    <w:p w14:paraId="2E434078" w14:textId="1682F37C" w:rsidR="00983E93" w:rsidRPr="004F150A" w:rsidRDefault="00983E93" w:rsidP="004F150A">
      <w:pPr>
        <w:spacing w:after="120"/>
        <w:rPr>
          <w:rFonts w:ascii="Calibri" w:hAnsi="Calibri" w:cs="Calibri"/>
          <w:sz w:val="20"/>
          <w:szCs w:val="20"/>
        </w:rPr>
      </w:pPr>
      <w:r w:rsidRPr="004F150A">
        <w:rPr>
          <w:rStyle w:val="EndnoteReference"/>
          <w:rFonts w:ascii="Calibri" w:hAnsi="Calibri" w:cs="Calibri"/>
          <w:sz w:val="20"/>
          <w:szCs w:val="20"/>
        </w:rPr>
        <w:endnoteRef/>
      </w:r>
      <w:r w:rsidRPr="004F150A">
        <w:rPr>
          <w:rFonts w:ascii="Calibri" w:hAnsi="Calibri" w:cs="Calibri"/>
          <w:sz w:val="20"/>
          <w:szCs w:val="20"/>
        </w:rPr>
        <w:t xml:space="preserve"> </w:t>
      </w:r>
      <w:r w:rsidR="006B6D20" w:rsidRPr="004F150A">
        <w:rPr>
          <w:rFonts w:ascii="Calibri" w:hAnsi="Calibri" w:cs="Calibri"/>
          <w:sz w:val="20"/>
          <w:szCs w:val="20"/>
        </w:rPr>
        <w:t xml:space="preserve">See: </w:t>
      </w:r>
      <w:hyperlink r:id="rId30">
        <w:r w:rsidRPr="004F150A">
          <w:rPr>
            <w:rFonts w:ascii="Calibri" w:hAnsi="Calibri" w:cs="Calibri"/>
            <w:color w:val="0563C1"/>
            <w:sz w:val="20"/>
            <w:szCs w:val="20"/>
            <w:u w:val="single"/>
          </w:rPr>
          <w:t>https://drugpolicy.org/sites/default/files/drug-war-mass-incarceration-and-race_01_18_0.pdf</w:t>
        </w:r>
      </w:hyperlink>
      <w:r w:rsidRPr="004F150A">
        <w:rPr>
          <w:rFonts w:ascii="Calibri" w:hAnsi="Calibri" w:cs="Calibri"/>
          <w:sz w:val="20"/>
          <w:szCs w:val="20"/>
        </w:rPr>
        <w:t xml:space="preserve">. </w:t>
      </w:r>
      <w:hyperlink r:id="rId31">
        <w:r w:rsidRPr="004F150A">
          <w:rPr>
            <w:rFonts w:ascii="Calibri" w:hAnsi="Calibri" w:cs="Calibri"/>
            <w:color w:val="1155CC"/>
            <w:sz w:val="20"/>
            <w:szCs w:val="20"/>
            <w:u w:val="single"/>
          </w:rPr>
          <w:t>https://undocs.org/en/A/HRC/33/61/Add.2</w:t>
        </w:r>
      </w:hyperlink>
    </w:p>
  </w:endnote>
  <w:endnote w:id="31">
    <w:p w14:paraId="06ED3DE8" w14:textId="77777777" w:rsidR="00FA2348" w:rsidRPr="004F150A" w:rsidRDefault="00FA2348"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32" w:history="1">
        <w:r w:rsidRPr="004F150A">
          <w:rPr>
            <w:rStyle w:val="Hyperlink"/>
            <w:rFonts w:cs="Calibri"/>
          </w:rPr>
          <w:t>https://globaldrugpolicyindex.net/wp-content/themes/gdpi/uploads/GDPI%202021%20Report%20EN.pdf</w:t>
        </w:r>
      </w:hyperlink>
      <w:r w:rsidRPr="004F150A">
        <w:rPr>
          <w:rFonts w:cs="Calibri"/>
        </w:rPr>
        <w:t>, pp. 41 to 46.</w:t>
      </w:r>
    </w:p>
  </w:endnote>
  <w:endnote w:id="32">
    <w:p w14:paraId="75C4E5EC" w14:textId="77777777" w:rsidR="008711A8" w:rsidRPr="004F150A" w:rsidRDefault="008711A8" w:rsidP="004F150A">
      <w:pPr>
        <w:pStyle w:val="EndnoteText"/>
        <w:spacing w:after="120"/>
        <w:rPr>
          <w:rFonts w:cs="Calibri"/>
        </w:rPr>
      </w:pPr>
      <w:r w:rsidRPr="004F150A">
        <w:rPr>
          <w:rStyle w:val="EndnoteReference"/>
          <w:rFonts w:cs="Calibri"/>
        </w:rPr>
        <w:endnoteRef/>
      </w:r>
      <w:r w:rsidRPr="004F150A">
        <w:rPr>
          <w:rFonts w:cs="Calibri"/>
        </w:rPr>
        <w:t xml:space="preserve"> For the full list, see: </w:t>
      </w:r>
      <w:hyperlink r:id="rId33" w:history="1">
        <w:r w:rsidRPr="004F150A">
          <w:rPr>
            <w:rStyle w:val="Hyperlink"/>
            <w:rFonts w:cs="Calibri"/>
          </w:rPr>
          <w:t>https://www.talkingdrugs.org/drug-decriminalisation</w:t>
        </w:r>
      </w:hyperlink>
      <w:r w:rsidRPr="004F150A">
        <w:rPr>
          <w:rFonts w:cs="Calibri"/>
        </w:rPr>
        <w:t xml:space="preserve"> </w:t>
      </w:r>
    </w:p>
  </w:endnote>
  <w:endnote w:id="33">
    <w:p w14:paraId="4B0018B2" w14:textId="77777777" w:rsidR="008711A8" w:rsidRPr="004F150A" w:rsidRDefault="008711A8"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34" w:tgtFrame="_blank" w:history="1">
        <w:r w:rsidRPr="004F150A">
          <w:rPr>
            <w:rStyle w:val="Hyperlink"/>
            <w:rFonts w:cs="Calibri"/>
          </w:rPr>
          <w:t>http://idpc.net/publications/2016/03/public-health-approach-to-drug-use-in-asia-decriminalisation</w:t>
        </w:r>
      </w:hyperlink>
      <w:r w:rsidRPr="004F150A">
        <w:rPr>
          <w:rFonts w:cs="Calibri"/>
        </w:rPr>
        <w:t xml:space="preserve"> </w:t>
      </w:r>
    </w:p>
  </w:endnote>
  <w:endnote w:id="34">
    <w:p w14:paraId="6E419867" w14:textId="77777777" w:rsidR="001A583B" w:rsidRPr="004F150A" w:rsidRDefault="001A583B" w:rsidP="004F150A">
      <w:pPr>
        <w:pStyle w:val="EndnoteText"/>
        <w:spacing w:after="120"/>
        <w:rPr>
          <w:rFonts w:cs="Calibri"/>
        </w:rPr>
      </w:pPr>
      <w:r w:rsidRPr="004F150A">
        <w:rPr>
          <w:rStyle w:val="EndnoteReference"/>
          <w:rFonts w:cs="Calibri"/>
        </w:rPr>
        <w:endnoteRef/>
      </w:r>
      <w:r w:rsidRPr="004F150A">
        <w:rPr>
          <w:rFonts w:cs="Calibri"/>
        </w:rPr>
        <w:t xml:space="preserve"> For shortcomings see: </w:t>
      </w:r>
      <w:hyperlink r:id="rId35" w:history="1">
        <w:r w:rsidRPr="004F150A">
          <w:rPr>
            <w:rStyle w:val="Hyperlink"/>
            <w:rFonts w:cs="Calibri"/>
          </w:rPr>
          <w:t>https://www.inpud.net/sites/default/files/INPUD_Decriminalisation%20report_online%20version.pdf</w:t>
        </w:r>
      </w:hyperlink>
      <w:r w:rsidRPr="004F150A">
        <w:rPr>
          <w:rFonts w:cs="Calibri"/>
        </w:rPr>
        <w:t xml:space="preserve"> </w:t>
      </w:r>
    </w:p>
  </w:endnote>
  <w:endnote w:id="35">
    <w:p w14:paraId="20716D4E" w14:textId="77777777" w:rsidR="00E32E9F" w:rsidRPr="004F150A" w:rsidRDefault="00E32E9F"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36" w:history="1">
        <w:r w:rsidRPr="004F150A">
          <w:rPr>
            <w:rStyle w:val="Hyperlink"/>
            <w:rFonts w:cs="Calibri"/>
          </w:rPr>
          <w:t>https://transformdrugs.org/assets/files/PDFs/Drug-decriminalisation-in-Portugal-setting-the-record-straight.pdf</w:t>
        </w:r>
      </w:hyperlink>
      <w:r w:rsidRPr="004F150A">
        <w:rPr>
          <w:rFonts w:cs="Calibri"/>
        </w:rPr>
        <w:t xml:space="preserve"> </w:t>
      </w:r>
    </w:p>
  </w:endnote>
  <w:endnote w:id="36">
    <w:p w14:paraId="6FB79522" w14:textId="77777777" w:rsidR="001A583B" w:rsidRPr="004F150A" w:rsidRDefault="001A583B" w:rsidP="004F150A">
      <w:pPr>
        <w:pStyle w:val="EndnoteText"/>
        <w:spacing w:after="120"/>
        <w:rPr>
          <w:rFonts w:cs="Calibri"/>
        </w:rPr>
      </w:pPr>
      <w:r w:rsidRPr="004F150A">
        <w:rPr>
          <w:rStyle w:val="EndnoteReference"/>
          <w:rFonts w:cs="Calibri"/>
        </w:rPr>
        <w:endnoteRef/>
      </w:r>
      <w:r w:rsidRPr="004F150A">
        <w:rPr>
          <w:rFonts w:cs="Calibri"/>
        </w:rPr>
        <w:t xml:space="preserve"> See Russia section in: </w:t>
      </w:r>
      <w:hyperlink r:id="rId37" w:history="1">
        <w:r w:rsidRPr="004F150A">
          <w:rPr>
            <w:rStyle w:val="Hyperlink"/>
            <w:rFonts w:cs="Calibri"/>
          </w:rPr>
          <w:t>https://www.talkingdrugs.org/drug-decriminalisation</w:t>
        </w:r>
      </w:hyperlink>
      <w:r w:rsidRPr="004F150A">
        <w:rPr>
          <w:rFonts w:cs="Calibri"/>
        </w:rPr>
        <w:t xml:space="preserve"> </w:t>
      </w:r>
    </w:p>
  </w:endnote>
  <w:endnote w:id="37">
    <w:p w14:paraId="71D3CCC1" w14:textId="38C38EB3" w:rsidR="0088450E" w:rsidRPr="004F150A" w:rsidRDefault="0088450E"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38" w:history="1">
        <w:r w:rsidRPr="004F150A">
          <w:rPr>
            <w:rStyle w:val="Hyperlink"/>
            <w:rFonts w:cs="Calibri"/>
          </w:rPr>
          <w:t>https://www.incb.org/documents/Speeches/Speeches2020/INCB_President_statement_Norway_side_event_drug_reform.pdf</w:t>
        </w:r>
      </w:hyperlink>
      <w:r w:rsidRPr="004F150A">
        <w:rPr>
          <w:rFonts w:cs="Calibri"/>
        </w:rPr>
        <w:t xml:space="preserve"> </w:t>
      </w:r>
    </w:p>
  </w:endnote>
  <w:endnote w:id="38">
    <w:p w14:paraId="1D61E0BD" w14:textId="0FA7D5CA" w:rsidR="00E32E9F" w:rsidRPr="004F150A" w:rsidRDefault="00E32E9F"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39" w:history="1">
        <w:r w:rsidR="006B6D20" w:rsidRPr="004F150A">
          <w:rPr>
            <w:rStyle w:val="Hyperlink"/>
            <w:rFonts w:cs="Calibri"/>
          </w:rPr>
          <w:t>https://unsceb.org/united-nations-system-common-position-supporting-implementation-international-drug-control-policy</w:t>
        </w:r>
      </w:hyperlink>
      <w:r w:rsidR="006B6D20" w:rsidRPr="004F150A">
        <w:rPr>
          <w:rFonts w:cs="Calibri"/>
        </w:rPr>
        <w:t xml:space="preserve"> </w:t>
      </w:r>
    </w:p>
  </w:endnote>
  <w:endnote w:id="39">
    <w:p w14:paraId="4EF76550" w14:textId="77777777" w:rsidR="00E32E9F" w:rsidRPr="004F150A" w:rsidRDefault="00E32E9F"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40" w:history="1">
        <w:r w:rsidRPr="004F150A">
          <w:rPr>
            <w:rStyle w:val="Hyperlink"/>
            <w:rFonts w:cs="Calibri"/>
          </w:rPr>
          <w:t>https://www.ohchr.org/EN/NewsEvents/Pages/Drug-policy.aspx</w:t>
        </w:r>
      </w:hyperlink>
      <w:r w:rsidRPr="004F150A">
        <w:rPr>
          <w:rFonts w:cs="Calibri"/>
        </w:rPr>
        <w:t xml:space="preserve"> </w:t>
      </w:r>
    </w:p>
  </w:endnote>
  <w:endnote w:id="40">
    <w:p w14:paraId="03F67FD0" w14:textId="325FC318" w:rsidR="00E32E9F" w:rsidRPr="004F150A" w:rsidRDefault="00E32E9F"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41" w:history="1">
        <w:r w:rsidR="00471A5A" w:rsidRPr="004F150A">
          <w:rPr>
            <w:rStyle w:val="Hyperlink"/>
            <w:rFonts w:cs="Calibri"/>
          </w:rPr>
          <w:t>https://www.unaids.org/sites/default/files/media_asset/global-AIDS-strategy-2021-2026_en.pdf</w:t>
        </w:r>
      </w:hyperlink>
      <w:r w:rsidR="00471A5A" w:rsidRPr="004F150A">
        <w:rPr>
          <w:rFonts w:cs="Calibri"/>
        </w:rPr>
        <w:t xml:space="preserve"> </w:t>
      </w:r>
    </w:p>
  </w:endnote>
  <w:endnote w:id="41">
    <w:p w14:paraId="2292088F" w14:textId="77777777" w:rsidR="00E32E9F" w:rsidRPr="004F150A" w:rsidRDefault="00E32E9F"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42" w:history="1">
        <w:r w:rsidRPr="004F150A">
          <w:rPr>
            <w:rStyle w:val="Hyperlink"/>
            <w:rFonts w:cs="Calibri"/>
          </w:rPr>
          <w:t>http://www.who.int/hiv/pub/guidelines/keypopulations/en/</w:t>
        </w:r>
      </w:hyperlink>
      <w:r w:rsidRPr="004F150A">
        <w:rPr>
          <w:rFonts w:cs="Calibri"/>
        </w:rPr>
        <w:t xml:space="preserve"> </w:t>
      </w:r>
    </w:p>
  </w:endnote>
  <w:endnote w:id="42">
    <w:p w14:paraId="575F200D" w14:textId="77777777" w:rsidR="00E32E9F" w:rsidRPr="004F150A" w:rsidRDefault="00E32E9F"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43" w:history="1">
        <w:r w:rsidRPr="004F150A">
          <w:rPr>
            <w:rStyle w:val="Hyperlink"/>
            <w:rFonts w:cs="Calibri"/>
          </w:rPr>
          <w:t>http://www.undp.org/content/dam/undp/library/HIV-AIDS/Discussion-Paper--Addressing-the-Development-Dimensions-of-Drug-Policy.pdf</w:t>
        </w:r>
      </w:hyperlink>
      <w:r w:rsidRPr="004F150A">
        <w:rPr>
          <w:rFonts w:cs="Calibri"/>
          <w:i/>
        </w:rPr>
        <w:t xml:space="preserve"> </w:t>
      </w:r>
    </w:p>
  </w:endnote>
  <w:endnote w:id="43">
    <w:p w14:paraId="775D8536" w14:textId="77777777" w:rsidR="00E32E9F" w:rsidRPr="004F150A" w:rsidRDefault="00E32E9F" w:rsidP="004F150A">
      <w:pPr>
        <w:pStyle w:val="EndnoteText"/>
        <w:spacing w:after="120"/>
        <w:rPr>
          <w:rFonts w:cs="Calibri"/>
        </w:rPr>
      </w:pPr>
      <w:r w:rsidRPr="004F150A">
        <w:rPr>
          <w:rStyle w:val="EndnoteReference"/>
          <w:rFonts w:eastAsia="Times New Roman" w:cs="Calibri"/>
        </w:rPr>
        <w:endnoteRef/>
      </w:r>
      <w:r w:rsidRPr="004F150A">
        <w:rPr>
          <w:rFonts w:cs="Calibri"/>
        </w:rPr>
        <w:t xml:space="preserve"> See: </w:t>
      </w:r>
      <w:hyperlink r:id="rId44" w:history="1">
        <w:r w:rsidRPr="004F150A">
          <w:rPr>
            <w:rStyle w:val="Hyperlink"/>
            <w:rFonts w:cs="Calibri"/>
          </w:rPr>
          <w:t>https://www.unodc.org/documents/ungass2016//Contributions/UN/Gender_and_Drugs_-_UN_Women_Policy_Brief.pdf</w:t>
        </w:r>
      </w:hyperlink>
      <w:r w:rsidRPr="004F150A">
        <w:rPr>
          <w:rFonts w:cs="Calibri"/>
        </w:rPr>
        <w:t xml:space="preserve"> </w:t>
      </w:r>
    </w:p>
  </w:endnote>
  <w:endnote w:id="44">
    <w:p w14:paraId="50970527" w14:textId="77777777" w:rsidR="00E32E9F" w:rsidRPr="004F150A" w:rsidRDefault="00E32E9F"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45" w:history="1">
        <w:r w:rsidRPr="004F150A">
          <w:rPr>
            <w:rStyle w:val="Hyperlink"/>
            <w:rFonts w:cs="Calibri"/>
          </w:rPr>
          <w:t>https://www.undp.org/publications/international-guidelines-human-rights-and-drug-policy</w:t>
        </w:r>
      </w:hyperlink>
      <w:r w:rsidRPr="004F150A">
        <w:rPr>
          <w:rFonts w:cs="Calibri"/>
        </w:rPr>
        <w:t xml:space="preserve">, p. 13. </w:t>
      </w:r>
    </w:p>
  </w:endnote>
  <w:endnote w:id="45">
    <w:p w14:paraId="0C3A73A1" w14:textId="77777777" w:rsidR="00B94C11" w:rsidRPr="004F150A" w:rsidRDefault="00B94C11"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46" w:history="1">
        <w:r w:rsidRPr="004F150A">
          <w:rPr>
            <w:rStyle w:val="Hyperlink"/>
            <w:rFonts w:cs="Calibri"/>
            <w:shd w:val="clear" w:color="auto" w:fill="FFFFFF"/>
          </w:rPr>
          <w:t>E/C.12/NOR/CO/6</w:t>
        </w:r>
      </w:hyperlink>
      <w:r w:rsidRPr="004F150A">
        <w:rPr>
          <w:rFonts w:cs="Calibri"/>
          <w:color w:val="333333"/>
          <w:shd w:val="clear" w:color="auto" w:fill="FFFFFF"/>
        </w:rPr>
        <w:t>, p. 43.</w:t>
      </w:r>
    </w:p>
  </w:endnote>
  <w:endnote w:id="46">
    <w:p w14:paraId="1224024B" w14:textId="77777777" w:rsidR="001158BF" w:rsidRPr="004F150A" w:rsidRDefault="001158BF" w:rsidP="004F150A">
      <w:pPr>
        <w:pStyle w:val="EndnoteText"/>
        <w:spacing w:after="120"/>
        <w:rPr>
          <w:rFonts w:cs="Calibri"/>
        </w:rPr>
      </w:pPr>
      <w:r w:rsidRPr="004F150A">
        <w:rPr>
          <w:rStyle w:val="EndnoteReference"/>
          <w:rFonts w:cs="Calibri"/>
        </w:rPr>
        <w:endnoteRef/>
      </w:r>
      <w:r w:rsidRPr="004F150A">
        <w:rPr>
          <w:rFonts w:cs="Calibri"/>
        </w:rPr>
        <w:t xml:space="preserve"> See: A/HRC/42/39/ADD.1 </w:t>
      </w:r>
    </w:p>
  </w:endnote>
  <w:endnote w:id="47">
    <w:p w14:paraId="1B6D9171" w14:textId="067F2CB8" w:rsidR="00D6475D" w:rsidRPr="004F150A" w:rsidRDefault="00D6475D" w:rsidP="004F150A">
      <w:pPr>
        <w:pStyle w:val="EndnoteText"/>
        <w:spacing w:after="120"/>
        <w:rPr>
          <w:rFonts w:cs="Calibri"/>
        </w:rPr>
      </w:pPr>
      <w:r w:rsidRPr="004F150A">
        <w:rPr>
          <w:rStyle w:val="EndnoteReference"/>
          <w:rFonts w:cs="Calibri"/>
        </w:rPr>
        <w:endnoteRef/>
      </w:r>
      <w:r w:rsidRPr="004F150A">
        <w:rPr>
          <w:rFonts w:cs="Calibri"/>
        </w:rPr>
        <w:t xml:space="preserve"> See: A/HRC/30/65</w:t>
      </w:r>
      <w:r w:rsidR="00792605" w:rsidRPr="004F150A">
        <w:rPr>
          <w:rFonts w:cs="Calibri"/>
        </w:rPr>
        <w:t>.</w:t>
      </w:r>
      <w:r w:rsidRPr="004F150A">
        <w:rPr>
          <w:rFonts w:cs="Calibri"/>
        </w:rPr>
        <w:t xml:space="preserve"> </w:t>
      </w:r>
    </w:p>
  </w:endnote>
  <w:endnote w:id="48">
    <w:p w14:paraId="6CDB0464" w14:textId="57E34637" w:rsidR="00D6475D" w:rsidRPr="004F150A" w:rsidRDefault="00D6475D" w:rsidP="004F150A">
      <w:pPr>
        <w:pStyle w:val="EndnoteText"/>
        <w:spacing w:after="120"/>
        <w:rPr>
          <w:rFonts w:cs="Calibri"/>
        </w:rPr>
      </w:pPr>
      <w:r w:rsidRPr="004F150A">
        <w:rPr>
          <w:rStyle w:val="EndnoteReference"/>
          <w:rFonts w:cs="Calibri"/>
        </w:rPr>
        <w:endnoteRef/>
      </w:r>
      <w:r w:rsidRPr="004F150A">
        <w:rPr>
          <w:rFonts w:cs="Calibri"/>
        </w:rPr>
        <w:t xml:space="preserve"> See: A/65/255</w:t>
      </w:r>
      <w:r w:rsidR="00792605" w:rsidRPr="004F150A">
        <w:rPr>
          <w:rFonts w:cs="Calibri"/>
        </w:rPr>
        <w:t>.</w:t>
      </w:r>
      <w:r w:rsidRPr="004F150A">
        <w:rPr>
          <w:rFonts w:cs="Calibri"/>
        </w:rPr>
        <w:t xml:space="preserve"> </w:t>
      </w:r>
    </w:p>
  </w:endnote>
  <w:endnote w:id="49">
    <w:p w14:paraId="0A0B776E" w14:textId="77777777" w:rsidR="00471A5A" w:rsidRPr="004F150A" w:rsidRDefault="00471A5A" w:rsidP="004F150A">
      <w:pPr>
        <w:pStyle w:val="EndnoteText"/>
        <w:spacing w:after="120"/>
        <w:rPr>
          <w:rFonts w:cs="Calibri"/>
        </w:rPr>
      </w:pPr>
      <w:r w:rsidRPr="004F150A">
        <w:rPr>
          <w:rStyle w:val="EndnoteReference"/>
          <w:rFonts w:cs="Calibri"/>
        </w:rPr>
        <w:endnoteRef/>
      </w:r>
      <w:r w:rsidRPr="004F150A">
        <w:rPr>
          <w:rFonts w:cs="Calibri"/>
        </w:rPr>
        <w:t xml:space="preserve"> For more, see: </w:t>
      </w:r>
      <w:hyperlink r:id="rId47" w:history="1">
        <w:r w:rsidRPr="004F150A">
          <w:rPr>
            <w:rStyle w:val="Hyperlink"/>
            <w:rFonts w:cs="Calibri"/>
          </w:rPr>
          <w:t>https://inpud.net/drug-decriminalisation-progress-or-political-red-herring/</w:t>
        </w:r>
      </w:hyperlink>
      <w:r w:rsidRPr="004F150A">
        <w:rPr>
          <w:rFonts w:cs="Calibri"/>
        </w:rPr>
        <w:t xml:space="preserve"> </w:t>
      </w:r>
    </w:p>
  </w:endnote>
  <w:endnote w:id="50">
    <w:p w14:paraId="74F15D19" w14:textId="77777777" w:rsidR="00471A5A" w:rsidRPr="004F150A" w:rsidRDefault="00471A5A" w:rsidP="004F150A">
      <w:pPr>
        <w:pStyle w:val="EndnoteText"/>
        <w:spacing w:after="120"/>
        <w:rPr>
          <w:rFonts w:cs="Calibri"/>
        </w:rPr>
      </w:pPr>
      <w:r w:rsidRPr="004F150A">
        <w:rPr>
          <w:rStyle w:val="EndnoteReference"/>
          <w:rFonts w:cs="Calibri"/>
        </w:rPr>
        <w:endnoteRef/>
      </w:r>
      <w:r w:rsidRPr="004F150A">
        <w:rPr>
          <w:rFonts w:cs="Calibri"/>
        </w:rPr>
        <w:t xml:space="preserve"> See: </w:t>
      </w:r>
      <w:hyperlink r:id="rId48" w:history="1">
        <w:r w:rsidRPr="004F150A">
          <w:rPr>
            <w:rStyle w:val="Hyperlink"/>
            <w:rFonts w:cs="Calibri"/>
          </w:rPr>
          <w:t>http://fileserver.idpc.net/library/IDPC-drug-policy-guide_3-edition_FINAL.pdf</w:t>
        </w:r>
      </w:hyperlink>
      <w:r w:rsidRPr="004F150A">
        <w:rPr>
          <w:rFonts w:cs="Calibri"/>
        </w:rPr>
        <w:t xml:space="preserve">, p. 31.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67622"/>
      <w:docPartObj>
        <w:docPartGallery w:val="Page Numbers (Bottom of Page)"/>
        <w:docPartUnique/>
      </w:docPartObj>
    </w:sdtPr>
    <w:sdtEndPr>
      <w:rPr>
        <w:noProof/>
        <w:sz w:val="20"/>
        <w:szCs w:val="20"/>
      </w:rPr>
    </w:sdtEndPr>
    <w:sdtContent>
      <w:p w14:paraId="027BB68E" w14:textId="16DB6F4D" w:rsidR="00792605" w:rsidRPr="00792605" w:rsidRDefault="00792605">
        <w:pPr>
          <w:pStyle w:val="Footer"/>
          <w:jc w:val="right"/>
          <w:rPr>
            <w:sz w:val="20"/>
            <w:szCs w:val="20"/>
          </w:rPr>
        </w:pPr>
        <w:r w:rsidRPr="00792605">
          <w:rPr>
            <w:sz w:val="20"/>
            <w:szCs w:val="20"/>
          </w:rPr>
          <w:fldChar w:fldCharType="begin"/>
        </w:r>
        <w:r w:rsidRPr="00792605">
          <w:rPr>
            <w:sz w:val="20"/>
            <w:szCs w:val="20"/>
          </w:rPr>
          <w:instrText xml:space="preserve"> PAGE   \* MERGEFORMAT </w:instrText>
        </w:r>
        <w:r w:rsidRPr="00792605">
          <w:rPr>
            <w:sz w:val="20"/>
            <w:szCs w:val="20"/>
          </w:rPr>
          <w:fldChar w:fldCharType="separate"/>
        </w:r>
        <w:r w:rsidR="00C04BD3">
          <w:rPr>
            <w:noProof/>
            <w:sz w:val="20"/>
            <w:szCs w:val="20"/>
          </w:rPr>
          <w:t>6</w:t>
        </w:r>
        <w:r w:rsidRPr="00792605">
          <w:rPr>
            <w:noProof/>
            <w:sz w:val="20"/>
            <w:szCs w:val="20"/>
          </w:rPr>
          <w:fldChar w:fldCharType="end"/>
        </w:r>
      </w:p>
    </w:sdtContent>
  </w:sdt>
  <w:p w14:paraId="30795C71" w14:textId="77777777" w:rsidR="00792605" w:rsidRDefault="0079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465D" w14:textId="77777777" w:rsidR="00320DA2" w:rsidRDefault="00320DA2" w:rsidP="0025576F">
      <w:r>
        <w:separator/>
      </w:r>
    </w:p>
  </w:footnote>
  <w:footnote w:type="continuationSeparator" w:id="0">
    <w:p w14:paraId="214AE6D1" w14:textId="77777777" w:rsidR="00320DA2" w:rsidRDefault="00320DA2" w:rsidP="0025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C19"/>
    <w:multiLevelType w:val="hybridMultilevel"/>
    <w:tmpl w:val="7AD00498"/>
    <w:lvl w:ilvl="0" w:tplc="46209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A7776"/>
    <w:multiLevelType w:val="hybridMultilevel"/>
    <w:tmpl w:val="E85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E3234"/>
    <w:multiLevelType w:val="hybridMultilevel"/>
    <w:tmpl w:val="64DCD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02DE"/>
    <w:multiLevelType w:val="hybridMultilevel"/>
    <w:tmpl w:val="64DCD1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5EA5EDB"/>
    <w:multiLevelType w:val="hybridMultilevel"/>
    <w:tmpl w:val="236C6896"/>
    <w:lvl w:ilvl="0" w:tplc="648A617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1F47E9"/>
    <w:multiLevelType w:val="hybridMultilevel"/>
    <w:tmpl w:val="D66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8B"/>
    <w:rsid w:val="00010B1A"/>
    <w:rsid w:val="0002557B"/>
    <w:rsid w:val="00026F97"/>
    <w:rsid w:val="00044B7F"/>
    <w:rsid w:val="000508DE"/>
    <w:rsid w:val="0007578E"/>
    <w:rsid w:val="000F474C"/>
    <w:rsid w:val="001008B5"/>
    <w:rsid w:val="00102C85"/>
    <w:rsid w:val="00103DAE"/>
    <w:rsid w:val="001158BF"/>
    <w:rsid w:val="00117BD0"/>
    <w:rsid w:val="00151D89"/>
    <w:rsid w:val="00160458"/>
    <w:rsid w:val="001720D9"/>
    <w:rsid w:val="0018047C"/>
    <w:rsid w:val="001A53E2"/>
    <w:rsid w:val="001A583B"/>
    <w:rsid w:val="001A70A0"/>
    <w:rsid w:val="001E0B54"/>
    <w:rsid w:val="002053FB"/>
    <w:rsid w:val="0021411D"/>
    <w:rsid w:val="00220732"/>
    <w:rsid w:val="00221B76"/>
    <w:rsid w:val="00241E45"/>
    <w:rsid w:val="0025576F"/>
    <w:rsid w:val="0026388B"/>
    <w:rsid w:val="002709F9"/>
    <w:rsid w:val="0028098E"/>
    <w:rsid w:val="002B175B"/>
    <w:rsid w:val="002F342C"/>
    <w:rsid w:val="002F5737"/>
    <w:rsid w:val="00305E9A"/>
    <w:rsid w:val="00320DA2"/>
    <w:rsid w:val="0032266E"/>
    <w:rsid w:val="00355B06"/>
    <w:rsid w:val="00370D27"/>
    <w:rsid w:val="00372C07"/>
    <w:rsid w:val="003A17E2"/>
    <w:rsid w:val="003A29D1"/>
    <w:rsid w:val="003F6AAA"/>
    <w:rsid w:val="004119DB"/>
    <w:rsid w:val="00412A46"/>
    <w:rsid w:val="00423AA0"/>
    <w:rsid w:val="00432367"/>
    <w:rsid w:val="004364A3"/>
    <w:rsid w:val="00440BE6"/>
    <w:rsid w:val="00471A5A"/>
    <w:rsid w:val="00487EFE"/>
    <w:rsid w:val="00490301"/>
    <w:rsid w:val="004A078A"/>
    <w:rsid w:val="004B41BF"/>
    <w:rsid w:val="004E0170"/>
    <w:rsid w:val="004E368B"/>
    <w:rsid w:val="004F150A"/>
    <w:rsid w:val="005049F6"/>
    <w:rsid w:val="00516AB3"/>
    <w:rsid w:val="005311B9"/>
    <w:rsid w:val="00534130"/>
    <w:rsid w:val="005519CA"/>
    <w:rsid w:val="00566F79"/>
    <w:rsid w:val="0057171B"/>
    <w:rsid w:val="00574EAF"/>
    <w:rsid w:val="00577731"/>
    <w:rsid w:val="00616844"/>
    <w:rsid w:val="006249E8"/>
    <w:rsid w:val="0063711E"/>
    <w:rsid w:val="006454B1"/>
    <w:rsid w:val="00672CE1"/>
    <w:rsid w:val="006844FC"/>
    <w:rsid w:val="006B066A"/>
    <w:rsid w:val="006B6D20"/>
    <w:rsid w:val="006C1052"/>
    <w:rsid w:val="006C62A0"/>
    <w:rsid w:val="006D316F"/>
    <w:rsid w:val="006D4EBF"/>
    <w:rsid w:val="006F249C"/>
    <w:rsid w:val="00703DC9"/>
    <w:rsid w:val="00706FD5"/>
    <w:rsid w:val="007106BF"/>
    <w:rsid w:val="00712AC6"/>
    <w:rsid w:val="00726718"/>
    <w:rsid w:val="00727F46"/>
    <w:rsid w:val="00731286"/>
    <w:rsid w:val="00732667"/>
    <w:rsid w:val="00756ECF"/>
    <w:rsid w:val="007700DA"/>
    <w:rsid w:val="00792605"/>
    <w:rsid w:val="007B002C"/>
    <w:rsid w:val="007D2E8E"/>
    <w:rsid w:val="007D5432"/>
    <w:rsid w:val="007D7609"/>
    <w:rsid w:val="007E0504"/>
    <w:rsid w:val="007E53AB"/>
    <w:rsid w:val="007E7B8A"/>
    <w:rsid w:val="00803421"/>
    <w:rsid w:val="008337E5"/>
    <w:rsid w:val="00840D1A"/>
    <w:rsid w:val="00846B72"/>
    <w:rsid w:val="008473AC"/>
    <w:rsid w:val="008672EF"/>
    <w:rsid w:val="008711A8"/>
    <w:rsid w:val="00872A01"/>
    <w:rsid w:val="00874BB7"/>
    <w:rsid w:val="0088450E"/>
    <w:rsid w:val="008858C5"/>
    <w:rsid w:val="00891F1D"/>
    <w:rsid w:val="008974CE"/>
    <w:rsid w:val="008A308F"/>
    <w:rsid w:val="008B0E2A"/>
    <w:rsid w:val="008B3B17"/>
    <w:rsid w:val="008B5D2E"/>
    <w:rsid w:val="009039BF"/>
    <w:rsid w:val="00903EA5"/>
    <w:rsid w:val="00904173"/>
    <w:rsid w:val="009123D0"/>
    <w:rsid w:val="00914DF4"/>
    <w:rsid w:val="00921CE1"/>
    <w:rsid w:val="00923644"/>
    <w:rsid w:val="009305DB"/>
    <w:rsid w:val="0094217F"/>
    <w:rsid w:val="00950C27"/>
    <w:rsid w:val="00962BA6"/>
    <w:rsid w:val="00976458"/>
    <w:rsid w:val="00977534"/>
    <w:rsid w:val="00983E93"/>
    <w:rsid w:val="0098616B"/>
    <w:rsid w:val="009C31D5"/>
    <w:rsid w:val="00A33CCA"/>
    <w:rsid w:val="00A5777E"/>
    <w:rsid w:val="00A75774"/>
    <w:rsid w:val="00A8012A"/>
    <w:rsid w:val="00A94E13"/>
    <w:rsid w:val="00AA280C"/>
    <w:rsid w:val="00AB4C46"/>
    <w:rsid w:val="00AC353F"/>
    <w:rsid w:val="00AD3869"/>
    <w:rsid w:val="00AD45F2"/>
    <w:rsid w:val="00AE75CD"/>
    <w:rsid w:val="00B42930"/>
    <w:rsid w:val="00B44EB3"/>
    <w:rsid w:val="00B45D47"/>
    <w:rsid w:val="00B50E50"/>
    <w:rsid w:val="00B52817"/>
    <w:rsid w:val="00B64847"/>
    <w:rsid w:val="00B83418"/>
    <w:rsid w:val="00B931F7"/>
    <w:rsid w:val="00B94C11"/>
    <w:rsid w:val="00BA14BA"/>
    <w:rsid w:val="00BB2941"/>
    <w:rsid w:val="00BD5856"/>
    <w:rsid w:val="00BE1F8F"/>
    <w:rsid w:val="00C04BD3"/>
    <w:rsid w:val="00C45D9B"/>
    <w:rsid w:val="00C60870"/>
    <w:rsid w:val="00C73EC2"/>
    <w:rsid w:val="00C808E8"/>
    <w:rsid w:val="00C86C36"/>
    <w:rsid w:val="00CA3C4D"/>
    <w:rsid w:val="00CD0CC5"/>
    <w:rsid w:val="00CD1FA2"/>
    <w:rsid w:val="00CF50C2"/>
    <w:rsid w:val="00D0627F"/>
    <w:rsid w:val="00D40241"/>
    <w:rsid w:val="00D46154"/>
    <w:rsid w:val="00D507CD"/>
    <w:rsid w:val="00D5164E"/>
    <w:rsid w:val="00D61D76"/>
    <w:rsid w:val="00D6475D"/>
    <w:rsid w:val="00D71B8F"/>
    <w:rsid w:val="00D878B5"/>
    <w:rsid w:val="00DC02CE"/>
    <w:rsid w:val="00DC09CD"/>
    <w:rsid w:val="00DD0E90"/>
    <w:rsid w:val="00DE481A"/>
    <w:rsid w:val="00E005E7"/>
    <w:rsid w:val="00E04F2F"/>
    <w:rsid w:val="00E07498"/>
    <w:rsid w:val="00E14E17"/>
    <w:rsid w:val="00E20465"/>
    <w:rsid w:val="00E22E92"/>
    <w:rsid w:val="00E32E9F"/>
    <w:rsid w:val="00E542B1"/>
    <w:rsid w:val="00E5588B"/>
    <w:rsid w:val="00E563AA"/>
    <w:rsid w:val="00E57385"/>
    <w:rsid w:val="00E70E46"/>
    <w:rsid w:val="00E927F9"/>
    <w:rsid w:val="00EA20F3"/>
    <w:rsid w:val="00EA4DE0"/>
    <w:rsid w:val="00EB452D"/>
    <w:rsid w:val="00ED3F52"/>
    <w:rsid w:val="00EE095D"/>
    <w:rsid w:val="00EE4877"/>
    <w:rsid w:val="00EF6200"/>
    <w:rsid w:val="00F017A8"/>
    <w:rsid w:val="00F0534D"/>
    <w:rsid w:val="00F069A7"/>
    <w:rsid w:val="00F14196"/>
    <w:rsid w:val="00F1500C"/>
    <w:rsid w:val="00F20A40"/>
    <w:rsid w:val="00F42AEE"/>
    <w:rsid w:val="00F43A65"/>
    <w:rsid w:val="00F455A1"/>
    <w:rsid w:val="00F46508"/>
    <w:rsid w:val="00F66BA4"/>
    <w:rsid w:val="00F73A8B"/>
    <w:rsid w:val="00F94C23"/>
    <w:rsid w:val="00FA2348"/>
    <w:rsid w:val="00FA3E66"/>
    <w:rsid w:val="00FA5CA0"/>
    <w:rsid w:val="00FD4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1DAB4"/>
  <w15:chartTrackingRefBased/>
  <w15:docId w15:val="{48C140C6-8143-2344-8A42-901C626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6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76F"/>
    <w:rPr>
      <w:color w:val="0000FF"/>
      <w:u w:val="single"/>
    </w:rPr>
  </w:style>
  <w:style w:type="paragraph" w:styleId="EndnoteText">
    <w:name w:val="endnote text"/>
    <w:basedOn w:val="Normal"/>
    <w:link w:val="EndnoteTextChar"/>
    <w:uiPriority w:val="99"/>
    <w:unhideWhenUsed/>
    <w:rsid w:val="0025576F"/>
    <w:rPr>
      <w:rFonts w:ascii="Calibri" w:eastAsia="Calibri" w:hAnsi="Calibri"/>
      <w:sz w:val="20"/>
      <w:szCs w:val="20"/>
    </w:rPr>
  </w:style>
  <w:style w:type="character" w:customStyle="1" w:styleId="EndnoteTextChar">
    <w:name w:val="Endnote Text Char"/>
    <w:basedOn w:val="DefaultParagraphFont"/>
    <w:link w:val="EndnoteText"/>
    <w:uiPriority w:val="99"/>
    <w:rsid w:val="0025576F"/>
    <w:rPr>
      <w:rFonts w:ascii="Calibri" w:eastAsia="Calibri" w:hAnsi="Calibri" w:cs="Times New Roman"/>
      <w:sz w:val="20"/>
      <w:szCs w:val="20"/>
      <w:lang w:val="en-GB"/>
    </w:rPr>
  </w:style>
  <w:style w:type="character" w:styleId="EndnoteReference">
    <w:name w:val="endnote reference"/>
    <w:uiPriority w:val="99"/>
    <w:unhideWhenUsed/>
    <w:rsid w:val="0025576F"/>
    <w:rPr>
      <w:vertAlign w:val="superscript"/>
    </w:rPr>
  </w:style>
  <w:style w:type="paragraph" w:styleId="ListParagraph">
    <w:name w:val="List Paragraph"/>
    <w:basedOn w:val="Normal"/>
    <w:uiPriority w:val="34"/>
    <w:qFormat/>
    <w:rsid w:val="0025576F"/>
    <w:pPr>
      <w:spacing w:after="200" w:line="276" w:lineRule="auto"/>
      <w:ind w:left="720"/>
    </w:pPr>
    <w:rPr>
      <w:rFonts w:ascii="Arial" w:hAnsi="Arial"/>
      <w:sz w:val="22"/>
      <w:szCs w:val="22"/>
    </w:rPr>
  </w:style>
  <w:style w:type="paragraph" w:customStyle="1" w:styleId="paragraph">
    <w:name w:val="paragraph"/>
    <w:basedOn w:val="Normal"/>
    <w:rsid w:val="003F6AAA"/>
    <w:pPr>
      <w:spacing w:before="100" w:beforeAutospacing="1" w:after="100" w:afterAutospacing="1"/>
    </w:pPr>
    <w:rPr>
      <w:lang w:bidi="th-TH"/>
    </w:rPr>
  </w:style>
  <w:style w:type="character" w:customStyle="1" w:styleId="normaltextrun">
    <w:name w:val="normaltextrun"/>
    <w:basedOn w:val="DefaultParagraphFont"/>
    <w:rsid w:val="003F6AAA"/>
  </w:style>
  <w:style w:type="character" w:customStyle="1" w:styleId="apple-converted-space">
    <w:name w:val="apple-converted-space"/>
    <w:basedOn w:val="DefaultParagraphFont"/>
    <w:rsid w:val="003F6AAA"/>
  </w:style>
  <w:style w:type="character" w:customStyle="1" w:styleId="superscript">
    <w:name w:val="superscript"/>
    <w:basedOn w:val="DefaultParagraphFont"/>
    <w:rsid w:val="003F6AAA"/>
  </w:style>
  <w:style w:type="character" w:customStyle="1" w:styleId="eop">
    <w:name w:val="eop"/>
    <w:basedOn w:val="DefaultParagraphFont"/>
    <w:rsid w:val="003F6AAA"/>
  </w:style>
  <w:style w:type="character" w:customStyle="1" w:styleId="UnresolvedMention1">
    <w:name w:val="Unresolved Mention1"/>
    <w:basedOn w:val="DefaultParagraphFont"/>
    <w:uiPriority w:val="99"/>
    <w:semiHidden/>
    <w:unhideWhenUsed/>
    <w:rsid w:val="00FA5CA0"/>
    <w:rPr>
      <w:color w:val="605E5C"/>
      <w:shd w:val="clear" w:color="auto" w:fill="E1DFDD"/>
    </w:rPr>
  </w:style>
  <w:style w:type="character" w:styleId="FollowedHyperlink">
    <w:name w:val="FollowedHyperlink"/>
    <w:basedOn w:val="DefaultParagraphFont"/>
    <w:uiPriority w:val="99"/>
    <w:semiHidden/>
    <w:unhideWhenUsed/>
    <w:rsid w:val="00FA5CA0"/>
    <w:rPr>
      <w:color w:val="954F72" w:themeColor="followedHyperlink"/>
      <w:u w:val="single"/>
    </w:rPr>
  </w:style>
  <w:style w:type="paragraph" w:styleId="NormalWeb">
    <w:name w:val="Normal (Web)"/>
    <w:basedOn w:val="Normal"/>
    <w:uiPriority w:val="99"/>
    <w:semiHidden/>
    <w:unhideWhenUsed/>
    <w:rsid w:val="00EA4DE0"/>
    <w:pPr>
      <w:spacing w:before="100" w:beforeAutospacing="1" w:after="100" w:afterAutospacing="1"/>
    </w:pPr>
  </w:style>
  <w:style w:type="paragraph" w:styleId="FootnoteText">
    <w:name w:val="footnote text"/>
    <w:aliases w:val="5_G"/>
    <w:basedOn w:val="Normal"/>
    <w:link w:val="FootnoteTextChar"/>
    <w:qFormat/>
    <w:rsid w:val="00D6475D"/>
    <w:pPr>
      <w:tabs>
        <w:tab w:val="right" w:pos="1021"/>
      </w:tabs>
      <w:suppressAutoHyphens/>
      <w:kinsoku w:val="0"/>
      <w:overflowPunct w:val="0"/>
      <w:autoSpaceDE w:val="0"/>
      <w:autoSpaceDN w:val="0"/>
      <w:adjustRightInd w:val="0"/>
      <w:snapToGrid w:val="0"/>
      <w:spacing w:line="220" w:lineRule="exact"/>
      <w:ind w:left="1134" w:right="1134" w:hanging="1134"/>
    </w:pPr>
    <w:rPr>
      <w:sz w:val="18"/>
      <w:szCs w:val="20"/>
    </w:rPr>
  </w:style>
  <w:style w:type="character" w:customStyle="1" w:styleId="FootnoteTextChar">
    <w:name w:val="Footnote Text Char"/>
    <w:aliases w:val="5_G Char"/>
    <w:basedOn w:val="DefaultParagraphFont"/>
    <w:link w:val="FootnoteText"/>
    <w:rsid w:val="00D6475D"/>
    <w:rPr>
      <w:rFonts w:ascii="Times New Roman" w:hAnsi="Times New Roman" w:cs="Times New Roman"/>
      <w:sz w:val="18"/>
      <w:szCs w:val="20"/>
    </w:rPr>
  </w:style>
  <w:style w:type="character" w:styleId="FootnoteReference">
    <w:name w:val="footnote reference"/>
    <w:aliases w:val="4_G"/>
    <w:qFormat/>
    <w:rsid w:val="00D6475D"/>
    <w:rPr>
      <w:rFonts w:ascii="Times New Roman" w:hAnsi="Times New Roman"/>
      <w:sz w:val="18"/>
      <w:vertAlign w:val="superscript"/>
    </w:rPr>
  </w:style>
  <w:style w:type="paragraph" w:styleId="Header">
    <w:name w:val="header"/>
    <w:basedOn w:val="Normal"/>
    <w:link w:val="HeaderChar"/>
    <w:uiPriority w:val="99"/>
    <w:unhideWhenUsed/>
    <w:rsid w:val="00792605"/>
    <w:pPr>
      <w:tabs>
        <w:tab w:val="center" w:pos="4513"/>
        <w:tab w:val="right" w:pos="9026"/>
      </w:tabs>
    </w:pPr>
  </w:style>
  <w:style w:type="character" w:customStyle="1" w:styleId="HeaderChar">
    <w:name w:val="Header Char"/>
    <w:basedOn w:val="DefaultParagraphFont"/>
    <w:link w:val="Header"/>
    <w:uiPriority w:val="99"/>
    <w:rsid w:val="00792605"/>
  </w:style>
  <w:style w:type="paragraph" w:styleId="Footer">
    <w:name w:val="footer"/>
    <w:basedOn w:val="Normal"/>
    <w:link w:val="FooterChar"/>
    <w:uiPriority w:val="99"/>
    <w:unhideWhenUsed/>
    <w:rsid w:val="00792605"/>
    <w:pPr>
      <w:tabs>
        <w:tab w:val="center" w:pos="4513"/>
        <w:tab w:val="right" w:pos="9026"/>
      </w:tabs>
    </w:pPr>
  </w:style>
  <w:style w:type="character" w:customStyle="1" w:styleId="FooterChar">
    <w:name w:val="Footer Char"/>
    <w:basedOn w:val="DefaultParagraphFont"/>
    <w:link w:val="Footer"/>
    <w:uiPriority w:val="99"/>
    <w:rsid w:val="00792605"/>
  </w:style>
  <w:style w:type="character" w:styleId="CommentReference">
    <w:name w:val="annotation reference"/>
    <w:basedOn w:val="DefaultParagraphFont"/>
    <w:uiPriority w:val="99"/>
    <w:semiHidden/>
    <w:unhideWhenUsed/>
    <w:rsid w:val="0063711E"/>
    <w:rPr>
      <w:sz w:val="16"/>
      <w:szCs w:val="16"/>
    </w:rPr>
  </w:style>
  <w:style w:type="paragraph" w:styleId="CommentText">
    <w:name w:val="annotation text"/>
    <w:basedOn w:val="Normal"/>
    <w:link w:val="CommentTextChar"/>
    <w:uiPriority w:val="99"/>
    <w:semiHidden/>
    <w:unhideWhenUsed/>
    <w:rsid w:val="0063711E"/>
    <w:rPr>
      <w:sz w:val="20"/>
      <w:szCs w:val="20"/>
    </w:rPr>
  </w:style>
  <w:style w:type="character" w:customStyle="1" w:styleId="CommentTextChar">
    <w:name w:val="Comment Text Char"/>
    <w:basedOn w:val="DefaultParagraphFont"/>
    <w:link w:val="CommentText"/>
    <w:uiPriority w:val="99"/>
    <w:semiHidden/>
    <w:rsid w:val="0063711E"/>
    <w:rPr>
      <w:sz w:val="20"/>
      <w:szCs w:val="20"/>
    </w:rPr>
  </w:style>
  <w:style w:type="paragraph" w:styleId="CommentSubject">
    <w:name w:val="annotation subject"/>
    <w:basedOn w:val="CommentText"/>
    <w:next w:val="CommentText"/>
    <w:link w:val="CommentSubjectChar"/>
    <w:uiPriority w:val="99"/>
    <w:semiHidden/>
    <w:unhideWhenUsed/>
    <w:rsid w:val="0063711E"/>
    <w:rPr>
      <w:b/>
      <w:bCs/>
    </w:rPr>
  </w:style>
  <w:style w:type="character" w:customStyle="1" w:styleId="CommentSubjectChar">
    <w:name w:val="Comment Subject Char"/>
    <w:basedOn w:val="CommentTextChar"/>
    <w:link w:val="CommentSubject"/>
    <w:uiPriority w:val="99"/>
    <w:semiHidden/>
    <w:rsid w:val="0063711E"/>
    <w:rPr>
      <w:b/>
      <w:bCs/>
      <w:sz w:val="20"/>
      <w:szCs w:val="20"/>
    </w:rPr>
  </w:style>
  <w:style w:type="paragraph" w:styleId="Revision">
    <w:name w:val="Revision"/>
    <w:hidden/>
    <w:uiPriority w:val="99"/>
    <w:semiHidden/>
    <w:rsid w:val="00372C0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238">
      <w:bodyDiv w:val="1"/>
      <w:marLeft w:val="0"/>
      <w:marRight w:val="0"/>
      <w:marTop w:val="0"/>
      <w:marBottom w:val="0"/>
      <w:divBdr>
        <w:top w:val="none" w:sz="0" w:space="0" w:color="auto"/>
        <w:left w:val="none" w:sz="0" w:space="0" w:color="auto"/>
        <w:bottom w:val="none" w:sz="0" w:space="0" w:color="auto"/>
        <w:right w:val="none" w:sz="0" w:space="0" w:color="auto"/>
      </w:divBdr>
    </w:div>
    <w:div w:id="484443518">
      <w:bodyDiv w:val="1"/>
      <w:marLeft w:val="0"/>
      <w:marRight w:val="0"/>
      <w:marTop w:val="0"/>
      <w:marBottom w:val="0"/>
      <w:divBdr>
        <w:top w:val="none" w:sz="0" w:space="0" w:color="auto"/>
        <w:left w:val="none" w:sz="0" w:space="0" w:color="auto"/>
        <w:bottom w:val="none" w:sz="0" w:space="0" w:color="auto"/>
        <w:right w:val="none" w:sz="0" w:space="0" w:color="auto"/>
      </w:divBdr>
      <w:divsChild>
        <w:div w:id="2041972540">
          <w:marLeft w:val="0"/>
          <w:marRight w:val="0"/>
          <w:marTop w:val="0"/>
          <w:marBottom w:val="0"/>
          <w:divBdr>
            <w:top w:val="none" w:sz="0" w:space="0" w:color="auto"/>
            <w:left w:val="none" w:sz="0" w:space="0" w:color="auto"/>
            <w:bottom w:val="none" w:sz="0" w:space="0" w:color="auto"/>
            <w:right w:val="none" w:sz="0" w:space="0" w:color="auto"/>
          </w:divBdr>
        </w:div>
        <w:div w:id="298613182">
          <w:marLeft w:val="0"/>
          <w:marRight w:val="0"/>
          <w:marTop w:val="0"/>
          <w:marBottom w:val="0"/>
          <w:divBdr>
            <w:top w:val="none" w:sz="0" w:space="0" w:color="auto"/>
            <w:left w:val="none" w:sz="0" w:space="0" w:color="auto"/>
            <w:bottom w:val="none" w:sz="0" w:space="0" w:color="auto"/>
            <w:right w:val="none" w:sz="0" w:space="0" w:color="auto"/>
          </w:divBdr>
        </w:div>
      </w:divsChild>
    </w:div>
    <w:div w:id="563104010">
      <w:bodyDiv w:val="1"/>
      <w:marLeft w:val="0"/>
      <w:marRight w:val="0"/>
      <w:marTop w:val="0"/>
      <w:marBottom w:val="0"/>
      <w:divBdr>
        <w:top w:val="none" w:sz="0" w:space="0" w:color="auto"/>
        <w:left w:val="none" w:sz="0" w:space="0" w:color="auto"/>
        <w:bottom w:val="none" w:sz="0" w:space="0" w:color="auto"/>
        <w:right w:val="none" w:sz="0" w:space="0" w:color="auto"/>
      </w:divBdr>
    </w:div>
    <w:div w:id="604921469">
      <w:bodyDiv w:val="1"/>
      <w:marLeft w:val="0"/>
      <w:marRight w:val="0"/>
      <w:marTop w:val="0"/>
      <w:marBottom w:val="0"/>
      <w:divBdr>
        <w:top w:val="none" w:sz="0" w:space="0" w:color="auto"/>
        <w:left w:val="none" w:sz="0" w:space="0" w:color="auto"/>
        <w:bottom w:val="none" w:sz="0" w:space="0" w:color="auto"/>
        <w:right w:val="none" w:sz="0" w:space="0" w:color="auto"/>
      </w:divBdr>
    </w:div>
    <w:div w:id="728918769">
      <w:bodyDiv w:val="1"/>
      <w:marLeft w:val="0"/>
      <w:marRight w:val="0"/>
      <w:marTop w:val="0"/>
      <w:marBottom w:val="0"/>
      <w:divBdr>
        <w:top w:val="none" w:sz="0" w:space="0" w:color="auto"/>
        <w:left w:val="none" w:sz="0" w:space="0" w:color="auto"/>
        <w:bottom w:val="none" w:sz="0" w:space="0" w:color="auto"/>
        <w:right w:val="none" w:sz="0" w:space="0" w:color="auto"/>
      </w:divBdr>
    </w:div>
    <w:div w:id="914435034">
      <w:bodyDiv w:val="1"/>
      <w:marLeft w:val="0"/>
      <w:marRight w:val="0"/>
      <w:marTop w:val="0"/>
      <w:marBottom w:val="0"/>
      <w:divBdr>
        <w:top w:val="none" w:sz="0" w:space="0" w:color="auto"/>
        <w:left w:val="none" w:sz="0" w:space="0" w:color="auto"/>
        <w:bottom w:val="none" w:sz="0" w:space="0" w:color="auto"/>
        <w:right w:val="none" w:sz="0" w:space="0" w:color="auto"/>
      </w:divBdr>
    </w:div>
    <w:div w:id="981691830">
      <w:bodyDiv w:val="1"/>
      <w:marLeft w:val="0"/>
      <w:marRight w:val="0"/>
      <w:marTop w:val="0"/>
      <w:marBottom w:val="0"/>
      <w:divBdr>
        <w:top w:val="none" w:sz="0" w:space="0" w:color="auto"/>
        <w:left w:val="none" w:sz="0" w:space="0" w:color="auto"/>
        <w:bottom w:val="none" w:sz="0" w:space="0" w:color="auto"/>
        <w:right w:val="none" w:sz="0" w:space="0" w:color="auto"/>
      </w:divBdr>
    </w:div>
    <w:div w:id="1104884388">
      <w:bodyDiv w:val="1"/>
      <w:marLeft w:val="0"/>
      <w:marRight w:val="0"/>
      <w:marTop w:val="0"/>
      <w:marBottom w:val="0"/>
      <w:divBdr>
        <w:top w:val="none" w:sz="0" w:space="0" w:color="auto"/>
        <w:left w:val="none" w:sz="0" w:space="0" w:color="auto"/>
        <w:bottom w:val="none" w:sz="0" w:space="0" w:color="auto"/>
        <w:right w:val="none" w:sz="0" w:space="0" w:color="auto"/>
      </w:divBdr>
    </w:div>
    <w:div w:id="1164008390">
      <w:bodyDiv w:val="1"/>
      <w:marLeft w:val="0"/>
      <w:marRight w:val="0"/>
      <w:marTop w:val="0"/>
      <w:marBottom w:val="0"/>
      <w:divBdr>
        <w:top w:val="none" w:sz="0" w:space="0" w:color="auto"/>
        <w:left w:val="none" w:sz="0" w:space="0" w:color="auto"/>
        <w:bottom w:val="none" w:sz="0" w:space="0" w:color="auto"/>
        <w:right w:val="none" w:sz="0" w:space="0" w:color="auto"/>
      </w:divBdr>
    </w:div>
    <w:div w:id="1280143658">
      <w:bodyDiv w:val="1"/>
      <w:marLeft w:val="0"/>
      <w:marRight w:val="0"/>
      <w:marTop w:val="0"/>
      <w:marBottom w:val="0"/>
      <w:divBdr>
        <w:top w:val="none" w:sz="0" w:space="0" w:color="auto"/>
        <w:left w:val="none" w:sz="0" w:space="0" w:color="auto"/>
        <w:bottom w:val="none" w:sz="0" w:space="0" w:color="auto"/>
        <w:right w:val="none" w:sz="0" w:space="0" w:color="auto"/>
      </w:divBdr>
    </w:div>
    <w:div w:id="1288269159">
      <w:bodyDiv w:val="1"/>
      <w:marLeft w:val="0"/>
      <w:marRight w:val="0"/>
      <w:marTop w:val="0"/>
      <w:marBottom w:val="0"/>
      <w:divBdr>
        <w:top w:val="none" w:sz="0" w:space="0" w:color="auto"/>
        <w:left w:val="none" w:sz="0" w:space="0" w:color="auto"/>
        <w:bottom w:val="none" w:sz="0" w:space="0" w:color="auto"/>
        <w:right w:val="none" w:sz="0" w:space="0" w:color="auto"/>
      </w:divBdr>
    </w:div>
    <w:div w:id="1290239290">
      <w:bodyDiv w:val="1"/>
      <w:marLeft w:val="0"/>
      <w:marRight w:val="0"/>
      <w:marTop w:val="0"/>
      <w:marBottom w:val="0"/>
      <w:divBdr>
        <w:top w:val="none" w:sz="0" w:space="0" w:color="auto"/>
        <w:left w:val="none" w:sz="0" w:space="0" w:color="auto"/>
        <w:bottom w:val="none" w:sz="0" w:space="0" w:color="auto"/>
        <w:right w:val="none" w:sz="0" w:space="0" w:color="auto"/>
      </w:divBdr>
      <w:divsChild>
        <w:div w:id="172040755">
          <w:marLeft w:val="0"/>
          <w:marRight w:val="0"/>
          <w:marTop w:val="0"/>
          <w:marBottom w:val="0"/>
          <w:divBdr>
            <w:top w:val="none" w:sz="0" w:space="0" w:color="auto"/>
            <w:left w:val="none" w:sz="0" w:space="0" w:color="auto"/>
            <w:bottom w:val="none" w:sz="0" w:space="0" w:color="auto"/>
            <w:right w:val="none" w:sz="0" w:space="0" w:color="auto"/>
          </w:divBdr>
        </w:div>
        <w:div w:id="600994986">
          <w:marLeft w:val="0"/>
          <w:marRight w:val="0"/>
          <w:marTop w:val="0"/>
          <w:marBottom w:val="0"/>
          <w:divBdr>
            <w:top w:val="none" w:sz="0" w:space="0" w:color="auto"/>
            <w:left w:val="none" w:sz="0" w:space="0" w:color="auto"/>
            <w:bottom w:val="none" w:sz="0" w:space="0" w:color="auto"/>
            <w:right w:val="none" w:sz="0" w:space="0" w:color="auto"/>
          </w:divBdr>
        </w:div>
      </w:divsChild>
    </w:div>
    <w:div w:id="1309432397">
      <w:bodyDiv w:val="1"/>
      <w:marLeft w:val="0"/>
      <w:marRight w:val="0"/>
      <w:marTop w:val="0"/>
      <w:marBottom w:val="0"/>
      <w:divBdr>
        <w:top w:val="none" w:sz="0" w:space="0" w:color="auto"/>
        <w:left w:val="none" w:sz="0" w:space="0" w:color="auto"/>
        <w:bottom w:val="none" w:sz="0" w:space="0" w:color="auto"/>
        <w:right w:val="none" w:sz="0" w:space="0" w:color="auto"/>
      </w:divBdr>
    </w:div>
    <w:div w:id="1613979401">
      <w:bodyDiv w:val="1"/>
      <w:marLeft w:val="0"/>
      <w:marRight w:val="0"/>
      <w:marTop w:val="0"/>
      <w:marBottom w:val="0"/>
      <w:divBdr>
        <w:top w:val="none" w:sz="0" w:space="0" w:color="auto"/>
        <w:left w:val="none" w:sz="0" w:space="0" w:color="auto"/>
        <w:bottom w:val="none" w:sz="0" w:space="0" w:color="auto"/>
        <w:right w:val="none" w:sz="0" w:space="0" w:color="auto"/>
      </w:divBdr>
    </w:div>
    <w:div w:id="1702510087">
      <w:bodyDiv w:val="1"/>
      <w:marLeft w:val="0"/>
      <w:marRight w:val="0"/>
      <w:marTop w:val="0"/>
      <w:marBottom w:val="0"/>
      <w:divBdr>
        <w:top w:val="none" w:sz="0" w:space="0" w:color="auto"/>
        <w:left w:val="none" w:sz="0" w:space="0" w:color="auto"/>
        <w:bottom w:val="none" w:sz="0" w:space="0" w:color="auto"/>
        <w:right w:val="none" w:sz="0" w:space="0" w:color="auto"/>
      </w:divBdr>
    </w:div>
    <w:div w:id="1970549097">
      <w:bodyDiv w:val="1"/>
      <w:marLeft w:val="0"/>
      <w:marRight w:val="0"/>
      <w:marTop w:val="0"/>
      <w:marBottom w:val="0"/>
      <w:divBdr>
        <w:top w:val="none" w:sz="0" w:space="0" w:color="auto"/>
        <w:left w:val="none" w:sz="0" w:space="0" w:color="auto"/>
        <w:bottom w:val="none" w:sz="0" w:space="0" w:color="auto"/>
        <w:right w:val="none" w:sz="0" w:space="0" w:color="auto"/>
      </w:divBdr>
    </w:div>
    <w:div w:id="1985038853">
      <w:bodyDiv w:val="1"/>
      <w:marLeft w:val="0"/>
      <w:marRight w:val="0"/>
      <w:marTop w:val="0"/>
      <w:marBottom w:val="0"/>
      <w:divBdr>
        <w:top w:val="none" w:sz="0" w:space="0" w:color="auto"/>
        <w:left w:val="none" w:sz="0" w:space="0" w:color="auto"/>
        <w:bottom w:val="none" w:sz="0" w:space="0" w:color="auto"/>
        <w:right w:val="none" w:sz="0" w:space="0" w:color="auto"/>
      </w:divBdr>
    </w:div>
    <w:div w:id="2067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dp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undocs.org/A/HRC/47/40" TargetMode="External"/><Relationship Id="rId18" Type="http://schemas.openxmlformats.org/officeDocument/2006/relationships/hyperlink" Target="http://globalcommissionondrugs.org/wp-content/themes/gcdp_v1/pdf/GCDP_HIV-AIDS_2012_REFERENCE.pdf" TargetMode="External"/><Relationship Id="rId26" Type="http://schemas.openxmlformats.org/officeDocument/2006/relationships/hyperlink" Target="https://idpc.net/publications/2022/01/marginalising-the-most-marginalised-gathering-evidence-on-how-the-welfare-stare-discriminates-against-people-who-use-drugs" TargetMode="External"/><Relationship Id="rId39" Type="http://schemas.openxmlformats.org/officeDocument/2006/relationships/hyperlink" Target="https://unsceb.org/united-nations-system-common-position-supporting-implementation-international-drug-control-policy" TargetMode="External"/><Relationship Id="rId21" Type="http://schemas.openxmlformats.org/officeDocument/2006/relationships/hyperlink" Target="http://idpc.net/publications/2016/03/public-health-approach-to-drug-use-in-asia-decriminalisation" TargetMode="External"/><Relationship Id="rId34" Type="http://schemas.openxmlformats.org/officeDocument/2006/relationships/hyperlink" Target="http://idpc.net/publications/2016/03/public-health-approach-to-drug-use-in-asia-decriminalisation" TargetMode="External"/><Relationship Id="rId42" Type="http://schemas.openxmlformats.org/officeDocument/2006/relationships/hyperlink" Target="http://www.who.int/hiv/pub/guidelines/keypopulations/en/" TargetMode="External"/><Relationship Id="rId47" Type="http://schemas.openxmlformats.org/officeDocument/2006/relationships/hyperlink" Target="https://inpud.net/drug-decriminalisation-progress-or-political-red-herring/" TargetMode="External"/><Relationship Id="rId7" Type="http://schemas.openxmlformats.org/officeDocument/2006/relationships/hyperlink" Target="https://www.unaids.org/sites/default/files/media_asset/2021_political-declaration-on-hiv-and-aids_en.pdf" TargetMode="External"/><Relationship Id="rId2" Type="http://schemas.openxmlformats.org/officeDocument/2006/relationships/hyperlink" Target="https://www.unaids.org/sites/default/files/media_asset/JC3032_AIDS_Data_book_2021_En.pdf" TargetMode="External"/><Relationship Id="rId16" Type="http://schemas.openxmlformats.org/officeDocument/2006/relationships/hyperlink" Target="http://www.unaids.org/en/resources/documents/2014/20140716_UNAIDS_gap_report" TargetMode="External"/><Relationship Id="rId29" Type="http://schemas.openxmlformats.org/officeDocument/2006/relationships/hyperlink" Target="https://www.release.org.uk/publications/numbers-black-and-white-ethnic-disparities-policing-and-prosecution-drug-offences" TargetMode="External"/><Relationship Id="rId1" Type="http://schemas.openxmlformats.org/officeDocument/2006/relationships/hyperlink" Target="https://www.unaids.org/sites/default/files/media_asset/2021_political-declaration-on-hiv-and-aids_en.pdf" TargetMode="External"/><Relationship Id="rId6" Type="http://schemas.openxmlformats.org/officeDocument/2006/relationships/hyperlink" Target="https://www.unaids.org/sites/default/files/media_asset/JC3032_AIDS_Data_book_2021_En.pdf" TargetMode="External"/><Relationship Id="rId11" Type="http://schemas.openxmlformats.org/officeDocument/2006/relationships/hyperlink" Target="https://www.unaids.org/sites/default/files/media_asset/JC2954_UNAIDS_drugs_report_2019_en.pdf" TargetMode="External"/><Relationship Id="rId24" Type="http://schemas.openxmlformats.org/officeDocument/2006/relationships/hyperlink" Target="https://drive.google.com/file/d/1DBGu24ggfDEzv57QEqeSf1YZ8ZYvnwuC/view" TargetMode="External"/><Relationship Id="rId32" Type="http://schemas.openxmlformats.org/officeDocument/2006/relationships/hyperlink" Target="https://globaldrugpolicyindex.net/wp-content/themes/gdpi/uploads/GDPI%202021%20Report%20EN.pdf" TargetMode="External"/><Relationship Id="rId37" Type="http://schemas.openxmlformats.org/officeDocument/2006/relationships/hyperlink" Target="https://www.talkingdrugs.org/drug-decriminalisation" TargetMode="External"/><Relationship Id="rId40" Type="http://schemas.openxmlformats.org/officeDocument/2006/relationships/hyperlink" Target="https://www.ohchr.org/EN/NewsEvents/Pages/Drug-policy.aspx" TargetMode="External"/><Relationship Id="rId45" Type="http://schemas.openxmlformats.org/officeDocument/2006/relationships/hyperlink" Target="https://www.undp.org/publications/international-guidelines-human-rights-and-drug-policy" TargetMode="External"/><Relationship Id="rId5" Type="http://schemas.openxmlformats.org/officeDocument/2006/relationships/hyperlink" Target="https://www.unaids.org/sites/default/files/media_asset/JC2954_UNAIDS_drugs_report_2019_en.pdf" TargetMode="External"/><Relationship Id="rId15" Type="http://schemas.openxmlformats.org/officeDocument/2006/relationships/hyperlink" Target="https://unaidsapnew.files.wordpress.com/2022/01/booklet-1-12th-jan-2022.pdf" TargetMode="External"/><Relationship Id="rId23" Type="http://schemas.openxmlformats.org/officeDocument/2006/relationships/hyperlink" Target="http://fileserver.idpc.net/library/10-year%20review_ASIA.pdf" TargetMode="External"/><Relationship Id="rId28" Type="http://schemas.openxmlformats.org/officeDocument/2006/relationships/hyperlink" Target="https://www.release.org.uk/sites/default/files/pdf/publications/HRI%20and%20Release%20-%20Contribution%20to%20the%20OHCHR%20Report.pdf" TargetMode="External"/><Relationship Id="rId36" Type="http://schemas.openxmlformats.org/officeDocument/2006/relationships/hyperlink" Target="https://transformdrugs.org/assets/files/PDFs/Drug-decriminalisation-in-Portugal-setting-the-record-straight.pdf" TargetMode="External"/><Relationship Id="rId10" Type="http://schemas.openxmlformats.org/officeDocument/2006/relationships/hyperlink" Target="https://link.springer.com/article/10.1007/s11524-012-9741-3" TargetMode="External"/><Relationship Id="rId19" Type="http://schemas.openxmlformats.org/officeDocument/2006/relationships/hyperlink" Target="http://www.globalcommissionondrugs.org/hepatitis/gcdp_hepatitis_english.pdf" TargetMode="External"/><Relationship Id="rId31" Type="http://schemas.openxmlformats.org/officeDocument/2006/relationships/hyperlink" Target="https://undocs.org/en/A/HRC/33/61/Add.2" TargetMode="External"/><Relationship Id="rId44" Type="http://schemas.openxmlformats.org/officeDocument/2006/relationships/hyperlink" Target="https://www.unodc.org/documents/ungass2016/Contributions/UN/Gender_and_Drugs_-_UN_Women_Policy_Brief.pdf" TargetMode="External"/><Relationship Id="rId4" Type="http://schemas.openxmlformats.org/officeDocument/2006/relationships/hyperlink" Target="https://www.unaids.org/sites/default/files/media_asset/JC3032_AIDS_Data_book_2021_En.pdf" TargetMode="External"/><Relationship Id="rId9" Type="http://schemas.openxmlformats.org/officeDocument/2006/relationships/hyperlink" Target="https://gh.bmj.com/content/6/8/e006315" TargetMode="External"/><Relationship Id="rId14" Type="http://schemas.openxmlformats.org/officeDocument/2006/relationships/hyperlink" Target="http://fileserver.idpc.net/library/UN_What_we_have_learned.pdf" TargetMode="External"/><Relationship Id="rId22" Type="http://schemas.openxmlformats.org/officeDocument/2006/relationships/hyperlink" Target="https://www.unodc.org/documents/hiv-aids/2016/Addressing_the_specific_needs_of_women_who_inject_drugs_Practical_guide_for_service_providers_on_gender-responsive_HIV_services.pdf" TargetMode="External"/><Relationship Id="rId27" Type="http://schemas.openxmlformats.org/officeDocument/2006/relationships/hyperlink" Target="https://undocs.org/A/HRC/47/40" TargetMode="External"/><Relationship Id="rId30" Type="http://schemas.openxmlformats.org/officeDocument/2006/relationships/hyperlink" Target="https://drugpolicy.org/sites/default/files/drug-war-mass-incarceration-and-race_01_18_0.pdf" TargetMode="External"/><Relationship Id="rId35" Type="http://schemas.openxmlformats.org/officeDocument/2006/relationships/hyperlink" Target="https://www.inpud.net/sites/default/files/INPUD_Decriminalisation%20report_online%20version.pdf" TargetMode="External"/><Relationship Id="rId43" Type="http://schemas.openxmlformats.org/officeDocument/2006/relationships/hyperlink" Target="http://www.undp.org/content/dam/undp/library/HIV-AIDS/Discussion-Paper--Addressing-the-Development-Dimensions-of-Drug-Policy.pdf" TargetMode="External"/><Relationship Id="rId48" Type="http://schemas.openxmlformats.org/officeDocument/2006/relationships/hyperlink" Target="http://fileserver.idpc.net/library/IDPC-drug-policy-guide_3-edition_FINAL.pdf" TargetMode="External"/><Relationship Id="rId8" Type="http://schemas.openxmlformats.org/officeDocument/2006/relationships/hyperlink" Target="https://www.unaids.org/en/resources/documents/2021/2021-2026-global-AIDS-strategy" TargetMode="External"/><Relationship Id="rId3" Type="http://schemas.openxmlformats.org/officeDocument/2006/relationships/hyperlink" Target="https://www.unaids.org/sites/default/files/media_asset/JC3032_AIDS_Data_book_2021_En.pdf" TargetMode="External"/><Relationship Id="rId12" Type="http://schemas.openxmlformats.org/officeDocument/2006/relationships/hyperlink" Target="https://www.sciencedirect.com/science/article/pii/S0955395914002631" TargetMode="External"/><Relationship Id="rId17" Type="http://schemas.openxmlformats.org/officeDocument/2006/relationships/hyperlink" Target="https://www.unodc.org/docs/treatment/111_PRISON.pdf" TargetMode="External"/><Relationship Id="rId25" Type="http://schemas.openxmlformats.org/officeDocument/2006/relationships/hyperlink" Target="http://fileserver.idpc.net/library/10-year%20review_ASIA.pdf" TargetMode="External"/><Relationship Id="rId33" Type="http://schemas.openxmlformats.org/officeDocument/2006/relationships/hyperlink" Target="https://www.talkingdrugs.org/drug-decriminalisation" TargetMode="External"/><Relationship Id="rId38" Type="http://schemas.openxmlformats.org/officeDocument/2006/relationships/hyperlink" Target="https://www.incb.org/documents/Speeches/Speeches2020/INCB_President_statement_Norway_side_event_drug_reform.pdf" TargetMode="External"/><Relationship Id="rId46" Type="http://schemas.openxmlformats.org/officeDocument/2006/relationships/hyperlink" Target="https://docstore.ohchr.org/SelfServices/FilesHandler.ashx?enc=4slQ6QSmlBEDzFEovLCuWyfGZLRp7qMd2d61J9CM%2fQe6o1SZjh9qa5Fzb1cuVDX84j1tEvGXkL9htaheknN1G9pPMrK6PSJSHNTLhDCeYjwLbhDFWnOdWgHua9tg%2f%2fPO" TargetMode="External"/><Relationship Id="rId20" Type="http://schemas.openxmlformats.org/officeDocument/2006/relationships/hyperlink" Target="http://www.countthecosts.org/sites/default/files/Health-briefing.pdf" TargetMode="External"/><Relationship Id="rId41" Type="http://schemas.openxmlformats.org/officeDocument/2006/relationships/hyperlink" Target="https://www.unaids.org/sites/default/files/media_asset/global-AIDS-strategy-2021-202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7F37-A8FA-4E2F-9058-B109A642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Lai</dc:creator>
  <cp:keywords/>
  <dc:description/>
  <cp:lastModifiedBy>Adria Cots Fernández</cp:lastModifiedBy>
  <cp:revision>2</cp:revision>
  <dcterms:created xsi:type="dcterms:W3CDTF">2022-02-18T16:23:00Z</dcterms:created>
  <dcterms:modified xsi:type="dcterms:W3CDTF">2022-02-18T16:23:00Z</dcterms:modified>
</cp:coreProperties>
</file>