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A1CA3" w14:textId="77777777" w:rsidR="00292F1F" w:rsidRDefault="00292F1F" w:rsidP="00292F1F">
      <w:pPr>
        <w:jc w:val="center"/>
        <w:rPr>
          <w:b/>
        </w:rPr>
      </w:pPr>
    </w:p>
    <w:p w14:paraId="747BD8B2" w14:textId="6B76CC7A" w:rsidR="00292F1F" w:rsidRDefault="00292F1F" w:rsidP="00292F1F">
      <w:pPr>
        <w:jc w:val="center"/>
        <w:rPr>
          <w:b/>
        </w:rPr>
      </w:pPr>
      <w:r>
        <w:rPr>
          <w:b/>
        </w:rPr>
        <w:t>Submission to the Office of the High Commissioner on Human Rights (OHCHR) on</w:t>
      </w:r>
    </w:p>
    <w:p w14:paraId="478F5563" w14:textId="77777777" w:rsidR="007C6F0E" w:rsidRDefault="007C6F0E" w:rsidP="00292F1F">
      <w:pPr>
        <w:jc w:val="center"/>
        <w:rPr>
          <w:b/>
        </w:rPr>
      </w:pPr>
    </w:p>
    <w:p w14:paraId="1EE5E8C3" w14:textId="77777777" w:rsidR="00EA1928" w:rsidRPr="00EA1928" w:rsidRDefault="00292F1F" w:rsidP="00292F1F">
      <w:pPr>
        <w:jc w:val="center"/>
        <w:rPr>
          <w:b/>
          <w:sz w:val="32"/>
          <w:szCs w:val="32"/>
        </w:rPr>
      </w:pPr>
      <w:r w:rsidRPr="00EA1928">
        <w:rPr>
          <w:b/>
          <w:sz w:val="32"/>
          <w:szCs w:val="32"/>
        </w:rPr>
        <w:t>Human rights in the context of HIV/AIDS, pursuant to HRC Resolution 47/14</w:t>
      </w:r>
    </w:p>
    <w:p w14:paraId="1957C46F" w14:textId="77777777" w:rsidR="00EA1928" w:rsidRDefault="00EA1928" w:rsidP="00292F1F">
      <w:pPr>
        <w:jc w:val="center"/>
        <w:rPr>
          <w:b/>
          <w:sz w:val="28"/>
          <w:szCs w:val="28"/>
        </w:rPr>
      </w:pPr>
    </w:p>
    <w:p w14:paraId="1330D79E" w14:textId="57C14DE4" w:rsidR="00EA1928" w:rsidRDefault="00EA1928" w:rsidP="00292F1F">
      <w:pPr>
        <w:jc w:val="center"/>
        <w:rPr>
          <w:color w:val="808080" w:themeColor="background1" w:themeShade="80"/>
          <w:sz w:val="24"/>
          <w:szCs w:val="24"/>
        </w:rPr>
      </w:pPr>
      <w:r w:rsidRPr="00EA1928">
        <w:rPr>
          <w:color w:val="808080" w:themeColor="background1" w:themeShade="80"/>
          <w:sz w:val="24"/>
          <w:szCs w:val="24"/>
        </w:rPr>
        <w:t>16 February 2022</w:t>
      </w:r>
    </w:p>
    <w:p w14:paraId="2DD60D54" w14:textId="313F44FF" w:rsidR="00EA1928" w:rsidRDefault="00EA1928" w:rsidP="00292F1F">
      <w:pPr>
        <w:jc w:val="center"/>
        <w:rPr>
          <w:color w:val="808080" w:themeColor="background1" w:themeShade="80"/>
          <w:sz w:val="24"/>
          <w:szCs w:val="24"/>
        </w:rPr>
      </w:pPr>
    </w:p>
    <w:p w14:paraId="3DFECCBB" w14:textId="356FB3B2" w:rsidR="00EA1928" w:rsidRDefault="00F16779" w:rsidP="00EA1928">
      <w:pPr>
        <w:rPr>
          <w:b/>
          <w:sz w:val="24"/>
          <w:szCs w:val="24"/>
        </w:rPr>
      </w:pPr>
      <w:r w:rsidRPr="00001D51">
        <w:rPr>
          <w:rFonts w:ascii="Calibri" w:hAnsi="Calibri" w:cs="Calibri"/>
          <w:b/>
          <w:noProof/>
          <w:lang w:eastAsia="en-GB"/>
        </w:rPr>
        <mc:AlternateContent>
          <mc:Choice Requires="wps">
            <w:drawing>
              <wp:anchor distT="45720" distB="45720" distL="114300" distR="114300" simplePos="0" relativeHeight="251666432" behindDoc="0" locked="0" layoutInCell="1" allowOverlap="1" wp14:anchorId="4DF6E1A1" wp14:editId="35EF72EB">
                <wp:simplePos x="0" y="0"/>
                <wp:positionH relativeFrom="margin">
                  <wp:align>right</wp:align>
                </wp:positionH>
                <wp:positionV relativeFrom="paragraph">
                  <wp:posOffset>312420</wp:posOffset>
                </wp:positionV>
                <wp:extent cx="4465320" cy="13182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318260"/>
                        </a:xfrm>
                        <a:prstGeom prst="rect">
                          <a:avLst/>
                        </a:prstGeom>
                        <a:solidFill>
                          <a:srgbClr val="FFFFFF"/>
                        </a:solidFill>
                        <a:ln w="9525">
                          <a:solidFill>
                            <a:schemeClr val="bg1"/>
                          </a:solidFill>
                          <a:miter lim="800000"/>
                          <a:headEnd/>
                          <a:tailEnd/>
                        </a:ln>
                      </wps:spPr>
                      <wps:txbx>
                        <w:txbxContent>
                          <w:p w14:paraId="32E6760E" w14:textId="0C1FB7F5" w:rsidR="00001D51" w:rsidRPr="00001D51" w:rsidRDefault="00001D51" w:rsidP="00001D51">
                            <w:pPr>
                              <w:pStyle w:val="NormalWeb"/>
                              <w:shd w:val="clear" w:color="auto" w:fill="FFFFFF"/>
                              <w:spacing w:before="0" w:beforeAutospacing="0" w:after="240" w:afterAutospacing="0"/>
                              <w:jc w:val="both"/>
                              <w:rPr>
                                <w:rFonts w:ascii="Calibri" w:hAnsi="Calibri" w:cs="Calibri"/>
                                <w:sz w:val="22"/>
                                <w:szCs w:val="22"/>
                              </w:rPr>
                            </w:pPr>
                            <w:r w:rsidRPr="00280793">
                              <w:rPr>
                                <w:rFonts w:ascii="Calibri" w:hAnsi="Calibri" w:cs="Calibri"/>
                                <w:b/>
                                <w:sz w:val="22"/>
                                <w:szCs w:val="22"/>
                              </w:rPr>
                              <w:t>Harm Reduction International (HRI)</w:t>
                            </w:r>
                            <w:r w:rsidRPr="00BD6B3B">
                              <w:rPr>
                                <w:rFonts w:ascii="Calibri" w:hAnsi="Calibri" w:cs="Calibri"/>
                                <w:sz w:val="22"/>
                                <w:szCs w:val="22"/>
                              </w:rPr>
                              <w:t xml:space="preserve"> is a leading non-governmental organisation dedicated to reducing the negative health, social and legal impacts of drug use and drug policy. We promote the rights of people who use drugs and their communities through research and advocacy to help achieve a world</w:t>
                            </w:r>
                            <w:r w:rsidRPr="00BD6B3B">
                              <w:rPr>
                                <w:rFonts w:ascii="Helvetica" w:hAnsi="Helvetica"/>
                                <w:sz w:val="22"/>
                                <w:szCs w:val="22"/>
                              </w:rPr>
                              <w:t xml:space="preserve"> </w:t>
                            </w:r>
                            <w:r w:rsidRPr="00BD6B3B">
                              <w:rPr>
                                <w:rFonts w:ascii="Calibri" w:hAnsi="Calibri" w:cs="Calibri"/>
                                <w:sz w:val="22"/>
                                <w:szCs w:val="22"/>
                              </w:rPr>
                              <w:t>where drug policies and laws contribute to healthier, safer societies.</w:t>
                            </w:r>
                            <w:r>
                              <w:rPr>
                                <w:rFonts w:ascii="Calibri" w:hAnsi="Calibri" w:cs="Calibri"/>
                                <w:sz w:val="22"/>
                                <w:szCs w:val="22"/>
                              </w:rPr>
                              <w:t xml:space="preserve"> </w:t>
                            </w:r>
                            <w:r w:rsidRPr="006866A3">
                              <w:rPr>
                                <w:rFonts w:ascii="Calibri" w:hAnsi="Calibri" w:cs="Calibri"/>
                                <w:sz w:val="22"/>
                                <w:szCs w:val="22"/>
                              </w:rPr>
                              <w:t>The organisation is an NGO in Special Consultative Status with the Economic and Socia</w:t>
                            </w:r>
                            <w:r>
                              <w:rPr>
                                <w:rFonts w:ascii="Calibri" w:hAnsi="Calibri" w:cs="Calibri"/>
                                <w:sz w:val="22"/>
                                <w:szCs w:val="22"/>
                              </w:rPr>
                              <w:t>l Council of the United 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6E1A1" id="_x0000_t202" coordsize="21600,21600" o:spt="202" path="m,l,21600r21600,l21600,xe">
                <v:stroke joinstyle="miter"/>
                <v:path gradientshapeok="t" o:connecttype="rect"/>
              </v:shapetype>
              <v:shape id="Text Box 2" o:spid="_x0000_s1026" type="#_x0000_t202" style="position:absolute;margin-left:300.4pt;margin-top:24.6pt;width:351.6pt;height:103.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oeKwIAAEYEAAAOAAAAZHJzL2Uyb0RvYy54bWysU21v2yAQ/j5p/wHxfXHsJmlqxam6dJkm&#10;dS9Sux+AMY7RgGNAYme/vgdOs6z7No0PiOOOh7vnuVvdDlqRg3BegqloPplSIgyHRppdRb8/bd8t&#10;KfGBmYYpMKKiR+Hp7frtm1VvS1FAB6oRjiCI8WVvK9qFYMss87wTmvkJWGHQ2YLTLKDpdlnjWI/o&#10;WmXFdLrIenCNdcCF93h7PzrpOuG3reDha9t6EYiqKOYW0u7SXsc9W69YuXPMdpKf0mD/kIVm0uCn&#10;Z6h7FhjZO/kXlJbcgYc2TDjoDNpWcpFqwGry6atqHjtmRaoFyfH2TJP/f7D8y+GbI7KpaJFfU2KY&#10;RpGexBDIexhIEfnprS8x7NFiYBjwGnVOtXr7APyHJwY2HTM7cecc9J1gDeaXx5fZxdMRx0eQuv8M&#10;DX7D9gES0NA6HclDOgiio07HszYxFY6Xs9liflWgi6Mvv8qXxSKpl7Hy5bl1PnwUoEk8VNSh+Ame&#10;HR58iOmw8iUk/uZByWYrlUqG29Ub5ciBYaNs00oVvApThvQVvZkX85GBPyBiz4ozSL0bOXiFoGXA&#10;hldSV3Q5jWtswUjbB9OkdgxMqvGMGStz4jFSN5IYhno46VJDc0RGHYyNjYOIhw7cL0p6bOqK+p97&#10;5gQl6pNBVW7y2SxOQTJm8+vIp7v01JceZjhCVTRQMh43IU1O5MvAHarXysRrlHnM5JQrNmui+zRY&#10;cRou7RT1e/zXzwAAAP//AwBQSwMEFAAGAAgAAAAhAJMuegfeAAAABwEAAA8AAABkcnMvZG93bnJl&#10;di54bWxMj8FOwzAQRO9I/IO1SNyoTShpG+JUCERvqCJUhaMTL0lEvI5itw18PcsJbjua0czbfD25&#10;XhxxDJ0nDdczBQKp9rajRsPu9elqCSJEQ9b0nlDDFwZYF+dnucmsP9ELHsvYCC6hkBkNbYxDJmWo&#10;W3QmzPyAxN6HH52JLMdG2tGcuNz1MlEqlc50xAutGfChxfqzPDgNoVbpfjsv92+V3OD3ytrH982z&#10;1pcX0/0diIhT/AvDLz6jQ8FMlT+QDaLXwI9EDfNVAoLdhbrho9KQ3KZLkEUu//MXPwAAAP//AwBQ&#10;SwECLQAUAAYACAAAACEAtoM4kv4AAADhAQAAEwAAAAAAAAAAAAAAAAAAAAAAW0NvbnRlbnRfVHlw&#10;ZXNdLnhtbFBLAQItABQABgAIAAAAIQA4/SH/1gAAAJQBAAALAAAAAAAAAAAAAAAAAC8BAABfcmVs&#10;cy8ucmVsc1BLAQItABQABgAIAAAAIQDF4zoeKwIAAEYEAAAOAAAAAAAAAAAAAAAAAC4CAABkcnMv&#10;ZTJvRG9jLnhtbFBLAQItABQABgAIAAAAIQCTLnoH3gAAAAcBAAAPAAAAAAAAAAAAAAAAAIUEAABk&#10;cnMvZG93bnJldi54bWxQSwUGAAAAAAQABADzAAAAkAUAAAAA&#10;" strokecolor="white [3212]">
                <v:textbox>
                  <w:txbxContent>
                    <w:p w14:paraId="32E6760E" w14:textId="0C1FB7F5" w:rsidR="00001D51" w:rsidRPr="00001D51" w:rsidRDefault="00001D51" w:rsidP="00001D51">
                      <w:pPr>
                        <w:pStyle w:val="NormalWeb"/>
                        <w:shd w:val="clear" w:color="auto" w:fill="FFFFFF"/>
                        <w:spacing w:before="0" w:beforeAutospacing="0" w:after="240" w:afterAutospacing="0"/>
                        <w:jc w:val="both"/>
                        <w:rPr>
                          <w:rFonts w:ascii="Calibri" w:hAnsi="Calibri" w:cs="Calibri"/>
                          <w:sz w:val="22"/>
                          <w:szCs w:val="22"/>
                        </w:rPr>
                      </w:pPr>
                      <w:r w:rsidRPr="00280793">
                        <w:rPr>
                          <w:rFonts w:ascii="Calibri" w:hAnsi="Calibri" w:cs="Calibri"/>
                          <w:b/>
                          <w:sz w:val="22"/>
                          <w:szCs w:val="22"/>
                        </w:rPr>
                        <w:t>Harm Reduction International (HRI)</w:t>
                      </w:r>
                      <w:r w:rsidRPr="00BD6B3B">
                        <w:rPr>
                          <w:rFonts w:ascii="Calibri" w:hAnsi="Calibri" w:cs="Calibri"/>
                          <w:sz w:val="22"/>
                          <w:szCs w:val="22"/>
                        </w:rPr>
                        <w:t xml:space="preserve"> is a leading non-governmental organisation dedicated to reducing the negative health, social and legal impacts of drug use and drug policy. We promote the rights of people who use drugs and their communities through research and advocacy to help achieve a world</w:t>
                      </w:r>
                      <w:r w:rsidRPr="00BD6B3B">
                        <w:rPr>
                          <w:rFonts w:ascii="Helvetica" w:hAnsi="Helvetica"/>
                          <w:sz w:val="22"/>
                          <w:szCs w:val="22"/>
                        </w:rPr>
                        <w:t xml:space="preserve"> </w:t>
                      </w:r>
                      <w:r w:rsidRPr="00BD6B3B">
                        <w:rPr>
                          <w:rFonts w:ascii="Calibri" w:hAnsi="Calibri" w:cs="Calibri"/>
                          <w:sz w:val="22"/>
                          <w:szCs w:val="22"/>
                        </w:rPr>
                        <w:t>where drug policies and laws contribute to healthier, safer societies.</w:t>
                      </w:r>
                      <w:r>
                        <w:rPr>
                          <w:rFonts w:ascii="Calibri" w:hAnsi="Calibri" w:cs="Calibri"/>
                          <w:sz w:val="22"/>
                          <w:szCs w:val="22"/>
                        </w:rPr>
                        <w:t xml:space="preserve"> </w:t>
                      </w:r>
                      <w:r w:rsidRPr="006866A3">
                        <w:rPr>
                          <w:rFonts w:ascii="Calibri" w:hAnsi="Calibri" w:cs="Calibri"/>
                          <w:sz w:val="22"/>
                          <w:szCs w:val="22"/>
                        </w:rPr>
                        <w:t>The organisation is an NGO in Special Consultative Status with the Economic and Socia</w:t>
                      </w:r>
                      <w:r>
                        <w:rPr>
                          <w:rFonts w:ascii="Calibri" w:hAnsi="Calibri" w:cs="Calibri"/>
                          <w:sz w:val="22"/>
                          <w:szCs w:val="22"/>
                        </w:rPr>
                        <w:t>l Council of the United Nations.</w:t>
                      </w:r>
                    </w:p>
                  </w:txbxContent>
                </v:textbox>
                <w10:wrap type="square" anchorx="margin"/>
              </v:shape>
            </w:pict>
          </mc:Fallback>
        </mc:AlternateContent>
      </w:r>
      <w:r>
        <w:rPr>
          <w:rFonts w:ascii="Calibri" w:hAnsi="Calibri" w:cs="Calibri"/>
          <w:b/>
          <w:noProof/>
          <w:lang w:eastAsia="en-GB"/>
        </w:rPr>
        <w:drawing>
          <wp:anchor distT="0" distB="0" distL="114300" distR="114300" simplePos="0" relativeHeight="251667456" behindDoc="0" locked="0" layoutInCell="1" allowOverlap="1" wp14:anchorId="694DA50A" wp14:editId="478B8108">
            <wp:simplePos x="0" y="0"/>
            <wp:positionH relativeFrom="margin">
              <wp:align>left</wp:align>
            </wp:positionH>
            <wp:positionV relativeFrom="paragraph">
              <wp:posOffset>304800</wp:posOffset>
            </wp:positionV>
            <wp:extent cx="1158240" cy="692150"/>
            <wp:effectExtent l="0" t="0" r="3810" b="0"/>
            <wp:wrapThrough wrapText="bothSides">
              <wp:wrapPolygon edited="0">
                <wp:start x="0" y="0"/>
                <wp:lineTo x="0" y="20807"/>
                <wp:lineTo x="21316" y="20807"/>
                <wp:lineTo x="2131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DCD6A7.tmp"/>
                    <pic:cNvPicPr/>
                  </pic:nvPicPr>
                  <pic:blipFill>
                    <a:blip r:embed="rId8">
                      <a:extLst>
                        <a:ext uri="{28A0092B-C50C-407E-A947-70E740481C1C}">
                          <a14:useLocalDpi xmlns:a14="http://schemas.microsoft.com/office/drawing/2010/main" val="0"/>
                        </a:ext>
                      </a:extLst>
                    </a:blip>
                    <a:stretch>
                      <a:fillRect/>
                    </a:stretch>
                  </pic:blipFill>
                  <pic:spPr>
                    <a:xfrm>
                      <a:off x="0" y="0"/>
                      <a:ext cx="1158240" cy="692150"/>
                    </a:xfrm>
                    <a:prstGeom prst="rect">
                      <a:avLst/>
                    </a:prstGeom>
                  </pic:spPr>
                </pic:pic>
              </a:graphicData>
            </a:graphic>
            <wp14:sizeRelH relativeFrom="margin">
              <wp14:pctWidth>0</wp14:pctWidth>
            </wp14:sizeRelH>
            <wp14:sizeRelV relativeFrom="margin">
              <wp14:pctHeight>0</wp14:pctHeight>
            </wp14:sizeRelV>
          </wp:anchor>
        </w:drawing>
      </w:r>
      <w:r w:rsidR="00EA1928">
        <w:rPr>
          <w:b/>
          <w:sz w:val="24"/>
          <w:szCs w:val="24"/>
        </w:rPr>
        <w:t>Submitting organisations:</w:t>
      </w:r>
    </w:p>
    <w:p w14:paraId="2C42FB30" w14:textId="0E167ECB" w:rsidR="00001D51" w:rsidRDefault="00001D51" w:rsidP="00EA1928">
      <w:pPr>
        <w:pStyle w:val="NormalWeb"/>
        <w:shd w:val="clear" w:color="auto" w:fill="FFFFFF"/>
        <w:spacing w:before="0" w:beforeAutospacing="0" w:after="240" w:afterAutospacing="0"/>
        <w:jc w:val="both"/>
        <w:rPr>
          <w:rFonts w:ascii="Calibri" w:hAnsi="Calibri" w:cs="Calibri"/>
          <w:b/>
          <w:sz w:val="22"/>
          <w:szCs w:val="22"/>
        </w:rPr>
      </w:pPr>
    </w:p>
    <w:p w14:paraId="5EBE1B63" w14:textId="0BD2CEA6" w:rsidR="00001D51" w:rsidRDefault="00F16779" w:rsidP="00EA1928">
      <w:pPr>
        <w:pStyle w:val="NormalWeb"/>
        <w:shd w:val="clear" w:color="auto" w:fill="FFFFFF"/>
        <w:spacing w:before="0" w:beforeAutospacing="0" w:after="240" w:afterAutospacing="0"/>
        <w:jc w:val="both"/>
        <w:rPr>
          <w:rFonts w:ascii="Calibri" w:hAnsi="Calibri" w:cs="Calibri"/>
          <w:b/>
          <w:sz w:val="22"/>
          <w:szCs w:val="22"/>
        </w:rPr>
      </w:pPr>
      <w:r w:rsidRPr="00F16779">
        <w:rPr>
          <w:rFonts w:ascii="Calibri" w:hAnsi="Calibri"/>
          <w:noProof/>
          <w:color w:val="000000" w:themeColor="text1"/>
          <w:sz w:val="22"/>
          <w:szCs w:val="22"/>
          <w:lang w:val="en-GB" w:eastAsia="en-GB"/>
        </w:rPr>
        <mc:AlternateContent>
          <mc:Choice Requires="wps">
            <w:drawing>
              <wp:anchor distT="45720" distB="45720" distL="114300" distR="114300" simplePos="0" relativeHeight="251669504" behindDoc="0" locked="0" layoutInCell="1" allowOverlap="1" wp14:anchorId="69276633" wp14:editId="6BCE77F5">
                <wp:simplePos x="0" y="0"/>
                <wp:positionH relativeFrom="column">
                  <wp:posOffset>1249680</wp:posOffset>
                </wp:positionH>
                <wp:positionV relativeFrom="paragraph">
                  <wp:posOffset>353695</wp:posOffset>
                </wp:positionV>
                <wp:extent cx="4480560" cy="1404620"/>
                <wp:effectExtent l="0" t="0" r="1524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404620"/>
                        </a:xfrm>
                        <a:prstGeom prst="rect">
                          <a:avLst/>
                        </a:prstGeom>
                        <a:solidFill>
                          <a:srgbClr val="FFFFFF"/>
                        </a:solidFill>
                        <a:ln w="9525">
                          <a:solidFill>
                            <a:schemeClr val="bg1"/>
                          </a:solidFill>
                          <a:miter lim="800000"/>
                          <a:headEnd/>
                          <a:tailEnd/>
                        </a:ln>
                      </wps:spPr>
                      <wps:txbx>
                        <w:txbxContent>
                          <w:p w14:paraId="4553FBC1" w14:textId="1F8D2C42" w:rsidR="00F16779" w:rsidRDefault="00F16779" w:rsidP="00F16779">
                            <w:pPr>
                              <w:jc w:val="both"/>
                            </w:pPr>
                            <w:r w:rsidRPr="00EA1928">
                              <w:rPr>
                                <w:rFonts w:ascii="Calibri" w:hAnsi="Calibri" w:cs="Calibri"/>
                                <w:b/>
                              </w:rPr>
                              <w:t>The</w:t>
                            </w:r>
                            <w:r w:rsidRPr="00EA1928">
                              <w:rPr>
                                <w:b/>
                              </w:rPr>
                              <w:t xml:space="preserve"> </w:t>
                            </w:r>
                            <w:r w:rsidRPr="00280793">
                              <w:rPr>
                                <w:rFonts w:ascii="Calibri" w:hAnsi="Calibri" w:cs="Calibri"/>
                                <w:b/>
                              </w:rPr>
                              <w:t>International Drug Policy Consortium (</w:t>
                            </w:r>
                            <w:r w:rsidRPr="00280793">
                              <w:rPr>
                                <w:rFonts w:ascii="Calibri" w:hAnsi="Calibri" w:cs="Calibri"/>
                                <w:b/>
                                <w:color w:val="000000" w:themeColor="text1"/>
                              </w:rPr>
                              <w:t>IDPC)</w:t>
                            </w:r>
                            <w:r w:rsidRPr="00AD5EC8">
                              <w:rPr>
                                <w:rFonts w:ascii="Calibri" w:hAnsi="Calibri" w:cs="Calibri"/>
                                <w:color w:val="000000" w:themeColor="text1"/>
                              </w:rPr>
                              <w:t xml:space="preserve"> </w:t>
                            </w:r>
                            <w:r w:rsidRPr="00AD5EC8">
                              <w:rPr>
                                <w:rFonts w:ascii="Calibri" w:eastAsia="Times New Roman" w:hAnsi="Calibri"/>
                                <w:color w:val="000000" w:themeColor="text1"/>
                              </w:rPr>
                              <w:t xml:space="preserve">is a global network of </w:t>
                            </w:r>
                            <w:r>
                              <w:rPr>
                                <w:rFonts w:ascii="Calibri" w:hAnsi="Calibri"/>
                                <w:color w:val="000000" w:themeColor="text1"/>
                              </w:rPr>
                              <w:t>192</w:t>
                            </w:r>
                            <w:r w:rsidRPr="00AD5EC8">
                              <w:rPr>
                                <w:rFonts w:ascii="Calibri" w:eastAsia="Times New Roman" w:hAnsi="Calibri"/>
                                <w:color w:val="000000" w:themeColor="text1"/>
                              </w:rPr>
                              <w:t xml:space="preserve"> non-government organisations, established in 2006, advocating for drug policies that are based on evidence and principles of public health, human rights, human security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76633" id="_x0000_s1027" type="#_x0000_t202" style="position:absolute;left:0;text-align:left;margin-left:98.4pt;margin-top:27.85pt;width:352.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m8KwIAAEsEAAAOAAAAZHJzL2Uyb0RvYy54bWysVMGO0zAQvSPxD5bvNGmVlm7UdLV0KUJa&#10;FqRdPsBxnMbC9hjbbVK+nrHT7ZZyQ+Rg2Z7xm5n3ZrK6HbQiB+G8BFPR6SSnRBgOjTS7in5/3r5b&#10;UuIDMw1TYERFj8LT2/XbN6velmIGHahGOIIgxpe9rWgXgi2zzPNOaOYnYIVBYwtOs4BHt8sax3pE&#10;1yqb5fki68E11gEX3uPt/Wik64TftoKHr23rRSCqophbSKtLax3XbL1i5c4x20l+SoP9QxaaSYNB&#10;z1D3LDCyd/IvKC25Aw9tmHDQGbSt5CLVgNVM86tqnjpmRaoFyfH2TJP/f7D88fDNEdlUdEGJYRol&#10;ehZDIB9gILPITm99iU5PFt3CgNeocqrU2wfgPzwxsOmY2Yk756DvBGswu2l8mV08HXF8BKn7L9Bg&#10;GLYPkICG1ulIHZJBEB1VOp6VialwvCyKZT5foImjbVrkxWKWtMtY+fLcOh8+CdAkbirqUPoEzw4P&#10;PsR0WPniEqN5ULLZSqXSwe3qjXLkwLBNtulLFVy5KUP6it7MZ/ORgT8gYseKM0i9Gzm4QtAyYLsr&#10;qSu6zOM3NmCk7aNpUjMGJtW4x4yVOfEYqRtJDEM9JMFSgMhxDc0RiXUwdjdOI246cL8o6bGzK+p/&#10;7pkTlKjPBsW5mRZFHIV0KObvkUniLi31pYUZjlAVDZSM201I45Nos3co4lYmel8zOaWMHZtYP01X&#10;HInLc/J6/QesfwMAAP//AwBQSwMEFAAGAAgAAAAhABbI0PPgAAAACgEAAA8AAABkcnMvZG93bnJl&#10;di54bWxMj8tOwzAURPdI/IN1kdhRh4imJMSpAAkWLFo1oHbrxDcP4UcUO2n4ey6rshzNaOZMvl2M&#10;ZjOOvndWwP0qAoa2dqq3rYCvz7e7R2A+SKukdhYF/KCHbXF9lctMubM94FyGllGJ9ZkU0IUwZJz7&#10;ukMj/coNaMlr3GhkIDm2XI3yTOVG8ziKEm5kb2mhkwO+dlh/l5MR8P7Cq92h3FfNqdHzhz6aabc3&#10;QtzeLM9PwAIu4RKGP3xCh4KYKjdZ5ZkmnSaEHgSs1xtgFEij+AFYJSDeJCnwIuf/LxS/AAAA//8D&#10;AFBLAQItABQABgAIAAAAIQC2gziS/gAAAOEBAAATAAAAAAAAAAAAAAAAAAAAAABbQ29udGVudF9U&#10;eXBlc10ueG1sUEsBAi0AFAAGAAgAAAAhADj9If/WAAAAlAEAAAsAAAAAAAAAAAAAAAAALwEAAF9y&#10;ZWxzLy5yZWxzUEsBAi0AFAAGAAgAAAAhAHK9mbwrAgAASwQAAA4AAAAAAAAAAAAAAAAALgIAAGRy&#10;cy9lMm9Eb2MueG1sUEsBAi0AFAAGAAgAAAAhABbI0PPgAAAACgEAAA8AAAAAAAAAAAAAAAAAhQQA&#10;AGRycy9kb3ducmV2LnhtbFBLBQYAAAAABAAEAPMAAACSBQAAAAA=&#10;" strokecolor="white [3212]">
                <v:textbox style="mso-fit-shape-to-text:t">
                  <w:txbxContent>
                    <w:p w14:paraId="4553FBC1" w14:textId="1F8D2C42" w:rsidR="00F16779" w:rsidRDefault="00F16779" w:rsidP="00F16779">
                      <w:pPr>
                        <w:jc w:val="both"/>
                      </w:pPr>
                      <w:r w:rsidRPr="00EA1928">
                        <w:rPr>
                          <w:rFonts w:ascii="Calibri" w:hAnsi="Calibri" w:cs="Calibri"/>
                          <w:b/>
                        </w:rPr>
                        <w:t>The</w:t>
                      </w:r>
                      <w:r w:rsidRPr="00EA1928">
                        <w:rPr>
                          <w:b/>
                        </w:rPr>
                        <w:t xml:space="preserve"> </w:t>
                      </w:r>
                      <w:r w:rsidRPr="00280793">
                        <w:rPr>
                          <w:rFonts w:ascii="Calibri" w:hAnsi="Calibri" w:cs="Calibri"/>
                          <w:b/>
                        </w:rPr>
                        <w:t>International Drug Policy Consortium (</w:t>
                      </w:r>
                      <w:r w:rsidRPr="00280793">
                        <w:rPr>
                          <w:rFonts w:ascii="Calibri" w:hAnsi="Calibri" w:cs="Calibri"/>
                          <w:b/>
                          <w:color w:val="000000" w:themeColor="text1"/>
                        </w:rPr>
                        <w:t>IDPC)</w:t>
                      </w:r>
                      <w:r w:rsidRPr="00AD5EC8">
                        <w:rPr>
                          <w:rFonts w:ascii="Calibri" w:hAnsi="Calibri" w:cs="Calibri"/>
                          <w:color w:val="000000" w:themeColor="text1"/>
                        </w:rPr>
                        <w:t xml:space="preserve"> </w:t>
                      </w:r>
                      <w:r w:rsidRPr="00AD5EC8">
                        <w:rPr>
                          <w:rFonts w:ascii="Calibri" w:eastAsia="Times New Roman" w:hAnsi="Calibri"/>
                          <w:color w:val="000000" w:themeColor="text1"/>
                        </w:rPr>
                        <w:t xml:space="preserve">is a global network of </w:t>
                      </w:r>
                      <w:r>
                        <w:rPr>
                          <w:rFonts w:ascii="Calibri" w:hAnsi="Calibri"/>
                          <w:color w:val="000000" w:themeColor="text1"/>
                        </w:rPr>
                        <w:t>192</w:t>
                      </w:r>
                      <w:r w:rsidRPr="00AD5EC8">
                        <w:rPr>
                          <w:rFonts w:ascii="Calibri" w:eastAsia="Times New Roman" w:hAnsi="Calibri"/>
                          <w:color w:val="000000" w:themeColor="text1"/>
                        </w:rPr>
                        <w:t xml:space="preserve"> non-government organisations, established in 2006, advocating for drug policies that are based on evidence and principles of public health, human rights, human security and development.</w:t>
                      </w:r>
                    </w:p>
                  </w:txbxContent>
                </v:textbox>
                <w10:wrap type="square"/>
              </v:shape>
            </w:pict>
          </mc:Fallback>
        </mc:AlternateContent>
      </w:r>
    </w:p>
    <w:p w14:paraId="7E1A128F" w14:textId="22C946F1" w:rsidR="00001D51" w:rsidRPr="00001D51" w:rsidRDefault="00F16779" w:rsidP="00001D51">
      <w:pPr>
        <w:pStyle w:val="NormalWeb"/>
        <w:shd w:val="clear" w:color="auto" w:fill="FFFFFF"/>
        <w:spacing w:before="0" w:beforeAutospacing="0" w:after="240" w:afterAutospacing="0"/>
        <w:ind w:left="720"/>
        <w:jc w:val="both"/>
        <w:rPr>
          <w:rFonts w:ascii="Calibri" w:hAnsi="Calibri"/>
          <w:color w:val="000000" w:themeColor="text1"/>
          <w:sz w:val="22"/>
          <w:szCs w:val="22"/>
        </w:rPr>
      </w:pPr>
      <w:r w:rsidRPr="00F16779">
        <w:rPr>
          <w:rFonts w:ascii="Calibri" w:hAnsi="Calibri" w:cs="Calibri"/>
          <w:b/>
          <w:noProof/>
          <w:lang w:val="en-GB" w:eastAsia="en-GB"/>
        </w:rPr>
        <mc:AlternateContent>
          <mc:Choice Requires="wps">
            <w:drawing>
              <wp:anchor distT="45720" distB="45720" distL="114300" distR="114300" simplePos="0" relativeHeight="251671552" behindDoc="0" locked="0" layoutInCell="1" allowOverlap="1" wp14:anchorId="7E826E01" wp14:editId="77638A62">
                <wp:simplePos x="0" y="0"/>
                <wp:positionH relativeFrom="margin">
                  <wp:posOffset>1219200</wp:posOffset>
                </wp:positionH>
                <wp:positionV relativeFrom="paragraph">
                  <wp:posOffset>1120775</wp:posOffset>
                </wp:positionV>
                <wp:extent cx="4503420" cy="1404620"/>
                <wp:effectExtent l="0" t="0" r="1143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404620"/>
                        </a:xfrm>
                        <a:prstGeom prst="rect">
                          <a:avLst/>
                        </a:prstGeom>
                        <a:solidFill>
                          <a:srgbClr val="FFFFFF"/>
                        </a:solidFill>
                        <a:ln w="9525">
                          <a:solidFill>
                            <a:schemeClr val="bg1"/>
                          </a:solidFill>
                          <a:miter lim="800000"/>
                          <a:headEnd/>
                          <a:tailEnd/>
                        </a:ln>
                      </wps:spPr>
                      <wps:txbx>
                        <w:txbxContent>
                          <w:p w14:paraId="4C8EDAAD" w14:textId="1B69B75B" w:rsidR="00F16779" w:rsidRDefault="00F16779" w:rsidP="00F16779">
                            <w:pPr>
                              <w:jc w:val="both"/>
                            </w:pPr>
                            <w:r w:rsidRPr="00001D51">
                              <w:rPr>
                                <w:rFonts w:ascii="Calibri" w:hAnsi="Calibri" w:cs="Calibri"/>
                              </w:rPr>
                              <w:t xml:space="preserve">The </w:t>
                            </w:r>
                            <w:r w:rsidRPr="00001D51">
                              <w:rPr>
                                <w:rFonts w:ascii="Calibri" w:hAnsi="Calibri" w:cs="Calibri"/>
                                <w:b/>
                              </w:rPr>
                              <w:t>Centre on Drug Policy Evaluation (CDPE)</w:t>
                            </w:r>
                            <w:r w:rsidRPr="00001D51">
                              <w:rPr>
                                <w:rFonts w:ascii="Calibri" w:hAnsi="Calibri" w:cs="Calibri"/>
                              </w:rPr>
                              <w:t xml:space="preserve"> </w:t>
                            </w:r>
                            <w:r w:rsidRPr="00001D51">
                              <w:rPr>
                                <w:rFonts w:ascii="Calibri" w:eastAsia="Times New Roman" w:hAnsi="Calibri" w:cs="Calibri"/>
                                <w:iCs/>
                                <w:color w:val="000000"/>
                              </w:rPr>
                              <w:t>works collaboratively with governments, affected communities, and civil society to improve community health and safety by conducting research and outreach on effective and evidence-based policy responses to substance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26E01" id="_x0000_s1028" type="#_x0000_t202" style="position:absolute;left:0;text-align:left;margin-left:96pt;margin-top:88.25pt;width:354.6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CKAIAAEsEAAAOAAAAZHJzL2Uyb0RvYy54bWysVFFv2yAQfp+0/4B4X+xkTrdacaouXaZJ&#10;3Vap3Q/AGNtowDEgsbNf3wOnadq9TfMDAu747u777ry6GrUie+G8BFPR+SynRBgOjTRdRX8+bN99&#10;pMQHZhqmwIiKHoSnV+u3b1aDLcUCelCNcARBjC8HW9E+BFtmmee90MzPwAqDxhacZgGPrssaxwZE&#10;1ypb5PlFNoBrrAMuvMfbm8lI1wm/bQUPP9rWi0BURTG3kFaX1jqu2XrFys4x20t+TIP9QxaaSYNB&#10;T1A3LDCyc/IvKC25Aw9tmHHQGbSt5CLVgNXM81fV3PfMilQLkuPtiSb//2D59/2dI7KpKAplmEaJ&#10;HsQYyCcYySKyM1hfotO9Rbcw4jWqnCr19hb4L08MbHpmOnHtHAy9YA1mN48vs7OnE46PIPXwDRoM&#10;w3YBEtDYOh2pQzIIoqNKh5MyMRWOl8Uyf18s0MTRNi/y4gIPMQYrn55b58MXAZrETUUdSp/g2f7W&#10;h8n1ySVG86Bks5VKpYPr6o1yZM+wTbbpO6K/cFOGDBW9XC6WEwMvIGLHihNI3U0cvAqkZcB2V1Ij&#10;33n8YhhWRto+mybtA5Nq2mNxyhx5jNRNJIaxHpNgJ3lqaA5IrIOpu3EacdOD+0PJgJ1dUf97x5yg&#10;RH01KM7lvCjiKKRDsfwQaXXnlvrcwgxHqIoGSqbtJqTxSbTZaxRxKxO9Ue0pk2PK2LFJoON0xZE4&#10;Pyev53/A+hEAAP//AwBQSwMEFAAGAAgAAAAhAJq8xDvhAAAACwEAAA8AAABkcnMvZG93bnJldi54&#10;bWxMj0tPwzAQhO9I/AdrkbhRp0E0JMSpAAkOHFo1oPbqxJuH8COKnTT8e5ZTue1oRzPf5NvFaDbj&#10;6HtnBaxXETC0tVO9bQV8fb7dPQLzQVoltbMo4Ac9bIvrq1xmyp3tAecytIxCrM+kgC6EIePc1x0a&#10;6VduQEu/xo1GBpJjy9UozxRuNI+jaMON7C01dHLA1w7r73IyAt5feLU7lPuqOTV6/tBHM+32Rojb&#10;m+X5CVjAJVzM8IdP6FAQU+UmqzzTpNOYtgQ6ks0DMHKk0ToGVgm4T5MEeJHz/xuKXwAAAP//AwBQ&#10;SwECLQAUAAYACAAAACEAtoM4kv4AAADhAQAAEwAAAAAAAAAAAAAAAAAAAAAAW0NvbnRlbnRfVHlw&#10;ZXNdLnhtbFBLAQItABQABgAIAAAAIQA4/SH/1gAAAJQBAAALAAAAAAAAAAAAAAAAAC8BAABfcmVs&#10;cy8ucmVsc1BLAQItABQABgAIAAAAIQCMh/GCKAIAAEsEAAAOAAAAAAAAAAAAAAAAAC4CAABkcnMv&#10;ZTJvRG9jLnhtbFBLAQItABQABgAIAAAAIQCavMQ74QAAAAsBAAAPAAAAAAAAAAAAAAAAAIIEAABk&#10;cnMvZG93bnJldi54bWxQSwUGAAAAAAQABADzAAAAkAUAAAAA&#10;" strokecolor="white [3212]">
                <v:textbox style="mso-fit-shape-to-text:t">
                  <w:txbxContent>
                    <w:p w14:paraId="4C8EDAAD" w14:textId="1B69B75B" w:rsidR="00F16779" w:rsidRDefault="00F16779" w:rsidP="00F16779">
                      <w:pPr>
                        <w:jc w:val="both"/>
                      </w:pPr>
                      <w:r w:rsidRPr="00001D51">
                        <w:rPr>
                          <w:rFonts w:ascii="Calibri" w:hAnsi="Calibri" w:cs="Calibri"/>
                        </w:rPr>
                        <w:t xml:space="preserve">The </w:t>
                      </w:r>
                      <w:r w:rsidRPr="00001D51">
                        <w:rPr>
                          <w:rFonts w:ascii="Calibri" w:hAnsi="Calibri" w:cs="Calibri"/>
                          <w:b/>
                        </w:rPr>
                        <w:t>Centre on Drug Policy Evaluation (CDPE)</w:t>
                      </w:r>
                      <w:r w:rsidRPr="00001D51">
                        <w:rPr>
                          <w:rFonts w:ascii="Calibri" w:hAnsi="Calibri" w:cs="Calibri"/>
                        </w:rPr>
                        <w:t xml:space="preserve"> </w:t>
                      </w:r>
                      <w:r w:rsidRPr="00001D51">
                        <w:rPr>
                          <w:rFonts w:ascii="Calibri" w:eastAsia="Times New Roman" w:hAnsi="Calibri" w:cs="Calibri"/>
                          <w:iCs/>
                          <w:color w:val="000000"/>
                        </w:rPr>
                        <w:t>works collaboratively with governments, affected communities, and civil society to improve community health and safety by conducting research and outreach on effective and evidence-based policy responses to substance use</w:t>
                      </w:r>
                    </w:p>
                  </w:txbxContent>
                </v:textbox>
                <w10:wrap type="square" anchorx="margin"/>
              </v:shape>
            </w:pict>
          </mc:Fallback>
        </mc:AlternateContent>
      </w:r>
      <w:r w:rsidRPr="00EA1928">
        <w:rPr>
          <w:rFonts w:ascii="Calibri" w:hAnsi="Calibri" w:cs="Calibri"/>
          <w:noProof/>
          <w:sz w:val="22"/>
          <w:lang w:eastAsia="en-GB"/>
        </w:rPr>
        <w:drawing>
          <wp:anchor distT="0" distB="0" distL="114300" distR="114300" simplePos="0" relativeHeight="251662336" behindDoc="1" locked="0" layoutInCell="1" allowOverlap="1" wp14:anchorId="1EC31B82" wp14:editId="6FCA3C27">
            <wp:simplePos x="0" y="0"/>
            <wp:positionH relativeFrom="margin">
              <wp:posOffset>53340</wp:posOffset>
            </wp:positionH>
            <wp:positionV relativeFrom="paragraph">
              <wp:posOffset>76835</wp:posOffset>
            </wp:positionV>
            <wp:extent cx="807720" cy="742118"/>
            <wp:effectExtent l="0" t="0" r="0" b="1270"/>
            <wp:wrapTight wrapText="bothSides">
              <wp:wrapPolygon edited="0">
                <wp:start x="0" y="0"/>
                <wp:lineTo x="0" y="21082"/>
                <wp:lineTo x="20887" y="21082"/>
                <wp:lineTo x="20887" y="0"/>
                <wp:lineTo x="0" y="0"/>
              </wp:wrapPolygon>
            </wp:wrapTight>
            <wp:docPr id="7" name="Picture 7" descr="Image result for id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dp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7421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61DD80" w14:textId="084038A2" w:rsidR="00EA1928" w:rsidRDefault="00F16779" w:rsidP="00001D51">
      <w:pPr>
        <w:pStyle w:val="NormalWeb"/>
        <w:shd w:val="clear" w:color="auto" w:fill="FFFFFF"/>
        <w:spacing w:before="0" w:beforeAutospacing="0" w:after="240" w:afterAutospacing="0"/>
        <w:ind w:left="720"/>
        <w:jc w:val="both"/>
        <w:rPr>
          <w:rFonts w:ascii="Calibri" w:hAnsi="Calibri" w:cs="Calibri"/>
          <w:iCs/>
          <w:color w:val="000000"/>
          <w:sz w:val="22"/>
          <w:szCs w:val="22"/>
        </w:rPr>
      </w:pPr>
      <w:r w:rsidRPr="00001D51">
        <w:rPr>
          <w:rFonts w:ascii="Calibri" w:hAnsi="Calibri" w:cs="Calibri"/>
          <w:noProof/>
          <w:sz w:val="22"/>
          <w:szCs w:val="22"/>
          <w:lang w:val="en-GB" w:eastAsia="en-GB"/>
        </w:rPr>
        <w:drawing>
          <wp:anchor distT="0" distB="0" distL="114300" distR="114300" simplePos="0" relativeHeight="251663360" behindDoc="0" locked="0" layoutInCell="1" allowOverlap="1" wp14:anchorId="222E6100" wp14:editId="416ED755">
            <wp:simplePos x="0" y="0"/>
            <wp:positionH relativeFrom="margin">
              <wp:align>left</wp:align>
            </wp:positionH>
            <wp:positionV relativeFrom="paragraph">
              <wp:posOffset>172720</wp:posOffset>
            </wp:positionV>
            <wp:extent cx="1143000" cy="304800"/>
            <wp:effectExtent l="0" t="0" r="0" b="0"/>
            <wp:wrapThrough wrapText="bothSides">
              <wp:wrapPolygon edited="0">
                <wp:start x="0" y="0"/>
                <wp:lineTo x="0" y="20250"/>
                <wp:lineTo x="21240" y="20250"/>
                <wp:lineTo x="21240" y="0"/>
                <wp:lineTo x="0" y="0"/>
              </wp:wrapPolygon>
            </wp:wrapThrough>
            <wp:docPr id="3" name="Picture 3" descr="C:\Users\Giada-HRI\AppData\Local\Microsoft\Windows\INetCache\Content.Outlook\7XOVCFJ1\CD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da-HRI\AppData\Local\Microsoft\Windows\INetCache\Content.Outlook\7XOVCFJ1\CDPE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69E01C" w14:textId="01FD20B4" w:rsidR="00001D51" w:rsidRDefault="00001D51" w:rsidP="00001D51">
      <w:pPr>
        <w:pStyle w:val="NormalWeb"/>
        <w:shd w:val="clear" w:color="auto" w:fill="FFFFFF"/>
        <w:spacing w:before="0" w:beforeAutospacing="0" w:after="240" w:afterAutospacing="0"/>
        <w:ind w:left="720"/>
        <w:jc w:val="both"/>
        <w:rPr>
          <w:rFonts w:ascii="Calibri" w:hAnsi="Calibri" w:cs="Calibri"/>
          <w:sz w:val="22"/>
          <w:szCs w:val="22"/>
        </w:rPr>
      </w:pPr>
    </w:p>
    <w:p w14:paraId="045BEDD5" w14:textId="63B7E71C" w:rsidR="00001D51" w:rsidRPr="00001D51" w:rsidRDefault="00F16779" w:rsidP="00001D51">
      <w:pPr>
        <w:pStyle w:val="NormalWeb"/>
        <w:shd w:val="clear" w:color="auto" w:fill="FFFFFF"/>
        <w:spacing w:before="0" w:beforeAutospacing="0" w:after="240" w:afterAutospacing="0"/>
        <w:ind w:left="720"/>
        <w:jc w:val="both"/>
        <w:rPr>
          <w:rFonts w:ascii="Calibri" w:hAnsi="Calibri" w:cs="Calibri"/>
          <w:sz w:val="22"/>
          <w:szCs w:val="22"/>
          <w:lang w:val="en-GB"/>
        </w:rPr>
      </w:pPr>
      <w:r w:rsidRPr="00F16779">
        <w:rPr>
          <w:rFonts w:ascii="Calibri" w:hAnsi="Calibri" w:cs="Calibri"/>
          <w:noProof/>
          <w:sz w:val="22"/>
          <w:szCs w:val="22"/>
          <w:lang w:val="en-GB" w:eastAsia="en-GB"/>
        </w:rPr>
        <mc:AlternateContent>
          <mc:Choice Requires="wps">
            <w:drawing>
              <wp:anchor distT="45720" distB="45720" distL="114300" distR="114300" simplePos="0" relativeHeight="251673600" behindDoc="0" locked="0" layoutInCell="1" allowOverlap="1" wp14:anchorId="2FC7BC82" wp14:editId="0B1561CC">
                <wp:simplePos x="0" y="0"/>
                <wp:positionH relativeFrom="margin">
                  <wp:posOffset>1173480</wp:posOffset>
                </wp:positionH>
                <wp:positionV relativeFrom="paragraph">
                  <wp:posOffset>195580</wp:posOffset>
                </wp:positionV>
                <wp:extent cx="4632960" cy="1404620"/>
                <wp:effectExtent l="0" t="0" r="1524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404620"/>
                        </a:xfrm>
                        <a:prstGeom prst="rect">
                          <a:avLst/>
                        </a:prstGeom>
                        <a:solidFill>
                          <a:srgbClr val="FFFFFF"/>
                        </a:solidFill>
                        <a:ln w="9525">
                          <a:solidFill>
                            <a:schemeClr val="bg1"/>
                          </a:solidFill>
                          <a:miter lim="800000"/>
                          <a:headEnd/>
                          <a:tailEnd/>
                        </a:ln>
                      </wps:spPr>
                      <wps:txbx>
                        <w:txbxContent>
                          <w:p w14:paraId="19BA0773" w14:textId="14A9F4A4" w:rsidR="00F16779" w:rsidRPr="00001D51" w:rsidRDefault="00F16779" w:rsidP="00F16779">
                            <w:pPr>
                              <w:jc w:val="both"/>
                              <w:rPr>
                                <w:rFonts w:ascii="Calibri" w:hAnsi="Calibri" w:cs="Calibri"/>
                              </w:rPr>
                            </w:pPr>
                            <w:r w:rsidRPr="00001D51">
                              <w:rPr>
                                <w:rFonts w:ascii="Calibri" w:hAnsi="Calibri" w:cs="Calibri"/>
                                <w:b/>
                              </w:rPr>
                              <w:t>Instituto RIA</w:t>
                            </w:r>
                            <w:r w:rsidRPr="00001D51">
                              <w:rPr>
                                <w:rFonts w:ascii="Calibri" w:hAnsi="Calibri" w:cs="Calibri"/>
                              </w:rPr>
                              <w:t xml:space="preserve"> is a Mexican based organization that undertakes high quality research, highlighting and proposing innovations in order to advocate for public policies within a social justice framework. Human rights, access to justice, and peace building, stand at the center of our analysis, proposals and advocacy work, opening dialogue and debate , publishing evidence-based research, and catalysing innovative initiatives in Latin America to the international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7BC82" id="_x0000_s1029" type="#_x0000_t202" style="position:absolute;left:0;text-align:left;margin-left:92.4pt;margin-top:15.4pt;width:364.8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rLQIAAEsEAAAOAAAAZHJzL2Uyb0RvYy54bWysVNuO0zAQfUfiHyy/06TZtGyjpqulSxHS&#10;cpF2+QDHcRILx2Nst8ny9YydtpTyhsiD5fGMj2fOmcn6buwVOQjrJOiSzmcpJUJzqKVuS/rteffm&#10;lhLnma6ZAi1K+iIcvdu8frUeTCEy6EDVwhIE0a4YTEk7702RJI53omduBkZodDZge+bRtG1SWzYg&#10;eq+SLE2XyQC2Nha4cA5PHyYn3UT8phHcf2kaJzxRJcXcfFxtXKuwJps1K1rLTCf5MQ32D1n0TGp8&#10;9Az1wDwjeyv/guolt+Cg8TMOfQJNI7mINWA18/SqmqeOGRFrQXKcOdPk/h8s/3z4aomsS7qiRLMe&#10;JXoWoyfvYCRZYGcwrsCgJ4NhfsRjVDlW6swj8O+OaNh2TLfi3loYOsFqzG4ebiYXVyccF0Cq4RPU&#10;+Azbe4hAY2P7QB2SQRAdVXo5KxNS4XiYL2+y1RJdHH3zPM2XWdQuYcXpurHOfxDQk7ApqUXpIzw7&#10;PDof0mHFKSS85kDJeieVioZtq62y5MCwTXbxixVchSlNBiRqkS0mBv6ACB0rziBVO3FwhdBLj+2u&#10;ZF/S2zR8UwMG2t7rOjajZ1JNe8xY6SOPgbqJRD9WYxTs5iRPBfULEmth6m6cRtx0YH9SMmBnl9T9&#10;2DMrKFEfNYqzmud5GIVo5Iu3yCSxl57q0sM0R6iSekqm7dbH8Ym0mXsUcScjvUHtKZNjytixkfXj&#10;dIWRuLRj1O9/wOYXAAAA//8DAFBLAwQUAAYACAAAACEAgku6/uAAAAAKAQAADwAAAGRycy9kb3du&#10;cmV2LnhtbEyPzU7DMBCE70i8g7VI3KjdEFAb4lSABAcOrRoQvTqx8yPsdRQ7aXh7lhOcRqMZzX6b&#10;7xZn2WzG0HuUsF4JYAZrr3tsJXy8v9xsgIWoUCvr0Uj4NgF2xeVFrjLtz3g0cxlbRiMYMiWhi3HI&#10;OA91Z5wKKz8YpKzxo1OR7NhyPaozjTvLEyHuuVM90oVODea5M/VXOTkJr0+82h/LQ9WcGju/2U83&#10;7Q9Oyuur5fEBWDRL/CvDLz6hQ0FMlZ9QB2bJb1JCjxJuBSkVtus0BVZJSO4SAbzI+f8Xih8AAAD/&#10;/wMAUEsBAi0AFAAGAAgAAAAhALaDOJL+AAAA4QEAABMAAAAAAAAAAAAAAAAAAAAAAFtDb250ZW50&#10;X1R5cGVzXS54bWxQSwECLQAUAAYACAAAACEAOP0h/9YAAACUAQAACwAAAAAAAAAAAAAAAAAvAQAA&#10;X3JlbHMvLnJlbHNQSwECLQAUAAYACAAAACEAbyv8qy0CAABLBAAADgAAAAAAAAAAAAAAAAAuAgAA&#10;ZHJzL2Uyb0RvYy54bWxQSwECLQAUAAYACAAAACEAgku6/uAAAAAKAQAADwAAAAAAAAAAAAAAAACH&#10;BAAAZHJzL2Rvd25yZXYueG1sUEsFBgAAAAAEAAQA8wAAAJQFAAAAAA==&#10;" strokecolor="white [3212]">
                <v:textbox style="mso-fit-shape-to-text:t">
                  <w:txbxContent>
                    <w:p w14:paraId="19BA0773" w14:textId="14A9F4A4" w:rsidR="00F16779" w:rsidRPr="00001D51" w:rsidRDefault="00F16779" w:rsidP="00F16779">
                      <w:pPr>
                        <w:jc w:val="both"/>
                        <w:rPr>
                          <w:rFonts w:ascii="Calibri" w:hAnsi="Calibri" w:cs="Calibri"/>
                        </w:rPr>
                      </w:pPr>
                      <w:r w:rsidRPr="00001D51">
                        <w:rPr>
                          <w:rFonts w:ascii="Calibri" w:hAnsi="Calibri" w:cs="Calibri"/>
                          <w:b/>
                        </w:rPr>
                        <w:t>Instituto RIA</w:t>
                      </w:r>
                      <w:r w:rsidRPr="00001D51">
                        <w:rPr>
                          <w:rFonts w:ascii="Calibri" w:hAnsi="Calibri" w:cs="Calibri"/>
                        </w:rPr>
                        <w:t xml:space="preserve"> is a Mexican based organization that undertakes high quality research, highlighting and proposing innovations in order to advocate for public policies within a social justice framework. Human rights, access to justice, and peace building, stand at the center of our analysis, proposals and advocacy work, opening dialogue and debate , publishing evidence-based research, and catalysing innovative initiatives in Latin America to the international level.</w:t>
                      </w:r>
                    </w:p>
                  </w:txbxContent>
                </v:textbox>
                <w10:wrap type="square" anchorx="margin"/>
              </v:shape>
            </w:pict>
          </mc:Fallback>
        </mc:AlternateContent>
      </w:r>
      <w:r>
        <w:rPr>
          <w:rFonts w:ascii="Calibri" w:hAnsi="Calibri" w:cs="Calibri"/>
          <w:noProof/>
          <w:sz w:val="22"/>
          <w:szCs w:val="22"/>
          <w:lang w:val="en-GB" w:eastAsia="en-GB"/>
        </w:rPr>
        <w:drawing>
          <wp:anchor distT="0" distB="0" distL="114300" distR="114300" simplePos="0" relativeHeight="251664384" behindDoc="1" locked="0" layoutInCell="1" allowOverlap="1" wp14:anchorId="32871591" wp14:editId="10BA3BA4">
            <wp:simplePos x="0" y="0"/>
            <wp:positionH relativeFrom="margin">
              <wp:align>left</wp:align>
            </wp:positionH>
            <wp:positionV relativeFrom="paragraph">
              <wp:posOffset>389255</wp:posOffset>
            </wp:positionV>
            <wp:extent cx="944880" cy="633654"/>
            <wp:effectExtent l="0" t="0" r="7620" b="0"/>
            <wp:wrapTight wrapText="bothSides">
              <wp:wrapPolygon edited="0">
                <wp:start x="0" y="0"/>
                <wp:lineTo x="0" y="20798"/>
                <wp:lineTo x="21339" y="20798"/>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DC9BB1.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880" cy="633654"/>
                    </a:xfrm>
                    <a:prstGeom prst="rect">
                      <a:avLst/>
                    </a:prstGeom>
                  </pic:spPr>
                </pic:pic>
              </a:graphicData>
            </a:graphic>
          </wp:anchor>
        </w:drawing>
      </w:r>
    </w:p>
    <w:p w14:paraId="3365CD2D" w14:textId="08BF899A" w:rsidR="00EA1928" w:rsidRPr="00EA1928" w:rsidRDefault="00EA1928" w:rsidP="00EA1928">
      <w:pPr>
        <w:tabs>
          <w:tab w:val="left" w:pos="1656"/>
        </w:tabs>
        <w:rPr>
          <w:sz w:val="24"/>
          <w:szCs w:val="24"/>
          <w:lang w:val="pl-PL"/>
        </w:rPr>
      </w:pPr>
    </w:p>
    <w:p w14:paraId="3D5EEC3A" w14:textId="77777777" w:rsidR="004E23B3" w:rsidRDefault="004E23B3" w:rsidP="00EA1928">
      <w:pPr>
        <w:rPr>
          <w:b/>
          <w:sz w:val="24"/>
          <w:szCs w:val="24"/>
        </w:rPr>
      </w:pPr>
    </w:p>
    <w:p w14:paraId="65F9B1F2" w14:textId="77777777" w:rsidR="004E23B3" w:rsidRDefault="004E23B3" w:rsidP="00EA1928">
      <w:pPr>
        <w:rPr>
          <w:b/>
          <w:sz w:val="24"/>
          <w:szCs w:val="24"/>
        </w:rPr>
      </w:pPr>
    </w:p>
    <w:p w14:paraId="27B55539" w14:textId="552BBC05" w:rsidR="00292F1F" w:rsidRPr="004E23B3" w:rsidRDefault="004E23B3" w:rsidP="00EA1928">
      <w:pPr>
        <w:rPr>
          <w:i/>
          <w:sz w:val="24"/>
          <w:szCs w:val="24"/>
        </w:rPr>
      </w:pPr>
      <w:r w:rsidRPr="004E23B3">
        <w:rPr>
          <w:i/>
          <w:sz w:val="24"/>
          <w:szCs w:val="24"/>
        </w:rPr>
        <w:t>Wordcount: 1998</w:t>
      </w:r>
      <w:r w:rsidR="00292F1F" w:rsidRPr="004E23B3">
        <w:rPr>
          <w:i/>
          <w:sz w:val="24"/>
          <w:szCs w:val="24"/>
        </w:rPr>
        <w:br w:type="page"/>
      </w:r>
    </w:p>
    <w:p w14:paraId="35AF718F" w14:textId="0A8E5DB5" w:rsidR="00CE08AF" w:rsidRPr="0018483F" w:rsidRDefault="00E96FA6" w:rsidP="00FD215A">
      <w:pPr>
        <w:rPr>
          <w:b/>
          <w:sz w:val="24"/>
        </w:rPr>
      </w:pPr>
      <w:r w:rsidRPr="0018483F">
        <w:rPr>
          <w:b/>
          <w:sz w:val="24"/>
        </w:rPr>
        <w:t>Introduction</w:t>
      </w:r>
    </w:p>
    <w:p w14:paraId="781AB7CB" w14:textId="3A1D5683" w:rsidR="00E96FA6" w:rsidRDefault="00F64DF3" w:rsidP="00566B5C">
      <w:pPr>
        <w:jc w:val="both"/>
      </w:pPr>
      <w:r>
        <w:t>HRI</w:t>
      </w:r>
      <w:r w:rsidR="00BF2AE7">
        <w:t>, IDPC</w:t>
      </w:r>
      <w:r w:rsidR="0018483F">
        <w:t xml:space="preserve">, </w:t>
      </w:r>
      <w:r>
        <w:t>CDP</w:t>
      </w:r>
      <w:r w:rsidR="00EC79BE">
        <w:t>E</w:t>
      </w:r>
      <w:r w:rsidR="0018483F">
        <w:t xml:space="preserve"> and Instituto Ria </w:t>
      </w:r>
      <w:r w:rsidR="0008221B">
        <w:t>welcome</w:t>
      </w:r>
      <w:r w:rsidR="00E96FA6">
        <w:t xml:space="preserve"> the opportunity to </w:t>
      </w:r>
      <w:r w:rsidR="00EA1928">
        <w:t>contribute</w:t>
      </w:r>
      <w:r w:rsidR="0018483F">
        <w:t xml:space="preserve"> on</w:t>
      </w:r>
      <w:r w:rsidR="00E96FA6">
        <w:t xml:space="preserve"> </w:t>
      </w:r>
      <w:r w:rsidR="0000632D">
        <w:t>“</w:t>
      </w:r>
      <w:r w:rsidR="00E96FA6">
        <w:t xml:space="preserve">actions taken and </w:t>
      </w:r>
      <w:r w:rsidR="0000632D">
        <w:t xml:space="preserve">to </w:t>
      </w:r>
      <w:r w:rsidR="00E96FA6">
        <w:t>be intensified or initiated to meet the innovative targets on societal enablers</w:t>
      </w:r>
      <w:r w:rsidR="00566B5C">
        <w:t xml:space="preserve"> (</w:t>
      </w:r>
      <w:r w:rsidR="00566B5C">
        <w:rPr>
          <w:i/>
        </w:rPr>
        <w:t>hereinafter: societal enablers targets</w:t>
      </w:r>
      <w:r w:rsidR="00566B5C">
        <w:t>)</w:t>
      </w:r>
      <w:r w:rsidR="00EC79BE">
        <w:t xml:space="preserve"> […] </w:t>
      </w:r>
      <w:r w:rsidR="00E96FA6">
        <w:t>and to address the remaining gaps</w:t>
      </w:r>
      <w:r w:rsidR="0000632D">
        <w:t>”</w:t>
      </w:r>
      <w:r w:rsidR="00E96FA6">
        <w:t xml:space="preserve">; ahead of the High Commissioner’s report on human rights in the context of HIV/AIDS </w:t>
      </w:r>
      <w:r w:rsidR="00292F1F">
        <w:t>to</w:t>
      </w:r>
      <w:r w:rsidR="00E96FA6">
        <w:t xml:space="preserve"> be presented at the Human Rights Council in its 50</w:t>
      </w:r>
      <w:r w:rsidR="00E96FA6" w:rsidRPr="00E96FA6">
        <w:rPr>
          <w:vertAlign w:val="superscript"/>
        </w:rPr>
        <w:t>th</w:t>
      </w:r>
      <w:r w:rsidR="00E96FA6">
        <w:t xml:space="preserve"> session. </w:t>
      </w:r>
    </w:p>
    <w:p w14:paraId="5AFBF24A" w14:textId="18DC468D" w:rsidR="00BF2AE7" w:rsidRDefault="00E96FA6" w:rsidP="001C6E0B">
      <w:pPr>
        <w:pStyle w:val="NormalWeb"/>
        <w:spacing w:before="0" w:beforeAutospacing="0" w:after="0" w:afterAutospacing="0"/>
        <w:jc w:val="both"/>
        <w:rPr>
          <w:rFonts w:asciiTheme="majorHAnsi" w:hAnsiTheme="majorHAnsi" w:cstheme="majorHAnsi"/>
          <w:sz w:val="22"/>
          <w:szCs w:val="22"/>
          <w:lang w:val="en-GB"/>
        </w:rPr>
      </w:pPr>
      <w:r w:rsidRPr="0000632D">
        <w:rPr>
          <w:rFonts w:asciiTheme="minorHAnsi" w:hAnsiTheme="minorHAnsi" w:cstheme="minorHAnsi"/>
          <w:sz w:val="22"/>
          <w:szCs w:val="22"/>
        </w:rPr>
        <w:t>This submission focus</w:t>
      </w:r>
      <w:r w:rsidR="00292F1F">
        <w:rPr>
          <w:rFonts w:asciiTheme="minorHAnsi" w:hAnsiTheme="minorHAnsi" w:cstheme="minorHAnsi"/>
          <w:sz w:val="22"/>
          <w:szCs w:val="22"/>
        </w:rPr>
        <w:t>es</w:t>
      </w:r>
      <w:r w:rsidRPr="0000632D">
        <w:rPr>
          <w:rFonts w:asciiTheme="minorHAnsi" w:hAnsiTheme="minorHAnsi" w:cstheme="minorHAnsi"/>
          <w:sz w:val="22"/>
          <w:szCs w:val="22"/>
        </w:rPr>
        <w:t xml:space="preserve"> on </w:t>
      </w:r>
      <w:r w:rsidRPr="0000632D">
        <w:rPr>
          <w:rFonts w:asciiTheme="minorHAnsi" w:hAnsiTheme="minorHAnsi" w:cstheme="minorHAnsi"/>
          <w:b/>
          <w:sz w:val="22"/>
          <w:szCs w:val="22"/>
        </w:rPr>
        <w:t xml:space="preserve">drug control policies </w:t>
      </w:r>
      <w:r w:rsidRPr="001C0E18">
        <w:rPr>
          <w:rFonts w:ascii="Calibri" w:hAnsi="Calibri" w:cs="Calibri"/>
          <w:b/>
          <w:sz w:val="22"/>
          <w:szCs w:val="22"/>
        </w:rPr>
        <w:t xml:space="preserve">and people who use drugs. </w:t>
      </w:r>
      <w:r w:rsidR="001C6E0B" w:rsidRPr="001C0E18">
        <w:rPr>
          <w:rFonts w:ascii="Calibri" w:hAnsi="Calibri" w:cs="Calibri"/>
          <w:sz w:val="22"/>
          <w:szCs w:val="22"/>
          <w:lang w:val="en-GB"/>
        </w:rPr>
        <w:t>In 2018</w:t>
      </w:r>
      <w:r w:rsidR="001C0E18">
        <w:rPr>
          <w:rFonts w:ascii="Calibri" w:hAnsi="Calibri" w:cs="Calibri"/>
          <w:sz w:val="22"/>
          <w:szCs w:val="22"/>
          <w:lang w:val="en-GB"/>
        </w:rPr>
        <w:t>,</w:t>
      </w:r>
      <w:r w:rsidR="001C6E0B" w:rsidRPr="001C0E18">
        <w:rPr>
          <w:rFonts w:ascii="Calibri" w:hAnsi="Calibri" w:cs="Calibri"/>
          <w:sz w:val="22"/>
          <w:szCs w:val="22"/>
          <w:lang w:val="en-GB"/>
        </w:rPr>
        <w:t xml:space="preserve"> around 269 million people used drugs and 11 million injected drugs</w:t>
      </w:r>
      <w:r w:rsidR="0000632D" w:rsidRPr="001C0E18">
        <w:rPr>
          <w:rFonts w:ascii="Calibri" w:hAnsi="Calibri" w:cs="Calibri"/>
          <w:sz w:val="22"/>
          <w:szCs w:val="22"/>
          <w:lang w:val="en-GB"/>
        </w:rPr>
        <w:t>,</w:t>
      </w:r>
      <w:r w:rsidR="00BF2AE7" w:rsidRPr="001C0E18">
        <w:rPr>
          <w:rStyle w:val="EndnoteReference"/>
          <w:rFonts w:ascii="Calibri" w:hAnsi="Calibri" w:cs="Calibri"/>
          <w:sz w:val="22"/>
          <w:szCs w:val="22"/>
          <w:lang w:val="en-GB"/>
        </w:rPr>
        <w:endnoteReference w:id="1"/>
      </w:r>
      <w:r w:rsidR="00BF2AE7" w:rsidRPr="001C0E18">
        <w:rPr>
          <w:rFonts w:ascii="Calibri" w:hAnsi="Calibri" w:cs="Calibri"/>
          <w:sz w:val="22"/>
          <w:szCs w:val="22"/>
          <w:lang w:val="en-GB"/>
        </w:rPr>
        <w:t xml:space="preserve"> of </w:t>
      </w:r>
      <w:r w:rsidR="00BF2AE7" w:rsidRPr="001C0E18">
        <w:rPr>
          <w:rFonts w:ascii="Calibri" w:hAnsi="Calibri" w:cs="Calibri"/>
          <w:sz w:val="22"/>
          <w:szCs w:val="22"/>
          <w:lang w:val="en-GB"/>
        </w:rPr>
        <w:t>wh</w:t>
      </w:r>
      <w:r w:rsidR="00BF2AE7">
        <w:rPr>
          <w:rFonts w:ascii="Calibri" w:hAnsi="Calibri" w:cs="Calibri"/>
          <w:sz w:val="22"/>
          <w:szCs w:val="22"/>
          <w:lang w:val="en-GB"/>
        </w:rPr>
        <w:t>om</w:t>
      </w:r>
      <w:r w:rsidR="00BF2AE7" w:rsidRPr="001C0E18">
        <w:rPr>
          <w:rFonts w:ascii="Calibri" w:hAnsi="Calibri" w:cs="Calibri"/>
          <w:sz w:val="22"/>
          <w:szCs w:val="22"/>
          <w:lang w:val="en-GB"/>
        </w:rPr>
        <w:t xml:space="preserve"> 1.4 million </w:t>
      </w:r>
      <w:r w:rsidR="00BF2AE7">
        <w:rPr>
          <w:rFonts w:ascii="Calibri" w:hAnsi="Calibri" w:cs="Calibri"/>
          <w:sz w:val="22"/>
          <w:szCs w:val="22"/>
          <w:lang w:val="en-GB"/>
        </w:rPr>
        <w:t xml:space="preserve">living </w:t>
      </w:r>
      <w:r w:rsidR="00BF2AE7" w:rsidRPr="001C0E18">
        <w:rPr>
          <w:rFonts w:ascii="Calibri" w:hAnsi="Calibri" w:cs="Calibri"/>
          <w:sz w:val="22"/>
          <w:szCs w:val="22"/>
          <w:lang w:val="en-GB"/>
        </w:rPr>
        <w:t xml:space="preserve">with </w:t>
      </w:r>
      <w:r w:rsidR="00BF2AE7" w:rsidRPr="001C0E18">
        <w:rPr>
          <w:rFonts w:ascii="Calibri" w:hAnsi="Calibri" w:cs="Calibri"/>
          <w:sz w:val="22"/>
          <w:szCs w:val="22"/>
          <w:lang w:val="en-GB"/>
        </w:rPr>
        <w:t>HIV.</w:t>
      </w:r>
      <w:r w:rsidR="00BF2AE7" w:rsidRPr="001C0E18">
        <w:rPr>
          <w:rStyle w:val="EndnoteReference"/>
          <w:rFonts w:ascii="Calibri" w:hAnsi="Calibri" w:cs="Calibri"/>
          <w:sz w:val="22"/>
          <w:szCs w:val="22"/>
          <w:lang w:val="en-GB"/>
        </w:rPr>
        <w:endnoteReference w:id="2"/>
      </w:r>
      <w:r w:rsidR="00BF2AE7" w:rsidRPr="001C0E18">
        <w:rPr>
          <w:rFonts w:ascii="Calibri" w:hAnsi="Calibri" w:cs="Calibri"/>
          <w:sz w:val="22"/>
          <w:szCs w:val="22"/>
          <w:lang w:val="en-GB"/>
        </w:rPr>
        <w:t xml:space="preserve"> The risk of acquiring HIV for people who inject drugs is 35 times higher than for people who do not.</w:t>
      </w:r>
      <w:r w:rsidR="00BF2AE7" w:rsidRPr="001C0E18">
        <w:rPr>
          <w:rStyle w:val="EndnoteReference"/>
          <w:rFonts w:ascii="Calibri" w:hAnsi="Calibri" w:cs="Calibri"/>
          <w:sz w:val="22"/>
          <w:szCs w:val="22"/>
          <w:lang w:val="en-GB"/>
        </w:rPr>
        <w:endnoteReference w:id="3"/>
      </w:r>
      <w:r w:rsidR="00BF2AE7" w:rsidRPr="001C0E18">
        <w:rPr>
          <w:rFonts w:ascii="Calibri" w:hAnsi="Calibri" w:cs="Calibri"/>
          <w:sz w:val="22"/>
          <w:szCs w:val="22"/>
          <w:lang w:val="en-GB"/>
        </w:rPr>
        <w:t xml:space="preserve"> While incidence of HIV infection globally declined by 23% between 2010 and 2019, HIV infections among people who injec</w:t>
      </w:r>
      <w:r w:rsidR="00EC79BE">
        <w:rPr>
          <w:rFonts w:ascii="Calibri" w:hAnsi="Calibri" w:cs="Calibri"/>
          <w:sz w:val="22"/>
          <w:szCs w:val="22"/>
          <w:lang w:val="en-GB"/>
        </w:rPr>
        <w:t xml:space="preserve">t drugs increased in </w:t>
      </w:r>
      <w:r w:rsidR="00BF2AE7" w:rsidRPr="001C0E18">
        <w:rPr>
          <w:rFonts w:ascii="Calibri" w:hAnsi="Calibri" w:cs="Calibri"/>
          <w:sz w:val="22"/>
          <w:szCs w:val="22"/>
          <w:lang w:val="en-GB"/>
        </w:rPr>
        <w:t>Eastern Europe and Central Asia, Asia</w:t>
      </w:r>
      <w:r w:rsidR="00BF2AE7">
        <w:rPr>
          <w:rFonts w:ascii="Calibri" w:hAnsi="Calibri" w:cs="Calibri"/>
          <w:sz w:val="22"/>
          <w:szCs w:val="22"/>
          <w:lang w:val="en-GB"/>
        </w:rPr>
        <w:t>,</w:t>
      </w:r>
      <w:r w:rsidR="00BF2AE7" w:rsidRPr="001C0E18">
        <w:rPr>
          <w:rFonts w:ascii="Calibri" w:hAnsi="Calibri" w:cs="Calibri"/>
          <w:sz w:val="22"/>
          <w:szCs w:val="22"/>
          <w:lang w:val="en-GB"/>
        </w:rPr>
        <w:t xml:space="preserve"> Middle East and North Africa.</w:t>
      </w:r>
      <w:r w:rsidR="00BF2AE7" w:rsidRPr="001C0E18">
        <w:rPr>
          <w:rStyle w:val="EndnoteReference"/>
          <w:rFonts w:ascii="Calibri" w:hAnsi="Calibri" w:cs="Calibri"/>
          <w:sz w:val="22"/>
          <w:szCs w:val="22"/>
          <w:lang w:val="en-GB"/>
        </w:rPr>
        <w:endnoteReference w:id="4"/>
      </w:r>
      <w:r w:rsidR="00BF2AE7" w:rsidRPr="001C0E18">
        <w:rPr>
          <w:rFonts w:ascii="Calibri" w:hAnsi="Calibri" w:cs="Calibri"/>
          <w:sz w:val="22"/>
          <w:szCs w:val="22"/>
          <w:lang w:val="en-GB"/>
        </w:rPr>
        <w:t xml:space="preserve"> In 2019, only 62% of people who inject drugs were aware of their HIV status;</w:t>
      </w:r>
      <w:r w:rsidR="00BF2AE7" w:rsidRPr="001C0E18">
        <w:rPr>
          <w:rStyle w:val="EndnoteReference"/>
          <w:rFonts w:ascii="Calibri" w:hAnsi="Calibri" w:cs="Calibri"/>
          <w:sz w:val="22"/>
          <w:szCs w:val="22"/>
          <w:lang w:val="en-GB"/>
        </w:rPr>
        <w:endnoteReference w:id="5"/>
      </w:r>
      <w:r w:rsidR="00BF2AE7" w:rsidRPr="001C0E18">
        <w:rPr>
          <w:rFonts w:ascii="Calibri" w:hAnsi="Calibri" w:cs="Calibri"/>
          <w:sz w:val="22"/>
          <w:szCs w:val="22"/>
          <w:lang w:val="en-GB"/>
        </w:rPr>
        <w:t xml:space="preserve"> well below the 95-95-95  target.</w:t>
      </w:r>
      <w:r w:rsidR="00BF2AE7" w:rsidRPr="00B80EA6">
        <w:rPr>
          <w:rFonts w:asciiTheme="majorHAnsi" w:hAnsiTheme="majorHAnsi" w:cstheme="majorHAnsi"/>
          <w:sz w:val="22"/>
          <w:szCs w:val="22"/>
          <w:lang w:val="en-GB"/>
        </w:rPr>
        <w:t xml:space="preserve"> </w:t>
      </w:r>
    </w:p>
    <w:p w14:paraId="75ED6022" w14:textId="77777777" w:rsidR="0018483F" w:rsidRDefault="0018483F" w:rsidP="001C6E0B">
      <w:pPr>
        <w:pStyle w:val="NormalWeb"/>
        <w:spacing w:before="0" w:beforeAutospacing="0" w:after="0" w:afterAutospacing="0"/>
        <w:jc w:val="both"/>
        <w:rPr>
          <w:rFonts w:asciiTheme="majorHAnsi" w:hAnsiTheme="majorHAnsi" w:cstheme="majorHAnsi"/>
          <w:sz w:val="22"/>
          <w:szCs w:val="22"/>
          <w:lang w:val="en-GB"/>
        </w:rPr>
      </w:pPr>
    </w:p>
    <w:p w14:paraId="0CE288CA" w14:textId="5E0789B4" w:rsidR="00BF2AE7" w:rsidRDefault="00BF2AE7" w:rsidP="0018483F">
      <w:pPr>
        <w:jc w:val="both"/>
      </w:pPr>
      <w:r>
        <w:t>People who use drugs are criminalised and among the mos</w:t>
      </w:r>
      <w:r w:rsidR="00292F1F">
        <w:t>t marginalised, stigmatised,</w:t>
      </w:r>
      <w:r>
        <w:t xml:space="preserve"> underserved groups in many countries, and experience a wide range of human rights vi</w:t>
      </w:r>
      <w:r w:rsidR="00F64DF3">
        <w:t xml:space="preserve">olations and abuses, often as result </w:t>
      </w:r>
      <w:r>
        <w:t xml:space="preserve">of </w:t>
      </w:r>
      <w:r>
        <w:t xml:space="preserve">punitive </w:t>
      </w:r>
      <w:r>
        <w:t xml:space="preserve">laws and policies; which put them </w:t>
      </w:r>
      <w:r w:rsidR="00292F1F">
        <w:t>at heightened</w:t>
      </w:r>
      <w:r>
        <w:t xml:space="preserve"> risk of HIV transmission.</w:t>
      </w:r>
      <w:r w:rsidR="00292F1F">
        <w:t xml:space="preserve"> It will thus </w:t>
      </w:r>
      <w:r>
        <w:t xml:space="preserve">be </w:t>
      </w:r>
      <w:r w:rsidR="00292F1F">
        <w:t>im</w:t>
      </w:r>
      <w:r>
        <w:t>possible to achieve the societal enablers target without comprehensive drug</w:t>
      </w:r>
      <w:r w:rsidR="00F64DF3">
        <w:t xml:space="preserve"> policy reform and</w:t>
      </w:r>
      <w:r w:rsidR="00292F1F">
        <w:t xml:space="preserve"> </w:t>
      </w:r>
      <w:r>
        <w:t xml:space="preserve">meaningful participation of people who use drugs. The following paragraphs provide information on </w:t>
      </w:r>
      <w:r w:rsidRPr="0000632D">
        <w:t>key</w:t>
      </w:r>
      <w:r>
        <w:t xml:space="preserve"> drug policy-related barriers to achieving the societal enablers targets.</w:t>
      </w:r>
      <w:r>
        <w:rPr>
          <w:rStyle w:val="EndnoteReference"/>
        </w:rPr>
        <w:endnoteReference w:id="6"/>
      </w:r>
    </w:p>
    <w:p w14:paraId="50A311A7" w14:textId="77777777" w:rsidR="00BF2AE7" w:rsidRPr="00292F1F" w:rsidRDefault="00BF2AE7" w:rsidP="00566B5C">
      <w:pPr>
        <w:pStyle w:val="ListParagraph"/>
        <w:rPr>
          <w:b/>
          <w:sz w:val="10"/>
        </w:rPr>
      </w:pPr>
    </w:p>
    <w:p w14:paraId="10A64D4E" w14:textId="080A1DFC" w:rsidR="00BF2AE7" w:rsidRPr="004E23B3" w:rsidRDefault="004E23B3" w:rsidP="004E23B3">
      <w:pPr>
        <w:rPr>
          <w:b/>
          <w:sz w:val="24"/>
        </w:rPr>
      </w:pPr>
      <w:r>
        <w:rPr>
          <w:b/>
          <w:sz w:val="24"/>
        </w:rPr>
        <w:t>1_</w:t>
      </w:r>
      <w:r w:rsidR="00F64DF3" w:rsidRPr="004E23B3">
        <w:rPr>
          <w:b/>
          <w:sz w:val="24"/>
        </w:rPr>
        <w:t>Punitive drug policies</w:t>
      </w:r>
    </w:p>
    <w:p w14:paraId="1C2C44C7" w14:textId="6F550720" w:rsidR="00BF2AE7" w:rsidRDefault="00BF2AE7" w:rsidP="0008221B">
      <w:pPr>
        <w:jc w:val="both"/>
      </w:pPr>
      <w:r>
        <w:t>People who use drugs are criminalised and marginalised in most countries, resulting in significant barriers to accessing health</w:t>
      </w:r>
      <w:r w:rsidR="00F64DF3">
        <w:t xml:space="preserve"> (including HIV)</w:t>
      </w:r>
      <w:r>
        <w:t xml:space="preserve"> services, as well as to the enjoyment of fundamental righ</w:t>
      </w:r>
      <w:r w:rsidRPr="001C0E18">
        <w:rPr>
          <w:rFonts w:ascii="Calibri" w:hAnsi="Calibri" w:cs="Calibri"/>
        </w:rPr>
        <w:t>ts. Notably, c</w:t>
      </w:r>
      <w:r w:rsidRPr="001C0E18">
        <w:rPr>
          <w:rFonts w:ascii="Calibri" w:hAnsi="Calibri" w:cs="Calibri"/>
          <w:shd w:val="clear" w:color="auto" w:fill="FFFFFF"/>
        </w:rPr>
        <w:t>riminalisation of drug use</w:t>
      </w:r>
      <w:r>
        <w:rPr>
          <w:rFonts w:ascii="Calibri" w:hAnsi="Calibri" w:cs="Calibri"/>
          <w:shd w:val="clear" w:color="auto" w:fill="FFFFFF"/>
        </w:rPr>
        <w:t xml:space="preserve"> and related activities</w:t>
      </w:r>
      <w:r w:rsidRPr="001C0E18">
        <w:rPr>
          <w:rFonts w:ascii="Calibri" w:hAnsi="Calibri" w:cs="Calibri"/>
          <w:shd w:val="clear" w:color="auto" w:fill="FFFFFF"/>
        </w:rPr>
        <w:t xml:space="preserve"> is proven to have a negative effect on HIV prevention and treatment.</w:t>
      </w:r>
      <w:r w:rsidRPr="001C0E18">
        <w:rPr>
          <w:rStyle w:val="EndnoteReference"/>
          <w:rFonts w:ascii="Calibri" w:hAnsi="Calibri" w:cs="Calibri"/>
        </w:rPr>
        <w:endnoteReference w:id="7"/>
      </w:r>
      <w:r w:rsidRPr="001C0E18">
        <w:rPr>
          <w:rFonts w:ascii="Calibri" w:hAnsi="Calibri" w:cs="Calibri"/>
        </w:rPr>
        <w:t xml:space="preserve"> </w:t>
      </w:r>
      <w:r w:rsidR="0018483F">
        <w:t>For a comprehensive analysis of this issue and related recommendations</w:t>
      </w:r>
      <w:r>
        <w:t xml:space="preserve">, we </w:t>
      </w:r>
      <w:r w:rsidR="00292F1F">
        <w:t>r</w:t>
      </w:r>
      <w:r>
        <w:t xml:space="preserve">efer to and endorse </w:t>
      </w:r>
      <w:r w:rsidR="00F64DF3">
        <w:t>IDPC’s</w:t>
      </w:r>
      <w:r>
        <w:t xml:space="preserve"> s</w:t>
      </w:r>
      <w:r w:rsidR="00F64DF3">
        <w:t xml:space="preserve">ubmission </w:t>
      </w:r>
      <w:r>
        <w:t>“The decriminalisation of people who use drugs: Evidence for a critical societal enabler to end AIDS”.</w:t>
      </w:r>
    </w:p>
    <w:p w14:paraId="61B236C2" w14:textId="77777777" w:rsidR="0018483F" w:rsidRPr="00292F1F" w:rsidRDefault="0018483F" w:rsidP="0008221B">
      <w:pPr>
        <w:jc w:val="both"/>
        <w:rPr>
          <w:sz w:val="10"/>
        </w:rPr>
      </w:pPr>
    </w:p>
    <w:p w14:paraId="6F3FA690" w14:textId="7445F174" w:rsidR="00BF2AE7" w:rsidRPr="004E23B3" w:rsidRDefault="004E23B3" w:rsidP="004E23B3">
      <w:pPr>
        <w:rPr>
          <w:b/>
          <w:sz w:val="24"/>
        </w:rPr>
      </w:pPr>
      <w:r>
        <w:rPr>
          <w:b/>
          <w:sz w:val="24"/>
        </w:rPr>
        <w:t>2_</w:t>
      </w:r>
      <w:r w:rsidR="00BF2AE7" w:rsidRPr="004E23B3">
        <w:rPr>
          <w:b/>
          <w:sz w:val="24"/>
        </w:rPr>
        <w:t>Laws and policies restricting the availability and accessibility of harm reduction and other health services</w:t>
      </w:r>
    </w:p>
    <w:p w14:paraId="3C5CCF0E" w14:textId="21AC08BC" w:rsidR="00BF2AE7" w:rsidRDefault="00BF2AE7" w:rsidP="00597A41">
      <w:pPr>
        <w:jc w:val="both"/>
      </w:pPr>
      <w:r>
        <w:t xml:space="preserve">A key gap towards </w:t>
      </w:r>
      <w:r w:rsidR="00F64DF3">
        <w:t>achieving</w:t>
      </w:r>
      <w:r>
        <w:t xml:space="preserve"> the societal enablers targets is the lack of adequate harm</w:t>
      </w:r>
      <w:r w:rsidR="004E23B3">
        <w:t xml:space="preserve"> reduction policies, and/or </w:t>
      </w:r>
      <w:r>
        <w:t xml:space="preserve">policies actively restricting the provision of essential harm reduction services at national level. </w:t>
      </w:r>
    </w:p>
    <w:p w14:paraId="1D065DD8" w14:textId="47786221" w:rsidR="00BF2AE7" w:rsidRDefault="00BF2AE7" w:rsidP="00886219">
      <w:pPr>
        <w:jc w:val="both"/>
      </w:pPr>
      <w:r>
        <w:t>Harm reduction is endorsed by the 2021 Political Declaration on HIV and AIDS</w:t>
      </w:r>
      <w:r w:rsidR="00F64DF3">
        <w:t xml:space="preserve">, </w:t>
      </w:r>
      <w:r>
        <w:t>actors including O</w:t>
      </w:r>
      <w:r w:rsidR="0018483F">
        <w:t>HCHR, UNODC, UNAIDS,</w:t>
      </w:r>
      <w:r>
        <w:t xml:space="preserve"> WHO</w:t>
      </w:r>
      <w:r w:rsidR="00F64DF3">
        <w:t>, and</w:t>
      </w:r>
      <w:r w:rsidR="0018483F">
        <w:t xml:space="preserve"> </w:t>
      </w:r>
      <w:r>
        <w:t xml:space="preserve">the UN Common Position on drug policy; recognised as highly effective, cost-effective, and a key component of the right to health for people who use drugs. </w:t>
      </w:r>
      <w:r w:rsidR="00F64DF3">
        <w:rPr>
          <w:rFonts w:ascii="Calibri" w:hAnsi="Calibri" w:cs="Calibri"/>
        </w:rPr>
        <w:t>Nevertheless</w:t>
      </w:r>
      <w:r w:rsidRPr="0000632D">
        <w:rPr>
          <w:rFonts w:ascii="Calibri" w:hAnsi="Calibri" w:cs="Calibri"/>
        </w:rPr>
        <w:t xml:space="preserve">, the provision of harm reduction interventions is critically low, with </w:t>
      </w:r>
      <w:r w:rsidRPr="0018483F">
        <w:rPr>
          <w:rFonts w:ascii="Calibri" w:hAnsi="Calibri" w:cs="Calibri"/>
          <w:b/>
        </w:rPr>
        <w:t>only one percent of people who inject drugs living in countries with high coverage</w:t>
      </w:r>
      <w:r w:rsidRPr="0000632D">
        <w:rPr>
          <w:rFonts w:ascii="Calibri" w:hAnsi="Calibri" w:cs="Calibri"/>
        </w:rPr>
        <w:t>.</w:t>
      </w:r>
      <w:r w:rsidRPr="0000632D">
        <w:rPr>
          <w:rStyle w:val="EndnoteReference"/>
          <w:rFonts w:ascii="Calibri" w:hAnsi="Calibri" w:cs="Calibri"/>
        </w:rPr>
        <w:endnoteReference w:id="8"/>
      </w:r>
      <w:r>
        <w:rPr>
          <w:rFonts w:asciiTheme="majorHAnsi" w:hAnsiTheme="majorHAnsi" w:cstheme="majorHAnsi"/>
        </w:rPr>
        <w:t xml:space="preserve"> </w:t>
      </w:r>
      <w:r w:rsidR="00EC79BE">
        <w:t>In</w:t>
      </w:r>
      <w:r>
        <w:t xml:space="preserve"> 2021, only 89 countries had national policy documents which included explicitly supportive references to harm reduction. In remaining countries, laws and policies are either si</w:t>
      </w:r>
      <w:r w:rsidR="00EC79BE">
        <w:t xml:space="preserve">lent – leading to </w:t>
      </w:r>
      <w:r>
        <w:t>uncertain</w:t>
      </w:r>
      <w:r w:rsidR="00EC79BE">
        <w:t>ty – or hindering</w:t>
      </w:r>
      <w:r w:rsidR="00F64DF3">
        <w:softHyphen/>
      </w:r>
      <w:r w:rsidR="00F64DF3">
        <w:softHyphen/>
      </w:r>
      <w:r>
        <w:t xml:space="preserve"> </w:t>
      </w:r>
      <w:r w:rsidR="00EC79BE">
        <w:rPr>
          <w:rFonts w:ascii="Calibri" w:hAnsi="Calibri" w:cs="Calibri"/>
        </w:rPr>
        <w:t>service provision</w:t>
      </w:r>
      <w:r w:rsidRPr="00886219">
        <w:rPr>
          <w:rFonts w:ascii="Calibri" w:hAnsi="Calibri" w:cs="Calibri"/>
        </w:rPr>
        <w:t>.</w:t>
      </w:r>
      <w:r>
        <w:t xml:space="preserve"> </w:t>
      </w:r>
      <w:r w:rsidRPr="00886219">
        <w:rPr>
          <w:rFonts w:ascii="Calibri" w:hAnsi="Calibri" w:cs="Calibri"/>
        </w:rPr>
        <w:t>Access to harm reduction and other health service</w:t>
      </w:r>
      <w:r w:rsidR="00F64DF3">
        <w:rPr>
          <w:rFonts w:ascii="Calibri" w:hAnsi="Calibri" w:cs="Calibri"/>
        </w:rPr>
        <w:t>s is also impinged</w:t>
      </w:r>
      <w:r w:rsidR="00EC79BE">
        <w:rPr>
          <w:rFonts w:ascii="Calibri" w:hAnsi="Calibri" w:cs="Calibri"/>
        </w:rPr>
        <w:t xml:space="preserve"> by laws/</w:t>
      </w:r>
      <w:r w:rsidRPr="00886219">
        <w:rPr>
          <w:rFonts w:ascii="Calibri" w:hAnsi="Calibri" w:cs="Calibri"/>
        </w:rPr>
        <w:t>policies requiring identification do</w:t>
      </w:r>
      <w:r w:rsidR="00EC79BE">
        <w:rPr>
          <w:rFonts w:ascii="Calibri" w:hAnsi="Calibri" w:cs="Calibri"/>
        </w:rPr>
        <w:t xml:space="preserve">cuments to access </w:t>
      </w:r>
      <w:r w:rsidR="004E23B3">
        <w:rPr>
          <w:rFonts w:ascii="Calibri" w:hAnsi="Calibri" w:cs="Calibri"/>
        </w:rPr>
        <w:t xml:space="preserve">services: </w:t>
      </w:r>
      <w:r w:rsidRPr="00886219">
        <w:rPr>
          <w:rFonts w:ascii="Calibri" w:hAnsi="Calibri" w:cs="Calibri"/>
        </w:rPr>
        <w:t>in some regions many people who use drugs do not have such documents (in some ca</w:t>
      </w:r>
      <w:r w:rsidR="00EC79BE">
        <w:rPr>
          <w:rFonts w:ascii="Calibri" w:hAnsi="Calibri" w:cs="Calibri"/>
        </w:rPr>
        <w:t xml:space="preserve">ses because of homelessness </w:t>
      </w:r>
      <w:r w:rsidRPr="00886219">
        <w:rPr>
          <w:rFonts w:ascii="Calibri" w:hAnsi="Calibri" w:cs="Calibri"/>
        </w:rPr>
        <w:t>or poverty),</w:t>
      </w:r>
      <w:r w:rsidRPr="00886219">
        <w:rPr>
          <w:rStyle w:val="EndnoteReference"/>
          <w:rFonts w:ascii="Calibri" w:hAnsi="Calibri" w:cs="Calibri"/>
        </w:rPr>
        <w:endnoteReference w:id="9"/>
      </w:r>
      <w:r w:rsidRPr="00886219">
        <w:rPr>
          <w:rFonts w:ascii="Calibri" w:hAnsi="Calibri" w:cs="Calibri"/>
        </w:rPr>
        <w:t xml:space="preserve"> or are reluctant to show them because they fear negative legal consequences.</w:t>
      </w:r>
      <w:r w:rsidRPr="00886219">
        <w:rPr>
          <w:rStyle w:val="EndnoteReference"/>
          <w:rFonts w:ascii="Calibri" w:hAnsi="Calibri" w:cs="Calibri"/>
        </w:rPr>
        <w:endnoteReference w:id="10"/>
      </w:r>
      <w:r w:rsidRPr="00886219">
        <w:rPr>
          <w:rFonts w:ascii="Calibri" w:hAnsi="Calibri" w:cs="Calibri"/>
        </w:rPr>
        <w:t xml:space="preserve"> This is exacerbated in countries where </w:t>
      </w:r>
      <w:r w:rsidR="00EC79BE">
        <w:rPr>
          <w:rFonts w:ascii="Calibri" w:hAnsi="Calibri" w:cs="Calibri"/>
        </w:rPr>
        <w:t xml:space="preserve">laws require </w:t>
      </w:r>
      <w:r w:rsidRPr="00886219">
        <w:rPr>
          <w:rFonts w:ascii="Calibri" w:hAnsi="Calibri" w:cs="Calibri"/>
        </w:rPr>
        <w:t>registration of people who use drugs;</w:t>
      </w:r>
      <w:r w:rsidRPr="00886219">
        <w:rPr>
          <w:rStyle w:val="EndnoteReference"/>
          <w:rFonts w:ascii="Calibri" w:hAnsi="Calibri" w:cs="Calibri"/>
        </w:rPr>
        <w:endnoteReference w:id="11"/>
      </w:r>
      <w:r w:rsidRPr="00886219">
        <w:rPr>
          <w:rFonts w:ascii="Calibri" w:hAnsi="Calibri" w:cs="Calibri"/>
        </w:rPr>
        <w:t xml:space="preserve"> in those contexts, drug use registration can translate </w:t>
      </w:r>
      <w:r>
        <w:rPr>
          <w:rFonts w:ascii="Calibri" w:hAnsi="Calibri" w:cs="Calibri"/>
        </w:rPr>
        <w:t>into</w:t>
      </w:r>
      <w:r w:rsidRPr="00886219">
        <w:rPr>
          <w:rFonts w:ascii="Calibri" w:hAnsi="Calibri" w:cs="Calibri"/>
        </w:rPr>
        <w:t xml:space="preserve"> criminal sanctions, forced </w:t>
      </w:r>
      <w:r>
        <w:rPr>
          <w:rFonts w:ascii="Calibri" w:hAnsi="Calibri" w:cs="Calibri"/>
        </w:rPr>
        <w:t xml:space="preserve">drug </w:t>
      </w:r>
      <w:r w:rsidRPr="00886219">
        <w:rPr>
          <w:rFonts w:ascii="Calibri" w:hAnsi="Calibri" w:cs="Calibri"/>
        </w:rPr>
        <w:t>treatment, loss of social support</w:t>
      </w:r>
      <w:r>
        <w:rPr>
          <w:rFonts w:ascii="Calibri" w:hAnsi="Calibri" w:cs="Calibri"/>
        </w:rPr>
        <w:t xml:space="preserve"> and parental custody.</w:t>
      </w:r>
    </w:p>
    <w:p w14:paraId="6DB468DC" w14:textId="740AE9C1" w:rsidR="00BF2AE7" w:rsidRPr="001A51B8" w:rsidRDefault="00BF2AE7" w:rsidP="00FD215A">
      <w:pPr>
        <w:rPr>
          <w:u w:val="single"/>
        </w:rPr>
      </w:pPr>
      <w:r>
        <w:rPr>
          <w:u w:val="single"/>
        </w:rPr>
        <w:t>2.1 Harm reduction in prison</w:t>
      </w:r>
    </w:p>
    <w:p w14:paraId="2D10C372" w14:textId="1CE682E1" w:rsidR="00BF2AE7" w:rsidRPr="001A51B8" w:rsidRDefault="00BF2AE7" w:rsidP="00597A41">
      <w:pPr>
        <w:jc w:val="both"/>
      </w:pPr>
      <w:r>
        <w:t>The legal and policy environment for harm reduction in closed settings is even more restrictive. As of 2021, Opioid Agonist Therapy (OAT) was only available i</w:t>
      </w:r>
      <w:r w:rsidR="00F64DF3">
        <w:t xml:space="preserve">n some prisons in 59 countries; </w:t>
      </w:r>
      <w:r>
        <w:t>Needle and Syringe Programs (NSPs) were only present in some prisons in 10 countries.</w:t>
      </w:r>
      <w:r>
        <w:rPr>
          <w:rStyle w:val="EndnoteReference"/>
        </w:rPr>
        <w:endnoteReference w:id="12"/>
      </w:r>
      <w:r w:rsidR="0018483F">
        <w:t xml:space="preserve"> Women </w:t>
      </w:r>
      <w:r>
        <w:t xml:space="preserve">are further </w:t>
      </w:r>
      <w:r w:rsidR="00F64DF3">
        <w:t>deprioritised</w:t>
      </w:r>
      <w:r>
        <w:t xml:space="preserve">, while facing additional </w:t>
      </w:r>
      <w:r w:rsidRPr="00597A41">
        <w:rPr>
          <w:rFonts w:ascii="Calibri" w:hAnsi="Calibri" w:cs="Calibri"/>
        </w:rPr>
        <w:t>stigma;</w:t>
      </w:r>
      <w:r w:rsidRPr="00597A41">
        <w:rPr>
          <w:rStyle w:val="EndnoteReference"/>
          <w:rFonts w:ascii="Calibri" w:hAnsi="Calibri" w:cs="Calibri"/>
        </w:rPr>
        <w:endnoteReference w:id="13"/>
      </w:r>
      <w:r w:rsidRPr="00597A41">
        <w:rPr>
          <w:rFonts w:ascii="Calibri" w:hAnsi="Calibri" w:cs="Calibri"/>
        </w:rPr>
        <w:t xml:space="preserve"> for example, HIV treatment and NSPs are more widely available in male than in female prisons.</w:t>
      </w:r>
      <w:r w:rsidRPr="00597A41">
        <w:rPr>
          <w:rStyle w:val="EndnoteReference"/>
          <w:rFonts w:ascii="Calibri" w:hAnsi="Calibri" w:cs="Calibri"/>
        </w:rPr>
        <w:endnoteReference w:id="14"/>
      </w:r>
      <w:r>
        <w:t xml:space="preserve"> Access to harm reduction in prison is further hampered by administrative barriers or restrictive access polic</w:t>
      </w:r>
      <w:r w:rsidR="0018483F">
        <w:t>ies; for example, in several</w:t>
      </w:r>
      <w:r>
        <w:t xml:space="preserve"> countries OAT in prison </w:t>
      </w:r>
      <w:r w:rsidR="0018483F">
        <w:t xml:space="preserve">can only be accessed by people who were enrolled in </w:t>
      </w:r>
      <w:r>
        <w:t>in</w:t>
      </w:r>
      <w:r w:rsidR="0018483F">
        <w:t xml:space="preserve"> an OAT programme in the</w:t>
      </w:r>
      <w:r>
        <w:t xml:space="preserve"> community – meani</w:t>
      </w:r>
      <w:r w:rsidR="0018483F">
        <w:t>ng, OAT cannot be initiated</w:t>
      </w:r>
      <w:r>
        <w:t xml:space="preserve"> in detention.</w:t>
      </w:r>
      <w:r>
        <w:rPr>
          <w:rStyle w:val="EndnoteReference"/>
        </w:rPr>
        <w:endnoteReference w:id="15"/>
      </w:r>
    </w:p>
    <w:p w14:paraId="375050D3" w14:textId="3547CB11" w:rsidR="00BF2AE7" w:rsidRPr="001A51B8" w:rsidRDefault="00BF2AE7" w:rsidP="00FD215A">
      <w:pPr>
        <w:rPr>
          <w:u w:val="single"/>
        </w:rPr>
      </w:pPr>
      <w:r>
        <w:rPr>
          <w:u w:val="single"/>
        </w:rPr>
        <w:t>2.2. Cr</w:t>
      </w:r>
      <w:r w:rsidR="004E23B3">
        <w:rPr>
          <w:u w:val="single"/>
        </w:rPr>
        <w:t>iminalisation of harm reduction</w:t>
      </w:r>
    </w:p>
    <w:p w14:paraId="5E55C882" w14:textId="789472C9" w:rsidR="00BF2AE7" w:rsidRDefault="00BF2AE7" w:rsidP="00597A41">
      <w:pPr>
        <w:pStyle w:val="Default"/>
        <w:jc w:val="both"/>
        <w:rPr>
          <w:rFonts w:ascii="Calibri" w:hAnsi="Calibri" w:cs="Calibri"/>
          <w:sz w:val="22"/>
          <w:szCs w:val="22"/>
        </w:rPr>
      </w:pPr>
      <w:r w:rsidRPr="000C01A8">
        <w:rPr>
          <w:rFonts w:ascii="Calibri" w:hAnsi="Calibri" w:cs="Calibri"/>
          <w:sz w:val="22"/>
          <w:szCs w:val="22"/>
        </w:rPr>
        <w:t xml:space="preserve">Particularly </w:t>
      </w:r>
      <w:r w:rsidRPr="00597A41">
        <w:rPr>
          <w:rFonts w:ascii="Calibri" w:hAnsi="Calibri" w:cs="Calibri"/>
          <w:sz w:val="22"/>
          <w:szCs w:val="22"/>
        </w:rPr>
        <w:t>problem</w:t>
      </w:r>
      <w:r w:rsidR="0018483F">
        <w:rPr>
          <w:rFonts w:ascii="Calibri" w:hAnsi="Calibri" w:cs="Calibri"/>
          <w:sz w:val="22"/>
          <w:szCs w:val="22"/>
        </w:rPr>
        <w:t xml:space="preserve">atic are laws that </w:t>
      </w:r>
      <w:r w:rsidR="00F64DF3">
        <w:rPr>
          <w:rFonts w:ascii="Calibri" w:hAnsi="Calibri" w:cs="Calibri"/>
          <w:sz w:val="22"/>
          <w:szCs w:val="22"/>
        </w:rPr>
        <w:t xml:space="preserve">directly or indirectly criminalise </w:t>
      </w:r>
      <w:r w:rsidRPr="00597A41">
        <w:rPr>
          <w:rFonts w:ascii="Calibri" w:hAnsi="Calibri" w:cs="Calibri"/>
          <w:sz w:val="22"/>
          <w:szCs w:val="22"/>
        </w:rPr>
        <w:t>these services,</w:t>
      </w:r>
      <w:r w:rsidRPr="000C01A8">
        <w:rPr>
          <w:rFonts w:ascii="Calibri" w:hAnsi="Calibri" w:cs="Calibri"/>
          <w:sz w:val="22"/>
          <w:szCs w:val="22"/>
        </w:rPr>
        <w:t xml:space="preserve"> including through criminalisation of </w:t>
      </w:r>
      <w:r w:rsidRPr="00BC3A01">
        <w:rPr>
          <w:rFonts w:ascii="Calibri" w:hAnsi="Calibri" w:cs="Calibri"/>
          <w:sz w:val="22"/>
          <w:szCs w:val="22"/>
        </w:rPr>
        <w:t>possession of paraphernalia and equipment for drug consumption. In 2018, UNAIDS reported that in ten countries the mere “possession of a needle or syringe without a prescription could be used as evidence of drug use or cause for arrest.”</w:t>
      </w:r>
      <w:r w:rsidRPr="00BC3A01">
        <w:rPr>
          <w:rStyle w:val="EndnoteReference"/>
          <w:rFonts w:ascii="Calibri" w:hAnsi="Calibri" w:cs="Calibri"/>
          <w:sz w:val="22"/>
          <w:szCs w:val="22"/>
        </w:rPr>
        <w:endnoteReference w:id="16"/>
      </w:r>
      <w:r w:rsidRPr="00BC3A01">
        <w:rPr>
          <w:rFonts w:ascii="Calibri" w:hAnsi="Calibri" w:cs="Calibri"/>
          <w:sz w:val="22"/>
          <w:szCs w:val="22"/>
        </w:rPr>
        <w:t xml:space="preserve"> Provision </w:t>
      </w:r>
      <w:r>
        <w:rPr>
          <w:rFonts w:ascii="Calibri" w:hAnsi="Calibri" w:cs="Calibri"/>
          <w:sz w:val="22"/>
          <w:szCs w:val="22"/>
        </w:rPr>
        <w:t>of OAT</w:t>
      </w:r>
      <w:r w:rsidRPr="00BC3A01">
        <w:rPr>
          <w:rFonts w:ascii="Calibri" w:hAnsi="Calibri" w:cs="Calibri"/>
          <w:sz w:val="22"/>
          <w:szCs w:val="22"/>
        </w:rPr>
        <w:t xml:space="preserve"> is</w:t>
      </w:r>
      <w:r>
        <w:rPr>
          <w:rFonts w:ascii="Calibri" w:hAnsi="Calibri" w:cs="Calibri"/>
          <w:sz w:val="22"/>
          <w:szCs w:val="22"/>
        </w:rPr>
        <w:t xml:space="preserve"> pr</w:t>
      </w:r>
      <w:r w:rsidRPr="00BC3A01">
        <w:rPr>
          <w:rFonts w:ascii="Calibri" w:hAnsi="Calibri" w:cs="Calibri"/>
          <w:sz w:val="22"/>
          <w:szCs w:val="22"/>
        </w:rPr>
        <w:t>ohibited in countries such as Russia and Turkmenistan.</w:t>
      </w:r>
      <w:r w:rsidRPr="00BC3A01">
        <w:rPr>
          <w:rStyle w:val="EndnoteReference"/>
          <w:rFonts w:ascii="Calibri" w:hAnsi="Calibri" w:cs="Calibri"/>
          <w:sz w:val="22"/>
          <w:szCs w:val="22"/>
        </w:rPr>
        <w:endnoteReference w:id="17"/>
      </w:r>
      <w:r w:rsidRPr="00BC3A01">
        <w:rPr>
          <w:rFonts w:ascii="Calibri" w:hAnsi="Calibri" w:cs="Calibri"/>
          <w:sz w:val="22"/>
          <w:szCs w:val="22"/>
        </w:rPr>
        <w:t xml:space="preserve"> Similarly</w:t>
      </w:r>
      <w:r>
        <w:rPr>
          <w:rFonts w:ascii="Calibri" w:hAnsi="Calibri" w:cs="Calibri"/>
          <w:sz w:val="22"/>
          <w:szCs w:val="22"/>
        </w:rPr>
        <w:t>,</w:t>
      </w:r>
      <w:r w:rsidRPr="00BC3A01">
        <w:rPr>
          <w:rFonts w:ascii="Calibri" w:hAnsi="Calibri" w:cs="Calibri"/>
          <w:sz w:val="22"/>
          <w:szCs w:val="22"/>
        </w:rPr>
        <w:t xml:space="preserve"> in the Philippines, methadone and buprenorphine – the most commonly used medicines for OAT – are classified</w:t>
      </w:r>
      <w:r w:rsidR="00F64DF3">
        <w:rPr>
          <w:rFonts w:ascii="Calibri" w:hAnsi="Calibri" w:cs="Calibri"/>
          <w:sz w:val="22"/>
          <w:szCs w:val="22"/>
        </w:rPr>
        <w:t xml:space="preserve"> as dangerous drugs, thus </w:t>
      </w:r>
      <w:r w:rsidRPr="00BC3A01">
        <w:rPr>
          <w:rFonts w:ascii="Calibri" w:hAnsi="Calibri" w:cs="Calibri"/>
          <w:sz w:val="22"/>
          <w:szCs w:val="22"/>
        </w:rPr>
        <w:t>possession and use are essentially criminalised.</w:t>
      </w:r>
      <w:r w:rsidRPr="00BC3A01">
        <w:rPr>
          <w:rStyle w:val="EndnoteReference"/>
          <w:rFonts w:ascii="Calibri" w:hAnsi="Calibri" w:cs="Calibri"/>
          <w:sz w:val="22"/>
          <w:szCs w:val="22"/>
        </w:rPr>
        <w:endnoteReference w:id="18"/>
      </w:r>
    </w:p>
    <w:p w14:paraId="62934E25" w14:textId="685C66D4" w:rsidR="00BF2AE7" w:rsidRPr="00BC3A01" w:rsidRDefault="00F64DF3" w:rsidP="00597A41">
      <w:pPr>
        <w:pStyle w:val="Default"/>
        <w:jc w:val="both"/>
        <w:rPr>
          <w:rFonts w:ascii="Calibri" w:hAnsi="Calibri" w:cs="Calibri"/>
          <w:sz w:val="22"/>
          <w:szCs w:val="22"/>
        </w:rPr>
      </w:pPr>
      <w:r>
        <w:rPr>
          <w:rFonts w:ascii="Calibri" w:hAnsi="Calibri" w:cs="Calibri"/>
          <w:sz w:val="22"/>
          <w:szCs w:val="22"/>
        </w:rPr>
        <w:t xml:space="preserve">According to </w:t>
      </w:r>
      <w:r w:rsidR="00BF2AE7">
        <w:rPr>
          <w:rFonts w:ascii="Calibri" w:hAnsi="Calibri" w:cs="Calibri"/>
          <w:sz w:val="22"/>
          <w:szCs w:val="22"/>
        </w:rPr>
        <w:t>UNAIDS at least 21 countries</w:t>
      </w:r>
      <w:r w:rsidR="00EC79BE">
        <w:rPr>
          <w:rFonts w:ascii="Calibri" w:hAnsi="Calibri" w:cs="Calibri"/>
          <w:sz w:val="22"/>
          <w:szCs w:val="22"/>
        </w:rPr>
        <w:t>’ policies</w:t>
      </w:r>
      <w:r w:rsidR="00BF2AE7">
        <w:rPr>
          <w:rFonts w:ascii="Calibri" w:hAnsi="Calibri" w:cs="Calibri"/>
          <w:sz w:val="22"/>
          <w:szCs w:val="22"/>
        </w:rPr>
        <w:t xml:space="preserve"> exclude</w:t>
      </w:r>
      <w:r w:rsidR="00EC79BE">
        <w:rPr>
          <w:rFonts w:ascii="Calibri" w:hAnsi="Calibri" w:cs="Calibri"/>
          <w:sz w:val="22"/>
          <w:szCs w:val="22"/>
        </w:rPr>
        <w:t xml:space="preserve"> </w:t>
      </w:r>
      <w:r w:rsidR="00BF2AE7">
        <w:rPr>
          <w:rFonts w:ascii="Calibri" w:hAnsi="Calibri" w:cs="Calibri"/>
          <w:sz w:val="22"/>
          <w:szCs w:val="22"/>
        </w:rPr>
        <w:t>people who use drugs from receiving anti-retroviral treatment (ART), despite the lack of any health justification for it.</w:t>
      </w:r>
      <w:r w:rsidR="00BF2AE7">
        <w:rPr>
          <w:rStyle w:val="EndnoteReference"/>
          <w:rFonts w:ascii="Calibri" w:hAnsi="Calibri" w:cs="Calibri"/>
          <w:sz w:val="22"/>
          <w:szCs w:val="22"/>
        </w:rPr>
        <w:endnoteReference w:id="19"/>
      </w:r>
    </w:p>
    <w:p w14:paraId="4829CD57" w14:textId="77777777" w:rsidR="00BF2AE7" w:rsidRDefault="00BF2AE7" w:rsidP="000C01A8">
      <w:pPr>
        <w:pStyle w:val="Default"/>
      </w:pPr>
    </w:p>
    <w:p w14:paraId="06B74BAA" w14:textId="7EB0C5F1" w:rsidR="00BF2AE7" w:rsidRPr="007107DC" w:rsidRDefault="00BF2AE7" w:rsidP="000C01A8">
      <w:pPr>
        <w:pStyle w:val="Default"/>
        <w:rPr>
          <w:rFonts w:ascii="Calibri" w:hAnsi="Calibri" w:cs="Calibri"/>
          <w:sz w:val="22"/>
          <w:szCs w:val="22"/>
          <w:u w:val="single"/>
        </w:rPr>
      </w:pPr>
      <w:r>
        <w:rPr>
          <w:rFonts w:ascii="Calibri" w:hAnsi="Calibri" w:cs="Calibri"/>
          <w:sz w:val="22"/>
          <w:szCs w:val="22"/>
          <w:u w:val="single"/>
        </w:rPr>
        <w:t xml:space="preserve">2.3 </w:t>
      </w:r>
      <w:r w:rsidR="004E23B3">
        <w:rPr>
          <w:rFonts w:ascii="Calibri" w:hAnsi="Calibri" w:cs="Calibri"/>
          <w:sz w:val="22"/>
          <w:szCs w:val="22"/>
          <w:u w:val="single"/>
        </w:rPr>
        <w:t>F</w:t>
      </w:r>
      <w:r w:rsidRPr="007107DC">
        <w:rPr>
          <w:rFonts w:ascii="Calibri" w:hAnsi="Calibri" w:cs="Calibri"/>
          <w:sz w:val="22"/>
          <w:szCs w:val="22"/>
          <w:u w:val="single"/>
        </w:rPr>
        <w:t xml:space="preserve">unding </w:t>
      </w:r>
      <w:r w:rsidRPr="007107DC">
        <w:rPr>
          <w:rFonts w:ascii="Calibri" w:hAnsi="Calibri" w:cs="Calibri"/>
          <w:sz w:val="22"/>
          <w:szCs w:val="22"/>
          <w:u w:val="single"/>
        </w:rPr>
        <w:t>policies</w:t>
      </w:r>
    </w:p>
    <w:p w14:paraId="40DE700E" w14:textId="77777777" w:rsidR="00BF2AE7" w:rsidRPr="007107DC" w:rsidRDefault="00BF2AE7" w:rsidP="000C01A8">
      <w:pPr>
        <w:pStyle w:val="Default"/>
        <w:rPr>
          <w:rFonts w:ascii="Calibri" w:hAnsi="Calibri" w:cs="Calibri"/>
          <w:sz w:val="22"/>
          <w:szCs w:val="22"/>
        </w:rPr>
      </w:pPr>
    </w:p>
    <w:p w14:paraId="5F584EEA" w14:textId="6973E9CA" w:rsidR="00BF2AE7" w:rsidRPr="0008221B" w:rsidRDefault="00BF2AE7" w:rsidP="0008221B">
      <w:pPr>
        <w:pStyle w:val="Default"/>
        <w:jc w:val="both"/>
        <w:rPr>
          <w:rFonts w:ascii="Calibri" w:hAnsi="Calibri" w:cs="Calibri"/>
          <w:sz w:val="22"/>
          <w:szCs w:val="22"/>
        </w:rPr>
      </w:pPr>
      <w:r w:rsidRPr="00AD6949">
        <w:rPr>
          <w:rFonts w:ascii="Calibri" w:hAnsi="Calibri" w:cs="Calibri"/>
          <w:sz w:val="22"/>
          <w:szCs w:val="22"/>
        </w:rPr>
        <w:t xml:space="preserve">Access to harm reduction </w:t>
      </w:r>
      <w:r>
        <w:rPr>
          <w:rFonts w:ascii="Calibri" w:hAnsi="Calibri" w:cs="Calibri"/>
          <w:sz w:val="22"/>
          <w:szCs w:val="22"/>
        </w:rPr>
        <w:t>for</w:t>
      </w:r>
      <w:r w:rsidRPr="00AD6949">
        <w:rPr>
          <w:rFonts w:ascii="Calibri" w:hAnsi="Calibri" w:cs="Calibri"/>
          <w:sz w:val="22"/>
          <w:szCs w:val="22"/>
        </w:rPr>
        <w:t xml:space="preserve"> people who use drugs is s</w:t>
      </w:r>
      <w:r w:rsidR="00F64DF3">
        <w:rPr>
          <w:rFonts w:ascii="Calibri" w:hAnsi="Calibri" w:cs="Calibri"/>
          <w:sz w:val="22"/>
          <w:szCs w:val="22"/>
        </w:rPr>
        <w:t xml:space="preserve">everely hampered by inadequate </w:t>
      </w:r>
      <w:r w:rsidRPr="00AD6949">
        <w:rPr>
          <w:rFonts w:ascii="Calibri" w:hAnsi="Calibri" w:cs="Calibri"/>
          <w:sz w:val="22"/>
          <w:szCs w:val="22"/>
        </w:rPr>
        <w:t xml:space="preserve">funding policies. Although harm reduction services </w:t>
      </w:r>
      <w:r w:rsidR="004E23B3">
        <w:rPr>
          <w:rFonts w:ascii="Calibri" w:hAnsi="Calibri" w:cs="Calibri"/>
          <w:sz w:val="22"/>
          <w:szCs w:val="22"/>
        </w:rPr>
        <w:t>are proven</w:t>
      </w:r>
      <w:r w:rsidRPr="00AD6949">
        <w:rPr>
          <w:rFonts w:ascii="Calibri" w:hAnsi="Calibri" w:cs="Calibri"/>
          <w:sz w:val="22"/>
          <w:szCs w:val="22"/>
        </w:rPr>
        <w:t xml:space="preserve"> and cost-effective protection from HIV and </w:t>
      </w:r>
      <w:r>
        <w:rPr>
          <w:rFonts w:ascii="Calibri" w:hAnsi="Calibri" w:cs="Calibri"/>
          <w:sz w:val="22"/>
          <w:szCs w:val="22"/>
        </w:rPr>
        <w:t>hepatitis C</w:t>
      </w:r>
      <w:r w:rsidRPr="00AD6949">
        <w:rPr>
          <w:rFonts w:ascii="Calibri" w:hAnsi="Calibri" w:cs="Calibri"/>
          <w:i/>
          <w:sz w:val="22"/>
          <w:szCs w:val="22"/>
        </w:rPr>
        <w:t xml:space="preserve">, </w:t>
      </w:r>
      <w:r w:rsidRPr="00AD6949">
        <w:rPr>
          <w:rFonts w:ascii="Calibri" w:hAnsi="Calibri" w:cs="Calibri"/>
          <w:sz w:val="22"/>
          <w:szCs w:val="22"/>
        </w:rPr>
        <w:t>HRI’s research identified a sever</w:t>
      </w:r>
      <w:r>
        <w:rPr>
          <w:rFonts w:ascii="Calibri" w:hAnsi="Calibri" w:cs="Calibri"/>
          <w:sz w:val="22"/>
          <w:szCs w:val="22"/>
        </w:rPr>
        <w:t>e</w:t>
      </w:r>
      <w:r w:rsidRPr="00AD6949">
        <w:rPr>
          <w:rFonts w:ascii="Calibri" w:hAnsi="Calibri" w:cs="Calibri"/>
          <w:sz w:val="22"/>
          <w:szCs w:val="22"/>
        </w:rPr>
        <w:t xml:space="preserve"> lack of financial support both for services and for the advocacy necessary to garner political will. </w:t>
      </w:r>
      <w:r w:rsidR="004E23B3">
        <w:rPr>
          <w:rFonts w:ascii="Calibri" w:hAnsi="Calibri" w:cs="Calibri"/>
          <w:sz w:val="22"/>
          <w:szCs w:val="22"/>
        </w:rPr>
        <w:t>2019 d</w:t>
      </w:r>
      <w:r w:rsidRPr="00AD6949">
        <w:rPr>
          <w:rFonts w:ascii="Calibri" w:hAnsi="Calibri" w:cs="Calibri"/>
          <w:sz w:val="22"/>
          <w:szCs w:val="22"/>
        </w:rPr>
        <w:t xml:space="preserve">ata </w:t>
      </w:r>
      <w:r>
        <w:rPr>
          <w:rFonts w:ascii="Calibri" w:hAnsi="Calibri" w:cs="Calibri"/>
          <w:sz w:val="22"/>
          <w:szCs w:val="22"/>
        </w:rPr>
        <w:t xml:space="preserve">indicates that </w:t>
      </w:r>
      <w:r w:rsidRPr="00AD6949">
        <w:rPr>
          <w:rFonts w:ascii="Calibri" w:hAnsi="Calibri" w:cs="Calibri"/>
          <w:sz w:val="22"/>
          <w:szCs w:val="22"/>
        </w:rPr>
        <w:t>an estimated US$131 million was allocated to harm reduction in low- and middle-income</w:t>
      </w:r>
      <w:r>
        <w:rPr>
          <w:rFonts w:ascii="Calibri" w:hAnsi="Calibri" w:cs="Calibri"/>
          <w:sz w:val="22"/>
          <w:szCs w:val="22"/>
        </w:rPr>
        <w:t xml:space="preserve"> (LMI) countries</w:t>
      </w:r>
      <w:r w:rsidRPr="00AD6949">
        <w:rPr>
          <w:rFonts w:ascii="Calibri" w:hAnsi="Calibri" w:cs="Calibri"/>
          <w:sz w:val="22"/>
          <w:szCs w:val="22"/>
        </w:rPr>
        <w:t>, equating to just 5% of the US$2.7 billion that UNAIDS estimat</w:t>
      </w:r>
      <w:r>
        <w:rPr>
          <w:rFonts w:ascii="Calibri" w:hAnsi="Calibri" w:cs="Calibri"/>
          <w:sz w:val="22"/>
          <w:szCs w:val="22"/>
        </w:rPr>
        <w:t>es is</w:t>
      </w:r>
      <w:r w:rsidRPr="00AD6949">
        <w:rPr>
          <w:rFonts w:ascii="Calibri" w:hAnsi="Calibri" w:cs="Calibri"/>
          <w:sz w:val="22"/>
          <w:szCs w:val="22"/>
        </w:rPr>
        <w:t xml:space="preserve"> required annually for harm reduction by 2025.</w:t>
      </w:r>
      <w:r w:rsidRPr="00AD6949">
        <w:rPr>
          <w:rStyle w:val="EndnoteReference"/>
          <w:rFonts w:ascii="Calibri" w:hAnsi="Calibri" w:cs="Calibri"/>
          <w:sz w:val="22"/>
          <w:szCs w:val="22"/>
        </w:rPr>
        <w:endnoteReference w:id="20"/>
      </w:r>
      <w:r w:rsidRPr="00AD6949">
        <w:rPr>
          <w:rFonts w:ascii="Calibri" w:hAnsi="Calibri" w:cs="Calibri"/>
          <w:sz w:val="22"/>
          <w:szCs w:val="22"/>
        </w:rPr>
        <w:t xml:space="preserve"> This equals a </w:t>
      </w:r>
      <w:r w:rsidRPr="00AD6949">
        <w:rPr>
          <w:rFonts w:ascii="Calibri" w:hAnsi="Calibri" w:cs="Calibri"/>
          <w:b/>
          <w:sz w:val="22"/>
          <w:szCs w:val="22"/>
        </w:rPr>
        <w:t>95% funding gap</w:t>
      </w:r>
      <w:r>
        <w:rPr>
          <w:rFonts w:ascii="Calibri" w:hAnsi="Calibri" w:cs="Calibri"/>
          <w:b/>
          <w:sz w:val="22"/>
          <w:szCs w:val="22"/>
        </w:rPr>
        <w:t xml:space="preserve"> – which is widening</w:t>
      </w:r>
      <w:r w:rsidRPr="00AD6949">
        <w:rPr>
          <w:rFonts w:ascii="Calibri" w:hAnsi="Calibri" w:cs="Calibri"/>
          <w:sz w:val="22"/>
          <w:szCs w:val="22"/>
        </w:rPr>
        <w:t>.</w:t>
      </w:r>
      <w:r w:rsidRPr="00AD6949">
        <w:rPr>
          <w:rStyle w:val="EndnoteReference"/>
          <w:rFonts w:ascii="Calibri" w:hAnsi="Calibri" w:cs="Calibri"/>
          <w:sz w:val="22"/>
          <w:szCs w:val="22"/>
        </w:rPr>
        <w:endnoteReference w:id="21"/>
      </w:r>
      <w:r w:rsidRPr="00AD6949">
        <w:rPr>
          <w:rFonts w:ascii="Calibri" w:hAnsi="Calibri" w:cs="Calibri"/>
          <w:sz w:val="22"/>
          <w:szCs w:val="22"/>
        </w:rPr>
        <w:t xml:space="preserve"> </w:t>
      </w:r>
      <w:r>
        <w:rPr>
          <w:rFonts w:ascii="Calibri" w:hAnsi="Calibri" w:cs="Calibri"/>
          <w:sz w:val="22"/>
          <w:szCs w:val="22"/>
        </w:rPr>
        <w:t xml:space="preserve">Two-thirds of LMI countries </w:t>
      </w:r>
      <w:r w:rsidRPr="00AD6949">
        <w:rPr>
          <w:rFonts w:ascii="Calibri" w:hAnsi="Calibri" w:cs="Calibri"/>
          <w:sz w:val="22"/>
          <w:szCs w:val="22"/>
        </w:rPr>
        <w:t xml:space="preserve">do not provide </w:t>
      </w:r>
      <w:r>
        <w:rPr>
          <w:rFonts w:ascii="Calibri" w:hAnsi="Calibri" w:cs="Calibri"/>
          <w:sz w:val="22"/>
          <w:szCs w:val="22"/>
        </w:rPr>
        <w:t xml:space="preserve">domestic </w:t>
      </w:r>
      <w:r w:rsidRPr="00AD6949">
        <w:rPr>
          <w:rFonts w:ascii="Calibri" w:hAnsi="Calibri" w:cs="Calibri"/>
          <w:sz w:val="22"/>
          <w:szCs w:val="22"/>
        </w:rPr>
        <w:t xml:space="preserve">resources to cover essential interventions such as HIV testing for people who inject drugs, </w:t>
      </w:r>
      <w:r>
        <w:rPr>
          <w:rFonts w:ascii="Calibri" w:hAnsi="Calibri" w:cs="Calibri"/>
          <w:sz w:val="22"/>
          <w:szCs w:val="22"/>
        </w:rPr>
        <w:t>OAT, NSPs, and</w:t>
      </w:r>
      <w:r w:rsidRPr="00AD6949">
        <w:rPr>
          <w:rFonts w:ascii="Calibri" w:hAnsi="Calibri" w:cs="Calibri"/>
          <w:sz w:val="22"/>
          <w:szCs w:val="22"/>
        </w:rPr>
        <w:t xml:space="preserve"> overd</w:t>
      </w:r>
      <w:r>
        <w:rPr>
          <w:rFonts w:ascii="Calibri" w:hAnsi="Calibri" w:cs="Calibri"/>
          <w:sz w:val="22"/>
          <w:szCs w:val="22"/>
        </w:rPr>
        <w:t>ose prevention programmes. In most LMI countries where domestic funding for harm reduction is in place, it is very limited.</w:t>
      </w:r>
      <w:r w:rsidRPr="00AD6949">
        <w:rPr>
          <w:rStyle w:val="EndnoteReference"/>
          <w:rFonts w:ascii="Calibri" w:hAnsi="Calibri" w:cs="Calibri"/>
          <w:sz w:val="22"/>
          <w:szCs w:val="22"/>
        </w:rPr>
        <w:endnoteReference w:id="22"/>
      </w:r>
      <w:r>
        <w:rPr>
          <w:rFonts w:ascii="Calibri" w:hAnsi="Calibri" w:cs="Calibri"/>
          <w:sz w:val="22"/>
          <w:szCs w:val="22"/>
        </w:rPr>
        <w:t xml:space="preserve"> </w:t>
      </w:r>
      <w:r w:rsidRPr="0008221B">
        <w:rPr>
          <w:rFonts w:ascii="Calibri" w:hAnsi="Calibri" w:cs="Calibri"/>
          <w:sz w:val="22"/>
          <w:szCs w:val="22"/>
        </w:rPr>
        <w:t>The Global Drug Policy Index, now scoring 30 countries, indicates that</w:t>
      </w:r>
      <w:r w:rsidRPr="0008221B">
        <w:rPr>
          <w:rFonts w:ascii="Calibri" w:hAnsi="Calibri" w:cs="Calibri"/>
          <w:sz w:val="22"/>
          <w:szCs w:val="22"/>
        </w:rPr>
        <w:t xml:space="preserve"> current investment in harm reduction is considered to be ‘mostly secur</w:t>
      </w:r>
      <w:r w:rsidR="00EC79BE">
        <w:rPr>
          <w:rFonts w:ascii="Calibri" w:hAnsi="Calibri" w:cs="Calibri"/>
          <w:sz w:val="22"/>
          <w:szCs w:val="22"/>
        </w:rPr>
        <w:t>e’ in just one country (Norway)</w:t>
      </w:r>
      <w:r w:rsidRPr="0008221B">
        <w:rPr>
          <w:rFonts w:ascii="Calibri" w:hAnsi="Calibri" w:cs="Calibri"/>
          <w:sz w:val="22"/>
          <w:szCs w:val="22"/>
        </w:rPr>
        <w:t>.</w:t>
      </w:r>
      <w:r>
        <w:rPr>
          <w:rStyle w:val="EndnoteReference"/>
          <w:rFonts w:ascii="Calibri" w:hAnsi="Calibri" w:cs="Calibri"/>
          <w:sz w:val="22"/>
          <w:szCs w:val="22"/>
        </w:rPr>
        <w:endnoteReference w:id="23"/>
      </w:r>
    </w:p>
    <w:p w14:paraId="7BE98CC7" w14:textId="79652A98" w:rsidR="00BF2AE7" w:rsidRPr="001C0E18" w:rsidRDefault="00BF2AE7" w:rsidP="0018483F">
      <w:pPr>
        <w:pStyle w:val="NormalWeb"/>
        <w:jc w:val="both"/>
        <w:rPr>
          <w:rFonts w:asciiTheme="minorHAnsi" w:hAnsiTheme="minorHAnsi" w:cstheme="minorHAnsi"/>
          <w:lang w:val="en-US"/>
        </w:rPr>
      </w:pPr>
      <w:r>
        <w:rPr>
          <w:rFonts w:ascii="Calibri" w:hAnsi="Calibri" w:cs="Calibri"/>
          <w:sz w:val="22"/>
          <w:szCs w:val="22"/>
        </w:rPr>
        <w:t xml:space="preserve">Also essential </w:t>
      </w:r>
      <w:r w:rsidRPr="00AD6949">
        <w:rPr>
          <w:rFonts w:ascii="Calibri" w:hAnsi="Calibri" w:cs="Calibri"/>
          <w:sz w:val="22"/>
          <w:szCs w:val="22"/>
        </w:rPr>
        <w:t>to meet the soci</w:t>
      </w:r>
      <w:r>
        <w:rPr>
          <w:rFonts w:ascii="Calibri" w:hAnsi="Calibri" w:cs="Calibri"/>
          <w:sz w:val="22"/>
          <w:szCs w:val="22"/>
        </w:rPr>
        <w:t>et</w:t>
      </w:r>
      <w:r w:rsidRPr="00AD6949">
        <w:rPr>
          <w:rFonts w:ascii="Calibri" w:hAnsi="Calibri" w:cs="Calibri"/>
          <w:sz w:val="22"/>
          <w:szCs w:val="22"/>
        </w:rPr>
        <w:t>al enablers</w:t>
      </w:r>
      <w:r>
        <w:rPr>
          <w:rFonts w:ascii="Calibri" w:hAnsi="Calibri" w:cs="Calibri"/>
          <w:sz w:val="22"/>
          <w:szCs w:val="22"/>
        </w:rPr>
        <w:t xml:space="preserve"> targets</w:t>
      </w:r>
      <w:r w:rsidRPr="00AD6949">
        <w:rPr>
          <w:rFonts w:ascii="Calibri" w:hAnsi="Calibri" w:cs="Calibri"/>
          <w:sz w:val="22"/>
          <w:szCs w:val="22"/>
        </w:rPr>
        <w:t xml:space="preserve"> is </w:t>
      </w:r>
      <w:r w:rsidRPr="0018483F">
        <w:rPr>
          <w:rFonts w:ascii="Calibri" w:hAnsi="Calibri" w:cs="Calibri"/>
          <w:b/>
          <w:sz w:val="22"/>
          <w:szCs w:val="22"/>
        </w:rPr>
        <w:t>community-led and civil society advocacy</w:t>
      </w:r>
      <w:r w:rsidRPr="00AD6949">
        <w:rPr>
          <w:rFonts w:ascii="Calibri" w:hAnsi="Calibri" w:cs="Calibri"/>
          <w:sz w:val="22"/>
          <w:szCs w:val="22"/>
        </w:rPr>
        <w:t xml:space="preserve"> for harm reduction and human-rights centred policies.</w:t>
      </w:r>
      <w:r w:rsidR="0018483F">
        <w:rPr>
          <w:rFonts w:ascii="Calibri" w:hAnsi="Calibri" w:cs="Calibri"/>
          <w:sz w:val="22"/>
          <w:szCs w:val="22"/>
        </w:rPr>
        <w:t xml:space="preserve"> I</w:t>
      </w:r>
      <w:r>
        <w:rPr>
          <w:rFonts w:ascii="Calibri" w:hAnsi="Calibri" w:cs="Calibri"/>
          <w:sz w:val="22"/>
          <w:szCs w:val="22"/>
        </w:rPr>
        <w:t xml:space="preserve">nvesting in communities </w:t>
      </w:r>
      <w:r w:rsidR="0018483F">
        <w:rPr>
          <w:rFonts w:ascii="Calibri" w:hAnsi="Calibri" w:cs="Calibri"/>
          <w:sz w:val="22"/>
          <w:szCs w:val="22"/>
        </w:rPr>
        <w:t>is key</w:t>
      </w:r>
      <w:r>
        <w:rPr>
          <w:rFonts w:ascii="Calibri" w:hAnsi="Calibri" w:cs="Calibri"/>
          <w:sz w:val="22"/>
          <w:szCs w:val="22"/>
        </w:rPr>
        <w:t xml:space="preserve"> to promote reform of restrictive policies, and reduce stigma an</w:t>
      </w:r>
      <w:r w:rsidR="00F64DF3">
        <w:rPr>
          <w:rFonts w:ascii="Calibri" w:hAnsi="Calibri" w:cs="Calibri"/>
          <w:sz w:val="22"/>
          <w:szCs w:val="22"/>
        </w:rPr>
        <w:t>d discrimination</w:t>
      </w:r>
      <w:r w:rsidRPr="001C0E18">
        <w:rPr>
          <w:rFonts w:asciiTheme="minorHAnsi" w:hAnsiTheme="minorHAnsi" w:cstheme="minorHAnsi"/>
          <w:sz w:val="22"/>
          <w:szCs w:val="22"/>
        </w:rPr>
        <w:t xml:space="preserve">. </w:t>
      </w:r>
      <w:r>
        <w:rPr>
          <w:rFonts w:asciiTheme="minorHAnsi" w:hAnsiTheme="minorHAnsi" w:cstheme="minorHAnsi"/>
          <w:sz w:val="22"/>
          <w:szCs w:val="22"/>
          <w:lang w:val="en-US"/>
        </w:rPr>
        <w:t>It</w:t>
      </w:r>
      <w:r w:rsidRPr="001C0E18">
        <w:rPr>
          <w:rFonts w:asciiTheme="minorHAnsi" w:hAnsiTheme="minorHAnsi" w:cstheme="minorHAnsi"/>
          <w:sz w:val="22"/>
          <w:szCs w:val="22"/>
          <w:lang w:val="en-US"/>
        </w:rPr>
        <w:t xml:space="preserve"> will</w:t>
      </w:r>
      <w:r>
        <w:rPr>
          <w:rFonts w:asciiTheme="minorHAnsi" w:hAnsiTheme="minorHAnsi" w:cstheme="minorHAnsi"/>
          <w:sz w:val="22"/>
          <w:szCs w:val="22"/>
          <w:lang w:val="en-US"/>
        </w:rPr>
        <w:t xml:space="preserve"> also</w:t>
      </w:r>
      <w:r w:rsidRPr="001C0E18">
        <w:rPr>
          <w:rFonts w:asciiTheme="minorHAnsi" w:hAnsiTheme="minorHAnsi" w:cstheme="minorHAnsi"/>
          <w:sz w:val="22"/>
          <w:szCs w:val="22"/>
          <w:lang w:val="en-US"/>
        </w:rPr>
        <w:t xml:space="preserve"> be crucial to meet the 2021 Political Declaration target of </w:t>
      </w:r>
      <w:r w:rsidRPr="001C0E18">
        <w:rPr>
          <w:rFonts w:asciiTheme="minorHAnsi" w:hAnsiTheme="minorHAnsi" w:cstheme="minorHAnsi"/>
          <w:bCs/>
          <w:sz w:val="22"/>
          <w:szCs w:val="22"/>
          <w:lang w:val="en-US"/>
        </w:rPr>
        <w:t>60% of the programmes supporting the ac</w:t>
      </w:r>
      <w:r w:rsidR="00EC79BE">
        <w:rPr>
          <w:rFonts w:asciiTheme="minorHAnsi" w:hAnsiTheme="minorHAnsi" w:cstheme="minorHAnsi"/>
          <w:bCs/>
          <w:sz w:val="22"/>
          <w:szCs w:val="22"/>
          <w:lang w:val="en-US"/>
        </w:rPr>
        <w:t>hievement of societal enablers</w:t>
      </w:r>
      <w:r w:rsidRPr="001C0E18">
        <w:rPr>
          <w:rFonts w:asciiTheme="minorHAnsi" w:hAnsiTheme="minorHAnsi" w:cstheme="minorHAnsi"/>
          <w:bCs/>
          <w:sz w:val="22"/>
          <w:szCs w:val="22"/>
          <w:lang w:val="en-US"/>
        </w:rPr>
        <w:t xml:space="preserve"> to be delivered by community-led organisations.</w:t>
      </w:r>
      <w:r>
        <w:rPr>
          <w:rStyle w:val="EndnoteReference"/>
          <w:rFonts w:asciiTheme="minorHAnsi" w:hAnsiTheme="minorHAnsi" w:cstheme="minorHAnsi"/>
          <w:bCs/>
          <w:sz w:val="22"/>
          <w:szCs w:val="22"/>
          <w:lang w:val="en-US"/>
        </w:rPr>
        <w:endnoteReference w:id="24"/>
      </w:r>
      <w:r w:rsidRPr="001C0E18">
        <w:rPr>
          <w:rFonts w:ascii="AvenirLTStd" w:hAnsi="AvenirLTStd"/>
          <w:bCs/>
          <w:sz w:val="18"/>
          <w:szCs w:val="18"/>
          <w:lang w:val="en-US"/>
        </w:rPr>
        <w:t xml:space="preserve"> </w:t>
      </w:r>
      <w:r w:rsidR="00EC79BE">
        <w:rPr>
          <w:rFonts w:asciiTheme="minorHAnsi" w:hAnsiTheme="minorHAnsi" w:cstheme="minorHAnsi"/>
          <w:sz w:val="22"/>
          <w:szCs w:val="22"/>
          <w:lang w:val="en-US"/>
        </w:rPr>
        <w:t>Nevertheless, international and</w:t>
      </w:r>
      <w:r w:rsidRPr="001C0E18">
        <w:rPr>
          <w:rFonts w:asciiTheme="minorHAnsi" w:hAnsiTheme="minorHAnsi" w:cstheme="minorHAnsi"/>
          <w:sz w:val="22"/>
          <w:szCs w:val="22"/>
          <w:lang w:val="en-US"/>
        </w:rPr>
        <w:t xml:space="preserve"> national funding for advocacy-related initiatives remains minimal, and largely insufficient.</w:t>
      </w:r>
      <w:r w:rsidRPr="001C0E18">
        <w:rPr>
          <w:rStyle w:val="EndnoteReference"/>
          <w:rFonts w:asciiTheme="minorHAnsi" w:hAnsiTheme="minorHAnsi" w:cstheme="minorHAnsi"/>
          <w:sz w:val="22"/>
          <w:szCs w:val="22"/>
        </w:rPr>
        <w:endnoteReference w:id="25"/>
      </w:r>
    </w:p>
    <w:p w14:paraId="2B2C79DA" w14:textId="5188E524" w:rsidR="00BF2AE7" w:rsidRDefault="00BF2AE7" w:rsidP="00292F1F">
      <w:pPr>
        <w:pStyle w:val="Default"/>
        <w:jc w:val="both"/>
        <w:rPr>
          <w:rFonts w:ascii="Calibri" w:hAnsi="Calibri" w:cs="Calibri"/>
          <w:sz w:val="22"/>
          <w:szCs w:val="22"/>
        </w:rPr>
      </w:pPr>
      <w:r w:rsidRPr="002E1433">
        <w:rPr>
          <w:rFonts w:ascii="Calibri" w:hAnsi="Calibri" w:cs="Calibri"/>
          <w:sz w:val="22"/>
          <w:szCs w:val="22"/>
        </w:rPr>
        <w:t>This la</w:t>
      </w:r>
      <w:r w:rsidR="00F64DF3">
        <w:rPr>
          <w:rFonts w:ascii="Calibri" w:hAnsi="Calibri" w:cs="Calibri"/>
          <w:sz w:val="22"/>
          <w:szCs w:val="22"/>
        </w:rPr>
        <w:t>ck of funding is not inevitable, but rather</w:t>
      </w:r>
      <w:r w:rsidRPr="002E1433">
        <w:rPr>
          <w:rFonts w:ascii="Calibri" w:hAnsi="Calibri" w:cs="Calibri"/>
          <w:sz w:val="22"/>
          <w:szCs w:val="22"/>
        </w:rPr>
        <w:t xml:space="preserve"> the direct </w:t>
      </w:r>
      <w:r>
        <w:rPr>
          <w:rFonts w:ascii="Calibri" w:hAnsi="Calibri" w:cs="Calibri"/>
          <w:sz w:val="22"/>
          <w:szCs w:val="22"/>
        </w:rPr>
        <w:t>outcome</w:t>
      </w:r>
      <w:r w:rsidRPr="002E1433">
        <w:rPr>
          <w:rFonts w:ascii="Calibri" w:hAnsi="Calibri" w:cs="Calibri"/>
          <w:sz w:val="22"/>
          <w:szCs w:val="22"/>
        </w:rPr>
        <w:t xml:space="preserve"> of political choices on </w:t>
      </w:r>
      <w:r>
        <w:rPr>
          <w:rFonts w:ascii="Calibri" w:hAnsi="Calibri" w:cs="Calibri"/>
          <w:sz w:val="22"/>
          <w:szCs w:val="22"/>
        </w:rPr>
        <w:t xml:space="preserve">the </w:t>
      </w:r>
      <w:r w:rsidRPr="002E1433">
        <w:rPr>
          <w:rFonts w:ascii="Calibri" w:hAnsi="Calibri" w:cs="Calibri"/>
          <w:sz w:val="22"/>
          <w:szCs w:val="22"/>
        </w:rPr>
        <w:t>distribution of resources, rooted in a predominantly punitive approach to drugs. Each year, over USD 100 billion is estimated to be spent on global drug law enforcement, over 750 times the amount allocated to harm reduction services for people who use drugs.</w:t>
      </w:r>
      <w:r w:rsidRPr="002E1433">
        <w:rPr>
          <w:rStyle w:val="EndnoteReference"/>
          <w:rFonts w:ascii="Calibri" w:hAnsi="Calibri" w:cs="Calibri"/>
          <w:sz w:val="22"/>
          <w:szCs w:val="22"/>
        </w:rPr>
        <w:endnoteReference w:id="26"/>
      </w:r>
      <w:r w:rsidRPr="002E1433">
        <w:rPr>
          <w:rFonts w:ascii="Calibri" w:hAnsi="Calibri" w:cs="Calibri"/>
          <w:sz w:val="22"/>
          <w:szCs w:val="22"/>
        </w:rPr>
        <w:t xml:space="preserve"> A solution to this funding gap, which would be critical in meeting the </w:t>
      </w:r>
      <w:r>
        <w:rPr>
          <w:rFonts w:ascii="Calibri" w:hAnsi="Calibri" w:cs="Calibri"/>
          <w:sz w:val="22"/>
          <w:szCs w:val="22"/>
        </w:rPr>
        <w:t xml:space="preserve">societal enablers </w:t>
      </w:r>
      <w:r w:rsidRPr="002E1433">
        <w:rPr>
          <w:rFonts w:ascii="Calibri" w:hAnsi="Calibri" w:cs="Calibri"/>
          <w:sz w:val="22"/>
          <w:szCs w:val="22"/>
        </w:rPr>
        <w:t xml:space="preserve">targets, would be the </w:t>
      </w:r>
      <w:r w:rsidRPr="002E1433">
        <w:rPr>
          <w:rFonts w:ascii="Calibri" w:hAnsi="Calibri" w:cs="Calibri"/>
          <w:b/>
          <w:sz w:val="22"/>
          <w:szCs w:val="22"/>
        </w:rPr>
        <w:t>redirection of funds</w:t>
      </w:r>
      <w:r w:rsidRPr="002E1433">
        <w:rPr>
          <w:rFonts w:ascii="Calibri" w:hAnsi="Calibri" w:cs="Calibri"/>
          <w:sz w:val="22"/>
          <w:szCs w:val="22"/>
        </w:rPr>
        <w:t xml:space="preserve"> </w:t>
      </w:r>
      <w:r w:rsidRPr="002E1433">
        <w:rPr>
          <w:rFonts w:ascii="Calibri" w:hAnsi="Calibri" w:cs="Calibri"/>
          <w:b/>
          <w:sz w:val="22"/>
          <w:szCs w:val="22"/>
        </w:rPr>
        <w:t xml:space="preserve">from ineffective drug law enforcement to harm reduction. </w:t>
      </w:r>
      <w:r w:rsidRPr="0000632D">
        <w:rPr>
          <w:rFonts w:ascii="Calibri" w:hAnsi="Calibri" w:cs="Calibri"/>
          <w:sz w:val="22"/>
          <w:szCs w:val="22"/>
        </w:rPr>
        <w:t xml:space="preserve">Redirecting </w:t>
      </w:r>
      <w:r>
        <w:rPr>
          <w:rFonts w:ascii="Calibri" w:hAnsi="Calibri" w:cs="Calibri"/>
          <w:sz w:val="22"/>
          <w:szCs w:val="22"/>
        </w:rPr>
        <w:t xml:space="preserve">just </w:t>
      </w:r>
      <w:r w:rsidRPr="0000632D">
        <w:rPr>
          <w:rFonts w:ascii="Calibri" w:hAnsi="Calibri" w:cs="Calibri"/>
          <w:sz w:val="22"/>
          <w:szCs w:val="22"/>
        </w:rPr>
        <w:t xml:space="preserve">a small proportion </w:t>
      </w:r>
      <w:r w:rsidRPr="0024708B">
        <w:rPr>
          <w:rFonts w:ascii="Calibri" w:hAnsi="Calibri" w:cs="Calibri"/>
          <w:sz w:val="22"/>
          <w:szCs w:val="22"/>
        </w:rPr>
        <w:t>of drug law e</w:t>
      </w:r>
      <w:r w:rsidRPr="002E1433">
        <w:rPr>
          <w:rFonts w:ascii="Calibri" w:hAnsi="Calibri" w:cs="Calibri"/>
          <w:sz w:val="22"/>
          <w:szCs w:val="22"/>
        </w:rPr>
        <w:t xml:space="preserve">nforcement spending towards harm reduction would </w:t>
      </w:r>
      <w:r>
        <w:rPr>
          <w:rFonts w:ascii="Calibri" w:hAnsi="Calibri" w:cs="Calibri"/>
          <w:sz w:val="22"/>
          <w:szCs w:val="22"/>
        </w:rPr>
        <w:t xml:space="preserve">have a dramatic impact upon new </w:t>
      </w:r>
      <w:r w:rsidRPr="002E1433">
        <w:rPr>
          <w:rFonts w:ascii="Calibri" w:hAnsi="Calibri" w:cs="Calibri"/>
          <w:color w:val="222222"/>
          <w:sz w:val="22"/>
          <w:szCs w:val="22"/>
          <w:shd w:val="clear" w:color="auto" w:fill="FFFFFF"/>
        </w:rPr>
        <w:t>HIV infections</w:t>
      </w:r>
      <w:r>
        <w:rPr>
          <w:rFonts w:ascii="Calibri" w:hAnsi="Calibri" w:cs="Calibri"/>
          <w:color w:val="222222"/>
          <w:sz w:val="22"/>
          <w:szCs w:val="22"/>
          <w:shd w:val="clear" w:color="auto" w:fill="FFFFFF"/>
        </w:rPr>
        <w:t xml:space="preserve"> and make the global goal to end AIDS among people who use drugs</w:t>
      </w:r>
      <w:r w:rsidRPr="002E1433">
        <w:rPr>
          <w:rFonts w:ascii="Calibri" w:hAnsi="Calibri" w:cs="Calibri"/>
          <w:color w:val="222222"/>
          <w:sz w:val="22"/>
          <w:szCs w:val="22"/>
          <w:shd w:val="clear" w:color="auto" w:fill="FFFFFF"/>
        </w:rPr>
        <w:t xml:space="preserve"> by 2030</w:t>
      </w:r>
      <w:r>
        <w:rPr>
          <w:rFonts w:ascii="Calibri" w:hAnsi="Calibri" w:cs="Calibri"/>
          <w:color w:val="222222"/>
          <w:sz w:val="22"/>
          <w:szCs w:val="22"/>
          <w:shd w:val="clear" w:color="auto" w:fill="FFFFFF"/>
        </w:rPr>
        <w:t xml:space="preserve"> achievable</w:t>
      </w:r>
      <w:r w:rsidRPr="002E1433">
        <w:rPr>
          <w:rFonts w:ascii="Calibri" w:hAnsi="Calibri" w:cs="Calibri"/>
          <w:sz w:val="22"/>
          <w:szCs w:val="22"/>
        </w:rPr>
        <w:t>.</w:t>
      </w:r>
      <w:r w:rsidRPr="002E1433">
        <w:rPr>
          <w:rStyle w:val="EndnoteReference"/>
          <w:rFonts w:ascii="Calibri" w:hAnsi="Calibri" w:cs="Calibri"/>
          <w:sz w:val="22"/>
          <w:szCs w:val="22"/>
        </w:rPr>
        <w:endnoteReference w:id="27"/>
      </w:r>
      <w:r w:rsidRPr="002E1433">
        <w:rPr>
          <w:rFonts w:ascii="Calibri" w:hAnsi="Calibri" w:cs="Calibri"/>
          <w:sz w:val="22"/>
          <w:szCs w:val="22"/>
        </w:rPr>
        <w:t xml:space="preserve"> </w:t>
      </w:r>
    </w:p>
    <w:p w14:paraId="1B0A3180" w14:textId="77777777" w:rsidR="00292F1F" w:rsidRPr="00292F1F" w:rsidRDefault="00292F1F" w:rsidP="00FD215A">
      <w:pPr>
        <w:rPr>
          <w:rFonts w:ascii="Calibri" w:hAnsi="Calibri" w:cs="Calibri"/>
          <w:b/>
          <w:color w:val="000000"/>
          <w:sz w:val="10"/>
          <w:szCs w:val="10"/>
        </w:rPr>
      </w:pPr>
    </w:p>
    <w:p w14:paraId="266F8943" w14:textId="1A4F2159" w:rsidR="00BF2AE7" w:rsidRPr="00292F1F" w:rsidRDefault="004E23B3" w:rsidP="00FD215A">
      <w:pPr>
        <w:rPr>
          <w:b/>
          <w:sz w:val="24"/>
        </w:rPr>
      </w:pPr>
      <w:r>
        <w:rPr>
          <w:rFonts w:ascii="Calibri" w:hAnsi="Calibri" w:cs="Calibri"/>
          <w:b/>
          <w:color w:val="000000"/>
          <w:sz w:val="24"/>
        </w:rPr>
        <w:t>3</w:t>
      </w:r>
      <w:r>
        <w:rPr>
          <w:rFonts w:ascii="Calibri" w:hAnsi="Calibri" w:cs="Calibri"/>
          <w:b/>
          <w:color w:val="000000"/>
          <w:sz w:val="24"/>
        </w:rPr>
        <w:softHyphen/>
        <w:t>_B</w:t>
      </w:r>
      <w:r w:rsidR="00BF2AE7" w:rsidRPr="00292F1F">
        <w:rPr>
          <w:rFonts w:ascii="Calibri" w:hAnsi="Calibri" w:cs="Calibri"/>
          <w:b/>
          <w:color w:val="000000"/>
          <w:sz w:val="24"/>
        </w:rPr>
        <w:t>arriers faced by w</w:t>
      </w:r>
      <w:r w:rsidR="00BF2AE7" w:rsidRPr="00292F1F">
        <w:rPr>
          <w:b/>
          <w:sz w:val="24"/>
        </w:rPr>
        <w:t>omen who use drugs</w:t>
      </w:r>
    </w:p>
    <w:p w14:paraId="08EFF13A" w14:textId="31F5064D" w:rsidR="00BF2AE7" w:rsidRPr="00886219" w:rsidRDefault="00BF2AE7" w:rsidP="00597A41">
      <w:pPr>
        <w:jc w:val="both"/>
        <w:rPr>
          <w:rFonts w:cstheme="minorHAnsi"/>
        </w:rPr>
      </w:pPr>
      <w:r w:rsidRPr="00886219">
        <w:rPr>
          <w:rFonts w:cstheme="minorHAnsi"/>
        </w:rPr>
        <w:t>An estimated 3.2 million women inject drugs worldwide, constituting around 20% of all pe</w:t>
      </w:r>
      <w:r>
        <w:rPr>
          <w:rFonts w:cstheme="minorHAnsi"/>
        </w:rPr>
        <w:t>ople who injec</w:t>
      </w:r>
      <w:r w:rsidR="00F64DF3">
        <w:rPr>
          <w:rFonts w:cstheme="minorHAnsi"/>
        </w:rPr>
        <w:t>t drugs</w:t>
      </w:r>
      <w:r w:rsidRPr="00886219">
        <w:rPr>
          <w:rFonts w:cstheme="minorHAnsi"/>
        </w:rPr>
        <w:t xml:space="preserve">. Criminalisation </w:t>
      </w:r>
      <w:r>
        <w:rPr>
          <w:rFonts w:cstheme="minorHAnsi"/>
        </w:rPr>
        <w:t>is</w:t>
      </w:r>
      <w:r w:rsidRPr="00886219">
        <w:rPr>
          <w:rFonts w:cstheme="minorHAnsi"/>
        </w:rPr>
        <w:t xml:space="preserve"> an almost insurmountable barrier for women who use drugs </w:t>
      </w:r>
      <w:r>
        <w:rPr>
          <w:rFonts w:cstheme="minorHAnsi"/>
        </w:rPr>
        <w:t xml:space="preserve">in </w:t>
      </w:r>
      <w:r w:rsidR="004E23B3">
        <w:rPr>
          <w:rFonts w:cstheme="minorHAnsi"/>
        </w:rPr>
        <w:t xml:space="preserve">accessing </w:t>
      </w:r>
      <w:r w:rsidRPr="00886219">
        <w:rPr>
          <w:rFonts w:cstheme="minorHAnsi"/>
        </w:rPr>
        <w:t>services, including S</w:t>
      </w:r>
      <w:r>
        <w:rPr>
          <w:rFonts w:cstheme="minorHAnsi"/>
        </w:rPr>
        <w:t xml:space="preserve">exual and </w:t>
      </w:r>
      <w:r w:rsidRPr="00886219">
        <w:rPr>
          <w:rFonts w:cstheme="minorHAnsi"/>
        </w:rPr>
        <w:t>R</w:t>
      </w:r>
      <w:r>
        <w:rPr>
          <w:rFonts w:cstheme="minorHAnsi"/>
        </w:rPr>
        <w:t xml:space="preserve">eproductive </w:t>
      </w:r>
      <w:r w:rsidRPr="00886219">
        <w:rPr>
          <w:rFonts w:cstheme="minorHAnsi"/>
        </w:rPr>
        <w:t>H</w:t>
      </w:r>
      <w:r>
        <w:rPr>
          <w:rFonts w:cstheme="minorHAnsi"/>
        </w:rPr>
        <w:t>ealth (SRH)</w:t>
      </w:r>
      <w:r w:rsidRPr="00886219">
        <w:rPr>
          <w:rFonts w:cstheme="minorHAnsi"/>
        </w:rPr>
        <w:t xml:space="preserve"> services; it causes and reinforces</w:t>
      </w:r>
      <w:r>
        <w:rPr>
          <w:rFonts w:cstheme="minorHAnsi"/>
        </w:rPr>
        <w:t xml:space="preserve"> stigma </w:t>
      </w:r>
      <w:r w:rsidRPr="00886219">
        <w:rPr>
          <w:rFonts w:cstheme="minorHAnsi"/>
        </w:rPr>
        <w:t>and</w:t>
      </w:r>
      <w:r>
        <w:rPr>
          <w:rFonts w:cstheme="minorHAnsi"/>
        </w:rPr>
        <w:t xml:space="preserve"> d</w:t>
      </w:r>
      <w:r w:rsidRPr="00886219">
        <w:rPr>
          <w:rFonts w:cstheme="minorHAnsi"/>
        </w:rPr>
        <w:t>iscrimination, including by healthcare providers; and it contributes to a lack of services focused on the specific needs of women who use drugs.</w:t>
      </w:r>
    </w:p>
    <w:p w14:paraId="60BF7D39" w14:textId="535E7577" w:rsidR="00BF2AE7" w:rsidRPr="00886219" w:rsidRDefault="00BF2AE7" w:rsidP="001A07AD">
      <w:pPr>
        <w:rPr>
          <w:rFonts w:cstheme="minorHAnsi"/>
          <w:u w:val="single"/>
        </w:rPr>
      </w:pPr>
      <w:r w:rsidRPr="00886219">
        <w:rPr>
          <w:rFonts w:cstheme="minorHAnsi"/>
          <w:u w:val="single"/>
        </w:rPr>
        <w:t>3.1 Lack of gender-sensitive health services</w:t>
      </w:r>
    </w:p>
    <w:p w14:paraId="5A2378C4" w14:textId="3E68EAA5" w:rsidR="00BF2AE7" w:rsidRPr="00EC79BE" w:rsidRDefault="00BF2AE7" w:rsidP="006B3095">
      <w:pPr>
        <w:jc w:val="both"/>
        <w:rPr>
          <w:rFonts w:ascii="Calibri" w:hAnsi="Calibri" w:cs="Calibri"/>
          <w:szCs w:val="18"/>
        </w:rPr>
      </w:pPr>
      <w:r>
        <w:rPr>
          <w:rFonts w:cstheme="minorHAnsi"/>
        </w:rPr>
        <w:t>W</w:t>
      </w:r>
      <w:r w:rsidRPr="00886219">
        <w:rPr>
          <w:rFonts w:cstheme="minorHAnsi"/>
        </w:rPr>
        <w:t>here available, harm reduction services remain overwhelmingly gender-blind or male-focused, and do not integrate SRH services</w:t>
      </w:r>
      <w:r w:rsidR="004E23B3">
        <w:rPr>
          <w:rFonts w:cstheme="minorHAnsi"/>
        </w:rPr>
        <w:t xml:space="preserve"> (including </w:t>
      </w:r>
      <w:r w:rsidR="004E23B3" w:rsidRPr="00886219">
        <w:rPr>
          <w:rFonts w:cstheme="minorHAnsi"/>
        </w:rPr>
        <w:t>pregnancy tests, antenatal care, or other pregnancy-related services</w:t>
      </w:r>
      <w:r w:rsidR="004E23B3">
        <w:rPr>
          <w:rFonts w:cstheme="minorHAnsi"/>
        </w:rPr>
        <w:t>)</w:t>
      </w:r>
      <w:r w:rsidRPr="00886219">
        <w:rPr>
          <w:rFonts w:cstheme="minorHAnsi"/>
        </w:rPr>
        <w:t>, leaving women underserved.</w:t>
      </w:r>
      <w:r w:rsidRPr="00886219">
        <w:rPr>
          <w:rStyle w:val="EndnoteReference"/>
          <w:rFonts w:cstheme="minorHAnsi"/>
        </w:rPr>
        <w:endnoteReference w:id="28"/>
      </w:r>
      <w:r w:rsidRPr="00886219">
        <w:rPr>
          <w:rFonts w:cstheme="minorHAnsi"/>
        </w:rPr>
        <w:t xml:space="preserve"> </w:t>
      </w:r>
      <w:r w:rsidR="00EC79BE" w:rsidRPr="00886219">
        <w:rPr>
          <w:rFonts w:ascii="Calibri" w:hAnsi="Calibri" w:cs="Calibri"/>
          <w:szCs w:val="18"/>
        </w:rPr>
        <w:t>Although women who use drugs are disproportionately exposed to gender-based violence, harm reduction services often do not address gender-based violence, and are ill-equipped to adequately address the interaction between drug use and experiences of violence.</w:t>
      </w:r>
      <w:r w:rsidR="00EC79BE" w:rsidRPr="00886219">
        <w:rPr>
          <w:rStyle w:val="EndnoteReference"/>
          <w:rFonts w:ascii="Calibri" w:hAnsi="Calibri" w:cs="Calibri"/>
          <w:szCs w:val="18"/>
        </w:rPr>
        <w:endnoteReference w:id="29"/>
      </w:r>
      <w:r w:rsidR="00EC79BE" w:rsidRPr="00886219">
        <w:rPr>
          <w:rFonts w:ascii="Calibri" w:hAnsi="Calibri" w:cs="Calibri"/>
          <w:szCs w:val="18"/>
        </w:rPr>
        <w:t xml:space="preserve"> On the other side, services to address gender-based violence or protect women at risk sometimes exclude women on account of drug use.</w:t>
      </w:r>
      <w:r w:rsidR="00EC79BE" w:rsidRPr="00886219">
        <w:rPr>
          <w:rStyle w:val="EndnoteReference"/>
          <w:rFonts w:ascii="Calibri" w:hAnsi="Calibri" w:cs="Calibri"/>
          <w:szCs w:val="18"/>
        </w:rPr>
        <w:endnoteReference w:id="30"/>
      </w:r>
    </w:p>
    <w:p w14:paraId="721D24E2" w14:textId="439A6BFF" w:rsidR="00BF2AE7" w:rsidRDefault="00BF2AE7" w:rsidP="006B3095">
      <w:pPr>
        <w:jc w:val="both"/>
        <w:rPr>
          <w:rFonts w:cstheme="minorHAnsi"/>
        </w:rPr>
      </w:pPr>
      <w:r w:rsidRPr="00886219">
        <w:rPr>
          <w:rFonts w:cstheme="minorHAnsi"/>
        </w:rPr>
        <w:t xml:space="preserve">Discrimination against women who use drugs in healthcare settings, including harm reduction and SRH services, is widespread, resulting in denial of services, provision of services of lesser quality, </w:t>
      </w:r>
      <w:r w:rsidRPr="00886219">
        <w:rPr>
          <w:rFonts w:cstheme="minorHAnsi"/>
          <w:color w:val="000000" w:themeColor="text1"/>
          <w:shd w:val="clear" w:color="auto" w:fill="FFFFFF"/>
        </w:rPr>
        <w:t>longer waiting periods,</w:t>
      </w:r>
      <w:r w:rsidR="00F64DF3">
        <w:rPr>
          <w:rFonts w:cstheme="minorHAnsi"/>
        </w:rPr>
        <w:t xml:space="preserve"> </w:t>
      </w:r>
      <w:r w:rsidRPr="00886219">
        <w:rPr>
          <w:rFonts w:cstheme="minorHAnsi"/>
        </w:rPr>
        <w:t>abuse.</w:t>
      </w:r>
      <w:r w:rsidRPr="00886219">
        <w:rPr>
          <w:rStyle w:val="EndnoteReference"/>
          <w:rFonts w:cstheme="minorHAnsi"/>
        </w:rPr>
        <w:endnoteReference w:id="31"/>
      </w:r>
      <w:r w:rsidRPr="00886219">
        <w:rPr>
          <w:rFonts w:cstheme="minorHAnsi"/>
        </w:rPr>
        <w:t xml:space="preserve"> Further, women are reportedly more likely to be subjected to breaches of confidentiality when accessing harm reduction services.</w:t>
      </w:r>
      <w:r w:rsidRPr="00886219">
        <w:rPr>
          <w:rStyle w:val="EndnoteReference"/>
          <w:rFonts w:cstheme="minorHAnsi"/>
        </w:rPr>
        <w:endnoteReference w:id="32"/>
      </w:r>
      <w:r w:rsidRPr="00886219">
        <w:rPr>
          <w:rFonts w:cstheme="minorHAnsi"/>
        </w:rPr>
        <w:t xml:space="preserve"> This issue is compounded by a lack of dedicated training of healthcare staff about drug use, HIV, and circumstances and needs of women who use drugs.</w:t>
      </w:r>
      <w:r w:rsidRPr="00886219">
        <w:rPr>
          <w:rStyle w:val="EndnoteReference"/>
          <w:rFonts w:cstheme="minorHAnsi"/>
        </w:rPr>
        <w:endnoteReference w:id="33"/>
      </w:r>
      <w:r w:rsidRPr="00886219">
        <w:rPr>
          <w:rFonts w:cstheme="minorHAnsi"/>
        </w:rPr>
        <w:t xml:space="preserve"> </w:t>
      </w:r>
      <w:r>
        <w:rPr>
          <w:rFonts w:cstheme="minorHAnsi"/>
        </w:rPr>
        <w:t>F</w:t>
      </w:r>
      <w:r w:rsidRPr="00886219">
        <w:rPr>
          <w:rFonts w:cstheme="minorHAnsi"/>
        </w:rPr>
        <w:t xml:space="preserve">ear of </w:t>
      </w:r>
      <w:r>
        <w:rPr>
          <w:rFonts w:cstheme="minorHAnsi"/>
        </w:rPr>
        <w:t xml:space="preserve">stigma and </w:t>
      </w:r>
      <w:r w:rsidRPr="00886219">
        <w:rPr>
          <w:rFonts w:cstheme="minorHAnsi"/>
        </w:rPr>
        <w:t>repercussions</w:t>
      </w:r>
      <w:r>
        <w:rPr>
          <w:rFonts w:cstheme="minorHAnsi"/>
        </w:rPr>
        <w:t xml:space="preserve"> hinders </w:t>
      </w:r>
      <w:r w:rsidRPr="00886219">
        <w:rPr>
          <w:rFonts w:cstheme="minorHAnsi"/>
        </w:rPr>
        <w:t xml:space="preserve">women </w:t>
      </w:r>
      <w:r>
        <w:rPr>
          <w:rFonts w:cstheme="minorHAnsi"/>
        </w:rPr>
        <w:t xml:space="preserve">from </w:t>
      </w:r>
      <w:r w:rsidRPr="00886219">
        <w:rPr>
          <w:rFonts w:cstheme="minorHAnsi"/>
        </w:rPr>
        <w:t>communicat</w:t>
      </w:r>
      <w:r>
        <w:rPr>
          <w:rFonts w:cstheme="minorHAnsi"/>
        </w:rPr>
        <w:t>ing</w:t>
      </w:r>
      <w:r w:rsidRPr="00886219">
        <w:rPr>
          <w:rFonts w:cstheme="minorHAnsi"/>
        </w:rPr>
        <w:t xml:space="preserve"> their drug use to healthcare professionals, leading to health interventions which are not tailored to their needs.</w:t>
      </w:r>
      <w:r w:rsidRPr="00886219">
        <w:rPr>
          <w:rStyle w:val="EndnoteReference"/>
          <w:rFonts w:cstheme="minorHAnsi"/>
        </w:rPr>
        <w:endnoteReference w:id="34"/>
      </w:r>
      <w:r w:rsidRPr="00886219">
        <w:rPr>
          <w:rFonts w:cstheme="minorHAnsi"/>
        </w:rPr>
        <w:t xml:space="preserve"> </w:t>
      </w:r>
    </w:p>
    <w:p w14:paraId="42B90B27" w14:textId="1672D6D7" w:rsidR="00BF2AE7" w:rsidRPr="00404723" w:rsidRDefault="00BF2AE7" w:rsidP="006B3095">
      <w:pPr>
        <w:jc w:val="both"/>
        <w:rPr>
          <w:rFonts w:ascii="Calibri" w:hAnsi="Calibri" w:cs="Calibri"/>
          <w:u w:val="single"/>
        </w:rPr>
      </w:pPr>
      <w:r>
        <w:rPr>
          <w:rFonts w:ascii="Calibri" w:hAnsi="Calibri" w:cs="Calibri"/>
          <w:u w:val="single"/>
        </w:rPr>
        <w:t xml:space="preserve">3.2 </w:t>
      </w:r>
      <w:r w:rsidRPr="00404723">
        <w:rPr>
          <w:rFonts w:ascii="Calibri" w:hAnsi="Calibri" w:cs="Calibri"/>
          <w:u w:val="single"/>
        </w:rPr>
        <w:t>Coerced sterilisation and criminalisation of pregnant women who use drugs</w:t>
      </w:r>
    </w:p>
    <w:p w14:paraId="4D5F648B" w14:textId="29A82893" w:rsidR="00BF2AE7" w:rsidRPr="00886219" w:rsidRDefault="00BF2AE7" w:rsidP="006B3095">
      <w:pPr>
        <w:jc w:val="both"/>
        <w:rPr>
          <w:rFonts w:cstheme="minorHAnsi"/>
        </w:rPr>
      </w:pPr>
      <w:r w:rsidRPr="00886219">
        <w:rPr>
          <w:rFonts w:cstheme="minorHAnsi"/>
          <w:iCs/>
        </w:rPr>
        <w:t xml:space="preserve">Women who use drugs </w:t>
      </w:r>
      <w:r>
        <w:rPr>
          <w:rFonts w:cstheme="minorHAnsi"/>
          <w:iCs/>
        </w:rPr>
        <w:t xml:space="preserve">can </w:t>
      </w:r>
      <w:r w:rsidRPr="00886219">
        <w:rPr>
          <w:rFonts w:cstheme="minorHAnsi"/>
          <w:iCs/>
        </w:rPr>
        <w:t xml:space="preserve">experience </w:t>
      </w:r>
      <w:r w:rsidR="00EC79BE">
        <w:rPr>
          <w:rFonts w:cstheme="minorHAnsi"/>
        </w:rPr>
        <w:t>pressure or coercion</w:t>
      </w:r>
      <w:r w:rsidRPr="00886219">
        <w:rPr>
          <w:rFonts w:cstheme="minorHAnsi"/>
        </w:rPr>
        <w:t xml:space="preserve"> to adopt potentially irreversib</w:t>
      </w:r>
      <w:r w:rsidR="00EC79BE">
        <w:rPr>
          <w:rFonts w:cstheme="minorHAnsi"/>
        </w:rPr>
        <w:t>le methods of contraception</w:t>
      </w:r>
      <w:r w:rsidRPr="00886219">
        <w:rPr>
          <w:rFonts w:cstheme="minorHAnsi"/>
        </w:rPr>
        <w:t>. Campaigns that pressure women who use drugs to undergo sterilisatio</w:t>
      </w:r>
      <w:r w:rsidR="00EC79BE">
        <w:rPr>
          <w:rFonts w:cstheme="minorHAnsi"/>
        </w:rPr>
        <w:t>n are reported in UK and</w:t>
      </w:r>
      <w:r w:rsidRPr="00886219">
        <w:rPr>
          <w:rFonts w:cstheme="minorHAnsi"/>
        </w:rPr>
        <w:t xml:space="preserve"> US, rooted in stigmatisation and prejudice.</w:t>
      </w:r>
      <w:r w:rsidRPr="00886219">
        <w:rPr>
          <w:rStyle w:val="EndnoteReference"/>
          <w:rFonts w:cstheme="minorHAnsi"/>
        </w:rPr>
        <w:endnoteReference w:id="35"/>
      </w:r>
      <w:r w:rsidRPr="00886219">
        <w:rPr>
          <w:rFonts w:cstheme="minorHAnsi"/>
        </w:rPr>
        <w:t xml:space="preserve"> Coerced sterilisatio</w:t>
      </w:r>
      <w:r w:rsidR="004E23B3">
        <w:rPr>
          <w:rFonts w:cstheme="minorHAnsi"/>
        </w:rPr>
        <w:t xml:space="preserve">n of women living with HIV is </w:t>
      </w:r>
      <w:r w:rsidRPr="00886219">
        <w:rPr>
          <w:rFonts w:cstheme="minorHAnsi"/>
        </w:rPr>
        <w:t>reported in South Africa.</w:t>
      </w:r>
      <w:r w:rsidRPr="00886219">
        <w:rPr>
          <w:rStyle w:val="EndnoteReference"/>
          <w:rFonts w:cstheme="minorHAnsi"/>
        </w:rPr>
        <w:endnoteReference w:id="36"/>
      </w:r>
      <w:r w:rsidR="004E23B3">
        <w:rPr>
          <w:rFonts w:cstheme="minorHAnsi"/>
        </w:rPr>
        <w:t xml:space="preserve"> I</w:t>
      </w:r>
      <w:r w:rsidRPr="00404723">
        <w:rPr>
          <w:rFonts w:ascii="Calibri" w:hAnsi="Calibri" w:cs="Calibri"/>
        </w:rPr>
        <w:t>n countries such as Russia and Ukraine women who use drugs have been pressured to undergo abortions or</w:t>
      </w:r>
      <w:r w:rsidR="00EC79BE">
        <w:rPr>
          <w:rFonts w:ascii="Calibri" w:hAnsi="Calibri" w:cs="Calibri"/>
        </w:rPr>
        <w:t xml:space="preserve"> relinquish their new-borns</w:t>
      </w:r>
      <w:r w:rsidRPr="00404723">
        <w:rPr>
          <w:rFonts w:ascii="Calibri" w:hAnsi="Calibri" w:cs="Calibri"/>
        </w:rPr>
        <w:t>.</w:t>
      </w:r>
      <w:r w:rsidRPr="00404723">
        <w:rPr>
          <w:rStyle w:val="EndnoteReference"/>
          <w:rFonts w:ascii="Calibri" w:hAnsi="Calibri" w:cs="Calibri"/>
        </w:rPr>
        <w:endnoteReference w:id="37"/>
      </w:r>
    </w:p>
    <w:p w14:paraId="4B3E91EB" w14:textId="7ACF7A3F" w:rsidR="00292F1F" w:rsidRDefault="00BF2AE7" w:rsidP="00597A41">
      <w:pPr>
        <w:spacing w:before="240"/>
        <w:jc w:val="both"/>
        <w:rPr>
          <w:rFonts w:cstheme="minorHAnsi"/>
        </w:rPr>
      </w:pPr>
      <w:r>
        <w:rPr>
          <w:rFonts w:cstheme="minorHAnsi"/>
        </w:rPr>
        <w:t>P</w:t>
      </w:r>
      <w:r w:rsidRPr="00404723">
        <w:rPr>
          <w:rFonts w:cstheme="minorHAnsi"/>
        </w:rPr>
        <w:t xml:space="preserve">unitive laws or attitudes </w:t>
      </w:r>
      <w:r w:rsidR="00EC79BE">
        <w:rPr>
          <w:rFonts w:cstheme="minorHAnsi"/>
        </w:rPr>
        <w:t>perceive</w:t>
      </w:r>
      <w:r>
        <w:rPr>
          <w:rFonts w:cstheme="minorHAnsi"/>
        </w:rPr>
        <w:t xml:space="preserve"> </w:t>
      </w:r>
      <w:r w:rsidRPr="00404723">
        <w:rPr>
          <w:rFonts w:cstheme="minorHAnsi"/>
        </w:rPr>
        <w:t>women who use drugs a</w:t>
      </w:r>
      <w:r>
        <w:rPr>
          <w:rFonts w:cstheme="minorHAnsi"/>
        </w:rPr>
        <w:t xml:space="preserve">s </w:t>
      </w:r>
      <w:r w:rsidR="004E23B3">
        <w:rPr>
          <w:rFonts w:cstheme="minorHAnsi"/>
        </w:rPr>
        <w:t>either ‘bad mothers’</w:t>
      </w:r>
      <w:r w:rsidRPr="00404723">
        <w:rPr>
          <w:rFonts w:cstheme="minorHAnsi"/>
        </w:rPr>
        <w:t xml:space="preserve"> and/or </w:t>
      </w:r>
      <w:r w:rsidRPr="00597A41">
        <w:rPr>
          <w:rFonts w:cstheme="minorHAnsi"/>
          <w:b/>
        </w:rPr>
        <w:t>criminalise</w:t>
      </w:r>
      <w:r>
        <w:rPr>
          <w:rFonts w:cstheme="minorHAnsi"/>
          <w:b/>
        </w:rPr>
        <w:t xml:space="preserve"> them</w:t>
      </w:r>
      <w:r w:rsidRPr="00597A41">
        <w:rPr>
          <w:rFonts w:cstheme="minorHAnsi"/>
          <w:b/>
        </w:rPr>
        <w:t xml:space="preserve"> </w:t>
      </w:r>
      <w:r>
        <w:rPr>
          <w:rFonts w:cstheme="minorHAnsi"/>
          <w:b/>
        </w:rPr>
        <w:t>for</w:t>
      </w:r>
      <w:r w:rsidRPr="00597A41">
        <w:rPr>
          <w:rFonts w:cstheme="minorHAnsi"/>
          <w:b/>
        </w:rPr>
        <w:t xml:space="preserve"> using drugs during pregnancy</w:t>
      </w:r>
      <w:r>
        <w:rPr>
          <w:rFonts w:cstheme="minorHAnsi"/>
        </w:rPr>
        <w:t>.</w:t>
      </w:r>
      <w:r w:rsidRPr="00404723">
        <w:rPr>
          <w:rStyle w:val="EndnoteReference"/>
          <w:rFonts w:cstheme="minorHAnsi"/>
        </w:rPr>
        <w:endnoteReference w:id="38"/>
      </w:r>
      <w:r w:rsidRPr="00404723">
        <w:rPr>
          <w:rFonts w:cstheme="minorHAnsi"/>
        </w:rPr>
        <w:t xml:space="preserve"> In some contexts</w:t>
      </w:r>
      <w:r w:rsidR="00292F1F">
        <w:rPr>
          <w:rFonts w:cstheme="minorHAnsi"/>
        </w:rPr>
        <w:t>,</w:t>
      </w:r>
      <w:r w:rsidRPr="00404723">
        <w:rPr>
          <w:rFonts w:cstheme="minorHAnsi"/>
        </w:rPr>
        <w:t xml:space="preserve"> drug use is in itself defined as a form of child abuse, while in others the stigmatisation surrou</w:t>
      </w:r>
      <w:r w:rsidR="004E23B3">
        <w:rPr>
          <w:rFonts w:cstheme="minorHAnsi"/>
        </w:rPr>
        <w:t xml:space="preserve">nding it enables </w:t>
      </w:r>
      <w:r w:rsidRPr="00404723">
        <w:rPr>
          <w:rFonts w:cstheme="minorHAnsi"/>
        </w:rPr>
        <w:t>prejudiced evaluation</w:t>
      </w:r>
      <w:r>
        <w:rPr>
          <w:rFonts w:cstheme="minorHAnsi"/>
        </w:rPr>
        <w:t>s</w:t>
      </w:r>
      <w:r w:rsidRPr="00404723">
        <w:rPr>
          <w:rFonts w:cstheme="minorHAnsi"/>
        </w:rPr>
        <w:t xml:space="preserve"> of women’s ability to care for their children. </w:t>
      </w:r>
      <w:r w:rsidRPr="00404723">
        <w:rPr>
          <w:rFonts w:ascii="Calibri" w:hAnsi="Calibri" w:cs="Calibri"/>
        </w:rPr>
        <w:t>In Norway, women who use drugs during pregnancy can be incarcerated until they give birth or terminate their pregnancy.</w:t>
      </w:r>
      <w:r w:rsidRPr="00404723">
        <w:rPr>
          <w:rStyle w:val="EndnoteReference"/>
          <w:rFonts w:ascii="Calibri" w:hAnsi="Calibri" w:cs="Calibri"/>
        </w:rPr>
        <w:endnoteReference w:id="39"/>
      </w:r>
      <w:r>
        <w:rPr>
          <w:rFonts w:ascii="Calibri" w:hAnsi="Calibri" w:cs="Calibri"/>
        </w:rPr>
        <w:t xml:space="preserve"> </w:t>
      </w:r>
      <w:r>
        <w:rPr>
          <w:rFonts w:cstheme="minorHAnsi"/>
        </w:rPr>
        <w:t>Similarly</w:t>
      </w:r>
      <w:r w:rsidR="00292F1F">
        <w:rPr>
          <w:rFonts w:cstheme="minorHAnsi"/>
        </w:rPr>
        <w:t>, ‘fetal assault laws’</w:t>
      </w:r>
      <w:r w:rsidRPr="00404723">
        <w:rPr>
          <w:rFonts w:cstheme="minorHAnsi"/>
        </w:rPr>
        <w:t xml:space="preserve"> in US states criminalise drug use during pregnancy, allowing for arrest and prosecution. As of 2015, 45 US states had prosecuted women for using drugs during pregnancy, 18 sanctioned drug use during pregnancy as child abuse, 15 required healthcare workers to report drug use du</w:t>
      </w:r>
      <w:r w:rsidR="00EC79BE">
        <w:rPr>
          <w:rFonts w:cstheme="minorHAnsi"/>
        </w:rPr>
        <w:t>ring pregnancy, and three</w:t>
      </w:r>
      <w:r w:rsidRPr="00404723">
        <w:rPr>
          <w:rFonts w:cstheme="minorHAnsi"/>
        </w:rPr>
        <w:t xml:space="preserve"> forced pregnant women to undergo drug treatment.</w:t>
      </w:r>
      <w:r w:rsidRPr="00404723">
        <w:rPr>
          <w:rStyle w:val="EndnoteReference"/>
          <w:rFonts w:cstheme="minorHAnsi"/>
        </w:rPr>
        <w:endnoteReference w:id="40"/>
      </w:r>
      <w:r w:rsidRPr="00404723">
        <w:rPr>
          <w:rFonts w:cstheme="minorHAnsi"/>
        </w:rPr>
        <w:t xml:space="preserve"> </w:t>
      </w:r>
      <w:r w:rsidR="00292F1F">
        <w:rPr>
          <w:rFonts w:cstheme="minorHAnsi"/>
        </w:rPr>
        <w:t>These</w:t>
      </w:r>
      <w:r w:rsidR="004E23B3">
        <w:rPr>
          <w:rFonts w:cstheme="minorHAnsi"/>
        </w:rPr>
        <w:t xml:space="preserve"> laws/</w:t>
      </w:r>
      <w:r w:rsidRPr="00404723">
        <w:rPr>
          <w:rFonts w:cstheme="minorHAnsi"/>
        </w:rPr>
        <w:t>policies are neither necessary nor proportionate to achieve publ</w:t>
      </w:r>
      <w:r w:rsidR="00EC79BE">
        <w:rPr>
          <w:rFonts w:cstheme="minorHAnsi"/>
        </w:rPr>
        <w:t xml:space="preserve">ic health goals; </w:t>
      </w:r>
      <w:r w:rsidRPr="00404723">
        <w:rPr>
          <w:rFonts w:cstheme="minorHAnsi"/>
        </w:rPr>
        <w:t>they violate the rights of both women and children, and deter women who use drugs from seeking antenatal and postnatal</w:t>
      </w:r>
      <w:r>
        <w:rPr>
          <w:rFonts w:cstheme="minorHAnsi"/>
        </w:rPr>
        <w:t xml:space="preserve"> care, as well as support when they experience violence or abuse.</w:t>
      </w:r>
    </w:p>
    <w:p w14:paraId="0DFA611D" w14:textId="77777777" w:rsidR="00292F1F" w:rsidRPr="00292F1F" w:rsidRDefault="00292F1F" w:rsidP="00597A41">
      <w:pPr>
        <w:spacing w:before="240"/>
        <w:jc w:val="both"/>
        <w:rPr>
          <w:rFonts w:cstheme="minorHAnsi"/>
          <w:sz w:val="10"/>
          <w:szCs w:val="10"/>
        </w:rPr>
      </w:pPr>
    </w:p>
    <w:p w14:paraId="3D859E59" w14:textId="37532966" w:rsidR="00BF2AE7" w:rsidRPr="00292F1F" w:rsidRDefault="004E23B3" w:rsidP="0053696E">
      <w:pPr>
        <w:jc w:val="both"/>
        <w:rPr>
          <w:rFonts w:cstheme="minorHAnsi"/>
          <w:b/>
          <w:sz w:val="24"/>
        </w:rPr>
      </w:pPr>
      <w:r>
        <w:rPr>
          <w:rFonts w:cstheme="minorHAnsi"/>
          <w:b/>
          <w:sz w:val="24"/>
        </w:rPr>
        <w:t>4_Go</w:t>
      </w:r>
      <w:r w:rsidR="00BF2AE7" w:rsidRPr="00292F1F">
        <w:rPr>
          <w:rFonts w:cstheme="minorHAnsi"/>
          <w:b/>
          <w:sz w:val="24"/>
        </w:rPr>
        <w:t>od practices</w:t>
      </w:r>
    </w:p>
    <w:p w14:paraId="3C8554F4" w14:textId="1B3BCAAA" w:rsidR="00BF2AE7" w:rsidRPr="0000632D" w:rsidRDefault="00BF2AE7" w:rsidP="0053696E">
      <w:pPr>
        <w:jc w:val="both"/>
        <w:rPr>
          <w:rFonts w:cstheme="minorHAnsi"/>
          <w:u w:val="single"/>
        </w:rPr>
      </w:pPr>
      <w:r>
        <w:rPr>
          <w:rFonts w:cstheme="minorHAnsi"/>
          <w:u w:val="single"/>
        </w:rPr>
        <w:t>4.1 Integrated services</w:t>
      </w:r>
    </w:p>
    <w:p w14:paraId="7FE6F0E6" w14:textId="61A45D3C" w:rsidR="00BF2AE7" w:rsidRDefault="00BF2AE7" w:rsidP="0053696E">
      <w:pPr>
        <w:jc w:val="both"/>
      </w:pPr>
      <w:r>
        <w:t>Integrated harm reduction services are sites/organisations that provide one or more ‘traditional’ harm reduction services alongside other health and social services</w:t>
      </w:r>
      <w:r w:rsidR="00292F1F">
        <w:t>,</w:t>
      </w:r>
      <w:r>
        <w:t xml:space="preserve"> such as </w:t>
      </w:r>
      <w:r w:rsidR="00292F1F">
        <w:t>those</w:t>
      </w:r>
      <w:r>
        <w:t xml:space="preserve"> seeking to address mental health, housing</w:t>
      </w:r>
      <w:r w:rsidR="00EC79BE">
        <w:t xml:space="preserve"> insecurity</w:t>
      </w:r>
      <w:r>
        <w:t>,</w:t>
      </w:r>
      <w:r w:rsidR="00EC79BE">
        <w:t xml:space="preserve"> or gender-based violence. They are</w:t>
      </w:r>
      <w:r>
        <w:t xml:space="preserve"> effective from a health perspective, more accessible than traditional services, and cost-effective.</w:t>
      </w:r>
      <w:r>
        <w:rPr>
          <w:rStyle w:val="EndnoteReference"/>
        </w:rPr>
        <w:endnoteReference w:id="41"/>
      </w:r>
      <w:r>
        <w:t xml:space="preserve"> For integrated services to realise their full potential, a key element is the leadership and involvement of people who use drugs in the</w:t>
      </w:r>
      <w:r w:rsidR="004E23B3">
        <w:t>ir</w:t>
      </w:r>
      <w:r>
        <w:t xml:space="preserve"> design, m</w:t>
      </w:r>
      <w:r w:rsidR="004E23B3">
        <w:t>anagement, and implementation</w:t>
      </w:r>
      <w:r>
        <w:t>.</w:t>
      </w:r>
    </w:p>
    <w:p w14:paraId="439D27FB" w14:textId="4CFA3AC9" w:rsidR="00BF2AE7" w:rsidRDefault="00BF2AE7" w:rsidP="00597A41">
      <w:pPr>
        <w:jc w:val="both"/>
        <w:rPr>
          <w:rFonts w:ascii="Calibri" w:hAnsi="Calibri" w:cs="Calibri"/>
        </w:rPr>
      </w:pPr>
      <w:r>
        <w:t>With regard to women, r</w:t>
      </w:r>
      <w:r w:rsidRPr="00404723">
        <w:rPr>
          <w:rFonts w:ascii="Calibri" w:hAnsi="Calibri" w:cs="Calibri"/>
        </w:rPr>
        <w:t>esearch shows that integrating SRH services in harm reduction services</w:t>
      </w:r>
      <w:r>
        <w:rPr>
          <w:rFonts w:ascii="Calibri" w:hAnsi="Calibri" w:cs="Calibri"/>
        </w:rPr>
        <w:t>, and promoting the active participation of women who use drugs in design, monitoring and provision of services,</w:t>
      </w:r>
      <w:r w:rsidRPr="00404723">
        <w:rPr>
          <w:rFonts w:ascii="Calibri" w:hAnsi="Calibri" w:cs="Calibri"/>
        </w:rPr>
        <w:t xml:space="preserve"> can be highly beneficial, enabling women who use drugs to access multiple services in one, non-judgmental setting where their specific needs are understood and addressed.</w:t>
      </w:r>
      <w:r w:rsidRPr="00404723">
        <w:rPr>
          <w:rStyle w:val="EndnoteReference"/>
          <w:rFonts w:ascii="Calibri" w:hAnsi="Calibri" w:cs="Calibri"/>
        </w:rPr>
        <w:endnoteReference w:id="42"/>
      </w:r>
      <w:r>
        <w:rPr>
          <w:rFonts w:ascii="Calibri" w:hAnsi="Calibri" w:cs="Calibri"/>
        </w:rPr>
        <w:t xml:space="preserve"> </w:t>
      </w:r>
      <w:r w:rsidRPr="00404723">
        <w:rPr>
          <w:rFonts w:ascii="Calibri" w:hAnsi="Calibri" w:cs="Calibri"/>
        </w:rPr>
        <w:t>In 2018, the Guttmacher-Lancet Commission on SRHR</w:t>
      </w:r>
      <w:r w:rsidR="00EC79BE">
        <w:rPr>
          <w:rFonts w:ascii="Calibri" w:hAnsi="Calibri" w:cs="Calibri"/>
        </w:rPr>
        <w:t xml:space="preserve"> </w:t>
      </w:r>
      <w:r w:rsidRPr="00404723">
        <w:rPr>
          <w:rFonts w:ascii="Calibri" w:hAnsi="Calibri" w:cs="Calibri"/>
        </w:rPr>
        <w:t xml:space="preserve">provided a new, comprehensive and integrated definition of SRHR, outlining components of SRHR that </w:t>
      </w:r>
      <w:r>
        <w:rPr>
          <w:rFonts w:ascii="Calibri" w:hAnsi="Calibri" w:cs="Calibri"/>
        </w:rPr>
        <w:t>should be universally available</w:t>
      </w:r>
      <w:r w:rsidR="00EC79BE">
        <w:rPr>
          <w:rFonts w:ascii="Calibri" w:hAnsi="Calibri" w:cs="Calibri"/>
        </w:rPr>
        <w:t>;</w:t>
      </w:r>
      <w:r w:rsidR="00EC79BE" w:rsidRPr="00404723">
        <w:rPr>
          <w:rStyle w:val="EndnoteReference"/>
          <w:rFonts w:ascii="Calibri" w:hAnsi="Calibri" w:cs="Calibri"/>
        </w:rPr>
        <w:endnoteReference w:id="43"/>
      </w:r>
      <w:r w:rsidR="00EC79BE">
        <w:rPr>
          <w:rFonts w:ascii="Calibri" w:hAnsi="Calibri" w:cs="Calibri"/>
        </w:rPr>
        <w:t xml:space="preserve"> all of the </w:t>
      </w:r>
      <w:r w:rsidRPr="00404723">
        <w:rPr>
          <w:rFonts w:ascii="Calibri" w:hAnsi="Calibri" w:cs="Calibri"/>
        </w:rPr>
        <w:t xml:space="preserve">services </w:t>
      </w:r>
      <w:r w:rsidR="00EC79BE">
        <w:rPr>
          <w:rFonts w:ascii="Calibri" w:hAnsi="Calibri" w:cs="Calibri"/>
        </w:rPr>
        <w:t xml:space="preserve">identified therein </w:t>
      </w:r>
      <w:r w:rsidRPr="00404723">
        <w:rPr>
          <w:rFonts w:ascii="Calibri" w:hAnsi="Calibri" w:cs="Calibri"/>
        </w:rPr>
        <w:t>can be incorporated into harm reduction services</w:t>
      </w:r>
      <w:r w:rsidR="00292F1F">
        <w:rPr>
          <w:rFonts w:ascii="Calibri" w:hAnsi="Calibri" w:cs="Calibri"/>
        </w:rPr>
        <w:t>,</w:t>
      </w:r>
      <w:r w:rsidR="00EC79BE">
        <w:rPr>
          <w:rFonts w:ascii="Calibri" w:hAnsi="Calibri" w:cs="Calibri"/>
        </w:rPr>
        <w:t xml:space="preserve"> and vica</w:t>
      </w:r>
      <w:r w:rsidRPr="00404723">
        <w:rPr>
          <w:rFonts w:ascii="Calibri" w:hAnsi="Calibri" w:cs="Calibri"/>
        </w:rPr>
        <w:t xml:space="preserve">versa. </w:t>
      </w:r>
    </w:p>
    <w:p w14:paraId="4FA42B74" w14:textId="26D5C993" w:rsidR="00BF2AE7" w:rsidRDefault="00BF2AE7" w:rsidP="0000632D">
      <w:pPr>
        <w:rPr>
          <w:u w:val="single"/>
        </w:rPr>
      </w:pPr>
      <w:r>
        <w:rPr>
          <w:u w:val="single"/>
        </w:rPr>
        <w:t>4.2 Local policies</w:t>
      </w:r>
    </w:p>
    <w:p w14:paraId="6823DBE0" w14:textId="3C461E37" w:rsidR="0000632D" w:rsidRDefault="00EC79BE" w:rsidP="0000632D">
      <w:pPr>
        <w:jc w:val="both"/>
      </w:pPr>
      <w:r>
        <w:t>Absent</w:t>
      </w:r>
      <w:r w:rsidR="00BF2AE7">
        <w:t xml:space="preserve"> sustained investment and/or support by the n</w:t>
      </w:r>
      <w:bookmarkStart w:id="0" w:name="_GoBack"/>
      <w:bookmarkEnd w:id="0"/>
      <w:r w:rsidR="00BF2AE7">
        <w:t>ational government, local authorities have in some cases introduced progressive policies and practices to expand access to harm reduction and other health services, and reduce criminalisation, stigma and discrimination against people who use drugs. One example is that o</w:t>
      </w:r>
      <w:r w:rsidR="004E23B3">
        <w:t>f the city government of Liège</w:t>
      </w:r>
      <w:r w:rsidR="00BF2AE7">
        <w:t>, which recently opened the first drug consumption room in Belgium, without official authorisation by the national government. For more examples, we refer to HRI and Release submission to OHCHR on HRC Resolution 39/7 on Local Government and Human Rights.</w:t>
      </w:r>
      <w:r w:rsidR="00BF2AE7">
        <w:rPr>
          <w:rStyle w:val="EndnoteReference"/>
        </w:rPr>
        <w:endnoteReference w:id="44"/>
      </w:r>
      <w:r w:rsidR="00BF2AE7">
        <w:t xml:space="preserve"> </w:t>
      </w:r>
    </w:p>
    <w:p w14:paraId="699D1E7A" w14:textId="77777777" w:rsidR="00292F1F" w:rsidRPr="00566B5C" w:rsidRDefault="00292F1F" w:rsidP="0000632D">
      <w:pPr>
        <w:jc w:val="both"/>
      </w:pPr>
    </w:p>
    <w:sectPr w:rsidR="00292F1F" w:rsidRPr="00566B5C" w:rsidSect="007C6F0E">
      <w:headerReference w:type="default" r:id="rId12"/>
      <w:footerReference w:type="default" r:id="rId13"/>
      <w:footerReference w:type="first" r:id="rId14"/>
      <w:endnotePr>
        <w:numFmt w:val="decimal"/>
      </w:endnotePr>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2F7E" w16cex:dateUtc="2022-02-15T13:56:00Z"/>
  <w16cex:commentExtensible w16cex:durableId="25B6305E" w16cex:dateUtc="2022-02-15T13:59:00Z"/>
  <w16cex:commentExtensible w16cex:durableId="25B65080" w16cex:dateUtc="2022-02-15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752DE" w16cid:durableId="25B62F7E"/>
  <w16cid:commentId w16cid:paraId="3B13C993" w16cid:durableId="25B6305E"/>
  <w16cid:commentId w16cid:paraId="187697EC" w16cid:durableId="25B650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2AD27" w14:textId="77777777" w:rsidR="000E03E3" w:rsidRDefault="000E03E3" w:rsidP="00104E07">
      <w:pPr>
        <w:spacing w:after="0" w:line="240" w:lineRule="auto"/>
      </w:pPr>
      <w:r>
        <w:separator/>
      </w:r>
    </w:p>
  </w:endnote>
  <w:endnote w:type="continuationSeparator" w:id="0">
    <w:p w14:paraId="3EE07629" w14:textId="77777777" w:rsidR="000E03E3" w:rsidRDefault="000E03E3" w:rsidP="00104E07">
      <w:pPr>
        <w:spacing w:after="0" w:line="240" w:lineRule="auto"/>
      </w:pPr>
      <w:r>
        <w:continuationSeparator/>
      </w:r>
    </w:p>
  </w:endnote>
  <w:endnote w:id="1">
    <w:p w14:paraId="43CE84ED" w14:textId="575D11D5" w:rsidR="00BF2AE7" w:rsidRPr="00300727" w:rsidRDefault="00BF2AE7" w:rsidP="0000632D">
      <w:pPr>
        <w:pStyle w:val="EndnoteText"/>
        <w:rPr>
          <w:rFonts w:ascii="Calibri" w:hAnsi="Calibri" w:cs="Calibri"/>
          <w:sz w:val="16"/>
          <w:szCs w:val="16"/>
          <w:lang w:val="en-US"/>
        </w:rPr>
      </w:pPr>
      <w:r w:rsidRPr="00300727">
        <w:rPr>
          <w:rStyle w:val="EndnoteReference"/>
          <w:rFonts w:ascii="Calibri" w:hAnsi="Calibri" w:cs="Calibri"/>
          <w:sz w:val="16"/>
          <w:szCs w:val="16"/>
        </w:rPr>
        <w:endnoteRef/>
      </w:r>
      <w:r w:rsidRPr="00300727">
        <w:rPr>
          <w:rFonts w:ascii="Calibri" w:hAnsi="Calibri" w:cs="Calibri"/>
          <w:sz w:val="16"/>
          <w:szCs w:val="16"/>
        </w:rPr>
        <w:t xml:space="preserve"> UNODC (2021), ‘World Drug Report 2021’ (Vienna: UNODC), </w:t>
      </w:r>
      <w:hyperlink r:id="rId1" w:history="1">
        <w:r w:rsidRPr="00300727">
          <w:rPr>
            <w:rStyle w:val="Hyperlink"/>
            <w:rFonts w:ascii="Calibri" w:hAnsi="Calibri" w:cs="Calibri"/>
            <w:sz w:val="16"/>
            <w:szCs w:val="16"/>
          </w:rPr>
          <w:t>https://www.unodc.org/unodc/en/data-and-analysis/wdr2021.html</w:t>
        </w:r>
      </w:hyperlink>
      <w:r w:rsidRPr="00300727">
        <w:rPr>
          <w:rFonts w:ascii="Calibri" w:hAnsi="Calibri" w:cs="Calibri"/>
          <w:sz w:val="16"/>
          <w:szCs w:val="16"/>
        </w:rPr>
        <w:t>.</w:t>
      </w:r>
    </w:p>
  </w:endnote>
  <w:endnote w:id="2">
    <w:p w14:paraId="65BF0919" w14:textId="30016DB2" w:rsidR="00BF2AE7" w:rsidRPr="00300727" w:rsidRDefault="00BF2AE7" w:rsidP="006A7B33">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Ibid., Booklet 2.  </w:t>
      </w:r>
    </w:p>
  </w:endnote>
  <w:endnote w:id="3">
    <w:p w14:paraId="6785F62F" w14:textId="54C03E82" w:rsidR="00BF2AE7" w:rsidRPr="00300727" w:rsidRDefault="00BF2AE7">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UNAIDS (2021), ‘Confronting Inequalities: Lessons for pandemic responses from 40 years of AIDS’ (Geneva: UNAIDS), </w:t>
      </w:r>
      <w:hyperlink r:id="rId2" w:history="1">
        <w:r w:rsidRPr="00300727">
          <w:rPr>
            <w:rStyle w:val="Hyperlink"/>
            <w:rFonts w:ascii="Calibri" w:hAnsi="Calibri" w:cs="Calibri"/>
            <w:sz w:val="16"/>
            <w:szCs w:val="16"/>
          </w:rPr>
          <w:t>https://www.unaids.org/sites/default/files/media_asset/2021-global-aids-update_en.pdf</w:t>
        </w:r>
      </w:hyperlink>
      <w:r w:rsidRPr="00300727">
        <w:rPr>
          <w:rFonts w:ascii="Calibri" w:hAnsi="Calibri" w:cs="Calibri"/>
          <w:sz w:val="16"/>
          <w:szCs w:val="16"/>
        </w:rPr>
        <w:t xml:space="preserve">. </w:t>
      </w:r>
    </w:p>
  </w:endnote>
  <w:endnote w:id="4">
    <w:p w14:paraId="27585EC8" w14:textId="42932269" w:rsidR="00BF2AE7" w:rsidRPr="00300727" w:rsidRDefault="00BF2AE7" w:rsidP="0000632D">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43% in Eastern Europe and Central Asia, 18% in Asia, and 25% in the Middle East and North Africa. Ibid.</w:t>
      </w:r>
    </w:p>
  </w:endnote>
  <w:endnote w:id="5">
    <w:p w14:paraId="0DE5A8D4" w14:textId="079B59B3" w:rsidR="00BF2AE7" w:rsidRPr="00300727" w:rsidRDefault="00BF2AE7">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UNAIDS (2021), ‘HIV and People who Use Drugs’, </w:t>
      </w:r>
      <w:hyperlink r:id="rId3" w:history="1">
        <w:r w:rsidRPr="00300727">
          <w:rPr>
            <w:rStyle w:val="Hyperlink"/>
            <w:rFonts w:ascii="Calibri" w:hAnsi="Calibri" w:cs="Calibri"/>
            <w:sz w:val="16"/>
            <w:szCs w:val="16"/>
          </w:rPr>
          <w:t>https://www.unaids.org/sites/default/files/media_asset/02-hiv-human-rights-factsheet-people-who-use-drugs_en.pdf</w:t>
        </w:r>
      </w:hyperlink>
      <w:r w:rsidRPr="00300727">
        <w:rPr>
          <w:rFonts w:ascii="Calibri" w:hAnsi="Calibri" w:cs="Calibri"/>
          <w:sz w:val="16"/>
          <w:szCs w:val="16"/>
        </w:rPr>
        <w:t>.</w:t>
      </w:r>
    </w:p>
  </w:endnote>
  <w:endnote w:id="6">
    <w:p w14:paraId="79D07607" w14:textId="0243B617" w:rsidR="00BF2AE7" w:rsidRPr="00300727" w:rsidRDefault="00BF2AE7">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As defined in UNGA, ‘Political Declaration on HIV/AIDS’ (8 June 2021), para. 63(e), 65(a), 65(e). </w:t>
      </w:r>
    </w:p>
  </w:endnote>
  <w:endnote w:id="7">
    <w:p w14:paraId="3453C7F3" w14:textId="45575594" w:rsidR="00BF2AE7" w:rsidRPr="00300727" w:rsidRDefault="00BF2AE7" w:rsidP="001C0E18">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w:t>
      </w:r>
      <w:r w:rsidRPr="00300727">
        <w:rPr>
          <w:rFonts w:ascii="Calibri" w:hAnsi="Calibri" w:cs="Calibri"/>
          <w:color w:val="000000" w:themeColor="text1"/>
          <w:sz w:val="16"/>
          <w:szCs w:val="16"/>
        </w:rPr>
        <w:t>Kora DeBeck et al (2017)</w:t>
      </w:r>
      <w:r w:rsidRPr="00300727">
        <w:rPr>
          <w:rFonts w:ascii="Calibri" w:hAnsi="Calibri" w:cs="Calibri"/>
          <w:color w:val="000000" w:themeColor="text1"/>
          <w:sz w:val="16"/>
          <w:szCs w:val="16"/>
          <w:lang w:val="en-US"/>
        </w:rPr>
        <w:t>,’HIV and the criminalisation of drug use among people who inject drugs: a systematic review’, The Lancet HIV 4(8), E357 – E374.</w:t>
      </w:r>
    </w:p>
  </w:endnote>
  <w:endnote w:id="8">
    <w:p w14:paraId="73173A27" w14:textId="427AEBD4" w:rsidR="00BF2AE7" w:rsidRPr="00300727" w:rsidRDefault="00BF2AE7" w:rsidP="0000632D">
      <w:pPr>
        <w:pStyle w:val="EndnoteText"/>
        <w:rPr>
          <w:rFonts w:ascii="Calibri" w:hAnsi="Calibri" w:cs="Calibri"/>
          <w:color w:val="000000" w:themeColor="text1"/>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w:t>
      </w:r>
      <w:r w:rsidRPr="00300727">
        <w:rPr>
          <w:rFonts w:ascii="Calibri" w:hAnsi="Calibri" w:cs="Calibri"/>
          <w:color w:val="000000" w:themeColor="text1"/>
          <w:sz w:val="16"/>
          <w:szCs w:val="16"/>
          <w:lang w:val="en-US"/>
        </w:rPr>
        <w:t>Larney S et al (2017) ‘Global, regional, and country-level coverage of interventions to prevent and manage HIV and hepatitis C among people who inject drugs: a systematic review’, The Lancet Global Heath 5(12), e1208–e1220.</w:t>
      </w:r>
    </w:p>
  </w:endnote>
  <w:endnote w:id="9">
    <w:p w14:paraId="081FFF89" w14:textId="450C976C" w:rsidR="00BF2AE7" w:rsidRPr="00300727" w:rsidRDefault="00BF2AE7">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Among others, Bulgaria. See HRI and CHP Submission to UN Committee on Economic Social and Cultural Rights on Bulgaria (18 Jan 2019), </w:t>
      </w:r>
      <w:hyperlink r:id="rId4" w:history="1">
        <w:r w:rsidRPr="00300727">
          <w:rPr>
            <w:rStyle w:val="Hyperlink"/>
            <w:rFonts w:ascii="Calibri" w:hAnsi="Calibri" w:cs="Calibri"/>
            <w:sz w:val="16"/>
            <w:szCs w:val="16"/>
          </w:rPr>
          <w:t>https://www.hri.global/contents/1891</w:t>
        </w:r>
      </w:hyperlink>
      <w:r w:rsidRPr="00300727">
        <w:rPr>
          <w:rFonts w:ascii="Calibri" w:hAnsi="Calibri" w:cs="Calibri"/>
          <w:sz w:val="16"/>
          <w:szCs w:val="16"/>
        </w:rPr>
        <w:t xml:space="preserve">. </w:t>
      </w:r>
    </w:p>
  </w:endnote>
  <w:endnote w:id="10">
    <w:p w14:paraId="1405D832" w14:textId="25C47F48" w:rsidR="00BF2AE7" w:rsidRPr="00460730" w:rsidRDefault="00BF2AE7" w:rsidP="00886219">
      <w:pPr>
        <w:pStyle w:val="EndnoteText"/>
        <w:contextualSpacing/>
        <w:rPr>
          <w:rFonts w:ascii="Calibri" w:hAnsi="Calibri" w:cs="Calibri"/>
          <w:sz w:val="16"/>
          <w:szCs w:val="16"/>
          <w:lang w:val="es-ES"/>
        </w:rPr>
      </w:pPr>
      <w:r w:rsidRPr="00300727">
        <w:rPr>
          <w:rStyle w:val="EndnoteReference"/>
          <w:rFonts w:ascii="Calibri" w:hAnsi="Calibri" w:cs="Calibri"/>
          <w:sz w:val="16"/>
          <w:szCs w:val="16"/>
        </w:rPr>
        <w:endnoteRef/>
      </w:r>
      <w:r w:rsidRPr="00300727">
        <w:rPr>
          <w:rFonts w:ascii="Calibri" w:hAnsi="Calibri" w:cs="Calibri"/>
          <w:sz w:val="16"/>
          <w:szCs w:val="16"/>
        </w:rPr>
        <w:t xml:space="preserve"> Mouhebati, T ‘Sexual and Reproductive Health Services for People who Use Drugs’ (Amsterdam: AFEW and Mainline).  </w:t>
      </w:r>
      <w:hyperlink r:id="rId5" w:history="1">
        <w:r w:rsidRPr="00460730">
          <w:rPr>
            <w:rStyle w:val="Hyperlink"/>
            <w:rFonts w:ascii="Calibri" w:hAnsi="Calibri" w:cs="Calibri"/>
            <w:sz w:val="16"/>
            <w:szCs w:val="16"/>
            <w:lang w:val="es-ES"/>
          </w:rPr>
          <w:t>https://mainline.blogbird.nl/uploads/mainline/Report_SRHR_Tatiana1.pdf</w:t>
        </w:r>
      </w:hyperlink>
    </w:p>
  </w:endnote>
  <w:endnote w:id="11">
    <w:p w14:paraId="3F43B328" w14:textId="77777777" w:rsidR="00BF2AE7" w:rsidRPr="00460730" w:rsidRDefault="00BF2AE7" w:rsidP="00886219">
      <w:pPr>
        <w:pStyle w:val="EndnoteText"/>
        <w:contextualSpacing/>
        <w:rPr>
          <w:rFonts w:ascii="Calibri" w:hAnsi="Calibri" w:cs="Calibri"/>
          <w:sz w:val="16"/>
          <w:szCs w:val="16"/>
          <w:lang w:val="es-ES"/>
        </w:rPr>
      </w:pPr>
      <w:r w:rsidRPr="00300727">
        <w:rPr>
          <w:rStyle w:val="EndnoteReference"/>
          <w:rFonts w:ascii="Calibri" w:hAnsi="Calibri" w:cs="Calibri"/>
          <w:sz w:val="16"/>
          <w:szCs w:val="16"/>
        </w:rPr>
        <w:endnoteRef/>
      </w:r>
      <w:r w:rsidRPr="00460730">
        <w:rPr>
          <w:rFonts w:ascii="Calibri" w:hAnsi="Calibri" w:cs="Calibri"/>
          <w:sz w:val="16"/>
          <w:szCs w:val="16"/>
          <w:lang w:val="es-ES"/>
        </w:rPr>
        <w:t xml:space="preserve"> Ibid.</w:t>
      </w:r>
    </w:p>
  </w:endnote>
  <w:endnote w:id="12">
    <w:p w14:paraId="6CD79B92" w14:textId="0A14B9B7" w:rsidR="00BF2AE7" w:rsidRPr="00300727" w:rsidRDefault="00BF2AE7">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HRI (2021), ‘The Global State of Harm Reduction 2020’, https://www.hri.global/files/2021/03/04/Global_State_HRI_2020_BOOK_FA_Web.pdf.</w:t>
      </w:r>
    </w:p>
  </w:endnote>
  <w:endnote w:id="13">
    <w:p w14:paraId="6F55429A" w14:textId="2C7E44CF" w:rsidR="00BF2AE7" w:rsidRPr="00300727" w:rsidRDefault="00BF2AE7">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For more information, see HRI (2021), See ‘Harm Reduction for Women in Prison’, https://www.hri.global/files/2020/06/10/Harm_Reduction_for_Women_in_Prison_2.pdf</w:t>
      </w:r>
    </w:p>
  </w:endnote>
  <w:endnote w:id="14">
    <w:p w14:paraId="230A9E65" w14:textId="0BCF6142" w:rsidR="00BF2AE7" w:rsidRPr="00300727" w:rsidRDefault="00BF2AE7" w:rsidP="006B3095">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Among others see: Gilbert L et al. (2001), ‘Linking drug-related activities with experiences of partner violence: a focus group study of women in methadone treatment’ </w:t>
      </w:r>
      <w:r w:rsidRPr="00300727">
        <w:rPr>
          <w:rFonts w:ascii="Calibri" w:hAnsi="Calibri" w:cs="Calibri"/>
          <w:iCs/>
          <w:sz w:val="16"/>
          <w:szCs w:val="16"/>
        </w:rPr>
        <w:t>Violence Vict 1</w:t>
      </w:r>
      <w:r w:rsidRPr="00300727">
        <w:rPr>
          <w:rFonts w:ascii="Calibri" w:hAnsi="Calibri" w:cs="Calibri"/>
          <w:sz w:val="16"/>
          <w:szCs w:val="16"/>
        </w:rPr>
        <w:t xml:space="preserve">6, 517–36. El-Bassel; Stone, K and Shirley-Beavan, S (2018),‘Global State of Harm Reduction 2018’, (London: HRI).; Pinkham S, Stoicescu C, and Myers B (2021), ‘Developing effective health interventions for women who inject drugs: key areas and recommendations for program development and policy’ </w:t>
      </w:r>
      <w:r w:rsidRPr="00300727">
        <w:rPr>
          <w:rFonts w:ascii="Calibri" w:hAnsi="Calibri" w:cs="Calibri"/>
          <w:iCs/>
          <w:sz w:val="16"/>
          <w:szCs w:val="16"/>
        </w:rPr>
        <w:t>Adv Prev Med</w:t>
      </w:r>
      <w:r w:rsidRPr="00300727">
        <w:rPr>
          <w:rFonts w:ascii="Calibri" w:hAnsi="Calibri" w:cs="Calibri"/>
          <w:sz w:val="16"/>
          <w:szCs w:val="16"/>
        </w:rPr>
        <w:t>.2012:269123.</w:t>
      </w:r>
    </w:p>
  </w:endnote>
  <w:endnote w:id="15">
    <w:p w14:paraId="1462AC8C" w14:textId="2388AAD5" w:rsidR="00BF2AE7" w:rsidRPr="00300727" w:rsidRDefault="00BF2AE7">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HRI (2021), ‘The Harms of Incarceration’, </w:t>
      </w:r>
      <w:hyperlink r:id="rId6" w:history="1">
        <w:r w:rsidRPr="00300727">
          <w:rPr>
            <w:rStyle w:val="Hyperlink"/>
            <w:rFonts w:ascii="Calibri" w:hAnsi="Calibri" w:cs="Calibri"/>
            <w:sz w:val="16"/>
            <w:szCs w:val="16"/>
          </w:rPr>
          <w:t>https://www.hri.global/files/2021/06/14/HRI_Briefing_Prisons_June2021_Final1.pdf</w:t>
        </w:r>
      </w:hyperlink>
      <w:r w:rsidRPr="00300727">
        <w:rPr>
          <w:rFonts w:ascii="Calibri" w:hAnsi="Calibri" w:cs="Calibri"/>
          <w:sz w:val="16"/>
          <w:szCs w:val="16"/>
        </w:rPr>
        <w:t xml:space="preserve">. </w:t>
      </w:r>
    </w:p>
  </w:endnote>
  <w:endnote w:id="16">
    <w:p w14:paraId="07127A27" w14:textId="44283CFD" w:rsidR="00BF2AE7" w:rsidRPr="00F64DF3" w:rsidRDefault="00BF2AE7">
      <w:pPr>
        <w:pStyle w:val="EndnoteText"/>
        <w:rPr>
          <w:rFonts w:ascii="Calibri" w:hAnsi="Calibri" w:cs="Calibri"/>
          <w:sz w:val="16"/>
          <w:szCs w:val="16"/>
          <w:lang w:val="en-US"/>
        </w:rPr>
      </w:pPr>
      <w:r w:rsidRPr="00300727">
        <w:rPr>
          <w:rStyle w:val="EndnoteReference"/>
          <w:rFonts w:ascii="Calibri" w:hAnsi="Calibri" w:cs="Calibri"/>
          <w:sz w:val="16"/>
          <w:szCs w:val="16"/>
        </w:rPr>
        <w:endnoteRef/>
      </w:r>
      <w:r w:rsidRPr="00300727">
        <w:rPr>
          <w:rFonts w:ascii="Calibri" w:hAnsi="Calibri" w:cs="Calibri"/>
          <w:sz w:val="16"/>
          <w:szCs w:val="16"/>
        </w:rPr>
        <w:t xml:space="preserve"> UNAIDS (2018), ‘</w:t>
      </w:r>
      <w:r w:rsidRPr="00300727">
        <w:rPr>
          <w:rFonts w:ascii="Calibri" w:hAnsi="Calibri" w:cs="Calibri"/>
          <w:iCs/>
          <w:sz w:val="16"/>
          <w:szCs w:val="16"/>
        </w:rPr>
        <w:t>Miles to Go: Closing Gaps, Breaking Barriers, Righting Injustices’</w:t>
      </w:r>
      <w:r w:rsidRPr="00300727">
        <w:rPr>
          <w:rFonts w:ascii="Calibri" w:hAnsi="Calibri" w:cs="Calibri"/>
          <w:i/>
          <w:iCs/>
          <w:sz w:val="16"/>
          <w:szCs w:val="16"/>
        </w:rPr>
        <w:t xml:space="preserve"> </w:t>
      </w:r>
      <w:r w:rsidRPr="00300727">
        <w:rPr>
          <w:rFonts w:ascii="Calibri" w:hAnsi="Calibri" w:cs="Calibri"/>
          <w:sz w:val="16"/>
          <w:szCs w:val="16"/>
        </w:rPr>
        <w:t xml:space="preserve">(Geneva: UNAIDS), 54. </w:t>
      </w:r>
      <w:hyperlink r:id="rId7" w:history="1">
        <w:r w:rsidR="00F64DF3" w:rsidRPr="00D422E1">
          <w:rPr>
            <w:rStyle w:val="Hyperlink"/>
            <w:rFonts w:ascii="Calibri" w:hAnsi="Calibri" w:cs="Calibri"/>
            <w:sz w:val="16"/>
            <w:szCs w:val="16"/>
          </w:rPr>
          <w:t>https://www.unaids.org/sites/default/files/media_asset/miles-to-go_en.pdf</w:t>
        </w:r>
      </w:hyperlink>
      <w:r w:rsidR="00F64DF3">
        <w:rPr>
          <w:rFonts w:ascii="Calibri" w:hAnsi="Calibri" w:cs="Calibri"/>
          <w:color w:val="0462C1"/>
          <w:sz w:val="16"/>
          <w:szCs w:val="16"/>
        </w:rPr>
        <w:t xml:space="preserve">. </w:t>
      </w:r>
      <w:r w:rsidR="00F64DF3">
        <w:rPr>
          <w:rFonts w:ascii="Calibri" w:hAnsi="Calibri" w:cs="Calibri"/>
          <w:sz w:val="16"/>
          <w:szCs w:val="16"/>
        </w:rPr>
        <w:t xml:space="preserve">Among others, this is the case in the Philippines and in US states: </w:t>
      </w:r>
      <w:r w:rsidR="00F64DF3" w:rsidRPr="00300727">
        <w:rPr>
          <w:rFonts w:ascii="Calibri" w:hAnsi="Calibri" w:cs="Calibri"/>
          <w:sz w:val="16"/>
          <w:szCs w:val="16"/>
        </w:rPr>
        <w:t>Possession of ‘drug paraphernalia’ is a crime in the Philippines, punished with imprisonment up to four years, and a fine. See Comprehensive Dangerous Drugs Act (2002), Section 1</w:t>
      </w:r>
      <w:r w:rsidR="00F64DF3">
        <w:rPr>
          <w:rFonts w:ascii="Calibri" w:hAnsi="Calibri" w:cs="Calibri"/>
          <w:sz w:val="16"/>
          <w:szCs w:val="16"/>
        </w:rPr>
        <w:t xml:space="preserve">2; </w:t>
      </w:r>
      <w:r w:rsidR="00F64DF3" w:rsidRPr="00300727">
        <w:rPr>
          <w:rFonts w:ascii="Calibri" w:hAnsi="Calibri" w:cs="Calibri"/>
          <w:sz w:val="16"/>
          <w:szCs w:val="16"/>
        </w:rPr>
        <w:t>Some US state laws envisage penalties for possession and distribution of drug paraphernalia; in Florida, for example, possession of drug paraphernalia can be punished with up to one year of jail.</w:t>
      </w:r>
    </w:p>
  </w:endnote>
  <w:endnote w:id="17">
    <w:p w14:paraId="41DAFC91" w14:textId="5B13D7CD" w:rsidR="00BF2AE7" w:rsidRPr="00300727" w:rsidRDefault="00BF2AE7">
      <w:pPr>
        <w:pStyle w:val="EndnoteText"/>
        <w:rPr>
          <w:rFonts w:ascii="Calibri" w:hAnsi="Calibri" w:cs="Calibri"/>
          <w:sz w:val="16"/>
          <w:szCs w:val="16"/>
          <w:lang w:val="en-US"/>
        </w:rPr>
      </w:pPr>
      <w:r w:rsidRPr="00300727">
        <w:rPr>
          <w:rStyle w:val="EndnoteReference"/>
          <w:rFonts w:ascii="Calibri" w:hAnsi="Calibri" w:cs="Calibri"/>
          <w:sz w:val="16"/>
          <w:szCs w:val="16"/>
        </w:rPr>
        <w:endnoteRef/>
      </w:r>
      <w:r w:rsidRPr="00300727">
        <w:rPr>
          <w:rFonts w:ascii="Calibri" w:hAnsi="Calibri" w:cs="Calibri"/>
          <w:sz w:val="16"/>
          <w:szCs w:val="16"/>
        </w:rPr>
        <w:t xml:space="preserve"> Illegal acquisition, storage and distribution of these substances is a criminal offence, punishable with imprisonment between three and fifteen years.</w:t>
      </w:r>
    </w:p>
  </w:endnote>
  <w:endnote w:id="18">
    <w:p w14:paraId="09182DDB" w14:textId="5B8AA1E5" w:rsidR="00BF2AE7" w:rsidRPr="00300727" w:rsidRDefault="00BF2AE7">
      <w:pPr>
        <w:pStyle w:val="EndnoteText"/>
        <w:rPr>
          <w:rFonts w:ascii="Calibri" w:hAnsi="Calibri" w:cs="Calibri"/>
          <w:sz w:val="16"/>
          <w:szCs w:val="16"/>
          <w:lang w:val="en-US"/>
        </w:rPr>
      </w:pPr>
      <w:r w:rsidRPr="00300727">
        <w:rPr>
          <w:rStyle w:val="EndnoteReference"/>
          <w:rFonts w:ascii="Calibri" w:hAnsi="Calibri" w:cs="Calibri"/>
          <w:sz w:val="16"/>
          <w:szCs w:val="16"/>
        </w:rPr>
        <w:endnoteRef/>
      </w:r>
      <w:r w:rsidRPr="00300727">
        <w:rPr>
          <w:rFonts w:ascii="Calibri" w:hAnsi="Calibri" w:cs="Calibri"/>
          <w:sz w:val="16"/>
          <w:szCs w:val="16"/>
        </w:rPr>
        <w:t xml:space="preserve"> NoBox Transitions Foundatiions, Inc (2018) Investment Into Harm Reduction In The Philippines. Report submitted to HRI within Harm Reduction Advocacy in Asia Global Fund Regional Project (unpublished). Available upon request.  </w:t>
      </w:r>
    </w:p>
  </w:endnote>
  <w:endnote w:id="19">
    <w:p w14:paraId="7FA3E29A" w14:textId="3B9F17E2" w:rsidR="00BF2AE7" w:rsidRPr="00300727" w:rsidRDefault="00BF2AE7">
      <w:pPr>
        <w:pStyle w:val="EndnoteText"/>
        <w:rPr>
          <w:rFonts w:ascii="Calibri" w:hAnsi="Calibri" w:cs="Calibri"/>
          <w:sz w:val="16"/>
          <w:szCs w:val="16"/>
          <w:lang w:val="en-US"/>
        </w:rPr>
      </w:pPr>
      <w:r w:rsidRPr="00300727">
        <w:rPr>
          <w:rStyle w:val="EndnoteReference"/>
          <w:rFonts w:ascii="Calibri" w:hAnsi="Calibri" w:cs="Calibri"/>
          <w:sz w:val="16"/>
          <w:szCs w:val="16"/>
        </w:rPr>
        <w:endnoteRef/>
      </w:r>
      <w:r w:rsidRPr="00300727">
        <w:rPr>
          <w:rFonts w:ascii="Calibri" w:hAnsi="Calibri" w:cs="Calibri"/>
          <w:sz w:val="16"/>
          <w:szCs w:val="16"/>
        </w:rPr>
        <w:t xml:space="preserve"> See https://lawsandpolicies.unaids.org/topicresult?i=248&amp;lan=en.</w:t>
      </w:r>
    </w:p>
  </w:endnote>
  <w:endnote w:id="20">
    <w:p w14:paraId="24E8C259" w14:textId="4643273B" w:rsidR="00BF2AE7" w:rsidRPr="00300727" w:rsidRDefault="00BF2AE7">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Cook, C and Davies, C (2018), ‘The Lost Decade: Neglect for harm reduction funding and the health crisis among people who use drugs’ (London: HRI), </w:t>
      </w:r>
      <w:hyperlink r:id="rId8" w:history="1">
        <w:r w:rsidRPr="00300727">
          <w:rPr>
            <w:rStyle w:val="Hyperlink"/>
            <w:rFonts w:ascii="Calibri" w:hAnsi="Calibri" w:cs="Calibri"/>
            <w:sz w:val="16"/>
            <w:szCs w:val="16"/>
          </w:rPr>
          <w:t>https://www.hri.global/files/2018/09/25/lost-decade-harm-reduction-funding-2018.PDF</w:t>
        </w:r>
      </w:hyperlink>
      <w:r w:rsidRPr="00300727">
        <w:rPr>
          <w:rFonts w:ascii="Calibri" w:hAnsi="Calibri" w:cs="Calibri"/>
          <w:sz w:val="16"/>
          <w:szCs w:val="16"/>
        </w:rPr>
        <w:t xml:space="preserve">. </w:t>
      </w:r>
    </w:p>
  </w:endnote>
  <w:endnote w:id="21">
    <w:p w14:paraId="2A0C96A6" w14:textId="72A66DC6" w:rsidR="00BF2AE7" w:rsidRPr="00300727" w:rsidRDefault="00BF2AE7" w:rsidP="00B707F0">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Serebryakova, L, Cook, C and Davies, C (2021), ‘Failure to Fund: The continued crisis for harm reduction funding in low- and middle-income countries’ (London: HRI), </w:t>
      </w:r>
      <w:hyperlink r:id="rId9" w:history="1">
        <w:r w:rsidRPr="00300727">
          <w:rPr>
            <w:rStyle w:val="Hyperlink"/>
            <w:rFonts w:ascii="Calibri" w:hAnsi="Calibri" w:cs="Calibri"/>
            <w:sz w:val="16"/>
            <w:szCs w:val="16"/>
          </w:rPr>
          <w:t>https://www.hri.global/files/2021/08/09/HRI-FAILURE-TO-FUND-REPORT-LOWRES.PDF</w:t>
        </w:r>
      </w:hyperlink>
      <w:r w:rsidRPr="00300727">
        <w:rPr>
          <w:rFonts w:ascii="Calibri" w:hAnsi="Calibri" w:cs="Calibri"/>
          <w:sz w:val="16"/>
          <w:szCs w:val="16"/>
        </w:rPr>
        <w:t>. See also Ward et al (2022), ‘</w:t>
      </w:r>
      <w:r w:rsidRPr="00300727">
        <w:rPr>
          <w:rFonts w:ascii="Calibri" w:hAnsi="Calibri" w:cs="Calibri"/>
          <w:bCs/>
          <w:sz w:val="16"/>
          <w:szCs w:val="16"/>
        </w:rPr>
        <w:t>Costs and impact on HIV transmission of a switch from a criminalisation to a public health approach to injecting drug use in eastern Europe and central Asia: a modelling analysis’,</w:t>
      </w:r>
      <w:r w:rsidRPr="00300727">
        <w:rPr>
          <w:rFonts w:ascii="Calibri" w:hAnsi="Calibri" w:cs="Calibri"/>
          <w:bCs/>
          <w:i/>
          <w:iCs/>
          <w:sz w:val="16"/>
          <w:szCs w:val="16"/>
        </w:rPr>
        <w:t xml:space="preserve"> </w:t>
      </w:r>
      <w:r w:rsidRPr="00300727">
        <w:rPr>
          <w:rFonts w:ascii="Calibri" w:hAnsi="Calibri" w:cs="Calibri"/>
          <w:bCs/>
          <w:iCs/>
          <w:sz w:val="16"/>
          <w:szCs w:val="16"/>
        </w:rPr>
        <w:t>Lancet HIV</w:t>
      </w:r>
      <w:r w:rsidRPr="00300727">
        <w:rPr>
          <w:rFonts w:ascii="Calibri" w:hAnsi="Calibri" w:cs="Calibri"/>
          <w:bCs/>
          <w:i/>
          <w:iCs/>
          <w:sz w:val="16"/>
          <w:szCs w:val="16"/>
        </w:rPr>
        <w:t xml:space="preserve"> </w:t>
      </w:r>
      <w:r w:rsidRPr="00300727">
        <w:rPr>
          <w:rFonts w:ascii="Calibri" w:hAnsi="Calibri" w:cs="Calibri"/>
          <w:bCs/>
          <w:iCs/>
          <w:sz w:val="16"/>
          <w:szCs w:val="16"/>
        </w:rPr>
        <w:t>9,</w:t>
      </w:r>
      <w:r w:rsidRPr="00300727">
        <w:rPr>
          <w:rFonts w:ascii="Calibri" w:hAnsi="Calibri" w:cs="Calibri"/>
          <w:bCs/>
          <w:sz w:val="16"/>
          <w:szCs w:val="16"/>
        </w:rPr>
        <w:t xml:space="preserve"> e42–53.</w:t>
      </w:r>
      <w:r w:rsidRPr="00300727">
        <w:rPr>
          <w:rFonts w:ascii="Calibri" w:hAnsi="Calibri" w:cs="Calibri"/>
          <w:b/>
          <w:bCs/>
          <w:sz w:val="16"/>
          <w:szCs w:val="16"/>
        </w:rPr>
        <w:t xml:space="preserve"> </w:t>
      </w:r>
      <w:r w:rsidRPr="00300727">
        <w:rPr>
          <w:rFonts w:ascii="Calibri" w:hAnsi="Calibri" w:cs="Calibri"/>
          <w:sz w:val="16"/>
          <w:szCs w:val="16"/>
        </w:rPr>
        <w:t xml:space="preserve"> </w:t>
      </w:r>
    </w:p>
  </w:endnote>
  <w:endnote w:id="22">
    <w:p w14:paraId="07176AE7" w14:textId="01EC3D53" w:rsidR="00BF2AE7" w:rsidRPr="0008221B" w:rsidRDefault="00BF2AE7" w:rsidP="00A93227">
      <w:pPr>
        <w:pStyle w:val="EndnoteText"/>
        <w:rPr>
          <w:rFonts w:ascii="Calibri" w:hAnsi="Calibri" w:cs="Calibri"/>
          <w:sz w:val="16"/>
          <w:szCs w:val="16"/>
        </w:rPr>
      </w:pPr>
      <w:r w:rsidRPr="0008221B">
        <w:rPr>
          <w:rStyle w:val="EndnoteReference"/>
          <w:rFonts w:ascii="Calibri" w:hAnsi="Calibri" w:cs="Calibri"/>
          <w:sz w:val="16"/>
          <w:szCs w:val="16"/>
        </w:rPr>
        <w:endnoteRef/>
      </w:r>
      <w:r w:rsidRPr="0008221B">
        <w:rPr>
          <w:rFonts w:ascii="Calibri" w:hAnsi="Calibri" w:cs="Calibri"/>
          <w:sz w:val="16"/>
          <w:szCs w:val="16"/>
        </w:rPr>
        <w:t xml:space="preserve"> Ibid. </w:t>
      </w:r>
    </w:p>
  </w:endnote>
  <w:endnote w:id="23">
    <w:p w14:paraId="7F9289DC" w14:textId="2573025E" w:rsidR="00BF2AE7" w:rsidRPr="0008221B" w:rsidRDefault="00BF2AE7">
      <w:pPr>
        <w:pStyle w:val="EndnoteText"/>
      </w:pPr>
      <w:r w:rsidRPr="0008221B">
        <w:rPr>
          <w:rStyle w:val="EndnoteReference"/>
          <w:sz w:val="16"/>
          <w:szCs w:val="16"/>
        </w:rPr>
        <w:endnoteRef/>
      </w:r>
      <w:r w:rsidRPr="0008221B">
        <w:rPr>
          <w:sz w:val="16"/>
          <w:szCs w:val="16"/>
        </w:rPr>
        <w:t xml:space="preserve"> </w:t>
      </w:r>
      <w:r w:rsidR="00EC79BE" w:rsidRPr="00EC79BE">
        <w:rPr>
          <w:rFonts w:ascii="Calibri" w:hAnsi="Calibri" w:cs="Calibri"/>
          <w:sz w:val="16"/>
          <w:szCs w:val="16"/>
        </w:rPr>
        <w:t>Funding was considered to be likely to be reduced in Canada, uncertain in New Zealand, Portugal and the United Kingdom, or somewhat unstable in Australia</w:t>
      </w:r>
      <w:r w:rsidR="00EC79BE" w:rsidRPr="00EC79BE">
        <w:rPr>
          <w:rFonts w:ascii="Calibri" w:hAnsi="Calibri" w:cs="Calibri"/>
          <w:sz w:val="16"/>
          <w:szCs w:val="16"/>
        </w:rPr>
        <w:t>.</w:t>
      </w:r>
      <w:r w:rsidR="00EC79BE" w:rsidRPr="00EC79BE">
        <w:rPr>
          <w:sz w:val="16"/>
          <w:szCs w:val="16"/>
        </w:rPr>
        <w:t xml:space="preserve"> </w:t>
      </w:r>
      <w:r w:rsidRPr="00EC79BE">
        <w:rPr>
          <w:sz w:val="16"/>
          <w:szCs w:val="16"/>
        </w:rPr>
        <w:t>For</w:t>
      </w:r>
      <w:r w:rsidRPr="0008221B">
        <w:rPr>
          <w:sz w:val="16"/>
          <w:szCs w:val="16"/>
        </w:rPr>
        <w:t xml:space="preserve"> more details see ‘The Global Drug Policy Index 2021’ (Harm Reduction Consortium), p.48. https://globaldrugpolicyindex.net/wp-content/themes/gdpi/uploads/GDPI%202021%20Report%20EN.pdf</w:t>
      </w:r>
    </w:p>
  </w:endnote>
  <w:endnote w:id="24">
    <w:p w14:paraId="5D16A1C9" w14:textId="0A5D800F" w:rsidR="00BF2AE7" w:rsidRPr="00300727" w:rsidRDefault="00BF2AE7">
      <w:pPr>
        <w:pStyle w:val="EndnoteText"/>
        <w:rPr>
          <w:rFonts w:ascii="Calibri" w:hAnsi="Calibri" w:cs="Calibri"/>
          <w:sz w:val="16"/>
          <w:szCs w:val="16"/>
          <w:lang w:val="en-US"/>
        </w:rPr>
      </w:pPr>
      <w:r w:rsidRPr="00300727">
        <w:rPr>
          <w:rStyle w:val="EndnoteReference"/>
          <w:rFonts w:ascii="Calibri" w:hAnsi="Calibri" w:cs="Calibri"/>
          <w:sz w:val="16"/>
          <w:szCs w:val="16"/>
        </w:rPr>
        <w:endnoteRef/>
      </w:r>
      <w:r w:rsidRPr="00300727">
        <w:rPr>
          <w:rFonts w:ascii="Calibri" w:hAnsi="Calibri" w:cs="Calibri"/>
          <w:sz w:val="16"/>
          <w:szCs w:val="16"/>
        </w:rPr>
        <w:t xml:space="preserve"> </w:t>
      </w:r>
      <w:r w:rsidRPr="00300727">
        <w:rPr>
          <w:rFonts w:ascii="Calibri" w:hAnsi="Calibri" w:cs="Calibri"/>
          <w:sz w:val="16"/>
          <w:szCs w:val="16"/>
          <w:lang w:val="en-US"/>
        </w:rPr>
        <w:t>UNGA, ‘Political Declaration on HIV</w:t>
      </w:r>
      <w:r w:rsidR="00EC79BE">
        <w:rPr>
          <w:rFonts w:ascii="Calibri" w:hAnsi="Calibri" w:cs="Calibri"/>
          <w:sz w:val="16"/>
          <w:szCs w:val="16"/>
          <w:lang w:val="en-US"/>
        </w:rPr>
        <w:t>/AIDS’ (18 June 2021), para. 64(e)</w:t>
      </w:r>
      <w:r w:rsidRPr="00300727">
        <w:rPr>
          <w:rFonts w:ascii="Calibri" w:hAnsi="Calibri" w:cs="Calibri"/>
          <w:sz w:val="16"/>
          <w:szCs w:val="16"/>
          <w:lang w:val="en-US"/>
        </w:rPr>
        <w:t xml:space="preserve">. </w:t>
      </w:r>
    </w:p>
  </w:endnote>
  <w:endnote w:id="25">
    <w:p w14:paraId="4B1A1BCB" w14:textId="4D870E3F" w:rsidR="00BF2AE7" w:rsidRPr="00300727" w:rsidRDefault="00BF2AE7" w:rsidP="00F4177E">
      <w:pPr>
        <w:pStyle w:val="EndnoteText"/>
        <w:rPr>
          <w:rFonts w:ascii="Calibri" w:hAnsi="Calibri" w:cs="Calibri"/>
          <w:sz w:val="16"/>
          <w:szCs w:val="16"/>
          <w:lang w:val="en-US"/>
        </w:rPr>
      </w:pPr>
      <w:r w:rsidRPr="00300727">
        <w:rPr>
          <w:rStyle w:val="EndnoteReference"/>
          <w:rFonts w:ascii="Calibri" w:hAnsi="Calibri" w:cs="Calibri"/>
          <w:sz w:val="16"/>
          <w:szCs w:val="16"/>
        </w:rPr>
        <w:endnoteRef/>
      </w:r>
      <w:r w:rsidRPr="00300727">
        <w:rPr>
          <w:rFonts w:ascii="Calibri" w:hAnsi="Calibri" w:cs="Calibri"/>
          <w:sz w:val="16"/>
          <w:szCs w:val="16"/>
        </w:rPr>
        <w:t xml:space="preserve"> Serebryakova, L, Cook, C and Davies, C (2021), ‘Failure to Fund’.</w:t>
      </w:r>
    </w:p>
  </w:endnote>
  <w:endnote w:id="26">
    <w:p w14:paraId="03E66358" w14:textId="476CFDCD" w:rsidR="00BF2AE7" w:rsidRPr="00300727" w:rsidRDefault="00BF2AE7">
      <w:pPr>
        <w:pStyle w:val="EndnoteText"/>
        <w:rPr>
          <w:rFonts w:ascii="Calibri" w:hAnsi="Calibri" w:cs="Calibri"/>
          <w:sz w:val="16"/>
          <w:szCs w:val="16"/>
          <w:lang w:val="en-US"/>
        </w:rPr>
      </w:pPr>
      <w:r w:rsidRPr="00300727">
        <w:rPr>
          <w:rStyle w:val="EndnoteReference"/>
          <w:rFonts w:ascii="Calibri" w:hAnsi="Calibri" w:cs="Calibri"/>
          <w:sz w:val="16"/>
          <w:szCs w:val="16"/>
        </w:rPr>
        <w:endnoteRef/>
      </w:r>
      <w:r w:rsidRPr="00300727">
        <w:rPr>
          <w:rFonts w:ascii="Calibri" w:hAnsi="Calibri" w:cs="Calibri"/>
          <w:sz w:val="16"/>
          <w:szCs w:val="16"/>
        </w:rPr>
        <w:t xml:space="preserve"> For more details, and country examples, see: HRI and HR Asia (2021), ‘Divest. Redirect. Invest. The case for redirecting funds from ineffective drug law enforcement to harm reduction – spotlight on six countries in Asia’, </w:t>
      </w:r>
      <w:hyperlink r:id="rId10" w:history="1">
        <w:r w:rsidRPr="00300727">
          <w:rPr>
            <w:rStyle w:val="Hyperlink"/>
            <w:rFonts w:ascii="Calibri" w:hAnsi="Calibri" w:cs="Calibri"/>
            <w:sz w:val="16"/>
            <w:szCs w:val="16"/>
          </w:rPr>
          <w:t>https://www.hri.global/files/2021/10/20/HRI_Briefing_Redirection_Oct_2021.pdf</w:t>
        </w:r>
      </w:hyperlink>
      <w:r w:rsidRPr="00300727">
        <w:rPr>
          <w:rFonts w:ascii="Calibri" w:hAnsi="Calibri" w:cs="Calibri"/>
          <w:sz w:val="16"/>
          <w:szCs w:val="16"/>
        </w:rPr>
        <w:t>.</w:t>
      </w:r>
    </w:p>
  </w:endnote>
  <w:endnote w:id="27">
    <w:p w14:paraId="387DDA85" w14:textId="367D851B" w:rsidR="00BF2AE7" w:rsidRPr="00300727" w:rsidRDefault="00BF2AE7">
      <w:pPr>
        <w:pStyle w:val="EndnoteText"/>
        <w:rPr>
          <w:rFonts w:ascii="Calibri" w:hAnsi="Calibri" w:cs="Calibri"/>
          <w:sz w:val="16"/>
          <w:szCs w:val="16"/>
          <w:lang w:val="en-US"/>
        </w:rPr>
      </w:pPr>
      <w:r w:rsidRPr="00300727">
        <w:rPr>
          <w:rStyle w:val="EndnoteReference"/>
          <w:rFonts w:ascii="Calibri" w:hAnsi="Calibri" w:cs="Calibri"/>
          <w:sz w:val="16"/>
          <w:szCs w:val="16"/>
        </w:rPr>
        <w:endnoteRef/>
      </w:r>
      <w:r w:rsidRPr="00300727">
        <w:rPr>
          <w:rFonts w:ascii="Calibri" w:hAnsi="Calibri" w:cs="Calibri"/>
          <w:sz w:val="16"/>
          <w:szCs w:val="16"/>
        </w:rPr>
        <w:t xml:space="preserve"> See Harm Reduction International, ‘Harm Reduction Decade’, </w:t>
      </w:r>
      <w:hyperlink r:id="rId11" w:history="1">
        <w:r w:rsidRPr="00300727">
          <w:rPr>
            <w:rStyle w:val="Hyperlink"/>
            <w:rFonts w:ascii="Calibri" w:hAnsi="Calibri" w:cs="Calibri"/>
            <w:sz w:val="16"/>
            <w:szCs w:val="16"/>
          </w:rPr>
          <w:t>https://www.hri.global/harm-reduction-decade</w:t>
        </w:r>
      </w:hyperlink>
      <w:r w:rsidRPr="00300727">
        <w:rPr>
          <w:rFonts w:ascii="Calibri" w:hAnsi="Calibri" w:cs="Calibri"/>
          <w:sz w:val="16"/>
          <w:szCs w:val="16"/>
        </w:rPr>
        <w:t>. Last accessed 03 Feb 2022.</w:t>
      </w:r>
    </w:p>
  </w:endnote>
  <w:endnote w:id="28">
    <w:p w14:paraId="74BF6456" w14:textId="177E16DF" w:rsidR="00BF2AE7" w:rsidRPr="00300727" w:rsidRDefault="00BF2AE7">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For more info, see HRI and WHRIN Submission to UN Working Group on discrimination against women and girls, ‘Women’s and girls’ sexual and reproductive health and rights in situations of crisis’ (30 August 2020), </w:t>
      </w:r>
      <w:hyperlink r:id="rId12" w:history="1">
        <w:r w:rsidRPr="00300727">
          <w:rPr>
            <w:rStyle w:val="Hyperlink"/>
            <w:rFonts w:ascii="Calibri" w:hAnsi="Calibri" w:cs="Calibri"/>
            <w:sz w:val="16"/>
            <w:szCs w:val="16"/>
          </w:rPr>
          <w:t>https://bit.ly/3roaY6h</w:t>
        </w:r>
      </w:hyperlink>
      <w:r w:rsidRPr="00300727">
        <w:rPr>
          <w:rFonts w:ascii="Calibri" w:hAnsi="Calibri" w:cs="Calibri"/>
          <w:sz w:val="16"/>
          <w:szCs w:val="16"/>
        </w:rPr>
        <w:t xml:space="preserve">. </w:t>
      </w:r>
      <w:r w:rsidR="004E23B3">
        <w:rPr>
          <w:rFonts w:ascii="Calibri" w:hAnsi="Calibri" w:cs="Calibri"/>
          <w:sz w:val="16"/>
          <w:szCs w:val="16"/>
        </w:rPr>
        <w:t xml:space="preserve">Also </w:t>
      </w:r>
      <w:r w:rsidR="004E23B3" w:rsidRPr="00300727">
        <w:rPr>
          <w:rFonts w:ascii="Calibri" w:hAnsi="Calibri" w:cs="Calibri"/>
          <w:sz w:val="16"/>
          <w:szCs w:val="16"/>
        </w:rPr>
        <w:t xml:space="preserve">Pinkham S, Stoicescu C, and Myers B (2012), ‘Developing effective health interventions for women who inject drugs: key areas and recommendations for program development and policy’, </w:t>
      </w:r>
      <w:r w:rsidR="004E23B3" w:rsidRPr="00300727">
        <w:rPr>
          <w:rFonts w:ascii="Calibri" w:hAnsi="Calibri" w:cs="Calibri"/>
          <w:iCs/>
          <w:sz w:val="16"/>
          <w:szCs w:val="16"/>
        </w:rPr>
        <w:t>Adv Prev Med</w:t>
      </w:r>
      <w:r w:rsidR="004E23B3" w:rsidRPr="00300727">
        <w:rPr>
          <w:rFonts w:ascii="Calibri" w:hAnsi="Calibri" w:cs="Calibri"/>
          <w:sz w:val="16"/>
          <w:szCs w:val="16"/>
        </w:rPr>
        <w:t xml:space="preserve"> 2012:269123.</w:t>
      </w:r>
    </w:p>
  </w:endnote>
  <w:endnote w:id="29">
    <w:p w14:paraId="60C588BF" w14:textId="77777777" w:rsidR="00EC79BE" w:rsidRPr="00300727" w:rsidRDefault="00EC79BE" w:rsidP="00EC79BE">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Malinowska-Sempruch K, (2015), ‘What interventions are needed for women and girls who use drugs? A global perspective’, </w:t>
      </w:r>
      <w:r w:rsidRPr="00300727">
        <w:rPr>
          <w:rFonts w:ascii="Calibri" w:hAnsi="Calibri" w:cs="Calibri"/>
          <w:iCs/>
          <w:sz w:val="16"/>
          <w:szCs w:val="16"/>
        </w:rPr>
        <w:t>J Acquir Immune Defic Syndr.</w:t>
      </w:r>
      <w:r w:rsidRPr="00300727">
        <w:rPr>
          <w:rFonts w:ascii="Calibri" w:hAnsi="Calibri" w:cs="Calibri"/>
          <w:sz w:val="16"/>
          <w:szCs w:val="16"/>
        </w:rPr>
        <w:t xml:space="preserve"> 69 Suppl 2, S96-97. For example, women in Georgia report that the lack of services for people with experience of IPV is an unmet need in harm reduction services.</w:t>
      </w:r>
      <w:r w:rsidRPr="00300727">
        <w:rPr>
          <w:rStyle w:val="EndnoteReference"/>
          <w:rFonts w:ascii="Calibri" w:hAnsi="Calibri" w:cs="Calibri"/>
          <w:sz w:val="16"/>
          <w:szCs w:val="16"/>
        </w:rPr>
        <w:endnoteRef/>
      </w:r>
    </w:p>
  </w:endnote>
  <w:endnote w:id="30">
    <w:p w14:paraId="151BF2FD" w14:textId="77777777" w:rsidR="00EC79BE" w:rsidRPr="00300727" w:rsidRDefault="00EC79BE" w:rsidP="00EC79BE">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Pinkham S, Stoicescu C, and Myers B (2012), ‘Developing effective health interventions for women who inject drugs: key areas and recommendations for program development and policy’ </w:t>
      </w:r>
      <w:r w:rsidRPr="00300727">
        <w:rPr>
          <w:rFonts w:ascii="Calibri" w:hAnsi="Calibri" w:cs="Calibri"/>
          <w:iCs/>
          <w:sz w:val="16"/>
          <w:szCs w:val="16"/>
        </w:rPr>
        <w:t>Adv Prev Med</w:t>
      </w:r>
      <w:r w:rsidRPr="00300727">
        <w:rPr>
          <w:rFonts w:ascii="Calibri" w:hAnsi="Calibri" w:cs="Calibri"/>
          <w:sz w:val="16"/>
          <w:szCs w:val="16"/>
        </w:rPr>
        <w:t>., 269123.</w:t>
      </w:r>
    </w:p>
  </w:endnote>
  <w:endnote w:id="31">
    <w:p w14:paraId="75F45E2F" w14:textId="5E60F88C" w:rsidR="00BF2AE7" w:rsidRPr="00300727" w:rsidRDefault="00BF2AE7" w:rsidP="006B3095">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Wechsberg WM et al. (2015), ’Gender-specific HIV prevention interventions for women who use alcohol and other drugs: The evolution of the science and future directions.’ </w:t>
      </w:r>
      <w:r w:rsidRPr="00300727">
        <w:rPr>
          <w:rFonts w:ascii="Calibri" w:hAnsi="Calibri" w:cs="Calibri"/>
          <w:iCs/>
          <w:sz w:val="16"/>
          <w:szCs w:val="16"/>
        </w:rPr>
        <w:t xml:space="preserve">J Acquir Immune Defic Syndr </w:t>
      </w:r>
      <w:r w:rsidRPr="00300727">
        <w:rPr>
          <w:rFonts w:ascii="Calibri" w:hAnsi="Calibri" w:cs="Calibri"/>
          <w:sz w:val="16"/>
          <w:szCs w:val="16"/>
        </w:rPr>
        <w:t xml:space="preserve">69, S128–39. </w:t>
      </w:r>
    </w:p>
  </w:endnote>
  <w:endnote w:id="32">
    <w:p w14:paraId="3ACE2CC8" w14:textId="0F3618A4" w:rsidR="00BF2AE7" w:rsidRPr="00300727" w:rsidRDefault="00BF2AE7" w:rsidP="006B3095">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HRI (2019) ‘Women and Harm Reduction’. </w:t>
      </w:r>
      <w:hyperlink r:id="rId13" w:history="1">
        <w:r w:rsidRPr="00300727">
          <w:rPr>
            <w:rStyle w:val="Hyperlink"/>
            <w:rFonts w:ascii="Calibri" w:hAnsi="Calibri" w:cs="Calibri"/>
            <w:sz w:val="16"/>
            <w:szCs w:val="16"/>
          </w:rPr>
          <w:t>https://www.hri.global/files/2019/03/06/women-harm-reduction-2018.pdf</w:t>
        </w:r>
      </w:hyperlink>
      <w:r w:rsidRPr="00300727">
        <w:rPr>
          <w:rFonts w:ascii="Calibri" w:hAnsi="Calibri" w:cs="Calibri"/>
          <w:sz w:val="16"/>
          <w:szCs w:val="16"/>
        </w:rPr>
        <w:t>.</w:t>
      </w:r>
    </w:p>
  </w:endnote>
  <w:endnote w:id="33">
    <w:p w14:paraId="1298CA4D" w14:textId="1078DE89" w:rsidR="00BF2AE7" w:rsidRPr="00300727" w:rsidRDefault="00BF2AE7" w:rsidP="006B3095">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Among others, see Otiashvili D et al., (2013) ‘Access to treatment for substance-using women in the Republic of Georgia: socio-cultural and structural barriers’, </w:t>
      </w:r>
      <w:r w:rsidRPr="00300727">
        <w:rPr>
          <w:rFonts w:ascii="Calibri" w:hAnsi="Calibri" w:cs="Calibri"/>
          <w:iCs/>
          <w:sz w:val="16"/>
          <w:szCs w:val="16"/>
        </w:rPr>
        <w:t>International Journal of Drug Policy</w:t>
      </w:r>
      <w:r w:rsidRPr="00300727">
        <w:rPr>
          <w:rFonts w:ascii="Calibri" w:hAnsi="Calibri" w:cs="Calibri"/>
          <w:sz w:val="16"/>
          <w:szCs w:val="16"/>
        </w:rPr>
        <w:t xml:space="preserve"> 24, 566; Otiashvili D et al. (2013), ‘Access to treatment for substance-using women in the Republic of Georgia: socio-cultural and structural barriers’, </w:t>
      </w:r>
      <w:r w:rsidRPr="00300727">
        <w:rPr>
          <w:rFonts w:ascii="Calibri" w:hAnsi="Calibri" w:cs="Calibri"/>
          <w:iCs/>
          <w:sz w:val="16"/>
          <w:szCs w:val="16"/>
        </w:rPr>
        <w:t>International Journal of Drug Policy</w:t>
      </w:r>
      <w:r w:rsidRPr="00300727">
        <w:rPr>
          <w:rFonts w:ascii="Calibri" w:hAnsi="Calibri" w:cs="Calibri"/>
          <w:i/>
          <w:iCs/>
          <w:sz w:val="16"/>
          <w:szCs w:val="16"/>
        </w:rPr>
        <w:t xml:space="preserve"> </w:t>
      </w:r>
      <w:r w:rsidRPr="00300727">
        <w:rPr>
          <w:rFonts w:ascii="Calibri" w:hAnsi="Calibri" w:cs="Calibri"/>
          <w:sz w:val="16"/>
          <w:szCs w:val="16"/>
        </w:rPr>
        <w:t xml:space="preserve">24, 566–72; Nyblade L et al. (2019), ‘Stigma in health facilities: why it matters and how we can change it’, </w:t>
      </w:r>
      <w:r w:rsidRPr="00300727">
        <w:rPr>
          <w:rFonts w:ascii="Calibri" w:hAnsi="Calibri" w:cs="Calibri"/>
          <w:iCs/>
          <w:sz w:val="16"/>
          <w:szCs w:val="16"/>
        </w:rPr>
        <w:t xml:space="preserve">BMC Medicine, </w:t>
      </w:r>
      <w:r w:rsidRPr="00300727">
        <w:rPr>
          <w:rFonts w:ascii="Calibri" w:hAnsi="Calibri" w:cs="Calibri"/>
          <w:sz w:val="16"/>
          <w:szCs w:val="16"/>
        </w:rPr>
        <w:t xml:space="preserve">17:25.  </w:t>
      </w:r>
    </w:p>
  </w:endnote>
  <w:endnote w:id="34">
    <w:p w14:paraId="0A95B70E" w14:textId="3CAB50B8" w:rsidR="00BF2AE7" w:rsidRPr="00300727" w:rsidRDefault="00BF2AE7" w:rsidP="006B3095">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Mouhebati, T ‘Sexual and Reproductive Health Services for People who Use Drugs’.</w:t>
      </w:r>
    </w:p>
  </w:endnote>
  <w:endnote w:id="35">
    <w:p w14:paraId="195AC9E6" w14:textId="5ACA8D4E" w:rsidR="00BF2AE7" w:rsidRPr="00300727" w:rsidRDefault="00BF2AE7" w:rsidP="006B3095">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Olsen, A, Banwell, C and Madden, A (2014), ‘Contraception, punishment and women who use drugs’, </w:t>
      </w:r>
      <w:r w:rsidRPr="00300727">
        <w:rPr>
          <w:rFonts w:ascii="Calibri" w:hAnsi="Calibri" w:cs="Calibri"/>
          <w:iCs/>
          <w:sz w:val="16"/>
          <w:szCs w:val="16"/>
        </w:rPr>
        <w:t>BMC Womens Health,</w:t>
      </w:r>
      <w:r w:rsidRPr="00300727">
        <w:rPr>
          <w:rFonts w:ascii="Calibri" w:hAnsi="Calibri" w:cs="Calibri"/>
          <w:sz w:val="16"/>
          <w:szCs w:val="16"/>
        </w:rPr>
        <w:t xml:space="preserve"> </w:t>
      </w:r>
      <w:hyperlink r:id="rId14" w:history="1">
        <w:r w:rsidRPr="00300727">
          <w:rPr>
            <w:rStyle w:val="Hyperlink"/>
            <w:rFonts w:ascii="Calibri" w:hAnsi="Calibri" w:cs="Calibri"/>
            <w:sz w:val="16"/>
            <w:szCs w:val="16"/>
          </w:rPr>
          <w:t>https://www.ncbi.nlm.nih.gov/pmc/articles/PMC3893510/</w:t>
        </w:r>
      </w:hyperlink>
      <w:r w:rsidRPr="00300727">
        <w:rPr>
          <w:rStyle w:val="Hyperlink"/>
          <w:rFonts w:ascii="Calibri" w:hAnsi="Calibri" w:cs="Calibri"/>
          <w:sz w:val="16"/>
          <w:szCs w:val="16"/>
        </w:rPr>
        <w:t>.</w:t>
      </w:r>
    </w:p>
  </w:endnote>
  <w:endnote w:id="36">
    <w:p w14:paraId="4B004A8E" w14:textId="3169711F" w:rsidR="00BF2AE7" w:rsidRPr="00300727" w:rsidRDefault="00BF2AE7" w:rsidP="006B3095">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Hu, S, ‘Forced Sterilizations Devastates Lives in South Africa’, </w:t>
      </w:r>
      <w:hyperlink r:id="rId15" w:history="1">
        <w:r w:rsidRPr="00300727">
          <w:rPr>
            <w:rStyle w:val="Hyperlink"/>
            <w:rFonts w:ascii="Calibri" w:hAnsi="Calibri" w:cs="Calibri"/>
            <w:sz w:val="16"/>
            <w:szCs w:val="16"/>
          </w:rPr>
          <w:t>https://kennedyinstitute.georgetown.edu/showcase/wp-content/uploads/2020/04/Sonya-Hu-Bioethics-Forced-Sterilization.pdf</w:t>
        </w:r>
      </w:hyperlink>
      <w:r w:rsidRPr="00300727">
        <w:rPr>
          <w:rStyle w:val="Hyperlink"/>
          <w:rFonts w:ascii="Calibri" w:hAnsi="Calibri" w:cs="Calibri"/>
          <w:sz w:val="16"/>
          <w:szCs w:val="16"/>
        </w:rPr>
        <w:t>.</w:t>
      </w:r>
    </w:p>
  </w:endnote>
  <w:endnote w:id="37">
    <w:p w14:paraId="0FC45217" w14:textId="46B8520D" w:rsidR="00BF2AE7" w:rsidRPr="00300727" w:rsidRDefault="00BF2AE7" w:rsidP="00404723">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The Global Coalition of Women and AIDS ‘Women who use drugs, harm reduction and HIV, </w:t>
      </w:r>
      <w:hyperlink r:id="rId16" w:history="1">
        <w:r w:rsidRPr="00300727">
          <w:rPr>
            <w:rStyle w:val="Hyperlink"/>
            <w:rFonts w:ascii="Calibri" w:hAnsi="Calibri" w:cs="Calibri"/>
            <w:sz w:val="16"/>
            <w:szCs w:val="16"/>
          </w:rPr>
          <w:t>https://idhdp.com/media/1114/brief-women-drugs-hiv-harm-final.Pdf</w:t>
        </w:r>
      </w:hyperlink>
      <w:r w:rsidRPr="00300727">
        <w:rPr>
          <w:rStyle w:val="Hyperlink"/>
          <w:rFonts w:ascii="Calibri" w:hAnsi="Calibri" w:cs="Calibri"/>
          <w:sz w:val="16"/>
          <w:szCs w:val="16"/>
        </w:rPr>
        <w:t>.</w:t>
      </w:r>
    </w:p>
  </w:endnote>
  <w:endnote w:id="38">
    <w:p w14:paraId="2D80E154" w14:textId="616304E6" w:rsidR="00BF2AE7" w:rsidRPr="00300727" w:rsidRDefault="00BF2AE7" w:rsidP="006B3095">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International AIDS Society (2029), ‘Women who inject drugs: Overlooked, yet visible’, </w:t>
      </w:r>
      <w:hyperlink r:id="rId17" w:history="1">
        <w:r w:rsidRPr="00300727">
          <w:rPr>
            <w:rStyle w:val="Hyperlink"/>
            <w:rFonts w:ascii="Calibri" w:hAnsi="Calibri" w:cs="Calibri"/>
            <w:sz w:val="16"/>
            <w:szCs w:val="16"/>
          </w:rPr>
          <w:t>https://www.iasociety.org/Web/WebContent/File/2019__IAS__Brief__Women_who_inject_drugs.pdf</w:t>
        </w:r>
      </w:hyperlink>
      <w:r w:rsidRPr="00300727">
        <w:rPr>
          <w:rFonts w:ascii="Calibri" w:hAnsi="Calibri" w:cs="Calibri"/>
          <w:sz w:val="16"/>
          <w:szCs w:val="16"/>
        </w:rPr>
        <w:t xml:space="preserve">. </w:t>
      </w:r>
    </w:p>
  </w:endnote>
  <w:endnote w:id="39">
    <w:p w14:paraId="1974D555" w14:textId="54925F09" w:rsidR="00BF2AE7" w:rsidRPr="00300727" w:rsidRDefault="00BF2AE7" w:rsidP="00404723">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Soderstrom, K and Skolbekken, J A (2017), ‘Pregnancy and substance use – the Norwegian z 10-3 solution. Ethical and clinical reflections related to incarceration of pregnant women to protect the foetus from harmful substances’, </w:t>
      </w:r>
      <w:r w:rsidRPr="00300727">
        <w:rPr>
          <w:rFonts w:ascii="Calibri" w:hAnsi="Calibri" w:cs="Calibri"/>
          <w:iCs/>
          <w:sz w:val="16"/>
          <w:szCs w:val="16"/>
        </w:rPr>
        <w:t>Nordic Studies on Alcohol and Drugs,</w:t>
      </w:r>
      <w:r w:rsidRPr="00300727">
        <w:rPr>
          <w:rFonts w:ascii="Calibri" w:hAnsi="Calibri" w:cs="Calibri"/>
          <w:sz w:val="16"/>
          <w:szCs w:val="16"/>
        </w:rPr>
        <w:t xml:space="preserve"> 155-171.</w:t>
      </w:r>
    </w:p>
  </w:endnote>
  <w:endnote w:id="40">
    <w:p w14:paraId="057CC28E" w14:textId="0E54B92F" w:rsidR="00BF2AE7" w:rsidRPr="00300727" w:rsidRDefault="00BF2AE7" w:rsidP="006B3095">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Ibid. See also Propublica, ‘How States Handle Drug Use During Pregnancy’, </w:t>
      </w:r>
      <w:hyperlink r:id="rId18" w:history="1">
        <w:r w:rsidRPr="00300727">
          <w:rPr>
            <w:rStyle w:val="Hyperlink"/>
            <w:rFonts w:ascii="Calibri" w:hAnsi="Calibri" w:cs="Calibri"/>
            <w:sz w:val="16"/>
            <w:szCs w:val="16"/>
          </w:rPr>
          <w:t>https://projects.propublica.org/graphics/maternity-drug-policies-by-state</w:t>
        </w:r>
      </w:hyperlink>
      <w:r w:rsidRPr="00300727">
        <w:rPr>
          <w:rStyle w:val="Hyperlink"/>
          <w:rFonts w:ascii="Calibri" w:hAnsi="Calibri" w:cs="Calibri"/>
          <w:sz w:val="16"/>
          <w:szCs w:val="16"/>
        </w:rPr>
        <w:t>.</w:t>
      </w:r>
    </w:p>
  </w:endnote>
  <w:endnote w:id="41">
    <w:p w14:paraId="02CE6AFF" w14:textId="018B6229" w:rsidR="00BF2AE7" w:rsidRPr="00300727" w:rsidRDefault="00BF2AE7">
      <w:pPr>
        <w:pStyle w:val="EndnoteText"/>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For more details and examples, see HRI (2021), ‘Integrated and Person-Centred Harm Reduction Services’, https://www.hri.global/files/2021/11/24/HRI_Integrated_Services_Briefing.pdf.</w:t>
      </w:r>
    </w:p>
  </w:endnote>
  <w:endnote w:id="42">
    <w:p w14:paraId="405BD6FF" w14:textId="65B7BD06" w:rsidR="00BF2AE7" w:rsidRPr="00300727" w:rsidRDefault="00BF2AE7" w:rsidP="0053696E">
      <w:pPr>
        <w:pStyle w:val="EndnoteText"/>
        <w:contextualSpacing/>
        <w:rPr>
          <w:rFonts w:ascii="Calibri" w:hAnsi="Calibri" w:cs="Calibri"/>
          <w:sz w:val="16"/>
          <w:szCs w:val="16"/>
        </w:rPr>
      </w:pPr>
      <w:r w:rsidRPr="00300727">
        <w:rPr>
          <w:rStyle w:val="EndnoteReference"/>
          <w:rFonts w:ascii="Calibri" w:hAnsi="Calibri" w:cs="Calibri"/>
          <w:sz w:val="16"/>
          <w:szCs w:val="16"/>
        </w:rPr>
        <w:endnoteRef/>
      </w:r>
      <w:r w:rsidRPr="00300727">
        <w:rPr>
          <w:rFonts w:ascii="Calibri" w:hAnsi="Calibri" w:cs="Calibri"/>
          <w:sz w:val="16"/>
          <w:szCs w:val="16"/>
        </w:rPr>
        <w:t xml:space="preserve"> Among others, see: Stone, K and Shirley-Beavan, S (2018), ‘Global State of Harm Reduction 2018’, (London: HRI). </w:t>
      </w:r>
    </w:p>
  </w:endnote>
  <w:endnote w:id="43">
    <w:p w14:paraId="1C70D44C" w14:textId="02ACD0CC" w:rsidR="00EC79BE" w:rsidRPr="00300727" w:rsidRDefault="00EC79BE" w:rsidP="00EC79BE">
      <w:pPr>
        <w:spacing w:after="0" w:line="240" w:lineRule="auto"/>
        <w:contextualSpacing/>
        <w:jc w:val="both"/>
        <w:rPr>
          <w:rFonts w:ascii="Calibri" w:hAnsi="Calibri" w:cs="Calibri"/>
          <w:sz w:val="16"/>
          <w:szCs w:val="16"/>
        </w:rPr>
      </w:pPr>
      <w:r w:rsidRPr="00300727">
        <w:rPr>
          <w:rStyle w:val="EndnoteReference"/>
          <w:rFonts w:ascii="Calibri" w:hAnsi="Calibri" w:cs="Calibri"/>
          <w:sz w:val="16"/>
          <w:szCs w:val="16"/>
        </w:rPr>
        <w:endnoteRef/>
      </w:r>
      <w:r>
        <w:rPr>
          <w:rFonts w:ascii="Calibri" w:hAnsi="Calibri" w:cs="Calibri"/>
          <w:sz w:val="16"/>
          <w:szCs w:val="16"/>
        </w:rPr>
        <w:t xml:space="preserve"> </w:t>
      </w:r>
      <w:r w:rsidRPr="00EC79BE">
        <w:rPr>
          <w:rFonts w:ascii="Calibri" w:hAnsi="Calibri" w:cs="Calibri"/>
          <w:sz w:val="16"/>
          <w:szCs w:val="16"/>
        </w:rPr>
        <w:t>These include</w:t>
      </w:r>
      <w:r w:rsidRPr="00EC79BE">
        <w:rPr>
          <w:rFonts w:ascii="Calibri" w:hAnsi="Calibri" w:cs="Calibri"/>
          <w:sz w:val="16"/>
          <w:szCs w:val="16"/>
        </w:rPr>
        <w:t xml:space="preserve"> services to address gender-based violence, HIV/AIDS and other STIs, contraception, maternal and newborn health, safe abortion and post-abortion care and cervical cancer testing and treatment</w:t>
      </w:r>
      <w:r w:rsidRPr="00EC79BE">
        <w:rPr>
          <w:rFonts w:ascii="Calibri" w:hAnsi="Calibri" w:cs="Calibri"/>
          <w:sz w:val="16"/>
          <w:szCs w:val="16"/>
        </w:rPr>
        <w:t>. See:</w:t>
      </w:r>
      <w:r w:rsidRPr="00EC79BE">
        <w:rPr>
          <w:rFonts w:ascii="Calibri" w:hAnsi="Calibri" w:cs="Calibri"/>
          <w:sz w:val="16"/>
          <w:szCs w:val="16"/>
        </w:rPr>
        <w:t xml:space="preserve"> Accelerate </w:t>
      </w:r>
      <w:r w:rsidRPr="00300727">
        <w:rPr>
          <w:rFonts w:ascii="Calibri" w:hAnsi="Calibri" w:cs="Calibri"/>
          <w:sz w:val="16"/>
          <w:szCs w:val="16"/>
        </w:rPr>
        <w:t xml:space="preserve">progress—sexual and reproductive health and rights for all: report of the Guttmacher–Lancet Commission (May 2018),  </w:t>
      </w:r>
      <w:hyperlink r:id="rId19" w:history="1">
        <w:r w:rsidRPr="00300727">
          <w:rPr>
            <w:rStyle w:val="Hyperlink"/>
            <w:rFonts w:ascii="Calibri" w:hAnsi="Calibri" w:cs="Calibri"/>
            <w:sz w:val="16"/>
            <w:szCs w:val="16"/>
          </w:rPr>
          <w:t>https://www.thelancet.com/commissions/sexual-and-reproductive-health-and-rights</w:t>
        </w:r>
      </w:hyperlink>
      <w:r w:rsidRPr="00300727">
        <w:rPr>
          <w:rFonts w:ascii="Calibri" w:hAnsi="Calibri" w:cs="Calibri"/>
          <w:sz w:val="16"/>
          <w:szCs w:val="16"/>
        </w:rPr>
        <w:t xml:space="preserve">.  </w:t>
      </w:r>
    </w:p>
  </w:endnote>
  <w:endnote w:id="44">
    <w:p w14:paraId="0638C1A4" w14:textId="47E2E7C8" w:rsidR="00BF2AE7" w:rsidRPr="00300727" w:rsidRDefault="00BF2AE7" w:rsidP="0000632D">
      <w:pPr>
        <w:pStyle w:val="EndnoteText"/>
        <w:rPr>
          <w:rFonts w:ascii="Calibri" w:hAnsi="Calibri" w:cs="Calibri"/>
          <w:sz w:val="16"/>
          <w:szCs w:val="16"/>
          <w:lang w:val="en-US"/>
        </w:rPr>
      </w:pPr>
      <w:r w:rsidRPr="00300727">
        <w:rPr>
          <w:rStyle w:val="EndnoteReference"/>
          <w:rFonts w:ascii="Calibri" w:hAnsi="Calibri" w:cs="Calibri"/>
          <w:sz w:val="16"/>
          <w:szCs w:val="16"/>
        </w:rPr>
        <w:endnoteRef/>
      </w:r>
      <w:r w:rsidRPr="00300727">
        <w:rPr>
          <w:rFonts w:ascii="Calibri" w:hAnsi="Calibri" w:cs="Calibri"/>
          <w:sz w:val="16"/>
          <w:szCs w:val="16"/>
        </w:rPr>
        <w:t xml:space="preserve"> Available at: </w:t>
      </w:r>
      <w:hyperlink r:id="rId20" w:history="1">
        <w:r w:rsidRPr="00300727">
          <w:rPr>
            <w:rStyle w:val="Hyperlink"/>
            <w:rFonts w:ascii="Calibri" w:hAnsi="Calibri" w:cs="Calibri"/>
            <w:sz w:val="16"/>
            <w:szCs w:val="16"/>
          </w:rPr>
          <w:t>https://www.ohchr.org/EN/Issues/LocalGovernment/Pages/Index.aspx</w:t>
        </w:r>
      </w:hyperlink>
      <w:r w:rsidRPr="00300727">
        <w:rPr>
          <w:rFonts w:ascii="Calibri" w:hAnsi="Calibri" w:cs="Calibri"/>
          <w:sz w:val="16"/>
          <w:szCs w:val="16"/>
        </w:rPr>
        <w:t>, submission n.15.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venirLTSt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756979"/>
      <w:docPartObj>
        <w:docPartGallery w:val="Page Numbers (Bottom of Page)"/>
        <w:docPartUnique/>
      </w:docPartObj>
    </w:sdtPr>
    <w:sdtEndPr>
      <w:rPr>
        <w:noProof/>
      </w:rPr>
    </w:sdtEndPr>
    <w:sdtContent>
      <w:p w14:paraId="0DAE2E6B" w14:textId="429780AF" w:rsidR="00300727" w:rsidRDefault="00300727">
        <w:pPr>
          <w:pStyle w:val="Footer"/>
          <w:jc w:val="right"/>
        </w:pPr>
        <w:r>
          <w:fldChar w:fldCharType="begin"/>
        </w:r>
        <w:r>
          <w:instrText xml:space="preserve"> PAGE   \* MERGEFORMAT </w:instrText>
        </w:r>
        <w:r>
          <w:fldChar w:fldCharType="separate"/>
        </w:r>
        <w:r w:rsidR="004E23B3">
          <w:rPr>
            <w:noProof/>
          </w:rPr>
          <w:t>5</w:t>
        </w:r>
        <w:r>
          <w:rPr>
            <w:noProof/>
          </w:rPr>
          <w:fldChar w:fldCharType="end"/>
        </w:r>
      </w:p>
    </w:sdtContent>
  </w:sdt>
  <w:p w14:paraId="1D395FE0" w14:textId="77777777" w:rsidR="00300727" w:rsidRDefault="003007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1256" w14:textId="77777777" w:rsidR="007C6F0E" w:rsidRDefault="007C6F0E">
    <w:pPr>
      <w:pStyle w:val="Footer"/>
      <w:rPr>
        <w:lang w:val="en-US"/>
      </w:rPr>
    </w:pPr>
    <w:r>
      <w:rPr>
        <w:lang w:val="en-US"/>
      </w:rPr>
      <w:t>Contact: Harm Reduction International, 61 Mansell Street, E1 8AN, Aldgate, London (UK);</w:t>
    </w:r>
  </w:p>
  <w:p w14:paraId="3C241B77" w14:textId="41CEDFFE" w:rsidR="007C6F0E" w:rsidRDefault="007C6F0E">
    <w:pPr>
      <w:pStyle w:val="Footer"/>
      <w:rPr>
        <w:lang w:val="en-US"/>
      </w:rPr>
    </w:pPr>
    <w:r>
      <w:rPr>
        <w:lang w:val="en-US"/>
      </w:rPr>
      <w:t xml:space="preserve"> +44 (0)20 7324 3535;</w:t>
    </w:r>
  </w:p>
  <w:p w14:paraId="3873E253" w14:textId="3B00E4A2" w:rsidR="007C6F0E" w:rsidRPr="007C6F0E" w:rsidRDefault="007C6F0E">
    <w:pPr>
      <w:pStyle w:val="Footer"/>
      <w:rPr>
        <w:lang w:val="en-US"/>
      </w:rPr>
    </w:pPr>
    <w:hyperlink r:id="rId1" w:history="1">
      <w:r w:rsidRPr="00D422E1">
        <w:rPr>
          <w:rStyle w:val="Hyperlink"/>
          <w:lang w:val="en-US"/>
        </w:rPr>
        <w:t>www.hri.global</w:t>
      </w:r>
    </w:hyperlink>
    <w:r>
      <w:rPr>
        <w:lang w:val="en-US"/>
      </w:rPr>
      <w:t xml:space="preserve"> / </w:t>
    </w:r>
    <w:hyperlink r:id="rId2" w:history="1">
      <w:r w:rsidRPr="00D422E1">
        <w:rPr>
          <w:rStyle w:val="Hyperlink"/>
          <w:lang w:val="en-US"/>
        </w:rPr>
        <w:t>giada.girelli@hri.global</w:t>
      </w:r>
    </w:hyperlink>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56FEE" w14:textId="77777777" w:rsidR="000E03E3" w:rsidRDefault="000E03E3" w:rsidP="00104E07">
      <w:pPr>
        <w:spacing w:after="0" w:line="240" w:lineRule="auto"/>
      </w:pPr>
      <w:r>
        <w:separator/>
      </w:r>
    </w:p>
  </w:footnote>
  <w:footnote w:type="continuationSeparator" w:id="0">
    <w:p w14:paraId="4EDC3DA1" w14:textId="77777777" w:rsidR="000E03E3" w:rsidRDefault="000E03E3" w:rsidP="0010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F361" w14:textId="0524FD5C" w:rsidR="007C6F0E" w:rsidRDefault="007C6F0E">
    <w:pPr>
      <w:pStyle w:val="Header"/>
    </w:pPr>
    <w:r w:rsidRPr="00EA1928">
      <w:rPr>
        <w:rFonts w:ascii="Calibri" w:hAnsi="Calibri" w:cs="Calibri"/>
        <w:noProof/>
        <w:lang w:eastAsia="en-GB"/>
      </w:rPr>
      <w:drawing>
        <wp:anchor distT="0" distB="0" distL="114300" distR="114300" simplePos="0" relativeHeight="251661312" behindDoc="1" locked="0" layoutInCell="1" allowOverlap="1" wp14:anchorId="708540CC" wp14:editId="5BB4D052">
          <wp:simplePos x="0" y="0"/>
          <wp:positionH relativeFrom="margin">
            <wp:posOffset>1653540</wp:posOffset>
          </wp:positionH>
          <wp:positionV relativeFrom="paragraph">
            <wp:posOffset>-276225</wp:posOffset>
          </wp:positionV>
          <wp:extent cx="807720" cy="742118"/>
          <wp:effectExtent l="0" t="0" r="0" b="1270"/>
          <wp:wrapTight wrapText="bothSides">
            <wp:wrapPolygon edited="0">
              <wp:start x="0" y="0"/>
              <wp:lineTo x="0" y="21082"/>
              <wp:lineTo x="20887" y="21082"/>
              <wp:lineTo x="20887" y="0"/>
              <wp:lineTo x="0" y="0"/>
            </wp:wrapPolygon>
          </wp:wrapTight>
          <wp:docPr id="11" name="Picture 11" descr="Image result for id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dp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7421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lang w:eastAsia="en-GB"/>
      </w:rPr>
      <w:drawing>
        <wp:anchor distT="0" distB="0" distL="114300" distR="114300" simplePos="0" relativeHeight="251665408" behindDoc="1" locked="0" layoutInCell="1" allowOverlap="1" wp14:anchorId="3CAD9704" wp14:editId="6271BF0B">
          <wp:simplePos x="0" y="0"/>
          <wp:positionH relativeFrom="margin">
            <wp:posOffset>4716780</wp:posOffset>
          </wp:positionH>
          <wp:positionV relativeFrom="paragraph">
            <wp:posOffset>-257810</wp:posOffset>
          </wp:positionV>
          <wp:extent cx="944880" cy="633654"/>
          <wp:effectExtent l="0" t="0" r="7620" b="0"/>
          <wp:wrapTight wrapText="bothSides">
            <wp:wrapPolygon edited="0">
              <wp:start x="0" y="0"/>
              <wp:lineTo x="0" y="20798"/>
              <wp:lineTo x="21339" y="20798"/>
              <wp:lineTo x="213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DC9BB1.t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4880" cy="633654"/>
                  </a:xfrm>
                  <a:prstGeom prst="rect">
                    <a:avLst/>
                  </a:prstGeom>
                </pic:spPr>
              </pic:pic>
            </a:graphicData>
          </a:graphic>
        </wp:anchor>
      </w:drawing>
    </w:r>
    <w:r w:rsidRPr="00001D51">
      <w:rPr>
        <w:rFonts w:ascii="Calibri" w:hAnsi="Calibri" w:cs="Calibri"/>
        <w:noProof/>
        <w:lang w:eastAsia="en-GB"/>
      </w:rPr>
      <w:drawing>
        <wp:anchor distT="0" distB="0" distL="114300" distR="114300" simplePos="0" relativeHeight="251663360" behindDoc="0" locked="0" layoutInCell="1" allowOverlap="1" wp14:anchorId="659C0161" wp14:editId="217A300D">
          <wp:simplePos x="0" y="0"/>
          <wp:positionH relativeFrom="margin">
            <wp:posOffset>2964180</wp:posOffset>
          </wp:positionH>
          <wp:positionV relativeFrom="paragraph">
            <wp:posOffset>-53975</wp:posOffset>
          </wp:positionV>
          <wp:extent cx="1143000" cy="304800"/>
          <wp:effectExtent l="0" t="0" r="0" b="0"/>
          <wp:wrapThrough wrapText="bothSides">
            <wp:wrapPolygon edited="0">
              <wp:start x="0" y="0"/>
              <wp:lineTo x="0" y="20250"/>
              <wp:lineTo x="21240" y="20250"/>
              <wp:lineTo x="21240" y="0"/>
              <wp:lineTo x="0" y="0"/>
            </wp:wrapPolygon>
          </wp:wrapThrough>
          <wp:docPr id="12" name="Picture 12" descr="C:\Users\Giada-HRI\AppData\Local\Microsoft\Windows\INetCache\Content.Outlook\7XOVCFJ1\CD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da-HRI\AppData\Local\Microsoft\Windows\INetCache\Content.Outlook\7XOVCFJ1\CDPE 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noProof/>
        <w:lang w:eastAsia="en-GB"/>
      </w:rPr>
      <w:drawing>
        <wp:anchor distT="0" distB="0" distL="114300" distR="114300" simplePos="0" relativeHeight="251659264" behindDoc="0" locked="0" layoutInCell="1" allowOverlap="1" wp14:anchorId="65E99FD1" wp14:editId="35C57BC6">
          <wp:simplePos x="0" y="0"/>
          <wp:positionH relativeFrom="margin">
            <wp:posOffset>-38100</wp:posOffset>
          </wp:positionH>
          <wp:positionV relativeFrom="paragraph">
            <wp:posOffset>-229235</wp:posOffset>
          </wp:positionV>
          <wp:extent cx="1158240" cy="692150"/>
          <wp:effectExtent l="0" t="0" r="3810" b="0"/>
          <wp:wrapThrough wrapText="bothSides">
            <wp:wrapPolygon edited="0">
              <wp:start x="0" y="0"/>
              <wp:lineTo x="0" y="20807"/>
              <wp:lineTo x="21316" y="20807"/>
              <wp:lineTo x="213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DCD6A7.tmp"/>
                  <pic:cNvPicPr/>
                </pic:nvPicPr>
                <pic:blipFill>
                  <a:blip r:embed="rId4">
                    <a:extLst>
                      <a:ext uri="{28A0092B-C50C-407E-A947-70E740481C1C}">
                        <a14:useLocalDpi xmlns:a14="http://schemas.microsoft.com/office/drawing/2010/main" val="0"/>
                      </a:ext>
                    </a:extLst>
                  </a:blip>
                  <a:stretch>
                    <a:fillRect/>
                  </a:stretch>
                </pic:blipFill>
                <pic:spPr>
                  <a:xfrm>
                    <a:off x="0" y="0"/>
                    <a:ext cx="1158240" cy="692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004B0"/>
    <w:multiLevelType w:val="hybridMultilevel"/>
    <w:tmpl w:val="7E1ED8D6"/>
    <w:lvl w:ilvl="0" w:tplc="0C1A7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D35B3"/>
    <w:multiLevelType w:val="hybridMultilevel"/>
    <w:tmpl w:val="607A961E"/>
    <w:lvl w:ilvl="0" w:tplc="424E13AE">
      <w:numFmt w:val="bullet"/>
      <w:lvlText w:val="-"/>
      <w:lvlJc w:val="left"/>
      <w:pPr>
        <w:ind w:left="720" w:hanging="360"/>
      </w:pPr>
      <w:rPr>
        <w:rFonts w:ascii="Calibri" w:eastAsiaTheme="minorHAnsi" w:hAnsi="Calibri" w:cs="Vrind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3349E"/>
    <w:multiLevelType w:val="hybridMultilevel"/>
    <w:tmpl w:val="07F6E322"/>
    <w:lvl w:ilvl="0" w:tplc="3A368AE6">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F36207A"/>
    <w:multiLevelType w:val="hybridMultilevel"/>
    <w:tmpl w:val="196246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AF175F"/>
    <w:multiLevelType w:val="hybridMultilevel"/>
    <w:tmpl w:val="CC6270A8"/>
    <w:lvl w:ilvl="0" w:tplc="7266402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5A"/>
    <w:rsid w:val="00001D51"/>
    <w:rsid w:val="0000632D"/>
    <w:rsid w:val="0003677D"/>
    <w:rsid w:val="00055220"/>
    <w:rsid w:val="00075F56"/>
    <w:rsid w:val="0008221B"/>
    <w:rsid w:val="000C01A8"/>
    <w:rsid w:val="000C1E18"/>
    <w:rsid w:val="000E03E3"/>
    <w:rsid w:val="00104E07"/>
    <w:rsid w:val="0018483F"/>
    <w:rsid w:val="001A07AD"/>
    <w:rsid w:val="001A51B8"/>
    <w:rsid w:val="001C0E18"/>
    <w:rsid w:val="001C6E0B"/>
    <w:rsid w:val="001E7D2C"/>
    <w:rsid w:val="00220F5B"/>
    <w:rsid w:val="0024708B"/>
    <w:rsid w:val="00292F1F"/>
    <w:rsid w:val="00295EB7"/>
    <w:rsid w:val="00297452"/>
    <w:rsid w:val="0029770E"/>
    <w:rsid w:val="002B775A"/>
    <w:rsid w:val="002E1433"/>
    <w:rsid w:val="00300727"/>
    <w:rsid w:val="00310B07"/>
    <w:rsid w:val="00334196"/>
    <w:rsid w:val="004024FF"/>
    <w:rsid w:val="00404723"/>
    <w:rsid w:val="0041577B"/>
    <w:rsid w:val="00460730"/>
    <w:rsid w:val="0049465F"/>
    <w:rsid w:val="004E23B3"/>
    <w:rsid w:val="0053696E"/>
    <w:rsid w:val="00556CB0"/>
    <w:rsid w:val="00566B5C"/>
    <w:rsid w:val="00597A41"/>
    <w:rsid w:val="005F6D84"/>
    <w:rsid w:val="00610B81"/>
    <w:rsid w:val="006A7B33"/>
    <w:rsid w:val="006B3095"/>
    <w:rsid w:val="006D67E5"/>
    <w:rsid w:val="00700135"/>
    <w:rsid w:val="007107DC"/>
    <w:rsid w:val="007245A1"/>
    <w:rsid w:val="007C6F0E"/>
    <w:rsid w:val="00812961"/>
    <w:rsid w:val="00867090"/>
    <w:rsid w:val="00886219"/>
    <w:rsid w:val="008B7262"/>
    <w:rsid w:val="008E059A"/>
    <w:rsid w:val="00927780"/>
    <w:rsid w:val="009951B1"/>
    <w:rsid w:val="009F681E"/>
    <w:rsid w:val="00A07167"/>
    <w:rsid w:val="00A27C05"/>
    <w:rsid w:val="00A93227"/>
    <w:rsid w:val="00AD4C5C"/>
    <w:rsid w:val="00AD6949"/>
    <w:rsid w:val="00B36864"/>
    <w:rsid w:val="00B47A61"/>
    <w:rsid w:val="00B707F0"/>
    <w:rsid w:val="00BA675C"/>
    <w:rsid w:val="00BC3A01"/>
    <w:rsid w:val="00BF1F94"/>
    <w:rsid w:val="00BF2AE7"/>
    <w:rsid w:val="00C02EF9"/>
    <w:rsid w:val="00C43A19"/>
    <w:rsid w:val="00C5108A"/>
    <w:rsid w:val="00C90D57"/>
    <w:rsid w:val="00CD3ECF"/>
    <w:rsid w:val="00CE08AF"/>
    <w:rsid w:val="00CE204C"/>
    <w:rsid w:val="00D03F41"/>
    <w:rsid w:val="00D14255"/>
    <w:rsid w:val="00D760C1"/>
    <w:rsid w:val="00D844D3"/>
    <w:rsid w:val="00DB4A68"/>
    <w:rsid w:val="00E611C7"/>
    <w:rsid w:val="00E656C7"/>
    <w:rsid w:val="00E96FA6"/>
    <w:rsid w:val="00EA1928"/>
    <w:rsid w:val="00EA2D79"/>
    <w:rsid w:val="00EC79BE"/>
    <w:rsid w:val="00ED2357"/>
    <w:rsid w:val="00F16779"/>
    <w:rsid w:val="00F4177E"/>
    <w:rsid w:val="00F64DF3"/>
    <w:rsid w:val="00F66D2C"/>
    <w:rsid w:val="00FC31DC"/>
    <w:rsid w:val="00FD215A"/>
    <w:rsid w:val="00FE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296B4"/>
  <w15:chartTrackingRefBased/>
  <w15:docId w15:val="{8446469D-C331-43D1-A77C-E0A51AA6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0D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0D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8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E08AF"/>
    <w:pPr>
      <w:ind w:left="720"/>
      <w:contextualSpacing/>
    </w:pPr>
  </w:style>
  <w:style w:type="paragraph" w:styleId="FootnoteText">
    <w:name w:val="footnote text"/>
    <w:basedOn w:val="Normal"/>
    <w:link w:val="FootnoteTextChar"/>
    <w:uiPriority w:val="99"/>
    <w:semiHidden/>
    <w:unhideWhenUsed/>
    <w:rsid w:val="00104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E07"/>
    <w:rPr>
      <w:sz w:val="20"/>
      <w:szCs w:val="20"/>
    </w:rPr>
  </w:style>
  <w:style w:type="character" w:styleId="FootnoteReference">
    <w:name w:val="footnote reference"/>
    <w:basedOn w:val="DefaultParagraphFont"/>
    <w:uiPriority w:val="99"/>
    <w:semiHidden/>
    <w:unhideWhenUsed/>
    <w:rsid w:val="00104E07"/>
    <w:rPr>
      <w:vertAlign w:val="superscript"/>
    </w:rPr>
  </w:style>
  <w:style w:type="character" w:styleId="Hyperlink">
    <w:name w:val="Hyperlink"/>
    <w:basedOn w:val="DefaultParagraphFont"/>
    <w:uiPriority w:val="99"/>
    <w:unhideWhenUsed/>
    <w:rsid w:val="00104E07"/>
    <w:rPr>
      <w:color w:val="0563C1" w:themeColor="hyperlink"/>
      <w:u w:val="single"/>
    </w:rPr>
  </w:style>
  <w:style w:type="character" w:styleId="CommentReference">
    <w:name w:val="annotation reference"/>
    <w:basedOn w:val="DefaultParagraphFont"/>
    <w:uiPriority w:val="99"/>
    <w:semiHidden/>
    <w:unhideWhenUsed/>
    <w:rsid w:val="0029770E"/>
    <w:rPr>
      <w:sz w:val="16"/>
      <w:szCs w:val="16"/>
    </w:rPr>
  </w:style>
  <w:style w:type="paragraph" w:styleId="CommentText">
    <w:name w:val="annotation text"/>
    <w:basedOn w:val="Normal"/>
    <w:link w:val="CommentTextChar"/>
    <w:uiPriority w:val="99"/>
    <w:semiHidden/>
    <w:unhideWhenUsed/>
    <w:rsid w:val="0029770E"/>
    <w:pPr>
      <w:spacing w:line="240" w:lineRule="auto"/>
    </w:pPr>
    <w:rPr>
      <w:sz w:val="20"/>
      <w:szCs w:val="20"/>
    </w:rPr>
  </w:style>
  <w:style w:type="character" w:customStyle="1" w:styleId="CommentTextChar">
    <w:name w:val="Comment Text Char"/>
    <w:basedOn w:val="DefaultParagraphFont"/>
    <w:link w:val="CommentText"/>
    <w:uiPriority w:val="99"/>
    <w:semiHidden/>
    <w:rsid w:val="0029770E"/>
    <w:rPr>
      <w:sz w:val="20"/>
      <w:szCs w:val="20"/>
    </w:rPr>
  </w:style>
  <w:style w:type="paragraph" w:styleId="CommentSubject">
    <w:name w:val="annotation subject"/>
    <w:basedOn w:val="CommentText"/>
    <w:next w:val="CommentText"/>
    <w:link w:val="CommentSubjectChar"/>
    <w:uiPriority w:val="99"/>
    <w:semiHidden/>
    <w:unhideWhenUsed/>
    <w:rsid w:val="0029770E"/>
    <w:rPr>
      <w:b/>
      <w:bCs/>
    </w:rPr>
  </w:style>
  <w:style w:type="character" w:customStyle="1" w:styleId="CommentSubjectChar">
    <w:name w:val="Comment Subject Char"/>
    <w:basedOn w:val="CommentTextChar"/>
    <w:link w:val="CommentSubject"/>
    <w:uiPriority w:val="99"/>
    <w:semiHidden/>
    <w:rsid w:val="0029770E"/>
    <w:rPr>
      <w:b/>
      <w:bCs/>
      <w:sz w:val="20"/>
      <w:szCs w:val="20"/>
    </w:rPr>
  </w:style>
  <w:style w:type="paragraph" w:styleId="BalloonText">
    <w:name w:val="Balloon Text"/>
    <w:basedOn w:val="Normal"/>
    <w:link w:val="BalloonTextChar"/>
    <w:uiPriority w:val="99"/>
    <w:semiHidden/>
    <w:unhideWhenUsed/>
    <w:rsid w:val="00297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70E"/>
    <w:rPr>
      <w:rFonts w:ascii="Segoe UI" w:hAnsi="Segoe UI" w:cs="Segoe UI"/>
      <w:sz w:val="18"/>
      <w:szCs w:val="18"/>
    </w:rPr>
  </w:style>
  <w:style w:type="character" w:customStyle="1" w:styleId="Heading1Char">
    <w:name w:val="Heading 1 Char"/>
    <w:basedOn w:val="DefaultParagraphFont"/>
    <w:link w:val="Heading1"/>
    <w:uiPriority w:val="9"/>
    <w:rsid w:val="00C90D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90D57"/>
    <w:rPr>
      <w:rFonts w:asciiTheme="majorHAnsi" w:eastAsiaTheme="majorEastAsia" w:hAnsiTheme="majorHAnsi" w:cstheme="majorBidi"/>
      <w:color w:val="2E74B5" w:themeColor="accent1" w:themeShade="BF"/>
      <w:sz w:val="26"/>
      <w:szCs w:val="26"/>
    </w:rPr>
  </w:style>
  <w:style w:type="paragraph" w:styleId="List">
    <w:name w:val="List"/>
    <w:basedOn w:val="Normal"/>
    <w:uiPriority w:val="99"/>
    <w:unhideWhenUsed/>
    <w:rsid w:val="00C90D57"/>
    <w:pPr>
      <w:ind w:left="283" w:hanging="283"/>
      <w:contextualSpacing/>
    </w:pPr>
  </w:style>
  <w:style w:type="paragraph" w:styleId="BodyText">
    <w:name w:val="Body Text"/>
    <w:basedOn w:val="Normal"/>
    <w:link w:val="BodyTextChar"/>
    <w:uiPriority w:val="99"/>
    <w:unhideWhenUsed/>
    <w:rsid w:val="00C90D57"/>
    <w:pPr>
      <w:spacing w:after="120"/>
    </w:pPr>
  </w:style>
  <w:style w:type="character" w:customStyle="1" w:styleId="BodyTextChar">
    <w:name w:val="Body Text Char"/>
    <w:basedOn w:val="DefaultParagraphFont"/>
    <w:link w:val="BodyText"/>
    <w:uiPriority w:val="99"/>
    <w:rsid w:val="00C90D57"/>
  </w:style>
  <w:style w:type="paragraph" w:styleId="BodyTextFirstIndent">
    <w:name w:val="Body Text First Indent"/>
    <w:basedOn w:val="BodyText"/>
    <w:link w:val="BodyTextFirstIndentChar"/>
    <w:uiPriority w:val="99"/>
    <w:unhideWhenUsed/>
    <w:rsid w:val="00C90D57"/>
    <w:pPr>
      <w:spacing w:after="160"/>
      <w:ind w:firstLine="360"/>
    </w:pPr>
  </w:style>
  <w:style w:type="character" w:customStyle="1" w:styleId="BodyTextFirstIndentChar">
    <w:name w:val="Body Text First Indent Char"/>
    <w:basedOn w:val="BodyTextChar"/>
    <w:link w:val="BodyTextFirstIndent"/>
    <w:uiPriority w:val="99"/>
    <w:rsid w:val="00C90D57"/>
  </w:style>
  <w:style w:type="paragraph" w:styleId="Revision">
    <w:name w:val="Revision"/>
    <w:hidden/>
    <w:uiPriority w:val="99"/>
    <w:semiHidden/>
    <w:rsid w:val="00A07167"/>
    <w:pPr>
      <w:spacing w:after="0" w:line="240" w:lineRule="auto"/>
    </w:pPr>
  </w:style>
  <w:style w:type="paragraph" w:styleId="NormalWeb">
    <w:name w:val="Normal (Web)"/>
    <w:basedOn w:val="Normal"/>
    <w:uiPriority w:val="99"/>
    <w:unhideWhenUsed/>
    <w:rsid w:val="001C6E0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EndnoteText">
    <w:name w:val="endnote text"/>
    <w:basedOn w:val="Normal"/>
    <w:link w:val="EndnoteTextChar"/>
    <w:uiPriority w:val="99"/>
    <w:unhideWhenUsed/>
    <w:rsid w:val="001C6E0B"/>
    <w:pPr>
      <w:spacing w:after="0" w:line="240" w:lineRule="auto"/>
    </w:pPr>
    <w:rPr>
      <w:sz w:val="20"/>
      <w:szCs w:val="20"/>
    </w:rPr>
  </w:style>
  <w:style w:type="character" w:customStyle="1" w:styleId="EndnoteTextChar">
    <w:name w:val="Endnote Text Char"/>
    <w:basedOn w:val="DefaultParagraphFont"/>
    <w:link w:val="EndnoteText"/>
    <w:uiPriority w:val="99"/>
    <w:rsid w:val="001C6E0B"/>
    <w:rPr>
      <w:sz w:val="20"/>
      <w:szCs w:val="20"/>
    </w:rPr>
  </w:style>
  <w:style w:type="character" w:styleId="EndnoteReference">
    <w:name w:val="endnote reference"/>
    <w:basedOn w:val="DefaultParagraphFont"/>
    <w:uiPriority w:val="99"/>
    <w:semiHidden/>
    <w:unhideWhenUsed/>
    <w:rsid w:val="001C6E0B"/>
    <w:rPr>
      <w:vertAlign w:val="superscript"/>
    </w:rPr>
  </w:style>
  <w:style w:type="character" w:customStyle="1" w:styleId="UnresolvedMention1">
    <w:name w:val="Unresolved Mention1"/>
    <w:basedOn w:val="DefaultParagraphFont"/>
    <w:uiPriority w:val="99"/>
    <w:semiHidden/>
    <w:unhideWhenUsed/>
    <w:rsid w:val="006A7B33"/>
    <w:rPr>
      <w:color w:val="605E5C"/>
      <w:shd w:val="clear" w:color="auto" w:fill="E1DFDD"/>
    </w:rPr>
  </w:style>
  <w:style w:type="character" w:styleId="FollowedHyperlink">
    <w:name w:val="FollowedHyperlink"/>
    <w:basedOn w:val="DefaultParagraphFont"/>
    <w:uiPriority w:val="99"/>
    <w:semiHidden/>
    <w:unhideWhenUsed/>
    <w:rsid w:val="00CD3ECF"/>
    <w:rPr>
      <w:color w:val="954F72" w:themeColor="followedHyperlink"/>
      <w:u w:val="single"/>
    </w:rPr>
  </w:style>
  <w:style w:type="paragraph" w:styleId="Header">
    <w:name w:val="header"/>
    <w:basedOn w:val="Normal"/>
    <w:link w:val="HeaderChar"/>
    <w:uiPriority w:val="99"/>
    <w:unhideWhenUsed/>
    <w:rsid w:val="00300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727"/>
  </w:style>
  <w:style w:type="paragraph" w:styleId="Footer">
    <w:name w:val="footer"/>
    <w:basedOn w:val="Normal"/>
    <w:link w:val="FooterChar"/>
    <w:uiPriority w:val="99"/>
    <w:unhideWhenUsed/>
    <w:rsid w:val="00300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727"/>
  </w:style>
  <w:style w:type="character" w:customStyle="1" w:styleId="UnresolvedMention">
    <w:name w:val="Unresolved Mention"/>
    <w:basedOn w:val="DefaultParagraphFont"/>
    <w:uiPriority w:val="99"/>
    <w:semiHidden/>
    <w:unhideWhenUsed/>
    <w:rsid w:val="001E7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4075">
      <w:bodyDiv w:val="1"/>
      <w:marLeft w:val="0"/>
      <w:marRight w:val="0"/>
      <w:marTop w:val="0"/>
      <w:marBottom w:val="0"/>
      <w:divBdr>
        <w:top w:val="none" w:sz="0" w:space="0" w:color="auto"/>
        <w:left w:val="none" w:sz="0" w:space="0" w:color="auto"/>
        <w:bottom w:val="none" w:sz="0" w:space="0" w:color="auto"/>
        <w:right w:val="none" w:sz="0" w:space="0" w:color="auto"/>
      </w:divBdr>
    </w:div>
    <w:div w:id="1712726510">
      <w:bodyDiv w:val="1"/>
      <w:marLeft w:val="0"/>
      <w:marRight w:val="0"/>
      <w:marTop w:val="0"/>
      <w:marBottom w:val="0"/>
      <w:divBdr>
        <w:top w:val="none" w:sz="0" w:space="0" w:color="auto"/>
        <w:left w:val="none" w:sz="0" w:space="0" w:color="auto"/>
        <w:bottom w:val="none" w:sz="0" w:space="0" w:color="auto"/>
        <w:right w:val="none" w:sz="0" w:space="0" w:color="auto"/>
      </w:divBdr>
      <w:divsChild>
        <w:div w:id="838272043">
          <w:marLeft w:val="0"/>
          <w:marRight w:val="0"/>
          <w:marTop w:val="0"/>
          <w:marBottom w:val="0"/>
          <w:divBdr>
            <w:top w:val="none" w:sz="0" w:space="0" w:color="auto"/>
            <w:left w:val="none" w:sz="0" w:space="0" w:color="auto"/>
            <w:bottom w:val="none" w:sz="0" w:space="0" w:color="auto"/>
            <w:right w:val="none" w:sz="0" w:space="0" w:color="auto"/>
          </w:divBdr>
          <w:divsChild>
            <w:div w:id="1646667543">
              <w:marLeft w:val="0"/>
              <w:marRight w:val="0"/>
              <w:marTop w:val="0"/>
              <w:marBottom w:val="0"/>
              <w:divBdr>
                <w:top w:val="none" w:sz="0" w:space="0" w:color="auto"/>
                <w:left w:val="none" w:sz="0" w:space="0" w:color="auto"/>
                <w:bottom w:val="none" w:sz="0" w:space="0" w:color="auto"/>
                <w:right w:val="none" w:sz="0" w:space="0" w:color="auto"/>
              </w:divBdr>
              <w:divsChild>
                <w:div w:id="16941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6327">
      <w:bodyDiv w:val="1"/>
      <w:marLeft w:val="0"/>
      <w:marRight w:val="0"/>
      <w:marTop w:val="0"/>
      <w:marBottom w:val="0"/>
      <w:divBdr>
        <w:top w:val="none" w:sz="0" w:space="0" w:color="auto"/>
        <w:left w:val="none" w:sz="0" w:space="0" w:color="auto"/>
        <w:bottom w:val="none" w:sz="0" w:space="0" w:color="auto"/>
        <w:right w:val="none" w:sz="0" w:space="0" w:color="auto"/>
      </w:divBdr>
      <w:divsChild>
        <w:div w:id="1390499792">
          <w:marLeft w:val="0"/>
          <w:marRight w:val="0"/>
          <w:marTop w:val="0"/>
          <w:marBottom w:val="0"/>
          <w:divBdr>
            <w:top w:val="none" w:sz="0" w:space="0" w:color="auto"/>
            <w:left w:val="none" w:sz="0" w:space="0" w:color="auto"/>
            <w:bottom w:val="none" w:sz="0" w:space="0" w:color="auto"/>
            <w:right w:val="none" w:sz="0" w:space="0" w:color="auto"/>
          </w:divBdr>
          <w:divsChild>
            <w:div w:id="1767996740">
              <w:marLeft w:val="0"/>
              <w:marRight w:val="0"/>
              <w:marTop w:val="0"/>
              <w:marBottom w:val="0"/>
              <w:divBdr>
                <w:top w:val="none" w:sz="0" w:space="0" w:color="auto"/>
                <w:left w:val="none" w:sz="0" w:space="0" w:color="auto"/>
                <w:bottom w:val="none" w:sz="0" w:space="0" w:color="auto"/>
                <w:right w:val="none" w:sz="0" w:space="0" w:color="auto"/>
              </w:divBdr>
              <w:divsChild>
                <w:div w:id="7297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hri.global/files/2018/09/25/lost-decade-harm-reduction-funding-2018.PDF" TargetMode="External"/><Relationship Id="rId13" Type="http://schemas.openxmlformats.org/officeDocument/2006/relationships/hyperlink" Target="https://www.hri.global/files/2019/03/06/women-harm-reduction-2018.pdf" TargetMode="External"/><Relationship Id="rId18" Type="http://schemas.openxmlformats.org/officeDocument/2006/relationships/hyperlink" Target="https://projects.propublica.org/graphics/maternity-drug-policies-by-state" TargetMode="External"/><Relationship Id="rId3" Type="http://schemas.openxmlformats.org/officeDocument/2006/relationships/hyperlink" Target="https://www.unaids.org/sites/default/files/media_asset/02-hiv-human-rights-factsheet-people-who-use-drugs_en.pdf" TargetMode="External"/><Relationship Id="rId7" Type="http://schemas.openxmlformats.org/officeDocument/2006/relationships/hyperlink" Target="https://www.unaids.org/sites/default/files/media_asset/miles-to-go_en.pdf" TargetMode="External"/><Relationship Id="rId12" Type="http://schemas.openxmlformats.org/officeDocument/2006/relationships/hyperlink" Target="https://bit.ly/3roaY6h" TargetMode="External"/><Relationship Id="rId17" Type="http://schemas.openxmlformats.org/officeDocument/2006/relationships/hyperlink" Target="https://www.iasociety.org/Web/WebContent/File/2019__IAS__Brief__Women_who_inject_drugs.pdf" TargetMode="External"/><Relationship Id="rId2" Type="http://schemas.openxmlformats.org/officeDocument/2006/relationships/hyperlink" Target="https://www.unaids.org/sites/default/files/media_asset/2021-global-aids-update_en.pdf" TargetMode="External"/><Relationship Id="rId16" Type="http://schemas.openxmlformats.org/officeDocument/2006/relationships/hyperlink" Target="https://idhdp.com/media/1114/brief-women-drugs-hiv-harm-final.Pdf" TargetMode="External"/><Relationship Id="rId20" Type="http://schemas.openxmlformats.org/officeDocument/2006/relationships/hyperlink" Target="https://www.ohchr.org/EN/Issues/LocalGovernment/Pages/Index.aspx" TargetMode="External"/><Relationship Id="rId1" Type="http://schemas.openxmlformats.org/officeDocument/2006/relationships/hyperlink" Target="https://www.unodc.org/unodc/en/data-and-analysis/wdr2021.html" TargetMode="External"/><Relationship Id="rId6" Type="http://schemas.openxmlformats.org/officeDocument/2006/relationships/hyperlink" Target="https://www.hri.global/files/2021/06/14/HRI_Briefing_Prisons_June2021_Final1.pdf" TargetMode="External"/><Relationship Id="rId11" Type="http://schemas.openxmlformats.org/officeDocument/2006/relationships/hyperlink" Target="https://www.hri.global/harm-reduction-decade" TargetMode="External"/><Relationship Id="rId5" Type="http://schemas.openxmlformats.org/officeDocument/2006/relationships/hyperlink" Target="https://mainline.blogbird.nl/uploads/mainline/Report_SRHR_Tatiana1.pdf" TargetMode="External"/><Relationship Id="rId15" Type="http://schemas.openxmlformats.org/officeDocument/2006/relationships/hyperlink" Target="https://kennedyinstitute.georgetown.edu/showcase/wp-content/uploads/2020/04/Sonya-Hu-Bioethics-Forced-Sterilization.pdf" TargetMode="External"/><Relationship Id="rId10" Type="http://schemas.openxmlformats.org/officeDocument/2006/relationships/hyperlink" Target="https://www.hri.global/files/2021/10/20/HRI_Briefing_Redirection_Oct_2021.pdf" TargetMode="External"/><Relationship Id="rId19" Type="http://schemas.openxmlformats.org/officeDocument/2006/relationships/hyperlink" Target="https://www.thelancet.com/commissions/sexual-and-reproductive-health-and-rights" TargetMode="External"/><Relationship Id="rId4" Type="http://schemas.openxmlformats.org/officeDocument/2006/relationships/hyperlink" Target="https://www.hri.global/contents/1891" TargetMode="External"/><Relationship Id="rId9" Type="http://schemas.openxmlformats.org/officeDocument/2006/relationships/hyperlink" Target="https://www.hri.global/files/2021/08/09/HRI-FAILURE-TO-FUND-REPORT-LOWRES.PDF" TargetMode="External"/><Relationship Id="rId14" Type="http://schemas.openxmlformats.org/officeDocument/2006/relationships/hyperlink" Target="https://www.ncbi.nlm.nih.gov/pmc/articles/PMC389351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giada.girelli@hri.global" TargetMode="External"/><Relationship Id="rId1" Type="http://schemas.openxmlformats.org/officeDocument/2006/relationships/hyperlink" Target="http://www.hri.glob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335E8D-98F4-264F-85EA-DCF867AF42A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9186-1226-4D87-BDFA-1C1AFDB3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2028</Words>
  <Characters>11517</Characters>
  <Application>Microsoft Office Word</Application>
  <DocSecurity>0</DocSecurity>
  <Lines>159</Lines>
  <Paragraphs>35</Paragraphs>
  <ScaleCrop>false</ScaleCrop>
  <HeadingPairs>
    <vt:vector size="2" baseType="variant">
      <vt:variant>
        <vt:lpstr>Title</vt:lpstr>
      </vt:variant>
      <vt:variant>
        <vt:i4>1</vt:i4>
      </vt:variant>
    </vt:vector>
  </HeadingPairs>
  <TitlesOfParts>
    <vt:vector size="1" baseType="lpstr">
      <vt:lpstr/>
    </vt:vector>
  </TitlesOfParts>
  <Company>HRI</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Girelli</dc:creator>
  <cp:keywords/>
  <dc:description/>
  <cp:lastModifiedBy>Giada Girelli</cp:lastModifiedBy>
  <cp:revision>3</cp:revision>
  <cp:lastPrinted>2022-02-16T14:28:00Z</cp:lastPrinted>
  <dcterms:created xsi:type="dcterms:W3CDTF">2022-02-16T14:27:00Z</dcterms:created>
  <dcterms:modified xsi:type="dcterms:W3CDTF">2022-02-16T15:00:00Z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documentId_7891</vt:lpwstr>
  </property>
  <property fmtid="{D5CDD505-2E9C-101B-9397-08002B2CF9AE}" pid="3" name="grammarly_documentContext">
    <vt:lpwstr>{"goals":[],"domain":"general","emotions":[],"dialect":"british"}</vt:lpwstr>
  </property>
</Properties>
</file>