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3FC3C" w14:textId="77777777" w:rsidR="00EC68D2" w:rsidRPr="00EC68D2" w:rsidRDefault="00EC68D2" w:rsidP="00EC68D2">
      <w:pPr>
        <w:autoSpaceDE w:val="0"/>
        <w:autoSpaceDN w:val="0"/>
        <w:adjustRightInd w:val="0"/>
        <w:spacing w:after="0" w:line="240" w:lineRule="auto"/>
        <w:rPr>
          <w:rFonts w:ascii="Times New Roman" w:hAnsi="Times New Roman" w:cs="Times New Roman"/>
          <w:b/>
          <w:bCs/>
          <w:sz w:val="24"/>
          <w:szCs w:val="24"/>
        </w:rPr>
      </w:pPr>
      <w:bookmarkStart w:id="0" w:name="_GoBack"/>
      <w:bookmarkEnd w:id="0"/>
      <w:r w:rsidRPr="00EC68D2">
        <w:rPr>
          <w:rFonts w:ascii="Times New Roman" w:hAnsi="Times New Roman" w:cs="Times New Roman"/>
          <w:b/>
          <w:bCs/>
          <w:sz w:val="24"/>
          <w:szCs w:val="24"/>
        </w:rPr>
        <w:t xml:space="preserve">Relator Especial sobre el Derecho Humano al agua potable y saneamiento, </w:t>
      </w:r>
    </w:p>
    <w:p w14:paraId="14A60456" w14:textId="0B9EDCA9" w:rsidR="00EC68D2" w:rsidRPr="00EC68D2" w:rsidRDefault="00EC68D2" w:rsidP="00EC68D2">
      <w:pPr>
        <w:autoSpaceDE w:val="0"/>
        <w:autoSpaceDN w:val="0"/>
        <w:adjustRightInd w:val="0"/>
        <w:spacing w:after="0" w:line="240" w:lineRule="auto"/>
        <w:rPr>
          <w:rFonts w:ascii="Times New Roman" w:hAnsi="Times New Roman" w:cs="Times New Roman"/>
          <w:b/>
          <w:bCs/>
          <w:sz w:val="24"/>
          <w:szCs w:val="24"/>
        </w:rPr>
      </w:pPr>
      <w:r w:rsidRPr="00EC68D2">
        <w:rPr>
          <w:rFonts w:ascii="Times New Roman" w:hAnsi="Times New Roman" w:cs="Times New Roman"/>
          <w:b/>
          <w:bCs/>
          <w:sz w:val="24"/>
          <w:szCs w:val="24"/>
        </w:rPr>
        <w:t>Pedro Arrojo-Agudo,</w:t>
      </w:r>
    </w:p>
    <w:p w14:paraId="377F954C" w14:textId="77777777" w:rsidR="00EC68D2" w:rsidRPr="00EC68D2" w:rsidRDefault="00EC68D2" w:rsidP="00EC68D2">
      <w:pPr>
        <w:autoSpaceDE w:val="0"/>
        <w:autoSpaceDN w:val="0"/>
        <w:adjustRightInd w:val="0"/>
        <w:spacing w:after="0" w:line="240" w:lineRule="auto"/>
        <w:rPr>
          <w:rFonts w:ascii="Times New Roman" w:hAnsi="Times New Roman" w:cs="Times New Roman"/>
          <w:b/>
          <w:bCs/>
          <w:sz w:val="24"/>
          <w:szCs w:val="24"/>
        </w:rPr>
      </w:pPr>
    </w:p>
    <w:p w14:paraId="4CA1B2A9" w14:textId="2A707685" w:rsidR="00EC68D2" w:rsidRPr="00EC68D2" w:rsidRDefault="00EC68D2" w:rsidP="00EC68D2">
      <w:pPr>
        <w:autoSpaceDE w:val="0"/>
        <w:autoSpaceDN w:val="0"/>
        <w:adjustRightInd w:val="0"/>
        <w:spacing w:after="0" w:line="240" w:lineRule="auto"/>
        <w:rPr>
          <w:rFonts w:ascii="Times New Roman" w:hAnsi="Times New Roman" w:cs="Times New Roman"/>
          <w:b/>
          <w:bCs/>
          <w:sz w:val="24"/>
          <w:szCs w:val="24"/>
        </w:rPr>
      </w:pPr>
      <w:r w:rsidRPr="00EC68D2">
        <w:rPr>
          <w:rFonts w:ascii="Times New Roman" w:hAnsi="Times New Roman" w:cs="Times New Roman"/>
          <w:b/>
          <w:bCs/>
          <w:sz w:val="24"/>
          <w:szCs w:val="24"/>
        </w:rPr>
        <w:t>Reporte temático 2022</w:t>
      </w:r>
    </w:p>
    <w:p w14:paraId="76E7581E" w14:textId="724FEE9C" w:rsidR="00EC68D2" w:rsidRPr="00EC68D2" w:rsidRDefault="00EC68D2" w:rsidP="00EC68D2">
      <w:pPr>
        <w:autoSpaceDE w:val="0"/>
        <w:autoSpaceDN w:val="0"/>
        <w:adjustRightInd w:val="0"/>
        <w:spacing w:after="0" w:line="240" w:lineRule="auto"/>
        <w:rPr>
          <w:rFonts w:ascii="Times New Roman" w:hAnsi="Times New Roman" w:cs="Times New Roman"/>
          <w:b/>
          <w:bCs/>
          <w:sz w:val="24"/>
          <w:szCs w:val="24"/>
        </w:rPr>
      </w:pPr>
      <w:r w:rsidRPr="00EC68D2">
        <w:rPr>
          <w:rFonts w:ascii="Times New Roman" w:hAnsi="Times New Roman" w:cs="Times New Roman"/>
          <w:b/>
          <w:bCs/>
          <w:sz w:val="24"/>
          <w:szCs w:val="24"/>
        </w:rPr>
        <w:t xml:space="preserve"> “El derecho al agua potable y saneamiento de los pueblos indígenas: situación actual y lecciones desde las culturas ancestrales” </w:t>
      </w:r>
    </w:p>
    <w:p w14:paraId="2F1E1FB2" w14:textId="77777777" w:rsidR="00EC68D2" w:rsidRPr="00EC68D2" w:rsidRDefault="00EC68D2" w:rsidP="00EC68D2">
      <w:pPr>
        <w:jc w:val="both"/>
        <w:rPr>
          <w:rFonts w:cstheme="minorHAnsi"/>
          <w:b/>
          <w:bCs/>
        </w:rPr>
      </w:pPr>
    </w:p>
    <w:p w14:paraId="31EC36EB" w14:textId="1A01C5D4" w:rsidR="00EC68D2" w:rsidRPr="00EC68D2" w:rsidRDefault="00EC68D2" w:rsidP="00EC68D2">
      <w:pPr>
        <w:jc w:val="both"/>
        <w:rPr>
          <w:rFonts w:cstheme="minorHAnsi"/>
          <w:b/>
          <w:bCs/>
        </w:rPr>
      </w:pPr>
      <w:r w:rsidRPr="00EC68D2">
        <w:rPr>
          <w:rFonts w:cstheme="minorHAnsi"/>
          <w:b/>
          <w:bCs/>
        </w:rPr>
        <w:t xml:space="preserve">Aportes </w:t>
      </w:r>
      <w:r w:rsidR="001E6B1B">
        <w:rPr>
          <w:rFonts w:cstheme="minorHAnsi"/>
          <w:b/>
          <w:bCs/>
        </w:rPr>
        <w:t xml:space="preserve"> para su informe </w:t>
      </w:r>
      <w:r w:rsidRPr="00EC68D2">
        <w:rPr>
          <w:rFonts w:cstheme="minorHAnsi"/>
          <w:b/>
          <w:bCs/>
        </w:rPr>
        <w:t xml:space="preserve"> </w:t>
      </w:r>
    </w:p>
    <w:p w14:paraId="7B2F6146" w14:textId="34829905" w:rsidR="00EC68D2" w:rsidRDefault="00EC68D2" w:rsidP="00EC68D2">
      <w:pPr>
        <w:jc w:val="both"/>
        <w:rPr>
          <w:rFonts w:cstheme="minorHAnsi"/>
        </w:rPr>
      </w:pPr>
    </w:p>
    <w:p w14:paraId="11353374" w14:textId="0A37C0CB" w:rsidR="00EC68D2" w:rsidRDefault="00EC68D2" w:rsidP="00EC68D2">
      <w:pPr>
        <w:jc w:val="both"/>
        <w:rPr>
          <w:rFonts w:cstheme="minorHAnsi"/>
        </w:rPr>
      </w:pPr>
      <w:r>
        <w:rPr>
          <w:rFonts w:cstheme="minorHAnsi"/>
        </w:rPr>
        <w:t>Myrna Cuningham Kain</w:t>
      </w:r>
    </w:p>
    <w:p w14:paraId="17EBE60B" w14:textId="4FEA2912" w:rsidR="00EC68D2" w:rsidRDefault="001E6B1B" w:rsidP="00EC68D2">
      <w:pPr>
        <w:jc w:val="both"/>
        <w:rPr>
          <w:rFonts w:cstheme="minorHAnsi"/>
        </w:rPr>
      </w:pPr>
      <w:r>
        <w:rPr>
          <w:rFonts w:cstheme="minorHAnsi"/>
        </w:rPr>
        <w:t xml:space="preserve">Primera </w:t>
      </w:r>
      <w:r w:rsidR="00EC68D2">
        <w:rPr>
          <w:rFonts w:cstheme="minorHAnsi"/>
        </w:rPr>
        <w:t xml:space="preserve">Presidenta FILAC </w:t>
      </w:r>
    </w:p>
    <w:p w14:paraId="7F623DBC" w14:textId="77777777" w:rsidR="00EC68D2" w:rsidRDefault="00EC68D2" w:rsidP="00EC68D2">
      <w:pPr>
        <w:jc w:val="both"/>
        <w:rPr>
          <w:rFonts w:cstheme="minorHAnsi"/>
        </w:rPr>
      </w:pPr>
    </w:p>
    <w:p w14:paraId="291A9916" w14:textId="63B3AF8A" w:rsidR="002B24AC" w:rsidRPr="008202C2" w:rsidRDefault="00754AC5" w:rsidP="00EC68D2">
      <w:pPr>
        <w:jc w:val="both"/>
        <w:rPr>
          <w:rFonts w:cstheme="minorHAnsi"/>
        </w:rPr>
      </w:pPr>
      <w:r w:rsidRPr="008202C2">
        <w:rPr>
          <w:rFonts w:cstheme="minorHAnsi"/>
        </w:rPr>
        <w:t>En tiempos de pandemia y aún antes de comenzar las vacunaciones contra la COVID 19, las principales medidas que los seres humanos debemos tomar para protegernos tienen que ver con el distanciamiento físico y la higiene personal.  Lavarse constantemente las manos es una de las principales indicaciones para prevenir contagios.</w:t>
      </w:r>
    </w:p>
    <w:p w14:paraId="7F7E2CB8" w14:textId="77777777" w:rsidR="00517415" w:rsidRPr="008202C2" w:rsidRDefault="00754AC5" w:rsidP="00EC68D2">
      <w:pPr>
        <w:jc w:val="both"/>
        <w:rPr>
          <w:rFonts w:cstheme="minorHAnsi"/>
        </w:rPr>
      </w:pPr>
      <w:r w:rsidRPr="008202C2">
        <w:rPr>
          <w:rFonts w:cstheme="minorHAnsi"/>
        </w:rPr>
        <w:t xml:space="preserve">Pero para que ello sea posible, para que la higiene personal y la limpieza de alimentos y el entorno sean posibles, se requiere agua. </w:t>
      </w:r>
    </w:p>
    <w:p w14:paraId="049368F7" w14:textId="26867F9D" w:rsidR="00754AC5" w:rsidRPr="008202C2" w:rsidRDefault="00754AC5" w:rsidP="00EC68D2">
      <w:pPr>
        <w:jc w:val="both"/>
        <w:rPr>
          <w:rFonts w:cstheme="minorHAnsi"/>
        </w:rPr>
      </w:pPr>
      <w:r w:rsidRPr="008202C2">
        <w:rPr>
          <w:rFonts w:cstheme="minorHAnsi"/>
        </w:rPr>
        <w:t xml:space="preserve">Y justamente, uno de los grandes problemas de nuestro mundo es que buena parte de la humanidad no tiene acceso al agua potable.  </w:t>
      </w:r>
      <w:r w:rsidR="00517415" w:rsidRPr="008202C2">
        <w:rPr>
          <w:rFonts w:cstheme="minorHAnsi"/>
        </w:rPr>
        <w:t>A comienzo de siglo, el Comité de la ONU sobre los Derechos Económicos y Sociales daba cuenta de que m</w:t>
      </w:r>
      <w:r w:rsidRPr="008202C2">
        <w:rPr>
          <w:rFonts w:cstheme="minorHAnsi"/>
        </w:rPr>
        <w:t>ás de 1.000 millones de personas carec</w:t>
      </w:r>
      <w:r w:rsidR="00517415" w:rsidRPr="008202C2">
        <w:rPr>
          <w:rFonts w:cstheme="minorHAnsi"/>
        </w:rPr>
        <w:t>ían</w:t>
      </w:r>
      <w:r w:rsidRPr="008202C2">
        <w:rPr>
          <w:rFonts w:cstheme="minorHAnsi"/>
        </w:rPr>
        <w:t xml:space="preserve"> de un suministro suficiente de agua y varios miles de millones no tienen acceso a servicios adecuados de saneamiento, lo cual constituye la principal causa de contaminación del agua y de las enfermedades relacionadas con el agua</w:t>
      </w:r>
      <w:r w:rsidR="00517415" w:rsidRPr="008202C2">
        <w:rPr>
          <w:rFonts w:cstheme="minorHAnsi"/>
        </w:rPr>
        <w:t xml:space="preserve">. </w:t>
      </w:r>
      <w:r w:rsidR="00517415" w:rsidRPr="008202C2">
        <w:rPr>
          <w:rStyle w:val="FootnoteReference"/>
          <w:rFonts w:cstheme="minorHAnsi"/>
        </w:rPr>
        <w:footnoteReference w:id="1"/>
      </w:r>
      <w:r w:rsidRPr="008202C2">
        <w:rPr>
          <w:rFonts w:cstheme="minorHAnsi"/>
        </w:rPr>
        <w:t xml:space="preserve"> </w:t>
      </w:r>
    </w:p>
    <w:p w14:paraId="0574DDEE" w14:textId="77777777" w:rsidR="00DF3D48" w:rsidRPr="008202C2" w:rsidRDefault="00517415" w:rsidP="00EC68D2">
      <w:pPr>
        <w:jc w:val="both"/>
        <w:rPr>
          <w:rFonts w:cstheme="minorHAnsi"/>
        </w:rPr>
      </w:pPr>
      <w:r w:rsidRPr="008202C2">
        <w:rPr>
          <w:rFonts w:cstheme="minorHAnsi"/>
        </w:rPr>
        <w:t xml:space="preserve">El derecho </w:t>
      </w:r>
      <w:r w:rsidR="00DF3D48" w:rsidRPr="008202C2">
        <w:rPr>
          <w:rFonts w:cstheme="minorHAnsi"/>
        </w:rPr>
        <w:t xml:space="preserve">al agua </w:t>
      </w:r>
      <w:r w:rsidRPr="008202C2">
        <w:rPr>
          <w:rFonts w:cstheme="minorHAnsi"/>
        </w:rPr>
        <w:t xml:space="preserve">es una de las garantías indispensables para asegurar un nivel de vida adecuado, en particular porque es una de las condiciones fundamentales para la supervivencia. </w:t>
      </w:r>
    </w:p>
    <w:p w14:paraId="1032C71B" w14:textId="77777777" w:rsidR="00B432D2" w:rsidRPr="008202C2" w:rsidRDefault="00517415" w:rsidP="00EC68D2">
      <w:pPr>
        <w:jc w:val="both"/>
        <w:rPr>
          <w:rFonts w:cstheme="minorHAnsi"/>
        </w:rPr>
      </w:pPr>
      <w:r w:rsidRPr="008202C2">
        <w:rPr>
          <w:rFonts w:cstheme="minorHAnsi"/>
        </w:rPr>
        <w:t>Si</w:t>
      </w:r>
      <w:r w:rsidR="00DF3D48" w:rsidRPr="008202C2">
        <w:rPr>
          <w:rFonts w:cstheme="minorHAnsi"/>
        </w:rPr>
        <w:t>n</w:t>
      </w:r>
      <w:r w:rsidRPr="008202C2">
        <w:rPr>
          <w:rFonts w:cstheme="minorHAnsi"/>
        </w:rPr>
        <w:t xml:space="preserve"> embargo, en el mismo año del inicio de la pandemia, conocimos que el agua ha comenzado a cotizar en las bolsas internacionales como una </w:t>
      </w:r>
      <w:r w:rsidR="00DF3D48" w:rsidRPr="008202C2">
        <w:rPr>
          <w:rFonts w:cstheme="minorHAnsi"/>
        </w:rPr>
        <w:t xml:space="preserve">bien </w:t>
      </w:r>
      <w:r w:rsidRPr="008202C2">
        <w:rPr>
          <w:rFonts w:cstheme="minorHAnsi"/>
        </w:rPr>
        <w:t>más que se compra y se vende en busca de ganancias para sus propietarios.</w:t>
      </w:r>
      <w:r w:rsidR="00DF3D48" w:rsidRPr="008202C2">
        <w:rPr>
          <w:rFonts w:cstheme="minorHAnsi"/>
        </w:rPr>
        <w:t xml:space="preserve">    </w:t>
      </w:r>
    </w:p>
    <w:p w14:paraId="3BBA5DB5" w14:textId="6C017D5A" w:rsidR="00DF3D48" w:rsidRPr="008202C2" w:rsidRDefault="00DF3D48" w:rsidP="00EC68D2">
      <w:pPr>
        <w:jc w:val="both"/>
        <w:rPr>
          <w:rFonts w:cstheme="minorHAnsi"/>
        </w:rPr>
      </w:pPr>
      <w:r w:rsidRPr="008202C2">
        <w:rPr>
          <w:rFonts w:cstheme="minorHAnsi"/>
        </w:rPr>
        <w:t xml:space="preserve">Este aspecto es un serio problema del presente y hacia el futuro porque el agua debe tratarse como un bien social y cultural, no como una mercancía más.  Como ocurre con tantas otras cosas, bienes y servicios, el mercado no puede asegurar la igualdad de acceso y disfrute; al contrario, lo que vemos hoy día es el aumento de las desigualdades y la concentración de riquezas en pocas manos. </w:t>
      </w:r>
    </w:p>
    <w:p w14:paraId="2B969477" w14:textId="028112D3" w:rsidR="00583252" w:rsidRPr="008202C2" w:rsidRDefault="00DF3D48" w:rsidP="00EC68D2">
      <w:pPr>
        <w:jc w:val="both"/>
        <w:rPr>
          <w:rFonts w:cstheme="minorHAnsi"/>
        </w:rPr>
      </w:pPr>
      <w:r w:rsidRPr="008202C2">
        <w:rPr>
          <w:rFonts w:cstheme="minorHAnsi"/>
        </w:rPr>
        <w:t xml:space="preserve">Como regulan con toda claridad los instrumentos internacionales, </w:t>
      </w:r>
      <w:r w:rsidR="00583252" w:rsidRPr="008202C2">
        <w:rPr>
          <w:rFonts w:cstheme="minorHAnsi"/>
        </w:rPr>
        <w:t>el derecho</w:t>
      </w:r>
      <w:r w:rsidRPr="008202C2">
        <w:rPr>
          <w:rFonts w:cstheme="minorHAnsi"/>
        </w:rPr>
        <w:t xml:space="preserve"> al agua debe asegurar su disponibilidad, su calidad, accesibilidad en un contexto de igualdad de acceso y no discriminación</w:t>
      </w:r>
      <w:r w:rsidR="00583252" w:rsidRPr="008202C2">
        <w:rPr>
          <w:rFonts w:cstheme="minorHAnsi"/>
        </w:rPr>
        <w:t xml:space="preserve">. Todo ello requiere políticas públicas sólidas y eficientes para asegurar el ejercicio del derecho al </w:t>
      </w:r>
      <w:r w:rsidR="00583252" w:rsidRPr="008202C2">
        <w:rPr>
          <w:rFonts w:cstheme="minorHAnsi"/>
        </w:rPr>
        <w:lastRenderedPageBreak/>
        <w:t xml:space="preserve">agua que incluyan marcos normativos claros y del máximo nivel jurídico, objetivos claros con metas y plazos de ejecución. </w:t>
      </w:r>
    </w:p>
    <w:p w14:paraId="6FE7C4D0" w14:textId="0CC32D3B" w:rsidR="00B432D2" w:rsidRPr="008202C2" w:rsidRDefault="00B432D2" w:rsidP="00EC68D2">
      <w:pPr>
        <w:autoSpaceDE w:val="0"/>
        <w:autoSpaceDN w:val="0"/>
        <w:adjustRightInd w:val="0"/>
        <w:spacing w:after="0" w:line="240" w:lineRule="auto"/>
        <w:jc w:val="both"/>
        <w:rPr>
          <w:rFonts w:cstheme="minorHAnsi"/>
        </w:rPr>
      </w:pPr>
      <w:r w:rsidRPr="008202C2">
        <w:rPr>
          <w:rFonts w:cstheme="minorHAnsi"/>
        </w:rPr>
        <w:t xml:space="preserve">Para los Pueblos Indígenas, el derecho al acceso y uso del </w:t>
      </w:r>
      <w:r w:rsidR="00AE46BA" w:rsidRPr="008202C2">
        <w:rPr>
          <w:rFonts w:cstheme="minorHAnsi"/>
        </w:rPr>
        <w:t>agua</w:t>
      </w:r>
      <w:r w:rsidRPr="008202C2">
        <w:rPr>
          <w:rFonts w:cstheme="minorHAnsi"/>
        </w:rPr>
        <w:t xml:space="preserve"> no solo es importante como para cualquier persona, sino </w:t>
      </w:r>
      <w:r w:rsidR="008202C2" w:rsidRPr="008202C2">
        <w:rPr>
          <w:rFonts w:cstheme="minorHAnsi"/>
        </w:rPr>
        <w:t>que,</w:t>
      </w:r>
      <w:r w:rsidRPr="008202C2">
        <w:rPr>
          <w:rFonts w:cstheme="minorHAnsi"/>
        </w:rPr>
        <w:t xml:space="preserve"> además, implica otros aspectos que deben considerarse.</w:t>
      </w:r>
    </w:p>
    <w:p w14:paraId="587DE01E" w14:textId="700BD582" w:rsidR="00B432D2" w:rsidRPr="008202C2" w:rsidRDefault="00B432D2" w:rsidP="00EC68D2">
      <w:pPr>
        <w:autoSpaceDE w:val="0"/>
        <w:autoSpaceDN w:val="0"/>
        <w:adjustRightInd w:val="0"/>
        <w:spacing w:after="0" w:line="240" w:lineRule="auto"/>
        <w:jc w:val="both"/>
        <w:rPr>
          <w:rFonts w:cstheme="minorHAnsi"/>
        </w:rPr>
      </w:pPr>
    </w:p>
    <w:p w14:paraId="5DCDAD22" w14:textId="2CA599C3" w:rsidR="00583252" w:rsidRPr="008202C2" w:rsidRDefault="00B432D2" w:rsidP="00EC68D2">
      <w:pPr>
        <w:autoSpaceDE w:val="0"/>
        <w:autoSpaceDN w:val="0"/>
        <w:adjustRightInd w:val="0"/>
        <w:spacing w:after="0" w:line="240" w:lineRule="auto"/>
        <w:jc w:val="both"/>
        <w:rPr>
          <w:rFonts w:cstheme="minorHAnsi"/>
        </w:rPr>
      </w:pPr>
      <w:r w:rsidRPr="008202C2">
        <w:rPr>
          <w:rFonts w:cstheme="minorHAnsi"/>
        </w:rPr>
        <w:t>El acceso a los recursos naturales (incluyendo el agua) está previsto en los estándares internacionales, como por el ejemplo el art. 15.1 del Convenio 169 que reconoce</w:t>
      </w:r>
      <w:r w:rsidR="00583252" w:rsidRPr="008202C2">
        <w:rPr>
          <w:rFonts w:cstheme="minorHAnsi"/>
        </w:rPr>
        <w:t xml:space="preserve"> los derechos de los </w:t>
      </w:r>
      <w:r w:rsidRPr="008202C2">
        <w:rPr>
          <w:rFonts w:cstheme="minorHAnsi"/>
        </w:rPr>
        <w:t>P</w:t>
      </w:r>
      <w:r w:rsidR="00583252" w:rsidRPr="008202C2">
        <w:rPr>
          <w:rFonts w:cstheme="minorHAnsi"/>
        </w:rPr>
        <w:t xml:space="preserve">ueblos </w:t>
      </w:r>
      <w:r w:rsidRPr="008202C2">
        <w:rPr>
          <w:rFonts w:cstheme="minorHAnsi"/>
        </w:rPr>
        <w:t>I</w:t>
      </w:r>
      <w:r w:rsidR="00583252" w:rsidRPr="008202C2">
        <w:rPr>
          <w:rFonts w:cstheme="minorHAnsi"/>
        </w:rPr>
        <w:t xml:space="preserve">ndígenas a los recursos naturales existentes en sus tierras e impone al Estado la obligación de proteger especialmente estos derechos y garantizar la participación indígena en la utilización, administración y conservación de dichos recursos. </w:t>
      </w:r>
      <w:r w:rsidR="008202C2">
        <w:rPr>
          <w:rFonts w:cstheme="minorHAnsi"/>
        </w:rPr>
        <w:t xml:space="preserve"> Si </w:t>
      </w:r>
      <w:r w:rsidR="00583252" w:rsidRPr="008202C2">
        <w:rPr>
          <w:rFonts w:cstheme="minorHAnsi"/>
        </w:rPr>
        <w:t xml:space="preserve">la propiedad de estos recursos pertenece al Estado </w:t>
      </w:r>
      <w:r w:rsidR="008202C2">
        <w:rPr>
          <w:rFonts w:cstheme="minorHAnsi"/>
        </w:rPr>
        <w:t xml:space="preserve">según la legislación nacional, </w:t>
      </w:r>
      <w:r w:rsidR="008202C2" w:rsidRPr="008202C2">
        <w:rPr>
          <w:rFonts w:cstheme="minorHAnsi"/>
        </w:rPr>
        <w:t>se</w:t>
      </w:r>
      <w:r w:rsidR="00583252" w:rsidRPr="008202C2">
        <w:rPr>
          <w:rFonts w:cstheme="minorHAnsi"/>
        </w:rPr>
        <w:t xml:space="preserve"> deben adoptar medidas para proteger y preservar los territorios de los </w:t>
      </w:r>
      <w:r w:rsidR="008202C2">
        <w:rPr>
          <w:rFonts w:cstheme="minorHAnsi"/>
        </w:rPr>
        <w:t>P</w:t>
      </w:r>
      <w:r w:rsidR="00583252" w:rsidRPr="008202C2">
        <w:rPr>
          <w:rFonts w:cstheme="minorHAnsi"/>
        </w:rPr>
        <w:t xml:space="preserve">ueblos </w:t>
      </w:r>
      <w:r w:rsidR="008202C2">
        <w:rPr>
          <w:rFonts w:cstheme="minorHAnsi"/>
        </w:rPr>
        <w:t>I</w:t>
      </w:r>
      <w:r w:rsidR="00583252" w:rsidRPr="008202C2">
        <w:rPr>
          <w:rFonts w:cstheme="minorHAnsi"/>
        </w:rPr>
        <w:t xml:space="preserve">ndígenas, como </w:t>
      </w:r>
      <w:r w:rsidR="008202C2">
        <w:rPr>
          <w:rFonts w:cstheme="minorHAnsi"/>
        </w:rPr>
        <w:t xml:space="preserve">la </w:t>
      </w:r>
      <w:r w:rsidR="00583252" w:rsidRPr="008202C2">
        <w:rPr>
          <w:rFonts w:cstheme="minorHAnsi"/>
        </w:rPr>
        <w:t>consulta previa, libre e informada;</w:t>
      </w:r>
      <w:r w:rsidR="00AE46BA" w:rsidRPr="008202C2">
        <w:rPr>
          <w:rFonts w:cstheme="minorHAnsi"/>
        </w:rPr>
        <w:t xml:space="preserve"> </w:t>
      </w:r>
      <w:r w:rsidR="00583252" w:rsidRPr="008202C2">
        <w:rPr>
          <w:rFonts w:cstheme="minorHAnsi"/>
        </w:rPr>
        <w:t>participación en los beneficios de la explotación y compensación</w:t>
      </w:r>
      <w:r w:rsidR="00AE46BA" w:rsidRPr="008202C2">
        <w:rPr>
          <w:rFonts w:cstheme="minorHAnsi"/>
        </w:rPr>
        <w:t xml:space="preserve"> </w:t>
      </w:r>
      <w:r w:rsidR="00583252" w:rsidRPr="008202C2">
        <w:rPr>
          <w:rFonts w:cstheme="minorHAnsi"/>
        </w:rPr>
        <w:t xml:space="preserve">por los daños </w:t>
      </w:r>
      <w:r w:rsidR="008202C2">
        <w:rPr>
          <w:rFonts w:cstheme="minorHAnsi"/>
        </w:rPr>
        <w:t xml:space="preserve">provocados. </w:t>
      </w:r>
      <w:r w:rsidR="00583252" w:rsidRPr="008202C2">
        <w:rPr>
          <w:rFonts w:cstheme="minorHAnsi"/>
        </w:rPr>
        <w:t>(artículo 15.2)</w:t>
      </w:r>
    </w:p>
    <w:p w14:paraId="25DBAED1" w14:textId="68013B90" w:rsidR="00517415" w:rsidRPr="008202C2" w:rsidRDefault="00517415" w:rsidP="00EC68D2">
      <w:pPr>
        <w:autoSpaceDE w:val="0"/>
        <w:autoSpaceDN w:val="0"/>
        <w:adjustRightInd w:val="0"/>
        <w:spacing w:after="0" w:line="240" w:lineRule="auto"/>
        <w:jc w:val="both"/>
        <w:rPr>
          <w:rFonts w:cstheme="minorHAnsi"/>
        </w:rPr>
      </w:pPr>
    </w:p>
    <w:p w14:paraId="1256E373" w14:textId="771AC0BF" w:rsidR="00AE46BA" w:rsidRPr="008202C2" w:rsidRDefault="00AE46BA" w:rsidP="00EC68D2">
      <w:pPr>
        <w:autoSpaceDE w:val="0"/>
        <w:autoSpaceDN w:val="0"/>
        <w:adjustRightInd w:val="0"/>
        <w:spacing w:after="0" w:line="240" w:lineRule="auto"/>
        <w:jc w:val="both"/>
        <w:rPr>
          <w:rFonts w:cstheme="minorHAnsi"/>
        </w:rPr>
      </w:pPr>
      <w:r w:rsidRPr="008202C2">
        <w:rPr>
          <w:rFonts w:cstheme="minorHAnsi"/>
        </w:rPr>
        <w:t>De allí que la Corte Interamericana de Derechos Humanos ha dicho que el derecho al agua con relación a los Pueblos Indígenas significa la protección colectiva de formas locales de uso que se han erigido a través de la historia y las culturas, esto en tanto resguarda sus propias lógicas comunicativas, las estructuras de sus prácticas sociales y económicas, y el diseño de su vida en comunidad.</w:t>
      </w:r>
      <w:r w:rsidRPr="00900535">
        <w:rPr>
          <w:rFonts w:cstheme="minorHAnsi"/>
          <w:vertAlign w:val="superscript"/>
        </w:rPr>
        <w:footnoteReference w:id="2"/>
      </w:r>
    </w:p>
    <w:p w14:paraId="53DBDD34" w14:textId="6E5B5BB2" w:rsidR="00517415" w:rsidRPr="008202C2" w:rsidRDefault="00517415" w:rsidP="00EC68D2">
      <w:pPr>
        <w:autoSpaceDE w:val="0"/>
        <w:autoSpaceDN w:val="0"/>
        <w:adjustRightInd w:val="0"/>
        <w:spacing w:after="0" w:line="240" w:lineRule="auto"/>
        <w:jc w:val="both"/>
        <w:rPr>
          <w:rFonts w:cstheme="minorHAnsi"/>
        </w:rPr>
      </w:pPr>
    </w:p>
    <w:p w14:paraId="2B585AF3" w14:textId="781DC223" w:rsidR="008202C2" w:rsidRDefault="008202C2" w:rsidP="00EC68D2">
      <w:pPr>
        <w:autoSpaceDE w:val="0"/>
        <w:autoSpaceDN w:val="0"/>
        <w:adjustRightInd w:val="0"/>
        <w:spacing w:after="0" w:line="240" w:lineRule="auto"/>
        <w:jc w:val="both"/>
        <w:rPr>
          <w:rFonts w:cstheme="minorHAnsi"/>
        </w:rPr>
      </w:pPr>
      <w:r>
        <w:rPr>
          <w:rFonts w:cstheme="minorHAnsi"/>
        </w:rPr>
        <w:t xml:space="preserve">Por tanto, el derecho y uso del recurso hídrico, no solo es un objetivo en sí mismo, sino que tiene estrecha relación con otros dos derechos fundamentales para los Pueblos Indígenas: </w:t>
      </w:r>
      <w:r w:rsidR="00C71830">
        <w:rPr>
          <w:rFonts w:cstheme="minorHAnsi"/>
        </w:rPr>
        <w:t xml:space="preserve">el derecho a sus tierras y territorios y el derecho a la autodeterminación. </w:t>
      </w:r>
    </w:p>
    <w:p w14:paraId="295A1B30" w14:textId="77777777" w:rsidR="00C71830" w:rsidRDefault="00C71830" w:rsidP="00EC68D2">
      <w:pPr>
        <w:autoSpaceDE w:val="0"/>
        <w:autoSpaceDN w:val="0"/>
        <w:adjustRightInd w:val="0"/>
        <w:spacing w:after="0" w:line="240" w:lineRule="auto"/>
        <w:jc w:val="both"/>
        <w:rPr>
          <w:rFonts w:cstheme="minorHAnsi"/>
        </w:rPr>
      </w:pPr>
    </w:p>
    <w:p w14:paraId="41D9A550" w14:textId="3A2A9B31" w:rsidR="00AE46BA" w:rsidRPr="008202C2" w:rsidRDefault="00C71830" w:rsidP="00EC68D2">
      <w:pPr>
        <w:autoSpaceDE w:val="0"/>
        <w:autoSpaceDN w:val="0"/>
        <w:adjustRightInd w:val="0"/>
        <w:spacing w:after="0" w:line="240" w:lineRule="auto"/>
        <w:jc w:val="both"/>
        <w:rPr>
          <w:rFonts w:cstheme="minorHAnsi"/>
        </w:rPr>
      </w:pPr>
      <w:r>
        <w:rPr>
          <w:rFonts w:cstheme="minorHAnsi"/>
        </w:rPr>
        <w:t xml:space="preserve">La misma Corte regional claramente señala que </w:t>
      </w:r>
      <w:r w:rsidR="00900535" w:rsidRPr="008202C2">
        <w:rPr>
          <w:rFonts w:cstheme="minorHAnsi"/>
        </w:rPr>
        <w:t xml:space="preserve">el derecho a usar y gozar del territorio carecería de sentido </w:t>
      </w:r>
      <w:r w:rsidR="00900535">
        <w:rPr>
          <w:rFonts w:cstheme="minorHAnsi"/>
        </w:rPr>
        <w:t xml:space="preserve">para </w:t>
      </w:r>
      <w:r w:rsidR="00900535" w:rsidRPr="008202C2">
        <w:rPr>
          <w:rFonts w:cstheme="minorHAnsi"/>
        </w:rPr>
        <w:t xml:space="preserve">los </w:t>
      </w:r>
      <w:r w:rsidR="00900535">
        <w:rPr>
          <w:rFonts w:cstheme="minorHAnsi"/>
        </w:rPr>
        <w:t>P</w:t>
      </w:r>
      <w:r w:rsidR="00900535" w:rsidRPr="008202C2">
        <w:rPr>
          <w:rFonts w:cstheme="minorHAnsi"/>
        </w:rPr>
        <w:t xml:space="preserve">ueblos </w:t>
      </w:r>
      <w:r w:rsidR="00900535">
        <w:rPr>
          <w:rFonts w:cstheme="minorHAnsi"/>
        </w:rPr>
        <w:t>I</w:t>
      </w:r>
      <w:r w:rsidR="00900535" w:rsidRPr="008202C2">
        <w:rPr>
          <w:rFonts w:cstheme="minorHAnsi"/>
        </w:rPr>
        <w:t>ndígenas y tribales si dicho derecho no estuviera conectado con los recursos naturales que se encuentran dentro del territorio</w:t>
      </w:r>
      <w:r w:rsidR="00900535">
        <w:rPr>
          <w:rFonts w:cstheme="minorHAnsi"/>
        </w:rPr>
        <w:t xml:space="preserve">, lo cual es </w:t>
      </w:r>
      <w:r w:rsidR="00900535" w:rsidRPr="008202C2">
        <w:rPr>
          <w:rFonts w:cstheme="minorHAnsi"/>
        </w:rPr>
        <w:t>necesario para su supervivencia física y cultural</w:t>
      </w:r>
      <w:r w:rsidR="00900535">
        <w:rPr>
          <w:rFonts w:cstheme="minorHAnsi"/>
        </w:rPr>
        <w:t xml:space="preserve">. </w:t>
      </w:r>
      <w:r w:rsidR="00900535">
        <w:rPr>
          <w:rStyle w:val="FootnoteReference"/>
          <w:rFonts w:cstheme="minorHAnsi"/>
        </w:rPr>
        <w:footnoteReference w:id="3"/>
      </w:r>
    </w:p>
    <w:p w14:paraId="32BE469E" w14:textId="77777777" w:rsidR="00900535" w:rsidRDefault="00900535" w:rsidP="00EC68D2">
      <w:pPr>
        <w:autoSpaceDE w:val="0"/>
        <w:autoSpaceDN w:val="0"/>
        <w:adjustRightInd w:val="0"/>
        <w:spacing w:after="0" w:line="240" w:lineRule="auto"/>
        <w:jc w:val="both"/>
        <w:rPr>
          <w:rFonts w:cstheme="minorHAnsi"/>
        </w:rPr>
      </w:pPr>
    </w:p>
    <w:p w14:paraId="6CC30A7D" w14:textId="0C10E69C" w:rsidR="00900535" w:rsidRDefault="00900535" w:rsidP="00EC68D2">
      <w:pPr>
        <w:autoSpaceDE w:val="0"/>
        <w:autoSpaceDN w:val="0"/>
        <w:adjustRightInd w:val="0"/>
        <w:spacing w:after="0" w:line="240" w:lineRule="auto"/>
        <w:jc w:val="both"/>
        <w:rPr>
          <w:rFonts w:cstheme="minorHAnsi"/>
        </w:rPr>
      </w:pPr>
      <w:r>
        <w:rPr>
          <w:rFonts w:cstheme="minorHAnsi"/>
        </w:rPr>
        <w:t>En cuanto a la autodeterminación, es un derecho fundamental de los Pueblos Indígenas</w:t>
      </w:r>
      <w:r w:rsidR="00F402ED">
        <w:rPr>
          <w:rFonts w:cstheme="minorHAnsi"/>
        </w:rPr>
        <w:t xml:space="preserve"> por el cual </w:t>
      </w:r>
      <w:r>
        <w:rPr>
          <w:rFonts w:cstheme="minorHAnsi"/>
        </w:rPr>
        <w:t xml:space="preserve"> </w:t>
      </w:r>
    </w:p>
    <w:p w14:paraId="3D9AC59D" w14:textId="77777777" w:rsidR="00F402ED" w:rsidRDefault="008202C2" w:rsidP="00EC68D2">
      <w:pPr>
        <w:autoSpaceDE w:val="0"/>
        <w:autoSpaceDN w:val="0"/>
        <w:adjustRightInd w:val="0"/>
        <w:spacing w:after="0" w:line="240" w:lineRule="auto"/>
        <w:jc w:val="both"/>
        <w:rPr>
          <w:rFonts w:cstheme="minorHAnsi"/>
        </w:rPr>
      </w:pPr>
      <w:r w:rsidRPr="008202C2">
        <w:rPr>
          <w:rFonts w:cstheme="minorHAnsi"/>
        </w:rPr>
        <w:t xml:space="preserve">poseen el derecho de ejercer libremente plena autoridad y control sobre sus recursos naturales incluyendo el agua. Tales derechos comprenden tanto la cantidad como la calidad del agua, y abarcan el agua como parte de su medioambiente saludable y de sus valores culturales y espirituales. </w:t>
      </w:r>
    </w:p>
    <w:p w14:paraId="3B6201D0" w14:textId="77777777" w:rsidR="00F402ED" w:rsidRDefault="00F402ED" w:rsidP="00EC68D2">
      <w:pPr>
        <w:autoSpaceDE w:val="0"/>
        <w:autoSpaceDN w:val="0"/>
        <w:adjustRightInd w:val="0"/>
        <w:spacing w:after="0" w:line="240" w:lineRule="auto"/>
        <w:jc w:val="both"/>
        <w:rPr>
          <w:rFonts w:cstheme="minorHAnsi"/>
        </w:rPr>
      </w:pPr>
    </w:p>
    <w:p w14:paraId="1A93E6C1" w14:textId="031E45A2" w:rsidR="008202C2" w:rsidRPr="008202C2" w:rsidRDefault="008202C2" w:rsidP="00EC68D2">
      <w:pPr>
        <w:autoSpaceDE w:val="0"/>
        <w:autoSpaceDN w:val="0"/>
        <w:adjustRightInd w:val="0"/>
        <w:spacing w:after="0" w:line="240" w:lineRule="auto"/>
        <w:jc w:val="both"/>
        <w:rPr>
          <w:rFonts w:cstheme="minorHAnsi"/>
        </w:rPr>
      </w:pPr>
      <w:r w:rsidRPr="008202C2">
        <w:rPr>
          <w:rFonts w:cstheme="minorHAnsi"/>
        </w:rPr>
        <w:t xml:space="preserve">La autodeterminación incluye la práctica de </w:t>
      </w:r>
      <w:r w:rsidR="00F402ED">
        <w:rPr>
          <w:rFonts w:cstheme="minorHAnsi"/>
        </w:rPr>
        <w:t xml:space="preserve">sus propios </w:t>
      </w:r>
      <w:r w:rsidRPr="008202C2">
        <w:rPr>
          <w:rFonts w:cstheme="minorHAnsi"/>
        </w:rPr>
        <w:t>relaciones culturales y espirituales en</w:t>
      </w:r>
    </w:p>
    <w:p w14:paraId="37082E30" w14:textId="77777777" w:rsidR="008202C2" w:rsidRPr="008202C2" w:rsidRDefault="008202C2" w:rsidP="00EC68D2">
      <w:pPr>
        <w:autoSpaceDE w:val="0"/>
        <w:autoSpaceDN w:val="0"/>
        <w:adjustRightInd w:val="0"/>
        <w:spacing w:after="0" w:line="240" w:lineRule="auto"/>
        <w:jc w:val="both"/>
        <w:rPr>
          <w:rFonts w:cstheme="minorHAnsi"/>
        </w:rPr>
      </w:pPr>
      <w:r w:rsidRPr="008202C2">
        <w:rPr>
          <w:rFonts w:cstheme="minorHAnsi"/>
        </w:rPr>
        <w:t>conexión con el agua y el ejercicio de la autoridad para gobernar, utilizar, administrar, regular, recuperar, conservar, mejorar y renovar sus recursos hídricos sin interferencias.</w:t>
      </w:r>
    </w:p>
    <w:p w14:paraId="64509984" w14:textId="77777777" w:rsidR="00F402ED" w:rsidRDefault="00F402ED" w:rsidP="00EC68D2">
      <w:pPr>
        <w:autoSpaceDE w:val="0"/>
        <w:autoSpaceDN w:val="0"/>
        <w:adjustRightInd w:val="0"/>
        <w:spacing w:after="0" w:line="240" w:lineRule="auto"/>
        <w:jc w:val="both"/>
        <w:rPr>
          <w:rFonts w:cstheme="minorHAnsi"/>
        </w:rPr>
      </w:pPr>
    </w:p>
    <w:p w14:paraId="4FE0CA7E" w14:textId="77147ED8" w:rsidR="008202C2" w:rsidRPr="008202C2" w:rsidRDefault="00F402ED" w:rsidP="00EC68D2">
      <w:pPr>
        <w:autoSpaceDE w:val="0"/>
        <w:autoSpaceDN w:val="0"/>
        <w:adjustRightInd w:val="0"/>
        <w:spacing w:after="0" w:line="240" w:lineRule="auto"/>
        <w:jc w:val="both"/>
        <w:rPr>
          <w:rFonts w:cstheme="minorHAnsi"/>
        </w:rPr>
      </w:pPr>
      <w:r>
        <w:rPr>
          <w:rFonts w:cstheme="minorHAnsi"/>
        </w:rPr>
        <w:t xml:space="preserve">La </w:t>
      </w:r>
      <w:r w:rsidR="008202C2" w:rsidRPr="008202C2">
        <w:rPr>
          <w:rFonts w:cstheme="minorHAnsi"/>
        </w:rPr>
        <w:t xml:space="preserve">autodeterminación </w:t>
      </w:r>
      <w:r w:rsidRPr="008202C2">
        <w:rPr>
          <w:rFonts w:cstheme="minorHAnsi"/>
        </w:rPr>
        <w:t xml:space="preserve">y </w:t>
      </w:r>
      <w:r>
        <w:rPr>
          <w:rFonts w:cstheme="minorHAnsi"/>
        </w:rPr>
        <w:t>la</w:t>
      </w:r>
      <w:r w:rsidR="008202C2" w:rsidRPr="008202C2">
        <w:rPr>
          <w:rFonts w:cstheme="minorHAnsi"/>
        </w:rPr>
        <w:t xml:space="preserve"> libre utilización y control de sus tierras y territorios, es indispensable para el uso y la conservación del agua, y las fuentes de agua y recursos hídricos</w:t>
      </w:r>
      <w:r>
        <w:rPr>
          <w:rFonts w:cstheme="minorHAnsi"/>
        </w:rPr>
        <w:t xml:space="preserve"> para los Pueblos Indígenas. </w:t>
      </w:r>
    </w:p>
    <w:p w14:paraId="50B7AE32" w14:textId="438215CB" w:rsidR="00754AC5" w:rsidRPr="008202C2" w:rsidRDefault="00754AC5" w:rsidP="00EC68D2">
      <w:pPr>
        <w:autoSpaceDE w:val="0"/>
        <w:autoSpaceDN w:val="0"/>
        <w:adjustRightInd w:val="0"/>
        <w:spacing w:after="0" w:line="240" w:lineRule="auto"/>
        <w:jc w:val="both"/>
        <w:rPr>
          <w:rFonts w:cstheme="minorHAnsi"/>
        </w:rPr>
      </w:pPr>
    </w:p>
    <w:p w14:paraId="7A51E4D6" w14:textId="16222FF0" w:rsidR="00754AC5" w:rsidRDefault="008054A5" w:rsidP="00EC68D2">
      <w:pPr>
        <w:autoSpaceDE w:val="0"/>
        <w:autoSpaceDN w:val="0"/>
        <w:adjustRightInd w:val="0"/>
        <w:spacing w:after="0" w:line="240" w:lineRule="auto"/>
        <w:jc w:val="both"/>
        <w:rPr>
          <w:rFonts w:cstheme="minorHAnsi"/>
        </w:rPr>
      </w:pPr>
      <w:r>
        <w:rPr>
          <w:rFonts w:cstheme="minorHAnsi"/>
        </w:rPr>
        <w:lastRenderedPageBreak/>
        <w:t>Pero,</w:t>
      </w:r>
      <w:r w:rsidR="00F402ED">
        <w:rPr>
          <w:rFonts w:cstheme="minorHAnsi"/>
        </w:rPr>
        <w:t xml:space="preserve"> además, los Pueblos Indígenas deben ser considerados como fuente de respuestas a los grandes problemas que enfrentan las sociedades para el acceso, protección y uso del agua. </w:t>
      </w:r>
    </w:p>
    <w:p w14:paraId="4EAFE597" w14:textId="42E63263" w:rsidR="00F402ED" w:rsidRDefault="00F402ED" w:rsidP="00EC68D2">
      <w:pPr>
        <w:autoSpaceDE w:val="0"/>
        <w:autoSpaceDN w:val="0"/>
        <w:adjustRightInd w:val="0"/>
        <w:spacing w:after="0" w:line="240" w:lineRule="auto"/>
        <w:jc w:val="both"/>
        <w:rPr>
          <w:rFonts w:cstheme="minorHAnsi"/>
        </w:rPr>
      </w:pPr>
    </w:p>
    <w:p w14:paraId="1427CDAB" w14:textId="5383F086" w:rsidR="00F402ED" w:rsidRDefault="00F402ED" w:rsidP="00862D94">
      <w:pPr>
        <w:autoSpaceDE w:val="0"/>
        <w:autoSpaceDN w:val="0"/>
        <w:adjustRightInd w:val="0"/>
        <w:spacing w:after="0" w:line="240" w:lineRule="auto"/>
        <w:jc w:val="both"/>
        <w:rPr>
          <w:rFonts w:cstheme="minorHAnsi"/>
        </w:rPr>
      </w:pPr>
      <w:r>
        <w:rPr>
          <w:rFonts w:cstheme="minorHAnsi"/>
        </w:rPr>
        <w:t>Desde tiempos inmemoriales, los pueblos y comunidades han protegido al agua, la han resguardado, porque ello es parte de sus dinámicas de vida y desarrollo.</w:t>
      </w:r>
    </w:p>
    <w:p w14:paraId="2D964D01" w14:textId="77777777" w:rsidR="00A84819" w:rsidRDefault="00A84819" w:rsidP="00862D94">
      <w:pPr>
        <w:autoSpaceDE w:val="0"/>
        <w:autoSpaceDN w:val="0"/>
        <w:adjustRightInd w:val="0"/>
        <w:spacing w:after="0" w:line="240" w:lineRule="auto"/>
        <w:jc w:val="both"/>
        <w:rPr>
          <w:rFonts w:cstheme="minorHAnsi"/>
        </w:rPr>
      </w:pPr>
    </w:p>
    <w:p w14:paraId="0614E147" w14:textId="75B8A9D1" w:rsidR="008054A5" w:rsidRDefault="00EE507B" w:rsidP="00862D94">
      <w:pPr>
        <w:autoSpaceDE w:val="0"/>
        <w:autoSpaceDN w:val="0"/>
        <w:adjustRightInd w:val="0"/>
        <w:spacing w:after="0" w:line="240" w:lineRule="auto"/>
        <w:jc w:val="both"/>
        <w:rPr>
          <w:rFonts w:cstheme="minorHAnsi"/>
        </w:rPr>
      </w:pPr>
      <w:r w:rsidRPr="008054A5">
        <w:rPr>
          <w:rFonts w:cstheme="minorHAnsi"/>
        </w:rPr>
        <w:t xml:space="preserve">Desde esta perspectiva, el agua forma parte de una visión especial en relación con la naturaleza y con las formas de apropiación que se dan a través del conocimiento del ciclo hídrico natural, de las prácticas sociales de aprovechamiento de este recurso </w:t>
      </w:r>
      <w:r w:rsidR="008054A5" w:rsidRPr="008054A5">
        <w:rPr>
          <w:rFonts w:cstheme="minorHAnsi"/>
        </w:rPr>
        <w:t xml:space="preserve">de manera </w:t>
      </w:r>
      <w:r w:rsidR="00A84819" w:rsidRPr="008054A5">
        <w:rPr>
          <w:rFonts w:cstheme="minorHAnsi"/>
        </w:rPr>
        <w:t xml:space="preserve">sustentable, </w:t>
      </w:r>
      <w:r w:rsidR="00C666BE" w:rsidRPr="008054A5">
        <w:rPr>
          <w:rFonts w:cstheme="minorHAnsi"/>
        </w:rPr>
        <w:t xml:space="preserve">de la </w:t>
      </w:r>
      <w:r w:rsidR="00723834" w:rsidRPr="008054A5">
        <w:rPr>
          <w:rFonts w:cstheme="minorHAnsi"/>
        </w:rPr>
        <w:t>tecnología que</w:t>
      </w:r>
      <w:r w:rsidRPr="008054A5">
        <w:rPr>
          <w:rFonts w:cstheme="minorHAnsi"/>
        </w:rPr>
        <w:t xml:space="preserve">  se  aplica  para  nutrir  y  manejar  los  suelos  de  forma  adecuada  y  de  la  concepción  del  funcionamiento  de  los  ecosistemas y sus especies de flora y fauna. </w:t>
      </w:r>
    </w:p>
    <w:p w14:paraId="24F8E61E" w14:textId="77777777" w:rsidR="00862D94" w:rsidRDefault="00862D94" w:rsidP="00862D94">
      <w:pPr>
        <w:autoSpaceDE w:val="0"/>
        <w:autoSpaceDN w:val="0"/>
        <w:adjustRightInd w:val="0"/>
        <w:spacing w:after="0" w:line="240" w:lineRule="auto"/>
        <w:jc w:val="both"/>
        <w:rPr>
          <w:rFonts w:cstheme="minorHAnsi"/>
        </w:rPr>
      </w:pPr>
    </w:p>
    <w:p w14:paraId="20398F3C" w14:textId="67873474" w:rsidR="00EE507B" w:rsidRDefault="00EE507B" w:rsidP="00862D94">
      <w:pPr>
        <w:autoSpaceDE w:val="0"/>
        <w:autoSpaceDN w:val="0"/>
        <w:adjustRightInd w:val="0"/>
        <w:spacing w:after="0" w:line="240" w:lineRule="auto"/>
        <w:jc w:val="both"/>
      </w:pPr>
      <w:r w:rsidRPr="00EE507B">
        <w:rPr>
          <w:rFonts w:cstheme="minorHAnsi"/>
        </w:rPr>
        <w:t xml:space="preserve">En </w:t>
      </w:r>
      <w:r w:rsidR="00862D94">
        <w:rPr>
          <w:rFonts w:cstheme="minorHAnsi"/>
        </w:rPr>
        <w:t xml:space="preserve">términos generales, </w:t>
      </w:r>
      <w:r w:rsidRPr="00EE507B">
        <w:rPr>
          <w:rFonts w:cstheme="minorHAnsi"/>
        </w:rPr>
        <w:t xml:space="preserve">los sistemas de riego </w:t>
      </w:r>
      <w:r w:rsidR="00862D94">
        <w:rPr>
          <w:rFonts w:cstheme="minorHAnsi"/>
        </w:rPr>
        <w:t xml:space="preserve">en las comunidades indígenas implican </w:t>
      </w:r>
      <w:r w:rsidR="00C666BE">
        <w:rPr>
          <w:rFonts w:cstheme="minorHAnsi"/>
        </w:rPr>
        <w:t xml:space="preserve">una </w:t>
      </w:r>
      <w:r w:rsidR="00C666BE">
        <w:t>estrecha</w:t>
      </w:r>
      <w:r>
        <w:t xml:space="preserve"> relación entre la gestión de agua y las demás funciones sociales que se cumplen en las</w:t>
      </w:r>
      <w:r w:rsidR="00862D94">
        <w:t xml:space="preserve"> </w:t>
      </w:r>
      <w:r>
        <w:t xml:space="preserve">comunidades </w:t>
      </w:r>
      <w:r w:rsidR="00862D94">
        <w:t>como</w:t>
      </w:r>
      <w:r>
        <w:t xml:space="preserve"> expresión de la visión holística, de cooperación, gestión de recursos y formas de seguridad social propias y comunitarias.</w:t>
      </w:r>
    </w:p>
    <w:p w14:paraId="3690E36D" w14:textId="6F71AE14" w:rsidR="00EE507B" w:rsidRDefault="00EE507B" w:rsidP="008202C2">
      <w:pPr>
        <w:autoSpaceDE w:val="0"/>
        <w:autoSpaceDN w:val="0"/>
        <w:adjustRightInd w:val="0"/>
        <w:spacing w:after="0" w:line="240" w:lineRule="auto"/>
      </w:pPr>
    </w:p>
    <w:p w14:paraId="77B6BD04" w14:textId="7793C19C" w:rsidR="00EE507B" w:rsidRPr="00F66866" w:rsidRDefault="001E6B1B" w:rsidP="008202C2">
      <w:pPr>
        <w:autoSpaceDE w:val="0"/>
        <w:autoSpaceDN w:val="0"/>
        <w:adjustRightInd w:val="0"/>
        <w:spacing w:after="0" w:line="240" w:lineRule="auto"/>
        <w:rPr>
          <w:b/>
          <w:bCs/>
        </w:rPr>
      </w:pPr>
      <w:r w:rsidRPr="00F66866">
        <w:rPr>
          <w:b/>
          <w:bCs/>
        </w:rPr>
        <w:t xml:space="preserve">Casos de trabajo colectivo de Pueblos Indígenas para el </w:t>
      </w:r>
      <w:r w:rsidR="00EE507B" w:rsidRPr="00F66866">
        <w:rPr>
          <w:b/>
          <w:bCs/>
        </w:rPr>
        <w:t xml:space="preserve">acceso y el aprovechamiento del agua </w:t>
      </w:r>
      <w:r w:rsidRPr="00F66866">
        <w:rPr>
          <w:b/>
          <w:bCs/>
        </w:rPr>
        <w:t xml:space="preserve"> </w:t>
      </w:r>
    </w:p>
    <w:p w14:paraId="63AE428A" w14:textId="77777777" w:rsidR="00862D94" w:rsidRDefault="00862D94" w:rsidP="008568B5">
      <w:pPr>
        <w:autoSpaceDE w:val="0"/>
        <w:autoSpaceDN w:val="0"/>
        <w:adjustRightInd w:val="0"/>
        <w:spacing w:after="0" w:line="240" w:lineRule="auto"/>
        <w:jc w:val="both"/>
      </w:pPr>
    </w:p>
    <w:p w14:paraId="5B01848B" w14:textId="0F8668F6" w:rsidR="00EE507B" w:rsidRDefault="00EE507B" w:rsidP="001E6B1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pPr>
      <w:r>
        <w:t xml:space="preserve">Un ejemplo claro de ello es el sistema </w:t>
      </w:r>
      <w:r w:rsidR="008568B5">
        <w:t xml:space="preserve">ancestral </w:t>
      </w:r>
      <w:r>
        <w:t xml:space="preserve">de </w:t>
      </w:r>
      <w:r w:rsidRPr="00723834">
        <w:rPr>
          <w:b/>
          <w:bCs/>
        </w:rPr>
        <w:t xml:space="preserve">los </w:t>
      </w:r>
      <w:r w:rsidR="008568B5" w:rsidRPr="00723834">
        <w:rPr>
          <w:b/>
          <w:bCs/>
        </w:rPr>
        <w:t xml:space="preserve"> w</w:t>
      </w:r>
      <w:r w:rsidR="00862D94" w:rsidRPr="00723834">
        <w:rPr>
          <w:b/>
          <w:bCs/>
        </w:rPr>
        <w:t xml:space="preserve">aru </w:t>
      </w:r>
      <w:r w:rsidR="008568B5" w:rsidRPr="00723834">
        <w:rPr>
          <w:b/>
          <w:bCs/>
        </w:rPr>
        <w:t>w</w:t>
      </w:r>
      <w:r w:rsidR="00862D94" w:rsidRPr="00723834">
        <w:rPr>
          <w:b/>
          <w:bCs/>
        </w:rPr>
        <w:t xml:space="preserve">aru o camellones  de la región andina (Bolivia, Ecuador, Perú) </w:t>
      </w:r>
      <w:r w:rsidR="00862D94" w:rsidRPr="00862D94">
        <w:t xml:space="preserve">infraestructura agrícola desarrollada para el manejo del suelo y el agua para la agricultura de humedales y áreas con inundaciones temporales. </w:t>
      </w:r>
    </w:p>
    <w:p w14:paraId="4D52E2DA" w14:textId="77777777" w:rsidR="00862D94" w:rsidRDefault="00862D94" w:rsidP="001E6B1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pPr>
    </w:p>
    <w:p w14:paraId="4CE4C608" w14:textId="45A1C66D" w:rsidR="00EE507B" w:rsidRPr="002202D3" w:rsidRDefault="00EE507B" w:rsidP="001E6B1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134714">
        <w:t xml:space="preserve">En temporadas de lluvia, en diciembre hasta más o menos abril, las pampas se inundan, entonces puede arrasar los cultivos, los pastizales. </w:t>
      </w:r>
      <w:r w:rsidR="008568B5">
        <w:t>Los</w:t>
      </w:r>
      <w:r w:rsidRPr="00134714">
        <w:t xml:space="preserve"> </w:t>
      </w:r>
      <w:r w:rsidR="008568B5">
        <w:t>w</w:t>
      </w:r>
      <w:r w:rsidRPr="00134714">
        <w:t xml:space="preserve">aru </w:t>
      </w:r>
      <w:r w:rsidR="008568B5">
        <w:t>w</w:t>
      </w:r>
      <w:r w:rsidRPr="00134714">
        <w:t>aru, son canales por donde discurren las aguas</w:t>
      </w:r>
      <w:r w:rsidR="00862D94">
        <w:t>. C</w:t>
      </w:r>
      <w:r w:rsidRPr="00134714">
        <w:t xml:space="preserve">uando termina la época de la lluvia </w:t>
      </w:r>
      <w:r w:rsidR="00862D94">
        <w:t xml:space="preserve">llegan </w:t>
      </w:r>
      <w:r w:rsidR="008568B5">
        <w:t xml:space="preserve">las </w:t>
      </w:r>
      <w:r w:rsidR="008568B5" w:rsidRPr="00134714">
        <w:t>heladas</w:t>
      </w:r>
      <w:r w:rsidR="00862D94">
        <w:t xml:space="preserve"> y en ese período, los waru waru </w:t>
      </w:r>
      <w:r w:rsidRPr="00134714">
        <w:t xml:space="preserve"> </w:t>
      </w:r>
      <w:r w:rsidR="00862D94">
        <w:t xml:space="preserve">crean un </w:t>
      </w:r>
      <w:r w:rsidRPr="00134714">
        <w:t xml:space="preserve">microclima </w:t>
      </w:r>
      <w:r w:rsidR="00862D94">
        <w:t xml:space="preserve">que permite regular la temperatura y proteger el recurso hídrico </w:t>
      </w:r>
    </w:p>
    <w:p w14:paraId="7A8570B5" w14:textId="7F8DF1D3" w:rsidR="00EE507B" w:rsidRDefault="00EE507B" w:rsidP="001E6B1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rPr>
      </w:pPr>
    </w:p>
    <w:p w14:paraId="5C032A9C" w14:textId="58139BDA" w:rsidR="00EE507B" w:rsidRDefault="008568B5" w:rsidP="001E6B1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pPr>
      <w:r>
        <w:t xml:space="preserve">En el </w:t>
      </w:r>
      <w:r w:rsidRPr="00723834">
        <w:rPr>
          <w:b/>
          <w:bCs/>
        </w:rPr>
        <w:t>desierto de Atacama, las comunidades aymaras</w:t>
      </w:r>
      <w:r>
        <w:t xml:space="preserve"> </w:t>
      </w:r>
      <w:r w:rsidR="00EE507B">
        <w:t>no conciben a las aguas desvinculadas de las tierras que se riegan con ellas. Para ellos, ambos elementos conforman una unidad territorial indivisible: el hábitat ancestral del ayllu o comunidad indígena, donde ésta constantemente recrea su cultura e identidad. Consecuentemente, es inconcebible la apropiación privada ni de las tierras ni de las aguas, existiendo un derecho de uso común que se regula mediante normas consuetudinarias aceptadas por todos.</w:t>
      </w:r>
    </w:p>
    <w:p w14:paraId="01B3543F" w14:textId="77777777" w:rsidR="008568B5" w:rsidRDefault="008568B5" w:rsidP="001E6B1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p>
    <w:p w14:paraId="416398A6" w14:textId="2490A676" w:rsidR="00EE507B" w:rsidRDefault="00EE507B" w:rsidP="001E6B1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t>Con todo, el riego no sólo ha tenido para los atacameños un notable valor funcional y económico, por el aumento de la productividad agrícola, sino que también un profundo sentido ritual y religioso, que refuerza la convicción de legitimidad del uso del recurso hídrico. Esto lo demuestra claramente la tradicional ceremonia de “limpia de canales”, de regadío antes del período agrícola de cada año, hecha hasta hoy en forma comunitaria</w:t>
      </w:r>
      <w:r w:rsidR="008568B5">
        <w:t>.</w:t>
      </w:r>
    </w:p>
    <w:p w14:paraId="673C18E3" w14:textId="0793AAFD" w:rsidR="00EE507B" w:rsidRDefault="00EE507B" w:rsidP="001E6B1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p>
    <w:p w14:paraId="47135C50" w14:textId="2349E222" w:rsidR="00EE507B" w:rsidRDefault="002C23A7" w:rsidP="001E6B1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t xml:space="preserve">En el </w:t>
      </w:r>
      <w:r w:rsidRPr="00723834">
        <w:rPr>
          <w:b/>
          <w:bCs/>
        </w:rPr>
        <w:t>norte de Colombia</w:t>
      </w:r>
      <w:r>
        <w:t xml:space="preserve">, </w:t>
      </w:r>
      <w:r w:rsidR="00EE507B">
        <w:t xml:space="preserve">las fuentes de abastecimiento de agua de la </w:t>
      </w:r>
      <w:r w:rsidR="00EE507B" w:rsidRPr="00723834">
        <w:rPr>
          <w:b/>
          <w:bCs/>
        </w:rPr>
        <w:t>comunidad wayúu</w:t>
      </w:r>
      <w:r w:rsidR="00EE507B">
        <w:t xml:space="preserve"> que han perdurado por años y forman parte de sus tradiciones ancestrales son: las casimbas, los jagüeyes, los molinos eólicos, las aguas lluvias, los carrotanques, los pozos profundos y los ojos de agua salada. </w:t>
      </w:r>
      <w:r>
        <w:t xml:space="preserve"> Pero incluso el agua salada tiene una gran utilidad para el pueblo wayuu ya que, por ejemplo, han creado </w:t>
      </w:r>
      <w:r w:rsidRPr="002C23A7">
        <w:t>un sistema de iluminación o</w:t>
      </w:r>
      <w:r>
        <w:rPr>
          <w:b/>
          <w:bCs/>
        </w:rPr>
        <w:t xml:space="preserve"> </w:t>
      </w:r>
      <w:r w:rsidR="00883DF6">
        <w:t xml:space="preserve">linterna que se carga con agua salada, esto facilita realizar actividades cotidianas en la noche. </w:t>
      </w:r>
    </w:p>
    <w:p w14:paraId="64750838" w14:textId="77777777" w:rsidR="002C23A7" w:rsidRDefault="002C23A7" w:rsidP="001E6B1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rPr>
      </w:pPr>
    </w:p>
    <w:p w14:paraId="3459BE17" w14:textId="6604CCCD" w:rsidR="00883DF6" w:rsidRDefault="002C23A7" w:rsidP="001E6B1B">
      <w:pPr>
        <w:pBdr>
          <w:top w:val="single" w:sz="4" w:space="1" w:color="auto"/>
          <w:left w:val="single" w:sz="4" w:space="4" w:color="auto"/>
          <w:bottom w:val="single" w:sz="4" w:space="1" w:color="auto"/>
          <w:right w:val="single" w:sz="4" w:space="4" w:color="auto"/>
        </w:pBdr>
        <w:jc w:val="both"/>
      </w:pPr>
      <w:r>
        <w:t xml:space="preserve">En </w:t>
      </w:r>
      <w:r w:rsidRPr="00723834">
        <w:rPr>
          <w:b/>
          <w:bCs/>
        </w:rPr>
        <w:t xml:space="preserve">Bolivia, los ancianos de una </w:t>
      </w:r>
      <w:r w:rsidR="00961E5B" w:rsidRPr="00723834">
        <w:rPr>
          <w:b/>
          <w:bCs/>
        </w:rPr>
        <w:t>comunidad quechua</w:t>
      </w:r>
      <w:r w:rsidR="00883DF6" w:rsidRPr="00723834">
        <w:rPr>
          <w:b/>
          <w:bCs/>
        </w:rPr>
        <w:t xml:space="preserve"> ubicado en el Valle Alto de Cochabamba</w:t>
      </w:r>
      <w:r w:rsidR="00883DF6" w:rsidRPr="00C230EE">
        <w:t>,</w:t>
      </w:r>
      <w:r w:rsidR="00883DF6">
        <w:t xml:space="preserve"> </w:t>
      </w:r>
      <w:r>
        <w:t xml:space="preserve">ante la </w:t>
      </w:r>
      <w:r w:rsidR="00961E5B">
        <w:t xml:space="preserve">alta </w:t>
      </w:r>
      <w:r w:rsidR="00961E5B" w:rsidRPr="00C230EE">
        <w:t>migración</w:t>
      </w:r>
      <w:r>
        <w:t xml:space="preserve"> de la población</w:t>
      </w:r>
      <w:r w:rsidR="00883DF6" w:rsidRPr="00C230EE">
        <w:t xml:space="preserve"> almacena</w:t>
      </w:r>
      <w:r w:rsidR="00883DF6">
        <w:t>n</w:t>
      </w:r>
      <w:r w:rsidR="00883DF6" w:rsidRPr="00C230EE">
        <w:t xml:space="preserve"> el agua en bateas talladas en piedra</w:t>
      </w:r>
      <w:r w:rsidR="00883DF6">
        <w:t xml:space="preserve"> y otros recipientes</w:t>
      </w:r>
      <w:r w:rsidR="00961E5B">
        <w:t xml:space="preserve"> utilizando tecnologías ancestrales</w:t>
      </w:r>
      <w:r w:rsidR="00C666BE">
        <w:t xml:space="preserve">. </w:t>
      </w:r>
      <w:r w:rsidR="00883DF6" w:rsidRPr="00C230EE">
        <w:t>De esta manera, la cosecha de agua de lluvia permite almacenar, administrar y producir vegetales que son el sustento diario de estos ancianos</w:t>
      </w:r>
      <w:r w:rsidR="00883DF6">
        <w:t xml:space="preserve"> quechuas</w:t>
      </w:r>
      <w:r w:rsidR="00883DF6" w:rsidRPr="00C230EE">
        <w:t xml:space="preserve">. </w:t>
      </w:r>
    </w:p>
    <w:p w14:paraId="66CF3FC1" w14:textId="3EC76927" w:rsidR="00883DF6" w:rsidRDefault="00883DF6" w:rsidP="001E6B1B">
      <w:pPr>
        <w:pBdr>
          <w:top w:val="single" w:sz="4" w:space="1" w:color="auto"/>
          <w:left w:val="single" w:sz="4" w:space="4" w:color="auto"/>
          <w:bottom w:val="single" w:sz="4" w:space="1" w:color="auto"/>
          <w:right w:val="single" w:sz="4" w:space="4" w:color="auto"/>
        </w:pBdr>
        <w:jc w:val="both"/>
      </w:pPr>
      <w:r w:rsidRPr="00CE47C1">
        <w:t xml:space="preserve">La </w:t>
      </w:r>
      <w:r w:rsidRPr="00723834">
        <w:rPr>
          <w:b/>
          <w:bCs/>
        </w:rPr>
        <w:t>comunidad Cordillera Blanca, ubicada en Huaraz, Perú</w:t>
      </w:r>
      <w:r w:rsidRPr="00CE47C1">
        <w:t>, ha sanado el agua de sus ríos gracias a la complementación entre saberes ancestrales y soluciones científicas. El río Negro ha sido afectado por los relaves de la industria minera poniendo en peligro la salud y la agricultura de las comunidades. Frente a esto, la comunidad ha creado un sistema de biorremediación para capturar los metales del agua y la construcción de celdas de sedimentación</w:t>
      </w:r>
      <w:r w:rsidR="00961E5B">
        <w:t xml:space="preserve"> utilizando </w:t>
      </w:r>
      <w:r w:rsidRPr="00CE47C1">
        <w:t>plantas nativas como la totora</w:t>
      </w:r>
      <w:r>
        <w:t xml:space="preserve">, cuyas raíces son capaces </w:t>
      </w:r>
      <w:r w:rsidRPr="00CE47C1">
        <w:t>de absorber los metales del agua</w:t>
      </w:r>
      <w:r w:rsidR="00961E5B">
        <w:t>.</w:t>
      </w:r>
    </w:p>
    <w:p w14:paraId="05C81CB2" w14:textId="7C10AB29" w:rsidR="00883DF6" w:rsidRPr="00C666BE" w:rsidRDefault="00961E5B" w:rsidP="001E6B1B">
      <w:pPr>
        <w:pBdr>
          <w:top w:val="single" w:sz="4" w:space="1" w:color="auto"/>
          <w:left w:val="single" w:sz="4" w:space="4" w:color="auto"/>
          <w:bottom w:val="single" w:sz="4" w:space="1" w:color="auto"/>
          <w:right w:val="single" w:sz="4" w:space="4" w:color="auto"/>
        </w:pBdr>
        <w:jc w:val="both"/>
      </w:pPr>
      <w:r w:rsidRPr="00C666BE">
        <w:t xml:space="preserve">En </w:t>
      </w:r>
      <w:r w:rsidR="00C666BE" w:rsidRPr="00723834">
        <w:rPr>
          <w:b/>
          <w:bCs/>
        </w:rPr>
        <w:t>México</w:t>
      </w:r>
      <w:r w:rsidRPr="00723834">
        <w:rPr>
          <w:b/>
          <w:bCs/>
        </w:rPr>
        <w:t>,</w:t>
      </w:r>
      <w:r w:rsidRPr="00C666BE">
        <w:t xml:space="preserve"> </w:t>
      </w:r>
      <w:r w:rsidR="00C666BE" w:rsidRPr="00C666BE">
        <w:t>ha</w:t>
      </w:r>
      <w:r w:rsidRPr="00C666BE">
        <w:t xml:space="preserve"> habido avances recientes sobre esta temática.</w:t>
      </w:r>
    </w:p>
    <w:p w14:paraId="14AA46E7" w14:textId="77777777" w:rsidR="00C666BE" w:rsidRDefault="00961E5B" w:rsidP="001E6B1B">
      <w:pPr>
        <w:pBdr>
          <w:top w:val="single" w:sz="4" w:space="1" w:color="auto"/>
          <w:left w:val="single" w:sz="4" w:space="4" w:color="auto"/>
          <w:bottom w:val="single" w:sz="4" w:space="1" w:color="auto"/>
          <w:right w:val="single" w:sz="4" w:space="4" w:color="auto"/>
        </w:pBdr>
        <w:jc w:val="both"/>
      </w:pPr>
      <w:r w:rsidRPr="00C666BE">
        <w:t xml:space="preserve">En </w:t>
      </w:r>
      <w:r w:rsidRPr="00723834">
        <w:rPr>
          <w:b/>
          <w:bCs/>
        </w:rPr>
        <w:t xml:space="preserve">Oaxaca, </w:t>
      </w:r>
      <w:r w:rsidR="00C666BE" w:rsidRPr="00723834">
        <w:rPr>
          <w:b/>
          <w:bCs/>
        </w:rPr>
        <w:t>16 comunidades</w:t>
      </w:r>
      <w:r w:rsidRPr="00723834">
        <w:rPr>
          <w:b/>
          <w:bCs/>
        </w:rPr>
        <w:t xml:space="preserve"> zapotecas</w:t>
      </w:r>
      <w:r w:rsidRPr="00C666BE">
        <w:t xml:space="preserve"> de los Valles Centrales conformaron la Coordinadora de Pueblos Unidos por el Cuidado y Defensa del Agua (COPUDA) y realizaron sus propias obras de captación y retención de agua para atender la escasez del vital líquido y recuperar el acuífero. </w:t>
      </w:r>
    </w:p>
    <w:p w14:paraId="381F8AFE" w14:textId="268342E6" w:rsidR="00961E5B" w:rsidRPr="00C666BE" w:rsidRDefault="00961E5B" w:rsidP="001E6B1B">
      <w:pPr>
        <w:pBdr>
          <w:top w:val="single" w:sz="4" w:space="1" w:color="auto"/>
          <w:left w:val="single" w:sz="4" w:space="4" w:color="auto"/>
          <w:bottom w:val="single" w:sz="4" w:space="1" w:color="auto"/>
          <w:right w:val="single" w:sz="4" w:space="4" w:color="auto"/>
        </w:pBdr>
        <w:jc w:val="both"/>
      </w:pPr>
      <w:r w:rsidRPr="00C666BE">
        <w:t xml:space="preserve">Este trabajo se realizó a la par del ejercicio de la defensa legal de sus derechos, esfuerzo que dio lugar al proceso de consulta que ahora atestiguamos. Este proceso permitió que en el año 2019 </w:t>
      </w:r>
      <w:r w:rsidR="00052507" w:rsidRPr="00C666BE">
        <w:t>se firmaran acuerdos con instituciones estatales para el aprovechamiento, administración y conservación del mencionado acuífero.</w:t>
      </w:r>
    </w:p>
    <w:p w14:paraId="46488A19" w14:textId="77777777" w:rsidR="00C666BE" w:rsidRDefault="00052507" w:rsidP="001E6B1B">
      <w:pPr>
        <w:pBdr>
          <w:top w:val="single" w:sz="4" w:space="1" w:color="auto"/>
          <w:left w:val="single" w:sz="4" w:space="4" w:color="auto"/>
          <w:bottom w:val="single" w:sz="4" w:space="1" w:color="auto"/>
          <w:right w:val="single" w:sz="4" w:space="4" w:color="auto"/>
        </w:pBdr>
        <w:jc w:val="both"/>
      </w:pPr>
      <w:r w:rsidRPr="00C666BE">
        <w:t xml:space="preserve">Más </w:t>
      </w:r>
      <w:r w:rsidR="00C666BE" w:rsidRPr="00C666BE">
        <w:t>recientemente, en</w:t>
      </w:r>
      <w:r w:rsidRPr="00C666BE">
        <w:t xml:space="preserve"> agosto de 2021, las </w:t>
      </w:r>
      <w:r w:rsidRPr="00723834">
        <w:rPr>
          <w:b/>
          <w:bCs/>
        </w:rPr>
        <w:t xml:space="preserve">comunidades indígenas de </w:t>
      </w:r>
      <w:r w:rsidR="00C666BE" w:rsidRPr="00723834">
        <w:rPr>
          <w:b/>
          <w:bCs/>
        </w:rPr>
        <w:t>ocho pueblos yaquis</w:t>
      </w:r>
      <w:r w:rsidR="00C666BE" w:rsidRPr="00C666BE">
        <w:t xml:space="preserve"> (Vícam, Pótam, Tórim, Ráhum, Huírivis, Belem, Bácum y Cócorit) se pronunciaron a favor de que el presidente firme el </w:t>
      </w:r>
      <w:r w:rsidRPr="00C666BE">
        <w:t xml:space="preserve">decreto para la creación del Distrito de Riego 018, que será transferido al pueblo yaqui para su administración, uso y disfrute colectivo. </w:t>
      </w:r>
    </w:p>
    <w:p w14:paraId="0BD0969F" w14:textId="2EE29A5C" w:rsidR="00052507" w:rsidRPr="00C666BE" w:rsidRDefault="00052507" w:rsidP="001E6B1B">
      <w:pPr>
        <w:pBdr>
          <w:top w:val="single" w:sz="4" w:space="1" w:color="auto"/>
          <w:left w:val="single" w:sz="4" w:space="4" w:color="auto"/>
          <w:bottom w:val="single" w:sz="4" w:space="1" w:color="auto"/>
          <w:right w:val="single" w:sz="4" w:space="4" w:color="auto"/>
        </w:pBdr>
        <w:jc w:val="both"/>
      </w:pPr>
      <w:r w:rsidRPr="00C666BE">
        <w:t>Con esta decisión adoptada por unanimidad, por primera vez en la historia de México un pueblo indígena tendrá facultades para administrar y operar un distrito de riego de manera sustentable, a través de un organismo que estará regido por sus propias formas de organización comunitaria, conformado por representantes de las comunidades yaquis.</w:t>
      </w:r>
    </w:p>
    <w:p w14:paraId="71F13AFE" w14:textId="697CDD10" w:rsidR="00C666BE" w:rsidRDefault="00C666BE" w:rsidP="00C666BE">
      <w:pPr>
        <w:jc w:val="both"/>
      </w:pPr>
      <w:r>
        <w:t xml:space="preserve">Los anteriores son solo algunos ejemplos que dan cuenta de </w:t>
      </w:r>
      <w:r w:rsidR="00723834">
        <w:t>la relación entre los Pueblos Indígenas y su ent</w:t>
      </w:r>
      <w:r w:rsidR="008A2A74">
        <w:t>or</w:t>
      </w:r>
      <w:r w:rsidR="00723834">
        <w:t xml:space="preserve">no natural, especialmente con las fuentes de agua. </w:t>
      </w:r>
    </w:p>
    <w:p w14:paraId="56A03B0D" w14:textId="4580CD3C" w:rsidR="001E6B1B" w:rsidRDefault="001E6B1B" w:rsidP="00C666BE">
      <w:pPr>
        <w:jc w:val="both"/>
        <w:rPr>
          <w:b/>
          <w:bCs/>
        </w:rPr>
      </w:pPr>
      <w:r w:rsidRPr="00F66866">
        <w:rPr>
          <w:b/>
          <w:bCs/>
        </w:rPr>
        <w:t xml:space="preserve">El acceso al agua </w:t>
      </w:r>
      <w:r w:rsidR="00F66866">
        <w:rPr>
          <w:b/>
          <w:bCs/>
        </w:rPr>
        <w:t xml:space="preserve">y saneamiento </w:t>
      </w:r>
      <w:r w:rsidRPr="00F66866">
        <w:rPr>
          <w:b/>
          <w:bCs/>
        </w:rPr>
        <w:t xml:space="preserve">en el régimen de autonomía </w:t>
      </w:r>
      <w:r w:rsidR="00F66866">
        <w:rPr>
          <w:b/>
          <w:bCs/>
        </w:rPr>
        <w:t xml:space="preserve">de Pueblos Indígenas </w:t>
      </w:r>
      <w:r w:rsidRPr="00F66866">
        <w:rPr>
          <w:b/>
          <w:bCs/>
        </w:rPr>
        <w:t xml:space="preserve">en la Costa Caribe de Nicaragua  </w:t>
      </w:r>
    </w:p>
    <w:p w14:paraId="794E40BF" w14:textId="21618389" w:rsidR="00BA5C4C" w:rsidRPr="00F66866" w:rsidRDefault="00BA5C4C" w:rsidP="00C666BE">
      <w:pPr>
        <w:jc w:val="both"/>
        <w:rPr>
          <w:b/>
          <w:bCs/>
        </w:rPr>
      </w:pPr>
      <w:r>
        <w:rPr>
          <w:b/>
          <w:bCs/>
        </w:rPr>
        <w:t xml:space="preserve">Cosmovisión y creencias sobre acceso agua y saneamiento </w:t>
      </w:r>
    </w:p>
    <w:p w14:paraId="64AA4B3D" w14:textId="0B91D470" w:rsidR="00F66866" w:rsidRPr="00B15CFA" w:rsidRDefault="00F66866" w:rsidP="00BA5C4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eastAsiaTheme="minorEastAsia"/>
        </w:rPr>
      </w:pPr>
      <w:r w:rsidRPr="00B15CFA">
        <w:rPr>
          <w:rFonts w:eastAsiaTheme="minorEastAsia"/>
        </w:rPr>
        <w:t xml:space="preserve">Para </w:t>
      </w:r>
      <w:r w:rsidR="00452192">
        <w:rPr>
          <w:rFonts w:eastAsiaTheme="minorEastAsia"/>
        </w:rPr>
        <w:t>el P</w:t>
      </w:r>
      <w:r w:rsidRPr="00B15CFA">
        <w:rPr>
          <w:rFonts w:eastAsiaTheme="minorEastAsia"/>
        </w:rPr>
        <w:t xml:space="preserve">ueblo </w:t>
      </w:r>
      <w:r w:rsidR="00452192">
        <w:rPr>
          <w:rFonts w:eastAsiaTheme="minorEastAsia"/>
        </w:rPr>
        <w:t>I</w:t>
      </w:r>
      <w:r w:rsidRPr="00B15CFA">
        <w:rPr>
          <w:rFonts w:eastAsiaTheme="minorEastAsia"/>
        </w:rPr>
        <w:t>ndígena</w:t>
      </w:r>
      <w:r w:rsidR="00452192">
        <w:rPr>
          <w:rFonts w:eastAsiaTheme="minorEastAsia"/>
        </w:rPr>
        <w:t xml:space="preserve">  Miskitu, </w:t>
      </w:r>
      <w:r w:rsidRPr="00B15CFA">
        <w:rPr>
          <w:rFonts w:eastAsiaTheme="minorEastAsia"/>
        </w:rPr>
        <w:t xml:space="preserve"> el agua tiene espíritus protectores: Liwa, es  dueña del agua.</w:t>
      </w:r>
      <w:r w:rsidRPr="00B15CFA">
        <w:rPr>
          <w:rStyle w:val="FootnoteReference"/>
          <w:rFonts w:eastAsiaTheme="minorEastAsia"/>
        </w:rPr>
        <w:footnoteReference w:id="4"/>
      </w:r>
      <w:r w:rsidRPr="00B15CFA">
        <w:rPr>
          <w:rFonts w:eastAsiaTheme="minorEastAsia"/>
        </w:rPr>
        <w:t xml:space="preserve"> Por la existencia de estos espíritus, las personas piden permiso y explican para que van a ser utilizados los recursos. Esa actitud es una señal de respeto a la naturaleza y es una búsqueda del consentimiento de la misma. Los recuerdos en la memoria colectiva de las comunidades es sobre las formas de cuido de los ríos y lagunas; la forma como las familias de forma organizada lavaban las ropas en los </w:t>
      </w:r>
      <w:r w:rsidR="00452192">
        <w:rPr>
          <w:rFonts w:eastAsiaTheme="minorEastAsia"/>
        </w:rPr>
        <w:t>ríos</w:t>
      </w:r>
      <w:r w:rsidRPr="00B15CFA">
        <w:rPr>
          <w:rFonts w:eastAsiaTheme="minorEastAsia"/>
        </w:rPr>
        <w:t xml:space="preserve"> </w:t>
      </w:r>
      <w:r w:rsidR="00452192">
        <w:rPr>
          <w:rFonts w:eastAsiaTheme="minorEastAsia"/>
        </w:rPr>
        <w:t xml:space="preserve"> y en las fuentes de agua. </w:t>
      </w:r>
      <w:r w:rsidRPr="00B15CFA">
        <w:rPr>
          <w:rFonts w:eastAsiaTheme="minorEastAsia"/>
        </w:rPr>
        <w:t xml:space="preserve"> De esos mismos lugares tomaban agua para su uso y en los ríos y </w:t>
      </w:r>
      <w:r w:rsidR="00452192">
        <w:rPr>
          <w:rFonts w:eastAsiaTheme="minorEastAsia"/>
        </w:rPr>
        <w:t xml:space="preserve">riachuelos </w:t>
      </w:r>
      <w:r w:rsidRPr="00B15CFA">
        <w:rPr>
          <w:rFonts w:eastAsiaTheme="minorEastAsia"/>
        </w:rPr>
        <w:t xml:space="preserve">los niños y niñas se bañaban junto con los jóvenes. No usaban jabón, y perciben que el agua no se ensuciaba tanto como en la actualidad. Había un lugar para agua de </w:t>
      </w:r>
      <w:r w:rsidR="00452192">
        <w:rPr>
          <w:rFonts w:eastAsiaTheme="minorEastAsia"/>
        </w:rPr>
        <w:t>beber</w:t>
      </w:r>
      <w:r w:rsidRPr="00B15CFA">
        <w:rPr>
          <w:rFonts w:eastAsiaTheme="minorEastAsia"/>
        </w:rPr>
        <w:t>, un lugar para bañar y un lugar para lavar la ropa, no se hacían pozos en las comunidades, los pozos eran a la orilla de</w:t>
      </w:r>
      <w:r w:rsidR="00452192">
        <w:rPr>
          <w:rFonts w:eastAsiaTheme="minorEastAsia"/>
        </w:rPr>
        <w:t xml:space="preserve"> los rachuelos</w:t>
      </w:r>
      <w:r w:rsidRPr="00B15CFA">
        <w:rPr>
          <w:rFonts w:eastAsiaTheme="minorEastAsia"/>
        </w:rPr>
        <w:t xml:space="preserve"> y eran pequeñitos, solo para que saliera el agua que se iba </w:t>
      </w:r>
      <w:r w:rsidR="00452192">
        <w:rPr>
          <w:rFonts w:eastAsiaTheme="minorEastAsia"/>
        </w:rPr>
        <w:t>utilizar durante</w:t>
      </w:r>
      <w:r w:rsidRPr="00B15CFA">
        <w:rPr>
          <w:rFonts w:eastAsiaTheme="minorEastAsia"/>
        </w:rPr>
        <w:t xml:space="preserve"> el día, siempre había agua fresca. </w:t>
      </w:r>
      <w:r w:rsidRPr="00B15CFA">
        <w:rPr>
          <w:rStyle w:val="FootnoteReference"/>
          <w:rFonts w:eastAsiaTheme="minorEastAsia"/>
        </w:rPr>
        <w:footnoteReference w:id="5"/>
      </w:r>
    </w:p>
    <w:p w14:paraId="74155799" w14:textId="77777777" w:rsidR="00F66866" w:rsidRPr="00B15CFA" w:rsidRDefault="00F66866" w:rsidP="00BA5C4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eastAsiaTheme="minorEastAsia"/>
        </w:rPr>
      </w:pPr>
    </w:p>
    <w:p w14:paraId="71CE6CC2" w14:textId="6F512DA0" w:rsidR="00F66866" w:rsidRPr="00B15CFA" w:rsidRDefault="00F66866" w:rsidP="00BA5C4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eastAsiaTheme="minorEastAsia"/>
        </w:rPr>
      </w:pPr>
      <w:r w:rsidRPr="00B15CFA">
        <w:rPr>
          <w:rFonts w:eastAsiaTheme="minorEastAsia"/>
        </w:rPr>
        <w:t xml:space="preserve">La creencia es que si las personas abusan de las áreas de siembra de los </w:t>
      </w:r>
      <w:r w:rsidRPr="00B15CFA">
        <w:rPr>
          <w:rFonts w:eastAsiaTheme="minorEastAsia"/>
          <w:i/>
        </w:rPr>
        <w:t xml:space="preserve">papta </w:t>
      </w:r>
      <w:r w:rsidRPr="00B15CFA">
        <w:rPr>
          <w:rFonts w:eastAsiaTheme="minorEastAsia"/>
        </w:rPr>
        <w:t xml:space="preserve">( </w:t>
      </w:r>
      <w:r w:rsidR="00452192">
        <w:rPr>
          <w:rFonts w:eastAsiaTheme="minorEastAsia"/>
        </w:rPr>
        <w:t xml:space="preserve">palmera de </w:t>
      </w:r>
      <w:r w:rsidRPr="00B15CFA">
        <w:rPr>
          <w:rFonts w:eastAsiaTheme="minorEastAsia"/>
        </w:rPr>
        <w:t>pantano</w:t>
      </w:r>
      <w:r w:rsidR="00452192">
        <w:rPr>
          <w:rFonts w:eastAsiaTheme="minorEastAsia"/>
        </w:rPr>
        <w:t>s</w:t>
      </w:r>
      <w:r w:rsidRPr="00B15CFA">
        <w:rPr>
          <w:rFonts w:eastAsiaTheme="minorEastAsia"/>
        </w:rPr>
        <w:t xml:space="preserve">), se desorientan y se pierden; o si no respetan la cantidad de peces al pescar, la </w:t>
      </w:r>
      <w:r w:rsidRPr="00B15CFA">
        <w:rPr>
          <w:rFonts w:eastAsiaTheme="minorEastAsia"/>
          <w:i/>
        </w:rPr>
        <w:t>Liwa</w:t>
      </w:r>
      <w:r w:rsidRPr="00B15CFA">
        <w:rPr>
          <w:rFonts w:eastAsiaTheme="minorEastAsia"/>
        </w:rPr>
        <w:t xml:space="preserve"> llega y </w:t>
      </w:r>
      <w:r w:rsidR="00452192">
        <w:rPr>
          <w:rFonts w:eastAsiaTheme="minorEastAsia"/>
        </w:rPr>
        <w:t xml:space="preserve">les </w:t>
      </w:r>
      <w:r w:rsidRPr="00B15CFA">
        <w:rPr>
          <w:rFonts w:eastAsiaTheme="minorEastAsia"/>
        </w:rPr>
        <w:t>castiga.  Esas creencias sobre esos seres</w:t>
      </w:r>
      <w:r w:rsidR="00BA5C4C">
        <w:rPr>
          <w:rFonts w:eastAsiaTheme="minorEastAsia"/>
        </w:rPr>
        <w:t>,</w:t>
      </w:r>
      <w:r w:rsidRPr="00B15CFA">
        <w:rPr>
          <w:rFonts w:eastAsiaTheme="minorEastAsia"/>
        </w:rPr>
        <w:t xml:space="preserve"> permitió controlar las fuentes de agua y mantener una convivencia armónica </w:t>
      </w:r>
      <w:r w:rsidR="00BA5C4C">
        <w:rPr>
          <w:rFonts w:eastAsiaTheme="minorEastAsia"/>
        </w:rPr>
        <w:t xml:space="preserve">basada en </w:t>
      </w:r>
      <w:r w:rsidRPr="00B15CFA">
        <w:rPr>
          <w:rFonts w:eastAsiaTheme="minorEastAsia"/>
        </w:rPr>
        <w:t>relaciones rec</w:t>
      </w:r>
      <w:r w:rsidR="00BA5C4C">
        <w:rPr>
          <w:rFonts w:eastAsiaTheme="minorEastAsia"/>
        </w:rPr>
        <w:t>í</w:t>
      </w:r>
      <w:r w:rsidRPr="00B15CFA">
        <w:rPr>
          <w:rFonts w:eastAsiaTheme="minorEastAsia"/>
        </w:rPr>
        <w:t xml:space="preserve">procas con la madre naturaleza. </w:t>
      </w:r>
    </w:p>
    <w:p w14:paraId="172F4923" w14:textId="77777777" w:rsidR="00F66866" w:rsidRPr="00B15CFA" w:rsidRDefault="00F66866" w:rsidP="00BA5C4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eastAsiaTheme="minorEastAsia"/>
        </w:rPr>
      </w:pPr>
    </w:p>
    <w:p w14:paraId="0C158488" w14:textId="789E74A7" w:rsidR="00F66866" w:rsidRDefault="00F66866" w:rsidP="00BA5C4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eastAsia="Times New Roman"/>
        </w:rPr>
      </w:pPr>
      <w:r w:rsidRPr="00B15CFA">
        <w:rPr>
          <w:rFonts w:eastAsiaTheme="minorEastAsia"/>
        </w:rPr>
        <w:t>Al perderse los espacios donde habitaban estos espíritus se observan cambios drásticos, tales como huracanes, tormentas tropicales o inundaciones que dejan las cosechas destruidas,  plagas de ratas u otros insectos dañinos, entre otros. Los ríos se están secando, los ojos de agua con su vegetación está desapareciendo, lagunas y lagos se secan con la consecuencia que desaparecen los peces, tortugas, ranas y biotopos enteros. No solo han aumentado enfermedades</w:t>
      </w:r>
      <w:r w:rsidRPr="00B15CFA">
        <w:rPr>
          <w:rFonts w:eastAsia="Times New Roman"/>
        </w:rPr>
        <w:t xml:space="preserve"> del sistema respiratorio, nervioso y circulatorio; sino también la inseguridad alimentaria. También se plantea que esos cambios están generando mas enfermedades indígenas relacionados al </w:t>
      </w:r>
      <w:r w:rsidRPr="00B15CFA">
        <w:rPr>
          <w:rFonts w:eastAsia="Times New Roman"/>
          <w:i/>
        </w:rPr>
        <w:t>Siran</w:t>
      </w:r>
      <w:r w:rsidRPr="00B15CFA">
        <w:rPr>
          <w:rFonts w:eastAsia="Times New Roman"/>
        </w:rPr>
        <w:t xml:space="preserve">, </w:t>
      </w:r>
      <w:r w:rsidRPr="00B15CFA">
        <w:rPr>
          <w:rFonts w:eastAsia="Times New Roman"/>
          <w:i/>
        </w:rPr>
        <w:t>el Patas, Liwa</w:t>
      </w:r>
      <w:r w:rsidRPr="00B15CFA">
        <w:rPr>
          <w:rFonts w:eastAsia="Times New Roman"/>
        </w:rPr>
        <w:t xml:space="preserve">. </w:t>
      </w:r>
      <w:r w:rsidRPr="00B15CFA">
        <w:rPr>
          <w:rStyle w:val="FootnoteReference"/>
          <w:rFonts w:eastAsia="Times New Roman"/>
        </w:rPr>
        <w:footnoteReference w:id="6"/>
      </w:r>
      <w:r w:rsidRPr="00B15CFA">
        <w:rPr>
          <w:rFonts w:eastAsia="Times New Roman"/>
        </w:rPr>
        <w:t xml:space="preserve"> </w:t>
      </w:r>
    </w:p>
    <w:p w14:paraId="7BE37CC8" w14:textId="6137048F" w:rsidR="00F66866" w:rsidRDefault="00F66866" w:rsidP="00BA5C4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eastAsia="Times New Roman"/>
        </w:rPr>
      </w:pPr>
    </w:p>
    <w:p w14:paraId="7BAB01EA" w14:textId="2C97EADA" w:rsidR="00F66866" w:rsidRPr="00B15CFA" w:rsidRDefault="00F66866" w:rsidP="00BA5C4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pPr>
      <w:r w:rsidRPr="00B15CFA">
        <w:t xml:space="preserve">El tema de saneamiento y construcción de letrinas requiere igualmente analizar las </w:t>
      </w:r>
      <w:r w:rsidR="00BA5C4C">
        <w:t xml:space="preserve"> recomendaciones </w:t>
      </w:r>
      <w:r w:rsidRPr="00B15CFA">
        <w:t>considerando la cosmovisión sobre el uso de las letrinas, por ser sitios oscuros en los cuales hay presencia de espíritus malos en ellos. Hay varias anécdotas sobre el hecho de que no se utilizan las letrinas una vez que se han construido, por esa razón.  Tradicionalmente las comunidades organizaban trabajos comunitarios para deshacerse de la basura y estos eran quemados. Esa pr</w:t>
      </w:r>
      <w:r w:rsidR="00BA5C4C">
        <w:t>á</w:t>
      </w:r>
      <w:r w:rsidRPr="00B15CFA">
        <w:t xml:space="preserve">ctica, sumada al hecho de que ya no hay tanto respeto a las creencias sobre los espíritus protectores, esta creando problemas serios de saneamiento y protección del agua y otros recursos. </w:t>
      </w:r>
    </w:p>
    <w:p w14:paraId="6A755CF9" w14:textId="77777777" w:rsidR="00F66866" w:rsidRPr="00B15CFA" w:rsidRDefault="00F66866" w:rsidP="00BA5C4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pPr>
    </w:p>
    <w:p w14:paraId="337CBD1C" w14:textId="13F24680" w:rsidR="00F66866" w:rsidRPr="00B15CFA" w:rsidRDefault="00F66866" w:rsidP="00BA5C4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eastAsiaTheme="minorEastAsia"/>
        </w:rPr>
      </w:pPr>
      <w:r w:rsidRPr="00B15CFA">
        <w:rPr>
          <w:rFonts w:eastAsiaTheme="minorEastAsia"/>
          <w:bCs/>
          <w:iCs/>
        </w:rPr>
        <w:t>Sin embargo, se debe recordar que uno de los principios sobre los que se asienta el concepto de Buen Vivir en el pueblo Miskitu es precisamente el</w:t>
      </w:r>
      <w:r w:rsidRPr="00B15CFA">
        <w:rPr>
          <w:rFonts w:eastAsiaTheme="minorEastAsia"/>
          <w:b/>
          <w:bCs/>
          <w:i/>
          <w:iCs/>
        </w:rPr>
        <w:t xml:space="preserve"> </w:t>
      </w:r>
      <w:r w:rsidRPr="00B15CFA">
        <w:rPr>
          <w:rFonts w:eastAsiaTheme="minorEastAsia"/>
          <w:bCs/>
          <w:i/>
          <w:iCs/>
        </w:rPr>
        <w:t>Klin Laka</w:t>
      </w:r>
      <w:r w:rsidRPr="00B15CFA">
        <w:rPr>
          <w:rFonts w:eastAsiaTheme="minorEastAsia"/>
          <w:bCs/>
        </w:rPr>
        <w:t>,</w:t>
      </w:r>
      <w:r w:rsidRPr="00B15CFA">
        <w:rPr>
          <w:rStyle w:val="FootnoteReference"/>
          <w:rFonts w:eastAsiaTheme="minorEastAsia"/>
          <w:bCs/>
        </w:rPr>
        <w:footnoteReference w:id="7"/>
      </w:r>
      <w:r w:rsidRPr="00B15CFA">
        <w:rPr>
          <w:rFonts w:eastAsiaTheme="minorEastAsia"/>
          <w:bCs/>
        </w:rPr>
        <w:t xml:space="preserve"> que trata  sobre las </w:t>
      </w:r>
      <w:r w:rsidRPr="00B15CFA">
        <w:rPr>
          <w:rFonts w:eastAsiaTheme="minorEastAsia"/>
        </w:rPr>
        <w:t>prácticas higiénicas en la casa, el patio, la comunidad y el cuerpo de las personas. Para el pueblo Miskitu es asunto de autoestima proyectar una imagen de limpieza, compatible con la definición de salud, como persona, familia y comunidad. Incluso esa visión se proyecta hacia la vida espiritual, para lo cual se practican “limpias” por sukias, como medidas de prevención y “cura”. Se aplica también para sacar a los esp</w:t>
      </w:r>
      <w:r w:rsidR="00BA5C4C">
        <w:rPr>
          <w:rFonts w:eastAsiaTheme="minorEastAsia"/>
        </w:rPr>
        <w:t>í</w:t>
      </w:r>
      <w:r w:rsidRPr="00B15CFA">
        <w:rPr>
          <w:rFonts w:eastAsiaTheme="minorEastAsia"/>
        </w:rPr>
        <w:t>ritus que provocan males de determinados sitios, o incluso para “trasladar”  a los esp</w:t>
      </w:r>
      <w:r w:rsidR="00BA5C4C">
        <w:rPr>
          <w:rFonts w:eastAsiaTheme="minorEastAsia"/>
        </w:rPr>
        <w:t>í</w:t>
      </w:r>
      <w:r w:rsidRPr="00B15CFA">
        <w:rPr>
          <w:rFonts w:eastAsiaTheme="minorEastAsia"/>
        </w:rPr>
        <w:t xml:space="preserve">ritus de los muertos a sus sitios de descanso. </w:t>
      </w:r>
    </w:p>
    <w:p w14:paraId="536FB04A" w14:textId="77777777" w:rsidR="00F66866" w:rsidRPr="00B15CFA" w:rsidRDefault="00F66866" w:rsidP="00BA5C4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eastAsiaTheme="minorEastAsia"/>
        </w:rPr>
      </w:pPr>
      <w:r w:rsidRPr="00B15CFA">
        <w:rPr>
          <w:rFonts w:eastAsiaTheme="minorEastAsia"/>
        </w:rPr>
        <w:t xml:space="preserve">  </w:t>
      </w:r>
    </w:p>
    <w:p w14:paraId="7ECAEDE8" w14:textId="3EFB3082" w:rsidR="00F66866" w:rsidRPr="00B15CFA" w:rsidRDefault="00F66866" w:rsidP="00BA5C4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eastAsiaTheme="minorEastAsia"/>
        </w:rPr>
      </w:pPr>
      <w:r w:rsidRPr="00B15CFA">
        <w:rPr>
          <w:rFonts w:eastAsiaTheme="minorEastAsia"/>
        </w:rPr>
        <w:t>Cuando la población se refirió a las condiciones para el Buen Vivir,</w:t>
      </w:r>
      <w:r w:rsidRPr="00B15CFA">
        <w:rPr>
          <w:rStyle w:val="FootnoteReference"/>
          <w:rFonts w:eastAsiaTheme="minorEastAsia"/>
        </w:rPr>
        <w:footnoteReference w:id="8"/>
      </w:r>
      <w:r w:rsidRPr="00B15CFA">
        <w:rPr>
          <w:rFonts w:eastAsiaTheme="minorEastAsia"/>
        </w:rPr>
        <w:t xml:space="preserve">  </w:t>
      </w:r>
      <w:r w:rsidR="00BA5C4C">
        <w:rPr>
          <w:rFonts w:eastAsiaTheme="minorEastAsia"/>
        </w:rPr>
        <w:t xml:space="preserve">requieren contar con </w:t>
      </w:r>
      <w:r w:rsidRPr="00B15CFA">
        <w:rPr>
          <w:rFonts w:eastAsiaTheme="minorEastAsia"/>
        </w:rPr>
        <w:t xml:space="preserve"> una casa propia y en buen estado, baños limpios, pozos de agua o agua con un sistema de tubería, luz eléctrica o solar, muebles, utensilios de cocina (fundamentalmente ollas), radio, televisión, heladera, herramientas de trabajo (machete, hacha, lima, botas, anzuelos, motosierra), medios de transporte personales (cayuco, bicicleta y en algunos casos </w:t>
      </w:r>
      <w:r w:rsidR="00BA5C4C">
        <w:rPr>
          <w:rFonts w:eastAsiaTheme="minorEastAsia"/>
        </w:rPr>
        <w:t xml:space="preserve">han </w:t>
      </w:r>
      <w:r w:rsidRPr="00B15CFA">
        <w:rPr>
          <w:rFonts w:eastAsiaTheme="minorEastAsia"/>
        </w:rPr>
        <w:t>mencion</w:t>
      </w:r>
      <w:r w:rsidR="00BA5C4C">
        <w:rPr>
          <w:rFonts w:eastAsiaTheme="minorEastAsia"/>
        </w:rPr>
        <w:t xml:space="preserve">ado </w:t>
      </w:r>
      <w:r w:rsidRPr="00B15CFA">
        <w:rPr>
          <w:rFonts w:eastAsiaTheme="minorEastAsia"/>
        </w:rPr>
        <w:t>tener una moto o un auto), y ropa linda para los eventos sociales</w:t>
      </w:r>
      <w:r w:rsidR="00BA5C4C">
        <w:rPr>
          <w:rFonts w:eastAsiaTheme="minorEastAsia"/>
        </w:rPr>
        <w:t xml:space="preserve">, especialmente para asistir a las actividades religiosas. </w:t>
      </w:r>
      <w:r w:rsidRPr="00B15CFA">
        <w:rPr>
          <w:rFonts w:eastAsiaTheme="minorEastAsia"/>
        </w:rPr>
        <w:t xml:space="preserve"> </w:t>
      </w:r>
    </w:p>
    <w:p w14:paraId="16B6BE30" w14:textId="34FFF5B0" w:rsidR="00F66866" w:rsidRPr="00A14DFA" w:rsidRDefault="00F66866" w:rsidP="00F66866">
      <w:pPr>
        <w:widowControl w:val="0"/>
        <w:autoSpaceDE w:val="0"/>
        <w:autoSpaceDN w:val="0"/>
        <w:adjustRightInd w:val="0"/>
        <w:spacing w:after="0"/>
        <w:rPr>
          <w:rFonts w:eastAsia="Times New Roman"/>
          <w:b/>
          <w:bCs/>
        </w:rPr>
      </w:pPr>
    </w:p>
    <w:p w14:paraId="5A812F63" w14:textId="2C2DBF33" w:rsidR="00BA5C4C" w:rsidRPr="00A14DFA" w:rsidRDefault="00A14DFA" w:rsidP="00F66866">
      <w:pPr>
        <w:widowControl w:val="0"/>
        <w:autoSpaceDE w:val="0"/>
        <w:autoSpaceDN w:val="0"/>
        <w:adjustRightInd w:val="0"/>
        <w:spacing w:after="0"/>
        <w:rPr>
          <w:rFonts w:eastAsia="Times New Roman"/>
          <w:b/>
          <w:bCs/>
        </w:rPr>
      </w:pPr>
      <w:r w:rsidRPr="00A14DFA">
        <w:rPr>
          <w:rFonts w:eastAsia="Times New Roman"/>
          <w:b/>
          <w:bCs/>
        </w:rPr>
        <w:t xml:space="preserve">Estrategias adoptadas para el acceso a agua en el marco de la autonomía </w:t>
      </w:r>
    </w:p>
    <w:p w14:paraId="63B13A79" w14:textId="77777777" w:rsidR="009764F1" w:rsidRDefault="00A14DFA" w:rsidP="009764F1">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w:t>
      </w:r>
      <w:r w:rsidR="001E6B1B">
        <w:rPr>
          <w:rFonts w:ascii="Times New Roman" w:hAnsi="Times New Roman" w:cs="Times New Roman"/>
          <w:sz w:val="24"/>
          <w:szCs w:val="24"/>
          <w:lang w:val="es-ES"/>
        </w:rPr>
        <w:t>1987</w:t>
      </w:r>
      <w:r>
        <w:rPr>
          <w:rFonts w:ascii="Times New Roman" w:hAnsi="Times New Roman" w:cs="Times New Roman"/>
          <w:sz w:val="24"/>
          <w:szCs w:val="24"/>
          <w:lang w:val="es-ES"/>
        </w:rPr>
        <w:t xml:space="preserve">, la Asamblea Nacional de la República de Nicaragua aprobó La Ley de Autonomía de Comunidades de la Costa Caribe. </w:t>
      </w:r>
      <w:r w:rsidR="001E6B1B">
        <w:rPr>
          <w:rFonts w:ascii="Times New Roman" w:hAnsi="Times New Roman" w:cs="Times New Roman"/>
          <w:sz w:val="24"/>
          <w:szCs w:val="24"/>
          <w:lang w:val="es-ES"/>
        </w:rPr>
        <w:t xml:space="preserve"> </w:t>
      </w:r>
      <w:r>
        <w:rPr>
          <w:rFonts w:ascii="Times New Roman" w:hAnsi="Times New Roman" w:cs="Times New Roman"/>
          <w:sz w:val="24"/>
          <w:szCs w:val="24"/>
          <w:lang w:val="es-ES"/>
        </w:rPr>
        <w:t>E</w:t>
      </w:r>
      <w:r w:rsidR="001E6B1B">
        <w:rPr>
          <w:rFonts w:ascii="Times New Roman" w:hAnsi="Times New Roman" w:cs="Times New Roman"/>
          <w:sz w:val="24"/>
          <w:szCs w:val="24"/>
          <w:lang w:val="es-ES"/>
        </w:rPr>
        <w:t xml:space="preserve">n las últimas décadas </w:t>
      </w:r>
      <w:r>
        <w:rPr>
          <w:rFonts w:ascii="Times New Roman" w:hAnsi="Times New Roman" w:cs="Times New Roman"/>
          <w:sz w:val="24"/>
          <w:szCs w:val="24"/>
          <w:lang w:val="es-ES"/>
        </w:rPr>
        <w:t xml:space="preserve">se ha avanzado en la construcción de </w:t>
      </w:r>
      <w:r w:rsidR="001E6B1B">
        <w:rPr>
          <w:rFonts w:ascii="Times New Roman" w:hAnsi="Times New Roman" w:cs="Times New Roman"/>
          <w:sz w:val="24"/>
          <w:szCs w:val="24"/>
          <w:lang w:val="es-ES"/>
        </w:rPr>
        <w:t xml:space="preserve">un marco legal e institucional robusto, que se alimenta de las siguientes fuentes: </w:t>
      </w:r>
    </w:p>
    <w:p w14:paraId="0FC9C3D6" w14:textId="77777777" w:rsidR="009764F1" w:rsidRDefault="001E6B1B" w:rsidP="009764F1">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lang w:val="es-ES"/>
        </w:rPr>
      </w:pPr>
      <w:r w:rsidRPr="009764F1">
        <w:rPr>
          <w:rFonts w:ascii="Times New Roman" w:hAnsi="Times New Roman" w:cs="Times New Roman"/>
          <w:sz w:val="24"/>
          <w:szCs w:val="24"/>
          <w:lang w:val="es-ES"/>
        </w:rPr>
        <w:t>La Constitución Política y legislación nacional relevante</w:t>
      </w:r>
    </w:p>
    <w:p w14:paraId="1E33F0BC" w14:textId="741CCBF7" w:rsidR="001E6B1B" w:rsidRPr="008A2A74" w:rsidRDefault="001E6B1B" w:rsidP="009764F1">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lang w:val="es-ES"/>
        </w:rPr>
      </w:pPr>
      <w:r w:rsidRPr="008A2A74">
        <w:rPr>
          <w:rFonts w:ascii="Times New Roman" w:hAnsi="Times New Roman" w:cs="Times New Roman"/>
          <w:sz w:val="24"/>
          <w:szCs w:val="24"/>
          <w:lang w:val="es-ES"/>
        </w:rPr>
        <w:t>Estándares internacionales de derechos de Pueblos Indígenas y afro descendientes</w:t>
      </w:r>
    </w:p>
    <w:p w14:paraId="49A729EC" w14:textId="77777777" w:rsidR="001E6B1B" w:rsidRPr="008A2A74" w:rsidRDefault="001E6B1B" w:rsidP="008A2A7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lang w:val="es-ES"/>
        </w:rPr>
      </w:pPr>
      <w:r w:rsidRPr="008A2A74">
        <w:rPr>
          <w:rFonts w:ascii="Times New Roman" w:hAnsi="Times New Roman" w:cs="Times New Roman"/>
          <w:sz w:val="24"/>
          <w:szCs w:val="24"/>
          <w:lang w:val="es-ES"/>
        </w:rPr>
        <w:t>Resoluciones de Consejos Regionales Autónomos</w:t>
      </w:r>
    </w:p>
    <w:p w14:paraId="76C9E415" w14:textId="77777777" w:rsidR="009764F1" w:rsidRDefault="009764F1" w:rsidP="008A2A7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lang w:val="es-ES"/>
        </w:rPr>
      </w:pPr>
    </w:p>
    <w:p w14:paraId="2D002378" w14:textId="78459E82" w:rsidR="001E6B1B" w:rsidRDefault="001E6B1B" w:rsidP="008A2A7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lang w:val="es-ES"/>
        </w:rPr>
      </w:pPr>
      <w:r w:rsidRPr="008A2A74">
        <w:rPr>
          <w:rFonts w:ascii="Times New Roman" w:hAnsi="Times New Roman" w:cs="Times New Roman"/>
          <w:sz w:val="24"/>
          <w:szCs w:val="24"/>
          <w:lang w:val="es-ES"/>
        </w:rPr>
        <w:t>Normas de derechos indígenas y afro descendientes comunitarias y territoriales generados por los G</w:t>
      </w:r>
      <w:r w:rsidR="009764F1">
        <w:rPr>
          <w:rFonts w:ascii="Times New Roman" w:hAnsi="Times New Roman" w:cs="Times New Roman"/>
          <w:sz w:val="24"/>
          <w:szCs w:val="24"/>
          <w:lang w:val="es-ES"/>
        </w:rPr>
        <w:t xml:space="preserve">obiernos </w:t>
      </w:r>
      <w:r w:rsidRPr="008A2A74">
        <w:rPr>
          <w:rFonts w:ascii="Times New Roman" w:hAnsi="Times New Roman" w:cs="Times New Roman"/>
          <w:sz w:val="24"/>
          <w:szCs w:val="24"/>
          <w:lang w:val="es-ES"/>
        </w:rPr>
        <w:t>T</w:t>
      </w:r>
      <w:r w:rsidR="009764F1">
        <w:rPr>
          <w:rFonts w:ascii="Times New Roman" w:hAnsi="Times New Roman" w:cs="Times New Roman"/>
          <w:sz w:val="24"/>
          <w:szCs w:val="24"/>
          <w:lang w:val="es-ES"/>
        </w:rPr>
        <w:t xml:space="preserve">erritoriales Indígenas </w:t>
      </w:r>
      <w:r w:rsidRPr="008A2A74">
        <w:rPr>
          <w:rFonts w:ascii="Times New Roman" w:hAnsi="Times New Roman" w:cs="Times New Roman"/>
          <w:sz w:val="24"/>
          <w:szCs w:val="24"/>
          <w:lang w:val="es-ES"/>
        </w:rPr>
        <w:t xml:space="preserve">y los gobiernos comunales </w:t>
      </w:r>
    </w:p>
    <w:p w14:paraId="21DEE1E1" w14:textId="7E8C49EE" w:rsidR="009764F1" w:rsidRDefault="009764F1" w:rsidP="008A2A7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lang w:val="es-ES"/>
        </w:rPr>
      </w:pPr>
    </w:p>
    <w:p w14:paraId="07E67988" w14:textId="7D447F31" w:rsidR="00AB7BC3" w:rsidRDefault="009764F1" w:rsidP="009764F1">
      <w:pPr>
        <w:pBdr>
          <w:top w:val="single" w:sz="4" w:space="1" w:color="auto"/>
          <w:left w:val="single" w:sz="4" w:space="4" w:color="auto"/>
          <w:bottom w:val="single" w:sz="4" w:space="1" w:color="auto"/>
          <w:right w:val="single" w:sz="4" w:space="4" w:color="auto"/>
        </w:pBdr>
        <w:spacing w:after="0" w:line="240" w:lineRule="auto"/>
        <w:jc w:val="both"/>
        <w:rPr>
          <w:rFonts w:ascii="BookAntiqua" w:hAnsi="BookAntiqua"/>
          <w:sz w:val="20"/>
          <w:szCs w:val="20"/>
        </w:rPr>
      </w:pPr>
      <w:r>
        <w:rPr>
          <w:rFonts w:ascii="Times New Roman" w:hAnsi="Times New Roman" w:cs="Times New Roman"/>
          <w:sz w:val="24"/>
          <w:szCs w:val="24"/>
          <w:lang w:val="es-ES"/>
        </w:rPr>
        <w:t>La Ley de Autonomía establece que es competencia de los Gobiernos Regionales Autónomos “</w:t>
      </w:r>
      <w:r>
        <w:rPr>
          <w:rFonts w:ascii="BookAntiqua" w:hAnsi="BookAntiqua"/>
          <w:sz w:val="20"/>
          <w:szCs w:val="20"/>
        </w:rPr>
        <w:t>e</w:t>
      </w:r>
      <w:r w:rsidR="00AB7BC3">
        <w:rPr>
          <w:rFonts w:ascii="BookAntiqua" w:hAnsi="BookAntiqua"/>
          <w:sz w:val="20"/>
          <w:szCs w:val="20"/>
        </w:rPr>
        <w:t>ecibir del gobierno central recursos y medios necesarios para administrar los programas de salud, educación, cultura, transporte, servicios básicos, deportes e infraestructura en coordinación con las instancia o ministerios correspondientes tomando en cuenta las condiciones particulares de la Costa Atlántica, los que deben ser incluidos en el Presupuesto General de la República</w:t>
      </w:r>
      <w:r>
        <w:rPr>
          <w:rFonts w:ascii="BookAntiqua" w:hAnsi="BookAntiqua"/>
          <w:sz w:val="20"/>
          <w:szCs w:val="20"/>
        </w:rPr>
        <w:t>.</w:t>
      </w:r>
    </w:p>
    <w:p w14:paraId="47D0857E" w14:textId="259E1502" w:rsidR="009764F1" w:rsidRDefault="009764F1" w:rsidP="009764F1">
      <w:pPr>
        <w:pBdr>
          <w:top w:val="single" w:sz="4" w:space="1" w:color="auto"/>
          <w:left w:val="single" w:sz="4" w:space="4" w:color="auto"/>
          <w:bottom w:val="single" w:sz="4" w:space="1" w:color="auto"/>
          <w:right w:val="single" w:sz="4" w:space="4" w:color="auto"/>
        </w:pBdr>
        <w:spacing w:after="0" w:line="240" w:lineRule="auto"/>
        <w:jc w:val="both"/>
        <w:rPr>
          <w:rFonts w:ascii="BookAntiqua" w:hAnsi="BookAntiqua"/>
          <w:sz w:val="20"/>
          <w:szCs w:val="20"/>
        </w:rPr>
      </w:pPr>
    </w:p>
    <w:p w14:paraId="5F894EBC" w14:textId="26443048" w:rsidR="008A2A74" w:rsidRPr="009764F1" w:rsidRDefault="009764F1" w:rsidP="009764F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lang w:val="es-ES"/>
        </w:rPr>
      </w:pPr>
      <w:r>
        <w:rPr>
          <w:rFonts w:ascii="BookAntiqua" w:hAnsi="BookAntiqua"/>
          <w:sz w:val="20"/>
          <w:szCs w:val="20"/>
        </w:rPr>
        <w:t xml:space="preserve">En ese contexto, el </w:t>
      </w:r>
      <w:r w:rsidR="008A2A74">
        <w:rPr>
          <w:color w:val="000000"/>
        </w:rPr>
        <w:t>G</w:t>
      </w:r>
      <w:r>
        <w:rPr>
          <w:color w:val="000000"/>
        </w:rPr>
        <w:t xml:space="preserve">obierno </w:t>
      </w:r>
      <w:r w:rsidR="008A2A74">
        <w:rPr>
          <w:color w:val="000000"/>
        </w:rPr>
        <w:t>R</w:t>
      </w:r>
      <w:r>
        <w:rPr>
          <w:color w:val="000000"/>
        </w:rPr>
        <w:t xml:space="preserve">egional </w:t>
      </w:r>
      <w:r w:rsidR="008A2A74">
        <w:rPr>
          <w:color w:val="000000"/>
        </w:rPr>
        <w:t>A</w:t>
      </w:r>
      <w:r>
        <w:rPr>
          <w:color w:val="000000"/>
        </w:rPr>
        <w:t xml:space="preserve">utónomo </w:t>
      </w:r>
      <w:r w:rsidR="008A2A74">
        <w:rPr>
          <w:color w:val="000000"/>
        </w:rPr>
        <w:t xml:space="preserve"> plantea </w:t>
      </w:r>
      <w:r w:rsidR="008A2A74" w:rsidRPr="00AC42B5">
        <w:rPr>
          <w:color w:val="000000"/>
        </w:rPr>
        <w:t>aumentar el acceso al agua segura en las zonas rurales y urbanas, mejorar las redes de distribución de las cabeceras regionales a fin de tener agua segura domiciliar a través de una administración del recurso desde el Estado y de sus entidades públicas, con apoyo de las municipalidades y la organizació</w:t>
      </w:r>
      <w:r w:rsidR="008A2A74">
        <w:rPr>
          <w:color w:val="000000"/>
        </w:rPr>
        <w:t>n comunitaria</w:t>
      </w:r>
      <w:r w:rsidR="008A2A74">
        <w:rPr>
          <w:rStyle w:val="FootnoteReference"/>
          <w:color w:val="000000"/>
        </w:rPr>
        <w:footnoteReference w:id="9"/>
      </w:r>
      <w:r>
        <w:rPr>
          <w:color w:val="000000"/>
        </w:rPr>
        <w:t xml:space="preserve">. </w:t>
      </w:r>
      <w:r w:rsidR="008A2A74">
        <w:t>Con el objeto de avanzar en la definición de una Politica de Agua y Saneamiento en el G</w:t>
      </w:r>
      <w:r>
        <w:t xml:space="preserve">obierno </w:t>
      </w:r>
      <w:r w:rsidR="008A2A74">
        <w:t>R</w:t>
      </w:r>
      <w:r>
        <w:t xml:space="preserve">egional </w:t>
      </w:r>
      <w:r w:rsidR="008A2A74">
        <w:t>A</w:t>
      </w:r>
      <w:r>
        <w:t xml:space="preserve">utónomo </w:t>
      </w:r>
      <w:r w:rsidR="008A2A74">
        <w:t xml:space="preserve"> de la R</w:t>
      </w:r>
      <w:r>
        <w:t xml:space="preserve">egión </w:t>
      </w:r>
      <w:r w:rsidR="008A2A74">
        <w:t>A</w:t>
      </w:r>
      <w:r>
        <w:t xml:space="preserve">utónoma </w:t>
      </w:r>
      <w:r w:rsidR="008A2A74">
        <w:t>C</w:t>
      </w:r>
      <w:r>
        <w:t xml:space="preserve">osta </w:t>
      </w:r>
      <w:r w:rsidR="008A2A74">
        <w:t>C</w:t>
      </w:r>
      <w:r>
        <w:t xml:space="preserve">aribe </w:t>
      </w:r>
      <w:r w:rsidR="008A2A74">
        <w:t>N</w:t>
      </w:r>
      <w:r>
        <w:t xml:space="preserve">orte, </w:t>
      </w:r>
      <w:r w:rsidR="008A2A74">
        <w:t xml:space="preserve"> se conform</w:t>
      </w:r>
      <w:r>
        <w:t>ó</w:t>
      </w:r>
      <w:r w:rsidR="008A2A74">
        <w:t xml:space="preserve"> la </w:t>
      </w:r>
      <w:r w:rsidR="008A2A74">
        <w:rPr>
          <w:color w:val="000000"/>
        </w:rPr>
        <w:t>Unidad técnica regional de Agua y Saneamiento</w:t>
      </w:r>
      <w:r w:rsidR="008A2A74" w:rsidRPr="00FB1CFA">
        <w:rPr>
          <w:color w:val="000000"/>
        </w:rPr>
        <w:t>,</w:t>
      </w:r>
      <w:r w:rsidR="008A2A74">
        <w:rPr>
          <w:color w:val="000000"/>
        </w:rPr>
        <w:t xml:space="preserve"> en la cual participan los </w:t>
      </w:r>
      <w:r w:rsidR="008A2A74" w:rsidRPr="00FB1CFA">
        <w:rPr>
          <w:color w:val="000000"/>
        </w:rPr>
        <w:t xml:space="preserve"> Gobierno</w:t>
      </w:r>
      <w:r>
        <w:rPr>
          <w:color w:val="000000"/>
        </w:rPr>
        <w:t>s</w:t>
      </w:r>
      <w:r w:rsidR="008A2A74" w:rsidRPr="00FB1CFA">
        <w:rPr>
          <w:color w:val="000000"/>
        </w:rPr>
        <w:t xml:space="preserve"> Mun</w:t>
      </w:r>
      <w:r w:rsidR="008A2A74">
        <w:rPr>
          <w:color w:val="000000"/>
        </w:rPr>
        <w:t>icipal</w:t>
      </w:r>
      <w:r>
        <w:rPr>
          <w:color w:val="000000"/>
        </w:rPr>
        <w:t>es</w:t>
      </w:r>
      <w:r w:rsidR="008A2A74">
        <w:rPr>
          <w:color w:val="000000"/>
        </w:rPr>
        <w:t>, Gobierno</w:t>
      </w:r>
      <w:r>
        <w:rPr>
          <w:color w:val="000000"/>
        </w:rPr>
        <w:t>s</w:t>
      </w:r>
      <w:r w:rsidR="008A2A74">
        <w:rPr>
          <w:color w:val="000000"/>
        </w:rPr>
        <w:t xml:space="preserve"> Territorial</w:t>
      </w:r>
      <w:r>
        <w:rPr>
          <w:color w:val="000000"/>
        </w:rPr>
        <w:t>es Indígenas y Afro descendientes</w:t>
      </w:r>
      <w:r w:rsidR="008A2A74">
        <w:rPr>
          <w:color w:val="000000"/>
        </w:rPr>
        <w:t xml:space="preserve">, </w:t>
      </w:r>
      <w:r w:rsidR="008A2A74" w:rsidRPr="00FB1CFA">
        <w:rPr>
          <w:color w:val="000000"/>
        </w:rPr>
        <w:t>Gobierno</w:t>
      </w:r>
      <w:r>
        <w:rPr>
          <w:color w:val="000000"/>
        </w:rPr>
        <w:t>s</w:t>
      </w:r>
      <w:r w:rsidR="008A2A74" w:rsidRPr="00FB1CFA">
        <w:rPr>
          <w:color w:val="000000"/>
        </w:rPr>
        <w:t xml:space="preserve"> Comunal</w:t>
      </w:r>
      <w:r>
        <w:rPr>
          <w:color w:val="000000"/>
        </w:rPr>
        <w:t>es</w:t>
      </w:r>
      <w:r w:rsidR="008A2A74">
        <w:rPr>
          <w:color w:val="000000"/>
        </w:rPr>
        <w:t xml:space="preserve"> y Organizaciones que trabajan en el tema, </w:t>
      </w:r>
      <w:r w:rsidR="00875A74">
        <w:rPr>
          <w:color w:val="000000"/>
        </w:rPr>
        <w:t>constituyendose además</w:t>
      </w:r>
      <w:r>
        <w:rPr>
          <w:color w:val="000000"/>
        </w:rPr>
        <w:t xml:space="preserve"> </w:t>
      </w:r>
      <w:r w:rsidR="00875A74">
        <w:rPr>
          <w:color w:val="000000"/>
        </w:rPr>
        <w:t xml:space="preserve">en </w:t>
      </w:r>
      <w:r w:rsidR="008A2A74">
        <w:rPr>
          <w:color w:val="000000"/>
        </w:rPr>
        <w:t xml:space="preserve">espacio </w:t>
      </w:r>
      <w:r w:rsidR="008A2A74" w:rsidRPr="003D2FF4">
        <w:rPr>
          <w:color w:val="000000"/>
        </w:rPr>
        <w:t xml:space="preserve"> de diálogo entre la cooperación internacional</w:t>
      </w:r>
      <w:r w:rsidR="008A2A74">
        <w:rPr>
          <w:color w:val="000000"/>
        </w:rPr>
        <w:t xml:space="preserve"> y las autoridades de la región sobre el tema. </w:t>
      </w:r>
    </w:p>
    <w:p w14:paraId="319E7743" w14:textId="77777777" w:rsidR="008A2A74" w:rsidRDefault="008A2A74" w:rsidP="008A2A7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color w:val="000000"/>
        </w:rPr>
      </w:pPr>
    </w:p>
    <w:p w14:paraId="7CAD2F93" w14:textId="16B43332" w:rsidR="008A2A74" w:rsidRDefault="00875A74" w:rsidP="008A2A74">
      <w:pPr>
        <w:pBdr>
          <w:top w:val="single" w:sz="4" w:space="1" w:color="auto"/>
          <w:left w:val="single" w:sz="4" w:space="4" w:color="auto"/>
          <w:bottom w:val="single" w:sz="4" w:space="1" w:color="auto"/>
          <w:right w:val="single" w:sz="4" w:space="4" w:color="auto"/>
        </w:pBdr>
        <w:rPr>
          <w:rFonts w:ascii="Arial" w:eastAsia="Times New Roman" w:hAnsi="Arial" w:cs="Arial"/>
          <w:color w:val="202124"/>
          <w:shd w:val="clear" w:color="auto" w:fill="FFFFFF"/>
          <w:lang w:eastAsia="es-ES_tradnl"/>
        </w:rPr>
      </w:pPr>
      <w:r>
        <w:rPr>
          <w:rFonts w:ascii="Arial" w:eastAsia="Times New Roman" w:hAnsi="Arial" w:cs="Arial"/>
          <w:color w:val="050505"/>
          <w:sz w:val="23"/>
          <w:szCs w:val="23"/>
          <w:shd w:val="clear" w:color="auto" w:fill="FFFFFF"/>
          <w:lang w:eastAsia="es-ES_tradnl"/>
        </w:rPr>
        <w:t xml:space="preserve">Esa instancia en la Región Autónoma adecúa los </w:t>
      </w:r>
      <w:r w:rsidR="008A2A74" w:rsidRPr="00306C6A">
        <w:rPr>
          <w:rFonts w:ascii="Arial" w:eastAsia="Times New Roman" w:hAnsi="Arial" w:cs="Arial"/>
          <w:color w:val="050505"/>
          <w:sz w:val="23"/>
          <w:szCs w:val="23"/>
          <w:shd w:val="clear" w:color="auto" w:fill="FFFFFF"/>
          <w:lang w:eastAsia="es-ES_tradnl"/>
        </w:rPr>
        <w:t xml:space="preserve"> CAPS (Comité de Agua Potable y Saneamiento) </w:t>
      </w:r>
      <w:r>
        <w:rPr>
          <w:rFonts w:ascii="Arial" w:eastAsia="Times New Roman" w:hAnsi="Arial" w:cs="Arial"/>
          <w:color w:val="050505"/>
          <w:sz w:val="23"/>
          <w:szCs w:val="23"/>
          <w:shd w:val="clear" w:color="auto" w:fill="FFFFFF"/>
          <w:lang w:eastAsia="es-ES_tradnl"/>
        </w:rPr>
        <w:t xml:space="preserve">que se han conformado en otras zonas del país.   </w:t>
      </w:r>
      <w:r w:rsidR="008A2A74" w:rsidRPr="00306C6A">
        <w:rPr>
          <w:rFonts w:ascii="Arial" w:eastAsia="Times New Roman" w:hAnsi="Arial" w:cs="Arial"/>
          <w:color w:val="202124"/>
          <w:shd w:val="clear" w:color="auto" w:fill="FFFFFF"/>
          <w:lang w:eastAsia="es-ES_tradnl"/>
        </w:rPr>
        <w:t>Los primeros </w:t>
      </w:r>
      <w:r w:rsidR="008A2A74" w:rsidRPr="00306C6A">
        <w:rPr>
          <w:rFonts w:ascii="Arial" w:eastAsia="Times New Roman" w:hAnsi="Arial" w:cs="Arial"/>
          <w:b/>
          <w:bCs/>
          <w:color w:val="202124"/>
          <w:lang w:eastAsia="es-ES_tradnl"/>
        </w:rPr>
        <w:t>CAPS</w:t>
      </w:r>
      <w:r w:rsidR="008A2A74" w:rsidRPr="00306C6A">
        <w:rPr>
          <w:rFonts w:ascii="Arial" w:eastAsia="Times New Roman" w:hAnsi="Arial" w:cs="Arial"/>
          <w:color w:val="202124"/>
          <w:shd w:val="clear" w:color="auto" w:fill="FFFFFF"/>
          <w:lang w:eastAsia="es-ES_tradnl"/>
        </w:rPr>
        <w:t> se crearon en </w:t>
      </w:r>
      <w:r w:rsidR="008A2A74" w:rsidRPr="00306C6A">
        <w:rPr>
          <w:rFonts w:ascii="Arial" w:eastAsia="Times New Roman" w:hAnsi="Arial" w:cs="Arial"/>
          <w:b/>
          <w:bCs/>
          <w:color w:val="202124"/>
          <w:lang w:eastAsia="es-ES_tradnl"/>
        </w:rPr>
        <w:t>Nicaragua</w:t>
      </w:r>
      <w:r w:rsidR="008A2A74" w:rsidRPr="00306C6A">
        <w:rPr>
          <w:rFonts w:ascii="Arial" w:eastAsia="Times New Roman" w:hAnsi="Arial" w:cs="Arial"/>
          <w:color w:val="202124"/>
          <w:shd w:val="clear" w:color="auto" w:fill="FFFFFF"/>
          <w:lang w:eastAsia="es-ES_tradnl"/>
        </w:rPr>
        <w:t> en los años 80, bajo la influencia de los cambios revolucionarios. Tuvieron apoyo del Instituto Nacional de Acueductos y Alcantarillados (INAA), hubo convenios con diferentes organismos de cooperación y se pusieron al frente líderes de las comunidades.</w:t>
      </w:r>
    </w:p>
    <w:p w14:paraId="1A1CD02C" w14:textId="5ACBA4D8" w:rsidR="00875A74" w:rsidRPr="00306C6A" w:rsidRDefault="00875A74" w:rsidP="008A2A74">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es-ES_tradnl"/>
        </w:rPr>
      </w:pPr>
      <w:r>
        <w:rPr>
          <w:rFonts w:ascii="Arial" w:eastAsia="Times New Roman" w:hAnsi="Arial" w:cs="Arial"/>
          <w:color w:val="202124"/>
          <w:shd w:val="clear" w:color="auto" w:fill="FFFFFF"/>
          <w:lang w:eastAsia="es-ES_tradnl"/>
        </w:rPr>
        <w:t xml:space="preserve">Otro aspecto derivado de la autonomía </w:t>
      </w:r>
      <w:r w:rsidR="00841AE4">
        <w:rPr>
          <w:rFonts w:ascii="Arial" w:eastAsia="Times New Roman" w:hAnsi="Arial" w:cs="Arial"/>
          <w:color w:val="202124"/>
          <w:shd w:val="clear" w:color="auto" w:fill="FFFFFF"/>
          <w:lang w:eastAsia="es-ES_tradnl"/>
        </w:rPr>
        <w:t xml:space="preserve">es el establecimiento de </w:t>
      </w:r>
      <w:r>
        <w:rPr>
          <w:rFonts w:ascii="Arial" w:eastAsia="Times New Roman" w:hAnsi="Arial" w:cs="Arial"/>
          <w:color w:val="202124"/>
          <w:shd w:val="clear" w:color="auto" w:fill="FFFFFF"/>
          <w:lang w:eastAsia="es-ES_tradnl"/>
        </w:rPr>
        <w:t>acuerdos entre las comunidades “dueñas</w:t>
      </w:r>
      <w:r w:rsidR="00C92304">
        <w:rPr>
          <w:rFonts w:ascii="Arial" w:eastAsia="Times New Roman" w:hAnsi="Arial" w:cs="Arial"/>
          <w:color w:val="202124"/>
          <w:shd w:val="clear" w:color="auto" w:fill="FFFFFF"/>
          <w:lang w:eastAsia="es-ES_tradnl"/>
        </w:rPr>
        <w:t xml:space="preserve"> y protectoras”</w:t>
      </w:r>
      <w:r>
        <w:rPr>
          <w:rFonts w:ascii="Arial" w:eastAsia="Times New Roman" w:hAnsi="Arial" w:cs="Arial"/>
          <w:color w:val="202124"/>
          <w:shd w:val="clear" w:color="auto" w:fill="FFFFFF"/>
          <w:lang w:eastAsia="es-ES_tradnl"/>
        </w:rPr>
        <w:t xml:space="preserve"> de las fuentes de agua con las entidades distribuidoras de las mismas. Pueden enmarcarse en una versión ajustada a los “pagos por servicios ambientales”, puesto que se tratan de acuerdos que buscan no sólo proteger las cuencas hidrográficas, sino tambien honrar el derecho al territorio de las respectivas comunidades.</w:t>
      </w:r>
    </w:p>
    <w:p w14:paraId="7418FDAC" w14:textId="77777777" w:rsidR="001E6B1B" w:rsidRDefault="001E6B1B" w:rsidP="00C666BE">
      <w:pPr>
        <w:jc w:val="both"/>
      </w:pPr>
    </w:p>
    <w:p w14:paraId="0D1F0505" w14:textId="1FB25003" w:rsidR="00C666BE" w:rsidRPr="00C666BE" w:rsidRDefault="00875A74" w:rsidP="00C666BE">
      <w:pPr>
        <w:jc w:val="both"/>
      </w:pPr>
      <w:r>
        <w:t xml:space="preserve"> </w:t>
      </w:r>
    </w:p>
    <w:sectPr w:rsidR="00C666BE" w:rsidRPr="00C666B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EA36A" w14:textId="77777777" w:rsidR="00E208FB" w:rsidRDefault="00E208FB" w:rsidP="00517415">
      <w:pPr>
        <w:spacing w:after="0" w:line="240" w:lineRule="auto"/>
      </w:pPr>
      <w:r>
        <w:separator/>
      </w:r>
    </w:p>
  </w:endnote>
  <w:endnote w:type="continuationSeparator" w:id="0">
    <w:p w14:paraId="240515EB" w14:textId="77777777" w:rsidR="00E208FB" w:rsidRDefault="00E208FB" w:rsidP="00517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Antiqua">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D12A1" w14:textId="77777777" w:rsidR="00E208FB" w:rsidRDefault="00E208FB" w:rsidP="00517415">
      <w:pPr>
        <w:spacing w:after="0" w:line="240" w:lineRule="auto"/>
      </w:pPr>
      <w:r>
        <w:separator/>
      </w:r>
    </w:p>
  </w:footnote>
  <w:footnote w:type="continuationSeparator" w:id="0">
    <w:p w14:paraId="4F87B96A" w14:textId="77777777" w:rsidR="00E208FB" w:rsidRDefault="00E208FB" w:rsidP="00517415">
      <w:pPr>
        <w:spacing w:after="0" w:line="240" w:lineRule="auto"/>
      </w:pPr>
      <w:r>
        <w:continuationSeparator/>
      </w:r>
    </w:p>
  </w:footnote>
  <w:footnote w:id="1">
    <w:p w14:paraId="2DD5D196" w14:textId="1FBD6B03" w:rsidR="00517415" w:rsidRPr="00C666BE" w:rsidRDefault="00517415" w:rsidP="00517415">
      <w:pPr>
        <w:pStyle w:val="FootnoteText"/>
        <w:rPr>
          <w:sz w:val="16"/>
          <w:szCs w:val="16"/>
        </w:rPr>
      </w:pPr>
      <w:r w:rsidRPr="00C666BE">
        <w:rPr>
          <w:rStyle w:val="FootnoteReference"/>
          <w:sz w:val="16"/>
          <w:szCs w:val="16"/>
        </w:rPr>
        <w:footnoteRef/>
      </w:r>
      <w:r w:rsidRPr="00C666BE">
        <w:rPr>
          <w:sz w:val="16"/>
          <w:szCs w:val="16"/>
        </w:rPr>
        <w:t xml:space="preserve"> COMITÉ DE DERECHOS ECONÓMICOS, SOCIALES Y CULTURALES 29º período de sesiones, Ginebra, 11 a 29 de noviembre de 2002, Observación general N.º 15, El derecho al agua (artículos 11 y 12 del Pacto Internacional de Derechos Económicos, Sociales y Culturales)</w:t>
      </w:r>
    </w:p>
  </w:footnote>
  <w:footnote w:id="2">
    <w:p w14:paraId="1D67FC2A" w14:textId="77777777" w:rsidR="00AE46BA" w:rsidRPr="00C666BE" w:rsidRDefault="00AE46BA" w:rsidP="00AE46BA">
      <w:pPr>
        <w:autoSpaceDE w:val="0"/>
        <w:autoSpaceDN w:val="0"/>
        <w:adjustRightInd w:val="0"/>
        <w:spacing w:after="0" w:line="240" w:lineRule="auto"/>
        <w:rPr>
          <w:rFonts w:ascii="Times New Roman" w:hAnsi="Times New Roman" w:cs="Times New Roman"/>
          <w:sz w:val="16"/>
          <w:szCs w:val="16"/>
        </w:rPr>
      </w:pPr>
      <w:r w:rsidRPr="00C666BE">
        <w:rPr>
          <w:rStyle w:val="FootnoteReference"/>
          <w:sz w:val="16"/>
          <w:szCs w:val="16"/>
        </w:rPr>
        <w:footnoteRef/>
      </w:r>
      <w:r w:rsidRPr="00C666BE">
        <w:rPr>
          <w:sz w:val="16"/>
          <w:szCs w:val="16"/>
        </w:rPr>
        <w:t xml:space="preserve"> </w:t>
      </w:r>
      <w:r w:rsidRPr="00C666BE">
        <w:rPr>
          <w:rFonts w:ascii="Times New Roman" w:hAnsi="Times New Roman" w:cs="Times New Roman"/>
          <w:sz w:val="16"/>
          <w:szCs w:val="16"/>
        </w:rPr>
        <w:t>CIDH, Comunidades Indígenas Maya en el Distrito de Toledo v. Belice, caso</w:t>
      </w:r>
    </w:p>
    <w:p w14:paraId="2A61F4E4" w14:textId="2B610921" w:rsidR="00AE46BA" w:rsidRPr="00C666BE" w:rsidRDefault="00AE46BA" w:rsidP="00AE46BA">
      <w:pPr>
        <w:pStyle w:val="FootnoteText"/>
        <w:rPr>
          <w:sz w:val="16"/>
          <w:szCs w:val="16"/>
        </w:rPr>
      </w:pPr>
      <w:r w:rsidRPr="00C666BE">
        <w:rPr>
          <w:rFonts w:ascii="Times New Roman" w:hAnsi="Times New Roman" w:cs="Times New Roman"/>
          <w:sz w:val="16"/>
          <w:szCs w:val="16"/>
        </w:rPr>
        <w:t>12.053, informe de fondo, 2004,</w:t>
      </w:r>
    </w:p>
  </w:footnote>
  <w:footnote w:id="3">
    <w:p w14:paraId="0136F623" w14:textId="468D0762" w:rsidR="00900535" w:rsidRPr="00C666BE" w:rsidRDefault="00900535">
      <w:pPr>
        <w:pStyle w:val="FootnoteText"/>
        <w:rPr>
          <w:sz w:val="16"/>
          <w:szCs w:val="16"/>
        </w:rPr>
      </w:pPr>
      <w:r w:rsidRPr="00C666BE">
        <w:rPr>
          <w:rStyle w:val="FootnoteReference"/>
          <w:sz w:val="16"/>
          <w:szCs w:val="16"/>
        </w:rPr>
        <w:footnoteRef/>
      </w:r>
      <w:r w:rsidRPr="00C666BE">
        <w:rPr>
          <w:sz w:val="16"/>
          <w:szCs w:val="16"/>
        </w:rPr>
        <w:t xml:space="preserve"> </w:t>
      </w:r>
      <w:r w:rsidRPr="00C666BE">
        <w:rPr>
          <w:rFonts w:cstheme="minorHAnsi"/>
          <w:sz w:val="16"/>
          <w:szCs w:val="16"/>
        </w:rPr>
        <w:t>Corte IDH, Caso del Pueblo Saramaka v. Surinan, Excepciones preliminares, Fondo, Reparaciones y Costas. 28 de noviembre de 2007</w:t>
      </w:r>
    </w:p>
  </w:footnote>
  <w:footnote w:id="4">
    <w:p w14:paraId="308A0D74" w14:textId="77777777" w:rsidR="00F66866" w:rsidRPr="006357C7" w:rsidRDefault="00F66866" w:rsidP="00F66866">
      <w:pPr>
        <w:widowControl w:val="0"/>
        <w:autoSpaceDE w:val="0"/>
        <w:autoSpaceDN w:val="0"/>
        <w:adjustRightInd w:val="0"/>
        <w:spacing w:after="0"/>
        <w:rPr>
          <w:rFonts w:eastAsiaTheme="minorEastAsia"/>
          <w:sz w:val="18"/>
          <w:szCs w:val="18"/>
        </w:rPr>
      </w:pPr>
      <w:r w:rsidRPr="006357C7">
        <w:rPr>
          <w:rStyle w:val="FootnoteReference"/>
          <w:sz w:val="18"/>
          <w:szCs w:val="18"/>
        </w:rPr>
        <w:footnoteRef/>
      </w:r>
      <w:r w:rsidRPr="006357C7">
        <w:rPr>
          <w:sz w:val="18"/>
          <w:szCs w:val="18"/>
        </w:rPr>
        <w:t xml:space="preserve"> Liwa también e</w:t>
      </w:r>
      <w:r w:rsidRPr="006357C7">
        <w:rPr>
          <w:rFonts w:eastAsiaTheme="minorEastAsia"/>
          <w:sz w:val="18"/>
          <w:szCs w:val="18"/>
        </w:rPr>
        <w:t xml:space="preserve">xiste también en forma masculina,  puede ser de diferente color de piel.  Generalmente se le describe como un ser mitad mujer hermosa, mitad pez. Su residencia la tiene en un inframundo acuático llamado Apalka. </w:t>
      </w:r>
    </w:p>
    <w:p w14:paraId="3B32EFE3" w14:textId="77777777" w:rsidR="00F66866" w:rsidRPr="00543737" w:rsidRDefault="00F66866" w:rsidP="00F66866">
      <w:pPr>
        <w:pStyle w:val="FootnoteText"/>
        <w:rPr>
          <w:lang w:val="en-US"/>
        </w:rPr>
      </w:pPr>
    </w:p>
  </w:footnote>
  <w:footnote w:id="5">
    <w:p w14:paraId="2C299BA7" w14:textId="77777777" w:rsidR="00F66866" w:rsidRPr="006357C7" w:rsidRDefault="00F66866" w:rsidP="00F66866">
      <w:pPr>
        <w:pStyle w:val="FootnoteText"/>
        <w:rPr>
          <w:lang w:val="es-ES_tradnl"/>
        </w:rPr>
      </w:pPr>
      <w:r w:rsidRPr="006357C7">
        <w:rPr>
          <w:rStyle w:val="FootnoteReference"/>
          <w:lang w:val="es-ES_tradnl"/>
        </w:rPr>
        <w:footnoteRef/>
      </w:r>
      <w:r w:rsidRPr="006357C7">
        <w:rPr>
          <w:lang w:val="es-ES_tradnl"/>
        </w:rPr>
        <w:t xml:space="preserve"> Coleman, L. Mujeres indígenas, bosques y cambio </w:t>
      </w:r>
      <w:proofErr w:type="gramStart"/>
      <w:r w:rsidRPr="006357C7">
        <w:rPr>
          <w:lang w:val="es-ES_tradnl"/>
        </w:rPr>
        <w:t>climático  CADPI</w:t>
      </w:r>
      <w:proofErr w:type="gramEnd"/>
      <w:r w:rsidRPr="006357C7">
        <w:rPr>
          <w:lang w:val="es-ES_tradnl"/>
        </w:rPr>
        <w:t xml:space="preserve">. 2011. </w:t>
      </w:r>
    </w:p>
  </w:footnote>
  <w:footnote w:id="6">
    <w:p w14:paraId="53451462" w14:textId="77777777" w:rsidR="00F66866" w:rsidRPr="006357C7" w:rsidRDefault="00F66866" w:rsidP="00F66866">
      <w:pPr>
        <w:pStyle w:val="FootnoteText"/>
        <w:rPr>
          <w:lang w:val="es-ES_tradnl"/>
        </w:rPr>
      </w:pPr>
      <w:r w:rsidRPr="006357C7">
        <w:rPr>
          <w:rStyle w:val="FootnoteReference"/>
          <w:lang w:val="es-ES_tradnl"/>
        </w:rPr>
        <w:footnoteRef/>
      </w:r>
      <w:r w:rsidRPr="006357C7">
        <w:rPr>
          <w:lang w:val="es-ES_tradnl"/>
        </w:rPr>
        <w:t xml:space="preserve"> CADPI. 2011. </w:t>
      </w:r>
    </w:p>
  </w:footnote>
  <w:footnote w:id="7">
    <w:p w14:paraId="4A15D41E" w14:textId="77777777" w:rsidR="00F66866" w:rsidRPr="008C5ECE" w:rsidRDefault="00F66866" w:rsidP="00F66866">
      <w:pPr>
        <w:pStyle w:val="FootnoteText"/>
        <w:rPr>
          <w:lang w:val="en-US"/>
        </w:rPr>
      </w:pPr>
      <w:r>
        <w:rPr>
          <w:rStyle w:val="FootnoteReference"/>
        </w:rPr>
        <w:footnoteRef/>
      </w:r>
      <w:r>
        <w:t xml:space="preserve"> Garcia, 2014. </w:t>
      </w:r>
    </w:p>
  </w:footnote>
  <w:footnote w:id="8">
    <w:p w14:paraId="42776009" w14:textId="77777777" w:rsidR="00F66866" w:rsidRPr="002F3A48" w:rsidRDefault="00F66866" w:rsidP="00F66866">
      <w:pPr>
        <w:pStyle w:val="FootnoteText"/>
        <w:rPr>
          <w:lang w:val="en-US"/>
        </w:rPr>
      </w:pPr>
      <w:r>
        <w:rPr>
          <w:rStyle w:val="FootnoteReference"/>
        </w:rPr>
        <w:footnoteRef/>
      </w:r>
      <w:r>
        <w:t xml:space="preserve"> </w:t>
      </w:r>
      <w:r>
        <w:rPr>
          <w:lang w:val="en-US"/>
        </w:rPr>
        <w:t>Garcia, 2014.</w:t>
      </w:r>
    </w:p>
  </w:footnote>
  <w:footnote w:id="9">
    <w:p w14:paraId="3F11AD9B" w14:textId="6AAC6D4E" w:rsidR="008A2A74" w:rsidRPr="008A2A74" w:rsidRDefault="008A2A74">
      <w:pPr>
        <w:pStyle w:val="FootnoteText"/>
        <w:rPr>
          <w:lang w:val="es-ES"/>
        </w:rPr>
      </w:pPr>
      <w:r>
        <w:rPr>
          <w:rStyle w:val="FootnoteReference"/>
        </w:rPr>
        <w:footnoteRef/>
      </w:r>
      <w:r>
        <w:t xml:space="preserve"> GRA. RACCN. </w:t>
      </w:r>
      <w:proofErr w:type="spellStart"/>
      <w:r>
        <w:rPr>
          <w:lang w:val="en-US"/>
        </w:rPr>
        <w:t>Estrategia</w:t>
      </w:r>
      <w:proofErr w:type="spellEnd"/>
      <w:r>
        <w:rPr>
          <w:lang w:val="en-US"/>
        </w:rPr>
        <w:t xml:space="preserve"> de </w:t>
      </w:r>
      <w:proofErr w:type="spellStart"/>
      <w:r>
        <w:rPr>
          <w:lang w:val="en-US"/>
        </w:rPr>
        <w:t>desarrollo</w:t>
      </w:r>
      <w:proofErr w:type="spellEnd"/>
      <w:r>
        <w:rPr>
          <w:lang w:val="en-US"/>
        </w:rPr>
        <w:t xml:space="preserve"> 2016- 2020.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3759E"/>
    <w:multiLevelType w:val="hybridMultilevel"/>
    <w:tmpl w:val="4050C002"/>
    <w:lvl w:ilvl="0" w:tplc="BF327EB4">
      <w:start w:val="2"/>
      <w:numFmt w:val="bullet"/>
      <w:lvlText w:val="-"/>
      <w:lvlJc w:val="left"/>
      <w:pPr>
        <w:ind w:left="720" w:hanging="360"/>
      </w:pPr>
      <w:rPr>
        <w:rFonts w:ascii="Times New Roman" w:eastAsiaTheme="minorHAnsi" w:hAnsi="Times New Roman" w:cs="Times New Roman"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 w15:restartNumberingAfterBreak="0">
    <w:nsid w:val="6FAC7295"/>
    <w:multiLevelType w:val="hybridMultilevel"/>
    <w:tmpl w:val="F1AAB456"/>
    <w:lvl w:ilvl="0" w:tplc="23527AC2">
      <w:start w:val="4"/>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7CBE4DE5"/>
    <w:multiLevelType w:val="multilevel"/>
    <w:tmpl w:val="1A5A4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DA0NDIxNrYwNDE0srRU0lEKTi0uzszPAykwrAUA4pAu/ywAAAA="/>
  </w:docVars>
  <w:rsids>
    <w:rsidRoot w:val="00754AC5"/>
    <w:rsid w:val="00052507"/>
    <w:rsid w:val="001E6B1B"/>
    <w:rsid w:val="002B24AC"/>
    <w:rsid w:val="002C23A7"/>
    <w:rsid w:val="002D01E3"/>
    <w:rsid w:val="00452192"/>
    <w:rsid w:val="00517415"/>
    <w:rsid w:val="00583252"/>
    <w:rsid w:val="00723834"/>
    <w:rsid w:val="00754AC5"/>
    <w:rsid w:val="007E575F"/>
    <w:rsid w:val="008054A5"/>
    <w:rsid w:val="008202C2"/>
    <w:rsid w:val="00841AE4"/>
    <w:rsid w:val="008568B5"/>
    <w:rsid w:val="00862D94"/>
    <w:rsid w:val="008632F7"/>
    <w:rsid w:val="00875A74"/>
    <w:rsid w:val="00883DF6"/>
    <w:rsid w:val="008A2A74"/>
    <w:rsid w:val="00900535"/>
    <w:rsid w:val="00961E5B"/>
    <w:rsid w:val="009764F1"/>
    <w:rsid w:val="00A14DFA"/>
    <w:rsid w:val="00A84819"/>
    <w:rsid w:val="00AB7BC3"/>
    <w:rsid w:val="00AE46BA"/>
    <w:rsid w:val="00B432D2"/>
    <w:rsid w:val="00BA5C4C"/>
    <w:rsid w:val="00BF766D"/>
    <w:rsid w:val="00C666BE"/>
    <w:rsid w:val="00C71830"/>
    <w:rsid w:val="00C92304"/>
    <w:rsid w:val="00D30A84"/>
    <w:rsid w:val="00D541CD"/>
    <w:rsid w:val="00DF3D48"/>
    <w:rsid w:val="00E208FB"/>
    <w:rsid w:val="00EC68D2"/>
    <w:rsid w:val="00EE507B"/>
    <w:rsid w:val="00F402ED"/>
    <w:rsid w:val="00F668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A1C3D"/>
  <w15:chartTrackingRefBased/>
  <w15:docId w15:val="{8C65B816-25C2-4BB9-9515-2BE440AF6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10 pt Car,+ 10 pt,Nota a pie/Bibliog,Texto nota pie 2, Car,Nota a pie/Bibliog Car Car,Texto nota pie Car Car Car Car,Texto nota pie1, Char2"/>
    <w:basedOn w:val="Normal"/>
    <w:link w:val="FootnoteTextChar"/>
    <w:uiPriority w:val="99"/>
    <w:unhideWhenUsed/>
    <w:rsid w:val="00517415"/>
    <w:pPr>
      <w:spacing w:after="0" w:line="240" w:lineRule="auto"/>
    </w:pPr>
    <w:rPr>
      <w:sz w:val="20"/>
      <w:szCs w:val="20"/>
    </w:rPr>
  </w:style>
  <w:style w:type="character" w:customStyle="1" w:styleId="FootnoteTextChar">
    <w:name w:val="Footnote Text Char"/>
    <w:aliases w:val="+ 10 pt Car Char,+ 10 pt Char,Nota a pie/Bibliog Char,Texto nota pie 2 Char, Car Char,Nota a pie/Bibliog Car Car Char,Texto nota pie Car Car Car Car Char,Texto nota pie1 Char, Char2 Char"/>
    <w:basedOn w:val="DefaultParagraphFont"/>
    <w:link w:val="FootnoteText"/>
    <w:uiPriority w:val="99"/>
    <w:rsid w:val="00517415"/>
    <w:rPr>
      <w:sz w:val="20"/>
      <w:szCs w:val="20"/>
    </w:rPr>
  </w:style>
  <w:style w:type="character" w:styleId="FootnoteReference">
    <w:name w:val="footnote reference"/>
    <w:aliases w:val="ftref,Ref. de nota al pie."/>
    <w:basedOn w:val="DefaultParagraphFont"/>
    <w:uiPriority w:val="99"/>
    <w:unhideWhenUsed/>
    <w:rsid w:val="00517415"/>
    <w:rPr>
      <w:vertAlign w:val="superscript"/>
    </w:rPr>
  </w:style>
  <w:style w:type="paragraph" w:styleId="NormalWeb">
    <w:name w:val="Normal (Web)"/>
    <w:basedOn w:val="Normal"/>
    <w:uiPriority w:val="99"/>
    <w:unhideWhenUsed/>
    <w:rsid w:val="00EE507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yperlink">
    <w:name w:val="Hyperlink"/>
    <w:basedOn w:val="DefaultParagraphFont"/>
    <w:uiPriority w:val="99"/>
    <w:unhideWhenUsed/>
    <w:rsid w:val="00883DF6"/>
    <w:rPr>
      <w:color w:val="0563C1" w:themeColor="hyperlink"/>
      <w:u w:val="single"/>
    </w:rPr>
  </w:style>
  <w:style w:type="character" w:styleId="Strong">
    <w:name w:val="Strong"/>
    <w:basedOn w:val="DefaultParagraphFont"/>
    <w:uiPriority w:val="22"/>
    <w:qFormat/>
    <w:rsid w:val="00883DF6"/>
    <w:rPr>
      <w:b/>
      <w:bCs/>
    </w:rPr>
  </w:style>
  <w:style w:type="paragraph" w:styleId="Header">
    <w:name w:val="header"/>
    <w:basedOn w:val="Normal"/>
    <w:link w:val="HeaderChar"/>
    <w:uiPriority w:val="99"/>
    <w:unhideWhenUsed/>
    <w:rsid w:val="00C666BE"/>
    <w:pPr>
      <w:tabs>
        <w:tab w:val="center" w:pos="4419"/>
        <w:tab w:val="right" w:pos="8838"/>
      </w:tabs>
      <w:spacing w:after="0" w:line="240" w:lineRule="auto"/>
    </w:pPr>
  </w:style>
  <w:style w:type="character" w:customStyle="1" w:styleId="HeaderChar">
    <w:name w:val="Header Char"/>
    <w:basedOn w:val="DefaultParagraphFont"/>
    <w:link w:val="Header"/>
    <w:uiPriority w:val="99"/>
    <w:rsid w:val="00C666BE"/>
  </w:style>
  <w:style w:type="paragraph" w:styleId="Footer">
    <w:name w:val="footer"/>
    <w:basedOn w:val="Normal"/>
    <w:link w:val="FooterChar"/>
    <w:uiPriority w:val="99"/>
    <w:unhideWhenUsed/>
    <w:rsid w:val="00C666BE"/>
    <w:pPr>
      <w:tabs>
        <w:tab w:val="center" w:pos="4419"/>
        <w:tab w:val="right" w:pos="8838"/>
      </w:tabs>
      <w:spacing w:after="0" w:line="240" w:lineRule="auto"/>
    </w:pPr>
  </w:style>
  <w:style w:type="character" w:customStyle="1" w:styleId="FooterChar">
    <w:name w:val="Footer Char"/>
    <w:basedOn w:val="DefaultParagraphFont"/>
    <w:link w:val="Footer"/>
    <w:uiPriority w:val="99"/>
    <w:rsid w:val="00C666BE"/>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
    <w:basedOn w:val="Normal"/>
    <w:link w:val="ListParagraphChar"/>
    <w:uiPriority w:val="34"/>
    <w:qFormat/>
    <w:rsid w:val="001E6B1B"/>
    <w:pPr>
      <w:ind w:left="720"/>
      <w:contextualSpacing/>
    </w:pPr>
    <w:rPr>
      <w:noProof/>
      <w:lang w:val="en-US"/>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1E6B1B"/>
    <w:rPr>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55207">
      <w:bodyDiv w:val="1"/>
      <w:marLeft w:val="0"/>
      <w:marRight w:val="0"/>
      <w:marTop w:val="0"/>
      <w:marBottom w:val="0"/>
      <w:divBdr>
        <w:top w:val="none" w:sz="0" w:space="0" w:color="auto"/>
        <w:left w:val="none" w:sz="0" w:space="0" w:color="auto"/>
        <w:bottom w:val="none" w:sz="0" w:space="0" w:color="auto"/>
        <w:right w:val="none" w:sz="0" w:space="0" w:color="auto"/>
      </w:divBdr>
      <w:divsChild>
        <w:div w:id="2110810156">
          <w:marLeft w:val="0"/>
          <w:marRight w:val="0"/>
          <w:marTop w:val="0"/>
          <w:marBottom w:val="0"/>
          <w:divBdr>
            <w:top w:val="none" w:sz="0" w:space="0" w:color="auto"/>
            <w:left w:val="none" w:sz="0" w:space="0" w:color="auto"/>
            <w:bottom w:val="none" w:sz="0" w:space="0" w:color="auto"/>
            <w:right w:val="none" w:sz="0" w:space="0" w:color="auto"/>
          </w:divBdr>
          <w:divsChild>
            <w:div w:id="280185908">
              <w:marLeft w:val="0"/>
              <w:marRight w:val="0"/>
              <w:marTop w:val="0"/>
              <w:marBottom w:val="0"/>
              <w:divBdr>
                <w:top w:val="none" w:sz="0" w:space="0" w:color="auto"/>
                <w:left w:val="none" w:sz="0" w:space="0" w:color="auto"/>
                <w:bottom w:val="none" w:sz="0" w:space="0" w:color="auto"/>
                <w:right w:val="none" w:sz="0" w:space="0" w:color="auto"/>
              </w:divBdr>
              <w:divsChild>
                <w:div w:id="130974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DE5D3400-9057-4F47-AD86-A314CF963813}">
  <ds:schemaRefs>
    <ds:schemaRef ds:uri="http://schemas.openxmlformats.org/officeDocument/2006/bibliography"/>
  </ds:schemaRefs>
</ds:datastoreItem>
</file>

<file path=customXml/itemProps2.xml><?xml version="1.0" encoding="utf-8"?>
<ds:datastoreItem xmlns:ds="http://schemas.openxmlformats.org/officeDocument/2006/customXml" ds:itemID="{B634119E-1370-4E4A-9F7F-1068B06F48EE}"/>
</file>

<file path=customXml/itemProps3.xml><?xml version="1.0" encoding="utf-8"?>
<ds:datastoreItem xmlns:ds="http://schemas.openxmlformats.org/officeDocument/2006/customXml" ds:itemID="{4BFCE789-6CB9-4A7A-9C88-903130530EB2}"/>
</file>

<file path=customXml/itemProps4.xml><?xml version="1.0" encoding="utf-8"?>
<ds:datastoreItem xmlns:ds="http://schemas.openxmlformats.org/officeDocument/2006/customXml" ds:itemID="{766DB1A3-5CBF-48F0-8DCC-607298EBEED7}"/>
</file>

<file path=docProps/app.xml><?xml version="1.0" encoding="utf-8"?>
<Properties xmlns="http://schemas.openxmlformats.org/officeDocument/2006/extended-properties" xmlns:vt="http://schemas.openxmlformats.org/officeDocument/2006/docPropsVTypes">
  <Template>Normal.dotm</Template>
  <TotalTime>0</TotalTime>
  <Pages>7</Pages>
  <Words>2732</Words>
  <Characters>15577</Characters>
  <Application>Microsoft Office Word</Application>
  <DocSecurity>4</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Changala</dc:creator>
  <cp:keywords/>
  <dc:description/>
  <cp:lastModifiedBy>Maria Jose Acosta Lazo</cp:lastModifiedBy>
  <cp:revision>2</cp:revision>
  <dcterms:created xsi:type="dcterms:W3CDTF">2022-05-27T08:07:00Z</dcterms:created>
  <dcterms:modified xsi:type="dcterms:W3CDTF">2022-05-27T08:07:00Z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