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C74565" w:rsidRPr="005F2164" w14:paraId="68F0643F" w14:textId="77777777" w:rsidTr="00FA788C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23867BC" w14:textId="77777777" w:rsidR="00C74565" w:rsidRPr="005F2164" w:rsidRDefault="00C74565" w:rsidP="00FA78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2164">
              <w:rPr>
                <w:rFonts w:cs="Times New Roman"/>
              </w:rPr>
              <w:br w:type="page"/>
            </w:r>
            <w:r w:rsidRPr="005F2164">
              <w:rPr>
                <w:rFonts w:cs="Times New Roman"/>
              </w:rPr>
              <w:br w:type="page"/>
            </w:r>
            <w:r w:rsidRPr="005F2164">
              <w:rPr>
                <w:rFonts w:cs="Times New Roman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01C4DDB" wp14:editId="08E3B629">
                  <wp:extent cx="600075" cy="6762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565" w:rsidRPr="005F2164" w14:paraId="67D5E668" w14:textId="77777777" w:rsidTr="00FA788C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942B3A1" w14:textId="77777777" w:rsidR="00C74565" w:rsidRPr="005F2164" w:rsidRDefault="00C74565" w:rsidP="00FA78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F216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3EF21329" w14:textId="09EF8E98" w:rsidR="00C74565" w:rsidRPr="005F2164" w:rsidRDefault="00C74565" w:rsidP="009F18D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F216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14:paraId="463E0B13" w14:textId="77777777" w:rsidR="009F18D1" w:rsidRDefault="009F18D1" w:rsidP="00C74565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F50DCF" w14:textId="2C558E14" w:rsidR="00C74565" w:rsidRPr="005F2164" w:rsidRDefault="00C74565" w:rsidP="00C74565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164">
        <w:rPr>
          <w:rFonts w:ascii="Arial" w:eastAsia="Times New Roman" w:hAnsi="Arial" w:cs="Arial"/>
          <w:b/>
          <w:bCs/>
          <w:sz w:val="24"/>
          <w:szCs w:val="24"/>
        </w:rPr>
        <w:t xml:space="preserve">Nota No.: </w:t>
      </w:r>
      <w:r w:rsidR="007255D5">
        <w:rPr>
          <w:rFonts w:ascii="Arial" w:eastAsia="Times New Roman" w:hAnsi="Arial" w:cs="Arial"/>
          <w:b/>
          <w:bCs/>
          <w:sz w:val="24"/>
          <w:szCs w:val="24"/>
        </w:rPr>
        <w:t>105</w:t>
      </w:r>
      <w:r w:rsidRPr="005F2164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DA4805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553BB809" w14:textId="77777777" w:rsidR="009F18D1" w:rsidRPr="009F18D1" w:rsidRDefault="009F18D1" w:rsidP="00D41066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14"/>
          <w:szCs w:val="24"/>
          <w:lang w:val="es-ES_tradnl"/>
        </w:rPr>
      </w:pPr>
    </w:p>
    <w:p w14:paraId="498D0A97" w14:textId="4F112590" w:rsidR="00D41066" w:rsidRDefault="00C74565" w:rsidP="00D41066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 w:rsidRPr="005F2164">
        <w:rPr>
          <w:rFonts w:ascii="Arial" w:eastAsia="Times New Roman" w:hAnsi="Arial" w:cs="Arial"/>
          <w:sz w:val="24"/>
          <w:szCs w:val="24"/>
          <w:lang w:val="es-ES_tradnl"/>
        </w:rPr>
        <w:t xml:space="preserve">La Misión Permanente de Cuba ante la Oficina de las Naciones Unidas en Ginebra y los Organismos Internacionales en Suiza saluda atentamente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a la </w:t>
      </w:r>
      <w:r w:rsidR="001E0AD5">
        <w:rPr>
          <w:rFonts w:ascii="Arial" w:eastAsia="Times New Roman" w:hAnsi="Arial" w:cs="Arial"/>
          <w:sz w:val="24"/>
          <w:szCs w:val="24"/>
          <w:lang w:val="es-ES_tradnl"/>
        </w:rPr>
        <w:t xml:space="preserve">Oficina de la </w:t>
      </w:r>
      <w:r w:rsidRPr="0024292B">
        <w:rPr>
          <w:rFonts w:ascii="Arial" w:eastAsia="Times New Roman" w:hAnsi="Arial" w:cs="Arial"/>
          <w:sz w:val="24"/>
          <w:szCs w:val="24"/>
          <w:lang w:val="es-ES_tradnl"/>
        </w:rPr>
        <w:t xml:space="preserve">Alta Comisionada para los Derechos Humanos </w:t>
      </w:r>
      <w:r w:rsidRPr="005F2164">
        <w:rPr>
          <w:rFonts w:ascii="Arial" w:eastAsia="Times New Roman" w:hAnsi="Arial" w:cs="Arial"/>
          <w:sz w:val="24"/>
          <w:szCs w:val="24"/>
          <w:lang w:val="es-ES_tradnl"/>
        </w:rPr>
        <w:t xml:space="preserve">y tiene el honor de referirse </w:t>
      </w:r>
      <w:r>
        <w:rPr>
          <w:rFonts w:ascii="Arial" w:eastAsia="Times New Roman" w:hAnsi="Arial" w:cs="Arial"/>
          <w:sz w:val="24"/>
          <w:szCs w:val="24"/>
          <w:lang w:val="es-ES_tradnl"/>
        </w:rPr>
        <w:t>a la</w:t>
      </w:r>
      <w:r w:rsidR="00F54D40">
        <w:rPr>
          <w:rFonts w:ascii="Arial" w:eastAsia="Times New Roman" w:hAnsi="Arial" w:cs="Arial"/>
          <w:sz w:val="24"/>
          <w:szCs w:val="24"/>
          <w:lang w:val="es-ES_tradnl"/>
        </w:rPr>
        <w:t xml:space="preserve"> Nota: </w:t>
      </w:r>
      <w:r w:rsidR="00F54D40" w:rsidRPr="00F54D40">
        <w:rPr>
          <w:rFonts w:ascii="Arial" w:eastAsia="Times New Roman" w:hAnsi="Arial" w:cs="Arial"/>
          <w:sz w:val="24"/>
          <w:szCs w:val="24"/>
          <w:lang w:val="es-ES_tradnl"/>
        </w:rPr>
        <w:t>TESPRDD/DESIB/ESCR/RH</w:t>
      </w:r>
      <w:r w:rsidR="00F54D40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Pr="005F2164">
        <w:rPr>
          <w:rFonts w:ascii="Arial" w:eastAsia="Times New Roman" w:hAnsi="Arial" w:cs="Arial"/>
          <w:sz w:val="24"/>
          <w:szCs w:val="24"/>
          <w:lang w:val="es-ES_tradnl"/>
        </w:rPr>
        <w:t xml:space="preserve">con fecha </w:t>
      </w:r>
      <w:r w:rsidR="00F54D40">
        <w:rPr>
          <w:rFonts w:ascii="Arial" w:eastAsia="Times New Roman" w:hAnsi="Arial" w:cs="Arial"/>
          <w:sz w:val="24"/>
          <w:szCs w:val="24"/>
          <w:lang w:val="es-ES_tradnl"/>
        </w:rPr>
        <w:t>20 de diciembre</w:t>
      </w:r>
      <w:r w:rsidRPr="005F2164">
        <w:rPr>
          <w:rFonts w:ascii="Arial" w:eastAsia="Times New Roman" w:hAnsi="Arial" w:cs="Arial"/>
          <w:sz w:val="24"/>
          <w:szCs w:val="24"/>
          <w:lang w:val="es-ES_tradnl"/>
        </w:rPr>
        <w:t xml:space="preserve"> de 2021, sobre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la implementación de la </w:t>
      </w:r>
      <w:r w:rsidRPr="00FA1010">
        <w:rPr>
          <w:rFonts w:ascii="Arial" w:eastAsia="Times New Roman" w:hAnsi="Arial" w:cs="Arial"/>
          <w:sz w:val="24"/>
          <w:szCs w:val="24"/>
          <w:lang w:val="es-ES_tradnl"/>
        </w:rPr>
        <w:t xml:space="preserve">resolución </w:t>
      </w:r>
      <w:r w:rsidR="00F54D40" w:rsidRPr="00F54D40">
        <w:rPr>
          <w:rFonts w:ascii="Arial" w:eastAsia="Times New Roman" w:hAnsi="Arial" w:cs="Arial"/>
          <w:sz w:val="24"/>
          <w:szCs w:val="24"/>
        </w:rPr>
        <w:t>47/17 del Consejo de Derechos Humanos</w:t>
      </w:r>
      <w:r w:rsidR="00F54D40">
        <w:rPr>
          <w:rFonts w:ascii="Arial" w:eastAsia="Times New Roman" w:hAnsi="Arial" w:cs="Arial"/>
          <w:sz w:val="24"/>
          <w:szCs w:val="24"/>
        </w:rPr>
        <w:t xml:space="preserve"> </w:t>
      </w:r>
      <w:r w:rsidRPr="00FA1010">
        <w:rPr>
          <w:rFonts w:ascii="Arial" w:eastAsia="Times New Roman" w:hAnsi="Arial" w:cs="Arial"/>
          <w:sz w:val="24"/>
          <w:szCs w:val="24"/>
          <w:lang w:val="es-ES_tradnl"/>
        </w:rPr>
        <w:t xml:space="preserve">titulada </w:t>
      </w:r>
      <w:r w:rsidR="00F54D40" w:rsidRPr="00F54D40">
        <w:rPr>
          <w:rFonts w:ascii="Arial" w:eastAsia="Times New Roman" w:hAnsi="Arial" w:cs="Arial"/>
          <w:sz w:val="24"/>
          <w:szCs w:val="24"/>
        </w:rPr>
        <w:t>“Los derechos humanos en el contexto del</w:t>
      </w:r>
      <w:r w:rsidR="001E0AD5">
        <w:rPr>
          <w:rFonts w:ascii="Arial" w:eastAsia="Times New Roman" w:hAnsi="Arial" w:cs="Arial"/>
          <w:sz w:val="24"/>
          <w:szCs w:val="24"/>
        </w:rPr>
        <w:t xml:space="preserve"> </w:t>
      </w:r>
      <w:r w:rsidR="00F54D40" w:rsidRPr="00F54D40">
        <w:rPr>
          <w:rFonts w:ascii="Arial" w:eastAsia="Times New Roman" w:hAnsi="Arial" w:cs="Arial"/>
          <w:sz w:val="24"/>
          <w:szCs w:val="24"/>
        </w:rPr>
        <w:t xml:space="preserve">VIH y el </w:t>
      </w:r>
      <w:r w:rsidR="00D91896">
        <w:rPr>
          <w:rFonts w:ascii="Arial" w:eastAsia="Times New Roman" w:hAnsi="Arial" w:cs="Arial"/>
          <w:sz w:val="24"/>
          <w:szCs w:val="24"/>
        </w:rPr>
        <w:t>SIDA</w:t>
      </w:r>
      <w:r w:rsidR="00F54D40" w:rsidRPr="00F54D40">
        <w:rPr>
          <w:rFonts w:ascii="Arial" w:eastAsia="Times New Roman" w:hAnsi="Arial" w:cs="Arial"/>
          <w:sz w:val="24"/>
          <w:szCs w:val="24"/>
        </w:rPr>
        <w:t>”</w:t>
      </w:r>
      <w:r w:rsidR="002B48C8">
        <w:rPr>
          <w:rFonts w:ascii="Arial" w:eastAsia="Times New Roman" w:hAnsi="Arial" w:cs="Arial"/>
          <w:sz w:val="24"/>
          <w:szCs w:val="24"/>
        </w:rPr>
        <w:t>.</w:t>
      </w:r>
    </w:p>
    <w:p w14:paraId="78D45157" w14:textId="4F843F7D" w:rsidR="001E0AD5" w:rsidRPr="001E0AD5" w:rsidRDefault="001E0AD5" w:rsidP="001E0AD5">
      <w:pPr>
        <w:pStyle w:val="Comment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AD5">
        <w:rPr>
          <w:rFonts w:ascii="Arial" w:hAnsi="Arial" w:cs="Arial"/>
          <w:sz w:val="24"/>
          <w:szCs w:val="24"/>
        </w:rPr>
        <w:t>Al respecto, la Misión Permanente tiene a bien adjuntar comentarios sobre la información solicitada en la nota referida.</w:t>
      </w:r>
    </w:p>
    <w:p w14:paraId="20C037B0" w14:textId="6A876EA6" w:rsidR="00C74565" w:rsidRDefault="00C74565" w:rsidP="00FD3094">
      <w:pPr>
        <w:pStyle w:val="Comment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094">
        <w:rPr>
          <w:rFonts w:ascii="Arial" w:hAnsi="Arial" w:cs="Arial"/>
          <w:sz w:val="24"/>
          <w:szCs w:val="24"/>
        </w:rPr>
        <w:t>La Misión Permanente de Cuba ante la Oficina de las Naciones Unidas y las Organizaciones Internacionales en Suiza, aprovecha la ocasión para reiterar a la Oficina de</w:t>
      </w:r>
      <w:r w:rsidR="001E0AD5">
        <w:rPr>
          <w:rFonts w:ascii="Arial" w:hAnsi="Arial" w:cs="Arial"/>
          <w:sz w:val="24"/>
          <w:szCs w:val="24"/>
        </w:rPr>
        <w:t xml:space="preserve"> </w:t>
      </w:r>
      <w:r w:rsidRPr="00FD3094">
        <w:rPr>
          <w:rFonts w:ascii="Arial" w:hAnsi="Arial" w:cs="Arial"/>
          <w:sz w:val="24"/>
          <w:szCs w:val="24"/>
        </w:rPr>
        <w:t>l</w:t>
      </w:r>
      <w:r w:rsidR="001E0AD5">
        <w:rPr>
          <w:rFonts w:ascii="Arial" w:hAnsi="Arial" w:cs="Arial"/>
          <w:sz w:val="24"/>
          <w:szCs w:val="24"/>
        </w:rPr>
        <w:t>a</w:t>
      </w:r>
      <w:r w:rsidRPr="00FD3094">
        <w:rPr>
          <w:rFonts w:ascii="Arial" w:hAnsi="Arial" w:cs="Arial"/>
          <w:sz w:val="24"/>
          <w:szCs w:val="24"/>
        </w:rPr>
        <w:t xml:space="preserve"> Alt</w:t>
      </w:r>
      <w:r w:rsidR="001E0AD5">
        <w:rPr>
          <w:rFonts w:ascii="Arial" w:hAnsi="Arial" w:cs="Arial"/>
          <w:sz w:val="24"/>
          <w:szCs w:val="24"/>
        </w:rPr>
        <w:t>a</w:t>
      </w:r>
      <w:r w:rsidRPr="00FD3094">
        <w:rPr>
          <w:rFonts w:ascii="Arial" w:hAnsi="Arial" w:cs="Arial"/>
          <w:sz w:val="24"/>
          <w:szCs w:val="24"/>
        </w:rPr>
        <w:t xml:space="preserve"> Comisionad</w:t>
      </w:r>
      <w:r w:rsidR="001E0AD5">
        <w:rPr>
          <w:rFonts w:ascii="Arial" w:hAnsi="Arial" w:cs="Arial"/>
          <w:sz w:val="24"/>
          <w:szCs w:val="24"/>
        </w:rPr>
        <w:t xml:space="preserve">a </w:t>
      </w:r>
      <w:r w:rsidRPr="00FD3094">
        <w:rPr>
          <w:rFonts w:ascii="Arial" w:hAnsi="Arial" w:cs="Arial"/>
          <w:sz w:val="24"/>
          <w:szCs w:val="24"/>
        </w:rPr>
        <w:t xml:space="preserve">de las Naciones Unidas para los Derechos Humanos el testimonio de su </w:t>
      </w:r>
      <w:r w:rsidR="00E33704">
        <w:rPr>
          <w:rFonts w:ascii="Arial" w:hAnsi="Arial" w:cs="Arial"/>
          <w:sz w:val="24"/>
          <w:szCs w:val="24"/>
        </w:rPr>
        <w:t xml:space="preserve">alta </w:t>
      </w:r>
      <w:r w:rsidRPr="00FD3094">
        <w:rPr>
          <w:rFonts w:ascii="Arial" w:hAnsi="Arial" w:cs="Arial"/>
          <w:sz w:val="24"/>
          <w:szCs w:val="24"/>
        </w:rPr>
        <w:t xml:space="preserve">consideración. </w:t>
      </w:r>
    </w:p>
    <w:p w14:paraId="042B705C" w14:textId="11822482" w:rsidR="00F35F16" w:rsidRDefault="00F35F16" w:rsidP="00FD3094">
      <w:pPr>
        <w:pStyle w:val="Comment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BF53B6" w14:textId="77777777" w:rsidR="00F35F16" w:rsidRPr="00043A6F" w:rsidRDefault="00F35F16" w:rsidP="00FD3094">
      <w:pPr>
        <w:pStyle w:val="Comment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51ED4" w14:textId="2D9A8C4D" w:rsidR="001E0AD5" w:rsidRDefault="00C74565" w:rsidP="00FD3094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3094">
        <w:rPr>
          <w:rFonts w:ascii="Arial" w:hAnsi="Arial" w:cs="Arial"/>
          <w:sz w:val="24"/>
          <w:szCs w:val="24"/>
        </w:rPr>
        <w:t xml:space="preserve">Ginebra, </w:t>
      </w:r>
      <w:r w:rsidR="00E33A2B">
        <w:rPr>
          <w:rFonts w:ascii="Arial" w:hAnsi="Arial" w:cs="Arial"/>
          <w:sz w:val="24"/>
          <w:szCs w:val="24"/>
        </w:rPr>
        <w:t>3</w:t>
      </w:r>
      <w:r w:rsidR="00FD3094">
        <w:rPr>
          <w:rFonts w:ascii="Arial" w:hAnsi="Arial" w:cs="Arial"/>
          <w:sz w:val="24"/>
          <w:szCs w:val="24"/>
        </w:rPr>
        <w:t xml:space="preserve"> de marzo de 2022</w:t>
      </w:r>
    </w:p>
    <w:p w14:paraId="6DF89D40" w14:textId="77777777" w:rsidR="006074C6" w:rsidRDefault="006074C6">
      <w:pPr>
        <w:rPr>
          <w:rFonts w:ascii="Arial" w:hAnsi="Arial" w:cs="Arial"/>
          <w:sz w:val="24"/>
          <w:szCs w:val="24"/>
        </w:rPr>
      </w:pPr>
    </w:p>
    <w:p w14:paraId="51FC408F" w14:textId="77777777" w:rsidR="006074C6" w:rsidRDefault="006074C6" w:rsidP="006074C6">
      <w:pPr>
        <w:spacing w:before="240"/>
        <w:ind w:left="284" w:hanging="710"/>
        <w:rPr>
          <w:rFonts w:ascii="Arial" w:eastAsia="Arial" w:hAnsi="Arial" w:cs="Arial"/>
          <w:b/>
          <w:i/>
          <w:sz w:val="24"/>
          <w:szCs w:val="24"/>
        </w:rPr>
      </w:pPr>
    </w:p>
    <w:p w14:paraId="530D3CFE" w14:textId="77777777" w:rsidR="006074C6" w:rsidRDefault="006074C6" w:rsidP="006074C6">
      <w:pPr>
        <w:spacing w:after="0"/>
        <w:ind w:left="284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Oficina de la Alta Comisionada de las Naciones Unidas</w:t>
      </w:r>
    </w:p>
    <w:p w14:paraId="3DE9CDCA" w14:textId="77777777" w:rsidR="006074C6" w:rsidRDefault="006074C6" w:rsidP="006074C6">
      <w:pPr>
        <w:spacing w:after="0"/>
        <w:ind w:left="-426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para los Derechos Humanos</w:t>
      </w:r>
    </w:p>
    <w:p w14:paraId="4D889F57" w14:textId="77777777" w:rsidR="006074C6" w:rsidRDefault="006074C6" w:rsidP="006074C6">
      <w:pPr>
        <w:spacing w:after="0"/>
        <w:ind w:left="-426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Ginebra</w:t>
      </w:r>
    </w:p>
    <w:p w14:paraId="0D55A819" w14:textId="77777777" w:rsidR="006074C6" w:rsidRDefault="006074C6" w:rsidP="006074C6">
      <w:pPr>
        <w:ind w:firstLine="850"/>
        <w:jc w:val="center"/>
        <w:rPr>
          <w:rFonts w:ascii="Arial" w:hAnsi="Arial" w:cs="Arial"/>
          <w:b/>
          <w:sz w:val="24"/>
          <w:szCs w:val="24"/>
        </w:rPr>
      </w:pPr>
    </w:p>
    <w:p w14:paraId="7497C2B1" w14:textId="10EEEB70" w:rsidR="00C74565" w:rsidRPr="001E0AD5" w:rsidRDefault="001E0AD5" w:rsidP="001E0AD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0AD5">
        <w:rPr>
          <w:rFonts w:ascii="Arial" w:eastAsia="Times New Roman" w:hAnsi="Arial" w:cs="Arial"/>
          <w:b/>
          <w:sz w:val="24"/>
          <w:szCs w:val="24"/>
          <w:lang w:val="es-ES_tradnl"/>
        </w:rPr>
        <w:lastRenderedPageBreak/>
        <w:t xml:space="preserve">Comentarios a la nota: TESPRDD/DESIB/ESCR/RH sobre la implementación de la resolución </w:t>
      </w:r>
      <w:r w:rsidRPr="001E0AD5">
        <w:rPr>
          <w:rFonts w:ascii="Arial" w:eastAsia="Times New Roman" w:hAnsi="Arial" w:cs="Arial"/>
          <w:b/>
          <w:sz w:val="24"/>
          <w:szCs w:val="24"/>
        </w:rPr>
        <w:t xml:space="preserve">47/17 del Consejo de Derechos Humanos </w:t>
      </w:r>
      <w:r w:rsidRPr="001E0AD5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titulada </w:t>
      </w:r>
      <w:r w:rsidRPr="001E0AD5">
        <w:rPr>
          <w:rFonts w:ascii="Arial" w:eastAsia="Times New Roman" w:hAnsi="Arial" w:cs="Arial"/>
          <w:b/>
          <w:sz w:val="24"/>
          <w:szCs w:val="24"/>
        </w:rPr>
        <w:t xml:space="preserve">“Los derechos humanos en el contexto del VIH y el </w:t>
      </w:r>
      <w:r w:rsidR="00D91896">
        <w:rPr>
          <w:rFonts w:ascii="Arial" w:eastAsia="Times New Roman" w:hAnsi="Arial" w:cs="Arial"/>
          <w:b/>
          <w:sz w:val="24"/>
          <w:szCs w:val="24"/>
        </w:rPr>
        <w:t>SIDA</w:t>
      </w:r>
      <w:r w:rsidRPr="001E0AD5">
        <w:rPr>
          <w:rFonts w:ascii="Arial" w:eastAsia="Times New Roman" w:hAnsi="Arial" w:cs="Arial"/>
          <w:b/>
          <w:sz w:val="24"/>
          <w:szCs w:val="24"/>
        </w:rPr>
        <w:t>”</w:t>
      </w:r>
    </w:p>
    <w:p w14:paraId="56D99E4E" w14:textId="7F372F55" w:rsidR="001E0AD5" w:rsidRDefault="001E0AD5" w:rsidP="001E0AD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2D3">
        <w:rPr>
          <w:rFonts w:ascii="Arial" w:hAnsi="Arial" w:cs="Arial"/>
          <w:color w:val="000000"/>
          <w:sz w:val="24"/>
          <w:szCs w:val="24"/>
        </w:rPr>
        <w:t>Desde 1959</w:t>
      </w:r>
      <w:r>
        <w:rPr>
          <w:rFonts w:ascii="Arial" w:hAnsi="Arial" w:cs="Arial"/>
          <w:color w:val="000000"/>
          <w:sz w:val="24"/>
          <w:szCs w:val="24"/>
        </w:rPr>
        <w:t xml:space="preserve"> en Cuba</w:t>
      </w:r>
      <w:r w:rsidRPr="008062D3">
        <w:rPr>
          <w:rFonts w:ascii="Arial" w:hAnsi="Arial" w:cs="Arial"/>
          <w:color w:val="000000"/>
          <w:sz w:val="24"/>
          <w:szCs w:val="24"/>
        </w:rPr>
        <w:t xml:space="preserve"> se establecieron las políticas sociales, sanitarias y económicas necesarias para modificar el cuadro de salud existente, y se definieron las estrategias para el desarrollo del Sistema Nacional de Salud.</w:t>
      </w:r>
      <w:r>
        <w:rPr>
          <w:rFonts w:ascii="Arial" w:hAnsi="Arial" w:cs="Arial"/>
          <w:color w:val="000000"/>
          <w:sz w:val="24"/>
          <w:szCs w:val="24"/>
        </w:rPr>
        <w:t xml:space="preserve"> Un sistema basado en un modelo </w:t>
      </w:r>
      <w:r w:rsidRPr="00C270AC">
        <w:rPr>
          <w:rFonts w:ascii="Arial" w:hAnsi="Arial" w:cs="Arial"/>
          <w:color w:val="000000"/>
          <w:sz w:val="24"/>
          <w:szCs w:val="24"/>
        </w:rPr>
        <w:t>público y ú</w:t>
      </w:r>
      <w:r>
        <w:rPr>
          <w:rFonts w:ascii="Arial" w:hAnsi="Arial" w:cs="Arial"/>
          <w:color w:val="000000"/>
          <w:sz w:val="24"/>
          <w:szCs w:val="24"/>
        </w:rPr>
        <w:t>nico de prestación de servicios</w:t>
      </w:r>
      <w:r w:rsidRPr="00C270AC">
        <w:rPr>
          <w:rFonts w:ascii="Arial" w:hAnsi="Arial" w:cs="Arial"/>
          <w:color w:val="000000"/>
          <w:sz w:val="24"/>
          <w:szCs w:val="24"/>
        </w:rPr>
        <w:t xml:space="preserve"> gratuito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C270AC">
        <w:rPr>
          <w:rFonts w:ascii="Arial" w:hAnsi="Arial" w:cs="Arial"/>
          <w:color w:val="000000"/>
          <w:sz w:val="24"/>
          <w:szCs w:val="24"/>
        </w:rPr>
        <w:t>, que brinda atención al 100% de la población de forma integra</w:t>
      </w:r>
      <w:r>
        <w:rPr>
          <w:rFonts w:ascii="Arial" w:hAnsi="Arial" w:cs="Arial"/>
          <w:color w:val="000000"/>
          <w:sz w:val="24"/>
          <w:szCs w:val="24"/>
        </w:rPr>
        <w:t>l, en el campo y en la ciudad</w:t>
      </w:r>
      <w:r w:rsidRPr="00C270AC">
        <w:rPr>
          <w:rFonts w:ascii="Arial" w:hAnsi="Arial" w:cs="Arial"/>
          <w:color w:val="000000"/>
          <w:sz w:val="24"/>
          <w:szCs w:val="24"/>
        </w:rPr>
        <w:t>, con base en la Atención Primaria de Salud y con participaci</w:t>
      </w:r>
      <w:r>
        <w:rPr>
          <w:rFonts w:ascii="Arial" w:hAnsi="Arial" w:cs="Arial"/>
          <w:color w:val="000000"/>
          <w:sz w:val="24"/>
          <w:szCs w:val="24"/>
        </w:rPr>
        <w:t xml:space="preserve">ón comunitaria e intersectorial. </w:t>
      </w:r>
    </w:p>
    <w:p w14:paraId="759AF890" w14:textId="77777777" w:rsidR="001E0AD5" w:rsidRDefault="001E0AD5" w:rsidP="001E0AD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Cuba el derecho a la salud tiene rango constitucional y se encuentra r</w:t>
      </w:r>
      <w:r w:rsidRPr="00C270AC">
        <w:rPr>
          <w:rFonts w:ascii="Arial" w:hAnsi="Arial" w:cs="Arial"/>
          <w:color w:val="000000"/>
          <w:sz w:val="24"/>
          <w:szCs w:val="24"/>
        </w:rPr>
        <w:t>efrendado en el A</w:t>
      </w:r>
      <w:r w:rsidRPr="0015096F">
        <w:rPr>
          <w:rFonts w:ascii="Arial" w:hAnsi="Arial" w:cs="Arial"/>
          <w:color w:val="000000"/>
          <w:sz w:val="24"/>
          <w:szCs w:val="24"/>
        </w:rPr>
        <w:t xml:space="preserve">rtículo </w:t>
      </w:r>
      <w:r>
        <w:rPr>
          <w:rFonts w:ascii="Arial" w:hAnsi="Arial" w:cs="Arial"/>
          <w:color w:val="000000"/>
          <w:sz w:val="24"/>
          <w:szCs w:val="24"/>
        </w:rPr>
        <w:t>46</w:t>
      </w:r>
      <w:r w:rsidRPr="0015096F">
        <w:rPr>
          <w:rFonts w:ascii="Arial" w:hAnsi="Arial" w:cs="Arial"/>
          <w:color w:val="000000"/>
          <w:sz w:val="24"/>
          <w:szCs w:val="24"/>
        </w:rPr>
        <w:t xml:space="preserve"> de la </w:t>
      </w:r>
      <w:r>
        <w:rPr>
          <w:rFonts w:ascii="Arial" w:hAnsi="Arial" w:cs="Arial"/>
          <w:color w:val="000000"/>
          <w:sz w:val="24"/>
          <w:szCs w:val="24"/>
        </w:rPr>
        <w:t>Carta Magna: “</w:t>
      </w:r>
      <w:r w:rsidRPr="00D41066">
        <w:rPr>
          <w:rFonts w:ascii="Arial" w:hAnsi="Arial" w:cs="Arial"/>
          <w:color w:val="000000"/>
          <w:sz w:val="24"/>
          <w:szCs w:val="24"/>
        </w:rPr>
        <w:t>La salud pública es un derecho de todas las personas y es responsabilidad del Estado garantizar el acceso, la gratuidad y la calidad de los servicios de atención, protección y recuperación”</w:t>
      </w:r>
      <w:r>
        <w:rPr>
          <w:rFonts w:ascii="Arial" w:hAnsi="Arial" w:cs="Arial"/>
          <w:color w:val="000000"/>
          <w:sz w:val="24"/>
          <w:szCs w:val="24"/>
        </w:rPr>
        <w:t>, así como</w:t>
      </w:r>
      <w:r w:rsidRPr="0015096F">
        <w:rPr>
          <w:rFonts w:ascii="Arial" w:hAnsi="Arial" w:cs="Arial"/>
          <w:color w:val="000000"/>
          <w:sz w:val="24"/>
          <w:szCs w:val="24"/>
        </w:rPr>
        <w:t xml:space="preserve"> en la Ley 41 de Salud Pública</w:t>
      </w:r>
      <w:r>
        <w:rPr>
          <w:rFonts w:ascii="Arial" w:hAnsi="Arial" w:cs="Arial"/>
          <w:color w:val="000000"/>
          <w:sz w:val="24"/>
          <w:szCs w:val="24"/>
        </w:rPr>
        <w:t>, de 13 de julio de 1983</w:t>
      </w:r>
      <w:r w:rsidRPr="0015096F">
        <w:rPr>
          <w:rFonts w:ascii="Arial" w:hAnsi="Arial" w:cs="Arial"/>
          <w:color w:val="000000"/>
          <w:sz w:val="24"/>
          <w:szCs w:val="24"/>
        </w:rPr>
        <w:t>.</w:t>
      </w:r>
    </w:p>
    <w:p w14:paraId="553EB189" w14:textId="77777777" w:rsidR="001E0AD5" w:rsidRDefault="001E0AD5" w:rsidP="001E0AD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sistema cubano de salud brinda atención a todas las personas que requieran asistencia, sin discriminación por motivo de sexo, edad, raza, credo político, religioso, u orientación sexual. Es un sistema enteramente inclusivo que toma en consideración y pondera a las mujeres y las niñas en tanto pone a su alcance políticas, programas y medidas que le posibilitan ejercer de forma libre y responsable sus derechos sexuales y reproductivos. Ello se refrenda en la capacidad de elección que les asiste sobre la fecundidad y el aborto; en el libre acceso a los servicios de planificación familiar desde el nivel primario de salud; así como en la plena disposición de los servicios ginecológicos especializados que se brindan en las instituciones de salud.</w:t>
      </w:r>
    </w:p>
    <w:p w14:paraId="612DAD1C" w14:textId="77777777" w:rsidR="001E0AD5" w:rsidRPr="00D41066" w:rsidRDefault="001E0AD5" w:rsidP="001E0AD5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0E0">
        <w:rPr>
          <w:rFonts w:ascii="Arial" w:hAnsi="Arial" w:cs="Arial"/>
          <w:color w:val="000000"/>
          <w:sz w:val="24"/>
          <w:szCs w:val="24"/>
        </w:rPr>
        <w:t xml:space="preserve">Los esfuerzos gubernamentales </w:t>
      </w:r>
      <w:r>
        <w:rPr>
          <w:rFonts w:ascii="Arial" w:hAnsi="Arial" w:cs="Arial"/>
          <w:color w:val="000000"/>
          <w:sz w:val="24"/>
          <w:szCs w:val="24"/>
        </w:rPr>
        <w:t xml:space="preserve">logran que el sistema de salud cubano sea eficiente y sostenible. </w:t>
      </w:r>
      <w:r>
        <w:rPr>
          <w:rFonts w:ascii="Arial" w:hAnsi="Arial" w:cs="Arial"/>
          <w:sz w:val="24"/>
          <w:szCs w:val="24"/>
        </w:rPr>
        <w:t>El desarrollo integrado del programa</w:t>
      </w:r>
      <w:r w:rsidRPr="00633659">
        <w:rPr>
          <w:rFonts w:ascii="Arial" w:hAnsi="Arial" w:cs="Arial"/>
          <w:sz w:val="24"/>
          <w:szCs w:val="24"/>
        </w:rPr>
        <w:t xml:space="preserve"> de sa</w:t>
      </w:r>
      <w:r>
        <w:rPr>
          <w:rFonts w:ascii="Arial" w:hAnsi="Arial" w:cs="Arial"/>
          <w:sz w:val="24"/>
          <w:szCs w:val="24"/>
        </w:rPr>
        <w:t>lud materno-infantil con el programa para</w:t>
      </w:r>
      <w:r w:rsidRPr="00633659">
        <w:rPr>
          <w:rFonts w:ascii="Arial" w:hAnsi="Arial" w:cs="Arial"/>
          <w:sz w:val="24"/>
          <w:szCs w:val="24"/>
        </w:rPr>
        <w:t xml:space="preserve"> el VIH y las in</w:t>
      </w:r>
      <w:r>
        <w:rPr>
          <w:rFonts w:ascii="Arial" w:hAnsi="Arial" w:cs="Arial"/>
          <w:sz w:val="24"/>
          <w:szCs w:val="24"/>
        </w:rPr>
        <w:t xml:space="preserve">fecciones de transmisión sexual, brinda mayores ventajas a las pacientes que adolecen estas enfermedades e incide de manera positiva en los resultados que muestran los </w:t>
      </w:r>
      <w:r w:rsidRPr="00D41066">
        <w:rPr>
          <w:rFonts w:ascii="Arial" w:hAnsi="Arial" w:cs="Arial"/>
          <w:color w:val="000000"/>
          <w:sz w:val="24"/>
          <w:szCs w:val="24"/>
        </w:rPr>
        <w:t>indicadores de salud.</w:t>
      </w:r>
    </w:p>
    <w:p w14:paraId="3056EAEE" w14:textId="0700E20B" w:rsidR="001E0AD5" w:rsidRPr="00D41066" w:rsidRDefault="001E0AD5" w:rsidP="001E0AD5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1066">
        <w:rPr>
          <w:rFonts w:ascii="Arial" w:hAnsi="Arial" w:cs="Arial"/>
          <w:color w:val="000000"/>
          <w:sz w:val="24"/>
          <w:szCs w:val="24"/>
        </w:rPr>
        <w:t>La prevalencia de la infección por el VIH/SIDA en Cuba ha sido siempre de la</w:t>
      </w:r>
      <w:r w:rsidR="000D696E">
        <w:rPr>
          <w:rFonts w:ascii="Arial" w:hAnsi="Arial" w:cs="Arial"/>
          <w:color w:val="000000"/>
          <w:sz w:val="24"/>
          <w:szCs w:val="24"/>
        </w:rPr>
        <w:t>s</w:t>
      </w:r>
      <w:r w:rsidRPr="00D41066">
        <w:rPr>
          <w:rFonts w:ascii="Arial" w:hAnsi="Arial" w:cs="Arial"/>
          <w:color w:val="000000"/>
          <w:sz w:val="24"/>
          <w:szCs w:val="24"/>
        </w:rPr>
        <w:t xml:space="preserve"> más baja en América Latina y el Caribe y una de las menores en el mundo. Las mujeres y las niñas no son de los grupos que mayores incidencias muestran dentro de las más de 23 mil personas que viven actualmente con VIH/SIDA en Cuba</w:t>
      </w:r>
      <w:r w:rsidR="00A547F3">
        <w:rPr>
          <w:rFonts w:ascii="Arial" w:hAnsi="Arial" w:cs="Arial"/>
          <w:color w:val="000000"/>
          <w:sz w:val="24"/>
          <w:szCs w:val="24"/>
        </w:rPr>
        <w:t>,</w:t>
      </w:r>
      <w:r w:rsidRPr="00D41066">
        <w:rPr>
          <w:rFonts w:ascii="Arial" w:hAnsi="Arial" w:cs="Arial"/>
          <w:color w:val="000000"/>
          <w:sz w:val="24"/>
          <w:szCs w:val="24"/>
        </w:rPr>
        <w:t xml:space="preserve"> donde los hombres son los más afectados</w:t>
      </w:r>
      <w:r w:rsidR="000D696E">
        <w:rPr>
          <w:rFonts w:ascii="Arial" w:hAnsi="Arial" w:cs="Arial"/>
          <w:color w:val="000000"/>
          <w:sz w:val="24"/>
          <w:szCs w:val="24"/>
        </w:rPr>
        <w:t xml:space="preserve"> y</w:t>
      </w:r>
      <w:r w:rsidRPr="00D41066">
        <w:rPr>
          <w:rFonts w:ascii="Arial" w:hAnsi="Arial" w:cs="Arial"/>
          <w:color w:val="000000"/>
          <w:sz w:val="24"/>
          <w:szCs w:val="24"/>
        </w:rPr>
        <w:t xml:space="preserve"> representan más del 80% de los casos diagnosticados. Dentro de este grupo prevalecen los hombres que tienen sexo con otros hombres, con un 70% del total de l</w:t>
      </w:r>
      <w:r w:rsidR="000D696E">
        <w:rPr>
          <w:rFonts w:ascii="Arial" w:hAnsi="Arial" w:cs="Arial"/>
          <w:color w:val="000000"/>
          <w:sz w:val="24"/>
          <w:szCs w:val="24"/>
        </w:rPr>
        <w:t xml:space="preserve">os diagnosticados </w:t>
      </w:r>
      <w:r w:rsidR="000D696E" w:rsidRPr="00D41066">
        <w:rPr>
          <w:rFonts w:ascii="Arial" w:hAnsi="Arial" w:cs="Arial"/>
          <w:color w:val="000000"/>
          <w:sz w:val="24"/>
          <w:szCs w:val="24"/>
        </w:rPr>
        <w:t>y</w:t>
      </w:r>
      <w:r w:rsidRPr="00D41066">
        <w:rPr>
          <w:rFonts w:ascii="Arial" w:hAnsi="Arial" w:cs="Arial"/>
          <w:color w:val="000000"/>
          <w:sz w:val="24"/>
          <w:szCs w:val="24"/>
        </w:rPr>
        <w:t xml:space="preserve"> por encima del 80% de los que viven con el virus.</w:t>
      </w:r>
    </w:p>
    <w:p w14:paraId="117F8B8C" w14:textId="2CFD960A" w:rsidR="001E0AD5" w:rsidRDefault="001E0AD5" w:rsidP="001E0AD5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Amplios son los esfuerzos para el tratamiento preventivo y paliativo de estas afecciones por parte de nuestro país. En Cuba se imparte un enriquecedor programa de educación sexual en el que se involucran los centros educacionales, organizaciones </w:t>
      </w:r>
      <w:r w:rsidR="000D696E">
        <w:rPr>
          <w:rFonts w:ascii="Arial" w:hAnsi="Arial" w:cs="Arial"/>
        </w:rPr>
        <w:t xml:space="preserve">de la sociedad civil, </w:t>
      </w:r>
      <w:r>
        <w:rPr>
          <w:rFonts w:ascii="Arial" w:hAnsi="Arial" w:cs="Arial"/>
        </w:rPr>
        <w:t xml:space="preserve">como la Federación de Mujeres Cubanas (FMC), y proyectos de trabajo especializados en la materia como la Línea de personas con VIH y HSH: Cuba. Las personas que viven con </w:t>
      </w:r>
      <w:r>
        <w:rPr>
          <w:rFonts w:ascii="Arial" w:hAnsi="Arial" w:cs="Arial"/>
        </w:rPr>
        <w:lastRenderedPageBreak/>
        <w:t>VIH reciben el curso denominado “Aprendiendo a vivir con VIH”, son beneficiarios de una atención especializada y se les indica tratamiento antirretroviral. Est</w:t>
      </w:r>
      <w:r w:rsidR="00A547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últim</w:t>
      </w:r>
      <w:r w:rsidR="00A547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A547F3">
        <w:rPr>
          <w:rFonts w:ascii="Arial" w:hAnsi="Arial" w:cs="Arial"/>
        </w:rPr>
        <w:t>forma</w:t>
      </w:r>
      <w:r>
        <w:rPr>
          <w:rFonts w:ascii="Arial" w:hAnsi="Arial" w:cs="Arial"/>
        </w:rPr>
        <w:t xml:space="preserve"> parte de una estrategia combinada de cinco antirretrovirales fabricados en el país con otros importados, certificados por la Organización Mundial de la Salud (OMS).</w:t>
      </w:r>
    </w:p>
    <w:p w14:paraId="65194097" w14:textId="77777777" w:rsidR="001E0AD5" w:rsidRPr="00876578" w:rsidRDefault="001E0AD5" w:rsidP="001E0AD5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Cuba t</w:t>
      </w:r>
      <w:r w:rsidRPr="00447038">
        <w:rPr>
          <w:rFonts w:ascii="Arial" w:hAnsi="Arial" w:cs="Arial"/>
        </w:rPr>
        <w:t>odas las personas</w:t>
      </w:r>
      <w:r>
        <w:rPr>
          <w:rFonts w:ascii="Arial" w:hAnsi="Arial" w:cs="Arial"/>
        </w:rPr>
        <w:t xml:space="preserve"> </w:t>
      </w:r>
      <w:r w:rsidRPr="00447038">
        <w:rPr>
          <w:rFonts w:ascii="Arial" w:hAnsi="Arial" w:cs="Arial"/>
        </w:rPr>
        <w:t>sin distinción de sexo, edad, procedencia social o preferencia sexual, tienen acceso a los servicios de atención, promoción y prevención</w:t>
      </w:r>
      <w:r>
        <w:rPr>
          <w:rFonts w:ascii="Arial" w:hAnsi="Arial" w:cs="Arial"/>
        </w:rPr>
        <w:t xml:space="preserve">; pueden solicitar la realización de pruebas </w:t>
      </w:r>
      <w:r w:rsidRPr="00876578">
        <w:rPr>
          <w:rFonts w:ascii="Arial" w:hAnsi="Arial" w:cs="Arial"/>
        </w:rPr>
        <w:t>gratuitas, así como disponer de servicio</w:t>
      </w:r>
      <w:r>
        <w:rPr>
          <w:rFonts w:ascii="Arial" w:hAnsi="Arial" w:cs="Arial"/>
        </w:rPr>
        <w:t>s</w:t>
      </w:r>
      <w:r w:rsidRPr="00876578">
        <w:rPr>
          <w:rFonts w:ascii="Arial" w:hAnsi="Arial" w:cs="Arial"/>
        </w:rPr>
        <w:t xml:space="preserve"> de </w:t>
      </w:r>
      <w:r w:rsidRPr="005B60E4">
        <w:rPr>
          <w:rFonts w:ascii="Arial" w:hAnsi="Arial" w:cs="Arial"/>
        </w:rPr>
        <w:t>consejería</w:t>
      </w:r>
      <w:r w:rsidRPr="00876578">
        <w:rPr>
          <w:rFonts w:ascii="Arial" w:hAnsi="Arial" w:cs="Arial"/>
        </w:rPr>
        <w:t>, asesoría y apoyo.</w:t>
      </w:r>
    </w:p>
    <w:p w14:paraId="14CFCCAE" w14:textId="4DB7AD8F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76578">
        <w:rPr>
          <w:rFonts w:ascii="Arial" w:eastAsia="Times New Roman" w:hAnsi="Arial" w:cs="Arial"/>
          <w:sz w:val="24"/>
          <w:szCs w:val="24"/>
          <w:lang w:eastAsia="es-ES_tradnl"/>
        </w:rPr>
        <w:t>A pesar de los daños que ocasiona el criminal, genocida e injusto bloqueo impuesto por los Estados Unidos a nuestro país por más de medio siglo, en Cuba prevalece la voluntad política de elevar los niveles de salud del pueblo, la que</w:t>
      </w:r>
      <w:r w:rsidR="00A547F3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Pr="00876578">
        <w:rPr>
          <w:rFonts w:ascii="Arial" w:eastAsia="Times New Roman" w:hAnsi="Arial" w:cs="Arial"/>
          <w:sz w:val="24"/>
          <w:szCs w:val="24"/>
          <w:lang w:eastAsia="es-ES_tradnl"/>
        </w:rPr>
        <w:t xml:space="preserve"> unida a un </w:t>
      </w:r>
      <w:r w:rsidRPr="00876578">
        <w:rPr>
          <w:rFonts w:ascii="Arial" w:hAnsi="Arial" w:cs="Arial"/>
          <w:sz w:val="24"/>
          <w:szCs w:val="24"/>
        </w:rPr>
        <w:t>enfoque integral y participativo</w:t>
      </w:r>
      <w:r w:rsidR="00A547F3">
        <w:rPr>
          <w:rFonts w:ascii="Arial" w:hAnsi="Arial" w:cs="Arial"/>
          <w:sz w:val="24"/>
          <w:szCs w:val="24"/>
        </w:rPr>
        <w:t>,</w:t>
      </w:r>
      <w:r w:rsidRPr="00876578">
        <w:rPr>
          <w:rFonts w:ascii="Arial" w:hAnsi="Arial" w:cs="Arial"/>
          <w:sz w:val="24"/>
          <w:szCs w:val="24"/>
        </w:rPr>
        <w:t xml:space="preserve"> incide de mane</w:t>
      </w:r>
      <w:r>
        <w:rPr>
          <w:rFonts w:ascii="Arial" w:hAnsi="Arial" w:cs="Arial"/>
          <w:sz w:val="24"/>
          <w:szCs w:val="24"/>
        </w:rPr>
        <w:t>ra positiva en la prevención de la enfermedad</w:t>
      </w:r>
      <w:r w:rsidRPr="00876578">
        <w:rPr>
          <w:rFonts w:ascii="Arial" w:hAnsi="Arial" w:cs="Arial"/>
          <w:sz w:val="24"/>
          <w:szCs w:val="24"/>
        </w:rPr>
        <w:t>, así como proporciona una vida digna a las personas infectadas.</w:t>
      </w:r>
    </w:p>
    <w:p w14:paraId="02EBF14D" w14:textId="00560403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76578">
        <w:rPr>
          <w:rFonts w:ascii="Arial" w:hAnsi="Arial" w:cs="Arial"/>
          <w:sz w:val="24"/>
          <w:szCs w:val="24"/>
        </w:rPr>
        <w:t>El bloqueo económico, comercial y financiero contra Cuba obstaculiza los esfuerzos del país para p</w:t>
      </w:r>
      <w:r>
        <w:rPr>
          <w:rFonts w:ascii="Arial" w:hAnsi="Arial" w:cs="Arial"/>
          <w:sz w:val="24"/>
          <w:szCs w:val="24"/>
        </w:rPr>
        <w:t xml:space="preserve">revenir y enfrentar el VIH/SIDA, </w:t>
      </w:r>
      <w:r w:rsidRPr="00876578">
        <w:rPr>
          <w:rFonts w:ascii="Arial" w:hAnsi="Arial" w:cs="Arial"/>
          <w:sz w:val="24"/>
          <w:szCs w:val="24"/>
        </w:rPr>
        <w:t>pero no detiene las acciones que se rea</w:t>
      </w:r>
      <w:r>
        <w:rPr>
          <w:rFonts w:ascii="Arial" w:hAnsi="Arial" w:cs="Arial"/>
          <w:sz w:val="24"/>
          <w:szCs w:val="24"/>
        </w:rPr>
        <w:t>lizan por parte del Estado en su enfrentamiento</w:t>
      </w:r>
      <w:r w:rsidRPr="008765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pesar de las limitantes al desarrollo y el carente acceso a las tecnologías y medicamentos de primera generación que acarrea, en </w:t>
      </w:r>
      <w:r w:rsidRPr="00633659">
        <w:rPr>
          <w:rFonts w:ascii="Arial" w:hAnsi="Arial" w:cs="Arial"/>
          <w:sz w:val="24"/>
          <w:szCs w:val="24"/>
        </w:rPr>
        <w:t xml:space="preserve">2015 Cuba se convirtió en el primer país del mundo en recibir la validación por parte de la </w:t>
      </w:r>
      <w:r w:rsidR="00A547F3">
        <w:rPr>
          <w:rFonts w:ascii="Arial" w:hAnsi="Arial" w:cs="Arial"/>
          <w:sz w:val="24"/>
          <w:szCs w:val="24"/>
        </w:rPr>
        <w:t>OMS</w:t>
      </w:r>
      <w:r w:rsidRPr="0063365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eliminación de </w:t>
      </w:r>
      <w:r w:rsidRPr="00633659">
        <w:rPr>
          <w:rFonts w:ascii="Arial" w:hAnsi="Arial" w:cs="Arial"/>
          <w:sz w:val="24"/>
          <w:szCs w:val="24"/>
        </w:rPr>
        <w:t>la transmisión de madre a hijo del VIH</w:t>
      </w:r>
      <w:r>
        <w:rPr>
          <w:rFonts w:ascii="Arial" w:hAnsi="Arial" w:cs="Arial"/>
          <w:sz w:val="24"/>
          <w:szCs w:val="24"/>
        </w:rPr>
        <w:t xml:space="preserve"> y la </w:t>
      </w:r>
      <w:r w:rsidR="000D69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ífilis, hecho que demuestra cuánto es posible hacer cuando existe la </w:t>
      </w:r>
      <w:r w:rsidR="004009B4">
        <w:rPr>
          <w:rFonts w:ascii="Arial" w:hAnsi="Arial" w:cs="Arial"/>
          <w:sz w:val="24"/>
          <w:szCs w:val="24"/>
        </w:rPr>
        <w:t>determinación</w:t>
      </w:r>
      <w:r>
        <w:rPr>
          <w:rFonts w:ascii="Arial" w:hAnsi="Arial" w:cs="Arial"/>
          <w:sz w:val="24"/>
          <w:szCs w:val="24"/>
        </w:rPr>
        <w:t xml:space="preserve"> de garantizar a la población un servicio de salud de calidad.</w:t>
      </w:r>
    </w:p>
    <w:p w14:paraId="3094D264" w14:textId="22CE2111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</w:rPr>
      </w:pPr>
      <w:r w:rsidRPr="00633659">
        <w:rPr>
          <w:rFonts w:ascii="Arial" w:hAnsi="Arial" w:cs="Arial"/>
          <w:sz w:val="24"/>
          <w:szCs w:val="24"/>
        </w:rPr>
        <w:t xml:space="preserve">Cuba </w:t>
      </w:r>
      <w:r>
        <w:rPr>
          <w:rFonts w:ascii="Arial" w:hAnsi="Arial" w:cs="Arial"/>
          <w:sz w:val="24"/>
          <w:szCs w:val="24"/>
        </w:rPr>
        <w:t>trabaja</w:t>
      </w:r>
      <w:r w:rsidRPr="00633659">
        <w:rPr>
          <w:rFonts w:ascii="Arial" w:hAnsi="Arial" w:cs="Arial"/>
          <w:sz w:val="24"/>
          <w:szCs w:val="24"/>
        </w:rPr>
        <w:t xml:space="preserve"> para asegurar el acceso </w:t>
      </w:r>
      <w:r>
        <w:rPr>
          <w:rFonts w:ascii="Arial" w:hAnsi="Arial" w:cs="Arial"/>
          <w:sz w:val="24"/>
          <w:szCs w:val="24"/>
        </w:rPr>
        <w:t xml:space="preserve">temprano a la atención prenatal, la que se encuentra al alcance de todas las embarazadas porque en cada comunidad hay un consultorio donde le atienden un médico y una enfermera de la familia. Las gestantes y sus parejas se someten a pruebas de detección del VIH y la </w:t>
      </w:r>
      <w:r w:rsidR="004009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ífilis en los tres trimestres del embarazo y a las madres que dan positivo se les prescribe el tratamiento correspondiente, dan a luz por cesárea y </w:t>
      </w:r>
      <w:r>
        <w:rPr>
          <w:rFonts w:ascii="Arial" w:hAnsi="Arial" w:cs="Arial"/>
          <w:sz w:val="24"/>
        </w:rPr>
        <w:t>tienen la posibilidad de adquirir</w:t>
      </w:r>
      <w:r w:rsidRPr="006F16AD">
        <w:rPr>
          <w:rFonts w:ascii="Arial" w:hAnsi="Arial" w:cs="Arial"/>
          <w:sz w:val="24"/>
        </w:rPr>
        <w:t xml:space="preserve"> leche maternizada</w:t>
      </w:r>
      <w:r>
        <w:rPr>
          <w:rFonts w:ascii="Arial" w:hAnsi="Arial" w:cs="Arial"/>
          <w:sz w:val="24"/>
        </w:rPr>
        <w:t xml:space="preserve"> para alimentar a sus bebés</w:t>
      </w:r>
      <w:r w:rsidRPr="006F16AD">
        <w:rPr>
          <w:rFonts w:ascii="Arial" w:hAnsi="Arial" w:cs="Arial"/>
          <w:sz w:val="24"/>
        </w:rPr>
        <w:t xml:space="preserve">. </w:t>
      </w:r>
    </w:p>
    <w:p w14:paraId="585821BE" w14:textId="7DAB0039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en Cuba se ejecuta el </w:t>
      </w:r>
      <w:r w:rsidRPr="00B03E79">
        <w:rPr>
          <w:rFonts w:ascii="Arial" w:hAnsi="Arial" w:cs="Arial"/>
          <w:sz w:val="24"/>
          <w:szCs w:val="24"/>
        </w:rPr>
        <w:t xml:space="preserve">Programa de Educación Integral en </w:t>
      </w:r>
      <w:r w:rsidR="004009B4">
        <w:rPr>
          <w:rFonts w:ascii="Arial" w:hAnsi="Arial" w:cs="Arial"/>
          <w:sz w:val="24"/>
          <w:szCs w:val="24"/>
        </w:rPr>
        <w:t xml:space="preserve">la </w:t>
      </w:r>
      <w:r w:rsidRPr="00B03E79">
        <w:rPr>
          <w:rFonts w:ascii="Arial" w:hAnsi="Arial" w:cs="Arial"/>
          <w:sz w:val="24"/>
          <w:szCs w:val="24"/>
        </w:rPr>
        <w:t>sexualidad con enfoque de género y derechos sexuales y reproductivos en el Sistema Nacional de Educación</w:t>
      </w:r>
      <w:r w:rsidR="00A547F3">
        <w:rPr>
          <w:rFonts w:ascii="Arial" w:hAnsi="Arial" w:cs="Arial"/>
          <w:sz w:val="24"/>
          <w:szCs w:val="24"/>
        </w:rPr>
        <w:t>. D</w:t>
      </w:r>
      <w:r w:rsidRPr="00B03E79">
        <w:rPr>
          <w:rFonts w:ascii="Arial" w:hAnsi="Arial" w:cs="Arial"/>
          <w:sz w:val="24"/>
          <w:szCs w:val="24"/>
        </w:rPr>
        <w:t>entro de sus objetivos plantea la promoción de la igualdad entre los géneros desde una perspectiva emancipadora del ser humano, basado en el respeto a la dignidad plena como valor supremo que se sustenta en el reconocimiento de los derechos humanos</w:t>
      </w:r>
      <w:r>
        <w:rPr>
          <w:rFonts w:ascii="Arial" w:hAnsi="Arial" w:cs="Arial"/>
          <w:sz w:val="24"/>
          <w:szCs w:val="24"/>
        </w:rPr>
        <w:t>.</w:t>
      </w:r>
    </w:p>
    <w:p w14:paraId="48135794" w14:textId="680FFA55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estrategia cubana contra el </w:t>
      </w:r>
      <w:r w:rsidRPr="00B03E79">
        <w:rPr>
          <w:rFonts w:ascii="Arial" w:hAnsi="Arial" w:cs="Arial"/>
          <w:sz w:val="24"/>
          <w:szCs w:val="24"/>
        </w:rPr>
        <w:t>VIH, se distingue por la intersectorialidad</w:t>
      </w:r>
      <w:r w:rsidR="00D91896">
        <w:rPr>
          <w:rFonts w:ascii="Arial" w:hAnsi="Arial" w:cs="Arial"/>
          <w:sz w:val="24"/>
          <w:szCs w:val="24"/>
        </w:rPr>
        <w:t>.</w:t>
      </w:r>
      <w:r w:rsidRPr="00B03E79">
        <w:rPr>
          <w:rFonts w:ascii="Arial" w:hAnsi="Arial" w:cs="Arial"/>
          <w:sz w:val="24"/>
          <w:szCs w:val="24"/>
        </w:rPr>
        <w:t xml:space="preserve"> </w:t>
      </w:r>
      <w:r w:rsidR="00D91896">
        <w:rPr>
          <w:rFonts w:ascii="Arial" w:hAnsi="Arial" w:cs="Arial"/>
          <w:sz w:val="24"/>
          <w:szCs w:val="24"/>
        </w:rPr>
        <w:t>T</w:t>
      </w:r>
      <w:r w:rsidRPr="00B03E79">
        <w:rPr>
          <w:rFonts w:ascii="Arial" w:hAnsi="Arial" w:cs="Arial"/>
          <w:sz w:val="24"/>
          <w:szCs w:val="24"/>
        </w:rPr>
        <w:t>odos los organismos de la Administración Central del Estado participan mediante el Grupo Operativo para el enfrentamiento y lucha contra el VIH/</w:t>
      </w:r>
      <w:r w:rsidR="00D91896">
        <w:rPr>
          <w:rFonts w:ascii="Arial" w:hAnsi="Arial" w:cs="Arial"/>
          <w:sz w:val="24"/>
          <w:szCs w:val="24"/>
        </w:rPr>
        <w:t>SIDA</w:t>
      </w:r>
      <w:r w:rsidRPr="00B03E79">
        <w:rPr>
          <w:rFonts w:ascii="Arial" w:hAnsi="Arial" w:cs="Arial"/>
          <w:sz w:val="24"/>
          <w:szCs w:val="24"/>
        </w:rPr>
        <w:t xml:space="preserve"> (GOPELS), en sus distintos niveles (nacional, provincial y municipal), ya sea en la implementación y ejecución de las estrategias y programas, como en la gestión y solución de las problemáticas sociales que se presentan en torno al VIH. Resultan de interés en este sentido la Resolución No. 101/97 emitida por el Ministerio de Salud Pública que establece los protocolos para la atención </w:t>
      </w:r>
      <w:r w:rsidRPr="00B03E79">
        <w:rPr>
          <w:rFonts w:ascii="Arial" w:hAnsi="Arial" w:cs="Arial"/>
          <w:sz w:val="24"/>
          <w:szCs w:val="24"/>
        </w:rPr>
        <w:lastRenderedPageBreak/>
        <w:t>ambulatoria de las personas con VIH; la Resolución 141/2000, emitida en fecha 21 de agosto de 2000, que define los medicamentos que serán asignados de manera gratuita a las personas que viven con VIH; el Acuerdo 995 de la Comisión política de Gobierno (2005), que aprueba la Estrategia de Prevención del VIH/</w:t>
      </w:r>
      <w:r w:rsidR="00D91896">
        <w:rPr>
          <w:rFonts w:ascii="Arial" w:hAnsi="Arial" w:cs="Arial"/>
          <w:sz w:val="24"/>
          <w:szCs w:val="24"/>
        </w:rPr>
        <w:t>SIDA</w:t>
      </w:r>
      <w:r w:rsidRPr="00B03E79">
        <w:rPr>
          <w:rFonts w:ascii="Arial" w:hAnsi="Arial" w:cs="Arial"/>
          <w:sz w:val="24"/>
          <w:szCs w:val="24"/>
        </w:rPr>
        <w:t xml:space="preserve"> entre hombres que tienen sexo con hombres, así como la Resolución 126/2008 mediante la cual  se organiza la atención integral a personas transexuales</w:t>
      </w:r>
      <w:r>
        <w:rPr>
          <w:rFonts w:ascii="Arial" w:hAnsi="Arial" w:cs="Arial"/>
          <w:sz w:val="24"/>
          <w:szCs w:val="24"/>
        </w:rPr>
        <w:t>.</w:t>
      </w:r>
    </w:p>
    <w:p w14:paraId="2913B5A3" w14:textId="0D9F8B88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3E79">
        <w:rPr>
          <w:rFonts w:ascii="Arial" w:hAnsi="Arial" w:cs="Arial"/>
          <w:sz w:val="24"/>
          <w:szCs w:val="24"/>
        </w:rPr>
        <w:t>Como herramienta de política pública específica para el abordaje de gé</w:t>
      </w:r>
      <w:r>
        <w:rPr>
          <w:rFonts w:ascii="Arial" w:hAnsi="Arial" w:cs="Arial"/>
          <w:sz w:val="24"/>
          <w:szCs w:val="24"/>
        </w:rPr>
        <w:t xml:space="preserve">nero y VIH, en el marco de la </w:t>
      </w:r>
      <w:r w:rsidR="004009B4">
        <w:rPr>
          <w:rFonts w:ascii="Arial" w:hAnsi="Arial" w:cs="Arial"/>
          <w:sz w:val="24"/>
          <w:szCs w:val="24"/>
        </w:rPr>
        <w:t>r</w:t>
      </w:r>
      <w:r w:rsidRPr="00B03E79">
        <w:rPr>
          <w:rFonts w:ascii="Arial" w:hAnsi="Arial" w:cs="Arial"/>
          <w:sz w:val="24"/>
          <w:szCs w:val="24"/>
        </w:rPr>
        <w:t>espuesta nacional, destaca la implementación de una Estrategia de Género en apoyo al Componente Educativo de la Respuesta Nacional, actualmente en proceso de ac</w:t>
      </w:r>
      <w:r>
        <w:rPr>
          <w:rFonts w:ascii="Arial" w:hAnsi="Arial" w:cs="Arial"/>
          <w:sz w:val="24"/>
          <w:szCs w:val="24"/>
        </w:rPr>
        <w:t>tualización. Asimismo, el Plan E</w:t>
      </w:r>
      <w:r w:rsidRPr="00B03E79">
        <w:rPr>
          <w:rFonts w:ascii="Arial" w:hAnsi="Arial" w:cs="Arial"/>
          <w:sz w:val="24"/>
          <w:szCs w:val="24"/>
        </w:rPr>
        <w:t>stratégico Nacional para la prevención y control de las ITS, el VIH y las hepatitis, (PEN 2019-2023), aprobado mediante Resolución No</w:t>
      </w:r>
      <w:r>
        <w:rPr>
          <w:rFonts w:ascii="Arial" w:hAnsi="Arial" w:cs="Arial"/>
          <w:sz w:val="24"/>
          <w:szCs w:val="24"/>
        </w:rPr>
        <w:t>.</w:t>
      </w:r>
      <w:r w:rsidRPr="00B03E79">
        <w:rPr>
          <w:rFonts w:ascii="Arial" w:hAnsi="Arial" w:cs="Arial"/>
          <w:sz w:val="24"/>
          <w:szCs w:val="24"/>
        </w:rPr>
        <w:t xml:space="preserve"> 56 emitida en fecha 8 de marzo de 2019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2C0521" w14:textId="18BF1F5A" w:rsidR="001E0AD5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3E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B03E79">
        <w:rPr>
          <w:rFonts w:ascii="Arial" w:hAnsi="Arial" w:cs="Arial"/>
          <w:sz w:val="24"/>
          <w:szCs w:val="24"/>
        </w:rPr>
        <w:t>Plan formula sus objetivos</w:t>
      </w:r>
      <w:r>
        <w:rPr>
          <w:rFonts w:ascii="Arial" w:hAnsi="Arial" w:cs="Arial"/>
          <w:sz w:val="24"/>
          <w:szCs w:val="24"/>
        </w:rPr>
        <w:t xml:space="preserve"> en</w:t>
      </w:r>
      <w:r w:rsidRPr="00B03E79">
        <w:rPr>
          <w:rFonts w:ascii="Arial" w:hAnsi="Arial" w:cs="Arial"/>
          <w:sz w:val="24"/>
          <w:szCs w:val="24"/>
        </w:rPr>
        <w:t xml:space="preserve"> promover y proteger los derechos humanos y la igualdad de género a través de mecanismos de coordinación multisectorial eficientes e inclusivos, integra la perspectiva de género y de derechos, y privilegia un enfoque transformativo de las normas sociales de género</w:t>
      </w:r>
      <w:r>
        <w:rPr>
          <w:rFonts w:ascii="Arial" w:hAnsi="Arial" w:cs="Arial"/>
          <w:sz w:val="24"/>
          <w:szCs w:val="24"/>
        </w:rPr>
        <w:t>,</w:t>
      </w:r>
      <w:r w:rsidRPr="00B03E79">
        <w:rPr>
          <w:rFonts w:ascii="Arial" w:hAnsi="Arial" w:cs="Arial"/>
          <w:sz w:val="24"/>
          <w:szCs w:val="24"/>
        </w:rPr>
        <w:t xml:space="preserve"> que resultan perjudiciales y negativ</w:t>
      </w:r>
      <w:r w:rsidR="00D91896">
        <w:rPr>
          <w:rFonts w:ascii="Arial" w:hAnsi="Arial" w:cs="Arial"/>
          <w:sz w:val="24"/>
          <w:szCs w:val="24"/>
        </w:rPr>
        <w:t>a</w:t>
      </w:r>
      <w:r w:rsidRPr="00B03E79">
        <w:rPr>
          <w:rFonts w:ascii="Arial" w:hAnsi="Arial" w:cs="Arial"/>
          <w:sz w:val="24"/>
          <w:szCs w:val="24"/>
        </w:rPr>
        <w:t xml:space="preserve">s en materia de salud. </w:t>
      </w:r>
      <w:r>
        <w:rPr>
          <w:rFonts w:ascii="Arial" w:hAnsi="Arial" w:cs="Arial"/>
          <w:sz w:val="24"/>
          <w:szCs w:val="24"/>
        </w:rPr>
        <w:t>A</w:t>
      </w:r>
      <w:r w:rsidRPr="00B03E79">
        <w:rPr>
          <w:rFonts w:ascii="Arial" w:hAnsi="Arial" w:cs="Arial"/>
          <w:sz w:val="24"/>
          <w:szCs w:val="24"/>
        </w:rPr>
        <w:t xml:space="preserve"> su vez, reconoce el trabajo que desempeñan las organizaciones que representan a las poblaciones claves</w:t>
      </w:r>
      <w:r>
        <w:rPr>
          <w:rFonts w:ascii="Arial" w:hAnsi="Arial" w:cs="Arial"/>
          <w:sz w:val="24"/>
          <w:szCs w:val="24"/>
        </w:rPr>
        <w:t>,</w:t>
      </w:r>
      <w:r w:rsidRPr="00B03E79">
        <w:rPr>
          <w:rFonts w:ascii="Arial" w:hAnsi="Arial" w:cs="Arial"/>
          <w:sz w:val="24"/>
          <w:szCs w:val="24"/>
        </w:rPr>
        <w:t xml:space="preserve"> con trabajo en los temas de ITS</w:t>
      </w:r>
      <w:r>
        <w:rPr>
          <w:rFonts w:ascii="Arial" w:hAnsi="Arial" w:cs="Arial"/>
          <w:sz w:val="24"/>
          <w:szCs w:val="24"/>
        </w:rPr>
        <w:t xml:space="preserve">, </w:t>
      </w:r>
      <w:r w:rsidRPr="00B03E79">
        <w:rPr>
          <w:rFonts w:ascii="Arial" w:hAnsi="Arial" w:cs="Arial"/>
          <w:sz w:val="24"/>
          <w:szCs w:val="24"/>
        </w:rPr>
        <w:t>VIH</w:t>
      </w:r>
      <w:r>
        <w:rPr>
          <w:rFonts w:ascii="Arial" w:hAnsi="Arial" w:cs="Arial"/>
          <w:sz w:val="24"/>
          <w:szCs w:val="24"/>
        </w:rPr>
        <w:t xml:space="preserve"> y Hepatitis</w:t>
      </w:r>
      <w:r w:rsidRPr="00B03E79">
        <w:rPr>
          <w:rFonts w:ascii="Arial" w:hAnsi="Arial" w:cs="Arial"/>
          <w:sz w:val="24"/>
          <w:szCs w:val="24"/>
        </w:rPr>
        <w:t xml:space="preserve"> como: la Red de personas que viven con VIH (</w:t>
      </w:r>
      <w:proofErr w:type="spellStart"/>
      <w:r w:rsidRPr="00B03E79">
        <w:rPr>
          <w:rFonts w:ascii="Arial" w:hAnsi="Arial" w:cs="Arial"/>
          <w:sz w:val="24"/>
          <w:szCs w:val="24"/>
        </w:rPr>
        <w:t>RedCub</w:t>
      </w:r>
      <w:proofErr w:type="spellEnd"/>
      <w:r w:rsidRPr="00B03E79">
        <w:rPr>
          <w:rFonts w:ascii="Arial" w:hAnsi="Arial" w:cs="Arial"/>
          <w:sz w:val="24"/>
          <w:szCs w:val="24"/>
        </w:rPr>
        <w:t>+), la de hombres que tienen sexo con hombres (RED-HSH/Cuba) y la de personas transgénero, parejas y familias (TRANSCUBA)</w:t>
      </w:r>
      <w:r>
        <w:rPr>
          <w:rFonts w:ascii="Arial" w:hAnsi="Arial" w:cs="Arial"/>
          <w:sz w:val="24"/>
          <w:szCs w:val="24"/>
        </w:rPr>
        <w:t>, que</w:t>
      </w:r>
      <w:r w:rsidRPr="00B0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03E79">
        <w:rPr>
          <w:rFonts w:ascii="Arial" w:hAnsi="Arial" w:cs="Arial"/>
          <w:sz w:val="24"/>
          <w:szCs w:val="24"/>
        </w:rPr>
        <w:t xml:space="preserve">uncionan bajo el amparo gubernamental de instituciones de salud y su contribución a la Respuesta </w:t>
      </w:r>
      <w:r>
        <w:rPr>
          <w:rFonts w:ascii="Arial" w:hAnsi="Arial" w:cs="Arial"/>
          <w:sz w:val="24"/>
          <w:szCs w:val="24"/>
        </w:rPr>
        <w:t>Nacional a</w:t>
      </w:r>
      <w:r w:rsidRPr="00B03E79">
        <w:rPr>
          <w:rFonts w:ascii="Arial" w:hAnsi="Arial" w:cs="Arial"/>
          <w:sz w:val="24"/>
          <w:szCs w:val="24"/>
        </w:rPr>
        <w:t>l PE</w:t>
      </w:r>
      <w:r>
        <w:rPr>
          <w:rFonts w:ascii="Arial" w:hAnsi="Arial" w:cs="Arial"/>
          <w:sz w:val="24"/>
          <w:szCs w:val="24"/>
        </w:rPr>
        <w:t xml:space="preserve">N, fundamentado </w:t>
      </w:r>
      <w:r w:rsidRPr="00B03E79">
        <w:rPr>
          <w:rFonts w:ascii="Arial" w:hAnsi="Arial" w:cs="Arial"/>
          <w:sz w:val="24"/>
          <w:szCs w:val="24"/>
        </w:rPr>
        <w:t xml:space="preserve">en actividades de formación </w:t>
      </w:r>
      <w:r w:rsidR="004009B4">
        <w:rPr>
          <w:rFonts w:ascii="Arial" w:hAnsi="Arial" w:cs="Arial"/>
          <w:sz w:val="24"/>
          <w:szCs w:val="24"/>
        </w:rPr>
        <w:t>de</w:t>
      </w:r>
      <w:r w:rsidRPr="00B03E79">
        <w:rPr>
          <w:rFonts w:ascii="Arial" w:hAnsi="Arial" w:cs="Arial"/>
          <w:sz w:val="24"/>
          <w:szCs w:val="24"/>
        </w:rPr>
        <w:t xml:space="preserve"> activistas por los derechos humanos</w:t>
      </w:r>
      <w:r>
        <w:rPr>
          <w:rFonts w:ascii="Arial" w:hAnsi="Arial" w:cs="Arial"/>
          <w:sz w:val="24"/>
          <w:szCs w:val="24"/>
        </w:rPr>
        <w:t>,</w:t>
      </w:r>
      <w:r w:rsidRPr="00B0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capacitación, </w:t>
      </w:r>
      <w:r w:rsidRPr="00B03E79">
        <w:rPr>
          <w:rFonts w:ascii="Arial" w:hAnsi="Arial" w:cs="Arial"/>
          <w:sz w:val="24"/>
          <w:szCs w:val="24"/>
        </w:rPr>
        <w:t>promoción y prevención de salud, con énfasis en VIH/</w:t>
      </w:r>
      <w:r w:rsidR="00D91896">
        <w:rPr>
          <w:rFonts w:ascii="Arial" w:hAnsi="Arial" w:cs="Arial"/>
          <w:sz w:val="24"/>
          <w:szCs w:val="24"/>
        </w:rPr>
        <w:t>SIDA</w:t>
      </w:r>
      <w:r w:rsidRPr="00B03E79">
        <w:rPr>
          <w:rFonts w:ascii="Arial" w:hAnsi="Arial" w:cs="Arial"/>
          <w:sz w:val="24"/>
          <w:szCs w:val="24"/>
        </w:rPr>
        <w:t>.</w:t>
      </w:r>
    </w:p>
    <w:p w14:paraId="57CDB7CD" w14:textId="08199AF5" w:rsidR="001E0AD5" w:rsidRPr="00B03E79" w:rsidRDefault="001E0AD5" w:rsidP="001E0AD5">
      <w:pPr>
        <w:spacing w:before="240" w:after="24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3E79">
        <w:rPr>
          <w:rFonts w:ascii="Arial" w:hAnsi="Arial" w:cs="Arial"/>
          <w:sz w:val="24"/>
          <w:szCs w:val="24"/>
        </w:rPr>
        <w:t>Por otra parte, l</w:t>
      </w:r>
      <w:r>
        <w:rPr>
          <w:rFonts w:ascii="Arial" w:hAnsi="Arial" w:cs="Arial"/>
          <w:sz w:val="24"/>
          <w:szCs w:val="24"/>
        </w:rPr>
        <w:t>a existencia el Centro Nacional de Promoción y Educación para la Salud (</w:t>
      </w:r>
      <w:proofErr w:type="spellStart"/>
      <w:r w:rsidRPr="00B03E79">
        <w:rPr>
          <w:rFonts w:ascii="Arial" w:hAnsi="Arial" w:cs="Arial"/>
          <w:sz w:val="24"/>
          <w:szCs w:val="24"/>
        </w:rPr>
        <w:t>Prosalud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03E79">
        <w:rPr>
          <w:rFonts w:ascii="Arial" w:hAnsi="Arial" w:cs="Arial"/>
          <w:sz w:val="24"/>
          <w:szCs w:val="24"/>
        </w:rPr>
        <w:t>, como institución rectora metodológica que se encarga de elaborar estrate</w:t>
      </w:r>
      <w:r>
        <w:rPr>
          <w:rFonts w:ascii="Arial" w:hAnsi="Arial" w:cs="Arial"/>
          <w:sz w:val="24"/>
          <w:szCs w:val="24"/>
        </w:rPr>
        <w:t>gias, campañas y planes dirigido</w:t>
      </w:r>
      <w:r w:rsidRPr="00B03E79">
        <w:rPr>
          <w:rFonts w:ascii="Arial" w:hAnsi="Arial" w:cs="Arial"/>
          <w:sz w:val="24"/>
          <w:szCs w:val="24"/>
        </w:rPr>
        <w:t>s a incluir la promoción de salud en todas las políticas</w:t>
      </w:r>
      <w:r>
        <w:rPr>
          <w:rFonts w:ascii="Arial" w:hAnsi="Arial" w:cs="Arial"/>
          <w:sz w:val="24"/>
          <w:szCs w:val="24"/>
        </w:rPr>
        <w:t>. A</w:t>
      </w:r>
      <w:r w:rsidRPr="00B03E79">
        <w:rPr>
          <w:rFonts w:ascii="Arial" w:hAnsi="Arial" w:cs="Arial"/>
          <w:sz w:val="24"/>
          <w:szCs w:val="24"/>
        </w:rPr>
        <w:t>demás</w:t>
      </w:r>
      <w:r w:rsidR="00D91896">
        <w:rPr>
          <w:rFonts w:ascii="Arial" w:hAnsi="Arial" w:cs="Arial"/>
          <w:sz w:val="24"/>
          <w:szCs w:val="24"/>
        </w:rPr>
        <w:t>,</w:t>
      </w:r>
      <w:r w:rsidRPr="00B0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brinda</w:t>
      </w:r>
      <w:r w:rsidRPr="00B03E79">
        <w:rPr>
          <w:rFonts w:ascii="Arial" w:hAnsi="Arial" w:cs="Arial"/>
          <w:sz w:val="24"/>
          <w:szCs w:val="24"/>
        </w:rPr>
        <w:t xml:space="preserve"> servicios de capacitación y asesoramiento técnico, consejerías en todas</w:t>
      </w:r>
      <w:r>
        <w:rPr>
          <w:rFonts w:ascii="Arial" w:hAnsi="Arial" w:cs="Arial"/>
          <w:sz w:val="24"/>
          <w:szCs w:val="24"/>
        </w:rPr>
        <w:t xml:space="preserve"> las </w:t>
      </w:r>
      <w:r w:rsidRPr="00B03E79">
        <w:rPr>
          <w:rFonts w:ascii="Arial" w:hAnsi="Arial" w:cs="Arial"/>
          <w:sz w:val="24"/>
          <w:szCs w:val="24"/>
        </w:rPr>
        <w:t>modalidades, pruebas rápidas de VIH/</w:t>
      </w:r>
      <w:r w:rsidR="00D91896">
        <w:rPr>
          <w:rFonts w:ascii="Arial" w:hAnsi="Arial" w:cs="Arial"/>
          <w:sz w:val="24"/>
          <w:szCs w:val="24"/>
        </w:rPr>
        <w:t>SIDA</w:t>
      </w:r>
      <w:r w:rsidRPr="00B03E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cuenta </w:t>
      </w:r>
      <w:r w:rsidRPr="00B03E79">
        <w:rPr>
          <w:rFonts w:ascii="Arial" w:hAnsi="Arial" w:cs="Arial"/>
          <w:sz w:val="24"/>
          <w:szCs w:val="24"/>
        </w:rPr>
        <w:t>con un Observatorio contra manifestaciones de violencia. Realiza trabajos comunitarios con énfasis en comunidades donde existen grupos vulnerables, audiencia sanitaria, charlas educativas, cursos talleres y video</w:t>
      </w:r>
      <w:r>
        <w:rPr>
          <w:rFonts w:ascii="Arial" w:hAnsi="Arial" w:cs="Arial"/>
          <w:sz w:val="24"/>
          <w:szCs w:val="24"/>
        </w:rPr>
        <w:t>-</w:t>
      </w:r>
      <w:r w:rsidRPr="00B03E79">
        <w:rPr>
          <w:rFonts w:ascii="Arial" w:hAnsi="Arial" w:cs="Arial"/>
          <w:sz w:val="24"/>
          <w:szCs w:val="24"/>
        </w:rPr>
        <w:t xml:space="preserve">debates, entre otras actividades. </w:t>
      </w:r>
    </w:p>
    <w:p w14:paraId="0D13380E" w14:textId="74D9609D" w:rsidR="008C6474" w:rsidRPr="00FD3094" w:rsidRDefault="001E0AD5" w:rsidP="00D91896">
      <w:pPr>
        <w:pStyle w:val="CommentText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B03E79">
        <w:rPr>
          <w:rFonts w:ascii="Arial" w:hAnsi="Arial" w:cs="Arial"/>
          <w:sz w:val="24"/>
          <w:szCs w:val="24"/>
        </w:rPr>
        <w:t>De igual forma, el Centro Nacional de Educación Sexual (CENESEX), desde su creación en 1988, contribuye al desarrollo de la Educación Integral de la Sexualidad, la salud sexual y el reconocimiento y garantía de los derechos sexuales de la población, mediante la formación y desarrollo de recursos humanos, la investigación científica, el desarrollo local comunitario, los servicios científicos asistenciales, las estrategias de comunicación social y las acciones para contribuir a la sostenibilidad del Sistema Nacional de Salud</w:t>
      </w:r>
      <w:r>
        <w:rPr>
          <w:rFonts w:ascii="Arial" w:hAnsi="Arial" w:cs="Arial"/>
          <w:sz w:val="24"/>
          <w:szCs w:val="24"/>
        </w:rPr>
        <w:t>, entre ellas la realización de jornadas d</w:t>
      </w:r>
      <w:r w:rsidRPr="00B03E79">
        <w:rPr>
          <w:rFonts w:ascii="Arial" w:hAnsi="Arial" w:cs="Arial"/>
          <w:sz w:val="24"/>
          <w:szCs w:val="24"/>
        </w:rPr>
        <w:t xml:space="preserve">urante el año </w:t>
      </w:r>
      <w:r>
        <w:rPr>
          <w:rFonts w:ascii="Arial" w:hAnsi="Arial" w:cs="Arial"/>
          <w:sz w:val="24"/>
          <w:szCs w:val="24"/>
        </w:rPr>
        <w:t xml:space="preserve">que </w:t>
      </w:r>
      <w:r w:rsidRPr="00B03E79">
        <w:rPr>
          <w:rFonts w:ascii="Arial" w:hAnsi="Arial" w:cs="Arial"/>
          <w:sz w:val="24"/>
          <w:szCs w:val="24"/>
        </w:rPr>
        <w:t>coadyuvan al cumplimiento efectivo de su misión</w:t>
      </w:r>
      <w:r>
        <w:rPr>
          <w:rFonts w:ascii="Arial" w:hAnsi="Arial" w:cs="Arial"/>
          <w:sz w:val="24"/>
          <w:szCs w:val="24"/>
        </w:rPr>
        <w:t>.</w:t>
      </w:r>
    </w:p>
    <w:sectPr w:rsidR="008C6474" w:rsidRPr="00FD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AB5"/>
    <w:multiLevelType w:val="hybridMultilevel"/>
    <w:tmpl w:val="988CD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4FD6"/>
    <w:multiLevelType w:val="hybridMultilevel"/>
    <w:tmpl w:val="FCCA9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43BA"/>
    <w:multiLevelType w:val="hybridMultilevel"/>
    <w:tmpl w:val="BDE48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FC"/>
    <w:rsid w:val="00043A6F"/>
    <w:rsid w:val="000D696E"/>
    <w:rsid w:val="001E0AD5"/>
    <w:rsid w:val="00254293"/>
    <w:rsid w:val="002B48C8"/>
    <w:rsid w:val="002E3A7A"/>
    <w:rsid w:val="004009B4"/>
    <w:rsid w:val="004272BE"/>
    <w:rsid w:val="004718C3"/>
    <w:rsid w:val="00595CFC"/>
    <w:rsid w:val="006074C6"/>
    <w:rsid w:val="007255D5"/>
    <w:rsid w:val="00894A50"/>
    <w:rsid w:val="008E69D3"/>
    <w:rsid w:val="009F18D1"/>
    <w:rsid w:val="00A547F3"/>
    <w:rsid w:val="00B07058"/>
    <w:rsid w:val="00B7172F"/>
    <w:rsid w:val="00BB25D6"/>
    <w:rsid w:val="00C74565"/>
    <w:rsid w:val="00CD1ABB"/>
    <w:rsid w:val="00D41066"/>
    <w:rsid w:val="00D91896"/>
    <w:rsid w:val="00DA4805"/>
    <w:rsid w:val="00DD0A3C"/>
    <w:rsid w:val="00E33704"/>
    <w:rsid w:val="00E33A2B"/>
    <w:rsid w:val="00F35F16"/>
    <w:rsid w:val="00F54D40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1900"/>
  <w15:docId w15:val="{27AE0CFA-77E8-4C2F-A440-F588887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4D4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0A3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A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0A3C"/>
    <w:pPr>
      <w:ind w:left="720"/>
      <w:contextualSpacing/>
    </w:pPr>
  </w:style>
  <w:style w:type="paragraph" w:styleId="NoSpacing">
    <w:name w:val="No Spacing"/>
    <w:uiPriority w:val="1"/>
    <w:qFormat/>
    <w:rsid w:val="00DD0A3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7C060-663E-4703-AA63-771028BB0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1ED5E-6CD4-4E51-B3FE-1C6F2569E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38EBB-FB0F-47E9-A454-F8D129CBC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6CDD1-6710-4310-8835-595123CD0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Minrex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García Hernandez</dc:creator>
  <cp:lastModifiedBy>Lynn Gentile</cp:lastModifiedBy>
  <cp:revision>2</cp:revision>
  <dcterms:created xsi:type="dcterms:W3CDTF">2022-03-03T15:22:00Z</dcterms:created>
  <dcterms:modified xsi:type="dcterms:W3CDTF">2022-03-03T15:22:00Z</dcterms:modified>
</cp:coreProperties>
</file>