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BB8A" w14:textId="3C06D9C9" w:rsidR="00812F2D" w:rsidRPr="00A44C49" w:rsidRDefault="00812F2D" w:rsidP="00C15B93">
      <w:pPr>
        <w:spacing w:line="276" w:lineRule="auto"/>
        <w:jc w:val="center"/>
        <w:rPr>
          <w:rFonts w:ascii="Times New Roman" w:hAnsi="Times New Roman" w:cs="Times New Roman"/>
          <w:b/>
          <w:bCs/>
          <w:u w:val="single"/>
          <w:lang w:val="en-GB"/>
        </w:rPr>
      </w:pPr>
      <w:bookmarkStart w:id="0" w:name="_GoBack"/>
      <w:bookmarkEnd w:id="0"/>
      <w:r w:rsidRPr="00A44C49">
        <w:rPr>
          <w:rFonts w:ascii="Times New Roman" w:hAnsi="Times New Roman" w:cs="Times New Roman"/>
          <w:b/>
          <w:bCs/>
          <w:u w:val="single"/>
          <w:lang w:val="en-GB"/>
        </w:rPr>
        <w:t xml:space="preserve">Questionnaire </w:t>
      </w:r>
      <w:r w:rsidR="00B56D2E" w:rsidRPr="00A44C49">
        <w:rPr>
          <w:rFonts w:ascii="Times New Roman" w:hAnsi="Times New Roman" w:cs="Times New Roman"/>
          <w:b/>
          <w:bCs/>
          <w:u w:val="single"/>
          <w:lang w:val="en-GB"/>
        </w:rPr>
        <w:t>for civil society and bar associations</w:t>
      </w:r>
    </w:p>
    <w:p w14:paraId="4E307553" w14:textId="77777777" w:rsidR="00812F2D" w:rsidRPr="00A44C49" w:rsidRDefault="00812F2D" w:rsidP="00C15B93">
      <w:pPr>
        <w:spacing w:line="276" w:lineRule="auto"/>
        <w:jc w:val="both"/>
        <w:rPr>
          <w:rFonts w:ascii="Times New Roman" w:hAnsi="Times New Roman" w:cs="Times New Roman"/>
          <w:lang w:val="en-GB"/>
        </w:rPr>
      </w:pPr>
    </w:p>
    <w:p w14:paraId="28DA8EC0" w14:textId="2E04305A" w:rsidR="00E4684F" w:rsidRPr="00A44C49" w:rsidRDefault="000F4CD6"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 xml:space="preserve">Taking into consideration the guarantees for the functioning of lawyers, contained in principles 16-22 of the </w:t>
      </w:r>
      <w:hyperlink r:id="rId11" w:history="1">
        <w:r w:rsidRPr="00A44C49">
          <w:rPr>
            <w:rStyle w:val="Hyperlink"/>
            <w:rFonts w:ascii="Times New Roman" w:hAnsi="Times New Roman" w:cs="Times New Roman"/>
            <w:b/>
            <w:bCs/>
            <w:lang w:val="en-GB"/>
          </w:rPr>
          <w:t>Basic Principles on the Role of Lawyers</w:t>
        </w:r>
      </w:hyperlink>
      <w:r w:rsidRPr="00A44C49">
        <w:rPr>
          <w:rFonts w:ascii="Times New Roman" w:hAnsi="Times New Roman" w:cs="Times New Roman"/>
          <w:b/>
          <w:bCs/>
          <w:lang w:val="en-GB"/>
        </w:rPr>
        <w:t>, please describe the constitutional, legal, administrative and policy measures adopted in your country to enable lawyers to exercise their professional activities in favour of their clients in a free and independent manner</w:t>
      </w:r>
    </w:p>
    <w:p w14:paraId="71BFAF14" w14:textId="61AC8FEB" w:rsidR="00E4684F" w:rsidRPr="00A44C49" w:rsidRDefault="00E4684F" w:rsidP="00C15B93">
      <w:pPr>
        <w:pStyle w:val="ListParagraph"/>
        <w:spacing w:line="276" w:lineRule="auto"/>
        <w:jc w:val="both"/>
        <w:rPr>
          <w:rFonts w:ascii="Times New Roman" w:hAnsi="Times New Roman" w:cs="Times New Roman"/>
          <w:lang w:val="en-GB"/>
        </w:rPr>
      </w:pPr>
    </w:p>
    <w:p w14:paraId="77F65A1A" w14:textId="58C97D73" w:rsidR="0045771C" w:rsidRPr="00A44C49" w:rsidRDefault="00200894" w:rsidP="00C15B93">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I</w:t>
      </w:r>
      <w:r w:rsidR="000060A1" w:rsidRPr="00A44C49">
        <w:rPr>
          <w:rFonts w:ascii="Times New Roman" w:hAnsi="Times New Roman" w:cs="Times New Roman"/>
          <w:lang w:val="en-GB"/>
        </w:rPr>
        <w:t xml:space="preserve">t is relevant to note the separation of the profession in the UK into solicitors and barristers. The Law Society of England and Wales </w:t>
      </w:r>
      <w:r w:rsidR="0045771C" w:rsidRPr="00A44C49">
        <w:rPr>
          <w:rFonts w:ascii="Times New Roman" w:hAnsi="Times New Roman" w:cs="Times New Roman"/>
          <w:lang w:val="en-GB"/>
        </w:rPr>
        <w:t xml:space="preserve">is the independent professional body which </w:t>
      </w:r>
      <w:r w:rsidR="000060A1" w:rsidRPr="00A44C49">
        <w:rPr>
          <w:rFonts w:ascii="Times New Roman" w:hAnsi="Times New Roman" w:cs="Times New Roman"/>
          <w:lang w:val="en-GB"/>
        </w:rPr>
        <w:t xml:space="preserve">represents solicitors </w:t>
      </w:r>
      <w:r w:rsidR="0045771C" w:rsidRPr="00A44C49">
        <w:rPr>
          <w:rFonts w:ascii="Times New Roman" w:hAnsi="Times New Roman" w:cs="Times New Roman"/>
          <w:lang w:val="en-GB"/>
        </w:rPr>
        <w:t>for the jurisdiction of England and Wales</w:t>
      </w:r>
      <w:r w:rsidR="002D7862" w:rsidRPr="00A44C49">
        <w:rPr>
          <w:rFonts w:ascii="Times New Roman" w:hAnsi="Times New Roman" w:cs="Times New Roman"/>
          <w:lang w:val="en-GB"/>
        </w:rPr>
        <w:t xml:space="preserve"> (</w:t>
      </w:r>
      <w:r w:rsidR="008915A9" w:rsidRPr="00A44C49">
        <w:rPr>
          <w:rFonts w:ascii="Times New Roman" w:hAnsi="Times New Roman" w:cs="Times New Roman"/>
          <w:lang w:val="en-GB"/>
        </w:rPr>
        <w:t xml:space="preserve">so </w:t>
      </w:r>
      <w:r w:rsidR="002D7862" w:rsidRPr="00A44C49">
        <w:rPr>
          <w:rFonts w:ascii="Times New Roman" w:hAnsi="Times New Roman" w:cs="Times New Roman"/>
          <w:lang w:val="en-GB"/>
        </w:rPr>
        <w:t>excluding Scotland and Northern Ireland which have their own professional representative bodies)</w:t>
      </w:r>
      <w:r w:rsidR="0045771C" w:rsidRPr="00A44C49">
        <w:rPr>
          <w:rFonts w:ascii="Times New Roman" w:hAnsi="Times New Roman" w:cs="Times New Roman"/>
          <w:lang w:val="en-GB"/>
        </w:rPr>
        <w:t xml:space="preserve">. The focus of this </w:t>
      </w:r>
      <w:r w:rsidR="00A84BE9" w:rsidRPr="00A44C49">
        <w:rPr>
          <w:rFonts w:ascii="Times New Roman" w:hAnsi="Times New Roman" w:cs="Times New Roman"/>
          <w:lang w:val="en-GB"/>
        </w:rPr>
        <w:t xml:space="preserve">response </w:t>
      </w:r>
      <w:r w:rsidR="0045771C" w:rsidRPr="00A44C49">
        <w:rPr>
          <w:rFonts w:ascii="Times New Roman" w:hAnsi="Times New Roman" w:cs="Times New Roman"/>
          <w:lang w:val="en-GB"/>
        </w:rPr>
        <w:t>will therefore be solicitors</w:t>
      </w:r>
      <w:r w:rsidR="005418C9" w:rsidRPr="00A44C49">
        <w:rPr>
          <w:rFonts w:ascii="Times New Roman" w:hAnsi="Times New Roman" w:cs="Times New Roman"/>
          <w:lang w:val="en-GB"/>
        </w:rPr>
        <w:t>,</w:t>
      </w:r>
      <w:r w:rsidR="0045771C" w:rsidRPr="00A44C49">
        <w:rPr>
          <w:rFonts w:ascii="Times New Roman" w:hAnsi="Times New Roman" w:cs="Times New Roman"/>
          <w:lang w:val="en-GB"/>
        </w:rPr>
        <w:t xml:space="preserve"> </w:t>
      </w:r>
      <w:r w:rsidR="005418C9" w:rsidRPr="00A44C49">
        <w:rPr>
          <w:rFonts w:ascii="Times New Roman" w:hAnsi="Times New Roman" w:cs="Times New Roman"/>
          <w:lang w:val="en-GB"/>
        </w:rPr>
        <w:t>al</w:t>
      </w:r>
      <w:r w:rsidR="0045771C" w:rsidRPr="00A44C49">
        <w:rPr>
          <w:rFonts w:ascii="Times New Roman" w:hAnsi="Times New Roman" w:cs="Times New Roman"/>
          <w:lang w:val="en-GB"/>
        </w:rPr>
        <w:t>though some responses are relevant to both sides of the profession.</w:t>
      </w:r>
    </w:p>
    <w:p w14:paraId="29A9C71B" w14:textId="77777777" w:rsidR="0045771C" w:rsidRPr="00A44C49" w:rsidRDefault="0045771C" w:rsidP="00C15B93">
      <w:pPr>
        <w:pStyle w:val="ListParagraph"/>
        <w:spacing w:line="276" w:lineRule="auto"/>
        <w:jc w:val="both"/>
        <w:rPr>
          <w:rFonts w:ascii="Times New Roman" w:hAnsi="Times New Roman" w:cs="Times New Roman"/>
          <w:lang w:val="en-GB"/>
        </w:rPr>
      </w:pPr>
    </w:p>
    <w:p w14:paraId="0D272F44" w14:textId="2A68FC31" w:rsidR="00A44C49" w:rsidRPr="00A44C49" w:rsidRDefault="0045771C" w:rsidP="00A44C49">
      <w:pPr>
        <w:pStyle w:val="ListParagraph"/>
        <w:spacing w:line="276" w:lineRule="auto"/>
        <w:jc w:val="both"/>
        <w:rPr>
          <w:rFonts w:ascii="Times New Roman" w:hAnsi="Times New Roman" w:cs="Times New Roman"/>
          <w:color w:val="222222"/>
          <w:lang w:val="en-GB"/>
        </w:rPr>
      </w:pPr>
      <w:r w:rsidRPr="00A44C49">
        <w:rPr>
          <w:rFonts w:ascii="Times New Roman" w:hAnsi="Times New Roman" w:cs="Times New Roman"/>
          <w:lang w:val="en-GB"/>
        </w:rPr>
        <w:t>T</w:t>
      </w:r>
      <w:r w:rsidR="00E4684F" w:rsidRPr="00A44C49">
        <w:rPr>
          <w:rFonts w:ascii="Times New Roman" w:hAnsi="Times New Roman" w:cs="Times New Roman"/>
          <w:lang w:val="en-GB"/>
        </w:rPr>
        <w:t xml:space="preserve">he Legal Service Act 2007 created a separation between representation and regulation </w:t>
      </w:r>
      <w:r w:rsidR="003E7F2C" w:rsidRPr="00A44C49">
        <w:rPr>
          <w:rFonts w:ascii="Times New Roman" w:hAnsi="Times New Roman" w:cs="Times New Roman"/>
          <w:lang w:val="en-GB"/>
        </w:rPr>
        <w:t xml:space="preserve">of the professions </w:t>
      </w:r>
      <w:r w:rsidR="00E4684F" w:rsidRPr="00A44C49">
        <w:rPr>
          <w:rFonts w:ascii="Times New Roman" w:hAnsi="Times New Roman" w:cs="Times New Roman"/>
          <w:lang w:val="en-GB"/>
        </w:rPr>
        <w:t>(</w:t>
      </w:r>
      <w:r w:rsidR="000060A1" w:rsidRPr="00A44C49">
        <w:rPr>
          <w:rFonts w:ascii="Times New Roman" w:hAnsi="Times New Roman" w:cs="Times New Roman"/>
          <w:lang w:val="en-GB"/>
        </w:rPr>
        <w:t xml:space="preserve">the </w:t>
      </w:r>
      <w:r w:rsidR="00E4684F" w:rsidRPr="00A44C49">
        <w:rPr>
          <w:rFonts w:ascii="Times New Roman" w:hAnsi="Times New Roman" w:cs="Times New Roman"/>
          <w:lang w:val="en-GB"/>
        </w:rPr>
        <w:t xml:space="preserve">Law Society and </w:t>
      </w:r>
      <w:r w:rsidR="000060A1" w:rsidRPr="00A44C49">
        <w:rPr>
          <w:rFonts w:ascii="Times New Roman" w:hAnsi="Times New Roman" w:cs="Times New Roman"/>
          <w:lang w:val="en-GB"/>
        </w:rPr>
        <w:t xml:space="preserve">the </w:t>
      </w:r>
      <w:r w:rsidR="00E4684F" w:rsidRPr="00A44C49">
        <w:rPr>
          <w:rFonts w:ascii="Times New Roman" w:hAnsi="Times New Roman" w:cs="Times New Roman"/>
          <w:lang w:val="en-GB"/>
        </w:rPr>
        <w:t>Solicitors Regulat</w:t>
      </w:r>
      <w:r w:rsidR="000060A1" w:rsidRPr="00A44C49">
        <w:rPr>
          <w:rFonts w:ascii="Times New Roman" w:hAnsi="Times New Roman" w:cs="Times New Roman"/>
          <w:lang w:val="en-GB"/>
        </w:rPr>
        <w:t>ory</w:t>
      </w:r>
      <w:r w:rsidR="00E4684F" w:rsidRPr="00A44C49">
        <w:rPr>
          <w:rFonts w:ascii="Times New Roman" w:hAnsi="Times New Roman" w:cs="Times New Roman"/>
          <w:lang w:val="en-GB"/>
        </w:rPr>
        <w:t xml:space="preserve"> Authority</w:t>
      </w:r>
      <w:r w:rsidR="006F1CC9" w:rsidRPr="00A44C49">
        <w:rPr>
          <w:rFonts w:ascii="Times New Roman" w:hAnsi="Times New Roman" w:cs="Times New Roman"/>
          <w:lang w:val="en-GB"/>
        </w:rPr>
        <w:t xml:space="preserve"> -</w:t>
      </w:r>
      <w:r w:rsidR="00C10542" w:rsidRPr="00A44C49">
        <w:rPr>
          <w:rFonts w:ascii="Times New Roman" w:hAnsi="Times New Roman" w:cs="Times New Roman"/>
          <w:lang w:val="en-GB"/>
        </w:rPr>
        <w:t xml:space="preserve"> “SRA”</w:t>
      </w:r>
      <w:r w:rsidR="006F1CC9" w:rsidRPr="00A44C49">
        <w:rPr>
          <w:rFonts w:ascii="Times New Roman" w:hAnsi="Times New Roman" w:cs="Times New Roman"/>
          <w:lang w:val="en-GB"/>
        </w:rPr>
        <w:t xml:space="preserve"> -, as well as</w:t>
      </w:r>
      <w:r w:rsidR="00A10537" w:rsidRPr="00A44C49">
        <w:rPr>
          <w:rFonts w:ascii="Times New Roman" w:hAnsi="Times New Roman" w:cs="Times New Roman"/>
          <w:lang w:val="en-GB"/>
        </w:rPr>
        <w:t xml:space="preserve"> other regulated professions</w:t>
      </w:r>
      <w:r w:rsidR="00E4684F" w:rsidRPr="00A44C49">
        <w:rPr>
          <w:rFonts w:ascii="Times New Roman" w:hAnsi="Times New Roman" w:cs="Times New Roman"/>
          <w:lang w:val="en-GB"/>
        </w:rPr>
        <w:t xml:space="preserve">). The Act also created the Legal Services Board </w:t>
      </w:r>
      <w:r w:rsidR="006340BD" w:rsidRPr="00A44C49">
        <w:rPr>
          <w:rFonts w:ascii="Times New Roman" w:hAnsi="Times New Roman" w:cs="Times New Roman"/>
          <w:lang w:val="en-GB"/>
        </w:rPr>
        <w:t xml:space="preserve">(“LSB”) </w:t>
      </w:r>
      <w:r w:rsidR="00E4684F" w:rsidRPr="00A44C49">
        <w:rPr>
          <w:rFonts w:ascii="Times New Roman" w:hAnsi="Times New Roman" w:cs="Times New Roman"/>
          <w:lang w:val="en-GB"/>
        </w:rPr>
        <w:t xml:space="preserve">which oversees </w:t>
      </w:r>
      <w:r w:rsidR="00432D1F" w:rsidRPr="00A44C49">
        <w:rPr>
          <w:rFonts w:ascii="Times New Roman" w:hAnsi="Times New Roman" w:cs="Times New Roman"/>
          <w:lang w:val="en-GB"/>
        </w:rPr>
        <w:t>approved</w:t>
      </w:r>
      <w:r w:rsidR="0084075B" w:rsidRPr="00A44C49">
        <w:rPr>
          <w:rFonts w:ascii="Times New Roman" w:hAnsi="Times New Roman" w:cs="Times New Roman"/>
          <w:lang w:val="en-GB"/>
        </w:rPr>
        <w:t xml:space="preserve"> regulators like the SRA</w:t>
      </w:r>
      <w:r w:rsidR="00404974" w:rsidRPr="00A44C49">
        <w:rPr>
          <w:rFonts w:ascii="Times New Roman" w:hAnsi="Times New Roman" w:cs="Times New Roman"/>
          <w:lang w:val="en-GB"/>
        </w:rPr>
        <w:t xml:space="preserve"> and other</w:t>
      </w:r>
      <w:r w:rsidR="00C740E9" w:rsidRPr="00A44C49">
        <w:rPr>
          <w:rFonts w:ascii="Times New Roman" w:hAnsi="Times New Roman" w:cs="Times New Roman"/>
          <w:lang w:val="en-GB"/>
        </w:rPr>
        <w:t>s</w:t>
      </w:r>
      <w:r w:rsidR="00404974" w:rsidRPr="00A44C49">
        <w:rPr>
          <w:rFonts w:ascii="Times New Roman" w:hAnsi="Times New Roman" w:cs="Times New Roman"/>
          <w:lang w:val="en-GB"/>
        </w:rPr>
        <w:t>,</w:t>
      </w:r>
      <w:r w:rsidR="0084075B" w:rsidRPr="00A44C49">
        <w:rPr>
          <w:rFonts w:ascii="Times New Roman" w:hAnsi="Times New Roman" w:cs="Times New Roman"/>
          <w:lang w:val="en-GB"/>
        </w:rPr>
        <w:t xml:space="preserve"> and the</w:t>
      </w:r>
      <w:r w:rsidR="00432D1F" w:rsidRPr="00A44C49">
        <w:rPr>
          <w:rFonts w:ascii="Times New Roman" w:hAnsi="Times New Roman" w:cs="Times New Roman"/>
          <w:lang w:val="en-GB"/>
        </w:rPr>
        <w:t xml:space="preserve"> Office for Legal Complaints (which is responsible for administering the </w:t>
      </w:r>
      <w:hyperlink r:id="rId12" w:history="1">
        <w:r w:rsidR="00432D1F" w:rsidRPr="00A44C49">
          <w:rPr>
            <w:rStyle w:val="Hyperlink"/>
            <w:rFonts w:ascii="Times New Roman" w:hAnsi="Times New Roman" w:cs="Times New Roman"/>
            <w:lang w:val="en-GB"/>
          </w:rPr>
          <w:t>Legal Ombudsman</w:t>
        </w:r>
      </w:hyperlink>
      <w:r w:rsidR="00432D1F" w:rsidRPr="00A44C49">
        <w:rPr>
          <w:rFonts w:ascii="Times New Roman" w:hAnsi="Times New Roman" w:cs="Times New Roman"/>
          <w:lang w:val="en-GB"/>
        </w:rPr>
        <w:t> scheme)</w:t>
      </w:r>
      <w:r w:rsidR="00E4684F" w:rsidRPr="00A44C49">
        <w:rPr>
          <w:rFonts w:ascii="Times New Roman" w:hAnsi="Times New Roman" w:cs="Times New Roman"/>
          <w:lang w:val="en-GB"/>
        </w:rPr>
        <w:t>.</w:t>
      </w:r>
      <w:r w:rsidR="007536B8" w:rsidRPr="00A44C49">
        <w:rPr>
          <w:rFonts w:ascii="Times New Roman" w:hAnsi="Times New Roman" w:cs="Times New Roman"/>
          <w:lang w:val="en-GB"/>
        </w:rPr>
        <w:t xml:space="preserve"> </w:t>
      </w:r>
      <w:r w:rsidR="002F1434" w:rsidRPr="00A44C49">
        <w:rPr>
          <w:rFonts w:ascii="Times New Roman" w:hAnsi="Times New Roman" w:cs="Times New Roman"/>
          <w:lang w:val="en-GB"/>
        </w:rPr>
        <w:t xml:space="preserve">The LSB is independent </w:t>
      </w:r>
      <w:r w:rsidR="00C907CF" w:rsidRPr="00A44C49">
        <w:rPr>
          <w:rFonts w:ascii="Times New Roman" w:hAnsi="Times New Roman" w:cs="Times New Roman"/>
          <w:lang w:val="en-GB"/>
        </w:rPr>
        <w:t xml:space="preserve">of </w:t>
      </w:r>
      <w:r w:rsidR="002F1434" w:rsidRPr="00A44C49">
        <w:rPr>
          <w:rFonts w:ascii="Times New Roman" w:hAnsi="Times New Roman" w:cs="Times New Roman"/>
          <w:lang w:val="en-GB"/>
        </w:rPr>
        <w:t xml:space="preserve">both government and the profession. While the LSB is part of the public sector, it operates independently of </w:t>
      </w:r>
      <w:r w:rsidR="00BE1AE2" w:rsidRPr="00A44C49">
        <w:rPr>
          <w:rFonts w:ascii="Times New Roman" w:hAnsi="Times New Roman" w:cs="Times New Roman"/>
          <w:lang w:val="en-GB"/>
        </w:rPr>
        <w:t xml:space="preserve">the </w:t>
      </w:r>
      <w:r w:rsidR="002F1434" w:rsidRPr="00A44C49">
        <w:rPr>
          <w:rFonts w:ascii="Times New Roman" w:hAnsi="Times New Roman" w:cs="Times New Roman"/>
          <w:lang w:val="en-GB"/>
        </w:rPr>
        <w:t xml:space="preserve">government. </w:t>
      </w:r>
      <w:r w:rsidR="00DF0779" w:rsidRPr="00A44C49">
        <w:rPr>
          <w:rFonts w:ascii="Times New Roman" w:hAnsi="Times New Roman" w:cs="Times New Roman"/>
          <w:lang w:val="en-GB"/>
        </w:rPr>
        <w:t>The LSB is fina</w:t>
      </w:r>
      <w:r w:rsidR="00657479" w:rsidRPr="00A44C49">
        <w:rPr>
          <w:rFonts w:ascii="Times New Roman" w:hAnsi="Times New Roman" w:cs="Times New Roman"/>
          <w:lang w:val="en-GB"/>
        </w:rPr>
        <w:t>n</w:t>
      </w:r>
      <w:r w:rsidR="00DF0779" w:rsidRPr="00A44C49">
        <w:rPr>
          <w:rFonts w:ascii="Times New Roman" w:hAnsi="Times New Roman" w:cs="Times New Roman"/>
          <w:lang w:val="en-GB"/>
        </w:rPr>
        <w:t xml:space="preserve">ced by the levy imposed on </w:t>
      </w:r>
      <w:r w:rsidR="004D724C" w:rsidRPr="00A44C49">
        <w:rPr>
          <w:rFonts w:ascii="Times New Roman" w:hAnsi="Times New Roman" w:cs="Times New Roman"/>
          <w:lang w:val="en-GB"/>
        </w:rPr>
        <w:t>solicitors and other regulated professions</w:t>
      </w:r>
      <w:r w:rsidR="00DF0779" w:rsidRPr="00A44C49">
        <w:rPr>
          <w:rFonts w:ascii="Times New Roman" w:hAnsi="Times New Roman" w:cs="Times New Roman"/>
          <w:lang w:val="en-GB"/>
        </w:rPr>
        <w:t>.</w:t>
      </w:r>
      <w:r w:rsidR="00591B29" w:rsidRPr="00A44C49">
        <w:rPr>
          <w:rFonts w:ascii="Times New Roman" w:hAnsi="Times New Roman" w:cs="Times New Roman"/>
          <w:lang w:val="en-GB"/>
        </w:rPr>
        <w:t xml:space="preserve"> </w:t>
      </w:r>
    </w:p>
    <w:p w14:paraId="6E12DB21" w14:textId="77777777" w:rsidR="000060A1" w:rsidRPr="00A44C49" w:rsidRDefault="000060A1" w:rsidP="00C15B93">
      <w:pPr>
        <w:pStyle w:val="ListParagraph"/>
        <w:spacing w:line="276" w:lineRule="auto"/>
        <w:jc w:val="both"/>
        <w:rPr>
          <w:rFonts w:ascii="Times New Roman" w:hAnsi="Times New Roman" w:cs="Times New Roman"/>
          <w:lang w:val="en-GB"/>
        </w:rPr>
      </w:pPr>
    </w:p>
    <w:p w14:paraId="77FDAFFA" w14:textId="3D5F1B9F" w:rsidR="0028220A" w:rsidRPr="00A44C49" w:rsidRDefault="004D0030"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 xml:space="preserve">What entities and/or mechanisms are in place to prevent and/or punish </w:t>
      </w:r>
      <w:r w:rsidR="00127AC9" w:rsidRPr="00A44C49">
        <w:rPr>
          <w:rFonts w:ascii="Times New Roman" w:hAnsi="Times New Roman" w:cs="Times New Roman"/>
          <w:b/>
          <w:bCs/>
          <w:lang w:val="en-GB"/>
        </w:rPr>
        <w:t>interferences with the free and independent exercise of the legal profession</w:t>
      </w:r>
      <w:r w:rsidR="00295054" w:rsidRPr="00A44C49">
        <w:rPr>
          <w:rFonts w:ascii="Times New Roman" w:hAnsi="Times New Roman" w:cs="Times New Roman"/>
          <w:b/>
          <w:bCs/>
          <w:lang w:val="en-GB"/>
        </w:rPr>
        <w:t>? P</w:t>
      </w:r>
      <w:r w:rsidRPr="00A44C49">
        <w:rPr>
          <w:rFonts w:ascii="Times New Roman" w:hAnsi="Times New Roman" w:cs="Times New Roman"/>
          <w:b/>
          <w:bCs/>
          <w:lang w:val="en-GB"/>
        </w:rPr>
        <w:t>lease briefly describe them and specify whether they are independent bodies or if they belong to the administrative structure of the State.</w:t>
      </w:r>
    </w:p>
    <w:p w14:paraId="04B388E5" w14:textId="76975C68" w:rsidR="005418C9" w:rsidRPr="00A44C49" w:rsidRDefault="005418C9" w:rsidP="00C15B93">
      <w:pPr>
        <w:pStyle w:val="ListParagraph"/>
        <w:spacing w:line="276" w:lineRule="auto"/>
        <w:jc w:val="both"/>
        <w:rPr>
          <w:rFonts w:ascii="Times New Roman" w:hAnsi="Times New Roman" w:cs="Times New Roman"/>
          <w:lang w:val="en-GB"/>
        </w:rPr>
      </w:pPr>
    </w:p>
    <w:p w14:paraId="27C0E9DC" w14:textId="189FADAF" w:rsidR="005418C9" w:rsidRPr="00A44C49" w:rsidRDefault="005418C9" w:rsidP="00C15B93">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 xml:space="preserve">There are no specifically designed </w:t>
      </w:r>
      <w:r w:rsidR="00A44C49" w:rsidRPr="00A44C49">
        <w:rPr>
          <w:rFonts w:ascii="Times New Roman" w:hAnsi="Times New Roman" w:cs="Times New Roman"/>
          <w:lang w:val="en-GB"/>
        </w:rPr>
        <w:t xml:space="preserve">entities and/or mechanisms </w:t>
      </w:r>
      <w:r w:rsidRPr="00A44C49">
        <w:rPr>
          <w:rFonts w:ascii="Times New Roman" w:hAnsi="Times New Roman" w:cs="Times New Roman"/>
          <w:lang w:val="en-GB"/>
        </w:rPr>
        <w:t xml:space="preserve">to prevent and/or punish interferences with the free and independent exercise of the legal profession. In relation to the press, an individual solicitor or law firm would need to make use of press complaints procedures or defamation law. </w:t>
      </w:r>
      <w:r w:rsidR="0023714D" w:rsidRPr="00A44C49">
        <w:rPr>
          <w:rFonts w:ascii="Times New Roman" w:hAnsi="Times New Roman" w:cs="Times New Roman"/>
          <w:lang w:val="en-GB"/>
        </w:rPr>
        <w:t xml:space="preserve">The UK has had a robust criminal justice system which may be relied on in instances such as that described below of an attack on a lawyer for exercising their profession, where the individual was arrested and charged. However, reductions in funding, </w:t>
      </w:r>
      <w:r w:rsidR="00657479" w:rsidRPr="00A44C49">
        <w:rPr>
          <w:rFonts w:ascii="Times New Roman" w:hAnsi="Times New Roman" w:cs="Times New Roman"/>
          <w:lang w:val="en-GB"/>
        </w:rPr>
        <w:t xml:space="preserve">to all parts of the criminal justice system, including prosecutors, courts and </w:t>
      </w:r>
      <w:r w:rsidR="0023714D" w:rsidRPr="00A44C49">
        <w:rPr>
          <w:rFonts w:ascii="Times New Roman" w:hAnsi="Times New Roman" w:cs="Times New Roman"/>
          <w:lang w:val="en-GB"/>
        </w:rPr>
        <w:t>criminal legal aid</w:t>
      </w:r>
      <w:r w:rsidR="00657479" w:rsidRPr="00A44C49">
        <w:rPr>
          <w:rFonts w:ascii="Times New Roman" w:hAnsi="Times New Roman" w:cs="Times New Roman"/>
          <w:lang w:val="en-GB"/>
        </w:rPr>
        <w:t>,</w:t>
      </w:r>
      <w:r w:rsidR="0023714D" w:rsidRPr="00A44C49">
        <w:rPr>
          <w:rFonts w:ascii="Times New Roman" w:hAnsi="Times New Roman" w:cs="Times New Roman"/>
          <w:lang w:val="en-GB"/>
        </w:rPr>
        <w:t xml:space="preserve"> have resulted in delays and prolonged periods of those accused on remand, which risks undermining the probity of criminal justice in England and Wales.</w:t>
      </w:r>
    </w:p>
    <w:p w14:paraId="39CB1292" w14:textId="77777777" w:rsidR="000027BD" w:rsidRPr="00A44C49" w:rsidRDefault="000027BD" w:rsidP="00C15B93">
      <w:pPr>
        <w:pStyle w:val="ListParagraph"/>
        <w:spacing w:line="276" w:lineRule="auto"/>
        <w:jc w:val="both"/>
        <w:rPr>
          <w:rFonts w:ascii="Times New Roman" w:hAnsi="Times New Roman" w:cs="Times New Roman"/>
          <w:lang w:val="en-GB"/>
        </w:rPr>
      </w:pPr>
    </w:p>
    <w:p w14:paraId="435BF4CC" w14:textId="1B388AFE" w:rsidR="000027BD" w:rsidRPr="00A44C49" w:rsidRDefault="000027BD"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Please indicate if there are any legislative, administrative, or institutional barriers that have hindered the work of lawyers and the exercise of the legal profession in your country and describe them</w:t>
      </w:r>
      <w:r w:rsidR="00704A09" w:rsidRPr="00A44C49">
        <w:rPr>
          <w:rFonts w:ascii="Times New Roman" w:hAnsi="Times New Roman" w:cs="Times New Roman"/>
          <w:b/>
          <w:bCs/>
          <w:lang w:val="en-GB"/>
        </w:rPr>
        <w:t>.</w:t>
      </w:r>
    </w:p>
    <w:p w14:paraId="3C0555EC" w14:textId="63AAB558" w:rsidR="00087AB7" w:rsidRPr="00A44C49" w:rsidRDefault="00BF0663" w:rsidP="007536B8">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lastRenderedPageBreak/>
        <w:t xml:space="preserve">Insufficient government resources have been allocated to the justice system, with court closures, lack of investment in infrastructure and legal aid cuts. </w:t>
      </w:r>
      <w:r w:rsidR="00657479" w:rsidRPr="00A44C49">
        <w:rPr>
          <w:rFonts w:ascii="Times New Roman" w:hAnsi="Times New Roman" w:cs="Times New Roman"/>
          <w:lang w:val="en-GB"/>
        </w:rPr>
        <w:t>There is a tension in the move towards online court hearings between the needs of justice and the Government’s wish to secure costs savings. However, the question whether to hold a hearing online is one for the judge in each case, which provides protection against undue focus on cost savings. However, the reluctant</w:t>
      </w:r>
      <w:r w:rsidR="00087AB7" w:rsidRPr="00A44C49">
        <w:rPr>
          <w:rFonts w:ascii="Times New Roman" w:hAnsi="Times New Roman" w:cs="Times New Roman"/>
          <w:lang w:val="en-GB"/>
        </w:rPr>
        <w:t xml:space="preserve"> approach to the funding of justice delivers a negative message about the government’s attitude towards access to justice, the role of lawyers and the importance of this work. This message is reflected in government statements about lawyers by government ministers, </w:t>
      </w:r>
      <w:r w:rsidR="005432F1" w:rsidRPr="00A44C49">
        <w:rPr>
          <w:rFonts w:ascii="Times New Roman" w:hAnsi="Times New Roman" w:cs="Times New Roman"/>
          <w:lang w:val="en-GB"/>
        </w:rPr>
        <w:t>including the</w:t>
      </w:r>
      <w:r w:rsidR="00941E15" w:rsidRPr="00A44C49">
        <w:rPr>
          <w:rFonts w:ascii="Times New Roman" w:hAnsi="Times New Roman" w:cs="Times New Roman"/>
          <w:lang w:val="en-GB"/>
        </w:rPr>
        <w:t xml:space="preserve"> Minister for Home Affairs and the</w:t>
      </w:r>
      <w:r w:rsidR="00087AB7" w:rsidRPr="00A44C49">
        <w:rPr>
          <w:rFonts w:ascii="Times New Roman" w:hAnsi="Times New Roman" w:cs="Times New Roman"/>
          <w:lang w:val="en-GB"/>
        </w:rPr>
        <w:t xml:space="preserve"> Prime Minister.</w:t>
      </w:r>
    </w:p>
    <w:p w14:paraId="4A1841BB" w14:textId="77777777" w:rsidR="00DD3885" w:rsidRDefault="00DD3885" w:rsidP="007536B8">
      <w:pPr>
        <w:pStyle w:val="ListParagraph"/>
        <w:spacing w:line="276" w:lineRule="auto"/>
        <w:jc w:val="both"/>
        <w:rPr>
          <w:rFonts w:ascii="Times New Roman" w:hAnsi="Times New Roman" w:cs="Times New Roman"/>
          <w:lang w:val="en-GB"/>
        </w:rPr>
      </w:pPr>
    </w:p>
    <w:p w14:paraId="6B099B07" w14:textId="30C4443A" w:rsidR="0023714D" w:rsidRPr="00A44C49" w:rsidRDefault="00BF0663" w:rsidP="007536B8">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 xml:space="preserve">The </w:t>
      </w:r>
      <w:r w:rsidR="0023714D" w:rsidRPr="00A44C49">
        <w:rPr>
          <w:rFonts w:ascii="Times New Roman" w:hAnsi="Times New Roman" w:cs="Times New Roman"/>
          <w:lang w:val="en-GB"/>
        </w:rPr>
        <w:t>gradual erosion of legal aid provision during the past decade, in particular the severe cuts to civil legal aid in the 2012 Legal Aid, Sentencing and Punishment of Offenders (LASPO) Act</w:t>
      </w:r>
      <w:r w:rsidRPr="00A44C49">
        <w:rPr>
          <w:rFonts w:ascii="Times New Roman" w:hAnsi="Times New Roman" w:cs="Times New Roman"/>
          <w:lang w:val="en-GB"/>
        </w:rPr>
        <w:t xml:space="preserve"> </w:t>
      </w:r>
      <w:r w:rsidR="0023714D" w:rsidRPr="00A44C49">
        <w:rPr>
          <w:rFonts w:ascii="Times New Roman" w:hAnsi="Times New Roman" w:cs="Times New Roman"/>
          <w:lang w:val="en-GB"/>
        </w:rPr>
        <w:t>ha</w:t>
      </w:r>
      <w:r w:rsidR="00087AB7" w:rsidRPr="00A44C49">
        <w:rPr>
          <w:rFonts w:ascii="Times New Roman" w:hAnsi="Times New Roman" w:cs="Times New Roman"/>
          <w:lang w:val="en-GB"/>
        </w:rPr>
        <w:t xml:space="preserve">s </w:t>
      </w:r>
      <w:r w:rsidRPr="00A44C49">
        <w:rPr>
          <w:rFonts w:ascii="Times New Roman" w:hAnsi="Times New Roman" w:cs="Times New Roman"/>
          <w:lang w:val="en-GB"/>
        </w:rPr>
        <w:t>hindered the work of lawyers working for disadvantaged people</w:t>
      </w:r>
      <w:r w:rsidR="00CF79AC" w:rsidRPr="00A44C49">
        <w:rPr>
          <w:rFonts w:ascii="Times New Roman" w:hAnsi="Times New Roman" w:cs="Times New Roman"/>
          <w:lang w:val="en-GB"/>
        </w:rPr>
        <w:t>,</w:t>
      </w:r>
      <w:r w:rsidRPr="00A44C49">
        <w:rPr>
          <w:rFonts w:ascii="Times New Roman" w:hAnsi="Times New Roman" w:cs="Times New Roman"/>
          <w:lang w:val="en-GB"/>
        </w:rPr>
        <w:t xml:space="preserve"> primarily in the areas of family, </w:t>
      </w:r>
      <w:r w:rsidR="00657479" w:rsidRPr="00A44C49">
        <w:rPr>
          <w:rFonts w:ascii="Times New Roman" w:hAnsi="Times New Roman" w:cs="Times New Roman"/>
          <w:lang w:val="en-GB"/>
        </w:rPr>
        <w:t xml:space="preserve">housing, </w:t>
      </w:r>
      <w:r w:rsidR="006138D3" w:rsidRPr="00A44C49">
        <w:rPr>
          <w:rFonts w:ascii="Times New Roman" w:hAnsi="Times New Roman" w:cs="Times New Roman"/>
          <w:lang w:val="en-GB"/>
        </w:rPr>
        <w:t>immigration,</w:t>
      </w:r>
      <w:r w:rsidRPr="00A44C49">
        <w:rPr>
          <w:rFonts w:ascii="Times New Roman" w:hAnsi="Times New Roman" w:cs="Times New Roman"/>
          <w:lang w:val="en-GB"/>
        </w:rPr>
        <w:t xml:space="preserve"> and welfare benefits law. Some firms have closed or reduced staffing</w:t>
      </w:r>
      <w:r w:rsidR="00D15758" w:rsidRPr="00A44C49">
        <w:rPr>
          <w:rFonts w:ascii="Times New Roman" w:hAnsi="Times New Roman" w:cs="Times New Roman"/>
          <w:lang w:val="en-GB"/>
        </w:rPr>
        <w:t xml:space="preserve"> (and see further the coronavirus section below)</w:t>
      </w:r>
      <w:r w:rsidRPr="00A44C49">
        <w:rPr>
          <w:rFonts w:ascii="Times New Roman" w:hAnsi="Times New Roman" w:cs="Times New Roman"/>
          <w:lang w:val="en-GB"/>
        </w:rPr>
        <w:t xml:space="preserve">. It </w:t>
      </w:r>
      <w:r w:rsidR="00087AB7" w:rsidRPr="00A44C49">
        <w:rPr>
          <w:rFonts w:ascii="Times New Roman" w:hAnsi="Times New Roman" w:cs="Times New Roman"/>
          <w:lang w:val="en-GB"/>
        </w:rPr>
        <w:t xml:space="preserve">can </w:t>
      </w:r>
      <w:r w:rsidRPr="00A44C49">
        <w:rPr>
          <w:rFonts w:ascii="Times New Roman" w:hAnsi="Times New Roman" w:cs="Times New Roman"/>
          <w:lang w:val="en-GB"/>
        </w:rPr>
        <w:t xml:space="preserve">be argued that </w:t>
      </w:r>
      <w:r w:rsidR="00291EDE" w:rsidRPr="00A44C49">
        <w:rPr>
          <w:rFonts w:ascii="Times New Roman" w:hAnsi="Times New Roman" w:cs="Times New Roman"/>
          <w:lang w:val="en-GB"/>
        </w:rPr>
        <w:t xml:space="preserve">through such </w:t>
      </w:r>
      <w:r w:rsidR="00246A37" w:rsidRPr="00A44C49">
        <w:rPr>
          <w:rFonts w:ascii="Times New Roman" w:hAnsi="Times New Roman" w:cs="Times New Roman"/>
          <w:lang w:val="en-GB"/>
        </w:rPr>
        <w:t>measures</w:t>
      </w:r>
      <w:r w:rsidR="00291EDE" w:rsidRPr="00A44C49">
        <w:rPr>
          <w:rFonts w:ascii="Times New Roman" w:hAnsi="Times New Roman" w:cs="Times New Roman"/>
          <w:lang w:val="en-GB"/>
        </w:rPr>
        <w:t xml:space="preserve"> the Government sends an implicit</w:t>
      </w:r>
      <w:r w:rsidRPr="00A44C49">
        <w:rPr>
          <w:rFonts w:ascii="Times New Roman" w:hAnsi="Times New Roman" w:cs="Times New Roman"/>
          <w:lang w:val="en-GB"/>
        </w:rPr>
        <w:t xml:space="preserve"> message about lawyers acting for </w:t>
      </w:r>
      <w:r w:rsidR="00BA276C">
        <w:rPr>
          <w:rFonts w:ascii="Times New Roman" w:hAnsi="Times New Roman" w:cs="Times New Roman"/>
          <w:lang w:val="en-GB"/>
        </w:rPr>
        <w:t>“</w:t>
      </w:r>
      <w:r w:rsidRPr="00A44C49">
        <w:rPr>
          <w:rFonts w:ascii="Times New Roman" w:hAnsi="Times New Roman" w:cs="Times New Roman"/>
          <w:lang w:val="en-GB"/>
        </w:rPr>
        <w:t>unpopular</w:t>
      </w:r>
      <w:r w:rsidR="00BA276C">
        <w:rPr>
          <w:rFonts w:ascii="Times New Roman" w:hAnsi="Times New Roman" w:cs="Times New Roman"/>
          <w:lang w:val="en-GB"/>
        </w:rPr>
        <w:t>”</w:t>
      </w:r>
      <w:r w:rsidRPr="00A44C49">
        <w:rPr>
          <w:rFonts w:ascii="Times New Roman" w:hAnsi="Times New Roman" w:cs="Times New Roman"/>
          <w:lang w:val="en-GB"/>
        </w:rPr>
        <w:t xml:space="preserve"> clients, which is reflected in </w:t>
      </w:r>
      <w:r w:rsidR="00087AB7" w:rsidRPr="00A44C49">
        <w:rPr>
          <w:rFonts w:ascii="Times New Roman" w:hAnsi="Times New Roman" w:cs="Times New Roman"/>
          <w:lang w:val="en-GB"/>
        </w:rPr>
        <w:t xml:space="preserve">public statements of the government and reported in </w:t>
      </w:r>
      <w:r w:rsidRPr="00A44C49">
        <w:rPr>
          <w:rFonts w:ascii="Times New Roman" w:hAnsi="Times New Roman" w:cs="Times New Roman"/>
          <w:lang w:val="en-GB"/>
        </w:rPr>
        <w:t>the press</w:t>
      </w:r>
      <w:r w:rsidR="00087AB7" w:rsidRPr="00A44C49">
        <w:rPr>
          <w:rFonts w:ascii="Times New Roman" w:hAnsi="Times New Roman" w:cs="Times New Roman"/>
          <w:lang w:val="en-GB"/>
        </w:rPr>
        <w:t>,</w:t>
      </w:r>
      <w:r w:rsidRPr="00A44C49">
        <w:rPr>
          <w:rFonts w:ascii="Times New Roman" w:hAnsi="Times New Roman" w:cs="Times New Roman"/>
          <w:lang w:val="en-GB"/>
        </w:rPr>
        <w:t xml:space="preserve"> as expanded on below. </w:t>
      </w:r>
      <w:r w:rsidR="000C0788" w:rsidRPr="00A44C49">
        <w:rPr>
          <w:rFonts w:ascii="Times New Roman" w:hAnsi="Times New Roman" w:cs="Times New Roman"/>
          <w:lang w:val="en-GB"/>
        </w:rPr>
        <w:t>This</w:t>
      </w:r>
      <w:r w:rsidR="007536B8" w:rsidRPr="00A44C49">
        <w:rPr>
          <w:rFonts w:ascii="Times New Roman" w:hAnsi="Times New Roman" w:cs="Times New Roman"/>
          <w:lang w:val="en-GB"/>
        </w:rPr>
        <w:t xml:space="preserve"> </w:t>
      </w:r>
      <w:r w:rsidR="0023714D" w:rsidRPr="00A44C49">
        <w:rPr>
          <w:rFonts w:ascii="Times New Roman" w:hAnsi="Times New Roman" w:cs="Times New Roman"/>
          <w:lang w:val="en-GB"/>
        </w:rPr>
        <w:t>has had an adverse impact on</w:t>
      </w:r>
      <w:r w:rsidR="002974B4" w:rsidRPr="00A44C49">
        <w:rPr>
          <w:rFonts w:ascii="Times New Roman" w:hAnsi="Times New Roman" w:cs="Times New Roman"/>
          <w:lang w:val="en-GB"/>
        </w:rPr>
        <w:t xml:space="preserve"> their ability to act for disadvantaged clients</w:t>
      </w:r>
      <w:r w:rsidR="000C0788" w:rsidRPr="00A44C49">
        <w:rPr>
          <w:rFonts w:ascii="Times New Roman" w:hAnsi="Times New Roman" w:cs="Times New Roman"/>
          <w:lang w:val="en-GB"/>
        </w:rPr>
        <w:t xml:space="preserve"> and contributes to negative perceptions </w:t>
      </w:r>
      <w:r w:rsidR="00AE6010" w:rsidRPr="00A44C49">
        <w:rPr>
          <w:rFonts w:ascii="Times New Roman" w:hAnsi="Times New Roman" w:cs="Times New Roman"/>
          <w:lang w:val="en-GB"/>
        </w:rPr>
        <w:t>by</w:t>
      </w:r>
      <w:r w:rsidR="000C0788" w:rsidRPr="00A44C49">
        <w:rPr>
          <w:rFonts w:ascii="Times New Roman" w:hAnsi="Times New Roman" w:cs="Times New Roman"/>
          <w:lang w:val="en-GB"/>
        </w:rPr>
        <w:t xml:space="preserve"> the public and hostility towards </w:t>
      </w:r>
      <w:r w:rsidR="00AE6010" w:rsidRPr="00A44C49">
        <w:rPr>
          <w:rFonts w:ascii="Times New Roman" w:hAnsi="Times New Roman" w:cs="Times New Roman"/>
          <w:lang w:val="en-GB"/>
        </w:rPr>
        <w:t>these lawyers</w:t>
      </w:r>
      <w:r w:rsidR="002974B4" w:rsidRPr="00A44C49">
        <w:rPr>
          <w:rFonts w:ascii="Times New Roman" w:hAnsi="Times New Roman" w:cs="Times New Roman"/>
          <w:lang w:val="en-GB"/>
        </w:rPr>
        <w:t>.</w:t>
      </w:r>
    </w:p>
    <w:p w14:paraId="1EACA387" w14:textId="77777777" w:rsidR="00DD3885" w:rsidRDefault="00DD3885" w:rsidP="007536B8">
      <w:pPr>
        <w:pStyle w:val="ListParagraph"/>
        <w:spacing w:line="276" w:lineRule="auto"/>
        <w:jc w:val="both"/>
        <w:rPr>
          <w:rFonts w:ascii="Times New Roman" w:hAnsi="Times New Roman" w:cs="Times New Roman"/>
          <w:lang w:val="en-GB"/>
        </w:rPr>
      </w:pPr>
    </w:p>
    <w:p w14:paraId="48FD929C" w14:textId="1F9E804C" w:rsidR="00920CC4" w:rsidRPr="00A44C49" w:rsidRDefault="00920CC4" w:rsidP="007536B8">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 xml:space="preserve">The </w:t>
      </w:r>
      <w:r w:rsidR="00087AB7" w:rsidRPr="00A44C49">
        <w:rPr>
          <w:rFonts w:ascii="Times New Roman" w:hAnsi="Times New Roman" w:cs="Times New Roman"/>
          <w:lang w:val="en-GB"/>
        </w:rPr>
        <w:t xml:space="preserve">government has taken a further step by introducing the </w:t>
      </w:r>
      <w:r w:rsidRPr="00A44C49">
        <w:rPr>
          <w:rFonts w:ascii="Times New Roman" w:hAnsi="Times New Roman" w:cs="Times New Roman"/>
          <w:lang w:val="en-GB"/>
        </w:rPr>
        <w:t xml:space="preserve">Nationality and Borders Bill which is currently before parliament </w:t>
      </w:r>
      <w:r w:rsidR="00AE6010" w:rsidRPr="00A44C49">
        <w:rPr>
          <w:rFonts w:ascii="Times New Roman" w:hAnsi="Times New Roman" w:cs="Times New Roman"/>
          <w:lang w:val="en-GB"/>
        </w:rPr>
        <w:t xml:space="preserve">and </w:t>
      </w:r>
      <w:r w:rsidRPr="00A44C49">
        <w:rPr>
          <w:rFonts w:ascii="Times New Roman" w:hAnsi="Times New Roman" w:cs="Times New Roman"/>
          <w:lang w:val="en-GB"/>
        </w:rPr>
        <w:t>seeks to introduce additional powers for the Immigration Tribunal to fine lawyers for “improper, unreasonable or negligent behaviour”. We have expressed our concerns that this is a very broad formulation which, as a result, could have a chilling effect on the willingness of solicitors to take on difficult cases for fear of risking personal financial liability.</w:t>
      </w:r>
    </w:p>
    <w:p w14:paraId="0D038DE7" w14:textId="77777777" w:rsidR="00BA276C" w:rsidRDefault="00BA276C" w:rsidP="007536B8">
      <w:pPr>
        <w:pStyle w:val="ListParagraph"/>
        <w:spacing w:line="276" w:lineRule="auto"/>
        <w:jc w:val="both"/>
        <w:rPr>
          <w:rFonts w:ascii="Times New Roman" w:hAnsi="Times New Roman" w:cs="Times New Roman"/>
          <w:lang w:val="en-GB"/>
        </w:rPr>
      </w:pPr>
    </w:p>
    <w:p w14:paraId="226FEEC4" w14:textId="747A25A8" w:rsidR="00920CC4" w:rsidRPr="00A44C49" w:rsidRDefault="00920CC4" w:rsidP="007536B8">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Solicitors are already subject to rigorous regulatory regimes, including from the SRA</w:t>
      </w:r>
      <w:r w:rsidR="006340BD" w:rsidRPr="00A44C49">
        <w:rPr>
          <w:rFonts w:ascii="Times New Roman" w:hAnsi="Times New Roman" w:cs="Times New Roman"/>
          <w:lang w:val="en-GB"/>
        </w:rPr>
        <w:t xml:space="preserve">, </w:t>
      </w:r>
      <w:r w:rsidRPr="00A44C49">
        <w:rPr>
          <w:rFonts w:ascii="Times New Roman" w:hAnsi="Times New Roman" w:cs="Times New Roman"/>
          <w:lang w:val="en-GB"/>
        </w:rPr>
        <w:t>LSB</w:t>
      </w:r>
      <w:r w:rsidR="006340BD" w:rsidRPr="00A44C49">
        <w:rPr>
          <w:rFonts w:ascii="Times New Roman" w:hAnsi="Times New Roman" w:cs="Times New Roman"/>
          <w:lang w:val="en-GB"/>
        </w:rPr>
        <w:t>,</w:t>
      </w:r>
      <w:r w:rsidRPr="00A44C49">
        <w:rPr>
          <w:rFonts w:ascii="Times New Roman" w:hAnsi="Times New Roman" w:cs="Times New Roman"/>
          <w:lang w:val="en-GB"/>
        </w:rPr>
        <w:t xml:space="preserve"> and additional court rules allowing for penalties imposed through costs (wasted costs orders) and the ability of the Immigration Tribunal to refer cases of improper behaviour to the regulator. The Law Society therefore believes that this additional power is unnecessary and would only serve to duplicate existing regimes, creating more complexity. At worst, it risks driving a wedge between solicitors and their clients, by creating a conflict of interest if solicitors are to be held personally liable for costs for reasons outside of their control.</w:t>
      </w:r>
      <w:r w:rsidR="001B652A" w:rsidRPr="00A44C49">
        <w:rPr>
          <w:rFonts w:ascii="Times New Roman" w:hAnsi="Times New Roman" w:cs="Times New Roman"/>
          <w:lang w:val="en-GB"/>
        </w:rPr>
        <w:t xml:space="preserve"> Solicitors are fundamentally obliged to act in their clients’ best interests, which may involve adjourning a case due to a change in circumstances which they are not at liberty to disclose. </w:t>
      </w:r>
    </w:p>
    <w:p w14:paraId="242C41E2" w14:textId="77777777" w:rsidR="004D0030" w:rsidRPr="00A44C49" w:rsidRDefault="004D0030" w:rsidP="00C15B93">
      <w:pPr>
        <w:pStyle w:val="ListParagraph"/>
        <w:spacing w:line="276" w:lineRule="auto"/>
        <w:jc w:val="both"/>
        <w:rPr>
          <w:rFonts w:ascii="Times New Roman" w:hAnsi="Times New Roman" w:cs="Times New Roman"/>
          <w:lang w:val="en-GB"/>
        </w:rPr>
      </w:pPr>
    </w:p>
    <w:p w14:paraId="1AE75C94" w14:textId="1EC0001A" w:rsidR="00F14B76" w:rsidRPr="00A44C49" w:rsidRDefault="004D0030"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 xml:space="preserve">Please describe the role of the national bar association(s) in protecting lawyers and the free exercise of the legal profession. Is the bar association de jure and de facto independent from the State? </w:t>
      </w:r>
    </w:p>
    <w:p w14:paraId="46D0A31C" w14:textId="4D0E55D1" w:rsidR="00D15758" w:rsidRPr="00A44C49" w:rsidRDefault="00D15758" w:rsidP="00C15B93">
      <w:pPr>
        <w:pStyle w:val="ListParagraph"/>
        <w:spacing w:line="276" w:lineRule="auto"/>
        <w:jc w:val="both"/>
        <w:rPr>
          <w:rFonts w:ascii="Times New Roman" w:hAnsi="Times New Roman" w:cs="Times New Roman"/>
          <w:lang w:val="en-GB"/>
        </w:rPr>
      </w:pPr>
    </w:p>
    <w:p w14:paraId="39FF1B4D" w14:textId="7F4FAF02" w:rsidR="00D15758" w:rsidRPr="00A44C49" w:rsidRDefault="00D15758" w:rsidP="00C15B93">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 xml:space="preserve">The Law Society of England and Wales and the Bar Council </w:t>
      </w:r>
      <w:r w:rsidR="00E879DE" w:rsidRPr="00A44C49">
        <w:rPr>
          <w:rFonts w:ascii="Times New Roman" w:hAnsi="Times New Roman" w:cs="Times New Roman"/>
          <w:lang w:val="en-GB"/>
        </w:rPr>
        <w:t xml:space="preserve">of England and Wales </w:t>
      </w:r>
      <w:r w:rsidRPr="00A44C49">
        <w:rPr>
          <w:rFonts w:ascii="Times New Roman" w:hAnsi="Times New Roman" w:cs="Times New Roman"/>
          <w:lang w:val="en-GB"/>
        </w:rPr>
        <w:t xml:space="preserve">are the two </w:t>
      </w:r>
      <w:r w:rsidR="00E879DE" w:rsidRPr="00A44C49">
        <w:rPr>
          <w:rFonts w:ascii="Times New Roman" w:hAnsi="Times New Roman" w:cs="Times New Roman"/>
          <w:lang w:val="en-GB"/>
        </w:rPr>
        <w:t>“</w:t>
      </w:r>
      <w:r w:rsidRPr="00A44C49">
        <w:rPr>
          <w:rFonts w:ascii="Times New Roman" w:hAnsi="Times New Roman" w:cs="Times New Roman"/>
          <w:lang w:val="en-GB"/>
        </w:rPr>
        <w:t>national</w:t>
      </w:r>
      <w:r w:rsidR="00E879DE" w:rsidRPr="00A44C49">
        <w:rPr>
          <w:rFonts w:ascii="Times New Roman" w:hAnsi="Times New Roman" w:cs="Times New Roman"/>
          <w:lang w:val="en-GB"/>
        </w:rPr>
        <w:t>”</w:t>
      </w:r>
      <w:r w:rsidRPr="00A44C49">
        <w:rPr>
          <w:rFonts w:ascii="Times New Roman" w:hAnsi="Times New Roman" w:cs="Times New Roman"/>
          <w:lang w:val="en-GB"/>
        </w:rPr>
        <w:t xml:space="preserve"> bar associations </w:t>
      </w:r>
      <w:r w:rsidR="00E879DE" w:rsidRPr="00A44C49">
        <w:rPr>
          <w:rFonts w:ascii="Times New Roman" w:hAnsi="Times New Roman" w:cs="Times New Roman"/>
          <w:lang w:val="en-GB"/>
        </w:rPr>
        <w:t xml:space="preserve">of this jurisdiction, </w:t>
      </w:r>
      <w:r w:rsidRPr="00A44C49">
        <w:rPr>
          <w:rFonts w:ascii="Times New Roman" w:hAnsi="Times New Roman" w:cs="Times New Roman"/>
          <w:lang w:val="en-GB"/>
        </w:rPr>
        <w:t xml:space="preserve">which are independent </w:t>
      </w:r>
      <w:r w:rsidR="00D76212" w:rsidRPr="00A44C49">
        <w:rPr>
          <w:rFonts w:ascii="Times New Roman" w:hAnsi="Times New Roman" w:cs="Times New Roman"/>
          <w:lang w:val="en-GB"/>
        </w:rPr>
        <w:t xml:space="preserve">representative </w:t>
      </w:r>
      <w:r w:rsidR="00D76212" w:rsidRPr="00A44C49">
        <w:rPr>
          <w:rFonts w:ascii="Times New Roman" w:hAnsi="Times New Roman" w:cs="Times New Roman"/>
          <w:lang w:val="en-GB"/>
        </w:rPr>
        <w:lastRenderedPageBreak/>
        <w:t>bodies of the</w:t>
      </w:r>
      <w:r w:rsidR="00952014" w:rsidRPr="00A44C49">
        <w:rPr>
          <w:rFonts w:ascii="Times New Roman" w:hAnsi="Times New Roman" w:cs="Times New Roman"/>
          <w:lang w:val="en-GB"/>
        </w:rPr>
        <w:t>se</w:t>
      </w:r>
      <w:r w:rsidR="00D76212" w:rsidRPr="00A44C49">
        <w:rPr>
          <w:rFonts w:ascii="Times New Roman" w:hAnsi="Times New Roman" w:cs="Times New Roman"/>
          <w:lang w:val="en-GB"/>
        </w:rPr>
        <w:t xml:space="preserve"> professi</w:t>
      </w:r>
      <w:r w:rsidR="00952014" w:rsidRPr="00A44C49">
        <w:rPr>
          <w:rFonts w:ascii="Times New Roman" w:hAnsi="Times New Roman" w:cs="Times New Roman"/>
          <w:lang w:val="en-GB"/>
        </w:rPr>
        <w:t xml:space="preserve">ons </w:t>
      </w:r>
      <w:r w:rsidRPr="00A44C49">
        <w:rPr>
          <w:rFonts w:ascii="Times New Roman" w:hAnsi="Times New Roman" w:cs="Times New Roman"/>
          <w:lang w:val="en-GB"/>
        </w:rPr>
        <w:t>and respected by the profession and have a strong reputation with press and public.</w:t>
      </w:r>
    </w:p>
    <w:p w14:paraId="38D75675" w14:textId="77777777" w:rsidR="00F14B76" w:rsidRPr="00A44C49" w:rsidRDefault="00F14B76" w:rsidP="00C15B93">
      <w:pPr>
        <w:pStyle w:val="ListParagraph"/>
        <w:spacing w:line="276" w:lineRule="auto"/>
        <w:jc w:val="both"/>
        <w:rPr>
          <w:rFonts w:ascii="Times New Roman" w:hAnsi="Times New Roman" w:cs="Times New Roman"/>
          <w:lang w:val="en-GB"/>
        </w:rPr>
      </w:pPr>
    </w:p>
    <w:p w14:paraId="06368933" w14:textId="599703DA" w:rsidR="00F14B76" w:rsidRPr="00A44C49" w:rsidRDefault="00F14B76"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Please provide detailed information on the number of lawyers that have been subject to criminal, administrative or disciplina</w:t>
      </w:r>
      <w:r w:rsidR="00295054" w:rsidRPr="00A44C49">
        <w:rPr>
          <w:rFonts w:ascii="Times New Roman" w:hAnsi="Times New Roman" w:cs="Times New Roman"/>
          <w:b/>
          <w:bCs/>
          <w:lang w:val="en-GB"/>
        </w:rPr>
        <w:t>ry proceedings in the last five</w:t>
      </w:r>
      <w:r w:rsidRPr="00A44C49">
        <w:rPr>
          <w:rFonts w:ascii="Times New Roman" w:hAnsi="Times New Roman" w:cs="Times New Roman"/>
          <w:b/>
          <w:bCs/>
          <w:lang w:val="en-GB"/>
        </w:rPr>
        <w:t xml:space="preserve"> years for alleged violations of standards of professional conduct. How many of them were found guilty? How many of them were ultimately disbarred?</w:t>
      </w:r>
    </w:p>
    <w:p w14:paraId="4F51691A" w14:textId="77777777" w:rsidR="00E4684F" w:rsidRPr="00A44C49" w:rsidRDefault="00E4684F" w:rsidP="00C15B93">
      <w:pPr>
        <w:pStyle w:val="ListParagraph"/>
        <w:spacing w:line="276" w:lineRule="auto"/>
        <w:jc w:val="both"/>
        <w:rPr>
          <w:rFonts w:ascii="Times New Roman" w:hAnsi="Times New Roman" w:cs="Times New Roman"/>
          <w:lang w:val="en-GB"/>
        </w:rPr>
      </w:pPr>
    </w:p>
    <w:tbl>
      <w:tblPr>
        <w:tblStyle w:val="TableGrid"/>
        <w:tblW w:w="0" w:type="auto"/>
        <w:tblInd w:w="720" w:type="dxa"/>
        <w:tblLook w:val="04A0" w:firstRow="1" w:lastRow="0" w:firstColumn="1" w:lastColumn="0" w:noHBand="0" w:noVBand="1"/>
      </w:tblPr>
      <w:tblGrid>
        <w:gridCol w:w="1436"/>
        <w:gridCol w:w="1334"/>
        <w:gridCol w:w="1334"/>
        <w:gridCol w:w="1334"/>
        <w:gridCol w:w="1335"/>
        <w:gridCol w:w="1335"/>
      </w:tblGrid>
      <w:tr w:rsidR="00E4684F" w:rsidRPr="00A44C49" w14:paraId="52DC9FCD" w14:textId="77777777" w:rsidTr="00E4684F">
        <w:tc>
          <w:tcPr>
            <w:tcW w:w="1471" w:type="dxa"/>
          </w:tcPr>
          <w:p w14:paraId="1E03CBD8" w14:textId="13986158"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Year</w:t>
            </w:r>
          </w:p>
        </w:tc>
        <w:tc>
          <w:tcPr>
            <w:tcW w:w="1471" w:type="dxa"/>
          </w:tcPr>
          <w:p w14:paraId="12AFF237" w14:textId="31D96584" w:rsidR="00E4684F" w:rsidRPr="00A44C49" w:rsidRDefault="00577AAA" w:rsidP="00C15B93">
            <w:pPr>
              <w:pStyle w:val="ListParagraph"/>
              <w:spacing w:line="276" w:lineRule="auto"/>
              <w:ind w:left="0"/>
              <w:jc w:val="both"/>
              <w:rPr>
                <w:rFonts w:ascii="Times New Roman" w:hAnsi="Times New Roman" w:cs="Times New Roman"/>
                <w:lang w:val="en-GB"/>
              </w:rPr>
            </w:pPr>
            <w:hyperlink r:id="rId13" w:history="1">
              <w:r w:rsidR="00E4684F" w:rsidRPr="00A44C49">
                <w:rPr>
                  <w:rStyle w:val="Hyperlink"/>
                  <w:rFonts w:ascii="Times New Roman" w:hAnsi="Times New Roman" w:cs="Times New Roman"/>
                  <w:lang w:val="en-GB"/>
                </w:rPr>
                <w:t>2016</w:t>
              </w:r>
            </w:hyperlink>
            <w:r w:rsidR="00E4684F" w:rsidRPr="00A44C49">
              <w:rPr>
                <w:rStyle w:val="FootnoteReference"/>
                <w:rFonts w:ascii="Times New Roman" w:hAnsi="Times New Roman" w:cs="Times New Roman"/>
                <w:lang w:val="en-GB"/>
              </w:rPr>
              <w:footnoteReference w:id="1"/>
            </w:r>
          </w:p>
        </w:tc>
        <w:tc>
          <w:tcPr>
            <w:tcW w:w="1471" w:type="dxa"/>
          </w:tcPr>
          <w:p w14:paraId="02EBEC2B" w14:textId="5B64BFE1" w:rsidR="00E4684F" w:rsidRPr="00A44C49" w:rsidRDefault="00577AAA" w:rsidP="00C15B93">
            <w:pPr>
              <w:pStyle w:val="ListParagraph"/>
              <w:spacing w:line="276" w:lineRule="auto"/>
              <w:ind w:left="0"/>
              <w:jc w:val="both"/>
              <w:rPr>
                <w:rFonts w:ascii="Times New Roman" w:hAnsi="Times New Roman" w:cs="Times New Roman"/>
                <w:lang w:val="en-GB"/>
              </w:rPr>
            </w:pPr>
            <w:hyperlink r:id="rId14" w:history="1">
              <w:r w:rsidR="00E4684F" w:rsidRPr="00A44C49">
                <w:rPr>
                  <w:rStyle w:val="Hyperlink"/>
                  <w:rFonts w:ascii="Times New Roman" w:hAnsi="Times New Roman" w:cs="Times New Roman"/>
                  <w:lang w:val="en-GB"/>
                </w:rPr>
                <w:t>2017</w:t>
              </w:r>
            </w:hyperlink>
            <w:r w:rsidR="00E4684F" w:rsidRPr="00A44C49">
              <w:rPr>
                <w:rStyle w:val="FootnoteReference"/>
                <w:rFonts w:ascii="Times New Roman" w:hAnsi="Times New Roman" w:cs="Times New Roman"/>
                <w:lang w:val="en-GB"/>
              </w:rPr>
              <w:footnoteReference w:id="2"/>
            </w:r>
          </w:p>
        </w:tc>
        <w:tc>
          <w:tcPr>
            <w:tcW w:w="1471" w:type="dxa"/>
          </w:tcPr>
          <w:p w14:paraId="2FCFEC56" w14:textId="05E31E2E" w:rsidR="00E4684F" w:rsidRPr="00A44C49" w:rsidRDefault="00577AAA" w:rsidP="00C15B93">
            <w:pPr>
              <w:pStyle w:val="ListParagraph"/>
              <w:spacing w:line="276" w:lineRule="auto"/>
              <w:ind w:left="0"/>
              <w:jc w:val="both"/>
              <w:rPr>
                <w:rFonts w:ascii="Times New Roman" w:hAnsi="Times New Roman" w:cs="Times New Roman"/>
                <w:lang w:val="en-GB"/>
              </w:rPr>
            </w:pPr>
            <w:hyperlink r:id="rId15" w:history="1">
              <w:r w:rsidR="00E4684F" w:rsidRPr="00A44C49">
                <w:rPr>
                  <w:rStyle w:val="Hyperlink"/>
                  <w:rFonts w:ascii="Times New Roman" w:hAnsi="Times New Roman" w:cs="Times New Roman"/>
                  <w:lang w:val="en-GB"/>
                </w:rPr>
                <w:t>2018</w:t>
              </w:r>
            </w:hyperlink>
            <w:r w:rsidR="00E4684F" w:rsidRPr="00A44C49">
              <w:rPr>
                <w:rStyle w:val="FootnoteReference"/>
                <w:rFonts w:ascii="Times New Roman" w:hAnsi="Times New Roman" w:cs="Times New Roman"/>
                <w:lang w:val="en-GB"/>
              </w:rPr>
              <w:footnoteReference w:id="3"/>
            </w:r>
          </w:p>
        </w:tc>
        <w:tc>
          <w:tcPr>
            <w:tcW w:w="1472" w:type="dxa"/>
          </w:tcPr>
          <w:p w14:paraId="56AA7A5B" w14:textId="77B56D2A" w:rsidR="00E4684F" w:rsidRPr="00A44C49" w:rsidRDefault="00577AAA" w:rsidP="00C15B93">
            <w:pPr>
              <w:pStyle w:val="ListParagraph"/>
              <w:spacing w:line="276" w:lineRule="auto"/>
              <w:ind w:left="0"/>
              <w:jc w:val="both"/>
              <w:rPr>
                <w:rFonts w:ascii="Times New Roman" w:hAnsi="Times New Roman" w:cs="Times New Roman"/>
                <w:lang w:val="en-US"/>
              </w:rPr>
            </w:pPr>
            <w:hyperlink r:id="rId16" w:history="1">
              <w:r w:rsidR="00E4684F" w:rsidRPr="00A44C49">
                <w:rPr>
                  <w:rStyle w:val="Hyperlink"/>
                  <w:rFonts w:ascii="Times New Roman" w:hAnsi="Times New Roman" w:cs="Times New Roman"/>
                  <w:lang w:val="en-GB"/>
                </w:rPr>
                <w:t>2019</w:t>
              </w:r>
            </w:hyperlink>
            <w:r w:rsidR="00E4684F" w:rsidRPr="00A44C49">
              <w:rPr>
                <w:rStyle w:val="FootnoteReference"/>
                <w:rFonts w:ascii="Times New Roman" w:hAnsi="Times New Roman" w:cs="Times New Roman"/>
                <w:lang w:val="en-GB"/>
              </w:rPr>
              <w:footnoteReference w:id="4"/>
            </w:r>
          </w:p>
        </w:tc>
        <w:tc>
          <w:tcPr>
            <w:tcW w:w="1472" w:type="dxa"/>
          </w:tcPr>
          <w:p w14:paraId="6524E11A" w14:textId="22F96F34" w:rsidR="00E4684F" w:rsidRPr="00A44C49" w:rsidRDefault="00577AAA" w:rsidP="00C15B93">
            <w:pPr>
              <w:pStyle w:val="ListParagraph"/>
              <w:spacing w:line="276" w:lineRule="auto"/>
              <w:ind w:left="0"/>
              <w:jc w:val="both"/>
              <w:rPr>
                <w:rFonts w:ascii="Times New Roman" w:hAnsi="Times New Roman" w:cs="Times New Roman"/>
                <w:lang w:val="en-GB"/>
              </w:rPr>
            </w:pPr>
            <w:hyperlink r:id="rId17" w:history="1">
              <w:r w:rsidR="00E4684F" w:rsidRPr="00A44C49">
                <w:rPr>
                  <w:rStyle w:val="Hyperlink"/>
                  <w:rFonts w:ascii="Times New Roman" w:hAnsi="Times New Roman" w:cs="Times New Roman"/>
                  <w:lang w:val="en-US"/>
                </w:rPr>
                <w:t>2020</w:t>
              </w:r>
            </w:hyperlink>
            <w:r w:rsidR="00E4684F" w:rsidRPr="00A44C49">
              <w:rPr>
                <w:rStyle w:val="FootnoteReference"/>
                <w:rFonts w:ascii="Times New Roman" w:hAnsi="Times New Roman" w:cs="Times New Roman"/>
                <w:lang w:val="en-GB"/>
              </w:rPr>
              <w:footnoteReference w:id="5"/>
            </w:r>
          </w:p>
        </w:tc>
      </w:tr>
      <w:tr w:rsidR="00E4684F" w:rsidRPr="00A44C49" w14:paraId="45F8E7D3" w14:textId="77777777" w:rsidTr="00E4684F">
        <w:tc>
          <w:tcPr>
            <w:tcW w:w="1471" w:type="dxa"/>
          </w:tcPr>
          <w:p w14:paraId="74EB50E3" w14:textId="599B8A2F"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Nr. of applications</w:t>
            </w:r>
          </w:p>
        </w:tc>
        <w:tc>
          <w:tcPr>
            <w:tcW w:w="1471" w:type="dxa"/>
          </w:tcPr>
          <w:p w14:paraId="028B175E" w14:textId="7B5D1BC8"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132</w:t>
            </w:r>
          </w:p>
        </w:tc>
        <w:tc>
          <w:tcPr>
            <w:tcW w:w="1471" w:type="dxa"/>
          </w:tcPr>
          <w:p w14:paraId="2D0C3137" w14:textId="6C685FA7"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176</w:t>
            </w:r>
          </w:p>
        </w:tc>
        <w:tc>
          <w:tcPr>
            <w:tcW w:w="1471" w:type="dxa"/>
          </w:tcPr>
          <w:p w14:paraId="47C8CA13" w14:textId="3708CB5D"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139</w:t>
            </w:r>
          </w:p>
        </w:tc>
        <w:tc>
          <w:tcPr>
            <w:tcW w:w="1472" w:type="dxa"/>
          </w:tcPr>
          <w:p w14:paraId="7CFD0321" w14:textId="421F16A1"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144</w:t>
            </w:r>
          </w:p>
        </w:tc>
        <w:tc>
          <w:tcPr>
            <w:tcW w:w="1472" w:type="dxa"/>
          </w:tcPr>
          <w:p w14:paraId="116E0D17" w14:textId="304D7A7E"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137</w:t>
            </w:r>
          </w:p>
        </w:tc>
      </w:tr>
      <w:tr w:rsidR="00E4684F" w:rsidRPr="00A44C49" w14:paraId="21981606" w14:textId="77777777" w:rsidTr="00E4684F">
        <w:tc>
          <w:tcPr>
            <w:tcW w:w="1471" w:type="dxa"/>
          </w:tcPr>
          <w:p w14:paraId="78E25387" w14:textId="54D6ED19"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Nr. of people with restrictions on practice</w:t>
            </w:r>
          </w:p>
        </w:tc>
        <w:tc>
          <w:tcPr>
            <w:tcW w:w="1471" w:type="dxa"/>
          </w:tcPr>
          <w:p w14:paraId="1DAB65FE" w14:textId="4E8851E9"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26</w:t>
            </w:r>
          </w:p>
        </w:tc>
        <w:tc>
          <w:tcPr>
            <w:tcW w:w="1471" w:type="dxa"/>
          </w:tcPr>
          <w:p w14:paraId="5374962B" w14:textId="4CE2252D"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24</w:t>
            </w:r>
          </w:p>
        </w:tc>
        <w:tc>
          <w:tcPr>
            <w:tcW w:w="1471" w:type="dxa"/>
          </w:tcPr>
          <w:p w14:paraId="3AB1C1BE" w14:textId="4A73C7A6"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50</w:t>
            </w:r>
          </w:p>
        </w:tc>
        <w:tc>
          <w:tcPr>
            <w:tcW w:w="1472" w:type="dxa"/>
          </w:tcPr>
          <w:p w14:paraId="506272DC" w14:textId="795A8C6E"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20</w:t>
            </w:r>
          </w:p>
        </w:tc>
        <w:tc>
          <w:tcPr>
            <w:tcW w:w="1472" w:type="dxa"/>
          </w:tcPr>
          <w:p w14:paraId="6BDD3DC8" w14:textId="684C501B"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23</w:t>
            </w:r>
          </w:p>
        </w:tc>
      </w:tr>
      <w:tr w:rsidR="00E4684F" w:rsidRPr="00A44C49" w14:paraId="3BD59269" w14:textId="77777777" w:rsidTr="00E4684F">
        <w:tc>
          <w:tcPr>
            <w:tcW w:w="1471" w:type="dxa"/>
          </w:tcPr>
          <w:p w14:paraId="62919B1A" w14:textId="2EF5D606"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Nr. of people suspended</w:t>
            </w:r>
          </w:p>
        </w:tc>
        <w:tc>
          <w:tcPr>
            <w:tcW w:w="1471" w:type="dxa"/>
          </w:tcPr>
          <w:p w14:paraId="06F813C2" w14:textId="61DF1DD2"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20</w:t>
            </w:r>
          </w:p>
        </w:tc>
        <w:tc>
          <w:tcPr>
            <w:tcW w:w="1471" w:type="dxa"/>
          </w:tcPr>
          <w:p w14:paraId="761AAEBF" w14:textId="0DE5C1EF"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25</w:t>
            </w:r>
          </w:p>
        </w:tc>
        <w:tc>
          <w:tcPr>
            <w:tcW w:w="1471" w:type="dxa"/>
          </w:tcPr>
          <w:p w14:paraId="78AEDB35" w14:textId="3A765303"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21</w:t>
            </w:r>
          </w:p>
        </w:tc>
        <w:tc>
          <w:tcPr>
            <w:tcW w:w="1472" w:type="dxa"/>
          </w:tcPr>
          <w:p w14:paraId="671C69FA" w14:textId="3D42E311"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18</w:t>
            </w:r>
          </w:p>
        </w:tc>
        <w:tc>
          <w:tcPr>
            <w:tcW w:w="1472" w:type="dxa"/>
          </w:tcPr>
          <w:p w14:paraId="481A810C" w14:textId="0D66BC59"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19</w:t>
            </w:r>
          </w:p>
        </w:tc>
      </w:tr>
      <w:tr w:rsidR="00E4684F" w:rsidRPr="00A44C49" w14:paraId="4C6E80A2" w14:textId="77777777" w:rsidTr="00E4684F">
        <w:tc>
          <w:tcPr>
            <w:tcW w:w="1471" w:type="dxa"/>
          </w:tcPr>
          <w:p w14:paraId="0B5E92F3" w14:textId="060052FA"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Nr. of people disbarred</w:t>
            </w:r>
          </w:p>
        </w:tc>
        <w:tc>
          <w:tcPr>
            <w:tcW w:w="1471" w:type="dxa"/>
          </w:tcPr>
          <w:p w14:paraId="46382EB9" w14:textId="75B43D9D"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76</w:t>
            </w:r>
          </w:p>
        </w:tc>
        <w:tc>
          <w:tcPr>
            <w:tcW w:w="1471" w:type="dxa"/>
          </w:tcPr>
          <w:p w14:paraId="74653CC1" w14:textId="62FD39CE"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58</w:t>
            </w:r>
          </w:p>
        </w:tc>
        <w:tc>
          <w:tcPr>
            <w:tcW w:w="1471" w:type="dxa"/>
          </w:tcPr>
          <w:p w14:paraId="6AD8B83D" w14:textId="2A3C77A7"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80</w:t>
            </w:r>
          </w:p>
        </w:tc>
        <w:tc>
          <w:tcPr>
            <w:tcW w:w="1472" w:type="dxa"/>
          </w:tcPr>
          <w:p w14:paraId="1720ED61" w14:textId="284437C7"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68</w:t>
            </w:r>
          </w:p>
        </w:tc>
        <w:tc>
          <w:tcPr>
            <w:tcW w:w="1472" w:type="dxa"/>
          </w:tcPr>
          <w:p w14:paraId="653F6765" w14:textId="50B22721" w:rsidR="00E4684F" w:rsidRPr="00A44C49" w:rsidRDefault="00E4684F" w:rsidP="00C15B93">
            <w:pPr>
              <w:pStyle w:val="ListParagraph"/>
              <w:spacing w:line="276" w:lineRule="auto"/>
              <w:ind w:left="0"/>
              <w:jc w:val="both"/>
              <w:rPr>
                <w:rFonts w:ascii="Times New Roman" w:hAnsi="Times New Roman" w:cs="Times New Roman"/>
                <w:lang w:val="en-GB"/>
              </w:rPr>
            </w:pPr>
            <w:r w:rsidRPr="00A44C49">
              <w:rPr>
                <w:rFonts w:ascii="Times New Roman" w:hAnsi="Times New Roman" w:cs="Times New Roman"/>
                <w:lang w:val="en-GB"/>
              </w:rPr>
              <w:t>55</w:t>
            </w:r>
          </w:p>
        </w:tc>
      </w:tr>
    </w:tbl>
    <w:p w14:paraId="117BA40E" w14:textId="364ACFF6" w:rsidR="00E4684F" w:rsidRPr="00A44C49" w:rsidRDefault="00E4684F" w:rsidP="00C15B93">
      <w:pPr>
        <w:pStyle w:val="ListParagraph"/>
        <w:spacing w:line="276" w:lineRule="auto"/>
        <w:jc w:val="both"/>
        <w:rPr>
          <w:rFonts w:ascii="Times New Roman" w:hAnsi="Times New Roman" w:cs="Times New Roman"/>
          <w:lang w:val="en-GB"/>
        </w:rPr>
      </w:pPr>
    </w:p>
    <w:p w14:paraId="71247112" w14:textId="0B6C97A2" w:rsidR="00E4684F" w:rsidRPr="00A44C49" w:rsidRDefault="00E4684F" w:rsidP="007536B8">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 xml:space="preserve">It should be noted that the sanctions applied can be higher than the number of applications since there could be multiple sanctions </w:t>
      </w:r>
      <w:r w:rsidR="00BC32B0" w:rsidRPr="00A44C49">
        <w:rPr>
          <w:rFonts w:ascii="Times New Roman" w:hAnsi="Times New Roman" w:cs="Times New Roman"/>
          <w:lang w:val="en-GB"/>
        </w:rPr>
        <w:t>in each case</w:t>
      </w:r>
      <w:r w:rsidRPr="00A44C49">
        <w:rPr>
          <w:rFonts w:ascii="Times New Roman" w:hAnsi="Times New Roman" w:cs="Times New Roman"/>
          <w:lang w:val="en-GB"/>
        </w:rPr>
        <w:t>.</w:t>
      </w:r>
      <w:r w:rsidR="007536B8" w:rsidRPr="00A44C49">
        <w:rPr>
          <w:rFonts w:ascii="Times New Roman" w:hAnsi="Times New Roman" w:cs="Times New Roman"/>
          <w:lang w:val="en-GB"/>
        </w:rPr>
        <w:t xml:space="preserve"> </w:t>
      </w:r>
      <w:r w:rsidRPr="00A44C49">
        <w:rPr>
          <w:rFonts w:ascii="Times New Roman" w:hAnsi="Times New Roman" w:cs="Times New Roman"/>
          <w:lang w:val="en-GB"/>
        </w:rPr>
        <w:t xml:space="preserve">The number of applications is relatively consistent throughout the </w:t>
      </w:r>
      <w:r w:rsidR="00A44C49" w:rsidRPr="00A44C49">
        <w:rPr>
          <w:rFonts w:ascii="Times New Roman" w:hAnsi="Times New Roman" w:cs="Times New Roman"/>
          <w:lang w:val="en-GB"/>
        </w:rPr>
        <w:t>five-year</w:t>
      </w:r>
      <w:r w:rsidRPr="00A44C49">
        <w:rPr>
          <w:rFonts w:ascii="Times New Roman" w:hAnsi="Times New Roman" w:cs="Times New Roman"/>
          <w:lang w:val="en-GB"/>
        </w:rPr>
        <w:t xml:space="preserve"> period with a high in 2017, when it jumped by a quarter relative to the average number. Sanctions restricting practice doubled in 2018 to 50, more than the following two years combined; this was unusual as the years previous</w:t>
      </w:r>
      <w:r w:rsidR="007536B8" w:rsidRPr="00A44C49">
        <w:rPr>
          <w:rFonts w:ascii="Times New Roman" w:hAnsi="Times New Roman" w:cs="Times New Roman"/>
          <w:lang w:val="en-GB"/>
        </w:rPr>
        <w:t xml:space="preserve"> </w:t>
      </w:r>
      <w:r w:rsidRPr="00A44C49">
        <w:rPr>
          <w:rFonts w:ascii="Times New Roman" w:hAnsi="Times New Roman" w:cs="Times New Roman"/>
          <w:lang w:val="en-GB"/>
        </w:rPr>
        <w:t>to 2018 treaded the average. The number of suspensions averaged 20 over the 5-year period, with a 25% increase compared individually with each other year seen in 2017. The number of people disbarred waxed and waned from year to year, with a high of 80 in 2018 and a low of 55 in 2020.</w:t>
      </w:r>
    </w:p>
    <w:p w14:paraId="6F18E51C" w14:textId="77777777" w:rsidR="00E4684F" w:rsidRPr="00A44C49" w:rsidRDefault="00E4684F" w:rsidP="00C15B93">
      <w:pPr>
        <w:pStyle w:val="ListParagraph"/>
        <w:spacing w:line="276" w:lineRule="auto"/>
        <w:jc w:val="both"/>
        <w:rPr>
          <w:rFonts w:ascii="Times New Roman" w:hAnsi="Times New Roman" w:cs="Times New Roman"/>
          <w:lang w:val="en-GB"/>
        </w:rPr>
      </w:pPr>
    </w:p>
    <w:p w14:paraId="753A1223" w14:textId="77777777" w:rsidR="00F14B76" w:rsidRPr="00A44C49" w:rsidRDefault="00F14B76" w:rsidP="00C15B93">
      <w:pPr>
        <w:pStyle w:val="ListParagraph"/>
        <w:spacing w:line="276" w:lineRule="auto"/>
        <w:jc w:val="both"/>
        <w:rPr>
          <w:rFonts w:ascii="Times New Roman" w:hAnsi="Times New Roman" w:cs="Times New Roman"/>
          <w:lang w:val="en-GB"/>
        </w:rPr>
      </w:pPr>
    </w:p>
    <w:p w14:paraId="1532850C" w14:textId="789DB194" w:rsidR="00F14B76" w:rsidRPr="00A44C49" w:rsidRDefault="00F14B76"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r w:rsidR="00DF2112" w:rsidRPr="00A44C49">
        <w:rPr>
          <w:rFonts w:ascii="Times New Roman" w:hAnsi="Times New Roman" w:cs="Times New Roman"/>
          <w:b/>
          <w:bCs/>
          <w:lang w:val="en-GB"/>
        </w:rPr>
        <w:t>.</w:t>
      </w:r>
    </w:p>
    <w:p w14:paraId="54B26324" w14:textId="77777777" w:rsidR="00D15758" w:rsidRPr="00A44C49" w:rsidRDefault="00D15758" w:rsidP="00C15B93">
      <w:pPr>
        <w:pStyle w:val="ListParagraph"/>
        <w:spacing w:line="276" w:lineRule="auto"/>
        <w:jc w:val="both"/>
        <w:rPr>
          <w:rFonts w:ascii="Times New Roman" w:hAnsi="Times New Roman" w:cs="Times New Roman"/>
          <w:lang w:val="en-GB"/>
        </w:rPr>
      </w:pPr>
    </w:p>
    <w:p w14:paraId="09202B7C" w14:textId="2FF71359" w:rsidR="00657479" w:rsidRPr="00A44C49" w:rsidRDefault="003423F4" w:rsidP="007536B8">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lastRenderedPageBreak/>
        <w:t>Lawyers in the UK</w:t>
      </w:r>
      <w:r w:rsidR="007E7B4C" w:rsidRPr="00A44C49">
        <w:rPr>
          <w:rFonts w:ascii="Times New Roman" w:hAnsi="Times New Roman" w:cs="Times New Roman"/>
          <w:lang w:val="en-GB"/>
        </w:rPr>
        <w:t xml:space="preserve"> </w:t>
      </w:r>
      <w:r w:rsidRPr="00A44C49">
        <w:rPr>
          <w:rFonts w:ascii="Times New Roman" w:hAnsi="Times New Roman" w:cs="Times New Roman"/>
          <w:lang w:val="en-GB"/>
        </w:rPr>
        <w:t>are</w:t>
      </w:r>
      <w:r w:rsidR="007E7B4C" w:rsidRPr="00A44C49">
        <w:rPr>
          <w:rFonts w:ascii="Times New Roman" w:hAnsi="Times New Roman" w:cs="Times New Roman"/>
          <w:lang w:val="en-GB"/>
        </w:rPr>
        <w:t xml:space="preserve"> thankfully</w:t>
      </w:r>
      <w:r w:rsidRPr="00A44C49">
        <w:rPr>
          <w:rFonts w:ascii="Times New Roman" w:hAnsi="Times New Roman" w:cs="Times New Roman"/>
          <w:lang w:val="en-GB"/>
        </w:rPr>
        <w:t xml:space="preserve"> not generally subject to intimidation or harassment and are largely free to carry out their duties without fear of hindrance or </w:t>
      </w:r>
      <w:r w:rsidR="001D16BC" w:rsidRPr="00A44C49">
        <w:rPr>
          <w:rFonts w:ascii="Times New Roman" w:hAnsi="Times New Roman" w:cs="Times New Roman"/>
          <w:lang w:val="en-GB"/>
        </w:rPr>
        <w:t>im</w:t>
      </w:r>
      <w:r w:rsidRPr="00A44C49">
        <w:rPr>
          <w:rFonts w:ascii="Times New Roman" w:hAnsi="Times New Roman" w:cs="Times New Roman"/>
          <w:lang w:val="en-GB"/>
        </w:rPr>
        <w:t xml:space="preserve">proper interference. </w:t>
      </w:r>
      <w:r w:rsidR="00D15758" w:rsidRPr="00A44C49">
        <w:rPr>
          <w:rFonts w:ascii="Times New Roman" w:hAnsi="Times New Roman" w:cs="Times New Roman"/>
          <w:lang w:val="en-GB"/>
        </w:rPr>
        <w:t>However</w:t>
      </w:r>
      <w:r w:rsidR="007536B8" w:rsidRPr="00A44C49">
        <w:rPr>
          <w:rFonts w:ascii="Times New Roman" w:hAnsi="Times New Roman" w:cs="Times New Roman"/>
          <w:lang w:val="en-GB"/>
        </w:rPr>
        <w:t>,</w:t>
      </w:r>
      <w:r w:rsidR="00D15758" w:rsidRPr="00A44C49">
        <w:rPr>
          <w:rFonts w:ascii="Times New Roman" w:hAnsi="Times New Roman" w:cs="Times New Roman"/>
          <w:lang w:val="en-GB"/>
        </w:rPr>
        <w:t xml:space="preserve"> there are occasions when they are subject to </w:t>
      </w:r>
      <w:r w:rsidR="007536B8" w:rsidRPr="00A44C49">
        <w:rPr>
          <w:rFonts w:ascii="Times New Roman" w:hAnsi="Times New Roman" w:cs="Times New Roman"/>
          <w:lang w:val="en-GB"/>
        </w:rPr>
        <w:t>stigmatization</w:t>
      </w:r>
      <w:r w:rsidR="00D15758" w:rsidRPr="00A44C49">
        <w:rPr>
          <w:rFonts w:ascii="Times New Roman" w:hAnsi="Times New Roman" w:cs="Times New Roman"/>
          <w:lang w:val="en-GB"/>
        </w:rPr>
        <w:t xml:space="preserve"> by legislators, government or press</w:t>
      </w:r>
      <w:r w:rsidR="00342D05" w:rsidRPr="00A44C49">
        <w:rPr>
          <w:rFonts w:ascii="Times New Roman" w:hAnsi="Times New Roman" w:cs="Times New Roman"/>
          <w:lang w:val="en-GB"/>
        </w:rPr>
        <w:t xml:space="preserve">, and there has been an increased occurrence of this in recent years. </w:t>
      </w:r>
      <w:r w:rsidR="00B05100" w:rsidRPr="00A44C49">
        <w:rPr>
          <w:rFonts w:ascii="Times New Roman" w:hAnsi="Times New Roman" w:cs="Times New Roman"/>
          <w:lang w:val="en-GB"/>
        </w:rPr>
        <w:t xml:space="preserve">In 2016, in the context of the ‘Brexit’ Court ruling that Parliament should decide </w:t>
      </w:r>
      <w:r w:rsidR="0072373D" w:rsidRPr="00A44C49">
        <w:rPr>
          <w:rFonts w:ascii="Times New Roman" w:hAnsi="Times New Roman" w:cs="Times New Roman"/>
          <w:lang w:val="en-GB"/>
        </w:rPr>
        <w:t>whether</w:t>
      </w:r>
      <w:r w:rsidR="00B05100" w:rsidRPr="00A44C49">
        <w:rPr>
          <w:rFonts w:ascii="Times New Roman" w:hAnsi="Times New Roman" w:cs="Times New Roman"/>
          <w:lang w:val="en-GB"/>
        </w:rPr>
        <w:t xml:space="preserve"> to trigger Article 50 in relation to the UK’s departure from the EU, the media branded the judges ‘enemies of the people’ and launched personal attacks on them</w:t>
      </w:r>
      <w:r w:rsidR="00514407" w:rsidRPr="00A44C49">
        <w:rPr>
          <w:rFonts w:ascii="Times New Roman" w:hAnsi="Times New Roman" w:cs="Times New Roman"/>
          <w:lang w:val="en-GB"/>
        </w:rPr>
        <w:t>, including disclosing their home addresses</w:t>
      </w:r>
      <w:r w:rsidR="00B05100" w:rsidRPr="00A44C49">
        <w:rPr>
          <w:rFonts w:ascii="Times New Roman" w:hAnsi="Times New Roman" w:cs="Times New Roman"/>
          <w:lang w:val="en-GB"/>
        </w:rPr>
        <w:t xml:space="preserve">. </w:t>
      </w:r>
      <w:r w:rsidR="00657479" w:rsidRPr="00A44C49">
        <w:rPr>
          <w:rFonts w:ascii="Times New Roman" w:hAnsi="Times New Roman" w:cs="Times New Roman"/>
          <w:lang w:val="en-GB"/>
        </w:rPr>
        <w:t>Following a later 2019 case challenging and ultimately nullifying the Prime Minister’s use of the ‘prorogation power’, government and media rhetoric was again very critical of judges and the courts, accusing them of undue ‘judicial activism’ and political motivations. These instances have been the foundation and justification for several subsequent legislative changes and proposed reforms, including constitutional reforms.</w:t>
      </w:r>
    </w:p>
    <w:p w14:paraId="1E7DD214" w14:textId="3481EA80" w:rsidR="002876F6" w:rsidRPr="00A44C49" w:rsidRDefault="002876F6"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The 2019 Conservative Party </w:t>
      </w:r>
      <w:hyperlink r:id="rId18" w:history="1">
        <w:r w:rsidRPr="00A44C49">
          <w:rPr>
            <w:rStyle w:val="Hyperlink"/>
            <w:rFonts w:ascii="Times New Roman" w:hAnsi="Times New Roman" w:cs="Times New Roman"/>
            <w:lang w:val="en-GB"/>
          </w:rPr>
          <w:t>manifesto</w:t>
        </w:r>
      </w:hyperlink>
      <w:r w:rsidRPr="00A44C49">
        <w:rPr>
          <w:rFonts w:ascii="Times New Roman" w:hAnsi="Times New Roman" w:cs="Times New Roman"/>
          <w:lang w:val="en-GB"/>
        </w:rPr>
        <w:t xml:space="preserve"> pledged </w:t>
      </w:r>
      <w:r w:rsidR="00666E30" w:rsidRPr="00A44C49">
        <w:rPr>
          <w:rFonts w:ascii="Times New Roman" w:hAnsi="Times New Roman" w:cs="Times New Roman"/>
          <w:lang w:val="en-GB"/>
        </w:rPr>
        <w:t xml:space="preserve">to </w:t>
      </w:r>
      <w:r w:rsidRPr="00A44C49">
        <w:rPr>
          <w:rFonts w:ascii="Times New Roman" w:hAnsi="Times New Roman" w:cs="Times New Roman"/>
          <w:lang w:val="en-GB"/>
        </w:rPr>
        <w:t>review</w:t>
      </w:r>
      <w:r w:rsidR="00666E30" w:rsidRPr="00A44C49">
        <w:rPr>
          <w:rFonts w:ascii="Times New Roman" w:hAnsi="Times New Roman" w:cs="Times New Roman"/>
          <w:lang w:val="en-GB"/>
        </w:rPr>
        <w:t xml:space="preserve"> </w:t>
      </w:r>
      <w:r w:rsidRPr="00A44C49">
        <w:rPr>
          <w:rFonts w:ascii="Times New Roman" w:hAnsi="Times New Roman" w:cs="Times New Roman"/>
          <w:lang w:val="en-GB"/>
        </w:rPr>
        <w:t xml:space="preserve">constitutional issues, including of the system of judicial review whereby individuals can challenge actions of state authorities. It stated this was to ensure judicial review </w:t>
      </w:r>
      <w:r w:rsidRPr="00A44C49">
        <w:rPr>
          <w:rFonts w:ascii="Times New Roman" w:hAnsi="Times New Roman" w:cs="Times New Roman"/>
          <w:i/>
          <w:iCs/>
          <w:lang w:val="en-GB"/>
        </w:rPr>
        <w:t>“is available to protect the rights of the individuals against an overbearing state, while ensuring that it is not abused to conduct politics by another means or to create needless delays.”</w:t>
      </w:r>
      <w:r w:rsidRPr="00A44C49">
        <w:rPr>
          <w:rFonts w:ascii="Times New Roman" w:hAnsi="Times New Roman" w:cs="Times New Roman"/>
          <w:lang w:val="en-GB"/>
        </w:rPr>
        <w:t xml:space="preserve"> The latter half of this justification is again indicative of a wider rhetoric which implies that lawyers, and particularly human rights lawyers, are acting politically when representing their clients. This </w:t>
      </w:r>
      <w:r w:rsidR="001E2831" w:rsidRPr="00A44C49">
        <w:rPr>
          <w:rFonts w:ascii="Times New Roman" w:hAnsi="Times New Roman" w:cs="Times New Roman"/>
          <w:lang w:val="en-GB"/>
        </w:rPr>
        <w:t>violates the principle of non-identification of lawyers with their clients and their clients’ causes</w:t>
      </w:r>
      <w:r w:rsidRPr="00A44C49">
        <w:rPr>
          <w:rFonts w:ascii="Times New Roman" w:hAnsi="Times New Roman" w:cs="Times New Roman"/>
          <w:lang w:val="en-GB"/>
        </w:rPr>
        <w:t>.</w:t>
      </w:r>
    </w:p>
    <w:p w14:paraId="3CA8C3E7" w14:textId="38F36761" w:rsidR="002876F6" w:rsidRPr="00A44C49" w:rsidRDefault="002876F6"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Following a consultation, the Judicial Review and Courts Bill, is currently being debated by the UK parliament. While it does not contain measures that constrain the ability of lawyers to represent clients, it does seek to alter the remedial system in ways that could undermine the effectiveness of judicial review as a means to ensure government </w:t>
      </w:r>
      <w:r w:rsidR="00F74348" w:rsidRPr="00A44C49">
        <w:rPr>
          <w:rFonts w:ascii="Times New Roman" w:hAnsi="Times New Roman" w:cs="Times New Roman"/>
          <w:lang w:val="en-GB"/>
        </w:rPr>
        <w:t>accountability and</w:t>
      </w:r>
      <w:r w:rsidRPr="00A44C49">
        <w:rPr>
          <w:rFonts w:ascii="Times New Roman" w:hAnsi="Times New Roman" w:cs="Times New Roman"/>
          <w:lang w:val="en-GB"/>
        </w:rPr>
        <w:t xml:space="preserve"> appears to send a message to the judiciary to deter them from their role in holding government to account.</w:t>
      </w:r>
    </w:p>
    <w:p w14:paraId="4BEB2277" w14:textId="4E1B1911" w:rsidR="00342D05" w:rsidRPr="00A44C49" w:rsidRDefault="00342D05"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In 2018, the Joint Parliamentary Committee for Human Rights considered the importance of a robustly independent legal profession and threats to legal professionals</w:t>
      </w:r>
      <w:r w:rsidR="007434E2" w:rsidRPr="00A44C49">
        <w:rPr>
          <w:rFonts w:ascii="Times New Roman" w:hAnsi="Times New Roman" w:cs="Times New Roman"/>
          <w:lang w:val="en-GB"/>
        </w:rPr>
        <w:t>’</w:t>
      </w:r>
      <w:r w:rsidRPr="00A44C49">
        <w:rPr>
          <w:rFonts w:ascii="Times New Roman" w:hAnsi="Times New Roman" w:cs="Times New Roman"/>
          <w:lang w:val="en-GB"/>
        </w:rPr>
        <w:t xml:space="preserve"> independence in the context of disciplinary action taken again law firms representing Afghan and Iraqi national</w:t>
      </w:r>
      <w:r w:rsidR="00B05100" w:rsidRPr="00A44C49">
        <w:rPr>
          <w:rFonts w:ascii="Times New Roman" w:hAnsi="Times New Roman" w:cs="Times New Roman"/>
          <w:lang w:val="en-GB"/>
        </w:rPr>
        <w:t>s</w:t>
      </w:r>
      <w:r w:rsidRPr="00A44C49">
        <w:rPr>
          <w:rFonts w:ascii="Times New Roman" w:hAnsi="Times New Roman" w:cs="Times New Roman"/>
          <w:lang w:val="en-GB"/>
        </w:rPr>
        <w:t xml:space="preserve"> who were suing the Ministry of </w:t>
      </w:r>
      <w:r w:rsidR="00A44C49" w:rsidRPr="00A44C49">
        <w:rPr>
          <w:rFonts w:ascii="Times New Roman" w:hAnsi="Times New Roman" w:cs="Times New Roman"/>
          <w:lang w:val="en-GB"/>
        </w:rPr>
        <w:t xml:space="preserve">Defense </w:t>
      </w:r>
      <w:r w:rsidRPr="00A44C49">
        <w:rPr>
          <w:rFonts w:ascii="Times New Roman" w:hAnsi="Times New Roman" w:cs="Times New Roman"/>
          <w:lang w:val="en-GB"/>
        </w:rPr>
        <w:t xml:space="preserve">for mistreatment at the hands of the British military. In their </w:t>
      </w:r>
      <w:hyperlink r:id="rId19" w:history="1">
        <w:r w:rsidRPr="00A44C49">
          <w:rPr>
            <w:rStyle w:val="Hyperlink"/>
            <w:rFonts w:ascii="Times New Roman" w:hAnsi="Times New Roman" w:cs="Times New Roman"/>
            <w:lang w:val="en-GB"/>
          </w:rPr>
          <w:t>report</w:t>
        </w:r>
      </w:hyperlink>
      <w:r w:rsidRPr="00A44C49">
        <w:rPr>
          <w:rFonts w:ascii="Times New Roman" w:hAnsi="Times New Roman" w:cs="Times New Roman"/>
          <w:lang w:val="en-GB"/>
        </w:rPr>
        <w:t xml:space="preserve">  the Committee stated, “</w:t>
      </w:r>
      <w:r w:rsidRPr="00A44C49">
        <w:rPr>
          <w:rFonts w:ascii="Times New Roman" w:hAnsi="Times New Roman" w:cs="Times New Roman"/>
          <w:i/>
          <w:iCs/>
          <w:lang w:val="en-GB"/>
        </w:rPr>
        <w:t>It is not appropriate for Ministers, and especially not the Prime Minister, to criticise solicitors who are the subject of ongoing professional disciplinary proceedings in a way which would identify them, for representing claimants against the Government of whom the Government disapproves. Everyone is entitled to representation in court, and it is for the courts to decide on the merits of a given case</w:t>
      </w:r>
      <w:r w:rsidRPr="00A44C49">
        <w:rPr>
          <w:rFonts w:ascii="Times New Roman" w:hAnsi="Times New Roman" w:cs="Times New Roman"/>
          <w:lang w:val="en-GB"/>
        </w:rPr>
        <w:t xml:space="preserve">”. </w:t>
      </w:r>
    </w:p>
    <w:p w14:paraId="2E527943" w14:textId="5FE6588A" w:rsidR="00287FAD" w:rsidRPr="00A44C49" w:rsidRDefault="00B16C61"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The Law Society in its written evidence to this inquiry stated: “We have been very concerned by the rhetoric directed towards the legal profession. The language of blame, division and fear used by some powerful voices towards solicitors and the judiciary was damaging. It potentially undermines the separation of powers and the independence of the legal profession. We publicly challenged these comments and made representations to Government and in the press stating that we will continue to pursue access to justice for those who are weak, vulnerable, or marginalised, even if these are regarded as </w:t>
      </w:r>
      <w:r w:rsidR="00976F64">
        <w:rPr>
          <w:rFonts w:ascii="Times New Roman" w:hAnsi="Times New Roman" w:cs="Times New Roman"/>
          <w:lang w:val="en-GB"/>
        </w:rPr>
        <w:t>‘</w:t>
      </w:r>
      <w:r w:rsidRPr="00A44C49">
        <w:rPr>
          <w:rFonts w:ascii="Times New Roman" w:hAnsi="Times New Roman" w:cs="Times New Roman"/>
          <w:lang w:val="en-GB"/>
        </w:rPr>
        <w:t>unpopular</w:t>
      </w:r>
      <w:r w:rsidR="00976F64">
        <w:rPr>
          <w:rFonts w:ascii="Times New Roman" w:hAnsi="Times New Roman" w:cs="Times New Roman"/>
          <w:lang w:val="en-GB"/>
        </w:rPr>
        <w:t>’</w:t>
      </w:r>
      <w:r w:rsidRPr="00A44C49">
        <w:rPr>
          <w:rFonts w:ascii="Times New Roman" w:hAnsi="Times New Roman" w:cs="Times New Roman"/>
          <w:lang w:val="en-GB"/>
        </w:rPr>
        <w:t xml:space="preserve"> cases.”</w:t>
      </w:r>
    </w:p>
    <w:p w14:paraId="30A9016B" w14:textId="1D312534" w:rsidR="00FA66A2" w:rsidRPr="00A44C49" w:rsidRDefault="00FA66A2"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It was also found that the Ministry of Defence </w:t>
      </w:r>
      <w:r w:rsidR="00A47F21" w:rsidRPr="00A44C49">
        <w:rPr>
          <w:rFonts w:ascii="Times New Roman" w:hAnsi="Times New Roman" w:cs="Times New Roman"/>
          <w:lang w:val="en-GB"/>
        </w:rPr>
        <w:t>ha</w:t>
      </w:r>
      <w:r w:rsidR="00DA122F" w:rsidRPr="00A44C49">
        <w:rPr>
          <w:rFonts w:ascii="Times New Roman" w:hAnsi="Times New Roman" w:cs="Times New Roman"/>
          <w:lang w:val="en-GB"/>
        </w:rPr>
        <w:t>d</w:t>
      </w:r>
      <w:r w:rsidR="00A47F21" w:rsidRPr="00A44C49">
        <w:rPr>
          <w:rFonts w:ascii="Times New Roman" w:hAnsi="Times New Roman" w:cs="Times New Roman"/>
          <w:lang w:val="en-GB"/>
        </w:rPr>
        <w:t xml:space="preserve"> corresponded </w:t>
      </w:r>
      <w:r w:rsidR="00DA122F" w:rsidRPr="00A44C49">
        <w:rPr>
          <w:rFonts w:ascii="Times New Roman" w:hAnsi="Times New Roman" w:cs="Times New Roman"/>
          <w:lang w:val="en-GB"/>
        </w:rPr>
        <w:t xml:space="preserve">directly </w:t>
      </w:r>
      <w:r w:rsidR="00A47F21" w:rsidRPr="00A44C49">
        <w:rPr>
          <w:rFonts w:ascii="Times New Roman" w:hAnsi="Times New Roman" w:cs="Times New Roman"/>
          <w:lang w:val="en-GB"/>
        </w:rPr>
        <w:t xml:space="preserve">with the SRA </w:t>
      </w:r>
      <w:r w:rsidR="00DA122F" w:rsidRPr="00A44C49">
        <w:rPr>
          <w:rFonts w:ascii="Times New Roman" w:hAnsi="Times New Roman" w:cs="Times New Roman"/>
          <w:lang w:val="en-GB"/>
        </w:rPr>
        <w:t>o</w:t>
      </w:r>
      <w:r w:rsidR="00A47F21" w:rsidRPr="00A44C49">
        <w:rPr>
          <w:rFonts w:ascii="Times New Roman" w:hAnsi="Times New Roman" w:cs="Times New Roman"/>
          <w:lang w:val="en-GB"/>
        </w:rPr>
        <w:t>n particular cases</w:t>
      </w:r>
      <w:r w:rsidR="00DA122F" w:rsidRPr="00A44C49">
        <w:rPr>
          <w:rFonts w:ascii="Times New Roman" w:hAnsi="Times New Roman" w:cs="Times New Roman"/>
          <w:lang w:val="en-GB"/>
        </w:rPr>
        <w:t>, giving rise to allegations that it ha</w:t>
      </w:r>
      <w:r w:rsidR="00EB6B93" w:rsidRPr="00A44C49">
        <w:rPr>
          <w:rFonts w:ascii="Times New Roman" w:hAnsi="Times New Roman" w:cs="Times New Roman"/>
          <w:lang w:val="en-GB"/>
        </w:rPr>
        <w:t xml:space="preserve">d </w:t>
      </w:r>
      <w:r w:rsidR="00DA122F" w:rsidRPr="00A44C49">
        <w:rPr>
          <w:rFonts w:ascii="Times New Roman" w:hAnsi="Times New Roman" w:cs="Times New Roman"/>
          <w:lang w:val="en-GB"/>
        </w:rPr>
        <w:t xml:space="preserve">sought to exert pressure </w:t>
      </w:r>
      <w:r w:rsidR="00EB6B93" w:rsidRPr="00A44C49">
        <w:rPr>
          <w:rFonts w:ascii="Times New Roman" w:hAnsi="Times New Roman" w:cs="Times New Roman"/>
          <w:lang w:val="en-GB"/>
        </w:rPr>
        <w:t>on the SRA for disciplinary measures against lawyers.</w:t>
      </w:r>
      <w:r w:rsidR="00657479" w:rsidRPr="00A44C49">
        <w:rPr>
          <w:rStyle w:val="FootnoteReference"/>
          <w:rFonts w:ascii="Times New Roman" w:hAnsi="Times New Roman" w:cs="Times New Roman"/>
          <w:lang w:val="en-GB"/>
        </w:rPr>
        <w:footnoteReference w:id="6"/>
      </w:r>
      <w:r w:rsidR="00EB6B93" w:rsidRPr="00A44C49">
        <w:rPr>
          <w:rFonts w:ascii="Times New Roman" w:hAnsi="Times New Roman" w:cs="Times New Roman"/>
          <w:lang w:val="en-GB"/>
        </w:rPr>
        <w:t xml:space="preserve"> </w:t>
      </w:r>
    </w:p>
    <w:p w14:paraId="169608EC" w14:textId="164D5B01" w:rsidR="00342D05" w:rsidRPr="00A44C49" w:rsidRDefault="00B16C61"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B</w:t>
      </w:r>
      <w:r w:rsidR="00342D05" w:rsidRPr="00A44C49">
        <w:rPr>
          <w:rFonts w:ascii="Times New Roman" w:hAnsi="Times New Roman" w:cs="Times New Roman"/>
          <w:lang w:val="en-GB"/>
        </w:rPr>
        <w:t>etween 2019 and 2021 during the consultative and legislative process for the Overseas Operations (Service Personnel and Veterans) Act, the Law Society expressed its concerns regarding negative rhetoric targeting lawyers in the context of claims brought against the armed services. Using terms such as “</w:t>
      </w:r>
      <w:hyperlink r:id="rId20" w:history="1">
        <w:r w:rsidR="00342D05" w:rsidRPr="00A44C49">
          <w:rPr>
            <w:rStyle w:val="Hyperlink"/>
            <w:rFonts w:ascii="Times New Roman" w:hAnsi="Times New Roman" w:cs="Times New Roman"/>
            <w:lang w:val="en-GB"/>
          </w:rPr>
          <w:t>lawfare</w:t>
        </w:r>
      </w:hyperlink>
      <w:r w:rsidR="00342D05" w:rsidRPr="00A44C49">
        <w:rPr>
          <w:rFonts w:ascii="Times New Roman" w:hAnsi="Times New Roman" w:cs="Times New Roman"/>
          <w:lang w:val="en-GB"/>
        </w:rPr>
        <w:t xml:space="preserve">”, “judicialisation of war” and other language that implied that judges, the courts and the rule of law have no place in military matters, we were concerned that this such rhetoric suggested that by representing clients in claims against the military lawyers are acting against the national interest. </w:t>
      </w:r>
    </w:p>
    <w:p w14:paraId="28836500" w14:textId="6D11D439" w:rsidR="009B4AF2" w:rsidRPr="00A44C49" w:rsidRDefault="009B4AF2"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In 2016, the then Prime Minister also </w:t>
      </w:r>
      <w:r w:rsidR="00F60FFD" w:rsidRPr="00A44C49">
        <w:rPr>
          <w:rFonts w:ascii="Times New Roman" w:hAnsi="Times New Roman" w:cs="Times New Roman"/>
          <w:lang w:val="en-GB"/>
        </w:rPr>
        <w:t>referred to “Activist left wing human rights lawyers” who “harangue and harass” British armed forces, suggesting such law firms would be shut down</w:t>
      </w:r>
      <w:r w:rsidR="00D648DE" w:rsidRPr="00A44C49">
        <w:rPr>
          <w:rFonts w:ascii="Times New Roman" w:hAnsi="Times New Roman" w:cs="Times New Roman"/>
          <w:lang w:val="en-GB"/>
        </w:rPr>
        <w:t>.</w:t>
      </w:r>
      <w:r w:rsidR="00657479" w:rsidRPr="00A44C49">
        <w:rPr>
          <w:rStyle w:val="FootnoteReference"/>
          <w:rFonts w:ascii="Times New Roman" w:hAnsi="Times New Roman" w:cs="Times New Roman"/>
          <w:lang w:val="en-GB"/>
        </w:rPr>
        <w:footnoteReference w:id="7"/>
      </w:r>
      <w:r w:rsidR="00F60FFD" w:rsidRPr="00A44C49">
        <w:rPr>
          <w:rFonts w:ascii="Times New Roman" w:hAnsi="Times New Roman" w:cs="Times New Roman"/>
          <w:lang w:val="en-GB"/>
        </w:rPr>
        <w:t xml:space="preserve"> </w:t>
      </w:r>
    </w:p>
    <w:p w14:paraId="2B17EC92" w14:textId="20D87C1F" w:rsidR="00B16C61" w:rsidRPr="00A44C49" w:rsidRDefault="00B16C61" w:rsidP="00C15B93">
      <w:pPr>
        <w:spacing w:line="276" w:lineRule="auto"/>
        <w:ind w:left="720"/>
        <w:jc w:val="both"/>
        <w:rPr>
          <w:rFonts w:ascii="Times New Roman" w:hAnsi="Times New Roman" w:cs="Times New Roman"/>
          <w:i/>
          <w:iCs/>
          <w:lang w:val="en-GB"/>
        </w:rPr>
      </w:pPr>
      <w:r w:rsidRPr="00A44C49">
        <w:rPr>
          <w:rFonts w:ascii="Times New Roman" w:hAnsi="Times New Roman" w:cs="Times New Roman"/>
          <w:i/>
          <w:iCs/>
          <w:lang w:val="en-GB"/>
        </w:rPr>
        <w:t>Attacks on immigration lawyers</w:t>
      </w:r>
    </w:p>
    <w:p w14:paraId="3D9969AE" w14:textId="19A82746" w:rsidR="003423F4" w:rsidRPr="00A44C49" w:rsidRDefault="000541F3"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I</w:t>
      </w:r>
      <w:r w:rsidR="00676AB0" w:rsidRPr="00A44C49">
        <w:rPr>
          <w:rFonts w:ascii="Times New Roman" w:hAnsi="Times New Roman" w:cs="Times New Roman"/>
          <w:lang w:val="en-GB"/>
        </w:rPr>
        <w:t>n September 2020</w:t>
      </w:r>
      <w:r w:rsidRPr="00A44C49">
        <w:rPr>
          <w:rFonts w:ascii="Times New Roman" w:hAnsi="Times New Roman" w:cs="Times New Roman"/>
          <w:lang w:val="en-GB"/>
        </w:rPr>
        <w:t>,</w:t>
      </w:r>
      <w:r w:rsidR="00676AB0" w:rsidRPr="00A44C49">
        <w:rPr>
          <w:rFonts w:ascii="Times New Roman" w:hAnsi="Times New Roman" w:cs="Times New Roman"/>
          <w:lang w:val="en-GB"/>
        </w:rPr>
        <w:t xml:space="preserve"> the Law Society was contacted by </w:t>
      </w:r>
      <w:r w:rsidRPr="00A44C49">
        <w:rPr>
          <w:rFonts w:ascii="Times New Roman" w:hAnsi="Times New Roman" w:cs="Times New Roman"/>
          <w:lang w:val="en-GB"/>
        </w:rPr>
        <w:t xml:space="preserve">one of its member firms </w:t>
      </w:r>
      <w:r w:rsidR="00676AB0" w:rsidRPr="00A44C49">
        <w:rPr>
          <w:rFonts w:ascii="Times New Roman" w:hAnsi="Times New Roman" w:cs="Times New Roman"/>
          <w:lang w:val="en-GB"/>
        </w:rPr>
        <w:t xml:space="preserve">to </w:t>
      </w:r>
      <w:r w:rsidR="001D16BC" w:rsidRPr="00A44C49">
        <w:rPr>
          <w:rFonts w:ascii="Times New Roman" w:hAnsi="Times New Roman" w:cs="Times New Roman"/>
          <w:lang w:val="en-GB"/>
        </w:rPr>
        <w:t>provide</w:t>
      </w:r>
      <w:r w:rsidR="00676AB0" w:rsidRPr="00A44C49">
        <w:rPr>
          <w:rFonts w:ascii="Times New Roman" w:hAnsi="Times New Roman" w:cs="Times New Roman"/>
          <w:lang w:val="en-GB"/>
        </w:rPr>
        <w:t xml:space="preserve"> assistance following a </w:t>
      </w:r>
      <w:hyperlink r:id="rId21" w:history="1">
        <w:r w:rsidR="00676AB0" w:rsidRPr="00A44C49">
          <w:rPr>
            <w:rStyle w:val="Hyperlink"/>
            <w:rFonts w:ascii="Times New Roman" w:hAnsi="Times New Roman" w:cs="Times New Roman"/>
            <w:lang w:val="en-GB"/>
          </w:rPr>
          <w:t>physical attack</w:t>
        </w:r>
      </w:hyperlink>
      <w:r w:rsidR="00676AB0" w:rsidRPr="00A44C49">
        <w:rPr>
          <w:rFonts w:ascii="Times New Roman" w:hAnsi="Times New Roman" w:cs="Times New Roman"/>
          <w:lang w:val="en-GB"/>
        </w:rPr>
        <w:t xml:space="preserve"> at their offices. During the attack a member of the public, armed with a knife, threatened a </w:t>
      </w:r>
      <w:r w:rsidR="001D16BC" w:rsidRPr="00A44C49">
        <w:rPr>
          <w:rFonts w:ascii="Times New Roman" w:hAnsi="Times New Roman" w:cs="Times New Roman"/>
          <w:lang w:val="en-GB"/>
        </w:rPr>
        <w:t>receptionist,</w:t>
      </w:r>
      <w:r w:rsidR="00676AB0" w:rsidRPr="00A44C49">
        <w:rPr>
          <w:rFonts w:ascii="Times New Roman" w:hAnsi="Times New Roman" w:cs="Times New Roman"/>
          <w:lang w:val="en-GB"/>
        </w:rPr>
        <w:t xml:space="preserve"> and made threats to kill a solicitor.</w:t>
      </w:r>
      <w:r w:rsidR="001D16BC" w:rsidRPr="00A44C49">
        <w:rPr>
          <w:rFonts w:ascii="Times New Roman" w:hAnsi="Times New Roman" w:cs="Times New Roman"/>
          <w:lang w:val="en-GB"/>
        </w:rPr>
        <w:t xml:space="preserve"> The motivation for this was the attacker’s belief that the firm and targeted solicitor were frustrating the removal of immigration deportees. </w:t>
      </w:r>
      <w:r w:rsidR="000B3EF0" w:rsidRPr="00A44C49">
        <w:rPr>
          <w:rFonts w:ascii="Times New Roman" w:hAnsi="Times New Roman" w:cs="Times New Roman"/>
          <w:lang w:val="en-GB"/>
        </w:rPr>
        <w:t xml:space="preserve">The law firm concerned </w:t>
      </w:r>
      <w:r w:rsidR="001D16BC" w:rsidRPr="00A44C49">
        <w:rPr>
          <w:rFonts w:ascii="Times New Roman" w:hAnsi="Times New Roman" w:cs="Times New Roman"/>
          <w:lang w:val="en-GB"/>
        </w:rPr>
        <w:t>is one of the largest legal aid immigration law firms in the UK.</w:t>
      </w:r>
    </w:p>
    <w:p w14:paraId="74335D0A" w14:textId="44191812" w:rsidR="001D16BC" w:rsidRPr="00A44C49" w:rsidRDefault="001D16BC"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Following the attack, the Law Society wrote to the Secretary of State for Home Affairs. The man was </w:t>
      </w:r>
      <w:hyperlink r:id="rId22" w:history="1">
        <w:r w:rsidRPr="00A44C49">
          <w:rPr>
            <w:rStyle w:val="Hyperlink"/>
            <w:rFonts w:ascii="Times New Roman" w:hAnsi="Times New Roman" w:cs="Times New Roman"/>
            <w:lang w:val="en-GB"/>
          </w:rPr>
          <w:t>arrested and charged</w:t>
        </w:r>
      </w:hyperlink>
      <w:r w:rsidRPr="00A44C49">
        <w:rPr>
          <w:rFonts w:ascii="Times New Roman" w:hAnsi="Times New Roman" w:cs="Times New Roman"/>
          <w:lang w:val="en-GB"/>
        </w:rPr>
        <w:t xml:space="preserve"> with several offences, including preparation of terrorist acts under section 5 of the Terrorism Act 2006. He is due to stand trial in 2022.</w:t>
      </w:r>
    </w:p>
    <w:p w14:paraId="1E373043" w14:textId="62F768DE" w:rsidR="00E4684F" w:rsidRPr="00A44C49" w:rsidRDefault="007E7B4C"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This attack occurred within a climate of increasingly hostile rhetoric towards immigration </w:t>
      </w:r>
      <w:r w:rsidR="00666E30" w:rsidRPr="00A44C49">
        <w:rPr>
          <w:rFonts w:ascii="Times New Roman" w:hAnsi="Times New Roman" w:cs="Times New Roman"/>
          <w:lang w:val="en-GB"/>
        </w:rPr>
        <w:t xml:space="preserve">lawyers </w:t>
      </w:r>
      <w:r w:rsidRPr="00A44C49">
        <w:rPr>
          <w:rFonts w:ascii="Times New Roman" w:hAnsi="Times New Roman" w:cs="Times New Roman"/>
          <w:lang w:val="en-GB"/>
        </w:rPr>
        <w:t xml:space="preserve">in particular. Just days before the attack the UK Home Office twitter account </w:t>
      </w:r>
      <w:r w:rsidR="007E321D" w:rsidRPr="00A44C49">
        <w:rPr>
          <w:rFonts w:ascii="Times New Roman" w:hAnsi="Times New Roman" w:cs="Times New Roman"/>
          <w:lang w:val="en-GB"/>
        </w:rPr>
        <w:t xml:space="preserve">had </w:t>
      </w:r>
      <w:hyperlink r:id="rId23" w:history="1">
        <w:r w:rsidRPr="00A44C49">
          <w:rPr>
            <w:rStyle w:val="Hyperlink"/>
            <w:rFonts w:ascii="Times New Roman" w:hAnsi="Times New Roman" w:cs="Times New Roman"/>
            <w:lang w:val="en-GB"/>
          </w:rPr>
          <w:t>posted</w:t>
        </w:r>
      </w:hyperlink>
      <w:r w:rsidRPr="00A44C49">
        <w:rPr>
          <w:rFonts w:ascii="Times New Roman" w:hAnsi="Times New Roman" w:cs="Times New Roman"/>
          <w:lang w:val="en-GB"/>
        </w:rPr>
        <w:t xml:space="preserve"> a video accusing “activist lawyers” of frustrating immigration deportations. The Law Society condemned this and wrote to the Home Secretary, following which the video was removed. </w:t>
      </w:r>
      <w:r w:rsidR="00E4684F" w:rsidRPr="00A44C49">
        <w:rPr>
          <w:rFonts w:ascii="Times New Roman" w:hAnsi="Times New Roman" w:cs="Times New Roman"/>
          <w:lang w:val="en-GB"/>
        </w:rPr>
        <w:t xml:space="preserve">Both the International Bar Association and the International Bar Association’s Human Rights Institute </w:t>
      </w:r>
      <w:r w:rsidR="00AE2077" w:rsidRPr="00A44C49">
        <w:rPr>
          <w:rFonts w:ascii="Times New Roman" w:hAnsi="Times New Roman" w:cs="Times New Roman"/>
          <w:lang w:val="en-GB"/>
        </w:rPr>
        <w:t xml:space="preserve">also </w:t>
      </w:r>
      <w:hyperlink r:id="rId24" w:history="1">
        <w:r w:rsidR="00E4684F" w:rsidRPr="00A44C49">
          <w:rPr>
            <w:rStyle w:val="Hyperlink"/>
            <w:rFonts w:ascii="Times New Roman" w:hAnsi="Times New Roman" w:cs="Times New Roman"/>
            <w:lang w:val="en-GB"/>
          </w:rPr>
          <w:t>condemned</w:t>
        </w:r>
      </w:hyperlink>
      <w:r w:rsidR="00E4684F" w:rsidRPr="00A44C49">
        <w:rPr>
          <w:rFonts w:ascii="Times New Roman" w:hAnsi="Times New Roman" w:cs="Times New Roman"/>
          <w:lang w:val="en-GB"/>
        </w:rPr>
        <w:t xml:space="preserve"> the comments made by the Home Secretary and Prime Minister. </w:t>
      </w:r>
    </w:p>
    <w:p w14:paraId="659CCC33" w14:textId="65FCF646" w:rsidR="00722E3D" w:rsidRPr="00A44C49" w:rsidRDefault="00722E3D"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In addition to these specific instances, we have also received reports from law firms who receive hate mail regarding their work representing migrants, sometimes directly addressed or sent to specific lawyers who are known to have been involved in high profile cases.</w:t>
      </w:r>
      <w:r w:rsidR="00672F0F" w:rsidRPr="00A44C49">
        <w:rPr>
          <w:rFonts w:ascii="Times New Roman" w:hAnsi="Times New Roman" w:cs="Times New Roman"/>
          <w:lang w:val="en-GB"/>
        </w:rPr>
        <w:t xml:space="preserve"> We have also had reports of solicitors being targeted on social media.</w:t>
      </w:r>
    </w:p>
    <w:p w14:paraId="3480CC6C" w14:textId="5F997A35" w:rsidR="00E4684F" w:rsidRPr="00A44C49" w:rsidRDefault="002876F6"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As an example</w:t>
      </w:r>
      <w:r w:rsidR="007E321D" w:rsidRPr="00A44C49">
        <w:rPr>
          <w:rFonts w:ascii="Times New Roman" w:hAnsi="Times New Roman" w:cs="Times New Roman"/>
          <w:lang w:val="en-GB"/>
        </w:rPr>
        <w:t>,</w:t>
      </w:r>
      <w:r w:rsidRPr="00A44C49">
        <w:rPr>
          <w:rFonts w:ascii="Times New Roman" w:hAnsi="Times New Roman" w:cs="Times New Roman"/>
          <w:lang w:val="en-GB"/>
        </w:rPr>
        <w:t xml:space="preserve"> a</w:t>
      </w:r>
      <w:r w:rsidR="00E4684F" w:rsidRPr="00A44C49">
        <w:rPr>
          <w:rFonts w:ascii="Times New Roman" w:hAnsi="Times New Roman" w:cs="Times New Roman"/>
          <w:lang w:val="en-GB"/>
        </w:rPr>
        <w:t xml:space="preserve">fter </w:t>
      </w:r>
      <w:r w:rsidRPr="00A44C49">
        <w:rPr>
          <w:rFonts w:ascii="Times New Roman" w:hAnsi="Times New Roman" w:cs="Times New Roman"/>
          <w:lang w:val="en-GB"/>
        </w:rPr>
        <w:t>a</w:t>
      </w:r>
      <w:r w:rsidR="007E321D" w:rsidRPr="00A44C49">
        <w:rPr>
          <w:rFonts w:ascii="Times New Roman" w:hAnsi="Times New Roman" w:cs="Times New Roman"/>
          <w:lang w:val="en-GB"/>
        </w:rPr>
        <w:t xml:space="preserve"> successful</w:t>
      </w:r>
      <w:r w:rsidRPr="00A44C49">
        <w:rPr>
          <w:rFonts w:ascii="Times New Roman" w:hAnsi="Times New Roman" w:cs="Times New Roman"/>
          <w:lang w:val="en-GB"/>
        </w:rPr>
        <w:t xml:space="preserve"> judicial review of the government’s use of a military barracks to house refugees who have crossed the Channel, </w:t>
      </w:r>
      <w:r w:rsidR="007E321D" w:rsidRPr="00A44C49">
        <w:rPr>
          <w:rFonts w:ascii="Times New Roman" w:hAnsi="Times New Roman" w:cs="Times New Roman"/>
          <w:lang w:val="en-GB"/>
        </w:rPr>
        <w:t>a tabloid newspaper published an article accusing the ‘millionaire’ lawyers of profiting from legal aid and publishing intimate personal details about a partner in the law firm which acted for the refugees</w:t>
      </w:r>
      <w:r w:rsidR="00AC1413" w:rsidRPr="00A44C49">
        <w:rPr>
          <w:rFonts w:ascii="Times New Roman" w:hAnsi="Times New Roman" w:cs="Times New Roman"/>
          <w:lang w:val="en-GB"/>
        </w:rPr>
        <w:t>. T</w:t>
      </w:r>
      <w:r w:rsidR="00E4684F" w:rsidRPr="00A44C49">
        <w:rPr>
          <w:rFonts w:ascii="Times New Roman" w:hAnsi="Times New Roman" w:cs="Times New Roman"/>
          <w:lang w:val="en-GB"/>
        </w:rPr>
        <w:t xml:space="preserve">hese incidents tend to </w:t>
      </w:r>
      <w:r w:rsidR="00666E30" w:rsidRPr="00A44C49">
        <w:rPr>
          <w:rFonts w:ascii="Times New Roman" w:hAnsi="Times New Roman" w:cs="Times New Roman"/>
          <w:lang w:val="en-GB"/>
        </w:rPr>
        <w:t>occur</w:t>
      </w:r>
      <w:r w:rsidR="00E4684F" w:rsidRPr="00A44C49">
        <w:rPr>
          <w:rFonts w:ascii="Times New Roman" w:hAnsi="Times New Roman" w:cs="Times New Roman"/>
          <w:lang w:val="en-GB"/>
        </w:rPr>
        <w:t xml:space="preserve"> when there is a publici</w:t>
      </w:r>
      <w:r w:rsidR="00AC1413" w:rsidRPr="00A44C49">
        <w:rPr>
          <w:rFonts w:ascii="Times New Roman" w:hAnsi="Times New Roman" w:cs="Times New Roman"/>
          <w:lang w:val="en-GB"/>
        </w:rPr>
        <w:t>s</w:t>
      </w:r>
      <w:r w:rsidR="00E4684F" w:rsidRPr="00A44C49">
        <w:rPr>
          <w:rFonts w:ascii="Times New Roman" w:hAnsi="Times New Roman" w:cs="Times New Roman"/>
          <w:lang w:val="en-GB"/>
        </w:rPr>
        <w:t>ed controversial case, often involving immigration.</w:t>
      </w:r>
    </w:p>
    <w:p w14:paraId="051DE3B6" w14:textId="009D831C" w:rsidR="002876F6" w:rsidRPr="00A44C49" w:rsidRDefault="00666E30"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The use of harmful rhetoric by Government ministers against lawyers, and particularly immigration lawyers, for action taken in accordance with their professional duties is ongoing</w:t>
      </w:r>
      <w:r w:rsidR="00A44C49" w:rsidRPr="00A44C49">
        <w:rPr>
          <w:rFonts w:ascii="Times New Roman" w:hAnsi="Times New Roman" w:cs="Times New Roman"/>
          <w:lang w:val="en-GB"/>
        </w:rPr>
        <w:t xml:space="preserve">. </w:t>
      </w:r>
      <w:r w:rsidR="002876F6" w:rsidRPr="00A44C49">
        <w:rPr>
          <w:rFonts w:ascii="Times New Roman" w:hAnsi="Times New Roman" w:cs="Times New Roman"/>
          <w:lang w:val="en-GB"/>
        </w:rPr>
        <w:t xml:space="preserve">For example, following a recent bomb attack at a Liverpool hospital on 14 November 2021, the Home Secretary </w:t>
      </w:r>
      <w:hyperlink r:id="rId25" w:history="1">
        <w:r w:rsidR="002876F6" w:rsidRPr="00A44C49">
          <w:rPr>
            <w:rStyle w:val="Hyperlink"/>
            <w:rFonts w:ascii="Times New Roman" w:hAnsi="Times New Roman" w:cs="Times New Roman"/>
            <w:lang w:val="en-GB"/>
          </w:rPr>
          <w:t>linked</w:t>
        </w:r>
      </w:hyperlink>
      <w:r w:rsidR="002876F6" w:rsidRPr="00A44C49">
        <w:rPr>
          <w:rFonts w:ascii="Times New Roman" w:hAnsi="Times New Roman" w:cs="Times New Roman"/>
          <w:lang w:val="en-GB"/>
        </w:rPr>
        <w:t xml:space="preserve"> the attacker’s status as an asylum seeker to the role of lawyers. She made comments stating that the attack showed why asylum reform is needed, insinuating that lawyers acting for immigration claimants abuse the legal system for profit and conflating lawyers with the beliefs of their clients. The comments in question, reported in the media, were:</w:t>
      </w:r>
    </w:p>
    <w:p w14:paraId="069E61E3" w14:textId="4301C593" w:rsidR="002876F6" w:rsidRPr="00A44C49" w:rsidRDefault="002876F6" w:rsidP="007536B8">
      <w:pPr>
        <w:spacing w:line="276" w:lineRule="auto"/>
        <w:ind w:left="720"/>
        <w:jc w:val="both"/>
        <w:rPr>
          <w:rFonts w:ascii="Times New Roman" w:hAnsi="Times New Roman" w:cs="Times New Roman"/>
          <w:i/>
          <w:iCs/>
          <w:lang w:val="en-GB"/>
        </w:rPr>
      </w:pPr>
      <w:r w:rsidRPr="00A44C49">
        <w:rPr>
          <w:rFonts w:ascii="Times New Roman" w:hAnsi="Times New Roman" w:cs="Times New Roman"/>
          <w:i/>
          <w:iCs/>
          <w:lang w:val="en-GB"/>
        </w:rPr>
        <w:t>“A whole sort of professional legal services industry has based itself on rights of appeal, going to the courts day-in day-out at the expense of the taxpayers through legal aid … there’s a whole industry that thinks it’s right to defend these individuals that cause the most appalling crimes against British citizens, devastating their lives, blighting communities — and that is completely wrong.”</w:t>
      </w:r>
    </w:p>
    <w:p w14:paraId="441A08B7" w14:textId="467D97AB" w:rsidR="000C2B2C" w:rsidRPr="00A44C49" w:rsidRDefault="008C0834"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 xml:space="preserve">We remain concerned that there is an </w:t>
      </w:r>
      <w:r w:rsidR="008F52CA" w:rsidRPr="00A44C49">
        <w:rPr>
          <w:rFonts w:ascii="Times New Roman" w:hAnsi="Times New Roman" w:cs="Times New Roman"/>
          <w:lang w:val="en-GB"/>
        </w:rPr>
        <w:t>ongo</w:t>
      </w:r>
      <w:r w:rsidRPr="00A44C49">
        <w:rPr>
          <w:rFonts w:ascii="Times New Roman" w:hAnsi="Times New Roman" w:cs="Times New Roman"/>
          <w:lang w:val="en-GB"/>
        </w:rPr>
        <w:t xml:space="preserve">ing trend </w:t>
      </w:r>
      <w:r w:rsidR="008F52CA" w:rsidRPr="00A44C49">
        <w:rPr>
          <w:rFonts w:ascii="Times New Roman" w:hAnsi="Times New Roman" w:cs="Times New Roman"/>
          <w:lang w:val="en-GB"/>
        </w:rPr>
        <w:t>of</w:t>
      </w:r>
      <w:r w:rsidRPr="00A44C49">
        <w:rPr>
          <w:rFonts w:ascii="Times New Roman" w:hAnsi="Times New Roman" w:cs="Times New Roman"/>
          <w:lang w:val="en-GB"/>
        </w:rPr>
        <w:t xml:space="preserve"> ascribing bad faith motives to lawyers</w:t>
      </w:r>
      <w:r w:rsidR="00FD0373" w:rsidRPr="00A44C49">
        <w:rPr>
          <w:rFonts w:ascii="Times New Roman" w:hAnsi="Times New Roman" w:cs="Times New Roman"/>
          <w:lang w:val="en-GB"/>
        </w:rPr>
        <w:t xml:space="preserve"> who are carrying out their professional duties.</w:t>
      </w:r>
      <w:r w:rsidR="00722E3D" w:rsidRPr="00A44C49">
        <w:rPr>
          <w:rFonts w:ascii="Times New Roman" w:hAnsi="Times New Roman" w:cs="Times New Roman"/>
          <w:lang w:val="en-GB"/>
        </w:rPr>
        <w:t xml:space="preserve"> Such actions damage the reputation of the legal profession and public trust in lawyers, contributing to a climate in which it becomes more difficult for lawyers to carry out their duties</w:t>
      </w:r>
      <w:r w:rsidR="0054287B" w:rsidRPr="00A44C49">
        <w:rPr>
          <w:rFonts w:ascii="Times New Roman" w:hAnsi="Times New Roman" w:cs="Times New Roman"/>
          <w:lang w:val="en-GB"/>
        </w:rPr>
        <w:t>,</w:t>
      </w:r>
      <w:r w:rsidR="00950C68" w:rsidRPr="00A44C49">
        <w:rPr>
          <w:rFonts w:ascii="Times New Roman" w:hAnsi="Times New Roman" w:cs="Times New Roman"/>
          <w:lang w:val="en-GB"/>
        </w:rPr>
        <w:t xml:space="preserve"> where attacks on lawyers by members of the public seem justified</w:t>
      </w:r>
      <w:r w:rsidR="001D10C4" w:rsidRPr="00A44C49">
        <w:rPr>
          <w:rFonts w:ascii="Times New Roman" w:hAnsi="Times New Roman" w:cs="Times New Roman"/>
          <w:lang w:val="en-GB"/>
        </w:rPr>
        <w:t xml:space="preserve"> or justifiable</w:t>
      </w:r>
      <w:r w:rsidR="00950C68" w:rsidRPr="00A44C49">
        <w:rPr>
          <w:rFonts w:ascii="Times New Roman" w:hAnsi="Times New Roman" w:cs="Times New Roman"/>
          <w:lang w:val="en-GB"/>
        </w:rPr>
        <w:t>,</w:t>
      </w:r>
      <w:r w:rsidR="00722E3D" w:rsidRPr="00A44C49">
        <w:rPr>
          <w:rFonts w:ascii="Times New Roman" w:hAnsi="Times New Roman" w:cs="Times New Roman"/>
          <w:lang w:val="en-GB"/>
        </w:rPr>
        <w:t xml:space="preserve"> and </w:t>
      </w:r>
      <w:r w:rsidR="00950C68" w:rsidRPr="00A44C49">
        <w:rPr>
          <w:rFonts w:ascii="Times New Roman" w:hAnsi="Times New Roman" w:cs="Times New Roman"/>
          <w:lang w:val="en-GB"/>
        </w:rPr>
        <w:t xml:space="preserve">this </w:t>
      </w:r>
      <w:r w:rsidR="00722E3D" w:rsidRPr="00A44C49">
        <w:rPr>
          <w:rFonts w:ascii="Times New Roman" w:hAnsi="Times New Roman" w:cs="Times New Roman"/>
          <w:lang w:val="en-GB"/>
        </w:rPr>
        <w:t>ultimately undermines the rule of law.</w:t>
      </w:r>
    </w:p>
    <w:p w14:paraId="06B1B66B" w14:textId="77777777" w:rsidR="004D0030" w:rsidRPr="00A44C49" w:rsidRDefault="004D0030" w:rsidP="00C15B93">
      <w:pPr>
        <w:pStyle w:val="ListParagraph"/>
        <w:spacing w:line="276" w:lineRule="auto"/>
        <w:ind w:left="1440"/>
        <w:jc w:val="both"/>
        <w:rPr>
          <w:rFonts w:ascii="Times New Roman" w:hAnsi="Times New Roman" w:cs="Times New Roman"/>
          <w:lang w:val="en-GB"/>
        </w:rPr>
      </w:pPr>
    </w:p>
    <w:p w14:paraId="7D76A371" w14:textId="451C282F" w:rsidR="00812F2D" w:rsidRPr="00A44C49" w:rsidRDefault="00812F2D"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 xml:space="preserve">What activities does your </w:t>
      </w:r>
      <w:r w:rsidR="00700B57" w:rsidRPr="00A44C49">
        <w:rPr>
          <w:rFonts w:ascii="Times New Roman" w:hAnsi="Times New Roman" w:cs="Times New Roman"/>
          <w:b/>
          <w:bCs/>
          <w:lang w:val="en-GB"/>
        </w:rPr>
        <w:t>organization</w:t>
      </w:r>
      <w:r w:rsidRPr="00A44C49">
        <w:rPr>
          <w:rFonts w:ascii="Times New Roman" w:hAnsi="Times New Roman" w:cs="Times New Roman"/>
          <w:b/>
          <w:bCs/>
          <w:lang w:val="en-GB"/>
        </w:rPr>
        <w:t xml:space="preserve"> carry out to promote the independence of the legal profession? Do you co-ordinate with other </w:t>
      </w:r>
      <w:r w:rsidR="00700B57" w:rsidRPr="00A44C49">
        <w:rPr>
          <w:rFonts w:ascii="Times New Roman" w:hAnsi="Times New Roman" w:cs="Times New Roman"/>
          <w:b/>
          <w:bCs/>
          <w:lang w:val="en-GB"/>
        </w:rPr>
        <w:t>organizations</w:t>
      </w:r>
      <w:r w:rsidRPr="00A44C49">
        <w:rPr>
          <w:rFonts w:ascii="Times New Roman" w:hAnsi="Times New Roman" w:cs="Times New Roman"/>
          <w:b/>
          <w:bCs/>
          <w:lang w:val="en-GB"/>
        </w:rPr>
        <w:t xml:space="preserve"> with similar functions in other countries</w:t>
      </w:r>
      <w:r w:rsidR="00EA0A03" w:rsidRPr="00A44C49">
        <w:rPr>
          <w:rFonts w:ascii="Times New Roman" w:hAnsi="Times New Roman" w:cs="Times New Roman"/>
          <w:b/>
          <w:bCs/>
          <w:lang w:val="en-GB"/>
        </w:rPr>
        <w:t xml:space="preserve"> or regions</w:t>
      </w:r>
      <w:r w:rsidRPr="00A44C49">
        <w:rPr>
          <w:rFonts w:ascii="Times New Roman" w:hAnsi="Times New Roman" w:cs="Times New Roman"/>
          <w:b/>
          <w:bCs/>
          <w:lang w:val="en-GB"/>
        </w:rPr>
        <w:t>? Are you part of a network for this purpose? Please give examples.</w:t>
      </w:r>
    </w:p>
    <w:p w14:paraId="643E7F6B" w14:textId="0B0BCE03" w:rsidR="00954FBA" w:rsidRPr="00A44C49" w:rsidRDefault="00954FBA" w:rsidP="00C15B93">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The Law Society promotes the independence of the legal profession through its Lawyers at Risk programme, one of its International Rule of Law programmes, which supports lawyers (and sometimes judges and prosecutors) who are being prevented from carrying out their professional duties, for example through threats, arrest, detention, prosecution, unfair disciplinary measures, disappearance, ill treatment and enforced disappearance. We send letters to State authorities on particular cases, but also address the structural causes that give rise to risk through UPR reports, Amicus briefs, expert evidence to international and national bodies, trial observations, and advocacy before British All-Party Parliamentary Groups, the Commonwealth Secretariat, the Foreign, Commonwealth &amp; Development Office, the Council of Europe, United Nations and regional human rights bodies. The Law Society often coordinates with Bars and Law Societies in other countries, as well as local and international NGOs. The Law Society is a member of umbrella organisations of lawyers, such as CCBE, IBA, UIA, LAWASIA and others.</w:t>
      </w:r>
    </w:p>
    <w:p w14:paraId="415A0797" w14:textId="77777777" w:rsidR="000027BD" w:rsidRPr="00A44C49" w:rsidRDefault="000027BD" w:rsidP="00C15B93">
      <w:pPr>
        <w:pStyle w:val="ListParagraph"/>
        <w:spacing w:line="276" w:lineRule="auto"/>
        <w:jc w:val="both"/>
        <w:rPr>
          <w:rFonts w:ascii="Times New Roman" w:hAnsi="Times New Roman" w:cs="Times New Roman"/>
          <w:lang w:val="en-GB"/>
        </w:rPr>
      </w:pPr>
    </w:p>
    <w:p w14:paraId="29DB104E" w14:textId="0DD11663" w:rsidR="00E4684F" w:rsidRPr="00A44C49" w:rsidRDefault="000027BD" w:rsidP="00714C65">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 xml:space="preserve">To what extent has the legislation and/or measures adopted in your country because of the Covid-19 pandemic, affected the exercise of the independence of the legal profession or security of lawyers. Please explain. </w:t>
      </w:r>
    </w:p>
    <w:p w14:paraId="2954833F" w14:textId="77777777" w:rsidR="00714C65" w:rsidRPr="00A44C49" w:rsidRDefault="00714C65" w:rsidP="00714C65">
      <w:pPr>
        <w:pStyle w:val="ListParagraph"/>
        <w:spacing w:line="276" w:lineRule="auto"/>
        <w:jc w:val="both"/>
        <w:rPr>
          <w:rFonts w:ascii="Times New Roman" w:hAnsi="Times New Roman" w:cs="Times New Roman"/>
          <w:b/>
          <w:bCs/>
          <w:lang w:val="en-GB"/>
        </w:rPr>
      </w:pPr>
    </w:p>
    <w:p w14:paraId="2A25ECBD" w14:textId="62CE7C98" w:rsidR="00E4684F" w:rsidRPr="00A44C49" w:rsidRDefault="00E4684F" w:rsidP="00C15B93">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 xml:space="preserve">The Coronavirus Act 2020 </w:t>
      </w:r>
      <w:r w:rsidR="00D15758" w:rsidRPr="00A44C49">
        <w:rPr>
          <w:rFonts w:ascii="Times New Roman" w:hAnsi="Times New Roman" w:cs="Times New Roman"/>
          <w:lang w:val="en-GB"/>
        </w:rPr>
        <w:t xml:space="preserve">has </w:t>
      </w:r>
      <w:r w:rsidRPr="00A44C49">
        <w:rPr>
          <w:rFonts w:ascii="Times New Roman" w:hAnsi="Times New Roman" w:cs="Times New Roman"/>
          <w:lang w:val="en-GB"/>
        </w:rPr>
        <w:t>hindered lawyers’ ability to exercise their profession</w:t>
      </w:r>
      <w:r w:rsidR="00D15758" w:rsidRPr="00A44C49">
        <w:rPr>
          <w:rFonts w:ascii="Times New Roman" w:hAnsi="Times New Roman" w:cs="Times New Roman"/>
          <w:lang w:val="en-GB"/>
        </w:rPr>
        <w:t xml:space="preserve"> </w:t>
      </w:r>
      <w:r w:rsidRPr="00A44C49">
        <w:rPr>
          <w:rFonts w:ascii="Times New Roman" w:hAnsi="Times New Roman" w:cs="Times New Roman"/>
          <w:lang w:val="en-GB"/>
        </w:rPr>
        <w:t xml:space="preserve">because of the increase of court backlogs and increase of unfinished caseloads, as well as a decrease in Crown Court legal aid </w:t>
      </w:r>
      <w:r w:rsidR="00657479" w:rsidRPr="00A44C49">
        <w:rPr>
          <w:rFonts w:ascii="Times New Roman" w:hAnsi="Times New Roman" w:cs="Times New Roman"/>
          <w:lang w:val="en-GB"/>
        </w:rPr>
        <w:t xml:space="preserve">payments </w:t>
      </w:r>
      <w:r w:rsidRPr="00A44C49">
        <w:rPr>
          <w:rFonts w:ascii="Times New Roman" w:hAnsi="Times New Roman" w:cs="Times New Roman"/>
          <w:lang w:val="en-GB"/>
        </w:rPr>
        <w:t xml:space="preserve">(28%). </w:t>
      </w:r>
      <w:hyperlink r:id="rId26" w:history="1">
        <w:r w:rsidRPr="00A44C49">
          <w:rPr>
            <w:rStyle w:val="Hyperlink"/>
            <w:rFonts w:ascii="Times New Roman" w:hAnsi="Times New Roman" w:cs="Times New Roman"/>
            <w:lang w:val="en-GB"/>
          </w:rPr>
          <w:t>Overall</w:t>
        </w:r>
      </w:hyperlink>
      <w:r w:rsidRPr="00A44C49">
        <w:rPr>
          <w:rFonts w:ascii="Times New Roman" w:hAnsi="Times New Roman" w:cs="Times New Roman"/>
          <w:lang w:val="en-GB"/>
        </w:rPr>
        <w:t xml:space="preserve">, the annual legal aid expenditure has fallen by 38% in real terms, leading to a closure of half of the non-profit legal advice services and law centres since 2013. In a report by the Bar council, 38% of criminal barristers have said they have doubts about </w:t>
      </w:r>
      <w:r w:rsidR="0063197C" w:rsidRPr="00A44C49">
        <w:rPr>
          <w:rFonts w:ascii="Times New Roman" w:hAnsi="Times New Roman" w:cs="Times New Roman"/>
          <w:lang w:val="en-GB"/>
        </w:rPr>
        <w:t>whether</w:t>
      </w:r>
      <w:r w:rsidRPr="00A44C49">
        <w:rPr>
          <w:rFonts w:ascii="Times New Roman" w:hAnsi="Times New Roman" w:cs="Times New Roman"/>
          <w:lang w:val="en-GB"/>
        </w:rPr>
        <w:t xml:space="preserve"> they will still be practicing by the end of 2021. Uncertainty over career stability and overwork has had an impact on the ability to exercise the legal profession, as </w:t>
      </w:r>
      <w:r w:rsidR="005E31CE" w:rsidRPr="00A44C49">
        <w:rPr>
          <w:rFonts w:ascii="Times New Roman" w:hAnsi="Times New Roman" w:cs="Times New Roman"/>
          <w:lang w:val="en-GB"/>
        </w:rPr>
        <w:t xml:space="preserve">well as </w:t>
      </w:r>
      <w:r w:rsidRPr="00A44C49">
        <w:rPr>
          <w:rFonts w:ascii="Times New Roman" w:hAnsi="Times New Roman" w:cs="Times New Roman"/>
          <w:lang w:val="en-GB"/>
        </w:rPr>
        <w:t>on financial and professional security.</w:t>
      </w:r>
    </w:p>
    <w:p w14:paraId="5B24C8A6" w14:textId="77777777" w:rsidR="000027BD" w:rsidRPr="00A44C49" w:rsidRDefault="000027BD" w:rsidP="00C15B93">
      <w:pPr>
        <w:pStyle w:val="ListParagraph"/>
        <w:spacing w:line="276" w:lineRule="auto"/>
        <w:jc w:val="both"/>
        <w:rPr>
          <w:rFonts w:ascii="Times New Roman" w:hAnsi="Times New Roman" w:cs="Times New Roman"/>
          <w:lang w:val="en-GB"/>
        </w:rPr>
      </w:pPr>
    </w:p>
    <w:p w14:paraId="2AA6F8DB" w14:textId="6B75E164" w:rsidR="00812F2D" w:rsidRPr="00A44C49" w:rsidRDefault="000027BD" w:rsidP="00C15B93">
      <w:pPr>
        <w:pStyle w:val="ListParagraph"/>
        <w:numPr>
          <w:ilvl w:val="0"/>
          <w:numId w:val="1"/>
        </w:numPr>
        <w:spacing w:line="276" w:lineRule="auto"/>
        <w:jc w:val="both"/>
        <w:rPr>
          <w:rFonts w:ascii="Times New Roman" w:hAnsi="Times New Roman" w:cs="Times New Roman"/>
          <w:b/>
          <w:bCs/>
          <w:lang w:val="en-GB"/>
        </w:rPr>
      </w:pPr>
      <w:r w:rsidRPr="00A44C49">
        <w:rPr>
          <w:rFonts w:ascii="Times New Roman" w:hAnsi="Times New Roman" w:cs="Times New Roman"/>
          <w:b/>
          <w:bCs/>
          <w:lang w:val="en-GB"/>
        </w:rPr>
        <w:t>Please describe the measures and policies you would suggest to better protect and guarantee the free exercise of the legal profession.</w:t>
      </w:r>
    </w:p>
    <w:p w14:paraId="2454A2AE" w14:textId="5DF1AFAC" w:rsidR="00F02831" w:rsidRPr="00A44C49" w:rsidRDefault="00F02831" w:rsidP="00C15B93">
      <w:pPr>
        <w:pStyle w:val="ListParagraph"/>
        <w:spacing w:line="276" w:lineRule="auto"/>
        <w:jc w:val="both"/>
        <w:rPr>
          <w:rFonts w:ascii="Times New Roman" w:hAnsi="Times New Roman" w:cs="Times New Roman"/>
          <w:lang w:val="en-GB"/>
        </w:rPr>
      </w:pPr>
    </w:p>
    <w:p w14:paraId="2F34653A" w14:textId="3492D156" w:rsidR="00B16C61" w:rsidRPr="00A44C49" w:rsidRDefault="00B16C61" w:rsidP="00714C65">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We would support the recommendation of the Joint Committee on Human Rights tenth report of session 2017–19: Enforcing Human Rights</w:t>
      </w:r>
      <w:r w:rsidR="00F948BF" w:rsidRPr="00A44C49">
        <w:rPr>
          <w:rFonts w:ascii="Times New Roman" w:hAnsi="Times New Roman" w:cs="Times New Roman"/>
          <w:lang w:val="en-GB"/>
        </w:rPr>
        <w:t>.</w:t>
      </w:r>
      <w:r w:rsidR="00714C65" w:rsidRPr="00A44C49">
        <w:rPr>
          <w:rFonts w:ascii="Times New Roman" w:hAnsi="Times New Roman" w:cs="Times New Roman"/>
          <w:lang w:val="en-GB"/>
        </w:rPr>
        <w:t xml:space="preserve"> </w:t>
      </w:r>
      <w:r w:rsidRPr="00A44C49">
        <w:rPr>
          <w:rFonts w:ascii="Times New Roman" w:hAnsi="Times New Roman" w:cs="Times New Roman"/>
          <w:lang w:val="en-GB"/>
        </w:rPr>
        <w:t xml:space="preserve">The Government must create a positive environment in which lawyers are not impeded from bringing human rights cases against the Government. Lawyers should not be </w:t>
      </w:r>
      <w:r w:rsidR="001E00C4" w:rsidRPr="00A44C49">
        <w:rPr>
          <w:rFonts w:ascii="Times New Roman" w:hAnsi="Times New Roman" w:cs="Times New Roman"/>
          <w:lang w:val="en-GB"/>
        </w:rPr>
        <w:t>criticized</w:t>
      </w:r>
      <w:r w:rsidRPr="00A44C49">
        <w:rPr>
          <w:rFonts w:ascii="Times New Roman" w:hAnsi="Times New Roman" w:cs="Times New Roman"/>
          <w:lang w:val="en-GB"/>
        </w:rPr>
        <w:t xml:space="preserve"> because they represent ‘unpopular’ clients in human rights claims. Where there are concerns about lawyers’ conduct, the proper disciplinary channels should be used, and the Government should not seek to abuse </w:t>
      </w:r>
      <w:r w:rsidR="00CE4429">
        <w:rPr>
          <w:rFonts w:ascii="Times New Roman" w:hAnsi="Times New Roman" w:cs="Times New Roman"/>
          <w:lang w:val="en-GB"/>
        </w:rPr>
        <w:t>its</w:t>
      </w:r>
      <w:r w:rsidRPr="00A44C49">
        <w:rPr>
          <w:rFonts w:ascii="Times New Roman" w:hAnsi="Times New Roman" w:cs="Times New Roman"/>
          <w:lang w:val="en-GB"/>
        </w:rPr>
        <w:t xml:space="preserve"> position to influence, intimidate or interfere in that process.</w:t>
      </w:r>
    </w:p>
    <w:p w14:paraId="396D8248" w14:textId="77777777" w:rsidR="00B16C61" w:rsidRPr="00A44C49" w:rsidRDefault="00B16C61" w:rsidP="00C15B93">
      <w:pPr>
        <w:pStyle w:val="ListParagraph"/>
        <w:spacing w:line="276" w:lineRule="auto"/>
        <w:jc w:val="both"/>
        <w:rPr>
          <w:rFonts w:ascii="Times New Roman" w:hAnsi="Times New Roman" w:cs="Times New Roman"/>
          <w:lang w:val="en-GB"/>
        </w:rPr>
      </w:pPr>
    </w:p>
    <w:p w14:paraId="47B4F491" w14:textId="6CACDD58" w:rsidR="00287FAD" w:rsidRPr="00A44C49" w:rsidRDefault="00F02831" w:rsidP="00C15B93">
      <w:pPr>
        <w:pStyle w:val="ListParagraph"/>
        <w:spacing w:line="276" w:lineRule="auto"/>
        <w:jc w:val="both"/>
        <w:rPr>
          <w:rFonts w:ascii="Times New Roman" w:hAnsi="Times New Roman" w:cs="Times New Roman"/>
          <w:lang w:val="en-GB"/>
        </w:rPr>
      </w:pPr>
      <w:r w:rsidRPr="00A44C49">
        <w:rPr>
          <w:rFonts w:ascii="Times New Roman" w:hAnsi="Times New Roman" w:cs="Times New Roman"/>
          <w:lang w:val="en-GB"/>
        </w:rPr>
        <w:t>We would recommend in the UK, as we recommend in relation to foreign jurisdictions</w:t>
      </w:r>
      <w:r w:rsidR="005E31CE" w:rsidRPr="00A44C49">
        <w:rPr>
          <w:rFonts w:ascii="Times New Roman" w:hAnsi="Times New Roman" w:cs="Times New Roman"/>
          <w:lang w:val="en-GB"/>
        </w:rPr>
        <w:t>,</w:t>
      </w:r>
      <w:r w:rsidRPr="00A44C49">
        <w:rPr>
          <w:rFonts w:ascii="Times New Roman" w:hAnsi="Times New Roman" w:cs="Times New Roman"/>
          <w:lang w:val="en-GB"/>
        </w:rPr>
        <w:t xml:space="preserve"> that lawyers are not stigmati</w:t>
      </w:r>
      <w:r w:rsidR="005E31CE" w:rsidRPr="00A44C49">
        <w:rPr>
          <w:rFonts w:ascii="Times New Roman" w:hAnsi="Times New Roman" w:cs="Times New Roman"/>
          <w:lang w:val="en-GB"/>
        </w:rPr>
        <w:t>s</w:t>
      </w:r>
      <w:r w:rsidRPr="00A44C49">
        <w:rPr>
          <w:rFonts w:ascii="Times New Roman" w:hAnsi="Times New Roman" w:cs="Times New Roman"/>
          <w:lang w:val="en-GB"/>
        </w:rPr>
        <w:t>ed by government</w:t>
      </w:r>
      <w:r w:rsidR="00287FAD" w:rsidRPr="00A44C49">
        <w:rPr>
          <w:rFonts w:ascii="Times New Roman" w:hAnsi="Times New Roman" w:cs="Times New Roman"/>
          <w:lang w:val="en-GB"/>
        </w:rPr>
        <w:t xml:space="preserve">, </w:t>
      </w:r>
      <w:r w:rsidRPr="00A44C49">
        <w:rPr>
          <w:rFonts w:ascii="Times New Roman" w:hAnsi="Times New Roman" w:cs="Times New Roman"/>
          <w:lang w:val="en-GB"/>
        </w:rPr>
        <w:t>law makers</w:t>
      </w:r>
      <w:r w:rsidR="005E31CE" w:rsidRPr="00A44C49">
        <w:rPr>
          <w:rFonts w:ascii="Times New Roman" w:hAnsi="Times New Roman" w:cs="Times New Roman"/>
          <w:lang w:val="en-GB"/>
        </w:rPr>
        <w:t>,</w:t>
      </w:r>
      <w:r w:rsidRPr="00A44C49">
        <w:rPr>
          <w:rFonts w:ascii="Times New Roman" w:hAnsi="Times New Roman" w:cs="Times New Roman"/>
          <w:lang w:val="en-GB"/>
        </w:rPr>
        <w:t xml:space="preserve"> </w:t>
      </w:r>
      <w:r w:rsidR="00287FAD" w:rsidRPr="00A44C49">
        <w:rPr>
          <w:rFonts w:ascii="Times New Roman" w:hAnsi="Times New Roman" w:cs="Times New Roman"/>
          <w:lang w:val="en-GB"/>
        </w:rPr>
        <w:t xml:space="preserve">or media </w:t>
      </w:r>
      <w:r w:rsidRPr="00A44C49">
        <w:rPr>
          <w:rFonts w:ascii="Times New Roman" w:hAnsi="Times New Roman" w:cs="Times New Roman"/>
          <w:lang w:val="en-GB"/>
        </w:rPr>
        <w:t xml:space="preserve">for </w:t>
      </w:r>
      <w:r w:rsidR="00287FAD" w:rsidRPr="00A44C49">
        <w:rPr>
          <w:rFonts w:ascii="Times New Roman" w:hAnsi="Times New Roman" w:cs="Times New Roman"/>
          <w:lang w:val="en-GB"/>
        </w:rPr>
        <w:t>the exercise of their profession</w:t>
      </w:r>
      <w:r w:rsidR="00D23D0D" w:rsidRPr="00A44C49">
        <w:rPr>
          <w:rFonts w:ascii="Times New Roman" w:hAnsi="Times New Roman" w:cs="Times New Roman"/>
          <w:lang w:val="en-GB"/>
        </w:rPr>
        <w:t xml:space="preserve"> and that they not be identified with their clients and their clients’ </w:t>
      </w:r>
      <w:r w:rsidR="001E00C4" w:rsidRPr="00A44C49">
        <w:rPr>
          <w:rFonts w:ascii="Times New Roman" w:hAnsi="Times New Roman" w:cs="Times New Roman"/>
          <w:lang w:val="en-GB"/>
        </w:rPr>
        <w:t>causes</w:t>
      </w:r>
      <w:r w:rsidR="00287FAD" w:rsidRPr="00A44C49">
        <w:rPr>
          <w:rFonts w:ascii="Times New Roman" w:hAnsi="Times New Roman" w:cs="Times New Roman"/>
          <w:lang w:val="en-GB"/>
        </w:rPr>
        <w:t>.</w:t>
      </w:r>
    </w:p>
    <w:p w14:paraId="0A86AA21" w14:textId="77777777" w:rsidR="00287FAD" w:rsidRPr="00A44C49" w:rsidRDefault="00287FAD" w:rsidP="00C15B93">
      <w:pPr>
        <w:pStyle w:val="ListParagraph"/>
        <w:spacing w:line="276" w:lineRule="auto"/>
        <w:jc w:val="both"/>
        <w:rPr>
          <w:rFonts w:ascii="Times New Roman" w:hAnsi="Times New Roman" w:cs="Times New Roman"/>
          <w:lang w:val="en-GB"/>
        </w:rPr>
      </w:pPr>
    </w:p>
    <w:p w14:paraId="07580A81" w14:textId="01BADC59" w:rsidR="00812F2D" w:rsidRPr="00A44C49" w:rsidRDefault="00F02831" w:rsidP="00A44C49">
      <w:pPr>
        <w:spacing w:line="276" w:lineRule="auto"/>
        <w:ind w:left="720"/>
        <w:jc w:val="both"/>
        <w:rPr>
          <w:rFonts w:ascii="Times New Roman" w:hAnsi="Times New Roman" w:cs="Times New Roman"/>
          <w:lang w:val="en-GB"/>
        </w:rPr>
      </w:pPr>
      <w:r w:rsidRPr="00A44C49">
        <w:rPr>
          <w:rFonts w:ascii="Times New Roman" w:hAnsi="Times New Roman" w:cs="Times New Roman"/>
          <w:lang w:val="en-GB"/>
        </w:rPr>
        <w:t>I</w:t>
      </w:r>
      <w:r w:rsidR="00287FAD" w:rsidRPr="00A44C49">
        <w:rPr>
          <w:rFonts w:ascii="Times New Roman" w:hAnsi="Times New Roman" w:cs="Times New Roman"/>
          <w:lang w:val="en-GB"/>
        </w:rPr>
        <w:t>n</w:t>
      </w:r>
      <w:r w:rsidRPr="00A44C49">
        <w:rPr>
          <w:rFonts w:ascii="Times New Roman" w:hAnsi="Times New Roman" w:cs="Times New Roman"/>
          <w:lang w:val="en-GB"/>
        </w:rPr>
        <w:t xml:space="preserve"> the context of an increasingly hostil</w:t>
      </w:r>
      <w:r w:rsidR="00287FAD" w:rsidRPr="00A44C49">
        <w:rPr>
          <w:rFonts w:ascii="Times New Roman" w:hAnsi="Times New Roman" w:cs="Times New Roman"/>
          <w:lang w:val="en-GB"/>
        </w:rPr>
        <w:t>e</w:t>
      </w:r>
      <w:r w:rsidRPr="00A44C49">
        <w:rPr>
          <w:rFonts w:ascii="Times New Roman" w:hAnsi="Times New Roman" w:cs="Times New Roman"/>
          <w:lang w:val="en-GB"/>
        </w:rPr>
        <w:t xml:space="preserve"> environment towards lawyers, the Law Society supports the introduction of the European Convention on the Profession of Lawyer as a binding Convention</w:t>
      </w:r>
      <w:r w:rsidR="00287FAD" w:rsidRPr="00A44C49">
        <w:rPr>
          <w:rFonts w:ascii="Times New Roman" w:hAnsi="Times New Roman" w:cs="Times New Roman"/>
          <w:lang w:val="en-GB"/>
        </w:rPr>
        <w:t xml:space="preserve"> </w:t>
      </w:r>
      <w:r w:rsidR="001E6DC6" w:rsidRPr="00A44C49">
        <w:rPr>
          <w:rFonts w:ascii="Times New Roman" w:hAnsi="Times New Roman" w:cs="Times New Roman"/>
          <w:lang w:val="en-GB"/>
        </w:rPr>
        <w:t>with a feasible and effective implementation mechanism</w:t>
      </w:r>
      <w:r w:rsidR="00287FAD" w:rsidRPr="00A44C49">
        <w:rPr>
          <w:rFonts w:ascii="Times New Roman" w:hAnsi="Times New Roman" w:cs="Times New Roman"/>
          <w:lang w:val="en-GB"/>
        </w:rPr>
        <w:t>.</w:t>
      </w:r>
      <w:r w:rsidRPr="00A44C49">
        <w:rPr>
          <w:rFonts w:ascii="Times New Roman" w:hAnsi="Times New Roman" w:cs="Times New Roman"/>
          <w:lang w:val="en-GB"/>
        </w:rPr>
        <w:t xml:space="preserve"> </w:t>
      </w:r>
    </w:p>
    <w:sectPr w:rsidR="00812F2D" w:rsidRPr="00A44C49">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C573" w14:textId="77777777" w:rsidR="000C45BC" w:rsidRDefault="000C45BC" w:rsidP="00E4684F">
      <w:pPr>
        <w:spacing w:after="0" w:line="240" w:lineRule="auto"/>
      </w:pPr>
      <w:r>
        <w:separator/>
      </w:r>
    </w:p>
  </w:endnote>
  <w:endnote w:type="continuationSeparator" w:id="0">
    <w:p w14:paraId="787B1BDE" w14:textId="77777777" w:rsidR="000C45BC" w:rsidRDefault="000C45BC" w:rsidP="00E4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85725"/>
      <w:docPartObj>
        <w:docPartGallery w:val="Page Numbers (Bottom of Page)"/>
        <w:docPartUnique/>
      </w:docPartObj>
    </w:sdtPr>
    <w:sdtEndPr>
      <w:rPr>
        <w:noProof/>
      </w:rPr>
    </w:sdtEndPr>
    <w:sdtContent>
      <w:p w14:paraId="348E18DE" w14:textId="69195B61" w:rsidR="0046196B" w:rsidRDefault="0046196B">
        <w:pPr>
          <w:pStyle w:val="Footer"/>
          <w:jc w:val="center"/>
        </w:pPr>
        <w:r>
          <w:fldChar w:fldCharType="begin"/>
        </w:r>
        <w:r>
          <w:instrText xml:space="preserve"> PAGE   \* MERGEFORMAT </w:instrText>
        </w:r>
        <w:r>
          <w:fldChar w:fldCharType="separate"/>
        </w:r>
        <w:r w:rsidR="00577AAA">
          <w:rPr>
            <w:noProof/>
          </w:rPr>
          <w:t>1</w:t>
        </w:r>
        <w:r>
          <w:rPr>
            <w:noProof/>
          </w:rPr>
          <w:fldChar w:fldCharType="end"/>
        </w:r>
      </w:p>
    </w:sdtContent>
  </w:sdt>
  <w:p w14:paraId="16820DA9" w14:textId="77777777" w:rsidR="0046196B" w:rsidRDefault="0046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8A2C" w14:textId="77777777" w:rsidR="000C45BC" w:rsidRDefault="000C45BC" w:rsidP="00E4684F">
      <w:pPr>
        <w:spacing w:after="0" w:line="240" w:lineRule="auto"/>
      </w:pPr>
      <w:r>
        <w:separator/>
      </w:r>
    </w:p>
  </w:footnote>
  <w:footnote w:type="continuationSeparator" w:id="0">
    <w:p w14:paraId="49EC667F" w14:textId="77777777" w:rsidR="000C45BC" w:rsidRDefault="000C45BC" w:rsidP="00E4684F">
      <w:pPr>
        <w:spacing w:after="0" w:line="240" w:lineRule="auto"/>
      </w:pPr>
      <w:r>
        <w:continuationSeparator/>
      </w:r>
    </w:p>
  </w:footnote>
  <w:footnote w:id="1">
    <w:p w14:paraId="7C18484D" w14:textId="21013F47" w:rsidR="00E4684F" w:rsidRPr="00E4684F" w:rsidRDefault="00E4684F">
      <w:pPr>
        <w:pStyle w:val="FootnoteText"/>
        <w:rPr>
          <w:lang w:val="en-US"/>
        </w:rPr>
      </w:pPr>
      <w:r>
        <w:rPr>
          <w:rStyle w:val="FootnoteReference"/>
        </w:rPr>
        <w:footnoteRef/>
      </w:r>
      <w:r w:rsidRPr="000060A1">
        <w:rPr>
          <w:lang w:val="en-GB"/>
        </w:rPr>
        <w:t xml:space="preserve"> </w:t>
      </w:r>
      <w:r>
        <w:rPr>
          <w:lang w:val="en-US"/>
        </w:rPr>
        <w:t>SDT Annual Report 2016, page 16</w:t>
      </w:r>
    </w:p>
  </w:footnote>
  <w:footnote w:id="2">
    <w:p w14:paraId="4321EF55" w14:textId="3DF583DF" w:rsidR="00E4684F" w:rsidRPr="00E4684F" w:rsidRDefault="00E4684F">
      <w:pPr>
        <w:pStyle w:val="FootnoteText"/>
        <w:rPr>
          <w:lang w:val="en-US"/>
        </w:rPr>
      </w:pPr>
      <w:r>
        <w:rPr>
          <w:rStyle w:val="FootnoteReference"/>
        </w:rPr>
        <w:footnoteRef/>
      </w:r>
      <w:r w:rsidRPr="000060A1">
        <w:rPr>
          <w:lang w:val="en-GB"/>
        </w:rPr>
        <w:t xml:space="preserve"> </w:t>
      </w:r>
      <w:r>
        <w:rPr>
          <w:lang w:val="en-US"/>
        </w:rPr>
        <w:t>SDT Annual Report 2017, page 22</w:t>
      </w:r>
    </w:p>
  </w:footnote>
  <w:footnote w:id="3">
    <w:p w14:paraId="7509806E" w14:textId="04BF8FE3" w:rsidR="00E4684F" w:rsidRPr="00E4684F" w:rsidRDefault="00E4684F">
      <w:pPr>
        <w:pStyle w:val="FootnoteText"/>
        <w:rPr>
          <w:lang w:val="en-US"/>
        </w:rPr>
      </w:pPr>
      <w:r>
        <w:rPr>
          <w:rStyle w:val="FootnoteReference"/>
        </w:rPr>
        <w:footnoteRef/>
      </w:r>
      <w:r w:rsidRPr="000060A1">
        <w:rPr>
          <w:lang w:val="en-GB"/>
        </w:rPr>
        <w:t xml:space="preserve"> </w:t>
      </w:r>
      <w:r>
        <w:rPr>
          <w:lang w:val="en-US"/>
        </w:rPr>
        <w:t>SDT Annual Report 2018, page 21</w:t>
      </w:r>
    </w:p>
  </w:footnote>
  <w:footnote w:id="4">
    <w:p w14:paraId="0629E9A2" w14:textId="76FD95ED" w:rsidR="00E4684F" w:rsidRPr="00E4684F" w:rsidRDefault="00E4684F">
      <w:pPr>
        <w:pStyle w:val="FootnoteText"/>
        <w:rPr>
          <w:lang w:val="en-US"/>
        </w:rPr>
      </w:pPr>
      <w:r>
        <w:rPr>
          <w:rStyle w:val="FootnoteReference"/>
        </w:rPr>
        <w:footnoteRef/>
      </w:r>
      <w:r w:rsidRPr="000060A1">
        <w:rPr>
          <w:lang w:val="en-GB"/>
        </w:rPr>
        <w:t xml:space="preserve"> </w:t>
      </w:r>
      <w:r>
        <w:rPr>
          <w:lang w:val="en-US"/>
        </w:rPr>
        <w:t>SDT Annual Report 2019, page 39</w:t>
      </w:r>
    </w:p>
  </w:footnote>
  <w:footnote w:id="5">
    <w:p w14:paraId="562BD14A" w14:textId="6E5C4CEB" w:rsidR="00E4684F" w:rsidRPr="00E4684F" w:rsidRDefault="00E4684F">
      <w:pPr>
        <w:pStyle w:val="FootnoteText"/>
        <w:rPr>
          <w:lang w:val="en-US"/>
        </w:rPr>
      </w:pPr>
      <w:r>
        <w:rPr>
          <w:rStyle w:val="FootnoteReference"/>
        </w:rPr>
        <w:footnoteRef/>
      </w:r>
      <w:r w:rsidRPr="008B64F5">
        <w:rPr>
          <w:lang w:val="en-GB"/>
        </w:rPr>
        <w:t xml:space="preserve"> </w:t>
      </w:r>
      <w:r>
        <w:rPr>
          <w:lang w:val="en-US"/>
        </w:rPr>
        <w:t>SDT Annual Report 2020, page 37</w:t>
      </w:r>
    </w:p>
  </w:footnote>
  <w:footnote w:id="6">
    <w:p w14:paraId="016D022D" w14:textId="669C06CB" w:rsidR="00657479" w:rsidRPr="00C15B93" w:rsidRDefault="00657479">
      <w:pPr>
        <w:pStyle w:val="FootnoteText"/>
        <w:rPr>
          <w:lang w:val="en-GB"/>
        </w:rPr>
      </w:pPr>
      <w:r>
        <w:rPr>
          <w:rStyle w:val="FootnoteReference"/>
        </w:rPr>
        <w:footnoteRef/>
      </w:r>
      <w:r w:rsidRPr="00C15B93">
        <w:rPr>
          <w:lang w:val="en-US"/>
        </w:rPr>
        <w:t xml:space="preserve"> </w:t>
      </w:r>
      <w:hyperlink r:id="rId1" w:history="1">
        <w:r w:rsidRPr="006A5E00">
          <w:rPr>
            <w:rStyle w:val="Hyperlink"/>
            <w:rFonts w:ascii="Times New Roman" w:hAnsi="Times New Roman" w:cs="Times New Roman"/>
            <w:lang w:val="en-US"/>
          </w:rPr>
          <w:t>https://www.theguardian.com/law/2017/jul/22/iraq-war-crimes-ministry-of-defence</w:t>
        </w:r>
      </w:hyperlink>
    </w:p>
  </w:footnote>
  <w:footnote w:id="7">
    <w:p w14:paraId="11C86E3D" w14:textId="789C5D60" w:rsidR="00657479" w:rsidRPr="00C15B93" w:rsidRDefault="00657479" w:rsidP="00C15B93">
      <w:pPr>
        <w:jc w:val="both"/>
        <w:rPr>
          <w:rStyle w:val="Hyperlink"/>
          <w:sz w:val="20"/>
          <w:szCs w:val="20"/>
          <w:lang w:val="en-US"/>
        </w:rPr>
      </w:pPr>
      <w:r>
        <w:rPr>
          <w:rStyle w:val="FootnoteReference"/>
        </w:rPr>
        <w:footnoteRef/>
      </w:r>
      <w:hyperlink r:id="rId2" w:history="1">
        <w:r w:rsidR="001E00C4" w:rsidRPr="009A3BE8">
          <w:rPr>
            <w:rStyle w:val="Hyperlink"/>
            <w:rFonts w:ascii="Times New Roman" w:hAnsi="Times New Roman" w:cs="Times New Roman"/>
            <w:sz w:val="20"/>
            <w:szCs w:val="20"/>
            <w:lang w:val="en-US"/>
          </w:rPr>
          <w:t>https://www.independent.co.uk/news/uk/politics/theresa-may-tory-conference-speech-applause-attacks-activist-left-wing-human-rights-lawyers-a7346216.html</w:t>
        </w:r>
      </w:hyperlink>
      <w:r w:rsidRPr="00C15B93">
        <w:rPr>
          <w:rStyle w:val="Hyperlink"/>
          <w:sz w:val="20"/>
          <w:szCs w:val="20"/>
          <w:lang w:val="en-US"/>
        </w:rPr>
        <w:t xml:space="preserve"> </w:t>
      </w:r>
    </w:p>
    <w:p w14:paraId="600773A2" w14:textId="5139CFCF" w:rsidR="00657479" w:rsidRPr="00C15B93" w:rsidRDefault="0065747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9784" w14:textId="723B2E4D" w:rsidR="00C15B93" w:rsidRPr="0046196B" w:rsidRDefault="0046196B">
    <w:pPr>
      <w:pStyle w:val="Header"/>
      <w:rPr>
        <w:rFonts w:ascii="Times New Roman" w:hAnsi="Times New Roman" w:cs="Times New Roman"/>
        <w:lang w:val="en-GB"/>
      </w:rPr>
    </w:pPr>
    <w:r>
      <w:rPr>
        <w:rFonts w:ascii="Times New Roman" w:hAnsi="Times New Roman" w:cs="Times New Roman"/>
        <w:lang w:val="en-GB"/>
      </w:rPr>
      <w:tab/>
    </w:r>
    <w:r w:rsidR="00C15B93" w:rsidRPr="0046196B">
      <w:rPr>
        <w:rFonts w:ascii="Times New Roman" w:hAnsi="Times New Roman" w:cs="Times New Roman"/>
        <w:lang w:val="en-GB"/>
      </w:rPr>
      <w:t xml:space="preserve">The Law Society of England and Wales </w:t>
    </w:r>
    <w:r w:rsidR="008915A9">
      <w:rPr>
        <w:rFonts w:ascii="Times New Roman" w:hAnsi="Times New Roman" w:cs="Times New Roman"/>
        <w:lang w:val="en-GB"/>
      </w:rPr>
      <w:t xml:space="preserve">- </w:t>
    </w:r>
    <w:r w:rsidRPr="0046196B">
      <w:rPr>
        <w:rFonts w:ascii="Times New Roman" w:hAnsi="Times New Roman" w:cs="Times New Roman"/>
        <w:lang w:val="en-GB"/>
      </w:rPr>
      <w:t>December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4688A"/>
    <w:multiLevelType w:val="hybridMultilevel"/>
    <w:tmpl w:val="6F8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2D"/>
    <w:rsid w:val="000027BD"/>
    <w:rsid w:val="000060A1"/>
    <w:rsid w:val="00025691"/>
    <w:rsid w:val="000443CC"/>
    <w:rsid w:val="000541F3"/>
    <w:rsid w:val="00075D71"/>
    <w:rsid w:val="00087AB7"/>
    <w:rsid w:val="00097D17"/>
    <w:rsid w:val="000B3EF0"/>
    <w:rsid w:val="000C0788"/>
    <w:rsid w:val="000C2B2C"/>
    <w:rsid w:val="000C45BC"/>
    <w:rsid w:val="000F4CD6"/>
    <w:rsid w:val="00127AC9"/>
    <w:rsid w:val="0014580C"/>
    <w:rsid w:val="00157A30"/>
    <w:rsid w:val="00164567"/>
    <w:rsid w:val="00164B86"/>
    <w:rsid w:val="001A61C4"/>
    <w:rsid w:val="001B3FF1"/>
    <w:rsid w:val="001B652A"/>
    <w:rsid w:val="001C2C7F"/>
    <w:rsid w:val="001D10C4"/>
    <w:rsid w:val="001D16BC"/>
    <w:rsid w:val="001E00C4"/>
    <w:rsid w:val="001E1F45"/>
    <w:rsid w:val="001E2831"/>
    <w:rsid w:val="001E6DC6"/>
    <w:rsid w:val="00200894"/>
    <w:rsid w:val="0021211A"/>
    <w:rsid w:val="0023714D"/>
    <w:rsid w:val="00246A37"/>
    <w:rsid w:val="002565EC"/>
    <w:rsid w:val="002605F5"/>
    <w:rsid w:val="0028220A"/>
    <w:rsid w:val="002876F6"/>
    <w:rsid w:val="00287FAD"/>
    <w:rsid w:val="00291EDE"/>
    <w:rsid w:val="00295054"/>
    <w:rsid w:val="002974B4"/>
    <w:rsid w:val="002D7862"/>
    <w:rsid w:val="002F1434"/>
    <w:rsid w:val="002F7473"/>
    <w:rsid w:val="003423F4"/>
    <w:rsid w:val="00342D05"/>
    <w:rsid w:val="00356653"/>
    <w:rsid w:val="003B61E6"/>
    <w:rsid w:val="003C5618"/>
    <w:rsid w:val="003E7F2C"/>
    <w:rsid w:val="00404974"/>
    <w:rsid w:val="00425354"/>
    <w:rsid w:val="00432D1F"/>
    <w:rsid w:val="0045771C"/>
    <w:rsid w:val="0046196B"/>
    <w:rsid w:val="004D0030"/>
    <w:rsid w:val="004D724C"/>
    <w:rsid w:val="00514407"/>
    <w:rsid w:val="005418C9"/>
    <w:rsid w:val="0054287B"/>
    <w:rsid w:val="005432F1"/>
    <w:rsid w:val="0056718D"/>
    <w:rsid w:val="00574732"/>
    <w:rsid w:val="00577AAA"/>
    <w:rsid w:val="00591B29"/>
    <w:rsid w:val="005C2AA7"/>
    <w:rsid w:val="005C5E91"/>
    <w:rsid w:val="005E31CE"/>
    <w:rsid w:val="006138D3"/>
    <w:rsid w:val="006241F5"/>
    <w:rsid w:val="00631164"/>
    <w:rsid w:val="0063197C"/>
    <w:rsid w:val="006340BD"/>
    <w:rsid w:val="00657479"/>
    <w:rsid w:val="00666E30"/>
    <w:rsid w:val="00672F0F"/>
    <w:rsid w:val="00676AB0"/>
    <w:rsid w:val="006C18AE"/>
    <w:rsid w:val="006C6423"/>
    <w:rsid w:val="006D1DCB"/>
    <w:rsid w:val="006D52BD"/>
    <w:rsid w:val="006E28F4"/>
    <w:rsid w:val="006E7301"/>
    <w:rsid w:val="006F1CC9"/>
    <w:rsid w:val="00700B57"/>
    <w:rsid w:val="00704A09"/>
    <w:rsid w:val="00714C65"/>
    <w:rsid w:val="00717194"/>
    <w:rsid w:val="00722E3D"/>
    <w:rsid w:val="0072373D"/>
    <w:rsid w:val="007434E2"/>
    <w:rsid w:val="007536B8"/>
    <w:rsid w:val="007548A5"/>
    <w:rsid w:val="00766C83"/>
    <w:rsid w:val="00780EDD"/>
    <w:rsid w:val="00794F8A"/>
    <w:rsid w:val="007B7B09"/>
    <w:rsid w:val="007E321D"/>
    <w:rsid w:val="007E7B4C"/>
    <w:rsid w:val="00812F2D"/>
    <w:rsid w:val="00833019"/>
    <w:rsid w:val="0084075B"/>
    <w:rsid w:val="008420EF"/>
    <w:rsid w:val="00857CA5"/>
    <w:rsid w:val="00885583"/>
    <w:rsid w:val="008915A9"/>
    <w:rsid w:val="008B64F5"/>
    <w:rsid w:val="008C0834"/>
    <w:rsid w:val="008F52CA"/>
    <w:rsid w:val="008F6DA7"/>
    <w:rsid w:val="00920CC4"/>
    <w:rsid w:val="009261FC"/>
    <w:rsid w:val="00941E15"/>
    <w:rsid w:val="00950C68"/>
    <w:rsid w:val="00952014"/>
    <w:rsid w:val="00954FBA"/>
    <w:rsid w:val="00961C71"/>
    <w:rsid w:val="00975430"/>
    <w:rsid w:val="00976F64"/>
    <w:rsid w:val="009B4AF2"/>
    <w:rsid w:val="00A10537"/>
    <w:rsid w:val="00A44C49"/>
    <w:rsid w:val="00A47F21"/>
    <w:rsid w:val="00A84BE9"/>
    <w:rsid w:val="00AC1413"/>
    <w:rsid w:val="00AE2077"/>
    <w:rsid w:val="00AE6010"/>
    <w:rsid w:val="00B05100"/>
    <w:rsid w:val="00B12A39"/>
    <w:rsid w:val="00B16C61"/>
    <w:rsid w:val="00B56C34"/>
    <w:rsid w:val="00B56D2E"/>
    <w:rsid w:val="00B6240E"/>
    <w:rsid w:val="00B649A3"/>
    <w:rsid w:val="00B65BE8"/>
    <w:rsid w:val="00BA276C"/>
    <w:rsid w:val="00BC32B0"/>
    <w:rsid w:val="00BE1AE2"/>
    <w:rsid w:val="00BF0663"/>
    <w:rsid w:val="00C10542"/>
    <w:rsid w:val="00C15B93"/>
    <w:rsid w:val="00C740E9"/>
    <w:rsid w:val="00C907CF"/>
    <w:rsid w:val="00CD6D62"/>
    <w:rsid w:val="00CE0F44"/>
    <w:rsid w:val="00CE4429"/>
    <w:rsid w:val="00CF33DE"/>
    <w:rsid w:val="00CF79AC"/>
    <w:rsid w:val="00D01D72"/>
    <w:rsid w:val="00D15758"/>
    <w:rsid w:val="00D23D0D"/>
    <w:rsid w:val="00D447AF"/>
    <w:rsid w:val="00D64401"/>
    <w:rsid w:val="00D648DE"/>
    <w:rsid w:val="00D76212"/>
    <w:rsid w:val="00D954AA"/>
    <w:rsid w:val="00DA122F"/>
    <w:rsid w:val="00DD06C2"/>
    <w:rsid w:val="00DD3885"/>
    <w:rsid w:val="00DF0779"/>
    <w:rsid w:val="00DF2112"/>
    <w:rsid w:val="00E4684F"/>
    <w:rsid w:val="00E7661A"/>
    <w:rsid w:val="00E879DE"/>
    <w:rsid w:val="00EA0A03"/>
    <w:rsid w:val="00EB6B93"/>
    <w:rsid w:val="00F02831"/>
    <w:rsid w:val="00F14B76"/>
    <w:rsid w:val="00F33FDF"/>
    <w:rsid w:val="00F60FFD"/>
    <w:rsid w:val="00F72F31"/>
    <w:rsid w:val="00F74348"/>
    <w:rsid w:val="00F948BF"/>
    <w:rsid w:val="00FA66A2"/>
    <w:rsid w:val="00FD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62804"/>
  <w15:chartTrackingRefBased/>
  <w15:docId w15:val="{EBBE02DB-30F2-4F5C-9FF8-46943D4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20A"/>
    <w:rPr>
      <w:color w:val="0563C1" w:themeColor="hyperlink"/>
      <w:u w:val="single"/>
    </w:rPr>
  </w:style>
  <w:style w:type="paragraph" w:styleId="ListParagraph">
    <w:name w:val="List Paragraph"/>
    <w:basedOn w:val="Normal"/>
    <w:uiPriority w:val="34"/>
    <w:qFormat/>
    <w:rsid w:val="0028220A"/>
    <w:pPr>
      <w:ind w:left="720"/>
      <w:contextualSpacing/>
    </w:pPr>
  </w:style>
  <w:style w:type="character" w:styleId="CommentReference">
    <w:name w:val="annotation reference"/>
    <w:basedOn w:val="DefaultParagraphFont"/>
    <w:uiPriority w:val="99"/>
    <w:semiHidden/>
    <w:unhideWhenUsed/>
    <w:rsid w:val="004D0030"/>
    <w:rPr>
      <w:sz w:val="16"/>
      <w:szCs w:val="16"/>
    </w:rPr>
  </w:style>
  <w:style w:type="paragraph" w:styleId="CommentText">
    <w:name w:val="annotation text"/>
    <w:basedOn w:val="Normal"/>
    <w:link w:val="CommentTextChar"/>
    <w:uiPriority w:val="99"/>
    <w:semiHidden/>
    <w:unhideWhenUsed/>
    <w:rsid w:val="00717194"/>
    <w:pPr>
      <w:spacing w:line="240" w:lineRule="auto"/>
    </w:pPr>
    <w:rPr>
      <w:sz w:val="20"/>
      <w:szCs w:val="20"/>
    </w:rPr>
  </w:style>
  <w:style w:type="character" w:customStyle="1" w:styleId="CommentTextChar">
    <w:name w:val="Comment Text Char"/>
    <w:basedOn w:val="DefaultParagraphFont"/>
    <w:link w:val="CommentText"/>
    <w:uiPriority w:val="99"/>
    <w:semiHidden/>
    <w:rsid w:val="00717194"/>
    <w:rPr>
      <w:sz w:val="20"/>
      <w:szCs w:val="20"/>
      <w:lang w:val="es-PE"/>
    </w:rPr>
  </w:style>
  <w:style w:type="paragraph" w:styleId="CommentSubject">
    <w:name w:val="annotation subject"/>
    <w:basedOn w:val="CommentText"/>
    <w:next w:val="CommentText"/>
    <w:link w:val="CommentSubjectChar"/>
    <w:uiPriority w:val="99"/>
    <w:semiHidden/>
    <w:unhideWhenUsed/>
    <w:rsid w:val="00717194"/>
    <w:rPr>
      <w:b/>
      <w:bCs/>
    </w:rPr>
  </w:style>
  <w:style w:type="character" w:customStyle="1" w:styleId="CommentSubjectChar">
    <w:name w:val="Comment Subject Char"/>
    <w:basedOn w:val="CommentTextChar"/>
    <w:link w:val="CommentSubject"/>
    <w:uiPriority w:val="99"/>
    <w:semiHidden/>
    <w:rsid w:val="00717194"/>
    <w:rPr>
      <w:b/>
      <w:bCs/>
      <w:sz w:val="20"/>
      <w:szCs w:val="20"/>
      <w:lang w:val="es-PE"/>
    </w:rPr>
  </w:style>
  <w:style w:type="table" w:styleId="TableGrid">
    <w:name w:val="Table Grid"/>
    <w:basedOn w:val="TableNormal"/>
    <w:uiPriority w:val="39"/>
    <w:rsid w:val="00E4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4684F"/>
    <w:rPr>
      <w:color w:val="605E5C"/>
      <w:shd w:val="clear" w:color="auto" w:fill="E1DFDD"/>
    </w:rPr>
  </w:style>
  <w:style w:type="paragraph" w:styleId="FootnoteText">
    <w:name w:val="footnote text"/>
    <w:basedOn w:val="Normal"/>
    <w:link w:val="FootnoteTextChar"/>
    <w:uiPriority w:val="99"/>
    <w:semiHidden/>
    <w:unhideWhenUsed/>
    <w:rsid w:val="00E46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84F"/>
    <w:rPr>
      <w:sz w:val="20"/>
      <w:szCs w:val="20"/>
      <w:lang w:val="es-PE"/>
    </w:rPr>
  </w:style>
  <w:style w:type="character" w:styleId="FootnoteReference">
    <w:name w:val="footnote reference"/>
    <w:basedOn w:val="DefaultParagraphFont"/>
    <w:uiPriority w:val="99"/>
    <w:semiHidden/>
    <w:unhideWhenUsed/>
    <w:rsid w:val="00E4684F"/>
    <w:rPr>
      <w:vertAlign w:val="superscript"/>
    </w:rPr>
  </w:style>
  <w:style w:type="character" w:styleId="FollowedHyperlink">
    <w:name w:val="FollowedHyperlink"/>
    <w:basedOn w:val="DefaultParagraphFont"/>
    <w:uiPriority w:val="99"/>
    <w:semiHidden/>
    <w:unhideWhenUsed/>
    <w:rsid w:val="00342D05"/>
    <w:rPr>
      <w:color w:val="954F72" w:themeColor="followedHyperlink"/>
      <w:u w:val="single"/>
    </w:rPr>
  </w:style>
  <w:style w:type="paragraph" w:customStyle="1" w:styleId="Pa0">
    <w:name w:val="Pa0"/>
    <w:basedOn w:val="Normal"/>
    <w:next w:val="Normal"/>
    <w:uiPriority w:val="99"/>
    <w:rsid w:val="00954FBA"/>
    <w:pPr>
      <w:autoSpaceDE w:val="0"/>
      <w:autoSpaceDN w:val="0"/>
      <w:adjustRightInd w:val="0"/>
      <w:spacing w:after="0" w:line="181" w:lineRule="atLeast"/>
    </w:pPr>
    <w:rPr>
      <w:rFonts w:ascii="Geneva" w:hAnsi="Geneva"/>
      <w:sz w:val="24"/>
      <w:szCs w:val="24"/>
      <w:lang w:val="en-GB"/>
    </w:rPr>
  </w:style>
  <w:style w:type="paragraph" w:styleId="Header">
    <w:name w:val="header"/>
    <w:basedOn w:val="Normal"/>
    <w:link w:val="HeaderChar"/>
    <w:uiPriority w:val="99"/>
    <w:unhideWhenUsed/>
    <w:rsid w:val="00C1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B93"/>
    <w:rPr>
      <w:lang w:val="es-PE"/>
    </w:rPr>
  </w:style>
  <w:style w:type="paragraph" w:styleId="Footer">
    <w:name w:val="footer"/>
    <w:basedOn w:val="Normal"/>
    <w:link w:val="FooterChar"/>
    <w:uiPriority w:val="99"/>
    <w:unhideWhenUsed/>
    <w:rsid w:val="00C1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B93"/>
    <w:rPr>
      <w:lang w:val="es-PE"/>
    </w:rPr>
  </w:style>
  <w:style w:type="paragraph" w:styleId="NormalWeb">
    <w:name w:val="Normal (Web)"/>
    <w:basedOn w:val="Normal"/>
    <w:uiPriority w:val="99"/>
    <w:semiHidden/>
    <w:unhideWhenUsed/>
    <w:rsid w:val="00A44C4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850">
      <w:bodyDiv w:val="1"/>
      <w:marLeft w:val="0"/>
      <w:marRight w:val="0"/>
      <w:marTop w:val="0"/>
      <w:marBottom w:val="0"/>
      <w:divBdr>
        <w:top w:val="none" w:sz="0" w:space="0" w:color="auto"/>
        <w:left w:val="none" w:sz="0" w:space="0" w:color="auto"/>
        <w:bottom w:val="none" w:sz="0" w:space="0" w:color="auto"/>
        <w:right w:val="none" w:sz="0" w:space="0" w:color="auto"/>
      </w:divBdr>
    </w:div>
    <w:div w:id="151726374">
      <w:bodyDiv w:val="1"/>
      <w:marLeft w:val="0"/>
      <w:marRight w:val="0"/>
      <w:marTop w:val="0"/>
      <w:marBottom w:val="0"/>
      <w:divBdr>
        <w:top w:val="none" w:sz="0" w:space="0" w:color="auto"/>
        <w:left w:val="none" w:sz="0" w:space="0" w:color="auto"/>
        <w:bottom w:val="none" w:sz="0" w:space="0" w:color="auto"/>
        <w:right w:val="none" w:sz="0" w:space="0" w:color="auto"/>
      </w:divBdr>
    </w:div>
    <w:div w:id="948776653">
      <w:bodyDiv w:val="1"/>
      <w:marLeft w:val="0"/>
      <w:marRight w:val="0"/>
      <w:marTop w:val="0"/>
      <w:marBottom w:val="0"/>
      <w:divBdr>
        <w:top w:val="none" w:sz="0" w:space="0" w:color="auto"/>
        <w:left w:val="none" w:sz="0" w:space="0" w:color="auto"/>
        <w:bottom w:val="none" w:sz="0" w:space="0" w:color="auto"/>
        <w:right w:val="none" w:sz="0" w:space="0" w:color="auto"/>
      </w:divBdr>
    </w:div>
    <w:div w:id="1245146985">
      <w:bodyDiv w:val="1"/>
      <w:marLeft w:val="0"/>
      <w:marRight w:val="0"/>
      <w:marTop w:val="0"/>
      <w:marBottom w:val="0"/>
      <w:divBdr>
        <w:top w:val="none" w:sz="0" w:space="0" w:color="auto"/>
        <w:left w:val="none" w:sz="0" w:space="0" w:color="auto"/>
        <w:bottom w:val="none" w:sz="0" w:space="0" w:color="auto"/>
        <w:right w:val="none" w:sz="0" w:space="0" w:color="auto"/>
      </w:divBdr>
    </w:div>
    <w:div w:id="1324043560">
      <w:bodyDiv w:val="1"/>
      <w:marLeft w:val="0"/>
      <w:marRight w:val="0"/>
      <w:marTop w:val="0"/>
      <w:marBottom w:val="0"/>
      <w:divBdr>
        <w:top w:val="none" w:sz="0" w:space="0" w:color="auto"/>
        <w:left w:val="none" w:sz="0" w:space="0" w:color="auto"/>
        <w:bottom w:val="none" w:sz="0" w:space="0" w:color="auto"/>
        <w:right w:val="none" w:sz="0" w:space="0" w:color="auto"/>
      </w:divBdr>
    </w:div>
    <w:div w:id="18269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icitorstribunal.org.uk/sites/default/files-sdt/Solicitors%20Disciplinary%20Tribunal%20Annual%20Report%202016_0.pdf" TargetMode="External"/><Relationship Id="rId18" Type="http://schemas.openxmlformats.org/officeDocument/2006/relationships/hyperlink" Target="https://www.conservatives.com/our-plan" TargetMode="External"/><Relationship Id="rId26" Type="http://schemas.openxmlformats.org/officeDocument/2006/relationships/hyperlink" Target="https://www.chambersstudent.co.uk/where-to-start/trends-affecting-the-legal-profession" TargetMode="External"/><Relationship Id="rId3" Type="http://schemas.openxmlformats.org/officeDocument/2006/relationships/customXml" Target="../customXml/item3.xml"/><Relationship Id="rId21" Type="http://schemas.openxmlformats.org/officeDocument/2006/relationships/hyperlink" Target="https://www.thetimes.co.uk/article/knifeman-attacked-duncan-lewis-law-firm-that-had-helped-migrants-cdmhwq7jw" TargetMode="External"/><Relationship Id="rId7" Type="http://schemas.openxmlformats.org/officeDocument/2006/relationships/settings" Target="settings.xml"/><Relationship Id="rId12" Type="http://schemas.openxmlformats.org/officeDocument/2006/relationships/hyperlink" Target="http://www.legalombudsman.org.uk/" TargetMode="External"/><Relationship Id="rId17" Type="http://schemas.openxmlformats.org/officeDocument/2006/relationships/hyperlink" Target="https://www.solicitorstribunal.org.uk/sites/default/files-sdt/2020%20ANNUAL%20REPORT_1.pdf" TargetMode="External"/><Relationship Id="rId25" Type="http://schemas.openxmlformats.org/officeDocument/2006/relationships/hyperlink" Target="https://www.independent.co.uk/news/uk/politics/liverpool-bombing-priti-patel-asylum-b1959104.html" TargetMode="External"/><Relationship Id="rId2" Type="http://schemas.openxmlformats.org/officeDocument/2006/relationships/customXml" Target="../customXml/item2.xml"/><Relationship Id="rId16" Type="http://schemas.openxmlformats.org/officeDocument/2006/relationships/hyperlink" Target="https://www.solicitorstribunal.org.uk/sites/default/files-sdt/SDT%20Annual%20Report%20for%202019_1.pdf" TargetMode="External"/><Relationship Id="rId20" Type="http://schemas.openxmlformats.org/officeDocument/2006/relationships/hyperlink" Target="https://www.lawgazette.co.uk/news/military-under-threat-from-lawfare/5070805.artic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RoleOfLawyers.aspx" TargetMode="External"/><Relationship Id="rId24" Type="http://schemas.openxmlformats.org/officeDocument/2006/relationships/hyperlink" Target="https://www.ibanet.org/article/bb258df4-b878-41b1-b255-0f9690fbfefa" TargetMode="External"/><Relationship Id="rId5" Type="http://schemas.openxmlformats.org/officeDocument/2006/relationships/numbering" Target="numbering.xml"/><Relationship Id="rId15" Type="http://schemas.openxmlformats.org/officeDocument/2006/relationships/hyperlink" Target="https://www.solicitorstribunal.org.uk/sites/default/files-sdt/ANNUAL%20REPORT%202018.pdf" TargetMode="External"/><Relationship Id="rId23" Type="http://schemas.openxmlformats.org/officeDocument/2006/relationships/hyperlink" Target="https://www.bbc.co.uk/news/uk-politics-5393759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ations.parliament.uk/pa/jt201719/jtselect/jtrights/669/66908.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icitorstribunal.org.uk/sites/default/files-sdt/SDT%20ANNUAL%20REPORT%202017_0.pdf" TargetMode="External"/><Relationship Id="rId22" Type="http://schemas.openxmlformats.org/officeDocument/2006/relationships/hyperlink" Target="https://www.theguardian.com/uk-news/2020/oct/23/man-faces-terror-charge-over-alleged-attack-at-immigration-law-firm"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ndependent.co.uk/news/uk/politics/theresa-may-tory-conference-speech-applause-attacks-activist-left-wing-human-rights-lawyers-a7346216.html" TargetMode="External"/><Relationship Id="rId1" Type="http://schemas.openxmlformats.org/officeDocument/2006/relationships/hyperlink" Target="https://www.theguardian.com/law/2017/jul/22/iraq-war-crimes-ministry-of-defe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D2EF-EF2F-4150-966B-997ADA6F2AD3}">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4A49E98-B6F3-4671-ADF4-34B42C78E079}">
  <ds:schemaRefs>
    <ds:schemaRef ds:uri="http://schemas.microsoft.com/sharepoint/v3/contenttype/forms"/>
  </ds:schemaRefs>
</ds:datastoreItem>
</file>

<file path=customXml/itemProps3.xml><?xml version="1.0" encoding="utf-8"?>
<ds:datastoreItem xmlns:ds="http://schemas.openxmlformats.org/officeDocument/2006/customXml" ds:itemID="{FD78521C-D15A-4AD9-9F97-E3F5EDEFCCBA}"/>
</file>

<file path=customXml/itemProps4.xml><?xml version="1.0" encoding="utf-8"?>
<ds:datastoreItem xmlns:ds="http://schemas.openxmlformats.org/officeDocument/2006/customXml" ds:itemID="{63DF3667-01C0-4CB8-804F-8E6D1351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SANTIZO Melanie</cp:lastModifiedBy>
  <cp:revision>2</cp:revision>
  <dcterms:created xsi:type="dcterms:W3CDTF">2021-12-06T16:16:00Z</dcterms:created>
  <dcterms:modified xsi:type="dcterms:W3CDTF">2021-12-06T16:16:00Z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MSIP_Label_f5e9a85d-4ce1-4e47-aa2e-eb685858a3fc_Enabled">
    <vt:lpwstr>true</vt:lpwstr>
  </property>
  <property fmtid="{D5CDD505-2E9C-101B-9397-08002B2CF9AE}" pid="4" name="MSIP_Label_f5e9a85d-4ce1-4e47-aa2e-eb685858a3fc_SetDate">
    <vt:lpwstr>2021-12-06T12:20:10Z</vt:lpwstr>
  </property>
  <property fmtid="{D5CDD505-2E9C-101B-9397-08002B2CF9AE}" pid="5" name="MSIP_Label_f5e9a85d-4ce1-4e47-aa2e-eb685858a3fc_Method">
    <vt:lpwstr>Standard</vt:lpwstr>
  </property>
  <property fmtid="{D5CDD505-2E9C-101B-9397-08002B2CF9AE}" pid="6" name="MSIP_Label_f5e9a85d-4ce1-4e47-aa2e-eb685858a3fc_Name">
    <vt:lpwstr>Official</vt:lpwstr>
  </property>
  <property fmtid="{D5CDD505-2E9C-101B-9397-08002B2CF9AE}" pid="7" name="MSIP_Label_f5e9a85d-4ce1-4e47-aa2e-eb685858a3fc_SiteId">
    <vt:lpwstr>2d4ecdb2-42d1-4250-b794-2caf523719ad</vt:lpwstr>
  </property>
  <property fmtid="{D5CDD505-2E9C-101B-9397-08002B2CF9AE}" pid="8" name="MSIP_Label_f5e9a85d-4ce1-4e47-aa2e-eb685858a3fc_ActionId">
    <vt:lpwstr>14da6fa7-a681-48ea-96fb-ce4ec6165530</vt:lpwstr>
  </property>
  <property fmtid="{D5CDD505-2E9C-101B-9397-08002B2CF9AE}" pid="9" name="MSIP_Label_f5e9a85d-4ce1-4e47-aa2e-eb685858a3fc_ContentBits">
    <vt:lpwstr>0</vt:lpwstr>
  </property>
</Properties>
</file>