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2B7AD" w14:textId="4767AFD7" w:rsidR="00481E85" w:rsidRPr="002A22C6" w:rsidRDefault="00BA21CF" w:rsidP="004420B3">
      <w:pPr>
        <w:jc w:val="center"/>
        <w:rPr>
          <w:smallCaps/>
          <w:szCs w:val="24"/>
        </w:rPr>
      </w:pPr>
      <w:bookmarkStart w:id="0" w:name="_GoBack"/>
      <w:bookmarkEnd w:id="0"/>
      <w:r>
        <w:rPr>
          <w:smallCaps/>
          <w:szCs w:val="24"/>
        </w:rPr>
        <w:t>Oficina de la Alta Comisionada de las Naciones Unidas para los Derechos Humanos</w:t>
      </w:r>
    </w:p>
    <w:p w14:paraId="299D425D" w14:textId="77777777" w:rsidR="00481E85" w:rsidRPr="002A22C6" w:rsidRDefault="00481E85" w:rsidP="004420B3">
      <w:pPr>
        <w:jc w:val="center"/>
        <w:rPr>
          <w:szCs w:val="24"/>
        </w:rPr>
      </w:pPr>
    </w:p>
    <w:p w14:paraId="1107AD73" w14:textId="77777777" w:rsidR="00481E85" w:rsidRPr="002A22C6" w:rsidRDefault="00481E85" w:rsidP="004420B3">
      <w:pPr>
        <w:pBdr>
          <w:bottom w:val="single" w:sz="12" w:space="1" w:color="auto"/>
        </w:pBdr>
        <w:jc w:val="center"/>
        <w:rPr>
          <w:b/>
          <w:szCs w:val="24"/>
        </w:rPr>
      </w:pPr>
    </w:p>
    <w:p w14:paraId="6E95C913" w14:textId="77777777" w:rsidR="00481E85" w:rsidRPr="002A22C6" w:rsidRDefault="00481E85" w:rsidP="004420B3">
      <w:pPr>
        <w:pBdr>
          <w:bottom w:val="single" w:sz="12" w:space="1" w:color="auto"/>
        </w:pBdr>
        <w:jc w:val="center"/>
        <w:rPr>
          <w:b/>
          <w:szCs w:val="24"/>
        </w:rPr>
      </w:pPr>
    </w:p>
    <w:p w14:paraId="034FD5DE" w14:textId="77777777" w:rsidR="00481E85" w:rsidRPr="002A22C6" w:rsidRDefault="00481E85" w:rsidP="004420B3">
      <w:pPr>
        <w:pBdr>
          <w:bottom w:val="single" w:sz="12" w:space="1" w:color="auto"/>
        </w:pBdr>
        <w:jc w:val="center"/>
        <w:rPr>
          <w:b/>
          <w:szCs w:val="24"/>
        </w:rPr>
      </w:pPr>
    </w:p>
    <w:p w14:paraId="28CC51C8" w14:textId="77777777" w:rsidR="00481E85" w:rsidRPr="002A22C6" w:rsidRDefault="00481E85" w:rsidP="004420B3">
      <w:pPr>
        <w:pBdr>
          <w:bottom w:val="single" w:sz="12" w:space="1" w:color="auto"/>
        </w:pBdr>
        <w:tabs>
          <w:tab w:val="left" w:pos="-90"/>
        </w:tabs>
        <w:jc w:val="center"/>
        <w:rPr>
          <w:b/>
          <w:szCs w:val="24"/>
        </w:rPr>
      </w:pPr>
    </w:p>
    <w:p w14:paraId="416A3EF9" w14:textId="77777777" w:rsidR="00481E85" w:rsidRPr="002A22C6" w:rsidRDefault="00481E85" w:rsidP="004420B3">
      <w:pPr>
        <w:jc w:val="center"/>
        <w:rPr>
          <w:szCs w:val="24"/>
        </w:rPr>
      </w:pPr>
    </w:p>
    <w:p w14:paraId="23FEB4B8" w14:textId="1B25D59D" w:rsidR="00481E85" w:rsidRPr="00C32C2D" w:rsidRDefault="00BA21CF" w:rsidP="004420B3">
      <w:pPr>
        <w:jc w:val="center"/>
        <w:rPr>
          <w:rFonts w:eastAsia="Calibri"/>
          <w:b/>
          <w:smallCaps/>
          <w:szCs w:val="24"/>
          <w:lang w:eastAsia="es-MX"/>
        </w:rPr>
      </w:pPr>
      <w:r>
        <w:rPr>
          <w:rFonts w:eastAsia="Calibri"/>
          <w:b/>
          <w:smallCaps/>
          <w:szCs w:val="24"/>
          <w:lang w:eastAsia="es-MX"/>
        </w:rPr>
        <w:t>Respuesta al cuestionario del Relator Especial sobre la independencia de los magistrados y abogados</w:t>
      </w:r>
    </w:p>
    <w:p w14:paraId="7D67BDA6" w14:textId="77777777" w:rsidR="00481E85" w:rsidRPr="002A22C6" w:rsidRDefault="00481E85" w:rsidP="004420B3">
      <w:pPr>
        <w:pBdr>
          <w:bottom w:val="single" w:sz="12" w:space="1" w:color="auto"/>
        </w:pBdr>
        <w:jc w:val="center"/>
        <w:rPr>
          <w:b/>
          <w:szCs w:val="24"/>
        </w:rPr>
      </w:pPr>
    </w:p>
    <w:p w14:paraId="0FE37C19" w14:textId="77777777" w:rsidR="00481E85" w:rsidRDefault="00481E85" w:rsidP="004420B3">
      <w:pPr>
        <w:jc w:val="center"/>
        <w:rPr>
          <w:smallCaps/>
          <w:szCs w:val="24"/>
        </w:rPr>
      </w:pPr>
    </w:p>
    <w:p w14:paraId="251C890D" w14:textId="77777777" w:rsidR="00B8702C" w:rsidRDefault="00B8702C" w:rsidP="004420B3">
      <w:pPr>
        <w:jc w:val="center"/>
        <w:rPr>
          <w:smallCaps/>
          <w:szCs w:val="24"/>
        </w:rPr>
      </w:pPr>
    </w:p>
    <w:p w14:paraId="52C27384" w14:textId="77777777" w:rsidR="00481E85" w:rsidRDefault="00481E85" w:rsidP="004420B3">
      <w:pPr>
        <w:jc w:val="center"/>
        <w:rPr>
          <w:smallCaps/>
          <w:szCs w:val="24"/>
        </w:rPr>
      </w:pPr>
    </w:p>
    <w:p w14:paraId="08D666D9" w14:textId="77777777" w:rsidR="00F9109B" w:rsidRPr="002A22C6" w:rsidRDefault="00F9109B" w:rsidP="004420B3">
      <w:pPr>
        <w:jc w:val="center"/>
        <w:rPr>
          <w:smallCaps/>
          <w:szCs w:val="24"/>
        </w:rPr>
      </w:pPr>
    </w:p>
    <w:p w14:paraId="243448C8" w14:textId="77777777" w:rsidR="00481E85" w:rsidRDefault="00481E85" w:rsidP="004420B3">
      <w:pPr>
        <w:jc w:val="center"/>
        <w:rPr>
          <w:smallCaps/>
          <w:szCs w:val="24"/>
        </w:rPr>
      </w:pPr>
    </w:p>
    <w:p w14:paraId="04D8F21B" w14:textId="77777777" w:rsidR="00F35E6D" w:rsidRDefault="00F35E6D" w:rsidP="004420B3">
      <w:pPr>
        <w:jc w:val="center"/>
        <w:rPr>
          <w:smallCaps/>
          <w:szCs w:val="24"/>
        </w:rPr>
      </w:pPr>
    </w:p>
    <w:p w14:paraId="11CCBA4C" w14:textId="77777777" w:rsidR="00F35E6D" w:rsidRDefault="00F35E6D" w:rsidP="004420B3">
      <w:pPr>
        <w:jc w:val="center"/>
        <w:rPr>
          <w:szCs w:val="24"/>
        </w:rPr>
      </w:pPr>
    </w:p>
    <w:p w14:paraId="7613A9D5" w14:textId="77777777" w:rsidR="00F9109B" w:rsidRDefault="00F9109B" w:rsidP="004420B3">
      <w:pPr>
        <w:jc w:val="center"/>
        <w:rPr>
          <w:szCs w:val="24"/>
        </w:rPr>
      </w:pPr>
    </w:p>
    <w:p w14:paraId="6B67415E" w14:textId="77777777" w:rsidR="002D3FC4" w:rsidRDefault="002D3FC4" w:rsidP="004420B3">
      <w:pPr>
        <w:jc w:val="center"/>
        <w:rPr>
          <w:szCs w:val="24"/>
        </w:rPr>
      </w:pPr>
    </w:p>
    <w:p w14:paraId="7343B00D" w14:textId="77777777" w:rsidR="00A53E0F" w:rsidRDefault="00A53E0F" w:rsidP="004420B3">
      <w:pPr>
        <w:jc w:val="center"/>
        <w:rPr>
          <w:szCs w:val="24"/>
        </w:rPr>
      </w:pPr>
    </w:p>
    <w:p w14:paraId="06C5DB23" w14:textId="77777777" w:rsidR="00481E85" w:rsidRPr="002A22C6" w:rsidRDefault="00481E85" w:rsidP="004420B3">
      <w:pPr>
        <w:jc w:val="center"/>
        <w:rPr>
          <w:szCs w:val="24"/>
        </w:rPr>
      </w:pPr>
    </w:p>
    <w:p w14:paraId="6F747D4B" w14:textId="1B2BF944" w:rsidR="00C139D6" w:rsidRDefault="00A96208" w:rsidP="004420B3">
      <w:pPr>
        <w:jc w:val="center"/>
        <w:rPr>
          <w:szCs w:val="24"/>
        </w:rPr>
      </w:pPr>
      <w:r>
        <w:rPr>
          <w:szCs w:val="24"/>
        </w:rPr>
        <w:t>Ciudad de México, México</w:t>
      </w:r>
      <w:r w:rsidR="00202F85">
        <w:rPr>
          <w:szCs w:val="24"/>
        </w:rPr>
        <w:t>,</w:t>
      </w:r>
      <w:r w:rsidR="00481E85" w:rsidRPr="00C91D5F">
        <w:rPr>
          <w:szCs w:val="24"/>
        </w:rPr>
        <w:t xml:space="preserve"> a </w:t>
      </w:r>
      <w:r w:rsidR="007E1F32">
        <w:rPr>
          <w:szCs w:val="24"/>
        </w:rPr>
        <w:t>6</w:t>
      </w:r>
      <w:r w:rsidR="008B5649">
        <w:rPr>
          <w:szCs w:val="24"/>
        </w:rPr>
        <w:t xml:space="preserve"> de </w:t>
      </w:r>
      <w:r w:rsidR="00BA21CF">
        <w:rPr>
          <w:szCs w:val="24"/>
        </w:rPr>
        <w:t>diciembre</w:t>
      </w:r>
      <w:r w:rsidR="00F35E6D">
        <w:rPr>
          <w:szCs w:val="24"/>
        </w:rPr>
        <w:t xml:space="preserve"> de 2021</w:t>
      </w:r>
    </w:p>
    <w:p w14:paraId="62F78D32" w14:textId="77777777" w:rsidR="00A53E0F" w:rsidRDefault="00A53E0F" w:rsidP="004420B3">
      <w:pPr>
        <w:jc w:val="center"/>
        <w:rPr>
          <w:szCs w:val="24"/>
        </w:rPr>
      </w:pPr>
    </w:p>
    <w:p w14:paraId="4DF0A72E" w14:textId="77777777" w:rsidR="00481E85" w:rsidRPr="00AC71B0" w:rsidRDefault="00481E85" w:rsidP="004420B3">
      <w:pPr>
        <w:jc w:val="center"/>
        <w:rPr>
          <w:b/>
          <w:szCs w:val="24"/>
        </w:rPr>
      </w:pPr>
      <w:r w:rsidRPr="00AC71B0">
        <w:rPr>
          <w:b/>
          <w:szCs w:val="24"/>
        </w:rPr>
        <w:br w:type="page"/>
      </w:r>
    </w:p>
    <w:p w14:paraId="244A7EC2" w14:textId="77777777" w:rsidR="00481E85" w:rsidRDefault="00481E85" w:rsidP="004420B3">
      <w:pPr>
        <w:jc w:val="center"/>
        <w:rPr>
          <w:b/>
          <w:szCs w:val="24"/>
        </w:rPr>
        <w:sectPr w:rsidR="00481E85">
          <w:footerReference w:type="default" r:id="rId11"/>
          <w:pgSz w:w="12240" w:h="15840"/>
          <w:pgMar w:top="1417" w:right="1701" w:bottom="1417" w:left="1701" w:header="708" w:footer="708" w:gutter="0"/>
          <w:cols w:space="708"/>
          <w:docGrid w:linePitch="360"/>
        </w:sectPr>
      </w:pPr>
    </w:p>
    <w:sdt>
      <w:sdtPr>
        <w:rPr>
          <w:rFonts w:ascii="Times New Roman" w:eastAsiaTheme="minorHAnsi" w:hAnsi="Times New Roman" w:cs="Times New Roman"/>
          <w:b w:val="0"/>
          <w:bCs w:val="0"/>
          <w:color w:val="auto"/>
          <w:sz w:val="24"/>
          <w:szCs w:val="22"/>
          <w:lang w:val="es-ES" w:eastAsia="en-US"/>
        </w:rPr>
        <w:id w:val="-1204789513"/>
        <w:docPartObj>
          <w:docPartGallery w:val="Table of Contents"/>
          <w:docPartUnique/>
        </w:docPartObj>
      </w:sdtPr>
      <w:sdtEndPr/>
      <w:sdtContent>
        <w:p w14:paraId="58ED934B" w14:textId="77777777" w:rsidR="00A409CD" w:rsidRPr="00A72605" w:rsidRDefault="00951C39" w:rsidP="004420B3">
          <w:pPr>
            <w:pStyle w:val="TOCHeading"/>
            <w:tabs>
              <w:tab w:val="center" w:pos="4419"/>
              <w:tab w:val="left" w:pos="5310"/>
            </w:tabs>
            <w:spacing w:line="360" w:lineRule="auto"/>
            <w:rPr>
              <w:rFonts w:ascii="Times New Roman" w:hAnsi="Times New Roman" w:cs="Times New Roman"/>
              <w:color w:val="auto"/>
              <w:sz w:val="24"/>
              <w:szCs w:val="24"/>
            </w:rPr>
          </w:pPr>
          <w:r w:rsidRPr="00A72605">
            <w:rPr>
              <w:rFonts w:ascii="Times New Roman" w:eastAsiaTheme="minorHAnsi" w:hAnsi="Times New Roman" w:cs="Times New Roman"/>
              <w:b w:val="0"/>
              <w:bCs w:val="0"/>
              <w:color w:val="auto"/>
              <w:sz w:val="24"/>
              <w:szCs w:val="24"/>
              <w:lang w:val="es-ES" w:eastAsia="en-US"/>
            </w:rPr>
            <w:tab/>
          </w:r>
          <w:r w:rsidR="004836A1" w:rsidRPr="00A72605">
            <w:rPr>
              <w:rFonts w:ascii="Times New Roman" w:eastAsiaTheme="minorHAnsi" w:hAnsi="Times New Roman" w:cs="Times New Roman"/>
              <w:bCs w:val="0"/>
              <w:color w:val="auto"/>
              <w:sz w:val="24"/>
              <w:szCs w:val="24"/>
              <w:lang w:val="es-ES" w:eastAsia="en-US"/>
            </w:rPr>
            <w:t>ÍNDICE</w:t>
          </w:r>
        </w:p>
        <w:p w14:paraId="1FB684A4" w14:textId="709690D8" w:rsidR="007E1F32" w:rsidRDefault="00A409CD">
          <w:pPr>
            <w:pStyle w:val="TOC1"/>
            <w:rPr>
              <w:rFonts w:asciiTheme="minorHAnsi" w:eastAsiaTheme="minorEastAsia" w:hAnsiTheme="minorHAnsi" w:cstheme="minorBidi"/>
              <w:b w:val="0"/>
              <w:smallCaps w:val="0"/>
              <w:szCs w:val="24"/>
              <w:lang w:eastAsia="zh-CN"/>
            </w:rPr>
          </w:pPr>
          <w:r w:rsidRPr="00A72605">
            <w:rPr>
              <w:szCs w:val="24"/>
            </w:rPr>
            <w:fldChar w:fldCharType="begin"/>
          </w:r>
          <w:r w:rsidRPr="00A72605">
            <w:rPr>
              <w:szCs w:val="24"/>
            </w:rPr>
            <w:instrText xml:space="preserve"> TOC \o "1-3" \h \z \u </w:instrText>
          </w:r>
          <w:r w:rsidRPr="00A72605">
            <w:rPr>
              <w:szCs w:val="24"/>
            </w:rPr>
            <w:fldChar w:fldCharType="separate"/>
          </w:r>
          <w:hyperlink w:anchor="_Toc89669093" w:history="1">
            <w:r w:rsidR="007E1F32" w:rsidRPr="00F10D12">
              <w:rPr>
                <w:rStyle w:val="Hyperlink"/>
                <w:rFonts w:eastAsiaTheme="majorEastAsia"/>
                <w:bCs/>
              </w:rPr>
              <w:t>I.</w:t>
            </w:r>
            <w:r w:rsidR="007E1F32">
              <w:rPr>
                <w:rFonts w:asciiTheme="minorHAnsi" w:eastAsiaTheme="minorEastAsia" w:hAnsiTheme="minorHAnsi" w:cstheme="minorBidi"/>
                <w:b w:val="0"/>
                <w:smallCaps w:val="0"/>
                <w:szCs w:val="24"/>
                <w:lang w:eastAsia="zh-CN"/>
              </w:rPr>
              <w:tab/>
            </w:r>
            <w:r w:rsidR="007E1F32" w:rsidRPr="00F10D12">
              <w:rPr>
                <w:rStyle w:val="Hyperlink"/>
                <w:rFonts w:eastAsiaTheme="majorEastAsia"/>
                <w:bCs/>
              </w:rPr>
              <w:t>Introducción</w:t>
            </w:r>
            <w:r w:rsidR="007E1F32">
              <w:rPr>
                <w:webHidden/>
              </w:rPr>
              <w:tab/>
            </w:r>
            <w:r w:rsidR="007E1F32">
              <w:rPr>
                <w:webHidden/>
              </w:rPr>
              <w:fldChar w:fldCharType="begin"/>
            </w:r>
            <w:r w:rsidR="007E1F32">
              <w:rPr>
                <w:webHidden/>
              </w:rPr>
              <w:instrText xml:space="preserve"> PAGEREF _Toc89669093 \h </w:instrText>
            </w:r>
            <w:r w:rsidR="007E1F32">
              <w:rPr>
                <w:webHidden/>
              </w:rPr>
            </w:r>
            <w:r w:rsidR="007E1F32">
              <w:rPr>
                <w:webHidden/>
              </w:rPr>
              <w:fldChar w:fldCharType="separate"/>
            </w:r>
            <w:r w:rsidR="007E1F32">
              <w:rPr>
                <w:webHidden/>
              </w:rPr>
              <w:t>1</w:t>
            </w:r>
            <w:r w:rsidR="007E1F32">
              <w:rPr>
                <w:webHidden/>
              </w:rPr>
              <w:fldChar w:fldCharType="end"/>
            </w:r>
          </w:hyperlink>
        </w:p>
        <w:p w14:paraId="380B4864" w14:textId="543EAA64" w:rsidR="007E1F32" w:rsidRDefault="00CF5926">
          <w:pPr>
            <w:pStyle w:val="TOC1"/>
            <w:rPr>
              <w:rFonts w:asciiTheme="minorHAnsi" w:eastAsiaTheme="minorEastAsia" w:hAnsiTheme="minorHAnsi" w:cstheme="minorBidi"/>
              <w:b w:val="0"/>
              <w:smallCaps w:val="0"/>
              <w:szCs w:val="24"/>
              <w:lang w:eastAsia="zh-CN"/>
            </w:rPr>
          </w:pPr>
          <w:hyperlink w:anchor="_Toc89669094" w:history="1">
            <w:r w:rsidR="007E1F32" w:rsidRPr="00F10D12">
              <w:rPr>
                <w:rStyle w:val="Hyperlink"/>
                <w:rFonts w:eastAsiaTheme="majorEastAsia"/>
                <w:bCs/>
              </w:rPr>
              <w:t>II.</w:t>
            </w:r>
            <w:r w:rsidR="007E1F32">
              <w:rPr>
                <w:rFonts w:asciiTheme="minorHAnsi" w:eastAsiaTheme="minorEastAsia" w:hAnsiTheme="minorHAnsi" w:cstheme="minorBidi"/>
                <w:b w:val="0"/>
                <w:smallCaps w:val="0"/>
                <w:szCs w:val="24"/>
                <w:lang w:eastAsia="zh-CN"/>
              </w:rPr>
              <w:tab/>
            </w:r>
            <w:r w:rsidR="007E1F32" w:rsidRPr="00F10D12">
              <w:rPr>
                <w:rStyle w:val="Hyperlink"/>
                <w:rFonts w:eastAsiaTheme="majorEastAsia"/>
                <w:bCs/>
              </w:rPr>
              <w:t xml:space="preserve">Teniendo en cuenta las Garantías para el ejercicio de la profesión, contenidas en los principios 16 a 22 de los </w:t>
            </w:r>
            <w:r w:rsidR="007E1F32" w:rsidRPr="00F10D12">
              <w:rPr>
                <w:rStyle w:val="Hyperlink"/>
                <w:rFonts w:eastAsiaTheme="majorEastAsia"/>
                <w:bCs/>
                <w:i/>
                <w:iCs/>
              </w:rPr>
              <w:t>Principios Básicos sobre la Función de los Abogados</w:t>
            </w:r>
            <w:r w:rsidR="007E1F32" w:rsidRPr="00F10D12">
              <w:rPr>
                <w:rStyle w:val="Hyperlink"/>
                <w:rFonts w:eastAsiaTheme="majorEastAsia"/>
                <w:bCs/>
              </w:rPr>
              <w:t>, sírvase describir las medidas constitucionales, legales, administrativas y de política adoptadas en su país para que los abogados puedan ejercer sus actividades profesionales a favor de sus clientes de forma libre e independiente</w:t>
            </w:r>
            <w:r w:rsidR="007E1F32">
              <w:rPr>
                <w:webHidden/>
              </w:rPr>
              <w:tab/>
            </w:r>
            <w:r w:rsidR="007E1F32">
              <w:rPr>
                <w:webHidden/>
              </w:rPr>
              <w:fldChar w:fldCharType="begin"/>
            </w:r>
            <w:r w:rsidR="007E1F32">
              <w:rPr>
                <w:webHidden/>
              </w:rPr>
              <w:instrText xml:space="preserve"> PAGEREF _Toc89669094 \h </w:instrText>
            </w:r>
            <w:r w:rsidR="007E1F32">
              <w:rPr>
                <w:webHidden/>
              </w:rPr>
            </w:r>
            <w:r w:rsidR="007E1F32">
              <w:rPr>
                <w:webHidden/>
              </w:rPr>
              <w:fldChar w:fldCharType="separate"/>
            </w:r>
            <w:r w:rsidR="007E1F32">
              <w:rPr>
                <w:webHidden/>
              </w:rPr>
              <w:t>1</w:t>
            </w:r>
            <w:r w:rsidR="007E1F32">
              <w:rPr>
                <w:webHidden/>
              </w:rPr>
              <w:fldChar w:fldCharType="end"/>
            </w:r>
          </w:hyperlink>
        </w:p>
        <w:p w14:paraId="23E502BD" w14:textId="29E21305" w:rsidR="007E1F32" w:rsidRDefault="00CF5926">
          <w:pPr>
            <w:pStyle w:val="TOC2"/>
            <w:rPr>
              <w:rFonts w:asciiTheme="minorHAnsi" w:eastAsiaTheme="minorEastAsia" w:hAnsiTheme="minorHAnsi" w:cstheme="minorBidi"/>
              <w:b w:val="0"/>
              <w:szCs w:val="24"/>
              <w:lang w:eastAsia="zh-CN"/>
            </w:rPr>
          </w:pPr>
          <w:hyperlink w:anchor="_Toc89669095" w:history="1">
            <w:r w:rsidR="007E1F32" w:rsidRPr="00F10D12">
              <w:rPr>
                <w:rStyle w:val="Hyperlink"/>
                <w:rFonts w:asciiTheme="majorBidi" w:eastAsiaTheme="majorEastAsia" w:hAnsiTheme="majorBidi" w:cstheme="majorBidi"/>
                <w:bCs/>
                <w:smallCaps/>
              </w:rPr>
              <w:t>a)</w:t>
            </w:r>
            <w:r w:rsidR="007E1F32">
              <w:rPr>
                <w:rFonts w:asciiTheme="minorHAnsi" w:eastAsiaTheme="minorEastAsia" w:hAnsiTheme="minorHAnsi" w:cstheme="minorBidi"/>
                <w:b w:val="0"/>
                <w:szCs w:val="24"/>
                <w:lang w:eastAsia="zh-CN"/>
              </w:rPr>
              <w:tab/>
            </w:r>
            <w:r w:rsidR="007E1F32" w:rsidRPr="00F10D12">
              <w:rPr>
                <w:rStyle w:val="Hyperlink"/>
                <w:rFonts w:asciiTheme="majorBidi" w:hAnsiTheme="majorBidi" w:cstheme="majorBidi"/>
              </w:rPr>
              <w:t>Criterios relevantes de la Suprema Corte de Justicia de la Nación</w:t>
            </w:r>
            <w:r w:rsidR="007E1F32">
              <w:rPr>
                <w:webHidden/>
              </w:rPr>
              <w:tab/>
            </w:r>
            <w:r w:rsidR="007E1F32">
              <w:rPr>
                <w:webHidden/>
              </w:rPr>
              <w:fldChar w:fldCharType="begin"/>
            </w:r>
            <w:r w:rsidR="007E1F32">
              <w:rPr>
                <w:webHidden/>
              </w:rPr>
              <w:instrText xml:space="preserve"> PAGEREF _Toc89669095 \h </w:instrText>
            </w:r>
            <w:r w:rsidR="007E1F32">
              <w:rPr>
                <w:webHidden/>
              </w:rPr>
            </w:r>
            <w:r w:rsidR="007E1F32">
              <w:rPr>
                <w:webHidden/>
              </w:rPr>
              <w:fldChar w:fldCharType="separate"/>
            </w:r>
            <w:r w:rsidR="007E1F32">
              <w:rPr>
                <w:webHidden/>
              </w:rPr>
              <w:t>1</w:t>
            </w:r>
            <w:r w:rsidR="007E1F32">
              <w:rPr>
                <w:webHidden/>
              </w:rPr>
              <w:fldChar w:fldCharType="end"/>
            </w:r>
          </w:hyperlink>
        </w:p>
        <w:p w14:paraId="23A6E168" w14:textId="0487EAA3" w:rsidR="007E1F32" w:rsidRDefault="00CF5926">
          <w:pPr>
            <w:pStyle w:val="TOC2"/>
            <w:rPr>
              <w:rFonts w:asciiTheme="minorHAnsi" w:eastAsiaTheme="minorEastAsia" w:hAnsiTheme="minorHAnsi" w:cstheme="minorBidi"/>
              <w:b w:val="0"/>
              <w:szCs w:val="24"/>
              <w:lang w:eastAsia="zh-CN"/>
            </w:rPr>
          </w:pPr>
          <w:hyperlink w:anchor="_Toc89669096" w:history="1">
            <w:r w:rsidR="007E1F32" w:rsidRPr="00F10D12">
              <w:rPr>
                <w:rStyle w:val="Hyperlink"/>
                <w:rFonts w:asciiTheme="majorBidi" w:eastAsiaTheme="majorEastAsia" w:hAnsiTheme="majorBidi" w:cstheme="majorBidi"/>
                <w:bCs/>
                <w:smallCaps/>
              </w:rPr>
              <w:t>b)</w:t>
            </w:r>
            <w:r w:rsidR="007E1F32">
              <w:rPr>
                <w:rFonts w:asciiTheme="minorHAnsi" w:eastAsiaTheme="minorEastAsia" w:hAnsiTheme="minorHAnsi" w:cstheme="minorBidi"/>
                <w:b w:val="0"/>
                <w:szCs w:val="24"/>
                <w:lang w:eastAsia="zh-CN"/>
              </w:rPr>
              <w:tab/>
            </w:r>
            <w:r w:rsidR="007E1F32" w:rsidRPr="00F10D12">
              <w:rPr>
                <w:rStyle w:val="Hyperlink"/>
                <w:rFonts w:asciiTheme="majorBidi" w:hAnsiTheme="majorBidi" w:cstheme="majorBidi"/>
              </w:rPr>
              <w:t>Diliencias del Instituto Federal de la Defensoría Pública</w:t>
            </w:r>
            <w:r w:rsidR="007E1F32">
              <w:rPr>
                <w:webHidden/>
              </w:rPr>
              <w:tab/>
            </w:r>
            <w:r w:rsidR="007E1F32">
              <w:rPr>
                <w:webHidden/>
              </w:rPr>
              <w:fldChar w:fldCharType="begin"/>
            </w:r>
            <w:r w:rsidR="007E1F32">
              <w:rPr>
                <w:webHidden/>
              </w:rPr>
              <w:instrText xml:space="preserve"> PAGEREF _Toc89669096 \h </w:instrText>
            </w:r>
            <w:r w:rsidR="007E1F32">
              <w:rPr>
                <w:webHidden/>
              </w:rPr>
            </w:r>
            <w:r w:rsidR="007E1F32">
              <w:rPr>
                <w:webHidden/>
              </w:rPr>
              <w:fldChar w:fldCharType="separate"/>
            </w:r>
            <w:r w:rsidR="007E1F32">
              <w:rPr>
                <w:webHidden/>
              </w:rPr>
              <w:t>2</w:t>
            </w:r>
            <w:r w:rsidR="007E1F32">
              <w:rPr>
                <w:webHidden/>
              </w:rPr>
              <w:fldChar w:fldCharType="end"/>
            </w:r>
          </w:hyperlink>
        </w:p>
        <w:p w14:paraId="542216F7" w14:textId="3D1DC3BF" w:rsidR="007E1F32" w:rsidRDefault="00CF5926">
          <w:pPr>
            <w:pStyle w:val="TOC1"/>
            <w:rPr>
              <w:rFonts w:asciiTheme="minorHAnsi" w:eastAsiaTheme="minorEastAsia" w:hAnsiTheme="minorHAnsi" w:cstheme="minorBidi"/>
              <w:b w:val="0"/>
              <w:smallCaps w:val="0"/>
              <w:szCs w:val="24"/>
              <w:lang w:eastAsia="zh-CN"/>
            </w:rPr>
          </w:pPr>
          <w:hyperlink w:anchor="_Toc89669097" w:history="1">
            <w:r w:rsidR="007E1F32" w:rsidRPr="00F10D12">
              <w:rPr>
                <w:rStyle w:val="Hyperlink"/>
                <w:rFonts w:eastAsiaTheme="majorEastAsia"/>
                <w:bCs/>
              </w:rPr>
              <w:t>III.</w:t>
            </w:r>
            <w:r w:rsidR="007E1F32">
              <w:rPr>
                <w:rFonts w:asciiTheme="minorHAnsi" w:eastAsiaTheme="minorEastAsia" w:hAnsiTheme="minorHAnsi" w:cstheme="minorBidi"/>
                <w:b w:val="0"/>
                <w:smallCaps w:val="0"/>
                <w:szCs w:val="24"/>
                <w:lang w:eastAsia="zh-CN"/>
              </w:rPr>
              <w:tab/>
            </w:r>
            <w:r w:rsidR="007E1F32" w:rsidRPr="00F10D12">
              <w:rPr>
                <w:rStyle w:val="Hyperlink"/>
                <w:rFonts w:eastAsiaTheme="majorEastAsia"/>
                <w:bCs/>
              </w:rPr>
              <w:t>Sírvase describir las entidades y/o mecanismos que existen en su país para prevenir y/o sancionar las injerencias en el ejericio libre e independiente de la profesión de abogacía, cualquiera que sea la fuente de injerencia</w:t>
            </w:r>
            <w:r w:rsidR="007E1F32">
              <w:rPr>
                <w:webHidden/>
              </w:rPr>
              <w:tab/>
            </w:r>
            <w:r w:rsidR="007E1F32">
              <w:rPr>
                <w:webHidden/>
              </w:rPr>
              <w:fldChar w:fldCharType="begin"/>
            </w:r>
            <w:r w:rsidR="007E1F32">
              <w:rPr>
                <w:webHidden/>
              </w:rPr>
              <w:instrText xml:space="preserve"> PAGEREF _Toc89669097 \h </w:instrText>
            </w:r>
            <w:r w:rsidR="007E1F32">
              <w:rPr>
                <w:webHidden/>
              </w:rPr>
            </w:r>
            <w:r w:rsidR="007E1F32">
              <w:rPr>
                <w:webHidden/>
              </w:rPr>
              <w:fldChar w:fldCharType="separate"/>
            </w:r>
            <w:r w:rsidR="007E1F32">
              <w:rPr>
                <w:webHidden/>
              </w:rPr>
              <w:t>4</w:t>
            </w:r>
            <w:r w:rsidR="007E1F32">
              <w:rPr>
                <w:webHidden/>
              </w:rPr>
              <w:fldChar w:fldCharType="end"/>
            </w:r>
          </w:hyperlink>
        </w:p>
        <w:p w14:paraId="3AD7E6CF" w14:textId="5C4FA26C" w:rsidR="007E1F32" w:rsidRDefault="00CF5926">
          <w:pPr>
            <w:pStyle w:val="TOC1"/>
            <w:rPr>
              <w:rFonts w:asciiTheme="minorHAnsi" w:eastAsiaTheme="minorEastAsia" w:hAnsiTheme="minorHAnsi" w:cstheme="minorBidi"/>
              <w:b w:val="0"/>
              <w:smallCaps w:val="0"/>
              <w:szCs w:val="24"/>
              <w:lang w:eastAsia="zh-CN"/>
            </w:rPr>
          </w:pPr>
          <w:hyperlink w:anchor="_Toc89669098" w:history="1">
            <w:r w:rsidR="007E1F32" w:rsidRPr="00F10D12">
              <w:rPr>
                <w:rStyle w:val="Hyperlink"/>
                <w:rFonts w:eastAsiaTheme="majorEastAsia"/>
                <w:bCs/>
              </w:rPr>
              <w:t>IV.</w:t>
            </w:r>
            <w:r w:rsidR="007E1F32">
              <w:rPr>
                <w:rFonts w:asciiTheme="minorHAnsi" w:eastAsiaTheme="minorEastAsia" w:hAnsiTheme="minorHAnsi" w:cstheme="minorBidi"/>
                <w:b w:val="0"/>
                <w:smallCaps w:val="0"/>
                <w:szCs w:val="24"/>
                <w:lang w:eastAsia="zh-CN"/>
              </w:rPr>
              <w:tab/>
            </w:r>
            <w:r w:rsidR="007E1F32" w:rsidRPr="00F10D12">
              <w:rPr>
                <w:rStyle w:val="Hyperlink"/>
                <w:rFonts w:eastAsiaTheme="majorEastAsia"/>
                <w:bCs/>
              </w:rPr>
              <w:t>Describa el papel de los colegios de abogados nacionales en la protección de abogados y abogadas y el libre ejercicio de la profesión jurídica ¿es el colegio de abogados de iure o de facto independiente del Estado?</w:t>
            </w:r>
            <w:r w:rsidR="007E1F32">
              <w:rPr>
                <w:webHidden/>
              </w:rPr>
              <w:tab/>
            </w:r>
            <w:r w:rsidR="007E1F32">
              <w:rPr>
                <w:webHidden/>
              </w:rPr>
              <w:fldChar w:fldCharType="begin"/>
            </w:r>
            <w:r w:rsidR="007E1F32">
              <w:rPr>
                <w:webHidden/>
              </w:rPr>
              <w:instrText xml:space="preserve"> PAGEREF _Toc89669098 \h </w:instrText>
            </w:r>
            <w:r w:rsidR="007E1F32">
              <w:rPr>
                <w:webHidden/>
              </w:rPr>
            </w:r>
            <w:r w:rsidR="007E1F32">
              <w:rPr>
                <w:webHidden/>
              </w:rPr>
              <w:fldChar w:fldCharType="separate"/>
            </w:r>
            <w:r w:rsidR="007E1F32">
              <w:rPr>
                <w:webHidden/>
              </w:rPr>
              <w:t>5</w:t>
            </w:r>
            <w:r w:rsidR="007E1F32">
              <w:rPr>
                <w:webHidden/>
              </w:rPr>
              <w:fldChar w:fldCharType="end"/>
            </w:r>
          </w:hyperlink>
        </w:p>
        <w:p w14:paraId="07BE6E51" w14:textId="2A208D76" w:rsidR="007E1F32" w:rsidRDefault="00CF5926">
          <w:pPr>
            <w:pStyle w:val="TOC1"/>
            <w:rPr>
              <w:rFonts w:asciiTheme="minorHAnsi" w:eastAsiaTheme="minorEastAsia" w:hAnsiTheme="minorHAnsi" w:cstheme="minorBidi"/>
              <w:b w:val="0"/>
              <w:smallCaps w:val="0"/>
              <w:szCs w:val="24"/>
              <w:lang w:eastAsia="zh-CN"/>
            </w:rPr>
          </w:pPr>
          <w:hyperlink w:anchor="_Toc89669099" w:history="1">
            <w:r w:rsidR="007E1F32" w:rsidRPr="00F10D12">
              <w:rPr>
                <w:rStyle w:val="Hyperlink"/>
                <w:rFonts w:eastAsiaTheme="majorEastAsia"/>
                <w:bCs/>
              </w:rPr>
              <w:t>V.</w:t>
            </w:r>
            <w:r w:rsidR="007E1F32">
              <w:rPr>
                <w:rFonts w:asciiTheme="minorHAnsi" w:eastAsiaTheme="minorEastAsia" w:hAnsiTheme="minorHAnsi" w:cstheme="minorBidi"/>
                <w:b w:val="0"/>
                <w:smallCaps w:val="0"/>
                <w:szCs w:val="24"/>
                <w:lang w:eastAsia="zh-CN"/>
              </w:rPr>
              <w:tab/>
            </w:r>
            <w:r w:rsidR="007E1F32" w:rsidRPr="00F10D12">
              <w:rPr>
                <w:rStyle w:val="Hyperlink"/>
                <w:rFonts w:eastAsiaTheme="majorEastAsia"/>
                <w:bCs/>
              </w:rPr>
              <w:t>Sírvase proporcionar información detallada sobre el número de abogados y abogadas ue han sido objeto de pronunciamientos penales, administrativos o disciplinarios en los últimos cinco años por presuntas violaciones a las normas de conducta profesional ¿cuántos de ellos/as fueron declarados culpables? ¿cuántos de ellos/as fueron finalmente inhabilitados?</w:t>
            </w:r>
            <w:r w:rsidR="007E1F32">
              <w:rPr>
                <w:webHidden/>
              </w:rPr>
              <w:tab/>
            </w:r>
            <w:r w:rsidR="007E1F32">
              <w:rPr>
                <w:webHidden/>
              </w:rPr>
              <w:fldChar w:fldCharType="begin"/>
            </w:r>
            <w:r w:rsidR="007E1F32">
              <w:rPr>
                <w:webHidden/>
              </w:rPr>
              <w:instrText xml:space="preserve"> PAGEREF _Toc89669099 \h </w:instrText>
            </w:r>
            <w:r w:rsidR="007E1F32">
              <w:rPr>
                <w:webHidden/>
              </w:rPr>
            </w:r>
            <w:r w:rsidR="007E1F32">
              <w:rPr>
                <w:webHidden/>
              </w:rPr>
              <w:fldChar w:fldCharType="separate"/>
            </w:r>
            <w:r w:rsidR="007E1F32">
              <w:rPr>
                <w:webHidden/>
              </w:rPr>
              <w:t>5</w:t>
            </w:r>
            <w:r w:rsidR="007E1F32">
              <w:rPr>
                <w:webHidden/>
              </w:rPr>
              <w:fldChar w:fldCharType="end"/>
            </w:r>
          </w:hyperlink>
        </w:p>
        <w:p w14:paraId="56FA0C20" w14:textId="2F9AC81C" w:rsidR="00A53E0F" w:rsidRPr="00A53E0F" w:rsidRDefault="00A409CD" w:rsidP="00020B7D">
          <w:pPr>
            <w:ind w:firstLine="0"/>
          </w:pPr>
          <w:r w:rsidRPr="00A72605">
            <w:rPr>
              <w:b/>
              <w:bCs/>
              <w:szCs w:val="24"/>
              <w:lang w:val="es-ES"/>
            </w:rPr>
            <w:fldChar w:fldCharType="end"/>
          </w:r>
        </w:p>
      </w:sdtContent>
    </w:sdt>
    <w:p w14:paraId="51B010E6" w14:textId="77777777" w:rsidR="00A53E0F" w:rsidRDefault="00A53E0F" w:rsidP="00A53E0F">
      <w:pPr>
        <w:rPr>
          <w:szCs w:val="24"/>
        </w:rPr>
      </w:pPr>
    </w:p>
    <w:p w14:paraId="6A852942" w14:textId="77777777" w:rsidR="00481E85" w:rsidRPr="00A53E0F" w:rsidRDefault="00481E85" w:rsidP="00A53E0F">
      <w:pPr>
        <w:rPr>
          <w:szCs w:val="24"/>
        </w:rPr>
        <w:sectPr w:rsidR="00481E85" w:rsidRPr="00A53E0F" w:rsidSect="00137A1A">
          <w:footerReference w:type="default" r:id="rId12"/>
          <w:pgSz w:w="12240" w:h="15840"/>
          <w:pgMar w:top="1417" w:right="1701" w:bottom="1417" w:left="1701" w:header="708" w:footer="708" w:gutter="0"/>
          <w:pgNumType w:fmt="lowerRoman" w:start="1"/>
          <w:cols w:space="708"/>
          <w:titlePg/>
          <w:docGrid w:linePitch="360"/>
        </w:sectPr>
      </w:pPr>
    </w:p>
    <w:p w14:paraId="118CC3CA" w14:textId="3390C0A9" w:rsidR="003970EC" w:rsidRPr="00C32C2D" w:rsidRDefault="00BA21CF" w:rsidP="00625037">
      <w:pPr>
        <w:snapToGrid w:val="0"/>
        <w:spacing w:before="100" w:afterLines="60" w:after="144" w:line="240" w:lineRule="auto"/>
        <w:jc w:val="center"/>
        <w:rPr>
          <w:rFonts w:eastAsia="Calibri"/>
          <w:b/>
          <w:smallCaps/>
          <w:szCs w:val="24"/>
          <w:lang w:eastAsia="es-MX"/>
        </w:rPr>
      </w:pPr>
      <w:r>
        <w:rPr>
          <w:rFonts w:eastAsia="Calibri"/>
          <w:b/>
          <w:smallCaps/>
          <w:szCs w:val="24"/>
          <w:lang w:eastAsia="es-MX"/>
        </w:rPr>
        <w:lastRenderedPageBreak/>
        <w:t>Respuesta al cuestionario del Relator Especial sobre la inependencia de los magistrados y abogados</w:t>
      </w:r>
    </w:p>
    <w:p w14:paraId="603FC4B1" w14:textId="77777777" w:rsidR="002268FB" w:rsidRDefault="002268FB" w:rsidP="00625037">
      <w:pPr>
        <w:pStyle w:val="ListParagraph"/>
        <w:numPr>
          <w:ilvl w:val="0"/>
          <w:numId w:val="3"/>
        </w:numPr>
        <w:snapToGrid w:val="0"/>
        <w:spacing w:before="100" w:afterLines="60" w:after="144" w:line="240" w:lineRule="auto"/>
        <w:contextualSpacing w:val="0"/>
        <w:outlineLvl w:val="0"/>
        <w:rPr>
          <w:rFonts w:eastAsiaTheme="majorEastAsia"/>
          <w:b/>
          <w:bCs/>
          <w:smallCaps/>
          <w:szCs w:val="24"/>
        </w:rPr>
      </w:pPr>
      <w:bookmarkStart w:id="1" w:name="_Toc89669093"/>
      <w:r>
        <w:rPr>
          <w:rFonts w:eastAsiaTheme="majorEastAsia"/>
          <w:b/>
          <w:bCs/>
          <w:smallCaps/>
          <w:szCs w:val="24"/>
        </w:rPr>
        <w:t>Introducción</w:t>
      </w:r>
      <w:bookmarkEnd w:id="1"/>
    </w:p>
    <w:p w14:paraId="3E33DB05" w14:textId="0F624551" w:rsidR="00BA21CF" w:rsidRPr="00313538" w:rsidRDefault="005F2588" w:rsidP="00625037">
      <w:pPr>
        <w:pStyle w:val="ListParagraph"/>
        <w:numPr>
          <w:ilvl w:val="0"/>
          <w:numId w:val="1"/>
        </w:numPr>
        <w:snapToGrid w:val="0"/>
        <w:spacing w:before="100" w:afterLines="60" w:after="144" w:line="240" w:lineRule="auto"/>
        <w:ind w:left="0" w:firstLine="0"/>
        <w:contextualSpacing w:val="0"/>
        <w:rPr>
          <w:b/>
          <w:sz w:val="22"/>
        </w:rPr>
      </w:pPr>
      <w:r>
        <w:rPr>
          <w:sz w:val="22"/>
        </w:rPr>
        <w:t>Con</w:t>
      </w:r>
      <w:r w:rsidR="00202F85">
        <w:rPr>
          <w:sz w:val="22"/>
        </w:rPr>
        <w:t xml:space="preserve"> </w:t>
      </w:r>
      <w:r>
        <w:rPr>
          <w:sz w:val="22"/>
        </w:rPr>
        <w:t xml:space="preserve">fundamento en la resolución 44/8 del Consejo de </w:t>
      </w:r>
      <w:r w:rsidR="00202F85">
        <w:rPr>
          <w:sz w:val="22"/>
        </w:rPr>
        <w:t>D</w:t>
      </w:r>
      <w:r>
        <w:rPr>
          <w:sz w:val="22"/>
        </w:rPr>
        <w:t>erechos Humanos, el Relator Especial sobre la independencia de los magistrados y abogados</w:t>
      </w:r>
      <w:r w:rsidR="00BB259F">
        <w:rPr>
          <w:sz w:val="22"/>
        </w:rPr>
        <w:t xml:space="preserve"> remitió un cuestionario que servirá para la elaboración de su inform</w:t>
      </w:r>
      <w:r w:rsidR="00202F85">
        <w:rPr>
          <w:sz w:val="22"/>
        </w:rPr>
        <w:t>e</w:t>
      </w:r>
      <w:r w:rsidR="00BB259F">
        <w:rPr>
          <w:sz w:val="22"/>
        </w:rPr>
        <w:t xml:space="preserve"> temático a la Asamblea General de Naciones Unidas que presentará en junio de 2022.</w:t>
      </w:r>
    </w:p>
    <w:p w14:paraId="2FFBB200" w14:textId="41FAD918" w:rsidR="005F2588" w:rsidRPr="00313538" w:rsidRDefault="00313538" w:rsidP="00313538">
      <w:pPr>
        <w:pStyle w:val="ListParagraph"/>
        <w:numPr>
          <w:ilvl w:val="0"/>
          <w:numId w:val="1"/>
        </w:numPr>
        <w:snapToGrid w:val="0"/>
        <w:spacing w:before="100" w:afterLines="60" w:after="144" w:line="240" w:lineRule="auto"/>
        <w:ind w:left="0" w:firstLine="0"/>
        <w:contextualSpacing w:val="0"/>
        <w:rPr>
          <w:b/>
          <w:sz w:val="22"/>
        </w:rPr>
      </w:pPr>
      <w:r>
        <w:rPr>
          <w:sz w:val="22"/>
        </w:rPr>
        <w:t>E</w:t>
      </w:r>
      <w:r w:rsidR="00202F85">
        <w:rPr>
          <w:sz w:val="22"/>
        </w:rPr>
        <w:t>l</w:t>
      </w:r>
      <w:r>
        <w:rPr>
          <w:sz w:val="22"/>
        </w:rPr>
        <w:t xml:space="preserve"> cuestionario se titula “Protección de abogados y abogadas en el ejercicio libre e independiente de la profesión jurídica” y cuenta con 7 preguntas las que se contestan en los siguientes apartados.</w:t>
      </w:r>
    </w:p>
    <w:p w14:paraId="06F85DE9" w14:textId="0EADF59C" w:rsidR="00FC66AC" w:rsidRPr="00E176BA" w:rsidRDefault="002C055B" w:rsidP="002C055B">
      <w:pPr>
        <w:pStyle w:val="ListParagraph"/>
        <w:numPr>
          <w:ilvl w:val="0"/>
          <w:numId w:val="3"/>
        </w:numPr>
        <w:snapToGrid w:val="0"/>
        <w:spacing w:before="100" w:afterLines="60" w:after="144" w:line="240" w:lineRule="auto"/>
        <w:contextualSpacing w:val="0"/>
        <w:outlineLvl w:val="0"/>
        <w:rPr>
          <w:rFonts w:eastAsiaTheme="majorEastAsia"/>
          <w:b/>
          <w:bCs/>
          <w:smallCaps/>
          <w:szCs w:val="24"/>
        </w:rPr>
      </w:pPr>
      <w:bookmarkStart w:id="2" w:name="_Toc89669094"/>
      <w:r>
        <w:rPr>
          <w:rFonts w:eastAsiaTheme="majorEastAsia"/>
          <w:b/>
          <w:bCs/>
          <w:smallCaps/>
          <w:szCs w:val="24"/>
        </w:rPr>
        <w:t xml:space="preserve">Teniendo en cuenta </w:t>
      </w:r>
      <w:r w:rsidRPr="002C055B">
        <w:rPr>
          <w:rFonts w:eastAsiaTheme="majorEastAsia"/>
          <w:b/>
          <w:bCs/>
          <w:smallCaps/>
          <w:szCs w:val="24"/>
        </w:rPr>
        <w:t xml:space="preserve">las Garantías para el ejercicio de la profesión, contenidas en los principios 16 a 22 de los </w:t>
      </w:r>
      <w:r w:rsidRPr="002C055B">
        <w:rPr>
          <w:rFonts w:eastAsiaTheme="majorEastAsia"/>
          <w:b/>
          <w:bCs/>
          <w:i/>
          <w:iCs/>
          <w:smallCaps/>
          <w:szCs w:val="24"/>
        </w:rPr>
        <w:t>Principios Básicos sobre la Función de los Abogados</w:t>
      </w:r>
      <w:r w:rsidRPr="002C055B">
        <w:rPr>
          <w:rFonts w:eastAsiaTheme="majorEastAsia"/>
          <w:b/>
          <w:bCs/>
          <w:smallCaps/>
          <w:szCs w:val="24"/>
        </w:rPr>
        <w:t>, sírvase describir las medidas constitucionales, legales, administrativas y de política adoptadas en su país para que los abogados puedan ejercer sus actividades profesionales a favor de sus clientes de forma libre e independiente</w:t>
      </w:r>
      <w:bookmarkEnd w:id="2"/>
    </w:p>
    <w:p w14:paraId="01377044" w14:textId="12B4C738" w:rsidR="00163FE2" w:rsidRPr="002E4C34" w:rsidRDefault="002C055B" w:rsidP="00E176BA">
      <w:pPr>
        <w:pStyle w:val="ListParagraph"/>
        <w:numPr>
          <w:ilvl w:val="1"/>
          <w:numId w:val="3"/>
        </w:numPr>
        <w:snapToGrid w:val="0"/>
        <w:spacing w:before="100" w:afterLines="60" w:after="144" w:line="240" w:lineRule="auto"/>
        <w:ind w:left="1434" w:hanging="357"/>
        <w:contextualSpacing w:val="0"/>
        <w:outlineLvl w:val="1"/>
        <w:rPr>
          <w:rFonts w:asciiTheme="majorBidi" w:eastAsiaTheme="majorEastAsia" w:hAnsiTheme="majorBidi" w:cstheme="majorBidi"/>
          <w:b/>
          <w:bCs/>
          <w:smallCaps/>
          <w:sz w:val="22"/>
        </w:rPr>
      </w:pPr>
      <w:bookmarkStart w:id="3" w:name="_Toc89669095"/>
      <w:r>
        <w:rPr>
          <w:rFonts w:asciiTheme="majorBidi" w:hAnsiTheme="majorBidi" w:cstheme="majorBidi"/>
          <w:b/>
          <w:sz w:val="22"/>
        </w:rPr>
        <w:t>Criterios relevantes de la Suprema Corte de Justicia de la Nación</w:t>
      </w:r>
      <w:bookmarkEnd w:id="3"/>
    </w:p>
    <w:p w14:paraId="54769821" w14:textId="08D0BB4B" w:rsidR="00E176BA" w:rsidRPr="00E176BA" w:rsidRDefault="00E05065" w:rsidP="00E176BA">
      <w:pPr>
        <w:pStyle w:val="ListParagraph"/>
        <w:numPr>
          <w:ilvl w:val="0"/>
          <w:numId w:val="1"/>
        </w:numPr>
        <w:snapToGrid w:val="0"/>
        <w:spacing w:before="100" w:afterLines="60" w:after="144" w:line="240" w:lineRule="auto"/>
        <w:ind w:left="0" w:firstLine="0"/>
        <w:rPr>
          <w:rFonts w:asciiTheme="majorBidi" w:hAnsiTheme="majorBidi" w:cstheme="majorBidi"/>
          <w:sz w:val="22"/>
        </w:rPr>
      </w:pPr>
      <w:r>
        <w:rPr>
          <w:rFonts w:asciiTheme="majorBidi" w:hAnsiTheme="majorBidi" w:cstheme="majorBidi"/>
          <w:sz w:val="22"/>
        </w:rPr>
        <w:t>El Estado mexicano, a través de la Suprema Corte de la Nación</w:t>
      </w:r>
      <w:r w:rsidR="00522A7E">
        <w:rPr>
          <w:rFonts w:asciiTheme="majorBidi" w:hAnsiTheme="majorBidi" w:cstheme="majorBidi"/>
          <w:sz w:val="22"/>
        </w:rPr>
        <w:t xml:space="preserve"> (SCJN)</w:t>
      </w:r>
      <w:r>
        <w:rPr>
          <w:rFonts w:asciiTheme="majorBidi" w:hAnsiTheme="majorBidi" w:cstheme="majorBidi"/>
          <w:sz w:val="22"/>
        </w:rPr>
        <w:t xml:space="preserve">, ha resuelto asuntos en los que se ha pronunciado sobre el libre ejericicicio de la abogacía, los que </w:t>
      </w:r>
      <w:r w:rsidR="00E176BA" w:rsidRPr="00E176BA">
        <w:rPr>
          <w:rFonts w:asciiTheme="majorBidi" w:hAnsiTheme="majorBidi" w:cstheme="majorBidi"/>
          <w:sz w:val="22"/>
        </w:rPr>
        <w:t>constituyen criterios orientadores en la resolución de casos concretos, y son obligatorios cuando integran jurisprudencia.</w:t>
      </w:r>
    </w:p>
    <w:p w14:paraId="64B704F3" w14:textId="77777777" w:rsidR="00E176BA" w:rsidRPr="00E176BA" w:rsidRDefault="00E176BA" w:rsidP="00E176BA">
      <w:pPr>
        <w:pStyle w:val="ListParagraph"/>
        <w:numPr>
          <w:ilvl w:val="0"/>
          <w:numId w:val="1"/>
        </w:numPr>
        <w:snapToGrid w:val="0"/>
        <w:spacing w:before="100" w:afterLines="60" w:after="144" w:line="240" w:lineRule="auto"/>
        <w:ind w:left="0" w:firstLine="0"/>
        <w:rPr>
          <w:rFonts w:asciiTheme="majorBidi" w:hAnsiTheme="majorBidi" w:cstheme="majorBidi"/>
          <w:sz w:val="22"/>
        </w:rPr>
      </w:pPr>
      <w:r w:rsidRPr="00E176BA">
        <w:rPr>
          <w:rFonts w:asciiTheme="majorBidi" w:hAnsiTheme="majorBidi" w:cstheme="majorBidi"/>
          <w:sz w:val="22"/>
        </w:rPr>
        <w:t>A continuación, se presentan asuntos resueltos por la SCJN, que se destacan por pronunciarse sobre el libre ejercicio de la abogacía. En éstos, se pone de relieve la responsabilidad y cumplimiento de deberes sociales derivados de su función encaminada a garantizar el acceso a la justicia de las personas.</w:t>
      </w:r>
    </w:p>
    <w:p w14:paraId="5C45D736" w14:textId="77777777" w:rsidR="00E176BA" w:rsidRPr="00E176BA" w:rsidRDefault="00E176BA" w:rsidP="00E176BA">
      <w:pPr>
        <w:pStyle w:val="ListParagraph"/>
        <w:numPr>
          <w:ilvl w:val="0"/>
          <w:numId w:val="1"/>
        </w:numPr>
        <w:snapToGrid w:val="0"/>
        <w:spacing w:before="100" w:afterLines="60" w:after="144" w:line="240" w:lineRule="auto"/>
        <w:ind w:left="0" w:firstLine="0"/>
        <w:rPr>
          <w:rFonts w:asciiTheme="majorBidi" w:hAnsiTheme="majorBidi" w:cstheme="majorBidi"/>
          <w:sz w:val="22"/>
        </w:rPr>
      </w:pPr>
      <w:r w:rsidRPr="00E176BA">
        <w:rPr>
          <w:rFonts w:asciiTheme="majorBidi" w:hAnsiTheme="majorBidi" w:cstheme="majorBidi"/>
          <w:sz w:val="22"/>
        </w:rPr>
        <w:t xml:space="preserve">El </w:t>
      </w:r>
      <w:r w:rsidRPr="00E176BA">
        <w:rPr>
          <w:rFonts w:asciiTheme="majorBidi" w:hAnsiTheme="majorBidi" w:cstheme="majorBidi"/>
          <w:i/>
          <w:iCs/>
          <w:sz w:val="22"/>
        </w:rPr>
        <w:t>amparo directo en revisión 6467/2018</w:t>
      </w:r>
      <w:r w:rsidRPr="00E176BA">
        <w:rPr>
          <w:rFonts w:asciiTheme="majorBidi" w:hAnsiTheme="majorBidi" w:cstheme="majorBidi"/>
          <w:sz w:val="22"/>
          <w:vertAlign w:val="superscript"/>
        </w:rPr>
        <w:footnoteReference w:id="1"/>
      </w:r>
      <w:r w:rsidRPr="00E176BA">
        <w:rPr>
          <w:rFonts w:asciiTheme="majorBidi" w:hAnsiTheme="majorBidi" w:cstheme="majorBidi"/>
          <w:sz w:val="22"/>
        </w:rPr>
        <w:t xml:space="preserve"> tuvo por origen una demanda de daño moral por la publicación de cierta información en la que se aludió a un abogado en un medio de comunicación.</w:t>
      </w:r>
    </w:p>
    <w:p w14:paraId="7E5E12E6" w14:textId="77777777" w:rsidR="00E176BA" w:rsidRPr="00E176BA" w:rsidRDefault="00E176BA" w:rsidP="00E176BA">
      <w:pPr>
        <w:pStyle w:val="ListParagraph"/>
        <w:numPr>
          <w:ilvl w:val="0"/>
          <w:numId w:val="1"/>
        </w:numPr>
        <w:snapToGrid w:val="0"/>
        <w:spacing w:before="100" w:afterLines="60" w:after="144" w:line="240" w:lineRule="auto"/>
        <w:ind w:left="0" w:firstLine="0"/>
        <w:rPr>
          <w:rFonts w:asciiTheme="majorBidi" w:hAnsiTheme="majorBidi" w:cstheme="majorBidi"/>
          <w:sz w:val="22"/>
        </w:rPr>
      </w:pPr>
      <w:r w:rsidRPr="00E176BA">
        <w:rPr>
          <w:rFonts w:asciiTheme="majorBidi" w:hAnsiTheme="majorBidi" w:cstheme="majorBidi"/>
          <w:sz w:val="22"/>
        </w:rPr>
        <w:t>En el asunto, la Primera Sala de la SCJN estimó que la mera intervención de una persona como abogado defensor de otra persona dentro del aparato de procuración de justicia y, en específico, en juicios en materia laboral, no conlleva necesariamente y en todos los casos su proyección como figura pública. Asimismo, se resaltó que el ejercicio adecuado de la abogacía requiere de la confidencialidad sobre la información que obtiene el abogado de su cliente, por lo que esta exigencia de secrecía puede extenderse a toda la información que recibe, en virtud del ejercicio de su profesión.</w:t>
      </w:r>
    </w:p>
    <w:p w14:paraId="7A07EB0D" w14:textId="77777777" w:rsidR="00E176BA" w:rsidRPr="00E176BA" w:rsidRDefault="00E176BA" w:rsidP="00E176BA">
      <w:pPr>
        <w:pStyle w:val="ListParagraph"/>
        <w:numPr>
          <w:ilvl w:val="0"/>
          <w:numId w:val="1"/>
        </w:numPr>
        <w:snapToGrid w:val="0"/>
        <w:spacing w:before="100" w:afterLines="60" w:after="144" w:line="240" w:lineRule="auto"/>
        <w:ind w:left="0" w:firstLine="0"/>
        <w:rPr>
          <w:rFonts w:asciiTheme="majorBidi" w:hAnsiTheme="majorBidi" w:cstheme="majorBidi"/>
          <w:sz w:val="22"/>
        </w:rPr>
      </w:pPr>
      <w:r w:rsidRPr="00E176BA">
        <w:rPr>
          <w:rFonts w:asciiTheme="majorBidi" w:hAnsiTheme="majorBidi" w:cstheme="majorBidi"/>
          <w:sz w:val="22"/>
        </w:rPr>
        <w:t>Por ende, una regla general que caracterice a todos los abogados litigantes como personas con proyección pública podría generar incentivos perversos contrarios a la libertad e independencia que esta profesión requiere para su cabal desempeño. Concretamente, se abriría la puerta a que los medios de comunicación revelasen información privada sobre los abogados litigantes con el único fin de perjudicar una causa que defienden ante un tribunal. De esta manera, se utilizaría a los medios de comunicación como un instrumento de influencia en los procesos jurisdiccionales.</w:t>
      </w:r>
    </w:p>
    <w:p w14:paraId="1CD14856" w14:textId="77777777" w:rsidR="00E176BA" w:rsidRPr="00E176BA" w:rsidRDefault="00E176BA" w:rsidP="00E176BA">
      <w:pPr>
        <w:pStyle w:val="ListParagraph"/>
        <w:numPr>
          <w:ilvl w:val="0"/>
          <w:numId w:val="1"/>
        </w:numPr>
        <w:snapToGrid w:val="0"/>
        <w:spacing w:before="100" w:afterLines="60" w:after="144" w:line="240" w:lineRule="auto"/>
        <w:ind w:left="0" w:firstLine="0"/>
        <w:rPr>
          <w:rFonts w:asciiTheme="majorBidi" w:hAnsiTheme="majorBidi" w:cstheme="majorBidi"/>
          <w:sz w:val="22"/>
        </w:rPr>
      </w:pPr>
      <w:r w:rsidRPr="00E176BA">
        <w:rPr>
          <w:rFonts w:asciiTheme="majorBidi" w:hAnsiTheme="majorBidi" w:cstheme="majorBidi"/>
          <w:sz w:val="22"/>
        </w:rPr>
        <w:t>Lo anterior, en lugar de fomentar la vigilancia ciudadana sobre el sistema judicial, se podría transformar en una medida que menoscabe la libertad e independencia de los abogados y, con ello, el derecho a la asistencia letrada.</w:t>
      </w:r>
    </w:p>
    <w:p w14:paraId="23D0D366" w14:textId="77777777" w:rsidR="00E176BA" w:rsidRPr="00E176BA" w:rsidRDefault="00E176BA" w:rsidP="00E176BA">
      <w:pPr>
        <w:pStyle w:val="ListParagraph"/>
        <w:numPr>
          <w:ilvl w:val="0"/>
          <w:numId w:val="1"/>
        </w:numPr>
        <w:snapToGrid w:val="0"/>
        <w:spacing w:before="100" w:afterLines="60" w:after="144" w:line="240" w:lineRule="auto"/>
        <w:ind w:left="0" w:firstLine="0"/>
        <w:rPr>
          <w:rFonts w:asciiTheme="majorBidi" w:hAnsiTheme="majorBidi" w:cstheme="majorBidi"/>
          <w:sz w:val="22"/>
        </w:rPr>
      </w:pPr>
      <w:r w:rsidRPr="00E176BA">
        <w:rPr>
          <w:rFonts w:asciiTheme="majorBidi" w:hAnsiTheme="majorBidi" w:cstheme="majorBidi"/>
          <w:sz w:val="22"/>
        </w:rPr>
        <w:t>Por otro lado, en relación a la prerrogativa de los abogados para que tengan acceso a la información, archivos y documentos para prestar una asistencia jurídica eficaz, son relevantes los siguientes precedentes.</w:t>
      </w:r>
    </w:p>
    <w:p w14:paraId="1D4AC6D3" w14:textId="77777777" w:rsidR="00E176BA" w:rsidRPr="00E176BA" w:rsidRDefault="00E176BA" w:rsidP="00E176BA">
      <w:pPr>
        <w:pStyle w:val="ListParagraph"/>
        <w:numPr>
          <w:ilvl w:val="0"/>
          <w:numId w:val="1"/>
        </w:numPr>
        <w:snapToGrid w:val="0"/>
        <w:spacing w:before="100" w:afterLines="60" w:after="144" w:line="240" w:lineRule="auto"/>
        <w:ind w:left="0" w:firstLine="0"/>
        <w:rPr>
          <w:rFonts w:asciiTheme="majorBidi" w:hAnsiTheme="majorBidi" w:cstheme="majorBidi"/>
          <w:sz w:val="22"/>
        </w:rPr>
      </w:pPr>
      <w:r w:rsidRPr="00E176BA">
        <w:rPr>
          <w:rFonts w:asciiTheme="majorBidi" w:hAnsiTheme="majorBidi" w:cstheme="majorBidi"/>
          <w:sz w:val="22"/>
        </w:rPr>
        <w:t>E</w:t>
      </w:r>
      <w:r w:rsidRPr="00E176BA">
        <w:rPr>
          <w:rFonts w:asciiTheme="majorBidi" w:hAnsiTheme="majorBidi" w:cstheme="majorBidi"/>
          <w:sz w:val="22"/>
          <w:lang w:val="uz-Cyrl-UZ"/>
        </w:rPr>
        <w:t xml:space="preserve">n los </w:t>
      </w:r>
      <w:r w:rsidRPr="00E176BA">
        <w:rPr>
          <w:rFonts w:asciiTheme="majorBidi" w:hAnsiTheme="majorBidi" w:cstheme="majorBidi"/>
          <w:bCs/>
          <w:i/>
          <w:iCs/>
          <w:sz w:val="22"/>
        </w:rPr>
        <w:t>a</w:t>
      </w:r>
      <w:r w:rsidRPr="00E176BA">
        <w:rPr>
          <w:rFonts w:asciiTheme="majorBidi" w:hAnsiTheme="majorBidi" w:cstheme="majorBidi"/>
          <w:bCs/>
          <w:i/>
          <w:iCs/>
          <w:sz w:val="22"/>
          <w:lang w:val="uz-Cyrl-UZ"/>
        </w:rPr>
        <w:t xml:space="preserve">mparos en </w:t>
      </w:r>
      <w:r w:rsidRPr="00E176BA">
        <w:rPr>
          <w:rFonts w:asciiTheme="majorBidi" w:hAnsiTheme="majorBidi" w:cstheme="majorBidi"/>
          <w:bCs/>
          <w:i/>
          <w:iCs/>
          <w:sz w:val="22"/>
        </w:rPr>
        <w:t>r</w:t>
      </w:r>
      <w:r w:rsidRPr="00E176BA">
        <w:rPr>
          <w:rFonts w:asciiTheme="majorBidi" w:hAnsiTheme="majorBidi" w:cstheme="majorBidi"/>
          <w:bCs/>
          <w:i/>
          <w:iCs/>
          <w:sz w:val="22"/>
          <w:lang w:val="uz-Cyrl-UZ"/>
        </w:rPr>
        <w:t>evisión 661/2014 y 453/2015</w:t>
      </w:r>
      <w:r w:rsidRPr="00E176BA">
        <w:rPr>
          <w:rFonts w:asciiTheme="majorBidi" w:hAnsiTheme="majorBidi" w:cstheme="majorBidi"/>
          <w:bCs/>
          <w:sz w:val="22"/>
          <w:vertAlign w:val="superscript"/>
          <w:lang w:val="uz-Cyrl-UZ"/>
        </w:rPr>
        <w:footnoteReference w:id="2"/>
      </w:r>
      <w:r w:rsidRPr="00E176BA">
        <w:rPr>
          <w:rFonts w:asciiTheme="majorBidi" w:hAnsiTheme="majorBidi" w:cstheme="majorBidi"/>
          <w:sz w:val="22"/>
          <w:lang w:val="uz-Cyrl-UZ"/>
        </w:rPr>
        <w:t xml:space="preserve"> el Pleno de la SCJN conoció solicitudes de diversas personas para obtener información sobre la versión pública de la averiguación previa de los migrantes ejecutados en San Fernando, Tamaulipas. La solicitud fue negada por la autoridad al considerar que se trataba de información reservada. </w:t>
      </w:r>
    </w:p>
    <w:p w14:paraId="58BA4D2A" w14:textId="77777777" w:rsidR="00E176BA" w:rsidRPr="00E176BA" w:rsidRDefault="00E176BA" w:rsidP="00E176BA">
      <w:pPr>
        <w:pStyle w:val="ListParagraph"/>
        <w:numPr>
          <w:ilvl w:val="0"/>
          <w:numId w:val="1"/>
        </w:numPr>
        <w:snapToGrid w:val="0"/>
        <w:spacing w:before="100" w:afterLines="60" w:after="144" w:line="240" w:lineRule="auto"/>
        <w:ind w:left="0" w:firstLine="0"/>
        <w:rPr>
          <w:rFonts w:asciiTheme="majorBidi" w:hAnsiTheme="majorBidi" w:cstheme="majorBidi"/>
          <w:sz w:val="22"/>
          <w:lang w:val="uz-Cyrl-UZ"/>
        </w:rPr>
      </w:pPr>
      <w:r w:rsidRPr="00E176BA">
        <w:rPr>
          <w:rFonts w:asciiTheme="majorBidi" w:hAnsiTheme="majorBidi" w:cstheme="majorBidi"/>
          <w:sz w:val="22"/>
          <w:lang w:val="uz-Cyrl-UZ"/>
        </w:rPr>
        <w:t xml:space="preserve">Sobre ello, el Pleno sostuvo que, tratándose de violaciones graves a derechos humanos y delitos de lesa humanidad, se configura un interés colectivo en el conocimiento de la información relacionada, el cual es ponderativamente superior frente a su reserva, ya que se afectan bienes de tal relevancia y con tal intensidad que el perjuicio trasciende de la esfera individual de la persona directamente afectada, y se constituye como una afectación a la sociedad como un todo. Además, </w:t>
      </w:r>
      <w:r w:rsidRPr="00E176BA">
        <w:rPr>
          <w:rFonts w:asciiTheme="majorBidi" w:hAnsiTheme="majorBidi" w:cstheme="majorBidi"/>
          <w:sz w:val="22"/>
        </w:rPr>
        <w:t>porque</w:t>
      </w:r>
      <w:r w:rsidRPr="00E176BA">
        <w:rPr>
          <w:rFonts w:asciiTheme="majorBidi" w:hAnsiTheme="majorBidi" w:cstheme="majorBidi"/>
          <w:sz w:val="22"/>
          <w:lang w:val="uz-Cyrl-UZ"/>
        </w:rPr>
        <w:t xml:space="preserve"> su conocimiento permite el ejercicio de un control y escrutinio por parte de la sociedad respecto al cumplimiento de las obligaciones a cargo del Estado ante este tipo de violaciones.</w:t>
      </w:r>
    </w:p>
    <w:p w14:paraId="7E2F2D27" w14:textId="77777777" w:rsidR="00E176BA" w:rsidRPr="00E176BA" w:rsidRDefault="00E176BA" w:rsidP="00E176BA">
      <w:pPr>
        <w:pStyle w:val="ListParagraph"/>
        <w:numPr>
          <w:ilvl w:val="0"/>
          <w:numId w:val="1"/>
        </w:numPr>
        <w:snapToGrid w:val="0"/>
        <w:spacing w:before="100" w:afterLines="60" w:after="144" w:line="240" w:lineRule="auto"/>
        <w:ind w:left="0" w:firstLine="0"/>
        <w:rPr>
          <w:rFonts w:asciiTheme="majorBidi" w:hAnsiTheme="majorBidi" w:cstheme="majorBidi"/>
          <w:sz w:val="22"/>
        </w:rPr>
      </w:pPr>
      <w:r w:rsidRPr="00E176BA">
        <w:rPr>
          <w:rFonts w:asciiTheme="majorBidi" w:hAnsiTheme="majorBidi" w:cstheme="majorBidi"/>
          <w:sz w:val="22"/>
        </w:rPr>
        <w:t>De tal criterio se desprende la importancia de que las personas dedicadas al ejercicio de la abogacía tengan a su alcance toda la información relacionada con violaciones graves a derechos humanos.</w:t>
      </w:r>
    </w:p>
    <w:p w14:paraId="72E43CC2" w14:textId="77777777" w:rsidR="00E176BA" w:rsidRPr="00E176BA" w:rsidRDefault="00E176BA" w:rsidP="00E176BA">
      <w:pPr>
        <w:pStyle w:val="ListParagraph"/>
        <w:numPr>
          <w:ilvl w:val="0"/>
          <w:numId w:val="1"/>
        </w:numPr>
        <w:snapToGrid w:val="0"/>
        <w:spacing w:before="100" w:afterLines="60" w:after="144" w:line="240" w:lineRule="auto"/>
        <w:ind w:left="0" w:firstLine="0"/>
        <w:rPr>
          <w:rFonts w:asciiTheme="majorBidi" w:hAnsiTheme="majorBidi" w:cstheme="majorBidi"/>
          <w:sz w:val="22"/>
        </w:rPr>
      </w:pPr>
      <w:r w:rsidRPr="00E176BA">
        <w:rPr>
          <w:rFonts w:asciiTheme="majorBidi" w:hAnsiTheme="majorBidi" w:cstheme="majorBidi"/>
          <w:sz w:val="22"/>
          <w:lang w:val="uz-Cyrl-UZ"/>
        </w:rPr>
        <w:t xml:space="preserve">En el </w:t>
      </w:r>
      <w:r w:rsidRPr="00E176BA">
        <w:rPr>
          <w:rFonts w:asciiTheme="majorBidi" w:hAnsiTheme="majorBidi" w:cstheme="majorBidi"/>
          <w:bCs/>
          <w:i/>
          <w:iCs/>
          <w:sz w:val="22"/>
        </w:rPr>
        <w:t>a</w:t>
      </w:r>
      <w:r w:rsidRPr="00E176BA">
        <w:rPr>
          <w:rFonts w:asciiTheme="majorBidi" w:hAnsiTheme="majorBidi" w:cstheme="majorBidi"/>
          <w:bCs/>
          <w:i/>
          <w:iCs/>
          <w:sz w:val="22"/>
          <w:lang w:val="uz-Cyrl-UZ"/>
        </w:rPr>
        <w:t xml:space="preserve">mparo en </w:t>
      </w:r>
      <w:r w:rsidRPr="00E176BA">
        <w:rPr>
          <w:rFonts w:asciiTheme="majorBidi" w:hAnsiTheme="majorBidi" w:cstheme="majorBidi"/>
          <w:bCs/>
          <w:i/>
          <w:iCs/>
          <w:sz w:val="22"/>
        </w:rPr>
        <w:t>r</w:t>
      </w:r>
      <w:r w:rsidRPr="00E176BA">
        <w:rPr>
          <w:rFonts w:asciiTheme="majorBidi" w:hAnsiTheme="majorBidi" w:cstheme="majorBidi"/>
          <w:bCs/>
          <w:i/>
          <w:iCs/>
          <w:sz w:val="22"/>
          <w:lang w:val="uz-Cyrl-UZ"/>
        </w:rPr>
        <w:t>evisión 835/2018</w:t>
      </w:r>
      <w:r w:rsidRPr="00E176BA">
        <w:rPr>
          <w:rFonts w:asciiTheme="majorBidi" w:hAnsiTheme="majorBidi" w:cstheme="majorBidi"/>
          <w:bCs/>
          <w:sz w:val="22"/>
          <w:vertAlign w:val="superscript"/>
          <w:lang w:val="uz-Cyrl-UZ"/>
        </w:rPr>
        <w:footnoteReference w:id="3"/>
      </w:r>
      <w:r w:rsidRPr="00E176BA">
        <w:rPr>
          <w:rFonts w:asciiTheme="majorBidi" w:hAnsiTheme="majorBidi" w:cstheme="majorBidi"/>
          <w:sz w:val="22"/>
          <w:lang w:val="uz-Cyrl-UZ"/>
        </w:rPr>
        <w:t xml:space="preserve"> la</w:t>
      </w:r>
      <w:r w:rsidRPr="00E176BA">
        <w:rPr>
          <w:rFonts w:asciiTheme="majorBidi" w:hAnsiTheme="majorBidi" w:cstheme="majorBidi"/>
          <w:sz w:val="22"/>
        </w:rPr>
        <w:t xml:space="preserve"> Primera Sala de la</w:t>
      </w:r>
      <w:r w:rsidRPr="00E176BA">
        <w:rPr>
          <w:rFonts w:asciiTheme="majorBidi" w:hAnsiTheme="majorBidi" w:cstheme="majorBidi"/>
          <w:sz w:val="22"/>
          <w:lang w:val="uz-Cyrl-UZ"/>
        </w:rPr>
        <w:t xml:space="preserve"> SCJN conoció de un caso en el que la Unidad de Investigación de Delitos para Personas Migrantes realizó una investigación por hechos de desaparición forzada. </w:t>
      </w:r>
    </w:p>
    <w:p w14:paraId="38FBC79A" w14:textId="77777777" w:rsidR="00E176BA" w:rsidRPr="00E176BA" w:rsidRDefault="00E176BA" w:rsidP="00E176BA">
      <w:pPr>
        <w:pStyle w:val="ListParagraph"/>
        <w:numPr>
          <w:ilvl w:val="0"/>
          <w:numId w:val="1"/>
        </w:numPr>
        <w:snapToGrid w:val="0"/>
        <w:spacing w:before="100" w:afterLines="60" w:after="144" w:line="240" w:lineRule="auto"/>
        <w:ind w:left="0" w:firstLine="0"/>
        <w:rPr>
          <w:rFonts w:asciiTheme="majorBidi" w:hAnsiTheme="majorBidi" w:cstheme="majorBidi"/>
          <w:sz w:val="22"/>
        </w:rPr>
      </w:pPr>
      <w:r w:rsidRPr="00E176BA">
        <w:rPr>
          <w:rFonts w:asciiTheme="majorBidi" w:hAnsiTheme="majorBidi" w:cstheme="majorBidi"/>
          <w:sz w:val="22"/>
          <w:lang w:val="uz-Cyrl-UZ"/>
        </w:rPr>
        <w:t xml:space="preserve">En tal indagatoria, las víctimas autorizaron a diversas personas en calidad de defensores de derechos humanos para que las acompañaran y asistieran durante el procedimiento. Las víctimas solicitaron a la autoridad investigadora que autorizara a tales personas para consultar la carpeta de investigación. Sin embargo, el Ministerio Público negó lo solicitado, en virtud de que la información era reservada y sólo podían consultarla la víctima y el asesor jurídico, mientras que las personas autorizadas por las víctimas no fueron consideradas como parte en el procedimiento penal. </w:t>
      </w:r>
    </w:p>
    <w:p w14:paraId="2E2532CB" w14:textId="77777777" w:rsidR="00E176BA" w:rsidRPr="00E176BA" w:rsidRDefault="00E176BA" w:rsidP="00E176BA">
      <w:pPr>
        <w:pStyle w:val="ListParagraph"/>
        <w:numPr>
          <w:ilvl w:val="0"/>
          <w:numId w:val="1"/>
        </w:numPr>
        <w:snapToGrid w:val="0"/>
        <w:spacing w:before="100" w:afterLines="60" w:after="144" w:line="240" w:lineRule="auto"/>
        <w:ind w:left="0" w:firstLine="0"/>
        <w:rPr>
          <w:rFonts w:asciiTheme="majorBidi" w:hAnsiTheme="majorBidi" w:cstheme="majorBidi"/>
          <w:sz w:val="22"/>
        </w:rPr>
      </w:pPr>
      <w:r w:rsidRPr="00E176BA">
        <w:rPr>
          <w:rFonts w:asciiTheme="majorBidi" w:hAnsiTheme="majorBidi" w:cstheme="majorBidi"/>
          <w:sz w:val="22"/>
          <w:lang w:val="uz-Cyrl-UZ"/>
        </w:rPr>
        <w:t xml:space="preserve">En relación con lo anterior, la SCJN determinó que en los casos que involucran la tutela de los derechos de personas desaparecidas, el derecho de asesoría de las víctimas no se agota en una dimensión técnica jurídica. Consideró que la asesoría consagrada normativamente a su favor debe entenderse en términos complejos o multidisciplinarios para poder garantizarles, en todo momento, una atención integral. </w:t>
      </w:r>
    </w:p>
    <w:p w14:paraId="641A5309" w14:textId="010E443A" w:rsidR="00E176BA" w:rsidRPr="002C055B" w:rsidRDefault="00E176BA" w:rsidP="00E176BA">
      <w:pPr>
        <w:pStyle w:val="ListParagraph"/>
        <w:numPr>
          <w:ilvl w:val="0"/>
          <w:numId w:val="1"/>
        </w:numPr>
        <w:snapToGrid w:val="0"/>
        <w:spacing w:before="100" w:afterLines="60" w:after="144" w:line="240" w:lineRule="auto"/>
        <w:ind w:left="0" w:firstLine="0"/>
        <w:rPr>
          <w:rFonts w:asciiTheme="majorBidi" w:hAnsiTheme="majorBidi" w:cstheme="majorBidi"/>
          <w:sz w:val="22"/>
        </w:rPr>
      </w:pPr>
      <w:r w:rsidRPr="00E176BA">
        <w:rPr>
          <w:rFonts w:asciiTheme="majorBidi" w:hAnsiTheme="majorBidi" w:cstheme="majorBidi"/>
          <w:sz w:val="22"/>
          <w:lang w:val="uz-Cyrl-UZ"/>
        </w:rPr>
        <w:t xml:space="preserve">Lo anterior incluye, por ejemplo, su atención física y psicológica, o bien, la prestación de un servicio con un conocimiento especializado. </w:t>
      </w:r>
      <w:r w:rsidRPr="00E176BA">
        <w:rPr>
          <w:rFonts w:asciiTheme="majorBidi" w:hAnsiTheme="majorBidi" w:cstheme="majorBidi"/>
          <w:sz w:val="22"/>
        </w:rPr>
        <w:t>De modo que t</w:t>
      </w:r>
      <w:r w:rsidRPr="00E176BA">
        <w:rPr>
          <w:rFonts w:asciiTheme="majorBidi" w:hAnsiTheme="majorBidi" w:cstheme="majorBidi"/>
          <w:sz w:val="22"/>
          <w:lang w:val="uz-Cyrl-UZ"/>
        </w:rPr>
        <w:t>ales características no se vinculan a un perfil personal y profesional determinado y único.</w:t>
      </w:r>
      <w:r w:rsidRPr="00E176BA">
        <w:rPr>
          <w:rFonts w:asciiTheme="majorBidi" w:hAnsiTheme="majorBidi" w:cstheme="majorBidi"/>
          <w:sz w:val="22"/>
        </w:rPr>
        <w:t xml:space="preserve"> </w:t>
      </w:r>
      <w:r w:rsidRPr="00E176BA">
        <w:rPr>
          <w:rFonts w:asciiTheme="majorBidi" w:hAnsiTheme="majorBidi" w:cstheme="majorBidi"/>
          <w:sz w:val="22"/>
          <w:lang w:val="uz-Cyrl-UZ"/>
        </w:rPr>
        <w:t>En ese sentido, la Sala concluyó que cuando una víctima requiera o considere necesario que alguien que no sea abogado le asesore y acompañe en ámbitos distintos al estrictamente jurídico, la autoridad judicial deberá reconocerles este carácter y permitirles acceder directamente a la información que obre en los expedientes respectivos, pues sólo así podrán cumplir de manera adecuada con la encomienda que se les ha conferido.</w:t>
      </w:r>
    </w:p>
    <w:p w14:paraId="1B5C1ED8" w14:textId="77777777" w:rsidR="002C055B" w:rsidRPr="00E176BA" w:rsidRDefault="002C055B" w:rsidP="002C055B">
      <w:pPr>
        <w:pStyle w:val="ListParagraph"/>
        <w:snapToGrid w:val="0"/>
        <w:spacing w:before="100" w:afterLines="60" w:after="144" w:line="240" w:lineRule="auto"/>
        <w:ind w:left="0" w:firstLine="0"/>
        <w:rPr>
          <w:rFonts w:asciiTheme="majorBidi" w:hAnsiTheme="majorBidi" w:cstheme="majorBidi"/>
          <w:sz w:val="22"/>
        </w:rPr>
      </w:pPr>
    </w:p>
    <w:p w14:paraId="17D2EEB7" w14:textId="4F674DED" w:rsidR="00E176BA" w:rsidRPr="002C055B" w:rsidRDefault="0017465A" w:rsidP="002C055B">
      <w:pPr>
        <w:pStyle w:val="ListParagraph"/>
        <w:numPr>
          <w:ilvl w:val="1"/>
          <w:numId w:val="3"/>
        </w:numPr>
        <w:snapToGrid w:val="0"/>
        <w:spacing w:before="100" w:afterLines="60" w:after="144" w:line="240" w:lineRule="auto"/>
        <w:ind w:left="1434" w:hanging="357"/>
        <w:contextualSpacing w:val="0"/>
        <w:outlineLvl w:val="1"/>
        <w:rPr>
          <w:rFonts w:asciiTheme="majorBidi" w:eastAsiaTheme="majorEastAsia" w:hAnsiTheme="majorBidi" w:cstheme="majorBidi"/>
          <w:b/>
          <w:bCs/>
          <w:smallCaps/>
          <w:sz w:val="22"/>
        </w:rPr>
      </w:pPr>
      <w:bookmarkStart w:id="4" w:name="_Toc89669096"/>
      <w:r>
        <w:rPr>
          <w:rFonts w:asciiTheme="majorBidi" w:hAnsiTheme="majorBidi" w:cstheme="majorBidi"/>
          <w:b/>
          <w:sz w:val="22"/>
        </w:rPr>
        <w:t>Dili</w:t>
      </w:r>
      <w:r w:rsidR="00202F85">
        <w:rPr>
          <w:rFonts w:asciiTheme="majorBidi" w:hAnsiTheme="majorBidi" w:cstheme="majorBidi"/>
          <w:b/>
          <w:sz w:val="22"/>
        </w:rPr>
        <w:t>g</w:t>
      </w:r>
      <w:r>
        <w:rPr>
          <w:rFonts w:asciiTheme="majorBidi" w:hAnsiTheme="majorBidi" w:cstheme="majorBidi"/>
          <w:b/>
          <w:sz w:val="22"/>
        </w:rPr>
        <w:t>encias del Instituto Federal de la Defensoría Pública</w:t>
      </w:r>
      <w:bookmarkEnd w:id="4"/>
    </w:p>
    <w:p w14:paraId="776217E0" w14:textId="2F026911" w:rsidR="0017465A" w:rsidRPr="0017465A" w:rsidRDefault="0017465A" w:rsidP="0017465A">
      <w:pPr>
        <w:pStyle w:val="ListParagraph"/>
        <w:numPr>
          <w:ilvl w:val="0"/>
          <w:numId w:val="1"/>
        </w:numPr>
        <w:snapToGrid w:val="0"/>
        <w:spacing w:afterLines="60" w:after="144"/>
        <w:ind w:left="0" w:firstLine="0"/>
        <w:rPr>
          <w:rFonts w:asciiTheme="majorBidi" w:hAnsiTheme="majorBidi" w:cstheme="majorBidi"/>
          <w:sz w:val="22"/>
        </w:rPr>
      </w:pPr>
      <w:r>
        <w:rPr>
          <w:rFonts w:asciiTheme="majorBidi" w:hAnsiTheme="majorBidi" w:cstheme="majorBidi"/>
          <w:sz w:val="22"/>
        </w:rPr>
        <w:t xml:space="preserve">Con respecto al principio 16 a) de Los Principios Básicos sobre la Función de los Abogados, relativo a que “(…) los gobiernos </w:t>
      </w:r>
      <w:r w:rsidRPr="0017465A">
        <w:rPr>
          <w:rFonts w:asciiTheme="majorBidi" w:hAnsiTheme="majorBidi" w:cstheme="majorBidi"/>
          <w:sz w:val="22"/>
        </w:rPr>
        <w:t xml:space="preserve">garantizarán que los abogados a) puedan desempeñar todas sus funciones profesionales sin intimidaciones, obstáculos, acosos o interferencias indebidas </w:t>
      </w:r>
      <w:r>
        <w:rPr>
          <w:rFonts w:asciiTheme="majorBidi" w:hAnsiTheme="majorBidi" w:cstheme="majorBidi"/>
          <w:sz w:val="22"/>
          <w:lang w:val="es-ES_tradnl"/>
        </w:rPr>
        <w:t xml:space="preserve">(…)”, </w:t>
      </w:r>
      <w:r w:rsidRPr="0017465A">
        <w:rPr>
          <w:rFonts w:asciiTheme="majorBidi" w:hAnsiTheme="majorBidi" w:cstheme="majorBidi"/>
          <w:sz w:val="22"/>
        </w:rPr>
        <w:t xml:space="preserve">en la Ley de la Defensoría Pública (Ley) se establece, entre otras, que el servicio de asesoría jurídica se retirará cuando el usuario o sus dependientes económicos cometan actos de violencia, amenazas o injurias en contra del personal del IFDP, que serán causas de responsabilidad de los servidores públicos del IFDP no poner en conocimiento del Director y del CJF cualquier acto tendente a vulnerar la independencia o autonomía de sus funciones; que las unidades administrativas tendrán como atribución vigilar que se respete la independencia técnica y operativa, tanto de la o el defensor público como de la o el asesor jurídico; y, que para las entrevistas con las personas defendidas se deberá garantizar un lugar privado para que la defensa penal pueda llevarse a cabo en condiciones seguras </w:t>
      </w:r>
    </w:p>
    <w:p w14:paraId="00070478" w14:textId="426154F4" w:rsidR="00E176BA" w:rsidRDefault="0017465A" w:rsidP="0017465A">
      <w:pPr>
        <w:pStyle w:val="ListParagraph"/>
        <w:numPr>
          <w:ilvl w:val="0"/>
          <w:numId w:val="1"/>
        </w:numPr>
        <w:snapToGrid w:val="0"/>
        <w:spacing w:afterLines="60" w:after="144"/>
        <w:ind w:left="0" w:firstLine="0"/>
        <w:rPr>
          <w:rFonts w:asciiTheme="majorBidi" w:hAnsiTheme="majorBidi" w:cstheme="majorBidi"/>
          <w:sz w:val="22"/>
        </w:rPr>
      </w:pPr>
      <w:r>
        <w:rPr>
          <w:rFonts w:asciiTheme="majorBidi" w:hAnsiTheme="majorBidi" w:cstheme="majorBidi"/>
          <w:sz w:val="22"/>
          <w:lang w:val="es-ES_tradnl"/>
        </w:rPr>
        <w:t xml:space="preserve">Por lo que hace a la garantía de que “(…) </w:t>
      </w:r>
      <w:r w:rsidRPr="0017465A">
        <w:rPr>
          <w:rFonts w:asciiTheme="majorBidi" w:hAnsiTheme="majorBidi" w:cstheme="majorBidi"/>
          <w:sz w:val="22"/>
        </w:rPr>
        <w:t>puedan viajar y comunicarse libremente con sus clientes tanto dentro de su país como en el exterior</w:t>
      </w:r>
      <w:r>
        <w:rPr>
          <w:rFonts w:asciiTheme="majorBidi" w:hAnsiTheme="majorBidi" w:cstheme="majorBidi"/>
          <w:sz w:val="22"/>
          <w:lang w:val="es-ES_tradnl"/>
        </w:rPr>
        <w:t xml:space="preserve"> (…)”, </w:t>
      </w:r>
      <w:r w:rsidRPr="0017465A">
        <w:rPr>
          <w:rFonts w:asciiTheme="majorBidi" w:hAnsiTheme="majorBidi" w:cstheme="majorBidi"/>
          <w:sz w:val="22"/>
        </w:rPr>
        <w:t>en el artículo 47 de las Bases Generales de Organización y Funcionamiento del propio Instituto</w:t>
      </w:r>
      <w:r w:rsidR="00233A21">
        <w:rPr>
          <w:rStyle w:val="FootnoteReference"/>
          <w:rFonts w:asciiTheme="majorBidi" w:hAnsiTheme="majorBidi" w:cstheme="majorBidi"/>
          <w:sz w:val="22"/>
        </w:rPr>
        <w:footnoteReference w:id="4"/>
      </w:r>
      <w:r w:rsidRPr="0017465A">
        <w:rPr>
          <w:rFonts w:asciiTheme="majorBidi" w:hAnsiTheme="majorBidi" w:cstheme="majorBidi"/>
          <w:sz w:val="22"/>
        </w:rPr>
        <w:t xml:space="preserve"> (Bases) se prevén los tipos de visita que debe realizar la o el defensor público, en los centros de reclusión, ya sea de manera presencial o a distancia. En el último caso podrá realizarlas a través de llamadas telefónicas o de videoconferencias. Lo anterior impacta en la evaluación, ya que se califica y evalúa que la o el defensor público cumpla con dicho precepto.</w:t>
      </w:r>
    </w:p>
    <w:p w14:paraId="232936C7" w14:textId="1D33C8F4" w:rsidR="00233A21" w:rsidRPr="00233A21" w:rsidRDefault="00233A21" w:rsidP="00233A21">
      <w:pPr>
        <w:pStyle w:val="ListParagraph"/>
        <w:numPr>
          <w:ilvl w:val="0"/>
          <w:numId w:val="1"/>
        </w:numPr>
        <w:snapToGrid w:val="0"/>
        <w:spacing w:afterLines="60" w:after="144"/>
        <w:ind w:left="0" w:firstLine="0"/>
        <w:rPr>
          <w:rFonts w:asciiTheme="majorBidi" w:hAnsiTheme="majorBidi" w:cstheme="majorBidi"/>
          <w:sz w:val="22"/>
        </w:rPr>
      </w:pPr>
      <w:r>
        <w:rPr>
          <w:rFonts w:asciiTheme="majorBidi" w:hAnsiTheme="majorBidi" w:cstheme="majorBidi"/>
          <w:sz w:val="22"/>
          <w:lang w:val="es-ES_tradnl"/>
        </w:rPr>
        <w:t xml:space="preserve">En cuanto a la garantía relativa a que “(…) </w:t>
      </w:r>
      <w:r w:rsidRPr="00233A21">
        <w:rPr>
          <w:rFonts w:asciiTheme="majorBidi" w:hAnsiTheme="majorBidi" w:cstheme="majorBidi"/>
          <w:i/>
          <w:iCs/>
          <w:sz w:val="22"/>
          <w:lang w:val="es-ES_tradnl"/>
        </w:rPr>
        <w:t xml:space="preserve">c) </w:t>
      </w:r>
      <w:r w:rsidRPr="00233A21">
        <w:rPr>
          <w:rFonts w:asciiTheme="majorBidi" w:hAnsiTheme="majorBidi" w:cstheme="majorBidi"/>
          <w:i/>
          <w:iCs/>
          <w:sz w:val="22"/>
        </w:rPr>
        <w:t>no sufran ni estén expuestos a persecuciones o sanciones administrativas, económicas o de otra índole a raíz de cualquier medida que hayan adoptado de conformidad con las obligaciones, reglas y normas éticas que se reconocen a su profesión</w:t>
      </w:r>
      <w:r w:rsidRPr="00233A21">
        <w:rPr>
          <w:rFonts w:asciiTheme="majorBidi" w:hAnsiTheme="majorBidi" w:cstheme="majorBidi"/>
          <w:sz w:val="22"/>
        </w:rPr>
        <w:t xml:space="preserve"> </w:t>
      </w:r>
      <w:r>
        <w:rPr>
          <w:rFonts w:asciiTheme="majorBidi" w:hAnsiTheme="majorBidi" w:cstheme="majorBidi"/>
          <w:sz w:val="22"/>
          <w:lang w:val="es-ES_tradnl"/>
        </w:rPr>
        <w:t xml:space="preserve">(…)”, </w:t>
      </w:r>
      <w:r w:rsidRPr="00233A21">
        <w:rPr>
          <w:rFonts w:asciiTheme="majorBidi" w:hAnsiTheme="majorBidi" w:cstheme="majorBidi"/>
          <w:sz w:val="22"/>
        </w:rPr>
        <w:t>en el artículo 99 de las Bases se establece que se podrá acordar el cambio de sede de una o un defensor o asesor cuando existan problemas graves en su adscripción. Asimismo, en el numeral 89 del mismo ordenamiento se prevé que, cuando se advierta de oficio irregularidad o falta grave en el desempeño de la función, por parte del personal evaluado, que se encuentre dentro de los supuestos establecidos para determinar alguna responsabilidad administrativa, se turnará el caso al Consejo de la Judicatura Federal</w:t>
      </w:r>
      <w:r>
        <w:rPr>
          <w:rFonts w:asciiTheme="majorBidi" w:hAnsiTheme="majorBidi" w:cstheme="majorBidi"/>
          <w:sz w:val="22"/>
          <w:lang w:val="es-ES_tradnl"/>
        </w:rPr>
        <w:t>.</w:t>
      </w:r>
    </w:p>
    <w:p w14:paraId="6831FA71" w14:textId="0953AAA9" w:rsidR="00233A21" w:rsidRPr="00770D3A" w:rsidRDefault="00233A21" w:rsidP="00233A21">
      <w:pPr>
        <w:pStyle w:val="ListParagraph"/>
        <w:numPr>
          <w:ilvl w:val="0"/>
          <w:numId w:val="1"/>
        </w:numPr>
        <w:snapToGrid w:val="0"/>
        <w:spacing w:afterLines="60" w:after="144"/>
        <w:ind w:left="0" w:firstLine="0"/>
        <w:rPr>
          <w:rFonts w:asciiTheme="majorBidi" w:hAnsiTheme="majorBidi" w:cstheme="majorBidi"/>
          <w:sz w:val="22"/>
        </w:rPr>
      </w:pPr>
      <w:r>
        <w:rPr>
          <w:rFonts w:asciiTheme="majorBidi" w:hAnsiTheme="majorBidi" w:cstheme="majorBidi"/>
          <w:sz w:val="22"/>
          <w:lang w:val="es-ES_tradnl"/>
        </w:rPr>
        <w:t>Por cuanto hace al principio 17, se informa que a</w:t>
      </w:r>
      <w:r w:rsidRPr="00233A21">
        <w:rPr>
          <w:rFonts w:asciiTheme="majorBidi" w:hAnsiTheme="majorBidi" w:cstheme="majorBidi"/>
          <w:sz w:val="22"/>
        </w:rPr>
        <w:t xml:space="preserve"> partir de 2019, y con la finalidad de asegurar y garantizar la integridad de las y los defensores públicos y asesores jurídicos federales, que con motivo de su función pudieran encontrarse en una situación de riesgo en lo personal y familiar, se implementó un acompañamiento para que desde la Dirección General del IFDP se avise a las autoridades del Consejo de la Judicatura Federal de las posibles situaciones de riesgo y las áreas administrativas competentes (Secretaría Ejecutiva de Vigilancia y la Comisión de Vigilancia) a fin de que activen, en el ámbito de sus atribuciones, los protocolos de seguridad correspondientes</w:t>
      </w:r>
      <w:r w:rsidR="00770D3A">
        <w:rPr>
          <w:rFonts w:asciiTheme="majorBidi" w:hAnsiTheme="majorBidi" w:cstheme="majorBidi"/>
          <w:sz w:val="22"/>
          <w:lang w:val="es-ES_tradnl"/>
        </w:rPr>
        <w:t>.</w:t>
      </w:r>
    </w:p>
    <w:p w14:paraId="584B4097" w14:textId="77777777" w:rsidR="00770D3A" w:rsidRPr="00770D3A" w:rsidRDefault="00770D3A" w:rsidP="00770D3A">
      <w:pPr>
        <w:pStyle w:val="ListParagraph"/>
        <w:numPr>
          <w:ilvl w:val="0"/>
          <w:numId w:val="1"/>
        </w:numPr>
        <w:snapToGrid w:val="0"/>
        <w:spacing w:afterLines="60" w:after="144"/>
        <w:ind w:left="0" w:firstLine="0"/>
        <w:rPr>
          <w:rFonts w:asciiTheme="majorBidi" w:hAnsiTheme="majorBidi" w:cstheme="majorBidi"/>
          <w:sz w:val="22"/>
        </w:rPr>
      </w:pPr>
      <w:r>
        <w:rPr>
          <w:rFonts w:asciiTheme="majorBidi" w:hAnsiTheme="majorBidi" w:cstheme="majorBidi"/>
          <w:sz w:val="22"/>
          <w:lang w:val="es-ES_tradnl"/>
        </w:rPr>
        <w:t xml:space="preserve">En cuanto al principio 19, </w:t>
      </w:r>
      <w:r w:rsidRPr="00770D3A">
        <w:rPr>
          <w:rFonts w:asciiTheme="majorBidi" w:hAnsiTheme="majorBidi" w:cstheme="majorBidi"/>
          <w:sz w:val="22"/>
        </w:rPr>
        <w:t>en el artículo 6, fracción II, de la Ley, se establece que los defensores públicos y asesores jurídicos están obligados a representar y ejerc</w:t>
      </w:r>
      <w:r>
        <w:rPr>
          <w:rFonts w:asciiTheme="majorBidi" w:hAnsiTheme="majorBidi" w:cstheme="majorBidi"/>
          <w:sz w:val="22"/>
          <w:lang w:val="es-ES_tradnl"/>
        </w:rPr>
        <w:t xml:space="preserve">er </w:t>
      </w:r>
      <w:r w:rsidRPr="00770D3A">
        <w:rPr>
          <w:rFonts w:asciiTheme="majorBidi" w:hAnsiTheme="majorBidi" w:cstheme="majorBidi"/>
          <w:sz w:val="22"/>
        </w:rPr>
        <w:t xml:space="preserve">ante las autoridades competentes los intereses y los derechos jurídicos de los defendidos o asistidos. Por otra parte, el diverso 24 de la Ley prevé que, el Instituto Federal de Defensoría Pública designará por cada Unidad Investigadora del Ministerio Público de la Federación, Tribunal de Circuito y por cada Juzgado Federal que conozca de materia penal, cuando menos a un defensor público. </w:t>
      </w:r>
    </w:p>
    <w:p w14:paraId="59F9BC7E" w14:textId="0A5B98B7" w:rsidR="00770D3A" w:rsidRPr="00770D3A" w:rsidRDefault="00770D3A" w:rsidP="00770D3A">
      <w:pPr>
        <w:pStyle w:val="ListParagraph"/>
        <w:numPr>
          <w:ilvl w:val="0"/>
          <w:numId w:val="1"/>
        </w:numPr>
        <w:snapToGrid w:val="0"/>
        <w:spacing w:afterLines="60" w:after="144"/>
        <w:ind w:left="0" w:firstLine="0"/>
        <w:rPr>
          <w:rFonts w:asciiTheme="majorBidi" w:hAnsiTheme="majorBidi" w:cstheme="majorBidi"/>
          <w:sz w:val="22"/>
        </w:rPr>
      </w:pPr>
      <w:r w:rsidRPr="00770D3A">
        <w:rPr>
          <w:rFonts w:asciiTheme="majorBidi" w:hAnsiTheme="majorBidi" w:cstheme="majorBidi"/>
          <w:sz w:val="22"/>
        </w:rPr>
        <w:t xml:space="preserve">En ese sentido, se </w:t>
      </w:r>
      <w:r>
        <w:rPr>
          <w:rFonts w:asciiTheme="majorBidi" w:hAnsiTheme="majorBidi" w:cstheme="majorBidi"/>
          <w:sz w:val="22"/>
          <w:lang w:val="es-ES_tradnl"/>
        </w:rPr>
        <w:t xml:space="preserve">informa que el </w:t>
      </w:r>
      <w:r w:rsidRPr="00770D3A">
        <w:rPr>
          <w:rFonts w:asciiTheme="majorBidi" w:hAnsiTheme="majorBidi" w:cstheme="majorBidi"/>
          <w:sz w:val="22"/>
        </w:rPr>
        <w:t>I</w:t>
      </w:r>
      <w:r>
        <w:rPr>
          <w:rFonts w:asciiTheme="majorBidi" w:hAnsiTheme="majorBidi" w:cstheme="majorBidi"/>
          <w:sz w:val="22"/>
          <w:lang w:val="es-ES_tradnl"/>
        </w:rPr>
        <w:t>FDP</w:t>
      </w:r>
      <w:r w:rsidRPr="00770D3A">
        <w:rPr>
          <w:rFonts w:asciiTheme="majorBidi" w:hAnsiTheme="majorBidi" w:cstheme="majorBidi"/>
          <w:sz w:val="22"/>
        </w:rPr>
        <w:t xml:space="preserve"> cuenta con defensores públicos adscritos en cada Centro de Justicia Penal Federal y en las diversas sedes que albergan juzgados y Tribunales Unitarios y Colegiados de Circuito en materia penal, a fin de garantizar el derecho a una defensa adecuada de las personas usuarias, quienes pueden designar en todo momento a un defensor o defensora federal, o bien, el órgano jurisdiccional debe designarlo en ausencia de un defensor particular. </w:t>
      </w:r>
    </w:p>
    <w:p w14:paraId="2B04F6A6" w14:textId="766232E6" w:rsidR="00233A21" w:rsidRPr="00770D3A" w:rsidRDefault="00770D3A" w:rsidP="00770D3A">
      <w:pPr>
        <w:pStyle w:val="ListParagraph"/>
        <w:numPr>
          <w:ilvl w:val="0"/>
          <w:numId w:val="1"/>
        </w:numPr>
        <w:snapToGrid w:val="0"/>
        <w:spacing w:afterLines="60" w:after="144"/>
        <w:ind w:left="0" w:firstLine="0"/>
        <w:rPr>
          <w:rFonts w:asciiTheme="majorBidi" w:hAnsiTheme="majorBidi" w:cstheme="majorBidi"/>
          <w:sz w:val="22"/>
        </w:rPr>
      </w:pPr>
      <w:r>
        <w:rPr>
          <w:rFonts w:asciiTheme="majorBidi" w:hAnsiTheme="majorBidi" w:cstheme="majorBidi"/>
          <w:sz w:val="22"/>
          <w:lang w:val="es-ES_tradnl"/>
        </w:rPr>
        <w:t>Por lo que hace al principio 21, se informa que e</w:t>
      </w:r>
      <w:r w:rsidRPr="00770D3A">
        <w:rPr>
          <w:rFonts w:asciiTheme="majorBidi" w:hAnsiTheme="majorBidi" w:cstheme="majorBidi"/>
          <w:sz w:val="22"/>
        </w:rPr>
        <w:t xml:space="preserve">n la Ley y en las Bases no existen disposiciones al respecto, sin embargo, ha sido política del IFDP que los oficiales jurídicos, asignados en apoyo a los Defensores Públicos Federales les auxilien en la realización de actos de investigación diversos, tendentes a obtener la información que obre en archivos de poder de las autoridades para que puedan prestar adecuadamente el servicio de defensa y facilitar el acceso a los mismos, de manera oportuna </w:t>
      </w:r>
    </w:p>
    <w:p w14:paraId="16A86C3F" w14:textId="5B7EEF7A" w:rsidR="00E176BA" w:rsidRPr="00B91C05" w:rsidRDefault="00770D3A" w:rsidP="00B91C05">
      <w:pPr>
        <w:pStyle w:val="ListParagraph"/>
        <w:numPr>
          <w:ilvl w:val="0"/>
          <w:numId w:val="1"/>
        </w:numPr>
        <w:snapToGrid w:val="0"/>
        <w:spacing w:afterLines="60" w:after="144"/>
        <w:ind w:left="0" w:firstLine="0"/>
        <w:rPr>
          <w:rFonts w:asciiTheme="majorBidi" w:hAnsiTheme="majorBidi" w:cstheme="majorBidi"/>
          <w:sz w:val="22"/>
        </w:rPr>
      </w:pPr>
      <w:r>
        <w:rPr>
          <w:rFonts w:asciiTheme="majorBidi" w:hAnsiTheme="majorBidi" w:cstheme="majorBidi"/>
          <w:sz w:val="22"/>
        </w:rPr>
        <w:t xml:space="preserve">Finalmente, en relación con el principio 22, </w:t>
      </w:r>
      <w:r w:rsidRPr="00770D3A">
        <w:rPr>
          <w:rFonts w:asciiTheme="majorBidi" w:hAnsiTheme="majorBidi" w:cstheme="majorBidi"/>
          <w:sz w:val="22"/>
        </w:rPr>
        <w:t>Se hace de su conocimiento que las Bases, en su artículo 66, contemplan los documentos que integran los expedientes de control para el servicio de defensa penal, y que las y los defensores públicos deben elaborar, así como agregar de manera digital al expediente de control en orden cronológico</w:t>
      </w:r>
      <w:r w:rsidR="00B91C05">
        <w:rPr>
          <w:rFonts w:asciiTheme="majorBidi" w:hAnsiTheme="majorBidi" w:cstheme="majorBidi"/>
          <w:sz w:val="22"/>
          <w:lang w:val="es-ES_tradnl"/>
        </w:rPr>
        <w:t>.</w:t>
      </w:r>
    </w:p>
    <w:p w14:paraId="3EC0B1DC" w14:textId="2590E015" w:rsidR="00E176BA" w:rsidRPr="00247701" w:rsidRDefault="00247701" w:rsidP="00247701">
      <w:pPr>
        <w:pStyle w:val="ListParagraph"/>
        <w:numPr>
          <w:ilvl w:val="0"/>
          <w:numId w:val="3"/>
        </w:numPr>
        <w:snapToGrid w:val="0"/>
        <w:spacing w:before="100" w:afterLines="60" w:after="144" w:line="240" w:lineRule="auto"/>
        <w:contextualSpacing w:val="0"/>
        <w:outlineLvl w:val="0"/>
        <w:rPr>
          <w:rFonts w:eastAsiaTheme="majorEastAsia"/>
          <w:b/>
          <w:bCs/>
          <w:smallCaps/>
          <w:szCs w:val="24"/>
        </w:rPr>
      </w:pPr>
      <w:bookmarkStart w:id="5" w:name="_Toc89669097"/>
      <w:r>
        <w:rPr>
          <w:rFonts w:eastAsiaTheme="majorEastAsia"/>
          <w:b/>
          <w:bCs/>
          <w:smallCaps/>
          <w:szCs w:val="24"/>
        </w:rPr>
        <w:t>Sírvase describir las entidades y/o mecanismos que existen en su país para prevenir y/o sancionar las injerencias en el ejericio libre e independiente de la profesión de abogacía, cualquiera que sea la fuente de injerencia</w:t>
      </w:r>
      <w:bookmarkEnd w:id="5"/>
    </w:p>
    <w:p w14:paraId="08B98BBB" w14:textId="54A7789D" w:rsidR="00247701" w:rsidRPr="00247701" w:rsidRDefault="00E176BA" w:rsidP="00247701">
      <w:pPr>
        <w:pStyle w:val="ListParagraph"/>
        <w:numPr>
          <w:ilvl w:val="0"/>
          <w:numId w:val="1"/>
        </w:numPr>
        <w:snapToGrid w:val="0"/>
        <w:spacing w:before="100" w:afterLines="60" w:after="144" w:line="240" w:lineRule="auto"/>
        <w:ind w:left="0" w:firstLine="0"/>
        <w:rPr>
          <w:rFonts w:asciiTheme="majorBidi" w:hAnsiTheme="majorBidi" w:cstheme="majorBidi"/>
          <w:sz w:val="22"/>
        </w:rPr>
      </w:pPr>
      <w:r>
        <w:rPr>
          <w:rFonts w:asciiTheme="majorBidi" w:hAnsiTheme="majorBidi" w:cstheme="majorBidi"/>
          <w:sz w:val="22"/>
        </w:rPr>
        <w:t>Dhn</w:t>
      </w:r>
      <w:r w:rsidR="00247701" w:rsidRPr="00247701">
        <w:rPr>
          <w:rFonts w:ascii="Arial" w:eastAsia="Calibri" w:hAnsi="Arial" w:cs="Arial"/>
          <w:szCs w:val="24"/>
        </w:rPr>
        <w:t xml:space="preserve"> </w:t>
      </w:r>
      <w:r w:rsidR="00247701" w:rsidRPr="00247701">
        <w:rPr>
          <w:rFonts w:asciiTheme="majorBidi" w:hAnsiTheme="majorBidi" w:cstheme="majorBidi"/>
          <w:sz w:val="22"/>
        </w:rPr>
        <w:t xml:space="preserve">En la </w:t>
      </w:r>
      <w:r w:rsidR="00247701" w:rsidRPr="00247701">
        <w:rPr>
          <w:rFonts w:asciiTheme="majorBidi" w:hAnsiTheme="majorBidi" w:cstheme="majorBidi"/>
          <w:i/>
          <w:iCs/>
          <w:sz w:val="22"/>
        </w:rPr>
        <w:t>acción de inconstitucionalidad 84/2015</w:t>
      </w:r>
      <w:r w:rsidR="00247701" w:rsidRPr="00247701">
        <w:rPr>
          <w:rFonts w:asciiTheme="majorBidi" w:hAnsiTheme="majorBidi" w:cstheme="majorBidi"/>
          <w:sz w:val="22"/>
          <w:vertAlign w:val="superscript"/>
        </w:rPr>
        <w:footnoteReference w:id="5"/>
      </w:r>
      <w:r w:rsidR="00247701" w:rsidRPr="00247701">
        <w:rPr>
          <w:rFonts w:asciiTheme="majorBidi" w:hAnsiTheme="majorBidi" w:cstheme="majorBidi"/>
          <w:sz w:val="22"/>
        </w:rPr>
        <w:t xml:space="preserve"> se analizó la permanencia de personas defensoras de derechos humanos y periodistas en el mecanismo de protección previsto en ley.</w:t>
      </w:r>
      <w:r w:rsidR="00247701" w:rsidRPr="00247701">
        <w:rPr>
          <w:rFonts w:asciiTheme="majorBidi" w:hAnsiTheme="majorBidi" w:cstheme="majorBidi"/>
          <w:sz w:val="22"/>
          <w:vertAlign w:val="superscript"/>
        </w:rPr>
        <w:footnoteReference w:id="6"/>
      </w:r>
      <w:r w:rsidR="00247701" w:rsidRPr="00247701">
        <w:rPr>
          <w:rFonts w:asciiTheme="majorBidi" w:hAnsiTheme="majorBidi" w:cstheme="majorBidi"/>
          <w:sz w:val="22"/>
        </w:rPr>
        <w:t xml:space="preserve"> Tal asunto es relevante puesto que la defensa de derechos humanos, en algunos casos, es realizada por personas abogadas. Ello suele ocurrir cuando tal actividad implica la representación legal en algún tipo de procedimiento judicial. </w:t>
      </w:r>
    </w:p>
    <w:p w14:paraId="513238C9" w14:textId="77777777" w:rsidR="00247701" w:rsidRPr="00247701" w:rsidRDefault="00247701" w:rsidP="00247701">
      <w:pPr>
        <w:pStyle w:val="ListParagraph"/>
        <w:numPr>
          <w:ilvl w:val="0"/>
          <w:numId w:val="1"/>
        </w:numPr>
        <w:snapToGrid w:val="0"/>
        <w:spacing w:before="100" w:afterLines="60" w:after="144" w:line="240" w:lineRule="auto"/>
        <w:ind w:left="0" w:firstLine="0"/>
        <w:rPr>
          <w:rFonts w:asciiTheme="majorBidi" w:hAnsiTheme="majorBidi" w:cstheme="majorBidi"/>
          <w:sz w:val="22"/>
        </w:rPr>
      </w:pPr>
      <w:r w:rsidRPr="00247701">
        <w:rPr>
          <w:rFonts w:asciiTheme="majorBidi" w:hAnsiTheme="majorBidi" w:cstheme="majorBidi"/>
          <w:sz w:val="22"/>
        </w:rPr>
        <w:t>En su análisis, el Pleno señaló que el ejercicio de la promoción y defensa de los derechos humanos es una actividad de interés público y, en consecuencia, se deben garantizar los derechos de las personas defensoras de derechos humanos y sus familiares para poder continuar ejerciendo su actividad.</w:t>
      </w:r>
    </w:p>
    <w:p w14:paraId="0EB9452C" w14:textId="3B3C1839" w:rsidR="00247701" w:rsidRDefault="00247701" w:rsidP="00247701">
      <w:pPr>
        <w:pStyle w:val="ListParagraph"/>
        <w:numPr>
          <w:ilvl w:val="0"/>
          <w:numId w:val="1"/>
        </w:numPr>
        <w:snapToGrid w:val="0"/>
        <w:spacing w:before="100" w:afterLines="60" w:after="144" w:line="240" w:lineRule="auto"/>
        <w:ind w:left="0" w:firstLine="0"/>
        <w:rPr>
          <w:rFonts w:asciiTheme="majorBidi" w:hAnsiTheme="majorBidi" w:cstheme="majorBidi"/>
          <w:sz w:val="22"/>
        </w:rPr>
      </w:pPr>
      <w:r w:rsidRPr="00247701">
        <w:rPr>
          <w:rFonts w:asciiTheme="majorBidi" w:hAnsiTheme="majorBidi" w:cstheme="majorBidi"/>
          <w:sz w:val="22"/>
        </w:rPr>
        <w:t>Con base en ello, se consideró que el hecho de que no se exijan mayores requisitos para separarse de tal mecanismo en cualquier momento</w:t>
      </w:r>
      <w:r w:rsidRPr="00247701" w:rsidDel="0071164B">
        <w:rPr>
          <w:rFonts w:asciiTheme="majorBidi" w:hAnsiTheme="majorBidi" w:cstheme="majorBidi"/>
          <w:sz w:val="22"/>
        </w:rPr>
        <w:t xml:space="preserve"> </w:t>
      </w:r>
      <w:r w:rsidRPr="00247701">
        <w:rPr>
          <w:rFonts w:asciiTheme="majorBidi" w:hAnsiTheme="majorBidi" w:cstheme="majorBidi"/>
          <w:sz w:val="22"/>
        </w:rPr>
        <w:t>no es contrario a la seguridad personal y jurídica. Ello se debe a que la finalidad de la norma es dotar de protección, pero no se puede obligar a la persona a seguir en tal esquema si no es su voluntad. Además, tampoco existe obligación de investigar las razones por las cuales el solicitante decidió dejar la protección, dado que su naturaleza no es la de un ente investigador ni persecutor que deba indagar las razones para no continuar con la medida de protección solicitada, ni éstos se encuentran obligados a justificar sus determinaciones.</w:t>
      </w:r>
    </w:p>
    <w:p w14:paraId="0B7A1941" w14:textId="77777777" w:rsidR="00247701" w:rsidRPr="00247701" w:rsidRDefault="00247701" w:rsidP="00247701">
      <w:pPr>
        <w:pStyle w:val="ListParagraph"/>
        <w:snapToGrid w:val="0"/>
        <w:spacing w:before="100" w:afterLines="60" w:after="144" w:line="240" w:lineRule="auto"/>
        <w:ind w:left="0" w:firstLine="0"/>
        <w:rPr>
          <w:rFonts w:asciiTheme="majorBidi" w:hAnsiTheme="majorBidi" w:cstheme="majorBidi"/>
          <w:sz w:val="22"/>
        </w:rPr>
      </w:pPr>
    </w:p>
    <w:p w14:paraId="159FCB63" w14:textId="420D3FE5" w:rsidR="00247701" w:rsidRPr="00247701" w:rsidRDefault="00ED3B99" w:rsidP="00247701">
      <w:pPr>
        <w:pStyle w:val="ListParagraph"/>
        <w:numPr>
          <w:ilvl w:val="0"/>
          <w:numId w:val="3"/>
        </w:numPr>
        <w:snapToGrid w:val="0"/>
        <w:spacing w:before="100" w:afterLines="60" w:after="144" w:line="240" w:lineRule="auto"/>
        <w:contextualSpacing w:val="0"/>
        <w:outlineLvl w:val="0"/>
        <w:rPr>
          <w:rFonts w:eastAsiaTheme="majorEastAsia"/>
          <w:b/>
          <w:bCs/>
          <w:smallCaps/>
          <w:szCs w:val="24"/>
        </w:rPr>
      </w:pPr>
      <w:bookmarkStart w:id="6" w:name="_Toc89669098"/>
      <w:r>
        <w:rPr>
          <w:rFonts w:eastAsiaTheme="majorEastAsia"/>
          <w:b/>
          <w:bCs/>
          <w:smallCaps/>
          <w:szCs w:val="24"/>
        </w:rPr>
        <w:t>D</w:t>
      </w:r>
      <w:r w:rsidR="00247701">
        <w:rPr>
          <w:rFonts w:eastAsiaTheme="majorEastAsia"/>
          <w:b/>
          <w:bCs/>
          <w:smallCaps/>
          <w:szCs w:val="24"/>
        </w:rPr>
        <w:t>escriba el papel de los colegios de abogados nacionales en la protección de abogados y abogadas y el libre ejercicio de la profesión jurídica ¿es el colegio de abogados de iure o de facto independiente del Estado?</w:t>
      </w:r>
      <w:bookmarkEnd w:id="6"/>
    </w:p>
    <w:p w14:paraId="0F4031FE" w14:textId="47E18EDE" w:rsidR="00ED3B99" w:rsidRPr="00ED3B99" w:rsidRDefault="00ED3B99" w:rsidP="00ED3B99">
      <w:pPr>
        <w:pStyle w:val="ListParagraph"/>
        <w:numPr>
          <w:ilvl w:val="0"/>
          <w:numId w:val="1"/>
        </w:numPr>
        <w:snapToGrid w:val="0"/>
        <w:spacing w:before="100" w:afterLines="60" w:after="144" w:line="240" w:lineRule="auto"/>
        <w:ind w:left="0" w:firstLine="0"/>
        <w:rPr>
          <w:rFonts w:asciiTheme="majorBidi" w:hAnsiTheme="majorBidi" w:cstheme="majorBidi"/>
          <w:sz w:val="22"/>
        </w:rPr>
      </w:pPr>
      <w:r w:rsidRPr="00ED3B99">
        <w:rPr>
          <w:rFonts w:asciiTheme="majorBidi" w:hAnsiTheme="majorBidi" w:cstheme="majorBidi"/>
          <w:sz w:val="22"/>
        </w:rPr>
        <w:t xml:space="preserve">En el </w:t>
      </w:r>
      <w:r w:rsidRPr="00ED3B99">
        <w:rPr>
          <w:rFonts w:asciiTheme="majorBidi" w:hAnsiTheme="majorBidi" w:cstheme="majorBidi"/>
          <w:i/>
          <w:iCs/>
          <w:sz w:val="22"/>
        </w:rPr>
        <w:t>amparo en revisión 265/2020</w:t>
      </w:r>
      <w:r w:rsidRPr="00ED3B99">
        <w:rPr>
          <w:rFonts w:asciiTheme="majorBidi" w:hAnsiTheme="majorBidi" w:cstheme="majorBidi"/>
          <w:sz w:val="22"/>
          <w:vertAlign w:val="superscript"/>
        </w:rPr>
        <w:footnoteReference w:id="7"/>
      </w:r>
      <w:r w:rsidRPr="00ED3B99">
        <w:rPr>
          <w:rFonts w:asciiTheme="majorBidi" w:hAnsiTheme="majorBidi" w:cstheme="majorBidi"/>
          <w:sz w:val="22"/>
        </w:rPr>
        <w:t xml:space="preserve"> la Barra Mexicana de Abogados impugnó la omisión legislativa de emitir legislación única en materia procesal civil y familiar, al considerar que, de ser emitidas, estas normas vendrían a mejorar el acceso a la justicia y la seguridad jurídica. Así, se alegó que la omisión en su expedición y la falta de adecuación de otras leyes generales y federales conllevaba una afectación a su objeto social y, consiguientemente, a sus derechos humanos.</w:t>
      </w:r>
    </w:p>
    <w:p w14:paraId="2CCAA86E" w14:textId="77777777" w:rsidR="00ED3B99" w:rsidRPr="00ED3B99" w:rsidRDefault="00ED3B99" w:rsidP="00ED3B99">
      <w:pPr>
        <w:pStyle w:val="ListParagraph"/>
        <w:numPr>
          <w:ilvl w:val="0"/>
          <w:numId w:val="1"/>
        </w:numPr>
        <w:snapToGrid w:val="0"/>
        <w:spacing w:before="100" w:afterLines="60" w:after="144" w:line="240" w:lineRule="auto"/>
        <w:ind w:left="0" w:firstLine="0"/>
        <w:rPr>
          <w:rFonts w:asciiTheme="majorBidi" w:hAnsiTheme="majorBidi" w:cstheme="majorBidi"/>
          <w:sz w:val="22"/>
        </w:rPr>
      </w:pPr>
      <w:r w:rsidRPr="00ED3B99">
        <w:rPr>
          <w:rFonts w:asciiTheme="majorBidi" w:hAnsiTheme="majorBidi" w:cstheme="majorBidi"/>
          <w:sz w:val="22"/>
        </w:rPr>
        <w:t>Uno de los puntos que abordó en su estudio la SCJN fue el del acceso a la justicia y su relación con determinadas personas. Enfatizó que, si bien el Estado es el primer obligado a garantizar el acceso a la justicia, no puede pasarse por alto que hay otros sujetos que también integran la profesión legal y que son esenciales para el funcionamiento del sistema jurídico, por ejemplo, los colegios de abogados.</w:t>
      </w:r>
    </w:p>
    <w:p w14:paraId="75AC3E8D" w14:textId="77777777" w:rsidR="00ED3B99" w:rsidRPr="00ED3B99" w:rsidRDefault="00ED3B99" w:rsidP="00ED3B99">
      <w:pPr>
        <w:pStyle w:val="ListParagraph"/>
        <w:numPr>
          <w:ilvl w:val="0"/>
          <w:numId w:val="1"/>
        </w:numPr>
        <w:snapToGrid w:val="0"/>
        <w:spacing w:before="100" w:afterLines="60" w:after="144" w:line="240" w:lineRule="auto"/>
        <w:ind w:left="0" w:firstLine="0"/>
        <w:rPr>
          <w:rFonts w:asciiTheme="majorBidi" w:hAnsiTheme="majorBidi" w:cstheme="majorBidi"/>
          <w:sz w:val="22"/>
        </w:rPr>
      </w:pPr>
      <w:r w:rsidRPr="00ED3B99">
        <w:rPr>
          <w:rFonts w:asciiTheme="majorBidi" w:hAnsiTheme="majorBidi" w:cstheme="majorBidi"/>
          <w:sz w:val="22"/>
        </w:rPr>
        <w:t>Asimismo, aseveró que la tendencia internacional ha sido la de reconocerlos como actores fundamentales en la promoción del Estado de Derecho, los derechos humanos y el acceso a la justicia. Igualmente se advirtió que la sociedad civil, a través de los colegios de abogados, es una instancia idónea para lograr el acceso a la justicia, por ser asociaciones integradas exclusivamente por profesionistas del derecho y su cercanía con instituciones impartidoras de justicia.</w:t>
      </w:r>
    </w:p>
    <w:p w14:paraId="2DAE12D7" w14:textId="5C2D137E" w:rsidR="00E176BA" w:rsidRDefault="00ED3B99" w:rsidP="00ED3B99">
      <w:pPr>
        <w:pStyle w:val="ListParagraph"/>
        <w:numPr>
          <w:ilvl w:val="0"/>
          <w:numId w:val="1"/>
        </w:numPr>
        <w:snapToGrid w:val="0"/>
        <w:spacing w:before="100" w:afterLines="60" w:after="144" w:line="240" w:lineRule="auto"/>
        <w:ind w:left="0" w:firstLine="0"/>
        <w:rPr>
          <w:rFonts w:asciiTheme="majorBidi" w:hAnsiTheme="majorBidi" w:cstheme="majorBidi"/>
          <w:sz w:val="22"/>
        </w:rPr>
      </w:pPr>
      <w:r w:rsidRPr="00ED3B99">
        <w:rPr>
          <w:rFonts w:asciiTheme="majorBidi" w:hAnsiTheme="majorBidi" w:cstheme="majorBidi"/>
          <w:sz w:val="22"/>
        </w:rPr>
        <w:t>Por tanto, se concedió el amparo a la quejosa pues se consideró que la omisión por parte del Congreso de la Unión en el cumplimiento de los deberes legislativos mencionados sí involucra una violación al derecho de acceso a la justicia. Ello ocurre por la conexión particular de la Barra Mexicana de Abogados y el acceso a la justicia en esta vertiente colectiva y como bien público. Además, considerando el objeto social de este colegio de abogados pretende el mejoramiento generalizado del sistema de impartición de justicia, y esto es lo que se ve afectado por la omisión reclamada al Congreso de la Unión.</w:t>
      </w:r>
    </w:p>
    <w:p w14:paraId="4851BC2A" w14:textId="77777777" w:rsidR="00ED3B99" w:rsidRPr="00ED3B99" w:rsidRDefault="00ED3B99" w:rsidP="00ED3B99">
      <w:pPr>
        <w:pStyle w:val="ListParagraph"/>
        <w:snapToGrid w:val="0"/>
        <w:spacing w:before="100" w:afterLines="60" w:after="144" w:line="240" w:lineRule="auto"/>
        <w:ind w:left="0" w:firstLine="0"/>
        <w:rPr>
          <w:rFonts w:asciiTheme="majorBidi" w:hAnsiTheme="majorBidi" w:cstheme="majorBidi"/>
          <w:sz w:val="22"/>
        </w:rPr>
      </w:pPr>
    </w:p>
    <w:p w14:paraId="08B1F237" w14:textId="3F878CEF" w:rsidR="00247701" w:rsidRPr="00ED3B99" w:rsidRDefault="00ED3B99" w:rsidP="00ED3B99">
      <w:pPr>
        <w:pStyle w:val="ListParagraph"/>
        <w:numPr>
          <w:ilvl w:val="0"/>
          <w:numId w:val="3"/>
        </w:numPr>
        <w:snapToGrid w:val="0"/>
        <w:spacing w:before="100" w:afterLines="60" w:after="144" w:line="240" w:lineRule="auto"/>
        <w:contextualSpacing w:val="0"/>
        <w:outlineLvl w:val="0"/>
        <w:rPr>
          <w:rFonts w:eastAsiaTheme="majorEastAsia"/>
          <w:b/>
          <w:bCs/>
          <w:smallCaps/>
          <w:szCs w:val="24"/>
        </w:rPr>
      </w:pPr>
      <w:bookmarkStart w:id="7" w:name="_Toc89669099"/>
      <w:r>
        <w:rPr>
          <w:rFonts w:eastAsiaTheme="majorEastAsia"/>
          <w:b/>
          <w:bCs/>
          <w:smallCaps/>
          <w:szCs w:val="24"/>
        </w:rPr>
        <w:t>Sírvase proporcionar información detallada sobre el número de abogados y abogadas ue han sido objeto de pronunciamientos penales, administrativos o disciplinarios en los últimos cinco años por presuntas violaciones a las normas de conducta profesional ¿cuántos de ellos/as fueron declarados culpables? ¿cuántos de ellos/as fueron finalmente inhabilitados?</w:t>
      </w:r>
      <w:bookmarkEnd w:id="7"/>
    </w:p>
    <w:p w14:paraId="5D2904DA" w14:textId="6DBCD647" w:rsidR="00E176BA" w:rsidRPr="007E1F32" w:rsidRDefault="00442ACC" w:rsidP="007E1F32">
      <w:pPr>
        <w:pStyle w:val="ListParagraph"/>
        <w:numPr>
          <w:ilvl w:val="0"/>
          <w:numId w:val="1"/>
        </w:numPr>
        <w:snapToGrid w:val="0"/>
        <w:spacing w:afterLines="60" w:after="144"/>
        <w:ind w:left="0" w:firstLine="0"/>
        <w:rPr>
          <w:rFonts w:asciiTheme="majorBidi" w:hAnsiTheme="majorBidi" w:cstheme="majorBidi"/>
          <w:sz w:val="22"/>
        </w:rPr>
      </w:pPr>
      <w:r w:rsidRPr="00442ACC">
        <w:rPr>
          <w:rFonts w:asciiTheme="majorBidi" w:hAnsiTheme="majorBidi" w:cstheme="majorBidi"/>
          <w:sz w:val="22"/>
        </w:rPr>
        <w:t>Al respecto, la D</w:t>
      </w:r>
      <w:r w:rsidR="007E1F32">
        <w:rPr>
          <w:rFonts w:asciiTheme="majorBidi" w:hAnsiTheme="majorBidi" w:cstheme="majorBidi"/>
          <w:sz w:val="22"/>
          <w:lang w:val="es-ES_tradnl"/>
        </w:rPr>
        <w:t xml:space="preserve">irección </w:t>
      </w:r>
      <w:r w:rsidRPr="00442ACC">
        <w:rPr>
          <w:rFonts w:asciiTheme="majorBidi" w:hAnsiTheme="majorBidi" w:cstheme="majorBidi"/>
          <w:sz w:val="22"/>
        </w:rPr>
        <w:t>G</w:t>
      </w:r>
      <w:r w:rsidR="007E1F32">
        <w:rPr>
          <w:rFonts w:asciiTheme="majorBidi" w:hAnsiTheme="majorBidi" w:cstheme="majorBidi"/>
          <w:sz w:val="22"/>
          <w:lang w:val="es-ES_tradnl"/>
        </w:rPr>
        <w:t xml:space="preserve">eneral de </w:t>
      </w:r>
      <w:r w:rsidRPr="00442ACC">
        <w:rPr>
          <w:rFonts w:asciiTheme="majorBidi" w:hAnsiTheme="majorBidi" w:cstheme="majorBidi"/>
          <w:sz w:val="22"/>
        </w:rPr>
        <w:t>G</w:t>
      </w:r>
      <w:r w:rsidR="007E1F32">
        <w:rPr>
          <w:rFonts w:asciiTheme="majorBidi" w:hAnsiTheme="majorBidi" w:cstheme="majorBidi"/>
          <w:sz w:val="22"/>
          <w:lang w:val="es-ES_tradnl"/>
        </w:rPr>
        <w:t xml:space="preserve">estión </w:t>
      </w:r>
      <w:r w:rsidRPr="00442ACC">
        <w:rPr>
          <w:rFonts w:asciiTheme="majorBidi" w:hAnsiTheme="majorBidi" w:cstheme="majorBidi"/>
          <w:sz w:val="22"/>
        </w:rPr>
        <w:t>J</w:t>
      </w:r>
      <w:r w:rsidR="007E1F32">
        <w:rPr>
          <w:rFonts w:asciiTheme="majorBidi" w:hAnsiTheme="majorBidi" w:cstheme="majorBidi"/>
          <w:sz w:val="22"/>
          <w:lang w:val="es-ES_tradnl"/>
        </w:rPr>
        <w:t>udicial</w:t>
      </w:r>
      <w:r w:rsidRPr="00442ACC">
        <w:rPr>
          <w:rFonts w:asciiTheme="majorBidi" w:hAnsiTheme="majorBidi" w:cstheme="majorBidi"/>
          <w:sz w:val="22"/>
        </w:rPr>
        <w:t xml:space="preserve"> </w:t>
      </w:r>
      <w:r w:rsidR="007E1F32">
        <w:rPr>
          <w:rFonts w:asciiTheme="majorBidi" w:hAnsiTheme="majorBidi" w:cstheme="majorBidi"/>
          <w:sz w:val="22"/>
          <w:lang w:val="es-ES_tradnl"/>
        </w:rPr>
        <w:t xml:space="preserve">cuenta con registros en los que advirtió </w:t>
      </w:r>
      <w:r w:rsidRPr="00442ACC">
        <w:rPr>
          <w:rFonts w:asciiTheme="majorBidi" w:hAnsiTheme="majorBidi" w:cstheme="majorBidi"/>
          <w:sz w:val="22"/>
        </w:rPr>
        <w:t xml:space="preserve"> la existencia de 19 registros de causas penales radicadas en Juzgados de Distrito (bajo el sistema penal mixto) y 23 procesos penales radicados en Centros de Justicia Penal Federal (bajo el sistema penal acusatorio), por delitos establecidos en los artículos 231, 232 y 233 del Código Penal Federal relacionados con la labor profesional en los últimos 5 años</w:t>
      </w:r>
      <w:r w:rsidR="007E1F32">
        <w:rPr>
          <w:rFonts w:asciiTheme="majorBidi" w:hAnsiTheme="majorBidi" w:cstheme="majorBidi"/>
          <w:sz w:val="22"/>
          <w:lang w:val="es-ES_tradnl"/>
        </w:rPr>
        <w:t xml:space="preserve"> (anexo 1)</w:t>
      </w:r>
      <w:r w:rsidRPr="00442ACC">
        <w:rPr>
          <w:rFonts w:asciiTheme="majorBidi" w:hAnsiTheme="majorBidi" w:cstheme="majorBidi"/>
          <w:sz w:val="22"/>
        </w:rPr>
        <w:t xml:space="preserve">. </w:t>
      </w:r>
    </w:p>
    <w:sectPr w:rsidR="00E176BA" w:rsidRPr="007E1F32" w:rsidSect="00903A6C">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4E9D6" w14:textId="77777777" w:rsidR="00EF5661" w:rsidRDefault="00EF5661" w:rsidP="00481E85">
      <w:pPr>
        <w:spacing w:before="0" w:line="240" w:lineRule="auto"/>
      </w:pPr>
      <w:r>
        <w:separator/>
      </w:r>
    </w:p>
  </w:endnote>
  <w:endnote w:type="continuationSeparator" w:id="0">
    <w:p w14:paraId="3ED23BC0" w14:textId="77777777" w:rsidR="00EF5661" w:rsidRDefault="00EF5661" w:rsidP="00481E8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DE2E5" w14:textId="77777777" w:rsidR="0022696F" w:rsidRDefault="0022696F">
    <w:pPr>
      <w:pStyle w:val="Footer"/>
      <w:jc w:val="center"/>
    </w:pPr>
  </w:p>
  <w:p w14:paraId="57F65284" w14:textId="77777777" w:rsidR="0022696F" w:rsidRDefault="00226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568420"/>
      <w:docPartObj>
        <w:docPartGallery w:val="Page Numbers (Bottom of Page)"/>
        <w:docPartUnique/>
      </w:docPartObj>
    </w:sdtPr>
    <w:sdtEndPr/>
    <w:sdtContent>
      <w:p w14:paraId="69A21C79" w14:textId="77777777" w:rsidR="0022696F" w:rsidRDefault="0022696F">
        <w:pPr>
          <w:pStyle w:val="Footer"/>
          <w:jc w:val="center"/>
        </w:pPr>
        <w:r>
          <w:fldChar w:fldCharType="begin"/>
        </w:r>
        <w:r>
          <w:instrText>PAGE   \* MERGEFORMAT</w:instrText>
        </w:r>
        <w:r>
          <w:fldChar w:fldCharType="separate"/>
        </w:r>
        <w:r w:rsidR="001C3813" w:rsidRPr="001C3813">
          <w:rPr>
            <w:noProof/>
            <w:lang w:val="es-ES"/>
          </w:rPr>
          <w:t>17</w:t>
        </w:r>
        <w:r>
          <w:fldChar w:fldCharType="end"/>
        </w:r>
      </w:p>
    </w:sdtContent>
  </w:sdt>
  <w:p w14:paraId="0B2B3942" w14:textId="77777777" w:rsidR="0022696F" w:rsidRDefault="00226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2A996" w14:textId="77777777" w:rsidR="00EF5661" w:rsidRDefault="00EF5661" w:rsidP="00481E85">
      <w:pPr>
        <w:spacing w:before="0" w:line="240" w:lineRule="auto"/>
      </w:pPr>
      <w:r>
        <w:separator/>
      </w:r>
    </w:p>
  </w:footnote>
  <w:footnote w:type="continuationSeparator" w:id="0">
    <w:p w14:paraId="10AA6628" w14:textId="77777777" w:rsidR="00EF5661" w:rsidRDefault="00EF5661" w:rsidP="00481E85">
      <w:pPr>
        <w:spacing w:before="0" w:line="240" w:lineRule="auto"/>
      </w:pPr>
      <w:r>
        <w:continuationSeparator/>
      </w:r>
    </w:p>
  </w:footnote>
  <w:footnote w:id="1">
    <w:p w14:paraId="03164F4F" w14:textId="77777777" w:rsidR="00E176BA" w:rsidRDefault="00E176BA" w:rsidP="00E176BA">
      <w:pPr>
        <w:pStyle w:val="FootnoteText"/>
      </w:pPr>
      <w:r>
        <w:rPr>
          <w:rStyle w:val="FootnoteReference"/>
        </w:rPr>
        <w:footnoteRef/>
      </w:r>
      <w:r>
        <w:t xml:space="preserve"> Resuelto el 21 de octubre de 2020.</w:t>
      </w:r>
    </w:p>
  </w:footnote>
  <w:footnote w:id="2">
    <w:p w14:paraId="09ED3C48" w14:textId="77777777" w:rsidR="00E176BA" w:rsidRDefault="00E176BA" w:rsidP="00E176BA">
      <w:pPr>
        <w:pStyle w:val="FootnoteText"/>
      </w:pPr>
      <w:r>
        <w:rPr>
          <w:rStyle w:val="FootnoteReference"/>
        </w:rPr>
        <w:footnoteRef/>
      </w:r>
      <w:r>
        <w:t xml:space="preserve"> R</w:t>
      </w:r>
      <w:r w:rsidRPr="00782F88">
        <w:t>esueltos el 4 de abril de 2019</w:t>
      </w:r>
      <w:r>
        <w:t>.</w:t>
      </w:r>
    </w:p>
  </w:footnote>
  <w:footnote w:id="3">
    <w:p w14:paraId="6D2E3A92" w14:textId="77777777" w:rsidR="00E176BA" w:rsidRDefault="00E176BA" w:rsidP="00E176BA">
      <w:pPr>
        <w:pStyle w:val="FootnoteText"/>
      </w:pPr>
      <w:r>
        <w:rPr>
          <w:rStyle w:val="FootnoteReference"/>
        </w:rPr>
        <w:footnoteRef/>
      </w:r>
      <w:r>
        <w:t xml:space="preserve"> Resuelto el </w:t>
      </w:r>
      <w:r w:rsidRPr="00A25737">
        <w:t>9 de octubre de 2019</w:t>
      </w:r>
      <w:r>
        <w:t>.</w:t>
      </w:r>
    </w:p>
  </w:footnote>
  <w:footnote w:id="4">
    <w:p w14:paraId="259651E6" w14:textId="77777777" w:rsidR="00233A21" w:rsidRPr="00233A21" w:rsidRDefault="00233A21" w:rsidP="00233A21">
      <w:pPr>
        <w:pStyle w:val="FootnoteText"/>
      </w:pPr>
      <w:r>
        <w:rPr>
          <w:rStyle w:val="FootnoteReference"/>
        </w:rPr>
        <w:footnoteRef/>
      </w:r>
      <w:r>
        <w:t xml:space="preserve"> </w:t>
      </w:r>
      <w:r w:rsidRPr="00233A21">
        <w:t xml:space="preserve">Disponible en: http://dof.gob.mx/2019/CJF/Acuerdo_Bases_Generales_IFDP.pdf </w:t>
      </w:r>
    </w:p>
    <w:p w14:paraId="0FBEB95F" w14:textId="12D0AB11" w:rsidR="00233A21" w:rsidRPr="00233A21" w:rsidRDefault="00233A21">
      <w:pPr>
        <w:pStyle w:val="FootnoteText"/>
        <w:rPr>
          <w:lang w:val="es-ES_tradnl"/>
        </w:rPr>
      </w:pPr>
    </w:p>
  </w:footnote>
  <w:footnote w:id="5">
    <w:p w14:paraId="2342EEAB" w14:textId="77777777" w:rsidR="00247701" w:rsidRPr="005E4A17" w:rsidRDefault="00247701" w:rsidP="00247701">
      <w:pPr>
        <w:pStyle w:val="FootnoteText"/>
        <w:rPr>
          <w:rFonts w:ascii="Arial" w:hAnsi="Arial" w:cs="Arial"/>
        </w:rPr>
      </w:pPr>
      <w:r w:rsidRPr="005E4A17">
        <w:rPr>
          <w:rStyle w:val="FootnoteReference"/>
          <w:rFonts w:ascii="Arial" w:hAnsi="Arial" w:cs="Arial"/>
        </w:rPr>
        <w:footnoteRef/>
      </w:r>
      <w:r w:rsidRPr="005E4A17">
        <w:rPr>
          <w:rFonts w:ascii="Arial" w:hAnsi="Arial" w:cs="Arial"/>
        </w:rPr>
        <w:t xml:space="preserve"> Sentencia de 12 de enero de 2017.</w:t>
      </w:r>
    </w:p>
  </w:footnote>
  <w:footnote w:id="6">
    <w:p w14:paraId="59CAD057" w14:textId="77777777" w:rsidR="00247701" w:rsidRDefault="00247701" w:rsidP="00247701">
      <w:pPr>
        <w:pStyle w:val="FootnoteText"/>
      </w:pPr>
      <w:r>
        <w:rPr>
          <w:rStyle w:val="FootnoteReference"/>
        </w:rPr>
        <w:footnoteRef/>
      </w:r>
      <w:r>
        <w:t xml:space="preserve"> La </w:t>
      </w:r>
      <w:r w:rsidRPr="00F95B7B">
        <w:t>Ley para la Protección Integral de Personas Defensoras de Derechos Humanos y Periodistas del Distrito Federal</w:t>
      </w:r>
      <w:r>
        <w:t xml:space="preserve"> prevé la existencia de medidas preventivas, de protección y de carácter social que pueden ser solicitadas por periodistas y defensores de derechos humanos.</w:t>
      </w:r>
    </w:p>
  </w:footnote>
  <w:footnote w:id="7">
    <w:p w14:paraId="587E73FF" w14:textId="77777777" w:rsidR="00ED3B99" w:rsidRPr="00175055" w:rsidRDefault="00ED3B99" w:rsidP="00ED3B99">
      <w:pPr>
        <w:pStyle w:val="FootnoteText"/>
        <w:rPr>
          <w:lang w:val="es-ES"/>
        </w:rPr>
      </w:pPr>
      <w:r>
        <w:rPr>
          <w:rStyle w:val="FootnoteReference"/>
        </w:rPr>
        <w:footnoteRef/>
      </w:r>
      <w:r>
        <w:t xml:space="preserve"> </w:t>
      </w:r>
      <w:r>
        <w:rPr>
          <w:lang w:val="es-ES"/>
        </w:rPr>
        <w:t>Resuelto el 6 de agosto de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6DC0"/>
    <w:multiLevelType w:val="hybridMultilevel"/>
    <w:tmpl w:val="69D47EBC"/>
    <w:lvl w:ilvl="0" w:tplc="727C9322">
      <w:start w:val="5"/>
      <w:numFmt w:val="lowerRoman"/>
      <w:lvlText w:val="%1."/>
      <w:lvlJc w:val="right"/>
      <w:pPr>
        <w:ind w:left="180" w:hanging="1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F2C32"/>
    <w:multiLevelType w:val="hybridMultilevel"/>
    <w:tmpl w:val="8554862A"/>
    <w:lvl w:ilvl="0" w:tplc="9CB41154">
      <w:start w:val="8"/>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649C7"/>
    <w:multiLevelType w:val="hybridMultilevel"/>
    <w:tmpl w:val="43A81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FE6B3F"/>
    <w:multiLevelType w:val="singleLevel"/>
    <w:tmpl w:val="13AAA7D2"/>
    <w:lvl w:ilvl="0">
      <w:start w:val="1"/>
      <w:numFmt w:val="upperRoman"/>
      <w:lvlText w:val="%1."/>
      <w:lvlJc w:val="left"/>
      <w:pPr>
        <w:tabs>
          <w:tab w:val="num" w:pos="720"/>
        </w:tabs>
        <w:ind w:left="720" w:hanging="720"/>
      </w:pPr>
      <w:rPr>
        <w:rFonts w:ascii="Arial" w:hAnsi="Arial" w:hint="default"/>
        <w:b w:val="0"/>
        <w:i w:val="0"/>
      </w:rPr>
    </w:lvl>
  </w:abstractNum>
  <w:abstractNum w:abstractNumId="4" w15:restartNumberingAfterBreak="0">
    <w:nsid w:val="105A7B1B"/>
    <w:multiLevelType w:val="hybridMultilevel"/>
    <w:tmpl w:val="96A0EC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D61FFC"/>
    <w:multiLevelType w:val="hybridMultilevel"/>
    <w:tmpl w:val="662C45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B0105"/>
    <w:multiLevelType w:val="hybridMultilevel"/>
    <w:tmpl w:val="A9244C50"/>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52F3632"/>
    <w:multiLevelType w:val="hybridMultilevel"/>
    <w:tmpl w:val="A254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474E3"/>
    <w:multiLevelType w:val="multilevel"/>
    <w:tmpl w:val="EFE26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732A95"/>
    <w:multiLevelType w:val="hybridMultilevel"/>
    <w:tmpl w:val="EF0AEFDC"/>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576D1C"/>
    <w:multiLevelType w:val="hybridMultilevel"/>
    <w:tmpl w:val="3D5ED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C476BA"/>
    <w:multiLevelType w:val="hybridMultilevel"/>
    <w:tmpl w:val="247C0F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327D66"/>
    <w:multiLevelType w:val="hybridMultilevel"/>
    <w:tmpl w:val="2ABA730A"/>
    <w:lvl w:ilvl="0" w:tplc="7818CE4A">
      <w:start w:val="1"/>
      <w:numFmt w:val="lowerRoman"/>
      <w:lvlText w:val="%1."/>
      <w:lvlJc w:val="right"/>
      <w:pPr>
        <w:ind w:left="180" w:hanging="18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9A13D6"/>
    <w:multiLevelType w:val="hybridMultilevel"/>
    <w:tmpl w:val="B17A1BAA"/>
    <w:lvl w:ilvl="0" w:tplc="BA26CCD8">
      <w:start w:val="1"/>
      <w:numFmt w:val="lowerRoman"/>
      <w:lvlText w:val="%1."/>
      <w:lvlJc w:val="right"/>
      <w:pPr>
        <w:ind w:left="1287" w:hanging="360"/>
      </w:pPr>
      <w:rPr>
        <w:i/>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3ACF6111"/>
    <w:multiLevelType w:val="hybridMultilevel"/>
    <w:tmpl w:val="26482600"/>
    <w:lvl w:ilvl="0" w:tplc="11263E68">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DB0DC7"/>
    <w:multiLevelType w:val="hybridMultilevel"/>
    <w:tmpl w:val="95068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76029E"/>
    <w:multiLevelType w:val="hybridMultilevel"/>
    <w:tmpl w:val="821CFE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0C178A"/>
    <w:multiLevelType w:val="multilevel"/>
    <w:tmpl w:val="70641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14C1BE4"/>
    <w:multiLevelType w:val="hybridMultilevel"/>
    <w:tmpl w:val="EF0AEFDC"/>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04565A"/>
    <w:multiLevelType w:val="hybridMultilevel"/>
    <w:tmpl w:val="226E310C"/>
    <w:lvl w:ilvl="0" w:tplc="E6968488">
      <w:start w:val="1"/>
      <w:numFmt w:val="ordinalText"/>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6C6060"/>
    <w:multiLevelType w:val="hybridMultilevel"/>
    <w:tmpl w:val="96A0EC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875763"/>
    <w:multiLevelType w:val="hybridMultilevel"/>
    <w:tmpl w:val="C436CD6C"/>
    <w:lvl w:ilvl="0" w:tplc="DBBC55F8">
      <w:start w:val="1"/>
      <w:numFmt w:val="upperRoman"/>
      <w:lvlText w:val="%1."/>
      <w:lvlJc w:val="left"/>
      <w:pPr>
        <w:ind w:left="1080" w:hanging="720"/>
      </w:pPr>
      <w:rPr>
        <w:rFonts w:hint="default"/>
      </w:rPr>
    </w:lvl>
    <w:lvl w:ilvl="1" w:tplc="04090017">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59277B"/>
    <w:multiLevelType w:val="hybridMultilevel"/>
    <w:tmpl w:val="C798CC7C"/>
    <w:lvl w:ilvl="0" w:tplc="FFFFFFFF">
      <w:start w:val="1"/>
      <w:numFmt w:val="upperRoman"/>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29F2C03"/>
    <w:multiLevelType w:val="hybridMultilevel"/>
    <w:tmpl w:val="69D0BFD0"/>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6A520825"/>
    <w:multiLevelType w:val="hybridMultilevel"/>
    <w:tmpl w:val="CB8062AE"/>
    <w:lvl w:ilvl="0" w:tplc="080A000F">
      <w:start w:val="1"/>
      <w:numFmt w:val="decimal"/>
      <w:lvlText w:val="%1."/>
      <w:lvlJc w:val="left"/>
      <w:pPr>
        <w:ind w:left="720" w:hanging="36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5019CD"/>
    <w:multiLevelType w:val="hybridMultilevel"/>
    <w:tmpl w:val="891C8FEE"/>
    <w:lvl w:ilvl="0" w:tplc="ED383528">
      <w:start w:val="1"/>
      <w:numFmt w:val="upperRoman"/>
      <w:lvlText w:val="%1."/>
      <w:lvlJc w:val="left"/>
      <w:pPr>
        <w:ind w:left="1080" w:hanging="720"/>
      </w:pPr>
      <w:rPr>
        <w:rFonts w:hint="default"/>
      </w:rPr>
    </w:lvl>
    <w:lvl w:ilvl="1" w:tplc="C874BEB2">
      <w:start w:val="1"/>
      <w:numFmt w:val="upperLetter"/>
      <w:lvlText w:val="%2."/>
      <w:lvlJc w:val="left"/>
      <w:pPr>
        <w:ind w:left="1440" w:hanging="360"/>
      </w:pPr>
      <w:rPr>
        <w:rFonts w:hint="default"/>
        <w:i w:val="0"/>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515A47"/>
    <w:multiLevelType w:val="hybridMultilevel"/>
    <w:tmpl w:val="4A90DD42"/>
    <w:lvl w:ilvl="0" w:tplc="68D64B4A">
      <w:start w:val="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C0E2A03"/>
    <w:multiLevelType w:val="hybridMultilevel"/>
    <w:tmpl w:val="DAD6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B4F0C"/>
    <w:multiLevelType w:val="hybridMultilevel"/>
    <w:tmpl w:val="6E263162"/>
    <w:lvl w:ilvl="0" w:tplc="0302C2A0">
      <w:start w:val="2"/>
      <w:numFmt w:val="lowerRoman"/>
      <w:lvlText w:val="%1."/>
      <w:lvlJc w:val="right"/>
      <w:pPr>
        <w:ind w:left="2160" w:hanging="1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FB1D78"/>
    <w:multiLevelType w:val="hybridMultilevel"/>
    <w:tmpl w:val="A906D090"/>
    <w:lvl w:ilvl="0" w:tplc="B5D07B5E">
      <w:start w:val="1"/>
      <w:numFmt w:val="decimal"/>
      <w:lvlText w:val="%1."/>
      <w:lvlJc w:val="left"/>
      <w:pPr>
        <w:ind w:left="360" w:hanging="360"/>
      </w:pPr>
      <w:rPr>
        <w:rFonts w:hint="default"/>
        <w:b w:val="0"/>
        <w:i w:val="0"/>
        <w:color w:val="auto"/>
        <w:sz w:val="24"/>
        <w:lang w:val="es-ES_tradnl"/>
      </w:rPr>
    </w:lvl>
    <w:lvl w:ilvl="1" w:tplc="080A0011">
      <w:start w:val="1"/>
      <w:numFmt w:val="decimal"/>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F280015"/>
    <w:multiLevelType w:val="hybridMultilevel"/>
    <w:tmpl w:val="8F16D6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4"/>
  </w:num>
  <w:num w:numId="3">
    <w:abstractNumId w:val="21"/>
  </w:num>
  <w:num w:numId="4">
    <w:abstractNumId w:val="25"/>
  </w:num>
  <w:num w:numId="5">
    <w:abstractNumId w:val="2"/>
  </w:num>
  <w:num w:numId="6">
    <w:abstractNumId w:val="28"/>
  </w:num>
  <w:num w:numId="7">
    <w:abstractNumId w:val="13"/>
  </w:num>
  <w:num w:numId="8">
    <w:abstractNumId w:val="12"/>
  </w:num>
  <w:num w:numId="9">
    <w:abstractNumId w:val="0"/>
  </w:num>
  <w:num w:numId="10">
    <w:abstractNumId w:val="3"/>
  </w:num>
  <w:num w:numId="11">
    <w:abstractNumId w:val="22"/>
  </w:num>
  <w:num w:numId="12">
    <w:abstractNumId w:val="20"/>
  </w:num>
  <w:num w:numId="13">
    <w:abstractNumId w:val="6"/>
  </w:num>
  <w:num w:numId="14">
    <w:abstractNumId w:val="30"/>
  </w:num>
  <w:num w:numId="15">
    <w:abstractNumId w:val="23"/>
  </w:num>
  <w:num w:numId="16">
    <w:abstractNumId w:val="24"/>
  </w:num>
  <w:num w:numId="17">
    <w:abstractNumId w:val="19"/>
  </w:num>
  <w:num w:numId="18">
    <w:abstractNumId w:val="16"/>
  </w:num>
  <w:num w:numId="19">
    <w:abstractNumId w:val="4"/>
  </w:num>
  <w:num w:numId="20">
    <w:abstractNumId w:val="26"/>
  </w:num>
  <w:num w:numId="21">
    <w:abstractNumId w:val="1"/>
  </w:num>
  <w:num w:numId="22">
    <w:abstractNumId w:val="18"/>
  </w:num>
  <w:num w:numId="23">
    <w:abstractNumId w:val="10"/>
  </w:num>
  <w:num w:numId="24">
    <w:abstractNumId w:val="15"/>
  </w:num>
  <w:num w:numId="25">
    <w:abstractNumId w:val="11"/>
  </w:num>
  <w:num w:numId="26">
    <w:abstractNumId w:val="8"/>
  </w:num>
  <w:num w:numId="27">
    <w:abstractNumId w:val="17"/>
  </w:num>
  <w:num w:numId="28">
    <w:abstractNumId w:val="9"/>
  </w:num>
  <w:num w:numId="29">
    <w:abstractNumId w:val="7"/>
  </w:num>
  <w:num w:numId="30">
    <w:abstractNumId w:val="5"/>
  </w:num>
  <w:num w:numId="31">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85"/>
    <w:rsid w:val="0000201D"/>
    <w:rsid w:val="00002B76"/>
    <w:rsid w:val="00004CE2"/>
    <w:rsid w:val="000054FE"/>
    <w:rsid w:val="00005960"/>
    <w:rsid w:val="00006A62"/>
    <w:rsid w:val="00006B85"/>
    <w:rsid w:val="00006FA6"/>
    <w:rsid w:val="00011775"/>
    <w:rsid w:val="00011C17"/>
    <w:rsid w:val="00013AB9"/>
    <w:rsid w:val="0001551C"/>
    <w:rsid w:val="0001638D"/>
    <w:rsid w:val="00017CC1"/>
    <w:rsid w:val="00020B7D"/>
    <w:rsid w:val="00021B29"/>
    <w:rsid w:val="00022F69"/>
    <w:rsid w:val="0002389A"/>
    <w:rsid w:val="0002414C"/>
    <w:rsid w:val="00024358"/>
    <w:rsid w:val="000246B4"/>
    <w:rsid w:val="000246E1"/>
    <w:rsid w:val="00026057"/>
    <w:rsid w:val="000262E4"/>
    <w:rsid w:val="000269CD"/>
    <w:rsid w:val="00031B51"/>
    <w:rsid w:val="00031FD3"/>
    <w:rsid w:val="00032134"/>
    <w:rsid w:val="000331F9"/>
    <w:rsid w:val="00034CB4"/>
    <w:rsid w:val="00035384"/>
    <w:rsid w:val="00036C71"/>
    <w:rsid w:val="000374D2"/>
    <w:rsid w:val="000379F0"/>
    <w:rsid w:val="00041756"/>
    <w:rsid w:val="00042BE5"/>
    <w:rsid w:val="00043ACE"/>
    <w:rsid w:val="000442D1"/>
    <w:rsid w:val="00044703"/>
    <w:rsid w:val="000454C7"/>
    <w:rsid w:val="00050EFF"/>
    <w:rsid w:val="0005313A"/>
    <w:rsid w:val="00053472"/>
    <w:rsid w:val="00056719"/>
    <w:rsid w:val="00057576"/>
    <w:rsid w:val="000619EB"/>
    <w:rsid w:val="000626B2"/>
    <w:rsid w:val="00064954"/>
    <w:rsid w:val="00064B55"/>
    <w:rsid w:val="00065B93"/>
    <w:rsid w:val="000663DB"/>
    <w:rsid w:val="00067268"/>
    <w:rsid w:val="00071022"/>
    <w:rsid w:val="00071138"/>
    <w:rsid w:val="0007312D"/>
    <w:rsid w:val="000731AF"/>
    <w:rsid w:val="00074FC5"/>
    <w:rsid w:val="0007510B"/>
    <w:rsid w:val="000801B7"/>
    <w:rsid w:val="00082760"/>
    <w:rsid w:val="00082FD2"/>
    <w:rsid w:val="00085500"/>
    <w:rsid w:val="00085568"/>
    <w:rsid w:val="00087460"/>
    <w:rsid w:val="0009029D"/>
    <w:rsid w:val="0009125B"/>
    <w:rsid w:val="00091D57"/>
    <w:rsid w:val="00095E70"/>
    <w:rsid w:val="00096ABE"/>
    <w:rsid w:val="00096D96"/>
    <w:rsid w:val="00097914"/>
    <w:rsid w:val="000A26D8"/>
    <w:rsid w:val="000A2E6A"/>
    <w:rsid w:val="000A3B65"/>
    <w:rsid w:val="000A45B7"/>
    <w:rsid w:val="000A50FC"/>
    <w:rsid w:val="000A550E"/>
    <w:rsid w:val="000A56B6"/>
    <w:rsid w:val="000A5C0F"/>
    <w:rsid w:val="000A635D"/>
    <w:rsid w:val="000A6EBA"/>
    <w:rsid w:val="000B1F17"/>
    <w:rsid w:val="000B257B"/>
    <w:rsid w:val="000B2B18"/>
    <w:rsid w:val="000B3656"/>
    <w:rsid w:val="000B58CA"/>
    <w:rsid w:val="000B68E5"/>
    <w:rsid w:val="000B6FE6"/>
    <w:rsid w:val="000C0100"/>
    <w:rsid w:val="000C01E0"/>
    <w:rsid w:val="000C1506"/>
    <w:rsid w:val="000C159F"/>
    <w:rsid w:val="000C1642"/>
    <w:rsid w:val="000C1BDE"/>
    <w:rsid w:val="000C2818"/>
    <w:rsid w:val="000C3F09"/>
    <w:rsid w:val="000C497F"/>
    <w:rsid w:val="000C6907"/>
    <w:rsid w:val="000C7970"/>
    <w:rsid w:val="000C7CC2"/>
    <w:rsid w:val="000D0EA4"/>
    <w:rsid w:val="000D12C3"/>
    <w:rsid w:val="000D3BE1"/>
    <w:rsid w:val="000D45B1"/>
    <w:rsid w:val="000D4D72"/>
    <w:rsid w:val="000D5007"/>
    <w:rsid w:val="000E2ED0"/>
    <w:rsid w:val="000E34A3"/>
    <w:rsid w:val="000E575E"/>
    <w:rsid w:val="000E6C10"/>
    <w:rsid w:val="000E7C01"/>
    <w:rsid w:val="000E7C3F"/>
    <w:rsid w:val="000F184E"/>
    <w:rsid w:val="000F376B"/>
    <w:rsid w:val="000F468E"/>
    <w:rsid w:val="000F6918"/>
    <w:rsid w:val="000F7610"/>
    <w:rsid w:val="000F7B59"/>
    <w:rsid w:val="001001E0"/>
    <w:rsid w:val="001010C0"/>
    <w:rsid w:val="00103919"/>
    <w:rsid w:val="00104014"/>
    <w:rsid w:val="0010539F"/>
    <w:rsid w:val="0010587F"/>
    <w:rsid w:val="0010621A"/>
    <w:rsid w:val="00107B03"/>
    <w:rsid w:val="00111740"/>
    <w:rsid w:val="0011338D"/>
    <w:rsid w:val="00113FE1"/>
    <w:rsid w:val="0011792F"/>
    <w:rsid w:val="00117EE3"/>
    <w:rsid w:val="00117F91"/>
    <w:rsid w:val="001217D9"/>
    <w:rsid w:val="00124403"/>
    <w:rsid w:val="00124542"/>
    <w:rsid w:val="00125B18"/>
    <w:rsid w:val="00125B28"/>
    <w:rsid w:val="00126DA4"/>
    <w:rsid w:val="0012739D"/>
    <w:rsid w:val="0013056B"/>
    <w:rsid w:val="0013067D"/>
    <w:rsid w:val="00134444"/>
    <w:rsid w:val="00136EEA"/>
    <w:rsid w:val="00137A06"/>
    <w:rsid w:val="00137A1A"/>
    <w:rsid w:val="00141037"/>
    <w:rsid w:val="00141855"/>
    <w:rsid w:val="00143867"/>
    <w:rsid w:val="00143C54"/>
    <w:rsid w:val="00144DFE"/>
    <w:rsid w:val="001453A2"/>
    <w:rsid w:val="00145D10"/>
    <w:rsid w:val="0014660E"/>
    <w:rsid w:val="001467B6"/>
    <w:rsid w:val="00150F6A"/>
    <w:rsid w:val="001523E2"/>
    <w:rsid w:val="00152F16"/>
    <w:rsid w:val="00155662"/>
    <w:rsid w:val="0015626B"/>
    <w:rsid w:val="00161515"/>
    <w:rsid w:val="00161A1F"/>
    <w:rsid w:val="00162EF1"/>
    <w:rsid w:val="00163064"/>
    <w:rsid w:val="001635BD"/>
    <w:rsid w:val="00163FE2"/>
    <w:rsid w:val="00164B69"/>
    <w:rsid w:val="00166BDE"/>
    <w:rsid w:val="00167546"/>
    <w:rsid w:val="001678BB"/>
    <w:rsid w:val="00167B23"/>
    <w:rsid w:val="0017465A"/>
    <w:rsid w:val="00174D89"/>
    <w:rsid w:val="00175B53"/>
    <w:rsid w:val="001770FE"/>
    <w:rsid w:val="00177233"/>
    <w:rsid w:val="0017787A"/>
    <w:rsid w:val="0018462E"/>
    <w:rsid w:val="00186B6B"/>
    <w:rsid w:val="0018724B"/>
    <w:rsid w:val="001878DF"/>
    <w:rsid w:val="001879B2"/>
    <w:rsid w:val="00191409"/>
    <w:rsid w:val="00192311"/>
    <w:rsid w:val="00193947"/>
    <w:rsid w:val="00197FB8"/>
    <w:rsid w:val="001A1BC1"/>
    <w:rsid w:val="001A1F33"/>
    <w:rsid w:val="001A2A48"/>
    <w:rsid w:val="001A324E"/>
    <w:rsid w:val="001A3771"/>
    <w:rsid w:val="001A512A"/>
    <w:rsid w:val="001A584F"/>
    <w:rsid w:val="001A6468"/>
    <w:rsid w:val="001A7356"/>
    <w:rsid w:val="001B120E"/>
    <w:rsid w:val="001B2B2D"/>
    <w:rsid w:val="001B2C06"/>
    <w:rsid w:val="001B2F26"/>
    <w:rsid w:val="001B4F58"/>
    <w:rsid w:val="001B723B"/>
    <w:rsid w:val="001B7C1F"/>
    <w:rsid w:val="001C12E3"/>
    <w:rsid w:val="001C16B8"/>
    <w:rsid w:val="001C1999"/>
    <w:rsid w:val="001C20B6"/>
    <w:rsid w:val="001C218D"/>
    <w:rsid w:val="001C2B7F"/>
    <w:rsid w:val="001C2D44"/>
    <w:rsid w:val="001C3813"/>
    <w:rsid w:val="001D013B"/>
    <w:rsid w:val="001D0FDC"/>
    <w:rsid w:val="001D45C8"/>
    <w:rsid w:val="001D5671"/>
    <w:rsid w:val="001D63E3"/>
    <w:rsid w:val="001D63E8"/>
    <w:rsid w:val="001D71E6"/>
    <w:rsid w:val="001D767C"/>
    <w:rsid w:val="001E3AB2"/>
    <w:rsid w:val="001E4519"/>
    <w:rsid w:val="001E451B"/>
    <w:rsid w:val="001E5CA0"/>
    <w:rsid w:val="001E5DAD"/>
    <w:rsid w:val="001E68F0"/>
    <w:rsid w:val="001F4C61"/>
    <w:rsid w:val="001F5697"/>
    <w:rsid w:val="001F6CFD"/>
    <w:rsid w:val="001F7E4E"/>
    <w:rsid w:val="0020109A"/>
    <w:rsid w:val="0020258A"/>
    <w:rsid w:val="00202F85"/>
    <w:rsid w:val="002040E6"/>
    <w:rsid w:val="0020416B"/>
    <w:rsid w:val="00206A5B"/>
    <w:rsid w:val="002071CD"/>
    <w:rsid w:val="00210D50"/>
    <w:rsid w:val="00211708"/>
    <w:rsid w:val="00211F62"/>
    <w:rsid w:val="00212D73"/>
    <w:rsid w:val="0021334E"/>
    <w:rsid w:val="0021394A"/>
    <w:rsid w:val="00213E2E"/>
    <w:rsid w:val="00220E68"/>
    <w:rsid w:val="00222A4C"/>
    <w:rsid w:val="00223EC2"/>
    <w:rsid w:val="002240FB"/>
    <w:rsid w:val="002261BF"/>
    <w:rsid w:val="002262C5"/>
    <w:rsid w:val="00226313"/>
    <w:rsid w:val="002267A2"/>
    <w:rsid w:val="00226878"/>
    <w:rsid w:val="002268FB"/>
    <w:rsid w:val="0022696F"/>
    <w:rsid w:val="00231C40"/>
    <w:rsid w:val="002330E3"/>
    <w:rsid w:val="00233419"/>
    <w:rsid w:val="00233A21"/>
    <w:rsid w:val="00234890"/>
    <w:rsid w:val="00237597"/>
    <w:rsid w:val="00237EB8"/>
    <w:rsid w:val="00241D03"/>
    <w:rsid w:val="0024323A"/>
    <w:rsid w:val="002467AD"/>
    <w:rsid w:val="00246D31"/>
    <w:rsid w:val="00246E10"/>
    <w:rsid w:val="00246EB9"/>
    <w:rsid w:val="00247534"/>
    <w:rsid w:val="00247701"/>
    <w:rsid w:val="0024782B"/>
    <w:rsid w:val="00250419"/>
    <w:rsid w:val="00251280"/>
    <w:rsid w:val="0025211B"/>
    <w:rsid w:val="00253942"/>
    <w:rsid w:val="00254C7F"/>
    <w:rsid w:val="002554EE"/>
    <w:rsid w:val="0026022B"/>
    <w:rsid w:val="00261554"/>
    <w:rsid w:val="002620B3"/>
    <w:rsid w:val="0026295F"/>
    <w:rsid w:val="00263CFE"/>
    <w:rsid w:val="00264C29"/>
    <w:rsid w:val="00270399"/>
    <w:rsid w:val="002704B0"/>
    <w:rsid w:val="002723E6"/>
    <w:rsid w:val="00272579"/>
    <w:rsid w:val="00273148"/>
    <w:rsid w:val="00277E06"/>
    <w:rsid w:val="002803DE"/>
    <w:rsid w:val="0028053F"/>
    <w:rsid w:val="00280A80"/>
    <w:rsid w:val="0028393F"/>
    <w:rsid w:val="002843BE"/>
    <w:rsid w:val="00284E0A"/>
    <w:rsid w:val="002858AC"/>
    <w:rsid w:val="00285B8E"/>
    <w:rsid w:val="00285E3D"/>
    <w:rsid w:val="00287790"/>
    <w:rsid w:val="002900B8"/>
    <w:rsid w:val="002903DF"/>
    <w:rsid w:val="00291D00"/>
    <w:rsid w:val="0029466E"/>
    <w:rsid w:val="0029756B"/>
    <w:rsid w:val="002979F1"/>
    <w:rsid w:val="00297DCA"/>
    <w:rsid w:val="002A0539"/>
    <w:rsid w:val="002A0D38"/>
    <w:rsid w:val="002A170D"/>
    <w:rsid w:val="002A2577"/>
    <w:rsid w:val="002A3274"/>
    <w:rsid w:val="002A3436"/>
    <w:rsid w:val="002A4AF3"/>
    <w:rsid w:val="002A4E1A"/>
    <w:rsid w:val="002A5F6F"/>
    <w:rsid w:val="002A6BD2"/>
    <w:rsid w:val="002B1ED2"/>
    <w:rsid w:val="002B48BB"/>
    <w:rsid w:val="002B50A3"/>
    <w:rsid w:val="002B5862"/>
    <w:rsid w:val="002B6471"/>
    <w:rsid w:val="002B6A36"/>
    <w:rsid w:val="002B77C2"/>
    <w:rsid w:val="002C03F2"/>
    <w:rsid w:val="002C051A"/>
    <w:rsid w:val="002C055B"/>
    <w:rsid w:val="002C1C94"/>
    <w:rsid w:val="002C1CA5"/>
    <w:rsid w:val="002C6186"/>
    <w:rsid w:val="002C6B70"/>
    <w:rsid w:val="002C7FD5"/>
    <w:rsid w:val="002D043A"/>
    <w:rsid w:val="002D0CA4"/>
    <w:rsid w:val="002D0F98"/>
    <w:rsid w:val="002D147B"/>
    <w:rsid w:val="002D1BDC"/>
    <w:rsid w:val="002D3FC4"/>
    <w:rsid w:val="002D4EB7"/>
    <w:rsid w:val="002D6C48"/>
    <w:rsid w:val="002E1027"/>
    <w:rsid w:val="002E2842"/>
    <w:rsid w:val="002E3DC9"/>
    <w:rsid w:val="002E4C34"/>
    <w:rsid w:val="002E5A3E"/>
    <w:rsid w:val="002E5B8B"/>
    <w:rsid w:val="002E5E23"/>
    <w:rsid w:val="002E60ED"/>
    <w:rsid w:val="002E655C"/>
    <w:rsid w:val="002F434C"/>
    <w:rsid w:val="002F439B"/>
    <w:rsid w:val="002F4ED1"/>
    <w:rsid w:val="002F602B"/>
    <w:rsid w:val="002F76F5"/>
    <w:rsid w:val="002F78A1"/>
    <w:rsid w:val="00300C2A"/>
    <w:rsid w:val="00300FC6"/>
    <w:rsid w:val="00302524"/>
    <w:rsid w:val="00302BCA"/>
    <w:rsid w:val="0030454F"/>
    <w:rsid w:val="003050C7"/>
    <w:rsid w:val="003053F9"/>
    <w:rsid w:val="00305578"/>
    <w:rsid w:val="003063CA"/>
    <w:rsid w:val="003075A8"/>
    <w:rsid w:val="00307DF7"/>
    <w:rsid w:val="003106D6"/>
    <w:rsid w:val="003131AF"/>
    <w:rsid w:val="00313538"/>
    <w:rsid w:val="003156E4"/>
    <w:rsid w:val="00315FE0"/>
    <w:rsid w:val="003202D6"/>
    <w:rsid w:val="00320BDA"/>
    <w:rsid w:val="00321FC5"/>
    <w:rsid w:val="0032285A"/>
    <w:rsid w:val="00323157"/>
    <w:rsid w:val="00323316"/>
    <w:rsid w:val="00323CE8"/>
    <w:rsid w:val="00324B0C"/>
    <w:rsid w:val="00324D0D"/>
    <w:rsid w:val="00325B4E"/>
    <w:rsid w:val="0032659C"/>
    <w:rsid w:val="003277C7"/>
    <w:rsid w:val="003314C8"/>
    <w:rsid w:val="003321BD"/>
    <w:rsid w:val="003339BD"/>
    <w:rsid w:val="003349E3"/>
    <w:rsid w:val="00336EDB"/>
    <w:rsid w:val="00337737"/>
    <w:rsid w:val="00341194"/>
    <w:rsid w:val="0034120A"/>
    <w:rsid w:val="00342C41"/>
    <w:rsid w:val="003442CB"/>
    <w:rsid w:val="00345656"/>
    <w:rsid w:val="0034583B"/>
    <w:rsid w:val="00345FCF"/>
    <w:rsid w:val="0034633A"/>
    <w:rsid w:val="003471F1"/>
    <w:rsid w:val="00347EE0"/>
    <w:rsid w:val="003507BC"/>
    <w:rsid w:val="0035087B"/>
    <w:rsid w:val="003531A0"/>
    <w:rsid w:val="00353C67"/>
    <w:rsid w:val="003546BC"/>
    <w:rsid w:val="003554EE"/>
    <w:rsid w:val="00355690"/>
    <w:rsid w:val="00356D73"/>
    <w:rsid w:val="003576BA"/>
    <w:rsid w:val="003576E0"/>
    <w:rsid w:val="00357ECD"/>
    <w:rsid w:val="003606FC"/>
    <w:rsid w:val="003662FE"/>
    <w:rsid w:val="00366D1B"/>
    <w:rsid w:val="00366D28"/>
    <w:rsid w:val="00366FC5"/>
    <w:rsid w:val="00367226"/>
    <w:rsid w:val="00367519"/>
    <w:rsid w:val="00367B2D"/>
    <w:rsid w:val="00371225"/>
    <w:rsid w:val="003720A1"/>
    <w:rsid w:val="0037210C"/>
    <w:rsid w:val="003728C8"/>
    <w:rsid w:val="00372A6C"/>
    <w:rsid w:val="0037341C"/>
    <w:rsid w:val="003743BE"/>
    <w:rsid w:val="00374C29"/>
    <w:rsid w:val="00374DED"/>
    <w:rsid w:val="00375CDA"/>
    <w:rsid w:val="003768B2"/>
    <w:rsid w:val="00377421"/>
    <w:rsid w:val="00383084"/>
    <w:rsid w:val="003830E6"/>
    <w:rsid w:val="00384769"/>
    <w:rsid w:val="00384FF1"/>
    <w:rsid w:val="00385501"/>
    <w:rsid w:val="003858A9"/>
    <w:rsid w:val="00385B2A"/>
    <w:rsid w:val="0038614B"/>
    <w:rsid w:val="003863D7"/>
    <w:rsid w:val="00386CED"/>
    <w:rsid w:val="00390000"/>
    <w:rsid w:val="003903F5"/>
    <w:rsid w:val="00390C27"/>
    <w:rsid w:val="00391730"/>
    <w:rsid w:val="003922F9"/>
    <w:rsid w:val="003923E2"/>
    <w:rsid w:val="00392703"/>
    <w:rsid w:val="00393FD1"/>
    <w:rsid w:val="00394463"/>
    <w:rsid w:val="00394B77"/>
    <w:rsid w:val="00395894"/>
    <w:rsid w:val="00396859"/>
    <w:rsid w:val="00396E06"/>
    <w:rsid w:val="003970EC"/>
    <w:rsid w:val="003A072F"/>
    <w:rsid w:val="003A0A68"/>
    <w:rsid w:val="003A1206"/>
    <w:rsid w:val="003A1D83"/>
    <w:rsid w:val="003A1F39"/>
    <w:rsid w:val="003A281B"/>
    <w:rsid w:val="003A28A2"/>
    <w:rsid w:val="003A3B82"/>
    <w:rsid w:val="003A450E"/>
    <w:rsid w:val="003A489C"/>
    <w:rsid w:val="003A5C54"/>
    <w:rsid w:val="003A6A3A"/>
    <w:rsid w:val="003A6D85"/>
    <w:rsid w:val="003A721F"/>
    <w:rsid w:val="003B3D2D"/>
    <w:rsid w:val="003B4C10"/>
    <w:rsid w:val="003B65E0"/>
    <w:rsid w:val="003B6FF0"/>
    <w:rsid w:val="003C15A4"/>
    <w:rsid w:val="003C254D"/>
    <w:rsid w:val="003C297E"/>
    <w:rsid w:val="003C2A5B"/>
    <w:rsid w:val="003C4425"/>
    <w:rsid w:val="003C6430"/>
    <w:rsid w:val="003D0474"/>
    <w:rsid w:val="003D080D"/>
    <w:rsid w:val="003D0BEC"/>
    <w:rsid w:val="003D1A66"/>
    <w:rsid w:val="003D1CCE"/>
    <w:rsid w:val="003D21CD"/>
    <w:rsid w:val="003D2218"/>
    <w:rsid w:val="003D3246"/>
    <w:rsid w:val="003D3A78"/>
    <w:rsid w:val="003D404A"/>
    <w:rsid w:val="003D5793"/>
    <w:rsid w:val="003D5F6F"/>
    <w:rsid w:val="003D6638"/>
    <w:rsid w:val="003D6863"/>
    <w:rsid w:val="003D6FAD"/>
    <w:rsid w:val="003E1547"/>
    <w:rsid w:val="003E245D"/>
    <w:rsid w:val="003E2631"/>
    <w:rsid w:val="003E3059"/>
    <w:rsid w:val="003E4164"/>
    <w:rsid w:val="003E4400"/>
    <w:rsid w:val="003E63CE"/>
    <w:rsid w:val="003F1D46"/>
    <w:rsid w:val="003F1DAB"/>
    <w:rsid w:val="003F461C"/>
    <w:rsid w:val="003F4EC8"/>
    <w:rsid w:val="003F7112"/>
    <w:rsid w:val="00400AC2"/>
    <w:rsid w:val="004014E6"/>
    <w:rsid w:val="0040226B"/>
    <w:rsid w:val="00402986"/>
    <w:rsid w:val="00402DDA"/>
    <w:rsid w:val="00403907"/>
    <w:rsid w:val="004045C6"/>
    <w:rsid w:val="00405131"/>
    <w:rsid w:val="0040573B"/>
    <w:rsid w:val="004113B4"/>
    <w:rsid w:val="004118F5"/>
    <w:rsid w:val="004135F2"/>
    <w:rsid w:val="004144C3"/>
    <w:rsid w:val="00414B7A"/>
    <w:rsid w:val="00415D2B"/>
    <w:rsid w:val="00416028"/>
    <w:rsid w:val="00416F74"/>
    <w:rsid w:val="00420D12"/>
    <w:rsid w:val="0042259A"/>
    <w:rsid w:val="00424EDA"/>
    <w:rsid w:val="0042768A"/>
    <w:rsid w:val="00427A55"/>
    <w:rsid w:val="00427B4A"/>
    <w:rsid w:val="0043053F"/>
    <w:rsid w:val="00430E8A"/>
    <w:rsid w:val="00434278"/>
    <w:rsid w:val="004348E1"/>
    <w:rsid w:val="00434B68"/>
    <w:rsid w:val="00434F5D"/>
    <w:rsid w:val="004362C1"/>
    <w:rsid w:val="00436411"/>
    <w:rsid w:val="00436D46"/>
    <w:rsid w:val="00436F32"/>
    <w:rsid w:val="00437678"/>
    <w:rsid w:val="004414B1"/>
    <w:rsid w:val="004420B3"/>
    <w:rsid w:val="0044231E"/>
    <w:rsid w:val="00442ACC"/>
    <w:rsid w:val="004441DA"/>
    <w:rsid w:val="004449AA"/>
    <w:rsid w:val="00445E16"/>
    <w:rsid w:val="00445E92"/>
    <w:rsid w:val="00447EB1"/>
    <w:rsid w:val="00447ED7"/>
    <w:rsid w:val="0045010B"/>
    <w:rsid w:val="004525D4"/>
    <w:rsid w:val="00452EA7"/>
    <w:rsid w:val="0045302C"/>
    <w:rsid w:val="00454BF0"/>
    <w:rsid w:val="00454CF5"/>
    <w:rsid w:val="00456609"/>
    <w:rsid w:val="00456CCB"/>
    <w:rsid w:val="00457541"/>
    <w:rsid w:val="0046041C"/>
    <w:rsid w:val="00461F9F"/>
    <w:rsid w:val="0046223B"/>
    <w:rsid w:val="004627C9"/>
    <w:rsid w:val="00462DC7"/>
    <w:rsid w:val="00463631"/>
    <w:rsid w:val="00464030"/>
    <w:rsid w:val="00465E6A"/>
    <w:rsid w:val="004662AB"/>
    <w:rsid w:val="00466B8C"/>
    <w:rsid w:val="00467806"/>
    <w:rsid w:val="00467BCB"/>
    <w:rsid w:val="00470A20"/>
    <w:rsid w:val="00471F0F"/>
    <w:rsid w:val="00472D1D"/>
    <w:rsid w:val="004736FD"/>
    <w:rsid w:val="00473AEC"/>
    <w:rsid w:val="00474F01"/>
    <w:rsid w:val="00477C3E"/>
    <w:rsid w:val="0048108F"/>
    <w:rsid w:val="00481E85"/>
    <w:rsid w:val="0048238F"/>
    <w:rsid w:val="00482586"/>
    <w:rsid w:val="00482D38"/>
    <w:rsid w:val="004836A1"/>
    <w:rsid w:val="00484CFA"/>
    <w:rsid w:val="00485B51"/>
    <w:rsid w:val="0048795D"/>
    <w:rsid w:val="004917A6"/>
    <w:rsid w:val="00491FC7"/>
    <w:rsid w:val="00493B5B"/>
    <w:rsid w:val="00493E05"/>
    <w:rsid w:val="004941A2"/>
    <w:rsid w:val="00495776"/>
    <w:rsid w:val="0049667A"/>
    <w:rsid w:val="00496CBC"/>
    <w:rsid w:val="00496EBC"/>
    <w:rsid w:val="004978DE"/>
    <w:rsid w:val="004A1A7F"/>
    <w:rsid w:val="004A2776"/>
    <w:rsid w:val="004A2C14"/>
    <w:rsid w:val="004A5581"/>
    <w:rsid w:val="004A6314"/>
    <w:rsid w:val="004A6FB7"/>
    <w:rsid w:val="004B0D85"/>
    <w:rsid w:val="004B1E05"/>
    <w:rsid w:val="004B38D9"/>
    <w:rsid w:val="004B5113"/>
    <w:rsid w:val="004C02C2"/>
    <w:rsid w:val="004C0B0B"/>
    <w:rsid w:val="004C1192"/>
    <w:rsid w:val="004C13DB"/>
    <w:rsid w:val="004C3626"/>
    <w:rsid w:val="004C3F42"/>
    <w:rsid w:val="004C4E99"/>
    <w:rsid w:val="004C684B"/>
    <w:rsid w:val="004C7779"/>
    <w:rsid w:val="004C7B77"/>
    <w:rsid w:val="004C7F19"/>
    <w:rsid w:val="004D0AED"/>
    <w:rsid w:val="004D3DE1"/>
    <w:rsid w:val="004D4ABC"/>
    <w:rsid w:val="004D558F"/>
    <w:rsid w:val="004D56CF"/>
    <w:rsid w:val="004D68ED"/>
    <w:rsid w:val="004D72C3"/>
    <w:rsid w:val="004D777D"/>
    <w:rsid w:val="004E09E8"/>
    <w:rsid w:val="004E110F"/>
    <w:rsid w:val="004E26A1"/>
    <w:rsid w:val="004E377D"/>
    <w:rsid w:val="004E3F6B"/>
    <w:rsid w:val="004E44EE"/>
    <w:rsid w:val="004F062D"/>
    <w:rsid w:val="004F106B"/>
    <w:rsid w:val="004F1390"/>
    <w:rsid w:val="004F16A4"/>
    <w:rsid w:val="004F1F33"/>
    <w:rsid w:val="004F212D"/>
    <w:rsid w:val="004F277D"/>
    <w:rsid w:val="004F4C63"/>
    <w:rsid w:val="004F5002"/>
    <w:rsid w:val="004F51FE"/>
    <w:rsid w:val="004F6815"/>
    <w:rsid w:val="004F6818"/>
    <w:rsid w:val="00500DE2"/>
    <w:rsid w:val="00504245"/>
    <w:rsid w:val="00505C22"/>
    <w:rsid w:val="00506733"/>
    <w:rsid w:val="00506E7D"/>
    <w:rsid w:val="005075A2"/>
    <w:rsid w:val="005108FE"/>
    <w:rsid w:val="00512766"/>
    <w:rsid w:val="00512ED0"/>
    <w:rsid w:val="00513901"/>
    <w:rsid w:val="0051431D"/>
    <w:rsid w:val="00515503"/>
    <w:rsid w:val="005165C7"/>
    <w:rsid w:val="00520421"/>
    <w:rsid w:val="00520690"/>
    <w:rsid w:val="00521954"/>
    <w:rsid w:val="00521DC2"/>
    <w:rsid w:val="00521DDC"/>
    <w:rsid w:val="00522350"/>
    <w:rsid w:val="005225CA"/>
    <w:rsid w:val="00522A7E"/>
    <w:rsid w:val="00523EAA"/>
    <w:rsid w:val="00524949"/>
    <w:rsid w:val="0052502F"/>
    <w:rsid w:val="00526358"/>
    <w:rsid w:val="00527592"/>
    <w:rsid w:val="005303BD"/>
    <w:rsid w:val="00530D45"/>
    <w:rsid w:val="005317A2"/>
    <w:rsid w:val="00534FFF"/>
    <w:rsid w:val="005357B1"/>
    <w:rsid w:val="005376A3"/>
    <w:rsid w:val="00543989"/>
    <w:rsid w:val="00545E9F"/>
    <w:rsid w:val="00552DED"/>
    <w:rsid w:val="005552B7"/>
    <w:rsid w:val="00556DC4"/>
    <w:rsid w:val="005571C9"/>
    <w:rsid w:val="005576D8"/>
    <w:rsid w:val="005576E0"/>
    <w:rsid w:val="0056067F"/>
    <w:rsid w:val="00561044"/>
    <w:rsid w:val="0056217F"/>
    <w:rsid w:val="0056475C"/>
    <w:rsid w:val="00564BC5"/>
    <w:rsid w:val="00566C8B"/>
    <w:rsid w:val="00566D6B"/>
    <w:rsid w:val="00567CED"/>
    <w:rsid w:val="005700C2"/>
    <w:rsid w:val="0057157A"/>
    <w:rsid w:val="005719B9"/>
    <w:rsid w:val="00571AB5"/>
    <w:rsid w:val="0057237C"/>
    <w:rsid w:val="00572ECD"/>
    <w:rsid w:val="00573B66"/>
    <w:rsid w:val="00574BA4"/>
    <w:rsid w:val="00575422"/>
    <w:rsid w:val="00575EAC"/>
    <w:rsid w:val="00576788"/>
    <w:rsid w:val="00577D22"/>
    <w:rsid w:val="00580DC2"/>
    <w:rsid w:val="00580E7C"/>
    <w:rsid w:val="0058163C"/>
    <w:rsid w:val="00582018"/>
    <w:rsid w:val="00582C3F"/>
    <w:rsid w:val="00583A7A"/>
    <w:rsid w:val="005849E1"/>
    <w:rsid w:val="00584D32"/>
    <w:rsid w:val="0058542D"/>
    <w:rsid w:val="00586E7B"/>
    <w:rsid w:val="00587C0B"/>
    <w:rsid w:val="00590D99"/>
    <w:rsid w:val="0059232E"/>
    <w:rsid w:val="00592B07"/>
    <w:rsid w:val="005937F0"/>
    <w:rsid w:val="00593A9F"/>
    <w:rsid w:val="00595A7A"/>
    <w:rsid w:val="00596933"/>
    <w:rsid w:val="005974D5"/>
    <w:rsid w:val="00597BB5"/>
    <w:rsid w:val="005A0F4D"/>
    <w:rsid w:val="005A18AB"/>
    <w:rsid w:val="005A208C"/>
    <w:rsid w:val="005A2323"/>
    <w:rsid w:val="005A2A87"/>
    <w:rsid w:val="005A2ABC"/>
    <w:rsid w:val="005A3DEF"/>
    <w:rsid w:val="005A4EB7"/>
    <w:rsid w:val="005B0544"/>
    <w:rsid w:val="005B1B54"/>
    <w:rsid w:val="005B4D32"/>
    <w:rsid w:val="005B4F57"/>
    <w:rsid w:val="005B5234"/>
    <w:rsid w:val="005B58B3"/>
    <w:rsid w:val="005B5DFE"/>
    <w:rsid w:val="005B7D90"/>
    <w:rsid w:val="005B7E7D"/>
    <w:rsid w:val="005C0349"/>
    <w:rsid w:val="005C1359"/>
    <w:rsid w:val="005C2E6C"/>
    <w:rsid w:val="005C331C"/>
    <w:rsid w:val="005C4460"/>
    <w:rsid w:val="005C45FE"/>
    <w:rsid w:val="005C4D2E"/>
    <w:rsid w:val="005C50DD"/>
    <w:rsid w:val="005C5E2B"/>
    <w:rsid w:val="005C5FD2"/>
    <w:rsid w:val="005C6728"/>
    <w:rsid w:val="005C686A"/>
    <w:rsid w:val="005C6EF8"/>
    <w:rsid w:val="005D1063"/>
    <w:rsid w:val="005D12C8"/>
    <w:rsid w:val="005D2632"/>
    <w:rsid w:val="005D2D98"/>
    <w:rsid w:val="005D36DF"/>
    <w:rsid w:val="005D4584"/>
    <w:rsid w:val="005D569D"/>
    <w:rsid w:val="005D5755"/>
    <w:rsid w:val="005D7918"/>
    <w:rsid w:val="005E04D0"/>
    <w:rsid w:val="005E0803"/>
    <w:rsid w:val="005E32B1"/>
    <w:rsid w:val="005E5576"/>
    <w:rsid w:val="005E7238"/>
    <w:rsid w:val="005F0B6E"/>
    <w:rsid w:val="005F1562"/>
    <w:rsid w:val="005F203B"/>
    <w:rsid w:val="005F2588"/>
    <w:rsid w:val="005F56BB"/>
    <w:rsid w:val="005F5FF4"/>
    <w:rsid w:val="005F6803"/>
    <w:rsid w:val="005F68E1"/>
    <w:rsid w:val="005F7368"/>
    <w:rsid w:val="0060146C"/>
    <w:rsid w:val="00601E64"/>
    <w:rsid w:val="0060281F"/>
    <w:rsid w:val="00604D7C"/>
    <w:rsid w:val="00605F9B"/>
    <w:rsid w:val="00611460"/>
    <w:rsid w:val="00611AD8"/>
    <w:rsid w:val="0061290C"/>
    <w:rsid w:val="006139E2"/>
    <w:rsid w:val="00613FEE"/>
    <w:rsid w:val="00614F24"/>
    <w:rsid w:val="00616542"/>
    <w:rsid w:val="006165F1"/>
    <w:rsid w:val="00616A2D"/>
    <w:rsid w:val="0061758B"/>
    <w:rsid w:val="0061781E"/>
    <w:rsid w:val="00617FE6"/>
    <w:rsid w:val="006206EB"/>
    <w:rsid w:val="00625037"/>
    <w:rsid w:val="006304FC"/>
    <w:rsid w:val="006307B6"/>
    <w:rsid w:val="00631CF4"/>
    <w:rsid w:val="006321FA"/>
    <w:rsid w:val="00632FAE"/>
    <w:rsid w:val="00634ED3"/>
    <w:rsid w:val="00636198"/>
    <w:rsid w:val="0064057C"/>
    <w:rsid w:val="00640F70"/>
    <w:rsid w:val="0064342E"/>
    <w:rsid w:val="00645CD5"/>
    <w:rsid w:val="00646BA9"/>
    <w:rsid w:val="00650AEA"/>
    <w:rsid w:val="006519E4"/>
    <w:rsid w:val="00651E6E"/>
    <w:rsid w:val="006520F1"/>
    <w:rsid w:val="006529B6"/>
    <w:rsid w:val="00652E31"/>
    <w:rsid w:val="006536B7"/>
    <w:rsid w:val="00656E06"/>
    <w:rsid w:val="00657916"/>
    <w:rsid w:val="00657F85"/>
    <w:rsid w:val="00660C09"/>
    <w:rsid w:val="006620F9"/>
    <w:rsid w:val="0066294F"/>
    <w:rsid w:val="006633F2"/>
    <w:rsid w:val="00665A11"/>
    <w:rsid w:val="006676DA"/>
    <w:rsid w:val="00667AC3"/>
    <w:rsid w:val="00671061"/>
    <w:rsid w:val="0067205A"/>
    <w:rsid w:val="0067315D"/>
    <w:rsid w:val="00673912"/>
    <w:rsid w:val="006743A9"/>
    <w:rsid w:val="00677765"/>
    <w:rsid w:val="0068055B"/>
    <w:rsid w:val="006819F3"/>
    <w:rsid w:val="00681A9C"/>
    <w:rsid w:val="00681DCE"/>
    <w:rsid w:val="00682CCF"/>
    <w:rsid w:val="00682F1A"/>
    <w:rsid w:val="00683F68"/>
    <w:rsid w:val="00683FB5"/>
    <w:rsid w:val="00685B02"/>
    <w:rsid w:val="00690FE2"/>
    <w:rsid w:val="006911AE"/>
    <w:rsid w:val="00691A71"/>
    <w:rsid w:val="00691B7F"/>
    <w:rsid w:val="00692630"/>
    <w:rsid w:val="00692FEC"/>
    <w:rsid w:val="0069363E"/>
    <w:rsid w:val="00693FFB"/>
    <w:rsid w:val="0069564F"/>
    <w:rsid w:val="0069613D"/>
    <w:rsid w:val="00697B68"/>
    <w:rsid w:val="006A1A30"/>
    <w:rsid w:val="006A4887"/>
    <w:rsid w:val="006A4F22"/>
    <w:rsid w:val="006A53C8"/>
    <w:rsid w:val="006A5867"/>
    <w:rsid w:val="006A7497"/>
    <w:rsid w:val="006A77C5"/>
    <w:rsid w:val="006B064A"/>
    <w:rsid w:val="006B09AB"/>
    <w:rsid w:val="006B14C1"/>
    <w:rsid w:val="006B2F12"/>
    <w:rsid w:val="006B51E5"/>
    <w:rsid w:val="006B72FF"/>
    <w:rsid w:val="006C02FB"/>
    <w:rsid w:val="006C187A"/>
    <w:rsid w:val="006C2430"/>
    <w:rsid w:val="006C2C1D"/>
    <w:rsid w:val="006C3442"/>
    <w:rsid w:val="006C5104"/>
    <w:rsid w:val="006C7D80"/>
    <w:rsid w:val="006D06B0"/>
    <w:rsid w:val="006D1468"/>
    <w:rsid w:val="006D150C"/>
    <w:rsid w:val="006D209A"/>
    <w:rsid w:val="006D26BE"/>
    <w:rsid w:val="006D3381"/>
    <w:rsid w:val="006D3C2A"/>
    <w:rsid w:val="006D4048"/>
    <w:rsid w:val="006D497D"/>
    <w:rsid w:val="006D5463"/>
    <w:rsid w:val="006D5545"/>
    <w:rsid w:val="006D614C"/>
    <w:rsid w:val="006D75D3"/>
    <w:rsid w:val="006D762D"/>
    <w:rsid w:val="006D7688"/>
    <w:rsid w:val="006E27B4"/>
    <w:rsid w:val="006E2F67"/>
    <w:rsid w:val="006E396C"/>
    <w:rsid w:val="006E43C8"/>
    <w:rsid w:val="006E5DF4"/>
    <w:rsid w:val="006E674E"/>
    <w:rsid w:val="006E6AF2"/>
    <w:rsid w:val="006E6E2E"/>
    <w:rsid w:val="006F2098"/>
    <w:rsid w:val="006F3059"/>
    <w:rsid w:val="006F336A"/>
    <w:rsid w:val="006F7506"/>
    <w:rsid w:val="00700161"/>
    <w:rsid w:val="00700A83"/>
    <w:rsid w:val="00700AAB"/>
    <w:rsid w:val="00701A90"/>
    <w:rsid w:val="00701C13"/>
    <w:rsid w:val="00702072"/>
    <w:rsid w:val="007027C1"/>
    <w:rsid w:val="007041CE"/>
    <w:rsid w:val="00705B4A"/>
    <w:rsid w:val="00705FD4"/>
    <w:rsid w:val="00710F5F"/>
    <w:rsid w:val="0071178A"/>
    <w:rsid w:val="00711D07"/>
    <w:rsid w:val="00711DA1"/>
    <w:rsid w:val="00712C88"/>
    <w:rsid w:val="007135A6"/>
    <w:rsid w:val="00717EDC"/>
    <w:rsid w:val="00720810"/>
    <w:rsid w:val="0072464D"/>
    <w:rsid w:val="00724EEC"/>
    <w:rsid w:val="00725C88"/>
    <w:rsid w:val="00733EBD"/>
    <w:rsid w:val="00735AAE"/>
    <w:rsid w:val="00736A80"/>
    <w:rsid w:val="00736EF3"/>
    <w:rsid w:val="00736F55"/>
    <w:rsid w:val="00737C6E"/>
    <w:rsid w:val="00737D46"/>
    <w:rsid w:val="00740318"/>
    <w:rsid w:val="00740A23"/>
    <w:rsid w:val="00741363"/>
    <w:rsid w:val="0074213C"/>
    <w:rsid w:val="00742A9E"/>
    <w:rsid w:val="0074321E"/>
    <w:rsid w:val="00744569"/>
    <w:rsid w:val="007453CE"/>
    <w:rsid w:val="007458B6"/>
    <w:rsid w:val="007458C5"/>
    <w:rsid w:val="00746F31"/>
    <w:rsid w:val="007475A4"/>
    <w:rsid w:val="00750EE0"/>
    <w:rsid w:val="00752A2D"/>
    <w:rsid w:val="00754C03"/>
    <w:rsid w:val="007551D2"/>
    <w:rsid w:val="00756AE5"/>
    <w:rsid w:val="007573BB"/>
    <w:rsid w:val="007601F5"/>
    <w:rsid w:val="0076339F"/>
    <w:rsid w:val="007640B7"/>
    <w:rsid w:val="00765C2B"/>
    <w:rsid w:val="00765EBF"/>
    <w:rsid w:val="007672EF"/>
    <w:rsid w:val="00770D3A"/>
    <w:rsid w:val="00770E91"/>
    <w:rsid w:val="007713DC"/>
    <w:rsid w:val="007722AC"/>
    <w:rsid w:val="00773356"/>
    <w:rsid w:val="00773A22"/>
    <w:rsid w:val="00773EAC"/>
    <w:rsid w:val="007754B5"/>
    <w:rsid w:val="007758EF"/>
    <w:rsid w:val="00776B5B"/>
    <w:rsid w:val="0077764D"/>
    <w:rsid w:val="00777975"/>
    <w:rsid w:val="00777CA2"/>
    <w:rsid w:val="007801E3"/>
    <w:rsid w:val="00781E6F"/>
    <w:rsid w:val="00783533"/>
    <w:rsid w:val="00783DC2"/>
    <w:rsid w:val="00784257"/>
    <w:rsid w:val="0078450B"/>
    <w:rsid w:val="00784D0A"/>
    <w:rsid w:val="0078516E"/>
    <w:rsid w:val="00786D1A"/>
    <w:rsid w:val="0078730B"/>
    <w:rsid w:val="0079177B"/>
    <w:rsid w:val="007921D3"/>
    <w:rsid w:val="007933A7"/>
    <w:rsid w:val="00796DB1"/>
    <w:rsid w:val="00797408"/>
    <w:rsid w:val="007A077C"/>
    <w:rsid w:val="007A166B"/>
    <w:rsid w:val="007A17B5"/>
    <w:rsid w:val="007A17DD"/>
    <w:rsid w:val="007A19DF"/>
    <w:rsid w:val="007A1C0A"/>
    <w:rsid w:val="007A2E53"/>
    <w:rsid w:val="007A38A7"/>
    <w:rsid w:val="007A6A12"/>
    <w:rsid w:val="007A7F65"/>
    <w:rsid w:val="007B1011"/>
    <w:rsid w:val="007B2C4F"/>
    <w:rsid w:val="007B4622"/>
    <w:rsid w:val="007B480D"/>
    <w:rsid w:val="007B611D"/>
    <w:rsid w:val="007B7079"/>
    <w:rsid w:val="007C0492"/>
    <w:rsid w:val="007C072E"/>
    <w:rsid w:val="007C155E"/>
    <w:rsid w:val="007C1F06"/>
    <w:rsid w:val="007C2442"/>
    <w:rsid w:val="007C4461"/>
    <w:rsid w:val="007C48AE"/>
    <w:rsid w:val="007C6290"/>
    <w:rsid w:val="007C6A47"/>
    <w:rsid w:val="007C7F9E"/>
    <w:rsid w:val="007D0C28"/>
    <w:rsid w:val="007D0C98"/>
    <w:rsid w:val="007D1917"/>
    <w:rsid w:val="007D1D75"/>
    <w:rsid w:val="007D26A3"/>
    <w:rsid w:val="007D36A4"/>
    <w:rsid w:val="007D4FB5"/>
    <w:rsid w:val="007D5FBB"/>
    <w:rsid w:val="007E199B"/>
    <w:rsid w:val="007E1F32"/>
    <w:rsid w:val="007E26C2"/>
    <w:rsid w:val="007E2D9A"/>
    <w:rsid w:val="007E38CD"/>
    <w:rsid w:val="007E472C"/>
    <w:rsid w:val="007E79CB"/>
    <w:rsid w:val="007F24E7"/>
    <w:rsid w:val="007F28BA"/>
    <w:rsid w:val="007F58D8"/>
    <w:rsid w:val="007F683C"/>
    <w:rsid w:val="007F6B45"/>
    <w:rsid w:val="007F6C41"/>
    <w:rsid w:val="007F785A"/>
    <w:rsid w:val="00800745"/>
    <w:rsid w:val="008016F0"/>
    <w:rsid w:val="008020A2"/>
    <w:rsid w:val="008020B0"/>
    <w:rsid w:val="00802E4F"/>
    <w:rsid w:val="00803451"/>
    <w:rsid w:val="00803931"/>
    <w:rsid w:val="00803FD1"/>
    <w:rsid w:val="00804969"/>
    <w:rsid w:val="00804C8C"/>
    <w:rsid w:val="008059C1"/>
    <w:rsid w:val="0080688E"/>
    <w:rsid w:val="0081002B"/>
    <w:rsid w:val="008109F0"/>
    <w:rsid w:val="00811371"/>
    <w:rsid w:val="0081149D"/>
    <w:rsid w:val="008123F1"/>
    <w:rsid w:val="00813D6E"/>
    <w:rsid w:val="00816411"/>
    <w:rsid w:val="00817A34"/>
    <w:rsid w:val="00820298"/>
    <w:rsid w:val="008219A2"/>
    <w:rsid w:val="00821B90"/>
    <w:rsid w:val="00821EE4"/>
    <w:rsid w:val="00822431"/>
    <w:rsid w:val="00822D4C"/>
    <w:rsid w:val="00823720"/>
    <w:rsid w:val="00823D9F"/>
    <w:rsid w:val="00826152"/>
    <w:rsid w:val="00826E22"/>
    <w:rsid w:val="00827B59"/>
    <w:rsid w:val="00830BFB"/>
    <w:rsid w:val="008311F3"/>
    <w:rsid w:val="0083266C"/>
    <w:rsid w:val="00832AF7"/>
    <w:rsid w:val="00833BE8"/>
    <w:rsid w:val="008352C6"/>
    <w:rsid w:val="00835A7B"/>
    <w:rsid w:val="00837899"/>
    <w:rsid w:val="0083794A"/>
    <w:rsid w:val="008404A2"/>
    <w:rsid w:val="0084462A"/>
    <w:rsid w:val="00844CB8"/>
    <w:rsid w:val="00844DD0"/>
    <w:rsid w:val="00844FE7"/>
    <w:rsid w:val="00845338"/>
    <w:rsid w:val="0084540B"/>
    <w:rsid w:val="00846618"/>
    <w:rsid w:val="00852348"/>
    <w:rsid w:val="00852EAC"/>
    <w:rsid w:val="008530DF"/>
    <w:rsid w:val="00853206"/>
    <w:rsid w:val="0085392E"/>
    <w:rsid w:val="00854A29"/>
    <w:rsid w:val="0085531E"/>
    <w:rsid w:val="00856294"/>
    <w:rsid w:val="008564FC"/>
    <w:rsid w:val="00856527"/>
    <w:rsid w:val="00856968"/>
    <w:rsid w:val="00856A6A"/>
    <w:rsid w:val="0085708B"/>
    <w:rsid w:val="00857580"/>
    <w:rsid w:val="00857DA8"/>
    <w:rsid w:val="00862564"/>
    <w:rsid w:val="008625BB"/>
    <w:rsid w:val="008630C5"/>
    <w:rsid w:val="008639DF"/>
    <w:rsid w:val="00863ADA"/>
    <w:rsid w:val="00864A74"/>
    <w:rsid w:val="00864BCD"/>
    <w:rsid w:val="008656CA"/>
    <w:rsid w:val="00865767"/>
    <w:rsid w:val="0086782C"/>
    <w:rsid w:val="0087030E"/>
    <w:rsid w:val="00871F1B"/>
    <w:rsid w:val="0087254F"/>
    <w:rsid w:val="008731ED"/>
    <w:rsid w:val="00873A05"/>
    <w:rsid w:val="00875235"/>
    <w:rsid w:val="00876E96"/>
    <w:rsid w:val="008772E2"/>
    <w:rsid w:val="0088381C"/>
    <w:rsid w:val="00885375"/>
    <w:rsid w:val="008862CC"/>
    <w:rsid w:val="00886AE0"/>
    <w:rsid w:val="00891373"/>
    <w:rsid w:val="00893AB0"/>
    <w:rsid w:val="0089481E"/>
    <w:rsid w:val="0089613D"/>
    <w:rsid w:val="00897490"/>
    <w:rsid w:val="008A100B"/>
    <w:rsid w:val="008A2343"/>
    <w:rsid w:val="008A23C3"/>
    <w:rsid w:val="008A2AA9"/>
    <w:rsid w:val="008A2E24"/>
    <w:rsid w:val="008A6054"/>
    <w:rsid w:val="008B017E"/>
    <w:rsid w:val="008B033B"/>
    <w:rsid w:val="008B1EEE"/>
    <w:rsid w:val="008B2770"/>
    <w:rsid w:val="008B3771"/>
    <w:rsid w:val="008B4409"/>
    <w:rsid w:val="008B5649"/>
    <w:rsid w:val="008B6078"/>
    <w:rsid w:val="008B7E8F"/>
    <w:rsid w:val="008C0026"/>
    <w:rsid w:val="008C0C9C"/>
    <w:rsid w:val="008C0D0F"/>
    <w:rsid w:val="008C0DC1"/>
    <w:rsid w:val="008C2433"/>
    <w:rsid w:val="008C2F99"/>
    <w:rsid w:val="008C415C"/>
    <w:rsid w:val="008C4637"/>
    <w:rsid w:val="008C4710"/>
    <w:rsid w:val="008C4A37"/>
    <w:rsid w:val="008C529B"/>
    <w:rsid w:val="008C6B04"/>
    <w:rsid w:val="008D0253"/>
    <w:rsid w:val="008D2EEB"/>
    <w:rsid w:val="008D390F"/>
    <w:rsid w:val="008D6230"/>
    <w:rsid w:val="008D6448"/>
    <w:rsid w:val="008D7B60"/>
    <w:rsid w:val="008E2036"/>
    <w:rsid w:val="008F0FF7"/>
    <w:rsid w:val="008F25BA"/>
    <w:rsid w:val="008F671A"/>
    <w:rsid w:val="00900300"/>
    <w:rsid w:val="00900B0F"/>
    <w:rsid w:val="009028CD"/>
    <w:rsid w:val="00903703"/>
    <w:rsid w:val="00903A6C"/>
    <w:rsid w:val="009041D1"/>
    <w:rsid w:val="00904DD0"/>
    <w:rsid w:val="00904E11"/>
    <w:rsid w:val="00905F87"/>
    <w:rsid w:val="00906433"/>
    <w:rsid w:val="009106C9"/>
    <w:rsid w:val="00910DF3"/>
    <w:rsid w:val="00912EA6"/>
    <w:rsid w:val="00913C48"/>
    <w:rsid w:val="009156FA"/>
    <w:rsid w:val="0091797C"/>
    <w:rsid w:val="009216CB"/>
    <w:rsid w:val="00922BB7"/>
    <w:rsid w:val="00924A01"/>
    <w:rsid w:val="00930904"/>
    <w:rsid w:val="0093305D"/>
    <w:rsid w:val="00933731"/>
    <w:rsid w:val="009349B0"/>
    <w:rsid w:val="009368B2"/>
    <w:rsid w:val="00940DDC"/>
    <w:rsid w:val="009410E5"/>
    <w:rsid w:val="0094549E"/>
    <w:rsid w:val="0094580C"/>
    <w:rsid w:val="009467F5"/>
    <w:rsid w:val="009468F5"/>
    <w:rsid w:val="00947F50"/>
    <w:rsid w:val="009515A6"/>
    <w:rsid w:val="00951C39"/>
    <w:rsid w:val="00951DC3"/>
    <w:rsid w:val="009543B9"/>
    <w:rsid w:val="00954508"/>
    <w:rsid w:val="00956674"/>
    <w:rsid w:val="009614CB"/>
    <w:rsid w:val="009636EF"/>
    <w:rsid w:val="00964DC3"/>
    <w:rsid w:val="00965006"/>
    <w:rsid w:val="0096607E"/>
    <w:rsid w:val="00966253"/>
    <w:rsid w:val="00966B46"/>
    <w:rsid w:val="00966FEB"/>
    <w:rsid w:val="00970439"/>
    <w:rsid w:val="009707F2"/>
    <w:rsid w:val="0097340E"/>
    <w:rsid w:val="009747CB"/>
    <w:rsid w:val="009757FE"/>
    <w:rsid w:val="009762A8"/>
    <w:rsid w:val="00976B4F"/>
    <w:rsid w:val="00976E3F"/>
    <w:rsid w:val="0098041C"/>
    <w:rsid w:val="00981154"/>
    <w:rsid w:val="00982E63"/>
    <w:rsid w:val="00983602"/>
    <w:rsid w:val="00983636"/>
    <w:rsid w:val="00983EF3"/>
    <w:rsid w:val="0098431F"/>
    <w:rsid w:val="0098622F"/>
    <w:rsid w:val="00986B10"/>
    <w:rsid w:val="0098718B"/>
    <w:rsid w:val="00987866"/>
    <w:rsid w:val="00991FD9"/>
    <w:rsid w:val="00992419"/>
    <w:rsid w:val="00994A5C"/>
    <w:rsid w:val="00994B9E"/>
    <w:rsid w:val="00995B02"/>
    <w:rsid w:val="00995B3C"/>
    <w:rsid w:val="00995DA9"/>
    <w:rsid w:val="00996A82"/>
    <w:rsid w:val="009979C0"/>
    <w:rsid w:val="00997A98"/>
    <w:rsid w:val="009A1AE6"/>
    <w:rsid w:val="009A31EF"/>
    <w:rsid w:val="009A323D"/>
    <w:rsid w:val="009A3D00"/>
    <w:rsid w:val="009A525A"/>
    <w:rsid w:val="009A5633"/>
    <w:rsid w:val="009A601E"/>
    <w:rsid w:val="009A65AB"/>
    <w:rsid w:val="009A67C9"/>
    <w:rsid w:val="009A71B3"/>
    <w:rsid w:val="009B05E1"/>
    <w:rsid w:val="009B1123"/>
    <w:rsid w:val="009B17CB"/>
    <w:rsid w:val="009B1B7B"/>
    <w:rsid w:val="009B35CB"/>
    <w:rsid w:val="009B38F5"/>
    <w:rsid w:val="009B3ED6"/>
    <w:rsid w:val="009B40A9"/>
    <w:rsid w:val="009B5749"/>
    <w:rsid w:val="009C07D4"/>
    <w:rsid w:val="009C0A82"/>
    <w:rsid w:val="009C0D1A"/>
    <w:rsid w:val="009C0D1E"/>
    <w:rsid w:val="009C110F"/>
    <w:rsid w:val="009C18C4"/>
    <w:rsid w:val="009C236E"/>
    <w:rsid w:val="009C3F1B"/>
    <w:rsid w:val="009C4BEC"/>
    <w:rsid w:val="009C4BF5"/>
    <w:rsid w:val="009C63E6"/>
    <w:rsid w:val="009C6506"/>
    <w:rsid w:val="009C6BEF"/>
    <w:rsid w:val="009C7939"/>
    <w:rsid w:val="009D03D5"/>
    <w:rsid w:val="009D0A4A"/>
    <w:rsid w:val="009D2758"/>
    <w:rsid w:val="009D4E25"/>
    <w:rsid w:val="009D5349"/>
    <w:rsid w:val="009D5E7E"/>
    <w:rsid w:val="009D7D92"/>
    <w:rsid w:val="009E0E4E"/>
    <w:rsid w:val="009E2A50"/>
    <w:rsid w:val="009E3805"/>
    <w:rsid w:val="009E3860"/>
    <w:rsid w:val="009E3974"/>
    <w:rsid w:val="009E3CC2"/>
    <w:rsid w:val="009E5184"/>
    <w:rsid w:val="009E582A"/>
    <w:rsid w:val="009E640A"/>
    <w:rsid w:val="009E6553"/>
    <w:rsid w:val="009E6E60"/>
    <w:rsid w:val="009F00CF"/>
    <w:rsid w:val="009F066E"/>
    <w:rsid w:val="009F0ED7"/>
    <w:rsid w:val="009F163B"/>
    <w:rsid w:val="009F56ED"/>
    <w:rsid w:val="009F6BB1"/>
    <w:rsid w:val="00A043E4"/>
    <w:rsid w:val="00A04EE7"/>
    <w:rsid w:val="00A0510A"/>
    <w:rsid w:val="00A05FA9"/>
    <w:rsid w:val="00A0641C"/>
    <w:rsid w:val="00A0665F"/>
    <w:rsid w:val="00A07165"/>
    <w:rsid w:val="00A0755C"/>
    <w:rsid w:val="00A109AB"/>
    <w:rsid w:val="00A10EDB"/>
    <w:rsid w:val="00A117BB"/>
    <w:rsid w:val="00A11A6A"/>
    <w:rsid w:val="00A1232C"/>
    <w:rsid w:val="00A12AAE"/>
    <w:rsid w:val="00A13473"/>
    <w:rsid w:val="00A13C93"/>
    <w:rsid w:val="00A15051"/>
    <w:rsid w:val="00A15280"/>
    <w:rsid w:val="00A1708B"/>
    <w:rsid w:val="00A20ABF"/>
    <w:rsid w:val="00A20E6F"/>
    <w:rsid w:val="00A2150E"/>
    <w:rsid w:val="00A2191D"/>
    <w:rsid w:val="00A21A01"/>
    <w:rsid w:val="00A22ED2"/>
    <w:rsid w:val="00A23A0E"/>
    <w:rsid w:val="00A246F6"/>
    <w:rsid w:val="00A26094"/>
    <w:rsid w:val="00A33E86"/>
    <w:rsid w:val="00A340F6"/>
    <w:rsid w:val="00A36EAA"/>
    <w:rsid w:val="00A37B74"/>
    <w:rsid w:val="00A409CD"/>
    <w:rsid w:val="00A40A19"/>
    <w:rsid w:val="00A41C30"/>
    <w:rsid w:val="00A41D3A"/>
    <w:rsid w:val="00A4262C"/>
    <w:rsid w:val="00A4566A"/>
    <w:rsid w:val="00A45DAA"/>
    <w:rsid w:val="00A45E6E"/>
    <w:rsid w:val="00A47A0C"/>
    <w:rsid w:val="00A50772"/>
    <w:rsid w:val="00A50807"/>
    <w:rsid w:val="00A51084"/>
    <w:rsid w:val="00A5158B"/>
    <w:rsid w:val="00A519C2"/>
    <w:rsid w:val="00A51B67"/>
    <w:rsid w:val="00A52A2A"/>
    <w:rsid w:val="00A53E0F"/>
    <w:rsid w:val="00A544B2"/>
    <w:rsid w:val="00A57AC0"/>
    <w:rsid w:val="00A57C50"/>
    <w:rsid w:val="00A612A9"/>
    <w:rsid w:val="00A61A76"/>
    <w:rsid w:val="00A6234F"/>
    <w:rsid w:val="00A62C12"/>
    <w:rsid w:val="00A6338E"/>
    <w:rsid w:val="00A63837"/>
    <w:rsid w:val="00A644C2"/>
    <w:rsid w:val="00A64CF6"/>
    <w:rsid w:val="00A654B1"/>
    <w:rsid w:val="00A65B82"/>
    <w:rsid w:val="00A71900"/>
    <w:rsid w:val="00A71D58"/>
    <w:rsid w:val="00A72605"/>
    <w:rsid w:val="00A75D07"/>
    <w:rsid w:val="00A766ED"/>
    <w:rsid w:val="00A76FBE"/>
    <w:rsid w:val="00A81834"/>
    <w:rsid w:val="00A81D38"/>
    <w:rsid w:val="00A8377A"/>
    <w:rsid w:val="00A84B8A"/>
    <w:rsid w:val="00A84B8D"/>
    <w:rsid w:val="00A854A2"/>
    <w:rsid w:val="00A858D6"/>
    <w:rsid w:val="00A864C5"/>
    <w:rsid w:val="00A905B8"/>
    <w:rsid w:val="00A90A3C"/>
    <w:rsid w:val="00A9161D"/>
    <w:rsid w:val="00A959E5"/>
    <w:rsid w:val="00A96208"/>
    <w:rsid w:val="00A96F52"/>
    <w:rsid w:val="00A97375"/>
    <w:rsid w:val="00AA0ABD"/>
    <w:rsid w:val="00AA2B05"/>
    <w:rsid w:val="00AA4285"/>
    <w:rsid w:val="00AA57F5"/>
    <w:rsid w:val="00AA799A"/>
    <w:rsid w:val="00AB154E"/>
    <w:rsid w:val="00AB2061"/>
    <w:rsid w:val="00AB45A2"/>
    <w:rsid w:val="00AB62BE"/>
    <w:rsid w:val="00AB67C8"/>
    <w:rsid w:val="00AB6FF7"/>
    <w:rsid w:val="00AC18AD"/>
    <w:rsid w:val="00AC230D"/>
    <w:rsid w:val="00AC2708"/>
    <w:rsid w:val="00AC36F7"/>
    <w:rsid w:val="00AC37D5"/>
    <w:rsid w:val="00AC3A33"/>
    <w:rsid w:val="00AC5E2D"/>
    <w:rsid w:val="00AC6776"/>
    <w:rsid w:val="00AC7771"/>
    <w:rsid w:val="00AC78CB"/>
    <w:rsid w:val="00AD020F"/>
    <w:rsid w:val="00AD0263"/>
    <w:rsid w:val="00AD0EF3"/>
    <w:rsid w:val="00AD14F3"/>
    <w:rsid w:val="00AD2818"/>
    <w:rsid w:val="00AD3717"/>
    <w:rsid w:val="00AD48EB"/>
    <w:rsid w:val="00AD5F62"/>
    <w:rsid w:val="00AD775B"/>
    <w:rsid w:val="00AD7E3A"/>
    <w:rsid w:val="00AE094A"/>
    <w:rsid w:val="00AE0C54"/>
    <w:rsid w:val="00AE0F59"/>
    <w:rsid w:val="00AE16FF"/>
    <w:rsid w:val="00AE25A1"/>
    <w:rsid w:val="00AE4279"/>
    <w:rsid w:val="00AE6882"/>
    <w:rsid w:val="00AF166D"/>
    <w:rsid w:val="00AF2D63"/>
    <w:rsid w:val="00AF2E41"/>
    <w:rsid w:val="00AF4495"/>
    <w:rsid w:val="00AF65EE"/>
    <w:rsid w:val="00AF765A"/>
    <w:rsid w:val="00B00385"/>
    <w:rsid w:val="00B00DAB"/>
    <w:rsid w:val="00B01DC2"/>
    <w:rsid w:val="00B02B3E"/>
    <w:rsid w:val="00B02E38"/>
    <w:rsid w:val="00B03B76"/>
    <w:rsid w:val="00B04D7F"/>
    <w:rsid w:val="00B05271"/>
    <w:rsid w:val="00B060A2"/>
    <w:rsid w:val="00B064A8"/>
    <w:rsid w:val="00B101D6"/>
    <w:rsid w:val="00B11136"/>
    <w:rsid w:val="00B1177F"/>
    <w:rsid w:val="00B129BC"/>
    <w:rsid w:val="00B13E76"/>
    <w:rsid w:val="00B1465C"/>
    <w:rsid w:val="00B1542B"/>
    <w:rsid w:val="00B16AB1"/>
    <w:rsid w:val="00B16CDE"/>
    <w:rsid w:val="00B16D4C"/>
    <w:rsid w:val="00B172C9"/>
    <w:rsid w:val="00B17BD9"/>
    <w:rsid w:val="00B20493"/>
    <w:rsid w:val="00B2050B"/>
    <w:rsid w:val="00B2204D"/>
    <w:rsid w:val="00B2237A"/>
    <w:rsid w:val="00B23F88"/>
    <w:rsid w:val="00B245FE"/>
    <w:rsid w:val="00B25030"/>
    <w:rsid w:val="00B26C5C"/>
    <w:rsid w:val="00B2713B"/>
    <w:rsid w:val="00B27446"/>
    <w:rsid w:val="00B30571"/>
    <w:rsid w:val="00B314FD"/>
    <w:rsid w:val="00B323A0"/>
    <w:rsid w:val="00B34924"/>
    <w:rsid w:val="00B3686D"/>
    <w:rsid w:val="00B36882"/>
    <w:rsid w:val="00B41069"/>
    <w:rsid w:val="00B41A20"/>
    <w:rsid w:val="00B42B8B"/>
    <w:rsid w:val="00B45795"/>
    <w:rsid w:val="00B51DD5"/>
    <w:rsid w:val="00B53809"/>
    <w:rsid w:val="00B538EA"/>
    <w:rsid w:val="00B53D85"/>
    <w:rsid w:val="00B548C3"/>
    <w:rsid w:val="00B557B2"/>
    <w:rsid w:val="00B6085C"/>
    <w:rsid w:val="00B6105A"/>
    <w:rsid w:val="00B61CD4"/>
    <w:rsid w:val="00B656B1"/>
    <w:rsid w:val="00B67B20"/>
    <w:rsid w:val="00B71D3B"/>
    <w:rsid w:val="00B72310"/>
    <w:rsid w:val="00B7239B"/>
    <w:rsid w:val="00B73694"/>
    <w:rsid w:val="00B74AF1"/>
    <w:rsid w:val="00B763D9"/>
    <w:rsid w:val="00B77913"/>
    <w:rsid w:val="00B80310"/>
    <w:rsid w:val="00B82490"/>
    <w:rsid w:val="00B829D1"/>
    <w:rsid w:val="00B82A2F"/>
    <w:rsid w:val="00B83044"/>
    <w:rsid w:val="00B835B4"/>
    <w:rsid w:val="00B83C75"/>
    <w:rsid w:val="00B8541F"/>
    <w:rsid w:val="00B854B7"/>
    <w:rsid w:val="00B861B9"/>
    <w:rsid w:val="00B86DA5"/>
    <w:rsid w:val="00B8702C"/>
    <w:rsid w:val="00B87381"/>
    <w:rsid w:val="00B91040"/>
    <w:rsid w:val="00B915BB"/>
    <w:rsid w:val="00B91C05"/>
    <w:rsid w:val="00B91ED4"/>
    <w:rsid w:val="00B934F4"/>
    <w:rsid w:val="00B94D7F"/>
    <w:rsid w:val="00B94F92"/>
    <w:rsid w:val="00B95C5A"/>
    <w:rsid w:val="00B95DA1"/>
    <w:rsid w:val="00B96B49"/>
    <w:rsid w:val="00B9717C"/>
    <w:rsid w:val="00BA143F"/>
    <w:rsid w:val="00BA1F9D"/>
    <w:rsid w:val="00BA2192"/>
    <w:rsid w:val="00BA21CF"/>
    <w:rsid w:val="00BA3AC9"/>
    <w:rsid w:val="00BA5220"/>
    <w:rsid w:val="00BA7149"/>
    <w:rsid w:val="00BA7C34"/>
    <w:rsid w:val="00BB259F"/>
    <w:rsid w:val="00BB3543"/>
    <w:rsid w:val="00BB3958"/>
    <w:rsid w:val="00BB48C7"/>
    <w:rsid w:val="00BB4CB7"/>
    <w:rsid w:val="00BB5027"/>
    <w:rsid w:val="00BB5F31"/>
    <w:rsid w:val="00BB66E0"/>
    <w:rsid w:val="00BB6804"/>
    <w:rsid w:val="00BB6B0C"/>
    <w:rsid w:val="00BC1245"/>
    <w:rsid w:val="00BC1F3D"/>
    <w:rsid w:val="00BC270D"/>
    <w:rsid w:val="00BC2E3D"/>
    <w:rsid w:val="00BC3285"/>
    <w:rsid w:val="00BC3FAB"/>
    <w:rsid w:val="00BC40C9"/>
    <w:rsid w:val="00BC4308"/>
    <w:rsid w:val="00BC4A09"/>
    <w:rsid w:val="00BC51A3"/>
    <w:rsid w:val="00BC7D23"/>
    <w:rsid w:val="00BD0BBF"/>
    <w:rsid w:val="00BD12B1"/>
    <w:rsid w:val="00BD221A"/>
    <w:rsid w:val="00BD2DFC"/>
    <w:rsid w:val="00BD6995"/>
    <w:rsid w:val="00BD71D7"/>
    <w:rsid w:val="00BD7B8E"/>
    <w:rsid w:val="00BE47FD"/>
    <w:rsid w:val="00BE5CC3"/>
    <w:rsid w:val="00BE6094"/>
    <w:rsid w:val="00BE609E"/>
    <w:rsid w:val="00BF2989"/>
    <w:rsid w:val="00BF2CE7"/>
    <w:rsid w:val="00BF3720"/>
    <w:rsid w:val="00BF3E77"/>
    <w:rsid w:val="00BF7C20"/>
    <w:rsid w:val="00C00ACB"/>
    <w:rsid w:val="00C00B1A"/>
    <w:rsid w:val="00C00BE6"/>
    <w:rsid w:val="00C01414"/>
    <w:rsid w:val="00C01EDA"/>
    <w:rsid w:val="00C02774"/>
    <w:rsid w:val="00C02801"/>
    <w:rsid w:val="00C028AA"/>
    <w:rsid w:val="00C02E28"/>
    <w:rsid w:val="00C037B6"/>
    <w:rsid w:val="00C045F9"/>
    <w:rsid w:val="00C05655"/>
    <w:rsid w:val="00C058F3"/>
    <w:rsid w:val="00C05D67"/>
    <w:rsid w:val="00C067B2"/>
    <w:rsid w:val="00C070EA"/>
    <w:rsid w:val="00C11396"/>
    <w:rsid w:val="00C139D6"/>
    <w:rsid w:val="00C1450D"/>
    <w:rsid w:val="00C15361"/>
    <w:rsid w:val="00C15542"/>
    <w:rsid w:val="00C1566F"/>
    <w:rsid w:val="00C15AF9"/>
    <w:rsid w:val="00C25641"/>
    <w:rsid w:val="00C26B2E"/>
    <w:rsid w:val="00C3055F"/>
    <w:rsid w:val="00C310DF"/>
    <w:rsid w:val="00C322F7"/>
    <w:rsid w:val="00C3265B"/>
    <w:rsid w:val="00C32C2D"/>
    <w:rsid w:val="00C32FD1"/>
    <w:rsid w:val="00C34A3E"/>
    <w:rsid w:val="00C37251"/>
    <w:rsid w:val="00C40432"/>
    <w:rsid w:val="00C41902"/>
    <w:rsid w:val="00C41C8A"/>
    <w:rsid w:val="00C46503"/>
    <w:rsid w:val="00C47013"/>
    <w:rsid w:val="00C470F9"/>
    <w:rsid w:val="00C4788A"/>
    <w:rsid w:val="00C5197D"/>
    <w:rsid w:val="00C5402E"/>
    <w:rsid w:val="00C55E67"/>
    <w:rsid w:val="00C57DB7"/>
    <w:rsid w:val="00C61B26"/>
    <w:rsid w:val="00C61E7E"/>
    <w:rsid w:val="00C63769"/>
    <w:rsid w:val="00C7004C"/>
    <w:rsid w:val="00C709D7"/>
    <w:rsid w:val="00C7215E"/>
    <w:rsid w:val="00C72805"/>
    <w:rsid w:val="00C72B17"/>
    <w:rsid w:val="00C732F8"/>
    <w:rsid w:val="00C76675"/>
    <w:rsid w:val="00C76AF6"/>
    <w:rsid w:val="00C77596"/>
    <w:rsid w:val="00C779D7"/>
    <w:rsid w:val="00C82519"/>
    <w:rsid w:val="00C82B83"/>
    <w:rsid w:val="00C84621"/>
    <w:rsid w:val="00C848B2"/>
    <w:rsid w:val="00C84FB7"/>
    <w:rsid w:val="00C86BEF"/>
    <w:rsid w:val="00C8700E"/>
    <w:rsid w:val="00C90440"/>
    <w:rsid w:val="00C9054D"/>
    <w:rsid w:val="00C90E8E"/>
    <w:rsid w:val="00C91839"/>
    <w:rsid w:val="00C91D5F"/>
    <w:rsid w:val="00C91E73"/>
    <w:rsid w:val="00C970CA"/>
    <w:rsid w:val="00CA303F"/>
    <w:rsid w:val="00CA40B4"/>
    <w:rsid w:val="00CA4D80"/>
    <w:rsid w:val="00CA4F01"/>
    <w:rsid w:val="00CA557A"/>
    <w:rsid w:val="00CA62F1"/>
    <w:rsid w:val="00CA6592"/>
    <w:rsid w:val="00CA6E51"/>
    <w:rsid w:val="00CB2965"/>
    <w:rsid w:val="00CB2AE4"/>
    <w:rsid w:val="00CB2FED"/>
    <w:rsid w:val="00CB3199"/>
    <w:rsid w:val="00CB3BD8"/>
    <w:rsid w:val="00CB4549"/>
    <w:rsid w:val="00CB51D1"/>
    <w:rsid w:val="00CB56D4"/>
    <w:rsid w:val="00CB634E"/>
    <w:rsid w:val="00CB6D9F"/>
    <w:rsid w:val="00CB7690"/>
    <w:rsid w:val="00CB7E24"/>
    <w:rsid w:val="00CC0421"/>
    <w:rsid w:val="00CC2743"/>
    <w:rsid w:val="00CC4D90"/>
    <w:rsid w:val="00CC4FFE"/>
    <w:rsid w:val="00CC63D0"/>
    <w:rsid w:val="00CC69E7"/>
    <w:rsid w:val="00CC6B4D"/>
    <w:rsid w:val="00CD06F2"/>
    <w:rsid w:val="00CD0E81"/>
    <w:rsid w:val="00CD133E"/>
    <w:rsid w:val="00CD3D02"/>
    <w:rsid w:val="00CD4B96"/>
    <w:rsid w:val="00CE0377"/>
    <w:rsid w:val="00CE2613"/>
    <w:rsid w:val="00CE2681"/>
    <w:rsid w:val="00CE2B9F"/>
    <w:rsid w:val="00CE5A59"/>
    <w:rsid w:val="00CE5AB3"/>
    <w:rsid w:val="00CE62CA"/>
    <w:rsid w:val="00CE6DCD"/>
    <w:rsid w:val="00CE735E"/>
    <w:rsid w:val="00CE77EF"/>
    <w:rsid w:val="00CE7D24"/>
    <w:rsid w:val="00CF01D2"/>
    <w:rsid w:val="00CF0700"/>
    <w:rsid w:val="00CF0A83"/>
    <w:rsid w:val="00CF30E9"/>
    <w:rsid w:val="00CF3DEC"/>
    <w:rsid w:val="00CF41F3"/>
    <w:rsid w:val="00CF51F4"/>
    <w:rsid w:val="00CF5926"/>
    <w:rsid w:val="00CF6259"/>
    <w:rsid w:val="00D01E4B"/>
    <w:rsid w:val="00D02F3E"/>
    <w:rsid w:val="00D0484B"/>
    <w:rsid w:val="00D04E18"/>
    <w:rsid w:val="00D066A6"/>
    <w:rsid w:val="00D07F9C"/>
    <w:rsid w:val="00D109BD"/>
    <w:rsid w:val="00D10B20"/>
    <w:rsid w:val="00D10E16"/>
    <w:rsid w:val="00D1121E"/>
    <w:rsid w:val="00D1202F"/>
    <w:rsid w:val="00D1204B"/>
    <w:rsid w:val="00D124CE"/>
    <w:rsid w:val="00D13884"/>
    <w:rsid w:val="00D14219"/>
    <w:rsid w:val="00D20C13"/>
    <w:rsid w:val="00D21328"/>
    <w:rsid w:val="00D22A35"/>
    <w:rsid w:val="00D22C50"/>
    <w:rsid w:val="00D22F87"/>
    <w:rsid w:val="00D24316"/>
    <w:rsid w:val="00D26367"/>
    <w:rsid w:val="00D26AC5"/>
    <w:rsid w:val="00D32B8B"/>
    <w:rsid w:val="00D338A1"/>
    <w:rsid w:val="00D34F7E"/>
    <w:rsid w:val="00D36548"/>
    <w:rsid w:val="00D3694D"/>
    <w:rsid w:val="00D37A61"/>
    <w:rsid w:val="00D4075B"/>
    <w:rsid w:val="00D4756F"/>
    <w:rsid w:val="00D47B7D"/>
    <w:rsid w:val="00D47C6F"/>
    <w:rsid w:val="00D51DF3"/>
    <w:rsid w:val="00D525B3"/>
    <w:rsid w:val="00D52CAA"/>
    <w:rsid w:val="00D53208"/>
    <w:rsid w:val="00D532F8"/>
    <w:rsid w:val="00D55BD5"/>
    <w:rsid w:val="00D55BDD"/>
    <w:rsid w:val="00D56B53"/>
    <w:rsid w:val="00D6338E"/>
    <w:rsid w:val="00D63AC4"/>
    <w:rsid w:val="00D65559"/>
    <w:rsid w:val="00D678BA"/>
    <w:rsid w:val="00D70765"/>
    <w:rsid w:val="00D73D63"/>
    <w:rsid w:val="00D757AB"/>
    <w:rsid w:val="00D76934"/>
    <w:rsid w:val="00D8186F"/>
    <w:rsid w:val="00D81F55"/>
    <w:rsid w:val="00D82A4F"/>
    <w:rsid w:val="00D83467"/>
    <w:rsid w:val="00D836A5"/>
    <w:rsid w:val="00D85DDC"/>
    <w:rsid w:val="00D92306"/>
    <w:rsid w:val="00D93347"/>
    <w:rsid w:val="00D93677"/>
    <w:rsid w:val="00D93FD2"/>
    <w:rsid w:val="00D95FB5"/>
    <w:rsid w:val="00D96CB0"/>
    <w:rsid w:val="00DA0C5E"/>
    <w:rsid w:val="00DA0F3F"/>
    <w:rsid w:val="00DA19E2"/>
    <w:rsid w:val="00DA2B1A"/>
    <w:rsid w:val="00DA37D0"/>
    <w:rsid w:val="00DA3808"/>
    <w:rsid w:val="00DA3D41"/>
    <w:rsid w:val="00DA5259"/>
    <w:rsid w:val="00DA70FB"/>
    <w:rsid w:val="00DA7F4D"/>
    <w:rsid w:val="00DB170A"/>
    <w:rsid w:val="00DB29C4"/>
    <w:rsid w:val="00DB338E"/>
    <w:rsid w:val="00DB41F9"/>
    <w:rsid w:val="00DB4314"/>
    <w:rsid w:val="00DB57AA"/>
    <w:rsid w:val="00DB5B16"/>
    <w:rsid w:val="00DC0153"/>
    <w:rsid w:val="00DC0377"/>
    <w:rsid w:val="00DC2F66"/>
    <w:rsid w:val="00DC3964"/>
    <w:rsid w:val="00DC521C"/>
    <w:rsid w:val="00DC53BE"/>
    <w:rsid w:val="00DC5698"/>
    <w:rsid w:val="00DC5B6B"/>
    <w:rsid w:val="00DC6ED2"/>
    <w:rsid w:val="00DC717C"/>
    <w:rsid w:val="00DC77B8"/>
    <w:rsid w:val="00DD0E12"/>
    <w:rsid w:val="00DD10E6"/>
    <w:rsid w:val="00DD4809"/>
    <w:rsid w:val="00DD541C"/>
    <w:rsid w:val="00DD56FC"/>
    <w:rsid w:val="00DD5A85"/>
    <w:rsid w:val="00DD682F"/>
    <w:rsid w:val="00DE0E6A"/>
    <w:rsid w:val="00DE12EB"/>
    <w:rsid w:val="00DE3F49"/>
    <w:rsid w:val="00DE4CAB"/>
    <w:rsid w:val="00DF0049"/>
    <w:rsid w:val="00DF0F61"/>
    <w:rsid w:val="00DF36E7"/>
    <w:rsid w:val="00DF4576"/>
    <w:rsid w:val="00DF51BE"/>
    <w:rsid w:val="00DF5312"/>
    <w:rsid w:val="00DF533E"/>
    <w:rsid w:val="00DF56B4"/>
    <w:rsid w:val="00DF58C6"/>
    <w:rsid w:val="00DF5949"/>
    <w:rsid w:val="00DF5ADB"/>
    <w:rsid w:val="00DF6276"/>
    <w:rsid w:val="00DF7BF0"/>
    <w:rsid w:val="00DF7CC4"/>
    <w:rsid w:val="00E00D8C"/>
    <w:rsid w:val="00E014D4"/>
    <w:rsid w:val="00E01D26"/>
    <w:rsid w:val="00E04DC0"/>
    <w:rsid w:val="00E05065"/>
    <w:rsid w:val="00E06EBE"/>
    <w:rsid w:val="00E07039"/>
    <w:rsid w:val="00E11DD0"/>
    <w:rsid w:val="00E123AE"/>
    <w:rsid w:val="00E13333"/>
    <w:rsid w:val="00E13DB5"/>
    <w:rsid w:val="00E1446D"/>
    <w:rsid w:val="00E14811"/>
    <w:rsid w:val="00E14EA3"/>
    <w:rsid w:val="00E158D2"/>
    <w:rsid w:val="00E15D63"/>
    <w:rsid w:val="00E1631E"/>
    <w:rsid w:val="00E173CB"/>
    <w:rsid w:val="00E176BA"/>
    <w:rsid w:val="00E20BEA"/>
    <w:rsid w:val="00E21A62"/>
    <w:rsid w:val="00E21EE1"/>
    <w:rsid w:val="00E2410A"/>
    <w:rsid w:val="00E2549B"/>
    <w:rsid w:val="00E261C9"/>
    <w:rsid w:val="00E26882"/>
    <w:rsid w:val="00E26EC4"/>
    <w:rsid w:val="00E275BC"/>
    <w:rsid w:val="00E303AD"/>
    <w:rsid w:val="00E32E81"/>
    <w:rsid w:val="00E357D9"/>
    <w:rsid w:val="00E36876"/>
    <w:rsid w:val="00E4070B"/>
    <w:rsid w:val="00E4332E"/>
    <w:rsid w:val="00E46A04"/>
    <w:rsid w:val="00E52AD5"/>
    <w:rsid w:val="00E53084"/>
    <w:rsid w:val="00E533E0"/>
    <w:rsid w:val="00E55C24"/>
    <w:rsid w:val="00E56565"/>
    <w:rsid w:val="00E56715"/>
    <w:rsid w:val="00E568B2"/>
    <w:rsid w:val="00E56C04"/>
    <w:rsid w:val="00E61A85"/>
    <w:rsid w:val="00E62921"/>
    <w:rsid w:val="00E63D54"/>
    <w:rsid w:val="00E63E3D"/>
    <w:rsid w:val="00E64A7B"/>
    <w:rsid w:val="00E64A8A"/>
    <w:rsid w:val="00E6721C"/>
    <w:rsid w:val="00E679B9"/>
    <w:rsid w:val="00E67E32"/>
    <w:rsid w:val="00E70149"/>
    <w:rsid w:val="00E71A49"/>
    <w:rsid w:val="00E727CC"/>
    <w:rsid w:val="00E72C27"/>
    <w:rsid w:val="00E73965"/>
    <w:rsid w:val="00E73AE1"/>
    <w:rsid w:val="00E73F15"/>
    <w:rsid w:val="00E7417E"/>
    <w:rsid w:val="00E75C06"/>
    <w:rsid w:val="00E77E70"/>
    <w:rsid w:val="00E80362"/>
    <w:rsid w:val="00E81235"/>
    <w:rsid w:val="00E81B3E"/>
    <w:rsid w:val="00E81DC5"/>
    <w:rsid w:val="00E82181"/>
    <w:rsid w:val="00E86AA0"/>
    <w:rsid w:val="00E8763E"/>
    <w:rsid w:val="00E87DB6"/>
    <w:rsid w:val="00E913DC"/>
    <w:rsid w:val="00E91529"/>
    <w:rsid w:val="00E91D2F"/>
    <w:rsid w:val="00E93135"/>
    <w:rsid w:val="00E931CE"/>
    <w:rsid w:val="00E941A3"/>
    <w:rsid w:val="00E97293"/>
    <w:rsid w:val="00E97CDA"/>
    <w:rsid w:val="00EA0F07"/>
    <w:rsid w:val="00EA2973"/>
    <w:rsid w:val="00EA3B86"/>
    <w:rsid w:val="00EA6FF4"/>
    <w:rsid w:val="00EB01FE"/>
    <w:rsid w:val="00EB12F7"/>
    <w:rsid w:val="00EB1A52"/>
    <w:rsid w:val="00EB2CB6"/>
    <w:rsid w:val="00EB36F9"/>
    <w:rsid w:val="00EB3BAD"/>
    <w:rsid w:val="00EB53E1"/>
    <w:rsid w:val="00EB563E"/>
    <w:rsid w:val="00EB6937"/>
    <w:rsid w:val="00EB6FD2"/>
    <w:rsid w:val="00EC05F9"/>
    <w:rsid w:val="00EC0A0B"/>
    <w:rsid w:val="00EC0AF1"/>
    <w:rsid w:val="00EC120C"/>
    <w:rsid w:val="00EC19B1"/>
    <w:rsid w:val="00EC4C3C"/>
    <w:rsid w:val="00EC4E95"/>
    <w:rsid w:val="00EC6849"/>
    <w:rsid w:val="00EC7C4C"/>
    <w:rsid w:val="00ED1149"/>
    <w:rsid w:val="00ED1849"/>
    <w:rsid w:val="00ED1BC7"/>
    <w:rsid w:val="00ED21C9"/>
    <w:rsid w:val="00ED3B99"/>
    <w:rsid w:val="00ED43D3"/>
    <w:rsid w:val="00ED567A"/>
    <w:rsid w:val="00ED5807"/>
    <w:rsid w:val="00ED6466"/>
    <w:rsid w:val="00ED6F7F"/>
    <w:rsid w:val="00ED7904"/>
    <w:rsid w:val="00EE07AC"/>
    <w:rsid w:val="00EE469C"/>
    <w:rsid w:val="00EF06F1"/>
    <w:rsid w:val="00EF0E51"/>
    <w:rsid w:val="00EF1BC4"/>
    <w:rsid w:val="00EF30C2"/>
    <w:rsid w:val="00EF3A95"/>
    <w:rsid w:val="00EF4C09"/>
    <w:rsid w:val="00EF530B"/>
    <w:rsid w:val="00EF5661"/>
    <w:rsid w:val="00EF6001"/>
    <w:rsid w:val="00EF63BC"/>
    <w:rsid w:val="00EF659D"/>
    <w:rsid w:val="00EF79FB"/>
    <w:rsid w:val="00F00FF7"/>
    <w:rsid w:val="00F019DF"/>
    <w:rsid w:val="00F02A4D"/>
    <w:rsid w:val="00F03C16"/>
    <w:rsid w:val="00F04866"/>
    <w:rsid w:val="00F062A3"/>
    <w:rsid w:val="00F06AD7"/>
    <w:rsid w:val="00F07AE1"/>
    <w:rsid w:val="00F11818"/>
    <w:rsid w:val="00F133DA"/>
    <w:rsid w:val="00F13A3A"/>
    <w:rsid w:val="00F14764"/>
    <w:rsid w:val="00F14A2A"/>
    <w:rsid w:val="00F14CB7"/>
    <w:rsid w:val="00F1729A"/>
    <w:rsid w:val="00F1760B"/>
    <w:rsid w:val="00F206DC"/>
    <w:rsid w:val="00F21682"/>
    <w:rsid w:val="00F218F6"/>
    <w:rsid w:val="00F2242D"/>
    <w:rsid w:val="00F225F0"/>
    <w:rsid w:val="00F226CC"/>
    <w:rsid w:val="00F242DE"/>
    <w:rsid w:val="00F26400"/>
    <w:rsid w:val="00F265BA"/>
    <w:rsid w:val="00F26BD8"/>
    <w:rsid w:val="00F27D25"/>
    <w:rsid w:val="00F27F87"/>
    <w:rsid w:val="00F30674"/>
    <w:rsid w:val="00F30AF1"/>
    <w:rsid w:val="00F314F0"/>
    <w:rsid w:val="00F31E8C"/>
    <w:rsid w:val="00F32134"/>
    <w:rsid w:val="00F32550"/>
    <w:rsid w:val="00F3412E"/>
    <w:rsid w:val="00F34D97"/>
    <w:rsid w:val="00F35E6D"/>
    <w:rsid w:val="00F37C28"/>
    <w:rsid w:val="00F37D76"/>
    <w:rsid w:val="00F4027E"/>
    <w:rsid w:val="00F411FB"/>
    <w:rsid w:val="00F41C32"/>
    <w:rsid w:val="00F42209"/>
    <w:rsid w:val="00F436C4"/>
    <w:rsid w:val="00F43EBF"/>
    <w:rsid w:val="00F44FC9"/>
    <w:rsid w:val="00F4756A"/>
    <w:rsid w:val="00F50283"/>
    <w:rsid w:val="00F5053F"/>
    <w:rsid w:val="00F5115F"/>
    <w:rsid w:val="00F51CEA"/>
    <w:rsid w:val="00F53F6D"/>
    <w:rsid w:val="00F5521B"/>
    <w:rsid w:val="00F55423"/>
    <w:rsid w:val="00F55F9D"/>
    <w:rsid w:val="00F562CB"/>
    <w:rsid w:val="00F57822"/>
    <w:rsid w:val="00F57FCE"/>
    <w:rsid w:val="00F60CCD"/>
    <w:rsid w:val="00F60F1D"/>
    <w:rsid w:val="00F614DA"/>
    <w:rsid w:val="00F61505"/>
    <w:rsid w:val="00F61631"/>
    <w:rsid w:val="00F626EF"/>
    <w:rsid w:val="00F65891"/>
    <w:rsid w:val="00F660C6"/>
    <w:rsid w:val="00F66511"/>
    <w:rsid w:val="00F66518"/>
    <w:rsid w:val="00F66537"/>
    <w:rsid w:val="00F66775"/>
    <w:rsid w:val="00F6701A"/>
    <w:rsid w:val="00F67080"/>
    <w:rsid w:val="00F75FA6"/>
    <w:rsid w:val="00F76589"/>
    <w:rsid w:val="00F7746D"/>
    <w:rsid w:val="00F8014F"/>
    <w:rsid w:val="00F84A9A"/>
    <w:rsid w:val="00F871A4"/>
    <w:rsid w:val="00F871EF"/>
    <w:rsid w:val="00F9109B"/>
    <w:rsid w:val="00F944D1"/>
    <w:rsid w:val="00F94790"/>
    <w:rsid w:val="00F94A4B"/>
    <w:rsid w:val="00F94B33"/>
    <w:rsid w:val="00F96A9A"/>
    <w:rsid w:val="00F97ED2"/>
    <w:rsid w:val="00F97F8B"/>
    <w:rsid w:val="00FA09C4"/>
    <w:rsid w:val="00FA1C23"/>
    <w:rsid w:val="00FA5A5A"/>
    <w:rsid w:val="00FA610A"/>
    <w:rsid w:val="00FA6848"/>
    <w:rsid w:val="00FA7383"/>
    <w:rsid w:val="00FA7B39"/>
    <w:rsid w:val="00FB0CD3"/>
    <w:rsid w:val="00FB28A5"/>
    <w:rsid w:val="00FB3C9F"/>
    <w:rsid w:val="00FB4A98"/>
    <w:rsid w:val="00FB6288"/>
    <w:rsid w:val="00FB6928"/>
    <w:rsid w:val="00FB7191"/>
    <w:rsid w:val="00FB7F33"/>
    <w:rsid w:val="00FC062E"/>
    <w:rsid w:val="00FC08F9"/>
    <w:rsid w:val="00FC0FA8"/>
    <w:rsid w:val="00FC12F9"/>
    <w:rsid w:val="00FC2094"/>
    <w:rsid w:val="00FC2412"/>
    <w:rsid w:val="00FC2B1B"/>
    <w:rsid w:val="00FC2D97"/>
    <w:rsid w:val="00FC3A59"/>
    <w:rsid w:val="00FC412E"/>
    <w:rsid w:val="00FC63B8"/>
    <w:rsid w:val="00FC66AC"/>
    <w:rsid w:val="00FC6B97"/>
    <w:rsid w:val="00FC78AD"/>
    <w:rsid w:val="00FD1117"/>
    <w:rsid w:val="00FD1424"/>
    <w:rsid w:val="00FD32A9"/>
    <w:rsid w:val="00FD33EB"/>
    <w:rsid w:val="00FD36CC"/>
    <w:rsid w:val="00FD3F65"/>
    <w:rsid w:val="00FD7437"/>
    <w:rsid w:val="00FD75B7"/>
    <w:rsid w:val="00FE032D"/>
    <w:rsid w:val="00FE0E55"/>
    <w:rsid w:val="00FE40F5"/>
    <w:rsid w:val="00FE42B8"/>
    <w:rsid w:val="00FE4687"/>
    <w:rsid w:val="00FE4B27"/>
    <w:rsid w:val="00FE4CCC"/>
    <w:rsid w:val="00FE582E"/>
    <w:rsid w:val="00FF02BA"/>
    <w:rsid w:val="00FF0481"/>
    <w:rsid w:val="00FF184F"/>
    <w:rsid w:val="00FF1ED5"/>
    <w:rsid w:val="00FF3FCF"/>
    <w:rsid w:val="00FF4A2F"/>
    <w:rsid w:val="00FF5C5E"/>
    <w:rsid w:val="00FF6ADC"/>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40DE"/>
  <w15:docId w15:val="{F843F624-8861-4EC7-9EB6-81679C09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DC2"/>
    <w:pPr>
      <w:spacing w:before="120" w:after="0" w:line="360" w:lineRule="auto"/>
      <w:ind w:hanging="357"/>
      <w:jc w:val="both"/>
    </w:pPr>
    <w:rPr>
      <w:rFonts w:ascii="Times New Roman" w:hAnsi="Times New Roman" w:cs="Times New Roman"/>
      <w:sz w:val="24"/>
    </w:rPr>
  </w:style>
  <w:style w:type="paragraph" w:styleId="Heading1">
    <w:name w:val="heading 1"/>
    <w:basedOn w:val="Normal"/>
    <w:next w:val="Normal"/>
    <w:link w:val="Heading1Char"/>
    <w:uiPriority w:val="9"/>
    <w:qFormat/>
    <w:rsid w:val="00481E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4A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E8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F34D97"/>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ootnote text,Ca,FA Fu?notentext"/>
    <w:basedOn w:val="Normal"/>
    <w:link w:val="FootnoteTextChar"/>
    <w:uiPriority w:val="99"/>
    <w:unhideWhenUsed/>
    <w:qFormat/>
    <w:rsid w:val="00481E85"/>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rsid w:val="00481E85"/>
    <w:rPr>
      <w:rFonts w:ascii="Times New Roman" w:hAnsi="Times New Roman" w:cs="Times New Roman"/>
      <w:sz w:val="20"/>
      <w:szCs w:val="20"/>
    </w:rPr>
  </w:style>
  <w:style w:type="character" w:styleId="FootnoteReference">
    <w:name w:val="footnote reference"/>
    <w:aliases w:val="Texto de nota al pie,Footnotes refss,Appel note de bas de page,Footnote number,referencia nota al pie,BVI fnr,f,Texto nota al pie,4_G,16 Point,Superscript 6 Point,Footnote Reference Char3,Footnote Reference Char1 Char,Footnote symbol"/>
    <w:basedOn w:val="DefaultParagraphFont"/>
    <w:uiPriority w:val="99"/>
    <w:unhideWhenUsed/>
    <w:qFormat/>
    <w:rsid w:val="00481E85"/>
    <w:rPr>
      <w:vertAlign w:val="superscript"/>
    </w:rPr>
  </w:style>
  <w:style w:type="paragraph" w:styleId="Footer">
    <w:name w:val="footer"/>
    <w:basedOn w:val="Normal"/>
    <w:link w:val="FooterChar"/>
    <w:uiPriority w:val="99"/>
    <w:unhideWhenUsed/>
    <w:rsid w:val="00481E85"/>
    <w:pPr>
      <w:tabs>
        <w:tab w:val="center" w:pos="4419"/>
        <w:tab w:val="right" w:pos="8838"/>
      </w:tabs>
      <w:spacing w:before="0" w:line="240" w:lineRule="auto"/>
    </w:pPr>
  </w:style>
  <w:style w:type="character" w:customStyle="1" w:styleId="FooterChar">
    <w:name w:val="Footer Char"/>
    <w:basedOn w:val="DefaultParagraphFont"/>
    <w:link w:val="Footer"/>
    <w:uiPriority w:val="99"/>
    <w:rsid w:val="00481E85"/>
    <w:rPr>
      <w:rFonts w:ascii="Times New Roman" w:hAnsi="Times New Roman" w:cs="Times New Roman"/>
      <w:sz w:val="24"/>
    </w:rPr>
  </w:style>
  <w:style w:type="paragraph" w:styleId="TOCHeading">
    <w:name w:val="TOC Heading"/>
    <w:basedOn w:val="Heading1"/>
    <w:next w:val="Normal"/>
    <w:uiPriority w:val="39"/>
    <w:unhideWhenUsed/>
    <w:qFormat/>
    <w:rsid w:val="00481E85"/>
    <w:pPr>
      <w:spacing w:line="276" w:lineRule="auto"/>
      <w:ind w:firstLine="0"/>
      <w:jc w:val="left"/>
      <w:outlineLvl w:val="9"/>
    </w:pPr>
    <w:rPr>
      <w:lang w:eastAsia="es-MX"/>
    </w:rPr>
  </w:style>
  <w:style w:type="paragraph" w:styleId="TOC1">
    <w:name w:val="toc 1"/>
    <w:basedOn w:val="Normal"/>
    <w:next w:val="Normal"/>
    <w:autoRedefine/>
    <w:uiPriority w:val="39"/>
    <w:unhideWhenUsed/>
    <w:rsid w:val="00481E85"/>
    <w:pPr>
      <w:tabs>
        <w:tab w:val="right" w:leader="dot" w:pos="8828"/>
      </w:tabs>
      <w:spacing w:after="100"/>
    </w:pPr>
    <w:rPr>
      <w:b/>
      <w:smallCaps/>
      <w:noProof/>
    </w:rPr>
  </w:style>
  <w:style w:type="character" w:styleId="Hyperlink">
    <w:name w:val="Hyperlink"/>
    <w:basedOn w:val="DefaultParagraphFont"/>
    <w:uiPriority w:val="99"/>
    <w:unhideWhenUsed/>
    <w:rsid w:val="00481E85"/>
    <w:rPr>
      <w:color w:val="0000FF" w:themeColor="hyperlink"/>
      <w:u w:val="single"/>
    </w:rPr>
  </w:style>
  <w:style w:type="paragraph" w:styleId="BalloonText">
    <w:name w:val="Balloon Text"/>
    <w:basedOn w:val="Normal"/>
    <w:link w:val="BalloonTextChar"/>
    <w:uiPriority w:val="99"/>
    <w:semiHidden/>
    <w:unhideWhenUsed/>
    <w:rsid w:val="00481E8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E85"/>
    <w:rPr>
      <w:rFonts w:ascii="Tahoma" w:hAnsi="Tahoma" w:cs="Tahoma"/>
      <w:sz w:val="16"/>
      <w:szCs w:val="16"/>
    </w:rPr>
  </w:style>
  <w:style w:type="paragraph" w:styleId="NormalWeb">
    <w:name w:val="Normal (Web)"/>
    <w:basedOn w:val="Normal"/>
    <w:uiPriority w:val="99"/>
    <w:unhideWhenUsed/>
    <w:rsid w:val="0078730B"/>
    <w:pPr>
      <w:spacing w:before="100" w:beforeAutospacing="1" w:after="100" w:afterAutospacing="1" w:line="240" w:lineRule="auto"/>
      <w:ind w:firstLine="0"/>
      <w:jc w:val="left"/>
    </w:pPr>
    <w:rPr>
      <w:rFonts w:eastAsia="Times New Roman"/>
      <w:szCs w:val="24"/>
      <w:lang w:eastAsia="es-MX"/>
    </w:rPr>
  </w:style>
  <w:style w:type="paragraph" w:styleId="Header">
    <w:name w:val="header"/>
    <w:basedOn w:val="Normal"/>
    <w:link w:val="HeaderChar"/>
    <w:uiPriority w:val="99"/>
    <w:unhideWhenUsed/>
    <w:rsid w:val="00E77E70"/>
    <w:pPr>
      <w:tabs>
        <w:tab w:val="center" w:pos="4419"/>
        <w:tab w:val="right" w:pos="8838"/>
      </w:tabs>
      <w:spacing w:before="0" w:line="240" w:lineRule="auto"/>
    </w:pPr>
  </w:style>
  <w:style w:type="character" w:customStyle="1" w:styleId="HeaderChar">
    <w:name w:val="Header Char"/>
    <w:basedOn w:val="DefaultParagraphFont"/>
    <w:link w:val="Header"/>
    <w:uiPriority w:val="99"/>
    <w:rsid w:val="00E77E70"/>
    <w:rPr>
      <w:rFonts w:ascii="Times New Roman" w:hAnsi="Times New Roman" w:cs="Times New Roman"/>
      <w:sz w:val="24"/>
    </w:rPr>
  </w:style>
  <w:style w:type="character" w:styleId="Emphasis">
    <w:name w:val="Emphasis"/>
    <w:basedOn w:val="DefaultParagraphFont"/>
    <w:uiPriority w:val="20"/>
    <w:qFormat/>
    <w:rsid w:val="002B6471"/>
    <w:rPr>
      <w:i/>
      <w:iCs/>
    </w:rPr>
  </w:style>
  <w:style w:type="character" w:customStyle="1" w:styleId="Heading2Char">
    <w:name w:val="Heading 2 Char"/>
    <w:basedOn w:val="DefaultParagraphFont"/>
    <w:link w:val="Heading2"/>
    <w:uiPriority w:val="9"/>
    <w:rsid w:val="00F14A2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441DA"/>
    <w:pPr>
      <w:tabs>
        <w:tab w:val="right" w:leader="dot" w:pos="8828"/>
      </w:tabs>
      <w:spacing w:after="100"/>
      <w:ind w:left="240"/>
    </w:pPr>
    <w:rPr>
      <w:b/>
      <w:noProof/>
    </w:rPr>
  </w:style>
  <w:style w:type="paragraph" w:styleId="TOC3">
    <w:name w:val="toc 3"/>
    <w:basedOn w:val="Normal"/>
    <w:next w:val="Normal"/>
    <w:autoRedefine/>
    <w:uiPriority w:val="39"/>
    <w:unhideWhenUsed/>
    <w:rsid w:val="00A409CD"/>
    <w:pPr>
      <w:spacing w:before="0" w:after="100" w:line="259" w:lineRule="auto"/>
      <w:ind w:left="440" w:firstLine="0"/>
      <w:jc w:val="left"/>
    </w:pPr>
    <w:rPr>
      <w:rFonts w:asciiTheme="minorHAnsi" w:eastAsiaTheme="minorEastAsia" w:hAnsiTheme="minorHAnsi"/>
      <w:sz w:val="22"/>
      <w:lang w:eastAsia="es-MX"/>
    </w:rPr>
  </w:style>
  <w:style w:type="paragraph" w:styleId="NoSpacing">
    <w:name w:val="No Spacing"/>
    <w:uiPriority w:val="1"/>
    <w:qFormat/>
    <w:rsid w:val="003728C8"/>
    <w:pPr>
      <w:spacing w:after="0" w:line="240" w:lineRule="auto"/>
      <w:ind w:hanging="357"/>
      <w:jc w:val="both"/>
    </w:pPr>
    <w:rPr>
      <w:rFonts w:ascii="Times New Roman" w:hAnsi="Times New Roman" w:cs="Times New Roman"/>
      <w:sz w:val="24"/>
    </w:rPr>
  </w:style>
  <w:style w:type="character" w:styleId="CommentReference">
    <w:name w:val="annotation reference"/>
    <w:basedOn w:val="DefaultParagraphFont"/>
    <w:uiPriority w:val="99"/>
    <w:semiHidden/>
    <w:unhideWhenUsed/>
    <w:rsid w:val="00862564"/>
    <w:rPr>
      <w:sz w:val="16"/>
      <w:szCs w:val="16"/>
    </w:rPr>
  </w:style>
  <w:style w:type="paragraph" w:styleId="CommentText">
    <w:name w:val="annotation text"/>
    <w:basedOn w:val="Normal"/>
    <w:link w:val="CommentTextChar"/>
    <w:uiPriority w:val="99"/>
    <w:semiHidden/>
    <w:unhideWhenUsed/>
    <w:rsid w:val="00862564"/>
    <w:pPr>
      <w:spacing w:line="240" w:lineRule="auto"/>
    </w:pPr>
    <w:rPr>
      <w:sz w:val="20"/>
      <w:szCs w:val="20"/>
    </w:rPr>
  </w:style>
  <w:style w:type="character" w:customStyle="1" w:styleId="CommentTextChar">
    <w:name w:val="Comment Text Char"/>
    <w:basedOn w:val="DefaultParagraphFont"/>
    <w:link w:val="CommentText"/>
    <w:uiPriority w:val="99"/>
    <w:semiHidden/>
    <w:rsid w:val="0086256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2564"/>
    <w:rPr>
      <w:b/>
      <w:bCs/>
    </w:rPr>
  </w:style>
  <w:style w:type="character" w:customStyle="1" w:styleId="CommentSubjectChar">
    <w:name w:val="Comment Subject Char"/>
    <w:basedOn w:val="CommentTextChar"/>
    <w:link w:val="CommentSubject"/>
    <w:uiPriority w:val="99"/>
    <w:semiHidden/>
    <w:rsid w:val="00862564"/>
    <w:rPr>
      <w:rFonts w:ascii="Times New Roman" w:hAnsi="Times New Roman" w:cs="Times New Roman"/>
      <w:b/>
      <w:bCs/>
      <w:sz w:val="20"/>
      <w:szCs w:val="20"/>
    </w:rPr>
  </w:style>
  <w:style w:type="table" w:styleId="TableGrid">
    <w:name w:val="Table Grid"/>
    <w:basedOn w:val="TableNormal"/>
    <w:uiPriority w:val="39"/>
    <w:rsid w:val="00444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34D97"/>
    <w:rPr>
      <w:rFonts w:ascii="Times New Roman" w:hAnsi="Times New Roman" w:cs="Times New Roman"/>
      <w:sz w:val="24"/>
    </w:rPr>
  </w:style>
  <w:style w:type="paragraph" w:customStyle="1" w:styleId="Default">
    <w:name w:val="Default"/>
    <w:rsid w:val="008D390F"/>
    <w:pPr>
      <w:autoSpaceDE w:val="0"/>
      <w:autoSpaceDN w:val="0"/>
      <w:adjustRightInd w:val="0"/>
      <w:spacing w:after="0" w:line="240" w:lineRule="auto"/>
    </w:pPr>
    <w:rPr>
      <w:rFonts w:ascii="Cambria" w:hAnsi="Cambria" w:cs="Cambria"/>
      <w:color w:val="000000"/>
      <w:sz w:val="24"/>
      <w:szCs w:val="24"/>
    </w:rPr>
  </w:style>
  <w:style w:type="table" w:styleId="PlainTable1">
    <w:name w:val="Plain Table 1"/>
    <w:basedOn w:val="TableNormal"/>
    <w:uiPriority w:val="41"/>
    <w:rsid w:val="00FC2D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9695">
      <w:bodyDiv w:val="1"/>
      <w:marLeft w:val="0"/>
      <w:marRight w:val="0"/>
      <w:marTop w:val="0"/>
      <w:marBottom w:val="0"/>
      <w:divBdr>
        <w:top w:val="none" w:sz="0" w:space="0" w:color="auto"/>
        <w:left w:val="none" w:sz="0" w:space="0" w:color="auto"/>
        <w:bottom w:val="none" w:sz="0" w:space="0" w:color="auto"/>
        <w:right w:val="none" w:sz="0" w:space="0" w:color="auto"/>
      </w:divBdr>
      <w:divsChild>
        <w:div w:id="801921420">
          <w:marLeft w:val="0"/>
          <w:marRight w:val="0"/>
          <w:marTop w:val="0"/>
          <w:marBottom w:val="0"/>
          <w:divBdr>
            <w:top w:val="none" w:sz="0" w:space="0" w:color="auto"/>
            <w:left w:val="none" w:sz="0" w:space="0" w:color="auto"/>
            <w:bottom w:val="none" w:sz="0" w:space="0" w:color="auto"/>
            <w:right w:val="none" w:sz="0" w:space="0" w:color="auto"/>
          </w:divBdr>
          <w:divsChild>
            <w:div w:id="2007852931">
              <w:marLeft w:val="0"/>
              <w:marRight w:val="0"/>
              <w:marTop w:val="0"/>
              <w:marBottom w:val="0"/>
              <w:divBdr>
                <w:top w:val="none" w:sz="0" w:space="0" w:color="auto"/>
                <w:left w:val="none" w:sz="0" w:space="0" w:color="auto"/>
                <w:bottom w:val="none" w:sz="0" w:space="0" w:color="auto"/>
                <w:right w:val="none" w:sz="0" w:space="0" w:color="auto"/>
              </w:divBdr>
              <w:divsChild>
                <w:div w:id="1875575121">
                  <w:marLeft w:val="0"/>
                  <w:marRight w:val="0"/>
                  <w:marTop w:val="0"/>
                  <w:marBottom w:val="0"/>
                  <w:divBdr>
                    <w:top w:val="none" w:sz="0" w:space="0" w:color="auto"/>
                    <w:left w:val="none" w:sz="0" w:space="0" w:color="auto"/>
                    <w:bottom w:val="none" w:sz="0" w:space="0" w:color="auto"/>
                    <w:right w:val="none" w:sz="0" w:space="0" w:color="auto"/>
                  </w:divBdr>
                  <w:divsChild>
                    <w:div w:id="1826241810">
                      <w:marLeft w:val="0"/>
                      <w:marRight w:val="0"/>
                      <w:marTop w:val="0"/>
                      <w:marBottom w:val="0"/>
                      <w:divBdr>
                        <w:top w:val="none" w:sz="0" w:space="0" w:color="auto"/>
                        <w:left w:val="none" w:sz="0" w:space="0" w:color="auto"/>
                        <w:bottom w:val="none" w:sz="0" w:space="0" w:color="auto"/>
                        <w:right w:val="none" w:sz="0" w:space="0" w:color="auto"/>
                      </w:divBdr>
                      <w:divsChild>
                        <w:div w:id="197857214">
                          <w:marLeft w:val="0"/>
                          <w:marRight w:val="0"/>
                          <w:marTop w:val="0"/>
                          <w:marBottom w:val="0"/>
                          <w:divBdr>
                            <w:top w:val="none" w:sz="0" w:space="0" w:color="auto"/>
                            <w:left w:val="none" w:sz="0" w:space="0" w:color="auto"/>
                            <w:bottom w:val="none" w:sz="0" w:space="0" w:color="auto"/>
                            <w:right w:val="none" w:sz="0" w:space="0" w:color="auto"/>
                          </w:divBdr>
                          <w:divsChild>
                            <w:div w:id="608897432">
                              <w:marLeft w:val="0"/>
                              <w:marRight w:val="0"/>
                              <w:marTop w:val="0"/>
                              <w:marBottom w:val="0"/>
                              <w:divBdr>
                                <w:top w:val="none" w:sz="0" w:space="0" w:color="auto"/>
                                <w:left w:val="none" w:sz="0" w:space="0" w:color="auto"/>
                                <w:bottom w:val="none" w:sz="0" w:space="0" w:color="auto"/>
                                <w:right w:val="none" w:sz="0" w:space="0" w:color="auto"/>
                              </w:divBdr>
                              <w:divsChild>
                                <w:div w:id="1946619866">
                                  <w:marLeft w:val="0"/>
                                  <w:marRight w:val="0"/>
                                  <w:marTop w:val="0"/>
                                  <w:marBottom w:val="0"/>
                                  <w:divBdr>
                                    <w:top w:val="none" w:sz="0" w:space="0" w:color="auto"/>
                                    <w:left w:val="none" w:sz="0" w:space="0" w:color="auto"/>
                                    <w:bottom w:val="none" w:sz="0" w:space="0" w:color="auto"/>
                                    <w:right w:val="none" w:sz="0" w:space="0" w:color="auto"/>
                                  </w:divBdr>
                                  <w:divsChild>
                                    <w:div w:id="1328364741">
                                      <w:marLeft w:val="0"/>
                                      <w:marRight w:val="0"/>
                                      <w:marTop w:val="0"/>
                                      <w:marBottom w:val="0"/>
                                      <w:divBdr>
                                        <w:top w:val="none" w:sz="0" w:space="0" w:color="auto"/>
                                        <w:left w:val="none" w:sz="0" w:space="0" w:color="auto"/>
                                        <w:bottom w:val="none" w:sz="0" w:space="0" w:color="auto"/>
                                        <w:right w:val="none" w:sz="0" w:space="0" w:color="auto"/>
                                      </w:divBdr>
                                      <w:divsChild>
                                        <w:div w:id="16166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9655">
      <w:bodyDiv w:val="1"/>
      <w:marLeft w:val="0"/>
      <w:marRight w:val="0"/>
      <w:marTop w:val="0"/>
      <w:marBottom w:val="0"/>
      <w:divBdr>
        <w:top w:val="none" w:sz="0" w:space="0" w:color="auto"/>
        <w:left w:val="none" w:sz="0" w:space="0" w:color="auto"/>
        <w:bottom w:val="none" w:sz="0" w:space="0" w:color="auto"/>
        <w:right w:val="none" w:sz="0" w:space="0" w:color="auto"/>
      </w:divBdr>
      <w:divsChild>
        <w:div w:id="1687052155">
          <w:marLeft w:val="0"/>
          <w:marRight w:val="0"/>
          <w:marTop w:val="0"/>
          <w:marBottom w:val="0"/>
          <w:divBdr>
            <w:top w:val="none" w:sz="0" w:space="0" w:color="auto"/>
            <w:left w:val="none" w:sz="0" w:space="0" w:color="auto"/>
            <w:bottom w:val="none" w:sz="0" w:space="0" w:color="auto"/>
            <w:right w:val="none" w:sz="0" w:space="0" w:color="auto"/>
          </w:divBdr>
          <w:divsChild>
            <w:div w:id="1041127009">
              <w:marLeft w:val="0"/>
              <w:marRight w:val="0"/>
              <w:marTop w:val="0"/>
              <w:marBottom w:val="0"/>
              <w:divBdr>
                <w:top w:val="none" w:sz="0" w:space="0" w:color="auto"/>
                <w:left w:val="none" w:sz="0" w:space="0" w:color="auto"/>
                <w:bottom w:val="none" w:sz="0" w:space="0" w:color="auto"/>
                <w:right w:val="none" w:sz="0" w:space="0" w:color="auto"/>
              </w:divBdr>
              <w:divsChild>
                <w:div w:id="17817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0236">
      <w:bodyDiv w:val="1"/>
      <w:marLeft w:val="0"/>
      <w:marRight w:val="0"/>
      <w:marTop w:val="0"/>
      <w:marBottom w:val="0"/>
      <w:divBdr>
        <w:top w:val="none" w:sz="0" w:space="0" w:color="auto"/>
        <w:left w:val="none" w:sz="0" w:space="0" w:color="auto"/>
        <w:bottom w:val="none" w:sz="0" w:space="0" w:color="auto"/>
        <w:right w:val="none" w:sz="0" w:space="0" w:color="auto"/>
      </w:divBdr>
      <w:divsChild>
        <w:div w:id="1876890796">
          <w:marLeft w:val="0"/>
          <w:marRight w:val="0"/>
          <w:marTop w:val="0"/>
          <w:marBottom w:val="0"/>
          <w:divBdr>
            <w:top w:val="none" w:sz="0" w:space="0" w:color="auto"/>
            <w:left w:val="none" w:sz="0" w:space="0" w:color="auto"/>
            <w:bottom w:val="none" w:sz="0" w:space="0" w:color="auto"/>
            <w:right w:val="none" w:sz="0" w:space="0" w:color="auto"/>
          </w:divBdr>
          <w:divsChild>
            <w:div w:id="1750151291">
              <w:marLeft w:val="0"/>
              <w:marRight w:val="0"/>
              <w:marTop w:val="0"/>
              <w:marBottom w:val="0"/>
              <w:divBdr>
                <w:top w:val="none" w:sz="0" w:space="0" w:color="auto"/>
                <w:left w:val="none" w:sz="0" w:space="0" w:color="auto"/>
                <w:bottom w:val="none" w:sz="0" w:space="0" w:color="auto"/>
                <w:right w:val="none" w:sz="0" w:space="0" w:color="auto"/>
              </w:divBdr>
              <w:divsChild>
                <w:div w:id="6125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883998">
      <w:bodyDiv w:val="1"/>
      <w:marLeft w:val="0"/>
      <w:marRight w:val="0"/>
      <w:marTop w:val="0"/>
      <w:marBottom w:val="0"/>
      <w:divBdr>
        <w:top w:val="none" w:sz="0" w:space="0" w:color="auto"/>
        <w:left w:val="none" w:sz="0" w:space="0" w:color="auto"/>
        <w:bottom w:val="none" w:sz="0" w:space="0" w:color="auto"/>
        <w:right w:val="none" w:sz="0" w:space="0" w:color="auto"/>
      </w:divBdr>
      <w:divsChild>
        <w:div w:id="707530830">
          <w:marLeft w:val="0"/>
          <w:marRight w:val="0"/>
          <w:marTop w:val="0"/>
          <w:marBottom w:val="0"/>
          <w:divBdr>
            <w:top w:val="none" w:sz="0" w:space="0" w:color="auto"/>
            <w:left w:val="none" w:sz="0" w:space="0" w:color="auto"/>
            <w:bottom w:val="none" w:sz="0" w:space="0" w:color="auto"/>
            <w:right w:val="none" w:sz="0" w:space="0" w:color="auto"/>
          </w:divBdr>
          <w:divsChild>
            <w:div w:id="173156346">
              <w:marLeft w:val="0"/>
              <w:marRight w:val="0"/>
              <w:marTop w:val="0"/>
              <w:marBottom w:val="0"/>
              <w:divBdr>
                <w:top w:val="none" w:sz="0" w:space="0" w:color="auto"/>
                <w:left w:val="none" w:sz="0" w:space="0" w:color="auto"/>
                <w:bottom w:val="none" w:sz="0" w:space="0" w:color="auto"/>
                <w:right w:val="none" w:sz="0" w:space="0" w:color="auto"/>
              </w:divBdr>
              <w:divsChild>
                <w:div w:id="19596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327855">
      <w:bodyDiv w:val="1"/>
      <w:marLeft w:val="0"/>
      <w:marRight w:val="0"/>
      <w:marTop w:val="0"/>
      <w:marBottom w:val="0"/>
      <w:divBdr>
        <w:top w:val="none" w:sz="0" w:space="0" w:color="auto"/>
        <w:left w:val="none" w:sz="0" w:space="0" w:color="auto"/>
        <w:bottom w:val="none" w:sz="0" w:space="0" w:color="auto"/>
        <w:right w:val="none" w:sz="0" w:space="0" w:color="auto"/>
      </w:divBdr>
    </w:div>
    <w:div w:id="320087907">
      <w:bodyDiv w:val="1"/>
      <w:marLeft w:val="0"/>
      <w:marRight w:val="0"/>
      <w:marTop w:val="0"/>
      <w:marBottom w:val="0"/>
      <w:divBdr>
        <w:top w:val="none" w:sz="0" w:space="0" w:color="auto"/>
        <w:left w:val="none" w:sz="0" w:space="0" w:color="auto"/>
        <w:bottom w:val="none" w:sz="0" w:space="0" w:color="auto"/>
        <w:right w:val="none" w:sz="0" w:space="0" w:color="auto"/>
      </w:divBdr>
      <w:divsChild>
        <w:div w:id="939798628">
          <w:marLeft w:val="0"/>
          <w:marRight w:val="0"/>
          <w:marTop w:val="0"/>
          <w:marBottom w:val="0"/>
          <w:divBdr>
            <w:top w:val="none" w:sz="0" w:space="0" w:color="auto"/>
            <w:left w:val="none" w:sz="0" w:space="0" w:color="auto"/>
            <w:bottom w:val="none" w:sz="0" w:space="0" w:color="auto"/>
            <w:right w:val="none" w:sz="0" w:space="0" w:color="auto"/>
          </w:divBdr>
          <w:divsChild>
            <w:div w:id="390546865">
              <w:marLeft w:val="0"/>
              <w:marRight w:val="0"/>
              <w:marTop w:val="0"/>
              <w:marBottom w:val="0"/>
              <w:divBdr>
                <w:top w:val="none" w:sz="0" w:space="0" w:color="auto"/>
                <w:left w:val="none" w:sz="0" w:space="0" w:color="auto"/>
                <w:bottom w:val="none" w:sz="0" w:space="0" w:color="auto"/>
                <w:right w:val="none" w:sz="0" w:space="0" w:color="auto"/>
              </w:divBdr>
              <w:divsChild>
                <w:div w:id="19219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8489">
      <w:bodyDiv w:val="1"/>
      <w:marLeft w:val="0"/>
      <w:marRight w:val="0"/>
      <w:marTop w:val="0"/>
      <w:marBottom w:val="0"/>
      <w:divBdr>
        <w:top w:val="none" w:sz="0" w:space="0" w:color="auto"/>
        <w:left w:val="none" w:sz="0" w:space="0" w:color="auto"/>
        <w:bottom w:val="none" w:sz="0" w:space="0" w:color="auto"/>
        <w:right w:val="none" w:sz="0" w:space="0" w:color="auto"/>
      </w:divBdr>
      <w:divsChild>
        <w:div w:id="1962609936">
          <w:marLeft w:val="0"/>
          <w:marRight w:val="0"/>
          <w:marTop w:val="0"/>
          <w:marBottom w:val="0"/>
          <w:divBdr>
            <w:top w:val="none" w:sz="0" w:space="0" w:color="auto"/>
            <w:left w:val="none" w:sz="0" w:space="0" w:color="auto"/>
            <w:bottom w:val="none" w:sz="0" w:space="0" w:color="auto"/>
            <w:right w:val="none" w:sz="0" w:space="0" w:color="auto"/>
          </w:divBdr>
          <w:divsChild>
            <w:div w:id="1780567862">
              <w:marLeft w:val="0"/>
              <w:marRight w:val="0"/>
              <w:marTop w:val="0"/>
              <w:marBottom w:val="0"/>
              <w:divBdr>
                <w:top w:val="none" w:sz="0" w:space="0" w:color="auto"/>
                <w:left w:val="none" w:sz="0" w:space="0" w:color="auto"/>
                <w:bottom w:val="none" w:sz="0" w:space="0" w:color="auto"/>
                <w:right w:val="none" w:sz="0" w:space="0" w:color="auto"/>
              </w:divBdr>
              <w:divsChild>
                <w:div w:id="904149446">
                  <w:marLeft w:val="0"/>
                  <w:marRight w:val="0"/>
                  <w:marTop w:val="0"/>
                  <w:marBottom w:val="0"/>
                  <w:divBdr>
                    <w:top w:val="none" w:sz="0" w:space="0" w:color="auto"/>
                    <w:left w:val="none" w:sz="0" w:space="0" w:color="auto"/>
                    <w:bottom w:val="none" w:sz="0" w:space="0" w:color="auto"/>
                    <w:right w:val="none" w:sz="0" w:space="0" w:color="auto"/>
                  </w:divBdr>
                  <w:divsChild>
                    <w:div w:id="319697017">
                      <w:marLeft w:val="0"/>
                      <w:marRight w:val="0"/>
                      <w:marTop w:val="0"/>
                      <w:marBottom w:val="0"/>
                      <w:divBdr>
                        <w:top w:val="none" w:sz="0" w:space="0" w:color="auto"/>
                        <w:left w:val="none" w:sz="0" w:space="0" w:color="auto"/>
                        <w:bottom w:val="none" w:sz="0" w:space="0" w:color="auto"/>
                        <w:right w:val="none" w:sz="0" w:space="0" w:color="auto"/>
                      </w:divBdr>
                      <w:divsChild>
                        <w:div w:id="1408377719">
                          <w:marLeft w:val="0"/>
                          <w:marRight w:val="0"/>
                          <w:marTop w:val="0"/>
                          <w:marBottom w:val="0"/>
                          <w:divBdr>
                            <w:top w:val="none" w:sz="0" w:space="0" w:color="auto"/>
                            <w:left w:val="none" w:sz="0" w:space="0" w:color="auto"/>
                            <w:bottom w:val="none" w:sz="0" w:space="0" w:color="auto"/>
                            <w:right w:val="none" w:sz="0" w:space="0" w:color="auto"/>
                          </w:divBdr>
                          <w:divsChild>
                            <w:div w:id="1292861014">
                              <w:marLeft w:val="0"/>
                              <w:marRight w:val="0"/>
                              <w:marTop w:val="0"/>
                              <w:marBottom w:val="0"/>
                              <w:divBdr>
                                <w:top w:val="none" w:sz="0" w:space="0" w:color="auto"/>
                                <w:left w:val="none" w:sz="0" w:space="0" w:color="auto"/>
                                <w:bottom w:val="none" w:sz="0" w:space="0" w:color="auto"/>
                                <w:right w:val="none" w:sz="0" w:space="0" w:color="auto"/>
                              </w:divBdr>
                              <w:divsChild>
                                <w:div w:id="1923953172">
                                  <w:marLeft w:val="0"/>
                                  <w:marRight w:val="0"/>
                                  <w:marTop w:val="0"/>
                                  <w:marBottom w:val="0"/>
                                  <w:divBdr>
                                    <w:top w:val="none" w:sz="0" w:space="0" w:color="auto"/>
                                    <w:left w:val="none" w:sz="0" w:space="0" w:color="auto"/>
                                    <w:bottom w:val="none" w:sz="0" w:space="0" w:color="auto"/>
                                    <w:right w:val="none" w:sz="0" w:space="0" w:color="auto"/>
                                  </w:divBdr>
                                  <w:divsChild>
                                    <w:div w:id="231045985">
                                      <w:marLeft w:val="0"/>
                                      <w:marRight w:val="0"/>
                                      <w:marTop w:val="0"/>
                                      <w:marBottom w:val="0"/>
                                      <w:divBdr>
                                        <w:top w:val="none" w:sz="0" w:space="0" w:color="auto"/>
                                        <w:left w:val="none" w:sz="0" w:space="0" w:color="auto"/>
                                        <w:bottom w:val="none" w:sz="0" w:space="0" w:color="auto"/>
                                        <w:right w:val="none" w:sz="0" w:space="0" w:color="auto"/>
                                      </w:divBdr>
                                      <w:divsChild>
                                        <w:div w:id="5739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058295">
      <w:bodyDiv w:val="1"/>
      <w:marLeft w:val="0"/>
      <w:marRight w:val="0"/>
      <w:marTop w:val="0"/>
      <w:marBottom w:val="0"/>
      <w:divBdr>
        <w:top w:val="none" w:sz="0" w:space="0" w:color="auto"/>
        <w:left w:val="none" w:sz="0" w:space="0" w:color="auto"/>
        <w:bottom w:val="none" w:sz="0" w:space="0" w:color="auto"/>
        <w:right w:val="none" w:sz="0" w:space="0" w:color="auto"/>
      </w:divBdr>
      <w:divsChild>
        <w:div w:id="2059159524">
          <w:marLeft w:val="0"/>
          <w:marRight w:val="0"/>
          <w:marTop w:val="0"/>
          <w:marBottom w:val="0"/>
          <w:divBdr>
            <w:top w:val="none" w:sz="0" w:space="0" w:color="auto"/>
            <w:left w:val="none" w:sz="0" w:space="0" w:color="auto"/>
            <w:bottom w:val="none" w:sz="0" w:space="0" w:color="auto"/>
            <w:right w:val="none" w:sz="0" w:space="0" w:color="auto"/>
          </w:divBdr>
          <w:divsChild>
            <w:div w:id="103427265">
              <w:marLeft w:val="0"/>
              <w:marRight w:val="0"/>
              <w:marTop w:val="0"/>
              <w:marBottom w:val="0"/>
              <w:divBdr>
                <w:top w:val="none" w:sz="0" w:space="0" w:color="auto"/>
                <w:left w:val="none" w:sz="0" w:space="0" w:color="auto"/>
                <w:bottom w:val="none" w:sz="0" w:space="0" w:color="auto"/>
                <w:right w:val="none" w:sz="0" w:space="0" w:color="auto"/>
              </w:divBdr>
              <w:divsChild>
                <w:div w:id="8161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82654">
      <w:bodyDiv w:val="1"/>
      <w:marLeft w:val="0"/>
      <w:marRight w:val="0"/>
      <w:marTop w:val="0"/>
      <w:marBottom w:val="0"/>
      <w:divBdr>
        <w:top w:val="none" w:sz="0" w:space="0" w:color="auto"/>
        <w:left w:val="none" w:sz="0" w:space="0" w:color="auto"/>
        <w:bottom w:val="none" w:sz="0" w:space="0" w:color="auto"/>
        <w:right w:val="none" w:sz="0" w:space="0" w:color="auto"/>
      </w:divBdr>
      <w:divsChild>
        <w:div w:id="508980616">
          <w:marLeft w:val="0"/>
          <w:marRight w:val="0"/>
          <w:marTop w:val="0"/>
          <w:marBottom w:val="0"/>
          <w:divBdr>
            <w:top w:val="none" w:sz="0" w:space="0" w:color="auto"/>
            <w:left w:val="none" w:sz="0" w:space="0" w:color="auto"/>
            <w:bottom w:val="none" w:sz="0" w:space="0" w:color="auto"/>
            <w:right w:val="none" w:sz="0" w:space="0" w:color="auto"/>
          </w:divBdr>
          <w:divsChild>
            <w:div w:id="1545674264">
              <w:marLeft w:val="0"/>
              <w:marRight w:val="0"/>
              <w:marTop w:val="0"/>
              <w:marBottom w:val="0"/>
              <w:divBdr>
                <w:top w:val="none" w:sz="0" w:space="0" w:color="auto"/>
                <w:left w:val="none" w:sz="0" w:space="0" w:color="auto"/>
                <w:bottom w:val="none" w:sz="0" w:space="0" w:color="auto"/>
                <w:right w:val="none" w:sz="0" w:space="0" w:color="auto"/>
              </w:divBdr>
              <w:divsChild>
                <w:div w:id="10183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3531">
      <w:bodyDiv w:val="1"/>
      <w:marLeft w:val="0"/>
      <w:marRight w:val="0"/>
      <w:marTop w:val="0"/>
      <w:marBottom w:val="0"/>
      <w:divBdr>
        <w:top w:val="none" w:sz="0" w:space="0" w:color="auto"/>
        <w:left w:val="none" w:sz="0" w:space="0" w:color="auto"/>
        <w:bottom w:val="none" w:sz="0" w:space="0" w:color="auto"/>
        <w:right w:val="none" w:sz="0" w:space="0" w:color="auto"/>
      </w:divBdr>
      <w:divsChild>
        <w:div w:id="703139648">
          <w:marLeft w:val="0"/>
          <w:marRight w:val="0"/>
          <w:marTop w:val="0"/>
          <w:marBottom w:val="0"/>
          <w:divBdr>
            <w:top w:val="none" w:sz="0" w:space="0" w:color="auto"/>
            <w:left w:val="none" w:sz="0" w:space="0" w:color="auto"/>
            <w:bottom w:val="none" w:sz="0" w:space="0" w:color="auto"/>
            <w:right w:val="none" w:sz="0" w:space="0" w:color="auto"/>
          </w:divBdr>
          <w:divsChild>
            <w:div w:id="119884099">
              <w:marLeft w:val="0"/>
              <w:marRight w:val="0"/>
              <w:marTop w:val="0"/>
              <w:marBottom w:val="0"/>
              <w:divBdr>
                <w:top w:val="none" w:sz="0" w:space="0" w:color="auto"/>
                <w:left w:val="none" w:sz="0" w:space="0" w:color="auto"/>
                <w:bottom w:val="none" w:sz="0" w:space="0" w:color="auto"/>
                <w:right w:val="none" w:sz="0" w:space="0" w:color="auto"/>
              </w:divBdr>
              <w:divsChild>
                <w:div w:id="5390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2235">
      <w:bodyDiv w:val="1"/>
      <w:marLeft w:val="0"/>
      <w:marRight w:val="0"/>
      <w:marTop w:val="0"/>
      <w:marBottom w:val="0"/>
      <w:divBdr>
        <w:top w:val="none" w:sz="0" w:space="0" w:color="auto"/>
        <w:left w:val="none" w:sz="0" w:space="0" w:color="auto"/>
        <w:bottom w:val="none" w:sz="0" w:space="0" w:color="auto"/>
        <w:right w:val="none" w:sz="0" w:space="0" w:color="auto"/>
      </w:divBdr>
      <w:divsChild>
        <w:div w:id="1328436314">
          <w:marLeft w:val="0"/>
          <w:marRight w:val="0"/>
          <w:marTop w:val="0"/>
          <w:marBottom w:val="0"/>
          <w:divBdr>
            <w:top w:val="none" w:sz="0" w:space="0" w:color="auto"/>
            <w:left w:val="none" w:sz="0" w:space="0" w:color="auto"/>
            <w:bottom w:val="none" w:sz="0" w:space="0" w:color="auto"/>
            <w:right w:val="none" w:sz="0" w:space="0" w:color="auto"/>
          </w:divBdr>
          <w:divsChild>
            <w:div w:id="1071848582">
              <w:marLeft w:val="0"/>
              <w:marRight w:val="0"/>
              <w:marTop w:val="0"/>
              <w:marBottom w:val="0"/>
              <w:divBdr>
                <w:top w:val="none" w:sz="0" w:space="0" w:color="auto"/>
                <w:left w:val="none" w:sz="0" w:space="0" w:color="auto"/>
                <w:bottom w:val="none" w:sz="0" w:space="0" w:color="auto"/>
                <w:right w:val="none" w:sz="0" w:space="0" w:color="auto"/>
              </w:divBdr>
              <w:divsChild>
                <w:div w:id="228611119">
                  <w:marLeft w:val="0"/>
                  <w:marRight w:val="0"/>
                  <w:marTop w:val="0"/>
                  <w:marBottom w:val="0"/>
                  <w:divBdr>
                    <w:top w:val="none" w:sz="0" w:space="0" w:color="auto"/>
                    <w:left w:val="none" w:sz="0" w:space="0" w:color="auto"/>
                    <w:bottom w:val="none" w:sz="0" w:space="0" w:color="auto"/>
                    <w:right w:val="none" w:sz="0" w:space="0" w:color="auto"/>
                  </w:divBdr>
                  <w:divsChild>
                    <w:div w:id="1912495868">
                      <w:marLeft w:val="0"/>
                      <w:marRight w:val="0"/>
                      <w:marTop w:val="0"/>
                      <w:marBottom w:val="0"/>
                      <w:divBdr>
                        <w:top w:val="none" w:sz="0" w:space="0" w:color="auto"/>
                        <w:left w:val="none" w:sz="0" w:space="0" w:color="auto"/>
                        <w:bottom w:val="none" w:sz="0" w:space="0" w:color="auto"/>
                        <w:right w:val="none" w:sz="0" w:space="0" w:color="auto"/>
                      </w:divBdr>
                      <w:divsChild>
                        <w:div w:id="2077048779">
                          <w:marLeft w:val="0"/>
                          <w:marRight w:val="0"/>
                          <w:marTop w:val="0"/>
                          <w:marBottom w:val="0"/>
                          <w:divBdr>
                            <w:top w:val="none" w:sz="0" w:space="0" w:color="auto"/>
                            <w:left w:val="none" w:sz="0" w:space="0" w:color="auto"/>
                            <w:bottom w:val="none" w:sz="0" w:space="0" w:color="auto"/>
                            <w:right w:val="none" w:sz="0" w:space="0" w:color="auto"/>
                          </w:divBdr>
                          <w:divsChild>
                            <w:div w:id="1319533196">
                              <w:marLeft w:val="0"/>
                              <w:marRight w:val="0"/>
                              <w:marTop w:val="0"/>
                              <w:marBottom w:val="0"/>
                              <w:divBdr>
                                <w:top w:val="none" w:sz="0" w:space="0" w:color="auto"/>
                                <w:left w:val="none" w:sz="0" w:space="0" w:color="auto"/>
                                <w:bottom w:val="none" w:sz="0" w:space="0" w:color="auto"/>
                                <w:right w:val="none" w:sz="0" w:space="0" w:color="auto"/>
                              </w:divBdr>
                              <w:divsChild>
                                <w:div w:id="1738437165">
                                  <w:marLeft w:val="0"/>
                                  <w:marRight w:val="0"/>
                                  <w:marTop w:val="0"/>
                                  <w:marBottom w:val="0"/>
                                  <w:divBdr>
                                    <w:top w:val="none" w:sz="0" w:space="0" w:color="auto"/>
                                    <w:left w:val="none" w:sz="0" w:space="0" w:color="auto"/>
                                    <w:bottom w:val="none" w:sz="0" w:space="0" w:color="auto"/>
                                    <w:right w:val="none" w:sz="0" w:space="0" w:color="auto"/>
                                  </w:divBdr>
                                  <w:divsChild>
                                    <w:div w:id="1837723969">
                                      <w:marLeft w:val="0"/>
                                      <w:marRight w:val="0"/>
                                      <w:marTop w:val="0"/>
                                      <w:marBottom w:val="0"/>
                                      <w:divBdr>
                                        <w:top w:val="none" w:sz="0" w:space="0" w:color="auto"/>
                                        <w:left w:val="none" w:sz="0" w:space="0" w:color="auto"/>
                                        <w:bottom w:val="none" w:sz="0" w:space="0" w:color="auto"/>
                                        <w:right w:val="none" w:sz="0" w:space="0" w:color="auto"/>
                                      </w:divBdr>
                                      <w:divsChild>
                                        <w:div w:id="4162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182929">
      <w:bodyDiv w:val="1"/>
      <w:marLeft w:val="0"/>
      <w:marRight w:val="0"/>
      <w:marTop w:val="0"/>
      <w:marBottom w:val="0"/>
      <w:divBdr>
        <w:top w:val="none" w:sz="0" w:space="0" w:color="auto"/>
        <w:left w:val="none" w:sz="0" w:space="0" w:color="auto"/>
        <w:bottom w:val="none" w:sz="0" w:space="0" w:color="auto"/>
        <w:right w:val="none" w:sz="0" w:space="0" w:color="auto"/>
      </w:divBdr>
      <w:divsChild>
        <w:div w:id="343477767">
          <w:marLeft w:val="0"/>
          <w:marRight w:val="0"/>
          <w:marTop w:val="0"/>
          <w:marBottom w:val="0"/>
          <w:divBdr>
            <w:top w:val="none" w:sz="0" w:space="0" w:color="auto"/>
            <w:left w:val="none" w:sz="0" w:space="0" w:color="auto"/>
            <w:bottom w:val="none" w:sz="0" w:space="0" w:color="auto"/>
            <w:right w:val="none" w:sz="0" w:space="0" w:color="auto"/>
          </w:divBdr>
          <w:divsChild>
            <w:div w:id="458650973">
              <w:marLeft w:val="0"/>
              <w:marRight w:val="0"/>
              <w:marTop w:val="0"/>
              <w:marBottom w:val="0"/>
              <w:divBdr>
                <w:top w:val="none" w:sz="0" w:space="0" w:color="auto"/>
                <w:left w:val="none" w:sz="0" w:space="0" w:color="auto"/>
                <w:bottom w:val="none" w:sz="0" w:space="0" w:color="auto"/>
                <w:right w:val="none" w:sz="0" w:space="0" w:color="auto"/>
              </w:divBdr>
              <w:divsChild>
                <w:div w:id="21359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39269">
      <w:bodyDiv w:val="1"/>
      <w:marLeft w:val="0"/>
      <w:marRight w:val="0"/>
      <w:marTop w:val="0"/>
      <w:marBottom w:val="0"/>
      <w:divBdr>
        <w:top w:val="none" w:sz="0" w:space="0" w:color="auto"/>
        <w:left w:val="none" w:sz="0" w:space="0" w:color="auto"/>
        <w:bottom w:val="none" w:sz="0" w:space="0" w:color="auto"/>
        <w:right w:val="none" w:sz="0" w:space="0" w:color="auto"/>
      </w:divBdr>
      <w:divsChild>
        <w:div w:id="353073568">
          <w:marLeft w:val="0"/>
          <w:marRight w:val="0"/>
          <w:marTop w:val="0"/>
          <w:marBottom w:val="0"/>
          <w:divBdr>
            <w:top w:val="none" w:sz="0" w:space="0" w:color="auto"/>
            <w:left w:val="none" w:sz="0" w:space="0" w:color="auto"/>
            <w:bottom w:val="none" w:sz="0" w:space="0" w:color="auto"/>
            <w:right w:val="none" w:sz="0" w:space="0" w:color="auto"/>
          </w:divBdr>
          <w:divsChild>
            <w:div w:id="1796635604">
              <w:marLeft w:val="0"/>
              <w:marRight w:val="0"/>
              <w:marTop w:val="0"/>
              <w:marBottom w:val="0"/>
              <w:divBdr>
                <w:top w:val="none" w:sz="0" w:space="0" w:color="auto"/>
                <w:left w:val="none" w:sz="0" w:space="0" w:color="auto"/>
                <w:bottom w:val="none" w:sz="0" w:space="0" w:color="auto"/>
                <w:right w:val="none" w:sz="0" w:space="0" w:color="auto"/>
              </w:divBdr>
              <w:divsChild>
                <w:div w:id="562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99596">
      <w:bodyDiv w:val="1"/>
      <w:marLeft w:val="0"/>
      <w:marRight w:val="0"/>
      <w:marTop w:val="0"/>
      <w:marBottom w:val="0"/>
      <w:divBdr>
        <w:top w:val="none" w:sz="0" w:space="0" w:color="auto"/>
        <w:left w:val="none" w:sz="0" w:space="0" w:color="auto"/>
        <w:bottom w:val="none" w:sz="0" w:space="0" w:color="auto"/>
        <w:right w:val="none" w:sz="0" w:space="0" w:color="auto"/>
      </w:divBdr>
      <w:divsChild>
        <w:div w:id="1444379427">
          <w:marLeft w:val="0"/>
          <w:marRight w:val="0"/>
          <w:marTop w:val="0"/>
          <w:marBottom w:val="0"/>
          <w:divBdr>
            <w:top w:val="none" w:sz="0" w:space="0" w:color="auto"/>
            <w:left w:val="none" w:sz="0" w:space="0" w:color="auto"/>
            <w:bottom w:val="none" w:sz="0" w:space="0" w:color="auto"/>
            <w:right w:val="none" w:sz="0" w:space="0" w:color="auto"/>
          </w:divBdr>
          <w:divsChild>
            <w:div w:id="1406340679">
              <w:marLeft w:val="0"/>
              <w:marRight w:val="0"/>
              <w:marTop w:val="0"/>
              <w:marBottom w:val="0"/>
              <w:divBdr>
                <w:top w:val="none" w:sz="0" w:space="0" w:color="auto"/>
                <w:left w:val="none" w:sz="0" w:space="0" w:color="auto"/>
                <w:bottom w:val="none" w:sz="0" w:space="0" w:color="auto"/>
                <w:right w:val="none" w:sz="0" w:space="0" w:color="auto"/>
              </w:divBdr>
              <w:divsChild>
                <w:div w:id="6215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5747">
      <w:bodyDiv w:val="1"/>
      <w:marLeft w:val="0"/>
      <w:marRight w:val="0"/>
      <w:marTop w:val="0"/>
      <w:marBottom w:val="0"/>
      <w:divBdr>
        <w:top w:val="none" w:sz="0" w:space="0" w:color="auto"/>
        <w:left w:val="none" w:sz="0" w:space="0" w:color="auto"/>
        <w:bottom w:val="none" w:sz="0" w:space="0" w:color="auto"/>
        <w:right w:val="none" w:sz="0" w:space="0" w:color="auto"/>
      </w:divBdr>
      <w:divsChild>
        <w:div w:id="1368261850">
          <w:marLeft w:val="0"/>
          <w:marRight w:val="0"/>
          <w:marTop w:val="0"/>
          <w:marBottom w:val="0"/>
          <w:divBdr>
            <w:top w:val="none" w:sz="0" w:space="0" w:color="auto"/>
            <w:left w:val="none" w:sz="0" w:space="0" w:color="auto"/>
            <w:bottom w:val="none" w:sz="0" w:space="0" w:color="auto"/>
            <w:right w:val="none" w:sz="0" w:space="0" w:color="auto"/>
          </w:divBdr>
          <w:divsChild>
            <w:div w:id="203953189">
              <w:marLeft w:val="0"/>
              <w:marRight w:val="0"/>
              <w:marTop w:val="0"/>
              <w:marBottom w:val="0"/>
              <w:divBdr>
                <w:top w:val="none" w:sz="0" w:space="0" w:color="auto"/>
                <w:left w:val="none" w:sz="0" w:space="0" w:color="auto"/>
                <w:bottom w:val="none" w:sz="0" w:space="0" w:color="auto"/>
                <w:right w:val="none" w:sz="0" w:space="0" w:color="auto"/>
              </w:divBdr>
              <w:divsChild>
                <w:div w:id="12335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80945">
      <w:bodyDiv w:val="1"/>
      <w:marLeft w:val="0"/>
      <w:marRight w:val="0"/>
      <w:marTop w:val="0"/>
      <w:marBottom w:val="0"/>
      <w:divBdr>
        <w:top w:val="none" w:sz="0" w:space="0" w:color="auto"/>
        <w:left w:val="none" w:sz="0" w:space="0" w:color="auto"/>
        <w:bottom w:val="none" w:sz="0" w:space="0" w:color="auto"/>
        <w:right w:val="none" w:sz="0" w:space="0" w:color="auto"/>
      </w:divBdr>
      <w:divsChild>
        <w:div w:id="1680813197">
          <w:marLeft w:val="0"/>
          <w:marRight w:val="0"/>
          <w:marTop w:val="0"/>
          <w:marBottom w:val="0"/>
          <w:divBdr>
            <w:top w:val="none" w:sz="0" w:space="0" w:color="auto"/>
            <w:left w:val="none" w:sz="0" w:space="0" w:color="auto"/>
            <w:bottom w:val="none" w:sz="0" w:space="0" w:color="auto"/>
            <w:right w:val="none" w:sz="0" w:space="0" w:color="auto"/>
          </w:divBdr>
          <w:divsChild>
            <w:div w:id="981078393">
              <w:marLeft w:val="0"/>
              <w:marRight w:val="0"/>
              <w:marTop w:val="0"/>
              <w:marBottom w:val="0"/>
              <w:divBdr>
                <w:top w:val="none" w:sz="0" w:space="0" w:color="auto"/>
                <w:left w:val="none" w:sz="0" w:space="0" w:color="auto"/>
                <w:bottom w:val="none" w:sz="0" w:space="0" w:color="auto"/>
                <w:right w:val="none" w:sz="0" w:space="0" w:color="auto"/>
              </w:divBdr>
              <w:divsChild>
                <w:div w:id="12436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4144">
      <w:bodyDiv w:val="1"/>
      <w:marLeft w:val="0"/>
      <w:marRight w:val="0"/>
      <w:marTop w:val="0"/>
      <w:marBottom w:val="0"/>
      <w:divBdr>
        <w:top w:val="none" w:sz="0" w:space="0" w:color="auto"/>
        <w:left w:val="none" w:sz="0" w:space="0" w:color="auto"/>
        <w:bottom w:val="none" w:sz="0" w:space="0" w:color="auto"/>
        <w:right w:val="none" w:sz="0" w:space="0" w:color="auto"/>
      </w:divBdr>
      <w:divsChild>
        <w:div w:id="1000621796">
          <w:marLeft w:val="0"/>
          <w:marRight w:val="0"/>
          <w:marTop w:val="0"/>
          <w:marBottom w:val="0"/>
          <w:divBdr>
            <w:top w:val="none" w:sz="0" w:space="0" w:color="auto"/>
            <w:left w:val="none" w:sz="0" w:space="0" w:color="auto"/>
            <w:bottom w:val="none" w:sz="0" w:space="0" w:color="auto"/>
            <w:right w:val="none" w:sz="0" w:space="0" w:color="auto"/>
          </w:divBdr>
          <w:divsChild>
            <w:div w:id="206797791">
              <w:marLeft w:val="0"/>
              <w:marRight w:val="0"/>
              <w:marTop w:val="0"/>
              <w:marBottom w:val="0"/>
              <w:divBdr>
                <w:top w:val="none" w:sz="0" w:space="0" w:color="auto"/>
                <w:left w:val="none" w:sz="0" w:space="0" w:color="auto"/>
                <w:bottom w:val="none" w:sz="0" w:space="0" w:color="auto"/>
                <w:right w:val="none" w:sz="0" w:space="0" w:color="auto"/>
              </w:divBdr>
              <w:divsChild>
                <w:div w:id="1418676356">
                  <w:marLeft w:val="0"/>
                  <w:marRight w:val="0"/>
                  <w:marTop w:val="0"/>
                  <w:marBottom w:val="0"/>
                  <w:divBdr>
                    <w:top w:val="none" w:sz="0" w:space="0" w:color="auto"/>
                    <w:left w:val="none" w:sz="0" w:space="0" w:color="auto"/>
                    <w:bottom w:val="none" w:sz="0" w:space="0" w:color="auto"/>
                    <w:right w:val="none" w:sz="0" w:space="0" w:color="auto"/>
                  </w:divBdr>
                  <w:divsChild>
                    <w:div w:id="509569591">
                      <w:marLeft w:val="0"/>
                      <w:marRight w:val="0"/>
                      <w:marTop w:val="0"/>
                      <w:marBottom w:val="0"/>
                      <w:divBdr>
                        <w:top w:val="none" w:sz="0" w:space="0" w:color="auto"/>
                        <w:left w:val="none" w:sz="0" w:space="0" w:color="auto"/>
                        <w:bottom w:val="none" w:sz="0" w:space="0" w:color="auto"/>
                        <w:right w:val="none" w:sz="0" w:space="0" w:color="auto"/>
                      </w:divBdr>
                      <w:divsChild>
                        <w:div w:id="1464689628">
                          <w:marLeft w:val="0"/>
                          <w:marRight w:val="0"/>
                          <w:marTop w:val="0"/>
                          <w:marBottom w:val="0"/>
                          <w:divBdr>
                            <w:top w:val="none" w:sz="0" w:space="0" w:color="auto"/>
                            <w:left w:val="none" w:sz="0" w:space="0" w:color="auto"/>
                            <w:bottom w:val="none" w:sz="0" w:space="0" w:color="auto"/>
                            <w:right w:val="none" w:sz="0" w:space="0" w:color="auto"/>
                          </w:divBdr>
                          <w:divsChild>
                            <w:div w:id="1642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674190">
      <w:bodyDiv w:val="1"/>
      <w:marLeft w:val="0"/>
      <w:marRight w:val="0"/>
      <w:marTop w:val="0"/>
      <w:marBottom w:val="0"/>
      <w:divBdr>
        <w:top w:val="none" w:sz="0" w:space="0" w:color="auto"/>
        <w:left w:val="none" w:sz="0" w:space="0" w:color="auto"/>
        <w:bottom w:val="none" w:sz="0" w:space="0" w:color="auto"/>
        <w:right w:val="none" w:sz="0" w:space="0" w:color="auto"/>
      </w:divBdr>
      <w:divsChild>
        <w:div w:id="1228766718">
          <w:marLeft w:val="0"/>
          <w:marRight w:val="0"/>
          <w:marTop w:val="0"/>
          <w:marBottom w:val="0"/>
          <w:divBdr>
            <w:top w:val="none" w:sz="0" w:space="0" w:color="auto"/>
            <w:left w:val="none" w:sz="0" w:space="0" w:color="auto"/>
            <w:bottom w:val="none" w:sz="0" w:space="0" w:color="auto"/>
            <w:right w:val="none" w:sz="0" w:space="0" w:color="auto"/>
          </w:divBdr>
          <w:divsChild>
            <w:div w:id="1504709755">
              <w:marLeft w:val="0"/>
              <w:marRight w:val="0"/>
              <w:marTop w:val="0"/>
              <w:marBottom w:val="0"/>
              <w:divBdr>
                <w:top w:val="none" w:sz="0" w:space="0" w:color="auto"/>
                <w:left w:val="none" w:sz="0" w:space="0" w:color="auto"/>
                <w:bottom w:val="none" w:sz="0" w:space="0" w:color="auto"/>
                <w:right w:val="none" w:sz="0" w:space="0" w:color="auto"/>
              </w:divBdr>
              <w:divsChild>
                <w:div w:id="19272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90050">
      <w:bodyDiv w:val="1"/>
      <w:marLeft w:val="0"/>
      <w:marRight w:val="0"/>
      <w:marTop w:val="0"/>
      <w:marBottom w:val="0"/>
      <w:divBdr>
        <w:top w:val="none" w:sz="0" w:space="0" w:color="auto"/>
        <w:left w:val="none" w:sz="0" w:space="0" w:color="auto"/>
        <w:bottom w:val="none" w:sz="0" w:space="0" w:color="auto"/>
        <w:right w:val="none" w:sz="0" w:space="0" w:color="auto"/>
      </w:divBdr>
      <w:divsChild>
        <w:div w:id="586811257">
          <w:marLeft w:val="0"/>
          <w:marRight w:val="0"/>
          <w:marTop w:val="0"/>
          <w:marBottom w:val="0"/>
          <w:divBdr>
            <w:top w:val="none" w:sz="0" w:space="0" w:color="auto"/>
            <w:left w:val="none" w:sz="0" w:space="0" w:color="auto"/>
            <w:bottom w:val="none" w:sz="0" w:space="0" w:color="auto"/>
            <w:right w:val="none" w:sz="0" w:space="0" w:color="auto"/>
          </w:divBdr>
          <w:divsChild>
            <w:div w:id="784814950">
              <w:marLeft w:val="0"/>
              <w:marRight w:val="0"/>
              <w:marTop w:val="0"/>
              <w:marBottom w:val="0"/>
              <w:divBdr>
                <w:top w:val="none" w:sz="0" w:space="0" w:color="auto"/>
                <w:left w:val="none" w:sz="0" w:space="0" w:color="auto"/>
                <w:bottom w:val="none" w:sz="0" w:space="0" w:color="auto"/>
                <w:right w:val="none" w:sz="0" w:space="0" w:color="auto"/>
              </w:divBdr>
              <w:divsChild>
                <w:div w:id="6572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39112">
      <w:bodyDiv w:val="1"/>
      <w:marLeft w:val="0"/>
      <w:marRight w:val="0"/>
      <w:marTop w:val="0"/>
      <w:marBottom w:val="0"/>
      <w:divBdr>
        <w:top w:val="none" w:sz="0" w:space="0" w:color="auto"/>
        <w:left w:val="none" w:sz="0" w:space="0" w:color="auto"/>
        <w:bottom w:val="none" w:sz="0" w:space="0" w:color="auto"/>
        <w:right w:val="none" w:sz="0" w:space="0" w:color="auto"/>
      </w:divBdr>
      <w:divsChild>
        <w:div w:id="1481537305">
          <w:marLeft w:val="0"/>
          <w:marRight w:val="0"/>
          <w:marTop w:val="0"/>
          <w:marBottom w:val="0"/>
          <w:divBdr>
            <w:top w:val="none" w:sz="0" w:space="0" w:color="auto"/>
            <w:left w:val="none" w:sz="0" w:space="0" w:color="auto"/>
            <w:bottom w:val="none" w:sz="0" w:space="0" w:color="auto"/>
            <w:right w:val="none" w:sz="0" w:space="0" w:color="auto"/>
          </w:divBdr>
          <w:divsChild>
            <w:div w:id="2005736943">
              <w:marLeft w:val="0"/>
              <w:marRight w:val="0"/>
              <w:marTop w:val="0"/>
              <w:marBottom w:val="0"/>
              <w:divBdr>
                <w:top w:val="none" w:sz="0" w:space="0" w:color="auto"/>
                <w:left w:val="none" w:sz="0" w:space="0" w:color="auto"/>
                <w:bottom w:val="none" w:sz="0" w:space="0" w:color="auto"/>
                <w:right w:val="none" w:sz="0" w:space="0" w:color="auto"/>
              </w:divBdr>
              <w:divsChild>
                <w:div w:id="4965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3366">
      <w:bodyDiv w:val="1"/>
      <w:marLeft w:val="0"/>
      <w:marRight w:val="0"/>
      <w:marTop w:val="0"/>
      <w:marBottom w:val="0"/>
      <w:divBdr>
        <w:top w:val="none" w:sz="0" w:space="0" w:color="auto"/>
        <w:left w:val="none" w:sz="0" w:space="0" w:color="auto"/>
        <w:bottom w:val="none" w:sz="0" w:space="0" w:color="auto"/>
        <w:right w:val="none" w:sz="0" w:space="0" w:color="auto"/>
      </w:divBdr>
      <w:divsChild>
        <w:div w:id="767851600">
          <w:marLeft w:val="0"/>
          <w:marRight w:val="0"/>
          <w:marTop w:val="0"/>
          <w:marBottom w:val="0"/>
          <w:divBdr>
            <w:top w:val="none" w:sz="0" w:space="0" w:color="auto"/>
            <w:left w:val="none" w:sz="0" w:space="0" w:color="auto"/>
            <w:bottom w:val="none" w:sz="0" w:space="0" w:color="auto"/>
            <w:right w:val="none" w:sz="0" w:space="0" w:color="auto"/>
          </w:divBdr>
          <w:divsChild>
            <w:div w:id="446236490">
              <w:marLeft w:val="0"/>
              <w:marRight w:val="0"/>
              <w:marTop w:val="0"/>
              <w:marBottom w:val="0"/>
              <w:divBdr>
                <w:top w:val="none" w:sz="0" w:space="0" w:color="auto"/>
                <w:left w:val="none" w:sz="0" w:space="0" w:color="auto"/>
                <w:bottom w:val="none" w:sz="0" w:space="0" w:color="auto"/>
                <w:right w:val="none" w:sz="0" w:space="0" w:color="auto"/>
              </w:divBdr>
              <w:divsChild>
                <w:div w:id="103038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954877">
      <w:bodyDiv w:val="1"/>
      <w:marLeft w:val="0"/>
      <w:marRight w:val="0"/>
      <w:marTop w:val="0"/>
      <w:marBottom w:val="0"/>
      <w:divBdr>
        <w:top w:val="none" w:sz="0" w:space="0" w:color="auto"/>
        <w:left w:val="none" w:sz="0" w:space="0" w:color="auto"/>
        <w:bottom w:val="none" w:sz="0" w:space="0" w:color="auto"/>
        <w:right w:val="none" w:sz="0" w:space="0" w:color="auto"/>
      </w:divBdr>
      <w:divsChild>
        <w:div w:id="1906452965">
          <w:marLeft w:val="0"/>
          <w:marRight w:val="0"/>
          <w:marTop w:val="0"/>
          <w:marBottom w:val="0"/>
          <w:divBdr>
            <w:top w:val="none" w:sz="0" w:space="0" w:color="auto"/>
            <w:left w:val="none" w:sz="0" w:space="0" w:color="auto"/>
            <w:bottom w:val="none" w:sz="0" w:space="0" w:color="auto"/>
            <w:right w:val="none" w:sz="0" w:space="0" w:color="auto"/>
          </w:divBdr>
          <w:divsChild>
            <w:div w:id="267812596">
              <w:marLeft w:val="0"/>
              <w:marRight w:val="0"/>
              <w:marTop w:val="0"/>
              <w:marBottom w:val="0"/>
              <w:divBdr>
                <w:top w:val="none" w:sz="0" w:space="0" w:color="auto"/>
                <w:left w:val="none" w:sz="0" w:space="0" w:color="auto"/>
                <w:bottom w:val="none" w:sz="0" w:space="0" w:color="auto"/>
                <w:right w:val="none" w:sz="0" w:space="0" w:color="auto"/>
              </w:divBdr>
              <w:divsChild>
                <w:div w:id="198897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90460">
      <w:bodyDiv w:val="1"/>
      <w:marLeft w:val="0"/>
      <w:marRight w:val="0"/>
      <w:marTop w:val="0"/>
      <w:marBottom w:val="0"/>
      <w:divBdr>
        <w:top w:val="none" w:sz="0" w:space="0" w:color="auto"/>
        <w:left w:val="none" w:sz="0" w:space="0" w:color="auto"/>
        <w:bottom w:val="none" w:sz="0" w:space="0" w:color="auto"/>
        <w:right w:val="none" w:sz="0" w:space="0" w:color="auto"/>
      </w:divBdr>
      <w:divsChild>
        <w:div w:id="559096182">
          <w:marLeft w:val="0"/>
          <w:marRight w:val="0"/>
          <w:marTop w:val="0"/>
          <w:marBottom w:val="0"/>
          <w:divBdr>
            <w:top w:val="none" w:sz="0" w:space="0" w:color="auto"/>
            <w:left w:val="none" w:sz="0" w:space="0" w:color="auto"/>
            <w:bottom w:val="none" w:sz="0" w:space="0" w:color="auto"/>
            <w:right w:val="none" w:sz="0" w:space="0" w:color="auto"/>
          </w:divBdr>
          <w:divsChild>
            <w:div w:id="1639384362">
              <w:marLeft w:val="0"/>
              <w:marRight w:val="0"/>
              <w:marTop w:val="0"/>
              <w:marBottom w:val="0"/>
              <w:divBdr>
                <w:top w:val="none" w:sz="0" w:space="0" w:color="auto"/>
                <w:left w:val="none" w:sz="0" w:space="0" w:color="auto"/>
                <w:bottom w:val="none" w:sz="0" w:space="0" w:color="auto"/>
                <w:right w:val="none" w:sz="0" w:space="0" w:color="auto"/>
              </w:divBdr>
              <w:divsChild>
                <w:div w:id="4583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75242">
      <w:bodyDiv w:val="1"/>
      <w:marLeft w:val="0"/>
      <w:marRight w:val="0"/>
      <w:marTop w:val="0"/>
      <w:marBottom w:val="0"/>
      <w:divBdr>
        <w:top w:val="none" w:sz="0" w:space="0" w:color="auto"/>
        <w:left w:val="none" w:sz="0" w:space="0" w:color="auto"/>
        <w:bottom w:val="none" w:sz="0" w:space="0" w:color="auto"/>
        <w:right w:val="none" w:sz="0" w:space="0" w:color="auto"/>
      </w:divBdr>
      <w:divsChild>
        <w:div w:id="39785832">
          <w:marLeft w:val="0"/>
          <w:marRight w:val="0"/>
          <w:marTop w:val="0"/>
          <w:marBottom w:val="0"/>
          <w:divBdr>
            <w:top w:val="none" w:sz="0" w:space="0" w:color="auto"/>
            <w:left w:val="none" w:sz="0" w:space="0" w:color="auto"/>
            <w:bottom w:val="none" w:sz="0" w:space="0" w:color="auto"/>
            <w:right w:val="none" w:sz="0" w:space="0" w:color="auto"/>
          </w:divBdr>
          <w:divsChild>
            <w:div w:id="199245325">
              <w:marLeft w:val="0"/>
              <w:marRight w:val="0"/>
              <w:marTop w:val="0"/>
              <w:marBottom w:val="0"/>
              <w:divBdr>
                <w:top w:val="none" w:sz="0" w:space="0" w:color="auto"/>
                <w:left w:val="none" w:sz="0" w:space="0" w:color="auto"/>
                <w:bottom w:val="none" w:sz="0" w:space="0" w:color="auto"/>
                <w:right w:val="none" w:sz="0" w:space="0" w:color="auto"/>
              </w:divBdr>
              <w:divsChild>
                <w:div w:id="2305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75418">
      <w:bodyDiv w:val="1"/>
      <w:marLeft w:val="0"/>
      <w:marRight w:val="0"/>
      <w:marTop w:val="0"/>
      <w:marBottom w:val="0"/>
      <w:divBdr>
        <w:top w:val="none" w:sz="0" w:space="0" w:color="auto"/>
        <w:left w:val="none" w:sz="0" w:space="0" w:color="auto"/>
        <w:bottom w:val="none" w:sz="0" w:space="0" w:color="auto"/>
        <w:right w:val="none" w:sz="0" w:space="0" w:color="auto"/>
      </w:divBdr>
      <w:divsChild>
        <w:div w:id="2107966606">
          <w:marLeft w:val="0"/>
          <w:marRight w:val="0"/>
          <w:marTop w:val="0"/>
          <w:marBottom w:val="0"/>
          <w:divBdr>
            <w:top w:val="none" w:sz="0" w:space="0" w:color="auto"/>
            <w:left w:val="none" w:sz="0" w:space="0" w:color="auto"/>
            <w:bottom w:val="none" w:sz="0" w:space="0" w:color="auto"/>
            <w:right w:val="none" w:sz="0" w:space="0" w:color="auto"/>
          </w:divBdr>
          <w:divsChild>
            <w:div w:id="1034890013">
              <w:marLeft w:val="0"/>
              <w:marRight w:val="0"/>
              <w:marTop w:val="0"/>
              <w:marBottom w:val="0"/>
              <w:divBdr>
                <w:top w:val="none" w:sz="0" w:space="0" w:color="auto"/>
                <w:left w:val="none" w:sz="0" w:space="0" w:color="auto"/>
                <w:bottom w:val="none" w:sz="0" w:space="0" w:color="auto"/>
                <w:right w:val="none" w:sz="0" w:space="0" w:color="auto"/>
              </w:divBdr>
              <w:divsChild>
                <w:div w:id="11754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9858">
      <w:bodyDiv w:val="1"/>
      <w:marLeft w:val="0"/>
      <w:marRight w:val="0"/>
      <w:marTop w:val="0"/>
      <w:marBottom w:val="0"/>
      <w:divBdr>
        <w:top w:val="none" w:sz="0" w:space="0" w:color="auto"/>
        <w:left w:val="none" w:sz="0" w:space="0" w:color="auto"/>
        <w:bottom w:val="none" w:sz="0" w:space="0" w:color="auto"/>
        <w:right w:val="none" w:sz="0" w:space="0" w:color="auto"/>
      </w:divBdr>
      <w:divsChild>
        <w:div w:id="531724425">
          <w:marLeft w:val="0"/>
          <w:marRight w:val="0"/>
          <w:marTop w:val="0"/>
          <w:marBottom w:val="0"/>
          <w:divBdr>
            <w:top w:val="none" w:sz="0" w:space="0" w:color="auto"/>
            <w:left w:val="none" w:sz="0" w:space="0" w:color="auto"/>
            <w:bottom w:val="none" w:sz="0" w:space="0" w:color="auto"/>
            <w:right w:val="none" w:sz="0" w:space="0" w:color="auto"/>
          </w:divBdr>
          <w:divsChild>
            <w:div w:id="1153066759">
              <w:marLeft w:val="0"/>
              <w:marRight w:val="0"/>
              <w:marTop w:val="0"/>
              <w:marBottom w:val="0"/>
              <w:divBdr>
                <w:top w:val="none" w:sz="0" w:space="0" w:color="auto"/>
                <w:left w:val="none" w:sz="0" w:space="0" w:color="auto"/>
                <w:bottom w:val="none" w:sz="0" w:space="0" w:color="auto"/>
                <w:right w:val="none" w:sz="0" w:space="0" w:color="auto"/>
              </w:divBdr>
              <w:divsChild>
                <w:div w:id="7133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39584">
      <w:bodyDiv w:val="1"/>
      <w:marLeft w:val="0"/>
      <w:marRight w:val="0"/>
      <w:marTop w:val="0"/>
      <w:marBottom w:val="0"/>
      <w:divBdr>
        <w:top w:val="none" w:sz="0" w:space="0" w:color="auto"/>
        <w:left w:val="none" w:sz="0" w:space="0" w:color="auto"/>
        <w:bottom w:val="none" w:sz="0" w:space="0" w:color="auto"/>
        <w:right w:val="none" w:sz="0" w:space="0" w:color="auto"/>
      </w:divBdr>
      <w:divsChild>
        <w:div w:id="1577933052">
          <w:marLeft w:val="0"/>
          <w:marRight w:val="0"/>
          <w:marTop w:val="0"/>
          <w:marBottom w:val="0"/>
          <w:divBdr>
            <w:top w:val="none" w:sz="0" w:space="0" w:color="auto"/>
            <w:left w:val="none" w:sz="0" w:space="0" w:color="auto"/>
            <w:bottom w:val="none" w:sz="0" w:space="0" w:color="auto"/>
            <w:right w:val="none" w:sz="0" w:space="0" w:color="auto"/>
          </w:divBdr>
          <w:divsChild>
            <w:div w:id="986276990">
              <w:marLeft w:val="0"/>
              <w:marRight w:val="0"/>
              <w:marTop w:val="0"/>
              <w:marBottom w:val="0"/>
              <w:divBdr>
                <w:top w:val="none" w:sz="0" w:space="0" w:color="auto"/>
                <w:left w:val="none" w:sz="0" w:space="0" w:color="auto"/>
                <w:bottom w:val="none" w:sz="0" w:space="0" w:color="auto"/>
                <w:right w:val="none" w:sz="0" w:space="0" w:color="auto"/>
              </w:divBdr>
              <w:divsChild>
                <w:div w:id="17104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10176">
      <w:bodyDiv w:val="1"/>
      <w:marLeft w:val="0"/>
      <w:marRight w:val="0"/>
      <w:marTop w:val="0"/>
      <w:marBottom w:val="0"/>
      <w:divBdr>
        <w:top w:val="none" w:sz="0" w:space="0" w:color="auto"/>
        <w:left w:val="none" w:sz="0" w:space="0" w:color="auto"/>
        <w:bottom w:val="none" w:sz="0" w:space="0" w:color="auto"/>
        <w:right w:val="none" w:sz="0" w:space="0" w:color="auto"/>
      </w:divBdr>
      <w:divsChild>
        <w:div w:id="1100644226">
          <w:marLeft w:val="0"/>
          <w:marRight w:val="0"/>
          <w:marTop w:val="0"/>
          <w:marBottom w:val="0"/>
          <w:divBdr>
            <w:top w:val="none" w:sz="0" w:space="0" w:color="auto"/>
            <w:left w:val="none" w:sz="0" w:space="0" w:color="auto"/>
            <w:bottom w:val="none" w:sz="0" w:space="0" w:color="auto"/>
            <w:right w:val="none" w:sz="0" w:space="0" w:color="auto"/>
          </w:divBdr>
          <w:divsChild>
            <w:div w:id="128518296">
              <w:marLeft w:val="0"/>
              <w:marRight w:val="0"/>
              <w:marTop w:val="0"/>
              <w:marBottom w:val="0"/>
              <w:divBdr>
                <w:top w:val="none" w:sz="0" w:space="0" w:color="auto"/>
                <w:left w:val="none" w:sz="0" w:space="0" w:color="auto"/>
                <w:bottom w:val="none" w:sz="0" w:space="0" w:color="auto"/>
                <w:right w:val="none" w:sz="0" w:space="0" w:color="auto"/>
              </w:divBdr>
              <w:divsChild>
                <w:div w:id="1381588962">
                  <w:marLeft w:val="0"/>
                  <w:marRight w:val="0"/>
                  <w:marTop w:val="0"/>
                  <w:marBottom w:val="0"/>
                  <w:divBdr>
                    <w:top w:val="none" w:sz="0" w:space="0" w:color="auto"/>
                    <w:left w:val="none" w:sz="0" w:space="0" w:color="auto"/>
                    <w:bottom w:val="none" w:sz="0" w:space="0" w:color="auto"/>
                    <w:right w:val="none" w:sz="0" w:space="0" w:color="auto"/>
                  </w:divBdr>
                  <w:divsChild>
                    <w:div w:id="720637708">
                      <w:marLeft w:val="0"/>
                      <w:marRight w:val="0"/>
                      <w:marTop w:val="0"/>
                      <w:marBottom w:val="0"/>
                      <w:divBdr>
                        <w:top w:val="none" w:sz="0" w:space="0" w:color="auto"/>
                        <w:left w:val="none" w:sz="0" w:space="0" w:color="auto"/>
                        <w:bottom w:val="none" w:sz="0" w:space="0" w:color="auto"/>
                        <w:right w:val="none" w:sz="0" w:space="0" w:color="auto"/>
                      </w:divBdr>
                      <w:divsChild>
                        <w:div w:id="1756587953">
                          <w:marLeft w:val="0"/>
                          <w:marRight w:val="0"/>
                          <w:marTop w:val="0"/>
                          <w:marBottom w:val="0"/>
                          <w:divBdr>
                            <w:top w:val="none" w:sz="0" w:space="0" w:color="auto"/>
                            <w:left w:val="none" w:sz="0" w:space="0" w:color="auto"/>
                            <w:bottom w:val="none" w:sz="0" w:space="0" w:color="auto"/>
                            <w:right w:val="none" w:sz="0" w:space="0" w:color="auto"/>
                          </w:divBdr>
                          <w:divsChild>
                            <w:div w:id="931355220">
                              <w:marLeft w:val="0"/>
                              <w:marRight w:val="0"/>
                              <w:marTop w:val="0"/>
                              <w:marBottom w:val="0"/>
                              <w:divBdr>
                                <w:top w:val="none" w:sz="0" w:space="0" w:color="auto"/>
                                <w:left w:val="none" w:sz="0" w:space="0" w:color="auto"/>
                                <w:bottom w:val="none" w:sz="0" w:space="0" w:color="auto"/>
                                <w:right w:val="none" w:sz="0" w:space="0" w:color="auto"/>
                              </w:divBdr>
                              <w:divsChild>
                                <w:div w:id="1184394205">
                                  <w:marLeft w:val="0"/>
                                  <w:marRight w:val="0"/>
                                  <w:marTop w:val="0"/>
                                  <w:marBottom w:val="0"/>
                                  <w:divBdr>
                                    <w:top w:val="none" w:sz="0" w:space="0" w:color="auto"/>
                                    <w:left w:val="none" w:sz="0" w:space="0" w:color="auto"/>
                                    <w:bottom w:val="none" w:sz="0" w:space="0" w:color="auto"/>
                                    <w:right w:val="none" w:sz="0" w:space="0" w:color="auto"/>
                                  </w:divBdr>
                                  <w:divsChild>
                                    <w:div w:id="1871259426">
                                      <w:marLeft w:val="0"/>
                                      <w:marRight w:val="0"/>
                                      <w:marTop w:val="0"/>
                                      <w:marBottom w:val="0"/>
                                      <w:divBdr>
                                        <w:top w:val="none" w:sz="0" w:space="0" w:color="auto"/>
                                        <w:left w:val="none" w:sz="0" w:space="0" w:color="auto"/>
                                        <w:bottom w:val="none" w:sz="0" w:space="0" w:color="auto"/>
                                        <w:right w:val="none" w:sz="0" w:space="0" w:color="auto"/>
                                      </w:divBdr>
                                      <w:divsChild>
                                        <w:div w:id="1562013810">
                                          <w:marLeft w:val="0"/>
                                          <w:marRight w:val="0"/>
                                          <w:marTop w:val="0"/>
                                          <w:marBottom w:val="0"/>
                                          <w:divBdr>
                                            <w:top w:val="none" w:sz="0" w:space="0" w:color="auto"/>
                                            <w:left w:val="none" w:sz="0" w:space="0" w:color="auto"/>
                                            <w:bottom w:val="none" w:sz="0" w:space="0" w:color="auto"/>
                                            <w:right w:val="none" w:sz="0" w:space="0" w:color="auto"/>
                                          </w:divBdr>
                                          <w:divsChild>
                                            <w:div w:id="400562270">
                                              <w:marLeft w:val="0"/>
                                              <w:marRight w:val="0"/>
                                              <w:marTop w:val="0"/>
                                              <w:marBottom w:val="0"/>
                                              <w:divBdr>
                                                <w:top w:val="none" w:sz="0" w:space="0" w:color="auto"/>
                                                <w:left w:val="none" w:sz="0" w:space="0" w:color="auto"/>
                                                <w:bottom w:val="none" w:sz="0" w:space="0" w:color="auto"/>
                                                <w:right w:val="none" w:sz="0" w:space="0" w:color="auto"/>
                                              </w:divBdr>
                                              <w:divsChild>
                                                <w:div w:id="3069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8991569">
      <w:bodyDiv w:val="1"/>
      <w:marLeft w:val="0"/>
      <w:marRight w:val="0"/>
      <w:marTop w:val="0"/>
      <w:marBottom w:val="0"/>
      <w:divBdr>
        <w:top w:val="none" w:sz="0" w:space="0" w:color="auto"/>
        <w:left w:val="none" w:sz="0" w:space="0" w:color="auto"/>
        <w:bottom w:val="none" w:sz="0" w:space="0" w:color="auto"/>
        <w:right w:val="none" w:sz="0" w:space="0" w:color="auto"/>
      </w:divBdr>
      <w:divsChild>
        <w:div w:id="1003900005">
          <w:marLeft w:val="0"/>
          <w:marRight w:val="0"/>
          <w:marTop w:val="0"/>
          <w:marBottom w:val="0"/>
          <w:divBdr>
            <w:top w:val="none" w:sz="0" w:space="0" w:color="auto"/>
            <w:left w:val="none" w:sz="0" w:space="0" w:color="auto"/>
            <w:bottom w:val="none" w:sz="0" w:space="0" w:color="auto"/>
            <w:right w:val="none" w:sz="0" w:space="0" w:color="auto"/>
          </w:divBdr>
          <w:divsChild>
            <w:div w:id="79720277">
              <w:marLeft w:val="0"/>
              <w:marRight w:val="0"/>
              <w:marTop w:val="0"/>
              <w:marBottom w:val="0"/>
              <w:divBdr>
                <w:top w:val="none" w:sz="0" w:space="0" w:color="auto"/>
                <w:left w:val="none" w:sz="0" w:space="0" w:color="auto"/>
                <w:bottom w:val="none" w:sz="0" w:space="0" w:color="auto"/>
                <w:right w:val="none" w:sz="0" w:space="0" w:color="auto"/>
              </w:divBdr>
              <w:divsChild>
                <w:div w:id="12054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29925">
      <w:bodyDiv w:val="1"/>
      <w:marLeft w:val="0"/>
      <w:marRight w:val="0"/>
      <w:marTop w:val="0"/>
      <w:marBottom w:val="0"/>
      <w:divBdr>
        <w:top w:val="none" w:sz="0" w:space="0" w:color="auto"/>
        <w:left w:val="none" w:sz="0" w:space="0" w:color="auto"/>
        <w:bottom w:val="none" w:sz="0" w:space="0" w:color="auto"/>
        <w:right w:val="none" w:sz="0" w:space="0" w:color="auto"/>
      </w:divBdr>
      <w:divsChild>
        <w:div w:id="1976255001">
          <w:marLeft w:val="0"/>
          <w:marRight w:val="0"/>
          <w:marTop w:val="0"/>
          <w:marBottom w:val="0"/>
          <w:divBdr>
            <w:top w:val="none" w:sz="0" w:space="0" w:color="auto"/>
            <w:left w:val="none" w:sz="0" w:space="0" w:color="auto"/>
            <w:bottom w:val="none" w:sz="0" w:space="0" w:color="auto"/>
            <w:right w:val="none" w:sz="0" w:space="0" w:color="auto"/>
          </w:divBdr>
          <w:divsChild>
            <w:div w:id="1418594905">
              <w:marLeft w:val="0"/>
              <w:marRight w:val="0"/>
              <w:marTop w:val="0"/>
              <w:marBottom w:val="0"/>
              <w:divBdr>
                <w:top w:val="none" w:sz="0" w:space="0" w:color="auto"/>
                <w:left w:val="none" w:sz="0" w:space="0" w:color="auto"/>
                <w:bottom w:val="none" w:sz="0" w:space="0" w:color="auto"/>
                <w:right w:val="none" w:sz="0" w:space="0" w:color="auto"/>
              </w:divBdr>
              <w:divsChild>
                <w:div w:id="7027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73803">
      <w:bodyDiv w:val="1"/>
      <w:marLeft w:val="0"/>
      <w:marRight w:val="0"/>
      <w:marTop w:val="0"/>
      <w:marBottom w:val="0"/>
      <w:divBdr>
        <w:top w:val="none" w:sz="0" w:space="0" w:color="auto"/>
        <w:left w:val="none" w:sz="0" w:space="0" w:color="auto"/>
        <w:bottom w:val="none" w:sz="0" w:space="0" w:color="auto"/>
        <w:right w:val="none" w:sz="0" w:space="0" w:color="auto"/>
      </w:divBdr>
      <w:divsChild>
        <w:div w:id="910038901">
          <w:marLeft w:val="0"/>
          <w:marRight w:val="0"/>
          <w:marTop w:val="0"/>
          <w:marBottom w:val="0"/>
          <w:divBdr>
            <w:top w:val="none" w:sz="0" w:space="0" w:color="auto"/>
            <w:left w:val="none" w:sz="0" w:space="0" w:color="auto"/>
            <w:bottom w:val="none" w:sz="0" w:space="0" w:color="auto"/>
            <w:right w:val="none" w:sz="0" w:space="0" w:color="auto"/>
          </w:divBdr>
          <w:divsChild>
            <w:div w:id="1618441259">
              <w:marLeft w:val="0"/>
              <w:marRight w:val="0"/>
              <w:marTop w:val="0"/>
              <w:marBottom w:val="0"/>
              <w:divBdr>
                <w:top w:val="none" w:sz="0" w:space="0" w:color="auto"/>
                <w:left w:val="none" w:sz="0" w:space="0" w:color="auto"/>
                <w:bottom w:val="none" w:sz="0" w:space="0" w:color="auto"/>
                <w:right w:val="none" w:sz="0" w:space="0" w:color="auto"/>
              </w:divBdr>
              <w:divsChild>
                <w:div w:id="8943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94988">
      <w:bodyDiv w:val="1"/>
      <w:marLeft w:val="0"/>
      <w:marRight w:val="0"/>
      <w:marTop w:val="0"/>
      <w:marBottom w:val="0"/>
      <w:divBdr>
        <w:top w:val="none" w:sz="0" w:space="0" w:color="auto"/>
        <w:left w:val="none" w:sz="0" w:space="0" w:color="auto"/>
        <w:bottom w:val="none" w:sz="0" w:space="0" w:color="auto"/>
        <w:right w:val="none" w:sz="0" w:space="0" w:color="auto"/>
      </w:divBdr>
      <w:divsChild>
        <w:div w:id="1403411775">
          <w:marLeft w:val="0"/>
          <w:marRight w:val="0"/>
          <w:marTop w:val="0"/>
          <w:marBottom w:val="0"/>
          <w:divBdr>
            <w:top w:val="none" w:sz="0" w:space="0" w:color="auto"/>
            <w:left w:val="none" w:sz="0" w:space="0" w:color="auto"/>
            <w:bottom w:val="none" w:sz="0" w:space="0" w:color="auto"/>
            <w:right w:val="none" w:sz="0" w:space="0" w:color="auto"/>
          </w:divBdr>
          <w:divsChild>
            <w:div w:id="412164197">
              <w:marLeft w:val="0"/>
              <w:marRight w:val="0"/>
              <w:marTop w:val="0"/>
              <w:marBottom w:val="0"/>
              <w:divBdr>
                <w:top w:val="none" w:sz="0" w:space="0" w:color="auto"/>
                <w:left w:val="none" w:sz="0" w:space="0" w:color="auto"/>
                <w:bottom w:val="none" w:sz="0" w:space="0" w:color="auto"/>
                <w:right w:val="none" w:sz="0" w:space="0" w:color="auto"/>
              </w:divBdr>
              <w:divsChild>
                <w:div w:id="10357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01466">
      <w:bodyDiv w:val="1"/>
      <w:marLeft w:val="0"/>
      <w:marRight w:val="0"/>
      <w:marTop w:val="0"/>
      <w:marBottom w:val="0"/>
      <w:divBdr>
        <w:top w:val="none" w:sz="0" w:space="0" w:color="auto"/>
        <w:left w:val="none" w:sz="0" w:space="0" w:color="auto"/>
        <w:bottom w:val="none" w:sz="0" w:space="0" w:color="auto"/>
        <w:right w:val="none" w:sz="0" w:space="0" w:color="auto"/>
      </w:divBdr>
      <w:divsChild>
        <w:div w:id="1823964909">
          <w:marLeft w:val="0"/>
          <w:marRight w:val="0"/>
          <w:marTop w:val="0"/>
          <w:marBottom w:val="0"/>
          <w:divBdr>
            <w:top w:val="none" w:sz="0" w:space="0" w:color="auto"/>
            <w:left w:val="none" w:sz="0" w:space="0" w:color="auto"/>
            <w:bottom w:val="none" w:sz="0" w:space="0" w:color="auto"/>
            <w:right w:val="none" w:sz="0" w:space="0" w:color="auto"/>
          </w:divBdr>
          <w:divsChild>
            <w:div w:id="455611019">
              <w:marLeft w:val="0"/>
              <w:marRight w:val="0"/>
              <w:marTop w:val="0"/>
              <w:marBottom w:val="0"/>
              <w:divBdr>
                <w:top w:val="none" w:sz="0" w:space="0" w:color="auto"/>
                <w:left w:val="none" w:sz="0" w:space="0" w:color="auto"/>
                <w:bottom w:val="none" w:sz="0" w:space="0" w:color="auto"/>
                <w:right w:val="none" w:sz="0" w:space="0" w:color="auto"/>
              </w:divBdr>
              <w:divsChild>
                <w:div w:id="9779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6877">
      <w:bodyDiv w:val="1"/>
      <w:marLeft w:val="0"/>
      <w:marRight w:val="0"/>
      <w:marTop w:val="0"/>
      <w:marBottom w:val="0"/>
      <w:divBdr>
        <w:top w:val="none" w:sz="0" w:space="0" w:color="auto"/>
        <w:left w:val="none" w:sz="0" w:space="0" w:color="auto"/>
        <w:bottom w:val="none" w:sz="0" w:space="0" w:color="auto"/>
        <w:right w:val="none" w:sz="0" w:space="0" w:color="auto"/>
      </w:divBdr>
      <w:divsChild>
        <w:div w:id="658273208">
          <w:marLeft w:val="0"/>
          <w:marRight w:val="0"/>
          <w:marTop w:val="0"/>
          <w:marBottom w:val="0"/>
          <w:divBdr>
            <w:top w:val="none" w:sz="0" w:space="0" w:color="auto"/>
            <w:left w:val="none" w:sz="0" w:space="0" w:color="auto"/>
            <w:bottom w:val="none" w:sz="0" w:space="0" w:color="auto"/>
            <w:right w:val="none" w:sz="0" w:space="0" w:color="auto"/>
          </w:divBdr>
          <w:divsChild>
            <w:div w:id="423577236">
              <w:marLeft w:val="0"/>
              <w:marRight w:val="0"/>
              <w:marTop w:val="0"/>
              <w:marBottom w:val="0"/>
              <w:divBdr>
                <w:top w:val="none" w:sz="0" w:space="0" w:color="auto"/>
                <w:left w:val="none" w:sz="0" w:space="0" w:color="auto"/>
                <w:bottom w:val="none" w:sz="0" w:space="0" w:color="auto"/>
                <w:right w:val="none" w:sz="0" w:space="0" w:color="auto"/>
              </w:divBdr>
              <w:divsChild>
                <w:div w:id="130778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02729">
      <w:bodyDiv w:val="1"/>
      <w:marLeft w:val="0"/>
      <w:marRight w:val="0"/>
      <w:marTop w:val="0"/>
      <w:marBottom w:val="0"/>
      <w:divBdr>
        <w:top w:val="none" w:sz="0" w:space="0" w:color="auto"/>
        <w:left w:val="none" w:sz="0" w:space="0" w:color="auto"/>
        <w:bottom w:val="none" w:sz="0" w:space="0" w:color="auto"/>
        <w:right w:val="none" w:sz="0" w:space="0" w:color="auto"/>
      </w:divBdr>
      <w:divsChild>
        <w:div w:id="861741759">
          <w:marLeft w:val="0"/>
          <w:marRight w:val="0"/>
          <w:marTop w:val="0"/>
          <w:marBottom w:val="0"/>
          <w:divBdr>
            <w:top w:val="none" w:sz="0" w:space="0" w:color="auto"/>
            <w:left w:val="none" w:sz="0" w:space="0" w:color="auto"/>
            <w:bottom w:val="none" w:sz="0" w:space="0" w:color="auto"/>
            <w:right w:val="none" w:sz="0" w:space="0" w:color="auto"/>
          </w:divBdr>
          <w:divsChild>
            <w:div w:id="1270508256">
              <w:marLeft w:val="0"/>
              <w:marRight w:val="0"/>
              <w:marTop w:val="0"/>
              <w:marBottom w:val="0"/>
              <w:divBdr>
                <w:top w:val="none" w:sz="0" w:space="0" w:color="auto"/>
                <w:left w:val="none" w:sz="0" w:space="0" w:color="auto"/>
                <w:bottom w:val="none" w:sz="0" w:space="0" w:color="auto"/>
                <w:right w:val="none" w:sz="0" w:space="0" w:color="auto"/>
              </w:divBdr>
              <w:divsChild>
                <w:div w:id="2385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C981C-969E-4D84-8E47-93CCA513731C}"/>
</file>

<file path=customXml/itemProps2.xml><?xml version="1.0" encoding="utf-8"?>
<ds:datastoreItem xmlns:ds="http://schemas.openxmlformats.org/officeDocument/2006/customXml" ds:itemID="{5E6B7FCD-4EA8-453B-90E8-80632DE4EBB7}">
  <ds:schemaRefs>
    <ds:schemaRef ds:uri="http://schemas.microsoft.com/sharepoint/v3/contenttype/forms"/>
  </ds:schemaRefs>
</ds:datastoreItem>
</file>

<file path=customXml/itemProps3.xml><?xml version="1.0" encoding="utf-8"?>
<ds:datastoreItem xmlns:ds="http://schemas.openxmlformats.org/officeDocument/2006/customXml" ds:itemID="{4F35215A-3E41-4A01-88F6-1693D8563B5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FEFBA7F-50FE-4E3E-927D-FDAC13E49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2757</Words>
  <Characters>15715</Characters>
  <Application>Microsoft Office Word</Application>
  <DocSecurity>0</DocSecurity>
  <Lines>130</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Secretaría de Relaciones Exteriores</Company>
  <LinksUpToDate>false</LinksUpToDate>
  <CharactersWithSpaces>18436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jjuarezg@sre.gob.mx</dc:creator>
  <cp:lastModifiedBy>SANTIZO Melanie</cp:lastModifiedBy>
  <cp:revision>2</cp:revision>
  <cp:lastPrinted>2014-02-13T16:14:00Z</cp:lastPrinted>
  <dcterms:created xsi:type="dcterms:W3CDTF">2021-12-07T13:15:00Z</dcterms:created>
  <dcterms:modified xsi:type="dcterms:W3CDTF">2021-12-07T13:15:00Z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