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4BE893" w14:textId="77777777" w:rsidR="00530A27" w:rsidRPr="00CE79F9" w:rsidRDefault="00C77D80">
      <w:pPr>
        <w:pStyle w:val="NoSpacing"/>
        <w:jc w:val="center"/>
        <w:rPr>
          <w:rFonts w:ascii="Times New Roman" w:hAnsi="Times New Roman" w:cs="Times New Roman"/>
          <w:b/>
          <w:lang w:val="fr-FR"/>
        </w:rPr>
      </w:pPr>
      <w:r w:rsidRPr="00CE79F9">
        <w:rPr>
          <w:rFonts w:ascii="Times New Roman" w:hAnsi="Times New Roman" w:cs="Times New Roman"/>
          <w:b/>
          <w:lang w:val="fr-FR"/>
        </w:rPr>
        <w:t xml:space="preserve">Consultation </w:t>
      </w:r>
      <w:r w:rsidR="00CE79F9" w:rsidRPr="00CE79F9">
        <w:rPr>
          <w:rFonts w:ascii="Times New Roman" w:hAnsi="Times New Roman" w:cs="Times New Roman"/>
          <w:b/>
          <w:lang w:val="fr-FR"/>
        </w:rPr>
        <w:t>publique -</w:t>
      </w:r>
      <w:r w:rsidRPr="00CE79F9">
        <w:rPr>
          <w:rFonts w:ascii="Times New Roman" w:hAnsi="Times New Roman" w:cs="Times New Roman"/>
          <w:b/>
          <w:lang w:val="fr-FR"/>
        </w:rPr>
        <w:t xml:space="preserve"> webinaire</w:t>
      </w:r>
    </w:p>
    <w:p w14:paraId="2626134A" w14:textId="77777777" w:rsidR="00C332EF" w:rsidRPr="00CE79F9" w:rsidRDefault="00C332EF" w:rsidP="006F05FE">
      <w:pPr>
        <w:pStyle w:val="NoSpacing"/>
        <w:jc w:val="center"/>
        <w:rPr>
          <w:rFonts w:ascii="Times New Roman" w:hAnsi="Times New Roman" w:cs="Times New Roman"/>
          <w:b/>
          <w:lang w:val="fr-FR"/>
        </w:rPr>
      </w:pPr>
    </w:p>
    <w:p w14:paraId="1DBEC717" w14:textId="31F29716" w:rsidR="00530A27" w:rsidRPr="00CE79F9" w:rsidRDefault="00C77D80">
      <w:pPr>
        <w:pStyle w:val="NoSpacing"/>
        <w:jc w:val="center"/>
        <w:rPr>
          <w:rFonts w:ascii="Times New Roman" w:hAnsi="Times New Roman" w:cs="Times New Roman"/>
          <w:b/>
          <w:lang w:val="fr-FR"/>
        </w:rPr>
      </w:pPr>
      <w:r w:rsidRPr="00CE79F9">
        <w:rPr>
          <w:rFonts w:ascii="Times New Roman" w:hAnsi="Times New Roman" w:cs="Times New Roman"/>
          <w:b/>
          <w:lang w:val="fr-FR"/>
        </w:rPr>
        <w:t>1</w:t>
      </w:r>
      <w:r w:rsidR="007E7B3D">
        <w:rPr>
          <w:rFonts w:ascii="Times New Roman" w:hAnsi="Times New Roman" w:cs="Times New Roman"/>
          <w:b/>
          <w:lang w:val="fr-FR"/>
        </w:rPr>
        <w:t>4</w:t>
      </w:r>
      <w:r w:rsidRPr="00CE79F9">
        <w:rPr>
          <w:rFonts w:ascii="Times New Roman" w:hAnsi="Times New Roman" w:cs="Times New Roman"/>
          <w:b/>
          <w:lang w:val="fr-FR"/>
        </w:rPr>
        <w:t xml:space="preserve"> </w:t>
      </w:r>
      <w:r w:rsidR="007E7B3D">
        <w:rPr>
          <w:rFonts w:ascii="Times New Roman" w:hAnsi="Times New Roman" w:cs="Times New Roman"/>
          <w:b/>
          <w:lang w:val="fr-FR"/>
        </w:rPr>
        <w:t>avril</w:t>
      </w:r>
      <w:r w:rsidRPr="00CE79F9">
        <w:rPr>
          <w:rFonts w:ascii="Times New Roman" w:hAnsi="Times New Roman" w:cs="Times New Roman"/>
          <w:b/>
          <w:lang w:val="fr-FR"/>
        </w:rPr>
        <w:t xml:space="preserve"> </w:t>
      </w:r>
      <w:r w:rsidR="00CF7A08" w:rsidRPr="00CE79F9">
        <w:rPr>
          <w:rFonts w:ascii="Times New Roman" w:hAnsi="Times New Roman" w:cs="Times New Roman"/>
          <w:b/>
          <w:lang w:val="fr-FR"/>
        </w:rPr>
        <w:t>2022</w:t>
      </w:r>
      <w:r w:rsidR="000A7317" w:rsidRPr="00CE79F9">
        <w:rPr>
          <w:rFonts w:ascii="Times New Roman" w:hAnsi="Times New Roman" w:cs="Times New Roman"/>
          <w:b/>
          <w:lang w:val="fr-FR"/>
        </w:rPr>
        <w:t xml:space="preserve">, </w:t>
      </w:r>
      <w:r w:rsidR="00EB2F02">
        <w:rPr>
          <w:rFonts w:ascii="Times New Roman" w:hAnsi="Times New Roman" w:cs="Times New Roman"/>
          <w:b/>
          <w:lang w:val="fr-FR"/>
        </w:rPr>
        <w:t>10</w:t>
      </w:r>
      <w:r w:rsidR="00CE79F9">
        <w:rPr>
          <w:rFonts w:ascii="Times New Roman" w:hAnsi="Times New Roman" w:cs="Times New Roman"/>
          <w:b/>
          <w:lang w:val="fr-FR"/>
        </w:rPr>
        <w:t>h00 ET / 1</w:t>
      </w:r>
      <w:r w:rsidR="00EB2F02">
        <w:rPr>
          <w:rFonts w:ascii="Times New Roman" w:hAnsi="Times New Roman" w:cs="Times New Roman"/>
          <w:b/>
          <w:lang w:val="fr-FR"/>
        </w:rPr>
        <w:t>6</w:t>
      </w:r>
      <w:r w:rsidR="00CE79F9">
        <w:rPr>
          <w:rFonts w:ascii="Times New Roman" w:hAnsi="Times New Roman" w:cs="Times New Roman"/>
          <w:b/>
          <w:lang w:val="fr-FR"/>
        </w:rPr>
        <w:t>h00</w:t>
      </w:r>
      <w:r w:rsidR="00CF7A08" w:rsidRPr="00CE79F9">
        <w:rPr>
          <w:rFonts w:ascii="Times New Roman" w:hAnsi="Times New Roman" w:cs="Times New Roman"/>
          <w:b/>
          <w:lang w:val="fr-FR"/>
        </w:rPr>
        <w:t xml:space="preserve"> </w:t>
      </w:r>
      <w:r w:rsidR="000A7317" w:rsidRPr="00CE79F9">
        <w:rPr>
          <w:rFonts w:ascii="Times New Roman" w:hAnsi="Times New Roman" w:cs="Times New Roman"/>
          <w:b/>
          <w:lang w:val="fr-FR"/>
        </w:rPr>
        <w:t xml:space="preserve">CET </w:t>
      </w:r>
    </w:p>
    <w:p w14:paraId="3AE88297" w14:textId="77777777" w:rsidR="00631F7D" w:rsidRPr="00CE79F9" w:rsidRDefault="00631F7D" w:rsidP="003D6578">
      <w:pPr>
        <w:pStyle w:val="NoSpacing"/>
        <w:jc w:val="center"/>
        <w:rPr>
          <w:rFonts w:ascii="Times New Roman" w:hAnsi="Times New Roman" w:cs="Times New Roman"/>
          <w:b/>
          <w:lang w:val="fr-FR"/>
        </w:rPr>
      </w:pPr>
    </w:p>
    <w:p w14:paraId="04E6AE68" w14:textId="3EB1F2B1" w:rsidR="00530A27" w:rsidRPr="00CE79F9" w:rsidRDefault="007E7B3D">
      <w:pPr>
        <w:pStyle w:val="NoSpacing"/>
        <w:jc w:val="center"/>
        <w:rPr>
          <w:rFonts w:ascii="Times New Roman" w:hAnsi="Times New Roman" w:cs="Times New Roman"/>
          <w:b/>
          <w:lang w:val="fr-FR"/>
        </w:rPr>
      </w:pPr>
      <w:r w:rsidRPr="007E7B3D">
        <w:rPr>
          <w:rFonts w:ascii="Times New Roman" w:hAnsi="Times New Roman" w:cs="Times New Roman"/>
          <w:b/>
          <w:lang w:val="fr-FR"/>
        </w:rPr>
        <w:t>Inscription</w:t>
      </w:r>
      <w:r w:rsidR="00C77D80" w:rsidRPr="007E7B3D">
        <w:rPr>
          <w:rFonts w:ascii="Times New Roman" w:hAnsi="Times New Roman" w:cs="Times New Roman"/>
          <w:b/>
          <w:lang w:val="fr-FR"/>
        </w:rPr>
        <w:t xml:space="preserve"> </w:t>
      </w:r>
      <w:r w:rsidR="00EB2F02">
        <w:rPr>
          <w:rFonts w:ascii="Times New Roman" w:hAnsi="Times New Roman" w:cs="Times New Roman"/>
          <w:b/>
          <w:lang w:val="fr-FR"/>
        </w:rPr>
        <w:t xml:space="preserve">via ce </w:t>
      </w:r>
      <w:hyperlink r:id="rId11" w:history="1">
        <w:r w:rsidR="00EB2F02" w:rsidRPr="00EB2F02">
          <w:rPr>
            <w:rStyle w:val="Hyperlink"/>
            <w:rFonts w:ascii="Times New Roman" w:hAnsi="Times New Roman" w:cs="Times New Roman"/>
            <w:b/>
            <w:lang w:val="fr-FR"/>
          </w:rPr>
          <w:t>lien</w:t>
        </w:r>
      </w:hyperlink>
    </w:p>
    <w:p w14:paraId="20BD6D34" w14:textId="77777777" w:rsidR="00025435" w:rsidRPr="00CE79F9" w:rsidRDefault="00025435" w:rsidP="00CE2ED0">
      <w:pPr>
        <w:pStyle w:val="NoSpacing"/>
        <w:rPr>
          <w:rFonts w:ascii="Times New Roman" w:eastAsia="Times New Roman" w:hAnsi="Times New Roman" w:cs="Times New Roman"/>
          <w:b/>
          <w:lang w:val="fr-FR"/>
        </w:rPr>
      </w:pPr>
    </w:p>
    <w:p w14:paraId="1E1317D1" w14:textId="77777777" w:rsidR="00530A27" w:rsidRPr="00CE79F9" w:rsidRDefault="00C77D80">
      <w:pPr>
        <w:autoSpaceDE w:val="0"/>
        <w:autoSpaceDN w:val="0"/>
        <w:adjustRightInd w:val="0"/>
        <w:spacing w:line="240" w:lineRule="auto"/>
        <w:jc w:val="center"/>
        <w:rPr>
          <w:rFonts w:ascii="Times New Roman" w:hAnsi="Times New Roman" w:cs="Times New Roman"/>
          <w:b/>
          <w:bCs/>
          <w:lang w:val="fr-FR"/>
        </w:rPr>
      </w:pPr>
      <w:r w:rsidRPr="00CE79F9">
        <w:rPr>
          <w:rFonts w:ascii="Times New Roman" w:hAnsi="Times New Roman" w:cs="Times New Roman"/>
          <w:b/>
          <w:lang w:val="fr-FR"/>
        </w:rPr>
        <w:t>Rapport de l'</w:t>
      </w:r>
      <w:r w:rsidR="00CE79F9">
        <w:rPr>
          <w:rFonts w:ascii="Times New Roman" w:hAnsi="Times New Roman" w:cs="Times New Roman"/>
          <w:b/>
          <w:lang w:val="fr-FR"/>
        </w:rPr>
        <w:t>E</w:t>
      </w:r>
      <w:r w:rsidR="0018507C" w:rsidRPr="00CE79F9">
        <w:rPr>
          <w:rFonts w:ascii="Times New Roman" w:hAnsi="Times New Roman" w:cs="Times New Roman"/>
          <w:b/>
          <w:lang w:val="fr-FR"/>
        </w:rPr>
        <w:t>xpert indépendant sur la protection contre la violence et la discrimination fondées sur l'orientation sexuelle et l'identité de genre</w:t>
      </w:r>
    </w:p>
    <w:p w14:paraId="5D85820B" w14:textId="77777777" w:rsidR="00CE2ED0" w:rsidRPr="00CE79F9" w:rsidRDefault="00CE2ED0" w:rsidP="00336B4B">
      <w:pPr>
        <w:autoSpaceDE w:val="0"/>
        <w:autoSpaceDN w:val="0"/>
        <w:adjustRightInd w:val="0"/>
        <w:spacing w:line="240" w:lineRule="auto"/>
        <w:rPr>
          <w:rFonts w:ascii="Times New Roman" w:hAnsi="Times New Roman" w:cs="Times New Roman"/>
          <w:lang w:val="fr-FR"/>
        </w:rPr>
      </w:pPr>
      <w:r w:rsidRPr="00CE79F9">
        <w:rPr>
          <w:rFonts w:ascii="Times New Roman" w:hAnsi="Times New Roman" w:cs="Times New Roman"/>
          <w:lang w:val="fr-FR"/>
        </w:rPr>
        <w:tab/>
      </w:r>
      <w:r w:rsidRPr="00CE79F9">
        <w:rPr>
          <w:rFonts w:ascii="Times New Roman" w:hAnsi="Times New Roman" w:cs="Times New Roman"/>
          <w:lang w:val="fr-FR"/>
        </w:rPr>
        <w:tab/>
      </w:r>
      <w:r w:rsidRPr="00CE79F9">
        <w:rPr>
          <w:rFonts w:ascii="Times New Roman" w:hAnsi="Times New Roman" w:cs="Times New Roman"/>
          <w:lang w:val="fr-FR"/>
        </w:rPr>
        <w:tab/>
      </w:r>
      <w:r w:rsidRPr="00CE79F9">
        <w:rPr>
          <w:rFonts w:ascii="Times New Roman" w:hAnsi="Times New Roman" w:cs="Times New Roman"/>
          <w:lang w:val="fr-FR"/>
        </w:rPr>
        <w:tab/>
      </w:r>
      <w:r w:rsidRPr="00CE79F9">
        <w:rPr>
          <w:rFonts w:ascii="Times New Roman" w:hAnsi="Times New Roman" w:cs="Times New Roman"/>
          <w:lang w:val="fr-FR"/>
        </w:rPr>
        <w:tab/>
      </w:r>
      <w:r w:rsidR="00263822" w:rsidRPr="00CE79F9">
        <w:rPr>
          <w:rFonts w:ascii="Times New Roman" w:hAnsi="Times New Roman" w:cs="Times New Roman"/>
          <w:lang w:val="fr-FR"/>
        </w:rPr>
        <w:tab/>
      </w:r>
      <w:r w:rsidR="00263822" w:rsidRPr="00CE79F9">
        <w:rPr>
          <w:rFonts w:ascii="Times New Roman" w:hAnsi="Times New Roman" w:cs="Times New Roman"/>
          <w:lang w:val="fr-FR"/>
        </w:rPr>
        <w:tab/>
      </w:r>
      <w:r w:rsidR="00263822" w:rsidRPr="00CE79F9">
        <w:rPr>
          <w:rFonts w:ascii="Times New Roman" w:hAnsi="Times New Roman" w:cs="Times New Roman"/>
          <w:lang w:val="fr-FR"/>
        </w:rPr>
        <w:tab/>
      </w:r>
    </w:p>
    <w:p w14:paraId="65DAC705" w14:textId="77777777" w:rsidR="00530A27" w:rsidRPr="00CE79F9" w:rsidRDefault="00CE79F9">
      <w:pPr>
        <w:autoSpaceDE w:val="0"/>
        <w:autoSpaceDN w:val="0"/>
        <w:adjustRightInd w:val="0"/>
        <w:spacing w:line="240" w:lineRule="auto"/>
        <w:ind w:firstLine="567"/>
        <w:jc w:val="both"/>
        <w:rPr>
          <w:rFonts w:ascii="Times New Roman" w:hAnsi="Times New Roman" w:cs="Times New Roman"/>
          <w:lang w:val="fr-FR"/>
        </w:rPr>
      </w:pPr>
      <w:r>
        <w:rPr>
          <w:rFonts w:ascii="Times New Roman" w:hAnsi="Times New Roman" w:cs="Times New Roman"/>
          <w:lang w:val="fr-FR"/>
        </w:rPr>
        <w:t>L'E</w:t>
      </w:r>
      <w:r w:rsidR="00C77D80" w:rsidRPr="00CE79F9">
        <w:rPr>
          <w:rFonts w:ascii="Times New Roman" w:hAnsi="Times New Roman" w:cs="Times New Roman"/>
          <w:lang w:val="fr-FR"/>
        </w:rPr>
        <w:t xml:space="preserve">xpert indépendant sur la protection contre la violence et la discrimination fondées sur l'orientation sexuelle et l'identité de genre a été mandaté </w:t>
      </w:r>
      <w:r w:rsidR="00A52FB6" w:rsidRPr="00CE79F9">
        <w:rPr>
          <w:rFonts w:ascii="Times New Roman" w:hAnsi="Times New Roman" w:cs="Times New Roman"/>
          <w:lang w:val="fr-FR"/>
        </w:rPr>
        <w:t xml:space="preserve">par la </w:t>
      </w:r>
      <w:r w:rsidR="00C77D80" w:rsidRPr="00CE79F9">
        <w:rPr>
          <w:rFonts w:ascii="Times New Roman" w:hAnsi="Times New Roman" w:cs="Times New Roman"/>
          <w:lang w:val="fr-FR"/>
        </w:rPr>
        <w:t xml:space="preserve">résolution </w:t>
      </w:r>
      <w:hyperlink r:id="rId12" w:history="1">
        <w:r w:rsidR="00C77D80" w:rsidRPr="00C77D80">
          <w:rPr>
            <w:rStyle w:val="Hyperlink"/>
            <w:rFonts w:ascii="Times New Roman" w:hAnsi="Times New Roman" w:cs="Times New Roman"/>
            <w:lang w:val="fr-FR"/>
          </w:rPr>
          <w:t>32/2</w:t>
        </w:r>
      </w:hyperlink>
      <w:r w:rsidR="00C77D80" w:rsidRPr="00CE79F9">
        <w:rPr>
          <w:rFonts w:ascii="Times New Roman" w:hAnsi="Times New Roman" w:cs="Times New Roman"/>
          <w:lang w:val="fr-FR"/>
        </w:rPr>
        <w:t xml:space="preserve"> </w:t>
      </w:r>
      <w:r w:rsidR="00A52FB6" w:rsidRPr="00CE79F9">
        <w:rPr>
          <w:rFonts w:ascii="Times New Roman" w:hAnsi="Times New Roman" w:cs="Times New Roman"/>
          <w:lang w:val="fr-FR"/>
        </w:rPr>
        <w:t xml:space="preserve">du Conseil des droits de l'homme </w:t>
      </w:r>
      <w:r w:rsidR="00C77D80" w:rsidRPr="00CE79F9">
        <w:rPr>
          <w:rFonts w:ascii="Times New Roman" w:hAnsi="Times New Roman" w:cs="Times New Roman"/>
          <w:lang w:val="fr-FR"/>
        </w:rPr>
        <w:t>pour évaluer la mise en œuvre des instruments internationaux existant</w:t>
      </w:r>
      <w:r>
        <w:rPr>
          <w:rFonts w:ascii="Times New Roman" w:hAnsi="Times New Roman" w:cs="Times New Roman"/>
          <w:lang w:val="fr-FR"/>
        </w:rPr>
        <w:t>s relatifs aux droits humains</w:t>
      </w:r>
      <w:r w:rsidR="00C77D80" w:rsidRPr="00CE79F9">
        <w:rPr>
          <w:rFonts w:ascii="Times New Roman" w:hAnsi="Times New Roman" w:cs="Times New Roman"/>
          <w:lang w:val="fr-FR"/>
        </w:rPr>
        <w:t xml:space="preserve"> en ce qui concerne les moyens de surmonter la violence et la discrimination à l'égard des personnes en raison de leur orientation sexuelle ou de leur identité de genre, et pour identifier et traiter les causes profondes de la violence et de la discrimination.</w:t>
      </w:r>
    </w:p>
    <w:p w14:paraId="151201A8" w14:textId="77777777" w:rsidR="00080B15" w:rsidRPr="00CE79F9" w:rsidRDefault="00080B15" w:rsidP="00080B15">
      <w:pPr>
        <w:autoSpaceDE w:val="0"/>
        <w:autoSpaceDN w:val="0"/>
        <w:adjustRightInd w:val="0"/>
        <w:spacing w:line="240" w:lineRule="auto"/>
        <w:ind w:firstLine="567"/>
        <w:jc w:val="both"/>
        <w:rPr>
          <w:rFonts w:ascii="Times New Roman" w:hAnsi="Times New Roman" w:cs="Times New Roman"/>
          <w:lang w:val="fr-FR"/>
        </w:rPr>
      </w:pPr>
    </w:p>
    <w:p w14:paraId="6ED640A7" w14:textId="77777777" w:rsidR="00530A27" w:rsidRPr="00CE79F9" w:rsidRDefault="00C77D80">
      <w:pPr>
        <w:autoSpaceDE w:val="0"/>
        <w:autoSpaceDN w:val="0"/>
        <w:adjustRightInd w:val="0"/>
        <w:spacing w:line="240" w:lineRule="auto"/>
        <w:ind w:firstLine="567"/>
        <w:jc w:val="both"/>
        <w:rPr>
          <w:rFonts w:ascii="Times New Roman" w:hAnsi="Times New Roman" w:cs="Times New Roman"/>
          <w:lang w:val="fr-FR"/>
        </w:rPr>
      </w:pPr>
      <w:r w:rsidRPr="00CE79F9">
        <w:rPr>
          <w:rFonts w:ascii="Times New Roman" w:hAnsi="Times New Roman" w:cs="Times New Roman"/>
          <w:lang w:val="fr-FR"/>
        </w:rPr>
        <w:t xml:space="preserve">Conformément à son </w:t>
      </w:r>
      <w:r w:rsidR="0018507C" w:rsidRPr="00CE79F9">
        <w:rPr>
          <w:rFonts w:ascii="Times New Roman" w:hAnsi="Times New Roman" w:cs="Times New Roman"/>
          <w:lang w:val="fr-FR"/>
        </w:rPr>
        <w:t>mandat, l'</w:t>
      </w:r>
      <w:r w:rsidRPr="00CE79F9">
        <w:rPr>
          <w:rFonts w:ascii="Times New Roman" w:hAnsi="Times New Roman" w:cs="Times New Roman"/>
          <w:lang w:val="fr-FR"/>
        </w:rPr>
        <w:t xml:space="preserve">Expert indépendant </w:t>
      </w:r>
      <w:r w:rsidR="00CE79F9">
        <w:rPr>
          <w:rFonts w:ascii="Times New Roman" w:hAnsi="Times New Roman" w:cs="Times New Roman"/>
          <w:lang w:val="fr-FR"/>
        </w:rPr>
        <w:t>présentera</w:t>
      </w:r>
      <w:r w:rsidR="0018507C" w:rsidRPr="00CE79F9">
        <w:rPr>
          <w:rFonts w:ascii="Times New Roman" w:hAnsi="Times New Roman" w:cs="Times New Roman"/>
          <w:lang w:val="fr-FR"/>
        </w:rPr>
        <w:t xml:space="preserve"> un rapport thématique lors de la </w:t>
      </w:r>
      <w:r w:rsidRPr="00CE79F9">
        <w:rPr>
          <w:rFonts w:ascii="Times New Roman" w:hAnsi="Times New Roman" w:cs="Times New Roman"/>
          <w:lang w:val="fr-FR"/>
        </w:rPr>
        <w:t>50</w:t>
      </w:r>
      <w:r w:rsidR="00CE79F9">
        <w:rPr>
          <w:rFonts w:ascii="Times New Roman" w:hAnsi="Times New Roman" w:cs="Times New Roman"/>
          <w:vertAlign w:val="superscript"/>
          <w:lang w:val="fr-FR"/>
        </w:rPr>
        <w:t xml:space="preserve">ème </w:t>
      </w:r>
      <w:r w:rsidR="00CE79F9">
        <w:rPr>
          <w:rFonts w:ascii="Times New Roman" w:hAnsi="Times New Roman" w:cs="Times New Roman"/>
          <w:lang w:val="fr-FR"/>
        </w:rPr>
        <w:t>session</w:t>
      </w:r>
      <w:r w:rsidR="002F3B40" w:rsidRPr="00CE79F9">
        <w:rPr>
          <w:rFonts w:ascii="Times New Roman" w:hAnsi="Times New Roman" w:cs="Times New Roman"/>
          <w:lang w:val="fr-FR"/>
        </w:rPr>
        <w:t xml:space="preserve"> du Conseil des droits de l'homme</w:t>
      </w:r>
      <w:r w:rsidR="00CE79F9">
        <w:rPr>
          <w:rFonts w:ascii="Times New Roman" w:hAnsi="Times New Roman" w:cs="Times New Roman"/>
          <w:lang w:val="fr-FR"/>
        </w:rPr>
        <w:t>. Ce rapport</w:t>
      </w:r>
      <w:r w:rsidR="0018507C" w:rsidRPr="00CE79F9">
        <w:rPr>
          <w:rFonts w:ascii="Times New Roman" w:hAnsi="Times New Roman" w:cs="Times New Roman"/>
          <w:lang w:val="fr-FR"/>
        </w:rPr>
        <w:t xml:space="preserve"> </w:t>
      </w:r>
      <w:r w:rsidR="000D725E" w:rsidRPr="00CE79F9">
        <w:rPr>
          <w:rFonts w:ascii="Times New Roman" w:hAnsi="Times New Roman" w:cs="Times New Roman"/>
          <w:lang w:val="fr-FR"/>
        </w:rPr>
        <w:t xml:space="preserve">portera sur la </w:t>
      </w:r>
      <w:r w:rsidR="00DF7298" w:rsidRPr="00CE79F9">
        <w:rPr>
          <w:rFonts w:ascii="Times New Roman" w:hAnsi="Times New Roman" w:cs="Times New Roman"/>
          <w:lang w:val="fr-FR"/>
        </w:rPr>
        <w:t xml:space="preserve">question de la santé et de l'orientation sexuelle </w:t>
      </w:r>
      <w:r w:rsidR="00080B15" w:rsidRPr="00CE79F9">
        <w:rPr>
          <w:rFonts w:ascii="Times New Roman" w:hAnsi="Times New Roman" w:cs="Times New Roman"/>
          <w:lang w:val="fr-FR"/>
        </w:rPr>
        <w:t xml:space="preserve">et de l'identité de genre, </w:t>
      </w:r>
      <w:r w:rsidR="00CE79F9">
        <w:rPr>
          <w:rFonts w:ascii="Times New Roman" w:hAnsi="Times New Roman" w:cs="Times New Roman"/>
          <w:lang w:val="fr-FR"/>
        </w:rPr>
        <w:t>notamment dans le contexte du</w:t>
      </w:r>
      <w:r w:rsidR="00DF7298" w:rsidRPr="00CE79F9">
        <w:rPr>
          <w:rFonts w:ascii="Times New Roman" w:hAnsi="Times New Roman" w:cs="Times New Roman"/>
          <w:lang w:val="fr-FR"/>
        </w:rPr>
        <w:t xml:space="preserve"> développement durable. En particulier, l'Expert indépendant étudie</w:t>
      </w:r>
      <w:r w:rsidR="00CE79F9">
        <w:rPr>
          <w:rFonts w:ascii="Times New Roman" w:hAnsi="Times New Roman" w:cs="Times New Roman"/>
          <w:lang w:val="fr-FR"/>
        </w:rPr>
        <w:t>ra comment les droits humains des personnes ayant des</w:t>
      </w:r>
      <w:r w:rsidR="00DF7298" w:rsidRPr="00CE79F9">
        <w:rPr>
          <w:rFonts w:ascii="Times New Roman" w:hAnsi="Times New Roman" w:cs="Times New Roman"/>
          <w:lang w:val="fr-FR"/>
        </w:rPr>
        <w:t xml:space="preserve"> orientations sexuelles et des identités de genre </w:t>
      </w:r>
      <w:r w:rsidR="00CE79F9">
        <w:rPr>
          <w:rFonts w:ascii="Times New Roman" w:hAnsi="Times New Roman" w:cs="Times New Roman"/>
          <w:lang w:val="fr-FR"/>
        </w:rPr>
        <w:t>diverse</w:t>
      </w:r>
      <w:r w:rsidR="00DF7298" w:rsidRPr="00CE79F9">
        <w:rPr>
          <w:rFonts w:ascii="Times New Roman" w:hAnsi="Times New Roman" w:cs="Times New Roman"/>
          <w:lang w:val="fr-FR"/>
        </w:rPr>
        <w:t>s peuvent être intégrés dans les plans nationaux visant à réaliser le droit de chacun de jouir du meilleur état de santé physique et mentale possible, sous la rubrique des Objectifs de développement durable (ODD).</w:t>
      </w:r>
    </w:p>
    <w:p w14:paraId="2C7B3078" w14:textId="77777777" w:rsidR="00080B15" w:rsidRPr="00CE79F9" w:rsidRDefault="00080B15" w:rsidP="00080B15">
      <w:pPr>
        <w:autoSpaceDE w:val="0"/>
        <w:autoSpaceDN w:val="0"/>
        <w:adjustRightInd w:val="0"/>
        <w:spacing w:line="240" w:lineRule="auto"/>
        <w:ind w:firstLine="567"/>
        <w:jc w:val="both"/>
        <w:rPr>
          <w:rFonts w:ascii="Times New Roman" w:hAnsi="Times New Roman" w:cs="Times New Roman"/>
          <w:lang w:val="fr-FR"/>
        </w:rPr>
      </w:pPr>
    </w:p>
    <w:p w14:paraId="0CFF315B" w14:textId="77777777" w:rsidR="00530A27" w:rsidRPr="00CE79F9" w:rsidRDefault="00C77D80">
      <w:pPr>
        <w:autoSpaceDE w:val="0"/>
        <w:autoSpaceDN w:val="0"/>
        <w:adjustRightInd w:val="0"/>
        <w:spacing w:line="240" w:lineRule="auto"/>
        <w:ind w:firstLine="567"/>
        <w:jc w:val="both"/>
        <w:rPr>
          <w:rFonts w:ascii="Times New Roman" w:hAnsi="Times New Roman" w:cs="Times New Roman"/>
          <w:lang w:val="fr-FR"/>
        </w:rPr>
      </w:pPr>
      <w:r w:rsidRPr="00CE79F9">
        <w:rPr>
          <w:rFonts w:ascii="Times New Roman" w:hAnsi="Times New Roman" w:cs="Times New Roman"/>
          <w:lang w:val="fr-FR"/>
        </w:rPr>
        <w:t xml:space="preserve">Cette consultation sera l'un des </w:t>
      </w:r>
      <w:r w:rsidR="00080B15" w:rsidRPr="00CE79F9">
        <w:rPr>
          <w:rFonts w:ascii="Times New Roman" w:hAnsi="Times New Roman" w:cs="Times New Roman"/>
          <w:lang w:val="fr-FR"/>
        </w:rPr>
        <w:t>moyens par lesquels l'</w:t>
      </w:r>
      <w:r w:rsidR="00CE79F9">
        <w:rPr>
          <w:rFonts w:ascii="Times New Roman" w:hAnsi="Times New Roman" w:cs="Times New Roman"/>
          <w:lang w:val="fr-FR"/>
        </w:rPr>
        <w:t>E</w:t>
      </w:r>
      <w:r w:rsidRPr="00CE79F9">
        <w:rPr>
          <w:rFonts w:ascii="Times New Roman" w:hAnsi="Times New Roman" w:cs="Times New Roman"/>
          <w:lang w:val="fr-FR"/>
        </w:rPr>
        <w:t xml:space="preserve">xpert </w:t>
      </w:r>
      <w:r w:rsidR="00080B15" w:rsidRPr="00CE79F9">
        <w:rPr>
          <w:rFonts w:ascii="Times New Roman" w:hAnsi="Times New Roman" w:cs="Times New Roman"/>
          <w:lang w:val="fr-FR"/>
        </w:rPr>
        <w:t xml:space="preserve">indépendant </w:t>
      </w:r>
      <w:r w:rsidRPr="00CE79F9">
        <w:rPr>
          <w:rFonts w:ascii="Times New Roman" w:hAnsi="Times New Roman" w:cs="Times New Roman"/>
          <w:lang w:val="fr-FR"/>
        </w:rPr>
        <w:t xml:space="preserve">recueillera les points de vue et les contributions nécessaires à la </w:t>
      </w:r>
      <w:r w:rsidR="00080B15" w:rsidRPr="00CE79F9">
        <w:rPr>
          <w:rFonts w:ascii="Times New Roman" w:hAnsi="Times New Roman" w:cs="Times New Roman"/>
          <w:lang w:val="fr-FR"/>
        </w:rPr>
        <w:t>pré</w:t>
      </w:r>
      <w:r w:rsidR="00CE79F9">
        <w:rPr>
          <w:rFonts w:ascii="Times New Roman" w:hAnsi="Times New Roman" w:cs="Times New Roman"/>
          <w:lang w:val="fr-FR"/>
        </w:rPr>
        <w:t>paration de son rapport à la 50ème</w:t>
      </w:r>
      <w:r w:rsidRPr="00CE79F9">
        <w:rPr>
          <w:rFonts w:ascii="Times New Roman" w:hAnsi="Times New Roman" w:cs="Times New Roman"/>
          <w:lang w:val="fr-FR"/>
        </w:rPr>
        <w:t xml:space="preserve"> session du </w:t>
      </w:r>
      <w:r w:rsidR="00080B15" w:rsidRPr="00CE79F9">
        <w:rPr>
          <w:rFonts w:ascii="Times New Roman" w:hAnsi="Times New Roman" w:cs="Times New Roman"/>
          <w:lang w:val="fr-FR"/>
        </w:rPr>
        <w:t>Conseil des droits de l'homme</w:t>
      </w:r>
      <w:r w:rsidRPr="00CE79F9">
        <w:rPr>
          <w:rFonts w:ascii="Times New Roman" w:hAnsi="Times New Roman" w:cs="Times New Roman"/>
          <w:lang w:val="fr-FR"/>
        </w:rPr>
        <w:t>.</w:t>
      </w:r>
    </w:p>
    <w:p w14:paraId="351527A8" w14:textId="77777777" w:rsidR="00263822" w:rsidRPr="00CE79F9" w:rsidRDefault="00263822" w:rsidP="00263822">
      <w:pPr>
        <w:autoSpaceDE w:val="0"/>
        <w:autoSpaceDN w:val="0"/>
        <w:adjustRightInd w:val="0"/>
        <w:spacing w:line="240" w:lineRule="auto"/>
        <w:ind w:firstLine="567"/>
        <w:jc w:val="both"/>
        <w:rPr>
          <w:rFonts w:ascii="Times New Roman" w:hAnsi="Times New Roman" w:cs="Times New Roman"/>
          <w:lang w:val="fr-FR"/>
        </w:rPr>
      </w:pPr>
    </w:p>
    <w:p w14:paraId="079F2955" w14:textId="77777777" w:rsidR="00530A27" w:rsidRPr="00CE79F9" w:rsidRDefault="00C77D80">
      <w:pPr>
        <w:autoSpaceDE w:val="0"/>
        <w:autoSpaceDN w:val="0"/>
        <w:adjustRightInd w:val="0"/>
        <w:spacing w:line="240" w:lineRule="auto"/>
        <w:jc w:val="both"/>
        <w:rPr>
          <w:rFonts w:ascii="Times New Roman" w:hAnsi="Times New Roman" w:cs="Times New Roman"/>
          <w:b/>
          <w:u w:val="single"/>
          <w:lang w:val="fr-FR"/>
        </w:rPr>
      </w:pPr>
      <w:r w:rsidRPr="00CE79F9">
        <w:rPr>
          <w:rFonts w:ascii="Times New Roman" w:hAnsi="Times New Roman" w:cs="Times New Roman"/>
          <w:b/>
          <w:u w:val="single"/>
          <w:lang w:val="fr-FR"/>
        </w:rPr>
        <w:t>Contexte</w:t>
      </w:r>
    </w:p>
    <w:p w14:paraId="0001586E" w14:textId="77777777" w:rsidR="007D6BA8" w:rsidRPr="00CE79F9" w:rsidRDefault="007D6BA8" w:rsidP="007D6BA8">
      <w:pPr>
        <w:autoSpaceDE w:val="0"/>
        <w:autoSpaceDN w:val="0"/>
        <w:adjustRightInd w:val="0"/>
        <w:spacing w:line="240" w:lineRule="auto"/>
        <w:ind w:firstLine="720"/>
        <w:jc w:val="both"/>
        <w:rPr>
          <w:rFonts w:ascii="Times New Roman" w:hAnsi="Times New Roman" w:cs="Times New Roman"/>
          <w:b/>
          <w:u w:val="single"/>
          <w:lang w:val="fr-FR"/>
        </w:rPr>
      </w:pPr>
    </w:p>
    <w:p w14:paraId="4EAA306D" w14:textId="77777777" w:rsidR="00530A27" w:rsidRPr="00CE79F9" w:rsidRDefault="00C77D80">
      <w:pPr>
        <w:autoSpaceDE w:val="0"/>
        <w:autoSpaceDN w:val="0"/>
        <w:adjustRightInd w:val="0"/>
        <w:spacing w:line="240" w:lineRule="auto"/>
        <w:ind w:firstLine="720"/>
        <w:jc w:val="both"/>
        <w:rPr>
          <w:rFonts w:ascii="Times New Roman" w:hAnsi="Times New Roman" w:cs="Times New Roman"/>
          <w:lang w:val="fr-FR"/>
        </w:rPr>
      </w:pPr>
      <w:r w:rsidRPr="00CE79F9">
        <w:rPr>
          <w:rFonts w:ascii="Times New Roman" w:hAnsi="Times New Roman" w:cs="Times New Roman"/>
          <w:lang w:val="fr-FR"/>
        </w:rPr>
        <w:t xml:space="preserve">La violence </w:t>
      </w:r>
      <w:r w:rsidR="007D6BA8" w:rsidRPr="00CE79F9">
        <w:rPr>
          <w:rFonts w:ascii="Times New Roman" w:hAnsi="Times New Roman" w:cs="Times New Roman"/>
          <w:lang w:val="fr-FR"/>
        </w:rPr>
        <w:t>et la discrimination fondées sur l'orientation sexuelle et l'identité de genre continuent d'entraver la réalisation du droit à la santé des personnes lesbiennes</w:t>
      </w:r>
      <w:r w:rsidR="00CE79F9">
        <w:rPr>
          <w:rFonts w:ascii="Times New Roman" w:hAnsi="Times New Roman" w:cs="Times New Roman"/>
          <w:lang w:val="fr-FR"/>
        </w:rPr>
        <w:t>, gays, bisexuelles, trans</w:t>
      </w:r>
      <w:r w:rsidR="005C1758" w:rsidRPr="00CE79F9">
        <w:rPr>
          <w:rFonts w:ascii="Times New Roman" w:hAnsi="Times New Roman" w:cs="Times New Roman"/>
          <w:lang w:val="fr-FR"/>
        </w:rPr>
        <w:t xml:space="preserve">, intersexes </w:t>
      </w:r>
      <w:r w:rsidR="007D6BA8" w:rsidRPr="00CE79F9">
        <w:rPr>
          <w:rFonts w:ascii="Times New Roman" w:hAnsi="Times New Roman" w:cs="Times New Roman"/>
          <w:lang w:val="fr-FR"/>
        </w:rPr>
        <w:t xml:space="preserve">(LGBTI) et </w:t>
      </w:r>
      <w:r w:rsidR="00CE79F9">
        <w:rPr>
          <w:rFonts w:ascii="Times New Roman" w:hAnsi="Times New Roman" w:cs="Times New Roman"/>
          <w:lang w:val="fr-FR"/>
        </w:rPr>
        <w:t>de genre non-conforme</w:t>
      </w:r>
      <w:r w:rsidR="007D6BA8" w:rsidRPr="00CE79F9">
        <w:rPr>
          <w:rFonts w:ascii="Times New Roman" w:hAnsi="Times New Roman" w:cs="Times New Roman"/>
          <w:lang w:val="fr-FR"/>
        </w:rPr>
        <w:t xml:space="preserve"> (GNC). </w:t>
      </w:r>
    </w:p>
    <w:p w14:paraId="7210B5D7" w14:textId="77777777" w:rsidR="007D6BA8" w:rsidRPr="00CE79F9" w:rsidRDefault="007D6BA8" w:rsidP="007D6BA8">
      <w:pPr>
        <w:autoSpaceDE w:val="0"/>
        <w:autoSpaceDN w:val="0"/>
        <w:adjustRightInd w:val="0"/>
        <w:spacing w:line="240" w:lineRule="auto"/>
        <w:ind w:firstLine="720"/>
        <w:jc w:val="both"/>
        <w:rPr>
          <w:rFonts w:ascii="Times New Roman" w:hAnsi="Times New Roman" w:cs="Times New Roman"/>
          <w:lang w:val="fr-FR"/>
        </w:rPr>
      </w:pPr>
    </w:p>
    <w:p w14:paraId="061CE48E" w14:textId="77777777" w:rsidR="00530A27" w:rsidRPr="00CE79F9" w:rsidRDefault="00C77D80">
      <w:pPr>
        <w:autoSpaceDE w:val="0"/>
        <w:autoSpaceDN w:val="0"/>
        <w:adjustRightInd w:val="0"/>
        <w:spacing w:line="240" w:lineRule="auto"/>
        <w:ind w:firstLine="720"/>
        <w:jc w:val="both"/>
        <w:rPr>
          <w:rFonts w:ascii="Times New Roman" w:hAnsi="Times New Roman" w:cs="Times New Roman"/>
          <w:lang w:val="fr-FR"/>
        </w:rPr>
      </w:pPr>
      <w:r w:rsidRPr="00CE79F9">
        <w:rPr>
          <w:rFonts w:ascii="Times New Roman" w:hAnsi="Times New Roman" w:cs="Times New Roman"/>
          <w:lang w:val="fr-FR"/>
        </w:rPr>
        <w:t xml:space="preserve">Depuis l'établissement de son mandat, l'Expert indépendant a reçu des rapports faisant état de discriminations et de violences dans l'accès aux soins de santé, de classifications médicales discriminatoires pathologisant les personnes sur la base de leur orientation sexuelle ou de leur identité de genre, de </w:t>
      </w:r>
      <w:r w:rsidR="000D6C41" w:rsidRPr="00CE79F9">
        <w:rPr>
          <w:rFonts w:ascii="Times New Roman" w:hAnsi="Times New Roman" w:cs="Times New Roman"/>
          <w:lang w:val="fr-FR"/>
        </w:rPr>
        <w:t xml:space="preserve">violations de la confidentialité </w:t>
      </w:r>
      <w:r w:rsidR="00676367" w:rsidRPr="00CE79F9">
        <w:rPr>
          <w:rFonts w:ascii="Times New Roman" w:hAnsi="Times New Roman" w:cs="Times New Roman"/>
          <w:lang w:val="fr-FR"/>
        </w:rPr>
        <w:t xml:space="preserve">par les prestataires de </w:t>
      </w:r>
      <w:r w:rsidR="00B50B1F" w:rsidRPr="00CE79F9">
        <w:rPr>
          <w:rFonts w:ascii="Times New Roman" w:hAnsi="Times New Roman" w:cs="Times New Roman"/>
          <w:lang w:val="fr-FR"/>
        </w:rPr>
        <w:t>soins de</w:t>
      </w:r>
      <w:r w:rsidR="00676367" w:rsidRPr="00CE79F9">
        <w:rPr>
          <w:rFonts w:ascii="Times New Roman" w:hAnsi="Times New Roman" w:cs="Times New Roman"/>
          <w:lang w:val="fr-FR"/>
        </w:rPr>
        <w:t xml:space="preserve"> santé</w:t>
      </w:r>
      <w:r w:rsidR="000D6C41" w:rsidRPr="00CE79F9">
        <w:rPr>
          <w:rFonts w:ascii="Times New Roman" w:hAnsi="Times New Roman" w:cs="Times New Roman"/>
          <w:lang w:val="fr-FR"/>
        </w:rPr>
        <w:t xml:space="preserve">, de </w:t>
      </w:r>
      <w:r w:rsidRPr="00CE79F9">
        <w:rPr>
          <w:rFonts w:ascii="Times New Roman" w:hAnsi="Times New Roman" w:cs="Times New Roman"/>
          <w:lang w:val="fr-FR"/>
        </w:rPr>
        <w:t>procédures médicales abusives ou coercitives</w:t>
      </w:r>
      <w:r w:rsidR="000851B8" w:rsidRPr="00CE79F9">
        <w:rPr>
          <w:rFonts w:ascii="Times New Roman" w:hAnsi="Times New Roman" w:cs="Times New Roman"/>
          <w:lang w:val="fr-FR"/>
        </w:rPr>
        <w:t xml:space="preserve">, </w:t>
      </w:r>
      <w:r w:rsidRPr="00CE79F9">
        <w:rPr>
          <w:rFonts w:ascii="Times New Roman" w:hAnsi="Times New Roman" w:cs="Times New Roman"/>
          <w:lang w:val="fr-FR"/>
        </w:rPr>
        <w:t>notamment les "thérapies de conversion",</w:t>
      </w:r>
      <w:r w:rsidRPr="00336B4B">
        <w:rPr>
          <w:rStyle w:val="FootnoteReference"/>
          <w:rFonts w:ascii="Times New Roman" w:hAnsi="Times New Roman" w:cs="Times New Roman"/>
        </w:rPr>
        <w:footnoteReference w:id="1"/>
      </w:r>
      <w:r w:rsidR="000851B8" w:rsidRPr="00CE79F9">
        <w:rPr>
          <w:rFonts w:ascii="Times New Roman" w:hAnsi="Times New Roman" w:cs="Times New Roman"/>
          <w:lang w:val="fr-FR"/>
        </w:rPr>
        <w:t xml:space="preserve"> ainsi que d'</w:t>
      </w:r>
      <w:r w:rsidRPr="00CE79F9">
        <w:rPr>
          <w:rFonts w:ascii="Times New Roman" w:hAnsi="Times New Roman" w:cs="Times New Roman"/>
          <w:lang w:val="fr-FR"/>
        </w:rPr>
        <w:t xml:space="preserve">opérations chirurgicales </w:t>
      </w:r>
      <w:r w:rsidR="00F743A4" w:rsidRPr="00CE79F9">
        <w:rPr>
          <w:rFonts w:ascii="Times New Roman" w:hAnsi="Times New Roman" w:cs="Times New Roman"/>
          <w:lang w:val="fr-FR"/>
        </w:rPr>
        <w:t xml:space="preserve">et de stérilisations </w:t>
      </w:r>
      <w:r w:rsidRPr="00CE79F9">
        <w:rPr>
          <w:rFonts w:ascii="Times New Roman" w:hAnsi="Times New Roman" w:cs="Times New Roman"/>
          <w:lang w:val="fr-FR"/>
        </w:rPr>
        <w:t>forcées</w:t>
      </w:r>
      <w:r w:rsidR="00F743A4" w:rsidRPr="00CE79F9">
        <w:rPr>
          <w:rFonts w:ascii="Times New Roman" w:hAnsi="Times New Roman" w:cs="Times New Roman"/>
          <w:lang w:val="fr-FR"/>
        </w:rPr>
        <w:t xml:space="preserve">. Les </w:t>
      </w:r>
      <w:r w:rsidR="00AE3CF0" w:rsidRPr="00CE79F9">
        <w:rPr>
          <w:rFonts w:ascii="Times New Roman" w:hAnsi="Times New Roman" w:cs="Times New Roman"/>
          <w:lang w:val="fr-FR"/>
        </w:rPr>
        <w:t xml:space="preserve">prestataires de soins de santé ne disposent pas d'une formation appropriée sur les besoins des personnes ayant des orientations sexuelles et des identités de genre diverses, ce qui entraîne des traitements discriminatoires et d'autres violations des droits humains des patients LGBTI et GNC. En l'absence de mécanismes d'enquête et de responsabilité appropriés, ces violations restent souvent impunies. Les obstacles à l'accès à des soins de santé adéquats ont été particulièrement néfastes au cours de la pandémie de COVID-19, et conduisent parfois les personnes LGBTI et GNC à éviter complètement les services de santé professionnels. Associés à la </w:t>
      </w:r>
      <w:r w:rsidR="00AE3CF0" w:rsidRPr="00CE79F9">
        <w:rPr>
          <w:rFonts w:ascii="Times New Roman" w:hAnsi="Times New Roman" w:cs="Times New Roman"/>
          <w:lang w:val="fr-FR"/>
        </w:rPr>
        <w:lastRenderedPageBreak/>
        <w:t>marginalisation, à l'ostracisme et à la violence de la société, ces obstacles se traduisent par des problèmes de santé mentale et physique aggravés et risquent de compromettre la réalisation du droit au meilleur état de santé physique et mentale possible pour tous, tel que garanti par le droit international.</w:t>
      </w:r>
    </w:p>
    <w:p w14:paraId="1D78E159" w14:textId="77777777" w:rsidR="00097F88" w:rsidRPr="00CE79F9" w:rsidRDefault="00097F88" w:rsidP="00AE3CF0">
      <w:pPr>
        <w:autoSpaceDE w:val="0"/>
        <w:autoSpaceDN w:val="0"/>
        <w:adjustRightInd w:val="0"/>
        <w:spacing w:line="240" w:lineRule="auto"/>
        <w:ind w:firstLine="720"/>
        <w:jc w:val="both"/>
        <w:rPr>
          <w:rFonts w:ascii="Times New Roman" w:hAnsi="Times New Roman" w:cs="Times New Roman"/>
          <w:lang w:val="fr-FR"/>
        </w:rPr>
      </w:pPr>
    </w:p>
    <w:p w14:paraId="4169CAEE" w14:textId="77777777" w:rsidR="00530A27" w:rsidRPr="00CE79F9" w:rsidRDefault="00C77D80">
      <w:pPr>
        <w:autoSpaceDE w:val="0"/>
        <w:autoSpaceDN w:val="0"/>
        <w:adjustRightInd w:val="0"/>
        <w:spacing w:line="240" w:lineRule="auto"/>
        <w:ind w:firstLine="720"/>
        <w:jc w:val="both"/>
        <w:rPr>
          <w:rFonts w:ascii="Times New Roman" w:hAnsi="Times New Roman" w:cs="Times New Roman"/>
          <w:lang w:val="fr-FR"/>
        </w:rPr>
      </w:pPr>
      <w:r w:rsidRPr="00CE79F9">
        <w:rPr>
          <w:rFonts w:ascii="Times New Roman" w:hAnsi="Times New Roman" w:cs="Times New Roman"/>
          <w:lang w:val="fr-FR"/>
        </w:rPr>
        <w:t>La recherche a montré une plus grande vulnérabilité à l'infection par le VIH chez les hommes ayant des rapports sexuels avec des hommes et les femmes trans, ainsi que des taux élevés de suicide et de toxicomanie chez les jeunes et les adultes LGBTI, y compris les personnes âgées. Cependant, de graves lacunes subsistent</w:t>
      </w:r>
      <w:r w:rsidR="00BD4AA6">
        <w:rPr>
          <w:rFonts w:ascii="Times New Roman" w:hAnsi="Times New Roman" w:cs="Times New Roman"/>
          <w:lang w:val="fr-FR"/>
        </w:rPr>
        <w:t xml:space="preserve"> en matière de collection et d’analyse des données</w:t>
      </w:r>
      <w:r w:rsidRPr="00CE79F9">
        <w:rPr>
          <w:rFonts w:ascii="Times New Roman" w:hAnsi="Times New Roman" w:cs="Times New Roman"/>
          <w:lang w:val="fr-FR"/>
        </w:rPr>
        <w:t>, notamment en ce qui concerne le</w:t>
      </w:r>
      <w:r w:rsidR="00BD4AA6">
        <w:rPr>
          <w:rFonts w:ascii="Times New Roman" w:hAnsi="Times New Roman" w:cs="Times New Roman"/>
          <w:lang w:val="fr-FR"/>
        </w:rPr>
        <w:t>s pays du</w:t>
      </w:r>
      <w:r w:rsidRPr="00CE79F9">
        <w:rPr>
          <w:rFonts w:ascii="Times New Roman" w:hAnsi="Times New Roman" w:cs="Times New Roman"/>
          <w:lang w:val="fr-FR"/>
        </w:rPr>
        <w:t xml:space="preserve"> Sud et les besoins et la réalisation du droit à la santé des femmes lesbiennes et bisexuelles ainsi que des personnes trans. Les problèmes de collecte de données sont particulièrement frappants dans le contexte de la santé et des droits sexuels et reproductifs, qui reste largement fondé sur des idées hétéronormatives et cisnormatives sur le sexe et les caractéristiques de genre, ainsi que sur les droits reproductifs. </w:t>
      </w:r>
    </w:p>
    <w:p w14:paraId="129ADDC3" w14:textId="77777777" w:rsidR="00AE3CF0" w:rsidRPr="00CE79F9" w:rsidRDefault="00AE3CF0" w:rsidP="00AE3CF0">
      <w:pPr>
        <w:autoSpaceDE w:val="0"/>
        <w:autoSpaceDN w:val="0"/>
        <w:adjustRightInd w:val="0"/>
        <w:spacing w:line="240" w:lineRule="auto"/>
        <w:ind w:firstLine="720"/>
        <w:jc w:val="both"/>
        <w:rPr>
          <w:rFonts w:ascii="Times New Roman" w:hAnsi="Times New Roman" w:cs="Times New Roman"/>
          <w:lang w:val="fr-FR"/>
        </w:rPr>
      </w:pPr>
    </w:p>
    <w:p w14:paraId="5A3A3863" w14:textId="77777777" w:rsidR="00530A27" w:rsidRPr="00CE79F9" w:rsidRDefault="00C77D80">
      <w:pPr>
        <w:autoSpaceDE w:val="0"/>
        <w:autoSpaceDN w:val="0"/>
        <w:adjustRightInd w:val="0"/>
        <w:spacing w:line="240" w:lineRule="auto"/>
        <w:ind w:firstLine="720"/>
        <w:jc w:val="both"/>
        <w:rPr>
          <w:rFonts w:ascii="Times New Roman" w:hAnsi="Times New Roman" w:cs="Times New Roman"/>
          <w:lang w:val="fr-FR"/>
        </w:rPr>
      </w:pPr>
      <w:r w:rsidRPr="00CE79F9">
        <w:rPr>
          <w:rFonts w:ascii="Times New Roman" w:hAnsi="Times New Roman" w:cs="Times New Roman"/>
          <w:lang w:val="fr-FR"/>
        </w:rPr>
        <w:t xml:space="preserve">Les </w:t>
      </w:r>
      <w:r w:rsidR="00AE3CF0" w:rsidRPr="00CE79F9">
        <w:rPr>
          <w:rFonts w:ascii="Times New Roman" w:hAnsi="Times New Roman" w:cs="Times New Roman"/>
          <w:lang w:val="fr-FR"/>
        </w:rPr>
        <w:t xml:space="preserve">mécanismes des droits </w:t>
      </w:r>
      <w:r w:rsidR="006D02FC">
        <w:rPr>
          <w:rFonts w:ascii="Times New Roman" w:hAnsi="Times New Roman" w:cs="Times New Roman"/>
          <w:lang w:val="fr-FR"/>
        </w:rPr>
        <w:t>humains</w:t>
      </w:r>
      <w:r w:rsidR="00BD4AA6">
        <w:rPr>
          <w:rFonts w:ascii="Times New Roman" w:hAnsi="Times New Roman" w:cs="Times New Roman"/>
          <w:lang w:val="fr-FR"/>
        </w:rPr>
        <w:t xml:space="preserve"> de l’Organisation des</w:t>
      </w:r>
      <w:r w:rsidR="00AE3CF0" w:rsidRPr="00CE79F9">
        <w:rPr>
          <w:rFonts w:ascii="Times New Roman" w:hAnsi="Times New Roman" w:cs="Times New Roman"/>
          <w:lang w:val="fr-FR"/>
        </w:rPr>
        <w:t xml:space="preserve"> Nations </w:t>
      </w:r>
      <w:r w:rsidRPr="00CE79F9">
        <w:rPr>
          <w:rFonts w:ascii="Times New Roman" w:hAnsi="Times New Roman" w:cs="Times New Roman"/>
          <w:lang w:val="fr-FR"/>
        </w:rPr>
        <w:t xml:space="preserve">Unies (ONU) </w:t>
      </w:r>
      <w:r w:rsidR="00AE3CF0" w:rsidRPr="00CE79F9">
        <w:rPr>
          <w:rFonts w:ascii="Times New Roman" w:hAnsi="Times New Roman" w:cs="Times New Roman"/>
          <w:lang w:val="fr-FR"/>
        </w:rPr>
        <w:t xml:space="preserve">ont déjà </w:t>
      </w:r>
      <w:r w:rsidR="00BD4AA6">
        <w:rPr>
          <w:rFonts w:ascii="Times New Roman" w:hAnsi="Times New Roman" w:cs="Times New Roman"/>
          <w:lang w:val="fr-FR"/>
        </w:rPr>
        <w:t>soulevé des</w:t>
      </w:r>
      <w:r w:rsidR="00AE3CF0" w:rsidRPr="00CE79F9">
        <w:rPr>
          <w:rFonts w:ascii="Times New Roman" w:hAnsi="Times New Roman" w:cs="Times New Roman"/>
          <w:lang w:val="fr-FR"/>
        </w:rPr>
        <w:t xml:space="preserve"> préoccupations </w:t>
      </w:r>
      <w:r w:rsidR="00BD4AA6">
        <w:rPr>
          <w:rFonts w:ascii="Times New Roman" w:hAnsi="Times New Roman" w:cs="Times New Roman"/>
          <w:lang w:val="fr-FR"/>
        </w:rPr>
        <w:t xml:space="preserve">à ce sujet </w:t>
      </w:r>
      <w:r w:rsidR="00AE3CF0" w:rsidRPr="00CE79F9">
        <w:rPr>
          <w:rFonts w:ascii="Times New Roman" w:hAnsi="Times New Roman" w:cs="Times New Roman"/>
          <w:lang w:val="fr-FR"/>
        </w:rPr>
        <w:t>et proposé des recommandations concernant le droit au meilleur état de santé possible pour les personnes LGBTI et GNC. Par exemple, le Comité des droits de l'homme, le Comité pour l'élimination de toutes les formes de discrimination à l'égard des femmes et le Comité contre la torture ont attiré l'attention sur les lourdes exigences liées à la reconnaissance légale du genre, notamment l'évaluation psychiatrique et la stérilisation ou la chirurgie obligatoires.</w:t>
      </w:r>
      <w:r w:rsidR="00AE3CF0" w:rsidRPr="00336B4B">
        <w:rPr>
          <w:rStyle w:val="FootnoteReference"/>
          <w:rFonts w:ascii="Times New Roman" w:hAnsi="Times New Roman" w:cs="Times New Roman"/>
        </w:rPr>
        <w:footnoteReference w:id="2"/>
      </w:r>
      <w:r w:rsidR="00BD4AA6">
        <w:rPr>
          <w:rFonts w:ascii="Times New Roman" w:hAnsi="Times New Roman" w:cs="Times New Roman"/>
          <w:lang w:val="fr-FR"/>
        </w:rPr>
        <w:t xml:space="preserve"> </w:t>
      </w:r>
      <w:r w:rsidR="00AE3CF0" w:rsidRPr="00CE79F9">
        <w:rPr>
          <w:rFonts w:ascii="Times New Roman" w:hAnsi="Times New Roman" w:cs="Times New Roman"/>
          <w:lang w:val="fr-FR"/>
        </w:rPr>
        <w:t xml:space="preserve">Le </w:t>
      </w:r>
      <w:r w:rsidR="00BD4AA6" w:rsidRPr="00BD4AA6">
        <w:rPr>
          <w:rFonts w:ascii="Times New Roman" w:hAnsi="Times New Roman" w:cs="Times New Roman"/>
          <w:lang w:val="fr-FR"/>
        </w:rPr>
        <w:t xml:space="preserve">Rapporteur spécial sur la torture et autres peines ou traitements cruels, inhumains ou dégradants </w:t>
      </w:r>
      <w:r w:rsidR="00AE3CF0" w:rsidRPr="00CE79F9">
        <w:rPr>
          <w:rFonts w:ascii="Times New Roman" w:hAnsi="Times New Roman" w:cs="Times New Roman"/>
          <w:lang w:val="fr-FR"/>
        </w:rPr>
        <w:t xml:space="preserve">et le </w:t>
      </w:r>
      <w:r w:rsidR="00BD4AA6">
        <w:rPr>
          <w:rFonts w:ascii="Times New Roman" w:hAnsi="Times New Roman" w:cs="Times New Roman"/>
          <w:lang w:val="fr-FR"/>
        </w:rPr>
        <w:t>Rapporteur spécial</w:t>
      </w:r>
      <w:r w:rsidR="00BD4AA6" w:rsidRPr="00BD4AA6">
        <w:rPr>
          <w:rFonts w:ascii="Times New Roman" w:hAnsi="Times New Roman" w:cs="Times New Roman"/>
          <w:lang w:val="fr-FR"/>
        </w:rPr>
        <w:t xml:space="preserve"> sur le droit à la santé physique et mentale</w:t>
      </w:r>
      <w:r w:rsidR="00BD4AA6">
        <w:rPr>
          <w:rFonts w:ascii="Times New Roman" w:hAnsi="Times New Roman" w:cs="Times New Roman"/>
          <w:lang w:val="fr-FR"/>
        </w:rPr>
        <w:t xml:space="preserve"> </w:t>
      </w:r>
      <w:r w:rsidR="00AE3CF0" w:rsidRPr="00CE79F9">
        <w:rPr>
          <w:rFonts w:ascii="Times New Roman" w:hAnsi="Times New Roman" w:cs="Times New Roman"/>
          <w:lang w:val="fr-FR"/>
        </w:rPr>
        <w:t>ont exprimé de sérieuses inquiétudes concernant les "thérapies de conversion".</w:t>
      </w:r>
      <w:r w:rsidR="00AE3CF0" w:rsidRPr="00336B4B">
        <w:rPr>
          <w:rStyle w:val="FootnoteReference"/>
          <w:rFonts w:ascii="Times New Roman" w:hAnsi="Times New Roman" w:cs="Times New Roman"/>
        </w:rPr>
        <w:footnoteReference w:id="3"/>
      </w:r>
      <w:r w:rsidR="00AE3CF0" w:rsidRPr="00CE79F9">
        <w:rPr>
          <w:rFonts w:ascii="Times New Roman" w:hAnsi="Times New Roman" w:cs="Times New Roman"/>
          <w:lang w:val="fr-FR"/>
        </w:rPr>
        <w:t xml:space="preserve"> Les </w:t>
      </w:r>
      <w:r w:rsidR="006D02FC">
        <w:rPr>
          <w:rFonts w:ascii="Times New Roman" w:hAnsi="Times New Roman" w:cs="Times New Roman"/>
          <w:lang w:val="fr-FR"/>
        </w:rPr>
        <w:t>mécanismes des droits humains</w:t>
      </w:r>
      <w:r w:rsidR="00AE3CF0" w:rsidRPr="00CE79F9">
        <w:rPr>
          <w:rFonts w:ascii="Times New Roman" w:hAnsi="Times New Roman" w:cs="Times New Roman"/>
          <w:lang w:val="fr-FR"/>
        </w:rPr>
        <w:t xml:space="preserve"> des Nations unies ont également abordé l'impact de la criminalisation et de la stigmatisation sur l'accès aux soins de santé et sur la santé mentale, la nécessité de veiller à ce que les professionnels de la santé reçoivent une formation sur le respect des droits des personnes LGBTI, les avantages du développement de programmes complets d'éducation sexuelle adaptés à l'âge et l'accès à l'information sur la santé et les droits sexuels et reproductifs, et l'impact des normes de genre sur la santé sexuelle et reproductive. Les mécanismes ont également attiré l'attention sur la violence en milieu médical, les refus de prestation de services par les presta</w:t>
      </w:r>
      <w:r w:rsidR="00B05BC0">
        <w:rPr>
          <w:rFonts w:ascii="Times New Roman" w:hAnsi="Times New Roman" w:cs="Times New Roman"/>
          <w:lang w:val="fr-FR"/>
        </w:rPr>
        <w:t>taires de santé, l'exclusion de la pratique sportive</w:t>
      </w:r>
      <w:r w:rsidR="00AE3CF0" w:rsidRPr="00CE79F9">
        <w:rPr>
          <w:rFonts w:ascii="Times New Roman" w:hAnsi="Times New Roman" w:cs="Times New Roman"/>
          <w:lang w:val="fr-FR"/>
        </w:rPr>
        <w:t xml:space="preserve"> et les restrictions d'accès aux toilettes et autres installations sanitaires.</w:t>
      </w:r>
    </w:p>
    <w:p w14:paraId="069210CD" w14:textId="77777777" w:rsidR="000851B8" w:rsidRPr="00CE79F9" w:rsidRDefault="000851B8" w:rsidP="00D55C32">
      <w:pPr>
        <w:autoSpaceDE w:val="0"/>
        <w:autoSpaceDN w:val="0"/>
        <w:adjustRightInd w:val="0"/>
        <w:spacing w:line="240" w:lineRule="auto"/>
        <w:jc w:val="both"/>
        <w:rPr>
          <w:rFonts w:ascii="Times New Roman" w:hAnsi="Times New Roman" w:cs="Times New Roman"/>
          <w:lang w:val="fr-FR"/>
        </w:rPr>
      </w:pPr>
    </w:p>
    <w:p w14:paraId="2C9B2BFD" w14:textId="77777777" w:rsidR="00530A27" w:rsidRPr="00CE79F9" w:rsidRDefault="00B05BC0">
      <w:pPr>
        <w:autoSpaceDE w:val="0"/>
        <w:autoSpaceDN w:val="0"/>
        <w:adjustRightInd w:val="0"/>
        <w:spacing w:line="240" w:lineRule="auto"/>
        <w:ind w:firstLine="720"/>
        <w:jc w:val="both"/>
        <w:rPr>
          <w:rFonts w:ascii="Times New Roman" w:hAnsi="Times New Roman" w:cs="Times New Roman"/>
          <w:lang w:val="fr-FR"/>
        </w:rPr>
      </w:pPr>
      <w:r>
        <w:rPr>
          <w:rFonts w:ascii="Times New Roman" w:hAnsi="Times New Roman" w:cs="Times New Roman"/>
          <w:lang w:val="fr-FR"/>
        </w:rPr>
        <w:t>En outre, l'ODD 3,</w:t>
      </w:r>
      <w:r w:rsidR="00C77D80" w:rsidRPr="00336B4B">
        <w:rPr>
          <w:rStyle w:val="FootnoteReference"/>
          <w:rFonts w:ascii="Times New Roman" w:hAnsi="Times New Roman" w:cs="Times New Roman"/>
        </w:rPr>
        <w:footnoteReference w:id="4"/>
      </w:r>
      <w:r w:rsidRPr="00B05BC0">
        <w:rPr>
          <w:rFonts w:ascii="Times New Roman" w:hAnsi="Times New Roman" w:cs="Times New Roman"/>
          <w:lang w:val="fr-FR"/>
        </w:rPr>
        <w:t xml:space="preserve"> </w:t>
      </w:r>
      <w:r w:rsidR="00C77D80" w:rsidRPr="00CE79F9">
        <w:rPr>
          <w:rFonts w:ascii="Times New Roman" w:hAnsi="Times New Roman" w:cs="Times New Roman"/>
          <w:lang w:val="fr-FR"/>
        </w:rPr>
        <w:t>qui vise à "assurer une vie saine et promouvoir le bien-être de tous à tou</w:t>
      </w:r>
      <w:r>
        <w:rPr>
          <w:rFonts w:ascii="Times New Roman" w:hAnsi="Times New Roman" w:cs="Times New Roman"/>
          <w:lang w:val="fr-FR"/>
        </w:rPr>
        <w:t>t âge", ne pourra être atteint p</w:t>
      </w:r>
      <w:r w:rsidR="00C77D80" w:rsidRPr="00CE79F9">
        <w:rPr>
          <w:rFonts w:ascii="Times New Roman" w:hAnsi="Times New Roman" w:cs="Times New Roman"/>
          <w:lang w:val="fr-FR"/>
        </w:rPr>
        <w:t>our tous que si le droit de chacun de jouir du meilleur état de san</w:t>
      </w:r>
      <w:r>
        <w:rPr>
          <w:rFonts w:ascii="Times New Roman" w:hAnsi="Times New Roman" w:cs="Times New Roman"/>
          <w:lang w:val="fr-FR"/>
        </w:rPr>
        <w:t>té physique et mentale possible</w:t>
      </w:r>
      <w:r w:rsidR="00C77D80" w:rsidRPr="00CE79F9">
        <w:rPr>
          <w:rFonts w:ascii="Times New Roman" w:hAnsi="Times New Roman" w:cs="Times New Roman"/>
          <w:lang w:val="fr-FR"/>
        </w:rPr>
        <w:t xml:space="preserve"> et les besoins de bien-être des personnes touchées par la violence et la discrimination fondées sur l'orientation sexuelle et l'identité de genre sont satisfaits. </w:t>
      </w:r>
      <w:r w:rsidR="000851B8" w:rsidRPr="00CE79F9">
        <w:rPr>
          <w:rFonts w:ascii="Times New Roman" w:hAnsi="Times New Roman" w:cs="Times New Roman"/>
          <w:lang w:val="fr-FR"/>
        </w:rPr>
        <w:t>Les ODD sont un ensemble d'objectifs destinés à servir de "plan directeur" pour une action mondiale coordonnée sur la période 2015-2030. Ils comprennent 17 objectifs</w:t>
      </w:r>
      <w:r w:rsidR="005C1758" w:rsidRPr="00CE79F9">
        <w:rPr>
          <w:rFonts w:ascii="Times New Roman" w:hAnsi="Times New Roman" w:cs="Times New Roman"/>
          <w:lang w:val="fr-FR"/>
        </w:rPr>
        <w:t xml:space="preserve">, </w:t>
      </w:r>
      <w:r w:rsidR="00C77D80" w:rsidRPr="00CE79F9">
        <w:rPr>
          <w:rFonts w:ascii="Times New Roman" w:hAnsi="Times New Roman" w:cs="Times New Roman"/>
          <w:lang w:val="fr-FR"/>
        </w:rPr>
        <w:t xml:space="preserve">chacun d'entre eux étant </w:t>
      </w:r>
      <w:r w:rsidR="000851B8" w:rsidRPr="00CE79F9">
        <w:rPr>
          <w:rFonts w:ascii="Times New Roman" w:hAnsi="Times New Roman" w:cs="Times New Roman"/>
          <w:lang w:val="fr-FR"/>
        </w:rPr>
        <w:t>accompagné d'une série de cibles (qui précisent ce que l'objectif est censé atteindre) et d'indicateurs (qui identifient les mesures qui montreront si des progrès sont réalisés par rapport à l'</w:t>
      </w:r>
      <w:r w:rsidR="00C77D80" w:rsidRPr="00CE79F9">
        <w:rPr>
          <w:rFonts w:ascii="Times New Roman" w:hAnsi="Times New Roman" w:cs="Times New Roman"/>
          <w:lang w:val="fr-FR"/>
        </w:rPr>
        <w:t xml:space="preserve">objectif). L'Expert </w:t>
      </w:r>
      <w:r w:rsidR="007D6BA8" w:rsidRPr="00CE79F9">
        <w:rPr>
          <w:rFonts w:ascii="Times New Roman" w:hAnsi="Times New Roman" w:cs="Times New Roman"/>
          <w:lang w:val="fr-FR"/>
        </w:rPr>
        <w:t xml:space="preserve">indépendant est d'avis </w:t>
      </w:r>
      <w:r w:rsidR="00C77D80" w:rsidRPr="00CE79F9">
        <w:rPr>
          <w:rFonts w:ascii="Times New Roman" w:hAnsi="Times New Roman" w:cs="Times New Roman"/>
          <w:lang w:val="fr-FR"/>
        </w:rPr>
        <w:t xml:space="preserve">que les </w:t>
      </w:r>
      <w:r w:rsidR="007D6BA8" w:rsidRPr="00CE79F9">
        <w:rPr>
          <w:rFonts w:ascii="Times New Roman" w:hAnsi="Times New Roman" w:cs="Times New Roman"/>
          <w:lang w:val="fr-FR"/>
        </w:rPr>
        <w:t xml:space="preserve">cibles </w:t>
      </w:r>
      <w:r w:rsidR="00C77D80" w:rsidRPr="00CE79F9">
        <w:rPr>
          <w:rFonts w:ascii="Times New Roman" w:hAnsi="Times New Roman" w:cs="Times New Roman"/>
          <w:lang w:val="fr-FR"/>
        </w:rPr>
        <w:t>liées à l'ODD</w:t>
      </w:r>
      <w:r>
        <w:rPr>
          <w:rFonts w:ascii="Times New Roman" w:hAnsi="Times New Roman" w:cs="Times New Roman"/>
          <w:lang w:val="fr-FR"/>
        </w:rPr>
        <w:t xml:space="preserve"> </w:t>
      </w:r>
      <w:r w:rsidR="00C77D80" w:rsidRPr="00CE79F9">
        <w:rPr>
          <w:rFonts w:ascii="Times New Roman" w:hAnsi="Times New Roman" w:cs="Times New Roman"/>
          <w:lang w:val="fr-FR"/>
        </w:rPr>
        <w:t xml:space="preserve">3 </w:t>
      </w:r>
      <w:r w:rsidR="007D6BA8" w:rsidRPr="00CE79F9">
        <w:rPr>
          <w:rFonts w:ascii="Times New Roman" w:hAnsi="Times New Roman" w:cs="Times New Roman"/>
          <w:lang w:val="fr-FR"/>
        </w:rPr>
        <w:t xml:space="preserve">seront atteintes de manière plus complète et plus rapide si les besoins spécifiques en matière de soins de santé des personnes LGBTI et GNC sont pris en compte dans les lois, politiques et plans d'action nationaux visant à la mise en œuvre des ODD. Ces mesures devraient être mises en œuvre en combinaison avec la révision des lois qui criminalisent ou discriminent d'une autre manière </w:t>
      </w:r>
      <w:r w:rsidR="007D6BA8" w:rsidRPr="00CE79F9">
        <w:rPr>
          <w:rFonts w:ascii="Times New Roman" w:hAnsi="Times New Roman" w:cs="Times New Roman"/>
          <w:lang w:val="fr-FR"/>
        </w:rPr>
        <w:lastRenderedPageBreak/>
        <w:t xml:space="preserve">sur la base de l'orientation sexuelle ou de l'identité de genre, des mesures de lutte contre la discrimination et la violence à l'égard des personnes LGBTI et GNC, et des politiques visant à renforcer l'inclusion socio-économique des personnes de sexualités et de genres divers. </w:t>
      </w:r>
    </w:p>
    <w:p w14:paraId="57F3667F" w14:textId="77777777" w:rsidR="00097F88" w:rsidRPr="00CE79F9" w:rsidRDefault="00097F88" w:rsidP="00097F88">
      <w:pPr>
        <w:autoSpaceDE w:val="0"/>
        <w:autoSpaceDN w:val="0"/>
        <w:adjustRightInd w:val="0"/>
        <w:spacing w:line="240" w:lineRule="auto"/>
        <w:jc w:val="both"/>
        <w:rPr>
          <w:rFonts w:ascii="Times New Roman" w:hAnsi="Times New Roman" w:cs="Times New Roman"/>
          <w:lang w:val="fr-FR"/>
        </w:rPr>
      </w:pPr>
    </w:p>
    <w:p w14:paraId="2FAFEAF5" w14:textId="77777777" w:rsidR="00530A27" w:rsidRPr="00CE79F9" w:rsidRDefault="00C77D80">
      <w:pPr>
        <w:autoSpaceDE w:val="0"/>
        <w:autoSpaceDN w:val="0"/>
        <w:adjustRightInd w:val="0"/>
        <w:spacing w:line="240" w:lineRule="auto"/>
        <w:ind w:firstLine="720"/>
        <w:jc w:val="both"/>
        <w:rPr>
          <w:rFonts w:ascii="Times New Roman" w:hAnsi="Times New Roman" w:cs="Times New Roman"/>
          <w:lang w:val="fr-FR"/>
        </w:rPr>
      </w:pPr>
      <w:r w:rsidRPr="00CE79F9">
        <w:rPr>
          <w:rFonts w:ascii="Times New Roman" w:hAnsi="Times New Roman" w:cs="Times New Roman"/>
          <w:lang w:val="fr-FR"/>
        </w:rPr>
        <w:t xml:space="preserve">Les ODD doivent être lus comme un tout intégré, et l'ODD 3 doit guider les actions vers la réalisation des autres ODD, comme l'ODD 10 (réduction des inégalités). Le rapport identifiera à la fois les défis associés à l'adoption d'une telle approche intégrée, ainsi que les bonnes pratiques qui ont fait progresser les droits de toutes les personnes touchées par la violence et la discrimination fondées sur l'orientation sexuelle et l'identité de genre, y compris, mais sans s'y limiter, les personnes LGTBI et GNC. Le rapport établira en outre un lien entre l'ODD 3 et le droit de chacun de jouir du meilleur état de santé physique et mentale possible, tel que protégé par le droit international des droits </w:t>
      </w:r>
      <w:r w:rsidR="00E268AB">
        <w:rPr>
          <w:rFonts w:ascii="Times New Roman" w:hAnsi="Times New Roman" w:cs="Times New Roman"/>
          <w:lang w:val="fr-FR"/>
        </w:rPr>
        <w:t>humains</w:t>
      </w:r>
      <w:r w:rsidR="00E83A37" w:rsidRPr="00CE79F9">
        <w:rPr>
          <w:rFonts w:ascii="Times New Roman" w:hAnsi="Times New Roman" w:cs="Times New Roman"/>
          <w:lang w:val="fr-FR"/>
        </w:rPr>
        <w:t xml:space="preserve">. </w:t>
      </w:r>
    </w:p>
    <w:p w14:paraId="0AD58429" w14:textId="77777777" w:rsidR="00117D7A" w:rsidRPr="00CE79F9" w:rsidRDefault="00117D7A" w:rsidP="001F04A6">
      <w:pPr>
        <w:rPr>
          <w:rFonts w:ascii="Times New Roman" w:eastAsia="Times New Roman" w:hAnsi="Times New Roman" w:cs="Times New Roman"/>
          <w:lang w:val="fr-FR"/>
        </w:rPr>
      </w:pPr>
    </w:p>
    <w:p w14:paraId="3C3BD37D" w14:textId="77777777" w:rsidR="00530A27" w:rsidRPr="00CE79F9" w:rsidRDefault="005C1758">
      <w:pPr>
        <w:autoSpaceDE w:val="0"/>
        <w:autoSpaceDN w:val="0"/>
        <w:adjustRightInd w:val="0"/>
        <w:spacing w:line="240" w:lineRule="auto"/>
        <w:jc w:val="both"/>
        <w:rPr>
          <w:rFonts w:ascii="Times New Roman" w:hAnsi="Times New Roman" w:cs="Times New Roman"/>
          <w:b/>
          <w:u w:val="single"/>
          <w:lang w:val="fr-FR"/>
        </w:rPr>
      </w:pPr>
      <w:r w:rsidRPr="00CE79F9">
        <w:rPr>
          <w:rFonts w:ascii="Times New Roman" w:hAnsi="Times New Roman" w:cs="Times New Roman"/>
          <w:b/>
          <w:u w:val="single"/>
          <w:lang w:val="fr-FR"/>
        </w:rPr>
        <w:t>Objectif et résultats</w:t>
      </w:r>
    </w:p>
    <w:p w14:paraId="5E2D3DE5" w14:textId="77777777" w:rsidR="005C1758" w:rsidRPr="00CE79F9" w:rsidRDefault="005C1758" w:rsidP="00097F88">
      <w:pPr>
        <w:autoSpaceDE w:val="0"/>
        <w:autoSpaceDN w:val="0"/>
        <w:adjustRightInd w:val="0"/>
        <w:spacing w:line="240" w:lineRule="auto"/>
        <w:jc w:val="both"/>
        <w:rPr>
          <w:rFonts w:ascii="Times New Roman" w:hAnsi="Times New Roman" w:cs="Times New Roman"/>
          <w:lang w:val="fr-FR"/>
        </w:rPr>
      </w:pPr>
    </w:p>
    <w:p w14:paraId="08AC7215" w14:textId="77777777" w:rsidR="00530A27" w:rsidRPr="00CE79F9" w:rsidRDefault="00972E50">
      <w:pPr>
        <w:autoSpaceDE w:val="0"/>
        <w:autoSpaceDN w:val="0"/>
        <w:adjustRightInd w:val="0"/>
        <w:spacing w:line="240" w:lineRule="auto"/>
        <w:ind w:firstLine="720"/>
        <w:jc w:val="both"/>
        <w:rPr>
          <w:rFonts w:ascii="Times New Roman" w:hAnsi="Times New Roman" w:cs="Times New Roman"/>
          <w:lang w:val="fr-FR"/>
        </w:rPr>
      </w:pPr>
      <w:r>
        <w:rPr>
          <w:rFonts w:ascii="Times New Roman" w:hAnsi="Times New Roman" w:cs="Times New Roman"/>
          <w:lang w:val="fr-FR"/>
        </w:rPr>
        <w:t>L'objectif de la consultation</w:t>
      </w:r>
      <w:r w:rsidR="00C77D80" w:rsidRPr="00CE79F9">
        <w:rPr>
          <w:rFonts w:ascii="Times New Roman" w:hAnsi="Times New Roman" w:cs="Times New Roman"/>
          <w:lang w:val="fr-FR"/>
        </w:rPr>
        <w:t xml:space="preserve"> est de recueillir les points de vue et les contributions de toutes les parties prenantes sur la question de savoir </w:t>
      </w:r>
      <w:r w:rsidR="00E83A37" w:rsidRPr="00CE79F9">
        <w:rPr>
          <w:rFonts w:ascii="Times New Roman" w:hAnsi="Times New Roman" w:cs="Times New Roman"/>
          <w:lang w:val="fr-FR"/>
        </w:rPr>
        <w:t>comment les États ont travaillé à la réalisation de l'ODD 3 en ce qui concerne les personnes touchées par la violence et la discrimination fondées sur l'orientation sexuelle et l'identité de genre, quels exemples positifs peuvent être documentés et quels défis et obstacles existants empêchent sa réalisation.</w:t>
      </w:r>
    </w:p>
    <w:p w14:paraId="5AA134B8" w14:textId="77777777" w:rsidR="00E83A37" w:rsidRPr="00CE79F9" w:rsidRDefault="00E83A37" w:rsidP="00E83A37">
      <w:pPr>
        <w:autoSpaceDE w:val="0"/>
        <w:autoSpaceDN w:val="0"/>
        <w:adjustRightInd w:val="0"/>
        <w:spacing w:line="240" w:lineRule="auto"/>
        <w:jc w:val="both"/>
        <w:rPr>
          <w:rFonts w:ascii="Times New Roman" w:hAnsi="Times New Roman" w:cs="Times New Roman"/>
          <w:lang w:val="fr-FR"/>
        </w:rPr>
      </w:pPr>
    </w:p>
    <w:p w14:paraId="75704D4F" w14:textId="77777777" w:rsidR="00530A27" w:rsidRPr="00CE79F9" w:rsidRDefault="00E268AB">
      <w:pPr>
        <w:autoSpaceDE w:val="0"/>
        <w:autoSpaceDN w:val="0"/>
        <w:adjustRightInd w:val="0"/>
        <w:spacing w:line="240" w:lineRule="auto"/>
        <w:ind w:firstLine="720"/>
        <w:jc w:val="both"/>
        <w:rPr>
          <w:rFonts w:ascii="Times New Roman" w:hAnsi="Times New Roman" w:cs="Times New Roman"/>
          <w:lang w:val="fr-FR"/>
        </w:rPr>
      </w:pPr>
      <w:r>
        <w:rPr>
          <w:rFonts w:ascii="Times New Roman" w:hAnsi="Times New Roman" w:cs="Times New Roman"/>
          <w:lang w:val="fr-FR"/>
        </w:rPr>
        <w:t>L'E</w:t>
      </w:r>
      <w:r w:rsidR="00C77D80" w:rsidRPr="00CE79F9">
        <w:rPr>
          <w:rFonts w:ascii="Times New Roman" w:hAnsi="Times New Roman" w:cs="Times New Roman"/>
          <w:lang w:val="fr-FR"/>
        </w:rPr>
        <w:t xml:space="preserve">xpert indépendant invite </w:t>
      </w:r>
      <w:r w:rsidR="00E83A37" w:rsidRPr="00CE79F9">
        <w:rPr>
          <w:rFonts w:ascii="Times New Roman" w:hAnsi="Times New Roman" w:cs="Times New Roman"/>
          <w:lang w:val="fr-FR"/>
        </w:rPr>
        <w:t xml:space="preserve">en particulier </w:t>
      </w:r>
      <w:r w:rsidR="00C77D80" w:rsidRPr="00CE79F9">
        <w:rPr>
          <w:rFonts w:ascii="Times New Roman" w:hAnsi="Times New Roman" w:cs="Times New Roman"/>
          <w:lang w:val="fr-FR"/>
        </w:rPr>
        <w:t xml:space="preserve">à formuler des </w:t>
      </w:r>
      <w:r w:rsidR="00E83A37" w:rsidRPr="00CE79F9">
        <w:rPr>
          <w:rFonts w:ascii="Times New Roman" w:hAnsi="Times New Roman" w:cs="Times New Roman"/>
          <w:lang w:val="fr-FR"/>
        </w:rPr>
        <w:t xml:space="preserve">commentaires sur la relation entre l'ODD 3 et les populations dont l'expérience des obstacles aux soins de santé ainsi que des obstacles qui peuvent les empêcher de jouir de leur droit à la santé, notamment en raison de la </w:t>
      </w:r>
      <w:r w:rsidR="00DC25AB" w:rsidRPr="00CE79F9">
        <w:rPr>
          <w:rFonts w:ascii="Times New Roman" w:hAnsi="Times New Roman" w:cs="Times New Roman"/>
          <w:lang w:val="fr-FR"/>
        </w:rPr>
        <w:t>violence et de la discrimination</w:t>
      </w:r>
      <w:r w:rsidR="00E83A37" w:rsidRPr="00CE79F9">
        <w:rPr>
          <w:rFonts w:ascii="Times New Roman" w:hAnsi="Times New Roman" w:cs="Times New Roman"/>
          <w:lang w:val="fr-FR"/>
        </w:rPr>
        <w:t>, est moins bien connue. Il s'agit notamment des femmes lesbiennes et bisexuel</w:t>
      </w:r>
      <w:r>
        <w:rPr>
          <w:rFonts w:ascii="Times New Roman" w:hAnsi="Times New Roman" w:cs="Times New Roman"/>
          <w:lang w:val="fr-FR"/>
        </w:rPr>
        <w:t>les et des personnes trans</w:t>
      </w:r>
      <w:r w:rsidR="00E83A37" w:rsidRPr="00CE79F9">
        <w:rPr>
          <w:rFonts w:ascii="Times New Roman" w:hAnsi="Times New Roman" w:cs="Times New Roman"/>
          <w:lang w:val="fr-FR"/>
        </w:rPr>
        <w:t>, en particulier celles qui vivent dans les pays du Sud. Cela inclut également les</w:t>
      </w:r>
      <w:r>
        <w:rPr>
          <w:rFonts w:ascii="Times New Roman" w:hAnsi="Times New Roman" w:cs="Times New Roman"/>
          <w:lang w:val="fr-FR"/>
        </w:rPr>
        <w:t xml:space="preserve"> soins de santé des personnes LGTBI et GNC à la suite d’une agression ou de</w:t>
      </w:r>
      <w:r w:rsidR="00E83A37" w:rsidRPr="00CE79F9">
        <w:rPr>
          <w:rFonts w:ascii="Times New Roman" w:hAnsi="Times New Roman" w:cs="Times New Roman"/>
          <w:lang w:val="fr-FR"/>
        </w:rPr>
        <w:t xml:space="preserve"> violence fondée sur le genre.</w:t>
      </w:r>
    </w:p>
    <w:p w14:paraId="7052C110" w14:textId="77777777" w:rsidR="005C1758" w:rsidRPr="00CE79F9" w:rsidRDefault="005C1758" w:rsidP="005C1758">
      <w:pPr>
        <w:autoSpaceDE w:val="0"/>
        <w:autoSpaceDN w:val="0"/>
        <w:adjustRightInd w:val="0"/>
        <w:spacing w:line="240" w:lineRule="auto"/>
        <w:jc w:val="both"/>
        <w:rPr>
          <w:rFonts w:ascii="Times New Roman" w:hAnsi="Times New Roman" w:cs="Times New Roman"/>
          <w:lang w:val="fr-FR"/>
        </w:rPr>
      </w:pPr>
    </w:p>
    <w:p w14:paraId="31C57C46" w14:textId="77777777" w:rsidR="00530A27" w:rsidRPr="00CE79F9" w:rsidRDefault="00C77D80">
      <w:pPr>
        <w:autoSpaceDE w:val="0"/>
        <w:autoSpaceDN w:val="0"/>
        <w:adjustRightInd w:val="0"/>
        <w:spacing w:line="240" w:lineRule="auto"/>
        <w:ind w:firstLine="720"/>
        <w:jc w:val="both"/>
        <w:rPr>
          <w:rFonts w:ascii="Times New Roman" w:hAnsi="Times New Roman" w:cs="Times New Roman"/>
          <w:lang w:val="fr-FR"/>
        </w:rPr>
      </w:pPr>
      <w:r w:rsidRPr="00CE79F9">
        <w:rPr>
          <w:rFonts w:ascii="Times New Roman" w:hAnsi="Times New Roman" w:cs="Times New Roman"/>
          <w:lang w:val="fr-FR"/>
        </w:rPr>
        <w:t xml:space="preserve">Les informations partagées alimenteront le rapport de l'Expert indépendant à la </w:t>
      </w:r>
      <w:r w:rsidR="00E268AB">
        <w:rPr>
          <w:rFonts w:ascii="Times New Roman" w:hAnsi="Times New Roman" w:cs="Times New Roman"/>
          <w:lang w:val="fr-FR"/>
        </w:rPr>
        <w:t>50</w:t>
      </w:r>
      <w:r w:rsidR="00E268AB" w:rsidRPr="00E268AB">
        <w:rPr>
          <w:rFonts w:ascii="Times New Roman" w:hAnsi="Times New Roman" w:cs="Times New Roman"/>
          <w:vertAlign w:val="superscript"/>
          <w:lang w:val="fr-FR"/>
        </w:rPr>
        <w:t>ème</w:t>
      </w:r>
      <w:r w:rsidR="00E268AB">
        <w:rPr>
          <w:rFonts w:ascii="Times New Roman" w:hAnsi="Times New Roman" w:cs="Times New Roman"/>
          <w:lang w:val="fr-FR"/>
        </w:rPr>
        <w:t xml:space="preserve"> session </w:t>
      </w:r>
      <w:r w:rsidR="00E83A37" w:rsidRPr="00CE79F9">
        <w:rPr>
          <w:rFonts w:ascii="Times New Roman" w:hAnsi="Times New Roman" w:cs="Times New Roman"/>
          <w:lang w:val="fr-FR"/>
        </w:rPr>
        <w:t>du Conseil des droits de l'homme</w:t>
      </w:r>
      <w:r w:rsidRPr="00CE79F9">
        <w:rPr>
          <w:rFonts w:ascii="Times New Roman" w:hAnsi="Times New Roman" w:cs="Times New Roman"/>
          <w:lang w:val="fr-FR"/>
        </w:rPr>
        <w:t>.</w:t>
      </w:r>
    </w:p>
    <w:p w14:paraId="003D4DD8" w14:textId="77777777" w:rsidR="005C1758" w:rsidRPr="00CE79F9" w:rsidRDefault="005C1758" w:rsidP="00263822">
      <w:pPr>
        <w:autoSpaceDE w:val="0"/>
        <w:autoSpaceDN w:val="0"/>
        <w:adjustRightInd w:val="0"/>
        <w:spacing w:line="240" w:lineRule="auto"/>
        <w:jc w:val="both"/>
        <w:rPr>
          <w:rFonts w:ascii="Times New Roman" w:hAnsi="Times New Roman" w:cs="Times New Roman"/>
          <w:b/>
          <w:u w:val="single"/>
          <w:lang w:val="fr-FR"/>
        </w:rPr>
      </w:pPr>
    </w:p>
    <w:p w14:paraId="4AE004BA" w14:textId="5D6DF99D" w:rsidR="00530A27" w:rsidRPr="00CE79F9" w:rsidRDefault="007E7B3D">
      <w:pPr>
        <w:autoSpaceDE w:val="0"/>
        <w:autoSpaceDN w:val="0"/>
        <w:adjustRightInd w:val="0"/>
        <w:spacing w:line="240" w:lineRule="auto"/>
        <w:jc w:val="both"/>
        <w:rPr>
          <w:rFonts w:ascii="Times New Roman" w:hAnsi="Times New Roman" w:cs="Times New Roman"/>
          <w:b/>
          <w:u w:val="single"/>
          <w:lang w:val="fr-FR"/>
        </w:rPr>
      </w:pPr>
      <w:r>
        <w:rPr>
          <w:rFonts w:ascii="Times New Roman" w:hAnsi="Times New Roman" w:cs="Times New Roman"/>
          <w:b/>
          <w:u w:val="single"/>
          <w:lang w:val="fr-FR"/>
        </w:rPr>
        <w:t>Participation et m</w:t>
      </w:r>
      <w:r w:rsidR="00C77D80" w:rsidRPr="00CE79F9">
        <w:rPr>
          <w:rFonts w:ascii="Times New Roman" w:hAnsi="Times New Roman" w:cs="Times New Roman"/>
          <w:b/>
          <w:u w:val="single"/>
          <w:lang w:val="fr-FR"/>
        </w:rPr>
        <w:t>éthodologie</w:t>
      </w:r>
    </w:p>
    <w:p w14:paraId="0F222253" w14:textId="77777777" w:rsidR="00E83A37" w:rsidRPr="00CE79F9" w:rsidRDefault="00E83A37" w:rsidP="00263822">
      <w:pPr>
        <w:autoSpaceDE w:val="0"/>
        <w:autoSpaceDN w:val="0"/>
        <w:adjustRightInd w:val="0"/>
        <w:spacing w:line="240" w:lineRule="auto"/>
        <w:jc w:val="both"/>
        <w:rPr>
          <w:rFonts w:ascii="Times New Roman" w:hAnsi="Times New Roman" w:cs="Times New Roman"/>
          <w:b/>
          <w:u w:val="single"/>
          <w:lang w:val="fr-FR"/>
        </w:rPr>
      </w:pPr>
    </w:p>
    <w:p w14:paraId="2B8B8858" w14:textId="77777777" w:rsidR="00530A27" w:rsidRPr="00CE79F9" w:rsidRDefault="00C77D80">
      <w:pPr>
        <w:autoSpaceDE w:val="0"/>
        <w:autoSpaceDN w:val="0"/>
        <w:adjustRightInd w:val="0"/>
        <w:spacing w:line="240" w:lineRule="auto"/>
        <w:ind w:firstLine="720"/>
        <w:jc w:val="both"/>
        <w:rPr>
          <w:rFonts w:ascii="Times New Roman" w:hAnsi="Times New Roman" w:cs="Times New Roman"/>
          <w:lang w:val="fr-FR"/>
        </w:rPr>
      </w:pPr>
      <w:r w:rsidRPr="00CE79F9">
        <w:rPr>
          <w:rFonts w:ascii="Times New Roman" w:hAnsi="Times New Roman" w:cs="Times New Roman"/>
          <w:lang w:val="fr-FR"/>
        </w:rPr>
        <w:t>La consultation est ouverte aux États, aux agences, programmes et fonds des Nations unies, aux mécanismes</w:t>
      </w:r>
      <w:r w:rsidR="00E268AB">
        <w:rPr>
          <w:rFonts w:ascii="Times New Roman" w:hAnsi="Times New Roman" w:cs="Times New Roman"/>
          <w:lang w:val="fr-FR"/>
        </w:rPr>
        <w:t xml:space="preserve"> régionaux des droits humains</w:t>
      </w:r>
      <w:r w:rsidRPr="00CE79F9">
        <w:rPr>
          <w:rFonts w:ascii="Times New Roman" w:hAnsi="Times New Roman" w:cs="Times New Roman"/>
          <w:lang w:val="fr-FR"/>
        </w:rPr>
        <w:t xml:space="preserve">, aux institutions </w:t>
      </w:r>
      <w:r w:rsidR="00E268AB">
        <w:rPr>
          <w:rFonts w:ascii="Times New Roman" w:hAnsi="Times New Roman" w:cs="Times New Roman"/>
          <w:lang w:val="fr-FR"/>
        </w:rPr>
        <w:t>nationales des droits humains</w:t>
      </w:r>
      <w:r w:rsidRPr="00CE79F9">
        <w:rPr>
          <w:rFonts w:ascii="Times New Roman" w:hAnsi="Times New Roman" w:cs="Times New Roman"/>
          <w:lang w:val="fr-FR"/>
        </w:rPr>
        <w:t xml:space="preserve">, aux membres des organisations de la société civile, aux institutions universitaires, aux entreprises et à toutes les autres parties prenantes intéressées. </w:t>
      </w:r>
    </w:p>
    <w:p w14:paraId="22FA68AB" w14:textId="77777777" w:rsidR="00E83A37" w:rsidRPr="00CE79F9" w:rsidRDefault="00E83A37" w:rsidP="00E83A37">
      <w:pPr>
        <w:autoSpaceDE w:val="0"/>
        <w:autoSpaceDN w:val="0"/>
        <w:adjustRightInd w:val="0"/>
        <w:spacing w:line="240" w:lineRule="auto"/>
        <w:jc w:val="both"/>
        <w:rPr>
          <w:rFonts w:ascii="Times New Roman" w:hAnsi="Times New Roman" w:cs="Times New Roman"/>
          <w:lang w:val="fr-FR"/>
        </w:rPr>
      </w:pPr>
    </w:p>
    <w:p w14:paraId="163EA207" w14:textId="77777777" w:rsidR="007E7B3D" w:rsidRDefault="00C77D80">
      <w:pPr>
        <w:autoSpaceDE w:val="0"/>
        <w:autoSpaceDN w:val="0"/>
        <w:adjustRightInd w:val="0"/>
        <w:spacing w:line="240" w:lineRule="auto"/>
        <w:ind w:firstLine="720"/>
        <w:jc w:val="both"/>
        <w:rPr>
          <w:rFonts w:ascii="Times New Roman" w:hAnsi="Times New Roman" w:cs="Times New Roman"/>
          <w:lang w:val="fr-FR"/>
        </w:rPr>
      </w:pPr>
      <w:r w:rsidRPr="00CE79F9">
        <w:rPr>
          <w:rFonts w:ascii="Times New Roman" w:hAnsi="Times New Roman" w:cs="Times New Roman"/>
          <w:lang w:val="fr-FR"/>
        </w:rPr>
        <w:t xml:space="preserve">Les participants au webinaire auront la possibilité de présenter une contribution orale en réponse aux questions ci-dessous. </w:t>
      </w:r>
    </w:p>
    <w:p w14:paraId="0CDD7D49" w14:textId="77777777" w:rsidR="007E7B3D" w:rsidRDefault="007E7B3D">
      <w:pPr>
        <w:autoSpaceDE w:val="0"/>
        <w:autoSpaceDN w:val="0"/>
        <w:adjustRightInd w:val="0"/>
        <w:spacing w:line="240" w:lineRule="auto"/>
        <w:ind w:firstLine="720"/>
        <w:jc w:val="both"/>
        <w:rPr>
          <w:rFonts w:ascii="Times New Roman" w:hAnsi="Times New Roman" w:cs="Times New Roman"/>
          <w:lang w:val="fr-FR"/>
        </w:rPr>
      </w:pPr>
    </w:p>
    <w:p w14:paraId="7B8E33A5" w14:textId="7BF40E1E" w:rsidR="00530A27" w:rsidRPr="00CE79F9" w:rsidRDefault="007E7B3D">
      <w:pPr>
        <w:autoSpaceDE w:val="0"/>
        <w:autoSpaceDN w:val="0"/>
        <w:adjustRightInd w:val="0"/>
        <w:spacing w:line="240" w:lineRule="auto"/>
        <w:ind w:firstLine="720"/>
        <w:jc w:val="both"/>
        <w:rPr>
          <w:rFonts w:ascii="Times New Roman" w:hAnsi="Times New Roman" w:cs="Times New Roman"/>
          <w:lang w:val="fr-FR"/>
        </w:rPr>
      </w:pPr>
      <w:r>
        <w:rPr>
          <w:rFonts w:ascii="Times New Roman" w:hAnsi="Times New Roman" w:cs="Times New Roman"/>
          <w:lang w:val="fr-FR"/>
        </w:rPr>
        <w:t>L’événement se tiendra en anglais ; u</w:t>
      </w:r>
      <w:r w:rsidR="00E268AB">
        <w:rPr>
          <w:rFonts w:ascii="Times New Roman" w:hAnsi="Times New Roman" w:cs="Times New Roman"/>
          <w:lang w:val="fr-FR"/>
        </w:rPr>
        <w:t>n service d’</w:t>
      </w:r>
      <w:r w:rsidR="00E83A37" w:rsidRPr="00CE79F9">
        <w:rPr>
          <w:rFonts w:ascii="Times New Roman" w:hAnsi="Times New Roman" w:cs="Times New Roman"/>
          <w:lang w:val="fr-FR"/>
        </w:rPr>
        <w:t>interprétation en</w:t>
      </w:r>
      <w:r w:rsidR="00E268AB">
        <w:rPr>
          <w:rFonts w:ascii="Times New Roman" w:hAnsi="Times New Roman" w:cs="Times New Roman"/>
          <w:lang w:val="fr-FR"/>
        </w:rPr>
        <w:t xml:space="preserve"> </w:t>
      </w:r>
      <w:r w:rsidR="00E83A37" w:rsidRPr="00CE79F9">
        <w:rPr>
          <w:rFonts w:ascii="Times New Roman" w:hAnsi="Times New Roman" w:cs="Times New Roman"/>
          <w:lang w:val="fr-FR"/>
        </w:rPr>
        <w:t>français et espagnol sera disponible.</w:t>
      </w:r>
    </w:p>
    <w:p w14:paraId="196044BE" w14:textId="77777777" w:rsidR="00E83A37" w:rsidRPr="00CE79F9" w:rsidRDefault="00E83A37" w:rsidP="00E83A37">
      <w:pPr>
        <w:autoSpaceDE w:val="0"/>
        <w:autoSpaceDN w:val="0"/>
        <w:adjustRightInd w:val="0"/>
        <w:spacing w:line="240" w:lineRule="auto"/>
        <w:jc w:val="both"/>
        <w:rPr>
          <w:rFonts w:ascii="Times New Roman" w:hAnsi="Times New Roman" w:cs="Times New Roman"/>
          <w:lang w:val="fr-FR"/>
        </w:rPr>
      </w:pPr>
    </w:p>
    <w:p w14:paraId="1D39F3FC" w14:textId="77777777" w:rsidR="00530A27" w:rsidRPr="00CE79F9" w:rsidRDefault="00C77D80">
      <w:pPr>
        <w:autoSpaceDE w:val="0"/>
        <w:autoSpaceDN w:val="0"/>
        <w:adjustRightInd w:val="0"/>
        <w:spacing w:line="240" w:lineRule="auto"/>
        <w:ind w:firstLine="567"/>
        <w:jc w:val="both"/>
        <w:rPr>
          <w:rFonts w:ascii="Times New Roman" w:hAnsi="Times New Roman" w:cs="Times New Roman"/>
          <w:lang w:val="fr-FR"/>
        </w:rPr>
      </w:pPr>
      <w:r w:rsidRPr="00CE79F9">
        <w:rPr>
          <w:rFonts w:ascii="Times New Roman" w:hAnsi="Times New Roman" w:cs="Times New Roman"/>
          <w:lang w:val="fr-FR"/>
        </w:rPr>
        <w:t>La consultation débutera par un segment général au cours duquel l'Expert indépendant présentera son travail et ses premières réflexions sur la question. Ensuite, les participants seront invités à présenter leurs points de vue et à contribuer à la discussio</w:t>
      </w:r>
      <w:r w:rsidR="00E268AB">
        <w:rPr>
          <w:rFonts w:ascii="Times New Roman" w:hAnsi="Times New Roman" w:cs="Times New Roman"/>
          <w:lang w:val="fr-FR"/>
        </w:rPr>
        <w:t>n. Les personnes souhaitant intervenir pourront s’inscrire au début de la réunion et l'E</w:t>
      </w:r>
      <w:r w:rsidRPr="00CE79F9">
        <w:rPr>
          <w:rFonts w:ascii="Times New Roman" w:hAnsi="Times New Roman" w:cs="Times New Roman"/>
          <w:lang w:val="fr-FR"/>
        </w:rPr>
        <w:t xml:space="preserve">xpert indépendant entendra successivement trois interventions </w:t>
      </w:r>
      <w:r w:rsidR="00631F7D" w:rsidRPr="007E7B3D">
        <w:rPr>
          <w:rFonts w:ascii="Times New Roman" w:hAnsi="Times New Roman" w:cs="Times New Roman"/>
          <w:lang w:val="fr-FR"/>
        </w:rPr>
        <w:t xml:space="preserve">de </w:t>
      </w:r>
      <w:r w:rsidR="00631F7D" w:rsidRPr="007E7B3D">
        <w:rPr>
          <w:rFonts w:ascii="Times New Roman" w:hAnsi="Times New Roman" w:cs="Times New Roman"/>
          <w:lang w:val="fr-FR"/>
        </w:rPr>
        <w:lastRenderedPageBreak/>
        <w:t xml:space="preserve">5 à 10 minutes </w:t>
      </w:r>
      <w:r w:rsidRPr="00CE79F9">
        <w:rPr>
          <w:rFonts w:ascii="Times New Roman" w:hAnsi="Times New Roman" w:cs="Times New Roman"/>
          <w:lang w:val="fr-FR"/>
        </w:rPr>
        <w:t>de chaque groupe de participants, c'est-à-dire des États, des organisations de la société civile et d'autres parties prenantes.</w:t>
      </w:r>
    </w:p>
    <w:p w14:paraId="5351BE8C" w14:textId="77777777" w:rsidR="00E83A37" w:rsidRPr="00CE79F9" w:rsidRDefault="00E83A37" w:rsidP="00263822">
      <w:pPr>
        <w:autoSpaceDE w:val="0"/>
        <w:autoSpaceDN w:val="0"/>
        <w:adjustRightInd w:val="0"/>
        <w:spacing w:line="240" w:lineRule="auto"/>
        <w:jc w:val="both"/>
        <w:rPr>
          <w:rFonts w:ascii="Times New Roman" w:hAnsi="Times New Roman" w:cs="Times New Roman"/>
          <w:b/>
          <w:u w:val="single"/>
          <w:lang w:val="fr-FR"/>
        </w:rPr>
      </w:pPr>
    </w:p>
    <w:p w14:paraId="0207DCF3" w14:textId="50DE8A4C" w:rsidR="00530A27" w:rsidRPr="00CE79F9" w:rsidRDefault="007E7B3D">
      <w:pPr>
        <w:autoSpaceDE w:val="0"/>
        <w:autoSpaceDN w:val="0"/>
        <w:adjustRightInd w:val="0"/>
        <w:spacing w:line="240" w:lineRule="auto"/>
        <w:jc w:val="both"/>
        <w:rPr>
          <w:rFonts w:ascii="Times New Roman" w:hAnsi="Times New Roman" w:cs="Times New Roman"/>
          <w:b/>
          <w:u w:val="single"/>
          <w:lang w:val="fr-FR"/>
        </w:rPr>
      </w:pPr>
      <w:r>
        <w:rPr>
          <w:rFonts w:ascii="Times New Roman" w:hAnsi="Times New Roman" w:cs="Times New Roman"/>
          <w:b/>
          <w:u w:val="single"/>
          <w:lang w:val="fr-FR"/>
        </w:rPr>
        <w:t>Questions guidant les</w:t>
      </w:r>
      <w:r w:rsidR="00C77D80" w:rsidRPr="00CE79F9">
        <w:rPr>
          <w:rFonts w:ascii="Times New Roman" w:hAnsi="Times New Roman" w:cs="Times New Roman"/>
          <w:b/>
          <w:u w:val="single"/>
          <w:lang w:val="fr-FR"/>
        </w:rPr>
        <w:t xml:space="preserve"> contributions</w:t>
      </w:r>
    </w:p>
    <w:p w14:paraId="02B412D3" w14:textId="77777777" w:rsidR="00E83A37" w:rsidRPr="00CE79F9" w:rsidRDefault="00E83A37" w:rsidP="00E83A37">
      <w:pPr>
        <w:autoSpaceDE w:val="0"/>
        <w:autoSpaceDN w:val="0"/>
        <w:adjustRightInd w:val="0"/>
        <w:spacing w:line="240" w:lineRule="auto"/>
        <w:jc w:val="both"/>
        <w:rPr>
          <w:rFonts w:ascii="Times New Roman" w:hAnsi="Times New Roman" w:cs="Times New Roman"/>
          <w:lang w:val="fr-FR"/>
        </w:rPr>
      </w:pPr>
    </w:p>
    <w:p w14:paraId="5142D323" w14:textId="77777777" w:rsidR="00E268AB" w:rsidRPr="00E268AB" w:rsidRDefault="00C77D80" w:rsidP="00E268AB">
      <w:pPr>
        <w:autoSpaceDE w:val="0"/>
        <w:autoSpaceDN w:val="0"/>
        <w:adjustRightInd w:val="0"/>
        <w:spacing w:line="240" w:lineRule="auto"/>
        <w:ind w:firstLine="567"/>
        <w:jc w:val="both"/>
        <w:rPr>
          <w:rFonts w:ascii="Times New Roman" w:hAnsi="Times New Roman" w:cs="Times New Roman"/>
          <w:lang w:val="fr-FR"/>
        </w:rPr>
      </w:pPr>
      <w:r w:rsidRPr="00CE79F9">
        <w:rPr>
          <w:rFonts w:ascii="Times New Roman" w:hAnsi="Times New Roman" w:cs="Times New Roman"/>
          <w:lang w:val="fr-FR"/>
        </w:rPr>
        <w:t>Les questions suivantes peuvent guider les contributions des participants à la consultation :</w:t>
      </w:r>
    </w:p>
    <w:p w14:paraId="0BAAD62E" w14:textId="77777777" w:rsidR="00E268AB" w:rsidRPr="00E268AB" w:rsidRDefault="00E268AB" w:rsidP="00E268AB">
      <w:pPr>
        <w:pStyle w:val="Heading2"/>
        <w:keepNext w:val="0"/>
        <w:keepLines w:val="0"/>
        <w:numPr>
          <w:ilvl w:val="0"/>
          <w:numId w:val="12"/>
        </w:numPr>
        <w:spacing w:before="240" w:line="240" w:lineRule="auto"/>
        <w:contextualSpacing w:val="0"/>
        <w:rPr>
          <w:rFonts w:ascii="Times New Roman" w:hAnsi="Times New Roman" w:cs="Times New Roman"/>
          <w:sz w:val="22"/>
          <w:szCs w:val="22"/>
          <w:u w:val="single"/>
          <w:lang w:val="fr-CH"/>
        </w:rPr>
      </w:pPr>
      <w:r w:rsidRPr="00E268AB">
        <w:rPr>
          <w:rFonts w:ascii="Times New Roman" w:hAnsi="Times New Roman" w:cs="Times New Roman"/>
          <w:sz w:val="22"/>
          <w:szCs w:val="22"/>
          <w:u w:val="single"/>
          <w:lang w:val="fr-CH"/>
        </w:rPr>
        <w:t>Recherche : comprendre les besoins en soins de santé des personnes LGTBI et GNC</w:t>
      </w:r>
    </w:p>
    <w:p w14:paraId="33E76732" w14:textId="77777777" w:rsidR="00E268AB" w:rsidRPr="00E268AB"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L'État (ou tout autre partie prenante) recueille-t-il des données, y compris des données ventilées sur la base de l’orientation sexuelle et/ou de l’identité de genre, sur :</w:t>
      </w:r>
    </w:p>
    <w:p w14:paraId="4F6EC3C0" w14:textId="77777777" w:rsidR="00E268AB" w:rsidRPr="00E268AB" w:rsidRDefault="00E268AB" w:rsidP="00E268AB">
      <w:pPr>
        <w:pStyle w:val="Heading2"/>
        <w:spacing w:before="0" w:after="80"/>
        <w:ind w:left="1225" w:hanging="505"/>
        <w:rPr>
          <w:rFonts w:ascii="Times New Roman" w:hAnsi="Times New Roman" w:cs="Times New Roman"/>
          <w:sz w:val="22"/>
          <w:szCs w:val="22"/>
          <w:lang w:val="fr-CH"/>
        </w:rPr>
      </w:pPr>
      <w:r w:rsidRPr="00E268AB">
        <w:rPr>
          <w:rFonts w:ascii="Times New Roman" w:hAnsi="Times New Roman" w:cs="Times New Roman"/>
          <w:sz w:val="22"/>
          <w:szCs w:val="22"/>
          <w:lang w:val="fr-CH"/>
        </w:rPr>
        <w:t>-</w:t>
      </w:r>
      <w:r w:rsidRPr="00E268AB">
        <w:rPr>
          <w:rFonts w:ascii="Times New Roman" w:hAnsi="Times New Roman" w:cs="Times New Roman"/>
          <w:sz w:val="14"/>
          <w:szCs w:val="14"/>
          <w:lang w:val="fr-CH"/>
        </w:rPr>
        <w:t>             </w:t>
      </w:r>
      <w:r w:rsidRPr="00E268AB">
        <w:rPr>
          <w:rFonts w:ascii="Times New Roman" w:hAnsi="Times New Roman" w:cs="Times New Roman"/>
          <w:sz w:val="22"/>
          <w:szCs w:val="22"/>
          <w:lang w:val="fr-CH"/>
        </w:rPr>
        <w:t>l’accès et/ou la prestation de services de santé ?</w:t>
      </w:r>
    </w:p>
    <w:p w14:paraId="67588DBD" w14:textId="77777777" w:rsidR="00E268AB" w:rsidRPr="00E268AB" w:rsidRDefault="00E268AB" w:rsidP="00E268AB">
      <w:pPr>
        <w:pStyle w:val="Heading2"/>
        <w:spacing w:before="0" w:after="80"/>
        <w:ind w:left="1225" w:hanging="505"/>
        <w:rPr>
          <w:rFonts w:ascii="Times New Roman" w:hAnsi="Times New Roman" w:cs="Times New Roman"/>
          <w:sz w:val="22"/>
          <w:szCs w:val="22"/>
          <w:lang w:val="fr-CH"/>
        </w:rPr>
      </w:pPr>
      <w:r w:rsidRPr="00E268AB">
        <w:rPr>
          <w:rFonts w:ascii="Times New Roman" w:hAnsi="Times New Roman" w:cs="Times New Roman"/>
          <w:sz w:val="22"/>
          <w:szCs w:val="22"/>
          <w:lang w:val="fr-CH"/>
        </w:rPr>
        <w:t>-</w:t>
      </w:r>
      <w:r w:rsidRPr="00E268AB">
        <w:rPr>
          <w:rFonts w:ascii="Times New Roman" w:hAnsi="Times New Roman" w:cs="Times New Roman"/>
          <w:sz w:val="14"/>
          <w:szCs w:val="14"/>
          <w:lang w:val="fr-CH"/>
        </w:rPr>
        <w:t>             </w:t>
      </w:r>
      <w:r w:rsidRPr="00E268AB">
        <w:rPr>
          <w:rFonts w:ascii="Times New Roman" w:hAnsi="Times New Roman" w:cs="Times New Roman"/>
          <w:sz w:val="22"/>
          <w:szCs w:val="22"/>
          <w:lang w:val="fr-CH"/>
        </w:rPr>
        <w:t>le nombre de nouvelles infections au VIH pour 1000 habitants non infectés ?</w:t>
      </w:r>
    </w:p>
    <w:p w14:paraId="4B428891" w14:textId="77777777" w:rsidR="00E268AB" w:rsidRPr="00E268AB" w:rsidRDefault="00E268AB" w:rsidP="00E268AB">
      <w:pPr>
        <w:pStyle w:val="Heading2"/>
        <w:spacing w:before="0" w:after="80"/>
        <w:ind w:left="1225" w:hanging="505"/>
        <w:rPr>
          <w:rFonts w:ascii="Times New Roman" w:hAnsi="Times New Roman" w:cs="Times New Roman"/>
          <w:sz w:val="22"/>
          <w:szCs w:val="22"/>
          <w:lang w:val="fr-CH"/>
        </w:rPr>
      </w:pPr>
      <w:r w:rsidRPr="00E268AB">
        <w:rPr>
          <w:rFonts w:ascii="Times New Roman" w:hAnsi="Times New Roman" w:cs="Times New Roman"/>
          <w:sz w:val="22"/>
          <w:szCs w:val="22"/>
          <w:lang w:val="fr-CH"/>
        </w:rPr>
        <w:t>-</w:t>
      </w:r>
      <w:r w:rsidRPr="00E268AB">
        <w:rPr>
          <w:rFonts w:ascii="Times New Roman" w:hAnsi="Times New Roman" w:cs="Times New Roman"/>
          <w:sz w:val="14"/>
          <w:szCs w:val="14"/>
          <w:lang w:val="fr-CH"/>
        </w:rPr>
        <w:t>             </w:t>
      </w:r>
      <w:r w:rsidRPr="00E268AB">
        <w:rPr>
          <w:rFonts w:ascii="Times New Roman" w:hAnsi="Times New Roman" w:cs="Times New Roman"/>
          <w:sz w:val="22"/>
          <w:szCs w:val="22"/>
          <w:lang w:val="fr-CH"/>
        </w:rPr>
        <w:t>le taux de mortalité par suicide ?</w:t>
      </w:r>
    </w:p>
    <w:p w14:paraId="527DF4A6" w14:textId="77777777" w:rsidR="00E268AB" w:rsidRPr="00E268AB" w:rsidRDefault="00E268AB" w:rsidP="00E268AB">
      <w:pPr>
        <w:pStyle w:val="Heading2"/>
        <w:spacing w:before="0" w:after="80"/>
        <w:ind w:left="1225" w:hanging="505"/>
        <w:rPr>
          <w:rFonts w:ascii="Times New Roman" w:hAnsi="Times New Roman" w:cs="Times New Roman"/>
          <w:sz w:val="22"/>
          <w:szCs w:val="22"/>
          <w:lang w:val="fr-CH"/>
        </w:rPr>
      </w:pPr>
      <w:r w:rsidRPr="00E268AB">
        <w:rPr>
          <w:rFonts w:ascii="Times New Roman" w:hAnsi="Times New Roman" w:cs="Times New Roman"/>
          <w:sz w:val="22"/>
          <w:szCs w:val="22"/>
          <w:lang w:val="fr-CH"/>
        </w:rPr>
        <w:t>-</w:t>
      </w:r>
      <w:r w:rsidRPr="00E268AB">
        <w:rPr>
          <w:rFonts w:ascii="Times New Roman" w:hAnsi="Times New Roman" w:cs="Times New Roman"/>
          <w:sz w:val="14"/>
          <w:szCs w:val="14"/>
          <w:lang w:val="fr-CH"/>
        </w:rPr>
        <w:t>             </w:t>
      </w:r>
      <w:r w:rsidRPr="00E268AB">
        <w:rPr>
          <w:rFonts w:ascii="Times New Roman" w:hAnsi="Times New Roman" w:cs="Times New Roman"/>
          <w:sz w:val="22"/>
          <w:szCs w:val="22"/>
          <w:lang w:val="fr-CH"/>
        </w:rPr>
        <w:t>la couverture des interventions de traitement des troubles liés à l'usage de substances ?</w:t>
      </w:r>
    </w:p>
    <w:p w14:paraId="451F5334" w14:textId="77777777" w:rsidR="00E268AB" w:rsidRPr="00E268AB" w:rsidRDefault="00E268AB" w:rsidP="00E268AB">
      <w:pPr>
        <w:pStyle w:val="Heading2"/>
        <w:spacing w:before="0" w:after="80"/>
        <w:ind w:left="1225" w:hanging="505"/>
        <w:rPr>
          <w:rFonts w:ascii="Times New Roman" w:hAnsi="Times New Roman" w:cs="Times New Roman"/>
          <w:sz w:val="22"/>
          <w:szCs w:val="22"/>
          <w:lang w:val="fr-CH"/>
        </w:rPr>
      </w:pPr>
      <w:r w:rsidRPr="00E268AB">
        <w:rPr>
          <w:rFonts w:ascii="Times New Roman" w:hAnsi="Times New Roman" w:cs="Times New Roman"/>
          <w:sz w:val="22"/>
          <w:szCs w:val="22"/>
          <w:lang w:val="fr-CH"/>
        </w:rPr>
        <w:t>-</w:t>
      </w:r>
      <w:r w:rsidRPr="00E268AB">
        <w:rPr>
          <w:rFonts w:ascii="Times New Roman" w:hAnsi="Times New Roman" w:cs="Times New Roman"/>
          <w:sz w:val="14"/>
          <w:szCs w:val="14"/>
          <w:lang w:val="fr-CH"/>
        </w:rPr>
        <w:t>             </w:t>
      </w:r>
      <w:r w:rsidRPr="00E268AB">
        <w:rPr>
          <w:rFonts w:ascii="Times New Roman" w:hAnsi="Times New Roman" w:cs="Times New Roman"/>
          <w:sz w:val="22"/>
          <w:szCs w:val="22"/>
          <w:lang w:val="fr-CH"/>
        </w:rPr>
        <w:t>l’usage nocif de l'alcool ?</w:t>
      </w:r>
    </w:p>
    <w:p w14:paraId="5DC7D5FE" w14:textId="77777777" w:rsidR="00E268AB" w:rsidRPr="00E268AB" w:rsidRDefault="00E268AB" w:rsidP="00E268AB">
      <w:pPr>
        <w:pStyle w:val="Heading2"/>
        <w:spacing w:before="0" w:after="80"/>
        <w:ind w:left="1225" w:hanging="505"/>
        <w:rPr>
          <w:rFonts w:ascii="Times New Roman" w:hAnsi="Times New Roman" w:cs="Times New Roman"/>
          <w:sz w:val="22"/>
          <w:szCs w:val="22"/>
          <w:lang w:val="fr-CH"/>
        </w:rPr>
      </w:pPr>
      <w:r w:rsidRPr="00E268AB">
        <w:rPr>
          <w:rFonts w:ascii="Times New Roman" w:hAnsi="Times New Roman" w:cs="Times New Roman"/>
          <w:sz w:val="22"/>
          <w:szCs w:val="22"/>
          <w:lang w:val="fr-CH"/>
        </w:rPr>
        <w:t>-</w:t>
      </w:r>
      <w:r w:rsidRPr="00E268AB">
        <w:rPr>
          <w:rFonts w:ascii="Times New Roman" w:hAnsi="Times New Roman" w:cs="Times New Roman"/>
          <w:sz w:val="14"/>
          <w:szCs w:val="14"/>
          <w:lang w:val="fr-CH"/>
        </w:rPr>
        <w:t>             </w:t>
      </w:r>
      <w:r w:rsidRPr="00E268AB">
        <w:rPr>
          <w:rFonts w:ascii="Times New Roman" w:hAnsi="Times New Roman" w:cs="Times New Roman"/>
          <w:sz w:val="22"/>
          <w:szCs w:val="22"/>
          <w:lang w:val="fr-CH"/>
        </w:rPr>
        <w:t>l’accès aux soins de santé sexuelle et reproductive ?</w:t>
      </w:r>
    </w:p>
    <w:p w14:paraId="566964E3" w14:textId="77777777" w:rsidR="00E268AB" w:rsidRPr="00E268AB" w:rsidRDefault="00E268AB" w:rsidP="00E268AB">
      <w:pPr>
        <w:pStyle w:val="Heading2"/>
        <w:spacing w:before="240"/>
        <w:ind w:left="1225" w:hanging="505"/>
        <w:rPr>
          <w:rFonts w:ascii="Times New Roman" w:hAnsi="Times New Roman" w:cs="Times New Roman"/>
          <w:sz w:val="22"/>
          <w:szCs w:val="22"/>
          <w:lang w:val="fr-CH"/>
        </w:rPr>
      </w:pPr>
      <w:r w:rsidRPr="00E268AB">
        <w:rPr>
          <w:rFonts w:ascii="Times New Roman" w:hAnsi="Times New Roman" w:cs="Times New Roman"/>
          <w:sz w:val="22"/>
          <w:szCs w:val="22"/>
          <w:lang w:val="fr-CH"/>
        </w:rPr>
        <w:t>-</w:t>
      </w:r>
      <w:r w:rsidRPr="00E268AB">
        <w:rPr>
          <w:rFonts w:ascii="Times New Roman" w:hAnsi="Times New Roman" w:cs="Times New Roman"/>
          <w:sz w:val="14"/>
          <w:szCs w:val="14"/>
          <w:lang w:val="fr-CH"/>
        </w:rPr>
        <w:t>             </w:t>
      </w:r>
      <w:r w:rsidRPr="00E268AB">
        <w:rPr>
          <w:rFonts w:ascii="Times New Roman" w:hAnsi="Times New Roman" w:cs="Times New Roman"/>
          <w:sz w:val="22"/>
          <w:szCs w:val="22"/>
          <w:lang w:val="fr-CH"/>
        </w:rPr>
        <w:t>la couverture des services de santé essentiels ?</w:t>
      </w:r>
    </w:p>
    <w:p w14:paraId="24503CB9" w14:textId="77777777" w:rsidR="00E268AB" w:rsidRPr="00E268AB" w:rsidRDefault="00E268AB" w:rsidP="00E268AB">
      <w:pPr>
        <w:pStyle w:val="Heading2"/>
        <w:keepNext w:val="0"/>
        <w:keepLines w:val="0"/>
        <w:numPr>
          <w:ilvl w:val="1"/>
          <w:numId w:val="12"/>
        </w:numPr>
        <w:spacing w:before="240" w:line="240" w:lineRule="auto"/>
        <w:ind w:left="788" w:hanging="431"/>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Quelles mesures ont été prises pour rechercher et comprendre les besoins en soins de santé des personnes LGTBI et GNC de tous âges au niveau national ?</w:t>
      </w:r>
    </w:p>
    <w:p w14:paraId="35363A08" w14:textId="77777777" w:rsidR="00E268AB" w:rsidRPr="00E268AB" w:rsidRDefault="00E268AB" w:rsidP="00E268AB">
      <w:pPr>
        <w:pStyle w:val="Heading2"/>
        <w:keepNext w:val="0"/>
        <w:keepLines w:val="0"/>
        <w:numPr>
          <w:ilvl w:val="1"/>
          <w:numId w:val="12"/>
        </w:numPr>
        <w:spacing w:before="0" w:after="8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Ces données sont-elles analysées dans une optique intersectionnelle, par exemple en désagrégeant les données sur la base de l’orientation sexuelle et/ou de l’identité de genre, ainsi que sur la base de l’intersection d’identités multiples, incluant l'origine sociale ou géographique, l'origine ethnique, le statut socio-économique, la nationalité ou le statut migratoire, le statut de minorité, le handicap, le statut autochtone ou autre ?</w:t>
      </w:r>
    </w:p>
    <w:p w14:paraId="7C5D20EA" w14:textId="77777777" w:rsidR="00E268AB" w:rsidRPr="00E268AB" w:rsidRDefault="00E268AB" w:rsidP="00E268AB">
      <w:pPr>
        <w:pStyle w:val="Heading2"/>
        <w:keepNext w:val="0"/>
        <w:keepLines w:val="0"/>
        <w:numPr>
          <w:ilvl w:val="0"/>
          <w:numId w:val="12"/>
        </w:numPr>
        <w:spacing w:before="240" w:line="240" w:lineRule="auto"/>
        <w:contextualSpacing w:val="0"/>
        <w:rPr>
          <w:rFonts w:ascii="Times New Roman" w:hAnsi="Times New Roman" w:cs="Times New Roman"/>
          <w:sz w:val="22"/>
          <w:szCs w:val="22"/>
          <w:u w:val="single"/>
          <w:lang w:val="fr-CH"/>
        </w:rPr>
      </w:pPr>
      <w:r w:rsidRPr="00E268AB">
        <w:rPr>
          <w:rFonts w:ascii="Times New Roman" w:hAnsi="Times New Roman" w:cs="Times New Roman"/>
          <w:sz w:val="22"/>
          <w:szCs w:val="22"/>
          <w:u w:val="single"/>
          <w:lang w:val="fr-CH"/>
        </w:rPr>
        <w:t>Inclusion : personnes LGTBI et GNC dans le processus de prise de décision</w:t>
      </w:r>
    </w:p>
    <w:p w14:paraId="1BC4B350" w14:textId="77777777" w:rsidR="00E268AB" w:rsidRPr="00E268AB" w:rsidRDefault="00E268AB" w:rsidP="00E268AB">
      <w:pPr>
        <w:pStyle w:val="Heading2"/>
        <w:keepNext w:val="0"/>
        <w:keepLines w:val="0"/>
        <w:numPr>
          <w:ilvl w:val="1"/>
          <w:numId w:val="12"/>
        </w:numPr>
        <w:spacing w:before="240" w:line="240" w:lineRule="auto"/>
        <w:ind w:left="788" w:hanging="431"/>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Quelles mesures ont été mises en place pour consulter et inclure les personnes touchées par la violence et la discrimination fondées sur l'orientation sexuelle et l'identité de genre dans la législation et l'élaboration des politiques en ce qui concerne le droit de chaque personne à jouir du meilleur état de santé physique et mentale possible, et par rapport à la réalisation des ODD ?</w:t>
      </w:r>
    </w:p>
    <w:p w14:paraId="641FB2BE" w14:textId="77777777" w:rsidR="00E268AB" w:rsidRPr="00E268AB" w:rsidRDefault="00E268AB" w:rsidP="00E268AB">
      <w:pPr>
        <w:pStyle w:val="Heading2"/>
        <w:keepNext w:val="0"/>
        <w:keepLines w:val="0"/>
        <w:numPr>
          <w:ilvl w:val="1"/>
          <w:numId w:val="12"/>
        </w:numPr>
        <w:spacing w:before="240" w:line="240" w:lineRule="auto"/>
        <w:ind w:left="788" w:hanging="431"/>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Dans quelle mesure les personnes touchées par la violence et la discrimination fondées sur l'orientation sexuelle et l'identité de genre sont-elles incluses dans les politiques et pratiques concernant les soins de santé sexuelle et reproductive ?</w:t>
      </w:r>
    </w:p>
    <w:p w14:paraId="2F190315" w14:textId="77777777" w:rsidR="00E268AB" w:rsidRPr="00E268AB"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Quel soutien ou assistance technique est nécessaire pour garantir que les besoins en soins de santé des personnes touchées par la violence et la discrimination fondées sur l'orientation sexuelle et l'identité de genre soient traités de manière exhaustive et inclus dans les lois, politiques et pratiques pertinentes ?</w:t>
      </w:r>
    </w:p>
    <w:p w14:paraId="7DD99451" w14:textId="3337501C" w:rsidR="00E268AB" w:rsidRPr="007E7B3D"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 xml:space="preserve">Quels sont les principaux obstacles, en droit ou en pratique, pour que les personnes touchées par la violence et la discrimination fondées sur l'orientation sexuelle et l'identité de genre </w:t>
      </w:r>
      <w:r w:rsidRPr="00E268AB">
        <w:rPr>
          <w:rFonts w:ascii="Times New Roman" w:hAnsi="Times New Roman" w:cs="Times New Roman"/>
          <w:sz w:val="22"/>
          <w:szCs w:val="22"/>
          <w:lang w:val="fr-CH"/>
        </w:rPr>
        <w:lastRenderedPageBreak/>
        <w:t>reçoivent des soins qui répondent à leurs besoins et droits en matière de santé physique et mentale ?</w:t>
      </w:r>
    </w:p>
    <w:p w14:paraId="1F1BD4C0" w14:textId="77777777" w:rsidR="00E268AB" w:rsidRPr="00E268AB" w:rsidRDefault="00E268AB" w:rsidP="00E268AB">
      <w:pPr>
        <w:pStyle w:val="Heading2"/>
        <w:keepNext w:val="0"/>
        <w:keepLines w:val="0"/>
        <w:numPr>
          <w:ilvl w:val="0"/>
          <w:numId w:val="12"/>
        </w:numPr>
        <w:spacing w:before="240" w:line="240" w:lineRule="auto"/>
        <w:contextualSpacing w:val="0"/>
        <w:rPr>
          <w:rFonts w:ascii="Times New Roman" w:hAnsi="Times New Roman" w:cs="Times New Roman"/>
          <w:sz w:val="22"/>
          <w:szCs w:val="22"/>
          <w:u w:val="single"/>
          <w:lang w:val="fr-CH"/>
        </w:rPr>
      </w:pPr>
      <w:r w:rsidRPr="00E268AB">
        <w:rPr>
          <w:rFonts w:ascii="Times New Roman" w:hAnsi="Times New Roman" w:cs="Times New Roman"/>
          <w:sz w:val="14"/>
          <w:szCs w:val="14"/>
          <w:u w:val="single"/>
          <w:lang w:val="fr-CH"/>
        </w:rPr>
        <w:t> </w:t>
      </w:r>
      <w:r w:rsidRPr="00E268AB">
        <w:rPr>
          <w:rFonts w:ascii="Times New Roman" w:hAnsi="Times New Roman" w:cs="Times New Roman"/>
          <w:sz w:val="22"/>
          <w:szCs w:val="22"/>
          <w:u w:val="single"/>
          <w:lang w:val="fr-CH"/>
        </w:rPr>
        <w:t>Accès : veiller à ce que les personnes LGTBI et GNC aient accès aux soins de santé</w:t>
      </w:r>
    </w:p>
    <w:p w14:paraId="09BD7DD4" w14:textId="77777777" w:rsidR="00E268AB" w:rsidRPr="00E268AB"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Quelles mesures ont été prises pour garantir l'accès à des services de santé abordables et non discriminatoires aux personnes touchées par la violence et la discrimination fondées sur l'orientation sexuelle et l'identité de genre ?</w:t>
      </w:r>
    </w:p>
    <w:p w14:paraId="4590EAB5" w14:textId="77777777" w:rsidR="00E268AB" w:rsidRPr="00E268AB"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Quelles politiques ou programmes existent pour répondre aux besoins en soins de santé mentale des personnes touchées par la violence et la discrimination fondées sur l'orientation sexuelle et l'identité de genre, en particulier en ce qui concerne la dépression et l'anxiété, les idées suicidaires et la toxicomanie ?</w:t>
      </w:r>
    </w:p>
    <w:p w14:paraId="63890089" w14:textId="77777777" w:rsidR="00E268AB" w:rsidRPr="00E268AB"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Quelles politiques ou programmes existent pour répondre aux besoins en soins de santé des personnes touchées par la violence et la discrimination fondée sur l'orientation sexuelle et l'identité de genre à la suite d'une agression ou d’un acte de violence sexiste ?</w:t>
      </w:r>
    </w:p>
    <w:p w14:paraId="19E67F5C" w14:textId="77777777" w:rsidR="00E268AB" w:rsidRPr="00E268AB"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Des ressources humaines et financières adéquates sont-elles allouées pour mettre en œuvre ces politiques et/ou programmes ?</w:t>
      </w:r>
    </w:p>
    <w:p w14:paraId="3AB09C01" w14:textId="77777777" w:rsidR="00E268AB" w:rsidRPr="00E268AB" w:rsidRDefault="00E268AB" w:rsidP="00E268AB">
      <w:pPr>
        <w:pStyle w:val="Heading2"/>
        <w:keepNext w:val="0"/>
        <w:keepLines w:val="0"/>
        <w:numPr>
          <w:ilvl w:val="0"/>
          <w:numId w:val="12"/>
        </w:numPr>
        <w:spacing w:before="240" w:line="240" w:lineRule="auto"/>
        <w:contextualSpacing w:val="0"/>
        <w:rPr>
          <w:rFonts w:ascii="Times New Roman" w:hAnsi="Times New Roman" w:cs="Times New Roman"/>
          <w:sz w:val="22"/>
          <w:szCs w:val="22"/>
          <w:u w:val="single"/>
          <w:lang w:val="fr-CH"/>
        </w:rPr>
      </w:pPr>
      <w:r w:rsidRPr="00E268AB">
        <w:rPr>
          <w:rFonts w:ascii="Times New Roman" w:hAnsi="Times New Roman" w:cs="Times New Roman"/>
          <w:sz w:val="22"/>
          <w:szCs w:val="22"/>
          <w:u w:val="single"/>
          <w:lang w:val="fr-CH"/>
        </w:rPr>
        <w:t>Formation et éducation : professionnels de la santé et établissements d'enseignement</w:t>
      </w:r>
    </w:p>
    <w:p w14:paraId="245D92F4" w14:textId="77777777" w:rsidR="00E268AB" w:rsidRPr="00E268AB"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L'orientation sexuelle et l'identité de genre, ainsi que les besoins de santé spécifiques des personnes touchées par la violence et la discrimination fondées sur l'orientation sexuelle et l'identité de genre, sont-ils inclus dans la formation et l'éducation des professionnels de la santé ?</w:t>
      </w:r>
    </w:p>
    <w:p w14:paraId="34DB6425" w14:textId="77777777" w:rsidR="00E268AB" w:rsidRPr="00E268AB"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Quelles mesures sont prises pour fournir une éducation sexuelle complète et adaptée à l'âge, incluant la diversité sexuelle et de genre dans les établissements d'enseignement ?</w:t>
      </w:r>
    </w:p>
    <w:p w14:paraId="5F9DC08C" w14:textId="77777777" w:rsidR="00E268AB" w:rsidRPr="00E268AB"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Des lignes directrices fondées sur des données probantes et à jour qui incluent les questions liées à l’orientation sexuelle et l’identité de genre sont-elles disponibles ? Comment sont-elles utilisées pour influencer les décisions liées à la santé sur les politiques, les programmes, les services, y compris les manuels de diagnostic et les pratiques au sein des établissements de soins de santé ?</w:t>
      </w:r>
    </w:p>
    <w:p w14:paraId="41F0A449" w14:textId="77777777" w:rsidR="00E268AB" w:rsidRPr="00E268AB" w:rsidRDefault="00E268AB" w:rsidP="00E268AB">
      <w:pPr>
        <w:pStyle w:val="Heading2"/>
        <w:keepNext w:val="0"/>
        <w:keepLines w:val="0"/>
        <w:numPr>
          <w:ilvl w:val="0"/>
          <w:numId w:val="12"/>
        </w:numPr>
        <w:spacing w:before="240" w:line="240" w:lineRule="auto"/>
        <w:contextualSpacing w:val="0"/>
        <w:rPr>
          <w:rFonts w:ascii="Times New Roman" w:hAnsi="Times New Roman" w:cs="Times New Roman"/>
          <w:sz w:val="22"/>
          <w:szCs w:val="22"/>
          <w:u w:val="single"/>
          <w:lang w:val="fr-CH"/>
        </w:rPr>
      </w:pPr>
      <w:r w:rsidRPr="00E268AB">
        <w:rPr>
          <w:rFonts w:ascii="Times New Roman" w:hAnsi="Times New Roman" w:cs="Times New Roman"/>
          <w:sz w:val="22"/>
          <w:szCs w:val="22"/>
          <w:u w:val="single"/>
          <w:lang w:val="fr-CH"/>
        </w:rPr>
        <w:t>Objectifs de développement durable</w:t>
      </w:r>
    </w:p>
    <w:p w14:paraId="47DB4DCD" w14:textId="77777777" w:rsidR="00E268AB" w:rsidRPr="00E268AB"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Lorsque l'État mesure ses progrès par rapport à l'ODD3, fait-il référence aux résultats et aux besoins de santé des personnes touchées par la violence et la discrimination fondées sur l'orientation sexuelle et l'identité de genre ?</w:t>
      </w:r>
    </w:p>
    <w:p w14:paraId="43447DAD" w14:textId="77777777" w:rsidR="00E268AB" w:rsidRPr="00E268AB" w:rsidRDefault="00E268AB" w:rsidP="00E268AB">
      <w:pPr>
        <w:pStyle w:val="Heading2"/>
        <w:keepNext w:val="0"/>
        <w:keepLines w:val="0"/>
        <w:numPr>
          <w:ilvl w:val="1"/>
          <w:numId w:val="12"/>
        </w:numPr>
        <w:spacing w:before="240" w:line="240" w:lineRule="auto"/>
        <w:contextualSpacing w:val="0"/>
        <w:rPr>
          <w:rFonts w:ascii="Times New Roman" w:hAnsi="Times New Roman" w:cs="Times New Roman"/>
          <w:sz w:val="22"/>
          <w:szCs w:val="22"/>
          <w:lang w:val="fr-CH"/>
        </w:rPr>
      </w:pPr>
      <w:r w:rsidRPr="00E268AB">
        <w:rPr>
          <w:rFonts w:ascii="Times New Roman" w:hAnsi="Times New Roman" w:cs="Times New Roman"/>
          <w:sz w:val="22"/>
          <w:szCs w:val="22"/>
          <w:lang w:val="fr-CH"/>
        </w:rPr>
        <w:t>L'État mesure-t-il les progrès par rapport à l'un des indicateurs suivants de l'ODD3 pour les personnes touchées par la violence et la discrimination fondées sur l'orientation sexuelle et l'identité de genre ? Si oui, veuillez indiquer si les résultats pour la santé s'améliorent ou diminuent :</w:t>
      </w:r>
    </w:p>
    <w:p w14:paraId="35962546" w14:textId="77777777" w:rsidR="00E268AB" w:rsidRPr="00E268AB" w:rsidRDefault="00E268AB" w:rsidP="00E268AB">
      <w:pPr>
        <w:pStyle w:val="NormalWeb"/>
        <w:spacing w:before="0" w:beforeAutospacing="0" w:after="120" w:afterAutospacing="0"/>
        <w:ind w:left="1418" w:hanging="284"/>
        <w:rPr>
          <w:color w:val="000000"/>
          <w:sz w:val="22"/>
          <w:szCs w:val="22"/>
          <w:lang w:val="fr-CH"/>
        </w:rPr>
      </w:pPr>
      <w:r w:rsidRPr="00E268AB">
        <w:rPr>
          <w:color w:val="000000"/>
          <w:sz w:val="22"/>
          <w:szCs w:val="22"/>
          <w:lang w:val="fr-CH"/>
        </w:rPr>
        <w:t>-</w:t>
      </w:r>
      <w:r w:rsidRPr="00E268AB">
        <w:rPr>
          <w:color w:val="000000"/>
          <w:sz w:val="14"/>
          <w:szCs w:val="14"/>
          <w:lang w:val="fr-CH"/>
        </w:rPr>
        <w:t>      </w:t>
      </w:r>
      <w:r w:rsidRPr="00E268AB">
        <w:rPr>
          <w:color w:val="000000"/>
          <w:sz w:val="22"/>
          <w:szCs w:val="22"/>
          <w:lang w:val="fr-CH"/>
        </w:rPr>
        <w:t>Indicateur 3.3.1 : Nombre de nouvelles infections au VIH pour 1 000 habitants non infectés, par sexe, âge et populations clés ;</w:t>
      </w:r>
    </w:p>
    <w:p w14:paraId="5C20B696" w14:textId="77777777" w:rsidR="00E268AB" w:rsidRPr="00E268AB" w:rsidRDefault="00E268AB" w:rsidP="00E268AB">
      <w:pPr>
        <w:pStyle w:val="NormalWeb"/>
        <w:spacing w:before="0" w:beforeAutospacing="0" w:after="120" w:afterAutospacing="0"/>
        <w:ind w:left="1418" w:hanging="284"/>
        <w:rPr>
          <w:color w:val="000000"/>
          <w:sz w:val="22"/>
          <w:szCs w:val="22"/>
          <w:lang w:val="fr-CH"/>
        </w:rPr>
      </w:pPr>
      <w:r w:rsidRPr="00E268AB">
        <w:rPr>
          <w:color w:val="000000"/>
          <w:sz w:val="22"/>
          <w:szCs w:val="22"/>
          <w:lang w:val="fr-CH"/>
        </w:rPr>
        <w:lastRenderedPageBreak/>
        <w:t>-</w:t>
      </w:r>
      <w:r w:rsidRPr="00E268AB">
        <w:rPr>
          <w:color w:val="000000"/>
          <w:sz w:val="14"/>
          <w:szCs w:val="14"/>
          <w:lang w:val="fr-CH"/>
        </w:rPr>
        <w:t>      </w:t>
      </w:r>
      <w:r w:rsidRPr="00E268AB">
        <w:rPr>
          <w:color w:val="000000"/>
          <w:sz w:val="22"/>
          <w:szCs w:val="22"/>
          <w:lang w:val="fr-CH"/>
        </w:rPr>
        <w:t>Indicateur 3.4.2 : Taux de mortalité par suicide ;</w:t>
      </w:r>
    </w:p>
    <w:p w14:paraId="6E096F42" w14:textId="77777777" w:rsidR="00E268AB" w:rsidRPr="00E268AB" w:rsidRDefault="00E268AB" w:rsidP="00E268AB">
      <w:pPr>
        <w:pStyle w:val="NormalWeb"/>
        <w:spacing w:before="0" w:beforeAutospacing="0" w:after="120" w:afterAutospacing="0"/>
        <w:ind w:left="1418" w:hanging="284"/>
        <w:rPr>
          <w:color w:val="000000"/>
          <w:sz w:val="22"/>
          <w:szCs w:val="22"/>
          <w:lang w:val="fr-CH"/>
        </w:rPr>
      </w:pPr>
      <w:r w:rsidRPr="00E268AB">
        <w:rPr>
          <w:color w:val="000000"/>
          <w:sz w:val="22"/>
          <w:szCs w:val="22"/>
          <w:lang w:val="fr-CH"/>
        </w:rPr>
        <w:t>-</w:t>
      </w:r>
      <w:r w:rsidRPr="00E268AB">
        <w:rPr>
          <w:color w:val="000000"/>
          <w:sz w:val="14"/>
          <w:szCs w:val="14"/>
          <w:lang w:val="fr-CH"/>
        </w:rPr>
        <w:t>      </w:t>
      </w:r>
      <w:r w:rsidRPr="00E268AB">
        <w:rPr>
          <w:color w:val="000000"/>
          <w:sz w:val="22"/>
          <w:szCs w:val="22"/>
          <w:lang w:val="fr-CH"/>
        </w:rPr>
        <w:t>Indicateur 3.5.1 : Couverture des interventions de traitement (pharmacologiques, psychosociaux et services de réadaptation et de suivi) pour les troubles liés à l'utilisation de substances ;</w:t>
      </w:r>
    </w:p>
    <w:p w14:paraId="7AFE1DDA" w14:textId="77777777" w:rsidR="00E268AB" w:rsidRPr="00E268AB" w:rsidRDefault="00E268AB" w:rsidP="00E268AB">
      <w:pPr>
        <w:pStyle w:val="NormalWeb"/>
        <w:spacing w:before="0" w:beforeAutospacing="0" w:after="120" w:afterAutospacing="0"/>
        <w:ind w:left="1418" w:hanging="284"/>
        <w:rPr>
          <w:color w:val="000000"/>
          <w:sz w:val="22"/>
          <w:szCs w:val="22"/>
          <w:lang w:val="fr-CH"/>
        </w:rPr>
      </w:pPr>
      <w:r w:rsidRPr="00E268AB">
        <w:rPr>
          <w:color w:val="000000"/>
          <w:sz w:val="22"/>
          <w:szCs w:val="22"/>
          <w:lang w:val="fr-CH"/>
        </w:rPr>
        <w:t>-</w:t>
      </w:r>
      <w:r w:rsidRPr="00E268AB">
        <w:rPr>
          <w:color w:val="000000"/>
          <w:sz w:val="14"/>
          <w:szCs w:val="14"/>
          <w:lang w:val="fr-CH"/>
        </w:rPr>
        <w:t>      </w:t>
      </w:r>
      <w:r w:rsidRPr="00E268AB">
        <w:rPr>
          <w:color w:val="000000"/>
          <w:sz w:val="22"/>
          <w:szCs w:val="22"/>
          <w:lang w:val="fr-CH"/>
        </w:rPr>
        <w:t>Indicateur 3.5.2 : Usage nocif d'alcool, défini selon le contexte national comme la consommation d'alcool par habitant (âgés de 15 ans et plus) au cours d'une année civile en litres d'alcool pur ;</w:t>
      </w:r>
    </w:p>
    <w:p w14:paraId="01CC1D2D" w14:textId="77777777" w:rsidR="00E268AB" w:rsidRPr="00E268AB" w:rsidRDefault="00E268AB" w:rsidP="00E268AB">
      <w:pPr>
        <w:pStyle w:val="NormalWeb"/>
        <w:spacing w:before="0" w:beforeAutospacing="0" w:after="120" w:afterAutospacing="0"/>
        <w:ind w:left="1418" w:hanging="284"/>
        <w:rPr>
          <w:color w:val="000000"/>
          <w:sz w:val="22"/>
          <w:szCs w:val="22"/>
          <w:lang w:val="fr-CH"/>
        </w:rPr>
      </w:pPr>
      <w:r w:rsidRPr="00E268AB">
        <w:rPr>
          <w:color w:val="000000"/>
          <w:sz w:val="22"/>
          <w:szCs w:val="22"/>
          <w:lang w:val="fr-CH"/>
        </w:rPr>
        <w:t>-</w:t>
      </w:r>
      <w:r w:rsidRPr="00E268AB">
        <w:rPr>
          <w:color w:val="000000"/>
          <w:sz w:val="14"/>
          <w:szCs w:val="14"/>
          <w:lang w:val="fr-CH"/>
        </w:rPr>
        <w:t>      </w:t>
      </w:r>
      <w:r w:rsidRPr="00E268AB">
        <w:rPr>
          <w:color w:val="000000"/>
          <w:sz w:val="22"/>
          <w:szCs w:val="22"/>
          <w:lang w:val="fr-CH"/>
        </w:rPr>
        <w:t>Indicateur 3.7.1 : Proportion de femmes en âge de procréer (âgées de 15 à 49 ans) dont le besoin de planification familiale est satisfait par les méthodes modernes, y compris les femmes lesbiennes et bisexuelles et les personnes trans ;</w:t>
      </w:r>
    </w:p>
    <w:p w14:paraId="0E87E6E5" w14:textId="77777777" w:rsidR="00E268AB" w:rsidRPr="00E268AB" w:rsidRDefault="00E268AB" w:rsidP="00E268AB">
      <w:pPr>
        <w:pStyle w:val="NormalWeb"/>
        <w:spacing w:before="0" w:beforeAutospacing="0" w:after="120" w:afterAutospacing="0"/>
        <w:ind w:left="1418" w:hanging="284"/>
        <w:rPr>
          <w:color w:val="000000"/>
          <w:sz w:val="22"/>
          <w:szCs w:val="22"/>
          <w:lang w:val="fr-CH"/>
        </w:rPr>
      </w:pPr>
      <w:r w:rsidRPr="00E268AB">
        <w:rPr>
          <w:color w:val="000000"/>
          <w:sz w:val="22"/>
          <w:szCs w:val="22"/>
          <w:lang w:val="fr-CH"/>
        </w:rPr>
        <w:t>-</w:t>
      </w:r>
      <w:r w:rsidRPr="00E268AB">
        <w:rPr>
          <w:color w:val="000000"/>
          <w:sz w:val="14"/>
          <w:szCs w:val="14"/>
          <w:lang w:val="fr-CH"/>
        </w:rPr>
        <w:t>      </w:t>
      </w:r>
      <w:r w:rsidRPr="00E268AB">
        <w:rPr>
          <w:color w:val="000000"/>
          <w:sz w:val="22"/>
          <w:szCs w:val="22"/>
          <w:lang w:val="fr-CH"/>
        </w:rPr>
        <w:t>Indicateur 3.7.2 : Taux de natalité chez les adolescentes (âgées de 10 à 14 ans ; âgées de 15 à 19 ans) pour 1 000 femmes et hommes trans de ce groupe d'âge, en particulier parmi les jeunes LBT et GNC ;</w:t>
      </w:r>
    </w:p>
    <w:p w14:paraId="0EB1A4BB" w14:textId="77777777" w:rsidR="00E268AB" w:rsidRPr="00E268AB" w:rsidRDefault="00E268AB" w:rsidP="00E268AB">
      <w:pPr>
        <w:pStyle w:val="NormalWeb"/>
        <w:spacing w:before="0" w:beforeAutospacing="0" w:after="120" w:afterAutospacing="0"/>
        <w:ind w:left="1418" w:hanging="284"/>
        <w:rPr>
          <w:color w:val="000000"/>
          <w:sz w:val="22"/>
          <w:szCs w:val="22"/>
          <w:lang w:val="fr-CH"/>
        </w:rPr>
      </w:pPr>
      <w:r w:rsidRPr="00E268AB">
        <w:rPr>
          <w:color w:val="000000"/>
          <w:sz w:val="22"/>
          <w:szCs w:val="22"/>
          <w:lang w:val="fr-CH"/>
        </w:rPr>
        <w:t>-</w:t>
      </w:r>
      <w:r w:rsidRPr="00E268AB">
        <w:rPr>
          <w:color w:val="000000"/>
          <w:sz w:val="14"/>
          <w:szCs w:val="14"/>
          <w:lang w:val="fr-CH"/>
        </w:rPr>
        <w:t>      </w:t>
      </w:r>
      <w:r w:rsidRPr="00E268AB">
        <w:rPr>
          <w:color w:val="000000"/>
          <w:sz w:val="22"/>
          <w:szCs w:val="22"/>
          <w:lang w:val="fr-CH"/>
        </w:rPr>
        <w:t>Indicateur 3.8.1 : Couverture des services de santé essentiels (définie comme la couverture moyenne des services essentiels sur la base des interventions de suivi qui incluent la santé reproductive, maternelle, néonatale et infantile, les maladies infectieuses, les maladies non transmissibles et la capacité et l'accès aux services, parmi les et la population la plus défavorisée) ; et</w:t>
      </w:r>
    </w:p>
    <w:p w14:paraId="500953A1" w14:textId="77777777" w:rsidR="00E268AB" w:rsidRPr="00E268AB" w:rsidRDefault="00E268AB" w:rsidP="00E268AB">
      <w:pPr>
        <w:pStyle w:val="NormalWeb"/>
        <w:spacing w:before="0" w:beforeAutospacing="0" w:after="120" w:afterAutospacing="0"/>
        <w:ind w:left="1418" w:hanging="284"/>
        <w:rPr>
          <w:color w:val="000000"/>
          <w:sz w:val="22"/>
          <w:szCs w:val="22"/>
          <w:lang w:val="fr-CH"/>
        </w:rPr>
      </w:pPr>
      <w:r w:rsidRPr="00E268AB">
        <w:rPr>
          <w:color w:val="000000"/>
          <w:sz w:val="22"/>
          <w:szCs w:val="22"/>
          <w:lang w:val="fr-CH"/>
        </w:rPr>
        <w:t>-</w:t>
      </w:r>
      <w:r w:rsidRPr="00E268AB">
        <w:rPr>
          <w:color w:val="000000"/>
          <w:sz w:val="14"/>
          <w:szCs w:val="14"/>
          <w:lang w:val="fr-CH"/>
        </w:rPr>
        <w:t>      </w:t>
      </w:r>
      <w:r w:rsidRPr="00E268AB">
        <w:rPr>
          <w:color w:val="000000"/>
          <w:sz w:val="22"/>
          <w:szCs w:val="22"/>
          <w:lang w:val="fr-CH"/>
        </w:rPr>
        <w:t>Indicateur 3.8.2 : Proportion de la population dont les ménages dépensent d'importantes dépenses de santé en pourcentage des dépenses ou des revenus totaux du ménage.</w:t>
      </w:r>
    </w:p>
    <w:p w14:paraId="10DA1C16" w14:textId="77777777" w:rsidR="00204486" w:rsidRPr="00E268AB" w:rsidRDefault="00204486" w:rsidP="00A31F14">
      <w:pPr>
        <w:autoSpaceDE w:val="0"/>
        <w:autoSpaceDN w:val="0"/>
        <w:adjustRightInd w:val="0"/>
        <w:spacing w:line="240" w:lineRule="auto"/>
        <w:jc w:val="both"/>
        <w:rPr>
          <w:rFonts w:ascii="Times New Roman" w:hAnsi="Times New Roman" w:cs="Times New Roman"/>
          <w:b/>
          <w:u w:val="single"/>
          <w:lang w:val="fr-CH"/>
        </w:rPr>
      </w:pPr>
    </w:p>
    <w:p w14:paraId="1A742E3E" w14:textId="12A0E38B" w:rsidR="00530A27" w:rsidRPr="00CE79F9" w:rsidRDefault="007E7B3D">
      <w:pPr>
        <w:autoSpaceDE w:val="0"/>
        <w:autoSpaceDN w:val="0"/>
        <w:adjustRightInd w:val="0"/>
        <w:spacing w:line="240" w:lineRule="auto"/>
        <w:jc w:val="both"/>
        <w:rPr>
          <w:rFonts w:ascii="Times New Roman" w:hAnsi="Times New Roman" w:cs="Times New Roman"/>
          <w:b/>
          <w:u w:val="single"/>
          <w:lang w:val="fr-FR"/>
        </w:rPr>
      </w:pPr>
      <w:r>
        <w:rPr>
          <w:rFonts w:ascii="Times New Roman" w:hAnsi="Times New Roman" w:cs="Times New Roman"/>
          <w:b/>
          <w:u w:val="single"/>
          <w:lang w:val="fr-FR"/>
        </w:rPr>
        <w:t>Informations pratiques et de contact</w:t>
      </w:r>
    </w:p>
    <w:p w14:paraId="761EC77A" w14:textId="77777777" w:rsidR="009D16AC" w:rsidRPr="00CE79F9" w:rsidRDefault="009D16AC" w:rsidP="00040497">
      <w:pPr>
        <w:autoSpaceDE w:val="0"/>
        <w:autoSpaceDN w:val="0"/>
        <w:adjustRightInd w:val="0"/>
        <w:spacing w:line="240" w:lineRule="auto"/>
        <w:jc w:val="both"/>
        <w:rPr>
          <w:rFonts w:ascii="Times New Roman" w:hAnsi="Times New Roman" w:cs="Times New Roman"/>
          <w:lang w:val="fr-FR"/>
        </w:rPr>
      </w:pPr>
    </w:p>
    <w:p w14:paraId="15D7940D" w14:textId="155B5D93" w:rsidR="00530A27" w:rsidRDefault="007E7B3D">
      <w:pPr>
        <w:autoSpaceDE w:val="0"/>
        <w:autoSpaceDN w:val="0"/>
        <w:adjustRightInd w:val="0"/>
        <w:spacing w:line="240" w:lineRule="auto"/>
        <w:ind w:firstLine="567"/>
        <w:jc w:val="both"/>
        <w:rPr>
          <w:rFonts w:ascii="Times New Roman" w:hAnsi="Times New Roman" w:cs="Times New Roman"/>
          <w:lang w:val="fr-FR"/>
        </w:rPr>
      </w:pPr>
      <w:r w:rsidRPr="007E7B3D">
        <w:rPr>
          <w:rFonts w:ascii="Times New Roman" w:hAnsi="Times New Roman" w:cs="Times New Roman"/>
          <w:lang w:val="fr-FR"/>
        </w:rPr>
        <w:t>La consultation aura lieu</w:t>
      </w:r>
      <w:r>
        <w:rPr>
          <w:rFonts w:ascii="Times New Roman" w:hAnsi="Times New Roman" w:cs="Times New Roman"/>
          <w:lang w:val="fr-FR"/>
        </w:rPr>
        <w:t xml:space="preserve"> le</w:t>
      </w:r>
      <w:r w:rsidRPr="007E7B3D">
        <w:rPr>
          <w:rFonts w:ascii="Times New Roman" w:hAnsi="Times New Roman" w:cs="Times New Roman"/>
          <w:lang w:val="fr-FR"/>
        </w:rPr>
        <w:t xml:space="preserve"> </w:t>
      </w:r>
      <w:r w:rsidRPr="007E7B3D">
        <w:rPr>
          <w:rFonts w:ascii="Times New Roman" w:hAnsi="Times New Roman" w:cs="Times New Roman"/>
          <w:b/>
          <w:bCs/>
          <w:lang w:val="fr-FR"/>
        </w:rPr>
        <w:t xml:space="preserve">14 </w:t>
      </w:r>
      <w:proofErr w:type="gramStart"/>
      <w:r w:rsidRPr="007E7B3D">
        <w:rPr>
          <w:rFonts w:ascii="Times New Roman" w:hAnsi="Times New Roman" w:cs="Times New Roman"/>
          <w:b/>
          <w:bCs/>
          <w:lang w:val="fr-FR"/>
        </w:rPr>
        <w:t>A</w:t>
      </w:r>
      <w:r w:rsidR="003C5824">
        <w:rPr>
          <w:rFonts w:ascii="Times New Roman" w:hAnsi="Times New Roman" w:cs="Times New Roman"/>
          <w:b/>
          <w:bCs/>
          <w:lang w:val="fr-FR"/>
        </w:rPr>
        <w:t>v</w:t>
      </w:r>
      <w:r w:rsidRPr="007E7B3D">
        <w:rPr>
          <w:rFonts w:ascii="Times New Roman" w:hAnsi="Times New Roman" w:cs="Times New Roman"/>
          <w:b/>
          <w:bCs/>
          <w:lang w:val="fr-FR"/>
        </w:rPr>
        <w:t>ril</w:t>
      </w:r>
      <w:proofErr w:type="gramEnd"/>
      <w:r w:rsidRPr="007E7B3D">
        <w:rPr>
          <w:rFonts w:ascii="Times New Roman" w:hAnsi="Times New Roman" w:cs="Times New Roman"/>
          <w:b/>
          <w:bCs/>
          <w:lang w:val="fr-FR"/>
        </w:rPr>
        <w:t xml:space="preserve"> 2022</w:t>
      </w:r>
      <w:r w:rsidRPr="007E7B3D">
        <w:rPr>
          <w:rFonts w:ascii="Times New Roman" w:hAnsi="Times New Roman" w:cs="Times New Roman"/>
          <w:b/>
          <w:lang w:val="fr-FR"/>
        </w:rPr>
        <w:t xml:space="preserve">, </w:t>
      </w:r>
      <w:bookmarkStart w:id="0" w:name="_Hlk99036146"/>
      <w:r>
        <w:rPr>
          <w:rFonts w:ascii="Times New Roman" w:hAnsi="Times New Roman" w:cs="Times New Roman"/>
          <w:b/>
          <w:lang w:val="fr-FR"/>
        </w:rPr>
        <w:t>de</w:t>
      </w:r>
      <w:r w:rsidRPr="007E7B3D">
        <w:rPr>
          <w:rFonts w:ascii="Times New Roman" w:hAnsi="Times New Roman" w:cs="Times New Roman"/>
          <w:b/>
          <w:lang w:val="fr-FR"/>
        </w:rPr>
        <w:t xml:space="preserve"> </w:t>
      </w:r>
      <w:r w:rsidR="00EB2F02">
        <w:rPr>
          <w:rFonts w:ascii="Times New Roman" w:hAnsi="Times New Roman" w:cs="Times New Roman"/>
          <w:b/>
          <w:lang w:val="fr-FR"/>
        </w:rPr>
        <w:t>10</w:t>
      </w:r>
      <w:r>
        <w:rPr>
          <w:rFonts w:ascii="Times New Roman" w:hAnsi="Times New Roman" w:cs="Times New Roman"/>
          <w:b/>
          <w:lang w:val="fr-FR"/>
        </w:rPr>
        <w:t>h</w:t>
      </w:r>
      <w:r w:rsidRPr="007E7B3D">
        <w:rPr>
          <w:rFonts w:ascii="Times New Roman" w:hAnsi="Times New Roman" w:cs="Times New Roman"/>
          <w:b/>
          <w:lang w:val="fr-FR"/>
        </w:rPr>
        <w:t xml:space="preserve">00 </w:t>
      </w:r>
      <w:r>
        <w:rPr>
          <w:rFonts w:ascii="Times New Roman" w:hAnsi="Times New Roman" w:cs="Times New Roman"/>
          <w:b/>
          <w:lang w:val="fr-FR"/>
        </w:rPr>
        <w:t>à</w:t>
      </w:r>
      <w:r w:rsidRPr="007E7B3D">
        <w:rPr>
          <w:rFonts w:ascii="Times New Roman" w:hAnsi="Times New Roman" w:cs="Times New Roman"/>
          <w:b/>
          <w:lang w:val="fr-FR"/>
        </w:rPr>
        <w:t xml:space="preserve"> 1</w:t>
      </w:r>
      <w:r w:rsidR="00EB2F02">
        <w:rPr>
          <w:rFonts w:ascii="Times New Roman" w:hAnsi="Times New Roman" w:cs="Times New Roman"/>
          <w:b/>
          <w:lang w:val="fr-FR"/>
        </w:rPr>
        <w:t>2</w:t>
      </w:r>
      <w:r>
        <w:rPr>
          <w:rFonts w:ascii="Times New Roman" w:hAnsi="Times New Roman" w:cs="Times New Roman"/>
          <w:b/>
          <w:lang w:val="fr-FR"/>
        </w:rPr>
        <w:t>h</w:t>
      </w:r>
      <w:r w:rsidRPr="007E7B3D">
        <w:rPr>
          <w:rFonts w:ascii="Times New Roman" w:hAnsi="Times New Roman" w:cs="Times New Roman"/>
          <w:b/>
          <w:lang w:val="fr-FR"/>
        </w:rPr>
        <w:t>00 ET / 1</w:t>
      </w:r>
      <w:r w:rsidR="00EB2F02">
        <w:rPr>
          <w:rFonts w:ascii="Times New Roman" w:hAnsi="Times New Roman" w:cs="Times New Roman"/>
          <w:b/>
          <w:lang w:val="fr-FR"/>
        </w:rPr>
        <w:t>6</w:t>
      </w:r>
      <w:r>
        <w:rPr>
          <w:rFonts w:ascii="Times New Roman" w:hAnsi="Times New Roman" w:cs="Times New Roman"/>
          <w:b/>
          <w:lang w:val="fr-FR"/>
        </w:rPr>
        <w:t>h</w:t>
      </w:r>
      <w:r w:rsidRPr="007E7B3D">
        <w:rPr>
          <w:rFonts w:ascii="Times New Roman" w:hAnsi="Times New Roman" w:cs="Times New Roman"/>
          <w:b/>
          <w:lang w:val="fr-FR"/>
        </w:rPr>
        <w:t xml:space="preserve">00 </w:t>
      </w:r>
      <w:r>
        <w:rPr>
          <w:rFonts w:ascii="Times New Roman" w:hAnsi="Times New Roman" w:cs="Times New Roman"/>
          <w:b/>
          <w:lang w:val="fr-FR"/>
        </w:rPr>
        <w:t>à</w:t>
      </w:r>
      <w:r w:rsidRPr="007E7B3D">
        <w:rPr>
          <w:rFonts w:ascii="Times New Roman" w:hAnsi="Times New Roman" w:cs="Times New Roman"/>
          <w:b/>
          <w:lang w:val="fr-FR"/>
        </w:rPr>
        <w:t xml:space="preserve"> 1</w:t>
      </w:r>
      <w:r w:rsidR="00EB2F02">
        <w:rPr>
          <w:rFonts w:ascii="Times New Roman" w:hAnsi="Times New Roman" w:cs="Times New Roman"/>
          <w:b/>
          <w:lang w:val="fr-FR"/>
        </w:rPr>
        <w:t>8</w:t>
      </w:r>
      <w:r>
        <w:rPr>
          <w:rFonts w:ascii="Times New Roman" w:hAnsi="Times New Roman" w:cs="Times New Roman"/>
          <w:b/>
          <w:lang w:val="fr-FR"/>
        </w:rPr>
        <w:t>h</w:t>
      </w:r>
      <w:r w:rsidRPr="007E7B3D">
        <w:rPr>
          <w:rFonts w:ascii="Times New Roman" w:hAnsi="Times New Roman" w:cs="Times New Roman"/>
          <w:b/>
          <w:lang w:val="fr-FR"/>
        </w:rPr>
        <w:t>00 CET</w:t>
      </w:r>
      <w:bookmarkEnd w:id="0"/>
      <w:r w:rsidRPr="007E7B3D">
        <w:rPr>
          <w:rFonts w:ascii="Times New Roman" w:hAnsi="Times New Roman" w:cs="Times New Roman"/>
          <w:lang w:val="fr-FR"/>
        </w:rPr>
        <w:t xml:space="preserve">. </w:t>
      </w:r>
      <w:r w:rsidR="00C77D80" w:rsidRPr="00CE79F9">
        <w:rPr>
          <w:rFonts w:ascii="Times New Roman" w:hAnsi="Times New Roman" w:cs="Times New Roman"/>
          <w:lang w:val="fr-FR"/>
        </w:rPr>
        <w:t xml:space="preserve">Vous pouvez </w:t>
      </w:r>
      <w:r>
        <w:rPr>
          <w:rFonts w:ascii="Times New Roman" w:hAnsi="Times New Roman" w:cs="Times New Roman"/>
          <w:lang w:val="fr-FR"/>
        </w:rPr>
        <w:t>vous inscrire</w:t>
      </w:r>
      <w:r w:rsidR="00C77D80" w:rsidRPr="00CE79F9">
        <w:rPr>
          <w:rFonts w:ascii="Times New Roman" w:hAnsi="Times New Roman" w:cs="Times New Roman"/>
          <w:lang w:val="fr-FR"/>
        </w:rPr>
        <w:t xml:space="preserve"> au </w:t>
      </w:r>
      <w:r w:rsidR="00040497" w:rsidRPr="00CE79F9">
        <w:rPr>
          <w:rFonts w:ascii="Times New Roman" w:hAnsi="Times New Roman" w:cs="Times New Roman"/>
          <w:lang w:val="fr-FR"/>
        </w:rPr>
        <w:t xml:space="preserve">webinaire </w:t>
      </w:r>
      <w:r w:rsidR="00040497" w:rsidRPr="007E7B3D">
        <w:rPr>
          <w:rFonts w:ascii="Times New Roman" w:hAnsi="Times New Roman" w:cs="Times New Roman"/>
          <w:lang w:val="fr-FR"/>
        </w:rPr>
        <w:t>via ce lien</w:t>
      </w:r>
      <w:r w:rsidRPr="007E7B3D">
        <w:rPr>
          <w:rFonts w:ascii="Times New Roman" w:hAnsi="Times New Roman" w:cs="Times New Roman"/>
          <w:lang w:val="fr-FR"/>
        </w:rPr>
        <w:t> :</w:t>
      </w:r>
    </w:p>
    <w:p w14:paraId="6D219F60" w14:textId="026C996B" w:rsidR="00EB2F02" w:rsidRPr="00CE79F9" w:rsidRDefault="00EB2F02" w:rsidP="00EB2F02">
      <w:pPr>
        <w:autoSpaceDE w:val="0"/>
        <w:autoSpaceDN w:val="0"/>
        <w:adjustRightInd w:val="0"/>
        <w:spacing w:line="240" w:lineRule="auto"/>
        <w:jc w:val="both"/>
        <w:rPr>
          <w:rFonts w:ascii="Times New Roman" w:hAnsi="Times New Roman" w:cs="Times New Roman"/>
          <w:lang w:val="fr-FR"/>
        </w:rPr>
      </w:pPr>
      <w:hyperlink r:id="rId13" w:history="1">
        <w:r w:rsidRPr="00336410">
          <w:rPr>
            <w:rStyle w:val="Hyperlink"/>
            <w:rFonts w:ascii="Times New Roman" w:hAnsi="Times New Roman" w:cs="Times New Roman"/>
            <w:lang w:val="fr-FR"/>
          </w:rPr>
          <w:t>https://harvard.zoom.us/webinar/register/WN_MwGn2A3</w:t>
        </w:r>
        <w:r w:rsidRPr="00336410">
          <w:rPr>
            <w:rStyle w:val="Hyperlink"/>
            <w:rFonts w:ascii="Times New Roman" w:hAnsi="Times New Roman" w:cs="Times New Roman"/>
            <w:lang w:val="fr-FR"/>
          </w:rPr>
          <w:t>D</w:t>
        </w:r>
        <w:r w:rsidRPr="00336410">
          <w:rPr>
            <w:rStyle w:val="Hyperlink"/>
            <w:rFonts w:ascii="Times New Roman" w:hAnsi="Times New Roman" w:cs="Times New Roman"/>
            <w:lang w:val="fr-FR"/>
          </w:rPr>
          <w:t>QaCbyLMnR1hbJA</w:t>
        </w:r>
      </w:hyperlink>
    </w:p>
    <w:p w14:paraId="0A576C9A" w14:textId="77777777" w:rsidR="00302BAB" w:rsidRPr="00CE79F9" w:rsidRDefault="00302BAB" w:rsidP="00631F7D">
      <w:pPr>
        <w:autoSpaceDE w:val="0"/>
        <w:autoSpaceDN w:val="0"/>
        <w:adjustRightInd w:val="0"/>
        <w:spacing w:line="240" w:lineRule="auto"/>
        <w:jc w:val="both"/>
        <w:rPr>
          <w:rFonts w:ascii="Times New Roman" w:hAnsi="Times New Roman" w:cs="Times New Roman"/>
          <w:lang w:val="fr-FR"/>
        </w:rPr>
      </w:pPr>
    </w:p>
    <w:p w14:paraId="56EDF40F" w14:textId="326880C1" w:rsidR="00530A27" w:rsidRPr="00CE79F9" w:rsidRDefault="00C77D80">
      <w:pPr>
        <w:autoSpaceDE w:val="0"/>
        <w:autoSpaceDN w:val="0"/>
        <w:adjustRightInd w:val="0"/>
        <w:spacing w:line="240" w:lineRule="auto"/>
        <w:ind w:firstLine="567"/>
        <w:jc w:val="both"/>
        <w:rPr>
          <w:rFonts w:ascii="Times New Roman" w:hAnsi="Times New Roman" w:cs="Times New Roman"/>
          <w:lang w:val="fr-FR"/>
        </w:rPr>
        <w:sectPr w:rsidR="00530A27" w:rsidRPr="00CE79F9" w:rsidSect="00C92CC7">
          <w:headerReference w:type="default" r:id="rId14"/>
          <w:pgSz w:w="11906" w:h="16838" w:code="9"/>
          <w:pgMar w:top="1440" w:right="1440" w:bottom="1440" w:left="1440" w:header="720" w:footer="720" w:gutter="0"/>
          <w:pgNumType w:start="1"/>
          <w:cols w:space="720"/>
          <w:docGrid w:linePitch="299"/>
        </w:sectPr>
      </w:pPr>
      <w:r w:rsidRPr="00CE79F9">
        <w:rPr>
          <w:rFonts w:ascii="Times New Roman" w:hAnsi="Times New Roman" w:cs="Times New Roman"/>
          <w:lang w:val="fr-FR"/>
        </w:rPr>
        <w:t xml:space="preserve">La consultation </w:t>
      </w:r>
      <w:r w:rsidR="00E268AB">
        <w:rPr>
          <w:rFonts w:ascii="Times New Roman" w:hAnsi="Times New Roman" w:cs="Times New Roman"/>
          <w:lang w:val="fr-FR"/>
        </w:rPr>
        <w:t xml:space="preserve">publique </w:t>
      </w:r>
      <w:r w:rsidR="00A52FB6" w:rsidRPr="00CE79F9">
        <w:rPr>
          <w:rFonts w:ascii="Times New Roman" w:hAnsi="Times New Roman" w:cs="Times New Roman"/>
          <w:lang w:val="fr-FR"/>
        </w:rPr>
        <w:t>sera enregistrée. L'</w:t>
      </w:r>
      <w:r w:rsidRPr="00CE79F9">
        <w:rPr>
          <w:rFonts w:ascii="Times New Roman" w:hAnsi="Times New Roman" w:cs="Times New Roman"/>
          <w:lang w:val="fr-FR"/>
        </w:rPr>
        <w:t xml:space="preserve">enregistrement </w:t>
      </w:r>
      <w:r w:rsidR="00302BAB" w:rsidRPr="00CE79F9">
        <w:rPr>
          <w:rFonts w:ascii="Times New Roman" w:hAnsi="Times New Roman" w:cs="Times New Roman"/>
          <w:lang w:val="fr-FR"/>
        </w:rPr>
        <w:t xml:space="preserve">sera disponible auprès du Haut-Commissariat des Nations unies aux </w:t>
      </w:r>
      <w:r w:rsidRPr="00CE79F9">
        <w:rPr>
          <w:rFonts w:ascii="Times New Roman" w:hAnsi="Times New Roman" w:cs="Times New Roman"/>
          <w:lang w:val="fr-FR"/>
        </w:rPr>
        <w:t xml:space="preserve">droits de l'homme pour toute personne qui en fera la demande </w:t>
      </w:r>
      <w:r w:rsidR="00E268AB">
        <w:rPr>
          <w:rFonts w:ascii="Times New Roman" w:hAnsi="Times New Roman" w:cs="Times New Roman"/>
          <w:lang w:val="fr-FR"/>
        </w:rPr>
        <w:t>(</w:t>
      </w:r>
      <w:hyperlink r:id="rId15" w:history="1">
        <w:r w:rsidR="00E268AB" w:rsidRPr="00D3054F">
          <w:rPr>
            <w:rStyle w:val="Hyperlink"/>
            <w:rFonts w:ascii="Times New Roman" w:hAnsi="Times New Roman" w:cs="Times New Roman"/>
            <w:lang w:val="fr-FR"/>
          </w:rPr>
          <w:t>ohchr-ie-sogi@un.org</w:t>
        </w:r>
      </w:hyperlink>
      <w:r w:rsidR="00E268AB">
        <w:rPr>
          <w:rFonts w:ascii="Times New Roman" w:hAnsi="Times New Roman" w:cs="Times New Roman"/>
          <w:lang w:val="fr-FR"/>
        </w:rPr>
        <w:t>)</w:t>
      </w:r>
      <w:r w:rsidR="007E7B3D">
        <w:rPr>
          <w:rFonts w:ascii="Times New Roman" w:hAnsi="Times New Roman" w:cs="Times New Roman"/>
          <w:lang w:val="fr-FR"/>
        </w:rPr>
        <w:t>.</w:t>
      </w:r>
    </w:p>
    <w:p w14:paraId="01B8D26C" w14:textId="77777777" w:rsidR="0073163C" w:rsidRPr="00CE79F9" w:rsidRDefault="0073163C" w:rsidP="00552454">
      <w:pPr>
        <w:pStyle w:val="NoSpacing"/>
        <w:rPr>
          <w:rFonts w:ascii="Times New Roman" w:eastAsia="Times New Roman" w:hAnsi="Times New Roman" w:cs="Times New Roman"/>
          <w:b/>
          <w:u w:val="single"/>
          <w:lang w:val="fr-FR"/>
        </w:rPr>
        <w:sectPr w:rsidR="0073163C" w:rsidRPr="00CE79F9" w:rsidSect="00552454">
          <w:type w:val="continuous"/>
          <w:pgSz w:w="11906" w:h="16838" w:code="9"/>
          <w:pgMar w:top="1440" w:right="1440" w:bottom="1440" w:left="1440" w:header="720" w:footer="720" w:gutter="0"/>
          <w:pgNumType w:start="1"/>
          <w:cols w:num="4" w:space="288"/>
          <w:docGrid w:linePitch="299"/>
        </w:sectPr>
      </w:pPr>
    </w:p>
    <w:p w14:paraId="6B2F5477" w14:textId="77777777" w:rsidR="00530A27" w:rsidRPr="00CE79F9" w:rsidRDefault="00C77D80" w:rsidP="007E7B3D">
      <w:pPr>
        <w:autoSpaceDE w:val="0"/>
        <w:autoSpaceDN w:val="0"/>
        <w:adjustRightInd w:val="0"/>
        <w:spacing w:line="240" w:lineRule="auto"/>
        <w:ind w:firstLine="567"/>
        <w:jc w:val="both"/>
        <w:rPr>
          <w:rFonts w:ascii="Times New Roman" w:hAnsi="Times New Roman" w:cs="Times New Roman"/>
          <w:lang w:val="fr-FR"/>
        </w:rPr>
      </w:pPr>
      <w:r w:rsidRPr="00CE79F9">
        <w:rPr>
          <w:rFonts w:ascii="Times New Roman" w:hAnsi="Times New Roman" w:cs="Times New Roman"/>
          <w:lang w:val="fr-FR"/>
        </w:rPr>
        <w:t xml:space="preserve">Pour toute autre question ou clarification, </w:t>
      </w:r>
      <w:r w:rsidR="00E268AB">
        <w:rPr>
          <w:rFonts w:ascii="Times New Roman" w:hAnsi="Times New Roman" w:cs="Times New Roman"/>
          <w:lang w:val="fr-FR"/>
        </w:rPr>
        <w:t>n'hésitez pas à</w:t>
      </w:r>
      <w:r w:rsidRPr="00CE79F9">
        <w:rPr>
          <w:rFonts w:ascii="Times New Roman" w:hAnsi="Times New Roman" w:cs="Times New Roman"/>
          <w:lang w:val="fr-FR"/>
        </w:rPr>
        <w:t xml:space="preserve"> contacter </w:t>
      </w:r>
      <w:r w:rsidR="00E268AB">
        <w:rPr>
          <w:rFonts w:ascii="Times New Roman" w:hAnsi="Times New Roman" w:cs="Times New Roman"/>
          <w:lang w:val="fr-FR"/>
        </w:rPr>
        <w:t>l’Expert Indépendant par l'intermédiaire du Haut-</w:t>
      </w:r>
      <w:r w:rsidRPr="00CE79F9">
        <w:rPr>
          <w:rFonts w:ascii="Times New Roman" w:hAnsi="Times New Roman" w:cs="Times New Roman"/>
          <w:lang w:val="fr-FR"/>
        </w:rPr>
        <w:t>Commissariat des Nations Unies aux droits de l'homme (</w:t>
      </w:r>
      <w:r w:rsidR="00627EB9" w:rsidRPr="00CE79F9">
        <w:rPr>
          <w:rFonts w:ascii="Times New Roman" w:hAnsi="Times New Roman" w:cs="Times New Roman"/>
          <w:lang w:val="fr-FR"/>
        </w:rPr>
        <w:t xml:space="preserve">Manon Beury, </w:t>
      </w:r>
      <w:hyperlink r:id="rId16" w:history="1">
        <w:r w:rsidR="00627EB9" w:rsidRPr="00CE79F9">
          <w:rPr>
            <w:rStyle w:val="Hyperlink"/>
            <w:rFonts w:ascii="Times New Roman" w:hAnsi="Times New Roman" w:cs="Times New Roman"/>
            <w:lang w:val="fr-FR"/>
          </w:rPr>
          <w:t>manon.beury@un.org</w:t>
        </w:r>
      </w:hyperlink>
      <w:r w:rsidR="00631F7D" w:rsidRPr="00CE79F9">
        <w:rPr>
          <w:rFonts w:ascii="Times New Roman" w:hAnsi="Times New Roman" w:cs="Times New Roman"/>
          <w:lang w:val="fr-FR"/>
        </w:rPr>
        <w:t xml:space="preserve"> ou </w:t>
      </w:r>
      <w:hyperlink r:id="rId17" w:history="1">
        <w:r w:rsidR="00E268AB" w:rsidRPr="00D3054F">
          <w:rPr>
            <w:rStyle w:val="Hyperlink"/>
            <w:rFonts w:ascii="Times New Roman" w:hAnsi="Times New Roman" w:cs="Times New Roman"/>
            <w:lang w:val="fr-FR"/>
          </w:rPr>
          <w:t>ohchr-ie-sogi@un.org</w:t>
        </w:r>
      </w:hyperlink>
      <w:r w:rsidR="00E268AB">
        <w:rPr>
          <w:rFonts w:ascii="Times New Roman" w:hAnsi="Times New Roman" w:cs="Times New Roman"/>
          <w:lang w:val="fr-FR"/>
        </w:rPr>
        <w:t>).</w:t>
      </w:r>
      <w:r w:rsidR="00B25712" w:rsidRPr="00CE79F9">
        <w:rPr>
          <w:rFonts w:ascii="Times New Roman" w:hAnsi="Times New Roman" w:cs="Times New Roman"/>
          <w:lang w:val="fr-FR"/>
        </w:rPr>
        <w:t xml:space="preserve"> </w:t>
      </w:r>
    </w:p>
    <w:p w14:paraId="11C83A91" w14:textId="77777777" w:rsidR="00336B4B" w:rsidRPr="00CE79F9" w:rsidRDefault="00336B4B" w:rsidP="0018507C">
      <w:pPr>
        <w:autoSpaceDE w:val="0"/>
        <w:autoSpaceDN w:val="0"/>
        <w:adjustRightInd w:val="0"/>
        <w:spacing w:line="240" w:lineRule="auto"/>
        <w:ind w:firstLine="567"/>
        <w:jc w:val="both"/>
        <w:rPr>
          <w:rFonts w:ascii="Times New Roman" w:hAnsi="Times New Roman" w:cs="Times New Roman"/>
          <w:lang w:val="fr-FR"/>
        </w:rPr>
      </w:pPr>
    </w:p>
    <w:p w14:paraId="497B7E5A" w14:textId="77777777" w:rsidR="00530A27" w:rsidRDefault="00C77D80">
      <w:pPr>
        <w:jc w:val="center"/>
        <w:rPr>
          <w:rFonts w:ascii="Times New Roman" w:hAnsi="Times New Roman" w:cs="Times New Roman"/>
          <w:lang w:eastAsia="en-GB"/>
        </w:rPr>
      </w:pPr>
      <w:r>
        <w:rPr>
          <w:rFonts w:ascii="Times New Roman" w:hAnsi="Times New Roman" w:cs="Times New Roman"/>
        </w:rPr>
        <w:t>***</w:t>
      </w:r>
    </w:p>
    <w:sectPr w:rsidR="00530A27" w:rsidSect="009231C0">
      <w:type w:val="continuous"/>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F75B" w14:textId="77777777" w:rsidR="00305601" w:rsidRDefault="00305601">
      <w:pPr>
        <w:spacing w:line="240" w:lineRule="auto"/>
      </w:pPr>
      <w:r>
        <w:separator/>
      </w:r>
    </w:p>
  </w:endnote>
  <w:endnote w:type="continuationSeparator" w:id="0">
    <w:p w14:paraId="46AB4331" w14:textId="77777777" w:rsidR="00305601" w:rsidRDefault="00305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Helvetica Neue">
    <w:altName w:val="Corbel"/>
    <w:charset w:val="00"/>
    <w:family w:val="auto"/>
    <w:pitch w:val="default"/>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2CF2" w14:textId="77777777" w:rsidR="00305601" w:rsidRDefault="00305601">
      <w:pPr>
        <w:spacing w:line="240" w:lineRule="auto"/>
      </w:pPr>
      <w:r>
        <w:separator/>
      </w:r>
    </w:p>
  </w:footnote>
  <w:footnote w:type="continuationSeparator" w:id="0">
    <w:p w14:paraId="66B2AF7E" w14:textId="77777777" w:rsidR="00305601" w:rsidRDefault="00305601">
      <w:pPr>
        <w:spacing w:line="240" w:lineRule="auto"/>
      </w:pPr>
      <w:r>
        <w:continuationSeparator/>
      </w:r>
    </w:p>
  </w:footnote>
  <w:footnote w:id="1">
    <w:p w14:paraId="086A9E7A" w14:textId="77777777" w:rsidR="00530A27" w:rsidRPr="00CE79F9" w:rsidRDefault="00C77D80">
      <w:pPr>
        <w:pStyle w:val="FootnoteText"/>
        <w:jc w:val="both"/>
        <w:rPr>
          <w:rFonts w:ascii="Times New Roman" w:hAnsi="Times New Roman" w:cs="Times New Roman"/>
          <w:lang w:val="fr-FR"/>
        </w:rPr>
      </w:pPr>
      <w:r w:rsidRPr="007D6BA8">
        <w:rPr>
          <w:rStyle w:val="FootnoteReference"/>
          <w:rFonts w:ascii="Times New Roman" w:hAnsi="Times New Roman" w:cs="Times New Roman"/>
        </w:rPr>
        <w:footnoteRef/>
      </w:r>
      <w:r w:rsidRPr="00CE79F9">
        <w:rPr>
          <w:rFonts w:ascii="Times New Roman" w:hAnsi="Times New Roman" w:cs="Times New Roman"/>
          <w:lang w:val="fr-FR"/>
        </w:rPr>
        <w:t xml:space="preserve"> Voir le rapport de l'IE SOGI à la 44e session du Conseil des droits de l'homme, A/HRC/44/53, disponible sur </w:t>
      </w:r>
      <w:hyperlink r:id="rId1" w:history="1">
        <w:r w:rsidRPr="00CE79F9">
          <w:rPr>
            <w:rStyle w:val="Hyperlink"/>
            <w:rFonts w:ascii="Times New Roman" w:hAnsi="Times New Roman" w:cs="Times New Roman"/>
            <w:lang w:val="fr-FR"/>
          </w:rPr>
          <w:t>https://www.ohchr.org/EN/Issues/SexualOrientationGender/Pages/ReportOnConversiontherapy.aspx.</w:t>
        </w:r>
      </w:hyperlink>
      <w:r w:rsidRPr="00CE79F9">
        <w:rPr>
          <w:rFonts w:ascii="Times New Roman" w:hAnsi="Times New Roman" w:cs="Times New Roman"/>
          <w:lang w:val="fr-FR"/>
        </w:rPr>
        <w:t xml:space="preserve"> </w:t>
      </w:r>
    </w:p>
  </w:footnote>
  <w:footnote w:id="2">
    <w:p w14:paraId="7D4E6564" w14:textId="77777777" w:rsidR="00530A27" w:rsidRDefault="00C77D80">
      <w:pPr>
        <w:pStyle w:val="FootnoteText"/>
        <w:jc w:val="both"/>
        <w:rPr>
          <w:rFonts w:ascii="Times New Roman" w:hAnsi="Times New Roman" w:cs="Times New Roman"/>
        </w:rPr>
      </w:pPr>
      <w:r w:rsidRPr="00AE3CF0">
        <w:rPr>
          <w:rStyle w:val="FootnoteReference"/>
          <w:rFonts w:ascii="Times New Roman" w:hAnsi="Times New Roman" w:cs="Times New Roman"/>
        </w:rPr>
        <w:footnoteRef/>
      </w:r>
      <w:r w:rsidRPr="007E7B3D">
        <w:rPr>
          <w:rFonts w:ascii="Times New Roman" w:hAnsi="Times New Roman" w:cs="Times New Roman"/>
          <w:lang w:val="es-ES"/>
        </w:rPr>
        <w:t xml:space="preserve"> CEDAW/C/BEL/CO/7, 2014, para. 44 ; voir aussi CEDAW/C/NLD/CO/5, 2010, para. 46-47, CCPR/C/KOR/CO/4, 2015, para.14, CCPR/C/UKR/CO/7, para. </w:t>
      </w:r>
      <w:r w:rsidRPr="00AE3CF0">
        <w:rPr>
          <w:rFonts w:ascii="Times New Roman" w:hAnsi="Times New Roman" w:cs="Times New Roman"/>
        </w:rPr>
        <w:t>10, CAT/C/CHN-HKG/CO/5, 2016, para.28.</w:t>
      </w:r>
    </w:p>
  </w:footnote>
  <w:footnote w:id="3">
    <w:p w14:paraId="43949A93" w14:textId="77777777" w:rsidR="00530A27" w:rsidRPr="007E7B3D" w:rsidRDefault="00C77D80">
      <w:pPr>
        <w:pStyle w:val="FootnoteText"/>
        <w:rPr>
          <w:rFonts w:ascii="Times New Roman" w:hAnsi="Times New Roman" w:cs="Times New Roman"/>
          <w:lang w:val="fr-FR"/>
        </w:rPr>
      </w:pPr>
      <w:r w:rsidRPr="003B1978">
        <w:rPr>
          <w:rStyle w:val="FootnoteReference"/>
          <w:rFonts w:ascii="Times New Roman" w:hAnsi="Times New Roman" w:cs="Times New Roman"/>
        </w:rPr>
        <w:footnoteRef/>
      </w:r>
      <w:r w:rsidR="003B1978" w:rsidRPr="007E7B3D">
        <w:rPr>
          <w:rFonts w:ascii="Times New Roman" w:hAnsi="Times New Roman" w:cs="Times New Roman"/>
          <w:lang w:val="fr-FR"/>
        </w:rPr>
        <w:t xml:space="preserve"> Voir A/56/156, 2001, paragraphe 24 ; A/HRC/14/20, 2010, paragraphe 23.</w:t>
      </w:r>
    </w:p>
  </w:footnote>
  <w:footnote w:id="4">
    <w:p w14:paraId="36FACCF3" w14:textId="77777777" w:rsidR="00530A27" w:rsidRPr="00B05BC0" w:rsidRDefault="00C77D80">
      <w:pPr>
        <w:pStyle w:val="FootnoteText"/>
        <w:rPr>
          <w:rFonts w:ascii="Times New Roman" w:hAnsi="Times New Roman" w:cs="Times New Roman"/>
          <w:lang w:val="fr-FR"/>
        </w:rPr>
      </w:pPr>
      <w:r w:rsidRPr="00D55C32">
        <w:rPr>
          <w:rStyle w:val="FootnoteReference"/>
          <w:rFonts w:ascii="Times New Roman" w:hAnsi="Times New Roman" w:cs="Times New Roman"/>
        </w:rPr>
        <w:footnoteRef/>
      </w:r>
      <w:r w:rsidRPr="00B05BC0">
        <w:rPr>
          <w:rFonts w:ascii="Times New Roman" w:hAnsi="Times New Roman" w:cs="Times New Roman"/>
          <w:lang w:val="fr-FR"/>
        </w:rPr>
        <w:t xml:space="preserve"> Voir </w:t>
      </w:r>
      <w:r w:rsidR="00EB2F02">
        <w:fldChar w:fldCharType="begin"/>
      </w:r>
      <w:r w:rsidR="00EB2F02" w:rsidRPr="00EB2F02">
        <w:rPr>
          <w:lang w:val="fr-FR"/>
        </w:rPr>
        <w:instrText xml:space="preserve"> HYPERLINK </w:instrText>
      </w:r>
      <w:r w:rsidR="00EB2F02">
        <w:fldChar w:fldCharType="separate"/>
      </w:r>
      <w:r w:rsidR="00EB2F02">
        <w:fldChar w:fldCharType="end"/>
      </w:r>
      <w:r w:rsidR="00B05BC0" w:rsidRPr="00B05BC0">
        <w:rPr>
          <w:lang w:val="fr-FR"/>
        </w:rPr>
        <w:t xml:space="preserve"> </w:t>
      </w:r>
      <w:hyperlink r:id="rId2" w:history="1">
        <w:r w:rsidR="00B05BC0" w:rsidRPr="00B05BC0">
          <w:rPr>
            <w:rStyle w:val="Hyperlink"/>
            <w:rFonts w:ascii="Times New Roman" w:hAnsi="Times New Roman" w:cs="Times New Roman"/>
            <w:lang w:val="fr-FR"/>
          </w:rPr>
          <w:t>https://sdgs.un.org/fr/goals/goal3</w:t>
        </w:r>
      </w:hyperlink>
      <w:r w:rsidR="00B05BC0">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84B7" w14:textId="77777777" w:rsidR="00530A27" w:rsidRDefault="00C77D80">
    <w:pPr>
      <w:pStyle w:val="NoSpacing"/>
      <w:jc w:val="center"/>
      <w:rPr>
        <w:sz w:val="14"/>
        <w:szCs w:val="14"/>
      </w:rPr>
    </w:pPr>
    <w:r>
      <w:rPr>
        <w:noProof/>
        <w:lang w:eastAsia="en-GB"/>
      </w:rPr>
      <w:drawing>
        <wp:anchor distT="0" distB="0" distL="114300" distR="114300" simplePos="0" relativeHeight="251658240" behindDoc="1" locked="0" layoutInCell="1" allowOverlap="1" wp14:anchorId="50A28A13" wp14:editId="0697CB9B">
          <wp:simplePos x="0" y="0"/>
          <wp:positionH relativeFrom="column">
            <wp:posOffset>872490</wp:posOffset>
          </wp:positionH>
          <wp:positionV relativeFrom="paragraph">
            <wp:posOffset>-90170</wp:posOffset>
          </wp:positionV>
          <wp:extent cx="3962400" cy="723900"/>
          <wp:effectExtent l="0" t="0" r="0" b="0"/>
          <wp:wrapTight wrapText="bothSides">
            <wp:wrapPolygon edited="0">
              <wp:start x="0" y="0"/>
              <wp:lineTo x="0" y="21032"/>
              <wp:lineTo x="21496" y="21032"/>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9366D" w14:textId="77777777" w:rsidR="00442571" w:rsidRDefault="00442571" w:rsidP="00C92CC7">
    <w:pPr>
      <w:pStyle w:val="NoSpacing"/>
      <w:jc w:val="center"/>
      <w:rPr>
        <w:sz w:val="14"/>
        <w:szCs w:val="14"/>
      </w:rPr>
    </w:pPr>
  </w:p>
  <w:p w14:paraId="11F9B430" w14:textId="77777777" w:rsidR="00442571" w:rsidRDefault="00442571" w:rsidP="00C92CC7">
    <w:pPr>
      <w:pStyle w:val="NoSpacing"/>
      <w:jc w:val="center"/>
      <w:rPr>
        <w:sz w:val="14"/>
        <w:szCs w:val="14"/>
      </w:rPr>
    </w:pPr>
  </w:p>
  <w:p w14:paraId="33825EF1" w14:textId="77777777" w:rsidR="00442571" w:rsidRDefault="00442571" w:rsidP="00C92CC7">
    <w:pPr>
      <w:pStyle w:val="NoSpacing"/>
      <w:jc w:val="center"/>
      <w:rPr>
        <w:sz w:val="14"/>
        <w:szCs w:val="14"/>
      </w:rPr>
    </w:pPr>
  </w:p>
  <w:p w14:paraId="2B8124A9" w14:textId="77777777" w:rsidR="00442571" w:rsidRDefault="00442571" w:rsidP="00C92CC7">
    <w:pPr>
      <w:pStyle w:val="NoSpacing"/>
      <w:jc w:val="center"/>
      <w:rPr>
        <w:sz w:val="14"/>
        <w:szCs w:val="14"/>
      </w:rPr>
    </w:pPr>
  </w:p>
  <w:p w14:paraId="14682A75" w14:textId="77777777" w:rsidR="00442571" w:rsidRDefault="00442571" w:rsidP="00C92CC7">
    <w:pPr>
      <w:pStyle w:val="NoSpacing"/>
      <w:jc w:val="center"/>
      <w:rPr>
        <w:sz w:val="14"/>
        <w:szCs w:val="14"/>
      </w:rPr>
    </w:pPr>
  </w:p>
  <w:p w14:paraId="7B3193C8" w14:textId="77777777" w:rsidR="00442571" w:rsidRDefault="00442571" w:rsidP="00C92CC7">
    <w:pPr>
      <w:pStyle w:val="NoSpacing"/>
      <w:jc w:val="center"/>
      <w:rPr>
        <w:sz w:val="14"/>
        <w:szCs w:val="14"/>
      </w:rPr>
    </w:pPr>
  </w:p>
  <w:p w14:paraId="37FF5239" w14:textId="77777777" w:rsidR="00530A27" w:rsidRPr="00CE79F9" w:rsidRDefault="00C77D80">
    <w:pPr>
      <w:pStyle w:val="NoSpacing"/>
      <w:jc w:val="center"/>
      <w:rPr>
        <w:lang w:val="fr-FR"/>
      </w:rPr>
    </w:pPr>
    <w:r w:rsidRPr="00CE79F9">
      <w:rPr>
        <w:sz w:val="14"/>
        <w:szCs w:val="14"/>
        <w:lang w:val="fr-FR"/>
      </w:rPr>
      <w:t>HAUT-COMMISSARIAT AUX DROITS DE L'HOMME - HAUT DE HAUT DE HAUT DE HAUT DE HAUT DE HAUT DE DROITS DE L'DU L'HOMME</w:t>
    </w:r>
  </w:p>
  <w:p w14:paraId="59022434" w14:textId="77777777" w:rsidR="00530A27" w:rsidRDefault="00C77D80">
    <w:pPr>
      <w:jc w:val="center"/>
      <w:rPr>
        <w:lang w:val="fr-CH"/>
      </w:rPr>
    </w:pPr>
    <w:r w:rsidRPr="0018507C">
      <w:rPr>
        <w:sz w:val="14"/>
        <w:szCs w:val="14"/>
        <w:lang w:val="fr-CH"/>
      </w:rPr>
      <w:t>PALAIS DES NATIONS • 1211 GENEVA 10, SWITZERLAND</w:t>
    </w:r>
  </w:p>
  <w:p w14:paraId="4233D461" w14:textId="77777777" w:rsidR="00530A27" w:rsidRDefault="00C77D80">
    <w:pPr>
      <w:spacing w:before="80" w:after="360"/>
      <w:jc w:val="center"/>
      <w:rPr>
        <w:lang w:val="fr-CH"/>
      </w:rPr>
    </w:pPr>
    <w:r w:rsidRPr="0018507C">
      <w:rPr>
        <w:sz w:val="14"/>
        <w:szCs w:val="14"/>
        <w:lang w:val="fr-CH"/>
      </w:rPr>
      <w:t xml:space="preserve">www.ohchr.org - TEL : +41 22 917 9000 - FAX : +41 22 917 9008 - E-MAIL : </w:t>
    </w:r>
    <w:r w:rsidR="00C92CC7" w:rsidRPr="0018507C">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82402C"/>
    <w:lvl w:ilvl="0">
      <w:numFmt w:val="bullet"/>
      <w:lvlText w:val="*"/>
      <w:lvlJc w:val="left"/>
    </w:lvl>
  </w:abstractNum>
  <w:abstractNum w:abstractNumId="1" w15:restartNumberingAfterBreak="0">
    <w:nsid w:val="054B325C"/>
    <w:multiLevelType w:val="hybridMultilevel"/>
    <w:tmpl w:val="A00C65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742A3"/>
    <w:multiLevelType w:val="hybridMultilevel"/>
    <w:tmpl w:val="35B6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777A4"/>
    <w:multiLevelType w:val="hybridMultilevel"/>
    <w:tmpl w:val="47E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430E"/>
    <w:multiLevelType w:val="hybridMultilevel"/>
    <w:tmpl w:val="02BE9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73E4E"/>
    <w:multiLevelType w:val="multilevel"/>
    <w:tmpl w:val="5112A45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A00C75"/>
    <w:multiLevelType w:val="multilevel"/>
    <w:tmpl w:val="163A1CCC"/>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lowerLetter"/>
      <w:lvlText w:val="%3."/>
      <w:lvlJc w:val="left"/>
      <w:pPr>
        <w:ind w:left="1800" w:hanging="360"/>
      </w:pPr>
      <w:rPr>
        <w:rFonts w:ascii="Helvetica Neue" w:eastAsia="Helvetica Neue" w:hAnsi="Helvetica Neue" w:cs="Helvetica Neue"/>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498E0387"/>
    <w:multiLevelType w:val="hybridMultilevel"/>
    <w:tmpl w:val="0064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0B3706"/>
    <w:multiLevelType w:val="hybridMultilevel"/>
    <w:tmpl w:val="4480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3F5306"/>
    <w:multiLevelType w:val="multilevel"/>
    <w:tmpl w:val="B0F8A7C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C04C6C"/>
    <w:multiLevelType w:val="hybridMultilevel"/>
    <w:tmpl w:val="2DFEF49C"/>
    <w:lvl w:ilvl="0" w:tplc="4EE4D0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4"/>
  </w:num>
  <w:num w:numId="3">
    <w:abstractNumId w:val="9"/>
  </w:num>
  <w:num w:numId="4">
    <w:abstractNumId w:val="1"/>
  </w:num>
  <w:num w:numId="5">
    <w:abstractNumId w:val="0"/>
    <w:lvlOverride w:ilvl="0">
      <w:lvl w:ilvl="0">
        <w:numFmt w:val="bullet"/>
        <w:lvlText w:val="o"/>
        <w:legacy w:legacy="1" w:legacySpace="0" w:legacyIndent="0"/>
        <w:lvlJc w:val="left"/>
        <w:rPr>
          <w:rFonts w:ascii="Courier" w:hAnsi="Courier" w:hint="default"/>
        </w:rPr>
      </w:lvl>
    </w:lvlOverride>
  </w:num>
  <w:num w:numId="6">
    <w:abstractNumId w:val="2"/>
  </w:num>
  <w:num w:numId="7">
    <w:abstractNumId w:val="8"/>
  </w:num>
  <w:num w:numId="8">
    <w:abstractNumId w:val="11"/>
  </w:num>
  <w:num w:numId="9">
    <w:abstractNumId w:val="6"/>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3F"/>
    <w:rsid w:val="000240F4"/>
    <w:rsid w:val="00025435"/>
    <w:rsid w:val="000301FF"/>
    <w:rsid w:val="00035413"/>
    <w:rsid w:val="000365F1"/>
    <w:rsid w:val="00040497"/>
    <w:rsid w:val="00076909"/>
    <w:rsid w:val="00080B15"/>
    <w:rsid w:val="00081B3D"/>
    <w:rsid w:val="000851B8"/>
    <w:rsid w:val="00095D5F"/>
    <w:rsid w:val="00097F88"/>
    <w:rsid w:val="000A7317"/>
    <w:rsid w:val="000B0B97"/>
    <w:rsid w:val="000C346D"/>
    <w:rsid w:val="000D6C41"/>
    <w:rsid w:val="000D725E"/>
    <w:rsid w:val="00117D7A"/>
    <w:rsid w:val="00134FA3"/>
    <w:rsid w:val="0018507C"/>
    <w:rsid w:val="001F04A6"/>
    <w:rsid w:val="00204486"/>
    <w:rsid w:val="002453A5"/>
    <w:rsid w:val="00263822"/>
    <w:rsid w:val="00266DA6"/>
    <w:rsid w:val="002A291A"/>
    <w:rsid w:val="002F3B40"/>
    <w:rsid w:val="00302BAB"/>
    <w:rsid w:val="00305601"/>
    <w:rsid w:val="003200F2"/>
    <w:rsid w:val="00323E92"/>
    <w:rsid w:val="00335C8B"/>
    <w:rsid w:val="00336B4B"/>
    <w:rsid w:val="0033760D"/>
    <w:rsid w:val="0034127E"/>
    <w:rsid w:val="003655F5"/>
    <w:rsid w:val="003A2CA5"/>
    <w:rsid w:val="003A7A1B"/>
    <w:rsid w:val="003B1978"/>
    <w:rsid w:val="003B7DD2"/>
    <w:rsid w:val="003C5824"/>
    <w:rsid w:val="003D6578"/>
    <w:rsid w:val="00412F93"/>
    <w:rsid w:val="00442571"/>
    <w:rsid w:val="00487445"/>
    <w:rsid w:val="004E2C0E"/>
    <w:rsid w:val="004F7E4C"/>
    <w:rsid w:val="00506D20"/>
    <w:rsid w:val="0052307C"/>
    <w:rsid w:val="00530A27"/>
    <w:rsid w:val="00547628"/>
    <w:rsid w:val="00552454"/>
    <w:rsid w:val="00573054"/>
    <w:rsid w:val="005C1758"/>
    <w:rsid w:val="005E1536"/>
    <w:rsid w:val="005E4F47"/>
    <w:rsid w:val="00627EB9"/>
    <w:rsid w:val="00631F7D"/>
    <w:rsid w:val="00665BE9"/>
    <w:rsid w:val="00676367"/>
    <w:rsid w:val="006D02FC"/>
    <w:rsid w:val="006F05FE"/>
    <w:rsid w:val="0073163C"/>
    <w:rsid w:val="007803F0"/>
    <w:rsid w:val="007A5647"/>
    <w:rsid w:val="007C2FF0"/>
    <w:rsid w:val="007D6BA8"/>
    <w:rsid w:val="007E7B3D"/>
    <w:rsid w:val="007F0283"/>
    <w:rsid w:val="00801CC6"/>
    <w:rsid w:val="00846783"/>
    <w:rsid w:val="00846A9C"/>
    <w:rsid w:val="00866867"/>
    <w:rsid w:val="00883FF9"/>
    <w:rsid w:val="008F569F"/>
    <w:rsid w:val="00906096"/>
    <w:rsid w:val="009231C0"/>
    <w:rsid w:val="00972E50"/>
    <w:rsid w:val="00992385"/>
    <w:rsid w:val="00997314"/>
    <w:rsid w:val="009D16AC"/>
    <w:rsid w:val="00A011F8"/>
    <w:rsid w:val="00A16065"/>
    <w:rsid w:val="00A31F14"/>
    <w:rsid w:val="00A52FB6"/>
    <w:rsid w:val="00A62587"/>
    <w:rsid w:val="00A64FDA"/>
    <w:rsid w:val="00A665E7"/>
    <w:rsid w:val="00A93615"/>
    <w:rsid w:val="00AE3CF0"/>
    <w:rsid w:val="00AF3FBC"/>
    <w:rsid w:val="00B05BC0"/>
    <w:rsid w:val="00B25712"/>
    <w:rsid w:val="00B416F2"/>
    <w:rsid w:val="00B466C2"/>
    <w:rsid w:val="00B50B1F"/>
    <w:rsid w:val="00B9713B"/>
    <w:rsid w:val="00BD4AA6"/>
    <w:rsid w:val="00C04025"/>
    <w:rsid w:val="00C332EF"/>
    <w:rsid w:val="00C33DEB"/>
    <w:rsid w:val="00C4349D"/>
    <w:rsid w:val="00C77D80"/>
    <w:rsid w:val="00C92CC7"/>
    <w:rsid w:val="00CC2BD8"/>
    <w:rsid w:val="00CD053F"/>
    <w:rsid w:val="00CE2ED0"/>
    <w:rsid w:val="00CE79F9"/>
    <w:rsid w:val="00CF7A08"/>
    <w:rsid w:val="00D120F9"/>
    <w:rsid w:val="00D55C32"/>
    <w:rsid w:val="00D60DF4"/>
    <w:rsid w:val="00D6356A"/>
    <w:rsid w:val="00D64C53"/>
    <w:rsid w:val="00D847C0"/>
    <w:rsid w:val="00DA7A19"/>
    <w:rsid w:val="00DB2A2B"/>
    <w:rsid w:val="00DB35A1"/>
    <w:rsid w:val="00DC25AB"/>
    <w:rsid w:val="00DF7298"/>
    <w:rsid w:val="00E06F60"/>
    <w:rsid w:val="00E268AB"/>
    <w:rsid w:val="00E460D1"/>
    <w:rsid w:val="00E5140F"/>
    <w:rsid w:val="00E52988"/>
    <w:rsid w:val="00E83A37"/>
    <w:rsid w:val="00EA1D4B"/>
    <w:rsid w:val="00EB2F02"/>
    <w:rsid w:val="00EE3613"/>
    <w:rsid w:val="00F26905"/>
    <w:rsid w:val="00F438AB"/>
    <w:rsid w:val="00F47CED"/>
    <w:rsid w:val="00F70AB5"/>
    <w:rsid w:val="00F743A4"/>
    <w:rsid w:val="00F77B6A"/>
    <w:rsid w:val="00FA4F69"/>
    <w:rsid w:val="00FB0018"/>
    <w:rsid w:val="00FB474F"/>
    <w:rsid w:val="00FE152F"/>
    <w:rsid w:val="00FE26D8"/>
    <w:rsid w:val="00FF7A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2B7AC7"/>
  <w15:docId w15:val="{78274E8C-A672-4649-A7B6-AFD68E8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A7A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1B"/>
    <w:rPr>
      <w:rFonts w:ascii="Tahoma" w:hAnsi="Tahoma" w:cs="Tahoma"/>
      <w:sz w:val="16"/>
      <w:szCs w:val="16"/>
    </w:rPr>
  </w:style>
  <w:style w:type="character" w:styleId="Hyperlink">
    <w:name w:val="Hyperlink"/>
    <w:basedOn w:val="DefaultParagraphFont"/>
    <w:uiPriority w:val="99"/>
    <w:unhideWhenUsed/>
    <w:rsid w:val="003A7A1B"/>
    <w:rPr>
      <w:color w:val="0000FF" w:themeColor="hyperlink"/>
      <w:u w:val="single"/>
    </w:rPr>
  </w:style>
  <w:style w:type="paragraph" w:styleId="Header">
    <w:name w:val="header"/>
    <w:basedOn w:val="Normal"/>
    <w:link w:val="HeaderChar"/>
    <w:uiPriority w:val="99"/>
    <w:unhideWhenUsed/>
    <w:rsid w:val="00FE26D8"/>
    <w:pPr>
      <w:tabs>
        <w:tab w:val="center" w:pos="4513"/>
        <w:tab w:val="right" w:pos="9026"/>
      </w:tabs>
      <w:spacing w:line="240" w:lineRule="auto"/>
    </w:pPr>
  </w:style>
  <w:style w:type="character" w:customStyle="1" w:styleId="HeaderChar">
    <w:name w:val="Header Char"/>
    <w:basedOn w:val="DefaultParagraphFont"/>
    <w:link w:val="Header"/>
    <w:uiPriority w:val="99"/>
    <w:rsid w:val="00FE26D8"/>
  </w:style>
  <w:style w:type="paragraph" w:styleId="Footer">
    <w:name w:val="footer"/>
    <w:basedOn w:val="Normal"/>
    <w:link w:val="FooterChar"/>
    <w:uiPriority w:val="99"/>
    <w:unhideWhenUsed/>
    <w:rsid w:val="00FE26D8"/>
    <w:pPr>
      <w:tabs>
        <w:tab w:val="center" w:pos="4513"/>
        <w:tab w:val="right" w:pos="9026"/>
      </w:tabs>
      <w:spacing w:line="240" w:lineRule="auto"/>
    </w:pPr>
  </w:style>
  <w:style w:type="character" w:customStyle="1" w:styleId="FooterChar">
    <w:name w:val="Footer Char"/>
    <w:basedOn w:val="DefaultParagraphFont"/>
    <w:link w:val="Footer"/>
    <w:uiPriority w:val="99"/>
    <w:rsid w:val="00FE26D8"/>
  </w:style>
  <w:style w:type="paragraph" w:styleId="ListParagraph">
    <w:name w:val="List Paragraph"/>
    <w:basedOn w:val="Normal"/>
    <w:uiPriority w:val="34"/>
    <w:qFormat/>
    <w:rsid w:val="00C33DEB"/>
    <w:pPr>
      <w:ind w:left="720"/>
      <w:contextualSpacing/>
    </w:pPr>
  </w:style>
  <w:style w:type="paragraph" w:styleId="NoSpacing">
    <w:name w:val="No Spacing"/>
    <w:uiPriority w:val="1"/>
    <w:qFormat/>
    <w:rsid w:val="00C92CC7"/>
    <w:pPr>
      <w:spacing w:line="240" w:lineRule="auto"/>
    </w:pPr>
  </w:style>
  <w:style w:type="paragraph" w:styleId="FootnoteText">
    <w:name w:val="footnote text"/>
    <w:basedOn w:val="Normal"/>
    <w:link w:val="FootnoteTextChar"/>
    <w:uiPriority w:val="99"/>
    <w:semiHidden/>
    <w:unhideWhenUsed/>
    <w:rsid w:val="000D725E"/>
    <w:pPr>
      <w:spacing w:line="240" w:lineRule="auto"/>
    </w:pPr>
    <w:rPr>
      <w:sz w:val="20"/>
      <w:szCs w:val="20"/>
    </w:rPr>
  </w:style>
  <w:style w:type="character" w:customStyle="1" w:styleId="FootnoteTextChar">
    <w:name w:val="Footnote Text Char"/>
    <w:basedOn w:val="DefaultParagraphFont"/>
    <w:link w:val="FootnoteText"/>
    <w:uiPriority w:val="99"/>
    <w:semiHidden/>
    <w:rsid w:val="000D725E"/>
    <w:rPr>
      <w:sz w:val="20"/>
      <w:szCs w:val="20"/>
    </w:rPr>
  </w:style>
  <w:style w:type="character" w:styleId="FootnoteReference">
    <w:name w:val="footnote reference"/>
    <w:basedOn w:val="DefaultParagraphFont"/>
    <w:uiPriority w:val="99"/>
    <w:semiHidden/>
    <w:unhideWhenUsed/>
    <w:rsid w:val="000D725E"/>
    <w:rPr>
      <w:vertAlign w:val="superscript"/>
    </w:rPr>
  </w:style>
  <w:style w:type="character" w:styleId="CommentReference">
    <w:name w:val="annotation reference"/>
    <w:basedOn w:val="DefaultParagraphFont"/>
    <w:uiPriority w:val="99"/>
    <w:semiHidden/>
    <w:unhideWhenUsed/>
    <w:rsid w:val="00506D20"/>
    <w:rPr>
      <w:sz w:val="16"/>
      <w:szCs w:val="16"/>
    </w:rPr>
  </w:style>
  <w:style w:type="paragraph" w:styleId="CommentText">
    <w:name w:val="annotation text"/>
    <w:basedOn w:val="Normal"/>
    <w:link w:val="CommentTextChar"/>
    <w:uiPriority w:val="99"/>
    <w:semiHidden/>
    <w:unhideWhenUsed/>
    <w:rsid w:val="00506D20"/>
    <w:pPr>
      <w:spacing w:line="240" w:lineRule="auto"/>
    </w:pPr>
    <w:rPr>
      <w:sz w:val="20"/>
      <w:szCs w:val="20"/>
    </w:rPr>
  </w:style>
  <w:style w:type="character" w:customStyle="1" w:styleId="CommentTextChar">
    <w:name w:val="Comment Text Char"/>
    <w:basedOn w:val="DefaultParagraphFont"/>
    <w:link w:val="CommentText"/>
    <w:uiPriority w:val="99"/>
    <w:semiHidden/>
    <w:rsid w:val="00506D20"/>
    <w:rPr>
      <w:sz w:val="20"/>
      <w:szCs w:val="20"/>
    </w:rPr>
  </w:style>
  <w:style w:type="paragraph" w:styleId="CommentSubject">
    <w:name w:val="annotation subject"/>
    <w:basedOn w:val="CommentText"/>
    <w:next w:val="CommentText"/>
    <w:link w:val="CommentSubjectChar"/>
    <w:uiPriority w:val="99"/>
    <w:semiHidden/>
    <w:unhideWhenUsed/>
    <w:rsid w:val="00506D20"/>
    <w:rPr>
      <w:b/>
      <w:bCs/>
    </w:rPr>
  </w:style>
  <w:style w:type="character" w:customStyle="1" w:styleId="CommentSubjectChar">
    <w:name w:val="Comment Subject Char"/>
    <w:basedOn w:val="CommentTextChar"/>
    <w:link w:val="CommentSubject"/>
    <w:uiPriority w:val="99"/>
    <w:semiHidden/>
    <w:rsid w:val="00506D20"/>
    <w:rPr>
      <w:b/>
      <w:bCs/>
      <w:sz w:val="20"/>
      <w:szCs w:val="20"/>
    </w:rPr>
  </w:style>
  <w:style w:type="character" w:styleId="FollowedHyperlink">
    <w:name w:val="FollowedHyperlink"/>
    <w:basedOn w:val="DefaultParagraphFont"/>
    <w:uiPriority w:val="99"/>
    <w:semiHidden/>
    <w:unhideWhenUsed/>
    <w:rsid w:val="00263822"/>
    <w:rPr>
      <w:color w:val="800080" w:themeColor="followedHyperlink"/>
      <w:u w:val="single"/>
    </w:rPr>
  </w:style>
  <w:style w:type="character" w:customStyle="1" w:styleId="UnresolvedMention1">
    <w:name w:val="Unresolved Mention1"/>
    <w:basedOn w:val="DefaultParagraphFont"/>
    <w:uiPriority w:val="99"/>
    <w:semiHidden/>
    <w:unhideWhenUsed/>
    <w:rsid w:val="007803F0"/>
    <w:rPr>
      <w:color w:val="605E5C"/>
      <w:shd w:val="clear" w:color="auto" w:fill="E1DFDD"/>
    </w:rPr>
  </w:style>
  <w:style w:type="character" w:customStyle="1" w:styleId="UnresolvedMention2">
    <w:name w:val="Unresolved Mention2"/>
    <w:basedOn w:val="DefaultParagraphFont"/>
    <w:uiPriority w:val="99"/>
    <w:semiHidden/>
    <w:unhideWhenUsed/>
    <w:rsid w:val="00DB2A2B"/>
    <w:rPr>
      <w:color w:val="605E5C"/>
      <w:shd w:val="clear" w:color="auto" w:fill="E1DFDD"/>
    </w:rPr>
  </w:style>
  <w:style w:type="paragraph" w:styleId="NormalWeb">
    <w:name w:val="Normal (Web)"/>
    <w:basedOn w:val="Normal"/>
    <w:uiPriority w:val="99"/>
    <w:unhideWhenUsed/>
    <w:rsid w:val="00E268A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EB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4508">
      <w:bodyDiv w:val="1"/>
      <w:marLeft w:val="0"/>
      <w:marRight w:val="0"/>
      <w:marTop w:val="0"/>
      <w:marBottom w:val="0"/>
      <w:divBdr>
        <w:top w:val="none" w:sz="0" w:space="0" w:color="auto"/>
        <w:left w:val="none" w:sz="0" w:space="0" w:color="auto"/>
        <w:bottom w:val="none" w:sz="0" w:space="0" w:color="auto"/>
        <w:right w:val="none" w:sz="0" w:space="0" w:color="auto"/>
      </w:divBdr>
    </w:div>
    <w:div w:id="834078178">
      <w:bodyDiv w:val="1"/>
      <w:marLeft w:val="0"/>
      <w:marRight w:val="0"/>
      <w:marTop w:val="0"/>
      <w:marBottom w:val="0"/>
      <w:divBdr>
        <w:top w:val="none" w:sz="0" w:space="0" w:color="auto"/>
        <w:left w:val="none" w:sz="0" w:space="0" w:color="auto"/>
        <w:bottom w:val="none" w:sz="0" w:space="0" w:color="auto"/>
        <w:right w:val="none" w:sz="0" w:space="0" w:color="auto"/>
      </w:divBdr>
      <w:divsChild>
        <w:div w:id="761418362">
          <w:marLeft w:val="0"/>
          <w:marRight w:val="0"/>
          <w:marTop w:val="0"/>
          <w:marBottom w:val="0"/>
          <w:divBdr>
            <w:top w:val="none" w:sz="0" w:space="0" w:color="auto"/>
            <w:left w:val="none" w:sz="0" w:space="0" w:color="auto"/>
            <w:bottom w:val="none" w:sz="0" w:space="0" w:color="auto"/>
            <w:right w:val="none" w:sz="0" w:space="0" w:color="auto"/>
          </w:divBdr>
          <w:divsChild>
            <w:div w:id="1697341141">
              <w:marLeft w:val="0"/>
              <w:marRight w:val="0"/>
              <w:marTop w:val="0"/>
              <w:marBottom w:val="0"/>
              <w:divBdr>
                <w:top w:val="none" w:sz="0" w:space="0" w:color="auto"/>
                <w:left w:val="none" w:sz="0" w:space="0" w:color="auto"/>
                <w:bottom w:val="none" w:sz="0" w:space="0" w:color="auto"/>
                <w:right w:val="none" w:sz="0" w:space="0" w:color="auto"/>
              </w:divBdr>
              <w:divsChild>
                <w:div w:id="1359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7065">
      <w:bodyDiv w:val="1"/>
      <w:marLeft w:val="0"/>
      <w:marRight w:val="0"/>
      <w:marTop w:val="0"/>
      <w:marBottom w:val="0"/>
      <w:divBdr>
        <w:top w:val="none" w:sz="0" w:space="0" w:color="auto"/>
        <w:left w:val="none" w:sz="0" w:space="0" w:color="auto"/>
        <w:bottom w:val="none" w:sz="0" w:space="0" w:color="auto"/>
        <w:right w:val="none" w:sz="0" w:space="0" w:color="auto"/>
      </w:divBdr>
    </w:div>
    <w:div w:id="1611667400">
      <w:bodyDiv w:val="1"/>
      <w:marLeft w:val="0"/>
      <w:marRight w:val="0"/>
      <w:marTop w:val="0"/>
      <w:marBottom w:val="0"/>
      <w:divBdr>
        <w:top w:val="none" w:sz="0" w:space="0" w:color="auto"/>
        <w:left w:val="none" w:sz="0" w:space="0" w:color="auto"/>
        <w:bottom w:val="none" w:sz="0" w:space="0" w:color="auto"/>
        <w:right w:val="none" w:sz="0" w:space="0" w:color="auto"/>
      </w:divBdr>
    </w:div>
    <w:div w:id="162538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vard.zoom.us/webinar/register/WN_MwGn2A3DQaCbyLMnR1hbJ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s-dds-ny.un.org/doc/UNDOC/GEN/G16/154/16/PDF/G1615416.pdf?OpenElement" TargetMode="External"/><Relationship Id="rId17" Type="http://schemas.openxmlformats.org/officeDocument/2006/relationships/hyperlink" Target="mailto:ohchr-ie-sogi@un.org" TargetMode="External"/><Relationship Id="rId2" Type="http://schemas.openxmlformats.org/officeDocument/2006/relationships/customXml" Target="../customXml/item2.xml"/><Relationship Id="rId16" Type="http://schemas.openxmlformats.org/officeDocument/2006/relationships/hyperlink" Target="mailto:manon.beury@u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vard.zoom.us/webinar/register/WN_MwGn2A3DQaCbyLMnR1hbJA" TargetMode="External"/><Relationship Id="rId5" Type="http://schemas.openxmlformats.org/officeDocument/2006/relationships/numbering" Target="numbering.xml"/><Relationship Id="rId15" Type="http://schemas.openxmlformats.org/officeDocument/2006/relationships/hyperlink" Target="mailto:ohchr-ie-sogi@u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dgs.un.org/fr/goals/goal3" TargetMode="External"/><Relationship Id="rId1" Type="http://schemas.openxmlformats.org/officeDocument/2006/relationships/hyperlink" Target="https://www.ohchr.org/EN/Issues/SexualOrientationGender/Pages/ReportOnConversiontherapy.aspx.%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AFC5-AE9B-4EDC-8040-F9161D273646}">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1F054E-386C-469B-88DF-8D5AD2DF15AA}">
  <ds:schemaRefs>
    <ds:schemaRef ds:uri="http://schemas.microsoft.com/sharepoint/v3/contenttype/forms"/>
  </ds:schemaRefs>
</ds:datastoreItem>
</file>

<file path=customXml/itemProps3.xml><?xml version="1.0" encoding="utf-8"?>
<ds:datastoreItem xmlns:ds="http://schemas.openxmlformats.org/officeDocument/2006/customXml" ds:itemID="{36F05B1A-DD1D-4A73-AF72-F380D4695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AC8A9-9C14-414B-8065-3CA87E38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4456</TotalTime>
  <Pages>6</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Saranbaatar Bayarmagnai</dc:creator>
  <cp:keywords>, docId:296BBB22A8DC35E456B3B5F59A394E48</cp:keywords>
  <cp:lastModifiedBy>Beury</cp:lastModifiedBy>
  <cp:revision>53</cp:revision>
  <cp:lastPrinted>2019-02-01T19:55:00Z</cp:lastPrinted>
  <dcterms:created xsi:type="dcterms:W3CDTF">2021-12-31T16:33:00Z</dcterms:created>
  <dcterms:modified xsi:type="dcterms:W3CDTF">2022-04-04T10:48:00Z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