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F9F624" w14:textId="77777777" w:rsidR="006F05FE" w:rsidRPr="00336B4B" w:rsidRDefault="00A31F14" w:rsidP="00336B4B">
      <w:pPr>
        <w:pStyle w:val="NoSpacing"/>
        <w:jc w:val="center"/>
        <w:rPr>
          <w:rFonts w:ascii="Times New Roman" w:hAnsi="Times New Roman" w:cs="Times New Roman"/>
          <w:b/>
        </w:rPr>
      </w:pPr>
      <w:r w:rsidRPr="00336B4B">
        <w:rPr>
          <w:rFonts w:ascii="Times New Roman" w:hAnsi="Times New Roman" w:cs="Times New Roman"/>
          <w:b/>
        </w:rPr>
        <w:t>Webinar Consultation</w:t>
      </w:r>
    </w:p>
    <w:p w14:paraId="7F649DBD" w14:textId="77777777" w:rsidR="00C332EF" w:rsidRPr="00336B4B" w:rsidRDefault="00C332EF" w:rsidP="006F05FE">
      <w:pPr>
        <w:pStyle w:val="NoSpacing"/>
        <w:jc w:val="center"/>
        <w:rPr>
          <w:rFonts w:ascii="Times New Roman" w:hAnsi="Times New Roman" w:cs="Times New Roman"/>
          <w:b/>
        </w:rPr>
      </w:pPr>
    </w:p>
    <w:p w14:paraId="5204539F" w14:textId="1BF7D77B" w:rsidR="00134FA3" w:rsidRDefault="00E831E2" w:rsidP="003D6578">
      <w:pPr>
        <w:pStyle w:val="NoSpacing"/>
        <w:jc w:val="center"/>
        <w:rPr>
          <w:rFonts w:ascii="Times New Roman" w:hAnsi="Times New Roman" w:cs="Times New Roman"/>
          <w:b/>
        </w:rPr>
      </w:pPr>
      <w:r>
        <w:rPr>
          <w:rFonts w:ascii="Times New Roman" w:hAnsi="Times New Roman" w:cs="Times New Roman"/>
          <w:b/>
        </w:rPr>
        <w:t>1</w:t>
      </w:r>
      <w:r w:rsidR="00900266">
        <w:rPr>
          <w:rFonts w:ascii="Times New Roman" w:hAnsi="Times New Roman" w:cs="Times New Roman"/>
          <w:b/>
        </w:rPr>
        <w:t>4</w:t>
      </w:r>
      <w:r w:rsidR="005D7B78">
        <w:rPr>
          <w:rFonts w:ascii="Times New Roman" w:hAnsi="Times New Roman" w:cs="Times New Roman"/>
          <w:b/>
        </w:rPr>
        <w:t xml:space="preserve"> April</w:t>
      </w:r>
      <w:r w:rsidR="00CF7A08" w:rsidRPr="00336B4B">
        <w:rPr>
          <w:rFonts w:ascii="Times New Roman" w:hAnsi="Times New Roman" w:cs="Times New Roman"/>
          <w:b/>
        </w:rPr>
        <w:t xml:space="preserve"> 2022</w:t>
      </w:r>
      <w:r w:rsidR="000A7317" w:rsidRPr="00336B4B">
        <w:rPr>
          <w:rFonts w:ascii="Times New Roman" w:hAnsi="Times New Roman" w:cs="Times New Roman"/>
          <w:b/>
        </w:rPr>
        <w:t xml:space="preserve">, </w:t>
      </w:r>
      <w:r w:rsidR="002625F8">
        <w:rPr>
          <w:rFonts w:ascii="Times New Roman" w:hAnsi="Times New Roman" w:cs="Times New Roman"/>
          <w:b/>
        </w:rPr>
        <w:t>10</w:t>
      </w:r>
      <w:r w:rsidR="0059773A">
        <w:rPr>
          <w:rFonts w:ascii="Times New Roman" w:hAnsi="Times New Roman" w:cs="Times New Roman"/>
          <w:b/>
        </w:rPr>
        <w:t>:00</w:t>
      </w:r>
      <w:r w:rsidR="00CF7A08" w:rsidRPr="00336B4B">
        <w:rPr>
          <w:rFonts w:ascii="Times New Roman" w:hAnsi="Times New Roman" w:cs="Times New Roman"/>
          <w:b/>
        </w:rPr>
        <w:t xml:space="preserve"> am ET</w:t>
      </w:r>
      <w:r w:rsidR="00275CA1">
        <w:rPr>
          <w:rFonts w:ascii="Times New Roman" w:hAnsi="Times New Roman" w:cs="Times New Roman"/>
          <w:b/>
        </w:rPr>
        <w:t xml:space="preserve"> </w:t>
      </w:r>
      <w:r w:rsidR="00CF7A08" w:rsidRPr="00336B4B">
        <w:rPr>
          <w:rFonts w:ascii="Times New Roman" w:hAnsi="Times New Roman" w:cs="Times New Roman"/>
          <w:b/>
        </w:rPr>
        <w:t>/</w:t>
      </w:r>
      <w:r w:rsidR="00275CA1">
        <w:rPr>
          <w:rFonts w:ascii="Times New Roman" w:hAnsi="Times New Roman" w:cs="Times New Roman"/>
          <w:b/>
        </w:rPr>
        <w:t xml:space="preserve"> </w:t>
      </w:r>
      <w:r w:rsidR="002625F8">
        <w:rPr>
          <w:rFonts w:ascii="Times New Roman" w:hAnsi="Times New Roman" w:cs="Times New Roman"/>
          <w:b/>
        </w:rPr>
        <w:t>4</w:t>
      </w:r>
      <w:r w:rsidR="0059773A">
        <w:rPr>
          <w:rFonts w:ascii="Times New Roman" w:hAnsi="Times New Roman" w:cs="Times New Roman"/>
          <w:b/>
        </w:rPr>
        <w:t>:00</w:t>
      </w:r>
      <w:r w:rsidR="00CF7A08" w:rsidRPr="00336B4B">
        <w:rPr>
          <w:rFonts w:ascii="Times New Roman" w:hAnsi="Times New Roman" w:cs="Times New Roman"/>
          <w:b/>
        </w:rPr>
        <w:t xml:space="preserve"> pm</w:t>
      </w:r>
      <w:r w:rsidR="000A7317" w:rsidRPr="00336B4B">
        <w:rPr>
          <w:rFonts w:ascii="Times New Roman" w:hAnsi="Times New Roman" w:cs="Times New Roman"/>
          <w:b/>
        </w:rPr>
        <w:t xml:space="preserve"> CET</w:t>
      </w:r>
      <w:r w:rsidR="003D6578" w:rsidRPr="00336B4B">
        <w:rPr>
          <w:rFonts w:ascii="Times New Roman" w:hAnsi="Times New Roman" w:cs="Times New Roman"/>
          <w:b/>
        </w:rPr>
        <w:t xml:space="preserve"> </w:t>
      </w:r>
    </w:p>
    <w:p w14:paraId="0B08CD43" w14:textId="77777777" w:rsidR="00631F7D" w:rsidRDefault="00631F7D" w:rsidP="003D6578">
      <w:pPr>
        <w:pStyle w:val="NoSpacing"/>
        <w:jc w:val="center"/>
        <w:rPr>
          <w:rFonts w:ascii="Times New Roman" w:hAnsi="Times New Roman" w:cs="Times New Roman"/>
          <w:b/>
        </w:rPr>
      </w:pPr>
    </w:p>
    <w:p w14:paraId="6BB7364A" w14:textId="4E384EB6" w:rsidR="00631F7D" w:rsidRPr="002625F8" w:rsidRDefault="005D7B78" w:rsidP="003D6578">
      <w:pPr>
        <w:pStyle w:val="NoSpacing"/>
        <w:jc w:val="center"/>
        <w:rPr>
          <w:rFonts w:ascii="Times New Roman" w:hAnsi="Times New Roman" w:cs="Times New Roman"/>
          <w:b/>
        </w:rPr>
      </w:pPr>
      <w:r>
        <w:rPr>
          <w:rFonts w:ascii="Times New Roman" w:hAnsi="Times New Roman" w:cs="Times New Roman"/>
          <w:b/>
        </w:rPr>
        <w:t>Registration</w:t>
      </w:r>
      <w:r w:rsidR="002625F8">
        <w:rPr>
          <w:rFonts w:ascii="Times New Roman" w:hAnsi="Times New Roman" w:cs="Times New Roman"/>
          <w:b/>
        </w:rPr>
        <w:t xml:space="preserve"> via this </w:t>
      </w:r>
      <w:hyperlink r:id="rId11" w:history="1">
        <w:r w:rsidR="002625F8" w:rsidRPr="002625F8">
          <w:rPr>
            <w:rStyle w:val="Hyperlink"/>
            <w:rFonts w:ascii="Times New Roman" w:hAnsi="Times New Roman" w:cs="Times New Roman"/>
            <w:b/>
          </w:rPr>
          <w:t>link</w:t>
        </w:r>
      </w:hyperlink>
    </w:p>
    <w:p w14:paraId="6EAAA280" w14:textId="77777777" w:rsidR="00025435" w:rsidRPr="00336B4B" w:rsidRDefault="00025435" w:rsidP="00CE2ED0">
      <w:pPr>
        <w:pStyle w:val="NoSpacing"/>
        <w:rPr>
          <w:rFonts w:ascii="Times New Roman" w:eastAsia="Times New Roman" w:hAnsi="Times New Roman" w:cs="Times New Roman"/>
          <w:b/>
        </w:rPr>
      </w:pPr>
    </w:p>
    <w:p w14:paraId="2328FED0" w14:textId="77777777" w:rsidR="00906096" w:rsidRPr="00336B4B" w:rsidRDefault="00F47CED" w:rsidP="008F569F">
      <w:pPr>
        <w:autoSpaceDE w:val="0"/>
        <w:autoSpaceDN w:val="0"/>
        <w:adjustRightInd w:val="0"/>
        <w:spacing w:line="240" w:lineRule="auto"/>
        <w:jc w:val="center"/>
        <w:rPr>
          <w:rFonts w:ascii="Times New Roman" w:hAnsi="Times New Roman" w:cs="Times New Roman"/>
          <w:b/>
          <w:bCs/>
        </w:rPr>
      </w:pPr>
      <w:r w:rsidRPr="00336B4B">
        <w:rPr>
          <w:rFonts w:ascii="Times New Roman" w:hAnsi="Times New Roman" w:cs="Times New Roman"/>
          <w:b/>
        </w:rPr>
        <w:t>Report of the I</w:t>
      </w:r>
      <w:r w:rsidR="0018507C" w:rsidRPr="00336B4B">
        <w:rPr>
          <w:rFonts w:ascii="Times New Roman" w:hAnsi="Times New Roman" w:cs="Times New Roman"/>
          <w:b/>
        </w:rPr>
        <w:t>ndependent Expert on protection against violence and discrimination based on sexual orientation and gender identity</w:t>
      </w:r>
    </w:p>
    <w:p w14:paraId="76C44435" w14:textId="77777777" w:rsidR="00CE2ED0" w:rsidRPr="00336B4B" w:rsidRDefault="00CE2ED0" w:rsidP="00336B4B">
      <w:pPr>
        <w:autoSpaceDE w:val="0"/>
        <w:autoSpaceDN w:val="0"/>
        <w:adjustRightInd w:val="0"/>
        <w:spacing w:line="240" w:lineRule="auto"/>
        <w:rPr>
          <w:rFonts w:ascii="Times New Roman" w:hAnsi="Times New Roman" w:cs="Times New Roman"/>
        </w:rPr>
      </w:pPr>
      <w:r w:rsidRPr="00336B4B">
        <w:rPr>
          <w:rFonts w:ascii="Times New Roman" w:hAnsi="Times New Roman" w:cs="Times New Roman"/>
        </w:rPr>
        <w:tab/>
      </w:r>
      <w:r w:rsidRPr="00336B4B">
        <w:rPr>
          <w:rFonts w:ascii="Times New Roman" w:hAnsi="Times New Roman" w:cs="Times New Roman"/>
        </w:rPr>
        <w:tab/>
      </w:r>
      <w:r w:rsidRPr="00336B4B">
        <w:rPr>
          <w:rFonts w:ascii="Times New Roman" w:hAnsi="Times New Roman" w:cs="Times New Roman"/>
        </w:rPr>
        <w:tab/>
      </w:r>
      <w:r w:rsidRPr="00336B4B">
        <w:rPr>
          <w:rFonts w:ascii="Times New Roman" w:hAnsi="Times New Roman" w:cs="Times New Roman"/>
        </w:rPr>
        <w:tab/>
      </w:r>
      <w:r w:rsidRPr="00336B4B">
        <w:rPr>
          <w:rFonts w:ascii="Times New Roman" w:hAnsi="Times New Roman" w:cs="Times New Roman"/>
        </w:rPr>
        <w:tab/>
      </w:r>
      <w:r w:rsidR="00263822" w:rsidRPr="00336B4B">
        <w:rPr>
          <w:rFonts w:ascii="Times New Roman" w:hAnsi="Times New Roman" w:cs="Times New Roman"/>
        </w:rPr>
        <w:tab/>
      </w:r>
      <w:r w:rsidR="00263822" w:rsidRPr="00336B4B">
        <w:rPr>
          <w:rFonts w:ascii="Times New Roman" w:hAnsi="Times New Roman" w:cs="Times New Roman"/>
        </w:rPr>
        <w:tab/>
      </w:r>
      <w:r w:rsidR="00263822" w:rsidRPr="00336B4B">
        <w:rPr>
          <w:rFonts w:ascii="Times New Roman" w:hAnsi="Times New Roman" w:cs="Times New Roman"/>
        </w:rPr>
        <w:tab/>
      </w:r>
    </w:p>
    <w:p w14:paraId="62798C81" w14:textId="77777777" w:rsidR="00080B15" w:rsidRPr="00336B4B" w:rsidRDefault="00080B15" w:rsidP="00080B15">
      <w:pPr>
        <w:autoSpaceDE w:val="0"/>
        <w:autoSpaceDN w:val="0"/>
        <w:adjustRightInd w:val="0"/>
        <w:spacing w:line="240" w:lineRule="auto"/>
        <w:ind w:firstLine="567"/>
        <w:jc w:val="both"/>
        <w:rPr>
          <w:rFonts w:ascii="Times New Roman" w:hAnsi="Times New Roman" w:cs="Times New Roman"/>
        </w:rPr>
      </w:pPr>
      <w:r w:rsidRPr="00336B4B">
        <w:rPr>
          <w:rFonts w:ascii="Times New Roman" w:hAnsi="Times New Roman" w:cs="Times New Roman"/>
        </w:rPr>
        <w:t>The Independent Expert on protection against violence and discrimination based on sexual orientation and gender identity was mandat</w:t>
      </w:r>
      <w:r w:rsidR="00A52FB6" w:rsidRPr="00336B4B">
        <w:rPr>
          <w:rFonts w:ascii="Times New Roman" w:hAnsi="Times New Roman" w:cs="Times New Roman"/>
        </w:rPr>
        <w:t>ed by Human Rights Council</w:t>
      </w:r>
      <w:r w:rsidRPr="00336B4B">
        <w:rPr>
          <w:rFonts w:ascii="Times New Roman" w:hAnsi="Times New Roman" w:cs="Times New Roman"/>
        </w:rPr>
        <w:t xml:space="preserve"> resolution </w:t>
      </w:r>
      <w:hyperlink r:id="rId12" w:history="1">
        <w:r w:rsidRPr="00B364A0">
          <w:rPr>
            <w:rStyle w:val="Hyperlink"/>
            <w:rFonts w:ascii="Times New Roman" w:hAnsi="Times New Roman" w:cs="Times New Roman"/>
          </w:rPr>
          <w:t>32/2</w:t>
        </w:r>
      </w:hyperlink>
      <w:r w:rsidRPr="00336B4B">
        <w:rPr>
          <w:rFonts w:ascii="Times New Roman" w:hAnsi="Times New Roman" w:cs="Times New Roman"/>
        </w:rPr>
        <w:t xml:space="preserve"> to assess the implementation of existing international human rights instruments with regard to ways to overcome violence and discrimination against persons on the basis of their sexual orientation or gender identity, and to identify and address the root causes of violence and discrimination.</w:t>
      </w:r>
    </w:p>
    <w:p w14:paraId="6C101664" w14:textId="77777777" w:rsidR="00080B15" w:rsidRPr="00336B4B" w:rsidRDefault="00080B15" w:rsidP="00080B15">
      <w:pPr>
        <w:autoSpaceDE w:val="0"/>
        <w:autoSpaceDN w:val="0"/>
        <w:adjustRightInd w:val="0"/>
        <w:spacing w:line="240" w:lineRule="auto"/>
        <w:ind w:firstLine="567"/>
        <w:jc w:val="both"/>
        <w:rPr>
          <w:rFonts w:ascii="Times New Roman" w:hAnsi="Times New Roman" w:cs="Times New Roman"/>
        </w:rPr>
      </w:pPr>
    </w:p>
    <w:p w14:paraId="4037D8E3" w14:textId="77777777" w:rsidR="00080B15" w:rsidRPr="00336B4B" w:rsidRDefault="000A7317" w:rsidP="00080B15">
      <w:pPr>
        <w:autoSpaceDE w:val="0"/>
        <w:autoSpaceDN w:val="0"/>
        <w:adjustRightInd w:val="0"/>
        <w:spacing w:line="240" w:lineRule="auto"/>
        <w:ind w:firstLine="567"/>
        <w:jc w:val="both"/>
        <w:rPr>
          <w:rFonts w:ascii="Times New Roman" w:hAnsi="Times New Roman" w:cs="Times New Roman"/>
        </w:rPr>
      </w:pPr>
      <w:r w:rsidRPr="00336B4B">
        <w:rPr>
          <w:rFonts w:ascii="Times New Roman" w:hAnsi="Times New Roman" w:cs="Times New Roman"/>
        </w:rPr>
        <w:t>In accordance with his</w:t>
      </w:r>
      <w:r w:rsidR="0018507C" w:rsidRPr="00336B4B">
        <w:rPr>
          <w:rFonts w:ascii="Times New Roman" w:hAnsi="Times New Roman" w:cs="Times New Roman"/>
        </w:rPr>
        <w:t xml:space="preserve"> mandate, </w:t>
      </w:r>
      <w:r w:rsidRPr="00336B4B">
        <w:rPr>
          <w:rFonts w:ascii="Times New Roman" w:hAnsi="Times New Roman" w:cs="Times New Roman"/>
        </w:rPr>
        <w:t xml:space="preserve">the Independent Expert </w:t>
      </w:r>
      <w:r w:rsidR="0018507C" w:rsidRPr="00336B4B">
        <w:rPr>
          <w:rFonts w:ascii="Times New Roman" w:hAnsi="Times New Roman" w:cs="Times New Roman"/>
        </w:rPr>
        <w:t>intend</w:t>
      </w:r>
      <w:r w:rsidRPr="00336B4B">
        <w:rPr>
          <w:rFonts w:ascii="Times New Roman" w:hAnsi="Times New Roman" w:cs="Times New Roman"/>
        </w:rPr>
        <w:t>s</w:t>
      </w:r>
      <w:r w:rsidR="0018507C" w:rsidRPr="00336B4B">
        <w:rPr>
          <w:rFonts w:ascii="Times New Roman" w:hAnsi="Times New Roman" w:cs="Times New Roman"/>
        </w:rPr>
        <w:t xml:space="preserve"> to present a thematic report at the </w:t>
      </w:r>
      <w:r w:rsidRPr="00336B4B">
        <w:rPr>
          <w:rFonts w:ascii="Times New Roman" w:hAnsi="Times New Roman" w:cs="Times New Roman"/>
        </w:rPr>
        <w:t>50</w:t>
      </w:r>
      <w:r w:rsidRPr="00336B4B">
        <w:rPr>
          <w:rFonts w:ascii="Times New Roman" w:hAnsi="Times New Roman" w:cs="Times New Roman"/>
          <w:vertAlign w:val="superscript"/>
        </w:rPr>
        <w:t>th</w:t>
      </w:r>
      <w:r w:rsidRPr="00336B4B">
        <w:rPr>
          <w:rFonts w:ascii="Times New Roman" w:hAnsi="Times New Roman" w:cs="Times New Roman"/>
        </w:rPr>
        <w:t xml:space="preserve"> </w:t>
      </w:r>
      <w:r w:rsidR="002F3B40" w:rsidRPr="00336B4B">
        <w:rPr>
          <w:rFonts w:ascii="Times New Roman" w:hAnsi="Times New Roman" w:cs="Times New Roman"/>
        </w:rPr>
        <w:t xml:space="preserve">session of the </w:t>
      </w:r>
      <w:r w:rsidR="002A291A" w:rsidRPr="00336B4B">
        <w:rPr>
          <w:rFonts w:ascii="Times New Roman" w:hAnsi="Times New Roman" w:cs="Times New Roman"/>
        </w:rPr>
        <w:t>H</w:t>
      </w:r>
      <w:r w:rsidR="002F3B40" w:rsidRPr="00336B4B">
        <w:rPr>
          <w:rFonts w:ascii="Times New Roman" w:hAnsi="Times New Roman" w:cs="Times New Roman"/>
        </w:rPr>
        <w:t xml:space="preserve">uman </w:t>
      </w:r>
      <w:r w:rsidR="002A291A" w:rsidRPr="00336B4B">
        <w:rPr>
          <w:rFonts w:ascii="Times New Roman" w:hAnsi="Times New Roman" w:cs="Times New Roman"/>
        </w:rPr>
        <w:t>R</w:t>
      </w:r>
      <w:r w:rsidR="002F3B40" w:rsidRPr="00336B4B">
        <w:rPr>
          <w:rFonts w:ascii="Times New Roman" w:hAnsi="Times New Roman" w:cs="Times New Roman"/>
        </w:rPr>
        <w:t xml:space="preserve">ights </w:t>
      </w:r>
      <w:r w:rsidR="002A291A" w:rsidRPr="00336B4B">
        <w:rPr>
          <w:rFonts w:ascii="Times New Roman" w:hAnsi="Times New Roman" w:cs="Times New Roman"/>
        </w:rPr>
        <w:t>C</w:t>
      </w:r>
      <w:r w:rsidR="002F3B40" w:rsidRPr="00336B4B">
        <w:rPr>
          <w:rFonts w:ascii="Times New Roman" w:hAnsi="Times New Roman" w:cs="Times New Roman"/>
        </w:rPr>
        <w:t>ouncil</w:t>
      </w:r>
      <w:r w:rsidR="0018507C" w:rsidRPr="00336B4B">
        <w:rPr>
          <w:rFonts w:ascii="Times New Roman" w:hAnsi="Times New Roman" w:cs="Times New Roman"/>
        </w:rPr>
        <w:t xml:space="preserve">, which will </w:t>
      </w:r>
      <w:r w:rsidR="000D725E" w:rsidRPr="00336B4B">
        <w:rPr>
          <w:rFonts w:ascii="Times New Roman" w:hAnsi="Times New Roman" w:cs="Times New Roman"/>
        </w:rPr>
        <w:t>focus on</w:t>
      </w:r>
      <w:r w:rsidR="00DF7298" w:rsidRPr="00336B4B">
        <w:rPr>
          <w:rFonts w:ascii="Times New Roman" w:hAnsi="Times New Roman" w:cs="Times New Roman"/>
        </w:rPr>
        <w:t xml:space="preserve"> the question of health and sexual orientation an</w:t>
      </w:r>
      <w:r w:rsidR="00080B15" w:rsidRPr="00336B4B">
        <w:rPr>
          <w:rFonts w:ascii="Times New Roman" w:hAnsi="Times New Roman" w:cs="Times New Roman"/>
        </w:rPr>
        <w:t>d gender identity,</w:t>
      </w:r>
      <w:r w:rsidR="00DF7298" w:rsidRPr="00336B4B">
        <w:rPr>
          <w:rFonts w:ascii="Times New Roman" w:hAnsi="Times New Roman" w:cs="Times New Roman"/>
        </w:rPr>
        <w:t xml:space="preserve"> including in the context of sustainable development. In particular, the Independent Expert will explore how the human rights of people with diverse sexual orientations and gender identities can be incorporated into the national plans aimed at the realisation of the right of everyone to the enjoyment of the highest attainable standard of physical and mental health, under the rubric of Sustainable Development Goal (SDG).</w:t>
      </w:r>
    </w:p>
    <w:p w14:paraId="39885F4C" w14:textId="77777777" w:rsidR="00080B15" w:rsidRPr="00336B4B" w:rsidRDefault="00080B15" w:rsidP="00080B15">
      <w:pPr>
        <w:autoSpaceDE w:val="0"/>
        <w:autoSpaceDN w:val="0"/>
        <w:adjustRightInd w:val="0"/>
        <w:spacing w:line="240" w:lineRule="auto"/>
        <w:ind w:firstLine="567"/>
        <w:jc w:val="both"/>
        <w:rPr>
          <w:rFonts w:ascii="Times New Roman" w:hAnsi="Times New Roman" w:cs="Times New Roman"/>
        </w:rPr>
      </w:pPr>
    </w:p>
    <w:p w14:paraId="3FBCB07D" w14:textId="77777777" w:rsidR="000A7317" w:rsidRPr="00336B4B" w:rsidRDefault="000A7317" w:rsidP="00080B15">
      <w:pPr>
        <w:autoSpaceDE w:val="0"/>
        <w:autoSpaceDN w:val="0"/>
        <w:adjustRightInd w:val="0"/>
        <w:spacing w:line="240" w:lineRule="auto"/>
        <w:ind w:firstLine="567"/>
        <w:jc w:val="both"/>
        <w:rPr>
          <w:rFonts w:ascii="Times New Roman" w:hAnsi="Times New Roman" w:cs="Times New Roman"/>
        </w:rPr>
      </w:pPr>
      <w:r w:rsidRPr="00336B4B">
        <w:rPr>
          <w:rFonts w:ascii="Times New Roman" w:hAnsi="Times New Roman" w:cs="Times New Roman"/>
        </w:rPr>
        <w:t>This consultation will serve as one of the channel</w:t>
      </w:r>
      <w:r w:rsidR="00080B15" w:rsidRPr="00336B4B">
        <w:rPr>
          <w:rFonts w:ascii="Times New Roman" w:hAnsi="Times New Roman" w:cs="Times New Roman"/>
        </w:rPr>
        <w:t xml:space="preserve">s through which the Independent </w:t>
      </w:r>
      <w:r w:rsidRPr="00336B4B">
        <w:rPr>
          <w:rFonts w:ascii="Times New Roman" w:hAnsi="Times New Roman" w:cs="Times New Roman"/>
        </w:rPr>
        <w:t>Expert will collect views and inputs to inform the prepar</w:t>
      </w:r>
      <w:r w:rsidR="00080B15" w:rsidRPr="00336B4B">
        <w:rPr>
          <w:rFonts w:ascii="Times New Roman" w:hAnsi="Times New Roman" w:cs="Times New Roman"/>
        </w:rPr>
        <w:t>ation of his report to the 50</w:t>
      </w:r>
      <w:r w:rsidR="00080B15" w:rsidRPr="00336B4B">
        <w:rPr>
          <w:rFonts w:ascii="Times New Roman" w:hAnsi="Times New Roman" w:cs="Times New Roman"/>
          <w:vertAlign w:val="superscript"/>
        </w:rPr>
        <w:t>th</w:t>
      </w:r>
      <w:r w:rsidR="00080B15" w:rsidRPr="00336B4B">
        <w:rPr>
          <w:rFonts w:ascii="Times New Roman" w:hAnsi="Times New Roman" w:cs="Times New Roman"/>
        </w:rPr>
        <w:t xml:space="preserve"> </w:t>
      </w:r>
      <w:r w:rsidRPr="00336B4B">
        <w:rPr>
          <w:rFonts w:ascii="Times New Roman" w:hAnsi="Times New Roman" w:cs="Times New Roman"/>
        </w:rPr>
        <w:t xml:space="preserve">session of </w:t>
      </w:r>
      <w:r w:rsidR="00080B15" w:rsidRPr="00336B4B">
        <w:rPr>
          <w:rFonts w:ascii="Times New Roman" w:hAnsi="Times New Roman" w:cs="Times New Roman"/>
        </w:rPr>
        <w:t>Human Rights Council</w:t>
      </w:r>
      <w:r w:rsidRPr="00336B4B">
        <w:rPr>
          <w:rFonts w:ascii="Times New Roman" w:hAnsi="Times New Roman" w:cs="Times New Roman"/>
        </w:rPr>
        <w:t>.</w:t>
      </w:r>
    </w:p>
    <w:p w14:paraId="44CB88FF" w14:textId="77777777" w:rsidR="00263822" w:rsidRPr="00336B4B" w:rsidRDefault="00263822" w:rsidP="00263822">
      <w:pPr>
        <w:autoSpaceDE w:val="0"/>
        <w:autoSpaceDN w:val="0"/>
        <w:adjustRightInd w:val="0"/>
        <w:spacing w:line="240" w:lineRule="auto"/>
        <w:ind w:firstLine="567"/>
        <w:jc w:val="both"/>
        <w:rPr>
          <w:rFonts w:ascii="Times New Roman" w:hAnsi="Times New Roman" w:cs="Times New Roman"/>
        </w:rPr>
      </w:pPr>
    </w:p>
    <w:p w14:paraId="4F537374" w14:textId="77777777" w:rsidR="00506D20" w:rsidRPr="00336B4B" w:rsidRDefault="00506D20" w:rsidP="00263822">
      <w:pPr>
        <w:autoSpaceDE w:val="0"/>
        <w:autoSpaceDN w:val="0"/>
        <w:adjustRightInd w:val="0"/>
        <w:spacing w:line="240" w:lineRule="auto"/>
        <w:jc w:val="both"/>
        <w:rPr>
          <w:rFonts w:ascii="Times New Roman" w:hAnsi="Times New Roman" w:cs="Times New Roman"/>
          <w:b/>
          <w:u w:val="single"/>
          <w:lang w:val="en-US"/>
        </w:rPr>
      </w:pPr>
      <w:r w:rsidRPr="00336B4B">
        <w:rPr>
          <w:rFonts w:ascii="Times New Roman" w:hAnsi="Times New Roman" w:cs="Times New Roman"/>
          <w:b/>
          <w:u w:val="single"/>
          <w:lang w:val="en-US"/>
        </w:rPr>
        <w:t>Background</w:t>
      </w:r>
    </w:p>
    <w:p w14:paraId="4F811AA8" w14:textId="77777777" w:rsidR="007D6BA8" w:rsidRPr="00336B4B" w:rsidRDefault="007D6BA8" w:rsidP="007D6BA8">
      <w:pPr>
        <w:autoSpaceDE w:val="0"/>
        <w:autoSpaceDN w:val="0"/>
        <w:adjustRightInd w:val="0"/>
        <w:spacing w:line="240" w:lineRule="auto"/>
        <w:ind w:firstLine="720"/>
        <w:jc w:val="both"/>
        <w:rPr>
          <w:rFonts w:ascii="Times New Roman" w:hAnsi="Times New Roman" w:cs="Times New Roman"/>
          <w:b/>
          <w:u w:val="single"/>
          <w:lang w:val="en-US"/>
        </w:rPr>
      </w:pPr>
    </w:p>
    <w:p w14:paraId="26E87FFE" w14:textId="77777777" w:rsidR="007D6BA8" w:rsidRPr="00336B4B" w:rsidRDefault="00676367" w:rsidP="007D6BA8">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lang w:val="en-US"/>
        </w:rPr>
        <w:t>Violence</w:t>
      </w:r>
      <w:r w:rsidR="007D6BA8" w:rsidRPr="00336B4B">
        <w:rPr>
          <w:rFonts w:ascii="Times New Roman" w:hAnsi="Times New Roman" w:cs="Times New Roman"/>
        </w:rPr>
        <w:t xml:space="preserve"> and discrimination based on sexual orientation and gender identity continue to impede the realisation of the right to health for lesbian, gay, bisexual, transgender</w:t>
      </w:r>
      <w:r w:rsidR="005C1758" w:rsidRPr="00336B4B">
        <w:rPr>
          <w:rFonts w:ascii="Times New Roman" w:hAnsi="Times New Roman" w:cs="Times New Roman"/>
        </w:rPr>
        <w:t>, intersex</w:t>
      </w:r>
      <w:r w:rsidR="007D6BA8" w:rsidRPr="00336B4B">
        <w:rPr>
          <w:rFonts w:ascii="Times New Roman" w:hAnsi="Times New Roman" w:cs="Times New Roman"/>
        </w:rPr>
        <w:t xml:space="preserve"> (LGBT</w:t>
      </w:r>
      <w:r w:rsidR="005C1758" w:rsidRPr="00336B4B">
        <w:rPr>
          <w:rFonts w:ascii="Times New Roman" w:hAnsi="Times New Roman" w:cs="Times New Roman"/>
        </w:rPr>
        <w:t>I</w:t>
      </w:r>
      <w:r w:rsidR="007D6BA8" w:rsidRPr="00336B4B">
        <w:rPr>
          <w:rFonts w:ascii="Times New Roman" w:hAnsi="Times New Roman" w:cs="Times New Roman"/>
        </w:rPr>
        <w:t xml:space="preserve">) and gender non-conforming (GNC) people. </w:t>
      </w:r>
    </w:p>
    <w:p w14:paraId="4082E866" w14:textId="77777777" w:rsidR="007D6BA8" w:rsidRPr="00336B4B" w:rsidRDefault="007D6BA8" w:rsidP="007D6BA8">
      <w:pPr>
        <w:autoSpaceDE w:val="0"/>
        <w:autoSpaceDN w:val="0"/>
        <w:adjustRightInd w:val="0"/>
        <w:spacing w:line="240" w:lineRule="auto"/>
        <w:ind w:firstLine="720"/>
        <w:jc w:val="both"/>
        <w:rPr>
          <w:rFonts w:ascii="Times New Roman" w:hAnsi="Times New Roman" w:cs="Times New Roman"/>
        </w:rPr>
      </w:pPr>
    </w:p>
    <w:p w14:paraId="791A6293" w14:textId="77777777" w:rsidR="00AE3CF0" w:rsidRPr="00336B4B" w:rsidRDefault="007D6BA8" w:rsidP="00AE3CF0">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 xml:space="preserve">Since the establishment of the mandate, the Independent Expert has received reports of discrimination and violence in accessing health care, discriminatory medical classifications </w:t>
      </w:r>
      <w:proofErr w:type="spellStart"/>
      <w:r w:rsidRPr="00336B4B">
        <w:rPr>
          <w:rFonts w:ascii="Times New Roman" w:hAnsi="Times New Roman" w:cs="Times New Roman"/>
        </w:rPr>
        <w:t>pathologising</w:t>
      </w:r>
      <w:proofErr w:type="spellEnd"/>
      <w:r w:rsidRPr="00336B4B">
        <w:rPr>
          <w:rFonts w:ascii="Times New Roman" w:hAnsi="Times New Roman" w:cs="Times New Roman"/>
        </w:rPr>
        <w:t xml:space="preserve"> people on the basis of their sexual orientation or gender identity, </w:t>
      </w:r>
      <w:r w:rsidR="000D6C41" w:rsidRPr="00336B4B">
        <w:rPr>
          <w:rFonts w:ascii="Times New Roman" w:hAnsi="Times New Roman" w:cs="Times New Roman"/>
        </w:rPr>
        <w:t>violations of confidentiality</w:t>
      </w:r>
      <w:r w:rsidR="00676367" w:rsidRPr="00336B4B">
        <w:rPr>
          <w:rFonts w:ascii="Times New Roman" w:hAnsi="Times New Roman" w:cs="Times New Roman"/>
        </w:rPr>
        <w:t xml:space="preserve"> by health car</w:t>
      </w:r>
      <w:r w:rsidR="00B50B1F" w:rsidRPr="00336B4B">
        <w:rPr>
          <w:rFonts w:ascii="Times New Roman" w:hAnsi="Times New Roman" w:cs="Times New Roman"/>
        </w:rPr>
        <w:t>e</w:t>
      </w:r>
      <w:r w:rsidR="00676367" w:rsidRPr="00336B4B">
        <w:rPr>
          <w:rFonts w:ascii="Times New Roman" w:hAnsi="Times New Roman" w:cs="Times New Roman"/>
        </w:rPr>
        <w:t xml:space="preserve"> providers</w:t>
      </w:r>
      <w:r w:rsidR="000D6C41" w:rsidRPr="00336B4B">
        <w:rPr>
          <w:rFonts w:ascii="Times New Roman" w:hAnsi="Times New Roman" w:cs="Times New Roman"/>
        </w:rPr>
        <w:t xml:space="preserve">, </w:t>
      </w:r>
      <w:r w:rsidRPr="00336B4B">
        <w:rPr>
          <w:rFonts w:ascii="Times New Roman" w:hAnsi="Times New Roman" w:cs="Times New Roman"/>
        </w:rPr>
        <w:t>abusive or coercive medical procedures</w:t>
      </w:r>
      <w:r w:rsidR="000851B8" w:rsidRPr="00336B4B">
        <w:rPr>
          <w:rFonts w:ascii="Times New Roman" w:hAnsi="Times New Roman" w:cs="Times New Roman"/>
        </w:rPr>
        <w:t>,</w:t>
      </w:r>
      <w:r w:rsidRPr="00336B4B">
        <w:rPr>
          <w:rFonts w:ascii="Times New Roman" w:hAnsi="Times New Roman" w:cs="Times New Roman"/>
        </w:rPr>
        <w:t xml:space="preserve"> including so-called “conversion therapies”,</w:t>
      </w:r>
      <w:r w:rsidRPr="00336B4B">
        <w:rPr>
          <w:rStyle w:val="FootnoteReference"/>
          <w:rFonts w:ascii="Times New Roman" w:hAnsi="Times New Roman" w:cs="Times New Roman"/>
        </w:rPr>
        <w:footnoteReference w:id="1"/>
      </w:r>
      <w:r w:rsidR="000851B8" w:rsidRPr="00336B4B">
        <w:rPr>
          <w:rFonts w:ascii="Times New Roman" w:hAnsi="Times New Roman" w:cs="Times New Roman"/>
        </w:rPr>
        <w:t xml:space="preserve"> as well as</w:t>
      </w:r>
      <w:r w:rsidRPr="00336B4B">
        <w:rPr>
          <w:rFonts w:ascii="Times New Roman" w:hAnsi="Times New Roman" w:cs="Times New Roman"/>
        </w:rPr>
        <w:t xml:space="preserve"> forced surgeries an</w:t>
      </w:r>
      <w:r w:rsidR="00F743A4" w:rsidRPr="00336B4B">
        <w:rPr>
          <w:rFonts w:ascii="Times New Roman" w:hAnsi="Times New Roman" w:cs="Times New Roman"/>
        </w:rPr>
        <w:t xml:space="preserve">d sterilisations. </w:t>
      </w:r>
      <w:r w:rsidR="00AE3CF0" w:rsidRPr="00336B4B">
        <w:rPr>
          <w:rFonts w:ascii="Times New Roman" w:hAnsi="Times New Roman" w:cs="Times New Roman"/>
        </w:rPr>
        <w:t>Health care providers lack appropriate training on the needs of persons with diverse sexual orientations and gender identities, leading to discriminatory treatment and other violations of the human rights of LGBT</w:t>
      </w:r>
      <w:r w:rsidR="005C1758" w:rsidRPr="00336B4B">
        <w:rPr>
          <w:rFonts w:ascii="Times New Roman" w:hAnsi="Times New Roman" w:cs="Times New Roman"/>
        </w:rPr>
        <w:t>I</w:t>
      </w:r>
      <w:r w:rsidR="00AE3CF0" w:rsidRPr="00336B4B">
        <w:rPr>
          <w:rFonts w:ascii="Times New Roman" w:hAnsi="Times New Roman" w:cs="Times New Roman"/>
        </w:rPr>
        <w:t xml:space="preserve"> and GNC patients. In the absence of proper investigation and accountability mechanisms, these violations often remain unpunished. Obstacles to accessing adequate healthcare have been particularly harmful over the course of the COVID-19 pandemic, and sometimes lead to LGBT</w:t>
      </w:r>
      <w:r w:rsidR="005C1758" w:rsidRPr="00336B4B">
        <w:rPr>
          <w:rFonts w:ascii="Times New Roman" w:hAnsi="Times New Roman" w:cs="Times New Roman"/>
        </w:rPr>
        <w:t>I</w:t>
      </w:r>
      <w:r w:rsidR="00AE3CF0" w:rsidRPr="00336B4B">
        <w:rPr>
          <w:rFonts w:ascii="Times New Roman" w:hAnsi="Times New Roman" w:cs="Times New Roman"/>
        </w:rPr>
        <w:t xml:space="preserve"> and GNC people avoiding professional health services altogether. In combination with broader societal marginalisation, ostracism, and violence, these obstacles culminate in compounded mental and physical health issues, and risk </w:t>
      </w:r>
      <w:r w:rsidR="00AE3CF0" w:rsidRPr="00336B4B">
        <w:rPr>
          <w:rFonts w:ascii="Times New Roman" w:hAnsi="Times New Roman" w:cs="Times New Roman"/>
        </w:rPr>
        <w:lastRenderedPageBreak/>
        <w:t>frustrating the realisation of the right to the highest attainment standard of physical and mental health for all, as guaranteed by international law.</w:t>
      </w:r>
    </w:p>
    <w:p w14:paraId="04449339" w14:textId="77777777" w:rsidR="00097F88" w:rsidRPr="00336B4B" w:rsidRDefault="00097F88" w:rsidP="00AE3CF0">
      <w:pPr>
        <w:autoSpaceDE w:val="0"/>
        <w:autoSpaceDN w:val="0"/>
        <w:adjustRightInd w:val="0"/>
        <w:spacing w:line="240" w:lineRule="auto"/>
        <w:ind w:firstLine="720"/>
        <w:jc w:val="both"/>
        <w:rPr>
          <w:rFonts w:ascii="Times New Roman" w:hAnsi="Times New Roman" w:cs="Times New Roman"/>
        </w:rPr>
      </w:pPr>
    </w:p>
    <w:p w14:paraId="55D0A1E3" w14:textId="77777777" w:rsidR="00097F88" w:rsidRPr="00336B4B" w:rsidRDefault="00097F88" w:rsidP="00097F88">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 xml:space="preserve">Research has shown higher vulnerability to HIV infection for men who have sex with men and trans women, as well as elevated rates of suicide and substance abuse among LGBTI youth and adults, including older persons. However, severe data gaps remain, especially with regard to the Global South and the needs and realization of the right to health of lesbian and bisexual women as well as trans persons. Data collection issues are particularly striking in the context of sexual and reproductive health and rights, which remains largely based on heteronormative and cisnormative ideas about sex and gender characteristics, as well as reproductive rights. </w:t>
      </w:r>
    </w:p>
    <w:p w14:paraId="3FDF5370" w14:textId="77777777" w:rsidR="00AE3CF0" w:rsidRPr="00336B4B" w:rsidRDefault="00AE3CF0" w:rsidP="00AE3CF0">
      <w:pPr>
        <w:autoSpaceDE w:val="0"/>
        <w:autoSpaceDN w:val="0"/>
        <w:adjustRightInd w:val="0"/>
        <w:spacing w:line="240" w:lineRule="auto"/>
        <w:ind w:firstLine="720"/>
        <w:jc w:val="both"/>
        <w:rPr>
          <w:rFonts w:ascii="Times New Roman" w:hAnsi="Times New Roman" w:cs="Times New Roman"/>
        </w:rPr>
      </w:pPr>
    </w:p>
    <w:p w14:paraId="7590BE96" w14:textId="77777777" w:rsidR="00AE3CF0" w:rsidRPr="00336B4B" w:rsidRDefault="00D55C32" w:rsidP="00AE3CF0">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 xml:space="preserve">The </w:t>
      </w:r>
      <w:r w:rsidR="00AE3CF0" w:rsidRPr="00336B4B">
        <w:rPr>
          <w:rFonts w:ascii="Times New Roman" w:hAnsi="Times New Roman" w:cs="Times New Roman"/>
        </w:rPr>
        <w:t>U</w:t>
      </w:r>
      <w:r w:rsidRPr="00336B4B">
        <w:rPr>
          <w:rFonts w:ascii="Times New Roman" w:hAnsi="Times New Roman" w:cs="Times New Roman"/>
        </w:rPr>
        <w:t xml:space="preserve">nited </w:t>
      </w:r>
      <w:r w:rsidR="00AE3CF0" w:rsidRPr="00336B4B">
        <w:rPr>
          <w:rFonts w:ascii="Times New Roman" w:hAnsi="Times New Roman" w:cs="Times New Roman"/>
        </w:rPr>
        <w:t>N</w:t>
      </w:r>
      <w:r w:rsidRPr="00336B4B">
        <w:rPr>
          <w:rFonts w:ascii="Times New Roman" w:hAnsi="Times New Roman" w:cs="Times New Roman"/>
        </w:rPr>
        <w:t>ations (UN)</w:t>
      </w:r>
      <w:r w:rsidR="00AE3CF0" w:rsidRPr="00336B4B">
        <w:rPr>
          <w:rFonts w:ascii="Times New Roman" w:hAnsi="Times New Roman" w:cs="Times New Roman"/>
        </w:rPr>
        <w:t xml:space="preserve"> human rights mechanisms have already raised concerns and proposed recommendations on addressing the right to the highest attainable standard of health for LGBT</w:t>
      </w:r>
      <w:r w:rsidR="005C1758" w:rsidRPr="00336B4B">
        <w:rPr>
          <w:rFonts w:ascii="Times New Roman" w:hAnsi="Times New Roman" w:cs="Times New Roman"/>
        </w:rPr>
        <w:t>I</w:t>
      </w:r>
      <w:r w:rsidR="00AE3CF0" w:rsidRPr="00336B4B">
        <w:rPr>
          <w:rFonts w:ascii="Times New Roman" w:hAnsi="Times New Roman" w:cs="Times New Roman"/>
        </w:rPr>
        <w:t xml:space="preserve"> and GNC persons. For example, the Human Rights Committee, the Committee on the Elimination of All Forms of Discrimination Against Women, and Committee Against Torture have drawn attention to the burdensome requirements for legal gender recognition, including psychiatric assessment and compulsory sterilisation or surgery.</w:t>
      </w:r>
      <w:r w:rsidR="00AE3CF0" w:rsidRPr="00336B4B">
        <w:rPr>
          <w:rStyle w:val="FootnoteReference"/>
          <w:rFonts w:ascii="Times New Roman" w:hAnsi="Times New Roman" w:cs="Times New Roman"/>
        </w:rPr>
        <w:footnoteReference w:id="2"/>
      </w:r>
      <w:r w:rsidR="00AE3CF0" w:rsidRPr="00336B4B">
        <w:rPr>
          <w:rFonts w:ascii="Times New Roman" w:hAnsi="Times New Roman" w:cs="Times New Roman"/>
        </w:rPr>
        <w:t xml:space="preserve">  The </w:t>
      </w:r>
      <w:r w:rsidR="009118CD" w:rsidRPr="009118CD">
        <w:rPr>
          <w:rFonts w:ascii="Times New Roman" w:hAnsi="Times New Roman" w:cs="Times New Roman"/>
        </w:rPr>
        <w:t xml:space="preserve">Special Rapporteur on Torture and Other Cruel, Inhuman or Degrading Treatment or Punishment </w:t>
      </w:r>
      <w:r w:rsidR="00AE3CF0" w:rsidRPr="00336B4B">
        <w:rPr>
          <w:rFonts w:ascii="Times New Roman" w:hAnsi="Times New Roman" w:cs="Times New Roman"/>
        </w:rPr>
        <w:t xml:space="preserve">and the </w:t>
      </w:r>
      <w:r w:rsidR="009118CD" w:rsidRPr="009118CD">
        <w:rPr>
          <w:rFonts w:ascii="Times New Roman" w:hAnsi="Times New Roman" w:cs="Times New Roman"/>
        </w:rPr>
        <w:t>Special Rapporteur on the right to physical and mental health</w:t>
      </w:r>
      <w:r w:rsidR="00AE3CF0" w:rsidRPr="00336B4B">
        <w:rPr>
          <w:rFonts w:ascii="Times New Roman" w:hAnsi="Times New Roman" w:cs="Times New Roman"/>
        </w:rPr>
        <w:t xml:space="preserve"> have raised serious concerns about so-called “conversion therapies”.</w:t>
      </w:r>
      <w:r w:rsidR="00AE3CF0" w:rsidRPr="00336B4B">
        <w:rPr>
          <w:rStyle w:val="FootnoteReference"/>
          <w:rFonts w:ascii="Times New Roman" w:hAnsi="Times New Roman" w:cs="Times New Roman"/>
        </w:rPr>
        <w:footnoteReference w:id="3"/>
      </w:r>
      <w:r w:rsidR="00AE3CF0" w:rsidRPr="00336B4B">
        <w:rPr>
          <w:rFonts w:ascii="Times New Roman" w:hAnsi="Times New Roman" w:cs="Times New Roman"/>
        </w:rPr>
        <w:t xml:space="preserve"> UN human rights mechanisms have also addressed the impact of criminalisation and stigma on access to health care and on mental health, the need to ensure that health professionals receive training on respecting the rights of LGBT</w:t>
      </w:r>
      <w:r w:rsidR="005C1758" w:rsidRPr="00336B4B">
        <w:rPr>
          <w:rFonts w:ascii="Times New Roman" w:hAnsi="Times New Roman" w:cs="Times New Roman"/>
        </w:rPr>
        <w:t>I</w:t>
      </w:r>
      <w:r w:rsidR="00AE3CF0" w:rsidRPr="00336B4B">
        <w:rPr>
          <w:rFonts w:ascii="Times New Roman" w:hAnsi="Times New Roman" w:cs="Times New Roman"/>
        </w:rPr>
        <w:t xml:space="preserve"> people, the benefits of developing age-appropriate comprehensive sexuality education programmes and access to information on sexual and reproductive health and rights, and the impact of gender norms on sexual and reproductive health. The mechanisms have also brought attention to violence in medical settings, refusals of service provision by health providers, exclusion from sports and restrictions in access to toilets and other sanitary facilities.</w:t>
      </w:r>
    </w:p>
    <w:p w14:paraId="4CEC6499" w14:textId="77777777" w:rsidR="000851B8" w:rsidRPr="00336B4B" w:rsidRDefault="000851B8" w:rsidP="00D55C32">
      <w:pPr>
        <w:autoSpaceDE w:val="0"/>
        <w:autoSpaceDN w:val="0"/>
        <w:adjustRightInd w:val="0"/>
        <w:spacing w:line="240" w:lineRule="auto"/>
        <w:jc w:val="both"/>
        <w:rPr>
          <w:rFonts w:ascii="Times New Roman" w:hAnsi="Times New Roman" w:cs="Times New Roman"/>
        </w:rPr>
      </w:pPr>
    </w:p>
    <w:p w14:paraId="23DC0ED6" w14:textId="77777777" w:rsidR="00DB35A1" w:rsidRPr="00336B4B" w:rsidRDefault="00D55C32" w:rsidP="00D55C32">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Furthermore, SDG 3,</w:t>
      </w:r>
      <w:r w:rsidRPr="00336B4B">
        <w:rPr>
          <w:rStyle w:val="FootnoteReference"/>
          <w:rFonts w:ascii="Times New Roman" w:hAnsi="Times New Roman" w:cs="Times New Roman"/>
        </w:rPr>
        <w:footnoteReference w:id="4"/>
      </w:r>
      <w:r w:rsidRPr="00336B4B">
        <w:rPr>
          <w:rFonts w:ascii="Times New Roman" w:hAnsi="Times New Roman" w:cs="Times New Roman"/>
        </w:rPr>
        <w:t xml:space="preserve"> which aims to “ensure healthy lives and promote well-being for all at all ages”, cannot be achieved for all people unless the right of everyone to the enjoyment of the highest attainable standard of physical and mental health, and the well-being needs of persons affected by violence and discrimination based on sexual orientation and gender identity are met. </w:t>
      </w:r>
      <w:r w:rsidR="000851B8" w:rsidRPr="00336B4B">
        <w:rPr>
          <w:rFonts w:ascii="Times New Roman" w:hAnsi="Times New Roman" w:cs="Times New Roman"/>
        </w:rPr>
        <w:t>The SDGs are a set of goals intended to act as a “blueprint” for coordinated global action over the 2015-2030 period. They include 17 goals</w:t>
      </w:r>
      <w:r w:rsidR="005C1758" w:rsidRPr="00336B4B">
        <w:rPr>
          <w:rFonts w:ascii="Times New Roman" w:hAnsi="Times New Roman" w:cs="Times New Roman"/>
        </w:rPr>
        <w:t xml:space="preserve">, </w:t>
      </w:r>
      <w:r w:rsidRPr="00336B4B">
        <w:rPr>
          <w:rFonts w:ascii="Times New Roman" w:hAnsi="Times New Roman" w:cs="Times New Roman"/>
        </w:rPr>
        <w:t>each of them</w:t>
      </w:r>
      <w:r w:rsidR="000851B8" w:rsidRPr="00336B4B">
        <w:rPr>
          <w:rFonts w:ascii="Times New Roman" w:hAnsi="Times New Roman" w:cs="Times New Roman"/>
        </w:rPr>
        <w:t xml:space="preserve"> accompanied by a set of targets (which specify what the goal is designed to achieve), and indicators (which identify measures that will show if progress is made against the go</w:t>
      </w:r>
      <w:r w:rsidRPr="00336B4B">
        <w:rPr>
          <w:rFonts w:ascii="Times New Roman" w:hAnsi="Times New Roman" w:cs="Times New Roman"/>
        </w:rPr>
        <w:t xml:space="preserve">al). </w:t>
      </w:r>
      <w:r w:rsidR="007D6BA8" w:rsidRPr="00336B4B">
        <w:rPr>
          <w:rFonts w:ascii="Times New Roman" w:hAnsi="Times New Roman" w:cs="Times New Roman"/>
        </w:rPr>
        <w:t xml:space="preserve">The Independent </w:t>
      </w:r>
      <w:r w:rsidRPr="00336B4B">
        <w:rPr>
          <w:rFonts w:ascii="Times New Roman" w:hAnsi="Times New Roman" w:cs="Times New Roman"/>
        </w:rPr>
        <w:t>Expert is of the view that the</w:t>
      </w:r>
      <w:r w:rsidR="007D6BA8" w:rsidRPr="00336B4B">
        <w:rPr>
          <w:rFonts w:ascii="Times New Roman" w:hAnsi="Times New Roman" w:cs="Times New Roman"/>
        </w:rPr>
        <w:t xml:space="preserve"> targets</w:t>
      </w:r>
      <w:r w:rsidRPr="00336B4B">
        <w:rPr>
          <w:rFonts w:ascii="Times New Roman" w:hAnsi="Times New Roman" w:cs="Times New Roman"/>
        </w:rPr>
        <w:t xml:space="preserve"> linked to SDG3</w:t>
      </w:r>
      <w:r w:rsidR="007D6BA8" w:rsidRPr="00336B4B">
        <w:rPr>
          <w:rFonts w:ascii="Times New Roman" w:hAnsi="Times New Roman" w:cs="Times New Roman"/>
        </w:rPr>
        <w:t xml:space="preserve"> will be more comprehensively and expeditiously reached if the specific health care needs of LGBT</w:t>
      </w:r>
      <w:r w:rsidR="005C1758" w:rsidRPr="00336B4B">
        <w:rPr>
          <w:rFonts w:ascii="Times New Roman" w:hAnsi="Times New Roman" w:cs="Times New Roman"/>
        </w:rPr>
        <w:t>I</w:t>
      </w:r>
      <w:r w:rsidR="007D6BA8" w:rsidRPr="00336B4B">
        <w:rPr>
          <w:rFonts w:ascii="Times New Roman" w:hAnsi="Times New Roman" w:cs="Times New Roman"/>
        </w:rPr>
        <w:t xml:space="preserve"> and GNC people are taken into account in national laws, policies and action plans aimed at implementation of the SDGs. These measures should be implemented in combination with the review of laws that criminalise or otherwise discriminate on the basis of sexual orientation or gender identity, measures to combat discrimination and violence against LGBT</w:t>
      </w:r>
      <w:r w:rsidR="005C1758" w:rsidRPr="00336B4B">
        <w:rPr>
          <w:rFonts w:ascii="Times New Roman" w:hAnsi="Times New Roman" w:cs="Times New Roman"/>
        </w:rPr>
        <w:t>I</w:t>
      </w:r>
      <w:r w:rsidR="007D6BA8" w:rsidRPr="00336B4B">
        <w:rPr>
          <w:rFonts w:ascii="Times New Roman" w:hAnsi="Times New Roman" w:cs="Times New Roman"/>
        </w:rPr>
        <w:t xml:space="preserve"> and GNC people, and policies to strengthen the socio-economic inclusion of people of diverse sexualities and genders. </w:t>
      </w:r>
    </w:p>
    <w:p w14:paraId="4C31E5A2" w14:textId="77777777" w:rsidR="00097F88" w:rsidRPr="00336B4B" w:rsidRDefault="00097F88" w:rsidP="00097F88">
      <w:pPr>
        <w:autoSpaceDE w:val="0"/>
        <w:autoSpaceDN w:val="0"/>
        <w:adjustRightInd w:val="0"/>
        <w:spacing w:line="240" w:lineRule="auto"/>
        <w:jc w:val="both"/>
        <w:rPr>
          <w:rFonts w:ascii="Times New Roman" w:hAnsi="Times New Roman" w:cs="Times New Roman"/>
        </w:rPr>
      </w:pPr>
    </w:p>
    <w:p w14:paraId="3143530A" w14:textId="77777777" w:rsidR="00097F88" w:rsidRPr="00336B4B" w:rsidRDefault="00097F88" w:rsidP="00097F88">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 xml:space="preserve">The SDGs should be read as an integrated whole, and SDG 3 should guide actions towards the fulfilment of the other SDGs, such as SDG 10 (reducing inequality). The report will identify both the challenges associated with adopting such an integrated approach, as well as the good practices that have </w:t>
      </w:r>
      <w:r w:rsidRPr="00336B4B">
        <w:rPr>
          <w:rFonts w:ascii="Times New Roman" w:hAnsi="Times New Roman" w:cs="Times New Roman"/>
        </w:rPr>
        <w:lastRenderedPageBreak/>
        <w:t>advanced the rights of all persons affected by violence and discrimination based on sexual orientation and gender identity, including but not limited to LGTBI and GNC persons. The report will further link SDG 3 to the right of everyone to the enjoyment of the highest attainable standard of physical and mental health, as protected in international human rights law</w:t>
      </w:r>
      <w:r w:rsidR="00E83A37" w:rsidRPr="00336B4B">
        <w:rPr>
          <w:rFonts w:ascii="Times New Roman" w:hAnsi="Times New Roman" w:cs="Times New Roman"/>
        </w:rPr>
        <w:t xml:space="preserve">. </w:t>
      </w:r>
    </w:p>
    <w:p w14:paraId="7ED582A4" w14:textId="77777777" w:rsidR="00117D7A" w:rsidRPr="00336B4B" w:rsidRDefault="00117D7A" w:rsidP="001F04A6">
      <w:pPr>
        <w:rPr>
          <w:rFonts w:ascii="Times New Roman" w:eastAsia="Times New Roman" w:hAnsi="Times New Roman" w:cs="Times New Roman"/>
        </w:rPr>
      </w:pPr>
    </w:p>
    <w:p w14:paraId="6001CFE0" w14:textId="77777777" w:rsidR="00117D7A" w:rsidRPr="00336B4B" w:rsidRDefault="00E83A37" w:rsidP="00263822">
      <w:pPr>
        <w:autoSpaceDE w:val="0"/>
        <w:autoSpaceDN w:val="0"/>
        <w:adjustRightInd w:val="0"/>
        <w:spacing w:line="240" w:lineRule="auto"/>
        <w:jc w:val="both"/>
        <w:rPr>
          <w:rFonts w:ascii="Times New Roman" w:hAnsi="Times New Roman" w:cs="Times New Roman"/>
          <w:b/>
          <w:u w:val="single"/>
          <w:lang w:val="en-US"/>
        </w:rPr>
      </w:pPr>
      <w:r w:rsidRPr="00336B4B">
        <w:rPr>
          <w:rFonts w:ascii="Times New Roman" w:hAnsi="Times New Roman" w:cs="Times New Roman"/>
          <w:b/>
          <w:u w:val="single"/>
          <w:lang w:val="en-US"/>
        </w:rPr>
        <w:t>O</w:t>
      </w:r>
      <w:r w:rsidR="005C1758" w:rsidRPr="00336B4B">
        <w:rPr>
          <w:rFonts w:ascii="Times New Roman" w:hAnsi="Times New Roman" w:cs="Times New Roman"/>
          <w:b/>
          <w:u w:val="single"/>
          <w:lang w:val="en-US"/>
        </w:rPr>
        <w:t>bjective and output</w:t>
      </w:r>
    </w:p>
    <w:p w14:paraId="4090BFC8" w14:textId="77777777" w:rsidR="005C1758" w:rsidRPr="00336B4B" w:rsidRDefault="005C1758" w:rsidP="00097F88">
      <w:pPr>
        <w:autoSpaceDE w:val="0"/>
        <w:autoSpaceDN w:val="0"/>
        <w:adjustRightInd w:val="0"/>
        <w:spacing w:line="240" w:lineRule="auto"/>
        <w:jc w:val="both"/>
        <w:rPr>
          <w:rFonts w:ascii="Times New Roman" w:hAnsi="Times New Roman" w:cs="Times New Roman"/>
        </w:rPr>
      </w:pPr>
    </w:p>
    <w:p w14:paraId="0C1A3BB8" w14:textId="77777777" w:rsidR="00E83A37" w:rsidRPr="00336B4B" w:rsidRDefault="005C1758" w:rsidP="00E83A37">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 xml:space="preserve">The purpose of the meeting is to seek views and inputs from all relevant stakeholders around the issue of </w:t>
      </w:r>
      <w:r w:rsidR="00E83A37" w:rsidRPr="00336B4B">
        <w:rPr>
          <w:rFonts w:ascii="Times New Roman" w:hAnsi="Times New Roman" w:cs="Times New Roman"/>
        </w:rPr>
        <w:t>how States have worked toward the realisation of SDG 3 in relation to persons affected by violence and discrimination based on sexual orientation and gender identity, what positive examples can be documented, and what existing challenges and barriers prevent its realisation.</w:t>
      </w:r>
    </w:p>
    <w:p w14:paraId="6571B013" w14:textId="77777777" w:rsidR="00E83A37" w:rsidRPr="00336B4B" w:rsidRDefault="00E83A37" w:rsidP="00E83A37">
      <w:pPr>
        <w:autoSpaceDE w:val="0"/>
        <w:autoSpaceDN w:val="0"/>
        <w:adjustRightInd w:val="0"/>
        <w:spacing w:line="240" w:lineRule="auto"/>
        <w:jc w:val="both"/>
        <w:rPr>
          <w:rFonts w:ascii="Times New Roman" w:hAnsi="Times New Roman" w:cs="Times New Roman"/>
        </w:rPr>
      </w:pPr>
    </w:p>
    <w:p w14:paraId="557CA583" w14:textId="77777777" w:rsidR="00E83A37" w:rsidRPr="00336B4B" w:rsidRDefault="00EA1D4B" w:rsidP="00E83A37">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The Independent Expert</w:t>
      </w:r>
      <w:r w:rsidR="00E83A37" w:rsidRPr="00336B4B">
        <w:rPr>
          <w:rFonts w:ascii="Times New Roman" w:hAnsi="Times New Roman" w:cs="Times New Roman"/>
        </w:rPr>
        <w:t xml:space="preserve"> invite</w:t>
      </w:r>
      <w:r w:rsidRPr="00336B4B">
        <w:rPr>
          <w:rFonts w:ascii="Times New Roman" w:hAnsi="Times New Roman" w:cs="Times New Roman"/>
        </w:rPr>
        <w:t>s</w:t>
      </w:r>
      <w:r w:rsidR="00E83A37" w:rsidRPr="00336B4B">
        <w:rPr>
          <w:rFonts w:ascii="Times New Roman" w:hAnsi="Times New Roman" w:cs="Times New Roman"/>
        </w:rPr>
        <w:t xml:space="preserve"> particularly inputs commenting on the relationship between SDG 3 and populations whose experience of barriers to healthcare as well as obstacles that may prevent them from enjoying their right to health including because</w:t>
      </w:r>
      <w:r w:rsidR="00DC25AB" w:rsidRPr="00336B4B">
        <w:rPr>
          <w:rFonts w:ascii="Times New Roman" w:hAnsi="Times New Roman" w:cs="Times New Roman"/>
        </w:rPr>
        <w:t xml:space="preserve"> of violence and discrimination</w:t>
      </w:r>
      <w:r w:rsidR="00E83A37" w:rsidRPr="00336B4B">
        <w:rPr>
          <w:rFonts w:ascii="Times New Roman" w:hAnsi="Times New Roman" w:cs="Times New Roman"/>
        </w:rPr>
        <w:t xml:space="preserve"> is less well known. This includes lesbian and bisexual women and trans persons, particularly those living in countries of the Global South. It also includes LGTBI and GNC individuals who seek healthcare following the experience of assault or gender-based violence.</w:t>
      </w:r>
    </w:p>
    <w:p w14:paraId="29E67FE9" w14:textId="77777777" w:rsidR="005C1758" w:rsidRPr="00336B4B" w:rsidRDefault="005C1758" w:rsidP="005C1758">
      <w:pPr>
        <w:autoSpaceDE w:val="0"/>
        <w:autoSpaceDN w:val="0"/>
        <w:adjustRightInd w:val="0"/>
        <w:spacing w:line="240" w:lineRule="auto"/>
        <w:jc w:val="both"/>
        <w:rPr>
          <w:rFonts w:ascii="Times New Roman" w:hAnsi="Times New Roman" w:cs="Times New Roman"/>
        </w:rPr>
      </w:pPr>
    </w:p>
    <w:p w14:paraId="0AC5E803" w14:textId="77777777" w:rsidR="005C1758" w:rsidRPr="00336B4B" w:rsidRDefault="005C1758" w:rsidP="005C1758">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 xml:space="preserve">Information shared will inform the report of the Independent Expert to the </w:t>
      </w:r>
      <w:r w:rsidR="00E83A37" w:rsidRPr="00336B4B">
        <w:rPr>
          <w:rFonts w:ascii="Times New Roman" w:hAnsi="Times New Roman" w:cs="Times New Roman"/>
        </w:rPr>
        <w:t>50</w:t>
      </w:r>
      <w:r w:rsidRPr="00336B4B">
        <w:rPr>
          <w:rFonts w:ascii="Times New Roman" w:hAnsi="Times New Roman" w:cs="Times New Roman"/>
          <w:vertAlign w:val="superscript"/>
        </w:rPr>
        <w:t>th</w:t>
      </w:r>
      <w:r w:rsidRPr="00336B4B">
        <w:rPr>
          <w:rFonts w:ascii="Times New Roman" w:hAnsi="Times New Roman" w:cs="Times New Roman"/>
        </w:rPr>
        <w:t xml:space="preserve"> s</w:t>
      </w:r>
      <w:r w:rsidR="00E83A37" w:rsidRPr="00336B4B">
        <w:rPr>
          <w:rFonts w:ascii="Times New Roman" w:hAnsi="Times New Roman" w:cs="Times New Roman"/>
        </w:rPr>
        <w:t>ession of the Human Rights Council</w:t>
      </w:r>
      <w:r w:rsidRPr="00336B4B">
        <w:rPr>
          <w:rFonts w:ascii="Times New Roman" w:hAnsi="Times New Roman" w:cs="Times New Roman"/>
        </w:rPr>
        <w:t>.</w:t>
      </w:r>
    </w:p>
    <w:p w14:paraId="656270D0" w14:textId="77777777" w:rsidR="005C1758" w:rsidRPr="00336B4B" w:rsidRDefault="005C1758" w:rsidP="00263822">
      <w:pPr>
        <w:autoSpaceDE w:val="0"/>
        <w:autoSpaceDN w:val="0"/>
        <w:adjustRightInd w:val="0"/>
        <w:spacing w:line="240" w:lineRule="auto"/>
        <w:jc w:val="both"/>
        <w:rPr>
          <w:rFonts w:ascii="Times New Roman" w:hAnsi="Times New Roman" w:cs="Times New Roman"/>
          <w:b/>
          <w:u w:val="single"/>
          <w:lang w:val="en-US"/>
        </w:rPr>
      </w:pPr>
    </w:p>
    <w:p w14:paraId="0C8EBE79" w14:textId="77777777" w:rsidR="005C1758" w:rsidRPr="00336B4B" w:rsidRDefault="00704CFB" w:rsidP="00263822">
      <w:pPr>
        <w:autoSpaceDE w:val="0"/>
        <w:autoSpaceDN w:val="0"/>
        <w:adjustRightInd w:val="0"/>
        <w:spacing w:line="240" w:lineRule="auto"/>
        <w:jc w:val="both"/>
        <w:rPr>
          <w:rFonts w:ascii="Times New Roman" w:hAnsi="Times New Roman" w:cs="Times New Roman"/>
          <w:b/>
          <w:u w:val="single"/>
          <w:lang w:val="en-US"/>
        </w:rPr>
      </w:pPr>
      <w:r>
        <w:rPr>
          <w:rFonts w:ascii="Times New Roman" w:hAnsi="Times New Roman" w:cs="Times New Roman"/>
          <w:b/>
          <w:u w:val="single"/>
          <w:lang w:val="en-US"/>
        </w:rPr>
        <w:t>Participants and m</w:t>
      </w:r>
      <w:r w:rsidR="005C1758" w:rsidRPr="00336B4B">
        <w:rPr>
          <w:rFonts w:ascii="Times New Roman" w:hAnsi="Times New Roman" w:cs="Times New Roman"/>
          <w:b/>
          <w:u w:val="single"/>
          <w:lang w:val="en-US"/>
        </w:rPr>
        <w:t>ethodology</w:t>
      </w:r>
    </w:p>
    <w:p w14:paraId="5B2DD271" w14:textId="77777777" w:rsidR="00E83A37" w:rsidRPr="00336B4B" w:rsidRDefault="00E83A37" w:rsidP="00263822">
      <w:pPr>
        <w:autoSpaceDE w:val="0"/>
        <w:autoSpaceDN w:val="0"/>
        <w:adjustRightInd w:val="0"/>
        <w:spacing w:line="240" w:lineRule="auto"/>
        <w:jc w:val="both"/>
        <w:rPr>
          <w:rFonts w:ascii="Times New Roman" w:hAnsi="Times New Roman" w:cs="Times New Roman"/>
          <w:b/>
          <w:u w:val="single"/>
          <w:lang w:val="en-US"/>
        </w:rPr>
      </w:pPr>
    </w:p>
    <w:p w14:paraId="07EF1285" w14:textId="77777777" w:rsidR="00E83A37" w:rsidRPr="00336B4B" w:rsidRDefault="00E83A37" w:rsidP="00E83A37">
      <w:pPr>
        <w:autoSpaceDE w:val="0"/>
        <w:autoSpaceDN w:val="0"/>
        <w:adjustRightInd w:val="0"/>
        <w:spacing w:line="240" w:lineRule="auto"/>
        <w:ind w:firstLine="720"/>
        <w:jc w:val="both"/>
        <w:rPr>
          <w:rFonts w:ascii="Times New Roman" w:hAnsi="Times New Roman" w:cs="Times New Roman"/>
          <w:lang w:val="en-US"/>
        </w:rPr>
      </w:pPr>
      <w:r w:rsidRPr="00336B4B">
        <w:rPr>
          <w:rFonts w:ascii="Times New Roman" w:hAnsi="Times New Roman" w:cs="Times New Roman"/>
          <w:lang w:val="en-US"/>
        </w:rPr>
        <w:t xml:space="preserve">The consultation is open to States, UN agencies, </w:t>
      </w:r>
      <w:proofErr w:type="spellStart"/>
      <w:r w:rsidRPr="00336B4B">
        <w:rPr>
          <w:rFonts w:ascii="Times New Roman" w:hAnsi="Times New Roman" w:cs="Times New Roman"/>
          <w:lang w:val="en-US"/>
        </w:rPr>
        <w:t>programmes</w:t>
      </w:r>
      <w:proofErr w:type="spellEnd"/>
      <w:r w:rsidRPr="00336B4B">
        <w:rPr>
          <w:rFonts w:ascii="Times New Roman" w:hAnsi="Times New Roman" w:cs="Times New Roman"/>
          <w:lang w:val="en-US"/>
        </w:rPr>
        <w:t xml:space="preserve"> and funds, regional human rights mechanisms, National Human Rights Institutions, members of civil society organizations, academic institutions, corporate entities, and all other interested stakeholders. </w:t>
      </w:r>
    </w:p>
    <w:p w14:paraId="79A62725" w14:textId="77777777" w:rsidR="00E83A37" w:rsidRPr="00336B4B" w:rsidRDefault="00E83A37" w:rsidP="00E83A37">
      <w:pPr>
        <w:autoSpaceDE w:val="0"/>
        <w:autoSpaceDN w:val="0"/>
        <w:adjustRightInd w:val="0"/>
        <w:spacing w:line="240" w:lineRule="auto"/>
        <w:jc w:val="both"/>
        <w:rPr>
          <w:rFonts w:ascii="Times New Roman" w:hAnsi="Times New Roman" w:cs="Times New Roman"/>
          <w:lang w:val="en-US"/>
        </w:rPr>
      </w:pPr>
    </w:p>
    <w:p w14:paraId="0575C663" w14:textId="6C73468A" w:rsidR="00E831E2" w:rsidRDefault="00040497" w:rsidP="00E83A37">
      <w:pPr>
        <w:autoSpaceDE w:val="0"/>
        <w:autoSpaceDN w:val="0"/>
        <w:adjustRightInd w:val="0"/>
        <w:spacing w:line="240" w:lineRule="auto"/>
        <w:ind w:firstLine="720"/>
        <w:jc w:val="both"/>
        <w:rPr>
          <w:rFonts w:ascii="Times New Roman" w:hAnsi="Times New Roman" w:cs="Times New Roman"/>
        </w:rPr>
      </w:pPr>
      <w:r w:rsidRPr="00336B4B">
        <w:rPr>
          <w:rFonts w:ascii="Times New Roman" w:hAnsi="Times New Roman" w:cs="Times New Roman"/>
        </w:rPr>
        <w:t>Webinar participants will have the opportunity to present oral input in response to the questions below</w:t>
      </w:r>
      <w:r w:rsidRPr="00323E92">
        <w:rPr>
          <w:rFonts w:ascii="Times New Roman" w:hAnsi="Times New Roman" w:cs="Times New Roman"/>
        </w:rPr>
        <w:t xml:space="preserve">. </w:t>
      </w:r>
    </w:p>
    <w:p w14:paraId="76092909" w14:textId="77777777" w:rsidR="00E83A37" w:rsidRPr="00336B4B" w:rsidRDefault="00E83A37" w:rsidP="00E83A37">
      <w:pPr>
        <w:autoSpaceDE w:val="0"/>
        <w:autoSpaceDN w:val="0"/>
        <w:adjustRightInd w:val="0"/>
        <w:spacing w:line="240" w:lineRule="auto"/>
        <w:jc w:val="both"/>
        <w:rPr>
          <w:rFonts w:ascii="Times New Roman" w:hAnsi="Times New Roman" w:cs="Times New Roman"/>
          <w:lang w:val="en-US"/>
        </w:rPr>
      </w:pPr>
    </w:p>
    <w:p w14:paraId="58784211" w14:textId="5C325DAC" w:rsidR="00E83A37" w:rsidRDefault="00E83A37" w:rsidP="00704CFB">
      <w:pPr>
        <w:autoSpaceDE w:val="0"/>
        <w:autoSpaceDN w:val="0"/>
        <w:adjustRightInd w:val="0"/>
        <w:spacing w:line="240" w:lineRule="auto"/>
        <w:ind w:firstLine="567"/>
        <w:jc w:val="both"/>
        <w:rPr>
          <w:rFonts w:ascii="Times New Roman" w:hAnsi="Times New Roman" w:cs="Times New Roman"/>
          <w:lang w:val="en-US"/>
        </w:rPr>
      </w:pPr>
      <w:r w:rsidRPr="00336B4B">
        <w:rPr>
          <w:rFonts w:ascii="Times New Roman" w:hAnsi="Times New Roman" w:cs="Times New Roman"/>
          <w:lang w:val="en-US"/>
        </w:rPr>
        <w:t>The consultation will start with a general segment during which the Independent Expert will introduce his work and his initial thoughts about the issue. Thereafter, participants will be invited to present their views</w:t>
      </w:r>
      <w:r w:rsidR="00631F7D">
        <w:rPr>
          <w:rFonts w:ascii="Times New Roman" w:hAnsi="Times New Roman" w:cs="Times New Roman"/>
          <w:lang w:val="en-US"/>
        </w:rPr>
        <w:t xml:space="preserve"> </w:t>
      </w:r>
      <w:r w:rsidRPr="00336B4B">
        <w:rPr>
          <w:rFonts w:ascii="Times New Roman" w:hAnsi="Times New Roman" w:cs="Times New Roman"/>
          <w:lang w:val="en-US"/>
        </w:rPr>
        <w:t xml:space="preserve">and provide inputs to the discussion. </w:t>
      </w:r>
      <w:r w:rsidR="00704CFB">
        <w:rPr>
          <w:rFonts w:ascii="Times New Roman" w:hAnsi="Times New Roman" w:cs="Times New Roman"/>
          <w:lang w:val="en-US"/>
        </w:rPr>
        <w:t xml:space="preserve">A </w:t>
      </w:r>
      <w:r w:rsidR="00704CFB" w:rsidRPr="00704CFB">
        <w:rPr>
          <w:rFonts w:ascii="Times New Roman" w:hAnsi="Times New Roman" w:cs="Times New Roman"/>
          <w:lang w:val="en-US"/>
        </w:rPr>
        <w:t xml:space="preserve">list of speakers will be circulated </w:t>
      </w:r>
      <w:r w:rsidR="00B364A0">
        <w:rPr>
          <w:rFonts w:ascii="Times New Roman" w:hAnsi="Times New Roman" w:cs="Times New Roman"/>
          <w:lang w:val="en-US"/>
        </w:rPr>
        <w:t xml:space="preserve">at </w:t>
      </w:r>
      <w:r w:rsidRPr="00336B4B">
        <w:rPr>
          <w:rFonts w:ascii="Times New Roman" w:hAnsi="Times New Roman" w:cs="Times New Roman"/>
          <w:lang w:val="en-US"/>
        </w:rPr>
        <w:t>the beginning of the meeting and the Independent Expert will hear three</w:t>
      </w:r>
      <w:r w:rsidR="00631F7D">
        <w:rPr>
          <w:rFonts w:ascii="Times New Roman" w:hAnsi="Times New Roman" w:cs="Times New Roman"/>
          <w:lang w:val="en-US"/>
        </w:rPr>
        <w:t xml:space="preserve"> </w:t>
      </w:r>
      <w:r w:rsidRPr="00336B4B">
        <w:rPr>
          <w:rFonts w:ascii="Times New Roman" w:hAnsi="Times New Roman" w:cs="Times New Roman"/>
          <w:lang w:val="en-US"/>
        </w:rPr>
        <w:t>interventions</w:t>
      </w:r>
      <w:r w:rsidR="00631F7D">
        <w:rPr>
          <w:rFonts w:ascii="Times New Roman" w:hAnsi="Times New Roman" w:cs="Times New Roman"/>
          <w:lang w:val="en-US"/>
        </w:rPr>
        <w:t xml:space="preserve"> </w:t>
      </w:r>
      <w:r w:rsidR="00631F7D" w:rsidRPr="002A68F0">
        <w:rPr>
          <w:rFonts w:ascii="Times New Roman" w:hAnsi="Times New Roman" w:cs="Times New Roman"/>
          <w:lang w:val="en-US"/>
        </w:rPr>
        <w:t>of 5-10 min</w:t>
      </w:r>
      <w:r w:rsidRPr="00336B4B">
        <w:rPr>
          <w:rFonts w:ascii="Times New Roman" w:hAnsi="Times New Roman" w:cs="Times New Roman"/>
          <w:lang w:val="en-US"/>
        </w:rPr>
        <w:t xml:space="preserve"> from each cluster of participants, </w:t>
      </w:r>
      <w:proofErr w:type="gramStart"/>
      <w:r w:rsidRPr="00336B4B">
        <w:rPr>
          <w:rFonts w:ascii="Times New Roman" w:hAnsi="Times New Roman" w:cs="Times New Roman"/>
          <w:lang w:val="en-US"/>
        </w:rPr>
        <w:t>i.e.</w:t>
      </w:r>
      <w:proofErr w:type="gramEnd"/>
      <w:r w:rsidRPr="00336B4B">
        <w:rPr>
          <w:rFonts w:ascii="Times New Roman" w:hAnsi="Times New Roman" w:cs="Times New Roman"/>
          <w:lang w:val="en-US"/>
        </w:rPr>
        <w:t xml:space="preserve"> States, civil society organizations, and other stakeholders, successively.</w:t>
      </w:r>
    </w:p>
    <w:p w14:paraId="13408546" w14:textId="2D459696" w:rsidR="00E831E2" w:rsidRDefault="00E831E2" w:rsidP="00704CFB">
      <w:pPr>
        <w:autoSpaceDE w:val="0"/>
        <w:autoSpaceDN w:val="0"/>
        <w:adjustRightInd w:val="0"/>
        <w:spacing w:line="240" w:lineRule="auto"/>
        <w:ind w:firstLine="567"/>
        <w:jc w:val="both"/>
        <w:rPr>
          <w:rFonts w:ascii="Times New Roman" w:hAnsi="Times New Roman" w:cs="Times New Roman"/>
          <w:lang w:val="en-US"/>
        </w:rPr>
      </w:pPr>
    </w:p>
    <w:p w14:paraId="140BBAF7" w14:textId="054353CE" w:rsidR="00E831E2" w:rsidRPr="00336B4B" w:rsidRDefault="002A68F0" w:rsidP="00E831E2">
      <w:pPr>
        <w:autoSpaceDE w:val="0"/>
        <w:autoSpaceDN w:val="0"/>
        <w:adjustRightInd w:val="0"/>
        <w:spacing w:line="240" w:lineRule="auto"/>
        <w:ind w:firstLine="720"/>
        <w:jc w:val="both"/>
        <w:rPr>
          <w:rFonts w:ascii="Times New Roman" w:hAnsi="Times New Roman" w:cs="Times New Roman"/>
          <w:lang w:val="en-US"/>
        </w:rPr>
      </w:pPr>
      <w:r>
        <w:rPr>
          <w:rFonts w:ascii="Times New Roman" w:hAnsi="Times New Roman" w:cs="Times New Roman"/>
          <w:lang w:val="en-US"/>
        </w:rPr>
        <w:t>The event will be held in English; i</w:t>
      </w:r>
      <w:r w:rsidR="00E831E2" w:rsidRPr="00323E92">
        <w:rPr>
          <w:rFonts w:ascii="Times New Roman" w:hAnsi="Times New Roman" w:cs="Times New Roman"/>
          <w:lang w:val="en-US"/>
        </w:rPr>
        <w:t>nterpretation in French and Spanish will be available.</w:t>
      </w:r>
    </w:p>
    <w:p w14:paraId="188B7380" w14:textId="77777777" w:rsidR="00E83A37" w:rsidRPr="00336B4B" w:rsidRDefault="00E83A37" w:rsidP="00263822">
      <w:pPr>
        <w:autoSpaceDE w:val="0"/>
        <w:autoSpaceDN w:val="0"/>
        <w:adjustRightInd w:val="0"/>
        <w:spacing w:line="240" w:lineRule="auto"/>
        <w:jc w:val="both"/>
        <w:rPr>
          <w:rFonts w:ascii="Times New Roman" w:hAnsi="Times New Roman" w:cs="Times New Roman"/>
          <w:b/>
          <w:u w:val="single"/>
          <w:lang w:val="en-US"/>
        </w:rPr>
      </w:pPr>
    </w:p>
    <w:p w14:paraId="38DAA980" w14:textId="77777777" w:rsidR="00E83A37" w:rsidRPr="00336B4B" w:rsidRDefault="00704CFB" w:rsidP="00263822">
      <w:pPr>
        <w:autoSpaceDE w:val="0"/>
        <w:autoSpaceDN w:val="0"/>
        <w:adjustRightInd w:val="0"/>
        <w:spacing w:line="240" w:lineRule="auto"/>
        <w:jc w:val="both"/>
        <w:rPr>
          <w:rFonts w:ascii="Times New Roman" w:hAnsi="Times New Roman" w:cs="Times New Roman"/>
          <w:b/>
          <w:u w:val="single"/>
          <w:lang w:val="en-US"/>
        </w:rPr>
      </w:pPr>
      <w:r w:rsidRPr="00E10928">
        <w:rPr>
          <w:rFonts w:ascii="Times New Roman" w:hAnsi="Times New Roman" w:cs="Times New Roman"/>
          <w:b/>
          <w:u w:val="single"/>
          <w:lang w:val="en-US"/>
        </w:rPr>
        <w:t>Guiding questions for the consultation</w:t>
      </w:r>
    </w:p>
    <w:p w14:paraId="37A56F96" w14:textId="77777777" w:rsidR="00E83A37" w:rsidRPr="00336B4B" w:rsidRDefault="00E83A37" w:rsidP="00E83A37">
      <w:pPr>
        <w:autoSpaceDE w:val="0"/>
        <w:autoSpaceDN w:val="0"/>
        <w:adjustRightInd w:val="0"/>
        <w:spacing w:line="240" w:lineRule="auto"/>
        <w:jc w:val="both"/>
        <w:rPr>
          <w:rFonts w:ascii="Times New Roman" w:hAnsi="Times New Roman" w:cs="Times New Roman"/>
          <w:lang w:val="en-US"/>
        </w:rPr>
      </w:pPr>
    </w:p>
    <w:p w14:paraId="60B6B065" w14:textId="77777777" w:rsidR="00F70AB5" w:rsidRPr="00336B4B" w:rsidRDefault="00F70AB5" w:rsidP="00204486">
      <w:pPr>
        <w:autoSpaceDE w:val="0"/>
        <w:autoSpaceDN w:val="0"/>
        <w:adjustRightInd w:val="0"/>
        <w:spacing w:line="240" w:lineRule="auto"/>
        <w:ind w:firstLine="567"/>
        <w:jc w:val="both"/>
        <w:rPr>
          <w:rFonts w:ascii="Times New Roman" w:hAnsi="Times New Roman" w:cs="Times New Roman"/>
          <w:lang w:val="en-US"/>
        </w:rPr>
      </w:pPr>
      <w:r w:rsidRPr="00336B4B">
        <w:rPr>
          <w:rFonts w:ascii="Times New Roman" w:hAnsi="Times New Roman" w:cs="Times New Roman"/>
          <w:lang w:val="en-US"/>
        </w:rPr>
        <w:t>The following questions may guide the contributions of the participants at the consultation:</w:t>
      </w:r>
    </w:p>
    <w:p w14:paraId="5B9A09E7" w14:textId="77777777" w:rsidR="000301FF" w:rsidRPr="002A68F0" w:rsidRDefault="000301FF" w:rsidP="000301FF">
      <w:pPr>
        <w:pStyle w:val="Heading2"/>
        <w:keepNext w:val="0"/>
        <w:keepLines w:val="0"/>
        <w:numPr>
          <w:ilvl w:val="0"/>
          <w:numId w:val="11"/>
        </w:numPr>
        <w:spacing w:before="240"/>
        <w:contextualSpacing w:val="0"/>
        <w:jc w:val="both"/>
        <w:rPr>
          <w:rFonts w:ascii="Times New Roman" w:hAnsi="Times New Roman" w:cs="Times New Roman"/>
          <w:sz w:val="22"/>
          <w:szCs w:val="22"/>
          <w:u w:val="single"/>
        </w:rPr>
      </w:pPr>
      <w:r w:rsidRPr="002A68F0">
        <w:rPr>
          <w:rFonts w:ascii="Times New Roman" w:hAnsi="Times New Roman" w:cs="Times New Roman"/>
          <w:sz w:val="22"/>
          <w:szCs w:val="22"/>
          <w:u w:val="single"/>
        </w:rPr>
        <w:t>Research: understanding the health care needs of LGTBI and GNC people</w:t>
      </w:r>
    </w:p>
    <w:p w14:paraId="3F7ABC62"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Does the State (or other stakeholders) gather data, including data disaggregated by sexual orientation and/or gender identity, on:</w:t>
      </w:r>
    </w:p>
    <w:p w14:paraId="6299D0CB" w14:textId="77777777" w:rsidR="000301FF" w:rsidRPr="002A68F0" w:rsidRDefault="000301FF" w:rsidP="000301FF">
      <w:pPr>
        <w:pStyle w:val="Heading2"/>
        <w:keepNext w:val="0"/>
        <w:keepLines w:val="0"/>
        <w:numPr>
          <w:ilvl w:val="2"/>
          <w:numId w:val="11"/>
        </w:numPr>
        <w:spacing w:before="0" w:after="80"/>
        <w:ind w:left="1225" w:hanging="505"/>
        <w:contextualSpacing w:val="0"/>
        <w:jc w:val="both"/>
        <w:rPr>
          <w:rFonts w:ascii="Times New Roman" w:hAnsi="Times New Roman" w:cs="Times New Roman"/>
          <w:b/>
          <w:sz w:val="22"/>
          <w:szCs w:val="22"/>
        </w:rPr>
      </w:pPr>
      <w:r w:rsidRPr="002A68F0">
        <w:rPr>
          <w:rFonts w:ascii="Times New Roman" w:hAnsi="Times New Roman" w:cs="Times New Roman"/>
          <w:sz w:val="22"/>
          <w:szCs w:val="22"/>
        </w:rPr>
        <w:t>access to and/or delivery of health services</w:t>
      </w:r>
    </w:p>
    <w:p w14:paraId="41EBE9BE" w14:textId="77777777" w:rsidR="000301FF" w:rsidRPr="002A68F0" w:rsidRDefault="000301FF" w:rsidP="000301FF">
      <w:pPr>
        <w:pStyle w:val="Heading2"/>
        <w:keepNext w:val="0"/>
        <w:keepLines w:val="0"/>
        <w:numPr>
          <w:ilvl w:val="2"/>
          <w:numId w:val="11"/>
        </w:numPr>
        <w:spacing w:before="0" w:after="80"/>
        <w:ind w:left="1225" w:hanging="505"/>
        <w:contextualSpacing w:val="0"/>
        <w:jc w:val="both"/>
        <w:rPr>
          <w:rFonts w:ascii="Times New Roman" w:hAnsi="Times New Roman" w:cs="Times New Roman"/>
          <w:b/>
          <w:sz w:val="22"/>
          <w:szCs w:val="22"/>
        </w:rPr>
      </w:pPr>
      <w:r w:rsidRPr="002A68F0">
        <w:rPr>
          <w:rFonts w:ascii="Times New Roman" w:hAnsi="Times New Roman" w:cs="Times New Roman"/>
          <w:sz w:val="22"/>
          <w:szCs w:val="22"/>
        </w:rPr>
        <w:lastRenderedPageBreak/>
        <w:t>the number of new HIV infections per 1000 uninfected population?</w:t>
      </w:r>
    </w:p>
    <w:p w14:paraId="1272EA61" w14:textId="77777777" w:rsidR="000301FF" w:rsidRPr="002A68F0" w:rsidRDefault="000301FF" w:rsidP="000301FF">
      <w:pPr>
        <w:pStyle w:val="Heading2"/>
        <w:keepNext w:val="0"/>
        <w:keepLines w:val="0"/>
        <w:numPr>
          <w:ilvl w:val="2"/>
          <w:numId w:val="11"/>
        </w:numPr>
        <w:spacing w:before="0" w:after="80"/>
        <w:ind w:left="1225" w:hanging="505"/>
        <w:contextualSpacing w:val="0"/>
        <w:jc w:val="both"/>
        <w:rPr>
          <w:rFonts w:ascii="Times New Roman" w:hAnsi="Times New Roman" w:cs="Times New Roman"/>
          <w:b/>
          <w:sz w:val="22"/>
          <w:szCs w:val="22"/>
        </w:rPr>
      </w:pPr>
      <w:r w:rsidRPr="002A68F0">
        <w:rPr>
          <w:rFonts w:ascii="Times New Roman" w:hAnsi="Times New Roman" w:cs="Times New Roman"/>
          <w:sz w:val="22"/>
          <w:szCs w:val="22"/>
        </w:rPr>
        <w:t>The suicide mortality rate?</w:t>
      </w:r>
    </w:p>
    <w:p w14:paraId="5D96423C" w14:textId="77777777" w:rsidR="000301FF" w:rsidRPr="002A68F0" w:rsidRDefault="000301FF" w:rsidP="000301FF">
      <w:pPr>
        <w:pStyle w:val="Heading2"/>
        <w:keepNext w:val="0"/>
        <w:keepLines w:val="0"/>
        <w:numPr>
          <w:ilvl w:val="2"/>
          <w:numId w:val="11"/>
        </w:numPr>
        <w:spacing w:before="0" w:after="80"/>
        <w:ind w:left="1225" w:hanging="505"/>
        <w:contextualSpacing w:val="0"/>
        <w:jc w:val="both"/>
        <w:rPr>
          <w:rFonts w:ascii="Times New Roman" w:hAnsi="Times New Roman" w:cs="Times New Roman"/>
          <w:b/>
          <w:sz w:val="22"/>
          <w:szCs w:val="22"/>
        </w:rPr>
      </w:pPr>
      <w:r w:rsidRPr="002A68F0">
        <w:rPr>
          <w:rFonts w:ascii="Times New Roman" w:hAnsi="Times New Roman" w:cs="Times New Roman"/>
          <w:sz w:val="22"/>
          <w:szCs w:val="22"/>
        </w:rPr>
        <w:t>Coverage of treatment interventions for substance use disorders?</w:t>
      </w:r>
    </w:p>
    <w:p w14:paraId="6877DE12" w14:textId="77777777" w:rsidR="000301FF" w:rsidRPr="002A68F0" w:rsidRDefault="000301FF" w:rsidP="000301FF">
      <w:pPr>
        <w:pStyle w:val="Heading2"/>
        <w:keepNext w:val="0"/>
        <w:keepLines w:val="0"/>
        <w:numPr>
          <w:ilvl w:val="2"/>
          <w:numId w:val="11"/>
        </w:numPr>
        <w:spacing w:before="0" w:after="80"/>
        <w:ind w:left="1225" w:hanging="505"/>
        <w:contextualSpacing w:val="0"/>
        <w:jc w:val="both"/>
        <w:rPr>
          <w:rFonts w:ascii="Times New Roman" w:hAnsi="Times New Roman" w:cs="Times New Roman"/>
          <w:b/>
          <w:sz w:val="22"/>
          <w:szCs w:val="22"/>
        </w:rPr>
      </w:pPr>
      <w:r w:rsidRPr="002A68F0">
        <w:rPr>
          <w:rFonts w:ascii="Times New Roman" w:hAnsi="Times New Roman" w:cs="Times New Roman"/>
          <w:sz w:val="22"/>
          <w:szCs w:val="22"/>
        </w:rPr>
        <w:t>Harmful use of alcohol?</w:t>
      </w:r>
    </w:p>
    <w:p w14:paraId="598F566B" w14:textId="77777777" w:rsidR="000301FF" w:rsidRPr="002A68F0" w:rsidRDefault="000301FF" w:rsidP="000301FF">
      <w:pPr>
        <w:pStyle w:val="Heading2"/>
        <w:keepNext w:val="0"/>
        <w:keepLines w:val="0"/>
        <w:numPr>
          <w:ilvl w:val="2"/>
          <w:numId w:val="11"/>
        </w:numPr>
        <w:spacing w:before="0" w:after="80"/>
        <w:ind w:left="1225" w:hanging="505"/>
        <w:contextualSpacing w:val="0"/>
        <w:jc w:val="both"/>
        <w:rPr>
          <w:rFonts w:ascii="Times New Roman" w:hAnsi="Times New Roman" w:cs="Times New Roman"/>
          <w:b/>
          <w:sz w:val="22"/>
          <w:szCs w:val="22"/>
        </w:rPr>
      </w:pPr>
      <w:r w:rsidRPr="002A68F0">
        <w:rPr>
          <w:rFonts w:ascii="Times New Roman" w:hAnsi="Times New Roman" w:cs="Times New Roman"/>
          <w:sz w:val="22"/>
          <w:szCs w:val="22"/>
        </w:rPr>
        <w:t>Access to sexual and reproductive health care?</w:t>
      </w:r>
    </w:p>
    <w:p w14:paraId="6AF326B4" w14:textId="77777777" w:rsidR="00076909" w:rsidRPr="002A68F0" w:rsidRDefault="000301FF" w:rsidP="000301FF">
      <w:pPr>
        <w:pStyle w:val="Heading2"/>
        <w:keepNext w:val="0"/>
        <w:keepLines w:val="0"/>
        <w:numPr>
          <w:ilvl w:val="2"/>
          <w:numId w:val="11"/>
        </w:numPr>
        <w:spacing w:before="0" w:after="80"/>
        <w:ind w:left="1225" w:hanging="505"/>
        <w:contextualSpacing w:val="0"/>
        <w:jc w:val="both"/>
        <w:rPr>
          <w:rFonts w:ascii="Times New Roman" w:hAnsi="Times New Roman" w:cs="Times New Roman"/>
          <w:b/>
          <w:sz w:val="22"/>
          <w:szCs w:val="22"/>
        </w:rPr>
      </w:pPr>
      <w:r w:rsidRPr="002A68F0">
        <w:rPr>
          <w:rFonts w:ascii="Times New Roman" w:hAnsi="Times New Roman" w:cs="Times New Roman"/>
          <w:sz w:val="22"/>
          <w:szCs w:val="22"/>
        </w:rPr>
        <w:t>Coverage of essential health services?</w:t>
      </w:r>
    </w:p>
    <w:p w14:paraId="0D20AD72" w14:textId="77777777" w:rsidR="000301FF" w:rsidRPr="002A68F0" w:rsidRDefault="000301FF" w:rsidP="000301FF">
      <w:pPr>
        <w:pStyle w:val="Heading2"/>
        <w:keepNext w:val="0"/>
        <w:keepLines w:val="0"/>
        <w:numPr>
          <w:ilvl w:val="1"/>
          <w:numId w:val="11"/>
        </w:numPr>
        <w:spacing w:before="0" w:after="8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What steps have been taken to research and understand the health care needs of LGTBI and GNC people of all ages at the national level?</w:t>
      </w:r>
    </w:p>
    <w:p w14:paraId="39AAB12D" w14:textId="77777777" w:rsidR="000301FF" w:rsidRPr="002A68F0" w:rsidRDefault="000301FF" w:rsidP="000301FF">
      <w:pPr>
        <w:pStyle w:val="Heading2"/>
        <w:keepNext w:val="0"/>
        <w:keepLines w:val="0"/>
        <w:numPr>
          <w:ilvl w:val="1"/>
          <w:numId w:val="11"/>
        </w:numPr>
        <w:spacing w:before="0" w:after="8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 xml:space="preserve">Is this data </w:t>
      </w:r>
      <w:proofErr w:type="spellStart"/>
      <w:r w:rsidRPr="002A68F0">
        <w:rPr>
          <w:rFonts w:ascii="Times New Roman" w:hAnsi="Times New Roman" w:cs="Times New Roman"/>
          <w:sz w:val="22"/>
          <w:szCs w:val="22"/>
        </w:rPr>
        <w:t>analyzed</w:t>
      </w:r>
      <w:proofErr w:type="spellEnd"/>
      <w:r w:rsidRPr="002A68F0">
        <w:rPr>
          <w:rFonts w:ascii="Times New Roman" w:hAnsi="Times New Roman" w:cs="Times New Roman"/>
          <w:sz w:val="22"/>
          <w:szCs w:val="22"/>
        </w:rPr>
        <w:t xml:space="preserve"> through an intersectional lens, such as by disaggregating data by sexual orientation and/or gender identity, as well as intersecting identities including social or geographic origin, ethnicity, socio-economic status, nationality or migration status, minority, disability, and indigenous or other identity or status?</w:t>
      </w:r>
    </w:p>
    <w:p w14:paraId="645BDF1E" w14:textId="77777777" w:rsidR="000301FF" w:rsidRPr="002A68F0" w:rsidRDefault="000301FF" w:rsidP="000301FF">
      <w:pPr>
        <w:pStyle w:val="Heading2"/>
        <w:keepNext w:val="0"/>
        <w:keepLines w:val="0"/>
        <w:numPr>
          <w:ilvl w:val="0"/>
          <w:numId w:val="11"/>
        </w:numPr>
        <w:spacing w:before="240"/>
        <w:contextualSpacing w:val="0"/>
        <w:jc w:val="both"/>
        <w:rPr>
          <w:rFonts w:ascii="Times New Roman" w:hAnsi="Times New Roman" w:cs="Times New Roman"/>
          <w:sz w:val="22"/>
          <w:szCs w:val="22"/>
          <w:u w:val="single"/>
        </w:rPr>
      </w:pPr>
      <w:r w:rsidRPr="002A68F0">
        <w:rPr>
          <w:rFonts w:ascii="Times New Roman" w:hAnsi="Times New Roman" w:cs="Times New Roman"/>
          <w:sz w:val="22"/>
          <w:szCs w:val="22"/>
          <w:u w:val="single"/>
        </w:rPr>
        <w:t>Inclusion: LGTBI and GNC people in the decision-making process</w:t>
      </w:r>
    </w:p>
    <w:p w14:paraId="338B5E96"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What measures have been put in place to consult with and include persons affected by violence and discrimination based on sexual orientation and gender identity in law and policy making in relation to the right of everyone to the enjoyment of the highest attainable standard of physical and mental health, and in relation to realising the SDGs?</w:t>
      </w:r>
    </w:p>
    <w:p w14:paraId="04B86E6C"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To what extent are persons affected by violence and discrimination based on sexual orientation and gender identity included in policies and practice around sexual and reproductive health care?</w:t>
      </w:r>
    </w:p>
    <w:p w14:paraId="3270D51D"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What support or technical assistance is needed to ensure that the health care needs of persons affected by violence and discrimination based on sexual orientation and gender identity people are comprehensively addressed and included in relevant laws, policies, and practices?</w:t>
      </w:r>
    </w:p>
    <w:p w14:paraId="2DAC9600"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What are the main barriers, in law or practice, for persons affected by violence and discrimination based on sexual orientation and gender identity to receive care that meets their physical and mental health needs and rights?</w:t>
      </w:r>
    </w:p>
    <w:p w14:paraId="51033705" w14:textId="77777777" w:rsidR="000301FF" w:rsidRPr="002A68F0" w:rsidRDefault="000301FF" w:rsidP="000301FF">
      <w:pPr>
        <w:pStyle w:val="Heading2"/>
        <w:keepNext w:val="0"/>
        <w:keepLines w:val="0"/>
        <w:numPr>
          <w:ilvl w:val="0"/>
          <w:numId w:val="11"/>
        </w:numPr>
        <w:spacing w:before="240"/>
        <w:contextualSpacing w:val="0"/>
        <w:jc w:val="both"/>
        <w:rPr>
          <w:rFonts w:ascii="Times New Roman" w:hAnsi="Times New Roman" w:cs="Times New Roman"/>
          <w:sz w:val="22"/>
          <w:szCs w:val="22"/>
          <w:u w:val="single"/>
        </w:rPr>
      </w:pPr>
      <w:r w:rsidRPr="002A68F0">
        <w:rPr>
          <w:rFonts w:ascii="Times New Roman" w:hAnsi="Times New Roman" w:cs="Times New Roman"/>
          <w:sz w:val="22"/>
          <w:szCs w:val="22"/>
          <w:u w:val="single"/>
        </w:rPr>
        <w:t>Access: ensuring that LGTBI and GNC people have access to health care</w:t>
      </w:r>
    </w:p>
    <w:p w14:paraId="03629D6D"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What measures have been taken to ensure access to affordable non-discriminatory health care services for persons affected by violence and discrimination based on sexual orientation and gender identity?</w:t>
      </w:r>
    </w:p>
    <w:p w14:paraId="793E1392"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What policies or programmes exist to address the mental health care needs of persons affected by violence and discrimination based on sexual orientation and gender identity, specifically around depression and anxiety, suicidal ideation, and substance abuse?</w:t>
      </w:r>
    </w:p>
    <w:p w14:paraId="5D81B1FC"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lastRenderedPageBreak/>
        <w:t>What policies or programmes exist to assist the health care needs of persons affected by violence and discrimination based on sexual orientation and gender identity following the experience of assault or gender-based violence?</w:t>
      </w:r>
    </w:p>
    <w:p w14:paraId="53960AC1"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 xml:space="preserve">Have adequate human and financial resources been allocated to implement those policies and/or programmes? </w:t>
      </w:r>
    </w:p>
    <w:p w14:paraId="3E2771C5" w14:textId="77777777" w:rsidR="000301FF" w:rsidRPr="002A68F0" w:rsidRDefault="000301FF" w:rsidP="000301FF">
      <w:pPr>
        <w:pStyle w:val="Heading2"/>
        <w:keepNext w:val="0"/>
        <w:keepLines w:val="0"/>
        <w:numPr>
          <w:ilvl w:val="0"/>
          <w:numId w:val="11"/>
        </w:numPr>
        <w:spacing w:before="240"/>
        <w:contextualSpacing w:val="0"/>
        <w:jc w:val="both"/>
        <w:rPr>
          <w:rFonts w:ascii="Times New Roman" w:hAnsi="Times New Roman" w:cs="Times New Roman"/>
          <w:sz w:val="22"/>
          <w:szCs w:val="22"/>
          <w:u w:val="single"/>
        </w:rPr>
      </w:pPr>
      <w:r w:rsidRPr="002A68F0">
        <w:rPr>
          <w:rFonts w:ascii="Times New Roman" w:hAnsi="Times New Roman" w:cs="Times New Roman"/>
          <w:sz w:val="22"/>
          <w:szCs w:val="22"/>
          <w:u w:val="single"/>
        </w:rPr>
        <w:t>Training and Education: health care professionals and educational institutions</w:t>
      </w:r>
    </w:p>
    <w:p w14:paraId="0A445C60"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 xml:space="preserve">Are sexual orientation and gender identity, and the specific health needs of persons affected by violence and discrimination based on sexual </w:t>
      </w:r>
      <w:r w:rsidR="00FE7121" w:rsidRPr="002A68F0">
        <w:rPr>
          <w:rFonts w:ascii="Times New Roman" w:hAnsi="Times New Roman" w:cs="Times New Roman"/>
          <w:sz w:val="22"/>
          <w:szCs w:val="22"/>
        </w:rPr>
        <w:t>orientation and gender identity</w:t>
      </w:r>
      <w:r w:rsidRPr="002A68F0">
        <w:rPr>
          <w:rFonts w:ascii="Times New Roman" w:hAnsi="Times New Roman" w:cs="Times New Roman"/>
          <w:sz w:val="22"/>
          <w:szCs w:val="22"/>
        </w:rPr>
        <w:t>, included in training and education of health care professionals?</w:t>
      </w:r>
    </w:p>
    <w:p w14:paraId="7B987F20"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What measures are being taken to provide age-appropriate comprehensive sexuality education inclusive of sexual and gender diversity in educational institutions?</w:t>
      </w:r>
    </w:p>
    <w:p w14:paraId="2451EDEE"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Are evidence-based and up-to-date guidelines that include SOGI issues available? How are they used to influence health related decisions on policy, programming, services including diagnostic manuals, and practices within the health care institutions?</w:t>
      </w:r>
      <w:r w:rsidRPr="002A68F0" w:rsidDel="00BC11E0">
        <w:rPr>
          <w:rFonts w:ascii="Times New Roman" w:hAnsi="Times New Roman" w:cs="Times New Roman"/>
          <w:sz w:val="22"/>
          <w:szCs w:val="22"/>
        </w:rPr>
        <w:t xml:space="preserve"> </w:t>
      </w:r>
    </w:p>
    <w:p w14:paraId="76218E50" w14:textId="77777777" w:rsidR="000301FF" w:rsidRPr="002A68F0" w:rsidRDefault="000301FF" w:rsidP="000301FF">
      <w:pPr>
        <w:pStyle w:val="Heading2"/>
        <w:keepNext w:val="0"/>
        <w:keepLines w:val="0"/>
        <w:numPr>
          <w:ilvl w:val="0"/>
          <w:numId w:val="11"/>
        </w:numPr>
        <w:spacing w:before="240"/>
        <w:contextualSpacing w:val="0"/>
        <w:jc w:val="both"/>
        <w:rPr>
          <w:rFonts w:ascii="Times New Roman" w:hAnsi="Times New Roman" w:cs="Times New Roman"/>
          <w:sz w:val="22"/>
          <w:szCs w:val="22"/>
          <w:u w:val="single"/>
        </w:rPr>
      </w:pPr>
      <w:r w:rsidRPr="002A68F0">
        <w:rPr>
          <w:rFonts w:ascii="Times New Roman" w:hAnsi="Times New Roman" w:cs="Times New Roman"/>
          <w:sz w:val="22"/>
          <w:szCs w:val="22"/>
          <w:u w:val="single"/>
        </w:rPr>
        <w:t>Sustainable Development Goals</w:t>
      </w:r>
    </w:p>
    <w:p w14:paraId="005D7E84"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Where the State measures its progress against SDG3, does it make reference to the health outcomes and needs of persons affected by violence and discrimination based on sexual orientation and gender identity?</w:t>
      </w:r>
    </w:p>
    <w:p w14:paraId="1DCB2D5A" w14:textId="77777777" w:rsidR="000301FF" w:rsidRPr="002A68F0" w:rsidRDefault="000301FF" w:rsidP="000301FF">
      <w:pPr>
        <w:pStyle w:val="Heading2"/>
        <w:keepNext w:val="0"/>
        <w:keepLines w:val="0"/>
        <w:numPr>
          <w:ilvl w:val="1"/>
          <w:numId w:val="11"/>
        </w:numPr>
        <w:spacing w:before="240"/>
        <w:contextualSpacing w:val="0"/>
        <w:jc w:val="both"/>
        <w:rPr>
          <w:rFonts w:ascii="Times New Roman" w:hAnsi="Times New Roman" w:cs="Times New Roman"/>
          <w:b/>
          <w:sz w:val="22"/>
          <w:szCs w:val="22"/>
        </w:rPr>
      </w:pPr>
      <w:r w:rsidRPr="002A68F0">
        <w:rPr>
          <w:rFonts w:ascii="Times New Roman" w:hAnsi="Times New Roman" w:cs="Times New Roman"/>
          <w:sz w:val="22"/>
          <w:szCs w:val="22"/>
        </w:rPr>
        <w:t>Does the State measure progress against any of the following SDG3 indicators for persons affected by violence and discrimination based on sexual orientation and gender identity? If so, please comment on whether health outcomes are improving or declining:</w:t>
      </w:r>
    </w:p>
    <w:p w14:paraId="16978D4C" w14:textId="77777777" w:rsidR="000301FF" w:rsidRPr="002A68F0" w:rsidRDefault="000301FF" w:rsidP="000301FF">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t xml:space="preserve">Indicator 3.3.1: Number of new HIV infections per 1,000 uninfected population, by sex, age and key </w:t>
      </w:r>
      <w:proofErr w:type="gramStart"/>
      <w:r w:rsidRPr="002A68F0">
        <w:rPr>
          <w:rFonts w:ascii="Times New Roman" w:eastAsia="Calibri" w:hAnsi="Times New Roman" w:cs="Times New Roman"/>
        </w:rPr>
        <w:t>populations;</w:t>
      </w:r>
      <w:proofErr w:type="gramEnd"/>
    </w:p>
    <w:p w14:paraId="4F1455EE" w14:textId="77777777" w:rsidR="000301FF" w:rsidRPr="002A68F0" w:rsidRDefault="000301FF" w:rsidP="000301FF">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t>Indicator 3.4.2: Suicide mortality rate;</w:t>
      </w:r>
    </w:p>
    <w:p w14:paraId="5A316393" w14:textId="77777777" w:rsidR="000301FF" w:rsidRPr="002A68F0" w:rsidRDefault="000301FF" w:rsidP="000301FF">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t>Indicator 3.5.1: Coverage of treatment interventions (pharmacological, psychosocial and rehabilitation and aftercare services) for substance use disorders;</w:t>
      </w:r>
    </w:p>
    <w:p w14:paraId="33C5EF9F" w14:textId="77777777" w:rsidR="000301FF" w:rsidRPr="002A68F0" w:rsidRDefault="000301FF" w:rsidP="000301FF">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t>Indicator 3.5.2: Harmful use of alcohol, defined according to the national context as alcohol per capita consumption (aged 15 years and older) within a calendar year in litres of pure alcohol</w:t>
      </w:r>
    </w:p>
    <w:p w14:paraId="4B866BD8" w14:textId="77777777" w:rsidR="000301FF" w:rsidRPr="002A68F0" w:rsidRDefault="000301FF" w:rsidP="000301FF">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t>Indicator 3.7.1: Proportion of women of reproductive age (aged 15-49 years) who have their need for family planning satisfied with modern methods, including lesbian and bisexual women, and trans persons;</w:t>
      </w:r>
    </w:p>
    <w:p w14:paraId="7EE42970" w14:textId="77777777" w:rsidR="000301FF" w:rsidRPr="002A68F0" w:rsidRDefault="000301FF" w:rsidP="000301FF">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lastRenderedPageBreak/>
        <w:t>Indicator 3.7.2: Adolescent birth rate (aged 10-14 years; aged 15-19 years) per 1,000 women and trans men in that age group, particularly among LBT and GNC young individuals;</w:t>
      </w:r>
    </w:p>
    <w:p w14:paraId="1216A414" w14:textId="77777777" w:rsidR="000301FF" w:rsidRPr="002A68F0" w:rsidRDefault="000301FF" w:rsidP="000301FF">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t xml:space="preserve">Indicator 3.8.1: Coverage of essential health services (defined as the average coverage of essential services based on tracer interventions that include reproductive, maternal, </w:t>
      </w:r>
      <w:proofErr w:type="spellStart"/>
      <w:r w:rsidRPr="002A68F0">
        <w:rPr>
          <w:rFonts w:ascii="Times New Roman" w:eastAsia="Calibri" w:hAnsi="Times New Roman" w:cs="Times New Roman"/>
        </w:rPr>
        <w:t>newborn</w:t>
      </w:r>
      <w:proofErr w:type="spellEnd"/>
      <w:r w:rsidRPr="002A68F0">
        <w:rPr>
          <w:rFonts w:ascii="Times New Roman" w:eastAsia="Calibri" w:hAnsi="Times New Roman" w:cs="Times New Roman"/>
        </w:rPr>
        <w:t xml:space="preserve"> and child health, infectious diseases, non-communicable diseases and service capacity and access, among the general and the most disadvantaged population); and</w:t>
      </w:r>
    </w:p>
    <w:p w14:paraId="09A14672" w14:textId="77777777" w:rsidR="00A31F14" w:rsidRPr="002A68F0" w:rsidRDefault="000301FF" w:rsidP="00D60DF4">
      <w:pPr>
        <w:pStyle w:val="ListParagraph"/>
        <w:numPr>
          <w:ilvl w:val="2"/>
          <w:numId w:val="11"/>
        </w:numPr>
        <w:spacing w:after="120"/>
        <w:ind w:left="1418" w:hanging="284"/>
        <w:contextualSpacing w:val="0"/>
        <w:jc w:val="both"/>
        <w:rPr>
          <w:rFonts w:ascii="Times New Roman" w:eastAsia="Calibri" w:hAnsi="Times New Roman" w:cs="Times New Roman"/>
        </w:rPr>
      </w:pPr>
      <w:r w:rsidRPr="002A68F0">
        <w:rPr>
          <w:rFonts w:ascii="Times New Roman" w:eastAsia="Calibri" w:hAnsi="Times New Roman" w:cs="Times New Roman"/>
        </w:rPr>
        <w:t>Indicator 3.8.2: Proportion of population with large household expenditures on health as a share of total household expenditure or income.</w:t>
      </w:r>
    </w:p>
    <w:p w14:paraId="0B183937" w14:textId="77777777" w:rsidR="00204486" w:rsidRPr="00336B4B" w:rsidRDefault="00204486" w:rsidP="00A31F14">
      <w:pPr>
        <w:autoSpaceDE w:val="0"/>
        <w:autoSpaceDN w:val="0"/>
        <w:adjustRightInd w:val="0"/>
        <w:spacing w:line="240" w:lineRule="auto"/>
        <w:jc w:val="both"/>
        <w:rPr>
          <w:rFonts w:ascii="Times New Roman" w:hAnsi="Times New Roman" w:cs="Times New Roman"/>
          <w:b/>
          <w:u w:val="single"/>
          <w:lang w:val="en-US"/>
        </w:rPr>
      </w:pPr>
    </w:p>
    <w:p w14:paraId="3B57B67E" w14:textId="77777777" w:rsidR="009D16AC" w:rsidRPr="00336B4B" w:rsidRDefault="00704CFB" w:rsidP="00040497">
      <w:pPr>
        <w:autoSpaceDE w:val="0"/>
        <w:autoSpaceDN w:val="0"/>
        <w:adjustRightInd w:val="0"/>
        <w:spacing w:line="240" w:lineRule="auto"/>
        <w:jc w:val="both"/>
        <w:rPr>
          <w:rFonts w:ascii="Times New Roman" w:hAnsi="Times New Roman" w:cs="Times New Roman"/>
        </w:rPr>
      </w:pPr>
      <w:r w:rsidRPr="00704CFB">
        <w:rPr>
          <w:rFonts w:ascii="Times New Roman" w:hAnsi="Times New Roman" w:cs="Times New Roman"/>
          <w:b/>
          <w:u w:val="single"/>
          <w:lang w:val="en-US"/>
        </w:rPr>
        <w:t xml:space="preserve">Practical details and contact information </w:t>
      </w:r>
      <w:r w:rsidRPr="00704CFB">
        <w:rPr>
          <w:rFonts w:ascii="Times New Roman" w:hAnsi="Times New Roman" w:cs="Times New Roman"/>
          <w:b/>
          <w:u w:val="single"/>
          <w:lang w:val="en-US"/>
        </w:rPr>
        <w:cr/>
      </w:r>
    </w:p>
    <w:p w14:paraId="42CF089F" w14:textId="77777777" w:rsidR="002625F8" w:rsidRDefault="0045428F" w:rsidP="002625F8">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The consultation will take place on</w:t>
      </w:r>
      <w:r w:rsidR="005D7B78">
        <w:rPr>
          <w:rFonts w:ascii="Times New Roman" w:hAnsi="Times New Roman" w:cs="Times New Roman"/>
        </w:rPr>
        <w:t xml:space="preserve"> </w:t>
      </w:r>
      <w:r w:rsidR="00E831E2">
        <w:rPr>
          <w:rFonts w:ascii="Times New Roman" w:hAnsi="Times New Roman" w:cs="Times New Roman"/>
          <w:b/>
          <w:bCs/>
        </w:rPr>
        <w:t>1</w:t>
      </w:r>
      <w:r w:rsidR="00900266">
        <w:rPr>
          <w:rFonts w:ascii="Times New Roman" w:hAnsi="Times New Roman" w:cs="Times New Roman"/>
          <w:b/>
          <w:bCs/>
        </w:rPr>
        <w:t>4</w:t>
      </w:r>
      <w:r w:rsidR="005D7B78" w:rsidRPr="005D7B78">
        <w:rPr>
          <w:rFonts w:ascii="Times New Roman" w:hAnsi="Times New Roman" w:cs="Times New Roman"/>
          <w:b/>
          <w:bCs/>
        </w:rPr>
        <w:t xml:space="preserve"> April</w:t>
      </w:r>
      <w:r w:rsidRPr="005D7B78">
        <w:rPr>
          <w:rFonts w:ascii="Times New Roman" w:hAnsi="Times New Roman" w:cs="Times New Roman"/>
          <w:b/>
          <w:bCs/>
        </w:rPr>
        <w:t xml:space="preserve"> 2022</w:t>
      </w:r>
      <w:r w:rsidRPr="0045428F">
        <w:rPr>
          <w:rFonts w:ascii="Times New Roman" w:hAnsi="Times New Roman" w:cs="Times New Roman"/>
          <w:b/>
        </w:rPr>
        <w:t xml:space="preserve">, </w:t>
      </w:r>
      <w:bookmarkStart w:id="0" w:name="_Hlk99036146"/>
      <w:r w:rsidRPr="0045428F">
        <w:rPr>
          <w:rFonts w:ascii="Times New Roman" w:hAnsi="Times New Roman" w:cs="Times New Roman"/>
          <w:b/>
        </w:rPr>
        <w:t xml:space="preserve">from </w:t>
      </w:r>
      <w:r w:rsidR="002625F8">
        <w:rPr>
          <w:rFonts w:ascii="Times New Roman" w:hAnsi="Times New Roman" w:cs="Times New Roman"/>
          <w:b/>
        </w:rPr>
        <w:t>10</w:t>
      </w:r>
      <w:r w:rsidRPr="0045428F">
        <w:rPr>
          <w:rFonts w:ascii="Times New Roman" w:hAnsi="Times New Roman" w:cs="Times New Roman"/>
          <w:b/>
        </w:rPr>
        <w:t>:00 to 1</w:t>
      </w:r>
      <w:r w:rsidR="002625F8">
        <w:rPr>
          <w:rFonts w:ascii="Times New Roman" w:hAnsi="Times New Roman" w:cs="Times New Roman"/>
          <w:b/>
        </w:rPr>
        <w:t>2</w:t>
      </w:r>
      <w:r w:rsidRPr="0045428F">
        <w:rPr>
          <w:rFonts w:ascii="Times New Roman" w:hAnsi="Times New Roman" w:cs="Times New Roman"/>
          <w:b/>
        </w:rPr>
        <w:t>:00 ET / 1</w:t>
      </w:r>
      <w:r w:rsidR="002625F8">
        <w:rPr>
          <w:rFonts w:ascii="Times New Roman" w:hAnsi="Times New Roman" w:cs="Times New Roman"/>
          <w:b/>
        </w:rPr>
        <w:t>6</w:t>
      </w:r>
      <w:r w:rsidRPr="0045428F">
        <w:rPr>
          <w:rFonts w:ascii="Times New Roman" w:hAnsi="Times New Roman" w:cs="Times New Roman"/>
          <w:b/>
        </w:rPr>
        <w:t>:00 to 1</w:t>
      </w:r>
      <w:r w:rsidR="002625F8">
        <w:rPr>
          <w:rFonts w:ascii="Times New Roman" w:hAnsi="Times New Roman" w:cs="Times New Roman"/>
          <w:b/>
        </w:rPr>
        <w:t>8</w:t>
      </w:r>
      <w:r w:rsidRPr="0045428F">
        <w:rPr>
          <w:rFonts w:ascii="Times New Roman" w:hAnsi="Times New Roman" w:cs="Times New Roman"/>
          <w:b/>
        </w:rPr>
        <w:t>:00 CET</w:t>
      </w:r>
      <w:bookmarkEnd w:id="0"/>
      <w:r>
        <w:rPr>
          <w:rFonts w:ascii="Times New Roman" w:hAnsi="Times New Roman" w:cs="Times New Roman"/>
        </w:rPr>
        <w:t xml:space="preserve">. </w:t>
      </w:r>
      <w:r w:rsidR="00E831E2">
        <w:rPr>
          <w:rFonts w:ascii="Times New Roman" w:hAnsi="Times New Roman" w:cs="Times New Roman"/>
        </w:rPr>
        <w:t>Please</w:t>
      </w:r>
      <w:r w:rsidR="00631F7D">
        <w:rPr>
          <w:rFonts w:ascii="Times New Roman" w:hAnsi="Times New Roman" w:cs="Times New Roman"/>
        </w:rPr>
        <w:t xml:space="preserve"> </w:t>
      </w:r>
      <w:r w:rsidR="00E831E2">
        <w:rPr>
          <w:rFonts w:ascii="Times New Roman" w:hAnsi="Times New Roman" w:cs="Times New Roman"/>
        </w:rPr>
        <w:t>register</w:t>
      </w:r>
      <w:r w:rsidR="00631F7D">
        <w:rPr>
          <w:rFonts w:ascii="Times New Roman" w:hAnsi="Times New Roman" w:cs="Times New Roman"/>
        </w:rPr>
        <w:t xml:space="preserve"> </w:t>
      </w:r>
      <w:r w:rsidR="00040497" w:rsidRPr="002A68F0">
        <w:rPr>
          <w:rFonts w:ascii="Times New Roman" w:hAnsi="Times New Roman" w:cs="Times New Roman"/>
        </w:rPr>
        <w:t>via this link</w:t>
      </w:r>
      <w:r w:rsidR="002A68F0" w:rsidRPr="002A68F0">
        <w:rPr>
          <w:rFonts w:ascii="Times New Roman" w:hAnsi="Times New Roman" w:cs="Times New Roman"/>
        </w:rPr>
        <w:t>:</w:t>
      </w:r>
    </w:p>
    <w:p w14:paraId="2F00CC80" w14:textId="558AA121" w:rsidR="00B416F2" w:rsidRPr="00336B4B" w:rsidRDefault="002625F8" w:rsidP="002625F8">
      <w:pPr>
        <w:autoSpaceDE w:val="0"/>
        <w:autoSpaceDN w:val="0"/>
        <w:adjustRightInd w:val="0"/>
        <w:spacing w:line="240" w:lineRule="auto"/>
        <w:jc w:val="both"/>
        <w:rPr>
          <w:rFonts w:ascii="Times New Roman" w:hAnsi="Times New Roman" w:cs="Times New Roman"/>
        </w:rPr>
      </w:pPr>
      <w:hyperlink r:id="rId13" w:history="1">
        <w:r w:rsidRPr="00336410">
          <w:rPr>
            <w:rStyle w:val="Hyperlink"/>
            <w:rFonts w:ascii="Times New Roman" w:hAnsi="Times New Roman" w:cs="Times New Roman"/>
          </w:rPr>
          <w:t>https://harvard.zoom.us/webinar/register/WN_MwGn2A3DQaCbyLMnR1hbJA</w:t>
        </w:r>
      </w:hyperlink>
    </w:p>
    <w:p w14:paraId="4CB22457" w14:textId="77777777" w:rsidR="00302BAB" w:rsidRPr="00336B4B" w:rsidRDefault="00302BAB" w:rsidP="00631F7D">
      <w:pPr>
        <w:autoSpaceDE w:val="0"/>
        <w:autoSpaceDN w:val="0"/>
        <w:adjustRightInd w:val="0"/>
        <w:spacing w:line="240" w:lineRule="auto"/>
        <w:jc w:val="both"/>
        <w:rPr>
          <w:rFonts w:ascii="Times New Roman" w:hAnsi="Times New Roman" w:cs="Times New Roman"/>
        </w:rPr>
      </w:pPr>
    </w:p>
    <w:p w14:paraId="6928EF46" w14:textId="77777777" w:rsidR="009231C0" w:rsidRPr="00336B4B" w:rsidRDefault="00040497" w:rsidP="00552454">
      <w:pPr>
        <w:autoSpaceDE w:val="0"/>
        <w:autoSpaceDN w:val="0"/>
        <w:adjustRightInd w:val="0"/>
        <w:spacing w:line="240" w:lineRule="auto"/>
        <w:ind w:firstLine="567"/>
        <w:jc w:val="both"/>
        <w:rPr>
          <w:rFonts w:ascii="Times New Roman" w:hAnsi="Times New Roman" w:cs="Times New Roman"/>
        </w:rPr>
        <w:sectPr w:rsidR="009231C0" w:rsidRPr="00336B4B" w:rsidSect="00C92CC7">
          <w:headerReference w:type="default" r:id="rId14"/>
          <w:pgSz w:w="11906" w:h="16838" w:code="9"/>
          <w:pgMar w:top="1440" w:right="1440" w:bottom="1440" w:left="1440" w:header="720" w:footer="720" w:gutter="0"/>
          <w:pgNumType w:start="1"/>
          <w:cols w:space="720"/>
          <w:docGrid w:linePitch="299"/>
        </w:sectPr>
      </w:pPr>
      <w:r w:rsidRPr="00336B4B">
        <w:rPr>
          <w:rFonts w:ascii="Times New Roman" w:hAnsi="Times New Roman" w:cs="Times New Roman"/>
        </w:rPr>
        <w:t>The consultation</w:t>
      </w:r>
      <w:r w:rsidR="00302BAB" w:rsidRPr="00336B4B">
        <w:rPr>
          <w:rFonts w:ascii="Times New Roman" w:hAnsi="Times New Roman" w:cs="Times New Roman"/>
        </w:rPr>
        <w:t xml:space="preserve"> wil</w:t>
      </w:r>
      <w:r w:rsidR="00A52FB6" w:rsidRPr="00336B4B">
        <w:rPr>
          <w:rFonts w:ascii="Times New Roman" w:hAnsi="Times New Roman" w:cs="Times New Roman"/>
        </w:rPr>
        <w:t>l be recorded.</w:t>
      </w:r>
      <w:r w:rsidRPr="00336B4B">
        <w:rPr>
          <w:rFonts w:ascii="Times New Roman" w:hAnsi="Times New Roman" w:cs="Times New Roman"/>
        </w:rPr>
        <w:t xml:space="preserve"> The recording</w:t>
      </w:r>
      <w:r w:rsidR="00302BAB" w:rsidRPr="00336B4B">
        <w:rPr>
          <w:rFonts w:ascii="Times New Roman" w:hAnsi="Times New Roman" w:cs="Times New Roman"/>
        </w:rPr>
        <w:t xml:space="preserve"> will be available through the Office of the United Nations High Commissioner for Human </w:t>
      </w:r>
      <w:r w:rsidRPr="00336B4B">
        <w:rPr>
          <w:rFonts w:ascii="Times New Roman" w:hAnsi="Times New Roman" w:cs="Times New Roman"/>
        </w:rPr>
        <w:t>Rights to anyone who requests it</w:t>
      </w:r>
      <w:r w:rsidR="00631F7D">
        <w:rPr>
          <w:rFonts w:ascii="Times New Roman" w:hAnsi="Times New Roman" w:cs="Times New Roman"/>
        </w:rPr>
        <w:t xml:space="preserve"> (</w:t>
      </w:r>
      <w:hyperlink r:id="rId15" w:history="1">
        <w:r w:rsidR="00631F7D" w:rsidRPr="00D3054F">
          <w:rPr>
            <w:rStyle w:val="Hyperlink"/>
            <w:rFonts w:ascii="Times New Roman" w:hAnsi="Times New Roman" w:cs="Times New Roman"/>
          </w:rPr>
          <w:t>ohchr-ie-sogi@un.org</w:t>
        </w:r>
      </w:hyperlink>
      <w:r w:rsidR="00631F7D">
        <w:rPr>
          <w:rFonts w:ascii="Times New Roman" w:hAnsi="Times New Roman" w:cs="Times New Roman"/>
        </w:rPr>
        <w:t>)</w:t>
      </w:r>
      <w:r w:rsidR="00B25712">
        <w:rPr>
          <w:rFonts w:ascii="Times New Roman" w:hAnsi="Times New Roman" w:cs="Times New Roman"/>
        </w:rPr>
        <w:t xml:space="preserve">. </w:t>
      </w:r>
    </w:p>
    <w:p w14:paraId="6270502E" w14:textId="77777777" w:rsidR="00302BAB" w:rsidRPr="00336B4B" w:rsidRDefault="00302BAB" w:rsidP="00302BAB">
      <w:pPr>
        <w:autoSpaceDE w:val="0"/>
        <w:autoSpaceDN w:val="0"/>
        <w:adjustRightInd w:val="0"/>
        <w:spacing w:line="240" w:lineRule="auto"/>
        <w:jc w:val="both"/>
        <w:rPr>
          <w:rFonts w:ascii="Times New Roman" w:hAnsi="Times New Roman" w:cs="Times New Roman"/>
        </w:rPr>
      </w:pPr>
    </w:p>
    <w:p w14:paraId="09C0E94E" w14:textId="77777777" w:rsidR="00336B4B" w:rsidRPr="00336B4B" w:rsidRDefault="0018507C" w:rsidP="00336B4B">
      <w:pPr>
        <w:autoSpaceDE w:val="0"/>
        <w:autoSpaceDN w:val="0"/>
        <w:adjustRightInd w:val="0"/>
        <w:spacing w:line="240" w:lineRule="auto"/>
        <w:ind w:firstLine="567"/>
        <w:jc w:val="both"/>
        <w:rPr>
          <w:rFonts w:ascii="Times New Roman" w:hAnsi="Times New Roman" w:cs="Times New Roman"/>
        </w:rPr>
      </w:pPr>
      <w:r w:rsidRPr="00336B4B">
        <w:rPr>
          <w:rFonts w:ascii="Times New Roman" w:hAnsi="Times New Roman" w:cs="Times New Roman"/>
        </w:rPr>
        <w:t xml:space="preserve">For any further question or clarification, please do </w:t>
      </w:r>
      <w:r w:rsidR="00F26905" w:rsidRPr="00336B4B">
        <w:rPr>
          <w:rFonts w:ascii="Times New Roman" w:hAnsi="Times New Roman" w:cs="Times New Roman"/>
        </w:rPr>
        <w:t xml:space="preserve">not hesitate to </w:t>
      </w:r>
      <w:r w:rsidR="0045428F">
        <w:rPr>
          <w:rFonts w:ascii="Times New Roman" w:hAnsi="Times New Roman" w:cs="Times New Roman"/>
        </w:rPr>
        <w:t>contact the Independent Expert</w:t>
      </w:r>
      <w:r w:rsidRPr="00336B4B">
        <w:rPr>
          <w:rFonts w:ascii="Times New Roman" w:hAnsi="Times New Roman" w:cs="Times New Roman"/>
        </w:rPr>
        <w:t xml:space="preserve"> through the Office of the United Nations High Commissioner for Human Rights (</w:t>
      </w:r>
      <w:hyperlink r:id="rId16" w:history="1">
        <w:r w:rsidR="00631F7D" w:rsidRPr="00D3054F">
          <w:rPr>
            <w:rStyle w:val="Hyperlink"/>
            <w:rFonts w:ascii="Times New Roman" w:hAnsi="Times New Roman" w:cs="Times New Roman"/>
          </w:rPr>
          <w:t>ohchr-ie-sogi@un.org</w:t>
        </w:r>
      </w:hyperlink>
      <w:r w:rsidR="00B25712">
        <w:rPr>
          <w:rFonts w:ascii="Times New Roman" w:hAnsi="Times New Roman" w:cs="Times New Roman"/>
        </w:rPr>
        <w:t>)</w:t>
      </w:r>
      <w:r w:rsidRPr="00336B4B">
        <w:rPr>
          <w:rFonts w:ascii="Times New Roman" w:hAnsi="Times New Roman" w:cs="Times New Roman"/>
        </w:rPr>
        <w:t xml:space="preserve">. </w:t>
      </w:r>
    </w:p>
    <w:p w14:paraId="48C2FABA" w14:textId="77777777" w:rsidR="00336B4B" w:rsidRPr="00336B4B" w:rsidRDefault="00336B4B" w:rsidP="0018507C">
      <w:pPr>
        <w:autoSpaceDE w:val="0"/>
        <w:autoSpaceDN w:val="0"/>
        <w:adjustRightInd w:val="0"/>
        <w:spacing w:line="240" w:lineRule="auto"/>
        <w:ind w:firstLine="567"/>
        <w:jc w:val="both"/>
        <w:rPr>
          <w:rFonts w:ascii="Times New Roman" w:hAnsi="Times New Roman" w:cs="Times New Roman"/>
        </w:rPr>
      </w:pPr>
    </w:p>
    <w:p w14:paraId="7B197D8B" w14:textId="77777777" w:rsidR="00F47CED" w:rsidRPr="00336B4B" w:rsidRDefault="00992385" w:rsidP="00336B4B">
      <w:pPr>
        <w:jc w:val="center"/>
        <w:rPr>
          <w:rFonts w:ascii="Times New Roman" w:hAnsi="Times New Roman" w:cs="Times New Roman"/>
          <w:lang w:eastAsia="en-GB"/>
        </w:rPr>
      </w:pPr>
      <w:r>
        <w:rPr>
          <w:rFonts w:ascii="Times New Roman" w:hAnsi="Times New Roman" w:cs="Times New Roman"/>
        </w:rPr>
        <w:t>***</w:t>
      </w:r>
    </w:p>
    <w:sectPr w:rsidR="00F47CED" w:rsidRPr="00336B4B" w:rsidSect="009231C0">
      <w:type w:val="continuous"/>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17B9" w14:textId="77777777" w:rsidR="00305601" w:rsidRDefault="00305601">
      <w:pPr>
        <w:spacing w:line="240" w:lineRule="auto"/>
      </w:pPr>
      <w:r>
        <w:separator/>
      </w:r>
    </w:p>
  </w:endnote>
  <w:endnote w:type="continuationSeparator" w:id="0">
    <w:p w14:paraId="64A05026" w14:textId="77777777" w:rsidR="00305601" w:rsidRDefault="0030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w:altName w:val="Corbel"/>
    <w:charset w:val="00"/>
    <w:family w:val="auto"/>
    <w:pitch w:val="default"/>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44BF" w14:textId="77777777" w:rsidR="00305601" w:rsidRDefault="00305601">
      <w:pPr>
        <w:spacing w:line="240" w:lineRule="auto"/>
      </w:pPr>
      <w:r>
        <w:separator/>
      </w:r>
    </w:p>
  </w:footnote>
  <w:footnote w:type="continuationSeparator" w:id="0">
    <w:p w14:paraId="23FEE703" w14:textId="77777777" w:rsidR="00305601" w:rsidRDefault="00305601">
      <w:pPr>
        <w:spacing w:line="240" w:lineRule="auto"/>
      </w:pPr>
      <w:r>
        <w:continuationSeparator/>
      </w:r>
    </w:p>
  </w:footnote>
  <w:footnote w:id="1">
    <w:p w14:paraId="783C4D0B" w14:textId="77777777" w:rsidR="007D6BA8" w:rsidRPr="007D6BA8" w:rsidRDefault="007D6BA8" w:rsidP="007D6BA8">
      <w:pPr>
        <w:pStyle w:val="FootnoteText"/>
        <w:jc w:val="both"/>
        <w:rPr>
          <w:rFonts w:ascii="Times New Roman" w:hAnsi="Times New Roman" w:cs="Times New Roman"/>
        </w:rPr>
      </w:pPr>
      <w:r w:rsidRPr="007D6BA8">
        <w:rPr>
          <w:rStyle w:val="FootnoteReference"/>
          <w:rFonts w:ascii="Times New Roman" w:hAnsi="Times New Roman" w:cs="Times New Roman"/>
        </w:rPr>
        <w:footnoteRef/>
      </w:r>
      <w:r w:rsidRPr="007D6BA8">
        <w:rPr>
          <w:rFonts w:ascii="Times New Roman" w:hAnsi="Times New Roman" w:cs="Times New Roman"/>
        </w:rPr>
        <w:t xml:space="preserve"> </w:t>
      </w:r>
      <w:r>
        <w:rPr>
          <w:rFonts w:ascii="Times New Roman" w:hAnsi="Times New Roman" w:cs="Times New Roman"/>
        </w:rPr>
        <w:t>See</w:t>
      </w:r>
      <w:r w:rsidRPr="007D6BA8">
        <w:rPr>
          <w:rFonts w:ascii="Times New Roman" w:hAnsi="Times New Roman" w:cs="Times New Roman"/>
        </w:rPr>
        <w:t xml:space="preserve"> the IE SOGI report to the 44th session of the Human Rights Council, A/HRC/44/53, available at </w:t>
      </w:r>
      <w:hyperlink r:id="rId1" w:history="1">
        <w:r w:rsidRPr="007D6BA8">
          <w:rPr>
            <w:rStyle w:val="Hyperlink"/>
            <w:rFonts w:ascii="Times New Roman" w:hAnsi="Times New Roman" w:cs="Times New Roman"/>
          </w:rPr>
          <w:t>https://www.ohchr.org/EN/Issues/SexualOrientationGender/Pages/ReportOnConversiontherapy.aspx</w:t>
        </w:r>
      </w:hyperlink>
      <w:r w:rsidRPr="007D6BA8">
        <w:rPr>
          <w:rFonts w:ascii="Times New Roman" w:hAnsi="Times New Roman" w:cs="Times New Roman"/>
        </w:rPr>
        <w:t xml:space="preserve">. </w:t>
      </w:r>
    </w:p>
  </w:footnote>
  <w:footnote w:id="2">
    <w:p w14:paraId="3C6496BB" w14:textId="77777777" w:rsidR="00AE3CF0" w:rsidRPr="00AE3CF0" w:rsidRDefault="00AE3CF0" w:rsidP="00AE3CF0">
      <w:pPr>
        <w:pStyle w:val="FootnoteText"/>
        <w:jc w:val="both"/>
        <w:rPr>
          <w:rFonts w:ascii="Times New Roman" w:hAnsi="Times New Roman" w:cs="Times New Roman"/>
        </w:rPr>
      </w:pPr>
      <w:r w:rsidRPr="00AE3CF0">
        <w:rPr>
          <w:rStyle w:val="FootnoteReference"/>
          <w:rFonts w:ascii="Times New Roman" w:hAnsi="Times New Roman" w:cs="Times New Roman"/>
        </w:rPr>
        <w:footnoteRef/>
      </w:r>
      <w:r w:rsidR="000C346D">
        <w:rPr>
          <w:rFonts w:ascii="Times New Roman" w:hAnsi="Times New Roman" w:cs="Times New Roman"/>
        </w:rPr>
        <w:t xml:space="preserve"> </w:t>
      </w:r>
      <w:r w:rsidRPr="00AE3CF0">
        <w:rPr>
          <w:rFonts w:ascii="Times New Roman" w:hAnsi="Times New Roman" w:cs="Times New Roman"/>
        </w:rPr>
        <w:t xml:space="preserve">CEDAW/C/BEL/CO/7, 2014, para. 44; see also CEDAW/C/NLD/CO/5, 2010, para. </w:t>
      </w:r>
      <w:r w:rsidRPr="005D7B78">
        <w:rPr>
          <w:rFonts w:ascii="Times New Roman" w:hAnsi="Times New Roman" w:cs="Times New Roman"/>
          <w:lang w:val="es-ES"/>
        </w:rPr>
        <w:t xml:space="preserve">46-47, CCPR/C/KOR/CO/4, 2015, para.14, CCPR/C/UKR/CO/7, para. </w:t>
      </w:r>
      <w:r w:rsidRPr="00AE3CF0">
        <w:rPr>
          <w:rFonts w:ascii="Times New Roman" w:hAnsi="Times New Roman" w:cs="Times New Roman"/>
        </w:rPr>
        <w:t>10, CAT/C/CHN-HKG/CO/5, 2016, para.28</w:t>
      </w:r>
    </w:p>
  </w:footnote>
  <w:footnote w:id="3">
    <w:p w14:paraId="79F767F6" w14:textId="77777777" w:rsidR="00AE3CF0" w:rsidRPr="003B1978" w:rsidRDefault="00AE3CF0">
      <w:pPr>
        <w:pStyle w:val="FootnoteText"/>
        <w:rPr>
          <w:rFonts w:ascii="Times New Roman" w:hAnsi="Times New Roman" w:cs="Times New Roman"/>
        </w:rPr>
      </w:pPr>
      <w:r w:rsidRPr="003B1978">
        <w:rPr>
          <w:rStyle w:val="FootnoteReference"/>
          <w:rFonts w:ascii="Times New Roman" w:hAnsi="Times New Roman" w:cs="Times New Roman"/>
        </w:rPr>
        <w:footnoteRef/>
      </w:r>
      <w:r w:rsidRPr="003B1978">
        <w:rPr>
          <w:rFonts w:ascii="Times New Roman" w:hAnsi="Times New Roman" w:cs="Times New Roman"/>
        </w:rPr>
        <w:t xml:space="preserve"> </w:t>
      </w:r>
      <w:r w:rsidR="003B1978" w:rsidRPr="003B1978">
        <w:rPr>
          <w:rFonts w:ascii="Times New Roman" w:hAnsi="Times New Roman" w:cs="Times New Roman"/>
        </w:rPr>
        <w:t>See A/56/156, 2001, para. 24; A/HRC/14/20, 2010, para 23.</w:t>
      </w:r>
    </w:p>
  </w:footnote>
  <w:footnote w:id="4">
    <w:p w14:paraId="235C3504" w14:textId="77777777" w:rsidR="00D55C32" w:rsidRPr="00D55C32" w:rsidRDefault="00D55C32" w:rsidP="00D55C32">
      <w:pPr>
        <w:pStyle w:val="FootnoteText"/>
        <w:rPr>
          <w:rFonts w:ascii="Times New Roman" w:hAnsi="Times New Roman" w:cs="Times New Roman"/>
        </w:rPr>
      </w:pPr>
      <w:r w:rsidRPr="00D55C32">
        <w:rPr>
          <w:rStyle w:val="FootnoteReference"/>
          <w:rFonts w:ascii="Times New Roman" w:hAnsi="Times New Roman" w:cs="Times New Roman"/>
        </w:rPr>
        <w:footnoteRef/>
      </w:r>
      <w:r w:rsidRPr="00D55C32">
        <w:rPr>
          <w:rFonts w:ascii="Times New Roman" w:hAnsi="Times New Roman" w:cs="Times New Roman"/>
        </w:rPr>
        <w:t xml:space="preserve"> </w:t>
      </w:r>
      <w:r w:rsidRPr="00D55C32">
        <w:rPr>
          <w:rFonts w:ascii="Times New Roman" w:hAnsi="Times New Roman" w:cs="Times New Roman"/>
          <w:lang w:val="en-US"/>
        </w:rPr>
        <w:t>See</w:t>
      </w:r>
      <w:hyperlink w:history="1"/>
      <w:r w:rsidRPr="00D55C32">
        <w:rPr>
          <w:rStyle w:val="Hyperlink"/>
          <w:rFonts w:ascii="Times New Roman" w:hAnsi="Times New Roman" w:cs="Times New Roman"/>
        </w:rPr>
        <w:t xml:space="preserve"> </w:t>
      </w:r>
      <w:hyperlink r:id="rId2" w:history="1">
        <w:r w:rsidRPr="00D55C32">
          <w:rPr>
            <w:rStyle w:val="Hyperlink"/>
            <w:rFonts w:ascii="Times New Roman" w:hAnsi="Times New Roman" w:cs="Times New Roman"/>
          </w:rPr>
          <w:t>https://sdgs.un.org/goals/goal3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A7EB" w14:textId="77777777" w:rsidR="00C92CC7" w:rsidRDefault="00442571" w:rsidP="00C92CC7">
    <w:pPr>
      <w:pStyle w:val="NoSpacing"/>
      <w:jc w:val="center"/>
      <w:rPr>
        <w:sz w:val="14"/>
        <w:szCs w:val="14"/>
      </w:rPr>
    </w:pPr>
    <w:r>
      <w:rPr>
        <w:noProof/>
        <w:lang w:eastAsia="en-GB"/>
      </w:rPr>
      <w:drawing>
        <wp:anchor distT="0" distB="0" distL="114300" distR="114300" simplePos="0" relativeHeight="251658240" behindDoc="1" locked="0" layoutInCell="1" allowOverlap="1" wp14:anchorId="20FF9A32" wp14:editId="08CB3EFE">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BB7B7" w14:textId="77777777" w:rsidR="00442571" w:rsidRDefault="00442571" w:rsidP="00C92CC7">
    <w:pPr>
      <w:pStyle w:val="NoSpacing"/>
      <w:jc w:val="center"/>
      <w:rPr>
        <w:sz w:val="14"/>
        <w:szCs w:val="14"/>
      </w:rPr>
    </w:pPr>
  </w:p>
  <w:p w14:paraId="6393BD0C" w14:textId="77777777" w:rsidR="00442571" w:rsidRDefault="00442571" w:rsidP="00C92CC7">
    <w:pPr>
      <w:pStyle w:val="NoSpacing"/>
      <w:jc w:val="center"/>
      <w:rPr>
        <w:sz w:val="14"/>
        <w:szCs w:val="14"/>
      </w:rPr>
    </w:pPr>
  </w:p>
  <w:p w14:paraId="35C85FD5" w14:textId="77777777" w:rsidR="00442571" w:rsidRDefault="00442571" w:rsidP="00C92CC7">
    <w:pPr>
      <w:pStyle w:val="NoSpacing"/>
      <w:jc w:val="center"/>
      <w:rPr>
        <w:sz w:val="14"/>
        <w:szCs w:val="14"/>
      </w:rPr>
    </w:pPr>
  </w:p>
  <w:p w14:paraId="63114C7D" w14:textId="77777777" w:rsidR="00442571" w:rsidRDefault="00442571" w:rsidP="00C92CC7">
    <w:pPr>
      <w:pStyle w:val="NoSpacing"/>
      <w:jc w:val="center"/>
      <w:rPr>
        <w:sz w:val="14"/>
        <w:szCs w:val="14"/>
      </w:rPr>
    </w:pPr>
  </w:p>
  <w:p w14:paraId="29B036A5" w14:textId="77777777" w:rsidR="00442571" w:rsidRDefault="00442571" w:rsidP="00C92CC7">
    <w:pPr>
      <w:pStyle w:val="NoSpacing"/>
      <w:jc w:val="center"/>
      <w:rPr>
        <w:sz w:val="14"/>
        <w:szCs w:val="14"/>
      </w:rPr>
    </w:pPr>
  </w:p>
  <w:p w14:paraId="682D2C9C" w14:textId="77777777" w:rsidR="00442571" w:rsidRDefault="00442571" w:rsidP="00C92CC7">
    <w:pPr>
      <w:pStyle w:val="NoSpacing"/>
      <w:jc w:val="center"/>
      <w:rPr>
        <w:sz w:val="14"/>
        <w:szCs w:val="14"/>
      </w:rPr>
    </w:pPr>
  </w:p>
  <w:p w14:paraId="28154041" w14:textId="77777777" w:rsidR="00CD053F" w:rsidRDefault="00997314" w:rsidP="00C92CC7">
    <w:pPr>
      <w:pStyle w:val="NoSpacing"/>
      <w:jc w:val="center"/>
    </w:pPr>
    <w:r>
      <w:rPr>
        <w:sz w:val="14"/>
        <w:szCs w:val="14"/>
      </w:rPr>
      <w:t>HAUT-COMMISSARIAT AUX DROITS DE L’HOMME • OFFICE OF THE HIGH COMMISSIONER FOR HUMAN RIGHTS</w:t>
    </w:r>
  </w:p>
  <w:p w14:paraId="524EC073" w14:textId="77777777" w:rsidR="00CD053F" w:rsidRPr="0018507C" w:rsidRDefault="00997314">
    <w:pPr>
      <w:jc w:val="center"/>
      <w:rPr>
        <w:lang w:val="fr-CH"/>
      </w:rPr>
    </w:pPr>
    <w:r w:rsidRPr="0018507C">
      <w:rPr>
        <w:sz w:val="14"/>
        <w:szCs w:val="14"/>
        <w:lang w:val="fr-CH"/>
      </w:rPr>
      <w:t>PALAIS DES NATIONS • 1211 GENEVA 10, SWITZERLAND</w:t>
    </w:r>
  </w:p>
  <w:p w14:paraId="3239D684" w14:textId="77777777" w:rsidR="00CD053F" w:rsidRPr="0018507C" w:rsidRDefault="00997314">
    <w:pPr>
      <w:spacing w:before="80" w:after="360"/>
      <w:jc w:val="center"/>
      <w:rPr>
        <w:lang w:val="fr-CH"/>
      </w:rPr>
    </w:pPr>
    <w:r w:rsidRPr="0018507C">
      <w:rPr>
        <w:sz w:val="14"/>
        <w:szCs w:val="14"/>
        <w:lang w:val="fr-CH"/>
      </w:rPr>
      <w:t xml:space="preserve">www.ohchr.org • </w:t>
    </w:r>
    <w:proofErr w:type="gramStart"/>
    <w:r w:rsidRPr="0018507C">
      <w:rPr>
        <w:sz w:val="14"/>
        <w:szCs w:val="14"/>
        <w:lang w:val="fr-CH"/>
      </w:rPr>
      <w:t>TEL:</w:t>
    </w:r>
    <w:proofErr w:type="gramEnd"/>
    <w:r w:rsidRPr="0018507C">
      <w:rPr>
        <w:sz w:val="14"/>
        <w:szCs w:val="14"/>
        <w:lang w:val="fr-CH"/>
      </w:rPr>
      <w:t xml:space="preserve">  +41 22 917 9000 • FAX:  +41 22 917 9008 • E-MAIL:  </w:t>
    </w:r>
    <w:r w:rsidR="00C92CC7" w:rsidRPr="0018507C">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82402C"/>
    <w:lvl w:ilvl="0">
      <w:numFmt w:val="bullet"/>
      <w:lvlText w:val="*"/>
      <w:lvlJc w:val="left"/>
    </w:lvl>
  </w:abstractNum>
  <w:abstractNum w:abstractNumId="1" w15:restartNumberingAfterBreak="0">
    <w:nsid w:val="054B325C"/>
    <w:multiLevelType w:val="hybridMultilevel"/>
    <w:tmpl w:val="A00C6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42A3"/>
    <w:multiLevelType w:val="hybridMultilevel"/>
    <w:tmpl w:val="35B6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777A4"/>
    <w:multiLevelType w:val="hybridMultilevel"/>
    <w:tmpl w:val="47E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30E"/>
    <w:multiLevelType w:val="hybridMultilevel"/>
    <w:tmpl w:val="02BE9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73E4E"/>
    <w:multiLevelType w:val="multilevel"/>
    <w:tmpl w:val="5112A4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A00C75"/>
    <w:multiLevelType w:val="multilevel"/>
    <w:tmpl w:val="163A1CCC"/>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lowerLetter"/>
      <w:lvlText w:val="%3."/>
      <w:lvlJc w:val="left"/>
      <w:pPr>
        <w:ind w:left="1800" w:hanging="360"/>
      </w:pPr>
      <w:rPr>
        <w:rFonts w:ascii="Helvetica Neue" w:eastAsia="Helvetica Neue" w:hAnsi="Helvetica Neue" w:cs="Helvetica Neue"/>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498E0387"/>
    <w:multiLevelType w:val="hybridMultilevel"/>
    <w:tmpl w:val="006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0B3706"/>
    <w:multiLevelType w:val="hybridMultilevel"/>
    <w:tmpl w:val="4480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04C6C"/>
    <w:multiLevelType w:val="hybridMultilevel"/>
    <w:tmpl w:val="2DFEF49C"/>
    <w:lvl w:ilvl="0" w:tplc="4EE4D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4"/>
  </w:num>
  <w:num w:numId="3">
    <w:abstractNumId w:val="9"/>
  </w:num>
  <w:num w:numId="4">
    <w:abstractNumId w:val="1"/>
  </w:num>
  <w:num w:numId="5">
    <w:abstractNumId w:val="0"/>
    <w:lvlOverride w:ilvl="0">
      <w:lvl w:ilvl="0">
        <w:numFmt w:val="bullet"/>
        <w:lvlText w:val="o"/>
        <w:legacy w:legacy="1" w:legacySpace="0" w:legacyIndent="0"/>
        <w:lvlJc w:val="left"/>
        <w:rPr>
          <w:rFonts w:ascii="Courier" w:hAnsi="Courier" w:hint="default"/>
        </w:rPr>
      </w:lvl>
    </w:lvlOverride>
  </w:num>
  <w:num w:numId="6">
    <w:abstractNumId w:val="2"/>
  </w:num>
  <w:num w:numId="7">
    <w:abstractNumId w:val="8"/>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3F"/>
    <w:rsid w:val="000240F4"/>
    <w:rsid w:val="00025435"/>
    <w:rsid w:val="000301FF"/>
    <w:rsid w:val="00035413"/>
    <w:rsid w:val="000365F1"/>
    <w:rsid w:val="00040497"/>
    <w:rsid w:val="00076909"/>
    <w:rsid w:val="00080B15"/>
    <w:rsid w:val="00081B3D"/>
    <w:rsid w:val="000851B8"/>
    <w:rsid w:val="00095D5F"/>
    <w:rsid w:val="00097F88"/>
    <w:rsid w:val="000A7317"/>
    <w:rsid w:val="000B0B97"/>
    <w:rsid w:val="000C346D"/>
    <w:rsid w:val="000D6C41"/>
    <w:rsid w:val="000D725E"/>
    <w:rsid w:val="00117D7A"/>
    <w:rsid w:val="00134FA3"/>
    <w:rsid w:val="0018507C"/>
    <w:rsid w:val="001F04A6"/>
    <w:rsid w:val="00204486"/>
    <w:rsid w:val="002453A5"/>
    <w:rsid w:val="002625F8"/>
    <w:rsid w:val="00263822"/>
    <w:rsid w:val="00266DA6"/>
    <w:rsid w:val="00275CA1"/>
    <w:rsid w:val="002A291A"/>
    <w:rsid w:val="002A68F0"/>
    <w:rsid w:val="002F3B40"/>
    <w:rsid w:val="00302BAB"/>
    <w:rsid w:val="00305601"/>
    <w:rsid w:val="003200F2"/>
    <w:rsid w:val="00323E92"/>
    <w:rsid w:val="00335C8B"/>
    <w:rsid w:val="00336B4B"/>
    <w:rsid w:val="0033760D"/>
    <w:rsid w:val="0034127E"/>
    <w:rsid w:val="003655F5"/>
    <w:rsid w:val="003A2CA5"/>
    <w:rsid w:val="003A7A1B"/>
    <w:rsid w:val="003B1978"/>
    <w:rsid w:val="003B7DD2"/>
    <w:rsid w:val="003D6578"/>
    <w:rsid w:val="00412F93"/>
    <w:rsid w:val="00442571"/>
    <w:rsid w:val="0045428F"/>
    <w:rsid w:val="00467AEF"/>
    <w:rsid w:val="00487445"/>
    <w:rsid w:val="004E2C0E"/>
    <w:rsid w:val="004F7E4C"/>
    <w:rsid w:val="00506D20"/>
    <w:rsid w:val="0052307C"/>
    <w:rsid w:val="00547628"/>
    <w:rsid w:val="00552454"/>
    <w:rsid w:val="00573054"/>
    <w:rsid w:val="0059773A"/>
    <w:rsid w:val="005C1758"/>
    <w:rsid w:val="005D7B78"/>
    <w:rsid w:val="005E4F47"/>
    <w:rsid w:val="00627EB9"/>
    <w:rsid w:val="00631F7D"/>
    <w:rsid w:val="00665BE9"/>
    <w:rsid w:val="006738FE"/>
    <w:rsid w:val="00676367"/>
    <w:rsid w:val="006F05FE"/>
    <w:rsid w:val="00704CFB"/>
    <w:rsid w:val="0073163C"/>
    <w:rsid w:val="007803F0"/>
    <w:rsid w:val="007A5647"/>
    <w:rsid w:val="007C2FF0"/>
    <w:rsid w:val="007D6BA8"/>
    <w:rsid w:val="007F0283"/>
    <w:rsid w:val="00801CC6"/>
    <w:rsid w:val="00846783"/>
    <w:rsid w:val="00846A9C"/>
    <w:rsid w:val="00866867"/>
    <w:rsid w:val="00883FF9"/>
    <w:rsid w:val="008F569F"/>
    <w:rsid w:val="00900266"/>
    <w:rsid w:val="00906096"/>
    <w:rsid w:val="009118CD"/>
    <w:rsid w:val="009231C0"/>
    <w:rsid w:val="00992385"/>
    <w:rsid w:val="00997314"/>
    <w:rsid w:val="009D16AC"/>
    <w:rsid w:val="00A011F8"/>
    <w:rsid w:val="00A16065"/>
    <w:rsid w:val="00A31F14"/>
    <w:rsid w:val="00A52FB6"/>
    <w:rsid w:val="00A62587"/>
    <w:rsid w:val="00A64FDA"/>
    <w:rsid w:val="00A665E7"/>
    <w:rsid w:val="00A93615"/>
    <w:rsid w:val="00AE3CF0"/>
    <w:rsid w:val="00AF3FBC"/>
    <w:rsid w:val="00B25712"/>
    <w:rsid w:val="00B364A0"/>
    <w:rsid w:val="00B416F2"/>
    <w:rsid w:val="00B466C2"/>
    <w:rsid w:val="00B50B1F"/>
    <w:rsid w:val="00B9713B"/>
    <w:rsid w:val="00C04025"/>
    <w:rsid w:val="00C332EF"/>
    <w:rsid w:val="00C33DEB"/>
    <w:rsid w:val="00C4349D"/>
    <w:rsid w:val="00C92CC7"/>
    <w:rsid w:val="00CC2BD8"/>
    <w:rsid w:val="00CD053F"/>
    <w:rsid w:val="00CE2ED0"/>
    <w:rsid w:val="00CF7A08"/>
    <w:rsid w:val="00D120F9"/>
    <w:rsid w:val="00D55C32"/>
    <w:rsid w:val="00D60DF4"/>
    <w:rsid w:val="00D6356A"/>
    <w:rsid w:val="00D64C53"/>
    <w:rsid w:val="00D847C0"/>
    <w:rsid w:val="00DA7A19"/>
    <w:rsid w:val="00DB2A2B"/>
    <w:rsid w:val="00DB35A1"/>
    <w:rsid w:val="00DC25AB"/>
    <w:rsid w:val="00DF7298"/>
    <w:rsid w:val="00E06F60"/>
    <w:rsid w:val="00E10928"/>
    <w:rsid w:val="00E460D1"/>
    <w:rsid w:val="00E5140F"/>
    <w:rsid w:val="00E52988"/>
    <w:rsid w:val="00E831E2"/>
    <w:rsid w:val="00E83A37"/>
    <w:rsid w:val="00EA1D4B"/>
    <w:rsid w:val="00EE3613"/>
    <w:rsid w:val="00F26905"/>
    <w:rsid w:val="00F438AB"/>
    <w:rsid w:val="00F47CED"/>
    <w:rsid w:val="00F70AB5"/>
    <w:rsid w:val="00F743A4"/>
    <w:rsid w:val="00F77B6A"/>
    <w:rsid w:val="00FA4F69"/>
    <w:rsid w:val="00FB0018"/>
    <w:rsid w:val="00FB474F"/>
    <w:rsid w:val="00FE152F"/>
    <w:rsid w:val="00FE26D8"/>
    <w:rsid w:val="00FE7121"/>
    <w:rsid w:val="00FF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C1C550"/>
  <w15:docId w15:val="{78274E8C-A672-4649-A7B6-AFD68E8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7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1B"/>
    <w:rPr>
      <w:rFonts w:ascii="Tahoma" w:hAnsi="Tahoma" w:cs="Tahoma"/>
      <w:sz w:val="16"/>
      <w:szCs w:val="16"/>
    </w:rPr>
  </w:style>
  <w:style w:type="character" w:styleId="Hyperlink">
    <w:name w:val="Hyperlink"/>
    <w:basedOn w:val="DefaultParagraphFont"/>
    <w:uiPriority w:val="99"/>
    <w:unhideWhenUsed/>
    <w:rsid w:val="003A7A1B"/>
    <w:rPr>
      <w:color w:val="0000FF" w:themeColor="hyperlink"/>
      <w:u w:val="single"/>
    </w:rPr>
  </w:style>
  <w:style w:type="paragraph" w:styleId="Header">
    <w:name w:val="header"/>
    <w:basedOn w:val="Normal"/>
    <w:link w:val="HeaderChar"/>
    <w:uiPriority w:val="99"/>
    <w:unhideWhenUsed/>
    <w:rsid w:val="00FE26D8"/>
    <w:pPr>
      <w:tabs>
        <w:tab w:val="center" w:pos="4513"/>
        <w:tab w:val="right" w:pos="9026"/>
      </w:tabs>
      <w:spacing w:line="240" w:lineRule="auto"/>
    </w:pPr>
  </w:style>
  <w:style w:type="character" w:customStyle="1" w:styleId="HeaderChar">
    <w:name w:val="Header Char"/>
    <w:basedOn w:val="DefaultParagraphFont"/>
    <w:link w:val="Header"/>
    <w:uiPriority w:val="99"/>
    <w:rsid w:val="00FE26D8"/>
  </w:style>
  <w:style w:type="paragraph" w:styleId="Footer">
    <w:name w:val="footer"/>
    <w:basedOn w:val="Normal"/>
    <w:link w:val="FooterChar"/>
    <w:uiPriority w:val="99"/>
    <w:unhideWhenUsed/>
    <w:rsid w:val="00FE26D8"/>
    <w:pPr>
      <w:tabs>
        <w:tab w:val="center" w:pos="4513"/>
        <w:tab w:val="right" w:pos="9026"/>
      </w:tabs>
      <w:spacing w:line="240" w:lineRule="auto"/>
    </w:pPr>
  </w:style>
  <w:style w:type="character" w:customStyle="1" w:styleId="FooterChar">
    <w:name w:val="Footer Char"/>
    <w:basedOn w:val="DefaultParagraphFont"/>
    <w:link w:val="Footer"/>
    <w:uiPriority w:val="99"/>
    <w:rsid w:val="00FE26D8"/>
  </w:style>
  <w:style w:type="paragraph" w:styleId="ListParagraph">
    <w:name w:val="List Paragraph"/>
    <w:basedOn w:val="Normal"/>
    <w:uiPriority w:val="34"/>
    <w:qFormat/>
    <w:rsid w:val="00C33DEB"/>
    <w:pPr>
      <w:ind w:left="720"/>
      <w:contextualSpacing/>
    </w:pPr>
  </w:style>
  <w:style w:type="paragraph" w:styleId="NoSpacing">
    <w:name w:val="No Spacing"/>
    <w:uiPriority w:val="1"/>
    <w:qFormat/>
    <w:rsid w:val="00C92CC7"/>
    <w:pPr>
      <w:spacing w:line="240" w:lineRule="auto"/>
    </w:pPr>
  </w:style>
  <w:style w:type="paragraph" w:styleId="FootnoteText">
    <w:name w:val="footnote text"/>
    <w:basedOn w:val="Normal"/>
    <w:link w:val="FootnoteTextChar"/>
    <w:uiPriority w:val="99"/>
    <w:semiHidden/>
    <w:unhideWhenUsed/>
    <w:rsid w:val="000D725E"/>
    <w:pPr>
      <w:spacing w:line="240" w:lineRule="auto"/>
    </w:pPr>
    <w:rPr>
      <w:sz w:val="20"/>
      <w:szCs w:val="20"/>
    </w:rPr>
  </w:style>
  <w:style w:type="character" w:customStyle="1" w:styleId="FootnoteTextChar">
    <w:name w:val="Footnote Text Char"/>
    <w:basedOn w:val="DefaultParagraphFont"/>
    <w:link w:val="FootnoteText"/>
    <w:uiPriority w:val="99"/>
    <w:semiHidden/>
    <w:rsid w:val="000D725E"/>
    <w:rPr>
      <w:sz w:val="20"/>
      <w:szCs w:val="20"/>
    </w:rPr>
  </w:style>
  <w:style w:type="character" w:styleId="FootnoteReference">
    <w:name w:val="footnote reference"/>
    <w:basedOn w:val="DefaultParagraphFont"/>
    <w:uiPriority w:val="99"/>
    <w:semiHidden/>
    <w:unhideWhenUsed/>
    <w:rsid w:val="000D725E"/>
    <w:rPr>
      <w:vertAlign w:val="superscript"/>
    </w:rPr>
  </w:style>
  <w:style w:type="character" w:styleId="CommentReference">
    <w:name w:val="annotation reference"/>
    <w:basedOn w:val="DefaultParagraphFont"/>
    <w:uiPriority w:val="99"/>
    <w:semiHidden/>
    <w:unhideWhenUsed/>
    <w:rsid w:val="00506D20"/>
    <w:rPr>
      <w:sz w:val="16"/>
      <w:szCs w:val="16"/>
    </w:rPr>
  </w:style>
  <w:style w:type="paragraph" w:styleId="CommentText">
    <w:name w:val="annotation text"/>
    <w:basedOn w:val="Normal"/>
    <w:link w:val="CommentTextChar"/>
    <w:uiPriority w:val="99"/>
    <w:semiHidden/>
    <w:unhideWhenUsed/>
    <w:rsid w:val="00506D20"/>
    <w:pPr>
      <w:spacing w:line="240" w:lineRule="auto"/>
    </w:pPr>
    <w:rPr>
      <w:sz w:val="20"/>
      <w:szCs w:val="20"/>
    </w:rPr>
  </w:style>
  <w:style w:type="character" w:customStyle="1" w:styleId="CommentTextChar">
    <w:name w:val="Comment Text Char"/>
    <w:basedOn w:val="DefaultParagraphFont"/>
    <w:link w:val="CommentText"/>
    <w:uiPriority w:val="99"/>
    <w:semiHidden/>
    <w:rsid w:val="00506D20"/>
    <w:rPr>
      <w:sz w:val="20"/>
      <w:szCs w:val="20"/>
    </w:rPr>
  </w:style>
  <w:style w:type="paragraph" w:styleId="CommentSubject">
    <w:name w:val="annotation subject"/>
    <w:basedOn w:val="CommentText"/>
    <w:next w:val="CommentText"/>
    <w:link w:val="CommentSubjectChar"/>
    <w:uiPriority w:val="99"/>
    <w:semiHidden/>
    <w:unhideWhenUsed/>
    <w:rsid w:val="00506D20"/>
    <w:rPr>
      <w:b/>
      <w:bCs/>
    </w:rPr>
  </w:style>
  <w:style w:type="character" w:customStyle="1" w:styleId="CommentSubjectChar">
    <w:name w:val="Comment Subject Char"/>
    <w:basedOn w:val="CommentTextChar"/>
    <w:link w:val="CommentSubject"/>
    <w:uiPriority w:val="99"/>
    <w:semiHidden/>
    <w:rsid w:val="00506D20"/>
    <w:rPr>
      <w:b/>
      <w:bCs/>
      <w:sz w:val="20"/>
      <w:szCs w:val="20"/>
    </w:rPr>
  </w:style>
  <w:style w:type="character" w:styleId="FollowedHyperlink">
    <w:name w:val="FollowedHyperlink"/>
    <w:basedOn w:val="DefaultParagraphFont"/>
    <w:uiPriority w:val="99"/>
    <w:semiHidden/>
    <w:unhideWhenUsed/>
    <w:rsid w:val="00263822"/>
    <w:rPr>
      <w:color w:val="800080" w:themeColor="followedHyperlink"/>
      <w:u w:val="single"/>
    </w:rPr>
  </w:style>
  <w:style w:type="character" w:customStyle="1" w:styleId="UnresolvedMention1">
    <w:name w:val="Unresolved Mention1"/>
    <w:basedOn w:val="DefaultParagraphFont"/>
    <w:uiPriority w:val="99"/>
    <w:semiHidden/>
    <w:unhideWhenUsed/>
    <w:rsid w:val="007803F0"/>
    <w:rPr>
      <w:color w:val="605E5C"/>
      <w:shd w:val="clear" w:color="auto" w:fill="E1DFDD"/>
    </w:rPr>
  </w:style>
  <w:style w:type="character" w:customStyle="1" w:styleId="UnresolvedMention2">
    <w:name w:val="Unresolved Mention2"/>
    <w:basedOn w:val="DefaultParagraphFont"/>
    <w:uiPriority w:val="99"/>
    <w:semiHidden/>
    <w:unhideWhenUsed/>
    <w:rsid w:val="00DB2A2B"/>
    <w:rPr>
      <w:color w:val="605E5C"/>
      <w:shd w:val="clear" w:color="auto" w:fill="E1DFDD"/>
    </w:rPr>
  </w:style>
  <w:style w:type="character" w:styleId="UnresolvedMention">
    <w:name w:val="Unresolved Mention"/>
    <w:basedOn w:val="DefaultParagraphFont"/>
    <w:uiPriority w:val="99"/>
    <w:semiHidden/>
    <w:unhideWhenUsed/>
    <w:rsid w:val="0067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609">
      <w:bodyDiv w:val="1"/>
      <w:marLeft w:val="0"/>
      <w:marRight w:val="0"/>
      <w:marTop w:val="0"/>
      <w:marBottom w:val="0"/>
      <w:divBdr>
        <w:top w:val="none" w:sz="0" w:space="0" w:color="auto"/>
        <w:left w:val="none" w:sz="0" w:space="0" w:color="auto"/>
        <w:bottom w:val="none" w:sz="0" w:space="0" w:color="auto"/>
        <w:right w:val="none" w:sz="0" w:space="0" w:color="auto"/>
      </w:divBdr>
    </w:div>
    <w:div w:id="733893160">
      <w:bodyDiv w:val="1"/>
      <w:marLeft w:val="0"/>
      <w:marRight w:val="0"/>
      <w:marTop w:val="0"/>
      <w:marBottom w:val="0"/>
      <w:divBdr>
        <w:top w:val="none" w:sz="0" w:space="0" w:color="auto"/>
        <w:left w:val="none" w:sz="0" w:space="0" w:color="auto"/>
        <w:bottom w:val="none" w:sz="0" w:space="0" w:color="auto"/>
        <w:right w:val="none" w:sz="0" w:space="0" w:color="auto"/>
      </w:divBdr>
    </w:div>
    <w:div w:id="834078178">
      <w:bodyDiv w:val="1"/>
      <w:marLeft w:val="0"/>
      <w:marRight w:val="0"/>
      <w:marTop w:val="0"/>
      <w:marBottom w:val="0"/>
      <w:divBdr>
        <w:top w:val="none" w:sz="0" w:space="0" w:color="auto"/>
        <w:left w:val="none" w:sz="0" w:space="0" w:color="auto"/>
        <w:bottom w:val="none" w:sz="0" w:space="0" w:color="auto"/>
        <w:right w:val="none" w:sz="0" w:space="0" w:color="auto"/>
      </w:divBdr>
      <w:divsChild>
        <w:div w:id="761418362">
          <w:marLeft w:val="0"/>
          <w:marRight w:val="0"/>
          <w:marTop w:val="0"/>
          <w:marBottom w:val="0"/>
          <w:divBdr>
            <w:top w:val="none" w:sz="0" w:space="0" w:color="auto"/>
            <w:left w:val="none" w:sz="0" w:space="0" w:color="auto"/>
            <w:bottom w:val="none" w:sz="0" w:space="0" w:color="auto"/>
            <w:right w:val="none" w:sz="0" w:space="0" w:color="auto"/>
          </w:divBdr>
          <w:divsChild>
            <w:div w:id="1697341141">
              <w:marLeft w:val="0"/>
              <w:marRight w:val="0"/>
              <w:marTop w:val="0"/>
              <w:marBottom w:val="0"/>
              <w:divBdr>
                <w:top w:val="none" w:sz="0" w:space="0" w:color="auto"/>
                <w:left w:val="none" w:sz="0" w:space="0" w:color="auto"/>
                <w:bottom w:val="none" w:sz="0" w:space="0" w:color="auto"/>
                <w:right w:val="none" w:sz="0" w:space="0" w:color="auto"/>
              </w:divBdr>
              <w:divsChild>
                <w:div w:id="1359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7400">
      <w:bodyDiv w:val="1"/>
      <w:marLeft w:val="0"/>
      <w:marRight w:val="0"/>
      <w:marTop w:val="0"/>
      <w:marBottom w:val="0"/>
      <w:divBdr>
        <w:top w:val="none" w:sz="0" w:space="0" w:color="auto"/>
        <w:left w:val="none" w:sz="0" w:space="0" w:color="auto"/>
        <w:bottom w:val="none" w:sz="0" w:space="0" w:color="auto"/>
        <w:right w:val="none" w:sz="0" w:space="0" w:color="auto"/>
      </w:divBdr>
    </w:div>
    <w:div w:id="162538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vard.zoom.us/webinar/register/WN_MwGn2A3DQaCbyLMnR1hb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s-dds-ny.un.org/doc/UNDOC/GEN/G16/154/15/PDF/G1615415.pdf?OpenEl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hchr-ie-sogi@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vard.zoom.us/webinar/register/WN_MwGn2A3DQaCbyLMnR1hbJA" TargetMode="External"/><Relationship Id="rId5" Type="http://schemas.openxmlformats.org/officeDocument/2006/relationships/numbering" Target="numbering.xml"/><Relationship Id="rId15" Type="http://schemas.openxmlformats.org/officeDocument/2006/relationships/hyperlink" Target="mailto:ohchr-ie-sogi@u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goal3" TargetMode="External"/><Relationship Id="rId1" Type="http://schemas.openxmlformats.org/officeDocument/2006/relationships/hyperlink" Target="https://www.ohchr.org/EN/Issues/SexualOrientationGender/Pages/ReportOnConversiontherap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2AFC5-AE9B-4EDC-8040-F9161D27364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F05B1A-DD1D-4A73-AF72-F380D4695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9A128-477F-4818-95E0-076CE2F11111}">
  <ds:schemaRefs>
    <ds:schemaRef ds:uri="http://schemas.openxmlformats.org/officeDocument/2006/bibliography"/>
  </ds:schemaRefs>
</ds:datastoreItem>
</file>

<file path=customXml/itemProps4.xml><?xml version="1.0" encoding="utf-8"?>
<ds:datastoreItem xmlns:ds="http://schemas.openxmlformats.org/officeDocument/2006/customXml" ds:itemID="{E61F054E-386C-469B-88DF-8D5AD2DF1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4539</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Saranbaatar Bayarmagnai</dc:creator>
  <cp:lastModifiedBy>Beury</cp:lastModifiedBy>
  <cp:revision>59</cp:revision>
  <cp:lastPrinted>2019-02-01T19:55:00Z</cp:lastPrinted>
  <dcterms:created xsi:type="dcterms:W3CDTF">2021-12-31T16:33:00Z</dcterms:created>
  <dcterms:modified xsi:type="dcterms:W3CDTF">2022-04-04T10:44:00Z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