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32B631E2" w14:textId="77777777" w:rsidTr="00DD7D05">
        <w:trPr>
          <w:trHeight w:val="851"/>
        </w:trPr>
        <w:tc>
          <w:tcPr>
            <w:tcW w:w="1259" w:type="dxa"/>
            <w:tcBorders>
              <w:top w:val="nil"/>
              <w:left w:val="nil"/>
              <w:bottom w:val="single" w:sz="4" w:space="0" w:color="auto"/>
              <w:right w:val="nil"/>
            </w:tcBorders>
          </w:tcPr>
          <w:p w14:paraId="4039FF5D" w14:textId="51967B77" w:rsidR="00EC2011" w:rsidRPr="00B02A98" w:rsidRDefault="00EC2011" w:rsidP="00DD7D05">
            <w:pPr>
              <w:pStyle w:val="SingleTxtG"/>
              <w:rPr>
                <w:lang w:val="en-US"/>
              </w:rPr>
            </w:pPr>
          </w:p>
        </w:tc>
        <w:tc>
          <w:tcPr>
            <w:tcW w:w="2236" w:type="dxa"/>
            <w:tcBorders>
              <w:top w:val="nil"/>
              <w:left w:val="nil"/>
              <w:bottom w:val="single" w:sz="4" w:space="0" w:color="auto"/>
              <w:right w:val="nil"/>
            </w:tcBorders>
            <w:vAlign w:val="bottom"/>
          </w:tcPr>
          <w:p w14:paraId="0C0660B7" w14:textId="4890AC9B" w:rsidR="00EC2011" w:rsidRDefault="00EC2011" w:rsidP="00DD7D05">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6BB8FC5B" w14:textId="77777777" w:rsidR="00EC2011" w:rsidRDefault="000242CC" w:rsidP="000242CC">
            <w:pPr>
              <w:suppressAutoHyphens w:val="0"/>
              <w:spacing w:after="20"/>
              <w:jc w:val="right"/>
            </w:pPr>
            <w:r w:rsidRPr="000242CC">
              <w:rPr>
                <w:sz w:val="40"/>
              </w:rPr>
              <w:t>A</w:t>
            </w:r>
            <w:r>
              <w:t>/HRC/49/40</w:t>
            </w:r>
          </w:p>
        </w:tc>
      </w:tr>
      <w:tr w:rsidR="00EC2011" w14:paraId="5145DF85" w14:textId="77777777" w:rsidTr="00DD7D05">
        <w:trPr>
          <w:trHeight w:val="2835"/>
        </w:trPr>
        <w:tc>
          <w:tcPr>
            <w:tcW w:w="1259" w:type="dxa"/>
            <w:tcBorders>
              <w:top w:val="single" w:sz="4" w:space="0" w:color="auto"/>
              <w:left w:val="nil"/>
              <w:bottom w:val="single" w:sz="12" w:space="0" w:color="auto"/>
              <w:right w:val="nil"/>
            </w:tcBorders>
          </w:tcPr>
          <w:p w14:paraId="12A48AA3" w14:textId="5D270232"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4D675965" w14:textId="62189EF1" w:rsidR="00EC2011" w:rsidRDefault="00670EF8"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10DD4ACA" w14:textId="77777777" w:rsidR="00EC2011" w:rsidRDefault="000242CC" w:rsidP="000242CC">
            <w:pPr>
              <w:spacing w:before="240"/>
            </w:pPr>
            <w:r>
              <w:t>Distr.: General</w:t>
            </w:r>
          </w:p>
          <w:p w14:paraId="148AEBB8" w14:textId="77777777" w:rsidR="000242CC" w:rsidRDefault="000242CC" w:rsidP="000242CC">
            <w:pPr>
              <w:suppressAutoHyphens w:val="0"/>
            </w:pPr>
            <w:r>
              <w:t>28 February 2022</w:t>
            </w:r>
          </w:p>
          <w:p w14:paraId="3081BE7F" w14:textId="77777777" w:rsidR="000242CC" w:rsidRDefault="000242CC" w:rsidP="000242CC">
            <w:pPr>
              <w:suppressAutoHyphens w:val="0"/>
            </w:pPr>
          </w:p>
          <w:p w14:paraId="7C75E101" w14:textId="77777777" w:rsidR="000242CC" w:rsidRDefault="000242CC" w:rsidP="000242CC">
            <w:pPr>
              <w:suppressAutoHyphens w:val="0"/>
            </w:pPr>
            <w:r>
              <w:t>Original: English</w:t>
            </w:r>
          </w:p>
        </w:tc>
      </w:tr>
    </w:tbl>
    <w:p w14:paraId="1E190A6C" w14:textId="77777777" w:rsidR="000242CC" w:rsidRDefault="000242CC">
      <w:pPr>
        <w:spacing w:before="120"/>
        <w:rPr>
          <w:b/>
          <w:sz w:val="24"/>
          <w:szCs w:val="24"/>
        </w:rPr>
      </w:pPr>
      <w:r>
        <w:rPr>
          <w:b/>
          <w:sz w:val="24"/>
          <w:szCs w:val="24"/>
        </w:rPr>
        <w:t>Human Rights Council</w:t>
      </w:r>
    </w:p>
    <w:p w14:paraId="293126CC" w14:textId="77777777" w:rsidR="000242CC" w:rsidRPr="00B645D8" w:rsidRDefault="000242CC" w:rsidP="000242CC">
      <w:pPr>
        <w:jc w:val="both"/>
        <w:rPr>
          <w:b/>
          <w:bCs/>
        </w:rPr>
      </w:pPr>
      <w:r w:rsidRPr="00B645D8">
        <w:rPr>
          <w:b/>
          <w:bCs/>
        </w:rPr>
        <w:t>Forty-</w:t>
      </w:r>
      <w:r>
        <w:rPr>
          <w:b/>
          <w:bCs/>
        </w:rPr>
        <w:t>ninth</w:t>
      </w:r>
      <w:r w:rsidRPr="00B645D8">
        <w:rPr>
          <w:b/>
          <w:bCs/>
        </w:rPr>
        <w:t xml:space="preserve"> session</w:t>
      </w:r>
    </w:p>
    <w:p w14:paraId="5DAA3860" w14:textId="77777777" w:rsidR="000242CC" w:rsidRPr="00B645D8" w:rsidRDefault="000242CC" w:rsidP="000242CC">
      <w:pPr>
        <w:jc w:val="both"/>
      </w:pPr>
      <w:r w:rsidRPr="00B42EAF">
        <w:t>28 February–</w:t>
      </w:r>
      <w:r>
        <w:t>1 April</w:t>
      </w:r>
      <w:r w:rsidRPr="00B42EAF">
        <w:t xml:space="preserve"> 2022</w:t>
      </w:r>
    </w:p>
    <w:p w14:paraId="664193AA" w14:textId="77777777" w:rsidR="000242CC" w:rsidRPr="00EC668B" w:rsidRDefault="000242CC" w:rsidP="000242CC">
      <w:r w:rsidRPr="00EC668B">
        <w:t>Agenda items 2 and 3</w:t>
      </w:r>
    </w:p>
    <w:p w14:paraId="7CCAC3F6" w14:textId="77777777" w:rsidR="000242CC" w:rsidRPr="00EC668B" w:rsidRDefault="000242CC" w:rsidP="000242CC">
      <w:pPr>
        <w:rPr>
          <w:b/>
        </w:rPr>
      </w:pPr>
      <w:r w:rsidRPr="00EC668B">
        <w:rPr>
          <w:b/>
        </w:rPr>
        <w:t>Annual report of the United Nations High Commissioner</w:t>
      </w:r>
      <w:r w:rsidRPr="00EC668B">
        <w:rPr>
          <w:b/>
        </w:rPr>
        <w:br/>
        <w:t xml:space="preserve">for Human Rights and reports of the Office of the </w:t>
      </w:r>
      <w:r w:rsidRPr="00EC668B">
        <w:rPr>
          <w:b/>
        </w:rPr>
        <w:br/>
        <w:t>High Commissioner and the Secretary-General</w:t>
      </w:r>
    </w:p>
    <w:p w14:paraId="09CCA117" w14:textId="6FBA53C0" w:rsidR="000242CC" w:rsidRPr="00DD7048" w:rsidRDefault="000242CC" w:rsidP="000242CC">
      <w:pPr>
        <w:spacing w:before="120"/>
        <w:rPr>
          <w:b/>
          <w:bCs/>
        </w:rPr>
      </w:pPr>
      <w:r w:rsidRPr="00EC668B">
        <w:rPr>
          <w:b/>
        </w:rPr>
        <w:t>Promotion and protection of all human rights, civil,</w:t>
      </w:r>
      <w:r w:rsidR="004F1604">
        <w:rPr>
          <w:b/>
        </w:rPr>
        <w:t xml:space="preserve"> </w:t>
      </w:r>
      <w:r w:rsidR="004F1604">
        <w:rPr>
          <w:b/>
        </w:rPr>
        <w:br/>
        <w:t>p</w:t>
      </w:r>
      <w:r w:rsidRPr="00EC668B">
        <w:rPr>
          <w:b/>
        </w:rPr>
        <w:t>olitical, economic, social and cultural rights,</w:t>
      </w:r>
      <w:r w:rsidRPr="00EC668B">
        <w:rPr>
          <w:b/>
        </w:rPr>
        <w:br/>
        <w:t>including the right to development</w:t>
      </w:r>
    </w:p>
    <w:p w14:paraId="0A4CB86A" w14:textId="77777777" w:rsidR="000242CC" w:rsidRDefault="000242CC" w:rsidP="000242CC">
      <w:pPr>
        <w:pStyle w:val="HChG"/>
        <w:rPr>
          <w:sz w:val="20"/>
        </w:rPr>
      </w:pPr>
      <w:r>
        <w:rPr>
          <w:szCs w:val="28"/>
        </w:rPr>
        <w:tab/>
      </w:r>
      <w:r>
        <w:rPr>
          <w:szCs w:val="28"/>
        </w:rPr>
        <w:tab/>
        <w:t>Safety of journ</w:t>
      </w:r>
      <w:r w:rsidRPr="00FD143B">
        <w:t>a</w:t>
      </w:r>
      <w:r>
        <w:rPr>
          <w:szCs w:val="28"/>
        </w:rPr>
        <w:t>list</w:t>
      </w:r>
      <w:r w:rsidRPr="00D8746A">
        <w:rPr>
          <w:szCs w:val="28"/>
        </w:rPr>
        <w:t>s</w:t>
      </w:r>
    </w:p>
    <w:p w14:paraId="3C4B71CE" w14:textId="29315693" w:rsidR="000242CC" w:rsidRDefault="000242CC" w:rsidP="000242CC">
      <w:pPr>
        <w:pStyle w:val="H1G"/>
        <w:rPr>
          <w:b w:val="0"/>
          <w:bCs/>
          <w:sz w:val="20"/>
        </w:rPr>
      </w:pPr>
      <w:r>
        <w:tab/>
      </w:r>
      <w:r>
        <w:tab/>
      </w:r>
      <w:r w:rsidRPr="0013699C">
        <w:t>Report of the United Nations High Commissioner for Human Rights</w:t>
      </w:r>
      <w:r w:rsidRPr="00FD143B">
        <w:rPr>
          <w:rStyle w:val="FootnoteReference"/>
          <w:b w:val="0"/>
          <w:bCs/>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29"/>
      </w:tblGrid>
      <w:tr w:rsidR="00FD143B" w14:paraId="272CFE29" w14:textId="77777777" w:rsidTr="00FD143B">
        <w:trPr>
          <w:jc w:val="center"/>
        </w:trPr>
        <w:tc>
          <w:tcPr>
            <w:tcW w:w="9637" w:type="dxa"/>
            <w:tcBorders>
              <w:bottom w:val="nil"/>
            </w:tcBorders>
          </w:tcPr>
          <w:p w14:paraId="6AA71712" w14:textId="77DFDBF3" w:rsidR="00FD143B" w:rsidRPr="00FD143B" w:rsidRDefault="00FD143B" w:rsidP="00FD143B">
            <w:pPr>
              <w:tabs>
                <w:tab w:val="left" w:pos="255"/>
              </w:tabs>
              <w:suppressAutoHyphens w:val="0"/>
              <w:spacing w:before="240" w:after="120"/>
              <w:rPr>
                <w:sz w:val="24"/>
              </w:rPr>
            </w:pPr>
            <w:r>
              <w:tab/>
            </w:r>
            <w:r>
              <w:rPr>
                <w:i/>
                <w:sz w:val="24"/>
              </w:rPr>
              <w:t>Summary</w:t>
            </w:r>
          </w:p>
        </w:tc>
      </w:tr>
      <w:tr w:rsidR="00FD143B" w14:paraId="3C580C18" w14:textId="77777777" w:rsidTr="00FD143B">
        <w:trPr>
          <w:jc w:val="center"/>
        </w:trPr>
        <w:tc>
          <w:tcPr>
            <w:tcW w:w="9637" w:type="dxa"/>
            <w:tcBorders>
              <w:top w:val="nil"/>
              <w:bottom w:val="nil"/>
            </w:tcBorders>
            <w:shd w:val="clear" w:color="auto" w:fill="auto"/>
          </w:tcPr>
          <w:p w14:paraId="041F359A" w14:textId="6479A79E" w:rsidR="00FD143B" w:rsidRDefault="00FD143B" w:rsidP="00FD143B">
            <w:pPr>
              <w:pStyle w:val="SingleTxtG"/>
            </w:pPr>
            <w:r>
              <w:tab/>
            </w:r>
            <w:r w:rsidRPr="00FD143B">
              <w:t>The present report is submitted in accordance with Human Rights Council resolution 45/18. In it, the High Commissioner explores the impact of the coronavirus disease (COVID-19) pandemic and the measures taken in response by States regarding the safety and work of journalists and media workers, and describes trends and good practices, including from a gender perspective. The report also presents the work of the Office of the United Nations High Commissioner for Human Rights in assisting in the development and strengthening of national approaches to protect journalists, including what it has done in partnership with other relevant United Nations entities. Finally, it sets out recommendations on protecting media freedom and the safety of journalists in the light of the findings and conclusions in the report.</w:t>
            </w:r>
          </w:p>
        </w:tc>
      </w:tr>
      <w:tr w:rsidR="00FD143B" w14:paraId="35392A50" w14:textId="77777777" w:rsidTr="00FD143B">
        <w:trPr>
          <w:jc w:val="center"/>
        </w:trPr>
        <w:tc>
          <w:tcPr>
            <w:tcW w:w="9637" w:type="dxa"/>
            <w:tcBorders>
              <w:top w:val="nil"/>
            </w:tcBorders>
          </w:tcPr>
          <w:p w14:paraId="18D4C292" w14:textId="77777777" w:rsidR="00FD143B" w:rsidRDefault="00FD143B" w:rsidP="00FD143B">
            <w:pPr>
              <w:suppressAutoHyphens w:val="0"/>
            </w:pPr>
          </w:p>
        </w:tc>
      </w:tr>
    </w:tbl>
    <w:p w14:paraId="61306A27" w14:textId="77777777" w:rsidR="000242CC" w:rsidRDefault="000242CC" w:rsidP="000242CC">
      <w:pPr>
        <w:suppressAutoHyphens w:val="0"/>
        <w:kinsoku/>
        <w:overflowPunct/>
        <w:autoSpaceDE/>
        <w:autoSpaceDN/>
        <w:adjustRightInd/>
        <w:snapToGrid/>
        <w:spacing w:after="200" w:line="276" w:lineRule="auto"/>
      </w:pPr>
      <w:r>
        <w:br w:type="page"/>
      </w:r>
    </w:p>
    <w:p w14:paraId="1965579A" w14:textId="77777777" w:rsidR="000242CC" w:rsidRPr="003D3A4D" w:rsidRDefault="000242CC" w:rsidP="000242CC">
      <w:pPr>
        <w:pStyle w:val="HChG"/>
      </w:pPr>
      <w:bookmarkStart w:id="1" w:name="_Toc89868926"/>
      <w:r>
        <w:lastRenderedPageBreak/>
        <w:tab/>
      </w:r>
      <w:r w:rsidRPr="003D3A4D">
        <w:t>I.</w:t>
      </w:r>
      <w:r w:rsidRPr="003D3A4D">
        <w:tab/>
        <w:t>Introduction</w:t>
      </w:r>
      <w:bookmarkEnd w:id="1"/>
    </w:p>
    <w:p w14:paraId="5FDE64F8" w14:textId="43FC8A50" w:rsidR="000242CC" w:rsidRDefault="000242CC" w:rsidP="000242CC">
      <w:pPr>
        <w:pStyle w:val="SingleTxtG"/>
      </w:pPr>
      <w:r>
        <w:t>1.</w:t>
      </w:r>
      <w:r>
        <w:tab/>
        <w:t xml:space="preserve">In its resolution </w:t>
      </w:r>
      <w:hyperlink r:id="rId11" w:history="1">
        <w:r w:rsidRPr="00983DAF">
          <w:rPr>
            <w:rStyle w:val="Hyperlink"/>
          </w:rPr>
          <w:t>45/18</w:t>
        </w:r>
      </w:hyperlink>
      <w:r>
        <w:t xml:space="preserve"> on the safety of journalists, the Human Rights Council requested the United Nations High Commissioner for Human Rights to present to the Council at its forty-eighth session </w:t>
      </w:r>
      <w:bookmarkStart w:id="2" w:name="_Hlk89887994"/>
      <w:r>
        <w:t xml:space="preserve">a report on the impact and repercussions of measures taken by States in response to the coronavirus disease (COVID-19) pandemic on the safety and work of journalists and media workers, </w:t>
      </w:r>
      <w:r w:rsidRPr="0059000D">
        <w:t>integrating a gender perspective</w:t>
      </w:r>
      <w:r>
        <w:t xml:space="preserve">. It also requested that the report </w:t>
      </w:r>
      <w:r w:rsidRPr="0059000D">
        <w:t>identif</w:t>
      </w:r>
      <w:r>
        <w:t>y</w:t>
      </w:r>
      <w:r w:rsidRPr="0059000D">
        <w:t xml:space="preserve"> trends and </w:t>
      </w:r>
      <w:r>
        <w:t>set out</w:t>
      </w:r>
      <w:r w:rsidRPr="0059000D">
        <w:t xml:space="preserve"> </w:t>
      </w:r>
      <w:r>
        <w:t>good practic</w:t>
      </w:r>
      <w:r w:rsidRPr="0059000D">
        <w:t>es, in particular on how the Office of the United Nations High Commissioner for Human Rights</w:t>
      </w:r>
      <w:r w:rsidRPr="00267552">
        <w:t xml:space="preserve"> (OHCHR)</w:t>
      </w:r>
      <w:r w:rsidRPr="0059000D">
        <w:t xml:space="preserve">, </w:t>
      </w:r>
      <w:r>
        <w:t xml:space="preserve">within its mandate and </w:t>
      </w:r>
      <w:r w:rsidRPr="0059000D">
        <w:t>working with other relevant United Nations entities, could assist, when requested, in the development of national approaches to protect journalists.</w:t>
      </w:r>
      <w:r w:rsidRPr="00A37AAA">
        <w:rPr>
          <w:rStyle w:val="FootnoteReference"/>
        </w:rPr>
        <w:footnoteReference w:id="3"/>
      </w:r>
    </w:p>
    <w:bookmarkEnd w:id="2"/>
    <w:p w14:paraId="71D45682" w14:textId="77777777" w:rsidR="000242CC" w:rsidRDefault="000242CC" w:rsidP="000242CC">
      <w:pPr>
        <w:pStyle w:val="SingleTxtG"/>
      </w:pPr>
      <w:r>
        <w:t>2.</w:t>
      </w:r>
      <w:r>
        <w:tab/>
      </w:r>
      <w:r w:rsidRPr="00065B57">
        <w:t>In prepar</w:t>
      </w:r>
      <w:r>
        <w:t>ing</w:t>
      </w:r>
      <w:r w:rsidRPr="00065B57">
        <w:t xml:space="preserve"> th</w:t>
      </w:r>
      <w:r>
        <w:t>e</w:t>
      </w:r>
      <w:r w:rsidRPr="00065B57">
        <w:t xml:space="preserve"> report, OHCHR sought contributions from Member States</w:t>
      </w:r>
      <w:r>
        <w:t>,</w:t>
      </w:r>
      <w:r w:rsidRPr="00065B57">
        <w:t xml:space="preserve"> national human rights institutions</w:t>
      </w:r>
      <w:r>
        <w:t xml:space="preserve">, </w:t>
      </w:r>
      <w:r w:rsidRPr="00065B57">
        <w:t>international and regional organizations</w:t>
      </w:r>
      <w:r>
        <w:t xml:space="preserve">, including United Nations entities, and </w:t>
      </w:r>
      <w:r w:rsidRPr="00065B57">
        <w:t>non-governmental organizations</w:t>
      </w:r>
      <w:r>
        <w:t>. T</w:t>
      </w:r>
      <w:r w:rsidRPr="004378F3">
        <w:rPr>
          <w:szCs w:val="18"/>
        </w:rPr>
        <w:t xml:space="preserve">hirty-nine such contributions </w:t>
      </w:r>
      <w:r>
        <w:rPr>
          <w:szCs w:val="18"/>
        </w:rPr>
        <w:t>were</w:t>
      </w:r>
      <w:r w:rsidRPr="004378F3">
        <w:rPr>
          <w:szCs w:val="18"/>
        </w:rPr>
        <w:t xml:space="preserve"> received</w:t>
      </w:r>
      <w:r w:rsidRPr="00C64E04">
        <w:rPr>
          <w:szCs w:val="18"/>
        </w:rPr>
        <w:t>.</w:t>
      </w:r>
      <w:r w:rsidRPr="00A37AAA">
        <w:rPr>
          <w:rStyle w:val="FootnoteReference"/>
        </w:rPr>
        <w:footnoteReference w:id="4"/>
      </w:r>
      <w:r>
        <w:rPr>
          <w:szCs w:val="18"/>
        </w:rPr>
        <w:t xml:space="preserve"> </w:t>
      </w:r>
      <w:r>
        <w:t>T</w:t>
      </w:r>
      <w:r w:rsidRPr="00065B57">
        <w:t>he report</w:t>
      </w:r>
      <w:r>
        <w:t xml:space="preserve"> also </w:t>
      </w:r>
      <w:r w:rsidRPr="00065B57">
        <w:t>draws on a range of public sources</w:t>
      </w:r>
      <w:r>
        <w:t>,</w:t>
      </w:r>
      <w:r w:rsidRPr="00065B57">
        <w:t xml:space="preserve"> including the </w:t>
      </w:r>
      <w:r>
        <w:t>practice</w:t>
      </w:r>
      <w:r w:rsidRPr="00065B57">
        <w:t xml:space="preserve"> of United Nations</w:t>
      </w:r>
      <w:r>
        <w:t xml:space="preserve"> and regional</w:t>
      </w:r>
      <w:r w:rsidRPr="00065B57">
        <w:t xml:space="preserve"> human rights mechanisms and </w:t>
      </w:r>
      <w:r>
        <w:t>reports of</w:t>
      </w:r>
      <w:r w:rsidRPr="00065B57">
        <w:t xml:space="preserve"> civil society organizations</w:t>
      </w:r>
      <w:r>
        <w:t>,</w:t>
      </w:r>
      <w:r w:rsidRPr="00065B57">
        <w:t xml:space="preserve"> scholars</w:t>
      </w:r>
      <w:r>
        <w:t xml:space="preserve"> and</w:t>
      </w:r>
      <w:r w:rsidRPr="00065B57">
        <w:t xml:space="preserve"> practitioners.</w:t>
      </w:r>
    </w:p>
    <w:p w14:paraId="7A079FF3" w14:textId="77777777" w:rsidR="000242CC" w:rsidRPr="003D3A4D" w:rsidRDefault="000242CC" w:rsidP="000242CC">
      <w:pPr>
        <w:pStyle w:val="HChG"/>
      </w:pPr>
      <w:bookmarkStart w:id="3" w:name="_Toc89868927"/>
      <w:r>
        <w:tab/>
      </w:r>
      <w:r w:rsidRPr="003D3A4D">
        <w:t>II.</w:t>
      </w:r>
      <w:r w:rsidRPr="003D3A4D">
        <w:tab/>
      </w:r>
      <w:r>
        <w:tab/>
      </w:r>
      <w:r w:rsidRPr="003D3A4D">
        <w:t>Current situation</w:t>
      </w:r>
      <w:bookmarkEnd w:id="3"/>
    </w:p>
    <w:p w14:paraId="11902EAF" w14:textId="77777777" w:rsidR="000242CC" w:rsidRDefault="000242CC" w:rsidP="000242CC">
      <w:pPr>
        <w:pStyle w:val="SingleTxtG"/>
      </w:pPr>
      <w:r>
        <w:t>3.</w:t>
      </w:r>
      <w:r>
        <w:tab/>
        <w:t>The media has played</w:t>
      </w:r>
      <w:r w:rsidRPr="00FC4397">
        <w:t xml:space="preserve"> a </w:t>
      </w:r>
      <w:r>
        <w:t>critical</w:t>
      </w:r>
      <w:r w:rsidRPr="00FC4397">
        <w:t xml:space="preserve"> role in </w:t>
      </w:r>
      <w:r w:rsidRPr="003D3A4D">
        <w:t xml:space="preserve">informing the public during </w:t>
      </w:r>
      <w:r w:rsidRPr="00FC4397">
        <w:t xml:space="preserve">the COVID-19 pandemic. </w:t>
      </w:r>
      <w:r>
        <w:t>Free information flow and t</w:t>
      </w:r>
      <w:r w:rsidRPr="00B75016">
        <w:rPr>
          <w:lang w:val="en-AU"/>
        </w:rPr>
        <w:t xml:space="preserve">he ability for people to access information from </w:t>
      </w:r>
      <w:r>
        <w:rPr>
          <w:lang w:val="en-AU"/>
        </w:rPr>
        <w:t xml:space="preserve">a </w:t>
      </w:r>
      <w:r w:rsidRPr="00B75016">
        <w:rPr>
          <w:lang w:val="en-AU"/>
        </w:rPr>
        <w:t xml:space="preserve">variety of reliable sources, express themselves, criticize and debate is essential to </w:t>
      </w:r>
      <w:r>
        <w:rPr>
          <w:lang w:val="en-AU"/>
        </w:rPr>
        <w:t>maximizing the participation of all individuals in the elaboration</w:t>
      </w:r>
      <w:r w:rsidRPr="00B75016">
        <w:rPr>
          <w:lang w:val="en-AU"/>
        </w:rPr>
        <w:t xml:space="preserve"> and implement</w:t>
      </w:r>
      <w:r>
        <w:rPr>
          <w:lang w:val="en-AU"/>
        </w:rPr>
        <w:t>ation of</w:t>
      </w:r>
      <w:r w:rsidRPr="00B75016">
        <w:rPr>
          <w:lang w:val="en-AU"/>
        </w:rPr>
        <w:t xml:space="preserve"> health or health-related policies</w:t>
      </w:r>
      <w:r>
        <w:t>.</w:t>
      </w:r>
      <w:r w:rsidRPr="00A60B28">
        <w:t xml:space="preserve"> </w:t>
      </w:r>
      <w:r>
        <w:t>Fact-based reporting has enabled</w:t>
      </w:r>
      <w:r w:rsidRPr="00FC4397">
        <w:t xml:space="preserve"> </w:t>
      </w:r>
      <w:r>
        <w:t>people</w:t>
      </w:r>
      <w:r w:rsidRPr="00FC4397">
        <w:t xml:space="preserve"> to </w:t>
      </w:r>
      <w:r>
        <w:t>access</w:t>
      </w:r>
      <w:r w:rsidRPr="00FC4397">
        <w:t xml:space="preserve"> timely and reliable information concerning the pandemic</w:t>
      </w:r>
      <w:r>
        <w:t xml:space="preserve">, so they can be involved in the decisions affecting them and make </w:t>
      </w:r>
      <w:r w:rsidRPr="00FC4397">
        <w:t>informed decisions</w:t>
      </w:r>
      <w:r>
        <w:t xml:space="preserve"> in relation to the measures taken by the authorities to address the different challenges and risks posed by the pandemic</w:t>
      </w:r>
      <w:r w:rsidRPr="00FC4397">
        <w:t>.</w:t>
      </w:r>
      <w:r>
        <w:t xml:space="preserve"> During</w:t>
      </w:r>
      <w:r w:rsidRPr="00FC4397">
        <w:t xml:space="preserve"> public health emergenc</w:t>
      </w:r>
      <w:r>
        <w:t>ies</w:t>
      </w:r>
      <w:r w:rsidRPr="00FC4397">
        <w:t>, the media</w:t>
      </w:r>
      <w:r>
        <w:t xml:space="preserve"> continue to be </w:t>
      </w:r>
      <w:r w:rsidRPr="00FC4397">
        <w:t xml:space="preserve">essential </w:t>
      </w:r>
      <w:r>
        <w:t>for</w:t>
      </w:r>
      <w:r w:rsidRPr="00FC4397">
        <w:t xml:space="preserve"> fostering transparency and accountability, including </w:t>
      </w:r>
      <w:r>
        <w:t>as regards</w:t>
      </w:r>
      <w:r w:rsidRPr="00FC4397">
        <w:t xml:space="preserve"> the responses</w:t>
      </w:r>
      <w:r>
        <w:t xml:space="preserve"> of the </w:t>
      </w:r>
      <w:r w:rsidRPr="004773A1">
        <w:t>authorities</w:t>
      </w:r>
      <w:r w:rsidRPr="00C64E04">
        <w:t>.</w:t>
      </w:r>
      <w:r w:rsidRPr="00A37AAA">
        <w:rPr>
          <w:rStyle w:val="FootnoteReference"/>
        </w:rPr>
        <w:footnoteReference w:id="5"/>
      </w:r>
      <w:r w:rsidRPr="00FC4397">
        <w:t xml:space="preserve"> </w:t>
      </w:r>
    </w:p>
    <w:p w14:paraId="635B975C" w14:textId="77777777" w:rsidR="000242CC" w:rsidRDefault="000242CC" w:rsidP="000242CC">
      <w:pPr>
        <w:pStyle w:val="SingleTxtG"/>
      </w:pPr>
      <w:r>
        <w:t>4.</w:t>
      </w:r>
      <w:r>
        <w:tab/>
        <w:t>The applicable</w:t>
      </w:r>
      <w:r w:rsidRPr="00DB7F0A">
        <w:t xml:space="preserve"> international legal framework for the protection of journalists</w:t>
      </w:r>
      <w:r>
        <w:t xml:space="preserve"> and media workers</w:t>
      </w:r>
      <w:r w:rsidRPr="00DB7F0A">
        <w:t xml:space="preserve"> has been described in previous reports on the safety of journalists.</w:t>
      </w:r>
      <w:r w:rsidRPr="00A37AAA">
        <w:rPr>
          <w:rStyle w:val="FootnoteReference"/>
        </w:rPr>
        <w:footnoteReference w:id="6"/>
      </w:r>
      <w:r w:rsidRPr="00FC4397">
        <w:t xml:space="preserve"> </w:t>
      </w:r>
      <w:r>
        <w:t xml:space="preserve">In accordance with international human rights law, States must respect, and ensure respect for, the human rights of journalists and media workers. While States may consider that certain measures affecting different actors of societies, including journalists and media workers, are necessary to respond to the exceptional challenges posed by the COVID-19 pandemic, all such measures must be compatible with applicable international human rights law. </w:t>
      </w:r>
    </w:p>
    <w:p w14:paraId="4BCA8F92" w14:textId="77777777" w:rsidR="000242CC" w:rsidRDefault="000242CC" w:rsidP="000242CC">
      <w:pPr>
        <w:pStyle w:val="SingleTxtG"/>
      </w:pPr>
      <w:r>
        <w:t>5.</w:t>
      </w:r>
      <w:r>
        <w:tab/>
        <w:t>The rights to freedom of opinion and of expression are indispensable conditions for the full development of the person and the foundation stone for every free and democratic society. Freedom of expression is a necessary condition for the realization of the principles of transparency and accountability, which are, in turn, essential for the promotion and protection of human rights.</w:t>
      </w:r>
      <w:r w:rsidRPr="00A37AAA">
        <w:rPr>
          <w:rStyle w:val="FootnoteReference"/>
        </w:rPr>
        <w:footnoteReference w:id="7"/>
      </w:r>
      <w:r>
        <w:t xml:space="preserve"> The right to access information held by public bodies requires that States proactively put in the public domain government information of public interest and ensure easy, prompt, effective and practical access to such information.</w:t>
      </w:r>
      <w:r w:rsidRPr="00A37AAA">
        <w:rPr>
          <w:rStyle w:val="FootnoteReference"/>
        </w:rPr>
        <w:footnoteReference w:id="8"/>
      </w:r>
      <w:r>
        <w:t xml:space="preserve"> Article 19 (1) of the International Covenant on Civil and Political Rights sets forth the right to hold opinions without interference. That right cannot be subject to exception or restriction, except those imposed at a time of public emergency, as </w:t>
      </w:r>
      <w:r w:rsidRPr="00C64E04">
        <w:t xml:space="preserve">provided for in article 4 of the </w:t>
      </w:r>
      <w:r w:rsidRPr="009E25E9">
        <w:t>Covenant</w:t>
      </w:r>
      <w:r>
        <w:t>,</w:t>
      </w:r>
      <w:r w:rsidRPr="009E25E9">
        <w:t xml:space="preserve"> </w:t>
      </w:r>
      <w:r w:rsidRPr="00C64E04">
        <w:t xml:space="preserve">or </w:t>
      </w:r>
      <w:r w:rsidRPr="009E25E9">
        <w:t xml:space="preserve">in the </w:t>
      </w:r>
      <w:r w:rsidRPr="009E25E9">
        <w:lastRenderedPageBreak/>
        <w:t>case of</w:t>
      </w:r>
      <w:r w:rsidRPr="00C64E04">
        <w:t xml:space="preserve"> the specific restrictions set down in article 19</w:t>
      </w:r>
      <w:r w:rsidRPr="009E25E9">
        <w:t>,</w:t>
      </w:r>
      <w:r w:rsidRPr="00C64E04">
        <w:t xml:space="preserve"> such as for the protection of public health. However</w:t>
      </w:r>
      <w:r>
        <w:t>, when a State party imposes restrictions on the exercise of freedom of expression, the areas of limitative restriction may not put in jeopardy the right itself.</w:t>
      </w:r>
      <w:r w:rsidRPr="00A37AAA">
        <w:rPr>
          <w:rStyle w:val="FootnoteReference"/>
        </w:rPr>
        <w:footnoteReference w:id="9"/>
      </w:r>
      <w:r>
        <w:t xml:space="preserve"> Restrictions must be provided by law and be necessary and proportional. Measures to address the public health challenge created by the pandemic should never</w:t>
      </w:r>
      <w:r w:rsidRPr="00DB7F0A">
        <w:t xml:space="preserve"> </w:t>
      </w:r>
      <w:r>
        <w:t xml:space="preserve">be </w:t>
      </w:r>
      <w:r w:rsidRPr="00DB7F0A">
        <w:t>used as a basis to quash dissent, silence the work of journalists, deny other human rights or take any other steps that are not strictly necessary to address the health situation.</w:t>
      </w:r>
      <w:r w:rsidRPr="00A37AAA">
        <w:rPr>
          <w:rStyle w:val="FootnoteReference"/>
        </w:rPr>
        <w:footnoteReference w:id="10"/>
      </w:r>
    </w:p>
    <w:p w14:paraId="34F2A423" w14:textId="77777777" w:rsidR="000242CC" w:rsidRDefault="000242CC" w:rsidP="000242CC">
      <w:pPr>
        <w:pStyle w:val="SingleTxtG"/>
      </w:pPr>
      <w:r>
        <w:t>6.</w:t>
      </w:r>
      <w:r>
        <w:tab/>
        <w:t>States are also required to ensure that journalists, media workers and any other individuals are protected from any acts by private persons or entities that would impair their enjoyment of the freedoms of opinion and expression.</w:t>
      </w:r>
      <w:r w:rsidRPr="00A37AAA">
        <w:rPr>
          <w:rStyle w:val="FootnoteReference"/>
        </w:rPr>
        <w:footnoteReference w:id="11"/>
      </w:r>
      <w:r>
        <w:t xml:space="preserve"> States should put in place effective measures to protect against attacks aimed at silencing those who are exercising their right to freedom of expression.</w:t>
      </w:r>
      <w:r w:rsidRPr="00A37AAA">
        <w:rPr>
          <w:rStyle w:val="FootnoteReference"/>
        </w:rPr>
        <w:footnoteReference w:id="12"/>
      </w:r>
      <w:r>
        <w:t xml:space="preserve"> Such obligations do not cease during a public health crisis, regardless of its magnitude. </w:t>
      </w:r>
    </w:p>
    <w:p w14:paraId="5B8FB339" w14:textId="77777777" w:rsidR="000242CC" w:rsidRDefault="000242CC" w:rsidP="000242CC">
      <w:pPr>
        <w:pStyle w:val="H1G"/>
      </w:pPr>
      <w:bookmarkStart w:id="4" w:name="_Toc89868928"/>
      <w:r>
        <w:tab/>
        <w:t>A.</w:t>
      </w:r>
      <w:r>
        <w:tab/>
      </w:r>
      <w:r w:rsidRPr="007528FD">
        <w:t xml:space="preserve">Undue restrictions on freedom of expression </w:t>
      </w:r>
      <w:r>
        <w:t>and</w:t>
      </w:r>
      <w:r w:rsidRPr="007528FD">
        <w:t xml:space="preserve"> access to information</w:t>
      </w:r>
      <w:bookmarkEnd w:id="4"/>
    </w:p>
    <w:p w14:paraId="32DB69C0" w14:textId="77777777" w:rsidR="000242CC" w:rsidRDefault="000242CC" w:rsidP="000242CC">
      <w:pPr>
        <w:pStyle w:val="SingleTxtG"/>
      </w:pPr>
      <w:r>
        <w:t>7.</w:t>
      </w:r>
      <w:r>
        <w:tab/>
        <w:t>In his</w:t>
      </w:r>
      <w:r w:rsidRPr="00F040E6">
        <w:t xml:space="preserve"> </w:t>
      </w:r>
      <w:r>
        <w:t>“</w:t>
      </w:r>
      <w:r w:rsidRPr="00F040E6">
        <w:t>Call to action for human rights</w:t>
      </w:r>
      <w:r>
        <w:t>”, launched in February 2020</w:t>
      </w:r>
      <w:r w:rsidRPr="00F040E6">
        <w:t xml:space="preserve">, </w:t>
      </w:r>
      <w:r>
        <w:t>the Secretary-General noted the worrying general trend of shrinking civic space and its negative impact on journalists</w:t>
      </w:r>
      <w:r w:rsidRPr="004378F3">
        <w:rPr>
          <w:iCs/>
        </w:rPr>
        <w:t>, especially women</w:t>
      </w:r>
      <w:r>
        <w:rPr>
          <w:iCs/>
        </w:rPr>
        <w:t>.</w:t>
      </w:r>
      <w:r w:rsidRPr="00A37AAA">
        <w:rPr>
          <w:rStyle w:val="FootnoteReference"/>
        </w:rPr>
        <w:footnoteReference w:id="13"/>
      </w:r>
      <w:r>
        <w:t xml:space="preserve"> The subsequent course of the COVID-19 pandemic has exacerbated that trend. J</w:t>
      </w:r>
      <w:r w:rsidRPr="00E6334C">
        <w:t>ournalists</w:t>
      </w:r>
      <w:r>
        <w:t xml:space="preserve"> have faced new threats</w:t>
      </w:r>
      <w:r w:rsidRPr="00E6334C">
        <w:t>,</w:t>
      </w:r>
      <w:r>
        <w:t xml:space="preserve"> including being charged with, arrested, detained or prosecuted for allegedly spreading “fake news”.</w:t>
      </w:r>
      <w:r w:rsidRPr="00A37AAA">
        <w:rPr>
          <w:rStyle w:val="FootnoteReference"/>
        </w:rPr>
        <w:footnoteReference w:id="14"/>
      </w:r>
      <w:r>
        <w:t xml:space="preserve"> As a result of measures restricting the right to freedom of expression, journalists in many States have been prevented from freely accessing information relating to the pandemic, whether held by public authorities or obtained through investigation in the field.</w:t>
      </w:r>
      <w:r w:rsidRPr="00A37AAA">
        <w:rPr>
          <w:rStyle w:val="FootnoteReference"/>
        </w:rPr>
        <w:footnoteReference w:id="15"/>
      </w:r>
    </w:p>
    <w:p w14:paraId="2674AEA3" w14:textId="77777777" w:rsidR="000242CC" w:rsidRPr="003D3A4D" w:rsidRDefault="000242CC" w:rsidP="000242CC">
      <w:pPr>
        <w:pStyle w:val="H23G"/>
      </w:pPr>
      <w:bookmarkStart w:id="5" w:name="_Toc89868929"/>
      <w:r>
        <w:tab/>
        <w:t>1.</w:t>
      </w:r>
      <w:r w:rsidRPr="003D3A4D">
        <w:tab/>
        <w:t>Freedom of expression</w:t>
      </w:r>
      <w:bookmarkEnd w:id="5"/>
    </w:p>
    <w:p w14:paraId="655C6C6B" w14:textId="77777777" w:rsidR="000242CC" w:rsidRDefault="000242CC" w:rsidP="000242CC">
      <w:pPr>
        <w:pStyle w:val="SingleTxtG"/>
      </w:pPr>
      <w:r>
        <w:t>8.</w:t>
      </w:r>
      <w:r>
        <w:tab/>
      </w:r>
      <w:r w:rsidRPr="00E6334C">
        <w:t xml:space="preserve">During the COVID-19 pandemic, </w:t>
      </w:r>
      <w:r>
        <w:t>a number of</w:t>
      </w:r>
      <w:r w:rsidRPr="00E6334C">
        <w:t xml:space="preserve"> States have </w:t>
      </w:r>
      <w:r>
        <w:t>imposed</w:t>
      </w:r>
      <w:r w:rsidRPr="00E6334C">
        <w:t xml:space="preserve"> restricti</w:t>
      </w:r>
      <w:r>
        <w:t>ons on</w:t>
      </w:r>
      <w:r w:rsidRPr="00E6334C">
        <w:t xml:space="preserve"> freedom of</w:t>
      </w:r>
      <w:r>
        <w:t xml:space="preserve"> expression, purportedly to address the proliferation of misinformation and disinformation and the associated risks to public health.</w:t>
      </w:r>
      <w:r w:rsidRPr="00A37AAA">
        <w:rPr>
          <w:rStyle w:val="FootnoteReference"/>
        </w:rPr>
        <w:footnoteReference w:id="16"/>
      </w:r>
      <w:r>
        <w:t xml:space="preserve"> Regrettably, these measures have also been used to silence voices expressing criticism of the responses of States to the pandemic, or in some cases simply to prevent the sharing of information.</w:t>
      </w:r>
      <w:r w:rsidRPr="00A37AAA">
        <w:rPr>
          <w:rStyle w:val="FootnoteReference"/>
        </w:rPr>
        <w:footnoteReference w:id="17"/>
      </w:r>
    </w:p>
    <w:p w14:paraId="25B83078" w14:textId="77777777" w:rsidR="000242CC" w:rsidRDefault="000242CC" w:rsidP="000242CC">
      <w:pPr>
        <w:pStyle w:val="SingleTxtG"/>
      </w:pPr>
      <w:r>
        <w:t>9.</w:t>
      </w:r>
      <w:r>
        <w:tab/>
        <w:t>In June 2021, t</w:t>
      </w:r>
      <w:r w:rsidRPr="007C1196">
        <w:t xml:space="preserve">he </w:t>
      </w:r>
      <w:r>
        <w:t xml:space="preserve">Special Rapporteur on </w:t>
      </w:r>
      <w:r w:rsidRPr="005311F9">
        <w:t xml:space="preserve">the </w:t>
      </w:r>
      <w:r>
        <w:t xml:space="preserve">promotion and protection of the </w:t>
      </w:r>
      <w:r w:rsidRPr="005311F9">
        <w:t>right to freedom of opinion and expression</w:t>
      </w:r>
      <w:r w:rsidRPr="005311F9" w:rsidDel="005311F9">
        <w:t xml:space="preserve"> </w:t>
      </w:r>
      <w:r w:rsidRPr="007C1196">
        <w:t>reported that</w:t>
      </w:r>
      <w:r>
        <w:t xml:space="preserve"> </w:t>
      </w:r>
      <w:r w:rsidRPr="007C1196">
        <w:t xml:space="preserve">17 States </w:t>
      </w:r>
      <w:r>
        <w:t xml:space="preserve">had </w:t>
      </w:r>
      <w:r w:rsidRPr="007C1196">
        <w:t>pass</w:t>
      </w:r>
      <w:r>
        <w:t>ed</w:t>
      </w:r>
      <w:r w:rsidRPr="007C1196">
        <w:t xml:space="preserve"> </w:t>
      </w:r>
      <w:r>
        <w:t>laws</w:t>
      </w:r>
      <w:r w:rsidRPr="007C1196">
        <w:t xml:space="preserve"> to address </w:t>
      </w:r>
      <w:r>
        <w:t>“</w:t>
      </w:r>
      <w:r w:rsidRPr="007C1196">
        <w:t>pandemic-related problematic information</w:t>
      </w:r>
      <w:r>
        <w:t>”</w:t>
      </w:r>
      <w:r w:rsidRPr="007C1196">
        <w:t>.</w:t>
      </w:r>
      <w:r w:rsidRPr="00A37AAA">
        <w:rPr>
          <w:rStyle w:val="FootnoteReference"/>
        </w:rPr>
        <w:footnoteReference w:id="18"/>
      </w:r>
      <w:r>
        <w:t xml:space="preserve"> She</w:t>
      </w:r>
      <w:r w:rsidRPr="00E6334C">
        <w:t xml:space="preserve"> </w:t>
      </w:r>
      <w:r>
        <w:t xml:space="preserve">also noted </w:t>
      </w:r>
      <w:r w:rsidRPr="00E6334C">
        <w:t>that several States had already adopted laws specifically targeting fake news or cyber</w:t>
      </w:r>
      <w:r>
        <w:t>security prior to the pandemic.</w:t>
      </w:r>
      <w:r w:rsidRPr="00A37AAA">
        <w:rPr>
          <w:rStyle w:val="FootnoteReference"/>
        </w:rPr>
        <w:footnoteReference w:id="19"/>
      </w:r>
      <w:r>
        <w:t xml:space="preserve"> Moreover, as highlighted by the non-governmental organization Article 19 in its contribution, some States</w:t>
      </w:r>
      <w:r w:rsidRPr="00E6334C">
        <w:t xml:space="preserve"> </w:t>
      </w:r>
      <w:r>
        <w:t xml:space="preserve">were using </w:t>
      </w:r>
      <w:r w:rsidRPr="00E6334C">
        <w:t xml:space="preserve">existing </w:t>
      </w:r>
      <w:r>
        <w:t xml:space="preserve">laws to </w:t>
      </w:r>
      <w:r w:rsidRPr="00E6334C">
        <w:t xml:space="preserve">restrict freedom of expression </w:t>
      </w:r>
      <w:r>
        <w:t>of</w:t>
      </w:r>
      <w:r w:rsidRPr="00E6334C">
        <w:t xml:space="preserve"> critical comment</w:t>
      </w:r>
      <w:r>
        <w:t>s</w:t>
      </w:r>
      <w:r w:rsidRPr="00E6334C">
        <w:t xml:space="preserve"> and reporting on COVID-19</w:t>
      </w:r>
      <w:r>
        <w:t xml:space="preserve">, including </w:t>
      </w:r>
      <w:r w:rsidRPr="00E6334C">
        <w:t xml:space="preserve">defamation or cybercrime laws. </w:t>
      </w:r>
    </w:p>
    <w:p w14:paraId="26283F24" w14:textId="77777777" w:rsidR="000242CC" w:rsidRDefault="000242CC" w:rsidP="000242CC">
      <w:pPr>
        <w:pStyle w:val="SingleTxtG"/>
      </w:pPr>
      <w:r>
        <w:t>10.</w:t>
      </w:r>
      <w:r>
        <w:tab/>
      </w:r>
      <w:r w:rsidRPr="00E6334C">
        <w:t xml:space="preserve">A survey </w:t>
      </w:r>
      <w:r>
        <w:t xml:space="preserve">conducted </w:t>
      </w:r>
      <w:r w:rsidRPr="00E6334C">
        <w:t>by the International Federation of Journalists in April 2020</w:t>
      </w:r>
      <w:r>
        <w:t xml:space="preserve">, </w:t>
      </w:r>
      <w:r w:rsidRPr="00E04425">
        <w:t>based on a sample of 1,308 front</w:t>
      </w:r>
      <w:r>
        <w:t xml:space="preserve"> </w:t>
      </w:r>
      <w:r w:rsidRPr="00E04425">
        <w:t>line journalists from 77 countries</w:t>
      </w:r>
      <w:r>
        <w:t xml:space="preserve">, </w:t>
      </w:r>
      <w:r w:rsidRPr="00E6334C">
        <w:t xml:space="preserve">found that </w:t>
      </w:r>
      <w:r>
        <w:t>three</w:t>
      </w:r>
      <w:r w:rsidRPr="00E6334C">
        <w:t xml:space="preserve"> in </w:t>
      </w:r>
      <w:r>
        <w:t>four</w:t>
      </w:r>
      <w:r w:rsidRPr="00E6334C">
        <w:t xml:space="preserve"> journalists had faced restrictions, obstruction or intimidation by public</w:t>
      </w:r>
      <w:r>
        <w:t xml:space="preserve"> authorities</w:t>
      </w:r>
      <w:r w:rsidRPr="0054653F">
        <w:t xml:space="preserve"> </w:t>
      </w:r>
      <w:r>
        <w:t>while trying to report on</w:t>
      </w:r>
      <w:r w:rsidRPr="0054653F">
        <w:t xml:space="preserve"> </w:t>
      </w:r>
      <w:r>
        <w:t xml:space="preserve">the </w:t>
      </w:r>
      <w:r w:rsidRPr="0054653F">
        <w:t>C</w:t>
      </w:r>
      <w:r>
        <w:t>OVID</w:t>
      </w:r>
      <w:r w:rsidRPr="0054653F">
        <w:t>-19</w:t>
      </w:r>
      <w:r>
        <w:t xml:space="preserve"> pandemic</w:t>
      </w:r>
      <w:r w:rsidRPr="0054653F">
        <w:t>.</w:t>
      </w:r>
      <w:r>
        <w:t xml:space="preserve"> According to the Federation</w:t>
      </w:r>
      <w:r w:rsidRPr="00DD2EF0">
        <w:t xml:space="preserve">, some States used </w:t>
      </w:r>
      <w:r w:rsidRPr="00512988">
        <w:rPr>
          <w:bCs/>
          <w:iCs/>
        </w:rPr>
        <w:t>information take-down orders</w:t>
      </w:r>
      <w:r w:rsidRPr="00DD2EF0">
        <w:t xml:space="preserve"> to remove website articles and posts on social media platforms </w:t>
      </w:r>
      <w:r w:rsidRPr="00DD2EF0">
        <w:lastRenderedPageBreak/>
        <w:t xml:space="preserve">relating to </w:t>
      </w:r>
      <w:r>
        <w:t>the pandemic, often those including criticism of government responses or information on the pandemic.</w:t>
      </w:r>
      <w:r w:rsidRPr="00A37AAA">
        <w:rPr>
          <w:rStyle w:val="FootnoteReference"/>
        </w:rPr>
        <w:footnoteReference w:id="20"/>
      </w:r>
      <w:r>
        <w:t xml:space="preserve"> In order to ensure compliance with take-down orders, authorities in some States have </w:t>
      </w:r>
      <w:r w:rsidRPr="00FB4D6B">
        <w:t>reportedly used technology</w:t>
      </w:r>
      <w:r>
        <w:t xml:space="preserve">-based measures, such as content filtering and “distributed denial of service” </w:t>
      </w:r>
      <w:r w:rsidRPr="003228C0">
        <w:t>attacks</w:t>
      </w:r>
      <w:r>
        <w:t>, to block access to websites and platforms.</w:t>
      </w:r>
      <w:r w:rsidRPr="00A37AAA">
        <w:rPr>
          <w:rStyle w:val="FootnoteReference"/>
        </w:rPr>
        <w:footnoteReference w:id="21"/>
      </w:r>
      <w:r>
        <w:t xml:space="preserve"> Some States have delegated decision-making on take-downs to social media companies and Internet service providers, raising concerns over opaque and unaccountable decision-making processes and undue restrictions on the sharing of content.</w:t>
      </w:r>
      <w:r w:rsidRPr="00A37AAA">
        <w:rPr>
          <w:rStyle w:val="FootnoteReference"/>
        </w:rPr>
        <w:footnoteReference w:id="22"/>
      </w:r>
    </w:p>
    <w:p w14:paraId="710B0FDB" w14:textId="77777777" w:rsidR="000242CC" w:rsidRDefault="000242CC" w:rsidP="000242CC">
      <w:pPr>
        <w:pStyle w:val="SingleTxtG"/>
      </w:pPr>
      <w:r>
        <w:t>11.</w:t>
      </w:r>
      <w:r>
        <w:tab/>
      </w:r>
      <w:r w:rsidRPr="00DC3551">
        <w:t>The Special Rapporteur on freedom of expression</w:t>
      </w:r>
      <w:r w:rsidRPr="00DC3551" w:rsidDel="00DC3551">
        <w:t xml:space="preserve"> </w:t>
      </w:r>
      <w:r w:rsidRPr="001005A9">
        <w:t xml:space="preserve">expressed concern about an increase </w:t>
      </w:r>
      <w:r>
        <w:t>in</w:t>
      </w:r>
      <w:r w:rsidRPr="001005A9">
        <w:t xml:space="preserve"> disinformation</w:t>
      </w:r>
      <w:r w:rsidRPr="00DC3551">
        <w:t xml:space="preserve"> and misinformation</w:t>
      </w:r>
      <w:r w:rsidRPr="00CC3109" w:rsidDel="00CC3109">
        <w:t xml:space="preserve"> </w:t>
      </w:r>
      <w:r w:rsidRPr="00421E27">
        <w:t>during the COVID-1</w:t>
      </w:r>
      <w:r>
        <w:t>9 pandemic, particularly online</w:t>
      </w:r>
      <w:r w:rsidRPr="00D43DB3">
        <w:t>.</w:t>
      </w:r>
      <w:r w:rsidRPr="00A37AAA">
        <w:rPr>
          <w:rStyle w:val="FootnoteReference"/>
        </w:rPr>
        <w:footnoteReference w:id="23"/>
      </w:r>
      <w:r w:rsidRPr="00421E27">
        <w:t xml:space="preserve"> </w:t>
      </w:r>
      <w:r w:rsidRPr="0079378F">
        <w:t>The overabundance of information in general, including false information,</w:t>
      </w:r>
      <w:r w:rsidRPr="0079378F" w:rsidDel="00D56666">
        <w:t xml:space="preserve"> </w:t>
      </w:r>
      <w:r w:rsidRPr="0079378F">
        <w:t>has been termed an</w:t>
      </w:r>
      <w:r w:rsidRPr="00421E27">
        <w:t xml:space="preserve"> </w:t>
      </w:r>
      <w:r>
        <w:t>“</w:t>
      </w:r>
      <w:proofErr w:type="spellStart"/>
      <w:r w:rsidRPr="00421E27">
        <w:t>infodemic</w:t>
      </w:r>
      <w:proofErr w:type="spellEnd"/>
      <w:r>
        <w:t>”</w:t>
      </w:r>
      <w:r w:rsidRPr="0079378F">
        <w:t>.</w:t>
      </w:r>
      <w:r w:rsidRPr="00A37AAA">
        <w:rPr>
          <w:rStyle w:val="FootnoteReference"/>
        </w:rPr>
        <w:footnoteReference w:id="24"/>
      </w:r>
      <w:r w:rsidRPr="00421E27">
        <w:t xml:space="preserve"> </w:t>
      </w:r>
      <w:r>
        <w:t xml:space="preserve">Laws aimed at sanctioning disinformation in the context of the pandemic </w:t>
      </w:r>
      <w:r w:rsidRPr="00421E27">
        <w:t xml:space="preserve">in </w:t>
      </w:r>
      <w:r w:rsidRPr="0079378F">
        <w:t>a number of</w:t>
      </w:r>
      <w:r w:rsidRPr="00421E27">
        <w:t xml:space="preserve"> countries</w:t>
      </w:r>
      <w:r>
        <w:t xml:space="preserve"> have been</w:t>
      </w:r>
      <w:r w:rsidRPr="00E6334C">
        <w:t xml:space="preserve"> overly broad and vague</w:t>
      </w:r>
      <w:r>
        <w:t xml:space="preserve">. Some </w:t>
      </w:r>
      <w:r w:rsidRPr="00E04628">
        <w:t>provide for censorship, criminal sanction</w:t>
      </w:r>
      <w:r>
        <w:t>s</w:t>
      </w:r>
      <w:r w:rsidRPr="00E04628">
        <w:t xml:space="preserve"> and</w:t>
      </w:r>
      <w:r>
        <w:t xml:space="preserve"> even</w:t>
      </w:r>
      <w:r w:rsidRPr="00E04628">
        <w:t xml:space="preserve"> custodial sentences,</w:t>
      </w:r>
      <w:r>
        <w:t xml:space="preserve"> </w:t>
      </w:r>
      <w:r w:rsidRPr="00E6334C">
        <w:t xml:space="preserve">raising concerns that </w:t>
      </w:r>
      <w:r w:rsidRPr="00E04628">
        <w:t xml:space="preserve">restrictions </w:t>
      </w:r>
      <w:r>
        <w:t>may not</w:t>
      </w:r>
      <w:r w:rsidRPr="00E04628">
        <w:t xml:space="preserve"> meet </w:t>
      </w:r>
      <w:r>
        <w:t xml:space="preserve">the </w:t>
      </w:r>
      <w:r w:rsidRPr="00E04628">
        <w:t>requirements of legality</w:t>
      </w:r>
      <w:r>
        <w:t>, necessity</w:t>
      </w:r>
      <w:r w:rsidRPr="00E04628">
        <w:t xml:space="preserve"> and proportionality.</w:t>
      </w:r>
      <w:r w:rsidRPr="00A37AAA">
        <w:rPr>
          <w:rStyle w:val="FootnoteReference"/>
        </w:rPr>
        <w:footnoteReference w:id="25"/>
      </w:r>
      <w:r w:rsidRPr="00E04628">
        <w:t xml:space="preserve"> </w:t>
      </w:r>
      <w:r>
        <w:t>For example, some laws</w:t>
      </w:r>
      <w:r w:rsidRPr="00E04628">
        <w:t xml:space="preserve"> fail to provide clearly defined and objective criteria for establishing the fake or false character of information</w:t>
      </w:r>
      <w:r>
        <w:t>,</w:t>
      </w:r>
      <w:r w:rsidRPr="00A37AAA">
        <w:rPr>
          <w:rStyle w:val="FootnoteReference"/>
        </w:rPr>
        <w:footnoteReference w:id="26"/>
      </w:r>
      <w:r w:rsidRPr="00E04628">
        <w:t xml:space="preserve"> </w:t>
      </w:r>
      <w:r>
        <w:t xml:space="preserve">while in other cases </w:t>
      </w:r>
      <w:r w:rsidRPr="00E04628">
        <w:t xml:space="preserve">legislation targets information which </w:t>
      </w:r>
      <w:r>
        <w:t>“</w:t>
      </w:r>
      <w:r w:rsidRPr="00E04628">
        <w:t>could cause confusion</w:t>
      </w:r>
      <w:r>
        <w:t>”</w:t>
      </w:r>
      <w:r w:rsidRPr="00E04628">
        <w:t xml:space="preserve"> or </w:t>
      </w:r>
      <w:r>
        <w:t>“</w:t>
      </w:r>
      <w:r w:rsidRPr="00E04628">
        <w:t>create panic</w:t>
      </w:r>
      <w:r>
        <w:t>”</w:t>
      </w:r>
      <w:r w:rsidRPr="00E04628">
        <w:t xml:space="preserve">. </w:t>
      </w:r>
      <w:r>
        <w:t>S</w:t>
      </w:r>
      <w:r w:rsidRPr="00E04628">
        <w:t xml:space="preserve">ome </w:t>
      </w:r>
      <w:r>
        <w:t>States</w:t>
      </w:r>
      <w:r w:rsidRPr="00E04628">
        <w:t xml:space="preserve"> </w:t>
      </w:r>
      <w:r>
        <w:t xml:space="preserve">have reportedly </w:t>
      </w:r>
      <w:r w:rsidRPr="00E04628">
        <w:t>banned the publication of any pandemic-related information</w:t>
      </w:r>
      <w:r>
        <w:t>,</w:t>
      </w:r>
      <w:r w:rsidRPr="00E04628">
        <w:t xml:space="preserve"> other than officially</w:t>
      </w:r>
      <w:r w:rsidRPr="00E6334C">
        <w:t xml:space="preserve"> released information, or </w:t>
      </w:r>
      <w:r>
        <w:t xml:space="preserve">have </w:t>
      </w:r>
      <w:r w:rsidRPr="00E6334C">
        <w:t>required approval prior to publication.</w:t>
      </w:r>
      <w:r w:rsidRPr="00A37AAA">
        <w:rPr>
          <w:rStyle w:val="FootnoteReference"/>
        </w:rPr>
        <w:footnoteReference w:id="27"/>
      </w:r>
    </w:p>
    <w:p w14:paraId="506C4536" w14:textId="77777777" w:rsidR="000242CC" w:rsidRDefault="000242CC" w:rsidP="000242CC">
      <w:pPr>
        <w:pStyle w:val="SingleTxtG"/>
      </w:pPr>
      <w:r>
        <w:t>12.</w:t>
      </w:r>
      <w:r>
        <w:tab/>
        <w:t>In some States, media outlets that have reported on the pandemic have allegedly faced harassment, disproportionate administrative restrictions and even criminal investigations in relation to their legitimate media work. Some have had their</w:t>
      </w:r>
      <w:r w:rsidRPr="00BC7CDE">
        <w:t xml:space="preserve"> </w:t>
      </w:r>
      <w:r>
        <w:t>operating licences suspended or been forced to close.</w:t>
      </w:r>
      <w:r w:rsidRPr="00A37AAA">
        <w:rPr>
          <w:rStyle w:val="FootnoteReference"/>
        </w:rPr>
        <w:footnoteReference w:id="28"/>
      </w:r>
      <w:r>
        <w:t xml:space="preserve"> In a number of cases, journalists have had their </w:t>
      </w:r>
      <w:r w:rsidRPr="00B2694D">
        <w:t xml:space="preserve">press cards or accreditation withdrawn </w:t>
      </w:r>
      <w:r>
        <w:t xml:space="preserve">and </w:t>
      </w:r>
      <w:r w:rsidRPr="00B2694D">
        <w:t>faced intimidation, arrest, prosecution and detention.</w:t>
      </w:r>
      <w:r w:rsidRPr="00A37AAA">
        <w:rPr>
          <w:rStyle w:val="FootnoteReference"/>
        </w:rPr>
        <w:footnoteReference w:id="29"/>
      </w:r>
      <w:r w:rsidRPr="00B2694D">
        <w:t xml:space="preserve"> </w:t>
      </w:r>
      <w:r w:rsidRPr="00544EC7">
        <w:t xml:space="preserve">The International Press Institute COVID-19 press freedom tracker </w:t>
      </w:r>
      <w:r>
        <w:t xml:space="preserve">indicates that among the </w:t>
      </w:r>
      <w:r w:rsidRPr="0079378F">
        <w:t>215 journalists report</w:t>
      </w:r>
      <w:r>
        <w:t>edly</w:t>
      </w:r>
      <w:r w:rsidRPr="0079378F">
        <w:t xml:space="preserve"> arrested for their COVID-19 coverage</w:t>
      </w:r>
      <w:r>
        <w:t xml:space="preserve">, </w:t>
      </w:r>
      <w:r w:rsidRPr="00CC3109">
        <w:t>18 have been arrested on charges related to fake news</w:t>
      </w:r>
      <w:r>
        <w:t>.</w:t>
      </w:r>
      <w:r w:rsidRPr="00A37AAA">
        <w:rPr>
          <w:rStyle w:val="FootnoteReference"/>
        </w:rPr>
        <w:footnoteReference w:id="30"/>
      </w:r>
    </w:p>
    <w:p w14:paraId="64A7FDCF" w14:textId="77777777" w:rsidR="000242CC" w:rsidRDefault="000242CC" w:rsidP="000242CC">
      <w:pPr>
        <w:pStyle w:val="H23G"/>
      </w:pPr>
      <w:bookmarkStart w:id="6" w:name="_Toc89868930"/>
      <w:r>
        <w:tab/>
        <w:t>2.</w:t>
      </w:r>
      <w:r>
        <w:tab/>
      </w:r>
      <w:r w:rsidRPr="0058735A">
        <w:t>Access to information</w:t>
      </w:r>
      <w:bookmarkEnd w:id="6"/>
    </w:p>
    <w:p w14:paraId="1BC0DC32" w14:textId="77777777" w:rsidR="000242CC" w:rsidRDefault="000242CC" w:rsidP="000242CC">
      <w:pPr>
        <w:pStyle w:val="SingleTxtG"/>
      </w:pPr>
      <w:r>
        <w:t>13.</w:t>
      </w:r>
      <w:r>
        <w:tab/>
      </w:r>
      <w:r w:rsidRPr="00C87C35">
        <w:t>In its resolution 74/306 on a comprehensive and coordinated response to the COVID</w:t>
      </w:r>
      <w:r>
        <w:t>-</w:t>
      </w:r>
      <w:r w:rsidRPr="00C87C35">
        <w:t>19 pandemic, the General Assembly recognized the importance of the free flow of information and knowledge, including through the dissemination of accurate, clear and evidence- and science-based information</w:t>
      </w:r>
      <w:r>
        <w:t>.</w:t>
      </w:r>
      <w:r w:rsidRPr="00A37AAA">
        <w:rPr>
          <w:rStyle w:val="FootnoteReference"/>
        </w:rPr>
        <w:footnoteReference w:id="31"/>
      </w:r>
      <w:r w:rsidRPr="00E6334C">
        <w:t xml:space="preserve"> </w:t>
      </w:r>
      <w:r>
        <w:t>However, j</w:t>
      </w:r>
      <w:r w:rsidRPr="00E6334C">
        <w:t xml:space="preserve">ournalists cannot effectively fulfil their role of informing the public and </w:t>
      </w:r>
      <w:r>
        <w:t>contributing to holding the authorities accountable without being</w:t>
      </w:r>
      <w:r w:rsidRPr="00E6334C">
        <w:t xml:space="preserve"> able to freely access information. </w:t>
      </w:r>
      <w:r>
        <w:t xml:space="preserve">In some countries, </w:t>
      </w:r>
      <w:r w:rsidRPr="00E6334C">
        <w:t xml:space="preserve">journalists </w:t>
      </w:r>
      <w:r>
        <w:t xml:space="preserve">face </w:t>
      </w:r>
      <w:r w:rsidRPr="00E6334C">
        <w:t xml:space="preserve">difficulties </w:t>
      </w:r>
      <w:r>
        <w:t>in this regard. A</w:t>
      </w:r>
      <w:r w:rsidRPr="00E6334C">
        <w:t xml:space="preserve"> survey of 1,406 journalists and media workers from 125 countries conducted </w:t>
      </w:r>
      <w:r>
        <w:lastRenderedPageBreak/>
        <w:t>in 2020 for</w:t>
      </w:r>
      <w:r w:rsidRPr="00E6334C">
        <w:t xml:space="preserve"> the </w:t>
      </w:r>
      <w:r>
        <w:t>“</w:t>
      </w:r>
      <w:r w:rsidRPr="00E6334C">
        <w:t>Journalism and the pandemic project</w:t>
      </w:r>
      <w:r>
        <w:t xml:space="preserve">”, a collaborative research initiative by the International </w:t>
      </w:r>
      <w:proofErr w:type="spellStart"/>
      <w:r>
        <w:t>Center</w:t>
      </w:r>
      <w:proofErr w:type="spellEnd"/>
      <w:r>
        <w:t xml:space="preserve"> for Journalists and the Tow </w:t>
      </w:r>
      <w:proofErr w:type="spellStart"/>
      <w:r>
        <w:t>Center</w:t>
      </w:r>
      <w:proofErr w:type="spellEnd"/>
      <w:r>
        <w:t xml:space="preserve"> for Digital Journalism at Columbia University,</w:t>
      </w:r>
      <w:r w:rsidRPr="00E6334C">
        <w:t xml:space="preserve"> found that </w:t>
      </w:r>
      <w:r>
        <w:t xml:space="preserve">28 per cent </w:t>
      </w:r>
      <w:r w:rsidRPr="00E6334C">
        <w:t xml:space="preserve">of respondents </w:t>
      </w:r>
      <w:r>
        <w:t>had been</w:t>
      </w:r>
      <w:r w:rsidRPr="00E6334C">
        <w:t xml:space="preserve"> denied access to government representatives or other officia</w:t>
      </w:r>
      <w:r>
        <w:t>l sources;</w:t>
      </w:r>
      <w:r w:rsidRPr="00E6334C">
        <w:t xml:space="preserve"> </w:t>
      </w:r>
      <w:r>
        <w:t>23 per cent had been</w:t>
      </w:r>
      <w:r w:rsidRPr="00E6334C">
        <w:t xml:space="preserve"> unable to report due to a l</w:t>
      </w:r>
      <w:r>
        <w:t>ack of accreditation or permit; 20 per cent had been</w:t>
      </w:r>
      <w:r w:rsidRPr="00E6334C">
        <w:t xml:space="preserve"> excluded fr</w:t>
      </w:r>
      <w:r>
        <w:t>om government press conferences;</w:t>
      </w:r>
      <w:r w:rsidRPr="00E6334C">
        <w:t xml:space="preserve"> </w:t>
      </w:r>
      <w:r>
        <w:t xml:space="preserve">20 per cent </w:t>
      </w:r>
      <w:r w:rsidRPr="00E6334C">
        <w:t xml:space="preserve">had </w:t>
      </w:r>
      <w:r>
        <w:t xml:space="preserve">had </w:t>
      </w:r>
      <w:r w:rsidRPr="00E6334C">
        <w:t xml:space="preserve">formal </w:t>
      </w:r>
      <w:r>
        <w:t>f</w:t>
      </w:r>
      <w:r w:rsidRPr="00E6334C">
        <w:t xml:space="preserve">reedom </w:t>
      </w:r>
      <w:r>
        <w:t>o</w:t>
      </w:r>
      <w:r w:rsidRPr="00E6334C">
        <w:t xml:space="preserve">f </w:t>
      </w:r>
      <w:r>
        <w:t>information requests rejected;</w:t>
      </w:r>
      <w:r w:rsidRPr="00E6334C">
        <w:t xml:space="preserve"> </w:t>
      </w:r>
      <w:r>
        <w:t xml:space="preserve">13 per cent </w:t>
      </w:r>
      <w:r w:rsidRPr="00E6334C">
        <w:t>had seen government advertising with</w:t>
      </w:r>
      <w:r>
        <w:t>drawn from their publications;</w:t>
      </w:r>
      <w:r w:rsidRPr="00E6334C">
        <w:t xml:space="preserve"> </w:t>
      </w:r>
      <w:r>
        <w:t xml:space="preserve">3 per cent </w:t>
      </w:r>
      <w:r w:rsidRPr="00E6334C">
        <w:t>had had their press licen</w:t>
      </w:r>
      <w:r>
        <w:t>ces</w:t>
      </w:r>
      <w:r w:rsidRPr="00E6334C">
        <w:t xml:space="preserve"> revoked</w:t>
      </w:r>
      <w:r>
        <w:t>;</w:t>
      </w:r>
      <w:r w:rsidRPr="00E6334C">
        <w:t xml:space="preserve"> and </w:t>
      </w:r>
      <w:r>
        <w:t xml:space="preserve">2 per cent </w:t>
      </w:r>
      <w:r w:rsidRPr="00E6334C">
        <w:t>had been expelled from a foreign country.</w:t>
      </w:r>
      <w:r w:rsidRPr="00A37AAA">
        <w:rPr>
          <w:rStyle w:val="FootnoteReference"/>
        </w:rPr>
        <w:footnoteReference w:id="32"/>
      </w:r>
    </w:p>
    <w:p w14:paraId="50CC3684" w14:textId="77777777" w:rsidR="000242CC" w:rsidRDefault="000242CC" w:rsidP="000242CC">
      <w:pPr>
        <w:pStyle w:val="SingleTxtG"/>
      </w:pPr>
      <w:r>
        <w:t>14.</w:t>
      </w:r>
      <w:r>
        <w:tab/>
      </w:r>
      <w:r w:rsidRPr="00A4000F">
        <w:t xml:space="preserve">In some States, journalists </w:t>
      </w:r>
      <w:r>
        <w:t xml:space="preserve">have </w:t>
      </w:r>
      <w:r w:rsidRPr="00A4000F">
        <w:t xml:space="preserve">alleged that their access to health facilities </w:t>
      </w:r>
      <w:r>
        <w:t xml:space="preserve">has been </w:t>
      </w:r>
      <w:r w:rsidRPr="00A4000F">
        <w:t>restricted and health professionals prevented from talking to the media about COVID-</w:t>
      </w:r>
      <w:r w:rsidRPr="001D6A3D">
        <w:t>19.</w:t>
      </w:r>
      <w:r w:rsidRPr="001D6A3D">
        <w:rPr>
          <w:rStyle w:val="FootnoteReference"/>
        </w:rPr>
        <w:footnoteReference w:id="33"/>
      </w:r>
      <w:r>
        <w:t xml:space="preserve"> </w:t>
      </w:r>
      <w:r w:rsidRPr="00A4000F">
        <w:t>In others, authorities are alleged to have limited the freedom of movement of journalists seeking to cover pandemic-related events and protests or to confirm reported information.</w:t>
      </w:r>
      <w:r w:rsidRPr="00A37AAA">
        <w:rPr>
          <w:rStyle w:val="FootnoteReference"/>
        </w:rPr>
        <w:footnoteReference w:id="34"/>
      </w:r>
      <w:r>
        <w:t xml:space="preserve"> </w:t>
      </w:r>
      <w:r w:rsidRPr="00A4000F">
        <w:t xml:space="preserve">In a number of States, only State-run media </w:t>
      </w:r>
      <w:r>
        <w:t>are</w:t>
      </w:r>
      <w:r w:rsidRPr="00A4000F">
        <w:t xml:space="preserve"> reported to have access to </w:t>
      </w:r>
      <w:r>
        <w:t>“</w:t>
      </w:r>
      <w:r w:rsidRPr="00A4000F">
        <w:t>sensitive</w:t>
      </w:r>
      <w:r>
        <w:t>”</w:t>
      </w:r>
      <w:r w:rsidRPr="00A4000F">
        <w:t xml:space="preserve"> regions.</w:t>
      </w:r>
      <w:r w:rsidRPr="00A37AAA">
        <w:rPr>
          <w:rStyle w:val="FootnoteReference"/>
        </w:rPr>
        <w:footnoteReference w:id="35"/>
      </w:r>
      <w:r w:rsidRPr="00A4000F">
        <w:t xml:space="preserve"> In some cases, journalists </w:t>
      </w:r>
      <w:r>
        <w:t xml:space="preserve">have </w:t>
      </w:r>
      <w:r w:rsidRPr="00A4000F">
        <w:t xml:space="preserve">reportedly </w:t>
      </w:r>
      <w:r>
        <w:t xml:space="preserve">been </w:t>
      </w:r>
      <w:r w:rsidRPr="00A4000F">
        <w:t>detained, arrested and fined for covering protests</w:t>
      </w:r>
      <w:r>
        <w:t xml:space="preserve"> related to </w:t>
      </w:r>
      <w:r w:rsidRPr="00A4000F">
        <w:t>COVID-19.</w:t>
      </w:r>
      <w:r w:rsidRPr="00A37AAA">
        <w:rPr>
          <w:rStyle w:val="FootnoteReference"/>
        </w:rPr>
        <w:footnoteReference w:id="36"/>
      </w:r>
    </w:p>
    <w:p w14:paraId="45544350" w14:textId="77777777" w:rsidR="000242CC" w:rsidRPr="00B46857" w:rsidRDefault="000242CC" w:rsidP="000242CC">
      <w:pPr>
        <w:pStyle w:val="SingleTxtG"/>
      </w:pPr>
      <w:r w:rsidRPr="00B46857">
        <w:t>15.</w:t>
      </w:r>
      <w:r w:rsidRPr="00B46857">
        <w:tab/>
      </w:r>
      <w:r>
        <w:t xml:space="preserve">In its contribution, </w:t>
      </w:r>
      <w:r w:rsidRPr="00E97A4C">
        <w:t xml:space="preserve">UNESCO highlighted the impact of restrictive accreditation regimes negatively affecting </w:t>
      </w:r>
      <w:r>
        <w:t xml:space="preserve">the </w:t>
      </w:r>
      <w:r w:rsidRPr="00E97A4C">
        <w:t xml:space="preserve">ability </w:t>
      </w:r>
      <w:r>
        <w:t xml:space="preserve">of </w:t>
      </w:r>
      <w:r w:rsidRPr="00E97A4C">
        <w:t>journalists to access information and hold States to account.</w:t>
      </w:r>
      <w:r w:rsidRPr="00A37AAA">
        <w:rPr>
          <w:rStyle w:val="FootnoteReference"/>
        </w:rPr>
        <w:footnoteReference w:id="37"/>
      </w:r>
      <w:r>
        <w:t xml:space="preserve"> </w:t>
      </w:r>
      <w:r w:rsidRPr="00E97A4C">
        <w:t>In</w:t>
      </w:r>
      <w:r>
        <w:t xml:space="preserve"> addition, </w:t>
      </w:r>
      <w:r w:rsidRPr="00E97A4C">
        <w:t>the selective use of accreditation regimes to exclude journalists or outlets in a number of countries was highlighted.</w:t>
      </w:r>
      <w:r w:rsidRPr="00A37AAA">
        <w:rPr>
          <w:rStyle w:val="FootnoteReference"/>
        </w:rPr>
        <w:footnoteReference w:id="38"/>
      </w:r>
      <w:r w:rsidRPr="00E97A4C">
        <w:t xml:space="preserve"> The Special Rapporteur on freedom of expression </w:t>
      </w:r>
      <w:r>
        <w:t>recommended</w:t>
      </w:r>
      <w:r w:rsidRPr="00E97A4C">
        <w:t xml:space="preserve"> that States avoid imposing obstacles, such as accreditation procedures, that undermine independent media.</w:t>
      </w:r>
      <w:r w:rsidRPr="00A37AAA">
        <w:rPr>
          <w:rStyle w:val="FootnoteReference"/>
        </w:rPr>
        <w:footnoteReference w:id="39"/>
      </w:r>
      <w:r w:rsidRPr="00E97A4C">
        <w:t xml:space="preserve"> In some States,</w:t>
      </w:r>
      <w:r>
        <w:t xml:space="preserve"> </w:t>
      </w:r>
      <w:r w:rsidRPr="00E97A4C">
        <w:t>there are allegations that public health databases ha</w:t>
      </w:r>
      <w:r>
        <w:t>ve</w:t>
      </w:r>
      <w:r w:rsidRPr="00E97A4C">
        <w:t xml:space="preserve"> been removed and information on the numbers of deaths caused by COVID-19 amended.</w:t>
      </w:r>
      <w:r w:rsidRPr="00A37AAA">
        <w:rPr>
          <w:rStyle w:val="FootnoteReference"/>
        </w:rPr>
        <w:footnoteReference w:id="40"/>
      </w:r>
    </w:p>
    <w:p w14:paraId="4CA73A57" w14:textId="2E88D326" w:rsidR="000242CC" w:rsidRPr="00823337" w:rsidRDefault="000242CC" w:rsidP="000242CC">
      <w:pPr>
        <w:pStyle w:val="H1G"/>
      </w:pPr>
      <w:bookmarkStart w:id="8" w:name="_Toc89868931"/>
      <w:r>
        <w:tab/>
      </w:r>
      <w:r w:rsidRPr="00823337">
        <w:t>B</w:t>
      </w:r>
      <w:r>
        <w:t>.</w:t>
      </w:r>
      <w:r>
        <w:tab/>
        <w:t>Attacks</w:t>
      </w:r>
      <w:r w:rsidRPr="00823337">
        <w:t xml:space="preserve"> o</w:t>
      </w:r>
      <w:r>
        <w:t>n</w:t>
      </w:r>
      <w:r w:rsidRPr="00823337">
        <w:t xml:space="preserve"> journalists reporting on the COVID-19 pandemic</w:t>
      </w:r>
      <w:bookmarkEnd w:id="8"/>
    </w:p>
    <w:p w14:paraId="4675F31F" w14:textId="77777777" w:rsidR="000242CC" w:rsidRDefault="000242CC" w:rsidP="000242CC">
      <w:pPr>
        <w:pStyle w:val="SingleTxtG"/>
      </w:pPr>
      <w:r>
        <w:t>16.</w:t>
      </w:r>
      <w:r>
        <w:tab/>
      </w:r>
      <w:r w:rsidRPr="002D2C0D">
        <w:t xml:space="preserve">Journalists performing their legitimate work reporting on the COVID-19 pandemic </w:t>
      </w:r>
      <w:r>
        <w:t xml:space="preserve">have </w:t>
      </w:r>
      <w:r w:rsidRPr="002D2C0D">
        <w:t>faced</w:t>
      </w:r>
      <w:r>
        <w:t xml:space="preserve"> physical,</w:t>
      </w:r>
      <w:r w:rsidRPr="002D2C0D">
        <w:t xml:space="preserve"> verbal and online attacks in all global regions. The </w:t>
      </w:r>
      <w:r w:rsidRPr="00370520">
        <w:t>International Press Institute</w:t>
      </w:r>
      <w:r>
        <w:t xml:space="preserve"> </w:t>
      </w:r>
      <w:r w:rsidRPr="002D2C0D">
        <w:t>COVID-</w:t>
      </w:r>
      <w:r>
        <w:t>19 press freedom tracker has reported that State authorities have</w:t>
      </w:r>
      <w:r w:rsidRPr="002D2C0D">
        <w:t xml:space="preserve"> been responsible for approximately half of</w:t>
      </w:r>
      <w:r>
        <w:t xml:space="preserve"> the</w:t>
      </w:r>
      <w:r w:rsidRPr="002D2C0D">
        <w:t xml:space="preserve"> physical attacks against journalists in relation to the pandemic and </w:t>
      </w:r>
      <w:r>
        <w:t>21</w:t>
      </w:r>
      <w:r w:rsidRPr="002D2C0D">
        <w:t xml:space="preserve"> per</w:t>
      </w:r>
      <w:r>
        <w:t xml:space="preserve"> </w:t>
      </w:r>
      <w:r w:rsidRPr="002D2C0D">
        <w:t>cent of the combined figure for verbal and physical attacks.</w:t>
      </w:r>
      <w:r w:rsidRPr="00A37AAA">
        <w:rPr>
          <w:rStyle w:val="FootnoteReference"/>
        </w:rPr>
        <w:footnoteReference w:id="41"/>
      </w:r>
      <w:r>
        <w:t xml:space="preserve"> Journalists have </w:t>
      </w:r>
      <w:r w:rsidRPr="002D2C0D">
        <w:t xml:space="preserve">reportedly </w:t>
      </w:r>
      <w:r>
        <w:t xml:space="preserve">been </w:t>
      </w:r>
      <w:r w:rsidRPr="002D2C0D">
        <w:t>physically attacked while covering protests against pandemic-related restrictions</w:t>
      </w:r>
      <w:r>
        <w:t xml:space="preserve"> and in the course of their investigative work, </w:t>
      </w:r>
      <w:r w:rsidRPr="002D2C0D">
        <w:t xml:space="preserve">including by </w:t>
      </w:r>
      <w:r>
        <w:t xml:space="preserve">the </w:t>
      </w:r>
      <w:r w:rsidRPr="002D2C0D">
        <w:t xml:space="preserve">police and </w:t>
      </w:r>
      <w:r>
        <w:t xml:space="preserve">the </w:t>
      </w:r>
      <w:r w:rsidRPr="002D2C0D">
        <w:t>security forces</w:t>
      </w:r>
      <w:r>
        <w:t>, while some have allegedly been forcibly disappeared.</w:t>
      </w:r>
      <w:r w:rsidRPr="00A37AAA">
        <w:rPr>
          <w:rStyle w:val="FootnoteReference"/>
        </w:rPr>
        <w:footnoteReference w:id="42"/>
      </w:r>
      <w:r w:rsidRPr="002D2C0D">
        <w:t xml:space="preserve"> </w:t>
      </w:r>
      <w:r>
        <w:t xml:space="preserve">In his report to the Human Rights Council in April 2020, the Special Rapporteur on freedom of expression addressed </w:t>
      </w:r>
      <w:r w:rsidRPr="00D937DE">
        <w:t xml:space="preserve">attacks </w:t>
      </w:r>
      <w:r>
        <w:t>on journalists</w:t>
      </w:r>
      <w:r w:rsidRPr="00AD1475">
        <w:t xml:space="preserve"> </w:t>
      </w:r>
      <w:r>
        <w:t xml:space="preserve">by </w:t>
      </w:r>
      <w:r w:rsidRPr="00D937DE">
        <w:t xml:space="preserve">political </w:t>
      </w:r>
      <w:r>
        <w:t>figures and senior officials, and police intimidation of journalists during the COVID-19 pandemic.</w:t>
      </w:r>
      <w:r w:rsidRPr="00A37AAA">
        <w:rPr>
          <w:rStyle w:val="FootnoteReference"/>
        </w:rPr>
        <w:footnoteReference w:id="43"/>
      </w:r>
      <w:r>
        <w:t xml:space="preserve"> The Special Rapporteur also </w:t>
      </w:r>
      <w:r>
        <w:lastRenderedPageBreak/>
        <w:t>addressed attacks on journalists reporting on the pandemic in his public statements</w:t>
      </w:r>
      <w:r w:rsidRPr="00A37AAA">
        <w:rPr>
          <w:rStyle w:val="FootnoteReference"/>
        </w:rPr>
        <w:footnoteReference w:id="44"/>
      </w:r>
      <w:r>
        <w:t xml:space="preserve"> and individual communications to States he sent in conjunction with other special procedure mandate holders.</w:t>
      </w:r>
      <w:r w:rsidRPr="00A37AAA">
        <w:rPr>
          <w:rStyle w:val="FootnoteReference"/>
        </w:rPr>
        <w:footnoteReference w:id="45"/>
      </w:r>
    </w:p>
    <w:p w14:paraId="35FCCC19" w14:textId="77777777" w:rsidR="000242CC" w:rsidRDefault="000242CC" w:rsidP="000242CC">
      <w:pPr>
        <w:pStyle w:val="SingleTxtG"/>
      </w:pPr>
      <w:r>
        <w:t>17.</w:t>
      </w:r>
      <w:r>
        <w:tab/>
      </w:r>
      <w:r w:rsidRPr="009D3559">
        <w:t xml:space="preserve">The risks to the safety of journalists posed by </w:t>
      </w:r>
      <w:r>
        <w:t xml:space="preserve">State </w:t>
      </w:r>
      <w:r w:rsidRPr="009D3559">
        <w:t>surveillance are widely recognized and were addresse</w:t>
      </w:r>
      <w:r>
        <w:t>d in previous reports.</w:t>
      </w:r>
      <w:r w:rsidRPr="00A37AAA">
        <w:rPr>
          <w:rStyle w:val="FootnoteReference"/>
        </w:rPr>
        <w:footnoteReference w:id="46"/>
      </w:r>
      <w:r w:rsidRPr="009D3559">
        <w:t xml:space="preserve"> The </w:t>
      </w:r>
      <w:r>
        <w:t>Human Rights Council has called on States</w:t>
      </w:r>
      <w:r w:rsidRPr="009D3559">
        <w:t xml:space="preserve"> to refrain from employing unlawful or arbitrary surveillance techniques, including through hacking</w:t>
      </w:r>
      <w:r>
        <w:t>,</w:t>
      </w:r>
      <w:r w:rsidRPr="009D3559">
        <w:t xml:space="preserve"> and ensure that targeted surveillance technologies are only used in accordance with the human rights principles</w:t>
      </w:r>
      <w:r>
        <w:t xml:space="preserve"> of lawfulness, legitimacy, necessity and proportionality.</w:t>
      </w:r>
      <w:r w:rsidRPr="00A37AAA">
        <w:rPr>
          <w:rStyle w:val="FootnoteReference"/>
        </w:rPr>
        <w:footnoteReference w:id="47"/>
      </w:r>
      <w:r w:rsidRPr="009D3559">
        <w:t xml:space="preserve"> </w:t>
      </w:r>
      <w:r>
        <w:t>However</w:t>
      </w:r>
      <w:r w:rsidRPr="009D3559">
        <w:t xml:space="preserve">, reports on the surveillance of journalists continue to emerge: in 2021, a civil society and media investigative collaboration exposed the widespread use of malware tools targeting </w:t>
      </w:r>
      <w:r>
        <w:t xml:space="preserve">the </w:t>
      </w:r>
      <w:r w:rsidRPr="009D3559">
        <w:t xml:space="preserve">mobile devices of at least 180 journalists in multiple countries </w:t>
      </w:r>
      <w:r>
        <w:t xml:space="preserve">(along with </w:t>
      </w:r>
      <w:r w:rsidRPr="009D3559">
        <w:t>human rights defenders and political leaders</w:t>
      </w:r>
      <w:r>
        <w:t>).</w:t>
      </w:r>
      <w:r w:rsidRPr="00A37AAA">
        <w:rPr>
          <w:rStyle w:val="FootnoteReference"/>
        </w:rPr>
        <w:footnoteReference w:id="48"/>
      </w:r>
      <w:r w:rsidRPr="009D3559">
        <w:t xml:space="preserve"> </w:t>
      </w:r>
      <w:r>
        <w:t>T</w:t>
      </w:r>
      <w:r w:rsidRPr="009D3559">
        <w:t xml:space="preserve">he High Commissioner for Human Rights </w:t>
      </w:r>
      <w:r>
        <w:t>and</w:t>
      </w:r>
      <w:r w:rsidRPr="009D3559">
        <w:t xml:space="preserve"> human rights experts </w:t>
      </w:r>
      <w:r>
        <w:t>have deplored</w:t>
      </w:r>
      <w:r w:rsidRPr="009D3559">
        <w:t xml:space="preserve"> </w:t>
      </w:r>
      <w:r>
        <w:t xml:space="preserve">the </w:t>
      </w:r>
      <w:r w:rsidRPr="009D3559">
        <w:t xml:space="preserve">abusive use of malware to intimidate </w:t>
      </w:r>
      <w:r>
        <w:t>journalists</w:t>
      </w:r>
      <w:r w:rsidRPr="009D3559">
        <w:t xml:space="preserve"> and civil society</w:t>
      </w:r>
      <w:r w:rsidRPr="00A37AAA">
        <w:rPr>
          <w:rStyle w:val="FootnoteReference"/>
        </w:rPr>
        <w:footnoteReference w:id="49"/>
      </w:r>
      <w:r w:rsidRPr="002D2C0D">
        <w:t xml:space="preserve"> </w:t>
      </w:r>
      <w:r>
        <w:t>and</w:t>
      </w:r>
      <w:r w:rsidRPr="009D3559">
        <w:t xml:space="preserve"> </w:t>
      </w:r>
      <w:r>
        <w:t xml:space="preserve">have </w:t>
      </w:r>
      <w:r w:rsidRPr="009D3559">
        <w:t>called</w:t>
      </w:r>
      <w:r>
        <w:t xml:space="preserve"> on</w:t>
      </w:r>
      <w:r w:rsidRPr="009D3559">
        <w:t xml:space="preserve"> States to implement a moratorium on the sale and transfer of </w:t>
      </w:r>
      <w:r>
        <w:t>such</w:t>
      </w:r>
      <w:r w:rsidRPr="009D3559">
        <w:t xml:space="preserve"> tools until compliance with human rights standards can be guaranteed.</w:t>
      </w:r>
      <w:r w:rsidRPr="00A37AAA">
        <w:rPr>
          <w:rStyle w:val="FootnoteReference"/>
        </w:rPr>
        <w:footnoteReference w:id="50"/>
      </w:r>
      <w:r w:rsidRPr="009D3559">
        <w:t xml:space="preserve"> </w:t>
      </w:r>
      <w:r w:rsidRPr="002D2C0D">
        <w:t>According to UNESCO, during the pandemic online surveillance has been used to undermine journalists’ protection of whistle-blowers.</w:t>
      </w:r>
      <w:r w:rsidRPr="00A37AAA">
        <w:rPr>
          <w:rStyle w:val="FootnoteReference"/>
        </w:rPr>
        <w:footnoteReference w:id="51"/>
      </w:r>
      <w:r w:rsidRPr="002D2C0D">
        <w:t xml:space="preserve"> </w:t>
      </w:r>
      <w:r>
        <w:t>Some contributions report on the arbitrary detention of journalists and on an increase in the</w:t>
      </w:r>
      <w:r w:rsidRPr="00825A38">
        <w:t xml:space="preserve"> number of journalists jailed global</w:t>
      </w:r>
      <w:r>
        <w:t>ly</w:t>
      </w:r>
      <w:r w:rsidRPr="00825A38">
        <w:t xml:space="preserve"> in 2020</w:t>
      </w:r>
      <w:r>
        <w:t>,</w:t>
      </w:r>
      <w:r w:rsidRPr="00825A38">
        <w:t xml:space="preserve"> as </w:t>
      </w:r>
      <w:r>
        <w:t>States</w:t>
      </w:r>
      <w:r w:rsidRPr="00825A38">
        <w:t xml:space="preserve"> </w:t>
      </w:r>
      <w:r>
        <w:t xml:space="preserve">sought to </w:t>
      </w:r>
      <w:r w:rsidRPr="00825A38">
        <w:t xml:space="preserve">crack down on coverage of COVID-19 </w:t>
      </w:r>
      <w:r>
        <w:t xml:space="preserve">issues </w:t>
      </w:r>
      <w:r w:rsidRPr="00825A38">
        <w:t>or suppres</w:t>
      </w:r>
      <w:r>
        <w:t>s reporting on political unrest</w:t>
      </w:r>
      <w:r w:rsidRPr="00D46BF4">
        <w:t>.</w:t>
      </w:r>
      <w:r w:rsidRPr="00A37AAA">
        <w:rPr>
          <w:rStyle w:val="FootnoteReference"/>
        </w:rPr>
        <w:footnoteReference w:id="52"/>
      </w:r>
      <w:r>
        <w:t xml:space="preserve"> </w:t>
      </w:r>
    </w:p>
    <w:p w14:paraId="3E2E9AC6" w14:textId="77777777" w:rsidR="000242CC" w:rsidRPr="00823337" w:rsidRDefault="000242CC" w:rsidP="000242CC">
      <w:pPr>
        <w:pStyle w:val="H1G"/>
      </w:pPr>
      <w:bookmarkStart w:id="9" w:name="_Toc89868934"/>
      <w:r>
        <w:tab/>
      </w:r>
      <w:r w:rsidRPr="00823337">
        <w:t>C.</w:t>
      </w:r>
      <w:r w:rsidRPr="00823337">
        <w:tab/>
        <w:t>Impacts on the rights to life and health of journalists during the COVID-19 pandemic</w:t>
      </w:r>
      <w:bookmarkEnd w:id="9"/>
    </w:p>
    <w:p w14:paraId="1CF4608B" w14:textId="77777777" w:rsidR="000242CC" w:rsidRDefault="000242CC" w:rsidP="000242CC">
      <w:pPr>
        <w:pStyle w:val="SingleTxtG"/>
      </w:pPr>
      <w:r>
        <w:t>18.</w:t>
      </w:r>
      <w:r>
        <w:tab/>
        <w:t>The Press Emblem Campaign documented the impact of the pandemic on the health of journalists globally. In December 2021, the</w:t>
      </w:r>
      <w:r w:rsidRPr="00CA4D4A">
        <w:t xml:space="preserve"> campaign reported that </w:t>
      </w:r>
      <w:r>
        <w:t>so far</w:t>
      </w:r>
      <w:r w:rsidRPr="00CA4D4A">
        <w:t>, at least 1</w:t>
      </w:r>
      <w:r>
        <w:t>,</w:t>
      </w:r>
      <w:r w:rsidRPr="00CA4D4A">
        <w:t xml:space="preserve">932 journalists </w:t>
      </w:r>
      <w:r>
        <w:t xml:space="preserve">had </w:t>
      </w:r>
      <w:r w:rsidRPr="00CA4D4A">
        <w:t>die</w:t>
      </w:r>
      <w:r>
        <w:t xml:space="preserve">d from COVID-19 in 94 countries and that tens of thousands of journalists were reportedly infected by the </w:t>
      </w:r>
      <w:r w:rsidRPr="004626AE">
        <w:t>virus</w:t>
      </w:r>
      <w:r>
        <w:t>.</w:t>
      </w:r>
      <w:r w:rsidRPr="00A37AAA">
        <w:rPr>
          <w:rStyle w:val="FootnoteReference"/>
        </w:rPr>
        <w:footnoteReference w:id="53"/>
      </w:r>
      <w:r w:rsidRPr="00CA4D4A">
        <w:t xml:space="preserve"> </w:t>
      </w:r>
    </w:p>
    <w:p w14:paraId="66287A54" w14:textId="77777777" w:rsidR="000242CC" w:rsidRDefault="000242CC" w:rsidP="000242CC">
      <w:pPr>
        <w:pStyle w:val="SingleTxtG"/>
      </w:pPr>
      <w:r>
        <w:t>19.</w:t>
      </w:r>
      <w:r>
        <w:tab/>
        <w:t>According to the International Federation of Journalists, the</w:t>
      </w:r>
      <w:r w:rsidRPr="00D64816">
        <w:t xml:space="preserve"> lives of journalists and media workers across the world </w:t>
      </w:r>
      <w:r>
        <w:t xml:space="preserve">have been </w:t>
      </w:r>
      <w:r w:rsidRPr="00D64816">
        <w:t xml:space="preserve">put in danger </w:t>
      </w:r>
      <w:r>
        <w:t>because of</w:t>
      </w:r>
      <w:r w:rsidRPr="00D64816">
        <w:t xml:space="preserve"> employers breaching health and safety legislation</w:t>
      </w:r>
      <w:r>
        <w:t>, with States</w:t>
      </w:r>
      <w:r w:rsidRPr="00D64816">
        <w:t xml:space="preserve"> failing to hold them to </w:t>
      </w:r>
      <w:r>
        <w:t>those standards</w:t>
      </w:r>
      <w:r w:rsidRPr="00D64816">
        <w:t>.</w:t>
      </w:r>
      <w:r>
        <w:t xml:space="preserve"> The Federation </w:t>
      </w:r>
      <w:r w:rsidRPr="00C16BD0">
        <w:t>survey of 1</w:t>
      </w:r>
      <w:r>
        <w:t>,</w:t>
      </w:r>
      <w:r w:rsidRPr="00C16BD0">
        <w:t>308</w:t>
      </w:r>
      <w:r>
        <w:t xml:space="preserve"> frontline</w:t>
      </w:r>
      <w:r w:rsidRPr="00C16BD0">
        <w:t xml:space="preserve"> journalists </w:t>
      </w:r>
      <w:r>
        <w:t xml:space="preserve">also </w:t>
      </w:r>
      <w:r w:rsidRPr="00C16BD0">
        <w:t xml:space="preserve">revealed that </w:t>
      </w:r>
      <w:r>
        <w:t xml:space="preserve">one in four respondents lacked any protective equipment for work in the field. An online survey conducted by the </w:t>
      </w:r>
      <w:r w:rsidRPr="00936FEC">
        <w:t xml:space="preserve">South Asia </w:t>
      </w:r>
      <w:proofErr w:type="spellStart"/>
      <w:r w:rsidRPr="00936FEC">
        <w:t>Center</w:t>
      </w:r>
      <w:proofErr w:type="spellEnd"/>
      <w:r w:rsidRPr="00936FEC">
        <w:t xml:space="preserve"> for Media in Development</w:t>
      </w:r>
      <w:r>
        <w:t xml:space="preserve"> showed that 32 per cent of media professionals were doing their job with no personal protective equipment and 76 per cent of journalists had no health insurance or risk allowance from their employers.</w:t>
      </w:r>
      <w:r w:rsidRPr="00A37AAA">
        <w:rPr>
          <w:rStyle w:val="FootnoteReference"/>
        </w:rPr>
        <w:footnoteReference w:id="54"/>
      </w:r>
    </w:p>
    <w:p w14:paraId="39E9CD72" w14:textId="5A8CE1E0" w:rsidR="000242CC" w:rsidRDefault="000242CC" w:rsidP="000242CC">
      <w:pPr>
        <w:pStyle w:val="SingleTxtG"/>
      </w:pPr>
      <w:r>
        <w:lastRenderedPageBreak/>
        <w:t>20.</w:t>
      </w:r>
      <w:r>
        <w:tab/>
        <w:t xml:space="preserve">In its contribution, UNESCO highlighted the </w:t>
      </w:r>
      <w:r w:rsidRPr="001360B2">
        <w:t xml:space="preserve">significant </w:t>
      </w:r>
      <w:r w:rsidRPr="00590CCB">
        <w:rPr>
          <w:bCs/>
        </w:rPr>
        <w:t>psychological and mental toll</w:t>
      </w:r>
      <w:r w:rsidRPr="001360B2">
        <w:t xml:space="preserve"> </w:t>
      </w:r>
      <w:r>
        <w:t xml:space="preserve">taken on </w:t>
      </w:r>
      <w:r w:rsidRPr="001360B2">
        <w:t>journalists</w:t>
      </w:r>
      <w:r>
        <w:t xml:space="preserve"> covering the pandemic, which is linked to various factors, including the traumatic context of their work, often accompanied by long hours and increased job insecurity.</w:t>
      </w:r>
      <w:r w:rsidDel="002C6225">
        <w:t xml:space="preserve"> </w:t>
      </w:r>
      <w:r>
        <w:t xml:space="preserve">According to the Committee to Protect Journalists, </w:t>
      </w:r>
      <w:r w:rsidRPr="004C70D7">
        <w:t xml:space="preserve">at least two journalists died </w:t>
      </w:r>
      <w:r>
        <w:t xml:space="preserve">in 2020 </w:t>
      </w:r>
      <w:r w:rsidRPr="004C70D7">
        <w:t xml:space="preserve">after contracting </w:t>
      </w:r>
      <w:r>
        <w:t>COVID-19</w:t>
      </w:r>
      <w:r w:rsidRPr="004C70D7">
        <w:t xml:space="preserve"> in custody</w:t>
      </w:r>
      <w:r>
        <w:t>, at least one of whom was reportedly detained on</w:t>
      </w:r>
      <w:r w:rsidR="00716708">
        <w:t xml:space="preserve"> </w:t>
      </w:r>
      <w:r w:rsidRPr="006B1289">
        <w:t xml:space="preserve">charges of joining a terrorist group, spreading false </w:t>
      </w:r>
      <w:r>
        <w:t>news and misusing social media.</w:t>
      </w:r>
      <w:r w:rsidRPr="00CA4D4A">
        <w:t xml:space="preserve"> </w:t>
      </w:r>
      <w:bookmarkStart w:id="10" w:name="_Toc89868935"/>
    </w:p>
    <w:p w14:paraId="597B5B97" w14:textId="77777777" w:rsidR="000242CC" w:rsidRPr="001005A9" w:rsidRDefault="000242CC" w:rsidP="000242CC">
      <w:pPr>
        <w:pStyle w:val="H1G"/>
      </w:pPr>
      <w:r>
        <w:tab/>
      </w:r>
      <w:r w:rsidRPr="001005A9">
        <w:t>D</w:t>
      </w:r>
      <w:r>
        <w:t>.</w:t>
      </w:r>
      <w:r>
        <w:tab/>
      </w:r>
      <w:r w:rsidRPr="001005A9">
        <w:t>Economic impact</w:t>
      </w:r>
      <w:bookmarkEnd w:id="10"/>
      <w:r>
        <w:t>s</w:t>
      </w:r>
    </w:p>
    <w:p w14:paraId="6C758D24" w14:textId="77777777" w:rsidR="000242CC" w:rsidRDefault="000242CC" w:rsidP="000242CC">
      <w:pPr>
        <w:pStyle w:val="SingleTxtG"/>
      </w:pPr>
      <w:r>
        <w:t>21.</w:t>
      </w:r>
      <w:r>
        <w:tab/>
        <w:t xml:space="preserve">The COVID-19 pandemic further exacerbated the economic pressure on traditional media outlets such as </w:t>
      </w:r>
      <w:r w:rsidRPr="00D04994">
        <w:t>radio, telev</w:t>
      </w:r>
      <w:r>
        <w:t>ision and printed newspapers. UNESCO has reported that global newspaper revenues have halved over the past five years.</w:t>
      </w:r>
      <w:r w:rsidRPr="00A37AAA">
        <w:rPr>
          <w:rStyle w:val="FootnoteReference"/>
        </w:rPr>
        <w:footnoteReference w:id="55"/>
      </w:r>
      <w:r>
        <w:t xml:space="preserve"> Some contributions noted that the pandemic had resulted in a drastic decrease in news media sector revenues reported in many countries, leading to job insecurity, redundancies and in some cases even liquidation.</w:t>
      </w:r>
      <w:r w:rsidRPr="00A37AAA">
        <w:rPr>
          <w:rStyle w:val="FootnoteReference"/>
        </w:rPr>
        <w:footnoteReference w:id="56"/>
      </w:r>
      <w:r>
        <w:t xml:space="preserve"> This is largely due to a huge drop in revenue from advertising, a key revenue stream for most media outlets. Revenue from sales was also affected, particularly as regards printed media sold in physical outlets.</w:t>
      </w:r>
      <w:r w:rsidRPr="00A37AAA">
        <w:rPr>
          <w:rStyle w:val="FootnoteReference"/>
        </w:rPr>
        <w:footnoteReference w:id="57"/>
      </w:r>
      <w:r w:rsidRPr="003A3651">
        <w:t xml:space="preserve"> </w:t>
      </w:r>
      <w:r>
        <w:t>Additional economic challenges, stemming from d</w:t>
      </w:r>
      <w:r w:rsidRPr="00EE3310">
        <w:t>isinformation</w:t>
      </w:r>
      <w:r>
        <w:t xml:space="preserve">, forced traditional </w:t>
      </w:r>
      <w:r w:rsidRPr="00EE3310">
        <w:t xml:space="preserve">media to divert resources from reporting to dispelling and debunking </w:t>
      </w:r>
      <w:r>
        <w:t>disinformation.</w:t>
      </w:r>
      <w:r w:rsidRPr="00A37AAA">
        <w:rPr>
          <w:rStyle w:val="FootnoteReference"/>
        </w:rPr>
        <w:footnoteReference w:id="58"/>
      </w:r>
    </w:p>
    <w:p w14:paraId="74B47D62" w14:textId="77777777" w:rsidR="000242CC" w:rsidRDefault="000242CC" w:rsidP="000242CC">
      <w:pPr>
        <w:pStyle w:val="SingleTxtG"/>
      </w:pPr>
      <w:r>
        <w:t>22.</w:t>
      </w:r>
      <w:r>
        <w:tab/>
      </w:r>
      <w:r w:rsidRPr="00E6334C">
        <w:t xml:space="preserve">The </w:t>
      </w:r>
      <w:r>
        <w:t xml:space="preserve">International Federation of Journalists </w:t>
      </w:r>
      <w:r w:rsidRPr="00E6334C">
        <w:t>survey</w:t>
      </w:r>
      <w:r>
        <w:t xml:space="preserve"> </w:t>
      </w:r>
      <w:r w:rsidRPr="00E6334C">
        <w:t>found that two</w:t>
      </w:r>
      <w:r>
        <w:t xml:space="preserve"> </w:t>
      </w:r>
      <w:r w:rsidRPr="00E6334C">
        <w:t>thirds of respondents, including both staff and freelance journalists, had suffered pay cuts and delays, cancelled commissions or worsening working conditions</w:t>
      </w:r>
      <w:r>
        <w:t xml:space="preserve"> and</w:t>
      </w:r>
      <w:r w:rsidRPr="00E6334C">
        <w:t xml:space="preserve"> lost revenue</w:t>
      </w:r>
      <w:r>
        <w:t>s and</w:t>
      </w:r>
      <w:r w:rsidRPr="00E6334C">
        <w:t xml:space="preserve"> job</w:t>
      </w:r>
      <w:r>
        <w:t>s</w:t>
      </w:r>
      <w:r w:rsidRPr="00E6334C">
        <w:t xml:space="preserve"> as a result of the pandemic.</w:t>
      </w:r>
      <w:r>
        <w:t xml:space="preserve"> Women journalists appear to be particularly affected.</w:t>
      </w:r>
      <w:r w:rsidRPr="00A37AAA">
        <w:rPr>
          <w:rStyle w:val="FootnoteReference"/>
        </w:rPr>
        <w:footnoteReference w:id="59"/>
      </w:r>
      <w:r>
        <w:t xml:space="preserve"> The Federation also raised concerns about</w:t>
      </w:r>
      <w:r w:rsidRPr="00E6334C">
        <w:t xml:space="preserve"> arbitrary and abusive</w:t>
      </w:r>
      <w:r>
        <w:t xml:space="preserve"> employment practices, relating to pay, conditions, dismissal and the coercive imposition of unpaid leave, among others. </w:t>
      </w:r>
      <w:r w:rsidRPr="00E6334C">
        <w:t>Some journalists who tested positive for COVID-19 reportedly continued to work for fear of being laid off.</w:t>
      </w:r>
    </w:p>
    <w:p w14:paraId="4B3B1A9A" w14:textId="77777777" w:rsidR="000242CC" w:rsidRDefault="000242CC" w:rsidP="000242CC">
      <w:pPr>
        <w:pStyle w:val="HChG"/>
      </w:pPr>
      <w:r>
        <w:tab/>
      </w:r>
      <w:r w:rsidRPr="00D3214D">
        <w:t>I</w:t>
      </w:r>
      <w:r>
        <w:t>II</w:t>
      </w:r>
      <w:bookmarkStart w:id="11" w:name="_Toc89868936"/>
      <w:r>
        <w:t>.</w:t>
      </w:r>
      <w:r>
        <w:tab/>
        <w:t>Trends and good practic</w:t>
      </w:r>
      <w:r w:rsidRPr="00D3214D">
        <w:t>es</w:t>
      </w:r>
      <w:bookmarkEnd w:id="11"/>
    </w:p>
    <w:p w14:paraId="3578657B" w14:textId="77777777" w:rsidR="000242CC" w:rsidRDefault="000242CC" w:rsidP="000242CC">
      <w:pPr>
        <w:pStyle w:val="SingleTxtG"/>
      </w:pPr>
      <w:r>
        <w:t>23.</w:t>
      </w:r>
      <w:r>
        <w:tab/>
        <w:t xml:space="preserve">Good </w:t>
      </w:r>
      <w:r w:rsidRPr="00E6334C">
        <w:t>practices</w:t>
      </w:r>
      <w:r>
        <w:t xml:space="preserve"> addressing some of the challenges highlighted above were identified as outlined below. </w:t>
      </w:r>
    </w:p>
    <w:p w14:paraId="66D9E9DC" w14:textId="77777777" w:rsidR="000242CC" w:rsidRDefault="000242CC" w:rsidP="000242CC">
      <w:pPr>
        <w:pStyle w:val="H1G"/>
      </w:pPr>
      <w:bookmarkStart w:id="12" w:name="_Toc89868937"/>
      <w:r>
        <w:tab/>
        <w:t>A.</w:t>
      </w:r>
      <w:r>
        <w:tab/>
      </w:r>
      <w:r w:rsidRPr="00670E3F">
        <w:t xml:space="preserve">Facilitating </w:t>
      </w:r>
      <w:r>
        <w:t>the access of journalists to information</w:t>
      </w:r>
      <w:r w:rsidRPr="00670E3F">
        <w:t xml:space="preserve"> in</w:t>
      </w:r>
      <w:r>
        <w:t xml:space="preserve"> the context of the</w:t>
      </w:r>
      <w:r w:rsidRPr="00670E3F">
        <w:t xml:space="preserve"> pandemic</w:t>
      </w:r>
      <w:bookmarkEnd w:id="12"/>
    </w:p>
    <w:p w14:paraId="50ED9661" w14:textId="77777777" w:rsidR="000242CC" w:rsidRDefault="000242CC" w:rsidP="000242CC">
      <w:pPr>
        <w:pStyle w:val="SingleTxtG"/>
      </w:pPr>
      <w:r>
        <w:t>24.</w:t>
      </w:r>
      <w:r>
        <w:tab/>
      </w:r>
      <w:r w:rsidRPr="00E6334C">
        <w:t xml:space="preserve">Acknowledging the need for up-to-date information in a </w:t>
      </w:r>
      <w:r>
        <w:t xml:space="preserve">context of </w:t>
      </w:r>
      <w:r w:rsidRPr="00E6334C">
        <w:t xml:space="preserve">rapidly evolving </w:t>
      </w:r>
      <w:r>
        <w:t xml:space="preserve">health </w:t>
      </w:r>
      <w:r w:rsidRPr="00E6334C">
        <w:t xml:space="preserve">emergency, </w:t>
      </w:r>
      <w:r>
        <w:t>several</w:t>
      </w:r>
      <w:r w:rsidRPr="00E6334C">
        <w:t xml:space="preserve"> </w:t>
      </w:r>
      <w:r>
        <w:t>States</w:t>
      </w:r>
      <w:r w:rsidRPr="00E6334C">
        <w:t xml:space="preserve"> </w:t>
      </w:r>
      <w:r>
        <w:t xml:space="preserve">have </w:t>
      </w:r>
      <w:r w:rsidRPr="00E6334C">
        <w:t xml:space="preserve">introduced </w:t>
      </w:r>
      <w:r>
        <w:t xml:space="preserve">the practice of holding </w:t>
      </w:r>
      <w:r w:rsidRPr="00E6334C">
        <w:t xml:space="preserve">regular press conferences dedicated to </w:t>
      </w:r>
      <w:r>
        <w:t xml:space="preserve">the response to </w:t>
      </w:r>
      <w:r w:rsidRPr="00E6334C">
        <w:t>COVID-19</w:t>
      </w:r>
      <w:r>
        <w:t>.</w:t>
      </w:r>
      <w:r w:rsidRPr="00E6334C">
        <w:t xml:space="preserve"> As infection risks </w:t>
      </w:r>
      <w:r>
        <w:t>have gone up</w:t>
      </w:r>
      <w:r w:rsidRPr="00E6334C">
        <w:t xml:space="preserve">, </w:t>
      </w:r>
      <w:r>
        <w:t>a number of States</w:t>
      </w:r>
      <w:r w:rsidRPr="00E6334C">
        <w:t xml:space="preserve"> </w:t>
      </w:r>
      <w:r>
        <w:t xml:space="preserve">have </w:t>
      </w:r>
      <w:r w:rsidRPr="00E6334C">
        <w:t xml:space="preserve">shifted press conferences </w:t>
      </w:r>
      <w:r>
        <w:t xml:space="preserve">from requiring physical presence to </w:t>
      </w:r>
      <w:r w:rsidRPr="00E6334C">
        <w:t>online</w:t>
      </w:r>
      <w:r>
        <w:t xml:space="preserve"> modes</w:t>
      </w:r>
      <w:r w:rsidRPr="00E6334C">
        <w:t>. The European Federation of Journalists</w:t>
      </w:r>
      <w:r w:rsidRPr="00392004">
        <w:t xml:space="preserve"> </w:t>
      </w:r>
      <w:r>
        <w:t>has stressed</w:t>
      </w:r>
      <w:r w:rsidRPr="00392004">
        <w:t xml:space="preserve"> the importance of ensuring </w:t>
      </w:r>
      <w:r>
        <w:t xml:space="preserve">that </w:t>
      </w:r>
      <w:r w:rsidRPr="00392004">
        <w:t xml:space="preserve">journalists could </w:t>
      </w:r>
      <w:r>
        <w:t>continue to</w:t>
      </w:r>
      <w:r w:rsidRPr="00392004">
        <w:t xml:space="preserve"> ask questions live in online formats and praised initiatives to th</w:t>
      </w:r>
      <w:r>
        <w:t>at</w:t>
      </w:r>
      <w:r w:rsidRPr="00392004">
        <w:t xml:space="preserve"> effect in </w:t>
      </w:r>
      <w:r w:rsidRPr="00590CCB">
        <w:rPr>
          <w:bCs/>
        </w:rPr>
        <w:t>Denmark</w:t>
      </w:r>
      <w:r>
        <w:rPr>
          <w:bCs/>
        </w:rPr>
        <w:t xml:space="preserve"> and</w:t>
      </w:r>
      <w:r w:rsidRPr="00590CCB">
        <w:rPr>
          <w:bCs/>
        </w:rPr>
        <w:t xml:space="preserve"> Spain</w:t>
      </w:r>
      <w:r>
        <w:rPr>
          <w:bCs/>
        </w:rPr>
        <w:t xml:space="preserve">, as well as </w:t>
      </w:r>
      <w:r w:rsidRPr="00392004">
        <w:t>at the</w:t>
      </w:r>
      <w:r w:rsidRPr="00590CCB">
        <w:rPr>
          <w:bCs/>
        </w:rPr>
        <w:t xml:space="preserve"> </w:t>
      </w:r>
      <w:r>
        <w:rPr>
          <w:bCs/>
        </w:rPr>
        <w:t xml:space="preserve">headquarters of the </w:t>
      </w:r>
      <w:r w:rsidRPr="00590CCB">
        <w:rPr>
          <w:bCs/>
        </w:rPr>
        <w:t>European Commission</w:t>
      </w:r>
      <w:r w:rsidRPr="00392004">
        <w:t xml:space="preserve"> in Brussels.</w:t>
      </w:r>
      <w:r w:rsidRPr="00A37AAA">
        <w:rPr>
          <w:rStyle w:val="FootnoteReference"/>
        </w:rPr>
        <w:footnoteReference w:id="60"/>
      </w:r>
      <w:r w:rsidRPr="00392004">
        <w:t xml:space="preserve"> </w:t>
      </w:r>
      <w:r>
        <w:t xml:space="preserve">In its contribution, </w:t>
      </w:r>
      <w:r w:rsidRPr="00590CCB">
        <w:rPr>
          <w:bCs/>
        </w:rPr>
        <w:t>Switzerland</w:t>
      </w:r>
      <w:r w:rsidRPr="00392004">
        <w:t xml:space="preserve"> highlighted measures to allow accredited journalists to pose questions live during online press conferences.</w:t>
      </w:r>
    </w:p>
    <w:p w14:paraId="45AEF1F0" w14:textId="0A57C852" w:rsidR="000242CC" w:rsidRDefault="000242CC" w:rsidP="000242CC">
      <w:pPr>
        <w:pStyle w:val="SingleTxtG"/>
      </w:pPr>
      <w:r>
        <w:t>25.</w:t>
      </w:r>
      <w:r>
        <w:tab/>
      </w:r>
      <w:r w:rsidRPr="00E6334C">
        <w:t xml:space="preserve">A number of States reported having </w:t>
      </w:r>
      <w:r>
        <w:t>taken</w:t>
      </w:r>
      <w:r w:rsidRPr="00E6334C">
        <w:t xml:space="preserve"> measures designed to facilitate</w:t>
      </w:r>
      <w:r w:rsidR="00121C02">
        <w:t xml:space="preserve"> </w:t>
      </w:r>
      <w:r>
        <w:t>access to information for journalists</w:t>
      </w:r>
      <w:r w:rsidRPr="00E6334C">
        <w:t>.</w:t>
      </w:r>
      <w:r>
        <w:t xml:space="preserve"> In its contribution, </w:t>
      </w:r>
      <w:r w:rsidRPr="00590CCB">
        <w:rPr>
          <w:bCs/>
        </w:rPr>
        <w:t>Austria</w:t>
      </w:r>
      <w:r w:rsidRPr="0017075E">
        <w:t xml:space="preserve"> reported having put in place special </w:t>
      </w:r>
      <w:r w:rsidRPr="0017075E">
        <w:lastRenderedPageBreak/>
        <w:t>arrangements to ensure safe access for journalists reporting on</w:t>
      </w:r>
      <w:r>
        <w:t xml:space="preserve"> peaceful</w:t>
      </w:r>
      <w:r w:rsidRPr="0017075E">
        <w:t xml:space="preserve"> </w:t>
      </w:r>
      <w:r w:rsidRPr="00C64E04">
        <w:t>assemblies</w:t>
      </w:r>
      <w:r w:rsidRPr="0017075E">
        <w:t>, including dedicated press zones and the a</w:t>
      </w:r>
      <w:r>
        <w:t xml:space="preserve">ssignment </w:t>
      </w:r>
      <w:r w:rsidRPr="0017075E">
        <w:t>of officers as dedicated media focal points.</w:t>
      </w:r>
      <w:r>
        <w:t xml:space="preserve"> In its contribution, </w:t>
      </w:r>
      <w:r w:rsidRPr="00E6334C">
        <w:t>Mauritius</w:t>
      </w:r>
      <w:r>
        <w:t xml:space="preserve"> described how the Government</w:t>
      </w:r>
      <w:r w:rsidRPr="00E6334C">
        <w:t xml:space="preserve"> shar</w:t>
      </w:r>
      <w:r>
        <w:t>ed</w:t>
      </w:r>
      <w:r w:rsidRPr="00E6334C">
        <w:t xml:space="preserve"> information with all newsrooms via </w:t>
      </w:r>
      <w:r>
        <w:t xml:space="preserve">the </w:t>
      </w:r>
      <w:r w:rsidRPr="00E6334C">
        <w:t xml:space="preserve">Facebook page </w:t>
      </w:r>
      <w:r>
        <w:t xml:space="preserve">of its Information Service </w:t>
      </w:r>
      <w:r w:rsidRPr="00E6334C">
        <w:t>and a WhatsApp</w:t>
      </w:r>
      <w:r w:rsidRPr="008E48B6">
        <w:t xml:space="preserve"> group </w:t>
      </w:r>
      <w:r>
        <w:t>created for the purpose and for receiving enquiries</w:t>
      </w:r>
      <w:r w:rsidRPr="008E48B6">
        <w:t xml:space="preserve">. </w:t>
      </w:r>
      <w:r>
        <w:t>According to a Council of Europe report, the Netherlands and the United Kingdom of Great Britain and Northern Ireland granted “key worker” status to journalists, while in their contributions, Jordan and Iraq reported having exempted them from movement restrictions.</w:t>
      </w:r>
    </w:p>
    <w:p w14:paraId="638450D6" w14:textId="77777777" w:rsidR="000242CC" w:rsidRDefault="000242CC" w:rsidP="000242CC">
      <w:pPr>
        <w:pStyle w:val="SingleTxtG"/>
      </w:pPr>
      <w:r>
        <w:t>26.</w:t>
      </w:r>
      <w:r>
        <w:tab/>
        <w:t xml:space="preserve">In its contribution, </w:t>
      </w:r>
      <w:r w:rsidRPr="00DB47B2">
        <w:t>Chile</w:t>
      </w:r>
      <w:r w:rsidRPr="0017075E">
        <w:t xml:space="preserve"> reported having put in place similar arrangements for foreign media</w:t>
      </w:r>
      <w:r>
        <w:t>, while</w:t>
      </w:r>
      <w:r w:rsidRPr="0017075E">
        <w:t xml:space="preserve"> </w:t>
      </w:r>
      <w:r w:rsidRPr="00590CCB">
        <w:rPr>
          <w:bCs/>
        </w:rPr>
        <w:t>El Salvador</w:t>
      </w:r>
      <w:r w:rsidRPr="0017075E">
        <w:t xml:space="preserve"> issu</w:t>
      </w:r>
      <w:r>
        <w:t>ed</w:t>
      </w:r>
      <w:r w:rsidRPr="0017075E">
        <w:t xml:space="preserve"> a decree guaranteeing media workers </w:t>
      </w:r>
      <w:r>
        <w:t xml:space="preserve">the </w:t>
      </w:r>
      <w:r w:rsidRPr="0017075E">
        <w:t xml:space="preserve">free exercise </w:t>
      </w:r>
      <w:r>
        <w:t xml:space="preserve">of </w:t>
      </w:r>
      <w:r w:rsidRPr="0017075E">
        <w:t>their profession, recogni</w:t>
      </w:r>
      <w:r>
        <w:t>zing</w:t>
      </w:r>
      <w:r w:rsidRPr="0017075E">
        <w:t xml:space="preserve"> the important role played by the media and journalism in the control of COVID-19 and the protection of the right to health and life.</w:t>
      </w:r>
      <w:r w:rsidRPr="0017075E" w:rsidDel="00BE7363">
        <w:t xml:space="preserve"> </w:t>
      </w:r>
      <w:r w:rsidRPr="00590CCB">
        <w:rPr>
          <w:bCs/>
        </w:rPr>
        <w:t>Honduras</w:t>
      </w:r>
      <w:r>
        <w:t xml:space="preserve"> reported </w:t>
      </w:r>
      <w:r w:rsidRPr="0017075E">
        <w:t>implement</w:t>
      </w:r>
      <w:r>
        <w:t>ing</w:t>
      </w:r>
      <w:r w:rsidRPr="0017075E">
        <w:t xml:space="preserve"> an exemption to free movement restrictions for telecommunications companies, Internet providers and the media</w:t>
      </w:r>
      <w:r>
        <w:t>,</w:t>
      </w:r>
      <w:r w:rsidRPr="0017075E">
        <w:t xml:space="preserve"> including radio, television and newspapers. </w:t>
      </w:r>
      <w:r w:rsidRPr="00590CCB">
        <w:rPr>
          <w:bCs/>
        </w:rPr>
        <w:t>The Netherlands</w:t>
      </w:r>
      <w:r w:rsidRPr="0017075E">
        <w:t xml:space="preserve"> reported implement</w:t>
      </w:r>
      <w:r>
        <w:t>ing</w:t>
      </w:r>
      <w:r w:rsidRPr="0017075E">
        <w:t xml:space="preserve"> a travel ban exemption for </w:t>
      </w:r>
      <w:r>
        <w:t xml:space="preserve">holders of international press cards issued by the International Federation of Journalists following negotiations with </w:t>
      </w:r>
      <w:r w:rsidRPr="0017075E">
        <w:t xml:space="preserve">the Dutch </w:t>
      </w:r>
      <w:proofErr w:type="gramStart"/>
      <w:r w:rsidRPr="0017075E">
        <w:t>journalists</w:t>
      </w:r>
      <w:proofErr w:type="gramEnd"/>
      <w:r w:rsidRPr="0017075E">
        <w:t xml:space="preserve"> association</w:t>
      </w:r>
      <w:r>
        <w:t>. It applies to journalists</w:t>
      </w:r>
      <w:r w:rsidRPr="0017075E">
        <w:t xml:space="preserve"> engaged in topical news reporting that requires their immediate, physical presence.</w:t>
      </w:r>
      <w:r w:rsidRPr="00A37AAA">
        <w:rPr>
          <w:rStyle w:val="FootnoteReference"/>
        </w:rPr>
        <w:footnoteReference w:id="61"/>
      </w:r>
    </w:p>
    <w:p w14:paraId="661E1AF9" w14:textId="77777777" w:rsidR="000242CC" w:rsidRDefault="000242CC" w:rsidP="000242CC">
      <w:pPr>
        <w:pStyle w:val="SingleTxtG"/>
      </w:pPr>
      <w:r>
        <w:t>27.</w:t>
      </w:r>
      <w:r>
        <w:tab/>
        <w:t xml:space="preserve">In its contribution, </w:t>
      </w:r>
      <w:r w:rsidRPr="00DB47B2">
        <w:t>Honduras</w:t>
      </w:r>
      <w:r w:rsidRPr="00DD1423">
        <w:t xml:space="preserve"> </w:t>
      </w:r>
      <w:r>
        <w:t xml:space="preserve">further </w:t>
      </w:r>
      <w:r w:rsidRPr="00E6334C">
        <w:t>highlighted the repeal of an executive order, introduced under the state of health emergency, which temporarily restricted freedom of expression. Th</w:t>
      </w:r>
      <w:r>
        <w:t>at</w:t>
      </w:r>
      <w:r w:rsidRPr="00E6334C">
        <w:t xml:space="preserve"> development followed technical assistance provided by the Honduran Secretariat </w:t>
      </w:r>
      <w:r>
        <w:t>of</w:t>
      </w:r>
      <w:r w:rsidRPr="00E6334C">
        <w:t xml:space="preserve"> Human Rights and OHCHR</w:t>
      </w:r>
      <w:r>
        <w:t>.</w:t>
      </w:r>
      <w:r w:rsidRPr="00E6334C">
        <w:t xml:space="preserve"> </w:t>
      </w:r>
      <w:r>
        <w:t xml:space="preserve">In the </w:t>
      </w:r>
      <w:proofErr w:type="spellStart"/>
      <w:r>
        <w:t>Plurinational</w:t>
      </w:r>
      <w:proofErr w:type="spellEnd"/>
      <w:r>
        <w:t xml:space="preserve"> State of Bolivia, provisions to limit freedom of expression in the context of COVID-19 were repealed from its emergency decrees.</w:t>
      </w:r>
      <w:r w:rsidRPr="00A37AAA">
        <w:rPr>
          <w:rStyle w:val="FootnoteReference"/>
        </w:rPr>
        <w:footnoteReference w:id="62"/>
      </w:r>
      <w:r>
        <w:t xml:space="preserve"> I</w:t>
      </w:r>
      <w:r w:rsidRPr="00E6334C">
        <w:t xml:space="preserve">n some cases, </w:t>
      </w:r>
      <w:r>
        <w:t>States</w:t>
      </w:r>
      <w:r w:rsidRPr="00E6334C">
        <w:t xml:space="preserve"> included time limit (sunset clauses) or review clauses in laws designed to tackle pandemic-related false information.</w:t>
      </w:r>
      <w:r w:rsidRPr="00A37AAA">
        <w:rPr>
          <w:rStyle w:val="FootnoteReference"/>
        </w:rPr>
        <w:footnoteReference w:id="63"/>
      </w:r>
      <w:r w:rsidRPr="00E6334C">
        <w:t xml:space="preserve"> </w:t>
      </w:r>
      <w:r>
        <w:t>I</w:t>
      </w:r>
      <w:r w:rsidRPr="00E6334C">
        <w:t xml:space="preserve">ncluding such clauses is all the more important in view of the fact that much of this legislation </w:t>
      </w:r>
      <w:r>
        <w:t>was</w:t>
      </w:r>
      <w:r w:rsidRPr="00E6334C">
        <w:t xml:space="preserve"> introduced rapidly and with </w:t>
      </w:r>
      <w:r w:rsidRPr="002D2C0D">
        <w:t>limited scrutiny by legislatures.</w:t>
      </w:r>
      <w:r w:rsidRPr="00A37AAA">
        <w:rPr>
          <w:rStyle w:val="FootnoteReference"/>
        </w:rPr>
        <w:footnoteReference w:id="64"/>
      </w:r>
    </w:p>
    <w:p w14:paraId="2BFDBE9D" w14:textId="77777777" w:rsidR="000242CC" w:rsidRDefault="000242CC" w:rsidP="000242CC">
      <w:pPr>
        <w:pStyle w:val="SingleTxtG"/>
      </w:pPr>
      <w:r>
        <w:t>28.</w:t>
      </w:r>
      <w:r>
        <w:tab/>
      </w:r>
      <w:r w:rsidRPr="002D2C0D">
        <w:t>International and regional organi</w:t>
      </w:r>
      <w:r>
        <w:t>z</w:t>
      </w:r>
      <w:r w:rsidRPr="002D2C0D">
        <w:t>ations and human rights mechanisms have issued a number of recommendations and tools to</w:t>
      </w:r>
      <w:r>
        <w:t xml:space="preserve"> help different actors</w:t>
      </w:r>
      <w:r w:rsidRPr="002D2C0D">
        <w:t xml:space="preserve"> tackle the challenges</w:t>
      </w:r>
      <w:r>
        <w:t xml:space="preserve"> posed by the pandemic</w:t>
      </w:r>
      <w:r w:rsidRPr="00201FBE">
        <w:t xml:space="preserve">. </w:t>
      </w:r>
      <w:r>
        <w:t>In September 2020, the United Nations issued a system-wide guidance note on promoting and protecting civic space, highlighting, inter alia, the importance of free expression and media freedom in the framework of responses to the COVID-19 pandemic.</w:t>
      </w:r>
      <w:r w:rsidRPr="00A37AAA">
        <w:rPr>
          <w:rStyle w:val="FootnoteReference"/>
        </w:rPr>
        <w:footnoteReference w:id="65"/>
      </w:r>
      <w:r>
        <w:t xml:space="preserve"> </w:t>
      </w:r>
      <w:r w:rsidRPr="00590CCB">
        <w:rPr>
          <w:bCs/>
        </w:rPr>
        <w:t>OHCHR</w:t>
      </w:r>
      <w:r w:rsidRPr="004A64D2">
        <w:t xml:space="preserve"> monitored restrictions </w:t>
      </w:r>
      <w:r>
        <w:t>on</w:t>
      </w:r>
      <w:r w:rsidRPr="004A64D2">
        <w:t xml:space="preserve"> freedom of expression and the work of journalists on numerous occasions throughout the pandemic</w:t>
      </w:r>
      <w:r w:rsidRPr="0079378F">
        <w:t xml:space="preserve"> and issued a</w:t>
      </w:r>
      <w:r>
        <w:t xml:space="preserve"> </w:t>
      </w:r>
      <w:r w:rsidRPr="0079378F">
        <w:t>range of relevant guidelines and recommendations</w:t>
      </w:r>
      <w:r w:rsidRPr="004A64D2">
        <w:t>.</w:t>
      </w:r>
      <w:r w:rsidRPr="00A37AAA">
        <w:rPr>
          <w:rStyle w:val="FootnoteReference"/>
        </w:rPr>
        <w:footnoteReference w:id="66"/>
      </w:r>
      <w:r w:rsidRPr="004A64D2">
        <w:t xml:space="preserve"> The High Commissioner </w:t>
      </w:r>
      <w:r>
        <w:t xml:space="preserve">also </w:t>
      </w:r>
      <w:r w:rsidRPr="004A64D2">
        <w:t>addressed the issue in a number of statements</w:t>
      </w:r>
      <w:r w:rsidRPr="0079378F">
        <w:t>.</w:t>
      </w:r>
    </w:p>
    <w:p w14:paraId="4086660D" w14:textId="77777777" w:rsidR="000242CC" w:rsidRDefault="000242CC" w:rsidP="000242CC">
      <w:pPr>
        <w:pStyle w:val="SingleTxtG"/>
      </w:pPr>
      <w:r>
        <w:t>29.</w:t>
      </w:r>
      <w:r>
        <w:tab/>
        <w:t>I</w:t>
      </w:r>
      <w:r w:rsidRPr="00ED1300">
        <w:t xml:space="preserve">n response to the legal challenges brought </w:t>
      </w:r>
      <w:r>
        <w:t xml:space="preserve">about </w:t>
      </w:r>
      <w:r w:rsidRPr="00ED1300">
        <w:t xml:space="preserve">by </w:t>
      </w:r>
      <w:r>
        <w:t xml:space="preserve">the </w:t>
      </w:r>
      <w:r w:rsidRPr="00ED1300">
        <w:t>exceptional measures and legislation implemented by States</w:t>
      </w:r>
      <w:r>
        <w:t>,</w:t>
      </w:r>
      <w:r w:rsidRPr="004C5C43">
        <w:t xml:space="preserve"> UNESCO</w:t>
      </w:r>
      <w:r w:rsidRPr="00ED1300">
        <w:t xml:space="preserve"> issued guidelines on the role of judicial operators in the protection and promotion of the rights to freedom of expression, access to information and privacy in relation </w:t>
      </w:r>
      <w:r>
        <w:t>to</w:t>
      </w:r>
      <w:r w:rsidRPr="00ED1300">
        <w:t xml:space="preserve"> the COVID-19 pandem</w:t>
      </w:r>
      <w:r>
        <w:t>ic.</w:t>
      </w:r>
      <w:r w:rsidRPr="00A37AAA">
        <w:rPr>
          <w:rStyle w:val="FootnoteReference"/>
        </w:rPr>
        <w:footnoteReference w:id="67"/>
      </w:r>
      <w:r>
        <w:t xml:space="preserve"> On 3 May 2020, </w:t>
      </w:r>
      <w:r w:rsidRPr="00A3138F">
        <w:t xml:space="preserve">UNESCO launched an awareness-raising campaign </w:t>
      </w:r>
      <w:r>
        <w:t>en</w:t>
      </w:r>
      <w:r w:rsidRPr="00A3138F">
        <w:t xml:space="preserve">titled </w:t>
      </w:r>
      <w:r>
        <w:t>“</w:t>
      </w:r>
      <w:r w:rsidRPr="00A3138F">
        <w:t>FACTS</w:t>
      </w:r>
      <w:r>
        <w:t>”</w:t>
      </w:r>
      <w:r w:rsidRPr="00A3138F">
        <w:t>, which gave prominence to the role of fact-based journalism in combating the COVID-19 pandemic and was shared by over 100 media outlets.</w:t>
      </w:r>
      <w:r>
        <w:t xml:space="preserve"> UNESCO </w:t>
      </w:r>
      <w:r w:rsidRPr="00205F07">
        <w:t xml:space="preserve">also created a dedicated </w:t>
      </w:r>
      <w:r>
        <w:t>r</w:t>
      </w:r>
      <w:r w:rsidRPr="00205F07">
        <w:t xml:space="preserve">esource centre </w:t>
      </w:r>
      <w:r>
        <w:t>for</w:t>
      </w:r>
      <w:r w:rsidRPr="00205F07">
        <w:t xml:space="preserve"> responses to COVID-19 to support </w:t>
      </w:r>
      <w:r>
        <w:t xml:space="preserve">the </w:t>
      </w:r>
      <w:r w:rsidRPr="00205F07">
        <w:t xml:space="preserve">media, enhance access to information and leverage digital </w:t>
      </w:r>
      <w:r w:rsidRPr="00205F07">
        <w:lastRenderedPageBreak/>
        <w:t xml:space="preserve">technologies to combat the pandemic, which includes references and examples of </w:t>
      </w:r>
      <w:r>
        <w:t>promising practic</w:t>
      </w:r>
      <w:r w:rsidRPr="00205F07">
        <w:t>es to ensure the safety of journalists in this context.</w:t>
      </w:r>
      <w:r w:rsidRPr="00A37AAA">
        <w:rPr>
          <w:rStyle w:val="FootnoteReference"/>
        </w:rPr>
        <w:footnoteReference w:id="68"/>
      </w:r>
    </w:p>
    <w:p w14:paraId="7F05D277" w14:textId="77777777" w:rsidR="000242CC" w:rsidRDefault="000242CC" w:rsidP="000242CC">
      <w:pPr>
        <w:pStyle w:val="SingleTxtG"/>
      </w:pPr>
      <w:r>
        <w:t>30.</w:t>
      </w:r>
      <w:r>
        <w:tab/>
        <w:t xml:space="preserve">The </w:t>
      </w:r>
      <w:r w:rsidRPr="005311F9">
        <w:t>Special Rapporteur on freedom of expression</w:t>
      </w:r>
      <w:r w:rsidRPr="00E603F4">
        <w:t>, together with</w:t>
      </w:r>
      <w:r>
        <w:t xml:space="preserve"> the </w:t>
      </w:r>
      <w:r w:rsidRPr="00590CCB">
        <w:rPr>
          <w:bCs/>
        </w:rPr>
        <w:t>Special Rapporteur on freedom of expression</w:t>
      </w:r>
      <w:r>
        <w:t xml:space="preserve"> of the </w:t>
      </w:r>
      <w:r w:rsidRPr="00562103">
        <w:rPr>
          <w:bCs/>
        </w:rPr>
        <w:t>Inter-American Commission on Human Rights</w:t>
      </w:r>
      <w:r>
        <w:rPr>
          <w:bCs/>
        </w:rPr>
        <w:t xml:space="preserve"> </w:t>
      </w:r>
      <w:r>
        <w:t xml:space="preserve">and the </w:t>
      </w:r>
      <w:r w:rsidRPr="00E603F4">
        <w:t>Representative on freedom of the media</w:t>
      </w:r>
      <w:r>
        <w:t xml:space="preserve"> of the</w:t>
      </w:r>
      <w:r w:rsidRPr="00E603F4">
        <w:t xml:space="preserve"> </w:t>
      </w:r>
      <w:r>
        <w:t>Organization for Security and Cooperation in Europe</w:t>
      </w:r>
      <w:r w:rsidRPr="00E603F4">
        <w:t xml:space="preserve"> jointly issued a public statement in March 2020 containing a number of </w:t>
      </w:r>
      <w:r w:rsidRPr="006309D5">
        <w:t xml:space="preserve">recommendations </w:t>
      </w:r>
      <w:r>
        <w:t>on</w:t>
      </w:r>
      <w:r w:rsidRPr="00E603F4">
        <w:t xml:space="preserve"> protecting access to information and the free flow of information during the pandemic.</w:t>
      </w:r>
      <w:r w:rsidRPr="00A37AAA">
        <w:rPr>
          <w:rStyle w:val="FootnoteReference"/>
        </w:rPr>
        <w:footnoteReference w:id="69"/>
      </w:r>
      <w:r w:rsidRPr="00E603F4">
        <w:t xml:space="preserve"> </w:t>
      </w:r>
      <w:r w:rsidRPr="0000575C">
        <w:t>The</w:t>
      </w:r>
      <w:r>
        <w:t xml:space="preserve"> recommendations</w:t>
      </w:r>
      <w:r w:rsidRPr="0000575C">
        <w:t xml:space="preserve"> include</w:t>
      </w:r>
      <w:r>
        <w:t>d</w:t>
      </w:r>
      <w:r w:rsidRPr="0000575C">
        <w:t xml:space="preserve"> </w:t>
      </w:r>
      <w:r>
        <w:t>that</w:t>
      </w:r>
      <w:r w:rsidRPr="0000575C">
        <w:t xml:space="preserve"> governments </w:t>
      </w:r>
      <w:r>
        <w:t>should</w:t>
      </w:r>
      <w:r w:rsidRPr="0000575C">
        <w:t xml:space="preserve"> refrain from blocking Internet access and instead promote, along with Internet companies, reliable information through robust public messaging, support for public service announcements and emergency support for public broadcasting and local journalism. </w:t>
      </w:r>
      <w:r w:rsidRPr="00757A8D">
        <w:t xml:space="preserve">Moreover, </w:t>
      </w:r>
      <w:r w:rsidRPr="009E25E9">
        <w:t xml:space="preserve">the </w:t>
      </w:r>
      <w:r w:rsidRPr="00757A8D">
        <w:t>surveillance</w:t>
      </w:r>
      <w:r w:rsidRPr="0000575C">
        <w:t xml:space="preserve"> technology needed to track the spread of COVID-19 must be limited in use, both in terms of purpose and time.</w:t>
      </w:r>
      <w:r>
        <w:t xml:space="preserve"> T</w:t>
      </w:r>
      <w:r w:rsidRPr="00D937DE">
        <w:t xml:space="preserve">he </w:t>
      </w:r>
      <w:r>
        <w:t>Special Rapporteur on freedom of expression submitted a report on d</w:t>
      </w:r>
      <w:r w:rsidRPr="00757A8D">
        <w:t xml:space="preserve">isease pandemics and the freedom of opinion and </w:t>
      </w:r>
      <w:r>
        <w:t>expression to the Human Rights Council in April 2020</w:t>
      </w:r>
      <w:r w:rsidRPr="00A37AAA">
        <w:rPr>
          <w:rStyle w:val="FootnoteReference"/>
        </w:rPr>
        <w:footnoteReference w:id="70"/>
      </w:r>
      <w:r>
        <w:t xml:space="preserve"> and</w:t>
      </w:r>
      <w:r w:rsidRPr="00D937DE">
        <w:t xml:space="preserve"> issued a number of public statements, including joint statements, relating to freedom of expression in </w:t>
      </w:r>
      <w:r>
        <w:t>the</w:t>
      </w:r>
      <w:r w:rsidRPr="00D937DE">
        <w:t xml:space="preserve"> responses </w:t>
      </w:r>
      <w:r>
        <w:t xml:space="preserve">of States </w:t>
      </w:r>
      <w:r w:rsidRPr="00D937DE">
        <w:t xml:space="preserve">to the pandemic, highlighting risks and setting out </w:t>
      </w:r>
      <w:r>
        <w:t>promising practic</w:t>
      </w:r>
      <w:r w:rsidRPr="00D937DE">
        <w:t>es.</w:t>
      </w:r>
      <w:r w:rsidRPr="00A37AAA">
        <w:rPr>
          <w:rStyle w:val="FootnoteReference"/>
        </w:rPr>
        <w:footnoteReference w:id="71"/>
      </w:r>
    </w:p>
    <w:p w14:paraId="1D6825F4" w14:textId="77777777" w:rsidR="000242CC" w:rsidRDefault="000242CC" w:rsidP="000242CC">
      <w:pPr>
        <w:pStyle w:val="SingleTxtG"/>
      </w:pPr>
      <w:r>
        <w:t>31.</w:t>
      </w:r>
      <w:r>
        <w:tab/>
      </w:r>
      <w:r w:rsidRPr="0017075E">
        <w:t xml:space="preserve">The </w:t>
      </w:r>
      <w:r>
        <w:t xml:space="preserve">Commissioner for Human Rights of the </w:t>
      </w:r>
      <w:r w:rsidRPr="00DB47B2">
        <w:t>Council</w:t>
      </w:r>
      <w:r w:rsidRPr="00590CCB">
        <w:rPr>
          <w:bCs/>
        </w:rPr>
        <w:t xml:space="preserve"> of Europe</w:t>
      </w:r>
      <w:r>
        <w:t xml:space="preserve"> issued a statement in April 2020 emphasizing that freedom must not be undermined by measures to counter disinformation about COVID-19. The Secretary-General of the Council of Europe issued two toolkits with detailed guidance on freedom of expression and media freedom in the context of pandemics for its member States, </w:t>
      </w:r>
      <w:r w:rsidRPr="0000575C">
        <w:t xml:space="preserve">recalling the </w:t>
      </w:r>
      <w:r>
        <w:t xml:space="preserve">applicable </w:t>
      </w:r>
      <w:r w:rsidRPr="0000575C">
        <w:t>European standards</w:t>
      </w:r>
      <w:r>
        <w:t>,</w:t>
      </w:r>
      <w:r w:rsidRPr="0000575C">
        <w:t xml:space="preserve"> </w:t>
      </w:r>
      <w:r>
        <w:t>in particular</w:t>
      </w:r>
      <w:r w:rsidRPr="0000575C">
        <w:t xml:space="preserve"> as regards emergencies and the fight against disinformation</w:t>
      </w:r>
      <w:r w:rsidRPr="00E56003">
        <w:t>.</w:t>
      </w:r>
      <w:r w:rsidRPr="00A37AAA">
        <w:rPr>
          <w:rStyle w:val="FootnoteReference"/>
        </w:rPr>
        <w:footnoteReference w:id="72"/>
      </w:r>
      <w:r>
        <w:t xml:space="preserve"> T</w:t>
      </w:r>
      <w:r w:rsidRPr="00BC11C5">
        <w:t xml:space="preserve">he </w:t>
      </w:r>
      <w:r>
        <w:t>organization</w:t>
      </w:r>
      <w:r w:rsidRPr="00BC11C5">
        <w:t xml:space="preserve"> is</w:t>
      </w:r>
      <w:r>
        <w:t xml:space="preserve"> also </w:t>
      </w:r>
      <w:r w:rsidRPr="00BC11C5">
        <w:t>supporting the implementation of its standards through assistance and cooperation projects</w:t>
      </w:r>
      <w:r>
        <w:t>.</w:t>
      </w:r>
      <w:r w:rsidRPr="008320C7">
        <w:t xml:space="preserve"> </w:t>
      </w:r>
      <w:r>
        <w:t>In its resolution 1/2020 on the pandemic and human rights in the Americas, t</w:t>
      </w:r>
      <w:r w:rsidRPr="008320C7">
        <w:t xml:space="preserve">he Inter-American Commission on Human Rights </w:t>
      </w:r>
      <w:r>
        <w:t>included several</w:t>
      </w:r>
      <w:r w:rsidRPr="008320C7">
        <w:t xml:space="preserve"> recommendations to </w:t>
      </w:r>
      <w:r>
        <w:t>Member</w:t>
      </w:r>
      <w:r w:rsidRPr="008320C7">
        <w:t xml:space="preserve"> States of the Organization of American States</w:t>
      </w:r>
      <w:r>
        <w:t xml:space="preserve"> with regard to freedom of expression and media freedom.</w:t>
      </w:r>
    </w:p>
    <w:p w14:paraId="3F84CBE5" w14:textId="77777777" w:rsidR="000242CC" w:rsidRDefault="000242CC" w:rsidP="000242CC">
      <w:pPr>
        <w:pStyle w:val="SingleTxtG"/>
      </w:pPr>
      <w:r>
        <w:t>32.</w:t>
      </w:r>
      <w:r>
        <w:tab/>
        <w:t xml:space="preserve">Some States and organizations have </w:t>
      </w:r>
      <w:r w:rsidRPr="00A56003">
        <w:t xml:space="preserve">provided </w:t>
      </w:r>
      <w:r w:rsidRPr="002D2C0D">
        <w:t>training courses and</w:t>
      </w:r>
      <w:r>
        <w:t xml:space="preserve"> guidelines</w:t>
      </w:r>
      <w:r w:rsidRPr="000F4640">
        <w:t xml:space="preserve"> to journalists</w:t>
      </w:r>
      <w:r>
        <w:t xml:space="preserve"> and the media on reporting on COVID-19. I</w:t>
      </w:r>
      <w:r w:rsidRPr="00205F07">
        <w:t xml:space="preserve">n its </w:t>
      </w:r>
      <w:r>
        <w:t>contribution</w:t>
      </w:r>
      <w:r w:rsidRPr="00205F07">
        <w:t xml:space="preserve">, </w:t>
      </w:r>
      <w:r w:rsidRPr="000766A8">
        <w:rPr>
          <w:bCs/>
        </w:rPr>
        <w:t>Georgia</w:t>
      </w:r>
      <w:r w:rsidRPr="00C11FC1">
        <w:t xml:space="preserve"> reported</w:t>
      </w:r>
      <w:r w:rsidRPr="00205F07">
        <w:t xml:space="preserve"> that the Georgian Charter of Journalistic Ethics, a self-regulatory body</w:t>
      </w:r>
      <w:r>
        <w:t>,</w:t>
      </w:r>
      <w:r w:rsidRPr="00205F07">
        <w:t xml:space="preserve"> </w:t>
      </w:r>
      <w:r>
        <w:t xml:space="preserve">had </w:t>
      </w:r>
      <w:r w:rsidRPr="00205F07">
        <w:t>elaborated a range of guidelines for its members</w:t>
      </w:r>
      <w:r w:rsidRPr="00C11FC1">
        <w:t xml:space="preserve"> </w:t>
      </w:r>
      <w:r w:rsidRPr="0000575C">
        <w:t>to advise them on how to cover vaccination matters, tackle misinformation and deal with mental health issues, digital support and security, remote work</w:t>
      </w:r>
      <w:r>
        <w:t>ing</w:t>
      </w:r>
      <w:r w:rsidRPr="0000575C">
        <w:t xml:space="preserve"> </w:t>
      </w:r>
      <w:r>
        <w:t>and the</w:t>
      </w:r>
      <w:r w:rsidRPr="0000575C">
        <w:t xml:space="preserve"> economic challenges faced by the media</w:t>
      </w:r>
      <w:r w:rsidRPr="00E56003">
        <w:t>.</w:t>
      </w:r>
      <w:r w:rsidRPr="005071F6">
        <w:t xml:space="preserve"> </w:t>
      </w:r>
    </w:p>
    <w:p w14:paraId="648EEA41" w14:textId="77777777" w:rsidR="000242CC" w:rsidRDefault="000242CC" w:rsidP="000242CC">
      <w:pPr>
        <w:pStyle w:val="SingleTxtG"/>
      </w:pPr>
      <w:r>
        <w:t>33.</w:t>
      </w:r>
      <w:r>
        <w:tab/>
        <w:t>In November 2020, OHCHR organized a three-day virtual training event on the theme of “The role of media in promoting and protecting human rights in the light of the COVID</w:t>
      </w:r>
      <w:r>
        <w:rPr>
          <w:noProof/>
        </w:rPr>
        <w:t>-</w:t>
      </w:r>
      <w:r>
        <w:t>19 pandemic” for young journalists from Member States of the Arab region, with participants attending from Jordan,</w:t>
      </w:r>
      <w:r w:rsidRPr="00963742">
        <w:t xml:space="preserve"> </w:t>
      </w:r>
      <w:r>
        <w:rPr>
          <w:noProof/>
        </w:rPr>
        <w:t>M</w:t>
      </w:r>
      <w:r>
        <w:t>orocco, Oman, Qatar, the Syrian Arab Republic, Tunisia and Yemen, as well as the State of Palestine.</w:t>
      </w:r>
      <w:r>
        <w:rPr>
          <w:noProof/>
        </w:rPr>
        <w:t xml:space="preserve"> </w:t>
      </w:r>
    </w:p>
    <w:p w14:paraId="59BDA630" w14:textId="77777777" w:rsidR="000242CC" w:rsidRPr="009F3839" w:rsidRDefault="000242CC" w:rsidP="000242CC">
      <w:pPr>
        <w:pStyle w:val="SingleTxtG"/>
      </w:pPr>
      <w:r w:rsidRPr="009F3839">
        <w:t>34.</w:t>
      </w:r>
      <w:r w:rsidRPr="009F3839">
        <w:tab/>
      </w:r>
      <w:r w:rsidRPr="00DB47B2">
        <w:t>UNESCO</w:t>
      </w:r>
      <w:r w:rsidRPr="000F4640">
        <w:t xml:space="preserve"> </w:t>
      </w:r>
      <w:r>
        <w:t xml:space="preserve">has </w:t>
      </w:r>
      <w:r w:rsidRPr="00A56003">
        <w:t>implemented</w:t>
      </w:r>
      <w:r w:rsidRPr="00205F07">
        <w:t xml:space="preserve"> a wide range of </w:t>
      </w:r>
      <w:r>
        <w:t xml:space="preserve">training </w:t>
      </w:r>
      <w:r w:rsidRPr="00205F07">
        <w:t xml:space="preserve">activities to support the work and safety of journalists in the </w:t>
      </w:r>
      <w:r>
        <w:t xml:space="preserve">context of the </w:t>
      </w:r>
      <w:r w:rsidRPr="00205F07">
        <w:t>pandemic</w:t>
      </w:r>
      <w:r>
        <w:t>.</w:t>
      </w:r>
      <w:r w:rsidRPr="00205F07">
        <w:t xml:space="preserve"> In May 2020, UNESCO and the World Health Organization</w:t>
      </w:r>
      <w:r>
        <w:t xml:space="preserve"> (WHO) </w:t>
      </w:r>
      <w:r w:rsidRPr="00205F07">
        <w:t>launched a free massive open online course</w:t>
      </w:r>
      <w:r>
        <w:t xml:space="preserve"> on the theme of</w:t>
      </w:r>
      <w:r w:rsidRPr="00205F07">
        <w:t xml:space="preserve"> “Journalism in a pandemic: covering </w:t>
      </w:r>
      <w:r>
        <w:t>COVID-19 now and in the future”</w:t>
      </w:r>
      <w:r w:rsidRPr="00205F07">
        <w:t xml:space="preserve">. The </w:t>
      </w:r>
      <w:r>
        <w:t>course</w:t>
      </w:r>
      <w:r w:rsidRPr="00205F07">
        <w:t xml:space="preserve"> was aimed at building the capacity of journalists to report on the pandemic safely and professionally. It was followed by </w:t>
      </w:r>
      <w:r>
        <w:t xml:space="preserve">approximately </w:t>
      </w:r>
      <w:r w:rsidRPr="00205F07">
        <w:t xml:space="preserve">9,000 journalists, media workers and students from 162 countries. In March 2021, a second </w:t>
      </w:r>
      <w:r>
        <w:t>course</w:t>
      </w:r>
      <w:r w:rsidRPr="00205F07">
        <w:t xml:space="preserve"> was launched</w:t>
      </w:r>
      <w:r>
        <w:t xml:space="preserve"> on the theme of</w:t>
      </w:r>
      <w:r w:rsidRPr="00205F07">
        <w:t xml:space="preserve"> </w:t>
      </w:r>
      <w:r>
        <w:t>“</w:t>
      </w:r>
      <w:r w:rsidRPr="00205F07">
        <w:t xml:space="preserve">Covering the COVID-19 vaccine: </w:t>
      </w:r>
      <w:r>
        <w:t>what journalists need to know”.</w:t>
      </w:r>
    </w:p>
    <w:p w14:paraId="5B9D72D3" w14:textId="77777777" w:rsidR="000242CC" w:rsidRPr="001950AD" w:rsidRDefault="000242CC" w:rsidP="000242CC">
      <w:pPr>
        <w:pStyle w:val="H1G"/>
      </w:pPr>
      <w:bookmarkStart w:id="14" w:name="_Toc89868938"/>
      <w:r>
        <w:lastRenderedPageBreak/>
        <w:tab/>
        <w:t>B.</w:t>
      </w:r>
      <w:r>
        <w:tab/>
      </w:r>
      <w:r w:rsidRPr="001950AD">
        <w:t>Addressing attacks on journalists</w:t>
      </w:r>
      <w:bookmarkEnd w:id="14"/>
    </w:p>
    <w:p w14:paraId="424AFE5D" w14:textId="77777777" w:rsidR="000242CC" w:rsidRDefault="000242CC" w:rsidP="000242CC">
      <w:pPr>
        <w:pStyle w:val="SingleTxtG"/>
      </w:pPr>
      <w:r>
        <w:t>35.</w:t>
      </w:r>
      <w:r>
        <w:tab/>
        <w:t xml:space="preserve">There has been increasing support for cross-regional collaboration to address the safety of journalists and media workers and to hold to account those who harm them and restrict their work. </w:t>
      </w:r>
      <w:r w:rsidRPr="00E6334C">
        <w:t xml:space="preserve">At an international conference in December 2020, representatives of </w:t>
      </w:r>
      <w:r>
        <w:t>53</w:t>
      </w:r>
      <w:r w:rsidRPr="00E6334C">
        <w:t xml:space="preserve"> </w:t>
      </w:r>
      <w:r w:rsidRPr="00E6334C">
        <w:rPr>
          <w:bCs/>
        </w:rPr>
        <w:t>States</w:t>
      </w:r>
      <w:r w:rsidRPr="00E6334C">
        <w:t xml:space="preserve"> adopted </w:t>
      </w:r>
      <w:proofErr w:type="gramStart"/>
      <w:r w:rsidRPr="00E6334C">
        <w:t xml:space="preserve">the </w:t>
      </w:r>
      <w:r w:rsidRPr="005E67E4">
        <w:t>Hague</w:t>
      </w:r>
      <w:proofErr w:type="gramEnd"/>
      <w:r w:rsidRPr="005E67E4">
        <w:t xml:space="preserve"> Commitment to Increase the Safety of Journalists</w:t>
      </w:r>
      <w:r>
        <w:t>.</w:t>
      </w:r>
      <w:r w:rsidRPr="005E67E4">
        <w:t xml:space="preserve"> While</w:t>
      </w:r>
      <w:r>
        <w:t xml:space="preserve"> focusing on the safety of journalists in general</w:t>
      </w:r>
      <w:r w:rsidRPr="00B00C96">
        <w:t xml:space="preserve"> </w:t>
      </w:r>
      <w:r>
        <w:t xml:space="preserve">and the prevailing high rate of impunity </w:t>
      </w:r>
      <w:r w:rsidRPr="00797695">
        <w:t xml:space="preserve">for attacks </w:t>
      </w:r>
      <w:r>
        <w:t>on</w:t>
      </w:r>
      <w:r w:rsidRPr="00797695">
        <w:t xml:space="preserve"> journalists</w:t>
      </w:r>
      <w:r>
        <w:t xml:space="preserve">, States </w:t>
      </w:r>
      <w:r w:rsidRPr="00E6334C">
        <w:t>specifically</w:t>
      </w:r>
      <w:r w:rsidRPr="00B00C96">
        <w:t xml:space="preserve"> acknowledged the impact of </w:t>
      </w:r>
      <w:r>
        <w:t>their</w:t>
      </w:r>
      <w:r w:rsidRPr="00B00C96">
        <w:t xml:space="preserve"> </w:t>
      </w:r>
      <w:r>
        <w:t xml:space="preserve">responses to </w:t>
      </w:r>
      <w:r w:rsidRPr="00B00C96">
        <w:t xml:space="preserve">COVID-19 </w:t>
      </w:r>
      <w:r>
        <w:t>regarding</w:t>
      </w:r>
      <w:r w:rsidRPr="00B00C96">
        <w:t xml:space="preserve"> freedom of expression and “the very existence of independent media and journalism online and offline”</w:t>
      </w:r>
      <w:r>
        <w:t>.</w:t>
      </w:r>
    </w:p>
    <w:p w14:paraId="520D1D56" w14:textId="77777777" w:rsidR="000242CC" w:rsidRDefault="000242CC" w:rsidP="000242CC">
      <w:pPr>
        <w:pStyle w:val="SingleTxtG"/>
      </w:pPr>
      <w:r>
        <w:t>36.</w:t>
      </w:r>
      <w:r>
        <w:tab/>
        <w:t>Within the framework of the universal periodic review of the Human Rights Council, States recommended</w:t>
      </w:r>
      <w:r w:rsidRPr="0063672C">
        <w:t xml:space="preserve"> </w:t>
      </w:r>
      <w:r>
        <w:t>putting</w:t>
      </w:r>
      <w:r w:rsidRPr="00983536">
        <w:t xml:space="preserve"> an end to</w:t>
      </w:r>
      <w:r>
        <w:t xml:space="preserve"> the</w:t>
      </w:r>
      <w:r w:rsidRPr="00983536">
        <w:t xml:space="preserve"> growing hostility and criminalization of journalists and human rights defenders, and punish</w:t>
      </w:r>
      <w:r>
        <w:t>ing</w:t>
      </w:r>
      <w:r w:rsidRPr="00983536">
        <w:t xml:space="preserve"> recent attacks </w:t>
      </w:r>
      <w:r>
        <w:t xml:space="preserve">on </w:t>
      </w:r>
      <w:r w:rsidRPr="00983536">
        <w:t>journalists for reporting on the COVID-19 emergency</w:t>
      </w:r>
      <w:r w:rsidRPr="00C15B50">
        <w:t>.</w:t>
      </w:r>
      <w:r w:rsidRPr="00A37AAA">
        <w:rPr>
          <w:rStyle w:val="FootnoteReference"/>
        </w:rPr>
        <w:footnoteReference w:id="73"/>
      </w:r>
    </w:p>
    <w:p w14:paraId="5C2B4721" w14:textId="77777777" w:rsidR="000242CC" w:rsidRDefault="000242CC" w:rsidP="000242CC">
      <w:pPr>
        <w:pStyle w:val="SingleTxtG"/>
      </w:pPr>
      <w:r>
        <w:t>37.</w:t>
      </w:r>
      <w:r>
        <w:tab/>
      </w:r>
      <w:r w:rsidRPr="00E6334C">
        <w:t>Regional organi</w:t>
      </w:r>
      <w:r>
        <w:t>z</w:t>
      </w:r>
      <w:r w:rsidRPr="00E6334C">
        <w:t xml:space="preserve">ations have </w:t>
      </w:r>
      <w:r>
        <w:t>also addressed</w:t>
      </w:r>
      <w:r w:rsidRPr="00E6334C">
        <w:t xml:space="preserve"> </w:t>
      </w:r>
      <w:r>
        <w:t xml:space="preserve">the </w:t>
      </w:r>
      <w:r w:rsidRPr="00E6334C">
        <w:t xml:space="preserve">attacks perpetrated </w:t>
      </w:r>
      <w:r>
        <w:t>on</w:t>
      </w:r>
      <w:r w:rsidRPr="00E6334C">
        <w:t xml:space="preserve"> journalists while reporting on the COVID-19 pandemic. The African Commission on Hum</w:t>
      </w:r>
      <w:r>
        <w:t>an and Peoples’ Rights adopted r</w:t>
      </w:r>
      <w:r w:rsidRPr="00E6334C">
        <w:t xml:space="preserve">esolution 468 on the safety of journalists and media practitioners in Africa, </w:t>
      </w:r>
      <w:r>
        <w:t>at</w:t>
      </w:r>
      <w:r w:rsidRPr="00E6334C">
        <w:t xml:space="preserve"> its virtual </w:t>
      </w:r>
      <w:r>
        <w:t>sixty-seven</w:t>
      </w:r>
      <w:r w:rsidRPr="00E6334C">
        <w:t>th ordinary session in December 2020. Th</w:t>
      </w:r>
      <w:r>
        <w:t>e</w:t>
      </w:r>
      <w:r w:rsidRPr="00E6334C">
        <w:t xml:space="preserve"> </w:t>
      </w:r>
      <w:r>
        <w:t>r</w:t>
      </w:r>
      <w:r w:rsidRPr="00E6334C">
        <w:t>esolution referenced, inter alia</w:t>
      </w:r>
      <w:r w:rsidRPr="000502DE">
        <w:t>, the deteriorating s</w:t>
      </w:r>
      <w:r>
        <w:t xml:space="preserve">ituation linked to the pandemic, including </w:t>
      </w:r>
      <w:r w:rsidRPr="000502DE">
        <w:t xml:space="preserve">the increasing reports of attacks </w:t>
      </w:r>
      <w:r>
        <w:t>on</w:t>
      </w:r>
      <w:r w:rsidRPr="000502DE">
        <w:t xml:space="preserve"> journalists and restrictions </w:t>
      </w:r>
      <w:r>
        <w:t>on</w:t>
      </w:r>
      <w:r w:rsidRPr="000502DE">
        <w:t xml:space="preserve"> their work, including the closing</w:t>
      </w:r>
      <w:r>
        <w:t>-</w:t>
      </w:r>
      <w:r w:rsidRPr="000502DE">
        <w:t>down of media houses and outlets, since the sta</w:t>
      </w:r>
      <w:r>
        <w:t>rt of the pandemic.</w:t>
      </w:r>
      <w:r w:rsidRPr="000502DE">
        <w:t xml:space="preserve"> It also </w:t>
      </w:r>
      <w:r>
        <w:t>set out</w:t>
      </w:r>
      <w:r w:rsidRPr="000502DE">
        <w:t xml:space="preserve"> a number of recommendations for member States to promote and protect freedom of expression.</w:t>
      </w:r>
    </w:p>
    <w:p w14:paraId="0354A37F" w14:textId="77777777" w:rsidR="000242CC" w:rsidRDefault="000242CC" w:rsidP="000242CC">
      <w:pPr>
        <w:pStyle w:val="SingleTxtG"/>
      </w:pPr>
      <w:r>
        <w:t>38.</w:t>
      </w:r>
      <w:r>
        <w:tab/>
        <w:t xml:space="preserve">The Council of Europe, for its part, has contributed to the monitoring and reporting of </w:t>
      </w:r>
      <w:r w:rsidRPr="00F72D6A">
        <w:t xml:space="preserve">attacks </w:t>
      </w:r>
      <w:r>
        <w:t>on</w:t>
      </w:r>
      <w:r w:rsidRPr="00F72D6A">
        <w:t xml:space="preserve"> journalists </w:t>
      </w:r>
      <w:r>
        <w:t>through its platform</w:t>
      </w:r>
      <w:r w:rsidRPr="00273C48">
        <w:t xml:space="preserve"> to promote the protection of journalism and safety of journalists</w:t>
      </w:r>
      <w:r>
        <w:t>.</w:t>
      </w:r>
      <w:r w:rsidRPr="00A37AAA">
        <w:rPr>
          <w:rStyle w:val="FootnoteReference"/>
        </w:rPr>
        <w:footnoteReference w:id="74"/>
      </w:r>
      <w:r>
        <w:t xml:space="preserve"> On that basis, t</w:t>
      </w:r>
      <w:r w:rsidRPr="00EC558D">
        <w:t xml:space="preserve">he Commissioner for Human Rights of the Council has condemned attacks </w:t>
      </w:r>
      <w:r>
        <w:t>on</w:t>
      </w:r>
      <w:r w:rsidRPr="00EC558D">
        <w:t xml:space="preserve"> journalists reporting on the pandemic, including </w:t>
      </w:r>
      <w:r w:rsidRPr="009703F4">
        <w:t>in the context of</w:t>
      </w:r>
      <w:r w:rsidRPr="009E25E9">
        <w:t xml:space="preserve"> peaceful</w:t>
      </w:r>
      <w:r w:rsidRPr="009703F4">
        <w:t xml:space="preserve"> assemblies</w:t>
      </w:r>
      <w:r w:rsidRPr="00EC558D">
        <w:t>.</w:t>
      </w:r>
      <w:r>
        <w:t xml:space="preserve"> </w:t>
      </w:r>
    </w:p>
    <w:p w14:paraId="6110DED4" w14:textId="67B1121D" w:rsidR="000242CC" w:rsidRDefault="000242CC" w:rsidP="000242CC">
      <w:pPr>
        <w:pStyle w:val="SingleTxtG"/>
      </w:pPr>
      <w:r>
        <w:t>39.</w:t>
      </w:r>
      <w:r>
        <w:tab/>
      </w:r>
      <w:r w:rsidRPr="0097255D">
        <w:t>Civil society organi</w:t>
      </w:r>
      <w:r>
        <w:t>z</w:t>
      </w:r>
      <w:r w:rsidRPr="0097255D">
        <w:t>ations,</w:t>
      </w:r>
      <w:r w:rsidRPr="00232EA2">
        <w:rPr>
          <w:bCs/>
        </w:rPr>
        <w:t xml:space="preserve"> </w:t>
      </w:r>
      <w:r w:rsidRPr="0097255D">
        <w:t>including journalists’ associations, have made concerted efforts</w:t>
      </w:r>
      <w:r>
        <w:t xml:space="preserve"> to monitor attacks on journalists specifically in relation to their reporting on the COVID-19 pandemic. Examples of monitoring include the</w:t>
      </w:r>
      <w:r w:rsidR="00121C02">
        <w:t xml:space="preserve"> </w:t>
      </w:r>
      <w:r w:rsidRPr="00370520">
        <w:t>International Press Institute</w:t>
      </w:r>
      <w:r>
        <w:t xml:space="preserve"> </w:t>
      </w:r>
      <w:r w:rsidRPr="008A39F0">
        <w:t xml:space="preserve">COVID-19 press freedom tracker </w:t>
      </w:r>
      <w:r>
        <w:t xml:space="preserve">and the project on journalism and the pandemic implemented by the International </w:t>
      </w:r>
      <w:proofErr w:type="spellStart"/>
      <w:r>
        <w:t>Center</w:t>
      </w:r>
      <w:proofErr w:type="spellEnd"/>
      <w:r>
        <w:t xml:space="preserve"> for Journalists and the Tow </w:t>
      </w:r>
      <w:proofErr w:type="spellStart"/>
      <w:r>
        <w:t>Center</w:t>
      </w:r>
      <w:proofErr w:type="spellEnd"/>
      <w:r>
        <w:t xml:space="preserve"> for Digital Journalism at Columbia University. </w:t>
      </w:r>
    </w:p>
    <w:p w14:paraId="5F4164DA" w14:textId="77777777" w:rsidR="000242CC" w:rsidRPr="00074CB3" w:rsidRDefault="000242CC" w:rsidP="000242CC">
      <w:pPr>
        <w:pStyle w:val="H1G"/>
      </w:pPr>
      <w:bookmarkStart w:id="15" w:name="_Toc89868939"/>
      <w:r>
        <w:tab/>
        <w:t>C.</w:t>
      </w:r>
      <w:r>
        <w:tab/>
      </w:r>
      <w:r w:rsidRPr="00074CB3">
        <w:t>Specific health measures for journalists</w:t>
      </w:r>
      <w:bookmarkEnd w:id="15"/>
    </w:p>
    <w:p w14:paraId="6AC6D702" w14:textId="454E9E39" w:rsidR="000242CC" w:rsidRDefault="000242CC" w:rsidP="000242CC">
      <w:pPr>
        <w:pStyle w:val="SingleTxtG"/>
      </w:pPr>
      <w:r>
        <w:t>40.</w:t>
      </w:r>
      <w:r>
        <w:tab/>
      </w:r>
      <w:r w:rsidRPr="00D330A1">
        <w:t xml:space="preserve">The Working Group on </w:t>
      </w:r>
      <w:r w:rsidRPr="00CF78E5">
        <w:t xml:space="preserve">the issue of human rights and transnational corporations and other business enterprises </w:t>
      </w:r>
      <w:r>
        <w:t>has emphasized the need for business enterprises to respect</w:t>
      </w:r>
      <w:r w:rsidRPr="00D330A1">
        <w:t xml:space="preserve"> human rights during the </w:t>
      </w:r>
      <w:r w:rsidR="002F040F" w:rsidRPr="00D330A1">
        <w:t>COVID</w:t>
      </w:r>
      <w:r w:rsidRPr="00D330A1">
        <w:t>-19 crisis and beyond</w:t>
      </w:r>
      <w:r>
        <w:t>. The Working Group has noted that human rights due diligence has been</w:t>
      </w:r>
      <w:r w:rsidRPr="00D330A1">
        <w:t xml:space="preserve"> key to ensuring that any risks to peop</w:t>
      </w:r>
      <w:r>
        <w:t>le be</w:t>
      </w:r>
      <w:r w:rsidRPr="00D330A1">
        <w:t xml:space="preserve"> identified and mitigated. Th</w:t>
      </w:r>
      <w:r>
        <w:t>at</w:t>
      </w:r>
      <w:r w:rsidRPr="00D330A1">
        <w:t xml:space="preserve"> includes taking adequate preventive measures to ensure the health and safety of workers. For companies</w:t>
      </w:r>
      <w:r>
        <w:t>, it also means protecting their own workers</w:t>
      </w:r>
      <w:r w:rsidRPr="00D330A1">
        <w:t xml:space="preserve"> from risk when a</w:t>
      </w:r>
      <w:r>
        <w:t xml:space="preserve">sking them to continue working; </w:t>
      </w:r>
      <w:r w:rsidRPr="00D330A1">
        <w:t>ensuring fundamental guar</w:t>
      </w:r>
      <w:r>
        <w:t>antees, such as paid sick leave;</w:t>
      </w:r>
      <w:r w:rsidRPr="00D330A1">
        <w:t xml:space="preserve"> and providing </w:t>
      </w:r>
      <w:r>
        <w:t xml:space="preserve">them with </w:t>
      </w:r>
      <w:r w:rsidRPr="00D330A1">
        <w:t>safety gear and equipment</w:t>
      </w:r>
      <w:r>
        <w:t>.</w:t>
      </w:r>
      <w:r w:rsidRPr="00A37AAA">
        <w:rPr>
          <w:rStyle w:val="FootnoteReference"/>
        </w:rPr>
        <w:footnoteReference w:id="75"/>
      </w:r>
    </w:p>
    <w:p w14:paraId="6933636E" w14:textId="77777777" w:rsidR="000242CC" w:rsidRDefault="000242CC" w:rsidP="000242CC">
      <w:pPr>
        <w:pStyle w:val="SingleTxtG"/>
      </w:pPr>
      <w:r>
        <w:lastRenderedPageBreak/>
        <w:t>41.</w:t>
      </w:r>
      <w:r>
        <w:tab/>
        <w:t xml:space="preserve">Several contributions emphasized that journalists had been included in priority groups for vaccination, recognizing their high levels of exposure to </w:t>
      </w:r>
      <w:r w:rsidRPr="00C36645">
        <w:t>the</w:t>
      </w:r>
      <w:r w:rsidRPr="00D34A90">
        <w:rPr>
          <w:b/>
        </w:rPr>
        <w:t xml:space="preserve"> </w:t>
      </w:r>
      <w:bookmarkStart w:id="16" w:name="_Hlk91179435"/>
      <w:r>
        <w:t xml:space="preserve">virus </w:t>
      </w:r>
      <w:bookmarkEnd w:id="16"/>
      <w:r>
        <w:t xml:space="preserve">in the </w:t>
      </w:r>
      <w:r w:rsidRPr="00E6334C">
        <w:t xml:space="preserve">course of their work. This was reported </w:t>
      </w:r>
      <w:r>
        <w:t>by a number of</w:t>
      </w:r>
      <w:r w:rsidRPr="00E6334C">
        <w:t xml:space="preserve"> countries</w:t>
      </w:r>
      <w:r>
        <w:t>.</w:t>
      </w:r>
      <w:r w:rsidRPr="00E6334C">
        <w:t xml:space="preserve"> In some countries</w:t>
      </w:r>
      <w:r>
        <w:t>,</w:t>
      </w:r>
      <w:r w:rsidRPr="00E6334C">
        <w:t xml:space="preserve"> </w:t>
      </w:r>
      <w:r>
        <w:t xml:space="preserve">journalists were designated as “key”, “essential” or “frontline” workers and given </w:t>
      </w:r>
      <w:r w:rsidRPr="00E6334C">
        <w:t>prioriti</w:t>
      </w:r>
      <w:r>
        <w:t>zed</w:t>
      </w:r>
      <w:r w:rsidRPr="00E6334C">
        <w:t xml:space="preserve"> access to vaccination</w:t>
      </w:r>
      <w:r>
        <w:t>s.</w:t>
      </w:r>
      <w:r w:rsidRPr="00A37AAA">
        <w:rPr>
          <w:rStyle w:val="FootnoteReference"/>
        </w:rPr>
        <w:footnoteReference w:id="76"/>
      </w:r>
    </w:p>
    <w:p w14:paraId="737A6EF7" w14:textId="77777777" w:rsidR="000242CC" w:rsidRDefault="000242CC" w:rsidP="000242CC">
      <w:pPr>
        <w:pStyle w:val="SingleTxtG"/>
      </w:pPr>
      <w:r>
        <w:t>42.</w:t>
      </w:r>
      <w:r>
        <w:tab/>
      </w:r>
      <w:r w:rsidRPr="00E6334C">
        <w:t xml:space="preserve">A number of States and employers in the media sector </w:t>
      </w:r>
      <w:r>
        <w:t xml:space="preserve">have </w:t>
      </w:r>
      <w:r w:rsidRPr="00E6334C">
        <w:t>implemented measures</w:t>
      </w:r>
      <w:r>
        <w:t xml:space="preserve"> that have</w:t>
      </w:r>
      <w:r w:rsidRPr="00E6334C">
        <w:t xml:space="preserve"> reduced journalists’ physical exposure to the </w:t>
      </w:r>
      <w:r w:rsidRPr="004626AE">
        <w:t>virus</w:t>
      </w:r>
      <w:r w:rsidRPr="00E6334C">
        <w:t>. In most cases</w:t>
      </w:r>
      <w:r>
        <w:t>,</w:t>
      </w:r>
      <w:r w:rsidRPr="00E6334C">
        <w:t xml:space="preserve"> such measures were </w:t>
      </w:r>
      <w:r>
        <w:t>centred on adaptation</w:t>
      </w:r>
      <w:r w:rsidRPr="00E6334C">
        <w:t xml:space="preserve"> </w:t>
      </w:r>
      <w:r>
        <w:t>of</w:t>
      </w:r>
      <w:r w:rsidRPr="00E6334C">
        <w:t xml:space="preserve"> working methods. In the case of press conferences, this</w:t>
      </w:r>
      <w:r>
        <w:t xml:space="preserve"> often</w:t>
      </w:r>
      <w:r w:rsidRPr="00E6334C">
        <w:t xml:space="preserve"> meant moving them online. Despite numerous logistical and methodological challenges, </w:t>
      </w:r>
      <w:r>
        <w:t xml:space="preserve">the </w:t>
      </w:r>
      <w:r w:rsidRPr="000727D7">
        <w:t>European Federation of Journalists</w:t>
      </w:r>
      <w:r>
        <w:t xml:space="preserve"> documented </w:t>
      </w:r>
      <w:r w:rsidRPr="00E6334C">
        <w:t xml:space="preserve">a number of </w:t>
      </w:r>
      <w:r>
        <w:t>promising practic</w:t>
      </w:r>
      <w:r w:rsidRPr="00E6334C">
        <w:t>es for online press conferences</w:t>
      </w:r>
      <w:r>
        <w:t xml:space="preserve"> in Europe.</w:t>
      </w:r>
      <w:r w:rsidRPr="00A37AAA">
        <w:rPr>
          <w:rStyle w:val="FootnoteReference"/>
        </w:rPr>
        <w:footnoteReference w:id="77"/>
      </w:r>
      <w:r w:rsidRPr="00E6334C">
        <w:t xml:space="preserve"> Through collaboration with </w:t>
      </w:r>
      <w:r>
        <w:t xml:space="preserve">its </w:t>
      </w:r>
      <w:r w:rsidRPr="00E6334C">
        <w:t>local partners</w:t>
      </w:r>
      <w:r>
        <w:t xml:space="preserve"> around the globe</w:t>
      </w:r>
      <w:r w:rsidRPr="00E6334C">
        <w:t xml:space="preserve">, Free Press Unlimited </w:t>
      </w:r>
      <w:r>
        <w:t xml:space="preserve">has </w:t>
      </w:r>
      <w:r w:rsidRPr="00E6334C">
        <w:t>distributed personal protective equipment</w:t>
      </w:r>
      <w:r>
        <w:t>,</w:t>
      </w:r>
      <w:r w:rsidRPr="00E6334C">
        <w:t xml:space="preserve"> such as antibacterial gel, gloves and disposable face masks</w:t>
      </w:r>
      <w:r>
        <w:t>,</w:t>
      </w:r>
      <w:r w:rsidRPr="00E6334C">
        <w:t xml:space="preserve"> to 4,200 media workers.</w:t>
      </w:r>
      <w:r w:rsidRPr="00A37AAA">
        <w:rPr>
          <w:rStyle w:val="FootnoteReference"/>
        </w:rPr>
        <w:footnoteReference w:id="78"/>
      </w:r>
    </w:p>
    <w:p w14:paraId="3AFFEB2C" w14:textId="77777777" w:rsidR="000242CC" w:rsidRDefault="000242CC" w:rsidP="000242CC">
      <w:pPr>
        <w:pStyle w:val="SingleTxtG"/>
      </w:pPr>
      <w:r>
        <w:t>43.</w:t>
      </w:r>
      <w:r>
        <w:tab/>
        <w:t xml:space="preserve">Attention has also been given to reducing exposure to COVID-19 in the context of the monitoring and investigation of human rights issues. For example, </w:t>
      </w:r>
      <w:r w:rsidRPr="00186F98">
        <w:t>in collaboration with UN Women Sudan OHCHR</w:t>
      </w:r>
      <w:r>
        <w:t xml:space="preserve"> </w:t>
      </w:r>
      <w:r w:rsidRPr="00186F98">
        <w:t>organi</w:t>
      </w:r>
      <w:r>
        <w:t>zed</w:t>
      </w:r>
      <w:r w:rsidRPr="00186F98">
        <w:t xml:space="preserve"> </w:t>
      </w:r>
      <w:r>
        <w:t>a</w:t>
      </w:r>
      <w:r w:rsidRPr="00186F98">
        <w:t xml:space="preserve"> training workshop</w:t>
      </w:r>
      <w:r>
        <w:t xml:space="preserve"> </w:t>
      </w:r>
      <w:r w:rsidRPr="00186F98">
        <w:t xml:space="preserve">in Khartoum </w:t>
      </w:r>
      <w:r>
        <w:t xml:space="preserve">for </w:t>
      </w:r>
      <w:r w:rsidRPr="00186F98">
        <w:t>civil society organi</w:t>
      </w:r>
      <w:r>
        <w:t>z</w:t>
      </w:r>
      <w:r w:rsidRPr="00186F98">
        <w:t>ations</w:t>
      </w:r>
      <w:r>
        <w:t>,</w:t>
      </w:r>
      <w:r w:rsidRPr="00186F98">
        <w:t xml:space="preserve"> including journalists</w:t>
      </w:r>
      <w:r>
        <w:t>,</w:t>
      </w:r>
      <w:r w:rsidRPr="00186F98">
        <w:t xml:space="preserve"> </w:t>
      </w:r>
      <w:r>
        <w:t>which</w:t>
      </w:r>
      <w:r w:rsidRPr="00186F98">
        <w:t xml:space="preserve"> focus</w:t>
      </w:r>
      <w:r>
        <w:t>ed on</w:t>
      </w:r>
      <w:r w:rsidRPr="00186F98">
        <w:t xml:space="preserve"> remote monitoring</w:t>
      </w:r>
      <w:r>
        <w:t xml:space="preserve"> techniques that help to reduce the risk of exposure</w:t>
      </w:r>
      <w:r w:rsidRPr="00186F98">
        <w:t>.</w:t>
      </w:r>
    </w:p>
    <w:p w14:paraId="06EDD120" w14:textId="77777777" w:rsidR="000242CC" w:rsidRDefault="000242CC" w:rsidP="000242CC">
      <w:pPr>
        <w:pStyle w:val="SingleTxtG"/>
      </w:pPr>
      <w:r>
        <w:t>44.</w:t>
      </w:r>
      <w:r>
        <w:tab/>
        <w:t xml:space="preserve">In their contributions, </w:t>
      </w:r>
      <w:r w:rsidRPr="00882E88">
        <w:t>Georgia, Greece and Slovenia</w:t>
      </w:r>
      <w:r w:rsidRPr="00882E88" w:rsidDel="00882E88">
        <w:t xml:space="preserve"> </w:t>
      </w:r>
      <w:r>
        <w:t>reported the distribution of tailored health guidance to journalists and media institutions. Togo reported that it had put in place a solidarity fund accessible to journalists. WHO and civil society organizations have also issued guidance in this area.</w:t>
      </w:r>
      <w:r w:rsidRPr="00A37AAA">
        <w:rPr>
          <w:rStyle w:val="FootnoteReference"/>
        </w:rPr>
        <w:footnoteReference w:id="79"/>
      </w:r>
      <w:r w:rsidRPr="00D458C5">
        <w:t xml:space="preserve"> UNESCO supported the dissemination of sanitary guidance for journalists through projects in the field. For example, in South Sudan it partnered with the Association for Media Development and </w:t>
      </w:r>
      <w:r>
        <w:t xml:space="preserve">the </w:t>
      </w:r>
      <w:r w:rsidRPr="00D458C5">
        <w:t xml:space="preserve">Ministry of Health in order to equip local journalists with the skills to continue reporting, without compromising </w:t>
      </w:r>
      <w:r>
        <w:t xml:space="preserve">their </w:t>
      </w:r>
      <w:r w:rsidRPr="00D458C5">
        <w:t>health, through the development of safety guidelines and toolkits.</w:t>
      </w:r>
      <w:r w:rsidRPr="00A37AAA">
        <w:rPr>
          <w:rStyle w:val="FootnoteReference"/>
        </w:rPr>
        <w:footnoteReference w:id="80"/>
      </w:r>
      <w:r>
        <w:t xml:space="preserve"> Despite this guidance, however, civil society contributions indicate that in many countries employers in the media sector have disregarded protective sanitary measures for their staff.</w:t>
      </w:r>
      <w:r w:rsidRPr="00A37AAA">
        <w:rPr>
          <w:rStyle w:val="FootnoteReference"/>
        </w:rPr>
        <w:footnoteReference w:id="81"/>
      </w:r>
    </w:p>
    <w:p w14:paraId="6C7C7FCE" w14:textId="77777777" w:rsidR="000242CC" w:rsidRDefault="000242CC" w:rsidP="000242CC">
      <w:pPr>
        <w:pStyle w:val="SingleTxtG"/>
      </w:pPr>
      <w:r>
        <w:t>45.</w:t>
      </w:r>
      <w:r>
        <w:tab/>
        <w:t>A coalition of Brazilian civil society organizations</w:t>
      </w:r>
      <w:r w:rsidRPr="00A34F22">
        <w:t xml:space="preserve"> </w:t>
      </w:r>
      <w:r>
        <w:t>recom</w:t>
      </w:r>
      <w:r w:rsidRPr="00A34F22">
        <w:t xml:space="preserve">mended a series of </w:t>
      </w:r>
      <w:r>
        <w:t xml:space="preserve">practical </w:t>
      </w:r>
      <w:r w:rsidRPr="00A34F22">
        <w:t>measures that could be implemented for reduc</w:t>
      </w:r>
      <w:r>
        <w:t xml:space="preserve">ing the </w:t>
      </w:r>
      <w:r w:rsidRPr="00A34F22">
        <w:t xml:space="preserve">exposure </w:t>
      </w:r>
      <w:r>
        <w:t xml:space="preserve">of media professionals </w:t>
      </w:r>
      <w:r w:rsidRPr="00A34F22">
        <w:t>to infection</w:t>
      </w:r>
      <w:r>
        <w:t xml:space="preserve">, </w:t>
      </w:r>
      <w:r w:rsidRPr="0000575C">
        <w:t xml:space="preserve">such as favouring remote work for </w:t>
      </w:r>
      <w:r>
        <w:t>older</w:t>
      </w:r>
      <w:r w:rsidRPr="0000575C">
        <w:t xml:space="preserve"> journalists, journalists with chronic diseases, pregnant women and media worker</w:t>
      </w:r>
      <w:r>
        <w:t>s</w:t>
      </w:r>
      <w:r w:rsidRPr="0000575C">
        <w:t xml:space="preserve"> who only perform internal functions; using additional microphone</w:t>
      </w:r>
      <w:r>
        <w:t>s</w:t>
      </w:r>
      <w:r w:rsidRPr="0000575C">
        <w:t xml:space="preserve"> during interviews; suspending recordings and live editions of entertainment content; and reducing the number of journalists </w:t>
      </w:r>
      <w:r>
        <w:t xml:space="preserve">in the </w:t>
      </w:r>
      <w:r w:rsidRPr="0000575C">
        <w:t>newsroom studio</w:t>
      </w:r>
      <w:r w:rsidRPr="00E457BF">
        <w:t>.</w:t>
      </w:r>
      <w:r w:rsidRPr="0027735C">
        <w:t xml:space="preserve"> </w:t>
      </w:r>
    </w:p>
    <w:p w14:paraId="7F3FF11A" w14:textId="77777777" w:rsidR="000242CC" w:rsidRDefault="000242CC" w:rsidP="000242CC">
      <w:pPr>
        <w:pStyle w:val="SingleTxtG"/>
      </w:pPr>
      <w:r>
        <w:t>46.</w:t>
      </w:r>
      <w:r>
        <w:tab/>
        <w:t xml:space="preserve">In its contribution, </w:t>
      </w:r>
      <w:r w:rsidRPr="0027735C">
        <w:t>Slovenia</w:t>
      </w:r>
      <w:r>
        <w:t xml:space="preserve"> emphasized that its targeted economic support to freelance journalists included payment of social security contributions (including health insurance) to ensure continued coverage. </w:t>
      </w:r>
    </w:p>
    <w:p w14:paraId="5311689B" w14:textId="77777777" w:rsidR="000242CC" w:rsidRPr="00341B3D" w:rsidRDefault="000242CC" w:rsidP="000242CC">
      <w:pPr>
        <w:pStyle w:val="H1G"/>
      </w:pPr>
      <w:bookmarkStart w:id="17" w:name="_Toc89868940"/>
      <w:r>
        <w:tab/>
        <w:t>D.</w:t>
      </w:r>
      <w:r>
        <w:tab/>
        <w:t>Specific s</w:t>
      </w:r>
      <w:r w:rsidRPr="00341B3D">
        <w:t>upport for journalists and media outlets</w:t>
      </w:r>
      <w:bookmarkEnd w:id="17"/>
    </w:p>
    <w:p w14:paraId="5DE6ED61" w14:textId="77777777" w:rsidR="000242CC" w:rsidRDefault="000242CC" w:rsidP="000242CC">
      <w:pPr>
        <w:pStyle w:val="SingleTxtG"/>
        <w:rPr>
          <w:rStyle w:val="Hyperlink"/>
          <w:color w:val="auto"/>
        </w:rPr>
      </w:pPr>
      <w:r>
        <w:rPr>
          <w:rStyle w:val="Hyperlink"/>
          <w:color w:val="auto"/>
        </w:rPr>
        <w:t>47.</w:t>
      </w:r>
      <w:r>
        <w:rPr>
          <w:rStyle w:val="Hyperlink"/>
          <w:color w:val="auto"/>
        </w:rPr>
        <w:tab/>
        <w:t xml:space="preserve">In resolution 45/18, </w:t>
      </w:r>
      <w:r>
        <w:t>t</w:t>
      </w:r>
      <w:r w:rsidRPr="0075278F">
        <w:t xml:space="preserve">he Human Rights Council called on States to cooperate with journalists, the media and civil society organizations to assess the damage that the COVID-19 pandemic </w:t>
      </w:r>
      <w:r>
        <w:t>wa</w:t>
      </w:r>
      <w:r w:rsidRPr="0075278F">
        <w:t>s inflicting on the provision of vital information to the public and the sustainability of media environments. It asked States to consider</w:t>
      </w:r>
      <w:r>
        <w:t>, wherever possible,</w:t>
      </w:r>
      <w:r w:rsidRPr="0075278F">
        <w:t xml:space="preserve"> devising appropriate mechanisms to provide financial support to the media, including local journalism and investigative reporting, and to ensure that support </w:t>
      </w:r>
      <w:r>
        <w:t>wa</w:t>
      </w:r>
      <w:r w:rsidRPr="0075278F">
        <w:t xml:space="preserve">s given without compromising editorial independence. </w:t>
      </w:r>
      <w:r>
        <w:t>Five</w:t>
      </w:r>
      <w:r w:rsidRPr="0075278F">
        <w:t xml:space="preserve"> States reported having introduced targeted fiscal, financial and </w:t>
      </w:r>
      <w:r w:rsidRPr="0075278F">
        <w:lastRenderedPageBreak/>
        <w:t>economic support for the media sector.</w:t>
      </w:r>
      <w:r w:rsidRPr="00A37AAA">
        <w:rPr>
          <w:rStyle w:val="FootnoteReference"/>
        </w:rPr>
        <w:footnoteReference w:id="82"/>
      </w:r>
      <w:r w:rsidRPr="0075278F">
        <w:t xml:space="preserve"> Civil society contributions also referred to State-sponsored support in a range of countries and </w:t>
      </w:r>
      <w:r>
        <w:t>stated</w:t>
      </w:r>
      <w:r w:rsidRPr="0075278F">
        <w:t xml:space="preserve"> that journalists’ associations</w:t>
      </w:r>
      <w:r>
        <w:t xml:space="preserve"> or </w:t>
      </w:r>
      <w:r w:rsidRPr="0075278F">
        <w:t>unions have often played a key role in negotiating support measures.</w:t>
      </w:r>
      <w:r w:rsidRPr="00A37AAA">
        <w:rPr>
          <w:rStyle w:val="FootnoteReference"/>
        </w:rPr>
        <w:footnoteReference w:id="83"/>
      </w:r>
      <w:r w:rsidRPr="0075278F">
        <w:t xml:space="preserve"> The measures introduced range from direct assistance (lost revenue replacement and stimulus packages) to indirect measures</w:t>
      </w:r>
      <w:r>
        <w:t>,</w:t>
      </w:r>
      <w:r w:rsidRPr="0075278F">
        <w:t xml:space="preserve"> such as tax deductions on advertising expenditure to encourage continued spending by companies on this vital revenue stream</w:t>
      </w:r>
      <w:r>
        <w:t>.</w:t>
      </w:r>
      <w:r w:rsidRPr="0075278F">
        <w:t xml:space="preserve"> The European </w:t>
      </w:r>
      <w:proofErr w:type="spellStart"/>
      <w:r w:rsidRPr="0075278F">
        <w:t>Audiovisual</w:t>
      </w:r>
      <w:proofErr w:type="spellEnd"/>
      <w:r w:rsidRPr="0075278F">
        <w:t xml:space="preserve"> Observatory has been tracking COVID-19 support measures for the </w:t>
      </w:r>
      <w:proofErr w:type="spellStart"/>
      <w:r w:rsidRPr="0075278F">
        <w:t>audiovisual</w:t>
      </w:r>
      <w:proofErr w:type="spellEnd"/>
      <w:r w:rsidRPr="0075278F">
        <w:t xml:space="preserve"> sector implemented by European countries</w:t>
      </w:r>
      <w:r>
        <w:t>.</w:t>
      </w:r>
      <w:r w:rsidRPr="00A37AAA">
        <w:rPr>
          <w:rStyle w:val="FootnoteReference"/>
        </w:rPr>
        <w:footnoteReference w:id="84"/>
      </w:r>
    </w:p>
    <w:p w14:paraId="7F2D91BA" w14:textId="77777777" w:rsidR="000242CC" w:rsidRPr="002B5410" w:rsidRDefault="000242CC" w:rsidP="000242CC">
      <w:pPr>
        <w:pStyle w:val="SingleTxtG"/>
        <w:rPr>
          <w:u w:val="single"/>
        </w:rPr>
      </w:pPr>
      <w:r w:rsidRPr="002B5410">
        <w:t>48.</w:t>
      </w:r>
      <w:r w:rsidRPr="002B5410">
        <w:tab/>
      </w:r>
      <w:r w:rsidRPr="00E6334C">
        <w:t xml:space="preserve">Targeted measures for community radio stations have also been reported in </w:t>
      </w:r>
      <w:r w:rsidRPr="002B5410">
        <w:rPr>
          <w:bCs/>
        </w:rPr>
        <w:t>Brazil</w:t>
      </w:r>
      <w:r w:rsidRPr="00E6334C">
        <w:t xml:space="preserve">, where these small and financially precarious outlets often play a vital role in disseminating news </w:t>
      </w:r>
      <w:r>
        <w:t>in</w:t>
      </w:r>
      <w:r w:rsidRPr="00E6334C">
        <w:t xml:space="preserve"> remote areas, a role of heightened importance </w:t>
      </w:r>
      <w:r>
        <w:t xml:space="preserve">for public health messaging </w:t>
      </w:r>
      <w:r w:rsidRPr="00E6334C">
        <w:t>during the pandemic</w:t>
      </w:r>
      <w:r>
        <w:t>.</w:t>
      </w:r>
      <w:r w:rsidRPr="00A37AAA">
        <w:rPr>
          <w:rStyle w:val="FootnoteReference"/>
        </w:rPr>
        <w:footnoteReference w:id="85"/>
      </w:r>
      <w:r w:rsidRPr="0027735C">
        <w:t xml:space="preserve"> </w:t>
      </w:r>
      <w:r>
        <w:t>In its contribution, t</w:t>
      </w:r>
      <w:r w:rsidRPr="0027735C">
        <w:t xml:space="preserve">he </w:t>
      </w:r>
      <w:r w:rsidRPr="002B5410">
        <w:rPr>
          <w:bCs/>
        </w:rPr>
        <w:t>Netherlands</w:t>
      </w:r>
      <w:r w:rsidRPr="0027735C">
        <w:t xml:space="preserve"> reported </w:t>
      </w:r>
      <w:r>
        <w:t>the creation of a €</w:t>
      </w:r>
      <w:r w:rsidRPr="0027735C">
        <w:t>35 million</w:t>
      </w:r>
      <w:r>
        <w:t xml:space="preserve"> </w:t>
      </w:r>
      <w:r w:rsidRPr="0027735C">
        <w:t xml:space="preserve">fund to support local media outlets, most of which </w:t>
      </w:r>
      <w:r>
        <w:t>are totally</w:t>
      </w:r>
      <w:r w:rsidRPr="0027735C">
        <w:t xml:space="preserve"> </w:t>
      </w:r>
      <w:r>
        <w:t xml:space="preserve">reliant </w:t>
      </w:r>
      <w:r w:rsidRPr="0027735C">
        <w:t>on advertising for their income</w:t>
      </w:r>
      <w:r>
        <w:t>.</w:t>
      </w:r>
    </w:p>
    <w:p w14:paraId="123C9791" w14:textId="77777777" w:rsidR="000242CC" w:rsidRPr="002B5410" w:rsidRDefault="000242CC" w:rsidP="000242CC">
      <w:pPr>
        <w:pStyle w:val="SingleTxtG"/>
        <w:rPr>
          <w:u w:val="single"/>
        </w:rPr>
      </w:pPr>
      <w:r w:rsidRPr="002B5410">
        <w:t>49.</w:t>
      </w:r>
      <w:r w:rsidRPr="002B5410">
        <w:tab/>
      </w:r>
      <w:r>
        <w:t>Responding to</w:t>
      </w:r>
      <w:r w:rsidRPr="00EE590D">
        <w:t xml:space="preserve"> a sharp increase in applications </w:t>
      </w:r>
      <w:r>
        <w:t xml:space="preserve">to its </w:t>
      </w:r>
      <w:r w:rsidRPr="00EE590D">
        <w:t>emergency fund</w:t>
      </w:r>
      <w:r>
        <w:t xml:space="preserve">s during the pandemic, </w:t>
      </w:r>
      <w:r w:rsidRPr="00EE590D">
        <w:t>Free Press Unlimite</w:t>
      </w:r>
      <w:r>
        <w:t>d</w:t>
      </w:r>
      <w:r w:rsidRPr="00EE590D">
        <w:t xml:space="preserve"> assisted 3</w:t>
      </w:r>
      <w:r>
        <w:t>,</w:t>
      </w:r>
      <w:r w:rsidRPr="00EE590D">
        <w:t xml:space="preserve">435 journalists in 2020 with emergency assistance through </w:t>
      </w:r>
      <w:r>
        <w:t>its “</w:t>
      </w:r>
      <w:r w:rsidRPr="00EE590D">
        <w:t>Reporters respond</w:t>
      </w:r>
      <w:r>
        <w:t>” programme,</w:t>
      </w:r>
      <w:r w:rsidRPr="00EE590D">
        <w:t xml:space="preserve"> </w:t>
      </w:r>
      <w:r>
        <w:t>over 10 times more than in the previous year. In 2020, almost 90 per cent</w:t>
      </w:r>
      <w:r w:rsidRPr="00EE590D">
        <w:t xml:space="preserve"> of the support was for journalists affected by and under threat </w:t>
      </w:r>
      <w:r>
        <w:t>from</w:t>
      </w:r>
      <w:r w:rsidRPr="00EE590D">
        <w:t xml:space="preserve"> the </w:t>
      </w:r>
      <w:r>
        <w:t>COVID-19 pandemic</w:t>
      </w:r>
      <w:r w:rsidRPr="00EE590D">
        <w:t>.</w:t>
      </w:r>
      <w:r w:rsidRPr="00E10C9C">
        <w:t xml:space="preserve"> </w:t>
      </w:r>
      <w:r w:rsidRPr="00C11FC1">
        <w:t xml:space="preserve">The </w:t>
      </w:r>
      <w:r>
        <w:t>G</w:t>
      </w:r>
      <w:r w:rsidRPr="00C11FC1">
        <w:t>overnment</w:t>
      </w:r>
      <w:r w:rsidRPr="006B711D">
        <w:t xml:space="preserve"> </w:t>
      </w:r>
      <w:r>
        <w:t xml:space="preserve">of India has </w:t>
      </w:r>
      <w:r w:rsidRPr="006B711D">
        <w:t xml:space="preserve">reportedly granted compensation to </w:t>
      </w:r>
      <w:r>
        <w:t xml:space="preserve">the </w:t>
      </w:r>
      <w:r w:rsidRPr="006B711D">
        <w:t>families of journalists who have died from the virus.</w:t>
      </w:r>
      <w:r w:rsidRPr="00A37AAA">
        <w:rPr>
          <w:rStyle w:val="FootnoteReference"/>
        </w:rPr>
        <w:footnoteReference w:id="86"/>
      </w:r>
      <w:r>
        <w:t xml:space="preserve"> </w:t>
      </w:r>
    </w:p>
    <w:p w14:paraId="398F470E" w14:textId="77777777" w:rsidR="000242CC" w:rsidRPr="00824705" w:rsidRDefault="000242CC" w:rsidP="000242CC">
      <w:pPr>
        <w:pStyle w:val="HChG"/>
        <w:tabs>
          <w:tab w:val="clear" w:pos="851"/>
          <w:tab w:val="right" w:pos="142"/>
        </w:tabs>
        <w:ind w:hanging="708"/>
      </w:pPr>
      <w:r w:rsidRPr="36CEF858">
        <w:t>I</w:t>
      </w:r>
      <w:r>
        <w:t>V</w:t>
      </w:r>
      <w:r w:rsidRPr="36CEF858">
        <w:t>.</w:t>
      </w:r>
      <w:r w:rsidRPr="00824705">
        <w:tab/>
      </w:r>
      <w:r w:rsidRPr="00824705">
        <w:tab/>
      </w:r>
      <w:r>
        <w:t>OHCHR</w:t>
      </w:r>
      <w:r w:rsidRPr="00AA6E13">
        <w:t xml:space="preserve"> assistance on national approaches to protect journalists, including in cooperation with other United Nations entities</w:t>
      </w:r>
    </w:p>
    <w:p w14:paraId="48A5B276" w14:textId="77777777" w:rsidR="000242CC" w:rsidRDefault="000242CC" w:rsidP="000242CC">
      <w:pPr>
        <w:pStyle w:val="SingleTxtG"/>
      </w:pPr>
      <w:r>
        <w:t>50.</w:t>
      </w:r>
      <w:r>
        <w:tab/>
      </w:r>
      <w:r w:rsidRPr="00DB47B2">
        <w:t>During</w:t>
      </w:r>
      <w:r>
        <w:rPr>
          <w:bCs/>
        </w:rPr>
        <w:t xml:space="preserve"> the COVID-19 pandemic, </w:t>
      </w:r>
      <w:r w:rsidRPr="00232EA2">
        <w:rPr>
          <w:bCs/>
        </w:rPr>
        <w:t>OHCHR</w:t>
      </w:r>
      <w:r w:rsidRPr="0097255D">
        <w:t xml:space="preserve"> </w:t>
      </w:r>
      <w:r>
        <w:t xml:space="preserve">has </w:t>
      </w:r>
      <w:r w:rsidRPr="0097255D">
        <w:t>continued</w:t>
      </w:r>
      <w:r>
        <w:t xml:space="preserve"> its work to address the safety of journalists and the issue of impunity, including through monitoring and reporting, engagement, advocacy, awareness-raising and capacity-building. It has regularly raised related issues in the Human Rights Council, including through its country-specific and thematic reports. It has also organized a number of awareness-raising events on the safety of journalists at the national level, in collaboration with local and international partners.</w:t>
      </w:r>
      <w:r w:rsidRPr="00A37AAA">
        <w:rPr>
          <w:rStyle w:val="FootnoteReference"/>
        </w:rPr>
        <w:footnoteReference w:id="87"/>
      </w:r>
      <w:r>
        <w:t xml:space="preserve"> </w:t>
      </w:r>
    </w:p>
    <w:p w14:paraId="17BC328F" w14:textId="5276AC8B" w:rsidR="000242CC" w:rsidRDefault="000242CC" w:rsidP="000242CC">
      <w:pPr>
        <w:pStyle w:val="SingleTxtG"/>
      </w:pPr>
      <w:r>
        <w:t>51.</w:t>
      </w:r>
      <w:r>
        <w:tab/>
        <w:t>Additionally, b</w:t>
      </w:r>
      <w:r w:rsidRPr="00377ACD">
        <w:t xml:space="preserve">ased on the outcome of the 2017 multi-stakeholder consultation held by OHCHR and UNESCO on </w:t>
      </w:r>
      <w:r w:rsidRPr="00377ACD">
        <w:rPr>
          <w:lang w:val="en"/>
        </w:rPr>
        <w:t>ways</w:t>
      </w:r>
      <w:r w:rsidRPr="00377ACD">
        <w:t xml:space="preserve"> to strengthen the implementation of the </w:t>
      </w:r>
      <w:r w:rsidRPr="001D6A3D">
        <w:t>United Nations Plan of Action on the safety of journalists</w:t>
      </w:r>
      <w:r w:rsidRPr="00377ACD">
        <w:t>, OHCHR undertook a range of initiatives.</w:t>
      </w:r>
      <w:r w:rsidRPr="00A37AAA">
        <w:rPr>
          <w:rStyle w:val="FootnoteReference"/>
        </w:rPr>
        <w:footnoteReference w:id="88"/>
      </w:r>
      <w:r w:rsidRPr="00377ACD">
        <w:t xml:space="preserve"> </w:t>
      </w:r>
      <w:r>
        <w:t>It</w:t>
      </w:r>
      <w:r w:rsidRPr="00377ACD">
        <w:t xml:space="preserve"> further integrated the safety of journalists in</w:t>
      </w:r>
      <w:r>
        <w:t>to</w:t>
      </w:r>
      <w:r w:rsidRPr="00377ACD">
        <w:t xml:space="preserve"> its work at country level, including by supporting national approaches on safety, taking an approach inclusive of women, youth, minorities and other communities. In 2021, OHCHR also launched jointly with UNESCO and </w:t>
      </w:r>
      <w:r>
        <w:t xml:space="preserve">with </w:t>
      </w:r>
      <w:r w:rsidRPr="00377ACD">
        <w:t xml:space="preserve">the support of the Netherlands, </w:t>
      </w:r>
      <w:r>
        <w:t>a programme entitled</w:t>
      </w:r>
      <w:r w:rsidRPr="00377ACD">
        <w:t xml:space="preserve"> “Global drive for media freedom and safety of journalists” </w:t>
      </w:r>
      <w:r>
        <w:t>aimed at</w:t>
      </w:r>
      <w:r w:rsidRPr="00377ACD">
        <w:t xml:space="preserve"> fostering independent and free media and on prevention</w:t>
      </w:r>
      <w:r>
        <w:t xml:space="preserve"> of</w:t>
      </w:r>
      <w:r w:rsidRPr="00377ACD">
        <w:t xml:space="preserve">, protection from and accountability for violations against journalists. </w:t>
      </w:r>
      <w:r>
        <w:t>T</w:t>
      </w:r>
      <w:r w:rsidRPr="00377ACD">
        <w:t>wenty OHCHR field presences support</w:t>
      </w:r>
      <w:r>
        <w:t>ed</w:t>
      </w:r>
      <w:r w:rsidRPr="00377ACD">
        <w:t xml:space="preserve"> the development and strengthening of national approaches</w:t>
      </w:r>
      <w:r>
        <w:t>,</w:t>
      </w:r>
      <w:r w:rsidRPr="00377ACD">
        <w:t xml:space="preserve"> protecting media freedom and journalists </w:t>
      </w:r>
      <w:r>
        <w:t xml:space="preserve">and </w:t>
      </w:r>
      <w:r w:rsidRPr="00377ACD">
        <w:t>involving all relevant stakeholders.</w:t>
      </w:r>
      <w:r w:rsidRPr="00A37AAA">
        <w:rPr>
          <w:rStyle w:val="FootnoteReference"/>
        </w:rPr>
        <w:footnoteReference w:id="89"/>
      </w:r>
    </w:p>
    <w:p w14:paraId="29EC5BB0" w14:textId="77777777" w:rsidR="000242CC" w:rsidRDefault="000242CC" w:rsidP="000242CC">
      <w:pPr>
        <w:pStyle w:val="SingleTxtG"/>
      </w:pPr>
      <w:r>
        <w:lastRenderedPageBreak/>
        <w:t>52.</w:t>
      </w:r>
      <w:r>
        <w:tab/>
        <w:t xml:space="preserve">OHCHR efforts at the national level include </w:t>
      </w:r>
      <w:r w:rsidRPr="003D6ACC">
        <w:t>efforts to repeal legislation and measures limiting media freedom</w:t>
      </w:r>
      <w:r>
        <w:t>,</w:t>
      </w:r>
      <w:r w:rsidRPr="003D6ACC">
        <w:t xml:space="preserve"> </w:t>
      </w:r>
      <w:r>
        <w:t>as well as</w:t>
      </w:r>
      <w:r w:rsidRPr="003D6ACC">
        <w:t xml:space="preserve"> activities to </w:t>
      </w:r>
      <w:r>
        <w:t>support public entities, through strengthening</w:t>
      </w:r>
      <w:r w:rsidRPr="00E627D8">
        <w:t xml:space="preserve"> lawmakers</w:t>
      </w:r>
      <w:r>
        <w:t>’ awareness of relevant human rights,</w:t>
      </w:r>
      <w:r w:rsidRPr="00E627D8">
        <w:t xml:space="preserve"> with attention </w:t>
      </w:r>
      <w:r>
        <w:t xml:space="preserve">paid </w:t>
      </w:r>
      <w:r w:rsidRPr="00E627D8">
        <w:t>to the specific risks faced by wo</w:t>
      </w:r>
      <w:r>
        <w:t>men journalists</w:t>
      </w:r>
      <w:r w:rsidRPr="003D6ACC">
        <w:t>. In that context, OHCHR regularly</w:t>
      </w:r>
      <w:r>
        <w:t xml:space="preserve"> </w:t>
      </w:r>
      <w:r w:rsidRPr="00005707">
        <w:t>provides technical support to States on legislation and policies protecting media freedom and journalists</w:t>
      </w:r>
      <w:r>
        <w:t xml:space="preserve">, and on </w:t>
      </w:r>
      <w:r w:rsidRPr="007A45BF">
        <w:t xml:space="preserve">access to information, </w:t>
      </w:r>
      <w:proofErr w:type="spellStart"/>
      <w:r w:rsidRPr="007A45BF">
        <w:t>audiovisual</w:t>
      </w:r>
      <w:proofErr w:type="spellEnd"/>
      <w:r w:rsidRPr="007A45BF">
        <w:t xml:space="preserve"> laws and laws relating to online regulation. It also supports </w:t>
      </w:r>
      <w:r>
        <w:t>n</w:t>
      </w:r>
      <w:r w:rsidRPr="00521187">
        <w:t>ational human rights institutions</w:t>
      </w:r>
      <w:r w:rsidRPr="007A45BF">
        <w:t xml:space="preserve">, professional associations and other civil society actors in their advocacy </w:t>
      </w:r>
      <w:r>
        <w:t xml:space="preserve">on </w:t>
      </w:r>
      <w:r w:rsidRPr="007A45BF">
        <w:t>relevant national legislation.</w:t>
      </w:r>
    </w:p>
    <w:p w14:paraId="6B862A34" w14:textId="69D0A29B" w:rsidR="000242CC" w:rsidRDefault="000242CC" w:rsidP="000242CC">
      <w:pPr>
        <w:pStyle w:val="SingleTxtG"/>
      </w:pPr>
      <w:r>
        <w:t>53.</w:t>
      </w:r>
      <w:r>
        <w:tab/>
      </w:r>
      <w:r w:rsidRPr="0066271F">
        <w:t xml:space="preserve">OHCHR </w:t>
      </w:r>
      <w:r>
        <w:t>also cooperates</w:t>
      </w:r>
      <w:r w:rsidRPr="0066271F">
        <w:t xml:space="preserve"> with judicial actors on enhancing the national response to attacks </w:t>
      </w:r>
      <w:r>
        <w:t>on</w:t>
      </w:r>
      <w:r w:rsidRPr="0066271F">
        <w:t xml:space="preserve"> journalists, including gender-based and online attacks</w:t>
      </w:r>
      <w:r>
        <w:t>,</w:t>
      </w:r>
      <w:r w:rsidRPr="0066271F">
        <w:t xml:space="preserve"> notably </w:t>
      </w:r>
      <w:r>
        <w:t>regarding</w:t>
      </w:r>
      <w:r w:rsidRPr="0066271F">
        <w:t xml:space="preserve"> investigation and prosecution. </w:t>
      </w:r>
      <w:r>
        <w:t>It p</w:t>
      </w:r>
      <w:r w:rsidRPr="003B4920">
        <w:t xml:space="preserve">rovides policy advice and technical support to prevention, protection, prosecution and accountability mechanisms at </w:t>
      </w:r>
      <w:r>
        <w:t xml:space="preserve">the </w:t>
      </w:r>
      <w:r w:rsidRPr="003B4920">
        <w:t xml:space="preserve">national level, including specialized prosecution units. </w:t>
      </w:r>
      <w:r w:rsidRPr="0066271F">
        <w:t>In th</w:t>
      </w:r>
      <w:r>
        <w:t>at</w:t>
      </w:r>
      <w:r w:rsidRPr="0066271F">
        <w:t xml:space="preserve"> context, in 2019 OHCHR conducted an assessment of the mechanism for the protection of human rights defenders and journalists in Mexico. Following the assessment, with the support of Ireland</w:t>
      </w:r>
      <w:r>
        <w:t xml:space="preserve"> </w:t>
      </w:r>
      <w:r w:rsidRPr="0066271F">
        <w:t>the mechanism initiated a process to strengthen its capacity to counter digital attacks.</w:t>
      </w:r>
      <w:r w:rsidRPr="00A37AAA">
        <w:rPr>
          <w:rStyle w:val="FootnoteReference"/>
        </w:rPr>
        <w:footnoteReference w:id="90"/>
      </w:r>
    </w:p>
    <w:p w14:paraId="150E00BC" w14:textId="03FB0B99" w:rsidR="000242CC" w:rsidRDefault="000242CC" w:rsidP="000242CC">
      <w:pPr>
        <w:pStyle w:val="SingleTxtG"/>
      </w:pPr>
      <w:r>
        <w:t>54.</w:t>
      </w:r>
      <w:r>
        <w:tab/>
        <w:t>In order to exercise their work independently and freely, j</w:t>
      </w:r>
      <w:r w:rsidRPr="0064648B">
        <w:t xml:space="preserve">ournalists, media workers and </w:t>
      </w:r>
      <w:r>
        <w:t xml:space="preserve">human rights defenders working on </w:t>
      </w:r>
      <w:r w:rsidRPr="0064648B">
        <w:t>media freedom</w:t>
      </w:r>
      <w:r>
        <w:t xml:space="preserve"> must be able to </w:t>
      </w:r>
      <w:r w:rsidRPr="0064648B">
        <w:t xml:space="preserve">operate </w:t>
      </w:r>
      <w:r>
        <w:t>without</w:t>
      </w:r>
      <w:r w:rsidRPr="0064648B">
        <w:t xml:space="preserve"> fear of attack or prosecution</w:t>
      </w:r>
      <w:r>
        <w:t xml:space="preserve"> and obtain justice in case of violations</w:t>
      </w:r>
      <w:r w:rsidRPr="0064648B">
        <w:t>.</w:t>
      </w:r>
      <w:r>
        <w:t xml:space="preserve"> For that reason, OHCHR engages with them on strengthening</w:t>
      </w:r>
      <w:r w:rsidRPr="0064648B">
        <w:t xml:space="preserve"> their capacity </w:t>
      </w:r>
      <w:r>
        <w:t>with regard to</w:t>
      </w:r>
      <w:r w:rsidRPr="0064648B">
        <w:t xml:space="preserve"> the</w:t>
      </w:r>
      <w:r>
        <w:t>ir own</w:t>
      </w:r>
      <w:r w:rsidRPr="0064648B">
        <w:t xml:space="preserve"> safety</w:t>
      </w:r>
      <w:r>
        <w:t>. In addition, OHCHR works with j</w:t>
      </w:r>
      <w:r w:rsidRPr="0064648B">
        <w:t xml:space="preserve">ournalists, professional associations and relevant civil society </w:t>
      </w:r>
      <w:r>
        <w:t>actors to enhance</w:t>
      </w:r>
      <w:r w:rsidRPr="0064648B">
        <w:t xml:space="preserve"> </w:t>
      </w:r>
      <w:r>
        <w:t xml:space="preserve">their </w:t>
      </w:r>
      <w:r w:rsidRPr="0064648B">
        <w:t xml:space="preserve">capacity </w:t>
      </w:r>
      <w:r>
        <w:t>to engage</w:t>
      </w:r>
      <w:r w:rsidRPr="0064648B">
        <w:t xml:space="preserve"> with human rights mechanisms for</w:t>
      </w:r>
      <w:r>
        <w:t xml:space="preserve"> purposes of</w:t>
      </w:r>
      <w:r w:rsidRPr="0064648B">
        <w:t xml:space="preserve"> protection</w:t>
      </w:r>
      <w:r>
        <w:t xml:space="preserve">. That includes continuing to work on </w:t>
      </w:r>
      <w:r w:rsidRPr="0069340F">
        <w:t xml:space="preserve">providing access </w:t>
      </w:r>
      <w:r w:rsidRPr="00816955">
        <w:t>to updated global, regional and country data under indicator 16.10.1</w:t>
      </w:r>
      <w:r>
        <w:t xml:space="preserve"> of the Sustainable Development Goals for </w:t>
      </w:r>
      <w:r w:rsidRPr="0069340F">
        <w:t xml:space="preserve">civil society, journalists and the </w:t>
      </w:r>
      <w:r w:rsidRPr="00816955">
        <w:t xml:space="preserve">public, and providing technical assistance and support to strengthen national </w:t>
      </w:r>
      <w:r>
        <w:t xml:space="preserve">data </w:t>
      </w:r>
      <w:r w:rsidRPr="00816955">
        <w:t>collection under indicator</w:t>
      </w:r>
      <w:r>
        <w:t xml:space="preserve"> 16.10.1</w:t>
      </w:r>
      <w:r w:rsidRPr="00816955">
        <w:t>.</w:t>
      </w:r>
    </w:p>
    <w:p w14:paraId="553ED8E1" w14:textId="75209F00" w:rsidR="000242CC" w:rsidRDefault="000242CC" w:rsidP="000242CC">
      <w:pPr>
        <w:pStyle w:val="SingleTxtG"/>
      </w:pPr>
      <w:r>
        <w:t>55.</w:t>
      </w:r>
      <w:r>
        <w:tab/>
        <w:t xml:space="preserve">In </w:t>
      </w:r>
      <w:r w:rsidRPr="002B5410">
        <w:rPr>
          <w:rFonts w:eastAsia="Times New Roman"/>
          <w:color w:val="000000"/>
          <w:lang w:eastAsia="en-GB"/>
        </w:rPr>
        <w:t>August 2021</w:t>
      </w:r>
      <w:r>
        <w:rPr>
          <w:rFonts w:eastAsia="Times New Roman"/>
          <w:color w:val="000000"/>
          <w:lang w:eastAsia="en-GB"/>
        </w:rPr>
        <w:t>, for example</w:t>
      </w:r>
      <w:r w:rsidRPr="002B5410">
        <w:rPr>
          <w:rFonts w:eastAsia="Times New Roman"/>
          <w:color w:val="000000"/>
          <w:lang w:eastAsia="en-GB"/>
        </w:rPr>
        <w:t xml:space="preserve">, </w:t>
      </w:r>
      <w:r>
        <w:rPr>
          <w:rFonts w:eastAsia="Times New Roman"/>
          <w:color w:val="000000"/>
          <w:lang w:eastAsia="en-GB"/>
        </w:rPr>
        <w:t xml:space="preserve">the </w:t>
      </w:r>
      <w:r w:rsidRPr="002B5410">
        <w:rPr>
          <w:rFonts w:eastAsia="Times New Roman"/>
          <w:color w:val="000000"/>
          <w:lang w:eastAsia="en-GB"/>
        </w:rPr>
        <w:t>OHCHR</w:t>
      </w:r>
      <w:r>
        <w:rPr>
          <w:rFonts w:eastAsia="Times New Roman"/>
          <w:color w:val="000000"/>
          <w:lang w:eastAsia="en-GB"/>
        </w:rPr>
        <w:t xml:space="preserve"> presence in the</w:t>
      </w:r>
      <w:r w:rsidRPr="002B5410">
        <w:rPr>
          <w:rFonts w:eastAsia="Times New Roman"/>
          <w:color w:val="000000"/>
          <w:lang w:eastAsia="en-GB"/>
        </w:rPr>
        <w:t xml:space="preserve"> Sudan organi</w:t>
      </w:r>
      <w:r>
        <w:rPr>
          <w:rFonts w:eastAsia="Times New Roman"/>
          <w:color w:val="000000"/>
          <w:lang w:eastAsia="en-GB"/>
        </w:rPr>
        <w:t>zed</w:t>
      </w:r>
      <w:r w:rsidRPr="002B5410">
        <w:rPr>
          <w:rFonts w:eastAsia="Times New Roman"/>
          <w:color w:val="000000"/>
          <w:lang w:eastAsia="en-GB"/>
        </w:rPr>
        <w:t xml:space="preserve"> a regional </w:t>
      </w:r>
      <w:r w:rsidRPr="00DB47B2">
        <w:t>online</w:t>
      </w:r>
      <w:r w:rsidRPr="002B5410">
        <w:rPr>
          <w:rFonts w:eastAsia="Times New Roman"/>
          <w:color w:val="000000"/>
          <w:lang w:eastAsia="en-GB"/>
        </w:rPr>
        <w:t xml:space="preserve"> round</w:t>
      </w:r>
      <w:r>
        <w:rPr>
          <w:rFonts w:eastAsia="Times New Roman"/>
          <w:color w:val="000000"/>
          <w:lang w:eastAsia="en-GB"/>
        </w:rPr>
        <w:t xml:space="preserve"> </w:t>
      </w:r>
      <w:r w:rsidRPr="002B5410">
        <w:rPr>
          <w:rFonts w:eastAsia="Times New Roman"/>
          <w:color w:val="000000"/>
          <w:lang w:eastAsia="en-GB"/>
        </w:rPr>
        <w:t>table</w:t>
      </w:r>
      <w:r>
        <w:rPr>
          <w:rFonts w:eastAsia="Times New Roman"/>
          <w:color w:val="000000"/>
          <w:lang w:eastAsia="en-GB"/>
        </w:rPr>
        <w:t>,</w:t>
      </w:r>
      <w:r w:rsidRPr="002B5410">
        <w:rPr>
          <w:rFonts w:eastAsia="Times New Roman"/>
          <w:color w:val="000000"/>
          <w:lang w:eastAsia="en-GB"/>
        </w:rPr>
        <w:t xml:space="preserve"> </w:t>
      </w:r>
      <w:r>
        <w:rPr>
          <w:rFonts w:eastAsia="Times New Roman"/>
          <w:color w:val="000000"/>
          <w:lang w:eastAsia="en-GB"/>
        </w:rPr>
        <w:t>at</w:t>
      </w:r>
      <w:r w:rsidRPr="002B5410">
        <w:rPr>
          <w:rFonts w:eastAsia="Times New Roman"/>
          <w:color w:val="000000"/>
          <w:lang w:eastAsia="en-GB"/>
        </w:rPr>
        <w:t xml:space="preserve"> which experience was shared </w:t>
      </w:r>
      <w:r>
        <w:t xml:space="preserve">by representatives of the </w:t>
      </w:r>
      <w:r w:rsidRPr="002B5410">
        <w:rPr>
          <w:rFonts w:eastAsia="Times New Roman"/>
          <w:color w:val="000000"/>
          <w:lang w:eastAsia="en-GB"/>
        </w:rPr>
        <w:t>National Syndicate of Tunisian Journalists with Sudanese journalists representing key media bodies and platforms</w:t>
      </w:r>
      <w:r>
        <w:rPr>
          <w:rFonts w:eastAsia="Times New Roman"/>
          <w:color w:val="000000"/>
          <w:lang w:eastAsia="en-GB"/>
        </w:rPr>
        <w:t>,</w:t>
      </w:r>
      <w:r w:rsidRPr="002B5410">
        <w:rPr>
          <w:rFonts w:eastAsia="Times New Roman"/>
          <w:color w:val="000000"/>
          <w:lang w:eastAsia="en-GB"/>
        </w:rPr>
        <w:t xml:space="preserve"> including bloggers, unionists, academics and key journalists’ bodies and networks. As a direct outcome of the round</w:t>
      </w:r>
      <w:r>
        <w:rPr>
          <w:rFonts w:eastAsia="Times New Roman"/>
          <w:color w:val="000000"/>
          <w:lang w:eastAsia="en-GB"/>
        </w:rPr>
        <w:t xml:space="preserve"> </w:t>
      </w:r>
      <w:r w:rsidRPr="002B5410">
        <w:rPr>
          <w:rFonts w:eastAsia="Times New Roman"/>
          <w:color w:val="000000"/>
          <w:lang w:eastAsia="en-GB"/>
        </w:rPr>
        <w:t>table</w:t>
      </w:r>
      <w:r>
        <w:rPr>
          <w:rFonts w:eastAsia="Times New Roman"/>
          <w:color w:val="000000"/>
          <w:lang w:eastAsia="en-GB"/>
        </w:rPr>
        <w:t xml:space="preserve"> and an important step towards the protection of journalists in the country</w:t>
      </w:r>
      <w:r w:rsidRPr="002B5410">
        <w:rPr>
          <w:rFonts w:eastAsia="Times New Roman"/>
          <w:color w:val="000000"/>
          <w:lang w:eastAsia="en-GB"/>
        </w:rPr>
        <w:t>, three of the key press bodies that participated established a unified Sudanese Journalists Union, pending the adoption of a trade union law. In October 2021, OHCHR also started new capacity</w:t>
      </w:r>
      <w:r>
        <w:rPr>
          <w:rFonts w:eastAsia="Times New Roman"/>
          <w:color w:val="000000"/>
          <w:lang w:eastAsia="en-GB"/>
        </w:rPr>
        <w:t>-</w:t>
      </w:r>
      <w:r w:rsidRPr="002B5410">
        <w:rPr>
          <w:rFonts w:eastAsia="Times New Roman"/>
          <w:color w:val="000000"/>
          <w:lang w:eastAsia="en-GB"/>
        </w:rPr>
        <w:t xml:space="preserve">building activities for journalists in West Africa, including on human rights-based reporting by journalists and </w:t>
      </w:r>
      <w:r>
        <w:rPr>
          <w:rFonts w:eastAsia="Times New Roman"/>
          <w:color w:val="000000"/>
          <w:lang w:eastAsia="en-GB"/>
        </w:rPr>
        <w:t xml:space="preserve">their </w:t>
      </w:r>
      <w:r w:rsidRPr="002B5410">
        <w:rPr>
          <w:rFonts w:eastAsia="Times New Roman"/>
          <w:color w:val="000000"/>
          <w:lang w:eastAsia="en-GB"/>
        </w:rPr>
        <w:t>protection</w:t>
      </w:r>
      <w:r>
        <w:rPr>
          <w:rFonts w:eastAsia="Times New Roman"/>
          <w:color w:val="000000"/>
          <w:lang w:eastAsia="en-GB"/>
        </w:rPr>
        <w:t>.</w:t>
      </w:r>
      <w:r w:rsidRPr="002B5410">
        <w:rPr>
          <w:rFonts w:eastAsia="Times New Roman"/>
          <w:color w:val="000000"/>
          <w:lang w:eastAsia="en-GB"/>
        </w:rPr>
        <w:t xml:space="preserve"> </w:t>
      </w:r>
      <w:r>
        <w:rPr>
          <w:rFonts w:eastAsia="Times New Roman"/>
          <w:color w:val="000000"/>
          <w:lang w:eastAsia="en-GB"/>
        </w:rPr>
        <w:t>O</w:t>
      </w:r>
      <w:r w:rsidRPr="00E9040F">
        <w:rPr>
          <w:rFonts w:eastAsia="Times New Roman"/>
          <w:color w:val="000000"/>
          <w:lang w:eastAsia="en-GB"/>
        </w:rPr>
        <w:t>n 10 December 2021, on the occasion of International Human Rights Day</w:t>
      </w:r>
      <w:r>
        <w:rPr>
          <w:rFonts w:eastAsia="Times New Roman"/>
          <w:color w:val="000000"/>
          <w:lang w:eastAsia="en-GB"/>
        </w:rPr>
        <w:t>,</w:t>
      </w:r>
      <w:r w:rsidRPr="00E9040F">
        <w:rPr>
          <w:rFonts w:eastAsia="Times New Roman"/>
          <w:color w:val="000000"/>
          <w:lang w:eastAsia="en-GB"/>
        </w:rPr>
        <w:t xml:space="preserve"> </w:t>
      </w:r>
      <w:r>
        <w:rPr>
          <w:rFonts w:eastAsia="Times New Roman"/>
          <w:color w:val="000000"/>
          <w:lang w:eastAsia="en-GB"/>
        </w:rPr>
        <w:t xml:space="preserve">the </w:t>
      </w:r>
      <w:r w:rsidRPr="007A45BF">
        <w:t>OHCHR</w:t>
      </w:r>
      <w:r w:rsidR="00121C02">
        <w:t xml:space="preserve"> </w:t>
      </w:r>
      <w:r>
        <w:t xml:space="preserve">Regional </w:t>
      </w:r>
      <w:r w:rsidRPr="007A45BF">
        <w:t>Office for Europe</w:t>
      </w:r>
      <w:r w:rsidR="00121C02">
        <w:t xml:space="preserve"> </w:t>
      </w:r>
      <w:r>
        <w:t>hosted</w:t>
      </w:r>
      <w:r w:rsidRPr="007A45BF">
        <w:t xml:space="preserve"> a</w:t>
      </w:r>
      <w:r w:rsidR="00121C02">
        <w:t xml:space="preserve"> </w:t>
      </w:r>
      <w:r w:rsidRPr="007A45BF">
        <w:t>multi-stakeholder policy dialogue on</w:t>
      </w:r>
      <w:r w:rsidR="00121C02">
        <w:t xml:space="preserve"> </w:t>
      </w:r>
      <w:r w:rsidRPr="007A45BF">
        <w:t>how better to protect journalists from threats and attacks, strengthen media freedom and pluralism</w:t>
      </w:r>
      <w:r>
        <w:t>,</w:t>
      </w:r>
      <w:r w:rsidRPr="007A45BF">
        <w:t xml:space="preserve"> and address challenges facing traditional media in the digital information ecosystem in the European Union</w:t>
      </w:r>
      <w:r w:rsidRPr="00D53F77">
        <w:t>.</w:t>
      </w:r>
      <w:r w:rsidRPr="00A37AAA">
        <w:rPr>
          <w:rStyle w:val="FootnoteReference"/>
        </w:rPr>
        <w:footnoteReference w:id="91"/>
      </w:r>
      <w:r w:rsidRPr="00D53F77">
        <w:t xml:space="preserve"> </w:t>
      </w:r>
    </w:p>
    <w:p w14:paraId="67130C7F" w14:textId="50F8A6A7" w:rsidR="000242CC" w:rsidRDefault="000242CC" w:rsidP="000242CC">
      <w:pPr>
        <w:pStyle w:val="SingleTxtG"/>
      </w:pPr>
      <w:r>
        <w:t>56.</w:t>
      </w:r>
      <w:r>
        <w:tab/>
      </w:r>
      <w:r w:rsidRPr="00E9040F">
        <w:t>OHCHR also monitored emblematic cases related to the safety of journalists in several countries.</w:t>
      </w:r>
      <w:r w:rsidRPr="00A37AAA">
        <w:rPr>
          <w:rStyle w:val="FootnoteReference"/>
        </w:rPr>
        <w:footnoteReference w:id="92"/>
      </w:r>
      <w:r w:rsidRPr="00E9040F">
        <w:t xml:space="preserve"> </w:t>
      </w:r>
      <w:r>
        <w:t>For instance, i</w:t>
      </w:r>
      <w:r w:rsidRPr="008A6C3A">
        <w:t xml:space="preserve">n February 2021, </w:t>
      </w:r>
      <w:r>
        <w:t>the United Nations Assistance Mission in Afghanistan (</w:t>
      </w:r>
      <w:r w:rsidRPr="008A6C3A">
        <w:t>UNAMA</w:t>
      </w:r>
      <w:r>
        <w:t>)</w:t>
      </w:r>
      <w:r w:rsidRPr="008A6C3A">
        <w:t xml:space="preserve"> issued a special report on the killing of human rights defenders, journalists and media workers </w:t>
      </w:r>
      <w:r>
        <w:t>in the period from</w:t>
      </w:r>
      <w:r w:rsidRPr="008A6C3A">
        <w:t xml:space="preserve"> 1 January 2018 to 31 January 2021</w:t>
      </w:r>
      <w:r>
        <w:t>. The report</w:t>
      </w:r>
      <w:r w:rsidRPr="008A6C3A">
        <w:t xml:space="preserve"> not</w:t>
      </w:r>
      <w:r>
        <w:t>ed</w:t>
      </w:r>
      <w:r w:rsidRPr="008A6C3A">
        <w:t xml:space="preserve"> a shift towards intentional, premeditated and deliberate targeting of individuals</w:t>
      </w:r>
      <w:r>
        <w:t>,</w:t>
      </w:r>
      <w:r w:rsidRPr="008A6C3A">
        <w:t xml:space="preserve"> especially following the start of the Afghanistan peace neg</w:t>
      </w:r>
      <w:r>
        <w:t xml:space="preserve">otiations on 12 September 2020, </w:t>
      </w:r>
      <w:r w:rsidRPr="008A6C3A">
        <w:t xml:space="preserve">after which </w:t>
      </w:r>
      <w:r>
        <w:t xml:space="preserve">11 </w:t>
      </w:r>
      <w:r w:rsidRPr="008A6C3A">
        <w:t xml:space="preserve">human rights defenders and media workers </w:t>
      </w:r>
      <w:r>
        <w:t>were killed in targeted attacks.</w:t>
      </w:r>
      <w:r w:rsidRPr="00A37AAA">
        <w:rPr>
          <w:rStyle w:val="FootnoteReference"/>
        </w:rPr>
        <w:footnoteReference w:id="93"/>
      </w:r>
    </w:p>
    <w:p w14:paraId="60D35F64" w14:textId="77777777" w:rsidR="000242CC" w:rsidRDefault="000242CC" w:rsidP="000242CC">
      <w:pPr>
        <w:pStyle w:val="SingleTxtG"/>
      </w:pPr>
      <w:r>
        <w:t>57.</w:t>
      </w:r>
      <w:r>
        <w:tab/>
      </w:r>
      <w:r w:rsidRPr="00521187">
        <w:t>National human rights institutions and civil society play an indispensable role in addressing impunity. OHCHR activi</w:t>
      </w:r>
      <w:r>
        <w:t xml:space="preserve">ties aim to enhance their capacity </w:t>
      </w:r>
      <w:r w:rsidRPr="0064648B">
        <w:t>at</w:t>
      </w:r>
      <w:r>
        <w:t xml:space="preserve"> the</w:t>
      </w:r>
      <w:r w:rsidRPr="0064648B">
        <w:t xml:space="preserve"> national level to monitor and report on attacks </w:t>
      </w:r>
      <w:r>
        <w:t>on</w:t>
      </w:r>
      <w:r w:rsidRPr="0064648B">
        <w:t xml:space="preserve"> journalists, with </w:t>
      </w:r>
      <w:r>
        <w:t xml:space="preserve">particular </w:t>
      </w:r>
      <w:r w:rsidRPr="0064648B">
        <w:t xml:space="preserve">attention </w:t>
      </w:r>
      <w:r>
        <w:t xml:space="preserve">paid </w:t>
      </w:r>
      <w:r w:rsidRPr="0064648B">
        <w:t xml:space="preserve">to attacks </w:t>
      </w:r>
      <w:r>
        <w:t>on</w:t>
      </w:r>
      <w:r w:rsidRPr="0064648B">
        <w:t xml:space="preserve"> </w:t>
      </w:r>
      <w:r w:rsidRPr="0064648B">
        <w:lastRenderedPageBreak/>
        <w:t>women journalists.</w:t>
      </w:r>
      <w:r w:rsidRPr="0069340F">
        <w:t xml:space="preserve"> </w:t>
      </w:r>
      <w:r>
        <w:t xml:space="preserve">In that context, </w:t>
      </w:r>
      <w:r w:rsidRPr="003C0933">
        <w:t xml:space="preserve">OHCHR and UNESCO </w:t>
      </w:r>
      <w:r>
        <w:t xml:space="preserve">have </w:t>
      </w:r>
      <w:r w:rsidRPr="003C0933">
        <w:t xml:space="preserve">continued </w:t>
      </w:r>
      <w:r>
        <w:t>to provide</w:t>
      </w:r>
      <w:r w:rsidRPr="003C0933">
        <w:t xml:space="preserve"> support to the monitoring unit</w:t>
      </w:r>
      <w:r>
        <w:t xml:space="preserve"> of</w:t>
      </w:r>
      <w:r w:rsidRPr="003C0933">
        <w:t xml:space="preserve"> </w:t>
      </w:r>
      <w:r w:rsidRPr="00EF0DE0">
        <w:t>the National Syndicate of Tunisian Journalists</w:t>
      </w:r>
      <w:r>
        <w:t xml:space="preserve"> and to </w:t>
      </w:r>
      <w:r w:rsidRPr="003C0933">
        <w:t>develop</w:t>
      </w:r>
      <w:r>
        <w:t>ing</w:t>
      </w:r>
      <w:r w:rsidRPr="003C0933">
        <w:t xml:space="preserve"> a national database on cases of violations of the safety of journalists</w:t>
      </w:r>
      <w:r>
        <w:t>,</w:t>
      </w:r>
      <w:r w:rsidRPr="003C0933">
        <w:t xml:space="preserve"> based on quantitative and qualitative indicators</w:t>
      </w:r>
      <w:r>
        <w:t>.</w:t>
      </w:r>
      <w:r w:rsidRPr="00A37AAA">
        <w:rPr>
          <w:rStyle w:val="FootnoteReference"/>
        </w:rPr>
        <w:footnoteReference w:id="94"/>
      </w:r>
      <w:r>
        <w:t xml:space="preserve"> </w:t>
      </w:r>
    </w:p>
    <w:p w14:paraId="27FF77D1" w14:textId="6E1E25BD" w:rsidR="000242CC" w:rsidRDefault="000242CC" w:rsidP="000242CC">
      <w:pPr>
        <w:pStyle w:val="SingleTxtG"/>
      </w:pPr>
      <w:r>
        <w:t>58.</w:t>
      </w:r>
      <w:r>
        <w:tab/>
        <w:t xml:space="preserve">National approaches to protecting journalists should involve human rights education of the wider public. OHCHR engages with States, civil society and journalists to enhance </w:t>
      </w:r>
      <w:r w:rsidRPr="00E627D8">
        <w:t>public knowledge o</w:t>
      </w:r>
      <w:r>
        <w:t>f</w:t>
      </w:r>
      <w:r w:rsidRPr="00E627D8">
        <w:t xml:space="preserve"> the value of access to verified information and the safety of journalists</w:t>
      </w:r>
      <w:r>
        <w:t>. For instance, i</w:t>
      </w:r>
      <w:r w:rsidRPr="006655B8">
        <w:t>n September 2021,</w:t>
      </w:r>
      <w:r>
        <w:t xml:space="preserve"> </w:t>
      </w:r>
      <w:r w:rsidRPr="006655B8">
        <w:t>in partnership with the African Union through the Youth for Peace (</w:t>
      </w:r>
      <w:r>
        <w:t xml:space="preserve">Y4P) </w:t>
      </w:r>
      <w:r w:rsidRPr="006655B8">
        <w:t>Africa Program</w:t>
      </w:r>
      <w:r>
        <w:t>me</w:t>
      </w:r>
      <w:r w:rsidRPr="006655B8">
        <w:t xml:space="preserve">, </w:t>
      </w:r>
      <w:r>
        <w:t xml:space="preserve">the </w:t>
      </w:r>
      <w:r w:rsidRPr="006655B8">
        <w:t>OHCHR East Africa regional office launched a youth-focused online campaign</w:t>
      </w:r>
      <w:r>
        <w:t xml:space="preserve"> in Zanzibar aimed at </w:t>
      </w:r>
      <w:r w:rsidRPr="006655B8">
        <w:t>strengthen</w:t>
      </w:r>
      <w:r>
        <w:t>ing</w:t>
      </w:r>
      <w:r w:rsidRPr="006655B8">
        <w:t xml:space="preserve"> the capacity of young social media influencers </w:t>
      </w:r>
      <w:r>
        <w:t>to</w:t>
      </w:r>
      <w:r w:rsidRPr="006655B8">
        <w:t xml:space="preserve"> promot</w:t>
      </w:r>
      <w:r>
        <w:t>e</w:t>
      </w:r>
      <w:r w:rsidRPr="006655B8">
        <w:t xml:space="preserve"> human rights on their social media platforms and in their communities and counter hate speech.</w:t>
      </w:r>
      <w:r>
        <w:t xml:space="preserve"> </w:t>
      </w:r>
      <w:r w:rsidRPr="003C61B0">
        <w:t xml:space="preserve">OHCHR </w:t>
      </w:r>
      <w:r>
        <w:t>also</w:t>
      </w:r>
      <w:r w:rsidRPr="003C61B0">
        <w:t xml:space="preserve"> engages with journalists to strengthen their understanding o</w:t>
      </w:r>
      <w:r>
        <w:t>f</w:t>
      </w:r>
      <w:r w:rsidRPr="003C61B0">
        <w:t xml:space="preserve"> reporting on freedom of expression, media freedom</w:t>
      </w:r>
      <w:r>
        <w:t>,</w:t>
      </w:r>
      <w:r w:rsidRPr="003C61B0">
        <w:t xml:space="preserve"> </w:t>
      </w:r>
      <w:r>
        <w:t xml:space="preserve">the </w:t>
      </w:r>
      <w:r w:rsidRPr="003C61B0">
        <w:t xml:space="preserve">safety of journalists and other human rights issues, including from a gender perspective and </w:t>
      </w:r>
      <w:r>
        <w:t>i</w:t>
      </w:r>
      <w:r w:rsidRPr="003C61B0">
        <w:t>n specific situations and context</w:t>
      </w:r>
      <w:r>
        <w:t>s,</w:t>
      </w:r>
      <w:r w:rsidRPr="003C61B0">
        <w:t xml:space="preserve"> such as elections, protests and armed conflict.</w:t>
      </w:r>
      <w:r>
        <w:t xml:space="preserve"> I</w:t>
      </w:r>
      <w:r w:rsidRPr="003C61B0">
        <w:rPr>
          <w:lang w:bidi="ar-LB"/>
        </w:rPr>
        <w:t xml:space="preserve">n July 2020, </w:t>
      </w:r>
      <w:r>
        <w:rPr>
          <w:lang w:bidi="ar-LB"/>
        </w:rPr>
        <w:t xml:space="preserve">for example, </w:t>
      </w:r>
      <w:r w:rsidRPr="003C61B0">
        <w:rPr>
          <w:lang w:bidi="ar-LB"/>
        </w:rPr>
        <w:t xml:space="preserve">the technical cooperation programme </w:t>
      </w:r>
      <w:r>
        <w:rPr>
          <w:lang w:bidi="ar-LB"/>
        </w:rPr>
        <w:t xml:space="preserve">organized </w:t>
      </w:r>
      <w:r w:rsidRPr="003C61B0">
        <w:rPr>
          <w:lang w:bidi="ar-LB"/>
        </w:rPr>
        <w:t xml:space="preserve">between OHCHR and the Saudi Human Rights Commission </w:t>
      </w:r>
      <w:r>
        <w:rPr>
          <w:lang w:bidi="ar-LB"/>
        </w:rPr>
        <w:t xml:space="preserve">held </w:t>
      </w:r>
      <w:r w:rsidRPr="003C61B0">
        <w:rPr>
          <w:lang w:bidi="ar-LB"/>
        </w:rPr>
        <w:t xml:space="preserve">a two-day </w:t>
      </w:r>
      <w:r w:rsidRPr="002B5410">
        <w:rPr>
          <w:bCs/>
          <w:lang w:bidi="ar-LB"/>
        </w:rPr>
        <w:t xml:space="preserve">workshop for Saudi journalists on </w:t>
      </w:r>
      <w:r>
        <w:rPr>
          <w:bCs/>
          <w:lang w:bidi="ar-LB"/>
        </w:rPr>
        <w:t xml:space="preserve">the theme of </w:t>
      </w:r>
      <w:r w:rsidRPr="002B5410">
        <w:rPr>
          <w:bCs/>
          <w:lang w:bidi="ar-LB"/>
        </w:rPr>
        <w:t>“The human rights</w:t>
      </w:r>
      <w:r>
        <w:rPr>
          <w:bCs/>
          <w:lang w:bidi="ar-LB"/>
        </w:rPr>
        <w:t>-</w:t>
      </w:r>
      <w:r w:rsidRPr="002B5410">
        <w:rPr>
          <w:bCs/>
          <w:lang w:bidi="ar-LB"/>
        </w:rPr>
        <w:t>based approach and journalism</w:t>
      </w:r>
      <w:r w:rsidRPr="003C61B0">
        <w:rPr>
          <w:lang w:bidi="ar-LB"/>
        </w:rPr>
        <w:t>”.</w:t>
      </w:r>
    </w:p>
    <w:p w14:paraId="0EA44367" w14:textId="77777777" w:rsidR="000242CC" w:rsidRPr="009E25E9" w:rsidRDefault="000242CC" w:rsidP="00CD2BB2">
      <w:pPr>
        <w:pStyle w:val="H1G"/>
        <w:rPr>
          <w:lang w:bidi="ar-LB"/>
        </w:rPr>
      </w:pPr>
      <w:r>
        <w:rPr>
          <w:lang w:bidi="ar-LB"/>
        </w:rPr>
        <w:tab/>
      </w:r>
      <w:r>
        <w:rPr>
          <w:lang w:bidi="ar-LB"/>
        </w:rPr>
        <w:tab/>
      </w:r>
      <w:r w:rsidRPr="009E25E9">
        <w:rPr>
          <w:lang w:bidi="ar-LB"/>
        </w:rPr>
        <w:t>A gender perspective to protect female journalists</w:t>
      </w:r>
    </w:p>
    <w:p w14:paraId="4EBA7BEB" w14:textId="159AB208" w:rsidR="000242CC" w:rsidRDefault="000242CC" w:rsidP="000242CC">
      <w:pPr>
        <w:pStyle w:val="SingleTxtG"/>
        <w:rPr>
          <w:lang w:bidi="ar-LB"/>
        </w:rPr>
      </w:pPr>
      <w:r>
        <w:rPr>
          <w:lang w:bidi="ar-LB"/>
        </w:rPr>
        <w:t>59.</w:t>
      </w:r>
      <w:r>
        <w:rPr>
          <w:lang w:bidi="ar-LB"/>
        </w:rPr>
        <w:tab/>
      </w:r>
      <w:r w:rsidRPr="001D63D2">
        <w:rPr>
          <w:lang w:bidi="ar-LB"/>
        </w:rPr>
        <w:t xml:space="preserve">In </w:t>
      </w:r>
      <w:r w:rsidRPr="001D63D2">
        <w:t>the</w:t>
      </w:r>
      <w:r w:rsidRPr="001D63D2">
        <w:rPr>
          <w:lang w:bidi="ar-LB"/>
        </w:rPr>
        <w:t xml:space="preserve"> implementation of the U</w:t>
      </w:r>
      <w:r>
        <w:rPr>
          <w:lang w:bidi="ar-LB"/>
        </w:rPr>
        <w:t xml:space="preserve">nited </w:t>
      </w:r>
      <w:r w:rsidRPr="001D63D2">
        <w:rPr>
          <w:lang w:bidi="ar-LB"/>
        </w:rPr>
        <w:t>N</w:t>
      </w:r>
      <w:r>
        <w:rPr>
          <w:lang w:bidi="ar-LB"/>
        </w:rPr>
        <w:t>ations</w:t>
      </w:r>
      <w:r w:rsidRPr="001D63D2">
        <w:rPr>
          <w:lang w:bidi="ar-LB"/>
        </w:rPr>
        <w:t xml:space="preserve"> Plan of Action on the safety of journalists and the issue of impunity, OHCHR</w:t>
      </w:r>
      <w:r>
        <w:rPr>
          <w:lang w:bidi="ar-LB"/>
        </w:rPr>
        <w:t xml:space="preserve"> and UNESCO have </w:t>
      </w:r>
      <w:r w:rsidRPr="001D63D2">
        <w:rPr>
          <w:lang w:bidi="ar-LB"/>
        </w:rPr>
        <w:t>specific</w:t>
      </w:r>
      <w:r>
        <w:rPr>
          <w:lang w:bidi="ar-LB"/>
        </w:rPr>
        <w:t>ally</w:t>
      </w:r>
      <w:r w:rsidRPr="001D63D2">
        <w:rPr>
          <w:lang w:bidi="ar-LB"/>
        </w:rPr>
        <w:t xml:space="preserve"> focus</w:t>
      </w:r>
      <w:r>
        <w:rPr>
          <w:lang w:bidi="ar-LB"/>
        </w:rPr>
        <w:t xml:space="preserve">ed on activities </w:t>
      </w:r>
      <w:r w:rsidRPr="001D63D2">
        <w:rPr>
          <w:lang w:bidi="ar-LB"/>
        </w:rPr>
        <w:t xml:space="preserve">promoting the safety of </w:t>
      </w:r>
      <w:r>
        <w:rPr>
          <w:lang w:bidi="ar-LB"/>
        </w:rPr>
        <w:t>female</w:t>
      </w:r>
      <w:r w:rsidRPr="001D63D2">
        <w:rPr>
          <w:lang w:bidi="ar-LB"/>
        </w:rPr>
        <w:t xml:space="preserve"> journalists. The Plan of Action recogni</w:t>
      </w:r>
      <w:r>
        <w:rPr>
          <w:lang w:bidi="ar-LB"/>
        </w:rPr>
        <w:t>z</w:t>
      </w:r>
      <w:r w:rsidRPr="001D63D2">
        <w:rPr>
          <w:lang w:bidi="ar-LB"/>
        </w:rPr>
        <w:t>es that female journalists face increasing dangers, highlighting the need for a gender-sensitive approach. In carrying out their professional duties, they often risk sexual assault, in the form of targeted sexual violation</w:t>
      </w:r>
      <w:r>
        <w:rPr>
          <w:lang w:bidi="ar-LB"/>
        </w:rPr>
        <w:t>s</w:t>
      </w:r>
      <w:r w:rsidRPr="001D63D2">
        <w:rPr>
          <w:lang w:bidi="ar-LB"/>
        </w:rPr>
        <w:t xml:space="preserve">, often in reprisal for their work; mob-related sexual violence aimed </w:t>
      </w:r>
      <w:r>
        <w:rPr>
          <w:lang w:bidi="ar-LB"/>
        </w:rPr>
        <w:t>at</w:t>
      </w:r>
      <w:r w:rsidRPr="001D63D2">
        <w:rPr>
          <w:lang w:bidi="ar-LB"/>
        </w:rPr>
        <w:t xml:space="preserve"> journalists covering public events; or the sexual abuse of journalists in detention or captivity</w:t>
      </w:r>
      <w:r>
        <w:rPr>
          <w:lang w:bidi="ar-LB"/>
        </w:rPr>
        <w:t>.</w:t>
      </w:r>
      <w:r w:rsidRPr="00A37AAA">
        <w:rPr>
          <w:rStyle w:val="FootnoteReference"/>
        </w:rPr>
        <w:footnoteReference w:id="95"/>
      </w:r>
    </w:p>
    <w:p w14:paraId="6330B45F" w14:textId="77777777" w:rsidR="000242CC" w:rsidRDefault="000242CC" w:rsidP="000242CC">
      <w:pPr>
        <w:pStyle w:val="SingleTxtG"/>
        <w:rPr>
          <w:lang w:bidi="ar-LB"/>
        </w:rPr>
      </w:pPr>
      <w:r>
        <w:rPr>
          <w:lang w:bidi="ar-LB"/>
        </w:rPr>
        <w:t>60.</w:t>
      </w:r>
      <w:r>
        <w:rPr>
          <w:lang w:bidi="ar-LB"/>
        </w:rPr>
        <w:tab/>
      </w:r>
      <w:r w:rsidRPr="002D2C0D">
        <w:t xml:space="preserve">The COVID-19 pandemic </w:t>
      </w:r>
      <w:r>
        <w:t xml:space="preserve">has </w:t>
      </w:r>
      <w:r w:rsidRPr="002D2C0D">
        <w:t xml:space="preserve">changed </w:t>
      </w:r>
      <w:r>
        <w:t>the</w:t>
      </w:r>
      <w:r w:rsidRPr="002D2C0D">
        <w:t xml:space="preserve"> working conditions</w:t>
      </w:r>
      <w:r>
        <w:t xml:space="preserve"> of </w:t>
      </w:r>
      <w:r w:rsidRPr="002D2C0D">
        <w:t>journalist</w:t>
      </w:r>
      <w:r>
        <w:t>s</w:t>
      </w:r>
      <w:r w:rsidRPr="002D2C0D">
        <w:t xml:space="preserve">, making them more dependent on digital communications services and social media channels. Consequently, women journalists </w:t>
      </w:r>
      <w:r>
        <w:t xml:space="preserve">have </w:t>
      </w:r>
      <w:r w:rsidRPr="002D2C0D">
        <w:t>bec</w:t>
      </w:r>
      <w:r>
        <w:t>ome</w:t>
      </w:r>
      <w:r w:rsidRPr="002D2C0D">
        <w:t xml:space="preserve"> more exposed to online attacks, including misogynistic abuse, intimidation and defamation</w:t>
      </w:r>
      <w:r w:rsidRPr="000D7F8D">
        <w:t xml:space="preserve"> campaigns</w:t>
      </w:r>
      <w:r>
        <w:t xml:space="preserve">, threats of sexual assault </w:t>
      </w:r>
      <w:r w:rsidRPr="000D7F8D">
        <w:t>and exposure of personal data</w:t>
      </w:r>
      <w:r w:rsidRPr="00E6334C">
        <w:t>.</w:t>
      </w:r>
      <w:r w:rsidRPr="00A37AAA">
        <w:rPr>
          <w:rStyle w:val="FootnoteReference"/>
        </w:rPr>
        <w:footnoteReference w:id="96"/>
      </w:r>
      <w:r>
        <w:t xml:space="preserve"> </w:t>
      </w:r>
      <w:r w:rsidRPr="00E6334C">
        <w:t xml:space="preserve">There </w:t>
      </w:r>
      <w:r>
        <w:t>are worrying</w:t>
      </w:r>
      <w:r w:rsidRPr="00E6334C">
        <w:t xml:space="preserve"> </w:t>
      </w:r>
      <w:r>
        <w:t>reports</w:t>
      </w:r>
      <w:r w:rsidRPr="00E6334C">
        <w:t xml:space="preserve"> of a link between online and offline attacks </w:t>
      </w:r>
      <w:r>
        <w:t>on</w:t>
      </w:r>
      <w:r w:rsidRPr="00E6334C">
        <w:t xml:space="preserve"> women journalists. </w:t>
      </w:r>
      <w:r>
        <w:rPr>
          <w:lang w:bidi="ar-LB"/>
        </w:rPr>
        <w:t>A global survey released in 2021 by UNESCO and the International Centre for Journalists found that 73 per cent of female journalists had</w:t>
      </w:r>
      <w:r w:rsidRPr="00D13837">
        <w:t xml:space="preserve"> </w:t>
      </w:r>
      <w:r>
        <w:rPr>
          <w:lang w:bidi="ar-LB"/>
        </w:rPr>
        <w:t>experienced online gender-based violence, with black and indigenous women targeted most often.</w:t>
      </w:r>
      <w:r w:rsidRPr="00A37AAA">
        <w:rPr>
          <w:rStyle w:val="FootnoteReference"/>
        </w:rPr>
        <w:footnoteReference w:id="97"/>
      </w:r>
    </w:p>
    <w:p w14:paraId="5E847DB9" w14:textId="6AACA5CF" w:rsidR="000242CC" w:rsidRDefault="000242CC" w:rsidP="000242CC">
      <w:pPr>
        <w:pStyle w:val="SingleTxtG"/>
        <w:rPr>
          <w:lang w:bidi="ar-LB"/>
        </w:rPr>
      </w:pPr>
      <w:r>
        <w:rPr>
          <w:lang w:bidi="ar-LB"/>
        </w:rPr>
        <w:t>61.</w:t>
      </w:r>
      <w:r>
        <w:rPr>
          <w:lang w:bidi="ar-LB"/>
        </w:rPr>
        <w:tab/>
      </w:r>
      <w:r w:rsidRPr="00484127">
        <w:rPr>
          <w:lang w:bidi="ar-LB"/>
        </w:rPr>
        <w:t>OHCHR</w:t>
      </w:r>
      <w:r>
        <w:rPr>
          <w:lang w:bidi="ar-LB"/>
        </w:rPr>
        <w:t xml:space="preserve"> capacity development activities include</w:t>
      </w:r>
      <w:r w:rsidRPr="00484127">
        <w:rPr>
          <w:lang w:bidi="ar-LB"/>
        </w:rPr>
        <w:t xml:space="preserve"> </w:t>
      </w:r>
      <w:r>
        <w:rPr>
          <w:lang w:bidi="ar-LB"/>
        </w:rPr>
        <w:t xml:space="preserve">strengthening the </w:t>
      </w:r>
      <w:r w:rsidRPr="00484127">
        <w:rPr>
          <w:lang w:bidi="ar-LB"/>
        </w:rPr>
        <w:t xml:space="preserve">capacity </w:t>
      </w:r>
      <w:r>
        <w:rPr>
          <w:lang w:bidi="ar-LB"/>
        </w:rPr>
        <w:t>of women journalists to</w:t>
      </w:r>
      <w:r w:rsidRPr="00484127">
        <w:rPr>
          <w:lang w:bidi="ar-LB"/>
        </w:rPr>
        <w:t xml:space="preserve"> </w:t>
      </w:r>
      <w:r>
        <w:rPr>
          <w:lang w:bidi="ar-LB"/>
        </w:rPr>
        <w:t xml:space="preserve">improve </w:t>
      </w:r>
      <w:r w:rsidRPr="00484127">
        <w:rPr>
          <w:lang w:bidi="ar-LB"/>
        </w:rPr>
        <w:t xml:space="preserve">their </w:t>
      </w:r>
      <w:r>
        <w:rPr>
          <w:lang w:bidi="ar-LB"/>
        </w:rPr>
        <w:t xml:space="preserve">security. </w:t>
      </w:r>
      <w:r w:rsidRPr="00484127">
        <w:rPr>
          <w:lang w:bidi="ar-LB"/>
        </w:rPr>
        <w:t xml:space="preserve">From December 2020 to September 2021, OHCHR, </w:t>
      </w:r>
      <w:r>
        <w:rPr>
          <w:lang w:bidi="ar-LB"/>
        </w:rPr>
        <w:t xml:space="preserve">the </w:t>
      </w:r>
      <w:r w:rsidRPr="002C5F98">
        <w:rPr>
          <w:lang w:bidi="ar-LB"/>
        </w:rPr>
        <w:t>United Nations Entity for Gender Equality and the Empowerment of Women</w:t>
      </w:r>
      <w:r w:rsidRPr="00484127">
        <w:rPr>
          <w:lang w:bidi="ar-LB"/>
        </w:rPr>
        <w:t xml:space="preserve"> and UNESCO organi</w:t>
      </w:r>
      <w:r>
        <w:rPr>
          <w:lang w:bidi="ar-LB"/>
        </w:rPr>
        <w:t>z</w:t>
      </w:r>
      <w:r w:rsidRPr="00484127">
        <w:rPr>
          <w:lang w:bidi="ar-LB"/>
        </w:rPr>
        <w:t>ed a 12-session training series entitled “Enhance protection of women journalists and advance women’s human rights in the context of shrinking democratic space in Asia”.</w:t>
      </w:r>
      <w:r>
        <w:rPr>
          <w:lang w:bidi="ar-LB"/>
        </w:rPr>
        <w:t xml:space="preserve"> In 2021, </w:t>
      </w:r>
      <w:r w:rsidRPr="00D13837">
        <w:rPr>
          <w:lang w:bidi="ar-LB"/>
        </w:rPr>
        <w:t>UNESCO</w:t>
      </w:r>
      <w:r>
        <w:rPr>
          <w:lang w:bidi="ar-LB"/>
        </w:rPr>
        <w:t xml:space="preserve"> and a number of civil society organizations jointly </w:t>
      </w:r>
      <w:r w:rsidRPr="00D13837">
        <w:rPr>
          <w:lang w:bidi="ar-LB"/>
        </w:rPr>
        <w:t xml:space="preserve">launched two practical </w:t>
      </w:r>
      <w:r>
        <w:rPr>
          <w:lang w:bidi="ar-LB"/>
        </w:rPr>
        <w:t xml:space="preserve">sets of </w:t>
      </w:r>
      <w:r w:rsidRPr="00D13837">
        <w:rPr>
          <w:lang w:bidi="ar-LB"/>
        </w:rPr>
        <w:t>guidelines aim</w:t>
      </w:r>
      <w:r>
        <w:rPr>
          <w:lang w:bidi="ar-LB"/>
        </w:rPr>
        <w:t>ed at</w:t>
      </w:r>
      <w:r w:rsidRPr="00D13837">
        <w:rPr>
          <w:lang w:bidi="ar-LB"/>
        </w:rPr>
        <w:t xml:space="preserve"> inform</w:t>
      </w:r>
      <w:r>
        <w:rPr>
          <w:lang w:bidi="ar-LB"/>
        </w:rPr>
        <w:t>ing</w:t>
      </w:r>
      <w:r w:rsidRPr="00D13837">
        <w:rPr>
          <w:lang w:bidi="ar-LB"/>
        </w:rPr>
        <w:t xml:space="preserve"> both newsrooms and </w:t>
      </w:r>
      <w:r>
        <w:rPr>
          <w:lang w:bidi="ar-LB"/>
        </w:rPr>
        <w:t>female</w:t>
      </w:r>
      <w:r w:rsidRPr="00D13837">
        <w:rPr>
          <w:lang w:bidi="ar-LB"/>
        </w:rPr>
        <w:t xml:space="preserve"> journalists about techniques and tools to prevent and respond to violence.</w:t>
      </w:r>
      <w:r w:rsidRPr="00A37AAA">
        <w:rPr>
          <w:rStyle w:val="FootnoteReference"/>
        </w:rPr>
        <w:footnoteReference w:id="98"/>
      </w:r>
    </w:p>
    <w:p w14:paraId="1BD7FA8D" w14:textId="7C61EC48" w:rsidR="000242CC" w:rsidRPr="00D3214D" w:rsidRDefault="000242CC" w:rsidP="000242CC">
      <w:pPr>
        <w:pStyle w:val="HChG"/>
      </w:pPr>
      <w:bookmarkStart w:id="18" w:name="_Toc89868941"/>
      <w:r>
        <w:lastRenderedPageBreak/>
        <w:tab/>
        <w:t>V.</w:t>
      </w:r>
      <w:r>
        <w:tab/>
      </w:r>
      <w:r w:rsidRPr="00D3214D">
        <w:t>Conclusions and recommendations</w:t>
      </w:r>
      <w:bookmarkEnd w:id="18"/>
    </w:p>
    <w:p w14:paraId="47B3AC9E" w14:textId="77777777" w:rsidR="000242CC" w:rsidRPr="00D160E7" w:rsidRDefault="000242CC" w:rsidP="000242CC">
      <w:pPr>
        <w:pStyle w:val="SingleTxtG"/>
        <w:rPr>
          <w:b/>
        </w:rPr>
      </w:pPr>
      <w:r>
        <w:t>62.</w:t>
      </w:r>
      <w:r>
        <w:tab/>
      </w:r>
      <w:r w:rsidRPr="00D160E7">
        <w:rPr>
          <w:b/>
        </w:rPr>
        <w:t xml:space="preserve">The COVID-19 pandemic has presented States with unprecedented challenges in many areas. </w:t>
      </w:r>
      <w:r>
        <w:rPr>
          <w:b/>
        </w:rPr>
        <w:t>Imposing u</w:t>
      </w:r>
      <w:r w:rsidRPr="00D160E7">
        <w:rPr>
          <w:b/>
        </w:rPr>
        <w:t>ndue restrictions on the right to freedom of expression as a response not only violate</w:t>
      </w:r>
      <w:r>
        <w:rPr>
          <w:b/>
        </w:rPr>
        <w:t>s</w:t>
      </w:r>
      <w:r w:rsidRPr="00D160E7">
        <w:rPr>
          <w:b/>
        </w:rPr>
        <w:t xml:space="preserve"> international human rights law, but also risk</w:t>
      </w:r>
      <w:r>
        <w:rPr>
          <w:b/>
        </w:rPr>
        <w:t>s</w:t>
      </w:r>
      <w:r w:rsidRPr="00D160E7">
        <w:rPr>
          <w:b/>
        </w:rPr>
        <w:t xml:space="preserve"> increasing distrust among the public and </w:t>
      </w:r>
      <w:r>
        <w:rPr>
          <w:b/>
        </w:rPr>
        <w:t>is</w:t>
      </w:r>
      <w:r w:rsidRPr="00D160E7">
        <w:rPr>
          <w:b/>
        </w:rPr>
        <w:t xml:space="preserve"> counterproductive in practice and outcomes. In some instances, journalists have been targeted for expressing critical views and disseminating information that contributes to hold</w:t>
      </w:r>
      <w:r>
        <w:rPr>
          <w:b/>
        </w:rPr>
        <w:t>ing</w:t>
      </w:r>
      <w:r w:rsidRPr="00D160E7">
        <w:rPr>
          <w:b/>
        </w:rPr>
        <w:t xml:space="preserve"> governments to account. Further, smear campaigns and public attacks on journalists and media outlets, sometimes accompanied by denigration of the media in general, have been recurrent and have jeopardi</w:t>
      </w:r>
      <w:r>
        <w:rPr>
          <w:b/>
        </w:rPr>
        <w:t>zed</w:t>
      </w:r>
      <w:r w:rsidRPr="00D160E7">
        <w:rPr>
          <w:b/>
        </w:rPr>
        <w:t xml:space="preserve"> the safety of journalists. This pattern is not new, rather it has been e</w:t>
      </w:r>
      <w:r>
        <w:rPr>
          <w:b/>
        </w:rPr>
        <w:t>xacerbated during the pandemic.</w:t>
      </w:r>
    </w:p>
    <w:p w14:paraId="52F2087B" w14:textId="77777777" w:rsidR="000242CC" w:rsidRPr="00D160E7" w:rsidRDefault="000242CC" w:rsidP="000242CC">
      <w:pPr>
        <w:pStyle w:val="SingleTxtG"/>
        <w:rPr>
          <w:b/>
        </w:rPr>
      </w:pPr>
      <w:r>
        <w:t>63.</w:t>
      </w:r>
      <w:r>
        <w:tab/>
      </w:r>
      <w:r w:rsidRPr="00D160E7">
        <w:rPr>
          <w:b/>
        </w:rPr>
        <w:t>The working conditions of journalists have also been severely impacted by a number of factors. Some journalists are highly exposed to the virus itself</w:t>
      </w:r>
      <w:r>
        <w:rPr>
          <w:b/>
        </w:rPr>
        <w:t>,</w:t>
      </w:r>
      <w:r w:rsidRPr="00D160E7">
        <w:rPr>
          <w:b/>
        </w:rPr>
        <w:t xml:space="preserve"> </w:t>
      </w:r>
      <w:r>
        <w:rPr>
          <w:b/>
        </w:rPr>
        <w:t>owing</w:t>
      </w:r>
      <w:r w:rsidRPr="00D160E7">
        <w:rPr>
          <w:b/>
        </w:rPr>
        <w:t xml:space="preserve"> to the frontline nature of their work, and often lack basic protective equipment and access to adequate health</w:t>
      </w:r>
      <w:r>
        <w:rPr>
          <w:b/>
        </w:rPr>
        <w:t xml:space="preserve"> </w:t>
      </w:r>
      <w:r w:rsidRPr="00D160E7">
        <w:rPr>
          <w:b/>
        </w:rPr>
        <w:t>care</w:t>
      </w:r>
      <w:r>
        <w:rPr>
          <w:b/>
        </w:rPr>
        <w:t>.</w:t>
      </w:r>
      <w:r w:rsidRPr="00D160E7">
        <w:rPr>
          <w:b/>
        </w:rPr>
        <w:t xml:space="preserve"> </w:t>
      </w:r>
      <w:r>
        <w:rPr>
          <w:b/>
        </w:rPr>
        <w:t>T</w:t>
      </w:r>
      <w:r w:rsidRPr="00D160E7">
        <w:rPr>
          <w:b/>
        </w:rPr>
        <w:t>oo many journalists have paid the ultimate price for their essential reporting. The pandemic has also exacerbated economic stress on journalists and the media.</w:t>
      </w:r>
    </w:p>
    <w:p w14:paraId="2A3C43C8" w14:textId="77777777" w:rsidR="000242CC" w:rsidRPr="00D160E7" w:rsidRDefault="000242CC" w:rsidP="000242CC">
      <w:pPr>
        <w:pStyle w:val="SingleTxtG"/>
        <w:rPr>
          <w:b/>
        </w:rPr>
      </w:pPr>
      <w:r w:rsidRPr="002B5410">
        <w:t>64.</w:t>
      </w:r>
      <w:r w:rsidRPr="002B5410">
        <w:tab/>
      </w:r>
      <w:r w:rsidRPr="00D160E7">
        <w:rPr>
          <w:b/>
        </w:rPr>
        <w:t>Th</w:t>
      </w:r>
      <w:r>
        <w:rPr>
          <w:b/>
        </w:rPr>
        <w:t>e present</w:t>
      </w:r>
      <w:r w:rsidRPr="00D160E7">
        <w:rPr>
          <w:b/>
        </w:rPr>
        <w:t xml:space="preserve"> report highlights a number of good practices, which States and other relevant actors can draw upon in future health emergencies. In particular, </w:t>
      </w:r>
      <w:r>
        <w:rPr>
          <w:b/>
        </w:rPr>
        <w:t>it</w:t>
      </w:r>
      <w:r w:rsidRPr="00D160E7">
        <w:rPr>
          <w:b/>
        </w:rPr>
        <w:t xml:space="preserve"> recommends that States and other stakeholders where relevant:</w:t>
      </w:r>
    </w:p>
    <w:p w14:paraId="6501151D" w14:textId="0DD1E2CC" w:rsidR="000242CC" w:rsidRPr="00D160E7" w:rsidRDefault="00E26369" w:rsidP="00E26369">
      <w:pPr>
        <w:pStyle w:val="SingleTxtG"/>
        <w:suppressAutoHyphens w:val="0"/>
        <w:kinsoku/>
        <w:overflowPunct/>
        <w:autoSpaceDE/>
        <w:autoSpaceDN/>
        <w:adjustRightInd/>
        <w:snapToGrid/>
        <w:rPr>
          <w:b/>
        </w:rPr>
      </w:pPr>
      <w:r w:rsidRPr="00B47C77">
        <w:rPr>
          <w:bCs/>
        </w:rPr>
        <w:tab/>
        <w:t>(a)</w:t>
      </w:r>
      <w:r w:rsidRPr="00B47C77">
        <w:rPr>
          <w:bCs/>
        </w:rPr>
        <w:tab/>
      </w:r>
      <w:r w:rsidR="000242CC" w:rsidRPr="00D160E7">
        <w:rPr>
          <w:b/>
        </w:rPr>
        <w:t>Create an enabling environment to facilitate the vital work carried out by journalists in the context of public health emergencies, as this work is critically important to overcoming the emergency. As a priority, this means bringing laws, policies and practices fully into compliance with international human rights law. Such measures should include reviewing and</w:t>
      </w:r>
      <w:r w:rsidR="000242CC">
        <w:rPr>
          <w:b/>
        </w:rPr>
        <w:t>,</w:t>
      </w:r>
      <w:r w:rsidR="000242CC" w:rsidRPr="00D160E7">
        <w:rPr>
          <w:b/>
        </w:rPr>
        <w:t xml:space="preserve"> where necessary, repealing or amending laws and policies, in particular emergency legislation</w:t>
      </w:r>
      <w:r w:rsidR="000242CC">
        <w:rPr>
          <w:b/>
        </w:rPr>
        <w:t>,</w:t>
      </w:r>
      <w:r w:rsidR="000242CC" w:rsidRPr="00D160E7">
        <w:rPr>
          <w:b/>
        </w:rPr>
        <w:t xml:space="preserve"> and </w:t>
      </w:r>
      <w:r w:rsidR="000242CC">
        <w:rPr>
          <w:b/>
        </w:rPr>
        <w:t xml:space="preserve">promoting </w:t>
      </w:r>
      <w:r w:rsidR="000242CC" w:rsidRPr="00D160E7">
        <w:rPr>
          <w:b/>
        </w:rPr>
        <w:t xml:space="preserve">measures to ensure </w:t>
      </w:r>
      <w:r w:rsidR="000242CC">
        <w:rPr>
          <w:b/>
        </w:rPr>
        <w:t xml:space="preserve">that </w:t>
      </w:r>
      <w:r w:rsidR="000242CC" w:rsidRPr="00D160E7">
        <w:rPr>
          <w:b/>
        </w:rPr>
        <w:t>journalists and media workers not only can, but are encouraged to</w:t>
      </w:r>
      <w:r w:rsidR="000242CC">
        <w:rPr>
          <w:b/>
        </w:rPr>
        <w:t>,</w:t>
      </w:r>
      <w:r w:rsidR="000242CC" w:rsidRPr="00D160E7">
        <w:rPr>
          <w:b/>
        </w:rPr>
        <w:t xml:space="preserve"> perform their work independently and without undue interference during th</w:t>
      </w:r>
      <w:r w:rsidR="000242CC">
        <w:rPr>
          <w:b/>
        </w:rPr>
        <w:t>e present</w:t>
      </w:r>
      <w:r w:rsidR="000242CC" w:rsidRPr="00D160E7">
        <w:rPr>
          <w:b/>
        </w:rPr>
        <w:t xml:space="preserve"> pandemic and beyond;</w:t>
      </w:r>
    </w:p>
    <w:p w14:paraId="7593E1FB" w14:textId="47F66222" w:rsidR="000242CC" w:rsidRPr="00DC092B" w:rsidRDefault="00E26369" w:rsidP="00E26369">
      <w:pPr>
        <w:pStyle w:val="SingleTxtG"/>
        <w:rPr>
          <w:b/>
          <w:bCs/>
        </w:rPr>
      </w:pPr>
      <w:r w:rsidRPr="00B47C77">
        <w:rPr>
          <w:bCs/>
        </w:rPr>
        <w:tab/>
      </w:r>
      <w:r w:rsidR="000242CC" w:rsidRPr="00B47C77">
        <w:rPr>
          <w:bCs/>
        </w:rPr>
        <w:t>(b)</w:t>
      </w:r>
      <w:r w:rsidR="000242CC" w:rsidRPr="00B47C77">
        <w:rPr>
          <w:bCs/>
        </w:rPr>
        <w:tab/>
      </w:r>
      <w:r w:rsidR="000242CC" w:rsidRPr="00DC092B">
        <w:rPr>
          <w:b/>
          <w:bCs/>
        </w:rPr>
        <w:t xml:space="preserve">Disseminate and ensure access to reliable and up-to-date public health information, offline and online, in order to best equip people with the tools to contribute to combating the pandemic. Publishing information in formats that permit reuse by third parties, including journalists, and on channels that reach different communities is critical and demonstrates </w:t>
      </w:r>
      <w:r w:rsidR="000242CC">
        <w:rPr>
          <w:b/>
          <w:bCs/>
        </w:rPr>
        <w:t>the</w:t>
      </w:r>
      <w:r w:rsidR="000242CC" w:rsidRPr="00DC092B">
        <w:rPr>
          <w:b/>
          <w:bCs/>
        </w:rPr>
        <w:t xml:space="preserve"> political commitment </w:t>
      </w:r>
      <w:r w:rsidR="000242CC">
        <w:rPr>
          <w:b/>
          <w:bCs/>
        </w:rPr>
        <w:t xml:space="preserve">of States </w:t>
      </w:r>
      <w:r w:rsidR="000242CC" w:rsidRPr="00DC092B">
        <w:rPr>
          <w:b/>
          <w:bCs/>
        </w:rPr>
        <w:t>to openness and transparency in the public interest;</w:t>
      </w:r>
    </w:p>
    <w:p w14:paraId="45516254" w14:textId="521F8AC4" w:rsidR="000242CC" w:rsidRPr="00DC092B" w:rsidRDefault="00E26369" w:rsidP="00E26369">
      <w:pPr>
        <w:pStyle w:val="SingleTxtG"/>
        <w:rPr>
          <w:b/>
          <w:bCs/>
        </w:rPr>
      </w:pPr>
      <w:r w:rsidRPr="00B47C77">
        <w:rPr>
          <w:bCs/>
        </w:rPr>
        <w:tab/>
      </w:r>
      <w:r w:rsidR="000242CC" w:rsidRPr="00B47C77">
        <w:rPr>
          <w:bCs/>
        </w:rPr>
        <w:t>(c)</w:t>
      </w:r>
      <w:r w:rsidR="000242CC" w:rsidRPr="00B47C77">
        <w:rPr>
          <w:bCs/>
        </w:rPr>
        <w:tab/>
      </w:r>
      <w:r w:rsidR="000242CC" w:rsidRPr="00DC092B">
        <w:rPr>
          <w:b/>
          <w:bCs/>
        </w:rPr>
        <w:t>Develop and adopt integrated and gender responsive prevention, protection, monitoring and response mechanisms for the online and offline safety of women journalists, in consultation with media organizations and women journalists;</w:t>
      </w:r>
    </w:p>
    <w:p w14:paraId="5E360C00" w14:textId="1F1B67EF" w:rsidR="000242CC" w:rsidRPr="00DC092B" w:rsidRDefault="00E26369" w:rsidP="00E26369">
      <w:pPr>
        <w:pStyle w:val="SingleTxtG"/>
        <w:rPr>
          <w:b/>
          <w:bCs/>
        </w:rPr>
      </w:pPr>
      <w:r w:rsidRPr="00B47C77">
        <w:rPr>
          <w:bCs/>
        </w:rPr>
        <w:tab/>
      </w:r>
      <w:r w:rsidR="000242CC" w:rsidRPr="00B47C77">
        <w:rPr>
          <w:bCs/>
        </w:rPr>
        <w:t>(d)</w:t>
      </w:r>
      <w:r w:rsidR="000242CC" w:rsidRPr="00B47C77">
        <w:rPr>
          <w:bCs/>
        </w:rPr>
        <w:tab/>
      </w:r>
      <w:r w:rsidR="000242CC" w:rsidRPr="00DC092B">
        <w:rPr>
          <w:b/>
          <w:bCs/>
        </w:rPr>
        <w:t>Take measures to protect journalists from attack</w:t>
      </w:r>
      <w:r w:rsidR="000242CC">
        <w:rPr>
          <w:b/>
          <w:bCs/>
        </w:rPr>
        <w:t>,</w:t>
      </w:r>
      <w:r w:rsidR="000242CC" w:rsidRPr="00DC092B">
        <w:rPr>
          <w:b/>
          <w:bCs/>
        </w:rPr>
        <w:t xml:space="preserve"> </w:t>
      </w:r>
      <w:r w:rsidR="000242CC">
        <w:rPr>
          <w:b/>
          <w:bCs/>
        </w:rPr>
        <w:t xml:space="preserve">both </w:t>
      </w:r>
      <w:r w:rsidR="000242CC" w:rsidRPr="00DC092B">
        <w:rPr>
          <w:b/>
          <w:bCs/>
        </w:rPr>
        <w:t>offline and online</w:t>
      </w:r>
      <w:r w:rsidR="000242CC">
        <w:rPr>
          <w:b/>
          <w:bCs/>
        </w:rPr>
        <w:t>,</w:t>
      </w:r>
      <w:r w:rsidR="000242CC" w:rsidRPr="00DC092B">
        <w:rPr>
          <w:b/>
          <w:bCs/>
        </w:rPr>
        <w:t xml:space="preserve"> and ensure accountability through impartial, prompt, thorough, independent and effective investigations into all alleged </w:t>
      </w:r>
      <w:r w:rsidR="000242CC">
        <w:rPr>
          <w:b/>
          <w:bCs/>
        </w:rPr>
        <w:t xml:space="preserve">incidents of </w:t>
      </w:r>
      <w:r w:rsidR="000242CC" w:rsidRPr="00DC092B">
        <w:rPr>
          <w:b/>
          <w:bCs/>
        </w:rPr>
        <w:t xml:space="preserve">violence, threats </w:t>
      </w:r>
      <w:r w:rsidR="000242CC">
        <w:rPr>
          <w:b/>
          <w:bCs/>
        </w:rPr>
        <w:t xml:space="preserve">to </w:t>
      </w:r>
      <w:r w:rsidR="000242CC" w:rsidRPr="00DC092B">
        <w:rPr>
          <w:b/>
          <w:bCs/>
        </w:rPr>
        <w:t xml:space="preserve">and attacks </w:t>
      </w:r>
      <w:r w:rsidR="000242CC">
        <w:rPr>
          <w:b/>
          <w:bCs/>
        </w:rPr>
        <w:t>on</w:t>
      </w:r>
      <w:r w:rsidR="000242CC" w:rsidRPr="00DC092B">
        <w:rPr>
          <w:b/>
          <w:bCs/>
        </w:rPr>
        <w:t xml:space="preserve"> journalists, and ensure that victims and, where applicable, their families have access to effective remedies, including reparations;</w:t>
      </w:r>
    </w:p>
    <w:p w14:paraId="5A7753E2" w14:textId="796EF06C" w:rsidR="000242CC" w:rsidRPr="00D160E7" w:rsidRDefault="00E26369" w:rsidP="00E26369">
      <w:pPr>
        <w:pStyle w:val="SingleTxtG"/>
        <w:rPr>
          <w:b/>
        </w:rPr>
      </w:pPr>
      <w:r w:rsidRPr="00B47C77">
        <w:rPr>
          <w:bCs/>
        </w:rPr>
        <w:tab/>
      </w:r>
      <w:r w:rsidR="000242CC" w:rsidRPr="00B47C77">
        <w:rPr>
          <w:bCs/>
        </w:rPr>
        <w:t>(e)</w:t>
      </w:r>
      <w:r w:rsidR="000242CC" w:rsidRPr="00B47C77">
        <w:rPr>
          <w:bCs/>
        </w:rPr>
        <w:tab/>
      </w:r>
      <w:r w:rsidR="000242CC" w:rsidRPr="00D160E7">
        <w:rPr>
          <w:b/>
        </w:rPr>
        <w:t>Take immediate steps to ensure that surveillance technology is only used in full compliance with international human rights law</w:t>
      </w:r>
      <w:r w:rsidR="000242CC">
        <w:rPr>
          <w:b/>
        </w:rPr>
        <w:t xml:space="preserve"> and</w:t>
      </w:r>
      <w:r w:rsidR="000242CC" w:rsidRPr="00D160E7">
        <w:rPr>
          <w:b/>
        </w:rPr>
        <w:t xml:space="preserve"> legal frameworks guaranteeing privacy, along with the tools needed to ensure implement</w:t>
      </w:r>
      <w:r w:rsidR="000242CC">
        <w:rPr>
          <w:b/>
        </w:rPr>
        <w:t>ation.</w:t>
      </w:r>
      <w:r w:rsidR="000242CC" w:rsidRPr="00D160E7">
        <w:rPr>
          <w:b/>
        </w:rPr>
        <w:t xml:space="preserve"> All cases of allegations of surveillance constituting unlawful and arbitrary interference in private life should </w:t>
      </w:r>
      <w:r w:rsidR="000242CC">
        <w:rPr>
          <w:b/>
        </w:rPr>
        <w:t>be investigated;</w:t>
      </w:r>
    </w:p>
    <w:p w14:paraId="2ED9F6EB" w14:textId="300A4CB5" w:rsidR="000242CC" w:rsidRPr="00DC092B" w:rsidRDefault="00E26369" w:rsidP="00E26369">
      <w:pPr>
        <w:pStyle w:val="SingleTxtG"/>
        <w:rPr>
          <w:b/>
          <w:bCs/>
        </w:rPr>
      </w:pPr>
      <w:r w:rsidRPr="00B47C77">
        <w:rPr>
          <w:bCs/>
        </w:rPr>
        <w:tab/>
      </w:r>
      <w:r w:rsidR="000242CC" w:rsidRPr="00B47C77">
        <w:rPr>
          <w:bCs/>
        </w:rPr>
        <w:t>(f)</w:t>
      </w:r>
      <w:r w:rsidR="000242CC" w:rsidRPr="00B47C77">
        <w:rPr>
          <w:bCs/>
        </w:rPr>
        <w:tab/>
      </w:r>
      <w:r w:rsidR="000242CC" w:rsidRPr="00DC092B">
        <w:rPr>
          <w:b/>
          <w:bCs/>
        </w:rPr>
        <w:t>Take measures towards ensuring that journalists enjoy safe</w:t>
      </w:r>
      <w:r w:rsidR="000242CC">
        <w:rPr>
          <w:b/>
          <w:bCs/>
        </w:rPr>
        <w:t>,</w:t>
      </w:r>
      <w:r w:rsidR="000242CC" w:rsidRPr="00DC092B">
        <w:rPr>
          <w:b/>
          <w:bCs/>
        </w:rPr>
        <w:t xml:space="preserve"> healthy and favourable conditions of work, including in relation to the challenges posed by the pandemic. The nature of journalistic work in the context of pandemics places </w:t>
      </w:r>
      <w:r w:rsidR="000242CC">
        <w:rPr>
          <w:b/>
          <w:bCs/>
        </w:rPr>
        <w:t>some</w:t>
      </w:r>
      <w:r w:rsidR="000242CC" w:rsidRPr="00DC092B">
        <w:rPr>
          <w:b/>
          <w:bCs/>
        </w:rPr>
        <w:t xml:space="preserve"> journalists </w:t>
      </w:r>
      <w:r w:rsidR="000242CC">
        <w:rPr>
          <w:b/>
          <w:bCs/>
        </w:rPr>
        <w:t>on</w:t>
      </w:r>
      <w:r w:rsidR="000242CC" w:rsidRPr="00DC092B">
        <w:rPr>
          <w:b/>
          <w:bCs/>
        </w:rPr>
        <w:t xml:space="preserve"> the front</w:t>
      </w:r>
      <w:r w:rsidR="000242CC">
        <w:rPr>
          <w:b/>
          <w:bCs/>
        </w:rPr>
        <w:t xml:space="preserve"> </w:t>
      </w:r>
      <w:r w:rsidR="000242CC" w:rsidRPr="00DC092B">
        <w:rPr>
          <w:b/>
          <w:bCs/>
        </w:rPr>
        <w:t xml:space="preserve">line, exposing them to a high risk of infection. In line with the Guiding Principles on Business and Human Rights, employers in the media sector have a responsibility to respect human rights and to seek to prevent or mitigate any adverse </w:t>
      </w:r>
      <w:r w:rsidR="000242CC" w:rsidRPr="00DC092B">
        <w:rPr>
          <w:b/>
          <w:bCs/>
        </w:rPr>
        <w:lastRenderedPageBreak/>
        <w:t xml:space="preserve">impact on human rights directly linked to their operations, products or services. In addition to providing basic personal protective equipment, employers in the media sector must implement tailored sanitary protocols to reduce exposure to the </w:t>
      </w:r>
      <w:r w:rsidR="000242CC">
        <w:rPr>
          <w:b/>
          <w:bCs/>
        </w:rPr>
        <w:t xml:space="preserve">greatest </w:t>
      </w:r>
      <w:r w:rsidR="000242CC" w:rsidRPr="00DC092B">
        <w:rPr>
          <w:b/>
          <w:bCs/>
        </w:rPr>
        <w:t>extent possible;</w:t>
      </w:r>
    </w:p>
    <w:p w14:paraId="7AE26BD6" w14:textId="162D7DC5" w:rsidR="000242CC" w:rsidRPr="00DC092B" w:rsidRDefault="00E26369" w:rsidP="00E26369">
      <w:pPr>
        <w:pStyle w:val="SingleTxtG"/>
        <w:rPr>
          <w:b/>
          <w:bCs/>
        </w:rPr>
      </w:pPr>
      <w:r w:rsidRPr="00B47C77">
        <w:rPr>
          <w:bCs/>
        </w:rPr>
        <w:tab/>
      </w:r>
      <w:r w:rsidR="000242CC" w:rsidRPr="00B47C77">
        <w:rPr>
          <w:bCs/>
        </w:rPr>
        <w:t>(g)</w:t>
      </w:r>
      <w:r w:rsidR="000242CC" w:rsidRPr="00B47C77">
        <w:rPr>
          <w:bCs/>
        </w:rPr>
        <w:tab/>
      </w:r>
      <w:r w:rsidR="000242CC" w:rsidRPr="00DC092B">
        <w:rPr>
          <w:b/>
          <w:bCs/>
        </w:rPr>
        <w:t>Take measures to ensure an environment in which plural and diverse media can operate</w:t>
      </w:r>
      <w:r w:rsidR="000242CC">
        <w:rPr>
          <w:b/>
          <w:bCs/>
        </w:rPr>
        <w:t>,</w:t>
      </w:r>
      <w:r w:rsidR="000242CC" w:rsidRPr="00DC092B">
        <w:rPr>
          <w:b/>
          <w:bCs/>
        </w:rPr>
        <w:t xml:space="preserve"> despite the financial and economic impacts of COVID-19. Distribute targeted fiscal, financial and economic</w:t>
      </w:r>
      <w:r w:rsidR="000242CC" w:rsidRPr="00DC092B" w:rsidDel="002B39C2">
        <w:rPr>
          <w:b/>
          <w:bCs/>
        </w:rPr>
        <w:t xml:space="preserve"> </w:t>
      </w:r>
      <w:r w:rsidR="000242CC" w:rsidRPr="00DC092B">
        <w:rPr>
          <w:b/>
          <w:bCs/>
        </w:rPr>
        <w:t>support for the media sector in an equitable and transparent fashion, without discrimination</w:t>
      </w:r>
      <w:r w:rsidR="000242CC">
        <w:rPr>
          <w:b/>
          <w:bCs/>
        </w:rPr>
        <w:t>,</w:t>
      </w:r>
      <w:r w:rsidR="000242CC" w:rsidRPr="00DC092B">
        <w:rPr>
          <w:b/>
          <w:bCs/>
        </w:rPr>
        <w:t xml:space="preserve"> based on viewpoints protected by international human rights law. Guarantees of editorial independence and media plurality must be part of any support measures;</w:t>
      </w:r>
    </w:p>
    <w:p w14:paraId="5B4FE21B" w14:textId="6A3EA304" w:rsidR="000242CC" w:rsidRPr="00D160E7" w:rsidRDefault="00E26369" w:rsidP="00E26369">
      <w:pPr>
        <w:pStyle w:val="SingleTxtG"/>
        <w:rPr>
          <w:b/>
        </w:rPr>
      </w:pPr>
      <w:r w:rsidRPr="00B47C77">
        <w:rPr>
          <w:bCs/>
        </w:rPr>
        <w:tab/>
      </w:r>
      <w:r w:rsidR="000242CC" w:rsidRPr="00B47C77">
        <w:rPr>
          <w:bCs/>
        </w:rPr>
        <w:t>(h)</w:t>
      </w:r>
      <w:r w:rsidR="000242CC" w:rsidRPr="00B47C77">
        <w:rPr>
          <w:bCs/>
        </w:rPr>
        <w:tab/>
      </w:r>
      <w:r w:rsidR="000242CC" w:rsidRPr="00DC092B">
        <w:rPr>
          <w:b/>
          <w:bCs/>
        </w:rPr>
        <w:t>Consider</w:t>
      </w:r>
      <w:r w:rsidR="000242CC" w:rsidRPr="00D160E7">
        <w:rPr>
          <w:b/>
        </w:rPr>
        <w:t xml:space="preserve"> deeper cooperation, including with OHCHR and other relevant actors, on how to strengthen national approaches to protect</w:t>
      </w:r>
      <w:r w:rsidR="000242CC">
        <w:rPr>
          <w:b/>
        </w:rPr>
        <w:t>ing</w:t>
      </w:r>
      <w:r w:rsidR="000242CC" w:rsidRPr="00D160E7">
        <w:rPr>
          <w:b/>
        </w:rPr>
        <w:t xml:space="preserve"> journalists and extend full cooperation in the implementation of the United Nations Plan of Action on the safety of journalists.</w:t>
      </w:r>
    </w:p>
    <w:p w14:paraId="22A21F45" w14:textId="77777777" w:rsidR="000242CC" w:rsidRPr="00D160E7" w:rsidRDefault="000242CC" w:rsidP="000242CC">
      <w:pPr>
        <w:pStyle w:val="SingleTxtG"/>
        <w:rPr>
          <w:b/>
        </w:rPr>
      </w:pPr>
      <w:r w:rsidRPr="00FD6091">
        <w:t>65.</w:t>
      </w:r>
      <w:r w:rsidRPr="00FD6091">
        <w:tab/>
      </w:r>
      <w:r w:rsidRPr="00D160E7">
        <w:rPr>
          <w:b/>
        </w:rPr>
        <w:t xml:space="preserve">Access to, and free flow of, information and inclusive and vibrant debates based on solid media reporting are cornerstones of effective strategies, not only to combat the COVID-19 pandemic, but also to build back better. Investing in preserving media independence, freedom of expression and privacy of communications is key for building trust and, ultimately, for giving full effect to the new social contract advanced by the Secretary-General in “Our Common Agenda”. </w:t>
      </w:r>
    </w:p>
    <w:p w14:paraId="40965E67" w14:textId="77777777" w:rsidR="000242CC" w:rsidRPr="00E75317" w:rsidRDefault="000242CC" w:rsidP="000242CC">
      <w:pPr>
        <w:spacing w:before="240"/>
        <w:ind w:left="1134" w:right="1134"/>
        <w:jc w:val="center"/>
      </w:pPr>
      <w:r>
        <w:rPr>
          <w:u w:val="single"/>
        </w:rPr>
        <w:tab/>
      </w:r>
      <w:r>
        <w:rPr>
          <w:u w:val="single"/>
        </w:rPr>
        <w:tab/>
      </w:r>
      <w:r>
        <w:rPr>
          <w:u w:val="single"/>
        </w:rPr>
        <w:tab/>
      </w:r>
      <w:r>
        <w:rPr>
          <w:u w:val="single"/>
        </w:rPr>
        <w:tab/>
      </w:r>
    </w:p>
    <w:sectPr w:rsidR="000242CC" w:rsidRPr="00E75317" w:rsidSect="00CA1B04">
      <w:headerReference w:type="even" r:id="rId12"/>
      <w:headerReference w:type="default" r:id="rId13"/>
      <w:footerReference w:type="even" r:id="rId14"/>
      <w:footerReference w:type="defaul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6110F" w14:textId="77777777" w:rsidR="002E1651" w:rsidRPr="00C47B2E" w:rsidRDefault="002E1651" w:rsidP="00C47B2E">
      <w:pPr>
        <w:pStyle w:val="Footer"/>
      </w:pPr>
    </w:p>
  </w:endnote>
  <w:endnote w:type="continuationSeparator" w:id="0">
    <w:p w14:paraId="53EB95C7" w14:textId="77777777" w:rsidR="002E1651" w:rsidRPr="00C47B2E" w:rsidRDefault="002E1651" w:rsidP="00C47B2E">
      <w:pPr>
        <w:pStyle w:val="Footer"/>
      </w:pPr>
    </w:p>
  </w:endnote>
  <w:endnote w:type="continuationNotice" w:id="1">
    <w:p w14:paraId="4D0D4C43" w14:textId="77777777" w:rsidR="002E1651" w:rsidRPr="00C47B2E" w:rsidRDefault="002E165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pCentury Old Styl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AF464" w14:textId="23EA2FAE" w:rsidR="000242CC" w:rsidRDefault="000242CC" w:rsidP="00E64939">
    <w:pPr>
      <w:pStyle w:val="Footer"/>
      <w:tabs>
        <w:tab w:val="right" w:pos="9638"/>
      </w:tabs>
    </w:pPr>
    <w:r w:rsidRPr="000242CC">
      <w:rPr>
        <w:b/>
        <w:bCs/>
        <w:sz w:val="18"/>
      </w:rPr>
      <w:fldChar w:fldCharType="begin"/>
    </w:r>
    <w:r w:rsidRPr="000242CC">
      <w:rPr>
        <w:b/>
        <w:bCs/>
        <w:sz w:val="18"/>
      </w:rPr>
      <w:instrText xml:space="preserve"> PAGE  \* MERGEFORMAT </w:instrText>
    </w:r>
    <w:r w:rsidRPr="000242CC">
      <w:rPr>
        <w:b/>
        <w:bCs/>
        <w:sz w:val="18"/>
      </w:rPr>
      <w:fldChar w:fldCharType="separate"/>
    </w:r>
    <w:r w:rsidR="00670EF8">
      <w:rPr>
        <w:b/>
        <w:bCs/>
        <w:noProof/>
        <w:sz w:val="18"/>
      </w:rPr>
      <w:t>16</w:t>
    </w:r>
    <w:r w:rsidRPr="000242C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4F7B2" w14:textId="043C3B2D" w:rsidR="000242CC" w:rsidRDefault="000242CC" w:rsidP="000242CC">
    <w:pPr>
      <w:pStyle w:val="Footer"/>
      <w:tabs>
        <w:tab w:val="right" w:pos="9638"/>
      </w:tabs>
    </w:pPr>
    <w:r>
      <w:tab/>
    </w:r>
    <w:r w:rsidRPr="000242CC">
      <w:rPr>
        <w:b/>
        <w:bCs/>
        <w:sz w:val="18"/>
      </w:rPr>
      <w:fldChar w:fldCharType="begin"/>
    </w:r>
    <w:r w:rsidRPr="000242CC">
      <w:rPr>
        <w:b/>
        <w:bCs/>
        <w:sz w:val="18"/>
      </w:rPr>
      <w:instrText xml:space="preserve"> PAGE  \* MERGEFORMAT </w:instrText>
    </w:r>
    <w:r w:rsidRPr="000242CC">
      <w:rPr>
        <w:b/>
        <w:bCs/>
        <w:sz w:val="18"/>
      </w:rPr>
      <w:fldChar w:fldCharType="separate"/>
    </w:r>
    <w:r w:rsidR="00670EF8">
      <w:rPr>
        <w:b/>
        <w:bCs/>
        <w:noProof/>
        <w:sz w:val="18"/>
      </w:rPr>
      <w:t>15</w:t>
    </w:r>
    <w:r w:rsidRPr="000242CC">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6C864" w14:textId="77777777" w:rsidR="002E1651" w:rsidRPr="00C47B2E" w:rsidRDefault="002E1651" w:rsidP="00C47B2E">
      <w:pPr>
        <w:tabs>
          <w:tab w:val="right" w:pos="2155"/>
        </w:tabs>
        <w:spacing w:after="80" w:line="240" w:lineRule="auto"/>
        <w:ind w:left="680"/>
      </w:pPr>
      <w:r>
        <w:rPr>
          <w:u w:val="single"/>
        </w:rPr>
        <w:tab/>
      </w:r>
    </w:p>
  </w:footnote>
  <w:footnote w:type="continuationSeparator" w:id="0">
    <w:p w14:paraId="68BA0C65" w14:textId="77777777" w:rsidR="002E1651" w:rsidRPr="00C47B2E" w:rsidRDefault="002E1651" w:rsidP="005E716E">
      <w:pPr>
        <w:tabs>
          <w:tab w:val="right" w:pos="2155"/>
        </w:tabs>
        <w:spacing w:after="80" w:line="240" w:lineRule="auto"/>
        <w:ind w:left="680"/>
      </w:pPr>
      <w:r>
        <w:rPr>
          <w:u w:val="single"/>
        </w:rPr>
        <w:tab/>
      </w:r>
    </w:p>
  </w:footnote>
  <w:footnote w:type="continuationNotice" w:id="1">
    <w:p w14:paraId="27E4C593" w14:textId="77777777" w:rsidR="002E1651" w:rsidRPr="00C47B2E" w:rsidRDefault="002E1651" w:rsidP="00C47B2E">
      <w:pPr>
        <w:pStyle w:val="Footer"/>
      </w:pPr>
    </w:p>
  </w:footnote>
  <w:footnote w:id="2">
    <w:p w14:paraId="63B06211" w14:textId="77777777" w:rsidR="000242CC" w:rsidRPr="00CD2BB2" w:rsidRDefault="000242CC" w:rsidP="000242CC">
      <w:pPr>
        <w:pStyle w:val="FootnoteText"/>
      </w:pPr>
      <w:r w:rsidRPr="00CD2BB2">
        <w:tab/>
      </w:r>
      <w:r w:rsidRPr="00CD2BB2">
        <w:rPr>
          <w:sz w:val="20"/>
        </w:rPr>
        <w:t>*</w:t>
      </w:r>
      <w:r w:rsidRPr="00CD2BB2">
        <w:rPr>
          <w:sz w:val="20"/>
        </w:rPr>
        <w:tab/>
      </w:r>
      <w:r w:rsidRPr="00CD2BB2">
        <w:rPr>
          <w:szCs w:val="18"/>
        </w:rPr>
        <w:t>The present report was submitted after the deadline in order to reflect recent developments.</w:t>
      </w:r>
    </w:p>
  </w:footnote>
  <w:footnote w:id="3">
    <w:p w14:paraId="00AF1F6A" w14:textId="72CC0823" w:rsidR="000242CC" w:rsidRPr="00CD2BB2" w:rsidRDefault="000242CC" w:rsidP="000242CC">
      <w:pPr>
        <w:pStyle w:val="FootnoteText"/>
      </w:pPr>
      <w:r w:rsidRPr="00CD2BB2">
        <w:tab/>
      </w:r>
      <w:r w:rsidRPr="00CD2BB2">
        <w:rPr>
          <w:rStyle w:val="FootnoteReference"/>
        </w:rPr>
        <w:footnoteRef/>
      </w:r>
      <w:r w:rsidRPr="00CD2BB2">
        <w:t xml:space="preserve"> </w:t>
      </w:r>
      <w:r w:rsidRPr="00CD2BB2">
        <w:tab/>
        <w:t xml:space="preserve">Pursuant to </w:t>
      </w:r>
      <w:hyperlink r:id="rId1" w:history="1">
        <w:r w:rsidRPr="00CD2BB2">
          <w:rPr>
            <w:rStyle w:val="Hyperlink"/>
          </w:rPr>
          <w:t>A/HRC/48/35</w:t>
        </w:r>
      </w:hyperlink>
      <w:r w:rsidRPr="00CD2BB2">
        <w:t xml:space="preserve"> regarding constraints faced by the Organization, the present report is being submitted to the forty-ninth session.</w:t>
      </w:r>
    </w:p>
  </w:footnote>
  <w:footnote w:id="4">
    <w:p w14:paraId="5954D4F0" w14:textId="01855319" w:rsidR="000242CC" w:rsidRPr="00CD2BB2" w:rsidRDefault="000242CC" w:rsidP="000242CC">
      <w:pPr>
        <w:pStyle w:val="FootnoteText"/>
      </w:pPr>
      <w:r w:rsidRPr="00CD2BB2">
        <w:tab/>
      </w:r>
      <w:r w:rsidRPr="00CD2BB2">
        <w:rPr>
          <w:rStyle w:val="FootnoteReference"/>
        </w:rPr>
        <w:footnoteRef/>
      </w:r>
      <w:r w:rsidRPr="00CD2BB2">
        <w:t xml:space="preserve"> </w:t>
      </w:r>
      <w:r w:rsidRPr="00CD2BB2">
        <w:tab/>
        <w:t xml:space="preserve">See </w:t>
      </w:r>
      <w:hyperlink r:id="rId2" w:history="1">
        <w:r w:rsidRPr="0078555C">
          <w:rPr>
            <w:rStyle w:val="Hyperlink"/>
          </w:rPr>
          <w:t>https://www.ohchr.org/EN/Issues/SafetyOfJournalists/Pages/reports.aspx</w:t>
        </w:r>
      </w:hyperlink>
      <w:r w:rsidRPr="00CD2BB2">
        <w:t xml:space="preserve">. </w:t>
      </w:r>
    </w:p>
  </w:footnote>
  <w:footnote w:id="5">
    <w:p w14:paraId="2679D435" w14:textId="77777777" w:rsidR="000242CC" w:rsidRPr="00CD2BB2" w:rsidRDefault="000242CC" w:rsidP="000242CC">
      <w:pPr>
        <w:pStyle w:val="FootnoteText"/>
      </w:pPr>
      <w:r w:rsidRPr="00CD2BB2">
        <w:tab/>
      </w:r>
      <w:r w:rsidRPr="00CD2BB2">
        <w:rPr>
          <w:rStyle w:val="FootnoteReference"/>
        </w:rPr>
        <w:footnoteRef/>
      </w:r>
      <w:r w:rsidRPr="00CD2BB2">
        <w:t xml:space="preserve"> </w:t>
      </w:r>
      <w:r w:rsidRPr="00CD2BB2">
        <w:tab/>
      </w:r>
      <w:r w:rsidRPr="00CD2BB2">
        <w:tab/>
        <w:t xml:space="preserve">United Nations, “COVID-19 and human rights. We are all in this together” (April 2020), p. 13. </w:t>
      </w:r>
    </w:p>
  </w:footnote>
  <w:footnote w:id="6">
    <w:p w14:paraId="2ACEAC1A" w14:textId="60BDACB3" w:rsidR="000242CC" w:rsidRPr="00CD2BB2" w:rsidRDefault="000242CC" w:rsidP="000242CC">
      <w:pPr>
        <w:pStyle w:val="FootnoteText"/>
      </w:pPr>
      <w:r w:rsidRPr="00CD2BB2">
        <w:tab/>
      </w:r>
      <w:r w:rsidRPr="00CD2BB2">
        <w:rPr>
          <w:rStyle w:val="FootnoteReference"/>
        </w:rPr>
        <w:footnoteRef/>
      </w:r>
      <w:r w:rsidRPr="00CD2BB2">
        <w:tab/>
        <w:t xml:space="preserve">See </w:t>
      </w:r>
      <w:hyperlink r:id="rId3" w:history="1">
        <w:r w:rsidRPr="00CD2BB2">
          <w:rPr>
            <w:rStyle w:val="Hyperlink"/>
          </w:rPr>
          <w:t>A/HRC/39/23.</w:t>
        </w:r>
      </w:hyperlink>
      <w:r w:rsidRPr="00CD2BB2">
        <w:t xml:space="preserve"> See also </w:t>
      </w:r>
      <w:hyperlink r:id="rId4" w:history="1">
        <w:r w:rsidRPr="00CD2BB2">
          <w:rPr>
            <w:rStyle w:val="Hyperlink"/>
          </w:rPr>
          <w:t>A/HRC/24/23</w:t>
        </w:r>
      </w:hyperlink>
      <w:r w:rsidRPr="00CD2BB2">
        <w:t xml:space="preserve">, paras. 11–13; </w:t>
      </w:r>
      <w:hyperlink r:id="rId5" w:history="1">
        <w:r w:rsidRPr="00CD2BB2">
          <w:rPr>
            <w:rStyle w:val="Hyperlink"/>
          </w:rPr>
          <w:t>A/69/268</w:t>
        </w:r>
      </w:hyperlink>
      <w:r w:rsidRPr="00CD2BB2">
        <w:t xml:space="preserve">, paras. 10–12; </w:t>
      </w:r>
      <w:hyperlink r:id="rId6" w:history="1">
        <w:r w:rsidRPr="00CD2BB2">
          <w:rPr>
            <w:rStyle w:val="Hyperlink"/>
          </w:rPr>
          <w:t>A/70/290</w:t>
        </w:r>
      </w:hyperlink>
      <w:r w:rsidRPr="00CD2BB2">
        <w:t xml:space="preserve">, para. 17; and </w:t>
      </w:r>
      <w:hyperlink r:id="rId7" w:history="1">
        <w:r w:rsidRPr="00CD2BB2">
          <w:rPr>
            <w:rStyle w:val="Hyperlink"/>
          </w:rPr>
          <w:t>A/72/290</w:t>
        </w:r>
      </w:hyperlink>
      <w:r w:rsidRPr="00CD2BB2">
        <w:t>, paras. 13–16.</w:t>
      </w:r>
    </w:p>
  </w:footnote>
  <w:footnote w:id="7">
    <w:p w14:paraId="55AD39C9" w14:textId="77777777" w:rsidR="000242CC" w:rsidRPr="00CD2BB2" w:rsidRDefault="000242CC" w:rsidP="000242CC">
      <w:pPr>
        <w:pStyle w:val="FootnoteText"/>
      </w:pPr>
      <w:r w:rsidRPr="00CD2BB2">
        <w:tab/>
      </w:r>
      <w:r w:rsidRPr="00CD2BB2">
        <w:rPr>
          <w:rStyle w:val="FootnoteReference"/>
        </w:rPr>
        <w:footnoteRef/>
      </w:r>
      <w:r w:rsidRPr="00CD2BB2">
        <w:tab/>
        <w:t xml:space="preserve">Human Rights Committee, general comment No. 34 (2011), paras. 1–3. </w:t>
      </w:r>
    </w:p>
  </w:footnote>
  <w:footnote w:id="8">
    <w:p w14:paraId="718EB3C6" w14:textId="77777777" w:rsidR="000242CC" w:rsidRPr="00CD2BB2" w:rsidRDefault="000242CC" w:rsidP="000242CC">
      <w:pPr>
        <w:pStyle w:val="FootnoteText"/>
      </w:pPr>
      <w:r w:rsidRPr="00CD2BB2">
        <w:tab/>
      </w:r>
      <w:r w:rsidRPr="00CD2BB2">
        <w:rPr>
          <w:rStyle w:val="FootnoteReference"/>
        </w:rPr>
        <w:footnoteRef/>
      </w:r>
      <w:r w:rsidRPr="00CD2BB2">
        <w:tab/>
        <w:t>Ibid., para. 19.</w:t>
      </w:r>
    </w:p>
  </w:footnote>
  <w:footnote w:id="9">
    <w:p w14:paraId="0A93B861" w14:textId="77777777" w:rsidR="000242CC" w:rsidRPr="00CD2BB2" w:rsidRDefault="000242CC" w:rsidP="000242CC">
      <w:pPr>
        <w:pStyle w:val="FootnoteText"/>
      </w:pPr>
      <w:r w:rsidRPr="00CD2BB2">
        <w:tab/>
      </w:r>
      <w:r w:rsidRPr="00CD2BB2">
        <w:rPr>
          <w:rStyle w:val="FootnoteReference"/>
        </w:rPr>
        <w:footnoteRef/>
      </w:r>
      <w:r w:rsidRPr="00CD2BB2">
        <w:tab/>
        <w:t xml:space="preserve">Ibid., para. 21. </w:t>
      </w:r>
    </w:p>
  </w:footnote>
  <w:footnote w:id="10">
    <w:p w14:paraId="6015280B" w14:textId="0D3929A1" w:rsidR="000242CC" w:rsidRPr="00CD2BB2" w:rsidRDefault="000242CC" w:rsidP="000242CC">
      <w:pPr>
        <w:pStyle w:val="FootnoteText"/>
        <w:widowControl w:val="0"/>
        <w:tabs>
          <w:tab w:val="clear" w:pos="1021"/>
          <w:tab w:val="right" w:pos="1020"/>
        </w:tabs>
      </w:pPr>
      <w:r w:rsidRPr="00CD2BB2">
        <w:tab/>
      </w:r>
      <w:r w:rsidRPr="00CD2BB2">
        <w:rPr>
          <w:rStyle w:val="FootnoteReference"/>
        </w:rPr>
        <w:footnoteRef/>
      </w:r>
      <w:r w:rsidRPr="00CD2BB2">
        <w:tab/>
        <w:t xml:space="preserve">See </w:t>
      </w:r>
      <w:hyperlink r:id="rId8" w:history="1">
        <w:r w:rsidR="00A13544" w:rsidRPr="00755951">
          <w:rPr>
            <w:rStyle w:val="Hyperlink"/>
          </w:rPr>
          <w:t>https://www.ohchr.org/EN/NewsEvents/Pages/COVID19Guidance.aspx</w:t>
        </w:r>
      </w:hyperlink>
      <w:r w:rsidRPr="00CD2BB2">
        <w:rPr>
          <w:rStyle w:val="Hyperlink"/>
          <w:color w:val="auto"/>
        </w:rPr>
        <w:t>.</w:t>
      </w:r>
    </w:p>
  </w:footnote>
  <w:footnote w:id="11">
    <w:p w14:paraId="26AE20CA" w14:textId="77777777" w:rsidR="000242CC" w:rsidRPr="00CD2BB2" w:rsidRDefault="000242CC" w:rsidP="000242CC">
      <w:pPr>
        <w:pStyle w:val="FootnoteText"/>
      </w:pPr>
      <w:r w:rsidRPr="00CD2BB2">
        <w:tab/>
      </w:r>
      <w:r w:rsidRPr="00CD2BB2">
        <w:rPr>
          <w:rStyle w:val="FootnoteReference"/>
        </w:rPr>
        <w:footnoteRef/>
      </w:r>
      <w:r w:rsidRPr="00CD2BB2">
        <w:tab/>
        <w:t>Human Rights Committee, general comment No. 34 (2011), para. 7.</w:t>
      </w:r>
    </w:p>
  </w:footnote>
  <w:footnote w:id="12">
    <w:p w14:paraId="012CA35A" w14:textId="77777777" w:rsidR="000242CC" w:rsidRPr="00CD2BB2" w:rsidRDefault="000242CC" w:rsidP="000242CC">
      <w:pPr>
        <w:pStyle w:val="FootnoteText"/>
      </w:pPr>
      <w:r w:rsidRPr="00CD2BB2">
        <w:tab/>
      </w:r>
      <w:r w:rsidRPr="00CD2BB2">
        <w:rPr>
          <w:rStyle w:val="FootnoteReference"/>
        </w:rPr>
        <w:footnoteRef/>
      </w:r>
      <w:r w:rsidRPr="00CD2BB2">
        <w:tab/>
        <w:t xml:space="preserve">Ibid., para. 21. </w:t>
      </w:r>
    </w:p>
  </w:footnote>
  <w:footnote w:id="13">
    <w:p w14:paraId="28836F7D" w14:textId="7CF53D7A" w:rsidR="000242CC" w:rsidRPr="00CD2BB2" w:rsidRDefault="000242CC" w:rsidP="000242CC">
      <w:pPr>
        <w:pStyle w:val="FootnoteText"/>
        <w:widowControl w:val="0"/>
        <w:tabs>
          <w:tab w:val="clear" w:pos="1021"/>
          <w:tab w:val="right" w:pos="1020"/>
        </w:tabs>
        <w:ind w:right="708"/>
      </w:pPr>
      <w:r w:rsidRPr="00CD2BB2">
        <w:tab/>
      </w:r>
      <w:r w:rsidRPr="00CD2BB2">
        <w:rPr>
          <w:rStyle w:val="FootnoteReference"/>
        </w:rPr>
        <w:footnoteRef/>
      </w:r>
      <w:r w:rsidRPr="00CD2BB2">
        <w:tab/>
        <w:t>“The highest aspiration: a call to action for human rights”, p.</w:t>
      </w:r>
      <w:r w:rsidR="00C744CF">
        <w:t xml:space="preserve"> </w:t>
      </w:r>
      <w:r w:rsidRPr="00CD2BB2">
        <w:t>8.</w:t>
      </w:r>
    </w:p>
  </w:footnote>
  <w:footnote w:id="14">
    <w:p w14:paraId="5558E64D" w14:textId="77777777" w:rsidR="000242CC" w:rsidRPr="00CD2BB2" w:rsidRDefault="000242CC" w:rsidP="000242CC">
      <w:pPr>
        <w:pStyle w:val="FootnoteText"/>
        <w:ind w:left="0" w:firstLine="0"/>
      </w:pPr>
      <w:r w:rsidRPr="00CD2BB2">
        <w:tab/>
      </w:r>
      <w:r w:rsidRPr="00CD2BB2">
        <w:rPr>
          <w:rStyle w:val="FootnoteReference"/>
        </w:rPr>
        <w:footnoteRef/>
      </w:r>
      <w:r w:rsidRPr="00CD2BB2">
        <w:tab/>
        <w:t>United Nations, “COVID-19 and human rights. We are all in this together”, pp. 13–14.</w:t>
      </w:r>
    </w:p>
  </w:footnote>
  <w:footnote w:id="15">
    <w:p w14:paraId="4E87FFC9" w14:textId="02CE7A9F" w:rsidR="000242CC" w:rsidRPr="00CD2BB2" w:rsidRDefault="000242CC" w:rsidP="000242CC">
      <w:pPr>
        <w:pStyle w:val="FootnoteText"/>
      </w:pPr>
      <w:r w:rsidRPr="00CD2BB2">
        <w:tab/>
      </w:r>
      <w:r w:rsidRPr="00CD2BB2">
        <w:rPr>
          <w:rStyle w:val="FootnoteReference"/>
        </w:rPr>
        <w:footnoteRef/>
      </w:r>
      <w:r w:rsidRPr="00CD2BB2">
        <w:t xml:space="preserve"> </w:t>
      </w:r>
      <w:r w:rsidRPr="00CD2BB2">
        <w:tab/>
      </w:r>
      <w:r w:rsidRPr="00CD2BB2">
        <w:tab/>
      </w:r>
      <w:hyperlink r:id="rId9" w:history="1">
        <w:r w:rsidRPr="00CD2BB2">
          <w:rPr>
            <w:rStyle w:val="Hyperlink"/>
          </w:rPr>
          <w:t>A/HRC/44/49</w:t>
        </w:r>
      </w:hyperlink>
      <w:r w:rsidRPr="00CD2BB2">
        <w:t>, paras. 18–23.</w:t>
      </w:r>
    </w:p>
  </w:footnote>
  <w:footnote w:id="16">
    <w:p w14:paraId="526CA214" w14:textId="77777777" w:rsidR="000242CC" w:rsidRPr="00CD2BB2" w:rsidRDefault="000242CC" w:rsidP="000242CC">
      <w:pPr>
        <w:pStyle w:val="FootnoteText"/>
      </w:pPr>
      <w:r w:rsidRPr="00CD2BB2">
        <w:tab/>
      </w:r>
      <w:r w:rsidRPr="00CD2BB2">
        <w:rPr>
          <w:rStyle w:val="FootnoteReference"/>
        </w:rPr>
        <w:footnoteRef/>
      </w:r>
      <w:r w:rsidRPr="00CD2BB2">
        <w:tab/>
        <w:t>See the contribution of the United Nations Educational, Scientific and Cultural Organization (UNESCO).</w:t>
      </w:r>
    </w:p>
  </w:footnote>
  <w:footnote w:id="17">
    <w:p w14:paraId="2C92ADDC" w14:textId="0C6ADCD0" w:rsidR="000242CC" w:rsidRPr="00CD2BB2" w:rsidRDefault="000242CC" w:rsidP="000242CC">
      <w:pPr>
        <w:pStyle w:val="FootnoteText"/>
      </w:pPr>
      <w:r w:rsidRPr="00CD2BB2">
        <w:tab/>
      </w:r>
      <w:r w:rsidRPr="00CD2BB2">
        <w:rPr>
          <w:rStyle w:val="FootnoteReference"/>
        </w:rPr>
        <w:footnoteRef/>
      </w:r>
      <w:r w:rsidRPr="00CD2BB2">
        <w:tab/>
        <w:t xml:space="preserve">See </w:t>
      </w:r>
      <w:hyperlink r:id="rId10" w:history="1">
        <w:r w:rsidR="00FA180E" w:rsidRPr="00755951">
          <w:rPr>
            <w:rStyle w:val="Hyperlink"/>
          </w:rPr>
          <w:t>https://www.ohchr.org/EN/NewsEvents/Pages/DisplayNews.aspx?NewsID=25823</w:t>
        </w:r>
      </w:hyperlink>
      <w:r w:rsidRPr="00CD2BB2">
        <w:rPr>
          <w:rStyle w:val="Hyperlink"/>
          <w:color w:val="auto"/>
        </w:rPr>
        <w:t>.</w:t>
      </w:r>
    </w:p>
  </w:footnote>
  <w:footnote w:id="18">
    <w:p w14:paraId="1224AD89" w14:textId="08B4D16F" w:rsidR="000242CC" w:rsidRPr="00CD2BB2" w:rsidRDefault="000242CC" w:rsidP="000242CC">
      <w:pPr>
        <w:pStyle w:val="FootnoteText"/>
        <w:ind w:left="0" w:firstLine="0"/>
      </w:pPr>
      <w:r w:rsidRPr="00CD2BB2">
        <w:tab/>
      </w:r>
      <w:r w:rsidRPr="00CD2BB2">
        <w:rPr>
          <w:rStyle w:val="FootnoteReference"/>
        </w:rPr>
        <w:footnoteRef/>
      </w:r>
      <w:r w:rsidRPr="00CD2BB2">
        <w:tab/>
      </w:r>
      <w:hyperlink r:id="rId11" w:history="1">
        <w:r w:rsidRPr="00CD2BB2">
          <w:rPr>
            <w:rStyle w:val="Hyperlink"/>
          </w:rPr>
          <w:t>A/HRC/47/25</w:t>
        </w:r>
      </w:hyperlink>
      <w:r w:rsidRPr="00CD2BB2">
        <w:t>, para. 53.</w:t>
      </w:r>
    </w:p>
  </w:footnote>
  <w:footnote w:id="19">
    <w:p w14:paraId="242227BB" w14:textId="03CA95EE" w:rsidR="000242CC" w:rsidRPr="00CD2BB2" w:rsidRDefault="000242CC" w:rsidP="000242CC">
      <w:pPr>
        <w:pStyle w:val="FootnoteText"/>
      </w:pPr>
      <w:r w:rsidRPr="00CD2BB2">
        <w:tab/>
      </w:r>
      <w:r w:rsidRPr="00CD2BB2">
        <w:rPr>
          <w:rStyle w:val="FootnoteReference"/>
        </w:rPr>
        <w:footnoteRef/>
      </w:r>
      <w:r w:rsidRPr="00CD2BB2">
        <w:tab/>
      </w:r>
      <w:hyperlink r:id="rId12" w:history="1">
        <w:r w:rsidRPr="00CD2BB2">
          <w:rPr>
            <w:rStyle w:val="Hyperlink"/>
          </w:rPr>
          <w:t>A/HRC/44/49</w:t>
        </w:r>
      </w:hyperlink>
      <w:r w:rsidRPr="00CD2BB2">
        <w:t>, para. 50.</w:t>
      </w:r>
    </w:p>
  </w:footnote>
  <w:footnote w:id="20">
    <w:p w14:paraId="4D5AE4EF" w14:textId="12ACA2CE" w:rsidR="000242CC" w:rsidRPr="00CD2BB2" w:rsidRDefault="000242CC" w:rsidP="000242CC">
      <w:pPr>
        <w:pStyle w:val="FootnoteText"/>
      </w:pPr>
      <w:r w:rsidRPr="00CD2BB2">
        <w:tab/>
      </w:r>
      <w:r w:rsidRPr="00CD2BB2">
        <w:rPr>
          <w:rStyle w:val="FootnoteReference"/>
        </w:rPr>
        <w:footnoteRef/>
      </w:r>
      <w:r w:rsidRPr="00CD2BB2">
        <w:tab/>
        <w:t>See contribution of the International Federation of Journalists and Council of Europe,</w:t>
      </w:r>
      <w:r w:rsidR="00121C02" w:rsidRPr="00CD2BB2">
        <w:t xml:space="preserve"> </w:t>
      </w:r>
      <w:r w:rsidRPr="00CD2BB2">
        <w:t>“The</w:t>
      </w:r>
      <w:r w:rsidR="00121C02" w:rsidRPr="00CD2BB2">
        <w:t xml:space="preserve"> </w:t>
      </w:r>
      <w:r w:rsidRPr="00CD2BB2">
        <w:t>impact of the sanitary crisis on freedom of expression and media freedom” (July 2020), p. 10.</w:t>
      </w:r>
    </w:p>
  </w:footnote>
  <w:footnote w:id="21">
    <w:p w14:paraId="330D80EA" w14:textId="643E298E" w:rsidR="000242CC" w:rsidRPr="00CD2BB2" w:rsidRDefault="000242CC" w:rsidP="000242CC">
      <w:pPr>
        <w:pStyle w:val="FootnoteText"/>
      </w:pPr>
      <w:r w:rsidRPr="00CD2BB2">
        <w:tab/>
      </w:r>
      <w:r w:rsidRPr="00CD2BB2">
        <w:rPr>
          <w:rStyle w:val="FootnoteReference"/>
        </w:rPr>
        <w:footnoteRef/>
      </w:r>
      <w:r w:rsidRPr="00CD2BB2">
        <w:tab/>
      </w:r>
      <w:hyperlink r:id="rId13" w:history="1">
        <w:r w:rsidRPr="00CD2BB2">
          <w:rPr>
            <w:rStyle w:val="Hyperlink"/>
          </w:rPr>
          <w:t>A/HRC/44/49</w:t>
        </w:r>
      </w:hyperlink>
      <w:r w:rsidRPr="00CD2BB2">
        <w:t>, para. 24.</w:t>
      </w:r>
    </w:p>
  </w:footnote>
  <w:footnote w:id="22">
    <w:p w14:paraId="28174D8D" w14:textId="2D2C9F04" w:rsidR="000242CC" w:rsidRPr="00CD2BB2" w:rsidRDefault="000242CC" w:rsidP="000242CC">
      <w:pPr>
        <w:pStyle w:val="FootnoteText"/>
      </w:pPr>
      <w:r w:rsidRPr="00CD2BB2">
        <w:tab/>
      </w:r>
      <w:r w:rsidRPr="00CD2BB2">
        <w:rPr>
          <w:rStyle w:val="FootnoteReference"/>
        </w:rPr>
        <w:footnoteRef/>
      </w:r>
      <w:r w:rsidRPr="00CD2BB2">
        <w:tab/>
      </w:r>
      <w:hyperlink r:id="rId14" w:history="1">
        <w:r w:rsidRPr="00CD2BB2">
          <w:rPr>
            <w:rStyle w:val="Hyperlink"/>
          </w:rPr>
          <w:t>A/76/285</w:t>
        </w:r>
      </w:hyperlink>
      <w:r w:rsidRPr="00CD2BB2">
        <w:t>, paras. 17–19.</w:t>
      </w:r>
    </w:p>
  </w:footnote>
  <w:footnote w:id="23">
    <w:p w14:paraId="2106EB13" w14:textId="13348893" w:rsidR="000242CC" w:rsidRPr="00CD2BB2" w:rsidRDefault="000242CC" w:rsidP="000242CC">
      <w:pPr>
        <w:pStyle w:val="FootnoteText"/>
      </w:pPr>
      <w:r w:rsidRPr="00CD2BB2">
        <w:tab/>
      </w:r>
      <w:r w:rsidRPr="00CD2BB2">
        <w:rPr>
          <w:rStyle w:val="FootnoteReference"/>
        </w:rPr>
        <w:footnoteRef/>
      </w:r>
      <w:r w:rsidRPr="00CD2BB2">
        <w:tab/>
      </w:r>
      <w:hyperlink r:id="rId15" w:history="1">
        <w:r w:rsidRPr="00CD2BB2">
          <w:rPr>
            <w:rStyle w:val="Hyperlink"/>
          </w:rPr>
          <w:t>A/HRC/47/25</w:t>
        </w:r>
      </w:hyperlink>
      <w:r w:rsidRPr="00CD2BB2">
        <w:rPr>
          <w:rStyle w:val="Hyperlink"/>
          <w:color w:val="auto"/>
        </w:rPr>
        <w:t>, paras. 25 and 49, and</w:t>
      </w:r>
      <w:r w:rsidRPr="00CD2BB2">
        <w:t xml:space="preserve"> </w:t>
      </w:r>
      <w:hyperlink r:id="rId16" w:history="1">
        <w:r w:rsidRPr="00CD2BB2">
          <w:rPr>
            <w:rStyle w:val="Hyperlink"/>
            <w:szCs w:val="18"/>
          </w:rPr>
          <w:t>A/HRC/44/49</w:t>
        </w:r>
      </w:hyperlink>
      <w:r w:rsidRPr="00CD2BB2">
        <w:rPr>
          <w:rStyle w:val="Hyperlink"/>
          <w:color w:val="auto"/>
          <w:szCs w:val="18"/>
        </w:rPr>
        <w:t>, paras. 41 and 45–47.</w:t>
      </w:r>
      <w:r w:rsidRPr="00CD2BB2">
        <w:rPr>
          <w:szCs w:val="18"/>
        </w:rPr>
        <w:t xml:space="preserve"> See also WHO, “Fighting misinformation in the time of COVID-19, one </w:t>
      </w:r>
      <w:proofErr w:type="gramStart"/>
      <w:r w:rsidRPr="00CD2BB2">
        <w:rPr>
          <w:szCs w:val="18"/>
        </w:rPr>
        <w:t>click</w:t>
      </w:r>
      <w:proofErr w:type="gramEnd"/>
      <w:r w:rsidRPr="00CD2BB2">
        <w:rPr>
          <w:szCs w:val="18"/>
        </w:rPr>
        <w:t xml:space="preserve"> at a time”, 27 April 2021, and UN News, “During this coronavirus pandemic, ‘fake news’ is putting lives at risk: UNESCO”, 13 April 2020. </w:t>
      </w:r>
    </w:p>
  </w:footnote>
  <w:footnote w:id="24">
    <w:p w14:paraId="2174EB01" w14:textId="77777777" w:rsidR="000242CC" w:rsidRPr="00CD2BB2" w:rsidRDefault="000242CC" w:rsidP="000242CC">
      <w:pPr>
        <w:pStyle w:val="FootnoteText"/>
      </w:pPr>
      <w:r w:rsidRPr="00CD2BB2">
        <w:tab/>
      </w:r>
      <w:r w:rsidRPr="00CD2BB2">
        <w:rPr>
          <w:rStyle w:val="FootnoteReference"/>
        </w:rPr>
        <w:footnoteRef/>
      </w:r>
      <w:r w:rsidRPr="00CD2BB2">
        <w:tab/>
        <w:t xml:space="preserve">See World Health Organization, “An overview of </w:t>
      </w:r>
      <w:proofErr w:type="spellStart"/>
      <w:r w:rsidRPr="00CD2BB2">
        <w:t>infodemic</w:t>
      </w:r>
      <w:proofErr w:type="spellEnd"/>
      <w:r w:rsidRPr="00CD2BB2">
        <w:t xml:space="preserve"> management during COVID-19. January 2020 to May 2021”. </w:t>
      </w:r>
    </w:p>
  </w:footnote>
  <w:footnote w:id="25">
    <w:p w14:paraId="1D685A8F" w14:textId="4B4C2490" w:rsidR="000242CC" w:rsidRPr="00CD2BB2" w:rsidRDefault="000242CC" w:rsidP="000242CC">
      <w:pPr>
        <w:pStyle w:val="FootnoteText"/>
      </w:pPr>
      <w:r w:rsidRPr="00CD2BB2">
        <w:tab/>
      </w:r>
      <w:r w:rsidRPr="00CD2BB2">
        <w:rPr>
          <w:rStyle w:val="FootnoteReference"/>
        </w:rPr>
        <w:footnoteRef/>
      </w:r>
      <w:r w:rsidRPr="00CD2BB2">
        <w:tab/>
      </w:r>
      <w:hyperlink r:id="rId17" w:history="1">
        <w:r w:rsidRPr="00CD2BB2">
          <w:rPr>
            <w:rStyle w:val="Hyperlink"/>
          </w:rPr>
          <w:t>A/HRC/44/49</w:t>
        </w:r>
      </w:hyperlink>
      <w:r w:rsidRPr="00CD2BB2">
        <w:t xml:space="preserve">, para. 48. See also contribution of UNESCO. In its general comment No. 34 (2011), the Human Rights Committee noted that restrictions must not be overbroad. See also </w:t>
      </w:r>
      <w:r w:rsidRPr="00CD2BB2">
        <w:rPr>
          <w:bCs/>
        </w:rPr>
        <w:t>Special Rapporteur on freedom of opinion and expression and others,</w:t>
      </w:r>
      <w:r w:rsidRPr="00CD2BB2">
        <w:t xml:space="preserve"> “Joint declaration on freedom of expression and ‘fake news’, disinformation and propaganda”, 3</w:t>
      </w:r>
      <w:r w:rsidR="00121C02" w:rsidRPr="00CD2BB2">
        <w:t xml:space="preserve"> </w:t>
      </w:r>
      <w:r w:rsidRPr="00CD2BB2">
        <w:t>March 2017.</w:t>
      </w:r>
      <w:r w:rsidRPr="00CD2BB2">
        <w:rPr>
          <w:bCs/>
        </w:rPr>
        <w:t xml:space="preserve"> </w:t>
      </w:r>
    </w:p>
  </w:footnote>
  <w:footnote w:id="26">
    <w:p w14:paraId="4766E795" w14:textId="25DA87CA" w:rsidR="000242CC" w:rsidRPr="00CD2BB2" w:rsidRDefault="000242CC" w:rsidP="000242CC">
      <w:pPr>
        <w:pStyle w:val="FootnoteText"/>
      </w:pPr>
      <w:r w:rsidRPr="00CD2BB2">
        <w:tab/>
      </w:r>
      <w:r w:rsidRPr="00CD2BB2">
        <w:rPr>
          <w:rStyle w:val="FootnoteReference"/>
        </w:rPr>
        <w:footnoteRef/>
      </w:r>
      <w:r w:rsidRPr="00CD2BB2">
        <w:tab/>
      </w:r>
      <w:hyperlink r:id="rId18" w:history="1">
        <w:r w:rsidRPr="00CD2BB2">
          <w:rPr>
            <w:rStyle w:val="Hyperlink"/>
          </w:rPr>
          <w:t>A/HRC/47/25</w:t>
        </w:r>
      </w:hyperlink>
      <w:r w:rsidRPr="00CD2BB2">
        <w:t>, para. 54.</w:t>
      </w:r>
    </w:p>
  </w:footnote>
  <w:footnote w:id="27">
    <w:p w14:paraId="51CF0B7B" w14:textId="77777777" w:rsidR="000242CC" w:rsidRPr="00CD2BB2" w:rsidRDefault="000242CC" w:rsidP="000242CC">
      <w:pPr>
        <w:pStyle w:val="FootnoteText"/>
      </w:pPr>
      <w:r w:rsidRPr="00CD2BB2">
        <w:tab/>
      </w:r>
      <w:r w:rsidRPr="00CD2BB2">
        <w:rPr>
          <w:rStyle w:val="FootnoteReference"/>
        </w:rPr>
        <w:footnoteRef/>
      </w:r>
      <w:r w:rsidRPr="00CD2BB2">
        <w:tab/>
        <w:t xml:space="preserve">See </w:t>
      </w:r>
      <w:r w:rsidRPr="00CD2BB2">
        <w:rPr>
          <w:szCs w:val="18"/>
        </w:rPr>
        <w:t xml:space="preserve">contributions of </w:t>
      </w:r>
      <w:r w:rsidRPr="00CD2BB2">
        <w:t>Free Press Unlimited and Article 19.</w:t>
      </w:r>
    </w:p>
  </w:footnote>
  <w:footnote w:id="28">
    <w:p w14:paraId="0EF84B0C" w14:textId="77777777" w:rsidR="000242CC" w:rsidRPr="00CD2BB2" w:rsidRDefault="000242CC" w:rsidP="000242CC">
      <w:pPr>
        <w:pStyle w:val="FootnoteText"/>
      </w:pPr>
      <w:r w:rsidRPr="00CD2BB2">
        <w:tab/>
      </w:r>
      <w:r w:rsidRPr="00CD2BB2">
        <w:rPr>
          <w:rStyle w:val="FootnoteReference"/>
        </w:rPr>
        <w:footnoteRef/>
      </w:r>
      <w:r w:rsidRPr="00CD2BB2">
        <w:tab/>
        <w:t xml:space="preserve">See </w:t>
      </w:r>
      <w:r w:rsidRPr="00CD2BB2">
        <w:rPr>
          <w:szCs w:val="18"/>
        </w:rPr>
        <w:t>contributions of Article 19</w:t>
      </w:r>
      <w:r w:rsidRPr="00CD2BB2">
        <w:t xml:space="preserve"> and the Cambodian </w:t>
      </w:r>
      <w:proofErr w:type="spellStart"/>
      <w:r w:rsidRPr="00CD2BB2">
        <w:t>Center</w:t>
      </w:r>
      <w:proofErr w:type="spellEnd"/>
      <w:r w:rsidRPr="00CD2BB2">
        <w:t xml:space="preserve"> for Human Rights. </w:t>
      </w:r>
    </w:p>
  </w:footnote>
  <w:footnote w:id="29">
    <w:p w14:paraId="6663CB45" w14:textId="67983E0F" w:rsidR="000242CC" w:rsidRPr="00CD2BB2" w:rsidRDefault="000242CC" w:rsidP="000242CC">
      <w:pPr>
        <w:pStyle w:val="FootnoteText"/>
      </w:pPr>
      <w:r w:rsidRPr="00CD2BB2">
        <w:tab/>
      </w:r>
      <w:r w:rsidRPr="00CD2BB2">
        <w:rPr>
          <w:rStyle w:val="FootnoteReference"/>
        </w:rPr>
        <w:footnoteRef/>
      </w:r>
      <w:r w:rsidRPr="00CD2BB2">
        <w:tab/>
        <w:t xml:space="preserve">See contributions of UNESCO and the International Federation of Journalists. See also Council of Europe and Safety of Journalists Platform, </w:t>
      </w:r>
      <w:r w:rsidRPr="00CD2BB2">
        <w:rPr>
          <w:i/>
          <w:iCs/>
        </w:rPr>
        <w:t xml:space="preserve">Wanted! Real Action for Media Freedom in Europe </w:t>
      </w:r>
      <w:r w:rsidRPr="00CD2BB2">
        <w:t xml:space="preserve">(2021). </w:t>
      </w:r>
    </w:p>
  </w:footnote>
  <w:footnote w:id="30">
    <w:p w14:paraId="1D7A13F3" w14:textId="1DD97D46" w:rsidR="000242CC" w:rsidRPr="00CD2BB2" w:rsidRDefault="000242CC" w:rsidP="000242CC">
      <w:pPr>
        <w:pStyle w:val="FootnoteText"/>
        <w:tabs>
          <w:tab w:val="left" w:pos="1482"/>
        </w:tabs>
      </w:pPr>
      <w:r w:rsidRPr="00CD2BB2">
        <w:tab/>
      </w:r>
      <w:r w:rsidRPr="00CD2BB2">
        <w:rPr>
          <w:rStyle w:val="FootnoteReference"/>
        </w:rPr>
        <w:footnoteRef/>
      </w:r>
      <w:r w:rsidRPr="00CD2BB2">
        <w:tab/>
        <w:t xml:space="preserve">See </w:t>
      </w:r>
      <w:hyperlink r:id="rId19" w:history="1">
        <w:r w:rsidR="00374626" w:rsidRPr="00755951">
          <w:rPr>
            <w:rStyle w:val="Hyperlink"/>
          </w:rPr>
          <w:t>https://ipi.media/covid19/?alert_type=0&amp;language=0&amp;years=0&amp;country=0</w:t>
        </w:r>
      </w:hyperlink>
      <w:r w:rsidRPr="00CD2BB2">
        <w:rPr>
          <w:rStyle w:val="Hyperlink"/>
          <w:color w:val="auto"/>
        </w:rPr>
        <w:t>.</w:t>
      </w:r>
    </w:p>
  </w:footnote>
  <w:footnote w:id="31">
    <w:p w14:paraId="6F5C0ABF" w14:textId="2B486ECF" w:rsidR="000242CC" w:rsidRPr="00CD2BB2" w:rsidRDefault="000242CC" w:rsidP="000242CC">
      <w:pPr>
        <w:pStyle w:val="FootnoteText"/>
      </w:pPr>
      <w:r w:rsidRPr="00CD2BB2">
        <w:tab/>
      </w:r>
      <w:r w:rsidRPr="00CD2BB2">
        <w:rPr>
          <w:rStyle w:val="FootnoteReference"/>
        </w:rPr>
        <w:footnoteRef/>
      </w:r>
      <w:r w:rsidRPr="00CD2BB2">
        <w:tab/>
        <w:t xml:space="preserve">See also </w:t>
      </w:r>
      <w:hyperlink r:id="rId20" w:history="1">
        <w:r w:rsidRPr="00CD2BB2">
          <w:rPr>
            <w:rStyle w:val="Hyperlink"/>
          </w:rPr>
          <w:t>A/HRC/49/38</w:t>
        </w:r>
      </w:hyperlink>
      <w:r w:rsidRPr="00CD2BB2">
        <w:t>, para. 46.</w:t>
      </w:r>
    </w:p>
  </w:footnote>
  <w:footnote w:id="32">
    <w:p w14:paraId="39152771" w14:textId="77777777" w:rsidR="000242CC" w:rsidRPr="00CD2BB2" w:rsidRDefault="000242CC" w:rsidP="000242CC">
      <w:pPr>
        <w:pStyle w:val="FootnoteText"/>
      </w:pPr>
      <w:r w:rsidRPr="00CD2BB2">
        <w:tab/>
      </w:r>
      <w:r w:rsidRPr="00CD2BB2">
        <w:rPr>
          <w:rStyle w:val="FootnoteReference"/>
        </w:rPr>
        <w:footnoteRef/>
      </w:r>
      <w:r w:rsidRPr="00CD2BB2">
        <w:t xml:space="preserve"> </w:t>
      </w:r>
      <w:r w:rsidRPr="00CD2BB2">
        <w:tab/>
        <w:t xml:space="preserve">See Julie </w:t>
      </w:r>
      <w:proofErr w:type="spellStart"/>
      <w:r w:rsidRPr="00CD2BB2">
        <w:t>Posetti</w:t>
      </w:r>
      <w:proofErr w:type="spellEnd"/>
      <w:r w:rsidRPr="00CD2BB2">
        <w:t>, Emily Bell and Pete Brown, “Journalism and the pandemic: a global snapshot of impacts” (2020).</w:t>
      </w:r>
    </w:p>
  </w:footnote>
  <w:footnote w:id="33">
    <w:p w14:paraId="7B96DCCF" w14:textId="6E5BF81C" w:rsidR="000242CC" w:rsidRPr="00CD2BB2" w:rsidRDefault="000242CC" w:rsidP="000242CC">
      <w:pPr>
        <w:pStyle w:val="FootnoteText"/>
      </w:pPr>
      <w:r w:rsidRPr="00CD2BB2">
        <w:tab/>
      </w:r>
      <w:r w:rsidRPr="00CD2BB2">
        <w:rPr>
          <w:rStyle w:val="FootnoteReference"/>
        </w:rPr>
        <w:footnoteRef/>
      </w:r>
      <w:r w:rsidRPr="00CD2BB2">
        <w:tab/>
        <w:t>See contributions of</w:t>
      </w:r>
      <w:r w:rsidR="00121C02" w:rsidRPr="00CD2BB2">
        <w:t xml:space="preserve"> </w:t>
      </w:r>
      <w:r w:rsidRPr="00CD2BB2">
        <w:t xml:space="preserve">Free Press Unlimited and Media Freedom Rapid Response. See also </w:t>
      </w:r>
      <w:proofErr w:type="spellStart"/>
      <w:r w:rsidRPr="00CD2BB2">
        <w:t>AccessNow</w:t>
      </w:r>
      <w:proofErr w:type="spellEnd"/>
      <w:r w:rsidRPr="00CD2BB2">
        <w:t xml:space="preserve">, “Fighting misinformation and defending free expression during COVID-19: recommendations for states” (April 2020), p. 7. </w:t>
      </w:r>
    </w:p>
  </w:footnote>
  <w:footnote w:id="34">
    <w:p w14:paraId="65A1EB55" w14:textId="77777777" w:rsidR="000242CC" w:rsidRPr="00CD2BB2" w:rsidRDefault="000242CC" w:rsidP="000242CC">
      <w:pPr>
        <w:pStyle w:val="FootnoteText"/>
      </w:pPr>
      <w:r w:rsidRPr="00CD2BB2">
        <w:tab/>
      </w:r>
      <w:r w:rsidRPr="00CD2BB2">
        <w:rPr>
          <w:rStyle w:val="FootnoteReference"/>
        </w:rPr>
        <w:footnoteRef/>
      </w:r>
      <w:r w:rsidRPr="00CD2BB2">
        <w:tab/>
        <w:t>See contributions of Free Press Unlimited and Media Freedom Rapid Response.</w:t>
      </w:r>
    </w:p>
  </w:footnote>
  <w:footnote w:id="35">
    <w:p w14:paraId="0FCDF8B8" w14:textId="77777777" w:rsidR="000242CC" w:rsidRPr="00CD2BB2" w:rsidRDefault="000242CC" w:rsidP="000242CC">
      <w:pPr>
        <w:pStyle w:val="FootnoteText"/>
      </w:pPr>
      <w:r w:rsidRPr="00CD2BB2">
        <w:tab/>
      </w:r>
      <w:r w:rsidRPr="00CD2BB2">
        <w:rPr>
          <w:rStyle w:val="FootnoteReference"/>
        </w:rPr>
        <w:footnoteRef/>
      </w:r>
      <w:r w:rsidRPr="00CD2BB2">
        <w:tab/>
        <w:t>See International Press Institute, COVID-19 press freedom tracker.</w:t>
      </w:r>
    </w:p>
  </w:footnote>
  <w:footnote w:id="36">
    <w:p w14:paraId="6BCB6057" w14:textId="77777777" w:rsidR="000242CC" w:rsidRPr="00CD2BB2" w:rsidRDefault="000242CC" w:rsidP="000242CC">
      <w:pPr>
        <w:pStyle w:val="FootnoteText"/>
      </w:pPr>
      <w:r w:rsidRPr="00CD2BB2">
        <w:tab/>
      </w:r>
      <w:r w:rsidRPr="00CD2BB2">
        <w:rPr>
          <w:rStyle w:val="FootnoteReference"/>
        </w:rPr>
        <w:footnoteRef/>
      </w:r>
      <w:r w:rsidRPr="00CD2BB2">
        <w:tab/>
        <w:t>See contribution of Media Freedom Rapid Response.</w:t>
      </w:r>
    </w:p>
  </w:footnote>
  <w:footnote w:id="37">
    <w:p w14:paraId="743BDDF7" w14:textId="77777777" w:rsidR="000242CC" w:rsidRPr="00CD2BB2" w:rsidRDefault="000242CC" w:rsidP="000242CC">
      <w:pPr>
        <w:pStyle w:val="FootnoteText"/>
        <w:tabs>
          <w:tab w:val="left" w:pos="1482"/>
        </w:tabs>
      </w:pPr>
      <w:r w:rsidRPr="00CD2BB2">
        <w:tab/>
      </w:r>
      <w:r w:rsidRPr="00CD2BB2">
        <w:rPr>
          <w:rStyle w:val="FootnoteReference"/>
        </w:rPr>
        <w:footnoteRef/>
      </w:r>
      <w:r w:rsidRPr="00CD2BB2">
        <w:tab/>
        <w:t>See also contribution of Reporters Without Borders.</w:t>
      </w:r>
    </w:p>
  </w:footnote>
  <w:footnote w:id="38">
    <w:p w14:paraId="37BF5061" w14:textId="57A13A1A" w:rsidR="000242CC" w:rsidRPr="00CD2BB2" w:rsidRDefault="000242CC" w:rsidP="000242CC">
      <w:pPr>
        <w:pStyle w:val="FootnoteText"/>
        <w:ind w:right="283"/>
      </w:pPr>
      <w:r w:rsidRPr="00CD2BB2">
        <w:tab/>
      </w:r>
      <w:r w:rsidRPr="00CD2BB2">
        <w:rPr>
          <w:rStyle w:val="FootnoteReference"/>
        </w:rPr>
        <w:footnoteRef/>
      </w:r>
      <w:bookmarkStart w:id="7" w:name="_Hlk91016828"/>
      <w:r w:rsidRPr="00CD2BB2">
        <w:tab/>
        <w:t xml:space="preserve">See Council of Europe and Safety of Journalists Platform, </w:t>
      </w:r>
      <w:r w:rsidRPr="00CD2BB2">
        <w:rPr>
          <w:i/>
          <w:iCs/>
        </w:rPr>
        <w:t>Wanted! Real Action for Media Freedom in Europe</w:t>
      </w:r>
      <w:r w:rsidRPr="00CD2BB2">
        <w:t xml:space="preserve"> (2021)</w:t>
      </w:r>
      <w:r w:rsidRPr="00CD2BB2">
        <w:rPr>
          <w:i/>
          <w:iCs/>
        </w:rPr>
        <w:t>.</w:t>
      </w:r>
      <w:bookmarkEnd w:id="7"/>
    </w:p>
  </w:footnote>
  <w:footnote w:id="39">
    <w:p w14:paraId="417B789F" w14:textId="45665891" w:rsidR="000242CC" w:rsidRPr="00CD2BB2" w:rsidRDefault="000242CC" w:rsidP="000242CC">
      <w:pPr>
        <w:pStyle w:val="FootnoteText"/>
        <w:tabs>
          <w:tab w:val="left" w:pos="1482"/>
        </w:tabs>
      </w:pPr>
      <w:r w:rsidRPr="00CD2BB2">
        <w:tab/>
      </w:r>
      <w:r w:rsidRPr="00CD2BB2">
        <w:rPr>
          <w:rStyle w:val="FootnoteReference"/>
        </w:rPr>
        <w:footnoteRef/>
      </w:r>
      <w:r w:rsidRPr="00CD2BB2">
        <w:tab/>
      </w:r>
      <w:hyperlink r:id="rId21" w:history="1">
        <w:r w:rsidRPr="00CD2BB2">
          <w:rPr>
            <w:rStyle w:val="Hyperlink"/>
          </w:rPr>
          <w:t>A/71/373.</w:t>
        </w:r>
      </w:hyperlink>
      <w:r w:rsidRPr="00CD2BB2">
        <w:t xml:space="preserve"> </w:t>
      </w:r>
    </w:p>
  </w:footnote>
  <w:footnote w:id="40">
    <w:p w14:paraId="38CF4E5E" w14:textId="77777777" w:rsidR="000242CC" w:rsidRPr="00CD2BB2" w:rsidRDefault="000242CC" w:rsidP="000242CC">
      <w:pPr>
        <w:pStyle w:val="FootnoteText"/>
        <w:tabs>
          <w:tab w:val="left" w:pos="1482"/>
        </w:tabs>
      </w:pPr>
      <w:r w:rsidRPr="00CD2BB2">
        <w:tab/>
      </w:r>
      <w:r w:rsidRPr="00CD2BB2">
        <w:rPr>
          <w:rStyle w:val="FootnoteReference"/>
        </w:rPr>
        <w:footnoteRef/>
      </w:r>
      <w:r w:rsidRPr="00CD2BB2">
        <w:tab/>
        <w:t>See contribution</w:t>
      </w:r>
      <w:r w:rsidRPr="00CD2BB2">
        <w:rPr>
          <w:szCs w:val="18"/>
        </w:rPr>
        <w:t xml:space="preserve"> of the </w:t>
      </w:r>
      <w:proofErr w:type="spellStart"/>
      <w:r w:rsidRPr="00CD2BB2">
        <w:rPr>
          <w:szCs w:val="18"/>
        </w:rPr>
        <w:t>Associação</w:t>
      </w:r>
      <w:proofErr w:type="spellEnd"/>
      <w:r w:rsidRPr="00CD2BB2">
        <w:rPr>
          <w:szCs w:val="18"/>
        </w:rPr>
        <w:t xml:space="preserve"> </w:t>
      </w:r>
      <w:proofErr w:type="spellStart"/>
      <w:r w:rsidRPr="00CD2BB2">
        <w:rPr>
          <w:szCs w:val="18"/>
        </w:rPr>
        <w:t>Brasileira</w:t>
      </w:r>
      <w:proofErr w:type="spellEnd"/>
      <w:r w:rsidRPr="00CD2BB2">
        <w:rPr>
          <w:szCs w:val="18"/>
        </w:rPr>
        <w:t xml:space="preserve"> de </w:t>
      </w:r>
      <w:proofErr w:type="spellStart"/>
      <w:r w:rsidRPr="00CD2BB2">
        <w:rPr>
          <w:szCs w:val="18"/>
        </w:rPr>
        <w:t>Jornalismo</w:t>
      </w:r>
      <w:proofErr w:type="spellEnd"/>
      <w:r w:rsidRPr="00CD2BB2">
        <w:rPr>
          <w:szCs w:val="18"/>
        </w:rPr>
        <w:t xml:space="preserve"> </w:t>
      </w:r>
      <w:proofErr w:type="spellStart"/>
      <w:r w:rsidRPr="00CD2BB2">
        <w:rPr>
          <w:szCs w:val="18"/>
        </w:rPr>
        <w:t>Investigativo</w:t>
      </w:r>
      <w:proofErr w:type="spellEnd"/>
      <w:r w:rsidRPr="00CD2BB2">
        <w:rPr>
          <w:szCs w:val="18"/>
        </w:rPr>
        <w:t xml:space="preserve"> (</w:t>
      </w:r>
      <w:r w:rsidRPr="00CD2BB2">
        <w:t>ABRAJI).</w:t>
      </w:r>
    </w:p>
  </w:footnote>
  <w:footnote w:id="41">
    <w:p w14:paraId="03FE477D" w14:textId="5D9F8F59" w:rsidR="000242CC" w:rsidRPr="00CD2BB2" w:rsidRDefault="000242CC" w:rsidP="000242CC">
      <w:pPr>
        <w:pStyle w:val="FootnoteText"/>
        <w:tabs>
          <w:tab w:val="left" w:pos="1482"/>
        </w:tabs>
      </w:pPr>
      <w:r w:rsidRPr="00CD2BB2">
        <w:tab/>
      </w:r>
      <w:r w:rsidRPr="00CD2BB2">
        <w:rPr>
          <w:rStyle w:val="FootnoteReference"/>
        </w:rPr>
        <w:footnoteRef/>
      </w:r>
      <w:r w:rsidRPr="00CD2BB2">
        <w:tab/>
        <w:t>As of 6 January 2022, the</w:t>
      </w:r>
      <w:r w:rsidR="00121C02" w:rsidRPr="00CD2BB2">
        <w:t xml:space="preserve"> </w:t>
      </w:r>
      <w:r w:rsidRPr="00CD2BB2">
        <w:t xml:space="preserve">tracker had recorded 473 media freedom violations, including physical and verbal attacks. See </w:t>
      </w:r>
      <w:hyperlink r:id="rId22" w:history="1">
        <w:r w:rsidR="00BF5A35" w:rsidRPr="00755951">
          <w:rPr>
            <w:rStyle w:val="Hyperlink"/>
          </w:rPr>
          <w:t>https://ipi.media/covid19-media-freedom-monitoring/</w:t>
        </w:r>
      </w:hyperlink>
      <w:r w:rsidRPr="00CD2BB2">
        <w:t xml:space="preserve">. </w:t>
      </w:r>
    </w:p>
  </w:footnote>
  <w:footnote w:id="42">
    <w:p w14:paraId="4D0949FF" w14:textId="5880F960" w:rsidR="000242CC" w:rsidRPr="00CD2BB2" w:rsidRDefault="000242CC" w:rsidP="000242CC">
      <w:pPr>
        <w:pStyle w:val="FootnoteText"/>
        <w:tabs>
          <w:tab w:val="left" w:pos="1482"/>
        </w:tabs>
      </w:pPr>
      <w:r w:rsidRPr="00CD2BB2">
        <w:tab/>
      </w:r>
      <w:r w:rsidRPr="00CD2BB2">
        <w:rPr>
          <w:rStyle w:val="FootnoteReference"/>
        </w:rPr>
        <w:footnoteRef/>
      </w:r>
      <w:r w:rsidRPr="00CD2BB2">
        <w:tab/>
        <w:t>See contributions</w:t>
      </w:r>
      <w:r w:rsidRPr="00CD2BB2">
        <w:rPr>
          <w:szCs w:val="18"/>
        </w:rPr>
        <w:t xml:space="preserve"> of </w:t>
      </w:r>
      <w:r w:rsidRPr="00CD2BB2">
        <w:t xml:space="preserve">ABRAJI, Article 19, Free Press Unlimited, UNESCO and Reporters Without Borders. See also Council of Europe and Safety of Journalists Platform, </w:t>
      </w:r>
      <w:r w:rsidRPr="00CD2BB2">
        <w:rPr>
          <w:i/>
          <w:iCs/>
        </w:rPr>
        <w:t>Wanted! Real Action for Media Freedom in Europe.</w:t>
      </w:r>
    </w:p>
  </w:footnote>
  <w:footnote w:id="43">
    <w:p w14:paraId="78688F54" w14:textId="3B8073B1" w:rsidR="000242CC" w:rsidRPr="00CD2BB2" w:rsidRDefault="000242CC" w:rsidP="000242CC">
      <w:pPr>
        <w:pStyle w:val="FootnoteText"/>
        <w:tabs>
          <w:tab w:val="left" w:pos="1482"/>
        </w:tabs>
      </w:pPr>
      <w:r w:rsidRPr="00CD2BB2">
        <w:tab/>
      </w:r>
      <w:r w:rsidRPr="00CD2BB2">
        <w:rPr>
          <w:rStyle w:val="FootnoteReference"/>
        </w:rPr>
        <w:footnoteRef/>
      </w:r>
      <w:r w:rsidRPr="00CD2BB2">
        <w:tab/>
      </w:r>
      <w:hyperlink r:id="rId23" w:history="1">
        <w:r w:rsidRPr="00CD2BB2">
          <w:rPr>
            <w:rStyle w:val="Hyperlink"/>
          </w:rPr>
          <w:t>A/HRC/44/49.</w:t>
        </w:r>
      </w:hyperlink>
    </w:p>
  </w:footnote>
  <w:footnote w:id="44">
    <w:p w14:paraId="5E4F8598" w14:textId="4993D253" w:rsidR="000242CC" w:rsidRPr="00CD2BB2" w:rsidRDefault="000242CC" w:rsidP="000242CC">
      <w:pPr>
        <w:pStyle w:val="FootnoteText"/>
      </w:pPr>
      <w:r w:rsidRPr="00CD2BB2">
        <w:tab/>
      </w:r>
      <w:r w:rsidRPr="00CD2BB2">
        <w:rPr>
          <w:rStyle w:val="FootnoteReference"/>
        </w:rPr>
        <w:footnoteRef/>
      </w:r>
      <w:r w:rsidRPr="00CD2BB2">
        <w:tab/>
        <w:t xml:space="preserve">See, for example, </w:t>
      </w:r>
      <w:hyperlink r:id="rId24" w:history="1">
        <w:r w:rsidR="00EE2488" w:rsidRPr="00755951">
          <w:rPr>
            <w:rStyle w:val="Hyperlink"/>
          </w:rPr>
          <w:t>https://www.ohchr.org/EN/NewsEvents/Pages/DisplayNews.aspx?NewsID=25856</w:t>
        </w:r>
      </w:hyperlink>
      <w:r w:rsidRPr="00CD2BB2">
        <w:rPr>
          <w:rStyle w:val="Hyperlink"/>
          <w:color w:val="auto"/>
        </w:rPr>
        <w:t>.</w:t>
      </w:r>
    </w:p>
  </w:footnote>
  <w:footnote w:id="45">
    <w:p w14:paraId="2BC510A1" w14:textId="6843B165" w:rsidR="000242CC" w:rsidRPr="00CD2BB2" w:rsidRDefault="000242CC" w:rsidP="000242CC">
      <w:pPr>
        <w:pStyle w:val="FootnoteText"/>
        <w:tabs>
          <w:tab w:val="left" w:pos="1482"/>
        </w:tabs>
      </w:pPr>
      <w:r w:rsidRPr="00CD2BB2">
        <w:tab/>
      </w:r>
      <w:r w:rsidRPr="00CD2BB2">
        <w:rPr>
          <w:rStyle w:val="FootnoteReference"/>
        </w:rPr>
        <w:footnoteRef/>
      </w:r>
      <w:r w:rsidRPr="00CD2BB2">
        <w:tab/>
        <w:t>See, for example, communications sent to China on 7 May 2020, to Ethiopia on 12 May 2020</w:t>
      </w:r>
      <w:r w:rsidR="00121C02" w:rsidRPr="00CD2BB2">
        <w:t xml:space="preserve"> </w:t>
      </w:r>
      <w:r w:rsidRPr="00CD2BB2">
        <w:t>and to the Bolivarian Republic of Venezuela on 28 April 2020.</w:t>
      </w:r>
    </w:p>
  </w:footnote>
  <w:footnote w:id="46">
    <w:p w14:paraId="421BC65B" w14:textId="5C1AFB1C" w:rsidR="000242CC" w:rsidRPr="00CD2BB2" w:rsidRDefault="000242CC" w:rsidP="000242CC">
      <w:pPr>
        <w:pStyle w:val="FootnoteText"/>
      </w:pPr>
      <w:r w:rsidRPr="00CD2BB2">
        <w:tab/>
      </w:r>
      <w:r w:rsidRPr="00CD2BB2">
        <w:rPr>
          <w:rStyle w:val="FootnoteReference"/>
        </w:rPr>
        <w:footnoteRef/>
      </w:r>
      <w:r w:rsidRPr="00CD2BB2">
        <w:tab/>
        <w:t xml:space="preserve">See </w:t>
      </w:r>
      <w:hyperlink r:id="rId25" w:history="1">
        <w:r w:rsidRPr="00CD2BB2">
          <w:rPr>
            <w:rStyle w:val="Hyperlink"/>
          </w:rPr>
          <w:t>A/HRC/27/37</w:t>
        </w:r>
      </w:hyperlink>
      <w:r w:rsidRPr="00CD2BB2">
        <w:t xml:space="preserve">, </w:t>
      </w:r>
      <w:hyperlink r:id="rId26" w:history="1">
        <w:r w:rsidRPr="00CD2BB2">
          <w:rPr>
            <w:rStyle w:val="Hyperlink"/>
          </w:rPr>
          <w:t>A/HRC/28/39</w:t>
        </w:r>
      </w:hyperlink>
      <w:r w:rsidRPr="00CD2BB2">
        <w:t xml:space="preserve"> and </w:t>
      </w:r>
      <w:hyperlink r:id="rId27" w:history="1">
        <w:r w:rsidRPr="00CD2BB2">
          <w:rPr>
            <w:rStyle w:val="Hyperlink"/>
          </w:rPr>
          <w:t>A/HRC/41/35.</w:t>
        </w:r>
      </w:hyperlink>
    </w:p>
  </w:footnote>
  <w:footnote w:id="47">
    <w:p w14:paraId="3E95710B" w14:textId="77777777" w:rsidR="000242CC" w:rsidRPr="00CD2BB2" w:rsidRDefault="000242CC" w:rsidP="000242CC">
      <w:pPr>
        <w:pStyle w:val="FootnoteText"/>
      </w:pPr>
      <w:r w:rsidRPr="00CD2BB2">
        <w:tab/>
      </w:r>
      <w:r w:rsidRPr="00CD2BB2">
        <w:rPr>
          <w:rStyle w:val="FootnoteReference"/>
        </w:rPr>
        <w:footnoteRef/>
      </w:r>
      <w:r w:rsidRPr="00CD2BB2">
        <w:tab/>
        <w:t>Resolution 45/18, para. 10 (k) and (l).</w:t>
      </w:r>
    </w:p>
  </w:footnote>
  <w:footnote w:id="48">
    <w:p w14:paraId="061E80A0" w14:textId="71BE380A" w:rsidR="000242CC" w:rsidRPr="00CD2BB2" w:rsidRDefault="000242CC" w:rsidP="000242CC">
      <w:pPr>
        <w:pStyle w:val="FootnoteText"/>
        <w:widowControl w:val="0"/>
        <w:tabs>
          <w:tab w:val="clear" w:pos="1021"/>
          <w:tab w:val="right" w:pos="1020"/>
        </w:tabs>
      </w:pPr>
      <w:r w:rsidRPr="00CD2BB2">
        <w:tab/>
      </w:r>
      <w:r w:rsidRPr="00CD2BB2">
        <w:rPr>
          <w:rStyle w:val="FootnoteReference"/>
        </w:rPr>
        <w:footnoteRef/>
      </w:r>
      <w:r w:rsidRPr="00CD2BB2">
        <w:tab/>
        <w:t xml:space="preserve">See </w:t>
      </w:r>
      <w:hyperlink r:id="rId28" w:history="1">
        <w:r w:rsidR="003A3E4A" w:rsidRPr="00755951">
          <w:rPr>
            <w:rStyle w:val="Hyperlink"/>
          </w:rPr>
          <w:t>https://forbiddenstories.org/pegasus-journalists-under-surveillance/</w:t>
        </w:r>
      </w:hyperlink>
      <w:r w:rsidRPr="00CD2BB2">
        <w:rPr>
          <w:rStyle w:val="Hyperlink"/>
          <w:color w:val="auto"/>
        </w:rPr>
        <w:t>.</w:t>
      </w:r>
    </w:p>
  </w:footnote>
  <w:footnote w:id="49">
    <w:p w14:paraId="5B39347E" w14:textId="7DBA5BE9" w:rsidR="000242CC" w:rsidRPr="00CD2BB2" w:rsidRDefault="000242CC" w:rsidP="000242CC">
      <w:pPr>
        <w:pStyle w:val="FootnoteText"/>
        <w:tabs>
          <w:tab w:val="left" w:pos="1482"/>
        </w:tabs>
        <w:rPr>
          <w:szCs w:val="18"/>
        </w:rPr>
      </w:pPr>
      <w:r w:rsidRPr="00CD2BB2">
        <w:rPr>
          <w:szCs w:val="18"/>
        </w:rPr>
        <w:tab/>
      </w:r>
      <w:r w:rsidRPr="00CD2BB2">
        <w:rPr>
          <w:rStyle w:val="FootnoteReference"/>
        </w:rPr>
        <w:footnoteRef/>
      </w:r>
      <w:r w:rsidRPr="00CD2BB2">
        <w:rPr>
          <w:szCs w:val="18"/>
        </w:rPr>
        <w:tab/>
        <w:t xml:space="preserve">See statement by the High Commissioner, “Use of spyware to </w:t>
      </w:r>
      <w:proofErr w:type="spellStart"/>
      <w:r w:rsidRPr="00CD2BB2">
        <w:rPr>
          <w:szCs w:val="18"/>
        </w:rPr>
        <w:t>surveil</w:t>
      </w:r>
      <w:proofErr w:type="spellEnd"/>
      <w:r w:rsidRPr="00CD2BB2">
        <w:rPr>
          <w:szCs w:val="18"/>
        </w:rPr>
        <w:t xml:space="preserve"> journalists and human rights defenders”, 19 July 2021; and United Nations, “COVID-19 and human rights: we are all in this together”. See also </w:t>
      </w:r>
      <w:hyperlink r:id="rId29" w:history="1">
        <w:r w:rsidRPr="00CD2BB2">
          <w:rPr>
            <w:rStyle w:val="Hyperlink"/>
            <w:szCs w:val="18"/>
          </w:rPr>
          <w:t>A/HRC/41/35</w:t>
        </w:r>
      </w:hyperlink>
      <w:r w:rsidRPr="00CD2BB2">
        <w:rPr>
          <w:szCs w:val="18"/>
        </w:rPr>
        <w:t xml:space="preserve">, paras. 7–14; </w:t>
      </w:r>
      <w:hyperlink r:id="rId30" w:history="1">
        <w:r w:rsidRPr="00CD2BB2">
          <w:rPr>
            <w:rStyle w:val="Hyperlink"/>
            <w:szCs w:val="18"/>
          </w:rPr>
          <w:t>A/HRC/41/CRP.1</w:t>
        </w:r>
      </w:hyperlink>
      <w:r w:rsidRPr="00CD2BB2">
        <w:rPr>
          <w:szCs w:val="18"/>
        </w:rPr>
        <w:t>;</w:t>
      </w:r>
      <w:r w:rsidRPr="00CD2BB2">
        <w:t xml:space="preserve"> </w:t>
      </w:r>
      <w:hyperlink r:id="rId31" w:history="1">
        <w:r w:rsidRPr="00CD2BB2">
          <w:rPr>
            <w:rStyle w:val="Hyperlink"/>
          </w:rPr>
          <w:t>A/HRC/44/49</w:t>
        </w:r>
      </w:hyperlink>
      <w:r w:rsidRPr="00CD2BB2">
        <w:t xml:space="preserve">, para. 10; </w:t>
      </w:r>
      <w:hyperlink r:id="rId32" w:history="1">
        <w:r w:rsidRPr="00CD2BB2">
          <w:rPr>
            <w:rStyle w:val="Hyperlink"/>
          </w:rPr>
          <w:t>A/76/285</w:t>
        </w:r>
      </w:hyperlink>
      <w:r w:rsidRPr="00CD2BB2">
        <w:t xml:space="preserve"> paras. 10–12 and 17</w:t>
      </w:r>
      <w:r w:rsidRPr="00CD2BB2">
        <w:rPr>
          <w:szCs w:val="18"/>
        </w:rPr>
        <w:t>; and Freedom House, “Freedom on the Net 2020. The pandemic’s digital shadow”.</w:t>
      </w:r>
    </w:p>
  </w:footnote>
  <w:footnote w:id="50">
    <w:p w14:paraId="3C9FB2B8" w14:textId="5E92DFFE" w:rsidR="000242CC" w:rsidRPr="00CD2BB2" w:rsidRDefault="003350E4" w:rsidP="000242CC">
      <w:pPr>
        <w:pStyle w:val="FootnoteText"/>
        <w:tabs>
          <w:tab w:val="right" w:pos="993"/>
        </w:tabs>
        <w:ind w:right="425"/>
      </w:pPr>
      <w:r>
        <w:tab/>
      </w:r>
      <w:r w:rsidR="000242CC" w:rsidRPr="00CD2BB2">
        <w:rPr>
          <w:rStyle w:val="FootnoteReference"/>
        </w:rPr>
        <w:footnoteRef/>
      </w:r>
      <w:r>
        <w:tab/>
      </w:r>
      <w:r w:rsidR="000242CC" w:rsidRPr="00CD2BB2">
        <w:tab/>
        <w:t xml:space="preserve">See, for example, statement by the High Commissioner on the implications of Pegasus spyware </w:t>
      </w:r>
      <w:hyperlink r:id="rId33" w:history="1">
        <w:r w:rsidR="002072D3" w:rsidRPr="00755951">
          <w:rPr>
            <w:rStyle w:val="Hyperlink"/>
          </w:rPr>
          <w:t>https://www.ohchr.org/EN/NewsEvents/Pages/DisplayNews.aspx?NewsID=27455&amp;LangID=E</w:t>
        </w:r>
      </w:hyperlink>
      <w:r w:rsidR="000242CC" w:rsidRPr="00CD2BB2">
        <w:rPr>
          <w:rStyle w:val="Hyperlink"/>
          <w:color w:val="auto"/>
        </w:rPr>
        <w:t>.</w:t>
      </w:r>
      <w:r w:rsidR="000242CC" w:rsidRPr="00CD2BB2">
        <w:t xml:space="preserve"> See also </w:t>
      </w:r>
      <w:hyperlink r:id="rId34" w:history="1">
        <w:r w:rsidR="002072D3" w:rsidRPr="00755951">
          <w:rPr>
            <w:rStyle w:val="Hyperlink"/>
          </w:rPr>
          <w:t>https://www.oas.org/en/iachr/expression/showarticle.asp?artID=1207&amp;lID=1</w:t>
        </w:r>
      </w:hyperlink>
      <w:r w:rsidR="000242CC" w:rsidRPr="00CD2BB2">
        <w:t xml:space="preserve">, </w:t>
      </w:r>
      <w:hyperlink r:id="rId35" w:history="1">
        <w:r w:rsidR="002072D3" w:rsidRPr="00755951">
          <w:rPr>
            <w:rStyle w:val="Hyperlink"/>
          </w:rPr>
          <w:t>https://www.oas.org/en/iachr/expression/showarticle.asp?artID=1218&amp;lID=1</w:t>
        </w:r>
      </w:hyperlink>
      <w:r w:rsidR="000242CC" w:rsidRPr="00CD2BB2">
        <w:rPr>
          <w:rStyle w:val="Hyperlink"/>
          <w:color w:val="auto"/>
        </w:rPr>
        <w:t>.</w:t>
      </w:r>
      <w:r w:rsidR="000242CC" w:rsidRPr="00CD2BB2">
        <w:t xml:space="preserve"> </w:t>
      </w:r>
    </w:p>
  </w:footnote>
  <w:footnote w:id="51">
    <w:p w14:paraId="55981ABA" w14:textId="0E24C356" w:rsidR="000242CC" w:rsidRPr="00CD2BB2" w:rsidRDefault="000242CC" w:rsidP="000242CC">
      <w:pPr>
        <w:pStyle w:val="FootnoteText"/>
        <w:widowControl w:val="0"/>
        <w:tabs>
          <w:tab w:val="clear" w:pos="1021"/>
          <w:tab w:val="right" w:pos="1020"/>
        </w:tabs>
      </w:pPr>
      <w:r w:rsidRPr="00CD2BB2">
        <w:tab/>
      </w:r>
      <w:r w:rsidRPr="00CD2BB2">
        <w:rPr>
          <w:rStyle w:val="FootnoteReference"/>
        </w:rPr>
        <w:footnoteRef/>
      </w:r>
      <w:r w:rsidRPr="00CD2BB2">
        <w:tab/>
      </w:r>
      <w:r w:rsidRPr="00CD2BB2">
        <w:rPr>
          <w:szCs w:val="18"/>
        </w:rPr>
        <w:t>UNESCO, “Journalism, press freedom and COVID-19” (2020), p.</w:t>
      </w:r>
      <w:r w:rsidR="00391E5D">
        <w:rPr>
          <w:szCs w:val="18"/>
        </w:rPr>
        <w:t xml:space="preserve"> </w:t>
      </w:r>
      <w:r w:rsidRPr="00CD2BB2">
        <w:rPr>
          <w:szCs w:val="18"/>
        </w:rPr>
        <w:t>14.</w:t>
      </w:r>
    </w:p>
  </w:footnote>
  <w:footnote w:id="52">
    <w:p w14:paraId="47464243" w14:textId="7D948B16" w:rsidR="000242CC" w:rsidRPr="00CD2BB2" w:rsidRDefault="000242CC" w:rsidP="000242CC">
      <w:pPr>
        <w:pStyle w:val="FootnoteText"/>
      </w:pPr>
      <w:r w:rsidRPr="00CD2BB2">
        <w:tab/>
      </w:r>
      <w:r w:rsidRPr="00CD2BB2">
        <w:rPr>
          <w:rStyle w:val="FootnoteReference"/>
        </w:rPr>
        <w:footnoteRef/>
      </w:r>
      <w:r w:rsidRPr="00CD2BB2">
        <w:tab/>
        <w:t>See contribution of the Press Emblem Campaign. See also Committee to Protect Journalists, “Record number of journalists jailed worldwide”, 15 December 2020.</w:t>
      </w:r>
    </w:p>
  </w:footnote>
  <w:footnote w:id="53">
    <w:p w14:paraId="6D68E55F" w14:textId="243C2C81" w:rsidR="000242CC" w:rsidRPr="00CD2BB2" w:rsidRDefault="000242CC" w:rsidP="000242CC">
      <w:pPr>
        <w:pStyle w:val="FootnoteText"/>
        <w:widowControl w:val="0"/>
        <w:tabs>
          <w:tab w:val="clear" w:pos="1021"/>
          <w:tab w:val="right" w:pos="1020"/>
        </w:tabs>
      </w:pPr>
      <w:r w:rsidRPr="00CD2BB2">
        <w:tab/>
      </w:r>
      <w:r w:rsidRPr="00CD2BB2">
        <w:rPr>
          <w:rStyle w:val="FootnoteReference"/>
        </w:rPr>
        <w:footnoteRef/>
      </w:r>
      <w:r w:rsidRPr="00CD2BB2">
        <w:tab/>
        <w:t xml:space="preserve">See </w:t>
      </w:r>
      <w:hyperlink r:id="rId36" w:history="1">
        <w:r w:rsidR="005516DE" w:rsidRPr="00755951">
          <w:rPr>
            <w:rStyle w:val="Hyperlink"/>
          </w:rPr>
          <w:t>https://www.pressemblem.ch/-1.shtml</w:t>
        </w:r>
      </w:hyperlink>
      <w:r w:rsidRPr="00CD2BB2">
        <w:t>.</w:t>
      </w:r>
    </w:p>
  </w:footnote>
  <w:footnote w:id="54">
    <w:p w14:paraId="6C344FF7" w14:textId="77777777" w:rsidR="000242CC" w:rsidRPr="00CD2BB2" w:rsidRDefault="000242CC" w:rsidP="000242CC">
      <w:pPr>
        <w:pStyle w:val="FootnoteText"/>
        <w:tabs>
          <w:tab w:val="left" w:pos="1482"/>
        </w:tabs>
      </w:pPr>
      <w:r w:rsidRPr="00CD2BB2">
        <w:tab/>
      </w:r>
      <w:r w:rsidRPr="00CD2BB2">
        <w:rPr>
          <w:rStyle w:val="FootnoteReference"/>
        </w:rPr>
        <w:footnoteRef/>
      </w:r>
      <w:r w:rsidRPr="00CD2BB2">
        <w:tab/>
        <w:t xml:space="preserve">See </w:t>
      </w:r>
      <w:r w:rsidRPr="00CD2BB2">
        <w:rPr>
          <w:szCs w:val="18"/>
        </w:rPr>
        <w:t>contribution of Free Press Unlimited.</w:t>
      </w:r>
    </w:p>
  </w:footnote>
  <w:footnote w:id="55">
    <w:p w14:paraId="2DECAAA5" w14:textId="163DBC1A" w:rsidR="000242CC" w:rsidRPr="00CD2BB2" w:rsidRDefault="000242CC" w:rsidP="000242CC">
      <w:pPr>
        <w:pStyle w:val="FootnoteText"/>
        <w:tabs>
          <w:tab w:val="left" w:pos="1482"/>
        </w:tabs>
      </w:pPr>
      <w:r w:rsidRPr="00CD2BB2">
        <w:tab/>
      </w:r>
      <w:r w:rsidRPr="00CD2BB2">
        <w:rPr>
          <w:rStyle w:val="FootnoteReference"/>
        </w:rPr>
        <w:footnoteRef/>
      </w:r>
      <w:r w:rsidRPr="00CD2BB2">
        <w:tab/>
        <w:t xml:space="preserve">See UNESCO, “World trends in freedom of expression and media development. Global report 2021/2022” (2021), p. 9. </w:t>
      </w:r>
    </w:p>
  </w:footnote>
  <w:footnote w:id="56">
    <w:p w14:paraId="6B5B55C7" w14:textId="77777777" w:rsidR="000242CC" w:rsidRPr="00CD2BB2" w:rsidRDefault="000242CC" w:rsidP="000242CC">
      <w:pPr>
        <w:pStyle w:val="FootnoteText"/>
      </w:pPr>
      <w:r w:rsidRPr="00CD2BB2">
        <w:tab/>
      </w:r>
      <w:r w:rsidRPr="00CD2BB2">
        <w:rPr>
          <w:rStyle w:val="FootnoteReference"/>
        </w:rPr>
        <w:footnoteRef/>
      </w:r>
      <w:r w:rsidRPr="00CD2BB2">
        <w:tab/>
        <w:t xml:space="preserve">Peter </w:t>
      </w:r>
      <w:proofErr w:type="spellStart"/>
      <w:r w:rsidRPr="00CD2BB2">
        <w:t>Noorlander</w:t>
      </w:r>
      <w:proofErr w:type="spellEnd"/>
      <w:r w:rsidRPr="00CD2BB2">
        <w:t>, “COVID and free speech. The impact of COVID-19 and ensuing measures on freedom of expression in Council of Europe member states” (2020).</w:t>
      </w:r>
    </w:p>
  </w:footnote>
  <w:footnote w:id="57">
    <w:p w14:paraId="29F6AB54" w14:textId="77777777" w:rsidR="000242CC" w:rsidRPr="00CD2BB2" w:rsidRDefault="000242CC" w:rsidP="000242CC">
      <w:pPr>
        <w:pStyle w:val="FootnoteText"/>
        <w:tabs>
          <w:tab w:val="left" w:pos="1482"/>
        </w:tabs>
      </w:pPr>
      <w:r w:rsidRPr="00CD2BB2">
        <w:rPr>
          <w:szCs w:val="18"/>
        </w:rPr>
        <w:tab/>
      </w:r>
      <w:r w:rsidRPr="00CD2BB2">
        <w:rPr>
          <w:rStyle w:val="FootnoteReference"/>
        </w:rPr>
        <w:footnoteRef/>
      </w:r>
      <w:r w:rsidRPr="00CD2BB2">
        <w:rPr>
          <w:szCs w:val="18"/>
        </w:rPr>
        <w:tab/>
        <w:t xml:space="preserve">See contributions of </w:t>
      </w:r>
      <w:r w:rsidRPr="00CD2BB2">
        <w:t>Free Press Unlimited, IFEX-ALC and the International Federation of Journalists.</w:t>
      </w:r>
    </w:p>
  </w:footnote>
  <w:footnote w:id="58">
    <w:p w14:paraId="77178F0D" w14:textId="0653762D" w:rsidR="000242CC" w:rsidRPr="00CD2BB2" w:rsidRDefault="000242CC" w:rsidP="000242CC">
      <w:pPr>
        <w:pStyle w:val="FootnoteText"/>
        <w:tabs>
          <w:tab w:val="left" w:pos="1482"/>
        </w:tabs>
      </w:pPr>
      <w:r w:rsidRPr="00CD2BB2">
        <w:tab/>
      </w:r>
      <w:r w:rsidRPr="00CD2BB2">
        <w:rPr>
          <w:rStyle w:val="FootnoteReference"/>
        </w:rPr>
        <w:footnoteRef/>
      </w:r>
      <w:r w:rsidRPr="00CD2BB2">
        <w:tab/>
      </w:r>
      <w:hyperlink r:id="rId37" w:history="1">
        <w:r w:rsidRPr="00CD2BB2">
          <w:rPr>
            <w:rStyle w:val="Hyperlink"/>
          </w:rPr>
          <w:t>A/HRC/47/25</w:t>
        </w:r>
      </w:hyperlink>
      <w:r w:rsidRPr="00CD2BB2">
        <w:t>, para. 23.</w:t>
      </w:r>
    </w:p>
  </w:footnote>
  <w:footnote w:id="59">
    <w:p w14:paraId="5DD7E83F" w14:textId="77777777" w:rsidR="000242CC" w:rsidRPr="00CD2BB2" w:rsidRDefault="000242CC" w:rsidP="000242CC">
      <w:pPr>
        <w:pStyle w:val="FootnoteText"/>
      </w:pPr>
      <w:r w:rsidRPr="00CD2BB2">
        <w:tab/>
      </w:r>
      <w:r w:rsidRPr="00CD2BB2">
        <w:rPr>
          <w:rStyle w:val="FootnoteReference"/>
        </w:rPr>
        <w:footnoteRef/>
      </w:r>
      <w:r w:rsidRPr="00CD2BB2">
        <w:tab/>
        <w:t xml:space="preserve">See </w:t>
      </w:r>
      <w:r w:rsidRPr="00CD2BB2">
        <w:rPr>
          <w:szCs w:val="18"/>
        </w:rPr>
        <w:t xml:space="preserve">contribution of </w:t>
      </w:r>
      <w:r w:rsidRPr="00CD2BB2">
        <w:t>Free Press Unlimited.</w:t>
      </w:r>
    </w:p>
  </w:footnote>
  <w:footnote w:id="60">
    <w:p w14:paraId="3EF5A2E9" w14:textId="5E308461" w:rsidR="000242CC" w:rsidRPr="00CD2BB2" w:rsidRDefault="000242CC" w:rsidP="000242CC">
      <w:pPr>
        <w:pStyle w:val="FootnoteText"/>
        <w:tabs>
          <w:tab w:val="left" w:pos="1482"/>
        </w:tabs>
      </w:pPr>
      <w:r w:rsidRPr="00CD2BB2">
        <w:tab/>
      </w:r>
      <w:r w:rsidRPr="00CD2BB2">
        <w:rPr>
          <w:rStyle w:val="FootnoteReference"/>
        </w:rPr>
        <w:footnoteRef/>
      </w:r>
      <w:r w:rsidRPr="00CD2BB2">
        <w:tab/>
        <w:t>“Good practices for press conferences during COVID-19 pandemic”, 15 April 2020.</w:t>
      </w:r>
    </w:p>
  </w:footnote>
  <w:footnote w:id="61">
    <w:p w14:paraId="70779F4E" w14:textId="77777777" w:rsidR="000242CC" w:rsidRPr="00CD2BB2" w:rsidRDefault="000242CC" w:rsidP="000242CC">
      <w:pPr>
        <w:pStyle w:val="FootnoteText"/>
        <w:tabs>
          <w:tab w:val="left" w:pos="1482"/>
        </w:tabs>
      </w:pPr>
      <w:r w:rsidRPr="00CD2BB2">
        <w:tab/>
      </w:r>
      <w:r w:rsidRPr="00CD2BB2">
        <w:rPr>
          <w:rStyle w:val="FootnoteReference"/>
        </w:rPr>
        <w:footnoteRef/>
      </w:r>
      <w:r w:rsidRPr="00CD2BB2">
        <w:tab/>
        <w:t xml:space="preserve">See </w:t>
      </w:r>
      <w:r w:rsidRPr="00CD2BB2">
        <w:rPr>
          <w:szCs w:val="18"/>
        </w:rPr>
        <w:t xml:space="preserve">contribution of the </w:t>
      </w:r>
      <w:r w:rsidRPr="00CD2BB2">
        <w:t>International Federation of Journalists.</w:t>
      </w:r>
    </w:p>
  </w:footnote>
  <w:footnote w:id="62">
    <w:p w14:paraId="38276B4C" w14:textId="7164F50C" w:rsidR="000242CC" w:rsidRPr="00CD2BB2" w:rsidRDefault="000242CC" w:rsidP="000242CC">
      <w:pPr>
        <w:pStyle w:val="FootnoteText"/>
      </w:pPr>
      <w:r w:rsidRPr="00CD2BB2">
        <w:tab/>
      </w:r>
      <w:r w:rsidRPr="00CD2BB2">
        <w:rPr>
          <w:rStyle w:val="FootnoteReference"/>
        </w:rPr>
        <w:footnoteRef/>
      </w:r>
      <w:r w:rsidRPr="00CD2BB2">
        <w:tab/>
        <w:t xml:space="preserve">OHCHR, </w:t>
      </w:r>
      <w:r w:rsidRPr="00CD2BB2">
        <w:rPr>
          <w:i/>
          <w:iCs/>
        </w:rPr>
        <w:t>United Nations Human Rights Report 2020</w:t>
      </w:r>
      <w:r w:rsidRPr="00CD2BB2">
        <w:t>, p. 18.</w:t>
      </w:r>
    </w:p>
  </w:footnote>
  <w:footnote w:id="63">
    <w:p w14:paraId="5B4C151B" w14:textId="713FE4DF" w:rsidR="000242CC" w:rsidRPr="00CD2BB2" w:rsidRDefault="000242CC" w:rsidP="000242CC">
      <w:pPr>
        <w:pStyle w:val="FootnoteText"/>
        <w:tabs>
          <w:tab w:val="left" w:pos="1482"/>
        </w:tabs>
      </w:pPr>
      <w:r w:rsidRPr="00CD2BB2">
        <w:tab/>
      </w:r>
      <w:r w:rsidRPr="00CD2BB2">
        <w:rPr>
          <w:rStyle w:val="FootnoteReference"/>
        </w:rPr>
        <w:footnoteRef/>
      </w:r>
      <w:r w:rsidRPr="00CD2BB2">
        <w:tab/>
        <w:t xml:space="preserve">See, for example, Fergal Davies and Graeme Cowie, “Coronavirus bill: what is the sunset clause provision?”, 20 March 2020. </w:t>
      </w:r>
    </w:p>
  </w:footnote>
  <w:footnote w:id="64">
    <w:p w14:paraId="10D28620" w14:textId="77777777" w:rsidR="000242CC" w:rsidRPr="00CD2BB2" w:rsidRDefault="000242CC" w:rsidP="000242CC">
      <w:pPr>
        <w:pStyle w:val="FootnoteText"/>
      </w:pPr>
      <w:r w:rsidRPr="00CD2BB2">
        <w:tab/>
      </w:r>
      <w:r w:rsidRPr="00CD2BB2">
        <w:rPr>
          <w:rStyle w:val="FootnoteReference"/>
        </w:rPr>
        <w:footnoteRef/>
      </w:r>
      <w:r w:rsidRPr="00CD2BB2">
        <w:tab/>
        <w:t>See contribution of Article 19.</w:t>
      </w:r>
    </w:p>
  </w:footnote>
  <w:footnote w:id="65">
    <w:p w14:paraId="777040E1" w14:textId="38E503E6" w:rsidR="000242CC" w:rsidRPr="00CD2BB2" w:rsidRDefault="000242CC" w:rsidP="000242CC">
      <w:pPr>
        <w:pStyle w:val="FootnoteText"/>
      </w:pPr>
      <w:r w:rsidRPr="00CD2BB2">
        <w:tab/>
      </w:r>
      <w:r w:rsidRPr="00CD2BB2">
        <w:rPr>
          <w:rStyle w:val="FootnoteReference"/>
        </w:rPr>
        <w:footnoteRef/>
      </w:r>
      <w:r w:rsidRPr="00CD2BB2">
        <w:tab/>
      </w:r>
      <w:hyperlink r:id="rId38" w:history="1">
        <w:r w:rsidR="00CF69E7" w:rsidRPr="00755951">
          <w:rPr>
            <w:rStyle w:val="Hyperlink"/>
          </w:rPr>
          <w:t>https://www.ohchr.org/Documents/Issues/CivicSpace/UN_Guidance_Note.pdf</w:t>
        </w:r>
      </w:hyperlink>
      <w:r w:rsidRPr="00CD2BB2">
        <w:rPr>
          <w:rStyle w:val="Hyperlink"/>
          <w:color w:val="auto"/>
        </w:rPr>
        <w:t>.</w:t>
      </w:r>
      <w:r w:rsidRPr="00CD2BB2">
        <w:t xml:space="preserve"> </w:t>
      </w:r>
    </w:p>
  </w:footnote>
  <w:footnote w:id="66">
    <w:p w14:paraId="2875EDFA" w14:textId="4CEDAE22" w:rsidR="000242CC" w:rsidRPr="00CD2BB2" w:rsidRDefault="000242CC" w:rsidP="000242CC">
      <w:pPr>
        <w:pStyle w:val="FootnoteText"/>
      </w:pPr>
      <w:r w:rsidRPr="00CD2BB2">
        <w:tab/>
      </w:r>
      <w:r w:rsidRPr="00CD2BB2">
        <w:rPr>
          <w:rStyle w:val="FootnoteReference"/>
        </w:rPr>
        <w:footnoteRef/>
      </w:r>
      <w:r w:rsidRPr="00CD2BB2">
        <w:tab/>
        <w:t xml:space="preserve">See </w:t>
      </w:r>
      <w:hyperlink r:id="rId39" w:history="1">
        <w:r w:rsidR="00CF4978" w:rsidRPr="00755951">
          <w:rPr>
            <w:rStyle w:val="Hyperlink"/>
          </w:rPr>
          <w:t>https://www.ohchr.org/EN/NewsEvents/Pages/COVID19Guidance.aspx</w:t>
        </w:r>
      </w:hyperlink>
      <w:r w:rsidRPr="00CD2BB2">
        <w:t xml:space="preserve">. See also OHCHR, </w:t>
      </w:r>
      <w:r w:rsidRPr="00CD2BB2">
        <w:rPr>
          <w:i/>
          <w:iCs/>
        </w:rPr>
        <w:t>United Nations Human Rights Report 2020</w:t>
      </w:r>
      <w:r w:rsidRPr="00CD2BB2">
        <w:t xml:space="preserve">. </w:t>
      </w:r>
    </w:p>
  </w:footnote>
  <w:footnote w:id="67">
    <w:p w14:paraId="4F375B92" w14:textId="6DD8B67C" w:rsidR="000242CC" w:rsidRPr="00CD2BB2" w:rsidRDefault="000242CC" w:rsidP="000242CC">
      <w:pPr>
        <w:pStyle w:val="FootnoteText"/>
        <w:tabs>
          <w:tab w:val="left" w:pos="1482"/>
        </w:tabs>
      </w:pPr>
      <w:r w:rsidRPr="00CD2BB2">
        <w:tab/>
      </w:r>
      <w:r w:rsidRPr="00CD2BB2">
        <w:rPr>
          <w:rStyle w:val="FootnoteReference"/>
        </w:rPr>
        <w:footnoteRef/>
      </w:r>
      <w:r w:rsidRPr="00CD2BB2">
        <w:tab/>
        <w:t xml:space="preserve">“Protecting freedom of expression during the COVID-19 crisis: UNESCO issues guidelines for judicial operators”, 15 September 2020.  </w:t>
      </w:r>
    </w:p>
  </w:footnote>
  <w:footnote w:id="68">
    <w:p w14:paraId="19C0E262" w14:textId="41A0B8EB" w:rsidR="000242CC" w:rsidRPr="00CD2BB2" w:rsidRDefault="000242CC" w:rsidP="000242CC">
      <w:pPr>
        <w:pStyle w:val="FootnoteText"/>
        <w:tabs>
          <w:tab w:val="left" w:pos="1482"/>
        </w:tabs>
      </w:pPr>
      <w:r w:rsidRPr="00CD2BB2">
        <w:tab/>
      </w:r>
      <w:r w:rsidRPr="00CD2BB2">
        <w:rPr>
          <w:rStyle w:val="FootnoteReference"/>
        </w:rPr>
        <w:footnoteRef/>
      </w:r>
      <w:r w:rsidRPr="00CD2BB2">
        <w:tab/>
        <w:t xml:space="preserve">See </w:t>
      </w:r>
      <w:hyperlink r:id="rId40" w:history="1">
        <w:r w:rsidR="008B5E10" w:rsidRPr="00755951">
          <w:rPr>
            <w:rStyle w:val="Hyperlink"/>
          </w:rPr>
          <w:t>https://en.unesco.org/covid19/communicationinformationresponse/mediasupport</w:t>
        </w:r>
      </w:hyperlink>
      <w:r w:rsidRPr="00CD2BB2">
        <w:rPr>
          <w:rStyle w:val="Hyperlink"/>
          <w:color w:val="auto"/>
        </w:rPr>
        <w:t>.</w:t>
      </w:r>
      <w:r w:rsidRPr="00CD2BB2">
        <w:t xml:space="preserve"> </w:t>
      </w:r>
    </w:p>
  </w:footnote>
  <w:footnote w:id="69">
    <w:p w14:paraId="17B98420" w14:textId="127389D7" w:rsidR="000242CC" w:rsidRPr="00CD2BB2" w:rsidRDefault="000242CC" w:rsidP="000242CC">
      <w:pPr>
        <w:pStyle w:val="FootnoteText"/>
        <w:tabs>
          <w:tab w:val="left" w:pos="1482"/>
        </w:tabs>
      </w:pPr>
      <w:r w:rsidRPr="00CD2BB2">
        <w:tab/>
      </w:r>
      <w:r w:rsidRPr="00CD2BB2">
        <w:rPr>
          <w:rStyle w:val="FootnoteReference"/>
        </w:rPr>
        <w:footnoteRef/>
      </w:r>
      <w:r w:rsidRPr="00CD2BB2">
        <w:tab/>
      </w:r>
      <w:hyperlink r:id="rId41" w:history="1">
        <w:r w:rsidR="00134C3A" w:rsidRPr="00BC77F4">
          <w:rPr>
            <w:rStyle w:val="Hyperlink"/>
          </w:rPr>
          <w:t>https://www.ohchr.org/EN/NewsEvents/Pages/DisplayNews.aspx?NewsID=25729</w:t>
        </w:r>
      </w:hyperlink>
      <w:r w:rsidRPr="00CD2BB2">
        <w:rPr>
          <w:rStyle w:val="Hyperlink"/>
          <w:color w:val="auto"/>
        </w:rPr>
        <w:t>.</w:t>
      </w:r>
    </w:p>
  </w:footnote>
  <w:footnote w:id="70">
    <w:p w14:paraId="430E6DC8" w14:textId="27CE28A3" w:rsidR="000242CC" w:rsidRPr="00CD2BB2" w:rsidRDefault="000242CC" w:rsidP="000242CC">
      <w:pPr>
        <w:pStyle w:val="FootnoteText"/>
      </w:pPr>
      <w:r w:rsidRPr="00CD2BB2">
        <w:tab/>
      </w:r>
      <w:r w:rsidRPr="00CD2BB2">
        <w:rPr>
          <w:rStyle w:val="FootnoteReference"/>
        </w:rPr>
        <w:footnoteRef/>
      </w:r>
      <w:r w:rsidRPr="00CD2BB2">
        <w:tab/>
      </w:r>
      <w:hyperlink r:id="rId42" w:history="1">
        <w:r w:rsidRPr="00CD2BB2">
          <w:rPr>
            <w:rStyle w:val="Hyperlink"/>
          </w:rPr>
          <w:t>A/HRC/44/49.</w:t>
        </w:r>
      </w:hyperlink>
      <w:r w:rsidRPr="00CD2BB2">
        <w:t xml:space="preserve"> </w:t>
      </w:r>
    </w:p>
  </w:footnote>
  <w:footnote w:id="71">
    <w:p w14:paraId="1B96674D" w14:textId="0B6CF109" w:rsidR="000242CC" w:rsidRPr="00CD2BB2" w:rsidRDefault="000242CC" w:rsidP="000242CC">
      <w:pPr>
        <w:pStyle w:val="FootnoteText"/>
      </w:pPr>
      <w:r w:rsidRPr="00CD2BB2">
        <w:tab/>
      </w:r>
      <w:r w:rsidRPr="00CD2BB2">
        <w:rPr>
          <w:rStyle w:val="FootnoteReference"/>
        </w:rPr>
        <w:footnoteRef/>
      </w:r>
      <w:r w:rsidRPr="00CD2BB2">
        <w:tab/>
        <w:t xml:space="preserve">See, for example, </w:t>
      </w:r>
      <w:hyperlink r:id="rId43" w:history="1">
        <w:r w:rsidR="00123612" w:rsidRPr="00BC77F4">
          <w:rPr>
            <w:rStyle w:val="Hyperlink"/>
          </w:rPr>
          <w:t>https://ohchr.org/EN/NewsEvents/Pages/DisplayNews.aspx?NewsID=26075</w:t>
        </w:r>
      </w:hyperlink>
      <w:r w:rsidRPr="00CD2BB2">
        <w:rPr>
          <w:rStyle w:val="Hyperlink"/>
          <w:color w:val="auto"/>
        </w:rPr>
        <w:t>.</w:t>
      </w:r>
    </w:p>
  </w:footnote>
  <w:footnote w:id="72">
    <w:p w14:paraId="7405C00C" w14:textId="7EE15431" w:rsidR="000242CC" w:rsidRPr="00CD2BB2" w:rsidRDefault="000242CC" w:rsidP="000242CC">
      <w:pPr>
        <w:pStyle w:val="FootnoteText"/>
        <w:tabs>
          <w:tab w:val="left" w:pos="1482"/>
        </w:tabs>
      </w:pPr>
      <w:r w:rsidRPr="00CD2BB2">
        <w:tab/>
      </w:r>
      <w:r w:rsidRPr="00CD2BB2">
        <w:rPr>
          <w:rStyle w:val="FootnoteReference"/>
        </w:rPr>
        <w:footnoteRef/>
      </w:r>
      <w:r w:rsidRPr="00CD2BB2">
        <w:tab/>
        <w:t>See “Respecting democracy, rule of law and human rights in the framework of the COVID-19 sanitary crisis. A toolkit for member States” (April 2020).</w:t>
      </w:r>
      <w:bookmarkStart w:id="13" w:name="_Hlk91095543"/>
    </w:p>
    <w:bookmarkEnd w:id="13"/>
  </w:footnote>
  <w:footnote w:id="73">
    <w:p w14:paraId="1BA58CB7" w14:textId="73216B59" w:rsidR="000242CC" w:rsidRPr="00CD2BB2" w:rsidRDefault="000242CC" w:rsidP="000242CC">
      <w:pPr>
        <w:pStyle w:val="FootnoteText"/>
        <w:widowControl w:val="0"/>
        <w:tabs>
          <w:tab w:val="clear" w:pos="1021"/>
          <w:tab w:val="right" w:pos="1020"/>
        </w:tabs>
        <w:ind w:right="708"/>
      </w:pPr>
      <w:r w:rsidRPr="00CD2BB2">
        <w:tab/>
      </w:r>
      <w:r w:rsidRPr="00CD2BB2">
        <w:rPr>
          <w:rStyle w:val="FootnoteReference"/>
        </w:rPr>
        <w:footnoteRef/>
      </w:r>
      <w:r w:rsidRPr="00CD2BB2">
        <w:tab/>
        <w:t xml:space="preserve">See, for example. </w:t>
      </w:r>
      <w:hyperlink r:id="rId44" w:history="1">
        <w:r w:rsidRPr="00CD2BB2">
          <w:rPr>
            <w:rStyle w:val="Hyperlink"/>
          </w:rPr>
          <w:t>A/HRC/46/5</w:t>
        </w:r>
      </w:hyperlink>
      <w:r w:rsidRPr="00CD2BB2">
        <w:t xml:space="preserve">, para. 138.175; </w:t>
      </w:r>
      <w:hyperlink r:id="rId45" w:history="1">
        <w:r w:rsidRPr="00CD2BB2">
          <w:rPr>
            <w:rStyle w:val="Hyperlink"/>
          </w:rPr>
          <w:t>A/HRC/46/10</w:t>
        </w:r>
      </w:hyperlink>
      <w:r w:rsidRPr="00CD2BB2">
        <w:t xml:space="preserve">, para. 133.156; </w:t>
      </w:r>
      <w:hyperlink r:id="rId46" w:history="1">
        <w:r w:rsidRPr="00CD2BB2">
          <w:rPr>
            <w:rStyle w:val="Hyperlink"/>
          </w:rPr>
          <w:t>A/HRC/46/12</w:t>
        </w:r>
      </w:hyperlink>
      <w:r w:rsidRPr="00CD2BB2">
        <w:t xml:space="preserve">, para. 104.105; </w:t>
      </w:r>
      <w:hyperlink r:id="rId47" w:history="1">
        <w:r w:rsidRPr="00CD2BB2">
          <w:rPr>
            <w:rStyle w:val="Hyperlink"/>
          </w:rPr>
          <w:t>A/HRC/46/13</w:t>
        </w:r>
      </w:hyperlink>
      <w:r w:rsidRPr="00CD2BB2">
        <w:t xml:space="preserve">, para. 134.89; </w:t>
      </w:r>
      <w:hyperlink r:id="rId48" w:history="1">
        <w:r w:rsidRPr="00CD2BB2">
          <w:rPr>
            <w:rStyle w:val="Hyperlink"/>
          </w:rPr>
          <w:t>A/HRC/46/16</w:t>
        </w:r>
      </w:hyperlink>
      <w:r w:rsidRPr="00CD2BB2">
        <w:t xml:space="preserve">, para. 137.96; </w:t>
      </w:r>
      <w:hyperlink r:id="rId49" w:history="1">
        <w:r w:rsidRPr="00CD2BB2">
          <w:rPr>
            <w:rStyle w:val="Hyperlink"/>
          </w:rPr>
          <w:t>A/HRC/46/17</w:t>
        </w:r>
      </w:hyperlink>
      <w:r w:rsidRPr="00CD2BB2">
        <w:t xml:space="preserve">, para. 148.89; </w:t>
      </w:r>
      <w:hyperlink r:id="rId50" w:history="1">
        <w:r w:rsidRPr="00CD2BB2">
          <w:rPr>
            <w:rStyle w:val="Hyperlink"/>
          </w:rPr>
          <w:t>A/HRC/47/5</w:t>
        </w:r>
      </w:hyperlink>
      <w:r w:rsidRPr="00CD2BB2">
        <w:t>, para.</w:t>
      </w:r>
      <w:r w:rsidR="00121C02" w:rsidRPr="00CD2BB2">
        <w:t xml:space="preserve"> </w:t>
      </w:r>
      <w:r w:rsidRPr="00CD2BB2">
        <w:t xml:space="preserve">150.163; </w:t>
      </w:r>
      <w:hyperlink r:id="rId51" w:history="1">
        <w:r w:rsidRPr="00CD2BB2">
          <w:rPr>
            <w:rStyle w:val="Hyperlink"/>
          </w:rPr>
          <w:t>A/HRC/47/14</w:t>
        </w:r>
      </w:hyperlink>
      <w:r w:rsidRPr="00CD2BB2">
        <w:t xml:space="preserve">, para. 134.50; </w:t>
      </w:r>
      <w:hyperlink r:id="rId52" w:history="1">
        <w:r w:rsidRPr="00CD2BB2">
          <w:rPr>
            <w:rStyle w:val="Hyperlink"/>
          </w:rPr>
          <w:t>A/HRC/48/9</w:t>
        </w:r>
      </w:hyperlink>
      <w:r w:rsidRPr="00CD2BB2">
        <w:t xml:space="preserve">, paras. 118.86 and 118.98; and </w:t>
      </w:r>
      <w:hyperlink r:id="rId53" w:history="1">
        <w:r w:rsidRPr="00CD2BB2">
          <w:rPr>
            <w:rStyle w:val="Hyperlink"/>
          </w:rPr>
          <w:t>A/HRC/48/11</w:t>
        </w:r>
      </w:hyperlink>
      <w:r w:rsidRPr="00CD2BB2">
        <w:t>, para. 132.139.</w:t>
      </w:r>
    </w:p>
  </w:footnote>
  <w:footnote w:id="74">
    <w:p w14:paraId="391401CD" w14:textId="5A32CC33" w:rsidR="000242CC" w:rsidRPr="00CD2BB2" w:rsidRDefault="000242CC" w:rsidP="000242CC">
      <w:pPr>
        <w:pStyle w:val="FootnoteText"/>
      </w:pPr>
      <w:r w:rsidRPr="00CD2BB2">
        <w:tab/>
      </w:r>
      <w:r w:rsidRPr="00CD2BB2">
        <w:rPr>
          <w:rStyle w:val="FootnoteReference"/>
        </w:rPr>
        <w:footnoteRef/>
      </w:r>
      <w:r w:rsidRPr="00CD2BB2">
        <w:tab/>
        <w:t>https://fom.coe.int/accueil.</w:t>
      </w:r>
    </w:p>
  </w:footnote>
  <w:footnote w:id="75">
    <w:p w14:paraId="4F95ED96" w14:textId="7171E8A8" w:rsidR="000242CC" w:rsidRPr="00CD2BB2" w:rsidRDefault="000242CC" w:rsidP="000242CC">
      <w:pPr>
        <w:pStyle w:val="FootnoteText"/>
      </w:pPr>
      <w:r w:rsidRPr="00CD2BB2">
        <w:tab/>
      </w:r>
      <w:r w:rsidRPr="00CD2BB2">
        <w:rPr>
          <w:rStyle w:val="FootnoteReference"/>
        </w:rPr>
        <w:footnoteRef/>
      </w:r>
      <w:r w:rsidRPr="00CD2BB2">
        <w:tab/>
        <w:t>See also OHCHR, “Business and human rights in times of COVID-19” (October 2020), p.3, and statement by the Working Group, available from</w:t>
      </w:r>
      <w:r w:rsidR="00121C02" w:rsidRPr="00CD2BB2">
        <w:t xml:space="preserve"> </w:t>
      </w:r>
      <w:r w:rsidRPr="00CD2BB2">
        <w:rPr>
          <w:vanish/>
        </w:rPr>
        <w:t>OHCHR</w:t>
      </w:r>
      <w:r w:rsidR="000175E0">
        <w:rPr>
          <w:vanish/>
        </w:rPr>
        <w:t xml:space="preserve"> </w:t>
      </w:r>
      <w:hyperlink r:id="rId54" w:history="1">
        <w:r w:rsidR="000175E0" w:rsidRPr="00BC77F4">
          <w:rPr>
            <w:rStyle w:val="Hyperlink"/>
          </w:rPr>
          <w:t>https://www.ohchr.org/EN/NewsEvents/Pages/DisplayNews.aspx?NewsID=25837</w:t>
        </w:r>
      </w:hyperlink>
      <w:r w:rsidRPr="00CD2BB2">
        <w:rPr>
          <w:rStyle w:val="Hyperlink"/>
          <w:color w:val="auto"/>
        </w:rPr>
        <w:t>.</w:t>
      </w:r>
    </w:p>
  </w:footnote>
  <w:footnote w:id="76">
    <w:p w14:paraId="45C884B5" w14:textId="77777777" w:rsidR="000242CC" w:rsidRPr="00CD2BB2" w:rsidRDefault="000242CC" w:rsidP="000242CC">
      <w:pPr>
        <w:pStyle w:val="FootnoteText"/>
        <w:tabs>
          <w:tab w:val="left" w:pos="1482"/>
        </w:tabs>
      </w:pPr>
      <w:r w:rsidRPr="00CD2BB2">
        <w:rPr>
          <w:szCs w:val="18"/>
        </w:rPr>
        <w:tab/>
      </w:r>
      <w:r w:rsidRPr="00CD2BB2">
        <w:rPr>
          <w:rStyle w:val="FootnoteReference"/>
        </w:rPr>
        <w:footnoteRef/>
      </w:r>
      <w:r w:rsidRPr="00CD2BB2">
        <w:rPr>
          <w:szCs w:val="18"/>
        </w:rPr>
        <w:tab/>
        <w:t>See contribution of the Press Emblem Campaign.</w:t>
      </w:r>
    </w:p>
  </w:footnote>
  <w:footnote w:id="77">
    <w:p w14:paraId="3897FF34" w14:textId="22C8FB31" w:rsidR="000242CC" w:rsidRPr="00CD2BB2" w:rsidRDefault="000242CC" w:rsidP="000242CC">
      <w:pPr>
        <w:pStyle w:val="FootnoteText"/>
        <w:tabs>
          <w:tab w:val="left" w:pos="1482"/>
        </w:tabs>
      </w:pPr>
      <w:r w:rsidRPr="00CD2BB2">
        <w:tab/>
      </w:r>
      <w:r w:rsidRPr="00CD2BB2">
        <w:rPr>
          <w:rStyle w:val="FootnoteReference"/>
        </w:rPr>
        <w:footnoteRef/>
      </w:r>
      <w:r w:rsidRPr="00CD2BB2">
        <w:tab/>
        <w:t>“Good practices for press conferences during COVID-19 pandemic”, 15 April 2020.</w:t>
      </w:r>
      <w:r w:rsidR="00121C02" w:rsidRPr="00CD2BB2">
        <w:t xml:space="preserve"> </w:t>
      </w:r>
    </w:p>
  </w:footnote>
  <w:footnote w:id="78">
    <w:p w14:paraId="3A263380" w14:textId="77777777" w:rsidR="000242CC" w:rsidRPr="00CD2BB2" w:rsidRDefault="000242CC" w:rsidP="000242CC">
      <w:pPr>
        <w:pStyle w:val="FootnoteText"/>
        <w:tabs>
          <w:tab w:val="left" w:pos="1482"/>
        </w:tabs>
      </w:pPr>
      <w:r w:rsidRPr="00CD2BB2">
        <w:tab/>
      </w:r>
      <w:r w:rsidRPr="00CD2BB2">
        <w:rPr>
          <w:rStyle w:val="FootnoteReference"/>
        </w:rPr>
        <w:footnoteRef/>
      </w:r>
      <w:r w:rsidRPr="00CD2BB2">
        <w:tab/>
        <w:t xml:space="preserve">See </w:t>
      </w:r>
      <w:r w:rsidRPr="00CD2BB2">
        <w:rPr>
          <w:szCs w:val="18"/>
        </w:rPr>
        <w:t>contribution of the Press Emblem Campaign</w:t>
      </w:r>
      <w:r w:rsidRPr="00CD2BB2">
        <w:t>.</w:t>
      </w:r>
    </w:p>
  </w:footnote>
  <w:footnote w:id="79">
    <w:p w14:paraId="66928585" w14:textId="4A1C7729" w:rsidR="000242CC" w:rsidRPr="00CD2BB2" w:rsidRDefault="000242CC" w:rsidP="000242CC">
      <w:pPr>
        <w:pStyle w:val="FootnoteText"/>
      </w:pPr>
      <w:r w:rsidRPr="00CD2BB2">
        <w:tab/>
      </w:r>
      <w:r w:rsidRPr="00CD2BB2">
        <w:rPr>
          <w:rStyle w:val="FootnoteReference"/>
        </w:rPr>
        <w:footnoteRef/>
      </w:r>
      <w:r w:rsidRPr="00CD2BB2">
        <w:tab/>
        <w:t>WHO, “COVID-19, an informative guide. Advice for journalists” (January 2021).</w:t>
      </w:r>
      <w:r w:rsidR="00ED1AB3">
        <w:t xml:space="preserve"> </w:t>
      </w:r>
      <w:r w:rsidRPr="00CD2BB2">
        <w:t>See also International Federation of Journalists, “IFJ coronavirus (COVID-</w:t>
      </w:r>
      <w:proofErr w:type="gramStart"/>
      <w:r w:rsidRPr="00CD2BB2">
        <w:t>19 )</w:t>
      </w:r>
      <w:proofErr w:type="gramEnd"/>
      <w:r w:rsidRPr="00CD2BB2">
        <w:t xml:space="preserve"> safety advisory for media professionals</w:t>
      </w:r>
      <w:r w:rsidRPr="00CD2BB2">
        <w:rPr>
          <w:rStyle w:val="Hyperlink"/>
          <w:color w:val="auto"/>
        </w:rPr>
        <w:t>”.</w:t>
      </w:r>
      <w:r w:rsidRPr="00CD2BB2">
        <w:t xml:space="preserve"> </w:t>
      </w:r>
    </w:p>
  </w:footnote>
  <w:footnote w:id="80">
    <w:p w14:paraId="1E193F39" w14:textId="619EE1A5" w:rsidR="000242CC" w:rsidRPr="00CD2BB2" w:rsidRDefault="000242CC" w:rsidP="000242CC">
      <w:pPr>
        <w:pStyle w:val="FootnoteText"/>
      </w:pPr>
      <w:r w:rsidRPr="00CD2BB2">
        <w:tab/>
      </w:r>
      <w:r w:rsidRPr="00CD2BB2">
        <w:rPr>
          <w:rStyle w:val="FootnoteReference"/>
        </w:rPr>
        <w:footnoteRef/>
      </w:r>
      <w:r w:rsidRPr="00CD2BB2">
        <w:tab/>
        <w:t>See UNESCO, “Supporting journalism around the world in times of COVID-19”, 27 May 2021.</w:t>
      </w:r>
      <w:r w:rsidR="00121C02" w:rsidRPr="00CD2BB2">
        <w:t xml:space="preserve"> </w:t>
      </w:r>
    </w:p>
  </w:footnote>
  <w:footnote w:id="81">
    <w:p w14:paraId="499B2381" w14:textId="77777777" w:rsidR="000242CC" w:rsidRPr="00CD2BB2" w:rsidRDefault="000242CC" w:rsidP="000242CC">
      <w:pPr>
        <w:pStyle w:val="FootnoteText"/>
      </w:pPr>
      <w:r w:rsidRPr="00CD2BB2">
        <w:tab/>
      </w:r>
      <w:r w:rsidRPr="00CD2BB2">
        <w:rPr>
          <w:rStyle w:val="FootnoteReference"/>
        </w:rPr>
        <w:footnoteRef/>
      </w:r>
      <w:r w:rsidRPr="00CD2BB2">
        <w:tab/>
        <w:t>See contribution of the International Federation of Journalists.</w:t>
      </w:r>
    </w:p>
  </w:footnote>
  <w:footnote w:id="82">
    <w:p w14:paraId="5FADF5BC" w14:textId="77777777" w:rsidR="000242CC" w:rsidRPr="00CD2BB2" w:rsidRDefault="000242CC" w:rsidP="000242CC">
      <w:pPr>
        <w:pStyle w:val="FootnoteText"/>
        <w:tabs>
          <w:tab w:val="left" w:pos="1482"/>
        </w:tabs>
      </w:pPr>
      <w:r w:rsidRPr="00CD2BB2">
        <w:tab/>
      </w:r>
      <w:r w:rsidRPr="00CD2BB2">
        <w:rPr>
          <w:rStyle w:val="FootnoteReference"/>
        </w:rPr>
        <w:footnoteRef/>
      </w:r>
      <w:r w:rsidRPr="00CD2BB2">
        <w:tab/>
        <w:t xml:space="preserve">See </w:t>
      </w:r>
      <w:r w:rsidRPr="00CD2BB2">
        <w:rPr>
          <w:szCs w:val="18"/>
        </w:rPr>
        <w:t xml:space="preserve">contributions of </w:t>
      </w:r>
      <w:r w:rsidRPr="00CD2BB2">
        <w:t xml:space="preserve">Brazil, Greece, the Netherlands, the Russian Federation and Switzerland. </w:t>
      </w:r>
    </w:p>
  </w:footnote>
  <w:footnote w:id="83">
    <w:p w14:paraId="2FB92063" w14:textId="77777777" w:rsidR="000242CC" w:rsidRPr="00CD2BB2" w:rsidRDefault="000242CC" w:rsidP="000242CC">
      <w:pPr>
        <w:pStyle w:val="FootnoteText"/>
      </w:pPr>
      <w:r w:rsidRPr="00CD2BB2">
        <w:tab/>
      </w:r>
      <w:r w:rsidRPr="00CD2BB2">
        <w:rPr>
          <w:rStyle w:val="FootnoteReference"/>
        </w:rPr>
        <w:footnoteRef/>
      </w:r>
      <w:r w:rsidRPr="00CD2BB2">
        <w:tab/>
        <w:t xml:space="preserve">See, for example, contributions of Free Press Unlimited, the International Federation of Journalists and </w:t>
      </w:r>
      <w:r w:rsidRPr="00CD2BB2">
        <w:rPr>
          <w:szCs w:val="18"/>
        </w:rPr>
        <w:t>the Press Emblem Campaign.</w:t>
      </w:r>
      <w:r w:rsidRPr="00CD2BB2">
        <w:t xml:space="preserve"> </w:t>
      </w:r>
    </w:p>
  </w:footnote>
  <w:footnote w:id="84">
    <w:p w14:paraId="6C1C4FCD" w14:textId="684C57A5" w:rsidR="000242CC" w:rsidRPr="00CD2BB2" w:rsidRDefault="000242CC" w:rsidP="000242CC">
      <w:pPr>
        <w:pStyle w:val="FootnoteText"/>
        <w:tabs>
          <w:tab w:val="left" w:pos="1482"/>
        </w:tabs>
      </w:pPr>
      <w:r w:rsidRPr="00CD2BB2">
        <w:tab/>
      </w:r>
      <w:r w:rsidRPr="00CD2BB2">
        <w:rPr>
          <w:rStyle w:val="FootnoteReference"/>
        </w:rPr>
        <w:footnoteRef/>
      </w:r>
      <w:r w:rsidRPr="00CD2BB2">
        <w:tab/>
      </w:r>
      <w:hyperlink r:id="rId55" w:history="1">
        <w:r w:rsidR="00F7557F" w:rsidRPr="00BC77F4">
          <w:rPr>
            <w:rStyle w:val="Hyperlink"/>
          </w:rPr>
          <w:t>https://www.obs.coe.int/en/web/observatoire/covid-tracker-2021</w:t>
        </w:r>
      </w:hyperlink>
      <w:r w:rsidRPr="00CD2BB2">
        <w:rPr>
          <w:rStyle w:val="Hyperlink"/>
          <w:color w:val="auto"/>
        </w:rPr>
        <w:t>.</w:t>
      </w:r>
      <w:r w:rsidRPr="00CD2BB2">
        <w:t xml:space="preserve"> </w:t>
      </w:r>
    </w:p>
  </w:footnote>
  <w:footnote w:id="85">
    <w:p w14:paraId="152E6383" w14:textId="77777777" w:rsidR="000242CC" w:rsidRPr="00CD2BB2" w:rsidRDefault="000242CC" w:rsidP="000242CC">
      <w:pPr>
        <w:pStyle w:val="FootnoteText"/>
        <w:tabs>
          <w:tab w:val="left" w:pos="1482"/>
        </w:tabs>
      </w:pPr>
      <w:r w:rsidRPr="00CD2BB2">
        <w:tab/>
      </w:r>
      <w:r w:rsidRPr="00CD2BB2">
        <w:rPr>
          <w:rStyle w:val="FootnoteReference"/>
        </w:rPr>
        <w:footnoteRef/>
      </w:r>
      <w:r w:rsidRPr="00CD2BB2">
        <w:tab/>
        <w:t xml:space="preserve">See contribution of Centro de </w:t>
      </w:r>
      <w:proofErr w:type="spellStart"/>
      <w:r w:rsidRPr="00CD2BB2">
        <w:t>Imprensa</w:t>
      </w:r>
      <w:proofErr w:type="spellEnd"/>
      <w:r w:rsidRPr="00CD2BB2">
        <w:t xml:space="preserve">, </w:t>
      </w:r>
      <w:proofErr w:type="spellStart"/>
      <w:r w:rsidRPr="00CD2BB2">
        <w:t>Assessoria</w:t>
      </w:r>
      <w:proofErr w:type="spellEnd"/>
      <w:r w:rsidRPr="00CD2BB2">
        <w:t xml:space="preserve"> e </w:t>
      </w:r>
      <w:proofErr w:type="spellStart"/>
      <w:r w:rsidRPr="00CD2BB2">
        <w:t>Rádio</w:t>
      </w:r>
      <w:proofErr w:type="spellEnd"/>
      <w:r w:rsidRPr="00CD2BB2">
        <w:t>, Brazil.</w:t>
      </w:r>
    </w:p>
  </w:footnote>
  <w:footnote w:id="86">
    <w:p w14:paraId="2FAC4BC4" w14:textId="77777777" w:rsidR="000242CC" w:rsidRPr="00CD2BB2" w:rsidRDefault="000242CC" w:rsidP="000242CC">
      <w:pPr>
        <w:pStyle w:val="FootnoteText"/>
        <w:tabs>
          <w:tab w:val="left" w:pos="1482"/>
        </w:tabs>
      </w:pPr>
      <w:r w:rsidRPr="00CD2BB2">
        <w:tab/>
      </w:r>
      <w:r w:rsidRPr="00CD2BB2">
        <w:rPr>
          <w:rStyle w:val="FootnoteReference"/>
        </w:rPr>
        <w:footnoteRef/>
      </w:r>
      <w:r w:rsidRPr="00CD2BB2">
        <w:tab/>
        <w:t xml:space="preserve">See contribution of </w:t>
      </w:r>
      <w:r w:rsidRPr="00CD2BB2">
        <w:rPr>
          <w:szCs w:val="18"/>
        </w:rPr>
        <w:t>the Press Emblem Campaign</w:t>
      </w:r>
      <w:r w:rsidRPr="00CD2BB2">
        <w:t>.</w:t>
      </w:r>
    </w:p>
  </w:footnote>
  <w:footnote w:id="87">
    <w:p w14:paraId="7FE37A5D" w14:textId="6843337C" w:rsidR="000242CC" w:rsidRPr="00CD2BB2" w:rsidRDefault="000242CC" w:rsidP="000242CC">
      <w:pPr>
        <w:pStyle w:val="FootnoteText"/>
      </w:pPr>
      <w:r w:rsidRPr="00CD2BB2">
        <w:tab/>
      </w:r>
      <w:r w:rsidRPr="00CD2BB2">
        <w:rPr>
          <w:rStyle w:val="FootnoteReference"/>
        </w:rPr>
        <w:footnoteRef/>
      </w:r>
      <w:r w:rsidRPr="00CD2BB2">
        <w:tab/>
      </w:r>
      <w:hyperlink r:id="rId56" w:history="1">
        <w:r w:rsidRPr="00CD2BB2">
          <w:rPr>
            <w:rStyle w:val="Hyperlink"/>
          </w:rPr>
          <w:t>A/76/285</w:t>
        </w:r>
      </w:hyperlink>
      <w:r w:rsidRPr="00CD2BB2">
        <w:t xml:space="preserve">, paras. 41–42, and </w:t>
      </w:r>
      <w:hyperlink r:id="rId57" w:history="1">
        <w:r w:rsidRPr="00CD2BB2">
          <w:rPr>
            <w:rStyle w:val="Hyperlink"/>
          </w:rPr>
          <w:t>A/76/36</w:t>
        </w:r>
      </w:hyperlink>
      <w:r w:rsidRPr="00CD2BB2">
        <w:t>, para. 109.</w:t>
      </w:r>
    </w:p>
  </w:footnote>
  <w:footnote w:id="88">
    <w:p w14:paraId="54DA2BA8" w14:textId="5AF8201E" w:rsidR="000242CC" w:rsidRPr="00CD2BB2" w:rsidRDefault="000242CC" w:rsidP="000242CC">
      <w:pPr>
        <w:pStyle w:val="FootnoteText"/>
      </w:pPr>
      <w:r w:rsidRPr="00CD2BB2">
        <w:tab/>
      </w:r>
      <w:r w:rsidRPr="00CD2BB2">
        <w:rPr>
          <w:rStyle w:val="FootnoteReference"/>
        </w:rPr>
        <w:footnoteRef/>
      </w:r>
      <w:r w:rsidRPr="00CD2BB2">
        <w:t xml:space="preserve"> </w:t>
      </w:r>
      <w:r w:rsidRPr="00CD2BB2">
        <w:tab/>
        <w:t>See “Strengthening the implementation of the UN Plan of Action on the safety of journalists and the issue of impunity” (16 August 2017), available from https://www.ohchr.org/Documents/Issues/Journalists/OutcomeDocument.pdf.</w:t>
      </w:r>
    </w:p>
  </w:footnote>
  <w:footnote w:id="89">
    <w:p w14:paraId="50C9BF32" w14:textId="795FA009" w:rsidR="000242CC" w:rsidRPr="00CD2BB2" w:rsidRDefault="000242CC" w:rsidP="000242CC">
      <w:pPr>
        <w:pStyle w:val="FootnoteText"/>
      </w:pPr>
      <w:r w:rsidRPr="00CD2BB2">
        <w:tab/>
      </w:r>
      <w:r w:rsidRPr="00CD2BB2">
        <w:rPr>
          <w:rStyle w:val="FootnoteReference"/>
        </w:rPr>
        <w:footnoteRef/>
      </w:r>
      <w:r w:rsidRPr="00CD2BB2">
        <w:tab/>
        <w:t>See UNESCO, “UNESCO and OHCHR launch global drive for media freedom and safety of journalists”, 5 May 2021.</w:t>
      </w:r>
      <w:r w:rsidR="00121C02" w:rsidRPr="00CD2BB2">
        <w:t xml:space="preserve"> </w:t>
      </w:r>
    </w:p>
  </w:footnote>
  <w:footnote w:id="90">
    <w:p w14:paraId="66B8C1F8" w14:textId="16A7C860" w:rsidR="000242CC" w:rsidRPr="00CD2BB2" w:rsidRDefault="000242CC" w:rsidP="000242CC">
      <w:pPr>
        <w:pStyle w:val="FootnoteText"/>
      </w:pPr>
      <w:r w:rsidRPr="00CD2BB2">
        <w:tab/>
      </w:r>
      <w:r w:rsidRPr="00CD2BB2">
        <w:rPr>
          <w:rStyle w:val="FootnoteReference"/>
        </w:rPr>
        <w:footnoteRef/>
      </w:r>
      <w:r w:rsidRPr="00CD2BB2">
        <w:tab/>
      </w:r>
      <w:hyperlink r:id="rId58" w:history="1">
        <w:r w:rsidRPr="00CD2BB2">
          <w:rPr>
            <w:rStyle w:val="Hyperlink"/>
          </w:rPr>
          <w:t>A</w:t>
        </w:r>
        <w:r w:rsidRPr="00CD2BB2">
          <w:rPr>
            <w:rStyle w:val="Hyperlink"/>
            <w:bCs/>
            <w:sz w:val="17"/>
            <w:szCs w:val="17"/>
          </w:rPr>
          <w:t>/76/285</w:t>
        </w:r>
      </w:hyperlink>
      <w:r w:rsidRPr="00CD2BB2">
        <w:rPr>
          <w:bCs/>
          <w:sz w:val="17"/>
          <w:szCs w:val="17"/>
        </w:rPr>
        <w:t>, para. 40.</w:t>
      </w:r>
    </w:p>
  </w:footnote>
  <w:footnote w:id="91">
    <w:p w14:paraId="58F63B02" w14:textId="7240D319" w:rsidR="000242CC" w:rsidRPr="00CD2BB2" w:rsidRDefault="000242CC" w:rsidP="000242CC">
      <w:pPr>
        <w:pStyle w:val="FootnoteText"/>
      </w:pPr>
      <w:r w:rsidRPr="00CD2BB2">
        <w:tab/>
      </w:r>
      <w:r w:rsidRPr="00CD2BB2">
        <w:rPr>
          <w:rStyle w:val="FootnoteReference"/>
        </w:rPr>
        <w:footnoteRef/>
      </w:r>
      <w:r w:rsidRPr="00CD2BB2">
        <w:tab/>
        <w:t xml:space="preserve">See </w:t>
      </w:r>
      <w:hyperlink r:id="rId59" w:history="1">
        <w:r w:rsidR="003B1F93" w:rsidRPr="00BC77F4">
          <w:rPr>
            <w:rStyle w:val="Hyperlink"/>
          </w:rPr>
          <w:t>https://europe.ohchr.org/EN/NewsEvents/Pages/DisplayNews.aspx?NewsID=2607&amp;LangID=E</w:t>
        </w:r>
      </w:hyperlink>
      <w:r w:rsidRPr="00CD2BB2">
        <w:rPr>
          <w:rStyle w:val="Hyperlink"/>
          <w:color w:val="auto"/>
        </w:rPr>
        <w:t>.</w:t>
      </w:r>
      <w:r w:rsidRPr="00CD2BB2">
        <w:t xml:space="preserve"> </w:t>
      </w:r>
    </w:p>
  </w:footnote>
  <w:footnote w:id="92">
    <w:p w14:paraId="7942957D" w14:textId="5EF8A2E0" w:rsidR="000242CC" w:rsidRPr="00CD2BB2" w:rsidRDefault="000242CC" w:rsidP="000242CC">
      <w:pPr>
        <w:pStyle w:val="FootnoteText"/>
      </w:pPr>
      <w:r w:rsidRPr="00CD2BB2">
        <w:tab/>
      </w:r>
      <w:r w:rsidRPr="00CD2BB2">
        <w:rPr>
          <w:rStyle w:val="FootnoteReference"/>
        </w:rPr>
        <w:footnoteRef/>
      </w:r>
      <w:r w:rsidRPr="00CD2BB2">
        <w:tab/>
        <w:t xml:space="preserve">See </w:t>
      </w:r>
      <w:hyperlink r:id="rId60" w:history="1">
        <w:r w:rsidRPr="00CD2BB2">
          <w:rPr>
            <w:rStyle w:val="Hyperlink"/>
          </w:rPr>
          <w:t>A/HRC/46/20</w:t>
        </w:r>
      </w:hyperlink>
      <w:r w:rsidRPr="00CD2BB2">
        <w:t xml:space="preserve">, </w:t>
      </w:r>
      <w:hyperlink r:id="rId61" w:history="1">
        <w:r w:rsidRPr="00CD2BB2">
          <w:rPr>
            <w:rStyle w:val="Hyperlink"/>
          </w:rPr>
          <w:t>A/HRC/46/76</w:t>
        </w:r>
      </w:hyperlink>
      <w:r w:rsidRPr="00CD2BB2">
        <w:t xml:space="preserve">, </w:t>
      </w:r>
      <w:hyperlink r:id="rId62" w:history="1">
        <w:r w:rsidRPr="00CD2BB2">
          <w:rPr>
            <w:rStyle w:val="Hyperlink"/>
          </w:rPr>
          <w:t>A/HRC/48/19</w:t>
        </w:r>
      </w:hyperlink>
      <w:r w:rsidRPr="00CD2BB2">
        <w:t xml:space="preserve">, </w:t>
      </w:r>
      <w:hyperlink r:id="rId63" w:history="1">
        <w:r w:rsidRPr="00F05AFB">
          <w:rPr>
            <w:rStyle w:val="Hyperlink"/>
          </w:rPr>
          <w:t>A/HRC/47/22</w:t>
        </w:r>
      </w:hyperlink>
      <w:r w:rsidRPr="00CD2BB2">
        <w:t>.</w:t>
      </w:r>
    </w:p>
  </w:footnote>
  <w:footnote w:id="93">
    <w:p w14:paraId="0A6DCD7B" w14:textId="77777777" w:rsidR="000242CC" w:rsidRPr="00CD2BB2" w:rsidRDefault="000242CC" w:rsidP="000242CC">
      <w:pPr>
        <w:pStyle w:val="FootnoteText"/>
      </w:pPr>
      <w:r w:rsidRPr="00CD2BB2">
        <w:tab/>
      </w:r>
      <w:r w:rsidRPr="00CD2BB2">
        <w:rPr>
          <w:rStyle w:val="FootnoteReference"/>
        </w:rPr>
        <w:footnoteRef/>
      </w:r>
      <w:r w:rsidRPr="00CD2BB2">
        <w:tab/>
        <w:t xml:space="preserve">See UNAMA, “Special report: killing of human rights defenders, journalists and media workers in Afghanistan 2018–2021”, (February 2021). </w:t>
      </w:r>
    </w:p>
  </w:footnote>
  <w:footnote w:id="94">
    <w:p w14:paraId="31709EE8" w14:textId="2163A2A4" w:rsidR="000242CC" w:rsidRPr="00CD2BB2" w:rsidRDefault="000242CC" w:rsidP="000242CC">
      <w:pPr>
        <w:pStyle w:val="FootnoteText"/>
      </w:pPr>
      <w:r w:rsidRPr="00CD2BB2">
        <w:tab/>
      </w:r>
      <w:r w:rsidRPr="00CD2BB2">
        <w:rPr>
          <w:rStyle w:val="FootnoteReference"/>
        </w:rPr>
        <w:footnoteRef/>
      </w:r>
      <w:r w:rsidRPr="00CD2BB2">
        <w:tab/>
      </w:r>
      <w:hyperlink r:id="rId64" w:history="1">
        <w:r w:rsidRPr="00CD2BB2">
          <w:rPr>
            <w:rStyle w:val="Hyperlink"/>
          </w:rPr>
          <w:t>A/76/285</w:t>
        </w:r>
      </w:hyperlink>
      <w:r w:rsidRPr="00CD2BB2">
        <w:rPr>
          <w:rStyle w:val="Hyperlink"/>
          <w:color w:val="auto"/>
        </w:rPr>
        <w:t>, para. 41.</w:t>
      </w:r>
    </w:p>
  </w:footnote>
  <w:footnote w:id="95">
    <w:p w14:paraId="488CFF1A" w14:textId="77777777" w:rsidR="000242CC" w:rsidRPr="00CD2BB2" w:rsidRDefault="000242CC" w:rsidP="000242CC">
      <w:pPr>
        <w:pStyle w:val="FootnoteText"/>
      </w:pPr>
      <w:r w:rsidRPr="00CD2BB2">
        <w:tab/>
      </w:r>
      <w:r w:rsidRPr="00CD2BB2">
        <w:rPr>
          <w:rStyle w:val="FootnoteReference"/>
        </w:rPr>
        <w:footnoteRef/>
      </w:r>
      <w:r w:rsidRPr="00CD2BB2">
        <w:tab/>
        <w:t>See https://www.ohchr.org/Documents/Issues/Journalists/UN_plan_on_Safety_Journalists_EN.pdf, para.1.17.</w:t>
      </w:r>
    </w:p>
  </w:footnote>
  <w:footnote w:id="96">
    <w:p w14:paraId="64235399" w14:textId="2ACE90D1" w:rsidR="000242CC" w:rsidRPr="00CD2BB2" w:rsidRDefault="000242CC" w:rsidP="000242CC">
      <w:pPr>
        <w:pStyle w:val="FootnoteText"/>
        <w:tabs>
          <w:tab w:val="left" w:pos="1482"/>
        </w:tabs>
      </w:pPr>
      <w:r w:rsidRPr="00CD2BB2">
        <w:tab/>
      </w:r>
      <w:r w:rsidRPr="00CD2BB2">
        <w:rPr>
          <w:rStyle w:val="FootnoteReference"/>
        </w:rPr>
        <w:footnoteRef/>
      </w:r>
      <w:r w:rsidRPr="00CD2BB2">
        <w:tab/>
        <w:t xml:space="preserve">See </w:t>
      </w:r>
      <w:hyperlink r:id="rId65" w:history="1">
        <w:r w:rsidRPr="00CD2BB2">
          <w:rPr>
            <w:rStyle w:val="Hyperlink"/>
          </w:rPr>
          <w:t>A/76/285</w:t>
        </w:r>
      </w:hyperlink>
      <w:r w:rsidRPr="00CD2BB2">
        <w:t xml:space="preserve"> and </w:t>
      </w:r>
      <w:hyperlink r:id="rId66" w:history="1">
        <w:r w:rsidRPr="00CD2BB2">
          <w:rPr>
            <w:rStyle w:val="Hyperlink"/>
          </w:rPr>
          <w:t>A/HRC/49/66.</w:t>
        </w:r>
      </w:hyperlink>
      <w:r w:rsidRPr="00CD2BB2">
        <w:t xml:space="preserve"> See also contribution of ABRAJI. </w:t>
      </w:r>
    </w:p>
  </w:footnote>
  <w:footnote w:id="97">
    <w:p w14:paraId="3A4AF58A" w14:textId="77777777" w:rsidR="000242CC" w:rsidRPr="00CD2BB2" w:rsidRDefault="000242CC" w:rsidP="000242CC">
      <w:pPr>
        <w:pStyle w:val="FootnoteText"/>
      </w:pPr>
      <w:r w:rsidRPr="00CD2BB2">
        <w:tab/>
      </w:r>
      <w:r w:rsidRPr="00CD2BB2">
        <w:rPr>
          <w:rStyle w:val="FootnoteReference"/>
        </w:rPr>
        <w:footnoteRef/>
      </w:r>
      <w:r w:rsidRPr="00CD2BB2">
        <w:tab/>
        <w:t xml:space="preserve">See Julie </w:t>
      </w:r>
      <w:proofErr w:type="spellStart"/>
      <w:r w:rsidRPr="00CD2BB2">
        <w:t>Posetti</w:t>
      </w:r>
      <w:proofErr w:type="spellEnd"/>
      <w:r w:rsidRPr="00CD2BB2">
        <w:t xml:space="preserve"> and others, “Online violence against women journalists: a global snapshot of incidence and impacts” (2020). </w:t>
      </w:r>
    </w:p>
  </w:footnote>
  <w:footnote w:id="98">
    <w:p w14:paraId="68BA8A9E" w14:textId="56248440" w:rsidR="000242CC" w:rsidRPr="00CD2BB2" w:rsidRDefault="000242CC" w:rsidP="000242CC">
      <w:pPr>
        <w:pStyle w:val="FootnoteText"/>
      </w:pPr>
      <w:r w:rsidRPr="00CD2BB2">
        <w:tab/>
      </w:r>
      <w:r w:rsidRPr="00CD2BB2">
        <w:rPr>
          <w:rStyle w:val="FootnoteReference"/>
        </w:rPr>
        <w:footnoteRef/>
      </w:r>
      <w:r w:rsidRPr="00CD2BB2">
        <w:tab/>
        <w:t>See, for example, UNESCO and others, “Practical guide for women journalists on how to respond to online harassment” (2021).</w:t>
      </w:r>
      <w:r w:rsidR="00121C02" w:rsidRPr="00CD2BB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CB188" w14:textId="77777777" w:rsidR="000242CC" w:rsidRDefault="000242CC" w:rsidP="000242CC">
    <w:pPr>
      <w:pStyle w:val="Header"/>
    </w:pPr>
    <w:r>
      <w:t>A/HRC/49/40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24720" w14:textId="77777777" w:rsidR="000242CC" w:rsidRDefault="000242CC" w:rsidP="000242CC">
    <w:pPr>
      <w:pStyle w:val="Header"/>
      <w:jc w:val="right"/>
    </w:pPr>
    <w:r>
      <w:t>A/HRC/49/40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155E42"/>
    <w:multiLevelType w:val="hybridMultilevel"/>
    <w:tmpl w:val="8626D3EE"/>
    <w:lvl w:ilvl="0" w:tplc="DF9E4C8A">
      <w:start w:val="1"/>
      <w:numFmt w:val="lowerLetter"/>
      <w:lvlText w:val="(%1)"/>
      <w:lvlJc w:val="left"/>
      <w:pPr>
        <w:ind w:left="2421" w:hanging="360"/>
      </w:pPr>
      <w:rPr>
        <w:rFonts w:hint="default"/>
        <w:b/>
        <w:bCs/>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7E1333"/>
    <w:multiLevelType w:val="hybridMultilevel"/>
    <w:tmpl w:val="B23C40F8"/>
    <w:lvl w:ilvl="0" w:tplc="0809000F">
      <w:start w:val="7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B76E91"/>
    <w:multiLevelType w:val="hybridMultilevel"/>
    <w:tmpl w:val="B40476D4"/>
    <w:lvl w:ilvl="0" w:tplc="0CB279A2">
      <w:start w:val="1"/>
      <w:numFmt w:val="decimal"/>
      <w:lvlText w:val="(%1)"/>
      <w:lvlJc w:val="left"/>
      <w:pPr>
        <w:ind w:left="2271" w:hanging="570"/>
      </w:pPr>
      <w:rPr>
        <w:rFonts w:hint="default"/>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 w15:restartNumberingAfterBreak="0">
    <w:nsid w:val="2DB82D94"/>
    <w:multiLevelType w:val="hybridMultilevel"/>
    <w:tmpl w:val="9F8AEF72"/>
    <w:lvl w:ilvl="0" w:tplc="824AD16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30BB2952"/>
    <w:multiLevelType w:val="hybridMultilevel"/>
    <w:tmpl w:val="BD4C83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4262F5"/>
    <w:multiLevelType w:val="hybridMultilevel"/>
    <w:tmpl w:val="0BE6B128"/>
    <w:lvl w:ilvl="0" w:tplc="C28E6256">
      <w:start w:val="70"/>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37B30F73"/>
    <w:multiLevelType w:val="hybridMultilevel"/>
    <w:tmpl w:val="7A2675AA"/>
    <w:lvl w:ilvl="0" w:tplc="5E622944">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F85F7A"/>
    <w:multiLevelType w:val="hybridMultilevel"/>
    <w:tmpl w:val="2120433A"/>
    <w:lvl w:ilvl="0" w:tplc="DE863A90">
      <w:start w:val="1"/>
      <w:numFmt w:val="bullet"/>
      <w:lvlText w:val="-"/>
      <w:lvlJc w:val="left"/>
      <w:pPr>
        <w:ind w:left="1494" w:hanging="360"/>
      </w:pPr>
      <w:rPr>
        <w:rFonts w:ascii="Times New Roman" w:eastAsiaTheme="minorHAnsi" w:hAnsi="Times New Roman" w:cs="Times New Roman"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407502F2"/>
    <w:multiLevelType w:val="hybridMultilevel"/>
    <w:tmpl w:val="4B0ECE7C"/>
    <w:lvl w:ilvl="0" w:tplc="23BA174E">
      <w:start w:val="2"/>
      <w:numFmt w:val="bullet"/>
      <w:lvlText w:val="-"/>
      <w:lvlJc w:val="left"/>
      <w:pPr>
        <w:ind w:left="1494" w:hanging="360"/>
      </w:pPr>
      <w:rPr>
        <w:rFonts w:ascii="Times New Roman" w:eastAsiaTheme="minorHAnsi" w:hAnsi="Times New Roman" w:cs="Times New Roman" w:hint="default"/>
        <w:sz w:val="18"/>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437F1554"/>
    <w:multiLevelType w:val="hybridMultilevel"/>
    <w:tmpl w:val="EDDCC4DC"/>
    <w:lvl w:ilvl="0" w:tplc="AE58EBD2">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43A307C9"/>
    <w:multiLevelType w:val="hybridMultilevel"/>
    <w:tmpl w:val="8EF2538C"/>
    <w:lvl w:ilvl="0" w:tplc="23BA174E">
      <w:start w:val="2"/>
      <w:numFmt w:val="bullet"/>
      <w:lvlText w:val="-"/>
      <w:lvlJc w:val="left"/>
      <w:pPr>
        <w:ind w:left="1494" w:hanging="360"/>
      </w:pPr>
      <w:rPr>
        <w:rFonts w:ascii="Times New Roman" w:eastAsiaTheme="minorHAnsi" w:hAnsi="Times New Roman"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7D0E5D"/>
    <w:multiLevelType w:val="hybridMultilevel"/>
    <w:tmpl w:val="1B9CA6DE"/>
    <w:lvl w:ilvl="0" w:tplc="46FCB7EA">
      <w:start w:val="19"/>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812191C"/>
    <w:multiLevelType w:val="hybridMultilevel"/>
    <w:tmpl w:val="D8FA88B0"/>
    <w:lvl w:ilvl="0" w:tplc="46FCB7EA">
      <w:start w:val="19"/>
      <w:numFmt w:val="bullet"/>
      <w:lvlText w:val="-"/>
      <w:lvlJc w:val="left"/>
      <w:pPr>
        <w:ind w:left="1854" w:hanging="360"/>
      </w:pPr>
      <w:rPr>
        <w:rFonts w:ascii="Times New Roman" w:eastAsiaTheme="minorHAnsi"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8" w15:restartNumberingAfterBreak="0">
    <w:nsid w:val="4D3C3017"/>
    <w:multiLevelType w:val="hybridMultilevel"/>
    <w:tmpl w:val="5974532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536213AE"/>
    <w:multiLevelType w:val="hybridMultilevel"/>
    <w:tmpl w:val="C6AC3732"/>
    <w:lvl w:ilvl="0" w:tplc="C1603968">
      <w:start w:val="1"/>
      <w:numFmt w:val="upperLetter"/>
      <w:lvlText w:val="%1."/>
      <w:lvlJc w:val="left"/>
      <w:pPr>
        <w:ind w:left="3206" w:hanging="360"/>
      </w:pPr>
      <w:rPr>
        <w:rFonts w:hint="default"/>
      </w:rPr>
    </w:lvl>
    <w:lvl w:ilvl="1" w:tplc="08090019" w:tentative="1">
      <w:start w:val="1"/>
      <w:numFmt w:val="lowerLetter"/>
      <w:lvlText w:val="%2."/>
      <w:lvlJc w:val="left"/>
      <w:pPr>
        <w:ind w:left="3926" w:hanging="360"/>
      </w:pPr>
    </w:lvl>
    <w:lvl w:ilvl="2" w:tplc="0809001B" w:tentative="1">
      <w:start w:val="1"/>
      <w:numFmt w:val="lowerRoman"/>
      <w:lvlText w:val="%3."/>
      <w:lvlJc w:val="right"/>
      <w:pPr>
        <w:ind w:left="4646" w:hanging="180"/>
      </w:pPr>
    </w:lvl>
    <w:lvl w:ilvl="3" w:tplc="0809000F" w:tentative="1">
      <w:start w:val="1"/>
      <w:numFmt w:val="decimal"/>
      <w:lvlText w:val="%4."/>
      <w:lvlJc w:val="left"/>
      <w:pPr>
        <w:ind w:left="5366" w:hanging="360"/>
      </w:pPr>
    </w:lvl>
    <w:lvl w:ilvl="4" w:tplc="08090019" w:tentative="1">
      <w:start w:val="1"/>
      <w:numFmt w:val="lowerLetter"/>
      <w:lvlText w:val="%5."/>
      <w:lvlJc w:val="left"/>
      <w:pPr>
        <w:ind w:left="6086" w:hanging="360"/>
      </w:pPr>
    </w:lvl>
    <w:lvl w:ilvl="5" w:tplc="0809001B" w:tentative="1">
      <w:start w:val="1"/>
      <w:numFmt w:val="lowerRoman"/>
      <w:lvlText w:val="%6."/>
      <w:lvlJc w:val="right"/>
      <w:pPr>
        <w:ind w:left="6806" w:hanging="180"/>
      </w:pPr>
    </w:lvl>
    <w:lvl w:ilvl="6" w:tplc="0809000F" w:tentative="1">
      <w:start w:val="1"/>
      <w:numFmt w:val="decimal"/>
      <w:lvlText w:val="%7."/>
      <w:lvlJc w:val="left"/>
      <w:pPr>
        <w:ind w:left="7526" w:hanging="360"/>
      </w:pPr>
    </w:lvl>
    <w:lvl w:ilvl="7" w:tplc="08090019" w:tentative="1">
      <w:start w:val="1"/>
      <w:numFmt w:val="lowerLetter"/>
      <w:lvlText w:val="%8."/>
      <w:lvlJc w:val="left"/>
      <w:pPr>
        <w:ind w:left="8246" w:hanging="360"/>
      </w:pPr>
    </w:lvl>
    <w:lvl w:ilvl="8" w:tplc="0809001B" w:tentative="1">
      <w:start w:val="1"/>
      <w:numFmt w:val="lowerRoman"/>
      <w:lvlText w:val="%9."/>
      <w:lvlJc w:val="right"/>
      <w:pPr>
        <w:ind w:left="8966" w:hanging="180"/>
      </w:pPr>
    </w:lvl>
  </w:abstractNum>
  <w:abstractNum w:abstractNumId="20" w15:restartNumberingAfterBreak="0">
    <w:nsid w:val="58853B4A"/>
    <w:multiLevelType w:val="hybridMultilevel"/>
    <w:tmpl w:val="A3A2EBF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5E2036B4"/>
    <w:multiLevelType w:val="hybridMultilevel"/>
    <w:tmpl w:val="435C7C04"/>
    <w:lvl w:ilvl="0" w:tplc="EFF2D88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14307EC"/>
    <w:multiLevelType w:val="hybridMultilevel"/>
    <w:tmpl w:val="47D63ED0"/>
    <w:lvl w:ilvl="0" w:tplc="EFF2D88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62DA15E8"/>
    <w:multiLevelType w:val="hybridMultilevel"/>
    <w:tmpl w:val="76EA8F42"/>
    <w:lvl w:ilvl="0" w:tplc="688E9890">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65A113E2"/>
    <w:multiLevelType w:val="hybridMultilevel"/>
    <w:tmpl w:val="8A8CA220"/>
    <w:lvl w:ilvl="0" w:tplc="EFF2D88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67771C2B"/>
    <w:multiLevelType w:val="hybridMultilevel"/>
    <w:tmpl w:val="A61E4962"/>
    <w:lvl w:ilvl="0" w:tplc="08090001">
      <w:start w:val="1"/>
      <w:numFmt w:val="bullet"/>
      <w:lvlText w:val=""/>
      <w:lvlJc w:val="left"/>
      <w:pPr>
        <w:ind w:left="1860" w:hanging="360"/>
      </w:pPr>
      <w:rPr>
        <w:rFonts w:ascii="Symbol" w:hAnsi="Symbol" w:hint="default"/>
      </w:rPr>
    </w:lvl>
    <w:lvl w:ilvl="1" w:tplc="08090003">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8" w15:restartNumberingAfterBreak="0">
    <w:nsid w:val="67D2298B"/>
    <w:multiLevelType w:val="hybridMultilevel"/>
    <w:tmpl w:val="01964F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FA2F84"/>
    <w:multiLevelType w:val="hybridMultilevel"/>
    <w:tmpl w:val="69263818"/>
    <w:lvl w:ilvl="0" w:tplc="18AA9D06">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6D7095"/>
    <w:multiLevelType w:val="hybridMultilevel"/>
    <w:tmpl w:val="8236EE4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8714C8A"/>
    <w:multiLevelType w:val="hybridMultilevel"/>
    <w:tmpl w:val="FBE296E4"/>
    <w:lvl w:ilvl="0" w:tplc="2C8C6E32">
      <w:start w:val="1"/>
      <w:numFmt w:val="upperRoman"/>
      <w:lvlText w:val="%1."/>
      <w:lvlJc w:val="left"/>
      <w:pPr>
        <w:ind w:left="2274" w:hanging="1128"/>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34" w15:restartNumberingAfterBreak="0">
    <w:nsid w:val="796B50B0"/>
    <w:multiLevelType w:val="hybridMultilevel"/>
    <w:tmpl w:val="D24C5D34"/>
    <w:lvl w:ilvl="0" w:tplc="E012C2CE">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7934CF"/>
    <w:multiLevelType w:val="hybridMultilevel"/>
    <w:tmpl w:val="BEA4346C"/>
    <w:lvl w:ilvl="0" w:tplc="B3A2F07E">
      <w:start w:val="1"/>
      <w:numFmt w:val="upp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7FB04B51"/>
    <w:multiLevelType w:val="hybridMultilevel"/>
    <w:tmpl w:val="0E680118"/>
    <w:lvl w:ilvl="0" w:tplc="688E9890">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9"/>
  </w:num>
  <w:num w:numId="2">
    <w:abstractNumId w:val="4"/>
  </w:num>
  <w:num w:numId="3">
    <w:abstractNumId w:val="0"/>
  </w:num>
  <w:num w:numId="4">
    <w:abstractNumId w:val="22"/>
  </w:num>
  <w:num w:numId="5">
    <w:abstractNumId w:val="23"/>
  </w:num>
  <w:num w:numId="6">
    <w:abstractNumId w:val="32"/>
  </w:num>
  <w:num w:numId="7">
    <w:abstractNumId w:val="3"/>
  </w:num>
  <w:num w:numId="8">
    <w:abstractNumId w:val="2"/>
  </w:num>
  <w:num w:numId="9">
    <w:abstractNumId w:val="29"/>
  </w:num>
  <w:num w:numId="10">
    <w:abstractNumId w:val="2"/>
  </w:num>
  <w:num w:numId="11">
    <w:abstractNumId w:val="29"/>
  </w:num>
  <w:num w:numId="12">
    <w:abstractNumId w:val="33"/>
  </w:num>
  <w:num w:numId="13">
    <w:abstractNumId w:val="27"/>
  </w:num>
  <w:num w:numId="14">
    <w:abstractNumId w:val="31"/>
  </w:num>
  <w:num w:numId="15">
    <w:abstractNumId w:val="8"/>
  </w:num>
  <w:num w:numId="16">
    <w:abstractNumId w:val="28"/>
  </w:num>
  <w:num w:numId="17">
    <w:abstractNumId w:val="12"/>
  </w:num>
  <w:num w:numId="18">
    <w:abstractNumId w:val="16"/>
  </w:num>
  <w:num w:numId="19">
    <w:abstractNumId w:val="30"/>
  </w:num>
  <w:num w:numId="20">
    <w:abstractNumId w:val="34"/>
  </w:num>
  <w:num w:numId="21">
    <w:abstractNumId w:val="20"/>
  </w:num>
  <w:num w:numId="22">
    <w:abstractNumId w:val="17"/>
  </w:num>
  <w:num w:numId="23">
    <w:abstractNumId w:val="13"/>
  </w:num>
  <w:num w:numId="24">
    <w:abstractNumId w:val="15"/>
  </w:num>
  <w:num w:numId="25">
    <w:abstractNumId w:val="18"/>
  </w:num>
  <w:num w:numId="26">
    <w:abstractNumId w:val="36"/>
  </w:num>
  <w:num w:numId="27">
    <w:abstractNumId w:val="25"/>
  </w:num>
  <w:num w:numId="28">
    <w:abstractNumId w:val="35"/>
  </w:num>
  <w:num w:numId="29">
    <w:abstractNumId w:val="7"/>
  </w:num>
  <w:num w:numId="30">
    <w:abstractNumId w:val="19"/>
  </w:num>
  <w:num w:numId="31">
    <w:abstractNumId w:val="10"/>
  </w:num>
  <w:num w:numId="32">
    <w:abstractNumId w:val="5"/>
  </w:num>
  <w:num w:numId="33">
    <w:abstractNumId w:val="14"/>
  </w:num>
  <w:num w:numId="34">
    <w:abstractNumId w:val="24"/>
  </w:num>
  <w:num w:numId="35">
    <w:abstractNumId w:val="11"/>
  </w:num>
  <w:num w:numId="36">
    <w:abstractNumId w:val="21"/>
  </w:num>
  <w:num w:numId="37">
    <w:abstractNumId w:val="26"/>
  </w:num>
  <w:num w:numId="38">
    <w:abstractNumId w:val="1"/>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2E1651"/>
    <w:rsid w:val="000149BA"/>
    <w:rsid w:val="00015DE9"/>
    <w:rsid w:val="000175E0"/>
    <w:rsid w:val="00022A90"/>
    <w:rsid w:val="000242CC"/>
    <w:rsid w:val="000444CA"/>
    <w:rsid w:val="00046E92"/>
    <w:rsid w:val="00063C90"/>
    <w:rsid w:val="00072607"/>
    <w:rsid w:val="00077906"/>
    <w:rsid w:val="000C622C"/>
    <w:rsid w:val="000D3F01"/>
    <w:rsid w:val="000E0C1C"/>
    <w:rsid w:val="00101B98"/>
    <w:rsid w:val="001021EC"/>
    <w:rsid w:val="00121C02"/>
    <w:rsid w:val="00123612"/>
    <w:rsid w:val="00134C3A"/>
    <w:rsid w:val="001836B9"/>
    <w:rsid w:val="00184127"/>
    <w:rsid w:val="001A2EAA"/>
    <w:rsid w:val="001D6A3D"/>
    <w:rsid w:val="001F632A"/>
    <w:rsid w:val="002072D3"/>
    <w:rsid w:val="00227BE0"/>
    <w:rsid w:val="00227F79"/>
    <w:rsid w:val="00247E2C"/>
    <w:rsid w:val="00251841"/>
    <w:rsid w:val="002A32CB"/>
    <w:rsid w:val="002A3F68"/>
    <w:rsid w:val="002B16ED"/>
    <w:rsid w:val="002B319E"/>
    <w:rsid w:val="002D3E28"/>
    <w:rsid w:val="002D6C53"/>
    <w:rsid w:val="002E1651"/>
    <w:rsid w:val="002F040F"/>
    <w:rsid w:val="002F5595"/>
    <w:rsid w:val="003237C7"/>
    <w:rsid w:val="00334F6A"/>
    <w:rsid w:val="003350E4"/>
    <w:rsid w:val="00342AC8"/>
    <w:rsid w:val="00374626"/>
    <w:rsid w:val="00391E5D"/>
    <w:rsid w:val="0039434C"/>
    <w:rsid w:val="003A3E4A"/>
    <w:rsid w:val="003B1F93"/>
    <w:rsid w:val="003B4550"/>
    <w:rsid w:val="003B4A0C"/>
    <w:rsid w:val="0040017C"/>
    <w:rsid w:val="00461253"/>
    <w:rsid w:val="00486E21"/>
    <w:rsid w:val="004A2814"/>
    <w:rsid w:val="004C0622"/>
    <w:rsid w:val="004C61BC"/>
    <w:rsid w:val="004D10F9"/>
    <w:rsid w:val="004F1604"/>
    <w:rsid w:val="005042C2"/>
    <w:rsid w:val="00504F81"/>
    <w:rsid w:val="005271E2"/>
    <w:rsid w:val="0054132B"/>
    <w:rsid w:val="005516DE"/>
    <w:rsid w:val="005611C2"/>
    <w:rsid w:val="0059393C"/>
    <w:rsid w:val="005C4F37"/>
    <w:rsid w:val="005E6151"/>
    <w:rsid w:val="005E716E"/>
    <w:rsid w:val="00661076"/>
    <w:rsid w:val="00670EF8"/>
    <w:rsid w:val="00671529"/>
    <w:rsid w:val="006930F0"/>
    <w:rsid w:val="00697E53"/>
    <w:rsid w:val="006D0F72"/>
    <w:rsid w:val="006E40C3"/>
    <w:rsid w:val="0070489D"/>
    <w:rsid w:val="00716708"/>
    <w:rsid w:val="0072285C"/>
    <w:rsid w:val="007268F9"/>
    <w:rsid w:val="007441D2"/>
    <w:rsid w:val="00760C48"/>
    <w:rsid w:val="00762AB0"/>
    <w:rsid w:val="0078555C"/>
    <w:rsid w:val="007A088C"/>
    <w:rsid w:val="007C52B0"/>
    <w:rsid w:val="007F0E1E"/>
    <w:rsid w:val="007F6FE0"/>
    <w:rsid w:val="00805220"/>
    <w:rsid w:val="00861B4E"/>
    <w:rsid w:val="00882DAA"/>
    <w:rsid w:val="008B4BBB"/>
    <w:rsid w:val="008B5E10"/>
    <w:rsid w:val="008D6D41"/>
    <w:rsid w:val="009411B4"/>
    <w:rsid w:val="0096274D"/>
    <w:rsid w:val="00962A56"/>
    <w:rsid w:val="00983DAF"/>
    <w:rsid w:val="009D0139"/>
    <w:rsid w:val="009D717D"/>
    <w:rsid w:val="009E29CF"/>
    <w:rsid w:val="009E70D7"/>
    <w:rsid w:val="009F5CDC"/>
    <w:rsid w:val="00A13544"/>
    <w:rsid w:val="00A37AAA"/>
    <w:rsid w:val="00A71A4C"/>
    <w:rsid w:val="00A775CF"/>
    <w:rsid w:val="00A97EB3"/>
    <w:rsid w:val="00AC3B56"/>
    <w:rsid w:val="00B02A98"/>
    <w:rsid w:val="00B06045"/>
    <w:rsid w:val="00B32780"/>
    <w:rsid w:val="00B47C77"/>
    <w:rsid w:val="00B52EF4"/>
    <w:rsid w:val="00B66E90"/>
    <w:rsid w:val="00BA09DE"/>
    <w:rsid w:val="00BC7925"/>
    <w:rsid w:val="00BF54A3"/>
    <w:rsid w:val="00BF5A35"/>
    <w:rsid w:val="00C03015"/>
    <w:rsid w:val="00C0358D"/>
    <w:rsid w:val="00C35A27"/>
    <w:rsid w:val="00C47B2E"/>
    <w:rsid w:val="00C744CF"/>
    <w:rsid w:val="00CA1B04"/>
    <w:rsid w:val="00CD2BB2"/>
    <w:rsid w:val="00CF4978"/>
    <w:rsid w:val="00CF69E7"/>
    <w:rsid w:val="00D72304"/>
    <w:rsid w:val="00E02C2B"/>
    <w:rsid w:val="00E26369"/>
    <w:rsid w:val="00E36E7C"/>
    <w:rsid w:val="00E427A5"/>
    <w:rsid w:val="00E52109"/>
    <w:rsid w:val="00E64939"/>
    <w:rsid w:val="00E65845"/>
    <w:rsid w:val="00E75317"/>
    <w:rsid w:val="00EC2011"/>
    <w:rsid w:val="00ED1AB3"/>
    <w:rsid w:val="00ED6C48"/>
    <w:rsid w:val="00EE2488"/>
    <w:rsid w:val="00EF35B3"/>
    <w:rsid w:val="00F05AFB"/>
    <w:rsid w:val="00F10FCA"/>
    <w:rsid w:val="00F204C7"/>
    <w:rsid w:val="00F274F1"/>
    <w:rsid w:val="00F32C36"/>
    <w:rsid w:val="00F55CE6"/>
    <w:rsid w:val="00F65F5D"/>
    <w:rsid w:val="00F7103A"/>
    <w:rsid w:val="00F7557F"/>
    <w:rsid w:val="00F86A3A"/>
    <w:rsid w:val="00FA180E"/>
    <w:rsid w:val="00FC6906"/>
    <w:rsid w:val="00FD0DB6"/>
    <w:rsid w:val="00FD143B"/>
    <w:rsid w:val="00FD295C"/>
    <w:rsid w:val="00FE2048"/>
    <w:rsid w:val="00FF6B5F"/>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51490F"/>
  <w15:docId w15:val="{9CEBFCF6-3442-4EDD-AAB0-90C6CF8A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rsid w:val="004A2814"/>
    <w:pPr>
      <w:spacing w:line="240" w:lineRule="auto"/>
      <w:outlineLvl w:val="1"/>
    </w:pPr>
  </w:style>
  <w:style w:type="paragraph" w:styleId="Heading3">
    <w:name w:val="heading 3"/>
    <w:basedOn w:val="Normal"/>
    <w:next w:val="Normal"/>
    <w:link w:val="Heading3Char"/>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0242CC"/>
    <w:rPr>
      <w:sz w:val="16"/>
      <w:szCs w:val="16"/>
    </w:rPr>
  </w:style>
  <w:style w:type="paragraph" w:styleId="CommentText">
    <w:name w:val="annotation text"/>
    <w:basedOn w:val="Normal"/>
    <w:link w:val="CommentTextChar"/>
    <w:uiPriority w:val="99"/>
    <w:unhideWhenUsed/>
    <w:rsid w:val="000242CC"/>
    <w:pPr>
      <w:suppressAutoHyphens w:val="0"/>
      <w:kinsoku/>
      <w:overflowPunct/>
      <w:autoSpaceDE/>
      <w:autoSpaceDN/>
      <w:adjustRightInd/>
      <w:snapToGrid/>
      <w:spacing w:line="240" w:lineRule="auto"/>
    </w:pPr>
    <w:rPr>
      <w:rFonts w:eastAsia="SimSun"/>
      <w:lang w:eastAsia="zh-CN"/>
    </w:rPr>
  </w:style>
  <w:style w:type="character" w:customStyle="1" w:styleId="CommentTextChar">
    <w:name w:val="Comment Text Char"/>
    <w:basedOn w:val="DefaultParagraphFont"/>
    <w:link w:val="CommentText"/>
    <w:uiPriority w:val="99"/>
    <w:rsid w:val="000242C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42CC"/>
    <w:rPr>
      <w:b/>
      <w:bCs/>
    </w:rPr>
  </w:style>
  <w:style w:type="character" w:customStyle="1" w:styleId="CommentSubjectChar">
    <w:name w:val="Comment Subject Char"/>
    <w:basedOn w:val="CommentTextChar"/>
    <w:link w:val="CommentSubject"/>
    <w:uiPriority w:val="99"/>
    <w:semiHidden/>
    <w:rsid w:val="000242CC"/>
    <w:rPr>
      <w:rFonts w:ascii="Times New Roman" w:hAnsi="Times New Roman" w:cs="Times New Roman"/>
      <w:b/>
      <w:bCs/>
      <w:sz w:val="20"/>
      <w:szCs w:val="20"/>
    </w:rPr>
  </w:style>
  <w:style w:type="character" w:customStyle="1" w:styleId="HChGChar">
    <w:name w:val="_ H _Ch_G Char"/>
    <w:link w:val="HChG"/>
    <w:locked/>
    <w:rsid w:val="000242CC"/>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0242CC"/>
    <w:rPr>
      <w:rFonts w:ascii="Times New Roman" w:eastAsiaTheme="minorHAnsi" w:hAnsi="Times New Roman" w:cs="Times New Roman"/>
      <w:sz w:val="20"/>
      <w:szCs w:val="20"/>
      <w:lang w:eastAsia="en-US"/>
    </w:rPr>
  </w:style>
  <w:style w:type="paragraph" w:customStyle="1" w:styleId="Default">
    <w:name w:val="Default"/>
    <w:rsid w:val="000242CC"/>
    <w:pPr>
      <w:autoSpaceDE w:val="0"/>
      <w:autoSpaceDN w:val="0"/>
      <w:adjustRightInd w:val="0"/>
      <w:spacing w:after="0" w:line="240" w:lineRule="auto"/>
    </w:pPr>
    <w:rPr>
      <w:rFonts w:ascii="DepCentury Old Style" w:eastAsiaTheme="minorHAnsi" w:hAnsi="DepCentury Old Style" w:cs="DepCentury Old Style"/>
      <w:color w:val="000000"/>
      <w:sz w:val="24"/>
      <w:szCs w:val="24"/>
      <w:lang w:eastAsia="en-US"/>
    </w:rPr>
  </w:style>
  <w:style w:type="character" w:customStyle="1" w:styleId="UnresolvedMention1">
    <w:name w:val="Unresolved Mention1"/>
    <w:basedOn w:val="DefaultParagraphFont"/>
    <w:uiPriority w:val="99"/>
    <w:semiHidden/>
    <w:unhideWhenUsed/>
    <w:rsid w:val="000242CC"/>
    <w:rPr>
      <w:color w:val="605E5C"/>
      <w:shd w:val="clear" w:color="auto" w:fill="E1DFDD"/>
    </w:rPr>
  </w:style>
  <w:style w:type="paragraph" w:styleId="TOCHeading">
    <w:name w:val="TOC Heading"/>
    <w:basedOn w:val="Heading1"/>
    <w:next w:val="Normal"/>
    <w:uiPriority w:val="39"/>
    <w:unhideWhenUsed/>
    <w:qFormat/>
    <w:rsid w:val="000242CC"/>
    <w:pPr>
      <w:keepNext/>
      <w:keepLines/>
      <w:suppressAutoHyphens w:val="0"/>
      <w:kinsoku/>
      <w:overflowPunct/>
      <w:autoSpaceDE/>
      <w:autoSpaceDN/>
      <w:adjustRightInd/>
      <w:snapToGrid/>
      <w:spacing w:before="240" w:line="259" w:lineRule="auto"/>
      <w:ind w:left="0"/>
      <w:outlineLvl w:val="9"/>
    </w:pPr>
    <w:rPr>
      <w:rFonts w:asciiTheme="majorHAnsi" w:eastAsiaTheme="majorEastAsia" w:hAnsiTheme="majorHAnsi" w:cstheme="majorBidi"/>
      <w:color w:val="365F91" w:themeColor="accent1" w:themeShade="BF"/>
      <w:szCs w:val="32"/>
      <w:lang w:val="en-US" w:eastAsia="zh-CN"/>
    </w:rPr>
  </w:style>
  <w:style w:type="paragraph" w:styleId="Revision">
    <w:name w:val="Revision"/>
    <w:hidden/>
    <w:uiPriority w:val="99"/>
    <w:semiHidden/>
    <w:rsid w:val="000242CC"/>
    <w:pPr>
      <w:spacing w:after="0" w:line="240" w:lineRule="auto"/>
    </w:pPr>
    <w:rPr>
      <w:rFonts w:ascii="Times New Roman" w:eastAsiaTheme="minorHAnsi" w:hAnsi="Times New Roman" w:cs="Times New Roman"/>
      <w:sz w:val="20"/>
      <w:szCs w:val="20"/>
      <w:lang w:eastAsia="en-US"/>
    </w:rPr>
  </w:style>
  <w:style w:type="character" w:customStyle="1" w:styleId="UnresolvedMention2">
    <w:name w:val="Unresolved Mention2"/>
    <w:basedOn w:val="DefaultParagraphFont"/>
    <w:uiPriority w:val="99"/>
    <w:semiHidden/>
    <w:unhideWhenUsed/>
    <w:rsid w:val="000242CC"/>
    <w:rPr>
      <w:color w:val="605E5C"/>
      <w:shd w:val="clear" w:color="auto" w:fill="E1DFDD"/>
    </w:rPr>
  </w:style>
  <w:style w:type="paragraph" w:styleId="NormalWeb">
    <w:name w:val="Normal (Web)"/>
    <w:basedOn w:val="Normal"/>
    <w:uiPriority w:val="99"/>
    <w:semiHidden/>
    <w:unhideWhenUsed/>
    <w:rsid w:val="000242CC"/>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en-GB"/>
    </w:rPr>
  </w:style>
  <w:style w:type="character" w:customStyle="1" w:styleId="UnresolvedMention3">
    <w:name w:val="Unresolved Mention3"/>
    <w:basedOn w:val="DefaultParagraphFont"/>
    <w:uiPriority w:val="99"/>
    <w:semiHidden/>
    <w:unhideWhenUsed/>
    <w:rsid w:val="000242CC"/>
    <w:rPr>
      <w:color w:val="605E5C"/>
      <w:shd w:val="clear" w:color="auto" w:fill="E1DFDD"/>
    </w:rPr>
  </w:style>
  <w:style w:type="character" w:customStyle="1" w:styleId="UnresolvedMention4">
    <w:name w:val="Unresolved Mention4"/>
    <w:basedOn w:val="DefaultParagraphFont"/>
    <w:uiPriority w:val="99"/>
    <w:semiHidden/>
    <w:unhideWhenUsed/>
    <w:rsid w:val="000242CC"/>
    <w:rPr>
      <w:color w:val="605E5C"/>
      <w:shd w:val="clear" w:color="auto" w:fill="E1DFDD"/>
    </w:rPr>
  </w:style>
  <w:style w:type="character" w:customStyle="1" w:styleId="UnresolvedMention5">
    <w:name w:val="Unresolved Mention5"/>
    <w:basedOn w:val="DefaultParagraphFont"/>
    <w:uiPriority w:val="99"/>
    <w:semiHidden/>
    <w:unhideWhenUsed/>
    <w:rsid w:val="000242CC"/>
    <w:rPr>
      <w:color w:val="605E5C"/>
      <w:shd w:val="clear" w:color="auto" w:fill="E1DFDD"/>
    </w:rPr>
  </w:style>
  <w:style w:type="character" w:customStyle="1" w:styleId="UnresolvedMention">
    <w:name w:val="Unresolved Mention"/>
    <w:basedOn w:val="DefaultParagraphFont"/>
    <w:uiPriority w:val="99"/>
    <w:semiHidden/>
    <w:unhideWhenUsed/>
    <w:rsid w:val="00024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en/A/HRC/RES/45/18"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undocs.org/en/A/HRC/44/49" TargetMode="External"/><Relationship Id="rId18" Type="http://schemas.openxmlformats.org/officeDocument/2006/relationships/hyperlink" Target="http://undocs.org/en/A/HRC/47/25" TargetMode="External"/><Relationship Id="rId26" Type="http://schemas.openxmlformats.org/officeDocument/2006/relationships/hyperlink" Target="http://undocs.org/en/A/HRC/28/39" TargetMode="External"/><Relationship Id="rId39" Type="http://schemas.openxmlformats.org/officeDocument/2006/relationships/hyperlink" Target="https://www.ohchr.org/EN/NewsEvents/Pages/COVID19Guidance.aspx" TargetMode="External"/><Relationship Id="rId21" Type="http://schemas.openxmlformats.org/officeDocument/2006/relationships/hyperlink" Target="http://undocs.org/en/A/71/373." TargetMode="External"/><Relationship Id="rId34" Type="http://schemas.openxmlformats.org/officeDocument/2006/relationships/hyperlink" Target="https://www.oas.org/en/iachr/expression/showarticle.asp?artID=1207&amp;lID=1" TargetMode="External"/><Relationship Id="rId42" Type="http://schemas.openxmlformats.org/officeDocument/2006/relationships/hyperlink" Target="http://undocs.org/en/A/HRC/44/49" TargetMode="External"/><Relationship Id="rId47" Type="http://schemas.openxmlformats.org/officeDocument/2006/relationships/hyperlink" Target="http://undocs.org/en/A/HRC/46/13" TargetMode="External"/><Relationship Id="rId50" Type="http://schemas.openxmlformats.org/officeDocument/2006/relationships/hyperlink" Target="http://undocs.org/en/A/HRC/47/5" TargetMode="External"/><Relationship Id="rId55" Type="http://schemas.openxmlformats.org/officeDocument/2006/relationships/hyperlink" Target="https://www.obs.coe.int/en/web/observatoire/covid-tracker-2021" TargetMode="External"/><Relationship Id="rId63" Type="http://schemas.openxmlformats.org/officeDocument/2006/relationships/hyperlink" Target="https://undocs.org/en/A/HRC/47/22" TargetMode="External"/><Relationship Id="rId7" Type="http://schemas.openxmlformats.org/officeDocument/2006/relationships/hyperlink" Target="http://undocs.org/en/A/72/290" TargetMode="External"/><Relationship Id="rId2" Type="http://schemas.openxmlformats.org/officeDocument/2006/relationships/hyperlink" Target="https://undocs.org/en/https://www.ohchr.org/EN/Issues/SafetyOfJournalists/Pages/reports.aspx" TargetMode="External"/><Relationship Id="rId16" Type="http://schemas.openxmlformats.org/officeDocument/2006/relationships/hyperlink" Target="http://undocs.org/en/A/HRC/44/49" TargetMode="External"/><Relationship Id="rId20" Type="http://schemas.openxmlformats.org/officeDocument/2006/relationships/hyperlink" Target="http://undocs.org/en/A/HRC/49/38" TargetMode="External"/><Relationship Id="rId29" Type="http://schemas.openxmlformats.org/officeDocument/2006/relationships/hyperlink" Target="http://undocs.org/en/A/HRC/41/35" TargetMode="External"/><Relationship Id="rId41" Type="http://schemas.openxmlformats.org/officeDocument/2006/relationships/hyperlink" Target="https://www.ohchr.org/EN/NewsEvents/Pages/DisplayNews.aspx?NewsID=25729" TargetMode="External"/><Relationship Id="rId54" Type="http://schemas.openxmlformats.org/officeDocument/2006/relationships/hyperlink" Target="https://www.ohchr.org/EN/NewsEvents/Pages/DisplayNews.aspx?NewsID=25837" TargetMode="External"/><Relationship Id="rId62" Type="http://schemas.openxmlformats.org/officeDocument/2006/relationships/hyperlink" Target="http://undocs.org/en/A/HRC/48/19" TargetMode="External"/><Relationship Id="rId1" Type="http://schemas.openxmlformats.org/officeDocument/2006/relationships/hyperlink" Target="http://undocs.org/en/A/HRC/48/35" TargetMode="External"/><Relationship Id="rId6" Type="http://schemas.openxmlformats.org/officeDocument/2006/relationships/hyperlink" Target="http://undocs.org/en/A/70/290" TargetMode="External"/><Relationship Id="rId11" Type="http://schemas.openxmlformats.org/officeDocument/2006/relationships/hyperlink" Target="http://undocs.org/en/A/HRC/47/25" TargetMode="External"/><Relationship Id="rId24" Type="http://schemas.openxmlformats.org/officeDocument/2006/relationships/hyperlink" Target="https://www.ohchr.org/EN/NewsEvents/Pages/DisplayNews.aspx?NewsID=25856" TargetMode="External"/><Relationship Id="rId32" Type="http://schemas.openxmlformats.org/officeDocument/2006/relationships/hyperlink" Target="http://undocs.org/en/A/76/285" TargetMode="External"/><Relationship Id="rId37" Type="http://schemas.openxmlformats.org/officeDocument/2006/relationships/hyperlink" Target="http://undocs.org/en/A/HRC/47/25" TargetMode="External"/><Relationship Id="rId40" Type="http://schemas.openxmlformats.org/officeDocument/2006/relationships/hyperlink" Target="https://en.unesco.org/covid19/communicationinformationresponse/mediasupport" TargetMode="External"/><Relationship Id="rId45" Type="http://schemas.openxmlformats.org/officeDocument/2006/relationships/hyperlink" Target="http://undocs.org/en/A/HRC/46/10" TargetMode="External"/><Relationship Id="rId53" Type="http://schemas.openxmlformats.org/officeDocument/2006/relationships/hyperlink" Target="http://undocs.org/en/A/HRC/48/11" TargetMode="External"/><Relationship Id="rId58" Type="http://schemas.openxmlformats.org/officeDocument/2006/relationships/hyperlink" Target="http://undocs.org/en/A/76/285" TargetMode="External"/><Relationship Id="rId66" Type="http://schemas.openxmlformats.org/officeDocument/2006/relationships/hyperlink" Target="http://undocs.org/en/A/HRC/49/66." TargetMode="External"/><Relationship Id="rId5" Type="http://schemas.openxmlformats.org/officeDocument/2006/relationships/hyperlink" Target="http://undocs.org/en/A/69/268" TargetMode="External"/><Relationship Id="rId15" Type="http://schemas.openxmlformats.org/officeDocument/2006/relationships/hyperlink" Target="http://undocs.org/en/A/HRC/47/25" TargetMode="External"/><Relationship Id="rId23" Type="http://schemas.openxmlformats.org/officeDocument/2006/relationships/hyperlink" Target="http://undocs.org/en/A/HRC/44/49" TargetMode="External"/><Relationship Id="rId28" Type="http://schemas.openxmlformats.org/officeDocument/2006/relationships/hyperlink" Target="https://forbiddenstories.org/pegasus-journalists-under-surveillance/" TargetMode="External"/><Relationship Id="rId36" Type="http://schemas.openxmlformats.org/officeDocument/2006/relationships/hyperlink" Target="https://www.pressemblem.ch/-1.shtml" TargetMode="External"/><Relationship Id="rId49" Type="http://schemas.openxmlformats.org/officeDocument/2006/relationships/hyperlink" Target="http://undocs.org/en/A/HRC/46/17" TargetMode="External"/><Relationship Id="rId57" Type="http://schemas.openxmlformats.org/officeDocument/2006/relationships/hyperlink" Target="http://undocs.org/en/A/76/36" TargetMode="External"/><Relationship Id="rId61" Type="http://schemas.openxmlformats.org/officeDocument/2006/relationships/hyperlink" Target="http://undocs.org/en/A/HRC/46/76" TargetMode="External"/><Relationship Id="rId10" Type="http://schemas.openxmlformats.org/officeDocument/2006/relationships/hyperlink" Target="https://www.ohchr.org/EN/NewsEvents/Pages/DisplayNews.aspx?NewsID=25823" TargetMode="External"/><Relationship Id="rId19" Type="http://schemas.openxmlformats.org/officeDocument/2006/relationships/hyperlink" Target="https://ipi.media/covid19/?alert_type=0&amp;language=0&amp;years=0&amp;country=0" TargetMode="External"/><Relationship Id="rId31" Type="http://schemas.openxmlformats.org/officeDocument/2006/relationships/hyperlink" Target="http://undocs.org/en/A/HRC/44/49" TargetMode="External"/><Relationship Id="rId44" Type="http://schemas.openxmlformats.org/officeDocument/2006/relationships/hyperlink" Target="http://undocs.org/en/A/HRC/46/5" TargetMode="External"/><Relationship Id="rId52" Type="http://schemas.openxmlformats.org/officeDocument/2006/relationships/hyperlink" Target="http://undocs.org/en/A/HRC/48/9" TargetMode="External"/><Relationship Id="rId60" Type="http://schemas.openxmlformats.org/officeDocument/2006/relationships/hyperlink" Target="http://undocs.org/en/A/HRC/46/20" TargetMode="External"/><Relationship Id="rId65" Type="http://schemas.openxmlformats.org/officeDocument/2006/relationships/hyperlink" Target="http://undocs.org/en/A/76/285" TargetMode="External"/><Relationship Id="rId4" Type="http://schemas.openxmlformats.org/officeDocument/2006/relationships/hyperlink" Target="http://undocs.org/en/A/HRC/24/23" TargetMode="External"/><Relationship Id="rId9" Type="http://schemas.openxmlformats.org/officeDocument/2006/relationships/hyperlink" Target="http://undocs.org/en/A/HRC/44/49" TargetMode="External"/><Relationship Id="rId14" Type="http://schemas.openxmlformats.org/officeDocument/2006/relationships/hyperlink" Target="http://undocs.org/en/A/76/285" TargetMode="External"/><Relationship Id="rId22" Type="http://schemas.openxmlformats.org/officeDocument/2006/relationships/hyperlink" Target="https://ipi.media/covid19-media-freedom-monitoring/" TargetMode="External"/><Relationship Id="rId27" Type="http://schemas.openxmlformats.org/officeDocument/2006/relationships/hyperlink" Target="http://undocs.org/en/A/HRC/41/35" TargetMode="External"/><Relationship Id="rId30" Type="http://schemas.openxmlformats.org/officeDocument/2006/relationships/hyperlink" Target="http://undocs.org/en/A/HRC/41/CRP.1" TargetMode="External"/><Relationship Id="rId35" Type="http://schemas.openxmlformats.org/officeDocument/2006/relationships/hyperlink" Target="https://www.oas.org/en/iachr/expression/showarticle.asp?artID=1218&amp;lID=1" TargetMode="External"/><Relationship Id="rId43" Type="http://schemas.openxmlformats.org/officeDocument/2006/relationships/hyperlink" Target="https://ohchr.org/EN/NewsEvents/Pages/DisplayNews.aspx?NewsID=26075" TargetMode="External"/><Relationship Id="rId48" Type="http://schemas.openxmlformats.org/officeDocument/2006/relationships/hyperlink" Target="http://undocs.org/en/A/HRC/46/16" TargetMode="External"/><Relationship Id="rId56" Type="http://schemas.openxmlformats.org/officeDocument/2006/relationships/hyperlink" Target="http://undocs.org/en/A/76/285" TargetMode="External"/><Relationship Id="rId64" Type="http://schemas.openxmlformats.org/officeDocument/2006/relationships/hyperlink" Target="http://undocs.org/en/A/76/285" TargetMode="External"/><Relationship Id="rId8" Type="http://schemas.openxmlformats.org/officeDocument/2006/relationships/hyperlink" Target="https://www.ohchr.org/EN/NewsEvents/Pages/COVID19Guidance.aspx" TargetMode="External"/><Relationship Id="rId51" Type="http://schemas.openxmlformats.org/officeDocument/2006/relationships/hyperlink" Target="http://undocs.org/en/A/HRC/47/14" TargetMode="External"/><Relationship Id="rId3" Type="http://schemas.openxmlformats.org/officeDocument/2006/relationships/hyperlink" Target="http://undocs.org/en/A/HRC/39/23." TargetMode="External"/><Relationship Id="rId12" Type="http://schemas.openxmlformats.org/officeDocument/2006/relationships/hyperlink" Target="http://undocs.org/en/A/HRC/44/49" TargetMode="External"/><Relationship Id="rId17" Type="http://schemas.openxmlformats.org/officeDocument/2006/relationships/hyperlink" Target="http://undocs.org/en/A/HRC/44/49" TargetMode="External"/><Relationship Id="rId25" Type="http://schemas.openxmlformats.org/officeDocument/2006/relationships/hyperlink" Target="http://undocs.org/en/A/HRC/27/37" TargetMode="External"/><Relationship Id="rId33" Type="http://schemas.openxmlformats.org/officeDocument/2006/relationships/hyperlink" Target="https://www.ohchr.org/EN/NewsEvents/Pages/DisplayNews.aspx?NewsID=27455&amp;LangID=E" TargetMode="External"/><Relationship Id="rId38" Type="http://schemas.openxmlformats.org/officeDocument/2006/relationships/hyperlink" Target="https://www.ohchr.org/Documents/Issues/CivicSpace/UN_Guidance_Note.pdf" TargetMode="External"/><Relationship Id="rId46" Type="http://schemas.openxmlformats.org/officeDocument/2006/relationships/hyperlink" Target="http://undocs.org/en/A/HRC/46/12" TargetMode="External"/><Relationship Id="rId59" Type="http://schemas.openxmlformats.org/officeDocument/2006/relationships/hyperlink" Target="https://europe.ohchr.org/EN/NewsEvents/Pages/DisplayNews.aspx?NewsID=2607&amp;Lang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DD5BD39CCAAB42A364E3FF23B8B02E" ma:contentTypeVersion="1" ma:contentTypeDescription="Create a new document." ma:contentTypeScope="" ma:versionID="aceb3e279670a229d9d2dfdc142b225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8FB3D-CBCE-473F-8865-72B6A08261B9}">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0f481a96-d34c-41f2-87ba-59c4928b42a0"/>
    <ds:schemaRef ds:uri="http://purl.org/dc/elements/1.1/"/>
    <ds:schemaRef ds:uri="6c33773d-66ed-4bf1-ab60-0ae20b1c302d"/>
    <ds:schemaRef ds:uri="http://www.w3.org/XML/1998/namespace"/>
  </ds:schemaRefs>
</ds:datastoreItem>
</file>

<file path=customXml/itemProps2.xml><?xml version="1.0" encoding="utf-8"?>
<ds:datastoreItem xmlns:ds="http://schemas.openxmlformats.org/officeDocument/2006/customXml" ds:itemID="{79466A7A-67D6-4C98-978A-CC9BB219A23C}"/>
</file>

<file path=customXml/itemProps3.xml><?xml version="1.0" encoding="utf-8"?>
<ds:datastoreItem xmlns:ds="http://schemas.openxmlformats.org/officeDocument/2006/customXml" ds:itemID="{43E5F56D-270A-45BD-8E33-71A488ACFB1F}">
  <ds:schemaRefs>
    <ds:schemaRef ds:uri="http://schemas.microsoft.com/sharepoint/v3/contenttype/forms"/>
  </ds:schemaRefs>
</ds:datastoreItem>
</file>

<file path=customXml/itemProps4.xml><?xml version="1.0" encoding="utf-8"?>
<ds:datastoreItem xmlns:ds="http://schemas.openxmlformats.org/officeDocument/2006/customXml" ds:itemID="{FF4481A6-08E7-44F0-B508-4723DE20A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16</Pages>
  <Words>7699</Words>
  <Characters>43888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A/HRC/49/40</vt:lpstr>
    </vt:vector>
  </TitlesOfParts>
  <Company>DCM</Company>
  <LinksUpToDate>false</LinksUpToDate>
  <CharactersWithSpaces>51485</CharactersWithSpaces>
  <SharedDoc>false</SharedDoc>
  <HLinks>
    <vt:vector size="378" baseType="variant">
      <vt:variant>
        <vt:i4>196676</vt:i4>
      </vt:variant>
      <vt:variant>
        <vt:i4>186</vt:i4>
      </vt:variant>
      <vt:variant>
        <vt:i4>0</vt:i4>
      </vt:variant>
      <vt:variant>
        <vt:i4>5</vt:i4>
      </vt:variant>
      <vt:variant>
        <vt:lpwstr>http://undocs.org/en/A/HRC/49/66.</vt:lpwstr>
      </vt:variant>
      <vt:variant>
        <vt:lpwstr/>
      </vt:variant>
      <vt:variant>
        <vt:i4>327698</vt:i4>
      </vt:variant>
      <vt:variant>
        <vt:i4>183</vt:i4>
      </vt:variant>
      <vt:variant>
        <vt:i4>0</vt:i4>
      </vt:variant>
      <vt:variant>
        <vt:i4>5</vt:i4>
      </vt:variant>
      <vt:variant>
        <vt:lpwstr>http://undocs.org/en/A/76/285</vt:lpwstr>
      </vt:variant>
      <vt:variant>
        <vt:lpwstr/>
      </vt:variant>
      <vt:variant>
        <vt:i4>327698</vt:i4>
      </vt:variant>
      <vt:variant>
        <vt:i4>180</vt:i4>
      </vt:variant>
      <vt:variant>
        <vt:i4>0</vt:i4>
      </vt:variant>
      <vt:variant>
        <vt:i4>5</vt:i4>
      </vt:variant>
      <vt:variant>
        <vt:lpwstr>http://undocs.org/en/A/76/285</vt:lpwstr>
      </vt:variant>
      <vt:variant>
        <vt:lpwstr/>
      </vt:variant>
      <vt:variant>
        <vt:i4>5636190</vt:i4>
      </vt:variant>
      <vt:variant>
        <vt:i4>177</vt:i4>
      </vt:variant>
      <vt:variant>
        <vt:i4>0</vt:i4>
      </vt:variant>
      <vt:variant>
        <vt:i4>5</vt:i4>
      </vt:variant>
      <vt:variant>
        <vt:lpwstr>https://undocs.org/en/A/HRC/47/22</vt:lpwstr>
      </vt:variant>
      <vt:variant>
        <vt:lpwstr/>
      </vt:variant>
      <vt:variant>
        <vt:i4>786498</vt:i4>
      </vt:variant>
      <vt:variant>
        <vt:i4>174</vt:i4>
      </vt:variant>
      <vt:variant>
        <vt:i4>0</vt:i4>
      </vt:variant>
      <vt:variant>
        <vt:i4>5</vt:i4>
      </vt:variant>
      <vt:variant>
        <vt:lpwstr>http://undocs.org/en/A/HRC/48/19</vt:lpwstr>
      </vt:variant>
      <vt:variant>
        <vt:lpwstr/>
      </vt:variant>
      <vt:variant>
        <vt:i4>196682</vt:i4>
      </vt:variant>
      <vt:variant>
        <vt:i4>171</vt:i4>
      </vt:variant>
      <vt:variant>
        <vt:i4>0</vt:i4>
      </vt:variant>
      <vt:variant>
        <vt:i4>5</vt:i4>
      </vt:variant>
      <vt:variant>
        <vt:lpwstr>http://undocs.org/en/A/HRC/46/76</vt:lpwstr>
      </vt:variant>
      <vt:variant>
        <vt:lpwstr/>
      </vt:variant>
      <vt:variant>
        <vt:i4>327759</vt:i4>
      </vt:variant>
      <vt:variant>
        <vt:i4>168</vt:i4>
      </vt:variant>
      <vt:variant>
        <vt:i4>0</vt:i4>
      </vt:variant>
      <vt:variant>
        <vt:i4>5</vt:i4>
      </vt:variant>
      <vt:variant>
        <vt:lpwstr>http://undocs.org/en/A/HRC/46/20</vt:lpwstr>
      </vt:variant>
      <vt:variant>
        <vt:lpwstr/>
      </vt:variant>
      <vt:variant>
        <vt:i4>2097187</vt:i4>
      </vt:variant>
      <vt:variant>
        <vt:i4>165</vt:i4>
      </vt:variant>
      <vt:variant>
        <vt:i4>0</vt:i4>
      </vt:variant>
      <vt:variant>
        <vt:i4>5</vt:i4>
      </vt:variant>
      <vt:variant>
        <vt:lpwstr>https://europe.ohchr.org/EN/NewsEvents/Pages/DisplayNews.aspx?NewsID=2607&amp;LangID=E</vt:lpwstr>
      </vt:variant>
      <vt:variant>
        <vt:lpwstr/>
      </vt:variant>
      <vt:variant>
        <vt:i4>327698</vt:i4>
      </vt:variant>
      <vt:variant>
        <vt:i4>162</vt:i4>
      </vt:variant>
      <vt:variant>
        <vt:i4>0</vt:i4>
      </vt:variant>
      <vt:variant>
        <vt:i4>5</vt:i4>
      </vt:variant>
      <vt:variant>
        <vt:lpwstr>http://undocs.org/en/A/76/285</vt:lpwstr>
      </vt:variant>
      <vt:variant>
        <vt:lpwstr/>
      </vt:variant>
      <vt:variant>
        <vt:i4>720915</vt:i4>
      </vt:variant>
      <vt:variant>
        <vt:i4>159</vt:i4>
      </vt:variant>
      <vt:variant>
        <vt:i4>0</vt:i4>
      </vt:variant>
      <vt:variant>
        <vt:i4>5</vt:i4>
      </vt:variant>
      <vt:variant>
        <vt:lpwstr>http://undocs.org/en/A/76/36</vt:lpwstr>
      </vt:variant>
      <vt:variant>
        <vt:lpwstr/>
      </vt:variant>
      <vt:variant>
        <vt:i4>327698</vt:i4>
      </vt:variant>
      <vt:variant>
        <vt:i4>156</vt:i4>
      </vt:variant>
      <vt:variant>
        <vt:i4>0</vt:i4>
      </vt:variant>
      <vt:variant>
        <vt:i4>5</vt:i4>
      </vt:variant>
      <vt:variant>
        <vt:lpwstr>http://undocs.org/en/A/76/285</vt:lpwstr>
      </vt:variant>
      <vt:variant>
        <vt:lpwstr/>
      </vt:variant>
      <vt:variant>
        <vt:i4>3211315</vt:i4>
      </vt:variant>
      <vt:variant>
        <vt:i4>153</vt:i4>
      </vt:variant>
      <vt:variant>
        <vt:i4>0</vt:i4>
      </vt:variant>
      <vt:variant>
        <vt:i4>5</vt:i4>
      </vt:variant>
      <vt:variant>
        <vt:lpwstr>https://www.obs.coe.int/en/web/observatoire/covid-tracker-2021</vt:lpwstr>
      </vt:variant>
      <vt:variant>
        <vt:lpwstr/>
      </vt:variant>
      <vt:variant>
        <vt:i4>3342375</vt:i4>
      </vt:variant>
      <vt:variant>
        <vt:i4>150</vt:i4>
      </vt:variant>
      <vt:variant>
        <vt:i4>0</vt:i4>
      </vt:variant>
      <vt:variant>
        <vt:i4>5</vt:i4>
      </vt:variant>
      <vt:variant>
        <vt:lpwstr>https://www.ohchr.org/EN/NewsEvents/Pages/DisplayNews.aspx?NewsID=25837</vt:lpwstr>
      </vt:variant>
      <vt:variant>
        <vt:lpwstr/>
      </vt:variant>
      <vt:variant>
        <vt:i4>262210</vt:i4>
      </vt:variant>
      <vt:variant>
        <vt:i4>147</vt:i4>
      </vt:variant>
      <vt:variant>
        <vt:i4>0</vt:i4>
      </vt:variant>
      <vt:variant>
        <vt:i4>5</vt:i4>
      </vt:variant>
      <vt:variant>
        <vt:lpwstr>http://undocs.org/en/A/HRC/48/11</vt:lpwstr>
      </vt:variant>
      <vt:variant>
        <vt:lpwstr/>
      </vt:variant>
      <vt:variant>
        <vt:i4>3473523</vt:i4>
      </vt:variant>
      <vt:variant>
        <vt:i4>144</vt:i4>
      </vt:variant>
      <vt:variant>
        <vt:i4>0</vt:i4>
      </vt:variant>
      <vt:variant>
        <vt:i4>5</vt:i4>
      </vt:variant>
      <vt:variant>
        <vt:lpwstr>http://undocs.org/en/A/HRC/48/9</vt:lpwstr>
      </vt:variant>
      <vt:variant>
        <vt:lpwstr/>
      </vt:variant>
      <vt:variant>
        <vt:i4>65613</vt:i4>
      </vt:variant>
      <vt:variant>
        <vt:i4>141</vt:i4>
      </vt:variant>
      <vt:variant>
        <vt:i4>0</vt:i4>
      </vt:variant>
      <vt:variant>
        <vt:i4>5</vt:i4>
      </vt:variant>
      <vt:variant>
        <vt:lpwstr>http://undocs.org/en/A/HRC/47/14</vt:lpwstr>
      </vt:variant>
      <vt:variant>
        <vt:lpwstr/>
      </vt:variant>
      <vt:variant>
        <vt:i4>3473532</vt:i4>
      </vt:variant>
      <vt:variant>
        <vt:i4>138</vt:i4>
      </vt:variant>
      <vt:variant>
        <vt:i4>0</vt:i4>
      </vt:variant>
      <vt:variant>
        <vt:i4>5</vt:i4>
      </vt:variant>
      <vt:variant>
        <vt:lpwstr>http://undocs.org/en/A/HRC/47/5</vt:lpwstr>
      </vt:variant>
      <vt:variant>
        <vt:lpwstr/>
      </vt:variant>
      <vt:variant>
        <vt:i4>131148</vt:i4>
      </vt:variant>
      <vt:variant>
        <vt:i4>135</vt:i4>
      </vt:variant>
      <vt:variant>
        <vt:i4>0</vt:i4>
      </vt:variant>
      <vt:variant>
        <vt:i4>5</vt:i4>
      </vt:variant>
      <vt:variant>
        <vt:lpwstr>http://undocs.org/en/A/HRC/46/17</vt:lpwstr>
      </vt:variant>
      <vt:variant>
        <vt:lpwstr/>
      </vt:variant>
      <vt:variant>
        <vt:i4>196684</vt:i4>
      </vt:variant>
      <vt:variant>
        <vt:i4>132</vt:i4>
      </vt:variant>
      <vt:variant>
        <vt:i4>0</vt:i4>
      </vt:variant>
      <vt:variant>
        <vt:i4>5</vt:i4>
      </vt:variant>
      <vt:variant>
        <vt:lpwstr>http://undocs.org/en/A/HRC/46/16</vt:lpwstr>
      </vt:variant>
      <vt:variant>
        <vt:lpwstr/>
      </vt:variant>
      <vt:variant>
        <vt:i4>393292</vt:i4>
      </vt:variant>
      <vt:variant>
        <vt:i4>129</vt:i4>
      </vt:variant>
      <vt:variant>
        <vt:i4>0</vt:i4>
      </vt:variant>
      <vt:variant>
        <vt:i4>5</vt:i4>
      </vt:variant>
      <vt:variant>
        <vt:lpwstr>http://undocs.org/en/A/HRC/46/13</vt:lpwstr>
      </vt:variant>
      <vt:variant>
        <vt:lpwstr/>
      </vt:variant>
      <vt:variant>
        <vt:i4>458828</vt:i4>
      </vt:variant>
      <vt:variant>
        <vt:i4>126</vt:i4>
      </vt:variant>
      <vt:variant>
        <vt:i4>0</vt:i4>
      </vt:variant>
      <vt:variant>
        <vt:i4>5</vt:i4>
      </vt:variant>
      <vt:variant>
        <vt:lpwstr>http://undocs.org/en/A/HRC/46/12</vt:lpwstr>
      </vt:variant>
      <vt:variant>
        <vt:lpwstr/>
      </vt:variant>
      <vt:variant>
        <vt:i4>327756</vt:i4>
      </vt:variant>
      <vt:variant>
        <vt:i4>123</vt:i4>
      </vt:variant>
      <vt:variant>
        <vt:i4>0</vt:i4>
      </vt:variant>
      <vt:variant>
        <vt:i4>5</vt:i4>
      </vt:variant>
      <vt:variant>
        <vt:lpwstr>http://undocs.org/en/A/HRC/46/10</vt:lpwstr>
      </vt:variant>
      <vt:variant>
        <vt:lpwstr/>
      </vt:variant>
      <vt:variant>
        <vt:i4>3473533</vt:i4>
      </vt:variant>
      <vt:variant>
        <vt:i4>120</vt:i4>
      </vt:variant>
      <vt:variant>
        <vt:i4>0</vt:i4>
      </vt:variant>
      <vt:variant>
        <vt:i4>5</vt:i4>
      </vt:variant>
      <vt:variant>
        <vt:lpwstr>http://undocs.org/en/A/HRC/46/5</vt:lpwstr>
      </vt:variant>
      <vt:variant>
        <vt:lpwstr/>
      </vt:variant>
      <vt:variant>
        <vt:i4>7143471</vt:i4>
      </vt:variant>
      <vt:variant>
        <vt:i4>117</vt:i4>
      </vt:variant>
      <vt:variant>
        <vt:i4>0</vt:i4>
      </vt:variant>
      <vt:variant>
        <vt:i4>5</vt:i4>
      </vt:variant>
      <vt:variant>
        <vt:lpwstr>https://ohchr.org/EN/NewsEvents/Pages/DisplayNews.aspx?NewsID=26075</vt:lpwstr>
      </vt:variant>
      <vt:variant>
        <vt:lpwstr/>
      </vt:variant>
      <vt:variant>
        <vt:i4>786507</vt:i4>
      </vt:variant>
      <vt:variant>
        <vt:i4>114</vt:i4>
      </vt:variant>
      <vt:variant>
        <vt:i4>0</vt:i4>
      </vt:variant>
      <vt:variant>
        <vt:i4>5</vt:i4>
      </vt:variant>
      <vt:variant>
        <vt:lpwstr>http://undocs.org/en/A/HRC/44/49.</vt:lpwstr>
      </vt:variant>
      <vt:variant>
        <vt:lpwstr/>
      </vt:variant>
      <vt:variant>
        <vt:i4>3276840</vt:i4>
      </vt:variant>
      <vt:variant>
        <vt:i4>111</vt:i4>
      </vt:variant>
      <vt:variant>
        <vt:i4>0</vt:i4>
      </vt:variant>
      <vt:variant>
        <vt:i4>5</vt:i4>
      </vt:variant>
      <vt:variant>
        <vt:lpwstr>https://www.ohchr.org/EN/NewsEvents/Pages/DisplayNews.aspx?NewsID=25729</vt:lpwstr>
      </vt:variant>
      <vt:variant>
        <vt:lpwstr/>
      </vt:variant>
      <vt:variant>
        <vt:i4>78</vt:i4>
      </vt:variant>
      <vt:variant>
        <vt:i4>108</vt:i4>
      </vt:variant>
      <vt:variant>
        <vt:i4>0</vt:i4>
      </vt:variant>
      <vt:variant>
        <vt:i4>5</vt:i4>
      </vt:variant>
      <vt:variant>
        <vt:lpwstr>http://undocs.org/en/A/HRC/47/25</vt:lpwstr>
      </vt:variant>
      <vt:variant>
        <vt:lpwstr/>
      </vt:variant>
      <vt:variant>
        <vt:i4>7012400</vt:i4>
      </vt:variant>
      <vt:variant>
        <vt:i4>105</vt:i4>
      </vt:variant>
      <vt:variant>
        <vt:i4>0</vt:i4>
      </vt:variant>
      <vt:variant>
        <vt:i4>5</vt:i4>
      </vt:variant>
      <vt:variant>
        <vt:lpwstr>https://www.pressemblem.ch/-1.shtml</vt:lpwstr>
      </vt:variant>
      <vt:variant>
        <vt:lpwstr/>
      </vt:variant>
      <vt:variant>
        <vt:i4>1048667</vt:i4>
      </vt:variant>
      <vt:variant>
        <vt:i4>102</vt:i4>
      </vt:variant>
      <vt:variant>
        <vt:i4>0</vt:i4>
      </vt:variant>
      <vt:variant>
        <vt:i4>5</vt:i4>
      </vt:variant>
      <vt:variant>
        <vt:lpwstr>https://www.oas.org/en/iachr/expression/showarticle.asp?artID=1218&amp;lID=1</vt:lpwstr>
      </vt:variant>
      <vt:variant>
        <vt:lpwstr/>
      </vt:variant>
      <vt:variant>
        <vt:i4>2031706</vt:i4>
      </vt:variant>
      <vt:variant>
        <vt:i4>99</vt:i4>
      </vt:variant>
      <vt:variant>
        <vt:i4>0</vt:i4>
      </vt:variant>
      <vt:variant>
        <vt:i4>5</vt:i4>
      </vt:variant>
      <vt:variant>
        <vt:lpwstr>https://www.oas.org/en/iachr/expression/showarticle.asp?artID=1207&amp;lID=1</vt:lpwstr>
      </vt:variant>
      <vt:variant>
        <vt:lpwstr/>
      </vt:variant>
      <vt:variant>
        <vt:i4>1441864</vt:i4>
      </vt:variant>
      <vt:variant>
        <vt:i4>96</vt:i4>
      </vt:variant>
      <vt:variant>
        <vt:i4>0</vt:i4>
      </vt:variant>
      <vt:variant>
        <vt:i4>5</vt:i4>
      </vt:variant>
      <vt:variant>
        <vt:lpwstr>https://www.ohchr.org/EN/NewsEvents/Pages/DisplayNews.aspx?NewsID=27455&amp;LangID=E</vt:lpwstr>
      </vt:variant>
      <vt:variant>
        <vt:lpwstr/>
      </vt:variant>
      <vt:variant>
        <vt:i4>327698</vt:i4>
      </vt:variant>
      <vt:variant>
        <vt:i4>93</vt:i4>
      </vt:variant>
      <vt:variant>
        <vt:i4>0</vt:i4>
      </vt:variant>
      <vt:variant>
        <vt:i4>5</vt:i4>
      </vt:variant>
      <vt:variant>
        <vt:lpwstr>http://undocs.org/en/A/76/285</vt:lpwstr>
      </vt:variant>
      <vt:variant>
        <vt:lpwstr/>
      </vt:variant>
      <vt:variant>
        <vt:i4>786507</vt:i4>
      </vt:variant>
      <vt:variant>
        <vt:i4>90</vt:i4>
      </vt:variant>
      <vt:variant>
        <vt:i4>0</vt:i4>
      </vt:variant>
      <vt:variant>
        <vt:i4>5</vt:i4>
      </vt:variant>
      <vt:variant>
        <vt:lpwstr>http://undocs.org/en/A/HRC/44/49</vt:lpwstr>
      </vt:variant>
      <vt:variant>
        <vt:lpwstr/>
      </vt:variant>
      <vt:variant>
        <vt:i4>6881385</vt:i4>
      </vt:variant>
      <vt:variant>
        <vt:i4>87</vt:i4>
      </vt:variant>
      <vt:variant>
        <vt:i4>0</vt:i4>
      </vt:variant>
      <vt:variant>
        <vt:i4>5</vt:i4>
      </vt:variant>
      <vt:variant>
        <vt:lpwstr>http://undocs.org/en/A/HRC/41/CRP.1</vt:lpwstr>
      </vt:variant>
      <vt:variant>
        <vt:lpwstr/>
      </vt:variant>
      <vt:variant>
        <vt:i4>73</vt:i4>
      </vt:variant>
      <vt:variant>
        <vt:i4>84</vt:i4>
      </vt:variant>
      <vt:variant>
        <vt:i4>0</vt:i4>
      </vt:variant>
      <vt:variant>
        <vt:i4>5</vt:i4>
      </vt:variant>
      <vt:variant>
        <vt:lpwstr>http://undocs.org/en/A/HRC/41/35</vt:lpwstr>
      </vt:variant>
      <vt:variant>
        <vt:lpwstr/>
      </vt:variant>
      <vt:variant>
        <vt:i4>6225948</vt:i4>
      </vt:variant>
      <vt:variant>
        <vt:i4>81</vt:i4>
      </vt:variant>
      <vt:variant>
        <vt:i4>0</vt:i4>
      </vt:variant>
      <vt:variant>
        <vt:i4>5</vt:i4>
      </vt:variant>
      <vt:variant>
        <vt:lpwstr>https://forbiddenstories.org/pegasus-journalists-under-surveillance/</vt:lpwstr>
      </vt:variant>
      <vt:variant>
        <vt:lpwstr/>
      </vt:variant>
      <vt:variant>
        <vt:i4>73</vt:i4>
      </vt:variant>
      <vt:variant>
        <vt:i4>78</vt:i4>
      </vt:variant>
      <vt:variant>
        <vt:i4>0</vt:i4>
      </vt:variant>
      <vt:variant>
        <vt:i4>5</vt:i4>
      </vt:variant>
      <vt:variant>
        <vt:lpwstr>http://undocs.org/en/A/HRC/41/35</vt:lpwstr>
      </vt:variant>
      <vt:variant>
        <vt:lpwstr/>
      </vt:variant>
      <vt:variant>
        <vt:i4>655424</vt:i4>
      </vt:variant>
      <vt:variant>
        <vt:i4>75</vt:i4>
      </vt:variant>
      <vt:variant>
        <vt:i4>0</vt:i4>
      </vt:variant>
      <vt:variant>
        <vt:i4>5</vt:i4>
      </vt:variant>
      <vt:variant>
        <vt:lpwstr>http://undocs.org/en/A/HRC/28/39</vt:lpwstr>
      </vt:variant>
      <vt:variant>
        <vt:lpwstr/>
      </vt:variant>
      <vt:variant>
        <vt:i4>262223</vt:i4>
      </vt:variant>
      <vt:variant>
        <vt:i4>72</vt:i4>
      </vt:variant>
      <vt:variant>
        <vt:i4>0</vt:i4>
      </vt:variant>
      <vt:variant>
        <vt:i4>5</vt:i4>
      </vt:variant>
      <vt:variant>
        <vt:lpwstr>http://undocs.org/en/A/HRC/27/37</vt:lpwstr>
      </vt:variant>
      <vt:variant>
        <vt:lpwstr/>
      </vt:variant>
      <vt:variant>
        <vt:i4>3473447</vt:i4>
      </vt:variant>
      <vt:variant>
        <vt:i4>69</vt:i4>
      </vt:variant>
      <vt:variant>
        <vt:i4>0</vt:i4>
      </vt:variant>
      <vt:variant>
        <vt:i4>5</vt:i4>
      </vt:variant>
      <vt:variant>
        <vt:lpwstr>https://www.ohchr.org/EN/NewsEvents/Pages/DisplayNews.aspx?NewsID=25856</vt:lpwstr>
      </vt:variant>
      <vt:variant>
        <vt:lpwstr/>
      </vt:variant>
      <vt:variant>
        <vt:i4>786507</vt:i4>
      </vt:variant>
      <vt:variant>
        <vt:i4>66</vt:i4>
      </vt:variant>
      <vt:variant>
        <vt:i4>0</vt:i4>
      </vt:variant>
      <vt:variant>
        <vt:i4>5</vt:i4>
      </vt:variant>
      <vt:variant>
        <vt:lpwstr>http://undocs.org/en/A/HRC/44/49</vt:lpwstr>
      </vt:variant>
      <vt:variant>
        <vt:lpwstr/>
      </vt:variant>
      <vt:variant>
        <vt:i4>6619241</vt:i4>
      </vt:variant>
      <vt:variant>
        <vt:i4>63</vt:i4>
      </vt:variant>
      <vt:variant>
        <vt:i4>0</vt:i4>
      </vt:variant>
      <vt:variant>
        <vt:i4>5</vt:i4>
      </vt:variant>
      <vt:variant>
        <vt:lpwstr>https://ipi.media/covid19-media-freedom-monitoring/</vt:lpwstr>
      </vt:variant>
      <vt:variant>
        <vt:lpwstr/>
      </vt:variant>
      <vt:variant>
        <vt:i4>2359335</vt:i4>
      </vt:variant>
      <vt:variant>
        <vt:i4>60</vt:i4>
      </vt:variant>
      <vt:variant>
        <vt:i4>0</vt:i4>
      </vt:variant>
      <vt:variant>
        <vt:i4>5</vt:i4>
      </vt:variant>
      <vt:variant>
        <vt:lpwstr>http://undocs.org/en/A/71/373.</vt:lpwstr>
      </vt:variant>
      <vt:variant>
        <vt:lpwstr/>
      </vt:variant>
      <vt:variant>
        <vt:i4>852033</vt:i4>
      </vt:variant>
      <vt:variant>
        <vt:i4>57</vt:i4>
      </vt:variant>
      <vt:variant>
        <vt:i4>0</vt:i4>
      </vt:variant>
      <vt:variant>
        <vt:i4>5</vt:i4>
      </vt:variant>
      <vt:variant>
        <vt:lpwstr>http://undocs.org/en/A/HRC/49/38</vt:lpwstr>
      </vt:variant>
      <vt:variant>
        <vt:lpwstr/>
      </vt:variant>
      <vt:variant>
        <vt:i4>5832827</vt:i4>
      </vt:variant>
      <vt:variant>
        <vt:i4>54</vt:i4>
      </vt:variant>
      <vt:variant>
        <vt:i4>0</vt:i4>
      </vt:variant>
      <vt:variant>
        <vt:i4>5</vt:i4>
      </vt:variant>
      <vt:variant>
        <vt:lpwstr>https://ipi.media/covid19/?alert_type=0&amp;language=0&amp;years=0&amp;country=0</vt:lpwstr>
      </vt:variant>
      <vt:variant>
        <vt:lpwstr/>
      </vt:variant>
      <vt:variant>
        <vt:i4>78</vt:i4>
      </vt:variant>
      <vt:variant>
        <vt:i4>51</vt:i4>
      </vt:variant>
      <vt:variant>
        <vt:i4>0</vt:i4>
      </vt:variant>
      <vt:variant>
        <vt:i4>5</vt:i4>
      </vt:variant>
      <vt:variant>
        <vt:lpwstr>http://undocs.org/en/A/HRC/47/25</vt:lpwstr>
      </vt:variant>
      <vt:variant>
        <vt:lpwstr/>
      </vt:variant>
      <vt:variant>
        <vt:i4>786507</vt:i4>
      </vt:variant>
      <vt:variant>
        <vt:i4>48</vt:i4>
      </vt:variant>
      <vt:variant>
        <vt:i4>0</vt:i4>
      </vt:variant>
      <vt:variant>
        <vt:i4>5</vt:i4>
      </vt:variant>
      <vt:variant>
        <vt:lpwstr>http://undocs.org/en/A/HRC/44/49</vt:lpwstr>
      </vt:variant>
      <vt:variant>
        <vt:lpwstr/>
      </vt:variant>
      <vt:variant>
        <vt:i4>786507</vt:i4>
      </vt:variant>
      <vt:variant>
        <vt:i4>45</vt:i4>
      </vt:variant>
      <vt:variant>
        <vt:i4>0</vt:i4>
      </vt:variant>
      <vt:variant>
        <vt:i4>5</vt:i4>
      </vt:variant>
      <vt:variant>
        <vt:lpwstr>http://undocs.org/en/A/HRC/44/49</vt:lpwstr>
      </vt:variant>
      <vt:variant>
        <vt:lpwstr/>
      </vt:variant>
      <vt:variant>
        <vt:i4>78</vt:i4>
      </vt:variant>
      <vt:variant>
        <vt:i4>42</vt:i4>
      </vt:variant>
      <vt:variant>
        <vt:i4>0</vt:i4>
      </vt:variant>
      <vt:variant>
        <vt:i4>5</vt:i4>
      </vt:variant>
      <vt:variant>
        <vt:lpwstr>http://undocs.org/en/A/HRC/47/25</vt:lpwstr>
      </vt:variant>
      <vt:variant>
        <vt:lpwstr/>
      </vt:variant>
      <vt:variant>
        <vt:i4>327698</vt:i4>
      </vt:variant>
      <vt:variant>
        <vt:i4>39</vt:i4>
      </vt:variant>
      <vt:variant>
        <vt:i4>0</vt:i4>
      </vt:variant>
      <vt:variant>
        <vt:i4>5</vt:i4>
      </vt:variant>
      <vt:variant>
        <vt:lpwstr>http://undocs.org/en/A/76/285</vt:lpwstr>
      </vt:variant>
      <vt:variant>
        <vt:lpwstr/>
      </vt:variant>
      <vt:variant>
        <vt:i4>786507</vt:i4>
      </vt:variant>
      <vt:variant>
        <vt:i4>36</vt:i4>
      </vt:variant>
      <vt:variant>
        <vt:i4>0</vt:i4>
      </vt:variant>
      <vt:variant>
        <vt:i4>5</vt:i4>
      </vt:variant>
      <vt:variant>
        <vt:lpwstr>http://undocs.org/en/A/HRC/44/49</vt:lpwstr>
      </vt:variant>
      <vt:variant>
        <vt:lpwstr/>
      </vt:variant>
      <vt:variant>
        <vt:i4>786507</vt:i4>
      </vt:variant>
      <vt:variant>
        <vt:i4>33</vt:i4>
      </vt:variant>
      <vt:variant>
        <vt:i4>0</vt:i4>
      </vt:variant>
      <vt:variant>
        <vt:i4>5</vt:i4>
      </vt:variant>
      <vt:variant>
        <vt:lpwstr>http://undocs.org/en/A/HRC/44/49</vt:lpwstr>
      </vt:variant>
      <vt:variant>
        <vt:lpwstr/>
      </vt:variant>
      <vt:variant>
        <vt:i4>78</vt:i4>
      </vt:variant>
      <vt:variant>
        <vt:i4>30</vt:i4>
      </vt:variant>
      <vt:variant>
        <vt:i4>0</vt:i4>
      </vt:variant>
      <vt:variant>
        <vt:i4>5</vt:i4>
      </vt:variant>
      <vt:variant>
        <vt:lpwstr>http://undocs.org/en/A/HRC/47/25</vt:lpwstr>
      </vt:variant>
      <vt:variant>
        <vt:lpwstr/>
      </vt:variant>
      <vt:variant>
        <vt:i4>3276839</vt:i4>
      </vt:variant>
      <vt:variant>
        <vt:i4>27</vt:i4>
      </vt:variant>
      <vt:variant>
        <vt:i4>0</vt:i4>
      </vt:variant>
      <vt:variant>
        <vt:i4>5</vt:i4>
      </vt:variant>
      <vt:variant>
        <vt:lpwstr>https://www.ohchr.org/EN/NewsEvents/Pages/DisplayNews.aspx?NewsID=25823</vt:lpwstr>
      </vt:variant>
      <vt:variant>
        <vt:lpwstr/>
      </vt:variant>
      <vt:variant>
        <vt:i4>786507</vt:i4>
      </vt:variant>
      <vt:variant>
        <vt:i4>24</vt:i4>
      </vt:variant>
      <vt:variant>
        <vt:i4>0</vt:i4>
      </vt:variant>
      <vt:variant>
        <vt:i4>5</vt:i4>
      </vt:variant>
      <vt:variant>
        <vt:lpwstr>http://undocs.org/en/A/HRC/44/49</vt:lpwstr>
      </vt:variant>
      <vt:variant>
        <vt:lpwstr/>
      </vt:variant>
      <vt:variant>
        <vt:i4>2228262</vt:i4>
      </vt:variant>
      <vt:variant>
        <vt:i4>21</vt:i4>
      </vt:variant>
      <vt:variant>
        <vt:i4>0</vt:i4>
      </vt:variant>
      <vt:variant>
        <vt:i4>5</vt:i4>
      </vt:variant>
      <vt:variant>
        <vt:lpwstr>https://www.ohchr.org/EN/NewsEvents/Pages/COVID19Guidance.aspx</vt:lpwstr>
      </vt:variant>
      <vt:variant>
        <vt:lpwstr/>
      </vt:variant>
      <vt:variant>
        <vt:i4>262166</vt:i4>
      </vt:variant>
      <vt:variant>
        <vt:i4>18</vt:i4>
      </vt:variant>
      <vt:variant>
        <vt:i4>0</vt:i4>
      </vt:variant>
      <vt:variant>
        <vt:i4>5</vt:i4>
      </vt:variant>
      <vt:variant>
        <vt:lpwstr>http://undocs.org/en/A/72/290</vt:lpwstr>
      </vt:variant>
      <vt:variant>
        <vt:lpwstr/>
      </vt:variant>
      <vt:variant>
        <vt:i4>262164</vt:i4>
      </vt:variant>
      <vt:variant>
        <vt:i4>15</vt:i4>
      </vt:variant>
      <vt:variant>
        <vt:i4>0</vt:i4>
      </vt:variant>
      <vt:variant>
        <vt:i4>5</vt:i4>
      </vt:variant>
      <vt:variant>
        <vt:lpwstr>http://undocs.org/en/A/70/290</vt:lpwstr>
      </vt:variant>
      <vt:variant>
        <vt:lpwstr/>
      </vt:variant>
      <vt:variant>
        <vt:i4>655389</vt:i4>
      </vt:variant>
      <vt:variant>
        <vt:i4>12</vt:i4>
      </vt:variant>
      <vt:variant>
        <vt:i4>0</vt:i4>
      </vt:variant>
      <vt:variant>
        <vt:i4>5</vt:i4>
      </vt:variant>
      <vt:variant>
        <vt:lpwstr>http://undocs.org/en/A/69/268</vt:lpwstr>
      </vt:variant>
      <vt:variant>
        <vt:lpwstr/>
      </vt:variant>
      <vt:variant>
        <vt:i4>77</vt:i4>
      </vt:variant>
      <vt:variant>
        <vt:i4>9</vt:i4>
      </vt:variant>
      <vt:variant>
        <vt:i4>0</vt:i4>
      </vt:variant>
      <vt:variant>
        <vt:i4>5</vt:i4>
      </vt:variant>
      <vt:variant>
        <vt:lpwstr>http://undocs.org/en/A/HRC/24/23</vt:lpwstr>
      </vt:variant>
      <vt:variant>
        <vt:lpwstr/>
      </vt:variant>
      <vt:variant>
        <vt:i4>65600</vt:i4>
      </vt:variant>
      <vt:variant>
        <vt:i4>6</vt:i4>
      </vt:variant>
      <vt:variant>
        <vt:i4>0</vt:i4>
      </vt:variant>
      <vt:variant>
        <vt:i4>5</vt:i4>
      </vt:variant>
      <vt:variant>
        <vt:lpwstr>http://undocs.org/en/A/HRC/39/23.</vt:lpwstr>
      </vt:variant>
      <vt:variant>
        <vt:lpwstr/>
      </vt:variant>
      <vt:variant>
        <vt:i4>65603</vt:i4>
      </vt:variant>
      <vt:variant>
        <vt:i4>3</vt:i4>
      </vt:variant>
      <vt:variant>
        <vt:i4>0</vt:i4>
      </vt:variant>
      <vt:variant>
        <vt:i4>5</vt:i4>
      </vt:variant>
      <vt:variant>
        <vt:lpwstr>https://undocs.org/en/https://www.ohchr.org/EN/Issues/SafetyOfJournalists/Pages/reports.aspx</vt:lpwstr>
      </vt:variant>
      <vt:variant>
        <vt:lpwstr/>
      </vt:variant>
      <vt:variant>
        <vt:i4>64</vt:i4>
      </vt:variant>
      <vt:variant>
        <vt:i4>0</vt:i4>
      </vt:variant>
      <vt:variant>
        <vt:i4>0</vt:i4>
      </vt:variant>
      <vt:variant>
        <vt:i4>5</vt:i4>
      </vt:variant>
      <vt:variant>
        <vt:lpwstr>http://undocs.org/en/A/HRC/48/35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A/HRC/49/40</dc:title>
  <dc:subject>2202149</dc:subject>
  <dc:creator>pae</dc:creator>
  <cp:keywords/>
  <dc:description>final</dc:description>
  <cp:lastModifiedBy>Veronique Lanz</cp:lastModifiedBy>
  <cp:revision>2</cp:revision>
  <dcterms:created xsi:type="dcterms:W3CDTF">2022-02-28T13:07:00Z</dcterms:created>
  <dcterms:modified xsi:type="dcterms:W3CDTF">2022-02-28T13:07:00Z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0x010100F0DD5BD39CCAAB42A364E3FF23B8B02E</vt:lpwstr>
  </property>
</Properties>
</file>