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bookmarkStart w:id="0" w:name="_GoBack"/>
      <w:bookmarkEnd w:id="0"/>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0"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1"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1" w:name="allegation"/>
      <w:bookmarkEnd w:id="1"/>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3E734BAB" w:rsidR="009F00AF" w:rsidRPr="006512F6" w:rsidRDefault="00AE6422" w:rsidP="00820E9E">
            <w:pPr>
              <w:rPr>
                <w:sz w:val="24"/>
                <w:szCs w:val="24"/>
              </w:rPr>
            </w:pPr>
            <w:r>
              <w:rPr>
                <w:sz w:val="24"/>
                <w:szCs w:val="24"/>
              </w:rPr>
              <w:t>X</w:t>
            </w:r>
            <w:r w:rsidR="009F00AF"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814888">
              <w:rPr>
                <w:sz w:val="24"/>
                <w:szCs w:val="24"/>
              </w:rPr>
            </w:r>
            <w:r w:rsidR="00814888">
              <w:rPr>
                <w:sz w:val="24"/>
                <w:szCs w:val="24"/>
              </w:rPr>
              <w:fldChar w:fldCharType="separate"/>
            </w:r>
            <w:r w:rsidRPr="006512F6">
              <w:rPr>
                <w:sz w:val="24"/>
                <w:szCs w:val="24"/>
              </w:rPr>
              <w:fldChar w:fldCharType="end"/>
            </w:r>
            <w:r w:rsidRPr="006512F6">
              <w:rPr>
                <w:sz w:val="24"/>
                <w:szCs w:val="24"/>
              </w:rPr>
              <w:t xml:space="preserve">  Observer State</w:t>
            </w:r>
          </w:p>
          <w:p w14:paraId="0781E329"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814888">
              <w:rPr>
                <w:sz w:val="24"/>
                <w:szCs w:val="24"/>
              </w:rPr>
            </w:r>
            <w:r w:rsidR="00814888">
              <w:rPr>
                <w:sz w:val="24"/>
                <w:szCs w:val="24"/>
              </w:rPr>
              <w:fldChar w:fldCharType="separate"/>
            </w:r>
            <w:r w:rsidRPr="006512F6">
              <w:rPr>
                <w:sz w:val="24"/>
                <w:szCs w:val="24"/>
              </w:rPr>
              <w:fldChar w:fldCharType="end"/>
            </w:r>
            <w:r w:rsidRPr="006512F6">
              <w:rPr>
                <w:sz w:val="24"/>
                <w:szCs w:val="24"/>
              </w:rPr>
              <w:t xml:space="preserve">  Other (please specify)</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F4579" w14:textId="77777777" w:rsidR="009F00AF" w:rsidRDefault="00AE6422" w:rsidP="00820E9E">
            <w:pPr>
              <w:rPr>
                <w:sz w:val="24"/>
                <w:szCs w:val="24"/>
              </w:rPr>
            </w:pPr>
            <w:r>
              <w:rPr>
                <w:sz w:val="24"/>
                <w:szCs w:val="24"/>
              </w:rPr>
              <w:t>South Africa</w:t>
            </w:r>
          </w:p>
          <w:p w14:paraId="2A65A19E" w14:textId="75F494F4" w:rsidR="00AE6422" w:rsidRPr="006512F6" w:rsidRDefault="00AE6422" w:rsidP="00820E9E">
            <w:pPr>
              <w:rPr>
                <w:sz w:val="24"/>
                <w:szCs w:val="24"/>
              </w:rPr>
            </w:pPr>
            <w:r>
              <w:rPr>
                <w:sz w:val="24"/>
                <w:szCs w:val="24"/>
              </w:rPr>
              <w:t>Sonke Gender Justice</w:t>
            </w:r>
            <w:r w:rsidR="00C24EB6">
              <w:rPr>
                <w:sz w:val="24"/>
                <w:szCs w:val="24"/>
              </w:rPr>
              <w:t xml:space="preserve"> c/o Namuma Mulindi</w:t>
            </w:r>
          </w:p>
        </w:tc>
      </w:tr>
      <w:tr w:rsidR="009F00AF" w:rsidRPr="006512F6" w14:paraId="690C7624" w14:textId="77777777" w:rsidTr="00820E9E">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011" w14:textId="77777777" w:rsidR="009F00AF" w:rsidRPr="006512F6" w:rsidRDefault="009F00AF" w:rsidP="00820E9E">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D0FD" w14:textId="58FA7685" w:rsidR="009F00AF" w:rsidRPr="006512F6" w:rsidRDefault="00AE6422" w:rsidP="00820E9E">
            <w:pPr>
              <w:rPr>
                <w:sz w:val="24"/>
                <w:szCs w:val="24"/>
              </w:rPr>
            </w:pPr>
            <w:r>
              <w:rPr>
                <w:sz w:val="24"/>
                <w:szCs w:val="24"/>
              </w:rPr>
              <w:t>namuma@genderjustice.org.za</w:t>
            </w:r>
          </w:p>
        </w:tc>
      </w:tr>
      <w:tr w:rsidR="009F00AF" w:rsidRPr="006512F6" w14:paraId="57732BA4" w14:textId="77777777" w:rsidTr="00820E9E">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2310"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5ED6EA70" w14:textId="77777777" w:rsidR="009F00AF" w:rsidRPr="006512F6" w:rsidRDefault="009F00AF" w:rsidP="00820E9E">
            <w:pPr>
              <w:pStyle w:val="BodyA"/>
              <w:rPr>
                <w:rFonts w:ascii="Times New Roman" w:hAnsi="Times New Roman" w:cs="Times New Roman"/>
              </w:rPr>
            </w:pPr>
          </w:p>
          <w:p w14:paraId="75ECAB6B" w14:textId="77777777" w:rsidR="009F00AF" w:rsidRPr="006512F6" w:rsidRDefault="009F00AF" w:rsidP="00820E9E">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14D2" w14:textId="703DD128" w:rsidR="009F00AF" w:rsidRPr="006512F6" w:rsidRDefault="009F00AF" w:rsidP="00820E9E">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Yes</w:t>
            </w:r>
            <w:r w:rsidR="00C24EB6">
              <w:rPr>
                <w:rStyle w:val="None"/>
                <w:rFonts w:ascii="Times New Roman" w:hAnsi="Times New Roman" w:cs="Times New Roman"/>
              </w:rPr>
              <w:t xml:space="preserve"> </w:t>
            </w:r>
            <w:r w:rsidR="00AE6422">
              <w:rPr>
                <w:rStyle w:val="None"/>
                <w:rFonts w:ascii="Times New Roman" w:hAnsi="Times New Roman" w:cs="Times New Roman"/>
              </w:rPr>
              <w:t>X</w:t>
            </w:r>
            <w:r w:rsidRPr="006512F6">
              <w:rPr>
                <w:rStyle w:val="None"/>
                <w:rFonts w:ascii="Times New Roman" w:hAnsi="Times New Roman" w:cs="Times New Roman"/>
              </w:rPr>
              <w:t xml:space="preserve">           No</w:t>
            </w:r>
          </w:p>
          <w:p w14:paraId="272073F6" w14:textId="77777777" w:rsidR="009F00AF" w:rsidRPr="006512F6" w:rsidRDefault="009F00AF" w:rsidP="00820E9E">
            <w:pPr>
              <w:pStyle w:val="BodyA"/>
              <w:rPr>
                <w:rStyle w:val="None"/>
                <w:rFonts w:ascii="Times New Roman" w:eastAsia="Times New Roman" w:hAnsi="Times New Roman" w:cs="Times New Roman"/>
              </w:rPr>
            </w:pPr>
          </w:p>
          <w:p w14:paraId="230D7CA3"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Comments (if any):</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p>
    <w:p w14:paraId="4C768660" w14:textId="77777777" w:rsidR="009F00AF" w:rsidRDefault="009F00AF" w:rsidP="009F00AF">
      <w:pPr>
        <w:pStyle w:val="Heading1"/>
        <w:ind w:left="0"/>
        <w:jc w:val="left"/>
        <w:rPr>
          <w:rStyle w:val="Instructions"/>
          <w:sz w:val="24"/>
          <w:szCs w:val="24"/>
        </w:rPr>
      </w:pPr>
      <w:bookmarkStart w:id="2" w:name="_Toc48734679"/>
      <w:r w:rsidRPr="006512F6">
        <w:rPr>
          <w:sz w:val="24"/>
          <w:szCs w:val="24"/>
        </w:rPr>
        <w:lastRenderedPageBreak/>
        <w:t>Background</w:t>
      </w:r>
      <w:r w:rsidRPr="006512F6">
        <w:rPr>
          <w:rStyle w:val="Instructions"/>
          <w:sz w:val="24"/>
          <w:szCs w:val="24"/>
        </w:rPr>
        <w:t xml:space="preserve"> </w:t>
      </w:r>
      <w:bookmarkStart w:id="3" w:name="_Toc48734680"/>
      <w:bookmarkEnd w:id="2"/>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2"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3"/>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4"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4"/>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Pr="004E52AB" w:rsidRDefault="009F00AF" w:rsidP="009F00AF">
      <w:pPr>
        <w:pStyle w:val="ListParagraph"/>
        <w:numPr>
          <w:ilvl w:val="0"/>
          <w:numId w:val="1"/>
        </w:numPr>
        <w:shd w:val="clear" w:color="auto" w:fill="FFFFFF"/>
        <w:spacing w:line="259" w:lineRule="auto"/>
        <w:outlineLvl w:val="2"/>
        <w:rPr>
          <w:i/>
          <w:iCs/>
          <w:color w:val="000000"/>
          <w:sz w:val="24"/>
          <w:szCs w:val="24"/>
          <w:lang w:eastAsia="en-GB"/>
        </w:rPr>
      </w:pPr>
      <w:bookmarkStart w:id="5" w:name="_Hlk93322233"/>
      <w:r w:rsidRPr="004E52AB">
        <w:rPr>
          <w:i/>
          <w:iCs/>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4E52AB" w:rsidRDefault="009F00AF" w:rsidP="009F00AF">
      <w:pPr>
        <w:pStyle w:val="ListParagraph"/>
        <w:shd w:val="clear" w:color="auto" w:fill="FFFFFF"/>
        <w:spacing w:line="259" w:lineRule="auto"/>
        <w:ind w:left="360"/>
        <w:outlineLvl w:val="2"/>
        <w:rPr>
          <w:i/>
          <w:iCs/>
          <w:color w:val="000000"/>
          <w:sz w:val="24"/>
          <w:szCs w:val="24"/>
          <w:lang w:eastAsia="en-GB"/>
        </w:rPr>
      </w:pPr>
    </w:p>
    <w:p w14:paraId="5B0F6966" w14:textId="5F08F7B0" w:rsidR="00BB351D" w:rsidRPr="004E52AB" w:rsidRDefault="009F00AF" w:rsidP="009F00AF">
      <w:pPr>
        <w:pStyle w:val="ListParagraph"/>
        <w:numPr>
          <w:ilvl w:val="1"/>
          <w:numId w:val="2"/>
        </w:numPr>
        <w:shd w:val="clear" w:color="auto" w:fill="FFFFFF"/>
        <w:spacing w:line="259" w:lineRule="auto"/>
        <w:outlineLvl w:val="2"/>
        <w:rPr>
          <w:i/>
          <w:iCs/>
          <w:color w:val="000000"/>
          <w:sz w:val="24"/>
          <w:szCs w:val="24"/>
          <w:lang w:eastAsia="en-GB"/>
        </w:rPr>
      </w:pPr>
      <w:r w:rsidRPr="004E52AB">
        <w:rPr>
          <w:i/>
          <w:iCs/>
          <w:color w:val="000000"/>
          <w:sz w:val="24"/>
          <w:szCs w:val="24"/>
          <w:lang w:eastAsia="en-GB"/>
        </w:rPr>
        <w:t>gender based violence against women</w:t>
      </w:r>
    </w:p>
    <w:p w14:paraId="213EB7E3" w14:textId="77777777" w:rsidR="00C24EB6" w:rsidRPr="00B357FF" w:rsidRDefault="00C24EB6" w:rsidP="00C24EB6">
      <w:pPr>
        <w:pStyle w:val="ListParagraph"/>
        <w:shd w:val="clear" w:color="auto" w:fill="FFFFFF"/>
        <w:spacing w:line="259" w:lineRule="auto"/>
        <w:ind w:left="792"/>
        <w:outlineLvl w:val="2"/>
        <w:rPr>
          <w:rFonts w:asciiTheme="minorHAnsi" w:hAnsiTheme="minorHAnsi" w:cstheme="minorHAnsi"/>
          <w:b/>
          <w:bCs/>
          <w:color w:val="000000"/>
          <w:sz w:val="24"/>
          <w:szCs w:val="24"/>
          <w:u w:val="single"/>
          <w:lang w:eastAsia="en-GB"/>
        </w:rPr>
      </w:pPr>
      <w:r w:rsidRPr="00B357FF">
        <w:rPr>
          <w:rFonts w:asciiTheme="minorHAnsi" w:hAnsiTheme="minorHAnsi" w:cstheme="minorHAnsi"/>
          <w:b/>
          <w:bCs/>
          <w:color w:val="000000"/>
          <w:sz w:val="24"/>
          <w:szCs w:val="24"/>
          <w:u w:val="single"/>
          <w:lang w:eastAsia="en-GB"/>
        </w:rPr>
        <w:t>Profile of victims:</w:t>
      </w:r>
    </w:p>
    <w:p w14:paraId="7E213E1A" w14:textId="77777777" w:rsidR="00C24EB6" w:rsidRDefault="00C24EB6" w:rsidP="00C24EB6">
      <w:pPr>
        <w:pStyle w:val="ListParagraph"/>
        <w:numPr>
          <w:ilvl w:val="0"/>
          <w:numId w:val="4"/>
        </w:numPr>
        <w:shd w:val="clear" w:color="auto" w:fill="FFFFFF"/>
        <w:spacing w:line="259" w:lineRule="auto"/>
        <w:jc w:val="both"/>
        <w:outlineLvl w:val="2"/>
        <w:rPr>
          <w:rFonts w:asciiTheme="minorHAnsi" w:hAnsiTheme="minorHAnsi" w:cstheme="minorHAnsi"/>
          <w:color w:val="000000"/>
          <w:sz w:val="24"/>
          <w:szCs w:val="24"/>
          <w:lang w:eastAsia="en-GB"/>
        </w:rPr>
      </w:pPr>
      <w:r w:rsidRPr="00F45DA9">
        <w:rPr>
          <w:rFonts w:asciiTheme="minorHAnsi" w:hAnsiTheme="minorHAnsi" w:cstheme="minorHAnsi"/>
          <w:color w:val="000000"/>
          <w:sz w:val="24"/>
          <w:szCs w:val="24"/>
          <w:lang w:eastAsia="en-GB"/>
        </w:rPr>
        <w:t>In as much as victims of gender-based violence include men</w:t>
      </w:r>
      <w:r>
        <w:rPr>
          <w:rFonts w:asciiTheme="minorHAnsi" w:hAnsiTheme="minorHAnsi" w:cstheme="minorHAnsi"/>
          <w:color w:val="000000"/>
          <w:sz w:val="24"/>
          <w:szCs w:val="24"/>
          <w:lang w:eastAsia="en-GB"/>
        </w:rPr>
        <w:t>,</w:t>
      </w:r>
      <w:r w:rsidRPr="00F45DA9">
        <w:rPr>
          <w:rFonts w:asciiTheme="minorHAnsi" w:hAnsiTheme="minorHAnsi" w:cstheme="minorHAnsi"/>
          <w:color w:val="000000"/>
          <w:sz w:val="24"/>
          <w:szCs w:val="24"/>
          <w:lang w:eastAsia="en-GB"/>
        </w:rPr>
        <w:t xml:space="preserve"> women and children, the</w:t>
      </w:r>
      <w:r>
        <w:rPr>
          <w:rFonts w:asciiTheme="minorHAnsi" w:hAnsiTheme="minorHAnsi" w:cstheme="minorHAnsi"/>
          <w:color w:val="000000"/>
          <w:sz w:val="24"/>
          <w:szCs w:val="24"/>
          <w:lang w:eastAsia="en-GB"/>
        </w:rPr>
        <w:t>r</w:t>
      </w:r>
      <w:r w:rsidRPr="00F45DA9">
        <w:rPr>
          <w:rFonts w:asciiTheme="minorHAnsi" w:hAnsiTheme="minorHAnsi" w:cstheme="minorHAnsi"/>
          <w:color w:val="000000"/>
          <w:sz w:val="24"/>
          <w:szCs w:val="24"/>
          <w:lang w:eastAsia="en-GB"/>
        </w:rPr>
        <w:t>e is overwhelming evidence that women and children are disproportionately affected</w:t>
      </w:r>
      <w:r>
        <w:rPr>
          <w:rFonts w:asciiTheme="minorHAnsi" w:hAnsiTheme="minorHAnsi" w:cstheme="minorHAnsi"/>
          <w:color w:val="000000"/>
          <w:sz w:val="24"/>
          <w:szCs w:val="24"/>
          <w:lang w:eastAsia="en-GB"/>
        </w:rPr>
        <w:t>.</w:t>
      </w:r>
      <w:r>
        <w:rPr>
          <w:rStyle w:val="FootnoteReference"/>
          <w:rFonts w:asciiTheme="minorHAnsi" w:hAnsiTheme="minorHAnsi" w:cstheme="minorHAnsi"/>
          <w:color w:val="000000"/>
          <w:sz w:val="24"/>
          <w:szCs w:val="24"/>
          <w:lang w:eastAsia="en-GB"/>
        </w:rPr>
        <w:footnoteReference w:id="1"/>
      </w:r>
      <w:r>
        <w:rPr>
          <w:rFonts w:asciiTheme="minorHAnsi" w:hAnsiTheme="minorHAnsi" w:cstheme="minorHAnsi"/>
          <w:color w:val="000000"/>
          <w:sz w:val="24"/>
          <w:szCs w:val="24"/>
          <w:lang w:eastAsia="en-GB"/>
        </w:rPr>
        <w:t xml:space="preserve">It is estimated, that up to half of the women in South Africa are likely to be raped in their lifetime. 25% of girls are </w:t>
      </w:r>
      <w:r>
        <w:rPr>
          <w:rFonts w:asciiTheme="minorHAnsi" w:hAnsiTheme="minorHAnsi" w:cstheme="minorHAnsi"/>
          <w:color w:val="000000"/>
          <w:sz w:val="24"/>
          <w:szCs w:val="24"/>
          <w:lang w:eastAsia="en-GB"/>
        </w:rPr>
        <w:lastRenderedPageBreak/>
        <w:t>likely to be raped before the age of 16.</w:t>
      </w:r>
      <w:r>
        <w:rPr>
          <w:rStyle w:val="FootnoteReference"/>
          <w:rFonts w:asciiTheme="minorHAnsi" w:hAnsiTheme="minorHAnsi" w:cstheme="minorHAnsi"/>
          <w:color w:val="000000"/>
          <w:sz w:val="24"/>
          <w:szCs w:val="24"/>
          <w:lang w:eastAsia="en-GB"/>
        </w:rPr>
        <w:footnoteReference w:id="2"/>
      </w:r>
      <w:r>
        <w:rPr>
          <w:rFonts w:asciiTheme="minorHAnsi" w:hAnsiTheme="minorHAnsi" w:cstheme="minorHAnsi"/>
          <w:color w:val="000000"/>
          <w:sz w:val="24"/>
          <w:szCs w:val="24"/>
          <w:lang w:eastAsia="en-GB"/>
        </w:rPr>
        <w:t xml:space="preserve"> Rape victims in the country are likely to be young women between the ages of 16 and 25 years.</w:t>
      </w:r>
      <w:r>
        <w:rPr>
          <w:rStyle w:val="FootnoteReference"/>
          <w:rFonts w:asciiTheme="minorHAnsi" w:hAnsiTheme="minorHAnsi" w:cstheme="minorHAnsi"/>
          <w:color w:val="000000"/>
          <w:sz w:val="24"/>
          <w:szCs w:val="24"/>
          <w:lang w:eastAsia="en-GB"/>
        </w:rPr>
        <w:footnoteReference w:id="3"/>
      </w:r>
      <w:r>
        <w:rPr>
          <w:rFonts w:asciiTheme="minorHAnsi" w:hAnsiTheme="minorHAnsi" w:cstheme="minorHAnsi"/>
          <w:color w:val="000000"/>
          <w:sz w:val="24"/>
          <w:szCs w:val="24"/>
          <w:lang w:eastAsia="en-GB"/>
        </w:rPr>
        <w:t xml:space="preserve"> </w:t>
      </w:r>
    </w:p>
    <w:p w14:paraId="5C5865F4" w14:textId="77777777" w:rsidR="00C24EB6" w:rsidRDefault="00C24EB6" w:rsidP="00C24EB6">
      <w:pPr>
        <w:pStyle w:val="ListParagraph"/>
        <w:numPr>
          <w:ilvl w:val="0"/>
          <w:numId w:val="4"/>
        </w:numPr>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Violence against women is more effectively understood from a lifecycle approach. In this way it is clear to see that throughout a women’s lifespan from birth right to her old age she is likely to be a victim of violence of some form. The age group of 16-24 years this being adolescence to adulthood is the most vulnerable group experiencing intimate partner violence, rape and sexual assault by relatives or known and unknown men, dating and courtship violence, economically coerced sex, psychological abuse and the ever increasing “blesser” (sugar daddy) culture. Into adulthood, there is exposure to sexual abuse in the workplace and sexual harassment, marital rape, dowry abuse, and forced pregnancy</w:t>
      </w:r>
      <w:r>
        <w:rPr>
          <w:rStyle w:val="FootnoteReference"/>
          <w:rFonts w:asciiTheme="minorHAnsi" w:hAnsiTheme="minorHAnsi" w:cstheme="minorHAnsi"/>
          <w:color w:val="000000"/>
          <w:sz w:val="24"/>
          <w:szCs w:val="24"/>
          <w:lang w:eastAsia="en-GB"/>
        </w:rPr>
        <w:footnoteReference w:id="4"/>
      </w:r>
      <w:r>
        <w:rPr>
          <w:rFonts w:asciiTheme="minorHAnsi" w:hAnsiTheme="minorHAnsi" w:cstheme="minorHAnsi"/>
          <w:color w:val="000000"/>
          <w:sz w:val="24"/>
          <w:szCs w:val="24"/>
          <w:lang w:eastAsia="en-GB"/>
        </w:rPr>
        <w:t>.</w:t>
      </w:r>
      <w:r w:rsidRPr="00B213B7">
        <w:rPr>
          <w:rFonts w:asciiTheme="minorHAnsi" w:hAnsiTheme="minorHAnsi" w:cstheme="minorHAnsi"/>
          <w:color w:val="000000"/>
          <w:sz w:val="24"/>
          <w:szCs w:val="24"/>
          <w:lang w:eastAsia="en-GB"/>
        </w:rPr>
        <w:t xml:space="preserve"> </w:t>
      </w:r>
    </w:p>
    <w:p w14:paraId="464C1AE1" w14:textId="77777777" w:rsidR="00C24EB6" w:rsidRPr="00F45DA9" w:rsidRDefault="00C24EB6" w:rsidP="00C24EB6">
      <w:pPr>
        <w:pStyle w:val="ListParagraph"/>
        <w:numPr>
          <w:ilvl w:val="0"/>
          <w:numId w:val="4"/>
        </w:numPr>
        <w:jc w:val="both"/>
        <w:rPr>
          <w:rFonts w:asciiTheme="minorHAnsi" w:hAnsiTheme="minorHAnsi" w:cstheme="minorHAnsi"/>
          <w:color w:val="000000"/>
          <w:sz w:val="24"/>
          <w:szCs w:val="24"/>
          <w:lang w:eastAsia="en-GB"/>
        </w:rPr>
      </w:pPr>
      <w:r w:rsidRPr="00F45DA9">
        <w:rPr>
          <w:rFonts w:asciiTheme="minorHAnsi" w:hAnsiTheme="minorHAnsi" w:cstheme="minorHAnsi"/>
          <w:color w:val="000000"/>
          <w:sz w:val="24"/>
          <w:szCs w:val="24"/>
          <w:lang w:eastAsia="en-GB"/>
        </w:rPr>
        <w:t>The Medical Research Council of South Africa conducted a study in three provinces in South Africa on GBV. The outcome of their study found 1in 4 women have experienced violence at some point in time in their life</w:t>
      </w:r>
    </w:p>
    <w:p w14:paraId="70B01063" w14:textId="77777777" w:rsidR="00C24EB6" w:rsidRPr="00B213B7" w:rsidRDefault="00C24EB6" w:rsidP="00C24EB6">
      <w:pPr>
        <w:pStyle w:val="ListParagraph"/>
        <w:numPr>
          <w:ilvl w:val="0"/>
          <w:numId w:val="4"/>
        </w:numPr>
        <w:jc w:val="both"/>
        <w:rPr>
          <w:rFonts w:asciiTheme="minorHAnsi" w:hAnsiTheme="minorHAnsi" w:cstheme="minorHAnsi"/>
          <w:color w:val="000000"/>
          <w:sz w:val="24"/>
          <w:szCs w:val="24"/>
          <w:lang w:eastAsia="en-GB"/>
        </w:rPr>
      </w:pPr>
      <w:r w:rsidRPr="00F45DA9">
        <w:rPr>
          <w:rFonts w:asciiTheme="minorHAnsi" w:hAnsiTheme="minorHAnsi" w:cstheme="minorHAnsi"/>
          <w:color w:val="000000"/>
          <w:sz w:val="24"/>
          <w:szCs w:val="24"/>
          <w:lang w:eastAsia="en-GB"/>
        </w:rPr>
        <w:t>A Separate study by Gender Links covering confirms all participants in the study had experienced some form of violence be it economic, emotional, physical, or sexual at least once in their lifetime both within and outside their intimate relationship.</w:t>
      </w:r>
    </w:p>
    <w:p w14:paraId="2D71A053" w14:textId="77777777" w:rsidR="00C24EB6" w:rsidRPr="00F45DA9" w:rsidRDefault="00C24EB6" w:rsidP="00C24EB6">
      <w:pPr>
        <w:pStyle w:val="ListParagraph"/>
        <w:numPr>
          <w:ilvl w:val="0"/>
          <w:numId w:val="4"/>
        </w:numPr>
        <w:jc w:val="both"/>
        <w:rPr>
          <w:rFonts w:asciiTheme="minorHAnsi" w:hAnsiTheme="minorHAnsi" w:cstheme="minorHAnsi"/>
          <w:color w:val="000000"/>
          <w:sz w:val="24"/>
          <w:szCs w:val="24"/>
          <w:lang w:eastAsia="en-GB"/>
        </w:rPr>
      </w:pPr>
      <w:r w:rsidRPr="00F45DA9">
        <w:rPr>
          <w:rFonts w:asciiTheme="minorHAnsi" w:hAnsiTheme="minorHAnsi" w:cstheme="minorHAnsi"/>
          <w:color w:val="000000"/>
          <w:sz w:val="24"/>
          <w:szCs w:val="24"/>
          <w:lang w:eastAsia="en-GB"/>
        </w:rPr>
        <w:t>According to a WHO 2016 report, Femicide in South Africa is five times the world’s global average. Female interpersonal violence is 4</w:t>
      </w:r>
      <w:r w:rsidRPr="00F45DA9">
        <w:rPr>
          <w:rFonts w:asciiTheme="minorHAnsi" w:hAnsiTheme="minorHAnsi" w:cstheme="minorHAnsi"/>
          <w:color w:val="000000"/>
          <w:sz w:val="24"/>
          <w:szCs w:val="24"/>
          <w:vertAlign w:val="superscript"/>
          <w:lang w:eastAsia="en-GB"/>
        </w:rPr>
        <w:t>th</w:t>
      </w:r>
      <w:r w:rsidRPr="00F45DA9">
        <w:rPr>
          <w:rFonts w:asciiTheme="minorHAnsi" w:hAnsiTheme="minorHAnsi" w:cstheme="minorHAnsi"/>
          <w:color w:val="000000"/>
          <w:sz w:val="24"/>
          <w:szCs w:val="24"/>
          <w:lang w:eastAsia="en-GB"/>
        </w:rPr>
        <w:t xml:space="preserve"> highest out of 183 countries listed in the research report.</w:t>
      </w:r>
    </w:p>
    <w:p w14:paraId="7B205B74" w14:textId="77777777" w:rsidR="00C24EB6" w:rsidRDefault="00C24EB6" w:rsidP="00C24EB6">
      <w:pPr>
        <w:pStyle w:val="ListParagraph"/>
        <w:shd w:val="clear" w:color="auto" w:fill="FFFFFF"/>
        <w:spacing w:line="259" w:lineRule="auto"/>
        <w:ind w:left="792"/>
        <w:jc w:val="both"/>
        <w:outlineLvl w:val="2"/>
        <w:rPr>
          <w:rFonts w:asciiTheme="minorHAnsi" w:hAnsiTheme="minorHAnsi" w:cstheme="minorHAnsi"/>
          <w:color w:val="000000"/>
          <w:sz w:val="24"/>
          <w:szCs w:val="24"/>
          <w:lang w:eastAsia="en-GB"/>
        </w:rPr>
      </w:pPr>
    </w:p>
    <w:p w14:paraId="23616009" w14:textId="77777777" w:rsidR="00C24EB6" w:rsidRPr="00B357FF" w:rsidRDefault="00C24EB6" w:rsidP="00C24EB6">
      <w:pPr>
        <w:pStyle w:val="ListParagraph"/>
        <w:shd w:val="clear" w:color="auto" w:fill="FFFFFF"/>
        <w:spacing w:line="259" w:lineRule="auto"/>
        <w:ind w:left="792"/>
        <w:jc w:val="both"/>
        <w:outlineLvl w:val="2"/>
        <w:rPr>
          <w:rFonts w:asciiTheme="minorHAnsi" w:hAnsiTheme="minorHAnsi" w:cstheme="minorHAnsi"/>
          <w:b/>
          <w:bCs/>
          <w:color w:val="000000"/>
          <w:sz w:val="24"/>
          <w:szCs w:val="24"/>
          <w:u w:val="single"/>
          <w:lang w:eastAsia="en-GB"/>
        </w:rPr>
      </w:pPr>
      <w:r w:rsidRPr="00B357FF">
        <w:rPr>
          <w:rFonts w:asciiTheme="minorHAnsi" w:hAnsiTheme="minorHAnsi" w:cstheme="minorHAnsi"/>
          <w:b/>
          <w:bCs/>
          <w:color w:val="000000"/>
          <w:sz w:val="24"/>
          <w:szCs w:val="24"/>
          <w:u w:val="single"/>
          <w:lang w:eastAsia="en-GB"/>
        </w:rPr>
        <w:t>Profile of perpetrators:</w:t>
      </w:r>
    </w:p>
    <w:p w14:paraId="69AE0C83" w14:textId="77777777" w:rsidR="00C24EB6" w:rsidRPr="00B213B7" w:rsidRDefault="00C24EB6" w:rsidP="00C24EB6">
      <w:pPr>
        <w:pStyle w:val="ListParagraph"/>
        <w:numPr>
          <w:ilvl w:val="0"/>
          <w:numId w:val="5"/>
        </w:numPr>
        <w:jc w:val="both"/>
        <w:rPr>
          <w:rFonts w:asciiTheme="minorHAnsi" w:hAnsiTheme="minorHAnsi" w:cstheme="minorHAnsi"/>
          <w:color w:val="000000"/>
          <w:sz w:val="24"/>
          <w:szCs w:val="24"/>
          <w:lang w:eastAsia="en-GB"/>
        </w:rPr>
      </w:pPr>
      <w:r w:rsidRPr="00B213B7">
        <w:rPr>
          <w:rFonts w:asciiTheme="minorHAnsi" w:hAnsiTheme="minorHAnsi" w:cstheme="minorHAnsi"/>
          <w:color w:val="000000"/>
          <w:sz w:val="24"/>
          <w:szCs w:val="24"/>
          <w:lang w:eastAsia="en-GB"/>
        </w:rPr>
        <w:t>A 2013 Research Study of Four provinces in South Africa, conducted by Gender Links found a large portion of men admitted to having committed some form of violence against women in their lifetime. Gauteng 78% Limpopo 48% Western Cape 35% and Kwa-Zulu natal 41%.</w:t>
      </w:r>
    </w:p>
    <w:p w14:paraId="5522F639" w14:textId="77777777" w:rsidR="00C24EB6" w:rsidRPr="00B213B7" w:rsidRDefault="00C24EB6" w:rsidP="00C24EB6">
      <w:pPr>
        <w:pStyle w:val="ListParagraph"/>
        <w:numPr>
          <w:ilvl w:val="0"/>
          <w:numId w:val="5"/>
        </w:numPr>
        <w:jc w:val="both"/>
        <w:rPr>
          <w:rFonts w:asciiTheme="minorHAnsi" w:hAnsiTheme="minorHAnsi" w:cstheme="minorHAnsi"/>
          <w:color w:val="000000"/>
          <w:sz w:val="24"/>
          <w:szCs w:val="24"/>
          <w:lang w:eastAsia="en-GB"/>
        </w:rPr>
      </w:pPr>
      <w:r w:rsidRPr="00B213B7">
        <w:rPr>
          <w:rFonts w:asciiTheme="minorHAnsi" w:hAnsiTheme="minorHAnsi" w:cstheme="minorHAnsi"/>
          <w:color w:val="000000"/>
          <w:sz w:val="24"/>
          <w:szCs w:val="24"/>
          <w:lang w:eastAsia="en-GB"/>
        </w:rPr>
        <w:t>Studies of the male adult population also published in 2013 estimate rape perpetration rates by males to be at a rate of 28-37% while 7-9% engaged in multiple perpetrator rape.</w:t>
      </w:r>
      <w:r>
        <w:rPr>
          <w:rStyle w:val="FootnoteReference"/>
          <w:rFonts w:asciiTheme="minorHAnsi" w:hAnsiTheme="minorHAnsi" w:cstheme="minorHAnsi"/>
          <w:color w:val="000000"/>
          <w:sz w:val="24"/>
          <w:szCs w:val="24"/>
          <w:lang w:eastAsia="en-GB"/>
        </w:rPr>
        <w:footnoteReference w:id="5"/>
      </w:r>
    </w:p>
    <w:p w14:paraId="394CD37B" w14:textId="77777777" w:rsidR="00C24EB6" w:rsidRPr="00B213B7" w:rsidRDefault="00C24EB6" w:rsidP="00C24EB6">
      <w:pPr>
        <w:pStyle w:val="ListParagraph"/>
        <w:numPr>
          <w:ilvl w:val="0"/>
          <w:numId w:val="5"/>
        </w:numPr>
        <w:jc w:val="both"/>
        <w:rPr>
          <w:rFonts w:asciiTheme="minorHAnsi" w:hAnsiTheme="minorHAnsi" w:cstheme="minorHAnsi"/>
          <w:color w:val="000000"/>
          <w:sz w:val="24"/>
          <w:szCs w:val="24"/>
          <w:lang w:eastAsia="en-GB"/>
        </w:rPr>
      </w:pPr>
      <w:r w:rsidRPr="00B213B7">
        <w:rPr>
          <w:rFonts w:asciiTheme="minorHAnsi" w:hAnsiTheme="minorHAnsi" w:cstheme="minorHAnsi"/>
          <w:color w:val="000000"/>
          <w:sz w:val="24"/>
          <w:szCs w:val="24"/>
          <w:lang w:eastAsia="en-GB"/>
        </w:rPr>
        <w:t>In the 2013/2014 Financial year, 62649 sexual offences cases were reported to the SAPS. It was deduced relatives of the victims or intimate partners committed 34.6% of all rapes, casual acquaintances 26.1% while 24.4% of all victims did not know their attackers. 64% of these rapes occurred near the victim’s home or at their home., meaning the victim is known to the area</w:t>
      </w:r>
      <w:r>
        <w:rPr>
          <w:rStyle w:val="FootnoteReference"/>
          <w:rFonts w:asciiTheme="minorHAnsi" w:hAnsiTheme="minorHAnsi" w:cstheme="minorHAnsi"/>
          <w:color w:val="000000"/>
          <w:sz w:val="24"/>
          <w:szCs w:val="24"/>
          <w:lang w:eastAsia="en-GB"/>
        </w:rPr>
        <w:footnoteReference w:id="6"/>
      </w:r>
      <w:r w:rsidRPr="00B213B7">
        <w:rPr>
          <w:rFonts w:asciiTheme="minorHAnsi" w:hAnsiTheme="minorHAnsi" w:cstheme="minorHAnsi"/>
          <w:color w:val="000000"/>
          <w:sz w:val="24"/>
          <w:szCs w:val="24"/>
          <w:lang w:eastAsia="en-GB"/>
        </w:rPr>
        <w:t>.</w:t>
      </w:r>
    </w:p>
    <w:p w14:paraId="5359E94D" w14:textId="77777777" w:rsidR="00C24EB6" w:rsidRPr="00B67797" w:rsidRDefault="00C24EB6" w:rsidP="00C24EB6">
      <w:pPr>
        <w:ind w:left="770"/>
        <w:jc w:val="both"/>
        <w:rPr>
          <w:rFonts w:asciiTheme="minorHAnsi" w:hAnsiTheme="minorHAnsi" w:cstheme="minorHAnsi"/>
          <w:color w:val="000000"/>
          <w:sz w:val="24"/>
          <w:szCs w:val="24"/>
          <w:lang w:eastAsia="en-GB"/>
        </w:rPr>
      </w:pPr>
    </w:p>
    <w:p w14:paraId="3B582416" w14:textId="77777777" w:rsidR="00C24EB6" w:rsidRPr="00B357FF" w:rsidRDefault="00C24EB6" w:rsidP="00C24EB6">
      <w:pPr>
        <w:pStyle w:val="ListParagraph"/>
        <w:shd w:val="clear" w:color="auto" w:fill="FFFFFF"/>
        <w:spacing w:line="259" w:lineRule="auto"/>
        <w:ind w:left="792"/>
        <w:jc w:val="both"/>
        <w:outlineLvl w:val="2"/>
        <w:rPr>
          <w:rFonts w:asciiTheme="minorHAnsi" w:hAnsiTheme="minorHAnsi" w:cstheme="minorHAnsi"/>
          <w:b/>
          <w:bCs/>
          <w:color w:val="000000"/>
          <w:sz w:val="24"/>
          <w:szCs w:val="24"/>
          <w:u w:val="single"/>
          <w:lang w:eastAsia="en-GB"/>
        </w:rPr>
      </w:pPr>
      <w:r w:rsidRPr="00B357FF">
        <w:rPr>
          <w:rFonts w:asciiTheme="minorHAnsi" w:hAnsiTheme="minorHAnsi" w:cstheme="minorHAnsi"/>
          <w:b/>
          <w:bCs/>
          <w:color w:val="000000"/>
          <w:sz w:val="24"/>
          <w:szCs w:val="24"/>
          <w:u w:val="single"/>
          <w:lang w:eastAsia="en-GB"/>
        </w:rPr>
        <w:t>Recent Statistics/Number of cases:</w:t>
      </w:r>
    </w:p>
    <w:p w14:paraId="3F6D3629" w14:textId="77777777" w:rsidR="00C24EB6" w:rsidRPr="00F45DA9" w:rsidRDefault="00C24EB6" w:rsidP="00C24EB6">
      <w:pPr>
        <w:pStyle w:val="ListParagraph"/>
        <w:numPr>
          <w:ilvl w:val="0"/>
          <w:numId w:val="4"/>
        </w:numPr>
        <w:jc w:val="both"/>
        <w:rPr>
          <w:rFonts w:asciiTheme="minorHAnsi" w:hAnsiTheme="minorHAnsi" w:cstheme="minorHAnsi"/>
          <w:color w:val="000000"/>
          <w:sz w:val="24"/>
          <w:szCs w:val="24"/>
          <w:lang w:eastAsia="en-GB"/>
        </w:rPr>
      </w:pPr>
      <w:r w:rsidRPr="00F45DA9">
        <w:rPr>
          <w:rFonts w:asciiTheme="minorHAnsi" w:hAnsiTheme="minorHAnsi" w:cstheme="minorHAnsi"/>
          <w:color w:val="000000"/>
          <w:sz w:val="24"/>
          <w:szCs w:val="24"/>
          <w:lang w:eastAsia="en-GB"/>
        </w:rPr>
        <w:t>South Africa’s Crime Statistics for the period 2019-2020 showed an increase of 146 sexual offence cases reported and 116 of these reported cases were rape cases as compared to the same period of reporting in 2018-2019</w:t>
      </w:r>
    </w:p>
    <w:p w14:paraId="5BC39863" w14:textId="77777777" w:rsidR="00C24EB6" w:rsidRPr="00F0682C" w:rsidRDefault="00C24EB6" w:rsidP="00C24EB6">
      <w:pPr>
        <w:pStyle w:val="ListParagraph"/>
        <w:numPr>
          <w:ilvl w:val="0"/>
          <w:numId w:val="4"/>
        </w:numPr>
        <w:jc w:val="both"/>
        <w:rPr>
          <w:rFonts w:asciiTheme="minorHAnsi" w:hAnsiTheme="minorHAnsi" w:cstheme="minorHAnsi"/>
          <w:color w:val="000000"/>
          <w:sz w:val="24"/>
          <w:szCs w:val="24"/>
          <w:lang w:eastAsia="en-GB"/>
        </w:rPr>
      </w:pPr>
      <w:r w:rsidRPr="00F45DA9">
        <w:rPr>
          <w:rFonts w:asciiTheme="minorHAnsi" w:hAnsiTheme="minorHAnsi" w:cstheme="minorHAnsi"/>
          <w:color w:val="000000"/>
          <w:sz w:val="24"/>
          <w:szCs w:val="24"/>
          <w:lang w:eastAsia="en-GB"/>
        </w:rPr>
        <w:t>The Police Minister of South Africa indicated in the quarterly crime statistics over 9500 cases of GBV were reported between July and September 2021.</w:t>
      </w:r>
    </w:p>
    <w:p w14:paraId="79B9F177" w14:textId="77777777" w:rsidR="00C24EB6" w:rsidRDefault="00C24EB6" w:rsidP="00C24EB6">
      <w:pPr>
        <w:pStyle w:val="ListParagraph"/>
        <w:numPr>
          <w:ilvl w:val="0"/>
          <w:numId w:val="4"/>
        </w:numPr>
        <w:jc w:val="both"/>
        <w:rPr>
          <w:rFonts w:asciiTheme="minorHAnsi" w:hAnsiTheme="minorHAnsi" w:cstheme="minorHAnsi"/>
          <w:color w:val="000000"/>
          <w:sz w:val="24"/>
          <w:szCs w:val="24"/>
          <w:lang w:eastAsia="en-GB"/>
        </w:rPr>
      </w:pPr>
      <w:r w:rsidRPr="00F45DA9">
        <w:rPr>
          <w:rFonts w:asciiTheme="minorHAnsi" w:hAnsiTheme="minorHAnsi" w:cstheme="minorHAnsi"/>
          <w:color w:val="000000"/>
          <w:sz w:val="24"/>
          <w:szCs w:val="24"/>
          <w:lang w:eastAsia="en-GB"/>
        </w:rPr>
        <w:t>A national study on female homicide in South Africa conducted by the Medical Research Council of South Africa in 2004 revealed a woman is killed every 6 hours. The position has since changed.</w:t>
      </w:r>
      <w:r>
        <w:rPr>
          <w:rFonts w:asciiTheme="minorHAnsi" w:hAnsiTheme="minorHAnsi" w:cstheme="minorHAnsi"/>
          <w:color w:val="000000"/>
          <w:sz w:val="24"/>
          <w:szCs w:val="24"/>
          <w:lang w:eastAsia="en-GB"/>
        </w:rPr>
        <w:t xml:space="preserve"> </w:t>
      </w:r>
      <w:r w:rsidRPr="00F45DA9">
        <w:rPr>
          <w:rFonts w:asciiTheme="minorHAnsi" w:hAnsiTheme="minorHAnsi" w:cstheme="minorHAnsi"/>
          <w:color w:val="000000"/>
          <w:sz w:val="24"/>
          <w:szCs w:val="24"/>
          <w:lang w:eastAsia="en-GB"/>
        </w:rPr>
        <w:t>2695 women are murdered every year in South Africa, this results in 1 woman every 3 hours.</w:t>
      </w:r>
    </w:p>
    <w:p w14:paraId="6D716AD3" w14:textId="77777777" w:rsidR="00C24EB6" w:rsidRDefault="00C24EB6" w:rsidP="00C24EB6">
      <w:pPr>
        <w:pStyle w:val="ListParagraph"/>
        <w:ind w:left="1440"/>
        <w:jc w:val="both"/>
        <w:rPr>
          <w:rFonts w:asciiTheme="minorHAnsi" w:hAnsiTheme="minorHAnsi" w:cstheme="minorHAnsi"/>
          <w:color w:val="000000"/>
          <w:sz w:val="24"/>
          <w:szCs w:val="24"/>
          <w:lang w:eastAsia="en-GB"/>
        </w:rPr>
      </w:pPr>
    </w:p>
    <w:p w14:paraId="331BFF96" w14:textId="77777777" w:rsidR="00C24EB6" w:rsidRPr="00B357FF" w:rsidRDefault="00C24EB6" w:rsidP="00C24EB6">
      <w:pPr>
        <w:ind w:firstLine="720"/>
        <w:jc w:val="both"/>
        <w:rPr>
          <w:rFonts w:asciiTheme="minorHAnsi" w:hAnsiTheme="minorHAnsi" w:cstheme="minorHAnsi"/>
          <w:b/>
          <w:bCs/>
          <w:color w:val="000000"/>
          <w:sz w:val="24"/>
          <w:szCs w:val="24"/>
          <w:u w:val="single"/>
          <w:lang w:eastAsia="en-GB"/>
        </w:rPr>
      </w:pPr>
      <w:r w:rsidRPr="00B357FF">
        <w:rPr>
          <w:rFonts w:asciiTheme="minorHAnsi" w:hAnsiTheme="minorHAnsi" w:cstheme="minorHAnsi"/>
          <w:b/>
          <w:bCs/>
          <w:color w:val="000000"/>
          <w:sz w:val="24"/>
          <w:szCs w:val="24"/>
          <w:u w:val="single"/>
          <w:lang w:eastAsia="en-GB"/>
        </w:rPr>
        <w:t>Conclusion</w:t>
      </w:r>
    </w:p>
    <w:p w14:paraId="5428FCBA" w14:textId="6EA15FEC" w:rsidR="00C24EB6" w:rsidRPr="00F0682C" w:rsidRDefault="00C24EB6" w:rsidP="00C24EB6">
      <w:pPr>
        <w:pStyle w:val="ListParagraph"/>
        <w:numPr>
          <w:ilvl w:val="0"/>
          <w:numId w:val="6"/>
        </w:numPr>
        <w:jc w:val="both"/>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Violence against women is a major contributing factor to ill-health of women as it affects not only their physical wellbeing but also their emotional wellbeing and a particular consequence for their sexual and reproductive health. Women in violent relationships are at risk for early, unwanted pregnancy and they are at a greater risk for contracting sexually transmitted infections including HIV. This is because they are more vulnerable to being constrained in making sexual reproductive health choices.</w:t>
      </w:r>
      <w:r>
        <w:rPr>
          <w:rStyle w:val="FootnoteReference"/>
          <w:rFonts w:asciiTheme="minorHAnsi" w:hAnsiTheme="minorHAnsi" w:cstheme="minorHAnsi"/>
          <w:color w:val="000000"/>
          <w:sz w:val="24"/>
          <w:szCs w:val="24"/>
          <w:lang w:eastAsia="en-GB"/>
        </w:rPr>
        <w:footnoteReference w:id="7"/>
      </w:r>
    </w:p>
    <w:p w14:paraId="761313F2" w14:textId="77777777" w:rsidR="00C24EB6" w:rsidRPr="004E52AB" w:rsidRDefault="00C24EB6" w:rsidP="004E52AB">
      <w:pPr>
        <w:shd w:val="clear" w:color="auto" w:fill="FFFFFF"/>
        <w:spacing w:line="259" w:lineRule="auto"/>
        <w:ind w:left="792"/>
        <w:outlineLvl w:val="2"/>
        <w:rPr>
          <w:color w:val="000000"/>
          <w:sz w:val="24"/>
          <w:szCs w:val="24"/>
          <w:lang w:eastAsia="en-GB"/>
        </w:rPr>
      </w:pPr>
    </w:p>
    <w:p w14:paraId="62026D07" w14:textId="7B827765" w:rsidR="009F00AF" w:rsidRPr="0096645F" w:rsidRDefault="00037566" w:rsidP="004E52AB">
      <w:pPr>
        <w:pStyle w:val="ListParagraph"/>
        <w:numPr>
          <w:ilvl w:val="1"/>
          <w:numId w:val="2"/>
        </w:numPr>
        <w:shd w:val="clear" w:color="auto" w:fill="FFFFFF"/>
        <w:spacing w:line="259" w:lineRule="auto"/>
        <w:outlineLvl w:val="2"/>
        <w:rPr>
          <w:color w:val="000000"/>
          <w:sz w:val="24"/>
          <w:szCs w:val="24"/>
          <w:lang w:eastAsia="en-GB"/>
        </w:rPr>
      </w:pPr>
      <w:r>
        <w:rPr>
          <w:color w:val="000000"/>
          <w:sz w:val="24"/>
          <w:szCs w:val="24"/>
          <w:lang w:eastAsia="en-GB"/>
        </w:rPr>
        <w:t xml:space="preserve"> </w:t>
      </w:r>
      <w:bookmarkEnd w:id="5"/>
      <w:r w:rsidR="009F00AF" w:rsidRPr="0096645F">
        <w:rPr>
          <w:color w:val="000000"/>
          <w:sz w:val="24"/>
          <w:szCs w:val="24"/>
          <w:lang w:eastAsia="en-GB"/>
        </w:rPr>
        <w:t>gender based violence and other forms of violence against children:</w:t>
      </w:r>
    </w:p>
    <w:p w14:paraId="121D9F14" w14:textId="77777777" w:rsidR="009F00AF" w:rsidRPr="0096645F" w:rsidRDefault="009F00AF" w:rsidP="009F00AF">
      <w:pPr>
        <w:pStyle w:val="ListParagraph"/>
        <w:numPr>
          <w:ilvl w:val="1"/>
          <w:numId w:val="2"/>
        </w:numPr>
        <w:shd w:val="clear" w:color="auto" w:fill="FFFFFF"/>
        <w:spacing w:line="259" w:lineRule="auto"/>
        <w:outlineLvl w:val="2"/>
        <w:rPr>
          <w:sz w:val="24"/>
          <w:szCs w:val="24"/>
          <w:lang w:eastAsia="en-GB"/>
        </w:rPr>
      </w:pPr>
      <w:r w:rsidRPr="0096645F">
        <w:rPr>
          <w:color w:val="000000"/>
          <w:sz w:val="24"/>
          <w:szCs w:val="24"/>
          <w:lang w:eastAsia="en-GB"/>
        </w:rPr>
        <w:t xml:space="preserve">gender based violence against </w:t>
      </w:r>
      <w:r w:rsidRPr="0096645F">
        <w:rPr>
          <w:sz w:val="24"/>
          <w:szCs w:val="24"/>
          <w:lang w:eastAsia="en-GB"/>
        </w:rPr>
        <w:t xml:space="preserve">LGBTI or other persons based on </w:t>
      </w:r>
      <w:r w:rsidRPr="0096645F">
        <w:rPr>
          <w:color w:val="000000"/>
          <w:sz w:val="24"/>
          <w:szCs w:val="24"/>
          <w:lang w:eastAsia="en-GB"/>
        </w:rPr>
        <w:t>real or imputed sexual orientation</w:t>
      </w:r>
      <w:r w:rsidRPr="0096645F">
        <w:rPr>
          <w:sz w:val="24"/>
          <w:szCs w:val="24"/>
          <w:lang w:eastAsia="en-GB"/>
        </w:rPr>
        <w:t xml:space="preserve">, sex characteristics, and gender identity: </w:t>
      </w:r>
    </w:p>
    <w:p w14:paraId="156C8D92"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sz w:val="24"/>
          <w:szCs w:val="24"/>
          <w:lang w:eastAsia="en-GB"/>
        </w:rPr>
        <w:t>violence against persons with disabilities</w:t>
      </w:r>
      <w:r w:rsidRPr="0096645F">
        <w:rPr>
          <w:color w:val="000000"/>
          <w:sz w:val="24"/>
          <w:szCs w:val="24"/>
          <w:lang w:eastAsia="en-GB"/>
        </w:rPr>
        <w:t>, including GBV.</w:t>
      </w:r>
    </w:p>
    <w:p w14:paraId="007FE293"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p>
    <w:p w14:paraId="4523CE49"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conflict gender based violence, including sexual violence</w:t>
      </w:r>
    </w:p>
    <w:p w14:paraId="09AD98CC" w14:textId="21DED466" w:rsidR="009F00AF" w:rsidRDefault="009F00AF" w:rsidP="009F00AF">
      <w:pPr>
        <w:pStyle w:val="ListParagraph"/>
        <w:numPr>
          <w:ilvl w:val="1"/>
          <w:numId w:val="2"/>
        </w:numPr>
        <w:shd w:val="clear" w:color="auto" w:fill="FFFFFF"/>
        <w:spacing w:line="259" w:lineRule="auto"/>
        <w:outlineLvl w:val="2"/>
        <w:rPr>
          <w:color w:val="000000"/>
          <w:sz w:val="24"/>
          <w:szCs w:val="24"/>
          <w:lang w:eastAsia="en-GB"/>
        </w:rPr>
      </w:pPr>
      <w:bookmarkStart w:id="6" w:name="_Hlk93325572"/>
      <w:r w:rsidRPr="0096645F">
        <w:rPr>
          <w:color w:val="000000"/>
          <w:sz w:val="24"/>
          <w:szCs w:val="24"/>
          <w:lang w:eastAsia="en-GB"/>
        </w:rPr>
        <w:t>Please share analysis and available evidence on the impact of COVID on the above</w:t>
      </w:r>
    </w:p>
    <w:p w14:paraId="55BFFA70" w14:textId="77777777" w:rsidR="00C24EB6" w:rsidRDefault="00C24EB6" w:rsidP="00C24EB6">
      <w:pPr>
        <w:pStyle w:val="ListParagraph"/>
        <w:numPr>
          <w:ilvl w:val="2"/>
          <w:numId w:val="2"/>
        </w:numPr>
        <w:shd w:val="clear" w:color="auto" w:fill="FFFFFF"/>
        <w:spacing w:line="259" w:lineRule="auto"/>
        <w:jc w:val="both"/>
        <w:outlineLvl w:val="2"/>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Within the first week of level 5 lockdown in South Africa, the South African Police Services received 2320 complaints of gender-based violence with only 148 related charges made. This is a 37% increase from the weekly average of gender-based violence cases reported in 2019.</w:t>
      </w:r>
      <w:r>
        <w:rPr>
          <w:rStyle w:val="FootnoteReference"/>
          <w:rFonts w:asciiTheme="minorHAnsi" w:hAnsiTheme="minorHAnsi" w:cstheme="minorHAnsi"/>
          <w:color w:val="000000"/>
          <w:sz w:val="24"/>
          <w:szCs w:val="24"/>
          <w:lang w:eastAsia="en-GB"/>
        </w:rPr>
        <w:footnoteReference w:id="8"/>
      </w:r>
    </w:p>
    <w:p w14:paraId="0F534B51" w14:textId="77777777" w:rsidR="00C24EB6" w:rsidRDefault="00C24EB6" w:rsidP="00C24EB6">
      <w:pPr>
        <w:pStyle w:val="ListParagraph"/>
        <w:numPr>
          <w:ilvl w:val="2"/>
          <w:numId w:val="2"/>
        </w:numPr>
        <w:shd w:val="clear" w:color="auto" w:fill="FFFFFF"/>
        <w:spacing w:line="259" w:lineRule="auto"/>
        <w:jc w:val="both"/>
        <w:outlineLvl w:val="2"/>
        <w:rPr>
          <w:rFonts w:asciiTheme="minorHAnsi" w:hAnsiTheme="minorHAnsi" w:cstheme="minorHAnsi"/>
          <w:color w:val="000000"/>
          <w:sz w:val="24"/>
          <w:szCs w:val="24"/>
          <w:lang w:eastAsia="en-GB"/>
        </w:rPr>
      </w:pPr>
      <w:r w:rsidRPr="004E52AB">
        <w:rPr>
          <w:rFonts w:asciiTheme="minorHAnsi" w:hAnsiTheme="minorHAnsi" w:cstheme="minorHAnsi"/>
          <w:color w:val="000000"/>
          <w:sz w:val="24"/>
          <w:szCs w:val="24"/>
          <w:lang w:eastAsia="en-GB"/>
        </w:rPr>
        <w:t>The South African GBV and Femicide Command centre recorded an increase in gender-based violence cases reported during the lockdown from 27</w:t>
      </w:r>
      <w:r w:rsidRPr="004E52AB">
        <w:rPr>
          <w:rFonts w:asciiTheme="minorHAnsi" w:hAnsiTheme="minorHAnsi" w:cstheme="minorHAnsi"/>
          <w:color w:val="000000"/>
          <w:sz w:val="24"/>
          <w:szCs w:val="24"/>
          <w:vertAlign w:val="superscript"/>
          <w:lang w:eastAsia="en-GB"/>
        </w:rPr>
        <w:t>th</w:t>
      </w:r>
      <w:r w:rsidRPr="004E52AB">
        <w:rPr>
          <w:rFonts w:asciiTheme="minorHAnsi" w:hAnsiTheme="minorHAnsi" w:cstheme="minorHAnsi"/>
          <w:color w:val="000000"/>
          <w:sz w:val="24"/>
          <w:szCs w:val="24"/>
          <w:lang w:eastAsia="en-GB"/>
        </w:rPr>
        <w:t xml:space="preserve"> March to 16</w:t>
      </w:r>
      <w:r w:rsidRPr="004E52AB">
        <w:rPr>
          <w:rFonts w:asciiTheme="minorHAnsi" w:hAnsiTheme="minorHAnsi" w:cstheme="minorHAnsi"/>
          <w:color w:val="000000"/>
          <w:sz w:val="24"/>
          <w:szCs w:val="24"/>
          <w:vertAlign w:val="superscript"/>
          <w:lang w:eastAsia="en-GB"/>
        </w:rPr>
        <w:t>th</w:t>
      </w:r>
      <w:r w:rsidRPr="004E52AB">
        <w:rPr>
          <w:rFonts w:asciiTheme="minorHAnsi" w:hAnsiTheme="minorHAnsi" w:cstheme="minorHAnsi"/>
          <w:color w:val="000000"/>
          <w:sz w:val="24"/>
          <w:szCs w:val="24"/>
          <w:lang w:eastAsia="en-GB"/>
        </w:rPr>
        <w:t xml:space="preserve"> April with a total of 10,660 cases reported through phone calls, 1503 through unstructured supplementary services data (USSD) and 616 SMS. On 16</w:t>
      </w:r>
      <w:r w:rsidRPr="004E52AB">
        <w:rPr>
          <w:rFonts w:asciiTheme="minorHAnsi" w:hAnsiTheme="minorHAnsi" w:cstheme="minorHAnsi"/>
          <w:color w:val="000000"/>
          <w:sz w:val="24"/>
          <w:szCs w:val="24"/>
          <w:vertAlign w:val="superscript"/>
          <w:lang w:eastAsia="en-GB"/>
        </w:rPr>
        <w:t>th</w:t>
      </w:r>
      <w:r w:rsidRPr="004E52AB">
        <w:rPr>
          <w:rFonts w:asciiTheme="minorHAnsi" w:hAnsiTheme="minorHAnsi" w:cstheme="minorHAnsi"/>
          <w:color w:val="000000"/>
          <w:sz w:val="24"/>
          <w:szCs w:val="24"/>
          <w:lang w:eastAsia="en-GB"/>
        </w:rPr>
        <w:t xml:space="preserve"> April alone the centre received 674 cases</w:t>
      </w:r>
      <w:r>
        <w:rPr>
          <w:rStyle w:val="FootnoteReference"/>
          <w:rFonts w:asciiTheme="minorHAnsi" w:hAnsiTheme="minorHAnsi" w:cstheme="minorHAnsi"/>
          <w:color w:val="000000"/>
          <w:sz w:val="24"/>
          <w:szCs w:val="24"/>
          <w:lang w:eastAsia="en-GB"/>
        </w:rPr>
        <w:footnoteReference w:id="9"/>
      </w:r>
      <w:r w:rsidRPr="004E52AB">
        <w:rPr>
          <w:rFonts w:asciiTheme="minorHAnsi" w:hAnsiTheme="minorHAnsi" w:cstheme="minorHAnsi"/>
          <w:color w:val="000000"/>
          <w:sz w:val="24"/>
          <w:szCs w:val="24"/>
          <w:lang w:eastAsia="en-GB"/>
        </w:rPr>
        <w:t xml:space="preserve">. </w:t>
      </w:r>
    </w:p>
    <w:p w14:paraId="3C549312" w14:textId="77777777" w:rsidR="00C24EB6" w:rsidRDefault="00C24EB6" w:rsidP="00C24EB6">
      <w:pPr>
        <w:pStyle w:val="ListParagraph"/>
        <w:numPr>
          <w:ilvl w:val="2"/>
          <w:numId w:val="2"/>
        </w:numPr>
        <w:shd w:val="clear" w:color="auto" w:fill="FFFFFF"/>
        <w:spacing w:line="259" w:lineRule="auto"/>
        <w:jc w:val="both"/>
        <w:outlineLvl w:val="2"/>
        <w:rPr>
          <w:rFonts w:asciiTheme="minorHAnsi" w:hAnsiTheme="minorHAnsi" w:cstheme="minorHAnsi"/>
          <w:color w:val="000000"/>
          <w:sz w:val="24"/>
          <w:szCs w:val="24"/>
          <w:lang w:eastAsia="en-GB"/>
        </w:rPr>
      </w:pPr>
      <w:r w:rsidRPr="004E52AB">
        <w:rPr>
          <w:rFonts w:asciiTheme="minorHAnsi" w:hAnsiTheme="minorHAnsi" w:cstheme="minorHAnsi"/>
          <w:color w:val="000000"/>
          <w:sz w:val="24"/>
          <w:szCs w:val="24"/>
          <w:lang w:eastAsia="en-GB"/>
        </w:rPr>
        <w:t>Vodacom support call centred recorded a 65% increase in calls from women and children confined in their homes needing urgent assistance.</w:t>
      </w:r>
    </w:p>
    <w:p w14:paraId="489F84D3" w14:textId="77777777" w:rsidR="00C24EB6" w:rsidRDefault="00C24EB6" w:rsidP="00C24EB6">
      <w:pPr>
        <w:pStyle w:val="ListParagraph"/>
        <w:numPr>
          <w:ilvl w:val="2"/>
          <w:numId w:val="2"/>
        </w:numPr>
        <w:shd w:val="clear" w:color="auto" w:fill="FFFFFF"/>
        <w:spacing w:line="259" w:lineRule="auto"/>
        <w:jc w:val="both"/>
        <w:outlineLvl w:val="2"/>
        <w:rPr>
          <w:rFonts w:asciiTheme="minorHAnsi" w:hAnsiTheme="minorHAnsi" w:cstheme="minorHAnsi"/>
          <w:color w:val="000000"/>
          <w:sz w:val="24"/>
          <w:szCs w:val="24"/>
          <w:lang w:eastAsia="en-GB"/>
        </w:rPr>
      </w:pPr>
      <w:r w:rsidRPr="004E52AB">
        <w:rPr>
          <w:rFonts w:asciiTheme="minorHAnsi" w:hAnsiTheme="minorHAnsi" w:cstheme="minorHAnsi"/>
          <w:color w:val="000000"/>
          <w:sz w:val="24"/>
          <w:szCs w:val="24"/>
          <w:lang w:eastAsia="en-GB"/>
        </w:rPr>
        <w:t>Some Women’s shelters were filled to capacity as a result during the pandemic forcing them to turn away victims in need of assistance. In more unfortunate circumstances, some shelters were forced to close their doors due to lack of funding because of the pandemic.</w:t>
      </w:r>
    </w:p>
    <w:p w14:paraId="0D52C050" w14:textId="799E4A91" w:rsidR="00C24EB6" w:rsidRPr="004E52AB" w:rsidRDefault="00C24EB6" w:rsidP="004E52AB">
      <w:pPr>
        <w:pStyle w:val="ListParagraph"/>
        <w:numPr>
          <w:ilvl w:val="2"/>
          <w:numId w:val="2"/>
        </w:numPr>
        <w:shd w:val="clear" w:color="auto" w:fill="FFFFFF"/>
        <w:spacing w:line="259" w:lineRule="auto"/>
        <w:jc w:val="both"/>
        <w:outlineLvl w:val="2"/>
        <w:rPr>
          <w:rFonts w:asciiTheme="minorHAnsi" w:hAnsiTheme="minorHAnsi" w:cstheme="minorHAnsi"/>
          <w:color w:val="000000"/>
          <w:sz w:val="24"/>
          <w:szCs w:val="24"/>
          <w:lang w:eastAsia="en-GB"/>
        </w:rPr>
      </w:pPr>
      <w:r w:rsidRPr="004E52AB">
        <w:rPr>
          <w:rFonts w:asciiTheme="minorHAnsi" w:hAnsiTheme="minorHAnsi" w:cstheme="minorHAnsi"/>
          <w:color w:val="000000"/>
          <w:sz w:val="24"/>
          <w:szCs w:val="24"/>
          <w:lang w:eastAsia="en-GB"/>
        </w:rPr>
        <w:t>The closure of the courts and legal aid services also had a negative impact as victims were unable to access justice in this period leaving them more vulnerable to continued attack from their perpetrators.</w:t>
      </w:r>
    </w:p>
    <w:p w14:paraId="7C8707B8" w14:textId="77777777" w:rsidR="00C24EB6" w:rsidRPr="0096645F" w:rsidRDefault="00C24EB6" w:rsidP="004E52AB">
      <w:pPr>
        <w:pStyle w:val="ListParagraph"/>
        <w:shd w:val="clear" w:color="auto" w:fill="FFFFFF"/>
        <w:spacing w:line="259" w:lineRule="auto"/>
        <w:ind w:left="792"/>
        <w:outlineLvl w:val="2"/>
        <w:rPr>
          <w:color w:val="000000"/>
          <w:sz w:val="24"/>
          <w:szCs w:val="24"/>
          <w:lang w:eastAsia="en-GB"/>
        </w:rPr>
      </w:pPr>
    </w:p>
    <w:bookmarkEnd w:id="6"/>
    <w:p w14:paraId="63CB739E" w14:textId="77777777" w:rsidR="009F00AF" w:rsidRPr="0096645F" w:rsidRDefault="009F00AF" w:rsidP="009F00AF">
      <w:pPr>
        <w:pStyle w:val="ListParagraph"/>
        <w:shd w:val="clear" w:color="auto" w:fill="FFFFFF"/>
        <w:spacing w:line="259" w:lineRule="auto"/>
        <w:ind w:left="792"/>
        <w:outlineLvl w:val="2"/>
        <w:rPr>
          <w:color w:val="000000"/>
          <w:sz w:val="24"/>
          <w:szCs w:val="24"/>
          <w:lang w:eastAsia="en-GB"/>
        </w:rPr>
      </w:pPr>
    </w:p>
    <w:p w14:paraId="0F1F665E" w14:textId="0F59D3A5" w:rsidR="009F00AF" w:rsidRDefault="009F00AF" w:rsidP="009F00AF">
      <w:pPr>
        <w:pStyle w:val="ListParagraph"/>
        <w:numPr>
          <w:ilvl w:val="0"/>
          <w:numId w:val="1"/>
        </w:numPr>
        <w:shd w:val="clear" w:color="auto" w:fill="FFFFFF"/>
        <w:spacing w:line="259" w:lineRule="auto"/>
        <w:jc w:val="both"/>
        <w:outlineLvl w:val="2"/>
        <w:rPr>
          <w:sz w:val="24"/>
          <w:szCs w:val="24"/>
          <w:lang w:eastAsia="en-GB"/>
        </w:rPr>
      </w:pPr>
      <w:bookmarkStart w:id="7" w:name="_Hlk93400432"/>
      <w:r w:rsidRPr="0096645F">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04191C24" w14:textId="77777777" w:rsidR="004E52AB" w:rsidRPr="0096645F" w:rsidRDefault="004E52AB" w:rsidP="004E52AB">
      <w:pPr>
        <w:pStyle w:val="ListParagraph"/>
        <w:shd w:val="clear" w:color="auto" w:fill="FFFFFF"/>
        <w:spacing w:line="259" w:lineRule="auto"/>
        <w:ind w:left="360"/>
        <w:jc w:val="both"/>
        <w:outlineLvl w:val="2"/>
        <w:rPr>
          <w:sz w:val="24"/>
          <w:szCs w:val="24"/>
          <w:lang w:eastAsia="en-GB"/>
        </w:rPr>
      </w:pPr>
    </w:p>
    <w:p w14:paraId="4714DD1F" w14:textId="77777777" w:rsidR="004E52AB" w:rsidRDefault="004E52AB" w:rsidP="004E52AB">
      <w:pPr>
        <w:ind w:left="360"/>
        <w:jc w:val="both"/>
        <w:rPr>
          <w:rFonts w:asciiTheme="minorHAnsi" w:hAnsiTheme="minorHAnsi" w:cstheme="minorHAnsi"/>
          <w:sz w:val="24"/>
          <w:szCs w:val="24"/>
        </w:rPr>
      </w:pPr>
      <w:r w:rsidRPr="00815E03">
        <w:rPr>
          <w:rFonts w:asciiTheme="minorHAnsi" w:hAnsiTheme="minorHAnsi" w:cstheme="minorHAnsi"/>
          <w:sz w:val="24"/>
          <w:szCs w:val="24"/>
        </w:rPr>
        <w:t xml:space="preserve">The two prominent pieces of </w:t>
      </w:r>
      <w:r>
        <w:rPr>
          <w:rFonts w:asciiTheme="minorHAnsi" w:hAnsiTheme="minorHAnsi" w:cstheme="minorHAnsi"/>
          <w:sz w:val="24"/>
          <w:szCs w:val="24"/>
        </w:rPr>
        <w:t>legislation related to gender-based violence and thereto violence against women are the Domestic Violence Act no 116 of 1998 and the Criminal Law Sexual offences and Related Matters Act No32 of 2007.</w:t>
      </w:r>
    </w:p>
    <w:p w14:paraId="0673C1E3" w14:textId="77777777" w:rsidR="004E52AB" w:rsidRDefault="004E52AB" w:rsidP="004E52AB">
      <w:pPr>
        <w:ind w:left="360"/>
        <w:jc w:val="both"/>
        <w:rPr>
          <w:rFonts w:asciiTheme="minorHAnsi" w:hAnsiTheme="minorHAnsi" w:cstheme="minorHAnsi"/>
          <w:sz w:val="24"/>
          <w:szCs w:val="24"/>
        </w:rPr>
      </w:pPr>
    </w:p>
    <w:p w14:paraId="21E1C9DA" w14:textId="77777777" w:rsidR="004E52AB" w:rsidRPr="00807AF7" w:rsidRDefault="004E52AB" w:rsidP="004E52AB">
      <w:pPr>
        <w:ind w:left="360"/>
        <w:jc w:val="both"/>
        <w:rPr>
          <w:rFonts w:asciiTheme="minorHAnsi" w:hAnsiTheme="minorHAnsi" w:cstheme="minorHAnsi"/>
          <w:b/>
          <w:bCs/>
          <w:sz w:val="24"/>
          <w:szCs w:val="24"/>
          <w:u w:val="single"/>
        </w:rPr>
      </w:pPr>
      <w:r w:rsidRPr="00807AF7">
        <w:rPr>
          <w:rFonts w:asciiTheme="minorHAnsi" w:hAnsiTheme="minorHAnsi" w:cstheme="minorHAnsi"/>
          <w:b/>
          <w:bCs/>
          <w:sz w:val="24"/>
          <w:szCs w:val="24"/>
          <w:u w:val="single"/>
        </w:rPr>
        <w:t>Domestic Violence Act (DVA)</w:t>
      </w:r>
    </w:p>
    <w:p w14:paraId="6E09865C" w14:textId="77777777" w:rsidR="004E52AB" w:rsidRDefault="004E52AB" w:rsidP="004E52AB">
      <w:pPr>
        <w:ind w:left="360"/>
        <w:jc w:val="both"/>
        <w:rPr>
          <w:rFonts w:asciiTheme="minorHAnsi" w:hAnsiTheme="minorHAnsi" w:cstheme="minorHAnsi"/>
          <w:sz w:val="24"/>
          <w:szCs w:val="24"/>
        </w:rPr>
      </w:pPr>
    </w:p>
    <w:p w14:paraId="7E747346" w14:textId="77777777" w:rsidR="004E52AB" w:rsidRPr="00977EAF" w:rsidRDefault="004E52AB" w:rsidP="004E52AB">
      <w:pPr>
        <w:pStyle w:val="ListParagraph"/>
        <w:numPr>
          <w:ilvl w:val="0"/>
          <w:numId w:val="11"/>
        </w:numPr>
        <w:jc w:val="both"/>
        <w:rPr>
          <w:rFonts w:asciiTheme="minorHAnsi" w:hAnsiTheme="minorHAnsi" w:cstheme="minorHAnsi"/>
          <w:sz w:val="24"/>
          <w:szCs w:val="24"/>
        </w:rPr>
      </w:pPr>
      <w:r w:rsidRPr="00977EAF">
        <w:rPr>
          <w:rFonts w:asciiTheme="minorHAnsi" w:hAnsiTheme="minorHAnsi" w:cstheme="minorHAnsi"/>
          <w:sz w:val="24"/>
          <w:szCs w:val="24"/>
        </w:rPr>
        <w:t xml:space="preserve">The DVA has an expansive definition of domestic violence </w:t>
      </w:r>
      <w:r>
        <w:rPr>
          <w:rFonts w:asciiTheme="minorHAnsi" w:hAnsiTheme="minorHAnsi" w:cstheme="minorHAnsi"/>
          <w:sz w:val="24"/>
          <w:szCs w:val="24"/>
        </w:rPr>
        <w:t>which</w:t>
      </w:r>
      <w:r w:rsidRPr="00977EAF">
        <w:rPr>
          <w:rFonts w:asciiTheme="minorHAnsi" w:hAnsiTheme="minorHAnsi" w:cstheme="minorHAnsi"/>
          <w:sz w:val="24"/>
          <w:szCs w:val="24"/>
        </w:rPr>
        <w:t xml:space="preserve"> include</w:t>
      </w:r>
      <w:r>
        <w:rPr>
          <w:rFonts w:asciiTheme="minorHAnsi" w:hAnsiTheme="minorHAnsi" w:cstheme="minorHAnsi"/>
          <w:sz w:val="24"/>
          <w:szCs w:val="24"/>
        </w:rPr>
        <w:t>s</w:t>
      </w:r>
      <w:r w:rsidRPr="00977EAF">
        <w:rPr>
          <w:rFonts w:asciiTheme="minorHAnsi" w:hAnsiTheme="minorHAnsi" w:cstheme="minorHAnsi"/>
          <w:sz w:val="24"/>
          <w:szCs w:val="24"/>
        </w:rPr>
        <w:t xml:space="preserve"> physical, economic, psychological, emotional, verbal, economic abuse as well as intimidation, harassment, stalking and controlling behaviour</w:t>
      </w:r>
      <w:r>
        <w:rPr>
          <w:rStyle w:val="FootnoteReference"/>
          <w:rFonts w:asciiTheme="minorHAnsi" w:hAnsiTheme="minorHAnsi" w:cstheme="minorHAnsi"/>
          <w:sz w:val="24"/>
          <w:szCs w:val="24"/>
        </w:rPr>
        <w:footnoteReference w:id="10"/>
      </w:r>
      <w:r w:rsidRPr="00977EAF">
        <w:rPr>
          <w:rFonts w:asciiTheme="minorHAnsi" w:hAnsiTheme="minorHAnsi" w:cstheme="minorHAnsi"/>
          <w:sz w:val="24"/>
          <w:szCs w:val="24"/>
        </w:rPr>
        <w:t xml:space="preserve">.  </w:t>
      </w:r>
    </w:p>
    <w:p w14:paraId="54774E5F" w14:textId="77777777" w:rsidR="004E52AB" w:rsidRDefault="004E52AB" w:rsidP="004E52AB">
      <w:pPr>
        <w:pStyle w:val="ListParagraph"/>
        <w:numPr>
          <w:ilvl w:val="0"/>
          <w:numId w:val="11"/>
        </w:numPr>
        <w:jc w:val="both"/>
        <w:rPr>
          <w:rFonts w:asciiTheme="minorHAnsi" w:hAnsiTheme="minorHAnsi" w:cstheme="minorHAnsi"/>
          <w:sz w:val="24"/>
          <w:szCs w:val="24"/>
        </w:rPr>
      </w:pPr>
      <w:r w:rsidRPr="00A230C6">
        <w:rPr>
          <w:rFonts w:asciiTheme="minorHAnsi" w:hAnsiTheme="minorHAnsi" w:cstheme="minorHAnsi"/>
          <w:sz w:val="24"/>
          <w:szCs w:val="24"/>
        </w:rPr>
        <w:t>Domestic relationship is not limited to Intimate partner relationship between a heterosexual, same sex couples are included in this definition. In addition, a domestic relationship includes all living in one domicile or having a familiar relationship which includes persons who had been in an intimate relationship but are no longer together leading up to a domestic violence incident. The couple need not be living together when the case is opened</w:t>
      </w:r>
      <w:r>
        <w:rPr>
          <w:rStyle w:val="FootnoteReference"/>
          <w:rFonts w:asciiTheme="minorHAnsi" w:hAnsiTheme="minorHAnsi" w:cstheme="minorHAnsi"/>
          <w:sz w:val="24"/>
          <w:szCs w:val="24"/>
        </w:rPr>
        <w:footnoteReference w:id="11"/>
      </w:r>
      <w:r w:rsidRPr="00A230C6">
        <w:rPr>
          <w:rFonts w:asciiTheme="minorHAnsi" w:hAnsiTheme="minorHAnsi" w:cstheme="minorHAnsi"/>
          <w:sz w:val="24"/>
          <w:szCs w:val="24"/>
        </w:rPr>
        <w:t xml:space="preserve">. </w:t>
      </w:r>
    </w:p>
    <w:p w14:paraId="00067BCA" w14:textId="77777777" w:rsidR="004E52AB" w:rsidRDefault="004E52AB" w:rsidP="004E52AB">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This legislation places a responsibility on state organs particularly the police to ensure survivors of domestic violence are able to apply for protection orders (restraining orders) to prevent abusers from entering a mutual residence, the survivor’s residence or place of work or from stalking them or using other means such as using friends/relatives or mutual contacts to contact the survivor</w:t>
      </w:r>
      <w:r>
        <w:rPr>
          <w:rStyle w:val="FootnoteReference"/>
          <w:rFonts w:asciiTheme="minorHAnsi" w:hAnsiTheme="minorHAnsi" w:cstheme="minorHAnsi"/>
          <w:sz w:val="24"/>
          <w:szCs w:val="24"/>
        </w:rPr>
        <w:footnoteReference w:id="12"/>
      </w:r>
      <w:r>
        <w:rPr>
          <w:rFonts w:asciiTheme="minorHAnsi" w:hAnsiTheme="minorHAnsi" w:cstheme="minorHAnsi"/>
          <w:sz w:val="24"/>
          <w:szCs w:val="24"/>
        </w:rPr>
        <w:t>.</w:t>
      </w:r>
    </w:p>
    <w:p w14:paraId="13C7AFBB" w14:textId="77777777" w:rsidR="004E52AB" w:rsidRDefault="004E52AB" w:rsidP="004E52AB">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Challenges: This Act places no obligations on the Department of Social Development for the provision of care and support services. A Substantial number of police officers have limited knowledge of the provisions of The Act and their responsibilities thereto, this coupled with the fact, most officers do not view domestic violence as a crime but more of a private family matter. There is a lack of human and financial resources for the implementation of the Act thus making this piece of legislation overall ineffective</w:t>
      </w:r>
      <w:r>
        <w:rPr>
          <w:rStyle w:val="FootnoteReference"/>
          <w:rFonts w:asciiTheme="minorHAnsi" w:hAnsiTheme="minorHAnsi" w:cstheme="minorHAnsi"/>
          <w:sz w:val="24"/>
          <w:szCs w:val="24"/>
        </w:rPr>
        <w:footnoteReference w:id="13"/>
      </w:r>
      <w:r>
        <w:rPr>
          <w:rFonts w:asciiTheme="minorHAnsi" w:hAnsiTheme="minorHAnsi" w:cstheme="minorHAnsi"/>
          <w:sz w:val="24"/>
          <w:szCs w:val="24"/>
        </w:rPr>
        <w:t>.</w:t>
      </w:r>
    </w:p>
    <w:p w14:paraId="6EAD4703" w14:textId="77777777" w:rsidR="004E52AB" w:rsidRDefault="004E52AB" w:rsidP="004E52AB">
      <w:pPr>
        <w:pStyle w:val="ListParagraph"/>
        <w:ind w:left="1080"/>
        <w:jc w:val="both"/>
        <w:rPr>
          <w:rFonts w:asciiTheme="minorHAnsi" w:hAnsiTheme="minorHAnsi" w:cstheme="minorHAnsi"/>
          <w:sz w:val="24"/>
          <w:szCs w:val="24"/>
        </w:rPr>
      </w:pPr>
    </w:p>
    <w:p w14:paraId="088A40CA" w14:textId="77777777" w:rsidR="004E52AB" w:rsidRPr="00807AF7" w:rsidRDefault="004E52AB" w:rsidP="004E52AB">
      <w:pPr>
        <w:ind w:firstLine="720"/>
        <w:jc w:val="both"/>
        <w:rPr>
          <w:rFonts w:asciiTheme="minorHAnsi" w:hAnsiTheme="minorHAnsi" w:cstheme="minorHAnsi"/>
          <w:b/>
          <w:bCs/>
          <w:sz w:val="24"/>
          <w:szCs w:val="24"/>
          <w:u w:val="single"/>
        </w:rPr>
      </w:pPr>
      <w:r w:rsidRPr="00807AF7">
        <w:rPr>
          <w:rFonts w:asciiTheme="minorHAnsi" w:hAnsiTheme="minorHAnsi" w:cstheme="minorHAnsi"/>
          <w:b/>
          <w:bCs/>
          <w:sz w:val="24"/>
          <w:szCs w:val="24"/>
          <w:u w:val="single"/>
        </w:rPr>
        <w:t>Criminal Law Sexual offences and Related Matters Act (SORMA)</w:t>
      </w:r>
    </w:p>
    <w:p w14:paraId="3AE428AD" w14:textId="77777777" w:rsidR="004E52AB" w:rsidRDefault="004E52AB" w:rsidP="004E52AB">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The Act defines sexual assault to include a range of acts involving unlawful sexual penetration or attempts at penetration to any extent whatsoever by the genital organs of one person into the anus, mouth, or genital organs of another person or by any object, including any part of the body or animal or part of the body of a person, into the anus, mouth, or genital organs of another person</w:t>
      </w:r>
      <w:r>
        <w:rPr>
          <w:rStyle w:val="FootnoteReference"/>
          <w:rFonts w:asciiTheme="minorHAnsi" w:hAnsiTheme="minorHAnsi" w:cstheme="minorHAnsi"/>
          <w:sz w:val="24"/>
          <w:szCs w:val="24"/>
        </w:rPr>
        <w:footnoteReference w:id="14"/>
      </w:r>
      <w:r>
        <w:rPr>
          <w:rFonts w:asciiTheme="minorHAnsi" w:hAnsiTheme="minorHAnsi" w:cstheme="minorHAnsi"/>
          <w:sz w:val="24"/>
          <w:szCs w:val="24"/>
        </w:rPr>
        <w:t xml:space="preserve">. </w:t>
      </w:r>
    </w:p>
    <w:p w14:paraId="5DF93D87" w14:textId="77777777" w:rsidR="004E52AB" w:rsidRDefault="004E52AB" w:rsidP="004E52AB">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The SORMA places legal obligation on the South African police services, the national prosecuting Authority, Correctional Services, Justice and Constitutional Development, Department of Social Development, and the Department of Health in assisting survivors of sexual offences. The Act presupposed that the approach to addressing cases of sexual violence in multi sectoral in nature dealing with the perpetrator as well as the needs of the survivor</w:t>
      </w:r>
      <w:r>
        <w:rPr>
          <w:rStyle w:val="FootnoteReference"/>
          <w:rFonts w:asciiTheme="minorHAnsi" w:hAnsiTheme="minorHAnsi" w:cstheme="minorHAnsi"/>
          <w:sz w:val="24"/>
          <w:szCs w:val="24"/>
        </w:rPr>
        <w:footnoteReference w:id="15"/>
      </w:r>
      <w:r>
        <w:rPr>
          <w:rFonts w:asciiTheme="minorHAnsi" w:hAnsiTheme="minorHAnsi" w:cstheme="minorHAnsi"/>
          <w:sz w:val="24"/>
          <w:szCs w:val="24"/>
        </w:rPr>
        <w:t>.</w:t>
      </w:r>
    </w:p>
    <w:p w14:paraId="3DBA453A" w14:textId="77777777" w:rsidR="004E52AB" w:rsidRDefault="004E52AB" w:rsidP="004E52AB">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Challenges: A 2015 study conducted by Tshwaranang shows there is lack of coordination between duty bearers in the different roles they play in the chain of justice for victims. There is a shortage of personnel in the justice system for instance the lack of sexual offences courts with assigned prosecutors means many sexual offences cases are not sufficiently dealt with</w:t>
      </w:r>
      <w:r>
        <w:rPr>
          <w:rStyle w:val="FootnoteReference"/>
          <w:rFonts w:asciiTheme="minorHAnsi" w:hAnsiTheme="minorHAnsi" w:cstheme="minorHAnsi"/>
          <w:sz w:val="24"/>
          <w:szCs w:val="24"/>
        </w:rPr>
        <w:footnoteReference w:id="16"/>
      </w:r>
      <w:r>
        <w:rPr>
          <w:rFonts w:asciiTheme="minorHAnsi" w:hAnsiTheme="minorHAnsi" w:cstheme="minorHAnsi"/>
          <w:sz w:val="24"/>
          <w:szCs w:val="24"/>
        </w:rPr>
        <w:t>.</w:t>
      </w:r>
    </w:p>
    <w:p w14:paraId="42A6E230"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bookmarkEnd w:id="7"/>
    <w:p w14:paraId="1740349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152D4C16" w14:textId="77777777" w:rsidR="009F00AF" w:rsidRPr="0096645F" w:rsidRDefault="009F00AF" w:rsidP="009F00AF">
      <w:pPr>
        <w:pStyle w:val="ListParagraph"/>
        <w:spacing w:line="259" w:lineRule="auto"/>
        <w:jc w:val="both"/>
        <w:rPr>
          <w:color w:val="000000"/>
          <w:sz w:val="24"/>
          <w:szCs w:val="24"/>
          <w:lang w:eastAsia="en-GB"/>
        </w:rPr>
      </w:pPr>
    </w:p>
    <w:p w14:paraId="05CC9E52"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abortion,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Covid 19 to </w:t>
      </w:r>
      <w:r w:rsidRPr="0096645F">
        <w:rPr>
          <w:color w:val="000000"/>
          <w:sz w:val="24"/>
          <w:szCs w:val="24"/>
          <w:lang w:eastAsia="en-GB"/>
        </w:rPr>
        <w:t xml:space="preserve">the funding of responses to all/some forms of violence in your State/institution.  </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77777777" w:rsidR="009F00AF" w:rsidRPr="0096645F" w:rsidRDefault="009F00AF" w:rsidP="009F00AF">
      <w:pPr>
        <w:pStyle w:val="ListParagraph"/>
        <w:spacing w:line="259" w:lineRule="auto"/>
        <w:jc w:val="both"/>
        <w:rPr>
          <w:color w:val="000000"/>
          <w:sz w:val="24"/>
          <w:szCs w:val="24"/>
          <w:lang w:eastAsia="en-GB"/>
        </w:rPr>
      </w:pPr>
    </w:p>
    <w:p w14:paraId="6967E735" w14:textId="3034D1BD"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bookmarkStart w:id="8" w:name="_Hlk93406887"/>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599405BA" w14:textId="77777777" w:rsidR="00C24EB6" w:rsidRPr="004E52AB" w:rsidRDefault="00C24EB6" w:rsidP="004E52AB">
      <w:pPr>
        <w:pStyle w:val="ListParagraph"/>
        <w:rPr>
          <w:color w:val="000000"/>
          <w:sz w:val="24"/>
          <w:szCs w:val="24"/>
          <w:lang w:eastAsia="en-GB"/>
        </w:rPr>
      </w:pPr>
    </w:p>
    <w:p w14:paraId="504CBCEC" w14:textId="77777777" w:rsidR="004E52AB" w:rsidRPr="00A35EAF" w:rsidRDefault="004E52AB" w:rsidP="004E52AB">
      <w:pPr>
        <w:pStyle w:val="ListParagraph"/>
        <w:numPr>
          <w:ilvl w:val="0"/>
          <w:numId w:val="13"/>
        </w:numPr>
        <w:shd w:val="clear" w:color="auto" w:fill="F8F8F8"/>
        <w:spacing w:after="300"/>
        <w:jc w:val="both"/>
        <w:textAlignment w:val="baseline"/>
        <w:rPr>
          <w:rFonts w:asciiTheme="minorHAnsi" w:hAnsiTheme="minorHAnsi" w:cstheme="minorHAnsi"/>
          <w:color w:val="252525"/>
          <w:sz w:val="24"/>
          <w:szCs w:val="24"/>
          <w:lang w:val="en-ZA" w:eastAsia="en-ZA"/>
        </w:rPr>
      </w:pPr>
      <w:r>
        <w:rPr>
          <w:rFonts w:asciiTheme="minorHAnsi" w:hAnsiTheme="minorHAnsi" w:cstheme="minorHAnsi"/>
          <w:color w:val="252525"/>
          <w:sz w:val="24"/>
          <w:szCs w:val="24"/>
          <w:lang w:val="en-ZA" w:eastAsia="en-ZA"/>
        </w:rPr>
        <w:t xml:space="preserve">The National Prosecuting Authority has a Sexual offences and Community Affairs Unit. This Unit, since its establishment, </w:t>
      </w:r>
      <w:r w:rsidRPr="00425F31">
        <w:rPr>
          <w:rFonts w:asciiTheme="minorHAnsi" w:hAnsiTheme="minorHAnsi" w:cstheme="minorHAnsi"/>
          <w:sz w:val="24"/>
          <w:szCs w:val="24"/>
        </w:rPr>
        <w:t>has been working to develop best practices and policies that seek to improv</w:t>
      </w:r>
      <w:r>
        <w:rPr>
          <w:rFonts w:asciiTheme="minorHAnsi" w:hAnsiTheme="minorHAnsi" w:cstheme="minorHAnsi"/>
          <w:sz w:val="24"/>
          <w:szCs w:val="24"/>
        </w:rPr>
        <w:t>e</w:t>
      </w:r>
      <w:r w:rsidRPr="00425F31">
        <w:rPr>
          <w:rFonts w:asciiTheme="minorHAnsi" w:hAnsiTheme="minorHAnsi" w:cstheme="minorHAnsi"/>
          <w:sz w:val="24"/>
          <w:szCs w:val="24"/>
        </w:rPr>
        <w:t xml:space="preserve"> prosecution, particularly in the areas of sexual offences, maintenance, child justice and domestic violence</w:t>
      </w:r>
      <w:r>
        <w:rPr>
          <w:rFonts w:asciiTheme="minorHAnsi" w:hAnsiTheme="minorHAnsi" w:cstheme="minorHAnsi"/>
          <w:sz w:val="24"/>
          <w:szCs w:val="24"/>
        </w:rPr>
        <w:t>. The Unit has thus established Thuthuzela Care Centres that seek to provide an integrated strategy for prevention, response and support most specifically for rape victims</w:t>
      </w:r>
      <w:r>
        <w:rPr>
          <w:rStyle w:val="FootnoteReference"/>
          <w:rFonts w:asciiTheme="minorHAnsi" w:hAnsiTheme="minorHAnsi" w:cstheme="minorHAnsi"/>
          <w:sz w:val="24"/>
          <w:szCs w:val="24"/>
        </w:rPr>
        <w:footnoteReference w:id="17"/>
      </w:r>
      <w:r>
        <w:rPr>
          <w:rFonts w:asciiTheme="minorHAnsi" w:hAnsiTheme="minorHAnsi" w:cstheme="minorHAnsi"/>
          <w:sz w:val="24"/>
          <w:szCs w:val="24"/>
        </w:rPr>
        <w:t xml:space="preserve">. </w:t>
      </w:r>
    </w:p>
    <w:p w14:paraId="2AF88034" w14:textId="77777777" w:rsidR="004E52AB" w:rsidRPr="00A35EAF" w:rsidRDefault="004E52AB" w:rsidP="004E52AB">
      <w:pPr>
        <w:pStyle w:val="ListParagraph"/>
        <w:numPr>
          <w:ilvl w:val="0"/>
          <w:numId w:val="13"/>
        </w:numPr>
        <w:shd w:val="clear" w:color="auto" w:fill="F8F8F8"/>
        <w:spacing w:after="300"/>
        <w:jc w:val="both"/>
        <w:textAlignment w:val="baseline"/>
        <w:rPr>
          <w:rFonts w:asciiTheme="minorHAnsi" w:hAnsiTheme="minorHAnsi" w:cstheme="minorHAnsi"/>
          <w:color w:val="252525"/>
          <w:sz w:val="24"/>
          <w:szCs w:val="24"/>
          <w:lang w:val="en-ZA" w:eastAsia="en-ZA"/>
        </w:rPr>
      </w:pPr>
      <w:r w:rsidRPr="00AC0543">
        <w:rPr>
          <w:rFonts w:asciiTheme="minorHAnsi" w:hAnsiTheme="minorHAnsi" w:cstheme="minorHAnsi"/>
          <w:color w:val="252525"/>
          <w:sz w:val="24"/>
          <w:szCs w:val="24"/>
          <w:lang w:val="en-ZA" w:eastAsia="en-ZA"/>
        </w:rPr>
        <w:t>Thuthuzela Care Centres (TCCs) are</w:t>
      </w:r>
      <w:r>
        <w:rPr>
          <w:rFonts w:asciiTheme="minorHAnsi" w:hAnsiTheme="minorHAnsi" w:cstheme="minorHAnsi"/>
          <w:color w:val="252525"/>
          <w:sz w:val="24"/>
          <w:szCs w:val="24"/>
          <w:lang w:val="en-ZA" w:eastAsia="en-ZA"/>
        </w:rPr>
        <w:t xml:space="preserve"> designed to be </w:t>
      </w:r>
      <w:r w:rsidRPr="00AC0543">
        <w:rPr>
          <w:rFonts w:asciiTheme="minorHAnsi" w:hAnsiTheme="minorHAnsi" w:cstheme="minorHAnsi"/>
          <w:color w:val="252525"/>
          <w:sz w:val="24"/>
          <w:szCs w:val="24"/>
          <w:lang w:val="en-ZA" w:eastAsia="en-ZA"/>
        </w:rPr>
        <w:t>one-stop facilities that have been introduced as a critical part of South Africa’s anti-rape strategy, aiming to reduce secondary victimisation and to build a case ready for successful prosecution. Fifty-one centres have been established since 2006</w:t>
      </w:r>
      <w:r>
        <w:rPr>
          <w:rStyle w:val="FootnoteReference"/>
          <w:rFonts w:asciiTheme="minorHAnsi" w:hAnsiTheme="minorHAnsi" w:cstheme="minorHAnsi"/>
          <w:color w:val="252525"/>
          <w:sz w:val="24"/>
          <w:szCs w:val="24"/>
          <w:lang w:val="en-ZA" w:eastAsia="en-ZA"/>
        </w:rPr>
        <w:footnoteReference w:id="18"/>
      </w:r>
      <w:r w:rsidRPr="00AC0543">
        <w:rPr>
          <w:rFonts w:asciiTheme="minorHAnsi" w:hAnsiTheme="minorHAnsi" w:cstheme="minorHAnsi"/>
          <w:color w:val="252525"/>
          <w:sz w:val="24"/>
          <w:szCs w:val="24"/>
          <w:lang w:val="en-ZA" w:eastAsia="en-ZA"/>
        </w:rPr>
        <w:t>.</w:t>
      </w:r>
      <w:r>
        <w:rPr>
          <w:rFonts w:asciiTheme="minorHAnsi" w:hAnsiTheme="minorHAnsi" w:cstheme="minorHAnsi"/>
          <w:color w:val="252525"/>
          <w:sz w:val="24"/>
          <w:szCs w:val="24"/>
          <w:lang w:val="en-ZA" w:eastAsia="en-ZA"/>
        </w:rPr>
        <w:t xml:space="preserve"> The umber currently stands at 67. </w:t>
      </w:r>
    </w:p>
    <w:p w14:paraId="1A5B15E5" w14:textId="77777777" w:rsidR="004E52AB" w:rsidRPr="00A35EAF" w:rsidRDefault="004E52AB" w:rsidP="004E52AB">
      <w:pPr>
        <w:pStyle w:val="ListParagraph"/>
        <w:numPr>
          <w:ilvl w:val="0"/>
          <w:numId w:val="13"/>
        </w:numPr>
        <w:shd w:val="clear" w:color="auto" w:fill="F8F8F8"/>
        <w:spacing w:after="300"/>
        <w:jc w:val="both"/>
        <w:textAlignment w:val="baseline"/>
        <w:rPr>
          <w:rFonts w:asciiTheme="minorHAnsi" w:hAnsiTheme="minorHAnsi" w:cstheme="minorHAnsi"/>
          <w:color w:val="252525"/>
          <w:sz w:val="24"/>
          <w:szCs w:val="24"/>
          <w:lang w:val="en-ZA" w:eastAsia="en-ZA"/>
        </w:rPr>
      </w:pPr>
      <w:r w:rsidRPr="001D7CD0">
        <w:rPr>
          <w:rFonts w:asciiTheme="minorHAnsi" w:hAnsiTheme="minorHAnsi" w:cstheme="minorHAnsi"/>
          <w:color w:val="252525"/>
          <w:sz w:val="24"/>
          <w:szCs w:val="24"/>
          <w:bdr w:val="none" w:sz="0" w:space="0" w:color="auto" w:frame="1"/>
          <w:lang w:val="en-ZA" w:eastAsia="en-ZA"/>
        </w:rPr>
        <w:t>The TCCS</w:t>
      </w:r>
      <w:r>
        <w:rPr>
          <w:rFonts w:asciiTheme="minorHAnsi" w:hAnsiTheme="minorHAnsi" w:cstheme="minorHAnsi"/>
          <w:color w:val="252525"/>
          <w:sz w:val="24"/>
          <w:szCs w:val="24"/>
          <w:bdr w:val="none" w:sz="0" w:space="0" w:color="auto" w:frame="1"/>
          <w:lang w:val="en-ZA" w:eastAsia="en-ZA"/>
        </w:rPr>
        <w:t xml:space="preserve"> are based at community clinics or major hospital. A survivor is allowed to report a case of rape directly at a TCC. Staff then assist with immediate medical attention at the centre and arrange for counselling services at the centre. Staff will then assist a survivor to open a case at the relevant police station. The Centre has the capacity to arrange for ongoing counselling and assist the survivor with court preparation if case goes on to trial</w:t>
      </w:r>
      <w:r>
        <w:rPr>
          <w:rStyle w:val="FootnoteReference"/>
          <w:rFonts w:asciiTheme="minorHAnsi" w:hAnsiTheme="minorHAnsi" w:cstheme="minorHAnsi"/>
          <w:color w:val="252525"/>
          <w:sz w:val="24"/>
          <w:szCs w:val="24"/>
          <w:bdr w:val="none" w:sz="0" w:space="0" w:color="auto" w:frame="1"/>
          <w:lang w:val="en-ZA" w:eastAsia="en-ZA"/>
        </w:rPr>
        <w:footnoteReference w:id="19"/>
      </w:r>
      <w:r>
        <w:rPr>
          <w:rFonts w:asciiTheme="minorHAnsi" w:hAnsiTheme="minorHAnsi" w:cstheme="minorHAnsi"/>
          <w:color w:val="252525"/>
          <w:sz w:val="24"/>
          <w:szCs w:val="24"/>
          <w:bdr w:val="none" w:sz="0" w:space="0" w:color="auto" w:frame="1"/>
          <w:lang w:val="en-ZA" w:eastAsia="en-ZA"/>
        </w:rPr>
        <w:t>.</w:t>
      </w:r>
    </w:p>
    <w:p w14:paraId="3363C537" w14:textId="77777777" w:rsidR="004E52AB" w:rsidRPr="00A35EAF" w:rsidRDefault="004E52AB" w:rsidP="004E52AB">
      <w:pPr>
        <w:pStyle w:val="ListParagraph"/>
        <w:numPr>
          <w:ilvl w:val="0"/>
          <w:numId w:val="13"/>
        </w:numPr>
        <w:shd w:val="clear" w:color="auto" w:fill="F8F8F8"/>
        <w:spacing w:after="300"/>
        <w:jc w:val="both"/>
        <w:textAlignment w:val="baseline"/>
        <w:rPr>
          <w:rFonts w:asciiTheme="minorHAnsi" w:hAnsiTheme="minorHAnsi" w:cstheme="minorHAnsi"/>
          <w:color w:val="252525"/>
          <w:sz w:val="24"/>
          <w:szCs w:val="24"/>
          <w:lang w:val="en-ZA" w:eastAsia="en-ZA"/>
        </w:rPr>
      </w:pPr>
      <w:r w:rsidRPr="00A35EAF">
        <w:rPr>
          <w:rFonts w:asciiTheme="minorHAnsi" w:hAnsiTheme="minorHAnsi" w:cstheme="minorHAnsi"/>
          <w:color w:val="252525"/>
          <w:sz w:val="24"/>
          <w:szCs w:val="24"/>
          <w:lang w:val="en-ZA" w:eastAsia="en-ZA"/>
        </w:rPr>
        <w:t xml:space="preserve">Challenges: In as much as the centres do a lot in terms of a multi-disciplinary approach. the TCCS are resource heavy. This being financial resources and human capital. The TCCS require donor funding and rely on the civil society sector for their coordination. As the civil society sector is generally strapped in terms of financial resources and therefore human capital this has an impact on the effectiveness of the centres. Also due to the centres being resource heavy it has been difficult to spearhead the establishment of the centres throughout the country. Currently the TCCS are situated mostly in urban areas. </w:t>
      </w:r>
    </w:p>
    <w:p w14:paraId="755EF9E0" w14:textId="77777777" w:rsidR="00C24EB6" w:rsidRPr="004E52AB" w:rsidRDefault="00C24EB6" w:rsidP="004E52AB">
      <w:pPr>
        <w:shd w:val="clear" w:color="auto" w:fill="FFFFFF"/>
        <w:spacing w:line="259" w:lineRule="auto"/>
        <w:ind w:left="360"/>
        <w:jc w:val="both"/>
        <w:outlineLvl w:val="2"/>
        <w:rPr>
          <w:color w:val="000000"/>
          <w:sz w:val="24"/>
          <w:szCs w:val="24"/>
          <w:lang w:eastAsia="en-GB"/>
        </w:rPr>
      </w:pPr>
    </w:p>
    <w:bookmarkEnd w:id="8"/>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3"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4"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5"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16"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17"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18"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19"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814888">
      <w:pPr>
        <w:rPr>
          <w:lang w:val="en"/>
        </w:rPr>
      </w:pPr>
    </w:p>
    <w:sectPr w:rsidR="003474A5" w:rsidRPr="009F00AF" w:rsidSect="00ED053D">
      <w:footerReference w:type="default" r:id="rId20"/>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76C3" w14:textId="77777777" w:rsidR="004A6639" w:rsidRDefault="004A6639" w:rsidP="009F00AF">
      <w:r>
        <w:separator/>
      </w:r>
    </w:p>
  </w:endnote>
  <w:endnote w:type="continuationSeparator" w:id="0">
    <w:p w14:paraId="6F6D4699" w14:textId="77777777" w:rsidR="004A6639" w:rsidRDefault="004A6639"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301BB653" w:rsidR="00373EF9" w:rsidRDefault="009F00AF">
        <w:pPr>
          <w:pStyle w:val="Footer"/>
          <w:jc w:val="center"/>
        </w:pPr>
        <w:r>
          <w:fldChar w:fldCharType="begin"/>
        </w:r>
        <w:r>
          <w:instrText xml:space="preserve"> PAGE   \* MERGEFORMAT </w:instrText>
        </w:r>
        <w:r>
          <w:fldChar w:fldCharType="separate"/>
        </w:r>
        <w:r w:rsidR="00814888">
          <w:rPr>
            <w:noProof/>
          </w:rPr>
          <w:t>9</w:t>
        </w:r>
        <w:r>
          <w:rPr>
            <w:noProof/>
          </w:rPr>
          <w:fldChar w:fldCharType="end"/>
        </w:r>
      </w:p>
    </w:sdtContent>
  </w:sdt>
  <w:p w14:paraId="5A6E9ADE" w14:textId="77777777" w:rsidR="00A93F3F" w:rsidRDefault="00814888"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E709" w14:textId="77777777" w:rsidR="004A6639" w:rsidRDefault="004A6639" w:rsidP="009F00AF">
      <w:r>
        <w:separator/>
      </w:r>
    </w:p>
  </w:footnote>
  <w:footnote w:type="continuationSeparator" w:id="0">
    <w:p w14:paraId="7BA9E0BC" w14:textId="77777777" w:rsidR="004A6639" w:rsidRDefault="004A6639" w:rsidP="009F00AF">
      <w:r>
        <w:continuationSeparator/>
      </w:r>
    </w:p>
  </w:footnote>
  <w:footnote w:id="1">
    <w:p w14:paraId="4374403D" w14:textId="77777777" w:rsidR="00C24EB6" w:rsidRPr="00F45DA9" w:rsidRDefault="00C24EB6" w:rsidP="00C24EB6">
      <w:pPr>
        <w:pStyle w:val="FootnoteText"/>
        <w:rPr>
          <w:lang w:val="en-ZA"/>
        </w:rPr>
      </w:pPr>
      <w:r>
        <w:rPr>
          <w:rStyle w:val="FootnoteReference"/>
        </w:rPr>
        <w:footnoteRef/>
      </w:r>
      <w:r>
        <w:t xml:space="preserve"> </w:t>
      </w:r>
      <w:r>
        <w:rPr>
          <w:lang w:val="en-ZA"/>
        </w:rPr>
        <w:t>WHO 2014</w:t>
      </w:r>
    </w:p>
  </w:footnote>
  <w:footnote w:id="2">
    <w:p w14:paraId="5DD147BD" w14:textId="77777777" w:rsidR="00C24EB6" w:rsidRPr="00D0605F" w:rsidRDefault="00C24EB6" w:rsidP="00C24EB6">
      <w:pPr>
        <w:pStyle w:val="FootnoteText"/>
        <w:rPr>
          <w:lang w:val="en-ZA"/>
        </w:rPr>
      </w:pPr>
      <w:r>
        <w:rPr>
          <w:rStyle w:val="FootnoteReference"/>
        </w:rPr>
        <w:footnoteRef/>
      </w:r>
      <w:r>
        <w:t xml:space="preserve"> </w:t>
      </w:r>
      <w:r>
        <w:rPr>
          <w:lang w:val="en-ZA"/>
        </w:rPr>
        <w:t xml:space="preserve">Mpani and Nsibande 2015 </w:t>
      </w:r>
      <w:r w:rsidRPr="00D0605F">
        <w:rPr>
          <w:i/>
          <w:iCs/>
          <w:lang w:val="en-ZA"/>
        </w:rPr>
        <w:t>Understanding Gender Policy and Gender-Based Violence in South Africa: A literature Review</w:t>
      </w:r>
      <w:r>
        <w:rPr>
          <w:lang w:val="en-ZA"/>
        </w:rPr>
        <w:t xml:space="preserve"> for Soul City</w:t>
      </w:r>
    </w:p>
  </w:footnote>
  <w:footnote w:id="3">
    <w:p w14:paraId="40BA06DC" w14:textId="77777777" w:rsidR="00C24EB6" w:rsidRPr="0051292D" w:rsidRDefault="00C24EB6" w:rsidP="00C24EB6">
      <w:pPr>
        <w:pStyle w:val="FootnoteText"/>
        <w:rPr>
          <w:lang w:val="en-ZA"/>
        </w:rPr>
      </w:pPr>
      <w:r>
        <w:rPr>
          <w:rStyle w:val="FootnoteReference"/>
        </w:rPr>
        <w:footnoteRef/>
      </w:r>
      <w:r>
        <w:t xml:space="preserve"> </w:t>
      </w:r>
      <w:r>
        <w:rPr>
          <w:lang w:val="en-ZA"/>
        </w:rPr>
        <w:t>Supra p7</w:t>
      </w:r>
    </w:p>
  </w:footnote>
  <w:footnote w:id="4">
    <w:p w14:paraId="3BA600A9" w14:textId="77777777" w:rsidR="00C24EB6" w:rsidRPr="001B73A1" w:rsidRDefault="00C24EB6" w:rsidP="00C24EB6">
      <w:pPr>
        <w:pStyle w:val="FootnoteText"/>
        <w:rPr>
          <w:lang w:val="en-ZA"/>
        </w:rPr>
      </w:pPr>
      <w:r>
        <w:rPr>
          <w:rStyle w:val="FootnoteReference"/>
        </w:rPr>
        <w:footnoteRef/>
      </w:r>
      <w:r>
        <w:t xml:space="preserve"> </w:t>
      </w:r>
      <w:r>
        <w:rPr>
          <w:lang w:val="en-ZA"/>
        </w:rPr>
        <w:t xml:space="preserve">Watts et al (2002) </w:t>
      </w:r>
      <w:r w:rsidRPr="001B73A1">
        <w:rPr>
          <w:i/>
          <w:iCs/>
          <w:lang w:val="en-ZA"/>
        </w:rPr>
        <w:t>Violence Against Women; Global and Magnitude</w:t>
      </w:r>
    </w:p>
  </w:footnote>
  <w:footnote w:id="5">
    <w:p w14:paraId="6A742BF5" w14:textId="77777777" w:rsidR="00C24EB6" w:rsidRPr="00455317" w:rsidRDefault="00C24EB6" w:rsidP="00C24EB6">
      <w:pPr>
        <w:pStyle w:val="FootnoteText"/>
        <w:rPr>
          <w:lang w:val="en-ZA"/>
        </w:rPr>
      </w:pPr>
      <w:r>
        <w:rPr>
          <w:rStyle w:val="FootnoteReference"/>
        </w:rPr>
        <w:footnoteRef/>
      </w:r>
      <w:r>
        <w:t xml:space="preserve"> </w:t>
      </w:r>
      <w:r>
        <w:rPr>
          <w:lang w:val="en-ZA"/>
        </w:rPr>
        <w:t xml:space="preserve">Mpani and Nsibande(2015) </w:t>
      </w:r>
      <w:r w:rsidRPr="00D0605F">
        <w:rPr>
          <w:i/>
          <w:iCs/>
          <w:lang w:val="en-ZA"/>
        </w:rPr>
        <w:t>Understanding Gender Policy and Gender-Based Violence in South Africa: A literature Review</w:t>
      </w:r>
      <w:r>
        <w:rPr>
          <w:lang w:val="en-ZA"/>
        </w:rPr>
        <w:t xml:space="preserve"> for Soul City p7</w:t>
      </w:r>
    </w:p>
  </w:footnote>
  <w:footnote w:id="6">
    <w:p w14:paraId="05C74AAC" w14:textId="77777777" w:rsidR="00C24EB6" w:rsidRPr="00F95F27" w:rsidRDefault="00C24EB6" w:rsidP="00C24EB6">
      <w:pPr>
        <w:pStyle w:val="FootnoteText"/>
        <w:rPr>
          <w:lang w:val="en-ZA"/>
        </w:rPr>
      </w:pPr>
      <w:r>
        <w:rPr>
          <w:rStyle w:val="FootnoteReference"/>
        </w:rPr>
        <w:footnoteRef/>
      </w:r>
      <w:r>
        <w:t xml:space="preserve"> SAPS Report 2014</w:t>
      </w:r>
    </w:p>
  </w:footnote>
  <w:footnote w:id="7">
    <w:p w14:paraId="498854D7" w14:textId="77777777" w:rsidR="00C24EB6" w:rsidRPr="00B357FF" w:rsidRDefault="00C24EB6" w:rsidP="00C24EB6">
      <w:pPr>
        <w:pStyle w:val="FootnoteText"/>
        <w:rPr>
          <w:lang w:val="en-ZA"/>
        </w:rPr>
      </w:pPr>
      <w:r>
        <w:rPr>
          <w:rStyle w:val="FootnoteReference"/>
        </w:rPr>
        <w:footnoteRef/>
      </w:r>
      <w:r>
        <w:t xml:space="preserve"> </w:t>
      </w:r>
      <w:r>
        <w:rPr>
          <w:lang w:val="en-ZA"/>
        </w:rPr>
        <w:t>Glasier A et al (2006) Sexual Reproductive Health: a Matter of Life and Death</w:t>
      </w:r>
    </w:p>
  </w:footnote>
  <w:footnote w:id="8">
    <w:p w14:paraId="3AA87901" w14:textId="77777777" w:rsidR="00C24EB6" w:rsidRPr="001A44A8" w:rsidRDefault="00C24EB6" w:rsidP="00C24EB6">
      <w:pPr>
        <w:pStyle w:val="FootnoteText"/>
        <w:rPr>
          <w:lang w:val="en-ZA"/>
        </w:rPr>
      </w:pPr>
      <w:r>
        <w:rPr>
          <w:rStyle w:val="FootnoteReference"/>
        </w:rPr>
        <w:footnoteRef/>
      </w:r>
      <w:r>
        <w:rPr>
          <w:rStyle w:val="FootnoteReference"/>
        </w:rPr>
        <w:footnoteRef/>
      </w:r>
      <w:r>
        <w:t xml:space="preserve"> </w:t>
      </w:r>
      <w:r>
        <w:rPr>
          <w:lang w:val="en-ZA"/>
        </w:rPr>
        <w:t>AUC-WGDD et al 2020 Gender Based Violence in Africa During the Covid-19 Pandemic</w:t>
      </w:r>
    </w:p>
  </w:footnote>
  <w:footnote w:id="9">
    <w:p w14:paraId="6C370130" w14:textId="77777777" w:rsidR="00C24EB6" w:rsidRPr="00D44383" w:rsidRDefault="00C24EB6" w:rsidP="00C24EB6">
      <w:pPr>
        <w:pStyle w:val="FootnoteText"/>
        <w:rPr>
          <w:lang w:val="en-ZA"/>
        </w:rPr>
      </w:pPr>
      <w:r>
        <w:rPr>
          <w:rStyle w:val="FootnoteReference"/>
        </w:rPr>
        <w:footnoteRef/>
      </w:r>
      <w:r>
        <w:t xml:space="preserve"> </w:t>
      </w:r>
      <w:r>
        <w:rPr>
          <w:lang w:val="en-ZA"/>
        </w:rPr>
        <w:t>Ibid</w:t>
      </w:r>
    </w:p>
  </w:footnote>
  <w:footnote w:id="10">
    <w:p w14:paraId="2DFE8C1A" w14:textId="77777777" w:rsidR="004E52AB" w:rsidRPr="00DD6B24" w:rsidRDefault="004E52AB" w:rsidP="004E52AB">
      <w:pPr>
        <w:pStyle w:val="FootnoteText"/>
        <w:rPr>
          <w:lang w:val="en-ZA"/>
        </w:rPr>
      </w:pPr>
      <w:r>
        <w:rPr>
          <w:rStyle w:val="FootnoteReference"/>
        </w:rPr>
        <w:footnoteRef/>
      </w:r>
      <w:r>
        <w:t xml:space="preserve"> </w:t>
      </w:r>
      <w:r>
        <w:rPr>
          <w:lang w:val="en-ZA"/>
        </w:rPr>
        <w:t>Domestic Violence Act 116 of 1998</w:t>
      </w:r>
    </w:p>
  </w:footnote>
  <w:footnote w:id="11">
    <w:p w14:paraId="1951869B" w14:textId="77777777" w:rsidR="004E52AB" w:rsidRPr="00DD6B24" w:rsidRDefault="004E52AB" w:rsidP="004E52AB">
      <w:pPr>
        <w:pStyle w:val="FootnoteText"/>
        <w:rPr>
          <w:lang w:val="en-ZA"/>
        </w:rPr>
      </w:pPr>
      <w:r>
        <w:rPr>
          <w:rStyle w:val="FootnoteReference"/>
        </w:rPr>
        <w:footnoteRef/>
      </w:r>
      <w:r>
        <w:t xml:space="preserve"> </w:t>
      </w:r>
      <w:r>
        <w:rPr>
          <w:lang w:val="en-ZA"/>
        </w:rPr>
        <w:t>ibid</w:t>
      </w:r>
    </w:p>
  </w:footnote>
  <w:footnote w:id="12">
    <w:p w14:paraId="67A5B4E2" w14:textId="77777777" w:rsidR="004E52AB" w:rsidRPr="00DD6B24" w:rsidRDefault="004E52AB" w:rsidP="004E52AB">
      <w:pPr>
        <w:pStyle w:val="FootnoteText"/>
        <w:rPr>
          <w:lang w:val="en-ZA"/>
        </w:rPr>
      </w:pPr>
      <w:r>
        <w:rPr>
          <w:rStyle w:val="FootnoteReference"/>
        </w:rPr>
        <w:footnoteRef/>
      </w:r>
      <w:r>
        <w:t xml:space="preserve"> </w:t>
      </w:r>
      <w:r>
        <w:rPr>
          <w:lang w:val="en-ZA"/>
        </w:rPr>
        <w:t>ibid</w:t>
      </w:r>
    </w:p>
  </w:footnote>
  <w:footnote w:id="13">
    <w:p w14:paraId="5B19345E" w14:textId="77777777" w:rsidR="004E52AB" w:rsidRPr="00DD6B24" w:rsidRDefault="004E52AB" w:rsidP="004E52AB">
      <w:pPr>
        <w:pStyle w:val="FootnoteText"/>
        <w:rPr>
          <w:lang w:val="en-ZA"/>
        </w:rPr>
      </w:pPr>
      <w:r>
        <w:rPr>
          <w:rStyle w:val="FootnoteReference"/>
        </w:rPr>
        <w:footnoteRef/>
      </w:r>
      <w:r>
        <w:t xml:space="preserve"> </w:t>
      </w:r>
      <w:r>
        <w:rPr>
          <w:lang w:val="en-ZA"/>
        </w:rPr>
        <w:t xml:space="preserve">Mpani and Nsibande(2015) </w:t>
      </w:r>
      <w:r w:rsidRPr="00D0605F">
        <w:rPr>
          <w:i/>
          <w:iCs/>
          <w:lang w:val="en-ZA"/>
        </w:rPr>
        <w:t>Understanding Gender Policy and Gender-Based Violence in South Africa: A literature Review</w:t>
      </w:r>
      <w:r>
        <w:rPr>
          <w:lang w:val="en-ZA"/>
        </w:rPr>
        <w:t xml:space="preserve"> for Soul City </w:t>
      </w:r>
    </w:p>
  </w:footnote>
  <w:footnote w:id="14">
    <w:p w14:paraId="70FAD40F" w14:textId="77777777" w:rsidR="004E52AB" w:rsidRPr="00166158" w:rsidRDefault="004E52AB" w:rsidP="004E52AB">
      <w:pPr>
        <w:pStyle w:val="FootnoteText"/>
        <w:rPr>
          <w:lang w:val="en-ZA"/>
        </w:rPr>
      </w:pPr>
      <w:r>
        <w:rPr>
          <w:rStyle w:val="FootnoteReference"/>
        </w:rPr>
        <w:footnoteRef/>
      </w:r>
      <w:r>
        <w:t xml:space="preserve"> </w:t>
      </w:r>
      <w:r>
        <w:rPr>
          <w:lang w:val="en-ZA"/>
        </w:rPr>
        <w:t>Criminal Law Sexual Offences and Related Matters Act No 32 of 2007</w:t>
      </w:r>
    </w:p>
  </w:footnote>
  <w:footnote w:id="15">
    <w:p w14:paraId="61A64273" w14:textId="77777777" w:rsidR="004E52AB" w:rsidRPr="00C0023C" w:rsidRDefault="004E52AB" w:rsidP="004E52AB">
      <w:pPr>
        <w:pStyle w:val="FootnoteText"/>
        <w:rPr>
          <w:lang w:val="en-ZA"/>
        </w:rPr>
      </w:pPr>
      <w:r>
        <w:rPr>
          <w:rStyle w:val="FootnoteReference"/>
        </w:rPr>
        <w:footnoteRef/>
      </w:r>
      <w:r>
        <w:t xml:space="preserve"> </w:t>
      </w:r>
      <w:r>
        <w:rPr>
          <w:lang w:val="en-ZA"/>
        </w:rPr>
        <w:t>Supra</w:t>
      </w:r>
    </w:p>
  </w:footnote>
  <w:footnote w:id="16">
    <w:p w14:paraId="4250317C" w14:textId="77777777" w:rsidR="004E52AB" w:rsidRPr="006F4DB3" w:rsidRDefault="004E52AB" w:rsidP="004E52AB">
      <w:pPr>
        <w:pStyle w:val="FootnoteText"/>
        <w:rPr>
          <w:lang w:val="en-ZA"/>
        </w:rPr>
      </w:pPr>
      <w:r>
        <w:rPr>
          <w:rStyle w:val="FootnoteReference"/>
        </w:rPr>
        <w:footnoteRef/>
      </w:r>
      <w:r>
        <w:t xml:space="preserve"> </w:t>
      </w:r>
      <w:r>
        <w:rPr>
          <w:lang w:val="en-ZA"/>
        </w:rPr>
        <w:t xml:space="preserve">Mpani and Nsibande(2015) </w:t>
      </w:r>
      <w:r w:rsidRPr="00D0605F">
        <w:rPr>
          <w:i/>
          <w:iCs/>
          <w:lang w:val="en-ZA"/>
        </w:rPr>
        <w:t>Understanding Gender Policy and Gender-Based Violence in South Africa: A literature Review</w:t>
      </w:r>
      <w:r>
        <w:rPr>
          <w:lang w:val="en-ZA"/>
        </w:rPr>
        <w:t xml:space="preserve"> for Soul City </w:t>
      </w:r>
    </w:p>
  </w:footnote>
  <w:footnote w:id="17">
    <w:p w14:paraId="15918C5A" w14:textId="77777777" w:rsidR="004E52AB" w:rsidRDefault="004E52AB" w:rsidP="004E52AB">
      <w:pPr>
        <w:pStyle w:val="FootnoteText"/>
      </w:pPr>
      <w:r>
        <w:rPr>
          <w:rStyle w:val="FootnoteReference"/>
        </w:rPr>
        <w:footnoteRef/>
      </w:r>
      <w:r>
        <w:t xml:space="preserve"> npa.gov.za/resources/public_awareness/TCC_brochure_August_2009</w:t>
      </w:r>
      <w:r w:rsidRPr="00A35EAF">
        <w:t xml:space="preserve"> </w:t>
      </w:r>
      <w:hyperlink r:id="rId1" w:history="1">
        <w:r>
          <w:rPr>
            <w:rStyle w:val="Hyperlink"/>
          </w:rPr>
          <w:t>THUTHUZELA CARE CENTRES (npa.gov.za)</w:t>
        </w:r>
      </w:hyperlink>
    </w:p>
    <w:p w14:paraId="0BC2031C" w14:textId="77777777" w:rsidR="004E52AB" w:rsidRPr="00C0023C" w:rsidRDefault="004E52AB" w:rsidP="004E52AB">
      <w:pPr>
        <w:pStyle w:val="FootnoteText"/>
        <w:rPr>
          <w:lang w:val="en-ZA"/>
        </w:rPr>
      </w:pPr>
    </w:p>
  </w:footnote>
  <w:footnote w:id="18">
    <w:p w14:paraId="2CFDF54E" w14:textId="77777777" w:rsidR="004E52AB" w:rsidRPr="00A35EAF" w:rsidRDefault="004E52AB" w:rsidP="004E52AB">
      <w:pPr>
        <w:pStyle w:val="FootnoteText"/>
        <w:rPr>
          <w:lang w:val="en-ZA"/>
        </w:rPr>
      </w:pPr>
      <w:r>
        <w:rPr>
          <w:rStyle w:val="FootnoteReference"/>
        </w:rPr>
        <w:footnoteRef/>
      </w:r>
      <w:r>
        <w:t xml:space="preserve"> </w:t>
      </w:r>
      <w:r>
        <w:rPr>
          <w:lang w:val="en-ZA"/>
        </w:rPr>
        <w:t>Supra</w:t>
      </w:r>
    </w:p>
  </w:footnote>
  <w:footnote w:id="19">
    <w:p w14:paraId="25B88AA7" w14:textId="77777777" w:rsidR="004E52AB" w:rsidRPr="00A35EAF" w:rsidRDefault="004E52AB" w:rsidP="004E52AB">
      <w:pPr>
        <w:pStyle w:val="FootnoteText"/>
        <w:rPr>
          <w:lang w:val="en-ZA"/>
        </w:rPr>
      </w:pPr>
      <w:r>
        <w:rPr>
          <w:rStyle w:val="FootnoteReference"/>
        </w:rPr>
        <w:footnoteRef/>
      </w:r>
      <w:r>
        <w:t xml:space="preserve"> </w:t>
      </w:r>
      <w:r>
        <w:rPr>
          <w:lang w:val="en-ZA"/>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814888"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98C"/>
    <w:multiLevelType w:val="hybridMultilevel"/>
    <w:tmpl w:val="814A640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41F5359"/>
    <w:multiLevelType w:val="hybridMultilevel"/>
    <w:tmpl w:val="93466F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7443773"/>
    <w:multiLevelType w:val="hybridMultilevel"/>
    <w:tmpl w:val="EF3091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A6F4950"/>
    <w:multiLevelType w:val="multilevel"/>
    <w:tmpl w:val="7AACB5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E676C"/>
    <w:multiLevelType w:val="multilevel"/>
    <w:tmpl w:val="7AACB5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3D3731"/>
    <w:multiLevelType w:val="hybridMultilevel"/>
    <w:tmpl w:val="2B825D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9042E9D"/>
    <w:multiLevelType w:val="hybridMultilevel"/>
    <w:tmpl w:val="A4329C2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3835BE3"/>
    <w:multiLevelType w:val="hybridMultilevel"/>
    <w:tmpl w:val="D92CF4F4"/>
    <w:lvl w:ilvl="0" w:tplc="1C090001">
      <w:start w:val="1"/>
      <w:numFmt w:val="bullet"/>
      <w:lvlText w:val=""/>
      <w:lvlJc w:val="left"/>
      <w:pPr>
        <w:ind w:left="2159" w:hanging="360"/>
      </w:pPr>
      <w:rPr>
        <w:rFonts w:ascii="Symbol" w:hAnsi="Symbol" w:hint="default"/>
      </w:rPr>
    </w:lvl>
    <w:lvl w:ilvl="1" w:tplc="1C090003" w:tentative="1">
      <w:start w:val="1"/>
      <w:numFmt w:val="bullet"/>
      <w:lvlText w:val="o"/>
      <w:lvlJc w:val="left"/>
      <w:pPr>
        <w:ind w:left="2879" w:hanging="360"/>
      </w:pPr>
      <w:rPr>
        <w:rFonts w:ascii="Courier New" w:hAnsi="Courier New" w:cs="Courier New" w:hint="default"/>
      </w:rPr>
    </w:lvl>
    <w:lvl w:ilvl="2" w:tplc="1C090005" w:tentative="1">
      <w:start w:val="1"/>
      <w:numFmt w:val="bullet"/>
      <w:lvlText w:val=""/>
      <w:lvlJc w:val="left"/>
      <w:pPr>
        <w:ind w:left="3599" w:hanging="360"/>
      </w:pPr>
      <w:rPr>
        <w:rFonts w:ascii="Wingdings" w:hAnsi="Wingdings" w:hint="default"/>
      </w:rPr>
    </w:lvl>
    <w:lvl w:ilvl="3" w:tplc="1C090001" w:tentative="1">
      <w:start w:val="1"/>
      <w:numFmt w:val="bullet"/>
      <w:lvlText w:val=""/>
      <w:lvlJc w:val="left"/>
      <w:pPr>
        <w:ind w:left="4319" w:hanging="360"/>
      </w:pPr>
      <w:rPr>
        <w:rFonts w:ascii="Symbol" w:hAnsi="Symbol" w:hint="default"/>
      </w:rPr>
    </w:lvl>
    <w:lvl w:ilvl="4" w:tplc="1C090003" w:tentative="1">
      <w:start w:val="1"/>
      <w:numFmt w:val="bullet"/>
      <w:lvlText w:val="o"/>
      <w:lvlJc w:val="left"/>
      <w:pPr>
        <w:ind w:left="5039" w:hanging="360"/>
      </w:pPr>
      <w:rPr>
        <w:rFonts w:ascii="Courier New" w:hAnsi="Courier New" w:cs="Courier New" w:hint="default"/>
      </w:rPr>
    </w:lvl>
    <w:lvl w:ilvl="5" w:tplc="1C090005" w:tentative="1">
      <w:start w:val="1"/>
      <w:numFmt w:val="bullet"/>
      <w:lvlText w:val=""/>
      <w:lvlJc w:val="left"/>
      <w:pPr>
        <w:ind w:left="5759" w:hanging="360"/>
      </w:pPr>
      <w:rPr>
        <w:rFonts w:ascii="Wingdings" w:hAnsi="Wingdings" w:hint="default"/>
      </w:rPr>
    </w:lvl>
    <w:lvl w:ilvl="6" w:tplc="1C090001" w:tentative="1">
      <w:start w:val="1"/>
      <w:numFmt w:val="bullet"/>
      <w:lvlText w:val=""/>
      <w:lvlJc w:val="left"/>
      <w:pPr>
        <w:ind w:left="6479" w:hanging="360"/>
      </w:pPr>
      <w:rPr>
        <w:rFonts w:ascii="Symbol" w:hAnsi="Symbol" w:hint="default"/>
      </w:rPr>
    </w:lvl>
    <w:lvl w:ilvl="7" w:tplc="1C090003" w:tentative="1">
      <w:start w:val="1"/>
      <w:numFmt w:val="bullet"/>
      <w:lvlText w:val="o"/>
      <w:lvlJc w:val="left"/>
      <w:pPr>
        <w:ind w:left="7199" w:hanging="360"/>
      </w:pPr>
      <w:rPr>
        <w:rFonts w:ascii="Courier New" w:hAnsi="Courier New" w:cs="Courier New" w:hint="default"/>
      </w:rPr>
    </w:lvl>
    <w:lvl w:ilvl="8" w:tplc="1C090005" w:tentative="1">
      <w:start w:val="1"/>
      <w:numFmt w:val="bullet"/>
      <w:lvlText w:val=""/>
      <w:lvlJc w:val="left"/>
      <w:pPr>
        <w:ind w:left="7919" w:hanging="360"/>
      </w:pPr>
      <w:rPr>
        <w:rFonts w:ascii="Wingdings" w:hAnsi="Wingdings" w:hint="default"/>
      </w:rPr>
    </w:lvl>
  </w:abstractNum>
  <w:abstractNum w:abstractNumId="8" w15:restartNumberingAfterBreak="0">
    <w:nsid w:val="587375AA"/>
    <w:multiLevelType w:val="hybridMultilevel"/>
    <w:tmpl w:val="A88EBEB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59B53544"/>
    <w:multiLevelType w:val="multilevel"/>
    <w:tmpl w:val="7AACB5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76561CA1"/>
    <w:multiLevelType w:val="hybridMultilevel"/>
    <w:tmpl w:val="9AC86682"/>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num w:numId="1">
    <w:abstractNumId w:val="10"/>
  </w:num>
  <w:num w:numId="2">
    <w:abstractNumId w:val="3"/>
  </w:num>
  <w:num w:numId="3">
    <w:abstractNumId w:val="11"/>
  </w:num>
  <w:num w:numId="4">
    <w:abstractNumId w:val="8"/>
  </w:num>
  <w:num w:numId="5">
    <w:abstractNumId w:val="12"/>
  </w:num>
  <w:num w:numId="6">
    <w:abstractNumId w:val="5"/>
  </w:num>
  <w:num w:numId="7">
    <w:abstractNumId w:val="7"/>
  </w:num>
  <w:num w:numId="8">
    <w:abstractNumId w:val="4"/>
  </w:num>
  <w:num w:numId="9">
    <w:abstractNumId w:val="9"/>
  </w:num>
  <w:num w:numId="10">
    <w:abstractNumId w:val="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37566"/>
    <w:rsid w:val="00342733"/>
    <w:rsid w:val="003830AB"/>
    <w:rsid w:val="004A6639"/>
    <w:rsid w:val="004E52AB"/>
    <w:rsid w:val="005F7412"/>
    <w:rsid w:val="00814888"/>
    <w:rsid w:val="00826310"/>
    <w:rsid w:val="009F00AF"/>
    <w:rsid w:val="00AB5B6F"/>
    <w:rsid w:val="00AE6422"/>
    <w:rsid w:val="00AF2EF6"/>
    <w:rsid w:val="00BB351D"/>
    <w:rsid w:val="00C24EB6"/>
    <w:rsid w:val="00C86EEC"/>
    <w:rsid w:val="00D108AE"/>
    <w:rsid w:val="00D7193C"/>
    <w:rsid w:val="00DA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AF2EF6"/>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24EB6"/>
  </w:style>
  <w:style w:type="character" w:customStyle="1" w:styleId="FootnoteTextChar">
    <w:name w:val="Footnote Text Char"/>
    <w:basedOn w:val="DefaultParagraphFont"/>
    <w:link w:val="FootnoteText"/>
    <w:uiPriority w:val="99"/>
    <w:semiHidden/>
    <w:rsid w:val="00C24E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4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binternet.ohchr.org/_layouts/15/treatybodyexternal/Download.aspx?symbolno=INT/CEDAW/GEC/3731&amp;Lang=en" TargetMode="External"/><Relationship Id="rId18" Type="http://schemas.openxmlformats.org/officeDocument/2006/relationships/hyperlink" Target="https://www.ohchr.org/Documents/Issues/Discrimination/LGBT/BackgroundNoteHumanRightsViolationsagainstIntersexPeopl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ocs.org/A/HRC/47/28" TargetMode="External"/><Relationship Id="rId17" Type="http://schemas.openxmlformats.org/officeDocument/2006/relationships/hyperlink" Target="https://www.ohchr.org/Documents/Publications/Born_Free_and_Equal_WEB.pdf" TargetMode="External"/><Relationship Id="rId2" Type="http://schemas.openxmlformats.org/officeDocument/2006/relationships/customXml" Target="../customXml/item2.xml"/><Relationship Id="rId16" Type="http://schemas.openxmlformats.org/officeDocument/2006/relationships/hyperlink" Target="https://ap.ohchr.org/documents/dpage_e.aspx?si=A/HRC/38/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health@un.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binternet.ohchr.org/_layouts/15/treatybodyexternal/Download.aspx?symbolno=CRC%2fC%2fGC%2f13&amp;Lang=en" TargetMode="External"/><Relationship Id="rId23" Type="http://schemas.openxmlformats.org/officeDocument/2006/relationships/fontTable" Target="fontTable.xml"/><Relationship Id="rId10" Type="http://schemas.openxmlformats.org/officeDocument/2006/relationships/hyperlink" Target="https://www.ohchr.org/EN/Issues/health/pages/srrighthealthindex.aspx" TargetMode="External"/><Relationship Id="rId19" Type="http://schemas.openxmlformats.org/officeDocument/2006/relationships/hyperlink" Target="https://undocs.org/en/S/2019/2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pa.gov.za/sites/default/files/resources/public_awareness/TCC_brochure_august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2B5AEFC-1182-4685-B642-278021EC18EA}"/>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379E449B-CB6F-400B-BA6E-CF449830B8B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3452</Words>
  <Characters>19679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2</cp:revision>
  <cp:lastPrinted>2022-01-17T11:06:00Z</cp:lastPrinted>
  <dcterms:created xsi:type="dcterms:W3CDTF">2022-02-01T12:10:00Z</dcterms:created>
  <dcterms:modified xsi:type="dcterms:W3CDTF">2022-02-01T12:10:00Z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