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BE02E5">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BE02E5">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BE02E5">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5479C4">
              <w:rPr>
                <w:sz w:val="24"/>
                <w:szCs w:val="24"/>
              </w:rPr>
            </w:r>
            <w:r w:rsidR="005479C4">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254345BD" w:rsidR="009F00AF" w:rsidRPr="006512F6" w:rsidRDefault="009F00AF" w:rsidP="00BE02E5">
            <w:pPr>
              <w:ind w:left="394" w:hanging="394"/>
              <w:rPr>
                <w:sz w:val="24"/>
                <w:szCs w:val="24"/>
              </w:rPr>
            </w:pPr>
            <w:r w:rsidRPr="006512F6">
              <w:rPr>
                <w:sz w:val="24"/>
                <w:szCs w:val="24"/>
              </w:rPr>
              <w:fldChar w:fldCharType="begin">
                <w:ffData>
                  <w:name w:val=""/>
                  <w:enabled/>
                  <w:calcOnExit w:val="0"/>
                  <w:checkBox>
                    <w:sizeAuto/>
                    <w:default w:val="0"/>
                  </w:checkBox>
                </w:ffData>
              </w:fldChar>
            </w:r>
            <w:r w:rsidRPr="006512F6">
              <w:rPr>
                <w:sz w:val="24"/>
                <w:szCs w:val="24"/>
              </w:rPr>
              <w:instrText xml:space="preserve"> FORMCHECKBOX </w:instrText>
            </w:r>
            <w:r w:rsidR="005479C4">
              <w:rPr>
                <w:sz w:val="24"/>
                <w:szCs w:val="24"/>
              </w:rPr>
            </w:r>
            <w:r w:rsidR="005479C4">
              <w:rPr>
                <w:sz w:val="24"/>
                <w:szCs w:val="24"/>
              </w:rPr>
              <w:fldChar w:fldCharType="separate"/>
            </w:r>
            <w:r w:rsidRPr="006512F6">
              <w:rPr>
                <w:sz w:val="24"/>
                <w:szCs w:val="24"/>
              </w:rPr>
              <w:fldChar w:fldCharType="end"/>
            </w:r>
            <w:r w:rsidRPr="006512F6">
              <w:rPr>
                <w:sz w:val="24"/>
                <w:szCs w:val="24"/>
              </w:rPr>
              <w:t xml:space="preserve">  Observer State</w:t>
            </w:r>
          </w:p>
          <w:p w14:paraId="0781E329" w14:textId="25828743" w:rsidR="009F00AF" w:rsidRPr="006512F6" w:rsidRDefault="00735CD8" w:rsidP="00BE02E5">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5479C4">
              <w:rPr>
                <w:sz w:val="24"/>
                <w:szCs w:val="24"/>
              </w:rPr>
            </w:r>
            <w:r w:rsidR="005479C4">
              <w:rPr>
                <w:sz w:val="24"/>
                <w:szCs w:val="24"/>
              </w:rPr>
              <w:fldChar w:fldCharType="separate"/>
            </w:r>
            <w:r>
              <w:rPr>
                <w:sz w:val="24"/>
                <w:szCs w:val="24"/>
              </w:rPr>
              <w:fldChar w:fldCharType="end"/>
            </w:r>
            <w:r w:rsidR="009F00AF" w:rsidRPr="006512F6">
              <w:rPr>
                <w:sz w:val="24"/>
                <w:szCs w:val="24"/>
              </w:rPr>
              <w:t xml:space="preserve">  Other (please specify)</w:t>
            </w:r>
            <w:r w:rsidR="00227E63">
              <w:rPr>
                <w:sz w:val="24"/>
                <w:szCs w:val="24"/>
              </w:rPr>
              <w:t xml:space="preserve"> NGO</w:t>
            </w:r>
          </w:p>
        </w:tc>
      </w:tr>
      <w:tr w:rsidR="009F00AF" w:rsidRPr="005479C4" w14:paraId="17F5FE06" w14:textId="77777777" w:rsidTr="00BE02E5">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BE02E5">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BE02E5">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C20B7" w14:textId="77777777" w:rsidR="009F00AF" w:rsidRPr="00CF3C95" w:rsidRDefault="00227E63" w:rsidP="00BE02E5">
            <w:pPr>
              <w:rPr>
                <w:sz w:val="24"/>
                <w:szCs w:val="24"/>
                <w:lang w:val="fr-FR"/>
              </w:rPr>
            </w:pPr>
            <w:r w:rsidRPr="00CF3C95">
              <w:rPr>
                <w:sz w:val="24"/>
                <w:szCs w:val="24"/>
                <w:lang w:val="fr-FR"/>
              </w:rPr>
              <w:t>Region: Europe</w:t>
            </w:r>
          </w:p>
          <w:p w14:paraId="2A65A19E" w14:textId="5A622671" w:rsidR="00227E63" w:rsidRPr="00227E63" w:rsidRDefault="00227E63" w:rsidP="00BE02E5">
            <w:pPr>
              <w:rPr>
                <w:sz w:val="24"/>
                <w:szCs w:val="24"/>
                <w:lang w:val="fr-FR"/>
              </w:rPr>
            </w:pPr>
            <w:r w:rsidRPr="00227E63">
              <w:rPr>
                <w:sz w:val="24"/>
                <w:szCs w:val="24"/>
                <w:lang w:val="fr-FR"/>
              </w:rPr>
              <w:t>Organisation Intersex International Europe (OII Europe)</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Pr="00D90F79" w:rsidRDefault="009F00AF" w:rsidP="009F00AF">
      <w:pPr>
        <w:pStyle w:val="ListParagraph"/>
        <w:numPr>
          <w:ilvl w:val="0"/>
          <w:numId w:val="1"/>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 xml:space="preserve">Please describe, share </w:t>
      </w:r>
      <w:r w:rsidRPr="00D90F79">
        <w:rPr>
          <w:color w:val="1F4E79" w:themeColor="accent1" w:themeShade="80"/>
          <w:sz w:val="24"/>
          <w:szCs w:val="24"/>
          <w:u w:val="single"/>
          <w:lang w:eastAsia="en-GB"/>
        </w:rPr>
        <w:t>data and information on the characteristics, number of cases, and the profile of victims and perpetrators</w:t>
      </w:r>
      <w:r w:rsidRPr="00D90F79">
        <w:rPr>
          <w:color w:val="1F4E79" w:themeColor="accent1" w:themeShade="80"/>
          <w:sz w:val="24"/>
          <w:szCs w:val="24"/>
          <w:lang w:eastAsia="en-GB"/>
        </w:rPr>
        <w:t xml:space="preserve"> in your country/ies or region(s) regarding:</w:t>
      </w:r>
    </w:p>
    <w:p w14:paraId="6BBA6985" w14:textId="77777777" w:rsidR="009F00AF" w:rsidRPr="00D90F79" w:rsidRDefault="009F00AF" w:rsidP="009F00AF">
      <w:pPr>
        <w:pStyle w:val="ListParagraph"/>
        <w:shd w:val="clear" w:color="auto" w:fill="FFFFFF"/>
        <w:spacing w:line="259" w:lineRule="auto"/>
        <w:ind w:left="360"/>
        <w:outlineLvl w:val="2"/>
        <w:rPr>
          <w:color w:val="1F4E79" w:themeColor="accent1" w:themeShade="80"/>
          <w:sz w:val="24"/>
          <w:szCs w:val="24"/>
          <w:lang w:eastAsia="en-GB"/>
        </w:rPr>
      </w:pPr>
    </w:p>
    <w:p w14:paraId="696EFD90"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 xml:space="preserve">gender based violence against women </w:t>
      </w:r>
    </w:p>
    <w:p w14:paraId="62026D07"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gender based violence and other forms of violence against children:</w:t>
      </w:r>
    </w:p>
    <w:p w14:paraId="121D9F14"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u w:val="single"/>
          <w:lang w:eastAsia="en-GB"/>
        </w:rPr>
        <w:t>gender based violence against LGBTI or other persons based on real or imputed sexual orientation, sex characteristics, and gender identity</w:t>
      </w:r>
      <w:r w:rsidRPr="00D90F79">
        <w:rPr>
          <w:color w:val="1F4E79" w:themeColor="accent1" w:themeShade="80"/>
          <w:sz w:val="24"/>
          <w:szCs w:val="24"/>
          <w:lang w:eastAsia="en-GB"/>
        </w:rPr>
        <w:t xml:space="preserve">: </w:t>
      </w:r>
    </w:p>
    <w:p w14:paraId="156C8D92"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violence against persons with disabilities, including GBV.</w:t>
      </w:r>
    </w:p>
    <w:p w14:paraId="007FE293"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gender based violence against men</w:t>
      </w:r>
    </w:p>
    <w:p w14:paraId="4523CE49" w14:textId="77777777" w:rsidR="009F00AF" w:rsidRPr="00D90F79" w:rsidRDefault="009F00AF" w:rsidP="009F00AF">
      <w:pPr>
        <w:pStyle w:val="ListParagraph"/>
        <w:numPr>
          <w:ilvl w:val="1"/>
          <w:numId w:val="2"/>
        </w:numPr>
        <w:shd w:val="clear" w:color="auto" w:fill="FFFFFF"/>
        <w:spacing w:line="259" w:lineRule="auto"/>
        <w:outlineLvl w:val="2"/>
        <w:rPr>
          <w:color w:val="1F4E79" w:themeColor="accent1" w:themeShade="80"/>
          <w:sz w:val="24"/>
          <w:szCs w:val="24"/>
          <w:lang w:eastAsia="en-GB"/>
        </w:rPr>
      </w:pPr>
      <w:r w:rsidRPr="00D90F79">
        <w:rPr>
          <w:color w:val="1F4E79" w:themeColor="accent1" w:themeShade="80"/>
          <w:sz w:val="24"/>
          <w:szCs w:val="24"/>
          <w:lang w:eastAsia="en-GB"/>
        </w:rPr>
        <w:t>conflict gender based violence, including sexual violence</w:t>
      </w:r>
    </w:p>
    <w:p w14:paraId="09AD98CC" w14:textId="77777777" w:rsidR="009F00AF" w:rsidRPr="00FD6BE7" w:rsidRDefault="009F00AF" w:rsidP="009F00AF">
      <w:pPr>
        <w:pStyle w:val="ListParagraph"/>
        <w:numPr>
          <w:ilvl w:val="1"/>
          <w:numId w:val="2"/>
        </w:numPr>
        <w:shd w:val="clear" w:color="auto" w:fill="FFFFFF"/>
        <w:spacing w:line="259" w:lineRule="auto"/>
        <w:outlineLvl w:val="2"/>
        <w:rPr>
          <w:color w:val="1F4E79" w:themeColor="accent1" w:themeShade="80"/>
          <w:sz w:val="24"/>
          <w:szCs w:val="24"/>
          <w:u w:val="single"/>
          <w:lang w:eastAsia="en-GB"/>
        </w:rPr>
      </w:pPr>
      <w:r w:rsidRPr="00FD6BE7">
        <w:rPr>
          <w:color w:val="1F4E79" w:themeColor="accent1" w:themeShade="80"/>
          <w:sz w:val="24"/>
          <w:szCs w:val="24"/>
          <w:u w:val="single"/>
          <w:lang w:eastAsia="en-GB"/>
        </w:rPr>
        <w:t>Please share analysis and available evidence on the impact of COVID on the above</w:t>
      </w:r>
    </w:p>
    <w:p w14:paraId="63CB739E" w14:textId="75545821" w:rsidR="009F00AF" w:rsidRDefault="000914BF" w:rsidP="000914BF">
      <w:pPr>
        <w:shd w:val="clear" w:color="auto" w:fill="FFFFFF"/>
        <w:spacing w:line="259" w:lineRule="auto"/>
        <w:ind w:left="360"/>
        <w:outlineLvl w:val="2"/>
        <w:rPr>
          <w:color w:val="000000"/>
          <w:sz w:val="24"/>
          <w:szCs w:val="24"/>
          <w:lang w:eastAsia="en-GB"/>
        </w:rPr>
      </w:pPr>
      <w:r w:rsidRPr="000914BF">
        <w:rPr>
          <w:color w:val="000000"/>
          <w:sz w:val="24"/>
          <w:szCs w:val="24"/>
          <w:lang w:eastAsia="en-GB"/>
        </w:rPr>
        <w:t>Intersex people are born with sex characteristics (sexual anatomy, reproductive organs, hormonal structure and/or levels and/or chromosomal patterns) that do not fit the typical definition of male or female</w:t>
      </w:r>
      <w:r>
        <w:rPr>
          <w:rStyle w:val="FootnoteReference"/>
          <w:color w:val="000000"/>
          <w:sz w:val="24"/>
          <w:szCs w:val="24"/>
          <w:lang w:eastAsia="en-GB"/>
        </w:rPr>
        <w:footnoteReference w:id="1"/>
      </w:r>
      <w:r>
        <w:rPr>
          <w:color w:val="000000"/>
          <w:sz w:val="24"/>
          <w:szCs w:val="24"/>
          <w:lang w:eastAsia="en-GB"/>
        </w:rPr>
        <w:t>.</w:t>
      </w:r>
      <w:r w:rsidR="0059005C">
        <w:rPr>
          <w:color w:val="000000"/>
          <w:sz w:val="24"/>
          <w:szCs w:val="24"/>
          <w:lang w:eastAsia="en-GB"/>
        </w:rPr>
        <w:t xml:space="preserve"> </w:t>
      </w:r>
    </w:p>
    <w:p w14:paraId="6F80B7EE" w14:textId="381D272A" w:rsidR="001B0EA5" w:rsidRDefault="001B0EA5" w:rsidP="0059005C">
      <w:pPr>
        <w:shd w:val="clear" w:color="auto" w:fill="FFFFFF"/>
        <w:spacing w:line="259" w:lineRule="auto"/>
        <w:ind w:left="360"/>
        <w:outlineLvl w:val="2"/>
        <w:rPr>
          <w:color w:val="000000"/>
          <w:sz w:val="24"/>
          <w:szCs w:val="24"/>
          <w:lang w:eastAsia="en-GB"/>
        </w:rPr>
      </w:pPr>
    </w:p>
    <w:p w14:paraId="517439EB" w14:textId="5EEBC606" w:rsidR="001B0EA5" w:rsidRDefault="005D7B46" w:rsidP="0059005C">
      <w:pPr>
        <w:shd w:val="clear" w:color="auto" w:fill="FFFFFF"/>
        <w:spacing w:line="259" w:lineRule="auto"/>
        <w:ind w:left="360"/>
        <w:outlineLvl w:val="2"/>
        <w:rPr>
          <w:color w:val="000000"/>
          <w:sz w:val="24"/>
          <w:szCs w:val="24"/>
          <w:lang w:eastAsia="en-GB"/>
        </w:rPr>
      </w:pPr>
      <w:r w:rsidRPr="005D7B46">
        <w:rPr>
          <w:color w:val="000000"/>
          <w:sz w:val="24"/>
          <w:szCs w:val="24"/>
          <w:lang w:eastAsia="en-GB"/>
        </w:rPr>
        <w:t>Intersex people are victims of violence motivated by bias towards their variations of sex characteristics</w:t>
      </w:r>
      <w:r w:rsidR="006E2248" w:rsidRPr="006E2248">
        <w:rPr>
          <w:rFonts w:asciiTheme="minorHAnsi" w:eastAsia="Arial" w:hAnsiTheme="minorHAnsi" w:cstheme="minorHAnsi"/>
          <w:sz w:val="22"/>
          <w:szCs w:val="22"/>
          <w:lang w:eastAsia="de-DE"/>
        </w:rPr>
        <w:t xml:space="preserve"> </w:t>
      </w:r>
      <w:r w:rsidR="006E2248">
        <w:rPr>
          <w:rFonts w:asciiTheme="minorHAnsi" w:eastAsia="Arial" w:hAnsiTheme="minorHAnsi" w:cstheme="minorHAnsi"/>
          <w:sz w:val="22"/>
          <w:szCs w:val="22"/>
          <w:lang w:eastAsia="de-DE"/>
        </w:rPr>
        <w:t xml:space="preserve">and </w:t>
      </w:r>
      <w:r w:rsidR="006E2248" w:rsidRPr="006E2248">
        <w:rPr>
          <w:color w:val="000000"/>
          <w:sz w:val="24"/>
          <w:szCs w:val="24"/>
          <w:lang w:eastAsia="en-GB"/>
        </w:rPr>
        <w:t>physical appearance</w:t>
      </w:r>
      <w:r w:rsidR="00500EAD">
        <w:rPr>
          <w:color w:val="000000"/>
          <w:sz w:val="24"/>
          <w:szCs w:val="24"/>
          <w:lang w:eastAsia="en-GB"/>
        </w:rPr>
        <w:t xml:space="preserve"> -</w:t>
      </w:r>
      <w:r w:rsidR="006E2248" w:rsidRPr="006E2248">
        <w:rPr>
          <w:color w:val="000000"/>
          <w:sz w:val="24"/>
          <w:szCs w:val="24"/>
          <w:lang w:eastAsia="en-GB"/>
        </w:rPr>
        <w:t xml:space="preserve"> which the perpetrators perceive as non-conforming to gender and societal norms</w:t>
      </w:r>
      <w:r w:rsidR="00500EAD">
        <w:rPr>
          <w:color w:val="000000"/>
          <w:sz w:val="24"/>
          <w:szCs w:val="24"/>
          <w:lang w:eastAsia="en-GB"/>
        </w:rPr>
        <w:t xml:space="preserve"> -</w:t>
      </w:r>
      <w:r w:rsidRPr="005D7B46">
        <w:rPr>
          <w:color w:val="000000"/>
          <w:sz w:val="24"/>
          <w:szCs w:val="24"/>
          <w:lang w:eastAsia="en-GB"/>
        </w:rPr>
        <w:t xml:space="preserve"> that qualify as </w:t>
      </w:r>
      <w:r>
        <w:rPr>
          <w:color w:val="000000"/>
          <w:sz w:val="24"/>
          <w:szCs w:val="24"/>
          <w:lang w:eastAsia="en-GB"/>
        </w:rPr>
        <w:t>gender-based violence</w:t>
      </w:r>
      <w:r w:rsidRPr="005D7B46">
        <w:rPr>
          <w:color w:val="000000"/>
          <w:sz w:val="24"/>
          <w:szCs w:val="24"/>
          <w:lang w:eastAsia="en-GB"/>
        </w:rPr>
        <w:t xml:space="preserve"> </w:t>
      </w:r>
      <w:r>
        <w:rPr>
          <w:color w:val="000000"/>
          <w:sz w:val="24"/>
          <w:szCs w:val="24"/>
          <w:lang w:eastAsia="en-GB"/>
        </w:rPr>
        <w:t xml:space="preserve">(GBV) </w:t>
      </w:r>
      <w:r w:rsidRPr="005D7B46">
        <w:rPr>
          <w:color w:val="000000"/>
          <w:sz w:val="24"/>
          <w:szCs w:val="24"/>
          <w:lang w:eastAsia="en-GB"/>
        </w:rPr>
        <w:t>and hate crime / hate speech</w:t>
      </w:r>
      <w:r>
        <w:rPr>
          <w:color w:val="000000"/>
          <w:sz w:val="24"/>
          <w:szCs w:val="24"/>
          <w:lang w:eastAsia="en-GB"/>
        </w:rPr>
        <w:t xml:space="preserve">. </w:t>
      </w:r>
    </w:p>
    <w:p w14:paraId="0BE86D3C" w14:textId="6EB34207" w:rsidR="005D7B46" w:rsidRDefault="005D7B46" w:rsidP="0059005C">
      <w:pPr>
        <w:shd w:val="clear" w:color="auto" w:fill="FFFFFF"/>
        <w:spacing w:line="259" w:lineRule="auto"/>
        <w:ind w:left="360"/>
        <w:outlineLvl w:val="2"/>
        <w:rPr>
          <w:color w:val="000000"/>
          <w:sz w:val="24"/>
          <w:szCs w:val="24"/>
          <w:lang w:eastAsia="en-GB"/>
        </w:rPr>
      </w:pPr>
    </w:p>
    <w:p w14:paraId="3C8B3B3C" w14:textId="77777777" w:rsidR="004675EB" w:rsidRDefault="005D7B46" w:rsidP="006E2248">
      <w:pPr>
        <w:shd w:val="clear" w:color="auto" w:fill="FFFFFF"/>
        <w:spacing w:line="259" w:lineRule="auto"/>
        <w:ind w:left="360"/>
        <w:outlineLvl w:val="2"/>
        <w:rPr>
          <w:color w:val="000000"/>
          <w:sz w:val="24"/>
          <w:szCs w:val="24"/>
          <w:lang w:eastAsia="en-GB"/>
        </w:rPr>
      </w:pPr>
      <w:r w:rsidRPr="005D7B46">
        <w:rPr>
          <w:color w:val="000000"/>
          <w:sz w:val="24"/>
          <w:szCs w:val="24"/>
          <w:lang w:eastAsia="en-GB"/>
        </w:rPr>
        <w:t>According to the 2019 FRA LGBTI survey</w:t>
      </w:r>
      <w:r w:rsidR="00C75D8F">
        <w:rPr>
          <w:rStyle w:val="FootnoteReference"/>
          <w:color w:val="000000"/>
          <w:sz w:val="24"/>
          <w:szCs w:val="24"/>
          <w:lang w:eastAsia="en-GB"/>
        </w:rPr>
        <w:footnoteReference w:id="2"/>
      </w:r>
      <w:r w:rsidRPr="005D7B46">
        <w:rPr>
          <w:color w:val="000000"/>
          <w:sz w:val="24"/>
          <w:szCs w:val="24"/>
          <w:lang w:eastAsia="en-GB"/>
        </w:rPr>
        <w:t>, in the five years before the survey</w:t>
      </w:r>
      <w:r w:rsidR="002A6E7B">
        <w:rPr>
          <w:color w:val="000000"/>
          <w:sz w:val="24"/>
          <w:szCs w:val="24"/>
          <w:lang w:eastAsia="en-GB"/>
        </w:rPr>
        <w:t xml:space="preserve"> </w:t>
      </w:r>
      <w:r w:rsidR="002A6E7B" w:rsidRPr="002A6E7B">
        <w:rPr>
          <w:color w:val="000000"/>
          <w:sz w:val="24"/>
          <w:szCs w:val="24"/>
          <w:lang w:eastAsia="en-GB"/>
        </w:rPr>
        <w:t>22% of intersex respondents experienced a physical and/or sexual attack for being LGBTI</w:t>
      </w:r>
      <w:r w:rsidR="002A6E7B">
        <w:rPr>
          <w:color w:val="000000"/>
          <w:sz w:val="24"/>
          <w:szCs w:val="24"/>
          <w:lang w:eastAsia="en-GB"/>
        </w:rPr>
        <w:t>.</w:t>
      </w:r>
      <w:r w:rsidR="006E2248">
        <w:rPr>
          <w:color w:val="000000"/>
          <w:sz w:val="24"/>
          <w:szCs w:val="24"/>
          <w:lang w:eastAsia="en-GB"/>
        </w:rPr>
        <w:t xml:space="preserve"> </w:t>
      </w:r>
      <w:r w:rsidR="006E2248" w:rsidRPr="006E2248">
        <w:rPr>
          <w:color w:val="000000"/>
          <w:sz w:val="24"/>
          <w:szCs w:val="24"/>
          <w:lang w:eastAsia="en-GB"/>
        </w:rPr>
        <w:t>38% at least once experienced violent in-person threats due to being LGBTI in the 12 months before, and 27% even six or more times</w:t>
      </w:r>
      <w:r w:rsidR="006E2248">
        <w:rPr>
          <w:rStyle w:val="FootnoteReference"/>
          <w:color w:val="000000"/>
          <w:sz w:val="24"/>
          <w:szCs w:val="24"/>
          <w:lang w:eastAsia="en-GB"/>
        </w:rPr>
        <w:footnoteReference w:id="3"/>
      </w:r>
      <w:r w:rsidR="006E2248">
        <w:rPr>
          <w:color w:val="000000"/>
          <w:sz w:val="24"/>
          <w:szCs w:val="24"/>
          <w:lang w:eastAsia="en-GB"/>
        </w:rPr>
        <w:t>.</w:t>
      </w:r>
      <w:r w:rsidR="004675EB">
        <w:rPr>
          <w:color w:val="000000"/>
          <w:sz w:val="24"/>
          <w:szCs w:val="24"/>
          <w:lang w:eastAsia="en-GB"/>
        </w:rPr>
        <w:t xml:space="preserve"> </w:t>
      </w:r>
    </w:p>
    <w:p w14:paraId="0A8DD97E" w14:textId="77777777" w:rsidR="004675EB" w:rsidRDefault="004675EB" w:rsidP="006E2248">
      <w:pPr>
        <w:shd w:val="clear" w:color="auto" w:fill="FFFFFF"/>
        <w:spacing w:line="259" w:lineRule="auto"/>
        <w:ind w:left="360"/>
        <w:outlineLvl w:val="2"/>
        <w:rPr>
          <w:color w:val="000000"/>
          <w:sz w:val="24"/>
          <w:szCs w:val="24"/>
          <w:lang w:eastAsia="en-GB"/>
        </w:rPr>
      </w:pPr>
    </w:p>
    <w:p w14:paraId="1CDE13DE" w14:textId="06A9FCC0" w:rsidR="004675EB" w:rsidRDefault="004675EB" w:rsidP="006E2248">
      <w:pPr>
        <w:shd w:val="clear" w:color="auto" w:fill="FFFFFF"/>
        <w:spacing w:line="259" w:lineRule="auto"/>
        <w:ind w:left="360"/>
        <w:outlineLvl w:val="2"/>
        <w:rPr>
          <w:color w:val="000000"/>
          <w:sz w:val="24"/>
          <w:szCs w:val="24"/>
          <w:lang w:eastAsia="en-GB"/>
        </w:rPr>
      </w:pPr>
      <w:r>
        <w:rPr>
          <w:color w:val="000000"/>
          <w:sz w:val="24"/>
          <w:szCs w:val="24"/>
          <w:lang w:eastAsia="en-GB"/>
        </w:rPr>
        <w:t xml:space="preserve">GBV and hate crime dramatically affect </w:t>
      </w:r>
      <w:r w:rsidR="00942D00">
        <w:rPr>
          <w:color w:val="000000"/>
          <w:sz w:val="24"/>
          <w:szCs w:val="24"/>
          <w:lang w:eastAsia="en-GB"/>
        </w:rPr>
        <w:t>the</w:t>
      </w:r>
      <w:r>
        <w:rPr>
          <w:color w:val="000000"/>
          <w:sz w:val="24"/>
          <w:szCs w:val="24"/>
          <w:lang w:eastAsia="en-GB"/>
        </w:rPr>
        <w:t xml:space="preserve"> youth. Among </w:t>
      </w:r>
      <w:r w:rsidR="00942D00">
        <w:rPr>
          <w:color w:val="000000"/>
          <w:sz w:val="24"/>
          <w:szCs w:val="24"/>
          <w:lang w:eastAsia="en-GB"/>
        </w:rPr>
        <w:t>intersex</w:t>
      </w:r>
      <w:r w:rsidRPr="004675EB">
        <w:rPr>
          <w:color w:val="000000"/>
          <w:sz w:val="24"/>
          <w:szCs w:val="24"/>
          <w:lang w:eastAsia="en-GB"/>
        </w:rPr>
        <w:t xml:space="preserve"> young respondents (aged 15-17)</w:t>
      </w:r>
    </w:p>
    <w:p w14:paraId="2CD5E6FB" w14:textId="02283C63" w:rsidR="00942D00" w:rsidRDefault="004675EB" w:rsidP="004675EB">
      <w:pPr>
        <w:pStyle w:val="ListParagraph"/>
        <w:numPr>
          <w:ilvl w:val="0"/>
          <w:numId w:val="4"/>
        </w:numPr>
        <w:shd w:val="clear" w:color="auto" w:fill="FFFFFF"/>
        <w:spacing w:line="259" w:lineRule="auto"/>
        <w:outlineLvl w:val="2"/>
        <w:rPr>
          <w:color w:val="000000"/>
          <w:sz w:val="24"/>
          <w:szCs w:val="24"/>
          <w:lang w:eastAsia="en-GB"/>
        </w:rPr>
      </w:pPr>
      <w:r>
        <w:rPr>
          <w:color w:val="000000"/>
          <w:sz w:val="24"/>
          <w:szCs w:val="24"/>
          <w:lang w:eastAsia="en-GB"/>
        </w:rPr>
        <w:t xml:space="preserve">14% </w:t>
      </w:r>
      <w:r w:rsidRPr="004675EB">
        <w:rPr>
          <w:color w:val="000000"/>
          <w:sz w:val="24"/>
          <w:szCs w:val="24"/>
          <w:lang w:eastAsia="en-GB"/>
        </w:rPr>
        <w:t>stated they suffered from bias-motivated physical or sexual</w:t>
      </w:r>
      <w:r w:rsidR="00500EAD" w:rsidRPr="00500EAD">
        <w:rPr>
          <w:rFonts w:asciiTheme="minorHAnsi" w:eastAsia="Arial" w:hAnsiTheme="minorHAnsi" w:cstheme="minorHAnsi"/>
          <w:sz w:val="22"/>
          <w:szCs w:val="22"/>
          <w:lang w:eastAsia="de-DE"/>
        </w:rPr>
        <w:t xml:space="preserve"> </w:t>
      </w:r>
      <w:r w:rsidR="00500EAD" w:rsidRPr="00500EAD">
        <w:rPr>
          <w:color w:val="000000"/>
          <w:sz w:val="24"/>
          <w:szCs w:val="24"/>
          <w:lang w:eastAsia="en-GB"/>
        </w:rPr>
        <w:t>attacks</w:t>
      </w:r>
      <w:r w:rsidRPr="004675EB">
        <w:rPr>
          <w:color w:val="000000"/>
          <w:sz w:val="24"/>
          <w:szCs w:val="24"/>
          <w:lang w:eastAsia="en-GB"/>
        </w:rPr>
        <w:t xml:space="preserve"> in the 12 months before the survey,</w:t>
      </w:r>
    </w:p>
    <w:p w14:paraId="5B6BC9A1" w14:textId="77777777" w:rsidR="00942D00" w:rsidRDefault="004675EB" w:rsidP="004675EB">
      <w:pPr>
        <w:pStyle w:val="ListParagraph"/>
        <w:numPr>
          <w:ilvl w:val="0"/>
          <w:numId w:val="4"/>
        </w:numPr>
        <w:shd w:val="clear" w:color="auto" w:fill="FFFFFF"/>
        <w:spacing w:line="259" w:lineRule="auto"/>
        <w:outlineLvl w:val="2"/>
        <w:rPr>
          <w:color w:val="000000"/>
          <w:sz w:val="24"/>
          <w:szCs w:val="24"/>
          <w:lang w:eastAsia="en-GB"/>
        </w:rPr>
      </w:pPr>
      <w:r w:rsidRPr="004675EB">
        <w:rPr>
          <w:color w:val="000000"/>
          <w:sz w:val="24"/>
          <w:szCs w:val="24"/>
          <w:lang w:eastAsia="en-GB"/>
        </w:rPr>
        <w:t>79% reported physical attack</w:t>
      </w:r>
    </w:p>
    <w:p w14:paraId="283DF08A" w14:textId="77777777" w:rsidR="00942D00" w:rsidRDefault="004675EB" w:rsidP="004675EB">
      <w:pPr>
        <w:pStyle w:val="ListParagraph"/>
        <w:numPr>
          <w:ilvl w:val="0"/>
          <w:numId w:val="4"/>
        </w:numPr>
        <w:shd w:val="clear" w:color="auto" w:fill="FFFFFF"/>
        <w:spacing w:line="259" w:lineRule="auto"/>
        <w:outlineLvl w:val="2"/>
        <w:rPr>
          <w:color w:val="000000"/>
          <w:sz w:val="24"/>
          <w:szCs w:val="24"/>
          <w:lang w:eastAsia="en-GB"/>
        </w:rPr>
      </w:pPr>
      <w:r w:rsidRPr="004675EB">
        <w:rPr>
          <w:color w:val="000000"/>
          <w:sz w:val="24"/>
          <w:szCs w:val="24"/>
          <w:lang w:eastAsia="en-GB"/>
        </w:rPr>
        <w:t>20% sexual attack or a combination of physical and sexual attack</w:t>
      </w:r>
    </w:p>
    <w:p w14:paraId="5941B194" w14:textId="77777777" w:rsidR="00942D00" w:rsidRDefault="004675EB" w:rsidP="004675EB">
      <w:pPr>
        <w:pStyle w:val="ListParagraph"/>
        <w:numPr>
          <w:ilvl w:val="0"/>
          <w:numId w:val="4"/>
        </w:numPr>
        <w:shd w:val="clear" w:color="auto" w:fill="FFFFFF"/>
        <w:spacing w:line="259" w:lineRule="auto"/>
        <w:outlineLvl w:val="2"/>
        <w:rPr>
          <w:color w:val="000000"/>
          <w:sz w:val="24"/>
          <w:szCs w:val="24"/>
          <w:lang w:eastAsia="en-GB"/>
        </w:rPr>
      </w:pPr>
      <w:r w:rsidRPr="004675EB">
        <w:rPr>
          <w:color w:val="000000"/>
          <w:sz w:val="24"/>
          <w:szCs w:val="24"/>
          <w:lang w:eastAsia="en-GB"/>
        </w:rPr>
        <w:t xml:space="preserve">50% experienced bullying at school/university and </w:t>
      </w:r>
    </w:p>
    <w:p w14:paraId="01E2F837" w14:textId="10B8D272" w:rsidR="00942D00" w:rsidRDefault="004675EB" w:rsidP="00362B2A">
      <w:pPr>
        <w:pStyle w:val="ListParagraph"/>
        <w:numPr>
          <w:ilvl w:val="0"/>
          <w:numId w:val="4"/>
        </w:numPr>
        <w:shd w:val="clear" w:color="auto" w:fill="FFFFFF"/>
        <w:spacing w:line="259" w:lineRule="auto"/>
        <w:outlineLvl w:val="2"/>
        <w:rPr>
          <w:color w:val="000000"/>
          <w:sz w:val="24"/>
          <w:szCs w:val="24"/>
          <w:lang w:eastAsia="en-GB"/>
        </w:rPr>
      </w:pPr>
      <w:r w:rsidRPr="004675EB">
        <w:rPr>
          <w:color w:val="000000"/>
          <w:sz w:val="24"/>
          <w:szCs w:val="24"/>
          <w:lang w:eastAsia="en-GB"/>
        </w:rPr>
        <w:t>39% identified school as the location of the last incident of hate-motivated harassment</w:t>
      </w:r>
      <w:r w:rsidR="00942D00">
        <w:rPr>
          <w:rStyle w:val="FootnoteReference"/>
          <w:color w:val="000000"/>
          <w:sz w:val="24"/>
          <w:szCs w:val="24"/>
          <w:lang w:eastAsia="en-GB"/>
        </w:rPr>
        <w:footnoteReference w:id="4"/>
      </w:r>
      <w:r w:rsidR="00942D00">
        <w:rPr>
          <w:color w:val="000000"/>
          <w:sz w:val="24"/>
          <w:szCs w:val="24"/>
          <w:lang w:eastAsia="en-GB"/>
        </w:rPr>
        <w:t>.</w:t>
      </w:r>
    </w:p>
    <w:p w14:paraId="6DF8FF53" w14:textId="7A2D5CB3" w:rsidR="005D7B46" w:rsidRDefault="005D7B46" w:rsidP="00C55643">
      <w:pPr>
        <w:shd w:val="clear" w:color="auto" w:fill="FFFFFF"/>
        <w:spacing w:line="259" w:lineRule="auto"/>
        <w:outlineLvl w:val="2"/>
        <w:rPr>
          <w:color w:val="000000"/>
          <w:sz w:val="24"/>
          <w:szCs w:val="24"/>
          <w:lang w:eastAsia="en-GB"/>
        </w:rPr>
      </w:pPr>
    </w:p>
    <w:p w14:paraId="783DC588" w14:textId="005A34F0" w:rsidR="00FB5FF5" w:rsidRDefault="00FB5FF5" w:rsidP="00FB5FF5">
      <w:pPr>
        <w:shd w:val="clear" w:color="auto" w:fill="FFFFFF"/>
        <w:spacing w:line="259" w:lineRule="auto"/>
        <w:ind w:left="360"/>
        <w:outlineLvl w:val="2"/>
        <w:rPr>
          <w:color w:val="000000"/>
          <w:sz w:val="24"/>
          <w:szCs w:val="24"/>
          <w:lang w:eastAsia="en-GB"/>
        </w:rPr>
      </w:pPr>
      <w:r w:rsidRPr="00FB5FF5">
        <w:rPr>
          <w:color w:val="000000"/>
          <w:sz w:val="24"/>
          <w:szCs w:val="24"/>
          <w:lang w:eastAsia="en-GB"/>
        </w:rPr>
        <w:t>The negative impact of these incidents on the individual is sever</w:t>
      </w:r>
      <w:r w:rsidR="008A6810">
        <w:rPr>
          <w:color w:val="000000"/>
          <w:sz w:val="24"/>
          <w:szCs w:val="24"/>
          <w:lang w:eastAsia="en-GB"/>
        </w:rPr>
        <w:t>e</w:t>
      </w:r>
      <w:r w:rsidR="008A6810">
        <w:rPr>
          <w:rStyle w:val="FootnoteReference"/>
          <w:color w:val="000000"/>
          <w:sz w:val="24"/>
          <w:szCs w:val="24"/>
          <w:lang w:eastAsia="en-GB"/>
        </w:rPr>
        <w:footnoteReference w:id="5"/>
      </w:r>
      <w:r w:rsidR="008A6810">
        <w:rPr>
          <w:color w:val="000000"/>
          <w:sz w:val="24"/>
          <w:szCs w:val="24"/>
          <w:lang w:eastAsia="en-GB"/>
        </w:rPr>
        <w:t>:</w:t>
      </w:r>
      <w:r w:rsidRPr="00FB5FF5">
        <w:rPr>
          <w:color w:val="000000"/>
          <w:sz w:val="24"/>
          <w:szCs w:val="24"/>
          <w:lang w:eastAsia="en-GB"/>
        </w:rPr>
        <w:t xml:space="preserve"> when asked about how the last hate-motivated violent incident affected their health and well-being, 59% </w:t>
      </w:r>
      <w:r w:rsidR="008A6810">
        <w:rPr>
          <w:color w:val="000000"/>
          <w:sz w:val="24"/>
          <w:szCs w:val="24"/>
          <w:lang w:eastAsia="en-GB"/>
        </w:rPr>
        <w:t xml:space="preserve">intersex </w:t>
      </w:r>
      <w:r w:rsidR="00C55643">
        <w:rPr>
          <w:color w:val="000000"/>
          <w:sz w:val="24"/>
          <w:szCs w:val="24"/>
          <w:lang w:eastAsia="en-GB"/>
        </w:rPr>
        <w:t xml:space="preserve">young </w:t>
      </w:r>
      <w:r w:rsidR="008A6810">
        <w:rPr>
          <w:color w:val="000000"/>
          <w:sz w:val="24"/>
          <w:szCs w:val="24"/>
          <w:lang w:eastAsia="en-GB"/>
        </w:rPr>
        <w:t xml:space="preserve">respondents </w:t>
      </w:r>
      <w:r w:rsidRPr="00FB5FF5">
        <w:rPr>
          <w:color w:val="000000"/>
          <w:sz w:val="24"/>
          <w:szCs w:val="24"/>
          <w:lang w:eastAsia="en-GB"/>
        </w:rPr>
        <w:t>stated they were afraid to go out or visit places, 56% said they had psychological problems (e.g., depression or anxiety), 9% said they needed medical assistance or hospitalisatio</w:t>
      </w:r>
      <w:r>
        <w:rPr>
          <w:color w:val="000000"/>
          <w:sz w:val="24"/>
          <w:szCs w:val="24"/>
          <w:lang w:eastAsia="en-GB"/>
        </w:rPr>
        <w:t>n</w:t>
      </w:r>
      <w:r w:rsidR="008A6810">
        <w:rPr>
          <w:rStyle w:val="FootnoteReference"/>
          <w:color w:val="000000"/>
          <w:sz w:val="24"/>
          <w:szCs w:val="24"/>
          <w:lang w:eastAsia="en-GB"/>
        </w:rPr>
        <w:footnoteReference w:id="6"/>
      </w:r>
      <w:r>
        <w:rPr>
          <w:color w:val="000000"/>
          <w:sz w:val="24"/>
          <w:szCs w:val="24"/>
          <w:lang w:eastAsia="en-GB"/>
        </w:rPr>
        <w:t>.</w:t>
      </w:r>
    </w:p>
    <w:p w14:paraId="1FAD7FFB" w14:textId="5E137AC7" w:rsidR="004A7C58" w:rsidRDefault="004A7C58" w:rsidP="00FB5FF5">
      <w:pPr>
        <w:shd w:val="clear" w:color="auto" w:fill="FFFFFF"/>
        <w:spacing w:line="259" w:lineRule="auto"/>
        <w:ind w:left="360"/>
        <w:outlineLvl w:val="2"/>
        <w:rPr>
          <w:color w:val="000000"/>
          <w:sz w:val="24"/>
          <w:szCs w:val="24"/>
          <w:lang w:eastAsia="en-GB"/>
        </w:rPr>
      </w:pPr>
    </w:p>
    <w:p w14:paraId="701D3ED5" w14:textId="7E50FC6F" w:rsidR="00C55643" w:rsidRDefault="004A7C58" w:rsidP="00FB5FF5">
      <w:pPr>
        <w:shd w:val="clear" w:color="auto" w:fill="FFFFFF"/>
        <w:spacing w:line="259" w:lineRule="auto"/>
        <w:ind w:left="360"/>
        <w:outlineLvl w:val="2"/>
        <w:rPr>
          <w:color w:val="000000"/>
          <w:sz w:val="24"/>
          <w:szCs w:val="24"/>
          <w:lang w:eastAsia="en-GB"/>
        </w:rPr>
      </w:pPr>
      <w:r>
        <w:rPr>
          <w:color w:val="000000"/>
          <w:sz w:val="24"/>
          <w:szCs w:val="24"/>
          <w:lang w:eastAsia="en-GB"/>
        </w:rPr>
        <w:t>While these figures refer to the European Union</w:t>
      </w:r>
      <w:r w:rsidR="00F50BC2">
        <w:rPr>
          <w:rStyle w:val="FootnoteReference"/>
          <w:color w:val="000000"/>
          <w:sz w:val="24"/>
          <w:szCs w:val="24"/>
          <w:lang w:eastAsia="en-GB"/>
        </w:rPr>
        <w:footnoteReference w:id="7"/>
      </w:r>
      <w:r>
        <w:rPr>
          <w:color w:val="000000"/>
          <w:sz w:val="24"/>
          <w:szCs w:val="24"/>
          <w:lang w:eastAsia="en-GB"/>
        </w:rPr>
        <w:t>, they</w:t>
      </w:r>
      <w:r w:rsidR="00F50BC2">
        <w:rPr>
          <w:color w:val="000000"/>
          <w:sz w:val="24"/>
          <w:szCs w:val="24"/>
          <w:lang w:eastAsia="en-GB"/>
        </w:rPr>
        <w:t xml:space="preserve"> reflect a trend that is spread in all the European region</w:t>
      </w:r>
      <w:r w:rsidR="006B1FEE">
        <w:rPr>
          <w:color w:val="000000"/>
          <w:sz w:val="24"/>
          <w:szCs w:val="24"/>
          <w:lang w:eastAsia="en-GB"/>
        </w:rPr>
        <w:t xml:space="preserve"> – on which we focus in this submission - </w:t>
      </w:r>
      <w:r w:rsidR="00F50BC2">
        <w:rPr>
          <w:color w:val="000000"/>
          <w:sz w:val="24"/>
          <w:szCs w:val="24"/>
          <w:lang w:eastAsia="en-GB"/>
        </w:rPr>
        <w:t xml:space="preserve">as repeatedly reported to us by our members. </w:t>
      </w:r>
      <w:r>
        <w:rPr>
          <w:color w:val="000000"/>
          <w:sz w:val="24"/>
          <w:szCs w:val="24"/>
          <w:lang w:eastAsia="en-GB"/>
        </w:rPr>
        <w:t xml:space="preserve"> </w:t>
      </w:r>
    </w:p>
    <w:p w14:paraId="394A26F4" w14:textId="77777777" w:rsidR="00C52FEC" w:rsidRPr="0059005C" w:rsidRDefault="00C52FEC" w:rsidP="0059005C">
      <w:pPr>
        <w:shd w:val="clear" w:color="auto" w:fill="FFFFFF"/>
        <w:spacing w:line="259" w:lineRule="auto"/>
        <w:ind w:left="360"/>
        <w:outlineLvl w:val="2"/>
        <w:rPr>
          <w:color w:val="000000"/>
          <w:sz w:val="24"/>
          <w:szCs w:val="24"/>
          <w:lang w:eastAsia="en-GB"/>
        </w:rPr>
      </w:pPr>
    </w:p>
    <w:p w14:paraId="3A573A0E" w14:textId="152D9617" w:rsidR="008C75C0" w:rsidRDefault="00F11452" w:rsidP="000914BF">
      <w:pPr>
        <w:shd w:val="clear" w:color="auto" w:fill="FFFFFF"/>
        <w:spacing w:line="259" w:lineRule="auto"/>
        <w:ind w:left="360"/>
        <w:outlineLvl w:val="2"/>
        <w:rPr>
          <w:color w:val="000000"/>
          <w:sz w:val="24"/>
          <w:szCs w:val="24"/>
          <w:lang w:eastAsia="en-GB"/>
        </w:rPr>
      </w:pPr>
      <w:r>
        <w:rPr>
          <w:color w:val="000000"/>
          <w:sz w:val="24"/>
          <w:szCs w:val="24"/>
          <w:lang w:eastAsia="en-GB"/>
        </w:rPr>
        <w:t>Intersex people are increasingly targeted by online hate-speech</w:t>
      </w:r>
      <w:r w:rsidR="005142FB">
        <w:rPr>
          <w:color w:val="000000"/>
          <w:sz w:val="24"/>
          <w:szCs w:val="24"/>
          <w:lang w:eastAsia="en-GB"/>
        </w:rPr>
        <w:t>, which takes the form of hateful comments on social media</w:t>
      </w:r>
      <w:r w:rsidR="008C75C0">
        <w:rPr>
          <w:rStyle w:val="FootnoteReference"/>
          <w:color w:val="000000"/>
          <w:sz w:val="24"/>
          <w:szCs w:val="24"/>
          <w:lang w:eastAsia="en-GB"/>
        </w:rPr>
        <w:footnoteReference w:id="8"/>
      </w:r>
      <w:r w:rsidR="00227E63">
        <w:rPr>
          <w:color w:val="000000"/>
          <w:sz w:val="24"/>
          <w:szCs w:val="24"/>
          <w:lang w:eastAsia="en-GB"/>
        </w:rPr>
        <w:t>, hateful posts on forums</w:t>
      </w:r>
      <w:r w:rsidR="00997398">
        <w:rPr>
          <w:rStyle w:val="FootnoteReference"/>
          <w:color w:val="000000"/>
          <w:sz w:val="24"/>
          <w:szCs w:val="24"/>
          <w:lang w:eastAsia="en-GB"/>
        </w:rPr>
        <w:footnoteReference w:id="9"/>
      </w:r>
      <w:r w:rsidR="00227E63">
        <w:rPr>
          <w:color w:val="000000"/>
          <w:sz w:val="24"/>
          <w:szCs w:val="24"/>
          <w:lang w:eastAsia="en-GB"/>
        </w:rPr>
        <w:t xml:space="preserve"> and offensive pathologizing articles</w:t>
      </w:r>
      <w:r w:rsidR="00997398">
        <w:rPr>
          <w:rStyle w:val="FootnoteReference"/>
          <w:color w:val="000000"/>
          <w:sz w:val="24"/>
          <w:szCs w:val="24"/>
          <w:lang w:eastAsia="en-GB"/>
        </w:rPr>
        <w:footnoteReference w:id="10"/>
      </w:r>
      <w:r w:rsidR="00227E63">
        <w:rPr>
          <w:color w:val="000000"/>
          <w:sz w:val="24"/>
          <w:szCs w:val="24"/>
          <w:lang w:eastAsia="en-GB"/>
        </w:rPr>
        <w:t>. Even groups connected to the so called “anti-gender movement” embedded intersexphobic rhetoric in their public discourse</w:t>
      </w:r>
      <w:r w:rsidR="00FD6BE7">
        <w:rPr>
          <w:rStyle w:val="FootnoteReference"/>
          <w:color w:val="000000"/>
          <w:sz w:val="24"/>
          <w:szCs w:val="24"/>
          <w:lang w:eastAsia="en-GB"/>
        </w:rPr>
        <w:footnoteReference w:id="11"/>
      </w:r>
      <w:r w:rsidR="00227E63">
        <w:rPr>
          <w:color w:val="000000"/>
          <w:sz w:val="24"/>
          <w:szCs w:val="24"/>
          <w:lang w:eastAsia="en-GB"/>
        </w:rPr>
        <w:t>.</w:t>
      </w:r>
    </w:p>
    <w:p w14:paraId="2415162C" w14:textId="58006AA7" w:rsidR="00FD6BE7" w:rsidRDefault="00FD6BE7" w:rsidP="000914BF">
      <w:pPr>
        <w:shd w:val="clear" w:color="auto" w:fill="FFFFFF"/>
        <w:spacing w:line="259" w:lineRule="auto"/>
        <w:ind w:left="360"/>
        <w:outlineLvl w:val="2"/>
        <w:rPr>
          <w:color w:val="000000"/>
          <w:sz w:val="24"/>
          <w:szCs w:val="24"/>
          <w:lang w:eastAsia="en-GB"/>
        </w:rPr>
      </w:pPr>
    </w:p>
    <w:p w14:paraId="23086C40" w14:textId="7C2C8354" w:rsidR="00FD6BE7" w:rsidRDefault="006B1FEE" w:rsidP="000914BF">
      <w:pPr>
        <w:shd w:val="clear" w:color="auto" w:fill="FFFFFF"/>
        <w:spacing w:line="259" w:lineRule="auto"/>
        <w:ind w:left="360"/>
        <w:outlineLvl w:val="2"/>
        <w:rPr>
          <w:color w:val="000000"/>
          <w:sz w:val="24"/>
          <w:szCs w:val="24"/>
          <w:lang w:eastAsia="en-GB"/>
        </w:rPr>
      </w:pPr>
      <w:r>
        <w:rPr>
          <w:color w:val="000000"/>
          <w:sz w:val="24"/>
          <w:szCs w:val="24"/>
          <w:lang w:eastAsia="en-GB"/>
        </w:rPr>
        <w:t xml:space="preserve">The </w:t>
      </w:r>
      <w:r w:rsidR="006B051F">
        <w:rPr>
          <w:color w:val="000000"/>
          <w:sz w:val="24"/>
          <w:szCs w:val="24"/>
          <w:lang w:eastAsia="en-GB"/>
        </w:rPr>
        <w:t>C</w:t>
      </w:r>
      <w:r>
        <w:rPr>
          <w:color w:val="000000"/>
          <w:sz w:val="24"/>
          <w:szCs w:val="24"/>
          <w:lang w:eastAsia="en-GB"/>
        </w:rPr>
        <w:t xml:space="preserve">ovid-19 crisis increased the stress level among the community. Among the intersex respondents to our 2020 </w:t>
      </w:r>
      <w:r w:rsidR="006B051F">
        <w:rPr>
          <w:color w:val="000000"/>
          <w:sz w:val="24"/>
          <w:szCs w:val="24"/>
          <w:lang w:eastAsia="en-GB"/>
        </w:rPr>
        <w:t>C</w:t>
      </w:r>
      <w:r>
        <w:rPr>
          <w:color w:val="000000"/>
          <w:sz w:val="24"/>
          <w:szCs w:val="24"/>
          <w:lang w:eastAsia="en-GB"/>
        </w:rPr>
        <w:t xml:space="preserve">ovid survey, </w:t>
      </w:r>
      <w:r w:rsidRPr="006B1FEE">
        <w:rPr>
          <w:color w:val="000000"/>
          <w:sz w:val="24"/>
          <w:szCs w:val="24"/>
          <w:lang w:eastAsia="en-GB"/>
        </w:rPr>
        <w:t xml:space="preserve">11% stated that they </w:t>
      </w:r>
      <w:r>
        <w:rPr>
          <w:color w:val="000000"/>
          <w:sz w:val="24"/>
          <w:szCs w:val="24"/>
          <w:lang w:eastAsia="en-GB"/>
        </w:rPr>
        <w:t>were</w:t>
      </w:r>
      <w:r w:rsidRPr="006B1FEE">
        <w:rPr>
          <w:color w:val="000000"/>
          <w:sz w:val="24"/>
          <w:szCs w:val="24"/>
          <w:lang w:eastAsia="en-GB"/>
        </w:rPr>
        <w:t xml:space="preserve"> staying at home in self-isolation with someone whom they have a strained relationship or other difficulties with, including some respondents who reported experiencing violence, abuse, harassment by</w:t>
      </w:r>
      <w:r w:rsidR="002B1430">
        <w:rPr>
          <w:color w:val="000000"/>
          <w:sz w:val="24"/>
          <w:szCs w:val="24"/>
          <w:lang w:eastAsia="en-GB"/>
        </w:rPr>
        <w:t xml:space="preserve"> that person</w:t>
      </w:r>
      <w:r w:rsidRPr="006B1FEE">
        <w:rPr>
          <w:color w:val="000000"/>
          <w:sz w:val="24"/>
          <w:szCs w:val="24"/>
          <w:lang w:eastAsia="en-GB"/>
        </w:rPr>
        <w:t>. Another 11% expressed feeling unsafe for different reasons</w:t>
      </w:r>
      <w:r>
        <w:rPr>
          <w:rStyle w:val="FootnoteReference"/>
          <w:color w:val="000000"/>
          <w:sz w:val="24"/>
          <w:szCs w:val="24"/>
          <w:lang w:eastAsia="en-GB"/>
        </w:rPr>
        <w:footnoteReference w:id="12"/>
      </w:r>
      <w:r>
        <w:rPr>
          <w:color w:val="000000"/>
          <w:sz w:val="24"/>
          <w:szCs w:val="24"/>
          <w:lang w:eastAsia="en-GB"/>
        </w:rPr>
        <w:t>.</w:t>
      </w:r>
    </w:p>
    <w:p w14:paraId="1ED38C8F" w14:textId="77777777" w:rsidR="008C75C0" w:rsidRDefault="008C75C0" w:rsidP="000914BF">
      <w:pPr>
        <w:shd w:val="clear" w:color="auto" w:fill="FFFFFF"/>
        <w:spacing w:line="259" w:lineRule="auto"/>
        <w:ind w:left="360"/>
        <w:outlineLvl w:val="2"/>
        <w:rPr>
          <w:color w:val="000000"/>
          <w:sz w:val="24"/>
          <w:szCs w:val="24"/>
          <w:lang w:eastAsia="en-GB"/>
        </w:rPr>
      </w:pPr>
    </w:p>
    <w:p w14:paraId="6563BC1E" w14:textId="3F5AF0C5" w:rsidR="0059005C" w:rsidRPr="000914BF" w:rsidRDefault="00227E63" w:rsidP="000914BF">
      <w:pPr>
        <w:shd w:val="clear" w:color="auto" w:fill="FFFFFF"/>
        <w:spacing w:line="259" w:lineRule="auto"/>
        <w:ind w:left="360"/>
        <w:outlineLvl w:val="2"/>
        <w:rPr>
          <w:color w:val="000000"/>
          <w:sz w:val="24"/>
          <w:szCs w:val="24"/>
          <w:lang w:eastAsia="en-GB"/>
        </w:rPr>
      </w:pPr>
      <w:r>
        <w:rPr>
          <w:color w:val="000000"/>
          <w:sz w:val="24"/>
          <w:szCs w:val="24"/>
          <w:lang w:eastAsia="en-GB"/>
        </w:rPr>
        <w:t xml:space="preserve"> </w:t>
      </w:r>
    </w:p>
    <w:p w14:paraId="0F1F665E" w14:textId="77777777" w:rsidR="009F00AF" w:rsidRPr="00D90F79" w:rsidRDefault="009F00AF" w:rsidP="009F00AF">
      <w:pPr>
        <w:pStyle w:val="ListParagraph"/>
        <w:numPr>
          <w:ilvl w:val="0"/>
          <w:numId w:val="1"/>
        </w:numPr>
        <w:shd w:val="clear" w:color="auto" w:fill="FFFFFF"/>
        <w:spacing w:line="259" w:lineRule="auto"/>
        <w:jc w:val="both"/>
        <w:outlineLvl w:val="2"/>
        <w:rPr>
          <w:color w:val="1F4E79" w:themeColor="accent1" w:themeShade="80"/>
          <w:sz w:val="24"/>
          <w:szCs w:val="24"/>
          <w:lang w:eastAsia="en-GB"/>
        </w:rPr>
      </w:pPr>
      <w:r w:rsidRPr="00D90F79">
        <w:rPr>
          <w:color w:val="1F4E79" w:themeColor="accent1" w:themeShade="80"/>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42A6E230" w14:textId="37CAEC34" w:rsidR="009F00AF" w:rsidRDefault="009F00AF" w:rsidP="009F00AF">
      <w:pPr>
        <w:pStyle w:val="ListParagraph"/>
        <w:shd w:val="clear" w:color="auto" w:fill="FFFFFF"/>
        <w:spacing w:line="259" w:lineRule="auto"/>
        <w:ind w:left="360"/>
        <w:jc w:val="both"/>
        <w:outlineLvl w:val="2"/>
        <w:rPr>
          <w:color w:val="000000"/>
          <w:sz w:val="24"/>
          <w:szCs w:val="24"/>
          <w:lang w:eastAsia="en-GB"/>
        </w:rPr>
      </w:pPr>
    </w:p>
    <w:p w14:paraId="7ED4496C" w14:textId="06C257CC" w:rsidR="002F229C" w:rsidRDefault="009A0643" w:rsidP="009F00AF">
      <w:pPr>
        <w:pStyle w:val="ListParagraph"/>
        <w:shd w:val="clear" w:color="auto" w:fill="FFFFFF"/>
        <w:spacing w:line="259" w:lineRule="auto"/>
        <w:ind w:left="360"/>
        <w:jc w:val="both"/>
        <w:outlineLvl w:val="2"/>
        <w:rPr>
          <w:color w:val="000000"/>
          <w:sz w:val="24"/>
          <w:szCs w:val="24"/>
          <w:lang w:eastAsia="en-GB"/>
        </w:rPr>
      </w:pPr>
      <w:r w:rsidRPr="009A0643">
        <w:rPr>
          <w:color w:val="000000"/>
          <w:sz w:val="24"/>
          <w:szCs w:val="24"/>
          <w:lang w:eastAsia="en-GB"/>
        </w:rPr>
        <w:t>The right to security of the person is protected by the</w:t>
      </w:r>
      <w:r>
        <w:rPr>
          <w:color w:val="000000"/>
          <w:sz w:val="24"/>
          <w:szCs w:val="24"/>
          <w:lang w:eastAsia="en-GB"/>
        </w:rPr>
        <w:t xml:space="preserve"> </w:t>
      </w:r>
      <w:r w:rsidRPr="009A0643">
        <w:rPr>
          <w:color w:val="000000"/>
          <w:sz w:val="24"/>
          <w:szCs w:val="24"/>
          <w:lang w:eastAsia="en-GB"/>
        </w:rPr>
        <w:t>Universal Declaration of Human Rights, article 3, as well as the International Covenant on Civil and Political Rights, article 9</w:t>
      </w:r>
      <w:r>
        <w:rPr>
          <w:color w:val="000000"/>
          <w:sz w:val="24"/>
          <w:szCs w:val="24"/>
          <w:lang w:eastAsia="en-GB"/>
        </w:rPr>
        <w:t>.</w:t>
      </w:r>
      <w:r w:rsidR="008A3067">
        <w:rPr>
          <w:color w:val="000000"/>
          <w:sz w:val="24"/>
          <w:szCs w:val="24"/>
          <w:lang w:eastAsia="en-GB"/>
        </w:rPr>
        <w:t xml:space="preserve"> These provisions are echoed at the regional level by the European Convention on Human Rights, article 5, and the EU Charter </w:t>
      </w:r>
      <w:r w:rsidR="00052C2A">
        <w:rPr>
          <w:color w:val="000000"/>
          <w:sz w:val="24"/>
          <w:szCs w:val="24"/>
          <w:lang w:eastAsia="en-GB"/>
        </w:rPr>
        <w:t>of</w:t>
      </w:r>
      <w:r w:rsidR="008A3067">
        <w:rPr>
          <w:color w:val="000000"/>
          <w:sz w:val="24"/>
          <w:szCs w:val="24"/>
          <w:lang w:eastAsia="en-GB"/>
        </w:rPr>
        <w:t xml:space="preserve"> Fundamental Rights, article 6.</w:t>
      </w:r>
    </w:p>
    <w:p w14:paraId="529783C6" w14:textId="19A72DA1" w:rsidR="008A3067" w:rsidRDefault="008A3067" w:rsidP="009F00AF">
      <w:pPr>
        <w:pStyle w:val="ListParagraph"/>
        <w:shd w:val="clear" w:color="auto" w:fill="FFFFFF"/>
        <w:spacing w:line="259" w:lineRule="auto"/>
        <w:ind w:left="360"/>
        <w:jc w:val="both"/>
        <w:outlineLvl w:val="2"/>
        <w:rPr>
          <w:color w:val="000000"/>
          <w:sz w:val="24"/>
          <w:szCs w:val="24"/>
          <w:lang w:eastAsia="en-GB"/>
        </w:rPr>
      </w:pPr>
    </w:p>
    <w:p w14:paraId="73AC5E19" w14:textId="18B21A24" w:rsidR="008A3067" w:rsidRPr="001C148C" w:rsidRDefault="008A3067" w:rsidP="001C148C">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 xml:space="preserve">Principle 30 of the Yogyakarta Principles +10 interprets this framework </w:t>
      </w:r>
      <w:r w:rsidR="00FD72B1">
        <w:rPr>
          <w:color w:val="000000"/>
          <w:sz w:val="24"/>
          <w:szCs w:val="24"/>
          <w:lang w:eastAsia="en-GB"/>
        </w:rPr>
        <w:t xml:space="preserve">in relation to SOGIESC </w:t>
      </w:r>
      <w:r>
        <w:rPr>
          <w:color w:val="000000"/>
          <w:sz w:val="24"/>
          <w:szCs w:val="24"/>
          <w:lang w:eastAsia="en-GB"/>
        </w:rPr>
        <w:t>and finds upon the States the obligation to “</w:t>
      </w:r>
      <w:r w:rsidR="00D06A9E">
        <w:rPr>
          <w:color w:val="000000"/>
          <w:sz w:val="24"/>
          <w:lang w:val="en" w:eastAsia="en-GB"/>
        </w:rPr>
        <w:t>[e]</w:t>
      </w:r>
      <w:r w:rsidRPr="008A3067">
        <w:rPr>
          <w:color w:val="000000"/>
          <w:sz w:val="24"/>
          <w:lang w:val="en" w:eastAsia="en-GB"/>
        </w:rPr>
        <w:t>xercise due diligence to prevent, investigate, prosecute, punish and provide</w:t>
      </w:r>
      <w:r>
        <w:rPr>
          <w:color w:val="000000"/>
          <w:sz w:val="24"/>
          <w:lang w:val="en" w:eastAsia="en-GB"/>
        </w:rPr>
        <w:t xml:space="preserve"> </w:t>
      </w:r>
      <w:r w:rsidRPr="008A3067">
        <w:rPr>
          <w:color w:val="000000"/>
          <w:sz w:val="24"/>
          <w:szCs w:val="24"/>
          <w:lang w:eastAsia="en-GB"/>
        </w:rPr>
        <w:t>remedies for discrimination, violence and other harm, whether committed by State</w:t>
      </w:r>
      <w:r>
        <w:rPr>
          <w:color w:val="000000"/>
          <w:sz w:val="24"/>
          <w:szCs w:val="24"/>
          <w:lang w:eastAsia="en-GB"/>
        </w:rPr>
        <w:t xml:space="preserve"> </w:t>
      </w:r>
      <w:r w:rsidRPr="008A3067">
        <w:rPr>
          <w:color w:val="000000"/>
          <w:sz w:val="24"/>
          <w:szCs w:val="24"/>
          <w:lang w:eastAsia="en-GB"/>
        </w:rPr>
        <w:t>or non-State actors</w:t>
      </w:r>
      <w:r>
        <w:rPr>
          <w:color w:val="000000"/>
          <w:sz w:val="24"/>
          <w:szCs w:val="24"/>
          <w:lang w:eastAsia="en-GB"/>
        </w:rPr>
        <w:t>”</w:t>
      </w:r>
      <w:r w:rsidR="00FD72B1">
        <w:rPr>
          <w:rStyle w:val="FootnoteReference"/>
          <w:color w:val="000000"/>
          <w:sz w:val="24"/>
          <w:szCs w:val="24"/>
          <w:lang w:eastAsia="en-GB"/>
        </w:rPr>
        <w:footnoteReference w:id="13"/>
      </w:r>
      <w:r>
        <w:rPr>
          <w:color w:val="000000"/>
          <w:sz w:val="24"/>
          <w:szCs w:val="24"/>
          <w:lang w:eastAsia="en-GB"/>
        </w:rPr>
        <w:t>.</w:t>
      </w:r>
    </w:p>
    <w:p w14:paraId="3D8E4624" w14:textId="1E6CC076" w:rsidR="008A3067" w:rsidRDefault="008A3067"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 xml:space="preserve">  </w:t>
      </w:r>
    </w:p>
    <w:p w14:paraId="5D62ECE9" w14:textId="7F15DAC7" w:rsidR="009E2767" w:rsidRDefault="00D3098B"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T</w:t>
      </w:r>
      <w:r w:rsidR="009C7F46">
        <w:rPr>
          <w:color w:val="000000"/>
          <w:sz w:val="24"/>
          <w:szCs w:val="24"/>
          <w:lang w:eastAsia="en-GB"/>
        </w:rPr>
        <w:t>he C</w:t>
      </w:r>
      <w:r w:rsidR="007F2714">
        <w:rPr>
          <w:color w:val="000000"/>
          <w:sz w:val="24"/>
          <w:szCs w:val="24"/>
          <w:lang w:eastAsia="en-GB"/>
        </w:rPr>
        <w:t>o</w:t>
      </w:r>
      <w:r w:rsidR="009C7F46">
        <w:rPr>
          <w:color w:val="000000"/>
          <w:sz w:val="24"/>
          <w:szCs w:val="24"/>
          <w:lang w:eastAsia="en-GB"/>
        </w:rPr>
        <w:t xml:space="preserve">E Committee of Ministers </w:t>
      </w:r>
      <w:r w:rsidR="00BE02E5">
        <w:rPr>
          <w:color w:val="000000"/>
          <w:sz w:val="24"/>
          <w:szCs w:val="24"/>
          <w:lang w:eastAsia="en-GB"/>
        </w:rPr>
        <w:t xml:space="preserve">has </w:t>
      </w:r>
      <w:r w:rsidR="009C7F46">
        <w:rPr>
          <w:color w:val="000000"/>
          <w:sz w:val="24"/>
          <w:szCs w:val="24"/>
          <w:lang w:eastAsia="en-GB"/>
        </w:rPr>
        <w:t>stated that “</w:t>
      </w:r>
      <w:r w:rsidR="009C7F46" w:rsidRPr="009C7F46">
        <w:rPr>
          <w:color w:val="000000"/>
          <w:sz w:val="24"/>
          <w:szCs w:val="24"/>
          <w:lang w:eastAsia="en-GB"/>
        </w:rPr>
        <w:t>Member states should ensure that when determining sanctions, a bias motive related to sexual orientation or gender identity may be taken into account as an aggravating circumstance</w:t>
      </w:r>
      <w:r w:rsidR="0010744D">
        <w:rPr>
          <w:color w:val="000000"/>
          <w:sz w:val="24"/>
          <w:szCs w:val="24"/>
          <w:lang w:eastAsia="en-GB"/>
        </w:rPr>
        <w:t>”</w:t>
      </w:r>
      <w:r w:rsidR="0010744D">
        <w:rPr>
          <w:rStyle w:val="FootnoteReference"/>
          <w:color w:val="000000"/>
          <w:sz w:val="24"/>
          <w:szCs w:val="24"/>
          <w:lang w:eastAsia="en-GB"/>
        </w:rPr>
        <w:footnoteReference w:id="14"/>
      </w:r>
      <w:r w:rsidR="0010744D">
        <w:rPr>
          <w:color w:val="000000"/>
          <w:sz w:val="24"/>
          <w:szCs w:val="24"/>
          <w:lang w:eastAsia="en-GB"/>
        </w:rPr>
        <w:t xml:space="preserve">. </w:t>
      </w:r>
      <w:r w:rsidR="007F2714">
        <w:rPr>
          <w:color w:val="000000"/>
          <w:sz w:val="24"/>
          <w:szCs w:val="24"/>
          <w:lang w:eastAsia="en-GB"/>
        </w:rPr>
        <w:t xml:space="preserve">ECRI further recommended to criminalise hate speech when amounting to public incitement to </w:t>
      </w:r>
      <w:r w:rsidR="007F2714" w:rsidRPr="007F2714">
        <w:rPr>
          <w:color w:val="000000"/>
          <w:sz w:val="24"/>
          <w:szCs w:val="24"/>
          <w:lang w:eastAsia="en-GB"/>
        </w:rPr>
        <w:t>violence, intimidation, hostility or discrimination</w:t>
      </w:r>
      <w:r w:rsidR="0010744D">
        <w:rPr>
          <w:rStyle w:val="FootnoteReference"/>
          <w:color w:val="000000"/>
          <w:sz w:val="24"/>
          <w:szCs w:val="24"/>
          <w:lang w:eastAsia="en-GB"/>
        </w:rPr>
        <w:footnoteReference w:id="15"/>
      </w:r>
      <w:r w:rsidR="007F2714">
        <w:rPr>
          <w:color w:val="000000"/>
          <w:sz w:val="24"/>
          <w:szCs w:val="24"/>
          <w:lang w:eastAsia="en-GB"/>
        </w:rPr>
        <w:t>.</w:t>
      </w:r>
    </w:p>
    <w:p w14:paraId="67A0C47C" w14:textId="77777777" w:rsidR="00BE02E5" w:rsidRDefault="00BE02E5" w:rsidP="00BE02E5">
      <w:pPr>
        <w:pStyle w:val="ListParagraph"/>
        <w:shd w:val="clear" w:color="auto" w:fill="FFFFFF"/>
        <w:spacing w:line="259" w:lineRule="auto"/>
        <w:ind w:left="360"/>
        <w:jc w:val="both"/>
        <w:outlineLvl w:val="2"/>
        <w:rPr>
          <w:color w:val="000000"/>
          <w:sz w:val="24"/>
          <w:szCs w:val="24"/>
          <w:lang w:eastAsia="en-GB"/>
        </w:rPr>
      </w:pPr>
    </w:p>
    <w:p w14:paraId="0A8AE7EC" w14:textId="03A1A2C2" w:rsidR="00BE02E5" w:rsidRDefault="00BE02E5"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The European Commission has presented an initiative to extend the list of so-called “Eurocrimes”</w:t>
      </w:r>
      <w:r>
        <w:rPr>
          <w:rStyle w:val="FootnoteReference"/>
          <w:color w:val="000000"/>
          <w:sz w:val="24"/>
          <w:szCs w:val="24"/>
          <w:lang w:eastAsia="en-GB"/>
        </w:rPr>
        <w:footnoteReference w:id="16"/>
      </w:r>
      <w:r>
        <w:rPr>
          <w:color w:val="000000"/>
          <w:sz w:val="24"/>
          <w:szCs w:val="24"/>
          <w:lang w:eastAsia="en-GB"/>
        </w:rPr>
        <w:t>, following-up on the commitment it made in its LGBTIQ Equality Strategy to</w:t>
      </w:r>
      <w:r w:rsidRPr="00755CBD">
        <w:rPr>
          <w:color w:val="000000"/>
          <w:sz w:val="24"/>
          <w:szCs w:val="24"/>
          <w:lang w:eastAsia="en-GB"/>
        </w:rPr>
        <w:t xml:space="preserve"> </w:t>
      </w:r>
      <w:r>
        <w:rPr>
          <w:color w:val="000000"/>
          <w:sz w:val="24"/>
          <w:szCs w:val="24"/>
          <w:lang w:eastAsia="en-GB"/>
        </w:rPr>
        <w:t>adopt common EU rules on hate crime and speech, also when targeting LGBTI persons</w:t>
      </w:r>
      <w:r>
        <w:rPr>
          <w:rStyle w:val="FootnoteReference"/>
          <w:color w:val="000000"/>
          <w:sz w:val="24"/>
          <w:szCs w:val="24"/>
          <w:lang w:eastAsia="en-GB"/>
        </w:rPr>
        <w:footnoteReference w:id="17"/>
      </w:r>
      <w:r>
        <w:rPr>
          <w:color w:val="000000"/>
          <w:sz w:val="24"/>
          <w:szCs w:val="24"/>
          <w:lang w:eastAsia="en-GB"/>
        </w:rPr>
        <w:t xml:space="preserve">. </w:t>
      </w:r>
    </w:p>
    <w:p w14:paraId="0635F026" w14:textId="77777777" w:rsidR="009E2767" w:rsidRDefault="009E2767" w:rsidP="009F00AF">
      <w:pPr>
        <w:pStyle w:val="ListParagraph"/>
        <w:shd w:val="clear" w:color="auto" w:fill="FFFFFF"/>
        <w:spacing w:line="259" w:lineRule="auto"/>
        <w:ind w:left="360"/>
        <w:jc w:val="both"/>
        <w:outlineLvl w:val="2"/>
        <w:rPr>
          <w:color w:val="000000"/>
          <w:sz w:val="24"/>
          <w:szCs w:val="24"/>
          <w:lang w:eastAsia="en-GB"/>
        </w:rPr>
      </w:pPr>
    </w:p>
    <w:p w14:paraId="51596158" w14:textId="6AEDB17C" w:rsidR="009C6C81" w:rsidRDefault="00BE02E5"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However, u</w:t>
      </w:r>
      <w:r w:rsidR="009E2767" w:rsidRPr="009E2767">
        <w:rPr>
          <w:color w:val="000000"/>
          <w:sz w:val="24"/>
          <w:szCs w:val="24"/>
          <w:lang w:eastAsia="en-GB"/>
        </w:rPr>
        <w:t xml:space="preserve">p to this date only three </w:t>
      </w:r>
      <w:r w:rsidR="009E2767">
        <w:rPr>
          <w:color w:val="000000"/>
          <w:sz w:val="24"/>
          <w:szCs w:val="24"/>
          <w:lang w:eastAsia="en-GB"/>
        </w:rPr>
        <w:t>European countries</w:t>
      </w:r>
      <w:r w:rsidR="009E2767" w:rsidRPr="009E2767">
        <w:rPr>
          <w:color w:val="000000"/>
          <w:sz w:val="24"/>
          <w:szCs w:val="24"/>
          <w:vertAlign w:val="superscript"/>
          <w:lang w:eastAsia="en-GB"/>
        </w:rPr>
        <w:footnoteReference w:id="18"/>
      </w:r>
      <w:r w:rsidR="009E2767" w:rsidRPr="009E2767">
        <w:rPr>
          <w:color w:val="000000"/>
          <w:sz w:val="24"/>
          <w:szCs w:val="24"/>
          <w:lang w:eastAsia="en-GB"/>
        </w:rPr>
        <w:t xml:space="preserve"> offer </w:t>
      </w:r>
      <w:r w:rsidR="003B5101">
        <w:rPr>
          <w:color w:val="000000"/>
          <w:sz w:val="24"/>
          <w:szCs w:val="24"/>
          <w:lang w:eastAsia="en-GB"/>
        </w:rPr>
        <w:t xml:space="preserve">State level </w:t>
      </w:r>
      <w:r w:rsidR="009E2767" w:rsidRPr="009E2767">
        <w:rPr>
          <w:color w:val="000000"/>
          <w:sz w:val="24"/>
          <w:szCs w:val="24"/>
          <w:lang w:eastAsia="en-GB"/>
        </w:rPr>
        <w:t>protection against hate crime on the ground of sex characteristics and only two</w:t>
      </w:r>
      <w:r w:rsidR="009E2767" w:rsidRPr="009E2767">
        <w:rPr>
          <w:color w:val="000000"/>
          <w:sz w:val="24"/>
          <w:szCs w:val="24"/>
          <w:vertAlign w:val="superscript"/>
          <w:lang w:eastAsia="en-GB"/>
        </w:rPr>
        <w:footnoteReference w:id="19"/>
      </w:r>
      <w:r w:rsidR="009E2767" w:rsidRPr="009E2767">
        <w:rPr>
          <w:color w:val="000000"/>
          <w:sz w:val="24"/>
          <w:szCs w:val="24"/>
          <w:lang w:eastAsia="en-GB"/>
        </w:rPr>
        <w:t xml:space="preserve"> against hate speech</w:t>
      </w:r>
      <w:r w:rsidR="002C51F1">
        <w:rPr>
          <w:color w:val="000000"/>
          <w:sz w:val="24"/>
          <w:szCs w:val="24"/>
          <w:lang w:eastAsia="en-GB"/>
        </w:rPr>
        <w:t>.</w:t>
      </w:r>
      <w:r w:rsidR="00D3098B">
        <w:rPr>
          <w:color w:val="000000"/>
          <w:sz w:val="24"/>
          <w:szCs w:val="24"/>
          <w:lang w:eastAsia="en-GB"/>
        </w:rPr>
        <w:t xml:space="preserve"> </w:t>
      </w:r>
    </w:p>
    <w:p w14:paraId="74696907" w14:textId="77777777" w:rsidR="00CF4A08" w:rsidRDefault="00CF4A08" w:rsidP="009F00AF">
      <w:pPr>
        <w:pStyle w:val="ListParagraph"/>
        <w:shd w:val="clear" w:color="auto" w:fill="FFFFFF"/>
        <w:spacing w:line="259" w:lineRule="auto"/>
        <w:ind w:left="360"/>
        <w:jc w:val="both"/>
        <w:outlineLvl w:val="2"/>
        <w:rPr>
          <w:color w:val="000000"/>
          <w:sz w:val="24"/>
          <w:szCs w:val="24"/>
          <w:lang w:eastAsia="en-GB"/>
        </w:rPr>
      </w:pPr>
    </w:p>
    <w:p w14:paraId="0B70C87F" w14:textId="6FC88FAD" w:rsidR="009C6C81" w:rsidRDefault="00BE02E5"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Without criminal provisions in place r</w:t>
      </w:r>
      <w:r w:rsidR="007E14E2">
        <w:rPr>
          <w:color w:val="000000"/>
          <w:sz w:val="24"/>
          <w:szCs w:val="24"/>
          <w:lang w:eastAsia="en-GB"/>
        </w:rPr>
        <w:t xml:space="preserve">edress options are non-existent </w:t>
      </w:r>
      <w:r>
        <w:rPr>
          <w:color w:val="000000"/>
          <w:sz w:val="24"/>
          <w:szCs w:val="24"/>
          <w:lang w:eastAsia="en-GB"/>
        </w:rPr>
        <w:t>in the majority of European countries,</w:t>
      </w:r>
      <w:r w:rsidR="007E14E2">
        <w:rPr>
          <w:color w:val="000000"/>
          <w:sz w:val="24"/>
          <w:szCs w:val="24"/>
          <w:lang w:eastAsia="en-GB"/>
        </w:rPr>
        <w:t xml:space="preserve"> while even when it is possible to rely on general provisions in the lack of specific ones (</w:t>
      </w:r>
      <w:r w:rsidR="001B2225">
        <w:rPr>
          <w:color w:val="000000"/>
          <w:sz w:val="24"/>
          <w:szCs w:val="24"/>
          <w:lang w:eastAsia="en-GB"/>
        </w:rPr>
        <w:t>e.g.,</w:t>
      </w:r>
      <w:r w:rsidR="007E14E2">
        <w:rPr>
          <w:color w:val="000000"/>
          <w:sz w:val="24"/>
          <w:szCs w:val="24"/>
          <w:lang w:eastAsia="en-GB"/>
        </w:rPr>
        <w:t xml:space="preserve"> the crimes of violence or threat, with no relevance given to the bias motivation), redress is hardly accessible</w:t>
      </w:r>
      <w:r w:rsidR="00B41CA4">
        <w:rPr>
          <w:color w:val="000000"/>
          <w:sz w:val="24"/>
          <w:szCs w:val="24"/>
          <w:lang w:eastAsia="en-GB"/>
        </w:rPr>
        <w:t xml:space="preserve"> in practice.</w:t>
      </w:r>
    </w:p>
    <w:p w14:paraId="05691D88" w14:textId="2C9E90FF" w:rsidR="009A0643" w:rsidRDefault="009A0643" w:rsidP="009F00AF">
      <w:pPr>
        <w:pStyle w:val="ListParagraph"/>
        <w:shd w:val="clear" w:color="auto" w:fill="FFFFFF"/>
        <w:spacing w:line="259" w:lineRule="auto"/>
        <w:ind w:left="360"/>
        <w:jc w:val="both"/>
        <w:outlineLvl w:val="2"/>
        <w:rPr>
          <w:color w:val="000000"/>
          <w:sz w:val="24"/>
          <w:szCs w:val="24"/>
          <w:lang w:eastAsia="en-GB"/>
        </w:rPr>
      </w:pPr>
    </w:p>
    <w:p w14:paraId="5A2D4F04" w14:textId="3C06C039" w:rsidR="009A0643" w:rsidRDefault="00B41CA4" w:rsidP="009F00AF">
      <w:pPr>
        <w:pStyle w:val="ListParagraph"/>
        <w:shd w:val="clear" w:color="auto" w:fill="FFFFFF"/>
        <w:spacing w:line="259" w:lineRule="auto"/>
        <w:ind w:left="360"/>
        <w:jc w:val="both"/>
        <w:outlineLvl w:val="2"/>
        <w:rPr>
          <w:color w:val="000000"/>
          <w:sz w:val="24"/>
          <w:szCs w:val="24"/>
          <w:lang w:eastAsia="en-GB"/>
        </w:rPr>
      </w:pPr>
      <w:r>
        <w:rPr>
          <w:color w:val="000000"/>
          <w:sz w:val="24"/>
          <w:szCs w:val="24"/>
          <w:lang w:eastAsia="en-GB"/>
        </w:rPr>
        <w:t xml:space="preserve">Of </w:t>
      </w:r>
      <w:r w:rsidRPr="00B41CA4">
        <w:rPr>
          <w:color w:val="000000"/>
          <w:sz w:val="24"/>
          <w:szCs w:val="24"/>
          <w:lang w:eastAsia="en-GB"/>
        </w:rPr>
        <w:t>all</w:t>
      </w:r>
      <w:r>
        <w:rPr>
          <w:color w:val="000000"/>
          <w:sz w:val="24"/>
          <w:szCs w:val="24"/>
          <w:lang w:eastAsia="en-GB"/>
        </w:rPr>
        <w:t xml:space="preserve"> the</w:t>
      </w:r>
      <w:r w:rsidRPr="00B41CA4">
        <w:rPr>
          <w:color w:val="000000"/>
          <w:sz w:val="24"/>
          <w:szCs w:val="24"/>
          <w:lang w:eastAsia="en-GB"/>
        </w:rPr>
        <w:t xml:space="preserve"> intersex respondents</w:t>
      </w:r>
      <w:r>
        <w:rPr>
          <w:color w:val="000000"/>
          <w:sz w:val="24"/>
          <w:szCs w:val="24"/>
          <w:lang w:eastAsia="en-GB"/>
        </w:rPr>
        <w:t xml:space="preserve"> to the 2020 FRA LGBTI survey</w:t>
      </w:r>
      <w:r w:rsidRPr="00B41CA4">
        <w:rPr>
          <w:color w:val="000000"/>
          <w:sz w:val="24"/>
          <w:szCs w:val="24"/>
          <w:lang w:eastAsia="en-GB"/>
        </w:rPr>
        <w:t xml:space="preserve"> who experienced an incident of harassment or physical or sexual attack within the 12 months </w:t>
      </w:r>
      <w:r>
        <w:rPr>
          <w:color w:val="000000"/>
          <w:sz w:val="24"/>
          <w:szCs w:val="24"/>
          <w:lang w:eastAsia="en-GB"/>
        </w:rPr>
        <w:t>before</w:t>
      </w:r>
      <w:r w:rsidRPr="00B41CA4">
        <w:rPr>
          <w:color w:val="000000"/>
          <w:sz w:val="24"/>
          <w:szCs w:val="24"/>
          <w:lang w:eastAsia="en-GB"/>
        </w:rPr>
        <w:t>, only 25% reported the incident to any authority or organisation</w:t>
      </w:r>
      <w:r>
        <w:rPr>
          <w:color w:val="000000"/>
          <w:sz w:val="24"/>
          <w:szCs w:val="24"/>
          <w:lang w:eastAsia="en-GB"/>
        </w:rPr>
        <w:t>, of which only</w:t>
      </w:r>
      <w:r w:rsidRPr="00B41CA4">
        <w:rPr>
          <w:color w:val="000000"/>
          <w:sz w:val="24"/>
          <w:szCs w:val="24"/>
          <w:lang w:eastAsia="en-GB"/>
        </w:rPr>
        <w:t xml:space="preserve"> 16%, reported </w:t>
      </w:r>
      <w:r>
        <w:rPr>
          <w:color w:val="000000"/>
          <w:sz w:val="24"/>
          <w:szCs w:val="24"/>
          <w:lang w:eastAsia="en-GB"/>
        </w:rPr>
        <w:t xml:space="preserve">it </w:t>
      </w:r>
      <w:r w:rsidRPr="00B41CA4">
        <w:rPr>
          <w:color w:val="000000"/>
          <w:sz w:val="24"/>
          <w:szCs w:val="24"/>
          <w:lang w:eastAsia="en-GB"/>
        </w:rPr>
        <w:t>to the police</w:t>
      </w:r>
      <w:r w:rsidR="00EF57D8">
        <w:rPr>
          <w:rStyle w:val="FootnoteReference"/>
          <w:color w:val="000000"/>
          <w:sz w:val="24"/>
          <w:szCs w:val="24"/>
          <w:lang w:eastAsia="en-GB"/>
        </w:rPr>
        <w:footnoteReference w:id="20"/>
      </w:r>
      <w:r>
        <w:rPr>
          <w:color w:val="000000"/>
          <w:sz w:val="24"/>
          <w:szCs w:val="24"/>
          <w:lang w:eastAsia="en-GB"/>
        </w:rPr>
        <w:t>.</w:t>
      </w:r>
    </w:p>
    <w:p w14:paraId="739CDCAF" w14:textId="63CB1DC2" w:rsidR="00700879" w:rsidRDefault="00700879" w:rsidP="009F00AF">
      <w:pPr>
        <w:pStyle w:val="ListParagraph"/>
        <w:shd w:val="clear" w:color="auto" w:fill="FFFFFF"/>
        <w:spacing w:line="259" w:lineRule="auto"/>
        <w:ind w:left="360"/>
        <w:jc w:val="both"/>
        <w:outlineLvl w:val="2"/>
        <w:rPr>
          <w:color w:val="000000"/>
          <w:sz w:val="24"/>
          <w:szCs w:val="24"/>
          <w:lang w:eastAsia="en-GB"/>
        </w:rPr>
      </w:pPr>
    </w:p>
    <w:p w14:paraId="2643DED2" w14:textId="77777777" w:rsidR="00700879" w:rsidRPr="00700879" w:rsidRDefault="00700879" w:rsidP="00700879">
      <w:pPr>
        <w:pStyle w:val="ListParagraph"/>
        <w:shd w:val="clear" w:color="auto" w:fill="FFFFFF"/>
        <w:spacing w:line="259" w:lineRule="auto"/>
        <w:ind w:left="360"/>
        <w:outlineLvl w:val="2"/>
        <w:rPr>
          <w:color w:val="000000"/>
          <w:sz w:val="24"/>
          <w:szCs w:val="24"/>
          <w:lang w:eastAsia="en-GB"/>
        </w:rPr>
      </w:pPr>
      <w:r w:rsidRPr="00700879">
        <w:rPr>
          <w:color w:val="000000"/>
          <w:sz w:val="24"/>
          <w:szCs w:val="24"/>
          <w:lang w:eastAsia="en-GB"/>
        </w:rPr>
        <w:t>The most common reasons include former experience or fear that:</w:t>
      </w:r>
    </w:p>
    <w:p w14:paraId="14C7EACC" w14:textId="77777777" w:rsidR="00700879" w:rsidRPr="00700879" w:rsidRDefault="00700879" w:rsidP="00700879">
      <w:pPr>
        <w:pStyle w:val="ListParagraph"/>
        <w:numPr>
          <w:ilvl w:val="0"/>
          <w:numId w:val="6"/>
        </w:numPr>
        <w:shd w:val="clear" w:color="auto" w:fill="FFFFFF"/>
        <w:spacing w:line="259" w:lineRule="auto"/>
        <w:outlineLvl w:val="2"/>
        <w:rPr>
          <w:color w:val="000000"/>
          <w:sz w:val="24"/>
          <w:szCs w:val="24"/>
          <w:lang w:eastAsia="en-GB"/>
        </w:rPr>
      </w:pPr>
      <w:r w:rsidRPr="00700879">
        <w:rPr>
          <w:color w:val="000000"/>
          <w:sz w:val="24"/>
          <w:szCs w:val="24"/>
          <w:lang w:eastAsia="en-GB"/>
        </w:rPr>
        <w:t>the police would not or could not do anything</w:t>
      </w:r>
    </w:p>
    <w:p w14:paraId="548749AF" w14:textId="77777777" w:rsidR="00700879" w:rsidRPr="00700879" w:rsidRDefault="00700879" w:rsidP="00700879">
      <w:pPr>
        <w:pStyle w:val="ListParagraph"/>
        <w:numPr>
          <w:ilvl w:val="0"/>
          <w:numId w:val="6"/>
        </w:numPr>
        <w:shd w:val="clear" w:color="auto" w:fill="FFFFFF"/>
        <w:spacing w:line="259" w:lineRule="auto"/>
        <w:outlineLvl w:val="2"/>
        <w:rPr>
          <w:color w:val="000000"/>
          <w:sz w:val="24"/>
          <w:szCs w:val="24"/>
          <w:lang w:eastAsia="en-GB"/>
        </w:rPr>
      </w:pPr>
      <w:r w:rsidRPr="00700879">
        <w:rPr>
          <w:color w:val="000000"/>
          <w:sz w:val="24"/>
          <w:szCs w:val="24"/>
          <w:lang w:eastAsia="en-GB"/>
        </w:rPr>
        <w:t>not trusting the police</w:t>
      </w:r>
    </w:p>
    <w:p w14:paraId="024182CF" w14:textId="4FB8E8E6" w:rsidR="00700879" w:rsidRDefault="00700879" w:rsidP="00700879">
      <w:pPr>
        <w:pStyle w:val="ListParagraph"/>
        <w:numPr>
          <w:ilvl w:val="0"/>
          <w:numId w:val="6"/>
        </w:numPr>
        <w:shd w:val="clear" w:color="auto" w:fill="FFFFFF"/>
        <w:spacing w:line="259" w:lineRule="auto"/>
        <w:jc w:val="both"/>
        <w:outlineLvl w:val="2"/>
        <w:rPr>
          <w:color w:val="000000"/>
          <w:sz w:val="24"/>
          <w:szCs w:val="24"/>
          <w:lang w:eastAsia="en-GB"/>
        </w:rPr>
      </w:pPr>
      <w:r w:rsidRPr="00700879">
        <w:rPr>
          <w:color w:val="000000"/>
          <w:sz w:val="24"/>
          <w:szCs w:val="24"/>
          <w:lang w:eastAsia="en-GB"/>
        </w:rPr>
        <w:t>fear of a homo-phobic and/or transphobic reaction if they reported to the police</w:t>
      </w:r>
      <w:r w:rsidR="00230606">
        <w:rPr>
          <w:rStyle w:val="FootnoteReference"/>
          <w:color w:val="000000"/>
          <w:sz w:val="24"/>
          <w:szCs w:val="24"/>
          <w:lang w:eastAsia="en-GB"/>
        </w:rPr>
        <w:footnoteReference w:id="21"/>
      </w:r>
      <w:r>
        <w:rPr>
          <w:color w:val="000000"/>
          <w:sz w:val="24"/>
          <w:szCs w:val="24"/>
          <w:lang w:eastAsia="en-GB"/>
        </w:rPr>
        <w:t>.</w:t>
      </w:r>
    </w:p>
    <w:p w14:paraId="57D2E7EC" w14:textId="77777777" w:rsidR="00700879" w:rsidRPr="00700879" w:rsidRDefault="00700879" w:rsidP="00700879">
      <w:pPr>
        <w:shd w:val="clear" w:color="auto" w:fill="FFFFFF"/>
        <w:spacing w:line="259" w:lineRule="auto"/>
        <w:ind w:left="360"/>
        <w:jc w:val="both"/>
        <w:outlineLvl w:val="2"/>
        <w:rPr>
          <w:color w:val="000000"/>
          <w:sz w:val="24"/>
          <w:szCs w:val="24"/>
          <w:lang w:eastAsia="en-GB"/>
        </w:rPr>
      </w:pPr>
    </w:p>
    <w:p w14:paraId="17403491" w14:textId="77777777" w:rsidR="009F00AF" w:rsidRPr="00D90F79" w:rsidRDefault="009F00AF" w:rsidP="009F00AF">
      <w:pPr>
        <w:pStyle w:val="ListParagraph"/>
        <w:numPr>
          <w:ilvl w:val="0"/>
          <w:numId w:val="1"/>
        </w:numPr>
        <w:shd w:val="clear" w:color="auto" w:fill="FFFFFF"/>
        <w:spacing w:line="259" w:lineRule="auto"/>
        <w:jc w:val="both"/>
        <w:outlineLvl w:val="2"/>
        <w:rPr>
          <w:color w:val="1F4E79" w:themeColor="accent1" w:themeShade="80"/>
          <w:sz w:val="24"/>
          <w:szCs w:val="24"/>
          <w:lang w:eastAsia="en-GB"/>
        </w:rPr>
      </w:pPr>
      <w:r w:rsidRPr="00D90F79">
        <w:rPr>
          <w:color w:val="1F4E79" w:themeColor="accent1" w:themeShade="80"/>
          <w:sz w:val="24"/>
          <w:szCs w:val="24"/>
          <w:lang w:eastAsia="en-GB"/>
        </w:rPr>
        <w:t xml:space="preserve">Please share examples of </w:t>
      </w:r>
      <w:r w:rsidRPr="00CF3C95">
        <w:rPr>
          <w:color w:val="1F4E79" w:themeColor="accent1" w:themeShade="80"/>
          <w:sz w:val="24"/>
          <w:szCs w:val="24"/>
          <w:u w:val="single"/>
          <w:lang w:eastAsia="en-GB"/>
        </w:rPr>
        <w:t>the types of structural and institutional violence with origins within the State, (</w:t>
      </w:r>
      <w:r w:rsidRPr="00CF3C95">
        <w:rPr>
          <w:color w:val="1F4E79" w:themeColor="accent1" w:themeShade="80"/>
          <w:sz w:val="24"/>
          <w:szCs w:val="24"/>
          <w:u w:val="single"/>
          <w:shd w:val="clear" w:color="auto" w:fill="FFFFFF"/>
          <w:lang w:val="en-ZA" w:eastAsia="en-GB"/>
        </w:rPr>
        <w:t>perpetrated or condoned by the State)</w:t>
      </w:r>
      <w:r w:rsidRPr="00D90F79">
        <w:rPr>
          <w:color w:val="1F4E79" w:themeColor="accent1" w:themeShade="80"/>
          <w:sz w:val="24"/>
          <w:szCs w:val="24"/>
          <w:lang w:val="en-ZA" w:eastAsia="en-GB"/>
        </w:rPr>
        <w:t xml:space="preserve"> or </w:t>
      </w:r>
      <w:r w:rsidRPr="00D90F79">
        <w:rPr>
          <w:color w:val="1F4E79" w:themeColor="accent1" w:themeShade="80"/>
          <w:sz w:val="24"/>
          <w:szCs w:val="24"/>
          <w:shd w:val="clear" w:color="auto" w:fill="FFFFFF"/>
          <w:lang w:val="en-ZA" w:eastAsia="en-GB"/>
        </w:rPr>
        <w:t xml:space="preserve">perpetrated by those not representing or affiliated to the state </w:t>
      </w:r>
      <w:r w:rsidRPr="00D90F79">
        <w:rPr>
          <w:color w:val="1F4E79" w:themeColor="accent1" w:themeShade="80"/>
          <w:sz w:val="24"/>
          <w:szCs w:val="24"/>
          <w:lang w:eastAsia="en-GB"/>
        </w:rPr>
        <w:t xml:space="preserve">in your country/ies of region, and who is affected. In particular, describe </w:t>
      </w:r>
      <w:r w:rsidRPr="00CF3C95">
        <w:rPr>
          <w:color w:val="1F4E79" w:themeColor="accent1" w:themeShade="80"/>
          <w:sz w:val="24"/>
          <w:szCs w:val="24"/>
          <w:u w:val="single"/>
          <w:lang w:eastAsia="en-GB"/>
        </w:rPr>
        <w:t>structural/institutional violence in medical settings against women and girls, LGBTI persons</w:t>
      </w:r>
      <w:r w:rsidRPr="00D90F79">
        <w:rPr>
          <w:color w:val="1F4E79" w:themeColor="accent1" w:themeShade="80"/>
          <w:sz w:val="24"/>
          <w:szCs w:val="24"/>
          <w:lang w:eastAsia="en-GB"/>
        </w:rPr>
        <w:t xml:space="preserve"> and persons with disabilities or any other individuals or groups relevant in your country/ies or regions.  </w:t>
      </w:r>
    </w:p>
    <w:p w14:paraId="152D4C16" w14:textId="1CB49068" w:rsidR="009F00AF" w:rsidRDefault="009F00AF" w:rsidP="00BA21AA">
      <w:pPr>
        <w:spacing w:line="259" w:lineRule="auto"/>
        <w:ind w:left="426"/>
        <w:jc w:val="both"/>
        <w:rPr>
          <w:color w:val="000000"/>
          <w:sz w:val="24"/>
          <w:szCs w:val="24"/>
          <w:lang w:eastAsia="en-GB"/>
        </w:rPr>
      </w:pPr>
    </w:p>
    <w:p w14:paraId="4F2CB4A7" w14:textId="69DD2D68" w:rsidR="0095763D" w:rsidRDefault="0095763D" w:rsidP="0095763D">
      <w:pPr>
        <w:spacing w:line="259" w:lineRule="auto"/>
        <w:ind w:left="426"/>
        <w:jc w:val="both"/>
        <w:rPr>
          <w:color w:val="000000"/>
          <w:sz w:val="24"/>
          <w:szCs w:val="24"/>
          <w:lang w:eastAsia="en-GB"/>
        </w:rPr>
      </w:pPr>
      <w:r w:rsidRPr="0095763D">
        <w:rPr>
          <w:color w:val="000000"/>
          <w:sz w:val="24"/>
          <w:szCs w:val="24"/>
          <w:lang w:eastAsia="en-GB"/>
        </w:rPr>
        <w:t>The most severe form of structural and institutional violence that affects intersex people is Intersex Genital Mutilation (IGM), an intervention on a healthy intersex body. IGM is performed when, according to societal and medical notions, a person</w:t>
      </w:r>
      <w:r w:rsidRPr="0095763D">
        <w:rPr>
          <w:rFonts w:hint="eastAsia"/>
          <w:color w:val="000000"/>
          <w:sz w:val="24"/>
          <w:szCs w:val="24"/>
          <w:lang w:eastAsia="en-GB"/>
        </w:rPr>
        <w:t>’</w:t>
      </w:r>
      <w:r w:rsidRPr="0095763D">
        <w:rPr>
          <w:color w:val="000000"/>
          <w:sz w:val="24"/>
          <w:szCs w:val="24"/>
          <w:lang w:eastAsia="en-GB"/>
        </w:rPr>
        <w:t xml:space="preserve">s external genitals do not look </w:t>
      </w:r>
      <w:r w:rsidRPr="0095763D">
        <w:rPr>
          <w:rFonts w:hint="eastAsia"/>
          <w:color w:val="000000"/>
          <w:sz w:val="24"/>
          <w:szCs w:val="24"/>
          <w:lang w:eastAsia="en-GB"/>
        </w:rPr>
        <w:t>“</w:t>
      </w:r>
      <w:r w:rsidRPr="0095763D">
        <w:rPr>
          <w:color w:val="000000"/>
          <w:sz w:val="24"/>
          <w:szCs w:val="24"/>
          <w:lang w:eastAsia="en-GB"/>
        </w:rPr>
        <w:t>normal</w:t>
      </w:r>
      <w:r w:rsidRPr="0095763D">
        <w:rPr>
          <w:rFonts w:hint="eastAsia"/>
          <w:color w:val="000000"/>
          <w:sz w:val="24"/>
          <w:szCs w:val="24"/>
          <w:lang w:eastAsia="en-GB"/>
        </w:rPr>
        <w:t>”</w:t>
      </w:r>
      <w:r w:rsidRPr="0095763D">
        <w:rPr>
          <w:color w:val="000000"/>
          <w:sz w:val="24"/>
          <w:szCs w:val="24"/>
          <w:lang w:eastAsia="en-GB"/>
        </w:rPr>
        <w:t xml:space="preserve"> enough to pass as </w:t>
      </w:r>
      <w:r w:rsidRPr="0095763D">
        <w:rPr>
          <w:rFonts w:hint="eastAsia"/>
          <w:color w:val="000000"/>
          <w:sz w:val="24"/>
          <w:szCs w:val="24"/>
          <w:lang w:eastAsia="en-GB"/>
        </w:rPr>
        <w:t>“</w:t>
      </w:r>
      <w:r w:rsidRPr="0095763D">
        <w:rPr>
          <w:color w:val="000000"/>
          <w:sz w:val="24"/>
          <w:szCs w:val="24"/>
          <w:lang w:eastAsia="en-GB"/>
        </w:rPr>
        <w:t>male</w:t>
      </w:r>
      <w:r w:rsidRPr="0095763D">
        <w:rPr>
          <w:rFonts w:hint="eastAsia"/>
          <w:color w:val="000000"/>
          <w:sz w:val="24"/>
          <w:szCs w:val="24"/>
          <w:lang w:eastAsia="en-GB"/>
        </w:rPr>
        <w:t>”</w:t>
      </w:r>
      <w:r w:rsidRPr="0095763D">
        <w:rPr>
          <w:color w:val="000000"/>
          <w:sz w:val="24"/>
          <w:szCs w:val="24"/>
          <w:lang w:eastAsia="en-GB"/>
        </w:rPr>
        <w:t xml:space="preserve"> or </w:t>
      </w:r>
      <w:r w:rsidRPr="0095763D">
        <w:rPr>
          <w:rFonts w:hint="eastAsia"/>
          <w:color w:val="000000"/>
          <w:sz w:val="24"/>
          <w:szCs w:val="24"/>
          <w:lang w:eastAsia="en-GB"/>
        </w:rPr>
        <w:t>“</w:t>
      </w:r>
      <w:r w:rsidRPr="0095763D">
        <w:rPr>
          <w:color w:val="000000"/>
          <w:sz w:val="24"/>
          <w:szCs w:val="24"/>
          <w:lang w:eastAsia="en-GB"/>
        </w:rPr>
        <w:t>female</w:t>
      </w:r>
      <w:r w:rsidRPr="0095763D">
        <w:rPr>
          <w:rFonts w:hint="eastAsia"/>
          <w:color w:val="000000"/>
          <w:sz w:val="24"/>
          <w:szCs w:val="24"/>
          <w:lang w:eastAsia="en-GB"/>
        </w:rPr>
        <w:t>”</w:t>
      </w:r>
      <w:r w:rsidRPr="0095763D">
        <w:rPr>
          <w:color w:val="000000"/>
          <w:sz w:val="24"/>
          <w:szCs w:val="24"/>
          <w:lang w:eastAsia="en-GB"/>
        </w:rPr>
        <w:t xml:space="preserve"> genitals</w:t>
      </w:r>
      <w:r>
        <w:rPr>
          <w:rStyle w:val="FootnoteReference"/>
          <w:color w:val="000000"/>
          <w:sz w:val="24"/>
          <w:szCs w:val="24"/>
          <w:lang w:eastAsia="en-GB"/>
        </w:rPr>
        <w:footnoteReference w:id="22"/>
      </w:r>
      <w:r w:rsidRPr="0095763D">
        <w:rPr>
          <w:color w:val="000000"/>
          <w:sz w:val="24"/>
          <w:szCs w:val="24"/>
          <w:lang w:eastAsia="en-GB"/>
        </w:rPr>
        <w:t>.</w:t>
      </w:r>
      <w:r w:rsidR="00B11F39">
        <w:rPr>
          <w:color w:val="000000"/>
          <w:sz w:val="24"/>
          <w:szCs w:val="24"/>
          <w:lang w:eastAsia="en-GB"/>
        </w:rPr>
        <w:t xml:space="preserve"> It breaches multiple human rights protected by the UN framework</w:t>
      </w:r>
      <w:r w:rsidR="00420E01">
        <w:rPr>
          <w:color w:val="000000"/>
          <w:sz w:val="24"/>
          <w:szCs w:val="24"/>
          <w:lang w:eastAsia="en-GB"/>
        </w:rPr>
        <w:t xml:space="preserve"> including, among others, </w:t>
      </w:r>
      <w:r w:rsidR="00420E01" w:rsidRPr="00420E01">
        <w:rPr>
          <w:color w:val="000000"/>
          <w:sz w:val="24"/>
          <w:szCs w:val="24"/>
          <w:lang w:eastAsia="en-GB"/>
        </w:rPr>
        <w:t>freedom for torture, human dignity, right to bodily integrity, non-discrimination, best interest of the child, health protection</w:t>
      </w:r>
      <w:r w:rsidR="00B11F39">
        <w:rPr>
          <w:rStyle w:val="FootnoteReference"/>
          <w:color w:val="000000"/>
          <w:sz w:val="24"/>
          <w:szCs w:val="24"/>
          <w:lang w:eastAsia="en-GB"/>
        </w:rPr>
        <w:footnoteReference w:id="23"/>
      </w:r>
      <w:r w:rsidR="00B11F39">
        <w:rPr>
          <w:color w:val="000000"/>
          <w:sz w:val="24"/>
          <w:szCs w:val="24"/>
          <w:lang w:eastAsia="en-GB"/>
        </w:rPr>
        <w:t>.</w:t>
      </w:r>
    </w:p>
    <w:p w14:paraId="6FFCCA16" w14:textId="531A8354" w:rsidR="00C670DE" w:rsidRDefault="00C670DE" w:rsidP="0095763D">
      <w:pPr>
        <w:spacing w:line="259" w:lineRule="auto"/>
        <w:ind w:left="426"/>
        <w:jc w:val="both"/>
        <w:rPr>
          <w:color w:val="000000"/>
          <w:sz w:val="24"/>
          <w:szCs w:val="24"/>
          <w:lang w:eastAsia="en-GB"/>
        </w:rPr>
      </w:pPr>
    </w:p>
    <w:p w14:paraId="3B2D1B5C" w14:textId="4E13F0D5" w:rsidR="00C670DE" w:rsidRDefault="00C670DE" w:rsidP="0095763D">
      <w:pPr>
        <w:spacing w:line="259" w:lineRule="auto"/>
        <w:ind w:left="426"/>
        <w:jc w:val="both"/>
        <w:rPr>
          <w:color w:val="000000"/>
          <w:sz w:val="24"/>
          <w:szCs w:val="24"/>
          <w:lang w:eastAsia="en-GB"/>
        </w:rPr>
      </w:pPr>
      <w:r>
        <w:rPr>
          <w:color w:val="000000"/>
          <w:sz w:val="24"/>
          <w:szCs w:val="24"/>
          <w:lang w:eastAsia="en-GB"/>
        </w:rPr>
        <w:t>Among many other UN mechanisms repeatedly condemning IGM</w:t>
      </w:r>
      <w:r>
        <w:rPr>
          <w:rStyle w:val="FootnoteReference"/>
          <w:color w:val="000000"/>
          <w:sz w:val="24"/>
          <w:szCs w:val="24"/>
          <w:lang w:eastAsia="en-GB"/>
        </w:rPr>
        <w:footnoteReference w:id="24"/>
      </w:r>
      <w:r>
        <w:rPr>
          <w:color w:val="000000"/>
          <w:sz w:val="24"/>
          <w:szCs w:val="24"/>
          <w:lang w:eastAsia="en-GB"/>
        </w:rPr>
        <w:t>, the former</w:t>
      </w:r>
      <w:r w:rsidR="00CF5548">
        <w:rPr>
          <w:color w:val="000000"/>
          <w:sz w:val="24"/>
          <w:szCs w:val="24"/>
          <w:lang w:eastAsia="en-GB"/>
        </w:rPr>
        <w:t xml:space="preserve"> Special Rapporteur on Health</w:t>
      </w:r>
      <w:r w:rsidR="0002009F">
        <w:rPr>
          <w:color w:val="000000"/>
          <w:sz w:val="24"/>
          <w:szCs w:val="24"/>
          <w:lang w:eastAsia="en-GB"/>
        </w:rPr>
        <w:t>,</w:t>
      </w:r>
      <w:r w:rsidR="00CF5548">
        <w:rPr>
          <w:color w:val="000000"/>
          <w:sz w:val="24"/>
          <w:szCs w:val="24"/>
          <w:lang w:eastAsia="en-GB"/>
        </w:rPr>
        <w:t xml:space="preserve"> </w:t>
      </w:r>
      <w:r w:rsidR="00CF5548" w:rsidRPr="00CF5548">
        <w:rPr>
          <w:color w:val="000000"/>
          <w:sz w:val="24"/>
          <w:szCs w:val="24"/>
          <w:lang w:eastAsia="en-GB"/>
        </w:rPr>
        <w:t>Dainius Puras</w:t>
      </w:r>
      <w:r w:rsidR="0002009F">
        <w:rPr>
          <w:color w:val="000000"/>
          <w:sz w:val="24"/>
          <w:szCs w:val="24"/>
          <w:lang w:eastAsia="en-GB"/>
        </w:rPr>
        <w:t>,</w:t>
      </w:r>
      <w:r w:rsidR="009C4CF0" w:rsidRPr="009C4CF0">
        <w:rPr>
          <w:color w:val="000000"/>
          <w:sz w:val="24"/>
          <w:szCs w:val="24"/>
          <w:lang w:eastAsia="en-GB"/>
        </w:rPr>
        <w:t xml:space="preserve"> </w:t>
      </w:r>
      <w:r w:rsidR="009C4CF0">
        <w:rPr>
          <w:color w:val="000000"/>
          <w:sz w:val="24"/>
          <w:szCs w:val="24"/>
          <w:lang w:eastAsia="en-GB"/>
        </w:rPr>
        <w:t xml:space="preserve">stated that these practices </w:t>
      </w:r>
      <w:r w:rsidR="001D4CDC">
        <w:rPr>
          <w:color w:val="000000"/>
          <w:sz w:val="24"/>
          <w:szCs w:val="24"/>
          <w:lang w:eastAsia="en-GB"/>
        </w:rPr>
        <w:t>“</w:t>
      </w:r>
      <w:r w:rsidR="009C4CF0" w:rsidRPr="009C4CF0">
        <w:rPr>
          <w:color w:val="000000"/>
          <w:sz w:val="24"/>
          <w:szCs w:val="24"/>
          <w:lang w:eastAsia="en-GB"/>
        </w:rPr>
        <w:t>can have detrimental, long-lasting effects on their</w:t>
      </w:r>
      <w:r w:rsidR="003F7D01">
        <w:rPr>
          <w:color w:val="000000"/>
          <w:sz w:val="24"/>
          <w:szCs w:val="24"/>
          <w:lang w:eastAsia="en-GB"/>
        </w:rPr>
        <w:t xml:space="preserve"> [=intersex children’s]</w:t>
      </w:r>
      <w:r w:rsidR="009C4CF0" w:rsidRPr="009C4CF0">
        <w:rPr>
          <w:color w:val="000000"/>
          <w:sz w:val="24"/>
          <w:szCs w:val="24"/>
          <w:lang w:eastAsia="en-GB"/>
        </w:rPr>
        <w:t xml:space="preserve"> health and well-being; violate their basic rights to physical integrity, privacy and autonomy; and may amount to ill-treatment or even torture</w:t>
      </w:r>
      <w:r w:rsidR="001D4CDC">
        <w:rPr>
          <w:color w:val="000000"/>
          <w:sz w:val="24"/>
          <w:szCs w:val="24"/>
          <w:lang w:eastAsia="en-GB"/>
        </w:rPr>
        <w:t>”</w:t>
      </w:r>
      <w:r w:rsidR="001D4CDC">
        <w:rPr>
          <w:rStyle w:val="FootnoteReference"/>
          <w:color w:val="000000"/>
          <w:sz w:val="24"/>
          <w:szCs w:val="24"/>
          <w:lang w:eastAsia="en-GB"/>
        </w:rPr>
        <w:footnoteReference w:id="25"/>
      </w:r>
      <w:r w:rsidR="001D4CDC">
        <w:rPr>
          <w:color w:val="000000"/>
          <w:sz w:val="24"/>
          <w:szCs w:val="24"/>
          <w:lang w:eastAsia="en-GB"/>
        </w:rPr>
        <w:t>.</w:t>
      </w:r>
      <w:r w:rsidR="00466B9A">
        <w:rPr>
          <w:color w:val="000000"/>
          <w:sz w:val="24"/>
          <w:szCs w:val="24"/>
          <w:lang w:eastAsia="en-GB"/>
        </w:rPr>
        <w:t xml:space="preserve"> He added that “States should </w:t>
      </w:r>
      <w:r w:rsidR="00466B9A" w:rsidRPr="00466B9A">
        <w:rPr>
          <w:color w:val="000000"/>
          <w:sz w:val="24"/>
          <w:szCs w:val="24"/>
          <w:lang w:eastAsia="en-GB"/>
        </w:rPr>
        <w:t>prohibit unnecessary medical or surgical treatment during infancy or early childhood in order to guarantee the bodily integrity, autonomy and self- determination of the children concerned</w:t>
      </w:r>
      <w:r w:rsidR="00466B9A">
        <w:rPr>
          <w:color w:val="000000"/>
          <w:sz w:val="24"/>
          <w:szCs w:val="24"/>
          <w:lang w:eastAsia="en-GB"/>
        </w:rPr>
        <w:t>”</w:t>
      </w:r>
      <w:r w:rsidR="00466B9A">
        <w:rPr>
          <w:rStyle w:val="FootnoteReference"/>
          <w:color w:val="000000"/>
          <w:sz w:val="24"/>
          <w:szCs w:val="24"/>
          <w:lang w:eastAsia="en-GB"/>
        </w:rPr>
        <w:footnoteReference w:id="26"/>
      </w:r>
      <w:r w:rsidR="00466B9A">
        <w:rPr>
          <w:color w:val="000000"/>
          <w:sz w:val="24"/>
          <w:szCs w:val="24"/>
          <w:lang w:eastAsia="en-GB"/>
        </w:rPr>
        <w:t>.</w:t>
      </w:r>
    </w:p>
    <w:p w14:paraId="30AB0F8D" w14:textId="2D806632" w:rsidR="00296D8A" w:rsidRDefault="00296D8A" w:rsidP="0095763D">
      <w:pPr>
        <w:spacing w:line="259" w:lineRule="auto"/>
        <w:ind w:left="426"/>
        <w:jc w:val="both"/>
        <w:rPr>
          <w:color w:val="000000"/>
          <w:sz w:val="24"/>
          <w:szCs w:val="24"/>
          <w:lang w:eastAsia="en-GB"/>
        </w:rPr>
      </w:pPr>
    </w:p>
    <w:p w14:paraId="76AED07E" w14:textId="49519AEE" w:rsidR="0002009F" w:rsidRDefault="00296D8A" w:rsidP="0005155A">
      <w:pPr>
        <w:spacing w:line="259" w:lineRule="auto"/>
        <w:ind w:left="426"/>
        <w:jc w:val="both"/>
        <w:rPr>
          <w:color w:val="000000"/>
          <w:sz w:val="24"/>
          <w:szCs w:val="24"/>
          <w:lang w:eastAsia="en-GB"/>
        </w:rPr>
      </w:pPr>
      <w:r>
        <w:rPr>
          <w:color w:val="000000"/>
          <w:sz w:val="24"/>
          <w:szCs w:val="24"/>
          <w:lang w:eastAsia="en-GB"/>
        </w:rPr>
        <w:t>While none of the assumptions</w:t>
      </w:r>
      <w:r w:rsidR="00E86395">
        <w:rPr>
          <w:color w:val="000000"/>
          <w:sz w:val="24"/>
          <w:szCs w:val="24"/>
          <w:lang w:eastAsia="en-GB"/>
        </w:rPr>
        <w:t xml:space="preserve"> behind these practices is evidence-based</w:t>
      </w:r>
      <w:r w:rsidR="00E86395">
        <w:rPr>
          <w:rStyle w:val="FootnoteReference"/>
          <w:color w:val="000000"/>
          <w:sz w:val="24"/>
          <w:szCs w:val="24"/>
          <w:lang w:eastAsia="en-GB"/>
        </w:rPr>
        <w:footnoteReference w:id="27"/>
      </w:r>
      <w:r w:rsidR="00E86395">
        <w:rPr>
          <w:color w:val="000000"/>
          <w:sz w:val="24"/>
          <w:szCs w:val="24"/>
          <w:lang w:eastAsia="en-GB"/>
        </w:rPr>
        <w:t>, robust evidence exists as to their harmful consequences,</w:t>
      </w:r>
      <w:r w:rsidR="0005155A">
        <w:rPr>
          <w:color w:val="000000"/>
          <w:sz w:val="24"/>
          <w:szCs w:val="24"/>
          <w:lang w:eastAsia="en-GB"/>
        </w:rPr>
        <w:t xml:space="preserve"> namely:</w:t>
      </w:r>
      <w:r w:rsidR="00E86395">
        <w:rPr>
          <w:color w:val="000000"/>
          <w:sz w:val="24"/>
          <w:szCs w:val="24"/>
          <w:lang w:eastAsia="en-GB"/>
        </w:rPr>
        <w:t xml:space="preserve"> </w:t>
      </w:r>
      <w:r w:rsidR="0005155A" w:rsidRPr="0005155A">
        <w:rPr>
          <w:color w:val="000000"/>
          <w:sz w:val="24"/>
          <w:szCs w:val="24"/>
          <w:lang w:eastAsia="en-GB"/>
        </w:rPr>
        <w:t>psychological trauma</w:t>
      </w:r>
      <w:r w:rsidR="00407AEE">
        <w:rPr>
          <w:rStyle w:val="FootnoteReference"/>
          <w:color w:val="000000"/>
          <w:sz w:val="24"/>
          <w:szCs w:val="24"/>
          <w:lang w:eastAsia="en-GB"/>
        </w:rPr>
        <w:footnoteReference w:id="28"/>
      </w:r>
      <w:r w:rsidR="0005155A">
        <w:rPr>
          <w:color w:val="000000"/>
          <w:sz w:val="24"/>
          <w:szCs w:val="24"/>
          <w:lang w:eastAsia="en-GB"/>
        </w:rPr>
        <w:t>,</w:t>
      </w:r>
      <w:r w:rsidR="0005155A" w:rsidRPr="0005155A">
        <w:rPr>
          <w:color w:val="000000"/>
          <w:sz w:val="24"/>
          <w:szCs w:val="24"/>
          <w:lang w:eastAsia="en-GB"/>
        </w:rPr>
        <w:t xml:space="preserve"> physical</w:t>
      </w:r>
      <w:r w:rsidR="0005155A">
        <w:rPr>
          <w:color w:val="000000"/>
          <w:sz w:val="24"/>
          <w:szCs w:val="24"/>
          <w:lang w:eastAsia="en-GB"/>
        </w:rPr>
        <w:t xml:space="preserve"> </w:t>
      </w:r>
      <w:r w:rsidR="0005155A" w:rsidRPr="0005155A">
        <w:rPr>
          <w:color w:val="000000"/>
          <w:sz w:val="24"/>
          <w:szCs w:val="24"/>
          <w:lang w:eastAsia="en-GB"/>
        </w:rPr>
        <w:t>impairments includ</w:t>
      </w:r>
      <w:r w:rsidR="0005155A">
        <w:rPr>
          <w:color w:val="000000"/>
          <w:sz w:val="24"/>
          <w:szCs w:val="24"/>
          <w:lang w:eastAsia="en-GB"/>
        </w:rPr>
        <w:t>ing</w:t>
      </w:r>
      <w:r w:rsidR="0005155A" w:rsidRPr="0005155A">
        <w:rPr>
          <w:color w:val="000000"/>
          <w:sz w:val="24"/>
          <w:szCs w:val="24"/>
          <w:lang w:eastAsia="en-GB"/>
        </w:rPr>
        <w:t>, but not limited to, painful scar-tissue</w:t>
      </w:r>
      <w:r w:rsidR="00C73302">
        <w:rPr>
          <w:rStyle w:val="FootnoteReference"/>
          <w:color w:val="000000"/>
          <w:sz w:val="24"/>
          <w:szCs w:val="24"/>
          <w:lang w:eastAsia="en-GB"/>
        </w:rPr>
        <w:footnoteReference w:id="29"/>
      </w:r>
      <w:r w:rsidR="0005155A">
        <w:rPr>
          <w:color w:val="000000"/>
          <w:sz w:val="24"/>
          <w:szCs w:val="24"/>
          <w:lang w:eastAsia="en-GB"/>
        </w:rPr>
        <w:t xml:space="preserve"> </w:t>
      </w:r>
      <w:r w:rsidR="0005155A" w:rsidRPr="0005155A">
        <w:rPr>
          <w:color w:val="000000"/>
          <w:sz w:val="24"/>
          <w:szCs w:val="24"/>
          <w:lang w:eastAsia="en-GB"/>
        </w:rPr>
        <w:t>and lack of (general and/or erotic) sensation</w:t>
      </w:r>
      <w:r w:rsidR="00AA345D">
        <w:rPr>
          <w:rStyle w:val="FootnoteReference"/>
          <w:color w:val="000000"/>
          <w:sz w:val="24"/>
          <w:szCs w:val="24"/>
          <w:lang w:eastAsia="en-GB"/>
        </w:rPr>
        <w:footnoteReference w:id="30"/>
      </w:r>
      <w:r w:rsidR="0005155A" w:rsidRPr="0005155A">
        <w:rPr>
          <w:color w:val="000000"/>
          <w:sz w:val="24"/>
          <w:szCs w:val="24"/>
          <w:lang w:eastAsia="en-GB"/>
        </w:rPr>
        <w:t>, osteoporosis and</w:t>
      </w:r>
      <w:r w:rsidR="0005155A">
        <w:rPr>
          <w:color w:val="000000"/>
          <w:sz w:val="24"/>
          <w:szCs w:val="24"/>
          <w:lang w:eastAsia="en-GB"/>
        </w:rPr>
        <w:t xml:space="preserve"> </w:t>
      </w:r>
      <w:r w:rsidR="0005155A" w:rsidRPr="0005155A">
        <w:rPr>
          <w:color w:val="000000"/>
          <w:sz w:val="24"/>
          <w:szCs w:val="24"/>
          <w:lang w:eastAsia="en-GB"/>
        </w:rPr>
        <w:t>osteopenia already at a very young age after the removal of</w:t>
      </w:r>
      <w:r w:rsidR="0005155A">
        <w:rPr>
          <w:color w:val="000000"/>
          <w:sz w:val="24"/>
          <w:szCs w:val="24"/>
          <w:lang w:eastAsia="en-GB"/>
        </w:rPr>
        <w:t xml:space="preserve"> </w:t>
      </w:r>
      <w:r w:rsidR="0005155A" w:rsidRPr="0005155A">
        <w:rPr>
          <w:color w:val="000000"/>
          <w:sz w:val="24"/>
          <w:szCs w:val="24"/>
          <w:lang w:eastAsia="en-GB"/>
        </w:rPr>
        <w:t>gonadal tissue, urinary impairments as a result of interventions</w:t>
      </w:r>
      <w:r w:rsidR="0005155A">
        <w:rPr>
          <w:color w:val="000000"/>
          <w:sz w:val="24"/>
          <w:szCs w:val="24"/>
          <w:lang w:eastAsia="en-GB"/>
        </w:rPr>
        <w:t xml:space="preserve"> </w:t>
      </w:r>
      <w:r w:rsidR="0005155A" w:rsidRPr="0005155A">
        <w:rPr>
          <w:color w:val="000000"/>
          <w:sz w:val="24"/>
          <w:szCs w:val="24"/>
          <w:lang w:eastAsia="en-GB"/>
        </w:rPr>
        <w:t xml:space="preserve">on the urethral tract, including from so-called </w:t>
      </w:r>
      <w:r w:rsidR="0005155A" w:rsidRPr="0005155A">
        <w:rPr>
          <w:rFonts w:hint="eastAsia"/>
          <w:color w:val="000000"/>
          <w:sz w:val="24"/>
          <w:szCs w:val="24"/>
          <w:lang w:eastAsia="en-GB"/>
        </w:rPr>
        <w:t>“</w:t>
      </w:r>
      <w:r w:rsidR="0005155A" w:rsidRPr="0005155A">
        <w:rPr>
          <w:color w:val="000000"/>
          <w:sz w:val="24"/>
          <w:szCs w:val="24"/>
          <w:lang w:eastAsia="en-GB"/>
        </w:rPr>
        <w:t>hypospadias</w:t>
      </w:r>
      <w:r w:rsidR="0005155A">
        <w:rPr>
          <w:color w:val="000000"/>
          <w:sz w:val="24"/>
          <w:szCs w:val="24"/>
          <w:lang w:eastAsia="en-GB"/>
        </w:rPr>
        <w:t xml:space="preserve"> </w:t>
      </w:r>
      <w:r w:rsidR="0005155A" w:rsidRPr="0005155A">
        <w:rPr>
          <w:color w:val="000000"/>
          <w:sz w:val="24"/>
          <w:szCs w:val="24"/>
          <w:lang w:eastAsia="en-GB"/>
        </w:rPr>
        <w:t>repair</w:t>
      </w:r>
      <w:r w:rsidR="0005155A" w:rsidRPr="0005155A">
        <w:rPr>
          <w:rFonts w:hint="eastAsia"/>
          <w:color w:val="000000"/>
          <w:sz w:val="24"/>
          <w:szCs w:val="24"/>
          <w:lang w:eastAsia="en-GB"/>
        </w:rPr>
        <w:t>”</w:t>
      </w:r>
      <w:r w:rsidR="0005155A">
        <w:rPr>
          <w:color w:val="000000"/>
          <w:sz w:val="24"/>
          <w:szCs w:val="24"/>
          <w:lang w:eastAsia="en-GB"/>
        </w:rPr>
        <w:t xml:space="preserve"> </w:t>
      </w:r>
      <w:r w:rsidR="0005155A" w:rsidRPr="0005155A">
        <w:rPr>
          <w:color w:val="000000"/>
          <w:sz w:val="24"/>
          <w:szCs w:val="24"/>
          <w:lang w:eastAsia="en-GB"/>
        </w:rPr>
        <w:t>and other genital surgeries, and infections</w:t>
      </w:r>
      <w:r w:rsidR="00AA345D">
        <w:rPr>
          <w:rStyle w:val="FootnoteReference"/>
          <w:color w:val="000000"/>
          <w:sz w:val="24"/>
          <w:szCs w:val="24"/>
          <w:lang w:eastAsia="en-GB"/>
        </w:rPr>
        <w:footnoteReference w:id="31"/>
      </w:r>
      <w:r w:rsidR="0002009F">
        <w:rPr>
          <w:color w:val="000000"/>
          <w:sz w:val="24"/>
          <w:szCs w:val="24"/>
          <w:lang w:eastAsia="en-GB"/>
        </w:rPr>
        <w:t xml:space="preserve"> </w:t>
      </w:r>
      <w:r w:rsidR="00E03A7C">
        <w:rPr>
          <w:rStyle w:val="FootnoteReference"/>
          <w:color w:val="000000"/>
          <w:sz w:val="24"/>
          <w:szCs w:val="24"/>
          <w:lang w:eastAsia="en-GB"/>
        </w:rPr>
        <w:footnoteReference w:id="32"/>
      </w:r>
      <w:r w:rsidR="0005155A" w:rsidRPr="0005155A">
        <w:rPr>
          <w:color w:val="000000"/>
          <w:sz w:val="24"/>
          <w:szCs w:val="24"/>
          <w:lang w:eastAsia="en-GB"/>
        </w:rPr>
        <w:t>.</w:t>
      </w:r>
    </w:p>
    <w:p w14:paraId="1EF5E178" w14:textId="77777777" w:rsidR="0002009F" w:rsidRDefault="0002009F" w:rsidP="0005155A">
      <w:pPr>
        <w:spacing w:line="259" w:lineRule="auto"/>
        <w:ind w:left="426"/>
        <w:jc w:val="both"/>
        <w:rPr>
          <w:color w:val="000000"/>
          <w:sz w:val="24"/>
          <w:szCs w:val="24"/>
          <w:lang w:eastAsia="en-GB"/>
        </w:rPr>
      </w:pPr>
    </w:p>
    <w:p w14:paraId="6F33ED3E" w14:textId="77777777" w:rsidR="001C148C" w:rsidRDefault="009356C2" w:rsidP="0005155A">
      <w:pPr>
        <w:spacing w:line="259" w:lineRule="auto"/>
        <w:ind w:left="426"/>
        <w:jc w:val="both"/>
        <w:rPr>
          <w:color w:val="000000"/>
          <w:sz w:val="24"/>
          <w:szCs w:val="24"/>
          <w:lang w:eastAsia="en-GB"/>
        </w:rPr>
      </w:pPr>
      <w:r>
        <w:rPr>
          <w:color w:val="000000"/>
          <w:sz w:val="24"/>
          <w:szCs w:val="24"/>
          <w:lang w:eastAsia="en-GB"/>
        </w:rPr>
        <w:t>As per the incidence of such practices, according to FRA findings from 2015</w:t>
      </w:r>
      <w:r w:rsidRPr="009356C2">
        <w:rPr>
          <w:color w:val="000000"/>
          <w:sz w:val="24"/>
          <w:szCs w:val="24"/>
          <w:lang w:eastAsia="en-GB"/>
        </w:rPr>
        <w:t>, sex ‘normalising’ surgery is carried out on intersex children</w:t>
      </w:r>
      <w:r>
        <w:rPr>
          <w:color w:val="000000"/>
          <w:sz w:val="24"/>
          <w:szCs w:val="24"/>
          <w:lang w:eastAsia="en-GB"/>
        </w:rPr>
        <w:t xml:space="preserve"> in </w:t>
      </w:r>
      <w:r w:rsidRPr="009356C2">
        <w:rPr>
          <w:color w:val="000000"/>
          <w:sz w:val="24"/>
          <w:szCs w:val="24"/>
          <w:lang w:eastAsia="en-GB"/>
        </w:rPr>
        <w:t xml:space="preserve">at least 21 </w:t>
      </w:r>
      <w:r>
        <w:rPr>
          <w:color w:val="000000"/>
          <w:sz w:val="24"/>
          <w:szCs w:val="24"/>
          <w:lang w:eastAsia="en-GB"/>
        </w:rPr>
        <w:t xml:space="preserve">EU </w:t>
      </w:r>
      <w:r w:rsidRPr="009356C2">
        <w:rPr>
          <w:color w:val="000000"/>
          <w:sz w:val="24"/>
          <w:szCs w:val="24"/>
          <w:lang w:eastAsia="en-GB"/>
        </w:rPr>
        <w:t>Member States</w:t>
      </w:r>
      <w:r>
        <w:rPr>
          <w:rStyle w:val="FootnoteReference"/>
          <w:color w:val="000000"/>
          <w:sz w:val="24"/>
          <w:szCs w:val="24"/>
          <w:lang w:eastAsia="en-GB"/>
        </w:rPr>
        <w:footnoteReference w:id="33"/>
      </w:r>
      <w:r>
        <w:rPr>
          <w:color w:val="000000"/>
          <w:sz w:val="24"/>
          <w:szCs w:val="24"/>
          <w:lang w:eastAsia="en-GB"/>
        </w:rPr>
        <w:t xml:space="preserve">. </w:t>
      </w:r>
      <w:r w:rsidR="00AC230F" w:rsidRPr="00AC230F">
        <w:rPr>
          <w:color w:val="000000"/>
          <w:sz w:val="24"/>
          <w:szCs w:val="24"/>
          <w:lang w:eastAsia="en-GB"/>
        </w:rPr>
        <w:t xml:space="preserve">Recent reports of parents of intersex children received by OII Europe from across Europe, as well as two recent </w:t>
      </w:r>
      <w:r w:rsidR="00AC230F">
        <w:rPr>
          <w:color w:val="000000"/>
          <w:sz w:val="24"/>
          <w:szCs w:val="24"/>
          <w:lang w:eastAsia="en-GB"/>
        </w:rPr>
        <w:t>studie</w:t>
      </w:r>
      <w:r w:rsidR="00AC230F" w:rsidRPr="00AC230F">
        <w:rPr>
          <w:color w:val="000000"/>
          <w:sz w:val="24"/>
          <w:szCs w:val="24"/>
          <w:lang w:eastAsia="en-GB"/>
        </w:rPr>
        <w:t xml:space="preserve">s on the number of </w:t>
      </w:r>
      <w:r w:rsidR="00AC230F">
        <w:rPr>
          <w:color w:val="000000"/>
          <w:sz w:val="24"/>
          <w:szCs w:val="24"/>
          <w:lang w:eastAsia="en-GB"/>
        </w:rPr>
        <w:t>surgical interventions</w:t>
      </w:r>
      <w:r w:rsidR="00AC230F" w:rsidRPr="00AC230F">
        <w:rPr>
          <w:color w:val="000000"/>
          <w:sz w:val="24"/>
          <w:szCs w:val="24"/>
          <w:lang w:eastAsia="en-GB"/>
        </w:rPr>
        <w:t xml:space="preserve"> performed on intersex children age</w:t>
      </w:r>
      <w:r w:rsidR="00AC230F">
        <w:rPr>
          <w:color w:val="000000"/>
          <w:sz w:val="24"/>
          <w:szCs w:val="24"/>
          <w:lang w:eastAsia="en-GB"/>
        </w:rPr>
        <w:t>d</w:t>
      </w:r>
      <w:r w:rsidR="00AC230F" w:rsidRPr="00AC230F">
        <w:rPr>
          <w:color w:val="000000"/>
          <w:sz w:val="24"/>
          <w:szCs w:val="24"/>
          <w:lang w:eastAsia="en-GB"/>
        </w:rPr>
        <w:t xml:space="preserve"> 0 to 10 from 2005 to 2016 in Germany, show that the number of interventions on children have not decreased despite other claims</w:t>
      </w:r>
      <w:r w:rsidR="00AC230F">
        <w:rPr>
          <w:color w:val="000000"/>
          <w:sz w:val="24"/>
          <w:szCs w:val="24"/>
          <w:lang w:eastAsia="en-GB"/>
        </w:rPr>
        <w:t>, even in countries where guidelines exist that indicate to refrain from surgery</w:t>
      </w:r>
      <w:r w:rsidR="00655E4F">
        <w:rPr>
          <w:rStyle w:val="FootnoteReference"/>
          <w:color w:val="000000"/>
          <w:sz w:val="24"/>
          <w:szCs w:val="24"/>
          <w:lang w:eastAsia="en-GB"/>
        </w:rPr>
        <w:footnoteReference w:id="34"/>
      </w:r>
      <w:r w:rsidR="00AC230F">
        <w:rPr>
          <w:color w:val="000000"/>
          <w:sz w:val="24"/>
          <w:szCs w:val="24"/>
          <w:lang w:eastAsia="en-GB"/>
        </w:rPr>
        <w:t>.</w:t>
      </w:r>
    </w:p>
    <w:p w14:paraId="39B98B38" w14:textId="77777777" w:rsidR="001C148C" w:rsidRDefault="001C148C" w:rsidP="0005155A">
      <w:pPr>
        <w:spacing w:line="259" w:lineRule="auto"/>
        <w:ind w:left="426"/>
        <w:jc w:val="both"/>
        <w:rPr>
          <w:color w:val="000000"/>
          <w:sz w:val="24"/>
          <w:szCs w:val="24"/>
          <w:lang w:eastAsia="en-GB"/>
        </w:rPr>
      </w:pPr>
    </w:p>
    <w:p w14:paraId="5BFFB4AD" w14:textId="36216201" w:rsidR="0029584A" w:rsidRDefault="00EE280A" w:rsidP="0005155A">
      <w:pPr>
        <w:spacing w:line="259" w:lineRule="auto"/>
        <w:ind w:left="426"/>
        <w:jc w:val="both"/>
        <w:rPr>
          <w:color w:val="000000"/>
          <w:sz w:val="24"/>
          <w:szCs w:val="24"/>
          <w:lang w:eastAsia="en-GB"/>
        </w:rPr>
      </w:pPr>
      <w:r>
        <w:rPr>
          <w:color w:val="000000"/>
          <w:sz w:val="24"/>
          <w:szCs w:val="24"/>
          <w:lang w:eastAsia="en-GB"/>
        </w:rPr>
        <w:t>Lack of protection from IGM also contravenes human rights standards</w:t>
      </w:r>
      <w:r w:rsidR="005D5BD1">
        <w:rPr>
          <w:color w:val="000000"/>
          <w:sz w:val="24"/>
          <w:szCs w:val="24"/>
          <w:lang w:eastAsia="en-GB"/>
        </w:rPr>
        <w:t xml:space="preserve"> at regional (</w:t>
      </w:r>
      <w:r>
        <w:rPr>
          <w:color w:val="000000"/>
          <w:sz w:val="24"/>
          <w:szCs w:val="24"/>
          <w:lang w:eastAsia="en-GB"/>
        </w:rPr>
        <w:t>CoE and EU</w:t>
      </w:r>
      <w:r w:rsidR="005D5BD1">
        <w:rPr>
          <w:color w:val="000000"/>
          <w:sz w:val="24"/>
          <w:szCs w:val="24"/>
          <w:lang w:eastAsia="en-GB"/>
        </w:rPr>
        <w:t>)</w:t>
      </w:r>
      <w:r>
        <w:rPr>
          <w:color w:val="000000"/>
          <w:sz w:val="24"/>
          <w:szCs w:val="24"/>
          <w:lang w:eastAsia="en-GB"/>
        </w:rPr>
        <w:t xml:space="preserve"> level</w:t>
      </w:r>
      <w:r w:rsidR="005754BD">
        <w:rPr>
          <w:rStyle w:val="FootnoteReference"/>
          <w:color w:val="000000"/>
          <w:sz w:val="24"/>
          <w:szCs w:val="24"/>
          <w:lang w:eastAsia="en-GB"/>
        </w:rPr>
        <w:footnoteReference w:id="35"/>
      </w:r>
      <w:r w:rsidR="005754BD">
        <w:rPr>
          <w:color w:val="000000"/>
          <w:sz w:val="24"/>
          <w:szCs w:val="24"/>
          <w:lang w:eastAsia="en-GB"/>
        </w:rPr>
        <w:t xml:space="preserve"> </w:t>
      </w:r>
      <w:r>
        <w:rPr>
          <w:rStyle w:val="FootnoteReference"/>
          <w:color w:val="000000"/>
          <w:sz w:val="24"/>
          <w:szCs w:val="24"/>
          <w:lang w:eastAsia="en-GB"/>
        </w:rPr>
        <w:footnoteReference w:id="36"/>
      </w:r>
      <w:r>
        <w:rPr>
          <w:color w:val="000000"/>
          <w:sz w:val="24"/>
          <w:szCs w:val="24"/>
          <w:lang w:eastAsia="en-GB"/>
        </w:rPr>
        <w:t>.</w:t>
      </w:r>
      <w:r w:rsidR="00E86416">
        <w:rPr>
          <w:color w:val="000000"/>
          <w:sz w:val="24"/>
          <w:szCs w:val="24"/>
          <w:lang w:eastAsia="en-GB"/>
        </w:rPr>
        <w:t xml:space="preserve"> </w:t>
      </w:r>
      <w:r w:rsidR="000115B7">
        <w:rPr>
          <w:color w:val="000000"/>
          <w:sz w:val="24"/>
          <w:szCs w:val="24"/>
          <w:lang w:eastAsia="en-GB"/>
        </w:rPr>
        <w:t>Nevertheless, only a few countries – to a varying and limited extent – explicitly ban IGM</w:t>
      </w:r>
      <w:r w:rsidR="00D456B9">
        <w:rPr>
          <w:color w:val="000000"/>
          <w:sz w:val="24"/>
          <w:szCs w:val="24"/>
          <w:lang w:eastAsia="en-GB"/>
        </w:rPr>
        <w:t xml:space="preserve">. </w:t>
      </w:r>
      <w:r w:rsidR="00C05D69">
        <w:rPr>
          <w:rStyle w:val="FootnoteReference"/>
          <w:color w:val="000000"/>
          <w:sz w:val="24"/>
          <w:szCs w:val="24"/>
          <w:lang w:eastAsia="en-GB"/>
        </w:rPr>
        <w:footnoteReference w:id="37"/>
      </w:r>
    </w:p>
    <w:p w14:paraId="0AFE5FF5" w14:textId="77777777" w:rsidR="0029584A" w:rsidRDefault="0029584A" w:rsidP="0005155A">
      <w:pPr>
        <w:spacing w:line="259" w:lineRule="auto"/>
        <w:ind w:left="426"/>
        <w:jc w:val="both"/>
        <w:rPr>
          <w:color w:val="000000"/>
          <w:sz w:val="24"/>
          <w:szCs w:val="24"/>
          <w:lang w:eastAsia="en-GB"/>
        </w:rPr>
      </w:pPr>
    </w:p>
    <w:p w14:paraId="31DD5B11" w14:textId="7A326215" w:rsidR="00296D8A" w:rsidRDefault="0029584A" w:rsidP="0005155A">
      <w:pPr>
        <w:spacing w:line="259" w:lineRule="auto"/>
        <w:ind w:left="426"/>
        <w:jc w:val="both"/>
        <w:rPr>
          <w:color w:val="000000"/>
          <w:sz w:val="24"/>
          <w:szCs w:val="24"/>
          <w:lang w:eastAsia="en-GB"/>
        </w:rPr>
      </w:pPr>
      <w:r>
        <w:rPr>
          <w:color w:val="000000"/>
          <w:sz w:val="24"/>
          <w:szCs w:val="24"/>
          <w:lang w:eastAsia="en-GB"/>
        </w:rPr>
        <w:t>This is striking also compared to the unanimous recognition of Female Genital Mutilation (FGM) as a gross human rights violation.</w:t>
      </w:r>
      <w:r w:rsidR="00C275CE" w:rsidRPr="00C275CE">
        <w:rPr>
          <w:rFonts w:ascii="MyriadPro-Regular" w:eastAsia="MyriadPro-Regular" w:hAnsiTheme="minorHAnsi" w:cs="MyriadPro-Regular"/>
          <w:sz w:val="19"/>
          <w:szCs w:val="19"/>
        </w:rPr>
        <w:t xml:space="preserve"> </w:t>
      </w:r>
      <w:r w:rsidR="00C275CE" w:rsidRPr="00C275CE">
        <w:rPr>
          <w:color w:val="000000"/>
          <w:sz w:val="24"/>
          <w:szCs w:val="24"/>
          <w:lang w:eastAsia="en-GB"/>
        </w:rPr>
        <w:t>Social pressure to conform to gender roles and stereotypes</w:t>
      </w:r>
      <w:r w:rsidR="00C275CE">
        <w:rPr>
          <w:color w:val="000000"/>
          <w:sz w:val="24"/>
          <w:szCs w:val="24"/>
          <w:lang w:eastAsia="en-GB"/>
        </w:rPr>
        <w:t xml:space="preserve"> </w:t>
      </w:r>
      <w:r w:rsidR="00C275CE" w:rsidRPr="00C275CE">
        <w:rPr>
          <w:color w:val="000000"/>
          <w:sz w:val="24"/>
          <w:szCs w:val="24"/>
          <w:lang w:eastAsia="en-GB"/>
        </w:rPr>
        <w:t>about male and female bodies is common ground shared by</w:t>
      </w:r>
      <w:r w:rsidR="00C275CE">
        <w:rPr>
          <w:color w:val="000000"/>
          <w:sz w:val="24"/>
          <w:szCs w:val="24"/>
          <w:lang w:eastAsia="en-GB"/>
        </w:rPr>
        <w:t xml:space="preserve"> </w:t>
      </w:r>
      <w:r w:rsidR="00C275CE" w:rsidRPr="00C275CE">
        <w:rPr>
          <w:color w:val="000000"/>
          <w:sz w:val="24"/>
          <w:szCs w:val="24"/>
          <w:lang w:eastAsia="en-GB"/>
        </w:rPr>
        <w:t>FGM and IGM</w:t>
      </w:r>
      <w:r w:rsidR="001903CE">
        <w:rPr>
          <w:color w:val="000000"/>
          <w:sz w:val="24"/>
          <w:szCs w:val="24"/>
          <w:lang w:eastAsia="en-GB"/>
        </w:rPr>
        <w:t xml:space="preserve"> and makes both qualify as forms of GBV</w:t>
      </w:r>
      <w:r w:rsidR="001903CE">
        <w:rPr>
          <w:rStyle w:val="FootnoteReference"/>
          <w:color w:val="000000"/>
          <w:sz w:val="24"/>
          <w:szCs w:val="24"/>
          <w:lang w:eastAsia="en-GB"/>
        </w:rPr>
        <w:footnoteReference w:id="38"/>
      </w:r>
      <w:r w:rsidR="00C275CE" w:rsidRPr="00C275CE">
        <w:rPr>
          <w:color w:val="000000"/>
          <w:sz w:val="24"/>
          <w:szCs w:val="24"/>
          <w:lang w:eastAsia="en-GB"/>
        </w:rPr>
        <w:t>.</w:t>
      </w:r>
      <w:r w:rsidR="007860D2">
        <w:rPr>
          <w:color w:val="000000"/>
          <w:sz w:val="24"/>
          <w:szCs w:val="24"/>
          <w:lang w:eastAsia="en-GB"/>
        </w:rPr>
        <w:t xml:space="preserve"> The </w:t>
      </w:r>
      <w:r w:rsidR="007860D2" w:rsidRPr="007860D2">
        <w:rPr>
          <w:color w:val="000000"/>
          <w:sz w:val="24"/>
          <w:szCs w:val="24"/>
          <w:lang w:eastAsia="en-GB"/>
        </w:rPr>
        <w:t>Committee on the Elimination of Discrimination against Women</w:t>
      </w:r>
      <w:r w:rsidR="007860D2">
        <w:rPr>
          <w:color w:val="000000"/>
          <w:sz w:val="24"/>
          <w:szCs w:val="24"/>
          <w:lang w:eastAsia="en-GB"/>
        </w:rPr>
        <w:t xml:space="preserve"> repeatedly showed concern about</w:t>
      </w:r>
      <w:r w:rsidR="00927790">
        <w:rPr>
          <w:color w:val="000000"/>
          <w:sz w:val="24"/>
          <w:szCs w:val="24"/>
          <w:lang w:eastAsia="en-GB"/>
        </w:rPr>
        <w:t xml:space="preserve"> reports of IGM cases and recommended that State parties “[a]</w:t>
      </w:r>
      <w:r w:rsidR="00927790" w:rsidRPr="00927790">
        <w:rPr>
          <w:color w:val="000000"/>
          <w:sz w:val="24"/>
          <w:szCs w:val="24"/>
          <w:lang w:eastAsia="en-GB"/>
        </w:rPr>
        <w:t>dopt clear legislative provisions explicitly prohibiting the performance of unnecessary surgical or other medical treatment on intersex children until they reach an age at which they can provide their free, prior and informed consent</w:t>
      </w:r>
      <w:r w:rsidR="00927790">
        <w:rPr>
          <w:color w:val="000000"/>
          <w:sz w:val="24"/>
          <w:szCs w:val="24"/>
          <w:lang w:eastAsia="en-GB"/>
        </w:rPr>
        <w:t>”</w:t>
      </w:r>
      <w:r w:rsidR="00927790">
        <w:rPr>
          <w:rStyle w:val="FootnoteReference"/>
          <w:color w:val="000000"/>
          <w:sz w:val="24"/>
          <w:szCs w:val="24"/>
          <w:lang w:eastAsia="en-GB"/>
        </w:rPr>
        <w:footnoteReference w:id="39"/>
      </w:r>
      <w:r w:rsidR="00D456B9">
        <w:rPr>
          <w:color w:val="000000"/>
          <w:sz w:val="24"/>
          <w:szCs w:val="24"/>
          <w:lang w:eastAsia="en-GB"/>
        </w:rPr>
        <w:t>.</w:t>
      </w:r>
      <w:r w:rsidR="00A235E7">
        <w:rPr>
          <w:color w:val="000000"/>
          <w:sz w:val="24"/>
          <w:szCs w:val="24"/>
          <w:lang w:eastAsia="en-GB"/>
        </w:rPr>
        <w:t xml:space="preserve"> </w:t>
      </w:r>
      <w:r w:rsidR="00E86395">
        <w:rPr>
          <w:color w:val="000000"/>
          <w:sz w:val="24"/>
          <w:szCs w:val="24"/>
          <w:lang w:eastAsia="en-GB"/>
        </w:rPr>
        <w:t xml:space="preserve">   </w:t>
      </w:r>
      <w:r w:rsidR="00296D8A">
        <w:rPr>
          <w:color w:val="000000"/>
          <w:sz w:val="24"/>
          <w:szCs w:val="24"/>
          <w:lang w:eastAsia="en-GB"/>
        </w:rPr>
        <w:t xml:space="preserve"> </w:t>
      </w:r>
    </w:p>
    <w:p w14:paraId="0C59D556" w14:textId="77777777" w:rsidR="0095763D" w:rsidRDefault="0095763D" w:rsidP="0095763D">
      <w:pPr>
        <w:spacing w:line="259" w:lineRule="auto"/>
        <w:ind w:left="426"/>
        <w:jc w:val="both"/>
        <w:rPr>
          <w:color w:val="000000"/>
          <w:sz w:val="24"/>
          <w:szCs w:val="24"/>
          <w:lang w:eastAsia="en-GB"/>
        </w:rPr>
      </w:pPr>
    </w:p>
    <w:p w14:paraId="5AA62DDA" w14:textId="011B38AC" w:rsidR="00BA21AA" w:rsidRPr="0095763D" w:rsidRDefault="0095763D" w:rsidP="0095763D">
      <w:pPr>
        <w:spacing w:line="259" w:lineRule="auto"/>
        <w:ind w:left="426"/>
        <w:jc w:val="both"/>
        <w:rPr>
          <w:color w:val="000000"/>
          <w:sz w:val="24"/>
          <w:szCs w:val="24"/>
          <w:lang w:eastAsia="en-GB"/>
        </w:rPr>
      </w:pPr>
      <w:r w:rsidRPr="0095763D">
        <w:rPr>
          <w:color w:val="000000"/>
          <w:sz w:val="24"/>
          <w:szCs w:val="24"/>
          <w:lang w:eastAsia="en-GB"/>
        </w:rPr>
        <w:t xml:space="preserve">  </w:t>
      </w:r>
    </w:p>
    <w:p w14:paraId="05CC9E52" w14:textId="77777777" w:rsidR="009F00AF" w:rsidRPr="00D90F79" w:rsidRDefault="009F00AF" w:rsidP="009F00AF">
      <w:pPr>
        <w:pStyle w:val="ListParagraph"/>
        <w:numPr>
          <w:ilvl w:val="0"/>
          <w:numId w:val="1"/>
        </w:numPr>
        <w:shd w:val="clear" w:color="auto" w:fill="FFFFFF"/>
        <w:spacing w:line="259" w:lineRule="auto"/>
        <w:jc w:val="both"/>
        <w:outlineLvl w:val="2"/>
        <w:rPr>
          <w:color w:val="1F4E79" w:themeColor="accent1" w:themeShade="80"/>
          <w:sz w:val="24"/>
          <w:szCs w:val="24"/>
          <w:lang w:eastAsia="en-GB"/>
        </w:rPr>
      </w:pPr>
      <w:r w:rsidRPr="00D90F79">
        <w:rPr>
          <w:color w:val="1F4E79" w:themeColor="accent1" w:themeShade="80"/>
          <w:sz w:val="24"/>
          <w:szCs w:val="24"/>
          <w:lang w:eastAsia="en-GB"/>
        </w:rPr>
        <w:t xml:space="preserve">Please also share information on the impact of criminalization of sex work, same sex relations, transgender persons, abortion, drug abuse, </w:t>
      </w:r>
      <w:r w:rsidRPr="00D90F79">
        <w:rPr>
          <w:rFonts w:eastAsia="Verdana"/>
          <w:color w:val="1F4E79" w:themeColor="accent1" w:themeShade="80"/>
          <w:sz w:val="24"/>
          <w:szCs w:val="24"/>
        </w:rPr>
        <w:t>harmful practices in obstetric care, female genital mutilation</w:t>
      </w:r>
      <w:r w:rsidRPr="00D90F79">
        <w:rPr>
          <w:color w:val="1F4E79" w:themeColor="accent1" w:themeShade="80"/>
          <w:sz w:val="24"/>
          <w:szCs w:val="24"/>
          <w:lang w:eastAsia="en-GB"/>
        </w:rPr>
        <w:t xml:space="preserve"> on the violence experienced by the affected individuals and their enjoyment of the right to health.</w:t>
      </w:r>
      <w:r w:rsidRPr="00D90F79">
        <w:rPr>
          <w:rFonts w:eastAsia="Verdana"/>
          <w:color w:val="1F4E79" w:themeColor="accent1" w:themeShade="80"/>
          <w:sz w:val="24"/>
          <w:szCs w:val="24"/>
        </w:rPr>
        <w:t xml:space="preserve"> </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D90F79" w:rsidRDefault="009F00AF" w:rsidP="009F00AF">
      <w:pPr>
        <w:pStyle w:val="ListParagraph"/>
        <w:numPr>
          <w:ilvl w:val="0"/>
          <w:numId w:val="1"/>
        </w:numPr>
        <w:shd w:val="clear" w:color="auto" w:fill="FFFFFF"/>
        <w:spacing w:line="259" w:lineRule="auto"/>
        <w:jc w:val="both"/>
        <w:outlineLvl w:val="2"/>
        <w:rPr>
          <w:color w:val="1F4E79" w:themeColor="accent1" w:themeShade="80"/>
          <w:sz w:val="24"/>
          <w:szCs w:val="24"/>
          <w:lang w:eastAsia="en-GB"/>
        </w:rPr>
      </w:pPr>
      <w:r w:rsidRPr="00D90F79">
        <w:rPr>
          <w:color w:val="1F4E79" w:themeColor="accent1" w:themeShade="8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13F5745D" w:rsidR="009F00AF" w:rsidRDefault="009F00AF" w:rsidP="009F00AF">
      <w:pPr>
        <w:pStyle w:val="ListParagraph"/>
        <w:shd w:val="clear" w:color="auto" w:fill="FFFFFF"/>
        <w:spacing w:line="259" w:lineRule="auto"/>
        <w:ind w:left="360"/>
        <w:jc w:val="both"/>
        <w:outlineLvl w:val="2"/>
        <w:rPr>
          <w:color w:val="000000"/>
          <w:sz w:val="24"/>
          <w:szCs w:val="24"/>
          <w:lang w:eastAsia="en-GB"/>
        </w:rPr>
      </w:pPr>
    </w:p>
    <w:p w14:paraId="4A7DC0F7" w14:textId="79E9AD19" w:rsidR="007C4F6E" w:rsidRDefault="004523AD" w:rsidP="004523AD">
      <w:pPr>
        <w:pStyle w:val="ListParagraph"/>
        <w:shd w:val="clear" w:color="auto" w:fill="FFFFFF"/>
        <w:spacing w:line="259" w:lineRule="auto"/>
        <w:ind w:left="360"/>
        <w:jc w:val="both"/>
        <w:outlineLvl w:val="2"/>
        <w:rPr>
          <w:sz w:val="24"/>
          <w:szCs w:val="24"/>
          <w:lang w:eastAsia="en-GB"/>
        </w:rPr>
      </w:pPr>
      <w:r>
        <w:rPr>
          <w:sz w:val="24"/>
          <w:szCs w:val="24"/>
          <w:lang w:eastAsia="en-GB"/>
        </w:rPr>
        <w:t xml:space="preserve">State health responses to survivors of IGM or other forms of violence are extremely poor across the </w:t>
      </w:r>
      <w:r w:rsidR="00D456B9">
        <w:rPr>
          <w:sz w:val="24"/>
          <w:szCs w:val="24"/>
          <w:lang w:eastAsia="en-GB"/>
        </w:rPr>
        <w:t>r</w:t>
      </w:r>
      <w:r>
        <w:rPr>
          <w:sz w:val="24"/>
          <w:szCs w:val="24"/>
          <w:lang w:eastAsia="en-GB"/>
        </w:rPr>
        <w:t xml:space="preserve">egion. While survivors to IGM and intersex people in general </w:t>
      </w:r>
      <w:r w:rsidRPr="004523AD">
        <w:rPr>
          <w:sz w:val="24"/>
          <w:szCs w:val="24"/>
          <w:lang w:eastAsia="en-GB"/>
        </w:rPr>
        <w:t>sorely</w:t>
      </w:r>
      <w:r>
        <w:rPr>
          <w:sz w:val="24"/>
          <w:szCs w:val="24"/>
          <w:lang w:eastAsia="en-GB"/>
        </w:rPr>
        <w:t xml:space="preserve"> </w:t>
      </w:r>
      <w:r w:rsidRPr="004523AD">
        <w:rPr>
          <w:sz w:val="24"/>
          <w:szCs w:val="24"/>
          <w:lang w:eastAsia="en-GB"/>
        </w:rPr>
        <w:t>need access to expert-sensitive</w:t>
      </w:r>
      <w:r>
        <w:rPr>
          <w:sz w:val="24"/>
          <w:szCs w:val="24"/>
          <w:lang w:eastAsia="en-GB"/>
        </w:rPr>
        <w:t xml:space="preserve"> </w:t>
      </w:r>
      <w:r w:rsidRPr="004523AD">
        <w:rPr>
          <w:sz w:val="24"/>
          <w:szCs w:val="24"/>
          <w:lang w:eastAsia="en-GB"/>
        </w:rPr>
        <w:t>health services</w:t>
      </w:r>
      <w:r>
        <w:rPr>
          <w:sz w:val="24"/>
          <w:szCs w:val="24"/>
          <w:lang w:eastAsia="en-GB"/>
        </w:rPr>
        <w:t xml:space="preserve">, </w:t>
      </w:r>
      <w:r w:rsidRPr="004523AD">
        <w:rPr>
          <w:sz w:val="24"/>
          <w:szCs w:val="24"/>
          <w:lang w:eastAsia="en-GB"/>
        </w:rPr>
        <w:t>they often face severe obstacles</w:t>
      </w:r>
      <w:r>
        <w:rPr>
          <w:sz w:val="24"/>
          <w:szCs w:val="24"/>
          <w:lang w:eastAsia="en-GB"/>
        </w:rPr>
        <w:t xml:space="preserve"> </w:t>
      </w:r>
      <w:r w:rsidRPr="004523AD">
        <w:rPr>
          <w:sz w:val="24"/>
          <w:szCs w:val="24"/>
          <w:lang w:eastAsia="en-GB"/>
        </w:rPr>
        <w:t>when trying to access health and care services, such as</w:t>
      </w:r>
      <w:r>
        <w:rPr>
          <w:sz w:val="24"/>
          <w:szCs w:val="24"/>
          <w:lang w:eastAsia="en-GB"/>
        </w:rPr>
        <w:t xml:space="preserve"> </w:t>
      </w:r>
      <w:r w:rsidRPr="004523AD">
        <w:rPr>
          <w:sz w:val="24"/>
          <w:szCs w:val="24"/>
          <w:lang w:eastAsia="en-GB"/>
        </w:rPr>
        <w:t>ongoing discrimination and retraumatising experiences</w:t>
      </w:r>
      <w:r>
        <w:rPr>
          <w:sz w:val="24"/>
          <w:szCs w:val="24"/>
          <w:lang w:eastAsia="en-GB"/>
        </w:rPr>
        <w:t xml:space="preserve"> </w:t>
      </w:r>
      <w:r w:rsidRPr="004523AD">
        <w:rPr>
          <w:sz w:val="24"/>
          <w:szCs w:val="24"/>
          <w:lang w:eastAsia="en-GB"/>
        </w:rPr>
        <w:t>with healthcare professionals.</w:t>
      </w:r>
    </w:p>
    <w:p w14:paraId="698240CD" w14:textId="44FCF42E" w:rsidR="004523AD" w:rsidRDefault="004523AD" w:rsidP="004523AD">
      <w:pPr>
        <w:pStyle w:val="ListParagraph"/>
        <w:shd w:val="clear" w:color="auto" w:fill="FFFFFF"/>
        <w:spacing w:line="259" w:lineRule="auto"/>
        <w:ind w:left="360"/>
        <w:jc w:val="both"/>
        <w:outlineLvl w:val="2"/>
        <w:rPr>
          <w:sz w:val="24"/>
          <w:szCs w:val="24"/>
          <w:lang w:eastAsia="en-GB"/>
        </w:rPr>
      </w:pPr>
    </w:p>
    <w:p w14:paraId="34080310" w14:textId="19C95C9E" w:rsidR="004523AD" w:rsidRPr="004523AD" w:rsidRDefault="004523AD" w:rsidP="004523AD">
      <w:pPr>
        <w:pStyle w:val="ListParagraph"/>
        <w:shd w:val="clear" w:color="auto" w:fill="FFFFFF"/>
        <w:spacing w:line="259" w:lineRule="auto"/>
        <w:ind w:left="360"/>
        <w:jc w:val="both"/>
        <w:outlineLvl w:val="2"/>
        <w:rPr>
          <w:sz w:val="24"/>
          <w:szCs w:val="24"/>
          <w:lang w:eastAsia="en-GB"/>
        </w:rPr>
      </w:pPr>
      <w:r w:rsidRPr="004523AD">
        <w:rPr>
          <w:sz w:val="24"/>
          <w:szCs w:val="24"/>
          <w:lang w:eastAsia="en-GB"/>
        </w:rPr>
        <w:t>As the 2017 PACE report points out, a severe lack of</w:t>
      </w:r>
      <w:r>
        <w:rPr>
          <w:sz w:val="24"/>
          <w:szCs w:val="24"/>
          <w:lang w:eastAsia="en-GB"/>
        </w:rPr>
        <w:t xml:space="preserve"> </w:t>
      </w:r>
      <w:r w:rsidRPr="004523AD">
        <w:rPr>
          <w:sz w:val="24"/>
          <w:szCs w:val="24"/>
          <w:lang w:eastAsia="en-GB"/>
        </w:rPr>
        <w:t>knowledge about intersex people, the human rights</w:t>
      </w:r>
      <w:r>
        <w:rPr>
          <w:sz w:val="24"/>
          <w:szCs w:val="24"/>
          <w:lang w:eastAsia="en-GB"/>
        </w:rPr>
        <w:t xml:space="preserve"> </w:t>
      </w:r>
      <w:r w:rsidRPr="004523AD">
        <w:rPr>
          <w:sz w:val="24"/>
          <w:szCs w:val="24"/>
          <w:lang w:eastAsia="en-GB"/>
        </w:rPr>
        <w:t>violations they face and the specific needs that follow from</w:t>
      </w:r>
    </w:p>
    <w:p w14:paraId="37305E48" w14:textId="3D34AAD6" w:rsidR="004523AD" w:rsidRDefault="004523AD" w:rsidP="004523AD">
      <w:pPr>
        <w:pStyle w:val="ListParagraph"/>
        <w:shd w:val="clear" w:color="auto" w:fill="FFFFFF"/>
        <w:spacing w:line="259" w:lineRule="auto"/>
        <w:ind w:left="360"/>
        <w:jc w:val="both"/>
        <w:outlineLvl w:val="2"/>
        <w:rPr>
          <w:sz w:val="24"/>
          <w:szCs w:val="24"/>
          <w:lang w:eastAsia="en-GB"/>
        </w:rPr>
      </w:pPr>
      <w:r w:rsidRPr="004523AD">
        <w:rPr>
          <w:sz w:val="24"/>
          <w:szCs w:val="24"/>
          <w:lang w:eastAsia="en-GB"/>
        </w:rPr>
        <w:t>these experiences</w:t>
      </w:r>
      <w:r>
        <w:rPr>
          <w:sz w:val="24"/>
          <w:szCs w:val="24"/>
          <w:lang w:eastAsia="en-GB"/>
        </w:rPr>
        <w:t>,</w:t>
      </w:r>
      <w:r w:rsidRPr="004523AD">
        <w:rPr>
          <w:sz w:val="24"/>
          <w:szCs w:val="24"/>
          <w:lang w:eastAsia="en-GB"/>
        </w:rPr>
        <w:t xml:space="preserve"> exists among medical practitioners</w:t>
      </w:r>
      <w:r>
        <w:rPr>
          <w:rStyle w:val="FootnoteReference"/>
          <w:sz w:val="24"/>
          <w:szCs w:val="24"/>
          <w:lang w:eastAsia="en-GB"/>
        </w:rPr>
        <w:footnoteReference w:id="40"/>
      </w:r>
      <w:r w:rsidRPr="004523AD">
        <w:rPr>
          <w:sz w:val="24"/>
          <w:szCs w:val="24"/>
          <w:lang w:eastAsia="en-GB"/>
        </w:rPr>
        <w:t>. This</w:t>
      </w:r>
      <w:r>
        <w:rPr>
          <w:sz w:val="24"/>
          <w:szCs w:val="24"/>
          <w:lang w:eastAsia="en-GB"/>
        </w:rPr>
        <w:t xml:space="preserve"> </w:t>
      </w:r>
      <w:r w:rsidRPr="004523AD">
        <w:rPr>
          <w:sz w:val="24"/>
          <w:szCs w:val="24"/>
          <w:lang w:eastAsia="en-GB"/>
        </w:rPr>
        <w:t>lack is matched with personal bias that can result in disbelief</w:t>
      </w:r>
      <w:r>
        <w:rPr>
          <w:sz w:val="24"/>
          <w:szCs w:val="24"/>
          <w:lang w:eastAsia="en-GB"/>
        </w:rPr>
        <w:t xml:space="preserve"> </w:t>
      </w:r>
      <w:r w:rsidRPr="004523AD">
        <w:rPr>
          <w:sz w:val="24"/>
          <w:szCs w:val="24"/>
          <w:lang w:eastAsia="en-GB"/>
        </w:rPr>
        <w:t>and insults, the refusal to perform needed examinations, and</w:t>
      </w:r>
      <w:r>
        <w:rPr>
          <w:sz w:val="24"/>
          <w:szCs w:val="24"/>
          <w:lang w:eastAsia="en-GB"/>
        </w:rPr>
        <w:t xml:space="preserve"> </w:t>
      </w:r>
      <w:r w:rsidRPr="004523AD">
        <w:rPr>
          <w:sz w:val="24"/>
          <w:szCs w:val="24"/>
          <w:lang w:eastAsia="en-GB"/>
        </w:rPr>
        <w:t>examinations being carried out in violent ways or without</w:t>
      </w:r>
      <w:r w:rsidR="00A359BC">
        <w:rPr>
          <w:sz w:val="24"/>
          <w:szCs w:val="24"/>
          <w:lang w:eastAsia="en-GB"/>
        </w:rPr>
        <w:t xml:space="preserve"> </w:t>
      </w:r>
      <w:r w:rsidRPr="00A359BC">
        <w:rPr>
          <w:sz w:val="24"/>
          <w:szCs w:val="24"/>
          <w:lang w:eastAsia="en-GB"/>
        </w:rPr>
        <w:t>the intersex person’s consent. Intersex people regularly speak in self-help groups and report to national intersex NGOs or to OII Europe that they are at risk of sexual</w:t>
      </w:r>
      <w:r w:rsidR="00A359BC">
        <w:rPr>
          <w:sz w:val="24"/>
          <w:szCs w:val="24"/>
          <w:lang w:eastAsia="en-GB"/>
        </w:rPr>
        <w:t xml:space="preserve"> h</w:t>
      </w:r>
      <w:r w:rsidRPr="004523AD">
        <w:rPr>
          <w:sz w:val="24"/>
          <w:szCs w:val="24"/>
          <w:lang w:eastAsia="en-GB"/>
        </w:rPr>
        <w:t>arassment in medical settings</w:t>
      </w:r>
      <w:r>
        <w:rPr>
          <w:sz w:val="24"/>
          <w:szCs w:val="24"/>
          <w:lang w:eastAsia="en-GB"/>
        </w:rPr>
        <w:t>.</w:t>
      </w:r>
    </w:p>
    <w:p w14:paraId="288AB53A" w14:textId="27CD4202" w:rsidR="00A359BC" w:rsidRDefault="00A359BC" w:rsidP="004523AD">
      <w:pPr>
        <w:pStyle w:val="ListParagraph"/>
        <w:shd w:val="clear" w:color="auto" w:fill="FFFFFF"/>
        <w:spacing w:line="259" w:lineRule="auto"/>
        <w:ind w:left="360"/>
        <w:jc w:val="both"/>
        <w:outlineLvl w:val="2"/>
        <w:rPr>
          <w:sz w:val="24"/>
          <w:szCs w:val="24"/>
          <w:lang w:eastAsia="en-GB"/>
        </w:rPr>
      </w:pPr>
    </w:p>
    <w:p w14:paraId="6D7CD734" w14:textId="77777777" w:rsidR="00182517" w:rsidRDefault="00FD2096" w:rsidP="00FD2096">
      <w:pPr>
        <w:pStyle w:val="ListParagraph"/>
        <w:shd w:val="clear" w:color="auto" w:fill="FFFFFF"/>
        <w:spacing w:line="259" w:lineRule="auto"/>
        <w:ind w:left="360"/>
        <w:jc w:val="both"/>
        <w:outlineLvl w:val="2"/>
        <w:rPr>
          <w:sz w:val="24"/>
          <w:szCs w:val="24"/>
          <w:lang w:eastAsia="en-GB"/>
        </w:rPr>
      </w:pPr>
      <w:r w:rsidRPr="00FD2096">
        <w:rPr>
          <w:sz w:val="24"/>
          <w:szCs w:val="24"/>
          <w:lang w:eastAsia="en-GB"/>
        </w:rPr>
        <w:t>When seeking medical help for issues directly related to</w:t>
      </w:r>
      <w:r>
        <w:rPr>
          <w:sz w:val="24"/>
          <w:szCs w:val="24"/>
          <w:lang w:eastAsia="en-GB"/>
        </w:rPr>
        <w:t xml:space="preserve"> </w:t>
      </w:r>
      <w:r w:rsidRPr="00FD2096">
        <w:rPr>
          <w:sz w:val="24"/>
          <w:szCs w:val="24"/>
          <w:lang w:eastAsia="en-GB"/>
        </w:rPr>
        <w:t>their sex characteristics, diagnosis or sexuality, intersex</w:t>
      </w:r>
      <w:r>
        <w:rPr>
          <w:sz w:val="24"/>
          <w:szCs w:val="24"/>
          <w:lang w:eastAsia="en-GB"/>
        </w:rPr>
        <w:t xml:space="preserve"> </w:t>
      </w:r>
      <w:r w:rsidRPr="00FD2096">
        <w:rPr>
          <w:sz w:val="24"/>
          <w:szCs w:val="24"/>
          <w:lang w:eastAsia="en-GB"/>
        </w:rPr>
        <w:t>people often face highly insensitive and violent behaviour.</w:t>
      </w:r>
      <w:r>
        <w:rPr>
          <w:sz w:val="24"/>
          <w:szCs w:val="24"/>
          <w:lang w:eastAsia="en-GB"/>
        </w:rPr>
        <w:t xml:space="preserve"> </w:t>
      </w:r>
      <w:r w:rsidRPr="00FD2096">
        <w:rPr>
          <w:sz w:val="24"/>
          <w:szCs w:val="24"/>
          <w:lang w:eastAsia="en-GB"/>
        </w:rPr>
        <w:t>For example, a 2014 Dutch study on the experience of</w:t>
      </w:r>
      <w:r>
        <w:rPr>
          <w:sz w:val="24"/>
          <w:szCs w:val="24"/>
          <w:lang w:eastAsia="en-GB"/>
        </w:rPr>
        <w:t xml:space="preserve"> </w:t>
      </w:r>
      <w:r w:rsidRPr="00FD2096">
        <w:rPr>
          <w:sz w:val="24"/>
          <w:szCs w:val="24"/>
          <w:lang w:eastAsia="en-GB"/>
        </w:rPr>
        <w:t>intersex people in different areas of life emphasised that</w:t>
      </w:r>
      <w:r>
        <w:rPr>
          <w:sz w:val="24"/>
          <w:szCs w:val="24"/>
          <w:lang w:eastAsia="en-GB"/>
        </w:rPr>
        <w:t xml:space="preserve"> </w:t>
      </w:r>
      <w:r w:rsidRPr="00FD2096">
        <w:rPr>
          <w:sz w:val="24"/>
          <w:szCs w:val="24"/>
          <w:lang w:eastAsia="en-GB"/>
        </w:rPr>
        <w:t>six out of seven spoke “with a great deal of emotion about</w:t>
      </w:r>
      <w:r>
        <w:rPr>
          <w:sz w:val="24"/>
          <w:szCs w:val="24"/>
          <w:lang w:eastAsia="en-GB"/>
        </w:rPr>
        <w:t xml:space="preserve"> </w:t>
      </w:r>
      <w:r w:rsidRPr="00FD2096">
        <w:rPr>
          <w:sz w:val="24"/>
          <w:szCs w:val="24"/>
          <w:lang w:eastAsia="en-GB"/>
        </w:rPr>
        <w:t>poor information, insensitive communication and</w:t>
      </w:r>
      <w:r>
        <w:rPr>
          <w:sz w:val="24"/>
          <w:szCs w:val="24"/>
          <w:lang w:eastAsia="en-GB"/>
        </w:rPr>
        <w:t xml:space="preserve"> </w:t>
      </w:r>
      <w:r w:rsidRPr="00FD2096">
        <w:rPr>
          <w:sz w:val="24"/>
          <w:szCs w:val="24"/>
          <w:lang w:eastAsia="en-GB"/>
        </w:rPr>
        <w:t>discourteous treatment”</w:t>
      </w:r>
      <w:r>
        <w:rPr>
          <w:rStyle w:val="FootnoteReference"/>
          <w:sz w:val="24"/>
          <w:szCs w:val="24"/>
          <w:lang w:eastAsia="en-GB"/>
        </w:rPr>
        <w:footnoteReference w:id="41"/>
      </w:r>
      <w:r w:rsidRPr="00FD2096">
        <w:rPr>
          <w:sz w:val="24"/>
          <w:szCs w:val="24"/>
          <w:lang w:eastAsia="en-GB"/>
        </w:rPr>
        <w:t>.</w:t>
      </w:r>
    </w:p>
    <w:p w14:paraId="0DF6ACB7" w14:textId="77777777" w:rsidR="00182517" w:rsidRDefault="00182517" w:rsidP="00FD2096">
      <w:pPr>
        <w:pStyle w:val="ListParagraph"/>
        <w:shd w:val="clear" w:color="auto" w:fill="FFFFFF"/>
        <w:spacing w:line="259" w:lineRule="auto"/>
        <w:ind w:left="360"/>
        <w:jc w:val="both"/>
        <w:outlineLvl w:val="2"/>
        <w:rPr>
          <w:sz w:val="24"/>
          <w:szCs w:val="24"/>
          <w:lang w:eastAsia="en-GB"/>
        </w:rPr>
      </w:pPr>
    </w:p>
    <w:p w14:paraId="0869FD47" w14:textId="33DE40EF" w:rsidR="00A359BC" w:rsidRDefault="00182517" w:rsidP="00182517">
      <w:pPr>
        <w:pStyle w:val="ListParagraph"/>
        <w:shd w:val="clear" w:color="auto" w:fill="FFFFFF"/>
        <w:spacing w:line="259" w:lineRule="auto"/>
        <w:ind w:left="360"/>
        <w:jc w:val="both"/>
        <w:outlineLvl w:val="2"/>
        <w:rPr>
          <w:sz w:val="24"/>
          <w:szCs w:val="24"/>
          <w:lang w:eastAsia="en-GB"/>
        </w:rPr>
      </w:pPr>
      <w:r w:rsidRPr="00182517">
        <w:rPr>
          <w:sz w:val="24"/>
          <w:szCs w:val="24"/>
          <w:lang w:eastAsia="en-GB"/>
        </w:rPr>
        <w:t>Treatments and medications needed as a direct</w:t>
      </w:r>
      <w:r>
        <w:rPr>
          <w:sz w:val="24"/>
          <w:szCs w:val="24"/>
          <w:lang w:eastAsia="en-GB"/>
        </w:rPr>
        <w:t xml:space="preserve"> </w:t>
      </w:r>
      <w:r w:rsidRPr="00182517">
        <w:rPr>
          <w:sz w:val="24"/>
          <w:szCs w:val="24"/>
          <w:lang w:eastAsia="en-GB"/>
        </w:rPr>
        <w:t>consequence of so-called “normalising” interventions are</w:t>
      </w:r>
      <w:r>
        <w:rPr>
          <w:sz w:val="24"/>
          <w:szCs w:val="24"/>
          <w:lang w:eastAsia="en-GB"/>
        </w:rPr>
        <w:t xml:space="preserve"> </w:t>
      </w:r>
      <w:r w:rsidRPr="00182517">
        <w:rPr>
          <w:sz w:val="24"/>
          <w:szCs w:val="24"/>
          <w:lang w:eastAsia="en-GB"/>
        </w:rPr>
        <w:t>often not covered by health insurance. This can include,</w:t>
      </w:r>
      <w:r>
        <w:rPr>
          <w:sz w:val="24"/>
          <w:szCs w:val="24"/>
          <w:lang w:eastAsia="en-GB"/>
        </w:rPr>
        <w:t xml:space="preserve"> </w:t>
      </w:r>
      <w:r w:rsidRPr="00182517">
        <w:rPr>
          <w:sz w:val="24"/>
          <w:szCs w:val="24"/>
          <w:lang w:eastAsia="en-GB"/>
        </w:rPr>
        <w:t>for example, life-long hormone substitution therapy after</w:t>
      </w:r>
      <w:r>
        <w:rPr>
          <w:sz w:val="24"/>
          <w:szCs w:val="24"/>
          <w:lang w:eastAsia="en-GB"/>
        </w:rPr>
        <w:t xml:space="preserve"> </w:t>
      </w:r>
      <w:r w:rsidRPr="00182517">
        <w:rPr>
          <w:sz w:val="24"/>
          <w:szCs w:val="24"/>
          <w:lang w:eastAsia="en-GB"/>
        </w:rPr>
        <w:t>the removal of hormone-producing tissue in order to</w:t>
      </w:r>
      <w:r>
        <w:rPr>
          <w:sz w:val="24"/>
          <w:szCs w:val="24"/>
          <w:lang w:eastAsia="en-GB"/>
        </w:rPr>
        <w:t xml:space="preserve"> </w:t>
      </w:r>
      <w:r w:rsidRPr="00182517">
        <w:rPr>
          <w:sz w:val="24"/>
          <w:szCs w:val="24"/>
          <w:lang w:eastAsia="en-GB"/>
        </w:rPr>
        <w:t>prevent osteopenia and osteoporosis</w:t>
      </w:r>
      <w:r w:rsidR="00091F02">
        <w:rPr>
          <w:rStyle w:val="FootnoteReference"/>
          <w:sz w:val="24"/>
          <w:szCs w:val="24"/>
          <w:lang w:eastAsia="en-GB"/>
        </w:rPr>
        <w:footnoteReference w:id="42"/>
      </w:r>
      <w:r>
        <w:rPr>
          <w:sz w:val="24"/>
          <w:szCs w:val="24"/>
          <w:lang w:eastAsia="en-GB"/>
        </w:rPr>
        <w:t>.</w:t>
      </w:r>
    </w:p>
    <w:p w14:paraId="706DE14B" w14:textId="4268FD98" w:rsidR="006F37DF" w:rsidRDefault="006F37DF" w:rsidP="00182517">
      <w:pPr>
        <w:pStyle w:val="ListParagraph"/>
        <w:shd w:val="clear" w:color="auto" w:fill="FFFFFF"/>
        <w:spacing w:line="259" w:lineRule="auto"/>
        <w:ind w:left="360"/>
        <w:jc w:val="both"/>
        <w:outlineLvl w:val="2"/>
        <w:rPr>
          <w:sz w:val="24"/>
          <w:szCs w:val="24"/>
          <w:lang w:eastAsia="en-GB"/>
        </w:rPr>
      </w:pPr>
    </w:p>
    <w:p w14:paraId="50D59A17" w14:textId="1C9CAFBC" w:rsidR="006F37DF" w:rsidRDefault="0039321C" w:rsidP="0039321C">
      <w:pPr>
        <w:pStyle w:val="ListParagraph"/>
        <w:shd w:val="clear" w:color="auto" w:fill="FFFFFF"/>
        <w:spacing w:line="259" w:lineRule="auto"/>
        <w:ind w:left="360"/>
        <w:jc w:val="both"/>
        <w:outlineLvl w:val="2"/>
        <w:rPr>
          <w:sz w:val="24"/>
          <w:szCs w:val="24"/>
          <w:lang w:eastAsia="en-GB"/>
        </w:rPr>
      </w:pPr>
      <w:r w:rsidRPr="0039321C">
        <w:rPr>
          <w:sz w:val="24"/>
          <w:szCs w:val="24"/>
          <w:lang w:eastAsia="en-GB"/>
        </w:rPr>
        <w:t>Lack of adequate psycho-social counselling for intersex</w:t>
      </w:r>
      <w:r>
        <w:rPr>
          <w:sz w:val="24"/>
          <w:szCs w:val="24"/>
          <w:lang w:eastAsia="en-GB"/>
        </w:rPr>
        <w:t xml:space="preserve"> </w:t>
      </w:r>
      <w:r w:rsidRPr="0039321C">
        <w:rPr>
          <w:sz w:val="24"/>
          <w:szCs w:val="24"/>
          <w:lang w:eastAsia="en-GB"/>
        </w:rPr>
        <w:t>people is still commonplace in Europe: a 2015 German</w:t>
      </w:r>
      <w:r>
        <w:rPr>
          <w:sz w:val="24"/>
          <w:szCs w:val="24"/>
          <w:lang w:eastAsia="en-GB"/>
        </w:rPr>
        <w:t xml:space="preserve"> </w:t>
      </w:r>
      <w:r w:rsidRPr="0039321C">
        <w:rPr>
          <w:sz w:val="24"/>
          <w:szCs w:val="24"/>
          <w:lang w:eastAsia="en-GB"/>
        </w:rPr>
        <w:t>survey found that of 630 participants (intersex adults,</w:t>
      </w:r>
      <w:r>
        <w:rPr>
          <w:sz w:val="24"/>
          <w:szCs w:val="24"/>
          <w:lang w:eastAsia="en-GB"/>
        </w:rPr>
        <w:t xml:space="preserve"> </w:t>
      </w:r>
      <w:r w:rsidRPr="0039321C">
        <w:rPr>
          <w:sz w:val="24"/>
          <w:szCs w:val="24"/>
          <w:lang w:eastAsia="en-GB"/>
        </w:rPr>
        <w:t>parents of intersex children, counselling professionals and</w:t>
      </w:r>
      <w:r>
        <w:rPr>
          <w:sz w:val="24"/>
          <w:szCs w:val="24"/>
          <w:lang w:eastAsia="en-GB"/>
        </w:rPr>
        <w:t xml:space="preserve"> </w:t>
      </w:r>
      <w:r w:rsidRPr="0039321C">
        <w:rPr>
          <w:sz w:val="24"/>
          <w:szCs w:val="24"/>
          <w:lang w:eastAsia="en-GB"/>
        </w:rPr>
        <w:t>intersex experts), only 4% considered the existing</w:t>
      </w:r>
      <w:r>
        <w:rPr>
          <w:sz w:val="24"/>
          <w:szCs w:val="24"/>
          <w:lang w:eastAsia="en-GB"/>
        </w:rPr>
        <w:t xml:space="preserve"> </w:t>
      </w:r>
      <w:r w:rsidRPr="0039321C">
        <w:rPr>
          <w:sz w:val="24"/>
          <w:szCs w:val="24"/>
          <w:lang w:eastAsia="en-GB"/>
        </w:rPr>
        <w:t>counselling services to be sufficient. 90% of the</w:t>
      </w:r>
      <w:r>
        <w:rPr>
          <w:sz w:val="24"/>
          <w:szCs w:val="24"/>
          <w:lang w:eastAsia="en-GB"/>
        </w:rPr>
        <w:t xml:space="preserve"> </w:t>
      </w:r>
      <w:r w:rsidRPr="0039321C">
        <w:rPr>
          <w:sz w:val="24"/>
          <w:szCs w:val="24"/>
          <w:lang w:eastAsia="en-GB"/>
        </w:rPr>
        <w:t>participants found the existing counselling services</w:t>
      </w:r>
      <w:r>
        <w:rPr>
          <w:sz w:val="24"/>
          <w:szCs w:val="24"/>
          <w:lang w:eastAsia="en-GB"/>
        </w:rPr>
        <w:t xml:space="preserve"> </w:t>
      </w:r>
      <w:r w:rsidRPr="0039321C">
        <w:rPr>
          <w:sz w:val="24"/>
          <w:szCs w:val="24"/>
          <w:lang w:eastAsia="en-GB"/>
        </w:rPr>
        <w:t>insufficient for intersex adults and 95% pointed to the</w:t>
      </w:r>
      <w:r>
        <w:rPr>
          <w:sz w:val="24"/>
          <w:szCs w:val="24"/>
          <w:lang w:eastAsia="en-GB"/>
        </w:rPr>
        <w:t xml:space="preserve"> </w:t>
      </w:r>
      <w:r w:rsidRPr="0039321C">
        <w:rPr>
          <w:sz w:val="24"/>
          <w:szCs w:val="24"/>
          <w:lang w:eastAsia="en-GB"/>
        </w:rPr>
        <w:t>lack of offers for intersex children and adolescents. 95%</w:t>
      </w:r>
      <w:r>
        <w:rPr>
          <w:sz w:val="24"/>
          <w:szCs w:val="24"/>
          <w:lang w:eastAsia="en-GB"/>
        </w:rPr>
        <w:t xml:space="preserve"> </w:t>
      </w:r>
      <w:r w:rsidRPr="0039321C">
        <w:rPr>
          <w:sz w:val="24"/>
          <w:szCs w:val="24"/>
          <w:lang w:eastAsia="en-GB"/>
        </w:rPr>
        <w:t>found the counselling option for parents of intersex</w:t>
      </w:r>
      <w:r>
        <w:rPr>
          <w:sz w:val="24"/>
          <w:szCs w:val="24"/>
          <w:lang w:eastAsia="en-GB"/>
        </w:rPr>
        <w:t xml:space="preserve"> </w:t>
      </w:r>
      <w:r w:rsidRPr="0039321C">
        <w:rPr>
          <w:sz w:val="24"/>
          <w:szCs w:val="24"/>
          <w:lang w:eastAsia="en-GB"/>
        </w:rPr>
        <w:t>children to be insufficient. Almost all participants</w:t>
      </w:r>
      <w:r>
        <w:rPr>
          <w:sz w:val="24"/>
          <w:szCs w:val="24"/>
          <w:lang w:eastAsia="en-GB"/>
        </w:rPr>
        <w:t xml:space="preserve"> </w:t>
      </w:r>
      <w:r w:rsidRPr="0039321C">
        <w:rPr>
          <w:sz w:val="24"/>
          <w:szCs w:val="24"/>
          <w:lang w:eastAsia="en-GB"/>
        </w:rPr>
        <w:t>considered comprehensive counselling services important</w:t>
      </w:r>
      <w:r>
        <w:rPr>
          <w:sz w:val="24"/>
          <w:szCs w:val="24"/>
          <w:lang w:eastAsia="en-GB"/>
        </w:rPr>
        <w:t xml:space="preserve"> </w:t>
      </w:r>
      <w:r w:rsidRPr="0039321C">
        <w:rPr>
          <w:sz w:val="24"/>
          <w:szCs w:val="24"/>
          <w:lang w:eastAsia="en-GB"/>
        </w:rPr>
        <w:t>in order to “avoid premature decisions”.</w:t>
      </w:r>
      <w:r w:rsidR="007F5E3B">
        <w:rPr>
          <w:rStyle w:val="FootnoteReference"/>
          <w:sz w:val="24"/>
          <w:szCs w:val="24"/>
          <w:lang w:eastAsia="en-GB"/>
        </w:rPr>
        <w:footnoteReference w:id="43"/>
      </w:r>
    </w:p>
    <w:p w14:paraId="420E7ACA" w14:textId="408979C4" w:rsidR="00DA3F14" w:rsidRDefault="00DA3F14" w:rsidP="0039321C">
      <w:pPr>
        <w:pStyle w:val="ListParagraph"/>
        <w:shd w:val="clear" w:color="auto" w:fill="FFFFFF"/>
        <w:spacing w:line="259" w:lineRule="auto"/>
        <w:ind w:left="360"/>
        <w:jc w:val="both"/>
        <w:outlineLvl w:val="2"/>
        <w:rPr>
          <w:sz w:val="24"/>
          <w:szCs w:val="24"/>
          <w:lang w:eastAsia="en-GB"/>
        </w:rPr>
      </w:pPr>
    </w:p>
    <w:p w14:paraId="75111AA2" w14:textId="56751CC8" w:rsidR="00DA3F14" w:rsidRDefault="00DA3F14" w:rsidP="00DA3F14">
      <w:pPr>
        <w:pStyle w:val="ListParagraph"/>
        <w:shd w:val="clear" w:color="auto" w:fill="FFFFFF"/>
        <w:spacing w:line="259" w:lineRule="auto"/>
        <w:ind w:left="360"/>
        <w:jc w:val="both"/>
        <w:outlineLvl w:val="2"/>
        <w:rPr>
          <w:sz w:val="24"/>
          <w:szCs w:val="24"/>
          <w:lang w:eastAsia="en-GB"/>
        </w:rPr>
      </w:pPr>
      <w:r w:rsidRPr="00DA3F14">
        <w:rPr>
          <w:sz w:val="24"/>
          <w:szCs w:val="24"/>
          <w:lang w:eastAsia="en-GB"/>
        </w:rPr>
        <w:t>The support must be accessible as well: 76% of the study’s</w:t>
      </w:r>
      <w:r>
        <w:rPr>
          <w:sz w:val="24"/>
          <w:szCs w:val="24"/>
          <w:lang w:eastAsia="en-GB"/>
        </w:rPr>
        <w:t xml:space="preserve"> </w:t>
      </w:r>
      <w:r w:rsidRPr="00DA3F14">
        <w:rPr>
          <w:sz w:val="24"/>
          <w:szCs w:val="24"/>
          <w:lang w:eastAsia="en-GB"/>
        </w:rPr>
        <w:t>participants wished for support offers in their immediate</w:t>
      </w:r>
      <w:r>
        <w:rPr>
          <w:sz w:val="24"/>
          <w:szCs w:val="24"/>
          <w:lang w:eastAsia="en-GB"/>
        </w:rPr>
        <w:t xml:space="preserve"> </w:t>
      </w:r>
      <w:r w:rsidRPr="00DA3F14">
        <w:rPr>
          <w:sz w:val="24"/>
          <w:szCs w:val="24"/>
          <w:lang w:eastAsia="en-GB"/>
        </w:rPr>
        <w:t>vicinities and 59% wished for a minimum of several</w:t>
      </w:r>
      <w:r>
        <w:rPr>
          <w:sz w:val="24"/>
          <w:szCs w:val="24"/>
          <w:lang w:eastAsia="en-GB"/>
        </w:rPr>
        <w:t xml:space="preserve"> </w:t>
      </w:r>
      <w:r w:rsidRPr="00DA3F14">
        <w:rPr>
          <w:sz w:val="24"/>
          <w:szCs w:val="24"/>
          <w:lang w:eastAsia="en-GB"/>
        </w:rPr>
        <w:t>contact points and advisory services per federal state</w:t>
      </w:r>
      <w:r>
        <w:rPr>
          <w:rStyle w:val="FootnoteReference"/>
          <w:sz w:val="24"/>
          <w:szCs w:val="24"/>
          <w:lang w:eastAsia="en-GB"/>
        </w:rPr>
        <w:footnoteReference w:id="44"/>
      </w:r>
      <w:r>
        <w:rPr>
          <w:sz w:val="24"/>
          <w:szCs w:val="24"/>
          <w:lang w:eastAsia="en-GB"/>
        </w:rPr>
        <w:t>.</w:t>
      </w:r>
    </w:p>
    <w:p w14:paraId="65DE0D7B" w14:textId="12B805F2" w:rsidR="002A4702" w:rsidRDefault="002A4702" w:rsidP="00DA3F14">
      <w:pPr>
        <w:pStyle w:val="ListParagraph"/>
        <w:shd w:val="clear" w:color="auto" w:fill="FFFFFF"/>
        <w:spacing w:line="259" w:lineRule="auto"/>
        <w:ind w:left="360"/>
        <w:jc w:val="both"/>
        <w:outlineLvl w:val="2"/>
        <w:rPr>
          <w:sz w:val="24"/>
          <w:szCs w:val="24"/>
          <w:lang w:eastAsia="en-GB"/>
        </w:rPr>
      </w:pPr>
    </w:p>
    <w:p w14:paraId="38C8DBB9" w14:textId="3926E365" w:rsidR="002A4702" w:rsidRPr="00DA3F14" w:rsidRDefault="002A4702" w:rsidP="00DA3F14">
      <w:pPr>
        <w:pStyle w:val="ListParagraph"/>
        <w:shd w:val="clear" w:color="auto" w:fill="FFFFFF"/>
        <w:spacing w:line="259" w:lineRule="auto"/>
        <w:ind w:left="360"/>
        <w:jc w:val="both"/>
        <w:outlineLvl w:val="2"/>
        <w:rPr>
          <w:sz w:val="24"/>
          <w:szCs w:val="24"/>
          <w:lang w:eastAsia="en-GB"/>
        </w:rPr>
      </w:pPr>
      <w:r w:rsidRPr="002A4702">
        <w:rPr>
          <w:sz w:val="24"/>
          <w:szCs w:val="24"/>
          <w:lang w:eastAsia="en-GB"/>
        </w:rPr>
        <w:t xml:space="preserve">The </w:t>
      </w:r>
      <w:r w:rsidR="00D456B9">
        <w:rPr>
          <w:sz w:val="24"/>
          <w:szCs w:val="24"/>
          <w:lang w:eastAsia="en-GB"/>
        </w:rPr>
        <w:t>C</w:t>
      </w:r>
      <w:r w:rsidRPr="002A4702">
        <w:rPr>
          <w:sz w:val="24"/>
          <w:szCs w:val="24"/>
          <w:lang w:eastAsia="en-GB"/>
        </w:rPr>
        <w:t>ovid crisis has exacerbated an already dire situation</w:t>
      </w:r>
      <w:r>
        <w:rPr>
          <w:sz w:val="24"/>
          <w:szCs w:val="24"/>
          <w:lang w:eastAsia="en-GB"/>
        </w:rPr>
        <w:t xml:space="preserve">. </w:t>
      </w:r>
      <w:r w:rsidR="0045107A">
        <w:rPr>
          <w:sz w:val="24"/>
          <w:szCs w:val="24"/>
          <w:lang w:eastAsia="en-GB"/>
        </w:rPr>
        <w:t xml:space="preserve">Among the intersex respondents to our 2020 </w:t>
      </w:r>
      <w:r w:rsidR="00D456B9">
        <w:rPr>
          <w:sz w:val="24"/>
          <w:szCs w:val="24"/>
          <w:lang w:eastAsia="en-GB"/>
        </w:rPr>
        <w:t>C</w:t>
      </w:r>
      <w:r w:rsidR="0045107A">
        <w:rPr>
          <w:sz w:val="24"/>
          <w:szCs w:val="24"/>
          <w:lang w:eastAsia="en-GB"/>
        </w:rPr>
        <w:t xml:space="preserve">ovid survey, </w:t>
      </w:r>
      <w:r w:rsidR="0045107A" w:rsidRPr="0045107A">
        <w:rPr>
          <w:sz w:val="24"/>
          <w:szCs w:val="24"/>
          <w:lang w:eastAsia="en-GB"/>
        </w:rPr>
        <w:t xml:space="preserve">40% reported that their doctor appointments were postponed and 22% </w:t>
      </w:r>
      <w:r w:rsidR="005447F2">
        <w:rPr>
          <w:sz w:val="24"/>
          <w:szCs w:val="24"/>
          <w:lang w:eastAsia="en-GB"/>
        </w:rPr>
        <w:t>that they</w:t>
      </w:r>
      <w:r w:rsidR="0045107A" w:rsidRPr="0045107A">
        <w:rPr>
          <w:sz w:val="24"/>
          <w:szCs w:val="24"/>
          <w:lang w:eastAsia="en-GB"/>
        </w:rPr>
        <w:t xml:space="preserve"> had their appointments cancelled during the crisis.</w:t>
      </w:r>
      <w:r w:rsidR="005447F2">
        <w:rPr>
          <w:rFonts w:ascii="Arial" w:eastAsiaTheme="minorHAnsi" w:hAnsi="Arial" w:cs="Arial"/>
          <w:color w:val="000000"/>
          <w:sz w:val="22"/>
          <w:szCs w:val="22"/>
        </w:rPr>
        <w:t xml:space="preserve"> </w:t>
      </w:r>
      <w:r w:rsidR="005447F2" w:rsidRPr="005447F2">
        <w:rPr>
          <w:sz w:val="24"/>
          <w:szCs w:val="24"/>
          <w:lang w:eastAsia="en-GB"/>
        </w:rPr>
        <w:t xml:space="preserve">21% reported that they don’t have access to a doctor who has the necessary expertise with their intersex body and 14% </w:t>
      </w:r>
      <w:r w:rsidR="00E8734E" w:rsidRPr="005447F2">
        <w:rPr>
          <w:sz w:val="24"/>
          <w:szCs w:val="24"/>
          <w:lang w:eastAsia="en-GB"/>
        </w:rPr>
        <w:t>currently have</w:t>
      </w:r>
      <w:r w:rsidR="005447F2" w:rsidRPr="005447F2">
        <w:rPr>
          <w:sz w:val="24"/>
          <w:szCs w:val="24"/>
          <w:lang w:eastAsia="en-GB"/>
        </w:rPr>
        <w:t xml:space="preserve"> no access to a doctor that they trust</w:t>
      </w:r>
      <w:r w:rsidR="00E8734E">
        <w:rPr>
          <w:rStyle w:val="FootnoteReference"/>
          <w:sz w:val="24"/>
          <w:szCs w:val="24"/>
          <w:lang w:eastAsia="en-GB"/>
        </w:rPr>
        <w:footnoteReference w:id="45"/>
      </w:r>
      <w:r w:rsidR="005447F2">
        <w:rPr>
          <w:sz w:val="24"/>
          <w:szCs w:val="24"/>
          <w:lang w:eastAsia="en-GB"/>
        </w:rPr>
        <w:t>.</w:t>
      </w:r>
    </w:p>
    <w:p w14:paraId="49A62A7C" w14:textId="06B8ABA5" w:rsidR="00091F02" w:rsidRDefault="00091F02" w:rsidP="00FD2096">
      <w:pPr>
        <w:pStyle w:val="ListParagraph"/>
        <w:shd w:val="clear" w:color="auto" w:fill="FFFFFF"/>
        <w:spacing w:line="259" w:lineRule="auto"/>
        <w:ind w:left="360"/>
        <w:jc w:val="both"/>
        <w:outlineLvl w:val="2"/>
        <w:rPr>
          <w:sz w:val="24"/>
          <w:szCs w:val="24"/>
          <w:lang w:eastAsia="en-GB"/>
        </w:rPr>
      </w:pPr>
    </w:p>
    <w:p w14:paraId="759D8F30" w14:textId="258320C9" w:rsidR="00091F02" w:rsidRDefault="00C3430C" w:rsidP="00FD2096">
      <w:pPr>
        <w:pStyle w:val="ListParagraph"/>
        <w:shd w:val="clear" w:color="auto" w:fill="FFFFFF"/>
        <w:spacing w:line="259" w:lineRule="auto"/>
        <w:ind w:left="360"/>
        <w:jc w:val="both"/>
        <w:outlineLvl w:val="2"/>
        <w:rPr>
          <w:sz w:val="24"/>
          <w:szCs w:val="24"/>
          <w:lang w:eastAsia="en-GB"/>
        </w:rPr>
      </w:pPr>
      <w:r>
        <w:rPr>
          <w:sz w:val="24"/>
          <w:szCs w:val="24"/>
          <w:lang w:eastAsia="en-GB"/>
        </w:rPr>
        <w:t xml:space="preserve">Among the respondents, </w:t>
      </w:r>
      <w:r w:rsidR="006B16A9" w:rsidRPr="006B16A9">
        <w:rPr>
          <w:sz w:val="24"/>
          <w:szCs w:val="24"/>
          <w:lang w:eastAsia="en-GB"/>
        </w:rPr>
        <w:t xml:space="preserve">40% stated that they follow a </w:t>
      </w:r>
      <w:r>
        <w:rPr>
          <w:sz w:val="24"/>
          <w:szCs w:val="24"/>
          <w:lang w:eastAsia="en-GB"/>
        </w:rPr>
        <w:t xml:space="preserve">medicine taking </w:t>
      </w:r>
      <w:r w:rsidR="006B16A9" w:rsidRPr="006B16A9">
        <w:rPr>
          <w:sz w:val="24"/>
          <w:szCs w:val="24"/>
          <w:lang w:eastAsia="en-GB"/>
        </w:rPr>
        <w:t>regime on regular basis</w:t>
      </w:r>
      <w:r>
        <w:rPr>
          <w:sz w:val="24"/>
          <w:szCs w:val="24"/>
          <w:lang w:eastAsia="en-GB"/>
        </w:rPr>
        <w:t xml:space="preserve">, which </w:t>
      </w:r>
      <w:r w:rsidRPr="00C3430C">
        <w:rPr>
          <w:sz w:val="24"/>
          <w:szCs w:val="24"/>
          <w:lang w:eastAsia="en-GB"/>
        </w:rPr>
        <w:t>may include, but is not limited to, hormone substitution as a result of surgically induced loss of hormone-producing tissue</w:t>
      </w:r>
      <w:r>
        <w:rPr>
          <w:sz w:val="24"/>
          <w:szCs w:val="24"/>
          <w:lang w:eastAsia="en-GB"/>
        </w:rPr>
        <w:t>.</w:t>
      </w:r>
      <w:r w:rsidRPr="00C3430C">
        <w:rPr>
          <w:sz w:val="24"/>
          <w:szCs w:val="24"/>
          <w:lang w:eastAsia="en-GB"/>
        </w:rPr>
        <w:t xml:space="preserve"> </w:t>
      </w:r>
      <w:r w:rsidR="006B16A9" w:rsidRPr="006B16A9">
        <w:rPr>
          <w:sz w:val="24"/>
          <w:szCs w:val="24"/>
          <w:lang w:eastAsia="en-GB"/>
        </w:rPr>
        <w:t xml:space="preserve">Of those, </w:t>
      </w:r>
      <w:r>
        <w:rPr>
          <w:sz w:val="24"/>
          <w:szCs w:val="24"/>
          <w:lang w:eastAsia="en-GB"/>
        </w:rPr>
        <w:t>in July 2020</w:t>
      </w:r>
      <w:r w:rsidR="006B16A9" w:rsidRPr="006B16A9">
        <w:rPr>
          <w:sz w:val="24"/>
          <w:szCs w:val="24"/>
          <w:lang w:eastAsia="en-GB"/>
        </w:rPr>
        <w:t xml:space="preserve"> 64% t</w:t>
      </w:r>
      <w:r>
        <w:rPr>
          <w:sz w:val="24"/>
          <w:szCs w:val="24"/>
          <w:lang w:eastAsia="en-GB"/>
        </w:rPr>
        <w:t>ook</w:t>
      </w:r>
      <w:r w:rsidR="006B16A9" w:rsidRPr="006B16A9">
        <w:rPr>
          <w:sz w:val="24"/>
          <w:szCs w:val="24"/>
          <w:lang w:eastAsia="en-GB"/>
        </w:rPr>
        <w:t xml:space="preserve"> their medicine as regularly as they did before the pandemic</w:t>
      </w:r>
      <w:r>
        <w:rPr>
          <w:sz w:val="24"/>
          <w:szCs w:val="24"/>
          <w:lang w:eastAsia="en-GB"/>
        </w:rPr>
        <w:t>,</w:t>
      </w:r>
      <w:r w:rsidR="006B16A9" w:rsidRPr="006B16A9">
        <w:rPr>
          <w:sz w:val="24"/>
          <w:szCs w:val="24"/>
          <w:lang w:eastAsia="en-GB"/>
        </w:rPr>
        <w:t xml:space="preserve"> but 28% who follow a regime on regular basis reported that they had to stop or will eventually stop taking their medicine</w:t>
      </w:r>
      <w:r w:rsidR="005D5018">
        <w:rPr>
          <w:rStyle w:val="FootnoteReference"/>
          <w:sz w:val="24"/>
          <w:szCs w:val="24"/>
          <w:lang w:eastAsia="en-GB"/>
        </w:rPr>
        <w:footnoteReference w:id="46"/>
      </w:r>
      <w:r w:rsidR="006B16A9" w:rsidRPr="006B16A9">
        <w:rPr>
          <w:sz w:val="24"/>
          <w:szCs w:val="24"/>
          <w:lang w:eastAsia="en-GB"/>
        </w:rPr>
        <w:t>.</w:t>
      </w:r>
    </w:p>
    <w:p w14:paraId="328D9244" w14:textId="7C310CF9" w:rsidR="00965192" w:rsidRDefault="00965192" w:rsidP="00FD2096">
      <w:pPr>
        <w:pStyle w:val="ListParagraph"/>
        <w:shd w:val="clear" w:color="auto" w:fill="FFFFFF"/>
        <w:spacing w:line="259" w:lineRule="auto"/>
        <w:ind w:left="360"/>
        <w:jc w:val="both"/>
        <w:outlineLvl w:val="2"/>
        <w:rPr>
          <w:sz w:val="24"/>
          <w:szCs w:val="24"/>
          <w:lang w:eastAsia="en-GB"/>
        </w:rPr>
      </w:pPr>
    </w:p>
    <w:p w14:paraId="00CB973C" w14:textId="6CEE7FDB" w:rsidR="00965192" w:rsidRDefault="00965192" w:rsidP="00FD2096">
      <w:pPr>
        <w:pStyle w:val="ListParagraph"/>
        <w:shd w:val="clear" w:color="auto" w:fill="FFFFFF"/>
        <w:spacing w:line="259" w:lineRule="auto"/>
        <w:ind w:left="360"/>
        <w:jc w:val="both"/>
        <w:outlineLvl w:val="2"/>
        <w:rPr>
          <w:sz w:val="24"/>
          <w:szCs w:val="24"/>
          <w:lang w:eastAsia="en-GB"/>
        </w:rPr>
      </w:pPr>
      <w:r>
        <w:rPr>
          <w:sz w:val="24"/>
          <w:szCs w:val="24"/>
          <w:lang w:eastAsia="en-GB"/>
        </w:rPr>
        <w:t xml:space="preserve">Finally, intersex people who want to seek justice for the harm inflicted on them by medical doctors face huge </w:t>
      </w:r>
      <w:r w:rsidRPr="00965192">
        <w:rPr>
          <w:sz w:val="24"/>
          <w:szCs w:val="24"/>
          <w:lang w:eastAsia="en-GB"/>
        </w:rPr>
        <w:t>difficulties in accessing their (full) medical records</w:t>
      </w:r>
      <w:r>
        <w:rPr>
          <w:sz w:val="24"/>
          <w:szCs w:val="24"/>
          <w:lang w:eastAsia="en-GB"/>
        </w:rPr>
        <w:t>, either because the retention period has expired or because of the stigma and secrecy surrounding their situation</w:t>
      </w:r>
      <w:r w:rsidR="00F90444">
        <w:rPr>
          <w:rStyle w:val="FootnoteReference"/>
          <w:sz w:val="24"/>
          <w:szCs w:val="24"/>
          <w:lang w:eastAsia="en-GB"/>
        </w:rPr>
        <w:footnoteReference w:id="47"/>
      </w:r>
      <w:r>
        <w:rPr>
          <w:sz w:val="24"/>
          <w:szCs w:val="24"/>
          <w:lang w:eastAsia="en-GB"/>
        </w:rPr>
        <w:t xml:space="preserve">. Even when they manage to get them, </w:t>
      </w:r>
      <w:r w:rsidR="00F92E77">
        <w:rPr>
          <w:sz w:val="24"/>
          <w:szCs w:val="24"/>
          <w:lang w:eastAsia="en-GB"/>
        </w:rPr>
        <w:t>their claim</w:t>
      </w:r>
      <w:r>
        <w:rPr>
          <w:sz w:val="24"/>
          <w:szCs w:val="24"/>
          <w:lang w:eastAsia="en-GB"/>
        </w:rPr>
        <w:t xml:space="preserve"> may be time-barred.</w:t>
      </w:r>
      <w:r w:rsidR="00F92E77">
        <w:rPr>
          <w:sz w:val="24"/>
          <w:szCs w:val="24"/>
          <w:lang w:eastAsia="en-GB"/>
        </w:rPr>
        <w:t xml:space="preserve"> Retention periods and statutes of limitations are not designed to consider that</w:t>
      </w:r>
      <w:r>
        <w:rPr>
          <w:sz w:val="24"/>
          <w:szCs w:val="24"/>
          <w:lang w:eastAsia="en-GB"/>
        </w:rPr>
        <w:t xml:space="preserve"> </w:t>
      </w:r>
      <w:r w:rsidR="00F92E77">
        <w:rPr>
          <w:sz w:val="24"/>
          <w:szCs w:val="24"/>
          <w:lang w:eastAsia="en-GB"/>
        </w:rPr>
        <w:t xml:space="preserve">intersex people often </w:t>
      </w:r>
      <w:r w:rsidR="00F92E77" w:rsidRPr="00F92E77">
        <w:rPr>
          <w:sz w:val="24"/>
          <w:szCs w:val="24"/>
          <w:lang w:eastAsia="en-GB"/>
        </w:rPr>
        <w:t xml:space="preserve">find out as adults that they underwent </w:t>
      </w:r>
      <w:r w:rsidR="00F92E77">
        <w:rPr>
          <w:sz w:val="24"/>
          <w:szCs w:val="24"/>
          <w:lang w:eastAsia="en-GB"/>
        </w:rPr>
        <w:t xml:space="preserve">harmful </w:t>
      </w:r>
      <w:r w:rsidR="00F92E77" w:rsidRPr="00F92E77">
        <w:rPr>
          <w:sz w:val="24"/>
          <w:szCs w:val="24"/>
          <w:lang w:eastAsia="en-GB"/>
        </w:rPr>
        <w:t>treatment</w:t>
      </w:r>
      <w:r w:rsidR="00F92E77">
        <w:rPr>
          <w:sz w:val="24"/>
          <w:szCs w:val="24"/>
          <w:lang w:eastAsia="en-GB"/>
        </w:rPr>
        <w:t xml:space="preserve">, because of the silence and taboo surrounding them, and once they find it </w:t>
      </w:r>
      <w:r w:rsidR="00E4370A">
        <w:rPr>
          <w:sz w:val="24"/>
          <w:szCs w:val="24"/>
          <w:lang w:eastAsia="en-GB"/>
        </w:rPr>
        <w:t>out,</w:t>
      </w:r>
      <w:r w:rsidR="00F92E77">
        <w:rPr>
          <w:sz w:val="24"/>
          <w:szCs w:val="24"/>
          <w:lang w:eastAsia="en-GB"/>
        </w:rPr>
        <w:t xml:space="preserve"> they need </w:t>
      </w:r>
      <w:r w:rsidR="00F92E77" w:rsidRPr="00F92E77">
        <w:rPr>
          <w:sz w:val="24"/>
          <w:szCs w:val="24"/>
          <w:lang w:eastAsia="en-GB"/>
        </w:rPr>
        <w:t>time to process and heal</w:t>
      </w:r>
      <w:r w:rsidR="00F92E77">
        <w:rPr>
          <w:sz w:val="24"/>
          <w:szCs w:val="24"/>
          <w:lang w:eastAsia="en-GB"/>
        </w:rPr>
        <w:t xml:space="preserve"> before even thinking about going before court</w:t>
      </w:r>
      <w:r w:rsidR="00E4370A">
        <w:rPr>
          <w:rStyle w:val="FootnoteReference"/>
          <w:sz w:val="24"/>
          <w:szCs w:val="24"/>
          <w:lang w:eastAsia="en-GB"/>
        </w:rPr>
        <w:footnoteReference w:id="48"/>
      </w:r>
      <w:r w:rsidR="00F92E77">
        <w:rPr>
          <w:sz w:val="24"/>
          <w:szCs w:val="24"/>
          <w:lang w:eastAsia="en-GB"/>
        </w:rPr>
        <w:t>.</w:t>
      </w:r>
    </w:p>
    <w:p w14:paraId="50C528AE" w14:textId="77777777" w:rsidR="00C3430C" w:rsidRPr="00FD2096" w:rsidRDefault="00C3430C" w:rsidP="00FD2096">
      <w:pPr>
        <w:pStyle w:val="ListParagraph"/>
        <w:shd w:val="clear" w:color="auto" w:fill="FFFFFF"/>
        <w:spacing w:line="259" w:lineRule="auto"/>
        <w:ind w:left="360"/>
        <w:jc w:val="both"/>
        <w:outlineLvl w:val="2"/>
        <w:rPr>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D90F79">
        <w:rPr>
          <w:color w:val="1F4E79" w:themeColor="accent1" w:themeShade="8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r w:rsidRPr="0096645F">
        <w:rPr>
          <w:color w:val="000000"/>
          <w:sz w:val="24"/>
          <w:szCs w:val="24"/>
          <w:lang w:eastAsia="en-GB"/>
        </w:rPr>
        <w:t xml:space="preserve">.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D90F79" w:rsidRDefault="009F00AF" w:rsidP="009F00AF">
      <w:pPr>
        <w:pStyle w:val="ListParagraph"/>
        <w:numPr>
          <w:ilvl w:val="0"/>
          <w:numId w:val="1"/>
        </w:numPr>
        <w:shd w:val="clear" w:color="auto" w:fill="FFFFFF"/>
        <w:spacing w:line="259" w:lineRule="auto"/>
        <w:jc w:val="both"/>
        <w:outlineLvl w:val="2"/>
        <w:rPr>
          <w:color w:val="1F4E79" w:themeColor="accent1" w:themeShade="80"/>
          <w:sz w:val="24"/>
          <w:szCs w:val="24"/>
          <w:lang w:eastAsia="en-GB"/>
        </w:rPr>
      </w:pPr>
      <w:r w:rsidRPr="00D90F79">
        <w:rPr>
          <w:color w:val="1F4E79" w:themeColor="accent1" w:themeShade="8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5D6B40B7" w:rsidR="009F00AF" w:rsidRDefault="009F00AF" w:rsidP="009F00AF">
      <w:pPr>
        <w:pStyle w:val="ListParagraph"/>
        <w:spacing w:line="259" w:lineRule="auto"/>
        <w:jc w:val="both"/>
        <w:rPr>
          <w:color w:val="1F4E79" w:themeColor="accent1" w:themeShade="80"/>
          <w:sz w:val="24"/>
          <w:szCs w:val="24"/>
          <w:lang w:eastAsia="en-GB"/>
        </w:rPr>
      </w:pPr>
    </w:p>
    <w:p w14:paraId="00A74F4D" w14:textId="6CCC9469" w:rsidR="00C5023E" w:rsidRDefault="00C5023E" w:rsidP="00C5023E">
      <w:pPr>
        <w:pStyle w:val="ListParagraph"/>
        <w:spacing w:line="259" w:lineRule="auto"/>
        <w:ind w:left="426"/>
        <w:jc w:val="both"/>
        <w:rPr>
          <w:sz w:val="24"/>
          <w:szCs w:val="24"/>
          <w:lang w:eastAsia="en-GB"/>
        </w:rPr>
      </w:pPr>
      <w:r>
        <w:rPr>
          <w:sz w:val="24"/>
          <w:szCs w:val="24"/>
          <w:lang w:eastAsia="en-GB"/>
        </w:rPr>
        <w:t xml:space="preserve">Self-identified needs of the survivors of structural/institutional violence and intersex people in general are effectively expressed and communicated in the so-called Vienna Statement, that is the </w:t>
      </w:r>
      <w:r w:rsidRPr="00C5023E">
        <w:rPr>
          <w:sz w:val="24"/>
          <w:szCs w:val="24"/>
          <w:lang w:eastAsia="en-GB"/>
        </w:rPr>
        <w:t>Statement of the 1st European Intersex Community Event (Vienna, 30st – 31st of March 2017)</w:t>
      </w:r>
      <w:r>
        <w:rPr>
          <w:rStyle w:val="FootnoteReference"/>
          <w:sz w:val="24"/>
          <w:szCs w:val="24"/>
          <w:lang w:eastAsia="en-GB"/>
        </w:rPr>
        <w:footnoteReference w:id="49"/>
      </w:r>
      <w:r>
        <w:rPr>
          <w:sz w:val="24"/>
          <w:szCs w:val="24"/>
          <w:lang w:eastAsia="en-GB"/>
        </w:rPr>
        <w:t>.</w:t>
      </w:r>
    </w:p>
    <w:p w14:paraId="7F666DB0" w14:textId="178AE85C" w:rsidR="00C5023E" w:rsidRDefault="00C5023E" w:rsidP="00C5023E">
      <w:pPr>
        <w:pStyle w:val="ListParagraph"/>
        <w:spacing w:line="259" w:lineRule="auto"/>
        <w:ind w:left="426"/>
        <w:jc w:val="both"/>
        <w:rPr>
          <w:sz w:val="24"/>
          <w:szCs w:val="24"/>
          <w:lang w:eastAsia="en-GB"/>
        </w:rPr>
      </w:pPr>
    </w:p>
    <w:p w14:paraId="4B261CA2" w14:textId="3BC7BF6D" w:rsidR="00C5023E" w:rsidRPr="00C5023E" w:rsidRDefault="00F671CC" w:rsidP="00C5023E">
      <w:pPr>
        <w:pStyle w:val="ListParagraph"/>
        <w:spacing w:line="259" w:lineRule="auto"/>
        <w:ind w:left="426"/>
        <w:jc w:val="both"/>
        <w:rPr>
          <w:b/>
          <w:bCs/>
          <w:sz w:val="24"/>
          <w:szCs w:val="24"/>
          <w:lang w:eastAsia="en-GB"/>
        </w:rPr>
      </w:pPr>
      <w:r>
        <w:rPr>
          <w:b/>
          <w:bCs/>
          <w:sz w:val="24"/>
          <w:szCs w:val="24"/>
          <w:lang w:eastAsia="en-GB"/>
        </w:rPr>
        <w:t>“</w:t>
      </w:r>
      <w:r w:rsidR="00C5023E" w:rsidRPr="00C5023E">
        <w:rPr>
          <w:b/>
          <w:bCs/>
          <w:sz w:val="24"/>
          <w:szCs w:val="24"/>
          <w:lang w:eastAsia="en-GB"/>
        </w:rPr>
        <w:t xml:space="preserve">In the field of </w:t>
      </w:r>
      <w:r w:rsidR="00907CFA" w:rsidRPr="00C5023E">
        <w:rPr>
          <w:b/>
          <w:bCs/>
          <w:sz w:val="24"/>
          <w:szCs w:val="24"/>
          <w:lang w:eastAsia="en-GB"/>
        </w:rPr>
        <w:t>healthcare,</w:t>
      </w:r>
      <w:r w:rsidR="00C5023E" w:rsidRPr="00C5023E">
        <w:rPr>
          <w:b/>
          <w:bCs/>
          <w:sz w:val="24"/>
          <w:szCs w:val="24"/>
          <w:lang w:eastAsia="en-GB"/>
        </w:rPr>
        <w:t xml:space="preserve"> we call on governments, doctors associations, health insurances and other decision and policy makers working in the area of healthcare, to</w:t>
      </w:r>
    </w:p>
    <w:p w14:paraId="10255755" w14:textId="77777777" w:rsidR="00C5023E" w:rsidRPr="00C5023E" w:rsidRDefault="00C5023E" w:rsidP="00C5023E">
      <w:pPr>
        <w:pStyle w:val="ListParagraph"/>
        <w:numPr>
          <w:ilvl w:val="0"/>
          <w:numId w:val="7"/>
        </w:numPr>
        <w:spacing w:line="259" w:lineRule="auto"/>
        <w:jc w:val="both"/>
        <w:rPr>
          <w:sz w:val="24"/>
          <w:szCs w:val="24"/>
          <w:lang w:eastAsia="en-GB"/>
        </w:rPr>
      </w:pPr>
      <w:r w:rsidRPr="00C5023E">
        <w:rPr>
          <w:sz w:val="24"/>
          <w:szCs w:val="24"/>
          <w:lang w:eastAsia="en-GB"/>
        </w:rPr>
        <w:t>Ensure intersex people’s full access to medical records.</w:t>
      </w:r>
    </w:p>
    <w:p w14:paraId="0394219D" w14:textId="77777777" w:rsidR="00C5023E" w:rsidRPr="00C5023E" w:rsidRDefault="00C5023E" w:rsidP="00C5023E">
      <w:pPr>
        <w:pStyle w:val="ListParagraph"/>
        <w:numPr>
          <w:ilvl w:val="0"/>
          <w:numId w:val="7"/>
        </w:numPr>
        <w:spacing w:line="259" w:lineRule="auto"/>
        <w:jc w:val="both"/>
        <w:rPr>
          <w:sz w:val="24"/>
          <w:szCs w:val="24"/>
          <w:lang w:eastAsia="en-GB"/>
        </w:rPr>
      </w:pPr>
      <w:r w:rsidRPr="00C5023E">
        <w:rPr>
          <w:sz w:val="24"/>
          <w:szCs w:val="24"/>
          <w:lang w:eastAsia="en-GB"/>
        </w:rPr>
        <w:t>Educate all healthcare professionals and providers about respectful behaviour towards intersex people and ensuring their privacy.</w:t>
      </w:r>
    </w:p>
    <w:p w14:paraId="64DA2D52" w14:textId="77777777" w:rsidR="00C5023E" w:rsidRPr="00C5023E" w:rsidRDefault="00C5023E" w:rsidP="00C5023E">
      <w:pPr>
        <w:pStyle w:val="ListParagraph"/>
        <w:numPr>
          <w:ilvl w:val="0"/>
          <w:numId w:val="7"/>
        </w:numPr>
        <w:spacing w:line="259" w:lineRule="auto"/>
        <w:jc w:val="both"/>
        <w:rPr>
          <w:sz w:val="24"/>
          <w:szCs w:val="24"/>
          <w:lang w:eastAsia="en-GB"/>
        </w:rPr>
      </w:pPr>
      <w:r w:rsidRPr="00C5023E">
        <w:rPr>
          <w:sz w:val="24"/>
          <w:szCs w:val="24"/>
          <w:lang w:eastAsia="en-GB"/>
        </w:rPr>
        <w:t>Cover all health-related needs of intersex people, including those that were created by previous medical and psychological interventions.</w:t>
      </w:r>
    </w:p>
    <w:p w14:paraId="21097FDA" w14:textId="77777777" w:rsidR="00C5023E" w:rsidRPr="00C5023E" w:rsidRDefault="00C5023E" w:rsidP="00C5023E">
      <w:pPr>
        <w:pStyle w:val="ListParagraph"/>
        <w:spacing w:line="259" w:lineRule="auto"/>
        <w:ind w:left="426"/>
        <w:jc w:val="both"/>
        <w:rPr>
          <w:b/>
          <w:bCs/>
          <w:sz w:val="24"/>
          <w:szCs w:val="24"/>
          <w:lang w:eastAsia="en-GB"/>
        </w:rPr>
      </w:pPr>
      <w:r w:rsidRPr="00C5023E">
        <w:rPr>
          <w:b/>
          <w:bCs/>
          <w:sz w:val="24"/>
          <w:szCs w:val="24"/>
          <w:lang w:eastAsia="en-GB"/>
        </w:rPr>
        <w:t>In regards to support for intersex people and their families, we call on governments to</w:t>
      </w:r>
    </w:p>
    <w:p w14:paraId="047A989A" w14:textId="77777777" w:rsidR="00C5023E" w:rsidRPr="00C5023E" w:rsidRDefault="00C5023E" w:rsidP="00C5023E">
      <w:pPr>
        <w:pStyle w:val="ListParagraph"/>
        <w:numPr>
          <w:ilvl w:val="0"/>
          <w:numId w:val="8"/>
        </w:numPr>
        <w:spacing w:line="259" w:lineRule="auto"/>
        <w:jc w:val="both"/>
        <w:rPr>
          <w:sz w:val="24"/>
          <w:szCs w:val="24"/>
          <w:lang w:eastAsia="en-GB"/>
        </w:rPr>
      </w:pPr>
      <w:r w:rsidRPr="00C5023E">
        <w:rPr>
          <w:sz w:val="24"/>
          <w:szCs w:val="24"/>
          <w:lang w:eastAsia="en-GB"/>
        </w:rPr>
        <w:t>Ensure that peer counselling, which approaches intersex issues in a depathologizing and human rights affirming manner, led by intersex adults is easily available for parents, families, intersex children and intersex adults.</w:t>
      </w:r>
    </w:p>
    <w:p w14:paraId="6E3D0D94" w14:textId="3AA093B7" w:rsidR="00C5023E" w:rsidRPr="00C5023E" w:rsidRDefault="00C5023E" w:rsidP="00C5023E">
      <w:pPr>
        <w:pStyle w:val="ListParagraph"/>
        <w:numPr>
          <w:ilvl w:val="0"/>
          <w:numId w:val="8"/>
        </w:numPr>
        <w:spacing w:line="259" w:lineRule="auto"/>
        <w:jc w:val="both"/>
        <w:rPr>
          <w:sz w:val="24"/>
          <w:szCs w:val="24"/>
          <w:lang w:eastAsia="en-GB"/>
        </w:rPr>
      </w:pPr>
      <w:r w:rsidRPr="00C5023E">
        <w:rPr>
          <w:sz w:val="24"/>
          <w:szCs w:val="24"/>
          <w:lang w:eastAsia="en-GB"/>
        </w:rPr>
        <w:t>Ensure that professional counselling services that approach intersex issues in a depathologizing and human rights affirming manner are easily available for parents, families, intersex children and intersex adults</w:t>
      </w:r>
      <w:r w:rsidR="00F671CC">
        <w:rPr>
          <w:sz w:val="24"/>
          <w:szCs w:val="24"/>
          <w:lang w:eastAsia="en-GB"/>
        </w:rPr>
        <w:t>”</w:t>
      </w:r>
      <w:r w:rsidRPr="00C5023E">
        <w:rPr>
          <w:sz w:val="24"/>
          <w:szCs w:val="24"/>
          <w:lang w:eastAsia="en-GB"/>
        </w:rPr>
        <w:t>.</w:t>
      </w:r>
    </w:p>
    <w:p w14:paraId="4700C8CB" w14:textId="3D4FA7A0" w:rsidR="00C5023E" w:rsidRDefault="00C5023E" w:rsidP="00C5023E">
      <w:pPr>
        <w:pStyle w:val="ListParagraph"/>
        <w:spacing w:line="259" w:lineRule="auto"/>
        <w:ind w:left="426"/>
        <w:jc w:val="both"/>
        <w:rPr>
          <w:b/>
          <w:bCs/>
          <w:sz w:val="24"/>
          <w:szCs w:val="24"/>
          <w:lang w:eastAsia="en-GB"/>
        </w:rPr>
      </w:pPr>
    </w:p>
    <w:p w14:paraId="33DE7E4A" w14:textId="3178CA29" w:rsidR="00F671CC" w:rsidRPr="00F671CC" w:rsidRDefault="00F671CC" w:rsidP="00C5023E">
      <w:pPr>
        <w:pStyle w:val="ListParagraph"/>
        <w:spacing w:line="259" w:lineRule="auto"/>
        <w:ind w:left="426"/>
        <w:jc w:val="both"/>
        <w:rPr>
          <w:sz w:val="24"/>
          <w:szCs w:val="24"/>
          <w:lang w:eastAsia="en-GB"/>
        </w:rPr>
      </w:pPr>
      <w:r w:rsidRPr="00F671CC">
        <w:rPr>
          <w:sz w:val="24"/>
          <w:szCs w:val="24"/>
          <w:lang w:eastAsia="en-GB"/>
        </w:rPr>
        <w:t>Clearly</w:t>
      </w:r>
      <w:r>
        <w:rPr>
          <w:sz w:val="24"/>
          <w:szCs w:val="24"/>
          <w:lang w:eastAsia="en-GB"/>
        </w:rPr>
        <w:t xml:space="preserve">, self-identified needs of the community are </w:t>
      </w:r>
      <w:r w:rsidR="00D456B9">
        <w:rPr>
          <w:sz w:val="24"/>
          <w:szCs w:val="24"/>
          <w:lang w:eastAsia="en-GB"/>
        </w:rPr>
        <w:t xml:space="preserve">still </w:t>
      </w:r>
      <w:r>
        <w:rPr>
          <w:sz w:val="24"/>
          <w:szCs w:val="24"/>
          <w:lang w:eastAsia="en-GB"/>
        </w:rPr>
        <w:t xml:space="preserve">not acknowledged </w:t>
      </w:r>
      <w:r w:rsidR="00D456B9">
        <w:rPr>
          <w:sz w:val="24"/>
          <w:szCs w:val="24"/>
          <w:lang w:eastAsia="en-GB"/>
        </w:rPr>
        <w:t xml:space="preserve">widely </w:t>
      </w:r>
      <w:r>
        <w:rPr>
          <w:sz w:val="24"/>
          <w:szCs w:val="24"/>
          <w:lang w:eastAsia="en-GB"/>
        </w:rPr>
        <w:t xml:space="preserve">by the State authorities of the region, and </w:t>
      </w:r>
      <w:r w:rsidR="00D456B9">
        <w:rPr>
          <w:sz w:val="24"/>
          <w:szCs w:val="24"/>
          <w:lang w:eastAsia="en-GB"/>
        </w:rPr>
        <w:t>although knowledge about those needs has increased on European level and with CoE Member States and regional bodies as well as some national governments have started to respond to those needs (e.g, with. the EU LGBTIQ Equality strategy, national action plans etc.), overall responses</w:t>
      </w:r>
      <w:r>
        <w:rPr>
          <w:sz w:val="24"/>
          <w:szCs w:val="24"/>
          <w:lang w:eastAsia="en-GB"/>
        </w:rPr>
        <w:t xml:space="preserve"> to these needs are </w:t>
      </w:r>
      <w:r w:rsidR="00D456B9">
        <w:rPr>
          <w:sz w:val="24"/>
          <w:szCs w:val="24"/>
          <w:lang w:eastAsia="en-GB"/>
        </w:rPr>
        <w:t>still not sufficient</w:t>
      </w:r>
      <w:r>
        <w:rPr>
          <w:sz w:val="24"/>
          <w:szCs w:val="24"/>
          <w:lang w:eastAsia="en-GB"/>
        </w:rPr>
        <w:t xml:space="preserve"> (see above the answer to question 5). </w:t>
      </w:r>
    </w:p>
    <w:p w14:paraId="769E9B39" w14:textId="2D99DDA5" w:rsidR="00C5023E" w:rsidRPr="00C5023E" w:rsidRDefault="00C5023E" w:rsidP="00C5023E">
      <w:pPr>
        <w:pStyle w:val="ListParagraph"/>
        <w:spacing w:line="259" w:lineRule="auto"/>
        <w:ind w:left="426"/>
        <w:jc w:val="both"/>
        <w:rPr>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D90F79">
        <w:rPr>
          <w:color w:val="1F4E79" w:themeColor="accent1" w:themeShade="80"/>
          <w:sz w:val="24"/>
          <w:szCs w:val="24"/>
          <w:lang w:eastAsia="en-GB"/>
        </w:rPr>
        <w:t>Please share examples of good practices and examples of comprehensive health responses to survivors of violence and indicate efficient multi-sectorial efforts at the community, national, regional and international levels by State or non-State actors</w:t>
      </w:r>
      <w:r w:rsidRPr="0096645F">
        <w:rPr>
          <w:color w:val="000000"/>
          <w:sz w:val="24"/>
          <w:szCs w:val="24"/>
          <w:lang w:eastAsia="en-GB"/>
        </w:rPr>
        <w:t>.</w:t>
      </w:r>
    </w:p>
    <w:p w14:paraId="521DD856" w14:textId="236352CE" w:rsidR="009F00AF" w:rsidRDefault="009F00AF" w:rsidP="00710C03">
      <w:pPr>
        <w:pStyle w:val="ListParagraph"/>
        <w:spacing w:line="259" w:lineRule="auto"/>
        <w:ind w:left="426"/>
        <w:jc w:val="both"/>
        <w:rPr>
          <w:color w:val="000000"/>
          <w:sz w:val="24"/>
          <w:szCs w:val="24"/>
          <w:lang w:eastAsia="en-GB"/>
        </w:rPr>
      </w:pPr>
    </w:p>
    <w:p w14:paraId="346C7B55" w14:textId="05BAA453" w:rsidR="00710C03" w:rsidRPr="00156416" w:rsidRDefault="00710C03" w:rsidP="00710C03">
      <w:pPr>
        <w:pStyle w:val="ListParagraph"/>
        <w:spacing w:line="259" w:lineRule="auto"/>
        <w:ind w:left="426"/>
        <w:jc w:val="both"/>
        <w:rPr>
          <w:color w:val="000000"/>
          <w:sz w:val="24"/>
          <w:szCs w:val="24"/>
          <w:lang w:eastAsia="en-GB"/>
        </w:rPr>
      </w:pPr>
      <w:r w:rsidRPr="00156416">
        <w:rPr>
          <w:color w:val="000000"/>
          <w:sz w:val="24"/>
          <w:szCs w:val="24"/>
          <w:lang w:eastAsia="en-GB"/>
        </w:rPr>
        <w:t xml:space="preserve">Examples of State or State-supported practices that effectively address the needs of intersex survivors of violence are </w:t>
      </w:r>
      <w:r w:rsidR="006B051F">
        <w:rPr>
          <w:color w:val="000000"/>
          <w:sz w:val="24"/>
          <w:szCs w:val="24"/>
          <w:lang w:eastAsia="en-GB"/>
        </w:rPr>
        <w:t xml:space="preserve">still </w:t>
      </w:r>
      <w:r w:rsidRPr="00156416">
        <w:rPr>
          <w:color w:val="000000"/>
          <w:sz w:val="24"/>
          <w:szCs w:val="24"/>
          <w:lang w:eastAsia="en-GB"/>
        </w:rPr>
        <w:t>very limited.</w:t>
      </w:r>
    </w:p>
    <w:p w14:paraId="2B4D06B8" w14:textId="45078015" w:rsidR="00710C03" w:rsidRPr="00156416" w:rsidRDefault="00710C03" w:rsidP="00710C03">
      <w:pPr>
        <w:pStyle w:val="ListParagraph"/>
        <w:spacing w:line="259" w:lineRule="auto"/>
        <w:ind w:left="426"/>
        <w:jc w:val="both"/>
        <w:rPr>
          <w:color w:val="000000"/>
          <w:sz w:val="24"/>
          <w:szCs w:val="24"/>
          <w:lang w:eastAsia="en-GB"/>
        </w:rPr>
      </w:pPr>
    </w:p>
    <w:p w14:paraId="4ED1500A" w14:textId="77777777" w:rsidR="00156416" w:rsidRPr="00156416" w:rsidRDefault="00156416" w:rsidP="00710C03">
      <w:pPr>
        <w:pStyle w:val="ListParagraph"/>
        <w:spacing w:line="259" w:lineRule="auto"/>
        <w:ind w:left="426"/>
        <w:jc w:val="both"/>
        <w:rPr>
          <w:color w:val="000000"/>
          <w:sz w:val="24"/>
          <w:szCs w:val="24"/>
          <w:lang w:eastAsia="en-GB"/>
        </w:rPr>
      </w:pPr>
      <w:r w:rsidRPr="00156416">
        <w:rPr>
          <w:color w:val="000000"/>
          <w:sz w:val="24"/>
          <w:szCs w:val="24"/>
          <w:lang w:eastAsia="en-GB"/>
        </w:rPr>
        <w:t>In regard to good practice examples from non-State actors, we point out the project VARGES, in the field of peer-counselling.</w:t>
      </w:r>
    </w:p>
    <w:p w14:paraId="2A1E6233" w14:textId="77777777" w:rsidR="00156416" w:rsidRPr="00156416" w:rsidRDefault="00156416" w:rsidP="00710C03">
      <w:pPr>
        <w:pStyle w:val="ListParagraph"/>
        <w:spacing w:line="259" w:lineRule="auto"/>
        <w:ind w:left="426"/>
        <w:jc w:val="both"/>
        <w:rPr>
          <w:color w:val="000000"/>
          <w:sz w:val="24"/>
          <w:szCs w:val="24"/>
          <w:lang w:eastAsia="en-GB"/>
        </w:rPr>
      </w:pPr>
    </w:p>
    <w:p w14:paraId="56A4AE03" w14:textId="36D1F094" w:rsidR="00156416" w:rsidRDefault="00156416" w:rsidP="00156416">
      <w:pPr>
        <w:pStyle w:val="ListParagraph"/>
        <w:spacing w:line="259" w:lineRule="auto"/>
        <w:ind w:left="426"/>
        <w:jc w:val="both"/>
        <w:rPr>
          <w:color w:val="000000"/>
          <w:sz w:val="24"/>
          <w:szCs w:val="24"/>
          <w:lang w:eastAsia="en-GB"/>
        </w:rPr>
      </w:pPr>
      <w:r w:rsidRPr="00156416">
        <w:rPr>
          <w:color w:val="000000"/>
          <w:sz w:val="24"/>
          <w:lang w:eastAsia="en-GB"/>
        </w:rPr>
        <w:t>VARGES is a project of the intersex-led organisation </w:t>
      </w:r>
      <w:r w:rsidRPr="00156416">
        <w:rPr>
          <w:i/>
          <w:iCs/>
          <w:color w:val="000000"/>
          <w:sz w:val="24"/>
          <w:lang w:eastAsia="en-GB"/>
        </w:rPr>
        <w:t>VIMÖ/OII Austria</w:t>
      </w:r>
      <w:r w:rsidRPr="00156416">
        <w:rPr>
          <w:color w:val="000000"/>
          <w:sz w:val="24"/>
          <w:lang w:eastAsia="en-GB"/>
        </w:rPr>
        <w:t>, providing services of education about sex and gender diversity and peer counselling in cooperation with the private funder </w:t>
      </w:r>
      <w:r w:rsidRPr="00156416">
        <w:rPr>
          <w:i/>
          <w:iCs/>
          <w:color w:val="000000"/>
          <w:sz w:val="24"/>
          <w:lang w:eastAsia="en-GB"/>
        </w:rPr>
        <w:t>HIL Foundation</w:t>
      </w:r>
      <w:r w:rsidRPr="00156416">
        <w:rPr>
          <w:color w:val="000000"/>
          <w:sz w:val="24"/>
          <w:lang w:eastAsia="en-GB"/>
        </w:rPr>
        <w:t xml:space="preserve">, with a part-time position to set up and coordinate the whole project. </w:t>
      </w:r>
      <w:r w:rsidRPr="00156416">
        <w:rPr>
          <w:color w:val="000000"/>
          <w:sz w:val="24"/>
          <w:szCs w:val="24"/>
          <w:lang w:eastAsia="en-GB"/>
        </w:rPr>
        <w:t>The team of VARGES, along with other intersex people who joined the team, acquire a peer-counselling certificate, which has been funded by ÖKUSS (Austrian Social Insurance Company)</w:t>
      </w:r>
      <w:r w:rsidR="0028028E">
        <w:rPr>
          <w:rStyle w:val="FootnoteReference"/>
          <w:color w:val="000000"/>
          <w:sz w:val="24"/>
          <w:szCs w:val="24"/>
          <w:lang w:eastAsia="en-GB"/>
        </w:rPr>
        <w:footnoteReference w:id="50"/>
      </w:r>
      <w:r w:rsidRPr="00156416">
        <w:rPr>
          <w:color w:val="000000"/>
          <w:sz w:val="24"/>
          <w:szCs w:val="24"/>
          <w:lang w:eastAsia="en-GB"/>
        </w:rPr>
        <w:t>.</w:t>
      </w:r>
    </w:p>
    <w:p w14:paraId="089918FE" w14:textId="746081BE" w:rsidR="00156416" w:rsidRDefault="00156416" w:rsidP="00156416">
      <w:pPr>
        <w:pStyle w:val="ListParagraph"/>
        <w:spacing w:line="259" w:lineRule="auto"/>
        <w:ind w:left="426"/>
        <w:jc w:val="both"/>
        <w:rPr>
          <w:color w:val="000000"/>
          <w:sz w:val="24"/>
          <w:szCs w:val="24"/>
          <w:lang w:eastAsia="en-GB"/>
        </w:rPr>
      </w:pPr>
    </w:p>
    <w:p w14:paraId="3121F7E3" w14:textId="77777777" w:rsidR="0028028E" w:rsidRPr="0028028E" w:rsidRDefault="0028028E" w:rsidP="0028028E">
      <w:pPr>
        <w:pStyle w:val="ListParagraph"/>
        <w:spacing w:line="259" w:lineRule="auto"/>
        <w:ind w:left="426"/>
        <w:jc w:val="both"/>
        <w:rPr>
          <w:color w:val="000000"/>
          <w:sz w:val="24"/>
          <w:lang w:eastAsia="en-GB"/>
        </w:rPr>
      </w:pPr>
      <w:r w:rsidRPr="0028028E">
        <w:rPr>
          <w:color w:val="000000"/>
          <w:sz w:val="24"/>
          <w:lang w:eastAsia="en-GB"/>
        </w:rPr>
        <w:t>This good practice example highlights that:</w:t>
      </w:r>
    </w:p>
    <w:p w14:paraId="7F2F7EC7" w14:textId="77777777" w:rsidR="0028028E" w:rsidRPr="0028028E" w:rsidRDefault="0028028E" w:rsidP="0028028E">
      <w:pPr>
        <w:pStyle w:val="ListParagraph"/>
        <w:numPr>
          <w:ilvl w:val="0"/>
          <w:numId w:val="9"/>
        </w:numPr>
        <w:spacing w:line="259" w:lineRule="auto"/>
        <w:jc w:val="both"/>
        <w:rPr>
          <w:color w:val="000000"/>
          <w:sz w:val="24"/>
          <w:lang w:eastAsia="en-GB"/>
        </w:rPr>
      </w:pPr>
      <w:r w:rsidRPr="0028028E">
        <w:rPr>
          <w:color w:val="000000"/>
          <w:sz w:val="24"/>
          <w:lang w:eastAsia="en-GB"/>
        </w:rPr>
        <w:t>intersex-led human rights-based organisations provide high quality, professional services and deserve more financial support to make them sustainable,</w:t>
      </w:r>
    </w:p>
    <w:p w14:paraId="5C1F9BCA" w14:textId="5F11540A" w:rsidR="0028028E" w:rsidRPr="0028028E" w:rsidRDefault="0028028E" w:rsidP="0028028E">
      <w:pPr>
        <w:pStyle w:val="ListParagraph"/>
        <w:numPr>
          <w:ilvl w:val="0"/>
          <w:numId w:val="9"/>
        </w:numPr>
        <w:spacing w:line="259" w:lineRule="auto"/>
        <w:jc w:val="both"/>
        <w:rPr>
          <w:color w:val="000000"/>
          <w:sz w:val="24"/>
          <w:lang w:eastAsia="en-GB"/>
        </w:rPr>
      </w:pPr>
      <w:r w:rsidRPr="0028028E">
        <w:rPr>
          <w:color w:val="000000"/>
          <w:sz w:val="24"/>
          <w:lang w:eastAsia="en-GB"/>
        </w:rPr>
        <w:t>peer-counselling is an essential service that draws from intersex people’s unique expertise and lived experience,</w:t>
      </w:r>
    </w:p>
    <w:p w14:paraId="43A88C31" w14:textId="3583E81C" w:rsidR="0028028E" w:rsidRPr="0028028E" w:rsidRDefault="0028028E" w:rsidP="0028028E">
      <w:pPr>
        <w:pStyle w:val="ListParagraph"/>
        <w:numPr>
          <w:ilvl w:val="0"/>
          <w:numId w:val="9"/>
        </w:numPr>
        <w:spacing w:line="259" w:lineRule="auto"/>
        <w:jc w:val="both"/>
        <w:rPr>
          <w:color w:val="000000"/>
          <w:sz w:val="24"/>
          <w:lang w:eastAsia="en-GB"/>
        </w:rPr>
      </w:pPr>
      <w:r w:rsidRPr="0028028E">
        <w:rPr>
          <w:color w:val="000000"/>
          <w:sz w:val="24"/>
          <w:lang w:eastAsia="en-GB"/>
        </w:rPr>
        <w:t>intersex-led human rights-based organisations need direct funding (both from the private and the public sector) and paid staff</w:t>
      </w:r>
      <w:r>
        <w:rPr>
          <w:rStyle w:val="FootnoteReference"/>
          <w:color w:val="000000"/>
          <w:sz w:val="24"/>
          <w:lang w:eastAsia="en-GB"/>
        </w:rPr>
        <w:footnoteReference w:id="51"/>
      </w:r>
      <w:r w:rsidRPr="0028028E">
        <w:rPr>
          <w:color w:val="000000"/>
          <w:sz w:val="24"/>
          <w:lang w:eastAsia="en-GB"/>
        </w:rPr>
        <w:t>.</w:t>
      </w:r>
    </w:p>
    <w:p w14:paraId="355E3C14" w14:textId="77777777" w:rsidR="00156416" w:rsidRPr="00156416" w:rsidRDefault="00156416" w:rsidP="00156416">
      <w:pPr>
        <w:pStyle w:val="ListParagraph"/>
        <w:spacing w:line="259" w:lineRule="auto"/>
        <w:ind w:left="426"/>
        <w:jc w:val="both"/>
        <w:rPr>
          <w:color w:val="000000"/>
          <w:sz w:val="24"/>
          <w:lang w:eastAsia="en-GB"/>
        </w:rPr>
      </w:pPr>
    </w:p>
    <w:p w14:paraId="4BC98B28" w14:textId="06B47B71" w:rsidR="00710C03" w:rsidRPr="00156416" w:rsidRDefault="00710C03" w:rsidP="00710C03">
      <w:pPr>
        <w:pStyle w:val="ListParagraph"/>
        <w:spacing w:line="259" w:lineRule="auto"/>
        <w:ind w:left="426"/>
        <w:jc w:val="both"/>
        <w:rPr>
          <w:color w:val="000000"/>
          <w:sz w:val="24"/>
          <w:szCs w:val="24"/>
          <w:lang w:eastAsia="en-GB"/>
        </w:rPr>
      </w:pPr>
    </w:p>
    <w:p w14:paraId="5E012D4A" w14:textId="0B2D5B3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D90F79">
        <w:rPr>
          <w:color w:val="1F4E79" w:themeColor="accent1" w:themeShade="80"/>
          <w:sz w:val="24"/>
          <w:szCs w:val="24"/>
          <w:lang w:eastAsia="en-GB"/>
        </w:rPr>
        <w:t>Please describe State and other actors</w:t>
      </w:r>
      <w:r w:rsidR="00AF4A22">
        <w:rPr>
          <w:color w:val="1F4E79" w:themeColor="accent1" w:themeShade="80"/>
          <w:sz w:val="24"/>
          <w:szCs w:val="24"/>
          <w:lang w:eastAsia="en-GB"/>
        </w:rPr>
        <w:t>’</w:t>
      </w:r>
      <w:r w:rsidRPr="00D90F79">
        <w:rPr>
          <w:color w:val="1F4E79" w:themeColor="accent1" w:themeShade="80"/>
          <w:sz w:val="24"/>
          <w:szCs w:val="24"/>
          <w:lang w:eastAsia="en-GB"/>
        </w:rPr>
        <w:t xml:space="preserve"> initiatives and measures to prevent these forms of violence, specific budget allocated to prevention, and good practices in this regard</w:t>
      </w:r>
      <w:r w:rsidRPr="0096645F">
        <w:rPr>
          <w:color w:val="000000"/>
          <w:sz w:val="24"/>
          <w:szCs w:val="24"/>
          <w:lang w:eastAsia="en-GB"/>
        </w:rPr>
        <w:t>.</w:t>
      </w:r>
    </w:p>
    <w:p w14:paraId="6E3345C0" w14:textId="6667E28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26BA95EA" w14:textId="77777777" w:rsidR="00176EE5" w:rsidRDefault="00870F4E" w:rsidP="009F00AF">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 xml:space="preserve">Among other actions, a decisive move towards ending structural and institutional violence would be introducing a </w:t>
      </w:r>
      <w:r w:rsidR="00805DE9">
        <w:rPr>
          <w:sz w:val="24"/>
          <w:szCs w:val="24"/>
          <w:shd w:val="clear" w:color="auto" w:fill="FFFFFF"/>
        </w:rPr>
        <w:t>law to prohibit</w:t>
      </w:r>
      <w:r>
        <w:rPr>
          <w:sz w:val="24"/>
          <w:szCs w:val="24"/>
          <w:shd w:val="clear" w:color="auto" w:fill="FFFFFF"/>
        </w:rPr>
        <w:t xml:space="preserve"> </w:t>
      </w:r>
      <w:r w:rsidR="00C359D8">
        <w:rPr>
          <w:sz w:val="24"/>
          <w:szCs w:val="24"/>
          <w:shd w:val="clear" w:color="auto" w:fill="FFFFFF"/>
        </w:rPr>
        <w:t xml:space="preserve">non-vital surgical and medical interventions/treatments </w:t>
      </w:r>
      <w:r w:rsidR="00805DE9">
        <w:rPr>
          <w:sz w:val="24"/>
          <w:szCs w:val="24"/>
          <w:shd w:val="clear" w:color="auto" w:fill="FFFFFF"/>
        </w:rPr>
        <w:t>aimed at altering</w:t>
      </w:r>
      <w:r w:rsidR="00C359D8">
        <w:rPr>
          <w:sz w:val="24"/>
          <w:szCs w:val="24"/>
          <w:shd w:val="clear" w:color="auto" w:fill="FFFFFF"/>
        </w:rPr>
        <w:t xml:space="preserve"> the </w:t>
      </w:r>
      <w:r w:rsidR="00805DE9">
        <w:rPr>
          <w:sz w:val="24"/>
          <w:szCs w:val="24"/>
          <w:shd w:val="clear" w:color="auto" w:fill="FFFFFF"/>
        </w:rPr>
        <w:t xml:space="preserve">person’s </w:t>
      </w:r>
      <w:r w:rsidR="00C359D8">
        <w:rPr>
          <w:sz w:val="24"/>
          <w:szCs w:val="24"/>
          <w:shd w:val="clear" w:color="auto" w:fill="FFFFFF"/>
        </w:rPr>
        <w:t>sex characteristics</w:t>
      </w:r>
      <w:r w:rsidR="00805DE9">
        <w:rPr>
          <w:sz w:val="24"/>
          <w:szCs w:val="24"/>
          <w:shd w:val="clear" w:color="auto" w:fill="FFFFFF"/>
        </w:rPr>
        <w:t xml:space="preserve">, unless the mature intersex person has provided </w:t>
      </w:r>
      <w:r w:rsidR="00C359D8">
        <w:rPr>
          <w:sz w:val="24"/>
          <w:szCs w:val="24"/>
          <w:shd w:val="clear" w:color="auto" w:fill="FFFFFF"/>
        </w:rPr>
        <w:t xml:space="preserve">personal, prior, free and </w:t>
      </w:r>
      <w:r w:rsidR="00805DE9">
        <w:rPr>
          <w:sz w:val="24"/>
          <w:szCs w:val="24"/>
          <w:shd w:val="clear" w:color="auto" w:fill="FFFFFF"/>
        </w:rPr>
        <w:t>fully informed</w:t>
      </w:r>
      <w:r w:rsidR="00C359D8">
        <w:rPr>
          <w:sz w:val="24"/>
          <w:szCs w:val="24"/>
          <w:shd w:val="clear" w:color="auto" w:fill="FFFFFF"/>
        </w:rPr>
        <w:t xml:space="preserve"> consent</w:t>
      </w:r>
      <w:r w:rsidR="00805DE9">
        <w:rPr>
          <w:rStyle w:val="FootnoteReference"/>
          <w:sz w:val="24"/>
          <w:szCs w:val="24"/>
          <w:shd w:val="clear" w:color="auto" w:fill="FFFFFF"/>
        </w:rPr>
        <w:footnoteReference w:id="52"/>
      </w:r>
      <w:r w:rsidR="00C359D8">
        <w:rPr>
          <w:sz w:val="24"/>
          <w:szCs w:val="24"/>
          <w:shd w:val="clear" w:color="auto" w:fill="FFFFFF"/>
        </w:rPr>
        <w:t>.</w:t>
      </w:r>
    </w:p>
    <w:p w14:paraId="6667D3D6" w14:textId="77777777" w:rsidR="00176EE5" w:rsidRDefault="00176EE5" w:rsidP="009F00AF">
      <w:pPr>
        <w:pStyle w:val="ListParagraph"/>
        <w:shd w:val="clear" w:color="auto" w:fill="FFFFFF"/>
        <w:spacing w:line="259" w:lineRule="auto"/>
        <w:ind w:left="360"/>
        <w:jc w:val="both"/>
        <w:outlineLvl w:val="2"/>
        <w:rPr>
          <w:sz w:val="24"/>
          <w:szCs w:val="24"/>
          <w:shd w:val="clear" w:color="auto" w:fill="FFFFFF"/>
        </w:rPr>
      </w:pPr>
    </w:p>
    <w:p w14:paraId="52701883" w14:textId="4D32C1F1" w:rsidR="00BC2ECC" w:rsidRDefault="004E5F31" w:rsidP="009F00AF">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 xml:space="preserve">However, a </w:t>
      </w:r>
      <w:r w:rsidR="00020E19">
        <w:rPr>
          <w:sz w:val="24"/>
          <w:szCs w:val="24"/>
          <w:shd w:val="clear" w:color="auto" w:fill="FFFFFF"/>
        </w:rPr>
        <w:t xml:space="preserve">comprehensive response </w:t>
      </w:r>
      <w:r>
        <w:rPr>
          <w:sz w:val="24"/>
          <w:szCs w:val="24"/>
          <w:shd w:val="clear" w:color="auto" w:fill="FFFFFF"/>
        </w:rPr>
        <w:t xml:space="preserve">needs to </w:t>
      </w:r>
      <w:r w:rsidR="00020E19">
        <w:rPr>
          <w:sz w:val="24"/>
          <w:szCs w:val="24"/>
          <w:shd w:val="clear" w:color="auto" w:fill="FFFFFF"/>
        </w:rPr>
        <w:t>address</w:t>
      </w:r>
      <w:r>
        <w:rPr>
          <w:sz w:val="24"/>
          <w:szCs w:val="24"/>
          <w:shd w:val="clear" w:color="auto" w:fill="FFFFFF"/>
        </w:rPr>
        <w:t xml:space="preserve"> </w:t>
      </w:r>
      <w:r w:rsidR="00020E19">
        <w:rPr>
          <w:sz w:val="24"/>
          <w:szCs w:val="24"/>
          <w:shd w:val="clear" w:color="auto" w:fill="FFFFFF"/>
        </w:rPr>
        <w:t>the multiple and interconnected needs of intersex people</w:t>
      </w:r>
      <w:r w:rsidR="00020E19">
        <w:rPr>
          <w:rStyle w:val="FootnoteReference"/>
          <w:sz w:val="24"/>
          <w:szCs w:val="24"/>
          <w:shd w:val="clear" w:color="auto" w:fill="FFFFFF"/>
        </w:rPr>
        <w:footnoteReference w:id="53"/>
      </w:r>
      <w:r w:rsidR="00020E19">
        <w:rPr>
          <w:sz w:val="24"/>
          <w:szCs w:val="24"/>
          <w:shd w:val="clear" w:color="auto" w:fill="FFFFFF"/>
        </w:rPr>
        <w:t>.</w:t>
      </w:r>
    </w:p>
    <w:p w14:paraId="6D9DA5DC" w14:textId="53F0CC6D" w:rsidR="009C79F3" w:rsidRDefault="009C79F3" w:rsidP="009F00AF">
      <w:pPr>
        <w:pStyle w:val="ListParagraph"/>
        <w:shd w:val="clear" w:color="auto" w:fill="FFFFFF"/>
        <w:spacing w:line="259" w:lineRule="auto"/>
        <w:ind w:left="360"/>
        <w:jc w:val="both"/>
        <w:outlineLvl w:val="2"/>
        <w:rPr>
          <w:sz w:val="24"/>
          <w:szCs w:val="24"/>
          <w:shd w:val="clear" w:color="auto" w:fill="FFFFFF"/>
        </w:rPr>
      </w:pPr>
    </w:p>
    <w:p w14:paraId="57DF53D4" w14:textId="08324F7A" w:rsidR="009C79F3" w:rsidRPr="00251040" w:rsidRDefault="009C79F3" w:rsidP="00251040">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 xml:space="preserve">On EU level, the European Commission committed to </w:t>
      </w:r>
      <w:r w:rsidR="00251040">
        <w:rPr>
          <w:sz w:val="24"/>
          <w:szCs w:val="24"/>
          <w:shd w:val="clear" w:color="auto" w:fill="FFFFFF"/>
        </w:rPr>
        <w:t>“</w:t>
      </w:r>
      <w:r w:rsidR="00251040" w:rsidRPr="00251040">
        <w:rPr>
          <w:sz w:val="24"/>
          <w:szCs w:val="24"/>
          <w:shd w:val="clear" w:color="auto" w:fill="FFFFFF"/>
        </w:rPr>
        <w:t>support the exchange of good practices on ending non-vital surgery and medical</w:t>
      </w:r>
      <w:r w:rsidR="00251040">
        <w:rPr>
          <w:sz w:val="24"/>
          <w:szCs w:val="24"/>
          <w:shd w:val="clear" w:color="auto" w:fill="FFFFFF"/>
        </w:rPr>
        <w:t xml:space="preserve"> </w:t>
      </w:r>
      <w:r w:rsidR="00251040" w:rsidRPr="00251040">
        <w:rPr>
          <w:sz w:val="24"/>
          <w:szCs w:val="24"/>
          <w:shd w:val="clear" w:color="auto" w:fill="FFFFFF"/>
        </w:rPr>
        <w:t>intervention on intersex infants and adolescents to make them fit the typical definition of</w:t>
      </w:r>
      <w:r w:rsidR="00251040">
        <w:rPr>
          <w:sz w:val="24"/>
          <w:szCs w:val="24"/>
          <w:shd w:val="clear" w:color="auto" w:fill="FFFFFF"/>
        </w:rPr>
        <w:t xml:space="preserve"> </w:t>
      </w:r>
      <w:r w:rsidR="00251040" w:rsidRPr="00251040">
        <w:rPr>
          <w:sz w:val="24"/>
          <w:szCs w:val="24"/>
          <w:shd w:val="clear" w:color="auto" w:fill="FFFFFF"/>
        </w:rPr>
        <w:t>male or female without their or their parents’ fully informed consent (intersex genital</w:t>
      </w:r>
      <w:r w:rsidR="00251040">
        <w:rPr>
          <w:sz w:val="24"/>
          <w:szCs w:val="24"/>
          <w:shd w:val="clear" w:color="auto" w:fill="FFFFFF"/>
        </w:rPr>
        <w:t xml:space="preserve"> </w:t>
      </w:r>
      <w:r w:rsidR="00251040" w:rsidRPr="00251040">
        <w:rPr>
          <w:sz w:val="24"/>
          <w:szCs w:val="24"/>
          <w:shd w:val="clear" w:color="auto" w:fill="FFFFFF"/>
        </w:rPr>
        <w:t>mutilation)</w:t>
      </w:r>
      <w:r w:rsidR="00251040">
        <w:rPr>
          <w:sz w:val="24"/>
          <w:szCs w:val="24"/>
          <w:shd w:val="clear" w:color="auto" w:fill="FFFFFF"/>
        </w:rPr>
        <w:t>”</w:t>
      </w:r>
      <w:r w:rsidR="00251040">
        <w:rPr>
          <w:rStyle w:val="FootnoteReference"/>
          <w:sz w:val="24"/>
          <w:szCs w:val="24"/>
          <w:shd w:val="clear" w:color="auto" w:fill="FFFFFF"/>
        </w:rPr>
        <w:footnoteReference w:id="54"/>
      </w:r>
      <w:r w:rsidR="00251040" w:rsidRPr="00251040">
        <w:rPr>
          <w:sz w:val="24"/>
          <w:szCs w:val="24"/>
          <w:shd w:val="clear" w:color="auto" w:fill="FFFFFF"/>
        </w:rPr>
        <w:t>.</w:t>
      </w:r>
      <w:r w:rsidR="00251040">
        <w:rPr>
          <w:sz w:val="24"/>
          <w:szCs w:val="24"/>
          <w:shd w:val="clear" w:color="auto" w:fill="FFFFFF"/>
        </w:rPr>
        <w:t xml:space="preserve"> </w:t>
      </w:r>
    </w:p>
    <w:p w14:paraId="2B937863" w14:textId="77777777" w:rsidR="00BC2ECC" w:rsidRDefault="00BC2ECC" w:rsidP="009F00AF">
      <w:pPr>
        <w:pStyle w:val="ListParagraph"/>
        <w:shd w:val="clear" w:color="auto" w:fill="FFFFFF"/>
        <w:spacing w:line="259" w:lineRule="auto"/>
        <w:ind w:left="360"/>
        <w:jc w:val="both"/>
        <w:outlineLvl w:val="2"/>
        <w:rPr>
          <w:sz w:val="24"/>
          <w:szCs w:val="24"/>
          <w:shd w:val="clear" w:color="auto" w:fill="FFFFFF"/>
        </w:rPr>
      </w:pPr>
    </w:p>
    <w:p w14:paraId="199FD736" w14:textId="6A06755C" w:rsidR="00115205" w:rsidRDefault="00BC2ECC" w:rsidP="009F00AF">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Beyond a ban on IGM, States can do a lot to counter the ongoing violence, discrimination and stigma against intersex people</w:t>
      </w:r>
      <w:r w:rsidR="004E5F31">
        <w:rPr>
          <w:sz w:val="24"/>
          <w:szCs w:val="24"/>
          <w:shd w:val="clear" w:color="auto" w:fill="FFFFFF"/>
        </w:rPr>
        <w:t>:</w:t>
      </w:r>
      <w:r w:rsidR="00D82443">
        <w:rPr>
          <w:rStyle w:val="FootnoteReference"/>
          <w:sz w:val="24"/>
          <w:szCs w:val="24"/>
          <w:shd w:val="clear" w:color="auto" w:fill="FFFFFF"/>
        </w:rPr>
        <w:footnoteReference w:id="55"/>
      </w:r>
      <w:r w:rsidR="00115205">
        <w:rPr>
          <w:sz w:val="24"/>
          <w:szCs w:val="24"/>
          <w:shd w:val="clear" w:color="auto" w:fill="FFFFFF"/>
        </w:rPr>
        <w:t>.</w:t>
      </w:r>
    </w:p>
    <w:p w14:paraId="25F9C496" w14:textId="79F770F3" w:rsidR="00D82443" w:rsidRDefault="00D82443" w:rsidP="009F00AF">
      <w:pPr>
        <w:pStyle w:val="ListParagraph"/>
        <w:shd w:val="clear" w:color="auto" w:fill="FFFFFF"/>
        <w:spacing w:line="259" w:lineRule="auto"/>
        <w:ind w:left="360"/>
        <w:jc w:val="both"/>
        <w:outlineLvl w:val="2"/>
        <w:rPr>
          <w:sz w:val="24"/>
          <w:szCs w:val="24"/>
          <w:shd w:val="clear" w:color="auto" w:fill="FFFFFF"/>
        </w:rPr>
      </w:pPr>
    </w:p>
    <w:p w14:paraId="24B51EE7" w14:textId="2B1C6EF3" w:rsidR="00D82443" w:rsidRPr="00D74518" w:rsidRDefault="00D74518" w:rsidP="009F00AF">
      <w:pPr>
        <w:pStyle w:val="ListParagraph"/>
        <w:shd w:val="clear" w:color="auto" w:fill="FFFFFF"/>
        <w:spacing w:line="259" w:lineRule="auto"/>
        <w:ind w:left="360"/>
        <w:jc w:val="both"/>
        <w:outlineLvl w:val="2"/>
        <w:rPr>
          <w:b/>
          <w:bCs/>
          <w:sz w:val="24"/>
          <w:szCs w:val="24"/>
          <w:shd w:val="clear" w:color="auto" w:fill="FFFFFF"/>
        </w:rPr>
      </w:pPr>
      <w:r w:rsidRPr="00D74518">
        <w:rPr>
          <w:b/>
          <w:bCs/>
          <w:sz w:val="24"/>
          <w:szCs w:val="24"/>
          <w:shd w:val="clear" w:color="auto" w:fill="FFFFFF"/>
        </w:rPr>
        <w:t>Campaigns</w:t>
      </w:r>
    </w:p>
    <w:p w14:paraId="14EF4F55" w14:textId="4DB36647" w:rsidR="00D74518" w:rsidRPr="00D74518" w:rsidRDefault="00D74518" w:rsidP="00D74518">
      <w:pPr>
        <w:pStyle w:val="ListParagraph"/>
        <w:numPr>
          <w:ilvl w:val="0"/>
          <w:numId w:val="12"/>
        </w:numPr>
        <w:spacing w:line="259" w:lineRule="auto"/>
        <w:jc w:val="both"/>
        <w:outlineLvl w:val="2"/>
        <w:rPr>
          <w:sz w:val="24"/>
          <w:szCs w:val="24"/>
          <w:shd w:val="clear" w:color="auto" w:fill="FFFFFF"/>
        </w:rPr>
      </w:pPr>
      <w:r w:rsidRPr="00D74518">
        <w:rPr>
          <w:sz w:val="24"/>
          <w:szCs w:val="24"/>
          <w:shd w:val="clear" w:color="auto" w:fill="FFFFFF"/>
        </w:rPr>
        <w:t>In 2020 in France, the interministerial delegation against racism, antisemitism and anti-LGBT+ hatred funded the campaign „Intersex: Justice, now!“ created by the national intersex-led organisation Collectif Intersexes et Allié.e.s-OII France.</w:t>
      </w:r>
      <w:r>
        <w:rPr>
          <w:sz w:val="24"/>
          <w:szCs w:val="24"/>
          <w:shd w:val="clear" w:color="auto" w:fill="FFFFFF"/>
        </w:rPr>
        <w:t xml:space="preserve"> </w:t>
      </w:r>
      <w:r w:rsidRPr="00D74518">
        <w:rPr>
          <w:sz w:val="24"/>
          <w:szCs w:val="24"/>
          <w:shd w:val="clear" w:color="auto" w:fill="FFFFFF"/>
        </w:rPr>
        <w:t>The campaign provides intersex people with information about their rights (especially regarding medical records), financially supports civil and penal complaints as well as psychological support. It has a dedicated website and new brochures and poster, and a training program for civil society organi</w:t>
      </w:r>
      <w:r w:rsidR="00254498">
        <w:rPr>
          <w:sz w:val="24"/>
          <w:szCs w:val="24"/>
          <w:shd w:val="clear" w:color="auto" w:fill="FFFFFF"/>
        </w:rPr>
        <w:t>s</w:t>
      </w:r>
      <w:r w:rsidRPr="00D74518">
        <w:rPr>
          <w:sz w:val="24"/>
          <w:szCs w:val="24"/>
          <w:shd w:val="clear" w:color="auto" w:fill="FFFFFF"/>
        </w:rPr>
        <w:t>ations to help spreading awareness and support intersex people locally.</w:t>
      </w:r>
    </w:p>
    <w:p w14:paraId="3BC32F0B" w14:textId="77777777" w:rsidR="00D74518" w:rsidRPr="00D74518" w:rsidRDefault="00D74518" w:rsidP="00D74518">
      <w:pPr>
        <w:pStyle w:val="ListParagraph"/>
        <w:numPr>
          <w:ilvl w:val="0"/>
          <w:numId w:val="12"/>
        </w:numPr>
        <w:spacing w:line="259" w:lineRule="auto"/>
        <w:jc w:val="both"/>
        <w:outlineLvl w:val="2"/>
        <w:rPr>
          <w:sz w:val="24"/>
          <w:szCs w:val="24"/>
          <w:shd w:val="clear" w:color="auto" w:fill="FFFFFF"/>
        </w:rPr>
      </w:pPr>
      <w:r w:rsidRPr="00D74518">
        <w:rPr>
          <w:sz w:val="24"/>
          <w:szCs w:val="24"/>
          <w:shd w:val="clear" w:color="auto" w:fill="FFFFFF"/>
        </w:rPr>
        <w:t>As a result of a long collaboration with the UN Free&amp;Equal Campaign, in November-December 2020, the UN OHCHR office in Serbia financially supported the intersex awareness raising campaign by the intersex-led organisation XY Spectrum. The campaign was held on social media and also included two online events.</w:t>
      </w:r>
    </w:p>
    <w:p w14:paraId="49F0978E" w14:textId="77777777" w:rsidR="00D74518" w:rsidRPr="00D74518" w:rsidRDefault="00D74518" w:rsidP="00D74518">
      <w:pPr>
        <w:pStyle w:val="ListParagraph"/>
        <w:spacing w:line="259" w:lineRule="auto"/>
        <w:ind w:left="360"/>
        <w:jc w:val="both"/>
        <w:outlineLvl w:val="2"/>
        <w:rPr>
          <w:sz w:val="24"/>
          <w:szCs w:val="24"/>
          <w:shd w:val="clear" w:color="auto" w:fill="FFFFFF"/>
        </w:rPr>
      </w:pPr>
      <w:r w:rsidRPr="00D74518">
        <w:rPr>
          <w:sz w:val="24"/>
          <w:szCs w:val="24"/>
          <w:shd w:val="clear" w:color="auto" w:fill="FFFFFF"/>
        </w:rPr>
        <w:t>These good practice examples highlight that:</w:t>
      </w:r>
    </w:p>
    <w:p w14:paraId="2DF30545" w14:textId="2A0BC44A" w:rsidR="00D74518" w:rsidRPr="00D74518" w:rsidRDefault="00D74518" w:rsidP="00D74518">
      <w:pPr>
        <w:pStyle w:val="ListParagraph"/>
        <w:numPr>
          <w:ilvl w:val="0"/>
          <w:numId w:val="10"/>
        </w:numPr>
        <w:spacing w:line="259" w:lineRule="auto"/>
        <w:jc w:val="both"/>
        <w:outlineLvl w:val="2"/>
        <w:rPr>
          <w:sz w:val="24"/>
          <w:szCs w:val="24"/>
          <w:shd w:val="clear" w:color="auto" w:fill="FFFFFF"/>
        </w:rPr>
      </w:pPr>
      <w:r w:rsidRPr="00D74518">
        <w:rPr>
          <w:sz w:val="24"/>
          <w:szCs w:val="24"/>
          <w:shd w:val="clear" w:color="auto" w:fill="FFFFFF"/>
        </w:rPr>
        <w:t xml:space="preserve">enabling intersex-led human rights-based organisations to take the lead on an awareness raising campaign allows for tailored and impactful activities and a </w:t>
      </w:r>
      <w:r w:rsidR="001365D5" w:rsidRPr="00D74518">
        <w:rPr>
          <w:sz w:val="24"/>
          <w:szCs w:val="24"/>
          <w:shd w:val="clear" w:color="auto" w:fill="FFFFFF"/>
        </w:rPr>
        <w:t>dissemination</w:t>
      </w:r>
      <w:r w:rsidRPr="00D74518">
        <w:rPr>
          <w:sz w:val="24"/>
          <w:szCs w:val="24"/>
          <w:shd w:val="clear" w:color="auto" w:fill="FFFFFF"/>
        </w:rPr>
        <w:t xml:space="preserve"> of accurate and meaningful information</w:t>
      </w:r>
    </w:p>
    <w:p w14:paraId="5F1DE402" w14:textId="7E5512FB" w:rsidR="00D74518" w:rsidRPr="00D74518" w:rsidRDefault="00D74518" w:rsidP="00D74518">
      <w:pPr>
        <w:pStyle w:val="ListParagraph"/>
        <w:numPr>
          <w:ilvl w:val="0"/>
          <w:numId w:val="10"/>
        </w:numPr>
        <w:spacing w:line="259" w:lineRule="auto"/>
        <w:jc w:val="both"/>
        <w:outlineLvl w:val="2"/>
        <w:rPr>
          <w:sz w:val="24"/>
          <w:szCs w:val="24"/>
          <w:shd w:val="clear" w:color="auto" w:fill="FFFFFF"/>
        </w:rPr>
      </w:pPr>
      <w:r w:rsidRPr="00D74518">
        <w:rPr>
          <w:sz w:val="24"/>
          <w:szCs w:val="24"/>
          <w:shd w:val="clear" w:color="auto" w:fill="FFFFFF"/>
        </w:rPr>
        <w:t>financial support is key to allow these organisations to use their expertise to the full extent </w:t>
      </w:r>
    </w:p>
    <w:p w14:paraId="18C1068F" w14:textId="77777777" w:rsidR="00D74518" w:rsidRPr="00D74518" w:rsidRDefault="00D74518" w:rsidP="00D74518">
      <w:pPr>
        <w:pStyle w:val="ListParagraph"/>
        <w:numPr>
          <w:ilvl w:val="0"/>
          <w:numId w:val="10"/>
        </w:numPr>
        <w:spacing w:line="259" w:lineRule="auto"/>
        <w:jc w:val="both"/>
        <w:outlineLvl w:val="2"/>
        <w:rPr>
          <w:sz w:val="24"/>
          <w:szCs w:val="24"/>
          <w:shd w:val="clear" w:color="auto" w:fill="FFFFFF"/>
        </w:rPr>
      </w:pPr>
      <w:r w:rsidRPr="00D74518">
        <w:rPr>
          <w:sz w:val="24"/>
          <w:szCs w:val="24"/>
          <w:shd w:val="clear" w:color="auto" w:fill="FFFFFF"/>
        </w:rPr>
        <w:t>public funding sends the message to society that intersex people and their rights are valued, increases social acceptance of intersex people and intersex organisations in society</w:t>
      </w:r>
    </w:p>
    <w:p w14:paraId="402549A8" w14:textId="652776BF" w:rsidR="00D74518" w:rsidRPr="00D74518" w:rsidRDefault="00D74518" w:rsidP="00D74518">
      <w:pPr>
        <w:pStyle w:val="ListParagraph"/>
        <w:numPr>
          <w:ilvl w:val="0"/>
          <w:numId w:val="10"/>
        </w:numPr>
        <w:spacing w:line="259" w:lineRule="auto"/>
        <w:jc w:val="both"/>
        <w:outlineLvl w:val="2"/>
        <w:rPr>
          <w:sz w:val="24"/>
          <w:szCs w:val="24"/>
          <w:shd w:val="clear" w:color="auto" w:fill="FFFFFF"/>
        </w:rPr>
      </w:pPr>
      <w:r w:rsidRPr="00D74518">
        <w:rPr>
          <w:sz w:val="24"/>
          <w:szCs w:val="24"/>
          <w:shd w:val="clear" w:color="auto" w:fill="FFFFFF"/>
        </w:rPr>
        <w:t>intersex-led human rights-based organisations provide a wide range of services, on a local and national level, which need and deserve to be financially supported</w:t>
      </w:r>
      <w:r w:rsidR="00D26C5F">
        <w:rPr>
          <w:rStyle w:val="FootnoteReference"/>
          <w:sz w:val="24"/>
          <w:szCs w:val="24"/>
          <w:shd w:val="clear" w:color="auto" w:fill="FFFFFF"/>
        </w:rPr>
        <w:footnoteReference w:id="56"/>
      </w:r>
      <w:r w:rsidR="00D26C5F">
        <w:rPr>
          <w:sz w:val="24"/>
          <w:szCs w:val="24"/>
          <w:shd w:val="clear" w:color="auto" w:fill="FFFFFF"/>
        </w:rPr>
        <w:t>.</w:t>
      </w:r>
    </w:p>
    <w:p w14:paraId="7CD918C5" w14:textId="77777777" w:rsidR="00D74518" w:rsidRDefault="00D74518" w:rsidP="009F00AF">
      <w:pPr>
        <w:pStyle w:val="ListParagraph"/>
        <w:shd w:val="clear" w:color="auto" w:fill="FFFFFF"/>
        <w:spacing w:line="259" w:lineRule="auto"/>
        <w:ind w:left="360"/>
        <w:jc w:val="both"/>
        <w:outlineLvl w:val="2"/>
        <w:rPr>
          <w:sz w:val="24"/>
          <w:szCs w:val="24"/>
          <w:shd w:val="clear" w:color="auto" w:fill="FFFFFF"/>
        </w:rPr>
      </w:pPr>
    </w:p>
    <w:p w14:paraId="1D9EAE18" w14:textId="77777777" w:rsidR="00CF6106" w:rsidRDefault="00CF6106" w:rsidP="00CF6106">
      <w:pPr>
        <w:pStyle w:val="ListParagraph"/>
        <w:shd w:val="clear" w:color="auto" w:fill="FFFFFF"/>
        <w:spacing w:line="259" w:lineRule="auto"/>
        <w:ind w:left="360"/>
        <w:jc w:val="both"/>
        <w:outlineLvl w:val="2"/>
        <w:rPr>
          <w:b/>
          <w:bCs/>
          <w:sz w:val="24"/>
          <w:szCs w:val="24"/>
          <w:shd w:val="clear" w:color="auto" w:fill="FFFFFF"/>
        </w:rPr>
      </w:pPr>
      <w:r w:rsidRPr="00CF6106">
        <w:rPr>
          <w:b/>
          <w:bCs/>
          <w:sz w:val="24"/>
          <w:szCs w:val="24"/>
          <w:shd w:val="clear" w:color="auto" w:fill="FFFFFF"/>
        </w:rPr>
        <w:t>Funding</w:t>
      </w:r>
    </w:p>
    <w:p w14:paraId="263AFC8F" w14:textId="77777777" w:rsidR="00254498" w:rsidRPr="00254498" w:rsidRDefault="00CF6106" w:rsidP="00CF6106">
      <w:pPr>
        <w:pStyle w:val="ListParagraph"/>
        <w:numPr>
          <w:ilvl w:val="0"/>
          <w:numId w:val="14"/>
        </w:numPr>
        <w:shd w:val="clear" w:color="auto" w:fill="FFFFFF"/>
        <w:spacing w:line="259" w:lineRule="auto"/>
        <w:jc w:val="both"/>
        <w:outlineLvl w:val="2"/>
        <w:rPr>
          <w:b/>
          <w:bCs/>
          <w:sz w:val="24"/>
          <w:szCs w:val="24"/>
          <w:shd w:val="clear" w:color="auto" w:fill="FFFFFF"/>
        </w:rPr>
      </w:pPr>
      <w:r w:rsidRPr="00CF6106">
        <w:rPr>
          <w:sz w:val="24"/>
          <w:szCs w:val="24"/>
          <w:shd w:val="clear" w:color="auto" w:fill="FFFFFF"/>
        </w:rPr>
        <w:t xml:space="preserve">Malta is the first government to fund a regional intersex organisation and one of the few governments that fund intersex-led organisations at all. The grant is tailored to </w:t>
      </w:r>
      <w:r w:rsidR="00254498">
        <w:rPr>
          <w:sz w:val="24"/>
          <w:szCs w:val="24"/>
          <w:shd w:val="clear" w:color="auto" w:fill="FFFFFF"/>
        </w:rPr>
        <w:t xml:space="preserve">the </w:t>
      </w:r>
      <w:r w:rsidRPr="00CF6106">
        <w:rPr>
          <w:sz w:val="24"/>
          <w:szCs w:val="24"/>
          <w:shd w:val="clear" w:color="auto" w:fill="FFFFFF"/>
        </w:rPr>
        <w:t xml:space="preserve">intersex organisation’s needs by </w:t>
      </w:r>
    </w:p>
    <w:p w14:paraId="1C745862" w14:textId="77777777" w:rsidR="00254498" w:rsidRPr="00254498" w:rsidRDefault="00CF6106" w:rsidP="00254498">
      <w:pPr>
        <w:pStyle w:val="ListParagraph"/>
        <w:numPr>
          <w:ilvl w:val="1"/>
          <w:numId w:val="14"/>
        </w:numPr>
        <w:shd w:val="clear" w:color="auto" w:fill="FFFFFF"/>
        <w:spacing w:line="259" w:lineRule="auto"/>
        <w:jc w:val="both"/>
        <w:outlineLvl w:val="2"/>
        <w:rPr>
          <w:b/>
          <w:bCs/>
          <w:sz w:val="24"/>
          <w:szCs w:val="24"/>
          <w:shd w:val="clear" w:color="auto" w:fill="FFFFFF"/>
        </w:rPr>
      </w:pPr>
      <w:r w:rsidRPr="00CF6106">
        <w:rPr>
          <w:sz w:val="24"/>
          <w:szCs w:val="24"/>
          <w:shd w:val="clear" w:color="auto" w:fill="FFFFFF"/>
        </w:rPr>
        <w:t xml:space="preserve">being core/operational funding </w:t>
      </w:r>
    </w:p>
    <w:p w14:paraId="6B86E318" w14:textId="77777777" w:rsidR="00254498" w:rsidRPr="00254498" w:rsidRDefault="00CF6106" w:rsidP="00254498">
      <w:pPr>
        <w:pStyle w:val="ListParagraph"/>
        <w:numPr>
          <w:ilvl w:val="1"/>
          <w:numId w:val="14"/>
        </w:numPr>
        <w:shd w:val="clear" w:color="auto" w:fill="FFFFFF"/>
        <w:spacing w:line="259" w:lineRule="auto"/>
        <w:jc w:val="both"/>
        <w:outlineLvl w:val="2"/>
        <w:rPr>
          <w:b/>
          <w:bCs/>
          <w:sz w:val="24"/>
          <w:szCs w:val="24"/>
          <w:shd w:val="clear" w:color="auto" w:fill="FFFFFF"/>
        </w:rPr>
      </w:pPr>
      <w:r w:rsidRPr="00CF6106">
        <w:rPr>
          <w:sz w:val="24"/>
          <w:szCs w:val="24"/>
          <w:shd w:val="clear" w:color="auto" w:fill="FFFFFF"/>
        </w:rPr>
        <w:t xml:space="preserve">being a multi-annual grant allowing for flexibility and rapid-response reallocation of funds </w:t>
      </w:r>
    </w:p>
    <w:p w14:paraId="66DB63B6" w14:textId="366F6BCA" w:rsidR="00CF6106" w:rsidRPr="00CF6106" w:rsidRDefault="00CF6106" w:rsidP="00254498">
      <w:pPr>
        <w:pStyle w:val="ListParagraph"/>
        <w:numPr>
          <w:ilvl w:val="1"/>
          <w:numId w:val="14"/>
        </w:numPr>
        <w:shd w:val="clear" w:color="auto" w:fill="FFFFFF"/>
        <w:spacing w:line="259" w:lineRule="auto"/>
        <w:jc w:val="both"/>
        <w:outlineLvl w:val="2"/>
        <w:rPr>
          <w:b/>
          <w:bCs/>
          <w:sz w:val="24"/>
          <w:szCs w:val="24"/>
          <w:shd w:val="clear" w:color="auto" w:fill="FFFFFF"/>
        </w:rPr>
      </w:pPr>
      <w:r w:rsidRPr="00CF6106">
        <w:rPr>
          <w:sz w:val="24"/>
          <w:szCs w:val="24"/>
          <w:shd w:val="clear" w:color="auto" w:fill="FFFFFF"/>
        </w:rPr>
        <w:t>acknowledging and highlighting the importance of intersex human rights work in Europe.</w:t>
      </w:r>
    </w:p>
    <w:p w14:paraId="4C6E3FD5" w14:textId="38B41B00" w:rsidR="00D82443" w:rsidRDefault="00CF6106" w:rsidP="00CF6106">
      <w:pPr>
        <w:pStyle w:val="ListParagraph"/>
        <w:numPr>
          <w:ilvl w:val="0"/>
          <w:numId w:val="14"/>
        </w:numPr>
        <w:shd w:val="clear" w:color="auto" w:fill="FFFFFF"/>
        <w:spacing w:line="259" w:lineRule="auto"/>
        <w:jc w:val="both"/>
        <w:outlineLvl w:val="2"/>
        <w:rPr>
          <w:sz w:val="24"/>
          <w:szCs w:val="24"/>
          <w:shd w:val="clear" w:color="auto" w:fill="FFFFFF"/>
        </w:rPr>
      </w:pPr>
      <w:r w:rsidRPr="00CF6106">
        <w:rPr>
          <w:sz w:val="24"/>
          <w:szCs w:val="24"/>
          <w:shd w:val="clear" w:color="auto" w:fill="FFFFFF"/>
        </w:rPr>
        <w:t>The Dutch government provides a national, intersex</w:t>
      </w:r>
      <w:r>
        <w:rPr>
          <w:sz w:val="24"/>
          <w:szCs w:val="24"/>
          <w:shd w:val="clear" w:color="auto" w:fill="FFFFFF"/>
        </w:rPr>
        <w:t>-</w:t>
      </w:r>
      <w:r w:rsidRPr="00CF6106">
        <w:rPr>
          <w:sz w:val="24"/>
          <w:szCs w:val="24"/>
          <w:shd w:val="clear" w:color="auto" w:fill="FFFFFF"/>
        </w:rPr>
        <w:t>led organisation with sustainable funding with grants of 5 and 3-year duration</w:t>
      </w:r>
      <w:r w:rsidR="00FC6BC1">
        <w:rPr>
          <w:rStyle w:val="FootnoteReference"/>
          <w:sz w:val="24"/>
          <w:szCs w:val="24"/>
          <w:shd w:val="clear" w:color="auto" w:fill="FFFFFF"/>
        </w:rPr>
        <w:footnoteReference w:id="57"/>
      </w:r>
      <w:r>
        <w:rPr>
          <w:sz w:val="24"/>
          <w:szCs w:val="24"/>
          <w:shd w:val="clear" w:color="auto" w:fill="FFFFFF"/>
        </w:rPr>
        <w:t>.</w:t>
      </w:r>
    </w:p>
    <w:p w14:paraId="707C962E" w14:textId="55E93EC3" w:rsidR="00DC7F20" w:rsidRDefault="00DC7F20" w:rsidP="00DC7F20">
      <w:pPr>
        <w:shd w:val="clear" w:color="auto" w:fill="FFFFFF"/>
        <w:spacing w:line="259" w:lineRule="auto"/>
        <w:ind w:left="426"/>
        <w:jc w:val="both"/>
        <w:outlineLvl w:val="2"/>
        <w:rPr>
          <w:sz w:val="24"/>
          <w:szCs w:val="24"/>
          <w:shd w:val="clear" w:color="auto" w:fill="FFFFFF"/>
        </w:rPr>
      </w:pPr>
    </w:p>
    <w:p w14:paraId="7019A304" w14:textId="37DC22B3" w:rsidR="00DC7F20" w:rsidRDefault="00DC7F20" w:rsidP="00DC7F20">
      <w:pPr>
        <w:shd w:val="clear" w:color="auto" w:fill="FFFFFF"/>
        <w:spacing w:line="259" w:lineRule="auto"/>
        <w:ind w:left="426"/>
        <w:jc w:val="both"/>
        <w:outlineLvl w:val="2"/>
        <w:rPr>
          <w:b/>
          <w:bCs/>
          <w:sz w:val="24"/>
          <w:szCs w:val="24"/>
          <w:shd w:val="clear" w:color="auto" w:fill="FFFFFF"/>
        </w:rPr>
      </w:pPr>
      <w:r w:rsidRPr="00DC7F20">
        <w:rPr>
          <w:b/>
          <w:bCs/>
          <w:sz w:val="24"/>
          <w:szCs w:val="24"/>
          <w:shd w:val="clear" w:color="auto" w:fill="FFFFFF"/>
        </w:rPr>
        <w:t>Research</w:t>
      </w:r>
    </w:p>
    <w:p w14:paraId="5098F2AF" w14:textId="0DDE0032" w:rsidR="008F1F10" w:rsidRPr="00B05F1A" w:rsidRDefault="00A7360F" w:rsidP="008F1F10">
      <w:pPr>
        <w:spacing w:line="259" w:lineRule="auto"/>
        <w:ind w:left="426"/>
        <w:jc w:val="both"/>
        <w:outlineLvl w:val="2"/>
        <w:rPr>
          <w:sz w:val="24"/>
          <w:shd w:val="clear" w:color="auto" w:fill="FFFFFF"/>
          <w:lang w:val="en"/>
        </w:rPr>
      </w:pPr>
      <w:r w:rsidRPr="00B05F1A">
        <w:rPr>
          <w:sz w:val="24"/>
          <w:szCs w:val="24"/>
          <w:shd w:val="clear" w:color="auto" w:fill="FFFFFF"/>
        </w:rPr>
        <w:t xml:space="preserve">INIA – Intersex: New Interdisciplinary Approaches – is </w:t>
      </w:r>
      <w:r w:rsidR="008F1F10" w:rsidRPr="00B05F1A">
        <w:rPr>
          <w:sz w:val="24"/>
          <w:szCs w:val="24"/>
          <w:shd w:val="clear" w:color="auto" w:fill="FFFFFF"/>
        </w:rPr>
        <w:t>a</w:t>
      </w:r>
      <w:r w:rsidR="00907CFA" w:rsidRPr="00B05F1A">
        <w:rPr>
          <w:sz w:val="24"/>
          <w:szCs w:val="24"/>
          <w:shd w:val="clear" w:color="auto" w:fill="FFFFFF"/>
        </w:rPr>
        <w:t>n EU funded</w:t>
      </w:r>
      <w:r w:rsidR="008F1F10" w:rsidRPr="00B05F1A">
        <w:rPr>
          <w:sz w:val="24"/>
          <w:szCs w:val="24"/>
          <w:shd w:val="clear" w:color="auto" w:fill="FFFFFF"/>
        </w:rPr>
        <w:t xml:space="preserve"> international research network which train</w:t>
      </w:r>
      <w:r w:rsidR="00907CFA" w:rsidRPr="00B05F1A">
        <w:rPr>
          <w:sz w:val="24"/>
          <w:szCs w:val="24"/>
          <w:shd w:val="clear" w:color="auto" w:fill="FFFFFF"/>
        </w:rPr>
        <w:t>s</w:t>
      </w:r>
      <w:r w:rsidR="008F1F10" w:rsidRPr="00B05F1A">
        <w:rPr>
          <w:sz w:val="24"/>
          <w:szCs w:val="24"/>
          <w:shd w:val="clear" w:color="auto" w:fill="FFFFFF"/>
        </w:rPr>
        <w:t xml:space="preserve"> a cohort of 10 early-stage researchers working collaboratively to develop knowledge that will inform policy making and practice across a range of key sectors. The project’s</w:t>
      </w:r>
      <w:r w:rsidR="008F1F10" w:rsidRPr="00B05F1A">
        <w:rPr>
          <w:sz w:val="24"/>
          <w:shd w:val="clear" w:color="auto" w:fill="FFFFFF"/>
          <w:lang w:val="en"/>
        </w:rPr>
        <w:t xml:space="preserve"> objectives are to:</w:t>
      </w:r>
    </w:p>
    <w:p w14:paraId="16A30FA0" w14:textId="77777777" w:rsidR="008F1F10" w:rsidRPr="00B05F1A" w:rsidRDefault="008F1F10" w:rsidP="008F1F10">
      <w:pPr>
        <w:numPr>
          <w:ilvl w:val="0"/>
          <w:numId w:val="16"/>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Generate knowledge that supports the wellbeing and social/economic contributions of intersex people/people with variations of sex characteristics.</w:t>
      </w:r>
    </w:p>
    <w:p w14:paraId="089B1DC2" w14:textId="77777777" w:rsidR="008F1F10" w:rsidRPr="00B05F1A" w:rsidRDefault="008F1F10" w:rsidP="008F1F10">
      <w:pPr>
        <w:numPr>
          <w:ilvl w:val="0"/>
          <w:numId w:val="16"/>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Use innovative interdisciplinary academic resources to push forward understandings of intersex and inform academic fields.</w:t>
      </w:r>
    </w:p>
    <w:p w14:paraId="196EC638" w14:textId="5112325B" w:rsidR="008F1F10" w:rsidRPr="00B05F1A" w:rsidRDefault="008F1F10" w:rsidP="00B05F1A">
      <w:pPr>
        <w:numPr>
          <w:ilvl w:val="0"/>
          <w:numId w:val="16"/>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Produce excellent research and evidence to help address societal challenges associated with intersex.</w:t>
      </w:r>
      <w:r w:rsidR="00907CFA" w:rsidRPr="00B05F1A">
        <w:rPr>
          <w:rStyle w:val="FootnoteReference"/>
          <w:sz w:val="24"/>
          <w:szCs w:val="24"/>
          <w:shd w:val="clear" w:color="auto" w:fill="FFFFFF"/>
        </w:rPr>
        <w:footnoteReference w:id="58"/>
      </w:r>
    </w:p>
    <w:p w14:paraId="275EE2E2" w14:textId="3A317625" w:rsidR="00A7360F" w:rsidRPr="00B05F1A" w:rsidRDefault="007314A9" w:rsidP="00A7360F">
      <w:pPr>
        <w:shd w:val="clear" w:color="auto" w:fill="FFFFFF"/>
        <w:spacing w:line="259" w:lineRule="auto"/>
        <w:ind w:left="426"/>
        <w:jc w:val="both"/>
        <w:outlineLvl w:val="2"/>
        <w:rPr>
          <w:sz w:val="24"/>
          <w:szCs w:val="24"/>
          <w:shd w:val="clear" w:color="auto" w:fill="FFFFFF"/>
        </w:rPr>
      </w:pPr>
      <w:r w:rsidRPr="00B05F1A">
        <w:rPr>
          <w:sz w:val="24"/>
          <w:szCs w:val="24"/>
          <w:shd w:val="clear" w:color="auto" w:fill="FFFFFF"/>
        </w:rPr>
        <w:t>This good practice example highlights that:</w:t>
      </w:r>
    </w:p>
    <w:p w14:paraId="07ACDB0D" w14:textId="3F2F3E7E" w:rsidR="007314A9" w:rsidRPr="00B05F1A" w:rsidRDefault="007314A9" w:rsidP="007314A9">
      <w:pPr>
        <w:pStyle w:val="ListParagraph"/>
        <w:numPr>
          <w:ilvl w:val="0"/>
          <w:numId w:val="17"/>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High quality research is needed to inform evidence-based policy reforms and drive societal change</w:t>
      </w:r>
      <w:r w:rsidR="00AC6A82">
        <w:rPr>
          <w:sz w:val="24"/>
          <w:szCs w:val="24"/>
          <w:shd w:val="clear" w:color="auto" w:fill="FFFFFF"/>
        </w:rPr>
        <w:t>.</w:t>
      </w:r>
    </w:p>
    <w:p w14:paraId="0924ECD4" w14:textId="68AD0854" w:rsidR="007314A9" w:rsidRPr="00B05F1A" w:rsidRDefault="00F26A63" w:rsidP="007314A9">
      <w:pPr>
        <w:pStyle w:val="ListParagraph"/>
        <w:numPr>
          <w:ilvl w:val="0"/>
          <w:numId w:val="17"/>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 xml:space="preserve">Involving intersex-led organisations in consultations and having representatives of them in the </w:t>
      </w:r>
      <w:r w:rsidR="00AF4A22" w:rsidRPr="00B05F1A">
        <w:rPr>
          <w:sz w:val="24"/>
          <w:szCs w:val="24"/>
          <w:shd w:val="clear" w:color="auto" w:fill="FFFFFF"/>
        </w:rPr>
        <w:t xml:space="preserve">advisory </w:t>
      </w:r>
      <w:r w:rsidRPr="00B05F1A">
        <w:rPr>
          <w:sz w:val="24"/>
          <w:szCs w:val="24"/>
          <w:shd w:val="clear" w:color="auto" w:fill="FFFFFF"/>
        </w:rPr>
        <w:t>board ensures inclusion and reliability</w:t>
      </w:r>
      <w:r w:rsidR="00AC6A82">
        <w:rPr>
          <w:sz w:val="24"/>
          <w:szCs w:val="24"/>
          <w:shd w:val="clear" w:color="auto" w:fill="FFFFFF"/>
        </w:rPr>
        <w:t>.</w:t>
      </w:r>
      <w:r w:rsidRPr="00B05F1A">
        <w:rPr>
          <w:sz w:val="24"/>
          <w:szCs w:val="24"/>
          <w:shd w:val="clear" w:color="auto" w:fill="FFFFFF"/>
        </w:rPr>
        <w:t xml:space="preserve"> </w:t>
      </w:r>
    </w:p>
    <w:p w14:paraId="2BFB3364" w14:textId="00623DE9" w:rsidR="0077533B" w:rsidRPr="00B05F1A" w:rsidRDefault="007314A9" w:rsidP="0077533B">
      <w:pPr>
        <w:pStyle w:val="ListParagraph"/>
        <w:numPr>
          <w:ilvl w:val="0"/>
          <w:numId w:val="17"/>
        </w:numPr>
        <w:shd w:val="clear" w:color="auto" w:fill="FFFFFF"/>
        <w:spacing w:line="259" w:lineRule="auto"/>
        <w:jc w:val="both"/>
        <w:outlineLvl w:val="2"/>
        <w:rPr>
          <w:sz w:val="24"/>
          <w:szCs w:val="24"/>
          <w:shd w:val="clear" w:color="auto" w:fill="FFFFFF"/>
        </w:rPr>
      </w:pPr>
      <w:r w:rsidRPr="00B05F1A">
        <w:rPr>
          <w:sz w:val="24"/>
          <w:szCs w:val="24"/>
          <w:shd w:val="clear" w:color="auto" w:fill="FFFFFF"/>
        </w:rPr>
        <w:t>Adequate public funds are needed to sustain research of this kind.</w:t>
      </w:r>
    </w:p>
    <w:p w14:paraId="048CECF2" w14:textId="77777777" w:rsidR="00907CFA" w:rsidRPr="00B05F1A" w:rsidRDefault="00907CFA">
      <w:pPr>
        <w:shd w:val="clear" w:color="auto" w:fill="FFFFFF"/>
        <w:spacing w:line="259" w:lineRule="auto"/>
        <w:ind w:left="413"/>
        <w:jc w:val="both"/>
        <w:outlineLvl w:val="2"/>
        <w:rPr>
          <w:sz w:val="24"/>
          <w:szCs w:val="24"/>
          <w:shd w:val="clear" w:color="auto" w:fill="FFFFFF"/>
        </w:rPr>
      </w:pPr>
    </w:p>
    <w:p w14:paraId="53EDC8C5" w14:textId="4B66FEB9" w:rsidR="0077533B" w:rsidRPr="00B05F1A" w:rsidRDefault="0077533B">
      <w:pPr>
        <w:shd w:val="clear" w:color="auto" w:fill="FFFFFF"/>
        <w:spacing w:line="259" w:lineRule="auto"/>
        <w:ind w:left="413"/>
        <w:jc w:val="both"/>
        <w:outlineLvl w:val="2"/>
        <w:rPr>
          <w:sz w:val="24"/>
          <w:szCs w:val="24"/>
          <w:shd w:val="clear" w:color="auto" w:fill="FFFFFF"/>
        </w:rPr>
      </w:pPr>
      <w:r w:rsidRPr="00B05F1A">
        <w:rPr>
          <w:sz w:val="24"/>
          <w:szCs w:val="24"/>
          <w:shd w:val="clear" w:color="auto" w:fill="FFFFFF"/>
        </w:rPr>
        <w:t xml:space="preserve">The European Commission </w:t>
      </w:r>
      <w:r w:rsidR="00C97685" w:rsidRPr="00B05F1A">
        <w:rPr>
          <w:sz w:val="24"/>
          <w:szCs w:val="24"/>
          <w:shd w:val="clear" w:color="auto" w:fill="FFFFFF"/>
        </w:rPr>
        <w:t xml:space="preserve">also </w:t>
      </w:r>
      <w:r w:rsidR="00907CFA" w:rsidRPr="00B05F1A">
        <w:rPr>
          <w:sz w:val="24"/>
          <w:szCs w:val="24"/>
          <w:shd w:val="clear" w:color="auto" w:fill="FFFFFF"/>
        </w:rPr>
        <w:t>commissioned the</w:t>
      </w:r>
      <w:r w:rsidR="00C97685" w:rsidRPr="00B05F1A">
        <w:rPr>
          <w:sz w:val="24"/>
          <w:szCs w:val="24"/>
          <w:shd w:val="clear" w:color="auto" w:fill="FFFFFF"/>
        </w:rPr>
        <w:t xml:space="preserve"> “Study on Intersex people in the EU” with results expected by the end of 2022.</w:t>
      </w:r>
    </w:p>
    <w:p w14:paraId="462F3AB8" w14:textId="1CEC86B4" w:rsidR="00907CFA" w:rsidRPr="00B05F1A" w:rsidRDefault="00907CFA">
      <w:pPr>
        <w:shd w:val="clear" w:color="auto" w:fill="FFFFFF"/>
        <w:spacing w:line="259" w:lineRule="auto"/>
        <w:ind w:left="413"/>
        <w:jc w:val="both"/>
        <w:outlineLvl w:val="2"/>
        <w:rPr>
          <w:sz w:val="24"/>
          <w:szCs w:val="24"/>
          <w:shd w:val="clear" w:color="auto" w:fill="FFFFFF"/>
        </w:rPr>
      </w:pPr>
    </w:p>
    <w:p w14:paraId="1EA1F1F2" w14:textId="20DFCE43" w:rsidR="00992685" w:rsidRPr="00600349" w:rsidRDefault="00907CFA" w:rsidP="00AF4A22">
      <w:pPr>
        <w:shd w:val="clear" w:color="auto" w:fill="FFFFFF"/>
        <w:spacing w:line="259" w:lineRule="auto"/>
        <w:ind w:left="413"/>
        <w:jc w:val="both"/>
        <w:outlineLvl w:val="2"/>
        <w:rPr>
          <w:sz w:val="24"/>
          <w:szCs w:val="24"/>
          <w:shd w:val="clear" w:color="auto" w:fill="FFFFFF"/>
        </w:rPr>
      </w:pPr>
      <w:r w:rsidRPr="00B05F1A">
        <w:rPr>
          <w:sz w:val="24"/>
          <w:szCs w:val="24"/>
          <w:shd w:val="clear" w:color="auto" w:fill="FFFFFF"/>
        </w:rPr>
        <w:t>On national level,</w:t>
      </w:r>
      <w:r w:rsidR="00F742E5">
        <w:rPr>
          <w:sz w:val="24"/>
          <w:szCs w:val="24"/>
          <w:shd w:val="clear" w:color="auto" w:fill="FFFFFF"/>
        </w:rPr>
        <w:t xml:space="preserve"> </w:t>
      </w:r>
      <w:r>
        <w:rPr>
          <w:sz w:val="24"/>
          <w:szCs w:val="24"/>
          <w:shd w:val="clear" w:color="auto" w:fill="FFFFFF"/>
        </w:rPr>
        <w:t>t</w:t>
      </w:r>
      <w:r w:rsidR="00992685" w:rsidRPr="00600349">
        <w:rPr>
          <w:sz w:val="24"/>
          <w:szCs w:val="24"/>
          <w:shd w:val="clear" w:color="auto" w:fill="FFFFFF"/>
        </w:rPr>
        <w:t>he 2019 qualitative study “No information or options. Study on the rights and experiences of intersex persons”, commissioned by the Finnish Ministry of Justice and the Ministry for Foreign Affairs, brings to light life experiences of intersex people living in Finland.</w:t>
      </w:r>
      <w:r w:rsidR="00992685" w:rsidRPr="00992685">
        <w:t xml:space="preserve"> </w:t>
      </w:r>
      <w:r w:rsidR="00992685" w:rsidRPr="00600349">
        <w:rPr>
          <w:sz w:val="24"/>
          <w:szCs w:val="24"/>
          <w:shd w:val="clear" w:color="auto" w:fill="FFFFFF"/>
        </w:rPr>
        <w:t>The study</w:t>
      </w:r>
    </w:p>
    <w:p w14:paraId="789A9C19" w14:textId="2318E62D"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is a strongly participatory study</w:t>
      </w:r>
    </w:p>
    <w:p w14:paraId="555B51DB" w14:textId="61048C58"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was conducted with ongoing consultation of intersex</w:t>
      </w:r>
      <w:r>
        <w:rPr>
          <w:sz w:val="24"/>
          <w:szCs w:val="24"/>
          <w:shd w:val="clear" w:color="auto" w:fill="FFFFFF"/>
        </w:rPr>
        <w:t>-</w:t>
      </w:r>
      <w:r w:rsidRPr="00992685">
        <w:rPr>
          <w:sz w:val="24"/>
          <w:szCs w:val="24"/>
          <w:shd w:val="clear" w:color="auto" w:fill="FFFFFF"/>
        </w:rPr>
        <w:t>led groups and organisations</w:t>
      </w:r>
    </w:p>
    <w:p w14:paraId="68891030" w14:textId="75AC381E"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bases its findings on an assessment of actual healthcare needs of intersex people and their families</w:t>
      </w:r>
    </w:p>
    <w:p w14:paraId="4927C4B4" w14:textId="5AC772EA"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was conducted within a sociological instead of a medical framework</w:t>
      </w:r>
    </w:p>
    <w:p w14:paraId="643254D3" w14:textId="2B72E1BF"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has a human rights baseline and perspective</w:t>
      </w:r>
    </w:p>
    <w:p w14:paraId="35D9ECA9" w14:textId="44BDC632" w:rsid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includes and discusses good practices from other countries</w:t>
      </w:r>
    </w:p>
    <w:p w14:paraId="53D13168" w14:textId="4A46C75B" w:rsidR="00DC7F20" w:rsidRPr="00992685" w:rsidRDefault="00992685" w:rsidP="00992685">
      <w:pPr>
        <w:pStyle w:val="ListParagraph"/>
        <w:numPr>
          <w:ilvl w:val="1"/>
          <w:numId w:val="15"/>
        </w:numPr>
        <w:shd w:val="clear" w:color="auto" w:fill="FFFFFF"/>
        <w:spacing w:line="259" w:lineRule="auto"/>
        <w:jc w:val="both"/>
        <w:outlineLvl w:val="2"/>
        <w:rPr>
          <w:sz w:val="24"/>
          <w:szCs w:val="24"/>
          <w:shd w:val="clear" w:color="auto" w:fill="FFFFFF"/>
        </w:rPr>
      </w:pPr>
      <w:r w:rsidRPr="00992685">
        <w:rPr>
          <w:sz w:val="24"/>
          <w:szCs w:val="24"/>
          <w:shd w:val="clear" w:color="auto" w:fill="FFFFFF"/>
        </w:rPr>
        <w:t xml:space="preserve">provides recommendations on how to implement intersex human rights in </w:t>
      </w:r>
      <w:r w:rsidR="006B051F">
        <w:rPr>
          <w:sz w:val="24"/>
          <w:szCs w:val="24"/>
          <w:shd w:val="clear" w:color="auto" w:fill="FFFFFF"/>
        </w:rPr>
        <w:t>on national level</w:t>
      </w:r>
      <w:r w:rsidR="00437ECF">
        <w:rPr>
          <w:rStyle w:val="FootnoteReference"/>
          <w:sz w:val="24"/>
          <w:szCs w:val="24"/>
          <w:shd w:val="clear" w:color="auto" w:fill="FFFFFF"/>
        </w:rPr>
        <w:footnoteReference w:id="59"/>
      </w:r>
      <w:r w:rsidRPr="00992685">
        <w:rPr>
          <w:sz w:val="24"/>
          <w:szCs w:val="24"/>
          <w:shd w:val="clear" w:color="auto" w:fill="FFFFFF"/>
        </w:rPr>
        <w:t>.</w:t>
      </w:r>
    </w:p>
    <w:p w14:paraId="09A04763" w14:textId="77777777" w:rsidR="00D82443" w:rsidRDefault="00D82443" w:rsidP="009F00AF">
      <w:pPr>
        <w:pStyle w:val="ListParagraph"/>
        <w:shd w:val="clear" w:color="auto" w:fill="FFFFFF"/>
        <w:spacing w:line="259" w:lineRule="auto"/>
        <w:ind w:left="360"/>
        <w:jc w:val="both"/>
        <w:outlineLvl w:val="2"/>
        <w:rPr>
          <w:sz w:val="24"/>
          <w:szCs w:val="24"/>
          <w:shd w:val="clear" w:color="auto" w:fill="FFFFFF"/>
        </w:rPr>
      </w:pPr>
    </w:p>
    <w:p w14:paraId="1128F653" w14:textId="1E1EA86E" w:rsidR="00115205" w:rsidRDefault="006B051F" w:rsidP="009F00AF">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 xml:space="preserve">More good practice examples can be found in the annual </w:t>
      </w:r>
      <w:hyperlink r:id="rId14" w:history="1">
        <w:r w:rsidRPr="006B051F">
          <w:rPr>
            <w:rStyle w:val="Hyperlink"/>
            <w:sz w:val="24"/>
            <w:szCs w:val="24"/>
            <w:shd w:val="clear" w:color="auto" w:fill="FFFFFF"/>
          </w:rPr>
          <w:t>OII Europe Good Practice Map</w:t>
        </w:r>
      </w:hyperlink>
      <w:r w:rsidR="001C148C">
        <w:rPr>
          <w:rStyle w:val="Hyperlink"/>
          <w:sz w:val="24"/>
          <w:szCs w:val="24"/>
          <w:shd w:val="clear" w:color="auto" w:fill="FFFFFF"/>
        </w:rPr>
        <w:t>.</w:t>
      </w:r>
      <w:r>
        <w:rPr>
          <w:sz w:val="24"/>
          <w:szCs w:val="24"/>
          <w:shd w:val="clear" w:color="auto" w:fill="FFFFFF"/>
        </w:rPr>
        <w:t xml:space="preserve"> </w:t>
      </w:r>
    </w:p>
    <w:p w14:paraId="3A6A3F5E" w14:textId="240FE74B" w:rsidR="0028028E" w:rsidRDefault="00870F4E" w:rsidP="009F00AF">
      <w:pPr>
        <w:pStyle w:val="ListParagraph"/>
        <w:shd w:val="clear" w:color="auto" w:fill="FFFFFF"/>
        <w:spacing w:line="259" w:lineRule="auto"/>
        <w:ind w:left="360"/>
        <w:jc w:val="both"/>
        <w:outlineLvl w:val="2"/>
        <w:rPr>
          <w:sz w:val="24"/>
          <w:szCs w:val="24"/>
          <w:shd w:val="clear" w:color="auto" w:fill="FFFFFF"/>
        </w:rPr>
      </w:pPr>
      <w:r>
        <w:rPr>
          <w:sz w:val="24"/>
          <w:szCs w:val="24"/>
          <w:shd w:val="clear" w:color="auto" w:fill="FFFFFF"/>
        </w:rPr>
        <w:t xml:space="preserve"> </w:t>
      </w: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5"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6"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7"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8"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9"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0"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1"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BE02E5" w:rsidRPr="009F00AF" w:rsidRDefault="00BE02E5">
      <w:pPr>
        <w:rPr>
          <w:lang w:val="en"/>
        </w:rPr>
      </w:pPr>
    </w:p>
    <w:sectPr w:rsidR="00BE02E5" w:rsidRPr="009F00AF" w:rsidSect="00BE02E5">
      <w:footerReference w:type="default" r:id="rId22"/>
      <w:headerReference w:type="first" r:id="rId23"/>
      <w:footerReference w:type="first" r:id="rId2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1BC5" w14:textId="77777777" w:rsidR="009F41AF" w:rsidRDefault="009F41AF" w:rsidP="009F00AF">
      <w:r>
        <w:separator/>
      </w:r>
    </w:p>
  </w:endnote>
  <w:endnote w:type="continuationSeparator" w:id="0">
    <w:p w14:paraId="2CD8B1B0" w14:textId="77777777" w:rsidR="009F41AF" w:rsidRDefault="009F41AF"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7A3C53A8" w:rsidR="00907CFA" w:rsidRDefault="00907CFA">
        <w:pPr>
          <w:pStyle w:val="Footer"/>
          <w:jc w:val="center"/>
        </w:pPr>
        <w:r>
          <w:fldChar w:fldCharType="begin"/>
        </w:r>
        <w:r>
          <w:instrText xml:space="preserve"> PAGE   \* MERGEFORMAT </w:instrText>
        </w:r>
        <w:r>
          <w:fldChar w:fldCharType="separate"/>
        </w:r>
        <w:r w:rsidR="005479C4">
          <w:rPr>
            <w:noProof/>
          </w:rPr>
          <w:t>2</w:t>
        </w:r>
        <w:r>
          <w:rPr>
            <w:noProof/>
          </w:rPr>
          <w:fldChar w:fldCharType="end"/>
        </w:r>
      </w:p>
    </w:sdtContent>
  </w:sdt>
  <w:p w14:paraId="5A6E9ADE" w14:textId="77777777" w:rsidR="00907CFA" w:rsidRDefault="00907CFA" w:rsidP="00BE02E5">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907CFA" w:rsidRPr="003F10CA" w:rsidRDefault="00907CFA" w:rsidP="00BE02E5">
    <w:pPr>
      <w:pStyle w:val="Footer"/>
      <w:tabs>
        <w:tab w:val="left" w:pos="567"/>
      </w:tabs>
    </w:pPr>
    <w:r w:rsidRPr="00904039">
      <w:rPr>
        <w:sz w:val="24"/>
      </w:rPr>
      <w:t xml:space="preserve"> </w:t>
    </w:r>
  </w:p>
  <w:p w14:paraId="2C78BA67" w14:textId="77777777" w:rsidR="00907CFA" w:rsidRPr="00282983" w:rsidRDefault="00907CFA" w:rsidP="00BE02E5">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BC37" w14:textId="77777777" w:rsidR="009F41AF" w:rsidRDefault="009F41AF" w:rsidP="009F00AF">
      <w:r>
        <w:separator/>
      </w:r>
    </w:p>
  </w:footnote>
  <w:footnote w:type="continuationSeparator" w:id="0">
    <w:p w14:paraId="093195DC" w14:textId="77777777" w:rsidR="009F41AF" w:rsidRDefault="009F41AF" w:rsidP="009F00AF">
      <w:r>
        <w:continuationSeparator/>
      </w:r>
    </w:p>
  </w:footnote>
  <w:footnote w:id="1">
    <w:p w14:paraId="2CD0F89C" w14:textId="64C1AA93" w:rsidR="00907CFA" w:rsidRPr="003E3FCF" w:rsidRDefault="00907CFA">
      <w:pPr>
        <w:pStyle w:val="FootnoteText"/>
      </w:pPr>
      <w:r w:rsidRPr="00D90F79">
        <w:rPr>
          <w:rStyle w:val="FootnoteReference"/>
        </w:rPr>
        <w:footnoteRef/>
      </w:r>
      <w:r w:rsidRPr="00D90F79">
        <w:t xml:space="preserve"> </w:t>
      </w:r>
      <w:bookmarkStart w:id="6" w:name="_Hlk92973355"/>
      <w:r w:rsidRPr="00D90F79">
        <w:t xml:space="preserve">Dan Christian Ghattas, </w:t>
      </w:r>
      <w:r w:rsidRPr="00D90F79">
        <w:rPr>
          <w:i/>
        </w:rPr>
        <w:t>Protecting Intersex people in Europe. A toolkit for law and policy makers. With digital Appendix and Checklist</w:t>
      </w:r>
      <w:r w:rsidRPr="00D90F79">
        <w:t xml:space="preserve"> (ILGA-Europe and OII Europe, 2019), 9, available at </w:t>
      </w:r>
      <w:r>
        <w:t>&lt;</w:t>
      </w:r>
      <w:hyperlink r:id="rId1" w:history="1">
        <w:r w:rsidRPr="001D53E5">
          <w:rPr>
            <w:rStyle w:val="Hyperlink"/>
          </w:rPr>
          <w:t>https://oiieurope.org/library-en/toolkit-cat/legal-toolkit/</w:t>
        </w:r>
      </w:hyperlink>
      <w:bookmarkStart w:id="7" w:name="_Hlk93271946"/>
      <w:bookmarkEnd w:id="6"/>
      <w:r>
        <w:t>&gt;</w:t>
      </w:r>
      <w:bookmarkEnd w:id="7"/>
      <w:r>
        <w:t xml:space="preserve">. Up </w:t>
      </w:r>
      <w:r w:rsidRPr="003E3FCF">
        <w:t>to 1,7 % of the global population is intersex</w:t>
      </w:r>
      <w:r>
        <w:t>: s</w:t>
      </w:r>
      <w:r w:rsidRPr="003E3FCF">
        <w:t xml:space="preserve">ee the United Nations Office of the High Commissioner for Human Rights, </w:t>
      </w:r>
      <w:r w:rsidRPr="003E3FCF">
        <w:rPr>
          <w:i/>
          <w:iCs/>
        </w:rPr>
        <w:t>Fact Sheet. Intersex</w:t>
      </w:r>
      <w:r w:rsidRPr="003E3FCF">
        <w:t xml:space="preserve"> (2015), available at </w:t>
      </w:r>
      <w:r>
        <w:t>&lt;</w:t>
      </w:r>
      <w:hyperlink r:id="rId2" w:history="1">
        <w:r w:rsidRPr="001D53E5">
          <w:rPr>
            <w:rStyle w:val="Hyperlink"/>
          </w:rPr>
          <w:t>https://unfe.org/system/unfe-65-Intersex_Factsheet_ENGLISH.pdf</w:t>
        </w:r>
      </w:hyperlink>
      <w:r w:rsidRPr="00F149BF">
        <w:t>&gt;</w:t>
      </w:r>
      <w:r>
        <w:t xml:space="preserve">. This </w:t>
      </w:r>
      <w:r w:rsidRPr="00B16795">
        <w:t>equals about 134 million intersex people globally</w:t>
      </w:r>
      <w:r>
        <w:t>, b</w:t>
      </w:r>
      <w:r w:rsidRPr="00B16795">
        <w:t xml:space="preserve">ased on the world population estimates of about 7.916.333.000 people in January 2022 as per </w:t>
      </w:r>
      <w:r>
        <w:t>&lt;</w:t>
      </w:r>
      <w:hyperlink r:id="rId3" w:history="1">
        <w:r w:rsidRPr="001D53E5">
          <w:rPr>
            <w:rStyle w:val="Hyperlink"/>
          </w:rPr>
          <w:t>https://worldpopulationprospects.info/</w:t>
        </w:r>
      </w:hyperlink>
      <w:r w:rsidRPr="00F149BF">
        <w:t>&gt;</w:t>
      </w:r>
      <w:r w:rsidRPr="00B16795">
        <w:t xml:space="preserve"> accessed 12.01.2022</w:t>
      </w:r>
      <w:r>
        <w:t>.</w:t>
      </w:r>
    </w:p>
  </w:footnote>
  <w:footnote w:id="2">
    <w:p w14:paraId="372164DF" w14:textId="28135ECC" w:rsidR="00907CFA" w:rsidRPr="00C75D8F" w:rsidRDefault="00907CFA">
      <w:pPr>
        <w:pStyle w:val="FootnoteText"/>
      </w:pPr>
      <w:bookmarkStart w:id="8" w:name="_Hlk92912461"/>
      <w:r>
        <w:rPr>
          <w:rStyle w:val="FootnoteReference"/>
        </w:rPr>
        <w:footnoteRef/>
      </w:r>
      <w:r>
        <w:t xml:space="preserve"> </w:t>
      </w:r>
      <w:r w:rsidRPr="00C75D8F">
        <w:t>European Union Agency for Fundamental Rights</w:t>
      </w:r>
      <w:r>
        <w:t xml:space="preserve">, </w:t>
      </w:r>
      <w:r w:rsidRPr="00C75D8F">
        <w:rPr>
          <w:i/>
        </w:rPr>
        <w:t>A long way to go for LGBTI equality</w:t>
      </w:r>
      <w:r>
        <w:t xml:space="preserve"> (14 May 2020),</w:t>
      </w:r>
      <w:r w:rsidRPr="00C75D8F">
        <w:t xml:space="preserve"> available at </w:t>
      </w:r>
      <w:r>
        <w:t>&lt;</w:t>
      </w:r>
      <w:hyperlink r:id="rId4" w:history="1">
        <w:r w:rsidRPr="001D53E5">
          <w:rPr>
            <w:rStyle w:val="Hyperlink"/>
          </w:rPr>
          <w:t>https://fra.europa.eu/en/publication/2020/eu-lgbti-survey-results</w:t>
        </w:r>
      </w:hyperlink>
      <w:bookmarkEnd w:id="8"/>
      <w:r w:rsidRPr="00F149BF">
        <w:t>&gt;</w:t>
      </w:r>
      <w:r w:rsidRPr="00C75D8F">
        <w:t>. All figures quoted from here on are the result of our own research through the Data Explorer, unless otherwise specified</w:t>
      </w:r>
      <w:r>
        <w:t>.</w:t>
      </w:r>
    </w:p>
  </w:footnote>
  <w:footnote w:id="3">
    <w:p w14:paraId="4AFA3220" w14:textId="0FBD4D5D" w:rsidR="00907CFA" w:rsidRPr="006E2248" w:rsidRDefault="00907CFA">
      <w:pPr>
        <w:pStyle w:val="FootnoteText"/>
      </w:pPr>
      <w:r>
        <w:rPr>
          <w:rStyle w:val="FootnoteReference"/>
        </w:rPr>
        <w:footnoteRef/>
      </w:r>
      <w:r>
        <w:t xml:space="preserve"> </w:t>
      </w:r>
      <w:r w:rsidRPr="006E2248">
        <w:t>See OII Europe infographic based on LGBTI Survey Data Explorer available at</w:t>
      </w:r>
      <w:r>
        <w:t xml:space="preserve"> &lt;</w:t>
      </w:r>
      <w:hyperlink r:id="rId5" w:history="1">
        <w:r w:rsidRPr="001D53E5">
          <w:rPr>
            <w:rStyle w:val="Hyperlink"/>
          </w:rPr>
          <w:t>https://oiieurope.org/physical-violence-and-harassment/</w:t>
        </w:r>
      </w:hyperlink>
      <w:r w:rsidRPr="00F149BF">
        <w:t>&gt;</w:t>
      </w:r>
      <w:r>
        <w:t>.</w:t>
      </w:r>
    </w:p>
  </w:footnote>
  <w:footnote w:id="4">
    <w:p w14:paraId="309B8A0F" w14:textId="6535579C" w:rsidR="00907CFA" w:rsidRPr="00942D00" w:rsidRDefault="00907CFA">
      <w:pPr>
        <w:pStyle w:val="FootnoteText"/>
      </w:pPr>
      <w:r>
        <w:rPr>
          <w:rStyle w:val="FootnoteReference"/>
        </w:rPr>
        <w:footnoteRef/>
      </w:r>
      <w:r>
        <w:t xml:space="preserve"> </w:t>
      </w:r>
      <w:r w:rsidRPr="00942D00">
        <w:t xml:space="preserve">See OII Europe infographic based on LGBTI Survey Data Explorer available at </w:t>
      </w:r>
      <w:r>
        <w:t>&lt;</w:t>
      </w:r>
      <w:hyperlink r:id="rId6" w:history="1">
        <w:r w:rsidRPr="001D53E5">
          <w:rPr>
            <w:rStyle w:val="Hyperlink"/>
          </w:rPr>
          <w:t>https://oiieurope.org/intersex-youth/</w:t>
        </w:r>
      </w:hyperlink>
      <w:r w:rsidRPr="00F149BF">
        <w:t>&gt;</w:t>
      </w:r>
      <w:r>
        <w:t>.</w:t>
      </w:r>
    </w:p>
  </w:footnote>
  <w:footnote w:id="5">
    <w:p w14:paraId="00847B84" w14:textId="1999CE11" w:rsidR="00907CFA" w:rsidRPr="008A6810" w:rsidRDefault="00907CFA">
      <w:pPr>
        <w:pStyle w:val="FootnoteText"/>
      </w:pPr>
      <w:r>
        <w:rPr>
          <w:rStyle w:val="FootnoteReference"/>
        </w:rPr>
        <w:footnoteRef/>
      </w:r>
      <w:r>
        <w:t xml:space="preserve"> </w:t>
      </w:r>
      <w:r w:rsidRPr="008A6810">
        <w:t>On the negative impact of hate crime on the victims and the community, also see Equality and Diversity Forum / Aziz Foundation</w:t>
      </w:r>
      <w:r>
        <w:t xml:space="preserve">, </w:t>
      </w:r>
      <w:r w:rsidRPr="008A6810">
        <w:rPr>
          <w:i/>
        </w:rPr>
        <w:t>Hate Crime: Cause and Effect. A research synthesis</w:t>
      </w:r>
      <w:r>
        <w:rPr>
          <w:i/>
        </w:rPr>
        <w:t xml:space="preserve"> </w:t>
      </w:r>
      <w:r w:rsidRPr="008A6810">
        <w:t>(</w:t>
      </w:r>
      <w:r>
        <w:t xml:space="preserve">October </w:t>
      </w:r>
      <w:r w:rsidRPr="008A6810">
        <w:t>2018),</w:t>
      </w:r>
      <w:r>
        <w:t xml:space="preserve"> 6, </w:t>
      </w:r>
      <w:r w:rsidRPr="008A6810">
        <w:t xml:space="preserve">available at </w:t>
      </w:r>
      <w:r>
        <w:t>&lt;</w:t>
      </w:r>
      <w:hyperlink r:id="rId7" w:history="1">
        <w:r w:rsidRPr="001D53E5">
          <w:rPr>
            <w:rStyle w:val="Hyperlink"/>
          </w:rPr>
          <w:t>https://www.equallyours.org.uk/wp-content/uploads/2018/10/Hate-crime-cause-and-effect.pdf</w:t>
        </w:r>
      </w:hyperlink>
      <w:r w:rsidRPr="00F149BF">
        <w:t>&gt;</w:t>
      </w:r>
      <w:r>
        <w:t xml:space="preserve">. </w:t>
      </w:r>
      <w:r w:rsidRPr="008A6810">
        <w:t>See also research referenced there</w:t>
      </w:r>
      <w:r>
        <w:t>.</w:t>
      </w:r>
    </w:p>
  </w:footnote>
  <w:footnote w:id="6">
    <w:p w14:paraId="36085BA1" w14:textId="2643031A" w:rsidR="00907CFA" w:rsidRPr="008A6810" w:rsidRDefault="00907CFA">
      <w:pPr>
        <w:pStyle w:val="FootnoteText"/>
      </w:pPr>
      <w:r>
        <w:rPr>
          <w:rStyle w:val="FootnoteReference"/>
        </w:rPr>
        <w:footnoteRef/>
      </w:r>
      <w:r>
        <w:t xml:space="preserve"> </w:t>
      </w:r>
      <w:r w:rsidRPr="00C55643">
        <w:t xml:space="preserve">See OII Europe infographic based on LGBTI Survey Data Explorer available at </w:t>
      </w:r>
      <w:r>
        <w:t>&lt;</w:t>
      </w:r>
      <w:hyperlink r:id="rId8" w:history="1">
        <w:r w:rsidRPr="001D53E5">
          <w:rPr>
            <w:rStyle w:val="Hyperlink"/>
          </w:rPr>
          <w:t>https://oiieurope.org/intersex-youth/</w:t>
        </w:r>
      </w:hyperlink>
      <w:r w:rsidRPr="00F149BF">
        <w:t>&gt;</w:t>
      </w:r>
      <w:r>
        <w:t>.</w:t>
      </w:r>
    </w:p>
  </w:footnote>
  <w:footnote w:id="7">
    <w:p w14:paraId="63B4F540" w14:textId="07039090" w:rsidR="00907CFA" w:rsidRPr="00F50BC2" w:rsidRDefault="00907CFA">
      <w:pPr>
        <w:pStyle w:val="FootnoteText"/>
      </w:pPr>
      <w:r>
        <w:rPr>
          <w:rStyle w:val="FootnoteReference"/>
        </w:rPr>
        <w:footnoteRef/>
      </w:r>
      <w:r>
        <w:t xml:space="preserve"> </w:t>
      </w:r>
      <w:r w:rsidRPr="00F50BC2">
        <w:t>W</w:t>
      </w:r>
      <w:r>
        <w:t>ith the addition of UK, North Macedonia and Serbia.</w:t>
      </w:r>
    </w:p>
  </w:footnote>
  <w:footnote w:id="8">
    <w:p w14:paraId="62F435AF" w14:textId="3D5BA65E" w:rsidR="00907CFA" w:rsidRPr="008C75C0" w:rsidRDefault="00907CFA">
      <w:pPr>
        <w:pStyle w:val="FootnoteText"/>
        <w:rPr>
          <w:lang w:val="en"/>
        </w:rPr>
      </w:pPr>
      <w:r>
        <w:rPr>
          <w:rStyle w:val="FootnoteReference"/>
        </w:rPr>
        <w:footnoteRef/>
      </w:r>
      <w:r>
        <w:t xml:space="preserve"> See OII Europe submission to the European Commission public consultation for its initiative on hate crime and hate speech: OII Europe, </w:t>
      </w:r>
      <w:r w:rsidRPr="008C75C0">
        <w:rPr>
          <w:i/>
          <w:iCs/>
          <w:lang w:val="en"/>
        </w:rPr>
        <w:t>Towards an extension of the list of EU crimes to hate speech and hate crime</w:t>
      </w:r>
      <w:r>
        <w:rPr>
          <w:lang w:val="en"/>
        </w:rPr>
        <w:t xml:space="preserve"> (20.04.2021), 11-14, 41-42 and Annexes I and II, available at &lt;</w:t>
      </w:r>
      <w:hyperlink r:id="rId9" w:history="1">
        <w:r w:rsidRPr="001D53E5">
          <w:rPr>
            <w:rStyle w:val="Hyperlink"/>
            <w:lang w:val="en"/>
          </w:rPr>
          <w:t>https://oiieurope.org/wp-content/uploads/2021/05/OII-Europe-Submission_Extension-Hate-Speech-and-Crime_FINAL.pdf</w:t>
        </w:r>
      </w:hyperlink>
      <w:r w:rsidRPr="00F149BF">
        <w:rPr>
          <w:lang w:val="en"/>
        </w:rPr>
        <w:t>&gt;</w:t>
      </w:r>
      <w:r>
        <w:rPr>
          <w:lang w:val="en"/>
        </w:rPr>
        <w:t xml:space="preserve">. </w:t>
      </w:r>
    </w:p>
  </w:footnote>
  <w:footnote w:id="9">
    <w:p w14:paraId="11AE6016" w14:textId="000A4AA8" w:rsidR="00907CFA" w:rsidRPr="00CF3C95" w:rsidRDefault="00907CFA">
      <w:pPr>
        <w:pStyle w:val="FootnoteText"/>
        <w:rPr>
          <w:i/>
          <w:iCs/>
        </w:rPr>
      </w:pPr>
      <w:r>
        <w:rPr>
          <w:rStyle w:val="FootnoteReference"/>
        </w:rPr>
        <w:footnoteRef/>
      </w:r>
      <w:r>
        <w:t xml:space="preserve"> </w:t>
      </w:r>
      <w:r>
        <w:rPr>
          <w:i/>
          <w:iCs/>
        </w:rPr>
        <w:t xml:space="preserve">Ibidem, </w:t>
      </w:r>
      <w:r w:rsidRPr="00997398">
        <w:t>14-15, 30-31</w:t>
      </w:r>
      <w:r>
        <w:t>.</w:t>
      </w:r>
    </w:p>
  </w:footnote>
  <w:footnote w:id="10">
    <w:p w14:paraId="2F39E605" w14:textId="25DEAEBA" w:rsidR="00907CFA" w:rsidRPr="00CF3C95" w:rsidRDefault="00907CFA">
      <w:pPr>
        <w:pStyle w:val="FootnoteText"/>
      </w:pPr>
      <w:r>
        <w:rPr>
          <w:rStyle w:val="FootnoteReference"/>
        </w:rPr>
        <w:footnoteRef/>
      </w:r>
      <w:r>
        <w:t xml:space="preserve"> </w:t>
      </w:r>
      <w:r>
        <w:rPr>
          <w:i/>
          <w:iCs/>
        </w:rPr>
        <w:t xml:space="preserve">Ibidem, </w:t>
      </w:r>
      <w:r>
        <w:t>38-40.</w:t>
      </w:r>
    </w:p>
  </w:footnote>
  <w:footnote w:id="11">
    <w:p w14:paraId="10E3A4BC" w14:textId="6AE1E90A" w:rsidR="00907CFA" w:rsidRPr="00CF3C95" w:rsidRDefault="00907CFA">
      <w:pPr>
        <w:pStyle w:val="FootnoteText"/>
      </w:pPr>
      <w:r>
        <w:rPr>
          <w:rStyle w:val="FootnoteReference"/>
        </w:rPr>
        <w:footnoteRef/>
      </w:r>
      <w:r>
        <w:t xml:space="preserve"> </w:t>
      </w:r>
      <w:r w:rsidRPr="00FD6BE7">
        <w:rPr>
          <w:i/>
          <w:iCs/>
        </w:rPr>
        <w:t xml:space="preserve">Ibidem, </w:t>
      </w:r>
      <w:r>
        <w:t>25-27.</w:t>
      </w:r>
    </w:p>
  </w:footnote>
  <w:footnote w:id="12">
    <w:p w14:paraId="7B900819" w14:textId="19948156" w:rsidR="00907CFA" w:rsidRPr="002B1430" w:rsidRDefault="00907CFA" w:rsidP="006B1FEE">
      <w:pPr>
        <w:pStyle w:val="FootnoteText"/>
      </w:pPr>
      <w:r>
        <w:rPr>
          <w:rStyle w:val="FootnoteReference"/>
        </w:rPr>
        <w:footnoteRef/>
      </w:r>
      <w:r>
        <w:t xml:space="preserve"> </w:t>
      </w:r>
      <w:r w:rsidRPr="006B1FEE">
        <w:t>OII Europe</w:t>
      </w:r>
      <w:r>
        <w:t>,</w:t>
      </w:r>
      <w:r w:rsidRPr="006B1FEE">
        <w:t xml:space="preserve"> </w:t>
      </w:r>
      <w:r w:rsidRPr="006B1FEE">
        <w:rPr>
          <w:i/>
          <w:iCs/>
        </w:rPr>
        <w:t xml:space="preserve">COVID-19. A report on the situation of intersex people in Europe and Central Asia. </w:t>
      </w:r>
      <w:r w:rsidRPr="006B1FEE">
        <w:t>Authored by Dan Christian Ghattas, with Irene Kuzemko. Questionnaire developed by Irene Kuzemko</w:t>
      </w:r>
      <w:r>
        <w:t xml:space="preserve"> (</w:t>
      </w:r>
      <w:r w:rsidRPr="006B1FEE">
        <w:t>Berlin</w:t>
      </w:r>
      <w:r>
        <w:t>, 2020), 34, a</w:t>
      </w:r>
      <w:r w:rsidRPr="006B1FEE">
        <w:t xml:space="preserve">vailable </w:t>
      </w:r>
      <w:r>
        <w:t>at</w:t>
      </w:r>
      <w:r w:rsidRPr="006B1FEE">
        <w:t xml:space="preserve"> </w:t>
      </w:r>
      <w:r>
        <w:t>&lt;</w:t>
      </w:r>
      <w:hyperlink r:id="rId10" w:history="1">
        <w:r w:rsidRPr="001D53E5">
          <w:rPr>
            <w:rStyle w:val="Hyperlink"/>
          </w:rPr>
          <w:t>https://www.oiieurope.org/covid-19-survey-report/</w:t>
        </w:r>
      </w:hyperlink>
      <w:r w:rsidRPr="00F149BF">
        <w:t>&gt;</w:t>
      </w:r>
      <w:r>
        <w:t xml:space="preserve">. </w:t>
      </w:r>
    </w:p>
  </w:footnote>
  <w:footnote w:id="13">
    <w:p w14:paraId="58C6F20C" w14:textId="20FB3892" w:rsidR="00907CFA" w:rsidRPr="00837C13" w:rsidRDefault="00907CFA">
      <w:pPr>
        <w:pStyle w:val="FootnoteText"/>
      </w:pPr>
      <w:r>
        <w:rPr>
          <w:rStyle w:val="FootnoteReference"/>
        </w:rPr>
        <w:footnoteRef/>
      </w:r>
      <w:r w:rsidRPr="00837C13">
        <w:t xml:space="preserve"> </w:t>
      </w:r>
      <w:r w:rsidRPr="00393034">
        <w:t>The Yogyakarta Principles + 10</w:t>
      </w:r>
      <w:r w:rsidRPr="00837C13">
        <w:t xml:space="preserve"> (Geneva, 10 November 2017</w:t>
      </w:r>
      <w:r>
        <w:t>), available at</w:t>
      </w:r>
      <w:r w:rsidRPr="00837C13">
        <w:t xml:space="preserve"> </w:t>
      </w:r>
      <w:r>
        <w:t>&lt;</w:t>
      </w:r>
      <w:hyperlink r:id="rId11" w:history="1">
        <w:r w:rsidRPr="001D53E5">
          <w:rPr>
            <w:rStyle w:val="Hyperlink"/>
          </w:rPr>
          <w:t>http://yogyakartaprinciples.org/wp-content/uploads/2017/11/A5_yogyakartaWEB-2.pdf</w:t>
        </w:r>
      </w:hyperlink>
      <w:r w:rsidRPr="00F149BF">
        <w:t>&gt;</w:t>
      </w:r>
      <w:r>
        <w:t xml:space="preserve">. </w:t>
      </w:r>
    </w:p>
  </w:footnote>
  <w:footnote w:id="14">
    <w:p w14:paraId="353291DE" w14:textId="4F9EC79F" w:rsidR="00907CFA" w:rsidRPr="00CF3C95" w:rsidRDefault="00907CFA" w:rsidP="0010744D">
      <w:pPr>
        <w:pStyle w:val="FootnoteText"/>
      </w:pPr>
      <w:r>
        <w:rPr>
          <w:rStyle w:val="FootnoteReference"/>
        </w:rPr>
        <w:footnoteRef/>
      </w:r>
      <w:r w:rsidRPr="0010744D">
        <w:t xml:space="preserve"> Recommendation CM/Rec(2010)5</w:t>
      </w:r>
      <w:r>
        <w:t xml:space="preserve"> </w:t>
      </w:r>
      <w:r w:rsidRPr="0010744D">
        <w:t>of the Committee of Ministers to member states</w:t>
      </w:r>
      <w:r>
        <w:t xml:space="preserve"> </w:t>
      </w:r>
      <w:r w:rsidRPr="0010744D">
        <w:t>on measures to combat discrimination on grounds of sexual orientation or gender identity</w:t>
      </w:r>
      <w:r>
        <w:t xml:space="preserve"> (31 March 2010), available at &lt;</w:t>
      </w:r>
      <w:hyperlink r:id="rId12" w:history="1">
        <w:r w:rsidRPr="001D53E5">
          <w:rPr>
            <w:rStyle w:val="Hyperlink"/>
          </w:rPr>
          <w:t>https://search.coe.int/cm/Pages/result_details.aspx?ObjectID=09000016805cf40a</w:t>
        </w:r>
      </w:hyperlink>
      <w:r w:rsidRPr="00F149BF">
        <w:t>&gt;</w:t>
      </w:r>
      <w:r>
        <w:t xml:space="preserve">. </w:t>
      </w:r>
      <w:r w:rsidRPr="00CF3C95">
        <w:t>Unfortunately, it fails to include sex characteristics.</w:t>
      </w:r>
    </w:p>
  </w:footnote>
  <w:footnote w:id="15">
    <w:p w14:paraId="207F085F" w14:textId="754C9A30" w:rsidR="00907CFA" w:rsidRPr="00C91E29" w:rsidRDefault="00907CFA">
      <w:pPr>
        <w:pStyle w:val="FootnoteText"/>
      </w:pPr>
      <w:r>
        <w:rPr>
          <w:rStyle w:val="FootnoteReference"/>
        </w:rPr>
        <w:footnoteRef/>
      </w:r>
      <w:r w:rsidRPr="00C91E29">
        <w:t xml:space="preserve"> European Commission against Racism and Intolerance (ECRI)</w:t>
      </w:r>
      <w:r>
        <w:t xml:space="preserve">, </w:t>
      </w:r>
      <w:r w:rsidRPr="00C91E29">
        <w:rPr>
          <w:i/>
          <w:iCs/>
        </w:rPr>
        <w:t>ECRI General Policy Recommendations for Combatting Hate Speech</w:t>
      </w:r>
      <w:r>
        <w:t xml:space="preserve"> (8 December 2015), recommendation n. 10, available at </w:t>
      </w:r>
      <w:r w:rsidR="00311AC3">
        <w:t>&lt;</w:t>
      </w:r>
      <w:hyperlink r:id="rId13" w:history="1">
        <w:r w:rsidR="00311AC3" w:rsidRPr="00035C3D">
          <w:rPr>
            <w:rStyle w:val="Hyperlink"/>
          </w:rPr>
          <w:t>https://rm.coe.int/ecri-general-policy-recommendation-no-15-on-combating-hate-speech/16808b5b01</w:t>
        </w:r>
      </w:hyperlink>
      <w:r w:rsidR="00311AC3" w:rsidRPr="00F149BF">
        <w:t>&gt;</w:t>
      </w:r>
      <w:r>
        <w:t xml:space="preserve">  </w:t>
      </w:r>
    </w:p>
  </w:footnote>
  <w:footnote w:id="16">
    <w:p w14:paraId="4B9A0A8E" w14:textId="77777777" w:rsidR="00907CFA" w:rsidRPr="00755CBD" w:rsidRDefault="00907CFA" w:rsidP="00BE02E5">
      <w:pPr>
        <w:pStyle w:val="FootnoteText"/>
      </w:pPr>
      <w:r>
        <w:rPr>
          <w:rStyle w:val="FootnoteReference"/>
        </w:rPr>
        <w:footnoteRef/>
      </w:r>
      <w:r w:rsidRPr="00755CBD">
        <w:t xml:space="preserve"> See </w:t>
      </w:r>
      <w:r>
        <w:t>&lt;</w:t>
      </w:r>
      <w:hyperlink r:id="rId14" w:history="1">
        <w:r w:rsidRPr="001D53E5">
          <w:rPr>
            <w:rStyle w:val="Hyperlink"/>
          </w:rPr>
          <w:t>https://ec.europa.eu/info/law/better-regulation/have-your-say/initiatives/12872-Hate-speech-&amp;-hate-crime-inclusion-on-list-of-EU-crimes_en</w:t>
        </w:r>
      </w:hyperlink>
      <w:r w:rsidRPr="007B2B09">
        <w:t>&gt;.</w:t>
      </w:r>
      <w:r w:rsidRPr="00755CBD">
        <w:t xml:space="preserve"> </w:t>
      </w:r>
    </w:p>
  </w:footnote>
  <w:footnote w:id="17">
    <w:p w14:paraId="6F93C632" w14:textId="77777777" w:rsidR="00907CFA" w:rsidRPr="00755CBD" w:rsidRDefault="00907CFA" w:rsidP="00BE02E5">
      <w:pPr>
        <w:pStyle w:val="FootnoteText"/>
      </w:pPr>
      <w:r>
        <w:rPr>
          <w:rStyle w:val="FootnoteReference"/>
        </w:rPr>
        <w:footnoteRef/>
      </w:r>
      <w:r>
        <w:t xml:space="preserve"> </w:t>
      </w:r>
      <w:r w:rsidRPr="00755CBD">
        <w:t xml:space="preserve">European Commission, </w:t>
      </w:r>
      <w:r w:rsidRPr="00755CBD">
        <w:rPr>
          <w:i/>
          <w:iCs/>
        </w:rPr>
        <w:t>Union of Equality: LGBTIQ Equality Strategy 2020-2025</w:t>
      </w:r>
      <w:r>
        <w:rPr>
          <w:i/>
          <w:iCs/>
        </w:rPr>
        <w:t xml:space="preserve"> </w:t>
      </w:r>
      <w:r w:rsidRPr="00755CBD">
        <w:t xml:space="preserve">(Brussels, 12.11.2020), available at </w:t>
      </w:r>
      <w:r>
        <w:t>&lt;</w:t>
      </w:r>
      <w:hyperlink r:id="rId15" w:history="1">
        <w:r w:rsidRPr="001D53E5">
          <w:rPr>
            <w:rStyle w:val="Hyperlink"/>
          </w:rPr>
          <w:t>https://eur-lex.europa.eu/legal-content/EN/TXT/?uri=CELEX:52020DC0698</w:t>
        </w:r>
      </w:hyperlink>
      <w:r w:rsidRPr="007B2B09">
        <w:t>&gt;.</w:t>
      </w:r>
      <w:r>
        <w:rPr>
          <w:i/>
          <w:iCs/>
        </w:rPr>
        <w:t xml:space="preserve"> </w:t>
      </w:r>
    </w:p>
  </w:footnote>
  <w:footnote w:id="18">
    <w:p w14:paraId="47705936" w14:textId="195CF23C" w:rsidR="00907CFA" w:rsidRPr="00FD72B1" w:rsidRDefault="00907CFA" w:rsidP="00FD72B1">
      <w:pPr>
        <w:rPr>
          <w:lang w:val="fr-FR"/>
        </w:rPr>
      </w:pPr>
      <w:r w:rsidRPr="00FD72B1">
        <w:rPr>
          <w:vertAlign w:val="superscript"/>
        </w:rPr>
        <w:footnoteRef/>
      </w:r>
      <w:r w:rsidRPr="00FD72B1">
        <w:rPr>
          <w:lang w:val="fr-FR"/>
        </w:rPr>
        <w:t xml:space="preserve"> Malta: Gender Identity, Gender Expression and Sex Characteristics Act, 2015, Article 11(1-2) &lt;</w:t>
      </w:r>
      <w:hyperlink r:id="rId16">
        <w:r w:rsidRPr="00FD72B1">
          <w:rPr>
            <w:color w:val="1155CC"/>
            <w:u w:val="single"/>
            <w:lang w:val="fr-FR"/>
          </w:rPr>
          <w:t>https://legislation.mt/eli/cap/540/eng/pdf</w:t>
        </w:r>
      </w:hyperlink>
      <w:r w:rsidRPr="00FD72B1">
        <w:rPr>
          <w:lang w:val="fr-FR"/>
        </w:rPr>
        <w:t>&gt;; Greece, Criminal Code, Articles 81A and 361B &lt;</w:t>
      </w:r>
      <w:hyperlink r:id="rId17">
        <w:r w:rsidRPr="00FD72B1">
          <w:rPr>
            <w:color w:val="1155CC"/>
            <w:u w:val="single"/>
            <w:lang w:val="fr-FR"/>
          </w:rPr>
          <w:t>https://www.kodiko.gr/nomothesia/document/140974/nomos-4356-2015</w:t>
        </w:r>
      </w:hyperlink>
      <w:r w:rsidRPr="00FD72B1">
        <w:rPr>
          <w:lang w:val="fr-FR"/>
        </w:rPr>
        <w:t>&gt;; Belgium: 10 MAI 2007. - Loi tendant à lutter contre la discrimination entre les femmes et les hommes, amended by 4 FEVRIER 2020. - Loi modifiant la loi du 10 mai 2007 modifiant, en ce qui concerne l'interdiction de discrimination relative à la paternité ou à la comaternité, la loi du 10 mai 2007 tendant à lutter contre la discrimination entre les femmes et les hommes, Articles 4,28,28/1,28/2,29 &lt;</w:t>
      </w:r>
      <w:hyperlink r:id="rId18">
        <w:r w:rsidRPr="00FD72B1">
          <w:rPr>
            <w:color w:val="1155CC"/>
            <w:u w:val="single"/>
            <w:lang w:val="fr-FR"/>
          </w:rPr>
          <w:t>http://www.ejustice.just.fgov.be/cgi_loi/change_lg_2.pl?language=</w:t>
        </w:r>
      </w:hyperlink>
      <w:hyperlink r:id="rId19">
        <w:r w:rsidRPr="00FD72B1">
          <w:rPr>
            <w:color w:val="1155CC"/>
            <w:u w:val="single"/>
            <w:lang w:val="fr-FR"/>
          </w:rPr>
          <w:t>fr&amp;nm</w:t>
        </w:r>
      </w:hyperlink>
      <w:hyperlink r:id="rId20">
        <w:r w:rsidRPr="00FD72B1">
          <w:rPr>
            <w:color w:val="1155CC"/>
            <w:u w:val="single"/>
            <w:lang w:val="fr-FR"/>
          </w:rPr>
          <w:t>=2007002098&amp;la=F</w:t>
        </w:r>
      </w:hyperlink>
      <w:r w:rsidRPr="00FD72B1">
        <w:rPr>
          <w:lang w:val="fr-FR"/>
        </w:rPr>
        <w:t>&gt;</w:t>
      </w:r>
      <w:r>
        <w:rPr>
          <w:lang w:val="fr-FR"/>
        </w:rPr>
        <w:t>.</w:t>
      </w:r>
      <w:r w:rsidRPr="00FD72B1">
        <w:rPr>
          <w:lang w:val="fr-FR"/>
        </w:rPr>
        <w:t xml:space="preserve">  </w:t>
      </w:r>
    </w:p>
  </w:footnote>
  <w:footnote w:id="19">
    <w:p w14:paraId="3C1B3CB7" w14:textId="37DAE86A" w:rsidR="00907CFA" w:rsidRPr="00316B0F" w:rsidRDefault="00907CFA" w:rsidP="00FD72B1">
      <w:pPr>
        <w:rPr>
          <w:rFonts w:asciiTheme="minorHAnsi" w:hAnsiTheme="minorHAnsi" w:cstheme="minorHAnsi"/>
          <w:sz w:val="18"/>
          <w:szCs w:val="18"/>
          <w:lang w:val="fr-FR"/>
        </w:rPr>
      </w:pPr>
      <w:r w:rsidRPr="00FD72B1">
        <w:rPr>
          <w:vertAlign w:val="superscript"/>
        </w:rPr>
        <w:footnoteRef/>
      </w:r>
      <w:r w:rsidRPr="00FD72B1">
        <w:t xml:space="preserve"> Greece: Law 927/1979, as amended by article 7 of Law 4491/2017. </w:t>
      </w:r>
      <w:r w:rsidRPr="00FD72B1">
        <w:rPr>
          <w:lang w:val="fr-FR"/>
        </w:rPr>
        <w:t>Article 1</w:t>
      </w:r>
      <w:r>
        <w:rPr>
          <w:lang w:val="fr-FR"/>
        </w:rPr>
        <w:t xml:space="preserve"> &lt;</w:t>
      </w:r>
      <w:hyperlink r:id="rId21" w:history="1">
        <w:r w:rsidRPr="001D53E5">
          <w:rPr>
            <w:rStyle w:val="Hyperlink"/>
            <w:lang w:val="fr-FR"/>
          </w:rPr>
          <w:t>https://www.kodiko.gr/nomothesia/document/307515/nomos-927-1979</w:t>
        </w:r>
      </w:hyperlink>
      <w:r w:rsidRPr="007F056C">
        <w:rPr>
          <w:lang w:val="fr-FR"/>
        </w:rPr>
        <w:t>&gt;</w:t>
      </w:r>
      <w:r w:rsidRPr="00FD72B1">
        <w:rPr>
          <w:lang w:val="fr-FR"/>
        </w:rPr>
        <w:t>; Belgium: 10 MAI 2007. - Loi tendant à lutter contre la discrimination entre les femmes et les hommes, amended by 4 FEVRIER 2020. - Loi modifiant la loi du 10 mai 2007 modifiant, en ce qui concerne l'interdiction de discrimination relative à la paternité ou à la comaternité, la loi du 10 mai 2007 tendant à lutter contre la discrimination entre les femmes et les hommes, Articles 4,27 &lt;</w:t>
      </w:r>
      <w:hyperlink r:id="rId22">
        <w:r w:rsidRPr="00FD72B1">
          <w:rPr>
            <w:color w:val="1155CC"/>
            <w:u w:val="single"/>
            <w:lang w:val="fr-FR"/>
          </w:rPr>
          <w:t>http://www.ejustice.just.fgov.be/cgi_loi/change_lg_2.pl?language=fr&amp;nm=2007002098&amp;la=F</w:t>
        </w:r>
      </w:hyperlink>
      <w:bookmarkStart w:id="9" w:name="_Hlk93272399"/>
      <w:r w:rsidRPr="00FD72B1">
        <w:rPr>
          <w:lang w:val="fr-FR"/>
        </w:rPr>
        <w:t>&gt;</w:t>
      </w:r>
      <w:bookmarkEnd w:id="9"/>
      <w:r>
        <w:rPr>
          <w:lang w:val="fr-FR"/>
        </w:rPr>
        <w:t>.</w:t>
      </w:r>
      <w:r w:rsidRPr="00316B0F">
        <w:rPr>
          <w:rFonts w:asciiTheme="minorHAnsi" w:hAnsiTheme="minorHAnsi" w:cstheme="minorHAnsi"/>
          <w:sz w:val="18"/>
          <w:szCs w:val="18"/>
          <w:lang w:val="fr-FR"/>
        </w:rPr>
        <w:t xml:space="preserve"> </w:t>
      </w:r>
    </w:p>
  </w:footnote>
  <w:footnote w:id="20">
    <w:p w14:paraId="6A091389" w14:textId="4CA3096D" w:rsidR="00907CFA" w:rsidRPr="00EF57D8" w:rsidRDefault="00907CFA">
      <w:pPr>
        <w:pStyle w:val="FootnoteText"/>
      </w:pPr>
      <w:r>
        <w:rPr>
          <w:rStyle w:val="FootnoteReference"/>
        </w:rPr>
        <w:footnoteRef/>
      </w:r>
      <w:r>
        <w:t xml:space="preserve"> </w:t>
      </w:r>
      <w:r w:rsidRPr="00230606">
        <w:t xml:space="preserve">European Union Agency for Fundamental Rights, </w:t>
      </w:r>
      <w:r w:rsidRPr="00230606">
        <w:rPr>
          <w:i/>
        </w:rPr>
        <w:t>A long way to go for LGBTI equality</w:t>
      </w:r>
      <w:r w:rsidRPr="00230606">
        <w:t xml:space="preserve"> (</w:t>
      </w:r>
      <w:r w:rsidRPr="000C0264">
        <w:t>Luxembourg: Publications Office of the European Union, 2020</w:t>
      </w:r>
      <w:r w:rsidRPr="00230606">
        <w:t xml:space="preserve">), </w:t>
      </w:r>
      <w:r>
        <w:t xml:space="preserve">47, </w:t>
      </w:r>
      <w:r w:rsidRPr="00230606">
        <w:t xml:space="preserve">available at </w:t>
      </w:r>
      <w:r>
        <w:t>&lt;</w:t>
      </w:r>
      <w:hyperlink r:id="rId23" w:history="1">
        <w:r w:rsidRPr="001D53E5">
          <w:rPr>
            <w:rStyle w:val="Hyperlink"/>
          </w:rPr>
          <w:t>https://fra.europa.eu/sites/default/files/fra_uploads/fra-2020-lgbti-equality-1_en.pdf</w:t>
        </w:r>
      </w:hyperlink>
      <w:r w:rsidRPr="007B2B09">
        <w:t>&gt;</w:t>
      </w:r>
      <w:r>
        <w:t>.</w:t>
      </w:r>
    </w:p>
  </w:footnote>
  <w:footnote w:id="21">
    <w:p w14:paraId="03CB9E6B" w14:textId="25AD7FE7" w:rsidR="00907CFA" w:rsidRPr="00EF57D8" w:rsidRDefault="00907CFA">
      <w:pPr>
        <w:pStyle w:val="FootnoteText"/>
        <w:rPr>
          <w:i/>
          <w:iCs/>
        </w:rPr>
      </w:pPr>
      <w:r>
        <w:rPr>
          <w:rStyle w:val="FootnoteReference"/>
        </w:rPr>
        <w:footnoteRef/>
      </w:r>
      <w:r>
        <w:t xml:space="preserve"> </w:t>
      </w:r>
      <w:r>
        <w:rPr>
          <w:i/>
          <w:iCs/>
        </w:rPr>
        <w:t>Ibidem.</w:t>
      </w:r>
    </w:p>
  </w:footnote>
  <w:footnote w:id="22">
    <w:p w14:paraId="2F47AD9B" w14:textId="3FD98495" w:rsidR="00907CFA" w:rsidRPr="0095763D" w:rsidRDefault="00907CFA">
      <w:pPr>
        <w:pStyle w:val="FootnoteText"/>
      </w:pPr>
      <w:r>
        <w:rPr>
          <w:rStyle w:val="FootnoteReference"/>
        </w:rPr>
        <w:footnoteRef/>
      </w:r>
      <w:r>
        <w:t xml:space="preserve"> </w:t>
      </w:r>
      <w:r w:rsidRPr="0095763D">
        <w:t xml:space="preserve">Dan Christian Ghattas, </w:t>
      </w:r>
      <w:r w:rsidRPr="0095763D">
        <w:rPr>
          <w:i/>
        </w:rPr>
        <w:t>Protecting Intersex people in Europe. A toolkit for law and policy makers. With digital Appendix and Checklist</w:t>
      </w:r>
      <w:r w:rsidRPr="0095763D">
        <w:t xml:space="preserve"> (ILGA-Europe and OII Europe, 2019), </w:t>
      </w:r>
      <w:r>
        <w:t>11</w:t>
      </w:r>
      <w:r w:rsidRPr="0095763D">
        <w:t xml:space="preserve">, available at </w:t>
      </w:r>
      <w:r>
        <w:t>&lt;</w:t>
      </w:r>
      <w:hyperlink r:id="rId24" w:history="1">
        <w:r w:rsidRPr="001D53E5">
          <w:rPr>
            <w:rStyle w:val="Hyperlink"/>
          </w:rPr>
          <w:t>https://oiieurope.org/library-en/toolkit-cat/legal-toolkit/</w:t>
        </w:r>
      </w:hyperlink>
      <w:r w:rsidRPr="007B2B09">
        <w:t>&gt;</w:t>
      </w:r>
      <w:r>
        <w:t>.</w:t>
      </w:r>
    </w:p>
  </w:footnote>
  <w:footnote w:id="23">
    <w:p w14:paraId="12E83552" w14:textId="6523D79B" w:rsidR="00907CFA" w:rsidRPr="00B11F39" w:rsidRDefault="00907CFA">
      <w:pPr>
        <w:pStyle w:val="FootnoteText"/>
      </w:pPr>
      <w:r>
        <w:rPr>
          <w:rStyle w:val="FootnoteReference"/>
        </w:rPr>
        <w:footnoteRef/>
      </w:r>
      <w:r>
        <w:t xml:space="preserve"> See: </w:t>
      </w:r>
      <w:r w:rsidRPr="002B275A">
        <w:t>Universal Declaration of Human Rights</w:t>
      </w:r>
      <w:r>
        <w:t xml:space="preserve">, articles 1, 2, 5, 6, 7, 12; </w:t>
      </w:r>
      <w:r w:rsidRPr="002B275A">
        <w:t>International Covenant on Civil and Political Rights</w:t>
      </w:r>
      <w:r>
        <w:t>, articles 2, 7, 16, 24, 26;</w:t>
      </w:r>
      <w:r w:rsidRPr="002B275A">
        <w:t xml:space="preserve"> </w:t>
      </w:r>
      <w:r w:rsidRPr="009F7C50">
        <w:t>Convention on the Rights of the Child</w:t>
      </w:r>
      <w:r>
        <w:t xml:space="preserve">, articles 3, 6, 8, 12, 16, 19, 24, 37; </w:t>
      </w:r>
      <w:r w:rsidRPr="00B814E5">
        <w:t>International Covenant on Economic, Social and Cultural Rights</w:t>
      </w:r>
      <w:r>
        <w:t xml:space="preserve">, article 12; </w:t>
      </w:r>
      <w:r w:rsidRPr="009F7C50">
        <w:t>Convention against Torture and Other Cruel, Inhuman or Degrading Treatment or Punishment</w:t>
      </w:r>
      <w:r>
        <w:t xml:space="preserve">, articles 1, 2, 4, 10, 14, 16; </w:t>
      </w:r>
      <w:r w:rsidRPr="002B275A">
        <w:t>Convention on the Elimination of All Forms of Discrimination against Women</w:t>
      </w:r>
      <w:r>
        <w:t>, article 5</w:t>
      </w:r>
    </w:p>
  </w:footnote>
  <w:footnote w:id="24">
    <w:p w14:paraId="76C8A96D" w14:textId="02E8972B" w:rsidR="00907CFA" w:rsidRPr="00C670DE" w:rsidRDefault="00907CFA" w:rsidP="00C670DE">
      <w:pPr>
        <w:pStyle w:val="FootnoteText"/>
        <w:rPr>
          <w:lang w:val="en"/>
        </w:rPr>
      </w:pPr>
      <w:r>
        <w:rPr>
          <w:rStyle w:val="FootnoteReference"/>
        </w:rPr>
        <w:footnoteRef/>
      </w:r>
      <w:r>
        <w:rPr>
          <w:lang w:val="en"/>
        </w:rPr>
        <w:t xml:space="preserve"> The Office of the High Commissioner for Human Rights</w:t>
      </w:r>
      <w:r w:rsidRPr="00556920">
        <w:rPr>
          <w:i/>
          <w:iCs/>
          <w:lang w:val="en"/>
        </w:rPr>
        <w:t>, Background Note on Human Rights Violations against Intersex People</w:t>
      </w:r>
      <w:r>
        <w:rPr>
          <w:lang w:val="en"/>
        </w:rPr>
        <w:t>, 8, available at</w:t>
      </w:r>
    </w:p>
    <w:p w14:paraId="04ABC07B" w14:textId="0A1D625D" w:rsidR="00907CFA" w:rsidRPr="00C670DE" w:rsidRDefault="00907CFA">
      <w:pPr>
        <w:pStyle w:val="FootnoteText"/>
        <w:rPr>
          <w:lang w:val="en"/>
        </w:rPr>
      </w:pPr>
      <w:r>
        <w:t>&lt;</w:t>
      </w:r>
      <w:hyperlink r:id="rId25" w:history="1">
        <w:r w:rsidRPr="001D53E5">
          <w:rPr>
            <w:rStyle w:val="Hyperlink"/>
          </w:rPr>
          <w:t>https://www.ohchr.org/EN/Issues/Discrimination/Pages/BackgroundViolationsIntersexPeople.aspx</w:t>
        </w:r>
      </w:hyperlink>
      <w:r w:rsidRPr="007B2B09">
        <w:t>&gt;</w:t>
      </w:r>
      <w:r>
        <w:t>. See also OII Europe’s Resource List – which includes all the intersex specific recommendations – at &lt;</w:t>
      </w:r>
      <w:hyperlink r:id="rId26" w:history="1">
        <w:r w:rsidRPr="001D53E5">
          <w:rPr>
            <w:rStyle w:val="Hyperlink"/>
          </w:rPr>
          <w:t>https://oiieurope.org/international-intersex-human-rights-movement-resource-list/</w:t>
        </w:r>
      </w:hyperlink>
      <w:r w:rsidRPr="007B2B09">
        <w:t>&gt;</w:t>
      </w:r>
      <w:r>
        <w:t xml:space="preserve">. For selected citations of recommendations of the UN CRC pertaining IGM and other intersex human rights issues, see OII Europe, </w:t>
      </w:r>
      <w:r w:rsidRPr="00CC4AFE">
        <w:rPr>
          <w:i/>
          <w:iCs/>
        </w:rPr>
        <w:t>Intersex children and the violation of their right to privacy</w:t>
      </w:r>
      <w:r>
        <w:rPr>
          <w:i/>
          <w:iCs/>
        </w:rPr>
        <w:t>.</w:t>
      </w:r>
      <w:r w:rsidRPr="00CC4AFE">
        <w:rPr>
          <w:i/>
          <w:iCs/>
        </w:rPr>
        <w:t xml:space="preserve"> OII Europe submission to the UN Special Rapporteur on the Right to Privacy</w:t>
      </w:r>
      <w:r w:rsidRPr="00CC4AFE">
        <w:t xml:space="preserve"> </w:t>
      </w:r>
      <w:r>
        <w:t>(</w:t>
      </w:r>
      <w:r w:rsidRPr="00CC4AFE">
        <w:t>30.9.2020</w:t>
      </w:r>
      <w:r>
        <w:t>), available at &lt;</w:t>
      </w:r>
      <w:hyperlink r:id="rId27" w:history="1">
        <w:r w:rsidRPr="001D53E5">
          <w:rPr>
            <w:rStyle w:val="Hyperlink"/>
          </w:rPr>
          <w:t>https://oiieurope.org/wp-content/uploads/2020/12/2020_UN-SR-Right-to-Privacy-Submission_OII-Europe_FINAL-public.pdf</w:t>
        </w:r>
      </w:hyperlink>
      <w:r w:rsidRPr="007B2B09">
        <w:t>&gt;</w:t>
      </w:r>
      <w:r>
        <w:t xml:space="preserve">. </w:t>
      </w:r>
    </w:p>
  </w:footnote>
  <w:footnote w:id="25">
    <w:p w14:paraId="75764819" w14:textId="35CD0D51" w:rsidR="00907CFA" w:rsidRPr="00CC4AFE" w:rsidRDefault="00907CFA">
      <w:pPr>
        <w:pStyle w:val="FootnoteText"/>
      </w:pPr>
      <w:r>
        <w:rPr>
          <w:rStyle w:val="FootnoteReference"/>
        </w:rPr>
        <w:footnoteRef/>
      </w:r>
      <w:r>
        <w:t xml:space="preserve"> </w:t>
      </w:r>
      <w:r w:rsidRPr="00CC4AFE">
        <w:t>United Nations General Assembly</w:t>
      </w:r>
      <w:r>
        <w:t>,</w:t>
      </w:r>
      <w:r w:rsidRPr="00CC4AFE">
        <w:t xml:space="preserve"> Report of the Special Rapporteur on the right of everyone to the enjoyment of the highest attainable standard of physical and mental health (A/70/213)</w:t>
      </w:r>
      <w:r>
        <w:t>, para. 85, available at</w:t>
      </w:r>
      <w:r w:rsidRPr="00CC4AFE">
        <w:t xml:space="preserve"> </w:t>
      </w:r>
      <w:r>
        <w:t>&lt;</w:t>
      </w:r>
      <w:hyperlink r:id="rId28" w:history="1">
        <w:r w:rsidRPr="001D53E5">
          <w:rPr>
            <w:rStyle w:val="Hyperlink"/>
          </w:rPr>
          <w:t>http://www.un.org/en/ga/search/view_doc.asp?symbol=A/70/213</w:t>
        </w:r>
      </w:hyperlink>
      <w:r w:rsidRPr="00D97CD5">
        <w:t>&gt;</w:t>
      </w:r>
      <w:r>
        <w:t xml:space="preserve">. </w:t>
      </w:r>
    </w:p>
  </w:footnote>
  <w:footnote w:id="26">
    <w:p w14:paraId="3F8995E5" w14:textId="6DA0421B" w:rsidR="00907CFA" w:rsidRPr="00466B9A" w:rsidRDefault="00907CFA">
      <w:pPr>
        <w:pStyle w:val="FootnoteText"/>
      </w:pPr>
      <w:r>
        <w:rPr>
          <w:rStyle w:val="FootnoteReference"/>
        </w:rPr>
        <w:footnoteRef/>
      </w:r>
      <w:r>
        <w:t xml:space="preserve"> </w:t>
      </w:r>
      <w:r w:rsidRPr="00466B9A">
        <w:rPr>
          <w:i/>
          <w:iCs/>
        </w:rPr>
        <w:t>Ibidem</w:t>
      </w:r>
      <w:r w:rsidRPr="00466B9A">
        <w:t>, para. 86. See also para.</w:t>
      </w:r>
      <w:r>
        <w:t xml:space="preserve"> 112.</w:t>
      </w:r>
    </w:p>
  </w:footnote>
  <w:footnote w:id="27">
    <w:p w14:paraId="0BEC3C30" w14:textId="4777F5E9" w:rsidR="00907CFA" w:rsidRPr="00E86395" w:rsidRDefault="00907CFA" w:rsidP="002F270A">
      <w:pPr>
        <w:pStyle w:val="FootnoteText"/>
      </w:pPr>
      <w:r>
        <w:rPr>
          <w:rStyle w:val="FootnoteReference"/>
        </w:rPr>
        <w:footnoteRef/>
      </w:r>
      <w:r>
        <w:t xml:space="preserve"> See Kavot Zillén, Jameson Garland and Santa Slokenberga, </w:t>
      </w:r>
      <w:r w:rsidRPr="003E7374">
        <w:rPr>
          <w:i/>
          <w:iCs/>
        </w:rPr>
        <w:t>The Rights of Children in Biomedicine: Challenges posed by scientific advances and uncertainties</w:t>
      </w:r>
      <w:r>
        <w:t xml:space="preserve">, </w:t>
      </w:r>
      <w:r w:rsidRPr="002F270A">
        <w:t>Commissioned by the Committee on Bioethics for the</w:t>
      </w:r>
      <w:r>
        <w:t xml:space="preserve"> </w:t>
      </w:r>
      <w:r w:rsidRPr="002F270A">
        <w:t xml:space="preserve">Council of Europe </w:t>
      </w:r>
      <w:r>
        <w:t>(</w:t>
      </w:r>
      <w:r w:rsidRPr="002F270A">
        <w:t>January 2017</w:t>
      </w:r>
      <w:r>
        <w:t>), 43, available at &lt;</w:t>
      </w:r>
      <w:hyperlink r:id="rId29" w:history="1">
        <w:r w:rsidRPr="001D53E5">
          <w:rPr>
            <w:rStyle w:val="Hyperlink"/>
          </w:rPr>
          <w:t>https://rm.coe.int/16806d8e2f</w:t>
        </w:r>
      </w:hyperlink>
      <w:r>
        <w:t>&gt;.</w:t>
      </w:r>
    </w:p>
  </w:footnote>
  <w:footnote w:id="28">
    <w:p w14:paraId="1189E616" w14:textId="7DB43F25" w:rsidR="00907CFA" w:rsidRPr="00A1726B" w:rsidRDefault="00907CFA" w:rsidP="00407AEE">
      <w:pPr>
        <w:pStyle w:val="FootnoteText"/>
        <w:rPr>
          <w:highlight w:val="yellow"/>
        </w:rPr>
      </w:pPr>
      <w:r>
        <w:rPr>
          <w:rStyle w:val="FootnoteReference"/>
        </w:rPr>
        <w:footnoteRef/>
      </w:r>
      <w:r>
        <w:t xml:space="preserve"> See: </w:t>
      </w:r>
      <w:r w:rsidRPr="00E27A3E">
        <w:t>Surya Monro, Daniela Crocetti, Tracey Yeadon-Lee, Fae Garland</w:t>
      </w:r>
      <w:r>
        <w:t xml:space="preserve"> and </w:t>
      </w:r>
      <w:r w:rsidRPr="00E27A3E">
        <w:t>Mitch Travis</w:t>
      </w:r>
      <w:r>
        <w:t xml:space="preserve">, </w:t>
      </w:r>
      <w:r w:rsidRPr="00E27A3E">
        <w:rPr>
          <w:i/>
          <w:iCs/>
        </w:rPr>
        <w:t>Intersex, Variations of Sex Characteristics, and DSD: The Need for Change</w:t>
      </w:r>
      <w:r>
        <w:t xml:space="preserve">. </w:t>
      </w:r>
      <w:r w:rsidRPr="00E27A3E">
        <w:t>Research Report. University of Huddersfield</w:t>
      </w:r>
      <w:r>
        <w:t xml:space="preserve"> (2017), available at &lt;</w:t>
      </w:r>
      <w:hyperlink r:id="rId30" w:history="1">
        <w:r w:rsidRPr="001D53E5">
          <w:rPr>
            <w:rStyle w:val="Hyperlink"/>
          </w:rPr>
          <w:t>https://pure.hud.ac.uk/en/publications/intersex-variations-of-sex-characteristics-and-dsd-the-need-for-c</w:t>
        </w:r>
      </w:hyperlink>
      <w:r>
        <w:t xml:space="preserve">&gt;; </w:t>
      </w:r>
      <w:r w:rsidRPr="00407AEE">
        <w:t xml:space="preserve">The Netherlands Institute for Social Research: Jantine van Lisdonk, </w:t>
      </w:r>
      <w:r w:rsidRPr="00407AEE">
        <w:rPr>
          <w:i/>
          <w:iCs/>
        </w:rPr>
        <w:t>Living with intersex/DSD: An exploratory study of the social situation of persons with intersex/DSD</w:t>
      </w:r>
      <w:r w:rsidRPr="00407AEE">
        <w:t xml:space="preserve"> (The Hague, August 2014), </w:t>
      </w:r>
      <w:r>
        <w:t>44 and 76</w:t>
      </w:r>
      <w:r w:rsidRPr="00407AEE">
        <w:t>, available at &lt;</w:t>
      </w:r>
      <w:hyperlink r:id="rId31" w:history="1">
        <w:r w:rsidRPr="00407AEE">
          <w:rPr>
            <w:rStyle w:val="Hyperlink"/>
          </w:rPr>
          <w:t>https://www.researchgate.net/publication/290446986_Living_with_intersexDSD_An_exploratory_study_of_the_social_situation_of_persons_with_intersexDSD</w:t>
        </w:r>
      </w:hyperlink>
      <w:r>
        <w:t xml:space="preserve">&gt;; </w:t>
      </w:r>
    </w:p>
  </w:footnote>
  <w:footnote w:id="29">
    <w:p w14:paraId="200326D5" w14:textId="420E285C" w:rsidR="00907CFA" w:rsidRDefault="00907CFA" w:rsidP="00C73302">
      <w:pPr>
        <w:pStyle w:val="FootnoteText"/>
      </w:pPr>
      <w:r>
        <w:rPr>
          <w:rStyle w:val="FootnoteReference"/>
        </w:rPr>
        <w:footnoteRef/>
      </w:r>
      <w:r>
        <w:t xml:space="preserve"> Amnesty International, </w:t>
      </w:r>
      <w:r w:rsidRPr="00C73302">
        <w:rPr>
          <w:i/>
          <w:iCs/>
        </w:rPr>
        <w:t>First, do no harm. Ensuring the rights of children with variations of sex characteristics in Denmark and Germany</w:t>
      </w:r>
      <w:r>
        <w:t xml:space="preserve"> (2017), 32, available at </w:t>
      </w:r>
    </w:p>
    <w:p w14:paraId="287FB03A" w14:textId="4D9A82CF" w:rsidR="00907CFA" w:rsidRPr="00C73302" w:rsidRDefault="00907CFA" w:rsidP="00C73302">
      <w:pPr>
        <w:pStyle w:val="FootnoteText"/>
      </w:pPr>
      <w:r>
        <w:t>&lt;</w:t>
      </w:r>
      <w:hyperlink r:id="rId32" w:history="1">
        <w:r w:rsidRPr="001D53E5">
          <w:rPr>
            <w:rStyle w:val="Hyperlink"/>
          </w:rPr>
          <w:t>https://www.amnesty.org/en/documents/eur01/6086/2017/en/</w:t>
        </w:r>
      </w:hyperlink>
      <w:r>
        <w:t>&gt;</w:t>
      </w:r>
      <w:r w:rsidR="009E0890">
        <w:t>.</w:t>
      </w:r>
    </w:p>
  </w:footnote>
  <w:footnote w:id="30">
    <w:p w14:paraId="4AE4F2F7" w14:textId="06496919" w:rsidR="00907CFA" w:rsidRPr="00AA345D" w:rsidRDefault="00907CFA">
      <w:pPr>
        <w:pStyle w:val="FootnoteText"/>
      </w:pPr>
      <w:r>
        <w:rPr>
          <w:rStyle w:val="FootnoteReference"/>
        </w:rPr>
        <w:footnoteRef/>
      </w:r>
      <w:r>
        <w:t xml:space="preserve"> </w:t>
      </w:r>
      <w:r w:rsidRPr="00AA345D">
        <w:t>Parliamentary Assembly, Promoting the human rights of and eliminating discrimination against intersex people. Report. Doc. 14404 (25 September 2017), part C, para</w:t>
      </w:r>
      <w:r>
        <w:t>. 25</w:t>
      </w:r>
      <w:r w:rsidRPr="00AA345D">
        <w:t>, available at &lt;</w:t>
      </w:r>
      <w:hyperlink r:id="rId33" w:anchor="_TOC_d19e146" w:history="1">
        <w:r w:rsidRPr="00AA345D">
          <w:rPr>
            <w:rStyle w:val="Hyperlink"/>
          </w:rPr>
          <w:t>https://pace.coe.int/en/files/24027/html#_TOC_d19e146</w:t>
        </w:r>
      </w:hyperlink>
      <w:r w:rsidRPr="00AA345D">
        <w:t>&gt;.</w:t>
      </w:r>
    </w:p>
  </w:footnote>
  <w:footnote w:id="31">
    <w:p w14:paraId="5AB174CD" w14:textId="675E9FE1" w:rsidR="00907CFA" w:rsidRPr="00AA345D" w:rsidRDefault="00907CFA" w:rsidP="00256933">
      <w:pPr>
        <w:pStyle w:val="FootnoteText"/>
      </w:pPr>
      <w:r>
        <w:rPr>
          <w:rStyle w:val="FootnoteReference"/>
        </w:rPr>
        <w:footnoteRef/>
      </w:r>
      <w:r>
        <w:t xml:space="preserve"> N.S. Crouch, C.L. Minto, L.M. Laio, C.R. Woodhouse, S.M. Creighton (2004): Genital sensation after feminizing genitoplasty for congenital adrenal hyperplasia: a pilot study. BJU Int. 2004 Jan; 93(1):135-8.</w:t>
      </w:r>
    </w:p>
  </w:footnote>
  <w:footnote w:id="32">
    <w:p w14:paraId="53582A6D" w14:textId="339B4018" w:rsidR="00907CFA" w:rsidRPr="00E03A7C" w:rsidRDefault="00907CFA">
      <w:pPr>
        <w:pStyle w:val="FootnoteText"/>
      </w:pPr>
      <w:r w:rsidRPr="0082164E">
        <w:rPr>
          <w:rStyle w:val="FootnoteReference"/>
        </w:rPr>
        <w:footnoteRef/>
      </w:r>
      <w:r w:rsidRPr="0082164E">
        <w:t xml:space="preserve"> For personal testimonies of intersex people, see: OII Europe,</w:t>
      </w:r>
      <w:r w:rsidRPr="0082164E">
        <w:rPr>
          <w:i/>
          <w:iCs/>
        </w:rPr>
        <w:t xml:space="preserve"> #MyIntersex Stories. Personal accounts by intersex people living in Europe</w:t>
      </w:r>
      <w:r w:rsidRPr="0082164E">
        <w:t xml:space="preserve"> (November 2019), available at &lt;</w:t>
      </w:r>
      <w:hyperlink r:id="rId34" w:history="1">
        <w:r w:rsidRPr="0082164E">
          <w:rPr>
            <w:rStyle w:val="Hyperlink"/>
          </w:rPr>
          <w:t>https://oiieurope.org/wp-content/uploads/2019/11/testimonial_broch_21-21cm_for_web.pdf</w:t>
        </w:r>
      </w:hyperlink>
      <w:r w:rsidRPr="0082164E">
        <w:t>&gt;</w:t>
      </w:r>
      <w:r>
        <w:t>.</w:t>
      </w:r>
      <w:r w:rsidRPr="0082164E">
        <w:t xml:space="preserve">  We include all of these testimonies and the additional information (e.g., country, age) as consented to by the respective intersex individuals.</w:t>
      </w:r>
    </w:p>
  </w:footnote>
  <w:footnote w:id="33">
    <w:p w14:paraId="163D55D8" w14:textId="70F59923" w:rsidR="00907CFA" w:rsidRPr="009356C2" w:rsidRDefault="00907CFA">
      <w:pPr>
        <w:pStyle w:val="FootnoteText"/>
      </w:pPr>
      <w:r>
        <w:rPr>
          <w:rStyle w:val="FootnoteReference"/>
        </w:rPr>
        <w:footnoteRef/>
      </w:r>
      <w:r>
        <w:t xml:space="preserve"> </w:t>
      </w:r>
      <w:r w:rsidRPr="009356C2">
        <w:t>European Union Agency for Fundamental Rights</w:t>
      </w:r>
      <w:r>
        <w:t xml:space="preserve">, </w:t>
      </w:r>
      <w:r w:rsidRPr="009356C2">
        <w:rPr>
          <w:i/>
          <w:iCs/>
        </w:rPr>
        <w:t>The Fundamental Rights Situation of Intersex People. FRA Focus, 4/2015</w:t>
      </w:r>
      <w:r>
        <w:t xml:space="preserve"> (04/2015), 1 and </w:t>
      </w:r>
      <w:r w:rsidRPr="009356C2">
        <w:t>6</w:t>
      </w:r>
      <w:r>
        <w:t>, available at &lt;</w:t>
      </w:r>
      <w:hyperlink r:id="rId35" w:history="1">
        <w:r w:rsidRPr="001D53E5">
          <w:rPr>
            <w:rStyle w:val="Hyperlink"/>
          </w:rPr>
          <w:t>https://fra.europa.eu/en/publication/2015/fundamental-rights-situation-intersex-people</w:t>
        </w:r>
      </w:hyperlink>
      <w:r>
        <w:t>&gt;.</w:t>
      </w:r>
    </w:p>
  </w:footnote>
  <w:footnote w:id="34">
    <w:p w14:paraId="17386559" w14:textId="32E21C03" w:rsidR="00907CFA" w:rsidRPr="008E5F8B" w:rsidRDefault="00907CFA">
      <w:pPr>
        <w:pStyle w:val="FootnoteText"/>
        <w:rPr>
          <w:lang w:val="de-DE"/>
        </w:rPr>
      </w:pPr>
      <w:r>
        <w:rPr>
          <w:rStyle w:val="FootnoteReference"/>
        </w:rPr>
        <w:footnoteRef/>
      </w:r>
      <w:r w:rsidRPr="008E5F8B">
        <w:rPr>
          <w:lang w:val="de-DE"/>
        </w:rPr>
        <w:t xml:space="preserve"> Josch Hoenes, Eugen Januschke, Ulrike Klöppel, </w:t>
      </w:r>
      <w:r w:rsidRPr="008E5F8B">
        <w:rPr>
          <w:i/>
          <w:iCs/>
          <w:lang w:val="de-DE"/>
        </w:rPr>
        <w:t>Häufigkeit normangleichender Operationen „uneindeutiger“ Genitalien im Kindesalter. Follow Up‐Studie</w:t>
      </w:r>
      <w:r w:rsidRPr="008E5F8B">
        <w:rPr>
          <w:lang w:val="de-DE"/>
        </w:rPr>
        <w:t xml:space="preserve"> (Bochum, 2019), available at &lt;</w:t>
      </w:r>
      <w:hyperlink r:id="rId36">
        <w:r w:rsidRPr="008E5F8B">
          <w:rPr>
            <w:rStyle w:val="Hyperlink"/>
            <w:lang w:val="de-DE"/>
          </w:rPr>
          <w:t>https://omp.ub.rub.de/index.php/RUB/catalog/view/113/99/604-2</w:t>
        </w:r>
      </w:hyperlink>
      <w:r w:rsidRPr="008E5F8B">
        <w:rPr>
          <w:lang w:val="de-DE"/>
        </w:rPr>
        <w:t xml:space="preserve">&gt;; Ulrike Klöppel, </w:t>
      </w:r>
      <w:r w:rsidRPr="008E5F8B">
        <w:rPr>
          <w:i/>
          <w:iCs/>
          <w:lang w:val="de-DE"/>
        </w:rPr>
        <w:t xml:space="preserve">Zur Aktualität kosmetischer Operationen ‚un-eindeutiger‘ Genitalien im Kindesalter. </w:t>
      </w:r>
      <w:r w:rsidRPr="008E5F8B">
        <w:rPr>
          <w:lang w:val="de-DE"/>
        </w:rPr>
        <w:t>Hg. von der Geschäftsstelle des Zentrums für transdisziplinäre Geschlechterstudien der Humboldt-Universität zu Berlin (Berlin, 2016), available at &lt;</w:t>
      </w:r>
      <w:hyperlink r:id="rId37" w:history="1">
        <w:r w:rsidRPr="008E5F8B">
          <w:rPr>
            <w:rStyle w:val="Hyperlink"/>
            <w:lang w:val="de-DE"/>
          </w:rPr>
          <w:t>https://www.gender.hu-berlin.de/de/publikationen/gender-bulletins/bulletin-texte/texte-42/kloeppel-2016_zur-aktualitaet-kosmetischer-genitaloperationen</w:t>
        </w:r>
      </w:hyperlink>
      <w:r w:rsidRPr="008E5F8B">
        <w:rPr>
          <w:lang w:val="de-DE"/>
        </w:rPr>
        <w:t>&gt;.</w:t>
      </w:r>
    </w:p>
  </w:footnote>
  <w:footnote w:id="35">
    <w:p w14:paraId="328DBAC8" w14:textId="01D668E8" w:rsidR="00907CFA" w:rsidRPr="00B90952" w:rsidRDefault="00907CFA">
      <w:pPr>
        <w:pStyle w:val="FootnoteText"/>
        <w:rPr>
          <w:lang w:val="en"/>
        </w:rPr>
      </w:pPr>
      <w:r>
        <w:rPr>
          <w:rStyle w:val="FootnoteReference"/>
        </w:rPr>
        <w:footnoteRef/>
      </w:r>
      <w:r>
        <w:t xml:space="preserve"> </w:t>
      </w:r>
      <w:r w:rsidRPr="00B90952">
        <w:t>Among others, European Convention on Human Rights, articles 3 (Prohibition of torture), 8 (</w:t>
      </w:r>
      <w:r w:rsidRPr="005754BD">
        <w:t>Right to respect for private and family life</w:t>
      </w:r>
      <w:r w:rsidRPr="00B90952">
        <w:t xml:space="preserve">) 14 (prohibition of discrimination); </w:t>
      </w:r>
      <w:r w:rsidRPr="00B814E5">
        <w:t>European Social Charter, article 11 (The right to protection of health) 13 (The right to social and medical assistance)</w:t>
      </w:r>
      <w:r>
        <w:t xml:space="preserve">; </w:t>
      </w:r>
      <w:r w:rsidRPr="00B90952">
        <w:t>Convention on Human Rights and Biomedicine (Oviedo Convention), articles 5 (Consent - General rule), 6 (Protection of persons not able to consent), 8 (Emergency situation), 10 (Private life and right to information); Charter of Fundamental Rights of the European Union: articles 1 (Human dignity), 3 (Right to the integrity of the person), 4 (</w:t>
      </w:r>
      <w:r w:rsidRPr="00B90952">
        <w:rPr>
          <w:lang w:val="en"/>
        </w:rPr>
        <w:t>Prohibition of torture and inhuman or degrading treatment or punishment), 7</w:t>
      </w:r>
      <w:r w:rsidRPr="00B90952">
        <w:rPr>
          <w:rFonts w:ascii="Arial" w:hAnsi="Arial" w:cs="Arial"/>
          <w:color w:val="000000"/>
          <w:sz w:val="22"/>
          <w:szCs w:val="22"/>
        </w:rPr>
        <w:t xml:space="preserve"> (</w:t>
      </w:r>
      <w:r w:rsidRPr="00B90952">
        <w:t>Respect for private and family life), 21 (Non-discrimination), 24 (</w:t>
      </w:r>
      <w:r>
        <w:t>T</w:t>
      </w:r>
      <w:r w:rsidRPr="00B90952">
        <w:t xml:space="preserve">he rights of the </w:t>
      </w:r>
      <w:r w:rsidRPr="003053A5">
        <w:t>child), 35 (Health care).</w:t>
      </w:r>
    </w:p>
  </w:footnote>
  <w:footnote w:id="36">
    <w:p w14:paraId="322547BF" w14:textId="1557A1EC" w:rsidR="00907CFA" w:rsidRPr="00090A67" w:rsidRDefault="00907CFA" w:rsidP="00090A67">
      <w:pPr>
        <w:pStyle w:val="FootnoteText"/>
        <w:rPr>
          <w:lang w:val="en"/>
        </w:rPr>
      </w:pPr>
      <w:r>
        <w:rPr>
          <w:rStyle w:val="FootnoteReference"/>
        </w:rPr>
        <w:footnoteRef/>
      </w:r>
      <w:r>
        <w:t xml:space="preserve"> </w:t>
      </w:r>
      <w:r w:rsidRPr="005D5BD1">
        <w:t>Commissioner for Human Rights</w:t>
      </w:r>
      <w:r>
        <w:t>,</w:t>
      </w:r>
      <w:r w:rsidRPr="005D5BD1">
        <w:t xml:space="preserve"> </w:t>
      </w:r>
      <w:r w:rsidRPr="005D5BD1">
        <w:rPr>
          <w:i/>
          <w:iCs/>
        </w:rPr>
        <w:t>Human rights and intersex people. Issue paper</w:t>
      </w:r>
      <w:r w:rsidRPr="005D5BD1">
        <w:t xml:space="preserve"> (Council of Europe, April 2015)</w:t>
      </w:r>
      <w:r>
        <w:t>, available at</w:t>
      </w:r>
      <w:r w:rsidRPr="005D5BD1">
        <w:t xml:space="preserve"> </w:t>
      </w:r>
      <w:r>
        <w:t>&lt;</w:t>
      </w:r>
      <w:hyperlink r:id="rId38" w:history="1">
        <w:r w:rsidRPr="00E62ADC">
          <w:rPr>
            <w:rStyle w:val="Hyperlink"/>
          </w:rPr>
          <w:t>https://rm.coe.int/16806da5d4</w:t>
        </w:r>
      </w:hyperlink>
      <w:r>
        <w:t xml:space="preserve">&gt;; </w:t>
      </w:r>
      <w:r w:rsidRPr="005D5BD1">
        <w:t>Parliamentary Assembly Resolution 2191 (2017) Promoting the human rights of and eliminating discrimination against intersex people</w:t>
      </w:r>
      <w:r>
        <w:t>, available at &lt;</w:t>
      </w:r>
      <w:hyperlink r:id="rId39" w:history="1">
        <w:r w:rsidRPr="00E62ADC">
          <w:rPr>
            <w:rStyle w:val="Hyperlink"/>
          </w:rPr>
          <w:t>https://assembly.coe.int/nw/xml/XRef/Xref-XML2HTML-EN.asp?fileid=24232&amp;lang=en</w:t>
        </w:r>
      </w:hyperlink>
      <w:r>
        <w:t xml:space="preserve">&gt;; </w:t>
      </w:r>
      <w:r w:rsidRPr="00090A67">
        <w:rPr>
          <w:lang w:val="en"/>
        </w:rPr>
        <w:t xml:space="preserve">European Parliament </w:t>
      </w:r>
      <w:r>
        <w:rPr>
          <w:lang w:val="en"/>
        </w:rPr>
        <w:t>R</w:t>
      </w:r>
      <w:r w:rsidRPr="00090A67">
        <w:rPr>
          <w:lang w:val="en"/>
        </w:rPr>
        <w:t>esolution of 14 February 2019 on the rights of intersex people</w:t>
      </w:r>
    </w:p>
    <w:p w14:paraId="1EA9354D" w14:textId="04D2A26A" w:rsidR="00907CFA" w:rsidRPr="00090A67" w:rsidRDefault="00907CFA" w:rsidP="00090A67">
      <w:pPr>
        <w:pStyle w:val="FootnoteText"/>
      </w:pPr>
      <w:r w:rsidRPr="00090A67">
        <w:t xml:space="preserve">(2018/2878(RSP)), available at </w:t>
      </w:r>
      <w:r>
        <w:t>&lt;</w:t>
      </w:r>
      <w:hyperlink r:id="rId40" w:history="1">
        <w:r w:rsidRPr="00E62ADC">
          <w:rPr>
            <w:rStyle w:val="Hyperlink"/>
          </w:rPr>
          <w:t>https://www.europarl.europa.eu/doceo/document/TA-8-2019-0128_EN.pdf</w:t>
        </w:r>
      </w:hyperlink>
      <w:r>
        <w:t>&gt;.</w:t>
      </w:r>
      <w:r w:rsidRPr="00090A67">
        <w:t xml:space="preserve">  </w:t>
      </w:r>
    </w:p>
  </w:footnote>
  <w:footnote w:id="37">
    <w:p w14:paraId="50EA6B8B" w14:textId="73972843" w:rsidR="00907CFA" w:rsidRPr="002315D7" w:rsidRDefault="00907CFA">
      <w:pPr>
        <w:pStyle w:val="FootnoteText"/>
        <w:rPr>
          <w:lang w:val="fr-FR"/>
        </w:rPr>
      </w:pPr>
      <w:r>
        <w:rPr>
          <w:rStyle w:val="FootnoteReference"/>
        </w:rPr>
        <w:footnoteRef/>
      </w:r>
      <w:r>
        <w:rPr>
          <w:lang w:val="en"/>
        </w:rPr>
        <w:t xml:space="preserve"> </w:t>
      </w:r>
      <w:r w:rsidRPr="002315D7">
        <w:rPr>
          <w:lang w:val="en"/>
        </w:rPr>
        <w:t>Malta: Gender Identity, Gender Expression And Sex Characteristics Act, 14th April 2015, art. 14, available at &lt;</w:t>
      </w:r>
      <w:hyperlink r:id="rId41" w:history="1">
        <w:r w:rsidRPr="002315D7">
          <w:rPr>
            <w:rStyle w:val="Hyperlink"/>
            <w:lang w:val="en"/>
          </w:rPr>
          <w:t>https://legislation.mt/eli/cap/540/eng/pdf</w:t>
        </w:r>
      </w:hyperlink>
      <w:r w:rsidRPr="002315D7">
        <w:rPr>
          <w:lang w:val="en"/>
        </w:rPr>
        <w:t xml:space="preserve">&gt;; Portugal: Lei n.º 38/2018 de 7 de agosto. </w:t>
      </w:r>
      <w:r w:rsidRPr="002315D7">
        <w:rPr>
          <w:lang w:val="fr-FR"/>
        </w:rPr>
        <w:t>Direito à autodeterminação da identidade de género e expressão de género e à proteção das características sexuais de cada pessoa, art. 5, available at &lt;</w:t>
      </w:r>
      <w:hyperlink r:id="rId42" w:history="1">
        <w:r w:rsidRPr="002315D7">
          <w:rPr>
            <w:rStyle w:val="Hyperlink"/>
            <w:lang w:val="fr-FR"/>
          </w:rPr>
          <w:t>https://www.pgdlisboa.pt/leis/lei_mostra_articulado.php?nid=2926&amp;tabela=leis&amp;ficha=1</w:t>
        </w:r>
      </w:hyperlink>
      <w:r w:rsidRPr="002315D7">
        <w:rPr>
          <w:lang w:val="fr-FR"/>
        </w:rPr>
        <w:t xml:space="preserve">&gt;; Iceland: Lög nr. 154 29. desember 2020. Lög um breytingu á lögum um kynrænt sjálfræði, nr. 80/2019 (ódæmigerð kyneinkenni), available at </w:t>
      </w:r>
      <w:r w:rsidR="00AC6AAE">
        <w:rPr>
          <w:lang w:val="fr-FR"/>
        </w:rPr>
        <w:t>&lt;</w:t>
      </w:r>
      <w:hyperlink r:id="rId43" w:history="1">
        <w:r w:rsidR="00AC6AAE" w:rsidRPr="00035C3D">
          <w:rPr>
            <w:rStyle w:val="Hyperlink"/>
            <w:lang w:val="fr-FR"/>
          </w:rPr>
          <w:t>https://www.althingi.is/lagas/nuna/2019080.html</w:t>
        </w:r>
      </w:hyperlink>
      <w:r w:rsidR="00AC6AAE">
        <w:rPr>
          <w:lang w:val="fr-FR"/>
        </w:rPr>
        <w:t>&gt;</w:t>
      </w:r>
      <w:r w:rsidRPr="002315D7">
        <w:rPr>
          <w:lang w:val="fr-FR"/>
        </w:rPr>
        <w:t xml:space="preserve"> and &lt;</w:t>
      </w:r>
      <w:hyperlink r:id="rId44" w:history="1">
        <w:r w:rsidRPr="002315D7">
          <w:rPr>
            <w:rStyle w:val="Hyperlink"/>
            <w:lang w:val="fr-FR"/>
          </w:rPr>
          <w:t>https://www.althingi.is/altext/stjt/2020.154.html</w:t>
        </w:r>
      </w:hyperlink>
      <w:r w:rsidRPr="002315D7">
        <w:rPr>
          <w:lang w:val="fr-FR"/>
        </w:rPr>
        <w:t>&gt;; Germany: Gesetz zum Schutz von Kindern mit Varianten der Geschlechtsentwicklung. Vom 12. Mai 2021, available at &lt;</w:t>
      </w:r>
      <w:hyperlink r:id="rId45" w:anchor="__bgbl__%2F%2F*%5B%40attr_id%3D%27bgbl121s1082.pdf%27%5D__1642090566815" w:history="1">
        <w:r w:rsidRPr="002315D7">
          <w:rPr>
            <w:rStyle w:val="Hyperlink"/>
            <w:lang w:val="fr-FR"/>
          </w:rPr>
          <w:t>https://www.bgbl.de/xaver/bgbl/start.xav?start=//*[@attr_id=%27bgbl121s1082.pdf%27]#__bgbl__%2F%2F*%5B%40attr_id%3D%27bgbl121s1082.pdf%27%5D__1642090566815</w:t>
        </w:r>
      </w:hyperlink>
      <w:r w:rsidRPr="002315D7">
        <w:rPr>
          <w:lang w:val="fr-FR"/>
        </w:rPr>
        <w:t>&gt;.</w:t>
      </w:r>
    </w:p>
  </w:footnote>
  <w:footnote w:id="38">
    <w:p w14:paraId="02C4FF6B" w14:textId="6297A9BD" w:rsidR="00907CFA" w:rsidRPr="001903CE" w:rsidRDefault="00907CFA">
      <w:pPr>
        <w:pStyle w:val="FootnoteText"/>
      </w:pPr>
      <w:r>
        <w:rPr>
          <w:rStyle w:val="FootnoteReference"/>
        </w:rPr>
        <w:footnoteRef/>
      </w:r>
      <w:r>
        <w:t xml:space="preserve"> </w:t>
      </w:r>
      <w:r w:rsidRPr="001903CE">
        <w:t>For more details on the c</w:t>
      </w:r>
      <w:r>
        <w:t xml:space="preserve">ommonalities between IGM and FGM, see </w:t>
      </w:r>
      <w:r w:rsidRPr="001903CE">
        <w:t xml:space="preserve">Dan Christian Ghattas, </w:t>
      </w:r>
      <w:r w:rsidRPr="001903CE">
        <w:rPr>
          <w:i/>
        </w:rPr>
        <w:t>Protecting Intersex people in Europe. A toolkit for law and policy makers. With digital Appendix and Checklist</w:t>
      </w:r>
      <w:r w:rsidRPr="001903CE">
        <w:t xml:space="preserve"> (ILGA-Europe and OII Europe, 2019), </w:t>
      </w:r>
      <w:r>
        <w:t>12</w:t>
      </w:r>
      <w:r w:rsidRPr="001903CE">
        <w:t xml:space="preserve">, available at </w:t>
      </w:r>
      <w:r>
        <w:t>&lt;</w:t>
      </w:r>
      <w:hyperlink r:id="rId46" w:history="1">
        <w:r w:rsidRPr="00E62ADC">
          <w:rPr>
            <w:rStyle w:val="Hyperlink"/>
          </w:rPr>
          <w:t>https://oiieurope.org/library-en/toolkit-cat/legal-toolkit/</w:t>
        </w:r>
      </w:hyperlink>
      <w:r>
        <w:t>&gt;.</w:t>
      </w:r>
    </w:p>
  </w:footnote>
  <w:footnote w:id="39">
    <w:p w14:paraId="67B51508" w14:textId="1E58A065" w:rsidR="00907CFA" w:rsidRPr="00927790" w:rsidRDefault="00907CFA" w:rsidP="00D456B9">
      <w:pPr>
        <w:pStyle w:val="FootnoteText"/>
      </w:pPr>
      <w:r>
        <w:rPr>
          <w:rStyle w:val="FootnoteReference"/>
        </w:rPr>
        <w:footnoteRef/>
      </w:r>
      <w:r>
        <w:t xml:space="preserve"> </w:t>
      </w:r>
      <w:r w:rsidRPr="0055578D">
        <w:t>CEDAW/C/DEU/CO/7-8</w:t>
      </w:r>
      <w:r>
        <w:t xml:space="preserve">. See also, among others, CEDAW/C/BGR/CO/8, CEDAW/C/AUT/CO/9, CEDAW/C/LUX/CO/6-7, CEDAW/C/ITA/CO/7, CEDAW/C/IRL/CO/6-7, CEDAW/C/NLD/CO/6, CEDAW/C/EST/CO/5-6, CEDAW/C/FRA/CO/7-8, CEDAW/C/SVK/CO/5-6. </w:t>
      </w:r>
      <w:r w:rsidRPr="001F3BC7">
        <w:t>About the understanding of IGM a</w:t>
      </w:r>
      <w:r>
        <w:t>s a form of GBV in the EU policy context, see OII Europe’s submissions to the European Commission: OII Europe,</w:t>
      </w:r>
      <w:r w:rsidR="00F8058A">
        <w:t xml:space="preserve"> </w:t>
      </w:r>
      <w:r w:rsidRPr="001F3BC7">
        <w:rPr>
          <w:i/>
          <w:iCs/>
        </w:rPr>
        <w:t>Preventing and combatting gender-based violence and domestic violence against intersex individuals</w:t>
      </w:r>
      <w:r>
        <w:rPr>
          <w:i/>
          <w:iCs/>
        </w:rPr>
        <w:t xml:space="preserve"> </w:t>
      </w:r>
      <w:r>
        <w:t>(</w:t>
      </w:r>
      <w:r w:rsidRPr="001F3BC7">
        <w:t>10.5.2021</w:t>
      </w:r>
      <w:r>
        <w:t xml:space="preserve">), available at </w:t>
      </w:r>
      <w:r>
        <w:rPr>
          <w:sz w:val="18"/>
          <w:szCs w:val="18"/>
        </w:rPr>
        <w:t>&lt;</w:t>
      </w:r>
      <w:hyperlink r:id="rId47" w:history="1">
        <w:r w:rsidRPr="00E62ADC">
          <w:rPr>
            <w:rStyle w:val="Hyperlink"/>
          </w:rPr>
          <w:t>https://oiieurope.org/wp-content/uploads/2021/05/2020_Submission-OII-Europe_Gender-based-and-domestic-violence_FINAL.pdf</w:t>
        </w:r>
      </w:hyperlink>
      <w:r>
        <w:t xml:space="preserve">&gt; and OII Europe, </w:t>
      </w:r>
      <w:r w:rsidRPr="001F3BC7">
        <w:rPr>
          <w:i/>
          <w:iCs/>
        </w:rPr>
        <w:t>Towards an evaluation of the Victims’ Rights Directive</w:t>
      </w:r>
      <w:r>
        <w:t xml:space="preserve"> (22.10.2021), available at </w:t>
      </w:r>
      <w:r w:rsidR="00AC6AAE">
        <w:t>&lt;</w:t>
      </w:r>
      <w:hyperlink r:id="rId48" w:history="1">
        <w:r w:rsidR="00AC6AAE" w:rsidRPr="00035C3D">
          <w:rPr>
            <w:rStyle w:val="Hyperlink"/>
          </w:rPr>
          <w:t>https://oiieurope.org/wp-content/uploads/2021/10/OII-Europe-Submission-Victims-Rights-Directive_FINAL.pdf</w:t>
        </w:r>
      </w:hyperlink>
      <w:r w:rsidR="00AC6AAE">
        <w:t>&gt;.</w:t>
      </w:r>
    </w:p>
  </w:footnote>
  <w:footnote w:id="40">
    <w:p w14:paraId="5CECB6D8" w14:textId="71E8964F" w:rsidR="00907CFA" w:rsidRPr="00A359BC" w:rsidRDefault="00907CFA">
      <w:pPr>
        <w:pStyle w:val="FootnoteText"/>
        <w:rPr>
          <w:b/>
          <w:bCs/>
        </w:rPr>
      </w:pPr>
      <w:r>
        <w:rPr>
          <w:rStyle w:val="FootnoteReference"/>
        </w:rPr>
        <w:footnoteRef/>
      </w:r>
      <w:r>
        <w:t xml:space="preserve"> </w:t>
      </w:r>
      <w:r w:rsidRPr="004523AD">
        <w:t xml:space="preserve">Parliamentary Assembly, </w:t>
      </w:r>
      <w:r w:rsidRPr="00A359BC">
        <w:t xml:space="preserve">Promoting the human rights of and eliminating discrimination against intersex </w:t>
      </w:r>
      <w:r>
        <w:t xml:space="preserve">people. </w:t>
      </w:r>
      <w:r w:rsidRPr="00A359BC">
        <w:t>Report</w:t>
      </w:r>
      <w:r>
        <w:t xml:space="preserve">. </w:t>
      </w:r>
      <w:r w:rsidRPr="00A359BC">
        <w:t xml:space="preserve">Doc. 14404 </w:t>
      </w:r>
      <w:r>
        <w:t>(</w:t>
      </w:r>
      <w:r w:rsidRPr="00A359BC">
        <w:t>25 September 2017</w:t>
      </w:r>
      <w:r>
        <w:t>), part C, paras. 49-50, available at &lt;</w:t>
      </w:r>
      <w:hyperlink r:id="rId49" w:anchor="_TOC_d19e146" w:history="1">
        <w:r w:rsidRPr="001D53E5">
          <w:rPr>
            <w:rStyle w:val="Hyperlink"/>
          </w:rPr>
          <w:t>https://pace.coe.int/en/files/24027/html#_TOC_d19e146</w:t>
        </w:r>
      </w:hyperlink>
      <w:r>
        <w:t xml:space="preserve">&gt;. </w:t>
      </w:r>
    </w:p>
  </w:footnote>
  <w:footnote w:id="41">
    <w:p w14:paraId="1376ED3E" w14:textId="78208C56" w:rsidR="00907CFA" w:rsidRPr="00FD2096" w:rsidRDefault="00907CFA">
      <w:pPr>
        <w:pStyle w:val="FootnoteText"/>
      </w:pPr>
      <w:r>
        <w:rPr>
          <w:rStyle w:val="FootnoteReference"/>
        </w:rPr>
        <w:footnoteRef/>
      </w:r>
      <w:r>
        <w:t xml:space="preserve"> </w:t>
      </w:r>
      <w:r w:rsidRPr="00FD2096">
        <w:t>The Netherlands Institute for Social Research</w:t>
      </w:r>
      <w:r>
        <w:t xml:space="preserve">: </w:t>
      </w:r>
      <w:r w:rsidRPr="00FD2096">
        <w:t>Jantine van Lisdonk</w:t>
      </w:r>
      <w:r>
        <w:t xml:space="preserve">, </w:t>
      </w:r>
      <w:r w:rsidRPr="00182517">
        <w:rPr>
          <w:i/>
          <w:iCs/>
        </w:rPr>
        <w:t>Living with intersex/DSD: An exploratory study of the social situation of persons with intersex/DSD</w:t>
      </w:r>
      <w:r>
        <w:t xml:space="preserve"> (</w:t>
      </w:r>
      <w:r w:rsidRPr="00FD2096">
        <w:t>The Hague, August 2014</w:t>
      </w:r>
      <w:r>
        <w:t>), 54, available at &lt;</w:t>
      </w:r>
      <w:hyperlink r:id="rId50" w:history="1">
        <w:r w:rsidRPr="001D53E5">
          <w:rPr>
            <w:rStyle w:val="Hyperlink"/>
          </w:rPr>
          <w:t>https://www.researchgate.net/publication/290446986_Living_with_intersexDSD_An_exploratory_study_of_the_social_situation_of_persons_with_intersexDSD</w:t>
        </w:r>
      </w:hyperlink>
      <w:r>
        <w:t xml:space="preserve">&gt;. For testimonies of rape in medical settings, see: </w:t>
      </w:r>
      <w:r w:rsidRPr="008B4365">
        <w:t>OII Europe,</w:t>
      </w:r>
      <w:r w:rsidRPr="008B4365">
        <w:rPr>
          <w:i/>
          <w:iCs/>
        </w:rPr>
        <w:t xml:space="preserve"> #MyIntersex Stories</w:t>
      </w:r>
      <w:r w:rsidRPr="00564A5E">
        <w:t>, 44-46, 69-70.</w:t>
      </w:r>
      <w:r>
        <w:t xml:space="preserve"> </w:t>
      </w:r>
    </w:p>
  </w:footnote>
  <w:footnote w:id="42">
    <w:p w14:paraId="4A3519EA" w14:textId="6477612D" w:rsidR="00907CFA" w:rsidRPr="00091F02" w:rsidRDefault="00907CFA" w:rsidP="00091F02">
      <w:pPr>
        <w:pStyle w:val="FootnoteText"/>
      </w:pPr>
      <w:r>
        <w:rPr>
          <w:rStyle w:val="FootnoteReference"/>
        </w:rPr>
        <w:footnoteRef/>
      </w:r>
      <w:r>
        <w:t xml:space="preserve"> </w:t>
      </w:r>
      <w:r w:rsidRPr="00091F02">
        <w:t>Dan Christian Ghattas</w:t>
      </w:r>
      <w:r>
        <w:t>,</w:t>
      </w:r>
      <w:r w:rsidRPr="00091F02">
        <w:t xml:space="preserve"> </w:t>
      </w:r>
      <w:r w:rsidRPr="00182517">
        <w:rPr>
          <w:i/>
          <w:iCs/>
        </w:rPr>
        <w:t xml:space="preserve">Human Rights Between the Sexes. A </w:t>
      </w:r>
      <w:r w:rsidRPr="00091F02">
        <w:rPr>
          <w:i/>
          <w:iCs/>
        </w:rPr>
        <w:t>preliminary study on the life situation of inter* individual</w:t>
      </w:r>
      <w:r>
        <w:t xml:space="preserve"> (Berlin: </w:t>
      </w:r>
      <w:r w:rsidRPr="00091F02">
        <w:t>Heinrich</w:t>
      </w:r>
      <w:r>
        <w:t xml:space="preserve"> </w:t>
      </w:r>
      <w:r w:rsidRPr="00091F02">
        <w:t>Boll Foundation</w:t>
      </w:r>
      <w:r>
        <w:t>, 2013),</w:t>
      </w:r>
      <w:r w:rsidRPr="00091F02">
        <w:t xml:space="preserve"> 22,</w:t>
      </w:r>
      <w:r>
        <w:t xml:space="preserve"> available at</w:t>
      </w:r>
      <w:r w:rsidRPr="00091F02">
        <w:t xml:space="preserve"> </w:t>
      </w:r>
      <w:r>
        <w:t>&lt;</w:t>
      </w:r>
      <w:hyperlink r:id="rId51" w:history="1">
        <w:r w:rsidRPr="00091F02">
          <w:rPr>
            <w:rStyle w:val="Hyperlink"/>
          </w:rPr>
          <w:t>https://www.boell.de/sites/default/files/</w:t>
        </w:r>
        <w:r w:rsidRPr="001D53E5">
          <w:rPr>
            <w:rStyle w:val="Hyperlink"/>
          </w:rPr>
          <w:t>endf_human_rights_between_the_sexes.pdf</w:t>
        </w:r>
      </w:hyperlink>
      <w:r>
        <w:t xml:space="preserve">&gt;.  </w:t>
      </w:r>
    </w:p>
  </w:footnote>
  <w:footnote w:id="43">
    <w:p w14:paraId="498DEAA3" w14:textId="6AE85ED2" w:rsidR="00907CFA" w:rsidRPr="008E5F8B" w:rsidRDefault="00907CFA" w:rsidP="007F5E3B">
      <w:pPr>
        <w:pStyle w:val="FootnoteText"/>
        <w:rPr>
          <w:i/>
          <w:iCs/>
          <w:lang w:val="de-DE"/>
        </w:rPr>
      </w:pPr>
      <w:r>
        <w:rPr>
          <w:rStyle w:val="FootnoteReference"/>
        </w:rPr>
        <w:footnoteRef/>
      </w:r>
      <w:r w:rsidRPr="008E5F8B">
        <w:rPr>
          <w:lang w:val="de-DE"/>
        </w:rPr>
        <w:t xml:space="preserve"> Bundesministerium fur Familie, Senioren, Frauen und Jugend, </w:t>
      </w:r>
      <w:r w:rsidRPr="008E5F8B">
        <w:rPr>
          <w:i/>
          <w:iCs/>
          <w:lang w:val="de-DE"/>
        </w:rPr>
        <w:t xml:space="preserve">Dokumentation Fachaustausch: </w:t>
      </w:r>
      <w:r w:rsidRPr="008E5F8B">
        <w:rPr>
          <w:rFonts w:hint="eastAsia"/>
          <w:i/>
          <w:iCs/>
          <w:lang w:val="de-DE"/>
        </w:rPr>
        <w:t>„</w:t>
      </w:r>
      <w:r w:rsidRPr="008E5F8B">
        <w:rPr>
          <w:i/>
          <w:iCs/>
          <w:lang w:val="de-DE"/>
        </w:rPr>
        <w:t>Beratung und Unterstutzung fur intersexuelle Menschen (i. S. v. Menschen mit angeborenen Variationen der Geschlechtsmerkmale) und ihre Familien</w:t>
      </w:r>
      <w:r w:rsidRPr="008E5F8B">
        <w:rPr>
          <w:rFonts w:hint="eastAsia"/>
          <w:i/>
          <w:iCs/>
          <w:lang w:val="de-DE"/>
        </w:rPr>
        <w:t>“</w:t>
      </w:r>
      <w:r w:rsidRPr="008E5F8B">
        <w:rPr>
          <w:i/>
          <w:iCs/>
          <w:lang w:val="de-DE"/>
        </w:rPr>
        <w:t xml:space="preserve"> 4. November 2015. Begleitmaterial zur Interministeriellen</w:t>
      </w:r>
    </w:p>
    <w:p w14:paraId="657279F8" w14:textId="10F2C2D0" w:rsidR="00907CFA" w:rsidRPr="008E5F8B" w:rsidRDefault="00907CFA" w:rsidP="007F5E3B">
      <w:pPr>
        <w:pStyle w:val="FootnoteText"/>
        <w:rPr>
          <w:lang w:val="de-DE"/>
        </w:rPr>
      </w:pPr>
      <w:r w:rsidRPr="008E5F8B">
        <w:rPr>
          <w:i/>
          <w:iCs/>
          <w:lang w:val="de-DE"/>
        </w:rPr>
        <w:t xml:space="preserve">Arbeitsgruppe Inter- &amp; Transsexualitat </w:t>
      </w:r>
      <w:r w:rsidRPr="008E5F8B">
        <w:rPr>
          <w:rFonts w:hint="eastAsia"/>
          <w:i/>
          <w:iCs/>
          <w:lang w:val="de-DE"/>
        </w:rPr>
        <w:t>–</w:t>
      </w:r>
      <w:r w:rsidRPr="008E5F8B">
        <w:rPr>
          <w:i/>
          <w:iCs/>
          <w:lang w:val="de-DE"/>
        </w:rPr>
        <w:t xml:space="preserve"> Band 3</w:t>
      </w:r>
      <w:r w:rsidRPr="008E5F8B">
        <w:rPr>
          <w:lang w:val="de-DE"/>
        </w:rPr>
        <w:t xml:space="preserve"> (Berlin, June 2016), 13, available at  &lt;</w:t>
      </w:r>
      <w:hyperlink r:id="rId52" w:history="1">
        <w:r w:rsidRPr="008E5F8B">
          <w:rPr>
            <w:rStyle w:val="Hyperlink"/>
            <w:lang w:val="de-DE"/>
          </w:rPr>
          <w:t>https://www.bmfsfj.de/blob/123144/40905d00b0bc5d9722523bb6f9e29824/imag-band-3-beratung-undunterstuetzung-fuer-intersexuelle-menschen-data.pdf</w:t>
        </w:r>
      </w:hyperlink>
      <w:r w:rsidRPr="008E5F8B">
        <w:rPr>
          <w:lang w:val="de-DE"/>
        </w:rPr>
        <w:t xml:space="preserve">&gt;. </w:t>
      </w:r>
    </w:p>
  </w:footnote>
  <w:footnote w:id="44">
    <w:p w14:paraId="26EA65CF" w14:textId="62C3008E" w:rsidR="00907CFA" w:rsidRPr="00D06A9E" w:rsidRDefault="00907CFA">
      <w:pPr>
        <w:pStyle w:val="FootnoteText"/>
      </w:pPr>
      <w:r>
        <w:rPr>
          <w:rStyle w:val="FootnoteReference"/>
        </w:rPr>
        <w:footnoteRef/>
      </w:r>
      <w:r>
        <w:t xml:space="preserve"> </w:t>
      </w:r>
      <w:r w:rsidRPr="00D06A9E">
        <w:rPr>
          <w:i/>
          <w:iCs/>
        </w:rPr>
        <w:t>Ibidem</w:t>
      </w:r>
      <w:r w:rsidRPr="00D06A9E">
        <w:t>, 14.</w:t>
      </w:r>
    </w:p>
  </w:footnote>
  <w:footnote w:id="45">
    <w:p w14:paraId="03FCE577" w14:textId="64DFE5EE" w:rsidR="00907CFA" w:rsidRPr="00D06A9E" w:rsidRDefault="00907CFA">
      <w:pPr>
        <w:pStyle w:val="FootnoteText"/>
      </w:pPr>
      <w:r>
        <w:rPr>
          <w:rStyle w:val="FootnoteReference"/>
        </w:rPr>
        <w:footnoteRef/>
      </w:r>
      <w:r>
        <w:t xml:space="preserve"> </w:t>
      </w:r>
      <w:r w:rsidRPr="00E8734E">
        <w:t xml:space="preserve">OII Europe, </w:t>
      </w:r>
      <w:r w:rsidRPr="00E8734E">
        <w:rPr>
          <w:i/>
          <w:iCs/>
        </w:rPr>
        <w:t>COVID-19</w:t>
      </w:r>
      <w:r>
        <w:rPr>
          <w:i/>
          <w:iCs/>
        </w:rPr>
        <w:t xml:space="preserve">, </w:t>
      </w:r>
      <w:r>
        <w:t>18.</w:t>
      </w:r>
    </w:p>
  </w:footnote>
  <w:footnote w:id="46">
    <w:p w14:paraId="2B5FE49F" w14:textId="6DBC88D0" w:rsidR="00907CFA" w:rsidRPr="00D06A9E" w:rsidRDefault="00907CFA">
      <w:pPr>
        <w:pStyle w:val="FootnoteText"/>
      </w:pPr>
      <w:r>
        <w:rPr>
          <w:rStyle w:val="FootnoteReference"/>
        </w:rPr>
        <w:footnoteRef/>
      </w:r>
      <w:r>
        <w:t xml:space="preserve"> </w:t>
      </w:r>
      <w:r w:rsidRPr="00D06A9E">
        <w:rPr>
          <w:i/>
          <w:iCs/>
        </w:rPr>
        <w:t>Ibidem</w:t>
      </w:r>
      <w:r w:rsidRPr="00D06A9E">
        <w:t>, 19.</w:t>
      </w:r>
    </w:p>
  </w:footnote>
  <w:footnote w:id="47">
    <w:p w14:paraId="7067CB43" w14:textId="132EFB5E" w:rsidR="00907CFA" w:rsidRPr="00F90444" w:rsidRDefault="00907CFA">
      <w:pPr>
        <w:pStyle w:val="FootnoteText"/>
      </w:pPr>
      <w:r>
        <w:rPr>
          <w:rStyle w:val="FootnoteReference"/>
        </w:rPr>
        <w:footnoteRef/>
      </w:r>
      <w:r>
        <w:t xml:space="preserve"> Parliamentary Assembly, </w:t>
      </w:r>
      <w:r w:rsidRPr="00E4370A">
        <w:t>Report</w:t>
      </w:r>
      <w:r>
        <w:t>, para. 52.</w:t>
      </w:r>
    </w:p>
  </w:footnote>
  <w:footnote w:id="48">
    <w:p w14:paraId="14ABEA33" w14:textId="2A22E978" w:rsidR="00907CFA" w:rsidRPr="00E4370A" w:rsidRDefault="00907CFA">
      <w:pPr>
        <w:pStyle w:val="FootnoteText"/>
        <w:rPr>
          <w:iCs/>
        </w:rPr>
      </w:pPr>
      <w:r>
        <w:rPr>
          <w:rStyle w:val="FootnoteReference"/>
        </w:rPr>
        <w:footnoteRef/>
      </w:r>
      <w:r>
        <w:t xml:space="preserve"> </w:t>
      </w:r>
      <w:bookmarkStart w:id="10" w:name="_Hlk93268432"/>
      <w:r w:rsidRPr="00E4370A">
        <w:t xml:space="preserve">Dan Christian Ghattas, </w:t>
      </w:r>
      <w:r w:rsidRPr="00E4370A">
        <w:rPr>
          <w:i/>
        </w:rPr>
        <w:t>Protecting Intersex people in Europe</w:t>
      </w:r>
      <w:r>
        <w:rPr>
          <w:i/>
        </w:rPr>
        <w:t xml:space="preserve">, </w:t>
      </w:r>
      <w:r>
        <w:rPr>
          <w:iCs/>
        </w:rPr>
        <w:t>38-39.</w:t>
      </w:r>
      <w:bookmarkEnd w:id="10"/>
    </w:p>
  </w:footnote>
  <w:footnote w:id="49">
    <w:p w14:paraId="17FD152C" w14:textId="63F75AC6" w:rsidR="00907CFA" w:rsidRPr="00C5023E" w:rsidRDefault="00907CFA">
      <w:pPr>
        <w:pStyle w:val="FootnoteText"/>
        <w:rPr>
          <w:b/>
          <w:bCs/>
        </w:rPr>
      </w:pPr>
      <w:r>
        <w:rPr>
          <w:rStyle w:val="FootnoteReference"/>
        </w:rPr>
        <w:footnoteRef/>
      </w:r>
      <w:r>
        <w:t xml:space="preserve"> </w:t>
      </w:r>
      <w:r w:rsidRPr="00C5023E">
        <w:t>STATEMENT of the 1st European Intersex Community Event (Vienna, 30st – 31st of March 2017), available at &lt;</w:t>
      </w:r>
      <w:hyperlink r:id="rId53" w:history="1">
        <w:r w:rsidRPr="00C5023E">
          <w:rPr>
            <w:rStyle w:val="Hyperlink"/>
          </w:rPr>
          <w:t>https://oiieurope.org/statement-1st-european-intersex-community-event-vienna-30st-31st-march-2017/</w:t>
        </w:r>
      </w:hyperlink>
      <w:r w:rsidRPr="00C5023E">
        <w:t>&gt;</w:t>
      </w:r>
      <w:r>
        <w:t>.</w:t>
      </w:r>
      <w:r>
        <w:rPr>
          <w:b/>
          <w:bCs/>
        </w:rPr>
        <w:t xml:space="preserve"> </w:t>
      </w:r>
    </w:p>
  </w:footnote>
  <w:footnote w:id="50">
    <w:p w14:paraId="2F073BA7" w14:textId="5AC793F4" w:rsidR="00907CFA" w:rsidRPr="0028028E" w:rsidRDefault="00907CFA">
      <w:pPr>
        <w:pStyle w:val="FootnoteText"/>
      </w:pPr>
      <w:r>
        <w:rPr>
          <w:rStyle w:val="FootnoteReference"/>
        </w:rPr>
        <w:footnoteRef/>
      </w:r>
      <w:r>
        <w:t xml:space="preserve"> </w:t>
      </w:r>
      <w:r w:rsidRPr="0028028E">
        <w:t>Find out more about the p</w:t>
      </w:r>
      <w:r>
        <w:t>roject at</w:t>
      </w:r>
      <w:r w:rsidRPr="0028028E">
        <w:t xml:space="preserve"> </w:t>
      </w:r>
      <w:r>
        <w:t>&lt;</w:t>
      </w:r>
      <w:hyperlink r:id="rId54" w:history="1">
        <w:r w:rsidRPr="001D53E5">
          <w:rPr>
            <w:rStyle w:val="Hyperlink"/>
          </w:rPr>
          <w:t>https://varges.at</w:t>
        </w:r>
      </w:hyperlink>
      <w:r>
        <w:t xml:space="preserve">&gt;. </w:t>
      </w:r>
    </w:p>
  </w:footnote>
  <w:footnote w:id="51">
    <w:p w14:paraId="206C464D" w14:textId="750BF2A0" w:rsidR="00907CFA" w:rsidRPr="0028028E" w:rsidRDefault="00907CFA">
      <w:pPr>
        <w:pStyle w:val="FootnoteText"/>
      </w:pPr>
      <w:r>
        <w:rPr>
          <w:rStyle w:val="FootnoteReference"/>
        </w:rPr>
        <w:footnoteRef/>
      </w:r>
      <w:r>
        <w:t xml:space="preserve"> </w:t>
      </w:r>
      <w:r w:rsidRPr="0028028E">
        <w:t>See OII Europe Good Practice M</w:t>
      </w:r>
      <w:r>
        <w:t>ap 2020 at &lt;</w:t>
      </w:r>
      <w:hyperlink r:id="rId55" w:anchor="fund" w:history="1">
        <w:r w:rsidRPr="001D53E5">
          <w:rPr>
            <w:rStyle w:val="Hyperlink"/>
          </w:rPr>
          <w:t>https://oiieurope.org/good-practice-map-2020/#fund</w:t>
        </w:r>
      </w:hyperlink>
      <w:r>
        <w:t xml:space="preserve">&gt;. </w:t>
      </w:r>
    </w:p>
  </w:footnote>
  <w:footnote w:id="52">
    <w:p w14:paraId="7B321FF1" w14:textId="56E9CBB2" w:rsidR="00907CFA" w:rsidRPr="00805DE9" w:rsidRDefault="00907CFA">
      <w:pPr>
        <w:pStyle w:val="FootnoteText"/>
      </w:pPr>
      <w:r>
        <w:rPr>
          <w:rStyle w:val="FootnoteReference"/>
        </w:rPr>
        <w:footnoteRef/>
      </w:r>
      <w:r>
        <w:t xml:space="preserve"> </w:t>
      </w:r>
      <w:r w:rsidRPr="00805DE9">
        <w:t xml:space="preserve">See Dan Christian Ghattas, </w:t>
      </w:r>
      <w:r w:rsidRPr="00805DE9">
        <w:rPr>
          <w:i/>
        </w:rPr>
        <w:t xml:space="preserve">Protecting Intersex people in Europe, </w:t>
      </w:r>
      <w:r>
        <w:rPr>
          <w:iCs/>
        </w:rPr>
        <w:t>15-20</w:t>
      </w:r>
      <w:r w:rsidRPr="00805DE9">
        <w:rPr>
          <w:iCs/>
        </w:rPr>
        <w:t>.</w:t>
      </w:r>
    </w:p>
  </w:footnote>
  <w:footnote w:id="53">
    <w:p w14:paraId="66B5A533" w14:textId="6DEE282B" w:rsidR="00907CFA" w:rsidRPr="00B97808" w:rsidRDefault="00907CFA">
      <w:pPr>
        <w:pStyle w:val="FootnoteText"/>
        <w:rPr>
          <w:b/>
          <w:bCs/>
        </w:rPr>
      </w:pPr>
      <w:r>
        <w:rPr>
          <w:rStyle w:val="FootnoteReference"/>
        </w:rPr>
        <w:footnoteRef/>
      </w:r>
      <w:r>
        <w:t xml:space="preserve"> For example, see our press release in regard to the German law: OII Europe, </w:t>
      </w:r>
      <w:r w:rsidRPr="00A109E2">
        <w:rPr>
          <w:i/>
          <w:iCs/>
        </w:rPr>
        <w:t xml:space="preserve">A good first step: Germany adopts law banning IGM. But there is still room for improvement </w:t>
      </w:r>
      <w:r>
        <w:t>(30 March 2021), available at &lt;</w:t>
      </w:r>
      <w:hyperlink r:id="rId56" w:history="1">
        <w:r w:rsidRPr="001D53E5">
          <w:rPr>
            <w:rStyle w:val="Hyperlink"/>
          </w:rPr>
          <w:t>https://oiieurope.org/a-good-first-step-germany-adopts-law-banning-igm/</w:t>
        </w:r>
      </w:hyperlink>
      <w:r>
        <w:t>&gt;.</w:t>
      </w:r>
    </w:p>
  </w:footnote>
  <w:footnote w:id="54">
    <w:p w14:paraId="203A38A6" w14:textId="6B8E27D5" w:rsidR="00907CFA" w:rsidRPr="00251040" w:rsidRDefault="00907CFA" w:rsidP="00251040">
      <w:pPr>
        <w:pStyle w:val="FootnoteText"/>
      </w:pPr>
      <w:r>
        <w:rPr>
          <w:rStyle w:val="FootnoteReference"/>
        </w:rPr>
        <w:footnoteRef/>
      </w:r>
      <w:r>
        <w:t xml:space="preserve"> </w:t>
      </w:r>
      <w:r w:rsidRPr="00251040">
        <w:t>European Commission, EU strategy on the rights of the child</w:t>
      </w:r>
      <w:r>
        <w:t xml:space="preserve"> (</w:t>
      </w:r>
      <w:r w:rsidRPr="00251040">
        <w:t>Brussels, 24.3.2021</w:t>
      </w:r>
      <w:r>
        <w:t>), 12, available at &lt;</w:t>
      </w:r>
      <w:hyperlink r:id="rId57" w:history="1">
        <w:r w:rsidRPr="001D53E5">
          <w:rPr>
            <w:rStyle w:val="Hyperlink"/>
          </w:rPr>
          <w:t>https://eur-lex.europa.eu/legal-content/en/TXT/?uri=CELEX%3A52021DC0142</w:t>
        </w:r>
      </w:hyperlink>
      <w:r>
        <w:t xml:space="preserve">&gt;. </w:t>
      </w:r>
    </w:p>
  </w:footnote>
  <w:footnote w:id="55">
    <w:p w14:paraId="67CE182D" w14:textId="78CF0383" w:rsidR="00907CFA" w:rsidRPr="00D82443" w:rsidRDefault="00907CFA">
      <w:pPr>
        <w:pStyle w:val="FootnoteText"/>
      </w:pPr>
      <w:r>
        <w:rPr>
          <w:rStyle w:val="FootnoteReference"/>
        </w:rPr>
        <w:footnoteRef/>
      </w:r>
      <w:r>
        <w:t xml:space="preserve"> </w:t>
      </w:r>
      <w:r w:rsidRPr="00D82443">
        <w:t>For more good practice examples,</w:t>
      </w:r>
      <w:r>
        <w:t xml:space="preserve"> please visit the section Map on OII Europe website, at &lt;</w:t>
      </w:r>
      <w:hyperlink r:id="rId58" w:history="1">
        <w:r w:rsidRPr="001D53E5">
          <w:rPr>
            <w:rStyle w:val="Hyperlink"/>
          </w:rPr>
          <w:t>https://oiieurope.org/library-en/map/</w:t>
        </w:r>
      </w:hyperlink>
      <w:r>
        <w:t xml:space="preserve">&gt;. </w:t>
      </w:r>
    </w:p>
  </w:footnote>
  <w:footnote w:id="56">
    <w:p w14:paraId="36037B6B" w14:textId="0EA2F392" w:rsidR="00907CFA" w:rsidRPr="00000ED0" w:rsidRDefault="00907CFA">
      <w:pPr>
        <w:pStyle w:val="FootnoteText"/>
      </w:pPr>
      <w:r>
        <w:rPr>
          <w:rStyle w:val="FootnoteReference"/>
        </w:rPr>
        <w:footnoteRef/>
      </w:r>
      <w:r>
        <w:t xml:space="preserve"> </w:t>
      </w:r>
      <w:r w:rsidRPr="00000ED0">
        <w:t xml:space="preserve">See the French campaign at </w:t>
      </w:r>
      <w:r>
        <w:t>&lt;</w:t>
      </w:r>
      <w:hyperlink r:id="rId59" w:history="1">
        <w:r w:rsidRPr="001D53E5">
          <w:rPr>
            <w:rStyle w:val="Hyperlink"/>
          </w:rPr>
          <w:t>https://droits-intersexes.fr/</w:t>
        </w:r>
      </w:hyperlink>
      <w:r>
        <w:t>&gt;. See the online events in Serbia at  &lt;</w:t>
      </w:r>
      <w:hyperlink r:id="rId60" w:history="1">
        <w:r w:rsidRPr="001D53E5">
          <w:rPr>
            <w:rStyle w:val="Hyperlink"/>
          </w:rPr>
          <w:t>https://www.facebook.com/events/199471551834721/</w:t>
        </w:r>
      </w:hyperlink>
      <w:r>
        <w:t>&gt; and &lt;</w:t>
      </w:r>
      <w:hyperlink r:id="rId61" w:history="1">
        <w:r w:rsidRPr="001D53E5">
          <w:rPr>
            <w:rStyle w:val="Hyperlink"/>
          </w:rPr>
          <w:t>https://www.facebook.com/events/1457464814461908/</w:t>
        </w:r>
      </w:hyperlink>
      <w:r>
        <w:t>&gt;. See OII Europe Good Practice Map 2020 at &lt;</w:t>
      </w:r>
      <w:hyperlink r:id="rId62" w:history="1">
        <w:r w:rsidRPr="001D53E5">
          <w:rPr>
            <w:rStyle w:val="Hyperlink"/>
          </w:rPr>
          <w:t>https://oiieurope.org/good-practice-map-2020/</w:t>
        </w:r>
      </w:hyperlink>
      <w:r>
        <w:t xml:space="preserve">&gt;.  </w:t>
      </w:r>
    </w:p>
  </w:footnote>
  <w:footnote w:id="57">
    <w:p w14:paraId="5DE50DE2" w14:textId="17B96A12" w:rsidR="00907CFA" w:rsidRPr="00FC6BC1" w:rsidRDefault="00907CFA">
      <w:pPr>
        <w:pStyle w:val="FootnoteText"/>
      </w:pPr>
      <w:r>
        <w:rPr>
          <w:rStyle w:val="FootnoteReference"/>
        </w:rPr>
        <w:footnoteRef/>
      </w:r>
      <w:r>
        <w:t xml:space="preserve"> </w:t>
      </w:r>
      <w:r w:rsidRPr="00FC6BC1">
        <w:t>See OII Europe Good Practice M</w:t>
      </w:r>
      <w:r>
        <w:t>ap 2019 at &lt;</w:t>
      </w:r>
      <w:hyperlink r:id="rId63" w:history="1">
        <w:r w:rsidRPr="001D53E5">
          <w:rPr>
            <w:rStyle w:val="Hyperlink"/>
          </w:rPr>
          <w:t>https://oiieurope.org/good-practice-map-2019/</w:t>
        </w:r>
      </w:hyperlink>
      <w:r>
        <w:t xml:space="preserve">&gt;. </w:t>
      </w:r>
    </w:p>
  </w:footnote>
  <w:footnote w:id="58">
    <w:p w14:paraId="135B647F" w14:textId="77777777" w:rsidR="00907CFA" w:rsidRPr="00E33071" w:rsidRDefault="00907CFA" w:rsidP="00907CFA">
      <w:pPr>
        <w:pStyle w:val="FootnoteText"/>
      </w:pPr>
      <w:r>
        <w:rPr>
          <w:rStyle w:val="FootnoteReference"/>
        </w:rPr>
        <w:footnoteRef/>
      </w:r>
      <w:r>
        <w:t xml:space="preserve"> </w:t>
      </w:r>
      <w:r w:rsidRPr="00123F78">
        <w:t>See more information at &lt;</w:t>
      </w:r>
      <w:hyperlink r:id="rId64" w:history="1">
        <w:r w:rsidRPr="00123F78">
          <w:rPr>
            <w:rStyle w:val="Hyperlink"/>
          </w:rPr>
          <w:t>https://www.intersexnew.co.uk/about/</w:t>
        </w:r>
      </w:hyperlink>
      <w:r>
        <w:t xml:space="preserve">&gt;. </w:t>
      </w:r>
    </w:p>
  </w:footnote>
  <w:footnote w:id="59">
    <w:p w14:paraId="69FEB18A" w14:textId="07B4BE36" w:rsidR="00907CFA" w:rsidRPr="00437ECF" w:rsidRDefault="00907CFA">
      <w:pPr>
        <w:pStyle w:val="FootnoteText"/>
      </w:pPr>
      <w:r>
        <w:rPr>
          <w:rStyle w:val="FootnoteReference"/>
        </w:rPr>
        <w:footnoteRef/>
      </w:r>
      <w:r>
        <w:t xml:space="preserve"> </w:t>
      </w:r>
      <w:r w:rsidRPr="00437ECF">
        <w:t xml:space="preserve">See </w:t>
      </w:r>
      <w:bookmarkStart w:id="11" w:name="_Hlk93271769"/>
      <w:r w:rsidRPr="00437ECF">
        <w:t xml:space="preserve">OII Europe Good Practice Map 2019 </w:t>
      </w:r>
      <w:bookmarkEnd w:id="11"/>
      <w:r w:rsidRPr="00437ECF">
        <w:t>at &lt;</w:t>
      </w:r>
      <w:hyperlink r:id="rId65" w:history="1">
        <w:r w:rsidRPr="00437ECF">
          <w:rPr>
            <w:rStyle w:val="Hyperlink"/>
          </w:rPr>
          <w:t>https://oiieurope.org/good-practice-map-2019/</w:t>
        </w:r>
      </w:hyperlink>
      <w:r w:rsidRPr="00437ECF">
        <w:t>&gt;.</w:t>
      </w:r>
      <w:r>
        <w:t xml:space="preserve"> </w:t>
      </w:r>
      <w:r w:rsidRPr="005C64C3">
        <w:t>See also a good example f</w:t>
      </w:r>
      <w:r>
        <w:t xml:space="preserve">rom Germany, where the Family Ministry funded the first-ever study on feminising and masculinising genital surgeries carried out on intersex children under the age of 10. The study is a best practice example of how to conduct a retrospective statistical data assessment of surgeries on people with variations of sex characteristics: see </w:t>
      </w:r>
      <w:r w:rsidRPr="005C64C3">
        <w:t>OII Europe Good Practice Map 201</w:t>
      </w:r>
      <w:r>
        <w:t>8 at &lt;</w:t>
      </w:r>
      <w:hyperlink r:id="rId66" w:history="1">
        <w:r w:rsidRPr="001D53E5">
          <w:rPr>
            <w:rStyle w:val="Hyperlink"/>
          </w:rPr>
          <w:t>https://oiieurope.org/good-practice-map-2018/</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907CFA" w:rsidRDefault="00907CFA" w:rsidP="00BE02E5">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8B6"/>
    <w:multiLevelType w:val="multilevel"/>
    <w:tmpl w:val="1A4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55664"/>
    <w:multiLevelType w:val="hybridMultilevel"/>
    <w:tmpl w:val="27A43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65F98"/>
    <w:multiLevelType w:val="multilevel"/>
    <w:tmpl w:val="318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8585A"/>
    <w:multiLevelType w:val="hybridMultilevel"/>
    <w:tmpl w:val="76204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20D3A"/>
    <w:multiLevelType w:val="hybridMultilevel"/>
    <w:tmpl w:val="0CF45C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ED212F"/>
    <w:multiLevelType w:val="hybridMultilevel"/>
    <w:tmpl w:val="2AE2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810CC"/>
    <w:multiLevelType w:val="hybridMultilevel"/>
    <w:tmpl w:val="085E7FE8"/>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74645"/>
    <w:multiLevelType w:val="hybridMultilevel"/>
    <w:tmpl w:val="F6E440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6D5775D6"/>
    <w:multiLevelType w:val="multilevel"/>
    <w:tmpl w:val="A3D0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17C7C"/>
    <w:multiLevelType w:val="multilevel"/>
    <w:tmpl w:val="DED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72D52FC1"/>
    <w:multiLevelType w:val="multilevel"/>
    <w:tmpl w:val="868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71963"/>
    <w:multiLevelType w:val="hybridMultilevel"/>
    <w:tmpl w:val="FD10E3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994C54"/>
    <w:multiLevelType w:val="hybridMultilevel"/>
    <w:tmpl w:val="F334A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C9833BC"/>
    <w:multiLevelType w:val="multilevel"/>
    <w:tmpl w:val="D4C6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2"/>
  </w:num>
  <w:num w:numId="4">
    <w:abstractNumId w:val="9"/>
  </w:num>
  <w:num w:numId="5">
    <w:abstractNumId w:val="4"/>
  </w:num>
  <w:num w:numId="6">
    <w:abstractNumId w:val="16"/>
  </w:num>
  <w:num w:numId="7">
    <w:abstractNumId w:val="2"/>
  </w:num>
  <w:num w:numId="8">
    <w:abstractNumId w:val="11"/>
  </w:num>
  <w:num w:numId="9">
    <w:abstractNumId w:val="10"/>
  </w:num>
  <w:num w:numId="10">
    <w:abstractNumId w:val="13"/>
  </w:num>
  <w:num w:numId="11">
    <w:abstractNumId w:val="1"/>
  </w:num>
  <w:num w:numId="12">
    <w:abstractNumId w:val="5"/>
  </w:num>
  <w:num w:numId="13">
    <w:abstractNumId w:val="6"/>
  </w:num>
  <w:num w:numId="14">
    <w:abstractNumId w:val="14"/>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00ED0"/>
    <w:rsid w:val="000115B7"/>
    <w:rsid w:val="0002009F"/>
    <w:rsid w:val="00020E19"/>
    <w:rsid w:val="0005155A"/>
    <w:rsid w:val="0005193B"/>
    <w:rsid w:val="00051E3D"/>
    <w:rsid w:val="00052C2A"/>
    <w:rsid w:val="00090A67"/>
    <w:rsid w:val="000914BF"/>
    <w:rsid w:val="00091F02"/>
    <w:rsid w:val="000A369E"/>
    <w:rsid w:val="000C0264"/>
    <w:rsid w:val="000E4EF7"/>
    <w:rsid w:val="00100E52"/>
    <w:rsid w:val="0010744D"/>
    <w:rsid w:val="00107EA5"/>
    <w:rsid w:val="00115205"/>
    <w:rsid w:val="0013499A"/>
    <w:rsid w:val="00135BFA"/>
    <w:rsid w:val="001365D5"/>
    <w:rsid w:val="00156416"/>
    <w:rsid w:val="00157443"/>
    <w:rsid w:val="00163576"/>
    <w:rsid w:val="00176EE5"/>
    <w:rsid w:val="00182517"/>
    <w:rsid w:val="001903CE"/>
    <w:rsid w:val="001A7B73"/>
    <w:rsid w:val="001B0EA5"/>
    <w:rsid w:val="001B2225"/>
    <w:rsid w:val="001C148C"/>
    <w:rsid w:val="001D4CDC"/>
    <w:rsid w:val="001F3BC7"/>
    <w:rsid w:val="001F59D6"/>
    <w:rsid w:val="00227E63"/>
    <w:rsid w:val="00230606"/>
    <w:rsid w:val="002315D7"/>
    <w:rsid w:val="00251040"/>
    <w:rsid w:val="00254498"/>
    <w:rsid w:val="00256933"/>
    <w:rsid w:val="002658B0"/>
    <w:rsid w:val="0028028E"/>
    <w:rsid w:val="0029584A"/>
    <w:rsid w:val="00296D8A"/>
    <w:rsid w:val="002A4702"/>
    <w:rsid w:val="002A6E7B"/>
    <w:rsid w:val="002B1430"/>
    <w:rsid w:val="002B275A"/>
    <w:rsid w:val="002C51F1"/>
    <w:rsid w:val="002D101A"/>
    <w:rsid w:val="002F229C"/>
    <w:rsid w:val="002F270A"/>
    <w:rsid w:val="002F5739"/>
    <w:rsid w:val="002F5CDA"/>
    <w:rsid w:val="0030538B"/>
    <w:rsid w:val="003053A5"/>
    <w:rsid w:val="00311AC3"/>
    <w:rsid w:val="0031254D"/>
    <w:rsid w:val="00362B2A"/>
    <w:rsid w:val="003830AB"/>
    <w:rsid w:val="003901F0"/>
    <w:rsid w:val="00393034"/>
    <w:rsid w:val="0039321C"/>
    <w:rsid w:val="003963A5"/>
    <w:rsid w:val="003A5C14"/>
    <w:rsid w:val="003B5101"/>
    <w:rsid w:val="003E3FCF"/>
    <w:rsid w:val="003E7374"/>
    <w:rsid w:val="003F7D01"/>
    <w:rsid w:val="00407AEE"/>
    <w:rsid w:val="0042084E"/>
    <w:rsid w:val="00420E01"/>
    <w:rsid w:val="0042241D"/>
    <w:rsid w:val="00437ECF"/>
    <w:rsid w:val="0045107A"/>
    <w:rsid w:val="004523AD"/>
    <w:rsid w:val="004529B4"/>
    <w:rsid w:val="00466B9A"/>
    <w:rsid w:val="004675EB"/>
    <w:rsid w:val="004A7C58"/>
    <w:rsid w:val="004D746A"/>
    <w:rsid w:val="004D7FA5"/>
    <w:rsid w:val="004E49E7"/>
    <w:rsid w:val="004E5F31"/>
    <w:rsid w:val="00500EAD"/>
    <w:rsid w:val="005142FB"/>
    <w:rsid w:val="00525351"/>
    <w:rsid w:val="005447F2"/>
    <w:rsid w:val="005479C4"/>
    <w:rsid w:val="0055578D"/>
    <w:rsid w:val="00556920"/>
    <w:rsid w:val="005624A4"/>
    <w:rsid w:val="00564A5E"/>
    <w:rsid w:val="005754BD"/>
    <w:rsid w:val="0059005C"/>
    <w:rsid w:val="005A034A"/>
    <w:rsid w:val="005B5F97"/>
    <w:rsid w:val="005C2E17"/>
    <w:rsid w:val="005C64C3"/>
    <w:rsid w:val="005D5018"/>
    <w:rsid w:val="005D5BD1"/>
    <w:rsid w:val="005D7B46"/>
    <w:rsid w:val="005F7412"/>
    <w:rsid w:val="00600349"/>
    <w:rsid w:val="0065298A"/>
    <w:rsid w:val="00655E4F"/>
    <w:rsid w:val="00690042"/>
    <w:rsid w:val="006A3B70"/>
    <w:rsid w:val="006B051F"/>
    <w:rsid w:val="006B16A9"/>
    <w:rsid w:val="006B1FEE"/>
    <w:rsid w:val="006E2248"/>
    <w:rsid w:val="006F1FAD"/>
    <w:rsid w:val="006F37DF"/>
    <w:rsid w:val="006F5047"/>
    <w:rsid w:val="00700879"/>
    <w:rsid w:val="00710C03"/>
    <w:rsid w:val="00712A7F"/>
    <w:rsid w:val="007314A9"/>
    <w:rsid w:val="00735CD8"/>
    <w:rsid w:val="007410E0"/>
    <w:rsid w:val="00755CBD"/>
    <w:rsid w:val="0077533B"/>
    <w:rsid w:val="007860D2"/>
    <w:rsid w:val="007A09F2"/>
    <w:rsid w:val="007A53AD"/>
    <w:rsid w:val="007B2B09"/>
    <w:rsid w:val="007C4F6E"/>
    <w:rsid w:val="007C7131"/>
    <w:rsid w:val="007E14E2"/>
    <w:rsid w:val="007F056C"/>
    <w:rsid w:val="007F2714"/>
    <w:rsid w:val="007F5E3B"/>
    <w:rsid w:val="00805DE9"/>
    <w:rsid w:val="0082164E"/>
    <w:rsid w:val="00837C13"/>
    <w:rsid w:val="008475B3"/>
    <w:rsid w:val="00862A89"/>
    <w:rsid w:val="00870F4E"/>
    <w:rsid w:val="008A3067"/>
    <w:rsid w:val="008A6810"/>
    <w:rsid w:val="008B4365"/>
    <w:rsid w:val="008B4E9B"/>
    <w:rsid w:val="008C59E7"/>
    <w:rsid w:val="008C75C0"/>
    <w:rsid w:val="008E5F8B"/>
    <w:rsid w:val="008F1F10"/>
    <w:rsid w:val="00907CFA"/>
    <w:rsid w:val="00927790"/>
    <w:rsid w:val="009356C2"/>
    <w:rsid w:val="00942D00"/>
    <w:rsid w:val="0095763D"/>
    <w:rsid w:val="00965192"/>
    <w:rsid w:val="00992685"/>
    <w:rsid w:val="00997398"/>
    <w:rsid w:val="00997C62"/>
    <w:rsid w:val="009A0643"/>
    <w:rsid w:val="009C4CF0"/>
    <w:rsid w:val="009C6C81"/>
    <w:rsid w:val="009C79F3"/>
    <w:rsid w:val="009C7F46"/>
    <w:rsid w:val="009E0890"/>
    <w:rsid w:val="009E2767"/>
    <w:rsid w:val="009E3910"/>
    <w:rsid w:val="009F00AF"/>
    <w:rsid w:val="009F09E6"/>
    <w:rsid w:val="009F3BF2"/>
    <w:rsid w:val="009F41AF"/>
    <w:rsid w:val="009F7C50"/>
    <w:rsid w:val="00A04F0F"/>
    <w:rsid w:val="00A109E2"/>
    <w:rsid w:val="00A1726B"/>
    <w:rsid w:val="00A235E7"/>
    <w:rsid w:val="00A359BC"/>
    <w:rsid w:val="00A7360F"/>
    <w:rsid w:val="00AA345D"/>
    <w:rsid w:val="00AB5B6F"/>
    <w:rsid w:val="00AC230F"/>
    <w:rsid w:val="00AC6A82"/>
    <w:rsid w:val="00AC6AAE"/>
    <w:rsid w:val="00AE586B"/>
    <w:rsid w:val="00AF4A22"/>
    <w:rsid w:val="00B05F1A"/>
    <w:rsid w:val="00B11F39"/>
    <w:rsid w:val="00B12C86"/>
    <w:rsid w:val="00B16795"/>
    <w:rsid w:val="00B41CA4"/>
    <w:rsid w:val="00B814E5"/>
    <w:rsid w:val="00B90952"/>
    <w:rsid w:val="00B9261B"/>
    <w:rsid w:val="00B92A04"/>
    <w:rsid w:val="00B97808"/>
    <w:rsid w:val="00BA111B"/>
    <w:rsid w:val="00BA21AA"/>
    <w:rsid w:val="00BA417F"/>
    <w:rsid w:val="00BB056F"/>
    <w:rsid w:val="00BC2ECC"/>
    <w:rsid w:val="00BE02E5"/>
    <w:rsid w:val="00BF70C4"/>
    <w:rsid w:val="00C05D69"/>
    <w:rsid w:val="00C0657D"/>
    <w:rsid w:val="00C23CD3"/>
    <w:rsid w:val="00C275CE"/>
    <w:rsid w:val="00C3430C"/>
    <w:rsid w:val="00C359D8"/>
    <w:rsid w:val="00C5023E"/>
    <w:rsid w:val="00C52FEC"/>
    <w:rsid w:val="00C55643"/>
    <w:rsid w:val="00C669FA"/>
    <w:rsid w:val="00C670DE"/>
    <w:rsid w:val="00C67CB2"/>
    <w:rsid w:val="00C73302"/>
    <w:rsid w:val="00C75D8F"/>
    <w:rsid w:val="00C86EEC"/>
    <w:rsid w:val="00C91E29"/>
    <w:rsid w:val="00C97685"/>
    <w:rsid w:val="00CC1F24"/>
    <w:rsid w:val="00CC4AFE"/>
    <w:rsid w:val="00CE5C9F"/>
    <w:rsid w:val="00CF3C95"/>
    <w:rsid w:val="00CF4A08"/>
    <w:rsid w:val="00CF5548"/>
    <w:rsid w:val="00CF6106"/>
    <w:rsid w:val="00D06A9E"/>
    <w:rsid w:val="00D108AE"/>
    <w:rsid w:val="00D14CBD"/>
    <w:rsid w:val="00D26C5F"/>
    <w:rsid w:val="00D3098B"/>
    <w:rsid w:val="00D32384"/>
    <w:rsid w:val="00D456B9"/>
    <w:rsid w:val="00D7193C"/>
    <w:rsid w:val="00D7415C"/>
    <w:rsid w:val="00D74518"/>
    <w:rsid w:val="00D82443"/>
    <w:rsid w:val="00D82F56"/>
    <w:rsid w:val="00D90F79"/>
    <w:rsid w:val="00D97CD5"/>
    <w:rsid w:val="00DA3A23"/>
    <w:rsid w:val="00DA3F14"/>
    <w:rsid w:val="00DC45C9"/>
    <w:rsid w:val="00DC7F20"/>
    <w:rsid w:val="00DE18FB"/>
    <w:rsid w:val="00DF6D26"/>
    <w:rsid w:val="00E03A7C"/>
    <w:rsid w:val="00E27A3E"/>
    <w:rsid w:val="00E33071"/>
    <w:rsid w:val="00E4370A"/>
    <w:rsid w:val="00E86395"/>
    <w:rsid w:val="00E86416"/>
    <w:rsid w:val="00E8734E"/>
    <w:rsid w:val="00EE280A"/>
    <w:rsid w:val="00EF57D8"/>
    <w:rsid w:val="00F11452"/>
    <w:rsid w:val="00F149BF"/>
    <w:rsid w:val="00F26A63"/>
    <w:rsid w:val="00F50BC2"/>
    <w:rsid w:val="00F5438C"/>
    <w:rsid w:val="00F671CC"/>
    <w:rsid w:val="00F742E5"/>
    <w:rsid w:val="00F8058A"/>
    <w:rsid w:val="00F90444"/>
    <w:rsid w:val="00F92E77"/>
    <w:rsid w:val="00FB5FF5"/>
    <w:rsid w:val="00FC6BC1"/>
    <w:rsid w:val="00FD2096"/>
    <w:rsid w:val="00FD6BE7"/>
    <w:rsid w:val="00FD72B1"/>
    <w:rsid w:val="00FF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0914BF"/>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914BF"/>
  </w:style>
  <w:style w:type="character" w:customStyle="1" w:styleId="FootnoteTextChar">
    <w:name w:val="Footnote Text Char"/>
    <w:basedOn w:val="DefaultParagraphFont"/>
    <w:link w:val="FootnoteText"/>
    <w:uiPriority w:val="99"/>
    <w:rsid w:val="000914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14BF"/>
    <w:rPr>
      <w:vertAlign w:val="superscript"/>
    </w:rPr>
  </w:style>
  <w:style w:type="character" w:customStyle="1" w:styleId="UnresolvedMention">
    <w:name w:val="Unresolved Mention"/>
    <w:basedOn w:val="DefaultParagraphFont"/>
    <w:uiPriority w:val="99"/>
    <w:semiHidden/>
    <w:unhideWhenUsed/>
    <w:rsid w:val="000914BF"/>
    <w:rPr>
      <w:color w:val="605E5C"/>
      <w:shd w:val="clear" w:color="auto" w:fill="E1DFDD"/>
    </w:rPr>
  </w:style>
  <w:style w:type="table" w:styleId="TableGrid">
    <w:name w:val="Table Grid"/>
    <w:basedOn w:val="TableNormal"/>
    <w:uiPriority w:val="39"/>
    <w:rsid w:val="0036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29C"/>
    <w:rPr>
      <w:sz w:val="16"/>
      <w:szCs w:val="16"/>
    </w:rPr>
  </w:style>
  <w:style w:type="paragraph" w:styleId="CommentText">
    <w:name w:val="annotation text"/>
    <w:basedOn w:val="Normal"/>
    <w:link w:val="CommentTextChar"/>
    <w:uiPriority w:val="99"/>
    <w:semiHidden/>
    <w:unhideWhenUsed/>
    <w:rsid w:val="002F229C"/>
  </w:style>
  <w:style w:type="character" w:customStyle="1" w:styleId="CommentTextChar">
    <w:name w:val="Comment Text Char"/>
    <w:basedOn w:val="DefaultParagraphFont"/>
    <w:link w:val="CommentText"/>
    <w:uiPriority w:val="99"/>
    <w:semiHidden/>
    <w:rsid w:val="002F2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29C"/>
    <w:rPr>
      <w:b/>
      <w:bCs/>
    </w:rPr>
  </w:style>
  <w:style w:type="character" w:customStyle="1" w:styleId="CommentSubjectChar">
    <w:name w:val="Comment Subject Char"/>
    <w:basedOn w:val="CommentTextChar"/>
    <w:link w:val="CommentSubject"/>
    <w:uiPriority w:val="99"/>
    <w:semiHidden/>
    <w:rsid w:val="002F22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5F8B"/>
    <w:rPr>
      <w:sz w:val="18"/>
      <w:szCs w:val="18"/>
    </w:rPr>
  </w:style>
  <w:style w:type="character" w:customStyle="1" w:styleId="BalloonTextChar">
    <w:name w:val="Balloon Text Char"/>
    <w:basedOn w:val="DefaultParagraphFont"/>
    <w:link w:val="BalloonText"/>
    <w:uiPriority w:val="99"/>
    <w:semiHidden/>
    <w:rsid w:val="008E5F8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3">
      <w:bodyDiv w:val="1"/>
      <w:marLeft w:val="0"/>
      <w:marRight w:val="0"/>
      <w:marTop w:val="0"/>
      <w:marBottom w:val="0"/>
      <w:divBdr>
        <w:top w:val="none" w:sz="0" w:space="0" w:color="auto"/>
        <w:left w:val="none" w:sz="0" w:space="0" w:color="auto"/>
        <w:bottom w:val="none" w:sz="0" w:space="0" w:color="auto"/>
        <w:right w:val="none" w:sz="0" w:space="0" w:color="auto"/>
      </w:divBdr>
    </w:div>
    <w:div w:id="24716495">
      <w:bodyDiv w:val="1"/>
      <w:marLeft w:val="0"/>
      <w:marRight w:val="0"/>
      <w:marTop w:val="0"/>
      <w:marBottom w:val="0"/>
      <w:divBdr>
        <w:top w:val="none" w:sz="0" w:space="0" w:color="auto"/>
        <w:left w:val="none" w:sz="0" w:space="0" w:color="auto"/>
        <w:bottom w:val="none" w:sz="0" w:space="0" w:color="auto"/>
        <w:right w:val="none" w:sz="0" w:space="0" w:color="auto"/>
      </w:divBdr>
    </w:div>
    <w:div w:id="25064759">
      <w:bodyDiv w:val="1"/>
      <w:marLeft w:val="0"/>
      <w:marRight w:val="0"/>
      <w:marTop w:val="0"/>
      <w:marBottom w:val="0"/>
      <w:divBdr>
        <w:top w:val="none" w:sz="0" w:space="0" w:color="auto"/>
        <w:left w:val="none" w:sz="0" w:space="0" w:color="auto"/>
        <w:bottom w:val="none" w:sz="0" w:space="0" w:color="auto"/>
        <w:right w:val="none" w:sz="0" w:space="0" w:color="auto"/>
      </w:divBdr>
    </w:div>
    <w:div w:id="341665104">
      <w:bodyDiv w:val="1"/>
      <w:marLeft w:val="0"/>
      <w:marRight w:val="0"/>
      <w:marTop w:val="0"/>
      <w:marBottom w:val="0"/>
      <w:divBdr>
        <w:top w:val="none" w:sz="0" w:space="0" w:color="auto"/>
        <w:left w:val="none" w:sz="0" w:space="0" w:color="auto"/>
        <w:bottom w:val="none" w:sz="0" w:space="0" w:color="auto"/>
        <w:right w:val="none" w:sz="0" w:space="0" w:color="auto"/>
      </w:divBdr>
    </w:div>
    <w:div w:id="437409980">
      <w:bodyDiv w:val="1"/>
      <w:marLeft w:val="0"/>
      <w:marRight w:val="0"/>
      <w:marTop w:val="0"/>
      <w:marBottom w:val="0"/>
      <w:divBdr>
        <w:top w:val="none" w:sz="0" w:space="0" w:color="auto"/>
        <w:left w:val="none" w:sz="0" w:space="0" w:color="auto"/>
        <w:bottom w:val="none" w:sz="0" w:space="0" w:color="auto"/>
        <w:right w:val="none" w:sz="0" w:space="0" w:color="auto"/>
      </w:divBdr>
    </w:div>
    <w:div w:id="470177821">
      <w:bodyDiv w:val="1"/>
      <w:marLeft w:val="0"/>
      <w:marRight w:val="0"/>
      <w:marTop w:val="0"/>
      <w:marBottom w:val="0"/>
      <w:divBdr>
        <w:top w:val="none" w:sz="0" w:space="0" w:color="auto"/>
        <w:left w:val="none" w:sz="0" w:space="0" w:color="auto"/>
        <w:bottom w:val="none" w:sz="0" w:space="0" w:color="auto"/>
        <w:right w:val="none" w:sz="0" w:space="0" w:color="auto"/>
      </w:divBdr>
    </w:div>
    <w:div w:id="471603029">
      <w:bodyDiv w:val="1"/>
      <w:marLeft w:val="0"/>
      <w:marRight w:val="0"/>
      <w:marTop w:val="0"/>
      <w:marBottom w:val="0"/>
      <w:divBdr>
        <w:top w:val="none" w:sz="0" w:space="0" w:color="auto"/>
        <w:left w:val="none" w:sz="0" w:space="0" w:color="auto"/>
        <w:bottom w:val="none" w:sz="0" w:space="0" w:color="auto"/>
        <w:right w:val="none" w:sz="0" w:space="0" w:color="auto"/>
      </w:divBdr>
    </w:div>
    <w:div w:id="758213804">
      <w:bodyDiv w:val="1"/>
      <w:marLeft w:val="0"/>
      <w:marRight w:val="0"/>
      <w:marTop w:val="0"/>
      <w:marBottom w:val="0"/>
      <w:divBdr>
        <w:top w:val="none" w:sz="0" w:space="0" w:color="auto"/>
        <w:left w:val="none" w:sz="0" w:space="0" w:color="auto"/>
        <w:bottom w:val="none" w:sz="0" w:space="0" w:color="auto"/>
        <w:right w:val="none" w:sz="0" w:space="0" w:color="auto"/>
      </w:divBdr>
    </w:div>
    <w:div w:id="894505803">
      <w:bodyDiv w:val="1"/>
      <w:marLeft w:val="0"/>
      <w:marRight w:val="0"/>
      <w:marTop w:val="0"/>
      <w:marBottom w:val="0"/>
      <w:divBdr>
        <w:top w:val="none" w:sz="0" w:space="0" w:color="auto"/>
        <w:left w:val="none" w:sz="0" w:space="0" w:color="auto"/>
        <w:bottom w:val="none" w:sz="0" w:space="0" w:color="auto"/>
        <w:right w:val="none" w:sz="0" w:space="0" w:color="auto"/>
      </w:divBdr>
    </w:div>
    <w:div w:id="906376253">
      <w:bodyDiv w:val="1"/>
      <w:marLeft w:val="0"/>
      <w:marRight w:val="0"/>
      <w:marTop w:val="0"/>
      <w:marBottom w:val="0"/>
      <w:divBdr>
        <w:top w:val="none" w:sz="0" w:space="0" w:color="auto"/>
        <w:left w:val="none" w:sz="0" w:space="0" w:color="auto"/>
        <w:bottom w:val="none" w:sz="0" w:space="0" w:color="auto"/>
        <w:right w:val="none" w:sz="0" w:space="0" w:color="auto"/>
      </w:divBdr>
    </w:div>
    <w:div w:id="1033967760">
      <w:bodyDiv w:val="1"/>
      <w:marLeft w:val="0"/>
      <w:marRight w:val="0"/>
      <w:marTop w:val="0"/>
      <w:marBottom w:val="0"/>
      <w:divBdr>
        <w:top w:val="none" w:sz="0" w:space="0" w:color="auto"/>
        <w:left w:val="none" w:sz="0" w:space="0" w:color="auto"/>
        <w:bottom w:val="none" w:sz="0" w:space="0" w:color="auto"/>
        <w:right w:val="none" w:sz="0" w:space="0" w:color="auto"/>
      </w:divBdr>
    </w:div>
    <w:div w:id="1504323419">
      <w:bodyDiv w:val="1"/>
      <w:marLeft w:val="0"/>
      <w:marRight w:val="0"/>
      <w:marTop w:val="0"/>
      <w:marBottom w:val="0"/>
      <w:divBdr>
        <w:top w:val="none" w:sz="0" w:space="0" w:color="auto"/>
        <w:left w:val="none" w:sz="0" w:space="0" w:color="auto"/>
        <w:bottom w:val="none" w:sz="0" w:space="0" w:color="auto"/>
        <w:right w:val="none" w:sz="0" w:space="0" w:color="auto"/>
      </w:divBdr>
    </w:div>
    <w:div w:id="1595283974">
      <w:bodyDiv w:val="1"/>
      <w:marLeft w:val="0"/>
      <w:marRight w:val="0"/>
      <w:marTop w:val="0"/>
      <w:marBottom w:val="0"/>
      <w:divBdr>
        <w:top w:val="none" w:sz="0" w:space="0" w:color="auto"/>
        <w:left w:val="none" w:sz="0" w:space="0" w:color="auto"/>
        <w:bottom w:val="none" w:sz="0" w:space="0" w:color="auto"/>
        <w:right w:val="none" w:sz="0" w:space="0" w:color="auto"/>
      </w:divBdr>
    </w:div>
    <w:div w:id="1638876897">
      <w:bodyDiv w:val="1"/>
      <w:marLeft w:val="0"/>
      <w:marRight w:val="0"/>
      <w:marTop w:val="0"/>
      <w:marBottom w:val="0"/>
      <w:divBdr>
        <w:top w:val="none" w:sz="0" w:space="0" w:color="auto"/>
        <w:left w:val="none" w:sz="0" w:space="0" w:color="auto"/>
        <w:bottom w:val="none" w:sz="0" w:space="0" w:color="auto"/>
        <w:right w:val="none" w:sz="0" w:space="0" w:color="auto"/>
      </w:divBdr>
    </w:div>
    <w:div w:id="1652054949">
      <w:bodyDiv w:val="1"/>
      <w:marLeft w:val="0"/>
      <w:marRight w:val="0"/>
      <w:marTop w:val="0"/>
      <w:marBottom w:val="0"/>
      <w:divBdr>
        <w:top w:val="none" w:sz="0" w:space="0" w:color="auto"/>
        <w:left w:val="none" w:sz="0" w:space="0" w:color="auto"/>
        <w:bottom w:val="none" w:sz="0" w:space="0" w:color="auto"/>
        <w:right w:val="none" w:sz="0" w:space="0" w:color="auto"/>
      </w:divBdr>
    </w:div>
    <w:div w:id="1760711373">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 w:id="1869174718">
      <w:bodyDiv w:val="1"/>
      <w:marLeft w:val="0"/>
      <w:marRight w:val="0"/>
      <w:marTop w:val="0"/>
      <w:marBottom w:val="0"/>
      <w:divBdr>
        <w:top w:val="none" w:sz="0" w:space="0" w:color="auto"/>
        <w:left w:val="none" w:sz="0" w:space="0" w:color="auto"/>
        <w:bottom w:val="none" w:sz="0" w:space="0" w:color="auto"/>
        <w:right w:val="none" w:sz="0" w:space="0" w:color="auto"/>
      </w:divBdr>
    </w:div>
    <w:div w:id="2100523379">
      <w:bodyDiv w:val="1"/>
      <w:marLeft w:val="0"/>
      <w:marRight w:val="0"/>
      <w:marTop w:val="0"/>
      <w:marBottom w:val="0"/>
      <w:divBdr>
        <w:top w:val="none" w:sz="0" w:space="0" w:color="auto"/>
        <w:left w:val="none" w:sz="0" w:space="0" w:color="auto"/>
        <w:bottom w:val="none" w:sz="0" w:space="0" w:color="auto"/>
        <w:right w:val="none" w:sz="0" w:space="0" w:color="auto"/>
      </w:divBdr>
    </w:div>
    <w:div w:id="2115703745">
      <w:bodyDiv w:val="1"/>
      <w:marLeft w:val="0"/>
      <w:marRight w:val="0"/>
      <w:marTop w:val="0"/>
      <w:marBottom w:val="0"/>
      <w:divBdr>
        <w:top w:val="none" w:sz="0" w:space="0" w:color="auto"/>
        <w:left w:val="none" w:sz="0" w:space="0" w:color="auto"/>
        <w:bottom w:val="none" w:sz="0" w:space="0" w:color="auto"/>
        <w:right w:val="none" w:sz="0" w:space="0" w:color="auto"/>
      </w:divBdr>
      <w:divsChild>
        <w:div w:id="1661500674">
          <w:marLeft w:val="0"/>
          <w:marRight w:val="0"/>
          <w:marTop w:val="0"/>
          <w:marBottom w:val="0"/>
          <w:divBdr>
            <w:top w:val="none" w:sz="0" w:space="0" w:color="auto"/>
            <w:left w:val="none" w:sz="0" w:space="0" w:color="auto"/>
            <w:bottom w:val="none" w:sz="0" w:space="0" w:color="auto"/>
            <w:right w:val="none" w:sz="0" w:space="0" w:color="auto"/>
          </w:divBdr>
        </w:div>
        <w:div w:id="141547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ap.ohchr.org/documents/dpage_e.aspx?si=A/HRC/38/4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en/S/2019/280" TargetMode="Externa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tbinternet.ohchr.org/_layouts/15/treatybodyexternal/Download.aspx?symbolno=CRC%2fC%2fGC%2f13&amp;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0" Type="http://schemas.openxmlformats.org/officeDocument/2006/relationships/hyperlink" Target="https://www.ohchr.org/Documents/Issues/Discrimination/LGBT/BackgroundNoteHumanRightsViolationsagainstIntersexPeo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INT/CEDAW/GEC/3731&amp;Lang=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hchr.org/Documents/Publications/Born_Free_and_Equal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ieurope.org/library-en/ma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rm.coe.int/ecri-general-policy-recommendation-no-15-on-combating-hate-speech/16808b5b01" TargetMode="External"/><Relationship Id="rId18" Type="http://schemas.openxmlformats.org/officeDocument/2006/relationships/hyperlink" Target="http://www.ejustice.just.fgov.be/cgi_loi/change_lg_2.pl?language=fr&amp;nm=2007002098&amp;la=F" TargetMode="External"/><Relationship Id="rId26" Type="http://schemas.openxmlformats.org/officeDocument/2006/relationships/hyperlink" Target="https://oiieurope.org/international-intersex-human-rights-movement-resource-list/" TargetMode="External"/><Relationship Id="rId39" Type="http://schemas.openxmlformats.org/officeDocument/2006/relationships/hyperlink" Target="https://assembly.coe.int/nw/xml/XRef/Xref-XML2HTML-EN.asp?fileid=24232&amp;lang=en" TargetMode="External"/><Relationship Id="rId21" Type="http://schemas.openxmlformats.org/officeDocument/2006/relationships/hyperlink" Target="https://www.kodiko.gr/nomothesia/document/307515/nomos-927-1979" TargetMode="External"/><Relationship Id="rId34" Type="http://schemas.openxmlformats.org/officeDocument/2006/relationships/hyperlink" Target="https://oiieurope.org/wp-content/uploads/2019/11/testimonial_broch_21-21cm_for_web.pdf" TargetMode="External"/><Relationship Id="rId42" Type="http://schemas.openxmlformats.org/officeDocument/2006/relationships/hyperlink" Target="https://www.pgdlisboa.pt/leis/lei_mostra_articulado.php?nid=2926&amp;tabela=leis&amp;ficha=1" TargetMode="External"/><Relationship Id="rId47" Type="http://schemas.openxmlformats.org/officeDocument/2006/relationships/hyperlink" Target="https://oiieurope.org/wp-content/uploads/2021/05/2020_Submission-OII-Europe_Gender-based-and-domestic-violence_FINAL.pdf" TargetMode="External"/><Relationship Id="rId50" Type="http://schemas.openxmlformats.org/officeDocument/2006/relationships/hyperlink" Target="https://www.researchgate.net/publication/290446986_Living_with_intersexDSD_An_exploratory_study_of_the_social_situation_of_persons_with_intersexDSD" TargetMode="External"/><Relationship Id="rId55" Type="http://schemas.openxmlformats.org/officeDocument/2006/relationships/hyperlink" Target="https://oiieurope.org/good-practice-map-2020/" TargetMode="External"/><Relationship Id="rId63" Type="http://schemas.openxmlformats.org/officeDocument/2006/relationships/hyperlink" Target="https://oiieurope.org/good-practice-map-2019/" TargetMode="External"/><Relationship Id="rId7" Type="http://schemas.openxmlformats.org/officeDocument/2006/relationships/hyperlink" Target="https://www.equallyours.org.uk/wp-content/uploads/2018/10/Hate-crime-cause-and-effect.pdf" TargetMode="External"/><Relationship Id="rId2" Type="http://schemas.openxmlformats.org/officeDocument/2006/relationships/hyperlink" Target="https://unfe.org/system/unfe-65-Intersex_Factsheet_ENGLISH.pdf" TargetMode="External"/><Relationship Id="rId16" Type="http://schemas.openxmlformats.org/officeDocument/2006/relationships/hyperlink" Target="https://legislation.mt/eli/cap/540/eng/pdf" TargetMode="External"/><Relationship Id="rId20" Type="http://schemas.openxmlformats.org/officeDocument/2006/relationships/hyperlink" Target="http://www.ejustice.just.fgov.be/cgi_loi/change_lg_2.pl?language=fr&amp;nm=2007002098&amp;la=F" TargetMode="External"/><Relationship Id="rId29" Type="http://schemas.openxmlformats.org/officeDocument/2006/relationships/hyperlink" Target="https://rm.coe.int/16806d8e2f" TargetMode="External"/><Relationship Id="rId41" Type="http://schemas.openxmlformats.org/officeDocument/2006/relationships/hyperlink" Target="https://legislation.mt/eli/cap/540/eng/pdf" TargetMode="External"/><Relationship Id="rId54" Type="http://schemas.openxmlformats.org/officeDocument/2006/relationships/hyperlink" Target="https://varges.at" TargetMode="External"/><Relationship Id="rId62" Type="http://schemas.openxmlformats.org/officeDocument/2006/relationships/hyperlink" Target="https://oiieurope.org/good-practice-map-2020/" TargetMode="External"/><Relationship Id="rId1" Type="http://schemas.openxmlformats.org/officeDocument/2006/relationships/hyperlink" Target="https://oiieurope.org/library-en/toolkit-cat/legal-toolkit/" TargetMode="External"/><Relationship Id="rId6" Type="http://schemas.openxmlformats.org/officeDocument/2006/relationships/hyperlink" Target="https://oiieurope.org/intersex-youth/" TargetMode="External"/><Relationship Id="rId11" Type="http://schemas.openxmlformats.org/officeDocument/2006/relationships/hyperlink" Target="http://yogyakartaprinciples.org/wp-content/uploads/2017/11/A5_yogyakartaWEB-2.pdf" TargetMode="External"/><Relationship Id="rId24" Type="http://schemas.openxmlformats.org/officeDocument/2006/relationships/hyperlink" Target="https://oiieurope.org/library-en/toolkit-cat/legal-toolkit/" TargetMode="External"/><Relationship Id="rId32" Type="http://schemas.openxmlformats.org/officeDocument/2006/relationships/hyperlink" Target="https://www.amnesty.org/en/documents/eur01/6086/2017/en/" TargetMode="External"/><Relationship Id="rId37" Type="http://schemas.openxmlformats.org/officeDocument/2006/relationships/hyperlink" Target="https://www.gender.hu-berlin.de/de/publikationen/gender-bulletins/bulletin-texte/texte-42/kloeppel-2016_zur-aktualitaet-kosmetischer-genitaloperationen" TargetMode="External"/><Relationship Id="rId40" Type="http://schemas.openxmlformats.org/officeDocument/2006/relationships/hyperlink" Target="https://www.europarl.europa.eu/doceo/document/TA-8-2019-0128_EN.pdf" TargetMode="External"/><Relationship Id="rId45" Type="http://schemas.openxmlformats.org/officeDocument/2006/relationships/hyperlink" Target="https://www.bgbl.de/xaver/bgbl/start.xav?start=//*%5b@attr_id=%27bgbl121s1082.pdf%27%5d" TargetMode="External"/><Relationship Id="rId53" Type="http://schemas.openxmlformats.org/officeDocument/2006/relationships/hyperlink" Target="https://oiieurope.org/statement-1st-european-intersex-community-event-vienna-30st-31st-march-2017/" TargetMode="External"/><Relationship Id="rId58" Type="http://schemas.openxmlformats.org/officeDocument/2006/relationships/hyperlink" Target="https://oiieurope.org/library-en/map/" TargetMode="External"/><Relationship Id="rId66" Type="http://schemas.openxmlformats.org/officeDocument/2006/relationships/hyperlink" Target="https://oiieurope.org/good-practice-map-2018/" TargetMode="External"/><Relationship Id="rId5" Type="http://schemas.openxmlformats.org/officeDocument/2006/relationships/hyperlink" Target="https://oiieurope.org/physical-violence-and-harassment/" TargetMode="External"/><Relationship Id="rId15" Type="http://schemas.openxmlformats.org/officeDocument/2006/relationships/hyperlink" Target="https://eur-lex.europa.eu/legal-content/EN/TXT/?uri=CELEX:52020DC0698" TargetMode="External"/><Relationship Id="rId23" Type="http://schemas.openxmlformats.org/officeDocument/2006/relationships/hyperlink" Target="https://fra.europa.eu/sites/default/files/fra_uploads/fra-2020-lgbti-equality-1_en.pdf" TargetMode="External"/><Relationship Id="rId28" Type="http://schemas.openxmlformats.org/officeDocument/2006/relationships/hyperlink" Target="http://www.un.org/en/ga/search/view_doc.asp?symbol=A/70/213" TargetMode="External"/><Relationship Id="rId36" Type="http://schemas.openxmlformats.org/officeDocument/2006/relationships/hyperlink" Target="https://omp.ub.rub.de/index.php/RUB/catalog/view/113/99/604-2" TargetMode="External"/><Relationship Id="rId49" Type="http://schemas.openxmlformats.org/officeDocument/2006/relationships/hyperlink" Target="https://pace.coe.int/en/files/24027/html" TargetMode="External"/><Relationship Id="rId57" Type="http://schemas.openxmlformats.org/officeDocument/2006/relationships/hyperlink" Target="https://eur-lex.europa.eu/legal-content/en/TXT/?uri=CELEX%3A52021DC0142" TargetMode="External"/><Relationship Id="rId61" Type="http://schemas.openxmlformats.org/officeDocument/2006/relationships/hyperlink" Target="https://www.facebook.com/events/1457464814461908/" TargetMode="External"/><Relationship Id="rId10" Type="http://schemas.openxmlformats.org/officeDocument/2006/relationships/hyperlink" Target="https://www.oiieurope.org/covid-19-survey-report/" TargetMode="External"/><Relationship Id="rId19" Type="http://schemas.openxmlformats.org/officeDocument/2006/relationships/hyperlink" Target="http://www.ejustice.just.fgov.be/cgi_loi/change_lg_2.pl?language=fr&amp;nm=2007002098&amp;la=F" TargetMode="External"/><Relationship Id="rId31" Type="http://schemas.openxmlformats.org/officeDocument/2006/relationships/hyperlink" Target="https://www.researchgate.net/publication/290446986_Living_with_intersexDSD_An_exploratory_study_of_the_social_situation_of_persons_with_intersexDSD" TargetMode="External"/><Relationship Id="rId44" Type="http://schemas.openxmlformats.org/officeDocument/2006/relationships/hyperlink" Target="https://www.althingi.is/altext/stjt/2020.154.html" TargetMode="External"/><Relationship Id="rId52" Type="http://schemas.openxmlformats.org/officeDocument/2006/relationships/hyperlink" Target="https://www.bmfsfj.de/blob/123144/40905d00b0bc5d9722523bb6f9e29824/imag-band-3-beratung-undunterstuetzung-fuer-intersexuelle-menschen-data.pdf" TargetMode="External"/><Relationship Id="rId60" Type="http://schemas.openxmlformats.org/officeDocument/2006/relationships/hyperlink" Target="https://www.facebook.com/events/199471551834721/" TargetMode="External"/><Relationship Id="rId65" Type="http://schemas.openxmlformats.org/officeDocument/2006/relationships/hyperlink" Target="https://oiieurope.org/good-practice-map-2019/" TargetMode="External"/><Relationship Id="rId4" Type="http://schemas.openxmlformats.org/officeDocument/2006/relationships/hyperlink" Target="https://fra.europa.eu/en/publication/2020/eu-lgbti-survey-results" TargetMode="External"/><Relationship Id="rId9" Type="http://schemas.openxmlformats.org/officeDocument/2006/relationships/hyperlink" Target="https://oiieurope.org/wp-content/uploads/2021/05/OII-Europe-Submission_Extension-Hate-Speech-and-Crime_FINAL.pdf" TargetMode="External"/><Relationship Id="rId14" Type="http://schemas.openxmlformats.org/officeDocument/2006/relationships/hyperlink" Target="https://ec.europa.eu/info/law/better-regulation/have-your-say/initiatives/12872-Hate-speech-&amp;-hate-crime-inclusion-on-list-of-EU-crimes_en" TargetMode="External"/><Relationship Id="rId22" Type="http://schemas.openxmlformats.org/officeDocument/2006/relationships/hyperlink" Target="http://www.ejustice.just.fgov.be/cgi_loi/change_lg_2.pl?language=fr&amp;nm=2007002098&amp;la=F" TargetMode="External"/><Relationship Id="rId27" Type="http://schemas.openxmlformats.org/officeDocument/2006/relationships/hyperlink" Target="https://oiieurope.org/wp-content/uploads/2020/12/2020_UN-SR-Right-to-Privacy-Submission_OII-Europe_FINAL-public.pdf" TargetMode="External"/><Relationship Id="rId30" Type="http://schemas.openxmlformats.org/officeDocument/2006/relationships/hyperlink" Target="https://pure.hud.ac.uk/en/publications/intersex-variations-of-sex-characteristics-and-dsd-the-need-for-c" TargetMode="External"/><Relationship Id="rId35" Type="http://schemas.openxmlformats.org/officeDocument/2006/relationships/hyperlink" Target="https://fra.europa.eu/en/publication/2015/fundamental-rights-situation-intersex-people" TargetMode="External"/><Relationship Id="rId43" Type="http://schemas.openxmlformats.org/officeDocument/2006/relationships/hyperlink" Target="https://www.althingi.is/lagas/nuna/2019080.html" TargetMode="External"/><Relationship Id="rId48" Type="http://schemas.openxmlformats.org/officeDocument/2006/relationships/hyperlink" Target="https://oiieurope.org/wp-content/uploads/2021/10/OII-Europe-Submission-Victims-Rights-Directive_FINAL.pdf" TargetMode="External"/><Relationship Id="rId56" Type="http://schemas.openxmlformats.org/officeDocument/2006/relationships/hyperlink" Target="https://oiieurope.org/a-good-first-step-germany-adopts-law-banning-igm/" TargetMode="External"/><Relationship Id="rId64" Type="http://schemas.openxmlformats.org/officeDocument/2006/relationships/hyperlink" Target="https://www.intersexnew.co.uk/about/" TargetMode="External"/><Relationship Id="rId8" Type="http://schemas.openxmlformats.org/officeDocument/2006/relationships/hyperlink" Target="https://oiieurope.org/intersex-youth/" TargetMode="External"/><Relationship Id="rId51" Type="http://schemas.openxmlformats.org/officeDocument/2006/relationships/hyperlink" Target="https://www.boell.de/sites/default/files/endf_human_rights_between_the_sexes.pdf" TargetMode="External"/><Relationship Id="rId3" Type="http://schemas.openxmlformats.org/officeDocument/2006/relationships/hyperlink" Target="https://worldpopulationprospects.info/" TargetMode="External"/><Relationship Id="rId12" Type="http://schemas.openxmlformats.org/officeDocument/2006/relationships/hyperlink" Target="https://search.coe.int/cm/Pages/result_details.aspx?ObjectID=09000016805cf40a" TargetMode="External"/><Relationship Id="rId17" Type="http://schemas.openxmlformats.org/officeDocument/2006/relationships/hyperlink" Target="https://www.kodiko.gr/nomothesia/document/140974/nomos-4356-2015" TargetMode="External"/><Relationship Id="rId25" Type="http://schemas.openxmlformats.org/officeDocument/2006/relationships/hyperlink" Target="https://www.ohchr.org/EN/Issues/Discrimination/Pages/BackgroundViolationsIntersexPeople.aspx" TargetMode="External"/><Relationship Id="rId33" Type="http://schemas.openxmlformats.org/officeDocument/2006/relationships/hyperlink" Target="https://pace.coe.int/en/files/24027/html" TargetMode="External"/><Relationship Id="rId38" Type="http://schemas.openxmlformats.org/officeDocument/2006/relationships/hyperlink" Target="https://rm.coe.int/16806da5d4" TargetMode="External"/><Relationship Id="rId46" Type="http://schemas.openxmlformats.org/officeDocument/2006/relationships/hyperlink" Target="https://oiieurope.org/library-en/toolkit-cat/legal-toolkit/" TargetMode="External"/><Relationship Id="rId59" Type="http://schemas.openxmlformats.org/officeDocument/2006/relationships/hyperlink" Target="https://droits-intersex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B743C251-26A7-4258-ABAE-C1A3EFE8E00C}"/>
</file>

<file path=customXml/itemProps4.xml><?xml version="1.0" encoding="utf-8"?>
<ds:datastoreItem xmlns:ds="http://schemas.openxmlformats.org/officeDocument/2006/customXml" ds:itemID="{77D6E85F-794B-4612-9A30-4368D4FA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4961</Words>
  <Characters>28280</Characters>
  <Application>Microsoft Office Word</Application>
  <DocSecurity>0</DocSecurity>
  <Lines>235</Lines>
  <Paragraphs>66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2022-01-19T15:19:00Z</dcterms:created>
  <dcterms:modified xsi:type="dcterms:W3CDTF">2022-01-27T15:29:00Z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