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B7AD" w14:textId="4767AFD7" w:rsidR="00481E85" w:rsidRPr="002A22C6" w:rsidRDefault="00BA21CF" w:rsidP="004420B3">
      <w:pPr>
        <w:jc w:val="center"/>
        <w:rPr>
          <w:smallCaps/>
          <w:szCs w:val="24"/>
        </w:rPr>
      </w:pPr>
      <w:r>
        <w:rPr>
          <w:smallCaps/>
          <w:szCs w:val="24"/>
        </w:rPr>
        <w:t>Oficina de la Alta Comisionada de las Naciones Unidas para los Derechos Humanos</w:t>
      </w:r>
    </w:p>
    <w:p w14:paraId="299D425D" w14:textId="77777777" w:rsidR="00481E85" w:rsidRPr="002A22C6" w:rsidRDefault="00481E85" w:rsidP="004420B3">
      <w:pPr>
        <w:jc w:val="center"/>
        <w:rPr>
          <w:szCs w:val="24"/>
        </w:rPr>
      </w:pPr>
    </w:p>
    <w:p w14:paraId="1107AD73" w14:textId="77777777" w:rsidR="00481E85" w:rsidRPr="002A22C6" w:rsidRDefault="00481E85" w:rsidP="004420B3">
      <w:pPr>
        <w:pBdr>
          <w:bottom w:val="single" w:sz="12" w:space="1" w:color="auto"/>
        </w:pBdr>
        <w:jc w:val="center"/>
        <w:rPr>
          <w:b/>
          <w:szCs w:val="24"/>
        </w:rPr>
      </w:pPr>
    </w:p>
    <w:p w14:paraId="6E95C913" w14:textId="77777777" w:rsidR="00481E85" w:rsidRPr="002A22C6" w:rsidRDefault="00481E85" w:rsidP="004420B3">
      <w:pPr>
        <w:pBdr>
          <w:bottom w:val="single" w:sz="12" w:space="1" w:color="auto"/>
        </w:pBdr>
        <w:jc w:val="center"/>
        <w:rPr>
          <w:b/>
          <w:szCs w:val="24"/>
        </w:rPr>
      </w:pPr>
    </w:p>
    <w:p w14:paraId="034FD5DE" w14:textId="77777777" w:rsidR="00481E85" w:rsidRPr="002A22C6" w:rsidRDefault="00481E85" w:rsidP="004420B3">
      <w:pPr>
        <w:pBdr>
          <w:bottom w:val="single" w:sz="12" w:space="1" w:color="auto"/>
        </w:pBdr>
        <w:jc w:val="center"/>
        <w:rPr>
          <w:b/>
          <w:szCs w:val="24"/>
        </w:rPr>
      </w:pPr>
    </w:p>
    <w:p w14:paraId="28CC51C8" w14:textId="77777777" w:rsidR="00481E85" w:rsidRPr="002A22C6" w:rsidRDefault="00481E85" w:rsidP="004420B3">
      <w:pPr>
        <w:pBdr>
          <w:bottom w:val="single" w:sz="12" w:space="1" w:color="auto"/>
        </w:pBdr>
        <w:tabs>
          <w:tab w:val="left" w:pos="-90"/>
        </w:tabs>
        <w:jc w:val="center"/>
        <w:rPr>
          <w:b/>
          <w:szCs w:val="24"/>
        </w:rPr>
      </w:pPr>
    </w:p>
    <w:p w14:paraId="416A3EF9" w14:textId="77777777" w:rsidR="00481E85" w:rsidRPr="002A22C6" w:rsidRDefault="00481E85" w:rsidP="004420B3">
      <w:pPr>
        <w:jc w:val="center"/>
        <w:rPr>
          <w:szCs w:val="24"/>
        </w:rPr>
      </w:pPr>
    </w:p>
    <w:p w14:paraId="23FEB4B8" w14:textId="6D172D5F" w:rsidR="00481E85" w:rsidRPr="00C32C2D" w:rsidRDefault="00831EB8" w:rsidP="004420B3">
      <w:pPr>
        <w:jc w:val="center"/>
        <w:rPr>
          <w:rFonts w:eastAsia="Calibri"/>
          <w:b/>
          <w:smallCaps/>
          <w:szCs w:val="24"/>
          <w:lang w:eastAsia="es-MX"/>
        </w:rPr>
      </w:pPr>
      <w:r>
        <w:rPr>
          <w:rFonts w:eastAsia="Calibri"/>
          <w:b/>
          <w:smallCaps/>
          <w:szCs w:val="24"/>
          <w:lang w:eastAsia="es-MX"/>
        </w:rPr>
        <w:t>“Hacia un comercio sin tortura: examen de la viabilidad, el alcance y los parámetros de posibles normas internacionales comunes” (Resolución 73/304 de la Asamblea General de las Naciones Unidas)</w:t>
      </w:r>
    </w:p>
    <w:p w14:paraId="7D67BDA6" w14:textId="77777777" w:rsidR="00481E85" w:rsidRPr="002A22C6" w:rsidRDefault="00481E85" w:rsidP="004420B3">
      <w:pPr>
        <w:pBdr>
          <w:bottom w:val="single" w:sz="12" w:space="1" w:color="auto"/>
        </w:pBdr>
        <w:jc w:val="center"/>
        <w:rPr>
          <w:b/>
          <w:szCs w:val="24"/>
        </w:rPr>
      </w:pPr>
    </w:p>
    <w:p w14:paraId="0FE37C19" w14:textId="77777777" w:rsidR="00481E85" w:rsidRDefault="00481E85" w:rsidP="004420B3">
      <w:pPr>
        <w:jc w:val="center"/>
        <w:rPr>
          <w:smallCaps/>
          <w:szCs w:val="24"/>
        </w:rPr>
      </w:pPr>
    </w:p>
    <w:p w14:paraId="251C890D" w14:textId="77777777" w:rsidR="00B8702C" w:rsidRDefault="00B8702C" w:rsidP="004420B3">
      <w:pPr>
        <w:jc w:val="center"/>
        <w:rPr>
          <w:smallCaps/>
          <w:szCs w:val="24"/>
        </w:rPr>
      </w:pPr>
    </w:p>
    <w:p w14:paraId="52C27384" w14:textId="77777777" w:rsidR="00481E85" w:rsidRDefault="00481E85" w:rsidP="004420B3">
      <w:pPr>
        <w:jc w:val="center"/>
        <w:rPr>
          <w:smallCaps/>
          <w:szCs w:val="24"/>
        </w:rPr>
      </w:pPr>
    </w:p>
    <w:p w14:paraId="08D666D9" w14:textId="77777777" w:rsidR="00F9109B" w:rsidRPr="002A22C6" w:rsidRDefault="00F9109B" w:rsidP="004420B3">
      <w:pPr>
        <w:jc w:val="center"/>
        <w:rPr>
          <w:smallCaps/>
          <w:szCs w:val="24"/>
        </w:rPr>
      </w:pPr>
    </w:p>
    <w:p w14:paraId="243448C8" w14:textId="77777777" w:rsidR="00481E85" w:rsidRDefault="00481E85" w:rsidP="004420B3">
      <w:pPr>
        <w:jc w:val="center"/>
        <w:rPr>
          <w:smallCaps/>
          <w:szCs w:val="24"/>
        </w:rPr>
      </w:pPr>
    </w:p>
    <w:p w14:paraId="04D8F21B" w14:textId="77777777" w:rsidR="00F35E6D" w:rsidRDefault="00F35E6D" w:rsidP="004420B3">
      <w:pPr>
        <w:jc w:val="center"/>
        <w:rPr>
          <w:smallCaps/>
          <w:szCs w:val="24"/>
        </w:rPr>
      </w:pPr>
    </w:p>
    <w:p w14:paraId="11CCBA4C" w14:textId="77777777" w:rsidR="00F35E6D" w:rsidRDefault="00F35E6D" w:rsidP="004420B3">
      <w:pPr>
        <w:jc w:val="center"/>
        <w:rPr>
          <w:szCs w:val="24"/>
        </w:rPr>
      </w:pPr>
    </w:p>
    <w:p w14:paraId="7613A9D5" w14:textId="77777777" w:rsidR="00F9109B" w:rsidRDefault="00F9109B" w:rsidP="004420B3">
      <w:pPr>
        <w:jc w:val="center"/>
        <w:rPr>
          <w:szCs w:val="24"/>
        </w:rPr>
      </w:pPr>
    </w:p>
    <w:p w14:paraId="6B67415E" w14:textId="77777777" w:rsidR="002D3FC4" w:rsidRDefault="002D3FC4" w:rsidP="004420B3">
      <w:pPr>
        <w:jc w:val="center"/>
        <w:rPr>
          <w:szCs w:val="24"/>
        </w:rPr>
      </w:pPr>
    </w:p>
    <w:p w14:paraId="7343B00D" w14:textId="77777777" w:rsidR="00A53E0F" w:rsidRDefault="00A53E0F" w:rsidP="004420B3">
      <w:pPr>
        <w:jc w:val="center"/>
        <w:rPr>
          <w:szCs w:val="24"/>
        </w:rPr>
      </w:pPr>
    </w:p>
    <w:p w14:paraId="06C5DB23" w14:textId="77777777" w:rsidR="00481E85" w:rsidRPr="002A22C6" w:rsidRDefault="00481E85" w:rsidP="004420B3">
      <w:pPr>
        <w:jc w:val="center"/>
        <w:rPr>
          <w:szCs w:val="24"/>
        </w:rPr>
      </w:pPr>
    </w:p>
    <w:p w14:paraId="6F747D4B" w14:textId="7EABBD3E" w:rsidR="00C139D6" w:rsidRDefault="00A96208" w:rsidP="004420B3">
      <w:pPr>
        <w:jc w:val="center"/>
        <w:rPr>
          <w:szCs w:val="24"/>
        </w:rPr>
      </w:pPr>
      <w:r>
        <w:rPr>
          <w:szCs w:val="24"/>
        </w:rPr>
        <w:t>Ciudad de México, México</w:t>
      </w:r>
      <w:r w:rsidR="00202F85">
        <w:rPr>
          <w:szCs w:val="24"/>
        </w:rPr>
        <w:t>,</w:t>
      </w:r>
      <w:r w:rsidR="00481E85" w:rsidRPr="00C91D5F">
        <w:rPr>
          <w:szCs w:val="24"/>
        </w:rPr>
        <w:t xml:space="preserve"> a </w:t>
      </w:r>
      <w:r w:rsidR="00954863">
        <w:rPr>
          <w:szCs w:val="24"/>
        </w:rPr>
        <w:t>22</w:t>
      </w:r>
      <w:r w:rsidR="008B5649">
        <w:rPr>
          <w:szCs w:val="24"/>
        </w:rPr>
        <w:t xml:space="preserve"> de </w:t>
      </w:r>
      <w:r w:rsidR="00BA21CF">
        <w:rPr>
          <w:szCs w:val="24"/>
        </w:rPr>
        <w:t>diciembre</w:t>
      </w:r>
      <w:r w:rsidR="00F35E6D">
        <w:rPr>
          <w:szCs w:val="24"/>
        </w:rPr>
        <w:t xml:space="preserve"> de 2021</w:t>
      </w:r>
    </w:p>
    <w:p w14:paraId="62F78D32" w14:textId="77777777" w:rsidR="00A53E0F" w:rsidRDefault="00A53E0F" w:rsidP="004420B3">
      <w:pPr>
        <w:jc w:val="center"/>
        <w:rPr>
          <w:szCs w:val="24"/>
        </w:rPr>
      </w:pPr>
    </w:p>
    <w:p w14:paraId="4DF0A72E" w14:textId="77777777" w:rsidR="00481E85" w:rsidRPr="00AC71B0" w:rsidRDefault="00481E85" w:rsidP="004420B3">
      <w:pPr>
        <w:jc w:val="center"/>
        <w:rPr>
          <w:b/>
          <w:szCs w:val="24"/>
        </w:rPr>
      </w:pPr>
      <w:r w:rsidRPr="00AC71B0">
        <w:rPr>
          <w:b/>
          <w:szCs w:val="24"/>
        </w:rPr>
        <w:br w:type="page"/>
      </w:r>
    </w:p>
    <w:p w14:paraId="244A7EC2" w14:textId="77777777" w:rsidR="00481E85" w:rsidRDefault="00481E85" w:rsidP="004420B3">
      <w:pPr>
        <w:jc w:val="center"/>
        <w:rPr>
          <w:b/>
          <w:szCs w:val="24"/>
        </w:rPr>
        <w:sectPr w:rsidR="00481E85">
          <w:footerReference w:type="default" r:id="rId8"/>
          <w:pgSz w:w="12240" w:h="15840"/>
          <w:pgMar w:top="1417" w:right="1701" w:bottom="1417" w:left="1701" w:header="708" w:footer="708" w:gutter="0"/>
          <w:cols w:space="708"/>
          <w:docGrid w:linePitch="360"/>
        </w:sectPr>
      </w:pPr>
    </w:p>
    <w:sdt>
      <w:sdtPr>
        <w:rPr>
          <w:rFonts w:ascii="Times New Roman" w:eastAsiaTheme="minorHAnsi" w:hAnsi="Times New Roman" w:cs="Times New Roman"/>
          <w:b w:val="0"/>
          <w:bCs w:val="0"/>
          <w:color w:val="auto"/>
          <w:sz w:val="24"/>
          <w:szCs w:val="22"/>
          <w:lang w:val="es-ES" w:eastAsia="en-US"/>
        </w:rPr>
        <w:id w:val="-1204789513"/>
        <w:docPartObj>
          <w:docPartGallery w:val="Table of Contents"/>
          <w:docPartUnique/>
        </w:docPartObj>
      </w:sdtPr>
      <w:sdtEndPr/>
      <w:sdtContent>
        <w:p w14:paraId="58ED934B" w14:textId="77777777" w:rsidR="00A409CD" w:rsidRPr="00A72605" w:rsidRDefault="00951C39" w:rsidP="004420B3">
          <w:pPr>
            <w:pStyle w:val="TOCHeading"/>
            <w:tabs>
              <w:tab w:val="center" w:pos="4419"/>
              <w:tab w:val="left" w:pos="5310"/>
            </w:tabs>
            <w:spacing w:line="360" w:lineRule="auto"/>
            <w:rPr>
              <w:rFonts w:ascii="Times New Roman" w:hAnsi="Times New Roman" w:cs="Times New Roman"/>
              <w:color w:val="auto"/>
              <w:sz w:val="24"/>
              <w:szCs w:val="24"/>
            </w:rPr>
          </w:pPr>
          <w:r w:rsidRPr="00A72605">
            <w:rPr>
              <w:rFonts w:ascii="Times New Roman" w:eastAsiaTheme="minorHAnsi" w:hAnsi="Times New Roman" w:cs="Times New Roman"/>
              <w:b w:val="0"/>
              <w:bCs w:val="0"/>
              <w:color w:val="auto"/>
              <w:sz w:val="24"/>
              <w:szCs w:val="24"/>
              <w:lang w:val="es-ES" w:eastAsia="en-US"/>
            </w:rPr>
            <w:tab/>
          </w:r>
          <w:r w:rsidR="004836A1" w:rsidRPr="00A72605">
            <w:rPr>
              <w:rFonts w:ascii="Times New Roman" w:eastAsiaTheme="minorHAnsi" w:hAnsi="Times New Roman" w:cs="Times New Roman"/>
              <w:bCs w:val="0"/>
              <w:color w:val="auto"/>
              <w:sz w:val="24"/>
              <w:szCs w:val="24"/>
              <w:lang w:val="es-ES" w:eastAsia="en-US"/>
            </w:rPr>
            <w:t>ÍNDICE</w:t>
          </w:r>
        </w:p>
        <w:p w14:paraId="1F8078AC" w14:textId="77777777" w:rsidR="00077ED1" w:rsidRDefault="00A409CD">
          <w:pPr>
            <w:pStyle w:val="TOC1"/>
            <w:rPr>
              <w:rFonts w:asciiTheme="minorHAnsi" w:eastAsiaTheme="minorEastAsia" w:hAnsiTheme="minorHAnsi" w:cstheme="minorBidi"/>
              <w:b w:val="0"/>
              <w:smallCaps w:val="0"/>
              <w:sz w:val="22"/>
              <w:lang w:eastAsia="es-MX"/>
            </w:rPr>
          </w:pPr>
          <w:r w:rsidRPr="00A72605">
            <w:rPr>
              <w:szCs w:val="24"/>
            </w:rPr>
            <w:fldChar w:fldCharType="begin"/>
          </w:r>
          <w:r w:rsidRPr="00A72605">
            <w:rPr>
              <w:szCs w:val="24"/>
            </w:rPr>
            <w:instrText xml:space="preserve"> TOC \o "1-3" \h \z \u </w:instrText>
          </w:r>
          <w:r w:rsidRPr="00A72605">
            <w:rPr>
              <w:szCs w:val="24"/>
            </w:rPr>
            <w:fldChar w:fldCharType="separate"/>
          </w:r>
          <w:hyperlink w:anchor="_Toc91078039" w:history="1">
            <w:r w:rsidR="00077ED1" w:rsidRPr="00CF75C4">
              <w:rPr>
                <w:rStyle w:val="Hyperlink"/>
                <w:rFonts w:eastAsiaTheme="majorEastAsia"/>
                <w:bCs/>
              </w:rPr>
              <w:t>I.</w:t>
            </w:r>
            <w:r w:rsidR="00077ED1">
              <w:rPr>
                <w:rFonts w:asciiTheme="minorHAnsi" w:eastAsiaTheme="minorEastAsia" w:hAnsiTheme="minorHAnsi" w:cstheme="minorBidi"/>
                <w:b w:val="0"/>
                <w:smallCaps w:val="0"/>
                <w:sz w:val="22"/>
                <w:lang w:eastAsia="es-MX"/>
              </w:rPr>
              <w:tab/>
            </w:r>
            <w:r w:rsidR="00077ED1" w:rsidRPr="00CF75C4">
              <w:rPr>
                <w:rStyle w:val="Hyperlink"/>
                <w:rFonts w:eastAsiaTheme="majorEastAsia"/>
                <w:bCs/>
              </w:rPr>
              <w:t>Introducción</w:t>
            </w:r>
            <w:r w:rsidR="00077ED1">
              <w:rPr>
                <w:webHidden/>
              </w:rPr>
              <w:tab/>
            </w:r>
            <w:r w:rsidR="00077ED1">
              <w:rPr>
                <w:webHidden/>
              </w:rPr>
              <w:fldChar w:fldCharType="begin"/>
            </w:r>
            <w:r w:rsidR="00077ED1">
              <w:rPr>
                <w:webHidden/>
              </w:rPr>
              <w:instrText xml:space="preserve"> PAGEREF _Toc91078039 \h </w:instrText>
            </w:r>
            <w:r w:rsidR="00077ED1">
              <w:rPr>
                <w:webHidden/>
              </w:rPr>
            </w:r>
            <w:r w:rsidR="00077ED1">
              <w:rPr>
                <w:webHidden/>
              </w:rPr>
              <w:fldChar w:fldCharType="separate"/>
            </w:r>
            <w:r w:rsidR="00077ED1">
              <w:rPr>
                <w:webHidden/>
              </w:rPr>
              <w:t>1</w:t>
            </w:r>
            <w:r w:rsidR="00077ED1">
              <w:rPr>
                <w:webHidden/>
              </w:rPr>
              <w:fldChar w:fldCharType="end"/>
            </w:r>
          </w:hyperlink>
        </w:p>
        <w:p w14:paraId="1EA214A9" w14:textId="77777777" w:rsidR="00077ED1" w:rsidRDefault="006A1EEC">
          <w:pPr>
            <w:pStyle w:val="TOC1"/>
            <w:rPr>
              <w:rFonts w:asciiTheme="minorHAnsi" w:eastAsiaTheme="minorEastAsia" w:hAnsiTheme="minorHAnsi" w:cstheme="minorBidi"/>
              <w:b w:val="0"/>
              <w:smallCaps w:val="0"/>
              <w:sz w:val="22"/>
              <w:lang w:eastAsia="es-MX"/>
            </w:rPr>
          </w:pPr>
          <w:hyperlink w:anchor="_Toc91078040" w:history="1">
            <w:r w:rsidR="00077ED1" w:rsidRPr="00CF75C4">
              <w:rPr>
                <w:rStyle w:val="Hyperlink"/>
                <w:rFonts w:eastAsiaTheme="majorEastAsia"/>
                <w:bCs/>
              </w:rPr>
              <w:t>II.</w:t>
            </w:r>
            <w:r w:rsidR="00077ED1">
              <w:rPr>
                <w:rFonts w:asciiTheme="minorHAnsi" w:eastAsiaTheme="minorEastAsia" w:hAnsiTheme="minorHAnsi" w:cstheme="minorBidi"/>
                <w:b w:val="0"/>
                <w:smallCaps w:val="0"/>
                <w:sz w:val="22"/>
                <w:lang w:eastAsia="es-MX"/>
              </w:rPr>
              <w:tab/>
            </w:r>
            <w:r w:rsidR="00077ED1" w:rsidRPr="00CF75C4">
              <w:rPr>
                <w:rStyle w:val="Hyperlink"/>
                <w:rFonts w:eastAsiaTheme="majorEastAsia"/>
                <w:bCs/>
              </w:rPr>
              <w:t>Viabilidad de normas internacionales comunes</w:t>
            </w:r>
            <w:r w:rsidR="00077ED1">
              <w:rPr>
                <w:webHidden/>
              </w:rPr>
              <w:tab/>
            </w:r>
            <w:r w:rsidR="00077ED1">
              <w:rPr>
                <w:webHidden/>
              </w:rPr>
              <w:fldChar w:fldCharType="begin"/>
            </w:r>
            <w:r w:rsidR="00077ED1">
              <w:rPr>
                <w:webHidden/>
              </w:rPr>
              <w:instrText xml:space="preserve"> PAGEREF _Toc91078040 \h </w:instrText>
            </w:r>
            <w:r w:rsidR="00077ED1">
              <w:rPr>
                <w:webHidden/>
              </w:rPr>
            </w:r>
            <w:r w:rsidR="00077ED1">
              <w:rPr>
                <w:webHidden/>
              </w:rPr>
              <w:fldChar w:fldCharType="separate"/>
            </w:r>
            <w:r w:rsidR="00077ED1">
              <w:rPr>
                <w:webHidden/>
              </w:rPr>
              <w:t>1</w:t>
            </w:r>
            <w:r w:rsidR="00077ED1">
              <w:rPr>
                <w:webHidden/>
              </w:rPr>
              <w:fldChar w:fldCharType="end"/>
            </w:r>
          </w:hyperlink>
        </w:p>
        <w:p w14:paraId="4AFF5762" w14:textId="77777777" w:rsidR="00077ED1" w:rsidRDefault="006A1EEC">
          <w:pPr>
            <w:pStyle w:val="TOC2"/>
            <w:rPr>
              <w:rFonts w:asciiTheme="minorHAnsi" w:eastAsiaTheme="minorEastAsia" w:hAnsiTheme="minorHAnsi" w:cstheme="minorBidi"/>
              <w:b w:val="0"/>
              <w:sz w:val="22"/>
              <w:lang w:eastAsia="es-MX"/>
            </w:rPr>
          </w:pPr>
          <w:hyperlink w:anchor="_Toc91078041" w:history="1">
            <w:r w:rsidR="00077ED1" w:rsidRPr="00CF75C4">
              <w:rPr>
                <w:rStyle w:val="Hyperlink"/>
                <w:rFonts w:eastAsiaTheme="majorEastAsia"/>
                <w:bCs/>
                <w:smallCaps/>
              </w:rPr>
              <w:t>a)</w:t>
            </w:r>
            <w:r w:rsidR="00077ED1">
              <w:rPr>
                <w:rFonts w:asciiTheme="minorHAnsi" w:eastAsiaTheme="minorEastAsia" w:hAnsiTheme="minorHAnsi" w:cstheme="minorBidi"/>
                <w:b w:val="0"/>
                <w:sz w:val="22"/>
                <w:lang w:eastAsia="es-MX"/>
              </w:rPr>
              <w:tab/>
            </w:r>
            <w:r w:rsidR="00077ED1" w:rsidRPr="00CF75C4">
              <w:rPr>
                <w:rStyle w:val="Hyperlink"/>
              </w:rPr>
              <w:t>Consideraciones en materia de derechos humanos</w:t>
            </w:r>
            <w:r w:rsidR="00077ED1">
              <w:rPr>
                <w:webHidden/>
              </w:rPr>
              <w:tab/>
            </w:r>
            <w:r w:rsidR="00077ED1">
              <w:rPr>
                <w:webHidden/>
              </w:rPr>
              <w:fldChar w:fldCharType="begin"/>
            </w:r>
            <w:r w:rsidR="00077ED1">
              <w:rPr>
                <w:webHidden/>
              </w:rPr>
              <w:instrText xml:space="preserve"> PAGEREF _Toc91078041 \h </w:instrText>
            </w:r>
            <w:r w:rsidR="00077ED1">
              <w:rPr>
                <w:webHidden/>
              </w:rPr>
            </w:r>
            <w:r w:rsidR="00077ED1">
              <w:rPr>
                <w:webHidden/>
              </w:rPr>
              <w:fldChar w:fldCharType="separate"/>
            </w:r>
            <w:r w:rsidR="00077ED1">
              <w:rPr>
                <w:webHidden/>
              </w:rPr>
              <w:t>1</w:t>
            </w:r>
            <w:r w:rsidR="00077ED1">
              <w:rPr>
                <w:webHidden/>
              </w:rPr>
              <w:fldChar w:fldCharType="end"/>
            </w:r>
          </w:hyperlink>
        </w:p>
        <w:p w14:paraId="40C82916" w14:textId="77777777" w:rsidR="00077ED1" w:rsidRDefault="006A1EEC">
          <w:pPr>
            <w:pStyle w:val="TOC2"/>
            <w:rPr>
              <w:rFonts w:asciiTheme="minorHAnsi" w:eastAsiaTheme="minorEastAsia" w:hAnsiTheme="minorHAnsi" w:cstheme="minorBidi"/>
              <w:b w:val="0"/>
              <w:sz w:val="22"/>
              <w:lang w:eastAsia="es-MX"/>
            </w:rPr>
          </w:pPr>
          <w:hyperlink w:anchor="_Toc91078042" w:history="1">
            <w:r w:rsidR="00077ED1" w:rsidRPr="00CF75C4">
              <w:rPr>
                <w:rStyle w:val="Hyperlink"/>
                <w:rFonts w:eastAsiaTheme="majorEastAsia"/>
                <w:bCs/>
                <w:smallCaps/>
              </w:rPr>
              <w:t>b)</w:t>
            </w:r>
            <w:r w:rsidR="00077ED1">
              <w:rPr>
                <w:rFonts w:asciiTheme="minorHAnsi" w:eastAsiaTheme="minorEastAsia" w:hAnsiTheme="minorHAnsi" w:cstheme="minorBidi"/>
                <w:b w:val="0"/>
                <w:sz w:val="22"/>
                <w:lang w:eastAsia="es-MX"/>
              </w:rPr>
              <w:tab/>
            </w:r>
            <w:r w:rsidR="00077ED1" w:rsidRPr="00CF75C4">
              <w:rPr>
                <w:rStyle w:val="Hyperlink"/>
              </w:rPr>
              <w:t>Consideraciones en materia comercial</w:t>
            </w:r>
            <w:r w:rsidR="00077ED1">
              <w:rPr>
                <w:webHidden/>
              </w:rPr>
              <w:tab/>
            </w:r>
            <w:r w:rsidR="00077ED1">
              <w:rPr>
                <w:webHidden/>
              </w:rPr>
              <w:fldChar w:fldCharType="begin"/>
            </w:r>
            <w:r w:rsidR="00077ED1">
              <w:rPr>
                <w:webHidden/>
              </w:rPr>
              <w:instrText xml:space="preserve"> PAGEREF _Toc91078042 \h </w:instrText>
            </w:r>
            <w:r w:rsidR="00077ED1">
              <w:rPr>
                <w:webHidden/>
              </w:rPr>
            </w:r>
            <w:r w:rsidR="00077ED1">
              <w:rPr>
                <w:webHidden/>
              </w:rPr>
              <w:fldChar w:fldCharType="separate"/>
            </w:r>
            <w:r w:rsidR="00077ED1">
              <w:rPr>
                <w:webHidden/>
              </w:rPr>
              <w:t>2</w:t>
            </w:r>
            <w:r w:rsidR="00077ED1">
              <w:rPr>
                <w:webHidden/>
              </w:rPr>
              <w:fldChar w:fldCharType="end"/>
            </w:r>
          </w:hyperlink>
        </w:p>
        <w:p w14:paraId="59DD0CB4" w14:textId="77777777" w:rsidR="00077ED1" w:rsidRDefault="006A1EEC">
          <w:pPr>
            <w:pStyle w:val="TOC1"/>
            <w:rPr>
              <w:rFonts w:asciiTheme="minorHAnsi" w:eastAsiaTheme="minorEastAsia" w:hAnsiTheme="minorHAnsi" w:cstheme="minorBidi"/>
              <w:b w:val="0"/>
              <w:smallCaps w:val="0"/>
              <w:sz w:val="22"/>
              <w:lang w:eastAsia="es-MX"/>
            </w:rPr>
          </w:pPr>
          <w:hyperlink w:anchor="_Toc91078043" w:history="1">
            <w:r w:rsidR="00077ED1" w:rsidRPr="00CF75C4">
              <w:rPr>
                <w:rStyle w:val="Hyperlink"/>
                <w:rFonts w:eastAsiaTheme="majorEastAsia"/>
                <w:bCs/>
              </w:rPr>
              <w:t>III.</w:t>
            </w:r>
            <w:r w:rsidR="00077ED1">
              <w:rPr>
                <w:rFonts w:asciiTheme="minorHAnsi" w:eastAsiaTheme="minorEastAsia" w:hAnsiTheme="minorHAnsi" w:cstheme="minorBidi"/>
                <w:b w:val="0"/>
                <w:smallCaps w:val="0"/>
                <w:sz w:val="22"/>
                <w:lang w:eastAsia="es-MX"/>
              </w:rPr>
              <w:tab/>
            </w:r>
            <w:r w:rsidR="00077ED1" w:rsidRPr="00CF75C4">
              <w:rPr>
                <w:rStyle w:val="Hyperlink"/>
                <w:rFonts w:eastAsiaTheme="majorEastAsia"/>
                <w:bCs/>
              </w:rPr>
              <w:t>Alcance de los bienes que deben incluirse</w:t>
            </w:r>
            <w:r w:rsidR="00077ED1">
              <w:rPr>
                <w:webHidden/>
              </w:rPr>
              <w:tab/>
            </w:r>
            <w:r w:rsidR="00077ED1">
              <w:rPr>
                <w:webHidden/>
              </w:rPr>
              <w:fldChar w:fldCharType="begin"/>
            </w:r>
            <w:r w:rsidR="00077ED1">
              <w:rPr>
                <w:webHidden/>
              </w:rPr>
              <w:instrText xml:space="preserve"> PAGEREF _Toc91078043 \h </w:instrText>
            </w:r>
            <w:r w:rsidR="00077ED1">
              <w:rPr>
                <w:webHidden/>
              </w:rPr>
            </w:r>
            <w:r w:rsidR="00077ED1">
              <w:rPr>
                <w:webHidden/>
              </w:rPr>
              <w:fldChar w:fldCharType="separate"/>
            </w:r>
            <w:r w:rsidR="00077ED1">
              <w:rPr>
                <w:webHidden/>
              </w:rPr>
              <w:t>5</w:t>
            </w:r>
            <w:r w:rsidR="00077ED1">
              <w:rPr>
                <w:webHidden/>
              </w:rPr>
              <w:fldChar w:fldCharType="end"/>
            </w:r>
          </w:hyperlink>
        </w:p>
        <w:p w14:paraId="103D3BD2" w14:textId="77777777" w:rsidR="00077ED1" w:rsidRDefault="006A1EEC">
          <w:pPr>
            <w:pStyle w:val="TOC1"/>
            <w:rPr>
              <w:rFonts w:asciiTheme="minorHAnsi" w:eastAsiaTheme="minorEastAsia" w:hAnsiTheme="minorHAnsi" w:cstheme="minorBidi"/>
              <w:b w:val="0"/>
              <w:smallCaps w:val="0"/>
              <w:sz w:val="22"/>
              <w:lang w:eastAsia="es-MX"/>
            </w:rPr>
          </w:pPr>
          <w:hyperlink w:anchor="_Toc91078044" w:history="1">
            <w:r w:rsidR="00077ED1" w:rsidRPr="00CF75C4">
              <w:rPr>
                <w:rStyle w:val="Hyperlink"/>
                <w:rFonts w:eastAsiaTheme="majorEastAsia"/>
                <w:bCs/>
              </w:rPr>
              <w:t>IV.</w:t>
            </w:r>
            <w:r w:rsidR="00077ED1">
              <w:rPr>
                <w:rFonts w:asciiTheme="minorHAnsi" w:eastAsiaTheme="minorEastAsia" w:hAnsiTheme="minorHAnsi" w:cstheme="minorBidi"/>
                <w:b w:val="0"/>
                <w:smallCaps w:val="0"/>
                <w:sz w:val="22"/>
                <w:lang w:eastAsia="es-MX"/>
              </w:rPr>
              <w:tab/>
            </w:r>
            <w:r w:rsidR="00077ED1" w:rsidRPr="00CF75C4">
              <w:rPr>
                <w:rStyle w:val="Hyperlink"/>
                <w:rFonts w:eastAsiaTheme="majorEastAsia"/>
                <w:bCs/>
              </w:rPr>
              <w:t>Proyecto de parámetros para una serie de opciones para establecer normas internacionales comunes en la materia</w:t>
            </w:r>
            <w:r w:rsidR="00077ED1">
              <w:rPr>
                <w:webHidden/>
              </w:rPr>
              <w:tab/>
            </w:r>
            <w:r w:rsidR="00077ED1">
              <w:rPr>
                <w:webHidden/>
              </w:rPr>
              <w:fldChar w:fldCharType="begin"/>
            </w:r>
            <w:r w:rsidR="00077ED1">
              <w:rPr>
                <w:webHidden/>
              </w:rPr>
              <w:instrText xml:space="preserve"> PAGEREF _Toc91078044 \h </w:instrText>
            </w:r>
            <w:r w:rsidR="00077ED1">
              <w:rPr>
                <w:webHidden/>
              </w:rPr>
            </w:r>
            <w:r w:rsidR="00077ED1">
              <w:rPr>
                <w:webHidden/>
              </w:rPr>
              <w:fldChar w:fldCharType="separate"/>
            </w:r>
            <w:r w:rsidR="00077ED1">
              <w:rPr>
                <w:webHidden/>
              </w:rPr>
              <w:t>6</w:t>
            </w:r>
            <w:r w:rsidR="00077ED1">
              <w:rPr>
                <w:webHidden/>
              </w:rPr>
              <w:fldChar w:fldCharType="end"/>
            </w:r>
          </w:hyperlink>
        </w:p>
        <w:p w14:paraId="56FA0C20" w14:textId="2F9AC81C" w:rsidR="00A53E0F" w:rsidRPr="00A53E0F" w:rsidRDefault="00A409CD" w:rsidP="00020B7D">
          <w:pPr>
            <w:ind w:firstLine="0"/>
          </w:pPr>
          <w:r w:rsidRPr="00A72605">
            <w:rPr>
              <w:b/>
              <w:bCs/>
              <w:szCs w:val="24"/>
              <w:lang w:val="es-ES"/>
            </w:rPr>
            <w:fldChar w:fldCharType="end"/>
          </w:r>
        </w:p>
      </w:sdtContent>
    </w:sdt>
    <w:p w14:paraId="51B010E6" w14:textId="77777777" w:rsidR="00A53E0F" w:rsidRDefault="00A53E0F" w:rsidP="00A53E0F">
      <w:pPr>
        <w:rPr>
          <w:szCs w:val="24"/>
        </w:rPr>
      </w:pPr>
    </w:p>
    <w:p w14:paraId="6A852942" w14:textId="77777777" w:rsidR="00481E85" w:rsidRPr="00A53E0F" w:rsidRDefault="00481E85" w:rsidP="00A53E0F">
      <w:pPr>
        <w:rPr>
          <w:szCs w:val="24"/>
        </w:rPr>
        <w:sectPr w:rsidR="00481E85" w:rsidRPr="00A53E0F" w:rsidSect="00137A1A">
          <w:footerReference w:type="default" r:id="rId9"/>
          <w:pgSz w:w="12240" w:h="15840"/>
          <w:pgMar w:top="1417" w:right="1701" w:bottom="1417" w:left="1701" w:header="708" w:footer="708" w:gutter="0"/>
          <w:pgNumType w:fmt="lowerRoman" w:start="1"/>
          <w:cols w:space="708"/>
          <w:titlePg/>
          <w:docGrid w:linePitch="360"/>
        </w:sectPr>
      </w:pPr>
    </w:p>
    <w:p w14:paraId="118CC3CA" w14:textId="017C6D3B" w:rsidR="003970EC" w:rsidRPr="00854FCD" w:rsidRDefault="00087BD3" w:rsidP="00854FCD">
      <w:pPr>
        <w:snapToGrid w:val="0"/>
        <w:spacing w:before="200" w:after="120" w:line="276" w:lineRule="auto"/>
        <w:jc w:val="center"/>
        <w:rPr>
          <w:rFonts w:eastAsia="Calibri"/>
          <w:b/>
          <w:smallCaps/>
          <w:szCs w:val="24"/>
          <w:lang w:eastAsia="es-MX"/>
        </w:rPr>
      </w:pPr>
      <w:r w:rsidRPr="00854FCD">
        <w:rPr>
          <w:rFonts w:eastAsia="Calibri"/>
          <w:b/>
          <w:smallCaps/>
          <w:szCs w:val="24"/>
          <w:lang w:eastAsia="es-MX"/>
        </w:rPr>
        <w:lastRenderedPageBreak/>
        <w:t>“Hacia un comercio sin tortura: examen de la viabilidad, el alcance y los parámetros de posibles normas internacionales comunes” (Resolución 73/304 de la Asamblea General de las Naciones Unidas)</w:t>
      </w:r>
    </w:p>
    <w:p w14:paraId="0736C44C" w14:textId="41BF7A03" w:rsidR="00C718B0" w:rsidRPr="00854FCD" w:rsidRDefault="002268FB" w:rsidP="00854FCD">
      <w:pPr>
        <w:pStyle w:val="ListParagraph"/>
        <w:numPr>
          <w:ilvl w:val="0"/>
          <w:numId w:val="3"/>
        </w:numPr>
        <w:snapToGrid w:val="0"/>
        <w:spacing w:before="200" w:after="120" w:line="276" w:lineRule="auto"/>
        <w:contextualSpacing w:val="0"/>
        <w:outlineLvl w:val="0"/>
        <w:rPr>
          <w:rFonts w:eastAsiaTheme="majorEastAsia"/>
          <w:b/>
          <w:bCs/>
          <w:smallCaps/>
          <w:szCs w:val="24"/>
        </w:rPr>
      </w:pPr>
      <w:bookmarkStart w:id="0" w:name="_Toc91078039"/>
      <w:r w:rsidRPr="00854FCD">
        <w:rPr>
          <w:rFonts w:eastAsiaTheme="majorEastAsia"/>
          <w:b/>
          <w:bCs/>
          <w:smallCaps/>
          <w:szCs w:val="24"/>
        </w:rPr>
        <w:t>Introducción</w:t>
      </w:r>
      <w:bookmarkEnd w:id="0"/>
    </w:p>
    <w:p w14:paraId="4A7C837C" w14:textId="410C5C0E" w:rsidR="00C718B0" w:rsidRPr="00854FCD" w:rsidRDefault="00C718B0" w:rsidP="00854FCD">
      <w:pPr>
        <w:pStyle w:val="ListParagraph"/>
        <w:numPr>
          <w:ilvl w:val="0"/>
          <w:numId w:val="1"/>
        </w:numPr>
        <w:snapToGrid w:val="0"/>
        <w:spacing w:before="200" w:after="120" w:line="276" w:lineRule="auto"/>
        <w:ind w:left="0" w:firstLine="0"/>
        <w:contextualSpacing w:val="0"/>
        <w:rPr>
          <w:b/>
          <w:szCs w:val="24"/>
        </w:rPr>
      </w:pPr>
      <w:r w:rsidRPr="00854FCD">
        <w:rPr>
          <w:szCs w:val="24"/>
        </w:rPr>
        <w:t>En la Resolución 73/304 se reconoció que la ausencia de normas internacionales comunes que rigieran la importación, exportación y transferencia de productos utilizados para aplicar la pena de muerte, así como para infligir torturas u otros tratos o penas crueles, inhumanos o degradantes, es un factor que contribuye a facilitar la disponibilidad de esos productos y posibilitar dichas prácticas.</w:t>
      </w:r>
    </w:p>
    <w:p w14:paraId="0F0BB5E0" w14:textId="7BAC2718" w:rsidR="00087BD3" w:rsidRPr="00854FCD" w:rsidRDefault="000E76FA" w:rsidP="00854FCD">
      <w:pPr>
        <w:pStyle w:val="ListParagraph"/>
        <w:numPr>
          <w:ilvl w:val="0"/>
          <w:numId w:val="1"/>
        </w:numPr>
        <w:snapToGrid w:val="0"/>
        <w:spacing w:before="200" w:after="120" w:line="276" w:lineRule="auto"/>
        <w:ind w:left="0" w:firstLine="0"/>
        <w:contextualSpacing w:val="0"/>
        <w:rPr>
          <w:b/>
          <w:szCs w:val="24"/>
        </w:rPr>
      </w:pPr>
      <w:r w:rsidRPr="00854FCD">
        <w:rPr>
          <w:szCs w:val="24"/>
        </w:rPr>
        <w:t xml:space="preserve">En consecuencia, se estableció que </w:t>
      </w:r>
      <w:r w:rsidR="00087BD3" w:rsidRPr="00854FCD">
        <w:rPr>
          <w:szCs w:val="24"/>
        </w:rPr>
        <w:t>fue</w:t>
      </w:r>
      <w:r w:rsidRPr="00854FCD">
        <w:rPr>
          <w:szCs w:val="24"/>
        </w:rPr>
        <w:t>ra</w:t>
      </w:r>
      <w:r w:rsidR="00087BD3" w:rsidRPr="00854FCD">
        <w:rPr>
          <w:szCs w:val="24"/>
        </w:rPr>
        <w:t xml:space="preserve"> conformado un</w:t>
      </w:r>
      <w:r w:rsidR="00954863" w:rsidRPr="00854FCD">
        <w:rPr>
          <w:szCs w:val="24"/>
        </w:rPr>
        <w:t xml:space="preserve"> Grupo de Expertas y Expertos </w:t>
      </w:r>
      <w:r w:rsidR="00087BD3" w:rsidRPr="00854FCD">
        <w:rPr>
          <w:szCs w:val="24"/>
        </w:rPr>
        <w:t>cuya funci</w:t>
      </w:r>
      <w:r w:rsidRPr="00854FCD">
        <w:rPr>
          <w:szCs w:val="24"/>
        </w:rPr>
        <w:t>ón a desempeñar fuera</w:t>
      </w:r>
      <w:r w:rsidR="00087BD3" w:rsidRPr="00854FCD">
        <w:rPr>
          <w:szCs w:val="24"/>
        </w:rPr>
        <w:t xml:space="preserve"> examinar la viabilidad, el alcance de los bienes que deben incluirse y redactar los parámetros de una serie de opciones para establecer normas internacionales comunes en la materia, y que transmita el informe del grupo de expertos y expertas a la Asamblea para que lo examine en su septuagésimo sexto periodo de sesiones.</w:t>
      </w:r>
    </w:p>
    <w:p w14:paraId="767C4987" w14:textId="59C93CD4" w:rsidR="00954863" w:rsidRPr="00854FCD" w:rsidRDefault="00087BD3" w:rsidP="00854FCD">
      <w:pPr>
        <w:pStyle w:val="ListParagraph"/>
        <w:numPr>
          <w:ilvl w:val="0"/>
          <w:numId w:val="1"/>
        </w:numPr>
        <w:snapToGrid w:val="0"/>
        <w:spacing w:before="200" w:after="120" w:line="276" w:lineRule="auto"/>
        <w:ind w:left="0" w:firstLine="0"/>
        <w:contextualSpacing w:val="0"/>
        <w:rPr>
          <w:b/>
          <w:szCs w:val="24"/>
        </w:rPr>
      </w:pPr>
      <w:r w:rsidRPr="00854FCD">
        <w:rPr>
          <w:szCs w:val="24"/>
        </w:rPr>
        <w:t>En ese sentido, esa Oficina del Alto Comisionado de las Naciones Unidas para los Derechos H</w:t>
      </w:r>
      <w:r w:rsidR="00961607" w:rsidRPr="00854FCD">
        <w:rPr>
          <w:szCs w:val="24"/>
        </w:rPr>
        <w:t>umanos</w:t>
      </w:r>
      <w:r w:rsidRPr="00854FCD">
        <w:rPr>
          <w:szCs w:val="24"/>
        </w:rPr>
        <w:t>, en su carácter de Secretaria del Grupo de Expertas y Expertos, solicitó al Es</w:t>
      </w:r>
      <w:r w:rsidR="00961607" w:rsidRPr="00854FCD">
        <w:rPr>
          <w:szCs w:val="24"/>
        </w:rPr>
        <w:t>t</w:t>
      </w:r>
      <w:r w:rsidRPr="00854FCD">
        <w:rPr>
          <w:szCs w:val="24"/>
        </w:rPr>
        <w:t xml:space="preserve">ado mexicano remitir información relacionada con: </w:t>
      </w:r>
      <w:r w:rsidR="00954863" w:rsidRPr="00854FCD">
        <w:rPr>
          <w:i/>
          <w:szCs w:val="24"/>
        </w:rPr>
        <w:t>i)</w:t>
      </w:r>
      <w:r w:rsidR="00954863" w:rsidRPr="00854FCD">
        <w:rPr>
          <w:szCs w:val="24"/>
        </w:rPr>
        <w:t xml:space="preserve"> la viabilidad de normas internacionales comunes; </w:t>
      </w:r>
      <w:r w:rsidR="00954863" w:rsidRPr="00854FCD">
        <w:rPr>
          <w:i/>
          <w:szCs w:val="24"/>
        </w:rPr>
        <w:t>ii)</w:t>
      </w:r>
      <w:r w:rsidR="00954863" w:rsidRPr="00854FCD">
        <w:rPr>
          <w:szCs w:val="24"/>
        </w:rPr>
        <w:t xml:space="preserve"> el alcance de los bienes que deben incluirse, y </w:t>
      </w:r>
      <w:r w:rsidR="00954863" w:rsidRPr="00854FCD">
        <w:rPr>
          <w:i/>
          <w:szCs w:val="24"/>
        </w:rPr>
        <w:t>iii)</w:t>
      </w:r>
      <w:r w:rsidR="00954863" w:rsidRPr="00854FCD">
        <w:rPr>
          <w:szCs w:val="24"/>
        </w:rPr>
        <w:t xml:space="preserve"> el proyecto de parámetros para una serie de opciones para establecer normas i</w:t>
      </w:r>
      <w:r w:rsidR="00961607" w:rsidRPr="00854FCD">
        <w:rPr>
          <w:szCs w:val="24"/>
        </w:rPr>
        <w:t>nternacionales sobre la materia.</w:t>
      </w:r>
    </w:p>
    <w:p w14:paraId="06F85DE9" w14:textId="164A7344" w:rsidR="00FC66AC" w:rsidRPr="00854FCD" w:rsidRDefault="00961607" w:rsidP="00854FCD">
      <w:pPr>
        <w:pStyle w:val="ListParagraph"/>
        <w:numPr>
          <w:ilvl w:val="0"/>
          <w:numId w:val="3"/>
        </w:numPr>
        <w:snapToGrid w:val="0"/>
        <w:spacing w:before="200" w:after="120" w:line="276" w:lineRule="auto"/>
        <w:contextualSpacing w:val="0"/>
        <w:outlineLvl w:val="0"/>
        <w:rPr>
          <w:rFonts w:eastAsiaTheme="majorEastAsia"/>
          <w:b/>
          <w:bCs/>
          <w:smallCaps/>
          <w:szCs w:val="24"/>
        </w:rPr>
      </w:pPr>
      <w:bookmarkStart w:id="1" w:name="_Toc91078040"/>
      <w:r w:rsidRPr="00854FCD">
        <w:rPr>
          <w:rFonts w:eastAsiaTheme="majorEastAsia"/>
          <w:b/>
          <w:bCs/>
          <w:smallCaps/>
          <w:szCs w:val="24"/>
        </w:rPr>
        <w:t>Viabilidad de normas internacionales comunes</w:t>
      </w:r>
      <w:bookmarkEnd w:id="1"/>
    </w:p>
    <w:p w14:paraId="01377044" w14:textId="69B3C6A4" w:rsidR="00163FE2" w:rsidRPr="00854FCD" w:rsidRDefault="00692EEF" w:rsidP="00854FCD">
      <w:pPr>
        <w:pStyle w:val="ListParagraph"/>
        <w:numPr>
          <w:ilvl w:val="1"/>
          <w:numId w:val="3"/>
        </w:numPr>
        <w:snapToGrid w:val="0"/>
        <w:spacing w:before="200" w:after="120" w:line="276" w:lineRule="auto"/>
        <w:ind w:left="1434" w:hanging="357"/>
        <w:contextualSpacing w:val="0"/>
        <w:outlineLvl w:val="1"/>
        <w:rPr>
          <w:rFonts w:eastAsiaTheme="majorEastAsia"/>
          <w:b/>
          <w:bCs/>
          <w:smallCaps/>
          <w:szCs w:val="24"/>
        </w:rPr>
      </w:pPr>
      <w:bookmarkStart w:id="2" w:name="_Toc91078041"/>
      <w:r w:rsidRPr="00854FCD">
        <w:rPr>
          <w:b/>
          <w:szCs w:val="24"/>
        </w:rPr>
        <w:t>Consideraciones en materia de derechos humanos</w:t>
      </w:r>
      <w:bookmarkEnd w:id="2"/>
    </w:p>
    <w:p w14:paraId="58D0DF65" w14:textId="417A8040" w:rsidR="00961607" w:rsidRPr="00854FCD" w:rsidRDefault="000E76FA" w:rsidP="00854FCD">
      <w:pPr>
        <w:pStyle w:val="ListParagraph"/>
        <w:numPr>
          <w:ilvl w:val="0"/>
          <w:numId w:val="1"/>
        </w:numPr>
        <w:snapToGrid w:val="0"/>
        <w:spacing w:before="200" w:after="120" w:line="276" w:lineRule="auto"/>
        <w:ind w:left="0" w:firstLine="0"/>
        <w:contextualSpacing w:val="0"/>
        <w:rPr>
          <w:szCs w:val="24"/>
        </w:rPr>
      </w:pPr>
      <w:r w:rsidRPr="00854FCD">
        <w:rPr>
          <w:szCs w:val="24"/>
        </w:rPr>
        <w:t>El sistema jurídico internacional contemporáneo pone énfasis en la prevención, sanción, seguimiento y compromiso por la violación de derechos humanos, en específico la tortura, como se prevé en la Convención contra la Tortura y Otros Tratos o Penas Crueles, I</w:t>
      </w:r>
      <w:r w:rsidR="005C5754" w:rsidRPr="00854FCD">
        <w:rPr>
          <w:szCs w:val="24"/>
        </w:rPr>
        <w:t>nhumanos o D</w:t>
      </w:r>
      <w:r w:rsidRPr="00854FCD">
        <w:rPr>
          <w:szCs w:val="24"/>
        </w:rPr>
        <w:t>egradantes y</w:t>
      </w:r>
      <w:r w:rsidR="005C5754" w:rsidRPr="00854FCD">
        <w:rPr>
          <w:szCs w:val="24"/>
        </w:rPr>
        <w:t xml:space="preserve"> su Protocolo Facultativo, así como</w:t>
      </w:r>
      <w:r w:rsidRPr="00854FCD">
        <w:rPr>
          <w:szCs w:val="24"/>
        </w:rPr>
        <w:t xml:space="preserve"> la Convención Interamericana para Prevenir y Sancionar la Tortura</w:t>
      </w:r>
      <w:r w:rsidR="005C5754" w:rsidRPr="00854FCD">
        <w:rPr>
          <w:szCs w:val="24"/>
        </w:rPr>
        <w:t>.</w:t>
      </w:r>
    </w:p>
    <w:p w14:paraId="300B6DA8" w14:textId="133A14A5" w:rsidR="005C5754" w:rsidRPr="00854FCD" w:rsidRDefault="005C5754" w:rsidP="00854FCD">
      <w:pPr>
        <w:pStyle w:val="ListParagraph"/>
        <w:numPr>
          <w:ilvl w:val="0"/>
          <w:numId w:val="1"/>
        </w:numPr>
        <w:snapToGrid w:val="0"/>
        <w:spacing w:before="200" w:after="120" w:line="276" w:lineRule="auto"/>
        <w:ind w:left="0" w:firstLine="0"/>
        <w:contextualSpacing w:val="0"/>
        <w:rPr>
          <w:szCs w:val="24"/>
        </w:rPr>
      </w:pPr>
      <w:r w:rsidRPr="00854FCD">
        <w:rPr>
          <w:szCs w:val="24"/>
        </w:rPr>
        <w:t>No obstante, se resalta el hecho de que en el ámbito internacional y en el sistema jurídico mexicano, no existen regulaciones sobre la comercialización y uso de aparatos, instrumentos, aditamentos u cualquier objeto que pueda ser empleado para practicar la tortura, malos tratos u otras penas crueles, inhumanas o degradantes, únicamente se ha detectado que, las legislaciones sólo prevén la compra, uso e investigación de armas de fuego.</w:t>
      </w:r>
    </w:p>
    <w:p w14:paraId="55A6FAAC" w14:textId="39D229B0" w:rsidR="00F342C5" w:rsidRPr="00854FCD" w:rsidRDefault="005C5754" w:rsidP="00854FCD">
      <w:pPr>
        <w:pStyle w:val="ListParagraph"/>
        <w:numPr>
          <w:ilvl w:val="0"/>
          <w:numId w:val="1"/>
        </w:numPr>
        <w:snapToGrid w:val="0"/>
        <w:spacing w:before="200" w:after="120" w:line="276" w:lineRule="auto"/>
        <w:ind w:left="0" w:firstLine="0"/>
        <w:contextualSpacing w:val="0"/>
        <w:rPr>
          <w:szCs w:val="24"/>
        </w:rPr>
      </w:pPr>
      <w:r w:rsidRPr="00854FCD">
        <w:rPr>
          <w:szCs w:val="24"/>
        </w:rPr>
        <w:t xml:space="preserve">En ese contexto, </w:t>
      </w:r>
      <w:r w:rsidR="00F342C5" w:rsidRPr="00854FCD">
        <w:rPr>
          <w:szCs w:val="24"/>
        </w:rPr>
        <w:t xml:space="preserve">resulta relevante establecer normas internacionales que regulen el comercio interno y con terceros países de productos o bienes que puedan utilizarse para </w:t>
      </w:r>
      <w:r w:rsidR="00F342C5" w:rsidRPr="00854FCD">
        <w:rPr>
          <w:szCs w:val="24"/>
        </w:rPr>
        <w:lastRenderedPageBreak/>
        <w:t>aplicar la pena de muerte, o infligir tortura u otros tratos o penas crueles, inhumanos o degradantes, que promuevan el respeto de la vida humana y de los derechos humanos fundamentales.</w:t>
      </w:r>
    </w:p>
    <w:p w14:paraId="343D4630" w14:textId="13BA1E51" w:rsidR="008156CC" w:rsidRPr="00F12A9C" w:rsidRDefault="00F342C5" w:rsidP="00F12A9C">
      <w:pPr>
        <w:pStyle w:val="ListParagraph"/>
        <w:numPr>
          <w:ilvl w:val="0"/>
          <w:numId w:val="1"/>
        </w:numPr>
        <w:snapToGrid w:val="0"/>
        <w:spacing w:before="200" w:after="120" w:line="276" w:lineRule="auto"/>
        <w:ind w:left="0" w:firstLine="0"/>
        <w:contextualSpacing w:val="0"/>
        <w:rPr>
          <w:szCs w:val="24"/>
        </w:rPr>
      </w:pPr>
      <w:r w:rsidRPr="00854FCD">
        <w:rPr>
          <w:szCs w:val="24"/>
        </w:rPr>
        <w:t>De la misma manera, que se considere la necesidad de prohibir la exportación e importación de productos o bienes cuyo único uso práctico sea aplicar la pena de muerte o infligir tortura u otros tratos o penas crueles, inhumanos o degradantes, así como prohibir la prestación de asistencia técnica y la transportación, difusión, publicidad y fabricación relacionados con dichos productos; siempre considerando lo manifestado con anterioridad en este escrito y por la vía señalada.</w:t>
      </w:r>
    </w:p>
    <w:p w14:paraId="2521FAE1" w14:textId="6114AA6F" w:rsidR="00854FCD" w:rsidRPr="00854FCD" w:rsidRDefault="00854FCD" w:rsidP="00854FCD">
      <w:pPr>
        <w:pStyle w:val="ListParagraph"/>
        <w:numPr>
          <w:ilvl w:val="1"/>
          <w:numId w:val="3"/>
        </w:numPr>
        <w:snapToGrid w:val="0"/>
        <w:spacing w:before="200" w:after="120" w:line="276" w:lineRule="auto"/>
        <w:ind w:left="1434" w:hanging="357"/>
        <w:contextualSpacing w:val="0"/>
        <w:outlineLvl w:val="1"/>
        <w:rPr>
          <w:rFonts w:eastAsiaTheme="majorEastAsia"/>
          <w:b/>
          <w:bCs/>
          <w:smallCaps/>
          <w:szCs w:val="24"/>
        </w:rPr>
      </w:pPr>
      <w:bookmarkStart w:id="3" w:name="_Toc91078042"/>
      <w:r w:rsidRPr="00854FCD">
        <w:rPr>
          <w:b/>
          <w:szCs w:val="24"/>
        </w:rPr>
        <w:t xml:space="preserve">Consideraciones en materia </w:t>
      </w:r>
      <w:r>
        <w:rPr>
          <w:b/>
          <w:szCs w:val="24"/>
        </w:rPr>
        <w:t>comercial</w:t>
      </w:r>
      <w:bookmarkEnd w:id="3"/>
    </w:p>
    <w:p w14:paraId="1F0FDEA0" w14:textId="22065246" w:rsidR="00854FCD" w:rsidRPr="00854FCD" w:rsidRDefault="00854FCD" w:rsidP="00854FCD">
      <w:pPr>
        <w:pStyle w:val="ListParagraph"/>
        <w:numPr>
          <w:ilvl w:val="0"/>
          <w:numId w:val="1"/>
        </w:numPr>
        <w:snapToGrid w:val="0"/>
        <w:spacing w:before="200" w:after="120" w:line="276" w:lineRule="auto"/>
        <w:ind w:left="0" w:firstLine="0"/>
        <w:rPr>
          <w:szCs w:val="24"/>
        </w:rPr>
      </w:pPr>
      <w:r>
        <w:rPr>
          <w:szCs w:val="24"/>
        </w:rPr>
        <w:t xml:space="preserve">El Estado mexicano estima relevante que </w:t>
      </w:r>
      <w:r w:rsidRPr="00854FCD">
        <w:rPr>
          <w:szCs w:val="24"/>
        </w:rPr>
        <w:t xml:space="preserve">las posibles </w:t>
      </w:r>
      <w:r w:rsidRPr="00854FCD">
        <w:rPr>
          <w:i/>
          <w:iCs/>
          <w:szCs w:val="24"/>
        </w:rPr>
        <w:t xml:space="preserve">“normas internacionales comunes que rijan la importación y exportación de productos” </w:t>
      </w:r>
      <w:r w:rsidRPr="00854FCD">
        <w:rPr>
          <w:szCs w:val="24"/>
        </w:rPr>
        <w:t xml:space="preserve">utilizados para aplicar la pena de muerte o infligir torturas u otros tratos o penas crueles, inhumanos o degradantes, deberán </w:t>
      </w:r>
      <w:r w:rsidR="003F7B34">
        <w:rPr>
          <w:szCs w:val="24"/>
        </w:rPr>
        <w:t>observar</w:t>
      </w:r>
      <w:r w:rsidRPr="00854FCD">
        <w:rPr>
          <w:szCs w:val="24"/>
        </w:rPr>
        <w:t xml:space="preserve"> el Acuerdo de Marrakech por el que se establece la Organización Mundial del Comercio (OMC) y los Acuerdos Comerciales Multilaterales, mismos que contienen obligaciones internacionales en materia comercial. En ese sentido, dichas normas internacionales comunes no podrían regular de diferente forma las materias sobre las que ya existen obligaciones vigentes. </w:t>
      </w:r>
    </w:p>
    <w:p w14:paraId="3EDC6D00" w14:textId="77777777" w:rsidR="00854FCD" w:rsidRPr="00854FCD" w:rsidRDefault="00854FCD" w:rsidP="00854FCD">
      <w:pPr>
        <w:pStyle w:val="ListParagraph"/>
        <w:numPr>
          <w:ilvl w:val="0"/>
          <w:numId w:val="1"/>
        </w:numPr>
        <w:snapToGrid w:val="0"/>
        <w:spacing w:before="200" w:after="120" w:line="276" w:lineRule="auto"/>
        <w:ind w:left="0" w:firstLine="0"/>
        <w:rPr>
          <w:szCs w:val="24"/>
        </w:rPr>
      </w:pPr>
      <w:r w:rsidRPr="00854FCD">
        <w:rPr>
          <w:b/>
          <w:bCs/>
          <w:szCs w:val="24"/>
        </w:rPr>
        <w:t xml:space="preserve">Obligaciones en el marco de la OMC. </w:t>
      </w:r>
      <w:r w:rsidRPr="00854FCD">
        <w:rPr>
          <w:szCs w:val="24"/>
        </w:rPr>
        <w:t xml:space="preserve">Al respecto, es importante señalar que, de conformidad con el Artículo II, del Acuerdo General sobre Aranceles Aduaneros y Comercio de 1994 (GATT de 1994), el cual es uno de los Acuerdos Comerciales Multilaterales de la OMC, los Miembros establecieron listas de concesiones relativas a las mercancías mediante las cuales consignaron derechos arancelarios máximos, lo que implica que ningún miembro puede aplicar un derecho arancelario (arancel) superior a aquel consolidado en sus listas, </w:t>
      </w:r>
      <w:r w:rsidRPr="00854FCD">
        <w:rPr>
          <w:i/>
          <w:iCs/>
          <w:szCs w:val="24"/>
        </w:rPr>
        <w:t xml:space="preserve">so pena </w:t>
      </w:r>
      <w:r w:rsidRPr="00854FCD">
        <w:rPr>
          <w:szCs w:val="24"/>
        </w:rPr>
        <w:t xml:space="preserve">de incumplir sus compromisos comerciales internacionales. </w:t>
      </w:r>
    </w:p>
    <w:p w14:paraId="294E80C7" w14:textId="70657340" w:rsidR="00854FCD" w:rsidRPr="00854FCD" w:rsidRDefault="00854FCD" w:rsidP="00854FCD">
      <w:pPr>
        <w:pStyle w:val="ListParagraph"/>
        <w:numPr>
          <w:ilvl w:val="0"/>
          <w:numId w:val="1"/>
        </w:numPr>
        <w:snapToGrid w:val="0"/>
        <w:spacing w:before="200" w:after="120" w:line="276" w:lineRule="auto"/>
        <w:ind w:left="0" w:firstLine="0"/>
        <w:rPr>
          <w:szCs w:val="24"/>
        </w:rPr>
      </w:pPr>
      <w:r w:rsidRPr="00854FCD">
        <w:rPr>
          <w:szCs w:val="24"/>
        </w:rPr>
        <w:t>Adicionalmente, el Artículo XI del GATT de 1994 establece que ningún Miembro “</w:t>
      </w:r>
      <w:r>
        <w:rPr>
          <w:szCs w:val="24"/>
        </w:rPr>
        <w:t>…</w:t>
      </w:r>
      <w:r w:rsidRPr="00854FCD">
        <w:rPr>
          <w:i/>
          <w:szCs w:val="24"/>
        </w:rPr>
        <w:t>impondrá ni mantendrá -aparte de los derechos de aduana, impuestos u otras cargas- prohibiciones ni restricciones a la importación de un producto del territorio de otra parte contratante o a la exportación o a la venta para la exportación de un producto destinado al territorio de otra parte contratante, ya sean aplicadas mediante contingentes, licencias de importación o de exportación, o por medio de otras medidas</w:t>
      </w:r>
      <w:r>
        <w:rPr>
          <w:szCs w:val="24"/>
        </w:rPr>
        <w:t>…”.</w:t>
      </w:r>
    </w:p>
    <w:p w14:paraId="21D5D576" w14:textId="513FB410" w:rsidR="00854FCD" w:rsidRPr="00854FCD" w:rsidRDefault="00854FCD" w:rsidP="00854FCD">
      <w:pPr>
        <w:pStyle w:val="ListParagraph"/>
        <w:numPr>
          <w:ilvl w:val="0"/>
          <w:numId w:val="1"/>
        </w:numPr>
        <w:snapToGrid w:val="0"/>
        <w:spacing w:before="200" w:after="120" w:line="276" w:lineRule="auto"/>
        <w:ind w:left="0" w:firstLine="0"/>
        <w:contextualSpacing w:val="0"/>
        <w:rPr>
          <w:szCs w:val="24"/>
        </w:rPr>
      </w:pPr>
      <w:r w:rsidRPr="00854FCD">
        <w:rPr>
          <w:szCs w:val="24"/>
        </w:rPr>
        <w:t xml:space="preserve">El Grupo Especial en Japón-Comercio de semiconductores resolvió que la redacción del Artículo XI.1 </w:t>
      </w:r>
      <w:r>
        <w:rPr>
          <w:szCs w:val="24"/>
        </w:rPr>
        <w:t>“</w:t>
      </w:r>
      <w:r w:rsidRPr="00854FCD">
        <w:rPr>
          <w:i/>
          <w:iCs/>
          <w:szCs w:val="24"/>
        </w:rPr>
        <w:t>…era de vasto alcance y se aplicaba a todas las medidas impuestas o mantenidas por [un Miembro] que prohibieran o restringieran la importación, la exportación o la venta para la exportación de un producto, exceptuadas las que revistieran la forma de derechos de aduana, impuestos u otras cargas</w:t>
      </w:r>
      <w:r>
        <w:rPr>
          <w:i/>
          <w:iCs/>
          <w:szCs w:val="24"/>
        </w:rPr>
        <w:t>…</w:t>
      </w:r>
      <w:r w:rsidRPr="00854FCD">
        <w:rPr>
          <w:i/>
          <w:iCs/>
          <w:szCs w:val="24"/>
        </w:rPr>
        <w:t>”</w:t>
      </w:r>
      <w:r>
        <w:rPr>
          <w:szCs w:val="24"/>
        </w:rPr>
        <w:t>.</w:t>
      </w:r>
      <w:r w:rsidRPr="00854FCD">
        <w:rPr>
          <w:szCs w:val="24"/>
        </w:rPr>
        <w:t xml:space="preserve"> </w:t>
      </w:r>
      <w:r>
        <w:rPr>
          <w:rStyle w:val="FootnoteReference"/>
          <w:szCs w:val="24"/>
        </w:rPr>
        <w:footnoteReference w:id="1"/>
      </w:r>
      <w:r>
        <w:rPr>
          <w:szCs w:val="24"/>
        </w:rPr>
        <w:t xml:space="preserve"> </w:t>
      </w:r>
      <w:r w:rsidRPr="00854FCD">
        <w:rPr>
          <w:szCs w:val="24"/>
        </w:rPr>
        <w:t xml:space="preserve">Derivado de lo anterior, los </w:t>
      </w:r>
      <w:r w:rsidRPr="00854FCD">
        <w:rPr>
          <w:szCs w:val="24"/>
        </w:rPr>
        <w:lastRenderedPageBreak/>
        <w:t>Miembros de la OMC tienen la obligación de no imponer medidas que tengan por efecto prohibir o restringir la importación de un producto del territorio de otro Miembro, o su exportación o venta para la exportación.</w:t>
      </w:r>
    </w:p>
    <w:p w14:paraId="4F437747" w14:textId="50A77E36" w:rsidR="001A3DBE" w:rsidRPr="00854FCD" w:rsidRDefault="001A3DBE" w:rsidP="00854FCD">
      <w:pPr>
        <w:pStyle w:val="ListParagraph"/>
        <w:numPr>
          <w:ilvl w:val="0"/>
          <w:numId w:val="1"/>
        </w:numPr>
        <w:snapToGrid w:val="0"/>
        <w:spacing w:before="200" w:after="120" w:line="276" w:lineRule="auto"/>
        <w:ind w:left="0" w:firstLine="0"/>
        <w:contextualSpacing w:val="0"/>
        <w:rPr>
          <w:szCs w:val="24"/>
        </w:rPr>
      </w:pPr>
      <w:r w:rsidRPr="00854FCD">
        <w:rPr>
          <w:szCs w:val="24"/>
        </w:rPr>
        <w:t>Dicho Artículo prevé, en su párrafo segundo, excepciones específicas a la aplicación del párrafo 1 antes señalado, excepciones relativas, únicamente, a la prevención o remediación de escasez aguda de productos alimenticios o esenciales; prohibiciones o restricciones para la aplicación de normas o reglamentos sobre clasificación, control de calidad o comercialización de productos destinados al comercio internacional; y restricciones de productos agrícolas o pesqueros con objetivos específicamente determinados en el párrafo 2 de</w:t>
      </w:r>
      <w:r w:rsidR="00854FCD">
        <w:rPr>
          <w:szCs w:val="24"/>
        </w:rPr>
        <w:t>l Artículo XI del GATT de 1994.</w:t>
      </w:r>
    </w:p>
    <w:p w14:paraId="6A43BD0D" w14:textId="5C242FDA" w:rsidR="001A3DBE" w:rsidRPr="00854FCD" w:rsidRDefault="001A3DBE" w:rsidP="00854FCD">
      <w:pPr>
        <w:pStyle w:val="ListParagraph"/>
        <w:numPr>
          <w:ilvl w:val="0"/>
          <w:numId w:val="1"/>
        </w:numPr>
        <w:snapToGrid w:val="0"/>
        <w:spacing w:before="200" w:after="120" w:line="276" w:lineRule="auto"/>
        <w:ind w:left="0" w:firstLine="0"/>
        <w:contextualSpacing w:val="0"/>
        <w:rPr>
          <w:szCs w:val="24"/>
        </w:rPr>
      </w:pPr>
      <w:r w:rsidRPr="00854FCD">
        <w:rPr>
          <w:szCs w:val="24"/>
        </w:rPr>
        <w:t xml:space="preserve">En ese sentido, una norma internacional común que rija la importación y exportación de los productos referidos anteriormente </w:t>
      </w:r>
      <w:r w:rsidR="003F7B34">
        <w:rPr>
          <w:szCs w:val="24"/>
        </w:rPr>
        <w:t>deberá co</w:t>
      </w:r>
      <w:bookmarkStart w:id="4" w:name="_GoBack"/>
      <w:bookmarkEnd w:id="4"/>
      <w:r w:rsidR="003F7B34">
        <w:rPr>
          <w:szCs w:val="24"/>
        </w:rPr>
        <w:t>nsiderar</w:t>
      </w:r>
      <w:r w:rsidRPr="00854FCD">
        <w:rPr>
          <w:szCs w:val="24"/>
        </w:rPr>
        <w:t xml:space="preserve"> los compromisos comerciales internacionales en el marco de la OMC, si ésta tuviera por objeto prohibir su importación y exportación. Lo anterior</w:t>
      </w:r>
      <w:r w:rsidR="003F7B34">
        <w:rPr>
          <w:szCs w:val="24"/>
        </w:rPr>
        <w:t xml:space="preserve">, considerando que </w:t>
      </w:r>
      <w:r w:rsidRPr="00854FCD">
        <w:rPr>
          <w:szCs w:val="24"/>
        </w:rPr>
        <w:t xml:space="preserve">no se encuentra en uno de los casos de excepción específicos contenidos en el párrafo 2 del Artículo XI del GATT de 1994. </w:t>
      </w:r>
    </w:p>
    <w:p w14:paraId="2E1452BA" w14:textId="43B888E5" w:rsidR="008156CC" w:rsidRPr="00854FCD" w:rsidRDefault="001A3DBE" w:rsidP="00854FCD">
      <w:pPr>
        <w:pStyle w:val="ListParagraph"/>
        <w:numPr>
          <w:ilvl w:val="0"/>
          <w:numId w:val="1"/>
        </w:numPr>
        <w:snapToGrid w:val="0"/>
        <w:spacing w:before="200" w:after="120" w:line="276" w:lineRule="auto"/>
        <w:ind w:left="0" w:firstLine="0"/>
        <w:contextualSpacing w:val="0"/>
        <w:rPr>
          <w:szCs w:val="24"/>
        </w:rPr>
      </w:pPr>
      <w:r w:rsidRPr="00854FCD">
        <w:rPr>
          <w:b/>
          <w:bCs/>
          <w:szCs w:val="24"/>
        </w:rPr>
        <w:t xml:space="preserve">Excepciones generales y exenciones. </w:t>
      </w:r>
      <w:r w:rsidRPr="00854FCD">
        <w:rPr>
          <w:szCs w:val="24"/>
        </w:rPr>
        <w:t>En dado caso, para que no fuera considerada como violatoria a los compromisos comerciales internacionales en el marco de la OMC, se debería probar que se encuentra en uno de los supuestos del Artículo XX de GATT de 1994 “Excepciones generales”. Dicho artículo señala lo siguiente:</w:t>
      </w:r>
    </w:p>
    <w:p w14:paraId="758D7DD6" w14:textId="7C8C6580" w:rsidR="001A3DBE" w:rsidRPr="001A3DBE" w:rsidRDefault="000C1A3D" w:rsidP="000C1A3D">
      <w:pPr>
        <w:autoSpaceDE w:val="0"/>
        <w:autoSpaceDN w:val="0"/>
        <w:adjustRightInd w:val="0"/>
        <w:spacing w:before="200" w:after="120" w:line="276" w:lineRule="auto"/>
        <w:ind w:left="397" w:right="284" w:firstLine="0"/>
        <w:jc w:val="center"/>
        <w:rPr>
          <w:color w:val="000000"/>
          <w:szCs w:val="24"/>
        </w:rPr>
      </w:pPr>
      <w:r>
        <w:rPr>
          <w:i/>
          <w:iCs/>
          <w:color w:val="000000"/>
          <w:szCs w:val="24"/>
        </w:rPr>
        <w:t xml:space="preserve">“… </w:t>
      </w:r>
      <w:r w:rsidR="001A3DBE" w:rsidRPr="001A3DBE">
        <w:rPr>
          <w:i/>
          <w:iCs/>
          <w:color w:val="000000"/>
          <w:szCs w:val="24"/>
        </w:rPr>
        <w:t>Artículo XX</w:t>
      </w:r>
    </w:p>
    <w:p w14:paraId="50217972" w14:textId="03C41C4A" w:rsidR="001A3DBE" w:rsidRPr="001A3DBE" w:rsidRDefault="001A3DBE" w:rsidP="000C1A3D">
      <w:pPr>
        <w:autoSpaceDE w:val="0"/>
        <w:autoSpaceDN w:val="0"/>
        <w:adjustRightInd w:val="0"/>
        <w:spacing w:before="200" w:after="120" w:line="276" w:lineRule="auto"/>
        <w:ind w:left="397" w:right="284" w:firstLine="0"/>
        <w:jc w:val="center"/>
        <w:rPr>
          <w:color w:val="000000"/>
          <w:szCs w:val="24"/>
        </w:rPr>
      </w:pPr>
      <w:r w:rsidRPr="001A3DBE">
        <w:rPr>
          <w:i/>
          <w:iCs/>
          <w:color w:val="000000"/>
          <w:szCs w:val="24"/>
        </w:rPr>
        <w:t>Excepciones generales</w:t>
      </w:r>
    </w:p>
    <w:p w14:paraId="2F3CEA40" w14:textId="157DE9B3" w:rsidR="001A3DBE" w:rsidRPr="001A3DBE" w:rsidRDefault="001A3DBE" w:rsidP="00854FCD">
      <w:pPr>
        <w:autoSpaceDE w:val="0"/>
        <w:autoSpaceDN w:val="0"/>
        <w:adjustRightInd w:val="0"/>
        <w:spacing w:before="200" w:after="120" w:line="276" w:lineRule="auto"/>
        <w:ind w:left="397" w:right="284" w:firstLine="0"/>
        <w:rPr>
          <w:color w:val="000000"/>
          <w:szCs w:val="24"/>
        </w:rPr>
      </w:pPr>
      <w:r w:rsidRPr="001A3DBE">
        <w:rPr>
          <w:i/>
          <w:iCs/>
          <w:color w:val="000000"/>
          <w:szCs w:val="24"/>
        </w:rPr>
        <w:t>A reserva de que no se apliquen las medidas enumeradas a continuación en forma que constituya un medio de discriminación arbitrario o injustificable entre los países en que prevalezcan las mismas condiciones, o una restricción encubierta al comercio internacional, ninguna disposición del presente Acuerdo será interpretada en el sentido de impedir que toda parte contratante adopte o aplique las medidas:</w:t>
      </w:r>
    </w:p>
    <w:p w14:paraId="4EF358F0" w14:textId="1A7B2EF4" w:rsidR="001A3DBE" w:rsidRPr="001A3DBE" w:rsidRDefault="001A3DBE" w:rsidP="00854FCD">
      <w:pPr>
        <w:autoSpaceDE w:val="0"/>
        <w:autoSpaceDN w:val="0"/>
        <w:adjustRightInd w:val="0"/>
        <w:spacing w:before="200" w:after="120" w:line="276" w:lineRule="auto"/>
        <w:ind w:left="397" w:right="284" w:firstLine="0"/>
        <w:rPr>
          <w:color w:val="000000"/>
          <w:szCs w:val="24"/>
        </w:rPr>
      </w:pPr>
      <w:r w:rsidRPr="001A3DBE">
        <w:rPr>
          <w:i/>
          <w:iCs/>
          <w:color w:val="000000"/>
          <w:szCs w:val="24"/>
        </w:rPr>
        <w:t>a) necesarias para proteger la moral pública;</w:t>
      </w:r>
    </w:p>
    <w:p w14:paraId="52258874" w14:textId="683CCAAB" w:rsidR="001A3DBE" w:rsidRPr="00854FCD" w:rsidRDefault="001A3DBE" w:rsidP="00854FCD">
      <w:pPr>
        <w:pStyle w:val="ListParagraph"/>
        <w:snapToGrid w:val="0"/>
        <w:spacing w:before="200" w:after="120" w:line="276" w:lineRule="auto"/>
        <w:ind w:left="397" w:right="284" w:firstLine="0"/>
        <w:contextualSpacing w:val="0"/>
        <w:rPr>
          <w:szCs w:val="24"/>
        </w:rPr>
      </w:pPr>
      <w:r w:rsidRPr="00854FCD">
        <w:rPr>
          <w:i/>
          <w:iCs/>
          <w:color w:val="000000"/>
          <w:szCs w:val="24"/>
        </w:rPr>
        <w:t>b) necesarias para proteger la salud y la vida de las personas y de los animales</w:t>
      </w:r>
      <w:r w:rsidR="000C1A3D">
        <w:rPr>
          <w:i/>
          <w:iCs/>
          <w:color w:val="000000"/>
          <w:szCs w:val="24"/>
        </w:rPr>
        <w:t xml:space="preserve"> o para preservar los vegetales…”</w:t>
      </w:r>
    </w:p>
    <w:p w14:paraId="62AD8066" w14:textId="7DDDDD50" w:rsidR="00961607" w:rsidRPr="00854FCD" w:rsidRDefault="001A3DBE" w:rsidP="00854FCD">
      <w:pPr>
        <w:pStyle w:val="ListParagraph"/>
        <w:numPr>
          <w:ilvl w:val="0"/>
          <w:numId w:val="1"/>
        </w:numPr>
        <w:snapToGrid w:val="0"/>
        <w:spacing w:before="200" w:after="120" w:line="276" w:lineRule="auto"/>
        <w:ind w:left="0" w:firstLine="0"/>
        <w:contextualSpacing w:val="0"/>
        <w:rPr>
          <w:szCs w:val="24"/>
        </w:rPr>
      </w:pPr>
      <w:r w:rsidRPr="00854FCD">
        <w:rPr>
          <w:szCs w:val="24"/>
        </w:rPr>
        <w:t>El Órgano de Apelación del sistema de solución de controversias de la OMC en el caso Brasil-Medidas que afectan las importaciones de neumáticos recauchutados, señaló que “</w:t>
      </w:r>
      <w:r w:rsidR="000C1A3D">
        <w:rPr>
          <w:szCs w:val="24"/>
        </w:rPr>
        <w:t>…</w:t>
      </w:r>
      <w:r w:rsidRPr="00854FCD">
        <w:rPr>
          <w:i/>
          <w:iCs/>
          <w:szCs w:val="24"/>
        </w:rPr>
        <w:t xml:space="preserve">el análisis de una medida en el marco del artículo XX del GATT de 1994 es doble. En primer lugar, el grupo especial debe examinar si la medida corresponde al menos a una de </w:t>
      </w:r>
      <w:r w:rsidRPr="00854FCD">
        <w:rPr>
          <w:i/>
          <w:iCs/>
          <w:szCs w:val="24"/>
        </w:rPr>
        <w:lastRenderedPageBreak/>
        <w:t>las 10 excepciones enunciadas en el artículo XX. En segundo lugar, debe analizarse la cuestión de si la medida en litigio cumple los requisitos del preámbulo del artículo XX</w:t>
      </w:r>
      <w:r w:rsidR="000C1A3D">
        <w:rPr>
          <w:i/>
          <w:iCs/>
          <w:szCs w:val="24"/>
        </w:rPr>
        <w:t>…</w:t>
      </w:r>
      <w:r w:rsidRPr="00854FCD">
        <w:rPr>
          <w:szCs w:val="24"/>
        </w:rPr>
        <w:t>”</w:t>
      </w:r>
      <w:r w:rsidRPr="00854FCD">
        <w:rPr>
          <w:rStyle w:val="FootnoteReference"/>
          <w:szCs w:val="24"/>
        </w:rPr>
        <w:footnoteReference w:id="2"/>
      </w:r>
    </w:p>
    <w:p w14:paraId="0ABB5D1F" w14:textId="2A0BFC59" w:rsidR="001A3DBE" w:rsidRPr="00854FCD" w:rsidRDefault="001A3DBE" w:rsidP="00854FCD">
      <w:pPr>
        <w:pStyle w:val="ListParagraph"/>
        <w:numPr>
          <w:ilvl w:val="0"/>
          <w:numId w:val="1"/>
        </w:numPr>
        <w:snapToGrid w:val="0"/>
        <w:spacing w:before="200" w:after="120" w:line="276" w:lineRule="auto"/>
        <w:ind w:left="0" w:firstLine="0"/>
        <w:contextualSpacing w:val="0"/>
        <w:rPr>
          <w:szCs w:val="24"/>
        </w:rPr>
      </w:pPr>
      <w:r w:rsidRPr="00854FCD">
        <w:rPr>
          <w:szCs w:val="24"/>
        </w:rPr>
        <w:t>En ese sentido, primero debe analizarse si una medida puede quedar comprendida dentro de una de las excepcion</w:t>
      </w:r>
      <w:r w:rsidR="000C1A3D">
        <w:rPr>
          <w:szCs w:val="24"/>
        </w:rPr>
        <w:t>es señaladas en el Artículo XX.</w:t>
      </w:r>
    </w:p>
    <w:p w14:paraId="3EFAD21C" w14:textId="50F01E11" w:rsidR="00961607" w:rsidRPr="00854FCD" w:rsidRDefault="001A3DBE" w:rsidP="00854FCD">
      <w:pPr>
        <w:pStyle w:val="ListParagraph"/>
        <w:numPr>
          <w:ilvl w:val="0"/>
          <w:numId w:val="33"/>
        </w:numPr>
        <w:snapToGrid w:val="0"/>
        <w:spacing w:before="200" w:after="120" w:line="276" w:lineRule="auto"/>
        <w:contextualSpacing w:val="0"/>
        <w:rPr>
          <w:szCs w:val="24"/>
        </w:rPr>
      </w:pPr>
      <w:r w:rsidRPr="00854FCD">
        <w:rPr>
          <w:szCs w:val="24"/>
        </w:rPr>
        <w:t>Posteriormente debe realizarse un análisis de “necesidad”. El Órgano de Apelación en el caso Corea- Diversas medidas que afectan a la carne vacuna, señaló lo siguiente:</w:t>
      </w:r>
    </w:p>
    <w:p w14:paraId="004E6F0A" w14:textId="4876441E" w:rsidR="001A3DBE" w:rsidRPr="00854FCD" w:rsidRDefault="001A3DBE" w:rsidP="00854FCD">
      <w:pPr>
        <w:snapToGrid w:val="0"/>
        <w:spacing w:before="200" w:after="120" w:line="276" w:lineRule="auto"/>
        <w:ind w:firstLine="0"/>
        <w:rPr>
          <w:i/>
          <w:szCs w:val="24"/>
        </w:rPr>
      </w:pPr>
      <w:r w:rsidRPr="00854FCD">
        <w:rPr>
          <w:i/>
          <w:szCs w:val="24"/>
        </w:rPr>
        <w:t>Las medidas que son indispensables o de absoluta necesidad o inevitables para lograr la observancia cumplen sin duda las prescripciones del apartado d) del artículo XX. Pero otras medidas también pueden quedar comprendidas en el ámbito de esa excepción. La palabra "necesaria", tal como se utiliza en el apartado d) del artículo XX, se refiere, a nuestro juicio, a una variedad de grados de necesidad. En un extremo de este continuo, "necesarias" se entiende como "indispensables"; en el otro extremo, en el sentido de "que contribuyen a". Consideramos que una medida "necesaria" está, en este continuo, situada significativamente más cerca del polo de lo "indispensable" que del polo opuesto, de lo que simplemente "contribuye a".</w:t>
      </w:r>
      <w:r w:rsidRPr="00854FCD">
        <w:rPr>
          <w:rStyle w:val="FootnoteReference"/>
          <w:i/>
          <w:szCs w:val="24"/>
        </w:rPr>
        <w:footnoteReference w:id="3"/>
      </w:r>
    </w:p>
    <w:p w14:paraId="2EE68F73" w14:textId="60F6FD86" w:rsidR="00961607" w:rsidRPr="00854FCD" w:rsidRDefault="001A3DBE"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 xml:space="preserve">Para determinar si una medida es necesaria se deben </w:t>
      </w:r>
      <w:r w:rsidRPr="00854FCD">
        <w:rPr>
          <w:i/>
          <w:iCs/>
          <w:szCs w:val="24"/>
        </w:rPr>
        <w:t>“…evaluar todos los factores pertinentes, en especial el alcance de la contribución al logro del objetivo de una medida y el grado de restricción del comercio que implica, teniendo en cuenta la importancia de los intereses o valores en juego. Si en este análisis se llega a una conclusión preliminar de que la medida es necesaria, hay que confirmar este resultado comparando la medida con las posibles alternativas que puedan tener efectos menos restrictivos sobre el comercio y proporcionen una contribución equivalente al logro del objetivo perseguido. Corresponde al Miembro reclamante identificar las posibles alternativas a la medida en litigio que el Miembro demandado podría haber adoptado</w:t>
      </w:r>
      <w:r w:rsidRPr="00854FCD">
        <w:rPr>
          <w:szCs w:val="24"/>
        </w:rPr>
        <w:t>”</w:t>
      </w:r>
      <w:r w:rsidRPr="00854FCD">
        <w:rPr>
          <w:rStyle w:val="FootnoteReference"/>
          <w:szCs w:val="24"/>
        </w:rPr>
        <w:footnoteReference w:id="4"/>
      </w:r>
    </w:p>
    <w:p w14:paraId="2969F845" w14:textId="2B44A641" w:rsidR="00F342C5" w:rsidRPr="00854FCD" w:rsidRDefault="00F342C5"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Como se señaló anteriormente, una medida alternativa tiene que ser propuesta por un Miembro reclamante y debe ser menos restrictiva del comercio, lograr el mismo nivel de protección y estar razonablemente al alcance de México.</w:t>
      </w:r>
    </w:p>
    <w:p w14:paraId="642A1AFC" w14:textId="4B71AEF5" w:rsidR="00961607" w:rsidRPr="00854FCD" w:rsidRDefault="00F342C5"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Adicionalmente, se deberá determinar la contribución de la medida al logro del objetivo. Al respecto, el Órgano de Apelación ha señalado que “</w:t>
      </w:r>
      <w:r w:rsidRPr="00854FCD">
        <w:rPr>
          <w:i/>
          <w:iCs/>
          <w:szCs w:val="24"/>
        </w:rPr>
        <w:t>…[e]</w:t>
      </w:r>
      <w:proofErr w:type="spellStart"/>
      <w:r w:rsidRPr="00854FCD">
        <w:rPr>
          <w:i/>
          <w:iCs/>
          <w:szCs w:val="24"/>
        </w:rPr>
        <w:t>xiste</w:t>
      </w:r>
      <w:proofErr w:type="spellEnd"/>
      <w:r w:rsidRPr="00854FCD">
        <w:rPr>
          <w:i/>
          <w:iCs/>
          <w:szCs w:val="24"/>
        </w:rPr>
        <w:t xml:space="preserve"> esa contribución </w:t>
      </w:r>
      <w:r w:rsidRPr="00854FCD">
        <w:rPr>
          <w:i/>
          <w:iCs/>
          <w:szCs w:val="24"/>
        </w:rPr>
        <w:lastRenderedPageBreak/>
        <w:t>cuando hay una relación auténtica de fines a medios entre el objetivo que se persigue y la medida en cuestión. Para que una medida pueda calificarse de necesaria no es preciso que sea indispensable. Sin embargo, su contribución al logro del objetivo debe ser importante, no meramente marginal ni insignificante</w:t>
      </w:r>
      <w:r w:rsidR="00077ED1">
        <w:rPr>
          <w:i/>
          <w:iCs/>
          <w:szCs w:val="24"/>
        </w:rPr>
        <w:t>…</w:t>
      </w:r>
      <w:r w:rsidRPr="00854FCD">
        <w:rPr>
          <w:i/>
          <w:iCs/>
          <w:szCs w:val="24"/>
        </w:rPr>
        <w:t>”</w:t>
      </w:r>
      <w:r w:rsidR="00077ED1">
        <w:rPr>
          <w:iCs/>
          <w:szCs w:val="24"/>
        </w:rPr>
        <w:t>.</w:t>
      </w:r>
      <w:r w:rsidRPr="00077ED1">
        <w:rPr>
          <w:rStyle w:val="FootnoteReference"/>
          <w:iCs/>
          <w:szCs w:val="24"/>
        </w:rPr>
        <w:footnoteReference w:id="5"/>
      </w:r>
    </w:p>
    <w:p w14:paraId="2FD19EF8" w14:textId="4451F278" w:rsidR="00961607" w:rsidRPr="00854FCD" w:rsidRDefault="00F342C5"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Una vez concluido dicho análisis, se deberá constatar si una medida cumple con los requisitos del preámbulo del Artículo XX del GATT de 1994, para ello se debe determinar que la medida no se aplica en forma que constituya una discriminación arbitraria o injustificable entre países en que prevalezcan las mismas condiciones y que no constituya una restricción encubierta al comercio internacional.</w:t>
      </w:r>
    </w:p>
    <w:p w14:paraId="1B5C1ED8" w14:textId="50516CB6" w:rsidR="002C055B" w:rsidRPr="00854FCD" w:rsidRDefault="000C1A3D" w:rsidP="00854FCD">
      <w:pPr>
        <w:pStyle w:val="ListParagraph"/>
        <w:numPr>
          <w:ilvl w:val="0"/>
          <w:numId w:val="33"/>
        </w:numPr>
        <w:snapToGrid w:val="0"/>
        <w:spacing w:before="200" w:after="120" w:line="276" w:lineRule="auto"/>
        <w:ind w:left="0" w:firstLine="0"/>
        <w:contextualSpacing w:val="0"/>
        <w:rPr>
          <w:szCs w:val="24"/>
        </w:rPr>
      </w:pPr>
      <w:r>
        <w:rPr>
          <w:szCs w:val="24"/>
        </w:rPr>
        <w:t>E</w:t>
      </w:r>
      <w:r w:rsidR="00F342C5" w:rsidRPr="00854FCD">
        <w:rPr>
          <w:szCs w:val="24"/>
        </w:rPr>
        <w:t>s importante señalar que el Órgano de Apelación ha interpretado, respecto a la frase “</w:t>
      </w:r>
      <w:r w:rsidR="00F342C5" w:rsidRPr="00854FCD">
        <w:rPr>
          <w:i/>
          <w:iCs/>
          <w:szCs w:val="24"/>
        </w:rPr>
        <w:t>restricción encubierta al comercio internacional</w:t>
      </w:r>
      <w:r w:rsidR="00F342C5" w:rsidRPr="00854FCD">
        <w:rPr>
          <w:szCs w:val="24"/>
        </w:rPr>
        <w:t>”, lo siguiente:</w:t>
      </w:r>
    </w:p>
    <w:p w14:paraId="1C945797" w14:textId="0483F7B2" w:rsidR="00F342C5" w:rsidRPr="00854FCD" w:rsidRDefault="00F342C5" w:rsidP="000C1A3D">
      <w:pPr>
        <w:pStyle w:val="ListParagraph"/>
        <w:snapToGrid w:val="0"/>
        <w:spacing w:before="200" w:after="120" w:line="276" w:lineRule="auto"/>
        <w:ind w:left="284" w:right="284" w:firstLine="0"/>
        <w:contextualSpacing w:val="0"/>
        <w:rPr>
          <w:szCs w:val="24"/>
        </w:rPr>
      </w:pPr>
      <w:r w:rsidRPr="00854FCD">
        <w:rPr>
          <w:szCs w:val="24"/>
        </w:rPr>
        <w:t>“</w:t>
      </w:r>
      <w:r w:rsidR="000C1A3D">
        <w:rPr>
          <w:szCs w:val="24"/>
        </w:rPr>
        <w:t>…</w:t>
      </w:r>
      <w:r w:rsidRPr="00854FCD">
        <w:rPr>
          <w:i/>
          <w:iCs/>
          <w:szCs w:val="24"/>
        </w:rPr>
        <w:t>Es igualmente claro que restricción o discriminación oculta o tácita en el comercio internacional no agota el significado de “restricción encubierta”. Estimamos que puede interpretarse adecuadamente que la “restricción encubierta”, cualesquiera que sean los demás aspectos que comprenda, abarca las restricciones equivalentes a una discriminación arbitraria o injustificable en el comercio internacional aplicadas en la forma de una medida formalmente comprendida en el ámbito de una de las excepciones enumeradas en el artículo XX. Dicho de modo algo diferente, los tipos de consideraciones pertinentes para decidir si la aplicación de una medida determinada equivale a una “discriminación arbitraria o injustificable” pueden también tomarse en consideración para determinar si hay “restricción encubierta” al comercio internacional. La cuestión fundamental ha de hallarse en el propósito y objeto de evitar el abuso o el uso ilícito de las excepciones a las normas sustantivas, que se prevén en el artículo XX</w:t>
      </w:r>
      <w:r w:rsidR="000C1A3D">
        <w:rPr>
          <w:i/>
          <w:iCs/>
          <w:szCs w:val="24"/>
        </w:rPr>
        <w:t>…</w:t>
      </w:r>
      <w:r w:rsidRPr="00854FCD">
        <w:rPr>
          <w:szCs w:val="24"/>
        </w:rPr>
        <w:t>”</w:t>
      </w:r>
    </w:p>
    <w:p w14:paraId="0C747E95" w14:textId="35FC7E73" w:rsidR="00961607" w:rsidRPr="00854FCD" w:rsidRDefault="00F342C5"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Por otra parte, cabe señalar que, de conformidad con el párrafo 3 del Artículo IX del Acuerdo de Marrakech, en circunstancias excepcionales, la Conferencia Ministerial de la OMC puede eximir a un Miembro de una obligación impuesta por ese Acuerdo o por cualquiera de los Acuerdos Comerciales Multilaterales; sin embargo, dicha excepción será temporal y debe ser aprobada por tres cuartos de los Miembros.</w:t>
      </w:r>
    </w:p>
    <w:p w14:paraId="3EC0B1DC" w14:textId="41D3113E" w:rsidR="00E176BA" w:rsidRPr="00854FCD" w:rsidRDefault="00C718B0" w:rsidP="00854FCD">
      <w:pPr>
        <w:pStyle w:val="ListParagraph"/>
        <w:numPr>
          <w:ilvl w:val="0"/>
          <w:numId w:val="3"/>
        </w:numPr>
        <w:snapToGrid w:val="0"/>
        <w:spacing w:before="200" w:after="120" w:line="276" w:lineRule="auto"/>
        <w:contextualSpacing w:val="0"/>
        <w:outlineLvl w:val="0"/>
        <w:rPr>
          <w:rFonts w:eastAsiaTheme="majorEastAsia"/>
          <w:b/>
          <w:bCs/>
          <w:smallCaps/>
          <w:szCs w:val="24"/>
        </w:rPr>
      </w:pPr>
      <w:bookmarkStart w:id="5" w:name="_Toc91078043"/>
      <w:r w:rsidRPr="00854FCD">
        <w:rPr>
          <w:rFonts w:eastAsiaTheme="majorEastAsia"/>
          <w:b/>
          <w:bCs/>
          <w:smallCaps/>
          <w:szCs w:val="24"/>
        </w:rPr>
        <w:t>Alcance de los bienes que deben incluirse</w:t>
      </w:r>
      <w:bookmarkEnd w:id="5"/>
    </w:p>
    <w:p w14:paraId="2BB5994A" w14:textId="678DC525" w:rsidR="000E76FA" w:rsidRPr="00854FCD" w:rsidRDefault="008156CC"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 xml:space="preserve">El Estado mexicano observa que se deben prever límites sobre la adquisición, uso y regulación de aditamentos tales como porras con púas metálicas, cinturones para aplicar descargas eléctricas y dispositivos que sujetan a las personas por la cintura o las extremidades </w:t>
      </w:r>
      <w:r w:rsidRPr="00854FCD">
        <w:rPr>
          <w:szCs w:val="24"/>
        </w:rPr>
        <w:lastRenderedPageBreak/>
        <w:t>mientras las electrocutan, así como productos químicos que se utilizan para las ejecuciones y los sistemas de inyección forzosa, empleados en entornos torturantes, por citar algunos ejemplos.</w:t>
      </w:r>
    </w:p>
    <w:p w14:paraId="44D1130E" w14:textId="69204FA8" w:rsidR="000753D5" w:rsidRPr="00854FCD" w:rsidRDefault="000753D5"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En particular, las normas deberán aspirar a restringir la compra de esta clase de productos pues actualmente estos artículos son vendidos y adquiridos por todo tipo de público.</w:t>
      </w:r>
    </w:p>
    <w:p w14:paraId="7F67530E" w14:textId="39EFA9D2" w:rsidR="00F342C5" w:rsidRPr="00854FCD" w:rsidRDefault="00F342C5"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 xml:space="preserve">De manera paralela, el Estado mexicano considera importante que se exhorte a todos los gobiernos a que adopten medidas apropiadas y eficaces de carácter legislativo, administrativo, judicial y de cualquier otro tipo que pueda ser aplicable para prevenir y prohibir la producción, el comercio, la exportación y el empleo de material diseñado específicamente para infligir torturas u otros tratos crueles, inhumanos o degradante; siempre considerando lo manifestado con anterioridad en este escrito y por la vía señalada. </w:t>
      </w:r>
    </w:p>
    <w:p w14:paraId="0B7A1941" w14:textId="761E4B45" w:rsidR="00247701" w:rsidRPr="000C1A3D" w:rsidRDefault="00F342C5" w:rsidP="000C1A3D">
      <w:pPr>
        <w:pStyle w:val="ListParagraph"/>
        <w:numPr>
          <w:ilvl w:val="0"/>
          <w:numId w:val="33"/>
        </w:numPr>
        <w:snapToGrid w:val="0"/>
        <w:spacing w:before="200" w:after="120" w:line="276" w:lineRule="auto"/>
        <w:ind w:left="0" w:firstLine="0"/>
        <w:contextualSpacing w:val="0"/>
        <w:rPr>
          <w:szCs w:val="24"/>
        </w:rPr>
      </w:pPr>
      <w:r w:rsidRPr="00854FCD">
        <w:rPr>
          <w:szCs w:val="24"/>
        </w:rPr>
        <w:t>Finalmente, que se recomiende que, además de prohibir la fabricación, la transferencia y el empleo de material que no tiene otra finalidad práctica que la de infligir torturas u otros malos tratos, siempre considerando lo manifestado con anterioridad en este escrito y por la vía señalada, los Estados también apliquen en sus legislaciones internas controles estrictos sobre la exportación de otros materiales de seguridad y para hacer cumplir la normatividad internacional, a fin de garantizar que no se utiliza para infligir torturas u otros malos tratos.</w:t>
      </w:r>
    </w:p>
    <w:p w14:paraId="159FCB63" w14:textId="7D35BF38" w:rsidR="00247701" w:rsidRPr="00854FCD" w:rsidRDefault="00C718B0" w:rsidP="00854FCD">
      <w:pPr>
        <w:pStyle w:val="ListParagraph"/>
        <w:numPr>
          <w:ilvl w:val="0"/>
          <w:numId w:val="3"/>
        </w:numPr>
        <w:snapToGrid w:val="0"/>
        <w:spacing w:before="200" w:after="120" w:line="276" w:lineRule="auto"/>
        <w:contextualSpacing w:val="0"/>
        <w:outlineLvl w:val="0"/>
        <w:rPr>
          <w:rFonts w:eastAsiaTheme="majorEastAsia"/>
          <w:b/>
          <w:bCs/>
          <w:smallCaps/>
          <w:szCs w:val="24"/>
        </w:rPr>
      </w:pPr>
      <w:bookmarkStart w:id="6" w:name="_Toc91078044"/>
      <w:r w:rsidRPr="00854FCD">
        <w:rPr>
          <w:rFonts w:eastAsiaTheme="majorEastAsia"/>
          <w:b/>
          <w:bCs/>
          <w:smallCaps/>
          <w:szCs w:val="24"/>
        </w:rPr>
        <w:t>Proyecto de parámetros para una serie de opciones para establecer normas internacionales comunes en la materia</w:t>
      </w:r>
      <w:bookmarkEnd w:id="6"/>
    </w:p>
    <w:p w14:paraId="570BE355" w14:textId="51C0A88D" w:rsidR="00C718B0" w:rsidRPr="00854FCD" w:rsidRDefault="00ED3B99"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E</w:t>
      </w:r>
      <w:r w:rsidR="000753D5" w:rsidRPr="00854FCD">
        <w:rPr>
          <w:szCs w:val="24"/>
        </w:rPr>
        <w:t>l esfuerzo normativo debe tener sus cimientos en instrumentos internacionales en materia de derechos humanos, tales como el Pacto Internacional de Derechos Civiles y Políticos, la Convención Americana sobre Derechos Humanos y, en particular, los tratados especializados en la materia, a saber, la Convención contra la Tortura y Otros Tratos o Penas Crueles, Inhumanos o Degradantes y su Protocolo Facultativo, así como la Convención Interamericana para Prevenir y Sancionar la Tortura.</w:t>
      </w:r>
    </w:p>
    <w:p w14:paraId="10C78832" w14:textId="6351BD66" w:rsidR="000753D5" w:rsidRPr="00854FCD" w:rsidRDefault="00F76C41"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En particular, el Estado mexicano estima que será de la mayor relevancia analizar las opiniones emitidas en casos individuales por el Comité de Derechos Humanos y el Comité contra la Tortura, así como las sentencias de la Corte Interamericana de Derechos Humanos, entre otros organismos cuasi jurisdiccionales y jurisdiccionales</w:t>
      </w:r>
      <w:r w:rsidR="00077ED1">
        <w:rPr>
          <w:szCs w:val="24"/>
        </w:rPr>
        <w:t>,</w:t>
      </w:r>
      <w:r w:rsidRPr="00854FCD">
        <w:rPr>
          <w:szCs w:val="24"/>
        </w:rPr>
        <w:t xml:space="preserve"> para evaluar qué objetos fueron usados por los perpetradores de tortura u otros tratos o penas crueles, inhumanas o degradantes.</w:t>
      </w:r>
    </w:p>
    <w:p w14:paraId="5D2904DA" w14:textId="386EAB45" w:rsidR="00E176BA" w:rsidRPr="00854FCD" w:rsidRDefault="00F342C5" w:rsidP="00854FCD">
      <w:pPr>
        <w:pStyle w:val="ListParagraph"/>
        <w:numPr>
          <w:ilvl w:val="0"/>
          <w:numId w:val="33"/>
        </w:numPr>
        <w:snapToGrid w:val="0"/>
        <w:spacing w:before="200" w:after="120" w:line="276" w:lineRule="auto"/>
        <w:ind w:left="0" w:firstLine="0"/>
        <w:contextualSpacing w:val="0"/>
        <w:rPr>
          <w:szCs w:val="24"/>
        </w:rPr>
      </w:pPr>
      <w:r w:rsidRPr="00854FCD">
        <w:rPr>
          <w:szCs w:val="24"/>
        </w:rPr>
        <w:t xml:space="preserve">Finalmente, el Estado mexicano observa que estos esfuerzos no deben tomarse aisladamente sino nutrir otros como la Declaración de los Estados Miembros de la Alianza Mundial para el Comercio Libre de Tortura con motivo del Día Internacional en Apoyo a las </w:t>
      </w:r>
      <w:r w:rsidRPr="00854FCD">
        <w:rPr>
          <w:szCs w:val="24"/>
        </w:rPr>
        <w:lastRenderedPageBreak/>
        <w:t xml:space="preserve">Víctimas de la Tortura, lanzada el 29 de junio de 2019, en donde se señala que la comunidad internacional está unida en su condena contra cualquier tipo de acto de tortura y en donde también se señala que 166 Estados han ratificado la Convención de las Naciones Unidas contra la Tortura y que, por lo tanto, se han comprometido a adoptar medidas legislativas, administrativas, judiciales o de otra índole, eficaces para prevenir los actos de tortura en cada uno de sus territorios. Además, se señala </w:t>
      </w:r>
      <w:r w:rsidR="00854FCD" w:rsidRPr="00854FCD">
        <w:rPr>
          <w:szCs w:val="24"/>
        </w:rPr>
        <w:t>que los Estados no pueden ignorar las acciones de importación y exportación de bienes o productos utilizados para infligir torturas o tratos crueles, inhumanos o degradantes.</w:t>
      </w:r>
    </w:p>
    <w:sectPr w:rsidR="00E176BA" w:rsidRPr="00854FCD" w:rsidSect="00903A6C">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4D09" w14:textId="77777777" w:rsidR="006A1EEC" w:rsidRDefault="006A1EEC" w:rsidP="00481E85">
      <w:pPr>
        <w:spacing w:before="0" w:line="240" w:lineRule="auto"/>
      </w:pPr>
      <w:r>
        <w:separator/>
      </w:r>
    </w:p>
  </w:endnote>
  <w:endnote w:type="continuationSeparator" w:id="0">
    <w:p w14:paraId="27FC3D0F" w14:textId="77777777" w:rsidR="006A1EEC" w:rsidRDefault="006A1EEC" w:rsidP="00481E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E2E5" w14:textId="77777777" w:rsidR="0022696F" w:rsidRDefault="0022696F">
    <w:pPr>
      <w:pStyle w:val="Footer"/>
      <w:jc w:val="center"/>
    </w:pPr>
  </w:p>
  <w:p w14:paraId="57F65284" w14:textId="77777777" w:rsidR="0022696F" w:rsidRDefault="00226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568420"/>
      <w:docPartObj>
        <w:docPartGallery w:val="Page Numbers (Bottom of Page)"/>
        <w:docPartUnique/>
      </w:docPartObj>
    </w:sdtPr>
    <w:sdtEndPr/>
    <w:sdtContent>
      <w:p w14:paraId="69A21C79" w14:textId="77777777" w:rsidR="0022696F" w:rsidRDefault="0022696F">
        <w:pPr>
          <w:pStyle w:val="Footer"/>
          <w:jc w:val="center"/>
        </w:pPr>
        <w:r>
          <w:fldChar w:fldCharType="begin"/>
        </w:r>
        <w:r>
          <w:instrText>PAGE   \* MERGEFORMAT</w:instrText>
        </w:r>
        <w:r>
          <w:fldChar w:fldCharType="separate"/>
        </w:r>
        <w:r w:rsidR="00077ED1" w:rsidRPr="00077ED1">
          <w:rPr>
            <w:noProof/>
            <w:lang w:val="es-ES"/>
          </w:rPr>
          <w:t>2</w:t>
        </w:r>
        <w:r>
          <w:fldChar w:fldCharType="end"/>
        </w:r>
      </w:p>
    </w:sdtContent>
  </w:sdt>
  <w:p w14:paraId="0B2B3942" w14:textId="77777777" w:rsidR="0022696F" w:rsidRDefault="0022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271D" w14:textId="77777777" w:rsidR="006A1EEC" w:rsidRDefault="006A1EEC" w:rsidP="00481E85">
      <w:pPr>
        <w:spacing w:before="0" w:line="240" w:lineRule="auto"/>
      </w:pPr>
      <w:r>
        <w:separator/>
      </w:r>
    </w:p>
  </w:footnote>
  <w:footnote w:type="continuationSeparator" w:id="0">
    <w:p w14:paraId="70EBFA45" w14:textId="77777777" w:rsidR="006A1EEC" w:rsidRDefault="006A1EEC" w:rsidP="00481E85">
      <w:pPr>
        <w:spacing w:before="0" w:line="240" w:lineRule="auto"/>
      </w:pPr>
      <w:r>
        <w:continuationSeparator/>
      </w:r>
    </w:p>
  </w:footnote>
  <w:footnote w:id="1">
    <w:p w14:paraId="344529B7" w14:textId="5E7C5D58" w:rsidR="00854FCD" w:rsidRDefault="00854FCD">
      <w:pPr>
        <w:pStyle w:val="FootnoteText"/>
      </w:pPr>
      <w:r>
        <w:rPr>
          <w:rStyle w:val="FootnoteReference"/>
        </w:rPr>
        <w:footnoteRef/>
      </w:r>
      <w:r>
        <w:t xml:space="preserve"> </w:t>
      </w:r>
      <w:r w:rsidRPr="00854FCD">
        <w:t xml:space="preserve">Japón - Comercio de semiconductores, informe del Grupo </w:t>
      </w:r>
      <w:r>
        <w:t>Especial del GATT, párrafo 104.</w:t>
      </w:r>
    </w:p>
  </w:footnote>
  <w:footnote w:id="2">
    <w:p w14:paraId="0B996248" w14:textId="29225285" w:rsidR="001A3DBE" w:rsidRDefault="001A3DBE">
      <w:pPr>
        <w:pStyle w:val="FootnoteText"/>
      </w:pPr>
      <w:r>
        <w:rPr>
          <w:rStyle w:val="FootnoteReference"/>
        </w:rPr>
        <w:footnoteRef/>
      </w:r>
      <w:r>
        <w:t xml:space="preserve"> </w:t>
      </w:r>
      <w:r w:rsidRPr="001A3DBE">
        <w:t>Informe del Órgano de Apelación, Brasil-Medidas que afectan las importaciones de neumáticos recauchutados, párrafo 139.</w:t>
      </w:r>
    </w:p>
  </w:footnote>
  <w:footnote w:id="3">
    <w:p w14:paraId="7C200DB5" w14:textId="4BA93F17" w:rsidR="001A3DBE" w:rsidRDefault="001A3DBE">
      <w:pPr>
        <w:pStyle w:val="FootnoteText"/>
      </w:pPr>
      <w:r>
        <w:rPr>
          <w:rStyle w:val="FootnoteReference"/>
        </w:rPr>
        <w:footnoteRef/>
      </w:r>
      <w:r>
        <w:t xml:space="preserve"> </w:t>
      </w:r>
      <w:r w:rsidRPr="001A3DBE">
        <w:t xml:space="preserve">Informe del Órgano de Apelación, Corea - Diversas medidas que afectan </w:t>
      </w:r>
      <w:r w:rsidR="00F342C5">
        <w:t>a la carne vacuna, párrafo 161.</w:t>
      </w:r>
    </w:p>
  </w:footnote>
  <w:footnote w:id="4">
    <w:p w14:paraId="7E68FB08" w14:textId="07F4D69A" w:rsidR="001A3DBE" w:rsidRDefault="001A3DBE">
      <w:pPr>
        <w:pStyle w:val="FootnoteText"/>
      </w:pPr>
      <w:r>
        <w:rPr>
          <w:rStyle w:val="FootnoteReference"/>
        </w:rPr>
        <w:footnoteRef/>
      </w:r>
      <w:r>
        <w:t xml:space="preserve"> </w:t>
      </w:r>
      <w:r w:rsidR="00F342C5" w:rsidRPr="00F342C5">
        <w:t>Informe del Órgano de Apelación, Brasil-Medidas que afectan las importaciones de neumáti</w:t>
      </w:r>
      <w:r w:rsidR="00F342C5">
        <w:t>cos recauchutados, párrafo 156.</w:t>
      </w:r>
    </w:p>
  </w:footnote>
  <w:footnote w:id="5">
    <w:p w14:paraId="5CDB779D" w14:textId="3E2D7F46" w:rsidR="00F342C5" w:rsidRDefault="00F342C5">
      <w:pPr>
        <w:pStyle w:val="FootnoteText"/>
      </w:pPr>
      <w:r>
        <w:rPr>
          <w:rStyle w:val="FootnoteReference"/>
        </w:rPr>
        <w:footnoteRef/>
      </w:r>
      <w:r>
        <w:t xml:space="preserve"> </w:t>
      </w:r>
      <w:r w:rsidRPr="00F342C5">
        <w:t xml:space="preserve">Informe del Órgano de Apelación, Brasil-Medidas que afectan las importaciones de neumáticos recauchutados, párrafo 210.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DC0"/>
    <w:multiLevelType w:val="hybridMultilevel"/>
    <w:tmpl w:val="69D47EBC"/>
    <w:lvl w:ilvl="0" w:tplc="727C9322">
      <w:start w:val="5"/>
      <w:numFmt w:val="lowerRoman"/>
      <w:lvlText w:val="%1."/>
      <w:lvlJc w:val="right"/>
      <w:pPr>
        <w:ind w:left="18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F2C32"/>
    <w:multiLevelType w:val="hybridMultilevel"/>
    <w:tmpl w:val="8554862A"/>
    <w:lvl w:ilvl="0" w:tplc="9CB41154">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49C7"/>
    <w:multiLevelType w:val="hybridMultilevel"/>
    <w:tmpl w:val="43A81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E6B3F"/>
    <w:multiLevelType w:val="singleLevel"/>
    <w:tmpl w:val="13AAA7D2"/>
    <w:lvl w:ilvl="0">
      <w:start w:val="1"/>
      <w:numFmt w:val="upperRoman"/>
      <w:lvlText w:val="%1."/>
      <w:lvlJc w:val="left"/>
      <w:pPr>
        <w:tabs>
          <w:tab w:val="num" w:pos="720"/>
        </w:tabs>
        <w:ind w:left="720" w:hanging="720"/>
      </w:pPr>
      <w:rPr>
        <w:rFonts w:ascii="Arial" w:hAnsi="Arial" w:hint="default"/>
        <w:b w:val="0"/>
        <w:i w:val="0"/>
      </w:rPr>
    </w:lvl>
  </w:abstractNum>
  <w:abstractNum w:abstractNumId="4" w15:restartNumberingAfterBreak="0">
    <w:nsid w:val="105A7B1B"/>
    <w:multiLevelType w:val="hybridMultilevel"/>
    <w:tmpl w:val="96A0E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D61FFC"/>
    <w:multiLevelType w:val="hybridMultilevel"/>
    <w:tmpl w:val="662C4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0105"/>
    <w:multiLevelType w:val="hybridMultilevel"/>
    <w:tmpl w:val="A9244C5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2F3632"/>
    <w:multiLevelType w:val="hybridMultilevel"/>
    <w:tmpl w:val="A254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474E3"/>
    <w:multiLevelType w:val="multilevel"/>
    <w:tmpl w:val="EFE26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732A95"/>
    <w:multiLevelType w:val="hybridMultilevel"/>
    <w:tmpl w:val="EF0AEFDC"/>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576D1C"/>
    <w:multiLevelType w:val="hybridMultilevel"/>
    <w:tmpl w:val="3D5ED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C476BA"/>
    <w:multiLevelType w:val="hybridMultilevel"/>
    <w:tmpl w:val="247C0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327D66"/>
    <w:multiLevelType w:val="hybridMultilevel"/>
    <w:tmpl w:val="2ABA730A"/>
    <w:lvl w:ilvl="0" w:tplc="7818CE4A">
      <w:start w:val="1"/>
      <w:numFmt w:val="lowerRoman"/>
      <w:lvlText w:val="%1."/>
      <w:lvlJc w:val="right"/>
      <w:pPr>
        <w:ind w:left="180" w:hanging="18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9A13D6"/>
    <w:multiLevelType w:val="hybridMultilevel"/>
    <w:tmpl w:val="B17A1BAA"/>
    <w:lvl w:ilvl="0" w:tplc="BA26CCD8">
      <w:start w:val="1"/>
      <w:numFmt w:val="lowerRoman"/>
      <w:lvlText w:val="%1."/>
      <w:lvlJc w:val="right"/>
      <w:pPr>
        <w:ind w:left="1287" w:hanging="360"/>
      </w:pPr>
      <w:rPr>
        <w:i/>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ACF6111"/>
    <w:multiLevelType w:val="hybridMultilevel"/>
    <w:tmpl w:val="26482600"/>
    <w:lvl w:ilvl="0" w:tplc="11263E68">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DB0DC7"/>
    <w:multiLevelType w:val="hybridMultilevel"/>
    <w:tmpl w:val="95068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76029E"/>
    <w:multiLevelType w:val="hybridMultilevel"/>
    <w:tmpl w:val="821CFE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0C178A"/>
    <w:multiLevelType w:val="multilevel"/>
    <w:tmpl w:val="70641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C1BE4"/>
    <w:multiLevelType w:val="hybridMultilevel"/>
    <w:tmpl w:val="EF0AEFDC"/>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4565A"/>
    <w:multiLevelType w:val="hybridMultilevel"/>
    <w:tmpl w:val="226E310C"/>
    <w:lvl w:ilvl="0" w:tplc="E6968488">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6C6060"/>
    <w:multiLevelType w:val="hybridMultilevel"/>
    <w:tmpl w:val="96A0E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75763"/>
    <w:multiLevelType w:val="hybridMultilevel"/>
    <w:tmpl w:val="C436CD6C"/>
    <w:lvl w:ilvl="0" w:tplc="DBBC55F8">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59277B"/>
    <w:multiLevelType w:val="hybridMultilevel"/>
    <w:tmpl w:val="C798CC7C"/>
    <w:lvl w:ilvl="0" w:tplc="FFFFFFFF">
      <w:start w:val="1"/>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B483457"/>
    <w:multiLevelType w:val="hybridMultilevel"/>
    <w:tmpl w:val="A906D090"/>
    <w:lvl w:ilvl="0" w:tplc="B5D07B5E">
      <w:start w:val="1"/>
      <w:numFmt w:val="decimal"/>
      <w:lvlText w:val="%1."/>
      <w:lvlJc w:val="left"/>
      <w:pPr>
        <w:ind w:left="360" w:hanging="360"/>
      </w:pPr>
      <w:rPr>
        <w:rFonts w:hint="default"/>
        <w:b w:val="0"/>
        <w:i w:val="0"/>
        <w:color w:val="auto"/>
        <w:sz w:val="24"/>
        <w:lang w:val="es-ES_tradnl"/>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283EFF"/>
    <w:multiLevelType w:val="hybridMultilevel"/>
    <w:tmpl w:val="14BCE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9F2C03"/>
    <w:multiLevelType w:val="hybridMultilevel"/>
    <w:tmpl w:val="69D0BFD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A520825"/>
    <w:multiLevelType w:val="hybridMultilevel"/>
    <w:tmpl w:val="CB8062AE"/>
    <w:lvl w:ilvl="0" w:tplc="080A000F">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5019CD"/>
    <w:multiLevelType w:val="hybridMultilevel"/>
    <w:tmpl w:val="891C8FEE"/>
    <w:lvl w:ilvl="0" w:tplc="ED383528">
      <w:start w:val="1"/>
      <w:numFmt w:val="upperRoman"/>
      <w:lvlText w:val="%1."/>
      <w:lvlJc w:val="left"/>
      <w:pPr>
        <w:ind w:left="1080" w:hanging="720"/>
      </w:pPr>
      <w:rPr>
        <w:rFonts w:hint="default"/>
      </w:rPr>
    </w:lvl>
    <w:lvl w:ilvl="1" w:tplc="C874BEB2">
      <w:start w:val="1"/>
      <w:numFmt w:val="upperLetter"/>
      <w:lvlText w:val="%2."/>
      <w:lvlJc w:val="left"/>
      <w:pPr>
        <w:ind w:left="1440" w:hanging="360"/>
      </w:pPr>
      <w:rPr>
        <w:rFonts w:hint="default"/>
        <w:i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515A47"/>
    <w:multiLevelType w:val="hybridMultilevel"/>
    <w:tmpl w:val="4A90DD42"/>
    <w:lvl w:ilvl="0" w:tplc="68D64B4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E2A03"/>
    <w:multiLevelType w:val="hybridMultilevel"/>
    <w:tmpl w:val="DAD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B4F0C"/>
    <w:multiLevelType w:val="hybridMultilevel"/>
    <w:tmpl w:val="6E263162"/>
    <w:lvl w:ilvl="0" w:tplc="0302C2A0">
      <w:start w:val="2"/>
      <w:numFmt w:val="low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FB1D78"/>
    <w:multiLevelType w:val="hybridMultilevel"/>
    <w:tmpl w:val="A906D090"/>
    <w:lvl w:ilvl="0" w:tplc="B5D07B5E">
      <w:start w:val="1"/>
      <w:numFmt w:val="decimal"/>
      <w:lvlText w:val="%1."/>
      <w:lvlJc w:val="left"/>
      <w:pPr>
        <w:ind w:left="360" w:hanging="360"/>
      </w:pPr>
      <w:rPr>
        <w:rFonts w:hint="default"/>
        <w:b w:val="0"/>
        <w:i w:val="0"/>
        <w:color w:val="auto"/>
        <w:sz w:val="24"/>
        <w:lang w:val="es-ES_tradnl"/>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280015"/>
    <w:multiLevelType w:val="hybridMultilevel"/>
    <w:tmpl w:val="8F16D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4"/>
  </w:num>
  <w:num w:numId="3">
    <w:abstractNumId w:val="21"/>
  </w:num>
  <w:num w:numId="4">
    <w:abstractNumId w:val="27"/>
  </w:num>
  <w:num w:numId="5">
    <w:abstractNumId w:val="2"/>
  </w:num>
  <w:num w:numId="6">
    <w:abstractNumId w:val="30"/>
  </w:num>
  <w:num w:numId="7">
    <w:abstractNumId w:val="13"/>
  </w:num>
  <w:num w:numId="8">
    <w:abstractNumId w:val="12"/>
  </w:num>
  <w:num w:numId="9">
    <w:abstractNumId w:val="0"/>
  </w:num>
  <w:num w:numId="10">
    <w:abstractNumId w:val="3"/>
  </w:num>
  <w:num w:numId="11">
    <w:abstractNumId w:val="22"/>
  </w:num>
  <w:num w:numId="12">
    <w:abstractNumId w:val="20"/>
  </w:num>
  <w:num w:numId="13">
    <w:abstractNumId w:val="6"/>
  </w:num>
  <w:num w:numId="14">
    <w:abstractNumId w:val="32"/>
  </w:num>
  <w:num w:numId="15">
    <w:abstractNumId w:val="25"/>
  </w:num>
  <w:num w:numId="16">
    <w:abstractNumId w:val="26"/>
  </w:num>
  <w:num w:numId="17">
    <w:abstractNumId w:val="19"/>
  </w:num>
  <w:num w:numId="18">
    <w:abstractNumId w:val="16"/>
  </w:num>
  <w:num w:numId="19">
    <w:abstractNumId w:val="4"/>
  </w:num>
  <w:num w:numId="20">
    <w:abstractNumId w:val="28"/>
  </w:num>
  <w:num w:numId="21">
    <w:abstractNumId w:val="1"/>
  </w:num>
  <w:num w:numId="22">
    <w:abstractNumId w:val="18"/>
  </w:num>
  <w:num w:numId="23">
    <w:abstractNumId w:val="10"/>
  </w:num>
  <w:num w:numId="24">
    <w:abstractNumId w:val="15"/>
  </w:num>
  <w:num w:numId="25">
    <w:abstractNumId w:val="11"/>
  </w:num>
  <w:num w:numId="26">
    <w:abstractNumId w:val="8"/>
  </w:num>
  <w:num w:numId="27">
    <w:abstractNumId w:val="17"/>
  </w:num>
  <w:num w:numId="28">
    <w:abstractNumId w:val="9"/>
  </w:num>
  <w:num w:numId="29">
    <w:abstractNumId w:val="7"/>
  </w:num>
  <w:num w:numId="30">
    <w:abstractNumId w:val="5"/>
  </w:num>
  <w:num w:numId="31">
    <w:abstractNumId w:val="29"/>
  </w:num>
  <w:num w:numId="32">
    <w:abstractNumId w:val="24"/>
  </w:num>
  <w:num w:numId="3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85"/>
    <w:rsid w:val="0000201D"/>
    <w:rsid w:val="00002B76"/>
    <w:rsid w:val="00004CE2"/>
    <w:rsid w:val="000054FE"/>
    <w:rsid w:val="00005960"/>
    <w:rsid w:val="00006A62"/>
    <w:rsid w:val="00006B85"/>
    <w:rsid w:val="00006FA6"/>
    <w:rsid w:val="00011775"/>
    <w:rsid w:val="00011C17"/>
    <w:rsid w:val="00013AB9"/>
    <w:rsid w:val="0001551C"/>
    <w:rsid w:val="0001638D"/>
    <w:rsid w:val="00017CC1"/>
    <w:rsid w:val="00020B7D"/>
    <w:rsid w:val="00021B29"/>
    <w:rsid w:val="00022F69"/>
    <w:rsid w:val="0002389A"/>
    <w:rsid w:val="0002414C"/>
    <w:rsid w:val="00024358"/>
    <w:rsid w:val="000246B4"/>
    <w:rsid w:val="000246E1"/>
    <w:rsid w:val="00026057"/>
    <w:rsid w:val="000262E4"/>
    <w:rsid w:val="000269CD"/>
    <w:rsid w:val="00031B51"/>
    <w:rsid w:val="00031FD3"/>
    <w:rsid w:val="00032134"/>
    <w:rsid w:val="000331F9"/>
    <w:rsid w:val="00034CB4"/>
    <w:rsid w:val="00035384"/>
    <w:rsid w:val="00036C71"/>
    <w:rsid w:val="000374D2"/>
    <w:rsid w:val="000379F0"/>
    <w:rsid w:val="00041756"/>
    <w:rsid w:val="00042BE5"/>
    <w:rsid w:val="00043ACE"/>
    <w:rsid w:val="000442D1"/>
    <w:rsid w:val="00044703"/>
    <w:rsid w:val="000454C7"/>
    <w:rsid w:val="00050EFF"/>
    <w:rsid w:val="0005313A"/>
    <w:rsid w:val="00053472"/>
    <w:rsid w:val="00056719"/>
    <w:rsid w:val="00057576"/>
    <w:rsid w:val="000619EB"/>
    <w:rsid w:val="000626B2"/>
    <w:rsid w:val="00064954"/>
    <w:rsid w:val="00064B55"/>
    <w:rsid w:val="00065B93"/>
    <w:rsid w:val="000663DB"/>
    <w:rsid w:val="00067268"/>
    <w:rsid w:val="00071022"/>
    <w:rsid w:val="00071138"/>
    <w:rsid w:val="0007312D"/>
    <w:rsid w:val="000731AF"/>
    <w:rsid w:val="00074FC5"/>
    <w:rsid w:val="0007510B"/>
    <w:rsid w:val="000753D5"/>
    <w:rsid w:val="00077ED1"/>
    <w:rsid w:val="000801B7"/>
    <w:rsid w:val="00082760"/>
    <w:rsid w:val="00082FD2"/>
    <w:rsid w:val="00085500"/>
    <w:rsid w:val="00085568"/>
    <w:rsid w:val="00087460"/>
    <w:rsid w:val="00087BD3"/>
    <w:rsid w:val="0009029D"/>
    <w:rsid w:val="0009125B"/>
    <w:rsid w:val="00091D57"/>
    <w:rsid w:val="00095E70"/>
    <w:rsid w:val="00096ABE"/>
    <w:rsid w:val="00096D96"/>
    <w:rsid w:val="00097914"/>
    <w:rsid w:val="000A26D8"/>
    <w:rsid w:val="000A2E6A"/>
    <w:rsid w:val="000A3B65"/>
    <w:rsid w:val="000A45B7"/>
    <w:rsid w:val="000A50FC"/>
    <w:rsid w:val="000A550E"/>
    <w:rsid w:val="000A56B6"/>
    <w:rsid w:val="000A5C0F"/>
    <w:rsid w:val="000A635D"/>
    <w:rsid w:val="000A6EBA"/>
    <w:rsid w:val="000B1F17"/>
    <w:rsid w:val="000B257B"/>
    <w:rsid w:val="000B2B18"/>
    <w:rsid w:val="000B3656"/>
    <w:rsid w:val="000B58CA"/>
    <w:rsid w:val="000B68E5"/>
    <w:rsid w:val="000B6FE6"/>
    <w:rsid w:val="000C0100"/>
    <w:rsid w:val="000C01E0"/>
    <w:rsid w:val="000C1506"/>
    <w:rsid w:val="000C159F"/>
    <w:rsid w:val="000C1642"/>
    <w:rsid w:val="000C1A3D"/>
    <w:rsid w:val="000C1BDE"/>
    <w:rsid w:val="000C2818"/>
    <w:rsid w:val="000C3F09"/>
    <w:rsid w:val="000C497F"/>
    <w:rsid w:val="000C6907"/>
    <w:rsid w:val="000C7970"/>
    <w:rsid w:val="000C7CC2"/>
    <w:rsid w:val="000D0EA4"/>
    <w:rsid w:val="000D12C3"/>
    <w:rsid w:val="000D3BE1"/>
    <w:rsid w:val="000D45B1"/>
    <w:rsid w:val="000D4D72"/>
    <w:rsid w:val="000D5007"/>
    <w:rsid w:val="000E2ED0"/>
    <w:rsid w:val="000E34A3"/>
    <w:rsid w:val="000E575E"/>
    <w:rsid w:val="000E6C10"/>
    <w:rsid w:val="000E76FA"/>
    <w:rsid w:val="000E7C01"/>
    <w:rsid w:val="000E7C3F"/>
    <w:rsid w:val="000F184E"/>
    <w:rsid w:val="000F376B"/>
    <w:rsid w:val="000F468E"/>
    <w:rsid w:val="000F6918"/>
    <w:rsid w:val="000F7610"/>
    <w:rsid w:val="000F7B59"/>
    <w:rsid w:val="001001E0"/>
    <w:rsid w:val="001010C0"/>
    <w:rsid w:val="00103919"/>
    <w:rsid w:val="00104014"/>
    <w:rsid w:val="0010539F"/>
    <w:rsid w:val="0010587F"/>
    <w:rsid w:val="0010621A"/>
    <w:rsid w:val="00107B03"/>
    <w:rsid w:val="00111740"/>
    <w:rsid w:val="0011338D"/>
    <w:rsid w:val="00113FE1"/>
    <w:rsid w:val="0011792F"/>
    <w:rsid w:val="00117EE3"/>
    <w:rsid w:val="00117F91"/>
    <w:rsid w:val="001203B6"/>
    <w:rsid w:val="001217D9"/>
    <w:rsid w:val="00124403"/>
    <w:rsid w:val="00124542"/>
    <w:rsid w:val="00125B18"/>
    <w:rsid w:val="00125B28"/>
    <w:rsid w:val="00126DA4"/>
    <w:rsid w:val="0012739D"/>
    <w:rsid w:val="0013056B"/>
    <w:rsid w:val="0013067D"/>
    <w:rsid w:val="00134444"/>
    <w:rsid w:val="00136EEA"/>
    <w:rsid w:val="00137A06"/>
    <w:rsid w:val="00137A1A"/>
    <w:rsid w:val="00141037"/>
    <w:rsid w:val="00141855"/>
    <w:rsid w:val="00143867"/>
    <w:rsid w:val="00143C54"/>
    <w:rsid w:val="00144DFE"/>
    <w:rsid w:val="001453A2"/>
    <w:rsid w:val="00145D10"/>
    <w:rsid w:val="0014660E"/>
    <w:rsid w:val="001467B6"/>
    <w:rsid w:val="00150F6A"/>
    <w:rsid w:val="001523E2"/>
    <w:rsid w:val="00152F16"/>
    <w:rsid w:val="00155662"/>
    <w:rsid w:val="001561DF"/>
    <w:rsid w:val="0015626B"/>
    <w:rsid w:val="00161515"/>
    <w:rsid w:val="00161A1F"/>
    <w:rsid w:val="00162EF1"/>
    <w:rsid w:val="00163064"/>
    <w:rsid w:val="001635BD"/>
    <w:rsid w:val="00163FE2"/>
    <w:rsid w:val="00164B69"/>
    <w:rsid w:val="00166BDE"/>
    <w:rsid w:val="00167546"/>
    <w:rsid w:val="001678BB"/>
    <w:rsid w:val="00167B23"/>
    <w:rsid w:val="0017465A"/>
    <w:rsid w:val="00174D89"/>
    <w:rsid w:val="00175B53"/>
    <w:rsid w:val="001770FE"/>
    <w:rsid w:val="00177233"/>
    <w:rsid w:val="0017787A"/>
    <w:rsid w:val="0018462E"/>
    <w:rsid w:val="00186B6B"/>
    <w:rsid w:val="0018724B"/>
    <w:rsid w:val="001878DF"/>
    <w:rsid w:val="001879B2"/>
    <w:rsid w:val="00191409"/>
    <w:rsid w:val="00192311"/>
    <w:rsid w:val="00193947"/>
    <w:rsid w:val="00197FB8"/>
    <w:rsid w:val="001A1BC1"/>
    <w:rsid w:val="001A1F33"/>
    <w:rsid w:val="001A2A48"/>
    <w:rsid w:val="001A324E"/>
    <w:rsid w:val="001A3771"/>
    <w:rsid w:val="001A3DBE"/>
    <w:rsid w:val="001A512A"/>
    <w:rsid w:val="001A584F"/>
    <w:rsid w:val="001A6468"/>
    <w:rsid w:val="001A7356"/>
    <w:rsid w:val="001B120E"/>
    <w:rsid w:val="001B2B2D"/>
    <w:rsid w:val="001B2C06"/>
    <w:rsid w:val="001B2F26"/>
    <w:rsid w:val="001B4F58"/>
    <w:rsid w:val="001B723B"/>
    <w:rsid w:val="001B7C1F"/>
    <w:rsid w:val="001C12E3"/>
    <w:rsid w:val="001C16B8"/>
    <w:rsid w:val="001C1999"/>
    <w:rsid w:val="001C20B6"/>
    <w:rsid w:val="001C218D"/>
    <w:rsid w:val="001C2B7F"/>
    <w:rsid w:val="001C2D44"/>
    <w:rsid w:val="001C3813"/>
    <w:rsid w:val="001D013B"/>
    <w:rsid w:val="001D0FDC"/>
    <w:rsid w:val="001D45C8"/>
    <w:rsid w:val="001D5671"/>
    <w:rsid w:val="001D63E3"/>
    <w:rsid w:val="001D63E8"/>
    <w:rsid w:val="001D71E6"/>
    <w:rsid w:val="001D767C"/>
    <w:rsid w:val="001E3AB2"/>
    <w:rsid w:val="001E4519"/>
    <w:rsid w:val="001E451B"/>
    <w:rsid w:val="001E5CA0"/>
    <w:rsid w:val="001E5DAD"/>
    <w:rsid w:val="001E68F0"/>
    <w:rsid w:val="001F4C61"/>
    <w:rsid w:val="001F5697"/>
    <w:rsid w:val="001F6CFD"/>
    <w:rsid w:val="001F7E4E"/>
    <w:rsid w:val="0020109A"/>
    <w:rsid w:val="0020258A"/>
    <w:rsid w:val="00202F85"/>
    <w:rsid w:val="002040E6"/>
    <w:rsid w:val="0020416B"/>
    <w:rsid w:val="00206A5B"/>
    <w:rsid w:val="002071CD"/>
    <w:rsid w:val="00210D50"/>
    <w:rsid w:val="00211708"/>
    <w:rsid w:val="00211F62"/>
    <w:rsid w:val="00212D73"/>
    <w:rsid w:val="0021334E"/>
    <w:rsid w:val="0021394A"/>
    <w:rsid w:val="00213E2E"/>
    <w:rsid w:val="00220E68"/>
    <w:rsid w:val="00222A4C"/>
    <w:rsid w:val="00223EC2"/>
    <w:rsid w:val="002240FB"/>
    <w:rsid w:val="002261BF"/>
    <w:rsid w:val="002262C5"/>
    <w:rsid w:val="00226313"/>
    <w:rsid w:val="002267A2"/>
    <w:rsid w:val="00226878"/>
    <w:rsid w:val="002268FB"/>
    <w:rsid w:val="0022696F"/>
    <w:rsid w:val="00231C40"/>
    <w:rsid w:val="002330E3"/>
    <w:rsid w:val="00233419"/>
    <w:rsid w:val="00233A21"/>
    <w:rsid w:val="00234890"/>
    <w:rsid w:val="00237597"/>
    <w:rsid w:val="00237EB8"/>
    <w:rsid w:val="00241D03"/>
    <w:rsid w:val="0024323A"/>
    <w:rsid w:val="002467AD"/>
    <w:rsid w:val="00246D31"/>
    <w:rsid w:val="00246E10"/>
    <w:rsid w:val="00246EB9"/>
    <w:rsid w:val="00247534"/>
    <w:rsid w:val="00247701"/>
    <w:rsid w:val="0024782B"/>
    <w:rsid w:val="00250419"/>
    <w:rsid w:val="00251280"/>
    <w:rsid w:val="0025211B"/>
    <w:rsid w:val="00253942"/>
    <w:rsid w:val="00254C7F"/>
    <w:rsid w:val="002554EE"/>
    <w:rsid w:val="0026022B"/>
    <w:rsid w:val="00261554"/>
    <w:rsid w:val="002620B3"/>
    <w:rsid w:val="0026295F"/>
    <w:rsid w:val="00263CFE"/>
    <w:rsid w:val="00264C29"/>
    <w:rsid w:val="00270399"/>
    <w:rsid w:val="002704B0"/>
    <w:rsid w:val="002723E6"/>
    <w:rsid w:val="00272579"/>
    <w:rsid w:val="00273148"/>
    <w:rsid w:val="00277E06"/>
    <w:rsid w:val="002803DE"/>
    <w:rsid w:val="0028053F"/>
    <w:rsid w:val="00280A80"/>
    <w:rsid w:val="0028393F"/>
    <w:rsid w:val="002843BE"/>
    <w:rsid w:val="00284E0A"/>
    <w:rsid w:val="002858AC"/>
    <w:rsid w:val="00285B8E"/>
    <w:rsid w:val="00285E3D"/>
    <w:rsid w:val="00287790"/>
    <w:rsid w:val="002900B8"/>
    <w:rsid w:val="002903DF"/>
    <w:rsid w:val="00291D00"/>
    <w:rsid w:val="0029466E"/>
    <w:rsid w:val="0029756B"/>
    <w:rsid w:val="002979F1"/>
    <w:rsid w:val="00297DCA"/>
    <w:rsid w:val="002A0539"/>
    <w:rsid w:val="002A0D38"/>
    <w:rsid w:val="002A170D"/>
    <w:rsid w:val="002A2577"/>
    <w:rsid w:val="002A3274"/>
    <w:rsid w:val="002A3436"/>
    <w:rsid w:val="002A4AF3"/>
    <w:rsid w:val="002A4E1A"/>
    <w:rsid w:val="002A5F6F"/>
    <w:rsid w:val="002A6BD2"/>
    <w:rsid w:val="002B1ED2"/>
    <w:rsid w:val="002B48BB"/>
    <w:rsid w:val="002B50A3"/>
    <w:rsid w:val="002B5862"/>
    <w:rsid w:val="002B6471"/>
    <w:rsid w:val="002B6A36"/>
    <w:rsid w:val="002B77C2"/>
    <w:rsid w:val="002C03F2"/>
    <w:rsid w:val="002C051A"/>
    <w:rsid w:val="002C055B"/>
    <w:rsid w:val="002C1C94"/>
    <w:rsid w:val="002C1CA5"/>
    <w:rsid w:val="002C6186"/>
    <w:rsid w:val="002C6B70"/>
    <w:rsid w:val="002C7FD5"/>
    <w:rsid w:val="002D043A"/>
    <w:rsid w:val="002D0CA4"/>
    <w:rsid w:val="002D0F98"/>
    <w:rsid w:val="002D147B"/>
    <w:rsid w:val="002D1BDC"/>
    <w:rsid w:val="002D3FC4"/>
    <w:rsid w:val="002D4EB7"/>
    <w:rsid w:val="002D6C48"/>
    <w:rsid w:val="002E1027"/>
    <w:rsid w:val="002E2842"/>
    <w:rsid w:val="002E3DC9"/>
    <w:rsid w:val="002E4C34"/>
    <w:rsid w:val="002E5A3E"/>
    <w:rsid w:val="002E5B8B"/>
    <w:rsid w:val="002E5E23"/>
    <w:rsid w:val="002E60ED"/>
    <w:rsid w:val="002E655C"/>
    <w:rsid w:val="002F434C"/>
    <w:rsid w:val="002F439B"/>
    <w:rsid w:val="002F4ED1"/>
    <w:rsid w:val="002F602B"/>
    <w:rsid w:val="002F76F5"/>
    <w:rsid w:val="002F78A1"/>
    <w:rsid w:val="00300C2A"/>
    <w:rsid w:val="00300FC6"/>
    <w:rsid w:val="00302524"/>
    <w:rsid w:val="00302BCA"/>
    <w:rsid w:val="0030454F"/>
    <w:rsid w:val="003050C7"/>
    <w:rsid w:val="003053F9"/>
    <w:rsid w:val="00305578"/>
    <w:rsid w:val="003063CA"/>
    <w:rsid w:val="003075A8"/>
    <w:rsid w:val="00307DF7"/>
    <w:rsid w:val="003106D6"/>
    <w:rsid w:val="003131AF"/>
    <w:rsid w:val="00313538"/>
    <w:rsid w:val="003156E4"/>
    <w:rsid w:val="00315FE0"/>
    <w:rsid w:val="003202D6"/>
    <w:rsid w:val="00320BDA"/>
    <w:rsid w:val="00321FC5"/>
    <w:rsid w:val="0032285A"/>
    <w:rsid w:val="00323157"/>
    <w:rsid w:val="00323316"/>
    <w:rsid w:val="00323CE8"/>
    <w:rsid w:val="00324B0C"/>
    <w:rsid w:val="00324D0D"/>
    <w:rsid w:val="00325B4E"/>
    <w:rsid w:val="0032659C"/>
    <w:rsid w:val="003277C7"/>
    <w:rsid w:val="003314C8"/>
    <w:rsid w:val="003321BD"/>
    <w:rsid w:val="003339BD"/>
    <w:rsid w:val="003349E3"/>
    <w:rsid w:val="00336EDB"/>
    <w:rsid w:val="00337737"/>
    <w:rsid w:val="00341194"/>
    <w:rsid w:val="0034120A"/>
    <w:rsid w:val="00342C41"/>
    <w:rsid w:val="003442CB"/>
    <w:rsid w:val="00345656"/>
    <w:rsid w:val="0034583B"/>
    <w:rsid w:val="00345FCF"/>
    <w:rsid w:val="0034633A"/>
    <w:rsid w:val="003471F1"/>
    <w:rsid w:val="00347EE0"/>
    <w:rsid w:val="003507BC"/>
    <w:rsid w:val="0035087B"/>
    <w:rsid w:val="003531A0"/>
    <w:rsid w:val="00353C67"/>
    <w:rsid w:val="003546BC"/>
    <w:rsid w:val="003554EE"/>
    <w:rsid w:val="00355690"/>
    <w:rsid w:val="00356D73"/>
    <w:rsid w:val="003576BA"/>
    <w:rsid w:val="003576E0"/>
    <w:rsid w:val="00357ECD"/>
    <w:rsid w:val="003606FC"/>
    <w:rsid w:val="003662FE"/>
    <w:rsid w:val="00366D1B"/>
    <w:rsid w:val="00366D28"/>
    <w:rsid w:val="00366FC5"/>
    <w:rsid w:val="00367226"/>
    <w:rsid w:val="00367519"/>
    <w:rsid w:val="00367B2D"/>
    <w:rsid w:val="00371225"/>
    <w:rsid w:val="003720A1"/>
    <w:rsid w:val="0037210C"/>
    <w:rsid w:val="003728C8"/>
    <w:rsid w:val="00372A6C"/>
    <w:rsid w:val="0037341C"/>
    <w:rsid w:val="003743BE"/>
    <w:rsid w:val="00374C29"/>
    <w:rsid w:val="00374DED"/>
    <w:rsid w:val="00375CDA"/>
    <w:rsid w:val="003768B2"/>
    <w:rsid w:val="00377421"/>
    <w:rsid w:val="00383084"/>
    <w:rsid w:val="003830E6"/>
    <w:rsid w:val="00384769"/>
    <w:rsid w:val="00384FF1"/>
    <w:rsid w:val="00385501"/>
    <w:rsid w:val="003858A9"/>
    <w:rsid w:val="00385B2A"/>
    <w:rsid w:val="0038614B"/>
    <w:rsid w:val="003863D7"/>
    <w:rsid w:val="00386CED"/>
    <w:rsid w:val="00390000"/>
    <w:rsid w:val="003903F5"/>
    <w:rsid w:val="00390C27"/>
    <w:rsid w:val="00391730"/>
    <w:rsid w:val="003922F9"/>
    <w:rsid w:val="003923E2"/>
    <w:rsid w:val="00392703"/>
    <w:rsid w:val="00393FD1"/>
    <w:rsid w:val="00394463"/>
    <w:rsid w:val="00394B77"/>
    <w:rsid w:val="00395894"/>
    <w:rsid w:val="00396859"/>
    <w:rsid w:val="00396E06"/>
    <w:rsid w:val="003970EC"/>
    <w:rsid w:val="003A072F"/>
    <w:rsid w:val="003A0A68"/>
    <w:rsid w:val="003A1206"/>
    <w:rsid w:val="003A1D83"/>
    <w:rsid w:val="003A1F39"/>
    <w:rsid w:val="003A281B"/>
    <w:rsid w:val="003A28A2"/>
    <w:rsid w:val="003A3B82"/>
    <w:rsid w:val="003A450E"/>
    <w:rsid w:val="003A489C"/>
    <w:rsid w:val="003A5C54"/>
    <w:rsid w:val="003A6A3A"/>
    <w:rsid w:val="003A6D85"/>
    <w:rsid w:val="003A721F"/>
    <w:rsid w:val="003B3D2D"/>
    <w:rsid w:val="003B4C10"/>
    <w:rsid w:val="003B65E0"/>
    <w:rsid w:val="003B6FF0"/>
    <w:rsid w:val="003C15A4"/>
    <w:rsid w:val="003C254D"/>
    <w:rsid w:val="003C297E"/>
    <w:rsid w:val="003C2A5B"/>
    <w:rsid w:val="003C4425"/>
    <w:rsid w:val="003C6430"/>
    <w:rsid w:val="003D0474"/>
    <w:rsid w:val="003D080D"/>
    <w:rsid w:val="003D0BEC"/>
    <w:rsid w:val="003D1A66"/>
    <w:rsid w:val="003D1CCE"/>
    <w:rsid w:val="003D21CD"/>
    <w:rsid w:val="003D2218"/>
    <w:rsid w:val="003D3246"/>
    <w:rsid w:val="003D3A78"/>
    <w:rsid w:val="003D404A"/>
    <w:rsid w:val="003D5793"/>
    <w:rsid w:val="003D5F6F"/>
    <w:rsid w:val="003D6638"/>
    <w:rsid w:val="003D6863"/>
    <w:rsid w:val="003D6FAD"/>
    <w:rsid w:val="003E1547"/>
    <w:rsid w:val="003E245D"/>
    <w:rsid w:val="003E2631"/>
    <w:rsid w:val="003E3059"/>
    <w:rsid w:val="003E4164"/>
    <w:rsid w:val="003E4400"/>
    <w:rsid w:val="003E63CE"/>
    <w:rsid w:val="003F1D46"/>
    <w:rsid w:val="003F1DAB"/>
    <w:rsid w:val="003F461C"/>
    <w:rsid w:val="003F4EC8"/>
    <w:rsid w:val="003F7112"/>
    <w:rsid w:val="003F7B34"/>
    <w:rsid w:val="00400AC2"/>
    <w:rsid w:val="004014E6"/>
    <w:rsid w:val="0040226B"/>
    <w:rsid w:val="00402986"/>
    <w:rsid w:val="00402DDA"/>
    <w:rsid w:val="00403907"/>
    <w:rsid w:val="004045C6"/>
    <w:rsid w:val="00405131"/>
    <w:rsid w:val="0040573B"/>
    <w:rsid w:val="004113B4"/>
    <w:rsid w:val="004118F5"/>
    <w:rsid w:val="004135F2"/>
    <w:rsid w:val="004144C3"/>
    <w:rsid w:val="00414B7A"/>
    <w:rsid w:val="00415D2B"/>
    <w:rsid w:val="00416028"/>
    <w:rsid w:val="00416F74"/>
    <w:rsid w:val="00420D12"/>
    <w:rsid w:val="0042259A"/>
    <w:rsid w:val="00424EDA"/>
    <w:rsid w:val="0042768A"/>
    <w:rsid w:val="00427A55"/>
    <w:rsid w:val="00427B4A"/>
    <w:rsid w:val="0043053F"/>
    <w:rsid w:val="00430E8A"/>
    <w:rsid w:val="00434278"/>
    <w:rsid w:val="004348E1"/>
    <w:rsid w:val="00434B68"/>
    <w:rsid w:val="00434F5D"/>
    <w:rsid w:val="004362C1"/>
    <w:rsid w:val="00436411"/>
    <w:rsid w:val="00436D46"/>
    <w:rsid w:val="00436F32"/>
    <w:rsid w:val="00437678"/>
    <w:rsid w:val="004414B1"/>
    <w:rsid w:val="004420B3"/>
    <w:rsid w:val="0044231E"/>
    <w:rsid w:val="00442ACC"/>
    <w:rsid w:val="004441DA"/>
    <w:rsid w:val="004449AA"/>
    <w:rsid w:val="00445E16"/>
    <w:rsid w:val="00445E92"/>
    <w:rsid w:val="00447EB1"/>
    <w:rsid w:val="00447ED7"/>
    <w:rsid w:val="0045010B"/>
    <w:rsid w:val="004525D4"/>
    <w:rsid w:val="00452EA7"/>
    <w:rsid w:val="0045302C"/>
    <w:rsid w:val="00454BF0"/>
    <w:rsid w:val="00454CF5"/>
    <w:rsid w:val="00456609"/>
    <w:rsid w:val="00456CCB"/>
    <w:rsid w:val="00457541"/>
    <w:rsid w:val="0046041C"/>
    <w:rsid w:val="00461F9F"/>
    <w:rsid w:val="0046223B"/>
    <w:rsid w:val="004627C9"/>
    <w:rsid w:val="00462DC7"/>
    <w:rsid w:val="00463631"/>
    <w:rsid w:val="00464030"/>
    <w:rsid w:val="00465E6A"/>
    <w:rsid w:val="004662AB"/>
    <w:rsid w:val="00466B8C"/>
    <w:rsid w:val="00467806"/>
    <w:rsid w:val="00467BCB"/>
    <w:rsid w:val="00470A20"/>
    <w:rsid w:val="00471F0F"/>
    <w:rsid w:val="00472D1D"/>
    <w:rsid w:val="004736FD"/>
    <w:rsid w:val="00473AEC"/>
    <w:rsid w:val="00474F01"/>
    <w:rsid w:val="00477C3E"/>
    <w:rsid w:val="0048108F"/>
    <w:rsid w:val="00481E85"/>
    <w:rsid w:val="0048238F"/>
    <w:rsid w:val="00482586"/>
    <w:rsid w:val="00482D38"/>
    <w:rsid w:val="004836A1"/>
    <w:rsid w:val="00484CFA"/>
    <w:rsid w:val="00485B51"/>
    <w:rsid w:val="0048795D"/>
    <w:rsid w:val="004917A6"/>
    <w:rsid w:val="00491FC7"/>
    <w:rsid w:val="00493B5B"/>
    <w:rsid w:val="00493E05"/>
    <w:rsid w:val="004941A2"/>
    <w:rsid w:val="00495776"/>
    <w:rsid w:val="0049667A"/>
    <w:rsid w:val="00496CBC"/>
    <w:rsid w:val="00496EBC"/>
    <w:rsid w:val="004978DE"/>
    <w:rsid w:val="004A1A7F"/>
    <w:rsid w:val="004A2776"/>
    <w:rsid w:val="004A2C14"/>
    <w:rsid w:val="004A5581"/>
    <w:rsid w:val="004A6314"/>
    <w:rsid w:val="004A6FB7"/>
    <w:rsid w:val="004B0D85"/>
    <w:rsid w:val="004B1E05"/>
    <w:rsid w:val="004B38D9"/>
    <w:rsid w:val="004B5113"/>
    <w:rsid w:val="004C02C2"/>
    <w:rsid w:val="004C0B0B"/>
    <w:rsid w:val="004C1192"/>
    <w:rsid w:val="004C13DB"/>
    <w:rsid w:val="004C3626"/>
    <w:rsid w:val="004C3F42"/>
    <w:rsid w:val="004C4E99"/>
    <w:rsid w:val="004C684B"/>
    <w:rsid w:val="004C7779"/>
    <w:rsid w:val="004C7B77"/>
    <w:rsid w:val="004C7F19"/>
    <w:rsid w:val="004D0AED"/>
    <w:rsid w:val="004D3DE1"/>
    <w:rsid w:val="004D4ABC"/>
    <w:rsid w:val="004D558F"/>
    <w:rsid w:val="004D56CF"/>
    <w:rsid w:val="004D68ED"/>
    <w:rsid w:val="004D72C3"/>
    <w:rsid w:val="004D777D"/>
    <w:rsid w:val="004E09E8"/>
    <w:rsid w:val="004E110F"/>
    <w:rsid w:val="004E26A1"/>
    <w:rsid w:val="004E377D"/>
    <w:rsid w:val="004E3F6B"/>
    <w:rsid w:val="004E44EE"/>
    <w:rsid w:val="004F062D"/>
    <w:rsid w:val="004F106B"/>
    <w:rsid w:val="004F1390"/>
    <w:rsid w:val="004F16A4"/>
    <w:rsid w:val="004F1F33"/>
    <w:rsid w:val="004F212D"/>
    <w:rsid w:val="004F277D"/>
    <w:rsid w:val="004F4C63"/>
    <w:rsid w:val="004F5002"/>
    <w:rsid w:val="004F51FE"/>
    <w:rsid w:val="004F6815"/>
    <w:rsid w:val="004F6818"/>
    <w:rsid w:val="00500DE2"/>
    <w:rsid w:val="00504245"/>
    <w:rsid w:val="00505C22"/>
    <w:rsid w:val="00506733"/>
    <w:rsid w:val="00506E7D"/>
    <w:rsid w:val="005075A2"/>
    <w:rsid w:val="005108FE"/>
    <w:rsid w:val="00512766"/>
    <w:rsid w:val="00512ED0"/>
    <w:rsid w:val="00513901"/>
    <w:rsid w:val="0051431D"/>
    <w:rsid w:val="00515503"/>
    <w:rsid w:val="005165C7"/>
    <w:rsid w:val="00520421"/>
    <w:rsid w:val="00520690"/>
    <w:rsid w:val="00521954"/>
    <w:rsid w:val="00521DC2"/>
    <w:rsid w:val="00521DDC"/>
    <w:rsid w:val="00522350"/>
    <w:rsid w:val="005225CA"/>
    <w:rsid w:val="00522A7E"/>
    <w:rsid w:val="00523EAA"/>
    <w:rsid w:val="00524949"/>
    <w:rsid w:val="0052502F"/>
    <w:rsid w:val="00526358"/>
    <w:rsid w:val="00527592"/>
    <w:rsid w:val="005303BD"/>
    <w:rsid w:val="00530D45"/>
    <w:rsid w:val="005317A2"/>
    <w:rsid w:val="00534FFF"/>
    <w:rsid w:val="005357B1"/>
    <w:rsid w:val="005376A3"/>
    <w:rsid w:val="00543989"/>
    <w:rsid w:val="00545E9F"/>
    <w:rsid w:val="00552DED"/>
    <w:rsid w:val="005552B7"/>
    <w:rsid w:val="00556DC4"/>
    <w:rsid w:val="005571C9"/>
    <w:rsid w:val="005576D8"/>
    <w:rsid w:val="005576E0"/>
    <w:rsid w:val="0056067F"/>
    <w:rsid w:val="00561044"/>
    <w:rsid w:val="0056217F"/>
    <w:rsid w:val="0056475C"/>
    <w:rsid w:val="00564BC5"/>
    <w:rsid w:val="00566C8B"/>
    <w:rsid w:val="00566D6B"/>
    <w:rsid w:val="00567CED"/>
    <w:rsid w:val="005700C2"/>
    <w:rsid w:val="0057157A"/>
    <w:rsid w:val="005719B9"/>
    <w:rsid w:val="00571AB5"/>
    <w:rsid w:val="0057237C"/>
    <w:rsid w:val="00572ECD"/>
    <w:rsid w:val="00573B66"/>
    <w:rsid w:val="00574BA4"/>
    <w:rsid w:val="00575422"/>
    <w:rsid w:val="00575EAC"/>
    <w:rsid w:val="00576788"/>
    <w:rsid w:val="00577D22"/>
    <w:rsid w:val="00580DC2"/>
    <w:rsid w:val="00580E7C"/>
    <w:rsid w:val="0058163C"/>
    <w:rsid w:val="00582018"/>
    <w:rsid w:val="00582C3F"/>
    <w:rsid w:val="00583A7A"/>
    <w:rsid w:val="005849E1"/>
    <w:rsid w:val="00584D32"/>
    <w:rsid w:val="0058542D"/>
    <w:rsid w:val="00586E7B"/>
    <w:rsid w:val="00587C0B"/>
    <w:rsid w:val="00590D99"/>
    <w:rsid w:val="0059232E"/>
    <w:rsid w:val="00592B07"/>
    <w:rsid w:val="005937F0"/>
    <w:rsid w:val="00593A9F"/>
    <w:rsid w:val="00595A7A"/>
    <w:rsid w:val="00596933"/>
    <w:rsid w:val="005974D5"/>
    <w:rsid w:val="00597BB5"/>
    <w:rsid w:val="005A0F4D"/>
    <w:rsid w:val="005A18AB"/>
    <w:rsid w:val="005A208C"/>
    <w:rsid w:val="005A2323"/>
    <w:rsid w:val="005A2A87"/>
    <w:rsid w:val="005A2ABC"/>
    <w:rsid w:val="005A3DEF"/>
    <w:rsid w:val="005A4EB7"/>
    <w:rsid w:val="005B0544"/>
    <w:rsid w:val="005B1B54"/>
    <w:rsid w:val="005B4D32"/>
    <w:rsid w:val="005B4F57"/>
    <w:rsid w:val="005B5234"/>
    <w:rsid w:val="005B58B3"/>
    <w:rsid w:val="005B5DFE"/>
    <w:rsid w:val="005B7D90"/>
    <w:rsid w:val="005B7E7D"/>
    <w:rsid w:val="005C0349"/>
    <w:rsid w:val="005C1359"/>
    <w:rsid w:val="005C2E6C"/>
    <w:rsid w:val="005C331C"/>
    <w:rsid w:val="005C4460"/>
    <w:rsid w:val="005C45FE"/>
    <w:rsid w:val="005C4D2E"/>
    <w:rsid w:val="005C50DD"/>
    <w:rsid w:val="005C5754"/>
    <w:rsid w:val="005C5E2B"/>
    <w:rsid w:val="005C5FD2"/>
    <w:rsid w:val="005C6728"/>
    <w:rsid w:val="005C686A"/>
    <w:rsid w:val="005C6EF8"/>
    <w:rsid w:val="005D1063"/>
    <w:rsid w:val="005D12C8"/>
    <w:rsid w:val="005D2632"/>
    <w:rsid w:val="005D2D98"/>
    <w:rsid w:val="005D36DF"/>
    <w:rsid w:val="005D4584"/>
    <w:rsid w:val="005D569D"/>
    <w:rsid w:val="005D5755"/>
    <w:rsid w:val="005D7918"/>
    <w:rsid w:val="005E04D0"/>
    <w:rsid w:val="005E0803"/>
    <w:rsid w:val="005E32B1"/>
    <w:rsid w:val="005E5576"/>
    <w:rsid w:val="005E7238"/>
    <w:rsid w:val="005F0B6E"/>
    <w:rsid w:val="005F1562"/>
    <w:rsid w:val="005F203B"/>
    <w:rsid w:val="005F2588"/>
    <w:rsid w:val="005F56BB"/>
    <w:rsid w:val="005F5FF4"/>
    <w:rsid w:val="005F6803"/>
    <w:rsid w:val="005F68E1"/>
    <w:rsid w:val="005F7368"/>
    <w:rsid w:val="0060146C"/>
    <w:rsid w:val="00601E64"/>
    <w:rsid w:val="0060281F"/>
    <w:rsid w:val="00604D7C"/>
    <w:rsid w:val="00605F9B"/>
    <w:rsid w:val="00611460"/>
    <w:rsid w:val="00611AD8"/>
    <w:rsid w:val="0061290C"/>
    <w:rsid w:val="006139E2"/>
    <w:rsid w:val="00613FEE"/>
    <w:rsid w:val="00614F24"/>
    <w:rsid w:val="00616542"/>
    <w:rsid w:val="006165F1"/>
    <w:rsid w:val="00616A2D"/>
    <w:rsid w:val="0061758B"/>
    <w:rsid w:val="0061781E"/>
    <w:rsid w:val="00617FE6"/>
    <w:rsid w:val="006206EB"/>
    <w:rsid w:val="00625037"/>
    <w:rsid w:val="006304FC"/>
    <w:rsid w:val="006307B6"/>
    <w:rsid w:val="00631CF4"/>
    <w:rsid w:val="006321FA"/>
    <w:rsid w:val="00632FAE"/>
    <w:rsid w:val="00634ED3"/>
    <w:rsid w:val="00636198"/>
    <w:rsid w:val="0064057C"/>
    <w:rsid w:val="00640F70"/>
    <w:rsid w:val="0064342E"/>
    <w:rsid w:val="00645CD5"/>
    <w:rsid w:val="00646BA9"/>
    <w:rsid w:val="00650AEA"/>
    <w:rsid w:val="006519E4"/>
    <w:rsid w:val="00651E6E"/>
    <w:rsid w:val="006520F1"/>
    <w:rsid w:val="006529B6"/>
    <w:rsid w:val="00652E31"/>
    <w:rsid w:val="006536B7"/>
    <w:rsid w:val="00656E06"/>
    <w:rsid w:val="00657916"/>
    <w:rsid w:val="00657F85"/>
    <w:rsid w:val="00660C09"/>
    <w:rsid w:val="006620F9"/>
    <w:rsid w:val="0066294F"/>
    <w:rsid w:val="006633F2"/>
    <w:rsid w:val="00665A11"/>
    <w:rsid w:val="006676DA"/>
    <w:rsid w:val="00667AC3"/>
    <w:rsid w:val="00671061"/>
    <w:rsid w:val="0067205A"/>
    <w:rsid w:val="0067315D"/>
    <w:rsid w:val="00673912"/>
    <w:rsid w:val="006743A9"/>
    <w:rsid w:val="00677765"/>
    <w:rsid w:val="0068055B"/>
    <w:rsid w:val="006819F3"/>
    <w:rsid w:val="00681A9C"/>
    <w:rsid w:val="00681DCE"/>
    <w:rsid w:val="00682CCF"/>
    <w:rsid w:val="00682F1A"/>
    <w:rsid w:val="00683F68"/>
    <w:rsid w:val="00683FB5"/>
    <w:rsid w:val="00685B02"/>
    <w:rsid w:val="00690FE2"/>
    <w:rsid w:val="006911AE"/>
    <w:rsid w:val="00691A71"/>
    <w:rsid w:val="00691B7F"/>
    <w:rsid w:val="00692630"/>
    <w:rsid w:val="00692EEF"/>
    <w:rsid w:val="00692FEC"/>
    <w:rsid w:val="0069363E"/>
    <w:rsid w:val="00693FFB"/>
    <w:rsid w:val="0069564F"/>
    <w:rsid w:val="0069613D"/>
    <w:rsid w:val="00697B68"/>
    <w:rsid w:val="006A1A30"/>
    <w:rsid w:val="006A1EEC"/>
    <w:rsid w:val="006A4887"/>
    <w:rsid w:val="006A4F22"/>
    <w:rsid w:val="006A53C8"/>
    <w:rsid w:val="006A5867"/>
    <w:rsid w:val="006A7497"/>
    <w:rsid w:val="006A77C5"/>
    <w:rsid w:val="006B064A"/>
    <w:rsid w:val="006B09AB"/>
    <w:rsid w:val="006B14C1"/>
    <w:rsid w:val="006B2F12"/>
    <w:rsid w:val="006B51E5"/>
    <w:rsid w:val="006B72FF"/>
    <w:rsid w:val="006C02FB"/>
    <w:rsid w:val="006C187A"/>
    <w:rsid w:val="006C2430"/>
    <w:rsid w:val="006C2C1D"/>
    <w:rsid w:val="006C3442"/>
    <w:rsid w:val="006C5104"/>
    <w:rsid w:val="006C7D80"/>
    <w:rsid w:val="006D06B0"/>
    <w:rsid w:val="006D1468"/>
    <w:rsid w:val="006D150C"/>
    <w:rsid w:val="006D209A"/>
    <w:rsid w:val="006D26BE"/>
    <w:rsid w:val="006D3381"/>
    <w:rsid w:val="006D3C2A"/>
    <w:rsid w:val="006D4048"/>
    <w:rsid w:val="006D497D"/>
    <w:rsid w:val="006D5463"/>
    <w:rsid w:val="006D5545"/>
    <w:rsid w:val="006D614C"/>
    <w:rsid w:val="006D75D3"/>
    <w:rsid w:val="006D762D"/>
    <w:rsid w:val="006D7688"/>
    <w:rsid w:val="006E27B4"/>
    <w:rsid w:val="006E2F67"/>
    <w:rsid w:val="006E396C"/>
    <w:rsid w:val="006E43C8"/>
    <w:rsid w:val="006E5DF4"/>
    <w:rsid w:val="006E674E"/>
    <w:rsid w:val="006E6AF2"/>
    <w:rsid w:val="006E6E2E"/>
    <w:rsid w:val="006F2098"/>
    <w:rsid w:val="006F3059"/>
    <w:rsid w:val="006F336A"/>
    <w:rsid w:val="006F7506"/>
    <w:rsid w:val="00700161"/>
    <w:rsid w:val="00700A83"/>
    <w:rsid w:val="00700AAB"/>
    <w:rsid w:val="00701A90"/>
    <w:rsid w:val="00701C13"/>
    <w:rsid w:val="00702072"/>
    <w:rsid w:val="007027C1"/>
    <w:rsid w:val="007041CE"/>
    <w:rsid w:val="00705B4A"/>
    <w:rsid w:val="00705FD4"/>
    <w:rsid w:val="00710F5F"/>
    <w:rsid w:val="0071178A"/>
    <w:rsid w:val="00711D07"/>
    <w:rsid w:val="00711DA1"/>
    <w:rsid w:val="00712C88"/>
    <w:rsid w:val="007135A6"/>
    <w:rsid w:val="00717EDC"/>
    <w:rsid w:val="00720810"/>
    <w:rsid w:val="0072464D"/>
    <w:rsid w:val="00724EEC"/>
    <w:rsid w:val="00725C88"/>
    <w:rsid w:val="00733EBD"/>
    <w:rsid w:val="00735AAE"/>
    <w:rsid w:val="00736A80"/>
    <w:rsid w:val="00736EF3"/>
    <w:rsid w:val="00736F55"/>
    <w:rsid w:val="00737C6E"/>
    <w:rsid w:val="00737D46"/>
    <w:rsid w:val="00740318"/>
    <w:rsid w:val="00740A23"/>
    <w:rsid w:val="00741363"/>
    <w:rsid w:val="0074213C"/>
    <w:rsid w:val="00742A9E"/>
    <w:rsid w:val="0074321E"/>
    <w:rsid w:val="00744569"/>
    <w:rsid w:val="007453CE"/>
    <w:rsid w:val="007458B6"/>
    <w:rsid w:val="007458C5"/>
    <w:rsid w:val="00746F31"/>
    <w:rsid w:val="007475A4"/>
    <w:rsid w:val="00750EE0"/>
    <w:rsid w:val="00752A2D"/>
    <w:rsid w:val="00754C03"/>
    <w:rsid w:val="007551D2"/>
    <w:rsid w:val="00756AE5"/>
    <w:rsid w:val="007573BB"/>
    <w:rsid w:val="007601F5"/>
    <w:rsid w:val="0076339F"/>
    <w:rsid w:val="007640B7"/>
    <w:rsid w:val="00765C2B"/>
    <w:rsid w:val="00765EBF"/>
    <w:rsid w:val="007672EF"/>
    <w:rsid w:val="00770D3A"/>
    <w:rsid w:val="00770E91"/>
    <w:rsid w:val="007713DC"/>
    <w:rsid w:val="007722AC"/>
    <w:rsid w:val="00773356"/>
    <w:rsid w:val="00773A22"/>
    <w:rsid w:val="00773EAC"/>
    <w:rsid w:val="007754B5"/>
    <w:rsid w:val="007758EF"/>
    <w:rsid w:val="00776B5B"/>
    <w:rsid w:val="0077764D"/>
    <w:rsid w:val="00777975"/>
    <w:rsid w:val="00777CA2"/>
    <w:rsid w:val="007801E3"/>
    <w:rsid w:val="00781E6F"/>
    <w:rsid w:val="00783533"/>
    <w:rsid w:val="00783DC2"/>
    <w:rsid w:val="00784257"/>
    <w:rsid w:val="0078450B"/>
    <w:rsid w:val="00784D0A"/>
    <w:rsid w:val="0078516E"/>
    <w:rsid w:val="00786D1A"/>
    <w:rsid w:val="0078730B"/>
    <w:rsid w:val="0079177B"/>
    <w:rsid w:val="007921D3"/>
    <w:rsid w:val="007933A7"/>
    <w:rsid w:val="00796DB1"/>
    <w:rsid w:val="00797408"/>
    <w:rsid w:val="007A077C"/>
    <w:rsid w:val="007A166B"/>
    <w:rsid w:val="007A17B5"/>
    <w:rsid w:val="007A17DD"/>
    <w:rsid w:val="007A19DF"/>
    <w:rsid w:val="007A1C0A"/>
    <w:rsid w:val="007A2E53"/>
    <w:rsid w:val="007A38A7"/>
    <w:rsid w:val="007A6A12"/>
    <w:rsid w:val="007A7F65"/>
    <w:rsid w:val="007B1011"/>
    <w:rsid w:val="007B2C4F"/>
    <w:rsid w:val="007B4622"/>
    <w:rsid w:val="007B480D"/>
    <w:rsid w:val="007B611D"/>
    <w:rsid w:val="007B7079"/>
    <w:rsid w:val="007C0492"/>
    <w:rsid w:val="007C072E"/>
    <w:rsid w:val="007C155E"/>
    <w:rsid w:val="007C1F06"/>
    <w:rsid w:val="007C2442"/>
    <w:rsid w:val="007C4461"/>
    <w:rsid w:val="007C48AE"/>
    <w:rsid w:val="007C6290"/>
    <w:rsid w:val="007C6A47"/>
    <w:rsid w:val="007C7F9E"/>
    <w:rsid w:val="007D0C28"/>
    <w:rsid w:val="007D0C98"/>
    <w:rsid w:val="007D1917"/>
    <w:rsid w:val="007D1D75"/>
    <w:rsid w:val="007D26A3"/>
    <w:rsid w:val="007D36A4"/>
    <w:rsid w:val="007D4FB5"/>
    <w:rsid w:val="007D5FBB"/>
    <w:rsid w:val="007E199B"/>
    <w:rsid w:val="007E1F32"/>
    <w:rsid w:val="007E26C2"/>
    <w:rsid w:val="007E2D9A"/>
    <w:rsid w:val="007E38CD"/>
    <w:rsid w:val="007E472C"/>
    <w:rsid w:val="007E79CB"/>
    <w:rsid w:val="007F24E7"/>
    <w:rsid w:val="007F28BA"/>
    <w:rsid w:val="007F58D8"/>
    <w:rsid w:val="007F683C"/>
    <w:rsid w:val="007F6B45"/>
    <w:rsid w:val="007F6C41"/>
    <w:rsid w:val="007F785A"/>
    <w:rsid w:val="00800745"/>
    <w:rsid w:val="008016F0"/>
    <w:rsid w:val="008020A2"/>
    <w:rsid w:val="008020B0"/>
    <w:rsid w:val="00802E4F"/>
    <w:rsid w:val="00803451"/>
    <w:rsid w:val="00803931"/>
    <w:rsid w:val="00803FD1"/>
    <w:rsid w:val="00804969"/>
    <w:rsid w:val="00804C8C"/>
    <w:rsid w:val="008059C1"/>
    <w:rsid w:val="0080688E"/>
    <w:rsid w:val="0081002B"/>
    <w:rsid w:val="008109F0"/>
    <w:rsid w:val="00811371"/>
    <w:rsid w:val="0081149D"/>
    <w:rsid w:val="008123F1"/>
    <w:rsid w:val="00813D6E"/>
    <w:rsid w:val="008156CC"/>
    <w:rsid w:val="00816411"/>
    <w:rsid w:val="00817A34"/>
    <w:rsid w:val="00820298"/>
    <w:rsid w:val="008219A2"/>
    <w:rsid w:val="00821B90"/>
    <w:rsid w:val="00821EE4"/>
    <w:rsid w:val="00822431"/>
    <w:rsid w:val="00822D4C"/>
    <w:rsid w:val="00823720"/>
    <w:rsid w:val="00823D9F"/>
    <w:rsid w:val="00826152"/>
    <w:rsid w:val="00826E22"/>
    <w:rsid w:val="00827B59"/>
    <w:rsid w:val="00830BFB"/>
    <w:rsid w:val="008311F3"/>
    <w:rsid w:val="00831EB8"/>
    <w:rsid w:val="0083266C"/>
    <w:rsid w:val="00832AF7"/>
    <w:rsid w:val="00833BE8"/>
    <w:rsid w:val="008352C6"/>
    <w:rsid w:val="00835A7B"/>
    <w:rsid w:val="00837899"/>
    <w:rsid w:val="0083794A"/>
    <w:rsid w:val="008404A2"/>
    <w:rsid w:val="0084462A"/>
    <w:rsid w:val="00844CB8"/>
    <w:rsid w:val="00844DD0"/>
    <w:rsid w:val="00844FE7"/>
    <w:rsid w:val="00845338"/>
    <w:rsid w:val="0084540B"/>
    <w:rsid w:val="00846618"/>
    <w:rsid w:val="00852348"/>
    <w:rsid w:val="00852EAC"/>
    <w:rsid w:val="008530DF"/>
    <w:rsid w:val="00853206"/>
    <w:rsid w:val="0085392E"/>
    <w:rsid w:val="00854A29"/>
    <w:rsid w:val="00854FCD"/>
    <w:rsid w:val="0085531E"/>
    <w:rsid w:val="00856294"/>
    <w:rsid w:val="008564FC"/>
    <w:rsid w:val="00856527"/>
    <w:rsid w:val="00856968"/>
    <w:rsid w:val="00856A6A"/>
    <w:rsid w:val="0085708B"/>
    <w:rsid w:val="00857580"/>
    <w:rsid w:val="00857DA8"/>
    <w:rsid w:val="00862564"/>
    <w:rsid w:val="008625BB"/>
    <w:rsid w:val="008630C5"/>
    <w:rsid w:val="008639DF"/>
    <w:rsid w:val="00863ADA"/>
    <w:rsid w:val="00864A74"/>
    <w:rsid w:val="00864BCD"/>
    <w:rsid w:val="008656CA"/>
    <w:rsid w:val="00865767"/>
    <w:rsid w:val="0086782C"/>
    <w:rsid w:val="0087030E"/>
    <w:rsid w:val="00871F1B"/>
    <w:rsid w:val="0087254F"/>
    <w:rsid w:val="008731ED"/>
    <w:rsid w:val="00873A05"/>
    <w:rsid w:val="00875235"/>
    <w:rsid w:val="00876E96"/>
    <w:rsid w:val="008772E2"/>
    <w:rsid w:val="0088381C"/>
    <w:rsid w:val="00885375"/>
    <w:rsid w:val="008862CC"/>
    <w:rsid w:val="00886AE0"/>
    <w:rsid w:val="00891373"/>
    <w:rsid w:val="00892791"/>
    <w:rsid w:val="00893AB0"/>
    <w:rsid w:val="0089481E"/>
    <w:rsid w:val="0089613D"/>
    <w:rsid w:val="00897490"/>
    <w:rsid w:val="008A100B"/>
    <w:rsid w:val="008A2343"/>
    <w:rsid w:val="008A23C3"/>
    <w:rsid w:val="008A2AA9"/>
    <w:rsid w:val="008A2E24"/>
    <w:rsid w:val="008A6054"/>
    <w:rsid w:val="008B017E"/>
    <w:rsid w:val="008B033B"/>
    <w:rsid w:val="008B1EEE"/>
    <w:rsid w:val="008B2770"/>
    <w:rsid w:val="008B3771"/>
    <w:rsid w:val="008B4409"/>
    <w:rsid w:val="008B5649"/>
    <w:rsid w:val="008B6078"/>
    <w:rsid w:val="008B7E8F"/>
    <w:rsid w:val="008C0026"/>
    <w:rsid w:val="008C0C9C"/>
    <w:rsid w:val="008C0D0F"/>
    <w:rsid w:val="008C0DC1"/>
    <w:rsid w:val="008C2433"/>
    <w:rsid w:val="008C2F99"/>
    <w:rsid w:val="008C415C"/>
    <w:rsid w:val="008C4637"/>
    <w:rsid w:val="008C4710"/>
    <w:rsid w:val="008C4A37"/>
    <w:rsid w:val="008C529B"/>
    <w:rsid w:val="008C6B04"/>
    <w:rsid w:val="008D0253"/>
    <w:rsid w:val="008D2EEB"/>
    <w:rsid w:val="008D390F"/>
    <w:rsid w:val="008D6230"/>
    <w:rsid w:val="008D6448"/>
    <w:rsid w:val="008D7B60"/>
    <w:rsid w:val="008E2036"/>
    <w:rsid w:val="008F0FF7"/>
    <w:rsid w:val="008F25BA"/>
    <w:rsid w:val="008F671A"/>
    <w:rsid w:val="00900300"/>
    <w:rsid w:val="00900B0F"/>
    <w:rsid w:val="009028CD"/>
    <w:rsid w:val="00903703"/>
    <w:rsid w:val="00903A6C"/>
    <w:rsid w:val="009041D1"/>
    <w:rsid w:val="00904DD0"/>
    <w:rsid w:val="00904E11"/>
    <w:rsid w:val="00905F87"/>
    <w:rsid w:val="00906433"/>
    <w:rsid w:val="009106C9"/>
    <w:rsid w:val="00910DF3"/>
    <w:rsid w:val="00912EA6"/>
    <w:rsid w:val="00913C48"/>
    <w:rsid w:val="009156FA"/>
    <w:rsid w:val="0091797C"/>
    <w:rsid w:val="009216CB"/>
    <w:rsid w:val="00922BB7"/>
    <w:rsid w:val="00924A01"/>
    <w:rsid w:val="00930904"/>
    <w:rsid w:val="0093305D"/>
    <w:rsid w:val="00933731"/>
    <w:rsid w:val="009349B0"/>
    <w:rsid w:val="009368B2"/>
    <w:rsid w:val="00940DDC"/>
    <w:rsid w:val="009410E5"/>
    <w:rsid w:val="0094549E"/>
    <w:rsid w:val="0094580C"/>
    <w:rsid w:val="009467F5"/>
    <w:rsid w:val="009468F5"/>
    <w:rsid w:val="00947F50"/>
    <w:rsid w:val="009515A6"/>
    <w:rsid w:val="00951C39"/>
    <w:rsid w:val="00951DC3"/>
    <w:rsid w:val="009543B9"/>
    <w:rsid w:val="00954508"/>
    <w:rsid w:val="00954863"/>
    <w:rsid w:val="00956674"/>
    <w:rsid w:val="009614CB"/>
    <w:rsid w:val="00961607"/>
    <w:rsid w:val="009636EF"/>
    <w:rsid w:val="00964DC3"/>
    <w:rsid w:val="00965006"/>
    <w:rsid w:val="0096607E"/>
    <w:rsid w:val="00966253"/>
    <w:rsid w:val="00966B46"/>
    <w:rsid w:val="00966FEB"/>
    <w:rsid w:val="00970439"/>
    <w:rsid w:val="009707F2"/>
    <w:rsid w:val="0097340E"/>
    <w:rsid w:val="009747CB"/>
    <w:rsid w:val="009757FE"/>
    <w:rsid w:val="009762A8"/>
    <w:rsid w:val="00976B4F"/>
    <w:rsid w:val="00976E3F"/>
    <w:rsid w:val="0098041C"/>
    <w:rsid w:val="009806ED"/>
    <w:rsid w:val="00981154"/>
    <w:rsid w:val="00982E63"/>
    <w:rsid w:val="00983602"/>
    <w:rsid w:val="00983636"/>
    <w:rsid w:val="00983EF3"/>
    <w:rsid w:val="0098431F"/>
    <w:rsid w:val="0098622F"/>
    <w:rsid w:val="00986B10"/>
    <w:rsid w:val="0098718B"/>
    <w:rsid w:val="00987866"/>
    <w:rsid w:val="00991FD9"/>
    <w:rsid w:val="00992419"/>
    <w:rsid w:val="00994A5C"/>
    <w:rsid w:val="00994B9E"/>
    <w:rsid w:val="00995B02"/>
    <w:rsid w:val="00995B3C"/>
    <w:rsid w:val="00995DA9"/>
    <w:rsid w:val="00996A82"/>
    <w:rsid w:val="009979C0"/>
    <w:rsid w:val="00997A98"/>
    <w:rsid w:val="009A1AE6"/>
    <w:rsid w:val="009A31EF"/>
    <w:rsid w:val="009A323D"/>
    <w:rsid w:val="009A3D00"/>
    <w:rsid w:val="009A525A"/>
    <w:rsid w:val="009A5633"/>
    <w:rsid w:val="009A601E"/>
    <w:rsid w:val="009A65AB"/>
    <w:rsid w:val="009A67C9"/>
    <w:rsid w:val="009A71B3"/>
    <w:rsid w:val="009B05E1"/>
    <w:rsid w:val="009B1123"/>
    <w:rsid w:val="009B17CB"/>
    <w:rsid w:val="009B1B7B"/>
    <w:rsid w:val="009B35CB"/>
    <w:rsid w:val="009B38F5"/>
    <w:rsid w:val="009B3ED6"/>
    <w:rsid w:val="009B40A9"/>
    <w:rsid w:val="009B5749"/>
    <w:rsid w:val="009C07D4"/>
    <w:rsid w:val="009C0A82"/>
    <w:rsid w:val="009C0D1A"/>
    <w:rsid w:val="009C0D1E"/>
    <w:rsid w:val="009C110F"/>
    <w:rsid w:val="009C18C4"/>
    <w:rsid w:val="009C236E"/>
    <w:rsid w:val="009C3F1B"/>
    <w:rsid w:val="009C4BEC"/>
    <w:rsid w:val="009C4BF5"/>
    <w:rsid w:val="009C63E6"/>
    <w:rsid w:val="009C6506"/>
    <w:rsid w:val="009C6BEF"/>
    <w:rsid w:val="009C7939"/>
    <w:rsid w:val="009D03D5"/>
    <w:rsid w:val="009D0A4A"/>
    <w:rsid w:val="009D2758"/>
    <w:rsid w:val="009D4E25"/>
    <w:rsid w:val="009D5349"/>
    <w:rsid w:val="009D5E7E"/>
    <w:rsid w:val="009D7D92"/>
    <w:rsid w:val="009E0E4E"/>
    <w:rsid w:val="009E2A50"/>
    <w:rsid w:val="009E3805"/>
    <w:rsid w:val="009E3860"/>
    <w:rsid w:val="009E3974"/>
    <w:rsid w:val="009E3CC2"/>
    <w:rsid w:val="009E5184"/>
    <w:rsid w:val="009E582A"/>
    <w:rsid w:val="009E640A"/>
    <w:rsid w:val="009E6553"/>
    <w:rsid w:val="009E6E60"/>
    <w:rsid w:val="009F00CF"/>
    <w:rsid w:val="009F066E"/>
    <w:rsid w:val="009F0ED7"/>
    <w:rsid w:val="009F163B"/>
    <w:rsid w:val="009F56ED"/>
    <w:rsid w:val="009F6BB1"/>
    <w:rsid w:val="00A043E4"/>
    <w:rsid w:val="00A04EE7"/>
    <w:rsid w:val="00A0510A"/>
    <w:rsid w:val="00A05FA9"/>
    <w:rsid w:val="00A0641C"/>
    <w:rsid w:val="00A0665F"/>
    <w:rsid w:val="00A07165"/>
    <w:rsid w:val="00A0755C"/>
    <w:rsid w:val="00A109AB"/>
    <w:rsid w:val="00A10EDB"/>
    <w:rsid w:val="00A117BB"/>
    <w:rsid w:val="00A11A6A"/>
    <w:rsid w:val="00A1232C"/>
    <w:rsid w:val="00A12AAE"/>
    <w:rsid w:val="00A13473"/>
    <w:rsid w:val="00A13C93"/>
    <w:rsid w:val="00A15051"/>
    <w:rsid w:val="00A15280"/>
    <w:rsid w:val="00A1708B"/>
    <w:rsid w:val="00A20ABF"/>
    <w:rsid w:val="00A20E6F"/>
    <w:rsid w:val="00A2150E"/>
    <w:rsid w:val="00A2191D"/>
    <w:rsid w:val="00A21A01"/>
    <w:rsid w:val="00A22ED2"/>
    <w:rsid w:val="00A23A0E"/>
    <w:rsid w:val="00A246F6"/>
    <w:rsid w:val="00A26094"/>
    <w:rsid w:val="00A33E86"/>
    <w:rsid w:val="00A340F6"/>
    <w:rsid w:val="00A36EAA"/>
    <w:rsid w:val="00A37B74"/>
    <w:rsid w:val="00A409CD"/>
    <w:rsid w:val="00A40A19"/>
    <w:rsid w:val="00A41C30"/>
    <w:rsid w:val="00A41D3A"/>
    <w:rsid w:val="00A4262C"/>
    <w:rsid w:val="00A4566A"/>
    <w:rsid w:val="00A45DAA"/>
    <w:rsid w:val="00A45E6E"/>
    <w:rsid w:val="00A47A0C"/>
    <w:rsid w:val="00A50772"/>
    <w:rsid w:val="00A50807"/>
    <w:rsid w:val="00A51084"/>
    <w:rsid w:val="00A5158B"/>
    <w:rsid w:val="00A519C2"/>
    <w:rsid w:val="00A51B67"/>
    <w:rsid w:val="00A52A2A"/>
    <w:rsid w:val="00A53E0F"/>
    <w:rsid w:val="00A544B2"/>
    <w:rsid w:val="00A57AC0"/>
    <w:rsid w:val="00A57C50"/>
    <w:rsid w:val="00A612A9"/>
    <w:rsid w:val="00A61A76"/>
    <w:rsid w:val="00A6234F"/>
    <w:rsid w:val="00A62C12"/>
    <w:rsid w:val="00A6338E"/>
    <w:rsid w:val="00A63837"/>
    <w:rsid w:val="00A644C2"/>
    <w:rsid w:val="00A64CF6"/>
    <w:rsid w:val="00A654B1"/>
    <w:rsid w:val="00A65B82"/>
    <w:rsid w:val="00A71900"/>
    <w:rsid w:val="00A71D58"/>
    <w:rsid w:val="00A72605"/>
    <w:rsid w:val="00A75D07"/>
    <w:rsid w:val="00A766ED"/>
    <w:rsid w:val="00A76FBE"/>
    <w:rsid w:val="00A81834"/>
    <w:rsid w:val="00A81D38"/>
    <w:rsid w:val="00A8377A"/>
    <w:rsid w:val="00A84B8A"/>
    <w:rsid w:val="00A84B8D"/>
    <w:rsid w:val="00A854A2"/>
    <w:rsid w:val="00A858D6"/>
    <w:rsid w:val="00A864C5"/>
    <w:rsid w:val="00A905B8"/>
    <w:rsid w:val="00A90A3C"/>
    <w:rsid w:val="00A9161D"/>
    <w:rsid w:val="00A959E5"/>
    <w:rsid w:val="00A96208"/>
    <w:rsid w:val="00A96F52"/>
    <w:rsid w:val="00A97375"/>
    <w:rsid w:val="00AA0ABD"/>
    <w:rsid w:val="00AA2B05"/>
    <w:rsid w:val="00AA4285"/>
    <w:rsid w:val="00AA57F5"/>
    <w:rsid w:val="00AA799A"/>
    <w:rsid w:val="00AB154E"/>
    <w:rsid w:val="00AB2061"/>
    <w:rsid w:val="00AB45A2"/>
    <w:rsid w:val="00AB62BE"/>
    <w:rsid w:val="00AB67C8"/>
    <w:rsid w:val="00AB6FF7"/>
    <w:rsid w:val="00AC18AD"/>
    <w:rsid w:val="00AC230D"/>
    <w:rsid w:val="00AC2708"/>
    <w:rsid w:val="00AC36F7"/>
    <w:rsid w:val="00AC37D5"/>
    <w:rsid w:val="00AC3A33"/>
    <w:rsid w:val="00AC5E2D"/>
    <w:rsid w:val="00AC6776"/>
    <w:rsid w:val="00AC7771"/>
    <w:rsid w:val="00AC78CB"/>
    <w:rsid w:val="00AD020F"/>
    <w:rsid w:val="00AD0263"/>
    <w:rsid w:val="00AD0EF3"/>
    <w:rsid w:val="00AD14F3"/>
    <w:rsid w:val="00AD2818"/>
    <w:rsid w:val="00AD3717"/>
    <w:rsid w:val="00AD48EB"/>
    <w:rsid w:val="00AD5F62"/>
    <w:rsid w:val="00AD775B"/>
    <w:rsid w:val="00AD7E3A"/>
    <w:rsid w:val="00AE094A"/>
    <w:rsid w:val="00AE0C54"/>
    <w:rsid w:val="00AE0F59"/>
    <w:rsid w:val="00AE16FF"/>
    <w:rsid w:val="00AE25A1"/>
    <w:rsid w:val="00AE4279"/>
    <w:rsid w:val="00AE6882"/>
    <w:rsid w:val="00AF166D"/>
    <w:rsid w:val="00AF2D63"/>
    <w:rsid w:val="00AF2E41"/>
    <w:rsid w:val="00AF4495"/>
    <w:rsid w:val="00AF65EE"/>
    <w:rsid w:val="00AF765A"/>
    <w:rsid w:val="00B00385"/>
    <w:rsid w:val="00B00DAB"/>
    <w:rsid w:val="00B01DC2"/>
    <w:rsid w:val="00B02B3E"/>
    <w:rsid w:val="00B02E38"/>
    <w:rsid w:val="00B03B76"/>
    <w:rsid w:val="00B04D7F"/>
    <w:rsid w:val="00B05271"/>
    <w:rsid w:val="00B060A2"/>
    <w:rsid w:val="00B064A8"/>
    <w:rsid w:val="00B101D6"/>
    <w:rsid w:val="00B11136"/>
    <w:rsid w:val="00B1177F"/>
    <w:rsid w:val="00B129BC"/>
    <w:rsid w:val="00B13E76"/>
    <w:rsid w:val="00B1465C"/>
    <w:rsid w:val="00B1542B"/>
    <w:rsid w:val="00B16AB1"/>
    <w:rsid w:val="00B16CDE"/>
    <w:rsid w:val="00B16D4C"/>
    <w:rsid w:val="00B172C9"/>
    <w:rsid w:val="00B17BD9"/>
    <w:rsid w:val="00B20493"/>
    <w:rsid w:val="00B2050B"/>
    <w:rsid w:val="00B2204D"/>
    <w:rsid w:val="00B2237A"/>
    <w:rsid w:val="00B23F88"/>
    <w:rsid w:val="00B245FE"/>
    <w:rsid w:val="00B25030"/>
    <w:rsid w:val="00B26C5C"/>
    <w:rsid w:val="00B2713B"/>
    <w:rsid w:val="00B27446"/>
    <w:rsid w:val="00B30571"/>
    <w:rsid w:val="00B314FD"/>
    <w:rsid w:val="00B323A0"/>
    <w:rsid w:val="00B34924"/>
    <w:rsid w:val="00B3686D"/>
    <w:rsid w:val="00B36882"/>
    <w:rsid w:val="00B41069"/>
    <w:rsid w:val="00B41A20"/>
    <w:rsid w:val="00B42B8B"/>
    <w:rsid w:val="00B45795"/>
    <w:rsid w:val="00B51DD5"/>
    <w:rsid w:val="00B53809"/>
    <w:rsid w:val="00B538EA"/>
    <w:rsid w:val="00B53D85"/>
    <w:rsid w:val="00B548C3"/>
    <w:rsid w:val="00B557B2"/>
    <w:rsid w:val="00B6085C"/>
    <w:rsid w:val="00B6105A"/>
    <w:rsid w:val="00B61CD4"/>
    <w:rsid w:val="00B656B1"/>
    <w:rsid w:val="00B67B20"/>
    <w:rsid w:val="00B71D3B"/>
    <w:rsid w:val="00B72310"/>
    <w:rsid w:val="00B7239B"/>
    <w:rsid w:val="00B73694"/>
    <w:rsid w:val="00B74AF1"/>
    <w:rsid w:val="00B763D9"/>
    <w:rsid w:val="00B77913"/>
    <w:rsid w:val="00B80310"/>
    <w:rsid w:val="00B82490"/>
    <w:rsid w:val="00B829D1"/>
    <w:rsid w:val="00B82A2F"/>
    <w:rsid w:val="00B83044"/>
    <w:rsid w:val="00B835B4"/>
    <w:rsid w:val="00B83C75"/>
    <w:rsid w:val="00B8541F"/>
    <w:rsid w:val="00B854B7"/>
    <w:rsid w:val="00B861B9"/>
    <w:rsid w:val="00B86DA5"/>
    <w:rsid w:val="00B8702C"/>
    <w:rsid w:val="00B87381"/>
    <w:rsid w:val="00B91040"/>
    <w:rsid w:val="00B915BB"/>
    <w:rsid w:val="00B91C05"/>
    <w:rsid w:val="00B91ED4"/>
    <w:rsid w:val="00B934F4"/>
    <w:rsid w:val="00B94D7F"/>
    <w:rsid w:val="00B94F92"/>
    <w:rsid w:val="00B95C5A"/>
    <w:rsid w:val="00B95DA1"/>
    <w:rsid w:val="00B96B49"/>
    <w:rsid w:val="00B9717C"/>
    <w:rsid w:val="00BA143F"/>
    <w:rsid w:val="00BA1F9D"/>
    <w:rsid w:val="00BA2192"/>
    <w:rsid w:val="00BA21CF"/>
    <w:rsid w:val="00BA3AC9"/>
    <w:rsid w:val="00BA5220"/>
    <w:rsid w:val="00BA7149"/>
    <w:rsid w:val="00BA7C34"/>
    <w:rsid w:val="00BB259F"/>
    <w:rsid w:val="00BB3543"/>
    <w:rsid w:val="00BB3958"/>
    <w:rsid w:val="00BB48C7"/>
    <w:rsid w:val="00BB4CB7"/>
    <w:rsid w:val="00BB5027"/>
    <w:rsid w:val="00BB5F31"/>
    <w:rsid w:val="00BB66E0"/>
    <w:rsid w:val="00BB6804"/>
    <w:rsid w:val="00BB6B0C"/>
    <w:rsid w:val="00BC1245"/>
    <w:rsid w:val="00BC1F3D"/>
    <w:rsid w:val="00BC270D"/>
    <w:rsid w:val="00BC2E3D"/>
    <w:rsid w:val="00BC3285"/>
    <w:rsid w:val="00BC3FAB"/>
    <w:rsid w:val="00BC40C9"/>
    <w:rsid w:val="00BC4308"/>
    <w:rsid w:val="00BC4A09"/>
    <w:rsid w:val="00BC51A3"/>
    <w:rsid w:val="00BC7D23"/>
    <w:rsid w:val="00BD0BBF"/>
    <w:rsid w:val="00BD12B1"/>
    <w:rsid w:val="00BD221A"/>
    <w:rsid w:val="00BD2DFC"/>
    <w:rsid w:val="00BD6995"/>
    <w:rsid w:val="00BD71D7"/>
    <w:rsid w:val="00BD7B8E"/>
    <w:rsid w:val="00BE47FD"/>
    <w:rsid w:val="00BE5CC3"/>
    <w:rsid w:val="00BE6094"/>
    <w:rsid w:val="00BE609E"/>
    <w:rsid w:val="00BF2989"/>
    <w:rsid w:val="00BF2CE7"/>
    <w:rsid w:val="00BF3720"/>
    <w:rsid w:val="00BF3E77"/>
    <w:rsid w:val="00BF7C20"/>
    <w:rsid w:val="00C00ACB"/>
    <w:rsid w:val="00C00B1A"/>
    <w:rsid w:val="00C00BE6"/>
    <w:rsid w:val="00C01414"/>
    <w:rsid w:val="00C01EDA"/>
    <w:rsid w:val="00C02774"/>
    <w:rsid w:val="00C02801"/>
    <w:rsid w:val="00C028AA"/>
    <w:rsid w:val="00C02E28"/>
    <w:rsid w:val="00C037B6"/>
    <w:rsid w:val="00C045F9"/>
    <w:rsid w:val="00C05655"/>
    <w:rsid w:val="00C058F3"/>
    <w:rsid w:val="00C05D67"/>
    <w:rsid w:val="00C067B2"/>
    <w:rsid w:val="00C070EA"/>
    <w:rsid w:val="00C11396"/>
    <w:rsid w:val="00C139D6"/>
    <w:rsid w:val="00C1450D"/>
    <w:rsid w:val="00C15361"/>
    <w:rsid w:val="00C15542"/>
    <w:rsid w:val="00C1566F"/>
    <w:rsid w:val="00C15AF9"/>
    <w:rsid w:val="00C25641"/>
    <w:rsid w:val="00C26B2E"/>
    <w:rsid w:val="00C3055F"/>
    <w:rsid w:val="00C310DF"/>
    <w:rsid w:val="00C322F7"/>
    <w:rsid w:val="00C3265B"/>
    <w:rsid w:val="00C32C2D"/>
    <w:rsid w:val="00C32FD1"/>
    <w:rsid w:val="00C34A3E"/>
    <w:rsid w:val="00C37251"/>
    <w:rsid w:val="00C40432"/>
    <w:rsid w:val="00C41902"/>
    <w:rsid w:val="00C41C8A"/>
    <w:rsid w:val="00C46503"/>
    <w:rsid w:val="00C47013"/>
    <w:rsid w:val="00C470F9"/>
    <w:rsid w:val="00C4788A"/>
    <w:rsid w:val="00C5197D"/>
    <w:rsid w:val="00C5402E"/>
    <w:rsid w:val="00C55E67"/>
    <w:rsid w:val="00C57DB7"/>
    <w:rsid w:val="00C61B26"/>
    <w:rsid w:val="00C61E7E"/>
    <w:rsid w:val="00C63769"/>
    <w:rsid w:val="00C7004C"/>
    <w:rsid w:val="00C709D7"/>
    <w:rsid w:val="00C718B0"/>
    <w:rsid w:val="00C7215E"/>
    <w:rsid w:val="00C72805"/>
    <w:rsid w:val="00C72B17"/>
    <w:rsid w:val="00C732F8"/>
    <w:rsid w:val="00C76675"/>
    <w:rsid w:val="00C76AF6"/>
    <w:rsid w:val="00C77596"/>
    <w:rsid w:val="00C779D7"/>
    <w:rsid w:val="00C82519"/>
    <w:rsid w:val="00C82B83"/>
    <w:rsid w:val="00C84621"/>
    <w:rsid w:val="00C848B2"/>
    <w:rsid w:val="00C84FB7"/>
    <w:rsid w:val="00C86BEF"/>
    <w:rsid w:val="00C8700E"/>
    <w:rsid w:val="00C90440"/>
    <w:rsid w:val="00C9054D"/>
    <w:rsid w:val="00C90E8E"/>
    <w:rsid w:val="00C91839"/>
    <w:rsid w:val="00C91D5F"/>
    <w:rsid w:val="00C91E73"/>
    <w:rsid w:val="00C970CA"/>
    <w:rsid w:val="00CA303F"/>
    <w:rsid w:val="00CA40B4"/>
    <w:rsid w:val="00CA4D80"/>
    <w:rsid w:val="00CA4F01"/>
    <w:rsid w:val="00CA557A"/>
    <w:rsid w:val="00CA62F1"/>
    <w:rsid w:val="00CA6592"/>
    <w:rsid w:val="00CA6E51"/>
    <w:rsid w:val="00CB2965"/>
    <w:rsid w:val="00CB2AE4"/>
    <w:rsid w:val="00CB2FED"/>
    <w:rsid w:val="00CB3199"/>
    <w:rsid w:val="00CB3BD8"/>
    <w:rsid w:val="00CB4549"/>
    <w:rsid w:val="00CB51D1"/>
    <w:rsid w:val="00CB56D4"/>
    <w:rsid w:val="00CB634E"/>
    <w:rsid w:val="00CB6D9F"/>
    <w:rsid w:val="00CB7690"/>
    <w:rsid w:val="00CB7E24"/>
    <w:rsid w:val="00CC0421"/>
    <w:rsid w:val="00CC2743"/>
    <w:rsid w:val="00CC4D90"/>
    <w:rsid w:val="00CC4FFE"/>
    <w:rsid w:val="00CC63D0"/>
    <w:rsid w:val="00CC69E7"/>
    <w:rsid w:val="00CC6B4D"/>
    <w:rsid w:val="00CD06F2"/>
    <w:rsid w:val="00CD0E81"/>
    <w:rsid w:val="00CD133E"/>
    <w:rsid w:val="00CD3D02"/>
    <w:rsid w:val="00CD4B96"/>
    <w:rsid w:val="00CE0377"/>
    <w:rsid w:val="00CE2613"/>
    <w:rsid w:val="00CE2681"/>
    <w:rsid w:val="00CE2B9F"/>
    <w:rsid w:val="00CE5A59"/>
    <w:rsid w:val="00CE5AB3"/>
    <w:rsid w:val="00CE62CA"/>
    <w:rsid w:val="00CE6DCD"/>
    <w:rsid w:val="00CE735E"/>
    <w:rsid w:val="00CE77EF"/>
    <w:rsid w:val="00CE7D24"/>
    <w:rsid w:val="00CF01D2"/>
    <w:rsid w:val="00CF0700"/>
    <w:rsid w:val="00CF0A83"/>
    <w:rsid w:val="00CF30E9"/>
    <w:rsid w:val="00CF3DEC"/>
    <w:rsid w:val="00CF41F3"/>
    <w:rsid w:val="00CF51F4"/>
    <w:rsid w:val="00CF6259"/>
    <w:rsid w:val="00D01E4B"/>
    <w:rsid w:val="00D02F3E"/>
    <w:rsid w:val="00D0484B"/>
    <w:rsid w:val="00D04E18"/>
    <w:rsid w:val="00D066A6"/>
    <w:rsid w:val="00D07F9C"/>
    <w:rsid w:val="00D109BD"/>
    <w:rsid w:val="00D10B20"/>
    <w:rsid w:val="00D10E16"/>
    <w:rsid w:val="00D1121E"/>
    <w:rsid w:val="00D1202F"/>
    <w:rsid w:val="00D1204B"/>
    <w:rsid w:val="00D124CE"/>
    <w:rsid w:val="00D13884"/>
    <w:rsid w:val="00D14219"/>
    <w:rsid w:val="00D20C13"/>
    <w:rsid w:val="00D21328"/>
    <w:rsid w:val="00D22A35"/>
    <w:rsid w:val="00D22C50"/>
    <w:rsid w:val="00D22F87"/>
    <w:rsid w:val="00D24316"/>
    <w:rsid w:val="00D26367"/>
    <w:rsid w:val="00D26AC5"/>
    <w:rsid w:val="00D32B8B"/>
    <w:rsid w:val="00D338A1"/>
    <w:rsid w:val="00D34F7E"/>
    <w:rsid w:val="00D36548"/>
    <w:rsid w:val="00D3694D"/>
    <w:rsid w:val="00D37A61"/>
    <w:rsid w:val="00D4075B"/>
    <w:rsid w:val="00D4756F"/>
    <w:rsid w:val="00D47B7D"/>
    <w:rsid w:val="00D47C6F"/>
    <w:rsid w:val="00D51DF3"/>
    <w:rsid w:val="00D525B3"/>
    <w:rsid w:val="00D52CAA"/>
    <w:rsid w:val="00D53208"/>
    <w:rsid w:val="00D532F8"/>
    <w:rsid w:val="00D55BD5"/>
    <w:rsid w:val="00D55BDD"/>
    <w:rsid w:val="00D56B53"/>
    <w:rsid w:val="00D6338E"/>
    <w:rsid w:val="00D63AC4"/>
    <w:rsid w:val="00D65559"/>
    <w:rsid w:val="00D678BA"/>
    <w:rsid w:val="00D70765"/>
    <w:rsid w:val="00D73D63"/>
    <w:rsid w:val="00D757AB"/>
    <w:rsid w:val="00D76934"/>
    <w:rsid w:val="00D8186F"/>
    <w:rsid w:val="00D81F55"/>
    <w:rsid w:val="00D82A4F"/>
    <w:rsid w:val="00D83467"/>
    <w:rsid w:val="00D836A5"/>
    <w:rsid w:val="00D85DDC"/>
    <w:rsid w:val="00D92306"/>
    <w:rsid w:val="00D93347"/>
    <w:rsid w:val="00D93677"/>
    <w:rsid w:val="00D93FD2"/>
    <w:rsid w:val="00D95FB5"/>
    <w:rsid w:val="00D96CB0"/>
    <w:rsid w:val="00DA0C5E"/>
    <w:rsid w:val="00DA0F3F"/>
    <w:rsid w:val="00DA19E2"/>
    <w:rsid w:val="00DA2B1A"/>
    <w:rsid w:val="00DA37D0"/>
    <w:rsid w:val="00DA3808"/>
    <w:rsid w:val="00DA3D41"/>
    <w:rsid w:val="00DA5259"/>
    <w:rsid w:val="00DA70FB"/>
    <w:rsid w:val="00DA7F4D"/>
    <w:rsid w:val="00DB170A"/>
    <w:rsid w:val="00DB29C4"/>
    <w:rsid w:val="00DB338E"/>
    <w:rsid w:val="00DB41F9"/>
    <w:rsid w:val="00DB4314"/>
    <w:rsid w:val="00DB57AA"/>
    <w:rsid w:val="00DB5B16"/>
    <w:rsid w:val="00DC0153"/>
    <w:rsid w:val="00DC0377"/>
    <w:rsid w:val="00DC2F66"/>
    <w:rsid w:val="00DC3964"/>
    <w:rsid w:val="00DC521C"/>
    <w:rsid w:val="00DC53BE"/>
    <w:rsid w:val="00DC5698"/>
    <w:rsid w:val="00DC5B6B"/>
    <w:rsid w:val="00DC6ED2"/>
    <w:rsid w:val="00DC717C"/>
    <w:rsid w:val="00DC77B8"/>
    <w:rsid w:val="00DD0E12"/>
    <w:rsid w:val="00DD10E6"/>
    <w:rsid w:val="00DD4809"/>
    <w:rsid w:val="00DD541C"/>
    <w:rsid w:val="00DD56FC"/>
    <w:rsid w:val="00DD5A85"/>
    <w:rsid w:val="00DD682F"/>
    <w:rsid w:val="00DE0E6A"/>
    <w:rsid w:val="00DE12EB"/>
    <w:rsid w:val="00DE3F49"/>
    <w:rsid w:val="00DE4CAB"/>
    <w:rsid w:val="00DF0049"/>
    <w:rsid w:val="00DF0F61"/>
    <w:rsid w:val="00DF36E7"/>
    <w:rsid w:val="00DF4576"/>
    <w:rsid w:val="00DF51BE"/>
    <w:rsid w:val="00DF5312"/>
    <w:rsid w:val="00DF533E"/>
    <w:rsid w:val="00DF56B4"/>
    <w:rsid w:val="00DF58C6"/>
    <w:rsid w:val="00DF5949"/>
    <w:rsid w:val="00DF5ADB"/>
    <w:rsid w:val="00DF6276"/>
    <w:rsid w:val="00DF7BF0"/>
    <w:rsid w:val="00DF7CC4"/>
    <w:rsid w:val="00E00D8C"/>
    <w:rsid w:val="00E014D4"/>
    <w:rsid w:val="00E01D26"/>
    <w:rsid w:val="00E04DC0"/>
    <w:rsid w:val="00E05065"/>
    <w:rsid w:val="00E06EBE"/>
    <w:rsid w:val="00E07039"/>
    <w:rsid w:val="00E11DD0"/>
    <w:rsid w:val="00E123AE"/>
    <w:rsid w:val="00E13333"/>
    <w:rsid w:val="00E13DB5"/>
    <w:rsid w:val="00E1446D"/>
    <w:rsid w:val="00E14811"/>
    <w:rsid w:val="00E14EA3"/>
    <w:rsid w:val="00E158D2"/>
    <w:rsid w:val="00E15D63"/>
    <w:rsid w:val="00E1631E"/>
    <w:rsid w:val="00E173CB"/>
    <w:rsid w:val="00E176BA"/>
    <w:rsid w:val="00E20BEA"/>
    <w:rsid w:val="00E21A62"/>
    <w:rsid w:val="00E21EE1"/>
    <w:rsid w:val="00E2410A"/>
    <w:rsid w:val="00E2549B"/>
    <w:rsid w:val="00E261C9"/>
    <w:rsid w:val="00E26882"/>
    <w:rsid w:val="00E26EC4"/>
    <w:rsid w:val="00E275BC"/>
    <w:rsid w:val="00E303AD"/>
    <w:rsid w:val="00E32E81"/>
    <w:rsid w:val="00E357D9"/>
    <w:rsid w:val="00E36876"/>
    <w:rsid w:val="00E4070B"/>
    <w:rsid w:val="00E4332E"/>
    <w:rsid w:val="00E46A04"/>
    <w:rsid w:val="00E52AD5"/>
    <w:rsid w:val="00E53084"/>
    <w:rsid w:val="00E533E0"/>
    <w:rsid w:val="00E55C24"/>
    <w:rsid w:val="00E56565"/>
    <w:rsid w:val="00E56715"/>
    <w:rsid w:val="00E568B2"/>
    <w:rsid w:val="00E56C04"/>
    <w:rsid w:val="00E61A85"/>
    <w:rsid w:val="00E62921"/>
    <w:rsid w:val="00E63D54"/>
    <w:rsid w:val="00E63E3D"/>
    <w:rsid w:val="00E64A7B"/>
    <w:rsid w:val="00E64A8A"/>
    <w:rsid w:val="00E6721C"/>
    <w:rsid w:val="00E679B9"/>
    <w:rsid w:val="00E67E32"/>
    <w:rsid w:val="00E70149"/>
    <w:rsid w:val="00E71A49"/>
    <w:rsid w:val="00E727CC"/>
    <w:rsid w:val="00E72C27"/>
    <w:rsid w:val="00E73965"/>
    <w:rsid w:val="00E73AE1"/>
    <w:rsid w:val="00E73F15"/>
    <w:rsid w:val="00E7417E"/>
    <w:rsid w:val="00E75C06"/>
    <w:rsid w:val="00E77E70"/>
    <w:rsid w:val="00E80362"/>
    <w:rsid w:val="00E81235"/>
    <w:rsid w:val="00E81B3E"/>
    <w:rsid w:val="00E81DC5"/>
    <w:rsid w:val="00E82181"/>
    <w:rsid w:val="00E86AA0"/>
    <w:rsid w:val="00E8763E"/>
    <w:rsid w:val="00E87DB6"/>
    <w:rsid w:val="00E913DC"/>
    <w:rsid w:val="00E91529"/>
    <w:rsid w:val="00E91D2F"/>
    <w:rsid w:val="00E93135"/>
    <w:rsid w:val="00E931CE"/>
    <w:rsid w:val="00E941A3"/>
    <w:rsid w:val="00E97293"/>
    <w:rsid w:val="00E97CDA"/>
    <w:rsid w:val="00EA0F07"/>
    <w:rsid w:val="00EA2973"/>
    <w:rsid w:val="00EA3B86"/>
    <w:rsid w:val="00EA6FF4"/>
    <w:rsid w:val="00EB01FE"/>
    <w:rsid w:val="00EB12F7"/>
    <w:rsid w:val="00EB1A52"/>
    <w:rsid w:val="00EB2CB6"/>
    <w:rsid w:val="00EB36F9"/>
    <w:rsid w:val="00EB3BAD"/>
    <w:rsid w:val="00EB53E1"/>
    <w:rsid w:val="00EB563E"/>
    <w:rsid w:val="00EB6937"/>
    <w:rsid w:val="00EB6FD2"/>
    <w:rsid w:val="00EC05F9"/>
    <w:rsid w:val="00EC0A0B"/>
    <w:rsid w:val="00EC0AF1"/>
    <w:rsid w:val="00EC120C"/>
    <w:rsid w:val="00EC19B1"/>
    <w:rsid w:val="00EC4C3C"/>
    <w:rsid w:val="00EC4E95"/>
    <w:rsid w:val="00EC6849"/>
    <w:rsid w:val="00EC7C4C"/>
    <w:rsid w:val="00ED1149"/>
    <w:rsid w:val="00ED1849"/>
    <w:rsid w:val="00ED1BC7"/>
    <w:rsid w:val="00ED21C9"/>
    <w:rsid w:val="00ED3B99"/>
    <w:rsid w:val="00ED43D3"/>
    <w:rsid w:val="00ED567A"/>
    <w:rsid w:val="00ED5807"/>
    <w:rsid w:val="00ED6466"/>
    <w:rsid w:val="00ED6F7F"/>
    <w:rsid w:val="00ED7904"/>
    <w:rsid w:val="00EE07AC"/>
    <w:rsid w:val="00EE469C"/>
    <w:rsid w:val="00EF06F1"/>
    <w:rsid w:val="00EF0E51"/>
    <w:rsid w:val="00EF1BC4"/>
    <w:rsid w:val="00EF30C2"/>
    <w:rsid w:val="00EF34A4"/>
    <w:rsid w:val="00EF3A95"/>
    <w:rsid w:val="00EF4C09"/>
    <w:rsid w:val="00EF530B"/>
    <w:rsid w:val="00EF5661"/>
    <w:rsid w:val="00EF6001"/>
    <w:rsid w:val="00EF63BC"/>
    <w:rsid w:val="00EF659D"/>
    <w:rsid w:val="00EF79FB"/>
    <w:rsid w:val="00F00FF7"/>
    <w:rsid w:val="00F019DF"/>
    <w:rsid w:val="00F02A4D"/>
    <w:rsid w:val="00F03C16"/>
    <w:rsid w:val="00F04866"/>
    <w:rsid w:val="00F062A3"/>
    <w:rsid w:val="00F06AD7"/>
    <w:rsid w:val="00F07AE1"/>
    <w:rsid w:val="00F11818"/>
    <w:rsid w:val="00F12A9C"/>
    <w:rsid w:val="00F133DA"/>
    <w:rsid w:val="00F13A3A"/>
    <w:rsid w:val="00F14764"/>
    <w:rsid w:val="00F14A2A"/>
    <w:rsid w:val="00F14CB7"/>
    <w:rsid w:val="00F1729A"/>
    <w:rsid w:val="00F1760B"/>
    <w:rsid w:val="00F206DC"/>
    <w:rsid w:val="00F21682"/>
    <w:rsid w:val="00F218F6"/>
    <w:rsid w:val="00F2242D"/>
    <w:rsid w:val="00F225F0"/>
    <w:rsid w:val="00F226CC"/>
    <w:rsid w:val="00F242DE"/>
    <w:rsid w:val="00F26400"/>
    <w:rsid w:val="00F265BA"/>
    <w:rsid w:val="00F26BD8"/>
    <w:rsid w:val="00F27D25"/>
    <w:rsid w:val="00F27F87"/>
    <w:rsid w:val="00F30674"/>
    <w:rsid w:val="00F30AF1"/>
    <w:rsid w:val="00F314F0"/>
    <w:rsid w:val="00F31E8C"/>
    <w:rsid w:val="00F32134"/>
    <w:rsid w:val="00F32550"/>
    <w:rsid w:val="00F3412E"/>
    <w:rsid w:val="00F342C5"/>
    <w:rsid w:val="00F34D97"/>
    <w:rsid w:val="00F35E6D"/>
    <w:rsid w:val="00F37C28"/>
    <w:rsid w:val="00F37D76"/>
    <w:rsid w:val="00F4027E"/>
    <w:rsid w:val="00F411FB"/>
    <w:rsid w:val="00F41C32"/>
    <w:rsid w:val="00F42209"/>
    <w:rsid w:val="00F436C4"/>
    <w:rsid w:val="00F43EBF"/>
    <w:rsid w:val="00F44FC9"/>
    <w:rsid w:val="00F4756A"/>
    <w:rsid w:val="00F50283"/>
    <w:rsid w:val="00F5053F"/>
    <w:rsid w:val="00F5115F"/>
    <w:rsid w:val="00F51CEA"/>
    <w:rsid w:val="00F53F6D"/>
    <w:rsid w:val="00F5521B"/>
    <w:rsid w:val="00F55423"/>
    <w:rsid w:val="00F55F9D"/>
    <w:rsid w:val="00F562CB"/>
    <w:rsid w:val="00F57822"/>
    <w:rsid w:val="00F57FCE"/>
    <w:rsid w:val="00F60CCD"/>
    <w:rsid w:val="00F60F1D"/>
    <w:rsid w:val="00F614DA"/>
    <w:rsid w:val="00F61505"/>
    <w:rsid w:val="00F61631"/>
    <w:rsid w:val="00F626EF"/>
    <w:rsid w:val="00F65891"/>
    <w:rsid w:val="00F660C6"/>
    <w:rsid w:val="00F66511"/>
    <w:rsid w:val="00F66518"/>
    <w:rsid w:val="00F66537"/>
    <w:rsid w:val="00F66775"/>
    <w:rsid w:val="00F6701A"/>
    <w:rsid w:val="00F67080"/>
    <w:rsid w:val="00F75FA6"/>
    <w:rsid w:val="00F76589"/>
    <w:rsid w:val="00F76C41"/>
    <w:rsid w:val="00F7746D"/>
    <w:rsid w:val="00F8014F"/>
    <w:rsid w:val="00F84A9A"/>
    <w:rsid w:val="00F871A4"/>
    <w:rsid w:val="00F871EF"/>
    <w:rsid w:val="00F9109B"/>
    <w:rsid w:val="00F944D1"/>
    <w:rsid w:val="00F94790"/>
    <w:rsid w:val="00F94A4B"/>
    <w:rsid w:val="00F94B33"/>
    <w:rsid w:val="00F96A9A"/>
    <w:rsid w:val="00F97ED2"/>
    <w:rsid w:val="00F97F8B"/>
    <w:rsid w:val="00FA09C4"/>
    <w:rsid w:val="00FA1C23"/>
    <w:rsid w:val="00FA5A5A"/>
    <w:rsid w:val="00FA610A"/>
    <w:rsid w:val="00FA6848"/>
    <w:rsid w:val="00FA7383"/>
    <w:rsid w:val="00FA7B39"/>
    <w:rsid w:val="00FB0CD3"/>
    <w:rsid w:val="00FB28A5"/>
    <w:rsid w:val="00FB3C9F"/>
    <w:rsid w:val="00FB4A98"/>
    <w:rsid w:val="00FB6288"/>
    <w:rsid w:val="00FB6928"/>
    <w:rsid w:val="00FB7191"/>
    <w:rsid w:val="00FB7F33"/>
    <w:rsid w:val="00FC062E"/>
    <w:rsid w:val="00FC08F9"/>
    <w:rsid w:val="00FC0FA8"/>
    <w:rsid w:val="00FC12F9"/>
    <w:rsid w:val="00FC2094"/>
    <w:rsid w:val="00FC2412"/>
    <w:rsid w:val="00FC2B1B"/>
    <w:rsid w:val="00FC2D97"/>
    <w:rsid w:val="00FC3A59"/>
    <w:rsid w:val="00FC412E"/>
    <w:rsid w:val="00FC63B8"/>
    <w:rsid w:val="00FC66AC"/>
    <w:rsid w:val="00FC6B97"/>
    <w:rsid w:val="00FC78AD"/>
    <w:rsid w:val="00FD1117"/>
    <w:rsid w:val="00FD1424"/>
    <w:rsid w:val="00FD32A9"/>
    <w:rsid w:val="00FD33EB"/>
    <w:rsid w:val="00FD36CC"/>
    <w:rsid w:val="00FD3F65"/>
    <w:rsid w:val="00FD7437"/>
    <w:rsid w:val="00FD75B7"/>
    <w:rsid w:val="00FE032D"/>
    <w:rsid w:val="00FE0E55"/>
    <w:rsid w:val="00FE40F5"/>
    <w:rsid w:val="00FE42B8"/>
    <w:rsid w:val="00FE4687"/>
    <w:rsid w:val="00FE4B27"/>
    <w:rsid w:val="00FE4CCC"/>
    <w:rsid w:val="00FE582E"/>
    <w:rsid w:val="00FF02BA"/>
    <w:rsid w:val="00FF0481"/>
    <w:rsid w:val="00FF184F"/>
    <w:rsid w:val="00FF1ED5"/>
    <w:rsid w:val="00FF3FCF"/>
    <w:rsid w:val="00FF4A2F"/>
    <w:rsid w:val="00FF5C5E"/>
    <w:rsid w:val="00FF6AD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40DE"/>
  <w15:docId w15:val="{F843F624-8861-4EC7-9EB6-81679C09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DC2"/>
    <w:pPr>
      <w:spacing w:before="120" w:after="0" w:line="360" w:lineRule="auto"/>
      <w:ind w:hanging="357"/>
      <w:jc w:val="both"/>
    </w:pPr>
    <w:rPr>
      <w:rFonts w:ascii="Times New Roman" w:hAnsi="Times New Roman" w:cs="Times New Roman"/>
      <w:sz w:val="24"/>
    </w:rPr>
  </w:style>
  <w:style w:type="paragraph" w:styleId="Heading1">
    <w:name w:val="heading 1"/>
    <w:basedOn w:val="Normal"/>
    <w:next w:val="Normal"/>
    <w:link w:val="Heading1Char"/>
    <w:uiPriority w:val="9"/>
    <w:qFormat/>
    <w:rsid w:val="00481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A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E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34D97"/>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A Fu?notentext"/>
    <w:basedOn w:val="Normal"/>
    <w:link w:val="FootnoteTextChar"/>
    <w:uiPriority w:val="99"/>
    <w:unhideWhenUsed/>
    <w:qFormat/>
    <w:rsid w:val="00481E85"/>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481E85"/>
    <w:rPr>
      <w:rFonts w:ascii="Times New Roman" w:hAnsi="Times New Roman" w:cs="Times New Roman"/>
      <w:sz w:val="20"/>
      <w:szCs w:val="20"/>
    </w:rPr>
  </w:style>
  <w:style w:type="character" w:styleId="FootnoteReference">
    <w:name w:val="footnote reference"/>
    <w:aliases w:val="Texto de nota al pie,Footnotes refss,Appel note de bas de page,Footnote number,referencia nota al pie,BVI fnr,f,Texto nota al pie,4_G,16 Point,Superscript 6 Point,Footnote Reference Char3,Footnote Reference Char1 Char,Footnote symbol"/>
    <w:basedOn w:val="DefaultParagraphFont"/>
    <w:uiPriority w:val="99"/>
    <w:unhideWhenUsed/>
    <w:qFormat/>
    <w:rsid w:val="00481E85"/>
    <w:rPr>
      <w:vertAlign w:val="superscript"/>
    </w:rPr>
  </w:style>
  <w:style w:type="paragraph" w:styleId="Footer">
    <w:name w:val="footer"/>
    <w:basedOn w:val="Normal"/>
    <w:link w:val="FooterChar"/>
    <w:uiPriority w:val="99"/>
    <w:unhideWhenUsed/>
    <w:rsid w:val="00481E85"/>
    <w:pPr>
      <w:tabs>
        <w:tab w:val="center" w:pos="4419"/>
        <w:tab w:val="right" w:pos="8838"/>
      </w:tabs>
      <w:spacing w:before="0" w:line="240" w:lineRule="auto"/>
    </w:pPr>
  </w:style>
  <w:style w:type="character" w:customStyle="1" w:styleId="FooterChar">
    <w:name w:val="Footer Char"/>
    <w:basedOn w:val="DefaultParagraphFont"/>
    <w:link w:val="Footer"/>
    <w:uiPriority w:val="99"/>
    <w:rsid w:val="00481E85"/>
    <w:rPr>
      <w:rFonts w:ascii="Times New Roman" w:hAnsi="Times New Roman" w:cs="Times New Roman"/>
      <w:sz w:val="24"/>
    </w:rPr>
  </w:style>
  <w:style w:type="paragraph" w:styleId="TOCHeading">
    <w:name w:val="TOC Heading"/>
    <w:basedOn w:val="Heading1"/>
    <w:next w:val="Normal"/>
    <w:uiPriority w:val="39"/>
    <w:unhideWhenUsed/>
    <w:qFormat/>
    <w:rsid w:val="00481E85"/>
    <w:pPr>
      <w:spacing w:line="276" w:lineRule="auto"/>
      <w:ind w:firstLine="0"/>
      <w:jc w:val="left"/>
      <w:outlineLvl w:val="9"/>
    </w:pPr>
    <w:rPr>
      <w:lang w:eastAsia="es-MX"/>
    </w:rPr>
  </w:style>
  <w:style w:type="paragraph" w:styleId="TOC1">
    <w:name w:val="toc 1"/>
    <w:basedOn w:val="Normal"/>
    <w:next w:val="Normal"/>
    <w:autoRedefine/>
    <w:uiPriority w:val="39"/>
    <w:unhideWhenUsed/>
    <w:rsid w:val="00481E85"/>
    <w:pPr>
      <w:tabs>
        <w:tab w:val="right" w:leader="dot" w:pos="8828"/>
      </w:tabs>
      <w:spacing w:after="100"/>
    </w:pPr>
    <w:rPr>
      <w:b/>
      <w:smallCaps/>
      <w:noProof/>
    </w:rPr>
  </w:style>
  <w:style w:type="character" w:styleId="Hyperlink">
    <w:name w:val="Hyperlink"/>
    <w:basedOn w:val="DefaultParagraphFont"/>
    <w:uiPriority w:val="99"/>
    <w:unhideWhenUsed/>
    <w:rsid w:val="00481E85"/>
    <w:rPr>
      <w:color w:val="0000FF" w:themeColor="hyperlink"/>
      <w:u w:val="single"/>
    </w:rPr>
  </w:style>
  <w:style w:type="paragraph" w:styleId="BalloonText">
    <w:name w:val="Balloon Text"/>
    <w:basedOn w:val="Normal"/>
    <w:link w:val="BalloonTextChar"/>
    <w:uiPriority w:val="99"/>
    <w:semiHidden/>
    <w:unhideWhenUsed/>
    <w:rsid w:val="00481E8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85"/>
    <w:rPr>
      <w:rFonts w:ascii="Tahoma" w:hAnsi="Tahoma" w:cs="Tahoma"/>
      <w:sz w:val="16"/>
      <w:szCs w:val="16"/>
    </w:rPr>
  </w:style>
  <w:style w:type="paragraph" w:styleId="NormalWeb">
    <w:name w:val="Normal (Web)"/>
    <w:basedOn w:val="Normal"/>
    <w:uiPriority w:val="99"/>
    <w:unhideWhenUsed/>
    <w:rsid w:val="0078730B"/>
    <w:pPr>
      <w:spacing w:before="100" w:beforeAutospacing="1" w:after="100" w:afterAutospacing="1" w:line="240" w:lineRule="auto"/>
      <w:ind w:firstLine="0"/>
      <w:jc w:val="left"/>
    </w:pPr>
    <w:rPr>
      <w:rFonts w:eastAsia="Times New Roman"/>
      <w:szCs w:val="24"/>
      <w:lang w:eastAsia="es-MX"/>
    </w:rPr>
  </w:style>
  <w:style w:type="paragraph" w:styleId="Header">
    <w:name w:val="header"/>
    <w:basedOn w:val="Normal"/>
    <w:link w:val="HeaderChar"/>
    <w:uiPriority w:val="99"/>
    <w:unhideWhenUsed/>
    <w:rsid w:val="00E77E70"/>
    <w:pPr>
      <w:tabs>
        <w:tab w:val="center" w:pos="4419"/>
        <w:tab w:val="right" w:pos="8838"/>
      </w:tabs>
      <w:spacing w:before="0" w:line="240" w:lineRule="auto"/>
    </w:pPr>
  </w:style>
  <w:style w:type="character" w:customStyle="1" w:styleId="HeaderChar">
    <w:name w:val="Header Char"/>
    <w:basedOn w:val="DefaultParagraphFont"/>
    <w:link w:val="Header"/>
    <w:uiPriority w:val="99"/>
    <w:rsid w:val="00E77E70"/>
    <w:rPr>
      <w:rFonts w:ascii="Times New Roman" w:hAnsi="Times New Roman" w:cs="Times New Roman"/>
      <w:sz w:val="24"/>
    </w:rPr>
  </w:style>
  <w:style w:type="character" w:styleId="Emphasis">
    <w:name w:val="Emphasis"/>
    <w:basedOn w:val="DefaultParagraphFont"/>
    <w:uiPriority w:val="20"/>
    <w:qFormat/>
    <w:rsid w:val="002B6471"/>
    <w:rPr>
      <w:i/>
      <w:iCs/>
    </w:rPr>
  </w:style>
  <w:style w:type="character" w:customStyle="1" w:styleId="Heading2Char">
    <w:name w:val="Heading 2 Char"/>
    <w:basedOn w:val="DefaultParagraphFont"/>
    <w:link w:val="Heading2"/>
    <w:uiPriority w:val="9"/>
    <w:rsid w:val="00F14A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441DA"/>
    <w:pPr>
      <w:tabs>
        <w:tab w:val="right" w:leader="dot" w:pos="8828"/>
      </w:tabs>
      <w:spacing w:after="100"/>
      <w:ind w:left="240"/>
    </w:pPr>
    <w:rPr>
      <w:b/>
      <w:noProof/>
    </w:rPr>
  </w:style>
  <w:style w:type="paragraph" w:styleId="TOC3">
    <w:name w:val="toc 3"/>
    <w:basedOn w:val="Normal"/>
    <w:next w:val="Normal"/>
    <w:autoRedefine/>
    <w:uiPriority w:val="39"/>
    <w:unhideWhenUsed/>
    <w:rsid w:val="00A409CD"/>
    <w:pPr>
      <w:spacing w:before="0" w:after="100" w:line="259" w:lineRule="auto"/>
      <w:ind w:left="440" w:firstLine="0"/>
      <w:jc w:val="left"/>
    </w:pPr>
    <w:rPr>
      <w:rFonts w:asciiTheme="minorHAnsi" w:eastAsiaTheme="minorEastAsia" w:hAnsiTheme="minorHAnsi"/>
      <w:sz w:val="22"/>
      <w:lang w:eastAsia="es-MX"/>
    </w:rPr>
  </w:style>
  <w:style w:type="paragraph" w:styleId="NoSpacing">
    <w:name w:val="No Spacing"/>
    <w:uiPriority w:val="1"/>
    <w:qFormat/>
    <w:rsid w:val="003728C8"/>
    <w:pPr>
      <w:spacing w:after="0" w:line="240" w:lineRule="auto"/>
      <w:ind w:hanging="357"/>
      <w:jc w:val="both"/>
    </w:pPr>
    <w:rPr>
      <w:rFonts w:ascii="Times New Roman" w:hAnsi="Times New Roman" w:cs="Times New Roman"/>
      <w:sz w:val="24"/>
    </w:rPr>
  </w:style>
  <w:style w:type="character" w:styleId="CommentReference">
    <w:name w:val="annotation reference"/>
    <w:basedOn w:val="DefaultParagraphFont"/>
    <w:uiPriority w:val="99"/>
    <w:semiHidden/>
    <w:unhideWhenUsed/>
    <w:rsid w:val="00862564"/>
    <w:rPr>
      <w:sz w:val="16"/>
      <w:szCs w:val="16"/>
    </w:rPr>
  </w:style>
  <w:style w:type="paragraph" w:styleId="CommentText">
    <w:name w:val="annotation text"/>
    <w:basedOn w:val="Normal"/>
    <w:link w:val="CommentTextChar"/>
    <w:uiPriority w:val="99"/>
    <w:semiHidden/>
    <w:unhideWhenUsed/>
    <w:rsid w:val="00862564"/>
    <w:pPr>
      <w:spacing w:line="240" w:lineRule="auto"/>
    </w:pPr>
    <w:rPr>
      <w:sz w:val="20"/>
      <w:szCs w:val="20"/>
    </w:rPr>
  </w:style>
  <w:style w:type="character" w:customStyle="1" w:styleId="CommentTextChar">
    <w:name w:val="Comment Text Char"/>
    <w:basedOn w:val="DefaultParagraphFont"/>
    <w:link w:val="CommentText"/>
    <w:uiPriority w:val="99"/>
    <w:semiHidden/>
    <w:rsid w:val="008625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2564"/>
    <w:rPr>
      <w:b/>
      <w:bCs/>
    </w:rPr>
  </w:style>
  <w:style w:type="character" w:customStyle="1" w:styleId="CommentSubjectChar">
    <w:name w:val="Comment Subject Char"/>
    <w:basedOn w:val="CommentTextChar"/>
    <w:link w:val="CommentSubject"/>
    <w:uiPriority w:val="99"/>
    <w:semiHidden/>
    <w:rsid w:val="00862564"/>
    <w:rPr>
      <w:rFonts w:ascii="Times New Roman" w:hAnsi="Times New Roman" w:cs="Times New Roman"/>
      <w:b/>
      <w:bCs/>
      <w:sz w:val="20"/>
      <w:szCs w:val="20"/>
    </w:rPr>
  </w:style>
  <w:style w:type="table" w:styleId="TableGrid">
    <w:name w:val="Table Grid"/>
    <w:basedOn w:val="TableNormal"/>
    <w:uiPriority w:val="39"/>
    <w:rsid w:val="0044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34D97"/>
    <w:rPr>
      <w:rFonts w:ascii="Times New Roman" w:hAnsi="Times New Roman" w:cs="Times New Roman"/>
      <w:sz w:val="24"/>
    </w:rPr>
  </w:style>
  <w:style w:type="paragraph" w:customStyle="1" w:styleId="Default">
    <w:name w:val="Default"/>
    <w:rsid w:val="008D390F"/>
    <w:pPr>
      <w:autoSpaceDE w:val="0"/>
      <w:autoSpaceDN w:val="0"/>
      <w:adjustRightInd w:val="0"/>
      <w:spacing w:after="0" w:line="240" w:lineRule="auto"/>
    </w:pPr>
    <w:rPr>
      <w:rFonts w:ascii="Cambria" w:hAnsi="Cambria" w:cs="Cambria"/>
      <w:color w:val="000000"/>
      <w:sz w:val="24"/>
      <w:szCs w:val="24"/>
    </w:rPr>
  </w:style>
  <w:style w:type="table" w:styleId="PlainTable1">
    <w:name w:val="Plain Table 1"/>
    <w:basedOn w:val="TableNormal"/>
    <w:uiPriority w:val="41"/>
    <w:rsid w:val="00FC2D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9695">
      <w:bodyDiv w:val="1"/>
      <w:marLeft w:val="0"/>
      <w:marRight w:val="0"/>
      <w:marTop w:val="0"/>
      <w:marBottom w:val="0"/>
      <w:divBdr>
        <w:top w:val="none" w:sz="0" w:space="0" w:color="auto"/>
        <w:left w:val="none" w:sz="0" w:space="0" w:color="auto"/>
        <w:bottom w:val="none" w:sz="0" w:space="0" w:color="auto"/>
        <w:right w:val="none" w:sz="0" w:space="0" w:color="auto"/>
      </w:divBdr>
      <w:divsChild>
        <w:div w:id="801921420">
          <w:marLeft w:val="0"/>
          <w:marRight w:val="0"/>
          <w:marTop w:val="0"/>
          <w:marBottom w:val="0"/>
          <w:divBdr>
            <w:top w:val="none" w:sz="0" w:space="0" w:color="auto"/>
            <w:left w:val="none" w:sz="0" w:space="0" w:color="auto"/>
            <w:bottom w:val="none" w:sz="0" w:space="0" w:color="auto"/>
            <w:right w:val="none" w:sz="0" w:space="0" w:color="auto"/>
          </w:divBdr>
          <w:divsChild>
            <w:div w:id="2007852931">
              <w:marLeft w:val="0"/>
              <w:marRight w:val="0"/>
              <w:marTop w:val="0"/>
              <w:marBottom w:val="0"/>
              <w:divBdr>
                <w:top w:val="none" w:sz="0" w:space="0" w:color="auto"/>
                <w:left w:val="none" w:sz="0" w:space="0" w:color="auto"/>
                <w:bottom w:val="none" w:sz="0" w:space="0" w:color="auto"/>
                <w:right w:val="none" w:sz="0" w:space="0" w:color="auto"/>
              </w:divBdr>
              <w:divsChild>
                <w:div w:id="1875575121">
                  <w:marLeft w:val="0"/>
                  <w:marRight w:val="0"/>
                  <w:marTop w:val="0"/>
                  <w:marBottom w:val="0"/>
                  <w:divBdr>
                    <w:top w:val="none" w:sz="0" w:space="0" w:color="auto"/>
                    <w:left w:val="none" w:sz="0" w:space="0" w:color="auto"/>
                    <w:bottom w:val="none" w:sz="0" w:space="0" w:color="auto"/>
                    <w:right w:val="none" w:sz="0" w:space="0" w:color="auto"/>
                  </w:divBdr>
                  <w:divsChild>
                    <w:div w:id="1826241810">
                      <w:marLeft w:val="0"/>
                      <w:marRight w:val="0"/>
                      <w:marTop w:val="0"/>
                      <w:marBottom w:val="0"/>
                      <w:divBdr>
                        <w:top w:val="none" w:sz="0" w:space="0" w:color="auto"/>
                        <w:left w:val="none" w:sz="0" w:space="0" w:color="auto"/>
                        <w:bottom w:val="none" w:sz="0" w:space="0" w:color="auto"/>
                        <w:right w:val="none" w:sz="0" w:space="0" w:color="auto"/>
                      </w:divBdr>
                      <w:divsChild>
                        <w:div w:id="197857214">
                          <w:marLeft w:val="0"/>
                          <w:marRight w:val="0"/>
                          <w:marTop w:val="0"/>
                          <w:marBottom w:val="0"/>
                          <w:divBdr>
                            <w:top w:val="none" w:sz="0" w:space="0" w:color="auto"/>
                            <w:left w:val="none" w:sz="0" w:space="0" w:color="auto"/>
                            <w:bottom w:val="none" w:sz="0" w:space="0" w:color="auto"/>
                            <w:right w:val="none" w:sz="0" w:space="0" w:color="auto"/>
                          </w:divBdr>
                          <w:divsChild>
                            <w:div w:id="608897432">
                              <w:marLeft w:val="0"/>
                              <w:marRight w:val="0"/>
                              <w:marTop w:val="0"/>
                              <w:marBottom w:val="0"/>
                              <w:divBdr>
                                <w:top w:val="none" w:sz="0" w:space="0" w:color="auto"/>
                                <w:left w:val="none" w:sz="0" w:space="0" w:color="auto"/>
                                <w:bottom w:val="none" w:sz="0" w:space="0" w:color="auto"/>
                                <w:right w:val="none" w:sz="0" w:space="0" w:color="auto"/>
                              </w:divBdr>
                              <w:divsChild>
                                <w:div w:id="1946619866">
                                  <w:marLeft w:val="0"/>
                                  <w:marRight w:val="0"/>
                                  <w:marTop w:val="0"/>
                                  <w:marBottom w:val="0"/>
                                  <w:divBdr>
                                    <w:top w:val="none" w:sz="0" w:space="0" w:color="auto"/>
                                    <w:left w:val="none" w:sz="0" w:space="0" w:color="auto"/>
                                    <w:bottom w:val="none" w:sz="0" w:space="0" w:color="auto"/>
                                    <w:right w:val="none" w:sz="0" w:space="0" w:color="auto"/>
                                  </w:divBdr>
                                  <w:divsChild>
                                    <w:div w:id="1328364741">
                                      <w:marLeft w:val="0"/>
                                      <w:marRight w:val="0"/>
                                      <w:marTop w:val="0"/>
                                      <w:marBottom w:val="0"/>
                                      <w:divBdr>
                                        <w:top w:val="none" w:sz="0" w:space="0" w:color="auto"/>
                                        <w:left w:val="none" w:sz="0" w:space="0" w:color="auto"/>
                                        <w:bottom w:val="none" w:sz="0" w:space="0" w:color="auto"/>
                                        <w:right w:val="none" w:sz="0" w:space="0" w:color="auto"/>
                                      </w:divBdr>
                                      <w:divsChild>
                                        <w:div w:id="16166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9655">
      <w:bodyDiv w:val="1"/>
      <w:marLeft w:val="0"/>
      <w:marRight w:val="0"/>
      <w:marTop w:val="0"/>
      <w:marBottom w:val="0"/>
      <w:divBdr>
        <w:top w:val="none" w:sz="0" w:space="0" w:color="auto"/>
        <w:left w:val="none" w:sz="0" w:space="0" w:color="auto"/>
        <w:bottom w:val="none" w:sz="0" w:space="0" w:color="auto"/>
        <w:right w:val="none" w:sz="0" w:space="0" w:color="auto"/>
      </w:divBdr>
      <w:divsChild>
        <w:div w:id="1687052155">
          <w:marLeft w:val="0"/>
          <w:marRight w:val="0"/>
          <w:marTop w:val="0"/>
          <w:marBottom w:val="0"/>
          <w:divBdr>
            <w:top w:val="none" w:sz="0" w:space="0" w:color="auto"/>
            <w:left w:val="none" w:sz="0" w:space="0" w:color="auto"/>
            <w:bottom w:val="none" w:sz="0" w:space="0" w:color="auto"/>
            <w:right w:val="none" w:sz="0" w:space="0" w:color="auto"/>
          </w:divBdr>
          <w:divsChild>
            <w:div w:id="1041127009">
              <w:marLeft w:val="0"/>
              <w:marRight w:val="0"/>
              <w:marTop w:val="0"/>
              <w:marBottom w:val="0"/>
              <w:divBdr>
                <w:top w:val="none" w:sz="0" w:space="0" w:color="auto"/>
                <w:left w:val="none" w:sz="0" w:space="0" w:color="auto"/>
                <w:bottom w:val="none" w:sz="0" w:space="0" w:color="auto"/>
                <w:right w:val="none" w:sz="0" w:space="0" w:color="auto"/>
              </w:divBdr>
              <w:divsChild>
                <w:div w:id="178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0236">
      <w:bodyDiv w:val="1"/>
      <w:marLeft w:val="0"/>
      <w:marRight w:val="0"/>
      <w:marTop w:val="0"/>
      <w:marBottom w:val="0"/>
      <w:divBdr>
        <w:top w:val="none" w:sz="0" w:space="0" w:color="auto"/>
        <w:left w:val="none" w:sz="0" w:space="0" w:color="auto"/>
        <w:bottom w:val="none" w:sz="0" w:space="0" w:color="auto"/>
        <w:right w:val="none" w:sz="0" w:space="0" w:color="auto"/>
      </w:divBdr>
      <w:divsChild>
        <w:div w:id="1876890796">
          <w:marLeft w:val="0"/>
          <w:marRight w:val="0"/>
          <w:marTop w:val="0"/>
          <w:marBottom w:val="0"/>
          <w:divBdr>
            <w:top w:val="none" w:sz="0" w:space="0" w:color="auto"/>
            <w:left w:val="none" w:sz="0" w:space="0" w:color="auto"/>
            <w:bottom w:val="none" w:sz="0" w:space="0" w:color="auto"/>
            <w:right w:val="none" w:sz="0" w:space="0" w:color="auto"/>
          </w:divBdr>
          <w:divsChild>
            <w:div w:id="1750151291">
              <w:marLeft w:val="0"/>
              <w:marRight w:val="0"/>
              <w:marTop w:val="0"/>
              <w:marBottom w:val="0"/>
              <w:divBdr>
                <w:top w:val="none" w:sz="0" w:space="0" w:color="auto"/>
                <w:left w:val="none" w:sz="0" w:space="0" w:color="auto"/>
                <w:bottom w:val="none" w:sz="0" w:space="0" w:color="auto"/>
                <w:right w:val="none" w:sz="0" w:space="0" w:color="auto"/>
              </w:divBdr>
              <w:divsChild>
                <w:div w:id="6125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3998">
      <w:bodyDiv w:val="1"/>
      <w:marLeft w:val="0"/>
      <w:marRight w:val="0"/>
      <w:marTop w:val="0"/>
      <w:marBottom w:val="0"/>
      <w:divBdr>
        <w:top w:val="none" w:sz="0" w:space="0" w:color="auto"/>
        <w:left w:val="none" w:sz="0" w:space="0" w:color="auto"/>
        <w:bottom w:val="none" w:sz="0" w:space="0" w:color="auto"/>
        <w:right w:val="none" w:sz="0" w:space="0" w:color="auto"/>
      </w:divBdr>
      <w:divsChild>
        <w:div w:id="707530830">
          <w:marLeft w:val="0"/>
          <w:marRight w:val="0"/>
          <w:marTop w:val="0"/>
          <w:marBottom w:val="0"/>
          <w:divBdr>
            <w:top w:val="none" w:sz="0" w:space="0" w:color="auto"/>
            <w:left w:val="none" w:sz="0" w:space="0" w:color="auto"/>
            <w:bottom w:val="none" w:sz="0" w:space="0" w:color="auto"/>
            <w:right w:val="none" w:sz="0" w:space="0" w:color="auto"/>
          </w:divBdr>
          <w:divsChild>
            <w:div w:id="173156346">
              <w:marLeft w:val="0"/>
              <w:marRight w:val="0"/>
              <w:marTop w:val="0"/>
              <w:marBottom w:val="0"/>
              <w:divBdr>
                <w:top w:val="none" w:sz="0" w:space="0" w:color="auto"/>
                <w:left w:val="none" w:sz="0" w:space="0" w:color="auto"/>
                <w:bottom w:val="none" w:sz="0" w:space="0" w:color="auto"/>
                <w:right w:val="none" w:sz="0" w:space="0" w:color="auto"/>
              </w:divBdr>
              <w:divsChild>
                <w:div w:id="1959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27855">
      <w:bodyDiv w:val="1"/>
      <w:marLeft w:val="0"/>
      <w:marRight w:val="0"/>
      <w:marTop w:val="0"/>
      <w:marBottom w:val="0"/>
      <w:divBdr>
        <w:top w:val="none" w:sz="0" w:space="0" w:color="auto"/>
        <w:left w:val="none" w:sz="0" w:space="0" w:color="auto"/>
        <w:bottom w:val="none" w:sz="0" w:space="0" w:color="auto"/>
        <w:right w:val="none" w:sz="0" w:space="0" w:color="auto"/>
      </w:divBdr>
    </w:div>
    <w:div w:id="320087907">
      <w:bodyDiv w:val="1"/>
      <w:marLeft w:val="0"/>
      <w:marRight w:val="0"/>
      <w:marTop w:val="0"/>
      <w:marBottom w:val="0"/>
      <w:divBdr>
        <w:top w:val="none" w:sz="0" w:space="0" w:color="auto"/>
        <w:left w:val="none" w:sz="0" w:space="0" w:color="auto"/>
        <w:bottom w:val="none" w:sz="0" w:space="0" w:color="auto"/>
        <w:right w:val="none" w:sz="0" w:space="0" w:color="auto"/>
      </w:divBdr>
      <w:divsChild>
        <w:div w:id="939798628">
          <w:marLeft w:val="0"/>
          <w:marRight w:val="0"/>
          <w:marTop w:val="0"/>
          <w:marBottom w:val="0"/>
          <w:divBdr>
            <w:top w:val="none" w:sz="0" w:space="0" w:color="auto"/>
            <w:left w:val="none" w:sz="0" w:space="0" w:color="auto"/>
            <w:bottom w:val="none" w:sz="0" w:space="0" w:color="auto"/>
            <w:right w:val="none" w:sz="0" w:space="0" w:color="auto"/>
          </w:divBdr>
          <w:divsChild>
            <w:div w:id="390546865">
              <w:marLeft w:val="0"/>
              <w:marRight w:val="0"/>
              <w:marTop w:val="0"/>
              <w:marBottom w:val="0"/>
              <w:divBdr>
                <w:top w:val="none" w:sz="0" w:space="0" w:color="auto"/>
                <w:left w:val="none" w:sz="0" w:space="0" w:color="auto"/>
                <w:bottom w:val="none" w:sz="0" w:space="0" w:color="auto"/>
                <w:right w:val="none" w:sz="0" w:space="0" w:color="auto"/>
              </w:divBdr>
              <w:divsChild>
                <w:div w:id="19219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8489">
      <w:bodyDiv w:val="1"/>
      <w:marLeft w:val="0"/>
      <w:marRight w:val="0"/>
      <w:marTop w:val="0"/>
      <w:marBottom w:val="0"/>
      <w:divBdr>
        <w:top w:val="none" w:sz="0" w:space="0" w:color="auto"/>
        <w:left w:val="none" w:sz="0" w:space="0" w:color="auto"/>
        <w:bottom w:val="none" w:sz="0" w:space="0" w:color="auto"/>
        <w:right w:val="none" w:sz="0" w:space="0" w:color="auto"/>
      </w:divBdr>
      <w:divsChild>
        <w:div w:id="1962609936">
          <w:marLeft w:val="0"/>
          <w:marRight w:val="0"/>
          <w:marTop w:val="0"/>
          <w:marBottom w:val="0"/>
          <w:divBdr>
            <w:top w:val="none" w:sz="0" w:space="0" w:color="auto"/>
            <w:left w:val="none" w:sz="0" w:space="0" w:color="auto"/>
            <w:bottom w:val="none" w:sz="0" w:space="0" w:color="auto"/>
            <w:right w:val="none" w:sz="0" w:space="0" w:color="auto"/>
          </w:divBdr>
          <w:divsChild>
            <w:div w:id="1780567862">
              <w:marLeft w:val="0"/>
              <w:marRight w:val="0"/>
              <w:marTop w:val="0"/>
              <w:marBottom w:val="0"/>
              <w:divBdr>
                <w:top w:val="none" w:sz="0" w:space="0" w:color="auto"/>
                <w:left w:val="none" w:sz="0" w:space="0" w:color="auto"/>
                <w:bottom w:val="none" w:sz="0" w:space="0" w:color="auto"/>
                <w:right w:val="none" w:sz="0" w:space="0" w:color="auto"/>
              </w:divBdr>
              <w:divsChild>
                <w:div w:id="904149446">
                  <w:marLeft w:val="0"/>
                  <w:marRight w:val="0"/>
                  <w:marTop w:val="0"/>
                  <w:marBottom w:val="0"/>
                  <w:divBdr>
                    <w:top w:val="none" w:sz="0" w:space="0" w:color="auto"/>
                    <w:left w:val="none" w:sz="0" w:space="0" w:color="auto"/>
                    <w:bottom w:val="none" w:sz="0" w:space="0" w:color="auto"/>
                    <w:right w:val="none" w:sz="0" w:space="0" w:color="auto"/>
                  </w:divBdr>
                  <w:divsChild>
                    <w:div w:id="319697017">
                      <w:marLeft w:val="0"/>
                      <w:marRight w:val="0"/>
                      <w:marTop w:val="0"/>
                      <w:marBottom w:val="0"/>
                      <w:divBdr>
                        <w:top w:val="none" w:sz="0" w:space="0" w:color="auto"/>
                        <w:left w:val="none" w:sz="0" w:space="0" w:color="auto"/>
                        <w:bottom w:val="none" w:sz="0" w:space="0" w:color="auto"/>
                        <w:right w:val="none" w:sz="0" w:space="0" w:color="auto"/>
                      </w:divBdr>
                      <w:divsChild>
                        <w:div w:id="1408377719">
                          <w:marLeft w:val="0"/>
                          <w:marRight w:val="0"/>
                          <w:marTop w:val="0"/>
                          <w:marBottom w:val="0"/>
                          <w:divBdr>
                            <w:top w:val="none" w:sz="0" w:space="0" w:color="auto"/>
                            <w:left w:val="none" w:sz="0" w:space="0" w:color="auto"/>
                            <w:bottom w:val="none" w:sz="0" w:space="0" w:color="auto"/>
                            <w:right w:val="none" w:sz="0" w:space="0" w:color="auto"/>
                          </w:divBdr>
                          <w:divsChild>
                            <w:div w:id="1292861014">
                              <w:marLeft w:val="0"/>
                              <w:marRight w:val="0"/>
                              <w:marTop w:val="0"/>
                              <w:marBottom w:val="0"/>
                              <w:divBdr>
                                <w:top w:val="none" w:sz="0" w:space="0" w:color="auto"/>
                                <w:left w:val="none" w:sz="0" w:space="0" w:color="auto"/>
                                <w:bottom w:val="none" w:sz="0" w:space="0" w:color="auto"/>
                                <w:right w:val="none" w:sz="0" w:space="0" w:color="auto"/>
                              </w:divBdr>
                              <w:divsChild>
                                <w:div w:id="1923953172">
                                  <w:marLeft w:val="0"/>
                                  <w:marRight w:val="0"/>
                                  <w:marTop w:val="0"/>
                                  <w:marBottom w:val="0"/>
                                  <w:divBdr>
                                    <w:top w:val="none" w:sz="0" w:space="0" w:color="auto"/>
                                    <w:left w:val="none" w:sz="0" w:space="0" w:color="auto"/>
                                    <w:bottom w:val="none" w:sz="0" w:space="0" w:color="auto"/>
                                    <w:right w:val="none" w:sz="0" w:space="0" w:color="auto"/>
                                  </w:divBdr>
                                  <w:divsChild>
                                    <w:div w:id="231045985">
                                      <w:marLeft w:val="0"/>
                                      <w:marRight w:val="0"/>
                                      <w:marTop w:val="0"/>
                                      <w:marBottom w:val="0"/>
                                      <w:divBdr>
                                        <w:top w:val="none" w:sz="0" w:space="0" w:color="auto"/>
                                        <w:left w:val="none" w:sz="0" w:space="0" w:color="auto"/>
                                        <w:bottom w:val="none" w:sz="0" w:space="0" w:color="auto"/>
                                        <w:right w:val="none" w:sz="0" w:space="0" w:color="auto"/>
                                      </w:divBdr>
                                      <w:divsChild>
                                        <w:div w:id="5739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58295">
      <w:bodyDiv w:val="1"/>
      <w:marLeft w:val="0"/>
      <w:marRight w:val="0"/>
      <w:marTop w:val="0"/>
      <w:marBottom w:val="0"/>
      <w:divBdr>
        <w:top w:val="none" w:sz="0" w:space="0" w:color="auto"/>
        <w:left w:val="none" w:sz="0" w:space="0" w:color="auto"/>
        <w:bottom w:val="none" w:sz="0" w:space="0" w:color="auto"/>
        <w:right w:val="none" w:sz="0" w:space="0" w:color="auto"/>
      </w:divBdr>
      <w:divsChild>
        <w:div w:id="2059159524">
          <w:marLeft w:val="0"/>
          <w:marRight w:val="0"/>
          <w:marTop w:val="0"/>
          <w:marBottom w:val="0"/>
          <w:divBdr>
            <w:top w:val="none" w:sz="0" w:space="0" w:color="auto"/>
            <w:left w:val="none" w:sz="0" w:space="0" w:color="auto"/>
            <w:bottom w:val="none" w:sz="0" w:space="0" w:color="auto"/>
            <w:right w:val="none" w:sz="0" w:space="0" w:color="auto"/>
          </w:divBdr>
          <w:divsChild>
            <w:div w:id="103427265">
              <w:marLeft w:val="0"/>
              <w:marRight w:val="0"/>
              <w:marTop w:val="0"/>
              <w:marBottom w:val="0"/>
              <w:divBdr>
                <w:top w:val="none" w:sz="0" w:space="0" w:color="auto"/>
                <w:left w:val="none" w:sz="0" w:space="0" w:color="auto"/>
                <w:bottom w:val="none" w:sz="0" w:space="0" w:color="auto"/>
                <w:right w:val="none" w:sz="0" w:space="0" w:color="auto"/>
              </w:divBdr>
              <w:divsChild>
                <w:div w:id="816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2654">
      <w:bodyDiv w:val="1"/>
      <w:marLeft w:val="0"/>
      <w:marRight w:val="0"/>
      <w:marTop w:val="0"/>
      <w:marBottom w:val="0"/>
      <w:divBdr>
        <w:top w:val="none" w:sz="0" w:space="0" w:color="auto"/>
        <w:left w:val="none" w:sz="0" w:space="0" w:color="auto"/>
        <w:bottom w:val="none" w:sz="0" w:space="0" w:color="auto"/>
        <w:right w:val="none" w:sz="0" w:space="0" w:color="auto"/>
      </w:divBdr>
      <w:divsChild>
        <w:div w:id="508980616">
          <w:marLeft w:val="0"/>
          <w:marRight w:val="0"/>
          <w:marTop w:val="0"/>
          <w:marBottom w:val="0"/>
          <w:divBdr>
            <w:top w:val="none" w:sz="0" w:space="0" w:color="auto"/>
            <w:left w:val="none" w:sz="0" w:space="0" w:color="auto"/>
            <w:bottom w:val="none" w:sz="0" w:space="0" w:color="auto"/>
            <w:right w:val="none" w:sz="0" w:space="0" w:color="auto"/>
          </w:divBdr>
          <w:divsChild>
            <w:div w:id="1545674264">
              <w:marLeft w:val="0"/>
              <w:marRight w:val="0"/>
              <w:marTop w:val="0"/>
              <w:marBottom w:val="0"/>
              <w:divBdr>
                <w:top w:val="none" w:sz="0" w:space="0" w:color="auto"/>
                <w:left w:val="none" w:sz="0" w:space="0" w:color="auto"/>
                <w:bottom w:val="none" w:sz="0" w:space="0" w:color="auto"/>
                <w:right w:val="none" w:sz="0" w:space="0" w:color="auto"/>
              </w:divBdr>
              <w:divsChild>
                <w:div w:id="10183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531">
      <w:bodyDiv w:val="1"/>
      <w:marLeft w:val="0"/>
      <w:marRight w:val="0"/>
      <w:marTop w:val="0"/>
      <w:marBottom w:val="0"/>
      <w:divBdr>
        <w:top w:val="none" w:sz="0" w:space="0" w:color="auto"/>
        <w:left w:val="none" w:sz="0" w:space="0" w:color="auto"/>
        <w:bottom w:val="none" w:sz="0" w:space="0" w:color="auto"/>
        <w:right w:val="none" w:sz="0" w:space="0" w:color="auto"/>
      </w:divBdr>
      <w:divsChild>
        <w:div w:id="703139648">
          <w:marLeft w:val="0"/>
          <w:marRight w:val="0"/>
          <w:marTop w:val="0"/>
          <w:marBottom w:val="0"/>
          <w:divBdr>
            <w:top w:val="none" w:sz="0" w:space="0" w:color="auto"/>
            <w:left w:val="none" w:sz="0" w:space="0" w:color="auto"/>
            <w:bottom w:val="none" w:sz="0" w:space="0" w:color="auto"/>
            <w:right w:val="none" w:sz="0" w:space="0" w:color="auto"/>
          </w:divBdr>
          <w:divsChild>
            <w:div w:id="119884099">
              <w:marLeft w:val="0"/>
              <w:marRight w:val="0"/>
              <w:marTop w:val="0"/>
              <w:marBottom w:val="0"/>
              <w:divBdr>
                <w:top w:val="none" w:sz="0" w:space="0" w:color="auto"/>
                <w:left w:val="none" w:sz="0" w:space="0" w:color="auto"/>
                <w:bottom w:val="none" w:sz="0" w:space="0" w:color="auto"/>
                <w:right w:val="none" w:sz="0" w:space="0" w:color="auto"/>
              </w:divBdr>
              <w:divsChild>
                <w:div w:id="5390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235">
      <w:bodyDiv w:val="1"/>
      <w:marLeft w:val="0"/>
      <w:marRight w:val="0"/>
      <w:marTop w:val="0"/>
      <w:marBottom w:val="0"/>
      <w:divBdr>
        <w:top w:val="none" w:sz="0" w:space="0" w:color="auto"/>
        <w:left w:val="none" w:sz="0" w:space="0" w:color="auto"/>
        <w:bottom w:val="none" w:sz="0" w:space="0" w:color="auto"/>
        <w:right w:val="none" w:sz="0" w:space="0" w:color="auto"/>
      </w:divBdr>
      <w:divsChild>
        <w:div w:id="1328436314">
          <w:marLeft w:val="0"/>
          <w:marRight w:val="0"/>
          <w:marTop w:val="0"/>
          <w:marBottom w:val="0"/>
          <w:divBdr>
            <w:top w:val="none" w:sz="0" w:space="0" w:color="auto"/>
            <w:left w:val="none" w:sz="0" w:space="0" w:color="auto"/>
            <w:bottom w:val="none" w:sz="0" w:space="0" w:color="auto"/>
            <w:right w:val="none" w:sz="0" w:space="0" w:color="auto"/>
          </w:divBdr>
          <w:divsChild>
            <w:div w:id="1071848582">
              <w:marLeft w:val="0"/>
              <w:marRight w:val="0"/>
              <w:marTop w:val="0"/>
              <w:marBottom w:val="0"/>
              <w:divBdr>
                <w:top w:val="none" w:sz="0" w:space="0" w:color="auto"/>
                <w:left w:val="none" w:sz="0" w:space="0" w:color="auto"/>
                <w:bottom w:val="none" w:sz="0" w:space="0" w:color="auto"/>
                <w:right w:val="none" w:sz="0" w:space="0" w:color="auto"/>
              </w:divBdr>
              <w:divsChild>
                <w:div w:id="228611119">
                  <w:marLeft w:val="0"/>
                  <w:marRight w:val="0"/>
                  <w:marTop w:val="0"/>
                  <w:marBottom w:val="0"/>
                  <w:divBdr>
                    <w:top w:val="none" w:sz="0" w:space="0" w:color="auto"/>
                    <w:left w:val="none" w:sz="0" w:space="0" w:color="auto"/>
                    <w:bottom w:val="none" w:sz="0" w:space="0" w:color="auto"/>
                    <w:right w:val="none" w:sz="0" w:space="0" w:color="auto"/>
                  </w:divBdr>
                  <w:divsChild>
                    <w:div w:id="1912495868">
                      <w:marLeft w:val="0"/>
                      <w:marRight w:val="0"/>
                      <w:marTop w:val="0"/>
                      <w:marBottom w:val="0"/>
                      <w:divBdr>
                        <w:top w:val="none" w:sz="0" w:space="0" w:color="auto"/>
                        <w:left w:val="none" w:sz="0" w:space="0" w:color="auto"/>
                        <w:bottom w:val="none" w:sz="0" w:space="0" w:color="auto"/>
                        <w:right w:val="none" w:sz="0" w:space="0" w:color="auto"/>
                      </w:divBdr>
                      <w:divsChild>
                        <w:div w:id="2077048779">
                          <w:marLeft w:val="0"/>
                          <w:marRight w:val="0"/>
                          <w:marTop w:val="0"/>
                          <w:marBottom w:val="0"/>
                          <w:divBdr>
                            <w:top w:val="none" w:sz="0" w:space="0" w:color="auto"/>
                            <w:left w:val="none" w:sz="0" w:space="0" w:color="auto"/>
                            <w:bottom w:val="none" w:sz="0" w:space="0" w:color="auto"/>
                            <w:right w:val="none" w:sz="0" w:space="0" w:color="auto"/>
                          </w:divBdr>
                          <w:divsChild>
                            <w:div w:id="1319533196">
                              <w:marLeft w:val="0"/>
                              <w:marRight w:val="0"/>
                              <w:marTop w:val="0"/>
                              <w:marBottom w:val="0"/>
                              <w:divBdr>
                                <w:top w:val="none" w:sz="0" w:space="0" w:color="auto"/>
                                <w:left w:val="none" w:sz="0" w:space="0" w:color="auto"/>
                                <w:bottom w:val="none" w:sz="0" w:space="0" w:color="auto"/>
                                <w:right w:val="none" w:sz="0" w:space="0" w:color="auto"/>
                              </w:divBdr>
                              <w:divsChild>
                                <w:div w:id="1738437165">
                                  <w:marLeft w:val="0"/>
                                  <w:marRight w:val="0"/>
                                  <w:marTop w:val="0"/>
                                  <w:marBottom w:val="0"/>
                                  <w:divBdr>
                                    <w:top w:val="none" w:sz="0" w:space="0" w:color="auto"/>
                                    <w:left w:val="none" w:sz="0" w:space="0" w:color="auto"/>
                                    <w:bottom w:val="none" w:sz="0" w:space="0" w:color="auto"/>
                                    <w:right w:val="none" w:sz="0" w:space="0" w:color="auto"/>
                                  </w:divBdr>
                                  <w:divsChild>
                                    <w:div w:id="1837723969">
                                      <w:marLeft w:val="0"/>
                                      <w:marRight w:val="0"/>
                                      <w:marTop w:val="0"/>
                                      <w:marBottom w:val="0"/>
                                      <w:divBdr>
                                        <w:top w:val="none" w:sz="0" w:space="0" w:color="auto"/>
                                        <w:left w:val="none" w:sz="0" w:space="0" w:color="auto"/>
                                        <w:bottom w:val="none" w:sz="0" w:space="0" w:color="auto"/>
                                        <w:right w:val="none" w:sz="0" w:space="0" w:color="auto"/>
                                      </w:divBdr>
                                      <w:divsChild>
                                        <w:div w:id="4162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2929">
      <w:bodyDiv w:val="1"/>
      <w:marLeft w:val="0"/>
      <w:marRight w:val="0"/>
      <w:marTop w:val="0"/>
      <w:marBottom w:val="0"/>
      <w:divBdr>
        <w:top w:val="none" w:sz="0" w:space="0" w:color="auto"/>
        <w:left w:val="none" w:sz="0" w:space="0" w:color="auto"/>
        <w:bottom w:val="none" w:sz="0" w:space="0" w:color="auto"/>
        <w:right w:val="none" w:sz="0" w:space="0" w:color="auto"/>
      </w:divBdr>
      <w:divsChild>
        <w:div w:id="343477767">
          <w:marLeft w:val="0"/>
          <w:marRight w:val="0"/>
          <w:marTop w:val="0"/>
          <w:marBottom w:val="0"/>
          <w:divBdr>
            <w:top w:val="none" w:sz="0" w:space="0" w:color="auto"/>
            <w:left w:val="none" w:sz="0" w:space="0" w:color="auto"/>
            <w:bottom w:val="none" w:sz="0" w:space="0" w:color="auto"/>
            <w:right w:val="none" w:sz="0" w:space="0" w:color="auto"/>
          </w:divBdr>
          <w:divsChild>
            <w:div w:id="458650973">
              <w:marLeft w:val="0"/>
              <w:marRight w:val="0"/>
              <w:marTop w:val="0"/>
              <w:marBottom w:val="0"/>
              <w:divBdr>
                <w:top w:val="none" w:sz="0" w:space="0" w:color="auto"/>
                <w:left w:val="none" w:sz="0" w:space="0" w:color="auto"/>
                <w:bottom w:val="none" w:sz="0" w:space="0" w:color="auto"/>
                <w:right w:val="none" w:sz="0" w:space="0" w:color="auto"/>
              </w:divBdr>
              <w:divsChild>
                <w:div w:id="21359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9269">
      <w:bodyDiv w:val="1"/>
      <w:marLeft w:val="0"/>
      <w:marRight w:val="0"/>
      <w:marTop w:val="0"/>
      <w:marBottom w:val="0"/>
      <w:divBdr>
        <w:top w:val="none" w:sz="0" w:space="0" w:color="auto"/>
        <w:left w:val="none" w:sz="0" w:space="0" w:color="auto"/>
        <w:bottom w:val="none" w:sz="0" w:space="0" w:color="auto"/>
        <w:right w:val="none" w:sz="0" w:space="0" w:color="auto"/>
      </w:divBdr>
      <w:divsChild>
        <w:div w:id="353073568">
          <w:marLeft w:val="0"/>
          <w:marRight w:val="0"/>
          <w:marTop w:val="0"/>
          <w:marBottom w:val="0"/>
          <w:divBdr>
            <w:top w:val="none" w:sz="0" w:space="0" w:color="auto"/>
            <w:left w:val="none" w:sz="0" w:space="0" w:color="auto"/>
            <w:bottom w:val="none" w:sz="0" w:space="0" w:color="auto"/>
            <w:right w:val="none" w:sz="0" w:space="0" w:color="auto"/>
          </w:divBdr>
          <w:divsChild>
            <w:div w:id="1796635604">
              <w:marLeft w:val="0"/>
              <w:marRight w:val="0"/>
              <w:marTop w:val="0"/>
              <w:marBottom w:val="0"/>
              <w:divBdr>
                <w:top w:val="none" w:sz="0" w:space="0" w:color="auto"/>
                <w:left w:val="none" w:sz="0" w:space="0" w:color="auto"/>
                <w:bottom w:val="none" w:sz="0" w:space="0" w:color="auto"/>
                <w:right w:val="none" w:sz="0" w:space="0" w:color="auto"/>
              </w:divBdr>
              <w:divsChild>
                <w:div w:id="562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9596">
      <w:bodyDiv w:val="1"/>
      <w:marLeft w:val="0"/>
      <w:marRight w:val="0"/>
      <w:marTop w:val="0"/>
      <w:marBottom w:val="0"/>
      <w:divBdr>
        <w:top w:val="none" w:sz="0" w:space="0" w:color="auto"/>
        <w:left w:val="none" w:sz="0" w:space="0" w:color="auto"/>
        <w:bottom w:val="none" w:sz="0" w:space="0" w:color="auto"/>
        <w:right w:val="none" w:sz="0" w:space="0" w:color="auto"/>
      </w:divBdr>
      <w:divsChild>
        <w:div w:id="1444379427">
          <w:marLeft w:val="0"/>
          <w:marRight w:val="0"/>
          <w:marTop w:val="0"/>
          <w:marBottom w:val="0"/>
          <w:divBdr>
            <w:top w:val="none" w:sz="0" w:space="0" w:color="auto"/>
            <w:left w:val="none" w:sz="0" w:space="0" w:color="auto"/>
            <w:bottom w:val="none" w:sz="0" w:space="0" w:color="auto"/>
            <w:right w:val="none" w:sz="0" w:space="0" w:color="auto"/>
          </w:divBdr>
          <w:divsChild>
            <w:div w:id="1406340679">
              <w:marLeft w:val="0"/>
              <w:marRight w:val="0"/>
              <w:marTop w:val="0"/>
              <w:marBottom w:val="0"/>
              <w:divBdr>
                <w:top w:val="none" w:sz="0" w:space="0" w:color="auto"/>
                <w:left w:val="none" w:sz="0" w:space="0" w:color="auto"/>
                <w:bottom w:val="none" w:sz="0" w:space="0" w:color="auto"/>
                <w:right w:val="none" w:sz="0" w:space="0" w:color="auto"/>
              </w:divBdr>
              <w:divsChild>
                <w:div w:id="6215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5747">
      <w:bodyDiv w:val="1"/>
      <w:marLeft w:val="0"/>
      <w:marRight w:val="0"/>
      <w:marTop w:val="0"/>
      <w:marBottom w:val="0"/>
      <w:divBdr>
        <w:top w:val="none" w:sz="0" w:space="0" w:color="auto"/>
        <w:left w:val="none" w:sz="0" w:space="0" w:color="auto"/>
        <w:bottom w:val="none" w:sz="0" w:space="0" w:color="auto"/>
        <w:right w:val="none" w:sz="0" w:space="0" w:color="auto"/>
      </w:divBdr>
      <w:divsChild>
        <w:div w:id="1368261850">
          <w:marLeft w:val="0"/>
          <w:marRight w:val="0"/>
          <w:marTop w:val="0"/>
          <w:marBottom w:val="0"/>
          <w:divBdr>
            <w:top w:val="none" w:sz="0" w:space="0" w:color="auto"/>
            <w:left w:val="none" w:sz="0" w:space="0" w:color="auto"/>
            <w:bottom w:val="none" w:sz="0" w:space="0" w:color="auto"/>
            <w:right w:val="none" w:sz="0" w:space="0" w:color="auto"/>
          </w:divBdr>
          <w:divsChild>
            <w:div w:id="203953189">
              <w:marLeft w:val="0"/>
              <w:marRight w:val="0"/>
              <w:marTop w:val="0"/>
              <w:marBottom w:val="0"/>
              <w:divBdr>
                <w:top w:val="none" w:sz="0" w:space="0" w:color="auto"/>
                <w:left w:val="none" w:sz="0" w:space="0" w:color="auto"/>
                <w:bottom w:val="none" w:sz="0" w:space="0" w:color="auto"/>
                <w:right w:val="none" w:sz="0" w:space="0" w:color="auto"/>
              </w:divBdr>
              <w:divsChild>
                <w:div w:id="1233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80945">
      <w:bodyDiv w:val="1"/>
      <w:marLeft w:val="0"/>
      <w:marRight w:val="0"/>
      <w:marTop w:val="0"/>
      <w:marBottom w:val="0"/>
      <w:divBdr>
        <w:top w:val="none" w:sz="0" w:space="0" w:color="auto"/>
        <w:left w:val="none" w:sz="0" w:space="0" w:color="auto"/>
        <w:bottom w:val="none" w:sz="0" w:space="0" w:color="auto"/>
        <w:right w:val="none" w:sz="0" w:space="0" w:color="auto"/>
      </w:divBdr>
      <w:divsChild>
        <w:div w:id="1680813197">
          <w:marLeft w:val="0"/>
          <w:marRight w:val="0"/>
          <w:marTop w:val="0"/>
          <w:marBottom w:val="0"/>
          <w:divBdr>
            <w:top w:val="none" w:sz="0" w:space="0" w:color="auto"/>
            <w:left w:val="none" w:sz="0" w:space="0" w:color="auto"/>
            <w:bottom w:val="none" w:sz="0" w:space="0" w:color="auto"/>
            <w:right w:val="none" w:sz="0" w:space="0" w:color="auto"/>
          </w:divBdr>
          <w:divsChild>
            <w:div w:id="981078393">
              <w:marLeft w:val="0"/>
              <w:marRight w:val="0"/>
              <w:marTop w:val="0"/>
              <w:marBottom w:val="0"/>
              <w:divBdr>
                <w:top w:val="none" w:sz="0" w:space="0" w:color="auto"/>
                <w:left w:val="none" w:sz="0" w:space="0" w:color="auto"/>
                <w:bottom w:val="none" w:sz="0" w:space="0" w:color="auto"/>
                <w:right w:val="none" w:sz="0" w:space="0" w:color="auto"/>
              </w:divBdr>
              <w:divsChild>
                <w:div w:id="12436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44">
      <w:bodyDiv w:val="1"/>
      <w:marLeft w:val="0"/>
      <w:marRight w:val="0"/>
      <w:marTop w:val="0"/>
      <w:marBottom w:val="0"/>
      <w:divBdr>
        <w:top w:val="none" w:sz="0" w:space="0" w:color="auto"/>
        <w:left w:val="none" w:sz="0" w:space="0" w:color="auto"/>
        <w:bottom w:val="none" w:sz="0" w:space="0" w:color="auto"/>
        <w:right w:val="none" w:sz="0" w:space="0" w:color="auto"/>
      </w:divBdr>
      <w:divsChild>
        <w:div w:id="1000621796">
          <w:marLeft w:val="0"/>
          <w:marRight w:val="0"/>
          <w:marTop w:val="0"/>
          <w:marBottom w:val="0"/>
          <w:divBdr>
            <w:top w:val="none" w:sz="0" w:space="0" w:color="auto"/>
            <w:left w:val="none" w:sz="0" w:space="0" w:color="auto"/>
            <w:bottom w:val="none" w:sz="0" w:space="0" w:color="auto"/>
            <w:right w:val="none" w:sz="0" w:space="0" w:color="auto"/>
          </w:divBdr>
          <w:divsChild>
            <w:div w:id="206797791">
              <w:marLeft w:val="0"/>
              <w:marRight w:val="0"/>
              <w:marTop w:val="0"/>
              <w:marBottom w:val="0"/>
              <w:divBdr>
                <w:top w:val="none" w:sz="0" w:space="0" w:color="auto"/>
                <w:left w:val="none" w:sz="0" w:space="0" w:color="auto"/>
                <w:bottom w:val="none" w:sz="0" w:space="0" w:color="auto"/>
                <w:right w:val="none" w:sz="0" w:space="0" w:color="auto"/>
              </w:divBdr>
              <w:divsChild>
                <w:div w:id="1418676356">
                  <w:marLeft w:val="0"/>
                  <w:marRight w:val="0"/>
                  <w:marTop w:val="0"/>
                  <w:marBottom w:val="0"/>
                  <w:divBdr>
                    <w:top w:val="none" w:sz="0" w:space="0" w:color="auto"/>
                    <w:left w:val="none" w:sz="0" w:space="0" w:color="auto"/>
                    <w:bottom w:val="none" w:sz="0" w:space="0" w:color="auto"/>
                    <w:right w:val="none" w:sz="0" w:space="0" w:color="auto"/>
                  </w:divBdr>
                  <w:divsChild>
                    <w:div w:id="509569591">
                      <w:marLeft w:val="0"/>
                      <w:marRight w:val="0"/>
                      <w:marTop w:val="0"/>
                      <w:marBottom w:val="0"/>
                      <w:divBdr>
                        <w:top w:val="none" w:sz="0" w:space="0" w:color="auto"/>
                        <w:left w:val="none" w:sz="0" w:space="0" w:color="auto"/>
                        <w:bottom w:val="none" w:sz="0" w:space="0" w:color="auto"/>
                        <w:right w:val="none" w:sz="0" w:space="0" w:color="auto"/>
                      </w:divBdr>
                      <w:divsChild>
                        <w:div w:id="1464689628">
                          <w:marLeft w:val="0"/>
                          <w:marRight w:val="0"/>
                          <w:marTop w:val="0"/>
                          <w:marBottom w:val="0"/>
                          <w:divBdr>
                            <w:top w:val="none" w:sz="0" w:space="0" w:color="auto"/>
                            <w:left w:val="none" w:sz="0" w:space="0" w:color="auto"/>
                            <w:bottom w:val="none" w:sz="0" w:space="0" w:color="auto"/>
                            <w:right w:val="none" w:sz="0" w:space="0" w:color="auto"/>
                          </w:divBdr>
                          <w:divsChild>
                            <w:div w:id="1642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74190">
      <w:bodyDiv w:val="1"/>
      <w:marLeft w:val="0"/>
      <w:marRight w:val="0"/>
      <w:marTop w:val="0"/>
      <w:marBottom w:val="0"/>
      <w:divBdr>
        <w:top w:val="none" w:sz="0" w:space="0" w:color="auto"/>
        <w:left w:val="none" w:sz="0" w:space="0" w:color="auto"/>
        <w:bottom w:val="none" w:sz="0" w:space="0" w:color="auto"/>
        <w:right w:val="none" w:sz="0" w:space="0" w:color="auto"/>
      </w:divBdr>
      <w:divsChild>
        <w:div w:id="1228766718">
          <w:marLeft w:val="0"/>
          <w:marRight w:val="0"/>
          <w:marTop w:val="0"/>
          <w:marBottom w:val="0"/>
          <w:divBdr>
            <w:top w:val="none" w:sz="0" w:space="0" w:color="auto"/>
            <w:left w:val="none" w:sz="0" w:space="0" w:color="auto"/>
            <w:bottom w:val="none" w:sz="0" w:space="0" w:color="auto"/>
            <w:right w:val="none" w:sz="0" w:space="0" w:color="auto"/>
          </w:divBdr>
          <w:divsChild>
            <w:div w:id="1504709755">
              <w:marLeft w:val="0"/>
              <w:marRight w:val="0"/>
              <w:marTop w:val="0"/>
              <w:marBottom w:val="0"/>
              <w:divBdr>
                <w:top w:val="none" w:sz="0" w:space="0" w:color="auto"/>
                <w:left w:val="none" w:sz="0" w:space="0" w:color="auto"/>
                <w:bottom w:val="none" w:sz="0" w:space="0" w:color="auto"/>
                <w:right w:val="none" w:sz="0" w:space="0" w:color="auto"/>
              </w:divBdr>
              <w:divsChild>
                <w:div w:id="19272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0050">
      <w:bodyDiv w:val="1"/>
      <w:marLeft w:val="0"/>
      <w:marRight w:val="0"/>
      <w:marTop w:val="0"/>
      <w:marBottom w:val="0"/>
      <w:divBdr>
        <w:top w:val="none" w:sz="0" w:space="0" w:color="auto"/>
        <w:left w:val="none" w:sz="0" w:space="0" w:color="auto"/>
        <w:bottom w:val="none" w:sz="0" w:space="0" w:color="auto"/>
        <w:right w:val="none" w:sz="0" w:space="0" w:color="auto"/>
      </w:divBdr>
      <w:divsChild>
        <w:div w:id="586811257">
          <w:marLeft w:val="0"/>
          <w:marRight w:val="0"/>
          <w:marTop w:val="0"/>
          <w:marBottom w:val="0"/>
          <w:divBdr>
            <w:top w:val="none" w:sz="0" w:space="0" w:color="auto"/>
            <w:left w:val="none" w:sz="0" w:space="0" w:color="auto"/>
            <w:bottom w:val="none" w:sz="0" w:space="0" w:color="auto"/>
            <w:right w:val="none" w:sz="0" w:space="0" w:color="auto"/>
          </w:divBdr>
          <w:divsChild>
            <w:div w:id="784814950">
              <w:marLeft w:val="0"/>
              <w:marRight w:val="0"/>
              <w:marTop w:val="0"/>
              <w:marBottom w:val="0"/>
              <w:divBdr>
                <w:top w:val="none" w:sz="0" w:space="0" w:color="auto"/>
                <w:left w:val="none" w:sz="0" w:space="0" w:color="auto"/>
                <w:bottom w:val="none" w:sz="0" w:space="0" w:color="auto"/>
                <w:right w:val="none" w:sz="0" w:space="0" w:color="auto"/>
              </w:divBdr>
              <w:divsChild>
                <w:div w:id="657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39112">
      <w:bodyDiv w:val="1"/>
      <w:marLeft w:val="0"/>
      <w:marRight w:val="0"/>
      <w:marTop w:val="0"/>
      <w:marBottom w:val="0"/>
      <w:divBdr>
        <w:top w:val="none" w:sz="0" w:space="0" w:color="auto"/>
        <w:left w:val="none" w:sz="0" w:space="0" w:color="auto"/>
        <w:bottom w:val="none" w:sz="0" w:space="0" w:color="auto"/>
        <w:right w:val="none" w:sz="0" w:space="0" w:color="auto"/>
      </w:divBdr>
      <w:divsChild>
        <w:div w:id="1481537305">
          <w:marLeft w:val="0"/>
          <w:marRight w:val="0"/>
          <w:marTop w:val="0"/>
          <w:marBottom w:val="0"/>
          <w:divBdr>
            <w:top w:val="none" w:sz="0" w:space="0" w:color="auto"/>
            <w:left w:val="none" w:sz="0" w:space="0" w:color="auto"/>
            <w:bottom w:val="none" w:sz="0" w:space="0" w:color="auto"/>
            <w:right w:val="none" w:sz="0" w:space="0" w:color="auto"/>
          </w:divBdr>
          <w:divsChild>
            <w:div w:id="2005736943">
              <w:marLeft w:val="0"/>
              <w:marRight w:val="0"/>
              <w:marTop w:val="0"/>
              <w:marBottom w:val="0"/>
              <w:divBdr>
                <w:top w:val="none" w:sz="0" w:space="0" w:color="auto"/>
                <w:left w:val="none" w:sz="0" w:space="0" w:color="auto"/>
                <w:bottom w:val="none" w:sz="0" w:space="0" w:color="auto"/>
                <w:right w:val="none" w:sz="0" w:space="0" w:color="auto"/>
              </w:divBdr>
              <w:divsChild>
                <w:div w:id="4965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3366">
      <w:bodyDiv w:val="1"/>
      <w:marLeft w:val="0"/>
      <w:marRight w:val="0"/>
      <w:marTop w:val="0"/>
      <w:marBottom w:val="0"/>
      <w:divBdr>
        <w:top w:val="none" w:sz="0" w:space="0" w:color="auto"/>
        <w:left w:val="none" w:sz="0" w:space="0" w:color="auto"/>
        <w:bottom w:val="none" w:sz="0" w:space="0" w:color="auto"/>
        <w:right w:val="none" w:sz="0" w:space="0" w:color="auto"/>
      </w:divBdr>
      <w:divsChild>
        <w:div w:id="767851600">
          <w:marLeft w:val="0"/>
          <w:marRight w:val="0"/>
          <w:marTop w:val="0"/>
          <w:marBottom w:val="0"/>
          <w:divBdr>
            <w:top w:val="none" w:sz="0" w:space="0" w:color="auto"/>
            <w:left w:val="none" w:sz="0" w:space="0" w:color="auto"/>
            <w:bottom w:val="none" w:sz="0" w:space="0" w:color="auto"/>
            <w:right w:val="none" w:sz="0" w:space="0" w:color="auto"/>
          </w:divBdr>
          <w:divsChild>
            <w:div w:id="446236490">
              <w:marLeft w:val="0"/>
              <w:marRight w:val="0"/>
              <w:marTop w:val="0"/>
              <w:marBottom w:val="0"/>
              <w:divBdr>
                <w:top w:val="none" w:sz="0" w:space="0" w:color="auto"/>
                <w:left w:val="none" w:sz="0" w:space="0" w:color="auto"/>
                <w:bottom w:val="none" w:sz="0" w:space="0" w:color="auto"/>
                <w:right w:val="none" w:sz="0" w:space="0" w:color="auto"/>
              </w:divBdr>
              <w:divsChild>
                <w:div w:id="10303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4877">
      <w:bodyDiv w:val="1"/>
      <w:marLeft w:val="0"/>
      <w:marRight w:val="0"/>
      <w:marTop w:val="0"/>
      <w:marBottom w:val="0"/>
      <w:divBdr>
        <w:top w:val="none" w:sz="0" w:space="0" w:color="auto"/>
        <w:left w:val="none" w:sz="0" w:space="0" w:color="auto"/>
        <w:bottom w:val="none" w:sz="0" w:space="0" w:color="auto"/>
        <w:right w:val="none" w:sz="0" w:space="0" w:color="auto"/>
      </w:divBdr>
      <w:divsChild>
        <w:div w:id="1906452965">
          <w:marLeft w:val="0"/>
          <w:marRight w:val="0"/>
          <w:marTop w:val="0"/>
          <w:marBottom w:val="0"/>
          <w:divBdr>
            <w:top w:val="none" w:sz="0" w:space="0" w:color="auto"/>
            <w:left w:val="none" w:sz="0" w:space="0" w:color="auto"/>
            <w:bottom w:val="none" w:sz="0" w:space="0" w:color="auto"/>
            <w:right w:val="none" w:sz="0" w:space="0" w:color="auto"/>
          </w:divBdr>
          <w:divsChild>
            <w:div w:id="267812596">
              <w:marLeft w:val="0"/>
              <w:marRight w:val="0"/>
              <w:marTop w:val="0"/>
              <w:marBottom w:val="0"/>
              <w:divBdr>
                <w:top w:val="none" w:sz="0" w:space="0" w:color="auto"/>
                <w:left w:val="none" w:sz="0" w:space="0" w:color="auto"/>
                <w:bottom w:val="none" w:sz="0" w:space="0" w:color="auto"/>
                <w:right w:val="none" w:sz="0" w:space="0" w:color="auto"/>
              </w:divBdr>
              <w:divsChild>
                <w:div w:id="19889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60">
      <w:bodyDiv w:val="1"/>
      <w:marLeft w:val="0"/>
      <w:marRight w:val="0"/>
      <w:marTop w:val="0"/>
      <w:marBottom w:val="0"/>
      <w:divBdr>
        <w:top w:val="none" w:sz="0" w:space="0" w:color="auto"/>
        <w:left w:val="none" w:sz="0" w:space="0" w:color="auto"/>
        <w:bottom w:val="none" w:sz="0" w:space="0" w:color="auto"/>
        <w:right w:val="none" w:sz="0" w:space="0" w:color="auto"/>
      </w:divBdr>
      <w:divsChild>
        <w:div w:id="559096182">
          <w:marLeft w:val="0"/>
          <w:marRight w:val="0"/>
          <w:marTop w:val="0"/>
          <w:marBottom w:val="0"/>
          <w:divBdr>
            <w:top w:val="none" w:sz="0" w:space="0" w:color="auto"/>
            <w:left w:val="none" w:sz="0" w:space="0" w:color="auto"/>
            <w:bottom w:val="none" w:sz="0" w:space="0" w:color="auto"/>
            <w:right w:val="none" w:sz="0" w:space="0" w:color="auto"/>
          </w:divBdr>
          <w:divsChild>
            <w:div w:id="1639384362">
              <w:marLeft w:val="0"/>
              <w:marRight w:val="0"/>
              <w:marTop w:val="0"/>
              <w:marBottom w:val="0"/>
              <w:divBdr>
                <w:top w:val="none" w:sz="0" w:space="0" w:color="auto"/>
                <w:left w:val="none" w:sz="0" w:space="0" w:color="auto"/>
                <w:bottom w:val="none" w:sz="0" w:space="0" w:color="auto"/>
                <w:right w:val="none" w:sz="0" w:space="0" w:color="auto"/>
              </w:divBdr>
              <w:divsChild>
                <w:div w:id="4583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242">
      <w:bodyDiv w:val="1"/>
      <w:marLeft w:val="0"/>
      <w:marRight w:val="0"/>
      <w:marTop w:val="0"/>
      <w:marBottom w:val="0"/>
      <w:divBdr>
        <w:top w:val="none" w:sz="0" w:space="0" w:color="auto"/>
        <w:left w:val="none" w:sz="0" w:space="0" w:color="auto"/>
        <w:bottom w:val="none" w:sz="0" w:space="0" w:color="auto"/>
        <w:right w:val="none" w:sz="0" w:space="0" w:color="auto"/>
      </w:divBdr>
      <w:divsChild>
        <w:div w:id="39785832">
          <w:marLeft w:val="0"/>
          <w:marRight w:val="0"/>
          <w:marTop w:val="0"/>
          <w:marBottom w:val="0"/>
          <w:divBdr>
            <w:top w:val="none" w:sz="0" w:space="0" w:color="auto"/>
            <w:left w:val="none" w:sz="0" w:space="0" w:color="auto"/>
            <w:bottom w:val="none" w:sz="0" w:space="0" w:color="auto"/>
            <w:right w:val="none" w:sz="0" w:space="0" w:color="auto"/>
          </w:divBdr>
          <w:divsChild>
            <w:div w:id="199245325">
              <w:marLeft w:val="0"/>
              <w:marRight w:val="0"/>
              <w:marTop w:val="0"/>
              <w:marBottom w:val="0"/>
              <w:divBdr>
                <w:top w:val="none" w:sz="0" w:space="0" w:color="auto"/>
                <w:left w:val="none" w:sz="0" w:space="0" w:color="auto"/>
                <w:bottom w:val="none" w:sz="0" w:space="0" w:color="auto"/>
                <w:right w:val="none" w:sz="0" w:space="0" w:color="auto"/>
              </w:divBdr>
              <w:divsChild>
                <w:div w:id="2305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5418">
      <w:bodyDiv w:val="1"/>
      <w:marLeft w:val="0"/>
      <w:marRight w:val="0"/>
      <w:marTop w:val="0"/>
      <w:marBottom w:val="0"/>
      <w:divBdr>
        <w:top w:val="none" w:sz="0" w:space="0" w:color="auto"/>
        <w:left w:val="none" w:sz="0" w:space="0" w:color="auto"/>
        <w:bottom w:val="none" w:sz="0" w:space="0" w:color="auto"/>
        <w:right w:val="none" w:sz="0" w:space="0" w:color="auto"/>
      </w:divBdr>
      <w:divsChild>
        <w:div w:id="2107966606">
          <w:marLeft w:val="0"/>
          <w:marRight w:val="0"/>
          <w:marTop w:val="0"/>
          <w:marBottom w:val="0"/>
          <w:divBdr>
            <w:top w:val="none" w:sz="0" w:space="0" w:color="auto"/>
            <w:left w:val="none" w:sz="0" w:space="0" w:color="auto"/>
            <w:bottom w:val="none" w:sz="0" w:space="0" w:color="auto"/>
            <w:right w:val="none" w:sz="0" w:space="0" w:color="auto"/>
          </w:divBdr>
          <w:divsChild>
            <w:div w:id="1034890013">
              <w:marLeft w:val="0"/>
              <w:marRight w:val="0"/>
              <w:marTop w:val="0"/>
              <w:marBottom w:val="0"/>
              <w:divBdr>
                <w:top w:val="none" w:sz="0" w:space="0" w:color="auto"/>
                <w:left w:val="none" w:sz="0" w:space="0" w:color="auto"/>
                <w:bottom w:val="none" w:sz="0" w:space="0" w:color="auto"/>
                <w:right w:val="none" w:sz="0" w:space="0" w:color="auto"/>
              </w:divBdr>
              <w:divsChild>
                <w:div w:id="11754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858">
      <w:bodyDiv w:val="1"/>
      <w:marLeft w:val="0"/>
      <w:marRight w:val="0"/>
      <w:marTop w:val="0"/>
      <w:marBottom w:val="0"/>
      <w:divBdr>
        <w:top w:val="none" w:sz="0" w:space="0" w:color="auto"/>
        <w:left w:val="none" w:sz="0" w:space="0" w:color="auto"/>
        <w:bottom w:val="none" w:sz="0" w:space="0" w:color="auto"/>
        <w:right w:val="none" w:sz="0" w:space="0" w:color="auto"/>
      </w:divBdr>
      <w:divsChild>
        <w:div w:id="531724425">
          <w:marLeft w:val="0"/>
          <w:marRight w:val="0"/>
          <w:marTop w:val="0"/>
          <w:marBottom w:val="0"/>
          <w:divBdr>
            <w:top w:val="none" w:sz="0" w:space="0" w:color="auto"/>
            <w:left w:val="none" w:sz="0" w:space="0" w:color="auto"/>
            <w:bottom w:val="none" w:sz="0" w:space="0" w:color="auto"/>
            <w:right w:val="none" w:sz="0" w:space="0" w:color="auto"/>
          </w:divBdr>
          <w:divsChild>
            <w:div w:id="1153066759">
              <w:marLeft w:val="0"/>
              <w:marRight w:val="0"/>
              <w:marTop w:val="0"/>
              <w:marBottom w:val="0"/>
              <w:divBdr>
                <w:top w:val="none" w:sz="0" w:space="0" w:color="auto"/>
                <w:left w:val="none" w:sz="0" w:space="0" w:color="auto"/>
                <w:bottom w:val="none" w:sz="0" w:space="0" w:color="auto"/>
                <w:right w:val="none" w:sz="0" w:space="0" w:color="auto"/>
              </w:divBdr>
              <w:divsChild>
                <w:div w:id="7133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9584">
      <w:bodyDiv w:val="1"/>
      <w:marLeft w:val="0"/>
      <w:marRight w:val="0"/>
      <w:marTop w:val="0"/>
      <w:marBottom w:val="0"/>
      <w:divBdr>
        <w:top w:val="none" w:sz="0" w:space="0" w:color="auto"/>
        <w:left w:val="none" w:sz="0" w:space="0" w:color="auto"/>
        <w:bottom w:val="none" w:sz="0" w:space="0" w:color="auto"/>
        <w:right w:val="none" w:sz="0" w:space="0" w:color="auto"/>
      </w:divBdr>
      <w:divsChild>
        <w:div w:id="1577933052">
          <w:marLeft w:val="0"/>
          <w:marRight w:val="0"/>
          <w:marTop w:val="0"/>
          <w:marBottom w:val="0"/>
          <w:divBdr>
            <w:top w:val="none" w:sz="0" w:space="0" w:color="auto"/>
            <w:left w:val="none" w:sz="0" w:space="0" w:color="auto"/>
            <w:bottom w:val="none" w:sz="0" w:space="0" w:color="auto"/>
            <w:right w:val="none" w:sz="0" w:space="0" w:color="auto"/>
          </w:divBdr>
          <w:divsChild>
            <w:div w:id="986276990">
              <w:marLeft w:val="0"/>
              <w:marRight w:val="0"/>
              <w:marTop w:val="0"/>
              <w:marBottom w:val="0"/>
              <w:divBdr>
                <w:top w:val="none" w:sz="0" w:space="0" w:color="auto"/>
                <w:left w:val="none" w:sz="0" w:space="0" w:color="auto"/>
                <w:bottom w:val="none" w:sz="0" w:space="0" w:color="auto"/>
                <w:right w:val="none" w:sz="0" w:space="0" w:color="auto"/>
              </w:divBdr>
              <w:divsChild>
                <w:div w:id="17104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0176">
      <w:bodyDiv w:val="1"/>
      <w:marLeft w:val="0"/>
      <w:marRight w:val="0"/>
      <w:marTop w:val="0"/>
      <w:marBottom w:val="0"/>
      <w:divBdr>
        <w:top w:val="none" w:sz="0" w:space="0" w:color="auto"/>
        <w:left w:val="none" w:sz="0" w:space="0" w:color="auto"/>
        <w:bottom w:val="none" w:sz="0" w:space="0" w:color="auto"/>
        <w:right w:val="none" w:sz="0" w:space="0" w:color="auto"/>
      </w:divBdr>
      <w:divsChild>
        <w:div w:id="1100644226">
          <w:marLeft w:val="0"/>
          <w:marRight w:val="0"/>
          <w:marTop w:val="0"/>
          <w:marBottom w:val="0"/>
          <w:divBdr>
            <w:top w:val="none" w:sz="0" w:space="0" w:color="auto"/>
            <w:left w:val="none" w:sz="0" w:space="0" w:color="auto"/>
            <w:bottom w:val="none" w:sz="0" w:space="0" w:color="auto"/>
            <w:right w:val="none" w:sz="0" w:space="0" w:color="auto"/>
          </w:divBdr>
          <w:divsChild>
            <w:div w:id="128518296">
              <w:marLeft w:val="0"/>
              <w:marRight w:val="0"/>
              <w:marTop w:val="0"/>
              <w:marBottom w:val="0"/>
              <w:divBdr>
                <w:top w:val="none" w:sz="0" w:space="0" w:color="auto"/>
                <w:left w:val="none" w:sz="0" w:space="0" w:color="auto"/>
                <w:bottom w:val="none" w:sz="0" w:space="0" w:color="auto"/>
                <w:right w:val="none" w:sz="0" w:space="0" w:color="auto"/>
              </w:divBdr>
              <w:divsChild>
                <w:div w:id="1381588962">
                  <w:marLeft w:val="0"/>
                  <w:marRight w:val="0"/>
                  <w:marTop w:val="0"/>
                  <w:marBottom w:val="0"/>
                  <w:divBdr>
                    <w:top w:val="none" w:sz="0" w:space="0" w:color="auto"/>
                    <w:left w:val="none" w:sz="0" w:space="0" w:color="auto"/>
                    <w:bottom w:val="none" w:sz="0" w:space="0" w:color="auto"/>
                    <w:right w:val="none" w:sz="0" w:space="0" w:color="auto"/>
                  </w:divBdr>
                  <w:divsChild>
                    <w:div w:id="720637708">
                      <w:marLeft w:val="0"/>
                      <w:marRight w:val="0"/>
                      <w:marTop w:val="0"/>
                      <w:marBottom w:val="0"/>
                      <w:divBdr>
                        <w:top w:val="none" w:sz="0" w:space="0" w:color="auto"/>
                        <w:left w:val="none" w:sz="0" w:space="0" w:color="auto"/>
                        <w:bottom w:val="none" w:sz="0" w:space="0" w:color="auto"/>
                        <w:right w:val="none" w:sz="0" w:space="0" w:color="auto"/>
                      </w:divBdr>
                      <w:divsChild>
                        <w:div w:id="1756587953">
                          <w:marLeft w:val="0"/>
                          <w:marRight w:val="0"/>
                          <w:marTop w:val="0"/>
                          <w:marBottom w:val="0"/>
                          <w:divBdr>
                            <w:top w:val="none" w:sz="0" w:space="0" w:color="auto"/>
                            <w:left w:val="none" w:sz="0" w:space="0" w:color="auto"/>
                            <w:bottom w:val="none" w:sz="0" w:space="0" w:color="auto"/>
                            <w:right w:val="none" w:sz="0" w:space="0" w:color="auto"/>
                          </w:divBdr>
                          <w:divsChild>
                            <w:div w:id="931355220">
                              <w:marLeft w:val="0"/>
                              <w:marRight w:val="0"/>
                              <w:marTop w:val="0"/>
                              <w:marBottom w:val="0"/>
                              <w:divBdr>
                                <w:top w:val="none" w:sz="0" w:space="0" w:color="auto"/>
                                <w:left w:val="none" w:sz="0" w:space="0" w:color="auto"/>
                                <w:bottom w:val="none" w:sz="0" w:space="0" w:color="auto"/>
                                <w:right w:val="none" w:sz="0" w:space="0" w:color="auto"/>
                              </w:divBdr>
                              <w:divsChild>
                                <w:div w:id="1184394205">
                                  <w:marLeft w:val="0"/>
                                  <w:marRight w:val="0"/>
                                  <w:marTop w:val="0"/>
                                  <w:marBottom w:val="0"/>
                                  <w:divBdr>
                                    <w:top w:val="none" w:sz="0" w:space="0" w:color="auto"/>
                                    <w:left w:val="none" w:sz="0" w:space="0" w:color="auto"/>
                                    <w:bottom w:val="none" w:sz="0" w:space="0" w:color="auto"/>
                                    <w:right w:val="none" w:sz="0" w:space="0" w:color="auto"/>
                                  </w:divBdr>
                                  <w:divsChild>
                                    <w:div w:id="1871259426">
                                      <w:marLeft w:val="0"/>
                                      <w:marRight w:val="0"/>
                                      <w:marTop w:val="0"/>
                                      <w:marBottom w:val="0"/>
                                      <w:divBdr>
                                        <w:top w:val="none" w:sz="0" w:space="0" w:color="auto"/>
                                        <w:left w:val="none" w:sz="0" w:space="0" w:color="auto"/>
                                        <w:bottom w:val="none" w:sz="0" w:space="0" w:color="auto"/>
                                        <w:right w:val="none" w:sz="0" w:space="0" w:color="auto"/>
                                      </w:divBdr>
                                      <w:divsChild>
                                        <w:div w:id="1562013810">
                                          <w:marLeft w:val="0"/>
                                          <w:marRight w:val="0"/>
                                          <w:marTop w:val="0"/>
                                          <w:marBottom w:val="0"/>
                                          <w:divBdr>
                                            <w:top w:val="none" w:sz="0" w:space="0" w:color="auto"/>
                                            <w:left w:val="none" w:sz="0" w:space="0" w:color="auto"/>
                                            <w:bottom w:val="none" w:sz="0" w:space="0" w:color="auto"/>
                                            <w:right w:val="none" w:sz="0" w:space="0" w:color="auto"/>
                                          </w:divBdr>
                                          <w:divsChild>
                                            <w:div w:id="400562270">
                                              <w:marLeft w:val="0"/>
                                              <w:marRight w:val="0"/>
                                              <w:marTop w:val="0"/>
                                              <w:marBottom w:val="0"/>
                                              <w:divBdr>
                                                <w:top w:val="none" w:sz="0" w:space="0" w:color="auto"/>
                                                <w:left w:val="none" w:sz="0" w:space="0" w:color="auto"/>
                                                <w:bottom w:val="none" w:sz="0" w:space="0" w:color="auto"/>
                                                <w:right w:val="none" w:sz="0" w:space="0" w:color="auto"/>
                                              </w:divBdr>
                                              <w:divsChild>
                                                <w:div w:id="306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991569">
      <w:bodyDiv w:val="1"/>
      <w:marLeft w:val="0"/>
      <w:marRight w:val="0"/>
      <w:marTop w:val="0"/>
      <w:marBottom w:val="0"/>
      <w:divBdr>
        <w:top w:val="none" w:sz="0" w:space="0" w:color="auto"/>
        <w:left w:val="none" w:sz="0" w:space="0" w:color="auto"/>
        <w:bottom w:val="none" w:sz="0" w:space="0" w:color="auto"/>
        <w:right w:val="none" w:sz="0" w:space="0" w:color="auto"/>
      </w:divBdr>
      <w:divsChild>
        <w:div w:id="1003900005">
          <w:marLeft w:val="0"/>
          <w:marRight w:val="0"/>
          <w:marTop w:val="0"/>
          <w:marBottom w:val="0"/>
          <w:divBdr>
            <w:top w:val="none" w:sz="0" w:space="0" w:color="auto"/>
            <w:left w:val="none" w:sz="0" w:space="0" w:color="auto"/>
            <w:bottom w:val="none" w:sz="0" w:space="0" w:color="auto"/>
            <w:right w:val="none" w:sz="0" w:space="0" w:color="auto"/>
          </w:divBdr>
          <w:divsChild>
            <w:div w:id="79720277">
              <w:marLeft w:val="0"/>
              <w:marRight w:val="0"/>
              <w:marTop w:val="0"/>
              <w:marBottom w:val="0"/>
              <w:divBdr>
                <w:top w:val="none" w:sz="0" w:space="0" w:color="auto"/>
                <w:left w:val="none" w:sz="0" w:space="0" w:color="auto"/>
                <w:bottom w:val="none" w:sz="0" w:space="0" w:color="auto"/>
                <w:right w:val="none" w:sz="0" w:space="0" w:color="auto"/>
              </w:divBdr>
              <w:divsChild>
                <w:div w:id="12054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9925">
      <w:bodyDiv w:val="1"/>
      <w:marLeft w:val="0"/>
      <w:marRight w:val="0"/>
      <w:marTop w:val="0"/>
      <w:marBottom w:val="0"/>
      <w:divBdr>
        <w:top w:val="none" w:sz="0" w:space="0" w:color="auto"/>
        <w:left w:val="none" w:sz="0" w:space="0" w:color="auto"/>
        <w:bottom w:val="none" w:sz="0" w:space="0" w:color="auto"/>
        <w:right w:val="none" w:sz="0" w:space="0" w:color="auto"/>
      </w:divBdr>
      <w:divsChild>
        <w:div w:id="1976255001">
          <w:marLeft w:val="0"/>
          <w:marRight w:val="0"/>
          <w:marTop w:val="0"/>
          <w:marBottom w:val="0"/>
          <w:divBdr>
            <w:top w:val="none" w:sz="0" w:space="0" w:color="auto"/>
            <w:left w:val="none" w:sz="0" w:space="0" w:color="auto"/>
            <w:bottom w:val="none" w:sz="0" w:space="0" w:color="auto"/>
            <w:right w:val="none" w:sz="0" w:space="0" w:color="auto"/>
          </w:divBdr>
          <w:divsChild>
            <w:div w:id="1418594905">
              <w:marLeft w:val="0"/>
              <w:marRight w:val="0"/>
              <w:marTop w:val="0"/>
              <w:marBottom w:val="0"/>
              <w:divBdr>
                <w:top w:val="none" w:sz="0" w:space="0" w:color="auto"/>
                <w:left w:val="none" w:sz="0" w:space="0" w:color="auto"/>
                <w:bottom w:val="none" w:sz="0" w:space="0" w:color="auto"/>
                <w:right w:val="none" w:sz="0" w:space="0" w:color="auto"/>
              </w:divBdr>
              <w:divsChild>
                <w:div w:id="7027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3803">
      <w:bodyDiv w:val="1"/>
      <w:marLeft w:val="0"/>
      <w:marRight w:val="0"/>
      <w:marTop w:val="0"/>
      <w:marBottom w:val="0"/>
      <w:divBdr>
        <w:top w:val="none" w:sz="0" w:space="0" w:color="auto"/>
        <w:left w:val="none" w:sz="0" w:space="0" w:color="auto"/>
        <w:bottom w:val="none" w:sz="0" w:space="0" w:color="auto"/>
        <w:right w:val="none" w:sz="0" w:space="0" w:color="auto"/>
      </w:divBdr>
      <w:divsChild>
        <w:div w:id="910038901">
          <w:marLeft w:val="0"/>
          <w:marRight w:val="0"/>
          <w:marTop w:val="0"/>
          <w:marBottom w:val="0"/>
          <w:divBdr>
            <w:top w:val="none" w:sz="0" w:space="0" w:color="auto"/>
            <w:left w:val="none" w:sz="0" w:space="0" w:color="auto"/>
            <w:bottom w:val="none" w:sz="0" w:space="0" w:color="auto"/>
            <w:right w:val="none" w:sz="0" w:space="0" w:color="auto"/>
          </w:divBdr>
          <w:divsChild>
            <w:div w:id="1618441259">
              <w:marLeft w:val="0"/>
              <w:marRight w:val="0"/>
              <w:marTop w:val="0"/>
              <w:marBottom w:val="0"/>
              <w:divBdr>
                <w:top w:val="none" w:sz="0" w:space="0" w:color="auto"/>
                <w:left w:val="none" w:sz="0" w:space="0" w:color="auto"/>
                <w:bottom w:val="none" w:sz="0" w:space="0" w:color="auto"/>
                <w:right w:val="none" w:sz="0" w:space="0" w:color="auto"/>
              </w:divBdr>
              <w:divsChild>
                <w:div w:id="8943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4988">
      <w:bodyDiv w:val="1"/>
      <w:marLeft w:val="0"/>
      <w:marRight w:val="0"/>
      <w:marTop w:val="0"/>
      <w:marBottom w:val="0"/>
      <w:divBdr>
        <w:top w:val="none" w:sz="0" w:space="0" w:color="auto"/>
        <w:left w:val="none" w:sz="0" w:space="0" w:color="auto"/>
        <w:bottom w:val="none" w:sz="0" w:space="0" w:color="auto"/>
        <w:right w:val="none" w:sz="0" w:space="0" w:color="auto"/>
      </w:divBdr>
      <w:divsChild>
        <w:div w:id="1403411775">
          <w:marLeft w:val="0"/>
          <w:marRight w:val="0"/>
          <w:marTop w:val="0"/>
          <w:marBottom w:val="0"/>
          <w:divBdr>
            <w:top w:val="none" w:sz="0" w:space="0" w:color="auto"/>
            <w:left w:val="none" w:sz="0" w:space="0" w:color="auto"/>
            <w:bottom w:val="none" w:sz="0" w:space="0" w:color="auto"/>
            <w:right w:val="none" w:sz="0" w:space="0" w:color="auto"/>
          </w:divBdr>
          <w:divsChild>
            <w:div w:id="412164197">
              <w:marLeft w:val="0"/>
              <w:marRight w:val="0"/>
              <w:marTop w:val="0"/>
              <w:marBottom w:val="0"/>
              <w:divBdr>
                <w:top w:val="none" w:sz="0" w:space="0" w:color="auto"/>
                <w:left w:val="none" w:sz="0" w:space="0" w:color="auto"/>
                <w:bottom w:val="none" w:sz="0" w:space="0" w:color="auto"/>
                <w:right w:val="none" w:sz="0" w:space="0" w:color="auto"/>
              </w:divBdr>
              <w:divsChild>
                <w:div w:id="10357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1466">
      <w:bodyDiv w:val="1"/>
      <w:marLeft w:val="0"/>
      <w:marRight w:val="0"/>
      <w:marTop w:val="0"/>
      <w:marBottom w:val="0"/>
      <w:divBdr>
        <w:top w:val="none" w:sz="0" w:space="0" w:color="auto"/>
        <w:left w:val="none" w:sz="0" w:space="0" w:color="auto"/>
        <w:bottom w:val="none" w:sz="0" w:space="0" w:color="auto"/>
        <w:right w:val="none" w:sz="0" w:space="0" w:color="auto"/>
      </w:divBdr>
      <w:divsChild>
        <w:div w:id="1823964909">
          <w:marLeft w:val="0"/>
          <w:marRight w:val="0"/>
          <w:marTop w:val="0"/>
          <w:marBottom w:val="0"/>
          <w:divBdr>
            <w:top w:val="none" w:sz="0" w:space="0" w:color="auto"/>
            <w:left w:val="none" w:sz="0" w:space="0" w:color="auto"/>
            <w:bottom w:val="none" w:sz="0" w:space="0" w:color="auto"/>
            <w:right w:val="none" w:sz="0" w:space="0" w:color="auto"/>
          </w:divBdr>
          <w:divsChild>
            <w:div w:id="455611019">
              <w:marLeft w:val="0"/>
              <w:marRight w:val="0"/>
              <w:marTop w:val="0"/>
              <w:marBottom w:val="0"/>
              <w:divBdr>
                <w:top w:val="none" w:sz="0" w:space="0" w:color="auto"/>
                <w:left w:val="none" w:sz="0" w:space="0" w:color="auto"/>
                <w:bottom w:val="none" w:sz="0" w:space="0" w:color="auto"/>
                <w:right w:val="none" w:sz="0" w:space="0" w:color="auto"/>
              </w:divBdr>
              <w:divsChild>
                <w:div w:id="9779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6877">
      <w:bodyDiv w:val="1"/>
      <w:marLeft w:val="0"/>
      <w:marRight w:val="0"/>
      <w:marTop w:val="0"/>
      <w:marBottom w:val="0"/>
      <w:divBdr>
        <w:top w:val="none" w:sz="0" w:space="0" w:color="auto"/>
        <w:left w:val="none" w:sz="0" w:space="0" w:color="auto"/>
        <w:bottom w:val="none" w:sz="0" w:space="0" w:color="auto"/>
        <w:right w:val="none" w:sz="0" w:space="0" w:color="auto"/>
      </w:divBdr>
      <w:divsChild>
        <w:div w:id="658273208">
          <w:marLeft w:val="0"/>
          <w:marRight w:val="0"/>
          <w:marTop w:val="0"/>
          <w:marBottom w:val="0"/>
          <w:divBdr>
            <w:top w:val="none" w:sz="0" w:space="0" w:color="auto"/>
            <w:left w:val="none" w:sz="0" w:space="0" w:color="auto"/>
            <w:bottom w:val="none" w:sz="0" w:space="0" w:color="auto"/>
            <w:right w:val="none" w:sz="0" w:space="0" w:color="auto"/>
          </w:divBdr>
          <w:divsChild>
            <w:div w:id="423577236">
              <w:marLeft w:val="0"/>
              <w:marRight w:val="0"/>
              <w:marTop w:val="0"/>
              <w:marBottom w:val="0"/>
              <w:divBdr>
                <w:top w:val="none" w:sz="0" w:space="0" w:color="auto"/>
                <w:left w:val="none" w:sz="0" w:space="0" w:color="auto"/>
                <w:bottom w:val="none" w:sz="0" w:space="0" w:color="auto"/>
                <w:right w:val="none" w:sz="0" w:space="0" w:color="auto"/>
              </w:divBdr>
              <w:divsChild>
                <w:div w:id="13077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2729">
      <w:bodyDiv w:val="1"/>
      <w:marLeft w:val="0"/>
      <w:marRight w:val="0"/>
      <w:marTop w:val="0"/>
      <w:marBottom w:val="0"/>
      <w:divBdr>
        <w:top w:val="none" w:sz="0" w:space="0" w:color="auto"/>
        <w:left w:val="none" w:sz="0" w:space="0" w:color="auto"/>
        <w:bottom w:val="none" w:sz="0" w:space="0" w:color="auto"/>
        <w:right w:val="none" w:sz="0" w:space="0" w:color="auto"/>
      </w:divBdr>
      <w:divsChild>
        <w:div w:id="861741759">
          <w:marLeft w:val="0"/>
          <w:marRight w:val="0"/>
          <w:marTop w:val="0"/>
          <w:marBottom w:val="0"/>
          <w:divBdr>
            <w:top w:val="none" w:sz="0" w:space="0" w:color="auto"/>
            <w:left w:val="none" w:sz="0" w:space="0" w:color="auto"/>
            <w:bottom w:val="none" w:sz="0" w:space="0" w:color="auto"/>
            <w:right w:val="none" w:sz="0" w:space="0" w:color="auto"/>
          </w:divBdr>
          <w:divsChild>
            <w:div w:id="1270508256">
              <w:marLeft w:val="0"/>
              <w:marRight w:val="0"/>
              <w:marTop w:val="0"/>
              <w:marBottom w:val="0"/>
              <w:divBdr>
                <w:top w:val="none" w:sz="0" w:space="0" w:color="auto"/>
                <w:left w:val="none" w:sz="0" w:space="0" w:color="auto"/>
                <w:bottom w:val="none" w:sz="0" w:space="0" w:color="auto"/>
                <w:right w:val="none" w:sz="0" w:space="0" w:color="auto"/>
              </w:divBdr>
              <w:divsChild>
                <w:div w:id="2385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E08E3-EE5E-49EA-9419-65BA5A36484A}">
  <ds:schemaRefs>
    <ds:schemaRef ds:uri="http://schemas.openxmlformats.org/officeDocument/2006/bibliography"/>
  </ds:schemaRefs>
</ds:datastoreItem>
</file>

<file path=customXml/itemProps2.xml><?xml version="1.0" encoding="utf-8"?>
<ds:datastoreItem xmlns:ds="http://schemas.openxmlformats.org/officeDocument/2006/customXml" ds:itemID="{86A035A6-EF14-418C-BA25-E1DDFB3F3383}"/>
</file>

<file path=customXml/itemProps3.xml><?xml version="1.0" encoding="utf-8"?>
<ds:datastoreItem xmlns:ds="http://schemas.openxmlformats.org/officeDocument/2006/customXml" ds:itemID="{B42486A2-FFAD-4937-951E-0281320E21E2}"/>
</file>

<file path=customXml/itemProps4.xml><?xml version="1.0" encoding="utf-8"?>
<ds:datastoreItem xmlns:ds="http://schemas.openxmlformats.org/officeDocument/2006/customXml" ds:itemID="{D4CD2092-3B5E-4C74-9629-A6895E4B2E1F}"/>
</file>

<file path=docProps/app.xml><?xml version="1.0" encoding="utf-8"?>
<Properties xmlns="http://schemas.openxmlformats.org/officeDocument/2006/extended-properties" xmlns:vt="http://schemas.openxmlformats.org/officeDocument/2006/docPropsVTypes">
  <Template>Normal.dotm</Template>
  <TotalTime>5</TotalTime>
  <Pages>9</Pages>
  <Words>2675</Words>
  <Characters>14715</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Secretaría de Relaciones Exteriores</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jjuarezg@sre.gob.mx</dc:creator>
  <cp:lastModifiedBy>ddhh2</cp:lastModifiedBy>
  <cp:revision>3</cp:revision>
  <cp:lastPrinted>2014-02-13T16:14:00Z</cp:lastPrinted>
  <dcterms:created xsi:type="dcterms:W3CDTF">2022-01-04T10:49:00Z</dcterms:created>
  <dcterms:modified xsi:type="dcterms:W3CDTF">2022-01-04T10:53:00Z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