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2F2A5" w14:textId="465F35D2" w:rsidR="00CC4F78" w:rsidRDefault="00CC4F78" w:rsidP="00CC4F78">
      <w:pPr>
        <w:jc w:val="right"/>
        <w:rPr>
          <w:rFonts w:cstheme="minorHAnsi"/>
          <w:b/>
          <w:lang w:val="en-GB"/>
        </w:rPr>
      </w:pPr>
      <w:r w:rsidRPr="00CC4F78">
        <w:rPr>
          <w:rFonts w:cstheme="minorHAnsi"/>
          <w:b/>
          <w:noProof/>
          <w:lang w:eastAsia="de-DE"/>
        </w:rPr>
        <w:drawing>
          <wp:inline distT="0" distB="0" distL="0" distR="0" wp14:anchorId="3BA47E9B" wp14:editId="044E2E9F">
            <wp:extent cx="1647825" cy="809625"/>
            <wp:effectExtent l="0" t="0" r="9525" b="9525"/>
            <wp:docPr id="1" name="Grafik 1" descr="C:\Users\user\Desktop\Aktuell\Logo Heinrich Böll 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ktuell\Logo Heinrich Böll Found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9DD3B" w14:textId="77777777" w:rsidR="00CC4F78" w:rsidRDefault="00CC4F78" w:rsidP="00423BA9">
      <w:pPr>
        <w:jc w:val="both"/>
        <w:rPr>
          <w:rFonts w:cstheme="minorHAnsi"/>
          <w:b/>
          <w:lang w:val="en-GB"/>
        </w:rPr>
      </w:pPr>
    </w:p>
    <w:p w14:paraId="489440C4" w14:textId="4FA36581" w:rsidR="00C6748D" w:rsidRPr="00324980" w:rsidRDefault="00006AE4" w:rsidP="00423BA9">
      <w:pPr>
        <w:jc w:val="both"/>
        <w:rPr>
          <w:rFonts w:cstheme="minorHAnsi"/>
          <w:b/>
          <w:lang w:val="en-GB"/>
        </w:rPr>
      </w:pPr>
      <w:r w:rsidRPr="00324980">
        <w:rPr>
          <w:rFonts w:cstheme="minorHAnsi"/>
          <w:b/>
          <w:lang w:val="en-GB"/>
        </w:rPr>
        <w:t>Statement – Heinrich Böll Foundation</w:t>
      </w:r>
    </w:p>
    <w:p w14:paraId="7A858208" w14:textId="77777777" w:rsidR="00C6748D" w:rsidRDefault="00006AE4" w:rsidP="00423BA9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27th session of the Human Rights Council Advisory Committee</w:t>
      </w:r>
    </w:p>
    <w:p w14:paraId="6EDA5D25" w14:textId="77777777" w:rsidR="00C6748D" w:rsidRDefault="00006AE4" w:rsidP="00423BA9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US"/>
        </w:rPr>
        <w:t xml:space="preserve">For the Session </w:t>
      </w:r>
      <w:r>
        <w:rPr>
          <w:rFonts w:cstheme="minorHAnsi"/>
          <w:b/>
          <w:lang w:val="en-GB"/>
        </w:rPr>
        <w:t>“Impact of new technologies for climate protection (21 February 2022)</w:t>
      </w:r>
    </w:p>
    <w:p w14:paraId="4A34588A" w14:textId="77777777" w:rsidR="00C6748D" w:rsidRDefault="00C6748D" w:rsidP="00423BA9">
      <w:pPr>
        <w:jc w:val="both"/>
        <w:rPr>
          <w:rFonts w:cstheme="minorHAnsi"/>
          <w:lang w:val="en-GB"/>
        </w:rPr>
      </w:pPr>
    </w:p>
    <w:p w14:paraId="553588F6" w14:textId="7BE369BE" w:rsidR="00C6748D" w:rsidRDefault="00006AE4" w:rsidP="00423BA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Good afternoon</w:t>
      </w:r>
      <w:r w:rsidR="004970DB">
        <w:rPr>
          <w:rFonts w:cstheme="minorHAnsi"/>
          <w:lang w:val="en-GB"/>
        </w:rPr>
        <w:t>,</w:t>
      </w:r>
      <w:r w:rsidR="007F6ED3">
        <w:rPr>
          <w:rFonts w:cstheme="minorHAnsi"/>
          <w:lang w:val="en-GB"/>
        </w:rPr>
        <w:t xml:space="preserve"> </w:t>
      </w:r>
      <w:proofErr w:type="spellStart"/>
      <w:proofErr w:type="gramStart"/>
      <w:r w:rsidR="007F6ED3">
        <w:rPr>
          <w:rFonts w:cstheme="minorHAnsi"/>
          <w:lang w:val="en-GB"/>
        </w:rPr>
        <w:t>excellencies</w:t>
      </w:r>
      <w:proofErr w:type="spellEnd"/>
      <w:proofErr w:type="gramEnd"/>
      <w:r>
        <w:rPr>
          <w:rFonts w:cstheme="minorHAnsi"/>
          <w:lang w:val="en-GB"/>
        </w:rPr>
        <w:t>, ladies and gentlemen. Thank you for the opportunity to speak at this session</w:t>
      </w:r>
      <w:r w:rsidR="004970DB">
        <w:rPr>
          <w:rFonts w:cstheme="minorHAnsi"/>
          <w:lang w:val="en-GB"/>
        </w:rPr>
        <w:t>.</w:t>
      </w:r>
    </w:p>
    <w:p w14:paraId="41176567" w14:textId="2FCAE799" w:rsidR="00324980" w:rsidRDefault="00324980" w:rsidP="00423BA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Geoengineering approaches</w:t>
      </w:r>
      <w:r w:rsidR="00006AE4" w:rsidRPr="00324980">
        <w:rPr>
          <w:rFonts w:cstheme="minorHAnsi"/>
          <w:lang w:val="en-GB"/>
        </w:rPr>
        <w:t xml:space="preserve"> carry a risk of very serious impacts on humans and ecosystems</w:t>
      </w:r>
      <w:r w:rsidR="00AC606A">
        <w:rPr>
          <w:rFonts w:cstheme="minorHAnsi"/>
          <w:lang w:val="en-GB"/>
        </w:rPr>
        <w:t xml:space="preserve">. Rather than </w:t>
      </w:r>
      <w:r w:rsidR="004970DB">
        <w:rPr>
          <w:rFonts w:cstheme="minorHAnsi"/>
          <w:lang w:val="en-GB"/>
        </w:rPr>
        <w:t xml:space="preserve">addressing </w:t>
      </w:r>
      <w:r w:rsidR="004970DB" w:rsidRPr="00324980">
        <w:rPr>
          <w:rFonts w:cstheme="minorHAnsi"/>
          <w:lang w:val="en-GB"/>
        </w:rPr>
        <w:t>the</w:t>
      </w:r>
      <w:r w:rsidR="00006AE4" w:rsidRPr="00324980">
        <w:rPr>
          <w:rFonts w:cstheme="minorHAnsi"/>
          <w:lang w:val="en-GB"/>
        </w:rPr>
        <w:t xml:space="preserve"> climate crisis</w:t>
      </w:r>
      <w:r w:rsidR="00AC606A">
        <w:rPr>
          <w:rFonts w:cstheme="minorHAnsi"/>
          <w:lang w:val="en-GB"/>
        </w:rPr>
        <w:t>, they could exacerbate it</w:t>
      </w:r>
      <w:r w:rsidR="00FB0788">
        <w:rPr>
          <w:rFonts w:cstheme="minorHAnsi"/>
          <w:lang w:val="en-GB"/>
        </w:rPr>
        <w:t>. They could</w:t>
      </w:r>
      <w:r w:rsidR="00AC606A">
        <w:rPr>
          <w:rFonts w:cstheme="minorHAnsi"/>
          <w:lang w:val="en-GB"/>
        </w:rPr>
        <w:t xml:space="preserve"> lead to further</w:t>
      </w:r>
      <w:r w:rsidR="00006AE4" w:rsidRPr="00324980">
        <w:rPr>
          <w:rFonts w:cstheme="minorHAnsi"/>
          <w:lang w:val="en-GB"/>
        </w:rPr>
        <w:t xml:space="preserve"> biodiversity loss</w:t>
      </w:r>
      <w:r w:rsidR="0044646F">
        <w:rPr>
          <w:rFonts w:cstheme="minorHAnsi"/>
          <w:lang w:val="en-GB"/>
        </w:rPr>
        <w:t xml:space="preserve"> and</w:t>
      </w:r>
      <w:r w:rsidR="00006AE4" w:rsidRPr="00324980">
        <w:rPr>
          <w:rFonts w:cstheme="minorHAnsi"/>
          <w:lang w:val="en-GB"/>
        </w:rPr>
        <w:t xml:space="preserve"> ecosystem destruction</w:t>
      </w:r>
      <w:r w:rsidR="00FB0788">
        <w:rPr>
          <w:rFonts w:cstheme="minorHAnsi"/>
          <w:lang w:val="en-GB"/>
        </w:rPr>
        <w:t xml:space="preserve">, </w:t>
      </w:r>
      <w:r w:rsidR="00EB2086">
        <w:rPr>
          <w:rFonts w:cstheme="minorHAnsi"/>
          <w:lang w:val="en-GB"/>
        </w:rPr>
        <w:t>undermine food security</w:t>
      </w:r>
      <w:r w:rsidR="00FB0788">
        <w:rPr>
          <w:rFonts w:cstheme="minorHAnsi"/>
          <w:lang w:val="en-GB"/>
        </w:rPr>
        <w:t xml:space="preserve"> and </w:t>
      </w:r>
      <w:r w:rsidR="0044646F">
        <w:rPr>
          <w:rFonts w:cstheme="minorHAnsi"/>
          <w:lang w:val="en-GB"/>
        </w:rPr>
        <w:t xml:space="preserve">perpetuate </w:t>
      </w:r>
      <w:r w:rsidR="00006AE4" w:rsidRPr="00324980">
        <w:rPr>
          <w:rFonts w:cstheme="minorHAnsi"/>
          <w:lang w:val="en-GB"/>
        </w:rPr>
        <w:t>global inequalities</w:t>
      </w:r>
      <w:r w:rsidR="00FB0788">
        <w:rPr>
          <w:rFonts w:cstheme="minorHAnsi"/>
          <w:lang w:val="en-GB"/>
        </w:rPr>
        <w:t>.</w:t>
      </w:r>
      <w:r w:rsidR="00BA14DD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Some technologies </w:t>
      </w:r>
      <w:proofErr w:type="gramStart"/>
      <w:r>
        <w:rPr>
          <w:rFonts w:cstheme="minorHAnsi"/>
          <w:lang w:val="en-GB"/>
        </w:rPr>
        <w:t>can be weaponized</w:t>
      </w:r>
      <w:proofErr w:type="gramEnd"/>
      <w:r>
        <w:rPr>
          <w:rFonts w:cstheme="minorHAnsi"/>
          <w:lang w:val="en-GB"/>
        </w:rPr>
        <w:t>, and their development would risk further entrenching geopolitical tensions and undermin</w:t>
      </w:r>
      <w:r w:rsidR="0044646F">
        <w:rPr>
          <w:rFonts w:cstheme="minorHAnsi"/>
          <w:lang w:val="en-GB"/>
        </w:rPr>
        <w:t>ing</w:t>
      </w:r>
      <w:r>
        <w:rPr>
          <w:rFonts w:cstheme="minorHAnsi"/>
          <w:lang w:val="en-GB"/>
        </w:rPr>
        <w:t xml:space="preserve"> peace</w:t>
      </w:r>
      <w:r w:rsidR="00A82A09">
        <w:rPr>
          <w:rFonts w:cstheme="minorHAnsi"/>
          <w:lang w:val="en-GB"/>
        </w:rPr>
        <w:t xml:space="preserve"> and democracy.</w:t>
      </w:r>
    </w:p>
    <w:p w14:paraId="6C3D0230" w14:textId="2E02D7FA" w:rsidR="00324980" w:rsidRPr="00324980" w:rsidRDefault="0044646F" w:rsidP="00423BA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Geoengineering approaches</w:t>
      </w:r>
      <w:r w:rsidR="00BA14DD">
        <w:rPr>
          <w:rFonts w:cstheme="minorHAnsi"/>
          <w:lang w:val="en-GB"/>
        </w:rPr>
        <w:t xml:space="preserve"> also</w:t>
      </w:r>
      <w:r w:rsidR="00006AE4" w:rsidRPr="00324980">
        <w:rPr>
          <w:rFonts w:cstheme="minorHAnsi"/>
          <w:lang w:val="en-GB"/>
        </w:rPr>
        <w:t xml:space="preserve"> risk delaying climate action until a point where it is too late. </w:t>
      </w:r>
      <w:r w:rsidR="00324980">
        <w:rPr>
          <w:rFonts w:cstheme="minorHAnsi"/>
          <w:lang w:val="en-GB"/>
        </w:rPr>
        <w:t>The belief and investment in these</w:t>
      </w:r>
      <w:r w:rsidR="00324980" w:rsidRPr="00324980">
        <w:rPr>
          <w:rFonts w:cstheme="minorHAnsi"/>
          <w:lang w:val="en-GB"/>
        </w:rPr>
        <w:t xml:space="preserve"> </w:t>
      </w:r>
      <w:r w:rsidR="00324980">
        <w:rPr>
          <w:rFonts w:cstheme="minorHAnsi"/>
          <w:lang w:val="en-GB"/>
        </w:rPr>
        <w:t>technological “fixes”</w:t>
      </w:r>
      <w:r w:rsidR="00324980" w:rsidRPr="00324980">
        <w:rPr>
          <w:rFonts w:cstheme="minorHAnsi"/>
          <w:lang w:val="en-GB"/>
        </w:rPr>
        <w:t xml:space="preserve"> undermine carbon reduction commitments through locking in the use of fossil fuels, which then risk</w:t>
      </w:r>
      <w:r w:rsidR="00324980">
        <w:rPr>
          <w:rFonts w:cstheme="minorHAnsi"/>
          <w:lang w:val="en-GB"/>
        </w:rPr>
        <w:t>s</w:t>
      </w:r>
      <w:r w:rsidR="00324980" w:rsidRPr="00324980">
        <w:rPr>
          <w:rFonts w:cstheme="minorHAnsi"/>
          <w:lang w:val="en-GB"/>
        </w:rPr>
        <w:t xml:space="preserve"> breaching </w:t>
      </w:r>
      <w:r w:rsidR="00324980">
        <w:rPr>
          <w:rFonts w:cstheme="minorHAnsi"/>
          <w:lang w:val="en-GB"/>
        </w:rPr>
        <w:t xml:space="preserve">dangerous </w:t>
      </w:r>
      <w:r w:rsidR="00324980" w:rsidRPr="00324980">
        <w:rPr>
          <w:rFonts w:cstheme="minorHAnsi"/>
          <w:lang w:val="en-GB"/>
        </w:rPr>
        <w:t>tipping points</w:t>
      </w:r>
      <w:r w:rsidR="00324980">
        <w:rPr>
          <w:rFonts w:cstheme="minorHAnsi"/>
          <w:lang w:val="en-GB"/>
        </w:rPr>
        <w:t xml:space="preserve"> in the climate system</w:t>
      </w:r>
      <w:r w:rsidR="00324980" w:rsidRPr="00324980">
        <w:rPr>
          <w:rFonts w:cstheme="minorHAnsi"/>
          <w:lang w:val="en-GB"/>
        </w:rPr>
        <w:t>.</w:t>
      </w:r>
      <w:r w:rsidR="00FB0788">
        <w:rPr>
          <w:rFonts w:cstheme="minorHAnsi"/>
          <w:lang w:val="en-GB"/>
        </w:rPr>
        <w:t xml:space="preserve"> In sum, the human rights threats of geoengineering approaches are multi-faceted and real. </w:t>
      </w:r>
    </w:p>
    <w:p w14:paraId="26840344" w14:textId="086854B6" w:rsidR="00C6748D" w:rsidRDefault="00B431C0" w:rsidP="00423BA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Despite these known risks to human rights,</w:t>
      </w:r>
      <w:r w:rsidR="00F863A0">
        <w:rPr>
          <w:rFonts w:cstheme="minorHAnsi"/>
          <w:lang w:val="en-GB"/>
        </w:rPr>
        <w:t xml:space="preserve"> </w:t>
      </w:r>
      <w:r w:rsidR="00324980">
        <w:rPr>
          <w:rFonts w:cstheme="minorHAnsi"/>
          <w:lang w:val="en-GB"/>
        </w:rPr>
        <w:t>i</w:t>
      </w:r>
      <w:r w:rsidR="00006AE4">
        <w:rPr>
          <w:rFonts w:cstheme="minorHAnsi"/>
          <w:lang w:val="en-GB"/>
        </w:rPr>
        <w:t>nvestment into geoengineering technologies from variou</w:t>
      </w:r>
      <w:r w:rsidR="00F85581">
        <w:rPr>
          <w:rFonts w:cstheme="minorHAnsi"/>
          <w:lang w:val="en-GB"/>
        </w:rPr>
        <w:t>s climate-polluting industries</w:t>
      </w:r>
      <w:r w:rsidR="00006AE4">
        <w:rPr>
          <w:rFonts w:cstheme="minorHAnsi"/>
          <w:lang w:val="en-GB"/>
        </w:rPr>
        <w:t xml:space="preserve">, is growing at a fast rate. </w:t>
      </w:r>
      <w:r w:rsidR="009C43B2">
        <w:rPr>
          <w:rFonts w:cstheme="minorHAnsi"/>
          <w:lang w:val="en-GB"/>
        </w:rPr>
        <w:t>O</w:t>
      </w:r>
      <w:r w:rsidR="00006AE4">
        <w:rPr>
          <w:rFonts w:cstheme="minorHAnsi"/>
          <w:lang w:val="en-GB"/>
        </w:rPr>
        <w:t xml:space="preserve">utdoor experiments and field tests for different geoengineering approaches </w:t>
      </w:r>
      <w:proofErr w:type="gramStart"/>
      <w:r w:rsidR="00006AE4">
        <w:rPr>
          <w:rFonts w:cstheme="minorHAnsi"/>
          <w:lang w:val="en-GB"/>
        </w:rPr>
        <w:t>are being carried out</w:t>
      </w:r>
      <w:proofErr w:type="gramEnd"/>
      <w:r w:rsidR="00006AE4">
        <w:rPr>
          <w:rFonts w:cstheme="minorHAnsi"/>
          <w:lang w:val="en-GB"/>
        </w:rPr>
        <w:t xml:space="preserve"> in different locations across the world, most notably on indigenous lands.</w:t>
      </w:r>
    </w:p>
    <w:p w14:paraId="3241F673" w14:textId="57FE4FA0" w:rsidR="00C6748D" w:rsidRDefault="00F85581" w:rsidP="00305A3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="009C43B2">
        <w:rPr>
          <w:rFonts w:cstheme="minorHAnsi"/>
          <w:lang w:val="en-GB"/>
        </w:rPr>
        <w:t xml:space="preserve"> growing coalition of </w:t>
      </w:r>
      <w:r w:rsidR="004970DB">
        <w:rPr>
          <w:rFonts w:cstheme="minorHAnsi"/>
          <w:lang w:val="en-GB"/>
        </w:rPr>
        <w:t>civil society groups (including indigenous networks and the Climate Action Network International</w:t>
      </w:r>
      <w:r>
        <w:rPr>
          <w:rFonts w:cstheme="minorHAnsi"/>
          <w:lang w:val="en-GB"/>
        </w:rPr>
        <w:t xml:space="preserve"> with its more than 1500 member organizations</w:t>
      </w:r>
      <w:r w:rsidR="004970DB">
        <w:rPr>
          <w:rFonts w:cstheme="minorHAnsi"/>
          <w:lang w:val="en-GB"/>
        </w:rPr>
        <w:t>)</w:t>
      </w:r>
      <w:r w:rsidR="009C43B2">
        <w:rPr>
          <w:rFonts w:cstheme="minorHAnsi"/>
          <w:lang w:val="en-GB"/>
        </w:rPr>
        <w:t xml:space="preserve"> and </w:t>
      </w:r>
      <w:r w:rsidR="00953302">
        <w:rPr>
          <w:rFonts w:cstheme="minorHAnsi"/>
          <w:lang w:val="en-GB"/>
        </w:rPr>
        <w:t>dozens of world-</w:t>
      </w:r>
      <w:r w:rsidR="009C43B2">
        <w:rPr>
          <w:rFonts w:cstheme="minorHAnsi"/>
          <w:lang w:val="en-GB"/>
        </w:rPr>
        <w:t>leading s</w:t>
      </w:r>
      <w:r w:rsidR="00953302">
        <w:rPr>
          <w:rFonts w:cstheme="minorHAnsi"/>
          <w:lang w:val="en-GB"/>
        </w:rPr>
        <w:t>cientists</w:t>
      </w:r>
      <w:r w:rsidR="009C43B2">
        <w:rPr>
          <w:rFonts w:cstheme="minorHAnsi"/>
          <w:lang w:val="en-GB"/>
        </w:rPr>
        <w:t xml:space="preserve"> agree that the</w:t>
      </w:r>
      <w:r w:rsidR="004970DB">
        <w:rPr>
          <w:rFonts w:cstheme="minorHAnsi"/>
          <w:lang w:val="en-GB"/>
        </w:rPr>
        <w:t xml:space="preserve"> development and</w:t>
      </w:r>
      <w:r w:rsidR="00006AE4">
        <w:rPr>
          <w:rFonts w:cstheme="minorHAnsi"/>
          <w:lang w:val="en-GB"/>
        </w:rPr>
        <w:t xml:space="preserve"> </w:t>
      </w:r>
      <w:r w:rsidR="00324980">
        <w:rPr>
          <w:rFonts w:cstheme="minorHAnsi"/>
          <w:lang w:val="en-GB"/>
        </w:rPr>
        <w:t xml:space="preserve">deployment of planetary scale </w:t>
      </w:r>
      <w:r w:rsidR="00C248CA" w:rsidRPr="00F85581">
        <w:rPr>
          <w:rFonts w:cstheme="minorHAnsi"/>
          <w:lang w:val="en-GB"/>
        </w:rPr>
        <w:t>solar</w:t>
      </w:r>
      <w:r w:rsidR="00C248CA">
        <w:rPr>
          <w:rFonts w:cstheme="minorHAnsi"/>
          <w:lang w:val="en-GB"/>
        </w:rPr>
        <w:t xml:space="preserve"> </w:t>
      </w:r>
      <w:r w:rsidR="00006AE4">
        <w:rPr>
          <w:rFonts w:cstheme="minorHAnsi"/>
          <w:lang w:val="en-GB"/>
        </w:rPr>
        <w:t xml:space="preserve">geoengineering </w:t>
      </w:r>
      <w:proofErr w:type="gramStart"/>
      <w:r w:rsidR="00006AE4">
        <w:rPr>
          <w:rFonts w:cstheme="minorHAnsi"/>
          <w:lang w:val="en-GB"/>
        </w:rPr>
        <w:t>must be internationally banned</w:t>
      </w:r>
      <w:proofErr w:type="gramEnd"/>
      <w:r w:rsidR="00006AE4">
        <w:rPr>
          <w:rFonts w:cstheme="minorHAnsi"/>
          <w:lang w:val="en-GB"/>
        </w:rPr>
        <w:t>.</w:t>
      </w:r>
      <w:r w:rsidR="00305A39">
        <w:rPr>
          <w:rStyle w:val="Funotenanker"/>
          <w:rFonts w:cstheme="minorHAnsi"/>
          <w:lang w:val="en-GB"/>
        </w:rPr>
        <w:footnoteReference w:id="1"/>
      </w:r>
      <w:r w:rsidR="00305A39">
        <w:rPr>
          <w:rFonts w:cstheme="minorHAnsi"/>
          <w:lang w:val="en-GB"/>
        </w:rPr>
        <w:t xml:space="preserve"> </w:t>
      </w:r>
      <w:r w:rsidR="00D93CF9">
        <w:rPr>
          <w:rFonts w:cstheme="minorHAnsi"/>
          <w:lang w:val="en-GB"/>
        </w:rPr>
        <w:t>Other approaches, such as Carbon Dioxide Removal (CDR)</w:t>
      </w:r>
      <w:r w:rsidR="00305A39">
        <w:rPr>
          <w:rFonts w:cstheme="minorHAnsi"/>
          <w:lang w:val="en-GB"/>
        </w:rPr>
        <w:t>, and</w:t>
      </w:r>
      <w:r w:rsidR="00305A39" w:rsidRPr="00305A39">
        <w:rPr>
          <w:rFonts w:cstheme="minorHAnsi"/>
          <w:lang w:val="en-GB"/>
        </w:rPr>
        <w:t xml:space="preserve"> </w:t>
      </w:r>
      <w:r w:rsidR="00D93CF9">
        <w:rPr>
          <w:rFonts w:cstheme="minorHAnsi"/>
          <w:lang w:val="en-GB"/>
        </w:rPr>
        <w:t>C</w:t>
      </w:r>
      <w:r w:rsidR="00305A39">
        <w:rPr>
          <w:rFonts w:cstheme="minorHAnsi"/>
          <w:lang w:val="en-GB"/>
        </w:rPr>
        <w:t xml:space="preserve">arbon </w:t>
      </w:r>
      <w:r w:rsidR="00D93CF9">
        <w:rPr>
          <w:rFonts w:cstheme="minorHAnsi"/>
          <w:lang w:val="en-GB"/>
        </w:rPr>
        <w:t>C</w:t>
      </w:r>
      <w:r w:rsidR="00305A39">
        <w:rPr>
          <w:rFonts w:cstheme="minorHAnsi"/>
          <w:lang w:val="en-GB"/>
        </w:rPr>
        <w:t xml:space="preserve">apture </w:t>
      </w:r>
      <w:r w:rsidR="00D93CF9">
        <w:rPr>
          <w:rFonts w:cstheme="minorHAnsi"/>
          <w:lang w:val="en-GB"/>
        </w:rPr>
        <w:t>U</w:t>
      </w:r>
      <w:r w:rsidR="00305A39">
        <w:rPr>
          <w:rFonts w:cstheme="minorHAnsi"/>
          <w:lang w:val="en-GB"/>
        </w:rPr>
        <w:t xml:space="preserve">sage and </w:t>
      </w:r>
      <w:r w:rsidR="00D93CF9">
        <w:rPr>
          <w:rFonts w:cstheme="minorHAnsi"/>
          <w:lang w:val="en-GB"/>
        </w:rPr>
        <w:t>S</w:t>
      </w:r>
      <w:r w:rsidR="00305A39">
        <w:rPr>
          <w:rFonts w:cstheme="minorHAnsi"/>
          <w:lang w:val="en-GB"/>
        </w:rPr>
        <w:t xml:space="preserve">torage (CCU/S) must likewise be viewed with </w:t>
      </w:r>
      <w:r w:rsidR="004970DB">
        <w:rPr>
          <w:rFonts w:cstheme="minorHAnsi"/>
          <w:lang w:val="en-GB"/>
        </w:rPr>
        <w:t xml:space="preserve">great </w:t>
      </w:r>
      <w:r w:rsidR="00305A39">
        <w:rPr>
          <w:rFonts w:cstheme="minorHAnsi"/>
          <w:lang w:val="en-GB"/>
        </w:rPr>
        <w:t xml:space="preserve">scepticism </w:t>
      </w:r>
      <w:r w:rsidR="004970DB">
        <w:rPr>
          <w:rFonts w:cstheme="minorHAnsi"/>
          <w:lang w:val="en-GB"/>
        </w:rPr>
        <w:t>and evaluated based on their impact on the climate system and their potential negative impacts on biodiversity, food security, and land rights</w:t>
      </w:r>
      <w:r w:rsidR="00305A39">
        <w:rPr>
          <w:rFonts w:cstheme="minorHAnsi"/>
          <w:lang w:val="en-GB"/>
        </w:rPr>
        <w:t>.</w:t>
      </w:r>
      <w:r w:rsidR="00305A39">
        <w:rPr>
          <w:rStyle w:val="Funotenanker"/>
          <w:rFonts w:cstheme="minorHAnsi"/>
          <w:lang w:val="en-GB"/>
        </w:rPr>
        <w:footnoteReference w:id="2"/>
      </w:r>
      <w:r w:rsidR="00006AE4">
        <w:rPr>
          <w:rFonts w:cstheme="minorHAnsi"/>
          <w:lang w:val="en-GB"/>
        </w:rPr>
        <w:t xml:space="preserve"> </w:t>
      </w:r>
      <w:r w:rsidR="004970DB">
        <w:rPr>
          <w:rFonts w:cstheme="minorHAnsi"/>
          <w:lang w:val="en-GB"/>
        </w:rPr>
        <w:t xml:space="preserve">We simply cannot afford any pathways that would further lock-in fossil fuel dependency. </w:t>
      </w:r>
    </w:p>
    <w:p w14:paraId="3A38E93E" w14:textId="77777777" w:rsidR="006862F8" w:rsidRDefault="000460D9" w:rsidP="00423BA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Leading legal experts</w:t>
      </w:r>
      <w:r w:rsidR="004970DB">
        <w:rPr>
          <w:rStyle w:val="Funotenzeichen"/>
          <w:rFonts w:cstheme="minorHAnsi"/>
          <w:lang w:val="en-GB"/>
        </w:rPr>
        <w:footnoteReference w:id="3"/>
      </w:r>
      <w:r>
        <w:rPr>
          <w:rFonts w:cstheme="minorHAnsi"/>
          <w:lang w:val="en-GB"/>
        </w:rPr>
        <w:t xml:space="preserve"> have pointed at the risks </w:t>
      </w:r>
      <w:r w:rsidR="006862F8">
        <w:rPr>
          <w:rFonts w:cstheme="minorHAnsi"/>
          <w:lang w:val="en-GB"/>
        </w:rPr>
        <w:t>that geoengineering poses</w:t>
      </w:r>
      <w:r w:rsidR="00006AE4" w:rsidRPr="00423BA9">
        <w:rPr>
          <w:rFonts w:cstheme="minorHAnsi"/>
          <w:lang w:val="en-GB"/>
        </w:rPr>
        <w:t xml:space="preserve"> to a range of rights including the right to life, the right to health, an adequate standard of living, the right to food and the right to a livelihood.</w:t>
      </w:r>
      <w:r>
        <w:rPr>
          <w:lang w:val="en-GB"/>
        </w:rPr>
        <w:t xml:space="preserve"> In </w:t>
      </w:r>
      <w:r w:rsidR="00D52706">
        <w:rPr>
          <w:lang w:val="en-GB"/>
        </w:rPr>
        <w:t>proposed projects</w:t>
      </w:r>
      <w:r w:rsidR="006862F8">
        <w:rPr>
          <w:lang w:val="en-GB"/>
        </w:rPr>
        <w:t>,</w:t>
      </w:r>
      <w:r w:rsidR="00423BA9">
        <w:rPr>
          <w:rFonts w:cstheme="minorHAnsi"/>
          <w:lang w:val="en-GB"/>
        </w:rPr>
        <w:t xml:space="preserve"> </w:t>
      </w:r>
      <w:r w:rsidR="00006AE4" w:rsidRPr="00423BA9">
        <w:rPr>
          <w:rFonts w:cstheme="minorHAnsi"/>
          <w:lang w:val="en-GB"/>
        </w:rPr>
        <w:t xml:space="preserve">the full range of relevant rights, including the principle of free prior </w:t>
      </w:r>
      <w:r w:rsidR="00006AE4" w:rsidRPr="00423BA9">
        <w:rPr>
          <w:rFonts w:cstheme="minorHAnsi"/>
          <w:lang w:val="en-GB"/>
        </w:rPr>
        <w:lastRenderedPageBreak/>
        <w:t>and informed co</w:t>
      </w:r>
      <w:r w:rsidR="00BA1938">
        <w:rPr>
          <w:rFonts w:cstheme="minorHAnsi"/>
          <w:lang w:val="en-GB"/>
        </w:rPr>
        <w:t>nsent (FPIC)</w:t>
      </w:r>
      <w:r w:rsidR="00423BA9">
        <w:rPr>
          <w:rFonts w:cstheme="minorHAnsi"/>
          <w:lang w:val="en-GB"/>
        </w:rPr>
        <w:t xml:space="preserve"> </w:t>
      </w:r>
      <w:r w:rsidR="00D52706">
        <w:rPr>
          <w:rFonts w:cstheme="minorHAnsi"/>
          <w:lang w:val="en-GB"/>
        </w:rPr>
        <w:t xml:space="preserve">needs </w:t>
      </w:r>
      <w:r w:rsidR="00423BA9">
        <w:rPr>
          <w:rFonts w:cstheme="minorHAnsi"/>
          <w:lang w:val="en-GB"/>
        </w:rPr>
        <w:t xml:space="preserve">to </w:t>
      </w:r>
      <w:proofErr w:type="gramStart"/>
      <w:r w:rsidR="00423BA9">
        <w:rPr>
          <w:rFonts w:cstheme="minorHAnsi"/>
          <w:lang w:val="en-GB"/>
        </w:rPr>
        <w:t>be considered</w:t>
      </w:r>
      <w:proofErr w:type="gramEnd"/>
      <w:r w:rsidR="00423BA9">
        <w:rPr>
          <w:rFonts w:cstheme="minorHAnsi"/>
          <w:lang w:val="en-GB"/>
        </w:rPr>
        <w:t xml:space="preserve"> - w</w:t>
      </w:r>
      <w:r w:rsidR="00006AE4" w:rsidRPr="00423BA9">
        <w:rPr>
          <w:rFonts w:cstheme="minorHAnsi"/>
          <w:lang w:val="en-GB"/>
        </w:rPr>
        <w:t>hich is a challenge when considering technological interventions that aim to have transb</w:t>
      </w:r>
      <w:r w:rsidR="00423BA9">
        <w:rPr>
          <w:rFonts w:cstheme="minorHAnsi"/>
          <w:lang w:val="en-GB"/>
        </w:rPr>
        <w:t>oundary and even global impact!</w:t>
      </w:r>
    </w:p>
    <w:p w14:paraId="4A072AED" w14:textId="77777777" w:rsidR="006862F8" w:rsidRDefault="00D52706" w:rsidP="00423BA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Further, a</w:t>
      </w:r>
      <w:r w:rsidR="00423BA9">
        <w:rPr>
          <w:rFonts w:cstheme="minorHAnsi"/>
          <w:lang w:val="en-GB"/>
        </w:rPr>
        <w:t>ny future regulation of geoengineering must respect and build on the moratoria expressed in the</w:t>
      </w:r>
      <w:r w:rsidR="00006AE4" w:rsidRPr="00423BA9">
        <w:rPr>
          <w:rFonts w:cstheme="minorHAnsi"/>
          <w:lang w:val="en-GB"/>
        </w:rPr>
        <w:t xml:space="preserve"> COP Decisions adopted under the</w:t>
      </w:r>
      <w:r w:rsidR="00423BA9">
        <w:rPr>
          <w:rFonts w:cstheme="minorHAnsi"/>
          <w:lang w:val="en-GB"/>
        </w:rPr>
        <w:t xml:space="preserve"> Convention on Biological Diversity (</w:t>
      </w:r>
      <w:r w:rsidR="00006AE4" w:rsidRPr="00423BA9">
        <w:rPr>
          <w:rFonts w:cstheme="minorHAnsi"/>
          <w:lang w:val="en-GB"/>
        </w:rPr>
        <w:t>CBD</w:t>
      </w:r>
      <w:r w:rsidR="00423BA9">
        <w:rPr>
          <w:rFonts w:cstheme="minorHAnsi"/>
          <w:lang w:val="en-GB"/>
        </w:rPr>
        <w:t>)</w:t>
      </w:r>
      <w:r w:rsidR="00BA1938">
        <w:rPr>
          <w:rStyle w:val="Funotenzeichen"/>
          <w:rFonts w:cstheme="minorHAnsi"/>
          <w:lang w:val="en-GB"/>
        </w:rPr>
        <w:footnoteReference w:id="4"/>
      </w:r>
      <w:r w:rsidR="00006AE4" w:rsidRPr="00423BA9">
        <w:rPr>
          <w:rFonts w:cstheme="minorHAnsi"/>
          <w:lang w:val="en-GB"/>
        </w:rPr>
        <w:t xml:space="preserve"> and </w:t>
      </w:r>
      <w:r w:rsidR="00423BA9">
        <w:rPr>
          <w:rFonts w:cstheme="minorHAnsi"/>
          <w:lang w:val="en-GB"/>
        </w:rPr>
        <w:t>the London Protocol to the London Convention (</w:t>
      </w:r>
      <w:r w:rsidR="00006AE4" w:rsidRPr="00423BA9">
        <w:rPr>
          <w:rFonts w:cstheme="minorHAnsi"/>
          <w:lang w:val="en-GB"/>
        </w:rPr>
        <w:t>LCLP</w:t>
      </w:r>
      <w:r w:rsidR="00423BA9">
        <w:rPr>
          <w:rFonts w:cstheme="minorHAnsi"/>
          <w:lang w:val="en-GB"/>
        </w:rPr>
        <w:t>)</w:t>
      </w:r>
      <w:r w:rsidR="00F04413">
        <w:rPr>
          <w:rStyle w:val="Funotenzeichen"/>
          <w:rFonts w:cstheme="minorHAnsi"/>
          <w:lang w:val="en-GB"/>
        </w:rPr>
        <w:footnoteReference w:id="5"/>
      </w:r>
      <w:r w:rsidR="00423BA9">
        <w:rPr>
          <w:rFonts w:cstheme="minorHAnsi"/>
          <w:lang w:val="en-GB"/>
        </w:rPr>
        <w:t>.</w:t>
      </w:r>
    </w:p>
    <w:p w14:paraId="78F5A3F7" w14:textId="1FE94711" w:rsidR="00C6748D" w:rsidRDefault="00D52706" w:rsidP="00423BA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</w:t>
      </w:r>
      <w:r w:rsidR="00006AE4">
        <w:rPr>
          <w:rFonts w:cstheme="minorHAnsi"/>
          <w:lang w:val="en-GB"/>
        </w:rPr>
        <w:t xml:space="preserve">ublic participation in geoengineering decision-making must be meaningful, global and transparent to ensure the severity and scale of potential impacts of geoengineering are fully recognised and taken into account. </w:t>
      </w:r>
      <w:r w:rsidR="00F85581">
        <w:rPr>
          <w:rFonts w:cstheme="minorHAnsi"/>
          <w:lang w:val="en-GB"/>
        </w:rPr>
        <w:t>T</w:t>
      </w:r>
      <w:r w:rsidR="00006AE4">
        <w:rPr>
          <w:rFonts w:cstheme="minorHAnsi"/>
          <w:lang w:val="en-GB"/>
        </w:rPr>
        <w:t>hose who are already most affected by the climate crisis</w:t>
      </w:r>
      <w:r w:rsidR="00A82A09">
        <w:rPr>
          <w:rFonts w:cstheme="minorHAnsi"/>
          <w:lang w:val="en-GB"/>
        </w:rPr>
        <w:t xml:space="preserve"> and</w:t>
      </w:r>
      <w:r w:rsidR="00006AE4">
        <w:rPr>
          <w:rFonts w:cstheme="minorHAnsi"/>
          <w:lang w:val="en-GB"/>
        </w:rPr>
        <w:t xml:space="preserve"> those who would suffer most from the adverse impacts of geoengineering must be given an active and leading voice in geoengineering governance and decision-making. This would include, among others, Indigenous Peoples, local communities, small-scale farmers and fisherfolk, women and youth. </w:t>
      </w:r>
    </w:p>
    <w:p w14:paraId="02A02D00" w14:textId="77777777" w:rsidR="00C6748D" w:rsidRDefault="00006AE4" w:rsidP="00423BA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We are surprised to see that today’s panel of experts consists of only Northern/Western academic experts with a track record of support for specific geoengineering approaches and would like to encourage the Advisory Committee to seek further consultation with and advice from indigenous peoples and potentially affected rights-holders from around the world.  </w:t>
      </w:r>
    </w:p>
    <w:p w14:paraId="55EB0CA0" w14:textId="698CD7D0" w:rsidR="00C6748D" w:rsidRDefault="00006AE4" w:rsidP="00423BA9">
      <w:pPr>
        <w:jc w:val="both"/>
        <w:rPr>
          <w:rFonts w:cstheme="minorHAnsi"/>
          <w:lang w:val="en-GB"/>
        </w:rPr>
      </w:pPr>
      <w:r>
        <w:rPr>
          <w:rFonts w:cstheme="minorHAnsi"/>
          <w:color w:val="000000"/>
          <w:lang w:val="en-GB"/>
        </w:rPr>
        <w:t>I thank you for your attention</w:t>
      </w:r>
      <w:r w:rsidR="00A82A09">
        <w:rPr>
          <w:rFonts w:cstheme="minorHAnsi"/>
          <w:color w:val="000000"/>
          <w:lang w:val="en-GB"/>
        </w:rPr>
        <w:t>.</w:t>
      </w:r>
    </w:p>
    <w:p w14:paraId="355035BD" w14:textId="4DA08BA2" w:rsidR="00C6748D" w:rsidRDefault="00006AE4" w:rsidP="00423BA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Lili Fuhr, Head of International Environmental Policy Division, </w:t>
      </w:r>
      <w:hyperlink r:id="rId9">
        <w:r>
          <w:rPr>
            <w:rStyle w:val="Internetverknpfung"/>
            <w:rFonts w:cstheme="minorHAnsi"/>
            <w:color w:val="auto"/>
            <w:lang w:val="en-GB"/>
          </w:rPr>
          <w:t>fuhr@boell.de</w:t>
        </w:r>
      </w:hyperlink>
      <w:r>
        <w:rPr>
          <w:rFonts w:cstheme="minorHAnsi"/>
          <w:lang w:val="en-GB"/>
        </w:rPr>
        <w:t xml:space="preserve"> </w:t>
      </w:r>
    </w:p>
    <w:p w14:paraId="2319B798" w14:textId="77777777" w:rsidR="00CC4F78" w:rsidRDefault="00CC4F78" w:rsidP="00423BA9">
      <w:pPr>
        <w:jc w:val="both"/>
        <w:rPr>
          <w:rFonts w:cstheme="minorHAnsi"/>
          <w:lang w:val="en-GB"/>
        </w:rPr>
      </w:pPr>
    </w:p>
    <w:p w14:paraId="4C4F3148" w14:textId="45CEB678" w:rsidR="00F04413" w:rsidRDefault="00CC4F78" w:rsidP="00423BA9">
      <w:pPr>
        <w:jc w:val="both"/>
        <w:rPr>
          <w:rFonts w:cstheme="minorHAnsi"/>
          <w:lang w:val="en-GB"/>
        </w:rPr>
      </w:pPr>
      <w:r w:rsidRPr="00CC4F78">
        <w:rPr>
          <w:rFonts w:cstheme="minorHAnsi"/>
          <w:noProof/>
          <w:lang w:eastAsia="de-DE"/>
        </w:rPr>
        <w:drawing>
          <wp:inline distT="0" distB="0" distL="0" distR="0" wp14:anchorId="408C43E9" wp14:editId="41B131C2">
            <wp:extent cx="2247900" cy="590550"/>
            <wp:effectExtent l="0" t="0" r="0" b="0"/>
            <wp:docPr id="2" name="Grafik 2" descr="C:\Users\user\Desktop\Aktuell\sign L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ktuell\sign Li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41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4646" w14:textId="77777777" w:rsidR="00B40195" w:rsidRDefault="00B40195">
      <w:pPr>
        <w:spacing w:after="0" w:line="240" w:lineRule="auto"/>
      </w:pPr>
      <w:r>
        <w:separator/>
      </w:r>
    </w:p>
  </w:endnote>
  <w:endnote w:type="continuationSeparator" w:id="0">
    <w:p w14:paraId="505461A0" w14:textId="77777777" w:rsidR="00B40195" w:rsidRDefault="00B4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B4F9" w14:textId="77777777" w:rsidR="00B40195" w:rsidRDefault="00B40195">
      <w:pPr>
        <w:rPr>
          <w:sz w:val="12"/>
        </w:rPr>
      </w:pPr>
      <w:r>
        <w:separator/>
      </w:r>
    </w:p>
  </w:footnote>
  <w:footnote w:type="continuationSeparator" w:id="0">
    <w:p w14:paraId="2BB19AA0" w14:textId="77777777" w:rsidR="00B40195" w:rsidRDefault="00B40195">
      <w:pPr>
        <w:rPr>
          <w:sz w:val="12"/>
        </w:rPr>
      </w:pPr>
      <w:r>
        <w:continuationSeparator/>
      </w:r>
    </w:p>
  </w:footnote>
  <w:footnote w:id="1">
    <w:p w14:paraId="3F783DC7" w14:textId="59B609B8" w:rsidR="00305A39" w:rsidRPr="00423BA9" w:rsidRDefault="00305A39" w:rsidP="00305A39">
      <w:pPr>
        <w:pStyle w:val="KeinLeerraum"/>
        <w:rPr>
          <w:rFonts w:cstheme="minorHAnsi"/>
          <w:sz w:val="20"/>
          <w:szCs w:val="20"/>
          <w:lang w:val="en-GB"/>
        </w:rPr>
      </w:pPr>
      <w:r w:rsidRPr="00423BA9">
        <w:rPr>
          <w:rStyle w:val="Funotenzeichen"/>
          <w:rFonts w:cstheme="minorHAnsi"/>
          <w:sz w:val="20"/>
          <w:szCs w:val="20"/>
        </w:rPr>
        <w:footnoteRef/>
      </w:r>
      <w:r w:rsidRPr="00423BA9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  <w:lang w:val="en-GB"/>
        </w:rPr>
        <w:t xml:space="preserve">See e.g. </w:t>
      </w:r>
      <w:r w:rsidR="00B40195">
        <w:fldChar w:fldCharType="begin"/>
      </w:r>
      <w:r w:rsidR="00B40195" w:rsidRPr="00CC4F78">
        <w:rPr>
          <w:lang w:val="en-GB"/>
        </w:rPr>
        <w:instrText xml:space="preserve"> HYPERLINK "https://climatenetwork.org/resource/can-position-solar-radiation-modification-srm-september-2019/" </w:instrText>
      </w:r>
      <w:r w:rsidR="00B40195">
        <w:fldChar w:fldCharType="separate"/>
      </w:r>
      <w:r w:rsidRPr="00254C1A">
        <w:rPr>
          <w:rStyle w:val="Hyperlink"/>
          <w:rFonts w:eastAsia="Times New Roman" w:cstheme="minorHAnsi"/>
          <w:sz w:val="20"/>
          <w:szCs w:val="20"/>
          <w:lang w:val="en-GB" w:eastAsia="de-DE"/>
        </w:rPr>
        <w:t>https://climatenetwork.org/resource/can-position-solar-radiation-modification-srm-september-2019/</w:t>
      </w:r>
      <w:r w:rsidR="00B40195">
        <w:rPr>
          <w:rStyle w:val="Hyperlink"/>
          <w:rFonts w:eastAsia="Times New Roman" w:cstheme="minorHAnsi"/>
          <w:sz w:val="20"/>
          <w:szCs w:val="20"/>
          <w:lang w:val="en-GB" w:eastAsia="de-DE"/>
        </w:rPr>
        <w:fldChar w:fldCharType="end"/>
      </w:r>
      <w:r w:rsidR="00953302">
        <w:rPr>
          <w:rStyle w:val="Internetverknpfung"/>
          <w:rFonts w:eastAsia="Times New Roman" w:cstheme="minorHAnsi"/>
          <w:sz w:val="20"/>
          <w:szCs w:val="20"/>
          <w:lang w:val="en-GB" w:eastAsia="de-DE"/>
        </w:rPr>
        <w:t xml:space="preserve"> and </w:t>
      </w:r>
      <w:r w:rsidR="00B40195">
        <w:fldChar w:fldCharType="begin"/>
      </w:r>
      <w:r w:rsidR="00B40195" w:rsidRPr="00CC4F78">
        <w:rPr>
          <w:lang w:val="en-GB"/>
        </w:rPr>
        <w:instrText xml:space="preserve"> HYPERLINK "https://www.solargeoeng.org/</w:instrText>
      </w:r>
      <w:r w:rsidR="00B40195" w:rsidRPr="00CC4F78">
        <w:rPr>
          <w:lang w:val="en-GB"/>
        </w:rPr>
        <w:instrText xml:space="preserve">" \h </w:instrText>
      </w:r>
      <w:r w:rsidR="00B40195">
        <w:fldChar w:fldCharType="separate"/>
      </w:r>
      <w:r w:rsidR="00953302" w:rsidRPr="004970DB">
        <w:rPr>
          <w:rStyle w:val="Internetverknpfung"/>
          <w:rFonts w:cstheme="minorHAnsi"/>
          <w:lang w:val="en-GB"/>
        </w:rPr>
        <w:t>https://www.solargeoeng.org/</w:t>
      </w:r>
      <w:r w:rsidR="00B40195">
        <w:rPr>
          <w:rStyle w:val="Internetverknpfung"/>
          <w:rFonts w:cstheme="minorHAnsi"/>
          <w:lang w:val="en-GB"/>
        </w:rPr>
        <w:fldChar w:fldCharType="end"/>
      </w:r>
      <w:r w:rsidR="00953302" w:rsidRPr="004970DB">
        <w:rPr>
          <w:rStyle w:val="Internetverknpfung"/>
          <w:rFonts w:cstheme="minorHAnsi"/>
          <w:lang w:val="en-GB"/>
        </w:rPr>
        <w:t xml:space="preserve">. </w:t>
      </w:r>
    </w:p>
  </w:footnote>
  <w:footnote w:id="2">
    <w:p w14:paraId="6F1D746C" w14:textId="5808486C" w:rsidR="00F85581" w:rsidRDefault="00305A39" w:rsidP="00305A39">
      <w:pPr>
        <w:pStyle w:val="KeinLeerraum"/>
        <w:rPr>
          <w:rStyle w:val="Internetverknpfung"/>
          <w:rFonts w:eastAsia="Times New Roman" w:cstheme="minorHAnsi"/>
          <w:sz w:val="20"/>
          <w:szCs w:val="20"/>
          <w:lang w:val="en-GB" w:eastAsia="de-DE"/>
        </w:rPr>
      </w:pPr>
      <w:r w:rsidRPr="00423BA9">
        <w:rPr>
          <w:rStyle w:val="Funotenzeichen"/>
          <w:rFonts w:cstheme="minorHAnsi"/>
          <w:sz w:val="20"/>
          <w:szCs w:val="20"/>
        </w:rPr>
        <w:footnoteRef/>
      </w:r>
      <w:r w:rsidRPr="00423BA9">
        <w:rPr>
          <w:rFonts w:cstheme="minorHAnsi"/>
          <w:sz w:val="20"/>
          <w:szCs w:val="20"/>
          <w:lang w:val="en-GB"/>
        </w:rPr>
        <w:t xml:space="preserve"> </w:t>
      </w:r>
      <w:r w:rsidR="00B40195">
        <w:fldChar w:fldCharType="begin"/>
      </w:r>
      <w:r w:rsidR="00B40195" w:rsidRPr="00CC4F78">
        <w:rPr>
          <w:lang w:val="en-GB"/>
        </w:rPr>
        <w:instrText xml:space="preserve"> HYPERLINK "https://climatenetwork.org/resource/can-position-carbon-capture-storage-and-utilisation/" \h </w:instrText>
      </w:r>
      <w:r w:rsidR="00B40195">
        <w:fldChar w:fldCharType="separate"/>
      </w:r>
      <w:r w:rsidRPr="00423BA9">
        <w:rPr>
          <w:rStyle w:val="Internetverknpfung"/>
          <w:rFonts w:eastAsia="Times New Roman" w:cstheme="minorHAnsi"/>
          <w:sz w:val="20"/>
          <w:szCs w:val="20"/>
          <w:lang w:val="en-GB" w:eastAsia="de-DE"/>
        </w:rPr>
        <w:t>https://climatenetwork.org/resource/can-position-carbon-capture-storage-and-utilisation/</w:t>
      </w:r>
      <w:r w:rsidR="00B40195">
        <w:rPr>
          <w:rStyle w:val="Internetverknpfung"/>
          <w:rFonts w:eastAsia="Times New Roman" w:cstheme="minorHAnsi"/>
          <w:sz w:val="20"/>
          <w:szCs w:val="20"/>
          <w:lang w:val="en-GB" w:eastAsia="de-DE"/>
        </w:rPr>
        <w:fldChar w:fldCharType="end"/>
      </w:r>
      <w:r w:rsidR="00F85581">
        <w:rPr>
          <w:rStyle w:val="Internetverknpfung"/>
          <w:rFonts w:eastAsia="Times New Roman" w:cstheme="minorHAnsi"/>
          <w:sz w:val="20"/>
          <w:szCs w:val="20"/>
          <w:lang w:val="en-GB" w:eastAsia="de-DE"/>
        </w:rPr>
        <w:t xml:space="preserve"> </w:t>
      </w:r>
    </w:p>
    <w:p w14:paraId="1C07088A" w14:textId="18222722" w:rsidR="00305A39" w:rsidRPr="00423BA9" w:rsidRDefault="00F85581" w:rsidP="00305A39">
      <w:pPr>
        <w:pStyle w:val="KeinLeerraum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color w:val="353838"/>
          <w:sz w:val="20"/>
          <w:szCs w:val="20"/>
          <w:lang w:val="en-GB" w:eastAsia="de-DE"/>
        </w:rPr>
        <w:t>and IPCC 2018 Special Report on Global Warming of 1.5°C, Chapters 4 &amp; 5</w:t>
      </w:r>
    </w:p>
  </w:footnote>
  <w:footnote w:id="3">
    <w:p w14:paraId="7C335F3F" w14:textId="0DAD4D43" w:rsidR="004970DB" w:rsidRPr="004970DB" w:rsidRDefault="004970DB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970DB">
        <w:rPr>
          <w:lang w:val="en-GB"/>
        </w:rPr>
        <w:t xml:space="preserve"> In </w:t>
      </w:r>
      <w:proofErr w:type="gramStart"/>
      <w:r w:rsidRPr="004970DB">
        <w:rPr>
          <w:lang w:val="en-GB"/>
        </w:rPr>
        <w:t>2021</w:t>
      </w:r>
      <w:proofErr w:type="gramEnd"/>
      <w:r w:rsidRPr="004970DB">
        <w:rPr>
          <w:lang w:val="en-GB"/>
        </w:rPr>
        <w:t xml:space="preserve"> Philippe Sands and Kate Cook wrote a public legal opinion on the </w:t>
      </w:r>
      <w:r>
        <w:rPr>
          <w:lang w:val="en-GB"/>
        </w:rPr>
        <w:t xml:space="preserve">Restriction of Geoengineering under International Law that the Heinrich Böll Foundation is willing to share upon request. </w:t>
      </w:r>
    </w:p>
  </w:footnote>
  <w:footnote w:id="4">
    <w:p w14:paraId="743D16DC" w14:textId="42BA37B1" w:rsidR="00BA1938" w:rsidRPr="00C248CA" w:rsidRDefault="00BA1938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C248CA">
        <w:rPr>
          <w:lang w:val="en-GB"/>
        </w:rPr>
        <w:t xml:space="preserve"> </w:t>
      </w:r>
      <w:r w:rsidR="00B40195">
        <w:fldChar w:fldCharType="begin"/>
      </w:r>
      <w:r w:rsidR="00B40195" w:rsidRPr="00CC4F78">
        <w:rPr>
          <w:lang w:val="en-GB"/>
        </w:rPr>
        <w:instrText xml:space="preserve"> HYPERLINK "https://www.cbd.int/climate/geoengineering/" </w:instrText>
      </w:r>
      <w:r w:rsidR="00B40195">
        <w:fldChar w:fldCharType="separate"/>
      </w:r>
      <w:r w:rsidRPr="00C248CA">
        <w:rPr>
          <w:rStyle w:val="Hyperlink"/>
          <w:lang w:val="en-GB"/>
        </w:rPr>
        <w:t>https://www.cbd.int/climate/geoengineering/</w:t>
      </w:r>
      <w:r w:rsidR="00B40195">
        <w:rPr>
          <w:rStyle w:val="Hyperlink"/>
          <w:lang w:val="en-GB"/>
        </w:rPr>
        <w:fldChar w:fldCharType="end"/>
      </w:r>
    </w:p>
  </w:footnote>
  <w:footnote w:id="5">
    <w:p w14:paraId="2B0049F8" w14:textId="10FA7947" w:rsidR="00F04413" w:rsidRPr="00C248CA" w:rsidRDefault="00F04413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C248CA">
        <w:rPr>
          <w:lang w:val="en-GB"/>
        </w:rPr>
        <w:t xml:space="preserve"> </w:t>
      </w:r>
      <w:r w:rsidR="00B40195">
        <w:fldChar w:fldCharType="begin"/>
      </w:r>
      <w:r w:rsidR="00B40195" w:rsidRPr="00CC4F78">
        <w:rPr>
          <w:lang w:val="en-GB"/>
        </w:rPr>
        <w:instrText xml:space="preserve"> HYPERLINK "https://www.imo.org/en/OurWork/Environment/Pages/geoengineering-Default.aspx" </w:instrText>
      </w:r>
      <w:r w:rsidR="00B40195">
        <w:fldChar w:fldCharType="separate"/>
      </w:r>
      <w:r w:rsidR="006862F8" w:rsidRPr="00C248CA">
        <w:rPr>
          <w:rStyle w:val="Hyperlink"/>
          <w:lang w:val="en-GB"/>
        </w:rPr>
        <w:t>https://www.imo.org/en/OurWork/Environment/Pages/geoengineering-Default.aspx</w:t>
      </w:r>
      <w:r w:rsidR="00B40195">
        <w:rPr>
          <w:rStyle w:val="Hyperlink"/>
          <w:lang w:val="en-GB"/>
        </w:rPr>
        <w:fldChar w:fldCharType="end"/>
      </w:r>
      <w:r w:rsidR="006862F8" w:rsidRPr="00C248CA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7D5A"/>
    <w:multiLevelType w:val="multilevel"/>
    <w:tmpl w:val="8430AD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663EAF"/>
    <w:multiLevelType w:val="multilevel"/>
    <w:tmpl w:val="DC8A366C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8D"/>
    <w:rsid w:val="00006AE4"/>
    <w:rsid w:val="000460D9"/>
    <w:rsid w:val="0012164B"/>
    <w:rsid w:val="00305A39"/>
    <w:rsid w:val="00324980"/>
    <w:rsid w:val="003706A8"/>
    <w:rsid w:val="00423BA9"/>
    <w:rsid w:val="00432948"/>
    <w:rsid w:val="0044646F"/>
    <w:rsid w:val="004970DB"/>
    <w:rsid w:val="005B409E"/>
    <w:rsid w:val="005C78D0"/>
    <w:rsid w:val="005D502B"/>
    <w:rsid w:val="006862F8"/>
    <w:rsid w:val="007F6ED3"/>
    <w:rsid w:val="008A3841"/>
    <w:rsid w:val="00953302"/>
    <w:rsid w:val="009C43B2"/>
    <w:rsid w:val="00A82A09"/>
    <w:rsid w:val="00AC606A"/>
    <w:rsid w:val="00B40195"/>
    <w:rsid w:val="00B431C0"/>
    <w:rsid w:val="00B66313"/>
    <w:rsid w:val="00BA14DD"/>
    <w:rsid w:val="00BA1938"/>
    <w:rsid w:val="00C248CA"/>
    <w:rsid w:val="00C6748D"/>
    <w:rsid w:val="00CC4F78"/>
    <w:rsid w:val="00D52706"/>
    <w:rsid w:val="00D93CF9"/>
    <w:rsid w:val="00EB2086"/>
    <w:rsid w:val="00F04413"/>
    <w:rsid w:val="00F85581"/>
    <w:rsid w:val="00F863A0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118E"/>
  <w15:docId w15:val="{87DFB5E3-2BB9-40C1-AC3B-0651D513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4C2E76"/>
    <w:rPr>
      <w:color w:val="0563C1" w:themeColor="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D9671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D96714"/>
    <w:rPr>
      <w:vertAlign w:val="superscript"/>
    </w:rPr>
  </w:style>
  <w:style w:type="character" w:styleId="Funotenzeichen">
    <w:name w:val="footnote reference"/>
    <w:qFormat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4C2E76"/>
    <w:pPr>
      <w:spacing w:after="200" w:line="276" w:lineRule="auto"/>
      <w:ind w:left="720"/>
      <w:contextualSpacing/>
    </w:pPr>
    <w:rPr>
      <w:rFonts w:ascii="Calibri" w:eastAsia="Calibri" w:hAnsi="Calibri" w:cs="Calibri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6714"/>
    <w:pPr>
      <w:spacing w:after="0" w:line="240" w:lineRule="auto"/>
    </w:pPr>
    <w:rPr>
      <w:sz w:val="20"/>
      <w:szCs w:val="20"/>
    </w:rPr>
  </w:style>
  <w:style w:type="paragraph" w:styleId="KeinLeerraum">
    <w:name w:val="No Spacing"/>
    <w:uiPriority w:val="1"/>
    <w:qFormat/>
    <w:rsid w:val="00D96714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84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0441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F6ED3"/>
    <w:pPr>
      <w:suppressAutoHyphens w:val="0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05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uhr@boe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1BD5-8569-401B-9D0B-BE87D44F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Heinrich Boell Stiftung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dcterms:created xsi:type="dcterms:W3CDTF">2022-02-18T16:04:00Z</dcterms:created>
  <dcterms:modified xsi:type="dcterms:W3CDTF">2022-02-21T07:14:00Z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Heinrich Boell Stiftung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