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32971" w14:paraId="525B41A7" w14:textId="77777777" w:rsidTr="002462FF">
        <w:trPr>
          <w:trHeight w:val="851"/>
        </w:trPr>
        <w:tc>
          <w:tcPr>
            <w:tcW w:w="1259" w:type="dxa"/>
            <w:tcBorders>
              <w:top w:val="nil"/>
              <w:left w:val="nil"/>
              <w:bottom w:val="single" w:sz="4" w:space="0" w:color="auto"/>
              <w:right w:val="nil"/>
            </w:tcBorders>
          </w:tcPr>
          <w:p w14:paraId="22B96FEE" w14:textId="77777777" w:rsidR="00EC2011" w:rsidRPr="00032971" w:rsidRDefault="00EC2011" w:rsidP="00EA33A2">
            <w:pPr>
              <w:pStyle w:val="SingleTxtG"/>
              <w:ind w:right="338"/>
              <w:rPr>
                <w:sz w:val="22"/>
                <w:szCs w:val="22"/>
              </w:rPr>
            </w:pPr>
          </w:p>
        </w:tc>
        <w:tc>
          <w:tcPr>
            <w:tcW w:w="2236" w:type="dxa"/>
            <w:tcBorders>
              <w:top w:val="nil"/>
              <w:left w:val="nil"/>
              <w:bottom w:val="single" w:sz="4" w:space="0" w:color="auto"/>
              <w:right w:val="nil"/>
            </w:tcBorders>
            <w:vAlign w:val="bottom"/>
          </w:tcPr>
          <w:p w14:paraId="3F07CD7C" w14:textId="042029BD" w:rsidR="00EC2011" w:rsidRPr="00485B88" w:rsidRDefault="00EC2011" w:rsidP="00EA33A2">
            <w:pPr>
              <w:spacing w:after="80" w:line="300" w:lineRule="exact"/>
              <w:ind w:right="338"/>
              <w:rPr>
                <w:sz w:val="28"/>
                <w:szCs w:val="28"/>
              </w:rPr>
            </w:pPr>
          </w:p>
        </w:tc>
        <w:tc>
          <w:tcPr>
            <w:tcW w:w="6144" w:type="dxa"/>
            <w:gridSpan w:val="2"/>
            <w:tcBorders>
              <w:top w:val="nil"/>
              <w:left w:val="nil"/>
              <w:bottom w:val="single" w:sz="4" w:space="0" w:color="auto"/>
              <w:right w:val="nil"/>
            </w:tcBorders>
            <w:vAlign w:val="bottom"/>
          </w:tcPr>
          <w:p w14:paraId="2962E796" w14:textId="77777777" w:rsidR="00EC2011" w:rsidRPr="00032971" w:rsidRDefault="00C6151F" w:rsidP="00EA33A2">
            <w:pPr>
              <w:suppressAutoHyphens w:val="0"/>
              <w:spacing w:after="20"/>
              <w:ind w:right="338"/>
              <w:jc w:val="right"/>
              <w:rPr>
                <w:sz w:val="22"/>
                <w:szCs w:val="22"/>
              </w:rPr>
            </w:pPr>
            <w:r w:rsidRPr="00AD45C5">
              <w:rPr>
                <w:sz w:val="40"/>
                <w:szCs w:val="40"/>
              </w:rPr>
              <w:t>A</w:t>
            </w:r>
            <w:r w:rsidRPr="00AD45C5">
              <w:t>/HRC/49/9</w:t>
            </w:r>
            <w:r w:rsidRPr="00032971">
              <w:rPr>
                <w:sz w:val="22"/>
                <w:szCs w:val="22"/>
              </w:rPr>
              <w:t xml:space="preserve"> </w:t>
            </w:r>
          </w:p>
        </w:tc>
      </w:tr>
      <w:tr w:rsidR="00485B88" w:rsidRPr="00032971" w14:paraId="64DD8C68" w14:textId="77777777" w:rsidTr="002462FF">
        <w:trPr>
          <w:trHeight w:val="2835"/>
        </w:trPr>
        <w:tc>
          <w:tcPr>
            <w:tcW w:w="1259" w:type="dxa"/>
            <w:tcBorders>
              <w:top w:val="single" w:sz="4" w:space="0" w:color="auto"/>
              <w:left w:val="nil"/>
              <w:bottom w:val="single" w:sz="12" w:space="0" w:color="auto"/>
              <w:right w:val="nil"/>
            </w:tcBorders>
          </w:tcPr>
          <w:p w14:paraId="11F28D8B" w14:textId="5286E708" w:rsidR="00485B88" w:rsidRPr="00032971" w:rsidRDefault="00485B88" w:rsidP="00EA33A2">
            <w:pPr>
              <w:spacing w:before="120"/>
              <w:ind w:right="338"/>
              <w:jc w:val="center"/>
              <w:rPr>
                <w:sz w:val="22"/>
                <w:szCs w:val="22"/>
              </w:rPr>
            </w:pPr>
          </w:p>
        </w:tc>
        <w:tc>
          <w:tcPr>
            <w:tcW w:w="5450" w:type="dxa"/>
            <w:gridSpan w:val="2"/>
            <w:tcBorders>
              <w:top w:val="single" w:sz="4" w:space="0" w:color="auto"/>
              <w:left w:val="nil"/>
              <w:bottom w:val="single" w:sz="12" w:space="0" w:color="auto"/>
              <w:right w:val="nil"/>
            </w:tcBorders>
          </w:tcPr>
          <w:p w14:paraId="212CDA3A" w14:textId="520BEA4B" w:rsidR="00485B88" w:rsidRPr="00FA7964" w:rsidRDefault="00DF2162" w:rsidP="00EA33A2">
            <w:pPr>
              <w:spacing w:before="120" w:line="420" w:lineRule="exact"/>
              <w:ind w:right="338"/>
              <w:rPr>
                <w:b/>
                <w:sz w:val="22"/>
                <w:szCs w:val="22"/>
              </w:rPr>
            </w:pPr>
            <w:r>
              <w:rPr>
                <w:b/>
                <w:sz w:val="40"/>
                <w:szCs w:val="40"/>
              </w:rPr>
              <w:t>Advance Unedited Version</w:t>
            </w:r>
          </w:p>
        </w:tc>
        <w:tc>
          <w:tcPr>
            <w:tcW w:w="2930" w:type="dxa"/>
            <w:tcBorders>
              <w:top w:val="single" w:sz="4" w:space="0" w:color="auto"/>
              <w:left w:val="nil"/>
              <w:bottom w:val="single" w:sz="12" w:space="0" w:color="auto"/>
              <w:right w:val="nil"/>
            </w:tcBorders>
          </w:tcPr>
          <w:p w14:paraId="76BE68D8" w14:textId="77777777" w:rsidR="00AD45C5" w:rsidRDefault="00AD45C5" w:rsidP="00AD45C5">
            <w:pPr>
              <w:spacing w:before="240"/>
            </w:pPr>
            <w:r>
              <w:t>Distr.: General</w:t>
            </w:r>
          </w:p>
          <w:p w14:paraId="01C9118C" w14:textId="6AA518D7" w:rsidR="00AD45C5" w:rsidRDefault="00AD45C5" w:rsidP="00AD45C5">
            <w:pPr>
              <w:suppressAutoHyphens w:val="0"/>
            </w:pPr>
            <w:r>
              <w:t>25 February</w:t>
            </w:r>
            <w:r>
              <w:t xml:space="preserve"> 2022</w:t>
            </w:r>
          </w:p>
          <w:p w14:paraId="19B2CAB4" w14:textId="77777777" w:rsidR="00AD45C5" w:rsidRDefault="00AD45C5" w:rsidP="00AD45C5">
            <w:pPr>
              <w:suppressAutoHyphens w:val="0"/>
            </w:pPr>
          </w:p>
          <w:p w14:paraId="03801CCD" w14:textId="7B1720A0" w:rsidR="00485B88" w:rsidRPr="00FA7964" w:rsidRDefault="00AD45C5" w:rsidP="00AD45C5">
            <w:pPr>
              <w:suppressAutoHyphens w:val="0"/>
              <w:ind w:right="338"/>
              <w:rPr>
                <w:sz w:val="22"/>
                <w:szCs w:val="22"/>
              </w:rPr>
            </w:pPr>
            <w:r>
              <w:t>Original: English</w:t>
            </w:r>
          </w:p>
        </w:tc>
      </w:tr>
    </w:tbl>
    <w:p w14:paraId="1F54FBB8" w14:textId="77777777" w:rsidR="00AD45C5" w:rsidRPr="009C2D9C" w:rsidRDefault="00AD45C5" w:rsidP="00AD45C5">
      <w:pPr>
        <w:spacing w:before="120"/>
        <w:rPr>
          <w:b/>
          <w:bCs/>
          <w:sz w:val="24"/>
          <w:szCs w:val="24"/>
        </w:rPr>
      </w:pPr>
      <w:r w:rsidRPr="009C2D9C">
        <w:rPr>
          <w:b/>
          <w:bCs/>
          <w:sz w:val="24"/>
          <w:szCs w:val="24"/>
        </w:rPr>
        <w:t>Human Rights Council</w:t>
      </w:r>
    </w:p>
    <w:p w14:paraId="1A49867B" w14:textId="77777777" w:rsidR="00AD45C5" w:rsidRPr="009C2D9C" w:rsidRDefault="00AD45C5" w:rsidP="00AD45C5">
      <w:pPr>
        <w:rPr>
          <w:b/>
        </w:rPr>
      </w:pPr>
      <w:r w:rsidRPr="009C2D9C">
        <w:rPr>
          <w:b/>
        </w:rPr>
        <w:t>Forty-ninth session</w:t>
      </w:r>
    </w:p>
    <w:p w14:paraId="11B8DED9" w14:textId="77777777" w:rsidR="00AD45C5" w:rsidRPr="009C2D9C" w:rsidRDefault="00AD45C5" w:rsidP="00AD45C5">
      <w:r w:rsidRPr="009C2D9C">
        <w:t>28 February–1 April 2022</w:t>
      </w:r>
    </w:p>
    <w:p w14:paraId="7C49ED37" w14:textId="68027259" w:rsidR="00AD45C5" w:rsidRPr="009C2D9C" w:rsidRDefault="00AD45C5" w:rsidP="00AD45C5">
      <w:r>
        <w:t>Agenda i</w:t>
      </w:r>
      <w:r w:rsidRPr="009C2D9C">
        <w:t>tem</w:t>
      </w:r>
      <w:r>
        <w:t xml:space="preserve"> 2</w:t>
      </w:r>
    </w:p>
    <w:p w14:paraId="3B1E54A3" w14:textId="77777777" w:rsidR="00AD45C5" w:rsidRPr="009C2D9C" w:rsidRDefault="00AD45C5" w:rsidP="00AD45C5">
      <w:pPr>
        <w:rPr>
          <w:b/>
          <w:bCs/>
        </w:rPr>
      </w:pPr>
      <w:r w:rsidRPr="009C2D9C">
        <w:rPr>
          <w:b/>
          <w:bCs/>
        </w:rPr>
        <w:t>Annual report of the United Nations High Commissioner</w:t>
      </w:r>
    </w:p>
    <w:p w14:paraId="15A1BC39" w14:textId="77777777" w:rsidR="00AD45C5" w:rsidRPr="009C2D9C" w:rsidRDefault="00AD45C5" w:rsidP="00AD45C5">
      <w:pPr>
        <w:rPr>
          <w:b/>
          <w:bCs/>
        </w:rPr>
      </w:pPr>
      <w:r w:rsidRPr="009C2D9C">
        <w:rPr>
          <w:b/>
          <w:bCs/>
        </w:rPr>
        <w:t>for Human Rights and reports of the Office of the</w:t>
      </w:r>
    </w:p>
    <w:p w14:paraId="66BDD560" w14:textId="6AFEE462" w:rsidR="004B13C3" w:rsidRPr="00032971" w:rsidRDefault="00AD45C5" w:rsidP="00AD45C5">
      <w:pPr>
        <w:spacing w:after="120"/>
        <w:ind w:right="338"/>
        <w:rPr>
          <w:b/>
          <w:bCs/>
          <w:sz w:val="22"/>
          <w:szCs w:val="22"/>
        </w:rPr>
      </w:pPr>
      <w:r w:rsidRPr="009C2D9C">
        <w:rPr>
          <w:b/>
          <w:bCs/>
        </w:rPr>
        <w:t>High Commissioner and the Secretary-General</w:t>
      </w:r>
    </w:p>
    <w:p w14:paraId="1BAFB731" w14:textId="77777777" w:rsidR="004B13C3" w:rsidRPr="00AD45C5" w:rsidRDefault="004B13C3" w:rsidP="00AD45C5">
      <w:pPr>
        <w:pStyle w:val="HChG"/>
      </w:pPr>
      <w:r w:rsidRPr="00032971">
        <w:tab/>
      </w:r>
      <w:r w:rsidRPr="00032971">
        <w:tab/>
      </w:r>
      <w:bookmarkStart w:id="0" w:name="_Toc63436794"/>
      <w:r w:rsidRPr="00AD45C5">
        <w:t>Promoting</w:t>
      </w:r>
      <w:r w:rsidR="00D35233" w:rsidRPr="00AD45C5">
        <w:t xml:space="preserve"> </w:t>
      </w:r>
      <w:r w:rsidRPr="00AD45C5">
        <w:t>reconciliation,</w:t>
      </w:r>
      <w:r w:rsidR="00D35233" w:rsidRPr="00AD45C5">
        <w:t xml:space="preserve"> </w:t>
      </w:r>
      <w:r w:rsidRPr="00AD45C5">
        <w:t>accountability</w:t>
      </w:r>
      <w:r w:rsidR="00D35233" w:rsidRPr="00AD45C5">
        <w:t xml:space="preserve"> </w:t>
      </w:r>
      <w:r w:rsidRPr="00AD45C5">
        <w:t>and</w:t>
      </w:r>
      <w:r w:rsidR="00D35233" w:rsidRPr="00AD45C5">
        <w:t xml:space="preserve"> </w:t>
      </w:r>
      <w:r w:rsidRPr="00AD45C5">
        <w:t>human</w:t>
      </w:r>
      <w:r w:rsidR="00D35233" w:rsidRPr="00AD45C5">
        <w:t xml:space="preserve"> </w:t>
      </w:r>
      <w:r w:rsidRPr="00AD45C5">
        <w:t>rights</w:t>
      </w:r>
      <w:r w:rsidR="00D35233" w:rsidRPr="00AD45C5">
        <w:t xml:space="preserve"> </w:t>
      </w:r>
      <w:r w:rsidRPr="00AD45C5">
        <w:t>in</w:t>
      </w:r>
      <w:r w:rsidR="00D35233" w:rsidRPr="00AD45C5">
        <w:t xml:space="preserve"> </w:t>
      </w:r>
      <w:r w:rsidRPr="00AD45C5">
        <w:t>Sri</w:t>
      </w:r>
      <w:r w:rsidR="00D35233" w:rsidRPr="00AD45C5">
        <w:t xml:space="preserve"> </w:t>
      </w:r>
      <w:r w:rsidRPr="00AD45C5">
        <w:t>Lanka</w:t>
      </w:r>
      <w:bookmarkEnd w:id="0"/>
    </w:p>
    <w:p w14:paraId="3F139B2F" w14:textId="77777777" w:rsidR="004B13C3" w:rsidRDefault="004B13C3" w:rsidP="00EA33A2">
      <w:pPr>
        <w:pStyle w:val="H1G"/>
        <w:ind w:right="338"/>
        <w:rPr>
          <w:b w:val="0"/>
          <w:bCs/>
          <w:sz w:val="20"/>
        </w:rPr>
      </w:pPr>
      <w:r w:rsidRPr="00032971">
        <w:rPr>
          <w:sz w:val="22"/>
          <w:szCs w:val="22"/>
        </w:rPr>
        <w:tab/>
      </w:r>
      <w:r w:rsidRPr="00032971">
        <w:rPr>
          <w:sz w:val="22"/>
          <w:szCs w:val="22"/>
        </w:rPr>
        <w:tab/>
      </w:r>
      <w:bookmarkStart w:id="1" w:name="_Toc63436795"/>
      <w:r w:rsidRPr="00AD45C5">
        <w:t>Report</w:t>
      </w:r>
      <w:r w:rsidR="00D35233" w:rsidRPr="00AD45C5">
        <w:t xml:space="preserve"> </w:t>
      </w:r>
      <w:r w:rsidRPr="00AD45C5">
        <w:t>of</w:t>
      </w:r>
      <w:r w:rsidR="00D35233" w:rsidRPr="00AD45C5">
        <w:t xml:space="preserve"> </w:t>
      </w:r>
      <w:r w:rsidRPr="00AD45C5">
        <w:t>the</w:t>
      </w:r>
      <w:r w:rsidR="00D35233" w:rsidRPr="00AD45C5">
        <w:t xml:space="preserve"> </w:t>
      </w:r>
      <w:r w:rsidRPr="00AD45C5">
        <w:t>United</w:t>
      </w:r>
      <w:r w:rsidR="00D35233" w:rsidRPr="00AD45C5">
        <w:t xml:space="preserve"> </w:t>
      </w:r>
      <w:r w:rsidRPr="00AD45C5">
        <w:t>Nations</w:t>
      </w:r>
      <w:r w:rsidR="00D35233" w:rsidRPr="00AD45C5">
        <w:t xml:space="preserve"> </w:t>
      </w:r>
      <w:r w:rsidRPr="00AD45C5">
        <w:t>High</w:t>
      </w:r>
      <w:r w:rsidR="00D35233" w:rsidRPr="00AD45C5">
        <w:t xml:space="preserve"> </w:t>
      </w:r>
      <w:r w:rsidRPr="00AD45C5">
        <w:t>Commissioner</w:t>
      </w:r>
      <w:r w:rsidR="00D35233" w:rsidRPr="00AD45C5">
        <w:t xml:space="preserve"> </w:t>
      </w:r>
      <w:r w:rsidRPr="00AD45C5">
        <w:t>for</w:t>
      </w:r>
      <w:r w:rsidR="00D35233" w:rsidRPr="00AD45C5">
        <w:t xml:space="preserve"> </w:t>
      </w:r>
      <w:r w:rsidRPr="00AD45C5">
        <w:t>Human</w:t>
      </w:r>
      <w:r w:rsidR="00D35233" w:rsidRPr="00AD45C5">
        <w:t xml:space="preserve"> </w:t>
      </w:r>
      <w:r w:rsidRPr="00AD45C5">
        <w:t>Rights</w:t>
      </w:r>
      <w:r w:rsidRPr="00032971">
        <w:rPr>
          <w:rStyle w:val="FootnoteReference"/>
          <w:b w:val="0"/>
          <w:bCs/>
          <w:sz w:val="20"/>
          <w:vertAlign w:val="baseline"/>
        </w:rPr>
        <w:footnoteReference w:customMarkFollows="1" w:id="2"/>
        <w:t>*</w:t>
      </w:r>
      <w:bookmarkEnd w:id="1"/>
    </w:p>
    <w:p w14:paraId="6E351F61" w14:textId="77777777" w:rsidR="00D04FCA" w:rsidRDefault="00D04FCA" w:rsidP="00D04FCA"/>
    <w:tbl>
      <w:tblPr>
        <w:tblStyle w:val="TableGrid"/>
        <w:tblW w:w="0" w:type="auto"/>
        <w:jc w:val="center"/>
        <w:tblLook w:val="05E0" w:firstRow="1" w:lastRow="1" w:firstColumn="1" w:lastColumn="1" w:noHBand="0" w:noVBand="1"/>
      </w:tblPr>
      <w:tblGrid>
        <w:gridCol w:w="8833"/>
      </w:tblGrid>
      <w:tr w:rsidR="00D04FCA" w:rsidRPr="00936EF8" w14:paraId="6B26BB8E" w14:textId="77777777" w:rsidTr="007177B2">
        <w:trPr>
          <w:jc w:val="center"/>
        </w:trPr>
        <w:tc>
          <w:tcPr>
            <w:tcW w:w="9637" w:type="dxa"/>
            <w:tcBorders>
              <w:bottom w:val="nil"/>
            </w:tcBorders>
          </w:tcPr>
          <w:p w14:paraId="0701CD1E" w14:textId="77777777" w:rsidR="00D04FCA" w:rsidRPr="00936EF8" w:rsidRDefault="00D04FCA" w:rsidP="007177B2">
            <w:pPr>
              <w:tabs>
                <w:tab w:val="left" w:pos="255"/>
              </w:tabs>
              <w:suppressAutoHyphens w:val="0"/>
              <w:spacing w:before="240" w:after="120"/>
              <w:rPr>
                <w:sz w:val="24"/>
                <w:lang w:val="en-GB"/>
              </w:rPr>
            </w:pPr>
            <w:r w:rsidRPr="00936EF8">
              <w:rPr>
                <w:lang w:val="en-GB"/>
              </w:rPr>
              <w:tab/>
            </w:r>
            <w:r w:rsidRPr="00936EF8">
              <w:rPr>
                <w:i/>
                <w:sz w:val="24"/>
                <w:lang w:val="en-GB"/>
              </w:rPr>
              <w:t>Summary</w:t>
            </w:r>
          </w:p>
        </w:tc>
      </w:tr>
      <w:tr w:rsidR="00D04FCA" w:rsidRPr="00B921B9" w14:paraId="2C5B0004" w14:textId="77777777" w:rsidTr="007177B2">
        <w:trPr>
          <w:jc w:val="center"/>
        </w:trPr>
        <w:tc>
          <w:tcPr>
            <w:tcW w:w="9637" w:type="dxa"/>
            <w:tcBorders>
              <w:top w:val="nil"/>
              <w:bottom w:val="nil"/>
            </w:tcBorders>
            <w:shd w:val="clear" w:color="auto" w:fill="auto"/>
          </w:tcPr>
          <w:p w14:paraId="47F6379D" w14:textId="3D508C40" w:rsidR="00D04FCA" w:rsidRDefault="00D04FCA" w:rsidP="00D04FCA">
            <w:pPr>
              <w:pStyle w:val="SingleTxtG"/>
              <w:rPr>
                <w:color w:val="000000" w:themeColor="text1"/>
              </w:rPr>
            </w:pPr>
            <w:r w:rsidRPr="00B921B9">
              <w:rPr>
                <w:lang w:val="en-GB"/>
              </w:rPr>
              <w:tab/>
              <w:t xml:space="preserve">The present </w:t>
            </w:r>
            <w:r w:rsidRPr="00032971">
              <w:t>written update is submitted pursuant to Human Rights Council resolution 46/1</w:t>
            </w:r>
            <w:r>
              <w:t>.</w:t>
            </w:r>
            <w:r w:rsidRPr="00032971">
              <w:t xml:space="preserve"> OHCHR presents its observations on the human rights situation in Sri Lanka and continuing challenges </w:t>
            </w:r>
            <w:r w:rsidRPr="00032971">
              <w:rPr>
                <w:color w:val="000000" w:themeColor="text1"/>
              </w:rPr>
              <w:t>for advancing reconciliation,</w:t>
            </w:r>
            <w:r>
              <w:rPr>
                <w:color w:val="000000" w:themeColor="text1"/>
              </w:rPr>
              <w:t xml:space="preserve"> </w:t>
            </w:r>
            <w:r w:rsidRPr="00032971">
              <w:rPr>
                <w:color w:val="000000" w:themeColor="text1"/>
              </w:rPr>
              <w:t xml:space="preserve">accountability and human rights. </w:t>
            </w:r>
            <w:r w:rsidRPr="00032971">
              <w:t xml:space="preserve">It focusses on developments since the High Commissioner’s last report on Sri Lanka in </w:t>
            </w:r>
            <w:r>
              <w:t>February</w:t>
            </w:r>
            <w:r w:rsidR="001C0059">
              <w:t xml:space="preserve"> 2021, </w:t>
            </w:r>
            <w:r w:rsidRPr="00032971">
              <w:t xml:space="preserve">including the broader trends </w:t>
            </w:r>
            <w:r w:rsidR="00B9040F">
              <w:t xml:space="preserve">identified at that time. </w:t>
            </w:r>
            <w:r w:rsidRPr="00380637">
              <w:t>T</w:t>
            </w:r>
            <w:r w:rsidRPr="00380637">
              <w:rPr>
                <w:color w:val="000000" w:themeColor="text1"/>
              </w:rPr>
              <w:t>he report also includes an update on steps taken to implement the accountability-related aspects of resolution 46/1.</w:t>
            </w:r>
          </w:p>
          <w:p w14:paraId="4BC053C8" w14:textId="2DCF1B4A" w:rsidR="00D04FCA" w:rsidRPr="00B921B9" w:rsidRDefault="00D04FCA" w:rsidP="00D04FCA">
            <w:pPr>
              <w:pStyle w:val="SingleTxtG"/>
              <w:ind w:firstLine="567"/>
              <w:rPr>
                <w:lang w:val="en-GB"/>
              </w:rPr>
            </w:pPr>
            <w:r>
              <w:t xml:space="preserve">The High </w:t>
            </w:r>
            <w:r w:rsidRPr="003326B8">
              <w:t>Commissioner remains concerned about the continued lack of accountability for past human rights violations and recognition of victims’ rights in Sri Lanka</w:t>
            </w:r>
            <w:r w:rsidR="003326B8" w:rsidRPr="00641186">
              <w:t>, particularly those stemming from the conflict that ended in 2009</w:t>
            </w:r>
            <w:r w:rsidRPr="00641186">
              <w:t>. She highlights continuing trends towards militarization and ethno-religious nationalism that undermine democratic institutions, increase the anxiety of minorities, and impede reconciliation. At the same time, the High</w:t>
            </w:r>
            <w:r w:rsidRPr="003326B8">
              <w:t xml:space="preserve"> Commissioner</w:t>
            </w:r>
            <w:r w:rsidRPr="00121A76">
              <w:t xml:space="preserve"> recognizes the recent signs of renewed openness of the Government in engaging with OHCHR and the initial steps taken to initiate some reforms. The High Commissioner believes however that a comprehensive vision for a genuine</w:t>
            </w:r>
            <w:r>
              <w:t xml:space="preserve"> reconciliation and</w:t>
            </w:r>
            <w:r w:rsidRPr="00800CD4">
              <w:t xml:space="preserve"> accountability</w:t>
            </w:r>
            <w:r>
              <w:t xml:space="preserve"> process is urgently needed, as well as deeper institutional and security sector reforms that will end impunity and prevent the recurrence of violations of the past.</w:t>
            </w:r>
          </w:p>
        </w:tc>
      </w:tr>
      <w:tr w:rsidR="00D04FCA" w:rsidRPr="00B921B9" w14:paraId="6E243113" w14:textId="77777777" w:rsidTr="007177B2">
        <w:trPr>
          <w:jc w:val="center"/>
        </w:trPr>
        <w:tc>
          <w:tcPr>
            <w:tcW w:w="9637" w:type="dxa"/>
            <w:tcBorders>
              <w:top w:val="nil"/>
            </w:tcBorders>
          </w:tcPr>
          <w:p w14:paraId="3A1C638F" w14:textId="77777777" w:rsidR="00D04FCA" w:rsidRPr="00B921B9" w:rsidRDefault="00D04FCA" w:rsidP="007177B2">
            <w:pPr>
              <w:suppressAutoHyphens w:val="0"/>
              <w:rPr>
                <w:lang w:val="en-GB"/>
              </w:rPr>
            </w:pPr>
          </w:p>
        </w:tc>
      </w:tr>
    </w:tbl>
    <w:p w14:paraId="7D7B94B8" w14:textId="77777777" w:rsidR="00D04FCA" w:rsidRPr="00D04FCA" w:rsidRDefault="00D04FCA" w:rsidP="00D04FCA"/>
    <w:p w14:paraId="09054990" w14:textId="77777777" w:rsidR="00005A6C" w:rsidRPr="00032971" w:rsidRDefault="004B13C3" w:rsidP="00EA33A2">
      <w:pPr>
        <w:spacing w:after="200" w:line="276" w:lineRule="auto"/>
        <w:ind w:right="338"/>
      </w:pPr>
      <w:r w:rsidRPr="00032971">
        <w:br w:type="page"/>
      </w:r>
    </w:p>
    <w:p w14:paraId="2AE3D063" w14:textId="77777777" w:rsidR="00E03861" w:rsidRPr="00EA33A2" w:rsidRDefault="00005A6C" w:rsidP="00EA33A2">
      <w:pPr>
        <w:pStyle w:val="HChG"/>
        <w:ind w:right="338"/>
      </w:pPr>
      <w:r w:rsidRPr="00EA33A2">
        <w:lastRenderedPageBreak/>
        <w:tab/>
      </w:r>
      <w:r w:rsidR="007C66EA" w:rsidRPr="00EA33A2">
        <w:t>I.</w:t>
      </w:r>
      <w:r w:rsidRPr="00EA33A2">
        <w:tab/>
      </w:r>
      <w:r w:rsidR="00E03861" w:rsidRPr="00EA33A2">
        <w:t>Introduction</w:t>
      </w:r>
    </w:p>
    <w:p w14:paraId="00BE2CDA" w14:textId="39F7675C" w:rsidR="00032971" w:rsidRPr="00473D95" w:rsidRDefault="00473D95" w:rsidP="00EA33A2">
      <w:pPr>
        <w:pStyle w:val="SingleTxtG"/>
        <w:tabs>
          <w:tab w:val="clear" w:pos="1701"/>
          <w:tab w:val="clear" w:pos="2268"/>
        </w:tabs>
        <w:ind w:right="338"/>
      </w:pPr>
      <w:r>
        <w:t>1.</w:t>
      </w:r>
      <w:r w:rsidR="00CC6094">
        <w:tab/>
      </w:r>
      <w:r w:rsidR="00E03861" w:rsidRPr="007C66EA">
        <w:t xml:space="preserve">This </w:t>
      </w:r>
      <w:r w:rsidR="006041D4" w:rsidRPr="007C66EA">
        <w:t>written u</w:t>
      </w:r>
      <w:r w:rsidR="006041D4" w:rsidRPr="00473D95">
        <w:t>pdate</w:t>
      </w:r>
      <w:r w:rsidR="00E03861" w:rsidRPr="00473D95">
        <w:t xml:space="preserve"> is presented pursuant to Human Rights Council</w:t>
      </w:r>
      <w:r w:rsidR="000A7887" w:rsidRPr="00473D95">
        <w:t xml:space="preserve"> </w:t>
      </w:r>
      <w:r w:rsidR="00E03861" w:rsidRPr="00473D95">
        <w:t>resolution 46/1</w:t>
      </w:r>
      <w:r w:rsidR="001E4E26" w:rsidRPr="00473D95">
        <w:t xml:space="preserve"> </w:t>
      </w:r>
      <w:r w:rsidR="001A3930" w:rsidRPr="00473D95">
        <w:t>that</w:t>
      </w:r>
      <w:r w:rsidR="00E03861" w:rsidRPr="00473D95">
        <w:t xml:space="preserve"> requested  the Office of the United Nations High Commissioner for Human Rights (OHCHR) to enhance its monitoring and reporting on the situation of human rights in Sri Lanka, including on progress in reconciliation and accountability, and to present a written update at its forty-ninth session</w:t>
      </w:r>
      <w:r w:rsidR="00186BB9" w:rsidRPr="00473D95">
        <w:t>.</w:t>
      </w:r>
      <w:r w:rsidR="0007079F" w:rsidRPr="007F087A">
        <w:rPr>
          <w:vertAlign w:val="superscript"/>
        </w:rPr>
        <w:footnoteReference w:id="3"/>
      </w:r>
      <w:r w:rsidR="00E64656" w:rsidRPr="00473D95">
        <w:t xml:space="preserve"> </w:t>
      </w:r>
      <w:r w:rsidR="001A3930" w:rsidRPr="00473D95">
        <w:t xml:space="preserve">It focusses on developments since the High Commissioner’s last report on Sri Lanka in </w:t>
      </w:r>
      <w:r w:rsidR="00E659B1" w:rsidRPr="00473D95">
        <w:t xml:space="preserve">February </w:t>
      </w:r>
      <w:r w:rsidR="001A3930" w:rsidRPr="00473D95">
        <w:t xml:space="preserve">2021, including the broader trends she identified at that time. The report also includes an update on steps </w:t>
      </w:r>
      <w:r w:rsidR="00E03861" w:rsidRPr="00473D95">
        <w:t xml:space="preserve">to strengthen the capacity of </w:t>
      </w:r>
      <w:r w:rsidR="00A34757" w:rsidRPr="00473D95">
        <w:t xml:space="preserve">OHCHR </w:t>
      </w:r>
      <w:r w:rsidR="00E03861" w:rsidRPr="00473D95">
        <w:t>to collect, consolidate, analyse and preserve information and evidence and to develop possible strategies for future accountability processes, to advocate for victims and survivors, and to support relevant judicial and other proceedings, including in Member States, with competent jurisdiction.</w:t>
      </w:r>
      <w:r w:rsidR="00070FF2">
        <w:rPr>
          <w:rStyle w:val="FootnoteReference"/>
        </w:rPr>
        <w:footnoteReference w:id="4"/>
      </w:r>
      <w:r w:rsidR="00745FA0" w:rsidRPr="00473D95">
        <w:t xml:space="preserve"> </w:t>
      </w:r>
    </w:p>
    <w:p w14:paraId="1ACB543B" w14:textId="305A34EA" w:rsidR="00032971" w:rsidRPr="00EA33A2" w:rsidRDefault="00CC6094" w:rsidP="00EA33A2">
      <w:pPr>
        <w:pStyle w:val="SingleTxtG"/>
        <w:tabs>
          <w:tab w:val="clear" w:pos="1701"/>
          <w:tab w:val="clear" w:pos="2268"/>
        </w:tabs>
        <w:ind w:right="338"/>
      </w:pPr>
      <w:r>
        <w:t>2.</w:t>
      </w:r>
      <w:r w:rsidR="00192A7B" w:rsidRPr="00473D95">
        <w:tab/>
      </w:r>
      <w:bookmarkStart w:id="2" w:name="_Hlk95398001"/>
      <w:r w:rsidR="00D66A29" w:rsidRPr="00473D95">
        <w:t xml:space="preserve">OHCHR </w:t>
      </w:r>
      <w:r w:rsidR="00D66A29" w:rsidRPr="00EA33A2">
        <w:t xml:space="preserve">appreciates the constructive engagement of the Government throughout the preparation of this update. </w:t>
      </w:r>
      <w:r w:rsidR="00E03861" w:rsidRPr="00EA33A2">
        <w:t xml:space="preserve">OHCHR sent </w:t>
      </w:r>
      <w:r w:rsidR="004874EF" w:rsidRPr="00EA33A2">
        <w:t xml:space="preserve">a </w:t>
      </w:r>
      <w:r w:rsidR="00E03861" w:rsidRPr="00EA33A2">
        <w:t>list of questions to the Government of Sri Lanka</w:t>
      </w:r>
      <w:r w:rsidR="0072367D" w:rsidRPr="00EA33A2">
        <w:t xml:space="preserve"> on</w:t>
      </w:r>
      <w:r w:rsidR="00E03861" w:rsidRPr="00EA33A2">
        <w:t xml:space="preserve"> </w:t>
      </w:r>
      <w:r w:rsidR="0072367D" w:rsidRPr="00EA33A2">
        <w:t xml:space="preserve">25 October 2021 and received </w:t>
      </w:r>
      <w:r w:rsidR="001A3930" w:rsidRPr="00EA33A2">
        <w:t xml:space="preserve">detailed </w:t>
      </w:r>
      <w:r w:rsidR="0072367D" w:rsidRPr="00EA33A2">
        <w:t xml:space="preserve">written inputs </w:t>
      </w:r>
      <w:r w:rsidR="00E03861" w:rsidRPr="00EA33A2">
        <w:t xml:space="preserve">on </w:t>
      </w:r>
      <w:r w:rsidR="00196FBE" w:rsidRPr="00EA33A2">
        <w:t>8</w:t>
      </w:r>
      <w:r w:rsidR="009F66D8" w:rsidRPr="00EA33A2">
        <w:t xml:space="preserve"> </w:t>
      </w:r>
      <w:r w:rsidR="0072367D" w:rsidRPr="00EA33A2">
        <w:t xml:space="preserve">December </w:t>
      </w:r>
      <w:r w:rsidR="009F66D8" w:rsidRPr="00EA33A2">
        <w:t>2021</w:t>
      </w:r>
      <w:r w:rsidR="00087819" w:rsidRPr="00EA33A2">
        <w:t>, along with several later update</w:t>
      </w:r>
      <w:r w:rsidR="00920869" w:rsidRPr="00EA33A2">
        <w:t>s</w:t>
      </w:r>
      <w:r w:rsidR="001D30F9" w:rsidRPr="00EA33A2">
        <w:t>.</w:t>
      </w:r>
      <w:r w:rsidR="0072367D" w:rsidRPr="007F087A">
        <w:rPr>
          <w:vertAlign w:val="superscript"/>
        </w:rPr>
        <w:footnoteReference w:id="5"/>
      </w:r>
      <w:r w:rsidR="00070FF2">
        <w:t xml:space="preserve"> </w:t>
      </w:r>
      <w:r w:rsidR="00D66A29" w:rsidRPr="00EA33A2">
        <w:t>Furthermore, t</w:t>
      </w:r>
      <w:r w:rsidR="001A3930" w:rsidRPr="00EA33A2">
        <w:t>he Government agreed to an</w:t>
      </w:r>
      <w:r w:rsidR="004874EF" w:rsidRPr="00EA33A2">
        <w:t xml:space="preserve"> OHCHR delegation </w:t>
      </w:r>
      <w:r w:rsidR="001A3930" w:rsidRPr="00EA33A2">
        <w:t>visiting</w:t>
      </w:r>
      <w:r w:rsidR="004874EF" w:rsidRPr="00EA33A2">
        <w:t xml:space="preserve"> Sri Lanka in January 2022</w:t>
      </w:r>
      <w:r w:rsidR="001A3930" w:rsidRPr="00EA33A2">
        <w:t xml:space="preserve"> for further consultations, </w:t>
      </w:r>
      <w:r w:rsidR="005D0E60" w:rsidRPr="00EA33A2">
        <w:t>however</w:t>
      </w:r>
      <w:r w:rsidR="001A3930" w:rsidRPr="00EA33A2">
        <w:t xml:space="preserve"> </w:t>
      </w:r>
      <w:r w:rsidR="00A1412C" w:rsidRPr="00EA33A2">
        <w:t>this could not take place</w:t>
      </w:r>
      <w:r w:rsidR="005D0E60" w:rsidRPr="00EA33A2">
        <w:t xml:space="preserve"> due to </w:t>
      </w:r>
      <w:r w:rsidR="00861E42" w:rsidRPr="00EA33A2">
        <w:t xml:space="preserve">the </w:t>
      </w:r>
      <w:r w:rsidR="005D0E60" w:rsidRPr="00EA33A2">
        <w:t>COVID-19</w:t>
      </w:r>
      <w:r w:rsidR="00861E42" w:rsidRPr="00EA33A2">
        <w:t xml:space="preserve"> situation in Europe</w:t>
      </w:r>
      <w:r w:rsidR="0072367D" w:rsidRPr="00EA33A2">
        <w:t>.</w:t>
      </w:r>
      <w:r w:rsidR="00E64656" w:rsidRPr="00EA33A2">
        <w:t xml:space="preserve"> </w:t>
      </w:r>
      <w:r w:rsidR="00861E42" w:rsidRPr="00EA33A2">
        <w:t>Virtual consultations were held instead between OHCHR and Government counterparts on 24 January</w:t>
      </w:r>
      <w:r w:rsidR="00402274" w:rsidRPr="00EA33A2">
        <w:t>,</w:t>
      </w:r>
      <w:r w:rsidR="00861E42" w:rsidRPr="00EA33A2">
        <w:t xml:space="preserve"> and OHCHR met with a range of other stakeholders. </w:t>
      </w:r>
      <w:r w:rsidR="00087819" w:rsidRPr="00EA33A2">
        <w:t xml:space="preserve">OHCHR appreciates the open and substantive nature of these exchanges. </w:t>
      </w:r>
      <w:r w:rsidR="008F1932" w:rsidRPr="00EA33A2">
        <w:t>T</w:t>
      </w:r>
      <w:r w:rsidR="001A3930" w:rsidRPr="00EA33A2">
        <w:t xml:space="preserve">he report was shared with the Government to provide an opportunity to </w:t>
      </w:r>
      <w:r w:rsidR="00BB1AB4" w:rsidRPr="00EA33A2">
        <w:t>comment.</w:t>
      </w:r>
      <w:r w:rsidR="00CC4618" w:rsidRPr="00EA33A2">
        <w:t xml:space="preserve"> </w:t>
      </w:r>
    </w:p>
    <w:bookmarkEnd w:id="2"/>
    <w:p w14:paraId="056B1549" w14:textId="4BD8A5E7" w:rsidR="00C067B4" w:rsidRPr="007C66EA" w:rsidRDefault="005B2EF7" w:rsidP="00EA33A2">
      <w:pPr>
        <w:pStyle w:val="SingleTxtG"/>
        <w:tabs>
          <w:tab w:val="clear" w:pos="1701"/>
          <w:tab w:val="clear" w:pos="2268"/>
        </w:tabs>
        <w:ind w:right="338"/>
      </w:pPr>
      <w:r w:rsidRPr="00EA33A2">
        <w:t>3.</w:t>
      </w:r>
      <w:r w:rsidR="00192A7B" w:rsidRPr="00EA33A2">
        <w:tab/>
      </w:r>
      <w:r w:rsidR="0072367D" w:rsidRPr="00EA33A2">
        <w:t>T</w:t>
      </w:r>
      <w:r w:rsidR="00E03861" w:rsidRPr="00EA33A2">
        <w:t>he Special Rapporteur on contemporary forms of slavery, including its causes and consequences visited Sri Lanka between 2</w:t>
      </w:r>
      <w:r w:rsidR="0072367D" w:rsidRPr="00EA33A2">
        <w:t>6</w:t>
      </w:r>
      <w:r w:rsidR="00E03861" w:rsidRPr="00EA33A2">
        <w:t xml:space="preserve"> November and 3</w:t>
      </w:r>
      <w:r w:rsidR="0072367D" w:rsidRPr="00EA33A2">
        <w:t xml:space="preserve"> </w:t>
      </w:r>
      <w:r w:rsidR="007F087A">
        <w:t>December 2021.</w:t>
      </w:r>
      <w:r w:rsidR="00341FA9" w:rsidRPr="007F087A">
        <w:rPr>
          <w:rStyle w:val="FootnoteReference"/>
          <w:sz w:val="20"/>
        </w:rPr>
        <w:footnoteReference w:id="6"/>
      </w:r>
      <w:r w:rsidR="00E03861" w:rsidRPr="00EA33A2">
        <w:t xml:space="preserve"> </w:t>
      </w:r>
      <w:r w:rsidR="001A3930" w:rsidRPr="00EA33A2">
        <w:t xml:space="preserve">The Government has also agreed to a visit by the Special Rapporteur on the right to education which has still to be scheduled.  </w:t>
      </w:r>
      <w:r w:rsidR="009D57B4" w:rsidRPr="00EA33A2">
        <w:t>On 5 February</w:t>
      </w:r>
      <w:r w:rsidR="00861E42" w:rsidRPr="00EA33A2">
        <w:t xml:space="preserve"> 2021</w:t>
      </w:r>
      <w:r w:rsidR="009D57B4" w:rsidRPr="00EA33A2">
        <w:t>,</w:t>
      </w:r>
      <w:r w:rsidR="00CC4618" w:rsidRPr="00EA33A2">
        <w:t xml:space="preserve"> </w:t>
      </w:r>
      <w:r w:rsidR="00354314" w:rsidRPr="00EA33A2">
        <w:t>10</w:t>
      </w:r>
      <w:r w:rsidR="009D57B4" w:rsidRPr="00EA33A2">
        <w:t xml:space="preserve"> Special Procedures issued a joint statement recalling</w:t>
      </w:r>
      <w:r w:rsidR="009D57B4" w:rsidRPr="007C66EA">
        <w:t xml:space="preserve"> key recommendations made by </w:t>
      </w:r>
      <w:r w:rsidR="009D57B4" w:rsidRPr="00FA7964">
        <w:t>them followin</w:t>
      </w:r>
      <w:r w:rsidR="009D57B4" w:rsidRPr="00111EA2">
        <w:t>g official visits between 2015 to 2019.</w:t>
      </w:r>
      <w:r w:rsidR="009D57B4" w:rsidRPr="00111EA2">
        <w:rPr>
          <w:rStyle w:val="FootnoteReference"/>
          <w:sz w:val="20"/>
        </w:rPr>
        <w:footnoteReference w:id="7"/>
      </w:r>
      <w:r w:rsidR="009D57B4" w:rsidRPr="00111EA2">
        <w:rPr>
          <w:vertAlign w:val="superscript"/>
        </w:rPr>
        <w:t xml:space="preserve">  </w:t>
      </w:r>
      <w:r w:rsidR="009D57B4" w:rsidRPr="00111EA2">
        <w:t xml:space="preserve">During </w:t>
      </w:r>
      <w:r w:rsidR="00A70924" w:rsidRPr="00111EA2">
        <w:t xml:space="preserve">2021, </w:t>
      </w:r>
      <w:r w:rsidR="0072367D" w:rsidRPr="00111EA2">
        <w:t>S</w:t>
      </w:r>
      <w:r w:rsidR="00A70924" w:rsidRPr="00111EA2">
        <w:t xml:space="preserve">pecial </w:t>
      </w:r>
      <w:r w:rsidR="0072367D" w:rsidRPr="00111EA2">
        <w:t>P</w:t>
      </w:r>
      <w:r w:rsidR="00A70924" w:rsidRPr="00111EA2">
        <w:t>rocedures</w:t>
      </w:r>
      <w:r w:rsidR="00E536FF" w:rsidRPr="00111EA2">
        <w:t xml:space="preserve"> </w:t>
      </w:r>
      <w:r w:rsidR="00A70924" w:rsidRPr="00111EA2">
        <w:t xml:space="preserve">issued </w:t>
      </w:r>
      <w:r w:rsidR="001D30F9">
        <w:t>nine</w:t>
      </w:r>
      <w:r w:rsidR="00A70924" w:rsidRPr="00111EA2">
        <w:t xml:space="preserve"> communications on Sri Lanka</w:t>
      </w:r>
      <w:r w:rsidR="009D57B4" w:rsidRPr="00111EA2">
        <w:t>; t</w:t>
      </w:r>
      <w:r w:rsidR="00A70924" w:rsidRPr="00111EA2">
        <w:t>he Government ha</w:t>
      </w:r>
      <w:r w:rsidR="00A1412C" w:rsidRPr="00111EA2">
        <w:t>d</w:t>
      </w:r>
      <w:r w:rsidR="00A70924" w:rsidRPr="00111EA2">
        <w:t xml:space="preserve"> responded to f</w:t>
      </w:r>
      <w:r w:rsidR="00111EA2">
        <w:t>ive</w:t>
      </w:r>
      <w:r w:rsidR="0007079F" w:rsidRPr="00111EA2">
        <w:t xml:space="preserve"> as of </w:t>
      </w:r>
      <w:r w:rsidR="00111EA2">
        <w:t>1</w:t>
      </w:r>
      <w:r w:rsidR="001D30F9">
        <w:t>4</w:t>
      </w:r>
      <w:r w:rsidR="00111EA2">
        <w:t xml:space="preserve"> </w:t>
      </w:r>
      <w:r w:rsidR="0007079F" w:rsidRPr="00111EA2">
        <w:t>February 2022</w:t>
      </w:r>
      <w:r w:rsidR="00A70924" w:rsidRPr="00FA7964">
        <w:t>.</w:t>
      </w:r>
      <w:r w:rsidR="0023768E" w:rsidRPr="00FA7964">
        <w:rPr>
          <w:rStyle w:val="FootnoteReference"/>
        </w:rPr>
        <w:footnoteReference w:id="8"/>
      </w:r>
      <w:r w:rsidR="00A70924" w:rsidRPr="007C66EA">
        <w:t xml:space="preserve"> </w:t>
      </w:r>
    </w:p>
    <w:p w14:paraId="781C32D2" w14:textId="3CC2518F" w:rsidR="00022819" w:rsidRPr="00032971" w:rsidRDefault="007C66EA" w:rsidP="00EA33A2">
      <w:pPr>
        <w:pStyle w:val="HChG"/>
        <w:ind w:right="338"/>
        <w:rPr>
          <w:lang w:val="en-US"/>
        </w:rPr>
      </w:pPr>
      <w:r>
        <w:rPr>
          <w:lang w:val="en-US"/>
        </w:rPr>
        <w:tab/>
        <w:t>II.</w:t>
      </w:r>
      <w:r>
        <w:rPr>
          <w:lang w:val="en-US"/>
        </w:rPr>
        <w:tab/>
      </w:r>
      <w:r w:rsidR="0023768E">
        <w:rPr>
          <w:lang w:val="en-US"/>
        </w:rPr>
        <w:t>Context</w:t>
      </w:r>
    </w:p>
    <w:p w14:paraId="6CD6ABAB" w14:textId="028A73F2" w:rsidR="00032971" w:rsidRPr="00861E42" w:rsidRDefault="005B2EF7" w:rsidP="00EA33A2">
      <w:pPr>
        <w:pStyle w:val="SingleTxtG"/>
        <w:tabs>
          <w:tab w:val="clear" w:pos="1701"/>
          <w:tab w:val="clear" w:pos="2268"/>
        </w:tabs>
        <w:ind w:right="338"/>
      </w:pPr>
      <w:r>
        <w:t>4.</w:t>
      </w:r>
      <w:r>
        <w:tab/>
      </w:r>
      <w:r w:rsidR="00C102EF" w:rsidRPr="00032971">
        <w:t xml:space="preserve">Since 2020, </w:t>
      </w:r>
      <w:r w:rsidR="00582FA2" w:rsidRPr="00032971">
        <w:t>Sri Lanka has faced s</w:t>
      </w:r>
      <w:r w:rsidR="00320C37" w:rsidRPr="00032971">
        <w:t>everal</w:t>
      </w:r>
      <w:r w:rsidR="00582FA2" w:rsidRPr="00032971">
        <w:t xml:space="preserve"> waves of the </w:t>
      </w:r>
      <w:r w:rsidR="009D57B4" w:rsidRPr="00032971">
        <w:t>COVID</w:t>
      </w:r>
      <w:r w:rsidR="00582FA2" w:rsidRPr="00032971">
        <w:t xml:space="preserve">-19 </w:t>
      </w:r>
      <w:r w:rsidR="00E54E69" w:rsidRPr="00032971">
        <w:t xml:space="preserve">pandemic, which </w:t>
      </w:r>
      <w:r w:rsidR="000F31F1" w:rsidRPr="00032971">
        <w:t>have had a multi-dimensional human rights impact on</w:t>
      </w:r>
      <w:r w:rsidR="00E54E69" w:rsidRPr="00032971">
        <w:rPr>
          <w:rStyle w:val="websearch-marked"/>
        </w:rPr>
        <w:t xml:space="preserve"> </w:t>
      </w:r>
      <w:r w:rsidR="009D57B4" w:rsidRPr="00032971">
        <w:rPr>
          <w:rStyle w:val="websearch-marked"/>
        </w:rPr>
        <w:t xml:space="preserve">public </w:t>
      </w:r>
      <w:r w:rsidR="00E54E69" w:rsidRPr="00032971">
        <w:rPr>
          <w:rStyle w:val="websearch-marked"/>
        </w:rPr>
        <w:t>health</w:t>
      </w:r>
      <w:r w:rsidR="00087819">
        <w:rPr>
          <w:rStyle w:val="websearch-marked"/>
        </w:rPr>
        <w:t xml:space="preserve"> and</w:t>
      </w:r>
      <w:r w:rsidR="00E54E69" w:rsidRPr="00032971">
        <w:rPr>
          <w:rStyle w:val="websearch-marked"/>
        </w:rPr>
        <w:t xml:space="preserve"> economic</w:t>
      </w:r>
      <w:r w:rsidR="009D57B4" w:rsidRPr="00032971">
        <w:rPr>
          <w:rStyle w:val="websearch-marked"/>
        </w:rPr>
        <w:t xml:space="preserve"> and</w:t>
      </w:r>
      <w:r w:rsidR="00E54E69" w:rsidRPr="00032971">
        <w:rPr>
          <w:rStyle w:val="websearch-marked"/>
        </w:rPr>
        <w:t xml:space="preserve"> </w:t>
      </w:r>
      <w:r w:rsidR="00E54E69" w:rsidRPr="00032971">
        <w:rPr>
          <w:rStyle w:val="websearch-marked"/>
        </w:rPr>
        <w:lastRenderedPageBreak/>
        <w:t xml:space="preserve">social </w:t>
      </w:r>
      <w:r w:rsidR="009B7539">
        <w:rPr>
          <w:rStyle w:val="websearch-marked"/>
        </w:rPr>
        <w:t>rights</w:t>
      </w:r>
      <w:r w:rsidR="00E54E69" w:rsidRPr="00032971">
        <w:t xml:space="preserve">. </w:t>
      </w:r>
      <w:r w:rsidR="005A6948">
        <w:t xml:space="preserve">Sri Lanka enjoys free </w:t>
      </w:r>
      <w:r w:rsidR="005E6781">
        <w:t>universal healthcare</w:t>
      </w:r>
      <w:r w:rsidR="004E5BCB">
        <w:t>,</w:t>
      </w:r>
      <w:r w:rsidR="005E6781">
        <w:t xml:space="preserve"> and the </w:t>
      </w:r>
      <w:r w:rsidR="000F31F1" w:rsidRPr="00032971">
        <w:t>Government</w:t>
      </w:r>
      <w:r w:rsidR="00F26B17" w:rsidRPr="00032971">
        <w:t xml:space="preserve"> </w:t>
      </w:r>
      <w:r w:rsidR="00A86112">
        <w:t xml:space="preserve">has </w:t>
      </w:r>
      <w:r w:rsidR="000F31F1" w:rsidRPr="00032971">
        <w:t>achiev</w:t>
      </w:r>
      <w:r w:rsidR="005A11BD">
        <w:t>ed</w:t>
      </w:r>
      <w:r w:rsidR="00861E42">
        <w:t xml:space="preserve"> </w:t>
      </w:r>
      <w:r w:rsidR="00861E42" w:rsidRPr="00A86112">
        <w:t>a</w:t>
      </w:r>
      <w:r w:rsidR="004D6E96">
        <w:t xml:space="preserve"> </w:t>
      </w:r>
      <w:r w:rsidR="00861E42" w:rsidRPr="00A86112">
        <w:t>high</w:t>
      </w:r>
      <w:r w:rsidR="000F31F1" w:rsidRPr="00A86112">
        <w:t xml:space="preserve"> vaccination</w:t>
      </w:r>
      <w:r w:rsidR="000F31F1" w:rsidRPr="00032971">
        <w:t xml:space="preserve"> rate</w:t>
      </w:r>
      <w:r w:rsidR="00087819" w:rsidRPr="00087819">
        <w:t xml:space="preserve"> </w:t>
      </w:r>
      <w:r w:rsidR="00087819">
        <w:t xml:space="preserve">and implemented various </w:t>
      </w:r>
      <w:r w:rsidR="00087819" w:rsidRPr="0023768E">
        <w:t>stimulus and economic support measures</w:t>
      </w:r>
      <w:r w:rsidR="00087819">
        <w:t>.</w:t>
      </w:r>
      <w:r w:rsidR="000F31F1" w:rsidRPr="00032971">
        <w:t xml:space="preserve"> </w:t>
      </w:r>
      <w:r w:rsidR="00087819">
        <w:t>P</w:t>
      </w:r>
      <w:r w:rsidR="00582FA2" w:rsidRPr="00032971">
        <w:t xml:space="preserve">rolonged lockdowns and travel disruptions </w:t>
      </w:r>
      <w:r w:rsidR="00641069" w:rsidRPr="00032971">
        <w:t xml:space="preserve">have </w:t>
      </w:r>
      <w:r w:rsidR="00D66A29">
        <w:t xml:space="preserve">nevertheless </w:t>
      </w:r>
      <w:r w:rsidR="00582FA2" w:rsidRPr="00032971">
        <w:t xml:space="preserve">affected important </w:t>
      </w:r>
      <w:r w:rsidR="00861E42">
        <w:t>sectors</w:t>
      </w:r>
      <w:r w:rsidR="00861E42" w:rsidRPr="00032971">
        <w:t xml:space="preserve"> </w:t>
      </w:r>
      <w:r w:rsidR="00582FA2" w:rsidRPr="00032971">
        <w:t xml:space="preserve">such as tourism, </w:t>
      </w:r>
      <w:r w:rsidR="00861E42">
        <w:t xml:space="preserve">garments, </w:t>
      </w:r>
      <w:r w:rsidR="00582FA2" w:rsidRPr="00032971">
        <w:t>services and transportation</w:t>
      </w:r>
      <w:r w:rsidR="00861E42">
        <w:t xml:space="preserve">, as well as </w:t>
      </w:r>
      <w:r w:rsidR="00D06F5D" w:rsidRPr="00032971">
        <w:rPr>
          <w:shd w:val="clear" w:color="auto" w:fill="FFFFFF"/>
        </w:rPr>
        <w:t xml:space="preserve">decreased export earnings </w:t>
      </w:r>
      <w:r w:rsidR="00861E42">
        <w:rPr>
          <w:shd w:val="clear" w:color="auto" w:fill="FFFFFF"/>
        </w:rPr>
        <w:t xml:space="preserve">and </w:t>
      </w:r>
      <w:r w:rsidR="00D06F5D" w:rsidRPr="00032971">
        <w:rPr>
          <w:shd w:val="clear" w:color="auto" w:fill="FFFFFF"/>
        </w:rPr>
        <w:t>remittances</w:t>
      </w:r>
      <w:r w:rsidR="00D06F5D" w:rsidRPr="00032971">
        <w:t xml:space="preserve">. </w:t>
      </w:r>
      <w:r w:rsidR="00ED0DE4" w:rsidRPr="00032971">
        <w:t xml:space="preserve">Moreover, policies </w:t>
      </w:r>
      <w:r w:rsidR="00A5783D" w:rsidRPr="00032971">
        <w:t xml:space="preserve">to tackle </w:t>
      </w:r>
      <w:r w:rsidR="00861E42">
        <w:t xml:space="preserve">a </w:t>
      </w:r>
      <w:r w:rsidR="00A5783D" w:rsidRPr="00032971">
        <w:t xml:space="preserve">looming financial debt crisis </w:t>
      </w:r>
      <w:r w:rsidR="00ED0DE4" w:rsidRPr="00032971">
        <w:t xml:space="preserve">have had </w:t>
      </w:r>
      <w:r w:rsidR="002C4CE1" w:rsidRPr="00032971">
        <w:t>various economic and social consequences</w:t>
      </w:r>
      <w:r w:rsidR="00ED0DE4" w:rsidRPr="00032971">
        <w:t>, such as import restrictions, a depreciation of the currency and inflation</w:t>
      </w:r>
      <w:r w:rsidR="00032781" w:rsidRPr="00032971">
        <w:t xml:space="preserve"> in </w:t>
      </w:r>
      <w:r w:rsidR="00032781" w:rsidRPr="00861E42">
        <w:t>food</w:t>
      </w:r>
      <w:r w:rsidR="00A1412C">
        <w:t xml:space="preserve"> and fuel</w:t>
      </w:r>
      <w:r w:rsidR="00032781" w:rsidRPr="00861E42">
        <w:t xml:space="preserve"> </w:t>
      </w:r>
      <w:r w:rsidR="00032781" w:rsidRPr="00CC4618">
        <w:t>prices</w:t>
      </w:r>
      <w:r w:rsidR="007F087A">
        <w:t>.</w:t>
      </w:r>
      <w:r w:rsidR="00A1412C" w:rsidRPr="00032971">
        <w:rPr>
          <w:rStyle w:val="FootnoteReference"/>
          <w:shd w:val="clear" w:color="auto" w:fill="FFFFFF"/>
        </w:rPr>
        <w:footnoteReference w:id="9"/>
      </w:r>
      <w:r w:rsidR="00A1412C" w:rsidRPr="00A1412C">
        <w:rPr>
          <w:shd w:val="clear" w:color="auto" w:fill="FFFFFF"/>
        </w:rPr>
        <w:t xml:space="preserve"> </w:t>
      </w:r>
    </w:p>
    <w:p w14:paraId="0284ADA5" w14:textId="77777777" w:rsidR="00032971" w:rsidRPr="00032971" w:rsidRDefault="005B2EF7" w:rsidP="00EA33A2">
      <w:pPr>
        <w:pStyle w:val="SingleTxtG"/>
        <w:tabs>
          <w:tab w:val="clear" w:pos="1701"/>
          <w:tab w:val="clear" w:pos="2268"/>
        </w:tabs>
        <w:ind w:right="338"/>
      </w:pPr>
      <w:r>
        <w:rPr>
          <w:color w:val="211E1E"/>
        </w:rPr>
        <w:t>5.</w:t>
      </w:r>
      <w:r>
        <w:rPr>
          <w:color w:val="211E1E"/>
        </w:rPr>
        <w:tab/>
      </w:r>
      <w:r w:rsidR="00087819">
        <w:rPr>
          <w:color w:val="211E1E"/>
        </w:rPr>
        <w:t xml:space="preserve">According to the World Bank, </w:t>
      </w:r>
      <w:r w:rsidR="00670599">
        <w:rPr>
          <w:color w:val="211E1E"/>
        </w:rPr>
        <w:t xml:space="preserve">over </w:t>
      </w:r>
      <w:r w:rsidR="00EB0C2C" w:rsidRPr="00C74764">
        <w:t>500,000 people</w:t>
      </w:r>
      <w:r w:rsidR="00670599">
        <w:t xml:space="preserve"> may</w:t>
      </w:r>
      <w:r w:rsidR="00EB0C2C" w:rsidRPr="00C74764">
        <w:t xml:space="preserve"> have fallen below the poverty line since the beginning of the pandemic </w:t>
      </w:r>
      <w:r w:rsidR="009D57B4" w:rsidRPr="0023768E">
        <w:t xml:space="preserve">with </w:t>
      </w:r>
      <w:r w:rsidR="007216F4" w:rsidRPr="00C74764">
        <w:rPr>
          <w:shd w:val="clear" w:color="auto" w:fill="FFFFFF"/>
        </w:rPr>
        <w:t xml:space="preserve">widespread </w:t>
      </w:r>
      <w:r w:rsidR="007216F4" w:rsidRPr="0023768E">
        <w:t xml:space="preserve">loss of jobs and work hours </w:t>
      </w:r>
      <w:r w:rsidR="007216F4" w:rsidRPr="0023768E">
        <w:rPr>
          <w:shd w:val="clear" w:color="auto" w:fill="FFFFFF"/>
        </w:rPr>
        <w:t>mainly affecting informal sector workers and micro, small- and medium-sized enterprises</w:t>
      </w:r>
      <w:r w:rsidR="007216F4" w:rsidRPr="0023768E">
        <w:t>.</w:t>
      </w:r>
      <w:r w:rsidR="00EB0C2C" w:rsidRPr="0023768E">
        <w:rPr>
          <w:rStyle w:val="FootnoteReference"/>
        </w:rPr>
        <w:footnoteReference w:id="10"/>
      </w:r>
      <w:r w:rsidR="00CC4618" w:rsidRPr="0023768E">
        <w:t xml:space="preserve"> </w:t>
      </w:r>
      <w:r w:rsidR="008726B3" w:rsidRPr="00032971">
        <w:t>With women making up significant percentage of the workforce in the informal, garment and textiles sectors, they have been disproportionately affected by job or income loss.</w:t>
      </w:r>
      <w:r w:rsidR="008726B3" w:rsidRPr="00032971">
        <w:rPr>
          <w:rStyle w:val="FootnoteReference"/>
          <w:sz w:val="20"/>
        </w:rPr>
        <w:footnoteReference w:id="11"/>
      </w:r>
      <w:r w:rsidR="008726B3" w:rsidRPr="00032971">
        <w:t xml:space="preserve"> </w:t>
      </w:r>
      <w:r w:rsidR="008726B3">
        <w:t>Many Sri Lankan migrant workers</w:t>
      </w:r>
      <w:r w:rsidR="00380637">
        <w:t xml:space="preserve"> </w:t>
      </w:r>
      <w:r w:rsidR="008726B3">
        <w:t>also lost their jobs in host countries affecting remittance income.</w:t>
      </w:r>
      <w:r w:rsidR="008726B3">
        <w:rPr>
          <w:rStyle w:val="FootnoteReference"/>
        </w:rPr>
        <w:footnoteReference w:id="12"/>
      </w:r>
      <w:r w:rsidR="008726B3">
        <w:t xml:space="preserve"> </w:t>
      </w:r>
    </w:p>
    <w:p w14:paraId="3706436C" w14:textId="77777777" w:rsidR="008726B3" w:rsidRPr="00FA7964" w:rsidRDefault="005B2EF7" w:rsidP="00EA33A2">
      <w:pPr>
        <w:pStyle w:val="SingleTxtG"/>
        <w:tabs>
          <w:tab w:val="clear" w:pos="1701"/>
          <w:tab w:val="clear" w:pos="2268"/>
        </w:tabs>
        <w:ind w:right="338"/>
      </w:pPr>
      <w:r>
        <w:rPr>
          <w:shd w:val="clear" w:color="auto" w:fill="FFFFFF"/>
        </w:rPr>
        <w:t>6.</w:t>
      </w:r>
      <w:r>
        <w:rPr>
          <w:shd w:val="clear" w:color="auto" w:fill="FFFFFF"/>
        </w:rPr>
        <w:tab/>
      </w:r>
      <w:r w:rsidR="00087819">
        <w:rPr>
          <w:shd w:val="clear" w:color="auto" w:fill="FFFFFF"/>
        </w:rPr>
        <w:t>The economic conditions have impacted on f</w:t>
      </w:r>
      <w:r w:rsidR="00087819" w:rsidRPr="00032971">
        <w:rPr>
          <w:shd w:val="clear" w:color="auto" w:fill="FFFFFF"/>
        </w:rPr>
        <w:t xml:space="preserve">ood </w:t>
      </w:r>
      <w:r w:rsidR="005D7769" w:rsidRPr="00032971">
        <w:rPr>
          <w:shd w:val="clear" w:color="auto" w:fill="FFFFFF"/>
        </w:rPr>
        <w:t>security</w:t>
      </w:r>
      <w:r w:rsidR="00A1412C">
        <w:rPr>
          <w:shd w:val="clear" w:color="auto" w:fill="FFFFFF"/>
        </w:rPr>
        <w:t xml:space="preserve">: </w:t>
      </w:r>
      <w:r w:rsidR="008F1932">
        <w:rPr>
          <w:shd w:val="clear" w:color="auto" w:fill="FFFFFF"/>
        </w:rPr>
        <w:t xml:space="preserve">a </w:t>
      </w:r>
      <w:r w:rsidR="00A1412C">
        <w:rPr>
          <w:shd w:val="clear" w:color="auto" w:fill="FFFFFF"/>
        </w:rPr>
        <w:t>World Bank surv</w:t>
      </w:r>
      <w:r w:rsidR="00E14244">
        <w:rPr>
          <w:shd w:val="clear" w:color="auto" w:fill="FFFFFF"/>
        </w:rPr>
        <w:t>ey indicated 44 per cent of hou</w:t>
      </w:r>
      <w:r w:rsidR="00A1412C">
        <w:rPr>
          <w:shd w:val="clear" w:color="auto" w:fill="FFFFFF"/>
        </w:rPr>
        <w:t>seholds were concerned about food</w:t>
      </w:r>
      <w:r w:rsidR="000C293B">
        <w:rPr>
          <w:shd w:val="clear" w:color="auto" w:fill="FFFFFF"/>
        </w:rPr>
        <w:t>.</w:t>
      </w:r>
      <w:r w:rsidR="00F26B17" w:rsidRPr="00032971">
        <w:rPr>
          <w:rStyle w:val="FootnoteReference"/>
          <w:shd w:val="clear" w:color="auto" w:fill="FFFFFF"/>
        </w:rPr>
        <w:footnoteReference w:id="13"/>
      </w:r>
      <w:r w:rsidR="005D7769" w:rsidRPr="00032971">
        <w:rPr>
          <w:shd w:val="clear" w:color="auto" w:fill="FFFFFF"/>
        </w:rPr>
        <w:t xml:space="preserve"> </w:t>
      </w:r>
      <w:r w:rsidR="006000F6">
        <w:rPr>
          <w:color w:val="211E1E"/>
        </w:rPr>
        <w:t>The introduction of a ban on use of fertilizers to promote organic agriculture, later reversed after protests, also impacted on food production.</w:t>
      </w:r>
      <w:r w:rsidR="00087819" w:rsidRPr="00087819">
        <w:rPr>
          <w:shd w:val="clear" w:color="auto" w:fill="FFFFFF"/>
        </w:rPr>
        <w:t xml:space="preserve"> </w:t>
      </w:r>
      <w:r w:rsidR="00087819" w:rsidRPr="00032971">
        <w:rPr>
          <w:shd w:val="clear" w:color="auto" w:fill="FFFFFF"/>
        </w:rPr>
        <w:t>In August, the Government introduced new emergency regulations reportedly to curb speculative practices of traders amid high food prices and shortages of some essential commodities</w:t>
      </w:r>
      <w:r w:rsidR="007216A4">
        <w:rPr>
          <w:shd w:val="clear" w:color="auto" w:fill="FFFFFF"/>
        </w:rPr>
        <w:t>, which ha</w:t>
      </w:r>
      <w:r w:rsidR="004E5BCB">
        <w:rPr>
          <w:shd w:val="clear" w:color="auto" w:fill="FFFFFF"/>
        </w:rPr>
        <w:t>ve</w:t>
      </w:r>
      <w:r w:rsidR="007216A4">
        <w:rPr>
          <w:shd w:val="clear" w:color="auto" w:fill="FFFFFF"/>
        </w:rPr>
        <w:t xml:space="preserve"> now lapsed</w:t>
      </w:r>
      <w:r w:rsidR="00087819" w:rsidRPr="00032971">
        <w:rPr>
          <w:shd w:val="clear" w:color="auto" w:fill="FFFFFF"/>
        </w:rPr>
        <w:t>.</w:t>
      </w:r>
      <w:r w:rsidR="003561BD">
        <w:rPr>
          <w:rStyle w:val="FootnoteReference"/>
          <w:shd w:val="clear" w:color="auto" w:fill="FFFFFF"/>
        </w:rPr>
        <w:footnoteReference w:id="14"/>
      </w:r>
      <w:r w:rsidR="00087819" w:rsidRPr="00032971">
        <w:rPr>
          <w:shd w:val="clear" w:color="auto" w:fill="FFFFFF"/>
        </w:rPr>
        <w:t> </w:t>
      </w:r>
    </w:p>
    <w:p w14:paraId="06554DB9" w14:textId="77777777" w:rsidR="00032971" w:rsidRPr="007C66EA" w:rsidRDefault="00060505" w:rsidP="00EA33A2">
      <w:pPr>
        <w:pStyle w:val="SingleTxtG"/>
        <w:tabs>
          <w:tab w:val="clear" w:pos="1701"/>
          <w:tab w:val="clear" w:pos="2268"/>
        </w:tabs>
        <w:ind w:right="338"/>
      </w:pPr>
      <w:r>
        <w:t>7</w:t>
      </w:r>
      <w:r w:rsidR="005B2EF7" w:rsidRPr="00C7295E">
        <w:t>.</w:t>
      </w:r>
      <w:r w:rsidR="005B2EF7" w:rsidRPr="00C7295E">
        <w:tab/>
      </w:r>
      <w:r w:rsidR="00380637" w:rsidRPr="005E6781">
        <w:t>D</w:t>
      </w:r>
      <w:r w:rsidR="000F31F1" w:rsidRPr="005E6781">
        <w:t xml:space="preserve">iscontent about the economic situation and Government policies has </w:t>
      </w:r>
      <w:r w:rsidR="00087819" w:rsidRPr="005E6781">
        <w:t>led to protests</w:t>
      </w:r>
      <w:r w:rsidR="00380637" w:rsidRPr="005E6781">
        <w:t>.</w:t>
      </w:r>
      <w:r w:rsidR="00C063B1" w:rsidRPr="005E6781">
        <w:t xml:space="preserve"> </w:t>
      </w:r>
      <w:r w:rsidR="00380637" w:rsidRPr="005E6781">
        <w:t>In response,</w:t>
      </w:r>
      <w:r w:rsidR="000F31F1" w:rsidRPr="005E6781">
        <w:t xml:space="preserve"> </w:t>
      </w:r>
      <w:r w:rsidR="00087819" w:rsidRPr="005E6781">
        <w:t xml:space="preserve">the </w:t>
      </w:r>
      <w:r w:rsidR="00380637" w:rsidRPr="005E6781">
        <w:t xml:space="preserve">Government has </w:t>
      </w:r>
      <w:r w:rsidR="00087819" w:rsidRPr="005E6781">
        <w:t>enforced COVID-19 measures, including quarantine rules and other laws, to limit demonstrations over different economic and social issues and in some cases to arrest and charge protestors</w:t>
      </w:r>
      <w:r w:rsidR="00380637" w:rsidRPr="005E6781">
        <w:t>, although the protests were peaceful</w:t>
      </w:r>
      <w:r w:rsidR="00087819" w:rsidRPr="005E6781">
        <w:t>.</w:t>
      </w:r>
      <w:r w:rsidR="00133C80" w:rsidRPr="005E6781">
        <w:rPr>
          <w:rStyle w:val="FootnoteReference"/>
        </w:rPr>
        <w:footnoteReference w:id="15"/>
      </w:r>
      <w:r w:rsidR="00512907" w:rsidRPr="005E6781">
        <w:t xml:space="preserve"> </w:t>
      </w:r>
      <w:r w:rsidR="00C7295E">
        <w:t xml:space="preserve">The Government asserts this was necessary on public health grounds. </w:t>
      </w:r>
      <w:r w:rsidR="00087819" w:rsidRPr="005E6781">
        <w:t xml:space="preserve">On </w:t>
      </w:r>
      <w:r w:rsidR="00087819" w:rsidRPr="005E6781">
        <w:rPr>
          <w:lang w:val="en-US"/>
        </w:rPr>
        <w:t>several occasions</w:t>
      </w:r>
      <w:r w:rsidR="00380637" w:rsidRPr="005E6781">
        <w:rPr>
          <w:lang w:val="en-US"/>
        </w:rPr>
        <w:t>,</w:t>
      </w:r>
      <w:r w:rsidR="00C7295E">
        <w:rPr>
          <w:lang w:val="en-US"/>
        </w:rPr>
        <w:t xml:space="preserve"> however,</w:t>
      </w:r>
      <w:r w:rsidR="00087819" w:rsidRPr="005E6781">
        <w:rPr>
          <w:lang w:val="en-US"/>
        </w:rPr>
        <w:t xml:space="preserve"> courts refused to grant injunctions requested by police to stop protests citing the right to freedom of expression or peaceful assembly.</w:t>
      </w:r>
    </w:p>
    <w:p w14:paraId="11936144" w14:textId="50778F8F" w:rsidR="00032971" w:rsidRPr="00032971" w:rsidRDefault="00060505" w:rsidP="00EA33A2">
      <w:pPr>
        <w:pStyle w:val="SingleTxtG"/>
        <w:tabs>
          <w:tab w:val="clear" w:pos="1701"/>
          <w:tab w:val="clear" w:pos="2268"/>
        </w:tabs>
        <w:ind w:right="338"/>
      </w:pPr>
      <w:r>
        <w:t>8</w:t>
      </w:r>
      <w:r w:rsidR="005B2EF7">
        <w:t>.</w:t>
      </w:r>
      <w:r w:rsidR="005B2EF7">
        <w:tab/>
      </w:r>
      <w:r w:rsidR="00F75E7A" w:rsidRPr="007C66EA">
        <w:t xml:space="preserve">In June 2021, </w:t>
      </w:r>
      <w:r w:rsidR="002E175C" w:rsidRPr="007C66EA">
        <w:t xml:space="preserve">a </w:t>
      </w:r>
      <w:r w:rsidR="00F75E7A" w:rsidRPr="007C66EA">
        <w:t xml:space="preserve">police media spokesperson announced that the Criminal Investigation Department </w:t>
      </w:r>
      <w:r w:rsidR="00C85713" w:rsidRPr="007C66EA">
        <w:t xml:space="preserve">(CID) </w:t>
      </w:r>
      <w:r w:rsidR="00F75E7A" w:rsidRPr="007C66EA">
        <w:t>ha</w:t>
      </w:r>
      <w:r w:rsidR="00C74764">
        <w:t>d</w:t>
      </w:r>
      <w:r w:rsidR="003A5325">
        <w:t xml:space="preserve"> formed a special team to patrol</w:t>
      </w:r>
      <w:r w:rsidR="00F75E7A" w:rsidRPr="007C66EA">
        <w:t xml:space="preserve"> the cyberspace and arrest those who spread “false news” on social media about COVID-19 or other sensitive issues</w:t>
      </w:r>
      <w:r w:rsidR="002749E8">
        <w:t>.</w:t>
      </w:r>
      <w:r w:rsidR="00F75E7A" w:rsidRPr="00E659B1">
        <w:rPr>
          <w:rStyle w:val="FootnoteReference"/>
          <w:sz w:val="20"/>
        </w:rPr>
        <w:footnoteReference w:id="16"/>
      </w:r>
      <w:r w:rsidR="00F75E7A" w:rsidRPr="007C66EA">
        <w:t xml:space="preserve"> </w:t>
      </w:r>
    </w:p>
    <w:p w14:paraId="5E0723E0" w14:textId="295E8AD0" w:rsidR="001F47C7" w:rsidRDefault="00060505" w:rsidP="00EA33A2">
      <w:pPr>
        <w:pStyle w:val="SingleTxtG"/>
        <w:tabs>
          <w:tab w:val="clear" w:pos="1701"/>
          <w:tab w:val="clear" w:pos="2268"/>
        </w:tabs>
        <w:ind w:right="338"/>
      </w:pPr>
      <w:r>
        <w:t>9</w:t>
      </w:r>
      <w:r w:rsidR="005B2EF7">
        <w:t>.</w:t>
      </w:r>
      <w:r w:rsidR="005B2EF7">
        <w:tab/>
      </w:r>
      <w:r w:rsidR="002E175C" w:rsidRPr="00032971">
        <w:t>The</w:t>
      </w:r>
      <w:r w:rsidR="00F048A5" w:rsidRPr="00032971">
        <w:t xml:space="preserve"> Government</w:t>
      </w:r>
      <w:r w:rsidR="002749E8">
        <w:t xml:space="preserve"> also</w:t>
      </w:r>
      <w:r w:rsidR="00F048A5" w:rsidRPr="00032971">
        <w:t xml:space="preserve"> informed OHCHR that </w:t>
      </w:r>
      <w:r w:rsidR="002E175C" w:rsidRPr="00032971">
        <w:t>it</w:t>
      </w:r>
      <w:r w:rsidR="001D6C09" w:rsidRPr="00032971">
        <w:t xml:space="preserve"> is drafting </w:t>
      </w:r>
      <w:r w:rsidR="00F048A5" w:rsidRPr="00032971">
        <w:t xml:space="preserve">a new </w:t>
      </w:r>
      <w:r w:rsidR="002E175C" w:rsidRPr="00032971">
        <w:t>law</w:t>
      </w:r>
      <w:r w:rsidR="00F048A5" w:rsidRPr="00032971">
        <w:t xml:space="preserve"> on </w:t>
      </w:r>
      <w:r w:rsidR="002E175C" w:rsidRPr="00032971">
        <w:t>“</w:t>
      </w:r>
      <w:r w:rsidR="00F048A5" w:rsidRPr="00032971">
        <w:t>Protection from online falsehoods and manipulation</w:t>
      </w:r>
      <w:r w:rsidR="002E175C" w:rsidRPr="00032971">
        <w:t>”</w:t>
      </w:r>
      <w:r w:rsidR="00087819" w:rsidRPr="00F13BC6">
        <w:t>.</w:t>
      </w:r>
      <w:r w:rsidR="00C7464E" w:rsidRPr="00F13BC6">
        <w:rPr>
          <w:rStyle w:val="FootnoteReference"/>
          <w:sz w:val="20"/>
        </w:rPr>
        <w:footnoteReference w:id="17"/>
      </w:r>
      <w:r w:rsidR="00EF0315">
        <w:t xml:space="preserve"> </w:t>
      </w:r>
      <w:r w:rsidR="00F048A5" w:rsidRPr="00F13BC6">
        <w:t>The High Commissioner</w:t>
      </w:r>
      <w:r w:rsidR="002E175C" w:rsidRPr="00F13BC6">
        <w:t xml:space="preserve"> </w:t>
      </w:r>
      <w:r w:rsidR="005A6948" w:rsidRPr="00F13BC6">
        <w:t>encourages</w:t>
      </w:r>
      <w:r w:rsidR="002E175C" w:rsidRPr="00F13BC6">
        <w:t xml:space="preserve"> the Government to take careful account of the observations made by UN human rights mechanisms on laws of this kind which can seriously impact the exercise of the rights to freedom of expression, opinion and information, and to ensure full consultation with representatives of civil society and independent media in the formulation of this law</w:t>
      </w:r>
      <w:r w:rsidR="00FB487E" w:rsidRPr="00F13BC6">
        <w:t>.</w:t>
      </w:r>
      <w:r w:rsidR="00F048A5" w:rsidRPr="00032971">
        <w:t xml:space="preserve"> </w:t>
      </w:r>
    </w:p>
    <w:p w14:paraId="52F82EBA" w14:textId="29358C93" w:rsidR="00097AEC" w:rsidRPr="00EA33A2" w:rsidRDefault="00A628E0" w:rsidP="00EA33A2">
      <w:pPr>
        <w:pStyle w:val="H1G"/>
      </w:pPr>
      <w:r w:rsidRPr="00EA33A2">
        <w:lastRenderedPageBreak/>
        <w:tab/>
      </w:r>
      <w:r w:rsidR="00AD45C5">
        <w:t>A</w:t>
      </w:r>
      <w:r w:rsidRPr="00EA33A2">
        <w:t>.</w:t>
      </w:r>
      <w:r w:rsidRPr="00EA33A2">
        <w:tab/>
      </w:r>
      <w:r w:rsidR="003A57B6" w:rsidRPr="00EA33A2">
        <w:t>L</w:t>
      </w:r>
      <w:r w:rsidR="00E91842" w:rsidRPr="00EA33A2">
        <w:t>egal</w:t>
      </w:r>
      <w:r w:rsidR="00E62DE8" w:rsidRPr="00EA33A2">
        <w:t xml:space="preserve"> </w:t>
      </w:r>
      <w:r w:rsidR="003A57B6" w:rsidRPr="00EA33A2">
        <w:t xml:space="preserve">and institutional </w:t>
      </w:r>
      <w:r w:rsidR="00E62DE8" w:rsidRPr="00EA33A2">
        <w:t xml:space="preserve">developments affecting human rights </w:t>
      </w:r>
    </w:p>
    <w:p w14:paraId="1625740F" w14:textId="4D453E60" w:rsidR="008D6193" w:rsidRPr="00D65C31" w:rsidRDefault="005B2EF7" w:rsidP="00EA33A2">
      <w:pPr>
        <w:pStyle w:val="SingleTxtG"/>
        <w:tabs>
          <w:tab w:val="clear" w:pos="1701"/>
          <w:tab w:val="clear" w:pos="2268"/>
        </w:tabs>
        <w:ind w:right="338"/>
        <w:rPr>
          <w:bCs/>
        </w:rPr>
      </w:pPr>
      <w:r>
        <w:t>1</w:t>
      </w:r>
      <w:r w:rsidR="00FA7964">
        <w:t>0</w:t>
      </w:r>
      <w:r>
        <w:t>.</w:t>
      </w:r>
      <w:r>
        <w:tab/>
      </w:r>
      <w:r w:rsidR="00771CF2">
        <w:t>In her previous report, the High Commissioner warned of the erosion of the independence of key institutions in Sri Lanka, particularly following the 20</w:t>
      </w:r>
      <w:r w:rsidR="00771CF2" w:rsidRPr="00192A7B">
        <w:rPr>
          <w:vertAlign w:val="superscript"/>
        </w:rPr>
        <w:t>th</w:t>
      </w:r>
      <w:r w:rsidR="00771CF2">
        <w:t xml:space="preserve"> amendment to the Constitution </w:t>
      </w:r>
      <w:r w:rsidR="00657EAF">
        <w:t xml:space="preserve">that </w:t>
      </w:r>
      <w:r w:rsidR="00771CF2">
        <w:t>changed the appointment process to</w:t>
      </w:r>
      <w:r w:rsidR="00771CF2" w:rsidRPr="008D6193">
        <w:t xml:space="preserve"> the judiciary and independent institutions, including the Human Rights Commission of Sri Lanka</w:t>
      </w:r>
      <w:r w:rsidR="003C3219">
        <w:t xml:space="preserve"> (HRCSL)</w:t>
      </w:r>
      <w:r w:rsidR="00771CF2" w:rsidRPr="008D6193">
        <w:rPr>
          <w:rStyle w:val="Emphasis"/>
          <w:i w:val="0"/>
          <w:iCs w:val="0"/>
        </w:rPr>
        <w:t>.</w:t>
      </w:r>
      <w:r w:rsidR="00E659B1">
        <w:rPr>
          <w:rStyle w:val="FootnoteReference"/>
        </w:rPr>
        <w:footnoteReference w:id="18"/>
      </w:r>
      <w:r w:rsidR="00771CF2" w:rsidRPr="008D6193">
        <w:rPr>
          <w:rStyle w:val="Emphasis"/>
          <w:i w:val="0"/>
          <w:iCs w:val="0"/>
        </w:rPr>
        <w:t xml:space="preserve">  </w:t>
      </w:r>
      <w:r w:rsidR="00771CF2">
        <w:t xml:space="preserve"> </w:t>
      </w:r>
    </w:p>
    <w:p w14:paraId="35E218CD" w14:textId="71EF3919" w:rsidR="00642565" w:rsidRDefault="005B2EF7" w:rsidP="00EA33A2">
      <w:pPr>
        <w:pStyle w:val="SingleTxtG"/>
        <w:tabs>
          <w:tab w:val="clear" w:pos="1701"/>
          <w:tab w:val="clear" w:pos="2268"/>
        </w:tabs>
        <w:ind w:right="338"/>
        <w:rPr>
          <w:rStyle w:val="Emphasis"/>
          <w:i w:val="0"/>
          <w:iCs w:val="0"/>
        </w:rPr>
      </w:pPr>
      <w:r>
        <w:t>1</w:t>
      </w:r>
      <w:r w:rsidR="00FA7964">
        <w:t>1</w:t>
      </w:r>
      <w:r>
        <w:t>.</w:t>
      </w:r>
      <w:r>
        <w:tab/>
      </w:r>
      <w:r w:rsidR="0076449F" w:rsidRPr="008D6193">
        <w:rPr>
          <w:rStyle w:val="Emphasis"/>
          <w:i w:val="0"/>
          <w:iCs w:val="0"/>
        </w:rPr>
        <w:t xml:space="preserve">In November 2021, following a special review, </w:t>
      </w:r>
      <w:r w:rsidR="0076449F" w:rsidRPr="008D6193">
        <w:rPr>
          <w:rStyle w:val="lblnewsfulltext"/>
        </w:rPr>
        <w:t xml:space="preserve">the </w:t>
      </w:r>
      <w:r w:rsidR="0076449F" w:rsidRPr="00E659B1">
        <w:rPr>
          <w:rStyle w:val="Emphasis"/>
          <w:i w:val="0"/>
        </w:rPr>
        <w:t>Global Alliance of National Human Rights Institutions</w:t>
      </w:r>
      <w:r w:rsidR="0076449F" w:rsidRPr="008D6193">
        <w:rPr>
          <w:rStyle w:val="Emphasis"/>
        </w:rPr>
        <w:t xml:space="preserve"> </w:t>
      </w:r>
      <w:r w:rsidR="0076449F" w:rsidRPr="008D6193">
        <w:rPr>
          <w:rStyle w:val="Emphasis"/>
          <w:i w:val="0"/>
          <w:iCs w:val="0"/>
        </w:rPr>
        <w:t xml:space="preserve">(GANHRI) </w:t>
      </w:r>
      <w:r w:rsidR="00D608B8">
        <w:t xml:space="preserve">recommended that the HRCSL be downgraded </w:t>
      </w:r>
      <w:r w:rsidR="0076449F" w:rsidRPr="008D6193">
        <w:rPr>
          <w:rStyle w:val="lblnewsfulltext"/>
        </w:rPr>
        <w:t xml:space="preserve">from A to B status </w:t>
      </w:r>
      <w:r w:rsidR="0076449F" w:rsidRPr="008D6193">
        <w:t xml:space="preserve">on three grounds: the lack of a </w:t>
      </w:r>
      <w:r w:rsidR="0076449F" w:rsidRPr="00F13BC6">
        <w:t>transparent and independent appointment process; lack of plurality and diversity; and the failure by the HRCSL to independently and effectively exercise its human rights mandate.</w:t>
      </w:r>
      <w:r w:rsidR="0076449F" w:rsidRPr="00F13BC6">
        <w:rPr>
          <w:rStyle w:val="FootnoteReference"/>
          <w:sz w:val="20"/>
        </w:rPr>
        <w:footnoteReference w:id="19"/>
      </w:r>
      <w:r w:rsidR="0076449F" w:rsidRPr="00F13BC6">
        <w:rPr>
          <w:rStyle w:val="Emphasis"/>
          <w:i w:val="0"/>
          <w:iCs w:val="0"/>
        </w:rPr>
        <w:t xml:space="preserve"> </w:t>
      </w:r>
      <w:r w:rsidR="005A6948" w:rsidRPr="00F13BC6">
        <w:rPr>
          <w:rStyle w:val="Emphasis"/>
          <w:i w:val="0"/>
          <w:iCs w:val="0"/>
        </w:rPr>
        <w:t>A retired S</w:t>
      </w:r>
      <w:r w:rsidR="005E6781" w:rsidRPr="00F13BC6">
        <w:rPr>
          <w:rStyle w:val="Emphasis"/>
          <w:i w:val="0"/>
          <w:iCs w:val="0"/>
        </w:rPr>
        <w:t xml:space="preserve">upreme </w:t>
      </w:r>
      <w:r w:rsidR="005A6948" w:rsidRPr="00F13BC6">
        <w:rPr>
          <w:rStyle w:val="Emphasis"/>
          <w:i w:val="0"/>
          <w:iCs w:val="0"/>
        </w:rPr>
        <w:t>C</w:t>
      </w:r>
      <w:r w:rsidR="005E6781" w:rsidRPr="00F13BC6">
        <w:rPr>
          <w:rStyle w:val="Emphasis"/>
          <w:i w:val="0"/>
          <w:iCs w:val="0"/>
        </w:rPr>
        <w:t>ourt</w:t>
      </w:r>
      <w:r w:rsidR="005A6948" w:rsidRPr="00F13BC6">
        <w:rPr>
          <w:rStyle w:val="Emphasis"/>
          <w:i w:val="0"/>
          <w:iCs w:val="0"/>
        </w:rPr>
        <w:t xml:space="preserve"> </w:t>
      </w:r>
      <w:r w:rsidR="000472D2">
        <w:rPr>
          <w:rStyle w:val="Emphasis"/>
          <w:i w:val="0"/>
          <w:iCs w:val="0"/>
        </w:rPr>
        <w:t>Justice</w:t>
      </w:r>
      <w:r w:rsidR="007177B2" w:rsidRPr="00F13BC6">
        <w:rPr>
          <w:rStyle w:val="Emphasis"/>
          <w:i w:val="0"/>
          <w:iCs w:val="0"/>
        </w:rPr>
        <w:t xml:space="preserve"> </w:t>
      </w:r>
      <w:proofErr w:type="spellStart"/>
      <w:r w:rsidR="007177B2" w:rsidRPr="00F13BC6">
        <w:rPr>
          <w:rStyle w:val="Emphasis"/>
          <w:i w:val="0"/>
          <w:iCs w:val="0"/>
        </w:rPr>
        <w:t>Rohini</w:t>
      </w:r>
      <w:proofErr w:type="spellEnd"/>
      <w:r w:rsidR="007177B2" w:rsidRPr="00F13BC6">
        <w:rPr>
          <w:rStyle w:val="Emphasis"/>
          <w:i w:val="0"/>
          <w:iCs w:val="0"/>
        </w:rPr>
        <w:t xml:space="preserve"> </w:t>
      </w:r>
      <w:proofErr w:type="spellStart"/>
      <w:r w:rsidR="007177B2" w:rsidRPr="00F13BC6">
        <w:rPr>
          <w:rStyle w:val="Emphasis"/>
          <w:i w:val="0"/>
          <w:iCs w:val="0"/>
        </w:rPr>
        <w:t>Marasinghe</w:t>
      </w:r>
      <w:proofErr w:type="spellEnd"/>
      <w:r w:rsidR="007177B2" w:rsidRPr="00F13BC6">
        <w:rPr>
          <w:rStyle w:val="Emphasis"/>
          <w:i w:val="0"/>
          <w:iCs w:val="0"/>
        </w:rPr>
        <w:t xml:space="preserve"> was appointed</w:t>
      </w:r>
      <w:r w:rsidR="00DA044F">
        <w:rPr>
          <w:rStyle w:val="Emphasis"/>
          <w:i w:val="0"/>
          <w:iCs w:val="0"/>
        </w:rPr>
        <w:t xml:space="preserve"> as</w:t>
      </w:r>
      <w:r w:rsidR="00641186">
        <w:rPr>
          <w:rStyle w:val="Emphasis"/>
          <w:i w:val="0"/>
          <w:iCs w:val="0"/>
        </w:rPr>
        <w:t xml:space="preserve"> </w:t>
      </w:r>
      <w:r w:rsidR="004D2412">
        <w:rPr>
          <w:rStyle w:val="Emphasis"/>
          <w:i w:val="0"/>
          <w:iCs w:val="0"/>
        </w:rPr>
        <w:t xml:space="preserve">a new </w:t>
      </w:r>
      <w:r w:rsidR="00641186">
        <w:rPr>
          <w:rStyle w:val="Emphasis"/>
          <w:i w:val="0"/>
          <w:iCs w:val="0"/>
        </w:rPr>
        <w:t>Chair of the HRCSL</w:t>
      </w:r>
      <w:r w:rsidR="007177B2" w:rsidRPr="00F13BC6">
        <w:rPr>
          <w:rStyle w:val="Emphasis"/>
          <w:i w:val="0"/>
          <w:iCs w:val="0"/>
        </w:rPr>
        <w:t xml:space="preserve"> in December 2021.</w:t>
      </w:r>
      <w:r w:rsidR="000472D2">
        <w:rPr>
          <w:rStyle w:val="Emphasis"/>
          <w:i w:val="0"/>
          <w:iCs w:val="0"/>
        </w:rPr>
        <w:t xml:space="preserve"> </w:t>
      </w:r>
    </w:p>
    <w:p w14:paraId="3DDE3089" w14:textId="08585F88" w:rsidR="00771CF2" w:rsidRDefault="005B2EF7" w:rsidP="00EA33A2">
      <w:pPr>
        <w:pStyle w:val="SingleTxtG"/>
        <w:tabs>
          <w:tab w:val="clear" w:pos="1701"/>
          <w:tab w:val="clear" w:pos="2268"/>
        </w:tabs>
        <w:ind w:right="338"/>
      </w:pPr>
      <w:r>
        <w:t>1</w:t>
      </w:r>
      <w:r w:rsidR="00FA7964">
        <w:t>2</w:t>
      </w:r>
      <w:r>
        <w:t>.</w:t>
      </w:r>
      <w:r>
        <w:tab/>
      </w:r>
      <w:r w:rsidR="009B7539" w:rsidRPr="008D6193">
        <w:t xml:space="preserve">The High Commissioner is </w:t>
      </w:r>
      <w:r w:rsidR="009B7539">
        <w:t xml:space="preserve">also </w:t>
      </w:r>
      <w:r w:rsidR="009B7539" w:rsidRPr="008D6193">
        <w:t xml:space="preserve">concerned that </w:t>
      </w:r>
      <w:r w:rsidR="009B7539">
        <w:t xml:space="preserve">the independence of the Right to Information Commission, which </w:t>
      </w:r>
      <w:r w:rsidR="009B7539" w:rsidRPr="008D6193">
        <w:t>has made important rulings</w:t>
      </w:r>
      <w:r w:rsidR="009B7539">
        <w:t>, may also be undermined following the appointment of</w:t>
      </w:r>
      <w:r w:rsidR="00BA3B11" w:rsidRPr="008D6193">
        <w:t xml:space="preserve"> retired Supreme Court Justice </w:t>
      </w:r>
      <w:proofErr w:type="spellStart"/>
      <w:r w:rsidR="00BA3B11" w:rsidRPr="008D6193">
        <w:t>Upali</w:t>
      </w:r>
      <w:proofErr w:type="spellEnd"/>
      <w:r w:rsidR="00BA3B11" w:rsidRPr="008D6193">
        <w:t xml:space="preserve"> </w:t>
      </w:r>
      <w:proofErr w:type="spellStart"/>
      <w:r w:rsidR="00BA3B11" w:rsidRPr="008D6193">
        <w:t>Abeyratne</w:t>
      </w:r>
      <w:proofErr w:type="spellEnd"/>
      <w:r w:rsidR="0076449F" w:rsidRPr="008D6193">
        <w:t xml:space="preserve"> as</w:t>
      </w:r>
      <w:r w:rsidR="004D2412">
        <w:t xml:space="preserve"> the</w:t>
      </w:r>
      <w:r w:rsidR="0076449F" w:rsidRPr="008D6193">
        <w:t xml:space="preserve"> Chair.</w:t>
      </w:r>
      <w:r w:rsidR="00EF0315">
        <w:t xml:space="preserve"> </w:t>
      </w:r>
      <w:r w:rsidR="009B7539">
        <w:t xml:space="preserve">As highlighted in previous reports, </w:t>
      </w:r>
      <w:r w:rsidR="0076449F" w:rsidRPr="008D6193">
        <w:t xml:space="preserve">Justice </w:t>
      </w:r>
      <w:proofErr w:type="spellStart"/>
      <w:r w:rsidR="0076449F" w:rsidRPr="008D6193">
        <w:t>Abeyratne</w:t>
      </w:r>
      <w:proofErr w:type="spellEnd"/>
      <w:r w:rsidR="0076449F" w:rsidRPr="008D6193">
        <w:t xml:space="preserve"> </w:t>
      </w:r>
      <w:r w:rsidR="00BA3B11" w:rsidRPr="008D6193">
        <w:t>served as Chair of the Presidential Commission of Inquiry on alleged political victimisation</w:t>
      </w:r>
      <w:r w:rsidR="0076449F" w:rsidRPr="008D6193">
        <w:t xml:space="preserve"> which</w:t>
      </w:r>
      <w:r w:rsidR="00BA3B11" w:rsidRPr="008D6193">
        <w:t xml:space="preserve"> obstructed and intervened in judicial proceedings on several “emblematic” human rights cases.</w:t>
      </w:r>
      <w:r w:rsidR="001B72FF" w:rsidRPr="008D6193">
        <w:rPr>
          <w:rStyle w:val="FootnoteReference"/>
          <w:sz w:val="20"/>
        </w:rPr>
        <w:footnoteReference w:id="20"/>
      </w:r>
      <w:r w:rsidR="00B6432D">
        <w:t xml:space="preserve"> </w:t>
      </w:r>
    </w:p>
    <w:p w14:paraId="0FF8DD3A" w14:textId="25207932" w:rsidR="00642565" w:rsidRDefault="00771CF2" w:rsidP="00EA33A2">
      <w:pPr>
        <w:pStyle w:val="SingleTxtG"/>
        <w:ind w:right="338"/>
      </w:pPr>
      <w:r>
        <w:t>1</w:t>
      </w:r>
      <w:r w:rsidR="00FA7964">
        <w:t>3</w:t>
      </w:r>
      <w:r w:rsidR="00CC6094">
        <w:t>.</w:t>
      </w:r>
      <w:r>
        <w:tab/>
      </w:r>
      <w:r w:rsidR="00087819" w:rsidRPr="008D6193">
        <w:t xml:space="preserve">The </w:t>
      </w:r>
      <w:r w:rsidR="00087819">
        <w:t>High Commissioner stresses that the process now underway to draft a new C</w:t>
      </w:r>
      <w:r w:rsidR="00087819" w:rsidRPr="008D6193">
        <w:t xml:space="preserve">onstitution will be of fundamental importance for the protection of human rights in Sri Lanka, the independence of key institutions, and </w:t>
      </w:r>
      <w:r w:rsidR="00087819" w:rsidRPr="007177B2">
        <w:t xml:space="preserve">the devolution of political authority, which the </w:t>
      </w:r>
      <w:r w:rsidR="005D46B6" w:rsidRPr="007177B2">
        <w:t xml:space="preserve">Human Rights </w:t>
      </w:r>
      <w:r w:rsidR="00087819" w:rsidRPr="007177B2">
        <w:t>Council has noted “is integral to reconciliation and the full enjoyment of human rights by all members of its population.”</w:t>
      </w:r>
      <w:r w:rsidR="00087819" w:rsidRPr="007177B2">
        <w:rPr>
          <w:vertAlign w:val="superscript"/>
        </w:rPr>
        <w:footnoteReference w:id="21"/>
      </w:r>
      <w:r w:rsidR="00087819" w:rsidRPr="007177B2">
        <w:t xml:space="preserve"> </w:t>
      </w:r>
      <w:r w:rsidRPr="007177B2">
        <w:t xml:space="preserve">A committee of experts appointed by the Government </w:t>
      </w:r>
      <w:r w:rsidR="005A6948" w:rsidRPr="007177B2">
        <w:t xml:space="preserve">is working on a </w:t>
      </w:r>
      <w:r w:rsidRPr="007177B2">
        <w:t xml:space="preserve">draft </w:t>
      </w:r>
      <w:r w:rsidR="00192A7B" w:rsidRPr="007177B2">
        <w:t>Constitution</w:t>
      </w:r>
      <w:r w:rsidR="005A6948" w:rsidRPr="007177B2">
        <w:t xml:space="preserve"> and has invited public </w:t>
      </w:r>
      <w:r w:rsidR="007216A4" w:rsidRPr="007177B2">
        <w:t xml:space="preserve">to provide </w:t>
      </w:r>
      <w:r w:rsidR="005A6948" w:rsidRPr="007177B2">
        <w:t>comments</w:t>
      </w:r>
      <w:r w:rsidRPr="007177B2">
        <w:t>.</w:t>
      </w:r>
      <w:r w:rsidR="00BA067A">
        <w:rPr>
          <w:rStyle w:val="FootnoteReference"/>
        </w:rPr>
        <w:footnoteReference w:id="22"/>
      </w:r>
      <w:r w:rsidR="00EE1230" w:rsidRPr="007177B2">
        <w:t xml:space="preserve"> </w:t>
      </w:r>
      <w:r w:rsidRPr="007177B2">
        <w:t>The High Commissioner urges the Government to take into account the observations and recommendations made over the years by various United Nations human rights mechanisms with respect to human rights in the Constitution. She also urges the Government to make the draft available for public consultation and debate before being presented to Parliament.</w:t>
      </w:r>
      <w:r w:rsidR="006138E3" w:rsidRPr="006138E3">
        <w:t xml:space="preserve"> </w:t>
      </w:r>
    </w:p>
    <w:p w14:paraId="594BAB4C" w14:textId="00DF7855" w:rsidR="00E40870" w:rsidRPr="00642565" w:rsidRDefault="00EA33A2" w:rsidP="00EA33A2">
      <w:pPr>
        <w:pStyle w:val="H1G"/>
      </w:pPr>
      <w:r>
        <w:tab/>
      </w:r>
      <w:r w:rsidR="00AD45C5">
        <w:t>B</w:t>
      </w:r>
      <w:r w:rsidR="00A628E0" w:rsidRPr="00642565">
        <w:t>.</w:t>
      </w:r>
      <w:r w:rsidR="00A628E0" w:rsidRPr="00642565">
        <w:tab/>
      </w:r>
      <w:r w:rsidR="00E40870" w:rsidRPr="00642565">
        <w:t xml:space="preserve">Militarisation </w:t>
      </w:r>
      <w:r w:rsidR="00267991">
        <w:t xml:space="preserve">and </w:t>
      </w:r>
      <w:r w:rsidR="00087819">
        <w:t>land issues</w:t>
      </w:r>
    </w:p>
    <w:p w14:paraId="46F76969" w14:textId="77777777" w:rsidR="00771CF2" w:rsidRPr="00550A4F" w:rsidRDefault="007C7800" w:rsidP="00EA33A2">
      <w:pPr>
        <w:pStyle w:val="SingleTxtG"/>
        <w:ind w:right="338"/>
      </w:pPr>
      <w:r>
        <w:t>1</w:t>
      </w:r>
      <w:r w:rsidR="00FA7964">
        <w:t>4</w:t>
      </w:r>
      <w:r>
        <w:t>.</w:t>
      </w:r>
      <w:r>
        <w:tab/>
      </w:r>
      <w:r w:rsidR="00A25518" w:rsidRPr="00032971">
        <w:t>As observed in previous reports, t</w:t>
      </w:r>
      <w:r w:rsidR="00E40870" w:rsidRPr="00032971">
        <w:t xml:space="preserve">he past two years </w:t>
      </w:r>
      <w:r w:rsidR="00E40870" w:rsidRPr="007177B2">
        <w:t xml:space="preserve">have seen an </w:t>
      </w:r>
      <w:r w:rsidR="009C4D5E" w:rsidRPr="007177B2">
        <w:t>increas</w:t>
      </w:r>
      <w:r w:rsidR="00C748FB" w:rsidRPr="007177B2">
        <w:t>e</w:t>
      </w:r>
      <w:r w:rsidR="009C4D5E" w:rsidRPr="007177B2">
        <w:t xml:space="preserve"> </w:t>
      </w:r>
      <w:r w:rsidR="00C748FB" w:rsidRPr="007177B2">
        <w:t xml:space="preserve">in </w:t>
      </w:r>
      <w:r w:rsidR="008F1932" w:rsidRPr="007177B2">
        <w:t xml:space="preserve">the </w:t>
      </w:r>
      <w:r w:rsidR="00E40870" w:rsidRPr="007177B2">
        <w:t>militarization of civilian government functions in Sri Lanka.</w:t>
      </w:r>
      <w:r w:rsidR="00E40870" w:rsidRPr="007177B2">
        <w:rPr>
          <w:rStyle w:val="FootnoteReference"/>
          <w:sz w:val="20"/>
        </w:rPr>
        <w:footnoteReference w:id="23"/>
      </w:r>
      <w:r w:rsidR="00255A26" w:rsidRPr="007177B2">
        <w:t xml:space="preserve"> </w:t>
      </w:r>
      <w:r w:rsidR="00C748FB" w:rsidRPr="007177B2">
        <w:t>T</w:t>
      </w:r>
      <w:r w:rsidR="00771CF2" w:rsidRPr="007177B2">
        <w:t xml:space="preserve">he Government </w:t>
      </w:r>
      <w:r w:rsidR="00C748FB" w:rsidRPr="007177B2">
        <w:t>justif</w:t>
      </w:r>
      <w:r w:rsidR="008F1932" w:rsidRPr="007177B2">
        <w:t>ies</w:t>
      </w:r>
      <w:r w:rsidR="00C748FB" w:rsidRPr="007177B2">
        <w:t xml:space="preserve"> </w:t>
      </w:r>
      <w:r w:rsidR="00087819" w:rsidRPr="007177B2">
        <w:t>these appointments</w:t>
      </w:r>
      <w:r w:rsidR="00C748FB" w:rsidRPr="007177B2">
        <w:t xml:space="preserve"> </w:t>
      </w:r>
      <w:r w:rsidR="00771CF2" w:rsidRPr="007177B2">
        <w:t xml:space="preserve">in terms of </w:t>
      </w:r>
      <w:r w:rsidR="00C748FB" w:rsidRPr="007177B2">
        <w:t xml:space="preserve">improving </w:t>
      </w:r>
      <w:r w:rsidR="00771CF2" w:rsidRPr="007177B2">
        <w:t>efficiency</w:t>
      </w:r>
      <w:r w:rsidR="007216A4" w:rsidRPr="007177B2">
        <w:t xml:space="preserve"> and </w:t>
      </w:r>
      <w:r w:rsidR="00657EAF" w:rsidRPr="007177B2">
        <w:t xml:space="preserve">being </w:t>
      </w:r>
      <w:r w:rsidR="007216A4" w:rsidRPr="007177B2">
        <w:t>in conformity with the law</w:t>
      </w:r>
      <w:r w:rsidR="00C748FB" w:rsidRPr="007177B2">
        <w:t>.</w:t>
      </w:r>
      <w:r w:rsidR="00255A26" w:rsidRPr="007177B2">
        <w:t xml:space="preserve"> </w:t>
      </w:r>
      <w:r w:rsidR="00C748FB" w:rsidRPr="007177B2">
        <w:t>T</w:t>
      </w:r>
      <w:r w:rsidR="00771CF2" w:rsidRPr="007177B2">
        <w:t xml:space="preserve">he High Commissioner </w:t>
      </w:r>
      <w:r w:rsidR="00F261A8" w:rsidRPr="007177B2">
        <w:t xml:space="preserve">remains </w:t>
      </w:r>
      <w:r w:rsidR="00771CF2" w:rsidRPr="007177B2">
        <w:t>concerned</w:t>
      </w:r>
      <w:r w:rsidR="00F8392C" w:rsidRPr="007177B2">
        <w:t>, however</w:t>
      </w:r>
      <w:r w:rsidR="00465A3B" w:rsidRPr="007177B2">
        <w:t>,</w:t>
      </w:r>
      <w:r w:rsidR="00F8392C" w:rsidRPr="007177B2">
        <w:t xml:space="preserve"> that the </w:t>
      </w:r>
      <w:r w:rsidR="00771CF2" w:rsidRPr="007177B2">
        <w:t xml:space="preserve">concentration of </w:t>
      </w:r>
      <w:r w:rsidR="00F8392C" w:rsidRPr="007177B2">
        <w:t xml:space="preserve">civilian positions in the hands of </w:t>
      </w:r>
      <w:r w:rsidR="00771CF2" w:rsidRPr="007177B2">
        <w:t>military</w:t>
      </w:r>
      <w:r w:rsidR="008F1932" w:rsidRPr="007177B2">
        <w:t xml:space="preserve"> officials</w:t>
      </w:r>
      <w:r w:rsidR="00F261A8" w:rsidRPr="007177B2">
        <w:t xml:space="preserve">, </w:t>
      </w:r>
      <w:r w:rsidR="008F1932" w:rsidRPr="007177B2">
        <w:t>a</w:t>
      </w:r>
      <w:r w:rsidR="00F8392C" w:rsidRPr="007177B2">
        <w:t>ffects the</w:t>
      </w:r>
      <w:r w:rsidR="00940F49" w:rsidRPr="007177B2">
        <w:t xml:space="preserve"> </w:t>
      </w:r>
      <w:r w:rsidR="008F1932" w:rsidRPr="007177B2">
        <w:t xml:space="preserve">democratic </w:t>
      </w:r>
      <w:r w:rsidR="00771CF2" w:rsidRPr="007177B2">
        <w:t>governance and the long-term character of the state.</w:t>
      </w:r>
      <w:r w:rsidR="00771CF2" w:rsidRPr="00550A4F">
        <w:t xml:space="preserve">  </w:t>
      </w:r>
    </w:p>
    <w:p w14:paraId="1C93C314" w14:textId="58EE8E45" w:rsidR="004016FB" w:rsidRPr="004016FB" w:rsidRDefault="00771CF2" w:rsidP="00BD01E3">
      <w:pPr>
        <w:pStyle w:val="SingleTxtG"/>
        <w:tabs>
          <w:tab w:val="clear" w:pos="2268"/>
        </w:tabs>
        <w:ind w:right="338"/>
      </w:pPr>
      <w:r w:rsidRPr="00550A4F">
        <w:t>1</w:t>
      </w:r>
      <w:r w:rsidR="00FA7964" w:rsidRPr="00550A4F">
        <w:t>5</w:t>
      </w:r>
      <w:r w:rsidRPr="00550A4F">
        <w:t>.</w:t>
      </w:r>
      <w:r w:rsidRPr="00550A4F">
        <w:tab/>
      </w:r>
      <w:r w:rsidR="00F8392C" w:rsidRPr="00550A4F">
        <w:rPr>
          <w:rFonts w:eastAsia="Calibri"/>
        </w:rPr>
        <w:t>In addition to the</w:t>
      </w:r>
      <w:r w:rsidR="00F8392C" w:rsidRPr="00550A4F">
        <w:t xml:space="preserve"> Ministry of </w:t>
      </w:r>
      <w:proofErr w:type="spellStart"/>
      <w:r w:rsidR="00F8392C" w:rsidRPr="00550A4F">
        <w:t>Defense</w:t>
      </w:r>
      <w:proofErr w:type="spellEnd"/>
      <w:r w:rsidR="00F8392C" w:rsidRPr="00550A4F">
        <w:rPr>
          <w:rFonts w:eastAsia="Calibri"/>
        </w:rPr>
        <w:t>, c</w:t>
      </w:r>
      <w:r w:rsidR="00E40870" w:rsidRPr="00550A4F">
        <w:rPr>
          <w:rFonts w:eastAsia="Calibri"/>
        </w:rPr>
        <w:t xml:space="preserve">urrent or former military officers </w:t>
      </w:r>
      <w:r w:rsidR="00F261A8" w:rsidRPr="00550A4F">
        <w:rPr>
          <w:rFonts w:eastAsia="Calibri"/>
        </w:rPr>
        <w:t xml:space="preserve">- </w:t>
      </w:r>
      <w:r w:rsidR="00F261A8" w:rsidRPr="00550A4F">
        <w:t xml:space="preserve">including some implicated in alleged grave human rights violations - </w:t>
      </w:r>
      <w:r w:rsidR="00E40870" w:rsidRPr="00550A4F">
        <w:rPr>
          <w:rFonts w:eastAsia="Calibri"/>
        </w:rPr>
        <w:t xml:space="preserve">now occupy </w:t>
      </w:r>
      <w:r w:rsidR="00E40870" w:rsidRPr="00550A4F" w:rsidDel="00924D9A">
        <w:rPr>
          <w:rFonts w:eastAsia="Calibri"/>
        </w:rPr>
        <w:t>p</w:t>
      </w:r>
      <w:r w:rsidR="00E40870" w:rsidRPr="00550A4F">
        <w:rPr>
          <w:rFonts w:eastAsia="Calibri"/>
        </w:rPr>
        <w:t>ositions of authori</w:t>
      </w:r>
      <w:r w:rsidR="00E40870" w:rsidRPr="00032971">
        <w:rPr>
          <w:rFonts w:eastAsia="Calibri"/>
        </w:rPr>
        <w:t xml:space="preserve">ty </w:t>
      </w:r>
      <w:r w:rsidR="00B6432D" w:rsidRPr="00032971">
        <w:rPr>
          <w:rFonts w:eastAsia="Calibri"/>
        </w:rPr>
        <w:t>in</w:t>
      </w:r>
      <w:r w:rsidR="0058220E">
        <w:rPr>
          <w:rFonts w:eastAsia="Calibri"/>
        </w:rPr>
        <w:t xml:space="preserve"> several ministries</w:t>
      </w:r>
      <w:r w:rsidR="00F261A8">
        <w:rPr>
          <w:rFonts w:eastAsia="Calibri"/>
        </w:rPr>
        <w:t>, including</w:t>
      </w:r>
      <w:r w:rsidR="003819F2" w:rsidRPr="00032971">
        <w:t xml:space="preserve"> Foreign</w:t>
      </w:r>
      <w:r w:rsidR="00F261A8">
        <w:t xml:space="preserve"> Affairs</w:t>
      </w:r>
      <w:r w:rsidR="003819F2" w:rsidRPr="00032971">
        <w:t>,</w:t>
      </w:r>
      <w:r w:rsidR="00C120D5">
        <w:t xml:space="preserve"> Public Security,</w:t>
      </w:r>
      <w:r w:rsidR="00E40870" w:rsidRPr="00032971">
        <w:t xml:space="preserve"> Finance, Health</w:t>
      </w:r>
      <w:r w:rsidR="00F261A8">
        <w:t>, Wildlife and Forest Conservation</w:t>
      </w:r>
      <w:r w:rsidR="008D6193">
        <w:t>.</w:t>
      </w:r>
      <w:r w:rsidR="007A62EA">
        <w:t xml:space="preserve"> </w:t>
      </w:r>
      <w:r w:rsidR="00F261A8">
        <w:t xml:space="preserve">Although the Secretariat regulating NGOs has been transferred to the Foreign Minister, the </w:t>
      </w:r>
      <w:r w:rsidR="00E40870" w:rsidRPr="00032971">
        <w:t xml:space="preserve">Ministry of </w:t>
      </w:r>
      <w:proofErr w:type="spellStart"/>
      <w:r w:rsidR="00E40870" w:rsidRPr="00032971">
        <w:t>Defense</w:t>
      </w:r>
      <w:proofErr w:type="spellEnd"/>
      <w:r w:rsidR="00E40870" w:rsidRPr="00032971">
        <w:t xml:space="preserve"> controls at </w:t>
      </w:r>
      <w:r w:rsidR="00E40870" w:rsidRPr="00032971">
        <w:lastRenderedPageBreak/>
        <w:t>least 3</w:t>
      </w:r>
      <w:r w:rsidR="00F90219" w:rsidRPr="00032971">
        <w:t>1</w:t>
      </w:r>
      <w:r w:rsidR="00E40870" w:rsidRPr="00032971">
        <w:t xml:space="preserve"> </w:t>
      </w:r>
      <w:r w:rsidR="00F261A8">
        <w:t xml:space="preserve">other </w:t>
      </w:r>
      <w:r w:rsidR="00E40870" w:rsidRPr="00032971">
        <w:t xml:space="preserve">agencies </w:t>
      </w:r>
      <w:r w:rsidR="00F261A8">
        <w:t>rangin</w:t>
      </w:r>
      <w:r w:rsidR="007177B2">
        <w:t>g from media to immigration. In</w:t>
      </w:r>
      <w:r w:rsidR="00F261A8">
        <w:t xml:space="preserve"> August 2021, for example, a </w:t>
      </w:r>
      <w:r w:rsidR="0058220E">
        <w:t xml:space="preserve">Major-General </w:t>
      </w:r>
      <w:r w:rsidR="009C4D5E">
        <w:t xml:space="preserve">was appointed as Commissioner of Essential Services to oversee implementation of the </w:t>
      </w:r>
      <w:r w:rsidR="009C4D5E" w:rsidRPr="004016FB">
        <w:t>emergency regulations to ensure food security and price controls</w:t>
      </w:r>
      <w:r w:rsidR="008A46F4">
        <w:t>.</w:t>
      </w:r>
      <w:r w:rsidR="009C4D5E" w:rsidRPr="004016FB">
        <w:rPr>
          <w:rStyle w:val="FootnoteReference"/>
          <w:sz w:val="20"/>
        </w:rPr>
        <w:footnoteReference w:id="24"/>
      </w:r>
      <w:r w:rsidR="009C4D5E" w:rsidRPr="004016FB">
        <w:t xml:space="preserve"> </w:t>
      </w:r>
      <w:r w:rsidR="00AB4B2B" w:rsidRPr="004016FB">
        <w:t>In December 2021, Army Comm</w:t>
      </w:r>
      <w:r w:rsidR="00400160">
        <w:t xml:space="preserve">ander General </w:t>
      </w:r>
      <w:proofErr w:type="spellStart"/>
      <w:r w:rsidR="00400160">
        <w:t>Shavendra</w:t>
      </w:r>
      <w:proofErr w:type="spellEnd"/>
      <w:r w:rsidR="00400160">
        <w:t xml:space="preserve"> Silva, </w:t>
      </w:r>
      <w:r w:rsidR="00AB4B2B" w:rsidRPr="004016FB">
        <w:t>was appointed to implement the President’s ‘Green Agriculture Operative Centre’</w:t>
      </w:r>
      <w:r w:rsidR="002F5ADB">
        <w:t xml:space="preserve"> to promote and distribute organic fertilizer</w:t>
      </w:r>
      <w:r w:rsidR="00AB4B2B" w:rsidRPr="004016FB">
        <w:t>.</w:t>
      </w:r>
      <w:r w:rsidR="00726490">
        <w:rPr>
          <w:rStyle w:val="FootnoteReference"/>
        </w:rPr>
        <w:footnoteReference w:id="25"/>
      </w:r>
      <w:r w:rsidR="00AB4B2B" w:rsidRPr="004016FB">
        <w:t xml:space="preserve"> </w:t>
      </w:r>
    </w:p>
    <w:p w14:paraId="6BAF9940" w14:textId="561A8FE0" w:rsidR="00F261A8" w:rsidRDefault="007C7800" w:rsidP="00EA33A2">
      <w:pPr>
        <w:pStyle w:val="SingleTxtG"/>
        <w:ind w:right="338"/>
      </w:pPr>
      <w:r>
        <w:t>1</w:t>
      </w:r>
      <w:r w:rsidR="00FA7964">
        <w:t>6</w:t>
      </w:r>
      <w:r>
        <w:t>.</w:t>
      </w:r>
      <w:r w:rsidR="008F7368">
        <w:tab/>
      </w:r>
      <w:r w:rsidR="00960632" w:rsidRPr="00922FDC">
        <w:t xml:space="preserve">The </w:t>
      </w:r>
      <w:r w:rsidR="00AD5686" w:rsidRPr="00922FDC">
        <w:t xml:space="preserve">President </w:t>
      </w:r>
      <w:r w:rsidR="004C0F80" w:rsidRPr="00922FDC">
        <w:t>continued to renew Gazette notifications under</w:t>
      </w:r>
      <w:r w:rsidR="00AD5686" w:rsidRPr="00922FDC">
        <w:t xml:space="preserve"> Section 12 of </w:t>
      </w:r>
      <w:r w:rsidR="004C0F80" w:rsidRPr="00922FDC">
        <w:t xml:space="preserve">the </w:t>
      </w:r>
      <w:r w:rsidR="00AD5686" w:rsidRPr="00922FDC">
        <w:t xml:space="preserve">Public Security Ordinance </w:t>
      </w:r>
      <w:r w:rsidR="004E5BCB">
        <w:t xml:space="preserve">which </w:t>
      </w:r>
      <w:r w:rsidR="00812721" w:rsidRPr="00922FDC">
        <w:rPr>
          <w:shd w:val="clear" w:color="auto" w:fill="FFFFFF"/>
        </w:rPr>
        <w:t>“</w:t>
      </w:r>
      <w:r w:rsidR="00E60147">
        <w:t xml:space="preserve">authorises recourse </w:t>
      </w:r>
      <w:r w:rsidR="004C0F80" w:rsidRPr="00922FDC">
        <w:t>to</w:t>
      </w:r>
      <w:r w:rsidR="006F2A2D">
        <w:t xml:space="preserve"> </w:t>
      </w:r>
      <w:r w:rsidR="00E60147">
        <w:t xml:space="preserve">the </w:t>
      </w:r>
      <w:r w:rsidR="00AD5686" w:rsidRPr="00922FDC">
        <w:t>armed forces</w:t>
      </w:r>
      <w:r w:rsidR="007177B2">
        <w:t xml:space="preserve"> in circumstance</w:t>
      </w:r>
      <w:r w:rsidR="00027CCB">
        <w:t>s</w:t>
      </w:r>
      <w:r w:rsidR="007177B2">
        <w:t xml:space="preserve"> where </w:t>
      </w:r>
      <w:r w:rsidR="00027CCB">
        <w:t xml:space="preserve">the performance of </w:t>
      </w:r>
      <w:r w:rsidR="007177B2">
        <w:t>police functions require</w:t>
      </w:r>
      <w:r w:rsidR="00027CCB">
        <w:t>s</w:t>
      </w:r>
      <w:r w:rsidR="007177B2">
        <w:t xml:space="preserve"> to be strengthened</w:t>
      </w:r>
      <w:r w:rsidR="00812721">
        <w:t>.</w:t>
      </w:r>
      <w:r w:rsidR="00812721" w:rsidRPr="00922FDC">
        <w:rPr>
          <w:shd w:val="clear" w:color="auto" w:fill="FFFFFF"/>
        </w:rPr>
        <w:t>”</w:t>
      </w:r>
      <w:r w:rsidR="006338BF" w:rsidRPr="00922FDC">
        <w:rPr>
          <w:rStyle w:val="FootnoteReference"/>
          <w:sz w:val="20"/>
        </w:rPr>
        <w:footnoteReference w:id="26"/>
      </w:r>
      <w:r w:rsidR="00515C11">
        <w:t xml:space="preserve"> </w:t>
      </w:r>
      <w:r w:rsidR="00FA7E44" w:rsidRPr="00922FDC">
        <w:t xml:space="preserve">Such </w:t>
      </w:r>
      <w:r w:rsidR="00682904" w:rsidRPr="00922FDC">
        <w:t xml:space="preserve">orders </w:t>
      </w:r>
      <w:r w:rsidR="004C0F80" w:rsidRPr="00922FDC">
        <w:t>continue the</w:t>
      </w:r>
      <w:r w:rsidR="00A32FEC" w:rsidRPr="00922FDC">
        <w:t xml:space="preserve"> militarized approach to l</w:t>
      </w:r>
      <w:r w:rsidR="003A76D1" w:rsidRPr="00922FDC">
        <w:t>aw</w:t>
      </w:r>
      <w:r w:rsidR="004C0F80" w:rsidRPr="00922FDC">
        <w:t xml:space="preserve"> enforcement</w:t>
      </w:r>
      <w:r w:rsidR="003A76D1" w:rsidRPr="00922FDC">
        <w:t xml:space="preserve"> and</w:t>
      </w:r>
      <w:r w:rsidR="00D8161B" w:rsidRPr="00922FDC">
        <w:t xml:space="preserve"> </w:t>
      </w:r>
      <w:r w:rsidR="003A76D1" w:rsidRPr="00922FDC">
        <w:t xml:space="preserve">expand the role of </w:t>
      </w:r>
      <w:r w:rsidR="00D8161B" w:rsidRPr="00922FDC">
        <w:t xml:space="preserve">military in </w:t>
      </w:r>
      <w:r w:rsidR="00D8161B" w:rsidRPr="005371D6">
        <w:t>policing function</w:t>
      </w:r>
      <w:r w:rsidR="00165CE0" w:rsidRPr="005371D6">
        <w:t>s</w:t>
      </w:r>
      <w:r w:rsidR="00337EE0" w:rsidRPr="005371D6">
        <w:t>.</w:t>
      </w:r>
      <w:r w:rsidR="00D91428" w:rsidRPr="005371D6">
        <w:t xml:space="preserve"> </w:t>
      </w:r>
      <w:r w:rsidR="009C4D5E">
        <w:t>Reports</w:t>
      </w:r>
      <w:r w:rsidR="005371D6" w:rsidRPr="005371D6">
        <w:t xml:space="preserve"> indicate </w:t>
      </w:r>
      <w:r w:rsidR="009C4D5E">
        <w:t>a disproportionately high number of</w:t>
      </w:r>
      <w:r w:rsidR="005371D6" w:rsidRPr="005371D6">
        <w:t xml:space="preserve"> military checkpoints in </w:t>
      </w:r>
      <w:r w:rsidR="00B6432D">
        <w:t xml:space="preserve">the </w:t>
      </w:r>
      <w:r w:rsidR="005371D6" w:rsidRPr="005371D6">
        <w:t xml:space="preserve">Northern province, </w:t>
      </w:r>
      <w:r w:rsidR="009C4D5E">
        <w:t xml:space="preserve">and complaints of discriminatory treatment or harassment during security checks, particularly for women. </w:t>
      </w:r>
      <w:r w:rsidR="00515C11">
        <w:t xml:space="preserve"> </w:t>
      </w:r>
    </w:p>
    <w:p w14:paraId="4A9714ED" w14:textId="1FE4DA57" w:rsidR="00F261A8" w:rsidRDefault="00FA7964" w:rsidP="00EA33A2">
      <w:pPr>
        <w:pStyle w:val="SingleTxtG"/>
        <w:ind w:right="338"/>
      </w:pPr>
      <w:r>
        <w:t>17</w:t>
      </w:r>
      <w:r w:rsidR="00F261A8">
        <w:t>.</w:t>
      </w:r>
      <w:r w:rsidR="00F261A8">
        <w:tab/>
        <w:t xml:space="preserve">The release of land occupied by the military, particularly in the </w:t>
      </w:r>
      <w:r w:rsidR="008A001B">
        <w:t xml:space="preserve">Northern and Eastern Provinces, </w:t>
      </w:r>
      <w:r w:rsidR="00F261A8">
        <w:t xml:space="preserve">has been an important element of </w:t>
      </w:r>
      <w:r w:rsidR="00F261A8" w:rsidRPr="007177B2">
        <w:t>peacebuilding and reconciliation.</w:t>
      </w:r>
      <w:r w:rsidR="00FC01C0" w:rsidRPr="007177B2">
        <w:t xml:space="preserve"> </w:t>
      </w:r>
      <w:r w:rsidR="00F261A8" w:rsidRPr="007177B2">
        <w:t>The Government reports that the total number of private lands released by the Armed Forces from 2009 to 31 October 2021 is 2,601,796 acres or 92.42 per cent, with a further 53 (0.19 per cent</w:t>
      </w:r>
      <w:r w:rsidR="00F261A8" w:rsidRPr="005865EB">
        <w:t>)</w:t>
      </w:r>
      <w:r w:rsidR="00870F37" w:rsidRPr="005865EB">
        <w:t xml:space="preserve"> </w:t>
      </w:r>
      <w:r w:rsidR="00F261A8" w:rsidRPr="005865EB">
        <w:t>acres</w:t>
      </w:r>
      <w:r w:rsidR="002749E8" w:rsidRPr="00DD2871">
        <w:t xml:space="preserve"> is</w:t>
      </w:r>
      <w:r w:rsidR="00F261A8" w:rsidRPr="00DD2871">
        <w:t xml:space="preserve"> proposed for release.</w:t>
      </w:r>
      <w:r w:rsidR="00EE2FE1" w:rsidRPr="007177B2">
        <w:rPr>
          <w:rStyle w:val="FootnoteReference"/>
        </w:rPr>
        <w:footnoteReference w:id="27"/>
      </w:r>
      <w:r w:rsidR="00F261A8" w:rsidRPr="007177B2">
        <w:t xml:space="preserve"> However, a renewed trend of land</w:t>
      </w:r>
      <w:r w:rsidR="00E60147" w:rsidRPr="007177B2">
        <w:t xml:space="preserve"> disputes</w:t>
      </w:r>
      <w:r w:rsidR="00F261A8" w:rsidRPr="007177B2">
        <w:t xml:space="preserve"> </w:t>
      </w:r>
      <w:r w:rsidR="00E60147" w:rsidRPr="007177B2">
        <w:t xml:space="preserve">related to </w:t>
      </w:r>
      <w:r w:rsidR="00F261A8" w:rsidRPr="007177B2">
        <w:t>Buddhist heritage conservation</w:t>
      </w:r>
      <w:r w:rsidR="00F261A8">
        <w:t xml:space="preserve"> or forestry protection,</w:t>
      </w:r>
      <w:r w:rsidR="00F261A8" w:rsidRPr="00032971">
        <w:t xml:space="preserve"> has </w:t>
      </w:r>
      <w:r w:rsidR="00870F37">
        <w:t>created new tensions with minority communities</w:t>
      </w:r>
      <w:r w:rsidR="00F261A8">
        <w:t>, particularly in the Eastern Province</w:t>
      </w:r>
      <w:r w:rsidR="00992286">
        <w:t xml:space="preserve"> given the</w:t>
      </w:r>
      <w:r w:rsidR="00992286" w:rsidRPr="00032971">
        <w:t xml:space="preserve"> diverse population and heritage of the region</w:t>
      </w:r>
      <w:r w:rsidR="00F261A8" w:rsidRPr="00032971">
        <w:t xml:space="preserve">. </w:t>
      </w:r>
    </w:p>
    <w:p w14:paraId="210A987F" w14:textId="1E6E6143" w:rsidR="00F261A8" w:rsidRDefault="00FA7964" w:rsidP="00EA33A2">
      <w:pPr>
        <w:pStyle w:val="SingleTxtG"/>
        <w:ind w:right="338"/>
      </w:pPr>
      <w:r>
        <w:t>18</w:t>
      </w:r>
      <w:r w:rsidR="00CC6094">
        <w:t>.</w:t>
      </w:r>
      <w:r w:rsidR="008F7368">
        <w:tab/>
      </w:r>
      <w:r w:rsidR="00992286">
        <w:t>Since</w:t>
      </w:r>
      <w:r w:rsidR="00F261A8" w:rsidRPr="00032971">
        <w:t xml:space="preserve"> June 2020, </w:t>
      </w:r>
      <w:r w:rsidR="00870F37">
        <w:t>a</w:t>
      </w:r>
      <w:r w:rsidR="00F261A8" w:rsidRPr="00032971">
        <w:t xml:space="preserve"> Task Force for Archaeological Heritage Management in the Eastern Province headed by the Defence Secretary</w:t>
      </w:r>
      <w:r w:rsidR="00992286">
        <w:t>,</w:t>
      </w:r>
      <w:r w:rsidR="00F261A8" w:rsidRPr="00032971">
        <w:t xml:space="preserve"> </w:t>
      </w:r>
      <w:r w:rsidR="00F261A8">
        <w:t xml:space="preserve">is working with the </w:t>
      </w:r>
      <w:r w:rsidR="00F261A8" w:rsidRPr="00032971">
        <w:rPr>
          <w:rFonts w:eastAsia="Times New Roman"/>
        </w:rPr>
        <w:t xml:space="preserve">Archaeological Department, </w:t>
      </w:r>
      <w:proofErr w:type="spellStart"/>
      <w:r w:rsidR="00F261A8" w:rsidRPr="00032971">
        <w:t>Mahaweli</w:t>
      </w:r>
      <w:proofErr w:type="spellEnd"/>
      <w:r w:rsidR="00F261A8" w:rsidRPr="00032971">
        <w:t xml:space="preserve"> Authority, Forest Department, Wildlife Department, </w:t>
      </w:r>
      <w:r w:rsidR="00F261A8" w:rsidRPr="00032971">
        <w:rPr>
          <w:rFonts w:eastAsia="Times New Roman"/>
        </w:rPr>
        <w:t xml:space="preserve">police, </w:t>
      </w:r>
      <w:r w:rsidR="00F261A8" w:rsidRPr="00032971">
        <w:t xml:space="preserve">military and Buddhist clergies </w:t>
      </w:r>
      <w:r w:rsidR="00F261A8">
        <w:t>to identify</w:t>
      </w:r>
      <w:r w:rsidR="00F261A8" w:rsidRPr="00032971">
        <w:t xml:space="preserve"> archaeological monuments and facilitate the</w:t>
      </w:r>
      <w:r w:rsidR="00F261A8">
        <w:t xml:space="preserve"> repair or</w:t>
      </w:r>
      <w:r w:rsidR="00F261A8" w:rsidRPr="00032971">
        <w:t xml:space="preserve"> construction of Buddhist sites. </w:t>
      </w:r>
      <w:r w:rsidR="00F261A8">
        <w:t>The</w:t>
      </w:r>
      <w:r w:rsidR="00F261A8" w:rsidRPr="008E77CB">
        <w:t xml:space="preserve"> Government</w:t>
      </w:r>
      <w:r w:rsidR="00F261A8">
        <w:t xml:space="preserve"> has also</w:t>
      </w:r>
      <w:r w:rsidR="00F261A8" w:rsidRPr="008E77CB">
        <w:t xml:space="preserve"> imposed restrictions on land use in these areas on the basis of environmental and forest preservation.</w:t>
      </w:r>
      <w:r w:rsidR="00870F37">
        <w:t xml:space="preserve"> </w:t>
      </w:r>
      <w:r w:rsidR="002749E8">
        <w:t>Minority communities</w:t>
      </w:r>
      <w:r w:rsidR="002749E8" w:rsidRPr="00CF21CE">
        <w:t xml:space="preserve"> </w:t>
      </w:r>
      <w:r w:rsidR="002749E8">
        <w:t>fear the program is being used</w:t>
      </w:r>
      <w:r w:rsidR="002749E8" w:rsidRPr="00CE3036">
        <w:rPr>
          <w:rFonts w:eastAsia="Calibri"/>
        </w:rPr>
        <w:t xml:space="preserve"> to change the demographic </w:t>
      </w:r>
      <w:r w:rsidR="002749E8" w:rsidRPr="002A7D1C">
        <w:rPr>
          <w:rFonts w:eastAsia="Calibri"/>
        </w:rPr>
        <w:t>landscape of</w:t>
      </w:r>
      <w:r w:rsidR="002749E8" w:rsidRPr="002A7D1C">
        <w:t xml:space="preserve"> the regi</w:t>
      </w:r>
      <w:r w:rsidR="002749E8" w:rsidRPr="0080469F">
        <w:t>on.</w:t>
      </w:r>
      <w:r w:rsidR="002749E8">
        <w:t xml:space="preserve">  </w:t>
      </w:r>
      <w:r w:rsidR="0080469F" w:rsidRPr="0080469F">
        <w:t>This could impact livelihoods and increase potential for new conflicts.</w:t>
      </w:r>
      <w:r w:rsidR="0080469F" w:rsidRPr="002A7D1C">
        <w:t xml:space="preserve">  </w:t>
      </w:r>
    </w:p>
    <w:p w14:paraId="2E891628" w14:textId="5B17CECC" w:rsidR="001D4F17" w:rsidRPr="005371D6" w:rsidRDefault="00FA7964" w:rsidP="00EA33A2">
      <w:pPr>
        <w:pStyle w:val="SingleTxtG"/>
        <w:ind w:right="338"/>
      </w:pPr>
      <w:r>
        <w:t>19</w:t>
      </w:r>
      <w:r w:rsidR="00F261A8">
        <w:t>.</w:t>
      </w:r>
      <w:r w:rsidR="00F261A8">
        <w:tab/>
      </w:r>
      <w:r w:rsidR="00870F37" w:rsidRPr="008E77CB">
        <w:t xml:space="preserve">OHCHR has recorded reports of 45 such disputes </w:t>
      </w:r>
      <w:r w:rsidR="00870F37" w:rsidRPr="00F92FCB">
        <w:t xml:space="preserve">over land involving state actors and minorities </w:t>
      </w:r>
      <w:r w:rsidR="00870F37" w:rsidRPr="00353B74">
        <w:t>between January and November 2021</w:t>
      </w:r>
      <w:r w:rsidR="002220BA">
        <w:t xml:space="preserve">. </w:t>
      </w:r>
      <w:r w:rsidR="00F261A8" w:rsidRPr="00032971">
        <w:t xml:space="preserve">For instance, around 340.33 acres of land in 11 locations in the </w:t>
      </w:r>
      <w:proofErr w:type="spellStart"/>
      <w:r w:rsidR="00F261A8" w:rsidRPr="00032971">
        <w:t>Kuchchaveli</w:t>
      </w:r>
      <w:proofErr w:type="spellEnd"/>
      <w:r w:rsidR="00F261A8" w:rsidRPr="00032971">
        <w:t xml:space="preserve"> DS Division of </w:t>
      </w:r>
      <w:proofErr w:type="spellStart"/>
      <w:r w:rsidR="00F261A8" w:rsidRPr="00032971">
        <w:t>Trincomalee</w:t>
      </w:r>
      <w:proofErr w:type="spellEnd"/>
      <w:r w:rsidR="00F261A8" w:rsidRPr="00032971">
        <w:t xml:space="preserve"> District was leased out to seven Buddhist Trustees/temples for 30 years.</w:t>
      </w:r>
      <w:r w:rsidR="00F261A8" w:rsidRPr="00032971">
        <w:rPr>
          <w:rStyle w:val="FootnoteReference"/>
          <w:sz w:val="20"/>
        </w:rPr>
        <w:footnoteReference w:id="28"/>
      </w:r>
      <w:r w:rsidR="00F261A8" w:rsidRPr="00032971">
        <w:t xml:space="preserve"> </w:t>
      </w:r>
      <w:r w:rsidR="00FC01C0">
        <w:t>In September 2020, m</w:t>
      </w:r>
      <w:r w:rsidR="00FC01C0" w:rsidRPr="00032971">
        <w:rPr>
          <w:rFonts w:eastAsia="Times New Roman"/>
        </w:rPr>
        <w:t xml:space="preserve">edia reported that the Archaeological Department took over 358 acres of land in </w:t>
      </w:r>
      <w:proofErr w:type="spellStart"/>
      <w:r w:rsidR="00FC01C0" w:rsidRPr="00032971">
        <w:rPr>
          <w:rFonts w:eastAsia="Times New Roman"/>
        </w:rPr>
        <w:t>Thennamaravadi</w:t>
      </w:r>
      <w:proofErr w:type="spellEnd"/>
      <w:r w:rsidR="00FC01C0" w:rsidRPr="00032971">
        <w:rPr>
          <w:rFonts w:eastAsia="Times New Roman"/>
        </w:rPr>
        <w:t xml:space="preserve">, </w:t>
      </w:r>
      <w:proofErr w:type="spellStart"/>
      <w:r w:rsidR="00FC01C0" w:rsidRPr="00032971">
        <w:rPr>
          <w:rFonts w:eastAsia="Times New Roman"/>
        </w:rPr>
        <w:t>Trincomalee</w:t>
      </w:r>
      <w:proofErr w:type="spellEnd"/>
      <w:r w:rsidR="00FC01C0" w:rsidRPr="00032971">
        <w:rPr>
          <w:rFonts w:eastAsia="Times New Roman"/>
        </w:rPr>
        <w:t xml:space="preserve"> district</w:t>
      </w:r>
      <w:r w:rsidR="00FC01C0">
        <w:rPr>
          <w:rFonts w:eastAsia="Times New Roman"/>
        </w:rPr>
        <w:t>, which are claimed by Tamil farmers,</w:t>
      </w:r>
      <w:r w:rsidR="00FC01C0" w:rsidRPr="00032971">
        <w:rPr>
          <w:rFonts w:eastAsia="Times New Roman"/>
        </w:rPr>
        <w:t xml:space="preserve"> after they were identified as archaeological sites.</w:t>
      </w:r>
    </w:p>
    <w:p w14:paraId="5C23C416" w14:textId="5294F249" w:rsidR="00820234" w:rsidRPr="00A628E0" w:rsidRDefault="00AD45C5" w:rsidP="00AD45C5">
      <w:pPr>
        <w:pStyle w:val="H1G"/>
        <w:tabs>
          <w:tab w:val="clear" w:pos="851"/>
          <w:tab w:val="right" w:pos="567"/>
        </w:tabs>
        <w:ind w:right="338" w:hanging="567"/>
      </w:pPr>
      <w:r>
        <w:t>C</w:t>
      </w:r>
      <w:r w:rsidR="00A628E0">
        <w:t>.</w:t>
      </w:r>
      <w:r w:rsidR="00A628E0">
        <w:tab/>
      </w:r>
      <w:r w:rsidR="00CE2260" w:rsidRPr="00922FDC">
        <w:t xml:space="preserve">Increasing </w:t>
      </w:r>
      <w:proofErr w:type="spellStart"/>
      <w:r w:rsidR="00CE2260" w:rsidRPr="00922FDC">
        <w:t>majoritarianism</w:t>
      </w:r>
      <w:proofErr w:type="spellEnd"/>
      <w:r w:rsidR="00CE2260" w:rsidRPr="00922FDC">
        <w:t xml:space="preserve"> and effects on reconciliation and peace building </w:t>
      </w:r>
    </w:p>
    <w:p w14:paraId="63266BBD" w14:textId="1C18CBBB" w:rsidR="00032971" w:rsidRPr="00922FDC" w:rsidRDefault="00FA7964" w:rsidP="00EA33A2">
      <w:pPr>
        <w:pStyle w:val="SingleTxtG"/>
        <w:ind w:right="338"/>
        <w:rPr>
          <w:color w:val="282828"/>
          <w:spacing w:val="3"/>
          <w:shd w:val="clear" w:color="auto" w:fill="FFFFFF"/>
        </w:rPr>
      </w:pPr>
      <w:r>
        <w:rPr>
          <w:shd w:val="clear" w:color="auto" w:fill="FFFFFF"/>
        </w:rPr>
        <w:t>20</w:t>
      </w:r>
      <w:r w:rsidR="007C7800">
        <w:rPr>
          <w:shd w:val="clear" w:color="auto" w:fill="FFFFFF"/>
        </w:rPr>
        <w:t>.</w:t>
      </w:r>
      <w:r w:rsidR="007C7800">
        <w:rPr>
          <w:shd w:val="clear" w:color="auto" w:fill="FFFFFF"/>
        </w:rPr>
        <w:tab/>
      </w:r>
      <w:r w:rsidR="0059725B" w:rsidRPr="00922FDC">
        <w:rPr>
          <w:shd w:val="clear" w:color="auto" w:fill="FFFFFF"/>
        </w:rPr>
        <w:t>In his address to the 76</w:t>
      </w:r>
      <w:r w:rsidR="0059725B" w:rsidRPr="00922FDC">
        <w:rPr>
          <w:shd w:val="clear" w:color="auto" w:fill="FFFFFF"/>
          <w:vertAlign w:val="superscript"/>
        </w:rPr>
        <w:t>th</w:t>
      </w:r>
      <w:r w:rsidR="0059725B" w:rsidRPr="00922FDC">
        <w:rPr>
          <w:shd w:val="clear" w:color="auto" w:fill="FFFFFF"/>
        </w:rPr>
        <w:t xml:space="preserve"> session of the General Assembly in September, the President affirmed the Government’s “firm intention to build a prosperous, stable and secure future for all Sri Lankans, regardless of ethnicity, religion or gender.”</w:t>
      </w:r>
      <w:r w:rsidR="00D65C31">
        <w:rPr>
          <w:rStyle w:val="FootnoteReference"/>
          <w:shd w:val="clear" w:color="auto" w:fill="FFFFFF"/>
        </w:rPr>
        <w:footnoteReference w:id="29"/>
      </w:r>
      <w:r w:rsidR="002220BA">
        <w:rPr>
          <w:shd w:val="clear" w:color="auto" w:fill="FFFFFF"/>
        </w:rPr>
        <w:t xml:space="preserve"> </w:t>
      </w:r>
      <w:r w:rsidR="004F38BD" w:rsidRPr="00922FDC">
        <w:rPr>
          <w:shd w:val="clear" w:color="auto" w:fill="FFFFFF"/>
        </w:rPr>
        <w:t>However, actions</w:t>
      </w:r>
      <w:r w:rsidR="00DF757E">
        <w:rPr>
          <w:shd w:val="clear" w:color="auto" w:fill="FFFFFF"/>
        </w:rPr>
        <w:t xml:space="preserve"> by the Government</w:t>
      </w:r>
      <w:r w:rsidR="004F38BD" w:rsidRPr="00922FDC">
        <w:rPr>
          <w:shd w:val="clear" w:color="auto" w:fill="FFFFFF"/>
        </w:rPr>
        <w:t xml:space="preserve"> </w:t>
      </w:r>
      <w:r w:rsidR="00870F37">
        <w:rPr>
          <w:shd w:val="clear" w:color="auto" w:fill="FFFFFF"/>
        </w:rPr>
        <w:t xml:space="preserve">during the past year </w:t>
      </w:r>
      <w:r w:rsidR="004F38BD" w:rsidRPr="00922FDC">
        <w:rPr>
          <w:shd w:val="clear" w:color="auto" w:fill="FFFFFF"/>
        </w:rPr>
        <w:t>have reinforced the nexus between Sinhalese nationalism, Buddhism and the state</w:t>
      </w:r>
      <w:r w:rsidR="00870F37">
        <w:rPr>
          <w:shd w:val="clear" w:color="auto" w:fill="FFFFFF"/>
        </w:rPr>
        <w:t xml:space="preserve">, </w:t>
      </w:r>
      <w:r w:rsidR="00771CF2">
        <w:rPr>
          <w:shd w:val="clear" w:color="auto" w:fill="FFFFFF"/>
        </w:rPr>
        <w:t xml:space="preserve"> increas</w:t>
      </w:r>
      <w:r w:rsidR="00870F37">
        <w:rPr>
          <w:shd w:val="clear" w:color="auto" w:fill="FFFFFF"/>
        </w:rPr>
        <w:t>ing</w:t>
      </w:r>
      <w:r w:rsidR="00771CF2">
        <w:rPr>
          <w:shd w:val="clear" w:color="auto" w:fill="FFFFFF"/>
        </w:rPr>
        <w:t xml:space="preserve"> </w:t>
      </w:r>
      <w:r w:rsidR="004F38BD" w:rsidRPr="00922FDC">
        <w:rPr>
          <w:shd w:val="clear" w:color="auto" w:fill="FFFFFF"/>
        </w:rPr>
        <w:t xml:space="preserve">the sense of marginalisation </w:t>
      </w:r>
      <w:r w:rsidR="004F38BD" w:rsidRPr="00922FDC">
        <w:rPr>
          <w:shd w:val="clear" w:color="auto" w:fill="FFFFFF"/>
        </w:rPr>
        <w:lastRenderedPageBreak/>
        <w:t>and anxiety among Tamil, Muslim and Christian minority communities</w:t>
      </w:r>
      <w:r w:rsidR="00870F37">
        <w:rPr>
          <w:shd w:val="clear" w:color="auto" w:fill="FFFFFF"/>
        </w:rPr>
        <w:t>,</w:t>
      </w:r>
      <w:r w:rsidR="00771CF2">
        <w:rPr>
          <w:shd w:val="clear" w:color="auto" w:fill="FFFFFF"/>
        </w:rPr>
        <w:t xml:space="preserve"> and undermin</w:t>
      </w:r>
      <w:r w:rsidR="00870F37">
        <w:rPr>
          <w:shd w:val="clear" w:color="auto" w:fill="FFFFFF"/>
        </w:rPr>
        <w:t>ing</w:t>
      </w:r>
      <w:r w:rsidR="00771CF2">
        <w:rPr>
          <w:shd w:val="clear" w:color="auto" w:fill="FFFFFF"/>
        </w:rPr>
        <w:t xml:space="preserve"> the prospects for reconciliation</w:t>
      </w:r>
      <w:r w:rsidR="00A17FC3" w:rsidRPr="00821D8E">
        <w:rPr>
          <w:rFonts w:eastAsia="Times New Roman"/>
        </w:rPr>
        <w:t>.</w:t>
      </w:r>
    </w:p>
    <w:p w14:paraId="54001324" w14:textId="7788D797" w:rsidR="00032971" w:rsidRPr="005A11BD" w:rsidRDefault="00192A7B" w:rsidP="00EA33A2">
      <w:pPr>
        <w:pStyle w:val="SingleTxtG"/>
        <w:ind w:right="338"/>
        <w:rPr>
          <w:color w:val="282828"/>
          <w:spacing w:val="3"/>
          <w:shd w:val="clear" w:color="auto" w:fill="FFFFFF"/>
        </w:rPr>
      </w:pPr>
      <w:r>
        <w:rPr>
          <w:rFonts w:eastAsia="Calibri"/>
        </w:rPr>
        <w:t>2</w:t>
      </w:r>
      <w:r w:rsidR="00FA7964">
        <w:rPr>
          <w:rFonts w:eastAsia="Calibri"/>
        </w:rPr>
        <w:t>1</w:t>
      </w:r>
      <w:r w:rsidR="007C7800">
        <w:rPr>
          <w:rFonts w:eastAsia="Calibri"/>
        </w:rPr>
        <w:t>.</w:t>
      </w:r>
      <w:r w:rsidR="007C7800">
        <w:rPr>
          <w:rFonts w:eastAsia="Calibri"/>
        </w:rPr>
        <w:tab/>
      </w:r>
      <w:r w:rsidR="000D12A9" w:rsidRPr="00922FDC">
        <w:rPr>
          <w:rFonts w:eastAsia="Calibri"/>
        </w:rPr>
        <w:t xml:space="preserve">In </w:t>
      </w:r>
      <w:r w:rsidR="004F38BD" w:rsidRPr="00922FDC">
        <w:rPr>
          <w:rFonts w:eastAsia="Calibri"/>
        </w:rPr>
        <w:t xml:space="preserve">October </w:t>
      </w:r>
      <w:r w:rsidR="000D12A9" w:rsidRPr="00922FDC">
        <w:rPr>
          <w:rFonts w:eastAsia="Calibri"/>
        </w:rPr>
        <w:t xml:space="preserve">2021, the President </w:t>
      </w:r>
      <w:r w:rsidR="004F38BD" w:rsidRPr="00922FDC">
        <w:rPr>
          <w:rFonts w:eastAsia="Calibri"/>
        </w:rPr>
        <w:t xml:space="preserve">appointed </w:t>
      </w:r>
      <w:r w:rsidR="004F38BD" w:rsidRPr="00922FDC">
        <w:rPr>
          <w:color w:val="282828"/>
          <w:spacing w:val="3"/>
          <w:shd w:val="clear" w:color="auto" w:fill="FFFFFF"/>
        </w:rPr>
        <w:t xml:space="preserve">a Presidential Task Force </w:t>
      </w:r>
      <w:r w:rsidR="004F38BD" w:rsidRPr="00922FDC">
        <w:t>with a mandate to</w:t>
      </w:r>
      <w:r w:rsidR="004F38BD" w:rsidRPr="00922FDC">
        <w:rPr>
          <w:rFonts w:eastAsia="Calibri"/>
          <w:lang w:val="en-US"/>
        </w:rPr>
        <w:t xml:space="preserve"> </w:t>
      </w:r>
      <w:r w:rsidR="00992286">
        <w:rPr>
          <w:rFonts w:eastAsia="Calibri"/>
          <w:lang w:val="en-US"/>
        </w:rPr>
        <w:t>formulate a framewo</w:t>
      </w:r>
      <w:r w:rsidR="00EF7B4D">
        <w:rPr>
          <w:rFonts w:eastAsia="Calibri"/>
          <w:lang w:val="en-US"/>
        </w:rPr>
        <w:t>rk and make recommendations for</w:t>
      </w:r>
      <w:r w:rsidR="004F38BD" w:rsidRPr="00922FDC">
        <w:rPr>
          <w:rFonts w:eastAsia="Calibri"/>
          <w:lang w:val="en-US"/>
        </w:rPr>
        <w:t xml:space="preserve"> the implementation of the concept of “One Country, One Law” promised in his election manifesto and </w:t>
      </w:r>
      <w:r w:rsidR="002D665F">
        <w:rPr>
          <w:rFonts w:eastAsia="Calibri"/>
          <w:lang w:val="en-US"/>
        </w:rPr>
        <w:t xml:space="preserve">to </w:t>
      </w:r>
      <w:r w:rsidR="004F38BD" w:rsidRPr="00922FDC">
        <w:rPr>
          <w:rFonts w:eastAsia="Calibri"/>
          <w:lang w:val="en-US"/>
        </w:rPr>
        <w:t>present a final report by 28 February 2022.</w:t>
      </w:r>
      <w:r w:rsidR="00255A26">
        <w:rPr>
          <w:rFonts w:eastAsia="Calibri"/>
          <w:lang w:val="en-US"/>
        </w:rPr>
        <w:t xml:space="preserve"> </w:t>
      </w:r>
      <w:r w:rsidR="004F38BD" w:rsidRPr="00922FDC">
        <w:rPr>
          <w:rFonts w:eastAsia="Calibri"/>
          <w:lang w:val="en-US"/>
        </w:rPr>
        <w:t xml:space="preserve">Controversially, he </w:t>
      </w:r>
      <w:r w:rsidR="000D12A9" w:rsidRPr="00922FDC">
        <w:rPr>
          <w:rFonts w:eastAsia="Calibri"/>
        </w:rPr>
        <w:t xml:space="preserve">appointed </w:t>
      </w:r>
      <w:r w:rsidR="009F1028" w:rsidRPr="00922FDC">
        <w:t>as its chairperson</w:t>
      </w:r>
      <w:r w:rsidR="009F1028" w:rsidRPr="00922FDC">
        <w:rPr>
          <w:rFonts w:eastAsia="Calibri"/>
        </w:rPr>
        <w:t xml:space="preserve"> </w:t>
      </w:r>
      <w:r w:rsidR="000D12A9" w:rsidRPr="00922FDC">
        <w:rPr>
          <w:rFonts w:eastAsia="Calibri"/>
        </w:rPr>
        <w:t>Buddhist</w:t>
      </w:r>
      <w:r w:rsidR="000D12A9" w:rsidRPr="005A11BD">
        <w:rPr>
          <w:rFonts w:eastAsia="Calibri"/>
        </w:rPr>
        <w:t xml:space="preserve"> monk</w:t>
      </w:r>
      <w:r w:rsidR="000D12A9" w:rsidRPr="005A11BD">
        <w:t xml:space="preserve"> </w:t>
      </w:r>
      <w:proofErr w:type="spellStart"/>
      <w:r w:rsidR="000D12A9" w:rsidRPr="005A11BD">
        <w:t>Gnan</w:t>
      </w:r>
      <w:r w:rsidR="002220BA">
        <w:t>a</w:t>
      </w:r>
      <w:r w:rsidR="000D12A9" w:rsidRPr="005A11BD">
        <w:t>sara</w:t>
      </w:r>
      <w:proofErr w:type="spellEnd"/>
      <w:r w:rsidR="000D12A9" w:rsidRPr="005A11BD">
        <w:t xml:space="preserve"> Thera, the leader of the </w:t>
      </w:r>
      <w:proofErr w:type="spellStart"/>
      <w:r w:rsidR="000D12A9" w:rsidRPr="005A11BD">
        <w:t>Bodu</w:t>
      </w:r>
      <w:proofErr w:type="spellEnd"/>
      <w:r w:rsidR="000D12A9" w:rsidRPr="005A11BD">
        <w:t xml:space="preserve"> </w:t>
      </w:r>
      <w:proofErr w:type="spellStart"/>
      <w:r w:rsidR="000D12A9" w:rsidRPr="005A11BD">
        <w:t>Bala</w:t>
      </w:r>
      <w:proofErr w:type="spellEnd"/>
      <w:r w:rsidR="000D12A9" w:rsidRPr="005A11BD">
        <w:t xml:space="preserve"> </w:t>
      </w:r>
      <w:proofErr w:type="spellStart"/>
      <w:r w:rsidR="000D12A9" w:rsidRPr="005A11BD">
        <w:t>Sena</w:t>
      </w:r>
      <w:proofErr w:type="spellEnd"/>
      <w:r w:rsidR="000D12A9" w:rsidRPr="005A11BD">
        <w:t xml:space="preserve"> (BBS), a Buddhist extremist organization</w:t>
      </w:r>
      <w:r w:rsidR="009F1028" w:rsidRPr="005A11BD">
        <w:t xml:space="preserve"> known for its anti-Muslim rhetoric and hate speech.</w:t>
      </w:r>
      <w:r w:rsidR="006D0800" w:rsidRPr="005A11BD">
        <w:t xml:space="preserve"> </w:t>
      </w:r>
      <w:proofErr w:type="spellStart"/>
      <w:r w:rsidR="000D12A9" w:rsidRPr="005A11BD">
        <w:t>Gnan</w:t>
      </w:r>
      <w:r w:rsidR="000472D2">
        <w:t>a</w:t>
      </w:r>
      <w:r w:rsidR="000D12A9" w:rsidRPr="005A11BD">
        <w:t>sara</w:t>
      </w:r>
      <w:proofErr w:type="spellEnd"/>
      <w:r w:rsidR="000D12A9" w:rsidRPr="005A11BD">
        <w:t xml:space="preserve"> Thera has been accused of provoking anti-Muslim violence in the past</w:t>
      </w:r>
      <w:r w:rsidR="009F1028" w:rsidRPr="005A11BD">
        <w:t xml:space="preserve">, </w:t>
      </w:r>
      <w:r w:rsidR="000D12A9" w:rsidRPr="005A11BD">
        <w:t>for instance</w:t>
      </w:r>
      <w:r w:rsidR="00BF1E27" w:rsidRPr="005A11BD">
        <w:t xml:space="preserve">, </w:t>
      </w:r>
      <w:r w:rsidR="000D12A9" w:rsidRPr="005A11BD">
        <w:t xml:space="preserve">the riots in </w:t>
      </w:r>
      <w:proofErr w:type="spellStart"/>
      <w:r w:rsidR="000D12A9" w:rsidRPr="005A11BD">
        <w:t>Aluthgama</w:t>
      </w:r>
      <w:proofErr w:type="spellEnd"/>
      <w:r w:rsidR="000D12A9" w:rsidRPr="005A11BD">
        <w:t xml:space="preserve"> in 2014 and </w:t>
      </w:r>
      <w:proofErr w:type="spellStart"/>
      <w:r w:rsidR="000D12A9" w:rsidRPr="005A11BD">
        <w:t>Digana</w:t>
      </w:r>
      <w:proofErr w:type="spellEnd"/>
      <w:r w:rsidR="000D12A9" w:rsidRPr="005A11BD">
        <w:t xml:space="preserve"> in 2018</w:t>
      </w:r>
      <w:r w:rsidR="0027157D" w:rsidRPr="005A11BD">
        <w:t>.</w:t>
      </w:r>
      <w:r w:rsidR="0027157D" w:rsidRPr="005A11BD">
        <w:rPr>
          <w:rStyle w:val="FootnoteReference"/>
          <w:sz w:val="20"/>
          <w:shd w:val="clear" w:color="auto" w:fill="FFFFFF"/>
        </w:rPr>
        <w:t xml:space="preserve"> </w:t>
      </w:r>
      <w:r w:rsidR="0027157D" w:rsidRPr="005A11BD">
        <w:rPr>
          <w:rStyle w:val="FootnoteReference"/>
          <w:sz w:val="20"/>
          <w:shd w:val="clear" w:color="auto" w:fill="FFFFFF"/>
        </w:rPr>
        <w:footnoteReference w:id="30"/>
      </w:r>
      <w:r w:rsidR="0027157D" w:rsidRPr="005A11BD">
        <w:rPr>
          <w:shd w:val="clear" w:color="auto" w:fill="FFFFFF"/>
        </w:rPr>
        <w:t xml:space="preserve"> </w:t>
      </w:r>
      <w:r w:rsidR="008B235B" w:rsidRPr="005A11BD">
        <w:rPr>
          <w:shd w:val="clear" w:color="auto" w:fill="FFFFFF"/>
        </w:rPr>
        <w:t xml:space="preserve">In August 2018, </w:t>
      </w:r>
      <w:r w:rsidR="008B235B" w:rsidRPr="005A11BD">
        <w:t>h</w:t>
      </w:r>
      <w:r w:rsidR="0027157D" w:rsidRPr="005A11BD">
        <w:t>e</w:t>
      </w:r>
      <w:r w:rsidR="000D12A9" w:rsidRPr="005A11BD">
        <w:t xml:space="preserve"> was </w:t>
      </w:r>
      <w:r w:rsidR="000D12A9" w:rsidRPr="005A11BD">
        <w:rPr>
          <w:shd w:val="clear" w:color="auto" w:fill="FFFFFF"/>
        </w:rPr>
        <w:t xml:space="preserve">sentenced to six years of </w:t>
      </w:r>
      <w:r w:rsidR="00CC1235">
        <w:rPr>
          <w:shd w:val="clear" w:color="auto" w:fill="FFFFFF"/>
        </w:rPr>
        <w:t xml:space="preserve">imprisonment </w:t>
      </w:r>
      <w:r w:rsidR="00CC1235" w:rsidRPr="005A11BD">
        <w:rPr>
          <w:shd w:val="clear" w:color="auto" w:fill="FFFFFF"/>
        </w:rPr>
        <w:t>for</w:t>
      </w:r>
      <w:r w:rsidR="000D12A9" w:rsidRPr="005A11BD">
        <w:rPr>
          <w:shd w:val="clear" w:color="auto" w:fill="FFFFFF"/>
        </w:rPr>
        <w:t xml:space="preserve"> contempt to court</w:t>
      </w:r>
      <w:r w:rsidR="003160F1" w:rsidRPr="005A11BD">
        <w:rPr>
          <w:shd w:val="clear" w:color="auto" w:fill="FFFFFF"/>
        </w:rPr>
        <w:t xml:space="preserve"> </w:t>
      </w:r>
      <w:r w:rsidR="008B235B" w:rsidRPr="005A11BD">
        <w:rPr>
          <w:shd w:val="clear" w:color="auto" w:fill="FFFFFF"/>
        </w:rPr>
        <w:t>for</w:t>
      </w:r>
      <w:r w:rsidR="003160F1" w:rsidRPr="005A11BD">
        <w:rPr>
          <w:shd w:val="clear" w:color="auto" w:fill="FFFFFF"/>
        </w:rPr>
        <w:t xml:space="preserve"> a separate</w:t>
      </w:r>
      <w:r w:rsidR="008B235B" w:rsidRPr="005A11BD">
        <w:rPr>
          <w:shd w:val="clear" w:color="auto" w:fill="FFFFFF"/>
        </w:rPr>
        <w:t xml:space="preserve"> </w:t>
      </w:r>
      <w:r w:rsidR="00255A26" w:rsidRPr="005A11BD">
        <w:rPr>
          <w:shd w:val="clear" w:color="auto" w:fill="FFFFFF"/>
        </w:rPr>
        <w:t>incident</w:t>
      </w:r>
      <w:r w:rsidR="00255A26">
        <w:rPr>
          <w:shd w:val="clear" w:color="auto" w:fill="FFFFFF"/>
        </w:rPr>
        <w:t xml:space="preserve"> but</w:t>
      </w:r>
      <w:r w:rsidR="008B235B" w:rsidRPr="005A11BD">
        <w:rPr>
          <w:shd w:val="clear" w:color="auto" w:fill="FFFFFF"/>
        </w:rPr>
        <w:t xml:space="preserve"> received a</w:t>
      </w:r>
      <w:r w:rsidR="003160F1" w:rsidRPr="005A11BD">
        <w:rPr>
          <w:shd w:val="clear" w:color="auto" w:fill="FFFFFF"/>
        </w:rPr>
        <w:t xml:space="preserve"> </w:t>
      </w:r>
      <w:r w:rsidR="000D12A9" w:rsidRPr="005A11BD">
        <w:rPr>
          <w:shd w:val="clear" w:color="auto" w:fill="FFFFFF"/>
        </w:rPr>
        <w:t>Presidential pardon</w:t>
      </w:r>
      <w:r w:rsidR="00DF5DF6" w:rsidRPr="005A11BD">
        <w:rPr>
          <w:shd w:val="clear" w:color="auto" w:fill="FFFFFF"/>
        </w:rPr>
        <w:t xml:space="preserve"> in May 2019</w:t>
      </w:r>
      <w:r w:rsidR="000D12A9" w:rsidRPr="005A11BD">
        <w:rPr>
          <w:shd w:val="clear" w:color="auto" w:fill="FFFFFF"/>
        </w:rPr>
        <w:t>.</w:t>
      </w:r>
      <w:r w:rsidR="00D75157" w:rsidRPr="005A11BD">
        <w:rPr>
          <w:shd w:val="clear" w:color="auto" w:fill="FFFFFF"/>
        </w:rPr>
        <w:t xml:space="preserve"> </w:t>
      </w:r>
    </w:p>
    <w:p w14:paraId="21EB31FC" w14:textId="564F2924" w:rsidR="00032971" w:rsidRPr="009267FE" w:rsidRDefault="007C7800" w:rsidP="00EA33A2">
      <w:pPr>
        <w:pStyle w:val="SingleTxtG"/>
        <w:ind w:right="338"/>
        <w:rPr>
          <w:lang w:val="en-US"/>
        </w:rPr>
      </w:pPr>
      <w:r>
        <w:rPr>
          <w:lang w:val="en-US"/>
        </w:rPr>
        <w:t>2</w:t>
      </w:r>
      <w:r w:rsidR="00FA7964">
        <w:rPr>
          <w:lang w:val="en-US"/>
        </w:rPr>
        <w:t>2</w:t>
      </w:r>
      <w:r>
        <w:rPr>
          <w:lang w:val="en-US"/>
        </w:rPr>
        <w:t>.</w:t>
      </w:r>
      <w:r>
        <w:rPr>
          <w:lang w:val="en-US"/>
        </w:rPr>
        <w:tab/>
      </w:r>
      <w:r w:rsidR="004F38BD" w:rsidRPr="005A11BD">
        <w:rPr>
          <w:lang w:val="en-US"/>
        </w:rPr>
        <w:t xml:space="preserve">The Constitution already recognizes </w:t>
      </w:r>
      <w:r w:rsidR="00771CF2" w:rsidRPr="005A11BD">
        <w:rPr>
          <w:lang w:val="en-US"/>
        </w:rPr>
        <w:t xml:space="preserve">Sri Lanka as a unitary State (article 2) </w:t>
      </w:r>
      <w:r w:rsidR="00771CF2">
        <w:rPr>
          <w:lang w:val="en-US"/>
        </w:rPr>
        <w:t xml:space="preserve">and </w:t>
      </w:r>
      <w:r w:rsidR="004F38BD" w:rsidRPr="005A11BD">
        <w:rPr>
          <w:lang w:val="en-US"/>
        </w:rPr>
        <w:t>the equality of citizens before the law (article 12)</w:t>
      </w:r>
      <w:r w:rsidR="00771CF2">
        <w:rPr>
          <w:lang w:val="en-US"/>
        </w:rPr>
        <w:t xml:space="preserve">, </w:t>
      </w:r>
      <w:r w:rsidR="00870F37">
        <w:rPr>
          <w:lang w:val="en-US"/>
        </w:rPr>
        <w:t xml:space="preserve">but </w:t>
      </w:r>
      <w:r w:rsidR="004F38BD" w:rsidRPr="005A11BD">
        <w:rPr>
          <w:lang w:val="en-US"/>
        </w:rPr>
        <w:t xml:space="preserve">the concept of “One Country, One Law” </w:t>
      </w:r>
      <w:r w:rsidR="00771CF2">
        <w:rPr>
          <w:lang w:val="en-US"/>
        </w:rPr>
        <w:t>may have implications for the devolution of political authority and law-making powers to the provincial level.</w:t>
      </w:r>
      <w:r w:rsidR="00666E4A">
        <w:rPr>
          <w:lang w:val="en-US"/>
        </w:rPr>
        <w:t xml:space="preserve"> </w:t>
      </w:r>
      <w:r w:rsidR="00771CF2">
        <w:rPr>
          <w:lang w:val="en-US"/>
        </w:rPr>
        <w:t xml:space="preserve">It </w:t>
      </w:r>
      <w:r w:rsidR="00870F37">
        <w:rPr>
          <w:lang w:val="en-US"/>
        </w:rPr>
        <w:t>may also relate to</w:t>
      </w:r>
      <w:r w:rsidR="004F38BD" w:rsidRPr="005A11BD">
        <w:rPr>
          <w:lang w:val="en-US"/>
        </w:rPr>
        <w:t xml:space="preserve"> sets of </w:t>
      </w:r>
      <w:r w:rsidR="009F1028" w:rsidRPr="005A11BD">
        <w:rPr>
          <w:lang w:val="en-US"/>
        </w:rPr>
        <w:t>customary personal laws that have</w:t>
      </w:r>
      <w:r w:rsidR="004F38BD" w:rsidRPr="005A11BD">
        <w:rPr>
          <w:lang w:val="en-US"/>
        </w:rPr>
        <w:t xml:space="preserve"> allowed </w:t>
      </w:r>
      <w:r w:rsidR="00922FDC" w:rsidRPr="005A11BD">
        <w:rPr>
          <w:lang w:val="en-US"/>
        </w:rPr>
        <w:t>different communities</w:t>
      </w:r>
      <w:r w:rsidR="004F38BD" w:rsidRPr="005A11BD">
        <w:rPr>
          <w:lang w:val="en-US"/>
        </w:rPr>
        <w:t xml:space="preserve"> to retain specific </w:t>
      </w:r>
      <w:r w:rsidR="009F1028" w:rsidRPr="005A11BD">
        <w:rPr>
          <w:lang w:val="en-US"/>
        </w:rPr>
        <w:t>practices</w:t>
      </w:r>
      <w:r w:rsidR="003445FD">
        <w:rPr>
          <w:lang w:val="en-US"/>
        </w:rPr>
        <w:t xml:space="preserve">, preserving the diversity </w:t>
      </w:r>
      <w:r w:rsidR="002749E8">
        <w:rPr>
          <w:lang w:val="en-US"/>
        </w:rPr>
        <w:t xml:space="preserve">of </w:t>
      </w:r>
      <w:r w:rsidR="003445FD">
        <w:rPr>
          <w:lang w:val="en-US"/>
        </w:rPr>
        <w:t>multiple identities in Sri Lankan society</w:t>
      </w:r>
      <w:r w:rsidR="00841D96">
        <w:rPr>
          <w:lang w:val="en-US"/>
        </w:rPr>
        <w:t xml:space="preserve">. </w:t>
      </w:r>
      <w:r w:rsidR="009F1028" w:rsidRPr="005A11BD">
        <w:rPr>
          <w:lang w:val="en-US"/>
        </w:rPr>
        <w:t xml:space="preserve">Today these are defined as </w:t>
      </w:r>
      <w:r w:rsidR="004F38BD" w:rsidRPr="005A11BD">
        <w:rPr>
          <w:lang w:val="en-US"/>
        </w:rPr>
        <w:t xml:space="preserve">the </w:t>
      </w:r>
      <w:proofErr w:type="spellStart"/>
      <w:r w:rsidR="004F38BD" w:rsidRPr="005A11BD">
        <w:rPr>
          <w:lang w:val="en-US"/>
        </w:rPr>
        <w:t>Thesawalamai</w:t>
      </w:r>
      <w:proofErr w:type="spellEnd"/>
      <w:r w:rsidR="004F38BD" w:rsidRPr="005A11BD">
        <w:rPr>
          <w:lang w:val="en-US"/>
        </w:rPr>
        <w:t xml:space="preserve"> Law that applies to Tamils</w:t>
      </w:r>
      <w:r w:rsidR="009F1028" w:rsidRPr="005A11BD">
        <w:rPr>
          <w:lang w:val="en-US"/>
        </w:rPr>
        <w:t xml:space="preserve"> in the Northern Province, the </w:t>
      </w:r>
      <w:proofErr w:type="spellStart"/>
      <w:r w:rsidR="004F38BD" w:rsidRPr="005A11BD">
        <w:rPr>
          <w:lang w:val="en-US"/>
        </w:rPr>
        <w:t>K</w:t>
      </w:r>
      <w:r w:rsidR="009F1028" w:rsidRPr="005A11BD">
        <w:rPr>
          <w:lang w:val="en-US"/>
        </w:rPr>
        <w:t>andyan</w:t>
      </w:r>
      <w:proofErr w:type="spellEnd"/>
      <w:r w:rsidR="009F1028" w:rsidRPr="005A11BD">
        <w:rPr>
          <w:lang w:val="en-US"/>
        </w:rPr>
        <w:t xml:space="preserve"> law that is an elective m</w:t>
      </w:r>
      <w:r w:rsidR="004F38BD" w:rsidRPr="005A11BD">
        <w:rPr>
          <w:lang w:val="en-US"/>
        </w:rPr>
        <w:t xml:space="preserve">atrimonial and inheritance </w:t>
      </w:r>
      <w:r w:rsidR="009F1028" w:rsidRPr="005A11BD">
        <w:rPr>
          <w:lang w:val="en-US"/>
        </w:rPr>
        <w:t>framework</w:t>
      </w:r>
      <w:r w:rsidR="004F38BD" w:rsidRPr="005A11BD">
        <w:rPr>
          <w:lang w:val="en-US"/>
        </w:rPr>
        <w:t xml:space="preserve"> for Kandy Sinhalese, and the Muslim </w:t>
      </w:r>
      <w:r w:rsidR="009F1028" w:rsidRPr="005A11BD">
        <w:rPr>
          <w:lang w:val="en-US"/>
        </w:rPr>
        <w:t>personal law</w:t>
      </w:r>
      <w:r w:rsidR="004F38BD" w:rsidRPr="005A11BD">
        <w:rPr>
          <w:lang w:val="en-US"/>
        </w:rPr>
        <w:t>. All three regimes deal primarily with issues of property including land, inheritance including inte</w:t>
      </w:r>
      <w:r w:rsidR="008F7368">
        <w:rPr>
          <w:lang w:val="en-US"/>
        </w:rPr>
        <w:t>r</w:t>
      </w:r>
      <w:r w:rsidR="004F38BD" w:rsidRPr="005A11BD">
        <w:rPr>
          <w:lang w:val="en-US"/>
        </w:rPr>
        <w:t>state succession, and marriage and divorce</w:t>
      </w:r>
      <w:r w:rsidR="009F1028" w:rsidRPr="005A11BD">
        <w:rPr>
          <w:lang w:val="en-US"/>
        </w:rPr>
        <w:t xml:space="preserve">, but </w:t>
      </w:r>
      <w:r w:rsidR="009F1028" w:rsidRPr="002F33C3">
        <w:rPr>
          <w:lang w:val="en-US"/>
        </w:rPr>
        <w:t xml:space="preserve">also have important </w:t>
      </w:r>
      <w:r w:rsidR="004F38BD" w:rsidRPr="002F33C3">
        <w:rPr>
          <w:lang w:val="en-US"/>
        </w:rPr>
        <w:t>identity-base</w:t>
      </w:r>
      <w:r w:rsidR="009F1028" w:rsidRPr="002F33C3">
        <w:rPr>
          <w:lang w:val="en-US"/>
        </w:rPr>
        <w:t>d</w:t>
      </w:r>
      <w:r w:rsidR="004F38BD" w:rsidRPr="002F33C3">
        <w:rPr>
          <w:lang w:val="en-US"/>
        </w:rPr>
        <w:t xml:space="preserve"> symbolic value.</w:t>
      </w:r>
      <w:r w:rsidR="004F38BD" w:rsidRPr="002F33C3">
        <w:t xml:space="preserve"> </w:t>
      </w:r>
    </w:p>
    <w:p w14:paraId="56E94538" w14:textId="5499E185" w:rsidR="005A11BD" w:rsidRPr="008B0678" w:rsidRDefault="007C7800" w:rsidP="00EA33A2">
      <w:pPr>
        <w:pStyle w:val="SingleTxtG"/>
        <w:ind w:right="338"/>
        <w:rPr>
          <w:color w:val="282828"/>
          <w:spacing w:val="3"/>
          <w:shd w:val="clear" w:color="auto" w:fill="FFFFFF"/>
        </w:rPr>
      </w:pPr>
      <w:r w:rsidRPr="00152E2E">
        <w:rPr>
          <w:spacing w:val="3"/>
          <w:shd w:val="clear" w:color="auto" w:fill="FFFFFF"/>
        </w:rPr>
        <w:t>2</w:t>
      </w:r>
      <w:r w:rsidR="00FA7964">
        <w:rPr>
          <w:spacing w:val="3"/>
          <w:shd w:val="clear" w:color="auto" w:fill="FFFFFF"/>
        </w:rPr>
        <w:t>3</w:t>
      </w:r>
      <w:r w:rsidRPr="00152E2E">
        <w:rPr>
          <w:spacing w:val="3"/>
          <w:shd w:val="clear" w:color="auto" w:fill="FFFFFF"/>
        </w:rPr>
        <w:t>.</w:t>
      </w:r>
      <w:r w:rsidRPr="00152E2E">
        <w:rPr>
          <w:spacing w:val="3"/>
          <w:shd w:val="clear" w:color="auto" w:fill="FFFFFF"/>
        </w:rPr>
        <w:tab/>
      </w:r>
      <w:r w:rsidR="009F1028" w:rsidRPr="00152E2E">
        <w:rPr>
          <w:spacing w:val="3"/>
          <w:shd w:val="clear" w:color="auto" w:fill="FFFFFF"/>
        </w:rPr>
        <w:t xml:space="preserve">Separately, </w:t>
      </w:r>
      <w:r w:rsidR="00870F37">
        <w:rPr>
          <w:spacing w:val="3"/>
          <w:shd w:val="clear" w:color="auto" w:fill="FFFFFF"/>
        </w:rPr>
        <w:t xml:space="preserve">the Government informed OHCHR that </w:t>
      </w:r>
      <w:r w:rsidR="009F1028" w:rsidRPr="00152E2E">
        <w:rPr>
          <w:spacing w:val="3"/>
          <w:shd w:val="clear" w:color="auto" w:fill="FFFFFF"/>
        </w:rPr>
        <w:t xml:space="preserve">a Muslim Law Reform Advisory Committee appointed by the Minister of Justice has made recommendations for the </w:t>
      </w:r>
      <w:r w:rsidR="009F1028" w:rsidRPr="007177B2">
        <w:rPr>
          <w:spacing w:val="3"/>
          <w:shd w:val="clear" w:color="auto" w:fill="FFFFFF"/>
        </w:rPr>
        <w:t>amendment of the Muslim Marriage and Divorce Act of 1951</w:t>
      </w:r>
      <w:r w:rsidR="00AB7575" w:rsidRPr="007177B2">
        <w:rPr>
          <w:spacing w:val="3"/>
          <w:shd w:val="clear" w:color="auto" w:fill="FFFFFF"/>
        </w:rPr>
        <w:t>, General Marriage</w:t>
      </w:r>
      <w:r w:rsidR="007177B2" w:rsidRPr="007177B2">
        <w:rPr>
          <w:spacing w:val="3"/>
          <w:shd w:val="clear" w:color="auto" w:fill="FFFFFF"/>
        </w:rPr>
        <w:t>s</w:t>
      </w:r>
      <w:r w:rsidR="00AB7575" w:rsidRPr="007177B2">
        <w:rPr>
          <w:spacing w:val="3"/>
          <w:shd w:val="clear" w:color="auto" w:fill="FFFFFF"/>
        </w:rPr>
        <w:t xml:space="preserve"> Ordinance </w:t>
      </w:r>
      <w:r w:rsidR="009F1028" w:rsidRPr="007177B2">
        <w:rPr>
          <w:spacing w:val="3"/>
          <w:shd w:val="clear" w:color="auto" w:fill="FFFFFF"/>
        </w:rPr>
        <w:t>and Civil Procedure Code</w:t>
      </w:r>
      <w:r w:rsidR="004E5BCB">
        <w:rPr>
          <w:spacing w:val="3"/>
          <w:shd w:val="clear" w:color="auto" w:fill="FFFFFF"/>
        </w:rPr>
        <w:t>,</w:t>
      </w:r>
      <w:r w:rsidR="00992286" w:rsidRPr="007177B2">
        <w:rPr>
          <w:spacing w:val="3"/>
          <w:shd w:val="clear" w:color="auto" w:fill="FFFFFF"/>
        </w:rPr>
        <w:t xml:space="preserve"> to bring them into the conformity with</w:t>
      </w:r>
      <w:r w:rsidR="007177B2">
        <w:rPr>
          <w:spacing w:val="3"/>
          <w:shd w:val="clear" w:color="auto" w:fill="FFFFFF"/>
        </w:rPr>
        <w:t xml:space="preserve"> </w:t>
      </w:r>
      <w:r w:rsidR="00992286" w:rsidRPr="007177B2">
        <w:rPr>
          <w:spacing w:val="3"/>
          <w:shd w:val="clear" w:color="auto" w:fill="FFFFFF"/>
        </w:rPr>
        <w:t>prevailing international standards</w:t>
      </w:r>
      <w:r w:rsidR="00841D96">
        <w:rPr>
          <w:spacing w:val="3"/>
          <w:shd w:val="clear" w:color="auto" w:fill="FFFFFF"/>
        </w:rPr>
        <w:t xml:space="preserve">. </w:t>
      </w:r>
      <w:r w:rsidR="00992286">
        <w:rPr>
          <w:spacing w:val="3"/>
          <w:shd w:val="clear" w:color="auto" w:fill="FFFFFF"/>
        </w:rPr>
        <w:t>T</w:t>
      </w:r>
      <w:r w:rsidR="009F1028" w:rsidRPr="00152E2E">
        <w:rPr>
          <w:spacing w:val="3"/>
          <w:shd w:val="clear" w:color="auto" w:fill="FFFFFF"/>
        </w:rPr>
        <w:t>he legal draftsman</w:t>
      </w:r>
      <w:r w:rsidR="00992286">
        <w:rPr>
          <w:spacing w:val="3"/>
          <w:shd w:val="clear" w:color="auto" w:fill="FFFFFF"/>
        </w:rPr>
        <w:t xml:space="preserve"> is now preparing</w:t>
      </w:r>
      <w:r w:rsidR="00AB7575">
        <w:rPr>
          <w:spacing w:val="3"/>
          <w:shd w:val="clear" w:color="auto" w:fill="FFFFFF"/>
        </w:rPr>
        <w:t xml:space="preserve"> the </w:t>
      </w:r>
      <w:r w:rsidR="00992286">
        <w:rPr>
          <w:spacing w:val="3"/>
          <w:shd w:val="clear" w:color="auto" w:fill="FFFFFF"/>
        </w:rPr>
        <w:t xml:space="preserve">amendments </w:t>
      </w:r>
      <w:r w:rsidR="009F1028" w:rsidRPr="00152E2E">
        <w:rPr>
          <w:spacing w:val="3"/>
          <w:shd w:val="clear" w:color="auto" w:fill="FFFFFF"/>
        </w:rPr>
        <w:t>.</w:t>
      </w:r>
      <w:r w:rsidR="00FA7964">
        <w:rPr>
          <w:rStyle w:val="FootnoteReference"/>
          <w:spacing w:val="3"/>
          <w:shd w:val="clear" w:color="auto" w:fill="FFFFFF"/>
        </w:rPr>
        <w:footnoteReference w:id="31"/>
      </w:r>
      <w:r w:rsidR="009F1028" w:rsidRPr="00152E2E">
        <w:rPr>
          <w:spacing w:val="3"/>
          <w:shd w:val="clear" w:color="auto" w:fill="FFFFFF"/>
        </w:rPr>
        <w:t xml:space="preserve"> The amendments </w:t>
      </w:r>
      <w:r w:rsidR="002607F3" w:rsidRPr="00152E2E">
        <w:rPr>
          <w:spacing w:val="3"/>
          <w:shd w:val="clear" w:color="auto" w:fill="FFFFFF"/>
        </w:rPr>
        <w:t xml:space="preserve">reportedly </w:t>
      </w:r>
      <w:r w:rsidR="009F1028" w:rsidRPr="00152E2E">
        <w:rPr>
          <w:spacing w:val="3"/>
          <w:shd w:val="clear" w:color="auto" w:fill="FFFFFF"/>
        </w:rPr>
        <w:t xml:space="preserve">will, inter alia, introduce a minimum </w:t>
      </w:r>
      <w:r w:rsidR="009F1028" w:rsidRPr="008B0678">
        <w:rPr>
          <w:spacing w:val="3"/>
          <w:shd w:val="clear" w:color="auto" w:fill="FFFFFF"/>
        </w:rPr>
        <w:t xml:space="preserve">age of marriage of 18 years for Muslims, introduce minimum educational qualifications for members of </w:t>
      </w:r>
      <w:proofErr w:type="spellStart"/>
      <w:r w:rsidR="009F1028" w:rsidRPr="008B0678">
        <w:rPr>
          <w:spacing w:val="3"/>
          <w:shd w:val="clear" w:color="auto" w:fill="FFFFFF"/>
        </w:rPr>
        <w:t>Qa</w:t>
      </w:r>
      <w:r w:rsidR="009F1028" w:rsidRPr="001A41B5">
        <w:rPr>
          <w:spacing w:val="3"/>
          <w:shd w:val="clear" w:color="auto" w:fill="FFFFFF"/>
        </w:rPr>
        <w:t>zi</w:t>
      </w:r>
      <w:proofErr w:type="spellEnd"/>
      <w:r w:rsidR="009F1028" w:rsidRPr="001A41B5">
        <w:rPr>
          <w:spacing w:val="3"/>
          <w:shd w:val="clear" w:color="auto" w:fill="FFFFFF"/>
        </w:rPr>
        <w:t xml:space="preserve"> courts and the possibility of female members, and give Muslims the choice of registering their marriages under the General Law</w:t>
      </w:r>
      <w:r w:rsidR="009F1028" w:rsidRPr="001A41B5">
        <w:rPr>
          <w:color w:val="282828"/>
          <w:spacing w:val="3"/>
          <w:shd w:val="clear" w:color="auto" w:fill="FFFFFF"/>
        </w:rPr>
        <w:t>.</w:t>
      </w:r>
      <w:r w:rsidR="00D65C31" w:rsidRPr="001A41B5">
        <w:rPr>
          <w:rStyle w:val="FootnoteReference"/>
          <w:color w:val="282828"/>
          <w:spacing w:val="3"/>
          <w:sz w:val="20"/>
          <w:shd w:val="clear" w:color="auto" w:fill="FFFFFF"/>
        </w:rPr>
        <w:footnoteReference w:id="32"/>
      </w:r>
      <w:r w:rsidR="009F1028" w:rsidRPr="001A41B5">
        <w:rPr>
          <w:color w:val="282828"/>
          <w:spacing w:val="3"/>
          <w:shd w:val="clear" w:color="auto" w:fill="FFFFFF"/>
        </w:rPr>
        <w:t xml:space="preserve"> </w:t>
      </w:r>
      <w:r w:rsidR="00984038" w:rsidRPr="001A41B5">
        <w:rPr>
          <w:spacing w:val="3"/>
          <w:shd w:val="clear" w:color="auto" w:fill="FFFFFF"/>
        </w:rPr>
        <w:t xml:space="preserve">The High Commissioner </w:t>
      </w:r>
      <w:r w:rsidR="00870F37" w:rsidRPr="001A41B5">
        <w:rPr>
          <w:spacing w:val="3"/>
          <w:shd w:val="clear" w:color="auto" w:fill="FFFFFF"/>
        </w:rPr>
        <w:t>welcomes any progressive reforms that will strengthen the rights of women and girls in line with international human rights standards and encourages max</w:t>
      </w:r>
      <w:r w:rsidR="00870F37" w:rsidRPr="001A41B5">
        <w:rPr>
          <w:spacing w:val="3"/>
        </w:rPr>
        <w:t xml:space="preserve">imum consultation with the </w:t>
      </w:r>
      <w:r w:rsidR="00834549" w:rsidRPr="001A41B5">
        <w:rPr>
          <w:spacing w:val="3"/>
        </w:rPr>
        <w:t>Muslim</w:t>
      </w:r>
      <w:r w:rsidR="00AE773F" w:rsidRPr="001A41B5">
        <w:rPr>
          <w:spacing w:val="3"/>
        </w:rPr>
        <w:t xml:space="preserve"> </w:t>
      </w:r>
      <w:r w:rsidR="00870F37" w:rsidRPr="001A41B5">
        <w:rPr>
          <w:spacing w:val="3"/>
        </w:rPr>
        <w:t>community, in particular women.</w:t>
      </w:r>
      <w:r w:rsidR="00870F37" w:rsidRPr="008B0678">
        <w:rPr>
          <w:color w:val="282828"/>
          <w:spacing w:val="3"/>
          <w:shd w:val="clear" w:color="auto" w:fill="FFFFFF"/>
        </w:rPr>
        <w:t xml:space="preserve">  </w:t>
      </w:r>
    </w:p>
    <w:p w14:paraId="4E1169C8" w14:textId="6C5724FB" w:rsidR="00922FDC" w:rsidRPr="00657EAF" w:rsidRDefault="007C7800" w:rsidP="00EA33A2">
      <w:pPr>
        <w:pStyle w:val="SingleTxtG"/>
        <w:ind w:right="338"/>
        <w:rPr>
          <w:color w:val="282828"/>
          <w:spacing w:val="3"/>
          <w:shd w:val="clear" w:color="auto" w:fill="FFFFFF"/>
        </w:rPr>
      </w:pPr>
      <w:r w:rsidRPr="008B0678">
        <w:t>2</w:t>
      </w:r>
      <w:r w:rsidR="00060505" w:rsidRPr="008B0678">
        <w:t>4</w:t>
      </w:r>
      <w:r w:rsidRPr="008B0678">
        <w:t>.</w:t>
      </w:r>
      <w:r w:rsidRPr="008B0678">
        <w:tab/>
      </w:r>
      <w:r w:rsidR="00E72216" w:rsidRPr="008B0678">
        <w:t xml:space="preserve">In 2021, </w:t>
      </w:r>
      <w:r w:rsidR="00412B9F" w:rsidRPr="008B0678">
        <w:t xml:space="preserve">new </w:t>
      </w:r>
      <w:r w:rsidR="00CE2260" w:rsidRPr="008B0678">
        <w:t xml:space="preserve">Buddhist temples, statues and shrines </w:t>
      </w:r>
      <w:r w:rsidR="001F1491" w:rsidRPr="008B0678">
        <w:t>were</w:t>
      </w:r>
      <w:r w:rsidR="00444085" w:rsidRPr="008B0678">
        <w:t xml:space="preserve"> erected </w:t>
      </w:r>
      <w:r w:rsidR="00CE2260" w:rsidRPr="008B0678">
        <w:t xml:space="preserve">at symbolic locations with the </w:t>
      </w:r>
      <w:r w:rsidR="008108AB" w:rsidRPr="008B0678">
        <w:t>patronage</w:t>
      </w:r>
      <w:r w:rsidR="00CE2260" w:rsidRPr="008B0678">
        <w:t xml:space="preserve"> of military and </w:t>
      </w:r>
      <w:r w:rsidR="00444085" w:rsidRPr="008B0678">
        <w:t>government officials</w:t>
      </w:r>
      <w:r w:rsidR="002607F3" w:rsidRPr="008B0678">
        <w:t>.</w:t>
      </w:r>
      <w:r w:rsidR="00822FFB">
        <w:t xml:space="preserve"> </w:t>
      </w:r>
      <w:r w:rsidR="00AB76C4" w:rsidRPr="008B0678">
        <w:t>On 18 January 2021, the State Minister for National Heritage</w:t>
      </w:r>
      <w:r w:rsidR="008B0678" w:rsidRPr="008B0678">
        <w:t xml:space="preserve"> and military officers</w:t>
      </w:r>
      <w:r w:rsidR="00AB76C4" w:rsidRPr="008B0678">
        <w:t xml:space="preserve"> </w:t>
      </w:r>
      <w:r w:rsidR="008108AB" w:rsidRPr="008B0678">
        <w:t xml:space="preserve">inaugurated </w:t>
      </w:r>
      <w:r w:rsidR="00AB76C4" w:rsidRPr="008B0678">
        <w:t xml:space="preserve">a Buddha statue </w:t>
      </w:r>
      <w:r w:rsidR="008108AB" w:rsidRPr="008B0678">
        <w:t xml:space="preserve">erected </w:t>
      </w:r>
      <w:r w:rsidR="008B0678" w:rsidRPr="008B0678">
        <w:t>despite</w:t>
      </w:r>
      <w:r w:rsidR="008108AB" w:rsidRPr="008B0678">
        <w:t xml:space="preserve"> a court order allegedly on the </w:t>
      </w:r>
      <w:r w:rsidR="00AB76C4" w:rsidRPr="008B0678">
        <w:t xml:space="preserve">site of an ancient Hindu temple in </w:t>
      </w:r>
      <w:proofErr w:type="spellStart"/>
      <w:r w:rsidR="00AB76C4" w:rsidRPr="008B0678">
        <w:t>Mullaithivu</w:t>
      </w:r>
      <w:proofErr w:type="spellEnd"/>
      <w:r w:rsidR="00AB76C4" w:rsidRPr="008B0678">
        <w:t xml:space="preserve"> District.</w:t>
      </w:r>
      <w:r w:rsidR="00AB76C4" w:rsidRPr="008B0678">
        <w:rPr>
          <w:rStyle w:val="FootnoteReference"/>
          <w:sz w:val="20"/>
        </w:rPr>
        <w:footnoteReference w:id="33"/>
      </w:r>
      <w:r w:rsidR="00AB76C4" w:rsidRPr="008B0678">
        <w:t xml:space="preserve"> In </w:t>
      </w:r>
      <w:r w:rsidR="00324B51" w:rsidRPr="008B0678">
        <w:t xml:space="preserve">November </w:t>
      </w:r>
      <w:r w:rsidR="00AB76C4" w:rsidRPr="008B0678">
        <w:t xml:space="preserve">2021, </w:t>
      </w:r>
      <w:r w:rsidR="00324B51" w:rsidRPr="008B0678">
        <w:t xml:space="preserve">a new monumental stupa in </w:t>
      </w:r>
      <w:proofErr w:type="spellStart"/>
      <w:r w:rsidR="00324B51" w:rsidRPr="008B0678">
        <w:t>Annuradhapura</w:t>
      </w:r>
      <w:proofErr w:type="spellEnd"/>
      <w:r w:rsidR="00324B51" w:rsidRPr="008B0678">
        <w:t>, built with support of the military,</w:t>
      </w:r>
      <w:r w:rsidR="00412B9F" w:rsidRPr="008B0678">
        <w:t xml:space="preserve"> was consecrated</w:t>
      </w:r>
      <w:r w:rsidR="00324B51" w:rsidRPr="008B0678">
        <w:t xml:space="preserve"> as a tribute to </w:t>
      </w:r>
      <w:r w:rsidR="00BC3B3F" w:rsidRPr="008B0678">
        <w:t xml:space="preserve">“War Heroes” reinforcing </w:t>
      </w:r>
      <w:r w:rsidR="00412B9F" w:rsidRPr="008B0678">
        <w:t xml:space="preserve">narratives </w:t>
      </w:r>
      <w:r w:rsidR="00BC3B3F" w:rsidRPr="008B0678">
        <w:t>that depict the conflict in ethno</w:t>
      </w:r>
      <w:r w:rsidR="00412B9F" w:rsidRPr="008B0678">
        <w:t>-</w:t>
      </w:r>
      <w:r w:rsidR="00BC3B3F" w:rsidRPr="008B0678">
        <w:t>religious terms</w:t>
      </w:r>
      <w:r w:rsidR="00CE2260" w:rsidRPr="008B0678">
        <w:t>.</w:t>
      </w:r>
      <w:r w:rsidR="00CE2260" w:rsidRPr="008B0678">
        <w:rPr>
          <w:rStyle w:val="FootnoteReference"/>
          <w:sz w:val="20"/>
        </w:rPr>
        <w:footnoteReference w:id="34"/>
      </w:r>
      <w:r w:rsidR="000E0780">
        <w:t xml:space="preserve"> </w:t>
      </w:r>
      <w:r w:rsidR="00267991" w:rsidRPr="008B0678">
        <w:t xml:space="preserve">The appointment </w:t>
      </w:r>
      <w:r w:rsidR="005C2545" w:rsidRPr="008B0678">
        <w:t xml:space="preserve">in November 2021 </w:t>
      </w:r>
      <w:r w:rsidR="00410FF3" w:rsidRPr="008B0678">
        <w:t xml:space="preserve">of a Buddhist monk </w:t>
      </w:r>
      <w:r w:rsidR="00267991" w:rsidRPr="008B0678">
        <w:t xml:space="preserve">as Chancellor of the University of </w:t>
      </w:r>
      <w:r w:rsidR="00267991" w:rsidRPr="008B0678">
        <w:lastRenderedPageBreak/>
        <w:t xml:space="preserve">Colombo, the country’s premier academic institution, was protested by teachers and students as </w:t>
      </w:r>
      <w:r w:rsidR="00267991" w:rsidRPr="00657EAF">
        <w:t>undermining secularism and academic independence.</w:t>
      </w:r>
    </w:p>
    <w:p w14:paraId="0D1401D7" w14:textId="7BE02271" w:rsidR="00E17DAE" w:rsidRPr="00922FDC" w:rsidRDefault="007C7800" w:rsidP="00EA33A2">
      <w:pPr>
        <w:pStyle w:val="SingleTxtG"/>
        <w:ind w:right="338"/>
        <w:rPr>
          <w:color w:val="282828"/>
          <w:spacing w:val="3"/>
          <w:shd w:val="clear" w:color="auto" w:fill="FFFFFF"/>
        </w:rPr>
      </w:pPr>
      <w:r w:rsidRPr="00657EAF">
        <w:t>2</w:t>
      </w:r>
      <w:r w:rsidR="00060505" w:rsidRPr="00657EAF">
        <w:t>5</w:t>
      </w:r>
      <w:r w:rsidRPr="00657EAF">
        <w:t>.</w:t>
      </w:r>
      <w:r w:rsidR="00CC6094">
        <w:tab/>
      </w:r>
      <w:r w:rsidR="00E72216" w:rsidRPr="005E6781">
        <w:t>S</w:t>
      </w:r>
      <w:r w:rsidR="00CD20FC" w:rsidRPr="005E6781">
        <w:t>everal Government figures made policy proposals which would disproportiona</w:t>
      </w:r>
      <w:r w:rsidR="00AB76C4" w:rsidRPr="005E6781">
        <w:t>te</w:t>
      </w:r>
      <w:r w:rsidR="00CD20FC" w:rsidRPr="005E6781">
        <w:t xml:space="preserve">ly affect </w:t>
      </w:r>
      <w:r w:rsidR="00CD20FC" w:rsidRPr="007177B2">
        <w:t>the Muslim community.</w:t>
      </w:r>
      <w:r w:rsidR="00B42848" w:rsidRPr="007177B2">
        <w:t xml:space="preserve"> </w:t>
      </w:r>
      <w:r w:rsidR="008108AB" w:rsidRPr="007177B2">
        <w:t xml:space="preserve">In </w:t>
      </w:r>
      <w:r w:rsidR="008108AB" w:rsidRPr="00657EAF">
        <w:t>February 2021, the Government revoked the forced cremation policy for COVID-19 deceased; however, the distant location of the burial site poses practica</w:t>
      </w:r>
      <w:r w:rsidR="008108AB" w:rsidRPr="005E6781">
        <w:t xml:space="preserve">l challenges for grieving families as they must travel a long distance to visit or perform rituals. </w:t>
      </w:r>
      <w:r w:rsidR="00CD6079" w:rsidRPr="005E6781">
        <w:t xml:space="preserve">In March 2021, Public Security Minister </w:t>
      </w:r>
      <w:proofErr w:type="spellStart"/>
      <w:r w:rsidR="00CD6079" w:rsidRPr="005E6781">
        <w:t>Sarath</w:t>
      </w:r>
      <w:proofErr w:type="spellEnd"/>
      <w:r w:rsidR="00CD6079" w:rsidRPr="005E6781">
        <w:t xml:space="preserve"> </w:t>
      </w:r>
      <w:proofErr w:type="spellStart"/>
      <w:r w:rsidR="00CD6079" w:rsidRPr="005E6781">
        <w:t>Weerasekara</w:t>
      </w:r>
      <w:proofErr w:type="spellEnd"/>
      <w:r w:rsidR="00CD6079" w:rsidRPr="005E6781">
        <w:t xml:space="preserve"> proposed a ban on burqas and </w:t>
      </w:r>
      <w:proofErr w:type="spellStart"/>
      <w:r w:rsidR="00CD6079" w:rsidRPr="005E6781">
        <w:t>niqabs</w:t>
      </w:r>
      <w:proofErr w:type="spellEnd"/>
      <w:r w:rsidR="00CD6079" w:rsidRPr="005E6781">
        <w:t>, stating that such veils are signs</w:t>
      </w:r>
      <w:r w:rsidR="00CD6079" w:rsidRPr="00DE44AB">
        <w:t xml:space="preserve"> of “religious extremism” which affect national security.</w:t>
      </w:r>
      <w:r w:rsidR="00DE44AB" w:rsidRPr="00DE44AB">
        <w:rPr>
          <w:rStyle w:val="FootnoteReference"/>
          <w:sz w:val="20"/>
        </w:rPr>
        <w:footnoteReference w:id="35"/>
      </w:r>
      <w:r w:rsidR="00DE44AB">
        <w:t xml:space="preserve"> </w:t>
      </w:r>
      <w:r w:rsidR="00AB7575">
        <w:t xml:space="preserve">The Government has clarified that the proposed ban on face coverings which hinder identification would apply to all communities and </w:t>
      </w:r>
      <w:r w:rsidR="00AB7575" w:rsidRPr="007177B2">
        <w:t>both sexes</w:t>
      </w:r>
      <w:r w:rsidR="007177B2">
        <w:t>.</w:t>
      </w:r>
      <w:r w:rsidR="007177B2">
        <w:rPr>
          <w:rStyle w:val="FootnoteReference"/>
        </w:rPr>
        <w:footnoteReference w:id="36"/>
      </w:r>
      <w:r w:rsidR="00997C59">
        <w:t xml:space="preserve"> </w:t>
      </w:r>
      <w:r w:rsidR="00DE44AB" w:rsidRPr="00DE44AB">
        <w:t>In October 2021, the Cabinet approved a proposal to ban cattle slaughtering in the country (an activity mostly conducted by Muslim butchers).</w:t>
      </w:r>
      <w:r w:rsidR="00DE44AB">
        <w:t xml:space="preserve"> </w:t>
      </w:r>
      <w:r w:rsidR="00E17DAE" w:rsidRPr="00DE44AB">
        <w:t>Although these proposals</w:t>
      </w:r>
      <w:r w:rsidR="00E17DAE" w:rsidRPr="00922FDC">
        <w:t xml:space="preserve"> have not been advanced or implemented, they have contributed to a climate of anti-Muslim rhetoric</w:t>
      </w:r>
      <w:r w:rsidR="009267FE">
        <w:t xml:space="preserve"> and added to the feeling of alienation by the Muslim community</w:t>
      </w:r>
      <w:r w:rsidR="009267FE" w:rsidRPr="00922FDC">
        <w:t>.</w:t>
      </w:r>
      <w:r w:rsidR="009267FE">
        <w:t xml:space="preserve"> </w:t>
      </w:r>
    </w:p>
    <w:p w14:paraId="539742F6" w14:textId="536492B2" w:rsidR="005A11BD" w:rsidRPr="002F33C3" w:rsidRDefault="007C7800" w:rsidP="00EA33A2">
      <w:pPr>
        <w:pStyle w:val="SingleTxtG"/>
        <w:ind w:right="338"/>
        <w:rPr>
          <w:color w:val="282828"/>
          <w:spacing w:val="3"/>
          <w:shd w:val="clear" w:color="auto" w:fill="FFFFFF"/>
        </w:rPr>
      </w:pPr>
      <w:r>
        <w:t>2</w:t>
      </w:r>
      <w:r w:rsidR="00060505">
        <w:t>6</w:t>
      </w:r>
      <w:r w:rsidR="00CC6094">
        <w:t>.</w:t>
      </w:r>
      <w:r w:rsidR="00CC6094">
        <w:tab/>
      </w:r>
      <w:r w:rsidR="00AB76C4">
        <w:rPr>
          <w:rFonts w:eastAsia="Times New Roman"/>
        </w:rPr>
        <w:t>I</w:t>
      </w:r>
      <w:r w:rsidR="00821D8E" w:rsidRPr="00821D8E">
        <w:rPr>
          <w:rFonts w:eastAsia="Times New Roman"/>
        </w:rPr>
        <w:t xml:space="preserve">ncidents of attacks targeting Christian Evangelical and non-denominational churches have continued to be reported, including intimidation or harassment of pastors by public officials or members of other creeds, and disturbance </w:t>
      </w:r>
      <w:r w:rsidR="008108AB">
        <w:rPr>
          <w:rFonts w:eastAsia="Times New Roman"/>
        </w:rPr>
        <w:t>at</w:t>
      </w:r>
      <w:r w:rsidR="008108AB" w:rsidRPr="00821D8E">
        <w:rPr>
          <w:rFonts w:eastAsia="Times New Roman"/>
        </w:rPr>
        <w:t xml:space="preserve"> </w:t>
      </w:r>
      <w:r w:rsidR="00821D8E" w:rsidRPr="00821D8E">
        <w:rPr>
          <w:rFonts w:eastAsia="Times New Roman"/>
        </w:rPr>
        <w:t xml:space="preserve">places of worship. </w:t>
      </w:r>
      <w:r w:rsidR="00821D8E" w:rsidRPr="002F33C3">
        <w:rPr>
          <w:rStyle w:val="FootnoteReference"/>
          <w:rFonts w:eastAsia="Times New Roman"/>
          <w:sz w:val="20"/>
        </w:rPr>
        <w:footnoteReference w:id="37"/>
      </w:r>
    </w:p>
    <w:p w14:paraId="6CF0B77F" w14:textId="62B15F3B" w:rsidR="00087819" w:rsidRPr="00FA7964" w:rsidRDefault="00A628E0" w:rsidP="00EA33A2">
      <w:pPr>
        <w:pStyle w:val="H1G"/>
        <w:ind w:right="338"/>
        <w:rPr>
          <w:color w:val="282828"/>
          <w:spacing w:val="3"/>
          <w:shd w:val="clear" w:color="auto" w:fill="FFFFFF"/>
        </w:rPr>
      </w:pPr>
      <w:r>
        <w:tab/>
      </w:r>
      <w:r w:rsidR="00AD45C5">
        <w:t>D</w:t>
      </w:r>
      <w:r>
        <w:t>.</w:t>
      </w:r>
      <w:r>
        <w:tab/>
      </w:r>
      <w:r w:rsidR="00CE2260" w:rsidRPr="005A11BD">
        <w:t>Intimidation</w:t>
      </w:r>
      <w:r w:rsidR="00904905">
        <w:t xml:space="preserve"> and</w:t>
      </w:r>
      <w:r w:rsidR="00CE2260" w:rsidRPr="005A11BD">
        <w:t xml:space="preserve"> threats to civil society</w:t>
      </w:r>
      <w:r w:rsidR="00C8779E">
        <w:t xml:space="preserve"> and victims</w:t>
      </w:r>
    </w:p>
    <w:p w14:paraId="69BC850F" w14:textId="5C513079" w:rsidR="00AB7575" w:rsidRPr="00DD2871" w:rsidRDefault="007C7800" w:rsidP="00EA33A2">
      <w:pPr>
        <w:pStyle w:val="SingleTxtG"/>
        <w:ind w:right="338"/>
        <w:rPr>
          <w:lang w:val="en-US"/>
        </w:rPr>
      </w:pPr>
      <w:r>
        <w:t>2</w:t>
      </w:r>
      <w:r w:rsidR="00060505">
        <w:t>7</w:t>
      </w:r>
      <w:r>
        <w:t>.</w:t>
      </w:r>
      <w:r w:rsidR="00642565">
        <w:tab/>
      </w:r>
      <w:r w:rsidR="008B0678" w:rsidRPr="00922FDC">
        <w:t>The pattern of surveillance and harassment of civil society organizations (CSOs), human rights defenders and victims</w:t>
      </w:r>
      <w:r w:rsidR="008B0678">
        <w:t xml:space="preserve"> highlighted in previous reports</w:t>
      </w:r>
      <w:r w:rsidR="008B0678" w:rsidRPr="00922FDC">
        <w:t xml:space="preserve"> has continued, particularly for those in the country’s north and east. </w:t>
      </w:r>
      <w:r w:rsidR="008B0678" w:rsidRPr="00922FDC">
        <w:rPr>
          <w:rFonts w:eastAsia="Calibri"/>
        </w:rPr>
        <w:t>OHCHR continue</w:t>
      </w:r>
      <w:r w:rsidR="008B0678">
        <w:rPr>
          <w:rFonts w:eastAsia="Calibri"/>
        </w:rPr>
        <w:t>s</w:t>
      </w:r>
      <w:r w:rsidR="008B0678" w:rsidRPr="00922FDC">
        <w:rPr>
          <w:rFonts w:eastAsia="Calibri"/>
        </w:rPr>
        <w:t xml:space="preserve"> to receive allegations of intimidation, monitoring and surveillance</w:t>
      </w:r>
      <w:r w:rsidR="008B0678">
        <w:rPr>
          <w:rFonts w:eastAsia="Calibri"/>
        </w:rPr>
        <w:t xml:space="preserve"> by security services</w:t>
      </w:r>
      <w:r w:rsidR="008B0678" w:rsidRPr="00922FDC">
        <w:rPr>
          <w:rFonts w:eastAsia="Calibri"/>
        </w:rPr>
        <w:t xml:space="preserve"> against human rights defenders, civil society representatives, journalists and families of the </w:t>
      </w:r>
      <w:r w:rsidR="008B0678" w:rsidRPr="008B0678">
        <w:rPr>
          <w:rFonts w:eastAsia="Calibri"/>
        </w:rPr>
        <w:t>disappeared.</w:t>
      </w:r>
      <w:r w:rsidR="008B0678" w:rsidRPr="008B0678">
        <w:rPr>
          <w:lang w:val="en-US"/>
        </w:rPr>
        <w:t xml:space="preserve"> </w:t>
      </w:r>
      <w:r w:rsidR="00AB7575">
        <w:rPr>
          <w:lang w:val="en-US"/>
        </w:rPr>
        <w:t xml:space="preserve">The Government stresses that all such complaints should be submitted to relevant national </w:t>
      </w:r>
      <w:r w:rsidR="00AB7575" w:rsidRPr="00DD2871">
        <w:rPr>
          <w:lang w:val="en-US"/>
        </w:rPr>
        <w:t>mechanisms.</w:t>
      </w:r>
      <w:r w:rsidR="00997C59">
        <w:rPr>
          <w:rStyle w:val="FootnoteReference"/>
          <w:lang w:val="en-US"/>
        </w:rPr>
        <w:footnoteReference w:id="38"/>
      </w:r>
      <w:r w:rsidR="00AB7575" w:rsidRPr="00DD2871">
        <w:rPr>
          <w:lang w:val="en-US"/>
        </w:rPr>
        <w:t xml:space="preserve"> </w:t>
      </w:r>
    </w:p>
    <w:p w14:paraId="00498F75" w14:textId="4067AFB5" w:rsidR="00E72216" w:rsidRPr="008B0678" w:rsidRDefault="00DD2871" w:rsidP="00EA33A2">
      <w:pPr>
        <w:pStyle w:val="SingleTxtG"/>
        <w:ind w:right="338"/>
        <w:rPr>
          <w:rFonts w:eastAsia="Times New Roman"/>
        </w:rPr>
      </w:pPr>
      <w:r>
        <w:t>28.</w:t>
      </w:r>
      <w:r>
        <w:tab/>
      </w:r>
      <w:r w:rsidR="008B0678" w:rsidRPr="00DD2871">
        <w:rPr>
          <w:lang w:val="en-US"/>
        </w:rPr>
        <w:t xml:space="preserve">CSOs and activists are regularly visited in their offices or homes or called by the police for inquiries and questioned about </w:t>
      </w:r>
      <w:r w:rsidR="008B0678" w:rsidRPr="00DD2871">
        <w:t>staff and donors’ bank details</w:t>
      </w:r>
      <w:r w:rsidR="008B0678" w:rsidRPr="00DD2871">
        <w:rPr>
          <w:lang w:val="en-US"/>
        </w:rPr>
        <w:t>, their foreign contacts, travel history</w:t>
      </w:r>
      <w:r w:rsidR="008B0678" w:rsidRPr="00922FDC">
        <w:rPr>
          <w:lang w:val="en-US"/>
        </w:rPr>
        <w:t xml:space="preserve">, or the passwords of their social media accounts. For instance, in December 2021, </w:t>
      </w:r>
      <w:r w:rsidR="008B0678">
        <w:rPr>
          <w:lang w:val="en-US"/>
        </w:rPr>
        <w:t xml:space="preserve">the </w:t>
      </w:r>
      <w:r w:rsidR="008B0678" w:rsidRPr="00922FDC">
        <w:rPr>
          <w:lang w:val="en-US"/>
        </w:rPr>
        <w:t>T</w:t>
      </w:r>
      <w:r w:rsidR="008B0678">
        <w:rPr>
          <w:lang w:val="en-US"/>
        </w:rPr>
        <w:t xml:space="preserve">errorist Investigation </w:t>
      </w:r>
      <w:r w:rsidR="008B0678" w:rsidRPr="00922FDC">
        <w:rPr>
          <w:lang w:val="en-US"/>
        </w:rPr>
        <w:t>D</w:t>
      </w:r>
      <w:r w:rsidR="008B0678">
        <w:rPr>
          <w:lang w:val="en-US"/>
        </w:rPr>
        <w:t>ivision (TID) of the police</w:t>
      </w:r>
      <w:r w:rsidR="008B0678" w:rsidRPr="00922FDC">
        <w:rPr>
          <w:lang w:val="en-US"/>
        </w:rPr>
        <w:t xml:space="preserve"> called the staff of </w:t>
      </w:r>
      <w:r w:rsidR="008B0678">
        <w:rPr>
          <w:lang w:val="en-US"/>
        </w:rPr>
        <w:t xml:space="preserve">at least four organizations in the Northern Province for ‘inquiries’ and questioned them for several hours. </w:t>
      </w:r>
      <w:r w:rsidR="008B0678" w:rsidRPr="00BF5694">
        <w:rPr>
          <w:rFonts w:eastAsia="Times New Roman"/>
        </w:rPr>
        <w:t xml:space="preserve">They were requested </w:t>
      </w:r>
      <w:r w:rsidR="008B0678" w:rsidRPr="008B0678">
        <w:rPr>
          <w:rFonts w:eastAsia="Times New Roman"/>
        </w:rPr>
        <w:t>to submit all information on their funding organizations for the past years and details of the beneficiaries</w:t>
      </w:r>
      <w:r w:rsidR="00C8779E">
        <w:rPr>
          <w:rFonts w:eastAsia="Times New Roman"/>
        </w:rPr>
        <w:t>.</w:t>
      </w:r>
      <w:r w:rsidR="00894AD7">
        <w:rPr>
          <w:rFonts w:eastAsia="Times New Roman"/>
        </w:rPr>
        <w:t xml:space="preserve"> The Government </w:t>
      </w:r>
      <w:r w:rsidR="004E5BCB">
        <w:rPr>
          <w:rFonts w:eastAsia="Times New Roman"/>
        </w:rPr>
        <w:t>asserts that</w:t>
      </w:r>
      <w:r w:rsidR="00894AD7">
        <w:rPr>
          <w:rFonts w:eastAsia="Times New Roman"/>
        </w:rPr>
        <w:t xml:space="preserve"> such scrutiny is necessary to combat money-laundering and financing of terrorism. </w:t>
      </w:r>
    </w:p>
    <w:p w14:paraId="21112A69" w14:textId="77777777" w:rsidR="002749E8" w:rsidRPr="001A41B5" w:rsidRDefault="00682B29" w:rsidP="00EA33A2">
      <w:pPr>
        <w:pStyle w:val="SingleTxtG"/>
        <w:ind w:right="338"/>
      </w:pPr>
      <w:r w:rsidRPr="008B0678">
        <w:t>2</w:t>
      </w:r>
      <w:r w:rsidR="00DD2871">
        <w:t>9</w:t>
      </w:r>
      <w:r w:rsidRPr="008B0678">
        <w:t>.</w:t>
      </w:r>
      <w:r w:rsidRPr="008B0678">
        <w:tab/>
      </w:r>
      <w:r w:rsidR="008B0678" w:rsidRPr="008B0678">
        <w:t>A range of restrictions have affected the operating space for CSOs, particularly in the north and east.</w:t>
      </w:r>
      <w:r w:rsidR="00255A26">
        <w:t xml:space="preserve"> </w:t>
      </w:r>
      <w:r w:rsidR="008B0678" w:rsidRPr="008B0678">
        <w:t>Organisations report being unable to work without surveillance or scrutiny and having to inform and get approval from the district secretariat for any activity. Some areas of work that do</w:t>
      </w:r>
      <w:r w:rsidR="002749E8">
        <w:t xml:space="preserve"> </w:t>
      </w:r>
      <w:r w:rsidR="008B0678" w:rsidRPr="008B0678">
        <w:t>n</w:t>
      </w:r>
      <w:r w:rsidR="002749E8">
        <w:t>o</w:t>
      </w:r>
      <w:r w:rsidR="008B0678" w:rsidRPr="008B0678">
        <w:t xml:space="preserve">t involve material service delivery, such as </w:t>
      </w:r>
      <w:r w:rsidR="008B0678" w:rsidRPr="001A41B5">
        <w:t>psycho-social support, are particularly discouraged.  CSOs informed OHCHR that banks often require them to get approval from their respective district secretariat before releasing funds, placing administrative hurdles for CSOs.</w:t>
      </w:r>
      <w:r w:rsidR="00C8779E" w:rsidRPr="001A41B5">
        <w:t xml:space="preserve"> </w:t>
      </w:r>
    </w:p>
    <w:p w14:paraId="2A94CCBF" w14:textId="77777777" w:rsidR="00C8779E" w:rsidRDefault="00386967" w:rsidP="00EA33A2">
      <w:pPr>
        <w:pStyle w:val="SingleTxtG"/>
        <w:ind w:right="338"/>
      </w:pPr>
      <w:r>
        <w:t>30</w:t>
      </w:r>
      <w:r w:rsidR="001A41B5" w:rsidRPr="001A41B5">
        <w:t xml:space="preserve">. </w:t>
      </w:r>
      <w:r w:rsidR="00C8779E" w:rsidRPr="001A41B5">
        <w:rPr>
          <w:rFonts w:eastAsia="Times New Roman"/>
          <w:color w:val="212121"/>
        </w:rPr>
        <w:t>The High Commissioner is concerned by the Government’s recent public responses to human rights advocacy by well-known and respected civil society representatives and its conflation with LTTE propaganda.  Similar interventions in the past have had</w:t>
      </w:r>
      <w:r w:rsidR="00C8779E" w:rsidRPr="001A41B5">
        <w:t> a chilling effect on Sri Lankan</w:t>
      </w:r>
      <w:r w:rsidR="00C8779E" w:rsidRPr="00AB08ED">
        <w:t xml:space="preserve"> human rights defenders, including in their interaction with the Human Rights Council.</w:t>
      </w:r>
    </w:p>
    <w:p w14:paraId="297F9201" w14:textId="09A25AC6" w:rsidR="00604564" w:rsidRPr="00922FDC" w:rsidRDefault="00386967" w:rsidP="00EA33A2">
      <w:pPr>
        <w:pStyle w:val="SingleTxtG"/>
        <w:ind w:right="338"/>
      </w:pPr>
      <w:r>
        <w:lastRenderedPageBreak/>
        <w:t>31</w:t>
      </w:r>
      <w:r w:rsidR="00604564">
        <w:t>.</w:t>
      </w:r>
      <w:r w:rsidR="00604564">
        <w:tab/>
      </w:r>
      <w:r w:rsidR="00604564" w:rsidRPr="00922FDC">
        <w:t xml:space="preserve">The High Commissioner notes as a positive development the transfer of the </w:t>
      </w:r>
      <w:r w:rsidR="007955CC">
        <w:t>National Secretariat for Non-Governmental Organizations (NGO Secretariat), which regulates CSOs,</w:t>
      </w:r>
      <w:r w:rsidR="00604564" w:rsidRPr="00922FDC">
        <w:t xml:space="preserve"> from the Ministry of Defence to the Ministry of Foreign Affairs in November 2021</w:t>
      </w:r>
      <w:r w:rsidR="00604564">
        <w:t>, and hopes this will lead to a fundamental change in the current securitised approach and promote a more enabling environment for civil society.</w:t>
      </w:r>
      <w:r w:rsidR="00604564" w:rsidRPr="00922FDC">
        <w:rPr>
          <w:rStyle w:val="FootnoteReference"/>
          <w:sz w:val="20"/>
        </w:rPr>
        <w:footnoteReference w:id="39"/>
      </w:r>
      <w:r w:rsidR="00604564">
        <w:t xml:space="preserve"> </w:t>
      </w:r>
      <w:r w:rsidR="00604564" w:rsidRPr="00922FDC">
        <w:t>The</w:t>
      </w:r>
      <w:r w:rsidR="00894AD7">
        <w:t xml:space="preserve"> Government informs that it has begun consultations on a</w:t>
      </w:r>
      <w:r w:rsidR="00604564" w:rsidRPr="00922FDC">
        <w:t xml:space="preserve"> proposed </w:t>
      </w:r>
      <w:r w:rsidR="00604564" w:rsidRPr="00386967">
        <w:t>revision of the Voluntary Social Services (Registration and Supervision) Act No. 31 of 1980.</w:t>
      </w:r>
      <w:r w:rsidR="00DD2871" w:rsidRPr="00386967">
        <w:rPr>
          <w:rStyle w:val="FootnoteReference"/>
        </w:rPr>
        <w:footnoteReference w:id="40"/>
      </w:r>
    </w:p>
    <w:p w14:paraId="1E11094E" w14:textId="77777777" w:rsidR="00922FDC" w:rsidRPr="00922FDC" w:rsidRDefault="00FA7964" w:rsidP="00EA33A2">
      <w:pPr>
        <w:pStyle w:val="SingleTxtG"/>
        <w:ind w:right="338"/>
      </w:pPr>
      <w:r>
        <w:t>3</w:t>
      </w:r>
      <w:r w:rsidR="00386967">
        <w:t>2</w:t>
      </w:r>
      <w:r w:rsidR="00F61B44">
        <w:t>.</w:t>
      </w:r>
      <w:r w:rsidR="00F61B44">
        <w:tab/>
      </w:r>
      <w:r w:rsidR="00184866" w:rsidRPr="00922FDC">
        <w:t>OHCHR received several reports that victim groups continue to face harassment and intimidation from the authorities, including multiple visits from intelligence and police officers inquiring about plans for protests or commemoration or their past links with</w:t>
      </w:r>
      <w:r w:rsidR="004163C3">
        <w:t xml:space="preserve"> the Liberation Tigers of Tamil Eelam</w:t>
      </w:r>
      <w:r w:rsidR="00184866" w:rsidRPr="00922FDC">
        <w:t xml:space="preserve"> </w:t>
      </w:r>
      <w:r w:rsidR="004163C3">
        <w:t>(</w:t>
      </w:r>
      <w:r w:rsidR="00184866" w:rsidRPr="00922FDC">
        <w:t>LTTE</w:t>
      </w:r>
      <w:r w:rsidR="004163C3">
        <w:t>)</w:t>
      </w:r>
      <w:r w:rsidR="00184866" w:rsidRPr="00922FDC">
        <w:t>. In addition, rehabilitated LTTE members and their families or anyone considered to have had any link to LTTE during the conflict are targets of constant surveillance.</w:t>
      </w:r>
      <w:r w:rsidR="00140E01">
        <w:t xml:space="preserve"> </w:t>
      </w:r>
      <w:r w:rsidR="00904905" w:rsidRPr="00922FDC">
        <w:t>The High Commissioner is concerned about the gender</w:t>
      </w:r>
      <w:r w:rsidR="00EB6EF3">
        <w:t xml:space="preserve"> dimension</w:t>
      </w:r>
      <w:r w:rsidR="00904905" w:rsidRPr="00922FDC">
        <w:t xml:space="preserve"> of these policies in a context where many of those advocating for justice are women survivors or family members</w:t>
      </w:r>
      <w:r w:rsidR="00604564">
        <w:t xml:space="preserve"> and face additional vulnerability in their dealings with the security force</w:t>
      </w:r>
      <w:r w:rsidR="00D16252">
        <w:t>s</w:t>
      </w:r>
      <w:r w:rsidR="00604564">
        <w:t xml:space="preserve"> and authorities</w:t>
      </w:r>
      <w:r w:rsidR="00904905" w:rsidRPr="00922FDC">
        <w:t>. Civil society organisations</w:t>
      </w:r>
      <w:r w:rsidR="004962F7" w:rsidRPr="004962F7">
        <w:t xml:space="preserve"> </w:t>
      </w:r>
      <w:r w:rsidR="004962F7">
        <w:t>and victims’ groups</w:t>
      </w:r>
      <w:r w:rsidR="00904905" w:rsidRPr="00922FDC">
        <w:t>, especially those that are grassroots and women-led, should be treated as vital partner</w:t>
      </w:r>
      <w:r w:rsidR="00354FB1">
        <w:t>s</w:t>
      </w:r>
      <w:r w:rsidR="00904905" w:rsidRPr="00922FDC">
        <w:t xml:space="preserve"> in peacebuilding, and they must be allowed to </w:t>
      </w:r>
      <w:r w:rsidR="00904905" w:rsidRPr="00922FDC">
        <w:rPr>
          <w:shd w:val="clear" w:color="auto" w:fill="FFFFFF"/>
        </w:rPr>
        <w:t>mobilize, advocate and c</w:t>
      </w:r>
      <w:r w:rsidR="00904905" w:rsidRPr="00922FDC">
        <w:t>arry out peacebuilding and reconciliation related activities.</w:t>
      </w:r>
      <w:r w:rsidR="004962F7">
        <w:t xml:space="preserve"> </w:t>
      </w:r>
    </w:p>
    <w:p w14:paraId="0E9EC01E" w14:textId="0585A148" w:rsidR="00604564" w:rsidRDefault="00604564" w:rsidP="00EA33A2">
      <w:pPr>
        <w:pStyle w:val="SingleTxtG"/>
        <w:ind w:right="338"/>
      </w:pPr>
      <w:r>
        <w:rPr>
          <w:color w:val="000000"/>
          <w:shd w:val="clear" w:color="auto" w:fill="FFFFFF"/>
        </w:rPr>
        <w:t>3</w:t>
      </w:r>
      <w:r w:rsidR="00386967">
        <w:rPr>
          <w:color w:val="000000"/>
          <w:shd w:val="clear" w:color="auto" w:fill="FFFFFF"/>
        </w:rPr>
        <w:t>3</w:t>
      </w:r>
      <w:r>
        <w:rPr>
          <w:color w:val="000000"/>
          <w:shd w:val="clear" w:color="auto" w:fill="FFFFFF"/>
        </w:rPr>
        <w:t>.</w:t>
      </w:r>
      <w:r w:rsidR="00CC6094">
        <w:rPr>
          <w:color w:val="000000"/>
          <w:shd w:val="clear" w:color="auto" w:fill="FFFFFF"/>
        </w:rPr>
        <w:tab/>
      </w:r>
      <w:r>
        <w:rPr>
          <w:color w:val="000000"/>
          <w:shd w:val="clear" w:color="auto" w:fill="FFFFFF"/>
        </w:rPr>
        <w:t>There were also cases in which victims’ groups</w:t>
      </w:r>
      <w:r w:rsidR="0067752A">
        <w:rPr>
          <w:color w:val="000000"/>
          <w:shd w:val="clear" w:color="auto" w:fill="FFFFFF"/>
        </w:rPr>
        <w:t>,</w:t>
      </w:r>
      <w:r>
        <w:rPr>
          <w:color w:val="000000"/>
          <w:shd w:val="clear" w:color="auto" w:fill="FFFFFF"/>
        </w:rPr>
        <w:t xml:space="preserve"> CSOs </w:t>
      </w:r>
      <w:r w:rsidR="0067752A">
        <w:rPr>
          <w:color w:val="000000"/>
          <w:shd w:val="clear" w:color="auto" w:fill="FFFFFF"/>
        </w:rPr>
        <w:t xml:space="preserve">and politicians </w:t>
      </w:r>
      <w:r>
        <w:rPr>
          <w:color w:val="000000"/>
          <w:shd w:val="clear" w:color="auto" w:fill="FFFFFF"/>
        </w:rPr>
        <w:t>were prevented by the authorities from holding peaceful events and commemorative activities.</w:t>
      </w:r>
      <w:r w:rsidR="00CC1235">
        <w:rPr>
          <w:color w:val="000000"/>
          <w:shd w:val="clear" w:color="auto" w:fill="FFFFFF"/>
        </w:rPr>
        <w:t xml:space="preserve"> </w:t>
      </w:r>
      <w:r w:rsidRPr="00564871">
        <w:rPr>
          <w:color w:val="000000"/>
          <w:shd w:val="clear" w:color="auto" w:fill="FFFFFF"/>
        </w:rPr>
        <w:t>In May 2021, police obtained court injunctions against 27 individuals</w:t>
      </w:r>
      <w:r>
        <w:rPr>
          <w:color w:val="000000"/>
          <w:shd w:val="clear" w:color="auto" w:fill="FFFFFF"/>
        </w:rPr>
        <w:t xml:space="preserve"> </w:t>
      </w:r>
      <w:r w:rsidRPr="00564871">
        <w:rPr>
          <w:color w:val="000000"/>
          <w:shd w:val="clear" w:color="auto" w:fill="FFFFFF"/>
        </w:rPr>
        <w:t xml:space="preserve">to prevent them from organizing </w:t>
      </w:r>
      <w:r>
        <w:rPr>
          <w:color w:val="000000"/>
          <w:shd w:val="clear" w:color="auto" w:fill="FFFFFF"/>
        </w:rPr>
        <w:t xml:space="preserve">a </w:t>
      </w:r>
      <w:r w:rsidRPr="00564871">
        <w:rPr>
          <w:color w:val="000000"/>
          <w:shd w:val="clear" w:color="auto" w:fill="FFFFFF"/>
        </w:rPr>
        <w:t>commemoration</w:t>
      </w:r>
      <w:r>
        <w:rPr>
          <w:color w:val="000000"/>
          <w:shd w:val="clear" w:color="auto" w:fill="FFFFFF"/>
        </w:rPr>
        <w:t xml:space="preserve"> of the war in</w:t>
      </w:r>
      <w:r w:rsidRPr="0059782B">
        <w:rPr>
          <w:color w:val="000000"/>
          <w:shd w:val="clear" w:color="auto" w:fill="FFFFFF"/>
        </w:rPr>
        <w:t xml:space="preserve"> </w:t>
      </w:r>
      <w:proofErr w:type="spellStart"/>
      <w:r w:rsidRPr="00564871">
        <w:rPr>
          <w:color w:val="000000"/>
          <w:shd w:val="clear" w:color="auto" w:fill="FFFFFF"/>
        </w:rPr>
        <w:t>Mullivaikkal</w:t>
      </w:r>
      <w:proofErr w:type="spellEnd"/>
      <w:r>
        <w:rPr>
          <w:color w:val="000000"/>
          <w:shd w:val="clear" w:color="auto" w:fill="FFFFFF"/>
        </w:rPr>
        <w:t xml:space="preserve">. Although the court amended the restraining order the next day, lockdown was imposed in </w:t>
      </w:r>
      <w:proofErr w:type="spellStart"/>
      <w:r>
        <w:rPr>
          <w:color w:val="000000"/>
          <w:shd w:val="clear" w:color="auto" w:fill="FFFFFF"/>
        </w:rPr>
        <w:t>Mullivaikkal</w:t>
      </w:r>
      <w:proofErr w:type="spellEnd"/>
      <w:r>
        <w:rPr>
          <w:color w:val="000000"/>
          <w:shd w:val="clear" w:color="auto" w:fill="FFFFFF"/>
        </w:rPr>
        <w:t xml:space="preserve"> and surrounding areas and military blocked road access. </w:t>
      </w:r>
      <w:bookmarkStart w:id="3" w:name="_Hlk95746682"/>
      <w:r w:rsidRPr="00564871">
        <w:rPr>
          <w:rStyle w:val="jlqj4b"/>
          <w:lang w:val="en"/>
        </w:rPr>
        <w:t xml:space="preserve">In September 2021, </w:t>
      </w:r>
      <w:r>
        <w:rPr>
          <w:rStyle w:val="jlqj4b"/>
          <w:lang w:val="en"/>
        </w:rPr>
        <w:t xml:space="preserve">a </w:t>
      </w:r>
      <w:r w:rsidRPr="00A628E0">
        <w:rPr>
          <w:rStyle w:val="jlqj4b"/>
        </w:rPr>
        <w:t>court</w:t>
      </w:r>
      <w:r w:rsidRPr="00564871">
        <w:rPr>
          <w:rStyle w:val="jlqj4b"/>
          <w:lang w:val="en"/>
        </w:rPr>
        <w:t xml:space="preserve"> issued a restraining order </w:t>
      </w:r>
      <w:r>
        <w:rPr>
          <w:rStyle w:val="jlqj4b"/>
          <w:lang w:val="en"/>
        </w:rPr>
        <w:t xml:space="preserve">on </w:t>
      </w:r>
      <w:r w:rsidRPr="00564871">
        <w:rPr>
          <w:rStyle w:val="jlqj4b"/>
          <w:lang w:val="en"/>
        </w:rPr>
        <w:t>the</w:t>
      </w:r>
      <w:r w:rsidR="009E0E00">
        <w:rPr>
          <w:rStyle w:val="jlqj4b"/>
          <w:lang w:val="en"/>
        </w:rPr>
        <w:t xml:space="preserve"> leader of the</w:t>
      </w:r>
      <w:r w:rsidRPr="00564871">
        <w:rPr>
          <w:rStyle w:val="jlqj4b"/>
          <w:lang w:val="en"/>
        </w:rPr>
        <w:t xml:space="preserve"> association of the families of the disappeared </w:t>
      </w:r>
      <w:r>
        <w:rPr>
          <w:rStyle w:val="jlqj4b"/>
          <w:lang w:val="en"/>
        </w:rPr>
        <w:t>to prevent them participating</w:t>
      </w:r>
      <w:r w:rsidRPr="00564871">
        <w:rPr>
          <w:rStyle w:val="jlqj4b"/>
          <w:lang w:val="en"/>
        </w:rPr>
        <w:t xml:space="preserve"> in rallies and meetings</w:t>
      </w:r>
      <w:bookmarkEnd w:id="3"/>
      <w:r w:rsidRPr="00564871">
        <w:rPr>
          <w:rStyle w:val="jlqj4b"/>
          <w:lang w:val="en"/>
        </w:rPr>
        <w:t xml:space="preserve">. </w:t>
      </w:r>
      <w:r w:rsidRPr="00032971">
        <w:t>In December 2021</w:t>
      </w:r>
      <w:r>
        <w:t>,</w:t>
      </w:r>
      <w:r w:rsidRPr="00032971">
        <w:t xml:space="preserve"> the police obtained a court injunction to stop an event organised in Kandy by a local human rights organisation to celebrate Human Rights Day, citing it may cause ‘disunity</w:t>
      </w:r>
      <w:r>
        <w:t>’</w:t>
      </w:r>
      <w:r w:rsidRPr="00032971">
        <w:t xml:space="preserve"> amongst different ethnic groups.</w:t>
      </w:r>
      <w:r w:rsidRPr="00032971" w:rsidDel="00C63533">
        <w:t xml:space="preserve"> </w:t>
      </w:r>
    </w:p>
    <w:p w14:paraId="7B3CFD03" w14:textId="65D6DC7E" w:rsidR="00922FDC" w:rsidRPr="00552BCE" w:rsidRDefault="00A628E0" w:rsidP="00EA33A2">
      <w:pPr>
        <w:pStyle w:val="H1G"/>
        <w:ind w:right="338"/>
      </w:pPr>
      <w:r>
        <w:tab/>
      </w:r>
      <w:r w:rsidR="00AD45C5">
        <w:t>E</w:t>
      </w:r>
      <w:r>
        <w:t>.</w:t>
      </w:r>
      <w:r>
        <w:tab/>
      </w:r>
      <w:r w:rsidR="00786674" w:rsidRPr="00032971">
        <w:t xml:space="preserve">Custodial deaths, torture and other ill-treatment  </w:t>
      </w:r>
    </w:p>
    <w:p w14:paraId="6DC34C2E" w14:textId="035B63EF" w:rsidR="003C0C2C" w:rsidRDefault="00192A7B" w:rsidP="003C0C2C">
      <w:pPr>
        <w:pStyle w:val="SingleTxtG"/>
        <w:ind w:right="338"/>
      </w:pPr>
      <w:r>
        <w:t>3</w:t>
      </w:r>
      <w:r w:rsidR="00386967">
        <w:t>4</w:t>
      </w:r>
      <w:r w:rsidR="00444085">
        <w:t>.</w:t>
      </w:r>
      <w:r w:rsidR="00444085">
        <w:tab/>
      </w:r>
      <w:r w:rsidR="00444085" w:rsidRPr="00552BCE">
        <w:t>The High Commissioner welcomes the steps that have been taken to reduce prison overcrowding in the context of the COVID-19 pandemic, particularly the release o</w:t>
      </w:r>
      <w:r w:rsidR="00D572AB">
        <w:t xml:space="preserve">f pre-trial detainees on bail. </w:t>
      </w:r>
      <w:r w:rsidR="00444085" w:rsidRPr="00552BCE">
        <w:t>As a result, the Government reports the prison population was reduced from 32,000 in October 2020 to 1</w:t>
      </w:r>
      <w:r w:rsidR="003C0C2C">
        <w:t>8</w:t>
      </w:r>
      <w:r w:rsidR="00444085" w:rsidRPr="00552BCE">
        <w:t>,9</w:t>
      </w:r>
      <w:r w:rsidR="003C0C2C">
        <w:t>03</w:t>
      </w:r>
      <w:r w:rsidR="00444085" w:rsidRPr="00552BCE">
        <w:t xml:space="preserve"> on </w:t>
      </w:r>
      <w:r w:rsidR="003C0C2C">
        <w:t>17</w:t>
      </w:r>
      <w:r w:rsidR="00444085" w:rsidRPr="00552BCE">
        <w:t xml:space="preserve"> </w:t>
      </w:r>
      <w:r w:rsidR="003C0C2C">
        <w:t>February</w:t>
      </w:r>
      <w:r w:rsidR="00444085" w:rsidRPr="00552BCE">
        <w:t xml:space="preserve"> 202</w:t>
      </w:r>
      <w:r w:rsidR="003C0C2C">
        <w:t>2</w:t>
      </w:r>
      <w:r w:rsidR="00444085" w:rsidRPr="00552BCE">
        <w:t>.</w:t>
      </w:r>
      <w:r w:rsidR="00B27935">
        <w:rPr>
          <w:rStyle w:val="FootnoteReference"/>
        </w:rPr>
        <w:footnoteReference w:id="41"/>
      </w:r>
      <w:r w:rsidR="00444085" w:rsidRPr="00552BCE">
        <w:t xml:space="preserve"> The Judicial Services Commission has issued directives to judges to </w:t>
      </w:r>
      <w:r w:rsidR="00444085">
        <w:t>increase the use of bail, and the</w:t>
      </w:r>
      <w:r w:rsidR="00444085" w:rsidRPr="00D272AE">
        <w:t xml:space="preserve"> Attorney General has</w:t>
      </w:r>
      <w:r w:rsidR="00444085">
        <w:t xml:space="preserve"> also</w:t>
      </w:r>
      <w:r w:rsidR="00444085" w:rsidRPr="00D272AE">
        <w:t xml:space="preserve"> issued directions to the police to reduce incarceration of people arrested for possession of user-quantities of drugs.</w:t>
      </w:r>
      <w:r w:rsidR="00194C4D">
        <w:rPr>
          <w:rStyle w:val="FootnoteReference"/>
        </w:rPr>
        <w:footnoteReference w:id="42"/>
      </w:r>
      <w:r w:rsidR="00444085" w:rsidRPr="00D272AE">
        <w:t xml:space="preserve">  </w:t>
      </w:r>
    </w:p>
    <w:p w14:paraId="784E76B8" w14:textId="77777777" w:rsidR="000F21FB" w:rsidRPr="00991610" w:rsidRDefault="00B85F31" w:rsidP="00EA33A2">
      <w:pPr>
        <w:pStyle w:val="SingleTxtG"/>
        <w:ind w:right="338"/>
      </w:pPr>
      <w:r w:rsidRPr="00991610">
        <w:t>3</w:t>
      </w:r>
      <w:r w:rsidR="00386967">
        <w:t>5</w:t>
      </w:r>
      <w:r w:rsidRPr="00991610">
        <w:t>.</w:t>
      </w:r>
      <w:r w:rsidRPr="00991610">
        <w:tab/>
      </w:r>
      <w:r w:rsidR="00E0237C" w:rsidRPr="00991610">
        <w:t xml:space="preserve">The High Commissioner </w:t>
      </w:r>
      <w:r w:rsidR="000472D2" w:rsidRPr="00991610">
        <w:t xml:space="preserve">remains seriously concerned about the repeated incidents of deaths in custody and alleged armed encounters with police. </w:t>
      </w:r>
      <w:r w:rsidR="000472D2" w:rsidRPr="00D7735B">
        <w:t>For example, on</w:t>
      </w:r>
      <w:r w:rsidR="000472D2">
        <w:rPr>
          <w:w w:val="95"/>
        </w:rPr>
        <w:t xml:space="preserve"> </w:t>
      </w:r>
      <w:r w:rsidR="000472D2" w:rsidRPr="005C279C">
        <w:t>6</w:t>
      </w:r>
      <w:r w:rsidR="000472D2">
        <w:t xml:space="preserve"> </w:t>
      </w:r>
      <w:r w:rsidR="000472D2" w:rsidRPr="005C279C">
        <w:t xml:space="preserve">June, </w:t>
      </w:r>
      <w:r w:rsidR="000472D2">
        <w:t xml:space="preserve">Mohamed Ali Khan, who had been arrested for an alleged quarantine violation, </w:t>
      </w:r>
      <w:r w:rsidR="000472D2" w:rsidRPr="005C279C">
        <w:t xml:space="preserve">died in police custody in </w:t>
      </w:r>
      <w:proofErr w:type="spellStart"/>
      <w:r w:rsidR="000472D2">
        <w:t>Wattalpola</w:t>
      </w:r>
      <w:proofErr w:type="spellEnd"/>
      <w:r w:rsidR="000472D2">
        <w:t xml:space="preserve"> </w:t>
      </w:r>
      <w:proofErr w:type="spellStart"/>
      <w:r w:rsidR="000472D2">
        <w:t>Panadura</w:t>
      </w:r>
      <w:proofErr w:type="spellEnd"/>
      <w:r w:rsidR="000472D2">
        <w:t>,</w:t>
      </w:r>
      <w:r w:rsidR="000472D2" w:rsidRPr="005C279C">
        <w:t xml:space="preserve"> </w:t>
      </w:r>
      <w:r w:rsidR="000472D2">
        <w:t>near Colombo. Police reported that</w:t>
      </w:r>
      <w:r w:rsidR="000472D2" w:rsidRPr="005C279C">
        <w:t xml:space="preserve"> he </w:t>
      </w:r>
      <w:r w:rsidR="000472D2">
        <w:t xml:space="preserve">jumped </w:t>
      </w:r>
      <w:r w:rsidR="000472D2" w:rsidRPr="00552BCE">
        <w:t>from a moving police vehicle;</w:t>
      </w:r>
      <w:r w:rsidR="000472D2">
        <w:t xml:space="preserve"> however,</w:t>
      </w:r>
      <w:r w:rsidR="000472D2" w:rsidRPr="00552BCE">
        <w:t xml:space="preserve"> his family alleged that he was beaten and killed by police.</w:t>
      </w:r>
      <w:r w:rsidR="000472D2">
        <w:t xml:space="preserve"> T</w:t>
      </w:r>
      <w:r w:rsidR="000472D2" w:rsidRPr="005C279C">
        <w:t>wo suspects</w:t>
      </w:r>
      <w:r w:rsidR="000472D2">
        <w:t xml:space="preserve"> (</w:t>
      </w:r>
      <w:proofErr w:type="spellStart"/>
      <w:r w:rsidR="000472D2">
        <w:t>Chandran</w:t>
      </w:r>
      <w:proofErr w:type="spellEnd"/>
      <w:r w:rsidR="000472D2">
        <w:t xml:space="preserve"> </w:t>
      </w:r>
      <w:proofErr w:type="spellStart"/>
      <w:r w:rsidR="000472D2">
        <w:t>Vidushan</w:t>
      </w:r>
      <w:proofErr w:type="spellEnd"/>
      <w:r w:rsidR="000472D2">
        <w:t xml:space="preserve"> and </w:t>
      </w:r>
      <w:proofErr w:type="spellStart"/>
      <w:r w:rsidR="000472D2">
        <w:t>Ramzan</w:t>
      </w:r>
      <w:proofErr w:type="spellEnd"/>
      <w:r w:rsidR="00CC1235">
        <w:t>)</w:t>
      </w:r>
      <w:r w:rsidR="00FA0777" w:rsidRPr="005C279C">
        <w:t xml:space="preserve"> died within hours of their arrests in </w:t>
      </w:r>
      <w:proofErr w:type="spellStart"/>
      <w:r w:rsidR="00FA0777" w:rsidRPr="005C279C">
        <w:t>Batticaloa</w:t>
      </w:r>
      <w:proofErr w:type="spellEnd"/>
      <w:r w:rsidR="00FA0777" w:rsidRPr="005C279C">
        <w:t xml:space="preserve"> in June and in </w:t>
      </w:r>
      <w:proofErr w:type="spellStart"/>
      <w:r w:rsidR="00FA0777" w:rsidRPr="005C279C">
        <w:t>Mannar</w:t>
      </w:r>
      <w:proofErr w:type="spellEnd"/>
      <w:r w:rsidR="00FA0777" w:rsidRPr="005C279C">
        <w:t xml:space="preserve"> in October 2021</w:t>
      </w:r>
      <w:r w:rsidR="004D79A8" w:rsidRPr="004D79A8">
        <w:t xml:space="preserve"> </w:t>
      </w:r>
      <w:r w:rsidR="004D79A8">
        <w:t>(respectively)</w:t>
      </w:r>
      <w:r w:rsidR="00FA0777" w:rsidRPr="005C279C">
        <w:t xml:space="preserve">, reportedly due to </w:t>
      </w:r>
      <w:r w:rsidR="00FA0777" w:rsidRPr="00E97707">
        <w:t>drug-related</w:t>
      </w:r>
      <w:r w:rsidR="00FA0777" w:rsidRPr="005C279C">
        <w:t xml:space="preserve"> causes.</w:t>
      </w:r>
      <w:r w:rsidR="004625F1" w:rsidRPr="004625F1">
        <w:t xml:space="preserve"> </w:t>
      </w:r>
      <w:r w:rsidR="008E7635" w:rsidRPr="00552BCE">
        <w:t xml:space="preserve">On 18 July 2021, a gang leader, </w:t>
      </w:r>
      <w:proofErr w:type="spellStart"/>
      <w:r w:rsidR="008E7635" w:rsidRPr="00552BCE">
        <w:t>Lalith</w:t>
      </w:r>
      <w:proofErr w:type="spellEnd"/>
      <w:r w:rsidR="008E7635" w:rsidRPr="00552BCE">
        <w:t xml:space="preserve"> </w:t>
      </w:r>
      <w:proofErr w:type="spellStart"/>
      <w:r w:rsidR="008E7635" w:rsidRPr="00552BCE">
        <w:t>Wasantha</w:t>
      </w:r>
      <w:proofErr w:type="spellEnd"/>
      <w:r w:rsidR="008E7635" w:rsidRPr="00552BCE">
        <w:t xml:space="preserve"> Pinto was killed by the Special Task Force reportedly when resisting arrest. </w:t>
      </w:r>
      <w:r w:rsidR="003F2FE8" w:rsidRPr="00552BCE">
        <w:t>On 11 January 2022</w:t>
      </w:r>
      <w:r w:rsidR="004625F1">
        <w:t xml:space="preserve">, Rajapaksa </w:t>
      </w:r>
      <w:proofErr w:type="spellStart"/>
      <w:r w:rsidR="004625F1">
        <w:t>Mudiyanselage</w:t>
      </w:r>
      <w:proofErr w:type="spellEnd"/>
      <w:r w:rsidR="004625F1">
        <w:t xml:space="preserve"> </w:t>
      </w:r>
      <w:proofErr w:type="spellStart"/>
      <w:r w:rsidR="004625F1">
        <w:t>Menike</w:t>
      </w:r>
      <w:proofErr w:type="spellEnd"/>
      <w:r w:rsidR="003F2FE8" w:rsidRPr="00552BCE">
        <w:t xml:space="preserve"> died after falling </w:t>
      </w:r>
      <w:r w:rsidR="003F2FE8" w:rsidRPr="00552BCE">
        <w:rPr>
          <w:color w:val="000000"/>
        </w:rPr>
        <w:t xml:space="preserve">out of a window from </w:t>
      </w:r>
      <w:r w:rsidR="003F2FE8" w:rsidRPr="00552BCE">
        <w:rPr>
          <w:color w:val="000000"/>
        </w:rPr>
        <w:lastRenderedPageBreak/>
        <w:t xml:space="preserve">the 5th floor of the </w:t>
      </w:r>
      <w:r w:rsidR="003F2FE8" w:rsidRPr="00991610">
        <w:rPr>
          <w:color w:val="000000"/>
        </w:rPr>
        <w:t xml:space="preserve">Criminal Investigations Department (CID) building in Fort, Colombo </w:t>
      </w:r>
      <w:r w:rsidR="008E7635" w:rsidRPr="00991610">
        <w:rPr>
          <w:color w:val="000000"/>
        </w:rPr>
        <w:t>where</w:t>
      </w:r>
      <w:r w:rsidR="003F2FE8" w:rsidRPr="00991610">
        <w:rPr>
          <w:color w:val="000000"/>
        </w:rPr>
        <w:t xml:space="preserve"> she was </w:t>
      </w:r>
      <w:r w:rsidR="008E7635" w:rsidRPr="00991610">
        <w:rPr>
          <w:color w:val="000000"/>
        </w:rPr>
        <w:t>being held</w:t>
      </w:r>
      <w:r w:rsidR="003F2FE8" w:rsidRPr="00991610">
        <w:rPr>
          <w:color w:val="000000"/>
        </w:rPr>
        <w:t xml:space="preserve"> over fraud allegations</w:t>
      </w:r>
      <w:r w:rsidR="008E7635" w:rsidRPr="00991610">
        <w:rPr>
          <w:color w:val="000000"/>
        </w:rPr>
        <w:t>; a</w:t>
      </w:r>
      <w:r w:rsidR="003F2FE8" w:rsidRPr="00991610">
        <w:rPr>
          <w:color w:val="000000"/>
        </w:rPr>
        <w:t>ccording to the police she committed suicide.</w:t>
      </w:r>
      <w:r w:rsidR="0030303F" w:rsidRPr="00991610">
        <w:rPr>
          <w:color w:val="000000"/>
        </w:rPr>
        <w:t xml:space="preserve"> </w:t>
      </w:r>
    </w:p>
    <w:p w14:paraId="752D7457" w14:textId="4E76F365" w:rsidR="00991610" w:rsidRPr="00842CBC" w:rsidRDefault="00EF6742" w:rsidP="00EA33A2">
      <w:pPr>
        <w:pStyle w:val="SingleTxtG"/>
        <w:ind w:right="338"/>
      </w:pPr>
      <w:r>
        <w:t>3</w:t>
      </w:r>
      <w:r w:rsidR="00386967">
        <w:t>6</w:t>
      </w:r>
      <w:r w:rsidR="00CC6094">
        <w:t>.</w:t>
      </w:r>
      <w:r w:rsidR="00842CBC">
        <w:tab/>
      </w:r>
      <w:r w:rsidR="00991610" w:rsidRPr="00991610">
        <w:t xml:space="preserve">The High Commissioner is alarmed that on at least two occasions, the Bar Association and private lawyers had notified the authorities that the detainees’ lives were at risk. For instance, on November 16, police killed </w:t>
      </w:r>
      <w:proofErr w:type="spellStart"/>
      <w:r w:rsidR="00991610" w:rsidRPr="00991610">
        <w:t>Hewa</w:t>
      </w:r>
      <w:proofErr w:type="spellEnd"/>
      <w:r w:rsidR="00991610" w:rsidRPr="00991610">
        <w:t xml:space="preserve"> </w:t>
      </w:r>
      <w:proofErr w:type="spellStart"/>
      <w:r w:rsidR="00991610" w:rsidRPr="00991610">
        <w:t>Lunuwilage</w:t>
      </w:r>
      <w:proofErr w:type="spellEnd"/>
      <w:r w:rsidR="00991610" w:rsidRPr="00991610">
        <w:t xml:space="preserve"> </w:t>
      </w:r>
      <w:proofErr w:type="spellStart"/>
      <w:r w:rsidR="00991610" w:rsidRPr="00991610">
        <w:t>Lasantha</w:t>
      </w:r>
      <w:proofErr w:type="spellEnd"/>
      <w:r w:rsidR="00991610" w:rsidRPr="00991610">
        <w:t xml:space="preserve"> in </w:t>
      </w:r>
      <w:proofErr w:type="spellStart"/>
      <w:r w:rsidR="00991610" w:rsidRPr="00991610">
        <w:t>Kalutara</w:t>
      </w:r>
      <w:proofErr w:type="spellEnd"/>
      <w:r w:rsidR="00991610" w:rsidRPr="00991610">
        <w:t xml:space="preserve"> when he was being escorted to recover firearms, allegedly used in another crime and he reportedl</w:t>
      </w:r>
      <w:r w:rsidR="006D507A">
        <w:t xml:space="preserve">y attacked the police officers. </w:t>
      </w:r>
      <w:r w:rsidR="00991610" w:rsidRPr="00991610">
        <w:t xml:space="preserve">A day before, </w:t>
      </w:r>
      <w:proofErr w:type="spellStart"/>
      <w:r w:rsidR="00991610" w:rsidRPr="00842CBC">
        <w:t>Lasantha’s</w:t>
      </w:r>
      <w:proofErr w:type="spellEnd"/>
      <w:r w:rsidR="00991610" w:rsidRPr="00842CBC">
        <w:t xml:space="preserve"> lawyer had contacted the Bar Association to inform that his client’s life was in danger. The Bar Association in its statement confirmed that it </w:t>
      </w:r>
      <w:r w:rsidR="00991610" w:rsidRPr="001E6B7B">
        <w:t>had warned the Inspector General of Police and the HRCSL about the risk of imminent killing and stated that the incident ‘has the hallmarks of an extrajudicial killing’.</w:t>
      </w:r>
      <w:r w:rsidR="0060211A" w:rsidRPr="001E6B7B">
        <w:rPr>
          <w:rStyle w:val="FootnoteReference"/>
          <w:sz w:val="20"/>
        </w:rPr>
        <w:footnoteReference w:id="43"/>
      </w:r>
      <w:r w:rsidR="00991610" w:rsidRPr="001E6B7B">
        <w:t xml:space="preserve"> </w:t>
      </w:r>
      <w:r w:rsidR="001F3E90" w:rsidRPr="001E6B7B">
        <w:t>In similar incident</w:t>
      </w:r>
      <w:r w:rsidR="00166E8F" w:rsidRPr="001E6B7B">
        <w:t>s</w:t>
      </w:r>
      <w:r w:rsidR="001F3E90" w:rsidRPr="001E6B7B">
        <w:t xml:space="preserve">, </w:t>
      </w:r>
      <w:proofErr w:type="spellStart"/>
      <w:r w:rsidR="004962F7" w:rsidRPr="001E6B7B">
        <w:t>Malon</w:t>
      </w:r>
      <w:proofErr w:type="spellEnd"/>
      <w:r w:rsidR="004962F7" w:rsidRPr="001E6B7B">
        <w:t xml:space="preserve"> </w:t>
      </w:r>
      <w:proofErr w:type="spellStart"/>
      <w:r w:rsidR="004962F7" w:rsidRPr="001E6B7B">
        <w:t>Mabula</w:t>
      </w:r>
      <w:proofErr w:type="spellEnd"/>
      <w:r w:rsidR="004962F7" w:rsidRPr="001E6B7B">
        <w:t xml:space="preserve"> and </w:t>
      </w:r>
      <w:proofErr w:type="spellStart"/>
      <w:r w:rsidR="004962F7" w:rsidRPr="001E6B7B">
        <w:t>Tharaka</w:t>
      </w:r>
      <w:proofErr w:type="spellEnd"/>
      <w:r w:rsidR="004962F7" w:rsidRPr="001E6B7B">
        <w:t xml:space="preserve"> </w:t>
      </w:r>
      <w:proofErr w:type="spellStart"/>
      <w:r w:rsidR="004962F7" w:rsidRPr="001E6B7B">
        <w:t>Perera</w:t>
      </w:r>
      <w:proofErr w:type="spellEnd"/>
      <w:r w:rsidR="004962F7" w:rsidRPr="001E6B7B">
        <w:t xml:space="preserve"> </w:t>
      </w:r>
      <w:proofErr w:type="spellStart"/>
      <w:r w:rsidR="004962F7" w:rsidRPr="001E6B7B">
        <w:t>Wijesekera</w:t>
      </w:r>
      <w:proofErr w:type="spellEnd"/>
      <w:r w:rsidR="001F3E90" w:rsidRPr="001E6B7B">
        <w:t xml:space="preserve"> were shot dead on </w:t>
      </w:r>
      <w:r w:rsidR="00567D05" w:rsidRPr="001E6B7B">
        <w:t xml:space="preserve">11 and 12 </w:t>
      </w:r>
      <w:r w:rsidR="001F3E90" w:rsidRPr="001E6B7B">
        <w:t xml:space="preserve">May respectively </w:t>
      </w:r>
      <w:r w:rsidR="004962F7" w:rsidRPr="001E6B7B">
        <w:t xml:space="preserve">in </w:t>
      </w:r>
      <w:proofErr w:type="spellStart"/>
      <w:r w:rsidR="004962F7" w:rsidRPr="001E6B7B">
        <w:t>Nawagamuwa</w:t>
      </w:r>
      <w:proofErr w:type="spellEnd"/>
      <w:r w:rsidR="004962F7" w:rsidRPr="001E6B7B">
        <w:t xml:space="preserve"> and </w:t>
      </w:r>
      <w:proofErr w:type="spellStart"/>
      <w:r w:rsidR="004962F7" w:rsidRPr="001E6B7B">
        <w:t>Meengawa</w:t>
      </w:r>
      <w:proofErr w:type="spellEnd"/>
      <w:r w:rsidR="004962F7" w:rsidRPr="001E6B7B">
        <w:t xml:space="preserve"> (Western Province) while they were being escorted out of detention to assist in investigation.</w:t>
      </w:r>
      <w:r w:rsidR="004962F7">
        <w:rPr>
          <w:rFonts w:ascii="Arial" w:hAnsi="Arial" w:cs="Arial"/>
          <w:color w:val="4A4A4A"/>
          <w:shd w:val="clear" w:color="auto" w:fill="FFFFFF"/>
        </w:rPr>
        <w:t> </w:t>
      </w:r>
      <w:r w:rsidR="001F3E90">
        <w:rPr>
          <w:rFonts w:ascii="Arial" w:hAnsi="Arial" w:cs="Arial"/>
          <w:color w:val="4A4A4A"/>
          <w:shd w:val="clear" w:color="auto" w:fill="FFFFFF"/>
        </w:rPr>
        <w:t xml:space="preserve"> </w:t>
      </w:r>
    </w:p>
    <w:p w14:paraId="6BD5256A" w14:textId="29A0F3C5" w:rsidR="004D79A8" w:rsidRDefault="00EF6742" w:rsidP="00A5148E">
      <w:pPr>
        <w:pStyle w:val="SingleTxtG"/>
        <w:tabs>
          <w:tab w:val="clear" w:pos="1701"/>
          <w:tab w:val="clear" w:pos="2268"/>
        </w:tabs>
        <w:ind w:right="338"/>
      </w:pPr>
      <w:r w:rsidRPr="00E87A77">
        <w:rPr>
          <w:w w:val="95"/>
        </w:rPr>
        <w:t>3</w:t>
      </w:r>
      <w:r w:rsidR="00386967">
        <w:rPr>
          <w:w w:val="95"/>
        </w:rPr>
        <w:t>7</w:t>
      </w:r>
      <w:r w:rsidR="00CC6094">
        <w:rPr>
          <w:w w:val="95"/>
        </w:rPr>
        <w:t>.</w:t>
      </w:r>
      <w:r w:rsidR="00842CBC" w:rsidRPr="00E87A77">
        <w:rPr>
          <w:w w:val="95"/>
        </w:rPr>
        <w:tab/>
      </w:r>
      <w:r w:rsidR="004D79A8">
        <w:rPr>
          <w:w w:val="95"/>
        </w:rPr>
        <w:t xml:space="preserve">The </w:t>
      </w:r>
      <w:r w:rsidR="004D79A8" w:rsidRPr="00544A37">
        <w:t>Government informed OHCHR that nine custodial deaths occurred between 1 January 2021 to 30 November 2021</w:t>
      </w:r>
      <w:r w:rsidR="004D79A8" w:rsidRPr="00E87A77">
        <w:rPr>
          <w:w w:val="95"/>
        </w:rPr>
        <w:t>,</w:t>
      </w:r>
      <w:r w:rsidR="004D79A8" w:rsidRPr="00842CBC">
        <w:rPr>
          <w:rStyle w:val="FootnoteReference"/>
          <w:w w:val="95"/>
          <w:sz w:val="20"/>
        </w:rPr>
        <w:footnoteReference w:id="44"/>
      </w:r>
      <w:r w:rsidR="004D79A8" w:rsidRPr="00842CBC">
        <w:rPr>
          <w:w w:val="95"/>
        </w:rPr>
        <w:t xml:space="preserve"> </w:t>
      </w:r>
      <w:r w:rsidR="004D79A8" w:rsidRPr="00544A37">
        <w:t>and that two police officers were charged, and seven police officers faced disciplinary actions</w:t>
      </w:r>
      <w:r w:rsidR="004D79A8" w:rsidRPr="00842CBC">
        <w:rPr>
          <w:rStyle w:val="FootnoteReference"/>
          <w:w w:val="95"/>
          <w:sz w:val="20"/>
        </w:rPr>
        <w:footnoteReference w:id="45"/>
      </w:r>
      <w:r w:rsidR="004D79A8" w:rsidRPr="00842CBC">
        <w:rPr>
          <w:w w:val="95"/>
        </w:rPr>
        <w:t xml:space="preserve"> </w:t>
      </w:r>
      <w:r w:rsidR="004D79A8" w:rsidRPr="00544A37">
        <w:t xml:space="preserve">in relation to custodial deaths, but it is not clear in which cases. </w:t>
      </w:r>
      <w:r w:rsidR="004D79A8" w:rsidRPr="00E87A77">
        <w:t xml:space="preserve">The High Commissioner believes that in addition to attributing individual responsibility for these crimes and ensuring reparations to families, these cases warrant independent investigation to identify patterns and any command responsibility </w:t>
      </w:r>
      <w:r w:rsidR="004D79A8">
        <w:t xml:space="preserve">within </w:t>
      </w:r>
      <w:r w:rsidR="004D79A8" w:rsidRPr="00842CBC">
        <w:t>the police service.</w:t>
      </w:r>
    </w:p>
    <w:p w14:paraId="6B093E6E" w14:textId="77777777" w:rsidR="00435E13" w:rsidRPr="00552BCE" w:rsidRDefault="00B85F31" w:rsidP="00A5148E">
      <w:pPr>
        <w:pStyle w:val="SingleTxtG"/>
        <w:tabs>
          <w:tab w:val="clear" w:pos="1701"/>
          <w:tab w:val="clear" w:pos="2268"/>
        </w:tabs>
        <w:ind w:right="338"/>
      </w:pPr>
      <w:r>
        <w:t>3</w:t>
      </w:r>
      <w:r w:rsidR="00386967">
        <w:t>8</w:t>
      </w:r>
      <w:r>
        <w:t>.</w:t>
      </w:r>
      <w:r>
        <w:tab/>
      </w:r>
      <w:r w:rsidR="001E003A" w:rsidRPr="00552BCE">
        <w:t xml:space="preserve">Several </w:t>
      </w:r>
      <w:r w:rsidR="00654DA4" w:rsidRPr="00552BCE">
        <w:t>allegations of ill-treatment</w:t>
      </w:r>
      <w:r w:rsidR="001E003A" w:rsidRPr="00552BCE">
        <w:t xml:space="preserve"> and</w:t>
      </w:r>
      <w:r w:rsidR="00654DA4" w:rsidRPr="00552BCE">
        <w:t xml:space="preserve"> torture by police</w:t>
      </w:r>
      <w:r w:rsidR="001E003A" w:rsidRPr="00552BCE">
        <w:t xml:space="preserve"> ha</w:t>
      </w:r>
      <w:r w:rsidR="003638AE" w:rsidRPr="00552BCE">
        <w:t>ve</w:t>
      </w:r>
      <w:r w:rsidR="001E003A" w:rsidRPr="00552BCE">
        <w:t xml:space="preserve"> also </w:t>
      </w:r>
      <w:r w:rsidR="00166085">
        <w:t>been reported</w:t>
      </w:r>
      <w:r w:rsidR="00166085" w:rsidRPr="00552BCE">
        <w:t xml:space="preserve"> </w:t>
      </w:r>
      <w:r w:rsidR="003638AE" w:rsidRPr="00552BCE">
        <w:t>in 2021</w:t>
      </w:r>
      <w:r w:rsidR="001E003A" w:rsidRPr="00552BCE">
        <w:t>.</w:t>
      </w:r>
      <w:r w:rsidR="00654DA4" w:rsidRPr="00552BCE">
        <w:t xml:space="preserve"> </w:t>
      </w:r>
      <w:r w:rsidR="000922BD" w:rsidRPr="00552BCE">
        <w:t>The family of</w:t>
      </w:r>
      <w:r w:rsidR="00477860" w:rsidRPr="00552BCE">
        <w:t xml:space="preserve"> </w:t>
      </w:r>
      <w:proofErr w:type="spellStart"/>
      <w:r w:rsidR="00477860" w:rsidRPr="00552BCE">
        <w:t>Chandran</w:t>
      </w:r>
      <w:proofErr w:type="spellEnd"/>
      <w:r w:rsidR="00477860" w:rsidRPr="00552BCE">
        <w:t xml:space="preserve"> </w:t>
      </w:r>
      <w:proofErr w:type="spellStart"/>
      <w:r w:rsidR="00477860" w:rsidRPr="00552BCE">
        <w:t>Vidushan</w:t>
      </w:r>
      <w:proofErr w:type="spellEnd"/>
      <w:r w:rsidR="000922BD" w:rsidRPr="00552BCE">
        <w:t>, who</w:t>
      </w:r>
      <w:r w:rsidR="00477860" w:rsidRPr="00552BCE">
        <w:t xml:space="preserve"> died in police custody </w:t>
      </w:r>
      <w:r w:rsidR="000922BD" w:rsidRPr="00552BCE">
        <w:t>on 3 June reportedly of a drug overdose,</w:t>
      </w:r>
      <w:r w:rsidR="002D6585" w:rsidRPr="00552BCE">
        <w:t xml:space="preserve"> alleged that </w:t>
      </w:r>
      <w:r w:rsidR="00477860" w:rsidRPr="00552BCE">
        <w:t xml:space="preserve">police </w:t>
      </w:r>
      <w:r w:rsidR="00E55C3A" w:rsidRPr="00552BCE">
        <w:t xml:space="preserve">tied </w:t>
      </w:r>
      <w:r w:rsidR="00B40360" w:rsidRPr="00552BCE">
        <w:t xml:space="preserve">him to a tree and </w:t>
      </w:r>
      <w:r w:rsidR="00477860" w:rsidRPr="00552BCE">
        <w:t>severely beat him with poles</w:t>
      </w:r>
      <w:r w:rsidR="00972BC9" w:rsidRPr="00552BCE">
        <w:t xml:space="preserve"> before tak</w:t>
      </w:r>
      <w:r w:rsidR="00842CBC">
        <w:t>ing him</w:t>
      </w:r>
      <w:r w:rsidR="00972BC9" w:rsidRPr="00552BCE">
        <w:t xml:space="preserve"> away</w:t>
      </w:r>
      <w:r w:rsidR="00477860" w:rsidRPr="00552BCE">
        <w:t xml:space="preserve">. </w:t>
      </w:r>
      <w:r w:rsidR="000922BD" w:rsidRPr="00552BCE">
        <w:t xml:space="preserve">Cases have </w:t>
      </w:r>
      <w:r w:rsidR="00A67F29" w:rsidRPr="00552BCE">
        <w:t xml:space="preserve">also </w:t>
      </w:r>
      <w:r w:rsidR="000922BD" w:rsidRPr="00552BCE">
        <w:t xml:space="preserve">been </w:t>
      </w:r>
      <w:r w:rsidR="00A67F29" w:rsidRPr="00552BCE">
        <w:t xml:space="preserve">reported </w:t>
      </w:r>
      <w:r w:rsidR="0058535C" w:rsidRPr="00552BCE">
        <w:t xml:space="preserve">of </w:t>
      </w:r>
      <w:r w:rsidR="00A67F29" w:rsidRPr="00552BCE">
        <w:t>ill-treatment and torture by military</w:t>
      </w:r>
      <w:r w:rsidR="00E81142" w:rsidRPr="00552BCE">
        <w:t xml:space="preserve"> personnel</w:t>
      </w:r>
      <w:r w:rsidR="00A67F29" w:rsidRPr="00552BCE">
        <w:t>.</w:t>
      </w:r>
      <w:r w:rsidR="00972BC9" w:rsidRPr="00552BCE">
        <w:t xml:space="preserve"> </w:t>
      </w:r>
      <w:r w:rsidR="006F7560" w:rsidRPr="00552BCE">
        <w:t>For instance,</w:t>
      </w:r>
      <w:r w:rsidR="00A06328" w:rsidRPr="00552BCE">
        <w:t xml:space="preserve"> on </w:t>
      </w:r>
      <w:r w:rsidR="00E81142" w:rsidRPr="00552BCE">
        <w:t xml:space="preserve">22 </w:t>
      </w:r>
      <w:r w:rsidR="00A06328" w:rsidRPr="00552BCE">
        <w:t>December</w:t>
      </w:r>
      <w:r w:rsidR="000922BD" w:rsidRPr="00552BCE">
        <w:t xml:space="preserve"> 2021</w:t>
      </w:r>
      <w:r w:rsidR="00A06328" w:rsidRPr="00552BCE">
        <w:t>,</w:t>
      </w:r>
      <w:r w:rsidR="006F7560" w:rsidRPr="00552BCE">
        <w:t xml:space="preserve"> </w:t>
      </w:r>
      <w:r w:rsidR="00B803A8" w:rsidRPr="00552BCE">
        <w:t xml:space="preserve">a </w:t>
      </w:r>
      <w:r w:rsidR="006F7560" w:rsidRPr="00552BCE">
        <w:t xml:space="preserve">fisherman </w:t>
      </w:r>
      <w:r w:rsidR="00291B8D" w:rsidRPr="00552BCE">
        <w:t xml:space="preserve">alleged that he was </w:t>
      </w:r>
      <w:r w:rsidR="00A06328" w:rsidRPr="00552BCE">
        <w:t>severely</w:t>
      </w:r>
      <w:r w:rsidR="00291B8D" w:rsidRPr="00552BCE">
        <w:t xml:space="preserve"> </w:t>
      </w:r>
      <w:r w:rsidR="00B803A8" w:rsidRPr="00552BCE">
        <w:t xml:space="preserve">beaten </w:t>
      </w:r>
      <w:r w:rsidR="001E003A" w:rsidRPr="00552BCE">
        <w:t xml:space="preserve">by Sri Lankan </w:t>
      </w:r>
      <w:r w:rsidR="00F9122E" w:rsidRPr="00552BCE">
        <w:t xml:space="preserve">military </w:t>
      </w:r>
      <w:r w:rsidR="001E003A" w:rsidRPr="00552BCE">
        <w:t>officers</w:t>
      </w:r>
      <w:r w:rsidR="000922BD" w:rsidRPr="00552BCE">
        <w:t xml:space="preserve"> in Jaffna</w:t>
      </w:r>
      <w:r w:rsidR="00F9122E" w:rsidRPr="00552BCE">
        <w:t>.</w:t>
      </w:r>
      <w:r w:rsidR="004F5835" w:rsidRPr="00552BCE">
        <w:t xml:space="preserve"> </w:t>
      </w:r>
      <w:r w:rsidR="000F1779">
        <w:t xml:space="preserve">On 27 November, a journalist was reportedly beaten by </w:t>
      </w:r>
      <w:r w:rsidR="00753950" w:rsidRPr="00552BCE">
        <w:t>Sri Lankan military</w:t>
      </w:r>
      <w:r w:rsidR="00E81142" w:rsidRPr="00552BCE">
        <w:t xml:space="preserve"> personnel</w:t>
      </w:r>
      <w:r w:rsidR="00753950" w:rsidRPr="00552BCE">
        <w:t xml:space="preserve"> </w:t>
      </w:r>
      <w:r w:rsidR="002D2E09" w:rsidRPr="00552BCE">
        <w:t xml:space="preserve">while he was </w:t>
      </w:r>
      <w:r w:rsidR="00007CA6" w:rsidRPr="00552BCE">
        <w:t>photographing the roadside name board</w:t>
      </w:r>
      <w:r w:rsidR="00F22C77" w:rsidRPr="00552BCE">
        <w:t xml:space="preserve"> </w:t>
      </w:r>
      <w:r w:rsidR="00E81142" w:rsidRPr="00552BCE">
        <w:t xml:space="preserve">at </w:t>
      </w:r>
      <w:proofErr w:type="spellStart"/>
      <w:r w:rsidR="00E81142" w:rsidRPr="00552BCE">
        <w:t>Mullivaikkal</w:t>
      </w:r>
      <w:proofErr w:type="spellEnd"/>
      <w:r w:rsidR="002759E3" w:rsidRPr="00552BCE">
        <w:t>.</w:t>
      </w:r>
      <w:r w:rsidR="000C293B">
        <w:t xml:space="preserve"> </w:t>
      </w:r>
      <w:r w:rsidR="000F1779">
        <w:t>Lawyers for</w:t>
      </w:r>
      <w:r w:rsidR="005221E0">
        <w:t xml:space="preserve"> </w:t>
      </w:r>
      <w:r w:rsidR="005221E0" w:rsidRPr="001A41B5">
        <w:rPr>
          <w:color w:val="000000"/>
          <w:shd w:val="clear" w:color="auto" w:fill="FFFFFF"/>
        </w:rPr>
        <w:t>Prevention of Terrorism Act</w:t>
      </w:r>
      <w:r w:rsidR="00FA67D0">
        <w:t xml:space="preserve"> </w:t>
      </w:r>
      <w:r w:rsidR="005221E0">
        <w:t>(</w:t>
      </w:r>
      <w:r w:rsidR="00FA67D0">
        <w:t>PTA</w:t>
      </w:r>
      <w:r w:rsidR="005221E0">
        <w:t>)</w:t>
      </w:r>
      <w:r w:rsidR="00FA67D0">
        <w:t xml:space="preserve"> detainees have </w:t>
      </w:r>
      <w:r w:rsidR="000F1779">
        <w:t xml:space="preserve">also </w:t>
      </w:r>
      <w:r w:rsidR="00FA67D0">
        <w:t xml:space="preserve">reported </w:t>
      </w:r>
      <w:r w:rsidR="000F1779">
        <w:t xml:space="preserve">torture and ill-treatment </w:t>
      </w:r>
      <w:r w:rsidR="00FA67D0">
        <w:t>during interrogation by the TID in Joseph Camp</w:t>
      </w:r>
      <w:r w:rsidR="000F1779">
        <w:t xml:space="preserve">, </w:t>
      </w:r>
      <w:proofErr w:type="spellStart"/>
      <w:r w:rsidR="000F1779">
        <w:t>Vavuniya</w:t>
      </w:r>
      <w:proofErr w:type="spellEnd"/>
      <w:r w:rsidR="00FA67D0">
        <w:t>.</w:t>
      </w:r>
    </w:p>
    <w:p w14:paraId="5CACE397" w14:textId="49B73C84" w:rsidR="00552BCE" w:rsidRPr="00552BCE" w:rsidRDefault="00B85F31" w:rsidP="00A5148E">
      <w:pPr>
        <w:pStyle w:val="SingleTxtG"/>
        <w:tabs>
          <w:tab w:val="clear" w:pos="1701"/>
          <w:tab w:val="clear" w:pos="2268"/>
        </w:tabs>
        <w:ind w:right="338"/>
      </w:pPr>
      <w:r>
        <w:t>3</w:t>
      </w:r>
      <w:r w:rsidR="00386967">
        <w:t>9</w:t>
      </w:r>
      <w:r>
        <w:t>.</w:t>
      </w:r>
      <w:r>
        <w:tab/>
      </w:r>
      <w:r w:rsidR="000922BD" w:rsidRPr="00552BCE">
        <w:t>I</w:t>
      </w:r>
      <w:r w:rsidR="00B31417">
        <w:t>t was</w:t>
      </w:r>
      <w:r w:rsidR="000F1779">
        <w:t xml:space="preserve"> widely</w:t>
      </w:r>
      <w:r w:rsidR="00B31417">
        <w:t xml:space="preserve"> reported that i</w:t>
      </w:r>
      <w:r w:rsidR="005467F5">
        <w:t>n September 2021 the State M</w:t>
      </w:r>
      <w:r w:rsidR="000922BD" w:rsidRPr="00552BCE">
        <w:t xml:space="preserve">inister of Prison Management and Prisoners’ Rehabilitation, Lohan </w:t>
      </w:r>
      <w:proofErr w:type="spellStart"/>
      <w:r w:rsidR="000922BD" w:rsidRPr="00552BCE">
        <w:t>Ratwatte</w:t>
      </w:r>
      <w:proofErr w:type="spellEnd"/>
      <w:r w:rsidR="000922BD" w:rsidRPr="00552BCE">
        <w:t>, forcibly entered a prison in Colombo with a group of friends to show them the gallows, and later a prison in Anuradhapura where he allegedly forced two Tamil</w:t>
      </w:r>
      <w:r w:rsidR="00B31417">
        <w:t>s detained under PTA</w:t>
      </w:r>
      <w:r w:rsidR="000922BD" w:rsidRPr="00552BCE">
        <w:t xml:space="preserve"> to kneel at gunpoint and threatened to kill them. </w:t>
      </w:r>
      <w:proofErr w:type="spellStart"/>
      <w:r w:rsidR="000922BD" w:rsidRPr="00552BCE">
        <w:t>Ratwatte</w:t>
      </w:r>
      <w:proofErr w:type="spellEnd"/>
      <w:r w:rsidR="000922BD" w:rsidRPr="00552BCE">
        <w:t xml:space="preserve"> resigned from the Prisons portfolio</w:t>
      </w:r>
      <w:r w:rsidR="009A63FE">
        <w:t>,</w:t>
      </w:r>
      <w:r w:rsidR="00D374AE">
        <w:t xml:space="preserve"> </w:t>
      </w:r>
      <w:r w:rsidR="000922BD" w:rsidRPr="00552BCE">
        <w:t>but retains his position as State Minister for Gems and Jewellery.</w:t>
      </w:r>
    </w:p>
    <w:p w14:paraId="6FA40BC4" w14:textId="77777777" w:rsidR="00DD2871" w:rsidRDefault="00386967" w:rsidP="00DD2871">
      <w:pPr>
        <w:pStyle w:val="SingleTxtG"/>
        <w:tabs>
          <w:tab w:val="clear" w:pos="1701"/>
          <w:tab w:val="clear" w:pos="2268"/>
        </w:tabs>
        <w:ind w:right="338"/>
        <w:rPr>
          <w:rStyle w:val="lblnewsfulltext"/>
        </w:rPr>
      </w:pPr>
      <w:r>
        <w:t>40</w:t>
      </w:r>
      <w:r w:rsidR="00B85F31">
        <w:t>.</w:t>
      </w:r>
      <w:r w:rsidR="00B85F31">
        <w:tab/>
      </w:r>
      <w:bookmarkStart w:id="4" w:name="_Hlk93950583"/>
      <w:bookmarkStart w:id="5" w:name="_Hlk93950705"/>
      <w:r w:rsidR="00041145" w:rsidRPr="005C279C">
        <w:t>In what the Government highlights as a torture prevention measure, the Criminal Procedure Code was amended requiring Magistrates to visit police stations at least once a month to personally see suspects in police custody to check on whether they have been subject to torture or ill-treatment during and after arrest.</w:t>
      </w:r>
      <w:r w:rsidR="00C9057B">
        <w:rPr>
          <w:rStyle w:val="FootnoteReference"/>
        </w:rPr>
        <w:footnoteReference w:id="46"/>
      </w:r>
      <w:r w:rsidR="00041145" w:rsidRPr="005C279C">
        <w:t xml:space="preserve"> </w:t>
      </w:r>
      <w:bookmarkStart w:id="6" w:name="_Hlk93950381"/>
      <w:bookmarkStart w:id="7" w:name="_Hlk93950265"/>
      <w:r w:rsidR="00041145">
        <w:t xml:space="preserve">Concerns </w:t>
      </w:r>
      <w:r w:rsidR="000F1779">
        <w:t xml:space="preserve">have been </w:t>
      </w:r>
      <w:r w:rsidR="00041145">
        <w:t xml:space="preserve">expressed that </w:t>
      </w:r>
      <w:bookmarkStart w:id="8" w:name="_Hlk93957231"/>
      <w:r w:rsidR="00041145" w:rsidRPr="005C279C">
        <w:t xml:space="preserve">this </w:t>
      </w:r>
      <w:r w:rsidR="00041145">
        <w:t xml:space="preserve">alternative </w:t>
      </w:r>
      <w:r w:rsidR="00041145" w:rsidRPr="005C279C">
        <w:t>inspection regime will be difficult to implement in practice</w:t>
      </w:r>
      <w:bookmarkEnd w:id="4"/>
      <w:bookmarkEnd w:id="6"/>
      <w:bookmarkEnd w:id="8"/>
      <w:r w:rsidR="00166085">
        <w:t xml:space="preserve"> due to limited time and capacity</w:t>
      </w:r>
      <w:r w:rsidR="00041145" w:rsidRPr="005C279C">
        <w:t>.</w:t>
      </w:r>
      <w:bookmarkEnd w:id="5"/>
      <w:bookmarkEnd w:id="7"/>
      <w:r w:rsidR="00041145">
        <w:rPr>
          <w:rStyle w:val="lblnewsfulltext"/>
        </w:rPr>
        <w:t xml:space="preserve"> </w:t>
      </w:r>
      <w:r w:rsidR="00041145" w:rsidRPr="005C279C">
        <w:rPr>
          <w:rStyle w:val="lblnewsfulltext"/>
        </w:rPr>
        <w:t>Meanwhile there has been no further progress towards establishment and operationalization of a National Preventive Mechanism under the Optional Protocol to the Convention against Torture</w:t>
      </w:r>
      <w:r w:rsidR="00041145">
        <w:rPr>
          <w:rStyle w:val="lblnewsfulltext"/>
        </w:rPr>
        <w:t>.</w:t>
      </w:r>
      <w:r w:rsidR="00B27935">
        <w:rPr>
          <w:rStyle w:val="lblnewsfulltext"/>
        </w:rPr>
        <w:t xml:space="preserve"> </w:t>
      </w:r>
      <w:r w:rsidR="00B27935">
        <w:t xml:space="preserve">The </w:t>
      </w:r>
      <w:r w:rsidR="002B723D">
        <w:t xml:space="preserve">High Commissioner recalls the comprehensive observations made on Sri Lanka by the Committee Against Torture </w:t>
      </w:r>
      <w:r w:rsidR="002B723D">
        <w:lastRenderedPageBreak/>
        <w:t xml:space="preserve">in 2016 and urges the </w:t>
      </w:r>
      <w:r w:rsidR="00367A3F">
        <w:t>Government</w:t>
      </w:r>
      <w:r w:rsidR="002B723D">
        <w:t xml:space="preserve"> </w:t>
      </w:r>
      <w:r w:rsidR="00B27935">
        <w:t>to take concrete steps to implement those recommendations.</w:t>
      </w:r>
      <w:r w:rsidR="00B27935">
        <w:rPr>
          <w:rStyle w:val="FootnoteReference"/>
        </w:rPr>
        <w:footnoteReference w:id="47"/>
      </w:r>
      <w:r w:rsidR="002C744D">
        <w:t xml:space="preserve"> </w:t>
      </w:r>
    </w:p>
    <w:p w14:paraId="03645E56" w14:textId="5BAC8E59" w:rsidR="00526C3A" w:rsidRPr="00D12B57" w:rsidRDefault="00A628E0" w:rsidP="00D12B57">
      <w:pPr>
        <w:pStyle w:val="H1G"/>
      </w:pPr>
      <w:r w:rsidRPr="00D12B57">
        <w:tab/>
      </w:r>
      <w:r w:rsidR="00AD45C5">
        <w:t>F</w:t>
      </w:r>
      <w:r w:rsidRPr="00D12B57">
        <w:t>.</w:t>
      </w:r>
      <w:r w:rsidRPr="00D12B57">
        <w:tab/>
      </w:r>
      <w:r w:rsidR="00483D0B" w:rsidRPr="00D12B57">
        <w:t>Prevention of Terrorism Act</w:t>
      </w:r>
    </w:p>
    <w:p w14:paraId="3C83ADBC" w14:textId="676B6089" w:rsidR="00D374AE" w:rsidRDefault="00386967" w:rsidP="00A5148E">
      <w:pPr>
        <w:pStyle w:val="SingleTxtG"/>
        <w:tabs>
          <w:tab w:val="clear" w:pos="1701"/>
          <w:tab w:val="clear" w:pos="2268"/>
        </w:tabs>
        <w:ind w:right="338"/>
      </w:pPr>
      <w:bookmarkStart w:id="9" w:name="_Hlk95404226"/>
      <w:r>
        <w:t>41</w:t>
      </w:r>
      <w:r w:rsidR="00B85F31" w:rsidRPr="001A41B5">
        <w:t>.</w:t>
      </w:r>
      <w:r w:rsidR="00CC6094">
        <w:tab/>
      </w:r>
      <w:r w:rsidR="00DD2871" w:rsidRPr="00F13BC6">
        <w:rPr>
          <w:color w:val="000000"/>
          <w:shd w:val="clear" w:color="auto" w:fill="FFFFFF"/>
        </w:rPr>
        <w:t xml:space="preserve">On 10 February 2022, the </w:t>
      </w:r>
      <w:r w:rsidR="00134070" w:rsidRPr="001A41B5">
        <w:rPr>
          <w:color w:val="000000"/>
          <w:shd w:val="clear" w:color="auto" w:fill="FFFFFF"/>
        </w:rPr>
        <w:t>Prevention of Terrorism Act</w:t>
      </w:r>
      <w:r w:rsidR="00134070">
        <w:t xml:space="preserve"> (PTA)</w:t>
      </w:r>
      <w:r w:rsidR="00DD2871" w:rsidRPr="00F13BC6">
        <w:rPr>
          <w:color w:val="000000"/>
          <w:shd w:val="clear" w:color="auto" w:fill="FFFFFF"/>
        </w:rPr>
        <w:t xml:space="preserve"> Amendment Bill was presented to Parl</w:t>
      </w:r>
      <w:r w:rsidR="00F13BC6">
        <w:rPr>
          <w:color w:val="000000"/>
          <w:shd w:val="clear" w:color="auto" w:fill="FFFFFF"/>
        </w:rPr>
        <w:t>ia</w:t>
      </w:r>
      <w:r w:rsidR="00DD2871" w:rsidRPr="00F13BC6">
        <w:rPr>
          <w:color w:val="000000"/>
          <w:shd w:val="clear" w:color="auto" w:fill="FFFFFF"/>
        </w:rPr>
        <w:t xml:space="preserve">ment. </w:t>
      </w:r>
      <w:r w:rsidR="00C7295E" w:rsidRPr="00F13BC6">
        <w:rPr>
          <w:color w:val="000000"/>
          <w:shd w:val="clear" w:color="auto" w:fill="FFFFFF"/>
        </w:rPr>
        <w:t>The Government informs these are initial steps towards promulgation of more comprehensive</w:t>
      </w:r>
      <w:r w:rsidR="00DD2871" w:rsidRPr="00F13BC6">
        <w:rPr>
          <w:color w:val="000000"/>
          <w:shd w:val="clear" w:color="auto" w:fill="FFFFFF"/>
        </w:rPr>
        <w:t xml:space="preserve"> legislation</w:t>
      </w:r>
      <w:r w:rsidR="009A06A5" w:rsidRPr="00F13BC6">
        <w:rPr>
          <w:color w:val="000000"/>
          <w:shd w:val="clear" w:color="auto" w:fill="FFFFFF"/>
        </w:rPr>
        <w:t>.</w:t>
      </w:r>
      <w:r w:rsidR="009A06A5" w:rsidRPr="00F13BC6">
        <w:t xml:space="preserve"> The</w:t>
      </w:r>
      <w:r w:rsidR="0012523E" w:rsidRPr="00F13BC6">
        <w:t xml:space="preserve"> High Commissioner recognises the importance of t</w:t>
      </w:r>
      <w:r w:rsidR="00241F1C" w:rsidRPr="00F13BC6">
        <w:t>h</w:t>
      </w:r>
      <w:r w:rsidR="00C7295E" w:rsidRPr="00F13BC6">
        <w:t>is</w:t>
      </w:r>
      <w:r w:rsidR="0012523E" w:rsidRPr="00F13BC6">
        <w:t xml:space="preserve"> </w:t>
      </w:r>
      <w:r w:rsidR="007E4B80">
        <w:t xml:space="preserve">initial </w:t>
      </w:r>
      <w:r w:rsidR="0012523E" w:rsidRPr="00F13BC6">
        <w:t xml:space="preserve">step and notes the </w:t>
      </w:r>
      <w:r w:rsidR="00D374AE" w:rsidRPr="00F13BC6">
        <w:t>proposed amendments</w:t>
      </w:r>
      <w:r w:rsidR="00593D0B" w:rsidRPr="00F13BC6">
        <w:t>,</w:t>
      </w:r>
      <w:r w:rsidR="00D374AE" w:rsidRPr="00F13BC6">
        <w:t xml:space="preserve"> </w:t>
      </w:r>
      <w:r w:rsidR="00567D05" w:rsidRPr="00F13BC6">
        <w:t>such as the</w:t>
      </w:r>
      <w:r w:rsidR="00D374AE" w:rsidRPr="00F13BC6">
        <w:t xml:space="preserve"> increase of magistrates’ powers to visit places of detention, speeding up of trials</w:t>
      </w:r>
      <w:r w:rsidR="00567D05" w:rsidRPr="00DA509A">
        <w:t>,</w:t>
      </w:r>
      <w:r w:rsidR="00D374AE" w:rsidRPr="00DA509A">
        <w:t xml:space="preserve"> as well as the repeal of section 14 which imposes serious limitations to p</w:t>
      </w:r>
      <w:r w:rsidR="00D374AE" w:rsidRPr="00726490">
        <w:t>ublications.</w:t>
      </w:r>
      <w:r w:rsidR="00C7295E">
        <w:t xml:space="preserve"> </w:t>
      </w:r>
      <w:bookmarkStart w:id="10" w:name="_Hlk95402198"/>
      <w:r w:rsidR="00D374AE" w:rsidRPr="00726490">
        <w:t xml:space="preserve">However, </w:t>
      </w:r>
      <w:r w:rsidR="00774F80">
        <w:t xml:space="preserve">other parts of </w:t>
      </w:r>
      <w:r w:rsidR="00D374AE" w:rsidRPr="00726490">
        <w:t xml:space="preserve">the proposed amendments do not comply fully with Sri Lanka’s international human </w:t>
      </w:r>
      <w:r w:rsidR="00291A4F" w:rsidRPr="00726490">
        <w:t>rights obligations</w:t>
      </w:r>
      <w:r w:rsidR="00291A4F">
        <w:t xml:space="preserve"> and</w:t>
      </w:r>
      <w:r w:rsidR="00D374AE" w:rsidRPr="00726490">
        <w:t xml:space="preserve"> leave intact some of the most problematic provisions of the PTA which have led to alleged human rights violations including arbitrary detention and torture</w:t>
      </w:r>
      <w:r w:rsidR="00DA509A">
        <w:t xml:space="preserve">. </w:t>
      </w:r>
      <w:r w:rsidR="00D374AE" w:rsidRPr="00726490">
        <w:t xml:space="preserve">These include an overly broad and vague definition of terrorism, </w:t>
      </w:r>
      <w:r w:rsidR="00241F1C">
        <w:t xml:space="preserve">which may result in discriminatory or arbitrary application of the law, and </w:t>
      </w:r>
      <w:r w:rsidR="00D374AE" w:rsidRPr="00726490">
        <w:rPr>
          <w:lang w:eastAsia="en-GB"/>
        </w:rPr>
        <w:t>the admissibility of confessions under the PTA</w:t>
      </w:r>
      <w:r w:rsidR="009267FE">
        <w:rPr>
          <w:lang w:eastAsia="en-GB"/>
        </w:rPr>
        <w:t xml:space="preserve"> </w:t>
      </w:r>
      <w:r w:rsidR="00341635">
        <w:rPr>
          <w:lang w:eastAsia="en-GB"/>
        </w:rPr>
        <w:t>made to law enforcement</w:t>
      </w:r>
      <w:r w:rsidR="00341635" w:rsidRPr="00726490">
        <w:rPr>
          <w:lang w:eastAsia="en-GB"/>
        </w:rPr>
        <w:t xml:space="preserve"> </w:t>
      </w:r>
      <w:r w:rsidR="00341635">
        <w:rPr>
          <w:lang w:eastAsia="en-GB"/>
        </w:rPr>
        <w:t>without a lawyer’s presence, often used as primary evidence in courts in</w:t>
      </w:r>
      <w:r w:rsidR="00341635" w:rsidRPr="00726490">
        <w:rPr>
          <w:lang w:eastAsia="en-GB"/>
        </w:rPr>
        <w:t xml:space="preserve"> PTA</w:t>
      </w:r>
      <w:r w:rsidR="00341635">
        <w:rPr>
          <w:lang w:eastAsia="en-GB"/>
        </w:rPr>
        <w:t xml:space="preserve"> cases</w:t>
      </w:r>
      <w:r w:rsidR="00D374AE" w:rsidRPr="00726490">
        <w:rPr>
          <w:lang w:eastAsia="en-GB"/>
        </w:rPr>
        <w:t xml:space="preserve">, </w:t>
      </w:r>
      <w:r w:rsidR="00D374AE" w:rsidRPr="00726490">
        <w:t xml:space="preserve">lengthy administrative </w:t>
      </w:r>
      <w:r w:rsidR="00341635">
        <w:t xml:space="preserve">and pre-trial </w:t>
      </w:r>
      <w:r w:rsidR="00D374AE" w:rsidRPr="00726490">
        <w:t>detention</w:t>
      </w:r>
      <w:r w:rsidR="00567D05">
        <w:t xml:space="preserve"> of up to 12 months</w:t>
      </w:r>
      <w:r w:rsidR="00D374AE" w:rsidRPr="00726490">
        <w:t xml:space="preserve">, and provisions for immunity of officers from prosecution which are not in compliance with the international human rights standards. </w:t>
      </w:r>
      <w:r w:rsidR="00923C0D">
        <w:t xml:space="preserve"> </w:t>
      </w:r>
      <w:bookmarkEnd w:id="10"/>
    </w:p>
    <w:p w14:paraId="22ACCA62" w14:textId="732552CC" w:rsidR="00D374AE" w:rsidRPr="00D374AE" w:rsidRDefault="00EF6742" w:rsidP="00A5148E">
      <w:pPr>
        <w:pStyle w:val="SingleTxtG"/>
        <w:tabs>
          <w:tab w:val="clear" w:pos="1701"/>
          <w:tab w:val="clear" w:pos="2268"/>
        </w:tabs>
        <w:ind w:right="338"/>
      </w:pPr>
      <w:bookmarkStart w:id="11" w:name="_Hlk94560221"/>
      <w:r>
        <w:t>4</w:t>
      </w:r>
      <w:r w:rsidR="00386967">
        <w:t>2</w:t>
      </w:r>
      <w:r w:rsidR="00CC6094">
        <w:t>.</w:t>
      </w:r>
      <w:r w:rsidR="00842CBC">
        <w:tab/>
      </w:r>
      <w:r w:rsidR="000F4D3D" w:rsidRPr="00726490">
        <w:t xml:space="preserve">The High Commissioner urges the </w:t>
      </w:r>
      <w:r w:rsidR="002749E8">
        <w:t xml:space="preserve">Government and the </w:t>
      </w:r>
      <w:r w:rsidR="000F4D3D" w:rsidRPr="00726490">
        <w:t xml:space="preserve">Parliament to give full consideration to the </w:t>
      </w:r>
      <w:r w:rsidR="00774F80">
        <w:t>analysis and recommendations</w:t>
      </w:r>
      <w:r w:rsidR="00774F80" w:rsidRPr="00726490">
        <w:t xml:space="preserve"> </w:t>
      </w:r>
      <w:r w:rsidR="000F4D3D" w:rsidRPr="00726490">
        <w:t>made over many years by UN human rights mechanisms on the PTA, in particular the five key benchmarks identified by seven Special Procedures mandates in their communication on 9 December 2021, which they consider as “necessary prerequisites” to ensure the PTA is amended to be compliant with international law obligations.</w:t>
      </w:r>
      <w:r w:rsidR="002B6D62" w:rsidRPr="00726490">
        <w:rPr>
          <w:rStyle w:val="FootnoteReference"/>
          <w:sz w:val="20"/>
        </w:rPr>
        <w:footnoteReference w:id="48"/>
      </w:r>
      <w:r w:rsidR="000F4D3D" w:rsidRPr="00726490">
        <w:t xml:space="preserve"> </w:t>
      </w:r>
      <w:bookmarkEnd w:id="11"/>
    </w:p>
    <w:bookmarkEnd w:id="9"/>
    <w:p w14:paraId="59DCD735" w14:textId="6302DF20" w:rsidR="005100D8" w:rsidRPr="00121A76" w:rsidRDefault="00EF6742" w:rsidP="00A5148E">
      <w:pPr>
        <w:pStyle w:val="SingleTxtG"/>
        <w:tabs>
          <w:tab w:val="clear" w:pos="1701"/>
          <w:tab w:val="clear" w:pos="2268"/>
        </w:tabs>
        <w:ind w:right="338"/>
      </w:pPr>
      <w:r>
        <w:rPr>
          <w:rFonts w:eastAsia="Times New Roman"/>
        </w:rPr>
        <w:t>4</w:t>
      </w:r>
      <w:r w:rsidR="00386967">
        <w:rPr>
          <w:rFonts w:eastAsia="Times New Roman"/>
        </w:rPr>
        <w:t>3</w:t>
      </w:r>
      <w:r w:rsidR="0075783B" w:rsidRPr="00726490">
        <w:rPr>
          <w:rFonts w:eastAsia="Times New Roman"/>
        </w:rPr>
        <w:t>.</w:t>
      </w:r>
      <w:r w:rsidR="0075783B" w:rsidRPr="00726490">
        <w:rPr>
          <w:rFonts w:eastAsia="Times New Roman"/>
        </w:rPr>
        <w:tab/>
      </w:r>
      <w:r w:rsidR="002B723D" w:rsidRPr="00726490">
        <w:t>Meanwhile, the</w:t>
      </w:r>
      <w:r w:rsidR="000F4D3D" w:rsidRPr="00726490">
        <w:t xml:space="preserve"> Government continues to detain</w:t>
      </w:r>
      <w:r w:rsidR="00593D0B">
        <w:t>,</w:t>
      </w:r>
      <w:r w:rsidR="00593D0B" w:rsidRPr="00593D0B">
        <w:t xml:space="preserve"> </w:t>
      </w:r>
      <w:r w:rsidR="00593D0B">
        <w:t>investigate</w:t>
      </w:r>
      <w:r w:rsidR="00593D0B" w:rsidRPr="00726490">
        <w:t xml:space="preserve"> </w:t>
      </w:r>
      <w:r w:rsidR="00593D0B">
        <w:t>and prosecute</w:t>
      </w:r>
      <w:r w:rsidR="000F4D3D" w:rsidRPr="00726490">
        <w:t xml:space="preserve"> individuals under this </w:t>
      </w:r>
      <w:r w:rsidR="00593D0B">
        <w:t>a</w:t>
      </w:r>
      <w:r w:rsidR="000F4D3D" w:rsidRPr="00726490">
        <w:t>ct.</w:t>
      </w:r>
      <w:r w:rsidR="00743D89">
        <w:t xml:space="preserve"> </w:t>
      </w:r>
      <w:r w:rsidR="002B723D" w:rsidRPr="00726490">
        <w:t xml:space="preserve">The High Commissioner reiterates her call for the Government to apply a moratorium on the use of the PTA until it is replaced by legislation that fully complies with the country’s international human rights obligations. </w:t>
      </w:r>
      <w:r w:rsidR="000F4D3D" w:rsidRPr="00726490">
        <w:t xml:space="preserve">According to Government data, as of 2 December 2021, </w:t>
      </w:r>
      <w:bookmarkStart w:id="12" w:name="_Hlk95472199"/>
      <w:r w:rsidR="00593D0B" w:rsidRPr="00726490">
        <w:t xml:space="preserve">333 people </w:t>
      </w:r>
      <w:bookmarkEnd w:id="12"/>
      <w:r w:rsidR="00593D0B" w:rsidRPr="00726490">
        <w:t xml:space="preserve">remain detained under </w:t>
      </w:r>
      <w:r w:rsidR="00593D0B" w:rsidRPr="00D374AE">
        <w:t xml:space="preserve">the PTA, of whom 16 were convicted, 11 are under appeal, </w:t>
      </w:r>
      <w:r w:rsidR="00593D0B">
        <w:t xml:space="preserve">and </w:t>
      </w:r>
      <w:r w:rsidR="00593D0B" w:rsidRPr="00D374AE">
        <w:t>the remaining are detained as suspects.</w:t>
      </w:r>
      <w:r w:rsidR="00593D0B" w:rsidRPr="00D374AE">
        <w:rPr>
          <w:rStyle w:val="FootnoteReference"/>
          <w:sz w:val="20"/>
        </w:rPr>
        <w:footnoteReference w:id="49"/>
      </w:r>
      <w:r w:rsidR="009A06A5" w:rsidRPr="009A06A5">
        <w:t xml:space="preserve"> </w:t>
      </w:r>
      <w:r w:rsidR="009A06A5">
        <w:t>Since 24 June, 81</w:t>
      </w:r>
      <w:r w:rsidR="00DD2871">
        <w:t xml:space="preserve"> PTA detainees have been released.</w:t>
      </w:r>
      <w:r w:rsidR="00D276D2">
        <w:rPr>
          <w:rStyle w:val="FootnoteReference"/>
        </w:rPr>
        <w:footnoteReference w:id="50"/>
      </w:r>
      <w:r w:rsidR="00DD2871">
        <w:t xml:space="preserve"> </w:t>
      </w:r>
      <w:r w:rsidR="00593D0B" w:rsidRPr="00D374AE">
        <w:t xml:space="preserve">Among prominent PTA cases, </w:t>
      </w:r>
      <w:proofErr w:type="spellStart"/>
      <w:r w:rsidR="00593D0B" w:rsidRPr="00D374AE">
        <w:t>Ahnaf</w:t>
      </w:r>
      <w:proofErr w:type="spellEnd"/>
      <w:r w:rsidR="00593D0B" w:rsidRPr="00D374AE">
        <w:t xml:space="preserve"> </w:t>
      </w:r>
      <w:proofErr w:type="spellStart"/>
      <w:r w:rsidR="00593D0B" w:rsidRPr="00D374AE">
        <w:t>Jazeem</w:t>
      </w:r>
      <w:proofErr w:type="spellEnd"/>
      <w:r w:rsidR="00593D0B" w:rsidRPr="00D374AE">
        <w:t xml:space="preserve">, detained for over 18 months under the PTA, was released on bail on 15 December </w:t>
      </w:r>
      <w:r w:rsidR="00593D0B" w:rsidRPr="00121A76">
        <w:t xml:space="preserve">2021. </w:t>
      </w:r>
      <w:proofErr w:type="spellStart"/>
      <w:r w:rsidR="00593D0B" w:rsidRPr="00121A76">
        <w:t>Hejaaz</w:t>
      </w:r>
      <w:proofErr w:type="spellEnd"/>
      <w:r w:rsidR="00593D0B" w:rsidRPr="00121A76">
        <w:t xml:space="preserve"> </w:t>
      </w:r>
      <w:proofErr w:type="spellStart"/>
      <w:r w:rsidR="00593D0B" w:rsidRPr="00121A76">
        <w:t>Hizbullah</w:t>
      </w:r>
      <w:proofErr w:type="spellEnd"/>
      <w:r w:rsidR="00593D0B" w:rsidRPr="00121A76">
        <w:t>, a lawyer who had been detained under the PTA since 14 April 2020</w:t>
      </w:r>
      <w:r w:rsidR="00896A9C">
        <w:t>,</w:t>
      </w:r>
      <w:r w:rsidR="00593D0B" w:rsidRPr="00121A76">
        <w:t xml:space="preserve"> was granted bail by the High Court on 7 February 2022.</w:t>
      </w:r>
      <w:r w:rsidR="00567D05" w:rsidRPr="00121A76">
        <w:t xml:space="preserve">  </w:t>
      </w:r>
    </w:p>
    <w:p w14:paraId="083902A5" w14:textId="77777777" w:rsidR="00956FEF" w:rsidRPr="002E46E3" w:rsidRDefault="00B222E6" w:rsidP="00EA33A2">
      <w:pPr>
        <w:pStyle w:val="SingleTxtG"/>
        <w:ind w:right="338"/>
        <w:rPr>
          <w:rStyle w:val="css-901oao"/>
        </w:rPr>
      </w:pPr>
      <w:r w:rsidRPr="00121A76">
        <w:t>4</w:t>
      </w:r>
      <w:r w:rsidR="00386967">
        <w:t>4</w:t>
      </w:r>
      <w:r w:rsidR="00BD00FC" w:rsidRPr="00121A76">
        <w:t>.</w:t>
      </w:r>
      <w:r w:rsidR="00B85F31" w:rsidRPr="00121A76">
        <w:tab/>
      </w:r>
      <w:r w:rsidR="000F4D3D" w:rsidRPr="00121A76">
        <w:t>In June 2021, 16 PTA prisoners nearing the end of their sentences were released under Presidential pardon. On 24 August</w:t>
      </w:r>
      <w:r w:rsidR="00593D0B" w:rsidRPr="00121A76">
        <w:t xml:space="preserve"> 2021</w:t>
      </w:r>
      <w:r w:rsidR="000F4D3D" w:rsidRPr="00121A76">
        <w:t>, the President appointed a three-member Advisory Board</w:t>
      </w:r>
      <w:r w:rsidR="00842CBC" w:rsidRPr="00121A76">
        <w:t>,</w:t>
      </w:r>
      <w:r w:rsidR="000F4D3D" w:rsidRPr="00121A76">
        <w:t xml:space="preserve"> headed by a retired Chief Justice</w:t>
      </w:r>
      <w:r w:rsidR="00842CBC" w:rsidRPr="00121A76">
        <w:t>,</w:t>
      </w:r>
      <w:r w:rsidR="000F4D3D" w:rsidRPr="00121A76">
        <w:t xml:space="preserve"> to which detainees or their representative could apply for revi</w:t>
      </w:r>
      <w:r w:rsidR="000F4D3D" w:rsidRPr="002E46E3">
        <w:t>ew.</w:t>
      </w:r>
      <w:r w:rsidR="000F4D3D" w:rsidRPr="002E46E3">
        <w:rPr>
          <w:rStyle w:val="FootnoteReference"/>
        </w:rPr>
        <w:footnoteReference w:id="51"/>
      </w:r>
      <w:bookmarkStart w:id="14" w:name="_Hlk95466479"/>
      <w:r w:rsidR="002E46E3" w:rsidRPr="002E46E3">
        <w:t xml:space="preserve"> </w:t>
      </w:r>
      <w:bookmarkEnd w:id="14"/>
    </w:p>
    <w:p w14:paraId="0E27271F" w14:textId="77777777" w:rsidR="002F33C3" w:rsidRPr="00BD00FC" w:rsidRDefault="00B85F31" w:rsidP="00A5148E">
      <w:pPr>
        <w:pStyle w:val="SingleTxtG"/>
        <w:tabs>
          <w:tab w:val="clear" w:pos="1701"/>
          <w:tab w:val="clear" w:pos="2268"/>
        </w:tabs>
        <w:ind w:right="338"/>
      </w:pPr>
      <w:r w:rsidRPr="002E46E3">
        <w:t>4</w:t>
      </w:r>
      <w:r w:rsidR="00386967">
        <w:t>5</w:t>
      </w:r>
      <w:r w:rsidRPr="002E46E3">
        <w:t>.</w:t>
      </w:r>
      <w:r w:rsidRPr="002E46E3">
        <w:tab/>
      </w:r>
      <w:r w:rsidR="000F4D3D" w:rsidRPr="002E46E3">
        <w:t xml:space="preserve">Reports indicate that </w:t>
      </w:r>
      <w:r w:rsidR="00166085" w:rsidRPr="002E46E3">
        <w:t>at least 70</w:t>
      </w:r>
      <w:r w:rsidR="000F4D3D" w:rsidRPr="002E46E3">
        <w:t xml:space="preserve"> people have been arrested </w:t>
      </w:r>
      <w:r w:rsidR="00593D0B">
        <w:t>under the PTA</w:t>
      </w:r>
      <w:r w:rsidR="00593D0B" w:rsidRPr="002E46E3">
        <w:t xml:space="preserve"> </w:t>
      </w:r>
      <w:r w:rsidR="000F4D3D" w:rsidRPr="002E46E3">
        <w:t>for sharing social media posts commemorating victims of the war that included LTTE images or Tamil nationalist iconography.</w:t>
      </w:r>
      <w:r w:rsidR="002E46E3" w:rsidRPr="002E46E3">
        <w:t xml:space="preserve"> </w:t>
      </w:r>
      <w:r w:rsidR="000F4D3D" w:rsidRPr="002E46E3">
        <w:t>O</w:t>
      </w:r>
      <w:r w:rsidR="000F4D3D" w:rsidRPr="002E46E3">
        <w:rPr>
          <w:rStyle w:val="lblnewsfulltext"/>
        </w:rPr>
        <w:t xml:space="preserve">n 18 May, police arrested </w:t>
      </w:r>
      <w:r w:rsidR="000F4D3D" w:rsidRPr="002E46E3">
        <w:t xml:space="preserve">10 people near </w:t>
      </w:r>
      <w:proofErr w:type="spellStart"/>
      <w:r w:rsidR="000F4D3D" w:rsidRPr="002E46E3">
        <w:t>Batticaloa</w:t>
      </w:r>
      <w:proofErr w:type="spellEnd"/>
      <w:r w:rsidR="000F4D3D" w:rsidRPr="002E46E3">
        <w:t xml:space="preserve"> under the PTA </w:t>
      </w:r>
      <w:r w:rsidR="000F4D3D" w:rsidRPr="002E46E3">
        <w:rPr>
          <w:rFonts w:eastAsia="Times New Roman"/>
        </w:rPr>
        <w:t>for organizing</w:t>
      </w:r>
      <w:r w:rsidR="000F4D3D" w:rsidRPr="00956FEF">
        <w:rPr>
          <w:rFonts w:eastAsia="Times New Roman"/>
        </w:rPr>
        <w:t xml:space="preserve"> a memorial event; they were finally released on bail on 8 December. </w:t>
      </w:r>
      <w:r w:rsidR="000F4D3D">
        <w:t>A</w:t>
      </w:r>
      <w:r w:rsidR="000F4D3D" w:rsidRPr="00956FEF">
        <w:rPr>
          <w:rFonts w:eastAsia="Times New Roman"/>
        </w:rPr>
        <w:t xml:space="preserve"> </w:t>
      </w:r>
      <w:r w:rsidR="000F4D3D" w:rsidRPr="00956FEF">
        <w:t xml:space="preserve">journalist, </w:t>
      </w:r>
      <w:proofErr w:type="spellStart"/>
      <w:r w:rsidR="000F4D3D" w:rsidRPr="00956FEF">
        <w:rPr>
          <w:rFonts w:eastAsia="Times New Roman"/>
        </w:rPr>
        <w:t>Murugupillai</w:t>
      </w:r>
      <w:proofErr w:type="spellEnd"/>
      <w:r w:rsidR="000F4D3D" w:rsidRPr="00956FEF">
        <w:rPr>
          <w:rFonts w:eastAsia="Times New Roman"/>
        </w:rPr>
        <w:t xml:space="preserve"> </w:t>
      </w:r>
      <w:proofErr w:type="spellStart"/>
      <w:r w:rsidR="000F4D3D" w:rsidRPr="00956FEF">
        <w:rPr>
          <w:rFonts w:eastAsia="Times New Roman"/>
        </w:rPr>
        <w:t>Kokulathasan</w:t>
      </w:r>
      <w:proofErr w:type="spellEnd"/>
      <w:r w:rsidR="000F4D3D">
        <w:rPr>
          <w:rFonts w:eastAsia="Times New Roman"/>
        </w:rPr>
        <w:t>,</w:t>
      </w:r>
      <w:r w:rsidR="000F4D3D" w:rsidRPr="00956FEF">
        <w:rPr>
          <w:rFonts w:eastAsia="Times New Roman"/>
        </w:rPr>
        <w:t xml:space="preserve"> </w:t>
      </w:r>
      <w:r w:rsidR="000F4D3D" w:rsidRPr="00956FEF">
        <w:t xml:space="preserve">has been detained for 15 months </w:t>
      </w:r>
      <w:r w:rsidR="000F4D3D">
        <w:t xml:space="preserve">since November 2020 in relation to </w:t>
      </w:r>
      <w:r w:rsidR="000F4D3D" w:rsidRPr="00956FEF">
        <w:t xml:space="preserve">photos of the </w:t>
      </w:r>
      <w:r w:rsidR="000F4D3D">
        <w:t>LTTE</w:t>
      </w:r>
      <w:r w:rsidR="000F4D3D" w:rsidRPr="00956FEF">
        <w:t xml:space="preserve"> leader</w:t>
      </w:r>
      <w:r w:rsidR="000F4D3D">
        <w:t xml:space="preserve"> appearing on</w:t>
      </w:r>
      <w:r w:rsidR="000F4D3D">
        <w:rPr>
          <w:rFonts w:eastAsia="Times New Roman"/>
        </w:rPr>
        <w:t xml:space="preserve"> his</w:t>
      </w:r>
      <w:r w:rsidR="000F4D3D" w:rsidRPr="00956FEF">
        <w:rPr>
          <w:rFonts w:eastAsia="Times New Roman"/>
        </w:rPr>
        <w:t xml:space="preserve"> social media</w:t>
      </w:r>
      <w:r w:rsidR="00D374AE">
        <w:t xml:space="preserve">. </w:t>
      </w:r>
      <w:r w:rsidR="000F4D3D" w:rsidRPr="00956FEF">
        <w:t xml:space="preserve">The </w:t>
      </w:r>
      <w:r w:rsidR="000F4D3D" w:rsidRPr="00956FEF">
        <w:rPr>
          <w:rStyle w:val="css-901oao"/>
        </w:rPr>
        <w:t xml:space="preserve">Government shared with OHCHR a directive issued by the Inspector </w:t>
      </w:r>
      <w:r w:rsidR="000F4D3D" w:rsidRPr="00956FEF">
        <w:rPr>
          <w:rStyle w:val="css-901oao"/>
        </w:rPr>
        <w:lastRenderedPageBreak/>
        <w:t>General of Police dated 23 October 2021 providing guidance on</w:t>
      </w:r>
      <w:r w:rsidR="000F4D3D">
        <w:rPr>
          <w:rStyle w:val="css-901oao"/>
        </w:rPr>
        <w:t xml:space="preserve"> restricting the use of the PTA and exercising </w:t>
      </w:r>
      <w:r w:rsidR="000F4D3D" w:rsidRPr="00956FEF">
        <w:rPr>
          <w:rStyle w:val="css-901oao"/>
        </w:rPr>
        <w:t>greater discretion in</w:t>
      </w:r>
      <w:r w:rsidR="000F4D3D">
        <w:rPr>
          <w:rStyle w:val="css-901oao"/>
        </w:rPr>
        <w:t xml:space="preserve"> evaluating cases such as, possession of pictures</w:t>
      </w:r>
      <w:r w:rsidR="005C5BDD">
        <w:rPr>
          <w:rStyle w:val="css-901oao"/>
        </w:rPr>
        <w:t>.</w:t>
      </w:r>
      <w:r w:rsidR="000F4D3D" w:rsidRPr="00956FEF">
        <w:rPr>
          <w:rStyle w:val="FootnoteReference"/>
          <w:w w:val="95"/>
          <w:sz w:val="20"/>
        </w:rPr>
        <w:t xml:space="preserve"> </w:t>
      </w:r>
      <w:r w:rsidR="000F4D3D" w:rsidRPr="00956FEF">
        <w:rPr>
          <w:rStyle w:val="FootnoteReference"/>
          <w:w w:val="95"/>
          <w:sz w:val="20"/>
        </w:rPr>
        <w:footnoteReference w:id="52"/>
      </w:r>
      <w:r w:rsidR="00ED7C26">
        <w:rPr>
          <w:color w:val="000000"/>
          <w:shd w:val="clear" w:color="auto" w:fill="FFFFFF"/>
        </w:rPr>
        <w:t xml:space="preserve"> </w:t>
      </w:r>
    </w:p>
    <w:p w14:paraId="0F148610" w14:textId="77777777" w:rsidR="001606BC" w:rsidRPr="00726490" w:rsidRDefault="00B85F31" w:rsidP="00A5148E">
      <w:pPr>
        <w:pStyle w:val="SingleTxtG"/>
        <w:tabs>
          <w:tab w:val="clear" w:pos="1701"/>
          <w:tab w:val="clear" w:pos="2268"/>
        </w:tabs>
        <w:ind w:right="338"/>
        <w:rPr>
          <w:color w:val="000000"/>
          <w:shd w:val="clear" w:color="auto" w:fill="FFFFFF"/>
        </w:rPr>
      </w:pPr>
      <w:r>
        <w:rPr>
          <w:lang w:val="en-US"/>
        </w:rPr>
        <w:t>4</w:t>
      </w:r>
      <w:r w:rsidR="00386967">
        <w:rPr>
          <w:lang w:val="en-US"/>
        </w:rPr>
        <w:t>6</w:t>
      </w:r>
      <w:r>
        <w:rPr>
          <w:lang w:val="en-US"/>
        </w:rPr>
        <w:t>.</w:t>
      </w:r>
      <w:r>
        <w:rPr>
          <w:lang w:val="en-US"/>
        </w:rPr>
        <w:tab/>
      </w:r>
      <w:r w:rsidR="000F4D3D" w:rsidRPr="00956FEF">
        <w:t xml:space="preserve">In March 2021, new “de-radicalization” regulations were issued that permit arbitrary administrative detention of individuals for up to two years without </w:t>
      </w:r>
      <w:r w:rsidR="000F4D3D">
        <w:t xml:space="preserve">any legal proceedings for the purposes of </w:t>
      </w:r>
      <w:r w:rsidR="005B6692">
        <w:t>‘</w:t>
      </w:r>
      <w:r w:rsidR="000F4D3D">
        <w:t>rehabilitation</w:t>
      </w:r>
      <w:r w:rsidR="005B6692">
        <w:t>’</w:t>
      </w:r>
      <w:r w:rsidR="00166085">
        <w:t xml:space="preserve"> in relation to violent extremism</w:t>
      </w:r>
      <w:r w:rsidR="000F4D3D" w:rsidRPr="00956FEF">
        <w:t>.</w:t>
      </w:r>
      <w:r w:rsidR="00DF2885">
        <w:rPr>
          <w:rStyle w:val="FootnoteReference"/>
        </w:rPr>
        <w:footnoteReference w:id="53"/>
      </w:r>
      <w:r w:rsidR="000F4D3D" w:rsidRPr="00956FEF">
        <w:t> </w:t>
      </w:r>
      <w:r w:rsidR="000F4D3D" w:rsidRPr="005B6692">
        <w:rPr>
          <w:shd w:val="clear" w:color="auto" w:fill="FFFFFF"/>
        </w:rPr>
        <w:t>The Special Rapporteur on the promotion and protection of human rights and fundamental freedoms while countering terrorism</w:t>
      </w:r>
      <w:r w:rsidR="00C873DC">
        <w:rPr>
          <w:shd w:val="clear" w:color="auto" w:fill="FFFFFF"/>
        </w:rPr>
        <w:t xml:space="preserve"> and other experts</w:t>
      </w:r>
      <w:r w:rsidR="000F4D3D" w:rsidRPr="005B6692">
        <w:rPr>
          <w:shd w:val="clear" w:color="auto" w:fill="FFFFFF"/>
        </w:rPr>
        <w:t xml:space="preserve"> ha</w:t>
      </w:r>
      <w:r w:rsidR="00C873DC">
        <w:rPr>
          <w:shd w:val="clear" w:color="auto" w:fill="FFFFFF"/>
        </w:rPr>
        <w:t>ve</w:t>
      </w:r>
      <w:r w:rsidR="000F4D3D" w:rsidRPr="005B6692">
        <w:rPr>
          <w:shd w:val="clear" w:color="auto" w:fill="FFFFFF"/>
        </w:rPr>
        <w:t xml:space="preserve"> warned that the regulations may jeopardize the rights and liberties of </w:t>
      </w:r>
      <w:r w:rsidR="000F4D3D" w:rsidRPr="009B2875">
        <w:rPr>
          <w:color w:val="000000"/>
          <w:shd w:val="clear" w:color="auto" w:fill="FFFFFF"/>
        </w:rPr>
        <w:t>persons who may be detained arbitrarily, especially religious and ethnic minorities, and may curtail political dissent with no effective due process guarantees</w:t>
      </w:r>
      <w:r w:rsidR="00842CBC">
        <w:rPr>
          <w:color w:val="000000"/>
          <w:shd w:val="clear" w:color="auto" w:fill="FFFFFF"/>
        </w:rPr>
        <w:t>.</w:t>
      </w:r>
      <w:r w:rsidR="000F4D3D" w:rsidRPr="009B2875">
        <w:rPr>
          <w:rStyle w:val="FootnoteReference"/>
          <w:color w:val="000000"/>
          <w:sz w:val="20"/>
          <w:shd w:val="clear" w:color="auto" w:fill="FFFFFF"/>
        </w:rPr>
        <w:footnoteReference w:id="54"/>
      </w:r>
      <w:r w:rsidR="000F4D3D">
        <w:rPr>
          <w:color w:val="000000"/>
          <w:shd w:val="clear" w:color="auto" w:fill="FFFFFF"/>
        </w:rPr>
        <w:t xml:space="preserve"> Civil society organisations obtained a stay order on their implementation while the Supreme Court considers a fundamental rights petition against the regulations. </w:t>
      </w:r>
      <w:r w:rsidR="0095019E">
        <w:t xml:space="preserve"> </w:t>
      </w:r>
      <w:bookmarkStart w:id="15" w:name="_Hlk90419845"/>
    </w:p>
    <w:bookmarkEnd w:id="15"/>
    <w:p w14:paraId="2167D753" w14:textId="77777777" w:rsidR="006E15EF" w:rsidRPr="00032971" w:rsidRDefault="00EE4220" w:rsidP="00EA33A2">
      <w:pPr>
        <w:pStyle w:val="HChG"/>
        <w:ind w:right="338"/>
      </w:pPr>
      <w:r>
        <w:tab/>
        <w:t>III.</w:t>
      </w:r>
      <w:r>
        <w:tab/>
      </w:r>
      <w:r w:rsidR="00647D14">
        <w:t>Progress in reconciliation and accountability</w:t>
      </w:r>
      <w:r w:rsidR="000C502D" w:rsidRPr="00032971">
        <w:t>      </w:t>
      </w:r>
    </w:p>
    <w:p w14:paraId="27BC57E1" w14:textId="6C4729CB" w:rsidR="006668AA" w:rsidRPr="00032971" w:rsidRDefault="00AD45C5" w:rsidP="00EA33A2">
      <w:pPr>
        <w:pStyle w:val="H1G"/>
        <w:ind w:right="338"/>
      </w:pPr>
      <w:r>
        <w:tab/>
        <w:t>A.</w:t>
      </w:r>
      <w:r w:rsidR="00EE4220">
        <w:tab/>
      </w:r>
      <w:bookmarkStart w:id="16" w:name="_Hlk90554172"/>
      <w:r w:rsidR="00AA78E0" w:rsidRPr="00032971">
        <w:t xml:space="preserve">Transitional justice </w:t>
      </w:r>
      <w:bookmarkEnd w:id="16"/>
      <w:r w:rsidR="00C040F7" w:rsidRPr="00032971">
        <w:t>mechanisms</w:t>
      </w:r>
    </w:p>
    <w:p w14:paraId="7F842C93" w14:textId="23D72CE5" w:rsidR="00F74519" w:rsidRPr="00032971" w:rsidRDefault="004015F5" w:rsidP="000D198A">
      <w:pPr>
        <w:pStyle w:val="SingleTxtG"/>
        <w:tabs>
          <w:tab w:val="clear" w:pos="1701"/>
          <w:tab w:val="clear" w:pos="2268"/>
        </w:tabs>
        <w:ind w:right="338"/>
      </w:pPr>
      <w:r>
        <w:t>4</w:t>
      </w:r>
      <w:r w:rsidR="00386967">
        <w:t>7</w:t>
      </w:r>
      <w:r w:rsidR="00281F1C">
        <w:t>.</w:t>
      </w:r>
      <w:r w:rsidR="00281F1C">
        <w:tab/>
      </w:r>
      <w:bookmarkStart w:id="17" w:name="_Hlk95735962"/>
      <w:r w:rsidR="002A7D1C">
        <w:t>When</w:t>
      </w:r>
      <w:r w:rsidR="008C09E1" w:rsidRPr="00032971">
        <w:t xml:space="preserve"> the Government decided to withdraw </w:t>
      </w:r>
      <w:r w:rsidR="00454FBC">
        <w:t xml:space="preserve">its </w:t>
      </w:r>
      <w:r w:rsidR="008C09E1" w:rsidRPr="00032971">
        <w:t xml:space="preserve">co-sponsorship of resolution 40/1 and related resolutions 34/1 and 30/1, </w:t>
      </w:r>
      <w:r w:rsidR="002A7D1C">
        <w:t>it expressed</w:t>
      </w:r>
      <w:r w:rsidR="002A7D1C" w:rsidRPr="00032971">
        <w:t xml:space="preserve"> </w:t>
      </w:r>
      <w:r w:rsidR="008C09E1" w:rsidRPr="00032971">
        <w:t>its intention to pursue an “inclusive, domestically designed and executed reconciliation and accou</w:t>
      </w:r>
      <w:r w:rsidR="008C09E1" w:rsidRPr="00EE4220">
        <w:rPr>
          <w:rStyle w:val="SingleTxtGChar"/>
        </w:rPr>
        <w:t>n</w:t>
      </w:r>
      <w:r w:rsidR="008C09E1" w:rsidRPr="00032971">
        <w:t>tability process”</w:t>
      </w:r>
      <w:bookmarkEnd w:id="17"/>
      <w:r w:rsidR="004D28EA">
        <w:t>.</w:t>
      </w:r>
      <w:r w:rsidR="008C09E1" w:rsidRPr="00032971">
        <w:rPr>
          <w:vertAlign w:val="superscript"/>
        </w:rPr>
        <w:footnoteReference w:id="55"/>
      </w:r>
      <w:r w:rsidR="002A7D1C">
        <w:t xml:space="preserve"> Two years on, the Government has</w:t>
      </w:r>
      <w:r w:rsidR="008C09E1" w:rsidRPr="00032971">
        <w:t xml:space="preserve"> yet </w:t>
      </w:r>
      <w:r w:rsidR="002A7D1C">
        <w:t xml:space="preserve">to </w:t>
      </w:r>
      <w:r w:rsidR="008C09E1" w:rsidRPr="00032971">
        <w:t xml:space="preserve">come forward with any </w:t>
      </w:r>
      <w:r w:rsidR="002A7D1C" w:rsidRPr="00642565">
        <w:t xml:space="preserve">credible </w:t>
      </w:r>
      <w:r w:rsidR="008C09E1" w:rsidRPr="00642565">
        <w:t xml:space="preserve">new roadmap on transitional justice towards accountability and reconciliation. </w:t>
      </w:r>
      <w:r w:rsidR="00923C0D">
        <w:t>A</w:t>
      </w:r>
      <w:r w:rsidR="00F74519" w:rsidRPr="00642565">
        <w:t xml:space="preserve"> Commission of Inquiry (</w:t>
      </w:r>
      <w:proofErr w:type="spellStart"/>
      <w:r w:rsidR="00F74519" w:rsidRPr="00642565">
        <w:t>CoI</w:t>
      </w:r>
      <w:proofErr w:type="spellEnd"/>
      <w:r w:rsidR="00647D14">
        <w:t>)</w:t>
      </w:r>
      <w:r w:rsidR="00923C0D">
        <w:t>,</w:t>
      </w:r>
      <w:r w:rsidR="00647D14" w:rsidRPr="00647D14">
        <w:t xml:space="preserve"> </w:t>
      </w:r>
      <w:r w:rsidR="00647D14">
        <w:t xml:space="preserve">appointed by the President </w:t>
      </w:r>
      <w:r w:rsidR="00647D14" w:rsidRPr="00642565">
        <w:t>in November 2020</w:t>
      </w:r>
      <w:r w:rsidR="00647D14">
        <w:t xml:space="preserve"> </w:t>
      </w:r>
      <w:r w:rsidR="00F74519" w:rsidRPr="00642565">
        <w:t xml:space="preserve">“to review the reports of previous Sri Lankan </w:t>
      </w:r>
      <w:proofErr w:type="spellStart"/>
      <w:r w:rsidR="00F74519" w:rsidRPr="00642565">
        <w:t>CoIs</w:t>
      </w:r>
      <w:proofErr w:type="spellEnd"/>
      <w:r w:rsidR="00F74519" w:rsidRPr="00642565">
        <w:t xml:space="preserve">, assess the status </w:t>
      </w:r>
      <w:r w:rsidR="00F74519" w:rsidRPr="00E441A3">
        <w:t>of implementation of their recommendations, and propose deliverable measures to implement them in line with the new Government’s policy</w:t>
      </w:r>
      <w:r w:rsidR="00923C0D" w:rsidRPr="00E441A3">
        <w:t>,</w:t>
      </w:r>
      <w:r w:rsidR="00F74519" w:rsidRPr="00E441A3">
        <w:t>”</w:t>
      </w:r>
      <w:r w:rsidR="00DB5C3B" w:rsidRPr="00E441A3">
        <w:t xml:space="preserve"> submitted</w:t>
      </w:r>
      <w:r w:rsidR="004E5BCB">
        <w:t xml:space="preserve"> a</w:t>
      </w:r>
      <w:r w:rsidR="003C0C2C">
        <w:t xml:space="preserve"> second </w:t>
      </w:r>
      <w:r w:rsidR="00DB5C3B" w:rsidRPr="00E441A3">
        <w:t xml:space="preserve">interim report to the President in </w:t>
      </w:r>
      <w:r w:rsidR="003C0C2C">
        <w:t xml:space="preserve">February </w:t>
      </w:r>
      <w:r w:rsidR="00DB5C3B" w:rsidRPr="00E441A3">
        <w:t>202</w:t>
      </w:r>
      <w:r w:rsidR="003C0C2C">
        <w:t>2</w:t>
      </w:r>
      <w:r w:rsidR="00F74519" w:rsidRPr="00E441A3">
        <w:t>.</w:t>
      </w:r>
      <w:r w:rsidR="00F74519" w:rsidRPr="00E441A3">
        <w:rPr>
          <w:rStyle w:val="FootnoteReference"/>
          <w:sz w:val="20"/>
        </w:rPr>
        <w:footnoteReference w:id="56"/>
      </w:r>
      <w:r w:rsidR="00F74519" w:rsidRPr="00D5560E">
        <w:t xml:space="preserve">  </w:t>
      </w:r>
    </w:p>
    <w:p w14:paraId="0CAEFB71" w14:textId="77777777" w:rsidR="00FF2277" w:rsidRPr="00992428" w:rsidRDefault="00F77F73" w:rsidP="00A5148E">
      <w:pPr>
        <w:pStyle w:val="SingleTxtG"/>
        <w:tabs>
          <w:tab w:val="clear" w:pos="1701"/>
          <w:tab w:val="clear" w:pos="2268"/>
        </w:tabs>
        <w:ind w:right="338"/>
      </w:pPr>
      <w:r>
        <w:t>4</w:t>
      </w:r>
      <w:r w:rsidR="00386967">
        <w:t>8</w:t>
      </w:r>
      <w:r w:rsidR="00281F1C">
        <w:t>.</w:t>
      </w:r>
      <w:r w:rsidR="00281F1C">
        <w:tab/>
      </w:r>
      <w:r w:rsidR="008C09E1" w:rsidRPr="00032971">
        <w:t xml:space="preserve">The two transitional justice structures established by the previous Government - </w:t>
      </w:r>
      <w:r w:rsidR="009A27CA">
        <w:t>the</w:t>
      </w:r>
      <w:r w:rsidR="009A27CA" w:rsidRPr="00032971">
        <w:t xml:space="preserve"> </w:t>
      </w:r>
      <w:r w:rsidR="00F74519" w:rsidRPr="00032971">
        <w:t>O</w:t>
      </w:r>
      <w:r w:rsidR="006668AA" w:rsidRPr="00032971">
        <w:t xml:space="preserve">ffice on </w:t>
      </w:r>
      <w:r w:rsidR="00F74519" w:rsidRPr="00032971">
        <w:t>M</w:t>
      </w:r>
      <w:r w:rsidR="006668AA" w:rsidRPr="00032971">
        <w:t xml:space="preserve">issing </w:t>
      </w:r>
      <w:r w:rsidR="00F74519" w:rsidRPr="00032971">
        <w:t>P</w:t>
      </w:r>
      <w:r w:rsidR="006668AA" w:rsidRPr="00032971">
        <w:t>ersons (OMP)</w:t>
      </w:r>
      <w:r w:rsidR="008C09E1" w:rsidRPr="00032971">
        <w:t xml:space="preserve"> </w:t>
      </w:r>
      <w:r w:rsidR="008C09E1" w:rsidRPr="00992428">
        <w:t xml:space="preserve">and </w:t>
      </w:r>
      <w:r w:rsidR="009A27CA" w:rsidRPr="00992428">
        <w:t xml:space="preserve">the </w:t>
      </w:r>
      <w:r w:rsidR="00F74519" w:rsidRPr="00992428">
        <w:t>O</w:t>
      </w:r>
      <w:r w:rsidR="006668AA" w:rsidRPr="00992428">
        <w:t xml:space="preserve">ffice on </w:t>
      </w:r>
      <w:r w:rsidR="00F74519" w:rsidRPr="00992428">
        <w:t>R</w:t>
      </w:r>
      <w:r w:rsidR="006668AA" w:rsidRPr="00992428">
        <w:t>eparations (</w:t>
      </w:r>
      <w:proofErr w:type="spellStart"/>
      <w:r w:rsidR="006668AA" w:rsidRPr="00992428">
        <w:t>OfR</w:t>
      </w:r>
      <w:proofErr w:type="spellEnd"/>
      <w:r w:rsidR="006668AA" w:rsidRPr="00992428">
        <w:t>)</w:t>
      </w:r>
      <w:r w:rsidR="008C09E1" w:rsidRPr="00992428">
        <w:t xml:space="preserve"> –</w:t>
      </w:r>
      <w:r w:rsidR="00842CBC">
        <w:t xml:space="preserve"> </w:t>
      </w:r>
      <w:r w:rsidR="00F74519" w:rsidRPr="00992428">
        <w:t>continue to</w:t>
      </w:r>
      <w:r w:rsidR="00653F62">
        <w:t xml:space="preserve"> </w:t>
      </w:r>
      <w:r w:rsidR="005E01E7">
        <w:t>exist</w:t>
      </w:r>
      <w:r w:rsidR="00A3037D" w:rsidRPr="00992428">
        <w:t>. However,</w:t>
      </w:r>
      <w:r w:rsidR="004D28EA" w:rsidRPr="00992428">
        <w:t xml:space="preserve"> they </w:t>
      </w:r>
      <w:r w:rsidR="00F74519" w:rsidRPr="00992428">
        <w:t xml:space="preserve">have </w:t>
      </w:r>
      <w:r w:rsidR="00642565" w:rsidRPr="00992428">
        <w:t>struggled to</w:t>
      </w:r>
      <w:r w:rsidR="00F74519" w:rsidRPr="00992428">
        <w:t xml:space="preserve"> achieve</w:t>
      </w:r>
      <w:r w:rsidR="002A3DB6" w:rsidRPr="00992428">
        <w:t xml:space="preserve"> the confidence of</w:t>
      </w:r>
      <w:r w:rsidR="00EE5A5B" w:rsidRPr="00992428">
        <w:t xml:space="preserve"> </w:t>
      </w:r>
      <w:r w:rsidR="008C09E1" w:rsidRPr="00992428">
        <w:t>victims</w:t>
      </w:r>
      <w:r w:rsidR="00454FBC" w:rsidRPr="00992428">
        <w:t xml:space="preserve">, particularly </w:t>
      </w:r>
      <w:r w:rsidR="00EF1EA8" w:rsidRPr="00992428">
        <w:t xml:space="preserve">following changes in </w:t>
      </w:r>
      <w:r w:rsidR="00842CBC">
        <w:t xml:space="preserve">their </w:t>
      </w:r>
      <w:r w:rsidR="00EF1EA8" w:rsidRPr="00992428">
        <w:t>membership</w:t>
      </w:r>
      <w:r w:rsidR="008C09E1" w:rsidRPr="00992428">
        <w:t>.</w:t>
      </w:r>
      <w:r w:rsidR="00C22716" w:rsidRPr="00992428">
        <w:t xml:space="preserve"> </w:t>
      </w:r>
    </w:p>
    <w:p w14:paraId="2FF0D13A" w14:textId="701677DA" w:rsidR="00523316" w:rsidRPr="008951B7" w:rsidRDefault="00F77F73" w:rsidP="00A5148E">
      <w:pPr>
        <w:pStyle w:val="SingleTxtG"/>
        <w:tabs>
          <w:tab w:val="clear" w:pos="1701"/>
          <w:tab w:val="clear" w:pos="2268"/>
        </w:tabs>
        <w:ind w:right="338"/>
      </w:pPr>
      <w:r>
        <w:t>4</w:t>
      </w:r>
      <w:r w:rsidR="00386967">
        <w:t>9</w:t>
      </w:r>
      <w:r w:rsidR="00FF2277" w:rsidRPr="00992428">
        <w:t>.</w:t>
      </w:r>
      <w:r w:rsidR="004015F5" w:rsidRPr="00992428">
        <w:tab/>
      </w:r>
      <w:r w:rsidR="00B21198" w:rsidRPr="00992428">
        <w:t>In</w:t>
      </w:r>
      <w:r w:rsidR="004D2412">
        <w:t xml:space="preserve"> December 2021 a new Chair</w:t>
      </w:r>
      <w:r w:rsidR="008B2FDA">
        <w:t xml:space="preserve"> and C</w:t>
      </w:r>
      <w:r w:rsidR="00B21198" w:rsidRPr="00992428">
        <w:t xml:space="preserve">ommissioners were appointed to the OMP. </w:t>
      </w:r>
      <w:r w:rsidR="00B14F5E" w:rsidRPr="00992428">
        <w:rPr>
          <w:w w:val="95"/>
        </w:rPr>
        <w:t xml:space="preserve"> </w:t>
      </w:r>
      <w:r w:rsidR="007E57AD" w:rsidRPr="00992428">
        <w:rPr>
          <w:w w:val="95"/>
        </w:rPr>
        <w:t>According to the Government</w:t>
      </w:r>
      <w:r w:rsidR="007E57AD" w:rsidRPr="00DD2871">
        <w:rPr>
          <w:w w:val="95"/>
        </w:rPr>
        <w:t xml:space="preserve">, </w:t>
      </w:r>
      <w:r w:rsidR="00F74519" w:rsidRPr="00DD2871">
        <w:rPr>
          <w:w w:val="95"/>
        </w:rPr>
        <w:t xml:space="preserve">the </w:t>
      </w:r>
      <w:r w:rsidR="00E47A4D" w:rsidRPr="00DD2871">
        <w:t xml:space="preserve">OMP </w:t>
      </w:r>
      <w:r w:rsidR="00F74519" w:rsidRPr="00DD2871">
        <w:t xml:space="preserve">has been working on </w:t>
      </w:r>
      <w:r w:rsidR="00E47A4D" w:rsidRPr="00DD2871">
        <w:t>verification of</w:t>
      </w:r>
      <w:r w:rsidR="00F74519" w:rsidRPr="00DD2871">
        <w:t xml:space="preserve"> the</w:t>
      </w:r>
      <w:r w:rsidR="009B2875" w:rsidRPr="00DD2871">
        <w:t xml:space="preserve"> 6025</w:t>
      </w:r>
      <w:r w:rsidR="00F74519" w:rsidRPr="00DD2871">
        <w:t xml:space="preserve"> </w:t>
      </w:r>
      <w:r w:rsidR="00E47A4D" w:rsidRPr="00DD2871">
        <w:t xml:space="preserve">complaints </w:t>
      </w:r>
      <w:r w:rsidR="00B14F5E" w:rsidRPr="00DD2871">
        <w:t xml:space="preserve">it </w:t>
      </w:r>
      <w:r w:rsidR="00F74519" w:rsidRPr="00DD2871">
        <w:t>received in its first phase from 2000-2020 and has shared 6,025 fil</w:t>
      </w:r>
      <w:r w:rsidR="002D2CD2" w:rsidRPr="00DD2871">
        <w:t>e</w:t>
      </w:r>
      <w:r w:rsidR="00F74519" w:rsidRPr="00DD2871">
        <w:t xml:space="preserve">s with the relevant </w:t>
      </w:r>
      <w:r w:rsidR="002D2CD2" w:rsidRPr="00DD2871">
        <w:t>authorities to obtain additional information. The OMP determined 4,200 complaints required further documentation and has notified 3,230 families to provide further details needed to process their cases.</w:t>
      </w:r>
      <w:r w:rsidR="004D28EA" w:rsidRPr="00DD2871">
        <w:rPr>
          <w:rStyle w:val="FootnoteReference"/>
          <w:sz w:val="20"/>
        </w:rPr>
        <w:footnoteReference w:id="57"/>
      </w:r>
      <w:r w:rsidR="002D2CD2" w:rsidRPr="00DD2871">
        <w:t xml:space="preserve"> </w:t>
      </w:r>
      <w:r w:rsidR="009A27CA" w:rsidRPr="00DD2871">
        <w:t xml:space="preserve">The Government reported that </w:t>
      </w:r>
      <w:r w:rsidR="00647D14" w:rsidRPr="00DD2871">
        <w:t>in</w:t>
      </w:r>
      <w:r w:rsidR="009A27CA" w:rsidRPr="00DD2871">
        <w:t xml:space="preserve"> November 2021 the OMP established f</w:t>
      </w:r>
      <w:r w:rsidR="009A27CA" w:rsidRPr="00DD2871">
        <w:rPr>
          <w:w w:val="95"/>
        </w:rPr>
        <w:t xml:space="preserve">our panels of inquiry </w:t>
      </w:r>
      <w:r w:rsidR="009A27CA" w:rsidRPr="00DD2871">
        <w:t>to conduct investigations and to enable the OMP to issue of Certificate of Absence or</w:t>
      </w:r>
      <w:r w:rsidR="009A27CA" w:rsidRPr="00DD2871">
        <w:rPr>
          <w:spacing w:val="1"/>
        </w:rPr>
        <w:t xml:space="preserve"> </w:t>
      </w:r>
      <w:r w:rsidR="009A27CA" w:rsidRPr="00DD2871">
        <w:t>Certificate</w:t>
      </w:r>
      <w:r w:rsidR="009A27CA" w:rsidRPr="00DD2871">
        <w:rPr>
          <w:spacing w:val="9"/>
        </w:rPr>
        <w:t xml:space="preserve"> </w:t>
      </w:r>
      <w:r w:rsidR="009A27CA" w:rsidRPr="00DD2871">
        <w:t>of</w:t>
      </w:r>
      <w:r w:rsidR="009A27CA" w:rsidRPr="00DD2871">
        <w:rPr>
          <w:spacing w:val="-4"/>
        </w:rPr>
        <w:t xml:space="preserve"> </w:t>
      </w:r>
      <w:r w:rsidR="009A27CA" w:rsidRPr="00DD2871">
        <w:t>Death to the families.</w:t>
      </w:r>
      <w:r w:rsidR="009A27CA" w:rsidRPr="00DD2871">
        <w:rPr>
          <w:rStyle w:val="FootnoteReference"/>
          <w:bCs/>
          <w:sz w:val="20"/>
        </w:rPr>
        <w:footnoteReference w:id="58"/>
      </w:r>
      <w:r w:rsidR="009A27CA" w:rsidRPr="00DD2871">
        <w:t xml:space="preserve"> </w:t>
      </w:r>
      <w:r w:rsidR="00C63D38" w:rsidRPr="00DD2871">
        <w:t xml:space="preserve">OHCHR is concerned that the verification seems to be aimed at reducing the case load </w:t>
      </w:r>
      <w:r w:rsidR="00EA29C6" w:rsidRPr="00DD2871">
        <w:t xml:space="preserve">and closing files </w:t>
      </w:r>
      <w:r w:rsidR="00C63D38" w:rsidRPr="00DD2871">
        <w:t xml:space="preserve">rather than </w:t>
      </w:r>
      <w:r w:rsidR="00EA29C6" w:rsidRPr="00DD2871">
        <w:t xml:space="preserve">a </w:t>
      </w:r>
      <w:r w:rsidR="00C63D38" w:rsidRPr="00DD2871">
        <w:t xml:space="preserve">comprehensive approach to </w:t>
      </w:r>
      <w:r w:rsidR="009A27CA" w:rsidRPr="00DD2871">
        <w:rPr>
          <w:color w:val="000000"/>
          <w:shd w:val="clear" w:color="auto" w:fill="FFFFFF"/>
        </w:rPr>
        <w:t>establish the truth and ensure</w:t>
      </w:r>
      <w:r w:rsidR="00307099" w:rsidRPr="00DD2871">
        <w:rPr>
          <w:color w:val="000000"/>
          <w:shd w:val="clear" w:color="auto" w:fill="FFFFFF"/>
        </w:rPr>
        <w:t xml:space="preserve"> justice and</w:t>
      </w:r>
      <w:r w:rsidR="009A27CA" w:rsidRPr="00DD2871">
        <w:rPr>
          <w:color w:val="000000"/>
          <w:shd w:val="clear" w:color="auto" w:fill="FFFFFF"/>
        </w:rPr>
        <w:t xml:space="preserve"> redress to families</w:t>
      </w:r>
      <w:r w:rsidR="00B672B1" w:rsidRPr="008951B7">
        <w:t xml:space="preserve">.  </w:t>
      </w:r>
    </w:p>
    <w:p w14:paraId="44977A3B" w14:textId="77777777" w:rsidR="005D7ED8" w:rsidRPr="00DD2871" w:rsidRDefault="00386967" w:rsidP="00A5148E">
      <w:pPr>
        <w:pStyle w:val="SingleTxtG"/>
        <w:tabs>
          <w:tab w:val="clear" w:pos="1701"/>
          <w:tab w:val="clear" w:pos="2268"/>
        </w:tabs>
        <w:ind w:right="338"/>
        <w:rPr>
          <w:lang w:val="en-US"/>
        </w:rPr>
      </w:pPr>
      <w:bookmarkStart w:id="18" w:name="_Hlk94862605"/>
      <w:r>
        <w:rPr>
          <w:spacing w:val="3"/>
          <w:shd w:val="clear" w:color="auto" w:fill="FFFFFF"/>
        </w:rPr>
        <w:lastRenderedPageBreak/>
        <w:t>50</w:t>
      </w:r>
      <w:r w:rsidR="00A5148E">
        <w:rPr>
          <w:spacing w:val="3"/>
          <w:shd w:val="clear" w:color="auto" w:fill="FFFFFF"/>
        </w:rPr>
        <w:t>.</w:t>
      </w:r>
      <w:r w:rsidR="00A5148E">
        <w:rPr>
          <w:spacing w:val="3"/>
          <w:shd w:val="clear" w:color="auto" w:fill="FFFFFF"/>
        </w:rPr>
        <w:tab/>
      </w:r>
      <w:r w:rsidR="005D7ED8" w:rsidRPr="009501CA">
        <w:rPr>
          <w:spacing w:val="3"/>
          <w:shd w:val="clear" w:color="auto" w:fill="FFFFFF"/>
        </w:rPr>
        <w:t xml:space="preserve">The High Commissioner is gravely concerned about the </w:t>
      </w:r>
      <w:r w:rsidR="00647D14">
        <w:rPr>
          <w:spacing w:val="3"/>
          <w:shd w:val="clear" w:color="auto" w:fill="FFFFFF"/>
        </w:rPr>
        <w:t xml:space="preserve">continuing </w:t>
      </w:r>
      <w:r w:rsidR="005D7ED8" w:rsidRPr="009501CA">
        <w:rPr>
          <w:spacing w:val="3"/>
          <w:shd w:val="clear" w:color="auto" w:fill="FFFFFF"/>
        </w:rPr>
        <w:t xml:space="preserve">precarious situation of the families of the disappeared </w:t>
      </w:r>
      <w:r w:rsidR="005D7ED8">
        <w:rPr>
          <w:spacing w:val="3"/>
          <w:shd w:val="clear" w:color="auto" w:fill="FFFFFF"/>
        </w:rPr>
        <w:t>–</w:t>
      </w:r>
      <w:r w:rsidR="005D7ED8" w:rsidRPr="009501CA">
        <w:rPr>
          <w:spacing w:val="3"/>
          <w:shd w:val="clear" w:color="auto" w:fill="FFFFFF"/>
        </w:rPr>
        <w:t xml:space="preserve"> </w:t>
      </w:r>
      <w:r w:rsidR="00647D14">
        <w:rPr>
          <w:spacing w:val="3"/>
          <w:shd w:val="clear" w:color="auto" w:fill="FFFFFF"/>
        </w:rPr>
        <w:t xml:space="preserve">the </w:t>
      </w:r>
      <w:r w:rsidR="005D7ED8">
        <w:rPr>
          <w:spacing w:val="3"/>
          <w:shd w:val="clear" w:color="auto" w:fill="FFFFFF"/>
        </w:rPr>
        <w:t xml:space="preserve">majority of whom </w:t>
      </w:r>
      <w:r w:rsidR="005D7ED8" w:rsidRPr="009501CA">
        <w:rPr>
          <w:spacing w:val="3"/>
          <w:shd w:val="clear" w:color="auto" w:fill="FFFFFF"/>
        </w:rPr>
        <w:t xml:space="preserve">are </w:t>
      </w:r>
      <w:r w:rsidR="00D374AE">
        <w:rPr>
          <w:spacing w:val="3"/>
          <w:shd w:val="clear" w:color="auto" w:fill="FFFFFF"/>
        </w:rPr>
        <w:t xml:space="preserve">represented by </w:t>
      </w:r>
      <w:r w:rsidR="005D7ED8" w:rsidRPr="009501CA">
        <w:rPr>
          <w:spacing w:val="3"/>
          <w:shd w:val="clear" w:color="auto" w:fill="FFFFFF"/>
        </w:rPr>
        <w:t xml:space="preserve">women. </w:t>
      </w:r>
      <w:r w:rsidR="005D7ED8" w:rsidRPr="009501CA">
        <w:t xml:space="preserve">In </w:t>
      </w:r>
      <w:r w:rsidR="005D7ED8" w:rsidRPr="009501CA">
        <w:rPr>
          <w:shd w:val="clear" w:color="auto" w:fill="FFFFFF"/>
        </w:rPr>
        <w:t>addition to the</w:t>
      </w:r>
      <w:r w:rsidR="00647D14">
        <w:rPr>
          <w:shd w:val="clear" w:color="auto" w:fill="FFFFFF"/>
        </w:rPr>
        <w:t>ir</w:t>
      </w:r>
      <w:r w:rsidR="005D7ED8" w:rsidRPr="009501CA">
        <w:rPr>
          <w:shd w:val="clear" w:color="auto" w:fill="FFFFFF"/>
        </w:rPr>
        <w:t xml:space="preserve"> suffering </w:t>
      </w:r>
      <w:r w:rsidR="00647D14">
        <w:rPr>
          <w:shd w:val="clear" w:color="auto" w:fill="FFFFFF"/>
        </w:rPr>
        <w:t>and</w:t>
      </w:r>
      <w:r w:rsidR="005D7ED8" w:rsidRPr="009501CA">
        <w:rPr>
          <w:shd w:val="clear" w:color="auto" w:fill="FFFFFF"/>
        </w:rPr>
        <w:t xml:space="preserve"> anguish </w:t>
      </w:r>
      <w:r w:rsidR="00647D14">
        <w:rPr>
          <w:shd w:val="clear" w:color="auto" w:fill="FFFFFF"/>
        </w:rPr>
        <w:t>in</w:t>
      </w:r>
      <w:r w:rsidR="005D7ED8" w:rsidRPr="009501CA">
        <w:rPr>
          <w:shd w:val="clear" w:color="auto" w:fill="FFFFFF"/>
        </w:rPr>
        <w:t xml:space="preserve"> not knowing the fate and whereabouts of their loved ones</w:t>
      </w:r>
      <w:r w:rsidR="00647D14">
        <w:rPr>
          <w:shd w:val="clear" w:color="auto" w:fill="FFFFFF"/>
        </w:rPr>
        <w:t xml:space="preserve">, they continue to struggle with the desperate economic and social </w:t>
      </w:r>
      <w:r w:rsidR="005D7ED8" w:rsidRPr="009501CA">
        <w:rPr>
          <w:shd w:val="clear" w:color="auto" w:fill="FFFFFF"/>
        </w:rPr>
        <w:t xml:space="preserve">consequences </w:t>
      </w:r>
      <w:r w:rsidR="00647D14">
        <w:rPr>
          <w:shd w:val="clear" w:color="auto" w:fill="FFFFFF"/>
        </w:rPr>
        <w:t>this has had</w:t>
      </w:r>
      <w:r w:rsidR="005D7ED8" w:rsidRPr="009501CA">
        <w:rPr>
          <w:shd w:val="clear" w:color="auto" w:fill="FFFFFF"/>
        </w:rPr>
        <w:t xml:space="preserve"> on their lives</w:t>
      </w:r>
      <w:r w:rsidR="00653F62">
        <w:rPr>
          <w:shd w:val="clear" w:color="auto" w:fill="FFFFFF"/>
        </w:rPr>
        <w:t>.</w:t>
      </w:r>
      <w:r w:rsidR="005D7ED8" w:rsidRPr="009501CA">
        <w:rPr>
          <w:shd w:val="clear" w:color="auto" w:fill="FFFFFF"/>
        </w:rPr>
        <w:t xml:space="preserve"> COVID-19 has increased economic hardships for them and </w:t>
      </w:r>
      <w:r w:rsidR="00647D14">
        <w:rPr>
          <w:shd w:val="clear" w:color="auto" w:fill="FFFFFF"/>
        </w:rPr>
        <w:t>increased their isolation</w:t>
      </w:r>
      <w:r w:rsidR="005D7ED8" w:rsidRPr="009501CA">
        <w:rPr>
          <w:shd w:val="clear" w:color="auto" w:fill="FFFFFF"/>
        </w:rPr>
        <w:t xml:space="preserve">. </w:t>
      </w:r>
      <w:r w:rsidR="00647D14">
        <w:rPr>
          <w:shd w:val="clear" w:color="auto" w:fill="FFFFFF"/>
        </w:rPr>
        <w:t xml:space="preserve"> In </w:t>
      </w:r>
      <w:r w:rsidR="00647D14" w:rsidRPr="00DD2871">
        <w:rPr>
          <w:shd w:val="clear" w:color="auto" w:fill="FFFFFF"/>
        </w:rPr>
        <w:t xml:space="preserve">this context, the </w:t>
      </w:r>
      <w:r w:rsidR="005D7ED8" w:rsidRPr="00DD2871">
        <w:t>harassment</w:t>
      </w:r>
      <w:r w:rsidR="00647D14" w:rsidRPr="00DD2871">
        <w:t xml:space="preserve"> and</w:t>
      </w:r>
      <w:r w:rsidR="005D7ED8" w:rsidRPr="00DD2871">
        <w:t xml:space="preserve"> surveillance by security agencies</w:t>
      </w:r>
      <w:r w:rsidR="00647D14" w:rsidRPr="00DD2871">
        <w:t>, and obstruction of their activities, only compounds the injustice they face.</w:t>
      </w:r>
      <w:r w:rsidR="00D374AE" w:rsidRPr="00DD2871">
        <w:t xml:space="preserve"> </w:t>
      </w:r>
      <w:r w:rsidR="005D7ED8" w:rsidRPr="00DD2871">
        <w:t xml:space="preserve">The families of the disappeared </w:t>
      </w:r>
      <w:r w:rsidR="005D7ED8" w:rsidRPr="00DD2871">
        <w:rPr>
          <w:rFonts w:eastAsia="Times New Roman"/>
        </w:rPr>
        <w:t>have a right to truth, justice, reparation and guarantees of non-recurrence and the High Commissioner urges</w:t>
      </w:r>
      <w:r w:rsidR="005D7ED8" w:rsidRPr="00DD2871">
        <w:rPr>
          <w:lang w:val="en-US"/>
        </w:rPr>
        <w:t xml:space="preserve"> the Government to acknowledge their sufferings, urgently determin</w:t>
      </w:r>
      <w:r w:rsidR="00255A26" w:rsidRPr="00DD2871">
        <w:rPr>
          <w:lang w:val="en-US"/>
        </w:rPr>
        <w:t>e</w:t>
      </w:r>
      <w:r w:rsidR="005D7ED8" w:rsidRPr="00DD2871">
        <w:rPr>
          <w:lang w:val="en-US"/>
        </w:rPr>
        <w:t xml:space="preserve"> the fate or whereabouts of victims, provide </w:t>
      </w:r>
      <w:r w:rsidR="00255A26" w:rsidRPr="00DD2871">
        <w:rPr>
          <w:lang w:val="en-US"/>
        </w:rPr>
        <w:t>reparations,</w:t>
      </w:r>
      <w:r w:rsidR="005D7ED8" w:rsidRPr="00DD2871">
        <w:rPr>
          <w:lang w:val="en-US"/>
        </w:rPr>
        <w:t xml:space="preserve"> and bring perpetrators to justice. </w:t>
      </w:r>
    </w:p>
    <w:bookmarkEnd w:id="18"/>
    <w:p w14:paraId="02391350" w14:textId="6970F8F6" w:rsidR="00F82FF9" w:rsidRPr="00032971" w:rsidRDefault="00386967" w:rsidP="00A5148E">
      <w:pPr>
        <w:pStyle w:val="SingleTxtG"/>
        <w:tabs>
          <w:tab w:val="clear" w:pos="1701"/>
          <w:tab w:val="clear" w:pos="2268"/>
        </w:tabs>
        <w:ind w:right="338"/>
      </w:pPr>
      <w:r>
        <w:rPr>
          <w:rStyle w:val="SingleTxtGChar"/>
        </w:rPr>
        <w:t>51</w:t>
      </w:r>
      <w:r w:rsidR="00281F1C" w:rsidRPr="00DD2871">
        <w:rPr>
          <w:rStyle w:val="SingleTxtGChar"/>
        </w:rPr>
        <w:t>.</w:t>
      </w:r>
      <w:r w:rsidR="00281F1C" w:rsidRPr="00DD2871">
        <w:rPr>
          <w:rStyle w:val="SingleTxtGChar"/>
        </w:rPr>
        <w:tab/>
      </w:r>
      <w:r w:rsidR="00F81B00" w:rsidRPr="00DD2871">
        <w:t>In 2021, t</w:t>
      </w:r>
      <w:r w:rsidR="00B672B1" w:rsidRPr="00DD2871">
        <w:t>he</w:t>
      </w:r>
      <w:r w:rsidR="008D3F4E" w:rsidRPr="00DD2871">
        <w:t xml:space="preserve"> Office for Reparations</w:t>
      </w:r>
      <w:r w:rsidR="00B672B1" w:rsidRPr="00DD2871">
        <w:t xml:space="preserve"> </w:t>
      </w:r>
      <w:r w:rsidR="008D3F4E" w:rsidRPr="00DD2871">
        <w:t>(</w:t>
      </w:r>
      <w:proofErr w:type="spellStart"/>
      <w:r w:rsidR="00B672B1" w:rsidRPr="00DD2871">
        <w:t>OfR</w:t>
      </w:r>
      <w:proofErr w:type="spellEnd"/>
      <w:r w:rsidR="008D3F4E" w:rsidRPr="00DD2871">
        <w:t>)</w:t>
      </w:r>
      <w:r w:rsidR="00B672B1" w:rsidRPr="00DD2871">
        <w:t xml:space="preserve"> </w:t>
      </w:r>
      <w:r w:rsidR="00F81B00" w:rsidRPr="00DD2871">
        <w:t>was allocated</w:t>
      </w:r>
      <w:r w:rsidR="00B672B1" w:rsidRPr="00DD2871">
        <w:t xml:space="preserve"> LKR 8</w:t>
      </w:r>
      <w:r w:rsidR="00F81B00" w:rsidRPr="00DD2871">
        <w:t>00</w:t>
      </w:r>
      <w:r w:rsidR="00B672B1" w:rsidRPr="00DD2871">
        <w:t xml:space="preserve"> million (USD 3.</w:t>
      </w:r>
      <w:r w:rsidR="00F81B00" w:rsidRPr="00DD2871">
        <w:t>96</w:t>
      </w:r>
      <w:r w:rsidR="00B672B1" w:rsidRPr="00DD2871">
        <w:t xml:space="preserve"> million) for the payment of processed claims</w:t>
      </w:r>
      <w:r w:rsidR="00F81B00" w:rsidRPr="00DD2871">
        <w:t xml:space="preserve">; out of which LKR 400 million was utilised, according to the </w:t>
      </w:r>
      <w:proofErr w:type="spellStart"/>
      <w:r w:rsidR="00F81B00" w:rsidRPr="00DD2871">
        <w:t>OfR</w:t>
      </w:r>
      <w:proofErr w:type="spellEnd"/>
      <w:r w:rsidR="006533F9">
        <w:t>.</w:t>
      </w:r>
      <w:r w:rsidR="00F81B00" w:rsidRPr="00DD2871">
        <w:rPr>
          <w:rStyle w:val="FootnoteReference"/>
        </w:rPr>
        <w:footnoteReference w:id="59"/>
      </w:r>
      <w:r w:rsidR="0068379A" w:rsidRPr="00DD2871">
        <w:t xml:space="preserve"> Unfortunately, the data available to OHCHR regarding compensation payments is not sufficiently disaggregated and it is unclear what payments correspond to human rights violations.</w:t>
      </w:r>
      <w:r w:rsidR="00B672B1" w:rsidRPr="00DD2871">
        <w:t xml:space="preserve"> The </w:t>
      </w:r>
      <w:r w:rsidR="002C3EDC">
        <w:t xml:space="preserve">Reparations </w:t>
      </w:r>
      <w:r w:rsidR="00B672B1" w:rsidRPr="00DD2871">
        <w:t>Polic</w:t>
      </w:r>
      <w:r w:rsidR="002C3EDC">
        <w:t>y</w:t>
      </w:r>
      <w:r w:rsidR="008D1068">
        <w:t xml:space="preserve"> </w:t>
      </w:r>
      <w:r w:rsidR="00B672B1" w:rsidRPr="00DD2871">
        <w:t>w</w:t>
      </w:r>
      <w:r w:rsidR="002C3EDC">
        <w:t>as</w:t>
      </w:r>
      <w:r w:rsidR="00B672B1" w:rsidRPr="00DD2871">
        <w:t xml:space="preserve"> </w:t>
      </w:r>
      <w:r w:rsidR="009A06A5" w:rsidRPr="00DD2871">
        <w:t>tabled in the Parliament on 9 February</w:t>
      </w:r>
      <w:r w:rsidR="00B672B1" w:rsidRPr="00923C0D">
        <w:t>.</w:t>
      </w:r>
      <w:r w:rsidR="00304F21">
        <w:rPr>
          <w:rStyle w:val="FootnoteReference"/>
        </w:rPr>
        <w:footnoteReference w:id="60"/>
      </w:r>
      <w:r w:rsidR="00304F21">
        <w:t xml:space="preserve"> </w:t>
      </w:r>
      <w:r w:rsidR="00B672B1" w:rsidRPr="00923C0D">
        <w:t xml:space="preserve">The Government informed OHCHR that the </w:t>
      </w:r>
      <w:proofErr w:type="spellStart"/>
      <w:r w:rsidR="00B672B1" w:rsidRPr="00923C0D">
        <w:t>OfR</w:t>
      </w:r>
      <w:proofErr w:type="spellEnd"/>
      <w:r w:rsidR="00B672B1" w:rsidRPr="00923C0D">
        <w:t xml:space="preserve"> is developing pilot programs for livelihood and psycho-social support</w:t>
      </w:r>
      <w:r w:rsidR="00647D14" w:rsidRPr="00923C0D">
        <w:t>.</w:t>
      </w:r>
      <w:r w:rsidR="00B672B1" w:rsidRPr="00923C0D">
        <w:t xml:space="preserve"> </w:t>
      </w:r>
    </w:p>
    <w:p w14:paraId="62A68A6D" w14:textId="08A67872" w:rsidR="00AA78E0" w:rsidRDefault="00281F1C" w:rsidP="00723F39">
      <w:pPr>
        <w:pStyle w:val="SingleTxtG"/>
        <w:tabs>
          <w:tab w:val="clear" w:pos="1701"/>
          <w:tab w:val="clear" w:pos="2268"/>
        </w:tabs>
        <w:ind w:right="338"/>
        <w:rPr>
          <w:bCs/>
        </w:rPr>
      </w:pPr>
      <w:r>
        <w:t>5</w:t>
      </w:r>
      <w:r w:rsidR="00386967">
        <w:t>2</w:t>
      </w:r>
      <w:r>
        <w:t>.</w:t>
      </w:r>
      <w:r>
        <w:tab/>
      </w:r>
      <w:r w:rsidR="00AA78E0" w:rsidRPr="00032971">
        <w:t xml:space="preserve">The Office for National Unity and Reconciliation (ONUR) has </w:t>
      </w:r>
      <w:r w:rsidR="00F82FF9" w:rsidRPr="00032971">
        <w:t>continued to conduct</w:t>
      </w:r>
      <w:r w:rsidR="00AA78E0" w:rsidRPr="00032971">
        <w:t xml:space="preserve"> peace and reconciliation workshops and </w:t>
      </w:r>
      <w:r w:rsidR="00AA78E0" w:rsidRPr="00BA0217">
        <w:t>activities throughout the country.</w:t>
      </w:r>
      <w:r w:rsidR="007662BB" w:rsidRPr="00BA0217">
        <w:rPr>
          <w:rStyle w:val="FootnoteReference"/>
          <w:sz w:val="20"/>
        </w:rPr>
        <w:footnoteReference w:id="61"/>
      </w:r>
      <w:r w:rsidR="004507FE" w:rsidRPr="00BA0217">
        <w:t xml:space="preserve"> </w:t>
      </w:r>
      <w:r w:rsidR="00E74638" w:rsidRPr="00BA0217">
        <w:t>The ONUR is reported to be developing a “</w:t>
      </w:r>
      <w:r w:rsidR="00AF48D7" w:rsidRPr="00BA0217">
        <w:t xml:space="preserve">Strategic </w:t>
      </w:r>
      <w:r w:rsidR="00386967">
        <w:t xml:space="preserve">Roadmap for National Healing, Peace-building and Reconciliation </w:t>
      </w:r>
      <w:r w:rsidR="00E74638" w:rsidRPr="00BA0217">
        <w:t>” through a consultation process with civil society and political parties.</w:t>
      </w:r>
      <w:r w:rsidR="0025265A" w:rsidRPr="00BA0217">
        <w:rPr>
          <w:rStyle w:val="FootnoteReference"/>
        </w:rPr>
        <w:footnoteReference w:id="62"/>
      </w:r>
      <w:r w:rsidR="00E74638" w:rsidRPr="00BA0217">
        <w:t xml:space="preserve"> </w:t>
      </w:r>
      <w:r w:rsidR="00AA78E0" w:rsidRPr="00BA0217">
        <w:t xml:space="preserve">The High Commissioner </w:t>
      </w:r>
      <w:r w:rsidR="00F82FF9" w:rsidRPr="00BA0217">
        <w:t xml:space="preserve">stresses </w:t>
      </w:r>
      <w:r w:rsidR="00AA78E0" w:rsidRPr="00BA0217">
        <w:t>that</w:t>
      </w:r>
      <w:r w:rsidR="00CA3E50" w:rsidRPr="00BA0217">
        <w:t xml:space="preserve"> reconciliation will only be achieved</w:t>
      </w:r>
      <w:r w:rsidR="00AA78E0" w:rsidRPr="00BA0217">
        <w:t xml:space="preserve"> when </w:t>
      </w:r>
      <w:r w:rsidR="00E74638" w:rsidRPr="00BA0217">
        <w:t>supported by comprehensive transitional justice measures and recalls the report of the very meaningful national</w:t>
      </w:r>
      <w:r w:rsidR="00E74638" w:rsidRPr="00032971">
        <w:t xml:space="preserve"> consultations already held by the Consultation Task Force on Reconciliation Measures in 2017</w:t>
      </w:r>
      <w:r w:rsidR="00BC42DB">
        <w:t xml:space="preserve"> </w:t>
      </w:r>
      <w:r w:rsidR="00BC42DB">
        <w:rPr>
          <w:bCs/>
        </w:rPr>
        <w:t>that remains a</w:t>
      </w:r>
      <w:r w:rsidR="00EF1EA8">
        <w:rPr>
          <w:bCs/>
        </w:rPr>
        <w:t>n important guidance as to</w:t>
      </w:r>
      <w:r w:rsidR="00BC42DB">
        <w:rPr>
          <w:bCs/>
        </w:rPr>
        <w:t xml:space="preserve"> </w:t>
      </w:r>
      <w:r w:rsidR="00EF1EA8">
        <w:rPr>
          <w:bCs/>
        </w:rPr>
        <w:t xml:space="preserve"> the</w:t>
      </w:r>
      <w:r w:rsidR="00BC42DB">
        <w:rPr>
          <w:bCs/>
        </w:rPr>
        <w:t xml:space="preserve"> expectations of victims and other stakeholders</w:t>
      </w:r>
      <w:r w:rsidR="00BC42DB" w:rsidRPr="00032971">
        <w:rPr>
          <w:bCs/>
        </w:rPr>
        <w:t>.</w:t>
      </w:r>
      <w:r w:rsidR="002B0482">
        <w:rPr>
          <w:rStyle w:val="FootnoteReference"/>
          <w:bCs/>
        </w:rPr>
        <w:footnoteReference w:id="63"/>
      </w:r>
    </w:p>
    <w:p w14:paraId="2A195171" w14:textId="7A6D4F8D" w:rsidR="00B222E6" w:rsidRPr="00032971" w:rsidRDefault="00B222E6" w:rsidP="00EA33A2">
      <w:pPr>
        <w:pStyle w:val="H1G"/>
        <w:ind w:right="338"/>
      </w:pPr>
      <w:r>
        <w:tab/>
      </w:r>
      <w:r w:rsidR="00AD45C5">
        <w:t>B.</w:t>
      </w:r>
      <w:r w:rsidR="00AD45C5">
        <w:tab/>
      </w:r>
      <w:r w:rsidR="003C0903">
        <w:t>Impunity in e</w:t>
      </w:r>
      <w:r>
        <w:t>mblematic</w:t>
      </w:r>
      <w:r w:rsidRPr="00032971">
        <w:t xml:space="preserve"> </w:t>
      </w:r>
      <w:r w:rsidR="004962F7">
        <w:t>cases</w:t>
      </w:r>
    </w:p>
    <w:p w14:paraId="28561E5D" w14:textId="1F09DD2E" w:rsidR="00B222E6" w:rsidRPr="00DD049F" w:rsidRDefault="00B222E6" w:rsidP="00CC0ABE">
      <w:pPr>
        <w:pStyle w:val="SingleTxtG"/>
        <w:tabs>
          <w:tab w:val="clear" w:pos="1701"/>
          <w:tab w:val="clear" w:pos="2268"/>
        </w:tabs>
        <w:ind w:right="338"/>
      </w:pPr>
      <w:bookmarkStart w:id="19" w:name="_Hlk531766504"/>
      <w:r>
        <w:rPr>
          <w:rStyle w:val="lblnewsfulltext"/>
        </w:rPr>
        <w:t>5</w:t>
      </w:r>
      <w:r w:rsidR="00386967">
        <w:rPr>
          <w:rStyle w:val="lblnewsfulltext"/>
        </w:rPr>
        <w:t>3</w:t>
      </w:r>
      <w:r>
        <w:rPr>
          <w:rStyle w:val="lblnewsfulltext"/>
        </w:rPr>
        <w:t>.</w:t>
      </w:r>
      <w:r>
        <w:rPr>
          <w:rStyle w:val="lblnewsfulltext"/>
        </w:rPr>
        <w:tab/>
      </w:r>
      <w:r w:rsidRPr="00032971">
        <w:rPr>
          <w:rStyle w:val="lblnewsfulltext"/>
        </w:rPr>
        <w:t xml:space="preserve">The High Commissioner is seriously concerned by the continued lack of progress </w:t>
      </w:r>
      <w:r>
        <w:rPr>
          <w:rStyle w:val="lblnewsfulltext"/>
        </w:rPr>
        <w:t>and</w:t>
      </w:r>
      <w:r w:rsidRPr="00032971">
        <w:rPr>
          <w:rStyle w:val="lblnewsfulltext"/>
        </w:rPr>
        <w:t xml:space="preserve"> </w:t>
      </w:r>
      <w:r>
        <w:rPr>
          <w:rStyle w:val="lblnewsfulltext"/>
        </w:rPr>
        <w:t xml:space="preserve">even </w:t>
      </w:r>
      <w:r w:rsidRPr="00032971">
        <w:rPr>
          <w:rStyle w:val="lblnewsfulltext"/>
        </w:rPr>
        <w:t>steps backward in several emblematic human rights cases before the courts. In August</w:t>
      </w:r>
      <w:r w:rsidR="004F2F9E">
        <w:rPr>
          <w:rStyle w:val="lblnewsfulltext"/>
        </w:rPr>
        <w:t xml:space="preserve"> 2021</w:t>
      </w:r>
      <w:r w:rsidRPr="00032971">
        <w:rPr>
          <w:rStyle w:val="lblnewsfulltext"/>
        </w:rPr>
        <w:t>, the Attorney General</w:t>
      </w:r>
      <w:r w:rsidR="00F44245">
        <w:rPr>
          <w:rStyle w:val="lblnewsfulltext"/>
        </w:rPr>
        <w:t xml:space="preserve"> </w:t>
      </w:r>
      <w:r w:rsidRPr="00032971">
        <w:rPr>
          <w:rStyle w:val="lblnewsfulltext"/>
        </w:rPr>
        <w:t xml:space="preserve">Department decided not to proceed with charges against former Navy commander </w:t>
      </w:r>
      <w:proofErr w:type="spellStart"/>
      <w:r w:rsidRPr="00032971">
        <w:rPr>
          <w:rStyle w:val="lblnewsfulltext"/>
        </w:rPr>
        <w:t>Wasantha</w:t>
      </w:r>
      <w:proofErr w:type="spellEnd"/>
      <w:r w:rsidRPr="00032971">
        <w:rPr>
          <w:rStyle w:val="lblnewsfulltext"/>
        </w:rPr>
        <w:t xml:space="preserve"> </w:t>
      </w:r>
      <w:proofErr w:type="spellStart"/>
      <w:r w:rsidRPr="00032971">
        <w:rPr>
          <w:rStyle w:val="lblnewsfulltext"/>
        </w:rPr>
        <w:t>Karannagoda</w:t>
      </w:r>
      <w:proofErr w:type="spellEnd"/>
      <w:r w:rsidRPr="00032971">
        <w:rPr>
          <w:rStyle w:val="lblnewsfulltext"/>
        </w:rPr>
        <w:t xml:space="preserve"> in the case of the enforced disappearances of 11 </w:t>
      </w:r>
      <w:r>
        <w:rPr>
          <w:rStyle w:val="lblnewsfulltext"/>
        </w:rPr>
        <w:t xml:space="preserve">individuals </w:t>
      </w:r>
      <w:r w:rsidRPr="00032971">
        <w:rPr>
          <w:rStyle w:val="lblnewsfulltext"/>
        </w:rPr>
        <w:t xml:space="preserve">in 2008 and 2009. </w:t>
      </w:r>
      <w:proofErr w:type="spellStart"/>
      <w:r w:rsidR="002C29EB" w:rsidRPr="00032971">
        <w:rPr>
          <w:rStyle w:val="lblnewsfulltext"/>
        </w:rPr>
        <w:t>Karannagoda</w:t>
      </w:r>
      <w:proofErr w:type="spellEnd"/>
      <w:r w:rsidR="002C29EB" w:rsidRPr="00032971">
        <w:rPr>
          <w:rStyle w:val="lblnewsfulltext"/>
        </w:rPr>
        <w:t xml:space="preserve"> had filed a writ with the Court of Appeal and secured a stay order as interim relief on the basis that he was wrongly implicated.</w:t>
      </w:r>
      <w:r w:rsidR="00291A4F">
        <w:rPr>
          <w:rStyle w:val="FootnoteReference"/>
        </w:rPr>
        <w:footnoteReference w:id="64"/>
      </w:r>
      <w:r w:rsidR="002C29EB" w:rsidRPr="00032971">
        <w:rPr>
          <w:rStyle w:val="lblnewsfulltext"/>
        </w:rPr>
        <w:t xml:space="preserve"> </w:t>
      </w:r>
      <w:r w:rsidRPr="00032971">
        <w:rPr>
          <w:rStyle w:val="lblnewsfulltext"/>
        </w:rPr>
        <w:t xml:space="preserve">Victims’ families </w:t>
      </w:r>
      <w:r w:rsidRPr="00032971">
        <w:t xml:space="preserve">challenged the decision at </w:t>
      </w:r>
      <w:r w:rsidR="00AF48D7">
        <w:t xml:space="preserve">the </w:t>
      </w:r>
      <w:r w:rsidRPr="00032971">
        <w:t xml:space="preserve"> Court of Appeal</w:t>
      </w:r>
      <w:r w:rsidR="00AF48D7">
        <w:t xml:space="preserve"> with hearings expected in April 2022</w:t>
      </w:r>
      <w:r w:rsidRPr="00032971">
        <w:t>.</w:t>
      </w:r>
      <w:r>
        <w:rPr>
          <w:rStyle w:val="FootnoteReference"/>
        </w:rPr>
        <w:footnoteReference w:id="65"/>
      </w:r>
      <w:r w:rsidRPr="00032971">
        <w:t xml:space="preserve"> While the hearings on the case are set to continue against 14 other navy personnel,</w:t>
      </w:r>
      <w:r w:rsidRPr="00032971">
        <w:rPr>
          <w:rStyle w:val="FootnoteReference"/>
          <w:sz w:val="20"/>
        </w:rPr>
        <w:footnoteReference w:id="66"/>
      </w:r>
      <w:r w:rsidRPr="00032971">
        <w:t xml:space="preserve"> </w:t>
      </w:r>
      <w:proofErr w:type="spellStart"/>
      <w:r w:rsidRPr="00032971">
        <w:rPr>
          <w:rStyle w:val="lblnewsfulltext"/>
        </w:rPr>
        <w:t>Karannagoda</w:t>
      </w:r>
      <w:proofErr w:type="spellEnd"/>
      <w:r w:rsidRPr="00032971">
        <w:t xml:space="preserve"> was meanwhile appointed as the Governor of the North Western Province in December 2021. In January 2021, the Attorney General informed the </w:t>
      </w:r>
      <w:proofErr w:type="spellStart"/>
      <w:r w:rsidRPr="00032971">
        <w:t>Batticaloa</w:t>
      </w:r>
      <w:proofErr w:type="spellEnd"/>
      <w:r w:rsidRPr="00032971">
        <w:t xml:space="preserve"> High Court that it would not proceed with the prosecution of five accused </w:t>
      </w:r>
      <w:r>
        <w:t xml:space="preserve">in another emblematic case, </w:t>
      </w:r>
      <w:r w:rsidRPr="00032971">
        <w:t xml:space="preserve">the murder of MP Joseph </w:t>
      </w:r>
      <w:proofErr w:type="spellStart"/>
      <w:r w:rsidRPr="00032971">
        <w:t>Pararajasingham</w:t>
      </w:r>
      <w:proofErr w:type="spellEnd"/>
      <w:r w:rsidRPr="00032971">
        <w:t xml:space="preserve"> at Christmas mass in December 2005.</w:t>
      </w:r>
      <w:r w:rsidR="00D5560E" w:rsidRPr="00D5560E">
        <w:rPr>
          <w:rFonts w:ascii="Arial" w:hAnsi="Arial" w:cs="Arial"/>
          <w:color w:val="4D5156"/>
          <w:sz w:val="21"/>
          <w:szCs w:val="21"/>
          <w:shd w:val="clear" w:color="auto" w:fill="FFFFFF"/>
        </w:rPr>
        <w:t xml:space="preserve"> </w:t>
      </w:r>
    </w:p>
    <w:p w14:paraId="0AD7A61D" w14:textId="63B525F5" w:rsidR="00B222E6" w:rsidRPr="00121A76" w:rsidRDefault="00B222E6" w:rsidP="00CC0ABE">
      <w:pPr>
        <w:pStyle w:val="SingleTxtG"/>
        <w:tabs>
          <w:tab w:val="clear" w:pos="1701"/>
          <w:tab w:val="clear" w:pos="2268"/>
        </w:tabs>
        <w:ind w:right="338"/>
      </w:pPr>
      <w:r>
        <w:t>5</w:t>
      </w:r>
      <w:r w:rsidR="00386967">
        <w:t>4</w:t>
      </w:r>
      <w:r>
        <w:t>.</w:t>
      </w:r>
      <w:r>
        <w:tab/>
      </w:r>
      <w:r w:rsidRPr="00140E01">
        <w:t>On 12 January 2022, the Colombo High Court</w:t>
      </w:r>
      <w:r w:rsidR="00EC60F5">
        <w:t xml:space="preserve"> </w:t>
      </w:r>
      <w:r w:rsidRPr="00140E01">
        <w:t xml:space="preserve">delivered judgement </w:t>
      </w:r>
      <w:r>
        <w:t xml:space="preserve">in the case of </w:t>
      </w:r>
      <w:r w:rsidRPr="00140E01">
        <w:t xml:space="preserve">three </w:t>
      </w:r>
      <w:r>
        <w:t xml:space="preserve">officers </w:t>
      </w:r>
      <w:r w:rsidRPr="008F4E18">
        <w:t xml:space="preserve">charged on 33 counts including murder and conspiracy to commit murder </w:t>
      </w:r>
      <w:r w:rsidRPr="008F4E18">
        <w:lastRenderedPageBreak/>
        <w:t xml:space="preserve">for the incidents that resulted in the </w:t>
      </w:r>
      <w:r w:rsidRPr="00121A76">
        <w:t xml:space="preserve">death of twenty seven inmates in </w:t>
      </w:r>
      <w:hyperlink r:id="rId8" w:history="1">
        <w:proofErr w:type="spellStart"/>
        <w:r w:rsidRPr="00121A76">
          <w:t>Welikada</w:t>
        </w:r>
        <w:proofErr w:type="spellEnd"/>
        <w:r w:rsidRPr="00121A76">
          <w:t xml:space="preserve"> Prison Riot</w:t>
        </w:r>
      </w:hyperlink>
      <w:r w:rsidR="00195CFA">
        <w:t xml:space="preserve"> on 9 November 2012.</w:t>
      </w:r>
      <w:r w:rsidRPr="00121A76">
        <w:rPr>
          <w:rStyle w:val="FootnoteReference"/>
        </w:rPr>
        <w:footnoteReference w:id="67"/>
      </w:r>
      <w:r w:rsidR="006533F9">
        <w:t xml:space="preserve"> </w:t>
      </w:r>
      <w:r w:rsidRPr="00121A76">
        <w:t xml:space="preserve">The first accused, Inspector of Police </w:t>
      </w:r>
      <w:proofErr w:type="spellStart"/>
      <w:r w:rsidRPr="00121A76">
        <w:t>Neomal</w:t>
      </w:r>
      <w:proofErr w:type="spellEnd"/>
      <w:r w:rsidRPr="00121A76">
        <w:t xml:space="preserve"> </w:t>
      </w:r>
      <w:proofErr w:type="spellStart"/>
      <w:r w:rsidRPr="00121A76">
        <w:t>Rangajeewa</w:t>
      </w:r>
      <w:proofErr w:type="spellEnd"/>
      <w:r w:rsidRPr="00121A76">
        <w:t xml:space="preserve"> of the Narcotics Bureau was acquitted of all charges. The second accused, former Superintendent of </w:t>
      </w:r>
      <w:proofErr w:type="spellStart"/>
      <w:r w:rsidRPr="00121A76">
        <w:t>Welikada</w:t>
      </w:r>
      <w:proofErr w:type="spellEnd"/>
      <w:r w:rsidRPr="00121A76">
        <w:t xml:space="preserve"> Magazine Prison, </w:t>
      </w:r>
      <w:proofErr w:type="spellStart"/>
      <w:r w:rsidRPr="00121A76">
        <w:t>Lamahewage</w:t>
      </w:r>
      <w:proofErr w:type="spellEnd"/>
      <w:r w:rsidRPr="00121A76">
        <w:t xml:space="preserve"> Emil </w:t>
      </w:r>
      <w:proofErr w:type="spellStart"/>
      <w:r w:rsidRPr="00121A76">
        <w:t>Ranjan</w:t>
      </w:r>
      <w:proofErr w:type="spellEnd"/>
      <w:r w:rsidRPr="00121A76">
        <w:t xml:space="preserve">, was found guilty and given a death sentence. The third accused, </w:t>
      </w:r>
      <w:proofErr w:type="spellStart"/>
      <w:r w:rsidRPr="00121A76">
        <w:t>Indika</w:t>
      </w:r>
      <w:proofErr w:type="spellEnd"/>
      <w:r w:rsidRPr="00121A76">
        <w:t xml:space="preserve"> </w:t>
      </w:r>
      <w:proofErr w:type="spellStart"/>
      <w:r w:rsidRPr="00121A76">
        <w:t>Sampath</w:t>
      </w:r>
      <w:proofErr w:type="spellEnd"/>
      <w:r w:rsidRPr="00121A76">
        <w:t>, an officer attached to the Prisons intelligence unit, has absconded and will be tried in absentia.</w:t>
      </w:r>
      <w:r w:rsidR="004962F7" w:rsidRPr="00121A76">
        <w:t xml:space="preserve"> No action appears to have been taken against other security forces involved in the incident. </w:t>
      </w:r>
    </w:p>
    <w:p w14:paraId="0E0C4F39" w14:textId="0531CF4F" w:rsidR="00EC60F5" w:rsidRDefault="00B222E6" w:rsidP="00CC0ABE">
      <w:pPr>
        <w:pStyle w:val="SingleTxtG"/>
        <w:tabs>
          <w:tab w:val="clear" w:pos="1701"/>
          <w:tab w:val="clear" w:pos="2268"/>
        </w:tabs>
        <w:ind w:right="338"/>
      </w:pPr>
      <w:r w:rsidRPr="00121A76">
        <w:t>5</w:t>
      </w:r>
      <w:r w:rsidR="00386967">
        <w:t>5</w:t>
      </w:r>
      <w:r w:rsidRPr="00121A76">
        <w:t>.</w:t>
      </w:r>
      <w:r w:rsidR="00B66417" w:rsidRPr="00121A76">
        <w:tab/>
      </w:r>
      <w:r w:rsidR="00D374AE" w:rsidRPr="00121A76">
        <w:rPr>
          <w:rStyle w:val="lblnewsfulltext"/>
        </w:rPr>
        <w:t xml:space="preserve">The victims of the 2019 Easter Sunday bombings and religious leaders continue to call urgently for truth, justice, reparation for victims and a full account of the circumstances that permitted those attacks, in particular the role of the security establishment. </w:t>
      </w:r>
      <w:r w:rsidR="00923C0D" w:rsidRPr="00121A76">
        <w:rPr>
          <w:rStyle w:val="lblnewsfulltext"/>
        </w:rPr>
        <w:t>The full results of the Presidential Co</w:t>
      </w:r>
      <w:r w:rsidR="00923C0D">
        <w:rPr>
          <w:rStyle w:val="lblnewsfulltext"/>
        </w:rPr>
        <w:t>mmission of Inquiry into the attacks have not been made published, but it is understood that it</w:t>
      </w:r>
      <w:r w:rsidR="00923C0D" w:rsidRPr="00FC586B">
        <w:rPr>
          <w:rStyle w:val="lblnewsfulltext"/>
        </w:rPr>
        <w:t xml:space="preserve"> has recommended criminal charges against key of</w:t>
      </w:r>
      <w:r w:rsidR="00923C0D">
        <w:rPr>
          <w:rStyle w:val="lblnewsfulltext"/>
        </w:rPr>
        <w:t xml:space="preserve">ficials. </w:t>
      </w:r>
      <w:r w:rsidR="00923C0D" w:rsidRPr="00032971">
        <w:rPr>
          <w:rStyle w:val="lblnewsfulltext"/>
        </w:rPr>
        <w:t xml:space="preserve"> </w:t>
      </w:r>
      <w:r w:rsidR="00D374AE" w:rsidRPr="00032971">
        <w:t xml:space="preserve">On 4 October 2021, charges were served on 25 suspects in the 2019 Easter Sunday bombings </w:t>
      </w:r>
      <w:r w:rsidR="00A66E5C">
        <w:t xml:space="preserve">and the High Court is pending. </w:t>
      </w:r>
      <w:r w:rsidR="00D374AE" w:rsidRPr="00032971">
        <w:t xml:space="preserve">Charges have been filed in the High Courts of Colombo, </w:t>
      </w:r>
      <w:proofErr w:type="spellStart"/>
      <w:r w:rsidR="00D374AE" w:rsidRPr="00032971">
        <w:t>Kegalle</w:t>
      </w:r>
      <w:proofErr w:type="spellEnd"/>
      <w:r w:rsidR="00D374AE" w:rsidRPr="00032971">
        <w:t xml:space="preserve"> and </w:t>
      </w:r>
      <w:proofErr w:type="spellStart"/>
      <w:r w:rsidR="00D374AE" w:rsidRPr="00032971">
        <w:t>Puttalam</w:t>
      </w:r>
      <w:proofErr w:type="spellEnd"/>
      <w:r w:rsidR="00D374AE" w:rsidRPr="00032971">
        <w:t xml:space="preserve"> in eight other cases. </w:t>
      </w:r>
      <w:r w:rsidR="00EC60F5">
        <w:t xml:space="preserve">The church community was recently disturbed by a serious incident on 11 January 2022 at St Anthony’s Church, </w:t>
      </w:r>
      <w:proofErr w:type="spellStart"/>
      <w:r w:rsidR="00EC60F5">
        <w:t>Borella</w:t>
      </w:r>
      <w:proofErr w:type="spellEnd"/>
      <w:r w:rsidR="00EC60F5">
        <w:t xml:space="preserve"> </w:t>
      </w:r>
      <w:r w:rsidR="00EC60F5" w:rsidRPr="00D374AE">
        <w:t>when an unexploded hand grenade was discovered in the church, days before an inter-faith event was due to be held as part of the campaign for justice. The police made initial arrests of some</w:t>
      </w:r>
      <w:r w:rsidR="00EC60F5">
        <w:t xml:space="preserve"> </w:t>
      </w:r>
      <w:r w:rsidR="00EC60F5" w:rsidRPr="00D374AE">
        <w:t>people present at the church, but the investigation to date has been criticis</w:t>
      </w:r>
      <w:r w:rsidR="00EC60F5">
        <w:t>ed as ineffectual and incomprehensive.</w:t>
      </w:r>
    </w:p>
    <w:p w14:paraId="09480963" w14:textId="2E968848" w:rsidR="00B222E6" w:rsidRPr="00032971" w:rsidRDefault="00B222E6" w:rsidP="00CC0ABE">
      <w:pPr>
        <w:pStyle w:val="SingleTxtG"/>
        <w:tabs>
          <w:tab w:val="clear" w:pos="1701"/>
          <w:tab w:val="clear" w:pos="2268"/>
        </w:tabs>
        <w:ind w:right="338"/>
      </w:pPr>
      <w:r>
        <w:t>5</w:t>
      </w:r>
      <w:r w:rsidR="00386967">
        <w:t>6</w:t>
      </w:r>
      <w:r w:rsidR="00AD45C5">
        <w:t>.</w:t>
      </w:r>
      <w:r w:rsidR="00B66417">
        <w:tab/>
      </w:r>
      <w:r w:rsidRPr="00032971">
        <w:t xml:space="preserve">While hearings continue to </w:t>
      </w:r>
      <w:r w:rsidRPr="005E6781">
        <w:t>be scheduled in several other emblematic cases</w:t>
      </w:r>
      <w:r w:rsidR="00B66417" w:rsidRPr="005E6781">
        <w:t xml:space="preserve"> (</w:t>
      </w:r>
      <w:r w:rsidR="00EC60F5" w:rsidRPr="005E6781">
        <w:t>highlighted</w:t>
      </w:r>
      <w:r w:rsidR="00B66417" w:rsidRPr="005E6781">
        <w:t xml:space="preserve"> in previous reports)</w:t>
      </w:r>
      <w:r w:rsidRPr="005E6781">
        <w:t>, the High Commissioner is concerned that these cases continue to linger before the courts now a decade or more after the original indictments.</w:t>
      </w:r>
      <w:r w:rsidR="003C0903" w:rsidRPr="005E6781">
        <w:rPr>
          <w:rStyle w:val="FootnoteReference"/>
        </w:rPr>
        <w:footnoteReference w:id="68"/>
      </w:r>
      <w:r w:rsidR="00AE2197" w:rsidRPr="005E6781">
        <w:t xml:space="preserve"> </w:t>
      </w:r>
      <w:r w:rsidRPr="005E6781">
        <w:t>The Attorney General’s recent use of his discretion to withdraw these long-standing cases raises serious concerns about the independence of his office and the Government’s commitment to pursue accountability.</w:t>
      </w:r>
      <w:r w:rsidR="0099570D" w:rsidRPr="005E6781">
        <w:t xml:space="preserve"> </w:t>
      </w:r>
      <w:r w:rsidRPr="005E6781">
        <w:t>The High Commissioner</w:t>
      </w:r>
      <w:r w:rsidR="002E343A" w:rsidRPr="005E6781">
        <w:t xml:space="preserve"> </w:t>
      </w:r>
      <w:r w:rsidR="00C15C75" w:rsidRPr="005E6781">
        <w:t>is deeply disturbed by</w:t>
      </w:r>
      <w:r w:rsidRPr="005E6781">
        <w:t xml:space="preserve"> the general lack of progress over the past years in</w:t>
      </w:r>
      <w:r>
        <w:t xml:space="preserve"> </w:t>
      </w:r>
      <w:r w:rsidR="00C22F0C">
        <w:t>most</w:t>
      </w:r>
      <w:r>
        <w:t xml:space="preserve"> cases, and the active reversal of others, </w:t>
      </w:r>
      <w:r w:rsidR="002E343A">
        <w:t xml:space="preserve">which </w:t>
      </w:r>
      <w:r>
        <w:t>continue to indicate</w:t>
      </w:r>
      <w:r w:rsidRPr="00032971">
        <w:t xml:space="preserve"> the inability and unwillingness of the Government to prosecute and punish perpetrators of crimes when State agents are the alleged </w:t>
      </w:r>
      <w:r w:rsidR="00923C0D" w:rsidRPr="00032971">
        <w:t>perpetrators</w:t>
      </w:r>
      <w:r w:rsidR="00B66417">
        <w:t>.</w:t>
      </w:r>
      <w:r w:rsidR="00923C0D">
        <w:t xml:space="preserve"> </w:t>
      </w:r>
      <w:bookmarkEnd w:id="19"/>
      <w:r w:rsidR="00923C0D">
        <w:t xml:space="preserve"> </w:t>
      </w:r>
    </w:p>
    <w:p w14:paraId="2B9CDFFA" w14:textId="3F3C8920" w:rsidR="00CE2260" w:rsidRPr="00032971" w:rsidRDefault="00EE4220" w:rsidP="00EA33A2">
      <w:pPr>
        <w:pStyle w:val="HChG"/>
        <w:ind w:right="338"/>
      </w:pPr>
      <w:r>
        <w:tab/>
      </w:r>
      <w:r w:rsidR="00AD45C5">
        <w:t>I</w:t>
      </w:r>
      <w:r>
        <w:t>V.</w:t>
      </w:r>
      <w:r>
        <w:tab/>
      </w:r>
      <w:r w:rsidR="00764395">
        <w:t xml:space="preserve">Implementation of </w:t>
      </w:r>
      <w:r w:rsidR="00923C0D">
        <w:t xml:space="preserve">other aspects of </w:t>
      </w:r>
      <w:r w:rsidR="004962F7">
        <w:t>Resolution 46/1</w:t>
      </w:r>
    </w:p>
    <w:p w14:paraId="3C493876" w14:textId="77777777" w:rsidR="00E32464" w:rsidRPr="00E97707" w:rsidRDefault="00281F1C" w:rsidP="00CC0ABE">
      <w:pPr>
        <w:pStyle w:val="SingleTxtG"/>
        <w:tabs>
          <w:tab w:val="clear" w:pos="1701"/>
          <w:tab w:val="clear" w:pos="2268"/>
        </w:tabs>
        <w:ind w:right="338"/>
        <w:rPr>
          <w:rFonts w:eastAsiaTheme="minorEastAsia"/>
        </w:rPr>
      </w:pPr>
      <w:r>
        <w:t>5</w:t>
      </w:r>
      <w:r w:rsidR="00386967">
        <w:t>7</w:t>
      </w:r>
      <w:r>
        <w:t>.</w:t>
      </w:r>
      <w:r>
        <w:tab/>
      </w:r>
      <w:r w:rsidR="00A7398E">
        <w:t xml:space="preserve">In the absence of progress towards accountability by domestic mechanisms, </w:t>
      </w:r>
      <w:r w:rsidR="00CE2260" w:rsidRPr="00E32464">
        <w:t>Resolution 46/1</w:t>
      </w:r>
      <w:r w:rsidR="00D56A9E" w:rsidRPr="00E32464">
        <w:t xml:space="preserve"> decided “to strengthen the capacity of  OHCHR to collect, consolidate, analyse and preserve information and evidence and to develop possible strategies for future accountability processes, to advocate for victims and survivors, and to support relevant judicial and other proceedings, including in Member States, with competent jurisdiction”.</w:t>
      </w:r>
      <w:r w:rsidR="009B2875">
        <w:rPr>
          <w:rStyle w:val="FootnoteReference"/>
        </w:rPr>
        <w:footnoteReference w:id="69"/>
      </w:r>
      <w:r w:rsidR="006F5BBA">
        <w:t xml:space="preserve"> </w:t>
      </w:r>
      <w:r w:rsidR="00D56A9E" w:rsidRPr="00E32464">
        <w:t xml:space="preserve">This </w:t>
      </w:r>
      <w:r w:rsidR="00CE2260" w:rsidRPr="00E32464">
        <w:t xml:space="preserve">accountability mandate </w:t>
      </w:r>
      <w:r w:rsidR="00D56A9E" w:rsidRPr="00E32464">
        <w:rPr>
          <w:rFonts w:eastAsiaTheme="minorEastAsia"/>
          <w:lang w:eastAsia="ja-JP"/>
        </w:rPr>
        <w:t>presents an important</w:t>
      </w:r>
      <w:r w:rsidR="00CE2260" w:rsidRPr="00E32464">
        <w:rPr>
          <w:rFonts w:eastAsiaTheme="minorEastAsia"/>
          <w:lang w:eastAsia="ja-JP"/>
        </w:rPr>
        <w:t xml:space="preserve"> opportunity</w:t>
      </w:r>
      <w:r w:rsidR="00CE2260" w:rsidRPr="00E32464">
        <w:rPr>
          <w:rFonts w:eastAsiaTheme="minorEastAsia"/>
          <w:b/>
          <w:lang w:eastAsia="ja-JP"/>
        </w:rPr>
        <w:t xml:space="preserve"> </w:t>
      </w:r>
      <w:r w:rsidR="00CE2260" w:rsidRPr="00E32464">
        <w:rPr>
          <w:rFonts w:eastAsiaTheme="minorEastAsia"/>
          <w:lang w:eastAsia="ja-JP"/>
        </w:rPr>
        <w:t xml:space="preserve">for </w:t>
      </w:r>
      <w:r w:rsidR="00D56A9E" w:rsidRPr="00E32464">
        <w:rPr>
          <w:rFonts w:eastAsiaTheme="minorEastAsia"/>
          <w:lang w:eastAsia="ja-JP"/>
        </w:rPr>
        <w:t>OHCHR</w:t>
      </w:r>
      <w:r w:rsidR="00CE2260" w:rsidRPr="00E32464">
        <w:rPr>
          <w:rFonts w:eastAsiaTheme="minorEastAsia"/>
          <w:lang w:eastAsia="ja-JP"/>
        </w:rPr>
        <w:t xml:space="preserve">, members of the Human Rights Council and the international community to </w:t>
      </w:r>
      <w:r w:rsidR="00D56A9E" w:rsidRPr="00E32464">
        <w:rPr>
          <w:rFonts w:eastAsiaTheme="minorEastAsia"/>
          <w:lang w:eastAsia="ja-JP"/>
        </w:rPr>
        <w:t>support victims and pursue</w:t>
      </w:r>
      <w:r w:rsidR="00CE2260" w:rsidRPr="00E32464">
        <w:rPr>
          <w:rFonts w:eastAsiaTheme="minorEastAsia"/>
        </w:rPr>
        <w:t xml:space="preserve"> accountability for serious international crimes committed in Sri Lanka</w:t>
      </w:r>
      <w:r w:rsidR="00D56A9E" w:rsidRPr="00E32464">
        <w:rPr>
          <w:rFonts w:eastAsiaTheme="minorEastAsia"/>
        </w:rPr>
        <w:t xml:space="preserve"> through </w:t>
      </w:r>
      <w:r w:rsidR="00DF5A1D">
        <w:rPr>
          <w:rFonts w:eastAsiaTheme="minorEastAsia"/>
        </w:rPr>
        <w:t>complementary</w:t>
      </w:r>
      <w:r w:rsidR="00DF5A1D" w:rsidRPr="00E32464">
        <w:rPr>
          <w:rFonts w:eastAsiaTheme="minorEastAsia"/>
        </w:rPr>
        <w:t xml:space="preserve"> </w:t>
      </w:r>
      <w:r w:rsidR="00D56A9E" w:rsidRPr="00E32464">
        <w:rPr>
          <w:rFonts w:eastAsiaTheme="minorEastAsia"/>
        </w:rPr>
        <w:t>strategies</w:t>
      </w:r>
      <w:r w:rsidR="00CE2260" w:rsidRPr="00E32464">
        <w:rPr>
          <w:rFonts w:eastAsiaTheme="minorEastAsia"/>
        </w:rPr>
        <w:t xml:space="preserve">. </w:t>
      </w:r>
    </w:p>
    <w:p w14:paraId="6007DB03" w14:textId="77777777" w:rsidR="00EC60F5" w:rsidRDefault="004015F5" w:rsidP="00CC0ABE">
      <w:pPr>
        <w:pStyle w:val="SingleTxtG"/>
        <w:tabs>
          <w:tab w:val="clear" w:pos="1701"/>
          <w:tab w:val="clear" w:pos="2268"/>
        </w:tabs>
        <w:ind w:right="338"/>
      </w:pPr>
      <w:r>
        <w:rPr>
          <w:shd w:val="clear" w:color="auto" w:fill="FFFFFF"/>
        </w:rPr>
        <w:t>5</w:t>
      </w:r>
      <w:r w:rsidR="00386967">
        <w:rPr>
          <w:shd w:val="clear" w:color="auto" w:fill="FFFFFF"/>
        </w:rPr>
        <w:t>8</w:t>
      </w:r>
      <w:r w:rsidR="00281F1C">
        <w:rPr>
          <w:shd w:val="clear" w:color="auto" w:fill="FFFFFF"/>
        </w:rPr>
        <w:t>.</w:t>
      </w:r>
      <w:r w:rsidR="00281F1C">
        <w:rPr>
          <w:shd w:val="clear" w:color="auto" w:fill="FFFFFF"/>
        </w:rPr>
        <w:tab/>
      </w:r>
      <w:r w:rsidR="00EC60F5" w:rsidRPr="00032971">
        <w:rPr>
          <w:shd w:val="clear" w:color="auto" w:fill="FFFFFF"/>
        </w:rPr>
        <w:t xml:space="preserve">The Office started implementing </w:t>
      </w:r>
      <w:r w:rsidR="00EC60F5">
        <w:rPr>
          <w:shd w:val="clear" w:color="auto" w:fill="FFFFFF"/>
        </w:rPr>
        <w:t xml:space="preserve">these </w:t>
      </w:r>
      <w:r w:rsidR="00EC60F5" w:rsidRPr="00484C23">
        <w:rPr>
          <w:shd w:val="clear" w:color="auto" w:fill="FFFFFF"/>
        </w:rPr>
        <w:t>aspects of </w:t>
      </w:r>
      <w:hyperlink r:id="rId9" w:history="1">
        <w:r w:rsidR="00EC60F5" w:rsidRPr="00484C23">
          <w:rPr>
            <w:rStyle w:val="Hyperlink"/>
            <w:color w:val="auto"/>
            <w:shd w:val="clear" w:color="auto" w:fill="FFFFFF"/>
          </w:rPr>
          <w:t>Resolution 46/1</w:t>
        </w:r>
      </w:hyperlink>
      <w:r w:rsidR="00EC60F5" w:rsidRPr="00484C23">
        <w:rPr>
          <w:shd w:val="clear" w:color="auto" w:fill="FFFFFF"/>
        </w:rPr>
        <w:t xml:space="preserve">, with a start-up team undertaking preparatory work since April 2021. The Office has now recruited most staff, who include specialists on international criminal and humanitarian law, </w:t>
      </w:r>
      <w:r w:rsidR="00EC60F5" w:rsidRPr="002E46E3">
        <w:t xml:space="preserve">human rights, </w:t>
      </w:r>
      <w:r w:rsidR="00EC60F5" w:rsidRPr="00291A4F">
        <w:t>sexual and gender-based violence, victims’ rights and information management, however the start date of different members of the</w:t>
      </w:r>
      <w:r w:rsidR="00EC60F5" w:rsidRPr="009B2875">
        <w:t xml:space="preserve"> team will be further constrained by the</w:t>
      </w:r>
      <w:r w:rsidR="00EC60F5">
        <w:t xml:space="preserve"> budget</w:t>
      </w:r>
      <w:r w:rsidR="00EC60F5" w:rsidRPr="009B2875">
        <w:t xml:space="preserve"> </w:t>
      </w:r>
      <w:r w:rsidR="00EC60F5">
        <w:t>allocated for</w:t>
      </w:r>
      <w:r w:rsidR="00EC60F5" w:rsidRPr="009B2875">
        <w:t xml:space="preserve"> 2022</w:t>
      </w:r>
      <w:r w:rsidR="00EC60F5">
        <w:t>.</w:t>
      </w:r>
    </w:p>
    <w:p w14:paraId="2869DB42" w14:textId="77777777" w:rsidR="007B1A77" w:rsidRPr="00121A76" w:rsidRDefault="007C42A3" w:rsidP="00EA33A2">
      <w:pPr>
        <w:pStyle w:val="SingleTxtG"/>
        <w:ind w:right="338"/>
        <w:rPr>
          <w:rFonts w:eastAsiaTheme="minorEastAsia"/>
        </w:rPr>
      </w:pPr>
      <w:r w:rsidRPr="00D87F71">
        <w:lastRenderedPageBreak/>
        <w:t>5</w:t>
      </w:r>
      <w:r w:rsidR="00172D73">
        <w:t>9</w:t>
      </w:r>
      <w:r w:rsidRPr="00D87F71">
        <w:t>.</w:t>
      </w:r>
      <w:r w:rsidR="00953614">
        <w:tab/>
      </w:r>
      <w:r w:rsidR="007B1A77" w:rsidRPr="00D87F71">
        <w:t xml:space="preserve">The Office has published </w:t>
      </w:r>
      <w:r w:rsidR="00DF5A1D" w:rsidRPr="00D87F71">
        <w:t xml:space="preserve">online introductory material on </w:t>
      </w:r>
      <w:r w:rsidR="007B1A77" w:rsidRPr="00D87F71">
        <w:t xml:space="preserve">the mandate under the resolution 46/1, </w:t>
      </w:r>
      <w:r w:rsidR="00DF5A1D" w:rsidRPr="00D87F71">
        <w:t>including questions and answers</w:t>
      </w:r>
      <w:r w:rsidR="007B1A77" w:rsidRPr="00D87F71">
        <w:t xml:space="preserve"> </w:t>
      </w:r>
      <w:r w:rsidR="007B1A77" w:rsidRPr="00121A76">
        <w:t>translated into Sinhala and Tamil languages.</w:t>
      </w:r>
      <w:r w:rsidR="007B1A77" w:rsidRPr="00121A76">
        <w:rPr>
          <w:rStyle w:val="FootnoteReference"/>
          <w:sz w:val="20"/>
        </w:rPr>
        <w:footnoteReference w:id="70"/>
      </w:r>
    </w:p>
    <w:p w14:paraId="000D2C4D" w14:textId="22C9CDC5" w:rsidR="00EC60F5" w:rsidRPr="00922FDC" w:rsidRDefault="00172D73" w:rsidP="00EA33A2">
      <w:pPr>
        <w:pStyle w:val="SingleTxtG"/>
        <w:ind w:right="338"/>
      </w:pPr>
      <w:r>
        <w:rPr>
          <w:shd w:val="clear" w:color="auto" w:fill="FFFFFF"/>
        </w:rPr>
        <w:t>60</w:t>
      </w:r>
      <w:r w:rsidR="00281F1C" w:rsidRPr="00121A76">
        <w:rPr>
          <w:shd w:val="clear" w:color="auto" w:fill="FFFFFF"/>
        </w:rPr>
        <w:t>.</w:t>
      </w:r>
      <w:r w:rsidR="00281F1C" w:rsidRPr="00121A76">
        <w:rPr>
          <w:shd w:val="clear" w:color="auto" w:fill="FFFFFF"/>
        </w:rPr>
        <w:tab/>
      </w:r>
      <w:r w:rsidR="00EC60F5" w:rsidRPr="00121A76">
        <w:rPr>
          <w:shd w:val="clear" w:color="auto" w:fill="FFFFFF"/>
        </w:rPr>
        <w:t>The Office has developed an information and evidence repository using e-discovery software and has identified a large number of individual information items already held by the UN.  The team will further analyse this</w:t>
      </w:r>
      <w:r w:rsidR="00EC60F5" w:rsidRPr="00121A76">
        <w:t xml:space="preserve"> information from a criminal justice perspective with a view to identifying gaps and priorities for further information collection, incorporating a victim-centred</w:t>
      </w:r>
      <w:r w:rsidR="00EC60F5">
        <w:t xml:space="preserve"> approach</w:t>
      </w:r>
      <w:r w:rsidR="003E44F1">
        <w:t xml:space="preserve">. </w:t>
      </w:r>
      <w:r w:rsidR="00EC60F5" w:rsidRPr="00032971">
        <w:t xml:space="preserve">The information held and gathered relates to </w:t>
      </w:r>
      <w:r w:rsidR="00EC60F5" w:rsidRPr="00922FDC">
        <w:t xml:space="preserve">alleged violations and abuses by both State and non-State actors.  </w:t>
      </w:r>
    </w:p>
    <w:p w14:paraId="146937BA" w14:textId="77777777" w:rsidR="00EC60F5" w:rsidRPr="00514A57" w:rsidRDefault="00172D73" w:rsidP="00953614">
      <w:pPr>
        <w:pStyle w:val="SingleTxtG"/>
        <w:tabs>
          <w:tab w:val="clear" w:pos="1701"/>
          <w:tab w:val="clear" w:pos="2268"/>
        </w:tabs>
        <w:ind w:right="338"/>
        <w:rPr>
          <w:lang w:eastAsia="ja-JP"/>
        </w:rPr>
      </w:pPr>
      <w:r>
        <w:t>61</w:t>
      </w:r>
      <w:r w:rsidR="00EC60F5">
        <w:t>.</w:t>
      </w:r>
      <w:r w:rsidR="00EC60F5">
        <w:tab/>
        <w:t xml:space="preserve">The High Commissioner’s previous report </w:t>
      </w:r>
      <w:r w:rsidR="00EC60F5" w:rsidRPr="000A4639">
        <w:t>recommended that</w:t>
      </w:r>
      <w:r w:rsidR="00EC60F5">
        <w:t>, among a range of measures,</w:t>
      </w:r>
      <w:r w:rsidR="00EC60F5" w:rsidRPr="000A4639">
        <w:t xml:space="preserve"> Member States explore possible targeted sanctions against credibly alleged perpetrators of grave human rights violations and abuses.  </w:t>
      </w:r>
      <w:r w:rsidR="00EC60F5">
        <w:t>O</w:t>
      </w:r>
      <w:r w:rsidR="00EC60F5" w:rsidRPr="000A4639">
        <w:t>n</w:t>
      </w:r>
      <w:r w:rsidR="00EC60F5" w:rsidRPr="008E77CB">
        <w:t xml:space="preserve"> </w:t>
      </w:r>
      <w:r w:rsidR="00EC60F5" w:rsidRPr="000A4639">
        <w:t xml:space="preserve">10 December 2021, the United States </w:t>
      </w:r>
      <w:r w:rsidR="00EC60F5">
        <w:t xml:space="preserve">Government </w:t>
      </w:r>
      <w:r w:rsidR="00EC60F5" w:rsidRPr="000A4639">
        <w:t xml:space="preserve">announced that two Sri Lankan military officers implicated in grave violations would be designated </w:t>
      </w:r>
      <w:r w:rsidR="00EC60F5" w:rsidRPr="00BE6777">
        <w:t xml:space="preserve">under </w:t>
      </w:r>
      <w:r w:rsidR="00EC60F5" w:rsidRPr="009755C3">
        <w:rPr>
          <w:spacing w:val="-4"/>
        </w:rPr>
        <w:t>Section 7031(c) of the Department of State, Foreign Operations, and Related Programs Appropriation Act, 2021 and ineligible for entry to th</w:t>
      </w:r>
      <w:r w:rsidR="00EC60F5">
        <w:rPr>
          <w:spacing w:val="-4"/>
        </w:rPr>
        <w:t xml:space="preserve">at country. </w:t>
      </w:r>
    </w:p>
    <w:p w14:paraId="238BA56D" w14:textId="77777777" w:rsidR="005A3432" w:rsidRPr="00922FDC" w:rsidRDefault="00BE6386" w:rsidP="00953614">
      <w:pPr>
        <w:pStyle w:val="SingleTxtG"/>
        <w:tabs>
          <w:tab w:val="clear" w:pos="1701"/>
          <w:tab w:val="clear" w:pos="2268"/>
        </w:tabs>
        <w:ind w:right="338"/>
      </w:pPr>
      <w:r>
        <w:rPr>
          <w:lang w:eastAsia="ja-JP"/>
        </w:rPr>
        <w:t>6</w:t>
      </w:r>
      <w:r w:rsidR="00172D73">
        <w:rPr>
          <w:lang w:eastAsia="ja-JP"/>
        </w:rPr>
        <w:t>2</w:t>
      </w:r>
      <w:r w:rsidR="00281F1C">
        <w:rPr>
          <w:lang w:eastAsia="ja-JP"/>
        </w:rPr>
        <w:t>.</w:t>
      </w:r>
      <w:r w:rsidR="00281F1C">
        <w:rPr>
          <w:lang w:eastAsia="ja-JP"/>
        </w:rPr>
        <w:tab/>
      </w:r>
      <w:r w:rsidR="00D6053E">
        <w:rPr>
          <w:lang w:eastAsia="ja-JP"/>
        </w:rPr>
        <w:t>While t</w:t>
      </w:r>
      <w:r w:rsidR="00CE2260" w:rsidRPr="00956FEF">
        <w:rPr>
          <w:lang w:eastAsia="ja-JP"/>
        </w:rPr>
        <w:t xml:space="preserve">he High Commissioner </w:t>
      </w:r>
      <w:r w:rsidR="00587D84" w:rsidRPr="00956FEF">
        <w:rPr>
          <w:lang w:eastAsia="ja-JP"/>
        </w:rPr>
        <w:t xml:space="preserve">will report on further progress </w:t>
      </w:r>
      <w:r w:rsidR="00D6053E">
        <w:rPr>
          <w:lang w:eastAsia="ja-JP"/>
        </w:rPr>
        <w:t xml:space="preserve">on this subject </w:t>
      </w:r>
      <w:r w:rsidR="00587D84" w:rsidRPr="00956FEF">
        <w:rPr>
          <w:lang w:eastAsia="ja-JP"/>
        </w:rPr>
        <w:t>in September 2022</w:t>
      </w:r>
      <w:r w:rsidR="00D6053E">
        <w:rPr>
          <w:lang w:eastAsia="ja-JP"/>
        </w:rPr>
        <w:t xml:space="preserve">, it is </w:t>
      </w:r>
      <w:r w:rsidR="00E81896">
        <w:rPr>
          <w:lang w:eastAsia="ja-JP"/>
        </w:rPr>
        <w:t xml:space="preserve">already </w:t>
      </w:r>
      <w:r w:rsidR="00D6053E">
        <w:rPr>
          <w:lang w:eastAsia="ja-JP"/>
        </w:rPr>
        <w:t xml:space="preserve">clear </w:t>
      </w:r>
      <w:r w:rsidR="00CE2260" w:rsidRPr="00956FEF">
        <w:rPr>
          <w:lang w:eastAsia="ja-JP"/>
        </w:rPr>
        <w:t xml:space="preserve">that </w:t>
      </w:r>
      <w:r w:rsidR="00D6053E">
        <w:rPr>
          <w:lang w:eastAsia="ja-JP"/>
        </w:rPr>
        <w:t xml:space="preserve">the </w:t>
      </w:r>
      <w:r w:rsidR="00CE2260" w:rsidRPr="00956FEF">
        <w:rPr>
          <w:lang w:eastAsia="ja-JP"/>
        </w:rPr>
        <w:t xml:space="preserve">scale of the work given to </w:t>
      </w:r>
      <w:r w:rsidR="00D6053E">
        <w:rPr>
          <w:lang w:eastAsia="ja-JP"/>
        </w:rPr>
        <w:t>the</w:t>
      </w:r>
      <w:r w:rsidR="00CE2260" w:rsidRPr="00956FEF">
        <w:rPr>
          <w:lang w:eastAsia="ja-JP"/>
        </w:rPr>
        <w:t xml:space="preserve"> Office by resolution 46/1 </w:t>
      </w:r>
      <w:r w:rsidR="00E81896">
        <w:rPr>
          <w:lang w:eastAsia="ja-JP"/>
        </w:rPr>
        <w:t>is substantial. F</w:t>
      </w:r>
      <w:r w:rsidR="00CE2260" w:rsidRPr="00956FEF">
        <w:rPr>
          <w:lang w:eastAsia="ja-JP"/>
        </w:rPr>
        <w:t xml:space="preserve">ull implementation of the mandate will </w:t>
      </w:r>
      <w:r w:rsidR="00E81896">
        <w:rPr>
          <w:lang w:eastAsia="ja-JP"/>
        </w:rPr>
        <w:t xml:space="preserve">also </w:t>
      </w:r>
      <w:r w:rsidR="00CE2260" w:rsidRPr="00956FEF">
        <w:rPr>
          <w:lang w:eastAsia="ja-JP"/>
        </w:rPr>
        <w:t xml:space="preserve">require </w:t>
      </w:r>
      <w:r w:rsidR="00E81896">
        <w:rPr>
          <w:lang w:eastAsia="ja-JP"/>
        </w:rPr>
        <w:t>effective</w:t>
      </w:r>
      <w:r w:rsidR="009755C3">
        <w:rPr>
          <w:lang w:eastAsia="ja-JP"/>
        </w:rPr>
        <w:t xml:space="preserve"> </w:t>
      </w:r>
      <w:r w:rsidR="00564582">
        <w:rPr>
          <w:lang w:eastAsia="ja-JP"/>
        </w:rPr>
        <w:t>cooperation by Member States</w:t>
      </w:r>
      <w:r w:rsidR="00E81896">
        <w:rPr>
          <w:lang w:eastAsia="ja-JP"/>
        </w:rPr>
        <w:t xml:space="preserve">, alongside </w:t>
      </w:r>
      <w:r w:rsidR="00CE2260" w:rsidRPr="00956FEF">
        <w:rPr>
          <w:lang w:eastAsia="ja-JP"/>
        </w:rPr>
        <w:t xml:space="preserve">adequate human and financial resources. </w:t>
      </w:r>
    </w:p>
    <w:p w14:paraId="3F561956" w14:textId="0866130B" w:rsidR="009E5DE3" w:rsidRPr="00953614" w:rsidRDefault="00EE4220" w:rsidP="00953614">
      <w:pPr>
        <w:pStyle w:val="HChG"/>
      </w:pPr>
      <w:r w:rsidRPr="00953614">
        <w:tab/>
        <w:t>V.</w:t>
      </w:r>
      <w:r w:rsidRPr="00953614">
        <w:tab/>
        <w:t>Conclusions</w:t>
      </w:r>
    </w:p>
    <w:p w14:paraId="6516DE98" w14:textId="17D9EF86" w:rsidR="00D374AE" w:rsidRPr="00B27935" w:rsidRDefault="00BF50BC" w:rsidP="00EA33A2">
      <w:pPr>
        <w:pStyle w:val="SingleTxtG"/>
        <w:ind w:right="338"/>
      </w:pPr>
      <w:r>
        <w:t>6</w:t>
      </w:r>
      <w:r w:rsidR="00172D73">
        <w:t>3</w:t>
      </w:r>
      <w:r w:rsidR="00367A3F">
        <w:t>.</w:t>
      </w:r>
      <w:r w:rsidR="00367A3F">
        <w:tab/>
      </w:r>
      <w:r w:rsidR="00D374AE">
        <w:t xml:space="preserve">The High Commissioner remains concerned about the </w:t>
      </w:r>
      <w:r w:rsidR="00F6370C" w:rsidRPr="00084FDD">
        <w:t>lack of accountability for past human rights violations and</w:t>
      </w:r>
      <w:r w:rsidR="00F6370C">
        <w:t xml:space="preserve"> recognition of victims’ rights</w:t>
      </w:r>
      <w:r w:rsidR="00D374AE">
        <w:t xml:space="preserve">. </w:t>
      </w:r>
      <w:r w:rsidR="00D374AE" w:rsidRPr="00800CD4">
        <w:t>In the last two years, the independence of the judiciary</w:t>
      </w:r>
      <w:r w:rsidR="00D374AE" w:rsidRPr="00D374AE">
        <w:t xml:space="preserve">, the Human Rights Commission and other key institutions have been eroded, and democratic space, including for human rights advocacy constricted. </w:t>
      </w:r>
      <w:r w:rsidR="00D374AE" w:rsidRPr="00D374AE">
        <w:rPr>
          <w:rFonts w:eastAsia="Times New Roman"/>
        </w:rPr>
        <w:t>There has been a further drift towards militarisation and an emphasis of Sinhala nationalism and</w:t>
      </w:r>
      <w:r w:rsidR="00D6053E">
        <w:rPr>
          <w:rFonts w:eastAsia="Times New Roman"/>
        </w:rPr>
        <w:t xml:space="preserve"> </w:t>
      </w:r>
      <w:r w:rsidR="00D374AE" w:rsidRPr="00D374AE">
        <w:rPr>
          <w:rFonts w:eastAsia="Times New Roman"/>
        </w:rPr>
        <w:t xml:space="preserve">Buddhism in State institutions </w:t>
      </w:r>
      <w:r w:rsidR="00D374AE" w:rsidRPr="00D374AE">
        <w:rPr>
          <w:shd w:val="clear" w:color="auto" w:fill="FFFFFF"/>
        </w:rPr>
        <w:t>ha</w:t>
      </w:r>
      <w:r w:rsidR="004A0DF3">
        <w:rPr>
          <w:shd w:val="clear" w:color="auto" w:fill="FFFFFF"/>
        </w:rPr>
        <w:t>s</w:t>
      </w:r>
      <w:r w:rsidR="00D374AE" w:rsidRPr="00D374AE">
        <w:rPr>
          <w:shd w:val="clear" w:color="auto" w:fill="FFFFFF"/>
        </w:rPr>
        <w:t xml:space="preserve"> become more visible, increasing the marginalisation and uncertainty of minority </w:t>
      </w:r>
      <w:r w:rsidR="00B3353D" w:rsidRPr="00D374AE">
        <w:rPr>
          <w:shd w:val="clear" w:color="auto" w:fill="FFFFFF"/>
        </w:rPr>
        <w:t>communities,</w:t>
      </w:r>
      <w:r w:rsidR="00B3353D" w:rsidRPr="00B3353D">
        <w:rPr>
          <w:shd w:val="clear" w:color="auto" w:fill="FFFFFF"/>
        </w:rPr>
        <w:t xml:space="preserve"> </w:t>
      </w:r>
      <w:r w:rsidR="00B3353D" w:rsidRPr="00617827">
        <w:rPr>
          <w:shd w:val="clear" w:color="auto" w:fill="FFFFFF"/>
        </w:rPr>
        <w:t>and undermining reconciliation</w:t>
      </w:r>
      <w:r w:rsidR="002A1CEE">
        <w:rPr>
          <w:shd w:val="clear" w:color="auto" w:fill="FFFFFF"/>
        </w:rPr>
        <w:t xml:space="preserve">. </w:t>
      </w:r>
      <w:r w:rsidR="00D374AE" w:rsidRPr="00D374AE">
        <w:rPr>
          <w:shd w:val="clear" w:color="auto" w:fill="FFFFFF"/>
        </w:rPr>
        <w:t>T</w:t>
      </w:r>
      <w:r w:rsidR="00D374AE" w:rsidRPr="00F92FCB">
        <w:rPr>
          <w:shd w:val="clear" w:color="auto" w:fill="FFFFFF"/>
        </w:rPr>
        <w:t>he forthcoming C</w:t>
      </w:r>
      <w:r w:rsidR="00D374AE" w:rsidRPr="00B4637B">
        <w:rPr>
          <w:shd w:val="clear" w:color="auto" w:fill="FFFFFF"/>
        </w:rPr>
        <w:t xml:space="preserve">onstitution drafting process </w:t>
      </w:r>
      <w:r w:rsidR="00D374AE">
        <w:rPr>
          <w:shd w:val="clear" w:color="auto" w:fill="FFFFFF"/>
        </w:rPr>
        <w:t>will be</w:t>
      </w:r>
      <w:r w:rsidR="00D374AE" w:rsidRPr="00B4637B">
        <w:rPr>
          <w:shd w:val="clear" w:color="auto" w:fill="FFFFFF"/>
        </w:rPr>
        <w:t xml:space="preserve"> of critical importance </w:t>
      </w:r>
      <w:r w:rsidR="00D374AE">
        <w:rPr>
          <w:shd w:val="clear" w:color="auto" w:fill="FFFFFF"/>
        </w:rPr>
        <w:t>for</w:t>
      </w:r>
      <w:r w:rsidR="00D374AE" w:rsidRPr="00B4637B">
        <w:rPr>
          <w:shd w:val="clear" w:color="auto" w:fill="FFFFFF"/>
        </w:rPr>
        <w:t xml:space="preserve"> </w:t>
      </w:r>
      <w:r w:rsidR="00D374AE" w:rsidRPr="00140E01">
        <w:rPr>
          <w:rFonts w:eastAsia="Times New Roman"/>
        </w:rPr>
        <w:t>the independence of key institutions</w:t>
      </w:r>
      <w:r w:rsidR="00D374AE">
        <w:rPr>
          <w:rFonts w:eastAsia="Times New Roman"/>
        </w:rPr>
        <w:t xml:space="preserve"> and issues of devolution and</w:t>
      </w:r>
      <w:r w:rsidR="00D374AE" w:rsidRPr="00140E01">
        <w:t xml:space="preserve"> human rights</w:t>
      </w:r>
      <w:r w:rsidR="00D374AE">
        <w:t xml:space="preserve"> </w:t>
      </w:r>
      <w:r w:rsidR="00D374AE" w:rsidRPr="00140E01">
        <w:t>should be monitored closely.</w:t>
      </w:r>
      <w:r w:rsidR="00F6370C">
        <w:t xml:space="preserve"> </w:t>
      </w:r>
      <w:r w:rsidR="00D374AE">
        <w:t xml:space="preserve">The situation has been </w:t>
      </w:r>
      <w:r w:rsidR="00F6370C">
        <w:t xml:space="preserve">affected </w:t>
      </w:r>
      <w:r w:rsidR="00D374AE">
        <w:t xml:space="preserve">by the deep impact of </w:t>
      </w:r>
      <w:r w:rsidR="00D374AE" w:rsidRPr="00800CD4">
        <w:t xml:space="preserve">the COVID-19 pandemic </w:t>
      </w:r>
      <w:r w:rsidR="00D374AE">
        <w:t xml:space="preserve">and economic crisis which has </w:t>
      </w:r>
      <w:r w:rsidR="00F6370C">
        <w:t xml:space="preserve">affected the realisation of </w:t>
      </w:r>
      <w:r w:rsidR="00D374AE">
        <w:t>economic, social and cultural rights</w:t>
      </w:r>
      <w:r w:rsidR="00B54749">
        <w:t>,</w:t>
      </w:r>
      <w:r w:rsidR="00D374AE">
        <w:t xml:space="preserve"> and the Government’s response to criticism and dissent with heavy-handed </w:t>
      </w:r>
      <w:r w:rsidR="00D374AE" w:rsidRPr="00800CD4">
        <w:t>measures</w:t>
      </w:r>
      <w:r w:rsidR="00D374AE">
        <w:t xml:space="preserve"> </w:t>
      </w:r>
      <w:r w:rsidR="00B54749">
        <w:t xml:space="preserve">have </w:t>
      </w:r>
      <w:r w:rsidR="00D374AE">
        <w:t>undermine</w:t>
      </w:r>
      <w:r w:rsidR="00B54749">
        <w:t>d</w:t>
      </w:r>
      <w:r w:rsidR="00D374AE">
        <w:t xml:space="preserve"> civic space.  There are also risks that the economic downturn will further fuel </w:t>
      </w:r>
      <w:r w:rsidR="00D374AE" w:rsidRPr="00800CD4">
        <w:t>the prevailing marginalization and discrimination against minority communities.</w:t>
      </w:r>
    </w:p>
    <w:p w14:paraId="39664BB4" w14:textId="77777777" w:rsidR="00956FEF" w:rsidRPr="009B2875" w:rsidRDefault="00BF50BC" w:rsidP="00953614">
      <w:pPr>
        <w:pStyle w:val="SingleTxtG"/>
        <w:tabs>
          <w:tab w:val="clear" w:pos="1701"/>
          <w:tab w:val="clear" w:pos="2268"/>
        </w:tabs>
        <w:ind w:right="338"/>
        <w:rPr>
          <w:rFonts w:eastAsiaTheme="minorEastAsia"/>
        </w:rPr>
      </w:pPr>
      <w:r>
        <w:t>6</w:t>
      </w:r>
      <w:r w:rsidR="00172D73">
        <w:t>4</w:t>
      </w:r>
      <w:r w:rsidR="007B355C">
        <w:t>.</w:t>
      </w:r>
      <w:r>
        <w:tab/>
      </w:r>
      <w:r w:rsidR="00226728">
        <w:t>The High Commissioner</w:t>
      </w:r>
      <w:r w:rsidR="00226728" w:rsidRPr="00800CD4">
        <w:t xml:space="preserve"> </w:t>
      </w:r>
      <w:r w:rsidR="00216BBD" w:rsidRPr="00800CD4">
        <w:t xml:space="preserve">recognizes </w:t>
      </w:r>
      <w:r w:rsidR="006168F4">
        <w:t xml:space="preserve">the </w:t>
      </w:r>
      <w:r w:rsidR="00216BBD" w:rsidRPr="00800CD4">
        <w:t>recent signs of</w:t>
      </w:r>
      <w:r w:rsidR="00587D84" w:rsidRPr="00800CD4">
        <w:t xml:space="preserve"> renewed</w:t>
      </w:r>
      <w:r w:rsidR="00216BBD" w:rsidRPr="00800CD4">
        <w:t xml:space="preserve"> openness of the Government in engaging with </w:t>
      </w:r>
      <w:r w:rsidR="00CA320C" w:rsidRPr="00800CD4">
        <w:t>OHCHR</w:t>
      </w:r>
      <w:r w:rsidR="00226728">
        <w:t xml:space="preserve"> and the initial steps taken to initiate some reforms</w:t>
      </w:r>
      <w:r w:rsidR="00F4509C">
        <w:t xml:space="preserve">, including </w:t>
      </w:r>
      <w:r w:rsidR="00D6053E">
        <w:t xml:space="preserve">changes </w:t>
      </w:r>
      <w:r w:rsidR="00F4509C">
        <w:t>to the Prevention of Terrorism Act.  She urges the Government to go much further and deeper with the legal, institutional and security sector reforms that are necessary to</w:t>
      </w:r>
      <w:r w:rsidR="000869E3">
        <w:t xml:space="preserve"> comply with Sri Lanka’s international human rights obligations and to</w:t>
      </w:r>
      <w:r w:rsidR="00F4509C">
        <w:t xml:space="preserve"> prevent the recurrence of </w:t>
      </w:r>
      <w:r w:rsidR="000869E3">
        <w:t xml:space="preserve">grave </w:t>
      </w:r>
      <w:r w:rsidR="00F4509C">
        <w:t>violations.</w:t>
      </w:r>
      <w:r w:rsidR="000869E3">
        <w:t xml:space="preserve"> </w:t>
      </w:r>
      <w:r w:rsidR="004A0DF3">
        <w:t xml:space="preserve">OHCHR continues to stand ready to assist Sri Lanka on this path. </w:t>
      </w:r>
      <w:r w:rsidR="000869E3">
        <w:t xml:space="preserve">The High Commissioner is deeply concerned by the continued obstruction and setbacks </w:t>
      </w:r>
      <w:r w:rsidR="000869E3" w:rsidRPr="00800CD4">
        <w:rPr>
          <w:rFonts w:eastAsia="Times New Roman"/>
        </w:rPr>
        <w:t xml:space="preserve">in </w:t>
      </w:r>
      <w:r w:rsidR="000869E3">
        <w:rPr>
          <w:rFonts w:eastAsia="Times New Roman"/>
        </w:rPr>
        <w:t>most of the</w:t>
      </w:r>
      <w:r w:rsidR="000869E3" w:rsidRPr="00800CD4">
        <w:rPr>
          <w:rFonts w:eastAsia="Times New Roman"/>
        </w:rPr>
        <w:t xml:space="preserve"> emblematic human rights cases that have reached the courts</w:t>
      </w:r>
      <w:r w:rsidR="000869E3">
        <w:rPr>
          <w:rFonts w:eastAsia="Times New Roman"/>
        </w:rPr>
        <w:t xml:space="preserve">, and the harassment of victims and families of the </w:t>
      </w:r>
      <w:r w:rsidR="00405BC7">
        <w:rPr>
          <w:rFonts w:eastAsia="Times New Roman"/>
        </w:rPr>
        <w:t>disappeared</w:t>
      </w:r>
      <w:r w:rsidR="000869E3">
        <w:rPr>
          <w:rFonts w:eastAsia="Times New Roman"/>
        </w:rPr>
        <w:t xml:space="preserve"> campaigning for truth and justice or seeking to commemorate their loved ones.</w:t>
      </w:r>
      <w:r w:rsidR="0059065A">
        <w:rPr>
          <w:rFonts w:eastAsia="Times New Roman"/>
        </w:rPr>
        <w:t xml:space="preserve"> </w:t>
      </w:r>
      <w:r w:rsidR="000869E3">
        <w:rPr>
          <w:rFonts w:eastAsia="Times New Roman"/>
        </w:rPr>
        <w:t xml:space="preserve">While the Government emphasises practical measures of reparation and development as the basis for reconciliation, </w:t>
      </w:r>
      <w:r w:rsidR="005D7FA4">
        <w:rPr>
          <w:rFonts w:eastAsia="Times New Roman"/>
        </w:rPr>
        <w:t xml:space="preserve">the High Commissioner stressed </w:t>
      </w:r>
      <w:r w:rsidR="000869E3">
        <w:rPr>
          <w:rFonts w:eastAsia="Times New Roman"/>
        </w:rPr>
        <w:t xml:space="preserve">this will </w:t>
      </w:r>
      <w:r w:rsidR="000869E3">
        <w:rPr>
          <w:rFonts w:eastAsia="Times New Roman"/>
        </w:rPr>
        <w:lastRenderedPageBreak/>
        <w:t>not be achieved without a comprehensive approach to ensure truth, justice, redress for victims and institutional reforms that guarantee non-recurrence.</w:t>
      </w:r>
    </w:p>
    <w:p w14:paraId="2473141B" w14:textId="77777777" w:rsidR="004A0DF3" w:rsidRDefault="00BF50BC" w:rsidP="00953614">
      <w:pPr>
        <w:pStyle w:val="SingleTxtG"/>
        <w:tabs>
          <w:tab w:val="clear" w:pos="1701"/>
          <w:tab w:val="clear" w:pos="2268"/>
        </w:tabs>
        <w:ind w:right="338"/>
      </w:pPr>
      <w:r>
        <w:t>6</w:t>
      </w:r>
      <w:r w:rsidR="00172D73">
        <w:t>5</w:t>
      </w:r>
      <w:r>
        <w:t>.</w:t>
      </w:r>
      <w:r>
        <w:tab/>
      </w:r>
      <w:r w:rsidR="004A0DF3" w:rsidRPr="00800CD4">
        <w:t xml:space="preserve">The Sri Lankan state, including successive governments, has consistently failed to prosecute international crimes and serious human rights violations and </w:t>
      </w:r>
      <w:r w:rsidR="004A0DF3" w:rsidRPr="009B2875">
        <w:rPr>
          <w:rStyle w:val="Emphasis"/>
          <w:i w:val="0"/>
          <w:iCs w:val="0"/>
        </w:rPr>
        <w:t xml:space="preserve">pursue </w:t>
      </w:r>
      <w:r w:rsidR="004A0DF3">
        <w:rPr>
          <w:rStyle w:val="Emphasis"/>
          <w:i w:val="0"/>
          <w:iCs w:val="0"/>
        </w:rPr>
        <w:t xml:space="preserve">an </w:t>
      </w:r>
      <w:r w:rsidR="004A0DF3" w:rsidRPr="009B2875">
        <w:rPr>
          <w:rStyle w:val="Emphasis"/>
          <w:i w:val="0"/>
          <w:iCs w:val="0"/>
        </w:rPr>
        <w:t>effective transitional justice process</w:t>
      </w:r>
      <w:r w:rsidR="004A0DF3" w:rsidRPr="009B2875">
        <w:rPr>
          <w:i/>
          <w:iCs/>
        </w:rPr>
        <w:t>.</w:t>
      </w:r>
      <w:r w:rsidR="004A0DF3" w:rsidRPr="009B2875">
        <w:t xml:space="preserve"> </w:t>
      </w:r>
      <w:r w:rsidR="004A0DF3" w:rsidRPr="00800CD4">
        <w:t xml:space="preserve">The current </w:t>
      </w:r>
      <w:r w:rsidR="004A0DF3" w:rsidRPr="005E6781">
        <w:rPr>
          <w:rFonts w:ascii="de" w:hAnsi="de"/>
        </w:rPr>
        <w:t>Government</w:t>
      </w:r>
      <w:r w:rsidR="004A0DF3" w:rsidRPr="00800CD4">
        <w:t xml:space="preserve"> has </w:t>
      </w:r>
      <w:r w:rsidR="004A0DF3">
        <w:t>continued to</w:t>
      </w:r>
      <w:r w:rsidR="004A0DF3" w:rsidRPr="00800CD4">
        <w:t xml:space="preserve"> demonstrate its unwillingness to </w:t>
      </w:r>
      <w:r w:rsidR="004A0DF3">
        <w:t xml:space="preserve">recognise those serious international crimes and </w:t>
      </w:r>
      <w:r w:rsidR="004A0DF3" w:rsidRPr="00800CD4">
        <w:t xml:space="preserve">pursue accountability but has also incorporated </w:t>
      </w:r>
      <w:r w:rsidR="004A0DF3">
        <w:t xml:space="preserve">some </w:t>
      </w:r>
      <w:r w:rsidR="004A0DF3" w:rsidRPr="00800CD4">
        <w:t>military officials</w:t>
      </w:r>
      <w:r w:rsidR="004A0DF3">
        <w:t xml:space="preserve"> who may have been </w:t>
      </w:r>
      <w:r w:rsidR="004A0DF3" w:rsidRPr="00800CD4">
        <w:t>implicated in alleged war crimes into the highest levels of Government, reinforcing a narrative of impunity.</w:t>
      </w:r>
      <w:r w:rsidR="004A0DF3">
        <w:t xml:space="preserve">  In the absence of tangible results that ensure justice for victims, the Human Rights Council should continue to pursue international strategies for accountability.</w:t>
      </w:r>
    </w:p>
    <w:p w14:paraId="6DD70FDF" w14:textId="77777777" w:rsidR="004A0DF3" w:rsidRDefault="00CE6027" w:rsidP="00953614">
      <w:pPr>
        <w:pStyle w:val="SingleTxtG"/>
        <w:tabs>
          <w:tab w:val="clear" w:pos="1701"/>
          <w:tab w:val="clear" w:pos="2268"/>
        </w:tabs>
        <w:ind w:right="338"/>
      </w:pPr>
      <w:r>
        <w:rPr>
          <w:rFonts w:eastAsia="Calibri"/>
          <w:lang w:val="en-AU"/>
        </w:rPr>
        <w:t>6</w:t>
      </w:r>
      <w:r w:rsidR="00172D73">
        <w:rPr>
          <w:rFonts w:eastAsia="Calibri"/>
          <w:lang w:val="en-AU"/>
        </w:rPr>
        <w:t>6</w:t>
      </w:r>
      <w:r>
        <w:rPr>
          <w:rFonts w:eastAsia="Calibri"/>
          <w:lang w:val="en-AU"/>
        </w:rPr>
        <w:t>.</w:t>
      </w:r>
      <w:r>
        <w:rPr>
          <w:rFonts w:eastAsia="Calibri"/>
          <w:lang w:val="en-AU"/>
        </w:rPr>
        <w:tab/>
      </w:r>
      <w:r w:rsidR="004A0DF3">
        <w:rPr>
          <w:rFonts w:eastAsia="Calibri"/>
          <w:lang w:val="en-AU"/>
        </w:rPr>
        <w:t>The</w:t>
      </w:r>
      <w:r w:rsidR="004A0DF3" w:rsidRPr="00800CD4">
        <w:rPr>
          <w:rFonts w:eastAsia="Calibri"/>
          <w:lang w:val="en-AU"/>
        </w:rPr>
        <w:t xml:space="preserve"> Human Rights Council, and its special procedures, </w:t>
      </w:r>
      <w:r w:rsidR="004A0DF3">
        <w:rPr>
          <w:rFonts w:eastAsia="Calibri"/>
          <w:lang w:val="en-AU"/>
        </w:rPr>
        <w:t>t</w:t>
      </w:r>
      <w:r w:rsidR="004A0DF3" w:rsidRPr="00800CD4">
        <w:rPr>
          <w:rFonts w:eastAsia="Calibri"/>
          <w:lang w:val="en-AU"/>
        </w:rPr>
        <w:t xml:space="preserve">reaty </w:t>
      </w:r>
      <w:r w:rsidR="004A0DF3">
        <w:rPr>
          <w:rFonts w:eastAsia="Calibri"/>
          <w:lang w:val="en-AU"/>
        </w:rPr>
        <w:t>b</w:t>
      </w:r>
      <w:r w:rsidR="004A0DF3" w:rsidRPr="00800CD4">
        <w:rPr>
          <w:rFonts w:eastAsia="Calibri"/>
          <w:lang w:val="en-AU"/>
        </w:rPr>
        <w:t xml:space="preserve">odies, international and national civil society organizations and the Government’s own </w:t>
      </w:r>
      <w:r w:rsidR="004A0DF3" w:rsidRPr="00800CD4">
        <w:t>domestic commission – the Lessons Learnt and Reconciliation Commission (LLRC) –</w:t>
      </w:r>
      <w:r w:rsidR="004A0DF3">
        <w:t xml:space="preserve"> </w:t>
      </w:r>
      <w:r w:rsidR="004A0DF3" w:rsidRPr="00800CD4">
        <w:rPr>
          <w:rFonts w:eastAsia="Calibri"/>
          <w:lang w:val="en-AU"/>
        </w:rPr>
        <w:t xml:space="preserve">have put forward many concrete recommendations to the Government to improve </w:t>
      </w:r>
      <w:r w:rsidR="004A0DF3">
        <w:rPr>
          <w:rFonts w:eastAsia="Calibri"/>
          <w:lang w:val="en-AU"/>
        </w:rPr>
        <w:t>the</w:t>
      </w:r>
      <w:r w:rsidR="004A0DF3" w:rsidRPr="00800CD4">
        <w:rPr>
          <w:rFonts w:eastAsia="Calibri"/>
          <w:lang w:val="en-AU"/>
        </w:rPr>
        <w:t xml:space="preserve"> human rights situation</w:t>
      </w:r>
      <w:r w:rsidR="004A0DF3">
        <w:rPr>
          <w:rFonts w:eastAsia="Calibri"/>
          <w:lang w:val="en-AU"/>
        </w:rPr>
        <w:t xml:space="preserve"> and address the legacy of the past</w:t>
      </w:r>
      <w:r w:rsidR="004A0DF3" w:rsidRPr="00800CD4">
        <w:rPr>
          <w:rFonts w:eastAsia="Calibri"/>
          <w:lang w:val="en-AU"/>
        </w:rPr>
        <w:t>. These recommendations should be used as benchmarks by the Government, as well as the</w:t>
      </w:r>
      <w:r w:rsidR="004A0DF3">
        <w:rPr>
          <w:rFonts w:eastAsia="Calibri"/>
          <w:lang w:val="en-AU"/>
        </w:rPr>
        <w:t xml:space="preserve"> international</w:t>
      </w:r>
      <w:r w:rsidR="004A0DF3" w:rsidRPr="00800CD4">
        <w:rPr>
          <w:rFonts w:eastAsia="Calibri"/>
          <w:lang w:val="en-AU"/>
        </w:rPr>
        <w:t xml:space="preserve"> community and United Nations in advancing reconciliation, accountability and human rights.</w:t>
      </w:r>
      <w:r w:rsidR="004A0DF3" w:rsidRPr="00800CD4">
        <w:rPr>
          <w:rStyle w:val="FootnoteReference"/>
          <w:b/>
          <w:bCs/>
          <w:sz w:val="20"/>
        </w:rPr>
        <w:footnoteReference w:id="71"/>
      </w:r>
      <w:r w:rsidR="004A0DF3">
        <w:rPr>
          <w:rFonts w:eastAsia="Calibri"/>
          <w:lang w:val="en-AU"/>
        </w:rPr>
        <w:t xml:space="preserve"> </w:t>
      </w:r>
      <w:r w:rsidR="004A0DF3">
        <w:t xml:space="preserve">OHCHR stands ready to support Sri Lanka in this and provide technical assistance in this regard.  </w:t>
      </w:r>
      <w:r w:rsidR="004A0DF3" w:rsidRPr="00800CD4">
        <w:t>Sri Lanka will only achieve sustainable development and peace</w:t>
      </w:r>
      <w:r w:rsidR="004A0DF3">
        <w:t xml:space="preserve"> and lasting reconciliation</w:t>
      </w:r>
      <w:r w:rsidR="004A0DF3" w:rsidRPr="00800CD4">
        <w:t xml:space="preserve"> if it ensures civic space, independent and inclusive institutions, and </w:t>
      </w:r>
      <w:r w:rsidR="004A0DF3">
        <w:t>puts an end to</w:t>
      </w:r>
      <w:r w:rsidR="004A0DF3" w:rsidRPr="00800CD4">
        <w:t xml:space="preserve"> systemic impunity. </w:t>
      </w:r>
    </w:p>
    <w:p w14:paraId="6E88C376" w14:textId="140F31E4" w:rsidR="006D72FA" w:rsidRPr="00EE4220" w:rsidRDefault="00CE2260" w:rsidP="00EA33A2">
      <w:pPr>
        <w:pStyle w:val="HChG"/>
        <w:ind w:right="338"/>
      </w:pPr>
      <w:r w:rsidRPr="00EE4220">
        <w:tab/>
      </w:r>
      <w:r w:rsidR="002620A1" w:rsidRPr="00EE4220">
        <w:t>VI</w:t>
      </w:r>
      <w:r w:rsidR="00407495">
        <w:t>.</w:t>
      </w:r>
      <w:r w:rsidR="00407495">
        <w:tab/>
      </w:r>
      <w:r w:rsidRPr="00EE4220">
        <w:t>Recommendations</w:t>
      </w:r>
      <w:r w:rsidR="002620A1" w:rsidRPr="00EE4220">
        <w:t xml:space="preserve"> </w:t>
      </w:r>
    </w:p>
    <w:p w14:paraId="0FBF83FA" w14:textId="77777777" w:rsidR="007A3736" w:rsidRPr="00436303" w:rsidRDefault="004015F5" w:rsidP="00953614">
      <w:pPr>
        <w:pStyle w:val="SingleTxtG"/>
        <w:tabs>
          <w:tab w:val="clear" w:pos="1701"/>
          <w:tab w:val="clear" w:pos="2268"/>
        </w:tabs>
        <w:ind w:right="338"/>
        <w:rPr>
          <w:b/>
        </w:rPr>
      </w:pPr>
      <w:r w:rsidRPr="00AD45C5">
        <w:t>6</w:t>
      </w:r>
      <w:r w:rsidR="00172D73" w:rsidRPr="00AD45C5">
        <w:t>7</w:t>
      </w:r>
      <w:r w:rsidR="00CE6027" w:rsidRPr="00AD45C5">
        <w:t>.</w:t>
      </w:r>
      <w:r w:rsidR="00CE6027">
        <w:rPr>
          <w:b/>
        </w:rPr>
        <w:tab/>
      </w:r>
      <w:r w:rsidR="00CE2260" w:rsidRPr="00436303">
        <w:rPr>
          <w:b/>
        </w:rPr>
        <w:t>The High Commissioner</w:t>
      </w:r>
      <w:r w:rsidR="005C6E83" w:rsidRPr="00436303">
        <w:rPr>
          <w:b/>
        </w:rPr>
        <w:t xml:space="preserve"> reiterates the recommendations made to the Government of Sri Lanka in paragraph 60 of her 2021 report</w:t>
      </w:r>
      <w:r w:rsidR="00FF0C7F" w:rsidRPr="00436303">
        <w:rPr>
          <w:b/>
        </w:rPr>
        <w:t xml:space="preserve"> to the Council</w:t>
      </w:r>
      <w:r w:rsidR="005C6E83" w:rsidRPr="00436303">
        <w:rPr>
          <w:b/>
        </w:rPr>
        <w:t>.</w:t>
      </w:r>
      <w:r w:rsidR="00615C69" w:rsidRPr="00436303">
        <w:rPr>
          <w:rStyle w:val="FootnoteReference"/>
          <w:b/>
          <w:bCs/>
        </w:rPr>
        <w:footnoteReference w:id="72"/>
      </w:r>
      <w:r w:rsidR="005C6E83" w:rsidRPr="00436303">
        <w:rPr>
          <w:b/>
        </w:rPr>
        <w:t xml:space="preserve"> She further recommends </w:t>
      </w:r>
      <w:r w:rsidR="006C2ADD" w:rsidRPr="00436303">
        <w:rPr>
          <w:b/>
        </w:rPr>
        <w:t>the Government</w:t>
      </w:r>
      <w:r w:rsidR="007A3736" w:rsidRPr="00436303">
        <w:rPr>
          <w:b/>
        </w:rPr>
        <w:t xml:space="preserve"> to</w:t>
      </w:r>
      <w:r w:rsidR="006C2ADD" w:rsidRPr="00436303">
        <w:rPr>
          <w:b/>
        </w:rPr>
        <w:t>:</w:t>
      </w:r>
    </w:p>
    <w:p w14:paraId="4136B5E8" w14:textId="2AD1261C" w:rsidR="006168F4" w:rsidRDefault="00E60714" w:rsidP="00953614">
      <w:pPr>
        <w:pStyle w:val="SingleTxtG"/>
        <w:tabs>
          <w:tab w:val="clear" w:pos="1701"/>
          <w:tab w:val="clear" w:pos="2268"/>
        </w:tabs>
        <w:ind w:right="338"/>
        <w:rPr>
          <w:b/>
        </w:rPr>
      </w:pPr>
      <w:r>
        <w:rPr>
          <w:b/>
        </w:rPr>
        <w:tab/>
      </w:r>
      <w:r w:rsidR="00953614">
        <w:rPr>
          <w:b/>
        </w:rPr>
        <w:tab/>
      </w:r>
      <w:r w:rsidR="00953614" w:rsidRPr="00AD45C5">
        <w:t>(</w:t>
      </w:r>
      <w:r w:rsidR="00436303" w:rsidRPr="00AD45C5">
        <w:t>a)</w:t>
      </w:r>
      <w:r w:rsidR="00953614">
        <w:rPr>
          <w:b/>
        </w:rPr>
        <w:tab/>
      </w:r>
      <w:r w:rsidR="00B06798" w:rsidRPr="00436303">
        <w:rPr>
          <w:b/>
        </w:rPr>
        <w:t xml:space="preserve">Ensure the drafting process for a new Constitution is based on broad and inclusive consultations, </w:t>
      </w:r>
      <w:r w:rsidR="00F92FCB" w:rsidRPr="00436303">
        <w:rPr>
          <w:b/>
        </w:rPr>
        <w:t xml:space="preserve">entrenches the independence of </w:t>
      </w:r>
      <w:r w:rsidR="00FB14B9">
        <w:rPr>
          <w:b/>
        </w:rPr>
        <w:t xml:space="preserve">judiciary and </w:t>
      </w:r>
      <w:r w:rsidR="00F92FCB" w:rsidRPr="00436303">
        <w:rPr>
          <w:b/>
        </w:rPr>
        <w:t xml:space="preserve">key national institutions such as the HRCSL, </w:t>
      </w:r>
      <w:r w:rsidR="00B06798" w:rsidRPr="00436303">
        <w:rPr>
          <w:b/>
        </w:rPr>
        <w:t>and advances</w:t>
      </w:r>
      <w:r w:rsidR="00F92FCB" w:rsidRPr="00436303">
        <w:rPr>
          <w:b/>
        </w:rPr>
        <w:t xml:space="preserve"> </w:t>
      </w:r>
      <w:r w:rsidR="00B06798" w:rsidRPr="00436303">
        <w:rPr>
          <w:rFonts w:eastAsia="Times New Roman"/>
          <w:b/>
        </w:rPr>
        <w:t xml:space="preserve">the </w:t>
      </w:r>
      <w:r w:rsidR="00B06798" w:rsidRPr="00436303">
        <w:rPr>
          <w:b/>
        </w:rPr>
        <w:t>devolution of political authority, which is integral to reconciliation and the full enjoyment of human rights b</w:t>
      </w:r>
      <w:r w:rsidR="00F9300E">
        <w:rPr>
          <w:b/>
        </w:rPr>
        <w:t>y all members of its population;</w:t>
      </w:r>
    </w:p>
    <w:p w14:paraId="6AED65F0" w14:textId="77777777" w:rsidR="004015F5" w:rsidRDefault="00E60714" w:rsidP="00953614">
      <w:pPr>
        <w:pStyle w:val="SingleTxtG"/>
        <w:tabs>
          <w:tab w:val="clear" w:pos="1701"/>
          <w:tab w:val="clear" w:pos="2268"/>
        </w:tabs>
        <w:ind w:right="338"/>
        <w:rPr>
          <w:b/>
        </w:rPr>
      </w:pPr>
      <w:r>
        <w:rPr>
          <w:b/>
        </w:rPr>
        <w:tab/>
      </w:r>
      <w:r w:rsidR="006168F4">
        <w:rPr>
          <w:b/>
        </w:rPr>
        <w:tab/>
      </w:r>
      <w:r w:rsidR="006168F4" w:rsidRPr="00AD45C5">
        <w:t>(b)</w:t>
      </w:r>
      <w:r w:rsidR="00953614">
        <w:rPr>
          <w:b/>
        </w:rPr>
        <w:tab/>
      </w:r>
      <w:r w:rsidR="00B06798" w:rsidRPr="00436303">
        <w:rPr>
          <w:b/>
        </w:rPr>
        <w:t xml:space="preserve">Take into account the recommendations made by various UN human rights mechanisms on the protection of human rights in the Constitution and the guarantees needed for effective, independent and </w:t>
      </w:r>
      <w:r w:rsidR="00B06798" w:rsidRPr="00DB5C3B">
        <w:rPr>
          <w:b/>
        </w:rPr>
        <w:t>inclusive national institutions</w:t>
      </w:r>
      <w:r w:rsidR="00800CD4" w:rsidRPr="00DB5C3B">
        <w:rPr>
          <w:b/>
        </w:rPr>
        <w:t>;</w:t>
      </w:r>
    </w:p>
    <w:p w14:paraId="306C8E2B" w14:textId="77777777" w:rsidR="004C786E" w:rsidRPr="00DB5C3B" w:rsidRDefault="00E60714" w:rsidP="00953614">
      <w:pPr>
        <w:pStyle w:val="SingleTxtG"/>
        <w:tabs>
          <w:tab w:val="clear" w:pos="1701"/>
          <w:tab w:val="clear" w:pos="2268"/>
        </w:tabs>
        <w:ind w:right="338"/>
        <w:rPr>
          <w:b/>
        </w:rPr>
      </w:pPr>
      <w:r>
        <w:rPr>
          <w:b/>
        </w:rPr>
        <w:tab/>
      </w:r>
      <w:r w:rsidR="004015F5" w:rsidRPr="00AD45C5">
        <w:tab/>
      </w:r>
      <w:r w:rsidR="00953614" w:rsidRPr="00AD45C5">
        <w:t>(c)</w:t>
      </w:r>
      <w:r w:rsidR="00953614" w:rsidRPr="00AD45C5">
        <w:tab/>
      </w:r>
      <w:r w:rsidR="00764395">
        <w:rPr>
          <w:b/>
        </w:rPr>
        <w:t>Avoid</w:t>
      </w:r>
      <w:r w:rsidR="004C786E">
        <w:rPr>
          <w:b/>
        </w:rPr>
        <w:t xml:space="preserve"> reliance on the military to run civilian affairs and</w:t>
      </w:r>
      <w:r w:rsidR="00764395">
        <w:rPr>
          <w:b/>
        </w:rPr>
        <w:t xml:space="preserve"> take steps to</w:t>
      </w:r>
      <w:r w:rsidR="004C786E">
        <w:rPr>
          <w:b/>
        </w:rPr>
        <w:t xml:space="preserve"> reduce the influence of the military on civilian life</w:t>
      </w:r>
      <w:r w:rsidR="00764395">
        <w:rPr>
          <w:b/>
        </w:rPr>
        <w:t>;</w:t>
      </w:r>
    </w:p>
    <w:p w14:paraId="4F96C357" w14:textId="77777777" w:rsidR="006215B0" w:rsidRDefault="00E60714" w:rsidP="00953614">
      <w:pPr>
        <w:pStyle w:val="SingleTxtG"/>
        <w:tabs>
          <w:tab w:val="clear" w:pos="1701"/>
          <w:tab w:val="clear" w:pos="2268"/>
        </w:tabs>
        <w:ind w:right="338"/>
        <w:rPr>
          <w:b/>
        </w:rPr>
      </w:pPr>
      <w:r>
        <w:rPr>
          <w:b/>
        </w:rPr>
        <w:tab/>
      </w:r>
      <w:r w:rsidR="00436303" w:rsidRPr="00DB5C3B">
        <w:rPr>
          <w:b/>
        </w:rPr>
        <w:tab/>
      </w:r>
      <w:r w:rsidR="00436303" w:rsidRPr="00AD45C5">
        <w:t>(</w:t>
      </w:r>
      <w:r w:rsidR="004015F5" w:rsidRPr="00AD45C5">
        <w:t>d</w:t>
      </w:r>
      <w:r w:rsidR="00436303" w:rsidRPr="00AD45C5">
        <w:t>)</w:t>
      </w:r>
      <w:r w:rsidR="00436303" w:rsidRPr="00DB5C3B">
        <w:rPr>
          <w:b/>
        </w:rPr>
        <w:tab/>
      </w:r>
      <w:r w:rsidR="00EA6416" w:rsidRPr="00DB5C3B">
        <w:rPr>
          <w:b/>
        </w:rPr>
        <w:t>E</w:t>
      </w:r>
      <w:r w:rsidR="00144542" w:rsidRPr="00DB5C3B">
        <w:rPr>
          <w:b/>
        </w:rPr>
        <w:t xml:space="preserve">nsure that the Attorney General’s Department is able to operate independently </w:t>
      </w:r>
      <w:r w:rsidR="008F2B4C">
        <w:rPr>
          <w:b/>
        </w:rPr>
        <w:t xml:space="preserve">in practice </w:t>
      </w:r>
      <w:r w:rsidR="00144542" w:rsidRPr="00DB5C3B">
        <w:rPr>
          <w:b/>
        </w:rPr>
        <w:t xml:space="preserve">and pursue prosecutions against any suspected perpetrators of </w:t>
      </w:r>
      <w:r w:rsidR="00DB5C3B" w:rsidRPr="00DB5C3B">
        <w:rPr>
          <w:b/>
        </w:rPr>
        <w:t>human rights violations and serious violations of international humanitarian law</w:t>
      </w:r>
      <w:r w:rsidR="00144542" w:rsidRPr="00DB5C3B">
        <w:rPr>
          <w:b/>
        </w:rPr>
        <w:t>, irrespective of military rank</w:t>
      </w:r>
      <w:r w:rsidR="008F2B4C">
        <w:rPr>
          <w:b/>
        </w:rPr>
        <w:t>,</w:t>
      </w:r>
      <w:r w:rsidR="00144542" w:rsidRPr="00DB5C3B">
        <w:rPr>
          <w:b/>
        </w:rPr>
        <w:t xml:space="preserve"> official </w:t>
      </w:r>
      <w:r w:rsidR="008F2B4C">
        <w:rPr>
          <w:b/>
        </w:rPr>
        <w:t xml:space="preserve">or other </w:t>
      </w:r>
      <w:r w:rsidR="00144542" w:rsidRPr="00DB5C3B">
        <w:rPr>
          <w:b/>
        </w:rPr>
        <w:t>position</w:t>
      </w:r>
      <w:r w:rsidR="008F2B4C">
        <w:rPr>
          <w:b/>
        </w:rPr>
        <w:t xml:space="preserve"> of power</w:t>
      </w:r>
      <w:r w:rsidR="00615C69" w:rsidRPr="00DB5C3B">
        <w:rPr>
          <w:b/>
        </w:rPr>
        <w:t>;</w:t>
      </w:r>
    </w:p>
    <w:p w14:paraId="65D0B187" w14:textId="77777777" w:rsidR="006215B0" w:rsidRDefault="00E60714" w:rsidP="00E60714">
      <w:pPr>
        <w:pStyle w:val="SingleTxtG"/>
        <w:tabs>
          <w:tab w:val="clear" w:pos="1701"/>
          <w:tab w:val="clear" w:pos="2268"/>
        </w:tabs>
        <w:ind w:right="338"/>
        <w:rPr>
          <w:b/>
          <w:bCs/>
        </w:rPr>
      </w:pPr>
      <w:r>
        <w:rPr>
          <w:b/>
        </w:rPr>
        <w:tab/>
      </w:r>
      <w:r>
        <w:rPr>
          <w:b/>
        </w:rPr>
        <w:tab/>
      </w:r>
      <w:r w:rsidR="006215B0" w:rsidRPr="00AD45C5">
        <w:t>(</w:t>
      </w:r>
      <w:r w:rsidR="00EF6742" w:rsidRPr="00AD45C5">
        <w:t>e</w:t>
      </w:r>
      <w:r w:rsidR="006215B0" w:rsidRPr="00AD45C5">
        <w:t>)</w:t>
      </w:r>
      <w:r>
        <w:rPr>
          <w:b/>
        </w:rPr>
        <w:tab/>
      </w:r>
      <w:r w:rsidR="006215B0" w:rsidRPr="009D05FE">
        <w:rPr>
          <w:b/>
          <w:bCs/>
          <w:shd w:val="clear" w:color="auto" w:fill="FFFFFF"/>
        </w:rPr>
        <w:t xml:space="preserve">Take </w:t>
      </w:r>
      <w:r w:rsidR="006168F4">
        <w:rPr>
          <w:b/>
          <w:bCs/>
          <w:shd w:val="clear" w:color="auto" w:fill="FFFFFF"/>
        </w:rPr>
        <w:t xml:space="preserve">a </w:t>
      </w:r>
      <w:r w:rsidR="006215B0" w:rsidRPr="009D05FE">
        <w:rPr>
          <w:b/>
          <w:bCs/>
          <w:shd w:val="clear" w:color="auto" w:fill="FFFFFF"/>
        </w:rPr>
        <w:t xml:space="preserve">comprehensive approach </w:t>
      </w:r>
      <w:r w:rsidR="006215B0" w:rsidRPr="009D05FE">
        <w:rPr>
          <w:rFonts w:eastAsia="Times New Roman"/>
          <w:b/>
          <w:bCs/>
          <w:lang w:eastAsia="en-GB"/>
        </w:rPr>
        <w:t>to determine the fate and whereabouts of all the disappeared</w:t>
      </w:r>
      <w:r w:rsidR="006215B0" w:rsidRPr="009D05FE">
        <w:rPr>
          <w:b/>
          <w:bCs/>
          <w:shd w:val="clear" w:color="auto" w:fill="FFFFFF"/>
        </w:rPr>
        <w:t>, including immediately opening</w:t>
      </w:r>
      <w:r w:rsidR="006215B0" w:rsidRPr="009D05FE">
        <w:rPr>
          <w:b/>
          <w:bCs/>
        </w:rPr>
        <w:t xml:space="preserve"> military archives relevant to cases of enforced disappearance, independently investigate all those suspected of criminal responsibility for the enforced disappearance, and provide comprehensive reparation to the families</w:t>
      </w:r>
      <w:r w:rsidR="006215B0">
        <w:rPr>
          <w:b/>
          <w:bCs/>
        </w:rPr>
        <w:t xml:space="preserve"> of the disappeared;</w:t>
      </w:r>
      <w:r w:rsidR="006215B0">
        <w:rPr>
          <w:rStyle w:val="FootnoteReference"/>
          <w:b/>
          <w:bCs/>
        </w:rPr>
        <w:footnoteReference w:id="73"/>
      </w:r>
    </w:p>
    <w:p w14:paraId="1237687B" w14:textId="2610A57E" w:rsidR="009B0349" w:rsidRPr="00DB5C3B" w:rsidRDefault="00E60714" w:rsidP="00E60714">
      <w:pPr>
        <w:pStyle w:val="SingleTxtG"/>
        <w:tabs>
          <w:tab w:val="clear" w:pos="1701"/>
          <w:tab w:val="clear" w:pos="2268"/>
        </w:tabs>
        <w:ind w:right="338"/>
        <w:rPr>
          <w:b/>
        </w:rPr>
      </w:pPr>
      <w:r>
        <w:rPr>
          <w:b/>
        </w:rPr>
        <w:lastRenderedPageBreak/>
        <w:tab/>
      </w:r>
      <w:r w:rsidR="009B0349">
        <w:rPr>
          <w:b/>
        </w:rPr>
        <w:tab/>
      </w:r>
      <w:r w:rsidR="00726490" w:rsidRPr="00AD45C5">
        <w:t>(</w:t>
      </w:r>
      <w:r w:rsidR="00EF6742" w:rsidRPr="00AD45C5">
        <w:t>f</w:t>
      </w:r>
      <w:r w:rsidR="00726490" w:rsidRPr="00AD45C5">
        <w:t>)</w:t>
      </w:r>
      <w:r>
        <w:rPr>
          <w:b/>
        </w:rPr>
        <w:tab/>
      </w:r>
      <w:r w:rsidR="009B0349">
        <w:rPr>
          <w:b/>
        </w:rPr>
        <w:t xml:space="preserve">Publish the findings of the Commission of Inquiry into the 2019 Easter Sunday bombings to ensure transparency for victims and pursue further independent investigations into the involvement of any </w:t>
      </w:r>
      <w:r w:rsidR="00F9300E">
        <w:rPr>
          <w:b/>
        </w:rPr>
        <w:t>other state or non-state actors;</w:t>
      </w:r>
    </w:p>
    <w:p w14:paraId="72AFE164" w14:textId="77777777" w:rsidR="002620A1" w:rsidRDefault="00E60714" w:rsidP="00E60714">
      <w:pPr>
        <w:pStyle w:val="SingleTxtG"/>
        <w:tabs>
          <w:tab w:val="clear" w:pos="1701"/>
          <w:tab w:val="clear" w:pos="2268"/>
        </w:tabs>
        <w:ind w:right="338"/>
        <w:rPr>
          <w:b/>
          <w:bCs/>
        </w:rPr>
      </w:pPr>
      <w:r>
        <w:rPr>
          <w:b/>
        </w:rPr>
        <w:tab/>
      </w:r>
      <w:r w:rsidR="00436303" w:rsidRPr="00436303">
        <w:rPr>
          <w:b/>
        </w:rPr>
        <w:tab/>
      </w:r>
      <w:r w:rsidR="00436303" w:rsidRPr="00AD45C5">
        <w:t>(</w:t>
      </w:r>
      <w:r w:rsidR="004015F5" w:rsidRPr="00AD45C5">
        <w:t>g</w:t>
      </w:r>
      <w:r w:rsidR="00436303" w:rsidRPr="00AD45C5">
        <w:t>)</w:t>
      </w:r>
      <w:r w:rsidR="00436303" w:rsidRPr="00436303">
        <w:rPr>
          <w:b/>
        </w:rPr>
        <w:tab/>
      </w:r>
      <w:r w:rsidR="009B0349">
        <w:rPr>
          <w:b/>
        </w:rPr>
        <w:t xml:space="preserve">Undertake more fundamental reforms to the Prevention of Terrorism Act to ensure it fully complies with Sri Lanka’s </w:t>
      </w:r>
      <w:r w:rsidR="009B0349" w:rsidRPr="00436303">
        <w:rPr>
          <w:b/>
          <w:bCs/>
        </w:rPr>
        <w:t>international law obligations,</w:t>
      </w:r>
      <w:r w:rsidR="009B0349">
        <w:rPr>
          <w:b/>
          <w:bCs/>
        </w:rPr>
        <w:t xml:space="preserve">; </w:t>
      </w:r>
      <w:r w:rsidR="00341635">
        <w:rPr>
          <w:b/>
          <w:bCs/>
        </w:rPr>
        <w:t xml:space="preserve">in the meantime, </w:t>
      </w:r>
      <w:r w:rsidR="00E61E1F">
        <w:rPr>
          <w:b/>
        </w:rPr>
        <w:t>e</w:t>
      </w:r>
      <w:r w:rsidR="008D06D3" w:rsidRPr="00436303">
        <w:rPr>
          <w:b/>
        </w:rPr>
        <w:t>stablish a</w:t>
      </w:r>
      <w:r w:rsidR="00405BC7">
        <w:rPr>
          <w:b/>
        </w:rPr>
        <w:t xml:space="preserve"> </w:t>
      </w:r>
      <w:r w:rsidR="008D06D3" w:rsidRPr="00436303">
        <w:rPr>
          <w:b/>
        </w:rPr>
        <w:t xml:space="preserve">moratorium on the use of the Prevention of Terrorism Act until it is replaced by legislation that </w:t>
      </w:r>
      <w:r w:rsidR="0028434E">
        <w:rPr>
          <w:b/>
        </w:rPr>
        <w:t xml:space="preserve">fully </w:t>
      </w:r>
      <w:r w:rsidR="001D58A7">
        <w:rPr>
          <w:b/>
        </w:rPr>
        <w:t xml:space="preserve">complies with </w:t>
      </w:r>
      <w:r w:rsidR="008D06D3" w:rsidRPr="00436303">
        <w:rPr>
          <w:b/>
          <w:bCs/>
        </w:rPr>
        <w:t xml:space="preserve">international </w:t>
      </w:r>
      <w:r w:rsidR="009B0349">
        <w:rPr>
          <w:b/>
          <w:bCs/>
        </w:rPr>
        <w:t>human rights norms and standards</w:t>
      </w:r>
      <w:r w:rsidR="00436303" w:rsidRPr="00436303">
        <w:rPr>
          <w:b/>
          <w:bCs/>
        </w:rPr>
        <w:t>;</w:t>
      </w:r>
      <w:bookmarkStart w:id="20" w:name="_GoBack"/>
      <w:r w:rsidR="008D06D3" w:rsidRPr="00CC6094">
        <w:rPr>
          <w:rStyle w:val="FootnoteReference"/>
          <w:bCs/>
          <w:sz w:val="20"/>
        </w:rPr>
        <w:footnoteReference w:id="74"/>
      </w:r>
      <w:bookmarkEnd w:id="20"/>
    </w:p>
    <w:p w14:paraId="6066A7B2" w14:textId="77777777" w:rsidR="00341635" w:rsidRPr="00436303" w:rsidRDefault="00E60714" w:rsidP="00E60714">
      <w:pPr>
        <w:pStyle w:val="SingleTxtG"/>
        <w:tabs>
          <w:tab w:val="clear" w:pos="1701"/>
          <w:tab w:val="clear" w:pos="2268"/>
        </w:tabs>
        <w:ind w:right="338"/>
        <w:rPr>
          <w:b/>
          <w:bCs/>
        </w:rPr>
      </w:pPr>
      <w:r>
        <w:rPr>
          <w:b/>
          <w:bCs/>
        </w:rPr>
        <w:tab/>
      </w:r>
      <w:r w:rsidR="00341635">
        <w:rPr>
          <w:b/>
          <w:bCs/>
        </w:rPr>
        <w:tab/>
      </w:r>
      <w:r w:rsidR="00341635" w:rsidRPr="00AD45C5">
        <w:rPr>
          <w:bCs/>
        </w:rPr>
        <w:t>(h)</w:t>
      </w:r>
      <w:r>
        <w:rPr>
          <w:b/>
          <w:bCs/>
        </w:rPr>
        <w:tab/>
      </w:r>
      <w:r w:rsidR="00341635" w:rsidRPr="00B93589">
        <w:rPr>
          <w:b/>
          <w:bCs/>
        </w:rPr>
        <w:t xml:space="preserve">Expedite the review of all detainees held under the PTA and release everyone detained without sufficient legal and evidentiary basis. </w:t>
      </w:r>
      <w:r w:rsidR="00341635">
        <w:rPr>
          <w:b/>
          <w:bCs/>
        </w:rPr>
        <w:t>Ensure that counter terrorism measures do not undermine democratic and civic space;</w:t>
      </w:r>
    </w:p>
    <w:p w14:paraId="5D3C46EE" w14:textId="77777777" w:rsidR="00990FF5" w:rsidRPr="00990FF5" w:rsidRDefault="00E60714" w:rsidP="00E60714">
      <w:pPr>
        <w:pStyle w:val="SingleTxtG"/>
        <w:tabs>
          <w:tab w:val="clear" w:pos="1701"/>
          <w:tab w:val="clear" w:pos="2268"/>
        </w:tabs>
        <w:ind w:right="338"/>
        <w:rPr>
          <w:b/>
        </w:rPr>
      </w:pPr>
      <w:r>
        <w:rPr>
          <w:b/>
          <w:bCs/>
        </w:rPr>
        <w:tab/>
      </w:r>
      <w:r w:rsidR="00436303" w:rsidRPr="00436303">
        <w:rPr>
          <w:b/>
          <w:bCs/>
        </w:rPr>
        <w:tab/>
      </w:r>
      <w:r w:rsidR="00436303" w:rsidRPr="00AD45C5">
        <w:rPr>
          <w:bCs/>
        </w:rPr>
        <w:t>(</w:t>
      </w:r>
      <w:proofErr w:type="spellStart"/>
      <w:r w:rsidR="00341635" w:rsidRPr="00AD45C5">
        <w:rPr>
          <w:bCs/>
        </w:rPr>
        <w:t>i</w:t>
      </w:r>
      <w:proofErr w:type="spellEnd"/>
      <w:r w:rsidR="00436303" w:rsidRPr="00AD45C5">
        <w:rPr>
          <w:bCs/>
        </w:rPr>
        <w:t>)</w:t>
      </w:r>
      <w:r w:rsidR="00436303" w:rsidRPr="00436303">
        <w:rPr>
          <w:b/>
          <w:bCs/>
        </w:rPr>
        <w:tab/>
      </w:r>
      <w:r w:rsidR="004113AC" w:rsidRPr="00436303">
        <w:rPr>
          <w:b/>
          <w:bCs/>
        </w:rPr>
        <w:t xml:space="preserve">Ensure inclusive and broad-based consultation in the drafting and amendment of key laws, including the Prevention of Terrorism Act, the </w:t>
      </w:r>
      <w:r w:rsidR="004113AC" w:rsidRPr="00436303">
        <w:rPr>
          <w:b/>
        </w:rPr>
        <w:t>Voluntary Social Services (Registration and Supervision) Act, the Muslim Marriage and Divorce Act and other personal laws;</w:t>
      </w:r>
    </w:p>
    <w:p w14:paraId="6C7A0E8C" w14:textId="77777777" w:rsidR="00800CD4" w:rsidRPr="00436303" w:rsidRDefault="00E60714" w:rsidP="00E60714">
      <w:pPr>
        <w:pStyle w:val="SingleTxtG"/>
        <w:tabs>
          <w:tab w:val="clear" w:pos="1701"/>
          <w:tab w:val="clear" w:pos="2268"/>
        </w:tabs>
        <w:ind w:right="338"/>
        <w:rPr>
          <w:b/>
          <w:bCs/>
        </w:rPr>
      </w:pPr>
      <w:r>
        <w:rPr>
          <w:b/>
        </w:rPr>
        <w:tab/>
      </w:r>
      <w:r w:rsidR="00436303" w:rsidRPr="00436303">
        <w:rPr>
          <w:b/>
        </w:rPr>
        <w:tab/>
      </w:r>
      <w:r w:rsidR="00436303" w:rsidRPr="00AD45C5">
        <w:t>(</w:t>
      </w:r>
      <w:r w:rsidR="00341635" w:rsidRPr="00AD45C5">
        <w:t>j</w:t>
      </w:r>
      <w:r w:rsidR="00436303" w:rsidRPr="00AD45C5">
        <w:t>)</w:t>
      </w:r>
      <w:r w:rsidR="00436303" w:rsidRPr="00436303">
        <w:rPr>
          <w:b/>
        </w:rPr>
        <w:tab/>
      </w:r>
      <w:r w:rsidR="00800CD4" w:rsidRPr="00436303">
        <w:rPr>
          <w:b/>
        </w:rPr>
        <w:t>Order all security agencies to immediately end all forms of surveillance and harassment of and reprisals against human rights defenders, social actors</w:t>
      </w:r>
      <w:r w:rsidR="00990FF5">
        <w:rPr>
          <w:b/>
        </w:rPr>
        <w:t>,</w:t>
      </w:r>
      <w:r w:rsidR="00800CD4" w:rsidRPr="00436303">
        <w:rPr>
          <w:b/>
        </w:rPr>
        <w:t xml:space="preserve"> victims</w:t>
      </w:r>
      <w:r w:rsidR="00990FF5">
        <w:rPr>
          <w:b/>
        </w:rPr>
        <w:t xml:space="preserve"> and their families</w:t>
      </w:r>
      <w:r w:rsidR="00800CD4" w:rsidRPr="00436303">
        <w:rPr>
          <w:b/>
        </w:rPr>
        <w:t xml:space="preserve"> of human rights violations;</w:t>
      </w:r>
    </w:p>
    <w:p w14:paraId="218CF4E4" w14:textId="77777777" w:rsidR="002620A1" w:rsidRPr="00436303" w:rsidRDefault="00436303" w:rsidP="00E60714">
      <w:pPr>
        <w:pStyle w:val="SingleTxtG"/>
        <w:tabs>
          <w:tab w:val="clear" w:pos="1701"/>
          <w:tab w:val="clear" w:pos="2268"/>
        </w:tabs>
        <w:ind w:right="338"/>
        <w:rPr>
          <w:b/>
          <w:bCs/>
        </w:rPr>
      </w:pPr>
      <w:r w:rsidRPr="00436303">
        <w:rPr>
          <w:b/>
        </w:rPr>
        <w:tab/>
      </w:r>
      <w:r w:rsidR="00E60714">
        <w:rPr>
          <w:b/>
        </w:rPr>
        <w:tab/>
      </w:r>
      <w:r w:rsidRPr="00AD45C5">
        <w:t>(</w:t>
      </w:r>
      <w:r w:rsidR="00341635" w:rsidRPr="00AD45C5">
        <w:t>k</w:t>
      </w:r>
      <w:r w:rsidRPr="00AD45C5">
        <w:t>)</w:t>
      </w:r>
      <w:r w:rsidRPr="00436303">
        <w:rPr>
          <w:b/>
        </w:rPr>
        <w:tab/>
      </w:r>
      <w:r w:rsidR="00A37CD4" w:rsidRPr="00642565">
        <w:rPr>
          <w:b/>
          <w:bCs/>
        </w:rPr>
        <w:t>Adjudicate land disputes in ways that are transparent, consultative, impartial and no</w:t>
      </w:r>
      <w:r w:rsidR="001D58A7">
        <w:rPr>
          <w:b/>
          <w:bCs/>
        </w:rPr>
        <w:t>n-</w:t>
      </w:r>
      <w:r w:rsidR="00A37CD4" w:rsidRPr="00642565">
        <w:rPr>
          <w:b/>
          <w:bCs/>
        </w:rPr>
        <w:t>discriminatory</w:t>
      </w:r>
      <w:r w:rsidR="001D58A7">
        <w:rPr>
          <w:rFonts w:eastAsia="Times New Roman"/>
          <w:b/>
          <w:bCs/>
          <w:lang w:eastAsia="en-GB"/>
        </w:rPr>
        <w:t xml:space="preserve"> and ensure inter-faith dialogue on the erection of religious sites</w:t>
      </w:r>
      <w:r w:rsidR="00E059D2">
        <w:rPr>
          <w:rFonts w:eastAsia="Times New Roman"/>
          <w:b/>
          <w:bCs/>
          <w:lang w:eastAsia="en-GB"/>
        </w:rPr>
        <w:t>.</w:t>
      </w:r>
    </w:p>
    <w:p w14:paraId="379B9530" w14:textId="77777777" w:rsidR="002620A1" w:rsidRPr="00436303" w:rsidRDefault="004015F5" w:rsidP="00EA33A2">
      <w:pPr>
        <w:pStyle w:val="SingleTxtG"/>
        <w:ind w:right="338"/>
        <w:rPr>
          <w:b/>
        </w:rPr>
      </w:pPr>
      <w:r w:rsidRPr="00AD45C5">
        <w:t>6</w:t>
      </w:r>
      <w:r w:rsidR="00172D73" w:rsidRPr="00AD45C5">
        <w:t>8</w:t>
      </w:r>
      <w:r w:rsidR="00CE6027" w:rsidRPr="00AD45C5">
        <w:t>.</w:t>
      </w:r>
      <w:r w:rsidR="00CE6027">
        <w:rPr>
          <w:b/>
        </w:rPr>
        <w:tab/>
      </w:r>
      <w:r w:rsidR="00B77E3B" w:rsidRPr="00436303">
        <w:rPr>
          <w:b/>
        </w:rPr>
        <w:t xml:space="preserve">The High Commissioner reiterates </w:t>
      </w:r>
      <w:r w:rsidR="00B740E9" w:rsidRPr="00436303">
        <w:rPr>
          <w:b/>
        </w:rPr>
        <w:t xml:space="preserve">the </w:t>
      </w:r>
      <w:r w:rsidR="00CE2260" w:rsidRPr="00436303">
        <w:rPr>
          <w:b/>
        </w:rPr>
        <w:t>recommend</w:t>
      </w:r>
      <w:r w:rsidR="00B740E9" w:rsidRPr="00436303">
        <w:rPr>
          <w:b/>
        </w:rPr>
        <w:t>ations</w:t>
      </w:r>
      <w:r w:rsidR="00CE2260" w:rsidRPr="00436303">
        <w:rPr>
          <w:b/>
        </w:rPr>
        <w:t xml:space="preserve"> </w:t>
      </w:r>
      <w:r w:rsidR="00B740E9" w:rsidRPr="00436303">
        <w:rPr>
          <w:b/>
        </w:rPr>
        <w:t>she made in paragraph 6</w:t>
      </w:r>
      <w:r w:rsidR="002910A0">
        <w:rPr>
          <w:b/>
        </w:rPr>
        <w:t>1</w:t>
      </w:r>
      <w:r w:rsidR="00B740E9" w:rsidRPr="00436303">
        <w:rPr>
          <w:b/>
        </w:rPr>
        <w:t xml:space="preserve"> of her 2021 report to </w:t>
      </w:r>
      <w:r w:rsidR="00CE2260" w:rsidRPr="00436303">
        <w:rPr>
          <w:b/>
        </w:rPr>
        <w:t>the Council and Member States</w:t>
      </w:r>
      <w:r w:rsidR="00B77E3B" w:rsidRPr="00436303">
        <w:rPr>
          <w:b/>
        </w:rPr>
        <w:t xml:space="preserve"> and </w:t>
      </w:r>
      <w:r w:rsidR="00B740E9" w:rsidRPr="00436303">
        <w:rPr>
          <w:b/>
        </w:rPr>
        <w:t xml:space="preserve">further </w:t>
      </w:r>
      <w:r w:rsidR="00B62CED" w:rsidRPr="00436303">
        <w:rPr>
          <w:b/>
        </w:rPr>
        <w:t>recommends</w:t>
      </w:r>
      <w:r w:rsidR="00852E73" w:rsidRPr="00436303">
        <w:rPr>
          <w:b/>
        </w:rPr>
        <w:t xml:space="preserve"> th</w:t>
      </w:r>
      <w:r w:rsidR="00E81896">
        <w:rPr>
          <w:b/>
        </w:rPr>
        <w:t>at they</w:t>
      </w:r>
      <w:r w:rsidR="00CE2260" w:rsidRPr="00436303">
        <w:rPr>
          <w:b/>
        </w:rPr>
        <w:t>:</w:t>
      </w:r>
      <w:r w:rsidR="002910A0" w:rsidRPr="00AD45C5">
        <w:rPr>
          <w:rStyle w:val="FootnoteReference"/>
        </w:rPr>
        <w:footnoteReference w:id="75"/>
      </w:r>
    </w:p>
    <w:p w14:paraId="66B71B6A" w14:textId="77777777" w:rsidR="008A73ED" w:rsidRPr="00436303" w:rsidRDefault="00E60714" w:rsidP="00E60714">
      <w:pPr>
        <w:pStyle w:val="SingleTxtG"/>
        <w:tabs>
          <w:tab w:val="clear" w:pos="1701"/>
          <w:tab w:val="clear" w:pos="2268"/>
        </w:tabs>
        <w:ind w:right="338"/>
        <w:rPr>
          <w:b/>
        </w:rPr>
      </w:pPr>
      <w:r>
        <w:rPr>
          <w:b/>
        </w:rPr>
        <w:tab/>
      </w:r>
      <w:r w:rsidR="00436303">
        <w:rPr>
          <w:b/>
        </w:rPr>
        <w:tab/>
      </w:r>
      <w:r w:rsidR="00436303" w:rsidRPr="00AD45C5">
        <w:t>(</w:t>
      </w:r>
      <w:r w:rsidR="00E81896" w:rsidRPr="00AD45C5">
        <w:t>a</w:t>
      </w:r>
      <w:r w:rsidR="00436303" w:rsidRPr="00AD45C5">
        <w:t>)</w:t>
      </w:r>
      <w:r w:rsidR="00436303">
        <w:rPr>
          <w:b/>
        </w:rPr>
        <w:tab/>
      </w:r>
      <w:r w:rsidR="00CE2260" w:rsidRPr="00436303">
        <w:rPr>
          <w:b/>
        </w:rPr>
        <w:t>Cooperate with victims and their representatives to investigate and prosecute international crimes committed by all parties in Sri Lanka through judicial proceedings in domestic jurisdictions, including under accepted principles of extraterritorial or universal jurisdictio</w:t>
      </w:r>
      <w:r w:rsidR="006D021B" w:rsidRPr="00436303">
        <w:rPr>
          <w:b/>
        </w:rPr>
        <w:t>ns and</w:t>
      </w:r>
      <w:r w:rsidR="004A0DF3">
        <w:rPr>
          <w:b/>
        </w:rPr>
        <w:t xml:space="preserve"> </w:t>
      </w:r>
      <w:r w:rsidR="00E81896">
        <w:rPr>
          <w:b/>
        </w:rPr>
        <w:t xml:space="preserve">continue to </w:t>
      </w:r>
      <w:r w:rsidR="006D021B" w:rsidRPr="00436303">
        <w:rPr>
          <w:b/>
        </w:rPr>
        <w:t>explore possible targeted sanctions against credibly alleged perpetrators of grave human rights violations and abuses;</w:t>
      </w:r>
      <w:r w:rsidR="00CE2260" w:rsidRPr="00436303">
        <w:rPr>
          <w:b/>
        </w:rPr>
        <w:t xml:space="preserve"> </w:t>
      </w:r>
    </w:p>
    <w:p w14:paraId="19A3AE91" w14:textId="77777777" w:rsidR="00E81896" w:rsidRDefault="00E60714" w:rsidP="00E60714">
      <w:pPr>
        <w:pStyle w:val="SingleTxtG"/>
        <w:tabs>
          <w:tab w:val="clear" w:pos="1701"/>
          <w:tab w:val="clear" w:pos="2268"/>
        </w:tabs>
        <w:ind w:right="338"/>
        <w:rPr>
          <w:b/>
        </w:rPr>
      </w:pPr>
      <w:r>
        <w:rPr>
          <w:b/>
        </w:rPr>
        <w:tab/>
      </w:r>
      <w:r w:rsidR="00436303">
        <w:rPr>
          <w:b/>
        </w:rPr>
        <w:tab/>
      </w:r>
      <w:r w:rsidR="00436303" w:rsidRPr="00AD45C5">
        <w:t>(</w:t>
      </w:r>
      <w:r w:rsidR="00E81896" w:rsidRPr="00AD45C5">
        <w:t>b</w:t>
      </w:r>
      <w:r w:rsidR="00436303" w:rsidRPr="00AD45C5">
        <w:t>)</w:t>
      </w:r>
      <w:r w:rsidR="00436303">
        <w:rPr>
          <w:b/>
        </w:rPr>
        <w:tab/>
      </w:r>
      <w:r w:rsidR="00CE2260" w:rsidRPr="00436303">
        <w:rPr>
          <w:b/>
        </w:rPr>
        <w:t xml:space="preserve">Review asylum measures with respect to Sri Lankan nationals to protect those facing reprisals and </w:t>
      </w:r>
      <w:r w:rsidR="0000065C">
        <w:rPr>
          <w:b/>
        </w:rPr>
        <w:t>refrain</w:t>
      </w:r>
      <w:r w:rsidR="0000065C" w:rsidRPr="00436303">
        <w:rPr>
          <w:b/>
        </w:rPr>
        <w:t xml:space="preserve"> </w:t>
      </w:r>
      <w:r w:rsidR="0000065C">
        <w:rPr>
          <w:b/>
        </w:rPr>
        <w:t xml:space="preserve">from </w:t>
      </w:r>
      <w:r w:rsidR="00CE2260" w:rsidRPr="00436303">
        <w:rPr>
          <w:b/>
        </w:rPr>
        <w:t xml:space="preserve">any </w:t>
      </w:r>
      <w:proofErr w:type="spellStart"/>
      <w:r w:rsidR="00CE2260" w:rsidRPr="00436303">
        <w:rPr>
          <w:b/>
        </w:rPr>
        <w:t>refoulement</w:t>
      </w:r>
      <w:proofErr w:type="spellEnd"/>
      <w:r w:rsidR="00CE2260" w:rsidRPr="00436303">
        <w:rPr>
          <w:b/>
        </w:rPr>
        <w:t xml:space="preserve"> in cases that present real risk of torture or other serious human rights violations</w:t>
      </w:r>
      <w:r w:rsidR="00E81896">
        <w:rPr>
          <w:b/>
        </w:rPr>
        <w:t>;</w:t>
      </w:r>
    </w:p>
    <w:p w14:paraId="376CAA39" w14:textId="5FE770B4" w:rsidR="00C6647A" w:rsidRPr="00436303" w:rsidRDefault="00E60714" w:rsidP="00E60714">
      <w:pPr>
        <w:pStyle w:val="SingleTxtG"/>
        <w:tabs>
          <w:tab w:val="clear" w:pos="1701"/>
          <w:tab w:val="clear" w:pos="2268"/>
        </w:tabs>
        <w:ind w:right="338"/>
        <w:rPr>
          <w:b/>
        </w:rPr>
      </w:pPr>
      <w:r>
        <w:rPr>
          <w:b/>
        </w:rPr>
        <w:tab/>
      </w:r>
      <w:r w:rsidR="00E81896" w:rsidRPr="00AD45C5">
        <w:tab/>
      </w:r>
      <w:r w:rsidR="00CA690B" w:rsidRPr="00AD45C5">
        <w:t>(c)</w:t>
      </w:r>
      <w:r w:rsidR="00AD45C5">
        <w:rPr>
          <w:b/>
        </w:rPr>
        <w:tab/>
      </w:r>
      <w:r w:rsidR="004A0DF3">
        <w:rPr>
          <w:b/>
        </w:rPr>
        <w:t xml:space="preserve">Cooperate with OHCHR in its discharge of accountability related work under resolution </w:t>
      </w:r>
      <w:r w:rsidR="00E47B82">
        <w:rPr>
          <w:b/>
        </w:rPr>
        <w:t>46/1 and</w:t>
      </w:r>
      <w:r w:rsidR="004A0DF3">
        <w:rPr>
          <w:b/>
        </w:rPr>
        <w:t xml:space="preserve"> p</w:t>
      </w:r>
      <w:r w:rsidR="004A0DF3" w:rsidRPr="00436303">
        <w:rPr>
          <w:b/>
        </w:rPr>
        <w:t xml:space="preserve">rovide </w:t>
      </w:r>
      <w:r w:rsidR="004A0DF3">
        <w:rPr>
          <w:b/>
        </w:rPr>
        <w:t>it with</w:t>
      </w:r>
      <w:r w:rsidR="004A0DF3" w:rsidRPr="00436303">
        <w:rPr>
          <w:b/>
        </w:rPr>
        <w:t xml:space="preserve"> adequate human and financial resources to enable </w:t>
      </w:r>
      <w:r w:rsidR="004A0DF3">
        <w:rPr>
          <w:b/>
        </w:rPr>
        <w:t xml:space="preserve">it </w:t>
      </w:r>
      <w:r w:rsidR="004A0DF3" w:rsidRPr="00436303">
        <w:rPr>
          <w:b/>
        </w:rPr>
        <w:t xml:space="preserve">to effectively deliver the </w:t>
      </w:r>
      <w:r w:rsidR="004A0DF3">
        <w:rPr>
          <w:b/>
        </w:rPr>
        <w:t xml:space="preserve">full </w:t>
      </w:r>
      <w:r w:rsidR="004A0DF3" w:rsidRPr="00436303">
        <w:rPr>
          <w:b/>
        </w:rPr>
        <w:t xml:space="preserve">mandate given under </w:t>
      </w:r>
      <w:r w:rsidR="004A0DF3">
        <w:rPr>
          <w:b/>
        </w:rPr>
        <w:t xml:space="preserve">the </w:t>
      </w:r>
      <w:r w:rsidR="004A0DF3" w:rsidRPr="00436303">
        <w:rPr>
          <w:b/>
        </w:rPr>
        <w:t>resolution</w:t>
      </w:r>
      <w:r w:rsidR="003F3CAF">
        <w:rPr>
          <w:b/>
        </w:rPr>
        <w:t>.</w:t>
      </w:r>
    </w:p>
    <w:p w14:paraId="5ECB135D" w14:textId="77777777" w:rsidR="00800CD4" w:rsidRPr="00436303" w:rsidRDefault="00F77F73" w:rsidP="00EA33A2">
      <w:pPr>
        <w:pStyle w:val="SingleTxtG"/>
        <w:ind w:right="338"/>
        <w:rPr>
          <w:b/>
        </w:rPr>
      </w:pPr>
      <w:r w:rsidRPr="00AD45C5">
        <w:t>6</w:t>
      </w:r>
      <w:r w:rsidR="00172D73" w:rsidRPr="00AD45C5">
        <w:t>9</w:t>
      </w:r>
      <w:r w:rsidR="009B2875" w:rsidRPr="00AD45C5">
        <w:t>.</w:t>
      </w:r>
      <w:r w:rsidR="009B2875">
        <w:rPr>
          <w:b/>
        </w:rPr>
        <w:tab/>
      </w:r>
      <w:r w:rsidR="00CE2260" w:rsidRPr="00436303">
        <w:rPr>
          <w:b/>
        </w:rPr>
        <w:t xml:space="preserve">The High Commissioner recommends that United Nations entities: </w:t>
      </w:r>
    </w:p>
    <w:p w14:paraId="2FB2BBA4" w14:textId="77777777" w:rsidR="00800CD4" w:rsidRPr="00436303" w:rsidRDefault="00436303" w:rsidP="00E60714">
      <w:pPr>
        <w:pStyle w:val="SingleTxtG"/>
        <w:tabs>
          <w:tab w:val="clear" w:pos="1701"/>
          <w:tab w:val="clear" w:pos="2268"/>
        </w:tabs>
        <w:ind w:right="338"/>
        <w:rPr>
          <w:b/>
        </w:rPr>
      </w:pPr>
      <w:r>
        <w:rPr>
          <w:b/>
        </w:rPr>
        <w:tab/>
      </w:r>
      <w:r w:rsidR="00E60714">
        <w:rPr>
          <w:b/>
        </w:rPr>
        <w:tab/>
      </w:r>
      <w:r w:rsidRPr="00AD45C5">
        <w:t>(</w:t>
      </w:r>
      <w:r w:rsidR="002910A0" w:rsidRPr="00AD45C5">
        <w:t>a</w:t>
      </w:r>
      <w:r w:rsidRPr="00AD45C5">
        <w:t>)</w:t>
      </w:r>
      <w:r w:rsidR="00E60714" w:rsidRPr="00AD45C5">
        <w:tab/>
      </w:r>
      <w:r w:rsidR="0057305F" w:rsidRPr="00436303">
        <w:rPr>
          <w:b/>
        </w:rPr>
        <w:t xml:space="preserve">Scale up </w:t>
      </w:r>
      <w:r w:rsidR="001A2D93">
        <w:rPr>
          <w:b/>
        </w:rPr>
        <w:t xml:space="preserve">their </w:t>
      </w:r>
      <w:r w:rsidR="0057305F" w:rsidRPr="00436303">
        <w:rPr>
          <w:b/>
        </w:rPr>
        <w:t xml:space="preserve">protection work to </w:t>
      </w:r>
      <w:r w:rsidR="0000065C">
        <w:rPr>
          <w:b/>
        </w:rPr>
        <w:t xml:space="preserve">prevent threats against, and </w:t>
      </w:r>
      <w:r w:rsidR="0057305F" w:rsidRPr="00436303">
        <w:rPr>
          <w:b/>
        </w:rPr>
        <w:t xml:space="preserve">increase support to civil society organizations and </w:t>
      </w:r>
      <w:r w:rsidR="0000065C">
        <w:rPr>
          <w:b/>
        </w:rPr>
        <w:t xml:space="preserve">to firmly </w:t>
      </w:r>
      <w:r w:rsidR="004113AC" w:rsidRPr="00436303">
        <w:rPr>
          <w:b/>
        </w:rPr>
        <w:t>defend</w:t>
      </w:r>
      <w:r w:rsidR="0057305F" w:rsidRPr="00436303">
        <w:rPr>
          <w:b/>
        </w:rPr>
        <w:t xml:space="preserve"> civic space</w:t>
      </w:r>
      <w:r w:rsidR="008A73ED" w:rsidRPr="00436303">
        <w:rPr>
          <w:b/>
        </w:rPr>
        <w:t>;</w:t>
      </w:r>
      <w:r w:rsidR="00C31723" w:rsidRPr="00436303">
        <w:rPr>
          <w:b/>
        </w:rPr>
        <w:t xml:space="preserve"> </w:t>
      </w:r>
    </w:p>
    <w:p w14:paraId="76D548C8" w14:textId="77777777" w:rsidR="00284F7A" w:rsidRPr="00121A76" w:rsidRDefault="00436303" w:rsidP="00E60714">
      <w:pPr>
        <w:pStyle w:val="SingleTxtG"/>
        <w:tabs>
          <w:tab w:val="clear" w:pos="1701"/>
          <w:tab w:val="clear" w:pos="2268"/>
        </w:tabs>
        <w:ind w:right="338"/>
        <w:rPr>
          <w:b/>
        </w:rPr>
      </w:pPr>
      <w:r>
        <w:rPr>
          <w:b/>
        </w:rPr>
        <w:tab/>
      </w:r>
      <w:r w:rsidR="00E60714" w:rsidRPr="00AD45C5">
        <w:tab/>
      </w:r>
      <w:r w:rsidRPr="00AD45C5">
        <w:t>(</w:t>
      </w:r>
      <w:r w:rsidR="002910A0" w:rsidRPr="00AD45C5">
        <w:t>b</w:t>
      </w:r>
      <w:r w:rsidRPr="00AD45C5">
        <w:t>)</w:t>
      </w:r>
      <w:r w:rsidR="00284F7A">
        <w:rPr>
          <w:b/>
        </w:rPr>
        <w:tab/>
      </w:r>
      <w:r w:rsidR="00284F7A" w:rsidRPr="00436303">
        <w:rPr>
          <w:b/>
        </w:rPr>
        <w:t>Ensure strict</w:t>
      </w:r>
      <w:r w:rsidR="00284F7A">
        <w:rPr>
          <w:b/>
        </w:rPr>
        <w:t>, coherent</w:t>
      </w:r>
      <w:r w:rsidR="00284F7A" w:rsidRPr="00436303">
        <w:rPr>
          <w:b/>
        </w:rPr>
        <w:t xml:space="preserve"> and expanded application of human rights due diligence and its </w:t>
      </w:r>
      <w:r w:rsidR="00284F7A" w:rsidRPr="00121A76">
        <w:rPr>
          <w:b/>
        </w:rPr>
        <w:t xml:space="preserve">principles in engagement with the security forces and all bodies under the purview of the Ministry of Defence or the Ministry Public Security, and review their engagement with, and advice </w:t>
      </w:r>
      <w:r w:rsidR="00284F7A">
        <w:rPr>
          <w:b/>
        </w:rPr>
        <w:t>from</w:t>
      </w:r>
      <w:r w:rsidR="00284F7A" w:rsidRPr="00121A76">
        <w:rPr>
          <w:b/>
        </w:rPr>
        <w:t xml:space="preserve"> structures whose independence has been undermined, such as the HRCSL;</w:t>
      </w:r>
    </w:p>
    <w:p w14:paraId="6F56286C" w14:textId="0634D9B5" w:rsidR="00C6647A" w:rsidRPr="00121A76" w:rsidRDefault="00E60714" w:rsidP="00E60714">
      <w:pPr>
        <w:pStyle w:val="SingleTxtG"/>
        <w:tabs>
          <w:tab w:val="clear" w:pos="1701"/>
          <w:tab w:val="clear" w:pos="2268"/>
        </w:tabs>
        <w:ind w:right="338"/>
        <w:rPr>
          <w:b/>
          <w:bCs/>
          <w:lang w:val="en-US"/>
        </w:rPr>
      </w:pPr>
      <w:r>
        <w:rPr>
          <w:b/>
        </w:rPr>
        <w:lastRenderedPageBreak/>
        <w:tab/>
      </w:r>
      <w:r w:rsidR="002910A0" w:rsidRPr="00AD45C5">
        <w:tab/>
        <w:t>(c)</w:t>
      </w:r>
      <w:r w:rsidR="00AD45C5">
        <w:rPr>
          <w:b/>
        </w:rPr>
        <w:tab/>
      </w:r>
      <w:r w:rsidR="00C6647A" w:rsidRPr="00121A76">
        <w:rPr>
          <w:b/>
          <w:bCs/>
          <w:lang w:val="en-US"/>
        </w:rPr>
        <w:t>Advocate with the Government of Sri Lanka to address the concerns of the Global Alliance on National Human Rights Institutions (GANHRI) to ensure the independence of the Human Rights Commission of Sri Lanka;</w:t>
      </w:r>
      <w:r w:rsidR="00284F7A">
        <w:rPr>
          <w:b/>
          <w:bCs/>
          <w:lang w:val="en-US"/>
        </w:rPr>
        <w:t xml:space="preserve"> </w:t>
      </w:r>
    </w:p>
    <w:p w14:paraId="5759BC88" w14:textId="2F2BE021" w:rsidR="0008109D" w:rsidRPr="00C6647A" w:rsidRDefault="00E60714" w:rsidP="00E60714">
      <w:pPr>
        <w:pStyle w:val="SingleTxtG"/>
        <w:tabs>
          <w:tab w:val="clear" w:pos="1701"/>
          <w:tab w:val="clear" w:pos="2268"/>
        </w:tabs>
        <w:ind w:right="338"/>
        <w:rPr>
          <w:b/>
          <w:bCs/>
          <w:lang w:val="en-US"/>
        </w:rPr>
      </w:pPr>
      <w:r>
        <w:rPr>
          <w:b/>
          <w:bCs/>
          <w:lang w:val="en-US"/>
        </w:rPr>
        <w:tab/>
      </w:r>
      <w:r w:rsidR="00E5545E" w:rsidRPr="00AD45C5">
        <w:rPr>
          <w:bCs/>
          <w:lang w:val="en-US"/>
        </w:rPr>
        <w:tab/>
      </w:r>
      <w:r w:rsidR="003F3CAF" w:rsidRPr="00AD45C5">
        <w:rPr>
          <w:bCs/>
          <w:lang w:val="en-US"/>
        </w:rPr>
        <w:t>(d)</w:t>
      </w:r>
      <w:r w:rsidR="00AD45C5">
        <w:rPr>
          <w:b/>
          <w:bCs/>
          <w:lang w:val="en-US"/>
        </w:rPr>
        <w:tab/>
      </w:r>
      <w:r w:rsidR="00C6647A" w:rsidRPr="00121A76">
        <w:rPr>
          <w:b/>
          <w:bCs/>
          <w:lang w:val="en-US"/>
        </w:rPr>
        <w:t>While fully understanding force generation challenges in the context of United Nations peacekeeping, given the current circumstances of the Human Rights Commission of Sri Lanka, review the contributions of Sri Lanka to United Nations peacekeeping operations and the systems for screening Sri Lanka personnel.</w:t>
      </w:r>
    </w:p>
    <w:p w14:paraId="28A28CA4" w14:textId="36447F55" w:rsidR="00436303" w:rsidRPr="00AD45C5" w:rsidRDefault="00436303" w:rsidP="00EA33A2">
      <w:pPr>
        <w:spacing w:before="240"/>
        <w:ind w:left="1134" w:right="338"/>
        <w:jc w:val="center"/>
        <w:rPr>
          <w:bCs/>
          <w:u w:val="single"/>
        </w:rPr>
      </w:pPr>
      <w:r w:rsidRPr="00AD45C5">
        <w:rPr>
          <w:bCs/>
          <w:u w:val="single"/>
        </w:rPr>
        <w:tab/>
      </w:r>
      <w:r w:rsidRPr="00AD45C5">
        <w:rPr>
          <w:bCs/>
          <w:u w:val="single"/>
        </w:rPr>
        <w:tab/>
      </w:r>
      <w:r w:rsidRPr="00AD45C5">
        <w:rPr>
          <w:bCs/>
          <w:u w:val="single"/>
        </w:rPr>
        <w:tab/>
      </w:r>
      <w:r w:rsidR="00AD45C5" w:rsidRPr="00AD45C5">
        <w:rPr>
          <w:bCs/>
          <w:u w:val="single"/>
        </w:rPr>
        <w:tab/>
      </w:r>
    </w:p>
    <w:sectPr w:rsidR="00436303" w:rsidRPr="00AD45C5" w:rsidSect="00D374AE">
      <w:headerReference w:type="even" r:id="rId10"/>
      <w:headerReference w:type="default" r:id="rId11"/>
      <w:footerReference w:type="even" r:id="rId12"/>
      <w:footerReference w:type="default" r:id="rId13"/>
      <w:endnotePr>
        <w:numFmt w:val="decimal"/>
      </w:endnotePr>
      <w:pgSz w:w="11907" w:h="16840" w:code="9"/>
      <w:pgMar w:top="1440" w:right="1984" w:bottom="1440" w:left="1080"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1890" w14:textId="77777777" w:rsidR="00096CDA" w:rsidRPr="00C47B2E" w:rsidRDefault="00096CDA" w:rsidP="00C47B2E">
      <w:pPr>
        <w:pStyle w:val="Footer"/>
      </w:pPr>
    </w:p>
  </w:endnote>
  <w:endnote w:type="continuationSeparator" w:id="0">
    <w:p w14:paraId="7382C042" w14:textId="77777777" w:rsidR="00096CDA" w:rsidRPr="00C47B2E" w:rsidRDefault="00096CDA" w:rsidP="00C47B2E">
      <w:pPr>
        <w:pStyle w:val="Footer"/>
      </w:pPr>
    </w:p>
  </w:endnote>
  <w:endnote w:type="continuationNotice" w:id="1">
    <w:p w14:paraId="527A00E3" w14:textId="77777777" w:rsidR="00096CDA" w:rsidRPr="00C47B2E" w:rsidRDefault="00096CD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D68D" w14:textId="16C8A4CA" w:rsidR="007177B2" w:rsidRDefault="007177B2" w:rsidP="004B13C3">
    <w:pPr>
      <w:pStyle w:val="Footer"/>
      <w:tabs>
        <w:tab w:val="right" w:pos="9638"/>
      </w:tabs>
    </w:pPr>
    <w:r w:rsidRPr="004B13C3">
      <w:rPr>
        <w:b/>
        <w:bCs/>
        <w:sz w:val="18"/>
      </w:rPr>
      <w:fldChar w:fldCharType="begin"/>
    </w:r>
    <w:r w:rsidRPr="004B13C3">
      <w:rPr>
        <w:b/>
        <w:bCs/>
        <w:sz w:val="18"/>
      </w:rPr>
      <w:instrText xml:space="preserve"> PAGE  \* MERGEFORMAT </w:instrText>
    </w:r>
    <w:r w:rsidRPr="004B13C3">
      <w:rPr>
        <w:b/>
        <w:bCs/>
        <w:sz w:val="18"/>
      </w:rPr>
      <w:fldChar w:fldCharType="separate"/>
    </w:r>
    <w:r w:rsidR="00CC6094">
      <w:rPr>
        <w:b/>
        <w:bCs/>
        <w:noProof/>
        <w:sz w:val="18"/>
      </w:rPr>
      <w:t>16</w:t>
    </w:r>
    <w:r w:rsidRPr="004B13C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7D09" w14:textId="3C217AD6" w:rsidR="007177B2" w:rsidRDefault="007177B2" w:rsidP="004B13C3">
    <w:pPr>
      <w:pStyle w:val="Footer"/>
      <w:tabs>
        <w:tab w:val="right" w:pos="9638"/>
      </w:tabs>
    </w:pPr>
    <w:r>
      <w:tab/>
    </w:r>
    <w:r w:rsidRPr="004B13C3">
      <w:rPr>
        <w:b/>
        <w:bCs/>
        <w:sz w:val="18"/>
      </w:rPr>
      <w:fldChar w:fldCharType="begin"/>
    </w:r>
    <w:r w:rsidRPr="004B13C3">
      <w:rPr>
        <w:b/>
        <w:bCs/>
        <w:sz w:val="18"/>
      </w:rPr>
      <w:instrText xml:space="preserve"> PAGE  \* MERGEFORMAT </w:instrText>
    </w:r>
    <w:r w:rsidRPr="004B13C3">
      <w:rPr>
        <w:b/>
        <w:bCs/>
        <w:sz w:val="18"/>
      </w:rPr>
      <w:fldChar w:fldCharType="separate"/>
    </w:r>
    <w:r w:rsidR="00CC6094">
      <w:rPr>
        <w:b/>
        <w:bCs/>
        <w:noProof/>
        <w:sz w:val="18"/>
      </w:rPr>
      <w:t>15</w:t>
    </w:r>
    <w:r w:rsidRPr="004B13C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FC90" w14:textId="77777777" w:rsidR="00096CDA" w:rsidRPr="00C47B2E" w:rsidRDefault="00096CDA" w:rsidP="00C47B2E">
      <w:pPr>
        <w:tabs>
          <w:tab w:val="right" w:pos="2155"/>
        </w:tabs>
        <w:spacing w:after="80" w:line="240" w:lineRule="auto"/>
        <w:ind w:left="680"/>
      </w:pPr>
      <w:r>
        <w:rPr>
          <w:u w:val="single"/>
        </w:rPr>
        <w:tab/>
      </w:r>
    </w:p>
  </w:footnote>
  <w:footnote w:type="continuationSeparator" w:id="0">
    <w:p w14:paraId="41199F04" w14:textId="77777777" w:rsidR="00096CDA" w:rsidRPr="00C47B2E" w:rsidRDefault="00096CDA" w:rsidP="005E716E">
      <w:pPr>
        <w:tabs>
          <w:tab w:val="right" w:pos="2155"/>
        </w:tabs>
        <w:spacing w:after="80" w:line="240" w:lineRule="auto"/>
        <w:ind w:left="680"/>
      </w:pPr>
      <w:r>
        <w:rPr>
          <w:u w:val="single"/>
        </w:rPr>
        <w:tab/>
      </w:r>
    </w:p>
  </w:footnote>
  <w:footnote w:type="continuationNotice" w:id="1">
    <w:p w14:paraId="17BE5F36" w14:textId="77777777" w:rsidR="00096CDA" w:rsidRPr="00C47B2E" w:rsidRDefault="00096CDA" w:rsidP="00C47B2E">
      <w:pPr>
        <w:pStyle w:val="Footer"/>
      </w:pPr>
    </w:p>
  </w:footnote>
  <w:footnote w:id="2">
    <w:p w14:paraId="0EB30567" w14:textId="77777777" w:rsidR="007177B2" w:rsidRPr="003A5998" w:rsidRDefault="007177B2" w:rsidP="004B13C3">
      <w:pPr>
        <w:pStyle w:val="FootnoteText"/>
      </w:pPr>
      <w:r w:rsidRPr="003A5998">
        <w:tab/>
      </w:r>
      <w:r w:rsidRPr="003A5998">
        <w:rPr>
          <w:sz w:val="20"/>
        </w:rPr>
        <w:t>*</w:t>
      </w:r>
      <w:r w:rsidRPr="003A5998">
        <w:rPr>
          <w:sz w:val="20"/>
        </w:rPr>
        <w:tab/>
      </w:r>
      <w:r w:rsidRPr="003A5998">
        <w:t xml:space="preserve">The present report was submitted after the deadline </w:t>
      </w:r>
      <w:r>
        <w:t>to enable</w:t>
      </w:r>
      <w:r w:rsidRPr="003A5998">
        <w:t xml:space="preserve"> cons</w:t>
      </w:r>
      <w:r>
        <w:t>ultations with the Member State.</w:t>
      </w:r>
    </w:p>
  </w:footnote>
  <w:footnote w:id="3">
    <w:p w14:paraId="04E2FEB0" w14:textId="01A2D52F" w:rsidR="007177B2" w:rsidRPr="00EA33A2" w:rsidRDefault="007177B2" w:rsidP="00EA33A2">
      <w:pPr>
        <w:pStyle w:val="FootnoteText"/>
      </w:pPr>
      <w:r>
        <w:tab/>
      </w:r>
      <w:r w:rsidRPr="00EA33A2">
        <w:rPr>
          <w:rStyle w:val="FootnoteReference"/>
        </w:rPr>
        <w:footnoteRef/>
      </w:r>
      <w:r>
        <w:tab/>
      </w:r>
      <w:r w:rsidRPr="00EA33A2">
        <w:t>A/HRC/RES/46/1, para 16</w:t>
      </w:r>
      <w:r w:rsidR="00407495">
        <w:t>.</w:t>
      </w:r>
    </w:p>
  </w:footnote>
  <w:footnote w:id="4">
    <w:p w14:paraId="4425189A" w14:textId="04D9BE93" w:rsidR="00070FF2" w:rsidRPr="007F087A" w:rsidRDefault="007F087A" w:rsidP="007F087A">
      <w:pPr>
        <w:pStyle w:val="FootnoteText"/>
      </w:pPr>
      <w:r>
        <w:tab/>
      </w:r>
      <w:r w:rsidR="00070FF2" w:rsidRPr="007F087A">
        <w:rPr>
          <w:rStyle w:val="FootnoteReference"/>
        </w:rPr>
        <w:footnoteRef/>
      </w:r>
      <w:r>
        <w:tab/>
      </w:r>
      <w:r w:rsidR="00C902FA">
        <w:t>Ibid</w:t>
      </w:r>
      <w:r w:rsidR="00070FF2" w:rsidRPr="007F087A">
        <w:t>, para 6</w:t>
      </w:r>
      <w:r w:rsidR="00407495">
        <w:t>.</w:t>
      </w:r>
    </w:p>
  </w:footnote>
  <w:footnote w:id="5">
    <w:p w14:paraId="328CACEE" w14:textId="091243D0" w:rsidR="007177B2" w:rsidRPr="001E6B7B" w:rsidRDefault="007177B2" w:rsidP="00A628E0">
      <w:pPr>
        <w:pStyle w:val="FootnoteText"/>
        <w:rPr>
          <w:szCs w:val="18"/>
        </w:rPr>
      </w:pPr>
      <w:r w:rsidRPr="001E6B7B">
        <w:rPr>
          <w:szCs w:val="18"/>
          <w:lang w:val="es-ES"/>
        </w:rPr>
        <w:tab/>
      </w:r>
      <w:r w:rsidRPr="001E6B7B">
        <w:rPr>
          <w:rStyle w:val="FootnoteReference"/>
          <w:szCs w:val="18"/>
        </w:rPr>
        <w:footnoteRef/>
      </w:r>
      <w:r w:rsidR="00A7242A">
        <w:rPr>
          <w:szCs w:val="18"/>
        </w:rPr>
        <w:tab/>
      </w:r>
      <w:r w:rsidRPr="001E6B7B">
        <w:rPr>
          <w:szCs w:val="18"/>
        </w:rPr>
        <w:t xml:space="preserve">Note </w:t>
      </w:r>
      <w:proofErr w:type="spellStart"/>
      <w:r w:rsidRPr="001E6B7B">
        <w:rPr>
          <w:szCs w:val="18"/>
        </w:rPr>
        <w:t>Verbale</w:t>
      </w:r>
      <w:proofErr w:type="spellEnd"/>
      <w:r>
        <w:rPr>
          <w:szCs w:val="18"/>
        </w:rPr>
        <w:t xml:space="preserve"> (NV)</w:t>
      </w:r>
      <w:r w:rsidRPr="001E6B7B">
        <w:rPr>
          <w:szCs w:val="18"/>
        </w:rPr>
        <w:t xml:space="preserve"> 457/2021, 8 December 2021 (thereafter NV 457/2021) and </w:t>
      </w:r>
      <w:r>
        <w:rPr>
          <w:szCs w:val="18"/>
        </w:rPr>
        <w:t xml:space="preserve">Note </w:t>
      </w:r>
      <w:proofErr w:type="spellStart"/>
      <w:r>
        <w:rPr>
          <w:szCs w:val="18"/>
        </w:rPr>
        <w:t>Verbale</w:t>
      </w:r>
      <w:proofErr w:type="spellEnd"/>
      <w:r>
        <w:rPr>
          <w:szCs w:val="18"/>
        </w:rPr>
        <w:t xml:space="preserve"> 16/2022 </w:t>
      </w:r>
      <w:r w:rsidRPr="001E6B7B">
        <w:rPr>
          <w:szCs w:val="18"/>
        </w:rPr>
        <w:t>(information from Office for Reparations) from the Permanent Mission of Sri Lanka in Geneva</w:t>
      </w:r>
      <w:r w:rsidR="00407495">
        <w:rPr>
          <w:szCs w:val="18"/>
        </w:rPr>
        <w:t>.</w:t>
      </w:r>
    </w:p>
  </w:footnote>
  <w:footnote w:id="6">
    <w:p w14:paraId="59D30445" w14:textId="1E744418" w:rsidR="007177B2" w:rsidRPr="001E6B7B" w:rsidRDefault="00407495" w:rsidP="00407495">
      <w:pPr>
        <w:pStyle w:val="FootnoteText"/>
        <w:rPr>
          <w:szCs w:val="18"/>
        </w:rPr>
      </w:pPr>
      <w:r>
        <w:rPr>
          <w:szCs w:val="18"/>
        </w:rPr>
        <w:tab/>
      </w:r>
      <w:r w:rsidR="007177B2" w:rsidRPr="001E6B7B">
        <w:rPr>
          <w:rStyle w:val="FootnoteReference"/>
          <w:szCs w:val="18"/>
        </w:rPr>
        <w:footnoteRef/>
      </w:r>
      <w:r>
        <w:rPr>
          <w:szCs w:val="18"/>
        </w:rPr>
        <w:tab/>
      </w:r>
      <w:r w:rsidR="007177B2" w:rsidRPr="00FF263D">
        <w:t xml:space="preserve">End of mission statement </w:t>
      </w:r>
      <w:r w:rsidR="007177B2" w:rsidRPr="00070FF2">
        <w:t>by the Special Rapporteur on contemporary forms of slavery</w:t>
      </w:r>
      <w:r w:rsidR="007177B2" w:rsidRPr="00FF263D">
        <w:t xml:space="preserve">, 3 December 2021, </w:t>
      </w:r>
      <w:hyperlink r:id="rId1" w:history="1">
        <w:r w:rsidR="007177B2" w:rsidRPr="00070FF2">
          <w:t>https://www.ohchr.org/EN/NewsEvents/Pages/DisplayNews.aspx?NewsID=27895&amp;LangID=E</w:t>
        </w:r>
      </w:hyperlink>
      <w:r>
        <w:t>.</w:t>
      </w:r>
      <w:r w:rsidR="007177B2" w:rsidRPr="001E6B7B">
        <w:rPr>
          <w:szCs w:val="18"/>
        </w:rPr>
        <w:t xml:space="preserve"> </w:t>
      </w:r>
    </w:p>
  </w:footnote>
  <w:footnote w:id="7">
    <w:p w14:paraId="0F57B4CB" w14:textId="7F28F906" w:rsidR="007177B2" w:rsidRPr="001E6B7B" w:rsidRDefault="009E3295" w:rsidP="00A628E0">
      <w:pPr>
        <w:pStyle w:val="FootnoteText"/>
        <w:rPr>
          <w:szCs w:val="18"/>
        </w:rPr>
      </w:pPr>
      <w:r>
        <w:rPr>
          <w:szCs w:val="18"/>
        </w:rPr>
        <w:tab/>
      </w:r>
      <w:r w:rsidR="007177B2" w:rsidRPr="001E6B7B">
        <w:rPr>
          <w:rStyle w:val="FootnoteReference"/>
          <w:szCs w:val="18"/>
        </w:rPr>
        <w:footnoteRef/>
      </w:r>
      <w:r w:rsidR="00407495">
        <w:rPr>
          <w:szCs w:val="18"/>
        </w:rPr>
        <w:tab/>
      </w:r>
      <w:hyperlink r:id="rId2" w:history="1">
        <w:r w:rsidR="00407495" w:rsidRPr="008912DF">
          <w:rPr>
            <w:rStyle w:val="Hyperlink"/>
          </w:rPr>
          <w:t>https://www.ohchr.org/EN/NewsEvents/Pages/DisplayNews.aspx?NewsID=26725&amp;</w:t>
        </w:r>
        <w:r w:rsidR="00407495" w:rsidRPr="008912DF">
          <w:rPr>
            <w:rStyle w:val="Hyperlink"/>
          </w:rPr>
          <w:br/>
        </w:r>
        <w:proofErr w:type="spellStart"/>
        <w:r w:rsidR="00407495" w:rsidRPr="008912DF">
          <w:rPr>
            <w:rStyle w:val="Hyperlink"/>
          </w:rPr>
          <w:t>LangID</w:t>
        </w:r>
        <w:proofErr w:type="spellEnd"/>
        <w:r w:rsidR="00407495" w:rsidRPr="008912DF">
          <w:rPr>
            <w:rStyle w:val="Hyperlink"/>
          </w:rPr>
          <w:t>=E</w:t>
        </w:r>
      </w:hyperlink>
      <w:r w:rsidR="00407495">
        <w:rPr>
          <w:rStyle w:val="Hyperlink"/>
          <w:color w:val="auto"/>
          <w:szCs w:val="18"/>
        </w:rPr>
        <w:t>.</w:t>
      </w:r>
    </w:p>
  </w:footnote>
  <w:footnote w:id="8">
    <w:p w14:paraId="32BF8E8A" w14:textId="039A3801" w:rsidR="007177B2" w:rsidRPr="001E6B7B" w:rsidRDefault="00407495" w:rsidP="00407495">
      <w:pPr>
        <w:pStyle w:val="FootnoteText"/>
        <w:rPr>
          <w:szCs w:val="18"/>
        </w:rPr>
      </w:pPr>
      <w:r>
        <w:rPr>
          <w:szCs w:val="18"/>
        </w:rPr>
        <w:tab/>
      </w:r>
      <w:r w:rsidR="007177B2" w:rsidRPr="001E6B7B">
        <w:rPr>
          <w:rStyle w:val="FootnoteReference"/>
          <w:szCs w:val="18"/>
        </w:rPr>
        <w:footnoteRef/>
      </w:r>
      <w:r>
        <w:rPr>
          <w:szCs w:val="18"/>
        </w:rPr>
        <w:tab/>
      </w:r>
      <w:r w:rsidR="007177B2" w:rsidRPr="001E6B7B">
        <w:rPr>
          <w:szCs w:val="18"/>
        </w:rPr>
        <w:t xml:space="preserve">Available from   </w:t>
      </w:r>
      <w:hyperlink r:id="rId3" w:history="1">
        <w:r w:rsidR="007177B2" w:rsidRPr="00070FF2">
          <w:rPr>
            <w:rStyle w:val="FootnoteTextChar"/>
          </w:rPr>
          <w:t>https://spcommreports.ohchr.org/TMResultsBase/DownLoadFile?gId=36694</w:t>
        </w:r>
      </w:hyperlink>
      <w:r w:rsidR="00A7242A" w:rsidRPr="00070FF2">
        <w:rPr>
          <w:rStyle w:val="FootnoteTextChar"/>
        </w:rPr>
        <w:t>;</w:t>
      </w:r>
      <w:r w:rsidR="007177B2" w:rsidRPr="00070FF2">
        <w:rPr>
          <w:rStyle w:val="FootnoteTextChar"/>
        </w:rPr>
        <w:t xml:space="preserve"> and </w:t>
      </w:r>
      <w:hyperlink r:id="rId4" w:history="1">
        <w:r w:rsidR="007177B2" w:rsidRPr="00070FF2">
          <w:rPr>
            <w:rStyle w:val="FootnoteTextChar"/>
          </w:rPr>
          <w:t>https://spcommreports.ohchr.org/TMResultsBase/DownLoadFile?gId=36775</w:t>
        </w:r>
      </w:hyperlink>
      <w:r w:rsidR="00A7242A" w:rsidRPr="00070FF2">
        <w:rPr>
          <w:rStyle w:val="FootnoteTextChar"/>
        </w:rPr>
        <w:t>;</w:t>
      </w:r>
      <w:r w:rsidR="007177B2" w:rsidRPr="00070FF2">
        <w:rPr>
          <w:rStyle w:val="FootnoteTextChar"/>
        </w:rPr>
        <w:t xml:space="preserve"> </w:t>
      </w:r>
      <w:hyperlink r:id="rId5" w:history="1">
        <w:r w:rsidR="007177B2" w:rsidRPr="00070FF2">
          <w:rPr>
            <w:rStyle w:val="FootnoteTextChar"/>
          </w:rPr>
          <w:t>https://spcommreports.ohchr.org/TMResultsBase/DownLoadFile?gId=36580</w:t>
        </w:r>
      </w:hyperlink>
      <w:r w:rsidR="00A7242A" w:rsidRPr="00070FF2">
        <w:rPr>
          <w:rStyle w:val="FootnoteTextChar"/>
        </w:rPr>
        <w:t>;</w:t>
      </w:r>
      <w:r w:rsidR="007177B2" w:rsidRPr="00070FF2">
        <w:rPr>
          <w:rStyle w:val="FootnoteTextChar"/>
        </w:rPr>
        <w:t xml:space="preserve"> </w:t>
      </w:r>
      <w:hyperlink r:id="rId6" w:history="1">
        <w:r w:rsidR="007177B2" w:rsidRPr="00070FF2">
          <w:rPr>
            <w:rStyle w:val="FootnoteTextChar"/>
          </w:rPr>
          <w:t>https://spcommreports.ohchr.org/TMResultsBase/DownLoadFile?gId=36496</w:t>
        </w:r>
      </w:hyperlink>
      <w:r w:rsidR="00A7242A" w:rsidRPr="00070FF2">
        <w:rPr>
          <w:rStyle w:val="FootnoteTextChar"/>
        </w:rPr>
        <w:t>;</w:t>
      </w:r>
      <w:r w:rsidR="007177B2" w:rsidRPr="001E6B7B">
        <w:rPr>
          <w:szCs w:val="18"/>
        </w:rPr>
        <w:t xml:space="preserve"> https://spcommreports.ohchr.org/TMResultsBase/DownLoadFile?gId=36539)</w:t>
      </w:r>
      <w:r>
        <w:rPr>
          <w:szCs w:val="18"/>
        </w:rPr>
        <w:t>.</w:t>
      </w:r>
    </w:p>
    <w:p w14:paraId="79CBFFD9" w14:textId="77777777" w:rsidR="007177B2" w:rsidRPr="00111EA2" w:rsidRDefault="007177B2">
      <w:pPr>
        <w:pStyle w:val="FootnoteText"/>
        <w:rPr>
          <w:szCs w:val="18"/>
        </w:rPr>
      </w:pPr>
    </w:p>
  </w:footnote>
  <w:footnote w:id="9">
    <w:p w14:paraId="22231F1F" w14:textId="0E37C633" w:rsidR="007177B2" w:rsidRPr="00862651" w:rsidRDefault="007177B2" w:rsidP="00A1412C">
      <w:pPr>
        <w:pStyle w:val="FootnoteText"/>
      </w:pPr>
      <w:r w:rsidRPr="00862651">
        <w:tab/>
      </w:r>
      <w:r w:rsidRPr="00862651">
        <w:rPr>
          <w:rStyle w:val="FootnoteReference"/>
        </w:rPr>
        <w:footnoteRef/>
      </w:r>
      <w:r w:rsidRPr="00862651">
        <w:tab/>
      </w:r>
      <w:hyperlink r:id="rId7" w:anchor="4" w:history="1">
        <w:r>
          <w:rPr>
            <w:rStyle w:val="Hyperlink"/>
          </w:rPr>
          <w:t>Sri Lanka Overview: Development news, research, data | World Bank</w:t>
        </w:r>
      </w:hyperlink>
      <w:r w:rsidR="00407495">
        <w:rPr>
          <w:rStyle w:val="Hyperlink"/>
        </w:rPr>
        <w:t>.</w:t>
      </w:r>
    </w:p>
  </w:footnote>
  <w:footnote w:id="10">
    <w:p w14:paraId="386DA255" w14:textId="11E7E01B" w:rsidR="007177B2" w:rsidRDefault="007177B2" w:rsidP="00A628E0">
      <w:pPr>
        <w:pStyle w:val="FootnoteText"/>
      </w:pPr>
      <w:r>
        <w:tab/>
      </w:r>
      <w:r w:rsidRPr="00A628E0">
        <w:rPr>
          <w:rStyle w:val="FootnoteReference"/>
        </w:rPr>
        <w:footnoteRef/>
      </w:r>
      <w:r w:rsidRPr="00A628E0">
        <w:tab/>
      </w:r>
      <w:hyperlink r:id="rId8" w:history="1">
        <w:r>
          <w:rPr>
            <w:rStyle w:val="Hyperlink"/>
          </w:rPr>
          <w:t>SriLanka-DevUpd-Apr9.pdf (worldbank.org)</w:t>
        </w:r>
      </w:hyperlink>
      <w:r w:rsidR="00EF0315">
        <w:t>, page 27</w:t>
      </w:r>
      <w:r w:rsidR="00407495">
        <w:t>.</w:t>
      </w:r>
    </w:p>
  </w:footnote>
  <w:footnote w:id="11">
    <w:p w14:paraId="60F967F3" w14:textId="426B6D86" w:rsidR="007177B2" w:rsidRPr="00862651" w:rsidRDefault="007177B2" w:rsidP="008726B3">
      <w:pPr>
        <w:pStyle w:val="FootnoteText"/>
      </w:pPr>
      <w:r w:rsidRPr="00862651">
        <w:tab/>
      </w:r>
      <w:r w:rsidRPr="00862651">
        <w:rPr>
          <w:rStyle w:val="FootnoteReference"/>
        </w:rPr>
        <w:footnoteRef/>
      </w:r>
      <w:r w:rsidRPr="00862651">
        <w:tab/>
      </w:r>
      <w:r>
        <w:t xml:space="preserve">Ibid; See </w:t>
      </w:r>
      <w:hyperlink r:id="rId9" w:history="1">
        <w:r>
          <w:rPr>
            <w:rStyle w:val="Hyperlink"/>
          </w:rPr>
          <w:t>Research brief: The supply chain ripple effect: How COVID-19 is affecting garment workers and factories in Asia and the Pacific (ilo.org)</w:t>
        </w:r>
      </w:hyperlink>
      <w:r w:rsidR="00407495">
        <w:rPr>
          <w:rStyle w:val="Hyperlink"/>
        </w:rPr>
        <w:t>.</w:t>
      </w:r>
      <w:r>
        <w:t xml:space="preserve"> </w:t>
      </w:r>
    </w:p>
  </w:footnote>
  <w:footnote w:id="12">
    <w:p w14:paraId="5B15C3A5" w14:textId="532E1AF6" w:rsidR="007177B2" w:rsidRPr="008B35D9" w:rsidRDefault="007177B2" w:rsidP="008B35D9">
      <w:pPr>
        <w:pStyle w:val="FootnoteText"/>
      </w:pPr>
      <w:r>
        <w:tab/>
      </w:r>
      <w:r w:rsidRPr="008B35D9">
        <w:rPr>
          <w:rStyle w:val="FootnoteReference"/>
        </w:rPr>
        <w:footnoteRef/>
      </w:r>
      <w:r>
        <w:tab/>
      </w:r>
      <w:hyperlink r:id="rId10" w:history="1">
        <w:r w:rsidRPr="008B35D9">
          <w:rPr>
            <w:rStyle w:val="Hyperlink"/>
            <w:color w:val="auto"/>
          </w:rPr>
          <w:t>talking economics - Repatriation and Replacement of Lost Foreign Jobs: Handling Labour Migration in Sri Lanka during COVID-19 (ips.lk)</w:t>
        </w:r>
      </w:hyperlink>
      <w:r w:rsidR="00407495">
        <w:rPr>
          <w:rStyle w:val="Hyperlink"/>
          <w:color w:val="auto"/>
        </w:rPr>
        <w:t>.</w:t>
      </w:r>
      <w:r w:rsidRPr="008B35D9">
        <w:t xml:space="preserve"> </w:t>
      </w:r>
    </w:p>
  </w:footnote>
  <w:footnote w:id="13">
    <w:p w14:paraId="6CFF8022" w14:textId="4B3325E3" w:rsidR="007177B2" w:rsidRPr="00862651" w:rsidRDefault="007177B2" w:rsidP="00862651">
      <w:pPr>
        <w:pStyle w:val="FootnoteText"/>
      </w:pPr>
      <w:r>
        <w:tab/>
      </w:r>
      <w:r w:rsidRPr="00862651">
        <w:rPr>
          <w:rStyle w:val="FootnoteReference"/>
        </w:rPr>
        <w:footnoteRef/>
      </w:r>
      <w:r w:rsidRPr="00862651">
        <w:tab/>
      </w:r>
      <w:hyperlink r:id="rId11" w:anchor="1" w:history="1">
        <w:r>
          <w:rPr>
            <w:rStyle w:val="Hyperlink"/>
          </w:rPr>
          <w:t>Sri Lanka Overview: Development news, research, data | World Bank</w:t>
        </w:r>
      </w:hyperlink>
      <w:r w:rsidR="00407495">
        <w:rPr>
          <w:rStyle w:val="Hyperlink"/>
        </w:rPr>
        <w:t>.</w:t>
      </w:r>
      <w:r>
        <w:t xml:space="preserve"> </w:t>
      </w:r>
    </w:p>
  </w:footnote>
  <w:footnote w:id="14">
    <w:p w14:paraId="20E38779" w14:textId="2E929E98" w:rsidR="007177B2" w:rsidRPr="007C42A3" w:rsidRDefault="007177B2">
      <w:pPr>
        <w:pStyle w:val="FootnoteText"/>
        <w:rPr>
          <w:szCs w:val="18"/>
        </w:rPr>
      </w:pPr>
      <w:r>
        <w:tab/>
      </w:r>
      <w:r>
        <w:rPr>
          <w:rStyle w:val="FootnoteReference"/>
        </w:rPr>
        <w:footnoteRef/>
      </w:r>
      <w:r>
        <w:tab/>
      </w:r>
      <w:r w:rsidRPr="00A628E0">
        <w:t>Extraordinary Gazette 2243/1 of 30 August 2021 and Extraordinary Gazette 2243/3</w:t>
      </w:r>
      <w:r>
        <w:t xml:space="preserve"> </w:t>
      </w:r>
      <w:r w:rsidRPr="007C42A3">
        <w:rPr>
          <w:szCs w:val="18"/>
        </w:rPr>
        <w:t>Emergency (Provision of Essential Food) Regulation No. 1 of 2021</w:t>
      </w:r>
      <w:r w:rsidR="00407495">
        <w:rPr>
          <w:szCs w:val="18"/>
        </w:rPr>
        <w:t>.</w:t>
      </w:r>
    </w:p>
  </w:footnote>
  <w:footnote w:id="15">
    <w:p w14:paraId="53D0EED1" w14:textId="6681D18E" w:rsidR="007177B2" w:rsidRDefault="007177B2">
      <w:pPr>
        <w:pStyle w:val="FootnoteText"/>
      </w:pPr>
      <w:r>
        <w:tab/>
      </w:r>
      <w:r>
        <w:rPr>
          <w:rStyle w:val="FootnoteReference"/>
        </w:rPr>
        <w:footnoteRef/>
      </w:r>
      <w:r>
        <w:tab/>
        <w:t xml:space="preserve">See joint communication from UN Special Rapporteurs, </w:t>
      </w:r>
      <w:r w:rsidRPr="00347133">
        <w:t>AL LKA (4.2021)</w:t>
      </w:r>
      <w:r w:rsidR="00EF0315">
        <w:t>, 17 August 2021</w:t>
      </w:r>
      <w:r w:rsidR="00407495">
        <w:t>.</w:t>
      </w:r>
    </w:p>
  </w:footnote>
  <w:footnote w:id="16">
    <w:p w14:paraId="1166BB2B" w14:textId="5424D682" w:rsidR="007177B2" w:rsidRPr="007C42A3" w:rsidRDefault="007177B2" w:rsidP="00862651">
      <w:pPr>
        <w:pStyle w:val="FootnoteText"/>
        <w:rPr>
          <w:szCs w:val="18"/>
        </w:rPr>
      </w:pPr>
      <w:r>
        <w:rPr>
          <w:szCs w:val="18"/>
        </w:rPr>
        <w:tab/>
      </w:r>
      <w:r w:rsidRPr="007C42A3">
        <w:rPr>
          <w:rStyle w:val="FootnoteReference"/>
          <w:szCs w:val="18"/>
        </w:rPr>
        <w:footnoteRef/>
      </w:r>
      <w:r w:rsidRPr="007C42A3">
        <w:rPr>
          <w:szCs w:val="18"/>
        </w:rPr>
        <w:tab/>
      </w:r>
      <w:hyperlink r:id="rId12" w:history="1">
        <w:r w:rsidRPr="007C42A3">
          <w:rPr>
            <w:rStyle w:val="Hyperlink"/>
            <w:color w:val="auto"/>
            <w:szCs w:val="18"/>
          </w:rPr>
          <w:t>https://www.themorning.lk/no-warrant-needed-for-fake-news-arrests/</w:t>
        </w:r>
      </w:hyperlink>
      <w:r w:rsidR="00407495">
        <w:rPr>
          <w:rStyle w:val="Hyperlink"/>
          <w:color w:val="auto"/>
          <w:szCs w:val="18"/>
        </w:rPr>
        <w:t>.</w:t>
      </w:r>
      <w:r>
        <w:rPr>
          <w:rStyle w:val="Hyperlink"/>
          <w:color w:val="auto"/>
          <w:szCs w:val="18"/>
        </w:rPr>
        <w:t xml:space="preserve"> </w:t>
      </w:r>
      <w:r w:rsidRPr="007C42A3">
        <w:rPr>
          <w:szCs w:val="18"/>
        </w:rPr>
        <w:t xml:space="preserve"> </w:t>
      </w:r>
    </w:p>
  </w:footnote>
  <w:footnote w:id="17">
    <w:p w14:paraId="2D272209" w14:textId="37494764" w:rsidR="007177B2" w:rsidRPr="00473D95" w:rsidRDefault="007177B2" w:rsidP="00A628E0">
      <w:pPr>
        <w:pStyle w:val="FootnoteText"/>
        <w:rPr>
          <w:lang w:val="fr-FR"/>
        </w:rPr>
      </w:pPr>
      <w:r>
        <w:rPr>
          <w:szCs w:val="18"/>
        </w:rPr>
        <w:tab/>
      </w:r>
      <w:r w:rsidRPr="007C42A3">
        <w:rPr>
          <w:rStyle w:val="FootnoteReference"/>
          <w:szCs w:val="18"/>
        </w:rPr>
        <w:footnoteRef/>
      </w:r>
      <w:r w:rsidR="00EF0315">
        <w:rPr>
          <w:szCs w:val="18"/>
          <w:lang w:val="fr-FR"/>
        </w:rPr>
        <w:tab/>
        <w:t>NV 457/2021, page 11</w:t>
      </w:r>
      <w:r w:rsidR="00407495">
        <w:rPr>
          <w:szCs w:val="18"/>
          <w:lang w:val="fr-FR"/>
        </w:rPr>
        <w:t>.</w:t>
      </w:r>
    </w:p>
  </w:footnote>
  <w:footnote w:id="18">
    <w:p w14:paraId="51517CB3" w14:textId="19402891" w:rsidR="007177B2" w:rsidRDefault="007177B2">
      <w:pPr>
        <w:pStyle w:val="FootnoteText"/>
      </w:pPr>
      <w:r w:rsidRPr="00473D95">
        <w:rPr>
          <w:lang w:val="fr-FR"/>
        </w:rPr>
        <w:tab/>
        <w:t xml:space="preserve">                   </w:t>
      </w:r>
      <w:r>
        <w:rPr>
          <w:rStyle w:val="FootnoteReference"/>
        </w:rPr>
        <w:footnoteRef/>
      </w:r>
      <w:r>
        <w:rPr>
          <w:lang w:val="fr-FR"/>
        </w:rPr>
        <w:tab/>
      </w:r>
      <w:r w:rsidRPr="00473D95">
        <w:rPr>
          <w:lang w:val="fr-FR"/>
        </w:rPr>
        <w:t xml:space="preserve">A/HRC/46/20, para. </w:t>
      </w:r>
      <w:r>
        <w:t>24</w:t>
      </w:r>
      <w:r w:rsidR="00407495">
        <w:t>.</w:t>
      </w:r>
    </w:p>
  </w:footnote>
  <w:footnote w:id="19">
    <w:p w14:paraId="3E29B92B" w14:textId="1F555DD5" w:rsidR="007177B2" w:rsidRPr="00BD01E3" w:rsidRDefault="007177B2" w:rsidP="00BD01E3">
      <w:pPr>
        <w:pStyle w:val="FootnoteText"/>
      </w:pPr>
      <w:r>
        <w:tab/>
      </w:r>
      <w:r w:rsidRPr="00BD01E3">
        <w:rPr>
          <w:vertAlign w:val="superscript"/>
        </w:rPr>
        <w:footnoteRef/>
      </w:r>
      <w:r w:rsidRPr="00BD01E3">
        <w:tab/>
        <w:t xml:space="preserve">GANHRI Sub-Committee on Accreditation Report – October 2021, December 2021, page 31 </w:t>
      </w:r>
      <w:hyperlink r:id="rId13" w:history="1">
        <w:r w:rsidRPr="00BD01E3">
          <w:t>https://www.ohchr.org/Documents/Countries/NHRI/GANHRI/SCA-Report-October-2021_E.pdf</w:t>
        </w:r>
      </w:hyperlink>
      <w:r w:rsidR="00407495">
        <w:t>.</w:t>
      </w:r>
      <w:r w:rsidRPr="00BD01E3">
        <w:t xml:space="preserve">  </w:t>
      </w:r>
    </w:p>
  </w:footnote>
  <w:footnote w:id="20">
    <w:p w14:paraId="61B16DCD" w14:textId="378EA799" w:rsidR="007177B2" w:rsidRPr="008F2B4C" w:rsidRDefault="007177B2" w:rsidP="00A628E0">
      <w:pPr>
        <w:pStyle w:val="FootnoteText"/>
        <w:rPr>
          <w:lang w:val="es-ES"/>
        </w:rPr>
      </w:pPr>
      <w:r>
        <w:tab/>
      </w:r>
      <w:r w:rsidRPr="00A628E0">
        <w:rPr>
          <w:rStyle w:val="FootnoteReference"/>
        </w:rPr>
        <w:footnoteRef/>
      </w:r>
      <w:r>
        <w:rPr>
          <w:lang w:val="es-ES_tradnl"/>
        </w:rPr>
        <w:tab/>
      </w:r>
      <w:r w:rsidRPr="008F2B4C">
        <w:rPr>
          <w:lang w:val="es-ES"/>
        </w:rPr>
        <w:t>HRC/46/20, para</w:t>
      </w:r>
      <w:r>
        <w:rPr>
          <w:lang w:val="es-ES"/>
        </w:rPr>
        <w:t>s.</w:t>
      </w:r>
      <w:r w:rsidRPr="008F2B4C">
        <w:rPr>
          <w:lang w:val="es-ES"/>
        </w:rPr>
        <w:t xml:space="preserve"> 26</w:t>
      </w:r>
      <w:r>
        <w:rPr>
          <w:lang w:val="es-ES"/>
        </w:rPr>
        <w:t xml:space="preserve"> and 27</w:t>
      </w:r>
      <w:r w:rsidR="00407495">
        <w:rPr>
          <w:lang w:val="es-ES"/>
        </w:rPr>
        <w:t>.</w:t>
      </w:r>
    </w:p>
  </w:footnote>
  <w:footnote w:id="21">
    <w:p w14:paraId="6ECE40BD" w14:textId="71AE3AA1" w:rsidR="007177B2" w:rsidRPr="00286FF5" w:rsidRDefault="007177B2" w:rsidP="00087819">
      <w:pPr>
        <w:pStyle w:val="FootnoteText"/>
        <w:rPr>
          <w:lang w:val="es-419"/>
        </w:rPr>
      </w:pPr>
      <w:r w:rsidRPr="00286FF5">
        <w:rPr>
          <w:lang w:val="es-419"/>
        </w:rPr>
        <w:tab/>
      </w:r>
      <w:r w:rsidRPr="00A628E0">
        <w:rPr>
          <w:rStyle w:val="FootnoteReference"/>
        </w:rPr>
        <w:footnoteRef/>
      </w:r>
      <w:r w:rsidRPr="00286FF5">
        <w:rPr>
          <w:lang w:val="es-419"/>
        </w:rPr>
        <w:tab/>
        <w:t>A/HRC/RES/25/1</w:t>
      </w:r>
      <w:r>
        <w:rPr>
          <w:lang w:val="es-419"/>
        </w:rPr>
        <w:t xml:space="preserve">, </w:t>
      </w:r>
      <w:r>
        <w:t>9 April 2014</w:t>
      </w:r>
      <w:r w:rsidR="00407495">
        <w:t>.</w:t>
      </w:r>
    </w:p>
  </w:footnote>
  <w:footnote w:id="22">
    <w:p w14:paraId="5FE0F70F" w14:textId="08E65F00" w:rsidR="00BA067A" w:rsidRDefault="00BA067A" w:rsidP="00407495">
      <w:pPr>
        <w:pStyle w:val="FootnoteText"/>
      </w:pPr>
      <w:r>
        <w:tab/>
      </w:r>
      <w:r>
        <w:rPr>
          <w:rStyle w:val="FootnoteReference"/>
        </w:rPr>
        <w:footnoteRef/>
      </w:r>
      <w:r w:rsidR="00407495">
        <w:tab/>
      </w:r>
      <w:r w:rsidR="008C79D6" w:rsidRPr="007177B2">
        <w:t xml:space="preserve">Note </w:t>
      </w:r>
      <w:proofErr w:type="spellStart"/>
      <w:r w:rsidR="008C79D6" w:rsidRPr="007177B2">
        <w:t>Verbale</w:t>
      </w:r>
      <w:proofErr w:type="spellEnd"/>
      <w:r w:rsidR="008C79D6" w:rsidRPr="007177B2">
        <w:t xml:space="preserve"> 64/22</w:t>
      </w:r>
      <w:r w:rsidR="00D47E56">
        <w:t xml:space="preserve">, </w:t>
      </w:r>
      <w:r w:rsidR="008C79D6" w:rsidRPr="007177B2">
        <w:t>22 February 2022</w:t>
      </w:r>
      <w:r w:rsidR="00D47E56">
        <w:t xml:space="preserve"> (NV 64/22),</w:t>
      </w:r>
      <w:r w:rsidR="008C79D6">
        <w:t xml:space="preserve"> para 24</w:t>
      </w:r>
      <w:r w:rsidR="00407495">
        <w:t>.</w:t>
      </w:r>
    </w:p>
  </w:footnote>
  <w:footnote w:id="23">
    <w:p w14:paraId="799688BE" w14:textId="2C80F411" w:rsidR="007177B2" w:rsidRPr="00473D95" w:rsidRDefault="007177B2" w:rsidP="00A628E0">
      <w:pPr>
        <w:pStyle w:val="FootnoteText"/>
        <w:rPr>
          <w:lang w:val="fr-FR"/>
        </w:rPr>
      </w:pPr>
      <w:r w:rsidRPr="008F2B4C">
        <w:rPr>
          <w:lang w:val="es-ES"/>
        </w:rPr>
        <w:tab/>
      </w:r>
      <w:r w:rsidRPr="00A628E0">
        <w:rPr>
          <w:rStyle w:val="FootnoteReference"/>
        </w:rPr>
        <w:footnoteRef/>
      </w:r>
      <w:r w:rsidRPr="00473D95">
        <w:rPr>
          <w:lang w:val="fr-FR"/>
        </w:rPr>
        <w:tab/>
      </w:r>
      <w:r w:rsidR="008C79D6">
        <w:rPr>
          <w:lang w:val="fr-FR"/>
        </w:rPr>
        <w:t xml:space="preserve">A/HRC/43/19, para </w:t>
      </w:r>
      <w:proofErr w:type="gramStart"/>
      <w:r w:rsidRPr="007F087A">
        <w:rPr>
          <w:lang w:val="fr-FR"/>
        </w:rPr>
        <w:t>33;</w:t>
      </w:r>
      <w:proofErr w:type="gramEnd"/>
      <w:r w:rsidRPr="007F087A">
        <w:rPr>
          <w:lang w:val="fr-FR"/>
        </w:rPr>
        <w:t xml:space="preserve"> HRC/46/20, paras 20-23</w:t>
      </w:r>
      <w:r w:rsidR="00407495">
        <w:rPr>
          <w:lang w:val="fr-FR"/>
        </w:rPr>
        <w:t>.</w:t>
      </w:r>
    </w:p>
  </w:footnote>
  <w:footnote w:id="24">
    <w:p w14:paraId="1F08EB6B" w14:textId="2F6A2CB9" w:rsidR="007177B2" w:rsidRPr="00A628E0" w:rsidRDefault="007177B2" w:rsidP="009C4D5E">
      <w:pPr>
        <w:pStyle w:val="FootnoteText"/>
      </w:pPr>
      <w:r w:rsidRPr="00473D95">
        <w:rPr>
          <w:lang w:val="fr-FR"/>
        </w:rPr>
        <w:tab/>
      </w:r>
      <w:r w:rsidRPr="00A628E0">
        <w:rPr>
          <w:rStyle w:val="FootnoteReference"/>
        </w:rPr>
        <w:footnoteRef/>
      </w:r>
      <w:r>
        <w:tab/>
      </w:r>
      <w:hyperlink r:id="rId14" w:history="1">
        <w:r w:rsidRPr="00070FF2">
          <w:t xml:space="preserve">G 34894 (E) (I-I) Appointment by </w:t>
        </w:r>
        <w:proofErr w:type="spellStart"/>
        <w:r w:rsidRPr="00070FF2">
          <w:t>Presi.pmd</w:t>
        </w:r>
        <w:proofErr w:type="spellEnd"/>
        <w:r w:rsidRPr="00070FF2">
          <w:t xml:space="preserve"> (documents.gov.lk)</w:t>
        </w:r>
      </w:hyperlink>
      <w:r w:rsidR="00407495">
        <w:t>.</w:t>
      </w:r>
    </w:p>
  </w:footnote>
  <w:footnote w:id="25">
    <w:p w14:paraId="343C2E3B" w14:textId="23B4FF7A" w:rsidR="007177B2" w:rsidRPr="00BD01E3" w:rsidRDefault="007177B2" w:rsidP="00BD01E3">
      <w:pPr>
        <w:pStyle w:val="FootnoteText"/>
      </w:pPr>
      <w:r>
        <w:tab/>
      </w:r>
      <w:r w:rsidRPr="00BD01E3">
        <w:rPr>
          <w:rStyle w:val="FootnoteReference"/>
        </w:rPr>
        <w:footnoteRef/>
      </w:r>
      <w:r>
        <w:tab/>
      </w:r>
      <w:hyperlink r:id="rId15" w:history="1">
        <w:r w:rsidRPr="00BD01E3">
          <w:rPr>
            <w:rStyle w:val="Hyperlink"/>
            <w:color w:val="auto"/>
          </w:rPr>
          <w:t>President orders setting up of Green Agriculture Operations Centre | Daily News</w:t>
        </w:r>
      </w:hyperlink>
      <w:r w:rsidR="00407495">
        <w:rPr>
          <w:rStyle w:val="Hyperlink"/>
          <w:color w:val="auto"/>
        </w:rPr>
        <w:t>.</w:t>
      </w:r>
    </w:p>
  </w:footnote>
  <w:footnote w:id="26">
    <w:p w14:paraId="03C6566B" w14:textId="33F517F7" w:rsidR="007177B2" w:rsidRPr="00FD6038" w:rsidRDefault="007177B2" w:rsidP="00027CCB">
      <w:pPr>
        <w:pStyle w:val="FootnoteText"/>
      </w:pPr>
      <w:r>
        <w:tab/>
      </w:r>
      <w:r w:rsidRPr="00A628E0">
        <w:rPr>
          <w:rStyle w:val="FootnoteReference"/>
        </w:rPr>
        <w:footnoteRef/>
      </w:r>
      <w:r>
        <w:tab/>
      </w:r>
      <w:r w:rsidR="00027CCB">
        <w:t>NV 64/2022</w:t>
      </w:r>
      <w:r w:rsidR="003E37B4">
        <w:t>, para 27</w:t>
      </w:r>
      <w:r w:rsidR="00027CCB">
        <w:t xml:space="preserve">; </w:t>
      </w:r>
      <w:r w:rsidR="005947B2">
        <w:t xml:space="preserve">for instance, see </w:t>
      </w:r>
      <w:r w:rsidRPr="00370E84">
        <w:t xml:space="preserve">Extraordinary Gazette 2259/2 of 20 December 2021, </w:t>
      </w:r>
      <w:hyperlink r:id="rId16" w:history="1">
        <w:r w:rsidRPr="00070FF2">
          <w:t>2259-02_E.pdf, (presidentsoffice.gov.lk)</w:t>
        </w:r>
      </w:hyperlink>
      <w:r w:rsidRPr="00331F04">
        <w:t>.</w:t>
      </w:r>
      <w:r w:rsidRPr="00FD6038">
        <w:t xml:space="preserve">  </w:t>
      </w:r>
    </w:p>
  </w:footnote>
  <w:footnote w:id="27">
    <w:p w14:paraId="6AEDF733" w14:textId="4DFFE7CC" w:rsidR="007177B2" w:rsidRPr="00B327E8" w:rsidRDefault="007177B2" w:rsidP="00B327E8">
      <w:pPr>
        <w:pStyle w:val="FootnoteText"/>
      </w:pPr>
      <w:r w:rsidRPr="00070FF2">
        <w:tab/>
      </w:r>
      <w:r w:rsidRPr="00B327E8">
        <w:rPr>
          <w:vertAlign w:val="superscript"/>
          <w:lang w:val="fr-FR"/>
        </w:rPr>
        <w:footnoteRef/>
      </w:r>
      <w:r w:rsidRPr="00B327E8">
        <w:tab/>
        <w:t>NV 457/2021, page 24</w:t>
      </w:r>
      <w:r w:rsidR="00407495">
        <w:t>.</w:t>
      </w:r>
    </w:p>
  </w:footnote>
  <w:footnote w:id="28">
    <w:p w14:paraId="46313F6F" w14:textId="0A559E6A" w:rsidR="007177B2" w:rsidRPr="00331F04" w:rsidRDefault="007177B2" w:rsidP="00F261A8">
      <w:pPr>
        <w:pStyle w:val="FootnoteText"/>
      </w:pPr>
      <w:r w:rsidRPr="00587FA0">
        <w:tab/>
      </w:r>
      <w:r w:rsidRPr="00587FA0">
        <w:rPr>
          <w:rStyle w:val="FootnoteReference"/>
        </w:rPr>
        <w:footnoteRef/>
      </w:r>
      <w:r w:rsidRPr="00587FA0">
        <w:tab/>
      </w:r>
      <w:r w:rsidRPr="00331F04">
        <w:t>Notification under State Land Regulation No. 21(2),</w:t>
      </w:r>
      <w:hyperlink r:id="rId17" w:history="1">
        <w:r w:rsidRPr="00070FF2">
          <w:t>http://documents.gov.lk/en/gazette.php</w:t>
        </w:r>
      </w:hyperlink>
      <w:r w:rsidR="00407495">
        <w:t>.</w:t>
      </w:r>
      <w:r w:rsidRPr="00331F04">
        <w:t xml:space="preserve"> </w:t>
      </w:r>
    </w:p>
  </w:footnote>
  <w:footnote w:id="29">
    <w:p w14:paraId="6A5B7258" w14:textId="64F38948" w:rsidR="007177B2" w:rsidRPr="00B327E8" w:rsidRDefault="007177B2" w:rsidP="00B327E8">
      <w:pPr>
        <w:pStyle w:val="FootnoteText"/>
      </w:pPr>
      <w:r>
        <w:tab/>
      </w:r>
      <w:r w:rsidRPr="00B327E8">
        <w:rPr>
          <w:rStyle w:val="FootnoteReference"/>
        </w:rPr>
        <w:footnoteRef/>
      </w:r>
      <w:r>
        <w:tab/>
      </w:r>
      <w:hyperlink r:id="rId18" w:history="1">
        <w:r w:rsidRPr="00331F04">
          <w:t>https://www.un.int/srilanka/news/president-addresses-general-debate-76th-session-general-assembly-un-new-york-21-27-</w:t>
        </w:r>
        <w:r w:rsidRPr="00370E84">
          <w:t>september</w:t>
        </w:r>
      </w:hyperlink>
      <w:r w:rsidR="00407495">
        <w:t>.</w:t>
      </w:r>
      <w:r w:rsidRPr="00B327E8">
        <w:t xml:space="preserve"> </w:t>
      </w:r>
      <w:r w:rsidR="00EF7B4D">
        <w:t xml:space="preserve"> </w:t>
      </w:r>
    </w:p>
  </w:footnote>
  <w:footnote w:id="30">
    <w:p w14:paraId="513E7ED2" w14:textId="27070537" w:rsidR="007177B2" w:rsidRPr="00362899" w:rsidRDefault="007177B2" w:rsidP="00362899">
      <w:pPr>
        <w:pStyle w:val="FootnoteText"/>
      </w:pPr>
      <w:r>
        <w:tab/>
      </w:r>
      <w:r w:rsidRPr="00362899">
        <w:rPr>
          <w:rStyle w:val="FootnoteReference"/>
        </w:rPr>
        <w:footnoteRef/>
      </w:r>
      <w:r>
        <w:tab/>
      </w:r>
      <w:r w:rsidRPr="00362899">
        <w:t>OHCHR, “Sri Lanka: Pillay alarmed by intercommunal violence, calls for en</w:t>
      </w:r>
      <w:r w:rsidR="00515C11">
        <w:t>d to hate speech”, 16 June 2014</w:t>
      </w:r>
      <w:r w:rsidR="00407495">
        <w:t>.</w:t>
      </w:r>
    </w:p>
  </w:footnote>
  <w:footnote w:id="31">
    <w:p w14:paraId="65942ADC" w14:textId="11BE5FAC" w:rsidR="007177B2" w:rsidRPr="00362899" w:rsidRDefault="007177B2" w:rsidP="00362899">
      <w:pPr>
        <w:pStyle w:val="FootnoteText"/>
      </w:pPr>
      <w:r>
        <w:tab/>
      </w:r>
      <w:r w:rsidRPr="00362899">
        <w:rPr>
          <w:rStyle w:val="FootnoteReference"/>
        </w:rPr>
        <w:footnoteRef/>
      </w:r>
      <w:r>
        <w:tab/>
      </w:r>
      <w:r w:rsidR="00515C11">
        <w:t>NV 457/2021, page 13</w:t>
      </w:r>
      <w:r w:rsidR="00407495">
        <w:t>.</w:t>
      </w:r>
    </w:p>
  </w:footnote>
  <w:footnote w:id="32">
    <w:p w14:paraId="003D1B55" w14:textId="76E31D69" w:rsidR="007177B2" w:rsidRPr="00362899" w:rsidRDefault="007177B2" w:rsidP="00362899">
      <w:pPr>
        <w:pStyle w:val="FootnoteText"/>
        <w:ind w:hanging="567"/>
      </w:pPr>
      <w:r>
        <w:tab/>
      </w:r>
      <w:r w:rsidRPr="00362899">
        <w:rPr>
          <w:rStyle w:val="FootnoteReference"/>
        </w:rPr>
        <w:footnoteRef/>
      </w:r>
      <w:r>
        <w:tab/>
      </w:r>
      <w:r w:rsidR="00515C11">
        <w:t>Ibid</w:t>
      </w:r>
      <w:r w:rsidR="00407495">
        <w:t>.</w:t>
      </w:r>
    </w:p>
  </w:footnote>
  <w:footnote w:id="33">
    <w:p w14:paraId="434E4473" w14:textId="439981D2" w:rsidR="007177B2" w:rsidRPr="00362899" w:rsidRDefault="007177B2" w:rsidP="00362899">
      <w:pPr>
        <w:pStyle w:val="FootnoteText"/>
        <w:ind w:hanging="567"/>
      </w:pPr>
      <w:r>
        <w:tab/>
      </w:r>
      <w:r w:rsidRPr="00362899">
        <w:rPr>
          <w:rStyle w:val="FootnoteReference"/>
        </w:rPr>
        <w:footnoteRef/>
      </w:r>
      <w:r>
        <w:tab/>
      </w:r>
      <w:hyperlink r:id="rId19" w:history="1">
        <w:r w:rsidRPr="00362899">
          <w:rPr>
            <w:rStyle w:val="Hyperlink"/>
            <w:color w:val="auto"/>
          </w:rPr>
          <w:t>State Minister of National Heritage installs Buddha statute on Vimeo</w:t>
        </w:r>
      </w:hyperlink>
      <w:r w:rsidRPr="00362899">
        <w:t xml:space="preserve">; </w:t>
      </w:r>
      <w:hyperlink r:id="rId20" w:history="1">
        <w:r w:rsidRPr="00362899">
          <w:rPr>
            <w:rStyle w:val="Hyperlink"/>
            <w:color w:val="auto"/>
          </w:rPr>
          <w:t>Antiquities excavation in North, East: Work commences on 10 sites     - The Morning - Sri Lanka News</w:t>
        </w:r>
      </w:hyperlink>
      <w:r w:rsidR="00407495">
        <w:rPr>
          <w:rStyle w:val="Hyperlink"/>
          <w:color w:val="auto"/>
        </w:rPr>
        <w:t>.</w:t>
      </w:r>
      <w:r w:rsidRPr="00362899">
        <w:t xml:space="preserve"> </w:t>
      </w:r>
    </w:p>
  </w:footnote>
  <w:footnote w:id="34">
    <w:p w14:paraId="2CA4CEF0" w14:textId="77777777" w:rsidR="007177B2" w:rsidRPr="00362899" w:rsidRDefault="007177B2" w:rsidP="00362899">
      <w:pPr>
        <w:pStyle w:val="FootnoteText"/>
      </w:pPr>
      <w:r>
        <w:tab/>
      </w:r>
      <w:r w:rsidRPr="00362899">
        <w:rPr>
          <w:rStyle w:val="FootnoteReference"/>
        </w:rPr>
        <w:footnoteRef/>
      </w:r>
      <w:r w:rsidRPr="00362899">
        <w:tab/>
      </w:r>
      <w:hyperlink r:id="rId21" w:history="1">
        <w:r w:rsidRPr="00362899">
          <w:rPr>
            <w:rStyle w:val="Hyperlink"/>
            <w:color w:val="auto"/>
          </w:rPr>
          <w:t>https://www.army.lk/news/gigantic-%E2%80%98sanda-hiru-seya%E2%80%99-offered-maha-sangha-immortalizing-memories-%E2%80%98ranaviru%E2%80%99-sacrifices</w:t>
        </w:r>
      </w:hyperlink>
      <w:r w:rsidRPr="00362899">
        <w:rPr>
          <w:rStyle w:val="Hyperlink"/>
          <w:color w:val="auto"/>
        </w:rPr>
        <w:t xml:space="preserve">  </w:t>
      </w:r>
      <w:r w:rsidRPr="00362899">
        <w:t xml:space="preserve"> </w:t>
      </w:r>
    </w:p>
  </w:footnote>
  <w:footnote w:id="35">
    <w:p w14:paraId="49A3A946" w14:textId="0995662F" w:rsidR="007177B2" w:rsidRPr="00362899" w:rsidRDefault="007177B2" w:rsidP="00362899">
      <w:pPr>
        <w:pStyle w:val="FootnoteText"/>
      </w:pPr>
      <w:r>
        <w:tab/>
      </w:r>
      <w:r w:rsidRPr="00362899">
        <w:rPr>
          <w:rStyle w:val="FootnoteReference"/>
        </w:rPr>
        <w:footnoteRef/>
      </w:r>
      <w:r>
        <w:tab/>
      </w:r>
      <w:hyperlink r:id="rId22" w:history="1">
        <w:proofErr w:type="spellStart"/>
        <w:r w:rsidRPr="00362899">
          <w:rPr>
            <w:rStyle w:val="Hyperlink"/>
            <w:color w:val="auto"/>
          </w:rPr>
          <w:t>Niqab</w:t>
        </w:r>
        <w:proofErr w:type="spellEnd"/>
        <w:r w:rsidRPr="00362899">
          <w:rPr>
            <w:rStyle w:val="Hyperlink"/>
            <w:color w:val="auto"/>
          </w:rPr>
          <w:t xml:space="preserve"> included in proposed ban - The Morning - Sri Lanka News</w:t>
        </w:r>
      </w:hyperlink>
      <w:r w:rsidR="00407495">
        <w:rPr>
          <w:rStyle w:val="Hyperlink"/>
          <w:color w:val="auto"/>
        </w:rPr>
        <w:t>.</w:t>
      </w:r>
      <w:r w:rsidRPr="00362899">
        <w:t xml:space="preserve"> </w:t>
      </w:r>
      <w:hyperlink r:id="rId23" w:history="1"/>
    </w:p>
  </w:footnote>
  <w:footnote w:id="36">
    <w:p w14:paraId="26A1C556" w14:textId="265D58D9" w:rsidR="007177B2" w:rsidRDefault="007177B2" w:rsidP="00407495">
      <w:pPr>
        <w:pStyle w:val="FootnoteText"/>
      </w:pPr>
      <w:r>
        <w:tab/>
      </w:r>
      <w:r>
        <w:rPr>
          <w:rStyle w:val="FootnoteReference"/>
        </w:rPr>
        <w:footnoteRef/>
      </w:r>
      <w:r w:rsidR="00407495">
        <w:tab/>
      </w:r>
      <w:r w:rsidR="0030414F">
        <w:t>NV 64/22, para 50</w:t>
      </w:r>
      <w:r w:rsidR="00407495">
        <w:t>.</w:t>
      </w:r>
    </w:p>
  </w:footnote>
  <w:footnote w:id="37">
    <w:p w14:paraId="271C4517" w14:textId="21BED2C4" w:rsidR="007177B2" w:rsidRPr="00A628E0" w:rsidRDefault="007177B2" w:rsidP="00821D8E">
      <w:pPr>
        <w:pStyle w:val="FootnoteText"/>
      </w:pPr>
      <w:r>
        <w:tab/>
      </w:r>
      <w:r w:rsidRPr="00A628E0">
        <w:rPr>
          <w:rStyle w:val="FootnoteReference"/>
        </w:rPr>
        <w:footnoteRef/>
      </w:r>
      <w:r w:rsidR="00DD2871">
        <w:tab/>
        <w:t xml:space="preserve">A faith-based organisation </w:t>
      </w:r>
      <w:r>
        <w:t>reported 77 incidents agai</w:t>
      </w:r>
      <w:r w:rsidR="00997C59">
        <w:t>nst freedom of religion in 2021</w:t>
      </w:r>
      <w:r w:rsidR="00407495">
        <w:t>.</w:t>
      </w:r>
    </w:p>
  </w:footnote>
  <w:footnote w:id="38">
    <w:p w14:paraId="31BD6FEB" w14:textId="7FA3E8EB" w:rsidR="00997C59" w:rsidRDefault="00997C59" w:rsidP="00997C59">
      <w:pPr>
        <w:pStyle w:val="FootnoteText"/>
      </w:pPr>
      <w:r>
        <w:tab/>
        <w:t xml:space="preserve">                    </w:t>
      </w:r>
      <w:r>
        <w:rPr>
          <w:rStyle w:val="FootnoteReference"/>
        </w:rPr>
        <w:footnoteRef/>
      </w:r>
      <w:r>
        <w:t xml:space="preserve"> </w:t>
      </w:r>
      <w:r>
        <w:tab/>
        <w:t>NV 64/22, para 53</w:t>
      </w:r>
      <w:r w:rsidR="00407495">
        <w:t>.</w:t>
      </w:r>
    </w:p>
  </w:footnote>
  <w:footnote w:id="39">
    <w:p w14:paraId="02935CD3" w14:textId="7A52E42B" w:rsidR="007177B2" w:rsidRDefault="007177B2" w:rsidP="00604564">
      <w:pPr>
        <w:pStyle w:val="FootnoteText"/>
      </w:pPr>
      <w:r>
        <w:tab/>
      </w:r>
      <w:r>
        <w:rPr>
          <w:rStyle w:val="FootnoteReference"/>
        </w:rPr>
        <w:footnoteRef/>
      </w:r>
      <w:r>
        <w:tab/>
        <w:t>Gazette notification No.</w:t>
      </w:r>
      <w:r w:rsidR="00997C59">
        <w:t xml:space="preserve"> 2254/30 dated 17 November 2021</w:t>
      </w:r>
      <w:r w:rsidR="00407495">
        <w:t>.</w:t>
      </w:r>
    </w:p>
  </w:footnote>
  <w:footnote w:id="40">
    <w:p w14:paraId="6A5CB97B" w14:textId="24972A5C" w:rsidR="00DD2871" w:rsidRDefault="00DD2871" w:rsidP="00407495">
      <w:pPr>
        <w:pStyle w:val="FootnoteText"/>
      </w:pPr>
      <w:r>
        <w:tab/>
      </w:r>
      <w:r>
        <w:rPr>
          <w:rStyle w:val="FootnoteReference"/>
        </w:rPr>
        <w:footnoteRef/>
      </w:r>
      <w:r w:rsidR="00407495">
        <w:tab/>
      </w:r>
      <w:r w:rsidR="00997C59">
        <w:t xml:space="preserve">  NV 64/22</w:t>
      </w:r>
      <w:r w:rsidR="00A3783B" w:rsidRPr="008527F3">
        <w:t xml:space="preserve">, </w:t>
      </w:r>
      <w:r w:rsidR="00027CCB" w:rsidRPr="008527F3">
        <w:t xml:space="preserve">para </w:t>
      </w:r>
      <w:r w:rsidR="008527F3" w:rsidRPr="008527F3">
        <w:t>64</w:t>
      </w:r>
      <w:r w:rsidR="00407495">
        <w:t>.</w:t>
      </w:r>
    </w:p>
  </w:footnote>
  <w:footnote w:id="41">
    <w:p w14:paraId="024491AF" w14:textId="74135BAD" w:rsidR="007177B2" w:rsidRPr="00331F04" w:rsidRDefault="007177B2">
      <w:pPr>
        <w:pStyle w:val="FootnoteText"/>
      </w:pPr>
      <w:r>
        <w:tab/>
      </w:r>
      <w:r>
        <w:rPr>
          <w:rStyle w:val="FootnoteReference"/>
        </w:rPr>
        <w:footnoteRef/>
      </w:r>
      <w:r w:rsidR="00AD45C5">
        <w:tab/>
      </w:r>
      <w:r w:rsidRPr="00331F04">
        <w:t xml:space="preserve">NV </w:t>
      </w:r>
      <w:r w:rsidR="00DD2871" w:rsidRPr="00331F04">
        <w:t>64/2022</w:t>
      </w:r>
      <w:r w:rsidR="00AF56E9">
        <w:t>, para 68</w:t>
      </w:r>
      <w:r w:rsidR="00AD45C5">
        <w:t>.</w:t>
      </w:r>
    </w:p>
  </w:footnote>
  <w:footnote w:id="42">
    <w:p w14:paraId="1B95A392" w14:textId="5CABB921" w:rsidR="007177B2" w:rsidRPr="00331F04" w:rsidRDefault="007177B2">
      <w:pPr>
        <w:pStyle w:val="FootnoteText"/>
      </w:pPr>
      <w:r>
        <w:tab/>
      </w:r>
      <w:r>
        <w:rPr>
          <w:rStyle w:val="FootnoteReference"/>
        </w:rPr>
        <w:footnoteRef/>
      </w:r>
      <w:r w:rsidR="00AD45C5">
        <w:tab/>
      </w:r>
      <w:r w:rsidR="00D572AB">
        <w:t>NV 457/2021, page 19</w:t>
      </w:r>
      <w:r w:rsidR="00AD45C5">
        <w:t>.</w:t>
      </w:r>
    </w:p>
  </w:footnote>
  <w:footnote w:id="43">
    <w:p w14:paraId="56B0C5F9" w14:textId="00C1D051" w:rsidR="007177B2" w:rsidRPr="00331F04" w:rsidRDefault="007177B2" w:rsidP="00AD45C5">
      <w:pPr>
        <w:pStyle w:val="FootnoteText"/>
      </w:pPr>
      <w:r>
        <w:tab/>
      </w:r>
      <w:r>
        <w:rPr>
          <w:rStyle w:val="FootnoteReference"/>
        </w:rPr>
        <w:footnoteRef/>
      </w:r>
      <w:r w:rsidR="00AD45C5">
        <w:tab/>
      </w:r>
      <w:hyperlink r:id="rId24" w:history="1">
        <w:r w:rsidR="00CD54E9">
          <w:rPr>
            <w:rStyle w:val="Hyperlink"/>
          </w:rPr>
          <w:t>STATEMENT: KILLING OF A SUSPECT IN POLICE CUSTODY - BASL</w:t>
        </w:r>
      </w:hyperlink>
      <w:r w:rsidR="00AD45C5">
        <w:rPr>
          <w:rStyle w:val="Hyperlink"/>
        </w:rPr>
        <w:t>.</w:t>
      </w:r>
      <w:r w:rsidR="00CD54E9">
        <w:t xml:space="preserve"> </w:t>
      </w:r>
      <w:hyperlink r:id="rId25" w:history="1"/>
    </w:p>
  </w:footnote>
  <w:footnote w:id="44">
    <w:p w14:paraId="56A7B932" w14:textId="6761AC83" w:rsidR="004D79A8" w:rsidRPr="00473D95" w:rsidRDefault="004D79A8" w:rsidP="004D79A8">
      <w:pPr>
        <w:pStyle w:val="FootnoteText"/>
        <w:rPr>
          <w:lang w:val="fr-FR"/>
        </w:rPr>
      </w:pPr>
      <w:r>
        <w:tab/>
        <w:t xml:space="preserve">            </w:t>
      </w:r>
      <w:r>
        <w:rPr>
          <w:rStyle w:val="FootnoteReference"/>
        </w:rPr>
        <w:footnoteRef/>
      </w:r>
      <w:r w:rsidR="006D507A">
        <w:rPr>
          <w:lang w:val="fr-FR"/>
        </w:rPr>
        <w:tab/>
        <w:t>NV 457/2021, page 22</w:t>
      </w:r>
      <w:r w:rsidR="00AD45C5">
        <w:rPr>
          <w:lang w:val="fr-FR"/>
        </w:rPr>
        <w:t>.</w:t>
      </w:r>
    </w:p>
  </w:footnote>
  <w:footnote w:id="45">
    <w:p w14:paraId="7B78A7E6" w14:textId="55F45ECC" w:rsidR="004D79A8" w:rsidRPr="00473D95" w:rsidRDefault="004D79A8" w:rsidP="004D79A8">
      <w:pPr>
        <w:pStyle w:val="FootnoteText"/>
        <w:rPr>
          <w:lang w:val="fr-FR"/>
        </w:rPr>
      </w:pPr>
      <w:r w:rsidRPr="00473D95">
        <w:rPr>
          <w:lang w:val="fr-FR"/>
        </w:rPr>
        <w:tab/>
        <w:t xml:space="preserve">             </w:t>
      </w:r>
      <w:r>
        <w:rPr>
          <w:rStyle w:val="FootnoteReference"/>
        </w:rPr>
        <w:footnoteRef/>
      </w:r>
      <w:r w:rsidR="006D507A">
        <w:rPr>
          <w:lang w:val="fr-FR"/>
        </w:rPr>
        <w:tab/>
      </w:r>
      <w:proofErr w:type="spellStart"/>
      <w:r w:rsidR="006D507A">
        <w:rPr>
          <w:lang w:val="fr-FR"/>
        </w:rPr>
        <w:t>Ibid</w:t>
      </w:r>
      <w:proofErr w:type="spellEnd"/>
      <w:r w:rsidR="006D507A">
        <w:rPr>
          <w:lang w:val="fr-FR"/>
        </w:rPr>
        <w:t>, page 23</w:t>
      </w:r>
      <w:r w:rsidR="00AD45C5">
        <w:rPr>
          <w:lang w:val="fr-FR"/>
        </w:rPr>
        <w:t>.</w:t>
      </w:r>
    </w:p>
  </w:footnote>
  <w:footnote w:id="46">
    <w:p w14:paraId="5ECE229B" w14:textId="11081AE2" w:rsidR="007177B2" w:rsidRPr="00473D95" w:rsidRDefault="007177B2">
      <w:pPr>
        <w:pStyle w:val="FootnoteText"/>
        <w:rPr>
          <w:lang w:val="fr-FR"/>
        </w:rPr>
      </w:pPr>
      <w:r>
        <w:rPr>
          <w:lang w:val="fr-FR"/>
        </w:rPr>
        <w:tab/>
        <w:t xml:space="preserve">     </w:t>
      </w:r>
      <w:r>
        <w:rPr>
          <w:rStyle w:val="FootnoteReference"/>
        </w:rPr>
        <w:footnoteRef/>
      </w:r>
      <w:r w:rsidR="006D507A">
        <w:rPr>
          <w:lang w:val="fr-FR"/>
        </w:rPr>
        <w:t xml:space="preserve"> </w:t>
      </w:r>
      <w:r w:rsidR="006D507A">
        <w:rPr>
          <w:lang w:val="fr-FR"/>
        </w:rPr>
        <w:tab/>
      </w:r>
      <w:proofErr w:type="spellStart"/>
      <w:r w:rsidR="006D507A">
        <w:rPr>
          <w:lang w:val="fr-FR"/>
        </w:rPr>
        <w:t>Ibid</w:t>
      </w:r>
      <w:proofErr w:type="spellEnd"/>
      <w:r w:rsidR="006D507A">
        <w:rPr>
          <w:lang w:val="fr-FR"/>
        </w:rPr>
        <w:t>, page 16</w:t>
      </w:r>
      <w:r w:rsidR="00AD45C5">
        <w:rPr>
          <w:lang w:val="fr-FR"/>
        </w:rPr>
        <w:t>.</w:t>
      </w:r>
    </w:p>
  </w:footnote>
  <w:footnote w:id="47">
    <w:p w14:paraId="25127E7C" w14:textId="6CDD5E59" w:rsidR="007177B2" w:rsidRDefault="007177B2" w:rsidP="00D12B57">
      <w:pPr>
        <w:pStyle w:val="FootnoteText"/>
        <w:ind w:left="0" w:firstLine="0"/>
      </w:pPr>
      <w:r w:rsidRPr="00070FF2">
        <w:rPr>
          <w:lang w:val="fr-FR"/>
        </w:rPr>
        <w:tab/>
      </w:r>
      <w:r>
        <w:rPr>
          <w:rStyle w:val="FootnoteReference"/>
        </w:rPr>
        <w:footnoteRef/>
      </w:r>
      <w:r>
        <w:tab/>
        <w:t>A</w:t>
      </w:r>
      <w:r w:rsidR="006D507A">
        <w:t>/HRC/34/54/Add.2, paras 115-122</w:t>
      </w:r>
      <w:r w:rsidR="00AD45C5">
        <w:t>.</w:t>
      </w:r>
    </w:p>
  </w:footnote>
  <w:footnote w:id="48">
    <w:p w14:paraId="518B1D48" w14:textId="3D1F5738" w:rsidR="007177B2" w:rsidRPr="00331F04" w:rsidRDefault="00841753">
      <w:pPr>
        <w:pStyle w:val="FootnoteText"/>
      </w:pPr>
      <w:r>
        <w:tab/>
      </w:r>
      <w:r w:rsidR="007177B2" w:rsidRPr="002E46E3">
        <w:rPr>
          <w:rStyle w:val="FootnoteReference"/>
          <w:szCs w:val="18"/>
        </w:rPr>
        <w:footnoteRef/>
      </w:r>
      <w:r w:rsidR="007177B2">
        <w:tab/>
      </w:r>
      <w:r w:rsidR="007177B2" w:rsidRPr="00331F04">
        <w:t>OL LKA (7.2021)</w:t>
      </w:r>
      <w:r w:rsidR="00AD45C5">
        <w:t>.</w:t>
      </w:r>
    </w:p>
  </w:footnote>
  <w:footnote w:id="49">
    <w:p w14:paraId="60EF42DF" w14:textId="79041349" w:rsidR="007177B2" w:rsidRPr="00331F04" w:rsidRDefault="00841753" w:rsidP="00593D0B">
      <w:pPr>
        <w:pStyle w:val="FootnoteText"/>
      </w:pPr>
      <w:r>
        <w:tab/>
      </w:r>
      <w:r w:rsidR="007177B2" w:rsidRPr="00EE4220">
        <w:rPr>
          <w:rStyle w:val="FootnoteReference"/>
        </w:rPr>
        <w:footnoteRef/>
      </w:r>
      <w:r w:rsidR="007177B2">
        <w:tab/>
      </w:r>
      <w:r w:rsidR="007177B2" w:rsidRPr="00331F04">
        <w:t>NV 457/2021, page 15</w:t>
      </w:r>
      <w:r w:rsidR="00AD45C5">
        <w:t>.</w:t>
      </w:r>
    </w:p>
  </w:footnote>
  <w:footnote w:id="50">
    <w:p w14:paraId="55E55E8B" w14:textId="7DC4458D" w:rsidR="00D276D2" w:rsidRPr="00331F04" w:rsidRDefault="00841753" w:rsidP="00FF263D">
      <w:pPr>
        <w:pStyle w:val="FootnoteText"/>
      </w:pPr>
      <w:r>
        <w:tab/>
      </w:r>
      <w:r w:rsidR="00D276D2" w:rsidRPr="00FF263D">
        <w:rPr>
          <w:rStyle w:val="FootnoteReference"/>
        </w:rPr>
        <w:footnoteRef/>
      </w:r>
      <w:r w:rsidR="00A7242A">
        <w:tab/>
      </w:r>
      <w:r w:rsidR="00E80EA0">
        <w:t>NV 64/2022, para 80</w:t>
      </w:r>
      <w:r w:rsidR="00AD45C5">
        <w:t>.</w:t>
      </w:r>
    </w:p>
  </w:footnote>
  <w:footnote w:id="51">
    <w:p w14:paraId="5B68EC29" w14:textId="77777777" w:rsidR="007177B2" w:rsidRPr="00331F04" w:rsidRDefault="007177B2" w:rsidP="000F4D3D">
      <w:pPr>
        <w:pStyle w:val="FootnoteText"/>
      </w:pPr>
      <w:r>
        <w:rPr>
          <w:szCs w:val="18"/>
        </w:rPr>
        <w:tab/>
        <w:t xml:space="preserve">        </w:t>
      </w:r>
      <w:r w:rsidRPr="002E46E3">
        <w:rPr>
          <w:rStyle w:val="FootnoteReference"/>
          <w:szCs w:val="18"/>
        </w:rPr>
        <w:footnoteRef/>
      </w:r>
      <w:bookmarkStart w:id="13" w:name="_Hlk93949406"/>
      <w:r>
        <w:rPr>
          <w:szCs w:val="18"/>
        </w:rPr>
        <w:tab/>
      </w:r>
      <w:r w:rsidRPr="00070FF2">
        <w:t>The Advisory Board is envisaged in section 13 of the PTA, but it was never established</w:t>
      </w:r>
      <w:bookmarkEnd w:id="13"/>
      <w:r w:rsidRPr="00070FF2">
        <w:t>.</w:t>
      </w:r>
    </w:p>
  </w:footnote>
  <w:footnote w:id="52">
    <w:p w14:paraId="6338CFC9" w14:textId="77B14F1C" w:rsidR="007177B2" w:rsidRDefault="007177B2" w:rsidP="000F4D3D">
      <w:pPr>
        <w:pStyle w:val="FootnoteText"/>
      </w:pPr>
      <w:r>
        <w:tab/>
      </w:r>
      <w:r>
        <w:rPr>
          <w:rStyle w:val="FootnoteReference"/>
        </w:rPr>
        <w:footnoteRef/>
      </w:r>
      <w:r>
        <w:tab/>
      </w:r>
      <w:r w:rsidR="00E80EA0">
        <w:t>NV 457/2021, page 15</w:t>
      </w:r>
      <w:r w:rsidR="00AD45C5">
        <w:t>.</w:t>
      </w:r>
    </w:p>
  </w:footnote>
  <w:footnote w:id="53">
    <w:p w14:paraId="15884BA2" w14:textId="42E57DC8" w:rsidR="007177B2" w:rsidRDefault="007177B2" w:rsidP="00AD45C5">
      <w:pPr>
        <w:pStyle w:val="FootnoteText"/>
      </w:pPr>
      <w:r>
        <w:tab/>
      </w:r>
      <w:r>
        <w:rPr>
          <w:rStyle w:val="FootnoteReference"/>
        </w:rPr>
        <w:footnoteRef/>
      </w:r>
      <w:r w:rsidR="00AD45C5">
        <w:tab/>
      </w:r>
      <w:r w:rsidRPr="00331F04">
        <w:t xml:space="preserve">Gazette of the Democratic Socialist Republic of Sri Lanka No. 2218/68, March 12, 2021, </w:t>
      </w:r>
      <w:hyperlink r:id="rId26" w:history="1">
        <w:r w:rsidRPr="00070FF2">
          <w:t>http://www.documents.gov.lk/files/egz/2021/3/2218-68_E.pdf</w:t>
        </w:r>
      </w:hyperlink>
      <w:r w:rsidR="00AD45C5">
        <w:t>.</w:t>
      </w:r>
    </w:p>
  </w:footnote>
  <w:footnote w:id="54">
    <w:p w14:paraId="28CA31C3" w14:textId="0866406C" w:rsidR="007177B2" w:rsidRPr="00130603" w:rsidRDefault="007177B2" w:rsidP="000F4D3D">
      <w:pPr>
        <w:pStyle w:val="FootnoteText"/>
        <w:ind w:hanging="567"/>
        <w:rPr>
          <w:lang w:val="it-IT"/>
        </w:rPr>
      </w:pPr>
      <w:r>
        <w:rPr>
          <w:lang w:val="it-IT"/>
        </w:rPr>
        <w:tab/>
      </w:r>
      <w:r>
        <w:rPr>
          <w:rStyle w:val="FootnoteReference"/>
        </w:rPr>
        <w:footnoteRef/>
      </w:r>
      <w:r>
        <w:rPr>
          <w:lang w:val="it-IT"/>
        </w:rPr>
        <w:tab/>
      </w:r>
      <w:r w:rsidRPr="00070FF2">
        <w:t>OL LKA (3.2021)</w:t>
      </w:r>
      <w:r w:rsidR="00AD45C5">
        <w:t>.</w:t>
      </w:r>
    </w:p>
  </w:footnote>
  <w:footnote w:id="55">
    <w:p w14:paraId="6FE3CA3F" w14:textId="42480A8E" w:rsidR="007177B2" w:rsidRPr="00587FA0" w:rsidRDefault="007177B2" w:rsidP="00EE4220">
      <w:pPr>
        <w:pStyle w:val="FootnoteText"/>
      </w:pPr>
      <w:r w:rsidRPr="00286FF5">
        <w:tab/>
      </w:r>
      <w:r w:rsidRPr="00587FA0">
        <w:rPr>
          <w:rStyle w:val="FootnoteReference"/>
        </w:rPr>
        <w:footnoteRef/>
      </w:r>
      <w:r w:rsidRPr="00587FA0">
        <w:t xml:space="preserve"> </w:t>
      </w:r>
      <w:r w:rsidRPr="00587FA0">
        <w:tab/>
      </w:r>
      <w:r w:rsidRPr="00331F04">
        <w:tab/>
        <w:t xml:space="preserve">Human Rights Council, forty-third session, High Level Segment statement by Hon. Dinesh </w:t>
      </w:r>
      <w:proofErr w:type="spellStart"/>
      <w:r w:rsidRPr="00331F04">
        <w:t>Gunawardena</w:t>
      </w:r>
      <w:proofErr w:type="spellEnd"/>
      <w:r w:rsidRPr="00331F04">
        <w:t>, Minister of Foreign Relations</w:t>
      </w:r>
      <w:r w:rsidR="001D6139">
        <w:t xml:space="preserve"> of Sri Lanka, 26 February 2020</w:t>
      </w:r>
      <w:r w:rsidR="00AD45C5">
        <w:t>.</w:t>
      </w:r>
    </w:p>
  </w:footnote>
  <w:footnote w:id="56">
    <w:p w14:paraId="10D2CCE0" w14:textId="544AD44F" w:rsidR="007177B2" w:rsidRPr="00070FF2" w:rsidRDefault="007177B2" w:rsidP="00EE4220">
      <w:pPr>
        <w:pStyle w:val="FootnoteText"/>
        <w:rPr>
          <w:sz w:val="16"/>
          <w:szCs w:val="16"/>
        </w:rPr>
      </w:pPr>
      <w:r w:rsidRPr="00587FA0">
        <w:tab/>
      </w:r>
      <w:r w:rsidRPr="00587FA0">
        <w:rPr>
          <w:rStyle w:val="FootnoteReference"/>
        </w:rPr>
        <w:footnoteRef/>
      </w:r>
      <w:r w:rsidRPr="00070FF2">
        <w:tab/>
      </w:r>
      <w:r w:rsidR="0005200A" w:rsidRPr="00070FF2">
        <w:t xml:space="preserve">Annex to </w:t>
      </w:r>
      <w:r w:rsidR="0005200A" w:rsidRPr="00331F04">
        <w:t>NV 64/22</w:t>
      </w:r>
      <w:r w:rsidR="00AD45C5">
        <w:t>.</w:t>
      </w:r>
    </w:p>
  </w:footnote>
  <w:footnote w:id="57">
    <w:p w14:paraId="020A55C4" w14:textId="3F682A5A" w:rsidR="007177B2" w:rsidRPr="00723F39" w:rsidRDefault="007177B2" w:rsidP="00A939D8">
      <w:pPr>
        <w:pStyle w:val="FootnoteText"/>
        <w:rPr>
          <w:szCs w:val="18"/>
        </w:rPr>
      </w:pPr>
      <w:r w:rsidRPr="00070FF2">
        <w:tab/>
      </w:r>
      <w:r w:rsidRPr="00304F21">
        <w:rPr>
          <w:rStyle w:val="FootnoteReference"/>
          <w:szCs w:val="18"/>
        </w:rPr>
        <w:footnoteRef/>
      </w:r>
      <w:r w:rsidRPr="00723F39">
        <w:tab/>
      </w:r>
      <w:r w:rsidR="001D6139">
        <w:rPr>
          <w:szCs w:val="18"/>
        </w:rPr>
        <w:t>NV 457/2021, page 7</w:t>
      </w:r>
      <w:r w:rsidR="00AD45C5">
        <w:rPr>
          <w:szCs w:val="18"/>
        </w:rPr>
        <w:t>.</w:t>
      </w:r>
    </w:p>
  </w:footnote>
  <w:footnote w:id="58">
    <w:p w14:paraId="5D6C5238" w14:textId="5EFB8A7C" w:rsidR="007177B2" w:rsidRPr="00304F21" w:rsidRDefault="007177B2" w:rsidP="00723F39">
      <w:pPr>
        <w:pStyle w:val="FootnoteText"/>
        <w:ind w:left="0" w:firstLine="0"/>
        <w:rPr>
          <w:szCs w:val="18"/>
        </w:rPr>
      </w:pPr>
      <w:r w:rsidRPr="00291A4F">
        <w:rPr>
          <w:szCs w:val="18"/>
        </w:rPr>
        <w:t xml:space="preserve"> </w:t>
      </w:r>
      <w:r>
        <w:rPr>
          <w:szCs w:val="18"/>
        </w:rPr>
        <w:tab/>
      </w:r>
      <w:r w:rsidRPr="00291A4F">
        <w:rPr>
          <w:rStyle w:val="FootnoteReference"/>
          <w:szCs w:val="18"/>
        </w:rPr>
        <w:footnoteRef/>
      </w:r>
      <w:r>
        <w:rPr>
          <w:szCs w:val="18"/>
        </w:rPr>
        <w:tab/>
      </w:r>
      <w:r w:rsidR="001D6139">
        <w:t>Ibid</w:t>
      </w:r>
      <w:r w:rsidR="00AD45C5">
        <w:t>.</w:t>
      </w:r>
    </w:p>
  </w:footnote>
  <w:footnote w:id="59">
    <w:p w14:paraId="1F9B28DB" w14:textId="69AA8788" w:rsidR="007177B2" w:rsidRPr="00070FF2" w:rsidRDefault="00841753" w:rsidP="00FF263D">
      <w:pPr>
        <w:pStyle w:val="FootnoteText"/>
      </w:pPr>
      <w:r>
        <w:rPr>
          <w:szCs w:val="18"/>
        </w:rPr>
        <w:tab/>
      </w:r>
      <w:r w:rsidR="007177B2" w:rsidRPr="00304F21">
        <w:rPr>
          <w:rStyle w:val="FootnoteReference"/>
          <w:szCs w:val="18"/>
        </w:rPr>
        <w:footnoteRef/>
      </w:r>
      <w:r w:rsidR="007177B2">
        <w:rPr>
          <w:szCs w:val="18"/>
        </w:rPr>
        <w:tab/>
      </w:r>
      <w:r w:rsidR="007177B2" w:rsidRPr="00070FF2">
        <w:t>Office for Reparations, ‘Compensation – update as at Jan. 2022,’ (NV 16/22).</w:t>
      </w:r>
    </w:p>
  </w:footnote>
  <w:footnote w:id="60">
    <w:p w14:paraId="1E7B0C5D" w14:textId="1C7F2007" w:rsidR="007177B2" w:rsidRPr="00070FF2" w:rsidRDefault="007177B2" w:rsidP="00723F39">
      <w:pPr>
        <w:pStyle w:val="BodyText"/>
        <w:tabs>
          <w:tab w:val="right" w:pos="1021"/>
        </w:tabs>
        <w:ind w:firstLine="567"/>
        <w:rPr>
          <w:rStyle w:val="FootnoteTextChar"/>
        </w:rPr>
      </w:pPr>
      <w:r>
        <w:rPr>
          <w:sz w:val="18"/>
          <w:szCs w:val="18"/>
        </w:rPr>
        <w:tab/>
      </w:r>
      <w:r w:rsidRPr="00304F21">
        <w:rPr>
          <w:rStyle w:val="FootnoteReference"/>
          <w:szCs w:val="18"/>
        </w:rPr>
        <w:footnoteRef/>
      </w:r>
      <w:r>
        <w:rPr>
          <w:sz w:val="18"/>
          <w:szCs w:val="18"/>
        </w:rPr>
        <w:tab/>
      </w:r>
      <w:r w:rsidR="001D6139">
        <w:rPr>
          <w:rStyle w:val="FootnoteTextChar"/>
        </w:rPr>
        <w:t>NV 457/2021, page 8</w:t>
      </w:r>
      <w:r w:rsidR="00AD45C5">
        <w:rPr>
          <w:rStyle w:val="FootnoteTextChar"/>
        </w:rPr>
        <w:t>.</w:t>
      </w:r>
    </w:p>
  </w:footnote>
  <w:footnote w:id="61">
    <w:p w14:paraId="7196051A" w14:textId="46B2B7B2" w:rsidR="007177B2" w:rsidRPr="00304F21" w:rsidRDefault="007177B2" w:rsidP="00A939D8">
      <w:pPr>
        <w:pStyle w:val="FootnoteText"/>
        <w:rPr>
          <w:szCs w:val="18"/>
        </w:rPr>
      </w:pPr>
      <w:r>
        <w:rPr>
          <w:szCs w:val="18"/>
        </w:rPr>
        <w:tab/>
      </w:r>
      <w:r w:rsidRPr="00304F21">
        <w:rPr>
          <w:rStyle w:val="FootnoteReference"/>
          <w:szCs w:val="18"/>
        </w:rPr>
        <w:footnoteRef/>
      </w:r>
      <w:r>
        <w:rPr>
          <w:szCs w:val="18"/>
        </w:rPr>
        <w:tab/>
        <w:t>Ibid</w:t>
      </w:r>
      <w:r w:rsidR="001D6139">
        <w:rPr>
          <w:szCs w:val="18"/>
        </w:rPr>
        <w:t>, page 28</w:t>
      </w:r>
      <w:r w:rsidR="00AD45C5">
        <w:rPr>
          <w:szCs w:val="18"/>
        </w:rPr>
        <w:t>.</w:t>
      </w:r>
    </w:p>
  </w:footnote>
  <w:footnote w:id="62">
    <w:p w14:paraId="234EB4ED" w14:textId="5C69AD15" w:rsidR="007177B2" w:rsidRPr="008D3F4E" w:rsidRDefault="007177B2" w:rsidP="00CC0ABE">
      <w:pPr>
        <w:pStyle w:val="FootnoteText"/>
        <w:ind w:left="0" w:firstLine="567"/>
        <w:rPr>
          <w:szCs w:val="18"/>
        </w:rPr>
      </w:pPr>
      <w:r>
        <w:rPr>
          <w:szCs w:val="18"/>
        </w:rPr>
        <w:tab/>
      </w:r>
      <w:r w:rsidRPr="00304F21">
        <w:rPr>
          <w:rStyle w:val="FootnoteReference"/>
          <w:szCs w:val="18"/>
        </w:rPr>
        <w:footnoteRef/>
      </w:r>
      <w:r>
        <w:rPr>
          <w:szCs w:val="18"/>
        </w:rPr>
        <w:tab/>
      </w:r>
      <w:r w:rsidR="001D6139">
        <w:rPr>
          <w:szCs w:val="18"/>
        </w:rPr>
        <w:t>Ibid</w:t>
      </w:r>
      <w:r w:rsidR="00AD45C5">
        <w:rPr>
          <w:szCs w:val="18"/>
        </w:rPr>
        <w:t>.</w:t>
      </w:r>
    </w:p>
  </w:footnote>
  <w:footnote w:id="63">
    <w:p w14:paraId="1D7FB2F4" w14:textId="5C0C2FED" w:rsidR="007177B2" w:rsidRDefault="007177B2" w:rsidP="00CC0ABE">
      <w:pPr>
        <w:pStyle w:val="FootnoteText"/>
      </w:pPr>
      <w:r>
        <w:rPr>
          <w:szCs w:val="18"/>
        </w:rPr>
        <w:tab/>
      </w:r>
      <w:r>
        <w:rPr>
          <w:rStyle w:val="FootnoteReference"/>
        </w:rPr>
        <w:footnoteRef/>
      </w:r>
      <w:r>
        <w:rPr>
          <w:szCs w:val="18"/>
        </w:rPr>
        <w:tab/>
      </w:r>
      <w:r w:rsidRPr="00331F04">
        <w:t xml:space="preserve">See </w:t>
      </w:r>
      <w:hyperlink r:id="rId27" w:history="1">
        <w:r w:rsidRPr="00070FF2">
          <w:t>http://war-victims-map.org/wp-content/uploads/2017/02/CTF-Final-Report-Volume-I-Nov-16.pdf</w:t>
        </w:r>
      </w:hyperlink>
      <w:r w:rsidR="00AD45C5">
        <w:t>.</w:t>
      </w:r>
    </w:p>
  </w:footnote>
  <w:footnote w:id="64">
    <w:p w14:paraId="4700FFB9" w14:textId="4A5A6416" w:rsidR="007177B2" w:rsidRDefault="007177B2" w:rsidP="00CC0ABE">
      <w:pPr>
        <w:pStyle w:val="FootnoteText"/>
        <w:ind w:hanging="567"/>
      </w:pPr>
      <w:r>
        <w:rPr>
          <w:szCs w:val="18"/>
        </w:rPr>
        <w:tab/>
      </w:r>
      <w:r>
        <w:rPr>
          <w:rStyle w:val="FootnoteReference"/>
        </w:rPr>
        <w:footnoteRef/>
      </w:r>
      <w:r>
        <w:rPr>
          <w:szCs w:val="18"/>
        </w:rPr>
        <w:tab/>
      </w:r>
      <w:r w:rsidR="00B70039">
        <w:rPr>
          <w:szCs w:val="18"/>
        </w:rPr>
        <w:t xml:space="preserve">NV </w:t>
      </w:r>
      <w:r w:rsidRPr="008D3F4E">
        <w:rPr>
          <w:szCs w:val="18"/>
        </w:rPr>
        <w:t>13/2022, 20 January 2022</w:t>
      </w:r>
      <w:r w:rsidR="00AD45C5">
        <w:rPr>
          <w:szCs w:val="18"/>
        </w:rPr>
        <w:t>.</w:t>
      </w:r>
    </w:p>
  </w:footnote>
  <w:footnote w:id="65">
    <w:p w14:paraId="0C5F482F" w14:textId="21B690E7" w:rsidR="007177B2" w:rsidRPr="008D3F4E" w:rsidRDefault="007177B2" w:rsidP="00B222E6">
      <w:pPr>
        <w:pStyle w:val="FootnoteText"/>
        <w:rPr>
          <w:szCs w:val="18"/>
        </w:rPr>
      </w:pPr>
      <w:r>
        <w:rPr>
          <w:szCs w:val="18"/>
        </w:rPr>
        <w:tab/>
        <w:t xml:space="preserve">    </w:t>
      </w:r>
      <w:r w:rsidRPr="008D3F4E">
        <w:rPr>
          <w:rStyle w:val="FootnoteReference"/>
          <w:szCs w:val="18"/>
        </w:rPr>
        <w:footnoteRef/>
      </w:r>
      <w:r>
        <w:rPr>
          <w:szCs w:val="18"/>
        </w:rPr>
        <w:tab/>
      </w:r>
      <w:r w:rsidRPr="008D3F4E">
        <w:rPr>
          <w:szCs w:val="18"/>
        </w:rPr>
        <w:t>N</w:t>
      </w:r>
      <w:r>
        <w:rPr>
          <w:szCs w:val="18"/>
        </w:rPr>
        <w:t>V</w:t>
      </w:r>
      <w:r w:rsidR="006B0CFC">
        <w:rPr>
          <w:szCs w:val="18"/>
        </w:rPr>
        <w:t xml:space="preserve"> 64/2022, 22 February, para 97</w:t>
      </w:r>
      <w:r w:rsidR="00AD45C5">
        <w:rPr>
          <w:szCs w:val="18"/>
        </w:rPr>
        <w:t>.</w:t>
      </w:r>
    </w:p>
  </w:footnote>
  <w:footnote w:id="66">
    <w:p w14:paraId="3E60DCBC" w14:textId="2341130C" w:rsidR="007177B2" w:rsidRPr="00726490" w:rsidRDefault="007177B2" w:rsidP="00CC0ABE">
      <w:pPr>
        <w:pStyle w:val="FootnoteText"/>
        <w:ind w:left="0" w:firstLine="567"/>
        <w:rPr>
          <w:lang w:val="es-ES_tradnl"/>
        </w:rPr>
      </w:pPr>
      <w:r>
        <w:rPr>
          <w:szCs w:val="18"/>
          <w:lang w:val="es-ES_tradnl"/>
        </w:rPr>
        <w:tab/>
      </w:r>
      <w:r w:rsidRPr="008D3F4E">
        <w:rPr>
          <w:rStyle w:val="FootnoteReference"/>
          <w:szCs w:val="18"/>
        </w:rPr>
        <w:footnoteRef/>
      </w:r>
      <w:r>
        <w:rPr>
          <w:szCs w:val="18"/>
          <w:lang w:val="es-ES_tradnl"/>
        </w:rPr>
        <w:tab/>
      </w:r>
      <w:r w:rsidRPr="008D3F4E">
        <w:rPr>
          <w:szCs w:val="18"/>
          <w:lang w:val="es-ES_tradnl"/>
        </w:rPr>
        <w:t xml:space="preserve">NV 457/2021, page </w:t>
      </w:r>
      <w:r>
        <w:rPr>
          <w:szCs w:val="18"/>
          <w:lang w:val="es-ES_tradnl"/>
        </w:rPr>
        <w:t>2</w:t>
      </w:r>
      <w:r w:rsidR="00AD45C5">
        <w:rPr>
          <w:szCs w:val="18"/>
          <w:lang w:val="es-ES_tradnl"/>
        </w:rPr>
        <w:t>.</w:t>
      </w:r>
    </w:p>
  </w:footnote>
  <w:footnote w:id="67">
    <w:p w14:paraId="2500F1D7" w14:textId="604C48CC" w:rsidR="007177B2" w:rsidRPr="00726490" w:rsidRDefault="007177B2" w:rsidP="00CC0ABE">
      <w:pPr>
        <w:pStyle w:val="FootnoteText"/>
        <w:ind w:left="0" w:firstLine="0"/>
        <w:rPr>
          <w:lang w:val="es-ES_tradnl"/>
        </w:rPr>
      </w:pPr>
      <w:r>
        <w:rPr>
          <w:lang w:val="es-ES_tradnl"/>
        </w:rPr>
        <w:tab/>
      </w:r>
      <w:r>
        <w:rPr>
          <w:rStyle w:val="FootnoteReference"/>
        </w:rPr>
        <w:footnoteRef/>
      </w:r>
      <w:r>
        <w:rPr>
          <w:lang w:val="es-ES_tradnl"/>
        </w:rPr>
        <w:tab/>
      </w:r>
      <w:r w:rsidR="006B0CFC">
        <w:rPr>
          <w:lang w:val="es-ES_tradnl"/>
        </w:rPr>
        <w:t>A/HRC/34/29, para 32</w:t>
      </w:r>
      <w:r w:rsidR="00AD45C5">
        <w:rPr>
          <w:lang w:val="es-ES_tradnl"/>
        </w:rPr>
        <w:t>.</w:t>
      </w:r>
    </w:p>
  </w:footnote>
  <w:footnote w:id="68">
    <w:p w14:paraId="304A7AE8" w14:textId="56D8FA98" w:rsidR="007177B2" w:rsidRPr="0030006F" w:rsidRDefault="007177B2" w:rsidP="00CC0ABE">
      <w:pPr>
        <w:pStyle w:val="FootnoteText"/>
        <w:ind w:left="0" w:firstLine="567"/>
        <w:rPr>
          <w:lang w:val="es-ES_tradnl"/>
        </w:rPr>
      </w:pPr>
      <w:r w:rsidRPr="00591E74">
        <w:rPr>
          <w:lang w:val="fr-FR"/>
        </w:rPr>
        <w:tab/>
      </w:r>
      <w:r>
        <w:rPr>
          <w:rStyle w:val="FootnoteReference"/>
        </w:rPr>
        <w:footnoteRef/>
      </w:r>
      <w:r>
        <w:tab/>
        <w:t xml:space="preserve">See </w:t>
      </w:r>
      <w:r w:rsidRPr="00286FF5">
        <w:t>A/HRC/43/19</w:t>
      </w:r>
      <w:r>
        <w:t xml:space="preserve">, para </w:t>
      </w:r>
      <w:r w:rsidR="006B0CFC">
        <w:t>21 and A/HRC/46/20, paras 49-50</w:t>
      </w:r>
      <w:r w:rsidR="00AD45C5">
        <w:t>.</w:t>
      </w:r>
    </w:p>
  </w:footnote>
  <w:footnote w:id="69">
    <w:p w14:paraId="3459D9CB" w14:textId="00209F5D" w:rsidR="007177B2" w:rsidRPr="00726490" w:rsidRDefault="007177B2" w:rsidP="00953614">
      <w:pPr>
        <w:pStyle w:val="FootnoteText"/>
        <w:ind w:left="0" w:firstLine="567"/>
        <w:rPr>
          <w:lang w:val="es-ES_tradnl"/>
        </w:rPr>
      </w:pPr>
      <w:r>
        <w:rPr>
          <w:lang w:val="es-ES_tradnl"/>
        </w:rPr>
        <w:tab/>
      </w:r>
      <w:r>
        <w:rPr>
          <w:rStyle w:val="FootnoteReference"/>
        </w:rPr>
        <w:footnoteRef/>
      </w:r>
      <w:r>
        <w:rPr>
          <w:lang w:val="es-ES_tradnl"/>
        </w:rPr>
        <w:tab/>
      </w:r>
      <w:r w:rsidR="0043049A">
        <w:rPr>
          <w:lang w:val="es-ES_tradnl"/>
        </w:rPr>
        <w:t>A/HRC/RES/46/1, para 6</w:t>
      </w:r>
      <w:r w:rsidR="00AD45C5">
        <w:rPr>
          <w:lang w:val="es-ES_tradnl"/>
        </w:rPr>
        <w:t>.</w:t>
      </w:r>
    </w:p>
  </w:footnote>
  <w:footnote w:id="70">
    <w:p w14:paraId="76050D78" w14:textId="4EB8250A" w:rsidR="007177B2" w:rsidRPr="00726490" w:rsidRDefault="007177B2" w:rsidP="00EE4220">
      <w:pPr>
        <w:pStyle w:val="FootnoteText"/>
        <w:rPr>
          <w:lang w:val="es-ES_tradnl"/>
        </w:rPr>
      </w:pPr>
      <w:r w:rsidRPr="00726490">
        <w:rPr>
          <w:lang w:val="es-ES_tradnl"/>
        </w:rPr>
        <w:tab/>
      </w:r>
      <w:r w:rsidRPr="00EE4220">
        <w:rPr>
          <w:rStyle w:val="FootnoteReference"/>
        </w:rPr>
        <w:footnoteRef/>
      </w:r>
      <w:r>
        <w:rPr>
          <w:lang w:val="es-ES_tradnl"/>
        </w:rPr>
        <w:tab/>
      </w:r>
      <w:hyperlink r:id="rId28" w:history="1">
        <w:r w:rsidRPr="00726490">
          <w:rPr>
            <w:rStyle w:val="Hyperlink"/>
            <w:color w:val="auto"/>
            <w:lang w:val="es-ES_tradnl"/>
          </w:rPr>
          <w:t>https://www.ohchr.org/EN/HRBodies/HRC/Pages/Sri-Lanka-accountability-project.aspx</w:t>
        </w:r>
      </w:hyperlink>
      <w:r w:rsidR="00AD45C5">
        <w:rPr>
          <w:rStyle w:val="Hyperlink"/>
          <w:color w:val="auto"/>
          <w:lang w:val="es-ES_tradnl"/>
        </w:rPr>
        <w:t>.</w:t>
      </w:r>
      <w:r>
        <w:rPr>
          <w:rStyle w:val="Hyperlink"/>
          <w:color w:val="auto"/>
          <w:lang w:val="es-ES_tradnl"/>
        </w:rPr>
        <w:t xml:space="preserve"> </w:t>
      </w:r>
      <w:r w:rsidRPr="00726490">
        <w:rPr>
          <w:lang w:val="es-ES_tradnl"/>
        </w:rPr>
        <w:t xml:space="preserve"> </w:t>
      </w:r>
    </w:p>
  </w:footnote>
  <w:footnote w:id="71">
    <w:p w14:paraId="3AE2B4CC" w14:textId="0C9BC3C0" w:rsidR="007177B2" w:rsidRPr="003C0B75" w:rsidRDefault="007177B2" w:rsidP="004A0DF3">
      <w:pPr>
        <w:pStyle w:val="FootnoteText"/>
        <w:ind w:hanging="567"/>
        <w:rPr>
          <w:lang w:val="en-US"/>
        </w:rPr>
      </w:pPr>
      <w:r>
        <w:rPr>
          <w:lang w:val="it-IT"/>
        </w:rPr>
        <w:tab/>
      </w:r>
      <w:r>
        <w:rPr>
          <w:rStyle w:val="FootnoteReference"/>
        </w:rPr>
        <w:footnoteRef/>
      </w:r>
      <w:r>
        <w:rPr>
          <w:lang w:val="it-IT"/>
        </w:rPr>
        <w:tab/>
      </w:r>
      <w:r w:rsidRPr="00130603">
        <w:rPr>
          <w:lang w:val="it-IT"/>
        </w:rPr>
        <w:t>OL LKA (7.2021)</w:t>
      </w:r>
      <w:r w:rsidR="00AD45C5">
        <w:rPr>
          <w:lang w:val="it-IT"/>
        </w:rPr>
        <w:t>.</w:t>
      </w:r>
    </w:p>
  </w:footnote>
  <w:footnote w:id="72">
    <w:p w14:paraId="263EC7DC" w14:textId="7298FC79" w:rsidR="007177B2" w:rsidRPr="003C0B75" w:rsidRDefault="007177B2">
      <w:pPr>
        <w:pStyle w:val="FootnoteText"/>
        <w:rPr>
          <w:lang w:val="en-US"/>
        </w:rPr>
      </w:pPr>
      <w:r>
        <w:rPr>
          <w:lang w:val="en-US"/>
        </w:rPr>
        <w:tab/>
      </w:r>
      <w:r>
        <w:rPr>
          <w:rStyle w:val="FootnoteReference"/>
        </w:rPr>
        <w:footnoteRef/>
      </w:r>
      <w:r w:rsidRPr="003C0B75">
        <w:rPr>
          <w:lang w:val="en-US"/>
        </w:rPr>
        <w:tab/>
        <w:t>HRC/46/20, para 60</w:t>
      </w:r>
      <w:r w:rsidR="00AD45C5">
        <w:rPr>
          <w:lang w:val="en-US"/>
        </w:rPr>
        <w:t>.</w:t>
      </w:r>
    </w:p>
  </w:footnote>
  <w:footnote w:id="73">
    <w:p w14:paraId="5185FCEA" w14:textId="73C94095" w:rsidR="007177B2" w:rsidRDefault="00070FF2" w:rsidP="00070FF2">
      <w:pPr>
        <w:pStyle w:val="FootnoteText"/>
        <w:ind w:left="0" w:firstLine="0"/>
      </w:pPr>
      <w:r>
        <w:tab/>
      </w:r>
      <w:r w:rsidR="007177B2">
        <w:rPr>
          <w:rStyle w:val="FootnoteReference"/>
        </w:rPr>
        <w:footnoteRef/>
      </w:r>
      <w:r w:rsidR="002A7FD4">
        <w:tab/>
      </w:r>
      <w:r w:rsidR="007177B2" w:rsidRPr="00370E84">
        <w:t>See A/HRC/33/51/Add.2, pages 17-22</w:t>
      </w:r>
      <w:r w:rsidR="00AD45C5">
        <w:t>.</w:t>
      </w:r>
    </w:p>
  </w:footnote>
  <w:footnote w:id="74">
    <w:p w14:paraId="1C448D7A" w14:textId="5EF6F40A" w:rsidR="007177B2" w:rsidRPr="00800CD4" w:rsidRDefault="002A7FD4" w:rsidP="00070FF2">
      <w:pPr>
        <w:pStyle w:val="FootnoteText"/>
        <w:rPr>
          <w:lang w:val="es-ES_tradnl"/>
        </w:rPr>
      </w:pPr>
      <w:r>
        <w:rPr>
          <w:lang w:val="it-IT"/>
        </w:rPr>
        <w:tab/>
      </w:r>
      <w:r w:rsidR="007177B2">
        <w:rPr>
          <w:rStyle w:val="FootnoteReference"/>
        </w:rPr>
        <w:footnoteRef/>
      </w:r>
      <w:r w:rsidR="007177B2">
        <w:rPr>
          <w:lang w:val="it-IT"/>
        </w:rPr>
        <w:tab/>
      </w:r>
      <w:r w:rsidR="007177B2" w:rsidRPr="00070FF2">
        <w:t>OL LKA (7.2021)</w:t>
      </w:r>
      <w:r w:rsidR="00AD45C5">
        <w:t>.</w:t>
      </w:r>
    </w:p>
  </w:footnote>
  <w:footnote w:id="75">
    <w:p w14:paraId="0CF44D73" w14:textId="72802FFC" w:rsidR="007177B2" w:rsidRPr="00370E84" w:rsidRDefault="002A7FD4" w:rsidP="00370E84">
      <w:pPr>
        <w:pStyle w:val="FootnoteText"/>
      </w:pPr>
      <w:r w:rsidRPr="00370E84">
        <w:tab/>
      </w:r>
      <w:r w:rsidR="007177B2" w:rsidRPr="00370E84">
        <w:rPr>
          <w:rStyle w:val="FootnoteReference"/>
        </w:rPr>
        <w:footnoteRef/>
      </w:r>
      <w:r w:rsidRPr="00370E84">
        <w:tab/>
      </w:r>
      <w:r w:rsidR="007177B2" w:rsidRPr="00370E84">
        <w:t>A/HRC/46/20, para 61</w:t>
      </w:r>
      <w:r w:rsidR="00AD45C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D944" w14:textId="77777777" w:rsidR="007177B2" w:rsidRDefault="007177B2" w:rsidP="004B13C3">
    <w:pPr>
      <w:pStyle w:val="Header"/>
    </w:pPr>
    <w:r>
      <w:t>A/HRC/49/9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3A3D" w14:textId="77777777" w:rsidR="007177B2" w:rsidRDefault="007177B2" w:rsidP="004B13C3">
    <w:pPr>
      <w:pStyle w:val="Header"/>
      <w:jc w:val="right"/>
    </w:pPr>
    <w:r>
      <w:t>A/HRC/49/9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B13E9"/>
    <w:multiLevelType w:val="hybridMultilevel"/>
    <w:tmpl w:val="6AA01C42"/>
    <w:lvl w:ilvl="0" w:tplc="43D243CE">
      <w:start w:val="1"/>
      <w:numFmt w:val="decimal"/>
      <w:lvlText w:val="%1."/>
      <w:lvlJc w:val="left"/>
      <w:pPr>
        <w:ind w:left="928" w:hanging="360"/>
      </w:pPr>
      <w:rPr>
        <w:b w:val="0"/>
      </w:rPr>
    </w:lvl>
    <w:lvl w:ilvl="1" w:tplc="CC462818">
      <w:start w:val="1"/>
      <w:numFmt w:val="upperLetter"/>
      <w:lvlText w:val="%2."/>
      <w:lvlJc w:val="left"/>
      <w:pPr>
        <w:ind w:left="1647" w:hanging="360"/>
      </w:pPr>
      <w:rPr>
        <w:rFonts w:hint="default"/>
        <w:b/>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F195EDD"/>
    <w:multiLevelType w:val="hybridMultilevel"/>
    <w:tmpl w:val="6AA01C42"/>
    <w:lvl w:ilvl="0" w:tplc="43D243CE">
      <w:start w:val="1"/>
      <w:numFmt w:val="decimal"/>
      <w:lvlText w:val="%1."/>
      <w:lvlJc w:val="left"/>
      <w:pPr>
        <w:ind w:left="928" w:hanging="360"/>
      </w:pPr>
      <w:rPr>
        <w:b w:val="0"/>
      </w:rPr>
    </w:lvl>
    <w:lvl w:ilvl="1" w:tplc="CC462818">
      <w:start w:val="1"/>
      <w:numFmt w:val="upperLetter"/>
      <w:lvlText w:val="%2."/>
      <w:lvlJc w:val="left"/>
      <w:pPr>
        <w:ind w:left="1647" w:hanging="360"/>
      </w:pPr>
      <w:rPr>
        <w:rFonts w:hint="default"/>
        <w:b/>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9B2A2D"/>
    <w:multiLevelType w:val="hybridMultilevel"/>
    <w:tmpl w:val="731EE6C2"/>
    <w:lvl w:ilvl="0" w:tplc="43D243CE">
      <w:start w:val="1"/>
      <w:numFmt w:val="decimal"/>
      <w:lvlText w:val="%1."/>
      <w:lvlJc w:val="left"/>
      <w:pPr>
        <w:ind w:left="928" w:hanging="360"/>
      </w:pPr>
      <w:rPr>
        <w:b w:val="0"/>
      </w:rPr>
    </w:lvl>
    <w:lvl w:ilvl="1" w:tplc="CC462818">
      <w:start w:val="1"/>
      <w:numFmt w:val="upperLetter"/>
      <w:lvlText w:val="%2."/>
      <w:lvlJc w:val="left"/>
      <w:pPr>
        <w:ind w:left="1647" w:hanging="360"/>
      </w:pPr>
      <w:rPr>
        <w:rFonts w:hint="default"/>
        <w:b/>
      </w:rPr>
    </w:lvl>
    <w:lvl w:ilvl="2" w:tplc="51580308">
      <w:start w:val="1"/>
      <w:numFmt w:val="lowerLetter"/>
      <w:lvlText w:val="(%3)"/>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6711859"/>
    <w:multiLevelType w:val="hybridMultilevel"/>
    <w:tmpl w:val="792869A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7182F2E"/>
    <w:multiLevelType w:val="hybridMultilevel"/>
    <w:tmpl w:val="1F4021F6"/>
    <w:lvl w:ilvl="0" w:tplc="084EE886">
      <w:start w:val="4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76D59"/>
    <w:multiLevelType w:val="hybridMultilevel"/>
    <w:tmpl w:val="3E98A502"/>
    <w:lvl w:ilvl="0" w:tplc="1DD4D1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6E57EB"/>
    <w:multiLevelType w:val="hybridMultilevel"/>
    <w:tmpl w:val="BD54CF04"/>
    <w:lvl w:ilvl="0" w:tplc="88801C06">
      <w:start w:val="1"/>
      <w:numFmt w:val="lowerLetter"/>
      <w:lvlText w:val="(%1)"/>
      <w:lvlJc w:val="left"/>
      <w:pPr>
        <w:ind w:left="2368" w:hanging="360"/>
      </w:pPr>
      <w:rPr>
        <w:rFonts w:hint="default"/>
        <w:b/>
        <w:sz w:val="20"/>
        <w:szCs w:val="20"/>
      </w:rPr>
    </w:lvl>
    <w:lvl w:ilvl="1" w:tplc="08090019" w:tentative="1">
      <w:start w:val="1"/>
      <w:numFmt w:val="lowerLetter"/>
      <w:lvlText w:val="%2."/>
      <w:lvlJc w:val="left"/>
      <w:pPr>
        <w:ind w:left="3088" w:hanging="360"/>
      </w:pPr>
    </w:lvl>
    <w:lvl w:ilvl="2" w:tplc="0809001B" w:tentative="1">
      <w:start w:val="1"/>
      <w:numFmt w:val="lowerRoman"/>
      <w:lvlText w:val="%3."/>
      <w:lvlJc w:val="right"/>
      <w:pPr>
        <w:ind w:left="3808" w:hanging="180"/>
      </w:pPr>
    </w:lvl>
    <w:lvl w:ilvl="3" w:tplc="0809000F" w:tentative="1">
      <w:start w:val="1"/>
      <w:numFmt w:val="decimal"/>
      <w:lvlText w:val="%4."/>
      <w:lvlJc w:val="left"/>
      <w:pPr>
        <w:ind w:left="4528" w:hanging="360"/>
      </w:pPr>
    </w:lvl>
    <w:lvl w:ilvl="4" w:tplc="08090019" w:tentative="1">
      <w:start w:val="1"/>
      <w:numFmt w:val="lowerLetter"/>
      <w:lvlText w:val="%5."/>
      <w:lvlJc w:val="left"/>
      <w:pPr>
        <w:ind w:left="5248" w:hanging="360"/>
      </w:pPr>
    </w:lvl>
    <w:lvl w:ilvl="5" w:tplc="0809001B" w:tentative="1">
      <w:start w:val="1"/>
      <w:numFmt w:val="lowerRoman"/>
      <w:lvlText w:val="%6."/>
      <w:lvlJc w:val="right"/>
      <w:pPr>
        <w:ind w:left="5968" w:hanging="180"/>
      </w:pPr>
    </w:lvl>
    <w:lvl w:ilvl="6" w:tplc="0809000F" w:tentative="1">
      <w:start w:val="1"/>
      <w:numFmt w:val="decimal"/>
      <w:lvlText w:val="%7."/>
      <w:lvlJc w:val="left"/>
      <w:pPr>
        <w:ind w:left="6688" w:hanging="360"/>
      </w:pPr>
    </w:lvl>
    <w:lvl w:ilvl="7" w:tplc="08090019" w:tentative="1">
      <w:start w:val="1"/>
      <w:numFmt w:val="lowerLetter"/>
      <w:lvlText w:val="%8."/>
      <w:lvlJc w:val="left"/>
      <w:pPr>
        <w:ind w:left="7408" w:hanging="360"/>
      </w:pPr>
    </w:lvl>
    <w:lvl w:ilvl="8" w:tplc="0809001B" w:tentative="1">
      <w:start w:val="1"/>
      <w:numFmt w:val="lowerRoman"/>
      <w:lvlText w:val="%9."/>
      <w:lvlJc w:val="right"/>
      <w:pPr>
        <w:ind w:left="8128" w:hanging="180"/>
      </w:pPr>
    </w:lvl>
  </w:abstractNum>
  <w:abstractNum w:abstractNumId="9" w15:restartNumberingAfterBreak="0">
    <w:nsid w:val="18785CF7"/>
    <w:multiLevelType w:val="hybridMultilevel"/>
    <w:tmpl w:val="706417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A0B578F"/>
    <w:multiLevelType w:val="hybridMultilevel"/>
    <w:tmpl w:val="0C080682"/>
    <w:lvl w:ilvl="0" w:tplc="0809000F">
      <w:start w:val="1"/>
      <w:numFmt w:val="decimal"/>
      <w:lvlText w:val="%1."/>
      <w:lvlJc w:val="left"/>
      <w:pPr>
        <w:ind w:left="1495"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C65B4"/>
    <w:multiLevelType w:val="hybridMultilevel"/>
    <w:tmpl w:val="12A81CE4"/>
    <w:lvl w:ilvl="0" w:tplc="D0FCC8BE">
      <w:start w:val="1"/>
      <w:numFmt w:val="upperLetter"/>
      <w:lvlText w:val="%1."/>
      <w:lvlJc w:val="left"/>
      <w:pPr>
        <w:ind w:left="1500" w:hanging="360"/>
      </w:pPr>
      <w:rPr>
        <w:rFonts w:hint="default"/>
        <w:b/>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1C3B3DB2"/>
    <w:multiLevelType w:val="hybridMultilevel"/>
    <w:tmpl w:val="FCD641A2"/>
    <w:lvl w:ilvl="0" w:tplc="2F985A48">
      <w:start w:val="1"/>
      <w:numFmt w:val="lowerLetter"/>
      <w:lvlText w:val="%1)"/>
      <w:lvlJc w:val="left"/>
      <w:pPr>
        <w:ind w:left="1407" w:hanging="360"/>
      </w:pPr>
      <w:rPr>
        <w:rFonts w:hint="default"/>
        <w:b/>
        <w:bCs w:val="0"/>
        <w:sz w:val="20"/>
        <w:szCs w:val="20"/>
      </w:rPr>
    </w:lvl>
    <w:lvl w:ilvl="1" w:tplc="CC462818">
      <w:start w:val="1"/>
      <w:numFmt w:val="upperLetter"/>
      <w:lvlText w:val="%2."/>
      <w:lvlJc w:val="left"/>
      <w:pPr>
        <w:ind w:left="2126" w:hanging="360"/>
      </w:pPr>
      <w:rPr>
        <w:rFonts w:hint="default"/>
        <w:b/>
      </w:rPr>
    </w:lvl>
    <w:lvl w:ilvl="2" w:tplc="0809001B">
      <w:start w:val="1"/>
      <w:numFmt w:val="lowerRoman"/>
      <w:lvlText w:val="%3."/>
      <w:lvlJc w:val="right"/>
      <w:pPr>
        <w:ind w:left="2846" w:hanging="180"/>
      </w:pPr>
    </w:lvl>
    <w:lvl w:ilvl="3" w:tplc="0809000F" w:tentative="1">
      <w:start w:val="1"/>
      <w:numFmt w:val="decimal"/>
      <w:lvlText w:val="%4."/>
      <w:lvlJc w:val="left"/>
      <w:pPr>
        <w:ind w:left="3566" w:hanging="360"/>
      </w:pPr>
    </w:lvl>
    <w:lvl w:ilvl="4" w:tplc="08090019" w:tentative="1">
      <w:start w:val="1"/>
      <w:numFmt w:val="lowerLetter"/>
      <w:lvlText w:val="%5."/>
      <w:lvlJc w:val="left"/>
      <w:pPr>
        <w:ind w:left="4286" w:hanging="360"/>
      </w:pPr>
    </w:lvl>
    <w:lvl w:ilvl="5" w:tplc="0809001B" w:tentative="1">
      <w:start w:val="1"/>
      <w:numFmt w:val="lowerRoman"/>
      <w:lvlText w:val="%6."/>
      <w:lvlJc w:val="right"/>
      <w:pPr>
        <w:ind w:left="5006" w:hanging="180"/>
      </w:pPr>
    </w:lvl>
    <w:lvl w:ilvl="6" w:tplc="0809000F" w:tentative="1">
      <w:start w:val="1"/>
      <w:numFmt w:val="decimal"/>
      <w:lvlText w:val="%7."/>
      <w:lvlJc w:val="left"/>
      <w:pPr>
        <w:ind w:left="5726" w:hanging="360"/>
      </w:pPr>
    </w:lvl>
    <w:lvl w:ilvl="7" w:tplc="08090019" w:tentative="1">
      <w:start w:val="1"/>
      <w:numFmt w:val="lowerLetter"/>
      <w:lvlText w:val="%8."/>
      <w:lvlJc w:val="left"/>
      <w:pPr>
        <w:ind w:left="6446" w:hanging="360"/>
      </w:pPr>
    </w:lvl>
    <w:lvl w:ilvl="8" w:tplc="0809001B" w:tentative="1">
      <w:start w:val="1"/>
      <w:numFmt w:val="lowerRoman"/>
      <w:lvlText w:val="%9."/>
      <w:lvlJc w:val="right"/>
      <w:pPr>
        <w:ind w:left="7166" w:hanging="180"/>
      </w:pPr>
    </w:lvl>
  </w:abstractNum>
  <w:abstractNum w:abstractNumId="13" w15:restartNumberingAfterBreak="0">
    <w:nsid w:val="29822974"/>
    <w:multiLevelType w:val="hybridMultilevel"/>
    <w:tmpl w:val="2E024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27B8D"/>
    <w:multiLevelType w:val="hybridMultilevel"/>
    <w:tmpl w:val="F04ADE82"/>
    <w:lvl w:ilvl="0" w:tplc="43D243CE">
      <w:start w:val="1"/>
      <w:numFmt w:val="decimal"/>
      <w:lvlText w:val="%1."/>
      <w:lvlJc w:val="left"/>
      <w:pPr>
        <w:ind w:left="928" w:hanging="360"/>
      </w:pPr>
      <w:rPr>
        <w:b w:val="0"/>
      </w:rPr>
    </w:lvl>
    <w:lvl w:ilvl="1" w:tplc="CC462818">
      <w:start w:val="1"/>
      <w:numFmt w:val="upperLetter"/>
      <w:lvlText w:val="%2."/>
      <w:lvlJc w:val="left"/>
      <w:pPr>
        <w:ind w:left="1647" w:hanging="360"/>
      </w:pPr>
      <w:rPr>
        <w:rFonts w:hint="default"/>
        <w:b/>
      </w:rPr>
    </w:lvl>
    <w:lvl w:ilvl="2" w:tplc="DFDEEFD4">
      <w:start w:val="1"/>
      <w:numFmt w:val="lowerLetter"/>
      <w:lvlText w:val="(%3)"/>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B906AAB"/>
    <w:multiLevelType w:val="hybridMultilevel"/>
    <w:tmpl w:val="DD06B832"/>
    <w:lvl w:ilvl="0" w:tplc="43D243CE">
      <w:start w:val="1"/>
      <w:numFmt w:val="decimal"/>
      <w:lvlText w:val="%1."/>
      <w:lvlJc w:val="left"/>
      <w:pPr>
        <w:ind w:left="2062"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F03325C"/>
    <w:multiLevelType w:val="hybridMultilevel"/>
    <w:tmpl w:val="3C805DE8"/>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09B735A"/>
    <w:multiLevelType w:val="hybridMultilevel"/>
    <w:tmpl w:val="3D5C6B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23E237F"/>
    <w:multiLevelType w:val="hybridMultilevel"/>
    <w:tmpl w:val="4B22BD3C"/>
    <w:lvl w:ilvl="0" w:tplc="3D0EC7B0">
      <w:start w:val="1"/>
      <w:numFmt w:val="upp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C51E6"/>
    <w:multiLevelType w:val="hybridMultilevel"/>
    <w:tmpl w:val="975AE198"/>
    <w:lvl w:ilvl="0" w:tplc="3D706330">
      <w:start w:val="1"/>
      <w:numFmt w:val="decimal"/>
      <w:lvlText w:val="%1)"/>
      <w:lvlJc w:val="left"/>
      <w:pPr>
        <w:ind w:left="720" w:hanging="360"/>
      </w:pPr>
      <w:rPr>
        <w:rFonts w:ascii="Calibri" w:hAnsi="Calibri"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8456EA"/>
    <w:multiLevelType w:val="hybridMultilevel"/>
    <w:tmpl w:val="779864C8"/>
    <w:lvl w:ilvl="0" w:tplc="B742D1DE">
      <w:start w:val="6"/>
      <w:numFmt w:val="upperLetter"/>
      <w:lvlText w:val="%1."/>
      <w:lvlJc w:val="left"/>
      <w:pPr>
        <w:ind w:left="1920" w:hanging="360"/>
      </w:pPr>
      <w:rPr>
        <w:rFonts w:ascii="Times New Roman" w:hAnsi="Times New Roman" w:cs="Times New Roman" w:hint="default"/>
        <w:color w:val="auto"/>
        <w:sz w:val="28"/>
        <w:szCs w:val="28"/>
      </w:r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1" w15:restartNumberingAfterBreak="0">
    <w:nsid w:val="46F6176A"/>
    <w:multiLevelType w:val="hybridMultilevel"/>
    <w:tmpl w:val="707CAF1E"/>
    <w:lvl w:ilvl="0" w:tplc="BE08E8B2">
      <w:start w:val="1"/>
      <w:numFmt w:val="decimal"/>
      <w:lvlText w:val="%1."/>
      <w:lvlJc w:val="left"/>
      <w:pPr>
        <w:ind w:left="2556" w:hanging="57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22" w15:restartNumberingAfterBreak="0">
    <w:nsid w:val="48372491"/>
    <w:multiLevelType w:val="hybridMultilevel"/>
    <w:tmpl w:val="9AD0BE02"/>
    <w:lvl w:ilvl="0" w:tplc="E610A3BA">
      <w:start w:val="1"/>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C947FCF"/>
    <w:multiLevelType w:val="hybridMultilevel"/>
    <w:tmpl w:val="CF0ED67E"/>
    <w:lvl w:ilvl="0" w:tplc="68E697F2">
      <w:start w:val="2"/>
      <w:numFmt w:val="lowerRoman"/>
      <w:lvlText w:val="%1."/>
      <w:lvlJc w:val="left"/>
      <w:pPr>
        <w:ind w:left="1648" w:hanging="720"/>
      </w:pPr>
      <w:rPr>
        <w:rFonts w:eastAsia="Calibri"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4" w15:restartNumberingAfterBreak="0">
    <w:nsid w:val="4EEC7714"/>
    <w:multiLevelType w:val="hybridMultilevel"/>
    <w:tmpl w:val="C3DA3000"/>
    <w:lvl w:ilvl="0" w:tplc="66429222">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07710"/>
    <w:multiLevelType w:val="hybridMultilevel"/>
    <w:tmpl w:val="0C741530"/>
    <w:lvl w:ilvl="0" w:tplc="11AC6D7C">
      <w:start w:val="1"/>
      <w:numFmt w:val="decimal"/>
      <w:lvlText w:val="%1."/>
      <w:lvlJc w:val="left"/>
      <w:pPr>
        <w:ind w:left="2726" w:hanging="360"/>
      </w:pPr>
      <w:rPr>
        <w:rFonts w:ascii="Times New Roman" w:eastAsiaTheme="minorHAnsi" w:hAnsi="Times New Roman" w:cs="Times New Roman"/>
        <w:b/>
        <w:bCs w:val="0"/>
        <w:sz w:val="20"/>
        <w:szCs w:val="20"/>
      </w:rPr>
    </w:lvl>
    <w:lvl w:ilvl="1" w:tplc="CC462818">
      <w:start w:val="1"/>
      <w:numFmt w:val="upperLetter"/>
      <w:lvlText w:val="%2."/>
      <w:lvlJc w:val="left"/>
      <w:pPr>
        <w:ind w:left="2332" w:hanging="360"/>
      </w:pPr>
      <w:rPr>
        <w:rFonts w:hint="default"/>
        <w:b/>
      </w:r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abstractNum w:abstractNumId="26" w15:restartNumberingAfterBreak="0">
    <w:nsid w:val="53B32EAA"/>
    <w:multiLevelType w:val="hybridMultilevel"/>
    <w:tmpl w:val="EB2A5D64"/>
    <w:lvl w:ilvl="0" w:tplc="31527E6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54B90010"/>
    <w:multiLevelType w:val="hybridMultilevel"/>
    <w:tmpl w:val="9ABED188"/>
    <w:lvl w:ilvl="0" w:tplc="676ACEA8">
      <w:start w:val="8"/>
      <w:numFmt w:val="lowerLetter"/>
      <w:lvlText w:val="%1."/>
      <w:lvlJc w:val="left"/>
      <w:pPr>
        <w:ind w:left="2940" w:hanging="360"/>
      </w:pPr>
      <w:rPr>
        <w:rFonts w:hint="default"/>
      </w:rPr>
    </w:lvl>
    <w:lvl w:ilvl="1" w:tplc="08090019">
      <w:start w:val="1"/>
      <w:numFmt w:val="lowerLetter"/>
      <w:lvlText w:val="%2."/>
      <w:lvlJc w:val="left"/>
      <w:pPr>
        <w:ind w:left="3660" w:hanging="360"/>
      </w:pPr>
    </w:lvl>
    <w:lvl w:ilvl="2" w:tplc="0809001B" w:tentative="1">
      <w:start w:val="1"/>
      <w:numFmt w:val="lowerRoman"/>
      <w:lvlText w:val="%3."/>
      <w:lvlJc w:val="right"/>
      <w:pPr>
        <w:ind w:left="4380" w:hanging="180"/>
      </w:pPr>
    </w:lvl>
    <w:lvl w:ilvl="3" w:tplc="0809000F" w:tentative="1">
      <w:start w:val="1"/>
      <w:numFmt w:val="decimal"/>
      <w:lvlText w:val="%4."/>
      <w:lvlJc w:val="left"/>
      <w:pPr>
        <w:ind w:left="5100" w:hanging="360"/>
      </w:pPr>
    </w:lvl>
    <w:lvl w:ilvl="4" w:tplc="08090019" w:tentative="1">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28" w15:restartNumberingAfterBreak="0">
    <w:nsid w:val="59542282"/>
    <w:multiLevelType w:val="hybridMultilevel"/>
    <w:tmpl w:val="41026E5A"/>
    <w:lvl w:ilvl="0" w:tplc="0809000F">
      <w:start w:val="1"/>
      <w:numFmt w:val="decimal"/>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9" w15:restartNumberingAfterBreak="0">
    <w:nsid w:val="5A2E6479"/>
    <w:multiLevelType w:val="hybridMultilevel"/>
    <w:tmpl w:val="85DA6796"/>
    <w:lvl w:ilvl="0" w:tplc="3A72A93A">
      <w:start w:val="6"/>
      <w:numFmt w:val="lowerLetter"/>
      <w:lvlText w:val="%1."/>
      <w:lvlJc w:val="left"/>
      <w:pPr>
        <w:ind w:left="1494" w:hanging="360"/>
      </w:pPr>
      <w:rPr>
        <w:rFonts w:ascii="Calibri" w:hAnsi="Calibri" w:cs="Calibri" w:hint="default"/>
        <w:color w:val="auto"/>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6062EA"/>
    <w:multiLevelType w:val="hybridMultilevel"/>
    <w:tmpl w:val="4770EF4C"/>
    <w:lvl w:ilvl="0" w:tplc="39FCEE5C">
      <w:start w:val="1"/>
      <w:numFmt w:val="decimal"/>
      <w:lvlText w:val="%1."/>
      <w:lvlJc w:val="left"/>
      <w:pPr>
        <w:ind w:left="1353" w:hanging="360"/>
      </w:pPr>
      <w:rPr>
        <w:b/>
        <w:bCs w:val="0"/>
        <w:sz w:val="20"/>
        <w:szCs w:val="20"/>
      </w:rPr>
    </w:lvl>
    <w:lvl w:ilvl="1" w:tplc="CC462818">
      <w:start w:val="1"/>
      <w:numFmt w:val="upperLetter"/>
      <w:lvlText w:val="%2."/>
      <w:lvlJc w:val="left"/>
      <w:pPr>
        <w:ind w:left="1766" w:hanging="360"/>
      </w:pPr>
      <w:rPr>
        <w:rFonts w:hint="default"/>
        <w:b/>
      </w:r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2" w15:restartNumberingAfterBreak="0">
    <w:nsid w:val="63475A3E"/>
    <w:multiLevelType w:val="hybridMultilevel"/>
    <w:tmpl w:val="7F06AFF8"/>
    <w:lvl w:ilvl="0" w:tplc="49F81296">
      <w:start w:val="3"/>
      <w:numFmt w:val="upperRoman"/>
      <w:lvlText w:val="%1."/>
      <w:lvlJc w:val="left"/>
      <w:pPr>
        <w:ind w:left="1648" w:hanging="720"/>
      </w:pPr>
      <w:rPr>
        <w:rFonts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9B42F5"/>
    <w:multiLevelType w:val="hybridMultilevel"/>
    <w:tmpl w:val="1C6A8DFC"/>
    <w:lvl w:ilvl="0" w:tplc="0809000F">
      <w:start w:val="20"/>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56168"/>
    <w:multiLevelType w:val="hybridMultilevel"/>
    <w:tmpl w:val="3F7868A2"/>
    <w:lvl w:ilvl="0" w:tplc="7EE48052">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D57028C"/>
    <w:multiLevelType w:val="hybridMultilevel"/>
    <w:tmpl w:val="975AE198"/>
    <w:lvl w:ilvl="0" w:tplc="3D706330">
      <w:start w:val="1"/>
      <w:numFmt w:val="decimal"/>
      <w:lvlText w:val="%1)"/>
      <w:lvlJc w:val="left"/>
      <w:pPr>
        <w:ind w:left="720" w:hanging="360"/>
      </w:pPr>
      <w:rPr>
        <w:rFonts w:ascii="Calibri" w:hAnsi="Calibri"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3235DB6"/>
    <w:multiLevelType w:val="hybridMultilevel"/>
    <w:tmpl w:val="DBD66558"/>
    <w:lvl w:ilvl="0" w:tplc="CD76DC38">
      <w:start w:val="1"/>
      <w:numFmt w:val="lowerRoman"/>
      <w:lvlText w:val="%1."/>
      <w:lvlJc w:val="left"/>
      <w:pPr>
        <w:ind w:left="2008" w:hanging="720"/>
      </w:pPr>
      <w:rPr>
        <w:rFonts w:hint="default"/>
        <w:b/>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38" w15:restartNumberingAfterBreak="0">
    <w:nsid w:val="737F1029"/>
    <w:multiLevelType w:val="hybridMultilevel"/>
    <w:tmpl w:val="2C8667A6"/>
    <w:lvl w:ilvl="0" w:tplc="43D243CE">
      <w:start w:val="1"/>
      <w:numFmt w:val="decimal"/>
      <w:lvlText w:val="%1."/>
      <w:lvlJc w:val="left"/>
      <w:pPr>
        <w:ind w:left="2062"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C415F5"/>
    <w:multiLevelType w:val="hybridMultilevel"/>
    <w:tmpl w:val="350C940C"/>
    <w:lvl w:ilvl="0" w:tplc="0809000F">
      <w:start w:val="1"/>
      <w:numFmt w:val="decimal"/>
      <w:lvlText w:val="%1."/>
      <w:lvlJc w:val="left"/>
      <w:pPr>
        <w:ind w:left="2580" w:hanging="360"/>
      </w:pPr>
    </w:lvl>
    <w:lvl w:ilvl="1" w:tplc="08090019" w:tentative="1">
      <w:start w:val="1"/>
      <w:numFmt w:val="lowerLetter"/>
      <w:lvlText w:val="%2."/>
      <w:lvlJc w:val="left"/>
      <w:pPr>
        <w:ind w:left="3300" w:hanging="360"/>
      </w:pPr>
    </w:lvl>
    <w:lvl w:ilvl="2" w:tplc="0809001B" w:tentative="1">
      <w:start w:val="1"/>
      <w:numFmt w:val="lowerRoman"/>
      <w:lvlText w:val="%3."/>
      <w:lvlJc w:val="right"/>
      <w:pPr>
        <w:ind w:left="4020" w:hanging="180"/>
      </w:p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41" w15:restartNumberingAfterBreak="0">
    <w:nsid w:val="7B0E19BD"/>
    <w:multiLevelType w:val="hybridMultilevel"/>
    <w:tmpl w:val="2AD484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BFE2185"/>
    <w:multiLevelType w:val="hybridMultilevel"/>
    <w:tmpl w:val="3E4EC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39"/>
  </w:num>
  <w:num w:numId="4">
    <w:abstractNumId w:val="1"/>
  </w:num>
  <w:num w:numId="5">
    <w:abstractNumId w:val="33"/>
  </w:num>
  <w:num w:numId="6">
    <w:abstractNumId w:val="11"/>
  </w:num>
  <w:num w:numId="7">
    <w:abstractNumId w:val="7"/>
  </w:num>
  <w:num w:numId="8">
    <w:abstractNumId w:val="35"/>
  </w:num>
  <w:num w:numId="9">
    <w:abstractNumId w:val="25"/>
  </w:num>
  <w:num w:numId="10">
    <w:abstractNumId w:val="32"/>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4"/>
  </w:num>
  <w:num w:numId="16">
    <w:abstractNumId w:val="18"/>
  </w:num>
  <w:num w:numId="17">
    <w:abstractNumId w:val="14"/>
  </w:num>
  <w:num w:numId="18">
    <w:abstractNumId w:val="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24"/>
  </w:num>
  <w:num w:numId="23">
    <w:abstractNumId w:val="15"/>
  </w:num>
  <w:num w:numId="24">
    <w:abstractNumId w:val="38"/>
  </w:num>
  <w:num w:numId="25">
    <w:abstractNumId w:val="12"/>
  </w:num>
  <w:num w:numId="26">
    <w:abstractNumId w:val="16"/>
  </w:num>
  <w:num w:numId="27">
    <w:abstractNumId w:val="42"/>
  </w:num>
  <w:num w:numId="28">
    <w:abstractNumId w:val="31"/>
  </w:num>
  <w:num w:numId="29">
    <w:abstractNumId w:val="34"/>
  </w:num>
  <w:num w:numId="30">
    <w:abstractNumId w:val="17"/>
  </w:num>
  <w:num w:numId="31">
    <w:abstractNumId w:val="9"/>
  </w:num>
  <w:num w:numId="32">
    <w:abstractNumId w:val="29"/>
  </w:num>
  <w:num w:numId="33">
    <w:abstractNumId w:val="20"/>
  </w:num>
  <w:num w:numId="34">
    <w:abstractNumId w:val="40"/>
  </w:num>
  <w:num w:numId="35">
    <w:abstractNumId w:val="27"/>
  </w:num>
  <w:num w:numId="36">
    <w:abstractNumId w:val="26"/>
  </w:num>
  <w:num w:numId="37">
    <w:abstractNumId w:val="10"/>
  </w:num>
  <w:num w:numId="38">
    <w:abstractNumId w:val="41"/>
  </w:num>
  <w:num w:numId="39">
    <w:abstractNumId w:val="28"/>
  </w:num>
  <w:num w:numId="40">
    <w:abstractNumId w:val="13"/>
  </w:num>
  <w:num w:numId="41">
    <w:abstractNumId w:val="5"/>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n-AU"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s-ES_tradnl" w:vendorID="64" w:dllVersion="6" w:nlCheck="1" w:checkStyle="0"/>
  <w:activeWritingStyle w:appName="MSWord" w:lang="en-AU" w:vendorID="64" w:dllVersion="6" w:nlCheck="1" w:checkStyle="0"/>
  <w:activeWritingStyle w:appName="MSWord" w:lang="en-CA" w:vendorID="64" w:dllVersion="6" w:nlCheck="1" w:checkStyle="0"/>
  <w:activeWritingStyle w:appName="MSWord" w:lang="es-ES" w:vendorID="64" w:dllVersion="6" w:nlCheck="1" w:checkStyle="0"/>
  <w:activeWritingStyle w:appName="MSWord" w:lang="es-419" w:vendorID="64" w:dllVersion="6" w:nlCheck="1" w:checkStyle="0"/>
  <w:activeWritingStyle w:appName="MSWord" w:lang="es-419"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443C8"/>
    <w:rsid w:val="00000050"/>
    <w:rsid w:val="00000378"/>
    <w:rsid w:val="0000065C"/>
    <w:rsid w:val="00000A25"/>
    <w:rsid w:val="00000E60"/>
    <w:rsid w:val="00001E0C"/>
    <w:rsid w:val="00001E1E"/>
    <w:rsid w:val="000024F6"/>
    <w:rsid w:val="0000266E"/>
    <w:rsid w:val="00002778"/>
    <w:rsid w:val="000034C9"/>
    <w:rsid w:val="000048EE"/>
    <w:rsid w:val="00004B8A"/>
    <w:rsid w:val="00004CDA"/>
    <w:rsid w:val="00004DC3"/>
    <w:rsid w:val="000050F8"/>
    <w:rsid w:val="00005A6C"/>
    <w:rsid w:val="0000626B"/>
    <w:rsid w:val="00006DC2"/>
    <w:rsid w:val="0000744C"/>
    <w:rsid w:val="00007CA6"/>
    <w:rsid w:val="00007E22"/>
    <w:rsid w:val="0001021F"/>
    <w:rsid w:val="00010E0D"/>
    <w:rsid w:val="00011CB6"/>
    <w:rsid w:val="00012DC0"/>
    <w:rsid w:val="00013387"/>
    <w:rsid w:val="00013E7E"/>
    <w:rsid w:val="000148B5"/>
    <w:rsid w:val="000150EF"/>
    <w:rsid w:val="00015128"/>
    <w:rsid w:val="000151DB"/>
    <w:rsid w:val="000152F2"/>
    <w:rsid w:val="00015A46"/>
    <w:rsid w:val="00015E1F"/>
    <w:rsid w:val="00017A84"/>
    <w:rsid w:val="0002093C"/>
    <w:rsid w:val="000209A5"/>
    <w:rsid w:val="00020EB2"/>
    <w:rsid w:val="0002165D"/>
    <w:rsid w:val="00021731"/>
    <w:rsid w:val="00021746"/>
    <w:rsid w:val="00022495"/>
    <w:rsid w:val="00022819"/>
    <w:rsid w:val="00022BCB"/>
    <w:rsid w:val="00022FF3"/>
    <w:rsid w:val="00023B87"/>
    <w:rsid w:val="00023CFE"/>
    <w:rsid w:val="00024416"/>
    <w:rsid w:val="000253FF"/>
    <w:rsid w:val="000262E5"/>
    <w:rsid w:val="00026B86"/>
    <w:rsid w:val="0002705C"/>
    <w:rsid w:val="000277F3"/>
    <w:rsid w:val="00027CCB"/>
    <w:rsid w:val="00030472"/>
    <w:rsid w:val="00030EB0"/>
    <w:rsid w:val="000317C6"/>
    <w:rsid w:val="00031F53"/>
    <w:rsid w:val="00032198"/>
    <w:rsid w:val="00032295"/>
    <w:rsid w:val="000322A7"/>
    <w:rsid w:val="00032781"/>
    <w:rsid w:val="00032971"/>
    <w:rsid w:val="000331EC"/>
    <w:rsid w:val="00033780"/>
    <w:rsid w:val="00033C37"/>
    <w:rsid w:val="00034FBA"/>
    <w:rsid w:val="00035529"/>
    <w:rsid w:val="00035797"/>
    <w:rsid w:val="00035A87"/>
    <w:rsid w:val="000360CC"/>
    <w:rsid w:val="00036129"/>
    <w:rsid w:val="000364CA"/>
    <w:rsid w:val="00036C2D"/>
    <w:rsid w:val="00036F6F"/>
    <w:rsid w:val="00037B4D"/>
    <w:rsid w:val="00037B6B"/>
    <w:rsid w:val="00041145"/>
    <w:rsid w:val="000415B0"/>
    <w:rsid w:val="00041738"/>
    <w:rsid w:val="00044200"/>
    <w:rsid w:val="00044CCA"/>
    <w:rsid w:val="0004523D"/>
    <w:rsid w:val="00045342"/>
    <w:rsid w:val="000453B2"/>
    <w:rsid w:val="00045ABE"/>
    <w:rsid w:val="0004616E"/>
    <w:rsid w:val="00046495"/>
    <w:rsid w:val="000465AD"/>
    <w:rsid w:val="00046E92"/>
    <w:rsid w:val="000472D2"/>
    <w:rsid w:val="00047322"/>
    <w:rsid w:val="00047D07"/>
    <w:rsid w:val="00050F00"/>
    <w:rsid w:val="00051EC4"/>
    <w:rsid w:val="00051F69"/>
    <w:rsid w:val="0005200A"/>
    <w:rsid w:val="00052018"/>
    <w:rsid w:val="00053226"/>
    <w:rsid w:val="000542D8"/>
    <w:rsid w:val="00054542"/>
    <w:rsid w:val="00054893"/>
    <w:rsid w:val="00054F47"/>
    <w:rsid w:val="00055138"/>
    <w:rsid w:val="0005550D"/>
    <w:rsid w:val="00056CF6"/>
    <w:rsid w:val="00060505"/>
    <w:rsid w:val="00061259"/>
    <w:rsid w:val="00061556"/>
    <w:rsid w:val="000634D4"/>
    <w:rsid w:val="00063C90"/>
    <w:rsid w:val="00064DD6"/>
    <w:rsid w:val="00064F67"/>
    <w:rsid w:val="000652E1"/>
    <w:rsid w:val="00065356"/>
    <w:rsid w:val="00065365"/>
    <w:rsid w:val="0006548B"/>
    <w:rsid w:val="00065FDC"/>
    <w:rsid w:val="000663C3"/>
    <w:rsid w:val="00066934"/>
    <w:rsid w:val="0006736C"/>
    <w:rsid w:val="0006760C"/>
    <w:rsid w:val="000676AE"/>
    <w:rsid w:val="000677D7"/>
    <w:rsid w:val="000678FF"/>
    <w:rsid w:val="00067A6A"/>
    <w:rsid w:val="00070717"/>
    <w:rsid w:val="0007079F"/>
    <w:rsid w:val="00070D36"/>
    <w:rsid w:val="00070FF2"/>
    <w:rsid w:val="0007132A"/>
    <w:rsid w:val="000725C6"/>
    <w:rsid w:val="00072607"/>
    <w:rsid w:val="00073B12"/>
    <w:rsid w:val="000743ED"/>
    <w:rsid w:val="000745D0"/>
    <w:rsid w:val="00074860"/>
    <w:rsid w:val="00074B83"/>
    <w:rsid w:val="0007510D"/>
    <w:rsid w:val="00075595"/>
    <w:rsid w:val="0007565B"/>
    <w:rsid w:val="00076A41"/>
    <w:rsid w:val="000806EF"/>
    <w:rsid w:val="0008109D"/>
    <w:rsid w:val="0008172C"/>
    <w:rsid w:val="00082F8E"/>
    <w:rsid w:val="0008325F"/>
    <w:rsid w:val="00083CF4"/>
    <w:rsid w:val="00084083"/>
    <w:rsid w:val="000845A3"/>
    <w:rsid w:val="000848B2"/>
    <w:rsid w:val="000849BB"/>
    <w:rsid w:val="00084C8B"/>
    <w:rsid w:val="00084CE4"/>
    <w:rsid w:val="00085901"/>
    <w:rsid w:val="000869E3"/>
    <w:rsid w:val="00087212"/>
    <w:rsid w:val="00087819"/>
    <w:rsid w:val="00087E66"/>
    <w:rsid w:val="000922BD"/>
    <w:rsid w:val="000924A2"/>
    <w:rsid w:val="000938FB"/>
    <w:rsid w:val="00093E3C"/>
    <w:rsid w:val="00093F6E"/>
    <w:rsid w:val="00094131"/>
    <w:rsid w:val="000948B7"/>
    <w:rsid w:val="00094A8F"/>
    <w:rsid w:val="000962EF"/>
    <w:rsid w:val="00096657"/>
    <w:rsid w:val="00096951"/>
    <w:rsid w:val="00096CDA"/>
    <w:rsid w:val="00096FFC"/>
    <w:rsid w:val="0009799E"/>
    <w:rsid w:val="00097AEC"/>
    <w:rsid w:val="00097B90"/>
    <w:rsid w:val="00097C53"/>
    <w:rsid w:val="000A0768"/>
    <w:rsid w:val="000A0871"/>
    <w:rsid w:val="000A1280"/>
    <w:rsid w:val="000A1BB7"/>
    <w:rsid w:val="000A2E4A"/>
    <w:rsid w:val="000A313A"/>
    <w:rsid w:val="000A3335"/>
    <w:rsid w:val="000A340F"/>
    <w:rsid w:val="000A3C47"/>
    <w:rsid w:val="000A40E8"/>
    <w:rsid w:val="000A53ED"/>
    <w:rsid w:val="000A5540"/>
    <w:rsid w:val="000A6D8B"/>
    <w:rsid w:val="000A7887"/>
    <w:rsid w:val="000A7956"/>
    <w:rsid w:val="000A7BE9"/>
    <w:rsid w:val="000B14EC"/>
    <w:rsid w:val="000B25C5"/>
    <w:rsid w:val="000B269F"/>
    <w:rsid w:val="000B2CED"/>
    <w:rsid w:val="000B2F67"/>
    <w:rsid w:val="000B2FBA"/>
    <w:rsid w:val="000B30C2"/>
    <w:rsid w:val="000B399E"/>
    <w:rsid w:val="000B5A8A"/>
    <w:rsid w:val="000B5D21"/>
    <w:rsid w:val="000B7281"/>
    <w:rsid w:val="000B7543"/>
    <w:rsid w:val="000B7E3E"/>
    <w:rsid w:val="000B7FDC"/>
    <w:rsid w:val="000C0F61"/>
    <w:rsid w:val="000C1558"/>
    <w:rsid w:val="000C23AE"/>
    <w:rsid w:val="000C23E6"/>
    <w:rsid w:val="000C2601"/>
    <w:rsid w:val="000C293B"/>
    <w:rsid w:val="000C2F0C"/>
    <w:rsid w:val="000C477D"/>
    <w:rsid w:val="000C4A8E"/>
    <w:rsid w:val="000C4D86"/>
    <w:rsid w:val="000C502D"/>
    <w:rsid w:val="000C6FB5"/>
    <w:rsid w:val="000C74B8"/>
    <w:rsid w:val="000C78CD"/>
    <w:rsid w:val="000D0EC3"/>
    <w:rsid w:val="000D0F8F"/>
    <w:rsid w:val="000D1270"/>
    <w:rsid w:val="000D12A9"/>
    <w:rsid w:val="000D12CA"/>
    <w:rsid w:val="000D198A"/>
    <w:rsid w:val="000D2387"/>
    <w:rsid w:val="000D38CB"/>
    <w:rsid w:val="000D3A31"/>
    <w:rsid w:val="000D3B86"/>
    <w:rsid w:val="000D3E07"/>
    <w:rsid w:val="000D478F"/>
    <w:rsid w:val="000D480B"/>
    <w:rsid w:val="000D5F4A"/>
    <w:rsid w:val="000D6024"/>
    <w:rsid w:val="000D6332"/>
    <w:rsid w:val="000D6BBA"/>
    <w:rsid w:val="000D6DC6"/>
    <w:rsid w:val="000D6E45"/>
    <w:rsid w:val="000D7517"/>
    <w:rsid w:val="000D7804"/>
    <w:rsid w:val="000E0220"/>
    <w:rsid w:val="000E0780"/>
    <w:rsid w:val="000E24A0"/>
    <w:rsid w:val="000E333E"/>
    <w:rsid w:val="000E379B"/>
    <w:rsid w:val="000E3F0A"/>
    <w:rsid w:val="000E574E"/>
    <w:rsid w:val="000E67BD"/>
    <w:rsid w:val="000E6A2B"/>
    <w:rsid w:val="000E7800"/>
    <w:rsid w:val="000E7EFC"/>
    <w:rsid w:val="000F1779"/>
    <w:rsid w:val="000F1ECE"/>
    <w:rsid w:val="000F21FB"/>
    <w:rsid w:val="000F3126"/>
    <w:rsid w:val="000F31F1"/>
    <w:rsid w:val="000F3760"/>
    <w:rsid w:val="000F380B"/>
    <w:rsid w:val="000F3B8B"/>
    <w:rsid w:val="000F4A44"/>
    <w:rsid w:val="000F4D3D"/>
    <w:rsid w:val="000F4F22"/>
    <w:rsid w:val="000F5EEF"/>
    <w:rsid w:val="000F66D1"/>
    <w:rsid w:val="000F75AD"/>
    <w:rsid w:val="000F7C73"/>
    <w:rsid w:val="00101001"/>
    <w:rsid w:val="001012ED"/>
    <w:rsid w:val="001013D0"/>
    <w:rsid w:val="00101B98"/>
    <w:rsid w:val="001032CD"/>
    <w:rsid w:val="0010355D"/>
    <w:rsid w:val="001052C2"/>
    <w:rsid w:val="001054D4"/>
    <w:rsid w:val="001056B0"/>
    <w:rsid w:val="0010588C"/>
    <w:rsid w:val="001058F1"/>
    <w:rsid w:val="0010661F"/>
    <w:rsid w:val="001070D4"/>
    <w:rsid w:val="001073C9"/>
    <w:rsid w:val="00107426"/>
    <w:rsid w:val="001078D4"/>
    <w:rsid w:val="00110083"/>
    <w:rsid w:val="001102B8"/>
    <w:rsid w:val="001108B5"/>
    <w:rsid w:val="001108BD"/>
    <w:rsid w:val="00111EA2"/>
    <w:rsid w:val="001129EC"/>
    <w:rsid w:val="00113491"/>
    <w:rsid w:val="00113746"/>
    <w:rsid w:val="0011476F"/>
    <w:rsid w:val="00114C5E"/>
    <w:rsid w:val="00115EF6"/>
    <w:rsid w:val="001161DA"/>
    <w:rsid w:val="00117189"/>
    <w:rsid w:val="00120D8F"/>
    <w:rsid w:val="0012182E"/>
    <w:rsid w:val="00121A76"/>
    <w:rsid w:val="001231A1"/>
    <w:rsid w:val="001231B6"/>
    <w:rsid w:val="001236F0"/>
    <w:rsid w:val="0012398C"/>
    <w:rsid w:val="00123CAE"/>
    <w:rsid w:val="00123FA7"/>
    <w:rsid w:val="00124159"/>
    <w:rsid w:val="00124CC6"/>
    <w:rsid w:val="0012523E"/>
    <w:rsid w:val="0012535F"/>
    <w:rsid w:val="00125774"/>
    <w:rsid w:val="001257C3"/>
    <w:rsid w:val="00125F1A"/>
    <w:rsid w:val="00126095"/>
    <w:rsid w:val="0012774F"/>
    <w:rsid w:val="00130DC9"/>
    <w:rsid w:val="00131240"/>
    <w:rsid w:val="0013147B"/>
    <w:rsid w:val="00132628"/>
    <w:rsid w:val="0013291B"/>
    <w:rsid w:val="0013291C"/>
    <w:rsid w:val="00132E93"/>
    <w:rsid w:val="0013383E"/>
    <w:rsid w:val="00133C80"/>
    <w:rsid w:val="00134070"/>
    <w:rsid w:val="00135653"/>
    <w:rsid w:val="00135C61"/>
    <w:rsid w:val="00135F8F"/>
    <w:rsid w:val="00136CA5"/>
    <w:rsid w:val="00136E04"/>
    <w:rsid w:val="0013728B"/>
    <w:rsid w:val="001405F1"/>
    <w:rsid w:val="00140E01"/>
    <w:rsid w:val="00142569"/>
    <w:rsid w:val="00142D4C"/>
    <w:rsid w:val="00143150"/>
    <w:rsid w:val="00143C81"/>
    <w:rsid w:val="00144542"/>
    <w:rsid w:val="00145AB7"/>
    <w:rsid w:val="00146596"/>
    <w:rsid w:val="001465C4"/>
    <w:rsid w:val="001510B2"/>
    <w:rsid w:val="001520E1"/>
    <w:rsid w:val="001528E3"/>
    <w:rsid w:val="00152E2E"/>
    <w:rsid w:val="00154636"/>
    <w:rsid w:val="00154B53"/>
    <w:rsid w:val="00154C71"/>
    <w:rsid w:val="0015609B"/>
    <w:rsid w:val="001561AD"/>
    <w:rsid w:val="00156327"/>
    <w:rsid w:val="00157086"/>
    <w:rsid w:val="0016060B"/>
    <w:rsid w:val="001606BC"/>
    <w:rsid w:val="00160BA8"/>
    <w:rsid w:val="00161784"/>
    <w:rsid w:val="00161E2C"/>
    <w:rsid w:val="00164F33"/>
    <w:rsid w:val="00165054"/>
    <w:rsid w:val="001657BF"/>
    <w:rsid w:val="00165CE0"/>
    <w:rsid w:val="00165EFB"/>
    <w:rsid w:val="00166085"/>
    <w:rsid w:val="00166294"/>
    <w:rsid w:val="00166B21"/>
    <w:rsid w:val="00166E8F"/>
    <w:rsid w:val="0016711F"/>
    <w:rsid w:val="00167B3D"/>
    <w:rsid w:val="001700F6"/>
    <w:rsid w:val="00170BE7"/>
    <w:rsid w:val="001718CC"/>
    <w:rsid w:val="00172097"/>
    <w:rsid w:val="001723A3"/>
    <w:rsid w:val="00172AC0"/>
    <w:rsid w:val="00172D73"/>
    <w:rsid w:val="00172EFC"/>
    <w:rsid w:val="00173571"/>
    <w:rsid w:val="001741DA"/>
    <w:rsid w:val="00174F77"/>
    <w:rsid w:val="00175071"/>
    <w:rsid w:val="001769B0"/>
    <w:rsid w:val="00176BFD"/>
    <w:rsid w:val="00176E1D"/>
    <w:rsid w:val="0017714A"/>
    <w:rsid w:val="001773AE"/>
    <w:rsid w:val="00177CED"/>
    <w:rsid w:val="00177F9C"/>
    <w:rsid w:val="001800F7"/>
    <w:rsid w:val="00181635"/>
    <w:rsid w:val="00181A0A"/>
    <w:rsid w:val="00181FFD"/>
    <w:rsid w:val="001824C3"/>
    <w:rsid w:val="00182719"/>
    <w:rsid w:val="00182B6C"/>
    <w:rsid w:val="00182D34"/>
    <w:rsid w:val="00182E9B"/>
    <w:rsid w:val="001834B8"/>
    <w:rsid w:val="0018354B"/>
    <w:rsid w:val="00183564"/>
    <w:rsid w:val="00184866"/>
    <w:rsid w:val="00184CE6"/>
    <w:rsid w:val="00184F71"/>
    <w:rsid w:val="00185343"/>
    <w:rsid w:val="00185681"/>
    <w:rsid w:val="00185807"/>
    <w:rsid w:val="001864A3"/>
    <w:rsid w:val="0018654E"/>
    <w:rsid w:val="00186BB7"/>
    <w:rsid w:val="00186BB9"/>
    <w:rsid w:val="00187784"/>
    <w:rsid w:val="00187B09"/>
    <w:rsid w:val="00190524"/>
    <w:rsid w:val="00190FF1"/>
    <w:rsid w:val="00191F25"/>
    <w:rsid w:val="001929D9"/>
    <w:rsid w:val="00192A7B"/>
    <w:rsid w:val="00192C02"/>
    <w:rsid w:val="00193A4B"/>
    <w:rsid w:val="00193CF2"/>
    <w:rsid w:val="00193F98"/>
    <w:rsid w:val="00194C4D"/>
    <w:rsid w:val="00194E19"/>
    <w:rsid w:val="00194FB1"/>
    <w:rsid w:val="00195056"/>
    <w:rsid w:val="00195CFA"/>
    <w:rsid w:val="00195D3A"/>
    <w:rsid w:val="00196AE2"/>
    <w:rsid w:val="00196FBE"/>
    <w:rsid w:val="001A02C5"/>
    <w:rsid w:val="001A15C1"/>
    <w:rsid w:val="001A1C0C"/>
    <w:rsid w:val="001A2879"/>
    <w:rsid w:val="001A2D93"/>
    <w:rsid w:val="001A3142"/>
    <w:rsid w:val="001A3930"/>
    <w:rsid w:val="001A3ACC"/>
    <w:rsid w:val="001A3EB1"/>
    <w:rsid w:val="001A4019"/>
    <w:rsid w:val="001A41B5"/>
    <w:rsid w:val="001A5936"/>
    <w:rsid w:val="001A5C45"/>
    <w:rsid w:val="001A7096"/>
    <w:rsid w:val="001A79E7"/>
    <w:rsid w:val="001A7A78"/>
    <w:rsid w:val="001B05B8"/>
    <w:rsid w:val="001B0A29"/>
    <w:rsid w:val="001B14B7"/>
    <w:rsid w:val="001B19C0"/>
    <w:rsid w:val="001B1D3A"/>
    <w:rsid w:val="001B1E07"/>
    <w:rsid w:val="001B1EC4"/>
    <w:rsid w:val="001B249A"/>
    <w:rsid w:val="001B2774"/>
    <w:rsid w:val="001B2CA6"/>
    <w:rsid w:val="001B3598"/>
    <w:rsid w:val="001B5072"/>
    <w:rsid w:val="001B5565"/>
    <w:rsid w:val="001B695D"/>
    <w:rsid w:val="001B7040"/>
    <w:rsid w:val="001B72FF"/>
    <w:rsid w:val="001C0059"/>
    <w:rsid w:val="001C10E1"/>
    <w:rsid w:val="001C16F3"/>
    <w:rsid w:val="001C23DE"/>
    <w:rsid w:val="001C25CB"/>
    <w:rsid w:val="001C333A"/>
    <w:rsid w:val="001C35C6"/>
    <w:rsid w:val="001C41C9"/>
    <w:rsid w:val="001C443A"/>
    <w:rsid w:val="001C5D86"/>
    <w:rsid w:val="001C5FD1"/>
    <w:rsid w:val="001C60A2"/>
    <w:rsid w:val="001C6F1E"/>
    <w:rsid w:val="001C720B"/>
    <w:rsid w:val="001C7577"/>
    <w:rsid w:val="001C78A5"/>
    <w:rsid w:val="001D1A00"/>
    <w:rsid w:val="001D1B5B"/>
    <w:rsid w:val="001D1BDF"/>
    <w:rsid w:val="001D2660"/>
    <w:rsid w:val="001D30F9"/>
    <w:rsid w:val="001D379D"/>
    <w:rsid w:val="001D37BA"/>
    <w:rsid w:val="001D3857"/>
    <w:rsid w:val="001D3F2C"/>
    <w:rsid w:val="001D4AF6"/>
    <w:rsid w:val="001D4F17"/>
    <w:rsid w:val="001D58A7"/>
    <w:rsid w:val="001D5B8B"/>
    <w:rsid w:val="001D5D2F"/>
    <w:rsid w:val="001D6139"/>
    <w:rsid w:val="001D6319"/>
    <w:rsid w:val="001D685F"/>
    <w:rsid w:val="001D6C09"/>
    <w:rsid w:val="001D7091"/>
    <w:rsid w:val="001D7463"/>
    <w:rsid w:val="001E003A"/>
    <w:rsid w:val="001E049F"/>
    <w:rsid w:val="001E0670"/>
    <w:rsid w:val="001E1278"/>
    <w:rsid w:val="001E18F3"/>
    <w:rsid w:val="001E1A6F"/>
    <w:rsid w:val="001E1F12"/>
    <w:rsid w:val="001E2524"/>
    <w:rsid w:val="001E3E2F"/>
    <w:rsid w:val="001E3E43"/>
    <w:rsid w:val="001E4B35"/>
    <w:rsid w:val="001E4E26"/>
    <w:rsid w:val="001E54C4"/>
    <w:rsid w:val="001E5730"/>
    <w:rsid w:val="001E6B7B"/>
    <w:rsid w:val="001E6F93"/>
    <w:rsid w:val="001E7024"/>
    <w:rsid w:val="001E77B0"/>
    <w:rsid w:val="001E7812"/>
    <w:rsid w:val="001F1491"/>
    <w:rsid w:val="001F2904"/>
    <w:rsid w:val="001F3C18"/>
    <w:rsid w:val="001F3E90"/>
    <w:rsid w:val="001F3F3D"/>
    <w:rsid w:val="001F47C7"/>
    <w:rsid w:val="001F5666"/>
    <w:rsid w:val="001F76D1"/>
    <w:rsid w:val="001F7880"/>
    <w:rsid w:val="001F7E11"/>
    <w:rsid w:val="002009F1"/>
    <w:rsid w:val="00201998"/>
    <w:rsid w:val="002021DB"/>
    <w:rsid w:val="00202231"/>
    <w:rsid w:val="002022F1"/>
    <w:rsid w:val="00203D1F"/>
    <w:rsid w:val="0020503A"/>
    <w:rsid w:val="0020579D"/>
    <w:rsid w:val="002078D9"/>
    <w:rsid w:val="002102E6"/>
    <w:rsid w:val="00210E13"/>
    <w:rsid w:val="00211576"/>
    <w:rsid w:val="00211E22"/>
    <w:rsid w:val="00212A9E"/>
    <w:rsid w:val="00212E80"/>
    <w:rsid w:val="002130DF"/>
    <w:rsid w:val="00213562"/>
    <w:rsid w:val="00213D6C"/>
    <w:rsid w:val="00213E5A"/>
    <w:rsid w:val="00214085"/>
    <w:rsid w:val="00214DDA"/>
    <w:rsid w:val="00214E66"/>
    <w:rsid w:val="002160E1"/>
    <w:rsid w:val="002162D8"/>
    <w:rsid w:val="00216BBD"/>
    <w:rsid w:val="00216F66"/>
    <w:rsid w:val="00220FC4"/>
    <w:rsid w:val="00221059"/>
    <w:rsid w:val="002220BA"/>
    <w:rsid w:val="0022527F"/>
    <w:rsid w:val="002254DF"/>
    <w:rsid w:val="00225578"/>
    <w:rsid w:val="00225693"/>
    <w:rsid w:val="00225BD6"/>
    <w:rsid w:val="00226727"/>
    <w:rsid w:val="00226728"/>
    <w:rsid w:val="00226992"/>
    <w:rsid w:val="00226D24"/>
    <w:rsid w:val="00227814"/>
    <w:rsid w:val="00227CAE"/>
    <w:rsid w:val="00227F79"/>
    <w:rsid w:val="002304A9"/>
    <w:rsid w:val="002306B6"/>
    <w:rsid w:val="00230914"/>
    <w:rsid w:val="00230C81"/>
    <w:rsid w:val="00231292"/>
    <w:rsid w:val="002317EE"/>
    <w:rsid w:val="00232D4F"/>
    <w:rsid w:val="00232EB2"/>
    <w:rsid w:val="00233FF2"/>
    <w:rsid w:val="002341FD"/>
    <w:rsid w:val="00234AE1"/>
    <w:rsid w:val="00235313"/>
    <w:rsid w:val="00235A44"/>
    <w:rsid w:val="00235F1A"/>
    <w:rsid w:val="00236618"/>
    <w:rsid w:val="00236DFC"/>
    <w:rsid w:val="0023768E"/>
    <w:rsid w:val="00240B9C"/>
    <w:rsid w:val="002415AC"/>
    <w:rsid w:val="00241F1C"/>
    <w:rsid w:val="00241F83"/>
    <w:rsid w:val="002426F5"/>
    <w:rsid w:val="002452E3"/>
    <w:rsid w:val="0024539F"/>
    <w:rsid w:val="00245534"/>
    <w:rsid w:val="00245B6F"/>
    <w:rsid w:val="002462FF"/>
    <w:rsid w:val="002465F9"/>
    <w:rsid w:val="00247AE9"/>
    <w:rsid w:val="00247E2C"/>
    <w:rsid w:val="00250C4B"/>
    <w:rsid w:val="002512FF"/>
    <w:rsid w:val="00251405"/>
    <w:rsid w:val="0025182C"/>
    <w:rsid w:val="00251841"/>
    <w:rsid w:val="00252331"/>
    <w:rsid w:val="0025265A"/>
    <w:rsid w:val="00253B0D"/>
    <w:rsid w:val="00254130"/>
    <w:rsid w:val="00254497"/>
    <w:rsid w:val="002545C2"/>
    <w:rsid w:val="00254802"/>
    <w:rsid w:val="00254EA9"/>
    <w:rsid w:val="00255577"/>
    <w:rsid w:val="0025570E"/>
    <w:rsid w:val="00255A26"/>
    <w:rsid w:val="00255EC4"/>
    <w:rsid w:val="00257BA0"/>
    <w:rsid w:val="00260035"/>
    <w:rsid w:val="002607F3"/>
    <w:rsid w:val="00261EF3"/>
    <w:rsid w:val="002620A1"/>
    <w:rsid w:val="0026212D"/>
    <w:rsid w:val="00262709"/>
    <w:rsid w:val="0026283D"/>
    <w:rsid w:val="00263409"/>
    <w:rsid w:val="00263B79"/>
    <w:rsid w:val="00263BFC"/>
    <w:rsid w:val="00263E8E"/>
    <w:rsid w:val="002643C6"/>
    <w:rsid w:val="002644CC"/>
    <w:rsid w:val="00264BC4"/>
    <w:rsid w:val="002676D5"/>
    <w:rsid w:val="00267991"/>
    <w:rsid w:val="002700E6"/>
    <w:rsid w:val="002701E0"/>
    <w:rsid w:val="00270B75"/>
    <w:rsid w:val="00271239"/>
    <w:rsid w:val="0027157D"/>
    <w:rsid w:val="00271DA8"/>
    <w:rsid w:val="00272058"/>
    <w:rsid w:val="0027355E"/>
    <w:rsid w:val="002739DF"/>
    <w:rsid w:val="002749E8"/>
    <w:rsid w:val="002759E3"/>
    <w:rsid w:val="00276915"/>
    <w:rsid w:val="00276B9C"/>
    <w:rsid w:val="00277DD8"/>
    <w:rsid w:val="00280165"/>
    <w:rsid w:val="002807E2"/>
    <w:rsid w:val="00281124"/>
    <w:rsid w:val="002817E7"/>
    <w:rsid w:val="00281865"/>
    <w:rsid w:val="00281F1C"/>
    <w:rsid w:val="00282220"/>
    <w:rsid w:val="00282283"/>
    <w:rsid w:val="00282983"/>
    <w:rsid w:val="002835B9"/>
    <w:rsid w:val="0028434E"/>
    <w:rsid w:val="00284372"/>
    <w:rsid w:val="002845F2"/>
    <w:rsid w:val="002846C4"/>
    <w:rsid w:val="00284F7A"/>
    <w:rsid w:val="002859A4"/>
    <w:rsid w:val="00286FF5"/>
    <w:rsid w:val="00287378"/>
    <w:rsid w:val="00287695"/>
    <w:rsid w:val="00287913"/>
    <w:rsid w:val="0028795F"/>
    <w:rsid w:val="00287B70"/>
    <w:rsid w:val="00290BFF"/>
    <w:rsid w:val="00290D29"/>
    <w:rsid w:val="00291066"/>
    <w:rsid w:val="002910A0"/>
    <w:rsid w:val="002913C0"/>
    <w:rsid w:val="002919D4"/>
    <w:rsid w:val="00291A4F"/>
    <w:rsid w:val="00291B8D"/>
    <w:rsid w:val="00294274"/>
    <w:rsid w:val="002953F7"/>
    <w:rsid w:val="00295408"/>
    <w:rsid w:val="00295906"/>
    <w:rsid w:val="00295D20"/>
    <w:rsid w:val="00296E8F"/>
    <w:rsid w:val="00296FB6"/>
    <w:rsid w:val="002A06DE"/>
    <w:rsid w:val="002A0A88"/>
    <w:rsid w:val="002A1205"/>
    <w:rsid w:val="002A1378"/>
    <w:rsid w:val="002A1A47"/>
    <w:rsid w:val="002A1CEE"/>
    <w:rsid w:val="002A1E43"/>
    <w:rsid w:val="002A1F24"/>
    <w:rsid w:val="002A2D94"/>
    <w:rsid w:val="002A32CB"/>
    <w:rsid w:val="002A3540"/>
    <w:rsid w:val="002A3DB6"/>
    <w:rsid w:val="002A4267"/>
    <w:rsid w:val="002A6EAD"/>
    <w:rsid w:val="002A780F"/>
    <w:rsid w:val="002A7D1C"/>
    <w:rsid w:val="002A7FD4"/>
    <w:rsid w:val="002B00AB"/>
    <w:rsid w:val="002B0482"/>
    <w:rsid w:val="002B14DD"/>
    <w:rsid w:val="002B1E3B"/>
    <w:rsid w:val="002B259E"/>
    <w:rsid w:val="002B319E"/>
    <w:rsid w:val="002B39D7"/>
    <w:rsid w:val="002B4556"/>
    <w:rsid w:val="002B56AE"/>
    <w:rsid w:val="002B6076"/>
    <w:rsid w:val="002B6309"/>
    <w:rsid w:val="002B6D62"/>
    <w:rsid w:val="002B723D"/>
    <w:rsid w:val="002C0C94"/>
    <w:rsid w:val="002C1275"/>
    <w:rsid w:val="002C1D51"/>
    <w:rsid w:val="002C1DBC"/>
    <w:rsid w:val="002C21B8"/>
    <w:rsid w:val="002C25EE"/>
    <w:rsid w:val="002C29EB"/>
    <w:rsid w:val="002C2BC3"/>
    <w:rsid w:val="002C3E2B"/>
    <w:rsid w:val="002C3EDC"/>
    <w:rsid w:val="002C43EA"/>
    <w:rsid w:val="002C49E8"/>
    <w:rsid w:val="002C4CE1"/>
    <w:rsid w:val="002C5BE5"/>
    <w:rsid w:val="002C5BF5"/>
    <w:rsid w:val="002C5F35"/>
    <w:rsid w:val="002C744D"/>
    <w:rsid w:val="002C7C1A"/>
    <w:rsid w:val="002D057D"/>
    <w:rsid w:val="002D0759"/>
    <w:rsid w:val="002D1649"/>
    <w:rsid w:val="002D16B6"/>
    <w:rsid w:val="002D1C29"/>
    <w:rsid w:val="002D1C36"/>
    <w:rsid w:val="002D241E"/>
    <w:rsid w:val="002D2CD2"/>
    <w:rsid w:val="002D2E09"/>
    <w:rsid w:val="002D3017"/>
    <w:rsid w:val="002D32E2"/>
    <w:rsid w:val="002D3786"/>
    <w:rsid w:val="002D3D7E"/>
    <w:rsid w:val="002D3ED7"/>
    <w:rsid w:val="002D43D6"/>
    <w:rsid w:val="002D47CD"/>
    <w:rsid w:val="002D485B"/>
    <w:rsid w:val="002D5420"/>
    <w:rsid w:val="002D6585"/>
    <w:rsid w:val="002D665F"/>
    <w:rsid w:val="002D67F5"/>
    <w:rsid w:val="002D6C53"/>
    <w:rsid w:val="002D6DC1"/>
    <w:rsid w:val="002D6F92"/>
    <w:rsid w:val="002D74DF"/>
    <w:rsid w:val="002D77E3"/>
    <w:rsid w:val="002D78A1"/>
    <w:rsid w:val="002D7DB3"/>
    <w:rsid w:val="002E175C"/>
    <w:rsid w:val="002E25A7"/>
    <w:rsid w:val="002E2C26"/>
    <w:rsid w:val="002E343A"/>
    <w:rsid w:val="002E391B"/>
    <w:rsid w:val="002E3B14"/>
    <w:rsid w:val="002E3B51"/>
    <w:rsid w:val="002E4436"/>
    <w:rsid w:val="002E46E3"/>
    <w:rsid w:val="002E4D87"/>
    <w:rsid w:val="002E616A"/>
    <w:rsid w:val="002E7308"/>
    <w:rsid w:val="002E7B13"/>
    <w:rsid w:val="002F0A58"/>
    <w:rsid w:val="002F0F1D"/>
    <w:rsid w:val="002F2866"/>
    <w:rsid w:val="002F33C3"/>
    <w:rsid w:val="002F38FE"/>
    <w:rsid w:val="002F3C79"/>
    <w:rsid w:val="002F3E98"/>
    <w:rsid w:val="002F4512"/>
    <w:rsid w:val="002F465F"/>
    <w:rsid w:val="002F4AB5"/>
    <w:rsid w:val="002F4B93"/>
    <w:rsid w:val="002F5346"/>
    <w:rsid w:val="002F53DD"/>
    <w:rsid w:val="002F5595"/>
    <w:rsid w:val="002F58B1"/>
    <w:rsid w:val="002F5ADB"/>
    <w:rsid w:val="002F5CFD"/>
    <w:rsid w:val="002F5F65"/>
    <w:rsid w:val="002F6CC9"/>
    <w:rsid w:val="002F763C"/>
    <w:rsid w:val="002F765E"/>
    <w:rsid w:val="0030006F"/>
    <w:rsid w:val="00300CF1"/>
    <w:rsid w:val="00302262"/>
    <w:rsid w:val="0030242A"/>
    <w:rsid w:val="00302C8A"/>
    <w:rsid w:val="00302F8E"/>
    <w:rsid w:val="0030303F"/>
    <w:rsid w:val="003038D1"/>
    <w:rsid w:val="00303900"/>
    <w:rsid w:val="003039CD"/>
    <w:rsid w:val="0030414F"/>
    <w:rsid w:val="00304167"/>
    <w:rsid w:val="003043D5"/>
    <w:rsid w:val="00304718"/>
    <w:rsid w:val="00304C53"/>
    <w:rsid w:val="00304F21"/>
    <w:rsid w:val="00305027"/>
    <w:rsid w:val="0030539B"/>
    <w:rsid w:val="0030545B"/>
    <w:rsid w:val="00305894"/>
    <w:rsid w:val="00305D38"/>
    <w:rsid w:val="00306060"/>
    <w:rsid w:val="00306FA1"/>
    <w:rsid w:val="00307099"/>
    <w:rsid w:val="003074D5"/>
    <w:rsid w:val="003103CA"/>
    <w:rsid w:val="0031061C"/>
    <w:rsid w:val="00310704"/>
    <w:rsid w:val="00311552"/>
    <w:rsid w:val="00311715"/>
    <w:rsid w:val="003117A3"/>
    <w:rsid w:val="00311D98"/>
    <w:rsid w:val="00313119"/>
    <w:rsid w:val="0031361A"/>
    <w:rsid w:val="003140EF"/>
    <w:rsid w:val="00314586"/>
    <w:rsid w:val="003147BA"/>
    <w:rsid w:val="003155E4"/>
    <w:rsid w:val="003160F1"/>
    <w:rsid w:val="00316960"/>
    <w:rsid w:val="00317495"/>
    <w:rsid w:val="0031778D"/>
    <w:rsid w:val="00317C12"/>
    <w:rsid w:val="0032043A"/>
    <w:rsid w:val="003206E3"/>
    <w:rsid w:val="00320C37"/>
    <w:rsid w:val="003219D1"/>
    <w:rsid w:val="003224A3"/>
    <w:rsid w:val="00322CE2"/>
    <w:rsid w:val="00323435"/>
    <w:rsid w:val="003237D5"/>
    <w:rsid w:val="00323DB9"/>
    <w:rsid w:val="00324619"/>
    <w:rsid w:val="00324A26"/>
    <w:rsid w:val="00324B51"/>
    <w:rsid w:val="00325045"/>
    <w:rsid w:val="00325B24"/>
    <w:rsid w:val="00326068"/>
    <w:rsid w:val="0032629F"/>
    <w:rsid w:val="00326910"/>
    <w:rsid w:val="00326979"/>
    <w:rsid w:val="003269D4"/>
    <w:rsid w:val="00327498"/>
    <w:rsid w:val="00327952"/>
    <w:rsid w:val="00327BE5"/>
    <w:rsid w:val="003301DE"/>
    <w:rsid w:val="00331013"/>
    <w:rsid w:val="0033128A"/>
    <w:rsid w:val="00331355"/>
    <w:rsid w:val="00331423"/>
    <w:rsid w:val="00331F04"/>
    <w:rsid w:val="003324E8"/>
    <w:rsid w:val="003326B8"/>
    <w:rsid w:val="003326D9"/>
    <w:rsid w:val="003327E3"/>
    <w:rsid w:val="00332B47"/>
    <w:rsid w:val="00332E80"/>
    <w:rsid w:val="00334F6A"/>
    <w:rsid w:val="00336697"/>
    <w:rsid w:val="00337193"/>
    <w:rsid w:val="003375F0"/>
    <w:rsid w:val="00337EE0"/>
    <w:rsid w:val="00340220"/>
    <w:rsid w:val="00340A4D"/>
    <w:rsid w:val="00341635"/>
    <w:rsid w:val="003418D3"/>
    <w:rsid w:val="00341FA9"/>
    <w:rsid w:val="003425B9"/>
    <w:rsid w:val="00342AC8"/>
    <w:rsid w:val="00342E61"/>
    <w:rsid w:val="00342F5E"/>
    <w:rsid w:val="00343083"/>
    <w:rsid w:val="003435AC"/>
    <w:rsid w:val="00343C95"/>
    <w:rsid w:val="00343EB2"/>
    <w:rsid w:val="003445FD"/>
    <w:rsid w:val="0034505D"/>
    <w:rsid w:val="0034570E"/>
    <w:rsid w:val="00345A07"/>
    <w:rsid w:val="00347133"/>
    <w:rsid w:val="003471A6"/>
    <w:rsid w:val="00347416"/>
    <w:rsid w:val="00347936"/>
    <w:rsid w:val="0035071F"/>
    <w:rsid w:val="00350E2C"/>
    <w:rsid w:val="0035138D"/>
    <w:rsid w:val="0035286E"/>
    <w:rsid w:val="00353B74"/>
    <w:rsid w:val="00354314"/>
    <w:rsid w:val="00354D92"/>
    <w:rsid w:val="00354FB1"/>
    <w:rsid w:val="00356065"/>
    <w:rsid w:val="003561BD"/>
    <w:rsid w:val="00356411"/>
    <w:rsid w:val="00356501"/>
    <w:rsid w:val="00356C31"/>
    <w:rsid w:val="00357470"/>
    <w:rsid w:val="003578DA"/>
    <w:rsid w:val="00357D75"/>
    <w:rsid w:val="003600AE"/>
    <w:rsid w:val="00360E21"/>
    <w:rsid w:val="003614E5"/>
    <w:rsid w:val="00361719"/>
    <w:rsid w:val="003626E8"/>
    <w:rsid w:val="00362899"/>
    <w:rsid w:val="00363215"/>
    <w:rsid w:val="00363383"/>
    <w:rsid w:val="003638AE"/>
    <w:rsid w:val="00363A93"/>
    <w:rsid w:val="003647A8"/>
    <w:rsid w:val="003647C6"/>
    <w:rsid w:val="003668ED"/>
    <w:rsid w:val="003675C1"/>
    <w:rsid w:val="0036770F"/>
    <w:rsid w:val="00367A3F"/>
    <w:rsid w:val="0037048A"/>
    <w:rsid w:val="00370E84"/>
    <w:rsid w:val="00370E91"/>
    <w:rsid w:val="003710D4"/>
    <w:rsid w:val="00371526"/>
    <w:rsid w:val="00371C19"/>
    <w:rsid w:val="003727E6"/>
    <w:rsid w:val="00372BE4"/>
    <w:rsid w:val="00372E56"/>
    <w:rsid w:val="003742BE"/>
    <w:rsid w:val="00374B28"/>
    <w:rsid w:val="003770D0"/>
    <w:rsid w:val="00377273"/>
    <w:rsid w:val="00377D61"/>
    <w:rsid w:val="00380637"/>
    <w:rsid w:val="0038080E"/>
    <w:rsid w:val="00381418"/>
    <w:rsid w:val="00381508"/>
    <w:rsid w:val="00381772"/>
    <w:rsid w:val="003819F2"/>
    <w:rsid w:val="00382315"/>
    <w:rsid w:val="00382488"/>
    <w:rsid w:val="00383825"/>
    <w:rsid w:val="00383A62"/>
    <w:rsid w:val="00383B4D"/>
    <w:rsid w:val="00383C35"/>
    <w:rsid w:val="00383D29"/>
    <w:rsid w:val="00383D57"/>
    <w:rsid w:val="00384137"/>
    <w:rsid w:val="0038437D"/>
    <w:rsid w:val="003846AC"/>
    <w:rsid w:val="0038486C"/>
    <w:rsid w:val="00385011"/>
    <w:rsid w:val="00385481"/>
    <w:rsid w:val="00386967"/>
    <w:rsid w:val="00386AA1"/>
    <w:rsid w:val="00386D15"/>
    <w:rsid w:val="00386E52"/>
    <w:rsid w:val="00387DF0"/>
    <w:rsid w:val="00390A84"/>
    <w:rsid w:val="0039107D"/>
    <w:rsid w:val="00391362"/>
    <w:rsid w:val="003916C0"/>
    <w:rsid w:val="003934D9"/>
    <w:rsid w:val="00393BDD"/>
    <w:rsid w:val="00393CAD"/>
    <w:rsid w:val="00394539"/>
    <w:rsid w:val="00395036"/>
    <w:rsid w:val="00395EE7"/>
    <w:rsid w:val="00396299"/>
    <w:rsid w:val="00396AE5"/>
    <w:rsid w:val="00396E04"/>
    <w:rsid w:val="00397529"/>
    <w:rsid w:val="003A098C"/>
    <w:rsid w:val="003A0DBF"/>
    <w:rsid w:val="003A1CA0"/>
    <w:rsid w:val="003A2F70"/>
    <w:rsid w:val="003A34A5"/>
    <w:rsid w:val="003A4131"/>
    <w:rsid w:val="003A4274"/>
    <w:rsid w:val="003A4F72"/>
    <w:rsid w:val="003A5325"/>
    <w:rsid w:val="003A55B0"/>
    <w:rsid w:val="003A57B6"/>
    <w:rsid w:val="003A5998"/>
    <w:rsid w:val="003A5C06"/>
    <w:rsid w:val="003A724B"/>
    <w:rsid w:val="003A76B8"/>
    <w:rsid w:val="003A76D1"/>
    <w:rsid w:val="003B0A1C"/>
    <w:rsid w:val="003B0ADC"/>
    <w:rsid w:val="003B0B7C"/>
    <w:rsid w:val="003B1653"/>
    <w:rsid w:val="003B1BB7"/>
    <w:rsid w:val="003B32FC"/>
    <w:rsid w:val="003B35BC"/>
    <w:rsid w:val="003B39CD"/>
    <w:rsid w:val="003B424E"/>
    <w:rsid w:val="003B4550"/>
    <w:rsid w:val="003B51BB"/>
    <w:rsid w:val="003B5A7B"/>
    <w:rsid w:val="003B60A2"/>
    <w:rsid w:val="003B60F1"/>
    <w:rsid w:val="003B6300"/>
    <w:rsid w:val="003B6AB2"/>
    <w:rsid w:val="003B767A"/>
    <w:rsid w:val="003C0903"/>
    <w:rsid w:val="003C0B75"/>
    <w:rsid w:val="003C0C2C"/>
    <w:rsid w:val="003C1ECF"/>
    <w:rsid w:val="003C3219"/>
    <w:rsid w:val="003C3973"/>
    <w:rsid w:val="003C3A71"/>
    <w:rsid w:val="003C3DC4"/>
    <w:rsid w:val="003C4A3F"/>
    <w:rsid w:val="003C749F"/>
    <w:rsid w:val="003C7625"/>
    <w:rsid w:val="003C76B5"/>
    <w:rsid w:val="003C7864"/>
    <w:rsid w:val="003D059C"/>
    <w:rsid w:val="003D061F"/>
    <w:rsid w:val="003D07C7"/>
    <w:rsid w:val="003D1144"/>
    <w:rsid w:val="003D1F0B"/>
    <w:rsid w:val="003D2823"/>
    <w:rsid w:val="003D28AA"/>
    <w:rsid w:val="003D28F8"/>
    <w:rsid w:val="003D32FC"/>
    <w:rsid w:val="003D38F6"/>
    <w:rsid w:val="003D5C41"/>
    <w:rsid w:val="003D6F92"/>
    <w:rsid w:val="003D7797"/>
    <w:rsid w:val="003D77AC"/>
    <w:rsid w:val="003E0396"/>
    <w:rsid w:val="003E0596"/>
    <w:rsid w:val="003E061D"/>
    <w:rsid w:val="003E099E"/>
    <w:rsid w:val="003E0E15"/>
    <w:rsid w:val="003E1B87"/>
    <w:rsid w:val="003E333B"/>
    <w:rsid w:val="003E36D7"/>
    <w:rsid w:val="003E37B4"/>
    <w:rsid w:val="003E39F3"/>
    <w:rsid w:val="003E3D78"/>
    <w:rsid w:val="003E44F1"/>
    <w:rsid w:val="003E60F4"/>
    <w:rsid w:val="003E65E8"/>
    <w:rsid w:val="003E6ECD"/>
    <w:rsid w:val="003E73E9"/>
    <w:rsid w:val="003E76AB"/>
    <w:rsid w:val="003F0CB3"/>
    <w:rsid w:val="003F15A1"/>
    <w:rsid w:val="003F2F14"/>
    <w:rsid w:val="003F2FE8"/>
    <w:rsid w:val="003F33B3"/>
    <w:rsid w:val="003F38BD"/>
    <w:rsid w:val="003F3905"/>
    <w:rsid w:val="003F3C01"/>
    <w:rsid w:val="003F3CAF"/>
    <w:rsid w:val="003F3EF9"/>
    <w:rsid w:val="003F4351"/>
    <w:rsid w:val="003F4BBA"/>
    <w:rsid w:val="003F4EF2"/>
    <w:rsid w:val="00400160"/>
    <w:rsid w:val="0040017C"/>
    <w:rsid w:val="00400FB2"/>
    <w:rsid w:val="004015F5"/>
    <w:rsid w:val="00401648"/>
    <w:rsid w:val="004016FB"/>
    <w:rsid w:val="00401A4E"/>
    <w:rsid w:val="00401B40"/>
    <w:rsid w:val="00402053"/>
    <w:rsid w:val="00402274"/>
    <w:rsid w:val="00402A56"/>
    <w:rsid w:val="00402F42"/>
    <w:rsid w:val="00404031"/>
    <w:rsid w:val="00404259"/>
    <w:rsid w:val="00404CBB"/>
    <w:rsid w:val="00404CF3"/>
    <w:rsid w:val="00404EF8"/>
    <w:rsid w:val="00405BC7"/>
    <w:rsid w:val="00406259"/>
    <w:rsid w:val="004068FD"/>
    <w:rsid w:val="00407495"/>
    <w:rsid w:val="004103A8"/>
    <w:rsid w:val="004105F9"/>
    <w:rsid w:val="00410DFE"/>
    <w:rsid w:val="00410FF3"/>
    <w:rsid w:val="00411324"/>
    <w:rsid w:val="004113AC"/>
    <w:rsid w:val="00411578"/>
    <w:rsid w:val="004128C4"/>
    <w:rsid w:val="00412B9F"/>
    <w:rsid w:val="00413B8F"/>
    <w:rsid w:val="00414BE2"/>
    <w:rsid w:val="004152D2"/>
    <w:rsid w:val="0041639F"/>
    <w:rsid w:val="004163C3"/>
    <w:rsid w:val="00416576"/>
    <w:rsid w:val="00417046"/>
    <w:rsid w:val="00417057"/>
    <w:rsid w:val="00417741"/>
    <w:rsid w:val="00420469"/>
    <w:rsid w:val="0042113D"/>
    <w:rsid w:val="00421216"/>
    <w:rsid w:val="0042211C"/>
    <w:rsid w:val="00422947"/>
    <w:rsid w:val="00422C27"/>
    <w:rsid w:val="004230F1"/>
    <w:rsid w:val="0042316B"/>
    <w:rsid w:val="004232F7"/>
    <w:rsid w:val="004246E5"/>
    <w:rsid w:val="00425D74"/>
    <w:rsid w:val="004275A7"/>
    <w:rsid w:val="004277D9"/>
    <w:rsid w:val="0043049A"/>
    <w:rsid w:val="004308DF"/>
    <w:rsid w:val="004317FA"/>
    <w:rsid w:val="00432206"/>
    <w:rsid w:val="0043258A"/>
    <w:rsid w:val="0043308F"/>
    <w:rsid w:val="00433200"/>
    <w:rsid w:val="004338DD"/>
    <w:rsid w:val="00433AE8"/>
    <w:rsid w:val="00433CA3"/>
    <w:rsid w:val="0043438C"/>
    <w:rsid w:val="00434514"/>
    <w:rsid w:val="00434976"/>
    <w:rsid w:val="0043535F"/>
    <w:rsid w:val="0043539D"/>
    <w:rsid w:val="004353F2"/>
    <w:rsid w:val="0043593A"/>
    <w:rsid w:val="00435DB0"/>
    <w:rsid w:val="00435E13"/>
    <w:rsid w:val="00436303"/>
    <w:rsid w:val="00436627"/>
    <w:rsid w:val="0043677E"/>
    <w:rsid w:val="0043746E"/>
    <w:rsid w:val="00440712"/>
    <w:rsid w:val="00441BC6"/>
    <w:rsid w:val="00441F26"/>
    <w:rsid w:val="004420A2"/>
    <w:rsid w:val="004423E5"/>
    <w:rsid w:val="00442685"/>
    <w:rsid w:val="004426EA"/>
    <w:rsid w:val="00442A50"/>
    <w:rsid w:val="00443098"/>
    <w:rsid w:val="00444085"/>
    <w:rsid w:val="0044491C"/>
    <w:rsid w:val="00444DB5"/>
    <w:rsid w:val="004474EF"/>
    <w:rsid w:val="00447766"/>
    <w:rsid w:val="004477B6"/>
    <w:rsid w:val="00447E47"/>
    <w:rsid w:val="00450726"/>
    <w:rsid w:val="004507FE"/>
    <w:rsid w:val="00450D86"/>
    <w:rsid w:val="00450E91"/>
    <w:rsid w:val="00451E2F"/>
    <w:rsid w:val="0045253C"/>
    <w:rsid w:val="0045301C"/>
    <w:rsid w:val="00453C07"/>
    <w:rsid w:val="004541BB"/>
    <w:rsid w:val="00454462"/>
    <w:rsid w:val="00454FBC"/>
    <w:rsid w:val="00455249"/>
    <w:rsid w:val="00455FAA"/>
    <w:rsid w:val="0045622F"/>
    <w:rsid w:val="0045734A"/>
    <w:rsid w:val="00457CE1"/>
    <w:rsid w:val="004603A8"/>
    <w:rsid w:val="004603E0"/>
    <w:rsid w:val="00460796"/>
    <w:rsid w:val="00460B6D"/>
    <w:rsid w:val="00460F29"/>
    <w:rsid w:val="00461096"/>
    <w:rsid w:val="00461253"/>
    <w:rsid w:val="0046171A"/>
    <w:rsid w:val="00461828"/>
    <w:rsid w:val="004625F1"/>
    <w:rsid w:val="0046269E"/>
    <w:rsid w:val="004626E8"/>
    <w:rsid w:val="004628E0"/>
    <w:rsid w:val="004634E3"/>
    <w:rsid w:val="004634F2"/>
    <w:rsid w:val="004636CA"/>
    <w:rsid w:val="004639B0"/>
    <w:rsid w:val="00463B01"/>
    <w:rsid w:val="00464F84"/>
    <w:rsid w:val="00465A3B"/>
    <w:rsid w:val="00465D62"/>
    <w:rsid w:val="004663D8"/>
    <w:rsid w:val="00466472"/>
    <w:rsid w:val="004669FB"/>
    <w:rsid w:val="004671EE"/>
    <w:rsid w:val="004679CA"/>
    <w:rsid w:val="004701EF"/>
    <w:rsid w:val="00470C67"/>
    <w:rsid w:val="004721FA"/>
    <w:rsid w:val="00472416"/>
    <w:rsid w:val="00472821"/>
    <w:rsid w:val="00473D95"/>
    <w:rsid w:val="0047400B"/>
    <w:rsid w:val="00474302"/>
    <w:rsid w:val="004755D4"/>
    <w:rsid w:val="004755DF"/>
    <w:rsid w:val="004767E9"/>
    <w:rsid w:val="00476BE1"/>
    <w:rsid w:val="00476D1C"/>
    <w:rsid w:val="00477860"/>
    <w:rsid w:val="00480278"/>
    <w:rsid w:val="004802A6"/>
    <w:rsid w:val="004807EC"/>
    <w:rsid w:val="00481252"/>
    <w:rsid w:val="0048237B"/>
    <w:rsid w:val="00483215"/>
    <w:rsid w:val="00483D0B"/>
    <w:rsid w:val="00483D4D"/>
    <w:rsid w:val="00484329"/>
    <w:rsid w:val="00484805"/>
    <w:rsid w:val="00484817"/>
    <w:rsid w:val="00484C23"/>
    <w:rsid w:val="004850C8"/>
    <w:rsid w:val="00485679"/>
    <w:rsid w:val="00485B88"/>
    <w:rsid w:val="004866EC"/>
    <w:rsid w:val="00486E21"/>
    <w:rsid w:val="00487459"/>
    <w:rsid w:val="004874EF"/>
    <w:rsid w:val="004900E3"/>
    <w:rsid w:val="00490F7D"/>
    <w:rsid w:val="00491037"/>
    <w:rsid w:val="00491A9D"/>
    <w:rsid w:val="00491D51"/>
    <w:rsid w:val="00492E6D"/>
    <w:rsid w:val="0049328B"/>
    <w:rsid w:val="0049434A"/>
    <w:rsid w:val="00495CC0"/>
    <w:rsid w:val="00495EC9"/>
    <w:rsid w:val="004962F7"/>
    <w:rsid w:val="004968F8"/>
    <w:rsid w:val="004A01C0"/>
    <w:rsid w:val="004A03BB"/>
    <w:rsid w:val="004A0DF3"/>
    <w:rsid w:val="004A1960"/>
    <w:rsid w:val="004A1C09"/>
    <w:rsid w:val="004A2814"/>
    <w:rsid w:val="004A3D45"/>
    <w:rsid w:val="004A6164"/>
    <w:rsid w:val="004A7F39"/>
    <w:rsid w:val="004A7FC8"/>
    <w:rsid w:val="004B02FD"/>
    <w:rsid w:val="004B074F"/>
    <w:rsid w:val="004B0D02"/>
    <w:rsid w:val="004B0DD9"/>
    <w:rsid w:val="004B13C3"/>
    <w:rsid w:val="004B1934"/>
    <w:rsid w:val="004B26B1"/>
    <w:rsid w:val="004B3AC9"/>
    <w:rsid w:val="004B4B56"/>
    <w:rsid w:val="004B4F12"/>
    <w:rsid w:val="004B580C"/>
    <w:rsid w:val="004B67D1"/>
    <w:rsid w:val="004B7078"/>
    <w:rsid w:val="004B71DB"/>
    <w:rsid w:val="004C0622"/>
    <w:rsid w:val="004C0F80"/>
    <w:rsid w:val="004C123D"/>
    <w:rsid w:val="004C1600"/>
    <w:rsid w:val="004C24D9"/>
    <w:rsid w:val="004C27AC"/>
    <w:rsid w:val="004C2C6A"/>
    <w:rsid w:val="004C2E9E"/>
    <w:rsid w:val="004C3E64"/>
    <w:rsid w:val="004C4964"/>
    <w:rsid w:val="004C570F"/>
    <w:rsid w:val="004C625B"/>
    <w:rsid w:val="004C6FBE"/>
    <w:rsid w:val="004C786E"/>
    <w:rsid w:val="004C7A31"/>
    <w:rsid w:val="004C7DBB"/>
    <w:rsid w:val="004D075B"/>
    <w:rsid w:val="004D10F9"/>
    <w:rsid w:val="004D1112"/>
    <w:rsid w:val="004D11B0"/>
    <w:rsid w:val="004D132F"/>
    <w:rsid w:val="004D17BB"/>
    <w:rsid w:val="004D1D62"/>
    <w:rsid w:val="004D2412"/>
    <w:rsid w:val="004D28EA"/>
    <w:rsid w:val="004D4AE5"/>
    <w:rsid w:val="004D4CD3"/>
    <w:rsid w:val="004D5281"/>
    <w:rsid w:val="004D6CD9"/>
    <w:rsid w:val="004D6E96"/>
    <w:rsid w:val="004D6FE3"/>
    <w:rsid w:val="004D79A8"/>
    <w:rsid w:val="004D79E1"/>
    <w:rsid w:val="004D7FA6"/>
    <w:rsid w:val="004E051A"/>
    <w:rsid w:val="004E101D"/>
    <w:rsid w:val="004E144A"/>
    <w:rsid w:val="004E29A5"/>
    <w:rsid w:val="004E2F22"/>
    <w:rsid w:val="004E3280"/>
    <w:rsid w:val="004E365B"/>
    <w:rsid w:val="004E3838"/>
    <w:rsid w:val="004E3DEE"/>
    <w:rsid w:val="004E5AEC"/>
    <w:rsid w:val="004E5BCB"/>
    <w:rsid w:val="004E6BC3"/>
    <w:rsid w:val="004E72F4"/>
    <w:rsid w:val="004E7802"/>
    <w:rsid w:val="004F1EC5"/>
    <w:rsid w:val="004F2F9E"/>
    <w:rsid w:val="004F3715"/>
    <w:rsid w:val="004F37B7"/>
    <w:rsid w:val="004F38BD"/>
    <w:rsid w:val="004F44E1"/>
    <w:rsid w:val="004F47B4"/>
    <w:rsid w:val="004F4886"/>
    <w:rsid w:val="004F5178"/>
    <w:rsid w:val="004F52AF"/>
    <w:rsid w:val="004F564D"/>
    <w:rsid w:val="004F5835"/>
    <w:rsid w:val="004F5DF8"/>
    <w:rsid w:val="004F76B1"/>
    <w:rsid w:val="00500BA8"/>
    <w:rsid w:val="0050197B"/>
    <w:rsid w:val="00502E97"/>
    <w:rsid w:val="00503350"/>
    <w:rsid w:val="005042C2"/>
    <w:rsid w:val="0050465D"/>
    <w:rsid w:val="00504AD3"/>
    <w:rsid w:val="00505559"/>
    <w:rsid w:val="0050574C"/>
    <w:rsid w:val="0050656C"/>
    <w:rsid w:val="0050660E"/>
    <w:rsid w:val="00506C90"/>
    <w:rsid w:val="00507749"/>
    <w:rsid w:val="005079ED"/>
    <w:rsid w:val="00507CB3"/>
    <w:rsid w:val="00507E20"/>
    <w:rsid w:val="00507FD3"/>
    <w:rsid w:val="005100D8"/>
    <w:rsid w:val="00510C79"/>
    <w:rsid w:val="00511288"/>
    <w:rsid w:val="00511376"/>
    <w:rsid w:val="0051209F"/>
    <w:rsid w:val="00512907"/>
    <w:rsid w:val="00512E57"/>
    <w:rsid w:val="005135B9"/>
    <w:rsid w:val="0051361F"/>
    <w:rsid w:val="00513BAB"/>
    <w:rsid w:val="00514A57"/>
    <w:rsid w:val="00515173"/>
    <w:rsid w:val="00515C11"/>
    <w:rsid w:val="00515FFA"/>
    <w:rsid w:val="005176BE"/>
    <w:rsid w:val="00517864"/>
    <w:rsid w:val="00520606"/>
    <w:rsid w:val="00520C31"/>
    <w:rsid w:val="005221E0"/>
    <w:rsid w:val="00523316"/>
    <w:rsid w:val="005242F3"/>
    <w:rsid w:val="0052440E"/>
    <w:rsid w:val="0052580F"/>
    <w:rsid w:val="00525960"/>
    <w:rsid w:val="00525CEB"/>
    <w:rsid w:val="00526745"/>
    <w:rsid w:val="00526C3A"/>
    <w:rsid w:val="00526CCE"/>
    <w:rsid w:val="00526D09"/>
    <w:rsid w:val="00527058"/>
    <w:rsid w:val="005271E5"/>
    <w:rsid w:val="00527C46"/>
    <w:rsid w:val="00527C87"/>
    <w:rsid w:val="00530A46"/>
    <w:rsid w:val="00530B9C"/>
    <w:rsid w:val="00530FA8"/>
    <w:rsid w:val="005313E6"/>
    <w:rsid w:val="00531836"/>
    <w:rsid w:val="00532096"/>
    <w:rsid w:val="0053229F"/>
    <w:rsid w:val="005323EE"/>
    <w:rsid w:val="0053250E"/>
    <w:rsid w:val="00532AAC"/>
    <w:rsid w:val="0053525D"/>
    <w:rsid w:val="005371D6"/>
    <w:rsid w:val="005372C6"/>
    <w:rsid w:val="0053733F"/>
    <w:rsid w:val="00537E44"/>
    <w:rsid w:val="00540003"/>
    <w:rsid w:val="00540AA2"/>
    <w:rsid w:val="005414A7"/>
    <w:rsid w:val="0054173A"/>
    <w:rsid w:val="00542966"/>
    <w:rsid w:val="00542FF7"/>
    <w:rsid w:val="00543C1C"/>
    <w:rsid w:val="00544B4C"/>
    <w:rsid w:val="00545145"/>
    <w:rsid w:val="005456A6"/>
    <w:rsid w:val="005463D2"/>
    <w:rsid w:val="005467F5"/>
    <w:rsid w:val="00546BE2"/>
    <w:rsid w:val="00547503"/>
    <w:rsid w:val="0055088B"/>
    <w:rsid w:val="00550A1C"/>
    <w:rsid w:val="00550A4F"/>
    <w:rsid w:val="00550FF9"/>
    <w:rsid w:val="005514DA"/>
    <w:rsid w:val="00551991"/>
    <w:rsid w:val="00551C9E"/>
    <w:rsid w:val="00551F21"/>
    <w:rsid w:val="0055228B"/>
    <w:rsid w:val="00552BCE"/>
    <w:rsid w:val="0055353F"/>
    <w:rsid w:val="0055356A"/>
    <w:rsid w:val="0055453F"/>
    <w:rsid w:val="0055560C"/>
    <w:rsid w:val="005557F7"/>
    <w:rsid w:val="005558E3"/>
    <w:rsid w:val="005564AC"/>
    <w:rsid w:val="00556621"/>
    <w:rsid w:val="00556637"/>
    <w:rsid w:val="00556715"/>
    <w:rsid w:val="00557303"/>
    <w:rsid w:val="005576DE"/>
    <w:rsid w:val="00560374"/>
    <w:rsid w:val="00560D57"/>
    <w:rsid w:val="0056113F"/>
    <w:rsid w:val="005612DB"/>
    <w:rsid w:val="0056145C"/>
    <w:rsid w:val="005615D4"/>
    <w:rsid w:val="00561FF9"/>
    <w:rsid w:val="00563BD4"/>
    <w:rsid w:val="00563F9D"/>
    <w:rsid w:val="005640C9"/>
    <w:rsid w:val="0056425D"/>
    <w:rsid w:val="005644F6"/>
    <w:rsid w:val="00564582"/>
    <w:rsid w:val="00564871"/>
    <w:rsid w:val="00565B85"/>
    <w:rsid w:val="005671BA"/>
    <w:rsid w:val="005671F6"/>
    <w:rsid w:val="005679D4"/>
    <w:rsid w:val="00567D05"/>
    <w:rsid w:val="00570037"/>
    <w:rsid w:val="00570338"/>
    <w:rsid w:val="00570684"/>
    <w:rsid w:val="00570F1E"/>
    <w:rsid w:val="005713CE"/>
    <w:rsid w:val="00571485"/>
    <w:rsid w:val="005714A2"/>
    <w:rsid w:val="00571F52"/>
    <w:rsid w:val="005726A8"/>
    <w:rsid w:val="00572BBD"/>
    <w:rsid w:val="0057305F"/>
    <w:rsid w:val="0057309C"/>
    <w:rsid w:val="005731C4"/>
    <w:rsid w:val="00573591"/>
    <w:rsid w:val="005737B4"/>
    <w:rsid w:val="0057398F"/>
    <w:rsid w:val="0057468D"/>
    <w:rsid w:val="00574848"/>
    <w:rsid w:val="00574C1F"/>
    <w:rsid w:val="0057551F"/>
    <w:rsid w:val="00575975"/>
    <w:rsid w:val="005759E2"/>
    <w:rsid w:val="00576FD6"/>
    <w:rsid w:val="005772AC"/>
    <w:rsid w:val="005776D2"/>
    <w:rsid w:val="005779A3"/>
    <w:rsid w:val="00577A61"/>
    <w:rsid w:val="00580212"/>
    <w:rsid w:val="005805AF"/>
    <w:rsid w:val="0058060E"/>
    <w:rsid w:val="00581555"/>
    <w:rsid w:val="0058220E"/>
    <w:rsid w:val="00582730"/>
    <w:rsid w:val="00582FA2"/>
    <w:rsid w:val="00584684"/>
    <w:rsid w:val="0058535C"/>
    <w:rsid w:val="005865EB"/>
    <w:rsid w:val="00586610"/>
    <w:rsid w:val="0058728C"/>
    <w:rsid w:val="00587D84"/>
    <w:rsid w:val="00587FA0"/>
    <w:rsid w:val="0059065A"/>
    <w:rsid w:val="005906AE"/>
    <w:rsid w:val="00590775"/>
    <w:rsid w:val="00590A7D"/>
    <w:rsid w:val="00591A63"/>
    <w:rsid w:val="00591DA0"/>
    <w:rsid w:val="00591E74"/>
    <w:rsid w:val="0059249B"/>
    <w:rsid w:val="00593D0B"/>
    <w:rsid w:val="00593E6C"/>
    <w:rsid w:val="00594775"/>
    <w:rsid w:val="005947B2"/>
    <w:rsid w:val="00594B23"/>
    <w:rsid w:val="00594DD1"/>
    <w:rsid w:val="00594EC2"/>
    <w:rsid w:val="005958F3"/>
    <w:rsid w:val="00596310"/>
    <w:rsid w:val="00596CE6"/>
    <w:rsid w:val="00596E8F"/>
    <w:rsid w:val="00596FCD"/>
    <w:rsid w:val="0059725B"/>
    <w:rsid w:val="00597281"/>
    <w:rsid w:val="0059782B"/>
    <w:rsid w:val="005A0090"/>
    <w:rsid w:val="005A0933"/>
    <w:rsid w:val="005A0A2E"/>
    <w:rsid w:val="005A0D91"/>
    <w:rsid w:val="005A11BD"/>
    <w:rsid w:val="005A15C0"/>
    <w:rsid w:val="005A2876"/>
    <w:rsid w:val="005A3432"/>
    <w:rsid w:val="005A4334"/>
    <w:rsid w:val="005A4DF6"/>
    <w:rsid w:val="005A5737"/>
    <w:rsid w:val="005A59AB"/>
    <w:rsid w:val="005A631F"/>
    <w:rsid w:val="005A6948"/>
    <w:rsid w:val="005A742D"/>
    <w:rsid w:val="005A7FD0"/>
    <w:rsid w:val="005B0FAB"/>
    <w:rsid w:val="005B0FFC"/>
    <w:rsid w:val="005B1761"/>
    <w:rsid w:val="005B1813"/>
    <w:rsid w:val="005B1B10"/>
    <w:rsid w:val="005B2C82"/>
    <w:rsid w:val="005B2EF7"/>
    <w:rsid w:val="005B2F88"/>
    <w:rsid w:val="005B3A41"/>
    <w:rsid w:val="005B3BF4"/>
    <w:rsid w:val="005B418D"/>
    <w:rsid w:val="005B43D7"/>
    <w:rsid w:val="005B46CC"/>
    <w:rsid w:val="005B659F"/>
    <w:rsid w:val="005B662E"/>
    <w:rsid w:val="005B6692"/>
    <w:rsid w:val="005B6EF7"/>
    <w:rsid w:val="005C0A74"/>
    <w:rsid w:val="005C0DF2"/>
    <w:rsid w:val="005C0F80"/>
    <w:rsid w:val="005C1522"/>
    <w:rsid w:val="005C2079"/>
    <w:rsid w:val="005C23F5"/>
    <w:rsid w:val="005C2545"/>
    <w:rsid w:val="005C279C"/>
    <w:rsid w:val="005C2AEF"/>
    <w:rsid w:val="005C3150"/>
    <w:rsid w:val="005C383A"/>
    <w:rsid w:val="005C3B75"/>
    <w:rsid w:val="005C4F37"/>
    <w:rsid w:val="005C5A6D"/>
    <w:rsid w:val="005C5BDD"/>
    <w:rsid w:val="005C5C25"/>
    <w:rsid w:val="005C624C"/>
    <w:rsid w:val="005C66C4"/>
    <w:rsid w:val="005C6758"/>
    <w:rsid w:val="005C6A77"/>
    <w:rsid w:val="005C6E83"/>
    <w:rsid w:val="005C7A53"/>
    <w:rsid w:val="005D0A94"/>
    <w:rsid w:val="005D0E51"/>
    <w:rsid w:val="005D0E60"/>
    <w:rsid w:val="005D0F4E"/>
    <w:rsid w:val="005D180F"/>
    <w:rsid w:val="005D24A9"/>
    <w:rsid w:val="005D2A9F"/>
    <w:rsid w:val="005D4069"/>
    <w:rsid w:val="005D44DD"/>
    <w:rsid w:val="005D46B6"/>
    <w:rsid w:val="005D4CE4"/>
    <w:rsid w:val="005D4FA9"/>
    <w:rsid w:val="005D6012"/>
    <w:rsid w:val="005D603B"/>
    <w:rsid w:val="005D7769"/>
    <w:rsid w:val="005D78FC"/>
    <w:rsid w:val="005D7ED8"/>
    <w:rsid w:val="005D7FA4"/>
    <w:rsid w:val="005E01E7"/>
    <w:rsid w:val="005E030D"/>
    <w:rsid w:val="005E06A8"/>
    <w:rsid w:val="005E0757"/>
    <w:rsid w:val="005E1BCE"/>
    <w:rsid w:val="005E20A4"/>
    <w:rsid w:val="005E24DC"/>
    <w:rsid w:val="005E2EBC"/>
    <w:rsid w:val="005E31FE"/>
    <w:rsid w:val="005E336D"/>
    <w:rsid w:val="005E3501"/>
    <w:rsid w:val="005E3B2E"/>
    <w:rsid w:val="005E3FA3"/>
    <w:rsid w:val="005E4456"/>
    <w:rsid w:val="005E4C50"/>
    <w:rsid w:val="005E5076"/>
    <w:rsid w:val="005E6781"/>
    <w:rsid w:val="005E716E"/>
    <w:rsid w:val="005E7F10"/>
    <w:rsid w:val="005F09C2"/>
    <w:rsid w:val="005F19EE"/>
    <w:rsid w:val="005F1F96"/>
    <w:rsid w:val="005F21A7"/>
    <w:rsid w:val="005F24C2"/>
    <w:rsid w:val="005F254F"/>
    <w:rsid w:val="005F26CB"/>
    <w:rsid w:val="005F4392"/>
    <w:rsid w:val="005F6768"/>
    <w:rsid w:val="006000F6"/>
    <w:rsid w:val="00601B5C"/>
    <w:rsid w:val="00601D0E"/>
    <w:rsid w:val="00601DCD"/>
    <w:rsid w:val="0060205F"/>
    <w:rsid w:val="0060211A"/>
    <w:rsid w:val="0060279B"/>
    <w:rsid w:val="00602BFB"/>
    <w:rsid w:val="00602C61"/>
    <w:rsid w:val="00602CEC"/>
    <w:rsid w:val="0060322B"/>
    <w:rsid w:val="00603500"/>
    <w:rsid w:val="0060392B"/>
    <w:rsid w:val="006040D6"/>
    <w:rsid w:val="00604174"/>
    <w:rsid w:val="006041D4"/>
    <w:rsid w:val="00604564"/>
    <w:rsid w:val="006046E0"/>
    <w:rsid w:val="00606B7D"/>
    <w:rsid w:val="00606EA0"/>
    <w:rsid w:val="00607A73"/>
    <w:rsid w:val="00610413"/>
    <w:rsid w:val="006114BD"/>
    <w:rsid w:val="0061167C"/>
    <w:rsid w:val="00611D41"/>
    <w:rsid w:val="00611EF2"/>
    <w:rsid w:val="00612CBE"/>
    <w:rsid w:val="00612EEC"/>
    <w:rsid w:val="006138E3"/>
    <w:rsid w:val="0061446F"/>
    <w:rsid w:val="006146A8"/>
    <w:rsid w:val="00614A0A"/>
    <w:rsid w:val="0061553F"/>
    <w:rsid w:val="00615915"/>
    <w:rsid w:val="00615C69"/>
    <w:rsid w:val="00615D40"/>
    <w:rsid w:val="00615F5A"/>
    <w:rsid w:val="006168F4"/>
    <w:rsid w:val="006170A4"/>
    <w:rsid w:val="00617827"/>
    <w:rsid w:val="00621104"/>
    <w:rsid w:val="00621514"/>
    <w:rsid w:val="006215B0"/>
    <w:rsid w:val="00622459"/>
    <w:rsid w:val="00622EFE"/>
    <w:rsid w:val="006242A9"/>
    <w:rsid w:val="00624E61"/>
    <w:rsid w:val="00626AC5"/>
    <w:rsid w:val="00627AC3"/>
    <w:rsid w:val="006305B0"/>
    <w:rsid w:val="00630DB0"/>
    <w:rsid w:val="00631927"/>
    <w:rsid w:val="00631CC7"/>
    <w:rsid w:val="006322DB"/>
    <w:rsid w:val="00632EE6"/>
    <w:rsid w:val="0063335F"/>
    <w:rsid w:val="00633531"/>
    <w:rsid w:val="006338BF"/>
    <w:rsid w:val="0063425F"/>
    <w:rsid w:val="00634397"/>
    <w:rsid w:val="0063441E"/>
    <w:rsid w:val="0063569A"/>
    <w:rsid w:val="00637305"/>
    <w:rsid w:val="006373D3"/>
    <w:rsid w:val="00640234"/>
    <w:rsid w:val="0064098B"/>
    <w:rsid w:val="00641069"/>
    <w:rsid w:val="00641186"/>
    <w:rsid w:val="0064160F"/>
    <w:rsid w:val="00642565"/>
    <w:rsid w:val="006433A1"/>
    <w:rsid w:val="0064489D"/>
    <w:rsid w:val="006449AF"/>
    <w:rsid w:val="006449E9"/>
    <w:rsid w:val="006451E9"/>
    <w:rsid w:val="0064528B"/>
    <w:rsid w:val="0064660A"/>
    <w:rsid w:val="00647D14"/>
    <w:rsid w:val="006521F2"/>
    <w:rsid w:val="006533F9"/>
    <w:rsid w:val="00653F62"/>
    <w:rsid w:val="00654DA4"/>
    <w:rsid w:val="00655425"/>
    <w:rsid w:val="006569D0"/>
    <w:rsid w:val="00656C78"/>
    <w:rsid w:val="00657EAF"/>
    <w:rsid w:val="00660528"/>
    <w:rsid w:val="00660CC1"/>
    <w:rsid w:val="00661076"/>
    <w:rsid w:val="0066184C"/>
    <w:rsid w:val="0066214D"/>
    <w:rsid w:val="00662846"/>
    <w:rsid w:val="00663FDE"/>
    <w:rsid w:val="00665768"/>
    <w:rsid w:val="00665ADF"/>
    <w:rsid w:val="00665D07"/>
    <w:rsid w:val="00665E20"/>
    <w:rsid w:val="006663D5"/>
    <w:rsid w:val="00666762"/>
    <w:rsid w:val="006668AA"/>
    <w:rsid w:val="00666E4A"/>
    <w:rsid w:val="006676ED"/>
    <w:rsid w:val="00667E12"/>
    <w:rsid w:val="00667ED4"/>
    <w:rsid w:val="0067009A"/>
    <w:rsid w:val="00670599"/>
    <w:rsid w:val="00670DDD"/>
    <w:rsid w:val="00671393"/>
    <w:rsid w:val="00671529"/>
    <w:rsid w:val="00672067"/>
    <w:rsid w:val="006724A0"/>
    <w:rsid w:val="00672580"/>
    <w:rsid w:val="0067292E"/>
    <w:rsid w:val="00672BEC"/>
    <w:rsid w:val="00672D9D"/>
    <w:rsid w:val="0067301A"/>
    <w:rsid w:val="00673344"/>
    <w:rsid w:val="00673E49"/>
    <w:rsid w:val="0067465C"/>
    <w:rsid w:val="0067493F"/>
    <w:rsid w:val="00674C1F"/>
    <w:rsid w:val="00675344"/>
    <w:rsid w:val="0067586F"/>
    <w:rsid w:val="00675B3D"/>
    <w:rsid w:val="006765D6"/>
    <w:rsid w:val="00676624"/>
    <w:rsid w:val="00676ACA"/>
    <w:rsid w:val="00676AD7"/>
    <w:rsid w:val="00676FD0"/>
    <w:rsid w:val="0067752A"/>
    <w:rsid w:val="00680249"/>
    <w:rsid w:val="00680C62"/>
    <w:rsid w:val="00680D64"/>
    <w:rsid w:val="006822A4"/>
    <w:rsid w:val="0068256F"/>
    <w:rsid w:val="00682718"/>
    <w:rsid w:val="00682867"/>
    <w:rsid w:val="00682904"/>
    <w:rsid w:val="00682B29"/>
    <w:rsid w:val="00682CEC"/>
    <w:rsid w:val="006835A9"/>
    <w:rsid w:val="0068379A"/>
    <w:rsid w:val="0068438A"/>
    <w:rsid w:val="0068492A"/>
    <w:rsid w:val="006855E0"/>
    <w:rsid w:val="0068647C"/>
    <w:rsid w:val="00686B58"/>
    <w:rsid w:val="006870A0"/>
    <w:rsid w:val="006913F5"/>
    <w:rsid w:val="006917A4"/>
    <w:rsid w:val="00691CE4"/>
    <w:rsid w:val="00691F58"/>
    <w:rsid w:val="00692A19"/>
    <w:rsid w:val="00692CC4"/>
    <w:rsid w:val="00693406"/>
    <w:rsid w:val="00693FF0"/>
    <w:rsid w:val="00694C0E"/>
    <w:rsid w:val="00694E76"/>
    <w:rsid w:val="006959C2"/>
    <w:rsid w:val="0069638A"/>
    <w:rsid w:val="00696507"/>
    <w:rsid w:val="00696C2B"/>
    <w:rsid w:val="0069757E"/>
    <w:rsid w:val="006A1491"/>
    <w:rsid w:val="006A1A24"/>
    <w:rsid w:val="006A2922"/>
    <w:rsid w:val="006A2A22"/>
    <w:rsid w:val="006A2AAF"/>
    <w:rsid w:val="006A39C2"/>
    <w:rsid w:val="006A3B06"/>
    <w:rsid w:val="006A51D8"/>
    <w:rsid w:val="006A520B"/>
    <w:rsid w:val="006A6AF9"/>
    <w:rsid w:val="006A6F55"/>
    <w:rsid w:val="006A7492"/>
    <w:rsid w:val="006A76B5"/>
    <w:rsid w:val="006A78B8"/>
    <w:rsid w:val="006A7992"/>
    <w:rsid w:val="006B0032"/>
    <w:rsid w:val="006B0CFC"/>
    <w:rsid w:val="006B1227"/>
    <w:rsid w:val="006B1392"/>
    <w:rsid w:val="006B2C62"/>
    <w:rsid w:val="006B3209"/>
    <w:rsid w:val="006B3DDA"/>
    <w:rsid w:val="006B54F7"/>
    <w:rsid w:val="006B56C2"/>
    <w:rsid w:val="006B70A1"/>
    <w:rsid w:val="006C0E30"/>
    <w:rsid w:val="006C1E83"/>
    <w:rsid w:val="006C219E"/>
    <w:rsid w:val="006C2ADD"/>
    <w:rsid w:val="006C3D04"/>
    <w:rsid w:val="006C4072"/>
    <w:rsid w:val="006C419D"/>
    <w:rsid w:val="006C45C4"/>
    <w:rsid w:val="006C50D6"/>
    <w:rsid w:val="006C5B8D"/>
    <w:rsid w:val="006C6401"/>
    <w:rsid w:val="006C6B28"/>
    <w:rsid w:val="006C6C3B"/>
    <w:rsid w:val="006C7189"/>
    <w:rsid w:val="006D021B"/>
    <w:rsid w:val="006D0609"/>
    <w:rsid w:val="006D0800"/>
    <w:rsid w:val="006D0805"/>
    <w:rsid w:val="006D0D34"/>
    <w:rsid w:val="006D0DD5"/>
    <w:rsid w:val="006D11CF"/>
    <w:rsid w:val="006D2028"/>
    <w:rsid w:val="006D3131"/>
    <w:rsid w:val="006D3142"/>
    <w:rsid w:val="006D37E8"/>
    <w:rsid w:val="006D39EA"/>
    <w:rsid w:val="006D4F2F"/>
    <w:rsid w:val="006D507A"/>
    <w:rsid w:val="006D5955"/>
    <w:rsid w:val="006D72FA"/>
    <w:rsid w:val="006E0210"/>
    <w:rsid w:val="006E0406"/>
    <w:rsid w:val="006E0D2B"/>
    <w:rsid w:val="006E15EF"/>
    <w:rsid w:val="006E2985"/>
    <w:rsid w:val="006E2D4E"/>
    <w:rsid w:val="006E3746"/>
    <w:rsid w:val="006E62BA"/>
    <w:rsid w:val="006E64E8"/>
    <w:rsid w:val="006E6D22"/>
    <w:rsid w:val="006E6F17"/>
    <w:rsid w:val="006E7282"/>
    <w:rsid w:val="006E7E5A"/>
    <w:rsid w:val="006F0419"/>
    <w:rsid w:val="006F0936"/>
    <w:rsid w:val="006F1822"/>
    <w:rsid w:val="006F22ED"/>
    <w:rsid w:val="006F2839"/>
    <w:rsid w:val="006F2A2D"/>
    <w:rsid w:val="006F2BD4"/>
    <w:rsid w:val="006F330C"/>
    <w:rsid w:val="006F33AC"/>
    <w:rsid w:val="006F379F"/>
    <w:rsid w:val="006F39A6"/>
    <w:rsid w:val="006F4192"/>
    <w:rsid w:val="006F5BBA"/>
    <w:rsid w:val="006F5BD8"/>
    <w:rsid w:val="006F5DD8"/>
    <w:rsid w:val="006F63B6"/>
    <w:rsid w:val="006F640C"/>
    <w:rsid w:val="006F7173"/>
    <w:rsid w:val="006F736B"/>
    <w:rsid w:val="006F73EB"/>
    <w:rsid w:val="006F7560"/>
    <w:rsid w:val="006F7E1B"/>
    <w:rsid w:val="00701CD2"/>
    <w:rsid w:val="0070235B"/>
    <w:rsid w:val="00702714"/>
    <w:rsid w:val="0070296A"/>
    <w:rsid w:val="007032FF"/>
    <w:rsid w:val="0070489D"/>
    <w:rsid w:val="00705CD8"/>
    <w:rsid w:val="007103FB"/>
    <w:rsid w:val="0071086D"/>
    <w:rsid w:val="00711029"/>
    <w:rsid w:val="0071184E"/>
    <w:rsid w:val="0071243E"/>
    <w:rsid w:val="00712CFB"/>
    <w:rsid w:val="0071323E"/>
    <w:rsid w:val="00713382"/>
    <w:rsid w:val="00714565"/>
    <w:rsid w:val="00714F08"/>
    <w:rsid w:val="00715BB3"/>
    <w:rsid w:val="00715C7F"/>
    <w:rsid w:val="00715F05"/>
    <w:rsid w:val="00715F3C"/>
    <w:rsid w:val="00716C41"/>
    <w:rsid w:val="007171DB"/>
    <w:rsid w:val="007177B2"/>
    <w:rsid w:val="00720128"/>
    <w:rsid w:val="0072043F"/>
    <w:rsid w:val="0072057C"/>
    <w:rsid w:val="00720B8D"/>
    <w:rsid w:val="00721526"/>
    <w:rsid w:val="007216A4"/>
    <w:rsid w:val="007216F4"/>
    <w:rsid w:val="00721A53"/>
    <w:rsid w:val="00721CFC"/>
    <w:rsid w:val="0072285C"/>
    <w:rsid w:val="00723193"/>
    <w:rsid w:val="0072367D"/>
    <w:rsid w:val="00723F39"/>
    <w:rsid w:val="0072490A"/>
    <w:rsid w:val="0072497A"/>
    <w:rsid w:val="00724AB7"/>
    <w:rsid w:val="0072508B"/>
    <w:rsid w:val="007252A5"/>
    <w:rsid w:val="00725481"/>
    <w:rsid w:val="00725A18"/>
    <w:rsid w:val="0072603B"/>
    <w:rsid w:val="00726490"/>
    <w:rsid w:val="007268F9"/>
    <w:rsid w:val="00726C1F"/>
    <w:rsid w:val="0072756B"/>
    <w:rsid w:val="00727596"/>
    <w:rsid w:val="00731B43"/>
    <w:rsid w:val="00732E77"/>
    <w:rsid w:val="0073415E"/>
    <w:rsid w:val="00734E96"/>
    <w:rsid w:val="00735764"/>
    <w:rsid w:val="00735D05"/>
    <w:rsid w:val="007373F5"/>
    <w:rsid w:val="00740B39"/>
    <w:rsid w:val="0074298B"/>
    <w:rsid w:val="00743D89"/>
    <w:rsid w:val="00743F46"/>
    <w:rsid w:val="00744780"/>
    <w:rsid w:val="00744D63"/>
    <w:rsid w:val="007451EA"/>
    <w:rsid w:val="00745F7B"/>
    <w:rsid w:val="00745FA0"/>
    <w:rsid w:val="00746154"/>
    <w:rsid w:val="007505C4"/>
    <w:rsid w:val="00753287"/>
    <w:rsid w:val="00753950"/>
    <w:rsid w:val="00753CF5"/>
    <w:rsid w:val="0075403C"/>
    <w:rsid w:val="00754259"/>
    <w:rsid w:val="007544B0"/>
    <w:rsid w:val="0075458A"/>
    <w:rsid w:val="00754AEC"/>
    <w:rsid w:val="0075783B"/>
    <w:rsid w:val="00760247"/>
    <w:rsid w:val="0076031F"/>
    <w:rsid w:val="00760D24"/>
    <w:rsid w:val="007612BE"/>
    <w:rsid w:val="007637C2"/>
    <w:rsid w:val="00763B65"/>
    <w:rsid w:val="00764395"/>
    <w:rsid w:val="00764485"/>
    <w:rsid w:val="0076449F"/>
    <w:rsid w:val="00764B94"/>
    <w:rsid w:val="00765418"/>
    <w:rsid w:val="00765F1A"/>
    <w:rsid w:val="0076624E"/>
    <w:rsid w:val="007662BB"/>
    <w:rsid w:val="00767A7B"/>
    <w:rsid w:val="00771092"/>
    <w:rsid w:val="00771C21"/>
    <w:rsid w:val="00771CF2"/>
    <w:rsid w:val="00771E5A"/>
    <w:rsid w:val="00771E85"/>
    <w:rsid w:val="00772E46"/>
    <w:rsid w:val="00774F80"/>
    <w:rsid w:val="00775476"/>
    <w:rsid w:val="00775612"/>
    <w:rsid w:val="007757D9"/>
    <w:rsid w:val="00775A79"/>
    <w:rsid w:val="007767F2"/>
    <w:rsid w:val="00776F06"/>
    <w:rsid w:val="00777188"/>
    <w:rsid w:val="00780033"/>
    <w:rsid w:val="00780B2C"/>
    <w:rsid w:val="00780B90"/>
    <w:rsid w:val="00780D9D"/>
    <w:rsid w:val="00781851"/>
    <w:rsid w:val="0078268D"/>
    <w:rsid w:val="007829DC"/>
    <w:rsid w:val="007836A0"/>
    <w:rsid w:val="007836EB"/>
    <w:rsid w:val="007838DD"/>
    <w:rsid w:val="0078457E"/>
    <w:rsid w:val="00784E8A"/>
    <w:rsid w:val="0078572A"/>
    <w:rsid w:val="00786497"/>
    <w:rsid w:val="00786674"/>
    <w:rsid w:val="007903F9"/>
    <w:rsid w:val="007904C5"/>
    <w:rsid w:val="007905C7"/>
    <w:rsid w:val="007918B6"/>
    <w:rsid w:val="00792022"/>
    <w:rsid w:val="00792D72"/>
    <w:rsid w:val="00793348"/>
    <w:rsid w:val="00793450"/>
    <w:rsid w:val="00793F68"/>
    <w:rsid w:val="007948F1"/>
    <w:rsid w:val="00794C0A"/>
    <w:rsid w:val="00794E7F"/>
    <w:rsid w:val="007952AF"/>
    <w:rsid w:val="00795413"/>
    <w:rsid w:val="007955CC"/>
    <w:rsid w:val="00796A2A"/>
    <w:rsid w:val="00796C9E"/>
    <w:rsid w:val="00796F74"/>
    <w:rsid w:val="00797239"/>
    <w:rsid w:val="00797501"/>
    <w:rsid w:val="00797E35"/>
    <w:rsid w:val="007A074A"/>
    <w:rsid w:val="007A08C6"/>
    <w:rsid w:val="007A0A53"/>
    <w:rsid w:val="007A1D22"/>
    <w:rsid w:val="007A2209"/>
    <w:rsid w:val="007A237E"/>
    <w:rsid w:val="007A2AC1"/>
    <w:rsid w:val="007A2B7A"/>
    <w:rsid w:val="007A2E5A"/>
    <w:rsid w:val="007A319D"/>
    <w:rsid w:val="007A3736"/>
    <w:rsid w:val="007A384F"/>
    <w:rsid w:val="007A4579"/>
    <w:rsid w:val="007A4C40"/>
    <w:rsid w:val="007A5721"/>
    <w:rsid w:val="007A5A41"/>
    <w:rsid w:val="007A5FDA"/>
    <w:rsid w:val="007A62B3"/>
    <w:rsid w:val="007A62EA"/>
    <w:rsid w:val="007A65B2"/>
    <w:rsid w:val="007A6D79"/>
    <w:rsid w:val="007B04D5"/>
    <w:rsid w:val="007B1A77"/>
    <w:rsid w:val="007B1EC1"/>
    <w:rsid w:val="007B2EA6"/>
    <w:rsid w:val="007B31D2"/>
    <w:rsid w:val="007B3413"/>
    <w:rsid w:val="007B355C"/>
    <w:rsid w:val="007B48C0"/>
    <w:rsid w:val="007B4E9B"/>
    <w:rsid w:val="007B5474"/>
    <w:rsid w:val="007B5A38"/>
    <w:rsid w:val="007B7425"/>
    <w:rsid w:val="007B798F"/>
    <w:rsid w:val="007B7E33"/>
    <w:rsid w:val="007C007B"/>
    <w:rsid w:val="007C0C97"/>
    <w:rsid w:val="007C1B68"/>
    <w:rsid w:val="007C248D"/>
    <w:rsid w:val="007C34BA"/>
    <w:rsid w:val="007C38F7"/>
    <w:rsid w:val="007C3D0D"/>
    <w:rsid w:val="007C42A3"/>
    <w:rsid w:val="007C4934"/>
    <w:rsid w:val="007C5070"/>
    <w:rsid w:val="007C52B0"/>
    <w:rsid w:val="007C52CA"/>
    <w:rsid w:val="007C5A27"/>
    <w:rsid w:val="007C5F0F"/>
    <w:rsid w:val="007C66EA"/>
    <w:rsid w:val="007C7800"/>
    <w:rsid w:val="007C7BE6"/>
    <w:rsid w:val="007D0534"/>
    <w:rsid w:val="007D0E07"/>
    <w:rsid w:val="007D2980"/>
    <w:rsid w:val="007D47BC"/>
    <w:rsid w:val="007D52B1"/>
    <w:rsid w:val="007D5C64"/>
    <w:rsid w:val="007D5DBB"/>
    <w:rsid w:val="007D69F7"/>
    <w:rsid w:val="007D79A2"/>
    <w:rsid w:val="007D7C49"/>
    <w:rsid w:val="007E030F"/>
    <w:rsid w:val="007E0F30"/>
    <w:rsid w:val="007E164D"/>
    <w:rsid w:val="007E22DC"/>
    <w:rsid w:val="007E22FE"/>
    <w:rsid w:val="007E2E97"/>
    <w:rsid w:val="007E417E"/>
    <w:rsid w:val="007E4B80"/>
    <w:rsid w:val="007E4BD9"/>
    <w:rsid w:val="007E53C9"/>
    <w:rsid w:val="007E57AD"/>
    <w:rsid w:val="007E61E0"/>
    <w:rsid w:val="007E6B3F"/>
    <w:rsid w:val="007E6D74"/>
    <w:rsid w:val="007E70F3"/>
    <w:rsid w:val="007E7CA3"/>
    <w:rsid w:val="007E7FB1"/>
    <w:rsid w:val="007F087A"/>
    <w:rsid w:val="007F121D"/>
    <w:rsid w:val="007F1ABD"/>
    <w:rsid w:val="007F1BAE"/>
    <w:rsid w:val="007F29B8"/>
    <w:rsid w:val="007F3095"/>
    <w:rsid w:val="007F343A"/>
    <w:rsid w:val="007F369C"/>
    <w:rsid w:val="007F486B"/>
    <w:rsid w:val="007F4A5A"/>
    <w:rsid w:val="007F4D24"/>
    <w:rsid w:val="007F4EFB"/>
    <w:rsid w:val="007F5A58"/>
    <w:rsid w:val="007F624A"/>
    <w:rsid w:val="007F6D51"/>
    <w:rsid w:val="00800984"/>
    <w:rsid w:val="00800AF1"/>
    <w:rsid w:val="00800BBA"/>
    <w:rsid w:val="00800CD4"/>
    <w:rsid w:val="00801FBD"/>
    <w:rsid w:val="008021D1"/>
    <w:rsid w:val="0080220C"/>
    <w:rsid w:val="008025B9"/>
    <w:rsid w:val="0080281B"/>
    <w:rsid w:val="00803143"/>
    <w:rsid w:val="00803635"/>
    <w:rsid w:val="00803B89"/>
    <w:rsid w:val="0080469F"/>
    <w:rsid w:val="008047F8"/>
    <w:rsid w:val="008051A5"/>
    <w:rsid w:val="008057C6"/>
    <w:rsid w:val="00805F52"/>
    <w:rsid w:val="00806B9B"/>
    <w:rsid w:val="008108AB"/>
    <w:rsid w:val="008122CE"/>
    <w:rsid w:val="008124D7"/>
    <w:rsid w:val="00812721"/>
    <w:rsid w:val="008128AF"/>
    <w:rsid w:val="00812E61"/>
    <w:rsid w:val="008133B8"/>
    <w:rsid w:val="008137CF"/>
    <w:rsid w:val="00813810"/>
    <w:rsid w:val="00813F92"/>
    <w:rsid w:val="00815AAF"/>
    <w:rsid w:val="008171FB"/>
    <w:rsid w:val="008179FC"/>
    <w:rsid w:val="00817FF5"/>
    <w:rsid w:val="00820234"/>
    <w:rsid w:val="00820BCA"/>
    <w:rsid w:val="008211FD"/>
    <w:rsid w:val="008212CD"/>
    <w:rsid w:val="00821D8E"/>
    <w:rsid w:val="008228AF"/>
    <w:rsid w:val="00822F78"/>
    <w:rsid w:val="00822FFB"/>
    <w:rsid w:val="00823241"/>
    <w:rsid w:val="008234DA"/>
    <w:rsid w:val="00823769"/>
    <w:rsid w:val="00823917"/>
    <w:rsid w:val="00824EB6"/>
    <w:rsid w:val="008256F0"/>
    <w:rsid w:val="00826779"/>
    <w:rsid w:val="00826984"/>
    <w:rsid w:val="00827026"/>
    <w:rsid w:val="0082777E"/>
    <w:rsid w:val="008279C2"/>
    <w:rsid w:val="008301FC"/>
    <w:rsid w:val="00830230"/>
    <w:rsid w:val="00830837"/>
    <w:rsid w:val="00830AE6"/>
    <w:rsid w:val="00830BD7"/>
    <w:rsid w:val="00831040"/>
    <w:rsid w:val="0083107B"/>
    <w:rsid w:val="008319AE"/>
    <w:rsid w:val="00833931"/>
    <w:rsid w:val="00833DC4"/>
    <w:rsid w:val="00833E3B"/>
    <w:rsid w:val="00834424"/>
    <w:rsid w:val="00834549"/>
    <w:rsid w:val="00835F0F"/>
    <w:rsid w:val="0083661D"/>
    <w:rsid w:val="00836A09"/>
    <w:rsid w:val="0083765A"/>
    <w:rsid w:val="00837C16"/>
    <w:rsid w:val="00840BDB"/>
    <w:rsid w:val="00840CC2"/>
    <w:rsid w:val="008415AC"/>
    <w:rsid w:val="008416A8"/>
    <w:rsid w:val="00841753"/>
    <w:rsid w:val="00841D96"/>
    <w:rsid w:val="00842456"/>
    <w:rsid w:val="00842CAD"/>
    <w:rsid w:val="00842CBC"/>
    <w:rsid w:val="008433A2"/>
    <w:rsid w:val="00843834"/>
    <w:rsid w:val="0084396F"/>
    <w:rsid w:val="00845F5E"/>
    <w:rsid w:val="00847470"/>
    <w:rsid w:val="008500BB"/>
    <w:rsid w:val="00850F4F"/>
    <w:rsid w:val="0085105C"/>
    <w:rsid w:val="008514F8"/>
    <w:rsid w:val="00851CA8"/>
    <w:rsid w:val="008527F3"/>
    <w:rsid w:val="00852E73"/>
    <w:rsid w:val="008531E6"/>
    <w:rsid w:val="008533B6"/>
    <w:rsid w:val="008541FC"/>
    <w:rsid w:val="008547A9"/>
    <w:rsid w:val="00854A78"/>
    <w:rsid w:val="00855206"/>
    <w:rsid w:val="00855A21"/>
    <w:rsid w:val="00855E53"/>
    <w:rsid w:val="00856ADD"/>
    <w:rsid w:val="00857D4A"/>
    <w:rsid w:val="008611AF"/>
    <w:rsid w:val="008612A0"/>
    <w:rsid w:val="00861B4E"/>
    <w:rsid w:val="00861E42"/>
    <w:rsid w:val="008621CF"/>
    <w:rsid w:val="008621FB"/>
    <w:rsid w:val="00862651"/>
    <w:rsid w:val="008628D3"/>
    <w:rsid w:val="00863B28"/>
    <w:rsid w:val="00864A45"/>
    <w:rsid w:val="0086592A"/>
    <w:rsid w:val="00865936"/>
    <w:rsid w:val="00865A5B"/>
    <w:rsid w:val="00865EF3"/>
    <w:rsid w:val="008660DE"/>
    <w:rsid w:val="008664E0"/>
    <w:rsid w:val="00867C73"/>
    <w:rsid w:val="00867F04"/>
    <w:rsid w:val="00867F62"/>
    <w:rsid w:val="0087016E"/>
    <w:rsid w:val="00870F37"/>
    <w:rsid w:val="00870FFB"/>
    <w:rsid w:val="008711F7"/>
    <w:rsid w:val="008712AE"/>
    <w:rsid w:val="00872672"/>
    <w:rsid w:val="008726B3"/>
    <w:rsid w:val="008726D8"/>
    <w:rsid w:val="00872C31"/>
    <w:rsid w:val="00873F24"/>
    <w:rsid w:val="00874410"/>
    <w:rsid w:val="00875197"/>
    <w:rsid w:val="00875C37"/>
    <w:rsid w:val="00877699"/>
    <w:rsid w:val="008777F2"/>
    <w:rsid w:val="00877B50"/>
    <w:rsid w:val="00877C41"/>
    <w:rsid w:val="00880C76"/>
    <w:rsid w:val="00881829"/>
    <w:rsid w:val="0088228A"/>
    <w:rsid w:val="00882388"/>
    <w:rsid w:val="00882DAA"/>
    <w:rsid w:val="00884A8A"/>
    <w:rsid w:val="00884BF5"/>
    <w:rsid w:val="00885824"/>
    <w:rsid w:val="008859BB"/>
    <w:rsid w:val="0088639F"/>
    <w:rsid w:val="00886988"/>
    <w:rsid w:val="00887393"/>
    <w:rsid w:val="008875AF"/>
    <w:rsid w:val="0088796F"/>
    <w:rsid w:val="00887DBF"/>
    <w:rsid w:val="008907EA"/>
    <w:rsid w:val="00890A6F"/>
    <w:rsid w:val="00891652"/>
    <w:rsid w:val="008917DC"/>
    <w:rsid w:val="00892C73"/>
    <w:rsid w:val="00892E3D"/>
    <w:rsid w:val="00893931"/>
    <w:rsid w:val="00893966"/>
    <w:rsid w:val="008949E3"/>
    <w:rsid w:val="00894AA7"/>
    <w:rsid w:val="00894AD7"/>
    <w:rsid w:val="00894B23"/>
    <w:rsid w:val="008951B7"/>
    <w:rsid w:val="0089549F"/>
    <w:rsid w:val="00895ADA"/>
    <w:rsid w:val="00896A9C"/>
    <w:rsid w:val="00896BD9"/>
    <w:rsid w:val="00897119"/>
    <w:rsid w:val="00897964"/>
    <w:rsid w:val="008A001B"/>
    <w:rsid w:val="008A011B"/>
    <w:rsid w:val="008A0F8A"/>
    <w:rsid w:val="008A1B94"/>
    <w:rsid w:val="008A35B8"/>
    <w:rsid w:val="008A38F6"/>
    <w:rsid w:val="008A3B15"/>
    <w:rsid w:val="008A435C"/>
    <w:rsid w:val="008A46F4"/>
    <w:rsid w:val="008A5A02"/>
    <w:rsid w:val="008A5BC6"/>
    <w:rsid w:val="008A5D56"/>
    <w:rsid w:val="008A6500"/>
    <w:rsid w:val="008A6746"/>
    <w:rsid w:val="008A73ED"/>
    <w:rsid w:val="008A76DE"/>
    <w:rsid w:val="008A7C3D"/>
    <w:rsid w:val="008B0341"/>
    <w:rsid w:val="008B0357"/>
    <w:rsid w:val="008B0678"/>
    <w:rsid w:val="008B13E5"/>
    <w:rsid w:val="008B21CD"/>
    <w:rsid w:val="008B235B"/>
    <w:rsid w:val="008B239E"/>
    <w:rsid w:val="008B2FDA"/>
    <w:rsid w:val="008B313E"/>
    <w:rsid w:val="008B31F0"/>
    <w:rsid w:val="008B35D9"/>
    <w:rsid w:val="008B4071"/>
    <w:rsid w:val="008B4731"/>
    <w:rsid w:val="008B55A4"/>
    <w:rsid w:val="008B5B80"/>
    <w:rsid w:val="008B5FD1"/>
    <w:rsid w:val="008B72FE"/>
    <w:rsid w:val="008B731C"/>
    <w:rsid w:val="008B75D3"/>
    <w:rsid w:val="008B7646"/>
    <w:rsid w:val="008B76C9"/>
    <w:rsid w:val="008B7CBD"/>
    <w:rsid w:val="008C09E1"/>
    <w:rsid w:val="008C10A2"/>
    <w:rsid w:val="008C169D"/>
    <w:rsid w:val="008C192C"/>
    <w:rsid w:val="008C1C0D"/>
    <w:rsid w:val="008C3527"/>
    <w:rsid w:val="008C3BEC"/>
    <w:rsid w:val="008C49F2"/>
    <w:rsid w:val="008C4BD8"/>
    <w:rsid w:val="008C5B76"/>
    <w:rsid w:val="008C726C"/>
    <w:rsid w:val="008C74E1"/>
    <w:rsid w:val="008C7978"/>
    <w:rsid w:val="008C79D6"/>
    <w:rsid w:val="008C7F33"/>
    <w:rsid w:val="008D0611"/>
    <w:rsid w:val="008D06D3"/>
    <w:rsid w:val="008D1068"/>
    <w:rsid w:val="008D113D"/>
    <w:rsid w:val="008D18C5"/>
    <w:rsid w:val="008D23B3"/>
    <w:rsid w:val="008D28A0"/>
    <w:rsid w:val="008D2AE3"/>
    <w:rsid w:val="008D3322"/>
    <w:rsid w:val="008D3723"/>
    <w:rsid w:val="008D39CC"/>
    <w:rsid w:val="008D3F4E"/>
    <w:rsid w:val="008D3FDC"/>
    <w:rsid w:val="008D4C9A"/>
    <w:rsid w:val="008D4FD4"/>
    <w:rsid w:val="008D5154"/>
    <w:rsid w:val="008D5C97"/>
    <w:rsid w:val="008D608C"/>
    <w:rsid w:val="008D6193"/>
    <w:rsid w:val="008D61EA"/>
    <w:rsid w:val="008D68DD"/>
    <w:rsid w:val="008D6B4A"/>
    <w:rsid w:val="008D6F22"/>
    <w:rsid w:val="008D73F1"/>
    <w:rsid w:val="008D768E"/>
    <w:rsid w:val="008D7E64"/>
    <w:rsid w:val="008E20D5"/>
    <w:rsid w:val="008E33AE"/>
    <w:rsid w:val="008E38C8"/>
    <w:rsid w:val="008E3AA5"/>
    <w:rsid w:val="008E3FD2"/>
    <w:rsid w:val="008E418C"/>
    <w:rsid w:val="008E4820"/>
    <w:rsid w:val="008E6895"/>
    <w:rsid w:val="008E68AC"/>
    <w:rsid w:val="008E7635"/>
    <w:rsid w:val="008E77CB"/>
    <w:rsid w:val="008E78CA"/>
    <w:rsid w:val="008F08CD"/>
    <w:rsid w:val="008F0BB9"/>
    <w:rsid w:val="008F126B"/>
    <w:rsid w:val="008F1538"/>
    <w:rsid w:val="008F1932"/>
    <w:rsid w:val="008F19DE"/>
    <w:rsid w:val="008F233A"/>
    <w:rsid w:val="008F2B4C"/>
    <w:rsid w:val="008F3503"/>
    <w:rsid w:val="008F3A72"/>
    <w:rsid w:val="008F3ABF"/>
    <w:rsid w:val="008F426E"/>
    <w:rsid w:val="008F4B33"/>
    <w:rsid w:val="008F577B"/>
    <w:rsid w:val="008F5C2F"/>
    <w:rsid w:val="008F67C6"/>
    <w:rsid w:val="008F6E0E"/>
    <w:rsid w:val="008F7061"/>
    <w:rsid w:val="008F7368"/>
    <w:rsid w:val="008F73DD"/>
    <w:rsid w:val="008F760F"/>
    <w:rsid w:val="0090081A"/>
    <w:rsid w:val="00900DA8"/>
    <w:rsid w:val="00901BBB"/>
    <w:rsid w:val="00902E87"/>
    <w:rsid w:val="00903BDA"/>
    <w:rsid w:val="00904905"/>
    <w:rsid w:val="00904D33"/>
    <w:rsid w:val="00905841"/>
    <w:rsid w:val="00905CE2"/>
    <w:rsid w:val="0090644B"/>
    <w:rsid w:val="009068CD"/>
    <w:rsid w:val="00906902"/>
    <w:rsid w:val="00907802"/>
    <w:rsid w:val="00910BC1"/>
    <w:rsid w:val="009133CD"/>
    <w:rsid w:val="0091458E"/>
    <w:rsid w:val="009148CE"/>
    <w:rsid w:val="00915A24"/>
    <w:rsid w:val="00915DD8"/>
    <w:rsid w:val="00915F8F"/>
    <w:rsid w:val="00915FAA"/>
    <w:rsid w:val="009163BE"/>
    <w:rsid w:val="009163D1"/>
    <w:rsid w:val="009166EE"/>
    <w:rsid w:val="00920869"/>
    <w:rsid w:val="009209C9"/>
    <w:rsid w:val="00920F61"/>
    <w:rsid w:val="00921021"/>
    <w:rsid w:val="00921381"/>
    <w:rsid w:val="0092154C"/>
    <w:rsid w:val="0092165A"/>
    <w:rsid w:val="00922FDC"/>
    <w:rsid w:val="00923832"/>
    <w:rsid w:val="00923B46"/>
    <w:rsid w:val="00923C0D"/>
    <w:rsid w:val="00924179"/>
    <w:rsid w:val="00924B12"/>
    <w:rsid w:val="009256A6"/>
    <w:rsid w:val="00926622"/>
    <w:rsid w:val="009267FE"/>
    <w:rsid w:val="00927217"/>
    <w:rsid w:val="00930BE8"/>
    <w:rsid w:val="00931386"/>
    <w:rsid w:val="00932192"/>
    <w:rsid w:val="00932552"/>
    <w:rsid w:val="00932D50"/>
    <w:rsid w:val="009346D9"/>
    <w:rsid w:val="0093486D"/>
    <w:rsid w:val="00935470"/>
    <w:rsid w:val="00935C60"/>
    <w:rsid w:val="009371FD"/>
    <w:rsid w:val="0093797A"/>
    <w:rsid w:val="00940432"/>
    <w:rsid w:val="00940EBA"/>
    <w:rsid w:val="00940F49"/>
    <w:rsid w:val="00940FF3"/>
    <w:rsid w:val="0094109C"/>
    <w:rsid w:val="009411B4"/>
    <w:rsid w:val="00941200"/>
    <w:rsid w:val="0094180C"/>
    <w:rsid w:val="0094190D"/>
    <w:rsid w:val="00941CBE"/>
    <w:rsid w:val="00941E6B"/>
    <w:rsid w:val="00941F23"/>
    <w:rsid w:val="00942516"/>
    <w:rsid w:val="00942994"/>
    <w:rsid w:val="00943C56"/>
    <w:rsid w:val="009449DD"/>
    <w:rsid w:val="0094521E"/>
    <w:rsid w:val="00945896"/>
    <w:rsid w:val="00945941"/>
    <w:rsid w:val="00946862"/>
    <w:rsid w:val="00946D3E"/>
    <w:rsid w:val="00947DC3"/>
    <w:rsid w:val="0095019E"/>
    <w:rsid w:val="009504A3"/>
    <w:rsid w:val="00950A9D"/>
    <w:rsid w:val="00951A51"/>
    <w:rsid w:val="00951CEE"/>
    <w:rsid w:val="00952249"/>
    <w:rsid w:val="009523B7"/>
    <w:rsid w:val="00952542"/>
    <w:rsid w:val="0095262E"/>
    <w:rsid w:val="009529DB"/>
    <w:rsid w:val="00953614"/>
    <w:rsid w:val="00953EE5"/>
    <w:rsid w:val="00955629"/>
    <w:rsid w:val="00955BB1"/>
    <w:rsid w:val="0095680E"/>
    <w:rsid w:val="00956F95"/>
    <w:rsid w:val="00956F9B"/>
    <w:rsid w:val="00956FEF"/>
    <w:rsid w:val="0095782B"/>
    <w:rsid w:val="00960624"/>
    <w:rsid w:val="00960632"/>
    <w:rsid w:val="00962411"/>
    <w:rsid w:val="00962A56"/>
    <w:rsid w:val="00962BA9"/>
    <w:rsid w:val="009632D8"/>
    <w:rsid w:val="00963578"/>
    <w:rsid w:val="0096461B"/>
    <w:rsid w:val="009651C2"/>
    <w:rsid w:val="00965E64"/>
    <w:rsid w:val="0096753D"/>
    <w:rsid w:val="0096757D"/>
    <w:rsid w:val="009675E6"/>
    <w:rsid w:val="00970099"/>
    <w:rsid w:val="00970558"/>
    <w:rsid w:val="00971745"/>
    <w:rsid w:val="0097194F"/>
    <w:rsid w:val="00971D14"/>
    <w:rsid w:val="00972BC9"/>
    <w:rsid w:val="00972D64"/>
    <w:rsid w:val="00973917"/>
    <w:rsid w:val="00975052"/>
    <w:rsid w:val="0097549B"/>
    <w:rsid w:val="009755C3"/>
    <w:rsid w:val="00975C6B"/>
    <w:rsid w:val="009766EE"/>
    <w:rsid w:val="00977904"/>
    <w:rsid w:val="00977EBF"/>
    <w:rsid w:val="009809B4"/>
    <w:rsid w:val="00980EE8"/>
    <w:rsid w:val="009815B8"/>
    <w:rsid w:val="00981E0E"/>
    <w:rsid w:val="0098261E"/>
    <w:rsid w:val="00982D49"/>
    <w:rsid w:val="00982F21"/>
    <w:rsid w:val="00983B1C"/>
    <w:rsid w:val="00983C80"/>
    <w:rsid w:val="00984038"/>
    <w:rsid w:val="00984AC6"/>
    <w:rsid w:val="00984C9D"/>
    <w:rsid w:val="0098543A"/>
    <w:rsid w:val="00986DB9"/>
    <w:rsid w:val="00986FB4"/>
    <w:rsid w:val="009870CC"/>
    <w:rsid w:val="009874A6"/>
    <w:rsid w:val="00987557"/>
    <w:rsid w:val="00987AC1"/>
    <w:rsid w:val="009908B9"/>
    <w:rsid w:val="009909A6"/>
    <w:rsid w:val="00990FF5"/>
    <w:rsid w:val="00991477"/>
    <w:rsid w:val="00991610"/>
    <w:rsid w:val="00991E95"/>
    <w:rsid w:val="00992239"/>
    <w:rsid w:val="00992286"/>
    <w:rsid w:val="00992428"/>
    <w:rsid w:val="0099311C"/>
    <w:rsid w:val="009933BA"/>
    <w:rsid w:val="0099413F"/>
    <w:rsid w:val="009945D5"/>
    <w:rsid w:val="009946D2"/>
    <w:rsid w:val="00994A51"/>
    <w:rsid w:val="00994A8C"/>
    <w:rsid w:val="0099570D"/>
    <w:rsid w:val="009962FE"/>
    <w:rsid w:val="009963D3"/>
    <w:rsid w:val="0099640D"/>
    <w:rsid w:val="009964BB"/>
    <w:rsid w:val="009969D1"/>
    <w:rsid w:val="00996E8C"/>
    <w:rsid w:val="00997C59"/>
    <w:rsid w:val="00997E1D"/>
    <w:rsid w:val="009A06A5"/>
    <w:rsid w:val="009A080A"/>
    <w:rsid w:val="009A0F57"/>
    <w:rsid w:val="009A15E5"/>
    <w:rsid w:val="009A1EDD"/>
    <w:rsid w:val="009A27CA"/>
    <w:rsid w:val="009A47EE"/>
    <w:rsid w:val="009A4A67"/>
    <w:rsid w:val="009A4CFA"/>
    <w:rsid w:val="009A4E90"/>
    <w:rsid w:val="009A5292"/>
    <w:rsid w:val="009A5726"/>
    <w:rsid w:val="009A5B37"/>
    <w:rsid w:val="009A63FE"/>
    <w:rsid w:val="009A72BE"/>
    <w:rsid w:val="009A74C4"/>
    <w:rsid w:val="009A77AF"/>
    <w:rsid w:val="009A79AE"/>
    <w:rsid w:val="009B02BC"/>
    <w:rsid w:val="009B0349"/>
    <w:rsid w:val="009B03E3"/>
    <w:rsid w:val="009B0965"/>
    <w:rsid w:val="009B0BDC"/>
    <w:rsid w:val="009B2059"/>
    <w:rsid w:val="009B2552"/>
    <w:rsid w:val="009B2875"/>
    <w:rsid w:val="009B2ADB"/>
    <w:rsid w:val="009B2DE6"/>
    <w:rsid w:val="009B36A0"/>
    <w:rsid w:val="009B39CE"/>
    <w:rsid w:val="009B3DFA"/>
    <w:rsid w:val="009B59DC"/>
    <w:rsid w:val="009B64FE"/>
    <w:rsid w:val="009B6B48"/>
    <w:rsid w:val="009B714B"/>
    <w:rsid w:val="009B735D"/>
    <w:rsid w:val="009B7539"/>
    <w:rsid w:val="009C05F8"/>
    <w:rsid w:val="009C1945"/>
    <w:rsid w:val="009C33E5"/>
    <w:rsid w:val="009C4893"/>
    <w:rsid w:val="009C4D5E"/>
    <w:rsid w:val="009C51C3"/>
    <w:rsid w:val="009C6DDF"/>
    <w:rsid w:val="009C6E93"/>
    <w:rsid w:val="009C72BB"/>
    <w:rsid w:val="009C763B"/>
    <w:rsid w:val="009C7C47"/>
    <w:rsid w:val="009D0139"/>
    <w:rsid w:val="009D01A7"/>
    <w:rsid w:val="009D01C1"/>
    <w:rsid w:val="009D075A"/>
    <w:rsid w:val="009D0973"/>
    <w:rsid w:val="009D1ACF"/>
    <w:rsid w:val="009D31F8"/>
    <w:rsid w:val="009D3D1D"/>
    <w:rsid w:val="009D560F"/>
    <w:rsid w:val="009D57B4"/>
    <w:rsid w:val="009D6E78"/>
    <w:rsid w:val="009D717D"/>
    <w:rsid w:val="009D7E0E"/>
    <w:rsid w:val="009E02FF"/>
    <w:rsid w:val="009E098E"/>
    <w:rsid w:val="009E0E00"/>
    <w:rsid w:val="009E0E7F"/>
    <w:rsid w:val="009E1132"/>
    <w:rsid w:val="009E3295"/>
    <w:rsid w:val="009E3B12"/>
    <w:rsid w:val="009E3EC7"/>
    <w:rsid w:val="009E3F5A"/>
    <w:rsid w:val="009E43FD"/>
    <w:rsid w:val="009E4E5A"/>
    <w:rsid w:val="009E507F"/>
    <w:rsid w:val="009E55B0"/>
    <w:rsid w:val="009E5739"/>
    <w:rsid w:val="009E5DE3"/>
    <w:rsid w:val="009E5E1A"/>
    <w:rsid w:val="009E6DD7"/>
    <w:rsid w:val="009E71A7"/>
    <w:rsid w:val="009E7782"/>
    <w:rsid w:val="009F074C"/>
    <w:rsid w:val="009F1028"/>
    <w:rsid w:val="009F1620"/>
    <w:rsid w:val="009F19B4"/>
    <w:rsid w:val="009F24B1"/>
    <w:rsid w:val="009F477E"/>
    <w:rsid w:val="009F47A4"/>
    <w:rsid w:val="009F5BBC"/>
    <w:rsid w:val="009F5CDC"/>
    <w:rsid w:val="009F61B6"/>
    <w:rsid w:val="009F6648"/>
    <w:rsid w:val="009F66D8"/>
    <w:rsid w:val="009F7D4A"/>
    <w:rsid w:val="00A00177"/>
    <w:rsid w:val="00A0017D"/>
    <w:rsid w:val="00A008BF"/>
    <w:rsid w:val="00A009EC"/>
    <w:rsid w:val="00A01045"/>
    <w:rsid w:val="00A017AE"/>
    <w:rsid w:val="00A02DD4"/>
    <w:rsid w:val="00A03053"/>
    <w:rsid w:val="00A030B2"/>
    <w:rsid w:val="00A03BD6"/>
    <w:rsid w:val="00A05465"/>
    <w:rsid w:val="00A05AA8"/>
    <w:rsid w:val="00A06328"/>
    <w:rsid w:val="00A1017F"/>
    <w:rsid w:val="00A107DD"/>
    <w:rsid w:val="00A1086A"/>
    <w:rsid w:val="00A10A42"/>
    <w:rsid w:val="00A10E98"/>
    <w:rsid w:val="00A110CF"/>
    <w:rsid w:val="00A11141"/>
    <w:rsid w:val="00A11642"/>
    <w:rsid w:val="00A11E19"/>
    <w:rsid w:val="00A12A85"/>
    <w:rsid w:val="00A12F50"/>
    <w:rsid w:val="00A13329"/>
    <w:rsid w:val="00A13D11"/>
    <w:rsid w:val="00A1412C"/>
    <w:rsid w:val="00A1521C"/>
    <w:rsid w:val="00A162E4"/>
    <w:rsid w:val="00A16AF4"/>
    <w:rsid w:val="00A17106"/>
    <w:rsid w:val="00A17198"/>
    <w:rsid w:val="00A17FC3"/>
    <w:rsid w:val="00A202C9"/>
    <w:rsid w:val="00A20CC0"/>
    <w:rsid w:val="00A212A7"/>
    <w:rsid w:val="00A21E94"/>
    <w:rsid w:val="00A223BF"/>
    <w:rsid w:val="00A22537"/>
    <w:rsid w:val="00A2352B"/>
    <w:rsid w:val="00A23755"/>
    <w:rsid w:val="00A244AD"/>
    <w:rsid w:val="00A24EDF"/>
    <w:rsid w:val="00A25409"/>
    <w:rsid w:val="00A25518"/>
    <w:rsid w:val="00A2591D"/>
    <w:rsid w:val="00A2611E"/>
    <w:rsid w:val="00A2659B"/>
    <w:rsid w:val="00A268B5"/>
    <w:rsid w:val="00A26AD0"/>
    <w:rsid w:val="00A26FDC"/>
    <w:rsid w:val="00A2755A"/>
    <w:rsid w:val="00A27594"/>
    <w:rsid w:val="00A27B53"/>
    <w:rsid w:val="00A27FE1"/>
    <w:rsid w:val="00A3037D"/>
    <w:rsid w:val="00A30E29"/>
    <w:rsid w:val="00A3187F"/>
    <w:rsid w:val="00A3225B"/>
    <w:rsid w:val="00A329BB"/>
    <w:rsid w:val="00A32FEC"/>
    <w:rsid w:val="00A338B2"/>
    <w:rsid w:val="00A33C64"/>
    <w:rsid w:val="00A34757"/>
    <w:rsid w:val="00A365D9"/>
    <w:rsid w:val="00A3783B"/>
    <w:rsid w:val="00A37BE2"/>
    <w:rsid w:val="00A37CD4"/>
    <w:rsid w:val="00A40453"/>
    <w:rsid w:val="00A4116D"/>
    <w:rsid w:val="00A41456"/>
    <w:rsid w:val="00A41E49"/>
    <w:rsid w:val="00A4325B"/>
    <w:rsid w:val="00A43AA6"/>
    <w:rsid w:val="00A443C8"/>
    <w:rsid w:val="00A45B28"/>
    <w:rsid w:val="00A45B4D"/>
    <w:rsid w:val="00A465E3"/>
    <w:rsid w:val="00A47289"/>
    <w:rsid w:val="00A4758E"/>
    <w:rsid w:val="00A477DE"/>
    <w:rsid w:val="00A50049"/>
    <w:rsid w:val="00A50094"/>
    <w:rsid w:val="00A50433"/>
    <w:rsid w:val="00A50741"/>
    <w:rsid w:val="00A51096"/>
    <w:rsid w:val="00A5148E"/>
    <w:rsid w:val="00A51C64"/>
    <w:rsid w:val="00A5232A"/>
    <w:rsid w:val="00A5288B"/>
    <w:rsid w:val="00A5381A"/>
    <w:rsid w:val="00A538E8"/>
    <w:rsid w:val="00A5467B"/>
    <w:rsid w:val="00A55115"/>
    <w:rsid w:val="00A55400"/>
    <w:rsid w:val="00A554AA"/>
    <w:rsid w:val="00A55D6C"/>
    <w:rsid w:val="00A56117"/>
    <w:rsid w:val="00A57078"/>
    <w:rsid w:val="00A5783D"/>
    <w:rsid w:val="00A60404"/>
    <w:rsid w:val="00A608C0"/>
    <w:rsid w:val="00A609D5"/>
    <w:rsid w:val="00A60C2E"/>
    <w:rsid w:val="00A61380"/>
    <w:rsid w:val="00A614A8"/>
    <w:rsid w:val="00A61588"/>
    <w:rsid w:val="00A625BC"/>
    <w:rsid w:val="00A627E3"/>
    <w:rsid w:val="00A628E0"/>
    <w:rsid w:val="00A62AD9"/>
    <w:rsid w:val="00A631ED"/>
    <w:rsid w:val="00A6364E"/>
    <w:rsid w:val="00A6388E"/>
    <w:rsid w:val="00A65748"/>
    <w:rsid w:val="00A65AEA"/>
    <w:rsid w:val="00A65EDC"/>
    <w:rsid w:val="00A65F6E"/>
    <w:rsid w:val="00A661B2"/>
    <w:rsid w:val="00A66E5C"/>
    <w:rsid w:val="00A672F6"/>
    <w:rsid w:val="00A672FA"/>
    <w:rsid w:val="00A67D57"/>
    <w:rsid w:val="00A67F29"/>
    <w:rsid w:val="00A701CF"/>
    <w:rsid w:val="00A70924"/>
    <w:rsid w:val="00A71338"/>
    <w:rsid w:val="00A71A4C"/>
    <w:rsid w:val="00A72273"/>
    <w:rsid w:val="00A7242A"/>
    <w:rsid w:val="00A7398E"/>
    <w:rsid w:val="00A73E54"/>
    <w:rsid w:val="00A7467E"/>
    <w:rsid w:val="00A7494B"/>
    <w:rsid w:val="00A74AA4"/>
    <w:rsid w:val="00A7561E"/>
    <w:rsid w:val="00A76018"/>
    <w:rsid w:val="00A7641A"/>
    <w:rsid w:val="00A764F4"/>
    <w:rsid w:val="00A775CF"/>
    <w:rsid w:val="00A81001"/>
    <w:rsid w:val="00A82E47"/>
    <w:rsid w:val="00A84A53"/>
    <w:rsid w:val="00A84DDC"/>
    <w:rsid w:val="00A853E0"/>
    <w:rsid w:val="00A85563"/>
    <w:rsid w:val="00A86112"/>
    <w:rsid w:val="00A86FC1"/>
    <w:rsid w:val="00A87EA5"/>
    <w:rsid w:val="00A930E7"/>
    <w:rsid w:val="00A939D8"/>
    <w:rsid w:val="00A9455C"/>
    <w:rsid w:val="00A945CF"/>
    <w:rsid w:val="00A95091"/>
    <w:rsid w:val="00A95150"/>
    <w:rsid w:val="00A96BEE"/>
    <w:rsid w:val="00AA0D0E"/>
    <w:rsid w:val="00AA0E23"/>
    <w:rsid w:val="00AA15E9"/>
    <w:rsid w:val="00AA2171"/>
    <w:rsid w:val="00AA2398"/>
    <w:rsid w:val="00AA2606"/>
    <w:rsid w:val="00AA28D7"/>
    <w:rsid w:val="00AA3C36"/>
    <w:rsid w:val="00AA5030"/>
    <w:rsid w:val="00AA5358"/>
    <w:rsid w:val="00AA5B12"/>
    <w:rsid w:val="00AA5CD7"/>
    <w:rsid w:val="00AA6439"/>
    <w:rsid w:val="00AA7473"/>
    <w:rsid w:val="00AA7796"/>
    <w:rsid w:val="00AA78E0"/>
    <w:rsid w:val="00AB0A56"/>
    <w:rsid w:val="00AB1462"/>
    <w:rsid w:val="00AB16E8"/>
    <w:rsid w:val="00AB18EF"/>
    <w:rsid w:val="00AB2525"/>
    <w:rsid w:val="00AB27FD"/>
    <w:rsid w:val="00AB32CB"/>
    <w:rsid w:val="00AB3931"/>
    <w:rsid w:val="00AB418A"/>
    <w:rsid w:val="00AB42FE"/>
    <w:rsid w:val="00AB4AEB"/>
    <w:rsid w:val="00AB4B2B"/>
    <w:rsid w:val="00AB5019"/>
    <w:rsid w:val="00AB50E7"/>
    <w:rsid w:val="00AB62C5"/>
    <w:rsid w:val="00AB6A1C"/>
    <w:rsid w:val="00AB7575"/>
    <w:rsid w:val="00AB76C4"/>
    <w:rsid w:val="00AB7B53"/>
    <w:rsid w:val="00AC03C5"/>
    <w:rsid w:val="00AC0B3E"/>
    <w:rsid w:val="00AC18FA"/>
    <w:rsid w:val="00AC1BC7"/>
    <w:rsid w:val="00AC2366"/>
    <w:rsid w:val="00AC31D2"/>
    <w:rsid w:val="00AC3A4E"/>
    <w:rsid w:val="00AC3D1C"/>
    <w:rsid w:val="00AC5960"/>
    <w:rsid w:val="00AC69F8"/>
    <w:rsid w:val="00AC6DE7"/>
    <w:rsid w:val="00AC7479"/>
    <w:rsid w:val="00AC76A6"/>
    <w:rsid w:val="00AD1230"/>
    <w:rsid w:val="00AD183A"/>
    <w:rsid w:val="00AD18AE"/>
    <w:rsid w:val="00AD2D3B"/>
    <w:rsid w:val="00AD3257"/>
    <w:rsid w:val="00AD45C5"/>
    <w:rsid w:val="00AD45D4"/>
    <w:rsid w:val="00AD4B39"/>
    <w:rsid w:val="00AD5289"/>
    <w:rsid w:val="00AD5686"/>
    <w:rsid w:val="00AD5A4D"/>
    <w:rsid w:val="00AD6359"/>
    <w:rsid w:val="00AE00BB"/>
    <w:rsid w:val="00AE2197"/>
    <w:rsid w:val="00AE2E46"/>
    <w:rsid w:val="00AE3174"/>
    <w:rsid w:val="00AE331F"/>
    <w:rsid w:val="00AE348B"/>
    <w:rsid w:val="00AE39E2"/>
    <w:rsid w:val="00AE3AD5"/>
    <w:rsid w:val="00AE4044"/>
    <w:rsid w:val="00AE40BB"/>
    <w:rsid w:val="00AE5DB8"/>
    <w:rsid w:val="00AE6FCA"/>
    <w:rsid w:val="00AE7267"/>
    <w:rsid w:val="00AE773F"/>
    <w:rsid w:val="00AF0AC2"/>
    <w:rsid w:val="00AF0BD8"/>
    <w:rsid w:val="00AF10CE"/>
    <w:rsid w:val="00AF12E4"/>
    <w:rsid w:val="00AF1EAE"/>
    <w:rsid w:val="00AF2270"/>
    <w:rsid w:val="00AF25D7"/>
    <w:rsid w:val="00AF2A5A"/>
    <w:rsid w:val="00AF2DC7"/>
    <w:rsid w:val="00AF3355"/>
    <w:rsid w:val="00AF48D7"/>
    <w:rsid w:val="00AF51CF"/>
    <w:rsid w:val="00AF56E9"/>
    <w:rsid w:val="00AF582A"/>
    <w:rsid w:val="00AF5B1A"/>
    <w:rsid w:val="00AF5E09"/>
    <w:rsid w:val="00AF6A5D"/>
    <w:rsid w:val="00AF7423"/>
    <w:rsid w:val="00AF7BD9"/>
    <w:rsid w:val="00B00465"/>
    <w:rsid w:val="00B006D4"/>
    <w:rsid w:val="00B00C3E"/>
    <w:rsid w:val="00B02975"/>
    <w:rsid w:val="00B02D8F"/>
    <w:rsid w:val="00B03BFF"/>
    <w:rsid w:val="00B03E01"/>
    <w:rsid w:val="00B0461C"/>
    <w:rsid w:val="00B046C7"/>
    <w:rsid w:val="00B04774"/>
    <w:rsid w:val="00B06045"/>
    <w:rsid w:val="00B0640A"/>
    <w:rsid w:val="00B06798"/>
    <w:rsid w:val="00B06E7E"/>
    <w:rsid w:val="00B0769D"/>
    <w:rsid w:val="00B106F7"/>
    <w:rsid w:val="00B10D26"/>
    <w:rsid w:val="00B11035"/>
    <w:rsid w:val="00B111B6"/>
    <w:rsid w:val="00B11E37"/>
    <w:rsid w:val="00B12484"/>
    <w:rsid w:val="00B12C3E"/>
    <w:rsid w:val="00B12D6B"/>
    <w:rsid w:val="00B132E3"/>
    <w:rsid w:val="00B13DB3"/>
    <w:rsid w:val="00B14484"/>
    <w:rsid w:val="00B14F5E"/>
    <w:rsid w:val="00B14FE1"/>
    <w:rsid w:val="00B163F3"/>
    <w:rsid w:val="00B16F2D"/>
    <w:rsid w:val="00B171BC"/>
    <w:rsid w:val="00B17445"/>
    <w:rsid w:val="00B1751A"/>
    <w:rsid w:val="00B1780C"/>
    <w:rsid w:val="00B17D55"/>
    <w:rsid w:val="00B20091"/>
    <w:rsid w:val="00B20B23"/>
    <w:rsid w:val="00B21198"/>
    <w:rsid w:val="00B21688"/>
    <w:rsid w:val="00B22005"/>
    <w:rsid w:val="00B222E6"/>
    <w:rsid w:val="00B22682"/>
    <w:rsid w:val="00B23549"/>
    <w:rsid w:val="00B23661"/>
    <w:rsid w:val="00B23CA1"/>
    <w:rsid w:val="00B2478E"/>
    <w:rsid w:val="00B24C18"/>
    <w:rsid w:val="00B2521D"/>
    <w:rsid w:val="00B2562C"/>
    <w:rsid w:val="00B26227"/>
    <w:rsid w:val="00B26663"/>
    <w:rsid w:val="00B26F53"/>
    <w:rsid w:val="00B27935"/>
    <w:rsid w:val="00B27DBA"/>
    <w:rsid w:val="00B303C2"/>
    <w:rsid w:val="00B31417"/>
    <w:rsid w:val="00B31829"/>
    <w:rsid w:val="00B322BE"/>
    <w:rsid w:val="00B327E8"/>
    <w:rsid w:val="00B3353D"/>
    <w:rsid w:val="00B3383C"/>
    <w:rsid w:val="00B33DB0"/>
    <w:rsid w:val="00B34CFD"/>
    <w:rsid w:val="00B35487"/>
    <w:rsid w:val="00B35B51"/>
    <w:rsid w:val="00B36D02"/>
    <w:rsid w:val="00B37F08"/>
    <w:rsid w:val="00B37F48"/>
    <w:rsid w:val="00B40055"/>
    <w:rsid w:val="00B40360"/>
    <w:rsid w:val="00B4127A"/>
    <w:rsid w:val="00B41413"/>
    <w:rsid w:val="00B41752"/>
    <w:rsid w:val="00B42848"/>
    <w:rsid w:val="00B4296A"/>
    <w:rsid w:val="00B43727"/>
    <w:rsid w:val="00B43D10"/>
    <w:rsid w:val="00B43DCB"/>
    <w:rsid w:val="00B44F57"/>
    <w:rsid w:val="00B4536D"/>
    <w:rsid w:val="00B45D3E"/>
    <w:rsid w:val="00B461C7"/>
    <w:rsid w:val="00B4637B"/>
    <w:rsid w:val="00B4648E"/>
    <w:rsid w:val="00B47293"/>
    <w:rsid w:val="00B479DA"/>
    <w:rsid w:val="00B50329"/>
    <w:rsid w:val="00B5045C"/>
    <w:rsid w:val="00B50B73"/>
    <w:rsid w:val="00B51285"/>
    <w:rsid w:val="00B517C1"/>
    <w:rsid w:val="00B525DA"/>
    <w:rsid w:val="00B52EF4"/>
    <w:rsid w:val="00B52FCD"/>
    <w:rsid w:val="00B54749"/>
    <w:rsid w:val="00B54907"/>
    <w:rsid w:val="00B549D6"/>
    <w:rsid w:val="00B57029"/>
    <w:rsid w:val="00B57623"/>
    <w:rsid w:val="00B603F8"/>
    <w:rsid w:val="00B6075E"/>
    <w:rsid w:val="00B617E1"/>
    <w:rsid w:val="00B6249A"/>
    <w:rsid w:val="00B62860"/>
    <w:rsid w:val="00B62B42"/>
    <w:rsid w:val="00B62CED"/>
    <w:rsid w:val="00B6329B"/>
    <w:rsid w:val="00B6374F"/>
    <w:rsid w:val="00B64252"/>
    <w:rsid w:val="00B6432D"/>
    <w:rsid w:val="00B649F0"/>
    <w:rsid w:val="00B64CC3"/>
    <w:rsid w:val="00B65674"/>
    <w:rsid w:val="00B656A9"/>
    <w:rsid w:val="00B66233"/>
    <w:rsid w:val="00B66384"/>
    <w:rsid w:val="00B66417"/>
    <w:rsid w:val="00B6704C"/>
    <w:rsid w:val="00B672B1"/>
    <w:rsid w:val="00B675C3"/>
    <w:rsid w:val="00B67B60"/>
    <w:rsid w:val="00B70039"/>
    <w:rsid w:val="00B7068B"/>
    <w:rsid w:val="00B712F0"/>
    <w:rsid w:val="00B71C30"/>
    <w:rsid w:val="00B71E77"/>
    <w:rsid w:val="00B7228A"/>
    <w:rsid w:val="00B725BC"/>
    <w:rsid w:val="00B727AF"/>
    <w:rsid w:val="00B740E9"/>
    <w:rsid w:val="00B743A6"/>
    <w:rsid w:val="00B74B80"/>
    <w:rsid w:val="00B74C07"/>
    <w:rsid w:val="00B74D23"/>
    <w:rsid w:val="00B75354"/>
    <w:rsid w:val="00B7638C"/>
    <w:rsid w:val="00B76548"/>
    <w:rsid w:val="00B767B7"/>
    <w:rsid w:val="00B779A2"/>
    <w:rsid w:val="00B77E3B"/>
    <w:rsid w:val="00B803A8"/>
    <w:rsid w:val="00B80DB7"/>
    <w:rsid w:val="00B8175C"/>
    <w:rsid w:val="00B823DF"/>
    <w:rsid w:val="00B82873"/>
    <w:rsid w:val="00B83322"/>
    <w:rsid w:val="00B85F31"/>
    <w:rsid w:val="00B86CEA"/>
    <w:rsid w:val="00B86E90"/>
    <w:rsid w:val="00B87070"/>
    <w:rsid w:val="00B870CD"/>
    <w:rsid w:val="00B87521"/>
    <w:rsid w:val="00B87C98"/>
    <w:rsid w:val="00B87D90"/>
    <w:rsid w:val="00B9040F"/>
    <w:rsid w:val="00B909E9"/>
    <w:rsid w:val="00B91514"/>
    <w:rsid w:val="00B91BA0"/>
    <w:rsid w:val="00B91C0E"/>
    <w:rsid w:val="00B9326C"/>
    <w:rsid w:val="00B93319"/>
    <w:rsid w:val="00B93814"/>
    <w:rsid w:val="00B93F38"/>
    <w:rsid w:val="00B94362"/>
    <w:rsid w:val="00B94E52"/>
    <w:rsid w:val="00B95E89"/>
    <w:rsid w:val="00B96028"/>
    <w:rsid w:val="00B967B2"/>
    <w:rsid w:val="00B97B9D"/>
    <w:rsid w:val="00BA0041"/>
    <w:rsid w:val="00BA0217"/>
    <w:rsid w:val="00BA067A"/>
    <w:rsid w:val="00BA07A5"/>
    <w:rsid w:val="00BA0EEF"/>
    <w:rsid w:val="00BA103E"/>
    <w:rsid w:val="00BA1F34"/>
    <w:rsid w:val="00BA2B86"/>
    <w:rsid w:val="00BA361E"/>
    <w:rsid w:val="00BA36E8"/>
    <w:rsid w:val="00BA3B11"/>
    <w:rsid w:val="00BA3D40"/>
    <w:rsid w:val="00BA3EDD"/>
    <w:rsid w:val="00BA4ADA"/>
    <w:rsid w:val="00BA663A"/>
    <w:rsid w:val="00BA6B23"/>
    <w:rsid w:val="00BA781D"/>
    <w:rsid w:val="00BB0C4A"/>
    <w:rsid w:val="00BB1AAA"/>
    <w:rsid w:val="00BB1AB4"/>
    <w:rsid w:val="00BB2999"/>
    <w:rsid w:val="00BB2B6C"/>
    <w:rsid w:val="00BB2F0E"/>
    <w:rsid w:val="00BB5694"/>
    <w:rsid w:val="00BB5C58"/>
    <w:rsid w:val="00BB670F"/>
    <w:rsid w:val="00BB6B5F"/>
    <w:rsid w:val="00BB6F18"/>
    <w:rsid w:val="00BC016D"/>
    <w:rsid w:val="00BC0A59"/>
    <w:rsid w:val="00BC0DA5"/>
    <w:rsid w:val="00BC1C20"/>
    <w:rsid w:val="00BC1C98"/>
    <w:rsid w:val="00BC1CAC"/>
    <w:rsid w:val="00BC21F4"/>
    <w:rsid w:val="00BC2F64"/>
    <w:rsid w:val="00BC3206"/>
    <w:rsid w:val="00BC3B3F"/>
    <w:rsid w:val="00BC3C37"/>
    <w:rsid w:val="00BC42DB"/>
    <w:rsid w:val="00BC4CD3"/>
    <w:rsid w:val="00BC518E"/>
    <w:rsid w:val="00BC543E"/>
    <w:rsid w:val="00BC5496"/>
    <w:rsid w:val="00BC5EA8"/>
    <w:rsid w:val="00BC61C7"/>
    <w:rsid w:val="00BC6C05"/>
    <w:rsid w:val="00BC7229"/>
    <w:rsid w:val="00BC7668"/>
    <w:rsid w:val="00BD00FC"/>
    <w:rsid w:val="00BD017D"/>
    <w:rsid w:val="00BD01E3"/>
    <w:rsid w:val="00BD2F5E"/>
    <w:rsid w:val="00BD3589"/>
    <w:rsid w:val="00BD4103"/>
    <w:rsid w:val="00BD4174"/>
    <w:rsid w:val="00BD4CBE"/>
    <w:rsid w:val="00BD515A"/>
    <w:rsid w:val="00BD5967"/>
    <w:rsid w:val="00BD598D"/>
    <w:rsid w:val="00BD6179"/>
    <w:rsid w:val="00BD742F"/>
    <w:rsid w:val="00BD7627"/>
    <w:rsid w:val="00BE0672"/>
    <w:rsid w:val="00BE0887"/>
    <w:rsid w:val="00BE099A"/>
    <w:rsid w:val="00BE0B67"/>
    <w:rsid w:val="00BE1362"/>
    <w:rsid w:val="00BE232C"/>
    <w:rsid w:val="00BE39A8"/>
    <w:rsid w:val="00BE3A6B"/>
    <w:rsid w:val="00BE4071"/>
    <w:rsid w:val="00BE5E3D"/>
    <w:rsid w:val="00BE6386"/>
    <w:rsid w:val="00BE6777"/>
    <w:rsid w:val="00BE698A"/>
    <w:rsid w:val="00BF0FB5"/>
    <w:rsid w:val="00BF1162"/>
    <w:rsid w:val="00BF1E27"/>
    <w:rsid w:val="00BF2AC7"/>
    <w:rsid w:val="00BF3420"/>
    <w:rsid w:val="00BF3A0A"/>
    <w:rsid w:val="00BF4A58"/>
    <w:rsid w:val="00BF50BC"/>
    <w:rsid w:val="00BF5E61"/>
    <w:rsid w:val="00BF7407"/>
    <w:rsid w:val="00BF77BC"/>
    <w:rsid w:val="00C00751"/>
    <w:rsid w:val="00C00974"/>
    <w:rsid w:val="00C00E5D"/>
    <w:rsid w:val="00C016B1"/>
    <w:rsid w:val="00C016C5"/>
    <w:rsid w:val="00C01AF7"/>
    <w:rsid w:val="00C0229D"/>
    <w:rsid w:val="00C023C7"/>
    <w:rsid w:val="00C03015"/>
    <w:rsid w:val="00C0358D"/>
    <w:rsid w:val="00C03764"/>
    <w:rsid w:val="00C03E78"/>
    <w:rsid w:val="00C040F7"/>
    <w:rsid w:val="00C053B7"/>
    <w:rsid w:val="00C05688"/>
    <w:rsid w:val="00C05789"/>
    <w:rsid w:val="00C05882"/>
    <w:rsid w:val="00C063B1"/>
    <w:rsid w:val="00C067B4"/>
    <w:rsid w:val="00C06D13"/>
    <w:rsid w:val="00C06F2D"/>
    <w:rsid w:val="00C072E3"/>
    <w:rsid w:val="00C074E6"/>
    <w:rsid w:val="00C075D4"/>
    <w:rsid w:val="00C077F8"/>
    <w:rsid w:val="00C102EF"/>
    <w:rsid w:val="00C10ECC"/>
    <w:rsid w:val="00C10EE9"/>
    <w:rsid w:val="00C11305"/>
    <w:rsid w:val="00C120D5"/>
    <w:rsid w:val="00C12151"/>
    <w:rsid w:val="00C12676"/>
    <w:rsid w:val="00C130B4"/>
    <w:rsid w:val="00C13440"/>
    <w:rsid w:val="00C13712"/>
    <w:rsid w:val="00C13731"/>
    <w:rsid w:val="00C138A3"/>
    <w:rsid w:val="00C13B90"/>
    <w:rsid w:val="00C15C07"/>
    <w:rsid w:val="00C15C75"/>
    <w:rsid w:val="00C15DAB"/>
    <w:rsid w:val="00C1683D"/>
    <w:rsid w:val="00C16A5D"/>
    <w:rsid w:val="00C17448"/>
    <w:rsid w:val="00C17EC2"/>
    <w:rsid w:val="00C20058"/>
    <w:rsid w:val="00C22070"/>
    <w:rsid w:val="00C2207B"/>
    <w:rsid w:val="00C22716"/>
    <w:rsid w:val="00C22F0C"/>
    <w:rsid w:val="00C22F7F"/>
    <w:rsid w:val="00C231C0"/>
    <w:rsid w:val="00C2352A"/>
    <w:rsid w:val="00C2614D"/>
    <w:rsid w:val="00C26D44"/>
    <w:rsid w:val="00C2765A"/>
    <w:rsid w:val="00C27A37"/>
    <w:rsid w:val="00C30992"/>
    <w:rsid w:val="00C30EB1"/>
    <w:rsid w:val="00C31723"/>
    <w:rsid w:val="00C322BC"/>
    <w:rsid w:val="00C32FC5"/>
    <w:rsid w:val="00C3405E"/>
    <w:rsid w:val="00C349A3"/>
    <w:rsid w:val="00C34FE6"/>
    <w:rsid w:val="00C35021"/>
    <w:rsid w:val="00C3506C"/>
    <w:rsid w:val="00C3517D"/>
    <w:rsid w:val="00C35A27"/>
    <w:rsid w:val="00C36861"/>
    <w:rsid w:val="00C36C7F"/>
    <w:rsid w:val="00C36DD1"/>
    <w:rsid w:val="00C36FBD"/>
    <w:rsid w:val="00C37082"/>
    <w:rsid w:val="00C37295"/>
    <w:rsid w:val="00C37E15"/>
    <w:rsid w:val="00C40101"/>
    <w:rsid w:val="00C40968"/>
    <w:rsid w:val="00C4135A"/>
    <w:rsid w:val="00C41BE6"/>
    <w:rsid w:val="00C42B4B"/>
    <w:rsid w:val="00C43A7B"/>
    <w:rsid w:val="00C43FDD"/>
    <w:rsid w:val="00C44270"/>
    <w:rsid w:val="00C442C7"/>
    <w:rsid w:val="00C447F3"/>
    <w:rsid w:val="00C4570D"/>
    <w:rsid w:val="00C4583A"/>
    <w:rsid w:val="00C4656D"/>
    <w:rsid w:val="00C4782D"/>
    <w:rsid w:val="00C47B2E"/>
    <w:rsid w:val="00C47BF9"/>
    <w:rsid w:val="00C50222"/>
    <w:rsid w:val="00C502EF"/>
    <w:rsid w:val="00C509B5"/>
    <w:rsid w:val="00C50A20"/>
    <w:rsid w:val="00C51974"/>
    <w:rsid w:val="00C51E36"/>
    <w:rsid w:val="00C51FA1"/>
    <w:rsid w:val="00C52113"/>
    <w:rsid w:val="00C528E6"/>
    <w:rsid w:val="00C53EF5"/>
    <w:rsid w:val="00C540B9"/>
    <w:rsid w:val="00C540CD"/>
    <w:rsid w:val="00C5585D"/>
    <w:rsid w:val="00C5683D"/>
    <w:rsid w:val="00C56ADF"/>
    <w:rsid w:val="00C60895"/>
    <w:rsid w:val="00C6151F"/>
    <w:rsid w:val="00C617BF"/>
    <w:rsid w:val="00C62435"/>
    <w:rsid w:val="00C63533"/>
    <w:rsid w:val="00C63C50"/>
    <w:rsid w:val="00C63D38"/>
    <w:rsid w:val="00C647C9"/>
    <w:rsid w:val="00C658DB"/>
    <w:rsid w:val="00C65E61"/>
    <w:rsid w:val="00C6647A"/>
    <w:rsid w:val="00C6787D"/>
    <w:rsid w:val="00C70FAF"/>
    <w:rsid w:val="00C711CB"/>
    <w:rsid w:val="00C71479"/>
    <w:rsid w:val="00C71EB2"/>
    <w:rsid w:val="00C72366"/>
    <w:rsid w:val="00C726F5"/>
    <w:rsid w:val="00C7295E"/>
    <w:rsid w:val="00C72A1C"/>
    <w:rsid w:val="00C72E11"/>
    <w:rsid w:val="00C744ED"/>
    <w:rsid w:val="00C7464E"/>
    <w:rsid w:val="00C74764"/>
    <w:rsid w:val="00C74766"/>
    <w:rsid w:val="00C748FB"/>
    <w:rsid w:val="00C750F4"/>
    <w:rsid w:val="00C75BB7"/>
    <w:rsid w:val="00C776B7"/>
    <w:rsid w:val="00C800D4"/>
    <w:rsid w:val="00C80718"/>
    <w:rsid w:val="00C807B9"/>
    <w:rsid w:val="00C80914"/>
    <w:rsid w:val="00C80A6A"/>
    <w:rsid w:val="00C80C3B"/>
    <w:rsid w:val="00C81340"/>
    <w:rsid w:val="00C81F1C"/>
    <w:rsid w:val="00C82519"/>
    <w:rsid w:val="00C82D46"/>
    <w:rsid w:val="00C82E38"/>
    <w:rsid w:val="00C83B8B"/>
    <w:rsid w:val="00C8467B"/>
    <w:rsid w:val="00C84805"/>
    <w:rsid w:val="00C8485A"/>
    <w:rsid w:val="00C85188"/>
    <w:rsid w:val="00C851BE"/>
    <w:rsid w:val="00C85713"/>
    <w:rsid w:val="00C858B0"/>
    <w:rsid w:val="00C85C0F"/>
    <w:rsid w:val="00C873DC"/>
    <w:rsid w:val="00C8779E"/>
    <w:rsid w:val="00C87B39"/>
    <w:rsid w:val="00C87D1B"/>
    <w:rsid w:val="00C902FA"/>
    <w:rsid w:val="00C903CD"/>
    <w:rsid w:val="00C9057B"/>
    <w:rsid w:val="00C9117B"/>
    <w:rsid w:val="00C91EAA"/>
    <w:rsid w:val="00C91F32"/>
    <w:rsid w:val="00C9455B"/>
    <w:rsid w:val="00C9490A"/>
    <w:rsid w:val="00C953A3"/>
    <w:rsid w:val="00C956D0"/>
    <w:rsid w:val="00C96488"/>
    <w:rsid w:val="00C96E1C"/>
    <w:rsid w:val="00CA0373"/>
    <w:rsid w:val="00CA0561"/>
    <w:rsid w:val="00CA1709"/>
    <w:rsid w:val="00CA1B04"/>
    <w:rsid w:val="00CA1BAC"/>
    <w:rsid w:val="00CA1DDC"/>
    <w:rsid w:val="00CA2473"/>
    <w:rsid w:val="00CA320C"/>
    <w:rsid w:val="00CA3988"/>
    <w:rsid w:val="00CA3E50"/>
    <w:rsid w:val="00CA4683"/>
    <w:rsid w:val="00CA4EBA"/>
    <w:rsid w:val="00CA522F"/>
    <w:rsid w:val="00CA583C"/>
    <w:rsid w:val="00CA6271"/>
    <w:rsid w:val="00CA690B"/>
    <w:rsid w:val="00CA6F8F"/>
    <w:rsid w:val="00CA7905"/>
    <w:rsid w:val="00CA7DA1"/>
    <w:rsid w:val="00CB0D8D"/>
    <w:rsid w:val="00CB11BB"/>
    <w:rsid w:val="00CB22DB"/>
    <w:rsid w:val="00CB2F7A"/>
    <w:rsid w:val="00CB30FB"/>
    <w:rsid w:val="00CB3706"/>
    <w:rsid w:val="00CB5066"/>
    <w:rsid w:val="00CB54B8"/>
    <w:rsid w:val="00CB57EC"/>
    <w:rsid w:val="00CB58D8"/>
    <w:rsid w:val="00CB5B63"/>
    <w:rsid w:val="00CB5FC9"/>
    <w:rsid w:val="00CB7019"/>
    <w:rsid w:val="00CB72BE"/>
    <w:rsid w:val="00CC0196"/>
    <w:rsid w:val="00CC07BB"/>
    <w:rsid w:val="00CC084F"/>
    <w:rsid w:val="00CC0ABE"/>
    <w:rsid w:val="00CC1235"/>
    <w:rsid w:val="00CC18B0"/>
    <w:rsid w:val="00CC1EF3"/>
    <w:rsid w:val="00CC2195"/>
    <w:rsid w:val="00CC22A4"/>
    <w:rsid w:val="00CC2E2E"/>
    <w:rsid w:val="00CC34F2"/>
    <w:rsid w:val="00CC4618"/>
    <w:rsid w:val="00CC4920"/>
    <w:rsid w:val="00CC4DA7"/>
    <w:rsid w:val="00CC4FAC"/>
    <w:rsid w:val="00CC55BA"/>
    <w:rsid w:val="00CC55F8"/>
    <w:rsid w:val="00CC5B7F"/>
    <w:rsid w:val="00CC6094"/>
    <w:rsid w:val="00CC688D"/>
    <w:rsid w:val="00CC78CB"/>
    <w:rsid w:val="00CC78D1"/>
    <w:rsid w:val="00CC7D49"/>
    <w:rsid w:val="00CD00AE"/>
    <w:rsid w:val="00CD0417"/>
    <w:rsid w:val="00CD04BF"/>
    <w:rsid w:val="00CD089C"/>
    <w:rsid w:val="00CD148B"/>
    <w:rsid w:val="00CD1B96"/>
    <w:rsid w:val="00CD20FC"/>
    <w:rsid w:val="00CD2A76"/>
    <w:rsid w:val="00CD2B56"/>
    <w:rsid w:val="00CD2C49"/>
    <w:rsid w:val="00CD2D87"/>
    <w:rsid w:val="00CD3EDA"/>
    <w:rsid w:val="00CD3F27"/>
    <w:rsid w:val="00CD4405"/>
    <w:rsid w:val="00CD502C"/>
    <w:rsid w:val="00CD54E9"/>
    <w:rsid w:val="00CD5CD5"/>
    <w:rsid w:val="00CD6079"/>
    <w:rsid w:val="00CD6711"/>
    <w:rsid w:val="00CE0154"/>
    <w:rsid w:val="00CE06D4"/>
    <w:rsid w:val="00CE0867"/>
    <w:rsid w:val="00CE2101"/>
    <w:rsid w:val="00CE2260"/>
    <w:rsid w:val="00CE28A8"/>
    <w:rsid w:val="00CE2A15"/>
    <w:rsid w:val="00CE3036"/>
    <w:rsid w:val="00CE3A26"/>
    <w:rsid w:val="00CE431A"/>
    <w:rsid w:val="00CE4655"/>
    <w:rsid w:val="00CE4F84"/>
    <w:rsid w:val="00CE538B"/>
    <w:rsid w:val="00CE6027"/>
    <w:rsid w:val="00CE67CE"/>
    <w:rsid w:val="00CE6D33"/>
    <w:rsid w:val="00CE7007"/>
    <w:rsid w:val="00CE76E4"/>
    <w:rsid w:val="00CE7FED"/>
    <w:rsid w:val="00CF12A3"/>
    <w:rsid w:val="00CF147F"/>
    <w:rsid w:val="00CF1FD9"/>
    <w:rsid w:val="00CF21CE"/>
    <w:rsid w:val="00CF320A"/>
    <w:rsid w:val="00CF32A2"/>
    <w:rsid w:val="00CF361B"/>
    <w:rsid w:val="00CF4063"/>
    <w:rsid w:val="00CF4766"/>
    <w:rsid w:val="00CF4D7B"/>
    <w:rsid w:val="00CF4E72"/>
    <w:rsid w:val="00CF543C"/>
    <w:rsid w:val="00CF561F"/>
    <w:rsid w:val="00CF5C10"/>
    <w:rsid w:val="00CF5D73"/>
    <w:rsid w:val="00CF5DB1"/>
    <w:rsid w:val="00CF65E8"/>
    <w:rsid w:val="00CF6C8B"/>
    <w:rsid w:val="00CF71A1"/>
    <w:rsid w:val="00CF7984"/>
    <w:rsid w:val="00D005D1"/>
    <w:rsid w:val="00D0062B"/>
    <w:rsid w:val="00D00873"/>
    <w:rsid w:val="00D00F83"/>
    <w:rsid w:val="00D012CB"/>
    <w:rsid w:val="00D020E8"/>
    <w:rsid w:val="00D02270"/>
    <w:rsid w:val="00D036FA"/>
    <w:rsid w:val="00D04BE1"/>
    <w:rsid w:val="00D04FCA"/>
    <w:rsid w:val="00D0558B"/>
    <w:rsid w:val="00D06117"/>
    <w:rsid w:val="00D064BC"/>
    <w:rsid w:val="00D06F5D"/>
    <w:rsid w:val="00D10303"/>
    <w:rsid w:val="00D1035A"/>
    <w:rsid w:val="00D10D83"/>
    <w:rsid w:val="00D10F15"/>
    <w:rsid w:val="00D11D91"/>
    <w:rsid w:val="00D121A7"/>
    <w:rsid w:val="00D12B57"/>
    <w:rsid w:val="00D12E03"/>
    <w:rsid w:val="00D13856"/>
    <w:rsid w:val="00D13D36"/>
    <w:rsid w:val="00D15530"/>
    <w:rsid w:val="00D15732"/>
    <w:rsid w:val="00D16252"/>
    <w:rsid w:val="00D16718"/>
    <w:rsid w:val="00D16E35"/>
    <w:rsid w:val="00D17DCE"/>
    <w:rsid w:val="00D2026D"/>
    <w:rsid w:val="00D2056A"/>
    <w:rsid w:val="00D2069D"/>
    <w:rsid w:val="00D20FA0"/>
    <w:rsid w:val="00D218BD"/>
    <w:rsid w:val="00D22042"/>
    <w:rsid w:val="00D22E0F"/>
    <w:rsid w:val="00D244DC"/>
    <w:rsid w:val="00D247DE"/>
    <w:rsid w:val="00D249F6"/>
    <w:rsid w:val="00D24BCC"/>
    <w:rsid w:val="00D24F8C"/>
    <w:rsid w:val="00D255E4"/>
    <w:rsid w:val="00D2598E"/>
    <w:rsid w:val="00D261C1"/>
    <w:rsid w:val="00D26649"/>
    <w:rsid w:val="00D26C6E"/>
    <w:rsid w:val="00D26D2C"/>
    <w:rsid w:val="00D2762B"/>
    <w:rsid w:val="00D276D2"/>
    <w:rsid w:val="00D279A0"/>
    <w:rsid w:val="00D27C4D"/>
    <w:rsid w:val="00D304D9"/>
    <w:rsid w:val="00D30A3A"/>
    <w:rsid w:val="00D311C3"/>
    <w:rsid w:val="00D31B0A"/>
    <w:rsid w:val="00D320A5"/>
    <w:rsid w:val="00D321A0"/>
    <w:rsid w:val="00D32A4E"/>
    <w:rsid w:val="00D33199"/>
    <w:rsid w:val="00D33767"/>
    <w:rsid w:val="00D3490E"/>
    <w:rsid w:val="00D35233"/>
    <w:rsid w:val="00D36154"/>
    <w:rsid w:val="00D3685A"/>
    <w:rsid w:val="00D374AE"/>
    <w:rsid w:val="00D375B3"/>
    <w:rsid w:val="00D3795D"/>
    <w:rsid w:val="00D41277"/>
    <w:rsid w:val="00D41EE9"/>
    <w:rsid w:val="00D437F5"/>
    <w:rsid w:val="00D4489F"/>
    <w:rsid w:val="00D45034"/>
    <w:rsid w:val="00D45453"/>
    <w:rsid w:val="00D46231"/>
    <w:rsid w:val="00D465F5"/>
    <w:rsid w:val="00D4661A"/>
    <w:rsid w:val="00D47E56"/>
    <w:rsid w:val="00D5010A"/>
    <w:rsid w:val="00D5092C"/>
    <w:rsid w:val="00D51062"/>
    <w:rsid w:val="00D52904"/>
    <w:rsid w:val="00D53356"/>
    <w:rsid w:val="00D5390C"/>
    <w:rsid w:val="00D53F6B"/>
    <w:rsid w:val="00D55035"/>
    <w:rsid w:val="00D5560E"/>
    <w:rsid w:val="00D55FF3"/>
    <w:rsid w:val="00D56744"/>
    <w:rsid w:val="00D56A9E"/>
    <w:rsid w:val="00D56C3E"/>
    <w:rsid w:val="00D572AB"/>
    <w:rsid w:val="00D57567"/>
    <w:rsid w:val="00D57B8E"/>
    <w:rsid w:val="00D57C90"/>
    <w:rsid w:val="00D6053E"/>
    <w:rsid w:val="00D608B8"/>
    <w:rsid w:val="00D60C27"/>
    <w:rsid w:val="00D61225"/>
    <w:rsid w:val="00D61285"/>
    <w:rsid w:val="00D621D2"/>
    <w:rsid w:val="00D63170"/>
    <w:rsid w:val="00D63E9F"/>
    <w:rsid w:val="00D64A69"/>
    <w:rsid w:val="00D64DF0"/>
    <w:rsid w:val="00D653D9"/>
    <w:rsid w:val="00D65C31"/>
    <w:rsid w:val="00D65D8A"/>
    <w:rsid w:val="00D661C9"/>
    <w:rsid w:val="00D66679"/>
    <w:rsid w:val="00D66A29"/>
    <w:rsid w:val="00D671C5"/>
    <w:rsid w:val="00D6729E"/>
    <w:rsid w:val="00D6786D"/>
    <w:rsid w:val="00D71154"/>
    <w:rsid w:val="00D717ED"/>
    <w:rsid w:val="00D734E4"/>
    <w:rsid w:val="00D74545"/>
    <w:rsid w:val="00D74B09"/>
    <w:rsid w:val="00D74E63"/>
    <w:rsid w:val="00D75157"/>
    <w:rsid w:val="00D766DA"/>
    <w:rsid w:val="00D76A6F"/>
    <w:rsid w:val="00D76D39"/>
    <w:rsid w:val="00D77568"/>
    <w:rsid w:val="00D7779A"/>
    <w:rsid w:val="00D77818"/>
    <w:rsid w:val="00D77B9D"/>
    <w:rsid w:val="00D80C1D"/>
    <w:rsid w:val="00D8161B"/>
    <w:rsid w:val="00D818FE"/>
    <w:rsid w:val="00D824EF"/>
    <w:rsid w:val="00D83781"/>
    <w:rsid w:val="00D83B2B"/>
    <w:rsid w:val="00D84132"/>
    <w:rsid w:val="00D84312"/>
    <w:rsid w:val="00D8530D"/>
    <w:rsid w:val="00D874E1"/>
    <w:rsid w:val="00D8759A"/>
    <w:rsid w:val="00D87A0C"/>
    <w:rsid w:val="00D87F71"/>
    <w:rsid w:val="00D900C4"/>
    <w:rsid w:val="00D9010E"/>
    <w:rsid w:val="00D91428"/>
    <w:rsid w:val="00D914E6"/>
    <w:rsid w:val="00D91862"/>
    <w:rsid w:val="00D92221"/>
    <w:rsid w:val="00D9440F"/>
    <w:rsid w:val="00D94B16"/>
    <w:rsid w:val="00D94B46"/>
    <w:rsid w:val="00D9513C"/>
    <w:rsid w:val="00D9543C"/>
    <w:rsid w:val="00D959C6"/>
    <w:rsid w:val="00D959E0"/>
    <w:rsid w:val="00D97857"/>
    <w:rsid w:val="00D97954"/>
    <w:rsid w:val="00D97CE2"/>
    <w:rsid w:val="00DA044F"/>
    <w:rsid w:val="00DA1247"/>
    <w:rsid w:val="00DA14B5"/>
    <w:rsid w:val="00DA1D34"/>
    <w:rsid w:val="00DA246A"/>
    <w:rsid w:val="00DA3236"/>
    <w:rsid w:val="00DA3C0E"/>
    <w:rsid w:val="00DA509A"/>
    <w:rsid w:val="00DB01DE"/>
    <w:rsid w:val="00DB054C"/>
    <w:rsid w:val="00DB0A06"/>
    <w:rsid w:val="00DB0DAA"/>
    <w:rsid w:val="00DB1361"/>
    <w:rsid w:val="00DB18D6"/>
    <w:rsid w:val="00DB1AA4"/>
    <w:rsid w:val="00DB1BFE"/>
    <w:rsid w:val="00DB2218"/>
    <w:rsid w:val="00DB24A0"/>
    <w:rsid w:val="00DB294E"/>
    <w:rsid w:val="00DB2E6F"/>
    <w:rsid w:val="00DB3718"/>
    <w:rsid w:val="00DB3AEC"/>
    <w:rsid w:val="00DB563D"/>
    <w:rsid w:val="00DB5C3B"/>
    <w:rsid w:val="00DB5E94"/>
    <w:rsid w:val="00DB69C1"/>
    <w:rsid w:val="00DC040F"/>
    <w:rsid w:val="00DC0599"/>
    <w:rsid w:val="00DC0FBC"/>
    <w:rsid w:val="00DC1374"/>
    <w:rsid w:val="00DC164F"/>
    <w:rsid w:val="00DC236D"/>
    <w:rsid w:val="00DC2970"/>
    <w:rsid w:val="00DC2C37"/>
    <w:rsid w:val="00DC36FC"/>
    <w:rsid w:val="00DC4D39"/>
    <w:rsid w:val="00DC5012"/>
    <w:rsid w:val="00DC6490"/>
    <w:rsid w:val="00DD049F"/>
    <w:rsid w:val="00DD0E87"/>
    <w:rsid w:val="00DD1857"/>
    <w:rsid w:val="00DD2871"/>
    <w:rsid w:val="00DD3A4B"/>
    <w:rsid w:val="00DD3AA9"/>
    <w:rsid w:val="00DD3D30"/>
    <w:rsid w:val="00DD4440"/>
    <w:rsid w:val="00DD4DBF"/>
    <w:rsid w:val="00DD59B7"/>
    <w:rsid w:val="00DD5BCF"/>
    <w:rsid w:val="00DD5D5C"/>
    <w:rsid w:val="00DD5F9B"/>
    <w:rsid w:val="00DD6126"/>
    <w:rsid w:val="00DD6CD2"/>
    <w:rsid w:val="00DD6EB4"/>
    <w:rsid w:val="00DD7D4D"/>
    <w:rsid w:val="00DE0133"/>
    <w:rsid w:val="00DE0C85"/>
    <w:rsid w:val="00DE2085"/>
    <w:rsid w:val="00DE20D6"/>
    <w:rsid w:val="00DE3292"/>
    <w:rsid w:val="00DE44AB"/>
    <w:rsid w:val="00DE45D6"/>
    <w:rsid w:val="00DE4E83"/>
    <w:rsid w:val="00DE4F6C"/>
    <w:rsid w:val="00DE50FD"/>
    <w:rsid w:val="00DE538F"/>
    <w:rsid w:val="00DE542C"/>
    <w:rsid w:val="00DE57BD"/>
    <w:rsid w:val="00DE6D5F"/>
    <w:rsid w:val="00DE7307"/>
    <w:rsid w:val="00DF130A"/>
    <w:rsid w:val="00DF2162"/>
    <w:rsid w:val="00DF2831"/>
    <w:rsid w:val="00DF2885"/>
    <w:rsid w:val="00DF3EE4"/>
    <w:rsid w:val="00DF483F"/>
    <w:rsid w:val="00DF4A79"/>
    <w:rsid w:val="00DF5A1D"/>
    <w:rsid w:val="00DF5DF6"/>
    <w:rsid w:val="00DF6293"/>
    <w:rsid w:val="00DF7190"/>
    <w:rsid w:val="00DF73B4"/>
    <w:rsid w:val="00DF757E"/>
    <w:rsid w:val="00E004CE"/>
    <w:rsid w:val="00E00565"/>
    <w:rsid w:val="00E0098F"/>
    <w:rsid w:val="00E010F4"/>
    <w:rsid w:val="00E0237C"/>
    <w:rsid w:val="00E027FD"/>
    <w:rsid w:val="00E02C2B"/>
    <w:rsid w:val="00E03861"/>
    <w:rsid w:val="00E059D2"/>
    <w:rsid w:val="00E05C98"/>
    <w:rsid w:val="00E063D4"/>
    <w:rsid w:val="00E07247"/>
    <w:rsid w:val="00E0789C"/>
    <w:rsid w:val="00E1030C"/>
    <w:rsid w:val="00E1102E"/>
    <w:rsid w:val="00E111B2"/>
    <w:rsid w:val="00E12288"/>
    <w:rsid w:val="00E123A4"/>
    <w:rsid w:val="00E13B12"/>
    <w:rsid w:val="00E13D67"/>
    <w:rsid w:val="00E14244"/>
    <w:rsid w:val="00E14778"/>
    <w:rsid w:val="00E14BB2"/>
    <w:rsid w:val="00E150A4"/>
    <w:rsid w:val="00E15C01"/>
    <w:rsid w:val="00E16074"/>
    <w:rsid w:val="00E160A6"/>
    <w:rsid w:val="00E16258"/>
    <w:rsid w:val="00E162DC"/>
    <w:rsid w:val="00E165B4"/>
    <w:rsid w:val="00E16EEE"/>
    <w:rsid w:val="00E1709B"/>
    <w:rsid w:val="00E1765B"/>
    <w:rsid w:val="00E17DAE"/>
    <w:rsid w:val="00E20C27"/>
    <w:rsid w:val="00E20CE3"/>
    <w:rsid w:val="00E21D1C"/>
    <w:rsid w:val="00E21E24"/>
    <w:rsid w:val="00E23888"/>
    <w:rsid w:val="00E242F9"/>
    <w:rsid w:val="00E24401"/>
    <w:rsid w:val="00E2446E"/>
    <w:rsid w:val="00E249E3"/>
    <w:rsid w:val="00E24FC1"/>
    <w:rsid w:val="00E24FE9"/>
    <w:rsid w:val="00E25053"/>
    <w:rsid w:val="00E25E4E"/>
    <w:rsid w:val="00E26C95"/>
    <w:rsid w:val="00E30E36"/>
    <w:rsid w:val="00E32464"/>
    <w:rsid w:val="00E32B30"/>
    <w:rsid w:val="00E32F57"/>
    <w:rsid w:val="00E338CA"/>
    <w:rsid w:val="00E33D81"/>
    <w:rsid w:val="00E33F37"/>
    <w:rsid w:val="00E34B0F"/>
    <w:rsid w:val="00E34BBC"/>
    <w:rsid w:val="00E34DD5"/>
    <w:rsid w:val="00E35334"/>
    <w:rsid w:val="00E353D1"/>
    <w:rsid w:val="00E359DC"/>
    <w:rsid w:val="00E3629E"/>
    <w:rsid w:val="00E365DC"/>
    <w:rsid w:val="00E37071"/>
    <w:rsid w:val="00E372CD"/>
    <w:rsid w:val="00E40212"/>
    <w:rsid w:val="00E40870"/>
    <w:rsid w:val="00E40AC3"/>
    <w:rsid w:val="00E40B43"/>
    <w:rsid w:val="00E427A5"/>
    <w:rsid w:val="00E43F20"/>
    <w:rsid w:val="00E441A3"/>
    <w:rsid w:val="00E4467D"/>
    <w:rsid w:val="00E45A87"/>
    <w:rsid w:val="00E45B5F"/>
    <w:rsid w:val="00E465A7"/>
    <w:rsid w:val="00E47534"/>
    <w:rsid w:val="00E47A4D"/>
    <w:rsid w:val="00E47B82"/>
    <w:rsid w:val="00E50608"/>
    <w:rsid w:val="00E50858"/>
    <w:rsid w:val="00E509D5"/>
    <w:rsid w:val="00E50C2F"/>
    <w:rsid w:val="00E510BB"/>
    <w:rsid w:val="00E51FF2"/>
    <w:rsid w:val="00E52109"/>
    <w:rsid w:val="00E52C84"/>
    <w:rsid w:val="00E52F8A"/>
    <w:rsid w:val="00E53637"/>
    <w:rsid w:val="00E536FF"/>
    <w:rsid w:val="00E53FF8"/>
    <w:rsid w:val="00E54149"/>
    <w:rsid w:val="00E54E69"/>
    <w:rsid w:val="00E5545E"/>
    <w:rsid w:val="00E55C3A"/>
    <w:rsid w:val="00E56505"/>
    <w:rsid w:val="00E5713A"/>
    <w:rsid w:val="00E60147"/>
    <w:rsid w:val="00E605F9"/>
    <w:rsid w:val="00E60714"/>
    <w:rsid w:val="00E60A08"/>
    <w:rsid w:val="00E60D49"/>
    <w:rsid w:val="00E61B8D"/>
    <w:rsid w:val="00E61D54"/>
    <w:rsid w:val="00E61E1F"/>
    <w:rsid w:val="00E629A9"/>
    <w:rsid w:val="00E629F9"/>
    <w:rsid w:val="00E62DE8"/>
    <w:rsid w:val="00E634E4"/>
    <w:rsid w:val="00E6352E"/>
    <w:rsid w:val="00E636D0"/>
    <w:rsid w:val="00E63B9D"/>
    <w:rsid w:val="00E6464A"/>
    <w:rsid w:val="00E64656"/>
    <w:rsid w:val="00E650DD"/>
    <w:rsid w:val="00E65641"/>
    <w:rsid w:val="00E65747"/>
    <w:rsid w:val="00E659B1"/>
    <w:rsid w:val="00E66CA5"/>
    <w:rsid w:val="00E670AA"/>
    <w:rsid w:val="00E67378"/>
    <w:rsid w:val="00E676A9"/>
    <w:rsid w:val="00E67718"/>
    <w:rsid w:val="00E70D37"/>
    <w:rsid w:val="00E714E3"/>
    <w:rsid w:val="00E71C32"/>
    <w:rsid w:val="00E71F11"/>
    <w:rsid w:val="00E72181"/>
    <w:rsid w:val="00E72216"/>
    <w:rsid w:val="00E72EA5"/>
    <w:rsid w:val="00E73595"/>
    <w:rsid w:val="00E73735"/>
    <w:rsid w:val="00E73D76"/>
    <w:rsid w:val="00E741AF"/>
    <w:rsid w:val="00E7461B"/>
    <w:rsid w:val="00E74638"/>
    <w:rsid w:val="00E74BD9"/>
    <w:rsid w:val="00E75317"/>
    <w:rsid w:val="00E76002"/>
    <w:rsid w:val="00E76287"/>
    <w:rsid w:val="00E768EE"/>
    <w:rsid w:val="00E8033B"/>
    <w:rsid w:val="00E80368"/>
    <w:rsid w:val="00E80AC4"/>
    <w:rsid w:val="00E80EA0"/>
    <w:rsid w:val="00E81142"/>
    <w:rsid w:val="00E81272"/>
    <w:rsid w:val="00E81896"/>
    <w:rsid w:val="00E81A1E"/>
    <w:rsid w:val="00E81A5E"/>
    <w:rsid w:val="00E831C9"/>
    <w:rsid w:val="00E83814"/>
    <w:rsid w:val="00E83AD1"/>
    <w:rsid w:val="00E84269"/>
    <w:rsid w:val="00E850F8"/>
    <w:rsid w:val="00E86072"/>
    <w:rsid w:val="00E8615B"/>
    <w:rsid w:val="00E867C2"/>
    <w:rsid w:val="00E8681A"/>
    <w:rsid w:val="00E86E54"/>
    <w:rsid w:val="00E878C5"/>
    <w:rsid w:val="00E87A77"/>
    <w:rsid w:val="00E87B85"/>
    <w:rsid w:val="00E9028B"/>
    <w:rsid w:val="00E906CA"/>
    <w:rsid w:val="00E90F46"/>
    <w:rsid w:val="00E912A4"/>
    <w:rsid w:val="00E913E7"/>
    <w:rsid w:val="00E914DB"/>
    <w:rsid w:val="00E9152D"/>
    <w:rsid w:val="00E917FB"/>
    <w:rsid w:val="00E91842"/>
    <w:rsid w:val="00E91904"/>
    <w:rsid w:val="00E91D76"/>
    <w:rsid w:val="00E91DE6"/>
    <w:rsid w:val="00E91F42"/>
    <w:rsid w:val="00E92860"/>
    <w:rsid w:val="00E94C14"/>
    <w:rsid w:val="00E94E50"/>
    <w:rsid w:val="00E950C0"/>
    <w:rsid w:val="00E95C00"/>
    <w:rsid w:val="00E95D55"/>
    <w:rsid w:val="00E960E3"/>
    <w:rsid w:val="00E96333"/>
    <w:rsid w:val="00E96853"/>
    <w:rsid w:val="00E96B68"/>
    <w:rsid w:val="00E96D14"/>
    <w:rsid w:val="00E97592"/>
    <w:rsid w:val="00E9759F"/>
    <w:rsid w:val="00E97707"/>
    <w:rsid w:val="00E977A8"/>
    <w:rsid w:val="00E97B7E"/>
    <w:rsid w:val="00EA040A"/>
    <w:rsid w:val="00EA0D3C"/>
    <w:rsid w:val="00EA0FBA"/>
    <w:rsid w:val="00EA117C"/>
    <w:rsid w:val="00EA163D"/>
    <w:rsid w:val="00EA29C6"/>
    <w:rsid w:val="00EA2D10"/>
    <w:rsid w:val="00EA3273"/>
    <w:rsid w:val="00EA33A2"/>
    <w:rsid w:val="00EA3729"/>
    <w:rsid w:val="00EA4EC4"/>
    <w:rsid w:val="00EA5F44"/>
    <w:rsid w:val="00EA5FCC"/>
    <w:rsid w:val="00EA6364"/>
    <w:rsid w:val="00EA6416"/>
    <w:rsid w:val="00EA6AA7"/>
    <w:rsid w:val="00EA70EC"/>
    <w:rsid w:val="00EA7CAC"/>
    <w:rsid w:val="00EB0005"/>
    <w:rsid w:val="00EB099A"/>
    <w:rsid w:val="00EB0C2C"/>
    <w:rsid w:val="00EB0F1D"/>
    <w:rsid w:val="00EB1715"/>
    <w:rsid w:val="00EB2457"/>
    <w:rsid w:val="00EB2584"/>
    <w:rsid w:val="00EB3417"/>
    <w:rsid w:val="00EB3531"/>
    <w:rsid w:val="00EB3CD8"/>
    <w:rsid w:val="00EB3FAA"/>
    <w:rsid w:val="00EB6DF1"/>
    <w:rsid w:val="00EB6EF3"/>
    <w:rsid w:val="00EB777D"/>
    <w:rsid w:val="00EB7A55"/>
    <w:rsid w:val="00EB7A5C"/>
    <w:rsid w:val="00EC0BBB"/>
    <w:rsid w:val="00EC0F52"/>
    <w:rsid w:val="00EC1253"/>
    <w:rsid w:val="00EC2011"/>
    <w:rsid w:val="00EC2282"/>
    <w:rsid w:val="00EC240C"/>
    <w:rsid w:val="00EC3476"/>
    <w:rsid w:val="00EC3586"/>
    <w:rsid w:val="00EC52FE"/>
    <w:rsid w:val="00EC53A8"/>
    <w:rsid w:val="00EC58BC"/>
    <w:rsid w:val="00EC59DD"/>
    <w:rsid w:val="00EC60F5"/>
    <w:rsid w:val="00EC61B3"/>
    <w:rsid w:val="00EC6C80"/>
    <w:rsid w:val="00EC76FE"/>
    <w:rsid w:val="00EC7BC0"/>
    <w:rsid w:val="00EC7C8D"/>
    <w:rsid w:val="00ED0DE4"/>
    <w:rsid w:val="00ED2C2D"/>
    <w:rsid w:val="00ED5671"/>
    <w:rsid w:val="00ED6208"/>
    <w:rsid w:val="00ED6C48"/>
    <w:rsid w:val="00ED7772"/>
    <w:rsid w:val="00ED7C26"/>
    <w:rsid w:val="00EE028C"/>
    <w:rsid w:val="00EE0ECF"/>
    <w:rsid w:val="00EE1230"/>
    <w:rsid w:val="00EE131F"/>
    <w:rsid w:val="00EE2097"/>
    <w:rsid w:val="00EE2561"/>
    <w:rsid w:val="00EE2BBB"/>
    <w:rsid w:val="00EE2FE1"/>
    <w:rsid w:val="00EE3192"/>
    <w:rsid w:val="00EE35D9"/>
    <w:rsid w:val="00EE4220"/>
    <w:rsid w:val="00EE5038"/>
    <w:rsid w:val="00EE5A5B"/>
    <w:rsid w:val="00EE7163"/>
    <w:rsid w:val="00EF0315"/>
    <w:rsid w:val="00EF0544"/>
    <w:rsid w:val="00EF07AA"/>
    <w:rsid w:val="00EF08AD"/>
    <w:rsid w:val="00EF1438"/>
    <w:rsid w:val="00EF1DAC"/>
    <w:rsid w:val="00EF1EA8"/>
    <w:rsid w:val="00EF32D4"/>
    <w:rsid w:val="00EF4EFA"/>
    <w:rsid w:val="00EF66FB"/>
    <w:rsid w:val="00EF6742"/>
    <w:rsid w:val="00EF6F9C"/>
    <w:rsid w:val="00EF7B4D"/>
    <w:rsid w:val="00F00891"/>
    <w:rsid w:val="00F00993"/>
    <w:rsid w:val="00F01B5C"/>
    <w:rsid w:val="00F01D1A"/>
    <w:rsid w:val="00F027CA"/>
    <w:rsid w:val="00F02FF6"/>
    <w:rsid w:val="00F04791"/>
    <w:rsid w:val="00F048A5"/>
    <w:rsid w:val="00F05878"/>
    <w:rsid w:val="00F06331"/>
    <w:rsid w:val="00F06E4B"/>
    <w:rsid w:val="00F075A4"/>
    <w:rsid w:val="00F079BC"/>
    <w:rsid w:val="00F07C76"/>
    <w:rsid w:val="00F10436"/>
    <w:rsid w:val="00F111C3"/>
    <w:rsid w:val="00F1157B"/>
    <w:rsid w:val="00F11953"/>
    <w:rsid w:val="00F13529"/>
    <w:rsid w:val="00F13BC6"/>
    <w:rsid w:val="00F145E2"/>
    <w:rsid w:val="00F14735"/>
    <w:rsid w:val="00F148B5"/>
    <w:rsid w:val="00F1577F"/>
    <w:rsid w:val="00F157FD"/>
    <w:rsid w:val="00F15B82"/>
    <w:rsid w:val="00F1665E"/>
    <w:rsid w:val="00F16674"/>
    <w:rsid w:val="00F16A00"/>
    <w:rsid w:val="00F200B6"/>
    <w:rsid w:val="00F20485"/>
    <w:rsid w:val="00F20E11"/>
    <w:rsid w:val="00F22C77"/>
    <w:rsid w:val="00F22CF8"/>
    <w:rsid w:val="00F22DC6"/>
    <w:rsid w:val="00F23469"/>
    <w:rsid w:val="00F240E0"/>
    <w:rsid w:val="00F24839"/>
    <w:rsid w:val="00F24C9D"/>
    <w:rsid w:val="00F24EE0"/>
    <w:rsid w:val="00F257CC"/>
    <w:rsid w:val="00F261A8"/>
    <w:rsid w:val="00F26B17"/>
    <w:rsid w:val="00F26D3C"/>
    <w:rsid w:val="00F26D68"/>
    <w:rsid w:val="00F27360"/>
    <w:rsid w:val="00F302A7"/>
    <w:rsid w:val="00F331A0"/>
    <w:rsid w:val="00F33492"/>
    <w:rsid w:val="00F34327"/>
    <w:rsid w:val="00F356A1"/>
    <w:rsid w:val="00F356D0"/>
    <w:rsid w:val="00F3581B"/>
    <w:rsid w:val="00F36B35"/>
    <w:rsid w:val="00F37802"/>
    <w:rsid w:val="00F37CF0"/>
    <w:rsid w:val="00F40499"/>
    <w:rsid w:val="00F40E44"/>
    <w:rsid w:val="00F416B1"/>
    <w:rsid w:val="00F41C15"/>
    <w:rsid w:val="00F420C5"/>
    <w:rsid w:val="00F4273E"/>
    <w:rsid w:val="00F42935"/>
    <w:rsid w:val="00F43318"/>
    <w:rsid w:val="00F43B81"/>
    <w:rsid w:val="00F43D75"/>
    <w:rsid w:val="00F43E81"/>
    <w:rsid w:val="00F44245"/>
    <w:rsid w:val="00F447CB"/>
    <w:rsid w:val="00F44894"/>
    <w:rsid w:val="00F44C70"/>
    <w:rsid w:val="00F44DE3"/>
    <w:rsid w:val="00F4509C"/>
    <w:rsid w:val="00F46003"/>
    <w:rsid w:val="00F46AC3"/>
    <w:rsid w:val="00F46CF5"/>
    <w:rsid w:val="00F46EF5"/>
    <w:rsid w:val="00F47047"/>
    <w:rsid w:val="00F4725D"/>
    <w:rsid w:val="00F47C3D"/>
    <w:rsid w:val="00F47D47"/>
    <w:rsid w:val="00F50134"/>
    <w:rsid w:val="00F506A9"/>
    <w:rsid w:val="00F5142E"/>
    <w:rsid w:val="00F52F5B"/>
    <w:rsid w:val="00F52FF7"/>
    <w:rsid w:val="00F534B5"/>
    <w:rsid w:val="00F5418E"/>
    <w:rsid w:val="00F5441D"/>
    <w:rsid w:val="00F545A0"/>
    <w:rsid w:val="00F5471C"/>
    <w:rsid w:val="00F54EE7"/>
    <w:rsid w:val="00F55D10"/>
    <w:rsid w:val="00F56113"/>
    <w:rsid w:val="00F5654C"/>
    <w:rsid w:val="00F5771A"/>
    <w:rsid w:val="00F60090"/>
    <w:rsid w:val="00F602D2"/>
    <w:rsid w:val="00F60E29"/>
    <w:rsid w:val="00F61212"/>
    <w:rsid w:val="00F61B44"/>
    <w:rsid w:val="00F61E23"/>
    <w:rsid w:val="00F62AB3"/>
    <w:rsid w:val="00F636AC"/>
    <w:rsid w:val="00F6370C"/>
    <w:rsid w:val="00F65320"/>
    <w:rsid w:val="00F65F5D"/>
    <w:rsid w:val="00F676CF"/>
    <w:rsid w:val="00F67A10"/>
    <w:rsid w:val="00F70C9D"/>
    <w:rsid w:val="00F710B6"/>
    <w:rsid w:val="00F71546"/>
    <w:rsid w:val="00F71BE0"/>
    <w:rsid w:val="00F71F8A"/>
    <w:rsid w:val="00F73966"/>
    <w:rsid w:val="00F74344"/>
    <w:rsid w:val="00F74519"/>
    <w:rsid w:val="00F75E7A"/>
    <w:rsid w:val="00F76421"/>
    <w:rsid w:val="00F765D9"/>
    <w:rsid w:val="00F7743E"/>
    <w:rsid w:val="00F77F68"/>
    <w:rsid w:val="00F77F73"/>
    <w:rsid w:val="00F8043E"/>
    <w:rsid w:val="00F80B84"/>
    <w:rsid w:val="00F811CA"/>
    <w:rsid w:val="00F81B00"/>
    <w:rsid w:val="00F81B39"/>
    <w:rsid w:val="00F81E1C"/>
    <w:rsid w:val="00F81F73"/>
    <w:rsid w:val="00F82FF9"/>
    <w:rsid w:val="00F838EB"/>
    <w:rsid w:val="00F8392C"/>
    <w:rsid w:val="00F841CF"/>
    <w:rsid w:val="00F84D75"/>
    <w:rsid w:val="00F84E8E"/>
    <w:rsid w:val="00F85A8E"/>
    <w:rsid w:val="00F85F45"/>
    <w:rsid w:val="00F86515"/>
    <w:rsid w:val="00F86632"/>
    <w:rsid w:val="00F86A3A"/>
    <w:rsid w:val="00F86B9D"/>
    <w:rsid w:val="00F86FBA"/>
    <w:rsid w:val="00F874EB"/>
    <w:rsid w:val="00F87AF9"/>
    <w:rsid w:val="00F90219"/>
    <w:rsid w:val="00F90729"/>
    <w:rsid w:val="00F90740"/>
    <w:rsid w:val="00F90BF6"/>
    <w:rsid w:val="00F90D30"/>
    <w:rsid w:val="00F9122E"/>
    <w:rsid w:val="00F9266B"/>
    <w:rsid w:val="00F92847"/>
    <w:rsid w:val="00F92E15"/>
    <w:rsid w:val="00F92FCB"/>
    <w:rsid w:val="00F9300E"/>
    <w:rsid w:val="00F93666"/>
    <w:rsid w:val="00F93A76"/>
    <w:rsid w:val="00F93F2A"/>
    <w:rsid w:val="00F94455"/>
    <w:rsid w:val="00F95753"/>
    <w:rsid w:val="00F958D1"/>
    <w:rsid w:val="00F96D68"/>
    <w:rsid w:val="00F97170"/>
    <w:rsid w:val="00F9755D"/>
    <w:rsid w:val="00FA0262"/>
    <w:rsid w:val="00FA0591"/>
    <w:rsid w:val="00FA0777"/>
    <w:rsid w:val="00FA165F"/>
    <w:rsid w:val="00FA1FDA"/>
    <w:rsid w:val="00FA21DF"/>
    <w:rsid w:val="00FA31CA"/>
    <w:rsid w:val="00FA33CC"/>
    <w:rsid w:val="00FA4543"/>
    <w:rsid w:val="00FA5559"/>
    <w:rsid w:val="00FA5F27"/>
    <w:rsid w:val="00FA62AB"/>
    <w:rsid w:val="00FA65F3"/>
    <w:rsid w:val="00FA67D0"/>
    <w:rsid w:val="00FA70CD"/>
    <w:rsid w:val="00FA7561"/>
    <w:rsid w:val="00FA7964"/>
    <w:rsid w:val="00FA7C88"/>
    <w:rsid w:val="00FA7E44"/>
    <w:rsid w:val="00FB001A"/>
    <w:rsid w:val="00FB1241"/>
    <w:rsid w:val="00FB14B9"/>
    <w:rsid w:val="00FB157F"/>
    <w:rsid w:val="00FB1FCA"/>
    <w:rsid w:val="00FB20A6"/>
    <w:rsid w:val="00FB307A"/>
    <w:rsid w:val="00FB383A"/>
    <w:rsid w:val="00FB487E"/>
    <w:rsid w:val="00FB5D78"/>
    <w:rsid w:val="00FB61C7"/>
    <w:rsid w:val="00FB6B99"/>
    <w:rsid w:val="00FB6E78"/>
    <w:rsid w:val="00FB7A96"/>
    <w:rsid w:val="00FC00AC"/>
    <w:rsid w:val="00FC01C0"/>
    <w:rsid w:val="00FC02A9"/>
    <w:rsid w:val="00FC13B6"/>
    <w:rsid w:val="00FC21D1"/>
    <w:rsid w:val="00FC29E8"/>
    <w:rsid w:val="00FC2B4A"/>
    <w:rsid w:val="00FC2D9C"/>
    <w:rsid w:val="00FC3C8F"/>
    <w:rsid w:val="00FC55BF"/>
    <w:rsid w:val="00FC5A78"/>
    <w:rsid w:val="00FC5F62"/>
    <w:rsid w:val="00FC5FB3"/>
    <w:rsid w:val="00FC6FD5"/>
    <w:rsid w:val="00FC745F"/>
    <w:rsid w:val="00FC7AEF"/>
    <w:rsid w:val="00FD051B"/>
    <w:rsid w:val="00FD1474"/>
    <w:rsid w:val="00FD186D"/>
    <w:rsid w:val="00FD1C9E"/>
    <w:rsid w:val="00FD207E"/>
    <w:rsid w:val="00FD3D42"/>
    <w:rsid w:val="00FD43F5"/>
    <w:rsid w:val="00FD4854"/>
    <w:rsid w:val="00FD4ACB"/>
    <w:rsid w:val="00FD4E03"/>
    <w:rsid w:val="00FD5691"/>
    <w:rsid w:val="00FD58AF"/>
    <w:rsid w:val="00FD6038"/>
    <w:rsid w:val="00FD649C"/>
    <w:rsid w:val="00FE155F"/>
    <w:rsid w:val="00FE1ED2"/>
    <w:rsid w:val="00FE203F"/>
    <w:rsid w:val="00FE2048"/>
    <w:rsid w:val="00FE209C"/>
    <w:rsid w:val="00FE3044"/>
    <w:rsid w:val="00FE4476"/>
    <w:rsid w:val="00FE4E1D"/>
    <w:rsid w:val="00FE59B8"/>
    <w:rsid w:val="00FE6F9E"/>
    <w:rsid w:val="00FE7A1C"/>
    <w:rsid w:val="00FF01DA"/>
    <w:rsid w:val="00FF08C6"/>
    <w:rsid w:val="00FF0ABC"/>
    <w:rsid w:val="00FF0C7F"/>
    <w:rsid w:val="00FF127C"/>
    <w:rsid w:val="00FF171F"/>
    <w:rsid w:val="00FF1883"/>
    <w:rsid w:val="00FF1C04"/>
    <w:rsid w:val="00FF20D6"/>
    <w:rsid w:val="00FF2277"/>
    <w:rsid w:val="00FF263D"/>
    <w:rsid w:val="00FF27E5"/>
    <w:rsid w:val="00FF4D35"/>
    <w:rsid w:val="00FF4F69"/>
    <w:rsid w:val="00FF538C"/>
    <w:rsid w:val="00FF5502"/>
    <w:rsid w:val="00FF56E8"/>
    <w:rsid w:val="00FF5840"/>
    <w:rsid w:val="00FF5B0D"/>
    <w:rsid w:val="00FF7340"/>
    <w:rsid w:val="00FF78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52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F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 Char,f"/>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Ref"/>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B13C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B13C3"/>
    <w:rPr>
      <w:rFonts w:ascii="Times New Roman" w:eastAsiaTheme="minorHAnsi" w:hAnsi="Times New Roman" w:cs="Times New Roman"/>
      <w:sz w:val="20"/>
      <w:szCs w:val="20"/>
      <w:lang w:eastAsia="en-US"/>
    </w:rPr>
  </w:style>
  <w:style w:type="character" w:customStyle="1" w:styleId="H23GCar">
    <w:name w:val="_ H_2/3_G Car"/>
    <w:link w:val="H23G"/>
    <w:rsid w:val="004B13C3"/>
    <w:rPr>
      <w:rFonts w:ascii="Times New Roman" w:eastAsiaTheme="minorHAnsi" w:hAnsi="Times New Roman" w:cs="Times New Roman"/>
      <w:b/>
      <w:sz w:val="20"/>
      <w:szCs w:val="20"/>
      <w:lang w:eastAsia="en-US"/>
    </w:rPr>
  </w:style>
  <w:style w:type="paragraph" w:styleId="NoSpacing">
    <w:name w:val="No Spacing"/>
    <w:uiPriority w:val="1"/>
    <w:qFormat/>
    <w:rsid w:val="004B13C3"/>
    <w:pPr>
      <w:suppressAutoHyphens/>
      <w:spacing w:after="0" w:line="240" w:lineRule="auto"/>
    </w:pPr>
    <w:rPr>
      <w:rFonts w:ascii="Times New Roman" w:eastAsia="Times New Roman" w:hAnsi="Times New Roman" w:cs="Times New Roman"/>
      <w:sz w:val="20"/>
      <w:szCs w:val="20"/>
      <w:lang w:eastAsia="en-US"/>
    </w:rPr>
  </w:style>
  <w:style w:type="character" w:styleId="HTMLCite">
    <w:name w:val="HTML Cite"/>
    <w:basedOn w:val="DefaultParagraphFont"/>
    <w:uiPriority w:val="99"/>
    <w:semiHidden/>
    <w:unhideWhenUsed/>
    <w:rsid w:val="004B13C3"/>
    <w:rPr>
      <w:i/>
      <w:iCs/>
    </w:rPr>
  </w:style>
  <w:style w:type="character" w:customStyle="1" w:styleId="UnresolvedMention1">
    <w:name w:val="Unresolved Mention1"/>
    <w:basedOn w:val="DefaultParagraphFont"/>
    <w:uiPriority w:val="99"/>
    <w:semiHidden/>
    <w:unhideWhenUsed/>
    <w:rsid w:val="004B13C3"/>
    <w:rPr>
      <w:color w:val="605E5C"/>
      <w:shd w:val="clear" w:color="auto" w:fill="E1DFDD"/>
    </w:rPr>
  </w:style>
  <w:style w:type="paragraph" w:styleId="TOC1">
    <w:name w:val="toc 1"/>
    <w:basedOn w:val="Normal"/>
    <w:next w:val="Normal"/>
    <w:autoRedefine/>
    <w:uiPriority w:val="39"/>
    <w:unhideWhenUsed/>
    <w:rsid w:val="002462FF"/>
    <w:pPr>
      <w:spacing w:after="100"/>
    </w:pPr>
  </w:style>
  <w:style w:type="paragraph" w:styleId="TOC2">
    <w:name w:val="toc 2"/>
    <w:basedOn w:val="Normal"/>
    <w:next w:val="Normal"/>
    <w:autoRedefine/>
    <w:uiPriority w:val="39"/>
    <w:unhideWhenUsed/>
    <w:rsid w:val="002462FF"/>
    <w:pPr>
      <w:spacing w:after="100"/>
      <w:ind w:left="200"/>
    </w:pPr>
  </w:style>
  <w:style w:type="character" w:styleId="CommentReference">
    <w:name w:val="annotation reference"/>
    <w:basedOn w:val="DefaultParagraphFont"/>
    <w:uiPriority w:val="99"/>
    <w:unhideWhenUsed/>
    <w:rsid w:val="0024539F"/>
    <w:rPr>
      <w:sz w:val="16"/>
      <w:szCs w:val="16"/>
    </w:rPr>
  </w:style>
  <w:style w:type="paragraph" w:styleId="CommentText">
    <w:name w:val="annotation text"/>
    <w:basedOn w:val="Normal"/>
    <w:link w:val="CommentTextChar"/>
    <w:uiPriority w:val="99"/>
    <w:unhideWhenUsed/>
    <w:rsid w:val="0024539F"/>
    <w:pPr>
      <w:spacing w:line="240" w:lineRule="auto"/>
    </w:pPr>
  </w:style>
  <w:style w:type="character" w:customStyle="1" w:styleId="CommentTextChar">
    <w:name w:val="Comment Text Char"/>
    <w:basedOn w:val="DefaultParagraphFont"/>
    <w:link w:val="CommentText"/>
    <w:uiPriority w:val="99"/>
    <w:rsid w:val="0024539F"/>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539F"/>
    <w:rPr>
      <w:b/>
      <w:bCs/>
    </w:rPr>
  </w:style>
  <w:style w:type="character" w:customStyle="1" w:styleId="CommentSubjectChar">
    <w:name w:val="Comment Subject Char"/>
    <w:basedOn w:val="CommentTextChar"/>
    <w:link w:val="CommentSubject"/>
    <w:uiPriority w:val="99"/>
    <w:semiHidden/>
    <w:rsid w:val="0024539F"/>
    <w:rPr>
      <w:rFonts w:ascii="Times New Roman" w:eastAsiaTheme="minorHAnsi" w:hAnsi="Times New Roman" w:cs="Times New Roman"/>
      <w:b/>
      <w:bCs/>
      <w:sz w:val="20"/>
      <w:szCs w:val="20"/>
      <w:lang w:eastAsia="en-US"/>
    </w:rPr>
  </w:style>
  <w:style w:type="character" w:styleId="Emphasis">
    <w:name w:val="Emphasis"/>
    <w:basedOn w:val="DefaultParagraphFont"/>
    <w:uiPriority w:val="20"/>
    <w:qFormat/>
    <w:rsid w:val="005079ED"/>
    <w:rPr>
      <w:i/>
      <w:iCs/>
    </w:rPr>
  </w:style>
  <w:style w:type="paragraph" w:styleId="NormalWeb">
    <w:name w:val="Normal (Web)"/>
    <w:basedOn w:val="Normal"/>
    <w:uiPriority w:val="99"/>
    <w:unhideWhenUsed/>
    <w:rsid w:val="00676ACA"/>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customStyle="1" w:styleId="ColorfulList-Accent11">
    <w:name w:val="Colorful List - Accent 11"/>
    <w:basedOn w:val="Normal"/>
    <w:uiPriority w:val="34"/>
    <w:qFormat/>
    <w:rsid w:val="002D43D6"/>
    <w:pPr>
      <w:suppressAutoHyphens w:val="0"/>
      <w:kinsoku/>
      <w:overflowPunct/>
      <w:autoSpaceDE/>
      <w:autoSpaceDN/>
      <w:adjustRightInd/>
      <w:snapToGrid/>
      <w:spacing w:after="200" w:line="276" w:lineRule="auto"/>
      <w:ind w:left="720"/>
      <w:contextualSpacing/>
    </w:pPr>
    <w:rPr>
      <w:rFonts w:ascii="Calibri" w:eastAsia="Calibri" w:hAnsi="Calibri" w:cs="Arial"/>
      <w:sz w:val="22"/>
      <w:szCs w:val="22"/>
      <w:lang w:val="en-US"/>
    </w:rPr>
  </w:style>
  <w:style w:type="paragraph" w:styleId="ListParagraph">
    <w:name w:val="List Paragraph"/>
    <w:aliases w:val="Dot pt,F5 List Paragraph,List Paragraph1,No Spacing1,List Paragraph Char Char Char,Indicator Text,Numbered Para 1,Bullet 1,List Paragraph12,Bullet Points,MAIN CONTENT,Lapis Bulleted List,List 100s,WB Para,L,3"/>
    <w:basedOn w:val="Normal"/>
    <w:link w:val="ListParagraphChar"/>
    <w:uiPriority w:val="34"/>
    <w:qFormat/>
    <w:rsid w:val="00005A6C"/>
    <w:pPr>
      <w:suppressAutoHyphens w:val="0"/>
      <w:kinsoku/>
      <w:overflowPunct/>
      <w:autoSpaceDE/>
      <w:autoSpaceDN/>
      <w:adjustRightInd/>
      <w:snapToGrid/>
      <w:spacing w:after="160" w:line="252" w:lineRule="auto"/>
      <w:ind w:left="720"/>
      <w:contextualSpacing/>
    </w:pPr>
    <w:rPr>
      <w:rFonts w:ascii="Calibri" w:hAnsi="Calibri" w:cs="Calibri"/>
      <w:sz w:val="22"/>
      <w:szCs w:val="22"/>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F75E7A"/>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css-901oao">
    <w:name w:val="css-901oao"/>
    <w:basedOn w:val="DefaultParagraphFont"/>
    <w:rsid w:val="00AB4AEB"/>
  </w:style>
  <w:style w:type="character" w:styleId="Strong">
    <w:name w:val="Strong"/>
    <w:basedOn w:val="DefaultParagraphFont"/>
    <w:uiPriority w:val="22"/>
    <w:qFormat/>
    <w:rsid w:val="00812E61"/>
    <w:rPr>
      <w:b/>
      <w:bCs/>
    </w:rPr>
  </w:style>
  <w:style w:type="character" w:customStyle="1" w:styleId="h2">
    <w:name w:val="h2"/>
    <w:basedOn w:val="DefaultParagraphFont"/>
    <w:rsid w:val="00132628"/>
  </w:style>
  <w:style w:type="paragraph" w:customStyle="1" w:styleId="Default">
    <w:name w:val="Default"/>
    <w:rsid w:val="002845F2"/>
    <w:pPr>
      <w:autoSpaceDE w:val="0"/>
      <w:autoSpaceDN w:val="0"/>
      <w:adjustRightInd w:val="0"/>
      <w:spacing w:after="0" w:line="240" w:lineRule="auto"/>
    </w:pPr>
    <w:rPr>
      <w:rFonts w:ascii="Cambria" w:hAnsi="Cambria" w:cs="Cambria"/>
      <w:color w:val="000000"/>
      <w:sz w:val="24"/>
      <w:szCs w:val="24"/>
    </w:rPr>
  </w:style>
  <w:style w:type="character" w:customStyle="1" w:styleId="UnresolvedMention2">
    <w:name w:val="Unresolved Mention2"/>
    <w:basedOn w:val="DefaultParagraphFont"/>
    <w:uiPriority w:val="99"/>
    <w:semiHidden/>
    <w:unhideWhenUsed/>
    <w:rsid w:val="00C5683D"/>
    <w:rPr>
      <w:color w:val="605E5C"/>
      <w:shd w:val="clear" w:color="auto" w:fill="E1DFDD"/>
    </w:rPr>
  </w:style>
  <w:style w:type="paragraph" w:customStyle="1" w:styleId="xmsonormal">
    <w:name w:val="x_msonormal"/>
    <w:basedOn w:val="Normal"/>
    <w:rsid w:val="0050465D"/>
    <w:pPr>
      <w:suppressAutoHyphens w:val="0"/>
      <w:kinsoku/>
      <w:overflowPunct/>
      <w:autoSpaceDE/>
      <w:autoSpaceDN/>
      <w:adjustRightInd/>
      <w:snapToGrid/>
      <w:spacing w:line="240" w:lineRule="auto"/>
    </w:pPr>
    <w:rPr>
      <w:rFonts w:ascii="Calibri" w:hAnsi="Calibri" w:cs="Calibri"/>
      <w:sz w:val="22"/>
      <w:szCs w:val="22"/>
      <w:lang w:eastAsia="en-GB"/>
    </w:rPr>
  </w:style>
  <w:style w:type="character" w:customStyle="1" w:styleId="size">
    <w:name w:val="size"/>
    <w:rsid w:val="007B7E33"/>
  </w:style>
  <w:style w:type="paragraph" w:customStyle="1" w:styleId="xmsonormal0">
    <w:name w:val="xmsonormal"/>
    <w:basedOn w:val="Normal"/>
    <w:rsid w:val="00F22DC6"/>
    <w:pPr>
      <w:suppressAutoHyphens w:val="0"/>
      <w:kinsoku/>
      <w:overflowPunct/>
      <w:autoSpaceDE/>
      <w:autoSpaceDN/>
      <w:adjustRightInd/>
      <w:snapToGrid/>
      <w:spacing w:line="240" w:lineRule="auto"/>
    </w:pPr>
    <w:rPr>
      <w:rFonts w:ascii="Calibri" w:hAnsi="Calibri" w:cs="Calibri"/>
      <w:sz w:val="22"/>
      <w:szCs w:val="22"/>
      <w:lang w:eastAsia="en-GB"/>
    </w:rPr>
  </w:style>
  <w:style w:type="character" w:customStyle="1" w:styleId="xjlqj4b">
    <w:name w:val="xjlqj4b"/>
    <w:basedOn w:val="DefaultParagraphFont"/>
    <w:rsid w:val="00F22DC6"/>
  </w:style>
  <w:style w:type="character" w:customStyle="1" w:styleId="xheading1char">
    <w:name w:val="xheading1char"/>
    <w:basedOn w:val="DefaultParagraphFont"/>
    <w:rsid w:val="00F22DC6"/>
  </w:style>
  <w:style w:type="paragraph" w:customStyle="1" w:styleId="ENFootnoteReference">
    <w:name w:val="EN Footnote Reference"/>
    <w:aliases w:val="-E Fußnotenzeichen,number,SUPERS,BVI fnr תו Char Char Char,BVI fnr Car Car תו Char Char Char,BVI fnr Car תו Char Char Char,BVI fn"/>
    <w:basedOn w:val="Normal"/>
    <w:uiPriority w:val="99"/>
    <w:rsid w:val="00991477"/>
    <w:pPr>
      <w:suppressAutoHyphens w:val="0"/>
      <w:kinsoku/>
      <w:overflowPunct/>
      <w:autoSpaceDE/>
      <w:autoSpaceDN/>
      <w:adjustRightInd/>
      <w:snapToGrid/>
      <w:spacing w:after="160" w:line="240" w:lineRule="exact"/>
    </w:pPr>
    <w:rPr>
      <w:rFonts w:eastAsia="Times New Roman"/>
      <w:sz w:val="18"/>
      <w:vertAlign w:val="superscript"/>
      <w:lang w:eastAsia="en-GB"/>
    </w:rPr>
  </w:style>
  <w:style w:type="character" w:customStyle="1" w:styleId="apple-converted-space">
    <w:name w:val="apple-converted-space"/>
    <w:rsid w:val="00991477"/>
  </w:style>
  <w:style w:type="paragraph" w:customStyle="1" w:styleId="dcr-t0ikv9">
    <w:name w:val="dcr-t0ikv9"/>
    <w:basedOn w:val="Normal"/>
    <w:rsid w:val="007451EA"/>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lblnewsfulltext">
    <w:name w:val="lblnewsfulltext"/>
    <w:basedOn w:val="DefaultParagraphFont"/>
    <w:rsid w:val="009133CD"/>
  </w:style>
  <w:style w:type="character" w:customStyle="1" w:styleId="Hyperlink2">
    <w:name w:val="Hyperlink.2"/>
    <w:basedOn w:val="DefaultParagraphFont"/>
    <w:rsid w:val="00396AE5"/>
  </w:style>
  <w:style w:type="character" w:customStyle="1" w:styleId="websearch-marked">
    <w:name w:val="web_search-marked"/>
    <w:basedOn w:val="DefaultParagraphFont"/>
    <w:rsid w:val="004F564D"/>
  </w:style>
  <w:style w:type="character" w:customStyle="1" w:styleId="None">
    <w:name w:val="None"/>
    <w:rsid w:val="007A5721"/>
  </w:style>
  <w:style w:type="character" w:customStyle="1" w:styleId="pull-quote">
    <w:name w:val="pull-quote"/>
    <w:basedOn w:val="DefaultParagraphFont"/>
    <w:rsid w:val="00F23469"/>
  </w:style>
  <w:style w:type="paragraph" w:customStyle="1" w:styleId="intro">
    <w:name w:val="intro"/>
    <w:basedOn w:val="Normal"/>
    <w:rsid w:val="00C91F3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styleId="BodyText">
    <w:name w:val="Body Text"/>
    <w:basedOn w:val="Normal"/>
    <w:link w:val="BodyTextChar"/>
    <w:uiPriority w:val="1"/>
    <w:qFormat/>
    <w:rsid w:val="00E60D49"/>
    <w:pPr>
      <w:widowControl w:val="0"/>
      <w:suppressAutoHyphens w:val="0"/>
      <w:kinsoku/>
      <w:overflowPunct/>
      <w:adjustRightInd/>
      <w:snapToGrid/>
      <w:spacing w:line="240" w:lineRule="auto"/>
    </w:pPr>
    <w:rPr>
      <w:rFonts w:eastAsia="Times New Roman"/>
      <w:sz w:val="25"/>
      <w:szCs w:val="25"/>
      <w:lang w:val="en-US"/>
    </w:rPr>
  </w:style>
  <w:style w:type="character" w:customStyle="1" w:styleId="BodyTextChar">
    <w:name w:val="Body Text Char"/>
    <w:basedOn w:val="DefaultParagraphFont"/>
    <w:link w:val="BodyText"/>
    <w:uiPriority w:val="1"/>
    <w:rsid w:val="00E60D49"/>
    <w:rPr>
      <w:rFonts w:ascii="Times New Roman" w:eastAsia="Times New Roman" w:hAnsi="Times New Roman" w:cs="Times New Roman"/>
      <w:sz w:val="25"/>
      <w:szCs w:val="25"/>
      <w:lang w:val="en-US" w:eastAsia="en-US"/>
    </w:rPr>
  </w:style>
  <w:style w:type="paragraph" w:customStyle="1" w:styleId="TableParagraph">
    <w:name w:val="Table Paragraph"/>
    <w:basedOn w:val="Normal"/>
    <w:uiPriority w:val="1"/>
    <w:qFormat/>
    <w:rsid w:val="00531836"/>
    <w:pPr>
      <w:widowControl w:val="0"/>
      <w:suppressAutoHyphens w:val="0"/>
      <w:kinsoku/>
      <w:overflowPunct/>
      <w:adjustRightInd/>
      <w:snapToGrid/>
      <w:spacing w:line="280" w:lineRule="exact"/>
    </w:pPr>
    <w:rPr>
      <w:rFonts w:eastAsia="Times New Roman"/>
      <w:sz w:val="22"/>
      <w:szCs w:val="22"/>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550FF9"/>
    <w:rPr>
      <w:rFonts w:ascii="Calibri" w:eastAsiaTheme="minorHAnsi" w:hAnsi="Calibri" w:cs="Calibri"/>
      <w:lang w:eastAsia="en-GB"/>
    </w:rPr>
  </w:style>
  <w:style w:type="paragraph" w:customStyle="1" w:styleId="atd-ad">
    <w:name w:val="atd-ad"/>
    <w:basedOn w:val="Normal"/>
    <w:rsid w:val="008F233A"/>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s2">
    <w:name w:val="s2"/>
    <w:basedOn w:val="DefaultParagraphFont"/>
    <w:rsid w:val="00284372"/>
  </w:style>
  <w:style w:type="character" w:customStyle="1" w:styleId="r-18u37iz">
    <w:name w:val="r-18u37iz"/>
    <w:basedOn w:val="DefaultParagraphFont"/>
    <w:rsid w:val="004426EA"/>
  </w:style>
  <w:style w:type="paragraph" w:styleId="Revision">
    <w:name w:val="Revision"/>
    <w:hidden/>
    <w:uiPriority w:val="99"/>
    <w:semiHidden/>
    <w:rsid w:val="00893966"/>
    <w:pPr>
      <w:spacing w:after="0" w:line="240" w:lineRule="auto"/>
    </w:pPr>
    <w:rPr>
      <w:rFonts w:ascii="Times New Roman" w:eastAsiaTheme="minorHAnsi" w:hAnsi="Times New Roman" w:cs="Times New Roman"/>
      <w:sz w:val="20"/>
      <w:szCs w:val="20"/>
      <w:lang w:eastAsia="en-US"/>
    </w:rPr>
  </w:style>
  <w:style w:type="character" w:customStyle="1" w:styleId="UnresolvedMention3">
    <w:name w:val="Unresolved Mention3"/>
    <w:basedOn w:val="DefaultParagraphFont"/>
    <w:uiPriority w:val="99"/>
    <w:semiHidden/>
    <w:unhideWhenUsed/>
    <w:rsid w:val="003819F2"/>
    <w:rPr>
      <w:color w:val="605E5C"/>
      <w:shd w:val="clear" w:color="auto" w:fill="E1DFDD"/>
    </w:rPr>
  </w:style>
  <w:style w:type="character" w:customStyle="1" w:styleId="jlqj4b">
    <w:name w:val="jlqj4b"/>
    <w:basedOn w:val="DefaultParagraphFont"/>
    <w:rsid w:val="00564871"/>
  </w:style>
  <w:style w:type="character" w:customStyle="1" w:styleId="UnresolvedMention4">
    <w:name w:val="Unresolved Mention4"/>
    <w:basedOn w:val="DefaultParagraphFont"/>
    <w:uiPriority w:val="99"/>
    <w:semiHidden/>
    <w:unhideWhenUsed/>
    <w:rsid w:val="00D13D36"/>
    <w:rPr>
      <w:color w:val="605E5C"/>
      <w:shd w:val="clear" w:color="auto" w:fill="E1DFDD"/>
    </w:rPr>
  </w:style>
  <w:style w:type="character" w:customStyle="1" w:styleId="UnresolvedMention5">
    <w:name w:val="Unresolved Mention5"/>
    <w:basedOn w:val="DefaultParagraphFont"/>
    <w:uiPriority w:val="99"/>
    <w:semiHidden/>
    <w:unhideWhenUsed/>
    <w:rsid w:val="0023768E"/>
    <w:rPr>
      <w:color w:val="605E5C"/>
      <w:shd w:val="clear" w:color="auto" w:fill="E1DFDD"/>
    </w:rPr>
  </w:style>
  <w:style w:type="character" w:customStyle="1" w:styleId="UnresolvedMention6">
    <w:name w:val="Unresolved Mention6"/>
    <w:basedOn w:val="DefaultParagraphFont"/>
    <w:uiPriority w:val="99"/>
    <w:semiHidden/>
    <w:unhideWhenUsed/>
    <w:rsid w:val="0061167C"/>
    <w:rPr>
      <w:color w:val="605E5C"/>
      <w:shd w:val="clear" w:color="auto" w:fill="E1DFDD"/>
    </w:rPr>
  </w:style>
  <w:style w:type="character" w:customStyle="1" w:styleId="UnresolvedMention7">
    <w:name w:val="Unresolved Mention7"/>
    <w:basedOn w:val="DefaultParagraphFont"/>
    <w:uiPriority w:val="99"/>
    <w:semiHidden/>
    <w:unhideWhenUsed/>
    <w:rsid w:val="00111EA2"/>
    <w:rPr>
      <w:color w:val="605E5C"/>
      <w:shd w:val="clear" w:color="auto" w:fill="E1DFDD"/>
    </w:rPr>
  </w:style>
  <w:style w:type="paragraph" w:customStyle="1" w:styleId="xmsolistparagraph">
    <w:name w:val="x_msolistparagraph"/>
    <w:basedOn w:val="Normal"/>
    <w:rsid w:val="004962F7"/>
    <w:pPr>
      <w:suppressAutoHyphens w:val="0"/>
      <w:kinsoku/>
      <w:overflowPunct/>
      <w:autoSpaceDE/>
      <w:autoSpaceDN/>
      <w:adjustRightInd/>
      <w:snapToGrid/>
      <w:spacing w:line="240" w:lineRule="auto"/>
      <w:ind w:left="720"/>
    </w:pPr>
    <w:rPr>
      <w:rFonts w:ascii="Calibri" w:hAnsi="Calibri" w:cs="Calibri"/>
      <w:sz w:val="22"/>
      <w:szCs w:val="22"/>
      <w:lang w:eastAsia="en-GB"/>
    </w:rPr>
  </w:style>
  <w:style w:type="character" w:customStyle="1" w:styleId="UnresolvedMention">
    <w:name w:val="Unresolved Mention"/>
    <w:basedOn w:val="DefaultParagraphFont"/>
    <w:uiPriority w:val="99"/>
    <w:semiHidden/>
    <w:unhideWhenUsed/>
    <w:rsid w:val="0077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048">
      <w:bodyDiv w:val="1"/>
      <w:marLeft w:val="0"/>
      <w:marRight w:val="0"/>
      <w:marTop w:val="0"/>
      <w:marBottom w:val="0"/>
      <w:divBdr>
        <w:top w:val="none" w:sz="0" w:space="0" w:color="auto"/>
        <w:left w:val="none" w:sz="0" w:space="0" w:color="auto"/>
        <w:bottom w:val="none" w:sz="0" w:space="0" w:color="auto"/>
        <w:right w:val="none" w:sz="0" w:space="0" w:color="auto"/>
      </w:divBdr>
      <w:divsChild>
        <w:div w:id="130083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7718">
      <w:bodyDiv w:val="1"/>
      <w:marLeft w:val="0"/>
      <w:marRight w:val="0"/>
      <w:marTop w:val="0"/>
      <w:marBottom w:val="0"/>
      <w:divBdr>
        <w:top w:val="none" w:sz="0" w:space="0" w:color="auto"/>
        <w:left w:val="none" w:sz="0" w:space="0" w:color="auto"/>
        <w:bottom w:val="none" w:sz="0" w:space="0" w:color="auto"/>
        <w:right w:val="none" w:sz="0" w:space="0" w:color="auto"/>
      </w:divBdr>
    </w:div>
    <w:div w:id="96142760">
      <w:bodyDiv w:val="1"/>
      <w:marLeft w:val="0"/>
      <w:marRight w:val="0"/>
      <w:marTop w:val="0"/>
      <w:marBottom w:val="0"/>
      <w:divBdr>
        <w:top w:val="none" w:sz="0" w:space="0" w:color="auto"/>
        <w:left w:val="none" w:sz="0" w:space="0" w:color="auto"/>
        <w:bottom w:val="none" w:sz="0" w:space="0" w:color="auto"/>
        <w:right w:val="none" w:sz="0" w:space="0" w:color="auto"/>
      </w:divBdr>
    </w:div>
    <w:div w:id="131749168">
      <w:bodyDiv w:val="1"/>
      <w:marLeft w:val="0"/>
      <w:marRight w:val="0"/>
      <w:marTop w:val="0"/>
      <w:marBottom w:val="0"/>
      <w:divBdr>
        <w:top w:val="none" w:sz="0" w:space="0" w:color="auto"/>
        <w:left w:val="none" w:sz="0" w:space="0" w:color="auto"/>
        <w:bottom w:val="none" w:sz="0" w:space="0" w:color="auto"/>
        <w:right w:val="none" w:sz="0" w:space="0" w:color="auto"/>
      </w:divBdr>
    </w:div>
    <w:div w:id="15449159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8082518">
      <w:bodyDiv w:val="1"/>
      <w:marLeft w:val="0"/>
      <w:marRight w:val="0"/>
      <w:marTop w:val="0"/>
      <w:marBottom w:val="0"/>
      <w:divBdr>
        <w:top w:val="none" w:sz="0" w:space="0" w:color="auto"/>
        <w:left w:val="none" w:sz="0" w:space="0" w:color="auto"/>
        <w:bottom w:val="none" w:sz="0" w:space="0" w:color="auto"/>
        <w:right w:val="none" w:sz="0" w:space="0" w:color="auto"/>
      </w:divBdr>
    </w:div>
    <w:div w:id="243496688">
      <w:bodyDiv w:val="1"/>
      <w:marLeft w:val="0"/>
      <w:marRight w:val="0"/>
      <w:marTop w:val="0"/>
      <w:marBottom w:val="0"/>
      <w:divBdr>
        <w:top w:val="none" w:sz="0" w:space="0" w:color="auto"/>
        <w:left w:val="none" w:sz="0" w:space="0" w:color="auto"/>
        <w:bottom w:val="none" w:sz="0" w:space="0" w:color="auto"/>
        <w:right w:val="none" w:sz="0" w:space="0" w:color="auto"/>
      </w:divBdr>
    </w:div>
    <w:div w:id="251281424">
      <w:bodyDiv w:val="1"/>
      <w:marLeft w:val="0"/>
      <w:marRight w:val="0"/>
      <w:marTop w:val="0"/>
      <w:marBottom w:val="0"/>
      <w:divBdr>
        <w:top w:val="none" w:sz="0" w:space="0" w:color="auto"/>
        <w:left w:val="none" w:sz="0" w:space="0" w:color="auto"/>
        <w:bottom w:val="none" w:sz="0" w:space="0" w:color="auto"/>
        <w:right w:val="none" w:sz="0" w:space="0" w:color="auto"/>
      </w:divBdr>
    </w:div>
    <w:div w:id="259292605">
      <w:bodyDiv w:val="1"/>
      <w:marLeft w:val="0"/>
      <w:marRight w:val="0"/>
      <w:marTop w:val="0"/>
      <w:marBottom w:val="0"/>
      <w:divBdr>
        <w:top w:val="none" w:sz="0" w:space="0" w:color="auto"/>
        <w:left w:val="none" w:sz="0" w:space="0" w:color="auto"/>
        <w:bottom w:val="none" w:sz="0" w:space="0" w:color="auto"/>
        <w:right w:val="none" w:sz="0" w:space="0" w:color="auto"/>
      </w:divBdr>
    </w:div>
    <w:div w:id="263534261">
      <w:bodyDiv w:val="1"/>
      <w:marLeft w:val="0"/>
      <w:marRight w:val="0"/>
      <w:marTop w:val="0"/>
      <w:marBottom w:val="0"/>
      <w:divBdr>
        <w:top w:val="none" w:sz="0" w:space="0" w:color="auto"/>
        <w:left w:val="none" w:sz="0" w:space="0" w:color="auto"/>
        <w:bottom w:val="none" w:sz="0" w:space="0" w:color="auto"/>
        <w:right w:val="none" w:sz="0" w:space="0" w:color="auto"/>
      </w:divBdr>
    </w:div>
    <w:div w:id="278221108">
      <w:bodyDiv w:val="1"/>
      <w:marLeft w:val="0"/>
      <w:marRight w:val="0"/>
      <w:marTop w:val="0"/>
      <w:marBottom w:val="0"/>
      <w:divBdr>
        <w:top w:val="none" w:sz="0" w:space="0" w:color="auto"/>
        <w:left w:val="none" w:sz="0" w:space="0" w:color="auto"/>
        <w:bottom w:val="none" w:sz="0" w:space="0" w:color="auto"/>
        <w:right w:val="none" w:sz="0" w:space="0" w:color="auto"/>
      </w:divBdr>
    </w:div>
    <w:div w:id="297732229">
      <w:bodyDiv w:val="1"/>
      <w:marLeft w:val="0"/>
      <w:marRight w:val="0"/>
      <w:marTop w:val="0"/>
      <w:marBottom w:val="0"/>
      <w:divBdr>
        <w:top w:val="none" w:sz="0" w:space="0" w:color="auto"/>
        <w:left w:val="none" w:sz="0" w:space="0" w:color="auto"/>
        <w:bottom w:val="none" w:sz="0" w:space="0" w:color="auto"/>
        <w:right w:val="none" w:sz="0" w:space="0" w:color="auto"/>
      </w:divBdr>
    </w:div>
    <w:div w:id="297998176">
      <w:bodyDiv w:val="1"/>
      <w:marLeft w:val="0"/>
      <w:marRight w:val="0"/>
      <w:marTop w:val="0"/>
      <w:marBottom w:val="0"/>
      <w:divBdr>
        <w:top w:val="none" w:sz="0" w:space="0" w:color="auto"/>
        <w:left w:val="none" w:sz="0" w:space="0" w:color="auto"/>
        <w:bottom w:val="none" w:sz="0" w:space="0" w:color="auto"/>
        <w:right w:val="none" w:sz="0" w:space="0" w:color="auto"/>
      </w:divBdr>
    </w:div>
    <w:div w:id="300579432">
      <w:bodyDiv w:val="1"/>
      <w:marLeft w:val="0"/>
      <w:marRight w:val="0"/>
      <w:marTop w:val="0"/>
      <w:marBottom w:val="0"/>
      <w:divBdr>
        <w:top w:val="none" w:sz="0" w:space="0" w:color="auto"/>
        <w:left w:val="none" w:sz="0" w:space="0" w:color="auto"/>
        <w:bottom w:val="none" w:sz="0" w:space="0" w:color="auto"/>
        <w:right w:val="none" w:sz="0" w:space="0" w:color="auto"/>
      </w:divBdr>
    </w:div>
    <w:div w:id="317350161">
      <w:bodyDiv w:val="1"/>
      <w:marLeft w:val="0"/>
      <w:marRight w:val="0"/>
      <w:marTop w:val="0"/>
      <w:marBottom w:val="0"/>
      <w:divBdr>
        <w:top w:val="none" w:sz="0" w:space="0" w:color="auto"/>
        <w:left w:val="none" w:sz="0" w:space="0" w:color="auto"/>
        <w:bottom w:val="none" w:sz="0" w:space="0" w:color="auto"/>
        <w:right w:val="none" w:sz="0" w:space="0" w:color="auto"/>
      </w:divBdr>
    </w:div>
    <w:div w:id="325668928">
      <w:bodyDiv w:val="1"/>
      <w:marLeft w:val="0"/>
      <w:marRight w:val="0"/>
      <w:marTop w:val="0"/>
      <w:marBottom w:val="0"/>
      <w:divBdr>
        <w:top w:val="none" w:sz="0" w:space="0" w:color="auto"/>
        <w:left w:val="none" w:sz="0" w:space="0" w:color="auto"/>
        <w:bottom w:val="none" w:sz="0" w:space="0" w:color="auto"/>
        <w:right w:val="none" w:sz="0" w:space="0" w:color="auto"/>
      </w:divBdr>
    </w:div>
    <w:div w:id="335420940">
      <w:bodyDiv w:val="1"/>
      <w:marLeft w:val="0"/>
      <w:marRight w:val="0"/>
      <w:marTop w:val="0"/>
      <w:marBottom w:val="0"/>
      <w:divBdr>
        <w:top w:val="none" w:sz="0" w:space="0" w:color="auto"/>
        <w:left w:val="none" w:sz="0" w:space="0" w:color="auto"/>
        <w:bottom w:val="none" w:sz="0" w:space="0" w:color="auto"/>
        <w:right w:val="none" w:sz="0" w:space="0" w:color="auto"/>
      </w:divBdr>
      <w:divsChild>
        <w:div w:id="22676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457014">
      <w:bodyDiv w:val="1"/>
      <w:marLeft w:val="0"/>
      <w:marRight w:val="0"/>
      <w:marTop w:val="0"/>
      <w:marBottom w:val="0"/>
      <w:divBdr>
        <w:top w:val="none" w:sz="0" w:space="0" w:color="auto"/>
        <w:left w:val="none" w:sz="0" w:space="0" w:color="auto"/>
        <w:bottom w:val="none" w:sz="0" w:space="0" w:color="auto"/>
        <w:right w:val="none" w:sz="0" w:space="0" w:color="auto"/>
      </w:divBdr>
    </w:div>
    <w:div w:id="389815067">
      <w:bodyDiv w:val="1"/>
      <w:marLeft w:val="0"/>
      <w:marRight w:val="0"/>
      <w:marTop w:val="0"/>
      <w:marBottom w:val="0"/>
      <w:divBdr>
        <w:top w:val="none" w:sz="0" w:space="0" w:color="auto"/>
        <w:left w:val="none" w:sz="0" w:space="0" w:color="auto"/>
        <w:bottom w:val="none" w:sz="0" w:space="0" w:color="auto"/>
        <w:right w:val="none" w:sz="0" w:space="0" w:color="auto"/>
      </w:divBdr>
    </w:div>
    <w:div w:id="437873728">
      <w:bodyDiv w:val="1"/>
      <w:marLeft w:val="0"/>
      <w:marRight w:val="0"/>
      <w:marTop w:val="0"/>
      <w:marBottom w:val="0"/>
      <w:divBdr>
        <w:top w:val="none" w:sz="0" w:space="0" w:color="auto"/>
        <w:left w:val="none" w:sz="0" w:space="0" w:color="auto"/>
        <w:bottom w:val="none" w:sz="0" w:space="0" w:color="auto"/>
        <w:right w:val="none" w:sz="0" w:space="0" w:color="auto"/>
      </w:divBdr>
    </w:div>
    <w:div w:id="449664593">
      <w:bodyDiv w:val="1"/>
      <w:marLeft w:val="0"/>
      <w:marRight w:val="0"/>
      <w:marTop w:val="0"/>
      <w:marBottom w:val="0"/>
      <w:divBdr>
        <w:top w:val="none" w:sz="0" w:space="0" w:color="auto"/>
        <w:left w:val="none" w:sz="0" w:space="0" w:color="auto"/>
        <w:bottom w:val="none" w:sz="0" w:space="0" w:color="auto"/>
        <w:right w:val="none" w:sz="0" w:space="0" w:color="auto"/>
      </w:divBdr>
    </w:div>
    <w:div w:id="477041537">
      <w:bodyDiv w:val="1"/>
      <w:marLeft w:val="0"/>
      <w:marRight w:val="0"/>
      <w:marTop w:val="0"/>
      <w:marBottom w:val="0"/>
      <w:divBdr>
        <w:top w:val="none" w:sz="0" w:space="0" w:color="auto"/>
        <w:left w:val="none" w:sz="0" w:space="0" w:color="auto"/>
        <w:bottom w:val="none" w:sz="0" w:space="0" w:color="auto"/>
        <w:right w:val="none" w:sz="0" w:space="0" w:color="auto"/>
      </w:divBdr>
    </w:div>
    <w:div w:id="481656309">
      <w:bodyDiv w:val="1"/>
      <w:marLeft w:val="0"/>
      <w:marRight w:val="0"/>
      <w:marTop w:val="0"/>
      <w:marBottom w:val="0"/>
      <w:divBdr>
        <w:top w:val="none" w:sz="0" w:space="0" w:color="auto"/>
        <w:left w:val="none" w:sz="0" w:space="0" w:color="auto"/>
        <w:bottom w:val="none" w:sz="0" w:space="0" w:color="auto"/>
        <w:right w:val="none" w:sz="0" w:space="0" w:color="auto"/>
      </w:divBdr>
    </w:div>
    <w:div w:id="509178145">
      <w:bodyDiv w:val="1"/>
      <w:marLeft w:val="0"/>
      <w:marRight w:val="0"/>
      <w:marTop w:val="0"/>
      <w:marBottom w:val="0"/>
      <w:divBdr>
        <w:top w:val="none" w:sz="0" w:space="0" w:color="auto"/>
        <w:left w:val="none" w:sz="0" w:space="0" w:color="auto"/>
        <w:bottom w:val="none" w:sz="0" w:space="0" w:color="auto"/>
        <w:right w:val="none" w:sz="0" w:space="0" w:color="auto"/>
      </w:divBdr>
    </w:div>
    <w:div w:id="526942206">
      <w:bodyDiv w:val="1"/>
      <w:marLeft w:val="0"/>
      <w:marRight w:val="0"/>
      <w:marTop w:val="0"/>
      <w:marBottom w:val="0"/>
      <w:divBdr>
        <w:top w:val="none" w:sz="0" w:space="0" w:color="auto"/>
        <w:left w:val="none" w:sz="0" w:space="0" w:color="auto"/>
        <w:bottom w:val="none" w:sz="0" w:space="0" w:color="auto"/>
        <w:right w:val="none" w:sz="0" w:space="0" w:color="auto"/>
      </w:divBdr>
    </w:div>
    <w:div w:id="541133781">
      <w:bodyDiv w:val="1"/>
      <w:marLeft w:val="0"/>
      <w:marRight w:val="0"/>
      <w:marTop w:val="0"/>
      <w:marBottom w:val="0"/>
      <w:divBdr>
        <w:top w:val="none" w:sz="0" w:space="0" w:color="auto"/>
        <w:left w:val="none" w:sz="0" w:space="0" w:color="auto"/>
        <w:bottom w:val="none" w:sz="0" w:space="0" w:color="auto"/>
        <w:right w:val="none" w:sz="0" w:space="0" w:color="auto"/>
      </w:divBdr>
    </w:div>
    <w:div w:id="577178213">
      <w:bodyDiv w:val="1"/>
      <w:marLeft w:val="0"/>
      <w:marRight w:val="0"/>
      <w:marTop w:val="0"/>
      <w:marBottom w:val="0"/>
      <w:divBdr>
        <w:top w:val="none" w:sz="0" w:space="0" w:color="auto"/>
        <w:left w:val="none" w:sz="0" w:space="0" w:color="auto"/>
        <w:bottom w:val="none" w:sz="0" w:space="0" w:color="auto"/>
        <w:right w:val="none" w:sz="0" w:space="0" w:color="auto"/>
      </w:divBdr>
      <w:divsChild>
        <w:div w:id="776020084">
          <w:marLeft w:val="0"/>
          <w:marRight w:val="0"/>
          <w:marTop w:val="0"/>
          <w:marBottom w:val="0"/>
          <w:divBdr>
            <w:top w:val="none" w:sz="0" w:space="0" w:color="auto"/>
            <w:left w:val="none" w:sz="0" w:space="0" w:color="auto"/>
            <w:bottom w:val="none" w:sz="0" w:space="0" w:color="auto"/>
            <w:right w:val="none" w:sz="0" w:space="0" w:color="auto"/>
          </w:divBdr>
          <w:divsChild>
            <w:div w:id="805704660">
              <w:marLeft w:val="0"/>
              <w:marRight w:val="0"/>
              <w:marTop w:val="0"/>
              <w:marBottom w:val="0"/>
              <w:divBdr>
                <w:top w:val="none" w:sz="0" w:space="0" w:color="auto"/>
                <w:left w:val="none" w:sz="0" w:space="0" w:color="auto"/>
                <w:bottom w:val="none" w:sz="0" w:space="0" w:color="auto"/>
                <w:right w:val="none" w:sz="0" w:space="0" w:color="auto"/>
              </w:divBdr>
              <w:divsChild>
                <w:div w:id="19099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243">
          <w:marLeft w:val="0"/>
          <w:marRight w:val="0"/>
          <w:marTop w:val="0"/>
          <w:marBottom w:val="0"/>
          <w:divBdr>
            <w:top w:val="none" w:sz="0" w:space="0" w:color="auto"/>
            <w:left w:val="none" w:sz="0" w:space="0" w:color="auto"/>
            <w:bottom w:val="none" w:sz="0" w:space="0" w:color="auto"/>
            <w:right w:val="none" w:sz="0" w:space="0" w:color="auto"/>
          </w:divBdr>
          <w:divsChild>
            <w:div w:id="2005621459">
              <w:marLeft w:val="0"/>
              <w:marRight w:val="0"/>
              <w:marTop w:val="0"/>
              <w:marBottom w:val="0"/>
              <w:divBdr>
                <w:top w:val="none" w:sz="0" w:space="0" w:color="auto"/>
                <w:left w:val="none" w:sz="0" w:space="0" w:color="auto"/>
                <w:bottom w:val="none" w:sz="0" w:space="0" w:color="auto"/>
                <w:right w:val="none" w:sz="0" w:space="0" w:color="auto"/>
              </w:divBdr>
              <w:divsChild>
                <w:div w:id="616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2296">
      <w:bodyDiv w:val="1"/>
      <w:marLeft w:val="0"/>
      <w:marRight w:val="0"/>
      <w:marTop w:val="0"/>
      <w:marBottom w:val="0"/>
      <w:divBdr>
        <w:top w:val="none" w:sz="0" w:space="0" w:color="auto"/>
        <w:left w:val="none" w:sz="0" w:space="0" w:color="auto"/>
        <w:bottom w:val="none" w:sz="0" w:space="0" w:color="auto"/>
        <w:right w:val="none" w:sz="0" w:space="0" w:color="auto"/>
      </w:divBdr>
    </w:div>
    <w:div w:id="622267131">
      <w:bodyDiv w:val="1"/>
      <w:marLeft w:val="0"/>
      <w:marRight w:val="0"/>
      <w:marTop w:val="0"/>
      <w:marBottom w:val="0"/>
      <w:divBdr>
        <w:top w:val="none" w:sz="0" w:space="0" w:color="auto"/>
        <w:left w:val="none" w:sz="0" w:space="0" w:color="auto"/>
        <w:bottom w:val="none" w:sz="0" w:space="0" w:color="auto"/>
        <w:right w:val="none" w:sz="0" w:space="0" w:color="auto"/>
      </w:divBdr>
    </w:div>
    <w:div w:id="657073110">
      <w:bodyDiv w:val="1"/>
      <w:marLeft w:val="0"/>
      <w:marRight w:val="0"/>
      <w:marTop w:val="0"/>
      <w:marBottom w:val="0"/>
      <w:divBdr>
        <w:top w:val="none" w:sz="0" w:space="0" w:color="auto"/>
        <w:left w:val="none" w:sz="0" w:space="0" w:color="auto"/>
        <w:bottom w:val="none" w:sz="0" w:space="0" w:color="auto"/>
        <w:right w:val="none" w:sz="0" w:space="0" w:color="auto"/>
      </w:divBdr>
    </w:div>
    <w:div w:id="658850047">
      <w:bodyDiv w:val="1"/>
      <w:marLeft w:val="0"/>
      <w:marRight w:val="0"/>
      <w:marTop w:val="0"/>
      <w:marBottom w:val="0"/>
      <w:divBdr>
        <w:top w:val="none" w:sz="0" w:space="0" w:color="auto"/>
        <w:left w:val="none" w:sz="0" w:space="0" w:color="auto"/>
        <w:bottom w:val="none" w:sz="0" w:space="0" w:color="auto"/>
        <w:right w:val="none" w:sz="0" w:space="0" w:color="auto"/>
      </w:divBdr>
    </w:div>
    <w:div w:id="662582203">
      <w:bodyDiv w:val="1"/>
      <w:marLeft w:val="0"/>
      <w:marRight w:val="0"/>
      <w:marTop w:val="0"/>
      <w:marBottom w:val="0"/>
      <w:divBdr>
        <w:top w:val="none" w:sz="0" w:space="0" w:color="auto"/>
        <w:left w:val="none" w:sz="0" w:space="0" w:color="auto"/>
        <w:bottom w:val="none" w:sz="0" w:space="0" w:color="auto"/>
        <w:right w:val="none" w:sz="0" w:space="0" w:color="auto"/>
      </w:divBdr>
    </w:div>
    <w:div w:id="663120116">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732583759">
      <w:bodyDiv w:val="1"/>
      <w:marLeft w:val="0"/>
      <w:marRight w:val="0"/>
      <w:marTop w:val="0"/>
      <w:marBottom w:val="0"/>
      <w:divBdr>
        <w:top w:val="none" w:sz="0" w:space="0" w:color="auto"/>
        <w:left w:val="none" w:sz="0" w:space="0" w:color="auto"/>
        <w:bottom w:val="none" w:sz="0" w:space="0" w:color="auto"/>
        <w:right w:val="none" w:sz="0" w:space="0" w:color="auto"/>
      </w:divBdr>
    </w:div>
    <w:div w:id="794757941">
      <w:bodyDiv w:val="1"/>
      <w:marLeft w:val="0"/>
      <w:marRight w:val="0"/>
      <w:marTop w:val="0"/>
      <w:marBottom w:val="0"/>
      <w:divBdr>
        <w:top w:val="none" w:sz="0" w:space="0" w:color="auto"/>
        <w:left w:val="none" w:sz="0" w:space="0" w:color="auto"/>
        <w:bottom w:val="none" w:sz="0" w:space="0" w:color="auto"/>
        <w:right w:val="none" w:sz="0" w:space="0" w:color="auto"/>
      </w:divBdr>
    </w:div>
    <w:div w:id="799614005">
      <w:bodyDiv w:val="1"/>
      <w:marLeft w:val="0"/>
      <w:marRight w:val="0"/>
      <w:marTop w:val="0"/>
      <w:marBottom w:val="0"/>
      <w:divBdr>
        <w:top w:val="none" w:sz="0" w:space="0" w:color="auto"/>
        <w:left w:val="none" w:sz="0" w:space="0" w:color="auto"/>
        <w:bottom w:val="none" w:sz="0" w:space="0" w:color="auto"/>
        <w:right w:val="none" w:sz="0" w:space="0" w:color="auto"/>
      </w:divBdr>
    </w:div>
    <w:div w:id="813715990">
      <w:bodyDiv w:val="1"/>
      <w:marLeft w:val="0"/>
      <w:marRight w:val="0"/>
      <w:marTop w:val="0"/>
      <w:marBottom w:val="0"/>
      <w:divBdr>
        <w:top w:val="none" w:sz="0" w:space="0" w:color="auto"/>
        <w:left w:val="none" w:sz="0" w:space="0" w:color="auto"/>
        <w:bottom w:val="none" w:sz="0" w:space="0" w:color="auto"/>
        <w:right w:val="none" w:sz="0" w:space="0" w:color="auto"/>
      </w:divBdr>
    </w:div>
    <w:div w:id="837157999">
      <w:bodyDiv w:val="1"/>
      <w:marLeft w:val="0"/>
      <w:marRight w:val="0"/>
      <w:marTop w:val="0"/>
      <w:marBottom w:val="0"/>
      <w:divBdr>
        <w:top w:val="none" w:sz="0" w:space="0" w:color="auto"/>
        <w:left w:val="none" w:sz="0" w:space="0" w:color="auto"/>
        <w:bottom w:val="none" w:sz="0" w:space="0" w:color="auto"/>
        <w:right w:val="none" w:sz="0" w:space="0" w:color="auto"/>
      </w:divBdr>
    </w:div>
    <w:div w:id="850142602">
      <w:bodyDiv w:val="1"/>
      <w:marLeft w:val="0"/>
      <w:marRight w:val="0"/>
      <w:marTop w:val="0"/>
      <w:marBottom w:val="0"/>
      <w:divBdr>
        <w:top w:val="none" w:sz="0" w:space="0" w:color="auto"/>
        <w:left w:val="none" w:sz="0" w:space="0" w:color="auto"/>
        <w:bottom w:val="none" w:sz="0" w:space="0" w:color="auto"/>
        <w:right w:val="none" w:sz="0" w:space="0" w:color="auto"/>
      </w:divBdr>
    </w:div>
    <w:div w:id="854349205">
      <w:bodyDiv w:val="1"/>
      <w:marLeft w:val="0"/>
      <w:marRight w:val="0"/>
      <w:marTop w:val="0"/>
      <w:marBottom w:val="0"/>
      <w:divBdr>
        <w:top w:val="none" w:sz="0" w:space="0" w:color="auto"/>
        <w:left w:val="none" w:sz="0" w:space="0" w:color="auto"/>
        <w:bottom w:val="none" w:sz="0" w:space="0" w:color="auto"/>
        <w:right w:val="none" w:sz="0" w:space="0" w:color="auto"/>
      </w:divBdr>
    </w:div>
    <w:div w:id="859664197">
      <w:bodyDiv w:val="1"/>
      <w:marLeft w:val="0"/>
      <w:marRight w:val="0"/>
      <w:marTop w:val="0"/>
      <w:marBottom w:val="0"/>
      <w:divBdr>
        <w:top w:val="none" w:sz="0" w:space="0" w:color="auto"/>
        <w:left w:val="none" w:sz="0" w:space="0" w:color="auto"/>
        <w:bottom w:val="none" w:sz="0" w:space="0" w:color="auto"/>
        <w:right w:val="none" w:sz="0" w:space="0" w:color="auto"/>
      </w:divBdr>
    </w:div>
    <w:div w:id="865799693">
      <w:bodyDiv w:val="1"/>
      <w:marLeft w:val="0"/>
      <w:marRight w:val="0"/>
      <w:marTop w:val="0"/>
      <w:marBottom w:val="0"/>
      <w:divBdr>
        <w:top w:val="none" w:sz="0" w:space="0" w:color="auto"/>
        <w:left w:val="none" w:sz="0" w:space="0" w:color="auto"/>
        <w:bottom w:val="none" w:sz="0" w:space="0" w:color="auto"/>
        <w:right w:val="none" w:sz="0" w:space="0" w:color="auto"/>
      </w:divBdr>
    </w:div>
    <w:div w:id="934288481">
      <w:bodyDiv w:val="1"/>
      <w:marLeft w:val="0"/>
      <w:marRight w:val="0"/>
      <w:marTop w:val="0"/>
      <w:marBottom w:val="0"/>
      <w:divBdr>
        <w:top w:val="none" w:sz="0" w:space="0" w:color="auto"/>
        <w:left w:val="none" w:sz="0" w:space="0" w:color="auto"/>
        <w:bottom w:val="none" w:sz="0" w:space="0" w:color="auto"/>
        <w:right w:val="none" w:sz="0" w:space="0" w:color="auto"/>
      </w:divBdr>
    </w:div>
    <w:div w:id="944264025">
      <w:bodyDiv w:val="1"/>
      <w:marLeft w:val="0"/>
      <w:marRight w:val="0"/>
      <w:marTop w:val="0"/>
      <w:marBottom w:val="0"/>
      <w:divBdr>
        <w:top w:val="none" w:sz="0" w:space="0" w:color="auto"/>
        <w:left w:val="none" w:sz="0" w:space="0" w:color="auto"/>
        <w:bottom w:val="none" w:sz="0" w:space="0" w:color="auto"/>
        <w:right w:val="none" w:sz="0" w:space="0" w:color="auto"/>
      </w:divBdr>
    </w:div>
    <w:div w:id="972565905">
      <w:bodyDiv w:val="1"/>
      <w:marLeft w:val="0"/>
      <w:marRight w:val="0"/>
      <w:marTop w:val="0"/>
      <w:marBottom w:val="0"/>
      <w:divBdr>
        <w:top w:val="none" w:sz="0" w:space="0" w:color="auto"/>
        <w:left w:val="none" w:sz="0" w:space="0" w:color="auto"/>
        <w:bottom w:val="none" w:sz="0" w:space="0" w:color="auto"/>
        <w:right w:val="none" w:sz="0" w:space="0" w:color="auto"/>
      </w:divBdr>
    </w:div>
    <w:div w:id="977808699">
      <w:bodyDiv w:val="1"/>
      <w:marLeft w:val="0"/>
      <w:marRight w:val="0"/>
      <w:marTop w:val="0"/>
      <w:marBottom w:val="0"/>
      <w:divBdr>
        <w:top w:val="none" w:sz="0" w:space="0" w:color="auto"/>
        <w:left w:val="none" w:sz="0" w:space="0" w:color="auto"/>
        <w:bottom w:val="none" w:sz="0" w:space="0" w:color="auto"/>
        <w:right w:val="none" w:sz="0" w:space="0" w:color="auto"/>
      </w:divBdr>
    </w:div>
    <w:div w:id="980890435">
      <w:bodyDiv w:val="1"/>
      <w:marLeft w:val="0"/>
      <w:marRight w:val="0"/>
      <w:marTop w:val="0"/>
      <w:marBottom w:val="0"/>
      <w:divBdr>
        <w:top w:val="none" w:sz="0" w:space="0" w:color="auto"/>
        <w:left w:val="none" w:sz="0" w:space="0" w:color="auto"/>
        <w:bottom w:val="none" w:sz="0" w:space="0" w:color="auto"/>
        <w:right w:val="none" w:sz="0" w:space="0" w:color="auto"/>
      </w:divBdr>
    </w:div>
    <w:div w:id="1029378547">
      <w:bodyDiv w:val="1"/>
      <w:marLeft w:val="0"/>
      <w:marRight w:val="0"/>
      <w:marTop w:val="0"/>
      <w:marBottom w:val="0"/>
      <w:divBdr>
        <w:top w:val="none" w:sz="0" w:space="0" w:color="auto"/>
        <w:left w:val="none" w:sz="0" w:space="0" w:color="auto"/>
        <w:bottom w:val="none" w:sz="0" w:space="0" w:color="auto"/>
        <w:right w:val="none" w:sz="0" w:space="0" w:color="auto"/>
      </w:divBdr>
    </w:div>
    <w:div w:id="1080366783">
      <w:bodyDiv w:val="1"/>
      <w:marLeft w:val="0"/>
      <w:marRight w:val="0"/>
      <w:marTop w:val="0"/>
      <w:marBottom w:val="0"/>
      <w:divBdr>
        <w:top w:val="none" w:sz="0" w:space="0" w:color="auto"/>
        <w:left w:val="none" w:sz="0" w:space="0" w:color="auto"/>
        <w:bottom w:val="none" w:sz="0" w:space="0" w:color="auto"/>
        <w:right w:val="none" w:sz="0" w:space="0" w:color="auto"/>
      </w:divBdr>
    </w:div>
    <w:div w:id="1107850769">
      <w:bodyDiv w:val="1"/>
      <w:marLeft w:val="0"/>
      <w:marRight w:val="0"/>
      <w:marTop w:val="0"/>
      <w:marBottom w:val="0"/>
      <w:divBdr>
        <w:top w:val="none" w:sz="0" w:space="0" w:color="auto"/>
        <w:left w:val="none" w:sz="0" w:space="0" w:color="auto"/>
        <w:bottom w:val="none" w:sz="0" w:space="0" w:color="auto"/>
        <w:right w:val="none" w:sz="0" w:space="0" w:color="auto"/>
      </w:divBdr>
    </w:div>
    <w:div w:id="1112240832">
      <w:bodyDiv w:val="1"/>
      <w:marLeft w:val="0"/>
      <w:marRight w:val="0"/>
      <w:marTop w:val="0"/>
      <w:marBottom w:val="0"/>
      <w:divBdr>
        <w:top w:val="none" w:sz="0" w:space="0" w:color="auto"/>
        <w:left w:val="none" w:sz="0" w:space="0" w:color="auto"/>
        <w:bottom w:val="none" w:sz="0" w:space="0" w:color="auto"/>
        <w:right w:val="none" w:sz="0" w:space="0" w:color="auto"/>
      </w:divBdr>
    </w:div>
    <w:div w:id="1119568385">
      <w:bodyDiv w:val="1"/>
      <w:marLeft w:val="0"/>
      <w:marRight w:val="0"/>
      <w:marTop w:val="0"/>
      <w:marBottom w:val="0"/>
      <w:divBdr>
        <w:top w:val="none" w:sz="0" w:space="0" w:color="auto"/>
        <w:left w:val="none" w:sz="0" w:space="0" w:color="auto"/>
        <w:bottom w:val="none" w:sz="0" w:space="0" w:color="auto"/>
        <w:right w:val="none" w:sz="0" w:space="0" w:color="auto"/>
      </w:divBdr>
    </w:div>
    <w:div w:id="1120488700">
      <w:bodyDiv w:val="1"/>
      <w:marLeft w:val="0"/>
      <w:marRight w:val="0"/>
      <w:marTop w:val="0"/>
      <w:marBottom w:val="0"/>
      <w:divBdr>
        <w:top w:val="none" w:sz="0" w:space="0" w:color="auto"/>
        <w:left w:val="none" w:sz="0" w:space="0" w:color="auto"/>
        <w:bottom w:val="none" w:sz="0" w:space="0" w:color="auto"/>
        <w:right w:val="none" w:sz="0" w:space="0" w:color="auto"/>
      </w:divBdr>
    </w:div>
    <w:div w:id="1122067849">
      <w:bodyDiv w:val="1"/>
      <w:marLeft w:val="0"/>
      <w:marRight w:val="0"/>
      <w:marTop w:val="0"/>
      <w:marBottom w:val="0"/>
      <w:divBdr>
        <w:top w:val="none" w:sz="0" w:space="0" w:color="auto"/>
        <w:left w:val="none" w:sz="0" w:space="0" w:color="auto"/>
        <w:bottom w:val="none" w:sz="0" w:space="0" w:color="auto"/>
        <w:right w:val="none" w:sz="0" w:space="0" w:color="auto"/>
      </w:divBdr>
    </w:div>
    <w:div w:id="1139686047">
      <w:bodyDiv w:val="1"/>
      <w:marLeft w:val="0"/>
      <w:marRight w:val="0"/>
      <w:marTop w:val="0"/>
      <w:marBottom w:val="0"/>
      <w:divBdr>
        <w:top w:val="none" w:sz="0" w:space="0" w:color="auto"/>
        <w:left w:val="none" w:sz="0" w:space="0" w:color="auto"/>
        <w:bottom w:val="none" w:sz="0" w:space="0" w:color="auto"/>
        <w:right w:val="none" w:sz="0" w:space="0" w:color="auto"/>
      </w:divBdr>
    </w:div>
    <w:div w:id="1191410699">
      <w:bodyDiv w:val="1"/>
      <w:marLeft w:val="0"/>
      <w:marRight w:val="0"/>
      <w:marTop w:val="0"/>
      <w:marBottom w:val="0"/>
      <w:divBdr>
        <w:top w:val="none" w:sz="0" w:space="0" w:color="auto"/>
        <w:left w:val="none" w:sz="0" w:space="0" w:color="auto"/>
        <w:bottom w:val="none" w:sz="0" w:space="0" w:color="auto"/>
        <w:right w:val="none" w:sz="0" w:space="0" w:color="auto"/>
      </w:divBdr>
    </w:div>
    <w:div w:id="1192840063">
      <w:bodyDiv w:val="1"/>
      <w:marLeft w:val="0"/>
      <w:marRight w:val="0"/>
      <w:marTop w:val="0"/>
      <w:marBottom w:val="0"/>
      <w:divBdr>
        <w:top w:val="none" w:sz="0" w:space="0" w:color="auto"/>
        <w:left w:val="none" w:sz="0" w:space="0" w:color="auto"/>
        <w:bottom w:val="none" w:sz="0" w:space="0" w:color="auto"/>
        <w:right w:val="none" w:sz="0" w:space="0" w:color="auto"/>
      </w:divBdr>
    </w:div>
    <w:div w:id="1213342351">
      <w:bodyDiv w:val="1"/>
      <w:marLeft w:val="0"/>
      <w:marRight w:val="0"/>
      <w:marTop w:val="0"/>
      <w:marBottom w:val="0"/>
      <w:divBdr>
        <w:top w:val="none" w:sz="0" w:space="0" w:color="auto"/>
        <w:left w:val="none" w:sz="0" w:space="0" w:color="auto"/>
        <w:bottom w:val="none" w:sz="0" w:space="0" w:color="auto"/>
        <w:right w:val="none" w:sz="0" w:space="0" w:color="auto"/>
      </w:divBdr>
    </w:div>
    <w:div w:id="1214579564">
      <w:bodyDiv w:val="1"/>
      <w:marLeft w:val="0"/>
      <w:marRight w:val="0"/>
      <w:marTop w:val="0"/>
      <w:marBottom w:val="0"/>
      <w:divBdr>
        <w:top w:val="none" w:sz="0" w:space="0" w:color="auto"/>
        <w:left w:val="none" w:sz="0" w:space="0" w:color="auto"/>
        <w:bottom w:val="none" w:sz="0" w:space="0" w:color="auto"/>
        <w:right w:val="none" w:sz="0" w:space="0" w:color="auto"/>
      </w:divBdr>
    </w:div>
    <w:div w:id="1232081877">
      <w:bodyDiv w:val="1"/>
      <w:marLeft w:val="0"/>
      <w:marRight w:val="0"/>
      <w:marTop w:val="0"/>
      <w:marBottom w:val="0"/>
      <w:divBdr>
        <w:top w:val="none" w:sz="0" w:space="0" w:color="auto"/>
        <w:left w:val="none" w:sz="0" w:space="0" w:color="auto"/>
        <w:bottom w:val="none" w:sz="0" w:space="0" w:color="auto"/>
        <w:right w:val="none" w:sz="0" w:space="0" w:color="auto"/>
      </w:divBdr>
    </w:div>
    <w:div w:id="1260407982">
      <w:bodyDiv w:val="1"/>
      <w:marLeft w:val="0"/>
      <w:marRight w:val="0"/>
      <w:marTop w:val="0"/>
      <w:marBottom w:val="0"/>
      <w:divBdr>
        <w:top w:val="none" w:sz="0" w:space="0" w:color="auto"/>
        <w:left w:val="none" w:sz="0" w:space="0" w:color="auto"/>
        <w:bottom w:val="none" w:sz="0" w:space="0" w:color="auto"/>
        <w:right w:val="none" w:sz="0" w:space="0" w:color="auto"/>
      </w:divBdr>
    </w:div>
    <w:div w:id="1274050676">
      <w:bodyDiv w:val="1"/>
      <w:marLeft w:val="0"/>
      <w:marRight w:val="0"/>
      <w:marTop w:val="0"/>
      <w:marBottom w:val="0"/>
      <w:divBdr>
        <w:top w:val="none" w:sz="0" w:space="0" w:color="auto"/>
        <w:left w:val="none" w:sz="0" w:space="0" w:color="auto"/>
        <w:bottom w:val="none" w:sz="0" w:space="0" w:color="auto"/>
        <w:right w:val="none" w:sz="0" w:space="0" w:color="auto"/>
      </w:divBdr>
    </w:div>
    <w:div w:id="1298953560">
      <w:bodyDiv w:val="1"/>
      <w:marLeft w:val="0"/>
      <w:marRight w:val="0"/>
      <w:marTop w:val="0"/>
      <w:marBottom w:val="0"/>
      <w:divBdr>
        <w:top w:val="none" w:sz="0" w:space="0" w:color="auto"/>
        <w:left w:val="none" w:sz="0" w:space="0" w:color="auto"/>
        <w:bottom w:val="none" w:sz="0" w:space="0" w:color="auto"/>
        <w:right w:val="none" w:sz="0" w:space="0" w:color="auto"/>
      </w:divBdr>
    </w:div>
    <w:div w:id="1391349381">
      <w:bodyDiv w:val="1"/>
      <w:marLeft w:val="0"/>
      <w:marRight w:val="0"/>
      <w:marTop w:val="0"/>
      <w:marBottom w:val="0"/>
      <w:divBdr>
        <w:top w:val="none" w:sz="0" w:space="0" w:color="auto"/>
        <w:left w:val="none" w:sz="0" w:space="0" w:color="auto"/>
        <w:bottom w:val="none" w:sz="0" w:space="0" w:color="auto"/>
        <w:right w:val="none" w:sz="0" w:space="0" w:color="auto"/>
      </w:divBdr>
    </w:div>
    <w:div w:id="1465587775">
      <w:bodyDiv w:val="1"/>
      <w:marLeft w:val="0"/>
      <w:marRight w:val="0"/>
      <w:marTop w:val="0"/>
      <w:marBottom w:val="0"/>
      <w:divBdr>
        <w:top w:val="none" w:sz="0" w:space="0" w:color="auto"/>
        <w:left w:val="none" w:sz="0" w:space="0" w:color="auto"/>
        <w:bottom w:val="none" w:sz="0" w:space="0" w:color="auto"/>
        <w:right w:val="none" w:sz="0" w:space="0" w:color="auto"/>
      </w:divBdr>
    </w:div>
    <w:div w:id="1479610235">
      <w:bodyDiv w:val="1"/>
      <w:marLeft w:val="0"/>
      <w:marRight w:val="0"/>
      <w:marTop w:val="0"/>
      <w:marBottom w:val="0"/>
      <w:divBdr>
        <w:top w:val="none" w:sz="0" w:space="0" w:color="auto"/>
        <w:left w:val="none" w:sz="0" w:space="0" w:color="auto"/>
        <w:bottom w:val="none" w:sz="0" w:space="0" w:color="auto"/>
        <w:right w:val="none" w:sz="0" w:space="0" w:color="auto"/>
      </w:divBdr>
    </w:div>
    <w:div w:id="1505167794">
      <w:bodyDiv w:val="1"/>
      <w:marLeft w:val="0"/>
      <w:marRight w:val="0"/>
      <w:marTop w:val="0"/>
      <w:marBottom w:val="0"/>
      <w:divBdr>
        <w:top w:val="none" w:sz="0" w:space="0" w:color="auto"/>
        <w:left w:val="none" w:sz="0" w:space="0" w:color="auto"/>
        <w:bottom w:val="none" w:sz="0" w:space="0" w:color="auto"/>
        <w:right w:val="none" w:sz="0" w:space="0" w:color="auto"/>
      </w:divBdr>
    </w:div>
    <w:div w:id="1540121698">
      <w:bodyDiv w:val="1"/>
      <w:marLeft w:val="0"/>
      <w:marRight w:val="0"/>
      <w:marTop w:val="0"/>
      <w:marBottom w:val="0"/>
      <w:divBdr>
        <w:top w:val="none" w:sz="0" w:space="0" w:color="auto"/>
        <w:left w:val="none" w:sz="0" w:space="0" w:color="auto"/>
        <w:bottom w:val="none" w:sz="0" w:space="0" w:color="auto"/>
        <w:right w:val="none" w:sz="0" w:space="0" w:color="auto"/>
      </w:divBdr>
    </w:div>
    <w:div w:id="1555308722">
      <w:bodyDiv w:val="1"/>
      <w:marLeft w:val="0"/>
      <w:marRight w:val="0"/>
      <w:marTop w:val="0"/>
      <w:marBottom w:val="0"/>
      <w:divBdr>
        <w:top w:val="none" w:sz="0" w:space="0" w:color="auto"/>
        <w:left w:val="none" w:sz="0" w:space="0" w:color="auto"/>
        <w:bottom w:val="none" w:sz="0" w:space="0" w:color="auto"/>
        <w:right w:val="none" w:sz="0" w:space="0" w:color="auto"/>
      </w:divBdr>
    </w:div>
    <w:div w:id="1568607078">
      <w:bodyDiv w:val="1"/>
      <w:marLeft w:val="0"/>
      <w:marRight w:val="0"/>
      <w:marTop w:val="0"/>
      <w:marBottom w:val="0"/>
      <w:divBdr>
        <w:top w:val="none" w:sz="0" w:space="0" w:color="auto"/>
        <w:left w:val="none" w:sz="0" w:space="0" w:color="auto"/>
        <w:bottom w:val="none" w:sz="0" w:space="0" w:color="auto"/>
        <w:right w:val="none" w:sz="0" w:space="0" w:color="auto"/>
      </w:divBdr>
    </w:div>
    <w:div w:id="1638951563">
      <w:bodyDiv w:val="1"/>
      <w:marLeft w:val="0"/>
      <w:marRight w:val="0"/>
      <w:marTop w:val="0"/>
      <w:marBottom w:val="0"/>
      <w:divBdr>
        <w:top w:val="none" w:sz="0" w:space="0" w:color="auto"/>
        <w:left w:val="none" w:sz="0" w:space="0" w:color="auto"/>
        <w:bottom w:val="none" w:sz="0" w:space="0" w:color="auto"/>
        <w:right w:val="none" w:sz="0" w:space="0" w:color="auto"/>
      </w:divBdr>
    </w:div>
    <w:div w:id="1658413712">
      <w:bodyDiv w:val="1"/>
      <w:marLeft w:val="0"/>
      <w:marRight w:val="0"/>
      <w:marTop w:val="0"/>
      <w:marBottom w:val="0"/>
      <w:divBdr>
        <w:top w:val="none" w:sz="0" w:space="0" w:color="auto"/>
        <w:left w:val="none" w:sz="0" w:space="0" w:color="auto"/>
        <w:bottom w:val="none" w:sz="0" w:space="0" w:color="auto"/>
        <w:right w:val="none" w:sz="0" w:space="0" w:color="auto"/>
      </w:divBdr>
    </w:div>
    <w:div w:id="1687444940">
      <w:bodyDiv w:val="1"/>
      <w:marLeft w:val="0"/>
      <w:marRight w:val="0"/>
      <w:marTop w:val="0"/>
      <w:marBottom w:val="0"/>
      <w:divBdr>
        <w:top w:val="none" w:sz="0" w:space="0" w:color="auto"/>
        <w:left w:val="none" w:sz="0" w:space="0" w:color="auto"/>
        <w:bottom w:val="none" w:sz="0" w:space="0" w:color="auto"/>
        <w:right w:val="none" w:sz="0" w:space="0" w:color="auto"/>
      </w:divBdr>
    </w:div>
    <w:div w:id="1694919465">
      <w:bodyDiv w:val="1"/>
      <w:marLeft w:val="0"/>
      <w:marRight w:val="0"/>
      <w:marTop w:val="0"/>
      <w:marBottom w:val="0"/>
      <w:divBdr>
        <w:top w:val="none" w:sz="0" w:space="0" w:color="auto"/>
        <w:left w:val="none" w:sz="0" w:space="0" w:color="auto"/>
        <w:bottom w:val="none" w:sz="0" w:space="0" w:color="auto"/>
        <w:right w:val="none" w:sz="0" w:space="0" w:color="auto"/>
      </w:divBdr>
    </w:div>
    <w:div w:id="1697996313">
      <w:bodyDiv w:val="1"/>
      <w:marLeft w:val="0"/>
      <w:marRight w:val="0"/>
      <w:marTop w:val="0"/>
      <w:marBottom w:val="0"/>
      <w:divBdr>
        <w:top w:val="none" w:sz="0" w:space="0" w:color="auto"/>
        <w:left w:val="none" w:sz="0" w:space="0" w:color="auto"/>
        <w:bottom w:val="none" w:sz="0" w:space="0" w:color="auto"/>
        <w:right w:val="none" w:sz="0" w:space="0" w:color="auto"/>
      </w:divBdr>
    </w:div>
    <w:div w:id="1706640879">
      <w:bodyDiv w:val="1"/>
      <w:marLeft w:val="0"/>
      <w:marRight w:val="0"/>
      <w:marTop w:val="0"/>
      <w:marBottom w:val="0"/>
      <w:divBdr>
        <w:top w:val="none" w:sz="0" w:space="0" w:color="auto"/>
        <w:left w:val="none" w:sz="0" w:space="0" w:color="auto"/>
        <w:bottom w:val="none" w:sz="0" w:space="0" w:color="auto"/>
        <w:right w:val="none" w:sz="0" w:space="0" w:color="auto"/>
      </w:divBdr>
    </w:div>
    <w:div w:id="1720744020">
      <w:bodyDiv w:val="1"/>
      <w:marLeft w:val="0"/>
      <w:marRight w:val="0"/>
      <w:marTop w:val="0"/>
      <w:marBottom w:val="0"/>
      <w:divBdr>
        <w:top w:val="none" w:sz="0" w:space="0" w:color="auto"/>
        <w:left w:val="none" w:sz="0" w:space="0" w:color="auto"/>
        <w:bottom w:val="none" w:sz="0" w:space="0" w:color="auto"/>
        <w:right w:val="none" w:sz="0" w:space="0" w:color="auto"/>
      </w:divBdr>
    </w:div>
    <w:div w:id="1763525619">
      <w:bodyDiv w:val="1"/>
      <w:marLeft w:val="0"/>
      <w:marRight w:val="0"/>
      <w:marTop w:val="0"/>
      <w:marBottom w:val="0"/>
      <w:divBdr>
        <w:top w:val="none" w:sz="0" w:space="0" w:color="auto"/>
        <w:left w:val="none" w:sz="0" w:space="0" w:color="auto"/>
        <w:bottom w:val="none" w:sz="0" w:space="0" w:color="auto"/>
        <w:right w:val="none" w:sz="0" w:space="0" w:color="auto"/>
      </w:divBdr>
    </w:div>
    <w:div w:id="1780568075">
      <w:bodyDiv w:val="1"/>
      <w:marLeft w:val="0"/>
      <w:marRight w:val="0"/>
      <w:marTop w:val="0"/>
      <w:marBottom w:val="0"/>
      <w:divBdr>
        <w:top w:val="none" w:sz="0" w:space="0" w:color="auto"/>
        <w:left w:val="none" w:sz="0" w:space="0" w:color="auto"/>
        <w:bottom w:val="none" w:sz="0" w:space="0" w:color="auto"/>
        <w:right w:val="none" w:sz="0" w:space="0" w:color="auto"/>
      </w:divBdr>
    </w:div>
    <w:div w:id="1810438502">
      <w:bodyDiv w:val="1"/>
      <w:marLeft w:val="0"/>
      <w:marRight w:val="0"/>
      <w:marTop w:val="0"/>
      <w:marBottom w:val="0"/>
      <w:divBdr>
        <w:top w:val="none" w:sz="0" w:space="0" w:color="auto"/>
        <w:left w:val="none" w:sz="0" w:space="0" w:color="auto"/>
        <w:bottom w:val="none" w:sz="0" w:space="0" w:color="auto"/>
        <w:right w:val="none" w:sz="0" w:space="0" w:color="auto"/>
      </w:divBdr>
    </w:div>
    <w:div w:id="1814443718">
      <w:bodyDiv w:val="1"/>
      <w:marLeft w:val="0"/>
      <w:marRight w:val="0"/>
      <w:marTop w:val="0"/>
      <w:marBottom w:val="0"/>
      <w:divBdr>
        <w:top w:val="none" w:sz="0" w:space="0" w:color="auto"/>
        <w:left w:val="none" w:sz="0" w:space="0" w:color="auto"/>
        <w:bottom w:val="none" w:sz="0" w:space="0" w:color="auto"/>
        <w:right w:val="none" w:sz="0" w:space="0" w:color="auto"/>
      </w:divBdr>
    </w:div>
    <w:div w:id="1820731980">
      <w:bodyDiv w:val="1"/>
      <w:marLeft w:val="0"/>
      <w:marRight w:val="0"/>
      <w:marTop w:val="0"/>
      <w:marBottom w:val="0"/>
      <w:divBdr>
        <w:top w:val="none" w:sz="0" w:space="0" w:color="auto"/>
        <w:left w:val="none" w:sz="0" w:space="0" w:color="auto"/>
        <w:bottom w:val="none" w:sz="0" w:space="0" w:color="auto"/>
        <w:right w:val="none" w:sz="0" w:space="0" w:color="auto"/>
      </w:divBdr>
    </w:div>
    <w:div w:id="1843202509">
      <w:bodyDiv w:val="1"/>
      <w:marLeft w:val="0"/>
      <w:marRight w:val="0"/>
      <w:marTop w:val="0"/>
      <w:marBottom w:val="0"/>
      <w:divBdr>
        <w:top w:val="none" w:sz="0" w:space="0" w:color="auto"/>
        <w:left w:val="none" w:sz="0" w:space="0" w:color="auto"/>
        <w:bottom w:val="none" w:sz="0" w:space="0" w:color="auto"/>
        <w:right w:val="none" w:sz="0" w:space="0" w:color="auto"/>
      </w:divBdr>
    </w:div>
    <w:div w:id="1845902811">
      <w:bodyDiv w:val="1"/>
      <w:marLeft w:val="0"/>
      <w:marRight w:val="0"/>
      <w:marTop w:val="0"/>
      <w:marBottom w:val="0"/>
      <w:divBdr>
        <w:top w:val="none" w:sz="0" w:space="0" w:color="auto"/>
        <w:left w:val="none" w:sz="0" w:space="0" w:color="auto"/>
        <w:bottom w:val="none" w:sz="0" w:space="0" w:color="auto"/>
        <w:right w:val="none" w:sz="0" w:space="0" w:color="auto"/>
      </w:divBdr>
      <w:divsChild>
        <w:div w:id="344346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7792593">
      <w:bodyDiv w:val="1"/>
      <w:marLeft w:val="0"/>
      <w:marRight w:val="0"/>
      <w:marTop w:val="0"/>
      <w:marBottom w:val="0"/>
      <w:divBdr>
        <w:top w:val="none" w:sz="0" w:space="0" w:color="auto"/>
        <w:left w:val="none" w:sz="0" w:space="0" w:color="auto"/>
        <w:bottom w:val="none" w:sz="0" w:space="0" w:color="auto"/>
        <w:right w:val="none" w:sz="0" w:space="0" w:color="auto"/>
      </w:divBdr>
    </w:div>
    <w:div w:id="1860777852">
      <w:bodyDiv w:val="1"/>
      <w:marLeft w:val="0"/>
      <w:marRight w:val="0"/>
      <w:marTop w:val="0"/>
      <w:marBottom w:val="0"/>
      <w:divBdr>
        <w:top w:val="none" w:sz="0" w:space="0" w:color="auto"/>
        <w:left w:val="none" w:sz="0" w:space="0" w:color="auto"/>
        <w:bottom w:val="none" w:sz="0" w:space="0" w:color="auto"/>
        <w:right w:val="none" w:sz="0" w:space="0" w:color="auto"/>
      </w:divBdr>
    </w:div>
    <w:div w:id="1876186597">
      <w:bodyDiv w:val="1"/>
      <w:marLeft w:val="0"/>
      <w:marRight w:val="0"/>
      <w:marTop w:val="0"/>
      <w:marBottom w:val="0"/>
      <w:divBdr>
        <w:top w:val="none" w:sz="0" w:space="0" w:color="auto"/>
        <w:left w:val="none" w:sz="0" w:space="0" w:color="auto"/>
        <w:bottom w:val="none" w:sz="0" w:space="0" w:color="auto"/>
        <w:right w:val="none" w:sz="0" w:space="0" w:color="auto"/>
      </w:divBdr>
    </w:div>
    <w:div w:id="1908567906">
      <w:bodyDiv w:val="1"/>
      <w:marLeft w:val="0"/>
      <w:marRight w:val="0"/>
      <w:marTop w:val="0"/>
      <w:marBottom w:val="0"/>
      <w:divBdr>
        <w:top w:val="none" w:sz="0" w:space="0" w:color="auto"/>
        <w:left w:val="none" w:sz="0" w:space="0" w:color="auto"/>
        <w:bottom w:val="none" w:sz="0" w:space="0" w:color="auto"/>
        <w:right w:val="none" w:sz="0" w:space="0" w:color="auto"/>
      </w:divBdr>
    </w:div>
    <w:div w:id="1931155532">
      <w:bodyDiv w:val="1"/>
      <w:marLeft w:val="0"/>
      <w:marRight w:val="0"/>
      <w:marTop w:val="0"/>
      <w:marBottom w:val="0"/>
      <w:divBdr>
        <w:top w:val="none" w:sz="0" w:space="0" w:color="auto"/>
        <w:left w:val="none" w:sz="0" w:space="0" w:color="auto"/>
        <w:bottom w:val="none" w:sz="0" w:space="0" w:color="auto"/>
        <w:right w:val="none" w:sz="0" w:space="0" w:color="auto"/>
      </w:divBdr>
    </w:div>
    <w:div w:id="1946765350">
      <w:bodyDiv w:val="1"/>
      <w:marLeft w:val="0"/>
      <w:marRight w:val="0"/>
      <w:marTop w:val="0"/>
      <w:marBottom w:val="0"/>
      <w:divBdr>
        <w:top w:val="none" w:sz="0" w:space="0" w:color="auto"/>
        <w:left w:val="none" w:sz="0" w:space="0" w:color="auto"/>
        <w:bottom w:val="none" w:sz="0" w:space="0" w:color="auto"/>
        <w:right w:val="none" w:sz="0" w:space="0" w:color="auto"/>
      </w:divBdr>
    </w:div>
    <w:div w:id="1951861725">
      <w:bodyDiv w:val="1"/>
      <w:marLeft w:val="0"/>
      <w:marRight w:val="0"/>
      <w:marTop w:val="0"/>
      <w:marBottom w:val="0"/>
      <w:divBdr>
        <w:top w:val="none" w:sz="0" w:space="0" w:color="auto"/>
        <w:left w:val="none" w:sz="0" w:space="0" w:color="auto"/>
        <w:bottom w:val="none" w:sz="0" w:space="0" w:color="auto"/>
        <w:right w:val="none" w:sz="0" w:space="0" w:color="auto"/>
      </w:divBdr>
    </w:div>
    <w:div w:id="2033217229">
      <w:bodyDiv w:val="1"/>
      <w:marLeft w:val="0"/>
      <w:marRight w:val="0"/>
      <w:marTop w:val="0"/>
      <w:marBottom w:val="0"/>
      <w:divBdr>
        <w:top w:val="none" w:sz="0" w:space="0" w:color="auto"/>
        <w:left w:val="none" w:sz="0" w:space="0" w:color="auto"/>
        <w:bottom w:val="none" w:sz="0" w:space="0" w:color="auto"/>
        <w:right w:val="none" w:sz="0" w:space="0" w:color="auto"/>
      </w:divBdr>
    </w:div>
    <w:div w:id="2040276514">
      <w:bodyDiv w:val="1"/>
      <w:marLeft w:val="0"/>
      <w:marRight w:val="0"/>
      <w:marTop w:val="0"/>
      <w:marBottom w:val="0"/>
      <w:divBdr>
        <w:top w:val="none" w:sz="0" w:space="0" w:color="auto"/>
        <w:left w:val="none" w:sz="0" w:space="0" w:color="auto"/>
        <w:bottom w:val="none" w:sz="0" w:space="0" w:color="auto"/>
        <w:right w:val="none" w:sz="0" w:space="0" w:color="auto"/>
      </w:divBdr>
    </w:div>
    <w:div w:id="2094663025">
      <w:bodyDiv w:val="1"/>
      <w:marLeft w:val="0"/>
      <w:marRight w:val="0"/>
      <w:marTop w:val="0"/>
      <w:marBottom w:val="0"/>
      <w:divBdr>
        <w:top w:val="none" w:sz="0" w:space="0" w:color="auto"/>
        <w:left w:val="none" w:sz="0" w:space="0" w:color="auto"/>
        <w:bottom w:val="none" w:sz="0" w:space="0" w:color="auto"/>
        <w:right w:val="none" w:sz="0" w:space="0" w:color="auto"/>
      </w:divBdr>
    </w:div>
    <w:div w:id="2099447361">
      <w:bodyDiv w:val="1"/>
      <w:marLeft w:val="0"/>
      <w:marRight w:val="0"/>
      <w:marTop w:val="0"/>
      <w:marBottom w:val="0"/>
      <w:divBdr>
        <w:top w:val="none" w:sz="0" w:space="0" w:color="auto"/>
        <w:left w:val="none" w:sz="0" w:space="0" w:color="auto"/>
        <w:bottom w:val="none" w:sz="0" w:space="0" w:color="auto"/>
        <w:right w:val="none" w:sz="0" w:space="0" w:color="auto"/>
      </w:divBdr>
    </w:div>
    <w:div w:id="2110929743">
      <w:bodyDiv w:val="1"/>
      <w:marLeft w:val="0"/>
      <w:marRight w:val="0"/>
      <w:marTop w:val="0"/>
      <w:marBottom w:val="0"/>
      <w:divBdr>
        <w:top w:val="none" w:sz="0" w:space="0" w:color="auto"/>
        <w:left w:val="none" w:sz="0" w:space="0" w:color="auto"/>
        <w:bottom w:val="none" w:sz="0" w:space="0" w:color="auto"/>
        <w:right w:val="none" w:sz="0" w:space="0" w:color="auto"/>
      </w:divBdr>
      <w:divsChild>
        <w:div w:id="694236056">
          <w:marLeft w:val="0"/>
          <w:marRight w:val="0"/>
          <w:marTop w:val="0"/>
          <w:marBottom w:val="0"/>
          <w:divBdr>
            <w:top w:val="none" w:sz="0" w:space="0" w:color="auto"/>
            <w:left w:val="none" w:sz="0" w:space="0" w:color="auto"/>
            <w:bottom w:val="none" w:sz="0" w:space="0" w:color="auto"/>
            <w:right w:val="none" w:sz="0" w:space="0" w:color="auto"/>
          </w:divBdr>
          <w:divsChild>
            <w:div w:id="1664965940">
              <w:marLeft w:val="0"/>
              <w:marRight w:val="0"/>
              <w:marTop w:val="0"/>
              <w:marBottom w:val="0"/>
              <w:divBdr>
                <w:top w:val="none" w:sz="0" w:space="0" w:color="auto"/>
                <w:left w:val="none" w:sz="0" w:space="0" w:color="auto"/>
                <w:bottom w:val="none" w:sz="0" w:space="0" w:color="auto"/>
                <w:right w:val="none" w:sz="0" w:space="0" w:color="auto"/>
              </w:divBdr>
              <w:divsChild>
                <w:div w:id="651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5961">
          <w:marLeft w:val="0"/>
          <w:marRight w:val="0"/>
          <w:marTop w:val="0"/>
          <w:marBottom w:val="120"/>
          <w:divBdr>
            <w:top w:val="none" w:sz="0" w:space="0" w:color="auto"/>
            <w:left w:val="none" w:sz="0" w:space="0" w:color="auto"/>
            <w:bottom w:val="none" w:sz="0" w:space="0" w:color="auto"/>
            <w:right w:val="none" w:sz="0" w:space="0" w:color="auto"/>
          </w:divBdr>
          <w:divsChild>
            <w:div w:id="1622494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0685345">
      <w:bodyDiv w:val="1"/>
      <w:marLeft w:val="0"/>
      <w:marRight w:val="0"/>
      <w:marTop w:val="0"/>
      <w:marBottom w:val="0"/>
      <w:divBdr>
        <w:top w:val="none" w:sz="0" w:space="0" w:color="auto"/>
        <w:left w:val="none" w:sz="0" w:space="0" w:color="auto"/>
        <w:bottom w:val="none" w:sz="0" w:space="0" w:color="auto"/>
        <w:right w:val="none" w:sz="0" w:space="0" w:color="auto"/>
      </w:divBdr>
    </w:div>
    <w:div w:id="2122678031">
      <w:bodyDiv w:val="1"/>
      <w:marLeft w:val="0"/>
      <w:marRight w:val="0"/>
      <w:marTop w:val="0"/>
      <w:marBottom w:val="0"/>
      <w:divBdr>
        <w:top w:val="none" w:sz="0" w:space="0" w:color="auto"/>
        <w:left w:val="none" w:sz="0" w:space="0" w:color="auto"/>
        <w:bottom w:val="none" w:sz="0" w:space="0" w:color="auto"/>
        <w:right w:val="none" w:sz="0" w:space="0" w:color="auto"/>
      </w:divBdr>
    </w:div>
    <w:div w:id="21242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ailymirror.lk%2Fprint%2Ffront_page%2FWelikada-Prison-Riot-case-judgement-postponed-to-January-12%2F238-228504&amp;data=04%7C01%7Cjuan.fernandez%40one.un.org%7Caf078aee3ccd453f650108d9d6680dae%7Cb3e5db5e2944483799f57488ace54319%7C0%7C0%7C637776564676463204%7CUnknown%7CTWFpbGZsb3d8eyJWIjoiMC4wLjAwMDAiLCJQIjoiV2luMzIiLCJBTiI6Ik1haWwiLCJXVCI6Mn0%3D%7C3000&amp;sdata=bAluxT7nzZpHwD8xGh65TeTPreJ7cy9eTQOwPXO7Ak0%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HRBodies/HRC/RegularSessions/Session46/Pages/ListReports.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hedocs.worldbank.org/en/doc/15b8de0edd4f39cc7a82b7aff8430576-0310062021/original/SriLanka-DevUpd-Apr9.pdf" TargetMode="External"/><Relationship Id="rId13" Type="http://schemas.openxmlformats.org/officeDocument/2006/relationships/hyperlink" Target="https://www.ohchr.org/Documents/Countries/NHRI/GANHRI/SCA-Report-October-2021_E.pdf" TargetMode="External"/><Relationship Id="rId18" Type="http://schemas.openxmlformats.org/officeDocument/2006/relationships/hyperlink" Target="https://www.un.int/srilanka/news/president-addresses-general-debate-76th-session-general-assembly-un-new-york-21-27-september" TargetMode="External"/><Relationship Id="rId26" Type="http://schemas.openxmlformats.org/officeDocument/2006/relationships/hyperlink" Target="http://www.documents.gov.lk/files/egz/2021/3/2218-68_E.pdf" TargetMode="External"/><Relationship Id="rId3" Type="http://schemas.openxmlformats.org/officeDocument/2006/relationships/hyperlink" Target="https://spcommreports.ohchr.org/TMResultsBase/DownLoadFile?gId=36694" TargetMode="External"/><Relationship Id="rId21" Type="http://schemas.openxmlformats.org/officeDocument/2006/relationships/hyperlink" Target="https://www.army.lk/news/gigantic-%E2%80%98sanda-hiru-seya%E2%80%99-offered-maha-sangha-immortalizing-memories-%E2%80%98ranaviru%E2%80%99-sacrifices" TargetMode="External"/><Relationship Id="rId7" Type="http://schemas.openxmlformats.org/officeDocument/2006/relationships/hyperlink" Target="https://www.worldbank.org/en/country/srilanka/overview" TargetMode="External"/><Relationship Id="rId12" Type="http://schemas.openxmlformats.org/officeDocument/2006/relationships/hyperlink" Target="https://www.themorning.lk/no-warrant-needed-for-fake-news-arrests/" TargetMode="External"/><Relationship Id="rId17" Type="http://schemas.openxmlformats.org/officeDocument/2006/relationships/hyperlink" Target="http://documents.gov.lk/en/gazette.php" TargetMode="External"/><Relationship Id="rId25" Type="http://schemas.openxmlformats.org/officeDocument/2006/relationships/hyperlink" Target="https://basl.lk/statement-killing-of-a-suspect-in-police-custody/" TargetMode="External"/><Relationship Id="rId2" Type="http://schemas.openxmlformats.org/officeDocument/2006/relationships/hyperlink" Target="https://www.ohchr.org/EN/NewsEvents/Pages/DisplayNews.aspx?NewsID=26725&amp;LangID=E" TargetMode="External"/><Relationship Id="rId16" Type="http://schemas.openxmlformats.org/officeDocument/2006/relationships/hyperlink" Target="https://www.presidentsoffice.gov.lk/wp-content/uploads/2021/12/2259-02_E.pdf" TargetMode="External"/><Relationship Id="rId20" Type="http://schemas.openxmlformats.org/officeDocument/2006/relationships/hyperlink" Target="https://www.themorning.lk/antiquities-excavation-in-north-east-work-commences-on-10-sites/" TargetMode="External"/><Relationship Id="rId1" Type="http://schemas.openxmlformats.org/officeDocument/2006/relationships/hyperlink" Target="https://www.ohchr.org/EN/NewsEvents/Pages/DisplayNews.aspx?NewsID=27895&amp;LangID=E" TargetMode="External"/><Relationship Id="rId6" Type="http://schemas.openxmlformats.org/officeDocument/2006/relationships/hyperlink" Target="https://spcommreports.ohchr.org/TMResultsBase/DownLoadFile?gId=36496" TargetMode="External"/><Relationship Id="rId11" Type="http://schemas.openxmlformats.org/officeDocument/2006/relationships/hyperlink" Target="https://www.worldbank.org/en/country/srilanka/overview" TargetMode="External"/><Relationship Id="rId24" Type="http://schemas.openxmlformats.org/officeDocument/2006/relationships/hyperlink" Target="https://basl.lk/statement-killing-of-a-suspect-in-police-custody/" TargetMode="External"/><Relationship Id="rId5" Type="http://schemas.openxmlformats.org/officeDocument/2006/relationships/hyperlink" Target="https://spcommreports.ohchr.org/TMResultsBase/DownLoadFile?gId=36580" TargetMode="External"/><Relationship Id="rId15" Type="http://schemas.openxmlformats.org/officeDocument/2006/relationships/hyperlink" Target="http://www.dailynews.lk/2021/12/06/local/266508/president-orders-setting-green-agriculture-operations-centre" TargetMode="External"/><Relationship Id="rId23" Type="http://schemas.openxmlformats.org/officeDocument/2006/relationships/hyperlink" Target="https://www.newswire.lk/2021/03/13/i-signed-the-cabinet-paper-yesterday-to-ban-wearing-burqa-in-sl-minister-audio/" TargetMode="External"/><Relationship Id="rId28" Type="http://schemas.openxmlformats.org/officeDocument/2006/relationships/hyperlink" Target="https://www.ohchr.org/EN/HRBodies/HRC/Pages/Sri-Lanka-accountability-project.aspx" TargetMode="External"/><Relationship Id="rId10" Type="http://schemas.openxmlformats.org/officeDocument/2006/relationships/hyperlink" Target="https://www.ips.lk/talkingeconomics/2020/05/14/repatriation-and-replacement-of-lost-foreign-jobs-handling-labour-migration-in-sri-lanka-during-covid-19/" TargetMode="External"/><Relationship Id="rId19" Type="http://schemas.openxmlformats.org/officeDocument/2006/relationships/hyperlink" Target="https://vimeo.com/519934257" TargetMode="External"/><Relationship Id="rId4" Type="http://schemas.openxmlformats.org/officeDocument/2006/relationships/hyperlink" Target="https://spcommreports.ohchr.org/TMResultsBase/DownLoadFile?gId=36775" TargetMode="External"/><Relationship Id="rId9" Type="http://schemas.openxmlformats.org/officeDocument/2006/relationships/hyperlink" Target="https://www.ilo.org/asia/publications/issue-briefs/WCMS_758626/lang--en/index.htm" TargetMode="External"/><Relationship Id="rId14" Type="http://schemas.openxmlformats.org/officeDocument/2006/relationships/hyperlink" Target="http://documents.gov.lk/files/egz/2021/8/2243-05_E.pdf" TargetMode="External"/><Relationship Id="rId22" Type="http://schemas.openxmlformats.org/officeDocument/2006/relationships/hyperlink" Target="https://www.themorning.lk/niqab-included-in-proposed-ban/" TargetMode="External"/><Relationship Id="rId27" Type="http://schemas.openxmlformats.org/officeDocument/2006/relationships/hyperlink" Target="http://war-victims-map.org/wp-content/uploads/2017/02/CTF-Final-Report-Volume-I-Nov-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94C1-DB7E-4893-8461-821C2780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8029</Words>
  <Characters>45766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2022-02-25T07:56:00Z</dcterms:created>
  <dcterms:modified xsi:type="dcterms:W3CDTF">2022-02-25T07:58:00Z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0x010100241A4209ADEB1C448836763B210DD8E8</vt:lpwstr>
  </property>
</Properties>
</file>