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2732"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Solicitar aportes sobre el estado del conocimiento y la implementación del </w:t>
      </w:r>
      <w:bookmarkStart w:id="0" w:name="_Hlk89421711"/>
      <w:r w:rsidRPr="00086A47">
        <w:rPr>
          <w:rFonts w:ascii="Calibri" w:eastAsia="Times New Roman" w:hAnsi="Calibri" w:cs="Calibri"/>
          <w:b/>
          <w:bCs/>
          <w:i/>
          <w:iCs/>
          <w:color w:val="000000"/>
          <w:sz w:val="24"/>
          <w:szCs w:val="24"/>
          <w:lang w:val="es-ES" w:eastAsia="en-GB"/>
        </w:rPr>
        <w:t>Manual</w:t>
      </w:r>
      <w:r>
        <w:rPr>
          <w:rFonts w:ascii="Calibri" w:eastAsia="Times New Roman" w:hAnsi="Calibri" w:cs="Calibri"/>
          <w:b/>
          <w:bCs/>
          <w:color w:val="000000"/>
          <w:sz w:val="24"/>
          <w:szCs w:val="24"/>
          <w:lang w:val="es-ES" w:eastAsia="en-GB"/>
        </w:rPr>
        <w:t xml:space="preserve"> de las Naciones Unidas </w:t>
      </w:r>
      <w:r w:rsidRPr="00086A47">
        <w:rPr>
          <w:rFonts w:ascii="Calibri" w:eastAsia="Times New Roman" w:hAnsi="Calibri" w:cs="Calibri"/>
          <w:b/>
          <w:bCs/>
          <w:i/>
          <w:iCs/>
          <w:color w:val="000000"/>
          <w:sz w:val="24"/>
          <w:szCs w:val="24"/>
          <w:lang w:val="es-ES" w:eastAsia="en-GB"/>
        </w:rPr>
        <w:t>sobre la prevención e investigación efectivas de ejecuciones extralegales, arbitrarias y sumarias</w:t>
      </w:r>
      <w:r w:rsidRPr="00086A47">
        <w:rPr>
          <w:rFonts w:ascii="Calibri" w:eastAsia="Times New Roman" w:hAnsi="Calibri" w:cs="Calibri"/>
          <w:b/>
          <w:bCs/>
          <w:color w:val="000000"/>
          <w:sz w:val="24"/>
          <w:szCs w:val="24"/>
          <w:lang w:val="es-ES" w:eastAsia="en-GB"/>
        </w:rPr>
        <w:t> </w:t>
      </w:r>
      <w:bookmarkEnd w:id="0"/>
      <w:r w:rsidRPr="00086A47">
        <w:rPr>
          <w:rFonts w:ascii="Calibri" w:eastAsia="Times New Roman" w:hAnsi="Calibri" w:cs="Calibri"/>
          <w:b/>
          <w:bCs/>
          <w:i/>
          <w:iCs/>
          <w:color w:val="000000"/>
          <w:sz w:val="24"/>
          <w:szCs w:val="24"/>
          <w:lang w:val="es-ES" w:eastAsia="en-GB"/>
        </w:rPr>
        <w:t>(Protocolo de Minnesota)</w:t>
      </w:r>
    </w:p>
    <w:p w14:paraId="0C25961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89"/>
        <w:gridCol w:w="6395"/>
      </w:tblGrid>
      <w:tr w:rsidR="00086A47" w:rsidRPr="00086A47" w14:paraId="30187654" w14:textId="77777777" w:rsidTr="00086A47">
        <w:tc>
          <w:tcPr>
            <w:tcW w:w="2189" w:type="dxa"/>
            <w:tcBorders>
              <w:bottom w:val="single" w:sz="6" w:space="0" w:color="auto"/>
              <w:right w:val="single" w:sz="6" w:space="0" w:color="auto"/>
            </w:tcBorders>
            <w:tcMar>
              <w:top w:w="0" w:type="dxa"/>
              <w:left w:w="101" w:type="dxa"/>
              <w:bottom w:w="0" w:type="dxa"/>
              <w:right w:w="101" w:type="dxa"/>
            </w:tcMar>
            <w:hideMark/>
          </w:tcPr>
          <w:p w14:paraId="18FC8E0F" w14:textId="77777777" w:rsidR="00086A47" w:rsidRPr="00086A47" w:rsidRDefault="00086A47" w:rsidP="00086A47">
            <w:pPr>
              <w:spacing w:after="0" w:line="240" w:lineRule="auto"/>
              <w:jc w:val="both"/>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Fecha</w:t>
            </w:r>
            <w:proofErr w:type="spellEnd"/>
            <w:r w:rsidRPr="00086A47">
              <w:rPr>
                <w:rFonts w:ascii="Times New Roman" w:eastAsia="Times New Roman" w:hAnsi="Times New Roman" w:cs="Times New Roman"/>
                <w:b/>
                <w:bCs/>
                <w:sz w:val="24"/>
                <w:szCs w:val="24"/>
                <w:lang w:eastAsia="en-GB"/>
              </w:rPr>
              <w:t xml:space="preserve"> </w:t>
            </w:r>
            <w:proofErr w:type="spellStart"/>
            <w:r w:rsidRPr="00086A47">
              <w:rPr>
                <w:rFonts w:ascii="Times New Roman" w:eastAsia="Times New Roman" w:hAnsi="Times New Roman" w:cs="Times New Roman"/>
                <w:b/>
                <w:bCs/>
                <w:sz w:val="24"/>
                <w:szCs w:val="24"/>
                <w:lang w:eastAsia="en-GB"/>
              </w:rPr>
              <w:t>límite</w:t>
            </w:r>
            <w:proofErr w:type="spellEnd"/>
          </w:p>
        </w:tc>
        <w:tc>
          <w:tcPr>
            <w:tcW w:w="6395" w:type="dxa"/>
            <w:tcBorders>
              <w:left w:val="single" w:sz="6" w:space="0" w:color="auto"/>
              <w:bottom w:val="single" w:sz="6" w:space="0" w:color="auto"/>
            </w:tcBorders>
            <w:tcMar>
              <w:top w:w="0" w:type="dxa"/>
              <w:left w:w="101" w:type="dxa"/>
              <w:bottom w:w="0" w:type="dxa"/>
              <w:right w:w="101" w:type="dxa"/>
            </w:tcMar>
            <w:hideMark/>
          </w:tcPr>
          <w:p w14:paraId="2BE29FC8" w14:textId="77777777" w:rsidR="00086A47" w:rsidRPr="00086A47" w:rsidRDefault="00086A47" w:rsidP="00086A47">
            <w:pPr>
              <w:spacing w:after="0" w:line="240" w:lineRule="auto"/>
              <w:jc w:val="both"/>
              <w:rPr>
                <w:rFonts w:ascii="Times New Roman" w:eastAsia="Times New Roman" w:hAnsi="Times New Roman" w:cs="Times New Roman"/>
                <w:sz w:val="24"/>
                <w:szCs w:val="24"/>
                <w:lang w:eastAsia="en-GB"/>
              </w:rPr>
            </w:pPr>
            <w:r w:rsidRPr="00086A47">
              <w:rPr>
                <w:rFonts w:ascii="Times New Roman" w:eastAsia="Times New Roman" w:hAnsi="Times New Roman" w:cs="Times New Roman"/>
                <w:b/>
                <w:bCs/>
                <w:sz w:val="24"/>
                <w:szCs w:val="24"/>
                <w:lang w:eastAsia="en-GB"/>
              </w:rPr>
              <w:t xml:space="preserve">30 de </w:t>
            </w:r>
            <w:proofErr w:type="spellStart"/>
            <w:r w:rsidRPr="00086A47">
              <w:rPr>
                <w:rFonts w:ascii="Times New Roman" w:eastAsia="Times New Roman" w:hAnsi="Times New Roman" w:cs="Times New Roman"/>
                <w:b/>
                <w:bCs/>
                <w:sz w:val="24"/>
                <w:szCs w:val="24"/>
                <w:lang w:eastAsia="en-GB"/>
              </w:rPr>
              <w:t>enero</w:t>
            </w:r>
            <w:proofErr w:type="spellEnd"/>
            <w:r w:rsidRPr="00086A47">
              <w:rPr>
                <w:rFonts w:ascii="Times New Roman" w:eastAsia="Times New Roman" w:hAnsi="Times New Roman" w:cs="Times New Roman"/>
                <w:b/>
                <w:bCs/>
                <w:sz w:val="24"/>
                <w:szCs w:val="24"/>
                <w:lang w:eastAsia="en-GB"/>
              </w:rPr>
              <w:t xml:space="preserve"> de 2022</w:t>
            </w:r>
          </w:p>
        </w:tc>
      </w:tr>
      <w:tr w:rsidR="00086A47" w:rsidRPr="009363BD" w14:paraId="4B1E0ABB" w14:textId="77777777" w:rsidTr="00086A47">
        <w:tc>
          <w:tcPr>
            <w:tcW w:w="2189"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3580309C" w14:textId="77777777" w:rsidR="00086A47" w:rsidRPr="00086A47" w:rsidRDefault="00086A47" w:rsidP="00086A47">
            <w:pPr>
              <w:spacing w:after="0" w:line="240" w:lineRule="auto"/>
              <w:jc w:val="both"/>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Emitido</w:t>
            </w:r>
            <w:proofErr w:type="spellEnd"/>
            <w:r w:rsidRPr="00086A47">
              <w:rPr>
                <w:rFonts w:ascii="Times New Roman" w:eastAsia="Times New Roman" w:hAnsi="Times New Roman" w:cs="Times New Roman"/>
                <w:b/>
                <w:bCs/>
                <w:sz w:val="24"/>
                <w:szCs w:val="24"/>
                <w:lang w:eastAsia="en-GB"/>
              </w:rPr>
              <w:t xml:space="preserve"> </w:t>
            </w:r>
            <w:proofErr w:type="spellStart"/>
            <w:r w:rsidRPr="00086A47">
              <w:rPr>
                <w:rFonts w:ascii="Times New Roman" w:eastAsia="Times New Roman" w:hAnsi="Times New Roman" w:cs="Times New Roman"/>
                <w:b/>
                <w:bCs/>
                <w:sz w:val="24"/>
                <w:szCs w:val="24"/>
                <w:lang w:eastAsia="en-GB"/>
              </w:rPr>
              <w:t>por</w:t>
            </w:r>
            <w:proofErr w:type="spellEnd"/>
          </w:p>
        </w:tc>
        <w:tc>
          <w:tcPr>
            <w:tcW w:w="6395"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1D59E13" w14:textId="77777777" w:rsidR="00086A47" w:rsidRPr="00086A47" w:rsidRDefault="00086A47" w:rsidP="00086A47">
            <w:pPr>
              <w:spacing w:after="0" w:line="240" w:lineRule="auto"/>
              <w:jc w:val="both"/>
              <w:rPr>
                <w:rFonts w:ascii="Times New Roman" w:eastAsia="Times New Roman" w:hAnsi="Times New Roman" w:cs="Times New Roman"/>
                <w:sz w:val="24"/>
                <w:szCs w:val="24"/>
                <w:lang w:val="es-ES" w:eastAsia="en-GB"/>
              </w:rPr>
            </w:pPr>
            <w:r w:rsidRPr="00086A47">
              <w:rPr>
                <w:rFonts w:ascii="Times New Roman" w:eastAsia="Times New Roman" w:hAnsi="Times New Roman" w:cs="Times New Roman"/>
                <w:sz w:val="24"/>
                <w:szCs w:val="24"/>
                <w:lang w:val="es-ES" w:eastAsia="en-GB"/>
              </w:rPr>
              <w:t>El Relator Especial sobre ejecuciones extrajudiciales, sumarias o arbitrarias</w:t>
            </w:r>
          </w:p>
        </w:tc>
      </w:tr>
      <w:tr w:rsidR="00086A47" w:rsidRPr="009363BD" w14:paraId="34F39165" w14:textId="77777777" w:rsidTr="00086A47">
        <w:tc>
          <w:tcPr>
            <w:tcW w:w="2189" w:type="dxa"/>
            <w:tcBorders>
              <w:top w:val="single" w:sz="6" w:space="0" w:color="auto"/>
              <w:right w:val="single" w:sz="6" w:space="0" w:color="auto"/>
            </w:tcBorders>
            <w:tcMar>
              <w:top w:w="0" w:type="dxa"/>
              <w:left w:w="101" w:type="dxa"/>
              <w:bottom w:w="0" w:type="dxa"/>
              <w:right w:w="101" w:type="dxa"/>
            </w:tcMar>
            <w:hideMark/>
          </w:tcPr>
          <w:p w14:paraId="5A8E7AE1" w14:textId="77777777" w:rsidR="00086A47" w:rsidRPr="00086A47" w:rsidRDefault="00086A47" w:rsidP="00086A47">
            <w:pPr>
              <w:spacing w:after="0" w:line="240" w:lineRule="auto"/>
              <w:jc w:val="both"/>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Objetivo</w:t>
            </w:r>
            <w:proofErr w:type="spellEnd"/>
          </w:p>
        </w:tc>
        <w:tc>
          <w:tcPr>
            <w:tcW w:w="6395" w:type="dxa"/>
            <w:tcBorders>
              <w:top w:val="single" w:sz="6" w:space="0" w:color="auto"/>
              <w:left w:val="single" w:sz="6" w:space="0" w:color="auto"/>
            </w:tcBorders>
            <w:tcMar>
              <w:top w:w="0" w:type="dxa"/>
              <w:left w:w="101" w:type="dxa"/>
              <w:bottom w:w="0" w:type="dxa"/>
              <w:right w:w="101" w:type="dxa"/>
            </w:tcMar>
            <w:hideMark/>
          </w:tcPr>
          <w:p w14:paraId="270CE680" w14:textId="6E305826" w:rsidR="00086A47" w:rsidRPr="00086A47" w:rsidRDefault="00086A47" w:rsidP="009363BD">
            <w:pPr>
              <w:spacing w:after="0" w:line="240" w:lineRule="auto"/>
              <w:jc w:val="both"/>
              <w:rPr>
                <w:rFonts w:ascii="Times New Roman" w:eastAsia="Times New Roman" w:hAnsi="Times New Roman" w:cs="Times New Roman"/>
                <w:sz w:val="24"/>
                <w:szCs w:val="24"/>
                <w:lang w:val="es-ES" w:eastAsia="en-GB"/>
              </w:rPr>
            </w:pPr>
            <w:r w:rsidRPr="00086A47">
              <w:rPr>
                <w:rFonts w:ascii="Times New Roman" w:eastAsia="Times New Roman" w:hAnsi="Times New Roman" w:cs="Times New Roman"/>
                <w:sz w:val="24"/>
                <w:szCs w:val="24"/>
                <w:lang w:val="es-ES" w:eastAsia="en-GB"/>
              </w:rPr>
              <w:t xml:space="preserve">Recoger información sobre </w:t>
            </w:r>
            <w:r>
              <w:rPr>
                <w:rFonts w:ascii="Times New Roman" w:eastAsia="Times New Roman" w:hAnsi="Times New Roman" w:cs="Times New Roman"/>
                <w:sz w:val="24"/>
                <w:szCs w:val="24"/>
                <w:lang w:val="es-ES" w:eastAsia="en-GB"/>
              </w:rPr>
              <w:t xml:space="preserve">el nivel de </w:t>
            </w:r>
            <w:r w:rsidRPr="00086A47">
              <w:rPr>
                <w:rFonts w:ascii="Times New Roman" w:eastAsia="Times New Roman" w:hAnsi="Times New Roman" w:cs="Times New Roman"/>
                <w:b/>
                <w:sz w:val="24"/>
                <w:szCs w:val="24"/>
                <w:lang w:val="es-ES" w:eastAsia="en-GB"/>
              </w:rPr>
              <w:t>conocimiento, </w:t>
            </w:r>
            <w:r w:rsidRPr="00086A47">
              <w:rPr>
                <w:rFonts w:ascii="Times New Roman" w:eastAsia="Times New Roman" w:hAnsi="Times New Roman" w:cs="Times New Roman"/>
                <w:b/>
                <w:bCs/>
                <w:sz w:val="24"/>
                <w:szCs w:val="24"/>
                <w:lang w:val="es-ES" w:eastAsia="en-GB"/>
              </w:rPr>
              <w:t xml:space="preserve"> implementación </w:t>
            </w:r>
            <w:r>
              <w:rPr>
                <w:rFonts w:ascii="Times New Roman" w:eastAsia="Times New Roman" w:hAnsi="Times New Roman" w:cs="Times New Roman"/>
                <w:sz w:val="24"/>
                <w:szCs w:val="24"/>
                <w:lang w:val="es-ES" w:eastAsia="en-GB"/>
              </w:rPr>
              <w:t>e</w:t>
            </w:r>
            <w:r>
              <w:rPr>
                <w:rFonts w:ascii="Times New Roman" w:eastAsia="Times New Roman" w:hAnsi="Times New Roman" w:cs="Times New Roman"/>
                <w:b/>
                <w:bCs/>
                <w:sz w:val="24"/>
                <w:szCs w:val="24"/>
                <w:lang w:val="es-ES" w:eastAsia="en-GB"/>
              </w:rPr>
              <w:t xml:space="preserve"> </w:t>
            </w:r>
            <w:r w:rsidRPr="00086A47">
              <w:rPr>
                <w:rFonts w:ascii="Times New Roman" w:eastAsia="Times New Roman" w:hAnsi="Times New Roman" w:cs="Times New Roman"/>
                <w:b/>
                <w:bCs/>
                <w:sz w:val="24"/>
                <w:szCs w:val="24"/>
                <w:lang w:val="es-ES" w:eastAsia="en-GB"/>
              </w:rPr>
              <w:t>impacto </w:t>
            </w:r>
            <w:r w:rsidRPr="00086A47">
              <w:rPr>
                <w:rFonts w:ascii="Times New Roman" w:eastAsia="Times New Roman" w:hAnsi="Times New Roman" w:cs="Times New Roman"/>
                <w:sz w:val="24"/>
                <w:szCs w:val="24"/>
                <w:lang w:val="es-ES" w:eastAsia="en-GB"/>
              </w:rPr>
              <w:t>del </w:t>
            </w:r>
            <w:r w:rsidRPr="00086A47">
              <w:rPr>
                <w:rFonts w:ascii="Times New Roman" w:eastAsia="Times New Roman" w:hAnsi="Times New Roman" w:cs="Times New Roman"/>
                <w:b/>
                <w:bCs/>
                <w:i/>
                <w:iCs/>
                <w:sz w:val="24"/>
                <w:szCs w:val="24"/>
                <w:lang w:val="es-ES" w:eastAsia="en-GB"/>
              </w:rPr>
              <w:t>Protocolo de Minnesota </w:t>
            </w:r>
            <w:r w:rsidRPr="00086A47">
              <w:rPr>
                <w:rFonts w:ascii="Times New Roman" w:eastAsia="Times New Roman" w:hAnsi="Times New Roman" w:cs="Times New Roman"/>
                <w:sz w:val="24"/>
                <w:szCs w:val="24"/>
                <w:lang w:val="es-ES" w:eastAsia="en-GB"/>
              </w:rPr>
              <w:t xml:space="preserve">para </w:t>
            </w:r>
            <w:r>
              <w:rPr>
                <w:rFonts w:ascii="Times New Roman" w:eastAsia="Times New Roman" w:hAnsi="Times New Roman" w:cs="Times New Roman"/>
                <w:sz w:val="24"/>
                <w:szCs w:val="24"/>
                <w:lang w:val="es-ES" w:eastAsia="en-GB"/>
              </w:rPr>
              <w:t>el próximo informe</w:t>
            </w:r>
            <w:r w:rsidRPr="00086A47">
              <w:rPr>
                <w:rFonts w:ascii="Times New Roman" w:eastAsia="Times New Roman" w:hAnsi="Times New Roman" w:cs="Times New Roman"/>
                <w:sz w:val="24"/>
                <w:szCs w:val="24"/>
                <w:lang w:val="es-ES" w:eastAsia="en-GB"/>
              </w:rPr>
              <w:t xml:space="preserve"> del Relator Especial</w:t>
            </w:r>
            <w:r w:rsidR="009363BD">
              <w:rPr>
                <w:rFonts w:ascii="Times New Roman" w:eastAsia="Times New Roman" w:hAnsi="Times New Roman" w:cs="Times New Roman"/>
                <w:sz w:val="24"/>
                <w:szCs w:val="24"/>
                <w:lang w:val="es-ES" w:eastAsia="en-GB"/>
              </w:rPr>
              <w:t xml:space="preserve"> al Consejo de Derechos Humanos</w:t>
            </w:r>
            <w:r w:rsidRPr="00086A47">
              <w:rPr>
                <w:rFonts w:ascii="Times New Roman" w:eastAsia="Times New Roman" w:hAnsi="Times New Roman" w:cs="Times New Roman"/>
                <w:sz w:val="24"/>
                <w:szCs w:val="24"/>
                <w:lang w:val="es-ES" w:eastAsia="en-GB"/>
              </w:rPr>
              <w:t> </w:t>
            </w:r>
            <w:r w:rsidRPr="00086A47">
              <w:rPr>
                <w:rFonts w:ascii="Times New Roman" w:eastAsia="Times New Roman" w:hAnsi="Times New Roman" w:cs="Times New Roman"/>
                <w:sz w:val="24"/>
                <w:szCs w:val="24"/>
                <w:shd w:val="clear" w:color="auto" w:fill="FFFF00"/>
                <w:lang w:val="es-ES" w:eastAsia="en-GB"/>
              </w:rPr>
              <w:t xml:space="preserve"> </w:t>
            </w:r>
          </w:p>
        </w:tc>
      </w:tr>
    </w:tbl>
    <w:p w14:paraId="7F1DA1CF"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 </w:t>
      </w:r>
    </w:p>
    <w:p w14:paraId="2ED58566"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Pr>
          <w:rFonts w:ascii="Calibri" w:eastAsia="Times New Roman" w:hAnsi="Calibri" w:cs="Calibri"/>
          <w:b/>
          <w:bCs/>
          <w:color w:val="000000"/>
          <w:sz w:val="24"/>
          <w:szCs w:val="24"/>
          <w:lang w:val="es-ES" w:eastAsia="en-GB"/>
        </w:rPr>
        <w:t>INVITACIÓN A CONTRIBUIR</w:t>
      </w:r>
    </w:p>
    <w:p w14:paraId="506B75FE"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Relator Especial sobre ejecuciones extrajudiciales, sumarias o arbitrarias solicita aport</w:t>
      </w:r>
      <w:r>
        <w:rPr>
          <w:rFonts w:ascii="Calibri" w:eastAsia="Times New Roman" w:hAnsi="Calibri" w:cs="Calibri"/>
          <w:color w:val="000000"/>
          <w:sz w:val="24"/>
          <w:szCs w:val="24"/>
          <w:lang w:val="es-ES" w:eastAsia="en-GB"/>
        </w:rPr>
        <w:t>es</w:t>
      </w:r>
      <w:r w:rsidRPr="00086A47">
        <w:rPr>
          <w:rFonts w:ascii="Calibri" w:eastAsia="Times New Roman" w:hAnsi="Calibri" w:cs="Calibri"/>
          <w:color w:val="000000"/>
          <w:sz w:val="24"/>
          <w:szCs w:val="24"/>
          <w:lang w:val="es-ES" w:eastAsia="en-GB"/>
        </w:rPr>
        <w:t xml:space="preserve"> para fundamentar su próximo informe sobre el estado de los sistemas médico-legales de investigación de muertes en todo el mundo. El informe hará especial referencia al conocimiento y la implementación del </w:t>
      </w:r>
      <w:r w:rsidRPr="00086A47">
        <w:rPr>
          <w:rFonts w:ascii="Calibri" w:eastAsia="Times New Roman" w:hAnsi="Calibri" w:cs="Calibri"/>
          <w:b/>
          <w:bCs/>
          <w:i/>
          <w:iCs/>
          <w:color w:val="000000"/>
          <w:sz w:val="24"/>
          <w:szCs w:val="24"/>
          <w:lang w:val="es-ES" w:eastAsia="en-GB"/>
        </w:rPr>
        <w:t>Manual </w:t>
      </w:r>
      <w:r w:rsidRPr="00086A47">
        <w:rPr>
          <w:rFonts w:ascii="Calibri" w:eastAsia="Times New Roman" w:hAnsi="Calibri" w:cs="Calibri"/>
          <w:b/>
          <w:color w:val="000000"/>
          <w:sz w:val="24"/>
          <w:szCs w:val="24"/>
          <w:lang w:val="es-ES" w:eastAsia="en-GB"/>
        </w:rPr>
        <w:t>de las</w:t>
      </w:r>
      <w:r w:rsidRPr="00086A47">
        <w:rPr>
          <w:rFonts w:ascii="Calibri" w:eastAsia="Times New Roman" w:hAnsi="Calibri" w:cs="Calibri"/>
          <w:color w:val="000000"/>
          <w:sz w:val="24"/>
          <w:szCs w:val="24"/>
          <w:lang w:val="es-ES" w:eastAsia="en-GB"/>
        </w:rPr>
        <w:t> </w:t>
      </w:r>
      <w:r w:rsidRPr="00086A47">
        <w:rPr>
          <w:rFonts w:ascii="Calibri" w:eastAsia="Times New Roman" w:hAnsi="Calibri" w:cs="Calibri"/>
          <w:b/>
          <w:bCs/>
          <w:color w:val="000000"/>
          <w:sz w:val="24"/>
          <w:szCs w:val="24"/>
          <w:lang w:val="es-ES" w:eastAsia="en-GB"/>
        </w:rPr>
        <w:t>Naciones Unidas </w:t>
      </w:r>
      <w:r w:rsidRPr="00086A47">
        <w:rPr>
          <w:rFonts w:ascii="Calibri" w:eastAsia="Times New Roman" w:hAnsi="Calibri" w:cs="Calibri"/>
          <w:b/>
          <w:bCs/>
          <w:i/>
          <w:iCs/>
          <w:color w:val="000000"/>
          <w:sz w:val="24"/>
          <w:szCs w:val="24"/>
          <w:lang w:val="es-ES" w:eastAsia="en-GB"/>
        </w:rPr>
        <w:t>sobre la prevención e investigación efectivas de ejecuciones extralegales, arbitrarias y sumarias </w:t>
      </w:r>
      <w:r w:rsidRPr="00086A47">
        <w:rPr>
          <w:rFonts w:ascii="Calibri" w:eastAsia="Times New Roman" w:hAnsi="Calibri" w:cs="Calibri"/>
          <w:color w:val="000000"/>
          <w:sz w:val="24"/>
          <w:szCs w:val="24"/>
          <w:lang w:val="es-ES" w:eastAsia="en-GB"/>
        </w:rPr>
        <w:t>(el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que fue completamente revisado y actualizado en 2016.</w:t>
      </w:r>
      <w:bookmarkStart w:id="1" w:name="_ftnref1"/>
      <w:bookmarkEnd w:id="1"/>
      <w:r>
        <w:rPr>
          <w:rStyle w:val="FootnoteReference"/>
          <w:rFonts w:ascii="Calibri" w:eastAsia="Times New Roman" w:hAnsi="Calibri" w:cs="Calibri"/>
          <w:color w:val="000000"/>
          <w:sz w:val="24"/>
          <w:szCs w:val="24"/>
          <w:lang w:val="es-ES" w:eastAsia="en-GB"/>
        </w:rPr>
        <w:footnoteReference w:id="1"/>
      </w:r>
    </w:p>
    <w:p w14:paraId="459A663E"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4F51319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xml:space="preserve">El Protocolo se erige hoy como una herramienta de referencia para la investigación de muertes potencialmente ilegales. Por lo tanto, esta convocatoria </w:t>
      </w:r>
      <w:r w:rsidRPr="00086A47">
        <w:rPr>
          <w:rFonts w:ascii="Calibri" w:eastAsia="Times New Roman" w:hAnsi="Calibri" w:cs="Calibri"/>
          <w:b/>
          <w:color w:val="000000"/>
          <w:sz w:val="24"/>
          <w:szCs w:val="24"/>
          <w:lang w:val="es-ES" w:eastAsia="en-GB"/>
        </w:rPr>
        <w:t>busca información</w:t>
      </w:r>
      <w:r w:rsidRPr="00086A47">
        <w:rPr>
          <w:rFonts w:ascii="Calibri" w:eastAsia="Times New Roman" w:hAnsi="Calibri" w:cs="Calibri"/>
          <w:color w:val="000000"/>
          <w:sz w:val="24"/>
          <w:szCs w:val="24"/>
          <w:lang w:val="es-ES" w:eastAsia="en-GB"/>
        </w:rPr>
        <w:t xml:space="preserve"> para evaluar el nivel de </w:t>
      </w:r>
      <w:r w:rsidRPr="00086A47">
        <w:rPr>
          <w:rFonts w:ascii="Calibri" w:eastAsia="Times New Roman" w:hAnsi="Calibri" w:cs="Calibri"/>
          <w:b/>
          <w:color w:val="000000"/>
          <w:sz w:val="24"/>
          <w:szCs w:val="24"/>
          <w:lang w:val="es-ES" w:eastAsia="en-GB"/>
        </w:rPr>
        <w:t>conciencia e implementación</w:t>
      </w:r>
      <w:r w:rsidRPr="00086A47">
        <w:rPr>
          <w:rFonts w:ascii="Calibri" w:eastAsia="Times New Roman" w:hAnsi="Calibri" w:cs="Calibri"/>
          <w:color w:val="000000"/>
          <w:sz w:val="24"/>
          <w:szCs w:val="24"/>
          <w:lang w:val="es-ES" w:eastAsia="en-GB"/>
        </w:rPr>
        <w:t xml:space="preserve">, y posiblemente medir el </w:t>
      </w:r>
      <w:r w:rsidRPr="00086A47">
        <w:rPr>
          <w:rFonts w:ascii="Calibri" w:eastAsia="Times New Roman" w:hAnsi="Calibri" w:cs="Calibri"/>
          <w:b/>
          <w:color w:val="000000"/>
          <w:sz w:val="24"/>
          <w:szCs w:val="24"/>
          <w:lang w:val="es-ES" w:eastAsia="en-GB"/>
        </w:rPr>
        <w:t>impacto</w:t>
      </w:r>
      <w:r w:rsidRPr="00086A47">
        <w:rPr>
          <w:rFonts w:ascii="Calibri" w:eastAsia="Times New Roman" w:hAnsi="Calibri" w:cs="Calibri"/>
          <w:color w:val="000000"/>
          <w:sz w:val="24"/>
          <w:szCs w:val="24"/>
          <w:lang w:val="es-ES" w:eastAsia="en-GB"/>
        </w:rPr>
        <w:t xml:space="preserve">, del Protocolo de Minnesota en todo el mundo. El informe se </w:t>
      </w:r>
      <w:r w:rsidRPr="009363BD">
        <w:rPr>
          <w:rFonts w:ascii="Calibri" w:eastAsia="Times New Roman" w:hAnsi="Calibri" w:cs="Calibri"/>
          <w:color w:val="000000"/>
          <w:sz w:val="24"/>
          <w:szCs w:val="24"/>
          <w:lang w:val="es-ES" w:eastAsia="en-GB"/>
        </w:rPr>
        <w:t>presentará al Consejo de Derechos Humanos en 2022.</w:t>
      </w:r>
      <w:r w:rsidRPr="00086A47">
        <w:rPr>
          <w:rFonts w:ascii="Calibri" w:eastAsia="Times New Roman" w:hAnsi="Calibri" w:cs="Calibri"/>
          <w:color w:val="000000"/>
          <w:sz w:val="24"/>
          <w:szCs w:val="24"/>
          <w:lang w:val="es-ES" w:eastAsia="en-GB"/>
        </w:rPr>
        <w:t> </w:t>
      </w:r>
    </w:p>
    <w:p w14:paraId="78E92CBF"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24669DF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ANTECEDENTES</w:t>
      </w:r>
    </w:p>
    <w:p w14:paraId="0FC7BD78"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La protección del derecho a la vida impone a los Estados, cuando conocen o deberían haber tenido conocimiento de privaciones de la vida potencialmente ilícitas, investigar y, cuando proceda, enjuiciar a los autores de esos incidentes, incluidos los que implican denuncias de uso excesivo de la fuerza. con consecuencias letales. El deber de investigar también surge en circunstancias en las que el uso de fuerza potencialmente letal provocó un grave riesgo de privación de la vida, incluso si el riesgo no se materializó.</w:t>
      </w:r>
      <w:bookmarkStart w:id="2" w:name="_ftnref2"/>
      <w:bookmarkEnd w:id="2"/>
      <w:r>
        <w:rPr>
          <w:rStyle w:val="FootnoteReference"/>
          <w:rFonts w:ascii="Calibri" w:eastAsia="Times New Roman" w:hAnsi="Calibri" w:cs="Calibri"/>
          <w:color w:val="000000"/>
          <w:sz w:val="24"/>
          <w:szCs w:val="24"/>
          <w:lang w:val="es-ES" w:eastAsia="en-GB"/>
        </w:rPr>
        <w:footnoteReference w:id="2"/>
      </w:r>
    </w:p>
    <w:p w14:paraId="7CBC4DC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5F01ADE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Las investigaciones y los enjuiciamientos de las privaciones de la vida potencialmente ilegales deben emprenderse de conformidad con las normas internacionales pertinentes. Los principales instrumentos internacionales que establecen el aspecto procesal del derecho a la vida son los </w:t>
      </w:r>
      <w:r w:rsidRPr="00086A47">
        <w:rPr>
          <w:rFonts w:ascii="Calibri" w:eastAsia="Times New Roman" w:hAnsi="Calibri" w:cs="Calibri"/>
          <w:i/>
          <w:iCs/>
          <w:color w:val="000000"/>
          <w:sz w:val="24"/>
          <w:szCs w:val="24"/>
          <w:lang w:val="es-ES" w:eastAsia="en-GB"/>
        </w:rPr>
        <w:t>Principios de las Naciones Unidas sobre la prevención e investigación de </w:t>
      </w:r>
      <w:r w:rsidRPr="00CE74A3">
        <w:rPr>
          <w:rFonts w:ascii="Calibri" w:eastAsia="Times New Roman" w:hAnsi="Calibri" w:cs="Calibri"/>
          <w:i/>
          <w:iCs/>
          <w:color w:val="000000"/>
          <w:sz w:val="24"/>
          <w:szCs w:val="24"/>
          <w:lang w:val="es-ES" w:eastAsia="en-GB"/>
        </w:rPr>
        <w:t>ejecuciones </w:t>
      </w:r>
      <w:r w:rsidRPr="00086A47">
        <w:rPr>
          <w:rFonts w:ascii="Calibri" w:eastAsia="Times New Roman" w:hAnsi="Calibri" w:cs="Calibri"/>
          <w:i/>
          <w:iCs/>
          <w:color w:val="000000"/>
          <w:sz w:val="24"/>
          <w:szCs w:val="24"/>
          <w:lang w:val="es-ES" w:eastAsia="en-GB"/>
        </w:rPr>
        <w:t>extralegales, arbitrarias y sumarias </w:t>
      </w:r>
      <w:r w:rsidRPr="00086A47">
        <w:rPr>
          <w:rFonts w:ascii="Calibri" w:eastAsia="Times New Roman" w:hAnsi="Calibri" w:cs="Calibri"/>
          <w:color w:val="000000"/>
          <w:sz w:val="24"/>
          <w:szCs w:val="24"/>
          <w:lang w:val="es-ES" w:eastAsia="en-GB"/>
        </w:rPr>
        <w:t>de 1989</w:t>
      </w:r>
      <w:bookmarkStart w:id="3" w:name="_ftnref3"/>
      <w:bookmarkEnd w:id="3"/>
      <w:r>
        <w:rPr>
          <w:rStyle w:val="FootnoteReference"/>
          <w:rFonts w:ascii="Calibri" w:eastAsia="Times New Roman" w:hAnsi="Calibri" w:cs="Calibri"/>
          <w:color w:val="000000"/>
          <w:sz w:val="24"/>
          <w:szCs w:val="24"/>
          <w:lang w:val="es-ES" w:eastAsia="en-GB"/>
        </w:rPr>
        <w:footnoteReference w:id="3"/>
      </w:r>
      <w:r w:rsidRPr="00086A47">
        <w:rPr>
          <w:rFonts w:ascii="Calibri" w:eastAsia="Times New Roman" w:hAnsi="Calibri" w:cs="Calibri"/>
          <w:color w:val="000000"/>
          <w:sz w:val="24"/>
          <w:szCs w:val="24"/>
          <w:lang w:val="es-ES" w:eastAsia="en-GB"/>
        </w:rPr>
        <w:t> (los </w:t>
      </w:r>
      <w:r w:rsidRPr="00086A47">
        <w:rPr>
          <w:rFonts w:ascii="Calibri" w:eastAsia="Times New Roman" w:hAnsi="Calibri" w:cs="Calibri"/>
          <w:i/>
          <w:iCs/>
          <w:color w:val="000000"/>
          <w:sz w:val="24"/>
          <w:szCs w:val="24"/>
          <w:lang w:val="es-ES" w:eastAsia="en-GB"/>
        </w:rPr>
        <w:t>Principios de </w:t>
      </w:r>
      <w:r w:rsidRPr="00086A47">
        <w:rPr>
          <w:rFonts w:ascii="Calibri" w:eastAsia="Times New Roman" w:hAnsi="Calibri" w:cs="Calibri"/>
          <w:color w:val="000000"/>
          <w:sz w:val="24"/>
          <w:szCs w:val="24"/>
          <w:lang w:val="es-ES" w:eastAsia="en-GB"/>
        </w:rPr>
        <w:t>la </w:t>
      </w:r>
      <w:r w:rsidRPr="00086A47">
        <w:rPr>
          <w:rFonts w:ascii="Calibri" w:eastAsia="Times New Roman" w:hAnsi="Calibri" w:cs="Calibri"/>
          <w:i/>
          <w:iCs/>
          <w:color w:val="000000"/>
          <w:sz w:val="24"/>
          <w:szCs w:val="24"/>
          <w:lang w:val="es-ES" w:eastAsia="en-GB"/>
        </w:rPr>
        <w:t>ONU sobre la Investigación de Ejecuciones </w:t>
      </w:r>
      <w:r w:rsidRPr="00086A47">
        <w:rPr>
          <w:rFonts w:ascii="Calibri" w:eastAsia="Times New Roman" w:hAnsi="Calibri" w:cs="Calibri"/>
          <w:color w:val="000000"/>
          <w:sz w:val="24"/>
          <w:szCs w:val="24"/>
          <w:lang w:val="es-ES" w:eastAsia="en-GB"/>
        </w:rPr>
        <w:t>) y el </w:t>
      </w:r>
      <w:r>
        <w:rPr>
          <w:rFonts w:ascii="Calibri" w:eastAsia="Times New Roman" w:hAnsi="Calibri" w:cs="Calibri"/>
          <w:i/>
          <w:iCs/>
          <w:color w:val="000000"/>
          <w:sz w:val="24"/>
          <w:szCs w:val="24"/>
          <w:lang w:val="es-ES" w:eastAsia="en-GB"/>
        </w:rPr>
        <w:t>Protocolo de Minnesota</w:t>
      </w:r>
      <w:r w:rsidRPr="00086A47">
        <w:rPr>
          <w:rFonts w:ascii="Calibri" w:eastAsia="Times New Roman" w:hAnsi="Calibri" w:cs="Calibri"/>
          <w:color w:val="000000"/>
          <w:sz w:val="24"/>
          <w:szCs w:val="24"/>
          <w:lang w:val="es-ES" w:eastAsia="en-GB"/>
        </w:rPr>
        <w:t>, publicado por primera vez en 1991 y completamente actualizado en su edición revisada de 2016. 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 xml:space="preserve">fue </w:t>
      </w:r>
      <w:r w:rsidRPr="00086A47">
        <w:rPr>
          <w:rFonts w:ascii="Calibri" w:eastAsia="Times New Roman" w:hAnsi="Calibri" w:cs="Calibri"/>
          <w:color w:val="000000"/>
          <w:sz w:val="24"/>
          <w:szCs w:val="24"/>
          <w:lang w:val="es-ES" w:eastAsia="en-GB"/>
        </w:rPr>
        <w:lastRenderedPageBreak/>
        <w:t>concebido como una herramienta para los profesionales, desarrollado en gran parte para poner en práctica y dar contenido detallado a los estándares más generales establecidos en los </w:t>
      </w:r>
      <w:r w:rsidRPr="00086A47">
        <w:rPr>
          <w:rFonts w:ascii="Calibri" w:eastAsia="Times New Roman" w:hAnsi="Calibri" w:cs="Calibri"/>
          <w:i/>
          <w:iCs/>
          <w:color w:val="000000"/>
          <w:sz w:val="24"/>
          <w:szCs w:val="24"/>
          <w:lang w:val="es-ES" w:eastAsia="en-GB"/>
        </w:rPr>
        <w:t>Principios de </w:t>
      </w:r>
      <w:r w:rsidRPr="00086A47">
        <w:rPr>
          <w:rFonts w:ascii="Calibri" w:eastAsia="Times New Roman" w:hAnsi="Calibri" w:cs="Calibri"/>
          <w:color w:val="000000"/>
          <w:sz w:val="24"/>
          <w:szCs w:val="24"/>
          <w:lang w:val="es-ES" w:eastAsia="en-GB"/>
        </w:rPr>
        <w:t>la </w:t>
      </w:r>
      <w:r w:rsidRPr="00086A47">
        <w:rPr>
          <w:rFonts w:ascii="Calibri" w:eastAsia="Times New Roman" w:hAnsi="Calibri" w:cs="Calibri"/>
          <w:i/>
          <w:iCs/>
          <w:color w:val="000000"/>
          <w:sz w:val="24"/>
          <w:szCs w:val="24"/>
          <w:lang w:val="es-ES" w:eastAsia="en-GB"/>
        </w:rPr>
        <w:t>ONU sobre la Investigación de Ejecu</w:t>
      </w:r>
      <w:r>
        <w:rPr>
          <w:rFonts w:ascii="Calibri" w:eastAsia="Times New Roman" w:hAnsi="Calibri" w:cs="Calibri"/>
          <w:i/>
          <w:iCs/>
          <w:color w:val="000000"/>
          <w:sz w:val="24"/>
          <w:szCs w:val="24"/>
          <w:lang w:val="es-ES" w:eastAsia="en-GB"/>
        </w:rPr>
        <w:t>ciones</w:t>
      </w:r>
      <w:r w:rsidRPr="00086A47">
        <w:rPr>
          <w:rFonts w:ascii="Calibri" w:eastAsia="Times New Roman" w:hAnsi="Calibri" w:cs="Calibri"/>
          <w:color w:val="000000"/>
          <w:sz w:val="24"/>
          <w:szCs w:val="24"/>
          <w:lang w:val="es-ES" w:eastAsia="en-GB"/>
        </w:rPr>
        <w:t>.</w:t>
      </w:r>
    </w:p>
    <w:p w14:paraId="5E7A520F"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15AAF80C"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describe el marco legal internacional aplicable y ofrece una guía práctica para las investigaciones de muerte. Esto incluye requisitos de que las investigaciones de muerte sean rápidas, efectivas, exhaustivas, independientes, imparciales y transparentes y una descripción de los pasos principales de cualquier investigación, desde la escena del crimen hasta la autopsia y el análisis de restos humanos. El marco pone especial énfasis en los derechos de las víctimas, en particular los familiares y parientes cercanos de las personas fallecidas y desaparecidas, y en hacer efectiva y segura su potencial contribución a las investigaciones.</w:t>
      </w:r>
    </w:p>
    <w:p w14:paraId="5AFA9BBB"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5B3537B0"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Protocolo tiene como objetivo ayudar a una variedad de actores, incluidos los Estados, investigadores, organizaciones de la sociedad civil y los propios titulares de derechos, a garantizar que se lleven a cabo las investigaciones adecuadas de los presuntos homicidios ilegítimos.</w:t>
      </w:r>
    </w:p>
    <w:p w14:paraId="23A64437"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3C93AD53"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grado en que los Estados, sus agencias y las profesiones relevantes (esencialmente las de la medicina, el derecho y la policía) conocen el Protocolo y lo tienen o lo están implementando, es un tema importante que requiere investigación.</w:t>
      </w:r>
    </w:p>
    <w:p w14:paraId="086D1D9A"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5D154541"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Evaluar el conocimiento y el nivel de usabilidad del Protocolo, así como el nivel general de cumplimiento del mismo, es clave para comprender su efectividad como estándar para la investigación de muertes potencialmente ilegales. En última instancia, es necesario identificar los desafíos para su implementación, a fin de resolverlos, y promover las mejores prácticas, cuando sea posible.</w:t>
      </w:r>
    </w:p>
    <w:p w14:paraId="140EC42E"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1588CBF7" w14:textId="77777777" w:rsidR="00086A47" w:rsidRPr="00086A47" w:rsidRDefault="00086A47" w:rsidP="00086A47">
      <w:pPr>
        <w:spacing w:after="0" w:line="240" w:lineRule="auto"/>
        <w:rPr>
          <w:rFonts w:ascii="Calibri" w:eastAsia="Times New Roman" w:hAnsi="Calibri" w:cs="Calibri"/>
          <w:color w:val="000000"/>
          <w:sz w:val="32"/>
          <w:szCs w:val="32"/>
          <w:lang w:val="es-ES" w:eastAsia="en-GB"/>
        </w:rPr>
      </w:pPr>
      <w:r w:rsidRPr="00086A47">
        <w:rPr>
          <w:rFonts w:ascii="Calibri" w:eastAsia="Times New Roman" w:hAnsi="Calibri" w:cs="Calibri"/>
          <w:b/>
          <w:bCs/>
          <w:color w:val="000000"/>
          <w:sz w:val="32"/>
          <w:szCs w:val="32"/>
          <w:lang w:val="es-ES" w:eastAsia="en-GB"/>
        </w:rPr>
        <w:t>Cómo hacer una presentación</w:t>
      </w:r>
    </w:p>
    <w:p w14:paraId="3C057F7F" w14:textId="77777777" w:rsidR="00086A47" w:rsidRPr="00086A47" w:rsidRDefault="00086A47" w:rsidP="00086A47">
      <w:pPr>
        <w:spacing w:after="0" w:line="240" w:lineRule="auto"/>
        <w:rPr>
          <w:rFonts w:ascii="Calibri" w:eastAsia="Times New Roman" w:hAnsi="Calibri" w:cs="Calibri"/>
          <w:color w:val="000000"/>
          <w:sz w:val="19"/>
          <w:szCs w:val="19"/>
          <w:lang w:val="es-ES" w:eastAsia="en-GB"/>
        </w:rPr>
      </w:pPr>
      <w:r w:rsidRPr="00086A47">
        <w:rPr>
          <w:rFonts w:ascii="Calibri" w:eastAsia="Times New Roman" w:hAnsi="Calibri" w:cs="Calibri"/>
          <w:color w:val="000000"/>
          <w:sz w:val="19"/>
          <w:szCs w:val="19"/>
          <w:lang w:val="es-ES" w:eastAsia="en-GB"/>
        </w:rPr>
        <w:t> </w:t>
      </w:r>
    </w:p>
    <w:p w14:paraId="39F910E4" w14:textId="77777777" w:rsidR="00086A47" w:rsidRPr="00086A47" w:rsidRDefault="00086A47" w:rsidP="00086A47">
      <w:pPr>
        <w:spacing w:after="0" w:line="240" w:lineRule="auto"/>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Las aportaciones / comentarios pueden enviarse por correo electrónico y deben recibirse antes del </w:t>
      </w:r>
      <w:r w:rsidR="00DB2085">
        <w:rPr>
          <w:rFonts w:ascii="Calibri" w:eastAsia="Times New Roman" w:hAnsi="Calibri" w:cs="Calibri"/>
          <w:b/>
          <w:bCs/>
          <w:color w:val="000000"/>
          <w:sz w:val="24"/>
          <w:szCs w:val="24"/>
          <w:lang w:val="es-ES" w:eastAsia="en-GB"/>
        </w:rPr>
        <w:t>30 de enero de 2022</w:t>
      </w:r>
      <w:r w:rsidRPr="00086A47">
        <w:rPr>
          <w:rFonts w:ascii="Calibri" w:eastAsia="Times New Roman" w:hAnsi="Calibri" w:cs="Calibri"/>
          <w:color w:val="000000"/>
          <w:sz w:val="24"/>
          <w:szCs w:val="24"/>
          <w:lang w:val="es-ES" w:eastAsia="en-GB"/>
        </w:rPr>
        <w:t>.</w:t>
      </w:r>
    </w:p>
    <w:p w14:paraId="2309C7EE" w14:textId="77777777" w:rsidR="00086A47" w:rsidRPr="00086A47" w:rsidRDefault="00086A47" w:rsidP="00086A47">
      <w:pPr>
        <w:spacing w:after="0" w:line="240" w:lineRule="auto"/>
        <w:rPr>
          <w:rFonts w:ascii="Calibri" w:eastAsia="Times New Roman" w:hAnsi="Calibri" w:cs="Calibri"/>
          <w:color w:val="000000"/>
          <w:sz w:val="32"/>
          <w:szCs w:val="32"/>
          <w:lang w:val="es-ES" w:eastAsia="en-GB"/>
        </w:rPr>
      </w:pPr>
      <w:r w:rsidRPr="00086A47">
        <w:rPr>
          <w:rFonts w:ascii="Calibri" w:eastAsia="Times New Roman" w:hAnsi="Calibri" w:cs="Calibri"/>
          <w:b/>
          <w:bCs/>
          <w:color w:val="000000"/>
          <w:sz w:val="32"/>
          <w:szCs w:val="32"/>
          <w:lang w:val="es-ES" w:eastAsia="en-GB"/>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98"/>
        <w:gridCol w:w="5686"/>
      </w:tblGrid>
      <w:tr w:rsidR="00086A47" w:rsidRPr="00086A47" w14:paraId="4FC7B878" w14:textId="77777777" w:rsidTr="00086A47">
        <w:tc>
          <w:tcPr>
            <w:tcW w:w="2898" w:type="dxa"/>
            <w:tcBorders>
              <w:bottom w:val="single" w:sz="6" w:space="0" w:color="auto"/>
              <w:right w:val="single" w:sz="6" w:space="0" w:color="auto"/>
            </w:tcBorders>
            <w:tcMar>
              <w:top w:w="0" w:type="dxa"/>
              <w:left w:w="101" w:type="dxa"/>
              <w:bottom w:w="0" w:type="dxa"/>
              <w:right w:w="101" w:type="dxa"/>
            </w:tcMar>
            <w:hideMark/>
          </w:tcPr>
          <w:p w14:paraId="4947CBC7"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Dirección</w:t>
            </w:r>
            <w:proofErr w:type="spellEnd"/>
            <w:r w:rsidRPr="00086A47">
              <w:rPr>
                <w:rFonts w:ascii="Times New Roman" w:eastAsia="Times New Roman" w:hAnsi="Times New Roman" w:cs="Times New Roman"/>
                <w:b/>
                <w:bCs/>
                <w:sz w:val="24"/>
                <w:szCs w:val="24"/>
                <w:lang w:eastAsia="en-GB"/>
              </w:rPr>
              <w:t xml:space="preserve"> de </w:t>
            </w:r>
            <w:proofErr w:type="spellStart"/>
            <w:r w:rsidRPr="00086A47">
              <w:rPr>
                <w:rFonts w:ascii="Times New Roman" w:eastAsia="Times New Roman" w:hAnsi="Times New Roman" w:cs="Times New Roman"/>
                <w:b/>
                <w:bCs/>
                <w:sz w:val="24"/>
                <w:szCs w:val="24"/>
                <w:lang w:eastAsia="en-GB"/>
              </w:rPr>
              <w:t>correo</w:t>
            </w:r>
            <w:proofErr w:type="spellEnd"/>
            <w:r w:rsidRPr="00086A47">
              <w:rPr>
                <w:rFonts w:ascii="Times New Roman" w:eastAsia="Times New Roman" w:hAnsi="Times New Roman" w:cs="Times New Roman"/>
                <w:b/>
                <w:bCs/>
                <w:sz w:val="24"/>
                <w:szCs w:val="24"/>
                <w:lang w:eastAsia="en-GB"/>
              </w:rPr>
              <w:t xml:space="preserve"> </w:t>
            </w:r>
            <w:proofErr w:type="spellStart"/>
            <w:r w:rsidRPr="00086A47">
              <w:rPr>
                <w:rFonts w:ascii="Times New Roman" w:eastAsia="Times New Roman" w:hAnsi="Times New Roman" w:cs="Times New Roman"/>
                <w:b/>
                <w:bCs/>
                <w:sz w:val="24"/>
                <w:szCs w:val="24"/>
                <w:lang w:eastAsia="en-GB"/>
              </w:rPr>
              <w:t>electrónico</w:t>
            </w:r>
            <w:proofErr w:type="spellEnd"/>
          </w:p>
        </w:tc>
        <w:tc>
          <w:tcPr>
            <w:tcW w:w="5686" w:type="dxa"/>
            <w:tcBorders>
              <w:left w:val="single" w:sz="6" w:space="0" w:color="auto"/>
              <w:bottom w:val="single" w:sz="6" w:space="0" w:color="auto"/>
            </w:tcBorders>
            <w:tcMar>
              <w:top w:w="0" w:type="dxa"/>
              <w:left w:w="101" w:type="dxa"/>
              <w:bottom w:w="0" w:type="dxa"/>
              <w:right w:w="101" w:type="dxa"/>
            </w:tcMar>
            <w:hideMark/>
          </w:tcPr>
          <w:p w14:paraId="626174B9" w14:textId="77777777" w:rsidR="00086A47" w:rsidRPr="00086A47" w:rsidRDefault="00061CBE" w:rsidP="00086A47">
            <w:pPr>
              <w:spacing w:after="0" w:line="240" w:lineRule="auto"/>
              <w:rPr>
                <w:rFonts w:ascii="Times New Roman" w:eastAsia="Times New Roman" w:hAnsi="Times New Roman" w:cs="Times New Roman"/>
                <w:sz w:val="24"/>
                <w:szCs w:val="24"/>
                <w:lang w:eastAsia="en-GB"/>
              </w:rPr>
            </w:pPr>
            <w:hyperlink r:id="rId8" w:history="1">
              <w:r w:rsidR="00086A47" w:rsidRPr="00086A47">
                <w:rPr>
                  <w:rFonts w:ascii="Times New Roman" w:eastAsia="Times New Roman" w:hAnsi="Times New Roman" w:cs="Times New Roman"/>
                  <w:color w:val="0563C1"/>
                  <w:sz w:val="24"/>
                  <w:szCs w:val="24"/>
                  <w:u w:val="single"/>
                  <w:lang w:eastAsia="en-GB"/>
                </w:rPr>
                <w:t>OHCHR-eje@ohchr.org</w:t>
              </w:r>
            </w:hyperlink>
          </w:p>
        </w:tc>
      </w:tr>
      <w:tr w:rsidR="00086A47" w:rsidRPr="009363BD" w14:paraId="19A322B1" w14:textId="77777777" w:rsidTr="00086A47">
        <w:tc>
          <w:tcPr>
            <w:tcW w:w="2898"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3BFCB693" w14:textId="77777777" w:rsidR="00086A47" w:rsidRPr="00086A47" w:rsidRDefault="00086A47" w:rsidP="00086A47">
            <w:pPr>
              <w:spacing w:after="0" w:line="240" w:lineRule="auto"/>
              <w:rPr>
                <w:rFonts w:ascii="Times New Roman" w:eastAsia="Times New Roman" w:hAnsi="Times New Roman" w:cs="Times New Roman"/>
                <w:sz w:val="24"/>
                <w:szCs w:val="24"/>
                <w:lang w:val="es-ES" w:eastAsia="en-GB"/>
              </w:rPr>
            </w:pPr>
            <w:r w:rsidRPr="00086A47">
              <w:rPr>
                <w:rFonts w:ascii="Times New Roman" w:eastAsia="Times New Roman" w:hAnsi="Times New Roman" w:cs="Times New Roman"/>
                <w:b/>
                <w:bCs/>
                <w:sz w:val="24"/>
                <w:szCs w:val="24"/>
                <w:lang w:val="es-ES" w:eastAsia="en-GB"/>
              </w:rPr>
              <w:t>Línea de asunto del correo electrónico</w:t>
            </w:r>
          </w:p>
        </w:tc>
        <w:tc>
          <w:tcPr>
            <w:tcW w:w="5686"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8F4FD37" w14:textId="77777777" w:rsidR="00086A47" w:rsidRPr="00086A47" w:rsidRDefault="00086A47" w:rsidP="00086A47">
            <w:pPr>
              <w:spacing w:after="0" w:line="240" w:lineRule="auto"/>
              <w:rPr>
                <w:rFonts w:ascii="Times New Roman" w:eastAsia="Times New Roman" w:hAnsi="Times New Roman" w:cs="Times New Roman"/>
                <w:sz w:val="24"/>
                <w:szCs w:val="24"/>
                <w:lang w:val="es-ES" w:eastAsia="en-GB"/>
              </w:rPr>
            </w:pPr>
            <w:r w:rsidRPr="00086A47">
              <w:rPr>
                <w:rFonts w:ascii="Times New Roman" w:eastAsia="Times New Roman" w:hAnsi="Times New Roman" w:cs="Times New Roman"/>
                <w:sz w:val="24"/>
                <w:szCs w:val="24"/>
                <w:lang w:val="es-ES" w:eastAsia="en-GB"/>
              </w:rPr>
              <w:t>Contribución a la implementación del Protocolo de Minnesota</w:t>
            </w:r>
          </w:p>
        </w:tc>
      </w:tr>
      <w:tr w:rsidR="00086A47" w:rsidRPr="00086A47" w14:paraId="06D3EB5B" w14:textId="77777777" w:rsidTr="00086A47">
        <w:tc>
          <w:tcPr>
            <w:tcW w:w="2898"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22768F82"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Límite</w:t>
            </w:r>
            <w:proofErr w:type="spellEnd"/>
            <w:r w:rsidRPr="00086A47">
              <w:rPr>
                <w:rFonts w:ascii="Times New Roman" w:eastAsia="Times New Roman" w:hAnsi="Times New Roman" w:cs="Times New Roman"/>
                <w:b/>
                <w:bCs/>
                <w:sz w:val="24"/>
                <w:szCs w:val="24"/>
                <w:lang w:eastAsia="en-GB"/>
              </w:rPr>
              <w:t xml:space="preserve"> de </w:t>
            </w:r>
            <w:proofErr w:type="spellStart"/>
            <w:r w:rsidRPr="00086A47">
              <w:rPr>
                <w:rFonts w:ascii="Times New Roman" w:eastAsia="Times New Roman" w:hAnsi="Times New Roman" w:cs="Times New Roman"/>
                <w:b/>
                <w:bCs/>
                <w:sz w:val="24"/>
                <w:szCs w:val="24"/>
                <w:lang w:eastAsia="en-GB"/>
              </w:rPr>
              <w:t>páginas</w:t>
            </w:r>
            <w:proofErr w:type="spellEnd"/>
          </w:p>
        </w:tc>
        <w:tc>
          <w:tcPr>
            <w:tcW w:w="5686"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96C3256"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r w:rsidRPr="00086A47">
              <w:rPr>
                <w:rFonts w:ascii="Times New Roman" w:eastAsia="Times New Roman" w:hAnsi="Times New Roman" w:cs="Times New Roman"/>
                <w:sz w:val="24"/>
                <w:szCs w:val="24"/>
                <w:lang w:eastAsia="en-GB"/>
              </w:rPr>
              <w:t xml:space="preserve">5 </w:t>
            </w:r>
            <w:proofErr w:type="spellStart"/>
            <w:r w:rsidRPr="00086A47">
              <w:rPr>
                <w:rFonts w:ascii="Times New Roman" w:eastAsia="Times New Roman" w:hAnsi="Times New Roman" w:cs="Times New Roman"/>
                <w:sz w:val="24"/>
                <w:szCs w:val="24"/>
                <w:lang w:eastAsia="en-GB"/>
              </w:rPr>
              <w:t>páginas</w:t>
            </w:r>
            <w:proofErr w:type="spellEnd"/>
            <w:r w:rsidRPr="00086A47">
              <w:rPr>
                <w:rFonts w:ascii="Times New Roman" w:eastAsia="Times New Roman" w:hAnsi="Times New Roman" w:cs="Times New Roman"/>
                <w:sz w:val="24"/>
                <w:szCs w:val="24"/>
                <w:lang w:eastAsia="en-GB"/>
              </w:rPr>
              <w:t xml:space="preserve"> </w:t>
            </w:r>
            <w:proofErr w:type="spellStart"/>
            <w:r w:rsidRPr="00086A47">
              <w:rPr>
                <w:rFonts w:ascii="Times New Roman" w:eastAsia="Times New Roman" w:hAnsi="Times New Roman" w:cs="Times New Roman"/>
                <w:sz w:val="24"/>
                <w:szCs w:val="24"/>
                <w:lang w:eastAsia="en-GB"/>
              </w:rPr>
              <w:t>máximo</w:t>
            </w:r>
            <w:proofErr w:type="spellEnd"/>
          </w:p>
        </w:tc>
      </w:tr>
      <w:tr w:rsidR="00086A47" w:rsidRPr="00086A47" w14:paraId="33260292" w14:textId="77777777" w:rsidTr="00086A47">
        <w:tc>
          <w:tcPr>
            <w:tcW w:w="2898"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0AF8BAEF"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Idiomas</w:t>
            </w:r>
            <w:proofErr w:type="spellEnd"/>
            <w:r w:rsidRPr="00086A47">
              <w:rPr>
                <w:rFonts w:ascii="Times New Roman" w:eastAsia="Times New Roman" w:hAnsi="Times New Roman" w:cs="Times New Roman"/>
                <w:b/>
                <w:bCs/>
                <w:sz w:val="24"/>
                <w:szCs w:val="24"/>
                <w:lang w:eastAsia="en-GB"/>
              </w:rPr>
              <w:t xml:space="preserve"> </w:t>
            </w:r>
            <w:proofErr w:type="spellStart"/>
            <w:r w:rsidRPr="00086A47">
              <w:rPr>
                <w:rFonts w:ascii="Times New Roman" w:eastAsia="Times New Roman" w:hAnsi="Times New Roman" w:cs="Times New Roman"/>
                <w:b/>
                <w:bCs/>
                <w:sz w:val="24"/>
                <w:szCs w:val="24"/>
                <w:lang w:eastAsia="en-GB"/>
              </w:rPr>
              <w:t>aceptados</w:t>
            </w:r>
            <w:proofErr w:type="spellEnd"/>
          </w:p>
        </w:tc>
        <w:tc>
          <w:tcPr>
            <w:tcW w:w="5686"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3281122"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sz w:val="24"/>
                <w:szCs w:val="24"/>
                <w:lang w:eastAsia="en-GB"/>
              </w:rPr>
              <w:t>Inglés</w:t>
            </w:r>
            <w:proofErr w:type="spellEnd"/>
            <w:r w:rsidRPr="00086A47">
              <w:rPr>
                <w:rFonts w:ascii="Times New Roman" w:eastAsia="Times New Roman" w:hAnsi="Times New Roman" w:cs="Times New Roman"/>
                <w:sz w:val="24"/>
                <w:szCs w:val="24"/>
                <w:lang w:eastAsia="en-GB"/>
              </w:rPr>
              <w:t xml:space="preserve">, </w:t>
            </w:r>
            <w:proofErr w:type="spellStart"/>
            <w:r w:rsidRPr="00086A47">
              <w:rPr>
                <w:rFonts w:ascii="Times New Roman" w:eastAsia="Times New Roman" w:hAnsi="Times New Roman" w:cs="Times New Roman"/>
                <w:sz w:val="24"/>
                <w:szCs w:val="24"/>
                <w:lang w:eastAsia="en-GB"/>
              </w:rPr>
              <w:t>francés</w:t>
            </w:r>
            <w:proofErr w:type="spellEnd"/>
            <w:r w:rsidRPr="00086A47">
              <w:rPr>
                <w:rFonts w:ascii="Times New Roman" w:eastAsia="Times New Roman" w:hAnsi="Times New Roman" w:cs="Times New Roman"/>
                <w:sz w:val="24"/>
                <w:szCs w:val="24"/>
                <w:lang w:eastAsia="en-GB"/>
              </w:rPr>
              <w:t xml:space="preserve"> o </w:t>
            </w:r>
            <w:proofErr w:type="spellStart"/>
            <w:r w:rsidRPr="00086A47">
              <w:rPr>
                <w:rFonts w:ascii="Times New Roman" w:eastAsia="Times New Roman" w:hAnsi="Times New Roman" w:cs="Times New Roman"/>
                <w:sz w:val="24"/>
                <w:szCs w:val="24"/>
                <w:lang w:eastAsia="en-GB"/>
              </w:rPr>
              <w:t>español</w:t>
            </w:r>
            <w:proofErr w:type="spellEnd"/>
          </w:p>
        </w:tc>
      </w:tr>
      <w:tr w:rsidR="00086A47" w:rsidRPr="009363BD" w14:paraId="373FEA66" w14:textId="77777777" w:rsidTr="00086A47">
        <w:tc>
          <w:tcPr>
            <w:tcW w:w="2898" w:type="dxa"/>
            <w:tcBorders>
              <w:top w:val="single" w:sz="6" w:space="0" w:color="auto"/>
              <w:right w:val="single" w:sz="6" w:space="0" w:color="auto"/>
            </w:tcBorders>
            <w:tcMar>
              <w:top w:w="0" w:type="dxa"/>
              <w:left w:w="101" w:type="dxa"/>
              <w:bottom w:w="0" w:type="dxa"/>
              <w:right w:w="101" w:type="dxa"/>
            </w:tcMar>
            <w:hideMark/>
          </w:tcPr>
          <w:p w14:paraId="543D5DE0" w14:textId="77777777" w:rsidR="00086A47" w:rsidRPr="00086A47" w:rsidRDefault="00086A47" w:rsidP="00086A47">
            <w:pPr>
              <w:spacing w:after="0" w:line="240" w:lineRule="auto"/>
              <w:rPr>
                <w:rFonts w:ascii="Times New Roman" w:eastAsia="Times New Roman" w:hAnsi="Times New Roman" w:cs="Times New Roman"/>
                <w:sz w:val="24"/>
                <w:szCs w:val="24"/>
                <w:lang w:eastAsia="en-GB"/>
              </w:rPr>
            </w:pPr>
            <w:proofErr w:type="spellStart"/>
            <w:r w:rsidRPr="00086A47">
              <w:rPr>
                <w:rFonts w:ascii="Times New Roman" w:eastAsia="Times New Roman" w:hAnsi="Times New Roman" w:cs="Times New Roman"/>
                <w:b/>
                <w:bCs/>
                <w:sz w:val="24"/>
                <w:szCs w:val="24"/>
                <w:lang w:eastAsia="en-GB"/>
              </w:rPr>
              <w:t>Publicación</w:t>
            </w:r>
            <w:proofErr w:type="spellEnd"/>
            <w:r w:rsidRPr="00086A47">
              <w:rPr>
                <w:rFonts w:ascii="Times New Roman" w:eastAsia="Times New Roman" w:hAnsi="Times New Roman" w:cs="Times New Roman"/>
                <w:b/>
                <w:bCs/>
                <w:sz w:val="24"/>
                <w:szCs w:val="24"/>
                <w:lang w:eastAsia="en-GB"/>
              </w:rPr>
              <w:t xml:space="preserve"> de </w:t>
            </w:r>
            <w:proofErr w:type="spellStart"/>
            <w:r w:rsidRPr="00086A47">
              <w:rPr>
                <w:rFonts w:ascii="Times New Roman" w:eastAsia="Times New Roman" w:hAnsi="Times New Roman" w:cs="Times New Roman"/>
                <w:b/>
                <w:bCs/>
                <w:sz w:val="24"/>
                <w:szCs w:val="24"/>
                <w:lang w:eastAsia="en-GB"/>
              </w:rPr>
              <w:t>presentaciones</w:t>
            </w:r>
            <w:proofErr w:type="spellEnd"/>
          </w:p>
        </w:tc>
        <w:tc>
          <w:tcPr>
            <w:tcW w:w="5686" w:type="dxa"/>
            <w:tcBorders>
              <w:top w:val="single" w:sz="6" w:space="0" w:color="auto"/>
              <w:left w:val="single" w:sz="6" w:space="0" w:color="auto"/>
            </w:tcBorders>
            <w:tcMar>
              <w:top w:w="0" w:type="dxa"/>
              <w:left w:w="101" w:type="dxa"/>
              <w:bottom w:w="0" w:type="dxa"/>
              <w:right w:w="101" w:type="dxa"/>
            </w:tcMar>
            <w:hideMark/>
          </w:tcPr>
          <w:p w14:paraId="51474C1E" w14:textId="77777777" w:rsidR="00086A47" w:rsidRPr="00086A47" w:rsidRDefault="00086A47" w:rsidP="00086A47">
            <w:pPr>
              <w:spacing w:after="0" w:line="240" w:lineRule="auto"/>
              <w:jc w:val="both"/>
              <w:rPr>
                <w:rFonts w:ascii="Times New Roman" w:eastAsia="Times New Roman" w:hAnsi="Times New Roman" w:cs="Times New Roman"/>
                <w:sz w:val="24"/>
                <w:szCs w:val="24"/>
                <w:lang w:val="es-ES" w:eastAsia="en-GB"/>
              </w:rPr>
            </w:pPr>
            <w:r w:rsidRPr="00086A47">
              <w:rPr>
                <w:rFonts w:ascii="Times New Roman" w:eastAsia="Times New Roman" w:hAnsi="Times New Roman" w:cs="Times New Roman"/>
                <w:sz w:val="24"/>
                <w:szCs w:val="24"/>
                <w:lang w:val="es-ES" w:eastAsia="en-GB"/>
              </w:rPr>
              <w:t>Todas las comunicaciones recibidas se harán públicas en el sitio web del Relator Especial, a menos que se indique claramente que la comunicación debe mantenerse confidencial. </w:t>
            </w:r>
          </w:p>
        </w:tc>
      </w:tr>
    </w:tbl>
    <w:p w14:paraId="2A101A2E"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i/>
          <w:iCs/>
          <w:color w:val="000000"/>
          <w:sz w:val="24"/>
          <w:szCs w:val="24"/>
          <w:lang w:val="es-ES" w:eastAsia="en-GB"/>
        </w:rPr>
        <w:t> </w:t>
      </w:r>
    </w:p>
    <w:p w14:paraId="46C9295B"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Detalles de contacto</w:t>
      </w:r>
    </w:p>
    <w:p w14:paraId="2E446F50"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b/>
          <w:bCs/>
          <w:color w:val="000000"/>
          <w:sz w:val="24"/>
          <w:szCs w:val="24"/>
          <w:lang w:val="es-ES" w:eastAsia="en-GB"/>
        </w:rPr>
        <w:t> </w:t>
      </w:r>
    </w:p>
    <w:p w14:paraId="126F0F15"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lastRenderedPageBreak/>
        <w:t xml:space="preserve">Proporcione su nombre, el </w:t>
      </w:r>
      <w:r w:rsidR="00DB2085">
        <w:rPr>
          <w:rFonts w:ascii="Calibri" w:eastAsia="Times New Roman" w:hAnsi="Calibri" w:cs="Calibri"/>
          <w:color w:val="000000"/>
          <w:sz w:val="24"/>
          <w:szCs w:val="24"/>
          <w:lang w:val="es-ES" w:eastAsia="en-GB"/>
        </w:rPr>
        <w:t>nombre</w:t>
      </w:r>
      <w:r w:rsidRPr="00086A47">
        <w:rPr>
          <w:rFonts w:ascii="Calibri" w:eastAsia="Times New Roman" w:hAnsi="Calibri" w:cs="Calibri"/>
          <w:color w:val="000000"/>
          <w:sz w:val="24"/>
          <w:szCs w:val="24"/>
          <w:lang w:val="es-ES" w:eastAsia="en-GB"/>
        </w:rPr>
        <w:t xml:space="preserve"> de su institución u organización (si corresponde) y sus datos de contacto, incluida su dirección de correo electrónico, en caso de que necesitemos comunicarnos con usted en relación con su envío.</w:t>
      </w:r>
    </w:p>
    <w:p w14:paraId="49A242E3"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70ECE963"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4BC25C85"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7A644755"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74119318" w14:textId="77777777" w:rsidR="00086A47" w:rsidRPr="00086A47" w:rsidRDefault="00086A47" w:rsidP="00086A47">
      <w:pPr>
        <w:spacing w:after="0" w:line="240" w:lineRule="auto"/>
        <w:jc w:val="center"/>
        <w:rPr>
          <w:rFonts w:ascii="Calibri" w:eastAsia="Times New Roman" w:hAnsi="Calibri" w:cs="Calibri"/>
          <w:color w:val="000000"/>
          <w:sz w:val="32"/>
          <w:szCs w:val="32"/>
          <w:lang w:eastAsia="en-GB"/>
        </w:rPr>
      </w:pPr>
      <w:proofErr w:type="spellStart"/>
      <w:r w:rsidRPr="00086A47">
        <w:rPr>
          <w:rFonts w:ascii="Calibri" w:eastAsia="Times New Roman" w:hAnsi="Calibri" w:cs="Calibri"/>
          <w:b/>
          <w:bCs/>
          <w:color w:val="000000"/>
          <w:sz w:val="32"/>
          <w:szCs w:val="32"/>
          <w:lang w:eastAsia="en-GB"/>
        </w:rPr>
        <w:t>Preguntas</w:t>
      </w:r>
      <w:proofErr w:type="spellEnd"/>
    </w:p>
    <w:p w14:paraId="6144EC70" w14:textId="77777777" w:rsidR="00086A47" w:rsidRPr="00086A47" w:rsidRDefault="00086A47" w:rsidP="00086A47">
      <w:pPr>
        <w:spacing w:after="0" w:line="240" w:lineRule="auto"/>
        <w:jc w:val="both"/>
        <w:rPr>
          <w:rFonts w:ascii="Calibri" w:eastAsia="Times New Roman" w:hAnsi="Calibri" w:cs="Calibri"/>
          <w:color w:val="000000"/>
          <w:sz w:val="24"/>
          <w:szCs w:val="24"/>
          <w:lang w:eastAsia="en-GB"/>
        </w:rPr>
      </w:pPr>
      <w:r w:rsidRPr="00086A47">
        <w:rPr>
          <w:rFonts w:ascii="Calibri" w:eastAsia="Times New Roman" w:hAnsi="Calibri" w:cs="Calibri"/>
          <w:color w:val="000000"/>
          <w:sz w:val="24"/>
          <w:szCs w:val="24"/>
          <w:lang w:eastAsia="en-GB"/>
        </w:rPr>
        <w:t> </w:t>
      </w:r>
    </w:p>
    <w:p w14:paraId="2C2F741B" w14:textId="77777777" w:rsidR="00086A47" w:rsidRPr="00086A47" w:rsidRDefault="00DB2085" w:rsidP="00DB2085">
      <w:pPr>
        <w:spacing w:after="0" w:line="240" w:lineRule="auto"/>
        <w:jc w:val="both"/>
        <w:rPr>
          <w:rFonts w:ascii="Calibri" w:eastAsia="Times New Roman" w:hAnsi="Calibri" w:cs="Calibri"/>
          <w:color w:val="000000"/>
          <w:sz w:val="24"/>
          <w:szCs w:val="24"/>
          <w:lang w:eastAsia="en-GB"/>
        </w:rPr>
      </w:pPr>
      <w:proofErr w:type="spellStart"/>
      <w:r>
        <w:rPr>
          <w:rFonts w:ascii="Calibri" w:eastAsia="Times New Roman" w:hAnsi="Calibri" w:cs="Calibri"/>
          <w:b/>
          <w:bCs/>
          <w:color w:val="000000"/>
          <w:sz w:val="24"/>
          <w:szCs w:val="24"/>
          <w:lang w:eastAsia="en-GB"/>
        </w:rPr>
        <w:t>Conocimiento</w:t>
      </w:r>
      <w:proofErr w:type="spellEnd"/>
    </w:p>
    <w:p w14:paraId="33860D78" w14:textId="77777777" w:rsidR="00086A47" w:rsidRPr="00086A47" w:rsidRDefault="00086A47" w:rsidP="00DB2085">
      <w:pPr>
        <w:spacing w:after="0" w:line="240" w:lineRule="auto"/>
        <w:jc w:val="both"/>
        <w:rPr>
          <w:rFonts w:ascii="Calibri" w:eastAsia="Times New Roman" w:hAnsi="Calibri" w:cs="Calibri"/>
          <w:color w:val="000000"/>
          <w:sz w:val="24"/>
          <w:szCs w:val="24"/>
          <w:lang w:eastAsia="en-GB"/>
        </w:rPr>
      </w:pPr>
      <w:r w:rsidRPr="00086A47">
        <w:rPr>
          <w:rFonts w:ascii="Calibri" w:eastAsia="Times New Roman" w:hAnsi="Calibri" w:cs="Calibri"/>
          <w:color w:val="000000"/>
          <w:sz w:val="24"/>
          <w:szCs w:val="24"/>
          <w:lang w:eastAsia="en-GB"/>
        </w:rPr>
        <w:t> </w:t>
      </w:r>
    </w:p>
    <w:p w14:paraId="38BF9062" w14:textId="77777777" w:rsidR="00086A47" w:rsidRDefault="00086A47" w:rsidP="00DB2085">
      <w:pPr>
        <w:numPr>
          <w:ilvl w:val="0"/>
          <w:numId w:val="1"/>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¿C</w:t>
      </w:r>
      <w:r w:rsidR="00DB2085">
        <w:rPr>
          <w:rFonts w:ascii="Calibri" w:eastAsia="Times New Roman" w:hAnsi="Calibri" w:cs="Calibri"/>
          <w:color w:val="000000"/>
          <w:sz w:val="24"/>
          <w:szCs w:val="24"/>
          <w:lang w:val="es-ES" w:eastAsia="en-GB"/>
        </w:rPr>
        <w:t xml:space="preserve">uál es el nivel de conocimiento </w:t>
      </w:r>
      <w:r w:rsidRPr="00086A47">
        <w:rPr>
          <w:rFonts w:ascii="Calibri" w:eastAsia="Times New Roman" w:hAnsi="Calibri" w:cs="Calibri"/>
          <w:color w:val="000000"/>
          <w:sz w:val="24"/>
          <w:szCs w:val="24"/>
          <w:lang w:val="es-ES" w:eastAsia="en-GB"/>
        </w:rPr>
        <w:t>del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en su país, particularmente dentro de las comunidades profesionales interesadas en su uso (es decir, legisladores, jueces, fiscales, abogados, médicos forenses y otros especialistas, funcionarios encargados de hacer cumplir la ley y otros)? </w:t>
      </w:r>
    </w:p>
    <w:p w14:paraId="2812C6A3" w14:textId="77777777" w:rsidR="00DB2085" w:rsidRPr="00086A47" w:rsidRDefault="00DB2085" w:rsidP="00DB2085">
      <w:pPr>
        <w:spacing w:after="0" w:line="240" w:lineRule="auto"/>
        <w:ind w:left="689"/>
        <w:jc w:val="both"/>
        <w:rPr>
          <w:rFonts w:ascii="Calibri" w:eastAsia="Times New Roman" w:hAnsi="Calibri" w:cs="Calibri"/>
          <w:color w:val="000000"/>
          <w:sz w:val="24"/>
          <w:szCs w:val="24"/>
          <w:lang w:val="es-ES" w:eastAsia="en-GB"/>
        </w:rPr>
      </w:pPr>
    </w:p>
    <w:p w14:paraId="735B162E" w14:textId="77777777" w:rsidR="00DB2085" w:rsidRDefault="00086A47" w:rsidP="00DB2085">
      <w:pPr>
        <w:numPr>
          <w:ilvl w:val="0"/>
          <w:numId w:val="2"/>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¿Se incluye alguna enseñanza del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en los planes de estudio de educación, incluso a nivel de pregrado, y en la formación de los profesionales antes mencionados? Describa hasta qué punto esto ocurre.</w:t>
      </w:r>
    </w:p>
    <w:p w14:paraId="086EE10B" w14:textId="77777777" w:rsidR="00DB2085" w:rsidRDefault="00DB2085" w:rsidP="00DB2085">
      <w:pPr>
        <w:spacing w:after="0" w:line="240" w:lineRule="auto"/>
        <w:jc w:val="both"/>
        <w:rPr>
          <w:rFonts w:ascii="Calibri" w:eastAsia="Times New Roman" w:hAnsi="Calibri" w:cs="Calibri"/>
          <w:color w:val="000000"/>
          <w:sz w:val="24"/>
          <w:szCs w:val="24"/>
          <w:lang w:val="es-ES" w:eastAsia="en-GB"/>
        </w:rPr>
      </w:pPr>
    </w:p>
    <w:p w14:paraId="20BC2011" w14:textId="77777777" w:rsidR="00086A47" w:rsidRDefault="00DB2085" w:rsidP="00DB2085">
      <w:pPr>
        <w:numPr>
          <w:ilvl w:val="0"/>
          <w:numId w:val="2"/>
        </w:numPr>
        <w:spacing w:after="0" w:line="240" w:lineRule="auto"/>
        <w:ind w:left="689"/>
        <w:jc w:val="both"/>
        <w:rPr>
          <w:rFonts w:ascii="Calibri" w:eastAsia="Times New Roman" w:hAnsi="Calibri" w:cs="Calibri"/>
          <w:color w:val="000000"/>
          <w:sz w:val="24"/>
          <w:szCs w:val="24"/>
          <w:lang w:val="es-ES" w:eastAsia="en-GB"/>
        </w:rPr>
      </w:pPr>
      <w:r w:rsidRPr="00DB2085">
        <w:rPr>
          <w:rFonts w:ascii="Calibri" w:eastAsia="Times New Roman" w:hAnsi="Calibri" w:cs="Calibri"/>
          <w:color w:val="000000"/>
          <w:sz w:val="24"/>
          <w:szCs w:val="24"/>
          <w:lang w:val="es-ES" w:eastAsia="en-GB"/>
        </w:rPr>
        <w:t>¿Cuáles son los principa</w:t>
      </w:r>
      <w:r>
        <w:rPr>
          <w:rFonts w:ascii="Calibri" w:eastAsia="Times New Roman" w:hAnsi="Calibri" w:cs="Calibri"/>
          <w:color w:val="000000"/>
          <w:sz w:val="24"/>
          <w:szCs w:val="24"/>
          <w:lang w:val="es-ES" w:eastAsia="en-GB"/>
        </w:rPr>
        <w:t>les desafíos en su país para un</w:t>
      </w:r>
      <w:r w:rsidRPr="00DB2085">
        <w:rPr>
          <w:rFonts w:ascii="Calibri" w:eastAsia="Times New Roman" w:hAnsi="Calibri" w:cs="Calibri"/>
          <w:color w:val="000000"/>
          <w:sz w:val="24"/>
          <w:szCs w:val="24"/>
          <w:lang w:val="es-ES" w:eastAsia="en-GB"/>
        </w:rPr>
        <w:t xml:space="preserve"> mejor </w:t>
      </w:r>
      <w:r>
        <w:rPr>
          <w:rFonts w:ascii="Calibri" w:eastAsia="Times New Roman" w:hAnsi="Calibri" w:cs="Calibri"/>
          <w:color w:val="000000"/>
          <w:sz w:val="24"/>
          <w:szCs w:val="24"/>
          <w:lang w:val="es-ES" w:eastAsia="en-GB"/>
        </w:rPr>
        <w:t>conocimiento</w:t>
      </w:r>
      <w:r w:rsidRPr="00DB2085">
        <w:rPr>
          <w:rFonts w:ascii="Calibri" w:eastAsia="Times New Roman" w:hAnsi="Calibri" w:cs="Calibri"/>
          <w:color w:val="000000"/>
          <w:sz w:val="24"/>
          <w:szCs w:val="24"/>
          <w:lang w:val="es-ES" w:eastAsia="en-GB"/>
        </w:rPr>
        <w:t xml:space="preserve"> del Protocolo de Minnesota (no disponible en los idiomas nacionales / locales; falta de promoción; </w:t>
      </w:r>
      <w:proofErr w:type="gramStart"/>
      <w:r w:rsidRPr="00DB2085">
        <w:rPr>
          <w:rFonts w:ascii="Calibri" w:eastAsia="Times New Roman" w:hAnsi="Calibri" w:cs="Calibri"/>
          <w:color w:val="000000"/>
          <w:sz w:val="24"/>
          <w:szCs w:val="24"/>
          <w:lang w:val="es-ES" w:eastAsia="en-GB"/>
        </w:rPr>
        <w:t>no se considera relevante, etc.) y qué se está haciendo o podría hacerse en el futuro para superarlos?</w:t>
      </w:r>
      <w:proofErr w:type="gramEnd"/>
      <w:r w:rsidR="00086A47" w:rsidRPr="00086A47">
        <w:rPr>
          <w:rFonts w:ascii="Calibri" w:eastAsia="Times New Roman" w:hAnsi="Calibri" w:cs="Calibri"/>
          <w:color w:val="000000"/>
          <w:sz w:val="24"/>
          <w:szCs w:val="24"/>
          <w:lang w:val="es-ES" w:eastAsia="en-GB"/>
        </w:rPr>
        <w:t> </w:t>
      </w:r>
    </w:p>
    <w:p w14:paraId="6C26E113" w14:textId="77777777" w:rsidR="00DB2085" w:rsidRPr="00086A47" w:rsidRDefault="00DB2085" w:rsidP="00DB2085">
      <w:pPr>
        <w:spacing w:after="0" w:line="240" w:lineRule="auto"/>
        <w:jc w:val="both"/>
        <w:rPr>
          <w:rFonts w:ascii="Calibri" w:eastAsia="Times New Roman" w:hAnsi="Calibri" w:cs="Calibri"/>
          <w:color w:val="000000"/>
          <w:sz w:val="24"/>
          <w:szCs w:val="24"/>
          <w:lang w:val="es-ES" w:eastAsia="en-GB"/>
        </w:rPr>
      </w:pPr>
    </w:p>
    <w:p w14:paraId="2A9578E2" w14:textId="77777777" w:rsidR="00086A47" w:rsidRPr="00086A47" w:rsidRDefault="00086A47" w:rsidP="00DB2085">
      <w:pPr>
        <w:numPr>
          <w:ilvl w:val="0"/>
          <w:numId w:val="4"/>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está disponible oficialmente en inglés, francés, español, ruso, árabe y chino. ¿El Protocolo está disponible en otros idiomas utilizados en su país? En caso afirmativo, y si está disponible en línea, comparta un enlace.</w:t>
      </w:r>
    </w:p>
    <w:p w14:paraId="434B4DFE" w14:textId="77777777" w:rsidR="00086A47" w:rsidRPr="00086A47" w:rsidRDefault="00086A47" w:rsidP="00DB2085">
      <w:pPr>
        <w:spacing w:after="0" w:line="240" w:lineRule="auto"/>
        <w:ind w:left="720"/>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3AFBE596" w14:textId="77777777" w:rsidR="00086A47" w:rsidRPr="00086A47" w:rsidRDefault="00086A47" w:rsidP="00DB2085">
      <w:pPr>
        <w:spacing w:after="0" w:line="240" w:lineRule="auto"/>
        <w:jc w:val="both"/>
        <w:rPr>
          <w:rFonts w:ascii="Calibri" w:eastAsia="Times New Roman" w:hAnsi="Calibri" w:cs="Calibri"/>
          <w:color w:val="000000"/>
          <w:sz w:val="24"/>
          <w:szCs w:val="24"/>
          <w:lang w:eastAsia="en-GB"/>
        </w:rPr>
      </w:pPr>
      <w:proofErr w:type="spellStart"/>
      <w:r w:rsidRPr="00086A47">
        <w:rPr>
          <w:rFonts w:ascii="Calibri" w:eastAsia="Times New Roman" w:hAnsi="Calibri" w:cs="Calibri"/>
          <w:b/>
          <w:bCs/>
          <w:color w:val="000000"/>
          <w:sz w:val="24"/>
          <w:szCs w:val="24"/>
          <w:lang w:eastAsia="en-GB"/>
        </w:rPr>
        <w:t>Implementación</w:t>
      </w:r>
      <w:proofErr w:type="spellEnd"/>
      <w:r w:rsidRPr="00086A47">
        <w:rPr>
          <w:rFonts w:ascii="Calibri" w:eastAsia="Times New Roman" w:hAnsi="Calibri" w:cs="Calibri"/>
          <w:b/>
          <w:bCs/>
          <w:color w:val="000000"/>
          <w:sz w:val="24"/>
          <w:szCs w:val="24"/>
          <w:lang w:eastAsia="en-GB"/>
        </w:rPr>
        <w:t xml:space="preserve"> e </w:t>
      </w:r>
      <w:proofErr w:type="spellStart"/>
      <w:r w:rsidRPr="00086A47">
        <w:rPr>
          <w:rFonts w:ascii="Calibri" w:eastAsia="Times New Roman" w:hAnsi="Calibri" w:cs="Calibri"/>
          <w:b/>
          <w:bCs/>
          <w:color w:val="000000"/>
          <w:sz w:val="24"/>
          <w:szCs w:val="24"/>
          <w:lang w:eastAsia="en-GB"/>
        </w:rPr>
        <w:t>impacto</w:t>
      </w:r>
      <w:proofErr w:type="spellEnd"/>
    </w:p>
    <w:p w14:paraId="6CA37CF0" w14:textId="77777777" w:rsidR="00086A47" w:rsidRPr="00086A47" w:rsidRDefault="00086A47" w:rsidP="00DB2085">
      <w:pPr>
        <w:spacing w:after="0" w:line="240" w:lineRule="auto"/>
        <w:jc w:val="both"/>
        <w:rPr>
          <w:rFonts w:ascii="Calibri" w:eastAsia="Times New Roman" w:hAnsi="Calibri" w:cs="Calibri"/>
          <w:color w:val="000000"/>
          <w:sz w:val="24"/>
          <w:szCs w:val="24"/>
          <w:lang w:eastAsia="en-GB"/>
        </w:rPr>
      </w:pPr>
      <w:r w:rsidRPr="00086A47">
        <w:rPr>
          <w:rFonts w:ascii="Calibri" w:eastAsia="Times New Roman" w:hAnsi="Calibri" w:cs="Calibri"/>
          <w:color w:val="000000"/>
          <w:sz w:val="24"/>
          <w:szCs w:val="24"/>
          <w:lang w:eastAsia="en-GB"/>
        </w:rPr>
        <w:t> </w:t>
      </w:r>
    </w:p>
    <w:p w14:paraId="56FCEE09" w14:textId="77777777" w:rsidR="00086A47" w:rsidRDefault="00086A47" w:rsidP="00DB2085">
      <w:pPr>
        <w:numPr>
          <w:ilvl w:val="0"/>
          <w:numId w:val="5"/>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¿Podría proporcionar ejemplos prácticos de implementación exitosa del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en su país? </w:t>
      </w:r>
    </w:p>
    <w:p w14:paraId="4044AA02" w14:textId="77777777" w:rsidR="00DB2085" w:rsidRPr="00086A47" w:rsidRDefault="00DB2085" w:rsidP="00DB2085">
      <w:pPr>
        <w:spacing w:after="0" w:line="240" w:lineRule="auto"/>
        <w:ind w:left="689"/>
        <w:jc w:val="both"/>
        <w:rPr>
          <w:rFonts w:ascii="Calibri" w:eastAsia="Times New Roman" w:hAnsi="Calibri" w:cs="Calibri"/>
          <w:color w:val="000000"/>
          <w:sz w:val="24"/>
          <w:szCs w:val="24"/>
          <w:lang w:val="es-ES" w:eastAsia="en-GB"/>
        </w:rPr>
      </w:pPr>
    </w:p>
    <w:p w14:paraId="253AE74B" w14:textId="77777777" w:rsidR="00086A47" w:rsidRDefault="00086A47" w:rsidP="00DB2085">
      <w:pPr>
        <w:numPr>
          <w:ilvl w:val="0"/>
          <w:numId w:val="6"/>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En su opinión, ¿el uso del </w:t>
      </w:r>
      <w:r w:rsidRPr="00086A47">
        <w:rPr>
          <w:rFonts w:ascii="Calibri" w:eastAsia="Times New Roman" w:hAnsi="Calibri" w:cs="Calibri"/>
          <w:i/>
          <w:iCs/>
          <w:color w:val="000000"/>
          <w:sz w:val="24"/>
          <w:szCs w:val="24"/>
          <w:lang w:val="es-ES" w:eastAsia="en-GB"/>
        </w:rPr>
        <w:t xml:space="preserve">Protocolo de Minnesota </w:t>
      </w:r>
      <w:r w:rsidRPr="00086A47">
        <w:rPr>
          <w:rFonts w:ascii="Calibri" w:eastAsia="Times New Roman" w:hAnsi="Calibri" w:cs="Calibri"/>
          <w:iCs/>
          <w:color w:val="000000"/>
          <w:sz w:val="24"/>
          <w:szCs w:val="24"/>
          <w:lang w:val="es-ES" w:eastAsia="en-GB"/>
        </w:rPr>
        <w:t>ha</w:t>
      </w:r>
      <w:r w:rsidRPr="00086A47">
        <w:rPr>
          <w:rFonts w:ascii="Calibri" w:eastAsia="Times New Roman" w:hAnsi="Calibri" w:cs="Calibri"/>
          <w:i/>
          <w:iCs/>
          <w:color w:val="000000"/>
          <w:sz w:val="24"/>
          <w:szCs w:val="24"/>
          <w:lang w:val="es-ES" w:eastAsia="en-GB"/>
        </w:rPr>
        <w:t> </w:t>
      </w:r>
      <w:r w:rsidRPr="00086A47">
        <w:rPr>
          <w:rFonts w:ascii="Calibri" w:eastAsia="Times New Roman" w:hAnsi="Calibri" w:cs="Calibri"/>
          <w:color w:val="000000"/>
          <w:sz w:val="24"/>
          <w:szCs w:val="24"/>
          <w:lang w:val="es-ES" w:eastAsia="en-GB"/>
        </w:rPr>
        <w:t>afectado de alguna manera la calidad de las investigaciones de muertes en su país? Si es así, explique brevemente. Comparta experiencias específicas, mejores prácticas y / o barreras para la identificación / implementación de esas prácticas, particularmente con respecto a la prevención y la rendición de cuentas por las muertes ilegales y la provisión de reparaciones para las víctimas.</w:t>
      </w:r>
    </w:p>
    <w:p w14:paraId="5FC7F68B" w14:textId="77777777" w:rsidR="00DB2085" w:rsidRPr="00086A47" w:rsidRDefault="00DB2085" w:rsidP="00DB2085">
      <w:pPr>
        <w:spacing w:after="0" w:line="240" w:lineRule="auto"/>
        <w:ind w:left="689"/>
        <w:jc w:val="both"/>
        <w:rPr>
          <w:rFonts w:ascii="Calibri" w:eastAsia="Times New Roman" w:hAnsi="Calibri" w:cs="Calibri"/>
          <w:color w:val="000000"/>
          <w:sz w:val="24"/>
          <w:szCs w:val="24"/>
          <w:lang w:val="es-ES" w:eastAsia="en-GB"/>
        </w:rPr>
      </w:pPr>
    </w:p>
    <w:p w14:paraId="154A2B95" w14:textId="77777777" w:rsidR="00086A47" w:rsidRDefault="00086A47" w:rsidP="00DB2085">
      <w:pPr>
        <w:numPr>
          <w:ilvl w:val="0"/>
          <w:numId w:val="7"/>
        </w:numPr>
        <w:spacing w:after="0" w:line="240" w:lineRule="auto"/>
        <w:ind w:left="689"/>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El </w:t>
      </w:r>
      <w:r w:rsidRPr="00086A47">
        <w:rPr>
          <w:rFonts w:ascii="Calibri" w:eastAsia="Times New Roman" w:hAnsi="Calibri" w:cs="Calibri"/>
          <w:i/>
          <w:iCs/>
          <w:color w:val="000000"/>
          <w:sz w:val="24"/>
          <w:szCs w:val="24"/>
          <w:lang w:val="es-ES" w:eastAsia="en-GB"/>
        </w:rPr>
        <w:t>Protocolo de Minnesota </w:t>
      </w:r>
      <w:r w:rsidRPr="00086A47">
        <w:rPr>
          <w:rFonts w:ascii="Calibri" w:eastAsia="Times New Roman" w:hAnsi="Calibri" w:cs="Calibri"/>
          <w:color w:val="000000"/>
          <w:sz w:val="24"/>
          <w:szCs w:val="24"/>
          <w:lang w:val="es-ES" w:eastAsia="en-GB"/>
        </w:rPr>
        <w:t>otorga un significado especial a las familias de las víctimas y los desaparecidos. Describa la interacción entre los encargados de las investigaciones de muerte y las familias afectadas en su país, con ejemplos de buenas prácticas y desafíos que deben superarse. </w:t>
      </w:r>
    </w:p>
    <w:p w14:paraId="5976BAFC" w14:textId="77777777" w:rsidR="00DB2085" w:rsidRPr="00086A47" w:rsidRDefault="00DB2085" w:rsidP="00DB2085">
      <w:pPr>
        <w:spacing w:after="0" w:line="240" w:lineRule="auto"/>
        <w:ind w:left="689"/>
        <w:jc w:val="both"/>
        <w:rPr>
          <w:rFonts w:ascii="Calibri" w:eastAsia="Times New Roman" w:hAnsi="Calibri" w:cs="Calibri"/>
          <w:color w:val="000000"/>
          <w:sz w:val="24"/>
          <w:szCs w:val="24"/>
          <w:lang w:val="es-ES" w:eastAsia="en-GB"/>
        </w:rPr>
      </w:pPr>
    </w:p>
    <w:p w14:paraId="3AF036CE" w14:textId="77777777" w:rsidR="00086A47" w:rsidRPr="00086A47" w:rsidRDefault="00086A47" w:rsidP="00DB2085">
      <w:pPr>
        <w:numPr>
          <w:ilvl w:val="0"/>
          <w:numId w:val="8"/>
        </w:numPr>
        <w:spacing w:after="0" w:line="240" w:lineRule="auto"/>
        <w:ind w:left="689"/>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lastRenderedPageBreak/>
        <w:t>¿Hay alguna otra información que le gustaría compartir que sea relevante para la presente convocatoria de aportaciones?</w:t>
      </w:r>
    </w:p>
    <w:p w14:paraId="2C734DD6" w14:textId="77777777" w:rsidR="00086A47" w:rsidRPr="00086A47" w:rsidRDefault="00086A47" w:rsidP="00086A47">
      <w:pPr>
        <w:spacing w:after="0" w:line="240" w:lineRule="auto"/>
        <w:ind w:left="1080"/>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5E7DCBC7"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1AFF849C"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Morris Tidball-Binz</w:t>
      </w:r>
    </w:p>
    <w:p w14:paraId="578F1D0D"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285A6765"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Relator Especial sobre ejecuciones extrajudiciales, arbitrarias o sumarias.</w:t>
      </w:r>
    </w:p>
    <w:p w14:paraId="2F3D6835" w14:textId="77777777" w:rsidR="00086A47" w:rsidRPr="00086A47" w:rsidRDefault="00086A47" w:rsidP="00086A47">
      <w:pPr>
        <w:spacing w:after="0" w:line="240" w:lineRule="auto"/>
        <w:jc w:val="both"/>
        <w:rPr>
          <w:rFonts w:ascii="Calibri" w:eastAsia="Times New Roman" w:hAnsi="Calibri" w:cs="Calibri"/>
          <w:color w:val="000000"/>
          <w:sz w:val="24"/>
          <w:szCs w:val="24"/>
          <w:lang w:val="es-ES" w:eastAsia="en-GB"/>
        </w:rPr>
      </w:pPr>
      <w:r w:rsidRPr="00086A47">
        <w:rPr>
          <w:rFonts w:ascii="Calibri" w:eastAsia="Times New Roman" w:hAnsi="Calibri" w:cs="Calibri"/>
          <w:color w:val="000000"/>
          <w:sz w:val="24"/>
          <w:szCs w:val="24"/>
          <w:lang w:val="es-ES" w:eastAsia="en-GB"/>
        </w:rPr>
        <w:t> </w:t>
      </w:r>
    </w:p>
    <w:p w14:paraId="61D37CEA" w14:textId="77777777" w:rsidR="00A661F8" w:rsidRPr="00086A47" w:rsidRDefault="00061CBE">
      <w:pPr>
        <w:rPr>
          <w:lang w:val="es-ES"/>
        </w:rPr>
      </w:pPr>
    </w:p>
    <w:sectPr w:rsidR="00A661F8" w:rsidRPr="00086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F411" w14:textId="77777777" w:rsidR="0054550D" w:rsidRDefault="0054550D" w:rsidP="00086A47">
      <w:pPr>
        <w:spacing w:after="0" w:line="240" w:lineRule="auto"/>
      </w:pPr>
      <w:r>
        <w:separator/>
      </w:r>
    </w:p>
  </w:endnote>
  <w:endnote w:type="continuationSeparator" w:id="0">
    <w:p w14:paraId="34EAB4F5" w14:textId="77777777" w:rsidR="0054550D" w:rsidRDefault="0054550D" w:rsidP="0008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9755" w14:textId="77777777" w:rsidR="0054550D" w:rsidRDefault="0054550D" w:rsidP="00086A47">
      <w:pPr>
        <w:spacing w:after="0" w:line="240" w:lineRule="auto"/>
      </w:pPr>
      <w:r>
        <w:separator/>
      </w:r>
    </w:p>
  </w:footnote>
  <w:footnote w:type="continuationSeparator" w:id="0">
    <w:p w14:paraId="6777D908" w14:textId="77777777" w:rsidR="0054550D" w:rsidRDefault="0054550D" w:rsidP="00086A47">
      <w:pPr>
        <w:spacing w:after="0" w:line="240" w:lineRule="auto"/>
      </w:pPr>
      <w:r>
        <w:continuationSeparator/>
      </w:r>
    </w:p>
  </w:footnote>
  <w:footnote w:id="1">
    <w:p w14:paraId="7BEB7DDC" w14:textId="15C2B38B" w:rsidR="00086A47" w:rsidRPr="00CE74A3" w:rsidRDefault="00086A47" w:rsidP="00086A47">
      <w:pPr>
        <w:spacing w:after="0" w:line="240" w:lineRule="auto"/>
        <w:rPr>
          <w:rFonts w:ascii="Calibri" w:eastAsia="Times New Roman" w:hAnsi="Calibri" w:cs="Calibri"/>
          <w:color w:val="000000"/>
          <w:sz w:val="20"/>
          <w:szCs w:val="20"/>
          <w:lang w:val="es-ES" w:eastAsia="en-GB"/>
        </w:rPr>
      </w:pPr>
      <w:r>
        <w:rPr>
          <w:rStyle w:val="FootnoteReference"/>
        </w:rPr>
        <w:footnoteRef/>
      </w:r>
      <w:r w:rsidRPr="00086A47">
        <w:rPr>
          <w:lang w:val="es-ES"/>
        </w:rPr>
        <w:t xml:space="preserve"> </w:t>
      </w:r>
      <w:r w:rsidRPr="00086A47">
        <w:rPr>
          <w:rFonts w:ascii="Calibri" w:eastAsia="Times New Roman" w:hAnsi="Calibri" w:cs="Calibri"/>
          <w:color w:val="000000"/>
          <w:sz w:val="20"/>
          <w:szCs w:val="20"/>
          <w:lang w:val="es-ES" w:eastAsia="en-GB"/>
        </w:rPr>
        <w:t>El </w:t>
      </w:r>
      <w:r w:rsidRPr="00086A47">
        <w:rPr>
          <w:rFonts w:ascii="Calibri" w:eastAsia="Times New Roman" w:hAnsi="Calibri" w:cs="Calibri"/>
          <w:i/>
          <w:iCs/>
          <w:color w:val="000000"/>
          <w:sz w:val="20"/>
          <w:szCs w:val="20"/>
          <w:lang w:val="es-ES" w:eastAsia="en-GB"/>
        </w:rPr>
        <w:t>Manual </w:t>
      </w:r>
      <w:r w:rsidRPr="00086A47">
        <w:rPr>
          <w:rFonts w:ascii="Calibri" w:eastAsia="Times New Roman" w:hAnsi="Calibri" w:cs="Calibri"/>
          <w:color w:val="000000"/>
          <w:sz w:val="20"/>
          <w:szCs w:val="20"/>
          <w:lang w:val="es-ES" w:eastAsia="en-GB"/>
        </w:rPr>
        <w:t>revisado de las </w:t>
      </w:r>
      <w:r w:rsidRPr="00086A47">
        <w:rPr>
          <w:rFonts w:ascii="Calibri" w:eastAsia="Times New Roman" w:hAnsi="Calibri" w:cs="Calibri"/>
          <w:i/>
          <w:iCs/>
          <w:color w:val="000000"/>
          <w:sz w:val="20"/>
          <w:szCs w:val="20"/>
          <w:lang w:val="es-ES" w:eastAsia="en-GB"/>
        </w:rPr>
        <w:t>Naciones Unidas sobre la prevención e investigación efectivas de ejecuciones extralegales, arbitrarias y sumarias </w:t>
      </w:r>
      <w:r>
        <w:rPr>
          <w:rFonts w:ascii="Calibri" w:eastAsia="Times New Roman" w:hAnsi="Calibri" w:cs="Calibri"/>
          <w:color w:val="000000"/>
          <w:sz w:val="20"/>
          <w:szCs w:val="20"/>
          <w:lang w:val="es-ES" w:eastAsia="en-GB"/>
        </w:rPr>
        <w:t>(</w:t>
      </w:r>
      <w:r w:rsidRPr="00086A47">
        <w:rPr>
          <w:rFonts w:ascii="Calibri" w:eastAsia="Times New Roman" w:hAnsi="Calibri" w:cs="Calibri"/>
          <w:i/>
          <w:iCs/>
          <w:color w:val="000000"/>
          <w:sz w:val="20"/>
          <w:szCs w:val="20"/>
          <w:lang w:val="es-ES" w:eastAsia="en-GB"/>
        </w:rPr>
        <w:t>Protocolo de Minnesota sobre la investigación de muertes potencialmente ilícitas </w:t>
      </w:r>
      <w:r w:rsidRPr="00086A47">
        <w:rPr>
          <w:rFonts w:ascii="Calibri" w:eastAsia="Times New Roman" w:hAnsi="Calibri" w:cs="Calibri"/>
          <w:color w:val="000000"/>
          <w:sz w:val="20"/>
          <w:szCs w:val="20"/>
          <w:lang w:val="es-ES" w:eastAsia="en-GB"/>
        </w:rPr>
        <w:t>(2016)). El Manual está disponible gratuitamente en todos los idiomas de las Naciones Unidas en: </w:t>
      </w:r>
      <w:hyperlink r:id="rId1" w:history="1">
        <w:r w:rsidR="00CE74A3" w:rsidRPr="00CE74A3">
          <w:rPr>
            <w:rStyle w:val="Hyperlink"/>
            <w:rFonts w:cstheme="minorHAnsi"/>
            <w:sz w:val="20"/>
            <w:szCs w:val="20"/>
            <w:lang w:val="es-ES"/>
          </w:rPr>
          <w:t>https://www.ohchr.org/S</w:t>
        </w:r>
        <w:r w:rsidR="00CE74A3" w:rsidRPr="00CE74A3">
          <w:rPr>
            <w:rStyle w:val="Hyperlink"/>
            <w:rFonts w:cstheme="minorHAnsi"/>
            <w:sz w:val="20"/>
            <w:szCs w:val="20"/>
            <w:lang w:val="es-ES"/>
          </w:rPr>
          <w:t>P</w:t>
        </w:r>
        <w:r w:rsidR="00CE74A3" w:rsidRPr="00CE74A3">
          <w:rPr>
            <w:rStyle w:val="Hyperlink"/>
            <w:rFonts w:cstheme="minorHAnsi"/>
            <w:sz w:val="20"/>
            <w:szCs w:val="20"/>
            <w:lang w:val="es-ES"/>
          </w:rPr>
          <w:t>/Issues/Executions/Pages/RevisionoftheUNManualPreventionExtraLegalArbitrary.aspx</w:t>
        </w:r>
      </w:hyperlink>
      <w:r w:rsidR="00CE74A3">
        <w:rPr>
          <w:lang w:val="es-ES"/>
        </w:rPr>
        <w:t xml:space="preserve"> </w:t>
      </w:r>
    </w:p>
  </w:footnote>
  <w:footnote w:id="2">
    <w:p w14:paraId="144857E9" w14:textId="3A0A34EF" w:rsidR="00086A47" w:rsidRPr="00086A47" w:rsidRDefault="00086A47">
      <w:pPr>
        <w:pStyle w:val="FootnoteText"/>
        <w:rPr>
          <w:lang w:val="es-ES"/>
        </w:rPr>
      </w:pPr>
      <w:r>
        <w:rPr>
          <w:rStyle w:val="FootnoteReference"/>
        </w:rPr>
        <w:footnoteRef/>
      </w:r>
      <w:r w:rsidRPr="00086A47">
        <w:rPr>
          <w:lang w:val="es-ES"/>
        </w:rPr>
        <w:t xml:space="preserve"> </w:t>
      </w:r>
      <w:r w:rsidRPr="00086A47">
        <w:rPr>
          <w:rFonts w:ascii="Calibri" w:eastAsia="Times New Roman" w:hAnsi="Calibri" w:cs="Calibri"/>
          <w:color w:val="000000"/>
          <w:lang w:val="es-ES" w:eastAsia="en-GB"/>
        </w:rPr>
        <w:t>Véase Comité de Derechos Humanos, </w:t>
      </w:r>
      <w:hyperlink r:id="rId2" w:history="1">
        <w:r w:rsidRPr="00086A47">
          <w:rPr>
            <w:rFonts w:ascii="Calibri" w:eastAsia="Times New Roman" w:hAnsi="Calibri" w:cs="Calibri"/>
            <w:color w:val="0563C1"/>
            <w:u w:val="single"/>
            <w:lang w:val="es-ES" w:eastAsia="en-GB"/>
          </w:rPr>
          <w:t xml:space="preserve">Observación </w:t>
        </w:r>
        <w:r w:rsidRPr="00086A47">
          <w:rPr>
            <w:rFonts w:ascii="Calibri" w:eastAsia="Times New Roman" w:hAnsi="Calibri" w:cs="Calibri"/>
            <w:color w:val="0563C1"/>
            <w:u w:val="single"/>
            <w:lang w:val="es-ES" w:eastAsia="en-GB"/>
          </w:rPr>
          <w:t>g</w:t>
        </w:r>
        <w:r w:rsidRPr="00086A47">
          <w:rPr>
            <w:rFonts w:ascii="Calibri" w:eastAsia="Times New Roman" w:hAnsi="Calibri" w:cs="Calibri"/>
            <w:color w:val="0563C1"/>
            <w:u w:val="single"/>
            <w:lang w:val="es-ES" w:eastAsia="en-GB"/>
          </w:rPr>
          <w:t>ener</w:t>
        </w:r>
        <w:r w:rsidRPr="00086A47">
          <w:rPr>
            <w:rFonts w:ascii="Calibri" w:eastAsia="Times New Roman" w:hAnsi="Calibri" w:cs="Calibri"/>
            <w:color w:val="0563C1"/>
            <w:u w:val="single"/>
            <w:lang w:val="es-ES" w:eastAsia="en-GB"/>
          </w:rPr>
          <w:t>a</w:t>
        </w:r>
        <w:r w:rsidRPr="00086A47">
          <w:rPr>
            <w:rFonts w:ascii="Calibri" w:eastAsia="Times New Roman" w:hAnsi="Calibri" w:cs="Calibri"/>
            <w:color w:val="0563C1"/>
            <w:u w:val="single"/>
            <w:lang w:val="es-ES" w:eastAsia="en-GB"/>
          </w:rPr>
          <w:t xml:space="preserve">l </w:t>
        </w:r>
        <w:r>
          <w:rPr>
            <w:rFonts w:ascii="Calibri" w:eastAsia="Times New Roman" w:hAnsi="Calibri" w:cs="Calibri"/>
            <w:color w:val="0563C1"/>
            <w:u w:val="single"/>
            <w:lang w:val="es-ES" w:eastAsia="en-GB"/>
          </w:rPr>
          <w:t>No</w:t>
        </w:r>
        <w:r w:rsidRPr="00086A47">
          <w:rPr>
            <w:rFonts w:ascii="Calibri" w:eastAsia="Times New Roman" w:hAnsi="Calibri" w:cs="Calibri"/>
            <w:color w:val="0563C1"/>
            <w:u w:val="single"/>
            <w:lang w:val="es-ES" w:eastAsia="en-GB"/>
          </w:rPr>
          <w:t>. 36</w:t>
        </w:r>
      </w:hyperlink>
      <w:r w:rsidRPr="00086A47">
        <w:rPr>
          <w:rFonts w:ascii="Calibri" w:eastAsia="Times New Roman" w:hAnsi="Calibri" w:cs="Calibri"/>
          <w:color w:val="000000"/>
          <w:lang w:val="es-ES" w:eastAsia="en-GB"/>
        </w:rPr>
        <w:t>.</w:t>
      </w:r>
    </w:p>
  </w:footnote>
  <w:footnote w:id="3">
    <w:p w14:paraId="36614A34" w14:textId="61C3328F" w:rsidR="00086A47" w:rsidRPr="00061CBE" w:rsidRDefault="00086A47">
      <w:pPr>
        <w:pStyle w:val="FootnoteText"/>
        <w:rPr>
          <w:lang w:val="es-ES"/>
        </w:rPr>
      </w:pPr>
      <w:r>
        <w:rPr>
          <w:rStyle w:val="FootnoteReference"/>
        </w:rPr>
        <w:footnoteRef/>
      </w:r>
      <w:r w:rsidRPr="00086A47">
        <w:rPr>
          <w:lang w:val="es-ES"/>
        </w:rPr>
        <w:t xml:space="preserve"> </w:t>
      </w:r>
      <w:r w:rsidRPr="00086A47">
        <w:rPr>
          <w:rFonts w:ascii="Calibri" w:eastAsia="Times New Roman" w:hAnsi="Calibri" w:cs="Calibri"/>
          <w:color w:val="000000"/>
          <w:lang w:val="es-ES" w:eastAsia="en-GB"/>
        </w:rPr>
        <w:t>Resolución 1989/65 del Consejo Econó</w:t>
      </w:r>
      <w:r>
        <w:rPr>
          <w:rFonts w:ascii="Calibri" w:eastAsia="Times New Roman" w:hAnsi="Calibri" w:cs="Calibri"/>
          <w:color w:val="000000"/>
          <w:lang w:val="es-ES" w:eastAsia="en-GB"/>
        </w:rPr>
        <w:t xml:space="preserve">mico y Social, de 24 de mayo de </w:t>
      </w:r>
      <w:r w:rsidRPr="00086A47">
        <w:rPr>
          <w:rFonts w:ascii="Calibri" w:eastAsia="Times New Roman" w:hAnsi="Calibri" w:cs="Calibri"/>
          <w:color w:val="000000"/>
          <w:lang w:val="es-ES" w:eastAsia="en-GB"/>
        </w:rPr>
        <w:t>1989,</w:t>
      </w:r>
      <w:r w:rsidR="00407DA3" w:rsidRPr="00407DA3">
        <w:rPr>
          <w:lang w:val="es-ES"/>
        </w:rPr>
        <w:t xml:space="preserve"> </w:t>
      </w:r>
      <w:hyperlink r:id="rId3" w:history="1">
        <w:r w:rsidR="00061CBE">
          <w:rPr>
            <w:rStyle w:val="Hyperlink"/>
            <w:lang w:val="es-ES"/>
          </w:rPr>
          <w:t>Princip</w:t>
        </w:r>
        <w:bookmarkStart w:id="4" w:name="_GoBack"/>
        <w:bookmarkEnd w:id="4"/>
        <w:r w:rsidR="00061CBE">
          <w:rPr>
            <w:rStyle w:val="Hyperlink"/>
            <w:lang w:val="es-ES"/>
          </w:rPr>
          <w:t>i</w:t>
        </w:r>
        <w:r w:rsidR="00061CBE">
          <w:rPr>
            <w:rStyle w:val="Hyperlink"/>
            <w:lang w:val="es-ES"/>
          </w:rPr>
          <w:t>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642"/>
    <w:multiLevelType w:val="multilevel"/>
    <w:tmpl w:val="739A7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82D30"/>
    <w:multiLevelType w:val="multilevel"/>
    <w:tmpl w:val="903816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3E0"/>
    <w:multiLevelType w:val="multilevel"/>
    <w:tmpl w:val="991A1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81DF4"/>
    <w:multiLevelType w:val="multilevel"/>
    <w:tmpl w:val="A626B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05864"/>
    <w:multiLevelType w:val="multilevel"/>
    <w:tmpl w:val="73C01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D2966"/>
    <w:multiLevelType w:val="multilevel"/>
    <w:tmpl w:val="D0D4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606E5"/>
    <w:multiLevelType w:val="multilevel"/>
    <w:tmpl w:val="79703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86676"/>
    <w:multiLevelType w:val="multilevel"/>
    <w:tmpl w:val="22465C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7"/>
    <w:rsid w:val="00061CBE"/>
    <w:rsid w:val="00086A47"/>
    <w:rsid w:val="000C6B2F"/>
    <w:rsid w:val="0013375E"/>
    <w:rsid w:val="00407DA3"/>
    <w:rsid w:val="0054305E"/>
    <w:rsid w:val="0054550D"/>
    <w:rsid w:val="008401DE"/>
    <w:rsid w:val="009363BD"/>
    <w:rsid w:val="00962359"/>
    <w:rsid w:val="009716A0"/>
    <w:rsid w:val="00CD612A"/>
    <w:rsid w:val="00CE74A3"/>
    <w:rsid w:val="00D747EC"/>
    <w:rsid w:val="00DB2085"/>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FF6F"/>
  <w15:chartTrackingRefBased/>
  <w15:docId w15:val="{0DA5C7B7-FBAC-4075-A057-EE317D5D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A47"/>
    <w:rPr>
      <w:color w:val="0000FF"/>
      <w:u w:val="single"/>
    </w:rPr>
  </w:style>
  <w:style w:type="paragraph" w:styleId="FootnoteText">
    <w:name w:val="footnote text"/>
    <w:basedOn w:val="Normal"/>
    <w:link w:val="FootnoteTextChar"/>
    <w:uiPriority w:val="99"/>
    <w:semiHidden/>
    <w:unhideWhenUsed/>
    <w:rsid w:val="00086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A47"/>
    <w:rPr>
      <w:sz w:val="20"/>
      <w:szCs w:val="20"/>
    </w:rPr>
  </w:style>
  <w:style w:type="character" w:styleId="FootnoteReference">
    <w:name w:val="footnote reference"/>
    <w:basedOn w:val="DefaultParagraphFont"/>
    <w:uiPriority w:val="99"/>
    <w:semiHidden/>
    <w:unhideWhenUsed/>
    <w:rsid w:val="00086A47"/>
    <w:rPr>
      <w:vertAlign w:val="superscript"/>
    </w:rPr>
  </w:style>
  <w:style w:type="paragraph" w:styleId="ListParagraph">
    <w:name w:val="List Paragraph"/>
    <w:basedOn w:val="Normal"/>
    <w:uiPriority w:val="34"/>
    <w:qFormat/>
    <w:rsid w:val="00DB2085"/>
    <w:pPr>
      <w:ind w:left="720"/>
      <w:contextualSpacing/>
    </w:pPr>
  </w:style>
  <w:style w:type="paragraph" w:styleId="Revision">
    <w:name w:val="Revision"/>
    <w:hidden/>
    <w:uiPriority w:val="99"/>
    <w:semiHidden/>
    <w:rsid w:val="000C6B2F"/>
    <w:pPr>
      <w:spacing w:after="0" w:line="240" w:lineRule="auto"/>
    </w:pPr>
  </w:style>
  <w:style w:type="paragraph" w:styleId="BalloonText">
    <w:name w:val="Balloon Text"/>
    <w:basedOn w:val="Normal"/>
    <w:link w:val="BalloonTextChar"/>
    <w:uiPriority w:val="99"/>
    <w:semiHidden/>
    <w:unhideWhenUsed/>
    <w:rsid w:val="00CE7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4A3"/>
    <w:rPr>
      <w:rFonts w:ascii="Segoe UI" w:hAnsi="Segoe UI" w:cs="Segoe UI"/>
      <w:sz w:val="18"/>
      <w:szCs w:val="18"/>
    </w:rPr>
  </w:style>
  <w:style w:type="character" w:styleId="FollowedHyperlink">
    <w:name w:val="FollowedHyperlink"/>
    <w:basedOn w:val="DefaultParagraphFont"/>
    <w:uiPriority w:val="99"/>
    <w:semiHidden/>
    <w:unhideWhenUsed/>
    <w:rsid w:val="00936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575">
      <w:bodyDiv w:val="1"/>
      <w:marLeft w:val="0"/>
      <w:marRight w:val="0"/>
      <w:marTop w:val="0"/>
      <w:marBottom w:val="0"/>
      <w:divBdr>
        <w:top w:val="none" w:sz="0" w:space="0" w:color="auto"/>
        <w:left w:val="none" w:sz="0" w:space="0" w:color="auto"/>
        <w:bottom w:val="none" w:sz="0" w:space="0" w:color="auto"/>
        <w:right w:val="none" w:sz="0" w:space="0" w:color="auto"/>
      </w:divBdr>
      <w:divsChild>
        <w:div w:id="118424877">
          <w:marLeft w:val="0"/>
          <w:marRight w:val="0"/>
          <w:marTop w:val="0"/>
          <w:marBottom w:val="0"/>
          <w:divBdr>
            <w:top w:val="none" w:sz="0" w:space="0" w:color="auto"/>
            <w:left w:val="none" w:sz="0" w:space="0" w:color="auto"/>
            <w:bottom w:val="none" w:sz="0" w:space="0" w:color="auto"/>
            <w:right w:val="none" w:sz="0" w:space="0" w:color="auto"/>
          </w:divBdr>
        </w:div>
        <w:div w:id="276763175">
          <w:marLeft w:val="0"/>
          <w:marRight w:val="0"/>
          <w:marTop w:val="0"/>
          <w:marBottom w:val="0"/>
          <w:divBdr>
            <w:top w:val="none" w:sz="0" w:space="0" w:color="auto"/>
            <w:left w:val="none" w:sz="0" w:space="0" w:color="auto"/>
            <w:bottom w:val="none" w:sz="0" w:space="0" w:color="auto"/>
            <w:right w:val="none" w:sz="0" w:space="0" w:color="auto"/>
          </w:divBdr>
        </w:div>
        <w:div w:id="1807774210">
          <w:marLeft w:val="0"/>
          <w:marRight w:val="0"/>
          <w:marTop w:val="0"/>
          <w:marBottom w:val="0"/>
          <w:divBdr>
            <w:top w:val="none" w:sz="0" w:space="0" w:color="auto"/>
            <w:left w:val="none" w:sz="0" w:space="0" w:color="auto"/>
            <w:bottom w:val="none" w:sz="0" w:space="0" w:color="auto"/>
            <w:right w:val="none" w:sz="0" w:space="0" w:color="auto"/>
          </w:divBdr>
        </w:div>
        <w:div w:id="137523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eje@ohch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url?sa=t&amp;rct=j&amp;q=&amp;esrc=s&amp;source=web&amp;cd=&amp;cad=rja&amp;uact=8&amp;ved=2ahUKEwjRn5e_q5_1AhWPTcAKHXeABAgQFnoECAMQAQ&amp;url=https%3A%2F%2Fundocs.org%2Fpdf%3Fsymbol%3Des%2FE%2FRES%2F1989%2F65&amp;usg=AOvVaw2lUbppb4nDVcHJ-Gr_pxk-" TargetMode="External"/><Relationship Id="rId2" Type="http://schemas.openxmlformats.org/officeDocument/2006/relationships/hyperlink" Target="https://undocs.org/es/CCPR/C/GC/36" TargetMode="External"/><Relationship Id="rId1" Type="http://schemas.openxmlformats.org/officeDocument/2006/relationships/hyperlink" Target="https://www.ohchr.org/SP/Issues/Executions/Pages/RevisionoftheUNManualPreventionExtraLegalArbit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B29E-346D-4BB3-B33E-7AF1457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Ariel Fernandez (OHCHR-Intern)</dc:creator>
  <cp:keywords/>
  <dc:description/>
  <cp:lastModifiedBy>Rhiannon PAINTER</cp:lastModifiedBy>
  <cp:revision>5</cp:revision>
  <dcterms:created xsi:type="dcterms:W3CDTF">2021-12-14T08:50:00Z</dcterms:created>
  <dcterms:modified xsi:type="dcterms:W3CDTF">2022-01-07T09:42:00Z</dcterms:modified>
</cp:coreProperties>
</file>