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85077" w14:textId="0F0B093E" w:rsidR="00B46FCC" w:rsidRPr="00A529A8" w:rsidRDefault="00B46FCC" w:rsidP="00A529A8">
      <w:pPr>
        <w:pStyle w:val="Heading3"/>
        <w:shd w:val="clear" w:color="auto" w:fill="FFFFFF"/>
        <w:spacing w:before="0" w:beforeAutospacing="0" w:after="0" w:afterAutospacing="0"/>
        <w:jc w:val="both"/>
        <w:rPr>
          <w:rFonts w:asciiTheme="minorHAnsi" w:hAnsiTheme="minorHAnsi" w:cstheme="minorHAnsi"/>
          <w:i/>
          <w:iCs/>
          <w:sz w:val="24"/>
          <w:szCs w:val="24"/>
          <w:lang w:val="fr-FR"/>
        </w:rPr>
      </w:pPr>
      <w:r w:rsidRPr="00A529A8">
        <w:rPr>
          <w:rFonts w:asciiTheme="minorHAnsi" w:hAnsiTheme="minorHAnsi" w:cstheme="minorHAnsi"/>
          <w:sz w:val="24"/>
          <w:szCs w:val="24"/>
          <w:lang w:val="fr-FR"/>
        </w:rPr>
        <w:t xml:space="preserve">Appel à contributions sur l’état des connaissances et de </w:t>
      </w:r>
      <w:r w:rsidR="00C2064A" w:rsidRPr="00A529A8">
        <w:rPr>
          <w:rFonts w:asciiTheme="minorHAnsi" w:hAnsiTheme="minorHAnsi" w:cstheme="minorHAnsi"/>
          <w:sz w:val="24"/>
          <w:szCs w:val="24"/>
          <w:lang w:val="fr-FR"/>
        </w:rPr>
        <w:t xml:space="preserve">la mise en </w:t>
      </w:r>
      <w:r w:rsidR="00A529A8" w:rsidRPr="00A529A8">
        <w:rPr>
          <w:rFonts w:asciiTheme="minorHAnsi" w:hAnsiTheme="minorHAnsi" w:cstheme="minorHAnsi"/>
          <w:sz w:val="24"/>
          <w:szCs w:val="24"/>
          <w:lang w:val="fr-FR"/>
        </w:rPr>
        <w:t>œuvre</w:t>
      </w:r>
      <w:r w:rsidRPr="00A529A8">
        <w:rPr>
          <w:rFonts w:asciiTheme="minorHAnsi" w:hAnsiTheme="minorHAnsi" w:cstheme="minorHAnsi"/>
          <w:sz w:val="24"/>
          <w:szCs w:val="24"/>
          <w:lang w:val="fr-FR"/>
        </w:rPr>
        <w:t xml:space="preserve"> du </w:t>
      </w:r>
      <w:r w:rsidRPr="00A529A8">
        <w:rPr>
          <w:rFonts w:asciiTheme="minorHAnsi" w:hAnsiTheme="minorHAnsi" w:cstheme="minorHAnsi"/>
          <w:i/>
          <w:iCs/>
          <w:sz w:val="24"/>
          <w:szCs w:val="24"/>
          <w:lang w:val="fr-FR"/>
        </w:rPr>
        <w:t>Manuel des Nations Unies sur la prévention des exécutions extrajudiciaires, arbitraires et sommaires et les moyens d’enquête sur ces exécutions (Protocole du Minnesota)</w:t>
      </w:r>
    </w:p>
    <w:p w14:paraId="39CB67BD" w14:textId="4B57807F" w:rsidR="00B46FCC" w:rsidRPr="00A529A8" w:rsidRDefault="00B46FCC" w:rsidP="00A529A8">
      <w:pPr>
        <w:pStyle w:val="Heading3"/>
        <w:shd w:val="clear" w:color="auto" w:fill="FFFFFF"/>
        <w:spacing w:before="0" w:beforeAutospacing="0" w:after="0" w:afterAutospacing="0"/>
        <w:jc w:val="both"/>
        <w:rPr>
          <w:rFonts w:asciiTheme="minorHAnsi" w:hAnsiTheme="minorHAnsi" w:cstheme="minorHAnsi"/>
          <w:i/>
          <w:iCs/>
          <w:sz w:val="24"/>
          <w:szCs w:val="24"/>
          <w:lang w:val="fr-FR"/>
        </w:rPr>
      </w:pPr>
    </w:p>
    <w:tbl>
      <w:tblPr>
        <w:tblStyle w:val="TableGrid"/>
        <w:tblW w:w="0" w:type="auto"/>
        <w:tblLook w:val="04A0" w:firstRow="1" w:lastRow="0" w:firstColumn="1" w:lastColumn="0" w:noHBand="0" w:noVBand="1"/>
      </w:tblPr>
      <w:tblGrid>
        <w:gridCol w:w="2405"/>
        <w:gridCol w:w="6611"/>
      </w:tblGrid>
      <w:tr w:rsidR="00B46FCC" w:rsidRPr="00A529A8" w14:paraId="72B23B65" w14:textId="77777777" w:rsidTr="00792793">
        <w:tc>
          <w:tcPr>
            <w:tcW w:w="2405" w:type="dxa"/>
          </w:tcPr>
          <w:p w14:paraId="2A0D7C06" w14:textId="47FA6753" w:rsidR="00B46FCC" w:rsidRPr="00A529A8" w:rsidRDefault="00B46FCC" w:rsidP="00A529A8">
            <w:pPr>
              <w:jc w:val="both"/>
              <w:rPr>
                <w:rFonts w:cstheme="minorHAnsi"/>
                <w:b/>
                <w:bCs/>
                <w:sz w:val="24"/>
                <w:szCs w:val="24"/>
                <w:lang w:val="fr-FR"/>
              </w:rPr>
            </w:pPr>
            <w:r w:rsidRPr="00A529A8">
              <w:rPr>
                <w:rFonts w:cstheme="minorHAnsi"/>
                <w:b/>
                <w:bCs/>
                <w:sz w:val="24"/>
                <w:szCs w:val="24"/>
                <w:lang w:val="fr-FR"/>
              </w:rPr>
              <w:t>Date limite</w:t>
            </w:r>
          </w:p>
        </w:tc>
        <w:tc>
          <w:tcPr>
            <w:tcW w:w="6611" w:type="dxa"/>
          </w:tcPr>
          <w:p w14:paraId="625BB16B" w14:textId="4C899315" w:rsidR="00B46FCC" w:rsidRPr="00A529A8" w:rsidRDefault="00B46FCC" w:rsidP="00A529A8">
            <w:pPr>
              <w:jc w:val="both"/>
              <w:rPr>
                <w:rFonts w:cstheme="minorHAnsi"/>
                <w:b/>
                <w:bCs/>
                <w:sz w:val="24"/>
                <w:szCs w:val="24"/>
                <w:lang w:val="fr-FR"/>
              </w:rPr>
            </w:pPr>
            <w:r w:rsidRPr="00A529A8">
              <w:rPr>
                <w:rFonts w:cstheme="minorHAnsi"/>
                <w:b/>
                <w:bCs/>
                <w:sz w:val="24"/>
                <w:szCs w:val="24"/>
                <w:lang w:val="fr-FR"/>
              </w:rPr>
              <w:t>30 janvier 2022</w:t>
            </w:r>
          </w:p>
        </w:tc>
      </w:tr>
      <w:tr w:rsidR="00B46FCC" w:rsidRPr="006D744D" w14:paraId="2676F988" w14:textId="77777777" w:rsidTr="00792793">
        <w:tc>
          <w:tcPr>
            <w:tcW w:w="2405" w:type="dxa"/>
          </w:tcPr>
          <w:p w14:paraId="3A9D969D" w14:textId="5F0E8466" w:rsidR="00B46FCC" w:rsidRPr="00A529A8" w:rsidRDefault="00B46FCC" w:rsidP="00A529A8">
            <w:pPr>
              <w:jc w:val="both"/>
              <w:rPr>
                <w:rFonts w:cstheme="minorHAnsi"/>
                <w:b/>
                <w:bCs/>
                <w:sz w:val="24"/>
                <w:szCs w:val="24"/>
                <w:lang w:val="fr-FR"/>
              </w:rPr>
            </w:pPr>
            <w:r w:rsidRPr="00A529A8">
              <w:rPr>
                <w:rFonts w:cstheme="minorHAnsi"/>
                <w:b/>
                <w:bCs/>
                <w:sz w:val="24"/>
                <w:szCs w:val="24"/>
                <w:lang w:val="fr-FR"/>
              </w:rPr>
              <w:t xml:space="preserve">Publié par </w:t>
            </w:r>
          </w:p>
        </w:tc>
        <w:tc>
          <w:tcPr>
            <w:tcW w:w="6611" w:type="dxa"/>
          </w:tcPr>
          <w:p w14:paraId="4AA7E7DE" w14:textId="511F539A" w:rsidR="00B46FCC" w:rsidRPr="00A529A8" w:rsidRDefault="00B46FCC" w:rsidP="00A529A8">
            <w:pPr>
              <w:jc w:val="both"/>
              <w:rPr>
                <w:rFonts w:cstheme="minorHAnsi"/>
                <w:b/>
                <w:bCs/>
                <w:sz w:val="24"/>
                <w:szCs w:val="24"/>
                <w:lang w:val="fr-FR"/>
              </w:rPr>
            </w:pPr>
            <w:r w:rsidRPr="00A529A8">
              <w:rPr>
                <w:rFonts w:cstheme="minorHAnsi"/>
                <w:sz w:val="24"/>
                <w:szCs w:val="24"/>
                <w:lang w:val="fr-FR"/>
              </w:rPr>
              <w:t xml:space="preserve">Le Rapporteur Spécial sur les Exécutions </w:t>
            </w:r>
            <w:r w:rsidR="00A529A8" w:rsidRPr="00A529A8">
              <w:rPr>
                <w:rFonts w:cstheme="minorHAnsi"/>
                <w:sz w:val="24"/>
                <w:szCs w:val="24"/>
                <w:lang w:val="fr-FR"/>
              </w:rPr>
              <w:t>extrajudiciaires</w:t>
            </w:r>
            <w:r w:rsidRPr="00A529A8">
              <w:rPr>
                <w:rFonts w:cstheme="minorHAnsi"/>
                <w:sz w:val="24"/>
                <w:szCs w:val="24"/>
                <w:lang w:val="fr-FR"/>
              </w:rPr>
              <w:t>, sommaires ou arbitraires</w:t>
            </w:r>
          </w:p>
        </w:tc>
      </w:tr>
      <w:tr w:rsidR="00B46FCC" w:rsidRPr="006D744D" w14:paraId="057257DB" w14:textId="77777777" w:rsidTr="00792793">
        <w:tc>
          <w:tcPr>
            <w:tcW w:w="2405" w:type="dxa"/>
          </w:tcPr>
          <w:p w14:paraId="3D4F8DA1" w14:textId="023F6D5E" w:rsidR="00B46FCC" w:rsidRPr="00A529A8" w:rsidRDefault="00B46FCC" w:rsidP="00A529A8">
            <w:pPr>
              <w:jc w:val="both"/>
              <w:rPr>
                <w:rFonts w:cstheme="minorHAnsi"/>
                <w:b/>
                <w:bCs/>
                <w:sz w:val="24"/>
                <w:szCs w:val="24"/>
                <w:lang w:val="fr-FR"/>
              </w:rPr>
            </w:pPr>
            <w:r w:rsidRPr="00A529A8">
              <w:rPr>
                <w:rFonts w:cstheme="minorHAnsi"/>
                <w:b/>
                <w:bCs/>
                <w:sz w:val="24"/>
                <w:szCs w:val="24"/>
                <w:lang w:val="fr-FR"/>
              </w:rPr>
              <w:t xml:space="preserve">Objectif </w:t>
            </w:r>
          </w:p>
        </w:tc>
        <w:tc>
          <w:tcPr>
            <w:tcW w:w="6611" w:type="dxa"/>
          </w:tcPr>
          <w:p w14:paraId="2FF92E4F" w14:textId="75215582" w:rsidR="00B46FCC" w:rsidRPr="00A529A8" w:rsidRDefault="008B0F52" w:rsidP="00A529A8">
            <w:pPr>
              <w:jc w:val="both"/>
              <w:rPr>
                <w:rFonts w:cstheme="minorHAnsi"/>
                <w:b/>
                <w:bCs/>
                <w:sz w:val="24"/>
                <w:szCs w:val="24"/>
                <w:lang w:val="fr-FR"/>
              </w:rPr>
            </w:pPr>
            <w:r w:rsidRPr="00A529A8">
              <w:rPr>
                <w:rFonts w:cstheme="minorHAnsi"/>
                <w:sz w:val="24"/>
                <w:szCs w:val="24"/>
                <w:lang w:val="fr-FR"/>
              </w:rPr>
              <w:t>Recueillir</w:t>
            </w:r>
            <w:r w:rsidR="00B46FCC" w:rsidRPr="00A529A8">
              <w:rPr>
                <w:rFonts w:cstheme="minorHAnsi"/>
                <w:sz w:val="24"/>
                <w:szCs w:val="24"/>
                <w:lang w:val="fr-FR"/>
              </w:rPr>
              <w:t xml:space="preserve"> des informations sur </w:t>
            </w:r>
            <w:r w:rsidRPr="00A529A8">
              <w:rPr>
                <w:rFonts w:cstheme="minorHAnsi"/>
                <w:b/>
                <w:bCs/>
                <w:sz w:val="24"/>
                <w:szCs w:val="24"/>
                <w:lang w:val="fr-FR"/>
              </w:rPr>
              <w:t xml:space="preserve">la sensibilisation, </w:t>
            </w:r>
            <w:r w:rsidR="00C2064A" w:rsidRPr="00A529A8">
              <w:rPr>
                <w:rFonts w:cstheme="minorHAnsi"/>
                <w:b/>
                <w:bCs/>
                <w:sz w:val="24"/>
                <w:szCs w:val="24"/>
                <w:lang w:val="fr-FR"/>
              </w:rPr>
              <w:t xml:space="preserve">la mise en </w:t>
            </w:r>
            <w:r w:rsidR="009D2474" w:rsidRPr="00A529A8">
              <w:rPr>
                <w:rFonts w:cstheme="minorHAnsi"/>
                <w:b/>
                <w:bCs/>
                <w:sz w:val="24"/>
                <w:szCs w:val="24"/>
                <w:lang w:val="fr-FR"/>
              </w:rPr>
              <w:t>œuvre</w:t>
            </w:r>
            <w:r w:rsidRPr="00A529A8">
              <w:rPr>
                <w:rFonts w:cstheme="minorHAnsi"/>
                <w:b/>
                <w:bCs/>
                <w:sz w:val="24"/>
                <w:szCs w:val="24"/>
                <w:lang w:val="fr-FR"/>
              </w:rPr>
              <w:t xml:space="preserve"> et l’impact </w:t>
            </w:r>
            <w:r w:rsidRPr="00A529A8">
              <w:rPr>
                <w:rFonts w:cstheme="minorHAnsi"/>
                <w:sz w:val="24"/>
                <w:szCs w:val="24"/>
                <w:lang w:val="fr-FR"/>
              </w:rPr>
              <w:t xml:space="preserve">du </w:t>
            </w:r>
            <w:r w:rsidRPr="00A32080">
              <w:rPr>
                <w:rFonts w:cstheme="minorHAnsi"/>
                <w:i/>
                <w:iCs/>
                <w:sz w:val="24"/>
                <w:szCs w:val="24"/>
                <w:lang w:val="fr-FR"/>
              </w:rPr>
              <w:t>Protocole du Minnesota</w:t>
            </w:r>
            <w:r w:rsidRPr="00A529A8">
              <w:rPr>
                <w:rFonts w:cstheme="minorHAnsi"/>
                <w:sz w:val="24"/>
                <w:szCs w:val="24"/>
                <w:lang w:val="fr-FR"/>
              </w:rPr>
              <w:t xml:space="preserve"> pour nourrir le rapport </w:t>
            </w:r>
            <w:r w:rsidR="00933CAD" w:rsidRPr="00A529A8">
              <w:rPr>
                <w:rFonts w:cstheme="minorHAnsi"/>
                <w:sz w:val="24"/>
                <w:szCs w:val="24"/>
                <w:lang w:val="fr-FR"/>
              </w:rPr>
              <w:t xml:space="preserve">à venir </w:t>
            </w:r>
            <w:r w:rsidRPr="00A529A8">
              <w:rPr>
                <w:rFonts w:cstheme="minorHAnsi"/>
                <w:sz w:val="24"/>
                <w:szCs w:val="24"/>
                <w:lang w:val="fr-FR"/>
              </w:rPr>
              <w:t>du Rapporteur Spécial au Conseil des Droits de l’Homme.</w:t>
            </w:r>
          </w:p>
        </w:tc>
      </w:tr>
    </w:tbl>
    <w:p w14:paraId="76E962DF" w14:textId="31FB1B52" w:rsidR="00B46FCC" w:rsidRPr="00A529A8" w:rsidRDefault="00B46FCC" w:rsidP="00A529A8">
      <w:pPr>
        <w:pStyle w:val="Heading3"/>
        <w:shd w:val="clear" w:color="auto" w:fill="FFFFFF"/>
        <w:spacing w:before="0" w:beforeAutospacing="0" w:after="0" w:afterAutospacing="0"/>
        <w:jc w:val="both"/>
        <w:rPr>
          <w:rFonts w:asciiTheme="minorHAnsi" w:hAnsiTheme="minorHAnsi" w:cstheme="minorHAnsi"/>
          <w:sz w:val="24"/>
          <w:szCs w:val="24"/>
          <w:lang w:val="fr-FR"/>
        </w:rPr>
      </w:pPr>
    </w:p>
    <w:p w14:paraId="0953D6D5" w14:textId="1CF11CE4" w:rsidR="00A31B1E" w:rsidRPr="00A529A8" w:rsidRDefault="00A31B1E" w:rsidP="00A529A8">
      <w:pPr>
        <w:pStyle w:val="Heading3"/>
        <w:shd w:val="clear" w:color="auto" w:fill="FFFFFF"/>
        <w:spacing w:before="0" w:beforeAutospacing="0" w:after="0" w:afterAutospacing="0"/>
        <w:jc w:val="both"/>
        <w:rPr>
          <w:rFonts w:asciiTheme="minorHAnsi" w:hAnsiTheme="minorHAnsi" w:cstheme="minorHAnsi"/>
          <w:sz w:val="24"/>
          <w:szCs w:val="24"/>
          <w:lang w:val="fr-FR"/>
        </w:rPr>
      </w:pPr>
      <w:r w:rsidRPr="00A529A8">
        <w:rPr>
          <w:rFonts w:asciiTheme="minorHAnsi" w:hAnsiTheme="minorHAnsi" w:cstheme="minorHAnsi"/>
          <w:sz w:val="24"/>
          <w:szCs w:val="24"/>
          <w:lang w:val="fr-FR"/>
        </w:rPr>
        <w:t>APPEL A CONTRIBUTIONS</w:t>
      </w:r>
    </w:p>
    <w:p w14:paraId="68EE11A5" w14:textId="1027D756" w:rsidR="00A31B1E" w:rsidRPr="00A529A8" w:rsidRDefault="00A31B1E" w:rsidP="00A529A8">
      <w:pPr>
        <w:pStyle w:val="Heading3"/>
        <w:shd w:val="clear" w:color="auto" w:fill="FFFFFF"/>
        <w:spacing w:before="0" w:beforeAutospacing="0" w:after="0" w:afterAutospacing="0"/>
        <w:jc w:val="both"/>
        <w:rPr>
          <w:rFonts w:asciiTheme="minorHAnsi" w:hAnsiTheme="minorHAnsi" w:cstheme="minorHAnsi"/>
          <w:b w:val="0"/>
          <w:bCs w:val="0"/>
          <w:sz w:val="24"/>
          <w:szCs w:val="24"/>
          <w:lang w:val="fr-FR"/>
        </w:rPr>
      </w:pPr>
    </w:p>
    <w:p w14:paraId="1CBE7002" w14:textId="0C939FA7" w:rsidR="003024BA" w:rsidRPr="00A529A8" w:rsidRDefault="00A31B1E" w:rsidP="00A529A8">
      <w:pPr>
        <w:pStyle w:val="Heading3"/>
        <w:shd w:val="clear" w:color="auto" w:fill="FFFFFF"/>
        <w:spacing w:before="0" w:beforeAutospacing="0" w:after="0" w:afterAutospacing="0"/>
        <w:jc w:val="both"/>
        <w:rPr>
          <w:rFonts w:asciiTheme="minorHAnsi" w:hAnsiTheme="minorHAnsi" w:cstheme="minorHAnsi"/>
          <w:b w:val="0"/>
          <w:bCs w:val="0"/>
          <w:sz w:val="24"/>
          <w:szCs w:val="24"/>
          <w:lang w:val="fr-FR"/>
        </w:rPr>
      </w:pPr>
      <w:r w:rsidRPr="00A529A8">
        <w:rPr>
          <w:rFonts w:asciiTheme="minorHAnsi" w:hAnsiTheme="minorHAnsi" w:cstheme="minorHAnsi"/>
          <w:b w:val="0"/>
          <w:bCs w:val="0"/>
          <w:sz w:val="24"/>
          <w:szCs w:val="24"/>
          <w:lang w:val="fr-FR"/>
        </w:rPr>
        <w:t xml:space="preserve">Le Rapporteur Spécial sur les Exécutions extrajudiciaires, sommaires ou arbitraires lance un appel à contributions pour nourrir </w:t>
      </w:r>
      <w:r w:rsidR="005E7781" w:rsidRPr="00A529A8">
        <w:rPr>
          <w:rFonts w:asciiTheme="minorHAnsi" w:hAnsiTheme="minorHAnsi" w:cstheme="minorHAnsi"/>
          <w:b w:val="0"/>
          <w:bCs w:val="0"/>
          <w:sz w:val="24"/>
          <w:szCs w:val="24"/>
          <w:lang w:val="fr-FR"/>
        </w:rPr>
        <w:t>son rapport à venir sur l’état des systèmes d’enquête</w:t>
      </w:r>
      <w:r w:rsidR="003024BA" w:rsidRPr="00A529A8">
        <w:rPr>
          <w:rFonts w:asciiTheme="minorHAnsi" w:hAnsiTheme="minorHAnsi" w:cstheme="minorHAnsi"/>
          <w:b w:val="0"/>
          <w:bCs w:val="0"/>
          <w:sz w:val="24"/>
          <w:szCs w:val="24"/>
          <w:lang w:val="fr-FR"/>
        </w:rPr>
        <w:t xml:space="preserve"> médico-légale des décès à travers le monde. Le rapport fera référence en particulier à la connaissance et </w:t>
      </w:r>
      <w:r w:rsidR="00C2064A" w:rsidRPr="00A529A8">
        <w:rPr>
          <w:rFonts w:asciiTheme="minorHAnsi" w:hAnsiTheme="minorHAnsi" w:cstheme="minorHAnsi"/>
          <w:b w:val="0"/>
          <w:bCs w:val="0"/>
          <w:sz w:val="24"/>
          <w:szCs w:val="24"/>
          <w:lang w:val="fr-FR"/>
        </w:rPr>
        <w:t xml:space="preserve">la mise en </w:t>
      </w:r>
      <w:r w:rsidR="00A529A8" w:rsidRPr="00A529A8">
        <w:rPr>
          <w:rFonts w:asciiTheme="minorHAnsi" w:hAnsiTheme="minorHAnsi" w:cstheme="minorHAnsi"/>
          <w:b w:val="0"/>
          <w:bCs w:val="0"/>
          <w:sz w:val="24"/>
          <w:szCs w:val="24"/>
          <w:lang w:val="fr-FR"/>
        </w:rPr>
        <w:t>œuvre</w:t>
      </w:r>
      <w:r w:rsidR="003024BA" w:rsidRPr="00A529A8">
        <w:rPr>
          <w:rFonts w:asciiTheme="minorHAnsi" w:hAnsiTheme="minorHAnsi" w:cstheme="minorHAnsi"/>
          <w:b w:val="0"/>
          <w:bCs w:val="0"/>
          <w:sz w:val="24"/>
          <w:szCs w:val="24"/>
          <w:lang w:val="fr-FR"/>
        </w:rPr>
        <w:t xml:space="preserve"> du </w:t>
      </w:r>
      <w:r w:rsidR="003024BA" w:rsidRPr="00A529A8">
        <w:rPr>
          <w:rFonts w:asciiTheme="minorHAnsi" w:hAnsiTheme="minorHAnsi" w:cstheme="minorHAnsi"/>
          <w:b w:val="0"/>
          <w:bCs w:val="0"/>
          <w:i/>
          <w:iCs/>
          <w:sz w:val="24"/>
          <w:szCs w:val="24"/>
          <w:lang w:val="fr-FR"/>
        </w:rPr>
        <w:t>Manuel des Nations Unies sur la prévention des exécutions extrajudiciaires, arbitraires et sommaires et les moyens d’enquête sur ces exécutions (Protocole du Minnesota)</w:t>
      </w:r>
      <w:r w:rsidR="003024BA" w:rsidRPr="00A529A8">
        <w:rPr>
          <w:rFonts w:asciiTheme="minorHAnsi" w:hAnsiTheme="minorHAnsi" w:cstheme="minorHAnsi"/>
          <w:b w:val="0"/>
          <w:bCs w:val="0"/>
          <w:sz w:val="24"/>
          <w:szCs w:val="24"/>
          <w:lang w:val="fr-FR"/>
        </w:rPr>
        <w:t>, qui a été entièrement révisé et mis à jour en 2016.</w:t>
      </w:r>
      <w:r w:rsidR="003024BA" w:rsidRPr="00A529A8">
        <w:rPr>
          <w:rStyle w:val="FootnoteReference"/>
          <w:rFonts w:asciiTheme="minorHAnsi" w:hAnsiTheme="minorHAnsi" w:cstheme="minorHAnsi"/>
          <w:b w:val="0"/>
          <w:bCs w:val="0"/>
          <w:sz w:val="24"/>
          <w:szCs w:val="24"/>
          <w:lang w:val="fr-FR"/>
        </w:rPr>
        <w:footnoteReference w:id="1"/>
      </w:r>
    </w:p>
    <w:p w14:paraId="78A6B30D" w14:textId="3DBD3F22" w:rsidR="00D35E6D" w:rsidRPr="00A529A8" w:rsidRDefault="00D35E6D" w:rsidP="00A529A8">
      <w:pPr>
        <w:pStyle w:val="Heading3"/>
        <w:shd w:val="clear" w:color="auto" w:fill="FFFFFF"/>
        <w:spacing w:before="0" w:beforeAutospacing="0" w:after="0" w:afterAutospacing="0"/>
        <w:jc w:val="both"/>
        <w:rPr>
          <w:rFonts w:asciiTheme="minorHAnsi" w:hAnsiTheme="minorHAnsi" w:cstheme="minorHAnsi"/>
          <w:b w:val="0"/>
          <w:bCs w:val="0"/>
          <w:sz w:val="24"/>
          <w:szCs w:val="24"/>
          <w:lang w:val="fr-FR"/>
        </w:rPr>
      </w:pPr>
    </w:p>
    <w:p w14:paraId="49EAEFE5" w14:textId="6171EFA7" w:rsidR="00DB1A88" w:rsidRPr="00A529A8" w:rsidRDefault="00D35E6D" w:rsidP="00A529A8">
      <w:pPr>
        <w:pStyle w:val="Heading3"/>
        <w:shd w:val="clear" w:color="auto" w:fill="FFFFFF"/>
        <w:spacing w:before="0" w:beforeAutospacing="0" w:after="0" w:afterAutospacing="0"/>
        <w:jc w:val="both"/>
        <w:rPr>
          <w:rFonts w:asciiTheme="minorHAnsi" w:hAnsiTheme="minorHAnsi" w:cstheme="minorHAnsi"/>
          <w:b w:val="0"/>
          <w:bCs w:val="0"/>
          <w:sz w:val="24"/>
          <w:szCs w:val="24"/>
          <w:lang w:val="fr-FR"/>
        </w:rPr>
      </w:pPr>
      <w:r w:rsidRPr="00A529A8">
        <w:rPr>
          <w:rFonts w:asciiTheme="minorHAnsi" w:hAnsiTheme="minorHAnsi" w:cstheme="minorHAnsi"/>
          <w:b w:val="0"/>
          <w:bCs w:val="0"/>
          <w:sz w:val="24"/>
          <w:szCs w:val="24"/>
          <w:lang w:val="fr-FR"/>
        </w:rPr>
        <w:t xml:space="preserve">Aujourd’hui, le Protocole fait office d’outil de référence pour les enquêtes sur les décès résultant potentiellement d’actes illégaux. Cet appel à contributions vise donc à recueillir des informations pour évaluer le niveau de sensibilisation et </w:t>
      </w:r>
      <w:r w:rsidR="00C2064A" w:rsidRPr="00A529A8">
        <w:rPr>
          <w:rFonts w:asciiTheme="minorHAnsi" w:hAnsiTheme="minorHAnsi" w:cstheme="minorHAnsi"/>
          <w:b w:val="0"/>
          <w:bCs w:val="0"/>
          <w:sz w:val="24"/>
          <w:szCs w:val="24"/>
          <w:lang w:val="fr-FR"/>
        </w:rPr>
        <w:t xml:space="preserve">de mise en </w:t>
      </w:r>
      <w:r w:rsidR="00A529A8" w:rsidRPr="00A529A8">
        <w:rPr>
          <w:rFonts w:asciiTheme="minorHAnsi" w:hAnsiTheme="minorHAnsi" w:cstheme="minorHAnsi"/>
          <w:b w:val="0"/>
          <w:bCs w:val="0"/>
          <w:sz w:val="24"/>
          <w:szCs w:val="24"/>
          <w:lang w:val="fr-FR"/>
        </w:rPr>
        <w:t>œuvre</w:t>
      </w:r>
      <w:r w:rsidRPr="00A529A8">
        <w:rPr>
          <w:rFonts w:asciiTheme="minorHAnsi" w:hAnsiTheme="minorHAnsi" w:cstheme="minorHAnsi"/>
          <w:b w:val="0"/>
          <w:bCs w:val="0"/>
          <w:sz w:val="24"/>
          <w:szCs w:val="24"/>
          <w:lang w:val="fr-FR"/>
        </w:rPr>
        <w:t xml:space="preserve">, et éventuellement de mesurer l’impact, du </w:t>
      </w:r>
      <w:r w:rsidRPr="00A529A8">
        <w:rPr>
          <w:rFonts w:asciiTheme="minorHAnsi" w:hAnsiTheme="minorHAnsi" w:cstheme="minorHAnsi"/>
          <w:b w:val="0"/>
          <w:bCs w:val="0"/>
          <w:i/>
          <w:iCs/>
          <w:sz w:val="24"/>
          <w:szCs w:val="24"/>
          <w:lang w:val="fr-FR"/>
        </w:rPr>
        <w:t>Protocole du Minnesota</w:t>
      </w:r>
      <w:r w:rsidRPr="00A529A8">
        <w:rPr>
          <w:rFonts w:asciiTheme="minorHAnsi" w:hAnsiTheme="minorHAnsi" w:cstheme="minorHAnsi"/>
          <w:b w:val="0"/>
          <w:bCs w:val="0"/>
          <w:sz w:val="24"/>
          <w:szCs w:val="24"/>
          <w:lang w:val="fr-FR"/>
        </w:rPr>
        <w:t xml:space="preserve"> à travers le monde. Le rapport sera présenté au Conseil des droits de l’Homme en 2022.</w:t>
      </w:r>
    </w:p>
    <w:p w14:paraId="4A69B455" w14:textId="77777777" w:rsidR="00DB1A88" w:rsidRPr="00A529A8" w:rsidRDefault="00DB1A88" w:rsidP="00A529A8">
      <w:pPr>
        <w:pStyle w:val="Heading3"/>
        <w:shd w:val="clear" w:color="auto" w:fill="FFFFFF"/>
        <w:spacing w:before="0" w:beforeAutospacing="0" w:after="0" w:afterAutospacing="0"/>
        <w:jc w:val="both"/>
        <w:rPr>
          <w:rFonts w:asciiTheme="minorHAnsi" w:hAnsiTheme="minorHAnsi" w:cstheme="minorHAnsi"/>
          <w:b w:val="0"/>
          <w:bCs w:val="0"/>
          <w:sz w:val="24"/>
          <w:szCs w:val="24"/>
          <w:lang w:val="fr-FR"/>
        </w:rPr>
      </w:pPr>
    </w:p>
    <w:p w14:paraId="052C4515" w14:textId="77777777" w:rsidR="00DB1A88" w:rsidRPr="00A529A8" w:rsidRDefault="00DB1A88" w:rsidP="00A529A8">
      <w:pPr>
        <w:pStyle w:val="Heading3"/>
        <w:shd w:val="clear" w:color="auto" w:fill="FFFFFF"/>
        <w:spacing w:before="0" w:beforeAutospacing="0" w:after="0" w:afterAutospacing="0"/>
        <w:jc w:val="both"/>
        <w:rPr>
          <w:rFonts w:asciiTheme="minorHAnsi" w:hAnsiTheme="minorHAnsi" w:cstheme="minorHAnsi"/>
          <w:b w:val="0"/>
          <w:bCs w:val="0"/>
          <w:sz w:val="24"/>
          <w:szCs w:val="24"/>
          <w:lang w:val="fr-FR"/>
        </w:rPr>
      </w:pPr>
      <w:r w:rsidRPr="00A529A8">
        <w:rPr>
          <w:rFonts w:asciiTheme="minorHAnsi" w:hAnsiTheme="minorHAnsi" w:cstheme="minorHAnsi"/>
          <w:sz w:val="24"/>
          <w:szCs w:val="24"/>
          <w:lang w:val="fr-FR"/>
        </w:rPr>
        <w:t>Contexte</w:t>
      </w:r>
    </w:p>
    <w:p w14:paraId="02350811" w14:textId="77777777" w:rsidR="00DB1A88" w:rsidRPr="00A529A8" w:rsidRDefault="00DB1A88" w:rsidP="00A529A8">
      <w:pPr>
        <w:pStyle w:val="Heading3"/>
        <w:shd w:val="clear" w:color="auto" w:fill="FFFFFF"/>
        <w:spacing w:before="0" w:beforeAutospacing="0" w:after="0" w:afterAutospacing="0"/>
        <w:jc w:val="both"/>
        <w:rPr>
          <w:rFonts w:asciiTheme="minorHAnsi" w:hAnsiTheme="minorHAnsi" w:cstheme="minorHAnsi"/>
          <w:b w:val="0"/>
          <w:bCs w:val="0"/>
          <w:sz w:val="24"/>
          <w:szCs w:val="24"/>
          <w:lang w:val="fr-FR"/>
        </w:rPr>
      </w:pPr>
    </w:p>
    <w:p w14:paraId="202BC5E8" w14:textId="56E07A0A" w:rsidR="00D35E6D" w:rsidRPr="00A529A8" w:rsidRDefault="00DB1A88" w:rsidP="00A529A8">
      <w:pPr>
        <w:pStyle w:val="Heading3"/>
        <w:shd w:val="clear" w:color="auto" w:fill="FFFFFF"/>
        <w:spacing w:before="0" w:beforeAutospacing="0" w:after="0" w:afterAutospacing="0"/>
        <w:jc w:val="both"/>
        <w:rPr>
          <w:rFonts w:asciiTheme="minorHAnsi" w:hAnsiTheme="minorHAnsi" w:cstheme="minorHAnsi"/>
          <w:b w:val="0"/>
          <w:bCs w:val="0"/>
          <w:sz w:val="24"/>
          <w:szCs w:val="24"/>
          <w:lang w:val="fr-FR"/>
        </w:rPr>
      </w:pPr>
      <w:r w:rsidRPr="00A529A8">
        <w:rPr>
          <w:rFonts w:asciiTheme="minorHAnsi" w:hAnsiTheme="minorHAnsi" w:cstheme="minorHAnsi"/>
          <w:b w:val="0"/>
          <w:bCs w:val="0"/>
          <w:sz w:val="24"/>
          <w:szCs w:val="24"/>
          <w:lang w:val="fr-FR"/>
        </w:rPr>
        <w:t>La protection du droit à la vie</w:t>
      </w:r>
      <w:r w:rsidR="00577B0C" w:rsidRPr="00A529A8">
        <w:rPr>
          <w:rFonts w:asciiTheme="minorHAnsi" w:hAnsiTheme="minorHAnsi" w:cstheme="minorHAnsi"/>
          <w:b w:val="0"/>
          <w:bCs w:val="0"/>
          <w:sz w:val="24"/>
          <w:szCs w:val="24"/>
          <w:lang w:val="fr-FR"/>
        </w:rPr>
        <w:t xml:space="preserve"> impose aux Etats, lorsqu’ils ont connaissance ou auraient dû avoir connaissance de privations illégales de la vie, l’obligation d’enquêter et, le cas échéant, de poursuivre les responsables de tels incidents, y compris les incidents impliquant des allégations de recours excessif à la force</w:t>
      </w:r>
      <w:r w:rsidR="00873109" w:rsidRPr="00A529A8">
        <w:rPr>
          <w:rFonts w:asciiTheme="minorHAnsi" w:hAnsiTheme="minorHAnsi" w:cstheme="minorHAnsi"/>
          <w:b w:val="0"/>
          <w:bCs w:val="0"/>
          <w:sz w:val="24"/>
          <w:szCs w:val="24"/>
          <w:lang w:val="fr-FR"/>
        </w:rPr>
        <w:t xml:space="preserve"> ayant entraîné des conséquences létales. L’obligation d’enquêter s’applique également </w:t>
      </w:r>
      <w:r w:rsidR="007D75E3">
        <w:rPr>
          <w:rFonts w:asciiTheme="minorHAnsi" w:hAnsiTheme="minorHAnsi" w:cstheme="minorHAnsi"/>
          <w:b w:val="0"/>
          <w:bCs w:val="0"/>
          <w:sz w:val="24"/>
          <w:szCs w:val="24"/>
          <w:lang w:val="fr-FR"/>
        </w:rPr>
        <w:t>aux</w:t>
      </w:r>
      <w:r w:rsidR="00873109" w:rsidRPr="00A529A8">
        <w:rPr>
          <w:rFonts w:asciiTheme="minorHAnsi" w:hAnsiTheme="minorHAnsi" w:cstheme="minorHAnsi"/>
          <w:b w:val="0"/>
          <w:bCs w:val="0"/>
          <w:sz w:val="24"/>
          <w:szCs w:val="24"/>
          <w:lang w:val="fr-FR"/>
        </w:rPr>
        <w:t xml:space="preserve"> circonstances où un risque grave de privation de la vie a été causé par un usage potentiellement létal de la force, même si ce risque ne s’est pas matérialisé.</w:t>
      </w:r>
      <w:r w:rsidR="00873109" w:rsidRPr="00A529A8">
        <w:rPr>
          <w:rStyle w:val="FootnoteReference"/>
          <w:rFonts w:asciiTheme="minorHAnsi" w:hAnsiTheme="minorHAnsi" w:cstheme="minorHAnsi"/>
          <w:b w:val="0"/>
          <w:bCs w:val="0"/>
          <w:sz w:val="24"/>
          <w:szCs w:val="24"/>
          <w:lang w:val="fr-FR"/>
        </w:rPr>
        <w:footnoteReference w:id="2"/>
      </w:r>
    </w:p>
    <w:p w14:paraId="286078AA" w14:textId="1801EB3A" w:rsidR="000A0CC3" w:rsidRPr="00A529A8" w:rsidRDefault="000A0CC3" w:rsidP="00A529A8">
      <w:pPr>
        <w:pStyle w:val="Heading3"/>
        <w:shd w:val="clear" w:color="auto" w:fill="FFFFFF"/>
        <w:spacing w:before="0" w:beforeAutospacing="0" w:after="0" w:afterAutospacing="0"/>
        <w:jc w:val="both"/>
        <w:rPr>
          <w:rFonts w:asciiTheme="minorHAnsi" w:hAnsiTheme="minorHAnsi" w:cstheme="minorHAnsi"/>
          <w:b w:val="0"/>
          <w:bCs w:val="0"/>
          <w:sz w:val="24"/>
          <w:szCs w:val="24"/>
          <w:lang w:val="fr-FR"/>
        </w:rPr>
      </w:pPr>
    </w:p>
    <w:p w14:paraId="1CA9BEE7" w14:textId="30E3F2C7" w:rsidR="000A0CC3" w:rsidRPr="00A529A8" w:rsidRDefault="000A0CC3" w:rsidP="00A529A8">
      <w:pPr>
        <w:pStyle w:val="Heading3"/>
        <w:shd w:val="clear" w:color="auto" w:fill="FFFFFF"/>
        <w:spacing w:before="0" w:beforeAutospacing="0" w:after="0" w:afterAutospacing="0"/>
        <w:jc w:val="both"/>
        <w:rPr>
          <w:rFonts w:asciiTheme="minorHAnsi" w:hAnsiTheme="minorHAnsi" w:cstheme="minorHAnsi"/>
          <w:b w:val="0"/>
          <w:bCs w:val="0"/>
          <w:sz w:val="24"/>
          <w:szCs w:val="24"/>
          <w:lang w:val="fr-FR"/>
        </w:rPr>
      </w:pPr>
      <w:r w:rsidRPr="00A529A8">
        <w:rPr>
          <w:rFonts w:asciiTheme="minorHAnsi" w:hAnsiTheme="minorHAnsi" w:cstheme="minorHAnsi"/>
          <w:b w:val="0"/>
          <w:bCs w:val="0"/>
          <w:sz w:val="24"/>
          <w:szCs w:val="24"/>
          <w:lang w:val="fr-FR"/>
        </w:rPr>
        <w:t>Les enquêtes et les poursuites de</w:t>
      </w:r>
      <w:r w:rsidR="00884C7A" w:rsidRPr="00A529A8">
        <w:rPr>
          <w:rFonts w:asciiTheme="minorHAnsi" w:hAnsiTheme="minorHAnsi" w:cstheme="minorHAnsi"/>
          <w:b w:val="0"/>
          <w:bCs w:val="0"/>
          <w:sz w:val="24"/>
          <w:szCs w:val="24"/>
          <w:lang w:val="fr-FR"/>
        </w:rPr>
        <w:t xml:space="preserve">s privations illégales de la vie doivent être menées conformément aux normes internationales </w:t>
      </w:r>
      <w:r w:rsidR="00C00F65" w:rsidRPr="00A529A8">
        <w:rPr>
          <w:rFonts w:asciiTheme="minorHAnsi" w:hAnsiTheme="minorHAnsi" w:cstheme="minorHAnsi"/>
          <w:b w:val="0"/>
          <w:bCs w:val="0"/>
          <w:sz w:val="24"/>
          <w:szCs w:val="24"/>
          <w:lang w:val="fr-FR"/>
        </w:rPr>
        <w:t>applicables</w:t>
      </w:r>
      <w:r w:rsidR="00884C7A" w:rsidRPr="00A529A8">
        <w:rPr>
          <w:rFonts w:asciiTheme="minorHAnsi" w:hAnsiTheme="minorHAnsi" w:cstheme="minorHAnsi"/>
          <w:b w:val="0"/>
          <w:bCs w:val="0"/>
          <w:sz w:val="24"/>
          <w:szCs w:val="24"/>
          <w:lang w:val="fr-FR"/>
        </w:rPr>
        <w:t>.</w:t>
      </w:r>
      <w:r w:rsidR="00C00F65" w:rsidRPr="00A529A8">
        <w:rPr>
          <w:rFonts w:asciiTheme="minorHAnsi" w:hAnsiTheme="minorHAnsi" w:cstheme="minorHAnsi"/>
          <w:b w:val="0"/>
          <w:bCs w:val="0"/>
          <w:sz w:val="24"/>
          <w:szCs w:val="24"/>
          <w:lang w:val="fr-FR"/>
        </w:rPr>
        <w:t xml:space="preserve"> Les principaux instruments internationaux qui définissent l’aspect procédural du droit à la vie sont les Principes </w:t>
      </w:r>
      <w:r w:rsidR="00646390" w:rsidRPr="00A529A8">
        <w:rPr>
          <w:rFonts w:asciiTheme="minorHAnsi" w:hAnsiTheme="minorHAnsi" w:cstheme="minorHAnsi"/>
          <w:b w:val="0"/>
          <w:bCs w:val="0"/>
          <w:sz w:val="24"/>
          <w:szCs w:val="24"/>
          <w:lang w:val="fr-FR"/>
        </w:rPr>
        <w:t xml:space="preserve">des Nations Unies </w:t>
      </w:r>
      <w:r w:rsidR="00C00F65" w:rsidRPr="00A529A8">
        <w:rPr>
          <w:rFonts w:asciiTheme="minorHAnsi" w:hAnsiTheme="minorHAnsi" w:cstheme="minorHAnsi"/>
          <w:b w:val="0"/>
          <w:bCs w:val="0"/>
          <w:sz w:val="24"/>
          <w:szCs w:val="24"/>
          <w:lang w:val="fr-FR"/>
        </w:rPr>
        <w:t xml:space="preserve">relatifs à la prévention efficace des exécutions extrajudiciaires, arbitraires et </w:t>
      </w:r>
      <w:r w:rsidR="00C00F65" w:rsidRPr="00A529A8">
        <w:rPr>
          <w:rFonts w:asciiTheme="minorHAnsi" w:hAnsiTheme="minorHAnsi" w:cstheme="minorHAnsi"/>
          <w:b w:val="0"/>
          <w:bCs w:val="0"/>
          <w:sz w:val="24"/>
          <w:szCs w:val="24"/>
          <w:lang w:val="fr-FR"/>
        </w:rPr>
        <w:lastRenderedPageBreak/>
        <w:t>sommaires et aux moyens d’enquêter efficacement sur ces exécutions de 1989</w:t>
      </w:r>
      <w:r w:rsidR="00C00F65" w:rsidRPr="00A529A8">
        <w:rPr>
          <w:rStyle w:val="FootnoteReference"/>
          <w:rFonts w:asciiTheme="minorHAnsi" w:hAnsiTheme="minorHAnsi" w:cstheme="minorHAnsi"/>
          <w:b w:val="0"/>
          <w:bCs w:val="0"/>
          <w:sz w:val="24"/>
          <w:szCs w:val="24"/>
          <w:lang w:val="fr-FR"/>
        </w:rPr>
        <w:footnoteReference w:id="3"/>
      </w:r>
      <w:r w:rsidR="00C00F65" w:rsidRPr="00A529A8">
        <w:rPr>
          <w:rFonts w:asciiTheme="minorHAnsi" w:hAnsiTheme="minorHAnsi" w:cstheme="minorHAnsi"/>
          <w:b w:val="0"/>
          <w:bCs w:val="0"/>
          <w:sz w:val="24"/>
          <w:szCs w:val="24"/>
          <w:lang w:val="fr-FR"/>
        </w:rPr>
        <w:t xml:space="preserve"> (</w:t>
      </w:r>
      <w:r w:rsidR="00C00F65" w:rsidRPr="00A529A8">
        <w:rPr>
          <w:rFonts w:asciiTheme="minorHAnsi" w:hAnsiTheme="minorHAnsi" w:cstheme="minorHAnsi"/>
          <w:b w:val="0"/>
          <w:bCs w:val="0"/>
          <w:i/>
          <w:iCs/>
          <w:sz w:val="24"/>
          <w:szCs w:val="24"/>
          <w:lang w:val="fr-FR"/>
        </w:rPr>
        <w:t xml:space="preserve">les Principes </w:t>
      </w:r>
      <w:r w:rsidR="00295168" w:rsidRPr="00A529A8">
        <w:rPr>
          <w:rFonts w:asciiTheme="minorHAnsi" w:hAnsiTheme="minorHAnsi" w:cstheme="minorHAnsi"/>
          <w:b w:val="0"/>
          <w:bCs w:val="0"/>
          <w:i/>
          <w:iCs/>
          <w:sz w:val="24"/>
          <w:szCs w:val="24"/>
          <w:lang w:val="fr-FR"/>
        </w:rPr>
        <w:t xml:space="preserve">des Nations Unies </w:t>
      </w:r>
      <w:r w:rsidR="00C00F65" w:rsidRPr="00A529A8">
        <w:rPr>
          <w:rFonts w:asciiTheme="minorHAnsi" w:hAnsiTheme="minorHAnsi" w:cstheme="minorHAnsi"/>
          <w:b w:val="0"/>
          <w:bCs w:val="0"/>
          <w:i/>
          <w:iCs/>
          <w:sz w:val="24"/>
          <w:szCs w:val="24"/>
          <w:lang w:val="fr-FR"/>
        </w:rPr>
        <w:t>relatifs à l’enquête</w:t>
      </w:r>
      <w:r w:rsidR="00295168" w:rsidRPr="00A529A8">
        <w:rPr>
          <w:rFonts w:asciiTheme="minorHAnsi" w:hAnsiTheme="minorHAnsi" w:cstheme="minorHAnsi"/>
          <w:b w:val="0"/>
          <w:bCs w:val="0"/>
          <w:i/>
          <w:iCs/>
          <w:sz w:val="24"/>
          <w:szCs w:val="24"/>
          <w:lang w:val="fr-FR"/>
        </w:rPr>
        <w:t xml:space="preserve"> des exécutions</w:t>
      </w:r>
      <w:r w:rsidR="00295168" w:rsidRPr="00A529A8">
        <w:rPr>
          <w:rFonts w:asciiTheme="minorHAnsi" w:hAnsiTheme="minorHAnsi" w:cstheme="minorHAnsi"/>
          <w:b w:val="0"/>
          <w:bCs w:val="0"/>
          <w:sz w:val="24"/>
          <w:szCs w:val="24"/>
          <w:lang w:val="fr-FR"/>
        </w:rPr>
        <w:t xml:space="preserve">) et le </w:t>
      </w:r>
      <w:r w:rsidR="00295168" w:rsidRPr="00A529A8">
        <w:rPr>
          <w:rFonts w:asciiTheme="minorHAnsi" w:hAnsiTheme="minorHAnsi" w:cstheme="minorHAnsi"/>
          <w:b w:val="0"/>
          <w:bCs w:val="0"/>
          <w:i/>
          <w:iCs/>
          <w:sz w:val="24"/>
          <w:szCs w:val="24"/>
          <w:lang w:val="fr-FR"/>
        </w:rPr>
        <w:t>Protocole du Minnesota</w:t>
      </w:r>
      <w:r w:rsidR="00295168" w:rsidRPr="00A529A8">
        <w:rPr>
          <w:rFonts w:asciiTheme="minorHAnsi" w:hAnsiTheme="minorHAnsi" w:cstheme="minorHAnsi"/>
          <w:b w:val="0"/>
          <w:bCs w:val="0"/>
          <w:sz w:val="24"/>
          <w:szCs w:val="24"/>
          <w:lang w:val="fr-FR"/>
        </w:rPr>
        <w:t xml:space="preserve">, publié d’abord en 1991 et entièrement révisé en 2016. Le </w:t>
      </w:r>
      <w:r w:rsidR="00295168" w:rsidRPr="00A529A8">
        <w:rPr>
          <w:rFonts w:asciiTheme="minorHAnsi" w:hAnsiTheme="minorHAnsi" w:cstheme="minorHAnsi"/>
          <w:b w:val="0"/>
          <w:bCs w:val="0"/>
          <w:i/>
          <w:iCs/>
          <w:sz w:val="24"/>
          <w:szCs w:val="24"/>
          <w:lang w:val="fr-FR"/>
        </w:rPr>
        <w:t>Protocole</w:t>
      </w:r>
      <w:r w:rsidR="00295168" w:rsidRPr="00A529A8">
        <w:rPr>
          <w:rFonts w:asciiTheme="minorHAnsi" w:hAnsiTheme="minorHAnsi" w:cstheme="minorHAnsi"/>
          <w:b w:val="0"/>
          <w:bCs w:val="0"/>
          <w:sz w:val="24"/>
          <w:szCs w:val="24"/>
          <w:lang w:val="fr-FR"/>
        </w:rPr>
        <w:t xml:space="preserve"> </w:t>
      </w:r>
      <w:r w:rsidR="00295168" w:rsidRPr="00A529A8">
        <w:rPr>
          <w:rFonts w:asciiTheme="minorHAnsi" w:hAnsiTheme="minorHAnsi" w:cstheme="minorHAnsi"/>
          <w:b w:val="0"/>
          <w:bCs w:val="0"/>
          <w:i/>
          <w:iCs/>
          <w:sz w:val="24"/>
          <w:szCs w:val="24"/>
          <w:lang w:val="fr-FR"/>
        </w:rPr>
        <w:t>du</w:t>
      </w:r>
      <w:r w:rsidR="00295168" w:rsidRPr="00A529A8">
        <w:rPr>
          <w:rFonts w:asciiTheme="minorHAnsi" w:hAnsiTheme="minorHAnsi" w:cstheme="minorHAnsi"/>
          <w:b w:val="0"/>
          <w:bCs w:val="0"/>
          <w:sz w:val="24"/>
          <w:szCs w:val="24"/>
          <w:lang w:val="fr-FR"/>
        </w:rPr>
        <w:t xml:space="preserve"> </w:t>
      </w:r>
      <w:r w:rsidR="00295168" w:rsidRPr="00A529A8">
        <w:rPr>
          <w:rFonts w:asciiTheme="minorHAnsi" w:hAnsiTheme="minorHAnsi" w:cstheme="minorHAnsi"/>
          <w:b w:val="0"/>
          <w:bCs w:val="0"/>
          <w:i/>
          <w:iCs/>
          <w:sz w:val="24"/>
          <w:szCs w:val="24"/>
          <w:lang w:val="fr-FR"/>
        </w:rPr>
        <w:t xml:space="preserve">Minnesota </w:t>
      </w:r>
      <w:r w:rsidR="00295168" w:rsidRPr="00A529A8">
        <w:rPr>
          <w:rFonts w:asciiTheme="minorHAnsi" w:hAnsiTheme="minorHAnsi" w:cstheme="minorHAnsi"/>
          <w:b w:val="0"/>
          <w:bCs w:val="0"/>
          <w:sz w:val="24"/>
          <w:szCs w:val="24"/>
          <w:lang w:val="fr-FR"/>
        </w:rPr>
        <w:t xml:space="preserve">a été pensé comme un outil pour les praticiens, </w:t>
      </w:r>
      <w:r w:rsidR="00D76500" w:rsidRPr="00A529A8">
        <w:rPr>
          <w:rFonts w:asciiTheme="minorHAnsi" w:hAnsiTheme="minorHAnsi" w:cstheme="minorHAnsi"/>
          <w:b w:val="0"/>
          <w:bCs w:val="0"/>
          <w:sz w:val="24"/>
          <w:szCs w:val="24"/>
          <w:lang w:val="fr-FR"/>
        </w:rPr>
        <w:t xml:space="preserve">élaboré en grande partie pour rendre opérationnelles et </w:t>
      </w:r>
      <w:r w:rsidR="00FA4925">
        <w:rPr>
          <w:rFonts w:asciiTheme="minorHAnsi" w:hAnsiTheme="minorHAnsi" w:cstheme="minorHAnsi"/>
          <w:b w:val="0"/>
          <w:bCs w:val="0"/>
          <w:sz w:val="24"/>
          <w:szCs w:val="24"/>
          <w:lang w:val="fr-FR"/>
        </w:rPr>
        <w:t>plus détaillées</w:t>
      </w:r>
      <w:r w:rsidR="00D76500" w:rsidRPr="00A529A8">
        <w:rPr>
          <w:rFonts w:asciiTheme="minorHAnsi" w:hAnsiTheme="minorHAnsi" w:cstheme="minorHAnsi"/>
          <w:b w:val="0"/>
          <w:bCs w:val="0"/>
          <w:sz w:val="24"/>
          <w:szCs w:val="24"/>
          <w:lang w:val="fr-FR"/>
        </w:rPr>
        <w:t xml:space="preserve"> les normes plus générales énoncées dans les </w:t>
      </w:r>
      <w:r w:rsidR="00D76500" w:rsidRPr="00A529A8">
        <w:rPr>
          <w:rFonts w:asciiTheme="minorHAnsi" w:hAnsiTheme="minorHAnsi" w:cstheme="minorHAnsi"/>
          <w:b w:val="0"/>
          <w:bCs w:val="0"/>
          <w:i/>
          <w:iCs/>
          <w:sz w:val="24"/>
          <w:szCs w:val="24"/>
          <w:lang w:val="fr-FR"/>
        </w:rPr>
        <w:t>Principes des Nations Unies relatifs à l’enquête des exécutions.</w:t>
      </w:r>
      <w:r w:rsidR="00D76500" w:rsidRPr="00A529A8">
        <w:rPr>
          <w:rFonts w:asciiTheme="minorHAnsi" w:hAnsiTheme="minorHAnsi" w:cstheme="minorHAnsi"/>
          <w:b w:val="0"/>
          <w:bCs w:val="0"/>
          <w:sz w:val="24"/>
          <w:szCs w:val="24"/>
          <w:lang w:val="fr-FR"/>
        </w:rPr>
        <w:t xml:space="preserve"> </w:t>
      </w:r>
    </w:p>
    <w:p w14:paraId="6B455284" w14:textId="47AD3BDB" w:rsidR="00D76500" w:rsidRPr="00A529A8" w:rsidRDefault="00D76500" w:rsidP="00A529A8">
      <w:pPr>
        <w:pStyle w:val="Heading3"/>
        <w:shd w:val="clear" w:color="auto" w:fill="FFFFFF"/>
        <w:spacing w:before="0" w:beforeAutospacing="0" w:after="0" w:afterAutospacing="0"/>
        <w:jc w:val="both"/>
        <w:rPr>
          <w:rFonts w:asciiTheme="minorHAnsi" w:hAnsiTheme="minorHAnsi" w:cstheme="minorHAnsi"/>
          <w:b w:val="0"/>
          <w:bCs w:val="0"/>
          <w:sz w:val="24"/>
          <w:szCs w:val="24"/>
          <w:lang w:val="fr-FR"/>
        </w:rPr>
      </w:pPr>
    </w:p>
    <w:p w14:paraId="40780978" w14:textId="2A18505F" w:rsidR="00D76500" w:rsidRPr="00A529A8" w:rsidRDefault="00D76500" w:rsidP="00A529A8">
      <w:pPr>
        <w:pStyle w:val="Heading3"/>
        <w:shd w:val="clear" w:color="auto" w:fill="FFFFFF"/>
        <w:spacing w:before="0" w:beforeAutospacing="0" w:after="0" w:afterAutospacing="0"/>
        <w:jc w:val="both"/>
        <w:rPr>
          <w:rFonts w:asciiTheme="minorHAnsi" w:hAnsiTheme="minorHAnsi" w:cstheme="minorHAnsi"/>
          <w:b w:val="0"/>
          <w:bCs w:val="0"/>
          <w:sz w:val="24"/>
          <w:szCs w:val="24"/>
          <w:lang w:val="fr-FR"/>
        </w:rPr>
      </w:pPr>
      <w:r w:rsidRPr="00A529A8">
        <w:rPr>
          <w:rFonts w:asciiTheme="minorHAnsi" w:hAnsiTheme="minorHAnsi" w:cstheme="minorHAnsi"/>
          <w:b w:val="0"/>
          <w:bCs w:val="0"/>
          <w:sz w:val="24"/>
          <w:szCs w:val="24"/>
          <w:lang w:val="fr-FR"/>
        </w:rPr>
        <w:t xml:space="preserve">Le </w:t>
      </w:r>
      <w:r w:rsidRPr="00A529A8">
        <w:rPr>
          <w:rFonts w:asciiTheme="minorHAnsi" w:hAnsiTheme="minorHAnsi" w:cstheme="minorHAnsi"/>
          <w:b w:val="0"/>
          <w:bCs w:val="0"/>
          <w:i/>
          <w:iCs/>
          <w:sz w:val="24"/>
          <w:szCs w:val="24"/>
          <w:lang w:val="fr-FR"/>
        </w:rPr>
        <w:t>Protocole du Minnesota</w:t>
      </w:r>
      <w:r w:rsidRPr="00A529A8">
        <w:rPr>
          <w:rFonts w:asciiTheme="minorHAnsi" w:hAnsiTheme="minorHAnsi" w:cstheme="minorHAnsi"/>
          <w:b w:val="0"/>
          <w:bCs w:val="0"/>
          <w:sz w:val="24"/>
          <w:szCs w:val="24"/>
          <w:lang w:val="fr-FR"/>
        </w:rPr>
        <w:t xml:space="preserve"> présente le cadre légal international applicable et offre </w:t>
      </w:r>
      <w:r w:rsidR="005033DA" w:rsidRPr="00A529A8">
        <w:rPr>
          <w:rFonts w:asciiTheme="minorHAnsi" w:hAnsiTheme="minorHAnsi" w:cstheme="minorHAnsi"/>
          <w:b w:val="0"/>
          <w:bCs w:val="0"/>
          <w:sz w:val="24"/>
          <w:szCs w:val="24"/>
          <w:lang w:val="fr-FR"/>
        </w:rPr>
        <w:t>une ligne directrice pratique pour enquêter sur les décès</w:t>
      </w:r>
      <w:r w:rsidR="009F1035">
        <w:rPr>
          <w:rFonts w:asciiTheme="minorHAnsi" w:hAnsiTheme="minorHAnsi" w:cstheme="minorHAnsi"/>
          <w:b w:val="0"/>
          <w:bCs w:val="0"/>
          <w:sz w:val="24"/>
          <w:szCs w:val="24"/>
          <w:lang w:val="fr-FR"/>
        </w:rPr>
        <w:t>. Celle-ci</w:t>
      </w:r>
      <w:r w:rsidR="005033DA" w:rsidRPr="00A529A8">
        <w:rPr>
          <w:rFonts w:asciiTheme="minorHAnsi" w:hAnsiTheme="minorHAnsi" w:cstheme="minorHAnsi"/>
          <w:b w:val="0"/>
          <w:bCs w:val="0"/>
          <w:sz w:val="24"/>
          <w:szCs w:val="24"/>
          <w:lang w:val="fr-FR"/>
        </w:rPr>
        <w:t xml:space="preserve"> implique notamment que les enquêtes sur les décès soient rapides, efficaces, complètes, indépendantes, impartiales et transparentes</w:t>
      </w:r>
      <w:r w:rsidR="00BB7B23" w:rsidRPr="00A529A8">
        <w:rPr>
          <w:rFonts w:asciiTheme="minorHAnsi" w:hAnsiTheme="minorHAnsi" w:cstheme="minorHAnsi"/>
          <w:b w:val="0"/>
          <w:bCs w:val="0"/>
          <w:sz w:val="24"/>
          <w:szCs w:val="24"/>
          <w:lang w:val="fr-FR"/>
        </w:rPr>
        <w:t>. L</w:t>
      </w:r>
      <w:r w:rsidR="005033DA" w:rsidRPr="00A529A8">
        <w:rPr>
          <w:rFonts w:asciiTheme="minorHAnsi" w:hAnsiTheme="minorHAnsi" w:cstheme="minorHAnsi"/>
          <w:b w:val="0"/>
          <w:bCs w:val="0"/>
          <w:sz w:val="24"/>
          <w:szCs w:val="24"/>
          <w:lang w:val="fr-FR"/>
        </w:rPr>
        <w:t xml:space="preserve">es principales étapes d’une enquête y sont décrites, de la scène de crime à l’autopsie et à l’analyse des restes humains. Le cadre légal insiste sur le droit des victimes, en particulier des familles et des proches du/de la défunt(e) ou personne disparue, et sur </w:t>
      </w:r>
      <w:r w:rsidR="00BB7B23" w:rsidRPr="00A529A8">
        <w:rPr>
          <w:rFonts w:asciiTheme="minorHAnsi" w:hAnsiTheme="minorHAnsi" w:cstheme="minorHAnsi"/>
          <w:b w:val="0"/>
          <w:bCs w:val="0"/>
          <w:sz w:val="24"/>
          <w:szCs w:val="24"/>
          <w:lang w:val="fr-FR"/>
        </w:rPr>
        <w:t xml:space="preserve">la nécessité de rendre possible et effective, en toute sécurité, leur contribution potentielle aux enquêtes. </w:t>
      </w:r>
    </w:p>
    <w:p w14:paraId="10C4DB3C" w14:textId="6B1B4E95" w:rsidR="00765449" w:rsidRPr="00A529A8" w:rsidRDefault="00765449" w:rsidP="00A529A8">
      <w:pPr>
        <w:pStyle w:val="Heading3"/>
        <w:shd w:val="clear" w:color="auto" w:fill="FFFFFF"/>
        <w:spacing w:before="0" w:beforeAutospacing="0" w:after="0" w:afterAutospacing="0"/>
        <w:jc w:val="both"/>
        <w:rPr>
          <w:rFonts w:asciiTheme="minorHAnsi" w:hAnsiTheme="minorHAnsi" w:cstheme="minorHAnsi"/>
          <w:b w:val="0"/>
          <w:bCs w:val="0"/>
          <w:sz w:val="24"/>
          <w:szCs w:val="24"/>
          <w:lang w:val="fr-FR"/>
        </w:rPr>
      </w:pPr>
    </w:p>
    <w:p w14:paraId="21361C01" w14:textId="73BC98B8" w:rsidR="00765449" w:rsidRPr="00A529A8" w:rsidRDefault="00765449" w:rsidP="00A529A8">
      <w:pPr>
        <w:pStyle w:val="Heading3"/>
        <w:shd w:val="clear" w:color="auto" w:fill="FFFFFF"/>
        <w:spacing w:before="0" w:beforeAutospacing="0" w:after="0" w:afterAutospacing="0"/>
        <w:jc w:val="both"/>
        <w:rPr>
          <w:rFonts w:asciiTheme="minorHAnsi" w:hAnsiTheme="minorHAnsi" w:cstheme="minorHAnsi"/>
          <w:b w:val="0"/>
          <w:bCs w:val="0"/>
          <w:sz w:val="24"/>
          <w:szCs w:val="24"/>
          <w:lang w:val="fr-FR"/>
        </w:rPr>
      </w:pPr>
      <w:r w:rsidRPr="00A529A8">
        <w:rPr>
          <w:rFonts w:asciiTheme="minorHAnsi" w:hAnsiTheme="minorHAnsi" w:cstheme="minorHAnsi"/>
          <w:b w:val="0"/>
          <w:bCs w:val="0"/>
          <w:sz w:val="24"/>
          <w:szCs w:val="24"/>
          <w:lang w:val="fr-FR"/>
        </w:rPr>
        <w:t xml:space="preserve">Le Protocole vise à assister différents acteurs, notamment les Etats, les enquêteurs, les organisations de la société civile, et les détenteurs de droits eux-mêmes, </w:t>
      </w:r>
      <w:r w:rsidR="009D02F7">
        <w:rPr>
          <w:rFonts w:asciiTheme="minorHAnsi" w:hAnsiTheme="minorHAnsi" w:cstheme="minorHAnsi"/>
          <w:b w:val="0"/>
          <w:bCs w:val="0"/>
          <w:sz w:val="24"/>
          <w:szCs w:val="24"/>
          <w:lang w:val="fr-FR"/>
        </w:rPr>
        <w:t>afin de</w:t>
      </w:r>
      <w:r w:rsidRPr="00A529A8">
        <w:rPr>
          <w:rFonts w:asciiTheme="minorHAnsi" w:hAnsiTheme="minorHAnsi" w:cstheme="minorHAnsi"/>
          <w:b w:val="0"/>
          <w:bCs w:val="0"/>
          <w:sz w:val="24"/>
          <w:szCs w:val="24"/>
          <w:lang w:val="fr-FR"/>
        </w:rPr>
        <w:t xml:space="preserve"> garantir la conduite d’enquêtes adéquates lorsqu’il y a suspicion d’exécutions illégales. </w:t>
      </w:r>
    </w:p>
    <w:p w14:paraId="63A8A692" w14:textId="77777777" w:rsidR="00C2064A" w:rsidRPr="00A529A8" w:rsidRDefault="00C2064A" w:rsidP="00A529A8">
      <w:pPr>
        <w:pStyle w:val="Heading3"/>
        <w:shd w:val="clear" w:color="auto" w:fill="FFFFFF"/>
        <w:spacing w:before="0" w:beforeAutospacing="0" w:after="0" w:afterAutospacing="0"/>
        <w:jc w:val="both"/>
        <w:rPr>
          <w:rFonts w:asciiTheme="minorHAnsi" w:hAnsiTheme="minorHAnsi" w:cstheme="minorHAnsi"/>
          <w:b w:val="0"/>
          <w:bCs w:val="0"/>
          <w:sz w:val="24"/>
          <w:szCs w:val="24"/>
          <w:lang w:val="fr-FR"/>
        </w:rPr>
      </w:pPr>
    </w:p>
    <w:p w14:paraId="42720C8D" w14:textId="3E516404" w:rsidR="00765449" w:rsidRPr="00A529A8" w:rsidRDefault="00765449" w:rsidP="00A529A8">
      <w:pPr>
        <w:jc w:val="both"/>
        <w:rPr>
          <w:rFonts w:cs="Times New Roman"/>
          <w:sz w:val="24"/>
          <w:szCs w:val="24"/>
          <w:lang w:val="fr-FR"/>
        </w:rPr>
      </w:pPr>
      <w:r w:rsidRPr="00A529A8">
        <w:rPr>
          <w:rFonts w:cs="Times New Roman"/>
          <w:sz w:val="24"/>
          <w:szCs w:val="24"/>
          <w:lang w:val="fr-FR"/>
        </w:rPr>
        <w:t xml:space="preserve">La mesure dans laquelle les Etats, leurs agences et les professions pertinentes (particulièrement dans la médecine, la justice et la police) connaissent et l’ont mis ou le mettent en œuvre, est une question importante qui nécessite des recherches. </w:t>
      </w:r>
    </w:p>
    <w:p w14:paraId="5376D228" w14:textId="5F3D9204" w:rsidR="00C2064A" w:rsidRPr="00A529A8" w:rsidRDefault="00C2064A" w:rsidP="00A529A8">
      <w:pPr>
        <w:jc w:val="both"/>
        <w:rPr>
          <w:rFonts w:cs="Times New Roman"/>
          <w:sz w:val="24"/>
          <w:szCs w:val="24"/>
          <w:lang w:val="fr-FR"/>
        </w:rPr>
      </w:pPr>
      <w:r w:rsidRPr="00A529A8">
        <w:rPr>
          <w:rFonts w:cs="Times New Roman"/>
          <w:sz w:val="24"/>
          <w:szCs w:val="24"/>
          <w:lang w:val="fr-FR"/>
        </w:rPr>
        <w:t xml:space="preserve">Evaluer la sensibilisation et le niveau d’utilisation du Protocole, ainsi que le niveau général de conformité avec lui, est essentiel pour comprendre son efficacité en tant que norme pour l’enquête des décès résultant potentiellement d’actes illégaux. </w:t>
      </w:r>
      <w:r w:rsidRPr="00A529A8">
        <w:rPr>
          <w:rFonts w:cs="Times New Roman"/>
          <w:i/>
          <w:iCs/>
          <w:sz w:val="24"/>
          <w:szCs w:val="24"/>
          <w:lang w:val="fr-FR"/>
        </w:rPr>
        <w:t>In fine</w:t>
      </w:r>
      <w:r w:rsidRPr="00A529A8">
        <w:rPr>
          <w:rFonts w:cs="Times New Roman"/>
          <w:sz w:val="24"/>
          <w:szCs w:val="24"/>
          <w:lang w:val="fr-FR"/>
        </w:rPr>
        <w:t xml:space="preserve">, les difficultés que rencontre sa mise en </w:t>
      </w:r>
      <w:r w:rsidR="00A529A8" w:rsidRPr="00A529A8">
        <w:rPr>
          <w:rFonts w:cs="Times New Roman"/>
          <w:sz w:val="24"/>
          <w:szCs w:val="24"/>
          <w:lang w:val="fr-FR"/>
        </w:rPr>
        <w:t>œuvre</w:t>
      </w:r>
      <w:r w:rsidR="004647B6" w:rsidRPr="00A529A8">
        <w:rPr>
          <w:rFonts w:cs="Times New Roman"/>
          <w:sz w:val="24"/>
          <w:szCs w:val="24"/>
          <w:lang w:val="fr-FR"/>
        </w:rPr>
        <w:t xml:space="preserve"> doivent être identifiées afin de pouvoir les résoudre, et les meilleures pratiques doivent être encouragées. </w:t>
      </w:r>
    </w:p>
    <w:p w14:paraId="18EA711C" w14:textId="2495BB47" w:rsidR="00765449" w:rsidRPr="00A529A8" w:rsidRDefault="00765449" w:rsidP="00A529A8">
      <w:pPr>
        <w:pStyle w:val="Heading3"/>
        <w:shd w:val="clear" w:color="auto" w:fill="FFFFFF"/>
        <w:spacing w:before="0" w:beforeAutospacing="0" w:after="0" w:afterAutospacing="0"/>
        <w:jc w:val="both"/>
        <w:rPr>
          <w:rFonts w:asciiTheme="minorHAnsi" w:hAnsiTheme="minorHAnsi" w:cstheme="minorHAnsi"/>
          <w:b w:val="0"/>
          <w:bCs w:val="0"/>
          <w:sz w:val="24"/>
          <w:szCs w:val="24"/>
          <w:lang w:val="fr-FR"/>
        </w:rPr>
      </w:pPr>
    </w:p>
    <w:p w14:paraId="1F3E491E" w14:textId="3231508B" w:rsidR="004647B6" w:rsidRPr="00A529A8" w:rsidRDefault="004647B6" w:rsidP="00A529A8">
      <w:pPr>
        <w:pStyle w:val="Heading3"/>
        <w:shd w:val="clear" w:color="auto" w:fill="FFFFFF"/>
        <w:spacing w:before="0" w:beforeAutospacing="0" w:after="0" w:afterAutospacing="0"/>
        <w:jc w:val="both"/>
        <w:rPr>
          <w:rFonts w:asciiTheme="minorHAnsi" w:hAnsiTheme="minorHAnsi" w:cstheme="minorHAnsi"/>
          <w:sz w:val="32"/>
          <w:szCs w:val="32"/>
          <w:lang w:val="fr-FR"/>
        </w:rPr>
      </w:pPr>
      <w:r w:rsidRPr="00A529A8">
        <w:rPr>
          <w:rFonts w:asciiTheme="minorHAnsi" w:hAnsiTheme="minorHAnsi" w:cstheme="minorHAnsi"/>
          <w:sz w:val="32"/>
          <w:szCs w:val="32"/>
          <w:lang w:val="fr-FR"/>
        </w:rPr>
        <w:t>Comment faire une contribution</w:t>
      </w:r>
    </w:p>
    <w:p w14:paraId="28EBAAEE" w14:textId="74093C68" w:rsidR="004647B6" w:rsidRPr="00A529A8" w:rsidRDefault="004647B6" w:rsidP="00A529A8">
      <w:pPr>
        <w:pStyle w:val="Heading3"/>
        <w:shd w:val="clear" w:color="auto" w:fill="FFFFFF"/>
        <w:spacing w:before="0" w:beforeAutospacing="0" w:after="0" w:afterAutospacing="0"/>
        <w:jc w:val="both"/>
        <w:rPr>
          <w:rFonts w:asciiTheme="minorHAnsi" w:hAnsiTheme="minorHAnsi" w:cstheme="minorHAnsi"/>
          <w:b w:val="0"/>
          <w:bCs w:val="0"/>
          <w:sz w:val="24"/>
          <w:szCs w:val="24"/>
          <w:lang w:val="fr-FR"/>
        </w:rPr>
      </w:pPr>
    </w:p>
    <w:p w14:paraId="215F5AB8" w14:textId="2E748AC7" w:rsidR="004647B6" w:rsidRPr="00A529A8" w:rsidRDefault="004647B6" w:rsidP="00A529A8">
      <w:pPr>
        <w:pStyle w:val="Heading3"/>
        <w:shd w:val="clear" w:color="auto" w:fill="FFFFFF"/>
        <w:spacing w:before="0" w:beforeAutospacing="0" w:after="0" w:afterAutospacing="0"/>
        <w:jc w:val="both"/>
        <w:rPr>
          <w:rFonts w:asciiTheme="minorHAnsi" w:hAnsiTheme="minorHAnsi" w:cstheme="minorHAnsi"/>
          <w:b w:val="0"/>
          <w:bCs w:val="0"/>
          <w:sz w:val="24"/>
          <w:szCs w:val="24"/>
          <w:lang w:val="fr-FR"/>
        </w:rPr>
      </w:pPr>
      <w:r w:rsidRPr="00A529A8">
        <w:rPr>
          <w:rFonts w:asciiTheme="minorHAnsi" w:hAnsiTheme="minorHAnsi" w:cstheme="minorHAnsi"/>
          <w:b w:val="0"/>
          <w:bCs w:val="0"/>
          <w:sz w:val="24"/>
          <w:szCs w:val="24"/>
          <w:lang w:val="fr-FR"/>
        </w:rPr>
        <w:t xml:space="preserve">Les contributions/commentaires peuvent être envoyés par </w:t>
      </w:r>
      <w:r w:rsidR="00E0045A" w:rsidRPr="00A529A8">
        <w:rPr>
          <w:rFonts w:asciiTheme="minorHAnsi" w:hAnsiTheme="minorHAnsi" w:cstheme="minorHAnsi"/>
          <w:b w:val="0"/>
          <w:bCs w:val="0"/>
          <w:sz w:val="24"/>
          <w:szCs w:val="24"/>
          <w:lang w:val="fr-FR"/>
        </w:rPr>
        <w:t>courriel</w:t>
      </w:r>
      <w:r w:rsidRPr="00A529A8">
        <w:rPr>
          <w:rFonts w:asciiTheme="minorHAnsi" w:hAnsiTheme="minorHAnsi" w:cstheme="minorHAnsi"/>
          <w:b w:val="0"/>
          <w:bCs w:val="0"/>
          <w:sz w:val="24"/>
          <w:szCs w:val="24"/>
          <w:lang w:val="fr-FR"/>
        </w:rPr>
        <w:t xml:space="preserve"> et doivent être reçus d’ici le </w:t>
      </w:r>
      <w:r w:rsidRPr="00A529A8">
        <w:rPr>
          <w:rFonts w:asciiTheme="minorHAnsi" w:hAnsiTheme="minorHAnsi" w:cstheme="minorHAnsi"/>
          <w:sz w:val="24"/>
          <w:szCs w:val="24"/>
          <w:lang w:val="fr-FR"/>
        </w:rPr>
        <w:t>30 janvier 2022</w:t>
      </w:r>
      <w:r w:rsidRPr="00A529A8">
        <w:rPr>
          <w:rFonts w:asciiTheme="minorHAnsi" w:hAnsiTheme="minorHAnsi" w:cstheme="minorHAnsi"/>
          <w:b w:val="0"/>
          <w:bCs w:val="0"/>
          <w:sz w:val="24"/>
          <w:szCs w:val="24"/>
          <w:lang w:val="fr-FR"/>
        </w:rPr>
        <w:t>.</w:t>
      </w:r>
    </w:p>
    <w:p w14:paraId="490AC543" w14:textId="3D3E8331" w:rsidR="00DD2904" w:rsidRPr="00A529A8" w:rsidRDefault="00DD2904" w:rsidP="00A529A8">
      <w:pPr>
        <w:pStyle w:val="Heading3"/>
        <w:shd w:val="clear" w:color="auto" w:fill="FFFFFF"/>
        <w:spacing w:before="0" w:beforeAutospacing="0" w:after="0" w:afterAutospacing="0"/>
        <w:jc w:val="both"/>
        <w:rPr>
          <w:rFonts w:asciiTheme="minorHAnsi" w:hAnsiTheme="minorHAnsi" w:cstheme="minorHAnsi"/>
          <w:b w:val="0"/>
          <w:bCs w:val="0"/>
          <w:sz w:val="24"/>
          <w:szCs w:val="24"/>
          <w:lang w:val="fr-FR"/>
        </w:rPr>
      </w:pPr>
    </w:p>
    <w:tbl>
      <w:tblPr>
        <w:tblStyle w:val="TableGrid"/>
        <w:tblW w:w="0" w:type="auto"/>
        <w:tblLook w:val="04A0" w:firstRow="1" w:lastRow="0" w:firstColumn="1" w:lastColumn="0" w:noHBand="0" w:noVBand="1"/>
      </w:tblPr>
      <w:tblGrid>
        <w:gridCol w:w="3114"/>
        <w:gridCol w:w="5902"/>
      </w:tblGrid>
      <w:tr w:rsidR="00DD2904" w:rsidRPr="00A529A8" w14:paraId="25B4CD42" w14:textId="77777777" w:rsidTr="00792793">
        <w:tc>
          <w:tcPr>
            <w:tcW w:w="3114" w:type="dxa"/>
          </w:tcPr>
          <w:p w14:paraId="6922DD8B" w14:textId="10D3112E" w:rsidR="00DD2904" w:rsidRPr="00A529A8" w:rsidRDefault="00DD2904" w:rsidP="00A529A8">
            <w:pPr>
              <w:jc w:val="both"/>
              <w:rPr>
                <w:b/>
                <w:bCs/>
                <w:lang w:val="fr-FR"/>
              </w:rPr>
            </w:pPr>
            <w:r w:rsidRPr="00A529A8">
              <w:rPr>
                <w:b/>
                <w:bCs/>
                <w:lang w:val="fr-FR"/>
              </w:rPr>
              <w:t>Adresse électronique</w:t>
            </w:r>
          </w:p>
        </w:tc>
        <w:tc>
          <w:tcPr>
            <w:tcW w:w="5902" w:type="dxa"/>
          </w:tcPr>
          <w:p w14:paraId="799A0B6A" w14:textId="77777777" w:rsidR="00DD2904" w:rsidRPr="00A529A8" w:rsidRDefault="006D744D" w:rsidP="00A529A8">
            <w:pPr>
              <w:jc w:val="both"/>
              <w:rPr>
                <w:b/>
                <w:bCs/>
                <w:lang w:val="fr-FR"/>
              </w:rPr>
            </w:pPr>
            <w:hyperlink r:id="rId8" w:history="1">
              <w:r w:rsidR="00DD2904" w:rsidRPr="00A529A8">
                <w:rPr>
                  <w:rStyle w:val="Hyperlink"/>
                  <w:rFonts w:cstheme="minorHAnsi"/>
                  <w:lang w:val="fr-FR"/>
                </w:rPr>
                <w:t>OHCHR-eje@ohchr.org</w:t>
              </w:r>
            </w:hyperlink>
          </w:p>
        </w:tc>
      </w:tr>
      <w:tr w:rsidR="00DD2904" w:rsidRPr="006D744D" w14:paraId="4C392095" w14:textId="77777777" w:rsidTr="00792793">
        <w:tc>
          <w:tcPr>
            <w:tcW w:w="3114" w:type="dxa"/>
          </w:tcPr>
          <w:p w14:paraId="2433183F" w14:textId="28D5F435" w:rsidR="00DD2904" w:rsidRPr="00A529A8" w:rsidRDefault="00DD2904" w:rsidP="00A529A8">
            <w:pPr>
              <w:jc w:val="both"/>
              <w:rPr>
                <w:b/>
                <w:bCs/>
                <w:lang w:val="fr-FR"/>
              </w:rPr>
            </w:pPr>
            <w:r w:rsidRPr="00A529A8">
              <w:rPr>
                <w:b/>
                <w:bCs/>
                <w:lang w:val="fr-FR"/>
              </w:rPr>
              <w:t xml:space="preserve">Objet </w:t>
            </w:r>
            <w:r w:rsidR="00E0045A" w:rsidRPr="00A529A8">
              <w:rPr>
                <w:b/>
                <w:bCs/>
                <w:lang w:val="fr-FR"/>
              </w:rPr>
              <w:t>du courriel</w:t>
            </w:r>
          </w:p>
        </w:tc>
        <w:tc>
          <w:tcPr>
            <w:tcW w:w="5902" w:type="dxa"/>
          </w:tcPr>
          <w:p w14:paraId="5735F65D" w14:textId="17DA4634" w:rsidR="00DD2904" w:rsidRPr="00A529A8" w:rsidRDefault="00DD2904" w:rsidP="00A529A8">
            <w:pPr>
              <w:jc w:val="both"/>
              <w:rPr>
                <w:b/>
                <w:bCs/>
                <w:lang w:val="fr-FR"/>
              </w:rPr>
            </w:pPr>
            <w:r w:rsidRPr="00A529A8">
              <w:rPr>
                <w:rFonts w:cstheme="minorHAnsi"/>
                <w:lang w:val="fr-FR"/>
              </w:rPr>
              <w:t>Contribution sur la mise en œuvre du Protocole du Minnesota</w:t>
            </w:r>
          </w:p>
        </w:tc>
      </w:tr>
      <w:tr w:rsidR="00DD2904" w:rsidRPr="00A529A8" w14:paraId="6D1A8EAA" w14:textId="77777777" w:rsidTr="00792793">
        <w:tc>
          <w:tcPr>
            <w:tcW w:w="3114" w:type="dxa"/>
          </w:tcPr>
          <w:p w14:paraId="46A3C2F4" w14:textId="53EB2327" w:rsidR="00DD2904" w:rsidRPr="00A529A8" w:rsidRDefault="00DD2904" w:rsidP="00A529A8">
            <w:pPr>
              <w:jc w:val="both"/>
              <w:rPr>
                <w:b/>
                <w:bCs/>
                <w:lang w:val="fr-FR"/>
              </w:rPr>
            </w:pPr>
            <w:r w:rsidRPr="00A529A8">
              <w:rPr>
                <w:b/>
                <w:bCs/>
                <w:lang w:val="fr-FR"/>
              </w:rPr>
              <w:t>Limite du nombre de pages</w:t>
            </w:r>
          </w:p>
        </w:tc>
        <w:tc>
          <w:tcPr>
            <w:tcW w:w="5902" w:type="dxa"/>
          </w:tcPr>
          <w:p w14:paraId="137AE7C8" w14:textId="77777777" w:rsidR="00DD2904" w:rsidRPr="00A529A8" w:rsidRDefault="00DD2904" w:rsidP="00A529A8">
            <w:pPr>
              <w:jc w:val="both"/>
              <w:rPr>
                <w:lang w:val="fr-FR"/>
              </w:rPr>
            </w:pPr>
            <w:r w:rsidRPr="00A529A8">
              <w:rPr>
                <w:lang w:val="fr-FR"/>
              </w:rPr>
              <w:t xml:space="preserve">5 pages maximum </w:t>
            </w:r>
          </w:p>
        </w:tc>
      </w:tr>
      <w:tr w:rsidR="00DD2904" w:rsidRPr="00A529A8" w14:paraId="721E3838" w14:textId="77777777" w:rsidTr="00792793">
        <w:tc>
          <w:tcPr>
            <w:tcW w:w="3114" w:type="dxa"/>
          </w:tcPr>
          <w:p w14:paraId="2EDFF3A3" w14:textId="604D481B" w:rsidR="00DD2904" w:rsidRPr="00A529A8" w:rsidRDefault="00DD2904" w:rsidP="00A529A8">
            <w:pPr>
              <w:jc w:val="both"/>
              <w:rPr>
                <w:b/>
                <w:bCs/>
                <w:lang w:val="fr-FR"/>
              </w:rPr>
            </w:pPr>
            <w:r w:rsidRPr="00A529A8">
              <w:rPr>
                <w:b/>
                <w:bCs/>
                <w:lang w:val="fr-FR"/>
              </w:rPr>
              <w:t>Langues acceptées</w:t>
            </w:r>
          </w:p>
        </w:tc>
        <w:tc>
          <w:tcPr>
            <w:tcW w:w="5902" w:type="dxa"/>
          </w:tcPr>
          <w:p w14:paraId="609292FF" w14:textId="19D03089" w:rsidR="00DD2904" w:rsidRPr="00A529A8" w:rsidRDefault="00DD2904" w:rsidP="00A529A8">
            <w:pPr>
              <w:jc w:val="both"/>
              <w:rPr>
                <w:b/>
                <w:bCs/>
                <w:lang w:val="fr-FR"/>
              </w:rPr>
            </w:pPr>
            <w:r w:rsidRPr="00A529A8">
              <w:rPr>
                <w:rFonts w:cstheme="minorHAnsi"/>
                <w:lang w:val="fr-FR"/>
              </w:rPr>
              <w:t>Anglais, français, espagnol</w:t>
            </w:r>
          </w:p>
        </w:tc>
      </w:tr>
      <w:tr w:rsidR="00DD2904" w:rsidRPr="006D744D" w14:paraId="3D5C505A" w14:textId="77777777" w:rsidTr="00792793">
        <w:tc>
          <w:tcPr>
            <w:tcW w:w="3114" w:type="dxa"/>
          </w:tcPr>
          <w:p w14:paraId="0C5FB8A7" w14:textId="24A0408A" w:rsidR="00DD2904" w:rsidRPr="00A529A8" w:rsidRDefault="00DD2904" w:rsidP="00A529A8">
            <w:pPr>
              <w:jc w:val="both"/>
              <w:rPr>
                <w:b/>
                <w:bCs/>
                <w:lang w:val="fr-FR"/>
              </w:rPr>
            </w:pPr>
            <w:r w:rsidRPr="00A529A8">
              <w:rPr>
                <w:b/>
                <w:bCs/>
                <w:lang w:val="fr-FR"/>
              </w:rPr>
              <w:t>Publication des contributions</w:t>
            </w:r>
          </w:p>
        </w:tc>
        <w:tc>
          <w:tcPr>
            <w:tcW w:w="5902" w:type="dxa"/>
          </w:tcPr>
          <w:p w14:paraId="4F3B9F55" w14:textId="4C650658" w:rsidR="00DD2904" w:rsidRPr="00A529A8" w:rsidRDefault="00DD2904" w:rsidP="00A529A8">
            <w:pPr>
              <w:jc w:val="both"/>
              <w:rPr>
                <w:rFonts w:cstheme="minorHAnsi"/>
                <w:lang w:val="fr-FR"/>
              </w:rPr>
            </w:pPr>
            <w:r w:rsidRPr="00A529A8">
              <w:rPr>
                <w:rFonts w:cstheme="minorHAnsi"/>
                <w:lang w:val="fr-FR"/>
              </w:rPr>
              <w:t>Toutes les contributions reçues seront publiées sur le site du Rapporteur Spécial, à moins qu’il ne soit clairement indiqué que la contribution doit rester confidentielle.</w:t>
            </w:r>
          </w:p>
        </w:tc>
      </w:tr>
    </w:tbl>
    <w:p w14:paraId="223BBF33" w14:textId="5AB14C43" w:rsidR="00DD2904" w:rsidRPr="00A529A8" w:rsidRDefault="00DD2904" w:rsidP="00A529A8">
      <w:pPr>
        <w:pStyle w:val="Heading3"/>
        <w:shd w:val="clear" w:color="auto" w:fill="FFFFFF"/>
        <w:spacing w:before="0" w:beforeAutospacing="0" w:after="0" w:afterAutospacing="0"/>
        <w:jc w:val="both"/>
        <w:rPr>
          <w:rFonts w:asciiTheme="minorHAnsi" w:hAnsiTheme="minorHAnsi" w:cstheme="minorHAnsi"/>
          <w:b w:val="0"/>
          <w:bCs w:val="0"/>
          <w:sz w:val="24"/>
          <w:szCs w:val="24"/>
          <w:lang w:val="fr-FR"/>
        </w:rPr>
      </w:pPr>
    </w:p>
    <w:p w14:paraId="5EC78E90" w14:textId="3EB4B4EA" w:rsidR="00DD2904" w:rsidRPr="00A529A8" w:rsidRDefault="009924D4" w:rsidP="00A529A8">
      <w:pPr>
        <w:pStyle w:val="Heading3"/>
        <w:shd w:val="clear" w:color="auto" w:fill="FFFFFF"/>
        <w:spacing w:before="0" w:beforeAutospacing="0" w:after="0" w:afterAutospacing="0"/>
        <w:jc w:val="both"/>
        <w:rPr>
          <w:rFonts w:asciiTheme="minorHAnsi" w:hAnsiTheme="minorHAnsi" w:cstheme="minorHAnsi"/>
          <w:sz w:val="24"/>
          <w:szCs w:val="24"/>
          <w:lang w:val="fr-FR"/>
        </w:rPr>
      </w:pPr>
      <w:r w:rsidRPr="00A529A8">
        <w:rPr>
          <w:rFonts w:asciiTheme="minorHAnsi" w:hAnsiTheme="minorHAnsi" w:cstheme="minorHAnsi"/>
          <w:sz w:val="24"/>
          <w:szCs w:val="24"/>
          <w:lang w:val="fr-FR"/>
        </w:rPr>
        <w:t>Coordonnées</w:t>
      </w:r>
    </w:p>
    <w:p w14:paraId="55EB62CD" w14:textId="00E1BB2E" w:rsidR="009924D4" w:rsidRPr="00A529A8" w:rsidRDefault="009924D4" w:rsidP="00A529A8">
      <w:pPr>
        <w:pStyle w:val="Heading3"/>
        <w:shd w:val="clear" w:color="auto" w:fill="FFFFFF"/>
        <w:spacing w:before="0" w:beforeAutospacing="0" w:after="0" w:afterAutospacing="0"/>
        <w:jc w:val="both"/>
        <w:rPr>
          <w:rFonts w:asciiTheme="minorHAnsi" w:hAnsiTheme="minorHAnsi" w:cstheme="minorHAnsi"/>
          <w:b w:val="0"/>
          <w:bCs w:val="0"/>
          <w:sz w:val="24"/>
          <w:szCs w:val="24"/>
          <w:lang w:val="fr-FR"/>
        </w:rPr>
      </w:pPr>
      <w:r w:rsidRPr="00A529A8">
        <w:rPr>
          <w:rFonts w:asciiTheme="minorHAnsi" w:hAnsiTheme="minorHAnsi" w:cstheme="minorHAnsi"/>
          <w:b w:val="0"/>
          <w:bCs w:val="0"/>
          <w:sz w:val="24"/>
          <w:szCs w:val="24"/>
          <w:lang w:val="fr-FR"/>
        </w:rPr>
        <w:lastRenderedPageBreak/>
        <w:t xml:space="preserve">Veuillez s’il-vous-plaît indiquer votre nom, le nom de votre institution ou organisation </w:t>
      </w:r>
      <w:r w:rsidR="00420547">
        <w:rPr>
          <w:rFonts w:asciiTheme="minorHAnsi" w:hAnsiTheme="minorHAnsi" w:cstheme="minorHAnsi"/>
          <w:b w:val="0"/>
          <w:bCs w:val="0"/>
          <w:sz w:val="24"/>
          <w:szCs w:val="24"/>
          <w:lang w:val="fr-FR"/>
        </w:rPr>
        <w:t xml:space="preserve">(si applicable) </w:t>
      </w:r>
      <w:r w:rsidRPr="00A529A8">
        <w:rPr>
          <w:rFonts w:asciiTheme="minorHAnsi" w:hAnsiTheme="minorHAnsi" w:cstheme="minorHAnsi"/>
          <w:b w:val="0"/>
          <w:bCs w:val="0"/>
          <w:sz w:val="24"/>
          <w:szCs w:val="24"/>
          <w:lang w:val="fr-FR"/>
        </w:rPr>
        <w:t xml:space="preserve">et vos coordonnées, dont votre adresse électronique, dans le cas où nous aurions besoin de vous contacter par rapport à votre contribution. </w:t>
      </w:r>
    </w:p>
    <w:p w14:paraId="7DC72682" w14:textId="5C1D3C3D" w:rsidR="009924D4" w:rsidRPr="00A529A8" w:rsidRDefault="009924D4" w:rsidP="00A529A8">
      <w:pPr>
        <w:pStyle w:val="Heading3"/>
        <w:shd w:val="clear" w:color="auto" w:fill="FFFFFF"/>
        <w:spacing w:before="0" w:beforeAutospacing="0" w:after="0" w:afterAutospacing="0"/>
        <w:jc w:val="both"/>
        <w:rPr>
          <w:rFonts w:asciiTheme="minorHAnsi" w:hAnsiTheme="minorHAnsi" w:cstheme="minorHAnsi"/>
          <w:b w:val="0"/>
          <w:bCs w:val="0"/>
          <w:sz w:val="24"/>
          <w:szCs w:val="24"/>
          <w:lang w:val="fr-FR"/>
        </w:rPr>
      </w:pPr>
    </w:p>
    <w:p w14:paraId="689CE978" w14:textId="5C3A7B9E" w:rsidR="009924D4" w:rsidRPr="00A529A8" w:rsidRDefault="009924D4" w:rsidP="00711409">
      <w:pPr>
        <w:pStyle w:val="Heading3"/>
        <w:shd w:val="clear" w:color="auto" w:fill="FFFFFF"/>
        <w:spacing w:before="0" w:beforeAutospacing="0" w:after="0" w:afterAutospacing="0"/>
        <w:jc w:val="center"/>
        <w:rPr>
          <w:rFonts w:asciiTheme="minorHAnsi" w:hAnsiTheme="minorHAnsi" w:cstheme="minorHAnsi"/>
          <w:b w:val="0"/>
          <w:bCs w:val="0"/>
          <w:sz w:val="24"/>
          <w:szCs w:val="24"/>
          <w:lang w:val="fr-FR"/>
        </w:rPr>
      </w:pPr>
      <w:r w:rsidRPr="00A529A8">
        <w:rPr>
          <w:rFonts w:asciiTheme="minorHAnsi" w:hAnsiTheme="minorHAnsi" w:cstheme="minorHAnsi"/>
          <w:sz w:val="24"/>
          <w:szCs w:val="24"/>
          <w:lang w:val="fr-FR"/>
        </w:rPr>
        <w:t>Questions</w:t>
      </w:r>
    </w:p>
    <w:p w14:paraId="4AA545F9" w14:textId="417A38AC" w:rsidR="009924D4" w:rsidRPr="00A529A8" w:rsidRDefault="009924D4" w:rsidP="00A529A8">
      <w:pPr>
        <w:pStyle w:val="Heading3"/>
        <w:shd w:val="clear" w:color="auto" w:fill="FFFFFF"/>
        <w:spacing w:before="0" w:beforeAutospacing="0" w:after="0" w:afterAutospacing="0"/>
        <w:jc w:val="both"/>
        <w:rPr>
          <w:rFonts w:asciiTheme="minorHAnsi" w:hAnsiTheme="minorHAnsi" w:cstheme="minorHAnsi"/>
          <w:b w:val="0"/>
          <w:bCs w:val="0"/>
          <w:sz w:val="24"/>
          <w:szCs w:val="24"/>
          <w:lang w:val="fr-FR"/>
        </w:rPr>
      </w:pPr>
    </w:p>
    <w:p w14:paraId="08DD08D0" w14:textId="2628AE68" w:rsidR="009924D4" w:rsidRPr="00A529A8" w:rsidRDefault="000156F2" w:rsidP="00A529A8">
      <w:pPr>
        <w:pStyle w:val="Heading3"/>
        <w:shd w:val="clear" w:color="auto" w:fill="FFFFFF"/>
        <w:spacing w:before="0" w:beforeAutospacing="0" w:after="0" w:afterAutospacing="0"/>
        <w:jc w:val="both"/>
        <w:rPr>
          <w:rFonts w:asciiTheme="minorHAnsi" w:hAnsiTheme="minorHAnsi" w:cstheme="minorHAnsi"/>
          <w:sz w:val="24"/>
          <w:szCs w:val="24"/>
          <w:lang w:val="fr-FR"/>
        </w:rPr>
      </w:pPr>
      <w:r w:rsidRPr="00A529A8">
        <w:rPr>
          <w:rFonts w:asciiTheme="minorHAnsi" w:hAnsiTheme="minorHAnsi" w:cstheme="minorHAnsi"/>
          <w:sz w:val="24"/>
          <w:szCs w:val="24"/>
          <w:lang w:val="fr-FR"/>
        </w:rPr>
        <w:t>Sensibilisation</w:t>
      </w:r>
    </w:p>
    <w:p w14:paraId="01B78FE5" w14:textId="7A17FBEF" w:rsidR="000156F2" w:rsidRPr="00A529A8" w:rsidRDefault="000156F2" w:rsidP="00A529A8">
      <w:pPr>
        <w:pStyle w:val="Heading3"/>
        <w:shd w:val="clear" w:color="auto" w:fill="FFFFFF"/>
        <w:spacing w:before="0" w:beforeAutospacing="0" w:after="0" w:afterAutospacing="0"/>
        <w:jc w:val="both"/>
        <w:rPr>
          <w:rFonts w:asciiTheme="minorHAnsi" w:hAnsiTheme="minorHAnsi" w:cstheme="minorHAnsi"/>
          <w:sz w:val="24"/>
          <w:szCs w:val="24"/>
          <w:lang w:val="fr-FR"/>
        </w:rPr>
      </w:pPr>
    </w:p>
    <w:p w14:paraId="0529056D" w14:textId="2ACC3FF7" w:rsidR="000156F2" w:rsidRPr="00A529A8" w:rsidRDefault="000156F2" w:rsidP="00A529A8">
      <w:pPr>
        <w:pStyle w:val="Heading3"/>
        <w:numPr>
          <w:ilvl w:val="0"/>
          <w:numId w:val="1"/>
        </w:numPr>
        <w:shd w:val="clear" w:color="auto" w:fill="FFFFFF"/>
        <w:spacing w:before="0" w:beforeAutospacing="0" w:after="0" w:afterAutospacing="0"/>
        <w:jc w:val="both"/>
        <w:rPr>
          <w:rFonts w:asciiTheme="minorHAnsi" w:hAnsiTheme="minorHAnsi" w:cstheme="minorHAnsi"/>
          <w:b w:val="0"/>
          <w:bCs w:val="0"/>
          <w:sz w:val="24"/>
          <w:szCs w:val="24"/>
          <w:lang w:val="fr-FR"/>
        </w:rPr>
      </w:pPr>
      <w:r w:rsidRPr="00A529A8">
        <w:rPr>
          <w:rFonts w:asciiTheme="minorHAnsi" w:hAnsiTheme="minorHAnsi" w:cstheme="minorHAnsi"/>
          <w:b w:val="0"/>
          <w:bCs w:val="0"/>
          <w:sz w:val="24"/>
          <w:szCs w:val="24"/>
          <w:lang w:val="fr-FR"/>
        </w:rPr>
        <w:t xml:space="preserve">Quel est le niveau de sensibilisation au </w:t>
      </w:r>
      <w:r w:rsidRPr="00A529A8">
        <w:rPr>
          <w:rFonts w:asciiTheme="minorHAnsi" w:hAnsiTheme="minorHAnsi" w:cstheme="minorHAnsi"/>
          <w:b w:val="0"/>
          <w:bCs w:val="0"/>
          <w:i/>
          <w:iCs/>
          <w:sz w:val="24"/>
          <w:szCs w:val="24"/>
          <w:lang w:val="fr-FR"/>
        </w:rPr>
        <w:t>Protocole du Minnesota</w:t>
      </w:r>
      <w:r w:rsidRPr="00A529A8">
        <w:rPr>
          <w:rFonts w:asciiTheme="minorHAnsi" w:hAnsiTheme="minorHAnsi" w:cstheme="minorHAnsi"/>
          <w:b w:val="0"/>
          <w:bCs w:val="0"/>
          <w:sz w:val="24"/>
          <w:szCs w:val="24"/>
          <w:lang w:val="fr-FR"/>
        </w:rPr>
        <w:t xml:space="preserve"> </w:t>
      </w:r>
      <w:r w:rsidR="00FA5CEF" w:rsidRPr="00A529A8">
        <w:rPr>
          <w:rFonts w:asciiTheme="minorHAnsi" w:hAnsiTheme="minorHAnsi" w:cstheme="minorHAnsi"/>
          <w:b w:val="0"/>
          <w:bCs w:val="0"/>
          <w:sz w:val="24"/>
          <w:szCs w:val="24"/>
          <w:lang w:val="fr-FR"/>
        </w:rPr>
        <w:t xml:space="preserve">dans votre pays, </w:t>
      </w:r>
      <w:r w:rsidR="00FA464F">
        <w:rPr>
          <w:rFonts w:asciiTheme="minorHAnsi" w:hAnsiTheme="minorHAnsi" w:cstheme="minorHAnsi"/>
          <w:b w:val="0"/>
          <w:bCs w:val="0"/>
          <w:sz w:val="24"/>
          <w:szCs w:val="24"/>
          <w:lang w:val="fr-FR"/>
        </w:rPr>
        <w:t>en particulier</w:t>
      </w:r>
      <w:r w:rsidR="00FA5CEF" w:rsidRPr="00A529A8">
        <w:rPr>
          <w:rFonts w:asciiTheme="minorHAnsi" w:hAnsiTheme="minorHAnsi" w:cstheme="minorHAnsi"/>
          <w:b w:val="0"/>
          <w:bCs w:val="0"/>
          <w:sz w:val="24"/>
          <w:szCs w:val="24"/>
          <w:lang w:val="fr-FR"/>
        </w:rPr>
        <w:t xml:space="preserve"> au sein des communautés professionnelles concernées par son usage (législateurs, juges, procureurs, avocats, médecins légistes et autres spécialistes, autorités policières et autre</w:t>
      </w:r>
      <w:r w:rsidR="001818F4" w:rsidRPr="00A529A8">
        <w:rPr>
          <w:rFonts w:asciiTheme="minorHAnsi" w:hAnsiTheme="minorHAnsi" w:cstheme="minorHAnsi"/>
          <w:b w:val="0"/>
          <w:bCs w:val="0"/>
          <w:sz w:val="24"/>
          <w:szCs w:val="24"/>
          <w:lang w:val="fr-FR"/>
        </w:rPr>
        <w:t>s) ?</w:t>
      </w:r>
    </w:p>
    <w:p w14:paraId="55004B38" w14:textId="77777777" w:rsidR="001818F4" w:rsidRPr="00A529A8" w:rsidRDefault="001818F4" w:rsidP="00A529A8">
      <w:pPr>
        <w:pStyle w:val="Heading3"/>
        <w:shd w:val="clear" w:color="auto" w:fill="FFFFFF"/>
        <w:spacing w:before="0" w:beforeAutospacing="0" w:after="0" w:afterAutospacing="0"/>
        <w:ind w:left="720"/>
        <w:jc w:val="both"/>
        <w:rPr>
          <w:rFonts w:asciiTheme="minorHAnsi" w:hAnsiTheme="minorHAnsi" w:cstheme="minorHAnsi"/>
          <w:b w:val="0"/>
          <w:bCs w:val="0"/>
          <w:sz w:val="24"/>
          <w:szCs w:val="24"/>
          <w:lang w:val="fr-FR"/>
        </w:rPr>
      </w:pPr>
    </w:p>
    <w:p w14:paraId="2729374F" w14:textId="5D928769" w:rsidR="001818F4" w:rsidRPr="00A529A8" w:rsidRDefault="001818F4" w:rsidP="00A529A8">
      <w:pPr>
        <w:pStyle w:val="Heading3"/>
        <w:numPr>
          <w:ilvl w:val="0"/>
          <w:numId w:val="1"/>
        </w:numPr>
        <w:shd w:val="clear" w:color="auto" w:fill="FFFFFF"/>
        <w:spacing w:before="0" w:beforeAutospacing="0" w:after="0" w:afterAutospacing="0"/>
        <w:jc w:val="both"/>
        <w:rPr>
          <w:rFonts w:asciiTheme="minorHAnsi" w:hAnsiTheme="minorHAnsi" w:cstheme="minorHAnsi"/>
          <w:b w:val="0"/>
          <w:bCs w:val="0"/>
          <w:sz w:val="24"/>
          <w:szCs w:val="24"/>
          <w:lang w:val="fr-FR"/>
        </w:rPr>
      </w:pPr>
      <w:r w:rsidRPr="00A529A8">
        <w:rPr>
          <w:rFonts w:asciiTheme="minorHAnsi" w:hAnsiTheme="minorHAnsi" w:cstheme="minorHAnsi"/>
          <w:b w:val="0"/>
          <w:bCs w:val="0"/>
          <w:sz w:val="24"/>
          <w:szCs w:val="24"/>
          <w:lang w:val="fr-FR"/>
        </w:rPr>
        <w:t xml:space="preserve">Le </w:t>
      </w:r>
      <w:r w:rsidRPr="00A529A8">
        <w:rPr>
          <w:rFonts w:asciiTheme="minorHAnsi" w:hAnsiTheme="minorHAnsi" w:cstheme="minorHAnsi"/>
          <w:b w:val="0"/>
          <w:bCs w:val="0"/>
          <w:i/>
          <w:iCs/>
          <w:sz w:val="24"/>
          <w:szCs w:val="24"/>
          <w:lang w:val="fr-FR"/>
        </w:rPr>
        <w:t xml:space="preserve">Protocole du Minnesota </w:t>
      </w:r>
      <w:r w:rsidRPr="00A529A8">
        <w:rPr>
          <w:rFonts w:asciiTheme="minorHAnsi" w:hAnsiTheme="minorHAnsi" w:cstheme="minorHAnsi"/>
          <w:b w:val="0"/>
          <w:bCs w:val="0"/>
          <w:sz w:val="24"/>
          <w:szCs w:val="24"/>
          <w:lang w:val="fr-FR"/>
        </w:rPr>
        <w:t>fait-il l’objet d’un enseignement dans les programmes d’éducation, y compris au niveau du premier cycle universitaire, et dans la formation des professionnels mentionnés plus haut ? Veuillez décrire dans quelle mesure c’est le cas.</w:t>
      </w:r>
    </w:p>
    <w:p w14:paraId="165D6A93" w14:textId="77777777" w:rsidR="001818F4" w:rsidRPr="00A529A8" w:rsidRDefault="001818F4" w:rsidP="00A529A8">
      <w:pPr>
        <w:pStyle w:val="ListParagraph"/>
        <w:jc w:val="both"/>
        <w:rPr>
          <w:rFonts w:cstheme="minorHAnsi"/>
          <w:b/>
          <w:bCs/>
          <w:sz w:val="24"/>
          <w:szCs w:val="24"/>
          <w:lang w:val="fr-FR"/>
        </w:rPr>
      </w:pPr>
    </w:p>
    <w:p w14:paraId="43F875D0" w14:textId="77777777" w:rsidR="001818F4" w:rsidRPr="00A529A8" w:rsidRDefault="001818F4" w:rsidP="00A529A8">
      <w:pPr>
        <w:pStyle w:val="Heading3"/>
        <w:numPr>
          <w:ilvl w:val="0"/>
          <w:numId w:val="1"/>
        </w:numPr>
        <w:shd w:val="clear" w:color="auto" w:fill="FFFFFF"/>
        <w:spacing w:before="0" w:beforeAutospacing="0" w:after="0" w:afterAutospacing="0"/>
        <w:jc w:val="both"/>
        <w:rPr>
          <w:rFonts w:asciiTheme="minorHAnsi" w:hAnsiTheme="minorHAnsi" w:cstheme="minorHAnsi"/>
          <w:b w:val="0"/>
          <w:bCs w:val="0"/>
          <w:sz w:val="24"/>
          <w:szCs w:val="24"/>
          <w:lang w:val="fr-FR"/>
        </w:rPr>
      </w:pPr>
      <w:r w:rsidRPr="00A529A8">
        <w:rPr>
          <w:rFonts w:asciiTheme="minorHAnsi" w:hAnsiTheme="minorHAnsi" w:cstheme="minorHAnsi"/>
          <w:b w:val="0"/>
          <w:bCs w:val="0"/>
          <w:sz w:val="24"/>
          <w:szCs w:val="24"/>
          <w:lang w:val="fr-FR"/>
        </w:rPr>
        <w:t xml:space="preserve">Quelles sont les principales difficultés qui empêchent une meilleure sensibilisation au </w:t>
      </w:r>
      <w:r w:rsidRPr="00A529A8">
        <w:rPr>
          <w:rFonts w:asciiTheme="minorHAnsi" w:hAnsiTheme="minorHAnsi" w:cstheme="minorHAnsi"/>
          <w:b w:val="0"/>
          <w:bCs w:val="0"/>
          <w:i/>
          <w:iCs/>
          <w:sz w:val="24"/>
          <w:szCs w:val="24"/>
          <w:lang w:val="fr-FR"/>
        </w:rPr>
        <w:t>Protocole du Minnesota</w:t>
      </w:r>
      <w:r w:rsidRPr="00A529A8">
        <w:rPr>
          <w:rFonts w:asciiTheme="minorHAnsi" w:hAnsiTheme="minorHAnsi" w:cstheme="minorHAnsi"/>
          <w:b w:val="0"/>
          <w:bCs w:val="0"/>
          <w:sz w:val="24"/>
          <w:szCs w:val="24"/>
          <w:lang w:val="fr-FR"/>
        </w:rPr>
        <w:t xml:space="preserve"> dans votre pays (indisponible dans la langue nationale/locale ; manque de promotion ; considéré comme non-pertinent, etc.) et qu’est-ce qui est fait ou pourrait être fait à l’avenir pour les surmonter ?</w:t>
      </w:r>
    </w:p>
    <w:p w14:paraId="2DCC7FE2" w14:textId="77777777" w:rsidR="001818F4" w:rsidRPr="00A529A8" w:rsidRDefault="001818F4" w:rsidP="00A529A8">
      <w:pPr>
        <w:pStyle w:val="ListParagraph"/>
        <w:jc w:val="both"/>
        <w:rPr>
          <w:rFonts w:cstheme="minorHAnsi"/>
          <w:b/>
          <w:bCs/>
          <w:sz w:val="24"/>
          <w:szCs w:val="24"/>
          <w:lang w:val="fr-FR"/>
        </w:rPr>
      </w:pPr>
    </w:p>
    <w:p w14:paraId="4B219BA8" w14:textId="4D1AC53E" w:rsidR="008920BE" w:rsidRPr="00A529A8" w:rsidRDefault="001818F4" w:rsidP="00A529A8">
      <w:pPr>
        <w:pStyle w:val="Heading3"/>
        <w:numPr>
          <w:ilvl w:val="0"/>
          <w:numId w:val="1"/>
        </w:numPr>
        <w:shd w:val="clear" w:color="auto" w:fill="FFFFFF"/>
        <w:spacing w:before="0" w:beforeAutospacing="0" w:after="0" w:afterAutospacing="0"/>
        <w:jc w:val="both"/>
        <w:rPr>
          <w:rFonts w:asciiTheme="minorHAnsi" w:hAnsiTheme="minorHAnsi" w:cstheme="minorHAnsi"/>
          <w:b w:val="0"/>
          <w:bCs w:val="0"/>
          <w:sz w:val="24"/>
          <w:szCs w:val="24"/>
          <w:lang w:val="fr-FR"/>
        </w:rPr>
      </w:pPr>
      <w:r w:rsidRPr="00A529A8">
        <w:rPr>
          <w:rFonts w:asciiTheme="minorHAnsi" w:hAnsiTheme="minorHAnsi" w:cstheme="minorHAnsi"/>
          <w:b w:val="0"/>
          <w:bCs w:val="0"/>
          <w:sz w:val="24"/>
          <w:szCs w:val="24"/>
          <w:lang w:val="fr-FR"/>
        </w:rPr>
        <w:t xml:space="preserve">Le </w:t>
      </w:r>
      <w:r w:rsidRPr="00A529A8">
        <w:rPr>
          <w:rFonts w:asciiTheme="minorHAnsi" w:hAnsiTheme="minorHAnsi" w:cstheme="minorHAnsi"/>
          <w:b w:val="0"/>
          <w:bCs w:val="0"/>
          <w:i/>
          <w:iCs/>
          <w:sz w:val="24"/>
          <w:szCs w:val="24"/>
          <w:lang w:val="fr-FR"/>
        </w:rPr>
        <w:t>Protocole du Minnesota</w:t>
      </w:r>
      <w:r w:rsidRPr="00A529A8">
        <w:rPr>
          <w:rFonts w:asciiTheme="minorHAnsi" w:hAnsiTheme="minorHAnsi" w:cstheme="minorHAnsi"/>
          <w:b w:val="0"/>
          <w:bCs w:val="0"/>
          <w:sz w:val="24"/>
          <w:szCs w:val="24"/>
          <w:lang w:val="fr-FR"/>
        </w:rPr>
        <w:t xml:space="preserve"> est officiellement disponible en anglais, français, espagnol, russe, arabe et chinois. Le Protocole est-il disponible dans une autre langue </w:t>
      </w:r>
      <w:r w:rsidR="00D84C6C" w:rsidRPr="00A529A8">
        <w:rPr>
          <w:rFonts w:asciiTheme="minorHAnsi" w:hAnsiTheme="minorHAnsi" w:cstheme="minorHAnsi"/>
          <w:b w:val="0"/>
          <w:bCs w:val="0"/>
          <w:sz w:val="24"/>
          <w:szCs w:val="24"/>
          <w:lang w:val="fr-FR"/>
        </w:rPr>
        <w:t xml:space="preserve">utilisée dans votre pays ? Si oui, et qu’il est disponible dans cette langue en ligne, veuillez s’il-vous-plaît </w:t>
      </w:r>
      <w:r w:rsidR="00742C14">
        <w:rPr>
          <w:rFonts w:asciiTheme="minorHAnsi" w:hAnsiTheme="minorHAnsi" w:cstheme="minorHAnsi"/>
          <w:b w:val="0"/>
          <w:bCs w:val="0"/>
          <w:sz w:val="24"/>
          <w:szCs w:val="24"/>
          <w:lang w:val="fr-FR"/>
        </w:rPr>
        <w:t>fournir</w:t>
      </w:r>
      <w:r w:rsidR="00D84C6C" w:rsidRPr="00A529A8">
        <w:rPr>
          <w:rFonts w:asciiTheme="minorHAnsi" w:hAnsiTheme="minorHAnsi" w:cstheme="minorHAnsi"/>
          <w:b w:val="0"/>
          <w:bCs w:val="0"/>
          <w:sz w:val="24"/>
          <w:szCs w:val="24"/>
          <w:lang w:val="fr-FR"/>
        </w:rPr>
        <w:t xml:space="preserve"> le lien.</w:t>
      </w:r>
    </w:p>
    <w:p w14:paraId="635D63F4" w14:textId="77777777" w:rsidR="008920BE" w:rsidRPr="00A529A8" w:rsidRDefault="008920BE" w:rsidP="00A529A8">
      <w:pPr>
        <w:pStyle w:val="ListParagraph"/>
        <w:jc w:val="both"/>
        <w:rPr>
          <w:rFonts w:cstheme="minorHAnsi"/>
          <w:b/>
          <w:bCs/>
          <w:sz w:val="24"/>
          <w:szCs w:val="24"/>
          <w:lang w:val="fr-FR"/>
        </w:rPr>
      </w:pPr>
    </w:p>
    <w:p w14:paraId="035A63D4" w14:textId="77777777" w:rsidR="008920BE" w:rsidRPr="00A529A8" w:rsidRDefault="008920BE" w:rsidP="00A529A8">
      <w:pPr>
        <w:pStyle w:val="Heading3"/>
        <w:shd w:val="clear" w:color="auto" w:fill="FFFFFF"/>
        <w:spacing w:before="0" w:beforeAutospacing="0" w:after="0" w:afterAutospacing="0"/>
        <w:jc w:val="both"/>
        <w:rPr>
          <w:rFonts w:asciiTheme="minorHAnsi" w:hAnsiTheme="minorHAnsi" w:cstheme="minorHAnsi"/>
          <w:i/>
          <w:iCs/>
          <w:sz w:val="24"/>
          <w:szCs w:val="24"/>
          <w:lang w:val="fr-FR"/>
        </w:rPr>
      </w:pPr>
      <w:r w:rsidRPr="00A529A8">
        <w:rPr>
          <w:rFonts w:asciiTheme="minorHAnsi" w:hAnsiTheme="minorHAnsi" w:cstheme="minorHAnsi"/>
          <w:sz w:val="24"/>
          <w:szCs w:val="24"/>
          <w:lang w:val="fr-FR"/>
        </w:rPr>
        <w:t>Mise en œuvre et impact</w:t>
      </w:r>
    </w:p>
    <w:p w14:paraId="50790BAD" w14:textId="77777777" w:rsidR="008920BE" w:rsidRPr="00A529A8" w:rsidRDefault="008920BE" w:rsidP="00A529A8">
      <w:pPr>
        <w:pStyle w:val="Heading3"/>
        <w:shd w:val="clear" w:color="auto" w:fill="FFFFFF"/>
        <w:spacing w:before="0" w:beforeAutospacing="0" w:after="0" w:afterAutospacing="0"/>
        <w:jc w:val="both"/>
        <w:rPr>
          <w:rFonts w:asciiTheme="minorHAnsi" w:hAnsiTheme="minorHAnsi" w:cstheme="minorHAnsi"/>
          <w:b w:val="0"/>
          <w:bCs w:val="0"/>
          <w:sz w:val="24"/>
          <w:szCs w:val="24"/>
          <w:lang w:val="fr-FR"/>
        </w:rPr>
      </w:pPr>
    </w:p>
    <w:p w14:paraId="5961C207" w14:textId="3E2D436E" w:rsidR="001818F4" w:rsidRPr="00A529A8" w:rsidRDefault="008920BE" w:rsidP="00A529A8">
      <w:pPr>
        <w:pStyle w:val="Heading3"/>
        <w:numPr>
          <w:ilvl w:val="0"/>
          <w:numId w:val="1"/>
        </w:numPr>
        <w:shd w:val="clear" w:color="auto" w:fill="FFFFFF"/>
        <w:spacing w:before="0" w:beforeAutospacing="0" w:after="0" w:afterAutospacing="0"/>
        <w:jc w:val="both"/>
        <w:rPr>
          <w:rFonts w:asciiTheme="minorHAnsi" w:hAnsiTheme="minorHAnsi" w:cstheme="minorHAnsi"/>
          <w:b w:val="0"/>
          <w:bCs w:val="0"/>
          <w:sz w:val="24"/>
          <w:szCs w:val="24"/>
          <w:lang w:val="fr-FR"/>
        </w:rPr>
      </w:pPr>
      <w:r w:rsidRPr="00A529A8">
        <w:rPr>
          <w:rFonts w:asciiTheme="minorHAnsi" w:hAnsiTheme="minorHAnsi" w:cstheme="minorHAnsi"/>
          <w:b w:val="0"/>
          <w:bCs w:val="0"/>
          <w:sz w:val="24"/>
          <w:szCs w:val="24"/>
          <w:lang w:val="fr-FR"/>
        </w:rPr>
        <w:t xml:space="preserve">Pourriez-vous donner des exemples pratiques de mise en œuvre fructueuse du </w:t>
      </w:r>
      <w:r w:rsidRPr="00A529A8">
        <w:rPr>
          <w:rFonts w:asciiTheme="minorHAnsi" w:hAnsiTheme="minorHAnsi" w:cstheme="minorHAnsi"/>
          <w:b w:val="0"/>
          <w:bCs w:val="0"/>
          <w:i/>
          <w:iCs/>
          <w:sz w:val="24"/>
          <w:szCs w:val="24"/>
          <w:lang w:val="fr-FR"/>
        </w:rPr>
        <w:t>Protocole du Minnesota</w:t>
      </w:r>
      <w:r w:rsidRPr="00A529A8">
        <w:rPr>
          <w:rFonts w:asciiTheme="minorHAnsi" w:hAnsiTheme="minorHAnsi" w:cstheme="minorHAnsi"/>
          <w:b w:val="0"/>
          <w:bCs w:val="0"/>
          <w:sz w:val="24"/>
          <w:szCs w:val="24"/>
          <w:lang w:val="fr-FR"/>
        </w:rPr>
        <w:t xml:space="preserve"> dans votre pays ?</w:t>
      </w:r>
    </w:p>
    <w:p w14:paraId="0E072A0E" w14:textId="77777777" w:rsidR="008920BE" w:rsidRPr="00A529A8" w:rsidRDefault="008920BE" w:rsidP="00A529A8">
      <w:pPr>
        <w:pStyle w:val="Heading3"/>
        <w:shd w:val="clear" w:color="auto" w:fill="FFFFFF"/>
        <w:spacing w:before="0" w:beforeAutospacing="0" w:after="0" w:afterAutospacing="0"/>
        <w:ind w:left="720"/>
        <w:jc w:val="both"/>
        <w:rPr>
          <w:rFonts w:asciiTheme="minorHAnsi" w:hAnsiTheme="minorHAnsi" w:cstheme="minorHAnsi"/>
          <w:b w:val="0"/>
          <w:bCs w:val="0"/>
          <w:sz w:val="24"/>
          <w:szCs w:val="24"/>
          <w:lang w:val="fr-FR"/>
        </w:rPr>
      </w:pPr>
    </w:p>
    <w:p w14:paraId="0F70ACCD" w14:textId="1C000398" w:rsidR="008920BE" w:rsidRPr="00A529A8" w:rsidRDefault="008920BE" w:rsidP="00A529A8">
      <w:pPr>
        <w:pStyle w:val="Heading3"/>
        <w:numPr>
          <w:ilvl w:val="0"/>
          <w:numId w:val="1"/>
        </w:numPr>
        <w:shd w:val="clear" w:color="auto" w:fill="FFFFFF"/>
        <w:spacing w:before="0" w:beforeAutospacing="0" w:after="0" w:afterAutospacing="0"/>
        <w:jc w:val="both"/>
        <w:rPr>
          <w:rFonts w:asciiTheme="minorHAnsi" w:hAnsiTheme="minorHAnsi" w:cstheme="minorHAnsi"/>
          <w:b w:val="0"/>
          <w:bCs w:val="0"/>
          <w:sz w:val="24"/>
          <w:szCs w:val="24"/>
          <w:lang w:val="fr-FR"/>
        </w:rPr>
      </w:pPr>
      <w:r w:rsidRPr="00A529A8">
        <w:rPr>
          <w:rFonts w:asciiTheme="minorHAnsi" w:hAnsiTheme="minorHAnsi" w:cstheme="minorHAnsi"/>
          <w:b w:val="0"/>
          <w:bCs w:val="0"/>
          <w:sz w:val="24"/>
          <w:szCs w:val="24"/>
          <w:lang w:val="fr-FR"/>
        </w:rPr>
        <w:t xml:space="preserve">Selon vous, l’usage du </w:t>
      </w:r>
      <w:r w:rsidRPr="00A529A8">
        <w:rPr>
          <w:rFonts w:asciiTheme="minorHAnsi" w:hAnsiTheme="minorHAnsi" w:cstheme="minorHAnsi"/>
          <w:b w:val="0"/>
          <w:bCs w:val="0"/>
          <w:i/>
          <w:iCs/>
          <w:sz w:val="24"/>
          <w:szCs w:val="24"/>
          <w:lang w:val="fr-FR"/>
        </w:rPr>
        <w:t>Protocole du Minnesota</w:t>
      </w:r>
      <w:r w:rsidRPr="00A529A8">
        <w:rPr>
          <w:rFonts w:asciiTheme="minorHAnsi" w:hAnsiTheme="minorHAnsi" w:cstheme="minorHAnsi"/>
          <w:b w:val="0"/>
          <w:bCs w:val="0"/>
          <w:sz w:val="24"/>
          <w:szCs w:val="24"/>
          <w:lang w:val="fr-FR"/>
        </w:rPr>
        <w:t xml:space="preserve"> </w:t>
      </w:r>
      <w:proofErr w:type="spellStart"/>
      <w:r w:rsidRPr="00A529A8">
        <w:rPr>
          <w:rFonts w:asciiTheme="minorHAnsi" w:hAnsiTheme="minorHAnsi" w:cstheme="minorHAnsi"/>
          <w:b w:val="0"/>
          <w:bCs w:val="0"/>
          <w:sz w:val="24"/>
          <w:szCs w:val="24"/>
          <w:lang w:val="fr-FR"/>
        </w:rPr>
        <w:t>a-t-il</w:t>
      </w:r>
      <w:proofErr w:type="spellEnd"/>
      <w:r w:rsidRPr="00A529A8">
        <w:rPr>
          <w:rFonts w:asciiTheme="minorHAnsi" w:hAnsiTheme="minorHAnsi" w:cstheme="minorHAnsi"/>
          <w:b w:val="0"/>
          <w:bCs w:val="0"/>
          <w:sz w:val="24"/>
          <w:szCs w:val="24"/>
          <w:lang w:val="fr-FR"/>
        </w:rPr>
        <w:t xml:space="preserve"> eu un impact quel qu’il soit sur la qualité des enquêtes sur les décès dans votre pays ? Le cas échéant, veuillez expliquer. </w:t>
      </w:r>
      <w:r w:rsidR="00F71C7F" w:rsidRPr="00A529A8">
        <w:rPr>
          <w:rFonts w:asciiTheme="minorHAnsi" w:hAnsiTheme="minorHAnsi" w:cstheme="minorHAnsi"/>
          <w:b w:val="0"/>
          <w:bCs w:val="0"/>
          <w:sz w:val="24"/>
          <w:szCs w:val="24"/>
          <w:lang w:val="fr-FR"/>
        </w:rPr>
        <w:t>Veuillez partager des expériences spécifiques, des meilleures pratiques et/ou des obstacles à l’identification/la mise en œuvre de ces pratiques, en particulier concernant la prévention et la responsabilité des décès résultant d’actes illégaux</w:t>
      </w:r>
      <w:r w:rsidR="008A7B59" w:rsidRPr="00A529A8">
        <w:rPr>
          <w:rFonts w:asciiTheme="minorHAnsi" w:hAnsiTheme="minorHAnsi" w:cstheme="minorHAnsi"/>
          <w:b w:val="0"/>
          <w:bCs w:val="0"/>
          <w:sz w:val="24"/>
          <w:szCs w:val="24"/>
          <w:lang w:val="fr-FR"/>
        </w:rPr>
        <w:t xml:space="preserve"> et l’octroi de réparations </w:t>
      </w:r>
      <w:r w:rsidR="001F26C4" w:rsidRPr="00A529A8">
        <w:rPr>
          <w:rFonts w:asciiTheme="minorHAnsi" w:hAnsiTheme="minorHAnsi" w:cstheme="minorHAnsi"/>
          <w:b w:val="0"/>
          <w:bCs w:val="0"/>
          <w:sz w:val="24"/>
          <w:szCs w:val="24"/>
          <w:lang w:val="fr-FR"/>
        </w:rPr>
        <w:t>aux</w:t>
      </w:r>
      <w:r w:rsidR="008A7B59" w:rsidRPr="00A529A8">
        <w:rPr>
          <w:rFonts w:asciiTheme="minorHAnsi" w:hAnsiTheme="minorHAnsi" w:cstheme="minorHAnsi"/>
          <w:b w:val="0"/>
          <w:bCs w:val="0"/>
          <w:sz w:val="24"/>
          <w:szCs w:val="24"/>
          <w:lang w:val="fr-FR"/>
        </w:rPr>
        <w:t xml:space="preserve"> victimes. </w:t>
      </w:r>
    </w:p>
    <w:p w14:paraId="7973C7E6" w14:textId="77777777" w:rsidR="00FB3D2C" w:rsidRPr="00A529A8" w:rsidRDefault="00FB3D2C" w:rsidP="00A529A8">
      <w:pPr>
        <w:pStyle w:val="ListParagraph"/>
        <w:jc w:val="both"/>
        <w:rPr>
          <w:rFonts w:cstheme="minorHAnsi"/>
          <w:b/>
          <w:bCs/>
          <w:sz w:val="24"/>
          <w:szCs w:val="24"/>
          <w:lang w:val="fr-FR"/>
        </w:rPr>
      </w:pPr>
    </w:p>
    <w:p w14:paraId="4796A63A" w14:textId="5B05C22B" w:rsidR="00FB3D2C" w:rsidRPr="00A529A8" w:rsidRDefault="008E43CB" w:rsidP="00A529A8">
      <w:pPr>
        <w:pStyle w:val="Heading3"/>
        <w:numPr>
          <w:ilvl w:val="0"/>
          <w:numId w:val="1"/>
        </w:numPr>
        <w:shd w:val="clear" w:color="auto" w:fill="FFFFFF"/>
        <w:spacing w:before="0" w:beforeAutospacing="0" w:after="0" w:afterAutospacing="0"/>
        <w:jc w:val="both"/>
        <w:rPr>
          <w:rFonts w:asciiTheme="minorHAnsi" w:hAnsiTheme="minorHAnsi" w:cstheme="minorHAnsi"/>
          <w:b w:val="0"/>
          <w:bCs w:val="0"/>
          <w:sz w:val="24"/>
          <w:szCs w:val="24"/>
          <w:lang w:val="fr-FR"/>
        </w:rPr>
      </w:pPr>
      <w:r w:rsidRPr="00A529A8">
        <w:rPr>
          <w:rFonts w:asciiTheme="minorHAnsi" w:hAnsiTheme="minorHAnsi" w:cstheme="minorHAnsi"/>
          <w:b w:val="0"/>
          <w:bCs w:val="0"/>
          <w:sz w:val="24"/>
          <w:szCs w:val="24"/>
          <w:lang w:val="fr-FR"/>
        </w:rPr>
        <w:t xml:space="preserve">Le </w:t>
      </w:r>
      <w:r w:rsidRPr="00A529A8">
        <w:rPr>
          <w:rFonts w:asciiTheme="minorHAnsi" w:hAnsiTheme="minorHAnsi" w:cstheme="minorHAnsi"/>
          <w:b w:val="0"/>
          <w:bCs w:val="0"/>
          <w:i/>
          <w:iCs/>
          <w:sz w:val="24"/>
          <w:szCs w:val="24"/>
          <w:lang w:val="fr-FR"/>
        </w:rPr>
        <w:t>Protocole du Minnesota</w:t>
      </w:r>
      <w:r w:rsidRPr="00A529A8">
        <w:rPr>
          <w:rFonts w:asciiTheme="minorHAnsi" w:hAnsiTheme="minorHAnsi" w:cstheme="minorHAnsi"/>
          <w:b w:val="0"/>
          <w:bCs w:val="0"/>
          <w:sz w:val="24"/>
          <w:szCs w:val="24"/>
          <w:lang w:val="fr-FR"/>
        </w:rPr>
        <w:t xml:space="preserve"> accorde une place importante aux familles des victimes et des disparu(e)s. Veuillez décrire les interactions entre les personnes chargées des enquêtes sur les décès et les familles concernées dans votre pays, avec des exemples des bonnes pratiques et des difficultés à surmonter.</w:t>
      </w:r>
    </w:p>
    <w:p w14:paraId="44584DA9" w14:textId="77777777" w:rsidR="008E43CB" w:rsidRPr="00A529A8" w:rsidRDefault="008E43CB" w:rsidP="00A529A8">
      <w:pPr>
        <w:pStyle w:val="ListParagraph"/>
        <w:jc w:val="both"/>
        <w:rPr>
          <w:rFonts w:cstheme="minorHAnsi"/>
          <w:b/>
          <w:bCs/>
          <w:sz w:val="24"/>
          <w:szCs w:val="24"/>
          <w:lang w:val="fr-FR"/>
        </w:rPr>
      </w:pPr>
    </w:p>
    <w:p w14:paraId="06F6C7B6" w14:textId="5B40C2E7" w:rsidR="008E43CB" w:rsidRPr="00A529A8" w:rsidRDefault="008E43CB" w:rsidP="00A529A8">
      <w:pPr>
        <w:pStyle w:val="Heading3"/>
        <w:numPr>
          <w:ilvl w:val="0"/>
          <w:numId w:val="1"/>
        </w:numPr>
        <w:shd w:val="clear" w:color="auto" w:fill="FFFFFF"/>
        <w:spacing w:before="0" w:beforeAutospacing="0" w:after="0" w:afterAutospacing="0"/>
        <w:jc w:val="both"/>
        <w:rPr>
          <w:rFonts w:asciiTheme="minorHAnsi" w:hAnsiTheme="minorHAnsi" w:cstheme="minorHAnsi"/>
          <w:b w:val="0"/>
          <w:bCs w:val="0"/>
          <w:sz w:val="24"/>
          <w:szCs w:val="24"/>
          <w:lang w:val="fr-FR"/>
        </w:rPr>
      </w:pPr>
      <w:r w:rsidRPr="00A529A8">
        <w:rPr>
          <w:rFonts w:asciiTheme="minorHAnsi" w:hAnsiTheme="minorHAnsi" w:cstheme="minorHAnsi"/>
          <w:b w:val="0"/>
          <w:bCs w:val="0"/>
          <w:sz w:val="24"/>
          <w:szCs w:val="24"/>
          <w:lang w:val="fr-FR"/>
        </w:rPr>
        <w:t>Y</w:t>
      </w:r>
      <w:r w:rsidR="00611FFD">
        <w:rPr>
          <w:rFonts w:asciiTheme="minorHAnsi" w:hAnsiTheme="minorHAnsi" w:cstheme="minorHAnsi"/>
          <w:b w:val="0"/>
          <w:bCs w:val="0"/>
          <w:sz w:val="24"/>
          <w:szCs w:val="24"/>
          <w:lang w:val="fr-FR"/>
        </w:rPr>
        <w:t xml:space="preserve"> </w:t>
      </w:r>
      <w:proofErr w:type="spellStart"/>
      <w:r w:rsidRPr="00A529A8">
        <w:rPr>
          <w:rFonts w:asciiTheme="minorHAnsi" w:hAnsiTheme="minorHAnsi" w:cstheme="minorHAnsi"/>
          <w:b w:val="0"/>
          <w:bCs w:val="0"/>
          <w:sz w:val="24"/>
          <w:szCs w:val="24"/>
          <w:lang w:val="fr-FR"/>
        </w:rPr>
        <w:t>a-t-il</w:t>
      </w:r>
      <w:proofErr w:type="spellEnd"/>
      <w:r w:rsidRPr="00A529A8">
        <w:rPr>
          <w:rFonts w:asciiTheme="minorHAnsi" w:hAnsiTheme="minorHAnsi" w:cstheme="minorHAnsi"/>
          <w:b w:val="0"/>
          <w:bCs w:val="0"/>
          <w:sz w:val="24"/>
          <w:szCs w:val="24"/>
          <w:lang w:val="fr-FR"/>
        </w:rPr>
        <w:t xml:space="preserve"> d’autres informations, quelles qu’elles soient, dont vous souhaiteriez nous faire part et que vous jugez pertinentes au présent appel à contributions ?</w:t>
      </w:r>
    </w:p>
    <w:p w14:paraId="0C5A6555" w14:textId="77777777" w:rsidR="00FB3D2C" w:rsidRPr="00A529A8" w:rsidRDefault="00FB3D2C" w:rsidP="00A529A8">
      <w:pPr>
        <w:pStyle w:val="ListParagraph"/>
        <w:jc w:val="both"/>
        <w:rPr>
          <w:rFonts w:cstheme="minorHAnsi"/>
          <w:b/>
          <w:bCs/>
          <w:sz w:val="24"/>
          <w:szCs w:val="24"/>
          <w:lang w:val="fr-FR"/>
        </w:rPr>
      </w:pPr>
    </w:p>
    <w:p w14:paraId="409631D0" w14:textId="10EF2114" w:rsidR="00FB3D2C" w:rsidRPr="00A529A8" w:rsidRDefault="008E43CB" w:rsidP="00A529A8">
      <w:pPr>
        <w:jc w:val="both"/>
        <w:rPr>
          <w:sz w:val="24"/>
          <w:szCs w:val="24"/>
          <w:lang w:val="fr-FR"/>
        </w:rPr>
      </w:pPr>
      <w:r w:rsidRPr="00A529A8">
        <w:rPr>
          <w:sz w:val="24"/>
          <w:szCs w:val="24"/>
          <w:lang w:val="fr-FR"/>
        </w:rPr>
        <w:t>Morris Tidball-Binz</w:t>
      </w:r>
    </w:p>
    <w:p w14:paraId="739092BE" w14:textId="1FAEB326" w:rsidR="00FB3D2C" w:rsidRPr="00A529A8" w:rsidRDefault="008E43CB" w:rsidP="00A529A8">
      <w:pPr>
        <w:jc w:val="both"/>
        <w:rPr>
          <w:sz w:val="24"/>
          <w:szCs w:val="24"/>
          <w:lang w:val="fr-FR"/>
        </w:rPr>
      </w:pPr>
      <w:r w:rsidRPr="00A529A8">
        <w:rPr>
          <w:sz w:val="24"/>
          <w:szCs w:val="24"/>
          <w:lang w:val="fr-FR"/>
        </w:rPr>
        <w:t>Rapporteur Spécial sur les Exécutions extrajudiciaires, sommaires ou arbitraires.</w:t>
      </w:r>
    </w:p>
    <w:sectPr w:rsidR="00FB3D2C" w:rsidRPr="00A529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A05D1" w14:textId="77777777" w:rsidR="00F9620A" w:rsidRDefault="00F9620A" w:rsidP="003024BA">
      <w:pPr>
        <w:spacing w:after="0" w:line="240" w:lineRule="auto"/>
      </w:pPr>
      <w:r>
        <w:separator/>
      </w:r>
    </w:p>
  </w:endnote>
  <w:endnote w:type="continuationSeparator" w:id="0">
    <w:p w14:paraId="149364E1" w14:textId="77777777" w:rsidR="00F9620A" w:rsidRDefault="00F9620A" w:rsidP="00302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B8BBD" w14:textId="77777777" w:rsidR="00F9620A" w:rsidRDefault="00F9620A" w:rsidP="003024BA">
      <w:pPr>
        <w:spacing w:after="0" w:line="240" w:lineRule="auto"/>
      </w:pPr>
      <w:r>
        <w:separator/>
      </w:r>
    </w:p>
  </w:footnote>
  <w:footnote w:type="continuationSeparator" w:id="0">
    <w:p w14:paraId="0C77417D" w14:textId="77777777" w:rsidR="00F9620A" w:rsidRDefault="00F9620A" w:rsidP="003024BA">
      <w:pPr>
        <w:spacing w:after="0" w:line="240" w:lineRule="auto"/>
      </w:pPr>
      <w:r>
        <w:continuationSeparator/>
      </w:r>
    </w:p>
  </w:footnote>
  <w:footnote w:id="1">
    <w:p w14:paraId="7CCC4765" w14:textId="0B1FC9F1" w:rsidR="003024BA" w:rsidRPr="003024BA" w:rsidRDefault="003024BA">
      <w:pPr>
        <w:pStyle w:val="FootnoteText"/>
        <w:rPr>
          <w:lang w:val="fr-FR"/>
        </w:rPr>
      </w:pPr>
      <w:r w:rsidRPr="003024BA">
        <w:rPr>
          <w:rStyle w:val="FootnoteReference"/>
        </w:rPr>
        <w:footnoteRef/>
      </w:r>
      <w:r w:rsidRPr="003024BA">
        <w:rPr>
          <w:lang w:val="fr-FR"/>
        </w:rPr>
        <w:t xml:space="preserve"> La version révisée du </w:t>
      </w:r>
      <w:r w:rsidRPr="003024BA">
        <w:rPr>
          <w:i/>
          <w:iCs/>
          <w:lang w:val="fr-FR"/>
        </w:rPr>
        <w:t xml:space="preserve">Manuel des Nations Unies sur la prévention des exécutions extrajudiciaires, arbitraires et sommaires et les moyens d’enquête sur ces exécutions (Protocole du Minnesota relatif aux enquêtes sur les décès résultant potentiellement d’actes illégaux (2016)) </w:t>
      </w:r>
      <w:r w:rsidRPr="003024BA">
        <w:rPr>
          <w:lang w:val="fr-FR"/>
        </w:rPr>
        <w:t xml:space="preserve">est accessible gratuitement dans toutes les langues des Nations Unies ici : </w:t>
      </w:r>
      <w:hyperlink r:id="rId1" w:history="1">
        <w:r w:rsidRPr="003024BA">
          <w:rPr>
            <w:rStyle w:val="Hyperlink"/>
            <w:lang w:val="fr-FR"/>
          </w:rPr>
          <w:t>HCDH | Protocole du Minnesota : révision du Manuel sur la prévention des exécutions extrajudiciaires (ohchr.org)</w:t>
        </w:r>
      </w:hyperlink>
    </w:p>
  </w:footnote>
  <w:footnote w:id="2">
    <w:p w14:paraId="290C441E" w14:textId="6E3AD3EC" w:rsidR="00873109" w:rsidRPr="00873109" w:rsidRDefault="00873109">
      <w:pPr>
        <w:pStyle w:val="FootnoteText"/>
        <w:rPr>
          <w:lang w:val="fr-FR"/>
        </w:rPr>
      </w:pPr>
      <w:r>
        <w:rPr>
          <w:rStyle w:val="FootnoteReference"/>
        </w:rPr>
        <w:footnoteRef/>
      </w:r>
      <w:r w:rsidRPr="00873109">
        <w:rPr>
          <w:lang w:val="fr-FR"/>
        </w:rPr>
        <w:t xml:space="preserve"> Voir le Comité des droits </w:t>
      </w:r>
      <w:r>
        <w:rPr>
          <w:lang w:val="fr-FR"/>
        </w:rPr>
        <w:t>de l’Homme</w:t>
      </w:r>
      <w:r w:rsidR="000A0CC3">
        <w:rPr>
          <w:lang w:val="fr-FR"/>
        </w:rPr>
        <w:t> :</w:t>
      </w:r>
      <w:hyperlink r:id="rId2" w:history="1">
        <w:r w:rsidR="000A0CC3" w:rsidRPr="006D744D">
          <w:rPr>
            <w:rStyle w:val="Hyperlink"/>
            <w:lang w:val="fr-FR"/>
          </w:rPr>
          <w:t xml:space="preserve"> CCPR/C/GC/R.36/Rev.7 (ohchr.org)</w:t>
        </w:r>
      </w:hyperlink>
    </w:p>
  </w:footnote>
  <w:footnote w:id="3">
    <w:p w14:paraId="0576942A" w14:textId="471C4B0D" w:rsidR="00C00F65" w:rsidRPr="00DF54D8" w:rsidRDefault="00C00F65">
      <w:pPr>
        <w:pStyle w:val="FootnoteText"/>
        <w:rPr>
          <w:lang w:val="fr-FR"/>
        </w:rPr>
      </w:pPr>
      <w:r>
        <w:rPr>
          <w:rStyle w:val="FootnoteReference"/>
        </w:rPr>
        <w:footnoteRef/>
      </w:r>
      <w:r w:rsidRPr="00DF54D8">
        <w:rPr>
          <w:lang w:val="fr-FR"/>
        </w:rPr>
        <w:t xml:space="preserve"> </w:t>
      </w:r>
      <w:r w:rsidR="00DF54D8" w:rsidRPr="00DF54D8">
        <w:rPr>
          <w:lang w:val="fr-FR"/>
        </w:rPr>
        <w:t xml:space="preserve">Résolution </w:t>
      </w:r>
      <w:r w:rsidR="00DF54D8">
        <w:rPr>
          <w:lang w:val="fr-FR"/>
        </w:rPr>
        <w:t xml:space="preserve">1989/65 </w:t>
      </w:r>
      <w:r w:rsidR="00DF54D8" w:rsidRPr="00DF54D8">
        <w:rPr>
          <w:lang w:val="fr-FR"/>
        </w:rPr>
        <w:t>du Conseil Economique et S</w:t>
      </w:r>
      <w:r w:rsidR="00DF54D8">
        <w:rPr>
          <w:lang w:val="fr-FR"/>
        </w:rPr>
        <w:t xml:space="preserve">ocial, 24 mai 1989 : </w:t>
      </w:r>
      <w:r w:rsidR="006D744D">
        <w:fldChar w:fldCharType="begin"/>
      </w:r>
      <w:r w:rsidR="006D744D" w:rsidRPr="006D744D">
        <w:rPr>
          <w:lang w:val="fr-FR"/>
        </w:rPr>
        <w:instrText xml:space="preserve"> HYPERLINK "https://www.ohchr.org/FR/ProfessionalInterest/Pages/ArbitraryAndSummaryExecutions.aspx" </w:instrText>
      </w:r>
      <w:r w:rsidR="006D744D">
        <w:fldChar w:fldCharType="separate"/>
      </w:r>
      <w:r w:rsidR="006D744D" w:rsidRPr="006D744D">
        <w:rPr>
          <w:rStyle w:val="Hyperlink"/>
          <w:lang w:val="fr-FR"/>
        </w:rPr>
        <w:t>HCDH | Principes relatifs à la prévention efficace des exécutions extrajudiciaires, arbitraires et sommaires (ohchr.org)</w:t>
      </w:r>
      <w:r w:rsidR="006D744D">
        <w:fldChar w:fldCharType="end"/>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A4634"/>
    <w:multiLevelType w:val="hybridMultilevel"/>
    <w:tmpl w:val="828A7D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BBC04FA"/>
    <w:multiLevelType w:val="hybridMultilevel"/>
    <w:tmpl w:val="F45C0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E67"/>
    <w:rsid w:val="000156F2"/>
    <w:rsid w:val="00025358"/>
    <w:rsid w:val="000A0CC3"/>
    <w:rsid w:val="000B6761"/>
    <w:rsid w:val="001818F4"/>
    <w:rsid w:val="001F26C4"/>
    <w:rsid w:val="002420F1"/>
    <w:rsid w:val="00295168"/>
    <w:rsid w:val="003024BA"/>
    <w:rsid w:val="003E68BF"/>
    <w:rsid w:val="00420547"/>
    <w:rsid w:val="004647B6"/>
    <w:rsid w:val="005033DA"/>
    <w:rsid w:val="00577B0C"/>
    <w:rsid w:val="005A483D"/>
    <w:rsid w:val="005E7781"/>
    <w:rsid w:val="00611FFD"/>
    <w:rsid w:val="00646390"/>
    <w:rsid w:val="006D744D"/>
    <w:rsid w:val="00711409"/>
    <w:rsid w:val="00713661"/>
    <w:rsid w:val="00742C14"/>
    <w:rsid w:val="00765449"/>
    <w:rsid w:val="00767E67"/>
    <w:rsid w:val="007913C2"/>
    <w:rsid w:val="007A20F6"/>
    <w:rsid w:val="007D75E3"/>
    <w:rsid w:val="00873109"/>
    <w:rsid w:val="00884C7A"/>
    <w:rsid w:val="008920BE"/>
    <w:rsid w:val="008A7B59"/>
    <w:rsid w:val="008B0F52"/>
    <w:rsid w:val="008E43CB"/>
    <w:rsid w:val="00933CAD"/>
    <w:rsid w:val="009924D4"/>
    <w:rsid w:val="009D02F7"/>
    <w:rsid w:val="009D2474"/>
    <w:rsid w:val="009F1035"/>
    <w:rsid w:val="00A31B1E"/>
    <w:rsid w:val="00A32080"/>
    <w:rsid w:val="00A529A8"/>
    <w:rsid w:val="00B33EAE"/>
    <w:rsid w:val="00B46FCC"/>
    <w:rsid w:val="00BB7B23"/>
    <w:rsid w:val="00BC5695"/>
    <w:rsid w:val="00C00F65"/>
    <w:rsid w:val="00C2064A"/>
    <w:rsid w:val="00D35E6D"/>
    <w:rsid w:val="00D725C4"/>
    <w:rsid w:val="00D76500"/>
    <w:rsid w:val="00D84C6C"/>
    <w:rsid w:val="00DB1A88"/>
    <w:rsid w:val="00DD2904"/>
    <w:rsid w:val="00DF54D8"/>
    <w:rsid w:val="00E0045A"/>
    <w:rsid w:val="00EB0908"/>
    <w:rsid w:val="00F504CB"/>
    <w:rsid w:val="00F71C7F"/>
    <w:rsid w:val="00F9620A"/>
    <w:rsid w:val="00FA464F"/>
    <w:rsid w:val="00FA4925"/>
    <w:rsid w:val="00FA5CEF"/>
    <w:rsid w:val="00FB3D2C"/>
    <w:rsid w:val="00FD4B2A"/>
    <w:rsid w:val="00FE4A84"/>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AEF6F"/>
  <w15:chartTrackingRefBased/>
  <w15:docId w15:val="{D84E1CBF-4FDA-48D8-BBF4-9C166D6A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46FC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6FCC"/>
    <w:rPr>
      <w:rFonts w:ascii="Times New Roman" w:eastAsia="Times New Roman" w:hAnsi="Times New Roman" w:cs="Times New Roman"/>
      <w:b/>
      <w:bCs/>
      <w:sz w:val="27"/>
      <w:szCs w:val="27"/>
      <w:lang w:eastAsia="en-GB"/>
    </w:rPr>
  </w:style>
  <w:style w:type="table" w:styleId="TableGrid">
    <w:name w:val="Table Grid"/>
    <w:basedOn w:val="TableNormal"/>
    <w:uiPriority w:val="39"/>
    <w:rsid w:val="00B46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024BA"/>
    <w:pPr>
      <w:spacing w:after="0" w:line="240" w:lineRule="auto"/>
    </w:pPr>
    <w:rPr>
      <w:sz w:val="20"/>
      <w:szCs w:val="20"/>
    </w:rPr>
  </w:style>
  <w:style w:type="character" w:customStyle="1" w:styleId="FootnoteTextChar">
    <w:name w:val="Footnote Text Char"/>
    <w:basedOn w:val="DefaultParagraphFont"/>
    <w:link w:val="FootnoteText"/>
    <w:uiPriority w:val="99"/>
    <w:rsid w:val="003024BA"/>
    <w:rPr>
      <w:sz w:val="20"/>
      <w:szCs w:val="20"/>
    </w:rPr>
  </w:style>
  <w:style w:type="character" w:styleId="FootnoteReference">
    <w:name w:val="footnote reference"/>
    <w:basedOn w:val="DefaultParagraphFont"/>
    <w:uiPriority w:val="99"/>
    <w:unhideWhenUsed/>
    <w:rsid w:val="003024BA"/>
    <w:rPr>
      <w:vertAlign w:val="superscript"/>
    </w:rPr>
  </w:style>
  <w:style w:type="character" w:styleId="Hyperlink">
    <w:name w:val="Hyperlink"/>
    <w:basedOn w:val="DefaultParagraphFont"/>
    <w:uiPriority w:val="99"/>
    <w:unhideWhenUsed/>
    <w:rsid w:val="003024BA"/>
    <w:rPr>
      <w:color w:val="0000FF"/>
      <w:u w:val="single"/>
    </w:rPr>
  </w:style>
  <w:style w:type="paragraph" w:styleId="ListParagraph">
    <w:name w:val="List Paragraph"/>
    <w:basedOn w:val="Normal"/>
    <w:uiPriority w:val="34"/>
    <w:qFormat/>
    <w:rsid w:val="001818F4"/>
    <w:pPr>
      <w:ind w:left="720"/>
      <w:contextualSpacing/>
    </w:pPr>
  </w:style>
  <w:style w:type="character" w:styleId="FollowedHyperlink">
    <w:name w:val="FollowedHyperlink"/>
    <w:basedOn w:val="DefaultParagraphFont"/>
    <w:uiPriority w:val="99"/>
    <w:semiHidden/>
    <w:unhideWhenUsed/>
    <w:rsid w:val="003E68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31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CHR-eje@ohchr.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undocs.org/fr/CCPR/C/GC/36" TargetMode="External"/><Relationship Id="rId1" Type="http://schemas.openxmlformats.org/officeDocument/2006/relationships/hyperlink" Target="https://www.ohchr.org/fr/issues/executions/pages/revisionoftheunmanualpreventionextralegalarbitra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96E2E-CF48-4FF0-AE4B-392C1DF71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Loréna Leboeuf</dc:creator>
  <cp:keywords/>
  <dc:description/>
  <cp:lastModifiedBy>Rhiannon PAINTER</cp:lastModifiedBy>
  <cp:revision>3</cp:revision>
  <dcterms:created xsi:type="dcterms:W3CDTF">2021-12-14T08:51:00Z</dcterms:created>
  <dcterms:modified xsi:type="dcterms:W3CDTF">2022-01-07T09:06:00Z</dcterms:modified>
</cp:coreProperties>
</file>