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1173" w14:textId="77777777" w:rsidR="001D2A0A" w:rsidRPr="006920E0" w:rsidRDefault="001D2A0A" w:rsidP="00386391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3DD87DE" w14:textId="0B53784A" w:rsidR="00386391" w:rsidRPr="006920E0" w:rsidRDefault="00386391" w:rsidP="00386391">
      <w:pPr>
        <w:jc w:val="center"/>
        <w:rPr>
          <w:rFonts w:asciiTheme="majorHAnsi" w:hAnsiTheme="majorHAnsi" w:cstheme="majorHAnsi"/>
          <w:b/>
        </w:rPr>
      </w:pPr>
      <w:r w:rsidRPr="006920E0">
        <w:rPr>
          <w:rFonts w:asciiTheme="majorHAnsi" w:hAnsiTheme="majorHAnsi" w:cstheme="majorHAnsi"/>
          <w:b/>
        </w:rPr>
        <w:t>Contribución sobre las buenas prácticas y desafíos que enfrentan los Estados en el uso de las Directrices sobre la puesta en práctica efectiva del derecho a participar en la Vida Pública.</w:t>
      </w:r>
    </w:p>
    <w:p w14:paraId="4F3D80C1" w14:textId="5EC36A78" w:rsidR="00386391" w:rsidRPr="006920E0" w:rsidRDefault="00386391" w:rsidP="00386391">
      <w:pPr>
        <w:jc w:val="both"/>
        <w:rPr>
          <w:rFonts w:asciiTheme="majorHAnsi" w:hAnsiTheme="majorHAnsi" w:cstheme="majorHAnsi"/>
          <w:b/>
        </w:rPr>
      </w:pPr>
      <w:r w:rsidRPr="006920E0">
        <w:rPr>
          <w:rFonts w:asciiTheme="majorHAnsi" w:hAnsiTheme="majorHAnsi" w:cstheme="majorHAnsi"/>
          <w:b/>
        </w:rPr>
        <w:t>Información del Estado y/o la organización</w:t>
      </w:r>
    </w:p>
    <w:p w14:paraId="05813E9D" w14:textId="77777777" w:rsidR="00386391" w:rsidRPr="006920E0" w:rsidRDefault="00386391" w:rsidP="00386391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/>
        </w:rPr>
        <w:t>Nombre de la institución</w:t>
      </w:r>
      <w:r w:rsidRPr="006920E0">
        <w:rPr>
          <w:rFonts w:asciiTheme="majorHAnsi" w:hAnsiTheme="majorHAnsi" w:cstheme="majorHAnsi"/>
        </w:rPr>
        <w:t>: Comisión de Derechos Humanos de la Ciudad de México (CDHCM)</w:t>
      </w:r>
    </w:p>
    <w:p w14:paraId="4A4BBFFC" w14:textId="77777777" w:rsidR="00386391" w:rsidRPr="006920E0" w:rsidRDefault="00386391" w:rsidP="00386391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/>
        </w:rPr>
        <w:t>País</w:t>
      </w:r>
      <w:r w:rsidRPr="006920E0">
        <w:rPr>
          <w:rFonts w:asciiTheme="majorHAnsi" w:hAnsiTheme="majorHAnsi" w:cstheme="majorHAnsi"/>
        </w:rPr>
        <w:t>: México</w:t>
      </w:r>
    </w:p>
    <w:p w14:paraId="5711142A" w14:textId="77777777" w:rsidR="00386391" w:rsidRPr="006920E0" w:rsidRDefault="00386391" w:rsidP="00386391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/>
        </w:rPr>
        <w:t>Información de contacto</w:t>
      </w:r>
      <w:r w:rsidRPr="006920E0">
        <w:rPr>
          <w:rFonts w:asciiTheme="majorHAnsi" w:hAnsiTheme="majorHAnsi" w:cstheme="majorHAnsi"/>
        </w:rPr>
        <w:t>: secretaria.ejecutiva@cdhcm.org.mx</w:t>
      </w:r>
    </w:p>
    <w:p w14:paraId="187A5B83" w14:textId="32571170" w:rsidR="00526984" w:rsidRPr="006920E0" w:rsidRDefault="00386391" w:rsidP="00386391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/>
        </w:rPr>
        <w:t>Fecha</w:t>
      </w:r>
      <w:r w:rsidRPr="006920E0">
        <w:rPr>
          <w:rFonts w:asciiTheme="majorHAnsi" w:hAnsiTheme="majorHAnsi" w:cstheme="majorHAnsi"/>
        </w:rPr>
        <w:t>: 2</w:t>
      </w:r>
      <w:r w:rsidR="00FB3140" w:rsidRPr="006920E0">
        <w:rPr>
          <w:rFonts w:asciiTheme="majorHAnsi" w:hAnsiTheme="majorHAnsi" w:cstheme="majorHAnsi"/>
        </w:rPr>
        <w:t xml:space="preserve">4 </w:t>
      </w:r>
      <w:r w:rsidRPr="006920E0">
        <w:rPr>
          <w:rFonts w:asciiTheme="majorHAnsi" w:hAnsiTheme="majorHAnsi" w:cstheme="majorHAnsi"/>
        </w:rPr>
        <w:t>de septiembre de 2021.</w:t>
      </w:r>
    </w:p>
    <w:p w14:paraId="1A8B871B" w14:textId="723F2772" w:rsidR="00A142FF" w:rsidRPr="006920E0" w:rsidRDefault="00D237E9" w:rsidP="00D237E9">
      <w:pPr>
        <w:rPr>
          <w:rFonts w:asciiTheme="majorHAnsi" w:hAnsiTheme="majorHAnsi" w:cstheme="majorHAnsi"/>
          <w:b/>
        </w:rPr>
      </w:pPr>
      <w:r w:rsidRPr="006920E0">
        <w:rPr>
          <w:rFonts w:asciiTheme="majorHAnsi" w:hAnsiTheme="majorHAnsi" w:cstheme="majorHAnsi"/>
          <w:b/>
        </w:rPr>
        <w:tab/>
      </w:r>
      <w:r w:rsidRPr="006920E0">
        <w:rPr>
          <w:rFonts w:asciiTheme="majorHAnsi" w:hAnsiTheme="majorHAnsi" w:cstheme="majorHAnsi"/>
          <w:b/>
        </w:rPr>
        <w:tab/>
      </w:r>
      <w:r w:rsidR="00526984" w:rsidRPr="006920E0">
        <w:rPr>
          <w:rFonts w:asciiTheme="majorHAnsi" w:hAnsiTheme="majorHAnsi" w:cstheme="majorHAnsi"/>
          <w:b/>
        </w:rPr>
        <w:t>1.</w:t>
      </w:r>
      <w:r w:rsidR="00526984" w:rsidRPr="006920E0">
        <w:rPr>
          <w:rFonts w:asciiTheme="majorHAnsi" w:hAnsiTheme="majorHAnsi" w:cstheme="majorHAnsi"/>
          <w:b/>
          <w:u w:val="single"/>
        </w:rPr>
        <w:t xml:space="preserve"> Participación</w:t>
      </w:r>
      <w:r w:rsidR="00CC64D4" w:rsidRPr="006920E0">
        <w:rPr>
          <w:rFonts w:asciiTheme="majorHAnsi" w:hAnsiTheme="majorHAnsi" w:cstheme="majorHAnsi"/>
          <w:b/>
          <w:u w:val="single"/>
        </w:rPr>
        <w:t xml:space="preserve"> en contextos electorales</w:t>
      </w:r>
      <w:r w:rsidR="007A6EDA" w:rsidRPr="006920E0">
        <w:rPr>
          <w:rFonts w:asciiTheme="majorHAnsi" w:hAnsiTheme="majorHAnsi" w:cstheme="majorHAnsi"/>
          <w:b/>
          <w:u w:val="single"/>
        </w:rPr>
        <w:t xml:space="preserve"> </w:t>
      </w:r>
    </w:p>
    <w:p w14:paraId="1CD8E0B3" w14:textId="3ABD94C5" w:rsidR="00526984" w:rsidRPr="006920E0" w:rsidRDefault="007A6EDA" w:rsidP="00C123DC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/>
          <w:lang w:val="es-ES_tradnl"/>
        </w:rPr>
        <w:t>M</w:t>
      </w:r>
      <w:r w:rsidR="00526984" w:rsidRPr="006920E0">
        <w:rPr>
          <w:rFonts w:asciiTheme="majorHAnsi" w:hAnsiTheme="majorHAnsi" w:cstheme="majorHAnsi"/>
          <w:b/>
          <w:lang w:val="es-ES_tradnl"/>
        </w:rPr>
        <w:t>ujeres</w:t>
      </w:r>
    </w:p>
    <w:p w14:paraId="4E8DA6D9" w14:textId="1534C962" w:rsidR="00340D8C" w:rsidRPr="006920E0" w:rsidRDefault="00340D8C" w:rsidP="00C123DC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 xml:space="preserve">México ha transitado de un sistema de cuotas de género al principio constitucional de la paridad. </w:t>
      </w:r>
      <w:r w:rsidR="0045249E" w:rsidRPr="006920E0">
        <w:rPr>
          <w:rFonts w:asciiTheme="majorHAnsi" w:hAnsiTheme="majorHAnsi" w:cstheme="majorHAnsi"/>
          <w:lang w:val="es-ES_tradnl"/>
        </w:rPr>
        <w:t>Con</w:t>
      </w:r>
      <w:r w:rsidRPr="006920E0">
        <w:rPr>
          <w:rFonts w:asciiTheme="majorHAnsi" w:hAnsiTheme="majorHAnsi" w:cstheme="majorHAnsi"/>
          <w:lang w:val="es-ES_tradnl"/>
        </w:rPr>
        <w:t xml:space="preserve"> la abrogación del Código Federal de Instituciones y Procedimientos Electorales y a la par, la expedición de la </w:t>
      </w:r>
      <w:hyperlink r:id="rId11" w:history="1">
        <w:r w:rsidRPr="006920E0">
          <w:rPr>
            <w:rStyle w:val="Hyperlink"/>
            <w:rFonts w:asciiTheme="majorHAnsi" w:hAnsiTheme="majorHAnsi" w:cstheme="majorHAnsi"/>
            <w:lang w:val="es-ES_tradnl"/>
          </w:rPr>
          <w:t>Ley General de Instituciones y Procedimientos Electorales</w:t>
        </w:r>
      </w:hyperlink>
      <w:r w:rsidRPr="006920E0">
        <w:rPr>
          <w:rFonts w:asciiTheme="majorHAnsi" w:hAnsiTheme="majorHAnsi" w:cstheme="majorHAnsi"/>
          <w:lang w:val="es-ES_tradnl"/>
        </w:rPr>
        <w:t xml:space="preserve"> en el año 2014</w:t>
      </w:r>
      <w:r w:rsidR="0045249E" w:rsidRPr="006920E0">
        <w:rPr>
          <w:rFonts w:asciiTheme="majorHAnsi" w:hAnsiTheme="majorHAnsi" w:cstheme="majorHAnsi"/>
          <w:lang w:val="es-ES_tradnl"/>
        </w:rPr>
        <w:t xml:space="preserve"> surgió un cambio </w:t>
      </w:r>
      <w:r w:rsidRPr="006920E0">
        <w:rPr>
          <w:rFonts w:asciiTheme="majorHAnsi" w:hAnsiTheme="majorHAnsi" w:cstheme="majorHAnsi"/>
          <w:lang w:val="es-ES_tradnl"/>
        </w:rPr>
        <w:t xml:space="preserve">sustancial (aún vigente) </w:t>
      </w:r>
      <w:r w:rsidR="0045249E" w:rsidRPr="006920E0">
        <w:rPr>
          <w:rFonts w:asciiTheme="majorHAnsi" w:hAnsiTheme="majorHAnsi" w:cstheme="majorHAnsi"/>
          <w:lang w:val="es-ES_tradnl"/>
        </w:rPr>
        <w:t>que gener</w:t>
      </w:r>
      <w:r w:rsidR="00D237E9" w:rsidRPr="006920E0">
        <w:rPr>
          <w:rFonts w:asciiTheme="majorHAnsi" w:hAnsiTheme="majorHAnsi" w:cstheme="majorHAnsi"/>
          <w:lang w:val="es-ES_tradnl"/>
        </w:rPr>
        <w:t>ó</w:t>
      </w:r>
      <w:r w:rsidR="0045249E" w:rsidRPr="006920E0">
        <w:rPr>
          <w:rFonts w:asciiTheme="majorHAnsi" w:hAnsiTheme="majorHAnsi" w:cstheme="majorHAnsi"/>
          <w:lang w:val="es-ES_tradnl"/>
        </w:rPr>
        <w:t xml:space="preserve"> </w:t>
      </w:r>
      <w:r w:rsidRPr="006920E0">
        <w:rPr>
          <w:rFonts w:asciiTheme="majorHAnsi" w:hAnsiTheme="majorHAnsi" w:cstheme="majorHAnsi"/>
          <w:lang w:val="es-ES_tradnl"/>
        </w:rPr>
        <w:t>la obligación de los partidos políticos</w:t>
      </w:r>
      <w:r w:rsidR="003A7A4E" w:rsidRPr="006920E0">
        <w:rPr>
          <w:rFonts w:asciiTheme="majorHAnsi" w:hAnsiTheme="majorHAnsi" w:cstheme="majorHAnsi"/>
          <w:lang w:val="es-ES_tradnl"/>
        </w:rPr>
        <w:t xml:space="preserve"> </w:t>
      </w:r>
      <w:r w:rsidRPr="006920E0">
        <w:rPr>
          <w:rFonts w:asciiTheme="majorHAnsi" w:hAnsiTheme="majorHAnsi" w:cstheme="majorHAnsi"/>
          <w:lang w:val="es-ES_tradnl"/>
        </w:rPr>
        <w:t>del cumplimiento de la paridad de género en:</w:t>
      </w:r>
    </w:p>
    <w:p w14:paraId="3DEB9550" w14:textId="700F89EA" w:rsidR="00C66216" w:rsidRPr="006920E0" w:rsidRDefault="00340D8C" w:rsidP="00C91E0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 xml:space="preserve"> Las candidaturas a diputaciones federales</w:t>
      </w:r>
      <w:r w:rsidR="003A7A4E" w:rsidRPr="006920E0">
        <w:rPr>
          <w:rFonts w:asciiTheme="majorHAnsi" w:hAnsiTheme="majorHAnsi" w:cstheme="majorHAnsi"/>
          <w:lang w:val="es-ES_tradnl"/>
        </w:rPr>
        <w:t xml:space="preserve"> (Congreso de la Unión: (mayoría relativa o representación proporcional) </w:t>
      </w:r>
      <w:r w:rsidRPr="006920E0">
        <w:rPr>
          <w:rFonts w:asciiTheme="majorHAnsi" w:hAnsiTheme="majorHAnsi" w:cstheme="majorHAnsi"/>
          <w:lang w:val="es-ES_tradnl"/>
        </w:rPr>
        <w:t>y locales</w:t>
      </w:r>
      <w:r w:rsidR="003A7A4E" w:rsidRPr="006920E0">
        <w:rPr>
          <w:rFonts w:asciiTheme="majorHAnsi" w:hAnsiTheme="majorHAnsi" w:cstheme="majorHAnsi"/>
          <w:lang w:val="es-ES_tradnl"/>
        </w:rPr>
        <w:t xml:space="preserve"> (Congresos de las Entidades Federativas) </w:t>
      </w:r>
    </w:p>
    <w:p w14:paraId="112BA144" w14:textId="0F515DF0" w:rsidR="008973C0" w:rsidRPr="006920E0" w:rsidRDefault="008973C0" w:rsidP="008973C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Vertical, horizontal y transversal</w:t>
      </w:r>
    </w:p>
    <w:p w14:paraId="3FD6E6BB" w14:textId="4EB595A1" w:rsidR="00C91E09" w:rsidRPr="006920E0" w:rsidRDefault="00340D8C" w:rsidP="00C91E0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Fórmulas integradas por personas del mismo género (</w:t>
      </w:r>
      <w:r w:rsidR="00C91E09" w:rsidRPr="006920E0">
        <w:rPr>
          <w:rFonts w:asciiTheme="majorHAnsi" w:hAnsiTheme="majorHAnsi" w:cstheme="majorHAnsi"/>
          <w:lang w:val="es-ES_tradnl"/>
        </w:rPr>
        <w:t>propietaria</w:t>
      </w:r>
      <w:r w:rsidRPr="006920E0">
        <w:rPr>
          <w:rFonts w:asciiTheme="majorHAnsi" w:hAnsiTheme="majorHAnsi" w:cstheme="majorHAnsi"/>
          <w:lang w:val="es-ES_tradnl"/>
        </w:rPr>
        <w:t xml:space="preserve"> y suplente)</w:t>
      </w:r>
    </w:p>
    <w:p w14:paraId="06892559" w14:textId="47C0E332" w:rsidR="001D2A0A" w:rsidRPr="006920E0" w:rsidRDefault="00B225ED" w:rsidP="00432847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E</w:t>
      </w:r>
      <w:r w:rsidR="00065D82" w:rsidRPr="006920E0">
        <w:rPr>
          <w:rFonts w:asciiTheme="majorHAnsi" w:hAnsiTheme="majorHAnsi" w:cstheme="majorHAnsi"/>
          <w:lang w:val="es-ES_tradnl"/>
        </w:rPr>
        <w:t>n 2019</w:t>
      </w:r>
      <w:r w:rsidR="00432847" w:rsidRPr="006920E0">
        <w:rPr>
          <w:rFonts w:asciiTheme="majorHAnsi" w:hAnsiTheme="majorHAnsi" w:cstheme="majorHAnsi"/>
          <w:lang w:val="es-ES_tradnl"/>
        </w:rPr>
        <w:t xml:space="preserve"> la reforma constitucional a nivel federal recog</w:t>
      </w:r>
      <w:r w:rsidR="00065D82" w:rsidRPr="006920E0">
        <w:rPr>
          <w:rFonts w:asciiTheme="majorHAnsi" w:hAnsiTheme="majorHAnsi" w:cstheme="majorHAnsi"/>
          <w:lang w:val="es-ES_tradnl"/>
        </w:rPr>
        <w:t>ió</w:t>
      </w:r>
      <w:r w:rsidR="00432847" w:rsidRPr="006920E0">
        <w:rPr>
          <w:rFonts w:asciiTheme="majorHAnsi" w:hAnsiTheme="majorHAnsi" w:cstheme="majorHAnsi"/>
          <w:lang w:val="es-ES_tradnl"/>
        </w:rPr>
        <w:t xml:space="preserve"> el principio de paridad en la integración de los poderes </w:t>
      </w:r>
      <w:hyperlink r:id="rId12" w:history="1">
        <w:r w:rsidR="00432847" w:rsidRPr="006920E0">
          <w:rPr>
            <w:rStyle w:val="Hyperlink"/>
            <w:rFonts w:asciiTheme="majorHAnsi" w:hAnsiTheme="majorHAnsi" w:cstheme="majorHAnsi"/>
            <w:i/>
            <w:iCs/>
            <w:lang w:val="es-ES_tradnl"/>
          </w:rPr>
          <w:t>Legislativo, Judicial y</w:t>
        </w:r>
        <w:r w:rsidR="00065D82" w:rsidRPr="006920E0">
          <w:rPr>
            <w:rStyle w:val="Hyperlink"/>
            <w:rFonts w:asciiTheme="majorHAnsi" w:hAnsiTheme="majorHAnsi" w:cstheme="majorHAnsi"/>
            <w:i/>
            <w:iCs/>
            <w:lang w:val="es-ES_tradnl"/>
          </w:rPr>
          <w:t xml:space="preserve"> Ejecuti</w:t>
        </w:r>
        <w:r w:rsidR="00795811" w:rsidRPr="006920E0">
          <w:rPr>
            <w:rStyle w:val="Hyperlink"/>
            <w:rFonts w:asciiTheme="majorHAnsi" w:hAnsiTheme="majorHAnsi" w:cstheme="majorHAnsi"/>
            <w:i/>
            <w:iCs/>
            <w:lang w:val="es-ES_tradnl"/>
          </w:rPr>
          <w:t>vo</w:t>
        </w:r>
      </w:hyperlink>
      <w:r w:rsidR="00065D82" w:rsidRPr="006920E0">
        <w:rPr>
          <w:rFonts w:asciiTheme="majorHAnsi" w:hAnsiTheme="majorHAnsi" w:cstheme="majorHAnsi"/>
          <w:lang w:val="es-ES_tradnl"/>
        </w:rPr>
        <w:t>, lo que ha</w:t>
      </w:r>
      <w:r w:rsidR="00432847" w:rsidRPr="006920E0">
        <w:rPr>
          <w:rFonts w:asciiTheme="majorHAnsi" w:hAnsiTheme="majorHAnsi" w:cstheme="majorHAnsi"/>
          <w:lang w:val="es-ES_tradnl"/>
        </w:rPr>
        <w:t xml:space="preserve"> permitido </w:t>
      </w:r>
      <w:r w:rsidR="00C91E09" w:rsidRPr="006920E0">
        <w:rPr>
          <w:rFonts w:asciiTheme="majorHAnsi" w:hAnsiTheme="majorHAnsi" w:cstheme="majorHAnsi"/>
          <w:lang w:val="es-ES_tradnl"/>
        </w:rPr>
        <w:t>garantiza</w:t>
      </w:r>
      <w:r w:rsidR="00432847" w:rsidRPr="006920E0">
        <w:rPr>
          <w:rFonts w:asciiTheme="majorHAnsi" w:hAnsiTheme="majorHAnsi" w:cstheme="majorHAnsi"/>
          <w:lang w:val="es-ES_tradnl"/>
        </w:rPr>
        <w:t>r</w:t>
      </w:r>
      <w:r w:rsidR="00C91E09" w:rsidRPr="006920E0">
        <w:rPr>
          <w:rFonts w:asciiTheme="majorHAnsi" w:hAnsiTheme="majorHAnsi" w:cstheme="majorHAnsi"/>
          <w:lang w:val="es-ES_tradnl"/>
        </w:rPr>
        <w:t xml:space="preserve"> la asignación del 50% a mujeres y 50% a hombres en candidaturas a cargos de elección popular y en nombramientos de cargos por designación</w:t>
      </w:r>
      <w:r w:rsidR="00065D82" w:rsidRPr="006920E0">
        <w:rPr>
          <w:rFonts w:asciiTheme="majorHAnsi" w:hAnsiTheme="majorHAnsi" w:cstheme="majorHAnsi"/>
          <w:lang w:val="es-ES_tradnl"/>
        </w:rPr>
        <w:t xml:space="preserve">. </w:t>
      </w:r>
    </w:p>
    <w:p w14:paraId="50F84025" w14:textId="43FD3F57" w:rsidR="00432847" w:rsidRPr="006920E0" w:rsidRDefault="00065D82" w:rsidP="00432847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L</w:t>
      </w:r>
      <w:r w:rsidR="00432847" w:rsidRPr="006920E0">
        <w:rPr>
          <w:rFonts w:asciiTheme="majorHAnsi" w:hAnsiTheme="majorHAnsi" w:cstheme="majorHAnsi"/>
          <w:lang w:val="es-ES_tradnl"/>
        </w:rPr>
        <w:t xml:space="preserve">a Constitución Política de la Ciudad de México, </w:t>
      </w:r>
      <w:r w:rsidRPr="006920E0">
        <w:rPr>
          <w:rFonts w:asciiTheme="majorHAnsi" w:hAnsiTheme="majorHAnsi" w:cstheme="majorHAnsi"/>
          <w:lang w:val="es-ES_tradnl"/>
        </w:rPr>
        <w:t xml:space="preserve">reconoce </w:t>
      </w:r>
      <w:r w:rsidR="00F57AB5" w:rsidRPr="006920E0">
        <w:rPr>
          <w:rFonts w:asciiTheme="majorHAnsi" w:hAnsiTheme="majorHAnsi" w:cstheme="majorHAnsi"/>
          <w:lang w:val="es-ES_tradnl"/>
        </w:rPr>
        <w:t xml:space="preserve">el derecho a un gobierno democrático y a la </w:t>
      </w:r>
      <w:r w:rsidR="00F57AB5" w:rsidRPr="006920E0">
        <w:rPr>
          <w:rFonts w:asciiTheme="majorHAnsi" w:hAnsiTheme="majorHAnsi" w:cstheme="majorHAnsi"/>
          <w:i/>
          <w:lang w:val="es-ES_tradnl"/>
        </w:rPr>
        <w:t>participación política paritaria</w:t>
      </w:r>
      <w:r w:rsidR="00F57AB5" w:rsidRPr="006920E0">
        <w:rPr>
          <w:rFonts w:asciiTheme="majorHAnsi" w:hAnsiTheme="majorHAnsi" w:cstheme="majorHAnsi"/>
          <w:lang w:val="es-ES_tradnl"/>
        </w:rPr>
        <w:t xml:space="preserve"> en</w:t>
      </w:r>
      <w:r w:rsidR="00432847" w:rsidRPr="006920E0">
        <w:rPr>
          <w:rFonts w:asciiTheme="majorHAnsi" w:hAnsiTheme="majorHAnsi" w:cstheme="majorHAnsi"/>
          <w:lang w:val="es-ES_tradnl"/>
        </w:rPr>
        <w:t>: candidaturas a diputaciones locales</w:t>
      </w:r>
      <w:r w:rsidRPr="006920E0">
        <w:rPr>
          <w:rFonts w:asciiTheme="majorHAnsi" w:hAnsiTheme="majorHAnsi" w:cstheme="majorHAnsi"/>
          <w:lang w:val="es-ES_tradnl"/>
        </w:rPr>
        <w:t xml:space="preserve">, </w:t>
      </w:r>
      <w:r w:rsidR="00432847" w:rsidRPr="006920E0">
        <w:rPr>
          <w:rFonts w:asciiTheme="majorHAnsi" w:hAnsiTheme="majorHAnsi" w:cstheme="majorHAnsi"/>
          <w:lang w:val="es-ES_tradnl"/>
        </w:rPr>
        <w:t xml:space="preserve">del Congreso </w:t>
      </w:r>
      <w:r w:rsidR="00F20211" w:rsidRPr="006920E0">
        <w:rPr>
          <w:rFonts w:asciiTheme="majorHAnsi" w:hAnsiTheme="majorHAnsi" w:cstheme="majorHAnsi"/>
          <w:lang w:val="es-ES_tradnl"/>
        </w:rPr>
        <w:t>de la CDMX</w:t>
      </w:r>
      <w:r w:rsidR="00432847" w:rsidRPr="006920E0">
        <w:rPr>
          <w:rFonts w:asciiTheme="majorHAnsi" w:hAnsiTheme="majorHAnsi" w:cstheme="majorHAnsi"/>
          <w:lang w:val="es-ES_tradnl"/>
        </w:rPr>
        <w:t>, del gabinete de</w:t>
      </w:r>
      <w:r w:rsidRPr="006920E0">
        <w:rPr>
          <w:rFonts w:asciiTheme="majorHAnsi" w:hAnsiTheme="majorHAnsi" w:cstheme="majorHAnsi"/>
          <w:lang w:val="es-ES_tradnl"/>
        </w:rPr>
        <w:t>l poder Ejecutivo</w:t>
      </w:r>
      <w:r w:rsidR="00F20211" w:rsidRPr="006920E0">
        <w:rPr>
          <w:rFonts w:asciiTheme="majorHAnsi" w:hAnsiTheme="majorHAnsi" w:cstheme="majorHAnsi"/>
          <w:lang w:val="es-ES_tradnl"/>
        </w:rPr>
        <w:t xml:space="preserve">, </w:t>
      </w:r>
      <w:r w:rsidR="00432847" w:rsidRPr="006920E0">
        <w:rPr>
          <w:rFonts w:asciiTheme="majorHAnsi" w:hAnsiTheme="majorHAnsi" w:cstheme="majorHAnsi"/>
          <w:lang w:val="es-ES_tradnl"/>
        </w:rPr>
        <w:t xml:space="preserve"> </w:t>
      </w:r>
      <w:r w:rsidR="00F20211" w:rsidRPr="006920E0">
        <w:rPr>
          <w:rFonts w:asciiTheme="majorHAnsi" w:hAnsiTheme="majorHAnsi" w:cstheme="majorHAnsi"/>
          <w:lang w:val="es-ES_tradnl"/>
        </w:rPr>
        <w:t>el Poder</w:t>
      </w:r>
      <w:r w:rsidR="00432847" w:rsidRPr="006920E0">
        <w:rPr>
          <w:rFonts w:asciiTheme="majorHAnsi" w:hAnsiTheme="majorHAnsi" w:cstheme="majorHAnsi"/>
          <w:lang w:val="es-ES_tradnl"/>
        </w:rPr>
        <w:t xml:space="preserve"> Judicial, de los altos mandos de las Alcaldías, Concejos </w:t>
      </w:r>
      <w:r w:rsidR="00B225ED" w:rsidRPr="006920E0">
        <w:rPr>
          <w:rFonts w:asciiTheme="majorHAnsi" w:hAnsiTheme="majorHAnsi" w:cstheme="majorHAnsi"/>
          <w:lang w:val="es-ES_tradnl"/>
        </w:rPr>
        <w:t>y, en</w:t>
      </w:r>
      <w:r w:rsidR="00432847" w:rsidRPr="006920E0">
        <w:rPr>
          <w:rFonts w:asciiTheme="majorHAnsi" w:hAnsiTheme="majorHAnsi" w:cstheme="majorHAnsi"/>
          <w:lang w:val="es-ES_tradnl"/>
        </w:rPr>
        <w:t xml:space="preserve"> la selección de agentes del Ministerio Público y el resto del personal de la Fiscalía General de Justicia. </w:t>
      </w:r>
      <w:r w:rsidR="00F20211" w:rsidRPr="006920E0">
        <w:rPr>
          <w:rFonts w:asciiTheme="majorHAnsi" w:hAnsiTheme="majorHAnsi" w:cstheme="majorHAnsi"/>
          <w:lang w:val="es-ES_tradnl"/>
        </w:rPr>
        <w:t xml:space="preserve">Permitiendo </w:t>
      </w:r>
      <w:r w:rsidR="00F57AB5" w:rsidRPr="006920E0">
        <w:rPr>
          <w:rFonts w:asciiTheme="majorHAnsi" w:hAnsiTheme="majorHAnsi" w:cstheme="majorHAnsi"/>
          <w:lang w:val="es-ES_tradnl"/>
        </w:rPr>
        <w:t xml:space="preserve"> </w:t>
      </w:r>
      <w:r w:rsidR="00B225ED" w:rsidRPr="006920E0">
        <w:rPr>
          <w:rFonts w:asciiTheme="majorHAnsi" w:hAnsiTheme="majorHAnsi" w:cstheme="majorHAnsi"/>
          <w:lang w:val="es-ES_tradnl"/>
        </w:rPr>
        <w:t>legislaturas paritarias</w:t>
      </w:r>
      <w:r w:rsidR="00F57AB5" w:rsidRPr="006920E0">
        <w:rPr>
          <w:rFonts w:asciiTheme="majorHAnsi" w:hAnsiTheme="majorHAnsi" w:cstheme="majorHAnsi"/>
          <w:lang w:val="es-ES_tradnl"/>
        </w:rPr>
        <w:t xml:space="preserve"> del Congreso de la Ciudad de México durante los periodos 2018-2021 y 2021-2024.</w:t>
      </w:r>
      <w:r w:rsidR="00A43726" w:rsidRPr="006920E0">
        <w:rPr>
          <w:rFonts w:asciiTheme="majorHAnsi" w:hAnsiTheme="majorHAnsi" w:cstheme="majorHAnsi"/>
          <w:lang w:val="es-ES_tradnl"/>
        </w:rPr>
        <w:t xml:space="preserve"> Esto dio lugar a la promoción paritaria para la integración de:</w:t>
      </w:r>
    </w:p>
    <w:p w14:paraId="7D410D23" w14:textId="77777777" w:rsidR="00A43726" w:rsidRPr="006920E0" w:rsidRDefault="00A43726" w:rsidP="00A43726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Ayuntamientos de los estados y Alcaldías en la Ciudad de México – Poder Ejecutivo</w:t>
      </w:r>
    </w:p>
    <w:p w14:paraId="43A201BC" w14:textId="77777777" w:rsidR="00A43726" w:rsidRPr="006920E0" w:rsidRDefault="00A43726" w:rsidP="00A43726">
      <w:pPr>
        <w:pStyle w:val="ListParagraph"/>
        <w:numPr>
          <w:ilvl w:val="1"/>
          <w:numId w:val="13"/>
        </w:num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 xml:space="preserve">Paridad tanto vertical como horizontal (reconocido a nivel local) </w:t>
      </w:r>
    </w:p>
    <w:p w14:paraId="113D71BD" w14:textId="5DB35A07" w:rsidR="00A43726" w:rsidRPr="006920E0" w:rsidRDefault="00A43726" w:rsidP="0043284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Integración de autoridades administrativas y jurisdiccionales electorales</w:t>
      </w:r>
      <w:r w:rsidR="00047C6B" w:rsidRPr="006920E0">
        <w:rPr>
          <w:rFonts w:asciiTheme="majorHAnsi" w:hAnsiTheme="majorHAnsi" w:cstheme="majorHAnsi"/>
          <w:lang w:val="es-ES_tradnl"/>
        </w:rPr>
        <w:t>.</w:t>
      </w:r>
    </w:p>
    <w:p w14:paraId="25F290B1" w14:textId="77777777" w:rsidR="00F20211" w:rsidRPr="006920E0" w:rsidRDefault="00B225ED" w:rsidP="00C91E09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En relación con las recomendaciones 31, b) y 32 l</w:t>
      </w:r>
      <w:r w:rsidR="00DC5EFC" w:rsidRPr="006920E0">
        <w:rPr>
          <w:rFonts w:asciiTheme="majorHAnsi" w:hAnsiTheme="majorHAnsi" w:cstheme="majorHAnsi"/>
          <w:lang w:val="es-ES_tradnl"/>
        </w:rPr>
        <w:t>a Ley General de Partidos Políticos</w:t>
      </w:r>
      <w:r w:rsidR="00795811" w:rsidRPr="006920E0">
        <w:rPr>
          <w:rFonts w:asciiTheme="majorHAnsi" w:hAnsiTheme="majorHAnsi" w:cstheme="majorHAnsi"/>
          <w:lang w:val="es-ES_tradnl"/>
        </w:rPr>
        <w:t xml:space="preserve"> en su artículo 3</w:t>
      </w:r>
      <w:r w:rsidR="00DC5EFC" w:rsidRPr="006920E0">
        <w:rPr>
          <w:rFonts w:asciiTheme="majorHAnsi" w:hAnsiTheme="majorHAnsi" w:cstheme="majorHAnsi"/>
          <w:lang w:val="es-ES_tradnl"/>
        </w:rPr>
        <w:t xml:space="preserve"> establece medidas de promoción e investigación referentes a los beneficios de la paridad de género</w:t>
      </w:r>
      <w:r w:rsidRPr="006920E0">
        <w:rPr>
          <w:rFonts w:asciiTheme="majorHAnsi" w:hAnsiTheme="majorHAnsi" w:cstheme="majorHAnsi"/>
          <w:lang w:val="es-ES_tradnl"/>
        </w:rPr>
        <w:t xml:space="preserve"> y</w:t>
      </w:r>
      <w:r w:rsidR="00065D82" w:rsidRPr="006920E0">
        <w:rPr>
          <w:rFonts w:asciiTheme="majorHAnsi" w:hAnsiTheme="majorHAnsi" w:cstheme="majorHAnsi"/>
          <w:lang w:val="es-ES_tradnl"/>
        </w:rPr>
        <w:t xml:space="preserve"> </w:t>
      </w:r>
      <w:r w:rsidR="00AE1996" w:rsidRPr="006920E0">
        <w:rPr>
          <w:rFonts w:asciiTheme="majorHAnsi" w:hAnsiTheme="majorHAnsi" w:cstheme="majorHAnsi"/>
          <w:lang w:val="es-ES_tradnl"/>
        </w:rPr>
        <w:t>la obligación legal de destinar el 3% del total de su gasto ordinario a la capacitación de mujeres</w:t>
      </w:r>
      <w:r w:rsidRPr="006920E0">
        <w:rPr>
          <w:rFonts w:asciiTheme="majorHAnsi" w:hAnsiTheme="majorHAnsi" w:cstheme="majorHAnsi"/>
          <w:lang w:val="es-ES_tradnl"/>
        </w:rPr>
        <w:t>. Igualmente,</w:t>
      </w:r>
      <w:r w:rsidR="003E3AF8" w:rsidRPr="006920E0">
        <w:rPr>
          <w:rFonts w:asciiTheme="majorHAnsi" w:hAnsiTheme="majorHAnsi" w:cstheme="majorHAnsi"/>
          <w:lang w:val="es-ES_tradnl"/>
        </w:rPr>
        <w:t xml:space="preserve"> </w:t>
      </w:r>
      <w:r w:rsidRPr="006920E0">
        <w:rPr>
          <w:rFonts w:asciiTheme="majorHAnsi" w:hAnsiTheme="majorHAnsi" w:cstheme="majorHAnsi"/>
          <w:lang w:val="es-ES_tradnl"/>
        </w:rPr>
        <w:t xml:space="preserve">como medida de sensibilización a la población de manera directa realiza la difusión de </w:t>
      </w:r>
    </w:p>
    <w:p w14:paraId="1C91D2B9" w14:textId="77777777" w:rsidR="00F20211" w:rsidRPr="006920E0" w:rsidRDefault="00F20211" w:rsidP="00C91E09">
      <w:pPr>
        <w:jc w:val="both"/>
        <w:rPr>
          <w:rFonts w:asciiTheme="majorHAnsi" w:hAnsiTheme="majorHAnsi" w:cstheme="majorHAnsi"/>
          <w:lang w:val="es-ES_tradnl"/>
        </w:rPr>
      </w:pPr>
    </w:p>
    <w:p w14:paraId="301D1796" w14:textId="65A596AA" w:rsidR="00B225ED" w:rsidRPr="006920E0" w:rsidRDefault="00B225ED" w:rsidP="00C91E09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contenidos entre la población sobre</w:t>
      </w:r>
      <w:r w:rsidRPr="006920E0">
        <w:rPr>
          <w:rFonts w:asciiTheme="majorHAnsi" w:hAnsiTheme="majorHAnsi" w:cstheme="majorHAnsi"/>
          <w:b/>
          <w:lang w:val="es-ES_tradnl"/>
        </w:rPr>
        <w:t xml:space="preserve"> </w:t>
      </w:r>
      <w:r w:rsidRPr="006920E0">
        <w:rPr>
          <w:rFonts w:asciiTheme="majorHAnsi" w:hAnsiTheme="majorHAnsi" w:cstheme="majorHAnsi"/>
          <w:lang w:val="es-ES_tradnl"/>
        </w:rPr>
        <w:t>los avances y el fortalecimiento de mecanismos para prevenir la violencia política en razón de género.</w:t>
      </w:r>
    </w:p>
    <w:p w14:paraId="3B0C9CE8" w14:textId="0017EC8D" w:rsidR="00B225ED" w:rsidRPr="006920E0" w:rsidRDefault="00B225ED" w:rsidP="00B225ED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lang w:val="es-ES_tradnl"/>
        </w:rPr>
        <w:t xml:space="preserve">No </w:t>
      </w:r>
      <w:r w:rsidR="00DB7583" w:rsidRPr="006920E0">
        <w:rPr>
          <w:rFonts w:asciiTheme="majorHAnsi" w:hAnsiTheme="majorHAnsi" w:cstheme="majorHAnsi"/>
          <w:lang w:val="es-ES_tradnl"/>
        </w:rPr>
        <w:t>obstante</w:t>
      </w:r>
      <w:r w:rsidR="00F20211" w:rsidRPr="006920E0">
        <w:rPr>
          <w:rFonts w:asciiTheme="majorHAnsi" w:hAnsiTheme="majorHAnsi" w:cstheme="majorHAnsi"/>
          <w:lang w:val="es-ES_tradnl"/>
        </w:rPr>
        <w:t xml:space="preserve">, </w:t>
      </w:r>
      <w:r w:rsidRPr="006920E0">
        <w:rPr>
          <w:rFonts w:asciiTheme="majorHAnsi" w:hAnsiTheme="majorHAnsi" w:cstheme="majorHAnsi"/>
          <w:lang w:val="es-ES_tradnl"/>
        </w:rPr>
        <w:t>hay</w:t>
      </w:r>
      <w:r w:rsidRPr="006920E0">
        <w:rPr>
          <w:rFonts w:asciiTheme="majorHAnsi" w:hAnsiTheme="majorHAnsi" w:cstheme="majorHAnsi"/>
          <w:b/>
          <w:bCs/>
          <w:lang w:val="es-ES_tradnl"/>
        </w:rPr>
        <w:t xml:space="preserve"> desafíos pendientes</w:t>
      </w:r>
      <w:r w:rsidR="00F20211" w:rsidRPr="006920E0">
        <w:rPr>
          <w:rFonts w:asciiTheme="majorHAnsi" w:hAnsiTheme="majorHAnsi" w:cstheme="majorHAnsi"/>
          <w:lang w:val="es-ES_tradnl"/>
        </w:rPr>
        <w:t>. E</w:t>
      </w:r>
      <w:r w:rsidRPr="006920E0">
        <w:rPr>
          <w:rFonts w:asciiTheme="majorHAnsi" w:hAnsiTheme="majorHAnsi" w:cstheme="majorHAnsi"/>
        </w:rPr>
        <w:t xml:space="preserve">sta CDHCM advierte que la violencia política en razón de género representa el mayor obstáculo para el ejercicio del derecho a la participación política de las mujeres, en especial al tener una relación cíclica e intimidatoria a este grupo en general y que se traduce muchas veces en ataques directos a las mujeres candidatas a puestos de elecciones públicas. </w:t>
      </w:r>
    </w:p>
    <w:p w14:paraId="6DEC501D" w14:textId="52FD84D2" w:rsidR="00B225ED" w:rsidRPr="006920E0" w:rsidRDefault="00FC2A24" w:rsidP="00B225ED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>Aun cuando</w:t>
      </w:r>
      <w:r w:rsidR="00B225ED" w:rsidRPr="006920E0">
        <w:rPr>
          <w:rFonts w:asciiTheme="majorHAnsi" w:hAnsiTheme="majorHAnsi" w:cstheme="majorHAnsi"/>
        </w:rPr>
        <w:t xml:space="preserve"> en términos de la </w:t>
      </w:r>
      <w:r w:rsidR="00B225ED" w:rsidRPr="006920E0">
        <w:rPr>
          <w:rFonts w:asciiTheme="majorHAnsi" w:hAnsiTheme="majorHAnsi" w:cstheme="majorHAnsi"/>
          <w:b/>
        </w:rPr>
        <w:t xml:space="preserve">recomendación práctica 37 </w:t>
      </w:r>
      <w:r w:rsidR="00B225ED" w:rsidRPr="006920E0">
        <w:rPr>
          <w:rFonts w:asciiTheme="majorHAnsi" w:hAnsiTheme="majorHAnsi" w:cstheme="majorHAnsi"/>
        </w:rPr>
        <w:t>existen medidas</w:t>
      </w:r>
      <w:r w:rsidRPr="006920E0">
        <w:rPr>
          <w:rFonts w:asciiTheme="majorHAnsi" w:hAnsiTheme="majorHAnsi" w:cstheme="majorHAnsi"/>
        </w:rPr>
        <w:t xml:space="preserve">, </w:t>
      </w:r>
      <w:r w:rsidR="00B225ED" w:rsidRPr="006920E0">
        <w:rPr>
          <w:rFonts w:asciiTheme="majorHAnsi" w:hAnsiTheme="majorHAnsi" w:cstheme="majorHAnsi"/>
        </w:rPr>
        <w:t xml:space="preserve">recursos y un  aparato legal sólido </w:t>
      </w:r>
      <w:r w:rsidRPr="006920E0">
        <w:rPr>
          <w:rFonts w:asciiTheme="majorHAnsi" w:hAnsiTheme="majorHAnsi" w:cstheme="majorHAnsi"/>
        </w:rPr>
        <w:t>para su protección c</w:t>
      </w:r>
      <w:r w:rsidR="00B225ED" w:rsidRPr="006920E0">
        <w:rPr>
          <w:rFonts w:asciiTheme="majorHAnsi" w:hAnsiTheme="majorHAnsi" w:cstheme="majorHAnsi"/>
        </w:rPr>
        <w:t>omo la Ley General de Acceso de las Mujeres a una Vida Libre de Violencia y Ley de Acceso de las Mujeres a una Vida Libre de Violencia de la Ciudad de México</w:t>
      </w:r>
      <w:r w:rsidRPr="006920E0">
        <w:rPr>
          <w:rFonts w:asciiTheme="majorHAnsi" w:hAnsiTheme="majorHAnsi" w:cstheme="majorHAnsi"/>
        </w:rPr>
        <w:t>,</w:t>
      </w:r>
      <w:r w:rsidR="00B225ED" w:rsidRPr="006920E0">
        <w:rPr>
          <w:rFonts w:asciiTheme="majorHAnsi" w:hAnsiTheme="majorHAnsi" w:cstheme="majorHAnsi"/>
        </w:rPr>
        <w:t xml:space="preserve">  la Ley General en Materia de Delitos Electorales y Código Penal de la Ciudad de México; se ha identificado que, la efectividad y la articulación de las órdenes de protección</w:t>
      </w:r>
      <w:r w:rsidR="001D2A0A" w:rsidRPr="006920E0">
        <w:rPr>
          <w:rFonts w:asciiTheme="majorHAnsi" w:hAnsiTheme="majorHAnsi" w:cstheme="majorHAnsi"/>
        </w:rPr>
        <w:t xml:space="preserve"> conforme al artículo 27 de la Ley General de Acceso a las Mujeres a </w:t>
      </w:r>
      <w:r w:rsidR="001C1A83" w:rsidRPr="006920E0">
        <w:rPr>
          <w:rFonts w:asciiTheme="majorHAnsi" w:hAnsiTheme="majorHAnsi" w:cstheme="majorHAnsi"/>
        </w:rPr>
        <w:t>una</w:t>
      </w:r>
      <w:r w:rsidR="001D2A0A" w:rsidRPr="006920E0">
        <w:rPr>
          <w:rFonts w:asciiTheme="majorHAnsi" w:hAnsiTheme="majorHAnsi" w:cstheme="majorHAnsi"/>
        </w:rPr>
        <w:t xml:space="preserve"> vida libre de violencia, </w:t>
      </w:r>
      <w:r w:rsidR="00B225ED" w:rsidRPr="006920E0">
        <w:rPr>
          <w:rFonts w:asciiTheme="majorHAnsi" w:hAnsiTheme="majorHAnsi" w:cstheme="majorHAnsi"/>
        </w:rPr>
        <w:t xml:space="preserve">entre los diversos </w:t>
      </w:r>
      <w:r w:rsidR="00DB7583" w:rsidRPr="006920E0">
        <w:rPr>
          <w:rFonts w:asciiTheme="majorHAnsi" w:hAnsiTheme="majorHAnsi" w:cstheme="majorHAnsi"/>
        </w:rPr>
        <w:t>órdenes</w:t>
      </w:r>
      <w:r w:rsidR="00B225ED" w:rsidRPr="006920E0">
        <w:rPr>
          <w:rFonts w:asciiTheme="majorHAnsi" w:hAnsiTheme="majorHAnsi" w:cstheme="majorHAnsi"/>
        </w:rPr>
        <w:t xml:space="preserve"> de gobierno no muestran ser suficientes como para erradicarla de raíz. </w:t>
      </w:r>
    </w:p>
    <w:p w14:paraId="1DCA4E97" w14:textId="4CF948AC" w:rsidR="00B225ED" w:rsidRPr="006920E0" w:rsidRDefault="00DB7583" w:rsidP="00B225ED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Igualmente, el </w:t>
      </w:r>
      <w:r w:rsidR="00FC2A24" w:rsidRPr="006920E0">
        <w:rPr>
          <w:rFonts w:asciiTheme="majorHAnsi" w:hAnsiTheme="majorHAnsi" w:cstheme="majorHAnsi"/>
        </w:rPr>
        <w:t>acceso y reconocimiento</w:t>
      </w:r>
      <w:r w:rsidRPr="006920E0">
        <w:rPr>
          <w:rFonts w:asciiTheme="majorHAnsi" w:hAnsiTheme="majorHAnsi" w:cstheme="majorHAnsi"/>
        </w:rPr>
        <w:t xml:space="preserve"> de las mujeres </w:t>
      </w:r>
      <w:r w:rsidR="00FC2A24" w:rsidRPr="006920E0">
        <w:rPr>
          <w:rFonts w:asciiTheme="majorHAnsi" w:hAnsiTheme="majorHAnsi" w:cstheme="majorHAnsi"/>
        </w:rPr>
        <w:t xml:space="preserve">representantes en los </w:t>
      </w:r>
      <w:r w:rsidR="00B225ED" w:rsidRPr="006920E0">
        <w:rPr>
          <w:rFonts w:asciiTheme="majorHAnsi" w:hAnsiTheme="majorHAnsi" w:cstheme="majorHAnsi"/>
        </w:rPr>
        <w:t>puestos de liderazgo</w:t>
      </w:r>
      <w:r w:rsidR="00FC2A24" w:rsidRPr="006920E0">
        <w:rPr>
          <w:rFonts w:asciiTheme="majorHAnsi" w:hAnsiTheme="majorHAnsi" w:cstheme="majorHAnsi"/>
        </w:rPr>
        <w:t xml:space="preserve"> o coordinación </w:t>
      </w:r>
      <w:r w:rsidR="00B225ED" w:rsidRPr="006920E0">
        <w:rPr>
          <w:rFonts w:asciiTheme="majorHAnsi" w:hAnsiTheme="majorHAnsi" w:cstheme="majorHAnsi"/>
        </w:rPr>
        <w:t xml:space="preserve">en Juntas, Comités, Grupos </w:t>
      </w:r>
      <w:r w:rsidRPr="006920E0">
        <w:rPr>
          <w:rFonts w:asciiTheme="majorHAnsi" w:hAnsiTheme="majorHAnsi" w:cstheme="majorHAnsi"/>
        </w:rPr>
        <w:t>de representación mayoritaria en las Cámaras</w:t>
      </w:r>
      <w:r w:rsidR="00FC2A24" w:rsidRPr="006920E0">
        <w:rPr>
          <w:rFonts w:asciiTheme="majorHAnsi" w:hAnsiTheme="majorHAnsi" w:cstheme="majorHAnsi"/>
        </w:rPr>
        <w:t xml:space="preserve">, </w:t>
      </w:r>
      <w:r w:rsidR="00B225ED" w:rsidRPr="006920E0">
        <w:rPr>
          <w:rFonts w:asciiTheme="majorHAnsi" w:hAnsiTheme="majorHAnsi" w:cstheme="majorHAnsi"/>
        </w:rPr>
        <w:t xml:space="preserve">escenarios prácticos de decisión y articulación política que tienen implicaciones en la arena parlamentaria, como en otras esferas. </w:t>
      </w:r>
    </w:p>
    <w:p w14:paraId="7535B99D" w14:textId="0A4EA766" w:rsidR="00B225ED" w:rsidRPr="006920E0" w:rsidRDefault="00FC2A24" w:rsidP="00B225ED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</w:rPr>
        <w:t>Finalmente,</w:t>
      </w:r>
      <w:r w:rsidR="00B225ED" w:rsidRPr="006920E0">
        <w:rPr>
          <w:rFonts w:asciiTheme="majorHAnsi" w:hAnsiTheme="majorHAnsi" w:cstheme="majorHAnsi"/>
        </w:rPr>
        <w:t xml:space="preserve"> </w:t>
      </w:r>
      <w:r w:rsidR="00B225ED" w:rsidRPr="006920E0">
        <w:rPr>
          <w:rFonts w:asciiTheme="majorHAnsi" w:hAnsiTheme="majorHAnsi" w:cstheme="majorHAnsi"/>
          <w:lang w:val="es-ES_tradnl"/>
        </w:rPr>
        <w:t>la inclusión y representación de las mujeres indígenas ha requerido del entrecruce de un aparataje legal electoral</w:t>
      </w:r>
      <w:hyperlink r:id="rId13" w:history="1">
        <w:r w:rsidR="00B225ED" w:rsidRPr="006920E0">
          <w:rPr>
            <w:rStyle w:val="Hyperlink"/>
            <w:rFonts w:asciiTheme="majorHAnsi" w:hAnsiTheme="majorHAnsi" w:cstheme="majorHAnsi"/>
            <w:lang w:val="es-ES_tradnl"/>
          </w:rPr>
          <w:t xml:space="preserve"> específico</w:t>
        </w:r>
      </w:hyperlink>
      <w:r w:rsidR="00B225ED" w:rsidRPr="006920E0">
        <w:rPr>
          <w:rFonts w:asciiTheme="majorHAnsi" w:hAnsiTheme="majorHAnsi" w:cstheme="majorHAnsi"/>
          <w:lang w:val="es-ES_tradnl"/>
        </w:rPr>
        <w:t xml:space="preserve"> que aún se tropieza con condiciones de simulación y usurpación en comicios electorales. </w:t>
      </w:r>
      <w:r w:rsidR="00F20211" w:rsidRPr="006920E0">
        <w:rPr>
          <w:rFonts w:asciiTheme="majorHAnsi" w:hAnsiTheme="majorHAnsi" w:cstheme="majorHAnsi"/>
          <w:lang w:val="es-ES_tradnl"/>
        </w:rPr>
        <w:t>Considerando</w:t>
      </w:r>
      <w:r w:rsidR="00B225ED" w:rsidRPr="006920E0">
        <w:rPr>
          <w:rFonts w:asciiTheme="majorHAnsi" w:hAnsiTheme="majorHAnsi" w:cstheme="majorHAnsi"/>
          <w:lang w:val="es-ES_tradnl"/>
        </w:rPr>
        <w:t xml:space="preserve"> que, la participación de las mujeres indígenas debe considerarse en entrecruce de espacios </w:t>
      </w:r>
      <w:r w:rsidR="00F20211" w:rsidRPr="006920E0">
        <w:rPr>
          <w:rFonts w:asciiTheme="majorHAnsi" w:hAnsiTheme="majorHAnsi" w:cstheme="majorHAnsi"/>
          <w:lang w:val="es-ES_tradnl"/>
        </w:rPr>
        <w:t>de</w:t>
      </w:r>
      <w:r w:rsidR="00B225ED" w:rsidRPr="006920E0">
        <w:rPr>
          <w:rFonts w:asciiTheme="majorHAnsi" w:hAnsiTheme="majorHAnsi" w:cstheme="majorHAnsi"/>
          <w:lang w:val="es-ES_tradnl"/>
        </w:rPr>
        <w:t xml:space="preserve"> pluralismo político</w:t>
      </w:r>
      <w:r w:rsidRPr="006920E0">
        <w:rPr>
          <w:rFonts w:asciiTheme="majorHAnsi" w:hAnsiTheme="majorHAnsi" w:cstheme="majorHAnsi"/>
          <w:lang w:val="es-ES_tradnl"/>
        </w:rPr>
        <w:t xml:space="preserve">, </w:t>
      </w:r>
      <w:r w:rsidR="00B225ED" w:rsidRPr="006920E0">
        <w:rPr>
          <w:rFonts w:asciiTheme="majorHAnsi" w:hAnsiTheme="majorHAnsi" w:cstheme="majorHAnsi"/>
          <w:lang w:val="es-ES_tradnl"/>
        </w:rPr>
        <w:t xml:space="preserve">dentro de los propios sistemas normativos internos (SNI). </w:t>
      </w:r>
    </w:p>
    <w:p w14:paraId="3B2A944B" w14:textId="47DDFC5D" w:rsidR="00DC5EFC" w:rsidRPr="006920E0" w:rsidRDefault="00DC5EFC" w:rsidP="00C91E09">
      <w:pPr>
        <w:jc w:val="both"/>
        <w:rPr>
          <w:rFonts w:asciiTheme="majorHAnsi" w:hAnsiTheme="majorHAnsi" w:cstheme="majorHAnsi"/>
          <w:lang w:val="es-ES_tradnl"/>
        </w:rPr>
      </w:pPr>
    </w:p>
    <w:p w14:paraId="5C3FB49D" w14:textId="1DD8B277" w:rsidR="008C6FF0" w:rsidRPr="006920E0" w:rsidRDefault="00426B2F" w:rsidP="00C91E09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b/>
          <w:bCs/>
          <w:lang w:val="es-ES_tradnl"/>
        </w:rPr>
        <w:t>Personas de la diversidad sexual con</w:t>
      </w:r>
      <w:r w:rsidR="008C6FF0" w:rsidRPr="006920E0">
        <w:rPr>
          <w:rFonts w:asciiTheme="majorHAnsi" w:hAnsiTheme="majorHAnsi" w:cstheme="majorHAnsi"/>
          <w:b/>
          <w:bCs/>
          <w:lang w:val="es-ES_tradnl"/>
        </w:rPr>
        <w:t xml:space="preserve"> expresiones </w:t>
      </w:r>
      <w:r>
        <w:rPr>
          <w:rFonts w:asciiTheme="majorHAnsi" w:hAnsiTheme="majorHAnsi" w:cstheme="majorHAnsi"/>
          <w:b/>
          <w:bCs/>
          <w:lang w:val="es-ES_tradnl"/>
        </w:rPr>
        <w:t xml:space="preserve">de género </w:t>
      </w:r>
      <w:r w:rsidR="008C6FF0" w:rsidRPr="006920E0">
        <w:rPr>
          <w:rFonts w:asciiTheme="majorHAnsi" w:hAnsiTheme="majorHAnsi" w:cstheme="majorHAnsi"/>
          <w:b/>
          <w:bCs/>
          <w:lang w:val="es-ES_tradnl"/>
        </w:rPr>
        <w:t>no normativas</w:t>
      </w:r>
      <w:r w:rsidR="008C6FF0" w:rsidRPr="006920E0">
        <w:rPr>
          <w:rFonts w:asciiTheme="majorHAnsi" w:hAnsiTheme="majorHAnsi" w:cstheme="majorHAnsi"/>
          <w:lang w:val="es-ES_tradnl"/>
        </w:rPr>
        <w:t xml:space="preserve"> </w:t>
      </w:r>
    </w:p>
    <w:p w14:paraId="0E5C01D2" w14:textId="017A20B0" w:rsidR="006920E0" w:rsidRPr="006920E0" w:rsidRDefault="006920E0" w:rsidP="00070AF0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C</w:t>
      </w:r>
      <w:r w:rsidR="00FB11FF" w:rsidRPr="006920E0">
        <w:rPr>
          <w:rFonts w:asciiTheme="majorHAnsi" w:hAnsiTheme="majorHAnsi" w:cstheme="majorHAnsi"/>
          <w:lang w:val="es-ES_tradnl"/>
        </w:rPr>
        <w:t>omo una medida afirmativa para garantizar la participación activa en las elecciones</w:t>
      </w:r>
      <w:r w:rsidR="00070AF0" w:rsidRPr="006920E0">
        <w:rPr>
          <w:rFonts w:asciiTheme="majorHAnsi" w:hAnsiTheme="majorHAnsi" w:cstheme="majorHAnsi"/>
          <w:lang w:val="es-ES_tradnl"/>
        </w:rPr>
        <w:t xml:space="preserve"> </w:t>
      </w:r>
      <w:r w:rsidR="00F20211" w:rsidRPr="006920E0">
        <w:rPr>
          <w:rFonts w:asciiTheme="majorHAnsi" w:hAnsiTheme="majorHAnsi" w:cstheme="majorHAnsi"/>
          <w:lang w:val="es-ES_tradnl"/>
        </w:rPr>
        <w:t>incorporó cuota</w:t>
      </w:r>
      <w:r w:rsidR="00FB11FF" w:rsidRPr="006920E0">
        <w:rPr>
          <w:rFonts w:asciiTheme="majorHAnsi" w:hAnsiTheme="majorHAnsi" w:cstheme="majorHAnsi"/>
          <w:lang w:val="es-ES_tradnl"/>
        </w:rPr>
        <w:t>s</w:t>
      </w:r>
      <w:r w:rsidR="00F20211" w:rsidRPr="006920E0">
        <w:rPr>
          <w:rFonts w:asciiTheme="majorHAnsi" w:hAnsiTheme="majorHAnsi" w:cstheme="majorHAnsi"/>
          <w:lang w:val="es-ES_tradnl"/>
        </w:rPr>
        <w:t xml:space="preserve"> </w:t>
      </w:r>
      <w:r w:rsidR="00FB11FF" w:rsidRPr="006920E0">
        <w:rPr>
          <w:rFonts w:asciiTheme="majorHAnsi" w:hAnsiTheme="majorHAnsi" w:cstheme="majorHAnsi"/>
          <w:lang w:val="es-ES_tradnl"/>
        </w:rPr>
        <w:t xml:space="preserve">de personas de la diversidad sexual </w:t>
      </w:r>
      <w:r w:rsidRPr="006920E0">
        <w:rPr>
          <w:rFonts w:asciiTheme="majorHAnsi" w:hAnsiTheme="majorHAnsi" w:cstheme="majorHAnsi"/>
          <w:lang w:val="es-ES_tradnl"/>
        </w:rPr>
        <w:t xml:space="preserve">para las elecciones 2021 se </w:t>
      </w:r>
      <w:hyperlink r:id="rId14" w:history="1">
        <w:r w:rsidRPr="00426B2F">
          <w:rPr>
            <w:rStyle w:val="Hyperlink"/>
            <w:rFonts w:asciiTheme="majorHAnsi" w:hAnsiTheme="majorHAnsi" w:cstheme="majorHAnsi"/>
            <w:lang w:val="es-ES_tradnl"/>
          </w:rPr>
          <w:t>acordó por el Instituto Nacional Electoral</w:t>
        </w:r>
      </w:hyperlink>
      <w:r w:rsidRPr="006920E0">
        <w:rPr>
          <w:rFonts w:asciiTheme="majorHAnsi" w:hAnsiTheme="majorHAnsi" w:cstheme="majorHAnsi"/>
          <w:lang w:val="es-ES_tradnl"/>
        </w:rPr>
        <w:t xml:space="preserve"> que </w:t>
      </w:r>
      <w:r w:rsidR="00FB11FF" w:rsidRPr="006920E0">
        <w:rPr>
          <w:rFonts w:asciiTheme="majorHAnsi" w:hAnsiTheme="majorHAnsi" w:cstheme="majorHAnsi"/>
          <w:lang w:val="es-ES_tradnl"/>
        </w:rPr>
        <w:t xml:space="preserve">las </w:t>
      </w:r>
      <w:r w:rsidR="00F20211" w:rsidRPr="006920E0">
        <w:rPr>
          <w:rFonts w:asciiTheme="majorHAnsi" w:hAnsiTheme="majorHAnsi" w:cstheme="majorHAnsi"/>
          <w:lang w:val="es-ES_tradnl"/>
        </w:rPr>
        <w:t xml:space="preserve">fórmulas de </w:t>
      </w:r>
      <w:r w:rsidR="00FB11FF" w:rsidRPr="006920E0">
        <w:rPr>
          <w:rFonts w:asciiTheme="majorHAnsi" w:hAnsiTheme="majorHAnsi" w:cstheme="majorHAnsi"/>
          <w:lang w:val="es-ES_tradnl"/>
        </w:rPr>
        <w:t xml:space="preserve">las </w:t>
      </w:r>
      <w:r w:rsidR="00F20211" w:rsidRPr="006920E0">
        <w:rPr>
          <w:rFonts w:asciiTheme="majorHAnsi" w:hAnsiTheme="majorHAnsi" w:cstheme="majorHAnsi"/>
          <w:lang w:val="es-ES_tradnl"/>
        </w:rPr>
        <w:t>candidaturas</w:t>
      </w:r>
      <w:r w:rsidR="00FB11FF" w:rsidRPr="006920E0">
        <w:rPr>
          <w:rFonts w:asciiTheme="majorHAnsi" w:hAnsiTheme="majorHAnsi" w:cstheme="majorHAnsi"/>
          <w:lang w:val="es-ES_tradnl"/>
        </w:rPr>
        <w:t xml:space="preserve"> que los partidos políticos registraran </w:t>
      </w:r>
      <w:r w:rsidR="00F20211" w:rsidRPr="006920E0">
        <w:rPr>
          <w:rFonts w:asciiTheme="majorHAnsi" w:hAnsiTheme="majorHAnsi" w:cstheme="majorHAnsi"/>
          <w:lang w:val="es-ES_tradnl"/>
        </w:rPr>
        <w:t xml:space="preserve">bajo el principio de mayoría relativa </w:t>
      </w:r>
      <w:r w:rsidR="00FB11FF" w:rsidRPr="006920E0">
        <w:rPr>
          <w:rFonts w:asciiTheme="majorHAnsi" w:hAnsiTheme="majorHAnsi" w:cstheme="majorHAnsi"/>
          <w:lang w:val="es-ES_tradnl"/>
        </w:rPr>
        <w:t>y representación proporcional</w:t>
      </w:r>
      <w:r w:rsidRPr="006920E0">
        <w:rPr>
          <w:rFonts w:asciiTheme="majorHAnsi" w:hAnsiTheme="majorHAnsi" w:cstheme="majorHAnsi"/>
          <w:lang w:val="es-ES_tradnl"/>
        </w:rPr>
        <w:t xml:space="preserve"> contaran con representación de esta población</w:t>
      </w:r>
      <w:r w:rsidR="00FB11FF" w:rsidRPr="006920E0">
        <w:rPr>
          <w:rFonts w:asciiTheme="majorHAnsi" w:hAnsiTheme="majorHAnsi" w:cstheme="majorHAnsi"/>
          <w:lang w:val="es-ES_tradnl"/>
        </w:rPr>
        <w:t>.</w:t>
      </w:r>
    </w:p>
    <w:p w14:paraId="7CD91E9E" w14:textId="77777777" w:rsidR="006920E0" w:rsidRPr="006920E0" w:rsidRDefault="006920E0" w:rsidP="00070AF0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330204F5" w14:textId="4027C8E7" w:rsidR="00070AF0" w:rsidRPr="006920E0" w:rsidRDefault="00FB11FF" w:rsidP="00F85B36">
      <w:pPr>
        <w:spacing w:after="0" w:line="240" w:lineRule="auto"/>
        <w:jc w:val="both"/>
        <w:rPr>
          <w:rFonts w:asciiTheme="majorHAnsi" w:hAnsiTheme="majorHAnsi" w:cstheme="majorHAnsi"/>
          <w:color w:val="454545"/>
          <w:shd w:val="clear" w:color="auto" w:fill="FFFFFF"/>
        </w:rPr>
      </w:pPr>
      <w:r w:rsidRPr="006920E0">
        <w:rPr>
          <w:rFonts w:asciiTheme="majorHAnsi" w:hAnsiTheme="majorHAnsi" w:cstheme="majorHAnsi"/>
          <w:lang w:val="es-ES_tradnl"/>
        </w:rPr>
        <w:t xml:space="preserve">Además de </w:t>
      </w:r>
      <w:r w:rsidR="00F20211" w:rsidRPr="006920E0">
        <w:rPr>
          <w:rFonts w:asciiTheme="majorHAnsi" w:hAnsiTheme="majorHAnsi" w:cstheme="majorHAnsi"/>
          <w:lang w:val="es-ES_tradnl"/>
        </w:rPr>
        <w:t>incorpora</w:t>
      </w:r>
      <w:r w:rsidRPr="006920E0">
        <w:rPr>
          <w:rFonts w:asciiTheme="majorHAnsi" w:hAnsiTheme="majorHAnsi" w:cstheme="majorHAnsi"/>
          <w:lang w:val="es-ES_tradnl"/>
        </w:rPr>
        <w:t>r</w:t>
      </w:r>
      <w:r w:rsidR="00F20211" w:rsidRPr="006920E0">
        <w:rPr>
          <w:rFonts w:asciiTheme="majorHAnsi" w:hAnsiTheme="majorHAnsi" w:cstheme="majorHAnsi"/>
          <w:lang w:val="es-ES_tradnl"/>
        </w:rPr>
        <w:t xml:space="preserve"> el reconocimiento a nivel federal de la auto-adscripción de la identidad de género</w:t>
      </w:r>
      <w:r w:rsidR="006920E0" w:rsidRPr="006920E0">
        <w:rPr>
          <w:rFonts w:asciiTheme="majorHAnsi" w:hAnsiTheme="majorHAnsi" w:cstheme="majorHAnsi"/>
          <w:lang w:val="es-ES_tradnl"/>
        </w:rPr>
        <w:t xml:space="preserve">. </w:t>
      </w:r>
      <w:r w:rsidRPr="006920E0">
        <w:rPr>
          <w:rFonts w:asciiTheme="majorHAnsi" w:hAnsiTheme="majorHAnsi" w:cstheme="majorHAnsi"/>
          <w:lang w:val="es-ES_tradnl"/>
        </w:rPr>
        <w:t xml:space="preserve">Lo anterior permitió que en las elecciones de 2021 se contará con el registro de 44 candidaturas LGBTTIQA+ para renovar la Cámara de Diputados en los comicios intermedio, </w:t>
      </w:r>
      <w:r w:rsidR="00F85B36" w:rsidRPr="006920E0">
        <w:rPr>
          <w:rFonts w:asciiTheme="majorHAnsi" w:hAnsiTheme="majorHAnsi" w:cstheme="majorHAnsi"/>
          <w:lang w:val="es-ES_tradnl"/>
        </w:rPr>
        <w:t>así como</w:t>
      </w:r>
      <w:r w:rsidRPr="006920E0">
        <w:rPr>
          <w:rFonts w:asciiTheme="majorHAnsi" w:hAnsiTheme="majorHAnsi" w:cstheme="majorHAnsi"/>
          <w:lang w:val="es-ES_tradnl"/>
        </w:rPr>
        <w:t xml:space="preserve"> 9 candidaturas de mujeres trans; 6 a nivel local y 3 a nivel federal. D</w:t>
      </w:r>
      <w:r w:rsidR="00F85B36" w:rsidRPr="006920E0">
        <w:rPr>
          <w:rFonts w:asciiTheme="majorHAnsi" w:hAnsiTheme="majorHAnsi" w:cstheme="majorHAnsi"/>
          <w:lang w:val="es-ES_tradnl"/>
        </w:rPr>
        <w:t xml:space="preserve">ando lugar a que se </w:t>
      </w:r>
      <w:r w:rsidR="006920E0" w:rsidRPr="006920E0">
        <w:rPr>
          <w:rFonts w:asciiTheme="majorHAnsi" w:hAnsiTheme="majorHAnsi" w:cstheme="majorHAnsi"/>
          <w:lang w:val="es-ES_tradnl"/>
        </w:rPr>
        <w:t xml:space="preserve">fueran </w:t>
      </w:r>
      <w:r w:rsidR="00426B2F" w:rsidRPr="006920E0">
        <w:rPr>
          <w:rFonts w:asciiTheme="majorHAnsi" w:hAnsiTheme="majorHAnsi" w:cstheme="majorHAnsi"/>
          <w:lang w:val="es-ES_tradnl"/>
        </w:rPr>
        <w:t>electas las</w:t>
      </w:r>
      <w:r w:rsidR="00F85B36" w:rsidRPr="006920E0">
        <w:rPr>
          <w:rFonts w:asciiTheme="majorHAnsi" w:hAnsiTheme="majorHAnsi" w:cstheme="majorHAnsi"/>
          <w:lang w:val="es-ES_tradnl"/>
        </w:rPr>
        <w:t xml:space="preserve"> dos </w:t>
      </w:r>
      <w:r w:rsidR="00F85B36" w:rsidRPr="006920E0">
        <w:rPr>
          <w:rFonts w:asciiTheme="majorHAnsi" w:hAnsiTheme="majorHAnsi" w:cstheme="majorHAnsi"/>
          <w:color w:val="454545"/>
          <w:shd w:val="clear" w:color="auto" w:fill="FFFFFF"/>
        </w:rPr>
        <w:t xml:space="preserve">primeras mujeres trans diputadas en la </w:t>
      </w:r>
      <w:hyperlink r:id="rId15" w:history="1">
        <w:r w:rsidR="00F85B36" w:rsidRPr="00426B2F">
          <w:rPr>
            <w:rStyle w:val="Hyperlink"/>
            <w:rFonts w:asciiTheme="majorHAnsi" w:hAnsiTheme="majorHAnsi" w:cstheme="majorHAnsi"/>
            <w:shd w:val="clear" w:color="auto" w:fill="FFFFFF"/>
          </w:rPr>
          <w:t>LXV Legislatura del Congreso Federal</w:t>
        </w:r>
      </w:hyperlink>
      <w:r w:rsidR="00F85B36" w:rsidRPr="006920E0">
        <w:rPr>
          <w:rFonts w:asciiTheme="majorHAnsi" w:hAnsiTheme="majorHAnsi" w:cstheme="majorHAnsi"/>
          <w:color w:val="454545"/>
          <w:shd w:val="clear" w:color="auto" w:fill="FFFFFF"/>
        </w:rPr>
        <w:t>: Salma Luévano y María Clemente García Moreno.</w:t>
      </w:r>
    </w:p>
    <w:p w14:paraId="37E2E7DA" w14:textId="77777777" w:rsidR="00F85B36" w:rsidRPr="006920E0" w:rsidRDefault="00F85B36" w:rsidP="00F85B36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2CA28514" w14:textId="3BC56006" w:rsidR="00FB11FF" w:rsidRPr="006920E0" w:rsidRDefault="00EA51BD" w:rsidP="00C91E09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lang w:val="es-ES_tradnl"/>
        </w:rPr>
        <w:t>A</w:t>
      </w:r>
      <w:r w:rsidR="00FB11FF" w:rsidRPr="006920E0">
        <w:rPr>
          <w:rFonts w:asciiTheme="majorHAnsi" w:hAnsiTheme="majorHAnsi" w:cstheme="majorHAnsi"/>
          <w:lang w:val="es-ES_tradnl"/>
        </w:rPr>
        <w:t>demás se tiene</w:t>
      </w:r>
      <w:r w:rsidR="00612FC7" w:rsidRPr="006920E0">
        <w:rPr>
          <w:rFonts w:asciiTheme="majorHAnsi" w:hAnsiTheme="majorHAnsi" w:cstheme="majorHAnsi"/>
          <w:lang w:val="es-ES_tradnl"/>
        </w:rPr>
        <w:t xml:space="preserve"> el</w:t>
      </w:r>
      <w:r w:rsidR="008C6FF0" w:rsidRPr="006920E0">
        <w:rPr>
          <w:rFonts w:asciiTheme="majorHAnsi" w:hAnsiTheme="majorHAnsi" w:cstheme="majorHAnsi"/>
          <w:lang w:val="es-ES_tradnl"/>
        </w:rPr>
        <w:t xml:space="preserve"> “</w:t>
      </w:r>
      <w:hyperlink r:id="rId16" w:history="1">
        <w:r w:rsidR="00AB5FAF" w:rsidRPr="006920E0">
          <w:rPr>
            <w:rStyle w:val="Hyperlink"/>
            <w:rFonts w:asciiTheme="majorHAnsi" w:hAnsiTheme="majorHAnsi" w:cstheme="majorHAnsi"/>
          </w:rPr>
          <w:t>Protocolo para adoptar las medidas tendientes a garantizar a las personas trans el ejercicio del voto en igualdad de condiciones y sin discriminación en todos los tipos de elección y mecanismos de participación ciudadana</w:t>
        </w:r>
      </w:hyperlink>
      <w:r w:rsidR="00AB5FAF" w:rsidRPr="006920E0">
        <w:rPr>
          <w:rFonts w:asciiTheme="majorHAnsi" w:hAnsiTheme="majorHAnsi" w:cstheme="majorHAnsi"/>
          <w:lang w:val="es-ES_tradnl"/>
        </w:rPr>
        <w:t xml:space="preserve">” </w:t>
      </w:r>
      <w:r w:rsidR="007A0C94" w:rsidRPr="006920E0">
        <w:rPr>
          <w:rFonts w:asciiTheme="majorHAnsi" w:hAnsiTheme="majorHAnsi" w:cstheme="majorHAnsi"/>
          <w:lang w:val="es-ES_tradnl"/>
        </w:rPr>
        <w:t xml:space="preserve">del </w:t>
      </w:r>
      <w:r w:rsidR="006920E0" w:rsidRPr="006920E0">
        <w:rPr>
          <w:rFonts w:asciiTheme="majorHAnsi" w:hAnsiTheme="majorHAnsi" w:cstheme="majorHAnsi"/>
          <w:lang w:val="es-ES_tradnl"/>
        </w:rPr>
        <w:t>mismo Instituto,</w:t>
      </w:r>
      <w:r w:rsidRPr="006920E0">
        <w:rPr>
          <w:rFonts w:asciiTheme="majorHAnsi" w:hAnsiTheme="majorHAnsi" w:cstheme="majorHAnsi"/>
          <w:lang w:val="es-ES_tradnl"/>
        </w:rPr>
        <w:t xml:space="preserve"> </w:t>
      </w:r>
      <w:r w:rsidR="007A0C94" w:rsidRPr="006920E0">
        <w:rPr>
          <w:rFonts w:asciiTheme="majorHAnsi" w:hAnsiTheme="majorHAnsi" w:cstheme="majorHAnsi"/>
        </w:rPr>
        <w:t xml:space="preserve">guía de directrices y acciones </w:t>
      </w:r>
      <w:r w:rsidR="006920E0" w:rsidRPr="006920E0">
        <w:rPr>
          <w:rFonts w:asciiTheme="majorHAnsi" w:hAnsiTheme="majorHAnsi" w:cstheme="majorHAnsi"/>
        </w:rPr>
        <w:t>aplicables en</w:t>
      </w:r>
      <w:r w:rsidR="00612FC7" w:rsidRPr="006920E0">
        <w:rPr>
          <w:rFonts w:asciiTheme="majorHAnsi" w:hAnsiTheme="majorHAnsi" w:cstheme="majorHAnsi"/>
        </w:rPr>
        <w:t xml:space="preserve"> </w:t>
      </w:r>
      <w:r w:rsidR="006920E0" w:rsidRPr="006920E0">
        <w:rPr>
          <w:rFonts w:asciiTheme="majorHAnsi" w:hAnsiTheme="majorHAnsi" w:cstheme="majorHAnsi"/>
        </w:rPr>
        <w:t>todas las</w:t>
      </w:r>
      <w:r w:rsidR="00612FC7" w:rsidRPr="006920E0">
        <w:rPr>
          <w:rFonts w:asciiTheme="majorHAnsi" w:hAnsiTheme="majorHAnsi" w:cstheme="majorHAnsi"/>
        </w:rPr>
        <w:t xml:space="preserve"> elección (federal, local y extraordinaria) y a otros mecanismos de participación ciudadana como la consulta popular</w:t>
      </w:r>
      <w:r w:rsidR="00DA7356" w:rsidRPr="006920E0">
        <w:rPr>
          <w:rFonts w:asciiTheme="majorHAnsi" w:hAnsiTheme="majorHAnsi" w:cstheme="majorHAnsi"/>
        </w:rPr>
        <w:t xml:space="preserve">. </w:t>
      </w:r>
      <w:r w:rsidRPr="006920E0">
        <w:rPr>
          <w:rFonts w:asciiTheme="majorHAnsi" w:hAnsiTheme="majorHAnsi" w:cstheme="majorHAnsi"/>
        </w:rPr>
        <w:t xml:space="preserve">El cual </w:t>
      </w:r>
      <w:r w:rsidR="006920E0" w:rsidRPr="006920E0">
        <w:rPr>
          <w:rFonts w:asciiTheme="majorHAnsi" w:hAnsiTheme="majorHAnsi" w:cstheme="majorHAnsi"/>
        </w:rPr>
        <w:t>es un</w:t>
      </w:r>
      <w:r w:rsidR="00DA7356" w:rsidRPr="006920E0">
        <w:rPr>
          <w:rFonts w:asciiTheme="majorHAnsi" w:hAnsiTheme="majorHAnsi" w:cstheme="majorHAnsi"/>
        </w:rPr>
        <w:t xml:space="preserve"> estándar importante </w:t>
      </w:r>
      <w:r w:rsidRPr="006920E0">
        <w:rPr>
          <w:rFonts w:asciiTheme="majorHAnsi" w:hAnsiTheme="majorHAnsi" w:cstheme="majorHAnsi"/>
        </w:rPr>
        <w:t xml:space="preserve">en el </w:t>
      </w:r>
    </w:p>
    <w:p w14:paraId="0B27D2C1" w14:textId="77777777" w:rsidR="00FB11FF" w:rsidRPr="006920E0" w:rsidRDefault="00FB11FF" w:rsidP="00C91E09">
      <w:pPr>
        <w:jc w:val="both"/>
        <w:rPr>
          <w:rFonts w:asciiTheme="majorHAnsi" w:hAnsiTheme="majorHAnsi" w:cstheme="majorHAnsi"/>
        </w:rPr>
      </w:pPr>
    </w:p>
    <w:p w14:paraId="58E43E28" w14:textId="58A1C101" w:rsidR="00AB5FAF" w:rsidRPr="006920E0" w:rsidRDefault="00DA7356" w:rsidP="00C91E09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reconocimiento de la identidad </w:t>
      </w:r>
      <w:r w:rsidR="00EA51BD" w:rsidRPr="006920E0">
        <w:rPr>
          <w:rFonts w:asciiTheme="majorHAnsi" w:hAnsiTheme="majorHAnsi" w:cstheme="majorHAnsi"/>
        </w:rPr>
        <w:t>de las personas trans</w:t>
      </w:r>
      <w:r w:rsidR="006920E0" w:rsidRPr="006920E0">
        <w:rPr>
          <w:rFonts w:asciiTheme="majorHAnsi" w:hAnsiTheme="majorHAnsi" w:cstheme="majorHAnsi"/>
        </w:rPr>
        <w:t xml:space="preserve"> o con expresión de género no normativa</w:t>
      </w:r>
      <w:r w:rsidR="00EA51BD" w:rsidRPr="006920E0">
        <w:rPr>
          <w:rFonts w:asciiTheme="majorHAnsi" w:hAnsiTheme="majorHAnsi" w:cstheme="majorHAnsi"/>
        </w:rPr>
        <w:t xml:space="preserve"> </w:t>
      </w:r>
      <w:r w:rsidR="006920E0" w:rsidRPr="006920E0">
        <w:rPr>
          <w:rFonts w:asciiTheme="majorHAnsi" w:hAnsiTheme="majorHAnsi" w:cstheme="majorHAnsi"/>
        </w:rPr>
        <w:t>al señalar que</w:t>
      </w:r>
      <w:r w:rsidRPr="006920E0">
        <w:rPr>
          <w:rFonts w:asciiTheme="majorHAnsi" w:hAnsiTheme="majorHAnsi" w:cstheme="majorHAnsi"/>
        </w:rPr>
        <w:t xml:space="preserve"> la falta de concordancia entre la expresión de género de la persona </w:t>
      </w:r>
      <w:r w:rsidR="00EA51BD" w:rsidRPr="006920E0">
        <w:rPr>
          <w:rFonts w:asciiTheme="majorHAnsi" w:hAnsiTheme="majorHAnsi" w:cstheme="majorHAnsi"/>
        </w:rPr>
        <w:t xml:space="preserve">y </w:t>
      </w:r>
      <w:r w:rsidR="006920E0" w:rsidRPr="006920E0">
        <w:rPr>
          <w:rFonts w:asciiTheme="majorHAnsi" w:hAnsiTheme="majorHAnsi" w:cstheme="majorHAnsi"/>
        </w:rPr>
        <w:t>los</w:t>
      </w:r>
      <w:r w:rsidRPr="006920E0">
        <w:rPr>
          <w:rFonts w:asciiTheme="majorHAnsi" w:hAnsiTheme="majorHAnsi" w:cstheme="majorHAnsi"/>
        </w:rPr>
        <w:t xml:space="preserve"> datos de </w:t>
      </w:r>
      <w:r w:rsidR="00AB5FAF" w:rsidRPr="006920E0">
        <w:rPr>
          <w:rFonts w:asciiTheme="majorHAnsi" w:hAnsiTheme="majorHAnsi" w:cstheme="majorHAnsi"/>
        </w:rPr>
        <w:t>identificación</w:t>
      </w:r>
      <w:r w:rsidRPr="006920E0">
        <w:rPr>
          <w:rFonts w:asciiTheme="majorHAnsi" w:hAnsiTheme="majorHAnsi" w:cstheme="majorHAnsi"/>
        </w:rPr>
        <w:t xml:space="preserve"> </w:t>
      </w:r>
      <w:r w:rsidR="00AB5FAF" w:rsidRPr="006920E0">
        <w:rPr>
          <w:rFonts w:asciiTheme="majorHAnsi" w:hAnsiTheme="majorHAnsi" w:cstheme="majorHAnsi"/>
        </w:rPr>
        <w:t>presentes en la credencial para votar no puede ser motivo limitante para el ejercicio del voto.</w:t>
      </w:r>
    </w:p>
    <w:p w14:paraId="30335731" w14:textId="77777777" w:rsidR="001D2A0A" w:rsidRPr="006920E0" w:rsidRDefault="001D2A0A" w:rsidP="00C91E09">
      <w:pPr>
        <w:jc w:val="both"/>
        <w:rPr>
          <w:rFonts w:asciiTheme="majorHAnsi" w:hAnsiTheme="majorHAnsi" w:cstheme="majorHAnsi"/>
          <w:lang w:val="es-ES_tradnl"/>
        </w:rPr>
      </w:pPr>
    </w:p>
    <w:p w14:paraId="7EB6832F" w14:textId="6B73C4FF" w:rsidR="00F57AB5" w:rsidRPr="006920E0" w:rsidRDefault="00432847" w:rsidP="00DF057E">
      <w:pPr>
        <w:jc w:val="both"/>
        <w:rPr>
          <w:rFonts w:asciiTheme="majorHAnsi" w:hAnsiTheme="majorHAnsi" w:cstheme="majorHAnsi"/>
          <w:b/>
          <w:bCs/>
          <w:lang w:val="es-ES_tradnl"/>
        </w:rPr>
      </w:pPr>
      <w:r w:rsidRPr="006920E0">
        <w:rPr>
          <w:rFonts w:asciiTheme="majorHAnsi" w:hAnsiTheme="majorHAnsi" w:cstheme="majorHAnsi"/>
          <w:b/>
          <w:bCs/>
          <w:lang w:val="es-ES_tradnl"/>
        </w:rPr>
        <w:t>P</w:t>
      </w:r>
      <w:r w:rsidR="008C6FF0" w:rsidRPr="006920E0">
        <w:rPr>
          <w:rFonts w:asciiTheme="majorHAnsi" w:hAnsiTheme="majorHAnsi" w:cstheme="majorHAnsi"/>
          <w:b/>
          <w:bCs/>
          <w:lang w:val="es-ES_tradnl"/>
        </w:rPr>
        <w:t>ersonas</w:t>
      </w:r>
      <w:r w:rsidRPr="006920E0">
        <w:rPr>
          <w:rFonts w:asciiTheme="majorHAnsi" w:hAnsiTheme="majorHAnsi" w:cstheme="majorHAnsi"/>
          <w:b/>
          <w:bCs/>
          <w:lang w:val="es-ES_tradnl"/>
        </w:rPr>
        <w:t xml:space="preserve"> privadas de libertad</w:t>
      </w:r>
    </w:p>
    <w:p w14:paraId="60A691DB" w14:textId="53563ACB" w:rsidR="00CA78A9" w:rsidRPr="006920E0" w:rsidRDefault="00F57AB5" w:rsidP="00CA78A9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Cs/>
          <w:lang w:val="es-ES_tradnl"/>
        </w:rPr>
        <w:t>En 2019</w:t>
      </w:r>
      <w:r w:rsidRPr="006920E0">
        <w:rPr>
          <w:rFonts w:asciiTheme="majorHAnsi" w:hAnsiTheme="majorHAnsi" w:cstheme="majorHAnsi"/>
          <w:b/>
          <w:bCs/>
          <w:lang w:val="es-ES_tradnl"/>
        </w:rPr>
        <w:t xml:space="preserve"> </w:t>
      </w:r>
      <w:r w:rsidR="00F705A7" w:rsidRPr="006920E0">
        <w:rPr>
          <w:rFonts w:asciiTheme="majorHAnsi" w:hAnsiTheme="majorHAnsi" w:cstheme="majorHAnsi"/>
          <w:shd w:val="clear" w:color="auto" w:fill="FFFFFF"/>
        </w:rPr>
        <w:t xml:space="preserve">Tribunal Electoral del Poder Judicial de la Federación, reconoció por primera vez </w:t>
      </w:r>
      <w:r w:rsidR="00F705A7" w:rsidRPr="006920E0">
        <w:rPr>
          <w:rFonts w:asciiTheme="majorHAnsi" w:hAnsiTheme="majorHAnsi" w:cstheme="majorHAnsi"/>
        </w:rPr>
        <w:t xml:space="preserve">el derecho al </w:t>
      </w:r>
      <w:hyperlink r:id="rId17" w:history="1">
        <w:r w:rsidR="00F705A7" w:rsidRPr="006920E0">
          <w:rPr>
            <w:rStyle w:val="Hyperlink"/>
            <w:rFonts w:asciiTheme="majorHAnsi" w:hAnsiTheme="majorHAnsi" w:cstheme="majorHAnsi"/>
          </w:rPr>
          <w:t>voto activo de las personas privadas de la libertad</w:t>
        </w:r>
      </w:hyperlink>
      <w:r w:rsidR="00A96F25" w:rsidRPr="006920E0">
        <w:rPr>
          <w:rFonts w:asciiTheme="majorHAnsi" w:hAnsiTheme="majorHAnsi" w:cstheme="majorHAnsi"/>
        </w:rPr>
        <w:t xml:space="preserve"> </w:t>
      </w:r>
      <w:r w:rsidR="00F705A7" w:rsidRPr="006920E0">
        <w:rPr>
          <w:rFonts w:asciiTheme="majorHAnsi" w:hAnsiTheme="majorHAnsi" w:cstheme="majorHAnsi"/>
        </w:rPr>
        <w:t>bajo la figura de la prisión preventiva</w:t>
      </w:r>
      <w:r w:rsidR="00F705A7" w:rsidRPr="006920E0">
        <w:rPr>
          <w:rFonts w:asciiTheme="majorHAnsi" w:hAnsiTheme="majorHAnsi" w:cstheme="majorHAnsi"/>
          <w:shd w:val="clear" w:color="auto" w:fill="FFFFFF"/>
        </w:rPr>
        <w:t xml:space="preserve">, marcando un precedente al señalar que la participación de este grupo poblacional “ </w:t>
      </w:r>
      <w:hyperlink r:id="rId18" w:history="1">
        <w:r w:rsidR="00F705A7" w:rsidRPr="006920E0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[…] se </w:t>
        </w:r>
        <w:r w:rsidR="00F705A7" w:rsidRPr="006920E0">
          <w:rPr>
            <w:rStyle w:val="Hyperlink"/>
            <w:rFonts w:asciiTheme="majorHAnsi" w:hAnsiTheme="majorHAnsi" w:cstheme="majorHAnsi"/>
            <w:i/>
          </w:rPr>
          <w:t>debe interpretar de manera evolutiva y conforme a los principios constitucionales de derecho al voto y presunción de inocencia”</w:t>
        </w:r>
      </w:hyperlink>
      <w:r w:rsidR="00F705A7" w:rsidRPr="006920E0">
        <w:rPr>
          <w:rFonts w:asciiTheme="majorHAnsi" w:hAnsiTheme="majorHAnsi" w:cstheme="majorHAnsi"/>
        </w:rPr>
        <w:t xml:space="preserve"> dando lugar a la implementación de mecanismos especiales de participación. Al respecto en las elecciones intermedias de 2020, se </w:t>
      </w:r>
      <w:r w:rsidR="00BF748D" w:rsidRPr="006920E0">
        <w:rPr>
          <w:rFonts w:asciiTheme="majorHAnsi" w:hAnsiTheme="majorHAnsi" w:cstheme="majorHAnsi"/>
        </w:rPr>
        <w:t>implementó</w:t>
      </w:r>
      <w:r w:rsidR="00F705A7" w:rsidRPr="006920E0">
        <w:rPr>
          <w:rFonts w:asciiTheme="majorHAnsi" w:hAnsiTheme="majorHAnsi" w:cstheme="majorHAnsi"/>
        </w:rPr>
        <w:t xml:space="preserve"> un programa piloto por el Instituto Nacional Electoral </w:t>
      </w:r>
      <w:r w:rsidR="00BF748D" w:rsidRPr="006920E0">
        <w:rPr>
          <w:rFonts w:asciiTheme="majorHAnsi" w:hAnsiTheme="majorHAnsi" w:cstheme="majorHAnsi"/>
        </w:rPr>
        <w:t>en cuatro Centros Federales de Reinserción Social,</w:t>
      </w:r>
      <w:r w:rsidR="00F705A7" w:rsidRPr="006920E0">
        <w:rPr>
          <w:rFonts w:asciiTheme="majorHAnsi" w:hAnsiTheme="majorHAnsi" w:cstheme="majorHAnsi"/>
        </w:rPr>
        <w:t xml:space="preserve"> en el que </w:t>
      </w:r>
      <w:r w:rsidR="00A96F25" w:rsidRPr="006920E0">
        <w:rPr>
          <w:rFonts w:asciiTheme="majorHAnsi" w:hAnsiTheme="majorHAnsi" w:cstheme="majorHAnsi"/>
        </w:rPr>
        <w:t>participaron 898</w:t>
      </w:r>
      <w:r w:rsidR="00F705A7" w:rsidRPr="006920E0">
        <w:rPr>
          <w:rFonts w:asciiTheme="majorHAnsi" w:hAnsiTheme="majorHAnsi" w:cstheme="majorHAnsi"/>
        </w:rPr>
        <w:t xml:space="preserve"> personas privadas de la libertad (142 mujeres) de una lista </w:t>
      </w:r>
      <w:r w:rsidR="00BF748D" w:rsidRPr="006920E0">
        <w:rPr>
          <w:rFonts w:asciiTheme="majorHAnsi" w:hAnsiTheme="majorHAnsi" w:cstheme="majorHAnsi"/>
        </w:rPr>
        <w:t>nominal</w:t>
      </w:r>
      <w:r w:rsidR="00F705A7" w:rsidRPr="006920E0">
        <w:rPr>
          <w:rFonts w:asciiTheme="majorHAnsi" w:hAnsiTheme="majorHAnsi" w:cstheme="majorHAnsi"/>
        </w:rPr>
        <w:t xml:space="preserve"> de 950 personas registradas</w:t>
      </w:r>
      <w:r w:rsidR="00CA78A9" w:rsidRPr="006920E0">
        <w:rPr>
          <w:rFonts w:asciiTheme="majorHAnsi" w:hAnsiTheme="majorHAnsi" w:cstheme="majorHAnsi"/>
        </w:rPr>
        <w:t xml:space="preserve"> por lo que aun cuando sea una buena práctica sigue siendo un desafío su implementación a nivel nacional y local, considerando que de acuerdo con el Censo Nacional de Gobierno, Seguridad Pública y Sistema Penitenciario 2020 2 (CNGSPSP2020), al cierre de 2019, 180,012 personas se encontraban privadas de libertad en México, de las cuales el 94.7% (171,991) son hombres y 5.3% (9,543) son mujeres.</w:t>
      </w:r>
    </w:p>
    <w:p w14:paraId="6E968C56" w14:textId="6EFE1B30" w:rsidR="00DF057E" w:rsidRPr="006920E0" w:rsidRDefault="00CA78A9" w:rsidP="00CA78A9">
      <w:pPr>
        <w:jc w:val="both"/>
        <w:rPr>
          <w:rFonts w:asciiTheme="majorHAnsi" w:hAnsiTheme="majorHAnsi" w:cstheme="majorHAnsi"/>
          <w:shd w:val="clear" w:color="auto" w:fill="FFFFFF"/>
        </w:rPr>
      </w:pPr>
      <w:r w:rsidRPr="006920E0">
        <w:rPr>
          <w:rFonts w:asciiTheme="majorHAnsi" w:hAnsiTheme="majorHAnsi" w:cstheme="majorHAnsi"/>
        </w:rPr>
        <w:t xml:space="preserve">Solo en la </w:t>
      </w:r>
      <w:hyperlink r:id="rId19" w:history="1">
        <w:r w:rsidRPr="006920E0">
          <w:rPr>
            <w:rStyle w:val="Hyperlink"/>
            <w:rFonts w:asciiTheme="majorHAnsi" w:hAnsiTheme="majorHAnsi" w:cstheme="majorHAnsi"/>
          </w:rPr>
          <w:t>Ciudad de México</w:t>
        </w:r>
      </w:hyperlink>
      <w:r w:rsidRPr="006920E0">
        <w:rPr>
          <w:rFonts w:asciiTheme="majorHAnsi" w:hAnsiTheme="majorHAnsi" w:cstheme="majorHAnsi"/>
        </w:rPr>
        <w:t xml:space="preserve"> a finales de febrero de 2021 existía una población penitenciaria de 27051 personas privadas de libertad de las que 25470 (94.15) son hombres y 1581 (5.84%) mujeres.</w:t>
      </w:r>
    </w:p>
    <w:p w14:paraId="7300B591" w14:textId="0932D958" w:rsidR="00BF748D" w:rsidRPr="006920E0" w:rsidRDefault="007A6EDA" w:rsidP="00DF057E">
      <w:pPr>
        <w:jc w:val="both"/>
        <w:rPr>
          <w:rFonts w:asciiTheme="majorHAnsi" w:hAnsiTheme="majorHAnsi" w:cstheme="majorHAnsi"/>
          <w:b/>
          <w:bCs/>
          <w:lang w:val="es-ES_tradnl"/>
        </w:rPr>
      </w:pPr>
      <w:r w:rsidRPr="006920E0">
        <w:rPr>
          <w:rFonts w:asciiTheme="majorHAnsi" w:hAnsiTheme="majorHAnsi" w:cstheme="majorHAnsi"/>
          <w:b/>
          <w:bCs/>
          <w:shd w:val="clear" w:color="auto" w:fill="FFFFFF"/>
        </w:rPr>
        <w:t>P</w:t>
      </w:r>
      <w:r w:rsidR="00BF748D" w:rsidRPr="006920E0">
        <w:rPr>
          <w:rFonts w:asciiTheme="majorHAnsi" w:hAnsiTheme="majorHAnsi" w:cstheme="majorHAnsi"/>
          <w:b/>
          <w:bCs/>
          <w:shd w:val="clear" w:color="auto" w:fill="FFFFFF"/>
        </w:rPr>
        <w:t xml:space="preserve">ersonas en </w:t>
      </w:r>
      <w:r w:rsidR="009D10EE" w:rsidRPr="006920E0">
        <w:rPr>
          <w:rFonts w:asciiTheme="majorHAnsi" w:hAnsiTheme="majorHAnsi" w:cstheme="majorHAnsi"/>
          <w:b/>
          <w:bCs/>
          <w:shd w:val="clear" w:color="auto" w:fill="FFFFFF"/>
        </w:rPr>
        <w:t>el extranjero</w:t>
      </w:r>
    </w:p>
    <w:p w14:paraId="6CCD91C5" w14:textId="052B22E5" w:rsidR="00352433" w:rsidRPr="006920E0" w:rsidRDefault="00423752" w:rsidP="00352433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Desde 2006 se reconoció en la C</w:t>
      </w:r>
      <w:r w:rsidR="00FB498B" w:rsidRPr="006920E0">
        <w:rPr>
          <w:rFonts w:asciiTheme="majorHAnsi" w:hAnsiTheme="majorHAnsi" w:cstheme="majorHAnsi"/>
          <w:lang w:val="es-ES_tradnl"/>
        </w:rPr>
        <w:t>onstitución Política Federa</w:t>
      </w:r>
      <w:r w:rsidR="009D10EE" w:rsidRPr="006920E0">
        <w:rPr>
          <w:rFonts w:asciiTheme="majorHAnsi" w:hAnsiTheme="majorHAnsi" w:cstheme="majorHAnsi"/>
          <w:lang w:val="es-ES_tradnl"/>
        </w:rPr>
        <w:t>l</w:t>
      </w:r>
      <w:r w:rsidR="00A96F25" w:rsidRPr="006920E0">
        <w:rPr>
          <w:rFonts w:asciiTheme="majorHAnsi" w:hAnsiTheme="majorHAnsi" w:cstheme="majorHAnsi"/>
          <w:lang w:val="es-ES_tradnl"/>
        </w:rPr>
        <w:t xml:space="preserve"> </w:t>
      </w:r>
      <w:r w:rsidR="00FB498B" w:rsidRPr="006920E0">
        <w:rPr>
          <w:rFonts w:asciiTheme="majorHAnsi" w:hAnsiTheme="majorHAnsi" w:cstheme="majorHAnsi"/>
          <w:lang w:val="es-ES_tradnl"/>
        </w:rPr>
        <w:t>el</w:t>
      </w:r>
      <w:r w:rsidRPr="006920E0">
        <w:rPr>
          <w:rFonts w:asciiTheme="majorHAnsi" w:hAnsiTheme="majorHAnsi" w:cstheme="majorHAnsi"/>
          <w:lang w:val="es-ES_tradnl"/>
        </w:rPr>
        <w:t xml:space="preserve"> derecho al voto en el extranjero, </w:t>
      </w:r>
      <w:r w:rsidR="00FB498B" w:rsidRPr="006920E0">
        <w:rPr>
          <w:rFonts w:asciiTheme="majorHAnsi" w:hAnsiTheme="majorHAnsi" w:cstheme="majorHAnsi"/>
          <w:lang w:val="es-ES_tradnl"/>
        </w:rPr>
        <w:t>a través de la</w:t>
      </w:r>
      <w:r w:rsidR="00352433" w:rsidRPr="006920E0">
        <w:rPr>
          <w:rFonts w:asciiTheme="majorHAnsi" w:hAnsiTheme="majorHAnsi" w:cstheme="majorHAnsi"/>
          <w:lang w:val="es-ES_tradnl"/>
        </w:rPr>
        <w:t xml:space="preserve"> figura</w:t>
      </w:r>
      <w:r w:rsidR="00FB498B" w:rsidRPr="006920E0">
        <w:rPr>
          <w:rFonts w:asciiTheme="majorHAnsi" w:hAnsiTheme="majorHAnsi" w:cstheme="majorHAnsi"/>
          <w:lang w:val="es-ES_tradnl"/>
        </w:rPr>
        <w:t xml:space="preserve"> </w:t>
      </w:r>
      <w:r w:rsidR="00BF748D" w:rsidRPr="006920E0">
        <w:rPr>
          <w:rFonts w:asciiTheme="majorHAnsi" w:hAnsiTheme="majorHAnsi" w:cstheme="majorHAnsi"/>
          <w:lang w:val="es-ES_tradnl"/>
        </w:rPr>
        <w:t>de la</w:t>
      </w:r>
      <w:r w:rsidR="00352433" w:rsidRPr="006920E0">
        <w:rPr>
          <w:rFonts w:asciiTheme="majorHAnsi" w:hAnsiTheme="majorHAnsi" w:cstheme="majorHAnsi"/>
          <w:lang w:val="es-ES_tradnl"/>
        </w:rPr>
        <w:t xml:space="preserve"> diputación migrante </w:t>
      </w:r>
      <w:r w:rsidR="00BF748D" w:rsidRPr="006920E0">
        <w:rPr>
          <w:rFonts w:asciiTheme="majorHAnsi" w:hAnsiTheme="majorHAnsi" w:cstheme="majorHAnsi"/>
          <w:lang w:val="es-ES_tradnl"/>
        </w:rPr>
        <w:t xml:space="preserve">como el mecanismo que permite </w:t>
      </w:r>
      <w:r w:rsidR="00352433" w:rsidRPr="006920E0">
        <w:rPr>
          <w:rFonts w:asciiTheme="majorHAnsi" w:hAnsiTheme="majorHAnsi" w:cstheme="majorHAnsi"/>
          <w:lang w:val="es-ES_tradnl"/>
        </w:rPr>
        <w:t>que los ciudadanos</w:t>
      </w:r>
      <w:r w:rsidR="00BF748D" w:rsidRPr="006920E0">
        <w:rPr>
          <w:rFonts w:asciiTheme="majorHAnsi" w:hAnsiTheme="majorHAnsi" w:cstheme="majorHAnsi"/>
          <w:lang w:val="es-ES_tradnl"/>
        </w:rPr>
        <w:t xml:space="preserve"> mexicanos</w:t>
      </w:r>
      <w:r w:rsidR="00352433" w:rsidRPr="006920E0">
        <w:rPr>
          <w:rFonts w:asciiTheme="majorHAnsi" w:hAnsiTheme="majorHAnsi" w:cstheme="majorHAnsi"/>
          <w:lang w:val="es-ES_tradnl"/>
        </w:rPr>
        <w:t xml:space="preserve"> que viven en otro país</w:t>
      </w:r>
      <w:r w:rsidR="00FB498B" w:rsidRPr="006920E0">
        <w:rPr>
          <w:rFonts w:asciiTheme="majorHAnsi" w:hAnsiTheme="majorHAnsi" w:cstheme="majorHAnsi"/>
          <w:lang w:val="es-ES_tradnl"/>
        </w:rPr>
        <w:t xml:space="preserve">, </w:t>
      </w:r>
      <w:r w:rsidR="00352433" w:rsidRPr="006920E0">
        <w:rPr>
          <w:rFonts w:asciiTheme="majorHAnsi" w:hAnsiTheme="majorHAnsi" w:cstheme="majorHAnsi"/>
          <w:lang w:val="es-ES_tradnl"/>
        </w:rPr>
        <w:t>partici</w:t>
      </w:r>
      <w:r w:rsidR="009D10EE" w:rsidRPr="006920E0">
        <w:rPr>
          <w:rFonts w:asciiTheme="majorHAnsi" w:hAnsiTheme="majorHAnsi" w:cstheme="majorHAnsi"/>
          <w:lang w:val="es-ES_tradnl"/>
        </w:rPr>
        <w:t>par</w:t>
      </w:r>
      <w:r w:rsidR="00352433" w:rsidRPr="006920E0">
        <w:rPr>
          <w:rFonts w:asciiTheme="majorHAnsi" w:hAnsiTheme="majorHAnsi" w:cstheme="majorHAnsi"/>
          <w:lang w:val="es-ES_tradnl"/>
        </w:rPr>
        <w:t xml:space="preserve"> activamente en </w:t>
      </w:r>
      <w:r w:rsidR="00BF748D" w:rsidRPr="006920E0">
        <w:rPr>
          <w:rFonts w:asciiTheme="majorHAnsi" w:hAnsiTheme="majorHAnsi" w:cstheme="majorHAnsi"/>
          <w:lang w:val="es-ES_tradnl"/>
        </w:rPr>
        <w:t>la elección de</w:t>
      </w:r>
      <w:r w:rsidR="00352433" w:rsidRPr="006920E0">
        <w:rPr>
          <w:rFonts w:asciiTheme="majorHAnsi" w:hAnsiTheme="majorHAnsi" w:cstheme="majorHAnsi"/>
          <w:lang w:val="es-ES_tradnl"/>
        </w:rPr>
        <w:t xml:space="preserve"> sus representantes</w:t>
      </w:r>
      <w:r w:rsidR="00BF748D" w:rsidRPr="006920E0">
        <w:rPr>
          <w:rFonts w:asciiTheme="majorHAnsi" w:hAnsiTheme="majorHAnsi" w:cstheme="majorHAnsi"/>
          <w:lang w:val="es-ES_tradnl"/>
        </w:rPr>
        <w:t xml:space="preserve">, </w:t>
      </w:r>
      <w:r w:rsidR="009D10EE" w:rsidRPr="006920E0">
        <w:rPr>
          <w:rFonts w:asciiTheme="majorHAnsi" w:hAnsiTheme="majorHAnsi" w:cstheme="majorHAnsi"/>
          <w:lang w:val="es-ES_tradnl"/>
        </w:rPr>
        <w:t>siendo</w:t>
      </w:r>
      <w:r w:rsidR="00BF748D" w:rsidRPr="006920E0">
        <w:rPr>
          <w:rFonts w:asciiTheme="majorHAnsi" w:hAnsiTheme="majorHAnsi" w:cstheme="majorHAnsi"/>
          <w:lang w:val="es-ES_tradnl"/>
        </w:rPr>
        <w:t xml:space="preserve"> una buena práctica relacionada a la implementación de la </w:t>
      </w:r>
      <w:r w:rsidR="00BF748D" w:rsidRPr="006920E0">
        <w:rPr>
          <w:rFonts w:asciiTheme="majorHAnsi" w:hAnsiTheme="majorHAnsi" w:cstheme="majorHAnsi"/>
          <w:b/>
          <w:bCs/>
          <w:lang w:val="es-ES_tradnl"/>
        </w:rPr>
        <w:t xml:space="preserve">recomendación </w:t>
      </w:r>
      <w:r w:rsidR="00352433" w:rsidRPr="006920E0">
        <w:rPr>
          <w:rFonts w:asciiTheme="majorHAnsi" w:hAnsiTheme="majorHAnsi" w:cstheme="majorHAnsi"/>
          <w:b/>
          <w:bCs/>
          <w:lang w:val="es-ES_tradnl"/>
        </w:rPr>
        <w:t>31</w:t>
      </w:r>
      <w:r w:rsidR="00352433" w:rsidRPr="006920E0">
        <w:rPr>
          <w:rFonts w:asciiTheme="majorHAnsi" w:hAnsiTheme="majorHAnsi" w:cstheme="majorHAnsi"/>
          <w:lang w:val="es-ES_tradnl"/>
        </w:rPr>
        <w:t>.</w:t>
      </w:r>
    </w:p>
    <w:p w14:paraId="1554058A" w14:textId="5E0068EC" w:rsidR="00FB498B" w:rsidRPr="006920E0" w:rsidRDefault="00F4408B" w:rsidP="00CC64D4">
      <w:pPr>
        <w:jc w:val="both"/>
        <w:rPr>
          <w:rFonts w:asciiTheme="majorHAnsi" w:hAnsiTheme="majorHAnsi" w:cstheme="majorHAnsi"/>
          <w:lang w:val="es-ES_tradnl"/>
        </w:rPr>
      </w:pPr>
      <w:r w:rsidRPr="006920E0">
        <w:rPr>
          <w:rFonts w:asciiTheme="majorHAnsi" w:hAnsiTheme="majorHAnsi" w:cstheme="majorHAnsi"/>
          <w:lang w:val="es-ES_tradnl"/>
        </w:rPr>
        <w:t>A</w:t>
      </w:r>
      <w:r w:rsidR="00BF748D" w:rsidRPr="006920E0">
        <w:rPr>
          <w:rFonts w:asciiTheme="majorHAnsi" w:hAnsiTheme="majorHAnsi" w:cstheme="majorHAnsi"/>
          <w:lang w:val="es-ES_tradnl"/>
        </w:rPr>
        <w:t xml:space="preserve"> pesar de que</w:t>
      </w:r>
      <w:r w:rsidR="00352433" w:rsidRPr="006920E0">
        <w:rPr>
          <w:rFonts w:asciiTheme="majorHAnsi" w:hAnsiTheme="majorHAnsi" w:cstheme="majorHAnsi"/>
          <w:lang w:val="es-ES_tradnl"/>
        </w:rPr>
        <w:t xml:space="preserve"> México, </w:t>
      </w:r>
      <w:r w:rsidR="00BF748D" w:rsidRPr="006920E0">
        <w:rPr>
          <w:rFonts w:asciiTheme="majorHAnsi" w:hAnsiTheme="majorHAnsi" w:cstheme="majorHAnsi"/>
          <w:lang w:val="es-ES_tradnl"/>
        </w:rPr>
        <w:t>es</w:t>
      </w:r>
      <w:r w:rsidR="00352433" w:rsidRPr="006920E0">
        <w:rPr>
          <w:rFonts w:asciiTheme="majorHAnsi" w:hAnsiTheme="majorHAnsi" w:cstheme="majorHAnsi"/>
          <w:lang w:val="es-ES_tradnl"/>
        </w:rPr>
        <w:t xml:space="preserve"> el segundo país con más ciudadanos viviendo en el extranjero </w:t>
      </w:r>
      <w:r w:rsidR="00FB498B" w:rsidRPr="006920E0">
        <w:rPr>
          <w:rFonts w:asciiTheme="majorHAnsi" w:hAnsiTheme="majorHAnsi" w:cstheme="majorHAnsi"/>
          <w:lang w:val="es-ES_tradnl"/>
        </w:rPr>
        <w:t>muchas entidades federativas</w:t>
      </w:r>
      <w:r w:rsidR="00352433" w:rsidRPr="006920E0">
        <w:rPr>
          <w:rFonts w:asciiTheme="majorHAnsi" w:hAnsiTheme="majorHAnsi" w:cstheme="majorHAnsi"/>
          <w:lang w:val="es-ES_tradnl"/>
        </w:rPr>
        <w:t xml:space="preserve">, </w:t>
      </w:r>
      <w:r w:rsidR="009D10EE" w:rsidRPr="006920E0">
        <w:rPr>
          <w:rFonts w:asciiTheme="majorHAnsi" w:hAnsiTheme="majorHAnsi" w:cstheme="majorHAnsi"/>
          <w:lang w:val="es-ES_tradnl"/>
        </w:rPr>
        <w:t>sigue siendo un reto que se</w:t>
      </w:r>
      <w:r w:rsidR="00352433" w:rsidRPr="006920E0">
        <w:rPr>
          <w:rFonts w:asciiTheme="majorHAnsi" w:hAnsiTheme="majorHAnsi" w:cstheme="majorHAnsi"/>
          <w:lang w:val="es-ES_tradnl"/>
        </w:rPr>
        <w:t xml:space="preserve"> </w:t>
      </w:r>
      <w:r w:rsidR="00BF748D" w:rsidRPr="006920E0">
        <w:rPr>
          <w:rFonts w:asciiTheme="majorHAnsi" w:hAnsiTheme="majorHAnsi" w:cstheme="majorHAnsi"/>
          <w:lang w:val="es-ES_tradnl"/>
        </w:rPr>
        <w:t>c</w:t>
      </w:r>
      <w:r w:rsidR="00352433" w:rsidRPr="006920E0">
        <w:rPr>
          <w:rFonts w:asciiTheme="majorHAnsi" w:hAnsiTheme="majorHAnsi" w:cstheme="majorHAnsi"/>
          <w:lang w:val="es-ES_tradnl"/>
        </w:rPr>
        <w:t>uent</w:t>
      </w:r>
      <w:r w:rsidR="009D10EE" w:rsidRPr="006920E0">
        <w:rPr>
          <w:rFonts w:asciiTheme="majorHAnsi" w:hAnsiTheme="majorHAnsi" w:cstheme="majorHAnsi"/>
          <w:lang w:val="es-ES_tradnl"/>
        </w:rPr>
        <w:t>e</w:t>
      </w:r>
      <w:r w:rsidR="00BF748D" w:rsidRPr="006920E0">
        <w:rPr>
          <w:rFonts w:asciiTheme="majorHAnsi" w:hAnsiTheme="majorHAnsi" w:cstheme="majorHAnsi"/>
          <w:lang w:val="es-ES_tradnl"/>
        </w:rPr>
        <w:t xml:space="preserve"> con </w:t>
      </w:r>
      <w:r w:rsidR="00352433" w:rsidRPr="006920E0">
        <w:rPr>
          <w:rFonts w:asciiTheme="majorHAnsi" w:hAnsiTheme="majorHAnsi" w:cstheme="majorHAnsi"/>
          <w:lang w:val="es-ES_tradnl"/>
        </w:rPr>
        <w:t xml:space="preserve">esta figura de una manera regular </w:t>
      </w:r>
      <w:r w:rsidRPr="006920E0">
        <w:rPr>
          <w:rFonts w:asciiTheme="majorHAnsi" w:hAnsiTheme="majorHAnsi" w:cstheme="majorHAnsi"/>
          <w:lang w:val="es-ES_tradnl"/>
        </w:rPr>
        <w:t>en las constituciones locales</w:t>
      </w:r>
      <w:r w:rsidR="00352433" w:rsidRPr="006920E0">
        <w:rPr>
          <w:rFonts w:asciiTheme="majorHAnsi" w:hAnsiTheme="majorHAnsi" w:cstheme="majorHAnsi"/>
          <w:lang w:val="es-ES_tradnl"/>
        </w:rPr>
        <w:t>.</w:t>
      </w:r>
      <w:r w:rsidR="009D10EE" w:rsidRPr="006920E0">
        <w:rPr>
          <w:rFonts w:asciiTheme="majorHAnsi" w:hAnsiTheme="majorHAnsi" w:cstheme="majorHAnsi"/>
          <w:lang w:val="es-ES_tradnl"/>
        </w:rPr>
        <w:t xml:space="preserve"> En el caso de la Ciudad de México, el 2 de junio de 2020, la Sala Regional Ciudad de México del Tribunal Electoral del Poder Judicial de la Federación declaró inconstitucional la reforma al Código Electoral de la Ciudad de México, </w:t>
      </w:r>
      <w:r w:rsidR="00CC64D4" w:rsidRPr="006920E0">
        <w:rPr>
          <w:rFonts w:asciiTheme="majorHAnsi" w:hAnsiTheme="majorHAnsi" w:cstheme="majorHAnsi"/>
          <w:lang w:val="es-ES_tradnl"/>
        </w:rPr>
        <w:t xml:space="preserve">realizada en 2020, </w:t>
      </w:r>
      <w:r w:rsidR="009D10EE" w:rsidRPr="006920E0">
        <w:rPr>
          <w:rFonts w:asciiTheme="majorHAnsi" w:hAnsiTheme="majorHAnsi" w:cstheme="majorHAnsi"/>
          <w:lang w:val="es-ES_tradnl"/>
        </w:rPr>
        <w:t xml:space="preserve">por la cual se derogaba la figura de </w:t>
      </w:r>
      <w:r w:rsidR="00CC64D4" w:rsidRPr="006920E0">
        <w:rPr>
          <w:rFonts w:asciiTheme="majorHAnsi" w:hAnsiTheme="majorHAnsi" w:cstheme="majorHAnsi"/>
          <w:lang w:val="es-ES_tradnl"/>
        </w:rPr>
        <w:t>Diputación</w:t>
      </w:r>
      <w:r w:rsidR="009D10EE" w:rsidRPr="006920E0">
        <w:rPr>
          <w:rFonts w:asciiTheme="majorHAnsi" w:hAnsiTheme="majorHAnsi" w:cstheme="majorHAnsi"/>
          <w:lang w:val="es-ES_tradnl"/>
        </w:rPr>
        <w:t xml:space="preserve"> Migrante.</w:t>
      </w:r>
      <w:r w:rsidR="00664CEE" w:rsidRPr="006920E0">
        <w:rPr>
          <w:rFonts w:asciiTheme="majorHAnsi" w:hAnsiTheme="majorHAnsi" w:cstheme="majorHAnsi"/>
          <w:lang w:val="es-ES_tradnl"/>
        </w:rPr>
        <w:t xml:space="preserve"> </w:t>
      </w:r>
      <w:r w:rsidR="009D10EE" w:rsidRPr="006920E0">
        <w:rPr>
          <w:rFonts w:asciiTheme="majorHAnsi" w:hAnsiTheme="majorHAnsi" w:cstheme="majorHAnsi"/>
          <w:lang w:val="es-ES_tradnl"/>
        </w:rPr>
        <w:t>Por lo que</w:t>
      </w:r>
      <w:r w:rsidR="00664CEE" w:rsidRPr="006920E0">
        <w:rPr>
          <w:rFonts w:asciiTheme="majorHAnsi" w:hAnsiTheme="majorHAnsi" w:cstheme="majorHAnsi"/>
          <w:lang w:val="es-ES_tradnl"/>
        </w:rPr>
        <w:t>,</w:t>
      </w:r>
      <w:r w:rsidR="009D10EE" w:rsidRPr="006920E0">
        <w:rPr>
          <w:rFonts w:asciiTheme="majorHAnsi" w:hAnsiTheme="majorHAnsi" w:cstheme="majorHAnsi"/>
          <w:lang w:val="es-ES_tradnl"/>
        </w:rPr>
        <w:t xml:space="preserve"> </w:t>
      </w:r>
      <w:r w:rsidR="00CC64D4" w:rsidRPr="006920E0">
        <w:rPr>
          <w:rFonts w:asciiTheme="majorHAnsi" w:hAnsiTheme="majorHAnsi" w:cstheme="majorHAnsi"/>
          <w:lang w:val="es-ES_tradnl"/>
        </w:rPr>
        <w:t>en las elecciones intermedias de 2021</w:t>
      </w:r>
      <w:r w:rsidRPr="006920E0">
        <w:rPr>
          <w:rFonts w:asciiTheme="majorHAnsi" w:hAnsiTheme="majorHAnsi" w:cstheme="majorHAnsi"/>
          <w:lang w:val="es-ES_tradnl"/>
        </w:rPr>
        <w:t xml:space="preserve"> para la elección de diputaciones,</w:t>
      </w:r>
      <w:r w:rsidR="00CC64D4" w:rsidRPr="006920E0">
        <w:rPr>
          <w:rFonts w:asciiTheme="majorHAnsi" w:hAnsiTheme="majorHAnsi" w:cstheme="majorHAnsi"/>
          <w:lang w:val="es-ES_tradnl"/>
        </w:rPr>
        <w:t xml:space="preserve"> </w:t>
      </w:r>
      <w:r w:rsidR="009D10EE" w:rsidRPr="006920E0">
        <w:rPr>
          <w:rFonts w:asciiTheme="majorHAnsi" w:hAnsiTheme="majorHAnsi" w:cstheme="majorHAnsi"/>
          <w:lang w:val="es-ES_tradnl"/>
        </w:rPr>
        <w:t xml:space="preserve">fue una de las 10 entidades federativas que contó con el </w:t>
      </w:r>
      <w:hyperlink r:id="rId20" w:history="1">
        <w:r w:rsidR="009D10EE" w:rsidRPr="006920E0">
          <w:rPr>
            <w:rStyle w:val="Hyperlink"/>
            <w:rFonts w:asciiTheme="majorHAnsi" w:hAnsiTheme="majorHAnsi" w:cstheme="majorHAnsi"/>
            <w:lang w:val="es-ES_tradnl"/>
          </w:rPr>
          <w:t>voto de</w:t>
        </w:r>
        <w:r w:rsidR="00CC64D4" w:rsidRPr="006920E0">
          <w:rPr>
            <w:rStyle w:val="Hyperlink"/>
            <w:rFonts w:asciiTheme="majorHAnsi" w:hAnsiTheme="majorHAnsi" w:cstheme="majorHAnsi"/>
            <w:lang w:val="es-ES_tradnl"/>
          </w:rPr>
          <w:t xml:space="preserve"> 8906 </w:t>
        </w:r>
        <w:r w:rsidR="009D10EE" w:rsidRPr="006920E0">
          <w:rPr>
            <w:rStyle w:val="Hyperlink"/>
            <w:rFonts w:asciiTheme="majorHAnsi" w:hAnsiTheme="majorHAnsi" w:cstheme="majorHAnsi"/>
            <w:lang w:val="es-ES_tradnl"/>
          </w:rPr>
          <w:t>personas desde el extranjero</w:t>
        </w:r>
      </w:hyperlink>
      <w:r w:rsidR="00CC64D4" w:rsidRPr="006920E0">
        <w:rPr>
          <w:rFonts w:asciiTheme="majorHAnsi" w:hAnsiTheme="majorHAnsi" w:cstheme="majorHAnsi"/>
          <w:lang w:val="es-ES_tradnl"/>
        </w:rPr>
        <w:t xml:space="preserve">. Cabe mencionar el 75% del total de esos votos fueron realizados a través del mecanismo de votación electrónica. </w:t>
      </w:r>
    </w:p>
    <w:p w14:paraId="50C61D8B" w14:textId="77777777" w:rsidR="006920E0" w:rsidRPr="006920E0" w:rsidRDefault="006920E0" w:rsidP="00CC64D4">
      <w:pPr>
        <w:jc w:val="both"/>
        <w:rPr>
          <w:rFonts w:asciiTheme="majorHAnsi" w:hAnsiTheme="majorHAnsi" w:cstheme="majorHAnsi"/>
          <w:lang w:val="es-ES_tradnl"/>
        </w:rPr>
      </w:pPr>
    </w:p>
    <w:p w14:paraId="7664130E" w14:textId="783C0049" w:rsidR="007A6EDA" w:rsidRPr="006920E0" w:rsidRDefault="007A6EDA" w:rsidP="00CC64D4">
      <w:pPr>
        <w:jc w:val="both"/>
        <w:rPr>
          <w:rFonts w:asciiTheme="majorHAnsi" w:hAnsiTheme="majorHAnsi" w:cstheme="majorHAnsi"/>
          <w:lang w:val="es-ES_tradnl"/>
        </w:rPr>
      </w:pPr>
    </w:p>
    <w:p w14:paraId="30E3E8A1" w14:textId="77777777" w:rsidR="007A6EDA" w:rsidRPr="006920E0" w:rsidRDefault="007A6EDA" w:rsidP="00CC64D4">
      <w:pPr>
        <w:jc w:val="both"/>
        <w:rPr>
          <w:rFonts w:asciiTheme="majorHAnsi" w:hAnsiTheme="majorHAnsi" w:cstheme="majorHAnsi"/>
          <w:lang w:val="es-ES_tradnl"/>
        </w:rPr>
      </w:pPr>
    </w:p>
    <w:p w14:paraId="0D1CD6F7" w14:textId="03827414" w:rsidR="00E943E8" w:rsidRPr="006920E0" w:rsidRDefault="00A96F25" w:rsidP="00CC64D4">
      <w:pPr>
        <w:ind w:firstLine="708"/>
        <w:rPr>
          <w:rFonts w:asciiTheme="majorHAnsi" w:hAnsiTheme="majorHAnsi" w:cstheme="majorHAnsi"/>
          <w:b/>
          <w:u w:val="single"/>
        </w:rPr>
      </w:pPr>
      <w:r w:rsidRPr="006920E0">
        <w:rPr>
          <w:rFonts w:asciiTheme="majorHAnsi" w:hAnsiTheme="majorHAnsi" w:cstheme="majorHAnsi"/>
          <w:b/>
          <w:u w:val="single"/>
        </w:rPr>
        <w:t xml:space="preserve">2. </w:t>
      </w:r>
      <w:r w:rsidR="00E943E8" w:rsidRPr="006920E0">
        <w:rPr>
          <w:rFonts w:asciiTheme="majorHAnsi" w:hAnsiTheme="majorHAnsi" w:cstheme="majorHAnsi"/>
          <w:b/>
          <w:u w:val="single"/>
        </w:rPr>
        <w:t>Participación en contextos no electorales</w:t>
      </w:r>
    </w:p>
    <w:p w14:paraId="6D5BD071" w14:textId="01E3D00C" w:rsidR="00FB498B" w:rsidRPr="006920E0" w:rsidRDefault="00FB498B" w:rsidP="00FB498B">
      <w:pPr>
        <w:rPr>
          <w:rFonts w:asciiTheme="majorHAnsi" w:hAnsiTheme="majorHAnsi" w:cstheme="majorHAnsi"/>
          <w:b/>
        </w:rPr>
      </w:pPr>
      <w:r w:rsidRPr="006920E0">
        <w:rPr>
          <w:rFonts w:asciiTheme="majorHAnsi" w:hAnsiTheme="majorHAnsi" w:cstheme="majorHAnsi"/>
          <w:b/>
        </w:rPr>
        <w:t>Niñ</w:t>
      </w:r>
      <w:r w:rsidR="007A6EDA" w:rsidRPr="006920E0">
        <w:rPr>
          <w:rFonts w:asciiTheme="majorHAnsi" w:hAnsiTheme="majorHAnsi" w:cstheme="majorHAnsi"/>
          <w:b/>
        </w:rPr>
        <w:t>a</w:t>
      </w:r>
      <w:r w:rsidRPr="006920E0">
        <w:rPr>
          <w:rFonts w:asciiTheme="majorHAnsi" w:hAnsiTheme="majorHAnsi" w:cstheme="majorHAnsi"/>
          <w:b/>
        </w:rPr>
        <w:t>s, Niñ</w:t>
      </w:r>
      <w:r w:rsidR="007A6EDA" w:rsidRPr="006920E0">
        <w:rPr>
          <w:rFonts w:asciiTheme="majorHAnsi" w:hAnsiTheme="majorHAnsi" w:cstheme="majorHAnsi"/>
          <w:b/>
        </w:rPr>
        <w:t>o</w:t>
      </w:r>
      <w:r w:rsidRPr="006920E0">
        <w:rPr>
          <w:rFonts w:asciiTheme="majorHAnsi" w:hAnsiTheme="majorHAnsi" w:cstheme="majorHAnsi"/>
          <w:b/>
        </w:rPr>
        <w:t>s y Adolescentes</w:t>
      </w:r>
    </w:p>
    <w:p w14:paraId="7AC0D58E" w14:textId="765AB597" w:rsidR="00FF26CA" w:rsidRPr="006920E0" w:rsidRDefault="00FF26CA" w:rsidP="00FF26CA">
      <w:pPr>
        <w:spacing w:after="0" w:line="276" w:lineRule="auto"/>
        <w:jc w:val="both"/>
        <w:rPr>
          <w:rFonts w:asciiTheme="majorHAnsi" w:eastAsia="Arial" w:hAnsiTheme="majorHAnsi" w:cstheme="majorHAnsi"/>
        </w:rPr>
      </w:pPr>
      <w:r w:rsidRPr="006920E0">
        <w:rPr>
          <w:rFonts w:asciiTheme="majorHAnsi" w:eastAsia="Arial" w:hAnsiTheme="majorHAnsi" w:cstheme="majorHAnsi"/>
        </w:rPr>
        <w:t xml:space="preserve">El derecho a la participación de niñas, niños y adolescentes se encuentra explícitamente reconocido a nivel normativo en la </w:t>
      </w:r>
      <w:hyperlink r:id="rId21" w:history="1">
        <w:r w:rsidRPr="006920E0">
          <w:rPr>
            <w:rStyle w:val="Hyperlink"/>
            <w:rFonts w:asciiTheme="majorHAnsi" w:eastAsia="Arial" w:hAnsiTheme="majorHAnsi" w:cstheme="majorHAnsi"/>
          </w:rPr>
          <w:t>Ley General de Derechos de Niñas, Niños y Adolescentes</w:t>
        </w:r>
      </w:hyperlink>
      <w:r w:rsidRPr="006920E0">
        <w:rPr>
          <w:rFonts w:asciiTheme="majorHAnsi" w:eastAsia="Arial" w:hAnsiTheme="majorHAnsi" w:cstheme="majorHAnsi"/>
        </w:rPr>
        <w:t xml:space="preserve">, la </w:t>
      </w:r>
      <w:hyperlink r:id="rId22" w:history="1">
        <w:r w:rsidRPr="006920E0">
          <w:rPr>
            <w:rStyle w:val="Hyperlink"/>
            <w:rFonts w:asciiTheme="majorHAnsi" w:eastAsia="Arial" w:hAnsiTheme="majorHAnsi" w:cstheme="majorHAnsi"/>
          </w:rPr>
          <w:t>Ley  de los Derechos de Niñas, Niños y Adolescentes de la Ciudad de México</w:t>
        </w:r>
      </w:hyperlink>
      <w:r w:rsidRPr="006920E0">
        <w:rPr>
          <w:rFonts w:asciiTheme="majorHAnsi" w:eastAsia="Arial" w:hAnsiTheme="majorHAnsi" w:cstheme="majorHAnsi"/>
        </w:rPr>
        <w:t xml:space="preserve">, y </w:t>
      </w:r>
      <w:r w:rsidR="007A6EDA" w:rsidRPr="006920E0">
        <w:rPr>
          <w:rFonts w:asciiTheme="majorHAnsi" w:eastAsia="Arial" w:hAnsiTheme="majorHAnsi" w:cstheme="majorHAnsi"/>
        </w:rPr>
        <w:t>en el artículo 24.3 de la</w:t>
      </w:r>
      <w:r w:rsidRPr="006920E0">
        <w:rPr>
          <w:rFonts w:asciiTheme="majorHAnsi" w:eastAsia="Arial" w:hAnsiTheme="majorHAnsi" w:cstheme="majorHAnsi"/>
        </w:rPr>
        <w:t xml:space="preserve"> </w:t>
      </w:r>
      <w:hyperlink r:id="rId23" w:history="1">
        <w:r w:rsidRPr="006920E0">
          <w:rPr>
            <w:rStyle w:val="Hyperlink"/>
            <w:rFonts w:asciiTheme="majorHAnsi" w:eastAsia="Arial" w:hAnsiTheme="majorHAnsi" w:cstheme="majorHAnsi"/>
          </w:rPr>
          <w:t>Constitución Política de la Ciudad de México</w:t>
        </w:r>
      </w:hyperlink>
      <w:r w:rsidRPr="006920E0">
        <w:rPr>
          <w:rFonts w:asciiTheme="majorHAnsi" w:eastAsia="Arial" w:hAnsiTheme="majorHAnsi" w:cstheme="majorHAnsi"/>
        </w:rPr>
        <w:t xml:space="preserve">. Este último </w:t>
      </w:r>
      <w:r w:rsidR="007A6EDA" w:rsidRPr="006920E0">
        <w:rPr>
          <w:rFonts w:asciiTheme="majorHAnsi" w:eastAsia="Arial" w:hAnsiTheme="majorHAnsi" w:cstheme="majorHAnsi"/>
        </w:rPr>
        <w:t xml:space="preserve">reconoce su derecho a </w:t>
      </w:r>
      <w:r w:rsidRPr="006920E0">
        <w:rPr>
          <w:rFonts w:asciiTheme="majorHAnsi" w:hAnsiTheme="majorHAnsi" w:cstheme="majorHAnsi"/>
        </w:rPr>
        <w:t>participa</w:t>
      </w:r>
      <w:r w:rsidR="006920E0">
        <w:rPr>
          <w:rFonts w:asciiTheme="majorHAnsi" w:hAnsiTheme="majorHAnsi" w:cstheme="majorHAnsi"/>
        </w:rPr>
        <w:t>r</w:t>
      </w:r>
      <w:r w:rsidR="007A6EDA" w:rsidRPr="006920E0">
        <w:rPr>
          <w:rFonts w:asciiTheme="majorHAnsi" w:hAnsiTheme="majorHAnsi" w:cstheme="majorHAnsi"/>
        </w:rPr>
        <w:t xml:space="preserve"> </w:t>
      </w:r>
      <w:r w:rsidRPr="006920E0">
        <w:rPr>
          <w:rFonts w:asciiTheme="majorHAnsi" w:hAnsiTheme="majorHAnsi" w:cstheme="majorHAnsi"/>
        </w:rPr>
        <w:t>en la observación electoral y en la toma de las decisiones públicas que se toman en los ámbitos familiar, escolar, social, comunitario o cualquier otro en el que se desarrollen, les afecten o sean de su interés</w:t>
      </w:r>
      <w:r w:rsidR="007A6EDA" w:rsidRPr="006920E0">
        <w:rPr>
          <w:rFonts w:asciiTheme="majorHAnsi" w:hAnsiTheme="majorHAnsi" w:cstheme="majorHAnsi"/>
        </w:rPr>
        <w:t xml:space="preserve">. </w:t>
      </w:r>
    </w:p>
    <w:p w14:paraId="52CDA74A" w14:textId="77777777" w:rsidR="00FF26CA" w:rsidRPr="006920E0" w:rsidRDefault="00FF26CA" w:rsidP="00FF26CA">
      <w:pPr>
        <w:spacing w:after="0" w:line="276" w:lineRule="auto"/>
        <w:jc w:val="both"/>
        <w:rPr>
          <w:rFonts w:asciiTheme="majorHAnsi" w:eastAsia="Arial" w:hAnsiTheme="majorHAnsi" w:cstheme="majorHAnsi"/>
        </w:rPr>
      </w:pPr>
    </w:p>
    <w:p w14:paraId="4B1C6294" w14:textId="77777777" w:rsidR="006920E0" w:rsidRPr="006920E0" w:rsidRDefault="006920E0" w:rsidP="006920E0">
      <w:pPr>
        <w:spacing w:after="0" w:line="276" w:lineRule="auto"/>
        <w:jc w:val="both"/>
        <w:rPr>
          <w:rFonts w:asciiTheme="majorHAnsi" w:eastAsia="Arial" w:hAnsiTheme="majorHAnsi" w:cstheme="majorHAnsi"/>
        </w:rPr>
      </w:pPr>
      <w:r w:rsidRPr="006920E0">
        <w:rPr>
          <w:rFonts w:asciiTheme="majorHAnsi" w:eastAsia="Arial" w:hAnsiTheme="majorHAnsi" w:cstheme="majorHAnsi"/>
        </w:rPr>
        <w:t xml:space="preserve">Como una buena práctica esta CDHCM cuenta desde 2019 con el </w:t>
      </w:r>
      <w:r w:rsidRPr="006920E0">
        <w:rPr>
          <w:rFonts w:asciiTheme="majorHAnsi" w:eastAsia="Arial" w:hAnsiTheme="majorHAnsi" w:cstheme="majorHAnsi"/>
          <w:i/>
        </w:rPr>
        <w:t>Mecanismo Participación Infantil</w:t>
      </w:r>
      <w:r w:rsidRPr="006920E0">
        <w:rPr>
          <w:rFonts w:asciiTheme="majorHAnsi" w:eastAsia="Arial" w:hAnsiTheme="majorHAnsi" w:cstheme="majorHAnsi"/>
        </w:rPr>
        <w:t xml:space="preserve">, como una respuesta institucional para incorporar la participación protagónica de niñas, niños y adolescentes, transversalizar sus derechos y contar con un marco de referencia en las obligaciones de protección, promoción, garantía y defensa de los derechos de las infancias y adolescencias como un espacio plural y diverso construido junto con las niñas, niños y adolescentes, que promueve su participación en los procesos de toma de decisiones donde pueden expresar sus opiniones libremente, analizar ideas, conocer y proponer acciones en torno a sus derechos de forma activa. </w:t>
      </w:r>
    </w:p>
    <w:p w14:paraId="5B969CB4" w14:textId="77777777" w:rsidR="00F20211" w:rsidRPr="006920E0" w:rsidRDefault="00F20211" w:rsidP="007A6EDA">
      <w:pPr>
        <w:spacing w:after="0" w:line="276" w:lineRule="auto"/>
        <w:jc w:val="both"/>
        <w:rPr>
          <w:rFonts w:asciiTheme="majorHAnsi" w:eastAsia="Arial" w:hAnsiTheme="majorHAnsi" w:cstheme="majorHAnsi"/>
        </w:rPr>
      </w:pPr>
    </w:p>
    <w:p w14:paraId="49C21E62" w14:textId="7EDFCA8E" w:rsidR="007A6EDA" w:rsidRPr="006920E0" w:rsidRDefault="00F20211" w:rsidP="007A6EDA">
      <w:p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6920E0">
        <w:rPr>
          <w:rFonts w:asciiTheme="majorHAnsi" w:eastAsia="Arial" w:hAnsiTheme="majorHAnsi" w:cstheme="majorHAnsi"/>
        </w:rPr>
        <w:t>A partir de este mecanismo, se co</w:t>
      </w:r>
      <w:r w:rsidR="00FF26CA" w:rsidRPr="006920E0">
        <w:rPr>
          <w:rFonts w:asciiTheme="majorHAnsi" w:eastAsia="Arial" w:hAnsiTheme="majorHAnsi" w:cstheme="majorHAnsi"/>
        </w:rPr>
        <w:t>nformó</w:t>
      </w:r>
      <w:r w:rsidR="00FF26CA" w:rsidRPr="006920E0">
        <w:rPr>
          <w:rFonts w:asciiTheme="majorHAnsi" w:hAnsiTheme="majorHAnsi" w:cstheme="majorHAnsi"/>
          <w:bCs/>
        </w:rPr>
        <w:t xml:space="preserve"> el grupo “Somos cómplices” integrado por niñas, niños y adolescentes entre los 6 y los 17 años, que de acuerdo con sus propios intereses han participado en diversas actividades y proceso</w:t>
      </w:r>
      <w:r w:rsidRPr="006920E0">
        <w:rPr>
          <w:rFonts w:asciiTheme="majorHAnsi" w:hAnsiTheme="majorHAnsi" w:cstheme="majorHAnsi"/>
          <w:bCs/>
        </w:rPr>
        <w:t>s</w:t>
      </w:r>
      <w:r w:rsidR="00FF26CA" w:rsidRPr="006920E0">
        <w:rPr>
          <w:rFonts w:asciiTheme="majorHAnsi" w:hAnsiTheme="majorHAnsi" w:cstheme="majorHAnsi"/>
          <w:bCs/>
        </w:rPr>
        <w:t xml:space="preserve"> de construcción colectiva, que ha permitido ofrecer información de interés con lenguaje sencillo para otras niñas y niños. </w:t>
      </w:r>
    </w:p>
    <w:p w14:paraId="014CD51F" w14:textId="77777777" w:rsidR="007A6EDA" w:rsidRPr="006920E0" w:rsidRDefault="007A6EDA" w:rsidP="007A6EDA">
      <w:pPr>
        <w:spacing w:after="0" w:line="276" w:lineRule="auto"/>
        <w:jc w:val="both"/>
        <w:rPr>
          <w:rFonts w:asciiTheme="majorHAnsi" w:hAnsiTheme="majorHAnsi" w:cstheme="majorHAnsi"/>
          <w:bCs/>
        </w:rPr>
      </w:pPr>
    </w:p>
    <w:p w14:paraId="661FDE82" w14:textId="77777777" w:rsidR="00FF26C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>Particularmente en el contexto de la pandemia por COVID- 19 esta Comisión desarrolló en 2020 y 2021 dos procesos de Consulta de participación infantil y juvenil en momentos y respecto a preocupaciones específicas de esta población: las consultas “Infancias Encerradas” y “Caminito de la Escuela”. Ambos instrumentos tuvieron la participación nacional de niñas, niños y adolescentes y se sustentan  en el derecho a la participación de niñas, niños y adolescentes.</w:t>
      </w:r>
    </w:p>
    <w:p w14:paraId="6FA80D1F" w14:textId="32335543" w:rsidR="00FF26C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La consulta </w:t>
      </w:r>
      <w:hyperlink r:id="rId24" w:history="1">
        <w:r w:rsidRPr="006920E0">
          <w:rPr>
            <w:rStyle w:val="Hyperlink"/>
            <w:rFonts w:asciiTheme="majorHAnsi" w:hAnsiTheme="majorHAnsi" w:cstheme="majorHAnsi"/>
          </w:rPr>
          <w:t>#InfanciasEncerradas</w:t>
        </w:r>
      </w:hyperlink>
      <w:r w:rsidRPr="006920E0">
        <w:rPr>
          <w:rFonts w:asciiTheme="majorHAnsi" w:hAnsiTheme="majorHAnsi" w:cstheme="majorHAnsi"/>
        </w:rPr>
        <w:t xml:space="preserve"> tuvo la participación de 41 mil 75 niñas, niños y adolescentes y su propósito fue conocer sus emociones, sentimientos, preocupaciones y propuestas en el contexto de la emergencia sanitaria y el encierro. Los resultados fueron analizados desde un enfoque interseccional y de infancias que logró plasmarse en 32 reportes: a nivel nacional y específicamente en la Ciudad de México, de las alcaldías que la conforman.</w:t>
      </w:r>
      <w:r w:rsidR="007A6EDA" w:rsidRPr="006920E0">
        <w:rPr>
          <w:rFonts w:asciiTheme="majorHAnsi" w:hAnsiTheme="majorHAnsi" w:cstheme="majorHAnsi"/>
        </w:rPr>
        <w:t xml:space="preserve"> </w:t>
      </w:r>
      <w:r w:rsidRPr="006920E0">
        <w:rPr>
          <w:rFonts w:asciiTheme="majorHAnsi" w:hAnsiTheme="majorHAnsi" w:cstheme="majorHAnsi"/>
        </w:rPr>
        <w:t xml:space="preserve">Así como cuatro reportes temáticos sobre: </w:t>
      </w:r>
      <w:hyperlink r:id="rId25" w:history="1">
        <w:r w:rsidRPr="006920E0">
          <w:rPr>
            <w:rStyle w:val="Hyperlink"/>
            <w:rFonts w:asciiTheme="majorHAnsi" w:hAnsiTheme="majorHAnsi" w:cstheme="majorHAnsi"/>
          </w:rPr>
          <w:t>infancias con discapacidad</w:t>
        </w:r>
      </w:hyperlink>
      <w:r w:rsidRPr="006920E0">
        <w:rPr>
          <w:rFonts w:asciiTheme="majorHAnsi" w:hAnsiTheme="majorHAnsi" w:cstheme="majorHAnsi"/>
        </w:rPr>
        <w:t xml:space="preserve">, niñas y mujeres adolescentes, personas jóvenes, e infancias no binarias, y un reporte en lenguaje sencillo sobre los resultados de la consulta de las infancias con discapacidad, este último reconociendo la importancia de generar materiales accesibles y de fácil lectura para personas con discapacidad. </w:t>
      </w:r>
    </w:p>
    <w:p w14:paraId="79EFAD51" w14:textId="77777777" w:rsidR="007A6ED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>Por su parte, #</w:t>
      </w:r>
      <w:hyperlink r:id="rId26" w:history="1">
        <w:r w:rsidRPr="006920E0">
          <w:rPr>
            <w:rStyle w:val="Hyperlink"/>
            <w:rFonts w:asciiTheme="majorHAnsi" w:hAnsiTheme="majorHAnsi" w:cstheme="majorHAnsi"/>
          </w:rPr>
          <w:t>Caminito de la Escuela,</w:t>
        </w:r>
      </w:hyperlink>
      <w:r w:rsidRPr="006920E0">
        <w:rPr>
          <w:rFonts w:asciiTheme="majorHAnsi" w:hAnsiTheme="majorHAnsi" w:cstheme="majorHAnsi"/>
        </w:rPr>
        <w:t xml:space="preserve"> realizada en julio de 2021, es el primer y único mecanismo de esta naturaleza realizado a</w:t>
      </w:r>
      <w:hyperlink r:id="rId27" w:history="1">
        <w:r w:rsidRPr="006920E0">
          <w:rPr>
            <w:rStyle w:val="Hyperlink"/>
            <w:rFonts w:asciiTheme="majorHAnsi" w:hAnsiTheme="majorHAnsi" w:cstheme="majorHAnsi"/>
          </w:rPr>
          <w:t xml:space="preserve"> nivel nacional</w:t>
        </w:r>
      </w:hyperlink>
      <w:r w:rsidRPr="006920E0">
        <w:rPr>
          <w:rFonts w:asciiTheme="majorHAnsi" w:hAnsiTheme="majorHAnsi" w:cstheme="majorHAnsi"/>
        </w:rPr>
        <w:t xml:space="preserve"> que retomó el estado de las cosas desde la perspectiva de niñas, niños y adolescentes sobre el regreso a las escuelas de forma presencial. Teniendo la </w:t>
      </w:r>
    </w:p>
    <w:p w14:paraId="6FB7115F" w14:textId="77777777" w:rsidR="007A6EDA" w:rsidRPr="006920E0" w:rsidRDefault="007A6EDA" w:rsidP="00FF26CA">
      <w:pPr>
        <w:jc w:val="both"/>
        <w:rPr>
          <w:rFonts w:asciiTheme="majorHAnsi" w:hAnsiTheme="majorHAnsi" w:cstheme="majorHAnsi"/>
        </w:rPr>
      </w:pPr>
    </w:p>
    <w:p w14:paraId="1D0C4DAF" w14:textId="7AD8F189" w:rsidR="00FF26C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participación de 37 mil 764 de todo el país, de entre los 5 años y los 17 años quienes respondieron un cuestionario en línea y 267 de primera infancia, quienes participaron a través del envío de dibujos. </w:t>
      </w:r>
    </w:p>
    <w:p w14:paraId="7C0CE9F1" w14:textId="77777777" w:rsidR="00FF26C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En este contexto de emergencia sanitaria donde la movilidad y el acceso a espacios público de todas las personas, en particular de niñas, niños y adolescentes, se ha visto seriamente limitada, es que la CDHCM puso en funcionamiento el micro sitio digital </w:t>
      </w:r>
      <w:hyperlink r:id="rId28" w:history="1">
        <w:r w:rsidRPr="006920E0">
          <w:rPr>
            <w:rStyle w:val="Hyperlink"/>
            <w:rFonts w:asciiTheme="majorHAnsi" w:hAnsiTheme="majorHAnsi" w:cstheme="majorHAnsi"/>
          </w:rPr>
          <w:t>“La casa del árbol virtual”</w:t>
        </w:r>
      </w:hyperlink>
      <w:r w:rsidRPr="006920E0">
        <w:rPr>
          <w:rFonts w:asciiTheme="majorHAnsi" w:hAnsiTheme="majorHAnsi" w:cstheme="majorHAnsi"/>
        </w:rPr>
        <w:t xml:space="preserve"> como un espacio alternativo al espacio físico de la CDHCM  denominado  también “La casa del árbol ” el cual ha sido un espacio lúdico para las infancias y adolescentes desde hace más de 25 años  en esta Comisión. </w:t>
      </w:r>
    </w:p>
    <w:p w14:paraId="1677CBAC" w14:textId="7E4B0839" w:rsidR="00FF26C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La casa del árbol virtual es un espacio diseñado junto con niñas, niños y adolescentes </w:t>
      </w:r>
      <w:r w:rsidR="007A6EDA" w:rsidRPr="006920E0">
        <w:rPr>
          <w:rFonts w:asciiTheme="majorHAnsi" w:hAnsiTheme="majorHAnsi" w:cstheme="majorHAnsi"/>
        </w:rPr>
        <w:t>con</w:t>
      </w:r>
      <w:r w:rsidRPr="006920E0">
        <w:rPr>
          <w:rFonts w:asciiTheme="majorHAnsi" w:hAnsiTheme="majorHAnsi" w:cstheme="majorHAnsi"/>
        </w:rPr>
        <w:t xml:space="preserve"> secciones interactivas y de participación virtual </w:t>
      </w:r>
      <w:r w:rsidR="007A6EDA" w:rsidRPr="006920E0">
        <w:rPr>
          <w:rFonts w:asciiTheme="majorHAnsi" w:hAnsiTheme="majorHAnsi" w:cstheme="majorHAnsi"/>
        </w:rPr>
        <w:t>como</w:t>
      </w:r>
      <w:r w:rsidRPr="006920E0">
        <w:rPr>
          <w:rFonts w:asciiTheme="majorHAnsi" w:hAnsiTheme="majorHAnsi" w:cstheme="majorHAnsi"/>
        </w:rPr>
        <w:t xml:space="preserve"> talleres, actividades recreativas, biblioteca virtual, ludoteca y la posibilidad de poder iniciar por su propia cuenta quejas por posibles violaciones a derechos humanos a partir de un formato sencillo y flexible que no implica la participación forzosa de alguna persona adulta, lo que reconoce su capacidad de autonomía en los procesos relacionadas con la defensa a sus derechos humanos. </w:t>
      </w:r>
    </w:p>
    <w:p w14:paraId="0CCD488C" w14:textId="44A0EA75" w:rsidR="00FF26CA" w:rsidRPr="006920E0" w:rsidRDefault="00FF26CA" w:rsidP="00FF26CA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bCs/>
        </w:rPr>
        <w:t xml:space="preserve">Finalmente, como una buena práctica identificada en relación a la </w:t>
      </w:r>
      <w:r w:rsidRPr="006920E0">
        <w:rPr>
          <w:rFonts w:asciiTheme="majorHAnsi" w:hAnsiTheme="majorHAnsi" w:cstheme="majorHAnsi"/>
          <w:b/>
        </w:rPr>
        <w:t>recomendación práctica 59</w:t>
      </w:r>
      <w:r w:rsidRPr="006920E0">
        <w:rPr>
          <w:rFonts w:asciiTheme="majorHAnsi" w:hAnsiTheme="majorHAnsi" w:cstheme="majorHAnsi"/>
          <w:bCs/>
        </w:rPr>
        <w:t>, desde 1997 como un mecanismo de</w:t>
      </w:r>
      <w:r w:rsidRPr="006920E0">
        <w:rPr>
          <w:rFonts w:asciiTheme="majorHAnsi" w:hAnsiTheme="majorHAnsi" w:cstheme="majorHAnsi"/>
        </w:rPr>
        <w:t xml:space="preserve"> ejercicio democrático que favorece el derecho de expresión y participación permanente y activa de niñas, niños y adolescentes a nivel nacional  se realiza la </w:t>
      </w:r>
      <w:hyperlink r:id="rId29" w:history="1">
        <w:r w:rsidRPr="006920E0">
          <w:rPr>
            <w:rStyle w:val="Hyperlink"/>
            <w:rFonts w:asciiTheme="majorHAnsi" w:hAnsiTheme="majorHAnsi" w:cstheme="majorHAnsi"/>
          </w:rPr>
          <w:t>Consulta Infantil y Juvenil</w:t>
        </w:r>
      </w:hyperlink>
      <w:r w:rsidRPr="006920E0">
        <w:rPr>
          <w:rFonts w:asciiTheme="majorHAnsi" w:hAnsiTheme="majorHAnsi" w:cstheme="majorHAnsi"/>
        </w:rPr>
        <w:t>.  En noviembre de 2021 tendrá lugar su novena edición</w:t>
      </w:r>
      <w:r w:rsidR="007A6EDA" w:rsidRPr="006920E0">
        <w:rPr>
          <w:rFonts w:asciiTheme="majorHAnsi" w:hAnsiTheme="majorHAnsi" w:cstheme="majorHAnsi"/>
        </w:rPr>
        <w:t>,</w:t>
      </w:r>
      <w:r w:rsidRPr="006920E0">
        <w:rPr>
          <w:rFonts w:asciiTheme="majorHAnsi" w:hAnsiTheme="majorHAnsi" w:cstheme="majorHAnsi"/>
        </w:rPr>
        <w:t xml:space="preserve"> por primera vez a través de medios digitales y tendrá como temas: salud, cuidados, alimentación escuela y pandemia. Temas seleccionados a partir del sondeo nacional realizado en febrero de2021 con la participación de 8396 niñas, niños y adolescentes.</w:t>
      </w:r>
    </w:p>
    <w:p w14:paraId="240AC6B0" w14:textId="043FD98E" w:rsidR="00FB498B" w:rsidRPr="006920E0" w:rsidRDefault="00FB498B" w:rsidP="00426B2F">
      <w:pPr>
        <w:rPr>
          <w:rFonts w:asciiTheme="majorHAnsi" w:hAnsiTheme="majorHAnsi" w:cstheme="majorHAnsi"/>
          <w:b/>
          <w:u w:val="single"/>
        </w:rPr>
      </w:pPr>
      <w:r w:rsidRPr="006920E0">
        <w:rPr>
          <w:rFonts w:asciiTheme="majorHAnsi" w:hAnsiTheme="majorHAnsi" w:cstheme="majorHAnsi"/>
          <w:b/>
          <w:u w:val="single"/>
        </w:rPr>
        <w:t>Participación de Personas con discapacidad</w:t>
      </w:r>
    </w:p>
    <w:p w14:paraId="42F1F228" w14:textId="6DA3B9A7" w:rsidR="00664CEE" w:rsidRPr="006920E0" w:rsidRDefault="00CC64D4" w:rsidP="00664CEE">
      <w:pPr>
        <w:jc w:val="both"/>
        <w:rPr>
          <w:rFonts w:asciiTheme="majorHAnsi" w:hAnsiTheme="majorHAnsi" w:cstheme="majorHAnsi"/>
          <w:lang w:val="es"/>
        </w:rPr>
      </w:pPr>
      <w:r w:rsidRPr="006920E0">
        <w:rPr>
          <w:rFonts w:asciiTheme="majorHAnsi" w:hAnsiTheme="majorHAnsi" w:cstheme="majorHAnsi"/>
          <w:bCs/>
        </w:rPr>
        <w:t>C</w:t>
      </w:r>
      <w:r w:rsidR="00CF7D70" w:rsidRPr="006920E0">
        <w:rPr>
          <w:rFonts w:asciiTheme="majorHAnsi" w:hAnsiTheme="majorHAnsi" w:cstheme="majorHAnsi"/>
          <w:bCs/>
        </w:rPr>
        <w:t xml:space="preserve">on </w:t>
      </w:r>
      <w:r w:rsidRPr="006920E0">
        <w:rPr>
          <w:rFonts w:asciiTheme="majorHAnsi" w:hAnsiTheme="majorHAnsi" w:cstheme="majorHAnsi"/>
          <w:bCs/>
        </w:rPr>
        <w:t>motivo de</w:t>
      </w:r>
      <w:r w:rsidR="003E1E20" w:rsidRPr="006920E0">
        <w:rPr>
          <w:rFonts w:asciiTheme="majorHAnsi" w:hAnsiTheme="majorHAnsi" w:cstheme="majorHAnsi"/>
          <w:bCs/>
        </w:rPr>
        <w:t xml:space="preserve"> </w:t>
      </w:r>
      <w:r w:rsidRPr="006920E0">
        <w:rPr>
          <w:rFonts w:asciiTheme="majorHAnsi" w:hAnsiTheme="majorHAnsi" w:cstheme="majorHAnsi"/>
          <w:bCs/>
        </w:rPr>
        <w:t>l</w:t>
      </w:r>
      <w:r w:rsidR="003E1E20" w:rsidRPr="006920E0">
        <w:rPr>
          <w:rFonts w:asciiTheme="majorHAnsi" w:hAnsiTheme="majorHAnsi" w:cstheme="majorHAnsi"/>
          <w:bCs/>
        </w:rPr>
        <w:t>a elaboración del</w:t>
      </w:r>
      <w:r w:rsidRPr="006920E0">
        <w:rPr>
          <w:rFonts w:asciiTheme="majorHAnsi" w:hAnsiTheme="majorHAnsi" w:cstheme="majorHAnsi"/>
          <w:bCs/>
        </w:rPr>
        <w:t xml:space="preserve"> Informe Especial sobre</w:t>
      </w:r>
      <w:r w:rsidR="00CF7D70" w:rsidRPr="006920E0">
        <w:rPr>
          <w:rFonts w:asciiTheme="majorHAnsi" w:hAnsiTheme="majorHAnsi" w:cstheme="majorHAnsi"/>
          <w:bCs/>
        </w:rPr>
        <w:t xml:space="preserve"> derecho</w:t>
      </w:r>
      <w:r w:rsidRPr="006920E0">
        <w:rPr>
          <w:rFonts w:asciiTheme="majorHAnsi" w:hAnsiTheme="majorHAnsi" w:cstheme="majorHAnsi"/>
          <w:bCs/>
        </w:rPr>
        <w:t xml:space="preserve">, este Organismo realizó una Consulta de personas con discapacidad </w:t>
      </w:r>
      <w:r w:rsidR="0036425A" w:rsidRPr="006920E0">
        <w:rPr>
          <w:rFonts w:asciiTheme="majorHAnsi" w:hAnsiTheme="majorHAnsi" w:cstheme="majorHAnsi"/>
          <w:bCs/>
        </w:rPr>
        <w:t xml:space="preserve">entre junio y de 2019 </w:t>
      </w:r>
      <w:r w:rsidRPr="006920E0">
        <w:rPr>
          <w:rFonts w:asciiTheme="majorHAnsi" w:hAnsiTheme="majorHAnsi" w:cstheme="majorHAnsi"/>
          <w:bCs/>
        </w:rPr>
        <w:t xml:space="preserve">a través de diversas técnicas de </w:t>
      </w:r>
      <w:r w:rsidR="00A96F25" w:rsidRPr="006920E0">
        <w:rPr>
          <w:rFonts w:asciiTheme="majorHAnsi" w:hAnsiTheme="majorHAnsi" w:cstheme="majorHAnsi"/>
          <w:bCs/>
          <w:lang w:val="es"/>
        </w:rPr>
        <w:t>recopilación</w:t>
      </w:r>
      <w:r w:rsidR="00A96F25" w:rsidRPr="006920E0">
        <w:rPr>
          <w:rFonts w:asciiTheme="majorHAnsi" w:hAnsiTheme="majorHAnsi" w:cstheme="majorHAnsi"/>
          <w:lang w:val="es"/>
        </w:rPr>
        <w:t xml:space="preserve"> y análisis de la información</w:t>
      </w:r>
      <w:r w:rsidRPr="006920E0">
        <w:rPr>
          <w:rFonts w:asciiTheme="majorHAnsi" w:hAnsiTheme="majorHAnsi" w:cstheme="majorHAnsi"/>
          <w:lang w:val="es"/>
        </w:rPr>
        <w:t xml:space="preserve"> entre las que se incluyeron: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664CEE" w:rsidRPr="006920E0" w14:paraId="5F42D3D6" w14:textId="77777777" w:rsidTr="0024390E">
        <w:trPr>
          <w:trHeight w:val="138"/>
        </w:trPr>
        <w:tc>
          <w:tcPr>
            <w:tcW w:w="2972" w:type="dxa"/>
            <w:shd w:val="clear" w:color="auto" w:fill="D9D9D9" w:themeFill="background1" w:themeFillShade="D9"/>
          </w:tcPr>
          <w:p w14:paraId="5576443D" w14:textId="5BDEBFB9" w:rsidR="00664CEE" w:rsidRPr="006920E0" w:rsidRDefault="00664CEE" w:rsidP="00CF7D70">
            <w:pPr>
              <w:jc w:val="center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  <w:lang w:val="es"/>
              </w:rPr>
              <w:t xml:space="preserve">Actividad </w:t>
            </w:r>
            <w:r w:rsidR="00CF7D70" w:rsidRPr="006920E0">
              <w:rPr>
                <w:rFonts w:asciiTheme="majorHAnsi" w:hAnsiTheme="majorHAnsi" w:cstheme="majorHAnsi"/>
                <w:lang w:val="es"/>
              </w:rPr>
              <w:t>de</w:t>
            </w:r>
            <w:r w:rsidRPr="006920E0">
              <w:rPr>
                <w:rFonts w:asciiTheme="majorHAnsi" w:hAnsiTheme="majorHAnsi" w:cstheme="majorHAnsi"/>
                <w:lang w:val="es"/>
              </w:rPr>
              <w:t xml:space="preserve"> consulta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524C914" w14:textId="27E08C3C" w:rsidR="00664CEE" w:rsidRPr="006920E0" w:rsidRDefault="00664CEE" w:rsidP="00CF7D70">
            <w:pPr>
              <w:jc w:val="center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  <w:lang w:val="es"/>
              </w:rPr>
              <w:t>Finalidad</w:t>
            </w:r>
          </w:p>
        </w:tc>
      </w:tr>
      <w:tr w:rsidR="00664CEE" w:rsidRPr="006920E0" w14:paraId="1A153E31" w14:textId="77777777" w:rsidTr="0024390E">
        <w:trPr>
          <w:trHeight w:val="709"/>
        </w:trPr>
        <w:tc>
          <w:tcPr>
            <w:tcW w:w="2972" w:type="dxa"/>
            <w:vAlign w:val="center"/>
          </w:tcPr>
          <w:p w14:paraId="38C5340E" w14:textId="0CC101F3" w:rsidR="00664CEE" w:rsidRPr="006920E0" w:rsidRDefault="00664CEE" w:rsidP="00386391">
            <w:pPr>
              <w:jc w:val="both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  <w:lang w:val="es"/>
              </w:rPr>
              <w:t>Encuentro de niñas, niños y adolescentes con discapacidad: mi derecho a la inclusión en la comunidad.</w:t>
            </w:r>
          </w:p>
        </w:tc>
        <w:tc>
          <w:tcPr>
            <w:tcW w:w="5954" w:type="dxa"/>
            <w:vAlign w:val="center"/>
          </w:tcPr>
          <w:p w14:paraId="006ABE5A" w14:textId="60EEC08E" w:rsidR="00664CEE" w:rsidRPr="006920E0" w:rsidRDefault="00664CEE" w:rsidP="0024390E">
            <w:pPr>
              <w:jc w:val="both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  <w:lang w:val="es"/>
              </w:rPr>
              <w:t>Recabar experiencias y propuestas de niñas, niños y adolescentes con diferentes discapacidades, edades y contextos, en in</w:t>
            </w:r>
            <w:r w:rsidR="00180E66" w:rsidRPr="006920E0">
              <w:rPr>
                <w:rFonts w:asciiTheme="majorHAnsi" w:hAnsiTheme="majorHAnsi" w:cstheme="majorHAnsi"/>
                <w:lang w:val="es"/>
              </w:rPr>
              <w:t>s</w:t>
            </w:r>
            <w:r w:rsidRPr="006920E0">
              <w:rPr>
                <w:rFonts w:asciiTheme="majorHAnsi" w:hAnsiTheme="majorHAnsi" w:cstheme="majorHAnsi"/>
                <w:lang w:val="es"/>
              </w:rPr>
              <w:t>titucionalización o sin institucionalizar mediante un espacio lúdico de participación y consulta accesible.</w:t>
            </w:r>
          </w:p>
        </w:tc>
      </w:tr>
      <w:tr w:rsidR="00664CEE" w:rsidRPr="006920E0" w14:paraId="54624F62" w14:textId="77777777" w:rsidTr="0024390E">
        <w:tc>
          <w:tcPr>
            <w:tcW w:w="2972" w:type="dxa"/>
            <w:vAlign w:val="center"/>
          </w:tcPr>
          <w:p w14:paraId="57BCDF39" w14:textId="03EB719A" w:rsidR="00664CEE" w:rsidRPr="006920E0" w:rsidRDefault="00664CEE" w:rsidP="00214DD4">
            <w:pPr>
              <w:jc w:val="center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  <w:lang w:val="es"/>
              </w:rPr>
              <w:t>Taller y entrevistas a familias</w:t>
            </w:r>
          </w:p>
        </w:tc>
        <w:tc>
          <w:tcPr>
            <w:tcW w:w="5954" w:type="dxa"/>
            <w:vAlign w:val="center"/>
          </w:tcPr>
          <w:p w14:paraId="03CC6C45" w14:textId="28DACE0C" w:rsidR="00664CEE" w:rsidRPr="006920E0" w:rsidRDefault="00664CEE" w:rsidP="0024390E">
            <w:pPr>
              <w:jc w:val="both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  <w:lang w:val="es"/>
              </w:rPr>
              <w:t>Conocer experiencias y recabar sus testimonios en torno a los cuidados que brindan, los apoyos que reciben y las barreras que enfrentan.</w:t>
            </w:r>
          </w:p>
        </w:tc>
      </w:tr>
      <w:tr w:rsidR="00664CEE" w:rsidRPr="006920E0" w14:paraId="1711C240" w14:textId="77777777" w:rsidTr="0024390E">
        <w:tc>
          <w:tcPr>
            <w:tcW w:w="2972" w:type="dxa"/>
            <w:vAlign w:val="center"/>
          </w:tcPr>
          <w:p w14:paraId="237F7159" w14:textId="45BD5993" w:rsidR="00664CEE" w:rsidRPr="006920E0" w:rsidRDefault="00664CEE" w:rsidP="00214DD4">
            <w:pPr>
              <w:jc w:val="center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</w:rPr>
              <w:t>Audiencia con personas con discapacidad adultas</w:t>
            </w:r>
          </w:p>
        </w:tc>
        <w:tc>
          <w:tcPr>
            <w:tcW w:w="5954" w:type="dxa"/>
            <w:vAlign w:val="center"/>
          </w:tcPr>
          <w:p w14:paraId="6B2C2198" w14:textId="0DEF8FDE" w:rsidR="00664CEE" w:rsidRPr="006920E0" w:rsidRDefault="00664CEE" w:rsidP="00214DD4">
            <w:pPr>
              <w:jc w:val="center"/>
              <w:rPr>
                <w:rFonts w:asciiTheme="majorHAnsi" w:hAnsiTheme="majorHAnsi" w:cstheme="majorHAnsi"/>
                <w:lang w:val="es"/>
              </w:rPr>
            </w:pPr>
            <w:r w:rsidRPr="006920E0">
              <w:rPr>
                <w:rFonts w:asciiTheme="majorHAnsi" w:hAnsiTheme="majorHAnsi" w:cstheme="majorHAnsi"/>
              </w:rPr>
              <w:t>Recabar experiencias y barreras que enfrentan las personas con discapacidad para ejercer su derecho a vivir de forma independiente y su inclusión en la comunidad, además de identificar propuestas para su eliminación.</w:t>
            </w:r>
          </w:p>
        </w:tc>
      </w:tr>
    </w:tbl>
    <w:p w14:paraId="7F32D80E" w14:textId="77777777" w:rsidR="00386391" w:rsidRPr="006920E0" w:rsidRDefault="00386391" w:rsidP="00A96F25">
      <w:pPr>
        <w:jc w:val="both"/>
        <w:rPr>
          <w:rFonts w:asciiTheme="majorHAnsi" w:hAnsiTheme="majorHAnsi" w:cstheme="majorHAnsi"/>
          <w:lang w:val="es"/>
        </w:rPr>
      </w:pPr>
    </w:p>
    <w:p w14:paraId="4CA0F794" w14:textId="689B36CC" w:rsidR="00664CEE" w:rsidRPr="006920E0" w:rsidRDefault="00664CEE" w:rsidP="00A96F25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  <w:lang w:val="es"/>
        </w:rPr>
        <w:t>Además, d</w:t>
      </w:r>
      <w:r w:rsidRPr="006920E0">
        <w:rPr>
          <w:rFonts w:asciiTheme="majorHAnsi" w:hAnsiTheme="majorHAnsi" w:cstheme="majorHAnsi"/>
        </w:rPr>
        <w:t>el 8 de julio al 15 de agosto de 2019 se realizó de manera virtual la “Encuesta sobre el derecho de las personas con discapacidad a vivir de forma independiente y a ser incluidas en la comunidad en la Ciudad de México” la cual contó con la participación de 305 de personas con diferentes discapacidades.</w:t>
      </w:r>
    </w:p>
    <w:p w14:paraId="0D720FE3" w14:textId="42FC52E4" w:rsidR="00A96F25" w:rsidRPr="006920E0" w:rsidRDefault="00664CEE" w:rsidP="00A96F25">
      <w:pPr>
        <w:jc w:val="both"/>
        <w:rPr>
          <w:rFonts w:asciiTheme="majorHAnsi" w:hAnsiTheme="majorHAnsi" w:cstheme="majorHAnsi"/>
          <w:lang w:val="es"/>
        </w:rPr>
      </w:pPr>
      <w:r w:rsidRPr="006920E0">
        <w:rPr>
          <w:rFonts w:asciiTheme="majorHAnsi" w:hAnsiTheme="majorHAnsi" w:cstheme="majorHAnsi"/>
        </w:rPr>
        <w:t>Cabe resaltar que el Informe Temático seña</w:t>
      </w:r>
      <w:r w:rsidR="00CF7D70" w:rsidRPr="006920E0">
        <w:rPr>
          <w:rFonts w:asciiTheme="majorHAnsi" w:hAnsiTheme="majorHAnsi" w:cstheme="majorHAnsi"/>
        </w:rPr>
        <w:t xml:space="preserve">ló </w:t>
      </w:r>
      <w:r w:rsidRPr="006920E0">
        <w:rPr>
          <w:rFonts w:asciiTheme="majorHAnsi" w:hAnsiTheme="majorHAnsi" w:cstheme="majorHAnsi"/>
        </w:rPr>
        <w:t xml:space="preserve">como un desafío </w:t>
      </w:r>
      <w:r w:rsidR="00CF7D70" w:rsidRPr="006920E0">
        <w:rPr>
          <w:rFonts w:asciiTheme="majorHAnsi" w:hAnsiTheme="majorHAnsi" w:cstheme="majorHAnsi"/>
        </w:rPr>
        <w:t xml:space="preserve">para la participación de las personas con discapacidad en la vida pública su </w:t>
      </w:r>
      <w:r w:rsidR="00214DD4" w:rsidRPr="006920E0">
        <w:rPr>
          <w:rFonts w:asciiTheme="majorHAnsi" w:hAnsiTheme="majorHAnsi" w:cstheme="majorHAnsi"/>
        </w:rPr>
        <w:t>es</w:t>
      </w:r>
      <w:r w:rsidR="00A96F25" w:rsidRPr="006920E0">
        <w:rPr>
          <w:rFonts w:asciiTheme="majorHAnsi" w:hAnsiTheme="majorHAnsi" w:cstheme="majorHAnsi"/>
          <w:lang w:val="es"/>
        </w:rPr>
        <w:t>casa participación y consulta sobre</w:t>
      </w:r>
      <w:r w:rsidR="00CF7D70" w:rsidRPr="006920E0">
        <w:rPr>
          <w:rFonts w:asciiTheme="majorHAnsi" w:hAnsiTheme="majorHAnsi" w:cstheme="majorHAnsi"/>
          <w:lang w:val="es"/>
        </w:rPr>
        <w:t xml:space="preserve"> las</w:t>
      </w:r>
      <w:r w:rsidR="00A96F25" w:rsidRPr="006920E0">
        <w:rPr>
          <w:rFonts w:asciiTheme="majorHAnsi" w:hAnsiTheme="majorHAnsi" w:cstheme="majorHAnsi"/>
          <w:lang w:val="es"/>
        </w:rPr>
        <w:t xml:space="preserve"> opiniones y propuestas para la toma de decisiones de su vida cotidiana, y para la elaboración de políticas públicas dirigidas a ellas</w:t>
      </w:r>
      <w:r w:rsidRPr="006920E0">
        <w:rPr>
          <w:rFonts w:asciiTheme="majorHAnsi" w:hAnsiTheme="majorHAnsi" w:cstheme="majorHAnsi"/>
          <w:lang w:val="es"/>
        </w:rPr>
        <w:t>; así como el hecho de que los</w:t>
      </w:r>
      <w:r w:rsidR="00A96F25" w:rsidRPr="006920E0">
        <w:rPr>
          <w:rFonts w:asciiTheme="majorHAnsi" w:hAnsiTheme="majorHAnsi" w:cstheme="majorHAnsi"/>
          <w:lang w:val="es"/>
        </w:rPr>
        <w:t xml:space="preserve"> apoyos y ajustes </w:t>
      </w:r>
      <w:r w:rsidRPr="006920E0">
        <w:rPr>
          <w:rFonts w:asciiTheme="majorHAnsi" w:hAnsiTheme="majorHAnsi" w:cstheme="majorHAnsi"/>
          <w:lang w:val="es"/>
        </w:rPr>
        <w:t xml:space="preserve">con los que cuentan </w:t>
      </w:r>
      <w:r w:rsidR="00A96F25" w:rsidRPr="006920E0">
        <w:rPr>
          <w:rFonts w:asciiTheme="majorHAnsi" w:hAnsiTheme="majorHAnsi" w:cstheme="majorHAnsi"/>
          <w:lang w:val="es"/>
        </w:rPr>
        <w:t>son insuficientes para una comunicación inclusiva y el acceso a la información pública</w:t>
      </w:r>
      <w:r w:rsidRPr="006920E0">
        <w:rPr>
          <w:rFonts w:asciiTheme="majorHAnsi" w:hAnsiTheme="majorHAnsi" w:cstheme="majorHAnsi"/>
          <w:lang w:val="es"/>
        </w:rPr>
        <w:t>.</w:t>
      </w:r>
    </w:p>
    <w:p w14:paraId="58BEAB5E" w14:textId="4F269386" w:rsidR="00CF7D70" w:rsidRPr="006920E0" w:rsidRDefault="00EB6E63" w:rsidP="00CF7D70">
      <w:pPr>
        <w:rPr>
          <w:rFonts w:asciiTheme="majorHAnsi" w:hAnsiTheme="majorHAnsi" w:cstheme="majorHAnsi"/>
          <w:b/>
          <w:u w:val="single"/>
        </w:rPr>
      </w:pPr>
      <w:r w:rsidRPr="006920E0">
        <w:rPr>
          <w:rFonts w:asciiTheme="majorHAnsi" w:hAnsiTheme="majorHAnsi" w:cstheme="majorHAnsi"/>
          <w:b/>
          <w:u w:val="single"/>
        </w:rPr>
        <w:t>P</w:t>
      </w:r>
      <w:r w:rsidR="00CF7D70" w:rsidRPr="006920E0">
        <w:rPr>
          <w:rFonts w:asciiTheme="majorHAnsi" w:hAnsiTheme="majorHAnsi" w:cstheme="majorHAnsi"/>
          <w:b/>
          <w:u w:val="single"/>
        </w:rPr>
        <w:t>articipación de mujeres</w:t>
      </w:r>
    </w:p>
    <w:p w14:paraId="08268904" w14:textId="403B66A1" w:rsidR="004A2612" w:rsidRPr="006920E0" w:rsidRDefault="00CF7D70" w:rsidP="00CF7D70">
      <w:pPr>
        <w:jc w:val="both"/>
        <w:rPr>
          <w:rFonts w:asciiTheme="majorHAnsi" w:hAnsiTheme="majorHAnsi" w:cstheme="majorHAnsi"/>
          <w:lang w:val="es"/>
        </w:rPr>
      </w:pPr>
      <w:r w:rsidRPr="006920E0">
        <w:rPr>
          <w:rFonts w:asciiTheme="majorHAnsi" w:hAnsiTheme="majorHAnsi" w:cstheme="majorHAnsi"/>
          <w:lang w:val="es"/>
        </w:rPr>
        <w:t xml:space="preserve">Respecto a la </w:t>
      </w:r>
      <w:r w:rsidRPr="006920E0">
        <w:rPr>
          <w:rFonts w:asciiTheme="majorHAnsi" w:hAnsiTheme="majorHAnsi" w:cstheme="majorHAnsi"/>
          <w:b/>
          <w:lang w:val="es"/>
        </w:rPr>
        <w:t>recomendación práctica 64</w:t>
      </w:r>
      <w:r w:rsidRPr="006920E0">
        <w:rPr>
          <w:rFonts w:asciiTheme="majorHAnsi" w:hAnsiTheme="majorHAnsi" w:cstheme="majorHAnsi"/>
          <w:lang w:val="es"/>
        </w:rPr>
        <w:t xml:space="preserve">, la Comisión de Igualdad de Género del Congreso capitalino en 2019, instauró el primer </w:t>
      </w:r>
      <w:hyperlink r:id="rId30" w:history="1">
        <w:r w:rsidRPr="006920E0">
          <w:rPr>
            <w:rStyle w:val="Hyperlink"/>
            <w:rFonts w:asciiTheme="majorHAnsi" w:hAnsiTheme="majorHAnsi" w:cstheme="majorHAnsi"/>
            <w:lang w:val="es"/>
          </w:rPr>
          <w:t>parlamento de mujeres</w:t>
        </w:r>
      </w:hyperlink>
      <w:r w:rsidRPr="006920E0">
        <w:rPr>
          <w:rFonts w:asciiTheme="majorHAnsi" w:hAnsiTheme="majorHAnsi" w:cstheme="majorHAnsi"/>
          <w:lang w:val="es"/>
        </w:rPr>
        <w:t xml:space="preserve"> conformado por mujeres mayores de 18 años residentes de la Ciudad. La convocatoria para la integración de tal espacio fue llevada a cabo a través de internet y, se contó con la participación de </w:t>
      </w:r>
      <w:hyperlink r:id="rId31" w:history="1">
        <w:r w:rsidRPr="006920E0">
          <w:rPr>
            <w:rStyle w:val="Hyperlink"/>
            <w:rFonts w:asciiTheme="majorHAnsi" w:hAnsiTheme="majorHAnsi" w:cstheme="majorHAnsi"/>
            <w:lang w:val="es"/>
          </w:rPr>
          <w:t>66 parlamentarias</w:t>
        </w:r>
      </w:hyperlink>
      <w:r w:rsidR="004A2612" w:rsidRPr="006920E0">
        <w:rPr>
          <w:rFonts w:asciiTheme="majorHAnsi" w:hAnsiTheme="majorHAnsi" w:cstheme="majorHAnsi"/>
          <w:lang w:val="es"/>
        </w:rPr>
        <w:t xml:space="preserve"> que discutieron sobre </w:t>
      </w:r>
      <w:hyperlink r:id="rId32" w:history="1">
        <w:r w:rsidRPr="006920E0">
          <w:rPr>
            <w:rStyle w:val="Hyperlink"/>
            <w:rFonts w:asciiTheme="majorHAnsi" w:hAnsiTheme="majorHAnsi" w:cstheme="majorHAnsi"/>
            <w:lang w:val="es"/>
          </w:rPr>
          <w:t xml:space="preserve">políticas públicas y perspectiva de género, la mujer en espacios laborales, derechos sexuales y reproductivos de mujeres, bisexuales y trans, mujeres migrantes, </w:t>
        </w:r>
        <w:r w:rsidR="00526984" w:rsidRPr="006920E0">
          <w:rPr>
            <w:rStyle w:val="Hyperlink"/>
            <w:rFonts w:asciiTheme="majorHAnsi" w:hAnsiTheme="majorHAnsi" w:cstheme="majorHAnsi"/>
            <w:lang w:val="es"/>
          </w:rPr>
          <w:t>etc.</w:t>
        </w:r>
      </w:hyperlink>
      <w:r w:rsidRPr="006920E0">
        <w:rPr>
          <w:rFonts w:asciiTheme="majorHAnsi" w:hAnsiTheme="majorHAnsi" w:cstheme="majorHAnsi"/>
          <w:lang w:val="es"/>
        </w:rPr>
        <w:t xml:space="preserve"> </w:t>
      </w:r>
      <w:r w:rsidR="004A2612" w:rsidRPr="006920E0">
        <w:rPr>
          <w:rFonts w:asciiTheme="majorHAnsi" w:hAnsiTheme="majorHAnsi" w:cstheme="majorHAnsi"/>
          <w:lang w:val="es"/>
        </w:rPr>
        <w:t xml:space="preserve">Producto de la misma se presentaron </w:t>
      </w:r>
      <w:r w:rsidRPr="006920E0">
        <w:rPr>
          <w:rFonts w:asciiTheme="majorHAnsi" w:hAnsiTheme="majorHAnsi" w:cstheme="majorHAnsi"/>
          <w:lang w:val="es"/>
        </w:rPr>
        <w:t>32 iniciativas y 4 dictámenes</w:t>
      </w:r>
      <w:r w:rsidR="004A2612" w:rsidRPr="006920E0">
        <w:rPr>
          <w:rFonts w:asciiTheme="majorHAnsi" w:hAnsiTheme="majorHAnsi" w:cstheme="majorHAnsi"/>
          <w:lang w:val="es"/>
        </w:rPr>
        <w:t xml:space="preserve">. </w:t>
      </w:r>
      <w:r w:rsidRPr="006920E0">
        <w:rPr>
          <w:rFonts w:asciiTheme="majorHAnsi" w:hAnsiTheme="majorHAnsi" w:cstheme="majorHAnsi"/>
          <w:lang w:val="es"/>
        </w:rPr>
        <w:t xml:space="preserve">Dicho ejercicio se </w:t>
      </w:r>
      <w:r w:rsidR="004A2612" w:rsidRPr="006920E0">
        <w:rPr>
          <w:rFonts w:asciiTheme="majorHAnsi" w:hAnsiTheme="majorHAnsi" w:cstheme="majorHAnsi"/>
          <w:lang w:val="es"/>
        </w:rPr>
        <w:t xml:space="preserve">repitió en </w:t>
      </w:r>
      <w:r w:rsidRPr="006920E0">
        <w:rPr>
          <w:rFonts w:asciiTheme="majorHAnsi" w:hAnsiTheme="majorHAnsi" w:cstheme="majorHAnsi"/>
          <w:lang w:val="es"/>
        </w:rPr>
        <w:t xml:space="preserve">2020 y, </w:t>
      </w:r>
      <w:r w:rsidR="004A2612" w:rsidRPr="006920E0">
        <w:rPr>
          <w:rFonts w:asciiTheme="majorHAnsi" w:hAnsiTheme="majorHAnsi" w:cstheme="majorHAnsi"/>
          <w:lang w:val="es"/>
        </w:rPr>
        <w:t>posteriormente</w:t>
      </w:r>
      <w:r w:rsidRPr="006920E0">
        <w:rPr>
          <w:rFonts w:asciiTheme="majorHAnsi" w:hAnsiTheme="majorHAnsi" w:cstheme="majorHAnsi"/>
          <w:lang w:val="es"/>
        </w:rPr>
        <w:t xml:space="preserve"> en el 2021</w:t>
      </w:r>
      <w:r w:rsidR="004A2612" w:rsidRPr="006920E0">
        <w:rPr>
          <w:rFonts w:asciiTheme="majorHAnsi" w:hAnsiTheme="majorHAnsi" w:cstheme="majorHAnsi"/>
          <w:lang w:val="es"/>
        </w:rPr>
        <w:t>.</w:t>
      </w:r>
      <w:r w:rsidR="0060171B" w:rsidRPr="006920E0">
        <w:rPr>
          <w:rFonts w:asciiTheme="majorHAnsi" w:hAnsiTheme="majorHAnsi" w:cstheme="majorHAnsi"/>
          <w:lang w:val="es"/>
        </w:rPr>
        <w:t xml:space="preserve"> </w:t>
      </w:r>
    </w:p>
    <w:p w14:paraId="35D5AA0B" w14:textId="0E0CFBF3" w:rsidR="00BE4485" w:rsidRPr="006920E0" w:rsidRDefault="00CF7D70" w:rsidP="0024390E">
      <w:pPr>
        <w:jc w:val="both"/>
        <w:rPr>
          <w:rFonts w:asciiTheme="majorHAnsi" w:hAnsiTheme="majorHAnsi" w:cstheme="majorHAnsi"/>
        </w:rPr>
      </w:pPr>
      <w:r w:rsidRPr="006920E0">
        <w:rPr>
          <w:rFonts w:asciiTheme="majorHAnsi" w:hAnsiTheme="majorHAnsi" w:cstheme="majorHAnsi"/>
        </w:rPr>
        <w:t xml:space="preserve">Aunado a ello, en el año 2020, esta Comisión generó un espacio para mujeres privadas de libertad, en el cual </w:t>
      </w:r>
      <w:r w:rsidR="0060171B" w:rsidRPr="006920E0">
        <w:rPr>
          <w:rFonts w:asciiTheme="majorHAnsi" w:hAnsiTheme="majorHAnsi" w:cstheme="majorHAnsi"/>
        </w:rPr>
        <w:t xml:space="preserve">dieron a conocer sus emociones, historias y sentires a través de un concurso literario. </w:t>
      </w:r>
      <w:r w:rsidRPr="006920E0">
        <w:rPr>
          <w:rFonts w:asciiTheme="majorHAnsi" w:hAnsiTheme="majorHAnsi" w:cstheme="majorHAnsi"/>
        </w:rPr>
        <w:t xml:space="preserve">A partir de la recopilación de textos que se recibieron, se elaboró el libro </w:t>
      </w:r>
      <w:r w:rsidRPr="006920E0">
        <w:rPr>
          <w:rFonts w:asciiTheme="majorHAnsi" w:hAnsiTheme="majorHAnsi" w:cstheme="majorHAnsi"/>
          <w:i/>
        </w:rPr>
        <w:t>“</w:t>
      </w:r>
      <w:hyperlink r:id="rId33" w:history="1">
        <w:r w:rsidRPr="006920E0">
          <w:rPr>
            <w:rStyle w:val="Hyperlink"/>
            <w:rFonts w:asciiTheme="majorHAnsi" w:hAnsiTheme="majorHAnsi" w:cstheme="majorHAnsi"/>
            <w:i/>
          </w:rPr>
          <w:t>Desde adentro: libertad a través de la escritura”</w:t>
        </w:r>
      </w:hyperlink>
      <w:r w:rsidRPr="006920E0">
        <w:rPr>
          <w:rFonts w:asciiTheme="majorHAnsi" w:hAnsiTheme="majorHAnsi" w:cstheme="majorHAnsi"/>
          <w:i/>
        </w:rPr>
        <w:t>,</w:t>
      </w:r>
      <w:r w:rsidRPr="006920E0">
        <w:rPr>
          <w:rFonts w:asciiTheme="majorHAnsi" w:hAnsiTheme="majorHAnsi" w:cstheme="majorHAnsi"/>
        </w:rPr>
        <w:t xml:space="preserve"> el cual logra visibilizar sus vivencias y necesidades mediante el ejercicio de su derecho a la libertad de expresión, constatando que</w:t>
      </w:r>
      <w:r w:rsidRPr="006920E0">
        <w:rPr>
          <w:rFonts w:asciiTheme="majorHAnsi" w:hAnsiTheme="majorHAnsi" w:cstheme="majorHAnsi"/>
          <w:i/>
        </w:rPr>
        <w:t xml:space="preserve"> </w:t>
      </w:r>
      <w:r w:rsidRPr="006920E0">
        <w:rPr>
          <w:rFonts w:asciiTheme="majorHAnsi" w:hAnsiTheme="majorHAnsi" w:cstheme="majorHAnsi"/>
        </w:rPr>
        <w:t>“</w:t>
      </w:r>
      <w:r w:rsidRPr="006920E0">
        <w:rPr>
          <w:rFonts w:asciiTheme="majorHAnsi" w:hAnsiTheme="majorHAnsi" w:cstheme="majorHAnsi"/>
          <w:i/>
        </w:rPr>
        <w:t xml:space="preserve">la privación de la libertad de una persona impacta incluso en el ejercicio de los derechos de muchas otras, en especial de niñas, niños y adolescentes cuyas voces también están presentes, de alguna manera, en los textos a través de las palabras de sus madres”. </w:t>
      </w:r>
    </w:p>
    <w:sectPr w:rsidR="00BE4485" w:rsidRPr="006920E0">
      <w:headerReference w:type="default" r:id="rId34"/>
      <w:footerReference w:type="default" r:id="rId3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8454" w14:textId="77777777" w:rsidR="00A7196E" w:rsidRDefault="00A7196E" w:rsidP="00C70A64">
      <w:pPr>
        <w:spacing w:after="0" w:line="240" w:lineRule="auto"/>
      </w:pPr>
      <w:r>
        <w:separator/>
      </w:r>
    </w:p>
  </w:endnote>
  <w:endnote w:type="continuationSeparator" w:id="0">
    <w:p w14:paraId="3CB4F64F" w14:textId="77777777" w:rsidR="00A7196E" w:rsidRDefault="00A7196E" w:rsidP="00C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0578" w14:textId="4942ADF0" w:rsidR="00526984" w:rsidRDefault="00526984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E0E37" w:rsidRPr="00AE0E37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0D880773" w14:textId="77777777" w:rsidR="00526984" w:rsidRDefault="0052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989E" w14:textId="77777777" w:rsidR="00A7196E" w:rsidRDefault="00A7196E" w:rsidP="00C70A64">
      <w:pPr>
        <w:spacing w:after="0" w:line="240" w:lineRule="auto"/>
      </w:pPr>
      <w:r>
        <w:separator/>
      </w:r>
    </w:p>
  </w:footnote>
  <w:footnote w:type="continuationSeparator" w:id="0">
    <w:p w14:paraId="6CD595FC" w14:textId="77777777" w:rsidR="00A7196E" w:rsidRDefault="00A7196E" w:rsidP="00C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471F" w14:textId="35FA4030" w:rsidR="00524847" w:rsidRDefault="00526984" w:rsidP="00E943E8">
    <w:pPr>
      <w:pStyle w:val="Header"/>
      <w:jc w:val="right"/>
      <w:rPr>
        <w:rFonts w:asciiTheme="majorHAnsi" w:hAnsiTheme="majorHAnsi" w:cs="Calibri Light (Headings)"/>
        <w:smallCaps/>
        <w:sz w:val="26"/>
        <w:szCs w:val="26"/>
      </w:rPr>
    </w:pPr>
    <w:r w:rsidRPr="009714E8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4138C62" wp14:editId="041901E1">
          <wp:simplePos x="0" y="0"/>
          <wp:positionH relativeFrom="margin">
            <wp:posOffset>-184785</wp:posOffset>
          </wp:positionH>
          <wp:positionV relativeFrom="paragraph">
            <wp:posOffset>-249555</wp:posOffset>
          </wp:positionV>
          <wp:extent cx="733425" cy="733425"/>
          <wp:effectExtent l="0" t="0" r="9525" b="9525"/>
          <wp:wrapSquare wrapText="bothSides"/>
          <wp:docPr id="1" name="Imagen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847" w:rsidRPr="00385B24">
      <w:rPr>
        <w:rFonts w:asciiTheme="majorHAnsi" w:hAnsiTheme="majorHAnsi" w:cs="Calibri Light (Headings)"/>
        <w:smallCaps/>
        <w:sz w:val="26"/>
        <w:szCs w:val="26"/>
      </w:rPr>
      <w:t xml:space="preserve">Comisión </w:t>
    </w:r>
    <w:r w:rsidR="00524847" w:rsidRPr="0045249E">
      <w:rPr>
        <w:rFonts w:asciiTheme="majorHAnsi" w:hAnsiTheme="majorHAnsi" w:cs="Calibri Light (Headings)"/>
        <w:smallCaps/>
        <w:sz w:val="26"/>
        <w:szCs w:val="26"/>
      </w:rPr>
      <w:t>de</w:t>
    </w:r>
    <w:r w:rsidR="00524847" w:rsidRPr="00385B24">
      <w:rPr>
        <w:rFonts w:asciiTheme="majorHAnsi" w:hAnsiTheme="majorHAnsi" w:cs="Calibri Light (Headings)"/>
        <w:smallCaps/>
        <w:sz w:val="26"/>
        <w:szCs w:val="26"/>
      </w:rPr>
      <w:t xml:space="preserve"> Derechos Humanos </w:t>
    </w:r>
    <w:r w:rsidR="00524847" w:rsidRPr="0045249E">
      <w:rPr>
        <w:rFonts w:asciiTheme="majorHAnsi" w:hAnsiTheme="majorHAnsi" w:cs="Calibri Light (Headings)"/>
        <w:smallCaps/>
        <w:sz w:val="26"/>
        <w:szCs w:val="26"/>
      </w:rPr>
      <w:t>d</w:t>
    </w:r>
    <w:r w:rsidR="00524847" w:rsidRPr="00385B24">
      <w:rPr>
        <w:rFonts w:asciiTheme="majorHAnsi" w:hAnsiTheme="majorHAnsi" w:cs="Calibri Light (Headings)"/>
        <w:smallCaps/>
        <w:sz w:val="26"/>
        <w:szCs w:val="26"/>
      </w:rPr>
      <w:t xml:space="preserve">e </w:t>
    </w:r>
    <w:r w:rsidR="00524847" w:rsidRPr="0045249E">
      <w:rPr>
        <w:rFonts w:asciiTheme="majorHAnsi" w:hAnsiTheme="majorHAnsi" w:cs="Calibri Light (Headings)"/>
        <w:smallCaps/>
        <w:sz w:val="26"/>
        <w:szCs w:val="26"/>
      </w:rPr>
      <w:t>l</w:t>
    </w:r>
    <w:r w:rsidR="00524847" w:rsidRPr="00385B24">
      <w:rPr>
        <w:rFonts w:asciiTheme="majorHAnsi" w:hAnsiTheme="majorHAnsi" w:cs="Calibri Light (Headings)"/>
        <w:smallCaps/>
        <w:sz w:val="26"/>
        <w:szCs w:val="26"/>
      </w:rPr>
      <w:t xml:space="preserve">a Ciudad </w:t>
    </w:r>
    <w:r w:rsidR="00524847" w:rsidRPr="0045249E">
      <w:rPr>
        <w:rFonts w:asciiTheme="majorHAnsi" w:hAnsiTheme="majorHAnsi" w:cs="Calibri Light (Headings)"/>
        <w:smallCaps/>
        <w:sz w:val="26"/>
        <w:szCs w:val="26"/>
      </w:rPr>
      <w:t>de</w:t>
    </w:r>
    <w:r w:rsidR="00524847" w:rsidRPr="00385B24">
      <w:rPr>
        <w:rFonts w:asciiTheme="majorHAnsi" w:hAnsiTheme="majorHAnsi" w:cs="Calibri Light (Headings)"/>
        <w:smallCaps/>
        <w:sz w:val="26"/>
        <w:szCs w:val="26"/>
      </w:rPr>
      <w:t xml:space="preserve"> México</w:t>
    </w:r>
  </w:p>
  <w:p w14:paraId="0BEF6F5F" w14:textId="7A62A8FF" w:rsidR="00524847" w:rsidRDefault="00524847" w:rsidP="00E943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4E"/>
    <w:multiLevelType w:val="hybridMultilevel"/>
    <w:tmpl w:val="3146A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951"/>
    <w:multiLevelType w:val="hybridMultilevel"/>
    <w:tmpl w:val="735E659A"/>
    <w:lvl w:ilvl="0" w:tplc="43BE50FA">
      <w:start w:val="1"/>
      <w:numFmt w:val="upperRoman"/>
      <w:lvlText w:val="%1."/>
      <w:lvlJc w:val="left"/>
      <w:pPr>
        <w:ind w:left="1068" w:hanging="360"/>
      </w:pPr>
      <w:rPr>
        <w:rFonts w:asciiTheme="majorHAnsi" w:eastAsiaTheme="minorHAnsi" w:hAnsiTheme="majorHAnsi" w:cstheme="majorHAnsi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56C36"/>
    <w:multiLevelType w:val="hybridMultilevel"/>
    <w:tmpl w:val="735E659A"/>
    <w:lvl w:ilvl="0" w:tplc="43BE50FA">
      <w:start w:val="1"/>
      <w:numFmt w:val="upperRoman"/>
      <w:lvlText w:val="%1."/>
      <w:lvlJc w:val="left"/>
      <w:pPr>
        <w:ind w:left="1068" w:hanging="360"/>
      </w:pPr>
      <w:rPr>
        <w:rFonts w:asciiTheme="majorHAnsi" w:eastAsiaTheme="minorHAnsi" w:hAnsiTheme="majorHAnsi" w:cstheme="majorHAnsi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76275A"/>
    <w:multiLevelType w:val="multilevel"/>
    <w:tmpl w:val="AC7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24E26"/>
    <w:multiLevelType w:val="hybridMultilevel"/>
    <w:tmpl w:val="E54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4A0"/>
    <w:multiLevelType w:val="hybridMultilevel"/>
    <w:tmpl w:val="B754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6D3"/>
    <w:multiLevelType w:val="multilevel"/>
    <w:tmpl w:val="C65C2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B1CFF"/>
    <w:multiLevelType w:val="hybridMultilevel"/>
    <w:tmpl w:val="54ACA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134A4"/>
    <w:multiLevelType w:val="hybridMultilevel"/>
    <w:tmpl w:val="8920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65F9"/>
    <w:multiLevelType w:val="hybridMultilevel"/>
    <w:tmpl w:val="18D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4155"/>
    <w:multiLevelType w:val="hybridMultilevel"/>
    <w:tmpl w:val="1408B41A"/>
    <w:lvl w:ilvl="0" w:tplc="1FD0E17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DD1A59"/>
    <w:multiLevelType w:val="hybridMultilevel"/>
    <w:tmpl w:val="122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768F"/>
    <w:multiLevelType w:val="hybridMultilevel"/>
    <w:tmpl w:val="5A28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2EC0A">
      <w:numFmt w:val="bullet"/>
      <w:lvlText w:val="-"/>
      <w:lvlJc w:val="left"/>
      <w:pPr>
        <w:ind w:left="3240" w:hanging="1440"/>
      </w:pPr>
      <w:rPr>
        <w:rFonts w:ascii="Calibri Light" w:eastAsiaTheme="minorHAnsi" w:hAnsi="Calibri Light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65C3B"/>
    <w:multiLevelType w:val="hybridMultilevel"/>
    <w:tmpl w:val="33862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4"/>
    <w:rsid w:val="000049B2"/>
    <w:rsid w:val="00034C94"/>
    <w:rsid w:val="00047C6B"/>
    <w:rsid w:val="000604D7"/>
    <w:rsid w:val="00065D82"/>
    <w:rsid w:val="00070AF0"/>
    <w:rsid w:val="00077DBB"/>
    <w:rsid w:val="000C53D3"/>
    <w:rsid w:val="000C68A8"/>
    <w:rsid w:val="000E19C6"/>
    <w:rsid w:val="000E749C"/>
    <w:rsid w:val="00180E66"/>
    <w:rsid w:val="001A51A0"/>
    <w:rsid w:val="001C1A83"/>
    <w:rsid w:val="001D2A0A"/>
    <w:rsid w:val="00214DD4"/>
    <w:rsid w:val="00235D30"/>
    <w:rsid w:val="0024390E"/>
    <w:rsid w:val="00247EC4"/>
    <w:rsid w:val="00282EE3"/>
    <w:rsid w:val="00295DB5"/>
    <w:rsid w:val="002F295C"/>
    <w:rsid w:val="003326A0"/>
    <w:rsid w:val="00340D8C"/>
    <w:rsid w:val="00352433"/>
    <w:rsid w:val="0036425A"/>
    <w:rsid w:val="00365AE6"/>
    <w:rsid w:val="00375FF3"/>
    <w:rsid w:val="00386391"/>
    <w:rsid w:val="003A7A4E"/>
    <w:rsid w:val="003E1E20"/>
    <w:rsid w:val="003E3AF8"/>
    <w:rsid w:val="003E6D04"/>
    <w:rsid w:val="003F1828"/>
    <w:rsid w:val="00415E8B"/>
    <w:rsid w:val="004225C6"/>
    <w:rsid w:val="00423752"/>
    <w:rsid w:val="00426B2F"/>
    <w:rsid w:val="00432847"/>
    <w:rsid w:val="00442739"/>
    <w:rsid w:val="00447D00"/>
    <w:rsid w:val="0045249E"/>
    <w:rsid w:val="00491949"/>
    <w:rsid w:val="004A2612"/>
    <w:rsid w:val="004A449A"/>
    <w:rsid w:val="004F67D9"/>
    <w:rsid w:val="005020F8"/>
    <w:rsid w:val="00516B0E"/>
    <w:rsid w:val="00524847"/>
    <w:rsid w:val="00526984"/>
    <w:rsid w:val="00527284"/>
    <w:rsid w:val="00536E21"/>
    <w:rsid w:val="00576E88"/>
    <w:rsid w:val="00586F37"/>
    <w:rsid w:val="005E6B5B"/>
    <w:rsid w:val="0060171B"/>
    <w:rsid w:val="00601732"/>
    <w:rsid w:val="0060602C"/>
    <w:rsid w:val="00612FC7"/>
    <w:rsid w:val="00654458"/>
    <w:rsid w:val="00664CEE"/>
    <w:rsid w:val="00673686"/>
    <w:rsid w:val="00685D9F"/>
    <w:rsid w:val="00686DA0"/>
    <w:rsid w:val="006920E0"/>
    <w:rsid w:val="0069671A"/>
    <w:rsid w:val="006B61DC"/>
    <w:rsid w:val="006D37F3"/>
    <w:rsid w:val="006D67A2"/>
    <w:rsid w:val="00711FE1"/>
    <w:rsid w:val="00712586"/>
    <w:rsid w:val="007146CA"/>
    <w:rsid w:val="00726449"/>
    <w:rsid w:val="00795811"/>
    <w:rsid w:val="007A0C94"/>
    <w:rsid w:val="007A6EDA"/>
    <w:rsid w:val="007A7B28"/>
    <w:rsid w:val="007B0AE3"/>
    <w:rsid w:val="007F0147"/>
    <w:rsid w:val="00825C67"/>
    <w:rsid w:val="0086680F"/>
    <w:rsid w:val="008810F6"/>
    <w:rsid w:val="008973C0"/>
    <w:rsid w:val="008C6FF0"/>
    <w:rsid w:val="008D6C38"/>
    <w:rsid w:val="008D7AE8"/>
    <w:rsid w:val="008F414F"/>
    <w:rsid w:val="009241CF"/>
    <w:rsid w:val="00944BBA"/>
    <w:rsid w:val="009D10EE"/>
    <w:rsid w:val="009D7435"/>
    <w:rsid w:val="009E75B3"/>
    <w:rsid w:val="00A142FF"/>
    <w:rsid w:val="00A43726"/>
    <w:rsid w:val="00A55EC8"/>
    <w:rsid w:val="00A61297"/>
    <w:rsid w:val="00A7196E"/>
    <w:rsid w:val="00A96F25"/>
    <w:rsid w:val="00AA20A6"/>
    <w:rsid w:val="00AA2A30"/>
    <w:rsid w:val="00AB0AF3"/>
    <w:rsid w:val="00AB5FAF"/>
    <w:rsid w:val="00AB78E2"/>
    <w:rsid w:val="00AE0E37"/>
    <w:rsid w:val="00AE1996"/>
    <w:rsid w:val="00B06550"/>
    <w:rsid w:val="00B225ED"/>
    <w:rsid w:val="00B63E4F"/>
    <w:rsid w:val="00BA049F"/>
    <w:rsid w:val="00BA7D69"/>
    <w:rsid w:val="00BE4485"/>
    <w:rsid w:val="00BE7F68"/>
    <w:rsid w:val="00BF748D"/>
    <w:rsid w:val="00C123DC"/>
    <w:rsid w:val="00C3690C"/>
    <w:rsid w:val="00C50B11"/>
    <w:rsid w:val="00C66216"/>
    <w:rsid w:val="00C70A64"/>
    <w:rsid w:val="00C91E09"/>
    <w:rsid w:val="00CA78A9"/>
    <w:rsid w:val="00CB54E8"/>
    <w:rsid w:val="00CC50ED"/>
    <w:rsid w:val="00CC64D4"/>
    <w:rsid w:val="00CC7DE0"/>
    <w:rsid w:val="00CF7D70"/>
    <w:rsid w:val="00D14D52"/>
    <w:rsid w:val="00D237E9"/>
    <w:rsid w:val="00D36EDC"/>
    <w:rsid w:val="00D47C67"/>
    <w:rsid w:val="00D6342C"/>
    <w:rsid w:val="00D93824"/>
    <w:rsid w:val="00DA7356"/>
    <w:rsid w:val="00DB7583"/>
    <w:rsid w:val="00DC5EFC"/>
    <w:rsid w:val="00DF057E"/>
    <w:rsid w:val="00E012BF"/>
    <w:rsid w:val="00E04CEA"/>
    <w:rsid w:val="00E10E90"/>
    <w:rsid w:val="00E54573"/>
    <w:rsid w:val="00E943E8"/>
    <w:rsid w:val="00EA51BD"/>
    <w:rsid w:val="00EB6E63"/>
    <w:rsid w:val="00EC0B07"/>
    <w:rsid w:val="00EE0030"/>
    <w:rsid w:val="00F01D85"/>
    <w:rsid w:val="00F20211"/>
    <w:rsid w:val="00F35E02"/>
    <w:rsid w:val="00F4408B"/>
    <w:rsid w:val="00F44D4F"/>
    <w:rsid w:val="00F46544"/>
    <w:rsid w:val="00F5239D"/>
    <w:rsid w:val="00F570B7"/>
    <w:rsid w:val="00F57AB5"/>
    <w:rsid w:val="00F705A7"/>
    <w:rsid w:val="00F85B36"/>
    <w:rsid w:val="00FB0673"/>
    <w:rsid w:val="00FB11FF"/>
    <w:rsid w:val="00FB3140"/>
    <w:rsid w:val="00FB498B"/>
    <w:rsid w:val="00FC2A24"/>
    <w:rsid w:val="00FD21C8"/>
    <w:rsid w:val="00FD5014"/>
    <w:rsid w:val="00FD595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1C708"/>
  <w15:chartTrackingRefBased/>
  <w15:docId w15:val="{C6443EC5-4769-4E1E-8A85-8324807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0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A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39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52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0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E8"/>
  </w:style>
  <w:style w:type="paragraph" w:styleId="Footer">
    <w:name w:val="footer"/>
    <w:basedOn w:val="Normal"/>
    <w:link w:val="FooterChar"/>
    <w:uiPriority w:val="99"/>
    <w:unhideWhenUsed/>
    <w:rsid w:val="00E9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E8"/>
  </w:style>
  <w:style w:type="character" w:customStyle="1" w:styleId="Heading2Char">
    <w:name w:val="Heading 2 Char"/>
    <w:basedOn w:val="DefaultParagraphFont"/>
    <w:link w:val="Heading2"/>
    <w:uiPriority w:val="9"/>
    <w:rsid w:val="00BE448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BE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E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F57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390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abarr/Downloads/En%202021:%20https:/centralelectoral.ine.mx/2018/02/15/conoce-los-distritos-donde-partidos-y-coaliciones-deberan-postular-candidaturas-indigenas/" TargetMode="External"/><Relationship Id="rId18" Type="http://schemas.openxmlformats.org/officeDocument/2006/relationships/hyperlink" Target="file:///C:/Users/abarr/Downloads/Tribunal%20Electoral%20del%20Poder%20Judicial%20de%20la%20Federaci&#243;n,%20SUP-JDC-352/2018%20Y%20SUP-JDC-353/2018%20acumulado,%2020%20de%20febrero%20de%202019," TargetMode="External"/><Relationship Id="rId26" Type="http://schemas.openxmlformats.org/officeDocument/2006/relationships/hyperlink" Target="https://cdhcm.org.mx/wp-content/uploads/2021/09/Caminito_Nacional.pdf" TargetMode="External"/><Relationship Id="rId21" Type="http://schemas.openxmlformats.org/officeDocument/2006/relationships/hyperlink" Target="http://www.diputados.gob.mx/LeyesBiblio/pdf/LGDNNA_110121.pdf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Diputados.Gob.Mx/Leyesbiblio/Proceso/Docleg/64/238_DOF_06jun19.Pdf" TargetMode="External"/><Relationship Id="rId17" Type="http://schemas.openxmlformats.org/officeDocument/2006/relationships/hyperlink" Target="https://www.te.gob.mx/Informacion_juridiccional/sesion_publica/ejecutoria/sentencias/SUP-JDC-0352-2018.pdf" TargetMode="External"/><Relationship Id="rId25" Type="http://schemas.openxmlformats.org/officeDocument/2006/relationships/hyperlink" Target="http://cdhdfbeta.cdhdf.org.mx/wp-content/uploads/2020/10/Infancias-encerradas_discapacidad_lenguaje-sencillo.pdf" TargetMode="External"/><Relationship Id="rId33" Type="http://schemas.openxmlformats.org/officeDocument/2006/relationships/hyperlink" Target="https://cdhcm.org.mx/wp-content/uploads/2020/12/Desde-adentro-Libertad-a-traves-de-la-escritura-Velectronic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e.mx/wp-content/uploads/2018/06/DECEyEC-Protocolo-Trans.pdf" TargetMode="External"/><Relationship Id="rId20" Type="http://schemas.openxmlformats.org/officeDocument/2006/relationships/hyperlink" Target="http://www.votochilango.mx/" TargetMode="External"/><Relationship Id="rId29" Type="http://schemas.openxmlformats.org/officeDocument/2006/relationships/hyperlink" Target="https://repositoriodocumental.ine.mx/xmlui/bitstream/handle/123456789/123118/ccoe-19se-20-08-2021-p15-informe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abarrancor/Downloads/http:/www.diputados.gob.mx/LeyesBiblio/pdf/LGIPE_130420.pdf&amp;clen=1824531" TargetMode="External"/><Relationship Id="rId24" Type="http://schemas.openxmlformats.org/officeDocument/2006/relationships/hyperlink" Target="http://cdhdfbeta.cdhdf.org.mx/wp-content/uploads/2020/10/Infancias-encerradas_discapacidad_lenguaje-sencillo.pdf" TargetMode="External"/><Relationship Id="rId32" Type="http://schemas.openxmlformats.org/officeDocument/2006/relationships/hyperlink" Target="https://politica.expansion.mx/cdmx/2019/02/01/en-que-consiste-el-primer-parlamento-de-mujeres-de-la-cdmx-esto-sabemo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analdelcongreso.gob.mx/noticias/14531/Grupo_Parlamentario_de_Morena_presenta_a_las_primeras_legisladoras_trans_en_AL" TargetMode="External"/><Relationship Id="rId23" Type="http://schemas.openxmlformats.org/officeDocument/2006/relationships/hyperlink" Target="infodf.org.mx/documentospdf/constitucion_cdmx/Constitucion_%20Politica_CDMX.pdf" TargetMode="External"/><Relationship Id="rId28" Type="http://schemas.openxmlformats.org/officeDocument/2006/relationships/hyperlink" Target="https://lacasadelarbolvirtual.cdhcm.org.mx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enitenciario.cdmx.gob.mx/poblacion-penitenciaria" TargetMode="External"/><Relationship Id="rId31" Type="http://schemas.openxmlformats.org/officeDocument/2006/relationships/hyperlink" Target="https://www.conapred.org.mx/index.php?contenido=noticias&amp;id=6334&amp;id_opcion=&amp;op=44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INE/CG572/2020" TargetMode="External"/><Relationship Id="rId22" Type="http://schemas.openxmlformats.org/officeDocument/2006/relationships/hyperlink" Target="https://www.congresocdmx.gob.mx/media/documentos/780f3d364ab88257fab481b08ee5e9748c2fa0b4.pdf" TargetMode="External"/><Relationship Id="rId27" Type="http://schemas.openxmlformats.org/officeDocument/2006/relationships/hyperlink" Target="https://cdhcm.org.mx/2021/08/estado-familias-y-sociedad-deben-respetar-participacion-y-opinion-de-ninas-ninos-y-adolescentes-ante-regreso-a-clases/" TargetMode="External"/><Relationship Id="rId30" Type="http://schemas.openxmlformats.org/officeDocument/2006/relationships/hyperlink" Target="https://www.conapred.org.mx/index.php?contenido=noticias&amp;id=6334&amp;id_opcion=&amp;op=448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2F68-DDDD-4ECB-9411-A976C82A14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128699-8F70-4FBC-96DA-0B615202ED52}"/>
</file>

<file path=customXml/itemProps3.xml><?xml version="1.0" encoding="utf-8"?>
<ds:datastoreItem xmlns:ds="http://schemas.openxmlformats.org/officeDocument/2006/customXml" ds:itemID="{501B82C6-53C7-4088-8CFD-CB9F6DCA5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3D2D6-8375-415B-A932-1C4D2FC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3002</Words>
  <Characters>17116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Lilia Petrosyan</cp:lastModifiedBy>
  <cp:revision>2</cp:revision>
  <cp:lastPrinted>2021-09-22T16:23:00Z</cp:lastPrinted>
  <dcterms:created xsi:type="dcterms:W3CDTF">2021-10-12T12:21:00Z</dcterms:created>
  <dcterms:modified xsi:type="dcterms:W3CDTF">2021-10-12T12:21:00Z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