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CD146" w14:textId="77777777" w:rsidR="002F5F77" w:rsidRPr="00704EA2" w:rsidRDefault="005759CF" w:rsidP="002F5F77">
      <w:pPr>
        <w:pStyle w:val="SingleTxtG"/>
        <w:spacing w:after="0" w:line="276" w:lineRule="auto"/>
        <w:ind w:left="-142" w:right="-90"/>
        <w:jc w:val="center"/>
        <w:rPr>
          <w:b/>
          <w:sz w:val="26"/>
          <w:szCs w:val="26"/>
        </w:rPr>
      </w:pPr>
      <w:bookmarkStart w:id="0" w:name="_GoBack"/>
      <w:bookmarkEnd w:id="0"/>
      <w:r>
        <w:rPr>
          <w:b/>
          <w:sz w:val="26"/>
          <w:szCs w:val="26"/>
        </w:rPr>
        <w:t xml:space="preserve">                                                                                                                                           </w:t>
      </w:r>
      <w:r w:rsidR="00E16CC6">
        <w:rPr>
          <w:b/>
          <w:sz w:val="26"/>
          <w:szCs w:val="26"/>
        </w:rPr>
        <w:t>REPUBLIC OF MAURITIUS</w:t>
      </w:r>
    </w:p>
    <w:p w14:paraId="31755581" w14:textId="77777777" w:rsidR="002F5F77" w:rsidRDefault="002F5F77">
      <w:pPr>
        <w:rPr>
          <w:rFonts w:ascii="Times New Roman" w:hAnsi="Times New Roman" w:cs="Times New Roman"/>
          <w:b/>
          <w:sz w:val="24"/>
          <w:szCs w:val="24"/>
          <w:u w:val="single"/>
        </w:rPr>
      </w:pPr>
    </w:p>
    <w:p w14:paraId="7D5DFEFD" w14:textId="77777777" w:rsidR="00163F80" w:rsidRPr="002F001B" w:rsidRDefault="002F001B" w:rsidP="002F5F77">
      <w:pPr>
        <w:jc w:val="center"/>
        <w:rPr>
          <w:rFonts w:ascii="Times New Roman" w:hAnsi="Times New Roman" w:cs="Times New Roman"/>
          <w:b/>
          <w:sz w:val="24"/>
          <w:szCs w:val="24"/>
        </w:rPr>
      </w:pPr>
      <w:r w:rsidRPr="002F001B">
        <w:rPr>
          <w:rFonts w:ascii="Times New Roman" w:hAnsi="Times New Roman" w:cs="Times New Roman"/>
          <w:b/>
          <w:sz w:val="24"/>
          <w:szCs w:val="24"/>
        </w:rPr>
        <w:t>Human Rights Council Resolution 42/17 on “</w:t>
      </w:r>
      <w:r w:rsidR="00D61839" w:rsidRPr="002F001B">
        <w:rPr>
          <w:rFonts w:ascii="Times New Roman" w:hAnsi="Times New Roman" w:cs="Times New Roman"/>
          <w:b/>
          <w:sz w:val="24"/>
          <w:szCs w:val="24"/>
        </w:rPr>
        <w:t>Human Rights and Transitional Justice</w:t>
      </w:r>
      <w:r w:rsidRPr="002F001B">
        <w:rPr>
          <w:rFonts w:ascii="Times New Roman" w:hAnsi="Times New Roman" w:cs="Times New Roman"/>
          <w:b/>
          <w:sz w:val="24"/>
          <w:szCs w:val="24"/>
        </w:rPr>
        <w:t>”</w:t>
      </w:r>
    </w:p>
    <w:p w14:paraId="1A0C3AE8" w14:textId="77777777" w:rsidR="00417470" w:rsidRDefault="00417470" w:rsidP="00420336">
      <w:pPr>
        <w:tabs>
          <w:tab w:val="left" w:pos="720"/>
        </w:tabs>
        <w:autoSpaceDE w:val="0"/>
        <w:autoSpaceDN w:val="0"/>
        <w:adjustRightInd w:val="0"/>
        <w:spacing w:after="0" w:line="276" w:lineRule="auto"/>
        <w:jc w:val="both"/>
        <w:rPr>
          <w:rFonts w:ascii="Times New Roman" w:hAnsi="Times New Roman" w:cs="Times New Roman"/>
          <w:b/>
          <w:sz w:val="24"/>
          <w:szCs w:val="24"/>
          <w:u w:val="single"/>
        </w:rPr>
      </w:pPr>
    </w:p>
    <w:p w14:paraId="623C87A8" w14:textId="77777777" w:rsidR="00420336" w:rsidRDefault="00420336" w:rsidP="00420336">
      <w:pPr>
        <w:pStyle w:val="ListParagraph"/>
        <w:tabs>
          <w:tab w:val="left" w:pos="720"/>
        </w:tabs>
        <w:autoSpaceDE w:val="0"/>
        <w:autoSpaceDN w:val="0"/>
        <w:adjustRightInd w:val="0"/>
        <w:spacing w:after="0" w:line="276" w:lineRule="auto"/>
        <w:jc w:val="both"/>
        <w:rPr>
          <w:rFonts w:ascii="Times New Roman" w:hAnsi="Times New Roman" w:cs="Times New Roman"/>
          <w:b/>
          <w:sz w:val="24"/>
          <w:szCs w:val="24"/>
        </w:rPr>
      </w:pPr>
    </w:p>
    <w:p w14:paraId="472D2CC5" w14:textId="77777777" w:rsidR="00E73FD8" w:rsidRDefault="00282A03" w:rsidP="003B64DF">
      <w:pPr>
        <w:tabs>
          <w:tab w:val="left" w:pos="720"/>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E73FD8" w:rsidRPr="003B64DF">
        <w:rPr>
          <w:rFonts w:ascii="Times New Roman" w:hAnsi="Times New Roman" w:cs="Times New Roman"/>
          <w:sz w:val="24"/>
          <w:szCs w:val="24"/>
        </w:rPr>
        <w:t>Mauritius is a secular country. It has ratified most of the Human Rights instruments.</w:t>
      </w:r>
    </w:p>
    <w:p w14:paraId="2B1B5B42" w14:textId="77777777" w:rsidR="003B64DF" w:rsidRDefault="003B64DF" w:rsidP="003B64DF">
      <w:pPr>
        <w:tabs>
          <w:tab w:val="left" w:pos="720"/>
        </w:tabs>
        <w:autoSpaceDE w:val="0"/>
        <w:autoSpaceDN w:val="0"/>
        <w:adjustRightInd w:val="0"/>
        <w:spacing w:after="0" w:line="276" w:lineRule="auto"/>
        <w:jc w:val="both"/>
        <w:rPr>
          <w:rFonts w:ascii="Times New Roman" w:hAnsi="Times New Roman" w:cs="Times New Roman"/>
          <w:sz w:val="24"/>
          <w:szCs w:val="24"/>
        </w:rPr>
      </w:pPr>
    </w:p>
    <w:p w14:paraId="5388B6B6" w14:textId="77777777" w:rsidR="003B64DF" w:rsidRPr="003B64DF" w:rsidRDefault="003B64DF" w:rsidP="003B64DF">
      <w:pPr>
        <w:pStyle w:val="ListParagraph"/>
        <w:numPr>
          <w:ilvl w:val="0"/>
          <w:numId w:val="19"/>
        </w:numPr>
        <w:tabs>
          <w:tab w:val="left" w:pos="720"/>
        </w:tabs>
        <w:autoSpaceDE w:val="0"/>
        <w:autoSpaceDN w:val="0"/>
        <w:adjustRightInd w:val="0"/>
        <w:spacing w:after="0" w:line="276" w:lineRule="auto"/>
        <w:jc w:val="both"/>
        <w:rPr>
          <w:rFonts w:ascii="Times New Roman" w:hAnsi="Times New Roman" w:cs="Times New Roman"/>
          <w:sz w:val="24"/>
          <w:szCs w:val="24"/>
          <w:u w:val="single"/>
        </w:rPr>
      </w:pPr>
      <w:r w:rsidRPr="003B64DF">
        <w:rPr>
          <w:rFonts w:ascii="Times New Roman" w:hAnsi="Times New Roman" w:cs="Times New Roman"/>
          <w:sz w:val="24"/>
          <w:szCs w:val="24"/>
          <w:u w:val="single"/>
        </w:rPr>
        <w:t>The Constitution and human rights</w:t>
      </w:r>
    </w:p>
    <w:p w14:paraId="3ED645C0" w14:textId="77777777" w:rsidR="00E73FD8" w:rsidRPr="00E73FD8" w:rsidRDefault="00E73FD8" w:rsidP="00420336">
      <w:pPr>
        <w:pStyle w:val="ListParagraph"/>
        <w:tabs>
          <w:tab w:val="left" w:pos="720"/>
        </w:tabs>
        <w:autoSpaceDE w:val="0"/>
        <w:autoSpaceDN w:val="0"/>
        <w:adjustRightInd w:val="0"/>
        <w:spacing w:after="0" w:line="276" w:lineRule="auto"/>
        <w:jc w:val="both"/>
        <w:rPr>
          <w:rFonts w:ascii="Times New Roman" w:hAnsi="Times New Roman" w:cs="Times New Roman"/>
          <w:sz w:val="24"/>
          <w:szCs w:val="24"/>
        </w:rPr>
      </w:pPr>
    </w:p>
    <w:p w14:paraId="3D3EA43A" w14:textId="77777777" w:rsidR="00D24347" w:rsidRPr="003F28B9" w:rsidRDefault="00D24347" w:rsidP="00725C59">
      <w:pPr>
        <w:spacing w:before="240" w:line="276" w:lineRule="auto"/>
        <w:ind w:firstLine="720"/>
        <w:jc w:val="both"/>
        <w:rPr>
          <w:rFonts w:ascii="Times New Roman" w:hAnsi="Times New Roman" w:cs="Times New Roman"/>
          <w:sz w:val="24"/>
          <w:szCs w:val="24"/>
        </w:rPr>
      </w:pPr>
      <w:r w:rsidRPr="003F28B9">
        <w:rPr>
          <w:rFonts w:ascii="Times New Roman" w:hAnsi="Times New Roman" w:cs="Times New Roman"/>
          <w:sz w:val="24"/>
          <w:szCs w:val="24"/>
        </w:rPr>
        <w:t xml:space="preserve">The Constitution of Mauritius provides an </w:t>
      </w:r>
      <w:r w:rsidR="006257C2">
        <w:rPr>
          <w:rFonts w:ascii="Times New Roman" w:hAnsi="Times New Roman" w:cs="Times New Roman"/>
          <w:sz w:val="24"/>
          <w:szCs w:val="24"/>
        </w:rPr>
        <w:t>un</w:t>
      </w:r>
      <w:r w:rsidRPr="003F28B9">
        <w:rPr>
          <w:rFonts w:ascii="Times New Roman" w:hAnsi="Times New Roman" w:cs="Times New Roman"/>
          <w:sz w:val="24"/>
          <w:szCs w:val="24"/>
        </w:rPr>
        <w:t>equivocal right for every citizen to be treated equally and to live a life free from discrimination. In this vein, from a human rights perspective, the State of Mauritius does not discriminate between citizens, including vulnerable and disenfranchised segments of the populations and migrants.</w:t>
      </w:r>
    </w:p>
    <w:p w14:paraId="272F17DE" w14:textId="77777777" w:rsidR="005759CF" w:rsidRPr="005759CF" w:rsidRDefault="005759CF" w:rsidP="005759CF">
      <w:pPr>
        <w:spacing w:after="0" w:line="276" w:lineRule="auto"/>
        <w:ind w:firstLine="720"/>
        <w:jc w:val="both"/>
        <w:rPr>
          <w:rFonts w:ascii="Times New Roman" w:hAnsi="Times New Roman" w:cs="Times New Roman"/>
          <w:sz w:val="24"/>
          <w:szCs w:val="24"/>
          <w:lang w:val="en-GB"/>
        </w:rPr>
      </w:pPr>
      <w:r w:rsidRPr="005759CF">
        <w:rPr>
          <w:rFonts w:ascii="Times New Roman" w:hAnsi="Times New Roman" w:cs="Times New Roman"/>
          <w:sz w:val="24"/>
          <w:szCs w:val="24"/>
          <w:lang w:val="en-GB"/>
        </w:rPr>
        <w:t xml:space="preserve">Under Section 3 of the Constitution, recognition is given to </w:t>
      </w:r>
      <w:r w:rsidR="006257C2">
        <w:rPr>
          <w:rFonts w:ascii="Times New Roman" w:hAnsi="Times New Roman" w:cs="Times New Roman"/>
          <w:sz w:val="24"/>
          <w:szCs w:val="24"/>
          <w:lang w:val="en-GB"/>
        </w:rPr>
        <w:t xml:space="preserve">the </w:t>
      </w:r>
      <w:r w:rsidRPr="005759CF">
        <w:rPr>
          <w:rFonts w:ascii="Times New Roman" w:hAnsi="Times New Roman" w:cs="Times New Roman"/>
          <w:sz w:val="24"/>
          <w:szCs w:val="24"/>
          <w:lang w:val="en-GB"/>
        </w:rPr>
        <w:t>right of an individual to life, liberty, security of the person and protection of the law.</w:t>
      </w:r>
    </w:p>
    <w:p w14:paraId="54B36E79" w14:textId="77777777" w:rsidR="005759CF" w:rsidRDefault="005759CF" w:rsidP="00FE3FCA">
      <w:pPr>
        <w:spacing w:before="240" w:after="0" w:line="276" w:lineRule="auto"/>
        <w:ind w:firstLine="720"/>
        <w:jc w:val="both"/>
        <w:rPr>
          <w:rFonts w:ascii="Times New Roman" w:hAnsi="Times New Roman" w:cs="Times New Roman"/>
          <w:sz w:val="24"/>
          <w:szCs w:val="24"/>
          <w:lang w:val="en-GB"/>
        </w:rPr>
      </w:pPr>
      <w:r w:rsidRPr="005759CF">
        <w:rPr>
          <w:rFonts w:ascii="Times New Roman" w:hAnsi="Times New Roman" w:cs="Times New Roman"/>
          <w:sz w:val="24"/>
          <w:szCs w:val="24"/>
          <w:lang w:val="en-GB"/>
        </w:rPr>
        <w:t xml:space="preserve">Furthermore, Section 17 of the Constitution provides that a citizen, who alleges that his right under, </w:t>
      </w:r>
      <w:r w:rsidRPr="005759CF">
        <w:rPr>
          <w:rFonts w:ascii="Times New Roman" w:hAnsi="Times New Roman" w:cs="Times New Roman"/>
          <w:i/>
          <w:sz w:val="24"/>
          <w:szCs w:val="24"/>
          <w:lang w:val="en-GB"/>
        </w:rPr>
        <w:t>inter alia</w:t>
      </w:r>
      <w:r w:rsidRPr="005759CF">
        <w:rPr>
          <w:rFonts w:ascii="Times New Roman" w:hAnsi="Times New Roman" w:cs="Times New Roman"/>
          <w:sz w:val="24"/>
          <w:szCs w:val="24"/>
          <w:lang w:val="en-GB"/>
        </w:rPr>
        <w:t>, Section 16 of the Constitution is being or is likely to be contravened may apply to the Supreme Court for redress. Any victim and/or affected community may enter a case in damages against any alleged perpetrator of a racial discrimination based on this Section.</w:t>
      </w:r>
    </w:p>
    <w:p w14:paraId="02A1F519" w14:textId="77777777" w:rsidR="003B64DF" w:rsidRDefault="003B64DF" w:rsidP="00FE3FCA">
      <w:pPr>
        <w:spacing w:before="240" w:after="0" w:line="276" w:lineRule="auto"/>
        <w:ind w:firstLine="720"/>
        <w:jc w:val="both"/>
        <w:rPr>
          <w:rFonts w:ascii="Times New Roman" w:hAnsi="Times New Roman" w:cs="Times New Roman"/>
          <w:sz w:val="24"/>
          <w:szCs w:val="24"/>
          <w:lang w:val="en-GB"/>
        </w:rPr>
      </w:pPr>
    </w:p>
    <w:p w14:paraId="1A446B18" w14:textId="77777777" w:rsidR="003B64DF" w:rsidRPr="003B64DF" w:rsidRDefault="003B64DF" w:rsidP="003B64DF">
      <w:pPr>
        <w:pStyle w:val="ListParagraph"/>
        <w:numPr>
          <w:ilvl w:val="0"/>
          <w:numId w:val="19"/>
        </w:numPr>
        <w:tabs>
          <w:tab w:val="left" w:pos="720"/>
        </w:tabs>
        <w:autoSpaceDE w:val="0"/>
        <w:autoSpaceDN w:val="0"/>
        <w:adjustRightInd w:val="0"/>
        <w:spacing w:after="0" w:line="276" w:lineRule="auto"/>
        <w:jc w:val="both"/>
        <w:rPr>
          <w:rFonts w:ascii="Times New Roman" w:hAnsi="Times New Roman" w:cs="Times New Roman"/>
          <w:sz w:val="24"/>
          <w:szCs w:val="24"/>
        </w:rPr>
      </w:pPr>
      <w:r w:rsidRPr="003B64DF">
        <w:rPr>
          <w:rFonts w:ascii="Times New Roman" w:hAnsi="Times New Roman" w:cs="Times New Roman"/>
          <w:sz w:val="24"/>
          <w:szCs w:val="24"/>
        </w:rPr>
        <w:t xml:space="preserve">In </w:t>
      </w:r>
      <w:r w:rsidR="006257C2">
        <w:rPr>
          <w:rFonts w:ascii="Times New Roman" w:hAnsi="Times New Roman" w:cs="Times New Roman"/>
          <w:sz w:val="24"/>
          <w:szCs w:val="24"/>
        </w:rPr>
        <w:t xml:space="preserve">addition, there are </w:t>
      </w:r>
      <w:r>
        <w:rPr>
          <w:rFonts w:ascii="Times New Roman" w:hAnsi="Times New Roman" w:cs="Times New Roman"/>
          <w:sz w:val="24"/>
          <w:szCs w:val="24"/>
        </w:rPr>
        <w:t>various legislation</w:t>
      </w:r>
      <w:r w:rsidR="006257C2">
        <w:rPr>
          <w:rFonts w:ascii="Times New Roman" w:hAnsi="Times New Roman" w:cs="Times New Roman"/>
          <w:sz w:val="24"/>
          <w:szCs w:val="24"/>
        </w:rPr>
        <w:t>s that deal with</w:t>
      </w:r>
      <w:r>
        <w:rPr>
          <w:rFonts w:ascii="Times New Roman" w:hAnsi="Times New Roman" w:cs="Times New Roman"/>
          <w:sz w:val="24"/>
          <w:szCs w:val="24"/>
        </w:rPr>
        <w:t xml:space="preserve"> the human rights aspects namely:</w:t>
      </w:r>
    </w:p>
    <w:p w14:paraId="4DCD353D" w14:textId="77777777" w:rsidR="005759CF" w:rsidRPr="005759CF" w:rsidRDefault="005759CF" w:rsidP="00B31E22">
      <w:pPr>
        <w:spacing w:after="0" w:line="276" w:lineRule="auto"/>
        <w:ind w:left="720"/>
        <w:jc w:val="both"/>
        <w:rPr>
          <w:rFonts w:ascii="Times New Roman" w:hAnsi="Times New Roman" w:cs="Times New Roman"/>
          <w:sz w:val="24"/>
          <w:szCs w:val="24"/>
        </w:rPr>
      </w:pPr>
    </w:p>
    <w:p w14:paraId="54803482" w14:textId="77777777" w:rsidR="00B8127B" w:rsidRPr="0099513C" w:rsidRDefault="00653EB2" w:rsidP="002E5B0F">
      <w:pPr>
        <w:pStyle w:val="ListParagraph"/>
        <w:numPr>
          <w:ilvl w:val="0"/>
          <w:numId w:val="2"/>
        </w:numPr>
        <w:jc w:val="both"/>
        <w:rPr>
          <w:rFonts w:ascii="Times New Roman" w:hAnsi="Times New Roman" w:cs="Times New Roman"/>
          <w:sz w:val="24"/>
          <w:szCs w:val="24"/>
          <w:u w:val="single"/>
        </w:rPr>
      </w:pPr>
      <w:r w:rsidRPr="0099513C">
        <w:rPr>
          <w:rFonts w:ascii="Times New Roman" w:hAnsi="Times New Roman" w:cs="Times New Roman"/>
          <w:sz w:val="24"/>
          <w:szCs w:val="24"/>
          <w:u w:val="single"/>
        </w:rPr>
        <w:t>The W</w:t>
      </w:r>
      <w:r w:rsidR="00B8127B" w:rsidRPr="0099513C">
        <w:rPr>
          <w:rFonts w:ascii="Times New Roman" w:hAnsi="Times New Roman" w:cs="Times New Roman"/>
          <w:sz w:val="24"/>
          <w:szCs w:val="24"/>
          <w:u w:val="single"/>
        </w:rPr>
        <w:t>orkers’ Rights Act</w:t>
      </w:r>
    </w:p>
    <w:p w14:paraId="556B46C7" w14:textId="77777777" w:rsidR="00B8127B" w:rsidRPr="00704EA2" w:rsidRDefault="00B8127B" w:rsidP="00253401">
      <w:pPr>
        <w:spacing w:after="0" w:line="276" w:lineRule="auto"/>
        <w:ind w:right="-22" w:firstLine="720"/>
        <w:jc w:val="both"/>
        <w:rPr>
          <w:rFonts w:ascii="Times New Roman" w:hAnsi="Times New Roman" w:cs="Times New Roman"/>
          <w:sz w:val="24"/>
          <w:szCs w:val="24"/>
        </w:rPr>
      </w:pPr>
      <w:r w:rsidRPr="00704EA2">
        <w:rPr>
          <w:rFonts w:ascii="Times New Roman" w:hAnsi="Times New Roman" w:cs="Times New Roman"/>
          <w:sz w:val="24"/>
          <w:szCs w:val="24"/>
        </w:rPr>
        <w:t xml:space="preserve">The Workers’ Rights Act (WRA), promulgated on 24 October 2019 and repealing the Employment Rights Act, </w:t>
      </w:r>
      <w:r w:rsidRPr="00704EA2">
        <w:rPr>
          <w:rFonts w:ascii="Times New Roman" w:hAnsi="Times New Roman" w:cs="Times New Roman"/>
          <w:i/>
          <w:sz w:val="24"/>
          <w:szCs w:val="24"/>
        </w:rPr>
        <w:t>inter alia</w:t>
      </w:r>
      <w:r w:rsidRPr="00704EA2">
        <w:rPr>
          <w:rFonts w:ascii="Times New Roman" w:hAnsi="Times New Roman" w:cs="Times New Roman"/>
          <w:sz w:val="24"/>
          <w:szCs w:val="24"/>
        </w:rPr>
        <w:t>, provides for the protection from discrimination in employment and occupation, in addition to the protection afforded under the EOA. An employer cannot treat in a discriminatory manner, any worker who is in his employment. Discrimination, in relation to the above provisions, includes affording different treatment to “</w:t>
      </w:r>
      <w:r w:rsidRPr="00704EA2">
        <w:rPr>
          <w:rFonts w:ascii="Times New Roman" w:hAnsi="Times New Roman" w:cs="Times New Roman"/>
          <w:i/>
          <w:sz w:val="24"/>
          <w:szCs w:val="24"/>
        </w:rPr>
        <w:t>different workers attributable, wholly or mainly, to their respective description by age, race, colour, caste, creed, sex, sexual orientation, HIV status, impairment, marital or family status, pregnancy, religion, political opinion, place of origin, national extraction or social origin, which has the effect of nullifying or impairing equality of opportunity or treatment in employment or occupation</w:t>
      </w:r>
      <w:r w:rsidRPr="00704EA2">
        <w:rPr>
          <w:rFonts w:ascii="Times New Roman" w:hAnsi="Times New Roman" w:cs="Times New Roman"/>
          <w:sz w:val="24"/>
          <w:szCs w:val="24"/>
        </w:rPr>
        <w:t xml:space="preserve">; (…)” </w:t>
      </w:r>
    </w:p>
    <w:p w14:paraId="0F871B2F" w14:textId="77777777" w:rsidR="00B8127B" w:rsidRPr="00704EA2" w:rsidRDefault="00B8127B" w:rsidP="00B8127B">
      <w:pPr>
        <w:spacing w:after="0" w:line="276" w:lineRule="auto"/>
        <w:ind w:right="-22"/>
        <w:jc w:val="both"/>
        <w:rPr>
          <w:rFonts w:ascii="Times New Roman" w:hAnsi="Times New Roman" w:cs="Times New Roman"/>
          <w:sz w:val="24"/>
          <w:szCs w:val="24"/>
        </w:rPr>
      </w:pPr>
    </w:p>
    <w:p w14:paraId="4D2A9A36" w14:textId="77777777" w:rsidR="00B8127B" w:rsidRDefault="00B8127B" w:rsidP="00253401">
      <w:pPr>
        <w:spacing w:after="0" w:line="276" w:lineRule="auto"/>
        <w:ind w:right="-22" w:firstLine="720"/>
        <w:jc w:val="both"/>
        <w:rPr>
          <w:rFonts w:ascii="Times New Roman" w:hAnsi="Times New Roman" w:cs="Times New Roman"/>
          <w:sz w:val="24"/>
          <w:szCs w:val="24"/>
        </w:rPr>
      </w:pPr>
      <w:r w:rsidRPr="00704EA2">
        <w:rPr>
          <w:rFonts w:ascii="Times New Roman" w:hAnsi="Times New Roman" w:cs="Times New Roman"/>
          <w:sz w:val="24"/>
          <w:szCs w:val="24"/>
        </w:rPr>
        <w:t xml:space="preserve">Moreover, Section 64(1) of the WRA provides for the protection against termination of agreement by an employer by reason of </w:t>
      </w:r>
      <w:r w:rsidRPr="00704EA2">
        <w:rPr>
          <w:rFonts w:ascii="Times New Roman" w:hAnsi="Times New Roman" w:cs="Times New Roman"/>
          <w:i/>
          <w:sz w:val="24"/>
          <w:szCs w:val="24"/>
        </w:rPr>
        <w:t>inter alia</w:t>
      </w:r>
      <w:r w:rsidRPr="00704EA2">
        <w:rPr>
          <w:rFonts w:ascii="Times New Roman" w:hAnsi="Times New Roman" w:cs="Times New Roman"/>
          <w:sz w:val="24"/>
          <w:szCs w:val="24"/>
        </w:rPr>
        <w:t xml:space="preserve"> a worker’s race, colour, caste, national extraction, social origin, place of his origin, age, pregnancy, religion, political opinion, sex, sexual orientation, HIV status, impairment, marital status or family responsibilities. </w:t>
      </w:r>
    </w:p>
    <w:p w14:paraId="766AF609" w14:textId="77777777" w:rsidR="002D4C12" w:rsidRPr="00704EA2" w:rsidRDefault="002D4C12" w:rsidP="00253401">
      <w:pPr>
        <w:spacing w:after="0" w:line="276" w:lineRule="auto"/>
        <w:ind w:right="-22" w:firstLine="720"/>
        <w:jc w:val="both"/>
        <w:rPr>
          <w:rFonts w:ascii="Times New Roman" w:hAnsi="Times New Roman" w:cs="Times New Roman"/>
          <w:sz w:val="24"/>
          <w:szCs w:val="24"/>
        </w:rPr>
      </w:pPr>
    </w:p>
    <w:p w14:paraId="006DB11B" w14:textId="77777777" w:rsidR="003B64DF" w:rsidRDefault="003B64DF" w:rsidP="003B64DF">
      <w:pPr>
        <w:rPr>
          <w:rFonts w:ascii="Times New Roman" w:hAnsi="Times New Roman" w:cs="Times New Roman"/>
          <w:sz w:val="24"/>
          <w:szCs w:val="24"/>
          <w:lang w:val="en-GB"/>
        </w:rPr>
      </w:pPr>
    </w:p>
    <w:p w14:paraId="0B3019C6" w14:textId="77777777" w:rsidR="009E160D" w:rsidRPr="003B64DF" w:rsidRDefault="009E160D" w:rsidP="003B64DF">
      <w:pPr>
        <w:jc w:val="both"/>
        <w:rPr>
          <w:rFonts w:ascii="Times New Roman" w:hAnsi="Times New Roman" w:cs="Times New Roman"/>
          <w:sz w:val="24"/>
          <w:szCs w:val="24"/>
        </w:rPr>
      </w:pPr>
      <w:r w:rsidRPr="003B64DF">
        <w:rPr>
          <w:rFonts w:ascii="Times New Roman" w:hAnsi="Times New Roman" w:cs="Times New Roman"/>
          <w:sz w:val="24"/>
          <w:szCs w:val="24"/>
        </w:rPr>
        <w:t>On 15 December 2020, three (3) legislations for Children were passed at the National Assembly:</w:t>
      </w:r>
    </w:p>
    <w:p w14:paraId="4F5986EA" w14:textId="77777777" w:rsidR="009E160D" w:rsidRPr="009E160D" w:rsidRDefault="009E160D" w:rsidP="003B64DF">
      <w:pPr>
        <w:numPr>
          <w:ilvl w:val="1"/>
          <w:numId w:val="10"/>
        </w:numPr>
        <w:ind w:hanging="360"/>
        <w:rPr>
          <w:rFonts w:ascii="Times New Roman" w:hAnsi="Times New Roman" w:cs="Times New Roman"/>
          <w:sz w:val="24"/>
          <w:szCs w:val="24"/>
          <w:lang w:val="en-GB"/>
        </w:rPr>
      </w:pPr>
      <w:r w:rsidRPr="009E160D">
        <w:rPr>
          <w:rFonts w:ascii="Times New Roman" w:hAnsi="Times New Roman" w:cs="Times New Roman"/>
          <w:sz w:val="24"/>
          <w:szCs w:val="24"/>
          <w:lang w:val="en-GB"/>
        </w:rPr>
        <w:t>the Children’s Act 2020;</w:t>
      </w:r>
    </w:p>
    <w:p w14:paraId="38999703" w14:textId="77777777" w:rsidR="009E160D" w:rsidRPr="009E160D" w:rsidRDefault="009E160D" w:rsidP="003B64DF">
      <w:pPr>
        <w:numPr>
          <w:ilvl w:val="1"/>
          <w:numId w:val="10"/>
        </w:numPr>
        <w:ind w:hanging="360"/>
        <w:rPr>
          <w:rFonts w:ascii="Times New Roman" w:hAnsi="Times New Roman" w:cs="Times New Roman"/>
          <w:sz w:val="24"/>
          <w:szCs w:val="24"/>
          <w:lang w:val="en-GB"/>
        </w:rPr>
      </w:pPr>
      <w:r w:rsidRPr="009E160D">
        <w:rPr>
          <w:rFonts w:ascii="Times New Roman" w:hAnsi="Times New Roman" w:cs="Times New Roman"/>
          <w:sz w:val="24"/>
          <w:szCs w:val="24"/>
          <w:lang w:val="en-GB"/>
        </w:rPr>
        <w:t>the Children’s Court Act 2020; and</w:t>
      </w:r>
    </w:p>
    <w:p w14:paraId="774321B5" w14:textId="77777777" w:rsidR="009E160D" w:rsidRDefault="009E160D" w:rsidP="003B64DF">
      <w:pPr>
        <w:numPr>
          <w:ilvl w:val="1"/>
          <w:numId w:val="10"/>
        </w:numPr>
        <w:ind w:hanging="360"/>
        <w:rPr>
          <w:rFonts w:ascii="Times New Roman" w:hAnsi="Times New Roman" w:cs="Times New Roman"/>
          <w:sz w:val="24"/>
          <w:szCs w:val="24"/>
          <w:lang w:val="en-GB"/>
        </w:rPr>
      </w:pPr>
      <w:r w:rsidRPr="009E160D">
        <w:rPr>
          <w:rFonts w:ascii="Times New Roman" w:hAnsi="Times New Roman" w:cs="Times New Roman"/>
          <w:sz w:val="24"/>
          <w:szCs w:val="24"/>
          <w:lang w:val="en-GB"/>
        </w:rPr>
        <w:t>the Child Sex Offender Register Act 2020</w:t>
      </w:r>
    </w:p>
    <w:p w14:paraId="657111DD" w14:textId="77777777" w:rsidR="003B64DF" w:rsidRDefault="003B64DF" w:rsidP="003B64DF">
      <w:pPr>
        <w:ind w:left="1080"/>
        <w:rPr>
          <w:rFonts w:ascii="Times New Roman" w:hAnsi="Times New Roman" w:cs="Times New Roman"/>
          <w:sz w:val="24"/>
          <w:szCs w:val="24"/>
          <w:lang w:val="en-GB"/>
        </w:rPr>
      </w:pPr>
    </w:p>
    <w:p w14:paraId="3DC747E4" w14:textId="77777777" w:rsidR="003B64DF" w:rsidRPr="003B64DF" w:rsidRDefault="003B64DF" w:rsidP="003B64DF">
      <w:pPr>
        <w:pStyle w:val="ListParagraph"/>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3B64DF">
        <w:rPr>
          <w:rFonts w:ascii="Times New Roman" w:hAnsi="Times New Roman" w:cs="Times New Roman"/>
          <w:sz w:val="24"/>
          <w:szCs w:val="24"/>
          <w:u w:val="single"/>
        </w:rPr>
        <w:t>The Children’s Act 2020;</w:t>
      </w:r>
    </w:p>
    <w:p w14:paraId="211DD24B" w14:textId="77777777" w:rsidR="0064679A" w:rsidRPr="00B97DE0" w:rsidRDefault="0064679A" w:rsidP="00BA36B0">
      <w:pPr>
        <w:spacing w:after="0" w:line="276" w:lineRule="auto"/>
        <w:ind w:right="-22" w:firstLine="720"/>
        <w:jc w:val="both"/>
        <w:rPr>
          <w:rFonts w:ascii="Times New Roman" w:hAnsi="Times New Roman" w:cs="Times New Roman"/>
          <w:sz w:val="24"/>
          <w:szCs w:val="24"/>
          <w:lang w:val="en-GB"/>
        </w:rPr>
      </w:pPr>
      <w:r w:rsidRPr="00B97DE0">
        <w:rPr>
          <w:rFonts w:ascii="Times New Roman" w:hAnsi="Times New Roman" w:cs="Times New Roman"/>
          <w:sz w:val="24"/>
          <w:szCs w:val="24"/>
          <w:lang w:val="en-GB"/>
        </w:rPr>
        <w:t xml:space="preserve">The main object of the Children’s Act is to repeal the Child Protection Act and replace it with a more comprehensive and modern legislative framework with a view to addressing the shortcomings of the Child Protection Act and giving better effect to the </w:t>
      </w:r>
      <w:r>
        <w:rPr>
          <w:rFonts w:ascii="Times New Roman" w:hAnsi="Times New Roman" w:cs="Times New Roman"/>
          <w:sz w:val="24"/>
          <w:szCs w:val="24"/>
          <w:lang w:val="en-GB"/>
        </w:rPr>
        <w:t xml:space="preserve">United Nations Convention on the Rights of the Child </w:t>
      </w:r>
      <w:r w:rsidRPr="008C21E7">
        <w:rPr>
          <w:rFonts w:ascii="Times New Roman" w:hAnsi="Times New Roman" w:cs="Times New Roman"/>
          <w:sz w:val="24"/>
          <w:szCs w:val="24"/>
          <w:lang w:val="en-GB"/>
        </w:rPr>
        <w:t>(UNCRC)</w:t>
      </w:r>
      <w:r w:rsidRPr="00B97DE0">
        <w:rPr>
          <w:rFonts w:ascii="Times New Roman" w:hAnsi="Times New Roman" w:cs="Times New Roman"/>
          <w:sz w:val="24"/>
          <w:szCs w:val="24"/>
          <w:lang w:val="en-GB"/>
        </w:rPr>
        <w:t xml:space="preserve"> and the African Charter on the Rights and Welfare of the Child. </w:t>
      </w:r>
    </w:p>
    <w:p w14:paraId="10194045" w14:textId="77777777" w:rsidR="0064679A" w:rsidRPr="00B97DE0" w:rsidRDefault="0064679A" w:rsidP="0064679A">
      <w:pPr>
        <w:ind w:firstLine="720"/>
        <w:jc w:val="both"/>
        <w:rPr>
          <w:rFonts w:ascii="Times New Roman" w:hAnsi="Times New Roman" w:cs="Times New Roman"/>
          <w:sz w:val="24"/>
          <w:szCs w:val="24"/>
          <w:lang w:val="en-GB"/>
        </w:rPr>
      </w:pPr>
      <w:r w:rsidRPr="00B97DE0">
        <w:rPr>
          <w:rFonts w:ascii="Times New Roman" w:hAnsi="Times New Roman" w:cs="Times New Roman"/>
          <w:sz w:val="24"/>
          <w:szCs w:val="24"/>
          <w:lang w:val="en-GB"/>
        </w:rPr>
        <w:t>The Act accordingly makes provisions:</w:t>
      </w:r>
    </w:p>
    <w:p w14:paraId="33C3534F" w14:textId="77777777" w:rsidR="0064679A" w:rsidRPr="00B97DE0" w:rsidRDefault="0064679A" w:rsidP="00BA36B0">
      <w:pPr>
        <w:numPr>
          <w:ilvl w:val="0"/>
          <w:numId w:val="8"/>
        </w:numPr>
        <w:ind w:left="1260" w:hanging="540"/>
        <w:jc w:val="both"/>
        <w:rPr>
          <w:rFonts w:ascii="Times New Roman" w:hAnsi="Times New Roman" w:cs="Times New Roman"/>
          <w:sz w:val="24"/>
          <w:szCs w:val="24"/>
        </w:rPr>
      </w:pPr>
      <w:r w:rsidRPr="00B97DE0">
        <w:rPr>
          <w:rFonts w:ascii="Times New Roman" w:hAnsi="Times New Roman" w:cs="Times New Roman"/>
          <w:sz w:val="24"/>
          <w:szCs w:val="24"/>
        </w:rPr>
        <w:t xml:space="preserve">for the better care, protection and assistance to children; </w:t>
      </w:r>
    </w:p>
    <w:p w14:paraId="675FD909" w14:textId="77777777" w:rsidR="0064679A" w:rsidRPr="00B97DE0" w:rsidRDefault="0064679A" w:rsidP="00BA36B0">
      <w:pPr>
        <w:numPr>
          <w:ilvl w:val="0"/>
          <w:numId w:val="8"/>
        </w:numPr>
        <w:ind w:left="1260" w:hanging="540"/>
        <w:jc w:val="both"/>
        <w:rPr>
          <w:rFonts w:ascii="Times New Roman" w:hAnsi="Times New Roman" w:cs="Times New Roman"/>
          <w:sz w:val="24"/>
          <w:szCs w:val="24"/>
        </w:rPr>
      </w:pPr>
      <w:r w:rsidRPr="00B97DE0">
        <w:rPr>
          <w:rFonts w:ascii="Times New Roman" w:hAnsi="Times New Roman" w:cs="Times New Roman"/>
          <w:sz w:val="24"/>
          <w:szCs w:val="24"/>
        </w:rPr>
        <w:t xml:space="preserve">for the respect and promotion of the rights of children and for the protection of the best interests of children; </w:t>
      </w:r>
    </w:p>
    <w:p w14:paraId="63161837" w14:textId="77777777" w:rsidR="0064679A" w:rsidRPr="00B97DE0" w:rsidRDefault="0064679A" w:rsidP="00BA36B0">
      <w:pPr>
        <w:numPr>
          <w:ilvl w:val="0"/>
          <w:numId w:val="8"/>
        </w:numPr>
        <w:ind w:left="1260" w:hanging="540"/>
        <w:jc w:val="both"/>
        <w:rPr>
          <w:rFonts w:ascii="Times New Roman" w:hAnsi="Times New Roman" w:cs="Times New Roman"/>
          <w:sz w:val="24"/>
          <w:szCs w:val="24"/>
        </w:rPr>
      </w:pPr>
      <w:r w:rsidRPr="00B97DE0">
        <w:rPr>
          <w:rFonts w:ascii="Times New Roman" w:hAnsi="Times New Roman" w:cs="Times New Roman"/>
          <w:sz w:val="24"/>
          <w:szCs w:val="24"/>
        </w:rPr>
        <w:t xml:space="preserve">for the setting up of structures, services and means for promoting and monitoring the sound, physical, psychological, intellectual, emotional and social development of children; </w:t>
      </w:r>
    </w:p>
    <w:p w14:paraId="61ABF009" w14:textId="77777777" w:rsidR="0064679A" w:rsidRPr="00B97DE0" w:rsidRDefault="0064679A" w:rsidP="00BA36B0">
      <w:pPr>
        <w:numPr>
          <w:ilvl w:val="0"/>
          <w:numId w:val="8"/>
        </w:numPr>
        <w:ind w:left="1260" w:hanging="540"/>
        <w:jc w:val="both"/>
        <w:rPr>
          <w:rFonts w:ascii="Times New Roman" w:hAnsi="Times New Roman" w:cs="Times New Roman"/>
          <w:sz w:val="24"/>
          <w:szCs w:val="24"/>
        </w:rPr>
      </w:pPr>
      <w:r w:rsidRPr="00B97DE0">
        <w:rPr>
          <w:rFonts w:ascii="Times New Roman" w:hAnsi="Times New Roman" w:cs="Times New Roman"/>
          <w:sz w:val="24"/>
          <w:szCs w:val="24"/>
        </w:rPr>
        <w:t xml:space="preserve">for the setting up of a Child Services Coordinating Panel which shall be responsible for the coordination of all activities relating to the implementation of the present legislation, the UNCRC and the African Charter on the Rights and Welfare of the Child; </w:t>
      </w:r>
    </w:p>
    <w:p w14:paraId="1C24855A" w14:textId="77777777" w:rsidR="0064679A" w:rsidRPr="00B97DE0" w:rsidRDefault="0064679A" w:rsidP="00BA36B0">
      <w:pPr>
        <w:numPr>
          <w:ilvl w:val="0"/>
          <w:numId w:val="8"/>
        </w:numPr>
        <w:ind w:left="1260" w:hanging="540"/>
        <w:jc w:val="both"/>
        <w:rPr>
          <w:rFonts w:ascii="Times New Roman" w:hAnsi="Times New Roman" w:cs="Times New Roman"/>
          <w:sz w:val="24"/>
          <w:szCs w:val="24"/>
        </w:rPr>
      </w:pPr>
      <w:r w:rsidRPr="00B97DE0">
        <w:rPr>
          <w:rFonts w:ascii="Times New Roman" w:hAnsi="Times New Roman" w:cs="Times New Roman"/>
          <w:sz w:val="24"/>
          <w:szCs w:val="24"/>
        </w:rPr>
        <w:t xml:space="preserve">to prohibit marriage of children under the age of 18; </w:t>
      </w:r>
    </w:p>
    <w:p w14:paraId="401C9FBE" w14:textId="77777777" w:rsidR="0064679A" w:rsidRPr="00B97DE0" w:rsidRDefault="0064679A" w:rsidP="00BA36B0">
      <w:pPr>
        <w:numPr>
          <w:ilvl w:val="0"/>
          <w:numId w:val="8"/>
        </w:numPr>
        <w:ind w:left="1260" w:hanging="540"/>
        <w:jc w:val="both"/>
        <w:rPr>
          <w:rFonts w:ascii="Times New Roman" w:hAnsi="Times New Roman" w:cs="Times New Roman"/>
          <w:sz w:val="24"/>
          <w:szCs w:val="24"/>
        </w:rPr>
      </w:pPr>
      <w:r w:rsidRPr="00B97DE0">
        <w:rPr>
          <w:rFonts w:ascii="Times New Roman" w:hAnsi="Times New Roman" w:cs="Times New Roman"/>
          <w:sz w:val="24"/>
          <w:szCs w:val="24"/>
        </w:rPr>
        <w:t xml:space="preserve">for a child under the age of 14 not to be held criminally responsible for any act or omission; and </w:t>
      </w:r>
    </w:p>
    <w:p w14:paraId="252911E5" w14:textId="77777777" w:rsidR="0064679A" w:rsidRPr="00B97DE0" w:rsidRDefault="0064679A" w:rsidP="00BA36B0">
      <w:pPr>
        <w:numPr>
          <w:ilvl w:val="0"/>
          <w:numId w:val="8"/>
        </w:numPr>
        <w:ind w:left="1260" w:hanging="540"/>
        <w:jc w:val="both"/>
        <w:rPr>
          <w:rFonts w:ascii="Times New Roman" w:hAnsi="Times New Roman" w:cs="Times New Roman"/>
          <w:sz w:val="24"/>
          <w:szCs w:val="24"/>
        </w:rPr>
      </w:pPr>
      <w:r w:rsidRPr="00B97DE0">
        <w:rPr>
          <w:rFonts w:ascii="Times New Roman" w:hAnsi="Times New Roman" w:cs="Times New Roman"/>
          <w:sz w:val="24"/>
          <w:szCs w:val="24"/>
        </w:rPr>
        <w:t>for child witnesses and child victims under the age of 14 to be, subject to certain conditions, competent as witnesses without the need for them to take the oath or making a solemn affirmation.</w:t>
      </w:r>
    </w:p>
    <w:p w14:paraId="33A037D0" w14:textId="77777777" w:rsidR="009E160D" w:rsidRPr="009E160D" w:rsidRDefault="009E160D" w:rsidP="009E160D">
      <w:pPr>
        <w:rPr>
          <w:rFonts w:ascii="Times New Roman" w:hAnsi="Times New Roman" w:cs="Times New Roman"/>
          <w:sz w:val="24"/>
          <w:szCs w:val="24"/>
          <w:lang w:val="en-GB"/>
        </w:rPr>
      </w:pPr>
    </w:p>
    <w:p w14:paraId="2489F431" w14:textId="77777777" w:rsidR="003B64DF" w:rsidRPr="003B64DF" w:rsidRDefault="003B64DF" w:rsidP="003B64DF">
      <w:pPr>
        <w:pStyle w:val="ListParagraph"/>
        <w:numPr>
          <w:ilvl w:val="0"/>
          <w:numId w:val="2"/>
        </w:numPr>
        <w:jc w:val="both"/>
        <w:rPr>
          <w:rFonts w:ascii="Times New Roman" w:hAnsi="Times New Roman" w:cs="Times New Roman"/>
          <w:sz w:val="24"/>
          <w:szCs w:val="24"/>
          <w:u w:val="single"/>
        </w:rPr>
      </w:pPr>
      <w:r w:rsidRPr="003B64DF">
        <w:rPr>
          <w:rFonts w:ascii="Times New Roman" w:hAnsi="Times New Roman" w:cs="Times New Roman"/>
          <w:sz w:val="24"/>
          <w:szCs w:val="24"/>
          <w:u w:val="single"/>
        </w:rPr>
        <w:t>The Children’s Court Act 2020</w:t>
      </w:r>
    </w:p>
    <w:p w14:paraId="5B69B62B" w14:textId="77777777" w:rsidR="009E160D" w:rsidRDefault="003B64DF" w:rsidP="00BA36B0">
      <w:pPr>
        <w:spacing w:after="0" w:line="276" w:lineRule="auto"/>
        <w:ind w:right="-22"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BA36B0">
        <w:rPr>
          <w:rFonts w:ascii="Times New Roman" w:hAnsi="Times New Roman" w:cs="Times New Roman"/>
          <w:sz w:val="24"/>
          <w:szCs w:val="24"/>
          <w:lang w:val="en-GB"/>
        </w:rPr>
        <w:t xml:space="preserve"> </w:t>
      </w:r>
      <w:r w:rsidR="009E160D" w:rsidRPr="009E160D">
        <w:rPr>
          <w:rFonts w:ascii="Times New Roman" w:hAnsi="Times New Roman" w:cs="Times New Roman"/>
          <w:sz w:val="24"/>
          <w:szCs w:val="24"/>
          <w:lang w:val="en-GB"/>
        </w:rPr>
        <w:t>The Children’s Court Act 2020 provides for the establishment of the Children’s Court, which will have jurisdiction to hear and determine cases involving children. The establishment of this dedicated and specialised Court has been rendered necessary with a view to ensuring, in a child-friendly environment, the bests interests of children during Court proceedings.</w:t>
      </w:r>
    </w:p>
    <w:p w14:paraId="017E7C92" w14:textId="77777777" w:rsidR="00BA36B0" w:rsidRPr="009E160D" w:rsidRDefault="00BA36B0" w:rsidP="00BA36B0">
      <w:pPr>
        <w:spacing w:after="0" w:line="276" w:lineRule="auto"/>
        <w:ind w:right="-22" w:firstLine="720"/>
        <w:jc w:val="both"/>
        <w:rPr>
          <w:rFonts w:ascii="Times New Roman" w:hAnsi="Times New Roman" w:cs="Times New Roman"/>
          <w:sz w:val="24"/>
          <w:szCs w:val="24"/>
          <w:lang w:val="en-GB"/>
        </w:rPr>
      </w:pPr>
    </w:p>
    <w:p w14:paraId="6C7DA48F" w14:textId="77777777" w:rsidR="009E160D" w:rsidRDefault="009E160D" w:rsidP="00BA36B0">
      <w:pPr>
        <w:spacing w:after="0" w:line="276" w:lineRule="auto"/>
        <w:ind w:right="-22" w:firstLine="720"/>
        <w:jc w:val="both"/>
        <w:rPr>
          <w:rFonts w:ascii="Times New Roman" w:hAnsi="Times New Roman" w:cs="Times New Roman"/>
          <w:sz w:val="24"/>
          <w:szCs w:val="24"/>
          <w:lang w:val="en-GB"/>
        </w:rPr>
      </w:pPr>
      <w:r w:rsidRPr="009E160D">
        <w:rPr>
          <w:rFonts w:ascii="Times New Roman" w:hAnsi="Times New Roman" w:cs="Times New Roman"/>
          <w:sz w:val="24"/>
          <w:szCs w:val="24"/>
          <w:lang w:val="en-GB"/>
        </w:rPr>
        <w:t>The Children’s Court consists of:</w:t>
      </w:r>
    </w:p>
    <w:p w14:paraId="2B1EF2A5" w14:textId="77777777" w:rsidR="00282A03" w:rsidRPr="009E160D" w:rsidRDefault="00282A03" w:rsidP="00BA36B0">
      <w:pPr>
        <w:spacing w:after="0" w:line="276" w:lineRule="auto"/>
        <w:ind w:right="-22" w:firstLine="720"/>
        <w:jc w:val="both"/>
        <w:rPr>
          <w:rFonts w:ascii="Times New Roman" w:hAnsi="Times New Roman" w:cs="Times New Roman"/>
          <w:sz w:val="24"/>
          <w:szCs w:val="24"/>
          <w:lang w:val="en-GB"/>
        </w:rPr>
      </w:pPr>
    </w:p>
    <w:p w14:paraId="5D4F6A26" w14:textId="77777777" w:rsidR="009E160D" w:rsidRPr="00BA36B0" w:rsidRDefault="009E160D" w:rsidP="00BA36B0">
      <w:pPr>
        <w:numPr>
          <w:ilvl w:val="0"/>
          <w:numId w:val="11"/>
        </w:numPr>
        <w:jc w:val="both"/>
        <w:rPr>
          <w:rFonts w:ascii="Times New Roman" w:hAnsi="Times New Roman" w:cs="Times New Roman"/>
          <w:sz w:val="24"/>
          <w:szCs w:val="24"/>
          <w:lang w:val="en-GB"/>
        </w:rPr>
      </w:pPr>
      <w:r w:rsidRPr="009E160D">
        <w:rPr>
          <w:rFonts w:ascii="Times New Roman" w:hAnsi="Times New Roman" w:cs="Times New Roman"/>
          <w:sz w:val="24"/>
          <w:szCs w:val="24"/>
          <w:lang w:val="en-GB"/>
        </w:rPr>
        <w:t xml:space="preserve">a Protection Division which shall have jurisdiction to hear and determine, inter alia, any application in respect of child protection matters under the Children’s Act 2020 relating to Assessment Order, Contact Order, Long Term Care Orders, amongst others. </w:t>
      </w:r>
    </w:p>
    <w:p w14:paraId="4AA81536" w14:textId="77777777" w:rsidR="009E160D" w:rsidRPr="009E160D" w:rsidRDefault="009E160D" w:rsidP="00BA36B0">
      <w:pPr>
        <w:numPr>
          <w:ilvl w:val="0"/>
          <w:numId w:val="11"/>
        </w:numPr>
        <w:jc w:val="both"/>
        <w:rPr>
          <w:rFonts w:ascii="Times New Roman" w:hAnsi="Times New Roman" w:cs="Times New Roman"/>
          <w:sz w:val="24"/>
          <w:szCs w:val="24"/>
          <w:lang w:val="en-GB"/>
        </w:rPr>
      </w:pPr>
      <w:r w:rsidRPr="009E160D">
        <w:rPr>
          <w:rFonts w:ascii="Times New Roman" w:hAnsi="Times New Roman" w:cs="Times New Roman"/>
          <w:sz w:val="24"/>
          <w:szCs w:val="24"/>
          <w:lang w:val="en-GB"/>
        </w:rPr>
        <w:t>a Criminal Division which shall have jurisdiction to hear and determine, inter alia, sexual offences against children and offences where children are witnesses thereto. The Criminal Division will also hear and determine criminal offences in regard to child victim, child witness, juvenile offender and any other prescribed matter.</w:t>
      </w:r>
    </w:p>
    <w:p w14:paraId="2D42978E" w14:textId="77777777" w:rsidR="009E160D" w:rsidRPr="009E160D" w:rsidRDefault="009E160D" w:rsidP="009E160D">
      <w:pPr>
        <w:rPr>
          <w:rFonts w:ascii="Times New Roman" w:hAnsi="Times New Roman" w:cs="Times New Roman"/>
          <w:sz w:val="24"/>
          <w:szCs w:val="24"/>
          <w:lang w:val="en-GB"/>
        </w:rPr>
      </w:pPr>
    </w:p>
    <w:p w14:paraId="6EBCDB61" w14:textId="77777777" w:rsidR="009E160D" w:rsidRPr="009E160D" w:rsidRDefault="009E160D" w:rsidP="00BA36B0">
      <w:pPr>
        <w:spacing w:after="0" w:line="276" w:lineRule="auto"/>
        <w:ind w:right="-22" w:firstLine="720"/>
        <w:jc w:val="both"/>
        <w:rPr>
          <w:rFonts w:ascii="Times New Roman" w:hAnsi="Times New Roman" w:cs="Times New Roman"/>
          <w:sz w:val="24"/>
          <w:szCs w:val="24"/>
          <w:lang w:val="en-GB"/>
        </w:rPr>
      </w:pPr>
      <w:r w:rsidRPr="009E160D">
        <w:rPr>
          <w:rFonts w:ascii="Times New Roman" w:hAnsi="Times New Roman" w:cs="Times New Roman"/>
          <w:sz w:val="24"/>
          <w:szCs w:val="24"/>
          <w:lang w:val="en-GB"/>
        </w:rPr>
        <w:t>Technical assistance of the European Union has been sought for the setting up of the Children’s Court.</w:t>
      </w:r>
    </w:p>
    <w:p w14:paraId="5E390C4D" w14:textId="77777777" w:rsidR="009E160D" w:rsidRPr="009E160D" w:rsidRDefault="009E160D" w:rsidP="009E160D">
      <w:pPr>
        <w:rPr>
          <w:rFonts w:ascii="Times New Roman" w:hAnsi="Times New Roman" w:cs="Times New Roman"/>
          <w:sz w:val="24"/>
          <w:szCs w:val="24"/>
          <w:lang w:val="en-GB"/>
        </w:rPr>
      </w:pPr>
    </w:p>
    <w:p w14:paraId="4D99CDBF" w14:textId="77777777" w:rsidR="009E160D" w:rsidRDefault="009E160D" w:rsidP="00BA36B0">
      <w:pPr>
        <w:spacing w:after="0" w:line="276" w:lineRule="auto"/>
        <w:ind w:right="-22" w:firstLine="720"/>
        <w:jc w:val="both"/>
        <w:rPr>
          <w:rFonts w:ascii="Times New Roman" w:hAnsi="Times New Roman" w:cs="Times New Roman"/>
          <w:sz w:val="24"/>
          <w:szCs w:val="24"/>
          <w:lang w:val="en-GB"/>
        </w:rPr>
      </w:pPr>
      <w:r w:rsidRPr="009E160D">
        <w:rPr>
          <w:rFonts w:ascii="Times New Roman" w:hAnsi="Times New Roman" w:cs="Times New Roman"/>
          <w:sz w:val="24"/>
          <w:szCs w:val="24"/>
          <w:lang w:val="en-GB"/>
        </w:rPr>
        <w:t xml:space="preserve">The Children’s Act 2020 safeguards the privacy of the child through the provision of strict guidelines concerning publication in the media of photographs, pictures, video or audio recordings of children as witnesses, victims or offenders. </w:t>
      </w:r>
    </w:p>
    <w:p w14:paraId="2077082F" w14:textId="77777777" w:rsidR="00BA36B0" w:rsidRPr="009E160D" w:rsidRDefault="00BA36B0" w:rsidP="00BA36B0">
      <w:pPr>
        <w:spacing w:after="0" w:line="276" w:lineRule="auto"/>
        <w:ind w:right="-22" w:firstLine="720"/>
        <w:jc w:val="both"/>
        <w:rPr>
          <w:rFonts w:ascii="Times New Roman" w:hAnsi="Times New Roman" w:cs="Times New Roman"/>
          <w:sz w:val="24"/>
          <w:szCs w:val="24"/>
          <w:lang w:val="en-GB"/>
        </w:rPr>
      </w:pPr>
    </w:p>
    <w:p w14:paraId="1181A6DA" w14:textId="77777777" w:rsidR="008B4E14" w:rsidRPr="00BA36B0" w:rsidRDefault="008B4E14" w:rsidP="00BA36B0">
      <w:pPr>
        <w:pStyle w:val="ListParagraph"/>
        <w:numPr>
          <w:ilvl w:val="0"/>
          <w:numId w:val="2"/>
        </w:numPr>
        <w:jc w:val="both"/>
        <w:rPr>
          <w:rFonts w:ascii="Times New Roman" w:hAnsi="Times New Roman" w:cs="Times New Roman"/>
          <w:sz w:val="24"/>
          <w:szCs w:val="24"/>
          <w:u w:val="single"/>
        </w:rPr>
      </w:pPr>
      <w:r w:rsidRPr="00BA36B0">
        <w:rPr>
          <w:rFonts w:ascii="Times New Roman" w:hAnsi="Times New Roman" w:cs="Times New Roman"/>
          <w:sz w:val="24"/>
          <w:szCs w:val="24"/>
          <w:u w:val="single"/>
        </w:rPr>
        <w:t>The Child Sex Offender Register Act (not yet in operation)</w:t>
      </w:r>
    </w:p>
    <w:p w14:paraId="35EAC061" w14:textId="77777777" w:rsidR="008B4E14" w:rsidRPr="00205E9E" w:rsidRDefault="008B4E14" w:rsidP="00BA36B0">
      <w:pPr>
        <w:spacing w:after="0" w:line="276" w:lineRule="auto"/>
        <w:ind w:right="-22" w:firstLine="720"/>
        <w:jc w:val="both"/>
        <w:rPr>
          <w:rFonts w:ascii="Times New Roman" w:hAnsi="Times New Roman" w:cs="Times New Roman"/>
          <w:sz w:val="24"/>
          <w:szCs w:val="24"/>
          <w:lang w:val="en-GB"/>
        </w:rPr>
      </w:pPr>
      <w:r w:rsidRPr="00205E9E">
        <w:rPr>
          <w:rFonts w:ascii="Times New Roman" w:hAnsi="Times New Roman" w:cs="Times New Roman"/>
          <w:sz w:val="24"/>
          <w:szCs w:val="24"/>
          <w:lang w:val="en-GB"/>
        </w:rPr>
        <w:t>Under this Act, there shall be for the purpose of reducing and preventing the risk of sexual offences against children, a Child Sex Offender Register, to be known as the CSO Register. The CSO Register shall assist in monitoring and tracking persons in the community who have been found guilty of committing sexual offences against children as well as detecting and investigating sexual offences against children (section 3).</w:t>
      </w:r>
    </w:p>
    <w:p w14:paraId="09E31226" w14:textId="77777777" w:rsidR="00BA36B0" w:rsidRPr="00404601" w:rsidRDefault="00BA36B0" w:rsidP="00BA36B0">
      <w:pPr>
        <w:rPr>
          <w:rFonts w:ascii="Times New Roman" w:hAnsi="Times New Roman" w:cs="Times New Roman"/>
          <w:sz w:val="24"/>
          <w:szCs w:val="24"/>
        </w:rPr>
      </w:pPr>
    </w:p>
    <w:p w14:paraId="673BE52A" w14:textId="77777777" w:rsidR="00BA36B0" w:rsidRPr="0099513C" w:rsidRDefault="00BA36B0" w:rsidP="00BA36B0">
      <w:pPr>
        <w:pStyle w:val="ListParagraph"/>
        <w:numPr>
          <w:ilvl w:val="0"/>
          <w:numId w:val="2"/>
        </w:numPr>
        <w:jc w:val="both"/>
        <w:rPr>
          <w:rFonts w:ascii="Times New Roman" w:eastAsia="Calibri" w:hAnsi="Times New Roman" w:cs="Times New Roman"/>
          <w:sz w:val="24"/>
          <w:szCs w:val="24"/>
          <w:u w:val="single"/>
        </w:rPr>
      </w:pPr>
      <w:r w:rsidRPr="0099513C">
        <w:rPr>
          <w:rFonts w:ascii="Times New Roman" w:hAnsi="Times New Roman" w:cs="Times New Roman"/>
          <w:bCs/>
          <w:sz w:val="24"/>
          <w:szCs w:val="24"/>
          <w:u w:val="single"/>
        </w:rPr>
        <w:t>The Employment Relations Act</w:t>
      </w:r>
    </w:p>
    <w:p w14:paraId="7FD36049" w14:textId="77777777" w:rsidR="00BA36B0" w:rsidRPr="00704EA2" w:rsidRDefault="00BA36B0" w:rsidP="00BA36B0">
      <w:pPr>
        <w:spacing w:after="0" w:line="276" w:lineRule="auto"/>
        <w:ind w:right="-22" w:firstLine="720"/>
        <w:jc w:val="both"/>
        <w:rPr>
          <w:rFonts w:ascii="Times New Roman" w:hAnsi="Times New Roman" w:cs="Times New Roman"/>
          <w:bCs/>
          <w:sz w:val="24"/>
          <w:szCs w:val="24"/>
        </w:rPr>
      </w:pPr>
      <w:r w:rsidRPr="00704EA2">
        <w:rPr>
          <w:rFonts w:ascii="Times New Roman" w:hAnsi="Times New Roman" w:cs="Times New Roman"/>
          <w:sz w:val="24"/>
          <w:szCs w:val="24"/>
        </w:rPr>
        <w:t>The</w:t>
      </w:r>
      <w:r w:rsidRPr="00704EA2">
        <w:rPr>
          <w:rFonts w:ascii="Times New Roman" w:hAnsi="Times New Roman" w:cs="Times New Roman"/>
          <w:bCs/>
          <w:sz w:val="24"/>
          <w:szCs w:val="24"/>
        </w:rPr>
        <w:t xml:space="preserve"> Employment Relations Act (ERA)</w:t>
      </w:r>
      <w:r w:rsidRPr="00704EA2">
        <w:rPr>
          <w:rFonts w:ascii="Times New Roman" w:hAnsi="Times New Roman" w:cs="Times New Roman"/>
          <w:b/>
          <w:bCs/>
          <w:sz w:val="24"/>
          <w:szCs w:val="24"/>
        </w:rPr>
        <w:t xml:space="preserve"> </w:t>
      </w:r>
      <w:r w:rsidRPr="00704EA2">
        <w:rPr>
          <w:rFonts w:ascii="Times New Roman" w:hAnsi="Times New Roman" w:cs="Times New Roman"/>
          <w:bCs/>
          <w:sz w:val="24"/>
          <w:szCs w:val="24"/>
        </w:rPr>
        <w:t>2008 as at 01 March 2021 provides for the protection of the fundamental rights of workers to freedom of association and protects their right to organise and engage in collective bargaining. Every worker shall according to Section 29, have the right, subject to certain conditions, “</w:t>
      </w:r>
      <w:r w:rsidRPr="00F24AF3">
        <w:rPr>
          <w:rFonts w:ascii="Times New Roman" w:hAnsi="Times New Roman" w:cs="Times New Roman"/>
          <w:bCs/>
          <w:i/>
          <w:sz w:val="24"/>
          <w:szCs w:val="24"/>
        </w:rPr>
        <w:t>to establish or join, as a member, a trade union of his own choice, without previous authorisation and without distinction whatsoever or discrimination of any kind including discrimination as to occupation, age, marital status, sex, sexual orientation, colour, race, religion, HIV status, national extraction, social origin, political opinion or affiliation</w:t>
      </w:r>
      <w:r w:rsidRPr="00704EA2">
        <w:rPr>
          <w:rFonts w:ascii="Times New Roman" w:hAnsi="Times New Roman" w:cs="Times New Roman"/>
          <w:bCs/>
          <w:sz w:val="24"/>
          <w:szCs w:val="24"/>
        </w:rPr>
        <w:t>.”</w:t>
      </w:r>
    </w:p>
    <w:p w14:paraId="6B21BD2A" w14:textId="77777777" w:rsidR="009E160D" w:rsidRDefault="009E160D" w:rsidP="00404601">
      <w:pPr>
        <w:rPr>
          <w:rFonts w:ascii="Times New Roman" w:hAnsi="Times New Roman" w:cs="Times New Roman"/>
          <w:sz w:val="24"/>
          <w:szCs w:val="24"/>
        </w:rPr>
      </w:pPr>
    </w:p>
    <w:p w14:paraId="0862DCC9" w14:textId="77777777" w:rsidR="00650206" w:rsidRPr="00404601" w:rsidRDefault="00650206" w:rsidP="00404601">
      <w:pPr>
        <w:rPr>
          <w:rFonts w:ascii="Times New Roman" w:hAnsi="Times New Roman" w:cs="Times New Roman"/>
          <w:sz w:val="24"/>
          <w:szCs w:val="24"/>
        </w:rPr>
      </w:pPr>
    </w:p>
    <w:p w14:paraId="53BCCD7B" w14:textId="77777777" w:rsidR="008A71BF" w:rsidRPr="0099513C" w:rsidRDefault="00282A03" w:rsidP="0099513C">
      <w:pPr>
        <w:tabs>
          <w:tab w:val="left" w:pos="720"/>
        </w:tabs>
        <w:autoSpaceDE w:val="0"/>
        <w:autoSpaceDN w:val="0"/>
        <w:adjustRightInd w:val="0"/>
        <w:spacing w:after="0" w:line="276" w:lineRule="auto"/>
        <w:ind w:hanging="426"/>
        <w:jc w:val="both"/>
        <w:rPr>
          <w:rFonts w:ascii="Times New Roman" w:hAnsi="Times New Roman" w:cs="Times New Roman"/>
          <w:b/>
          <w:sz w:val="24"/>
          <w:szCs w:val="24"/>
        </w:rPr>
      </w:pPr>
      <w:r>
        <w:rPr>
          <w:rFonts w:ascii="Times New Roman" w:hAnsi="Times New Roman" w:cs="Times New Roman"/>
          <w:b/>
          <w:sz w:val="24"/>
          <w:szCs w:val="24"/>
        </w:rPr>
        <w:tab/>
      </w:r>
      <w:r w:rsidR="008A71BF" w:rsidRPr="0099513C">
        <w:rPr>
          <w:rFonts w:ascii="Times New Roman" w:hAnsi="Times New Roman" w:cs="Times New Roman"/>
          <w:b/>
          <w:sz w:val="24"/>
          <w:szCs w:val="24"/>
        </w:rPr>
        <w:t>Measures and policies adopted</w:t>
      </w:r>
    </w:p>
    <w:p w14:paraId="0D23C5F2" w14:textId="77777777" w:rsidR="008A71BF" w:rsidRDefault="008A71BF" w:rsidP="00517113">
      <w:pPr>
        <w:spacing w:after="0"/>
        <w:jc w:val="both"/>
        <w:rPr>
          <w:rFonts w:ascii="Times New Roman" w:hAnsi="Times New Roman" w:cs="Times New Roman"/>
          <w:b/>
          <w:sz w:val="24"/>
          <w:szCs w:val="24"/>
          <w:u w:val="single"/>
          <w:lang w:val="en-GB"/>
        </w:rPr>
      </w:pPr>
    </w:p>
    <w:p w14:paraId="306D9BB9" w14:textId="77777777" w:rsidR="00C94478" w:rsidRDefault="007270B2" w:rsidP="009800C6">
      <w:pPr>
        <w:pStyle w:val="ListParagraph"/>
        <w:numPr>
          <w:ilvl w:val="0"/>
          <w:numId w:val="19"/>
        </w:numPr>
        <w:tabs>
          <w:tab w:val="left" w:pos="720"/>
        </w:tabs>
        <w:autoSpaceDE w:val="0"/>
        <w:autoSpaceDN w:val="0"/>
        <w:adjustRightInd w:val="0"/>
        <w:spacing w:after="0" w:line="276" w:lineRule="auto"/>
        <w:jc w:val="both"/>
        <w:rPr>
          <w:rFonts w:ascii="Times New Roman" w:hAnsi="Times New Roman" w:cs="Times New Roman"/>
          <w:sz w:val="24"/>
          <w:szCs w:val="24"/>
        </w:rPr>
      </w:pPr>
      <w:r w:rsidRPr="00BA36B0">
        <w:rPr>
          <w:rFonts w:ascii="Times New Roman" w:hAnsi="Times New Roman" w:cs="Times New Roman"/>
          <w:sz w:val="24"/>
          <w:szCs w:val="24"/>
        </w:rPr>
        <w:t>The</w:t>
      </w:r>
      <w:r w:rsidR="0046113A" w:rsidRPr="00BA36B0">
        <w:rPr>
          <w:rFonts w:ascii="Times New Roman" w:hAnsi="Times New Roman" w:cs="Times New Roman"/>
          <w:sz w:val="24"/>
          <w:szCs w:val="24"/>
        </w:rPr>
        <w:t xml:space="preserve"> Government</w:t>
      </w:r>
      <w:r w:rsidR="00517113" w:rsidRPr="00BA36B0">
        <w:rPr>
          <w:rFonts w:ascii="Times New Roman" w:hAnsi="Times New Roman" w:cs="Times New Roman"/>
          <w:sz w:val="24"/>
          <w:szCs w:val="24"/>
        </w:rPr>
        <w:t xml:space="preserve"> </w:t>
      </w:r>
      <w:r w:rsidR="00362BF7" w:rsidRPr="00BA36B0">
        <w:rPr>
          <w:rFonts w:ascii="Times New Roman" w:hAnsi="Times New Roman" w:cs="Times New Roman"/>
          <w:sz w:val="24"/>
          <w:szCs w:val="24"/>
        </w:rPr>
        <w:t xml:space="preserve">of Mauritius </w:t>
      </w:r>
      <w:r w:rsidRPr="00BA36B0">
        <w:rPr>
          <w:rFonts w:ascii="Times New Roman" w:hAnsi="Times New Roman" w:cs="Times New Roman"/>
          <w:sz w:val="24"/>
          <w:szCs w:val="24"/>
        </w:rPr>
        <w:t>e</w:t>
      </w:r>
      <w:r w:rsidR="00517113" w:rsidRPr="00BA36B0">
        <w:rPr>
          <w:rFonts w:ascii="Times New Roman" w:hAnsi="Times New Roman" w:cs="Times New Roman"/>
          <w:sz w:val="24"/>
          <w:szCs w:val="24"/>
        </w:rPr>
        <w:t>nsure</w:t>
      </w:r>
      <w:r w:rsidRPr="00BA36B0">
        <w:rPr>
          <w:rFonts w:ascii="Times New Roman" w:hAnsi="Times New Roman" w:cs="Times New Roman"/>
          <w:sz w:val="24"/>
          <w:szCs w:val="24"/>
        </w:rPr>
        <w:t>s</w:t>
      </w:r>
      <w:r w:rsidR="00517113" w:rsidRPr="00BA36B0">
        <w:rPr>
          <w:rFonts w:ascii="Times New Roman" w:hAnsi="Times New Roman" w:cs="Times New Roman"/>
          <w:sz w:val="24"/>
          <w:szCs w:val="24"/>
        </w:rPr>
        <w:t xml:space="preserve"> that there is a balanced approach to development</w:t>
      </w:r>
      <w:r w:rsidR="00517113" w:rsidRPr="00517113">
        <w:rPr>
          <w:rFonts w:ascii="Times New Roman" w:hAnsi="Times New Roman" w:cs="Times New Roman"/>
          <w:bCs/>
          <w:sz w:val="24"/>
          <w:szCs w:val="24"/>
        </w:rPr>
        <w:t xml:space="preserve"> such that economic priorities are aligned to protecting the funda</w:t>
      </w:r>
      <w:r w:rsidR="00C94478">
        <w:rPr>
          <w:rFonts w:ascii="Times New Roman" w:hAnsi="Times New Roman" w:cs="Times New Roman"/>
          <w:bCs/>
          <w:sz w:val="24"/>
          <w:szCs w:val="24"/>
        </w:rPr>
        <w:t xml:space="preserve">mental rights of its citizens. </w:t>
      </w:r>
      <w:r w:rsidR="00C94478" w:rsidRPr="00517113">
        <w:rPr>
          <w:rFonts w:ascii="Times New Roman" w:hAnsi="Times New Roman" w:cs="Times New Roman"/>
          <w:sz w:val="24"/>
          <w:szCs w:val="24"/>
        </w:rPr>
        <w:t xml:space="preserve">For development to contribute to promoting human rights, it should be inclusive and people oriented, be based on the principles of equity and take into account all the three dimensions of Sustainable Development that is social, economic and environmental aspects and adopt a human rights-based approach. </w:t>
      </w:r>
    </w:p>
    <w:p w14:paraId="77FBD4A1" w14:textId="77777777" w:rsidR="00517113" w:rsidRPr="00517113" w:rsidRDefault="00517113" w:rsidP="007270B2">
      <w:pPr>
        <w:spacing w:after="0"/>
        <w:ind w:firstLine="720"/>
        <w:jc w:val="both"/>
        <w:rPr>
          <w:rFonts w:ascii="Times New Roman" w:hAnsi="Times New Roman" w:cs="Times New Roman"/>
          <w:bCs/>
          <w:sz w:val="24"/>
          <w:szCs w:val="24"/>
          <w:lang w:val="en-GB"/>
        </w:rPr>
      </w:pPr>
    </w:p>
    <w:p w14:paraId="13192F2F" w14:textId="77777777" w:rsidR="00D52D8F" w:rsidRPr="00EF2943" w:rsidRDefault="00D52D8F" w:rsidP="009800C6">
      <w:pPr>
        <w:pStyle w:val="ListParagraph"/>
        <w:numPr>
          <w:ilvl w:val="0"/>
          <w:numId w:val="21"/>
        </w:numPr>
        <w:jc w:val="both"/>
        <w:rPr>
          <w:rFonts w:ascii="Times New Roman" w:hAnsi="Times New Roman" w:cs="Times New Roman"/>
          <w:bCs/>
          <w:sz w:val="24"/>
          <w:szCs w:val="24"/>
          <w:u w:val="single"/>
        </w:rPr>
      </w:pPr>
      <w:r w:rsidRPr="00EF2943">
        <w:rPr>
          <w:rFonts w:ascii="Times New Roman" w:hAnsi="Times New Roman" w:cs="Times New Roman"/>
          <w:bCs/>
          <w:sz w:val="24"/>
          <w:szCs w:val="24"/>
          <w:u w:val="single"/>
        </w:rPr>
        <w:t>Freedom of Information</w:t>
      </w:r>
    </w:p>
    <w:p w14:paraId="4833D9F1" w14:textId="77777777" w:rsidR="00D52D8F" w:rsidRPr="00E12568" w:rsidRDefault="00D52D8F" w:rsidP="00DD7B2A">
      <w:pPr>
        <w:ind w:firstLine="720"/>
        <w:jc w:val="both"/>
        <w:rPr>
          <w:rFonts w:ascii="Times New Roman" w:hAnsi="Times New Roman" w:cs="Times New Roman"/>
          <w:sz w:val="24"/>
          <w:szCs w:val="24"/>
          <w:lang w:val="en-GB"/>
        </w:rPr>
      </w:pPr>
      <w:r w:rsidRPr="00E12568">
        <w:rPr>
          <w:rFonts w:ascii="Times New Roman" w:hAnsi="Times New Roman" w:cs="Times New Roman"/>
          <w:sz w:val="24"/>
          <w:szCs w:val="24"/>
          <w:lang w:val="en-GB"/>
        </w:rPr>
        <w:t>Since 2015, the Government of Mauritius has taken a number of important initiatives to enhance transparency and accountability in the management of the affairs of the State, which is precisely the aim of a freedom of information legislation.  Some of these initiatives are as follows:</w:t>
      </w:r>
    </w:p>
    <w:p w14:paraId="083CD16A" w14:textId="77777777" w:rsidR="00D52D8F" w:rsidRPr="00E12568" w:rsidRDefault="00D52D8F" w:rsidP="002E5B0F">
      <w:pPr>
        <w:numPr>
          <w:ilvl w:val="0"/>
          <w:numId w:val="4"/>
        </w:numPr>
        <w:jc w:val="both"/>
        <w:rPr>
          <w:rFonts w:ascii="Times New Roman" w:hAnsi="Times New Roman" w:cs="Times New Roman"/>
          <w:sz w:val="24"/>
          <w:szCs w:val="24"/>
          <w:lang w:val="en-GB"/>
        </w:rPr>
      </w:pPr>
      <w:r w:rsidRPr="00E12568">
        <w:rPr>
          <w:rFonts w:ascii="Times New Roman" w:hAnsi="Times New Roman" w:cs="Times New Roman"/>
          <w:sz w:val="24"/>
          <w:szCs w:val="24"/>
          <w:lang w:val="en-GB"/>
        </w:rPr>
        <w:t>introduction of the Citizen Support Portal;</w:t>
      </w:r>
    </w:p>
    <w:p w14:paraId="203A8156" w14:textId="77777777" w:rsidR="00D52D8F" w:rsidRPr="00E12568" w:rsidRDefault="00D52D8F" w:rsidP="002E5B0F">
      <w:pPr>
        <w:numPr>
          <w:ilvl w:val="0"/>
          <w:numId w:val="4"/>
        </w:numPr>
        <w:jc w:val="both"/>
        <w:rPr>
          <w:rFonts w:ascii="Times New Roman" w:hAnsi="Times New Roman" w:cs="Times New Roman"/>
          <w:sz w:val="24"/>
          <w:szCs w:val="24"/>
          <w:lang w:val="en-GB"/>
        </w:rPr>
      </w:pPr>
      <w:r w:rsidRPr="00E12568">
        <w:rPr>
          <w:rFonts w:ascii="Times New Roman" w:hAnsi="Times New Roman" w:cs="Times New Roman"/>
          <w:sz w:val="24"/>
          <w:szCs w:val="24"/>
          <w:lang w:val="en-GB"/>
        </w:rPr>
        <w:t xml:space="preserve">implementation of the National Open Data Portal; </w:t>
      </w:r>
    </w:p>
    <w:p w14:paraId="7F80920F" w14:textId="77777777" w:rsidR="00D52D8F" w:rsidRPr="00E12568" w:rsidRDefault="00D52D8F" w:rsidP="002E5B0F">
      <w:pPr>
        <w:numPr>
          <w:ilvl w:val="0"/>
          <w:numId w:val="4"/>
        </w:numPr>
        <w:jc w:val="both"/>
        <w:rPr>
          <w:rFonts w:ascii="Times New Roman" w:hAnsi="Times New Roman" w:cs="Times New Roman"/>
          <w:sz w:val="24"/>
          <w:szCs w:val="24"/>
          <w:lang w:val="en-GB"/>
        </w:rPr>
      </w:pPr>
      <w:r w:rsidRPr="00E12568">
        <w:rPr>
          <w:rFonts w:ascii="Times New Roman" w:hAnsi="Times New Roman" w:cs="Times New Roman"/>
          <w:sz w:val="24"/>
          <w:szCs w:val="24"/>
          <w:lang w:val="en-GB"/>
        </w:rPr>
        <w:t>implementation of the Public Sector Transformation Strategy;</w:t>
      </w:r>
    </w:p>
    <w:p w14:paraId="02705725" w14:textId="77777777" w:rsidR="00D52D8F" w:rsidRPr="00E12568" w:rsidRDefault="00D52D8F" w:rsidP="002E5B0F">
      <w:pPr>
        <w:numPr>
          <w:ilvl w:val="0"/>
          <w:numId w:val="4"/>
        </w:numPr>
        <w:jc w:val="both"/>
        <w:rPr>
          <w:rFonts w:ascii="Times New Roman" w:hAnsi="Times New Roman" w:cs="Times New Roman"/>
          <w:sz w:val="24"/>
          <w:szCs w:val="24"/>
          <w:lang w:val="en-GB"/>
        </w:rPr>
      </w:pPr>
      <w:r w:rsidRPr="00E12568">
        <w:rPr>
          <w:rFonts w:ascii="Times New Roman" w:hAnsi="Times New Roman" w:cs="Times New Roman"/>
          <w:sz w:val="24"/>
          <w:szCs w:val="24"/>
          <w:lang w:val="en-GB"/>
        </w:rPr>
        <w:t>the mandatory use of the Electronic Procurement System in the Public Sector; and</w:t>
      </w:r>
    </w:p>
    <w:p w14:paraId="2ACBC623" w14:textId="77777777" w:rsidR="00D52D8F" w:rsidRPr="00E12568" w:rsidRDefault="00D52D8F" w:rsidP="002E5B0F">
      <w:pPr>
        <w:numPr>
          <w:ilvl w:val="0"/>
          <w:numId w:val="4"/>
        </w:numPr>
        <w:jc w:val="both"/>
        <w:rPr>
          <w:rFonts w:ascii="Times New Roman" w:hAnsi="Times New Roman" w:cs="Times New Roman"/>
          <w:sz w:val="24"/>
          <w:szCs w:val="24"/>
          <w:lang w:val="en-GB"/>
        </w:rPr>
      </w:pPr>
      <w:r w:rsidRPr="00E12568">
        <w:rPr>
          <w:rFonts w:ascii="Times New Roman" w:hAnsi="Times New Roman" w:cs="Times New Roman"/>
          <w:sz w:val="24"/>
          <w:szCs w:val="24"/>
          <w:lang w:val="en-GB"/>
        </w:rPr>
        <w:t>the live broadcast of the proceedings of the National Assembly.</w:t>
      </w:r>
    </w:p>
    <w:p w14:paraId="667D002F" w14:textId="77777777" w:rsidR="00D52D8F" w:rsidRPr="00E12568" w:rsidRDefault="00D52D8F" w:rsidP="0062329C">
      <w:pPr>
        <w:ind w:firstLine="720"/>
        <w:jc w:val="both"/>
        <w:rPr>
          <w:rFonts w:ascii="Times New Roman" w:hAnsi="Times New Roman" w:cs="Times New Roman"/>
          <w:sz w:val="24"/>
          <w:szCs w:val="24"/>
          <w:lang w:val="en-GB"/>
        </w:rPr>
      </w:pPr>
      <w:r w:rsidRPr="00E12568">
        <w:rPr>
          <w:rFonts w:ascii="Times New Roman" w:hAnsi="Times New Roman" w:cs="Times New Roman"/>
          <w:sz w:val="24"/>
          <w:szCs w:val="24"/>
          <w:lang w:val="en-GB"/>
        </w:rPr>
        <w:t>Section 48 of the Prevention of Corruption Act provides for the protection of informers, including whistle-blowers.</w:t>
      </w:r>
    </w:p>
    <w:p w14:paraId="647D0940" w14:textId="77777777" w:rsidR="00D52D8F" w:rsidRPr="00E12568" w:rsidRDefault="00D52D8F" w:rsidP="0062329C">
      <w:pPr>
        <w:ind w:firstLine="720"/>
        <w:jc w:val="both"/>
        <w:rPr>
          <w:rFonts w:ascii="Times New Roman" w:hAnsi="Times New Roman" w:cs="Times New Roman"/>
          <w:sz w:val="24"/>
          <w:szCs w:val="24"/>
          <w:lang w:val="en-GB"/>
        </w:rPr>
      </w:pPr>
      <w:r w:rsidRPr="00E12568">
        <w:rPr>
          <w:rFonts w:ascii="Times New Roman" w:hAnsi="Times New Roman" w:cs="Times New Roman"/>
          <w:sz w:val="24"/>
          <w:szCs w:val="24"/>
          <w:lang w:val="en-GB"/>
        </w:rPr>
        <w:t>Moreover, in the State of Mauritius, there is unrestricted access to the internet, which is widely used.</w:t>
      </w:r>
    </w:p>
    <w:p w14:paraId="2BD8D7F5" w14:textId="77777777" w:rsidR="00D52D8F" w:rsidRDefault="00D52D8F" w:rsidP="0062329C">
      <w:pPr>
        <w:ind w:firstLine="720"/>
        <w:jc w:val="both"/>
        <w:rPr>
          <w:rFonts w:ascii="Times New Roman" w:hAnsi="Times New Roman" w:cs="Times New Roman"/>
          <w:sz w:val="24"/>
          <w:szCs w:val="24"/>
          <w:lang w:val="en-GB"/>
        </w:rPr>
      </w:pPr>
      <w:r w:rsidRPr="00E12568">
        <w:rPr>
          <w:rFonts w:ascii="Times New Roman" w:hAnsi="Times New Roman" w:cs="Times New Roman"/>
          <w:sz w:val="24"/>
          <w:szCs w:val="24"/>
          <w:lang w:val="en-GB"/>
        </w:rPr>
        <w:t>The Government of Mauritius is not envisaging to proceed with the Freedom of Information Bill for the time being.</w:t>
      </w:r>
    </w:p>
    <w:p w14:paraId="38E1A793" w14:textId="77777777" w:rsidR="003F4DCD" w:rsidRDefault="003F4DCD" w:rsidP="00D52D8F">
      <w:pPr>
        <w:rPr>
          <w:rFonts w:ascii="Times New Roman" w:hAnsi="Times New Roman" w:cs="Times New Roman"/>
          <w:sz w:val="24"/>
          <w:szCs w:val="24"/>
          <w:lang w:val="en-GB"/>
        </w:rPr>
      </w:pPr>
    </w:p>
    <w:p w14:paraId="43E67683" w14:textId="77777777" w:rsidR="003F4DCD" w:rsidRPr="00EF2943" w:rsidRDefault="003F4DCD" w:rsidP="009800C6">
      <w:pPr>
        <w:pStyle w:val="ListParagraph"/>
        <w:numPr>
          <w:ilvl w:val="0"/>
          <w:numId w:val="21"/>
        </w:numPr>
        <w:jc w:val="both"/>
        <w:rPr>
          <w:rFonts w:ascii="Times New Roman" w:hAnsi="Times New Roman" w:cs="Times New Roman"/>
          <w:bCs/>
          <w:sz w:val="24"/>
          <w:szCs w:val="24"/>
          <w:u w:val="single"/>
        </w:rPr>
      </w:pPr>
      <w:r w:rsidRPr="00EF2943">
        <w:rPr>
          <w:rFonts w:ascii="Times New Roman" w:hAnsi="Times New Roman" w:cs="Times New Roman"/>
          <w:bCs/>
          <w:sz w:val="24"/>
          <w:szCs w:val="24"/>
          <w:u w:val="single"/>
        </w:rPr>
        <w:t xml:space="preserve">Promoting </w:t>
      </w:r>
      <w:r w:rsidR="00756AA3">
        <w:rPr>
          <w:rFonts w:ascii="Times New Roman" w:hAnsi="Times New Roman" w:cs="Times New Roman"/>
          <w:bCs/>
          <w:sz w:val="24"/>
          <w:szCs w:val="24"/>
          <w:u w:val="single"/>
        </w:rPr>
        <w:t>G</w:t>
      </w:r>
      <w:r w:rsidRPr="00EF2943">
        <w:rPr>
          <w:rFonts w:ascii="Times New Roman" w:hAnsi="Times New Roman" w:cs="Times New Roman"/>
          <w:bCs/>
          <w:sz w:val="24"/>
          <w:szCs w:val="24"/>
          <w:u w:val="single"/>
        </w:rPr>
        <w:t xml:space="preserve">ender </w:t>
      </w:r>
      <w:r w:rsidR="00756AA3">
        <w:rPr>
          <w:rFonts w:ascii="Times New Roman" w:hAnsi="Times New Roman" w:cs="Times New Roman"/>
          <w:bCs/>
          <w:sz w:val="24"/>
          <w:szCs w:val="24"/>
          <w:u w:val="single"/>
        </w:rPr>
        <w:t>E</w:t>
      </w:r>
      <w:r w:rsidRPr="00EF2943">
        <w:rPr>
          <w:rFonts w:ascii="Times New Roman" w:hAnsi="Times New Roman" w:cs="Times New Roman"/>
          <w:bCs/>
          <w:sz w:val="24"/>
          <w:szCs w:val="24"/>
          <w:u w:val="single"/>
        </w:rPr>
        <w:t>quality</w:t>
      </w:r>
    </w:p>
    <w:p w14:paraId="7B5D5DB2" w14:textId="77777777" w:rsidR="000733D9" w:rsidRPr="000733D9" w:rsidRDefault="000733D9" w:rsidP="00F3582B">
      <w:pPr>
        <w:ind w:firstLine="720"/>
        <w:jc w:val="both"/>
        <w:rPr>
          <w:rFonts w:ascii="Times New Roman" w:hAnsi="Times New Roman" w:cs="Times New Roman"/>
          <w:sz w:val="24"/>
          <w:szCs w:val="24"/>
        </w:rPr>
      </w:pPr>
      <w:r w:rsidRPr="000733D9">
        <w:rPr>
          <w:rFonts w:ascii="Times New Roman" w:hAnsi="Times New Roman" w:cs="Times New Roman"/>
          <w:sz w:val="24"/>
          <w:szCs w:val="24"/>
        </w:rPr>
        <w:t>The Local Government Act was amended in 2011, to provide for, inter alia, ensuring meaningful participation of women as candidates in local government elections. It provides that any group presenting more than two candidates at an election of a Municipal City Council, Municipal Town Council or Village Council shall ensure that not more than two thirds of the group’s candidates are of the same sex.</w:t>
      </w:r>
    </w:p>
    <w:p w14:paraId="47E07B43" w14:textId="77777777" w:rsidR="00DB3467" w:rsidRDefault="00DB3467" w:rsidP="00F3582B">
      <w:pPr>
        <w:pStyle w:val="ListParagraph"/>
        <w:tabs>
          <w:tab w:val="left" w:pos="0"/>
        </w:tabs>
        <w:autoSpaceDE w:val="0"/>
        <w:autoSpaceDN w:val="0"/>
        <w:adjustRightInd w:val="0"/>
        <w:spacing w:after="0" w:line="360" w:lineRule="atLeast"/>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ab/>
        <w:t>In addition, t</w:t>
      </w:r>
      <w:r w:rsidRPr="00364C59">
        <w:rPr>
          <w:rFonts w:ascii="Times New Roman" w:hAnsi="Times New Roman" w:cs="Times New Roman"/>
          <w:sz w:val="24"/>
          <w:szCs w:val="24"/>
        </w:rPr>
        <w:t xml:space="preserve">he State of Mauritius is also working on the preparation of a </w:t>
      </w:r>
      <w:r w:rsidRPr="00364C59">
        <w:rPr>
          <w:rFonts w:ascii="Times New Roman" w:hAnsi="Times New Roman" w:cs="Times New Roman"/>
          <w:color w:val="000000" w:themeColor="text1"/>
          <w:sz w:val="24"/>
          <w:szCs w:val="24"/>
          <w:shd w:val="clear" w:color="auto" w:fill="FFFFFF"/>
        </w:rPr>
        <w:t xml:space="preserve">Gender Equality Bill which will: </w:t>
      </w:r>
    </w:p>
    <w:p w14:paraId="09E58E16" w14:textId="77777777" w:rsidR="00D80DD9" w:rsidRPr="00364C59" w:rsidRDefault="00D80DD9" w:rsidP="00F3582B">
      <w:pPr>
        <w:pStyle w:val="ListParagraph"/>
        <w:tabs>
          <w:tab w:val="left" w:pos="0"/>
        </w:tabs>
        <w:autoSpaceDE w:val="0"/>
        <w:autoSpaceDN w:val="0"/>
        <w:adjustRightInd w:val="0"/>
        <w:spacing w:after="0" w:line="360" w:lineRule="atLeast"/>
        <w:ind w:left="0"/>
        <w:jc w:val="both"/>
        <w:rPr>
          <w:rFonts w:ascii="Times New Roman" w:hAnsi="Times New Roman" w:cs="Times New Roman"/>
          <w:bCs/>
          <w:color w:val="000000" w:themeColor="text1"/>
          <w:sz w:val="24"/>
          <w:szCs w:val="24"/>
        </w:rPr>
      </w:pPr>
    </w:p>
    <w:p w14:paraId="4688A62D" w14:textId="77777777" w:rsidR="00DB3467" w:rsidRPr="00364C59" w:rsidRDefault="00DB3467" w:rsidP="009800C6">
      <w:pPr>
        <w:numPr>
          <w:ilvl w:val="0"/>
          <w:numId w:val="5"/>
        </w:numPr>
        <w:spacing w:after="0" w:line="276" w:lineRule="auto"/>
        <w:ind w:left="1260" w:hanging="540"/>
        <w:contextualSpacing/>
        <w:jc w:val="both"/>
        <w:rPr>
          <w:rFonts w:ascii="Times New Roman" w:hAnsi="Times New Roman" w:cs="Times New Roman"/>
          <w:bCs/>
          <w:color w:val="000000" w:themeColor="text1"/>
          <w:sz w:val="24"/>
          <w:szCs w:val="24"/>
          <w:lang w:val="en-GB"/>
        </w:rPr>
      </w:pPr>
      <w:r w:rsidRPr="00364C59">
        <w:rPr>
          <w:rFonts w:ascii="Times New Roman" w:hAnsi="Times New Roman" w:cs="Times New Roman"/>
          <w:bCs/>
          <w:color w:val="000000" w:themeColor="text1"/>
          <w:sz w:val="24"/>
          <w:szCs w:val="24"/>
          <w:lang w:val="en-GB"/>
        </w:rPr>
        <w:t xml:space="preserve">promote, protect and regulate gender equality in public and private spheres; </w:t>
      </w:r>
    </w:p>
    <w:p w14:paraId="035BF16E" w14:textId="77777777" w:rsidR="00DB3467" w:rsidRPr="00364C59" w:rsidRDefault="00DB3467" w:rsidP="009800C6">
      <w:pPr>
        <w:spacing w:after="0" w:line="276" w:lineRule="auto"/>
        <w:ind w:left="1260" w:hanging="540"/>
        <w:contextualSpacing/>
        <w:jc w:val="both"/>
        <w:rPr>
          <w:rFonts w:ascii="Times New Roman" w:hAnsi="Times New Roman" w:cs="Times New Roman"/>
          <w:bCs/>
          <w:color w:val="000000" w:themeColor="text1"/>
          <w:sz w:val="24"/>
          <w:szCs w:val="24"/>
          <w:lang w:val="en-GB"/>
        </w:rPr>
      </w:pPr>
    </w:p>
    <w:p w14:paraId="7949BDB5" w14:textId="77777777" w:rsidR="00DB3467" w:rsidRPr="00364C59" w:rsidRDefault="00DB3467" w:rsidP="009800C6">
      <w:pPr>
        <w:numPr>
          <w:ilvl w:val="0"/>
          <w:numId w:val="5"/>
        </w:numPr>
        <w:spacing w:after="0" w:line="276" w:lineRule="auto"/>
        <w:ind w:left="1260" w:hanging="540"/>
        <w:contextualSpacing/>
        <w:jc w:val="both"/>
        <w:rPr>
          <w:rFonts w:ascii="Times New Roman" w:hAnsi="Times New Roman" w:cs="Times New Roman"/>
          <w:bCs/>
          <w:color w:val="000000" w:themeColor="text1"/>
          <w:sz w:val="24"/>
          <w:szCs w:val="24"/>
          <w:lang w:val="en-GB"/>
        </w:rPr>
      </w:pPr>
      <w:r w:rsidRPr="00364C59">
        <w:rPr>
          <w:rFonts w:ascii="Times New Roman" w:hAnsi="Times New Roman" w:cs="Times New Roman"/>
          <w:bCs/>
          <w:color w:val="000000" w:themeColor="text1"/>
          <w:sz w:val="24"/>
          <w:szCs w:val="24"/>
          <w:lang w:val="en-GB"/>
        </w:rPr>
        <w:t xml:space="preserve">eliminate gender-based discrimination, ensure that human rights of men and women are guaranteed and acknowledged in existing as well as the proposed legislation in order to achieve gender equality; </w:t>
      </w:r>
    </w:p>
    <w:p w14:paraId="1CFFC42A" w14:textId="77777777" w:rsidR="00DB3467" w:rsidRPr="00364C59" w:rsidRDefault="00DB3467" w:rsidP="009800C6">
      <w:pPr>
        <w:spacing w:after="0" w:line="276" w:lineRule="auto"/>
        <w:ind w:left="1260" w:hanging="540"/>
        <w:contextualSpacing/>
        <w:jc w:val="both"/>
        <w:rPr>
          <w:rFonts w:ascii="Times New Roman" w:hAnsi="Times New Roman" w:cs="Times New Roman"/>
          <w:bCs/>
          <w:color w:val="000000" w:themeColor="text1"/>
          <w:sz w:val="24"/>
          <w:szCs w:val="24"/>
          <w:lang w:val="en-GB"/>
        </w:rPr>
      </w:pPr>
    </w:p>
    <w:p w14:paraId="1B153908" w14:textId="77777777" w:rsidR="00DB3467" w:rsidRPr="00364C59" w:rsidRDefault="00DB3467" w:rsidP="009800C6">
      <w:pPr>
        <w:numPr>
          <w:ilvl w:val="0"/>
          <w:numId w:val="5"/>
        </w:numPr>
        <w:spacing w:after="0" w:line="276" w:lineRule="auto"/>
        <w:ind w:left="1260" w:hanging="540"/>
        <w:contextualSpacing/>
        <w:jc w:val="both"/>
        <w:rPr>
          <w:rFonts w:ascii="Times New Roman" w:hAnsi="Times New Roman" w:cs="Times New Roman"/>
          <w:bCs/>
          <w:color w:val="000000" w:themeColor="text1"/>
          <w:sz w:val="24"/>
          <w:szCs w:val="24"/>
          <w:lang w:val="en-GB"/>
        </w:rPr>
      </w:pPr>
      <w:r w:rsidRPr="00364C59">
        <w:rPr>
          <w:rFonts w:ascii="Times New Roman" w:hAnsi="Times New Roman" w:cs="Times New Roman"/>
          <w:bCs/>
          <w:color w:val="000000" w:themeColor="text1"/>
          <w:sz w:val="24"/>
          <w:szCs w:val="24"/>
          <w:lang w:val="en-GB"/>
        </w:rPr>
        <w:t xml:space="preserve">provide for gender equality principles that aim at reducing socio-economic inequalities so as to achieve substantive equality in all spheres, that is socially, economically and politically; </w:t>
      </w:r>
    </w:p>
    <w:p w14:paraId="18399D1C" w14:textId="77777777" w:rsidR="00DB3467" w:rsidRPr="00364C59" w:rsidRDefault="00DB3467" w:rsidP="009800C6">
      <w:pPr>
        <w:spacing w:after="0" w:line="276" w:lineRule="auto"/>
        <w:ind w:left="1260" w:hanging="540"/>
        <w:contextualSpacing/>
        <w:jc w:val="both"/>
        <w:rPr>
          <w:rFonts w:ascii="Times New Roman" w:hAnsi="Times New Roman" w:cs="Times New Roman"/>
          <w:bCs/>
          <w:color w:val="000000" w:themeColor="text1"/>
          <w:sz w:val="24"/>
          <w:szCs w:val="24"/>
          <w:lang w:val="en-GB"/>
        </w:rPr>
      </w:pPr>
    </w:p>
    <w:p w14:paraId="754CED4C" w14:textId="77777777" w:rsidR="00DB3467" w:rsidRPr="00364C59" w:rsidRDefault="00DB3467" w:rsidP="009800C6">
      <w:pPr>
        <w:numPr>
          <w:ilvl w:val="0"/>
          <w:numId w:val="5"/>
        </w:numPr>
        <w:spacing w:after="0" w:line="276" w:lineRule="auto"/>
        <w:ind w:left="1260" w:hanging="540"/>
        <w:contextualSpacing/>
        <w:jc w:val="both"/>
        <w:rPr>
          <w:rFonts w:ascii="Times New Roman" w:hAnsi="Times New Roman" w:cs="Times New Roman"/>
          <w:bCs/>
          <w:color w:val="000000" w:themeColor="text1"/>
          <w:sz w:val="24"/>
          <w:szCs w:val="24"/>
          <w:lang w:val="en-GB"/>
        </w:rPr>
      </w:pPr>
      <w:r w:rsidRPr="00364C59">
        <w:rPr>
          <w:rFonts w:ascii="Times New Roman" w:hAnsi="Times New Roman" w:cs="Times New Roman"/>
          <w:bCs/>
          <w:color w:val="000000" w:themeColor="text1"/>
          <w:sz w:val="24"/>
          <w:szCs w:val="24"/>
          <w:lang w:val="en-GB"/>
        </w:rPr>
        <w:t xml:space="preserve">provide for equal opportunities for both men and women and create responsibilities of all entities, public and private, to eliminate barriers that lead to gender discrimination; and </w:t>
      </w:r>
    </w:p>
    <w:p w14:paraId="23386A4E" w14:textId="77777777" w:rsidR="00DB3467" w:rsidRPr="00364C59" w:rsidRDefault="00DB3467" w:rsidP="009800C6">
      <w:pPr>
        <w:spacing w:after="0" w:line="276" w:lineRule="auto"/>
        <w:ind w:left="1260" w:hanging="540"/>
        <w:jc w:val="both"/>
        <w:rPr>
          <w:rFonts w:ascii="Times New Roman" w:hAnsi="Times New Roman" w:cs="Times New Roman"/>
          <w:bCs/>
          <w:color w:val="000000" w:themeColor="text1"/>
          <w:sz w:val="24"/>
          <w:szCs w:val="24"/>
        </w:rPr>
      </w:pPr>
    </w:p>
    <w:p w14:paraId="4653092E" w14:textId="77777777" w:rsidR="00DB3467" w:rsidRPr="00364C59" w:rsidRDefault="00DB3467" w:rsidP="009800C6">
      <w:pPr>
        <w:numPr>
          <w:ilvl w:val="0"/>
          <w:numId w:val="5"/>
        </w:numPr>
        <w:spacing w:after="0" w:line="276" w:lineRule="auto"/>
        <w:ind w:left="1260" w:hanging="540"/>
        <w:contextualSpacing/>
        <w:jc w:val="both"/>
        <w:rPr>
          <w:rFonts w:ascii="Times New Roman" w:hAnsi="Times New Roman" w:cs="Times New Roman"/>
          <w:bCs/>
          <w:color w:val="000000" w:themeColor="text1"/>
          <w:sz w:val="24"/>
          <w:szCs w:val="24"/>
          <w:lang w:val="en-GB"/>
        </w:rPr>
      </w:pPr>
      <w:r w:rsidRPr="00364C59">
        <w:rPr>
          <w:rFonts w:ascii="Times New Roman" w:hAnsi="Times New Roman" w:cs="Times New Roman"/>
          <w:bCs/>
          <w:color w:val="000000" w:themeColor="text1"/>
          <w:sz w:val="24"/>
          <w:szCs w:val="24"/>
          <w:lang w:val="en-GB"/>
        </w:rPr>
        <w:t>promote equality and gender balance between family roles, unpaid care work and employment for men and women.</w:t>
      </w:r>
    </w:p>
    <w:p w14:paraId="7A93F130" w14:textId="77777777" w:rsidR="00DB3467" w:rsidRPr="00364C59" w:rsidRDefault="00DB3467" w:rsidP="00DB3467">
      <w:pPr>
        <w:spacing w:line="276" w:lineRule="auto"/>
      </w:pPr>
    </w:p>
    <w:p w14:paraId="1898C995" w14:textId="77777777" w:rsidR="00DB3467" w:rsidRPr="00F664BB" w:rsidRDefault="00DB3467" w:rsidP="002E526C">
      <w:pPr>
        <w:spacing w:line="276" w:lineRule="auto"/>
        <w:ind w:firstLine="720"/>
        <w:jc w:val="both"/>
        <w:rPr>
          <w:rFonts w:ascii="Times New Roman" w:hAnsi="Times New Roman" w:cs="Times New Roman"/>
          <w:sz w:val="24"/>
          <w:szCs w:val="24"/>
        </w:rPr>
      </w:pPr>
      <w:r w:rsidRPr="00F664BB">
        <w:rPr>
          <w:rFonts w:ascii="Times New Roman" w:hAnsi="Times New Roman" w:cs="Times New Roman"/>
          <w:sz w:val="24"/>
          <w:szCs w:val="24"/>
        </w:rPr>
        <w:t>A Joint Monitoring Framework Agreement was signed on 08 May 2018 between the European Union and the Ministry of Gender Equality and Family Welfare to track progress on the implementation of the EU-Mauritius Gender Action Plan. This agreement serves as a tool to monitor a number of Key Performance Indicators related to the promotion of gender equality, addressing gender-based violence, and the economic empowerment of women and girls, among others. It comprises a number of set objectives and accompanying indicators attached to them that are closely linked to the SDGs and the EU Result Frameworks (EURF). The three thematic objectives of the of the EU Gender Action Plan 2016-2020 are as follows:</w:t>
      </w:r>
    </w:p>
    <w:p w14:paraId="387A1872" w14:textId="77777777" w:rsidR="00DB3467" w:rsidRPr="00546835" w:rsidRDefault="00DB3467" w:rsidP="002E5B0F">
      <w:pPr>
        <w:pStyle w:val="ListParagraph"/>
        <w:numPr>
          <w:ilvl w:val="0"/>
          <w:numId w:val="6"/>
        </w:numPr>
        <w:spacing w:after="0" w:line="360" w:lineRule="auto"/>
        <w:jc w:val="both"/>
        <w:rPr>
          <w:rFonts w:ascii="Times New Roman" w:hAnsi="Times New Roman" w:cs="Times New Roman"/>
          <w:sz w:val="24"/>
          <w:szCs w:val="24"/>
        </w:rPr>
      </w:pPr>
      <w:r w:rsidRPr="00546835">
        <w:rPr>
          <w:rFonts w:ascii="Times New Roman" w:hAnsi="Times New Roman" w:cs="Times New Roman"/>
          <w:sz w:val="24"/>
          <w:szCs w:val="24"/>
        </w:rPr>
        <w:t>Economic, Social and Cultural Rights;</w:t>
      </w:r>
    </w:p>
    <w:p w14:paraId="3F08938C" w14:textId="77777777" w:rsidR="00DB3467" w:rsidRPr="00546835" w:rsidRDefault="00DB3467" w:rsidP="002E5B0F">
      <w:pPr>
        <w:pStyle w:val="ListParagraph"/>
        <w:numPr>
          <w:ilvl w:val="0"/>
          <w:numId w:val="6"/>
        </w:numPr>
        <w:spacing w:after="0" w:line="360" w:lineRule="auto"/>
        <w:jc w:val="both"/>
        <w:rPr>
          <w:rFonts w:ascii="Times New Roman" w:hAnsi="Times New Roman" w:cs="Times New Roman"/>
          <w:sz w:val="24"/>
          <w:szCs w:val="24"/>
        </w:rPr>
      </w:pPr>
      <w:r w:rsidRPr="00546835">
        <w:rPr>
          <w:rFonts w:ascii="Times New Roman" w:hAnsi="Times New Roman" w:cs="Times New Roman"/>
          <w:sz w:val="24"/>
          <w:szCs w:val="24"/>
        </w:rPr>
        <w:t xml:space="preserve">Physical and Psychological Integrity; and </w:t>
      </w:r>
    </w:p>
    <w:p w14:paraId="47113C4C" w14:textId="77777777" w:rsidR="00DB3467" w:rsidRPr="00546835" w:rsidRDefault="00DB3467" w:rsidP="002E5B0F">
      <w:pPr>
        <w:pStyle w:val="ListParagraph"/>
        <w:numPr>
          <w:ilvl w:val="0"/>
          <w:numId w:val="6"/>
        </w:numPr>
        <w:spacing w:after="0" w:line="360" w:lineRule="auto"/>
        <w:jc w:val="both"/>
        <w:rPr>
          <w:rFonts w:ascii="Times New Roman" w:hAnsi="Times New Roman" w:cs="Times New Roman"/>
          <w:sz w:val="24"/>
          <w:szCs w:val="24"/>
        </w:rPr>
      </w:pPr>
      <w:r w:rsidRPr="00546835">
        <w:rPr>
          <w:rFonts w:ascii="Times New Roman" w:hAnsi="Times New Roman" w:cs="Times New Roman"/>
          <w:sz w:val="24"/>
          <w:szCs w:val="24"/>
        </w:rPr>
        <w:t xml:space="preserve">Strengthening girls’ and women’s voice and participation. </w:t>
      </w:r>
    </w:p>
    <w:p w14:paraId="7B4312A9" w14:textId="77777777" w:rsidR="00DB3467" w:rsidRDefault="00DB3467" w:rsidP="00DB3467">
      <w:pPr>
        <w:spacing w:after="0" w:line="276" w:lineRule="auto"/>
        <w:ind w:left="720"/>
        <w:rPr>
          <w:rFonts w:ascii="Times New Roman" w:hAnsi="Times New Roman" w:cs="Times New Roman"/>
          <w:sz w:val="24"/>
          <w:szCs w:val="24"/>
        </w:rPr>
      </w:pPr>
    </w:p>
    <w:p w14:paraId="572FE28B" w14:textId="77777777" w:rsidR="00086B32" w:rsidRPr="006257C2" w:rsidRDefault="00086B32" w:rsidP="00086B32">
      <w:pPr>
        <w:ind w:firstLine="720"/>
        <w:jc w:val="both"/>
        <w:rPr>
          <w:rFonts w:ascii="Times New Roman" w:hAnsi="Times New Roman" w:cs="Times New Roman"/>
          <w:color w:val="000000" w:themeColor="text1"/>
          <w:sz w:val="24"/>
          <w:szCs w:val="24"/>
        </w:rPr>
      </w:pPr>
      <w:r w:rsidRPr="00086B32">
        <w:rPr>
          <w:rFonts w:ascii="Times New Roman" w:hAnsi="Times New Roman" w:cs="Times New Roman"/>
          <w:color w:val="000000" w:themeColor="text1"/>
          <w:sz w:val="24"/>
          <w:szCs w:val="24"/>
        </w:rPr>
        <w:t xml:space="preserve">Furthermore, </w:t>
      </w:r>
      <w:r w:rsidRPr="006257C2">
        <w:rPr>
          <w:rFonts w:ascii="Times New Roman" w:hAnsi="Times New Roman" w:cs="Times New Roman"/>
          <w:color w:val="000000" w:themeColor="text1"/>
          <w:sz w:val="24"/>
          <w:szCs w:val="24"/>
        </w:rPr>
        <w:t>Mauritius became the first country in the Indian Ocean, the third in Africa and the seventh country in the world to ratify the ILO’s Violence and Harassment Convention, 2019 (No. 190).</w:t>
      </w:r>
    </w:p>
    <w:p w14:paraId="6312BFCB" w14:textId="77777777" w:rsidR="00804D38" w:rsidRPr="00804D38" w:rsidRDefault="00804D38" w:rsidP="00804D38">
      <w:pPr>
        <w:ind w:firstLine="720"/>
        <w:jc w:val="both"/>
        <w:rPr>
          <w:rFonts w:ascii="Times New Roman" w:hAnsi="Times New Roman" w:cs="Times New Roman"/>
          <w:color w:val="000000" w:themeColor="text1"/>
          <w:sz w:val="24"/>
          <w:szCs w:val="24"/>
        </w:rPr>
      </w:pPr>
      <w:r w:rsidRPr="00804D38">
        <w:rPr>
          <w:rFonts w:ascii="Times New Roman" w:hAnsi="Times New Roman" w:cs="Times New Roman"/>
          <w:color w:val="000000" w:themeColor="text1"/>
          <w:sz w:val="24"/>
          <w:szCs w:val="24"/>
        </w:rPr>
        <w:t xml:space="preserve">The ILO Convention No.190 is the first international treaty to address violence and harassment in the world of work adopted by the International Labour Conference in June 2019. The Convention and its Recommendation (No 206) provide for a common framework of action and a unique opportunity to shape the future of work based on dignity and respect. It is the first international labour instrument which defines violence and harassment in the world of work, including gender based violence. </w:t>
      </w:r>
    </w:p>
    <w:p w14:paraId="6154ABA8" w14:textId="77777777" w:rsidR="00086B32" w:rsidRPr="00804D38" w:rsidRDefault="000F7E22" w:rsidP="00804D38">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Mauritius</w:t>
      </w:r>
      <w:r w:rsidR="009B4A0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04D38" w:rsidRPr="00804D38">
        <w:rPr>
          <w:rFonts w:ascii="Times New Roman" w:hAnsi="Times New Roman" w:cs="Times New Roman"/>
          <w:color w:val="000000" w:themeColor="text1"/>
          <w:sz w:val="24"/>
          <w:szCs w:val="24"/>
        </w:rPr>
        <w:t>ha</w:t>
      </w:r>
      <w:r>
        <w:rPr>
          <w:rFonts w:ascii="Times New Roman" w:hAnsi="Times New Roman" w:cs="Times New Roman"/>
          <w:color w:val="000000" w:themeColor="text1"/>
          <w:sz w:val="24"/>
          <w:szCs w:val="24"/>
        </w:rPr>
        <w:t>ving ratified t</w:t>
      </w:r>
      <w:r w:rsidR="009B4A08">
        <w:rPr>
          <w:rFonts w:ascii="Times New Roman" w:hAnsi="Times New Roman" w:cs="Times New Roman"/>
          <w:color w:val="000000" w:themeColor="text1"/>
          <w:sz w:val="24"/>
          <w:szCs w:val="24"/>
        </w:rPr>
        <w:t xml:space="preserve">he Convention, has the obligation to adopt </w:t>
      </w:r>
      <w:r w:rsidR="00804D38" w:rsidRPr="00804D38">
        <w:rPr>
          <w:rFonts w:ascii="Times New Roman" w:hAnsi="Times New Roman" w:cs="Times New Roman"/>
          <w:color w:val="000000" w:themeColor="text1"/>
          <w:sz w:val="24"/>
          <w:szCs w:val="24"/>
        </w:rPr>
        <w:t>in consultation with representatives of employers’ and workers’ organisations, an inclusive, integrated and gender responsive approach with a view to preventing and eliminating violence and harassment, through prevention, protection and enforcement measures and remedies, as well as guidance, training and awareness-raising.</w:t>
      </w:r>
    </w:p>
    <w:p w14:paraId="084A2EDE" w14:textId="77777777" w:rsidR="00086B32" w:rsidRDefault="00086B32" w:rsidP="00DB3467">
      <w:pPr>
        <w:spacing w:after="0" w:line="276" w:lineRule="auto"/>
        <w:ind w:left="720"/>
        <w:rPr>
          <w:rFonts w:ascii="Times New Roman" w:hAnsi="Times New Roman" w:cs="Times New Roman"/>
          <w:sz w:val="24"/>
          <w:szCs w:val="24"/>
        </w:rPr>
      </w:pPr>
    </w:p>
    <w:p w14:paraId="20F49E2B" w14:textId="77777777" w:rsidR="00086B32" w:rsidRPr="00F664BB" w:rsidRDefault="00086B32" w:rsidP="00DB3467">
      <w:pPr>
        <w:spacing w:after="0" w:line="276" w:lineRule="auto"/>
        <w:ind w:left="720"/>
        <w:rPr>
          <w:rFonts w:ascii="Times New Roman" w:hAnsi="Times New Roman" w:cs="Times New Roman"/>
          <w:sz w:val="24"/>
          <w:szCs w:val="24"/>
        </w:rPr>
      </w:pPr>
    </w:p>
    <w:p w14:paraId="63648ED7" w14:textId="77777777" w:rsidR="00D52D8F" w:rsidRPr="00EF2943" w:rsidRDefault="00D52D8F" w:rsidP="009800C6">
      <w:pPr>
        <w:pStyle w:val="ListParagraph"/>
        <w:numPr>
          <w:ilvl w:val="0"/>
          <w:numId w:val="21"/>
        </w:numPr>
        <w:jc w:val="both"/>
        <w:rPr>
          <w:rFonts w:ascii="Times New Roman" w:hAnsi="Times New Roman" w:cs="Times New Roman"/>
          <w:bCs/>
          <w:sz w:val="24"/>
          <w:szCs w:val="24"/>
          <w:u w:val="single"/>
        </w:rPr>
      </w:pPr>
      <w:r w:rsidRPr="00EF2943">
        <w:rPr>
          <w:rFonts w:ascii="Times New Roman" w:hAnsi="Times New Roman" w:cs="Times New Roman"/>
          <w:bCs/>
          <w:sz w:val="24"/>
          <w:szCs w:val="24"/>
          <w:u w:val="single"/>
        </w:rPr>
        <w:t xml:space="preserve">Fair </w:t>
      </w:r>
      <w:r w:rsidR="00F94F94">
        <w:rPr>
          <w:rFonts w:ascii="Times New Roman" w:hAnsi="Times New Roman" w:cs="Times New Roman"/>
          <w:bCs/>
          <w:sz w:val="24"/>
          <w:szCs w:val="24"/>
          <w:u w:val="single"/>
        </w:rPr>
        <w:t>G</w:t>
      </w:r>
      <w:r w:rsidRPr="00EF2943">
        <w:rPr>
          <w:rFonts w:ascii="Times New Roman" w:hAnsi="Times New Roman" w:cs="Times New Roman"/>
          <w:bCs/>
          <w:sz w:val="24"/>
          <w:szCs w:val="24"/>
          <w:u w:val="single"/>
        </w:rPr>
        <w:t xml:space="preserve">ender </w:t>
      </w:r>
      <w:r w:rsidR="00F94F94">
        <w:rPr>
          <w:rFonts w:ascii="Times New Roman" w:hAnsi="Times New Roman" w:cs="Times New Roman"/>
          <w:bCs/>
          <w:sz w:val="24"/>
          <w:szCs w:val="24"/>
          <w:u w:val="single"/>
        </w:rPr>
        <w:t>Re</w:t>
      </w:r>
      <w:r w:rsidRPr="00EF2943">
        <w:rPr>
          <w:rFonts w:ascii="Times New Roman" w:hAnsi="Times New Roman" w:cs="Times New Roman"/>
          <w:bCs/>
          <w:sz w:val="24"/>
          <w:szCs w:val="24"/>
          <w:u w:val="single"/>
        </w:rPr>
        <w:t>presentation in Boards and Committees</w:t>
      </w:r>
    </w:p>
    <w:p w14:paraId="23C8C94A" w14:textId="77777777" w:rsidR="00D52D8F" w:rsidRPr="00D52D8F" w:rsidRDefault="00D52D8F" w:rsidP="008001E7">
      <w:pPr>
        <w:ind w:firstLine="720"/>
        <w:jc w:val="both"/>
        <w:rPr>
          <w:rFonts w:ascii="Times New Roman" w:hAnsi="Times New Roman" w:cs="Times New Roman"/>
          <w:sz w:val="24"/>
          <w:szCs w:val="24"/>
          <w:lang w:val="en-GB"/>
        </w:rPr>
      </w:pPr>
      <w:r w:rsidRPr="00D52D8F">
        <w:rPr>
          <w:rFonts w:ascii="Times New Roman" w:hAnsi="Times New Roman" w:cs="Times New Roman"/>
          <w:sz w:val="24"/>
          <w:szCs w:val="24"/>
        </w:rPr>
        <w:t>With regards to gender diversity</w:t>
      </w:r>
      <w:r w:rsidRPr="00D52D8F">
        <w:rPr>
          <w:rFonts w:ascii="Times New Roman" w:hAnsi="Times New Roman" w:cs="Times New Roman"/>
          <w:sz w:val="24"/>
          <w:szCs w:val="24"/>
          <w:lang w:val="en-GB"/>
        </w:rPr>
        <w:t xml:space="preserve"> on the right to participate in public affairs, t</w:t>
      </w:r>
      <w:r w:rsidRPr="00D52D8F">
        <w:rPr>
          <w:rFonts w:ascii="Times New Roman" w:hAnsi="Times New Roman" w:cs="Times New Roman"/>
          <w:sz w:val="24"/>
          <w:szCs w:val="24"/>
        </w:rPr>
        <w:t>he State of Mauritius implemented the National Code of Corporate Governance (2016) which lays down the main principles of governance and encompasses the concept of gender balance and equality under Principle 3: ‘Director Appointment Procedures’, Board structure and Board Diversity. The Principle calls for all organisations to ensure appointment of Directors from both genders (at least one female Director) as members of the Board.</w:t>
      </w:r>
    </w:p>
    <w:p w14:paraId="68DEE709" w14:textId="77777777" w:rsidR="00D52D8F" w:rsidRPr="00D52D8F" w:rsidRDefault="00D52D8F" w:rsidP="008001E7">
      <w:pPr>
        <w:ind w:firstLine="720"/>
        <w:jc w:val="both"/>
        <w:rPr>
          <w:rFonts w:ascii="Times New Roman" w:hAnsi="Times New Roman" w:cs="Times New Roman"/>
          <w:sz w:val="24"/>
          <w:szCs w:val="24"/>
        </w:rPr>
      </w:pPr>
      <w:r w:rsidRPr="00D52D8F">
        <w:rPr>
          <w:rFonts w:ascii="Times New Roman" w:hAnsi="Times New Roman" w:cs="Times New Roman"/>
          <w:sz w:val="24"/>
          <w:szCs w:val="24"/>
        </w:rPr>
        <w:t xml:space="preserve">As a budget measure in Financial Year 2019/2020, the Companies Act and the Statutory Bodies (Accounts and Audit) Act have been amended to cater for Public Companies and Statutory Bodies to have at least one woman on their Board of Directors to have a fair gender representation on the boards.  </w:t>
      </w:r>
    </w:p>
    <w:p w14:paraId="4A52253A" w14:textId="77777777" w:rsidR="00D52D8F" w:rsidRPr="00D52D8F" w:rsidRDefault="00D52D8F" w:rsidP="008001E7">
      <w:pPr>
        <w:ind w:firstLine="720"/>
        <w:jc w:val="both"/>
        <w:rPr>
          <w:rFonts w:ascii="Times New Roman" w:hAnsi="Times New Roman" w:cs="Times New Roman"/>
          <w:bCs/>
          <w:sz w:val="24"/>
          <w:szCs w:val="24"/>
          <w:lang w:val="en-GB"/>
        </w:rPr>
      </w:pPr>
      <w:r w:rsidRPr="00D52D8F">
        <w:rPr>
          <w:rFonts w:ascii="Times New Roman" w:hAnsi="Times New Roman" w:cs="Times New Roman"/>
          <w:bCs/>
          <w:sz w:val="24"/>
          <w:szCs w:val="24"/>
        </w:rPr>
        <w:t>S</w:t>
      </w:r>
      <w:r w:rsidRPr="00D52D8F">
        <w:rPr>
          <w:rFonts w:ascii="Times New Roman" w:hAnsi="Times New Roman" w:cs="Times New Roman"/>
          <w:bCs/>
          <w:sz w:val="24"/>
          <w:szCs w:val="24"/>
          <w:lang w:val="en-GB"/>
        </w:rPr>
        <w:t>takeholders are sentisised with a view to increasing the representation of women on Board of Directors. Women should therefore be provided with relevant training, necessary skills and expertise to become representatives on Boards.</w:t>
      </w:r>
      <w:r w:rsidRPr="00D52D8F">
        <w:rPr>
          <w:rFonts w:ascii="Times New Roman" w:hAnsi="Times New Roman" w:cs="Times New Roman"/>
          <w:bCs/>
          <w:sz w:val="24"/>
          <w:szCs w:val="24"/>
        </w:rPr>
        <w:t xml:space="preserve"> In this respect, the Ministry of Financial Services and Good Governance, in collaboration with the Financial Services Institute (FSI) has already set up a Training for Board Readiness programme to train current and prepare potential persons for board readiness. The training programme addresses the issue of Gender Diversity on Boards and provide training and upskill women for Board readiness, which is in line with measure 174 of the Government Programme 2020 – 2024 to ‘strengthen governance of parastatal institutions by ensuring, among others, adequate and appropriate gender representation on their Board of Directors’</w:t>
      </w:r>
      <w:r w:rsidRPr="00D52D8F">
        <w:rPr>
          <w:rFonts w:ascii="Times New Roman" w:hAnsi="Times New Roman" w:cs="Times New Roman"/>
          <w:sz w:val="24"/>
          <w:szCs w:val="24"/>
        </w:rPr>
        <w:t xml:space="preserve">. </w:t>
      </w:r>
    </w:p>
    <w:p w14:paraId="4C6AFD8F" w14:textId="77777777" w:rsidR="00976E19" w:rsidRDefault="00976E19" w:rsidP="008001E7">
      <w:pPr>
        <w:ind w:firstLine="360"/>
        <w:jc w:val="both"/>
        <w:rPr>
          <w:rFonts w:ascii="Times New Roman" w:hAnsi="Times New Roman" w:cs="Times New Roman"/>
          <w:sz w:val="24"/>
          <w:szCs w:val="24"/>
        </w:rPr>
      </w:pPr>
      <w:r w:rsidRPr="00976E19">
        <w:rPr>
          <w:rFonts w:ascii="Times New Roman" w:hAnsi="Times New Roman" w:cs="Times New Roman"/>
          <w:sz w:val="24"/>
          <w:szCs w:val="24"/>
        </w:rPr>
        <w:t>Moreover, it is to be noted that the Equal Opportunities Act was enacted with the aim of promoting equal opportunities for both men and women.  The Equal Opportunities Commission (EOC) and the Equal Opportunities Tribunal have been set up to address cases of discrimination made on the basis of race, religion, status, sexual orientation and sex amongst others so as to ensure greater equality in term of access to opportunities and life chances to all citizens.  This Act coupled with the setting up of the Commission and the Tribunal contributes to address the issues of Gender Equality and discrimination against women and ensure enhanced participation of women.</w:t>
      </w:r>
    </w:p>
    <w:p w14:paraId="3F8E2879" w14:textId="77777777" w:rsidR="0003711D" w:rsidRDefault="0003711D" w:rsidP="008001E7">
      <w:pPr>
        <w:ind w:firstLine="360"/>
        <w:jc w:val="both"/>
        <w:rPr>
          <w:rFonts w:ascii="Times New Roman" w:hAnsi="Times New Roman" w:cs="Times New Roman"/>
          <w:sz w:val="24"/>
          <w:szCs w:val="24"/>
        </w:rPr>
      </w:pPr>
    </w:p>
    <w:p w14:paraId="4BB37569" w14:textId="77777777" w:rsidR="0003711D" w:rsidRPr="0003711D" w:rsidRDefault="0003711D" w:rsidP="009800C6">
      <w:pPr>
        <w:pStyle w:val="ListParagraph"/>
        <w:numPr>
          <w:ilvl w:val="0"/>
          <w:numId w:val="21"/>
        </w:numPr>
        <w:jc w:val="both"/>
        <w:rPr>
          <w:rFonts w:ascii="Times New Roman" w:hAnsi="Times New Roman" w:cs="Times New Roman"/>
          <w:bCs/>
          <w:sz w:val="24"/>
          <w:szCs w:val="24"/>
          <w:u w:val="single"/>
        </w:rPr>
      </w:pPr>
      <w:r w:rsidRPr="0003711D">
        <w:rPr>
          <w:rFonts w:ascii="Times New Roman" w:hAnsi="Times New Roman" w:cs="Times New Roman"/>
          <w:bCs/>
          <w:sz w:val="24"/>
          <w:szCs w:val="24"/>
          <w:u w:val="single"/>
        </w:rPr>
        <w:t>Youth Participation</w:t>
      </w:r>
    </w:p>
    <w:p w14:paraId="3EAC139D" w14:textId="77777777" w:rsidR="0003711D" w:rsidRPr="0003711D" w:rsidRDefault="0003711D" w:rsidP="0003711D">
      <w:pPr>
        <w:ind w:firstLine="360"/>
        <w:jc w:val="both"/>
        <w:rPr>
          <w:rFonts w:ascii="Times New Roman" w:hAnsi="Times New Roman" w:cs="Times New Roman"/>
          <w:b/>
          <w:sz w:val="24"/>
          <w:szCs w:val="24"/>
        </w:rPr>
      </w:pPr>
      <w:r w:rsidRPr="0003711D">
        <w:rPr>
          <w:rFonts w:ascii="Times New Roman" w:hAnsi="Times New Roman" w:cs="Times New Roman"/>
          <w:sz w:val="24"/>
          <w:szCs w:val="24"/>
        </w:rPr>
        <w:t xml:space="preserve">Youth participation in public affairs is rendered very accessible throughout the State of Mauritius and is effected in a very non-discriminatory approach. All categories of youth including those with disabilities can exercise this right as no discrimination based on age, gender, race or ethnicity is made. </w:t>
      </w:r>
    </w:p>
    <w:p w14:paraId="6A793909" w14:textId="77777777" w:rsidR="0003711D" w:rsidRPr="0003711D" w:rsidRDefault="0003711D" w:rsidP="0003711D">
      <w:pPr>
        <w:ind w:firstLine="360"/>
        <w:jc w:val="both"/>
        <w:rPr>
          <w:rFonts w:ascii="Times New Roman" w:hAnsi="Times New Roman" w:cs="Times New Roman"/>
          <w:sz w:val="24"/>
          <w:szCs w:val="24"/>
        </w:rPr>
      </w:pPr>
      <w:r w:rsidRPr="0003711D">
        <w:rPr>
          <w:rFonts w:ascii="Times New Roman" w:hAnsi="Times New Roman" w:cs="Times New Roman"/>
          <w:sz w:val="24"/>
          <w:szCs w:val="24"/>
        </w:rPr>
        <w:t xml:space="preserve">Various advocacy groups have been set up to enhance youth participation in public affairs, for instance, the National Youth Council whose objectives are to: </w:t>
      </w:r>
    </w:p>
    <w:p w14:paraId="478E07A7" w14:textId="77777777" w:rsidR="0003711D" w:rsidRPr="0003711D" w:rsidRDefault="0003711D" w:rsidP="002E5B0F">
      <w:pPr>
        <w:numPr>
          <w:ilvl w:val="0"/>
          <w:numId w:val="9"/>
        </w:numPr>
        <w:jc w:val="both"/>
        <w:rPr>
          <w:rFonts w:ascii="Times New Roman" w:hAnsi="Times New Roman" w:cs="Times New Roman"/>
          <w:sz w:val="24"/>
          <w:szCs w:val="24"/>
        </w:rPr>
      </w:pPr>
      <w:r w:rsidRPr="0003711D">
        <w:rPr>
          <w:rFonts w:ascii="Times New Roman" w:hAnsi="Times New Roman" w:cs="Times New Roman"/>
          <w:sz w:val="24"/>
          <w:szCs w:val="24"/>
        </w:rPr>
        <w:t xml:space="preserve">establish and maintain effective communication between government and youth organisations; </w:t>
      </w:r>
    </w:p>
    <w:p w14:paraId="2EC87566" w14:textId="77777777" w:rsidR="0003711D" w:rsidRPr="0003711D" w:rsidRDefault="0003711D" w:rsidP="002E5B0F">
      <w:pPr>
        <w:numPr>
          <w:ilvl w:val="0"/>
          <w:numId w:val="9"/>
        </w:numPr>
        <w:jc w:val="both"/>
        <w:rPr>
          <w:rFonts w:ascii="Times New Roman" w:hAnsi="Times New Roman" w:cs="Times New Roman"/>
          <w:sz w:val="24"/>
          <w:szCs w:val="24"/>
        </w:rPr>
      </w:pPr>
      <w:r w:rsidRPr="0003711D">
        <w:rPr>
          <w:rFonts w:ascii="Times New Roman" w:hAnsi="Times New Roman" w:cs="Times New Roman"/>
          <w:sz w:val="24"/>
          <w:szCs w:val="24"/>
        </w:rPr>
        <w:t>assist in the implementation and evaluation of government policies relating to youth needs; and</w:t>
      </w:r>
    </w:p>
    <w:p w14:paraId="5B4C9AD3" w14:textId="77777777" w:rsidR="0003711D" w:rsidRPr="0003711D" w:rsidRDefault="0003711D" w:rsidP="002E5B0F">
      <w:pPr>
        <w:numPr>
          <w:ilvl w:val="0"/>
          <w:numId w:val="9"/>
        </w:numPr>
        <w:jc w:val="both"/>
        <w:rPr>
          <w:rFonts w:ascii="Times New Roman" w:hAnsi="Times New Roman" w:cs="Times New Roman"/>
          <w:sz w:val="24"/>
          <w:szCs w:val="24"/>
        </w:rPr>
      </w:pPr>
      <w:r w:rsidRPr="0003711D">
        <w:rPr>
          <w:rFonts w:ascii="Times New Roman" w:hAnsi="Times New Roman" w:cs="Times New Roman"/>
          <w:sz w:val="24"/>
          <w:szCs w:val="24"/>
        </w:rPr>
        <w:t xml:space="preserve">initiate youth development projects/activities with the aim of encouraging the active participation of the youth. </w:t>
      </w:r>
    </w:p>
    <w:p w14:paraId="24DC8983" w14:textId="77777777" w:rsidR="0003711D" w:rsidRPr="0003711D" w:rsidRDefault="0003711D" w:rsidP="0003711D">
      <w:pPr>
        <w:ind w:firstLine="360"/>
        <w:jc w:val="both"/>
        <w:rPr>
          <w:rFonts w:ascii="Times New Roman" w:hAnsi="Times New Roman" w:cs="Times New Roman"/>
          <w:sz w:val="24"/>
          <w:szCs w:val="24"/>
        </w:rPr>
      </w:pPr>
      <w:r w:rsidRPr="0003711D">
        <w:rPr>
          <w:rFonts w:ascii="Times New Roman" w:hAnsi="Times New Roman" w:cs="Times New Roman"/>
          <w:sz w:val="24"/>
          <w:szCs w:val="24"/>
        </w:rPr>
        <w:t>Moreover, several platforms namely the National Youth Environment Council, the Volunteer Mauritius, Youth NGO networks, etc. have been created for the youth to voice out their concerns. There are also institutions such as the National Empowerment Foundation which are working towards promoting youth participation in public affairs. Public affairs are rendered more accessible to them through online youth-friendly services such as communications through the website and social media of the Ministry of Youth Empowerment, Sports and Recreation (MYESR) and activities/trainings organized online.</w:t>
      </w:r>
    </w:p>
    <w:p w14:paraId="3B943FE8" w14:textId="77777777" w:rsidR="0003711D" w:rsidRPr="0003711D" w:rsidRDefault="0003711D" w:rsidP="0003711D">
      <w:pPr>
        <w:ind w:firstLine="360"/>
        <w:jc w:val="both"/>
        <w:rPr>
          <w:rFonts w:ascii="Times New Roman" w:hAnsi="Times New Roman" w:cs="Times New Roman"/>
          <w:sz w:val="24"/>
          <w:szCs w:val="24"/>
        </w:rPr>
      </w:pPr>
      <w:r w:rsidRPr="0003711D">
        <w:rPr>
          <w:rFonts w:ascii="Times New Roman" w:hAnsi="Times New Roman" w:cs="Times New Roman"/>
          <w:sz w:val="24"/>
          <w:szCs w:val="24"/>
        </w:rPr>
        <w:t>However, one of the challenges faced by the State of Mauritius is that youths from some of the outer islands of the Republic of Mauritius, namely in Agalega and St Brandon, have difficulties in participating fully in public affairs due to lack of necessary technological facilities and infrastructures.</w:t>
      </w:r>
    </w:p>
    <w:p w14:paraId="41646E8A" w14:textId="77777777" w:rsidR="0003711D" w:rsidRDefault="0003711D" w:rsidP="008001E7">
      <w:pPr>
        <w:ind w:firstLine="360"/>
        <w:jc w:val="both"/>
        <w:rPr>
          <w:rFonts w:ascii="Times New Roman" w:hAnsi="Times New Roman" w:cs="Times New Roman"/>
          <w:sz w:val="24"/>
          <w:szCs w:val="24"/>
        </w:rPr>
      </w:pPr>
    </w:p>
    <w:p w14:paraId="44F17402" w14:textId="77777777" w:rsidR="006C5503" w:rsidRPr="00EF2943" w:rsidRDefault="002B7DA2" w:rsidP="009800C6">
      <w:pPr>
        <w:pStyle w:val="ListParagraph"/>
        <w:numPr>
          <w:ilvl w:val="0"/>
          <w:numId w:val="21"/>
        </w:numPr>
        <w:jc w:val="both"/>
        <w:rPr>
          <w:rFonts w:ascii="Times New Roman" w:hAnsi="Times New Roman" w:cs="Times New Roman"/>
          <w:bCs/>
          <w:sz w:val="24"/>
          <w:szCs w:val="24"/>
          <w:u w:val="single"/>
        </w:rPr>
      </w:pPr>
      <w:r>
        <w:rPr>
          <w:rFonts w:ascii="Times New Roman" w:hAnsi="Times New Roman" w:cs="Times New Roman"/>
          <w:bCs/>
          <w:sz w:val="24"/>
          <w:szCs w:val="24"/>
          <w:u w:val="single"/>
        </w:rPr>
        <w:t>Alleviating</w:t>
      </w:r>
      <w:r w:rsidR="00EF2943">
        <w:rPr>
          <w:rFonts w:ascii="Times New Roman" w:hAnsi="Times New Roman" w:cs="Times New Roman"/>
          <w:bCs/>
          <w:sz w:val="24"/>
          <w:szCs w:val="24"/>
          <w:u w:val="single"/>
        </w:rPr>
        <w:t xml:space="preserve"> </w:t>
      </w:r>
      <w:r w:rsidR="00D0437F" w:rsidRPr="00EF2943">
        <w:rPr>
          <w:rFonts w:ascii="Times New Roman" w:hAnsi="Times New Roman" w:cs="Times New Roman"/>
          <w:bCs/>
          <w:sz w:val="24"/>
          <w:szCs w:val="24"/>
          <w:u w:val="single"/>
        </w:rPr>
        <w:t xml:space="preserve">Poverty </w:t>
      </w:r>
    </w:p>
    <w:p w14:paraId="7DFC3C53" w14:textId="77777777" w:rsidR="006E0002" w:rsidRPr="006E0002" w:rsidRDefault="006E0002" w:rsidP="008001E7">
      <w:pPr>
        <w:ind w:firstLine="720"/>
        <w:jc w:val="both"/>
        <w:rPr>
          <w:rFonts w:ascii="Times New Roman" w:hAnsi="Times New Roman" w:cs="Times New Roman"/>
          <w:sz w:val="24"/>
          <w:szCs w:val="24"/>
          <w:lang w:val="en-GB"/>
        </w:rPr>
      </w:pPr>
      <w:r w:rsidRPr="006E0002">
        <w:rPr>
          <w:rFonts w:ascii="Times New Roman" w:hAnsi="Times New Roman" w:cs="Times New Roman"/>
          <w:sz w:val="24"/>
          <w:szCs w:val="24"/>
          <w:lang w:val="en-GB"/>
        </w:rPr>
        <w:t>In view of eradicating extreme and chronic poverty and creating an equitable and inclusive society, a full-fledged Ministry of Social Integration and Economic Empowerment (MSIEE) was created in 2010. The mission of the Ministry is to empower and support the vulnerable groups registered and eligible under the Social Register of Mauritius (SRM). The aim is to mainstream the vulnerable groups in society and to enhance their quality of life by providing an effective and efficient service delivery based on the principles of equity, fairness and impartiality. The MSIEE operates since November 2019 as a Division under the aegis of the Ministry of Social Integration, Social Security and National Solidarity</w:t>
      </w:r>
      <w:r w:rsidR="00CB2606">
        <w:rPr>
          <w:rFonts w:ascii="Times New Roman" w:hAnsi="Times New Roman" w:cs="Times New Roman"/>
          <w:sz w:val="24"/>
          <w:szCs w:val="24"/>
          <w:lang w:val="en-GB"/>
        </w:rPr>
        <w:t xml:space="preserve"> (MSISSNS)</w:t>
      </w:r>
      <w:r w:rsidRPr="006E0002">
        <w:rPr>
          <w:rFonts w:ascii="Times New Roman" w:hAnsi="Times New Roman" w:cs="Times New Roman"/>
          <w:sz w:val="24"/>
          <w:szCs w:val="24"/>
          <w:lang w:val="en-GB"/>
        </w:rPr>
        <w:t>.</w:t>
      </w:r>
    </w:p>
    <w:p w14:paraId="50A346EB" w14:textId="77777777" w:rsidR="006E0002" w:rsidRPr="006E0002" w:rsidRDefault="006E0002" w:rsidP="00495520">
      <w:pPr>
        <w:ind w:firstLine="720"/>
        <w:jc w:val="both"/>
        <w:rPr>
          <w:rFonts w:ascii="Times New Roman" w:hAnsi="Times New Roman" w:cs="Times New Roman"/>
          <w:sz w:val="24"/>
          <w:szCs w:val="24"/>
          <w:lang w:val="en-GB"/>
        </w:rPr>
      </w:pPr>
      <w:r w:rsidRPr="006E0002">
        <w:rPr>
          <w:rFonts w:ascii="Times New Roman" w:hAnsi="Times New Roman" w:cs="Times New Roman"/>
          <w:sz w:val="24"/>
          <w:szCs w:val="24"/>
          <w:lang w:val="en-GB"/>
        </w:rPr>
        <w:t xml:space="preserve">In 2016, the Social Integration and Empowerment Act was enacted, making provision for the implementation of Empowerment Schemes to empower vulnerable families eligible under the </w:t>
      </w:r>
      <w:r w:rsidR="00E751CE">
        <w:rPr>
          <w:rFonts w:ascii="Times New Roman" w:hAnsi="Times New Roman" w:cs="Times New Roman"/>
          <w:sz w:val="24"/>
          <w:szCs w:val="24"/>
          <w:lang w:val="en-GB"/>
        </w:rPr>
        <w:t>SRM</w:t>
      </w:r>
      <w:r w:rsidRPr="006E0002">
        <w:rPr>
          <w:rFonts w:ascii="Times New Roman" w:hAnsi="Times New Roman" w:cs="Times New Roman"/>
          <w:sz w:val="24"/>
          <w:szCs w:val="24"/>
          <w:lang w:val="en-GB"/>
        </w:rPr>
        <w:t>. The Act makes provision for the establishment of Empowerment Programmes and Schemes to combat absolute poverty, provide support and other services to persons living in absolute poverty and to support persons living in absolute poverty in integrating the mainstream society.</w:t>
      </w:r>
    </w:p>
    <w:p w14:paraId="22E48E7F" w14:textId="77777777" w:rsidR="00E72F30" w:rsidRDefault="00E72F30" w:rsidP="00495520">
      <w:pPr>
        <w:ind w:firstLine="720"/>
        <w:jc w:val="both"/>
        <w:rPr>
          <w:rFonts w:ascii="Times New Roman" w:hAnsi="Times New Roman" w:cs="Times New Roman"/>
          <w:sz w:val="24"/>
          <w:szCs w:val="24"/>
          <w:lang w:val="en-GB"/>
        </w:rPr>
      </w:pPr>
      <w:r w:rsidRPr="00E72F30">
        <w:rPr>
          <w:rFonts w:ascii="Times New Roman" w:hAnsi="Times New Roman" w:cs="Times New Roman"/>
          <w:sz w:val="24"/>
          <w:szCs w:val="24"/>
          <w:lang w:val="en-GB"/>
        </w:rPr>
        <w:t xml:space="preserve">It is in further consolidation of the social institutional framework to drive a national agenda for inclusive human and social development as a means to tackling the deep rooted causes of poverty and vulnerability that the National </w:t>
      </w:r>
      <w:r w:rsidR="00E751CE">
        <w:rPr>
          <w:rFonts w:ascii="Times New Roman" w:hAnsi="Times New Roman" w:cs="Times New Roman"/>
          <w:sz w:val="24"/>
          <w:szCs w:val="24"/>
          <w:lang w:val="en-GB"/>
        </w:rPr>
        <w:t>Corporate Social Responsibility (</w:t>
      </w:r>
      <w:r w:rsidRPr="00E72F30">
        <w:rPr>
          <w:rFonts w:ascii="Times New Roman" w:hAnsi="Times New Roman" w:cs="Times New Roman"/>
          <w:sz w:val="24"/>
          <w:szCs w:val="24"/>
          <w:lang w:val="en-GB"/>
        </w:rPr>
        <w:t>CSR</w:t>
      </w:r>
      <w:r w:rsidR="00E751CE">
        <w:rPr>
          <w:rFonts w:ascii="Times New Roman" w:hAnsi="Times New Roman" w:cs="Times New Roman"/>
          <w:sz w:val="24"/>
          <w:szCs w:val="24"/>
          <w:lang w:val="en-GB"/>
        </w:rPr>
        <w:t>)</w:t>
      </w:r>
      <w:r w:rsidRPr="00E72F30">
        <w:rPr>
          <w:rFonts w:ascii="Times New Roman" w:hAnsi="Times New Roman" w:cs="Times New Roman"/>
          <w:sz w:val="24"/>
          <w:szCs w:val="24"/>
          <w:lang w:val="en-GB"/>
        </w:rPr>
        <w:t xml:space="preserve"> Foundation has been transformed into a National Social Inclusion Foundation (NSIF). This is expected to give a new orientation to the Foundation in terms of National Programmes aligned to Government strategies and actions and ensure better social actions.</w:t>
      </w:r>
      <w:r>
        <w:rPr>
          <w:rFonts w:ascii="Times New Roman" w:hAnsi="Times New Roman" w:cs="Times New Roman"/>
          <w:bCs/>
          <w:sz w:val="24"/>
          <w:szCs w:val="24"/>
          <w:lang w:val="en-GB"/>
        </w:rPr>
        <w:t xml:space="preserve"> </w:t>
      </w:r>
      <w:r w:rsidRPr="00E72F30">
        <w:rPr>
          <w:rFonts w:ascii="Times New Roman" w:hAnsi="Times New Roman" w:cs="Times New Roman"/>
          <w:sz w:val="24"/>
          <w:szCs w:val="24"/>
          <w:lang w:val="en-GB"/>
        </w:rPr>
        <w:t xml:space="preserve">The </w:t>
      </w:r>
      <w:r w:rsidR="009B53C0">
        <w:rPr>
          <w:rFonts w:ascii="Times New Roman" w:hAnsi="Times New Roman" w:cs="Times New Roman"/>
          <w:sz w:val="24"/>
          <w:szCs w:val="24"/>
          <w:lang w:val="en-GB"/>
        </w:rPr>
        <w:t xml:space="preserve">NSIF </w:t>
      </w:r>
      <w:r w:rsidRPr="00E72F30">
        <w:rPr>
          <w:rFonts w:ascii="Times New Roman" w:hAnsi="Times New Roman" w:cs="Times New Roman"/>
          <w:sz w:val="24"/>
          <w:szCs w:val="24"/>
          <w:lang w:val="en-GB"/>
        </w:rPr>
        <w:t xml:space="preserve">is called upon to play a key role in the promotion of social inclusion, equity and sustainable development, specifically, by leveraging strategic and sustainable partnerships with NGOs, public institutions and the private sector.  </w:t>
      </w:r>
    </w:p>
    <w:p w14:paraId="353B71E8" w14:textId="77777777" w:rsidR="00BD701E" w:rsidRPr="00402554" w:rsidRDefault="00BD701E" w:rsidP="00BD701E">
      <w:pPr>
        <w:ind w:firstLine="720"/>
        <w:jc w:val="both"/>
        <w:rPr>
          <w:rFonts w:ascii="Times New Roman" w:hAnsi="Times New Roman" w:cs="Times New Roman"/>
          <w:bCs/>
          <w:sz w:val="24"/>
          <w:szCs w:val="24"/>
          <w:lang w:val="en-GB"/>
        </w:rPr>
      </w:pPr>
      <w:r w:rsidRPr="00402554">
        <w:rPr>
          <w:rFonts w:ascii="Times New Roman" w:hAnsi="Times New Roman" w:cs="Times New Roman"/>
          <w:sz w:val="24"/>
          <w:szCs w:val="24"/>
          <w:lang w:val="en-GB"/>
        </w:rPr>
        <w:t xml:space="preserve">As a result, based on the principles of equity and social justice, the </w:t>
      </w:r>
      <w:r w:rsidR="00CB2606" w:rsidRPr="00CB2606">
        <w:rPr>
          <w:rFonts w:ascii="Times New Roman" w:hAnsi="Times New Roman" w:cs="Times New Roman"/>
          <w:sz w:val="24"/>
          <w:szCs w:val="24"/>
          <w:lang w:val="en-GB"/>
        </w:rPr>
        <w:t xml:space="preserve">MSISSNS </w:t>
      </w:r>
      <w:r w:rsidRPr="00402554">
        <w:rPr>
          <w:rFonts w:ascii="Times New Roman" w:hAnsi="Times New Roman" w:cs="Times New Roman"/>
          <w:sz w:val="24"/>
          <w:szCs w:val="24"/>
          <w:lang w:val="en-GB"/>
        </w:rPr>
        <w:t xml:space="preserve">has remained fully committed to channelling resources into processes that create a society that values women, men, girls and boys equally, and to finally ensure that everyone has equal opportunity and equality. Therefore, integrating gender perspective in policies and strategies and accelerating the transition of women from informal to formal employment through training and empowerment, and girls from schools to employment, have always been a driving force of the Marshall Plan to tackle the root cause of poverty. </w:t>
      </w:r>
    </w:p>
    <w:p w14:paraId="448DADF8" w14:textId="77777777" w:rsidR="00BD701E" w:rsidRPr="001E26CB" w:rsidRDefault="00BD701E" w:rsidP="00BD701E">
      <w:pPr>
        <w:ind w:firstLine="720"/>
        <w:jc w:val="both"/>
        <w:rPr>
          <w:rFonts w:ascii="Times New Roman" w:hAnsi="Times New Roman" w:cs="Times New Roman"/>
          <w:sz w:val="24"/>
          <w:szCs w:val="24"/>
        </w:rPr>
      </w:pPr>
      <w:r w:rsidRPr="001E26CB">
        <w:rPr>
          <w:rFonts w:ascii="Times New Roman" w:hAnsi="Times New Roman" w:cs="Times New Roman"/>
          <w:sz w:val="24"/>
          <w:szCs w:val="24"/>
          <w:lang w:val="en-GB"/>
        </w:rPr>
        <w:t>Within the context of the Marshall Plan against Poverty, decent dwelling is a prerequisite condition for a household to win the battle against poverty and to restore his/her dignity. Homelessness, overcrowding and insecure housing can be an insurmountable obstacle for families who are making efforts to escape poverty. They need at the very outset to be given with the necessary facilities to live in conducive housing conditions.</w:t>
      </w:r>
    </w:p>
    <w:p w14:paraId="0A57D106" w14:textId="77777777" w:rsidR="00BD701E" w:rsidRPr="001E26CB" w:rsidRDefault="00BD701E" w:rsidP="00F50991">
      <w:pPr>
        <w:jc w:val="both"/>
        <w:rPr>
          <w:rFonts w:ascii="Times New Roman" w:hAnsi="Times New Roman" w:cs="Times New Roman"/>
          <w:sz w:val="24"/>
          <w:szCs w:val="24"/>
        </w:rPr>
      </w:pPr>
      <w:r w:rsidRPr="001E26CB">
        <w:rPr>
          <w:rFonts w:ascii="Times New Roman" w:hAnsi="Times New Roman" w:cs="Times New Roman"/>
          <w:sz w:val="24"/>
          <w:szCs w:val="24"/>
          <w:lang w:val="en-GB"/>
        </w:rPr>
        <w:t> </w:t>
      </w:r>
      <w:r w:rsidR="00F50991">
        <w:rPr>
          <w:rFonts w:ascii="Times New Roman" w:hAnsi="Times New Roman" w:cs="Times New Roman"/>
          <w:sz w:val="24"/>
          <w:szCs w:val="24"/>
          <w:lang w:val="en-GB"/>
        </w:rPr>
        <w:tab/>
      </w:r>
      <w:r w:rsidRPr="001E26CB">
        <w:rPr>
          <w:rFonts w:ascii="Times New Roman" w:hAnsi="Times New Roman" w:cs="Times New Roman"/>
          <w:sz w:val="24"/>
          <w:szCs w:val="24"/>
          <w:lang w:val="en-GB"/>
        </w:rPr>
        <w:t>To that respect, eligible SRM households, who have signed a Marshall Plan Social Contract, are eligible to have access to affordable social housing units in a sustainable living environment provided through the following schemes:</w:t>
      </w:r>
    </w:p>
    <w:p w14:paraId="65FA830F" w14:textId="77777777" w:rsidR="00BD701E" w:rsidRDefault="00BD701E" w:rsidP="002E5B0F">
      <w:pPr>
        <w:pStyle w:val="ListParagraph"/>
        <w:numPr>
          <w:ilvl w:val="0"/>
          <w:numId w:val="7"/>
        </w:numPr>
        <w:ind w:left="1080"/>
        <w:jc w:val="both"/>
        <w:rPr>
          <w:rFonts w:ascii="Times New Roman" w:hAnsi="Times New Roman" w:cs="Times New Roman"/>
          <w:sz w:val="24"/>
          <w:szCs w:val="24"/>
        </w:rPr>
      </w:pPr>
      <w:r w:rsidRPr="00FB415E">
        <w:rPr>
          <w:rFonts w:ascii="Times New Roman" w:hAnsi="Times New Roman" w:cs="Times New Roman"/>
          <w:sz w:val="24"/>
          <w:szCs w:val="24"/>
        </w:rPr>
        <w:t>The construction of fully Concrete Housing units of at least 50 m2 to families, who have been found to be living in absolute poverty and are owners of a plot of land but do not have the means to build a housing unit;</w:t>
      </w:r>
    </w:p>
    <w:p w14:paraId="5682B2E9" w14:textId="77777777" w:rsidR="00A17D7C" w:rsidRPr="00FB415E" w:rsidRDefault="00A17D7C" w:rsidP="00401990">
      <w:pPr>
        <w:pStyle w:val="ListParagraph"/>
        <w:ind w:left="1080"/>
        <w:jc w:val="both"/>
        <w:rPr>
          <w:rFonts w:ascii="Times New Roman" w:hAnsi="Times New Roman" w:cs="Times New Roman"/>
          <w:sz w:val="24"/>
          <w:szCs w:val="24"/>
        </w:rPr>
      </w:pPr>
    </w:p>
    <w:p w14:paraId="6F167407" w14:textId="77777777" w:rsidR="00BD701E" w:rsidRDefault="00BD701E" w:rsidP="002E5B0F">
      <w:pPr>
        <w:pStyle w:val="ListParagraph"/>
        <w:numPr>
          <w:ilvl w:val="0"/>
          <w:numId w:val="7"/>
        </w:numPr>
        <w:spacing w:before="240"/>
        <w:ind w:left="1080"/>
        <w:jc w:val="both"/>
        <w:rPr>
          <w:rFonts w:ascii="Times New Roman" w:hAnsi="Times New Roman" w:cs="Times New Roman"/>
          <w:sz w:val="24"/>
          <w:szCs w:val="24"/>
        </w:rPr>
      </w:pPr>
      <w:r w:rsidRPr="00FB415E">
        <w:rPr>
          <w:rFonts w:ascii="Times New Roman" w:hAnsi="Times New Roman" w:cs="Times New Roman"/>
          <w:sz w:val="24"/>
          <w:szCs w:val="24"/>
        </w:rPr>
        <w:t>The provision of 10% of all new housing units constructed by the National Housing Development Corporation earmarked for landless beneficiaries of the SRM to facilitate their integration in the mainstream society; and</w:t>
      </w:r>
    </w:p>
    <w:p w14:paraId="4B6E1326" w14:textId="77777777" w:rsidR="00A17D7C" w:rsidRPr="00FB415E" w:rsidRDefault="00A17D7C" w:rsidP="00401990">
      <w:pPr>
        <w:pStyle w:val="ListParagraph"/>
        <w:spacing w:before="240"/>
        <w:ind w:left="1080"/>
        <w:jc w:val="both"/>
        <w:rPr>
          <w:rFonts w:ascii="Times New Roman" w:hAnsi="Times New Roman" w:cs="Times New Roman"/>
          <w:sz w:val="24"/>
          <w:szCs w:val="24"/>
        </w:rPr>
      </w:pPr>
    </w:p>
    <w:p w14:paraId="58E17424" w14:textId="77777777" w:rsidR="00BD701E" w:rsidRPr="00FB415E" w:rsidRDefault="00BD701E" w:rsidP="002E5B0F">
      <w:pPr>
        <w:pStyle w:val="ListParagraph"/>
        <w:numPr>
          <w:ilvl w:val="0"/>
          <w:numId w:val="7"/>
        </w:numPr>
        <w:ind w:left="1080"/>
        <w:jc w:val="both"/>
        <w:rPr>
          <w:rFonts w:ascii="Times New Roman" w:hAnsi="Times New Roman" w:cs="Times New Roman"/>
          <w:sz w:val="24"/>
          <w:szCs w:val="24"/>
        </w:rPr>
      </w:pPr>
      <w:r w:rsidRPr="00FB415E">
        <w:rPr>
          <w:rFonts w:ascii="Times New Roman" w:hAnsi="Times New Roman" w:cs="Times New Roman"/>
          <w:sz w:val="24"/>
          <w:szCs w:val="24"/>
        </w:rPr>
        <w:t>An Upgrading Housing Scheme to cater for minor renovation works, provision of toilet and bathroom amenities, and replacement of roof, partitioning, extension and repairs to Corrugated Iron Sheet housing units, and plastering and flooring. </w:t>
      </w:r>
    </w:p>
    <w:p w14:paraId="5C317306" w14:textId="77777777" w:rsidR="00BD701E" w:rsidRPr="001E26CB" w:rsidRDefault="00BD701E" w:rsidP="00BD701E">
      <w:pPr>
        <w:jc w:val="both"/>
        <w:rPr>
          <w:rFonts w:ascii="Times New Roman" w:hAnsi="Times New Roman" w:cs="Times New Roman"/>
          <w:sz w:val="24"/>
          <w:szCs w:val="24"/>
        </w:rPr>
      </w:pPr>
      <w:r w:rsidRPr="001E26CB">
        <w:rPr>
          <w:rFonts w:ascii="Times New Roman" w:hAnsi="Times New Roman" w:cs="Times New Roman"/>
          <w:sz w:val="24"/>
          <w:szCs w:val="24"/>
          <w:lang w:val="en-GB"/>
        </w:rPr>
        <w:t> </w:t>
      </w:r>
      <w:r w:rsidR="00862F75">
        <w:rPr>
          <w:rFonts w:ascii="Times New Roman" w:hAnsi="Times New Roman" w:cs="Times New Roman"/>
          <w:sz w:val="24"/>
          <w:szCs w:val="24"/>
          <w:lang w:val="en-GB"/>
        </w:rPr>
        <w:tab/>
      </w:r>
      <w:r w:rsidRPr="001E26CB">
        <w:rPr>
          <w:rFonts w:ascii="Times New Roman" w:hAnsi="Times New Roman" w:cs="Times New Roman"/>
          <w:sz w:val="24"/>
          <w:szCs w:val="24"/>
          <w:lang w:val="en-GB"/>
        </w:rPr>
        <w:t>These schemes allow beneficiaries to benefit from a subsidized cost of 80% from Government and to repay only 20% of the total cost of a housing unit over a repayment period of 15 to 35 years.</w:t>
      </w:r>
    </w:p>
    <w:p w14:paraId="7016A73C" w14:textId="77777777" w:rsidR="00BD701E" w:rsidRPr="001E26CB" w:rsidRDefault="00BD701E" w:rsidP="00BD701E">
      <w:pPr>
        <w:jc w:val="both"/>
        <w:rPr>
          <w:rFonts w:ascii="Times New Roman" w:hAnsi="Times New Roman" w:cs="Times New Roman"/>
          <w:sz w:val="24"/>
          <w:szCs w:val="24"/>
        </w:rPr>
      </w:pPr>
      <w:r w:rsidRPr="001E26CB">
        <w:rPr>
          <w:rFonts w:ascii="Times New Roman" w:hAnsi="Times New Roman" w:cs="Times New Roman"/>
          <w:sz w:val="24"/>
          <w:szCs w:val="24"/>
          <w:lang w:val="en-GB"/>
        </w:rPr>
        <w:t> </w:t>
      </w:r>
      <w:r w:rsidR="00862F75">
        <w:rPr>
          <w:rFonts w:ascii="Times New Roman" w:hAnsi="Times New Roman" w:cs="Times New Roman"/>
          <w:sz w:val="24"/>
          <w:szCs w:val="24"/>
          <w:lang w:val="en-GB"/>
        </w:rPr>
        <w:tab/>
      </w:r>
      <w:r w:rsidRPr="001E26CB">
        <w:rPr>
          <w:rFonts w:ascii="Times New Roman" w:hAnsi="Times New Roman" w:cs="Times New Roman"/>
          <w:sz w:val="24"/>
          <w:szCs w:val="24"/>
          <w:lang w:val="en-GB"/>
        </w:rPr>
        <w:t>The purpose is not only to provide a decent dwelling but also to provide access to clean water and sanitation, affordable electricity, a decent and safe living environment and a healthy neighbourhood concept in line with community development values.</w:t>
      </w:r>
    </w:p>
    <w:p w14:paraId="301AA4E1" w14:textId="77777777" w:rsidR="00C54BC3" w:rsidRPr="002129D9" w:rsidRDefault="00603180" w:rsidP="009800C6">
      <w:pPr>
        <w:pStyle w:val="ListParagraph"/>
        <w:numPr>
          <w:ilvl w:val="0"/>
          <w:numId w:val="21"/>
        </w:numPr>
        <w:jc w:val="both"/>
        <w:rPr>
          <w:rFonts w:ascii="Times New Roman" w:hAnsi="Times New Roman" w:cs="Times New Roman"/>
          <w:bCs/>
          <w:sz w:val="24"/>
          <w:szCs w:val="24"/>
          <w:u w:val="single"/>
        </w:rPr>
      </w:pPr>
      <w:r>
        <w:rPr>
          <w:rFonts w:ascii="Times New Roman" w:hAnsi="Times New Roman" w:cs="Times New Roman"/>
          <w:bCs/>
          <w:sz w:val="24"/>
          <w:szCs w:val="24"/>
          <w:u w:val="single"/>
        </w:rPr>
        <w:t xml:space="preserve">Security </w:t>
      </w:r>
      <w:r w:rsidR="0081790B">
        <w:rPr>
          <w:rFonts w:ascii="Times New Roman" w:hAnsi="Times New Roman" w:cs="Times New Roman"/>
          <w:bCs/>
          <w:sz w:val="24"/>
          <w:szCs w:val="24"/>
          <w:u w:val="single"/>
        </w:rPr>
        <w:t>M</w:t>
      </w:r>
      <w:r>
        <w:rPr>
          <w:rFonts w:ascii="Times New Roman" w:hAnsi="Times New Roman" w:cs="Times New Roman"/>
          <w:bCs/>
          <w:sz w:val="24"/>
          <w:szCs w:val="24"/>
          <w:u w:val="single"/>
        </w:rPr>
        <w:t>easures</w:t>
      </w:r>
    </w:p>
    <w:p w14:paraId="09341DCA" w14:textId="77777777" w:rsidR="00C45AE6" w:rsidRPr="00955E4F" w:rsidRDefault="0060006E" w:rsidP="0060006E">
      <w:pPr>
        <w:tabs>
          <w:tab w:val="left" w:pos="720"/>
        </w:tabs>
        <w:spacing w:after="240" w:line="276" w:lineRule="auto"/>
        <w:jc w:val="both"/>
        <w:rPr>
          <w:rFonts w:ascii="Times New Roman" w:hAnsi="Times New Roman" w:cs="Times New Roman"/>
          <w:sz w:val="24"/>
          <w:szCs w:val="24"/>
        </w:rPr>
      </w:pPr>
      <w:r>
        <w:rPr>
          <w:rFonts w:ascii="Times New Roman" w:hAnsi="Times New Roman" w:cs="Times New Roman"/>
          <w:sz w:val="24"/>
          <w:szCs w:val="24"/>
        </w:rPr>
        <w:tab/>
      </w:r>
      <w:r w:rsidR="00C45AE6" w:rsidRPr="00955E4F">
        <w:rPr>
          <w:rFonts w:ascii="Times New Roman" w:hAnsi="Times New Roman" w:cs="Times New Roman"/>
          <w:sz w:val="24"/>
          <w:szCs w:val="24"/>
        </w:rPr>
        <w:t>The State of Mauritius has established the National Cybersecurity Strategy 2014-2019, the National Cybercrime Strategy 2017 and the Digital Mauritius 2030 Strategy. These are examples of transparency measures, as they clearly explain our goals, vision and planned actions in line with the UN GGE report 2015. Risk reduction mechanisms build confidence in countries’ capacity to collaborate to respond to instances of malicious cyber activity without escalation to conflict.</w:t>
      </w:r>
    </w:p>
    <w:p w14:paraId="2F677DE4" w14:textId="77777777" w:rsidR="00C45AE6" w:rsidRPr="00955E4F" w:rsidRDefault="0060006E" w:rsidP="0060006E">
      <w:pPr>
        <w:tabs>
          <w:tab w:val="left" w:pos="720"/>
        </w:tabs>
        <w:spacing w:after="240" w:line="276" w:lineRule="auto"/>
        <w:jc w:val="both"/>
        <w:rPr>
          <w:rFonts w:ascii="Times New Roman" w:hAnsi="Times New Roman" w:cs="Times New Roman"/>
          <w:sz w:val="24"/>
          <w:szCs w:val="24"/>
        </w:rPr>
      </w:pPr>
      <w:r>
        <w:rPr>
          <w:rFonts w:ascii="Times New Roman" w:hAnsi="Times New Roman" w:cs="Times New Roman"/>
          <w:sz w:val="24"/>
          <w:szCs w:val="24"/>
        </w:rPr>
        <w:tab/>
      </w:r>
      <w:r w:rsidR="00C45AE6" w:rsidRPr="00955E4F">
        <w:rPr>
          <w:rFonts w:ascii="Times New Roman" w:hAnsi="Times New Roman" w:cs="Times New Roman"/>
          <w:sz w:val="24"/>
          <w:szCs w:val="24"/>
        </w:rPr>
        <w:t>The State of Mauritius, furthermore, recognizes that activities conducted in cyberspace raise new challenges for the application of international law, including issues of sovereignty, attribution and jurisdiction, given its cross-border nature. In this perspective, the State of Mauritius has signed the Commonwealth Heads of Government Cyber Declaration in April 2018.</w:t>
      </w:r>
    </w:p>
    <w:p w14:paraId="30554D73" w14:textId="77777777" w:rsidR="00C029AA" w:rsidRPr="005A5DFD" w:rsidRDefault="00AC0B0D" w:rsidP="0060006E">
      <w:pPr>
        <w:ind w:firstLine="720"/>
        <w:jc w:val="both"/>
        <w:rPr>
          <w:rFonts w:ascii="Times New Roman" w:hAnsi="Times New Roman" w:cs="Times New Roman"/>
          <w:sz w:val="24"/>
          <w:szCs w:val="24"/>
        </w:rPr>
      </w:pPr>
      <w:r>
        <w:rPr>
          <w:rFonts w:ascii="Times New Roman" w:hAnsi="Times New Roman" w:cs="Times New Roman"/>
          <w:sz w:val="24"/>
          <w:szCs w:val="24"/>
        </w:rPr>
        <w:t>Moreover</w:t>
      </w:r>
      <w:r w:rsidR="00C029AA" w:rsidRPr="005A5DFD">
        <w:rPr>
          <w:rFonts w:ascii="Times New Roman" w:hAnsi="Times New Roman" w:cs="Times New Roman"/>
          <w:sz w:val="24"/>
          <w:szCs w:val="24"/>
        </w:rPr>
        <w:t>, the National Computer Board has been implementing the Universal ICT Education Programme (UIEP) since September 2006.  One of the priorities of the UIEP programme being the introduction of the internationally acknowledged Internet and Computing Core Certification (IC3) course with a view of making it the benchmark for digital literacy/proficiency in Mauritius.  The UIEP programme aims at training a maximum number of persons comprising students, employees (including Public Officers), housewives, senior citizens and public at large on the IC3 course in line with Government’s vision to transform Mauritius into a Cyber Island and ICT Hub.</w:t>
      </w:r>
    </w:p>
    <w:p w14:paraId="53890267" w14:textId="77777777" w:rsidR="0011330A" w:rsidRPr="0011330A" w:rsidRDefault="0011330A" w:rsidP="00C306D1">
      <w:pPr>
        <w:ind w:firstLine="720"/>
        <w:jc w:val="both"/>
        <w:rPr>
          <w:rFonts w:ascii="Times New Roman" w:hAnsi="Times New Roman" w:cs="Times New Roman"/>
          <w:b/>
          <w:sz w:val="24"/>
          <w:szCs w:val="24"/>
          <w:lang w:val="en-GB"/>
        </w:rPr>
      </w:pPr>
      <w:r w:rsidRPr="0011330A">
        <w:rPr>
          <w:rFonts w:ascii="Times New Roman" w:hAnsi="Times New Roman" w:cs="Times New Roman"/>
          <w:sz w:val="24"/>
          <w:szCs w:val="24"/>
          <w:lang w:val="en-GB"/>
        </w:rPr>
        <w:t xml:space="preserve">It is important to note that the police duties such as law enforcement actions are not based on criteria such as religion or discrimination of any kind. The Police Force in Mauritius fosters religious freedom and pluralism by promoting the ability of members of all religious communities to manifest their religion and to contribute openly and on an equal footing to society. </w:t>
      </w:r>
    </w:p>
    <w:p w14:paraId="4A2E0A26" w14:textId="77777777" w:rsidR="0011330A" w:rsidRPr="0011330A" w:rsidRDefault="0011330A" w:rsidP="00C306D1">
      <w:pPr>
        <w:ind w:firstLine="720"/>
        <w:jc w:val="both"/>
        <w:rPr>
          <w:rFonts w:ascii="Times New Roman" w:hAnsi="Times New Roman" w:cs="Times New Roman"/>
          <w:sz w:val="24"/>
          <w:szCs w:val="24"/>
        </w:rPr>
      </w:pPr>
      <w:r w:rsidRPr="0011330A">
        <w:rPr>
          <w:rFonts w:ascii="Times New Roman" w:hAnsi="Times New Roman" w:cs="Times New Roman"/>
          <w:sz w:val="24"/>
          <w:szCs w:val="24"/>
        </w:rPr>
        <w:t xml:space="preserve">The Police Force prevents acts of vandalism or theft, regulate traffic and maintain good relationship with the community near temples, mosques, churches, kovils and other places of worship, especially during religious festivals. Policing is also maintained during the annual pilgrimage to the parish church of Saint Croix, or during other religious processions such as Maha Shivratree and Cavadee festivals. </w:t>
      </w:r>
    </w:p>
    <w:p w14:paraId="634840C0" w14:textId="77777777" w:rsidR="0011330A" w:rsidRDefault="0011330A" w:rsidP="00C306D1">
      <w:pPr>
        <w:ind w:firstLine="720"/>
        <w:jc w:val="both"/>
        <w:rPr>
          <w:rFonts w:ascii="Times New Roman" w:hAnsi="Times New Roman" w:cs="Times New Roman"/>
          <w:sz w:val="24"/>
          <w:szCs w:val="24"/>
        </w:rPr>
      </w:pPr>
      <w:r w:rsidRPr="0011330A">
        <w:rPr>
          <w:rFonts w:ascii="Times New Roman" w:hAnsi="Times New Roman" w:cs="Times New Roman"/>
          <w:sz w:val="24"/>
          <w:szCs w:val="24"/>
        </w:rPr>
        <w:t xml:space="preserve">The Crime Records Office collects data in respect to cases involving offences of a religious nature in a systematic way irrespective of age, sex, geographic location, nature of offence. </w:t>
      </w:r>
    </w:p>
    <w:p w14:paraId="65E8E3A2" w14:textId="77777777" w:rsidR="00004559" w:rsidRPr="00004559" w:rsidRDefault="00004559" w:rsidP="00C306D1">
      <w:pPr>
        <w:ind w:firstLine="720"/>
        <w:jc w:val="both"/>
        <w:rPr>
          <w:rFonts w:ascii="Times New Roman" w:hAnsi="Times New Roman" w:cs="Times New Roman"/>
          <w:sz w:val="24"/>
          <w:szCs w:val="24"/>
          <w:lang w:val="en-GB"/>
        </w:rPr>
      </w:pPr>
      <w:r w:rsidRPr="00004559">
        <w:rPr>
          <w:rFonts w:ascii="Times New Roman" w:hAnsi="Times New Roman" w:cs="Times New Roman"/>
          <w:sz w:val="24"/>
          <w:szCs w:val="24"/>
          <w:lang w:val="en-GB"/>
        </w:rPr>
        <w:t>The Independent Police Complaints Commission was set up on 9 April 2018 upon proclamation of the IPCC</w:t>
      </w:r>
      <w:r>
        <w:rPr>
          <w:rFonts w:ascii="Times New Roman" w:hAnsi="Times New Roman" w:cs="Times New Roman"/>
          <w:sz w:val="24"/>
          <w:szCs w:val="24"/>
          <w:lang w:val="en-GB"/>
        </w:rPr>
        <w:t xml:space="preserve"> Act 2016 and is mandated to i</w:t>
      </w:r>
      <w:r w:rsidRPr="00004559">
        <w:rPr>
          <w:rFonts w:ascii="Times New Roman" w:hAnsi="Times New Roman" w:cs="Times New Roman"/>
          <w:sz w:val="24"/>
          <w:szCs w:val="24"/>
          <w:lang w:val="en-GB"/>
        </w:rPr>
        <w:t>nvestigate into any complaint made by any person or on his behalf against any act, conduct or omission of a police officer in the discharge of his functions, other than a complaint of an act of corruption or a money laundering offence</w:t>
      </w:r>
      <w:r>
        <w:rPr>
          <w:rFonts w:ascii="Times New Roman" w:hAnsi="Times New Roman" w:cs="Times New Roman"/>
          <w:sz w:val="24"/>
          <w:szCs w:val="24"/>
          <w:lang w:val="en-GB"/>
        </w:rPr>
        <w:t>.</w:t>
      </w:r>
    </w:p>
    <w:p w14:paraId="3271AE8B" w14:textId="77777777" w:rsidR="008320FF" w:rsidRPr="00B8694F" w:rsidRDefault="008320FF" w:rsidP="008F7C8F">
      <w:pPr>
        <w:pStyle w:val="ListParagraph"/>
        <w:numPr>
          <w:ilvl w:val="0"/>
          <w:numId w:val="21"/>
        </w:numPr>
        <w:jc w:val="both"/>
        <w:rPr>
          <w:rFonts w:ascii="Times New Roman" w:hAnsi="Times New Roman" w:cs="Times New Roman"/>
          <w:bCs/>
          <w:sz w:val="24"/>
          <w:szCs w:val="24"/>
          <w:u w:val="single"/>
        </w:rPr>
      </w:pPr>
      <w:r w:rsidRPr="00B8694F">
        <w:rPr>
          <w:rFonts w:ascii="Times New Roman" w:hAnsi="Times New Roman" w:cs="Times New Roman"/>
          <w:bCs/>
          <w:sz w:val="24"/>
          <w:szCs w:val="24"/>
          <w:u w:val="single"/>
        </w:rPr>
        <w:t xml:space="preserve">Countering </w:t>
      </w:r>
      <w:r w:rsidR="0081790B">
        <w:rPr>
          <w:rFonts w:ascii="Times New Roman" w:hAnsi="Times New Roman" w:cs="Times New Roman"/>
          <w:bCs/>
          <w:sz w:val="24"/>
          <w:szCs w:val="24"/>
          <w:u w:val="single"/>
        </w:rPr>
        <w:t>C</w:t>
      </w:r>
      <w:r w:rsidRPr="00B8694F">
        <w:rPr>
          <w:rFonts w:ascii="Times New Roman" w:hAnsi="Times New Roman" w:cs="Times New Roman"/>
          <w:bCs/>
          <w:sz w:val="24"/>
          <w:szCs w:val="24"/>
          <w:u w:val="single"/>
        </w:rPr>
        <w:t>orruption</w:t>
      </w:r>
    </w:p>
    <w:p w14:paraId="4E41EB87" w14:textId="77777777" w:rsidR="008320FF" w:rsidRPr="008320FF" w:rsidRDefault="008320FF" w:rsidP="00371F94">
      <w:pPr>
        <w:ind w:firstLine="720"/>
        <w:jc w:val="both"/>
        <w:rPr>
          <w:rFonts w:ascii="Times New Roman" w:hAnsi="Times New Roman" w:cs="Times New Roman"/>
          <w:sz w:val="24"/>
          <w:szCs w:val="24"/>
          <w:lang w:val="en-GB"/>
        </w:rPr>
      </w:pPr>
      <w:r w:rsidRPr="008320FF">
        <w:rPr>
          <w:rFonts w:ascii="Times New Roman" w:hAnsi="Times New Roman" w:cs="Times New Roman"/>
          <w:sz w:val="24"/>
          <w:szCs w:val="24"/>
          <w:lang w:val="en-GB"/>
        </w:rPr>
        <w:t xml:space="preserve">The </w:t>
      </w:r>
      <w:r w:rsidR="00B91E04">
        <w:rPr>
          <w:rFonts w:ascii="Times New Roman" w:hAnsi="Times New Roman" w:cs="Times New Roman"/>
          <w:sz w:val="24"/>
          <w:szCs w:val="24"/>
          <w:lang w:val="en-GB"/>
        </w:rPr>
        <w:t xml:space="preserve">State </w:t>
      </w:r>
      <w:r w:rsidRPr="008320FF">
        <w:rPr>
          <w:rFonts w:ascii="Times New Roman" w:hAnsi="Times New Roman" w:cs="Times New Roman"/>
          <w:sz w:val="24"/>
          <w:szCs w:val="24"/>
          <w:lang w:val="en-GB"/>
        </w:rPr>
        <w:t xml:space="preserve">of Mauritius has adopted a comprehensive and strategic approach in the fight against corruption and money laundering since the year 2002. The Prevention of Corruption Act (PoCA) 2002, as amended, and the Financial Intelligence and Anti-Money Laundering Act (FIAMLA) 2002, as amended, are the two main legislations in this respect. These legislations promote, amongst others, the principles of rule of law, proper management of public affairs, transparency, accountability and integrity. </w:t>
      </w:r>
    </w:p>
    <w:p w14:paraId="51F57C7F" w14:textId="77777777" w:rsidR="008320FF" w:rsidRPr="008320FF" w:rsidRDefault="008320FF" w:rsidP="00371F94">
      <w:pPr>
        <w:ind w:firstLine="720"/>
        <w:jc w:val="both"/>
        <w:rPr>
          <w:rFonts w:ascii="Times New Roman" w:hAnsi="Times New Roman" w:cs="Times New Roman"/>
          <w:sz w:val="24"/>
          <w:szCs w:val="24"/>
          <w:lang w:val="en-GB"/>
        </w:rPr>
      </w:pPr>
      <w:r w:rsidRPr="008320FF">
        <w:rPr>
          <w:rFonts w:ascii="Times New Roman" w:hAnsi="Times New Roman" w:cs="Times New Roman"/>
          <w:sz w:val="24"/>
          <w:szCs w:val="24"/>
          <w:lang w:val="en-GB"/>
        </w:rPr>
        <w:t>Mauritius is also party to the United Nations Convention Against Corruption (UNCAC), the SADC Protocol Against Corruption and African Union Convention in Preventing and Combating Corruption.</w:t>
      </w:r>
    </w:p>
    <w:p w14:paraId="51B607E6" w14:textId="77777777" w:rsidR="008320FF" w:rsidRPr="008320FF" w:rsidRDefault="008320FF" w:rsidP="00371F94">
      <w:pPr>
        <w:ind w:firstLine="720"/>
        <w:jc w:val="both"/>
        <w:rPr>
          <w:rFonts w:ascii="Times New Roman" w:hAnsi="Times New Roman" w:cs="Times New Roman"/>
          <w:sz w:val="24"/>
          <w:szCs w:val="24"/>
          <w:lang w:val="en-GB"/>
        </w:rPr>
      </w:pPr>
      <w:r w:rsidRPr="008320FF">
        <w:rPr>
          <w:rFonts w:ascii="Times New Roman" w:hAnsi="Times New Roman" w:cs="Times New Roman"/>
          <w:sz w:val="24"/>
          <w:szCs w:val="24"/>
          <w:lang w:val="en-GB"/>
        </w:rPr>
        <w:t>The Independent Commission Against Corruption (ICAC) Mauritius, set up under the PoCA 2002, has as core functions to lead, implement and administer the prevention, education and enforcement elements of the national strategy to fight corruption. It is also mandated to, amongst others, detect and investigate any matter that may involve the laundering of money as per the FIAMLA 2002. The strategies (preventive and investigative) adopted over the years have evolved over time in view of the changing nature and pattern of these crimes so as to better respond to emerging global challenges.</w:t>
      </w:r>
    </w:p>
    <w:p w14:paraId="4F59F4BF" w14:textId="77777777" w:rsidR="008320FF" w:rsidRPr="008320FF" w:rsidRDefault="008320FF" w:rsidP="00371F94">
      <w:pPr>
        <w:ind w:firstLine="720"/>
        <w:jc w:val="both"/>
        <w:rPr>
          <w:rFonts w:ascii="Times New Roman" w:hAnsi="Times New Roman" w:cs="Times New Roman"/>
          <w:sz w:val="24"/>
          <w:szCs w:val="24"/>
          <w:lang w:val="en-GB"/>
        </w:rPr>
      </w:pPr>
      <w:r w:rsidRPr="008320FF">
        <w:rPr>
          <w:rFonts w:ascii="Times New Roman" w:hAnsi="Times New Roman" w:cs="Times New Roman"/>
          <w:sz w:val="24"/>
          <w:szCs w:val="24"/>
          <w:lang w:val="en-GB"/>
        </w:rPr>
        <w:t>The Declaration of Assets Act 2018 is, in parallel, another component of a multidisciplinary approach to combating financial crime, including corruption and money laundering. Asset declarations of elected members and public officials are a powerful tool to prevent financial crimes and therefore serve to enhance public sector integrity and transparency.</w:t>
      </w:r>
    </w:p>
    <w:p w14:paraId="490F1655" w14:textId="77777777" w:rsidR="00C45AE6" w:rsidRDefault="00C45AE6" w:rsidP="008001E7">
      <w:pPr>
        <w:jc w:val="both"/>
        <w:rPr>
          <w:rFonts w:ascii="Times New Roman" w:hAnsi="Times New Roman" w:cs="Times New Roman"/>
          <w:sz w:val="24"/>
          <w:szCs w:val="24"/>
        </w:rPr>
      </w:pPr>
    </w:p>
    <w:p w14:paraId="62D897A3" w14:textId="77777777" w:rsidR="00D52D8F" w:rsidRPr="006852C0" w:rsidRDefault="00F721E3" w:rsidP="008F7C8F">
      <w:pPr>
        <w:pStyle w:val="ListParagraph"/>
        <w:numPr>
          <w:ilvl w:val="0"/>
          <w:numId w:val="21"/>
        </w:numPr>
        <w:jc w:val="both"/>
        <w:rPr>
          <w:rFonts w:ascii="Times New Roman" w:hAnsi="Times New Roman" w:cs="Times New Roman"/>
          <w:bCs/>
          <w:sz w:val="24"/>
          <w:szCs w:val="24"/>
          <w:u w:val="single"/>
        </w:rPr>
      </w:pPr>
      <w:r w:rsidRPr="006852C0">
        <w:rPr>
          <w:rFonts w:ascii="Times New Roman" w:hAnsi="Times New Roman" w:cs="Times New Roman"/>
          <w:bCs/>
          <w:sz w:val="24"/>
          <w:szCs w:val="24"/>
          <w:u w:val="single"/>
        </w:rPr>
        <w:t xml:space="preserve">Protection of </w:t>
      </w:r>
      <w:r w:rsidR="006852C0">
        <w:rPr>
          <w:rFonts w:ascii="Times New Roman" w:hAnsi="Times New Roman" w:cs="Times New Roman"/>
          <w:bCs/>
          <w:sz w:val="24"/>
          <w:szCs w:val="24"/>
          <w:u w:val="single"/>
        </w:rPr>
        <w:t xml:space="preserve">Elderly Persons and </w:t>
      </w:r>
      <w:r w:rsidRPr="006852C0">
        <w:rPr>
          <w:rFonts w:ascii="Times New Roman" w:hAnsi="Times New Roman" w:cs="Times New Roman"/>
          <w:bCs/>
          <w:sz w:val="24"/>
          <w:szCs w:val="24"/>
          <w:u w:val="single"/>
        </w:rPr>
        <w:t>Persons with Disabilities</w:t>
      </w:r>
    </w:p>
    <w:p w14:paraId="2A3E4379" w14:textId="77777777" w:rsidR="00B97DE0" w:rsidRPr="00B97DE0" w:rsidRDefault="00B97DE0" w:rsidP="00F721E3">
      <w:pPr>
        <w:ind w:firstLine="720"/>
        <w:jc w:val="both"/>
        <w:rPr>
          <w:rFonts w:ascii="Times New Roman" w:hAnsi="Times New Roman" w:cs="Times New Roman"/>
          <w:sz w:val="24"/>
          <w:szCs w:val="24"/>
          <w:lang w:val="en-GB"/>
        </w:rPr>
      </w:pPr>
      <w:r w:rsidRPr="00B97DE0">
        <w:rPr>
          <w:rFonts w:ascii="Times New Roman" w:hAnsi="Times New Roman" w:cs="Times New Roman"/>
          <w:sz w:val="24"/>
          <w:szCs w:val="24"/>
          <w:lang w:val="en-GB"/>
        </w:rPr>
        <w:t>The State of Mauritius is fully committed to, and is continuously progressing towards, an inclusive society where the rights of persons with disabilities are respected and protected. It also undertakes to review its legislations gradually so that they reflect the human rights model of disability.</w:t>
      </w:r>
    </w:p>
    <w:p w14:paraId="31AF4B14" w14:textId="77777777" w:rsidR="00B97DE0" w:rsidRPr="00B97DE0" w:rsidRDefault="0081790B" w:rsidP="00F721E3">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B97DE0" w:rsidRPr="00B97DE0">
        <w:rPr>
          <w:rFonts w:ascii="Times New Roman" w:hAnsi="Times New Roman" w:cs="Times New Roman"/>
          <w:sz w:val="24"/>
          <w:szCs w:val="24"/>
          <w:lang w:val="en-GB"/>
        </w:rPr>
        <w:t xml:space="preserve">Government has taken a series of measures to implement the recommendations contained in the Convention on the Rights of Persons with Disabilities (CRPD) Committee’s previous concluding observations. New legislations that have been recently proclaimed reflect the human rights model of disability and are in line with the CRPD. One such example is the Special Education Needs Authority Act (2018), which defines disability as “a long-term physical, intellectual or sensory impairment of a person which substantially hinders the person’s ability to carry out normal day to day activities”.  </w:t>
      </w:r>
    </w:p>
    <w:p w14:paraId="2CE01B1A" w14:textId="77777777" w:rsidR="00B97DE0" w:rsidRPr="00B97DE0" w:rsidRDefault="001C09FE" w:rsidP="00F721E3">
      <w:pPr>
        <w:ind w:firstLine="720"/>
        <w:jc w:val="both"/>
        <w:rPr>
          <w:rFonts w:ascii="Times New Roman" w:hAnsi="Times New Roman" w:cs="Times New Roman"/>
          <w:sz w:val="24"/>
          <w:szCs w:val="24"/>
          <w:lang w:val="en-GB"/>
        </w:rPr>
      </w:pPr>
      <w:r>
        <w:rPr>
          <w:rFonts w:ascii="Times New Roman" w:hAnsi="Times New Roman" w:cs="Times New Roman"/>
          <w:bCs/>
          <w:iCs/>
          <w:sz w:val="24"/>
          <w:szCs w:val="24"/>
          <w:lang w:val="en-GB"/>
        </w:rPr>
        <w:t>Furthermore, t</w:t>
      </w:r>
      <w:r w:rsidR="00B97DE0" w:rsidRPr="00B97DE0">
        <w:rPr>
          <w:rFonts w:ascii="Times New Roman" w:hAnsi="Times New Roman" w:cs="Times New Roman"/>
          <w:bCs/>
          <w:iCs/>
          <w:sz w:val="24"/>
          <w:szCs w:val="24"/>
          <w:lang w:val="en-GB"/>
        </w:rPr>
        <w:t>he W</w:t>
      </w:r>
      <w:r w:rsidR="00B97DE0" w:rsidRPr="00B97DE0">
        <w:rPr>
          <w:rFonts w:ascii="Times New Roman" w:hAnsi="Times New Roman" w:cs="Times New Roman"/>
          <w:sz w:val="24"/>
          <w:szCs w:val="24"/>
          <w:lang w:val="en-GB"/>
        </w:rPr>
        <w:t>elfare and Elderly Persons’ Protection Unit</w:t>
      </w:r>
      <w:r w:rsidR="00B97DE0" w:rsidRPr="00B97DE0">
        <w:rPr>
          <w:rFonts w:ascii="Times New Roman" w:hAnsi="Times New Roman" w:cs="Times New Roman"/>
          <w:bCs/>
          <w:iCs/>
          <w:sz w:val="24"/>
          <w:szCs w:val="24"/>
          <w:lang w:val="en-GB"/>
        </w:rPr>
        <w:t xml:space="preserve"> (WEPPU) has been set up in September 2006 after the promulgation of the Protection of Elderly Persons Act 2005. </w:t>
      </w:r>
      <w:r w:rsidR="00B97DE0" w:rsidRPr="00B97DE0">
        <w:rPr>
          <w:rFonts w:ascii="Times New Roman" w:hAnsi="Times New Roman" w:cs="Times New Roman"/>
          <w:sz w:val="24"/>
          <w:szCs w:val="24"/>
          <w:lang w:val="en-GB"/>
        </w:rPr>
        <w:t xml:space="preserve">The Act was amended in 2016 to enhance the level of protection and </w:t>
      </w:r>
      <w:r w:rsidR="00B97DE0" w:rsidRPr="00B97DE0">
        <w:rPr>
          <w:rFonts w:ascii="Times New Roman" w:hAnsi="Times New Roman" w:cs="Times New Roman"/>
          <w:bCs/>
          <w:iCs/>
          <w:sz w:val="24"/>
          <w:szCs w:val="24"/>
          <w:lang w:val="en-GB"/>
        </w:rPr>
        <w:t xml:space="preserve">assistance to elderly persons including elderly persons with disabilities.  </w:t>
      </w:r>
      <w:r w:rsidR="00B97DE0" w:rsidRPr="00B97DE0">
        <w:rPr>
          <w:rFonts w:ascii="Times New Roman" w:hAnsi="Times New Roman" w:cs="Times New Roman"/>
          <w:sz w:val="24"/>
          <w:szCs w:val="24"/>
          <w:lang w:val="en-GB"/>
        </w:rPr>
        <w:t>The Act also empowers Officers of the MSISSNS to summon perpetrators of elder abuse and in case of non-attendance, the perpetrator is liable to be Rs 5000 or imprisoned   for a period not exceeding 6 months.</w:t>
      </w:r>
    </w:p>
    <w:p w14:paraId="2C7C904F" w14:textId="77777777" w:rsidR="00B97DE0" w:rsidRPr="00B97DE0" w:rsidRDefault="00B97DE0" w:rsidP="00F721E3">
      <w:pPr>
        <w:ind w:firstLine="720"/>
        <w:jc w:val="both"/>
        <w:rPr>
          <w:rFonts w:ascii="Times New Roman" w:hAnsi="Times New Roman" w:cs="Times New Roman"/>
          <w:sz w:val="24"/>
          <w:szCs w:val="24"/>
          <w:lang w:val="en-GB"/>
        </w:rPr>
      </w:pPr>
      <w:r w:rsidRPr="00B97DE0">
        <w:rPr>
          <w:rFonts w:ascii="Times New Roman" w:hAnsi="Times New Roman" w:cs="Times New Roman"/>
          <w:sz w:val="24"/>
          <w:szCs w:val="24"/>
          <w:lang w:val="en-GB"/>
        </w:rPr>
        <w:t>There are no specific laws that seek to punish criminal acts that specifically target persons with disabilities.  A draft “Disability Bill” is currently under preparation and this may cater for the abuse against persons with disabilities.</w:t>
      </w:r>
    </w:p>
    <w:p w14:paraId="41B8F4B3" w14:textId="77777777" w:rsidR="00B97DE0" w:rsidRPr="00B97DE0" w:rsidRDefault="00B97DE0" w:rsidP="00F721E3">
      <w:pPr>
        <w:ind w:firstLine="720"/>
        <w:jc w:val="both"/>
        <w:rPr>
          <w:rFonts w:ascii="Times New Roman" w:hAnsi="Times New Roman" w:cs="Times New Roman"/>
          <w:sz w:val="24"/>
          <w:szCs w:val="24"/>
          <w:lang w:val="en-GB"/>
        </w:rPr>
      </w:pPr>
      <w:r w:rsidRPr="00B97DE0">
        <w:rPr>
          <w:rFonts w:ascii="Times New Roman" w:hAnsi="Times New Roman" w:cs="Times New Roman"/>
          <w:sz w:val="24"/>
          <w:szCs w:val="24"/>
          <w:lang w:val="en-GB"/>
        </w:rPr>
        <w:t>The fundamental rights of persons with disabilities are protected in the same manner as those of other citizens of Mauritius.</w:t>
      </w:r>
    </w:p>
    <w:p w14:paraId="6F90543C" w14:textId="77777777" w:rsidR="00D02846" w:rsidRDefault="00D02846" w:rsidP="008F7C8F">
      <w:pPr>
        <w:ind w:firstLine="720"/>
        <w:jc w:val="both"/>
        <w:rPr>
          <w:rFonts w:ascii="Times New Roman" w:hAnsi="Times New Roman" w:cs="Times New Roman"/>
          <w:sz w:val="24"/>
          <w:szCs w:val="24"/>
        </w:rPr>
      </w:pPr>
      <w:r w:rsidRPr="008E2500">
        <w:rPr>
          <w:rFonts w:ascii="Times New Roman" w:hAnsi="Times New Roman" w:cs="Times New Roman"/>
          <w:sz w:val="24"/>
          <w:szCs w:val="24"/>
        </w:rPr>
        <w:t>In Mauritius, the following measures are being taken to ensure a barrier free environment to Persons with Disabilities:</w:t>
      </w:r>
    </w:p>
    <w:p w14:paraId="0EFC8081" w14:textId="77777777" w:rsidR="00F756D3" w:rsidRPr="00F756D3" w:rsidRDefault="00F756D3" w:rsidP="008F7C8F">
      <w:pPr>
        <w:numPr>
          <w:ilvl w:val="0"/>
          <w:numId w:val="13"/>
        </w:numPr>
        <w:ind w:left="1080" w:hanging="180"/>
        <w:jc w:val="both"/>
        <w:rPr>
          <w:rFonts w:ascii="Times New Roman" w:hAnsi="Times New Roman" w:cs="Times New Roman"/>
          <w:sz w:val="24"/>
          <w:szCs w:val="24"/>
          <w:lang w:val="en-GB"/>
        </w:rPr>
      </w:pPr>
      <w:r w:rsidRPr="00F756D3">
        <w:rPr>
          <w:rFonts w:ascii="Times New Roman" w:hAnsi="Times New Roman" w:cs="Times New Roman"/>
          <w:sz w:val="24"/>
          <w:szCs w:val="24"/>
          <w:lang w:val="en-GB"/>
        </w:rPr>
        <w:t>The Building Control (Accessibility and Gender Compliance in Buildings) Regulation 2017 which is applicable since November 2017, provides for new buildings and buildings undergoi</w:t>
      </w:r>
      <w:r w:rsidR="00282A03">
        <w:rPr>
          <w:rFonts w:ascii="Times New Roman" w:hAnsi="Times New Roman" w:cs="Times New Roman"/>
          <w:sz w:val="24"/>
          <w:szCs w:val="24"/>
          <w:lang w:val="en-GB"/>
        </w:rPr>
        <w:t xml:space="preserve">ng major alterations, additions, </w:t>
      </w:r>
      <w:r w:rsidRPr="00F756D3">
        <w:rPr>
          <w:rFonts w:ascii="Times New Roman" w:hAnsi="Times New Roman" w:cs="Times New Roman"/>
          <w:sz w:val="24"/>
          <w:szCs w:val="24"/>
          <w:lang w:val="en-GB"/>
        </w:rPr>
        <w:t xml:space="preserve">repairs or reconstruction. Government buildings are therefore catering for ramps, handrails, special toilets for persons with disabilities and reserved parking facilities to make all the government buildings accessible to persons with disability. </w:t>
      </w:r>
    </w:p>
    <w:p w14:paraId="07DA8E56" w14:textId="77777777" w:rsidR="00F756D3" w:rsidRDefault="00F756D3" w:rsidP="008E2500">
      <w:pPr>
        <w:jc w:val="both"/>
        <w:rPr>
          <w:rFonts w:ascii="Times New Roman" w:hAnsi="Times New Roman" w:cs="Times New Roman"/>
          <w:sz w:val="24"/>
          <w:szCs w:val="24"/>
        </w:rPr>
      </w:pPr>
    </w:p>
    <w:p w14:paraId="669338EE" w14:textId="77777777" w:rsidR="008F7C8F" w:rsidRPr="008F7C8F" w:rsidRDefault="00F756D3" w:rsidP="008F7C8F">
      <w:pPr>
        <w:numPr>
          <w:ilvl w:val="0"/>
          <w:numId w:val="13"/>
        </w:numPr>
        <w:ind w:left="1080" w:hanging="180"/>
        <w:jc w:val="both"/>
        <w:rPr>
          <w:rFonts w:ascii="Times New Roman" w:hAnsi="Times New Roman" w:cs="Times New Roman"/>
          <w:sz w:val="24"/>
          <w:szCs w:val="24"/>
          <w:lang w:val="en-GB"/>
        </w:rPr>
      </w:pPr>
      <w:r w:rsidRPr="00F756D3">
        <w:rPr>
          <w:rFonts w:ascii="Times New Roman" w:hAnsi="Times New Roman" w:cs="Times New Roman"/>
          <w:sz w:val="24"/>
          <w:szCs w:val="24"/>
          <w:lang w:val="en-GB"/>
        </w:rPr>
        <w:t xml:space="preserve">Following the amendments to the Training and Employment of Disabled Persons (TEDP) Act in 2012, employers who have a workforce of 35 or above are required to employ 3% of persons with disabilities.  Moreover, under Section 13 of the TEDP Act, the Board has to set up a Hearing Committee to determine whether an employer cannot reasonably be expected, having regard to the nature of the business, to provide suitable employment to or to create suitable employment opportunities for the employment of persons with disabilities. </w:t>
      </w:r>
    </w:p>
    <w:p w14:paraId="38FBEB70" w14:textId="77777777" w:rsidR="006F41BA" w:rsidRPr="008E2500" w:rsidRDefault="002039AF" w:rsidP="008F7C8F">
      <w:pPr>
        <w:ind w:firstLine="720"/>
        <w:jc w:val="both"/>
        <w:rPr>
          <w:rFonts w:ascii="Times New Roman" w:hAnsi="Times New Roman" w:cs="Times New Roman"/>
          <w:sz w:val="24"/>
          <w:szCs w:val="24"/>
        </w:rPr>
      </w:pPr>
      <w:r w:rsidRPr="00EF3C65">
        <w:rPr>
          <w:rFonts w:ascii="Times New Roman" w:hAnsi="Times New Roman" w:cs="Times New Roman"/>
          <w:sz w:val="24"/>
          <w:szCs w:val="24"/>
        </w:rPr>
        <w:t>Significant efforts are made to uplift the rights of persons with disabilities, prevent their discrimination and promote their rights. Children with disabilities are also not neglected. The Special Education Needs Authority endeavour to provide the best facilities adaptable to the need of the disabled children and ensure their integration in the mainstream.</w:t>
      </w:r>
      <w:r w:rsidR="006F41BA" w:rsidRPr="006F41BA">
        <w:rPr>
          <w:rFonts w:ascii="Times New Roman" w:hAnsi="Times New Roman" w:cs="Times New Roman"/>
          <w:sz w:val="24"/>
          <w:szCs w:val="24"/>
        </w:rPr>
        <w:t xml:space="preserve"> </w:t>
      </w:r>
      <w:r w:rsidR="006F41BA" w:rsidRPr="008E2500">
        <w:rPr>
          <w:rFonts w:ascii="Times New Roman" w:hAnsi="Times New Roman" w:cs="Times New Roman"/>
          <w:sz w:val="24"/>
          <w:szCs w:val="24"/>
        </w:rPr>
        <w:t xml:space="preserve">Infrastructural works are carried out in various state secondary schools including: ramps and handrails, adapted </w:t>
      </w:r>
      <w:r w:rsidR="006F41BA">
        <w:rPr>
          <w:rFonts w:ascii="Times New Roman" w:hAnsi="Times New Roman" w:cs="Times New Roman"/>
          <w:sz w:val="24"/>
          <w:szCs w:val="24"/>
        </w:rPr>
        <w:t xml:space="preserve">toilets </w:t>
      </w:r>
      <w:r w:rsidR="006F41BA" w:rsidRPr="008E2500">
        <w:rPr>
          <w:rFonts w:ascii="Times New Roman" w:hAnsi="Times New Roman" w:cs="Times New Roman"/>
          <w:sz w:val="24"/>
          <w:szCs w:val="24"/>
        </w:rPr>
        <w:t>and alighting bays</w:t>
      </w:r>
      <w:r w:rsidR="006F41BA">
        <w:rPr>
          <w:rFonts w:ascii="Times New Roman" w:hAnsi="Times New Roman" w:cs="Times New Roman"/>
          <w:sz w:val="24"/>
          <w:szCs w:val="24"/>
        </w:rPr>
        <w:t>.</w:t>
      </w:r>
    </w:p>
    <w:p w14:paraId="3383ED86" w14:textId="77777777" w:rsidR="0015008C" w:rsidRPr="00282A03" w:rsidRDefault="0015008C" w:rsidP="00282A03">
      <w:pPr>
        <w:ind w:firstLine="720"/>
        <w:jc w:val="both"/>
        <w:rPr>
          <w:rFonts w:ascii="Times New Roman" w:hAnsi="Times New Roman" w:cs="Times New Roman"/>
          <w:sz w:val="24"/>
          <w:szCs w:val="24"/>
          <w:lang w:val="en-GB"/>
        </w:rPr>
      </w:pPr>
      <w:r w:rsidRPr="008A3D92">
        <w:rPr>
          <w:rFonts w:ascii="Times New Roman" w:hAnsi="Times New Roman" w:cs="Times New Roman"/>
          <w:sz w:val="24"/>
          <w:szCs w:val="24"/>
          <w:lang w:val="en-GB"/>
        </w:rPr>
        <w:t xml:space="preserve">The </w:t>
      </w:r>
      <w:r w:rsidR="00282A03" w:rsidRPr="00282A03">
        <w:rPr>
          <w:rFonts w:ascii="Times New Roman" w:hAnsi="Times New Roman" w:cs="Times New Roman"/>
          <w:sz w:val="24"/>
          <w:szCs w:val="24"/>
          <w:lang w:val="en-GB"/>
        </w:rPr>
        <w:t>Ministry of Education, Tertiary Ed</w:t>
      </w:r>
      <w:r w:rsidR="00282A03">
        <w:rPr>
          <w:rFonts w:ascii="Times New Roman" w:hAnsi="Times New Roman" w:cs="Times New Roman"/>
          <w:sz w:val="24"/>
          <w:szCs w:val="24"/>
          <w:lang w:val="en-GB"/>
        </w:rPr>
        <w:t>ucation, Science and Technology</w:t>
      </w:r>
      <w:r w:rsidRPr="008A3D92">
        <w:rPr>
          <w:rFonts w:ascii="Times New Roman" w:hAnsi="Times New Roman" w:cs="Times New Roman"/>
          <w:sz w:val="24"/>
          <w:szCs w:val="24"/>
          <w:lang w:val="en-GB"/>
        </w:rPr>
        <w:t xml:space="preserve"> has taken several measures for the inclus</w:t>
      </w:r>
      <w:r>
        <w:rPr>
          <w:rFonts w:ascii="Times New Roman" w:hAnsi="Times New Roman" w:cs="Times New Roman"/>
          <w:sz w:val="24"/>
          <w:szCs w:val="24"/>
          <w:lang w:val="en-GB"/>
        </w:rPr>
        <w:t>ion and integration of children:</w:t>
      </w:r>
    </w:p>
    <w:p w14:paraId="673BEC3E" w14:textId="77777777" w:rsidR="0015008C" w:rsidRPr="0015008C" w:rsidRDefault="0015008C" w:rsidP="008F7C8F">
      <w:pPr>
        <w:pStyle w:val="ListParagraph"/>
        <w:numPr>
          <w:ilvl w:val="0"/>
          <w:numId w:val="22"/>
        </w:numPr>
        <w:jc w:val="both"/>
        <w:rPr>
          <w:rFonts w:ascii="Times New Roman" w:hAnsi="Times New Roman" w:cs="Times New Roman"/>
          <w:sz w:val="24"/>
          <w:szCs w:val="24"/>
        </w:rPr>
      </w:pPr>
      <w:r w:rsidRPr="0015008C">
        <w:rPr>
          <w:rFonts w:ascii="Times New Roman" w:hAnsi="Times New Roman" w:cs="Times New Roman"/>
          <w:sz w:val="24"/>
          <w:szCs w:val="24"/>
        </w:rPr>
        <w:t>the provision of textbooks, e.g. Braille displays for learners with disabilities;</w:t>
      </w:r>
    </w:p>
    <w:p w14:paraId="00E2FA11" w14:textId="77777777" w:rsidR="0015008C" w:rsidRPr="0015008C" w:rsidRDefault="0015008C" w:rsidP="008F7C8F">
      <w:pPr>
        <w:pStyle w:val="ListParagraph"/>
        <w:numPr>
          <w:ilvl w:val="0"/>
          <w:numId w:val="22"/>
        </w:numPr>
        <w:jc w:val="both"/>
        <w:rPr>
          <w:rFonts w:ascii="Times New Roman" w:hAnsi="Times New Roman" w:cs="Times New Roman"/>
          <w:sz w:val="24"/>
          <w:szCs w:val="24"/>
        </w:rPr>
      </w:pPr>
      <w:r w:rsidRPr="0015008C">
        <w:rPr>
          <w:rFonts w:ascii="Times New Roman" w:hAnsi="Times New Roman" w:cs="Times New Roman"/>
          <w:sz w:val="24"/>
          <w:szCs w:val="24"/>
        </w:rPr>
        <w:t>provision of adapted furniture and wheelchairs;</w:t>
      </w:r>
    </w:p>
    <w:p w14:paraId="1EA0151A" w14:textId="77777777" w:rsidR="008E2500" w:rsidRPr="008F7C8F" w:rsidRDefault="0015008C" w:rsidP="008E2500">
      <w:pPr>
        <w:pStyle w:val="ListParagraph"/>
        <w:numPr>
          <w:ilvl w:val="0"/>
          <w:numId w:val="22"/>
        </w:numPr>
        <w:jc w:val="both"/>
        <w:rPr>
          <w:rFonts w:ascii="Times New Roman" w:hAnsi="Times New Roman" w:cs="Times New Roman"/>
          <w:sz w:val="24"/>
          <w:szCs w:val="24"/>
        </w:rPr>
      </w:pPr>
      <w:r w:rsidRPr="0015008C">
        <w:rPr>
          <w:rFonts w:ascii="Times New Roman" w:hAnsi="Times New Roman" w:cs="Times New Roman"/>
          <w:sz w:val="24"/>
          <w:szCs w:val="24"/>
        </w:rPr>
        <w:t>refund of bus and taxi fares for the conveyance of students with disabilities.</w:t>
      </w:r>
    </w:p>
    <w:p w14:paraId="7E563F63" w14:textId="77777777" w:rsidR="002039AF" w:rsidRPr="006F41BA" w:rsidRDefault="002039AF" w:rsidP="00AF7990">
      <w:pPr>
        <w:ind w:firstLine="720"/>
        <w:jc w:val="both"/>
        <w:rPr>
          <w:rFonts w:ascii="Times New Roman" w:hAnsi="Times New Roman" w:cs="Times New Roman"/>
          <w:sz w:val="24"/>
          <w:szCs w:val="24"/>
          <w:lang w:val="en-GB"/>
        </w:rPr>
      </w:pPr>
      <w:r w:rsidRPr="006F41BA">
        <w:rPr>
          <w:rFonts w:ascii="Times New Roman" w:hAnsi="Times New Roman" w:cs="Times New Roman"/>
          <w:sz w:val="24"/>
          <w:szCs w:val="24"/>
          <w:lang w:val="en-GB"/>
        </w:rPr>
        <w:t xml:space="preserve">Health services for </w:t>
      </w:r>
      <w:r w:rsidR="002B4FE0">
        <w:rPr>
          <w:rFonts w:ascii="Times New Roman" w:hAnsi="Times New Roman" w:cs="Times New Roman"/>
          <w:sz w:val="24"/>
          <w:szCs w:val="24"/>
          <w:lang w:val="en-GB"/>
        </w:rPr>
        <w:t xml:space="preserve">elderly including persons </w:t>
      </w:r>
      <w:r w:rsidR="00874E8C">
        <w:rPr>
          <w:rFonts w:ascii="Times New Roman" w:hAnsi="Times New Roman" w:cs="Times New Roman"/>
          <w:sz w:val="24"/>
          <w:szCs w:val="24"/>
          <w:lang w:val="en-GB"/>
        </w:rPr>
        <w:t xml:space="preserve">with disabilities </w:t>
      </w:r>
      <w:r w:rsidRPr="006F41BA">
        <w:rPr>
          <w:rFonts w:ascii="Times New Roman" w:hAnsi="Times New Roman" w:cs="Times New Roman"/>
          <w:sz w:val="24"/>
          <w:szCs w:val="24"/>
          <w:lang w:val="en-GB"/>
        </w:rPr>
        <w:t xml:space="preserve">have been strengthened. Bedridden and severe disability persons benefit from </w:t>
      </w:r>
      <w:r w:rsidR="002B4FE0">
        <w:rPr>
          <w:rFonts w:ascii="Times New Roman" w:hAnsi="Times New Roman" w:cs="Times New Roman"/>
          <w:sz w:val="24"/>
          <w:szCs w:val="24"/>
          <w:lang w:val="en-GB"/>
        </w:rPr>
        <w:t xml:space="preserve">free </w:t>
      </w:r>
      <w:r w:rsidRPr="006F41BA">
        <w:rPr>
          <w:rFonts w:ascii="Times New Roman" w:hAnsi="Times New Roman" w:cs="Times New Roman"/>
          <w:sz w:val="24"/>
          <w:szCs w:val="24"/>
          <w:lang w:val="en-GB"/>
        </w:rPr>
        <w:t xml:space="preserve">medical domiciliary visits irrespective of their age. </w:t>
      </w:r>
      <w:r w:rsidR="002E112F">
        <w:rPr>
          <w:rFonts w:ascii="Times New Roman" w:hAnsi="Times New Roman" w:cs="Times New Roman"/>
          <w:sz w:val="24"/>
          <w:szCs w:val="24"/>
          <w:lang w:val="en-GB"/>
        </w:rPr>
        <w:t>G</w:t>
      </w:r>
      <w:r w:rsidR="002E112F" w:rsidRPr="006017D6">
        <w:rPr>
          <w:rFonts w:ascii="Times New Roman" w:hAnsi="Times New Roman" w:cs="Times New Roman"/>
          <w:sz w:val="24"/>
          <w:szCs w:val="24"/>
          <w:lang w:val="en-GB"/>
        </w:rPr>
        <w:t>rant of up to Rs 5,000 for the purchase of assistive device such as wheelchairs, hearing aid and Rs 2,000</w:t>
      </w:r>
      <w:r w:rsidR="002E112F">
        <w:rPr>
          <w:rFonts w:ascii="Times New Roman" w:hAnsi="Times New Roman" w:cs="Times New Roman"/>
          <w:sz w:val="24"/>
          <w:szCs w:val="24"/>
          <w:lang w:val="en-GB"/>
        </w:rPr>
        <w:t xml:space="preserve"> for the purchase of spectacles are provided.</w:t>
      </w:r>
    </w:p>
    <w:p w14:paraId="4DCAC677" w14:textId="77777777" w:rsidR="006017D6" w:rsidRPr="006017D6" w:rsidRDefault="006017D6" w:rsidP="008F7C8F">
      <w:pPr>
        <w:ind w:firstLine="720"/>
        <w:jc w:val="both"/>
        <w:rPr>
          <w:rFonts w:ascii="Times New Roman" w:hAnsi="Times New Roman" w:cs="Times New Roman"/>
          <w:sz w:val="24"/>
          <w:szCs w:val="24"/>
          <w:lang w:val="en-GB"/>
        </w:rPr>
      </w:pPr>
      <w:r w:rsidRPr="006017D6">
        <w:rPr>
          <w:rFonts w:ascii="Times New Roman" w:hAnsi="Times New Roman" w:cs="Times New Roman"/>
          <w:sz w:val="24"/>
          <w:szCs w:val="24"/>
          <w:lang w:val="en-GB"/>
        </w:rPr>
        <w:t xml:space="preserve">Other Financial Assistances provided </w:t>
      </w:r>
      <w:r w:rsidR="002B4FE0">
        <w:rPr>
          <w:rFonts w:ascii="Times New Roman" w:hAnsi="Times New Roman" w:cs="Times New Roman"/>
          <w:sz w:val="24"/>
          <w:szCs w:val="24"/>
          <w:lang w:val="en-GB"/>
        </w:rPr>
        <w:t xml:space="preserve">by the MSISSNS </w:t>
      </w:r>
      <w:r w:rsidRPr="006017D6">
        <w:rPr>
          <w:rFonts w:ascii="Times New Roman" w:hAnsi="Times New Roman" w:cs="Times New Roman"/>
          <w:sz w:val="24"/>
          <w:szCs w:val="24"/>
          <w:lang w:val="en-GB"/>
        </w:rPr>
        <w:t>include: a) Incontinence Allowance to elderly aged 70 and above and to those who are bedridden; b) Carer’s Allowance c) Rent Allowance to elderly persons living alone; and d) those in receipt of Social Aid, they are also entitled to allowances for dentures, income support, funeral grants in respect of beneficiary or any of his/her dependent, grant for the purchase of medicine to centenarians.</w:t>
      </w:r>
    </w:p>
    <w:p w14:paraId="772CB172" w14:textId="77777777" w:rsidR="00980828" w:rsidRPr="00B97DE0" w:rsidRDefault="00980828" w:rsidP="008001E7">
      <w:pPr>
        <w:jc w:val="both"/>
        <w:rPr>
          <w:rFonts w:ascii="Times New Roman" w:hAnsi="Times New Roman" w:cs="Times New Roman"/>
          <w:sz w:val="24"/>
          <w:szCs w:val="24"/>
        </w:rPr>
      </w:pPr>
    </w:p>
    <w:p w14:paraId="08A06A0A" w14:textId="77777777" w:rsidR="00F721E3" w:rsidRPr="00DC5832" w:rsidRDefault="00F721E3" w:rsidP="008F7C8F">
      <w:pPr>
        <w:pStyle w:val="ListParagraph"/>
        <w:numPr>
          <w:ilvl w:val="0"/>
          <w:numId w:val="21"/>
        </w:numPr>
        <w:jc w:val="both"/>
        <w:rPr>
          <w:rFonts w:ascii="Times New Roman" w:hAnsi="Times New Roman" w:cs="Times New Roman"/>
          <w:bCs/>
          <w:sz w:val="24"/>
          <w:szCs w:val="24"/>
          <w:u w:val="single"/>
        </w:rPr>
      </w:pPr>
      <w:r w:rsidRPr="00DC5832">
        <w:rPr>
          <w:rFonts w:ascii="Times New Roman" w:hAnsi="Times New Roman" w:cs="Times New Roman"/>
          <w:bCs/>
          <w:sz w:val="24"/>
          <w:szCs w:val="24"/>
          <w:u w:val="single"/>
        </w:rPr>
        <w:t>Protection of the Child</w:t>
      </w:r>
    </w:p>
    <w:p w14:paraId="0D10AC6C" w14:textId="77777777" w:rsidR="00B97DE0" w:rsidRPr="00B97DE0" w:rsidRDefault="00B97DE0" w:rsidP="008001E7">
      <w:pPr>
        <w:jc w:val="both"/>
        <w:rPr>
          <w:rFonts w:ascii="Times New Roman" w:hAnsi="Times New Roman" w:cs="Times New Roman"/>
          <w:sz w:val="24"/>
          <w:szCs w:val="24"/>
          <w:lang w:val="en-GB"/>
        </w:rPr>
      </w:pPr>
      <w:r w:rsidRPr="00B97DE0">
        <w:rPr>
          <w:rFonts w:ascii="Times New Roman" w:hAnsi="Times New Roman" w:cs="Times New Roman"/>
          <w:sz w:val="24"/>
          <w:szCs w:val="24"/>
          <w:lang w:val="en-GB"/>
        </w:rPr>
        <w:tab/>
        <w:t xml:space="preserve">The ‘Best Interest of the Child’ is of primary importance/concern in all legislative and policy frameworks in Mauritius which are geared towards the protection, survival, development and participation rights of the Mauritian Child. </w:t>
      </w:r>
    </w:p>
    <w:p w14:paraId="53B353D8" w14:textId="77777777" w:rsidR="00B97DE0" w:rsidRPr="00B97DE0" w:rsidRDefault="00B97DE0" w:rsidP="00F721E3">
      <w:pPr>
        <w:ind w:firstLine="720"/>
        <w:jc w:val="both"/>
        <w:rPr>
          <w:rFonts w:ascii="Times New Roman" w:hAnsi="Times New Roman" w:cs="Times New Roman"/>
          <w:sz w:val="24"/>
          <w:szCs w:val="24"/>
          <w:lang w:val="en-GB"/>
        </w:rPr>
      </w:pPr>
      <w:r w:rsidRPr="00B97DE0">
        <w:rPr>
          <w:rFonts w:ascii="Times New Roman" w:hAnsi="Times New Roman" w:cs="Times New Roman"/>
          <w:sz w:val="24"/>
          <w:szCs w:val="24"/>
          <w:lang w:val="en-GB"/>
        </w:rPr>
        <w:t>The Children’s Act 2020, the Children’s Court Act 2020 and the Child Sex Offender Register Act 2020 were passed in the National Assembly in December 2020 with a view to harmonizing all laws relating to children. These Acts, however, are yet to be proclaimed.</w:t>
      </w:r>
    </w:p>
    <w:p w14:paraId="21A4708B" w14:textId="77777777" w:rsidR="00AF7990" w:rsidRDefault="00A1776D" w:rsidP="00AF7990">
      <w:pPr>
        <w:ind w:firstLine="720"/>
        <w:jc w:val="both"/>
        <w:rPr>
          <w:rFonts w:ascii="Times New Roman" w:eastAsiaTheme="minorEastAsia" w:hAnsi="Times New Roman" w:cs="Times New Roman"/>
          <w:color w:val="000000"/>
          <w:sz w:val="24"/>
          <w:szCs w:val="24"/>
        </w:rPr>
      </w:pPr>
      <w:r w:rsidRPr="00D20E78">
        <w:rPr>
          <w:rFonts w:ascii="Times New Roman" w:eastAsiaTheme="minorEastAsia" w:hAnsi="Times New Roman" w:cs="Times New Roman"/>
          <w:color w:val="000000"/>
          <w:sz w:val="24"/>
          <w:szCs w:val="24"/>
        </w:rPr>
        <w:t>The Ministry of Gender Equality and Family Welfare is mandated to cater for the needs of</w:t>
      </w:r>
      <w:r w:rsidR="00AF7990">
        <w:rPr>
          <w:rFonts w:ascii="Times New Roman" w:eastAsiaTheme="minorEastAsia" w:hAnsi="Times New Roman" w:cs="Times New Roman"/>
          <w:color w:val="000000"/>
          <w:sz w:val="24"/>
          <w:szCs w:val="24"/>
        </w:rPr>
        <w:t xml:space="preserve"> children who are victims of </w:t>
      </w:r>
      <w:r w:rsidRPr="00D20E78">
        <w:rPr>
          <w:rFonts w:ascii="Times New Roman" w:eastAsiaTheme="minorEastAsia" w:hAnsi="Times New Roman" w:cs="Times New Roman"/>
          <w:color w:val="000000"/>
          <w:sz w:val="24"/>
          <w:szCs w:val="24"/>
        </w:rPr>
        <w:t xml:space="preserve">Commercial Sexual Exploitation (CSEC). </w:t>
      </w:r>
    </w:p>
    <w:p w14:paraId="3C7E4DA0" w14:textId="77777777" w:rsidR="00AF7990" w:rsidRDefault="00AF7990" w:rsidP="00AF7990">
      <w:pPr>
        <w:ind w:firstLine="720"/>
        <w:jc w:val="both"/>
        <w:rPr>
          <w:rFonts w:ascii="Times New Roman" w:eastAsiaTheme="minorEastAsia" w:hAnsi="Times New Roman" w:cs="Times New Roman"/>
          <w:color w:val="000000"/>
          <w:sz w:val="24"/>
          <w:szCs w:val="24"/>
        </w:rPr>
      </w:pPr>
    </w:p>
    <w:p w14:paraId="5474D7C1" w14:textId="77777777" w:rsidR="00A1776D" w:rsidRPr="00D20E78" w:rsidRDefault="00A1776D" w:rsidP="00AF7990">
      <w:pPr>
        <w:ind w:firstLine="720"/>
        <w:jc w:val="both"/>
        <w:rPr>
          <w:rFonts w:ascii="Times New Roman" w:eastAsiaTheme="minorEastAsia" w:hAnsi="Times New Roman" w:cs="Times New Roman"/>
          <w:color w:val="000000"/>
          <w:sz w:val="24"/>
          <w:szCs w:val="24"/>
        </w:rPr>
      </w:pPr>
      <w:r w:rsidRPr="00D20E78">
        <w:rPr>
          <w:rFonts w:ascii="Times New Roman" w:eastAsiaTheme="minorEastAsia" w:hAnsi="Times New Roman" w:cs="Times New Roman"/>
          <w:color w:val="000000"/>
          <w:sz w:val="24"/>
          <w:szCs w:val="24"/>
        </w:rPr>
        <w:t xml:space="preserve">The following services are provided: </w:t>
      </w:r>
    </w:p>
    <w:p w14:paraId="2185DEC8" w14:textId="77777777" w:rsidR="00A1776D" w:rsidRPr="00D20E78" w:rsidRDefault="00A1776D" w:rsidP="00A1776D">
      <w:pPr>
        <w:pStyle w:val="ListParagraph"/>
        <w:widowControl w:val="0"/>
        <w:numPr>
          <w:ilvl w:val="0"/>
          <w:numId w:val="16"/>
        </w:numPr>
        <w:autoSpaceDE w:val="0"/>
        <w:autoSpaceDN w:val="0"/>
        <w:adjustRightInd w:val="0"/>
        <w:spacing w:before="273" w:after="0" w:line="276" w:lineRule="auto"/>
        <w:ind w:left="1418" w:right="148"/>
        <w:jc w:val="both"/>
        <w:rPr>
          <w:rFonts w:ascii="Times New Roman" w:eastAsiaTheme="minorEastAsia" w:hAnsi="Times New Roman" w:cs="Times New Roman"/>
          <w:color w:val="000000"/>
          <w:sz w:val="24"/>
          <w:szCs w:val="24"/>
        </w:rPr>
      </w:pPr>
      <w:r w:rsidRPr="00D20E78">
        <w:rPr>
          <w:rFonts w:ascii="Times New Roman" w:eastAsiaTheme="minorEastAsia" w:hAnsi="Times New Roman" w:cs="Times New Roman"/>
          <w:color w:val="000000"/>
          <w:sz w:val="24"/>
          <w:szCs w:val="24"/>
        </w:rPr>
        <w:t>Psycho-social counselling to victims of CSEC a</w:t>
      </w:r>
      <w:r w:rsidR="00835A67">
        <w:rPr>
          <w:rFonts w:ascii="Times New Roman" w:eastAsiaTheme="minorEastAsia" w:hAnsi="Times New Roman" w:cs="Times New Roman"/>
          <w:color w:val="000000"/>
          <w:sz w:val="24"/>
          <w:szCs w:val="24"/>
        </w:rPr>
        <w:t xml:space="preserve">s well as to their families; </w:t>
      </w:r>
      <w:r w:rsidRPr="00D20E78">
        <w:rPr>
          <w:rFonts w:ascii="Times New Roman" w:eastAsiaTheme="minorEastAsia" w:hAnsi="Times New Roman" w:cs="Times New Roman"/>
          <w:color w:val="000000"/>
          <w:sz w:val="24"/>
          <w:szCs w:val="24"/>
        </w:rPr>
        <w:t xml:space="preserve">and </w:t>
      </w:r>
    </w:p>
    <w:p w14:paraId="27C06611" w14:textId="77777777" w:rsidR="00A1776D" w:rsidRDefault="00A1776D" w:rsidP="00A1776D">
      <w:pPr>
        <w:pStyle w:val="ListParagraph"/>
        <w:widowControl w:val="0"/>
        <w:numPr>
          <w:ilvl w:val="0"/>
          <w:numId w:val="16"/>
        </w:numPr>
        <w:autoSpaceDE w:val="0"/>
        <w:autoSpaceDN w:val="0"/>
        <w:adjustRightInd w:val="0"/>
        <w:spacing w:before="273" w:after="0" w:line="276" w:lineRule="auto"/>
        <w:ind w:left="1418" w:right="148"/>
        <w:jc w:val="both"/>
        <w:rPr>
          <w:rFonts w:ascii="Times New Roman" w:eastAsiaTheme="minorEastAsia" w:hAnsi="Times New Roman" w:cs="Times New Roman"/>
          <w:color w:val="000000"/>
          <w:sz w:val="24"/>
          <w:szCs w:val="24"/>
        </w:rPr>
      </w:pPr>
      <w:r w:rsidRPr="00D20E78">
        <w:rPr>
          <w:rFonts w:ascii="Times New Roman" w:eastAsiaTheme="minorEastAsia" w:hAnsi="Times New Roman" w:cs="Times New Roman"/>
          <w:color w:val="000000"/>
          <w:sz w:val="24"/>
          <w:szCs w:val="24"/>
        </w:rPr>
        <w:t xml:space="preserve">Alternative placement and/or reintegration of CSEC victims in the mainstream. </w:t>
      </w:r>
    </w:p>
    <w:p w14:paraId="1B1851A0" w14:textId="77777777" w:rsidR="00AF7990" w:rsidRPr="00D20E78" w:rsidRDefault="00AF7990" w:rsidP="00AF7990">
      <w:pPr>
        <w:pStyle w:val="ListParagraph"/>
        <w:widowControl w:val="0"/>
        <w:autoSpaceDE w:val="0"/>
        <w:autoSpaceDN w:val="0"/>
        <w:adjustRightInd w:val="0"/>
        <w:spacing w:before="273" w:after="0" w:line="276" w:lineRule="auto"/>
        <w:ind w:left="1418" w:right="148"/>
        <w:jc w:val="both"/>
        <w:rPr>
          <w:rFonts w:ascii="Times New Roman" w:eastAsiaTheme="minorEastAsia" w:hAnsi="Times New Roman" w:cs="Times New Roman"/>
          <w:color w:val="000000"/>
          <w:sz w:val="24"/>
          <w:szCs w:val="24"/>
        </w:rPr>
      </w:pPr>
    </w:p>
    <w:p w14:paraId="0F002A7D" w14:textId="77777777" w:rsidR="00A1776D" w:rsidRPr="00AF7990" w:rsidRDefault="00A1776D" w:rsidP="00AF7990">
      <w:pPr>
        <w:ind w:firstLine="720"/>
        <w:jc w:val="both"/>
        <w:rPr>
          <w:rFonts w:ascii="Times New Roman" w:eastAsiaTheme="minorEastAsia" w:hAnsi="Times New Roman" w:cs="Times New Roman"/>
          <w:color w:val="000000"/>
          <w:sz w:val="24"/>
          <w:szCs w:val="24"/>
        </w:rPr>
      </w:pPr>
      <w:r w:rsidRPr="00D20E78">
        <w:rPr>
          <w:rFonts w:ascii="Times New Roman" w:eastAsiaTheme="minorEastAsia" w:hAnsi="Times New Roman" w:cs="Times New Roman"/>
          <w:color w:val="000000"/>
          <w:sz w:val="24"/>
          <w:szCs w:val="24"/>
        </w:rPr>
        <w:t xml:space="preserve">In this connection, a Drop-in-Centre has been set up, since December 2003, to cater for the rehabilitative needs of children victims of CSEC and sexual abuse. The Centre is being run and managed by the Mauritius Family Planning and Welfare Association (MFPWA) and is being monitored by the Child Development Unit. </w:t>
      </w:r>
    </w:p>
    <w:p w14:paraId="146ABC34" w14:textId="77777777" w:rsidR="00B97DE0" w:rsidRPr="00B97DE0" w:rsidRDefault="00B97DE0" w:rsidP="004778D1">
      <w:pPr>
        <w:ind w:firstLine="720"/>
        <w:jc w:val="both"/>
        <w:rPr>
          <w:rFonts w:ascii="Times New Roman" w:hAnsi="Times New Roman" w:cs="Times New Roman"/>
          <w:sz w:val="24"/>
          <w:szCs w:val="24"/>
          <w:lang w:val="en-GB"/>
        </w:rPr>
      </w:pPr>
      <w:r w:rsidRPr="00B97DE0">
        <w:rPr>
          <w:rFonts w:ascii="Times New Roman" w:hAnsi="Times New Roman" w:cs="Times New Roman"/>
          <w:sz w:val="24"/>
          <w:szCs w:val="24"/>
          <w:lang w:val="en-GB"/>
        </w:rPr>
        <w:t>All reported cases of sale and sexual exploitation of children are evaluated or assessed on an individual/case to case basis, wherein the right approaches, interventions and follow-ups are undertaken to tackle the cases, using a rights based approach.  Remedial and recovery services are provided, taking into account the victim’s personalised care plan. Moreover, adequate measures are taken throughout the process to avoid further victimisation and distress of the children.</w:t>
      </w:r>
    </w:p>
    <w:p w14:paraId="5DC2D29B" w14:textId="77777777" w:rsidR="00980828" w:rsidRPr="00B97DE0" w:rsidRDefault="00980828" w:rsidP="00B97DE0">
      <w:pPr>
        <w:rPr>
          <w:rFonts w:ascii="Times New Roman" w:hAnsi="Times New Roman" w:cs="Times New Roman"/>
          <w:sz w:val="24"/>
          <w:szCs w:val="24"/>
        </w:rPr>
      </w:pPr>
    </w:p>
    <w:p w14:paraId="16167B99" w14:textId="77777777" w:rsidR="00892E93" w:rsidRPr="00DC5832" w:rsidRDefault="00892E93" w:rsidP="00AF7990">
      <w:pPr>
        <w:pStyle w:val="ListParagraph"/>
        <w:numPr>
          <w:ilvl w:val="0"/>
          <w:numId w:val="21"/>
        </w:numPr>
        <w:jc w:val="both"/>
        <w:rPr>
          <w:rFonts w:ascii="Times New Roman" w:hAnsi="Times New Roman" w:cs="Times New Roman"/>
          <w:bCs/>
          <w:sz w:val="24"/>
          <w:szCs w:val="24"/>
          <w:u w:val="single"/>
        </w:rPr>
      </w:pPr>
      <w:r w:rsidRPr="00DC5832">
        <w:rPr>
          <w:rFonts w:ascii="Times New Roman" w:hAnsi="Times New Roman" w:cs="Times New Roman"/>
          <w:bCs/>
          <w:sz w:val="24"/>
          <w:szCs w:val="24"/>
          <w:u w:val="single"/>
        </w:rPr>
        <w:t xml:space="preserve">LGBTQI </w:t>
      </w:r>
      <w:r w:rsidR="006134AD">
        <w:rPr>
          <w:rFonts w:ascii="Times New Roman" w:hAnsi="Times New Roman" w:cs="Times New Roman"/>
          <w:bCs/>
          <w:sz w:val="24"/>
          <w:szCs w:val="24"/>
          <w:u w:val="single"/>
        </w:rPr>
        <w:t>R</w:t>
      </w:r>
      <w:r w:rsidRPr="00DC5832">
        <w:rPr>
          <w:rFonts w:ascii="Times New Roman" w:hAnsi="Times New Roman" w:cs="Times New Roman"/>
          <w:bCs/>
          <w:sz w:val="24"/>
          <w:szCs w:val="24"/>
          <w:u w:val="single"/>
        </w:rPr>
        <w:t>ights</w:t>
      </w:r>
    </w:p>
    <w:p w14:paraId="779056A6" w14:textId="77777777" w:rsidR="00383361" w:rsidRPr="00892E93" w:rsidRDefault="00383361" w:rsidP="003E4574">
      <w:pPr>
        <w:spacing w:line="276" w:lineRule="auto"/>
        <w:ind w:firstLine="720"/>
        <w:jc w:val="both"/>
        <w:rPr>
          <w:rFonts w:ascii="Times New Roman" w:hAnsi="Times New Roman" w:cs="Times New Roman"/>
          <w:sz w:val="24"/>
          <w:szCs w:val="24"/>
        </w:rPr>
      </w:pPr>
      <w:r w:rsidRPr="00892E93">
        <w:rPr>
          <w:rFonts w:ascii="Times New Roman" w:hAnsi="Times New Roman" w:cs="Times New Roman"/>
          <w:sz w:val="24"/>
          <w:szCs w:val="24"/>
        </w:rPr>
        <w:t xml:space="preserve">LGBTQI rights and discrimination based on sexual orientation are emerging human rights concerns that are attracting much attention these days throughout the world.  The </w:t>
      </w:r>
      <w:r w:rsidR="00B91E04">
        <w:rPr>
          <w:rFonts w:ascii="Times New Roman" w:hAnsi="Times New Roman" w:cs="Times New Roman"/>
          <w:sz w:val="24"/>
          <w:szCs w:val="24"/>
        </w:rPr>
        <w:t>State</w:t>
      </w:r>
      <w:r w:rsidRPr="00892E93">
        <w:rPr>
          <w:rFonts w:ascii="Times New Roman" w:hAnsi="Times New Roman" w:cs="Times New Roman"/>
          <w:sz w:val="24"/>
          <w:szCs w:val="24"/>
        </w:rPr>
        <w:t xml:space="preserve"> of Mauritius is no exception to that. There are a few nongovernmental organizations which are advocating actively for recognition of rights of LGBTQI. However, in view of the particular social fabric in Mauritius, LGBTQI or sexual orientation is still a subject of taboo to some extent.  </w:t>
      </w:r>
    </w:p>
    <w:p w14:paraId="775915BD" w14:textId="77777777" w:rsidR="003E4574" w:rsidRDefault="00383361" w:rsidP="003E4574">
      <w:pPr>
        <w:spacing w:line="276" w:lineRule="auto"/>
        <w:ind w:firstLine="720"/>
        <w:jc w:val="both"/>
        <w:rPr>
          <w:rFonts w:ascii="Times New Roman" w:hAnsi="Times New Roman" w:cs="Times New Roman"/>
          <w:sz w:val="24"/>
          <w:szCs w:val="24"/>
        </w:rPr>
      </w:pPr>
      <w:r w:rsidRPr="00892E93">
        <w:rPr>
          <w:rFonts w:ascii="Times New Roman" w:hAnsi="Times New Roman" w:cs="Times New Roman"/>
          <w:sz w:val="24"/>
          <w:szCs w:val="24"/>
        </w:rPr>
        <w:t xml:space="preserve">It has been noted in Mauritius that very often LGBT people hide their sexuality and/or gender identity for fear of ostracism, stigma, or reprisal from their family.  Most of the times they do not report cases of abuse as going to the police would reveal their sexual orientation and gender identity.  Even if they go to the police, they do not disclose their sexual orientation.  </w:t>
      </w:r>
    </w:p>
    <w:p w14:paraId="2FA3E22E" w14:textId="77777777" w:rsidR="00BF657D" w:rsidRPr="00892E93" w:rsidRDefault="00BF657D" w:rsidP="003E4574">
      <w:pPr>
        <w:spacing w:line="276" w:lineRule="auto"/>
        <w:ind w:firstLine="720"/>
        <w:jc w:val="both"/>
        <w:rPr>
          <w:rFonts w:ascii="Times New Roman" w:hAnsi="Times New Roman" w:cs="Times New Roman"/>
          <w:sz w:val="24"/>
          <w:szCs w:val="24"/>
        </w:rPr>
      </w:pPr>
      <w:r w:rsidRPr="00892E93">
        <w:rPr>
          <w:rFonts w:ascii="Times New Roman" w:hAnsi="Times New Roman" w:cs="Times New Roman"/>
          <w:sz w:val="24"/>
          <w:szCs w:val="24"/>
        </w:rPr>
        <w:t>In o</w:t>
      </w:r>
      <w:r w:rsidRPr="00892E93">
        <w:rPr>
          <w:rFonts w:ascii="Times New Roman" w:hAnsi="Times New Roman" w:cs="Times New Roman"/>
          <w:bCs/>
          <w:sz w:val="24"/>
          <w:szCs w:val="24"/>
        </w:rPr>
        <w:t xml:space="preserve">ur Criminal code and specific legislations (Domestic Violence Act, Child Protection Act, the Protection of Elderly Persons Act, </w:t>
      </w:r>
      <w:r w:rsidRPr="00892E93">
        <w:rPr>
          <w:rFonts w:ascii="Times New Roman" w:hAnsi="Times New Roman" w:cs="Times New Roman"/>
          <w:sz w:val="24"/>
          <w:szCs w:val="24"/>
        </w:rPr>
        <w:t>The Protection of Human Rights Act 1998,</w:t>
      </w:r>
      <w:r w:rsidRPr="00892E93">
        <w:rPr>
          <w:rFonts w:ascii="Times New Roman" w:hAnsi="Times New Roman" w:cs="Times New Roman"/>
          <w:bCs/>
          <w:sz w:val="24"/>
          <w:szCs w:val="24"/>
        </w:rPr>
        <w:t xml:space="preserve"> etc.)  any act of violence or discrimination, simple and aggravating assaults, sexual offences, sexual harassment, acts of domestic violence, inciting racial hatred etc., is an offence under the different legislations.  </w:t>
      </w:r>
      <w:r w:rsidRPr="00892E93">
        <w:rPr>
          <w:rFonts w:ascii="Times New Roman" w:hAnsi="Times New Roman" w:cs="Times New Roman"/>
          <w:sz w:val="24"/>
          <w:szCs w:val="24"/>
        </w:rPr>
        <w:t>Specific rights of LGBTQIs are not specified in domestic law but the legislations afford the same protection to all individual irrespective of their gender identity of sexual orientation.</w:t>
      </w:r>
    </w:p>
    <w:p w14:paraId="3D28D58E" w14:textId="77777777" w:rsidR="00664DC7" w:rsidRDefault="00664DC7" w:rsidP="000752CF">
      <w:pPr>
        <w:jc w:val="both"/>
        <w:rPr>
          <w:rFonts w:ascii="Times New Roman" w:hAnsi="Times New Roman" w:cs="Times New Roman"/>
          <w:sz w:val="24"/>
          <w:szCs w:val="24"/>
        </w:rPr>
      </w:pPr>
    </w:p>
    <w:p w14:paraId="62957011" w14:textId="77777777" w:rsidR="00890464" w:rsidRDefault="00890464" w:rsidP="00D9126C">
      <w:pPr>
        <w:spacing w:line="276" w:lineRule="auto"/>
        <w:ind w:firstLine="720"/>
        <w:jc w:val="both"/>
        <w:rPr>
          <w:rFonts w:ascii="Times New Roman" w:hAnsi="Times New Roman" w:cs="Times New Roman"/>
          <w:sz w:val="24"/>
          <w:szCs w:val="24"/>
        </w:rPr>
      </w:pPr>
    </w:p>
    <w:p w14:paraId="19F920F5" w14:textId="77777777" w:rsidR="00664DC7" w:rsidRPr="00664DC7" w:rsidRDefault="00A56441" w:rsidP="00664DC7">
      <w:pPr>
        <w:spacing w:line="276" w:lineRule="auto"/>
        <w:ind w:firstLine="720"/>
        <w:jc w:val="right"/>
        <w:rPr>
          <w:rFonts w:ascii="Times New Roman" w:hAnsi="Times New Roman" w:cs="Times New Roman"/>
          <w:b/>
          <w:sz w:val="24"/>
          <w:szCs w:val="24"/>
        </w:rPr>
      </w:pPr>
      <w:r>
        <w:rPr>
          <w:rFonts w:ascii="Times New Roman" w:hAnsi="Times New Roman" w:cs="Times New Roman"/>
          <w:b/>
          <w:sz w:val="24"/>
          <w:szCs w:val="24"/>
        </w:rPr>
        <w:t>21</w:t>
      </w:r>
      <w:r w:rsidR="00664DC7" w:rsidRPr="00664DC7">
        <w:rPr>
          <w:rFonts w:ascii="Times New Roman" w:hAnsi="Times New Roman" w:cs="Times New Roman"/>
          <w:b/>
          <w:sz w:val="24"/>
          <w:szCs w:val="24"/>
        </w:rPr>
        <w:t>.10.2021</w:t>
      </w:r>
    </w:p>
    <w:sectPr w:rsidR="00664DC7" w:rsidRPr="00664DC7" w:rsidSect="00282A03">
      <w:footerReference w:type="default" r:id="rId11"/>
      <w:pgSz w:w="12240" w:h="15840"/>
      <w:pgMar w:top="63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F9BD8" w14:textId="77777777" w:rsidR="003C671A" w:rsidRDefault="003C671A" w:rsidP="002F5F77">
      <w:pPr>
        <w:spacing w:after="0" w:line="240" w:lineRule="auto"/>
      </w:pPr>
      <w:r>
        <w:separator/>
      </w:r>
    </w:p>
  </w:endnote>
  <w:endnote w:type="continuationSeparator" w:id="0">
    <w:p w14:paraId="567AA0A2" w14:textId="77777777" w:rsidR="003C671A" w:rsidRDefault="003C671A" w:rsidP="002F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982213"/>
      <w:docPartObj>
        <w:docPartGallery w:val="Page Numbers (Bottom of Page)"/>
        <w:docPartUnique/>
      </w:docPartObj>
    </w:sdtPr>
    <w:sdtEndPr>
      <w:rPr>
        <w:noProof/>
      </w:rPr>
    </w:sdtEndPr>
    <w:sdtContent>
      <w:p w14:paraId="1F934198" w14:textId="33481002" w:rsidR="00650206" w:rsidRDefault="00650206">
        <w:pPr>
          <w:pStyle w:val="Footer"/>
          <w:jc w:val="right"/>
        </w:pPr>
        <w:r>
          <w:fldChar w:fldCharType="begin"/>
        </w:r>
        <w:r>
          <w:instrText xml:space="preserve"> PAGE   \* MERGEFORMAT </w:instrText>
        </w:r>
        <w:r>
          <w:fldChar w:fldCharType="separate"/>
        </w:r>
        <w:r w:rsidR="007049D9">
          <w:rPr>
            <w:noProof/>
          </w:rPr>
          <w:t>1</w:t>
        </w:r>
        <w:r>
          <w:rPr>
            <w:noProof/>
          </w:rPr>
          <w:fldChar w:fldCharType="end"/>
        </w:r>
      </w:p>
    </w:sdtContent>
  </w:sdt>
  <w:p w14:paraId="6F4838F6" w14:textId="77777777" w:rsidR="00650206" w:rsidRDefault="006502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E1FEA" w14:textId="77777777" w:rsidR="003C671A" w:rsidRDefault="003C671A" w:rsidP="002F5F77">
      <w:pPr>
        <w:spacing w:after="0" w:line="240" w:lineRule="auto"/>
      </w:pPr>
      <w:r>
        <w:separator/>
      </w:r>
    </w:p>
  </w:footnote>
  <w:footnote w:type="continuationSeparator" w:id="0">
    <w:p w14:paraId="58DB393C" w14:textId="77777777" w:rsidR="003C671A" w:rsidRDefault="003C671A" w:rsidP="002F5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E9D"/>
    <w:multiLevelType w:val="hybridMultilevel"/>
    <w:tmpl w:val="9B9410CE"/>
    <w:lvl w:ilvl="0" w:tplc="BF6299FE">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01894"/>
    <w:multiLevelType w:val="hybridMultilevel"/>
    <w:tmpl w:val="1C1016E2"/>
    <w:lvl w:ilvl="0" w:tplc="BF6299FE">
      <w:start w:val="1"/>
      <w:numFmt w:val="lowerRoman"/>
      <w:lvlText w:val="(%1)"/>
      <w:lvlJc w:val="left"/>
      <w:pPr>
        <w:ind w:left="720" w:hanging="360"/>
      </w:pPr>
      <w:rPr>
        <w:rFonts w:hint="default"/>
        <w:b w:val="0"/>
        <w:i w:val="0"/>
        <w:color w:val="000000" w:themeColor="text1"/>
        <w:sz w:val="23"/>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F5CB1"/>
    <w:multiLevelType w:val="hybridMultilevel"/>
    <w:tmpl w:val="7CA671DA"/>
    <w:lvl w:ilvl="0" w:tplc="BF6299FE">
      <w:start w:val="1"/>
      <w:numFmt w:val="lowerRoman"/>
      <w:lvlText w:val="(%1)"/>
      <w:lvlJc w:val="left"/>
      <w:pPr>
        <w:ind w:left="1080" w:hanging="360"/>
      </w:pPr>
      <w:rPr>
        <w:rFonts w:hint="default"/>
        <w:b w:val="0"/>
        <w:i w:val="0"/>
        <w:color w:val="000000" w:themeColor="text1"/>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6E7BE4"/>
    <w:multiLevelType w:val="hybridMultilevel"/>
    <w:tmpl w:val="10724472"/>
    <w:lvl w:ilvl="0" w:tplc="CB04EE92">
      <w:start w:val="1"/>
      <w:numFmt w:val="lowerLetter"/>
      <w:lvlText w:val="(%1)"/>
      <w:lvlJc w:val="right"/>
      <w:pPr>
        <w:ind w:left="720" w:hanging="360"/>
      </w:pPr>
      <w:rPr>
        <w:rFonts w:hint="default"/>
        <w:b w:val="0"/>
        <w:i w:val="0"/>
        <w:color w:val="000000" w:themeColor="text1"/>
        <w:sz w:val="23"/>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3036F"/>
    <w:multiLevelType w:val="hybridMultilevel"/>
    <w:tmpl w:val="DB8078E4"/>
    <w:lvl w:ilvl="0" w:tplc="EB42EE28">
      <w:start w:val="1"/>
      <w:numFmt w:val="lowerLetter"/>
      <w:lvlText w:val="(%1)"/>
      <w:lvlJc w:val="left"/>
      <w:pPr>
        <w:ind w:left="720" w:hanging="360"/>
      </w:pPr>
      <w:rPr>
        <w:rFonts w:hint="default"/>
        <w:b w:val="0"/>
        <w:i w:val="0"/>
        <w:color w:val="000000" w:themeColor="text1"/>
        <w:sz w:val="23"/>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E15F4"/>
    <w:multiLevelType w:val="hybridMultilevel"/>
    <w:tmpl w:val="10724472"/>
    <w:lvl w:ilvl="0" w:tplc="CB04EE92">
      <w:start w:val="1"/>
      <w:numFmt w:val="lowerLetter"/>
      <w:lvlText w:val="(%1)"/>
      <w:lvlJc w:val="right"/>
      <w:pPr>
        <w:ind w:left="720" w:hanging="360"/>
      </w:pPr>
      <w:rPr>
        <w:rFonts w:hint="default"/>
        <w:b w:val="0"/>
        <w:i w:val="0"/>
        <w:color w:val="000000" w:themeColor="text1"/>
        <w:sz w:val="23"/>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B125F"/>
    <w:multiLevelType w:val="hybridMultilevel"/>
    <w:tmpl w:val="7FD20C8C"/>
    <w:lvl w:ilvl="0" w:tplc="E2800BBA">
      <w:start w:val="1"/>
      <w:numFmt w:val="decimal"/>
      <w:lvlText w:val="%1."/>
      <w:lvlJc w:val="left"/>
      <w:pPr>
        <w:ind w:left="450" w:hanging="360"/>
      </w:pPr>
      <w:rPr>
        <w:b w:val="0"/>
        <w:i w:val="0"/>
        <w:color w:val="000000" w:themeColor="text1"/>
      </w:rPr>
    </w:lvl>
    <w:lvl w:ilvl="1" w:tplc="BA5879F4">
      <w:numFmt w:val="bullet"/>
      <w:lvlText w:val="-"/>
      <w:lvlJc w:val="left"/>
      <w:pPr>
        <w:ind w:left="1440" w:hanging="720"/>
      </w:pPr>
      <w:rPr>
        <w:rFonts w:ascii="Times New Roman" w:eastAsiaTheme="minorHAnsi" w:hAnsi="Times New Roman" w:cs="Times New Roman" w:hint="default"/>
      </w:rPr>
    </w:lvl>
    <w:lvl w:ilvl="2" w:tplc="E38E8416">
      <w:start w:val="4"/>
      <w:numFmt w:val="bullet"/>
      <w:lvlText w:val="•"/>
      <w:lvlJc w:val="left"/>
      <w:pPr>
        <w:ind w:left="2340" w:hanging="720"/>
      </w:pPr>
      <w:rPr>
        <w:rFonts w:ascii="Times New Roman" w:eastAsiaTheme="minorHAns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18376B"/>
    <w:multiLevelType w:val="hybridMultilevel"/>
    <w:tmpl w:val="80BE6868"/>
    <w:lvl w:ilvl="0" w:tplc="BF6299FE">
      <w:start w:val="1"/>
      <w:numFmt w:val="lowerRoman"/>
      <w:lvlText w:val="(%1)"/>
      <w:lvlJc w:val="left"/>
      <w:pPr>
        <w:ind w:left="1080" w:hanging="360"/>
      </w:pPr>
      <w:rPr>
        <w:rFonts w:hint="default"/>
        <w:b w:val="0"/>
        <w:i w:val="0"/>
        <w:color w:val="000000" w:themeColor="text1"/>
        <w:sz w:val="23"/>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3C6B1A29"/>
    <w:multiLevelType w:val="hybridMultilevel"/>
    <w:tmpl w:val="0182462C"/>
    <w:lvl w:ilvl="0" w:tplc="CB04EE92">
      <w:start w:val="1"/>
      <w:numFmt w:val="lowerLetter"/>
      <w:lvlText w:val="(%1)"/>
      <w:lvlJc w:val="right"/>
      <w:pPr>
        <w:ind w:left="450" w:hanging="360"/>
      </w:pPr>
      <w:rPr>
        <w:rFonts w:hint="default"/>
        <w:b w:val="0"/>
        <w:i w:val="0"/>
        <w:color w:val="000000" w:themeColor="text1"/>
      </w:rPr>
    </w:lvl>
    <w:lvl w:ilvl="1" w:tplc="BA5879F4">
      <w:numFmt w:val="bullet"/>
      <w:lvlText w:val="-"/>
      <w:lvlJc w:val="left"/>
      <w:pPr>
        <w:ind w:left="1440" w:hanging="720"/>
      </w:pPr>
      <w:rPr>
        <w:rFonts w:ascii="Times New Roman" w:eastAsiaTheme="minorHAnsi" w:hAnsi="Times New Roman" w:cs="Times New Roman" w:hint="default"/>
      </w:rPr>
    </w:lvl>
    <w:lvl w:ilvl="2" w:tplc="E38E8416">
      <w:start w:val="4"/>
      <w:numFmt w:val="bullet"/>
      <w:lvlText w:val="•"/>
      <w:lvlJc w:val="left"/>
      <w:pPr>
        <w:ind w:left="2340" w:hanging="720"/>
      </w:pPr>
      <w:rPr>
        <w:rFonts w:ascii="Times New Roman" w:eastAsiaTheme="minorHAns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FE1CBE"/>
    <w:multiLevelType w:val="hybridMultilevel"/>
    <w:tmpl w:val="A4945F8C"/>
    <w:lvl w:ilvl="0" w:tplc="24866D10">
      <w:start w:val="4"/>
      <w:numFmt w:val="bullet"/>
      <w:lvlText w:val="•"/>
      <w:lvlJc w:val="left"/>
      <w:pPr>
        <w:ind w:left="1440" w:hanging="360"/>
      </w:pPr>
      <w:rPr>
        <w:rFonts w:ascii="Times New Roman" w:eastAsiaTheme="minorHAnsi" w:hAnsi="Times New Roman" w:cs="Times New Roman" w:hint="default"/>
        <w:b w:val="0"/>
        <w:i w:val="0"/>
        <w:color w:val="000000" w:themeColor="text1"/>
        <w:sz w:val="28"/>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5A1C39"/>
    <w:multiLevelType w:val="hybridMultilevel"/>
    <w:tmpl w:val="7FD20C8C"/>
    <w:lvl w:ilvl="0" w:tplc="E2800BBA">
      <w:start w:val="1"/>
      <w:numFmt w:val="decimal"/>
      <w:lvlText w:val="%1."/>
      <w:lvlJc w:val="left"/>
      <w:pPr>
        <w:ind w:left="450" w:hanging="360"/>
      </w:pPr>
      <w:rPr>
        <w:b w:val="0"/>
        <w:i w:val="0"/>
        <w:color w:val="000000" w:themeColor="text1"/>
      </w:rPr>
    </w:lvl>
    <w:lvl w:ilvl="1" w:tplc="BA5879F4">
      <w:numFmt w:val="bullet"/>
      <w:lvlText w:val="-"/>
      <w:lvlJc w:val="left"/>
      <w:pPr>
        <w:ind w:left="1440" w:hanging="720"/>
      </w:pPr>
      <w:rPr>
        <w:rFonts w:ascii="Times New Roman" w:eastAsiaTheme="minorHAnsi" w:hAnsi="Times New Roman" w:cs="Times New Roman" w:hint="default"/>
      </w:rPr>
    </w:lvl>
    <w:lvl w:ilvl="2" w:tplc="E38E8416">
      <w:start w:val="4"/>
      <w:numFmt w:val="bullet"/>
      <w:lvlText w:val="•"/>
      <w:lvlJc w:val="left"/>
      <w:pPr>
        <w:ind w:left="2340" w:hanging="720"/>
      </w:pPr>
      <w:rPr>
        <w:rFonts w:ascii="Times New Roman" w:eastAsiaTheme="minorHAns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1B3CCC"/>
    <w:multiLevelType w:val="hybridMultilevel"/>
    <w:tmpl w:val="4A9495EE"/>
    <w:lvl w:ilvl="0" w:tplc="BF6299FE">
      <w:start w:val="1"/>
      <w:numFmt w:val="lowerRoman"/>
      <w:lvlText w:val="(%1)"/>
      <w:lvlJc w:val="left"/>
      <w:pPr>
        <w:ind w:left="1440" w:hanging="360"/>
      </w:pPr>
      <w:rPr>
        <w:rFonts w:hint="default"/>
        <w:b w:val="0"/>
        <w:i w:val="0"/>
        <w:color w:val="000000" w:themeColor="text1"/>
        <w:sz w:val="23"/>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92128B"/>
    <w:multiLevelType w:val="hybridMultilevel"/>
    <w:tmpl w:val="2160DB86"/>
    <w:lvl w:ilvl="0" w:tplc="B5ECCFB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20E37"/>
    <w:multiLevelType w:val="hybridMultilevel"/>
    <w:tmpl w:val="0A50EE84"/>
    <w:lvl w:ilvl="0" w:tplc="BF6299F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682E30"/>
    <w:multiLevelType w:val="hybridMultilevel"/>
    <w:tmpl w:val="4C9C6DF6"/>
    <w:lvl w:ilvl="0" w:tplc="B5ECCFB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67408"/>
    <w:multiLevelType w:val="hybridMultilevel"/>
    <w:tmpl w:val="C792DFD2"/>
    <w:lvl w:ilvl="0" w:tplc="24866D10">
      <w:start w:val="4"/>
      <w:numFmt w:val="bullet"/>
      <w:lvlText w:val="•"/>
      <w:lvlJc w:val="left"/>
      <w:pPr>
        <w:ind w:left="1080" w:hanging="360"/>
      </w:pPr>
      <w:rPr>
        <w:rFonts w:ascii="Times New Roman" w:eastAsiaTheme="minorHAnsi"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292A22"/>
    <w:multiLevelType w:val="hybridMultilevel"/>
    <w:tmpl w:val="10724472"/>
    <w:lvl w:ilvl="0" w:tplc="CB04EE92">
      <w:start w:val="1"/>
      <w:numFmt w:val="lowerLetter"/>
      <w:lvlText w:val="(%1)"/>
      <w:lvlJc w:val="right"/>
      <w:pPr>
        <w:ind w:left="720" w:hanging="360"/>
      </w:pPr>
      <w:rPr>
        <w:rFonts w:hint="default"/>
        <w:b w:val="0"/>
        <w:i w:val="0"/>
        <w:color w:val="000000" w:themeColor="text1"/>
        <w:sz w:val="23"/>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A737F"/>
    <w:multiLevelType w:val="hybridMultilevel"/>
    <w:tmpl w:val="7FD20C8C"/>
    <w:lvl w:ilvl="0" w:tplc="E2800BBA">
      <w:start w:val="1"/>
      <w:numFmt w:val="decimal"/>
      <w:lvlText w:val="%1."/>
      <w:lvlJc w:val="left"/>
      <w:pPr>
        <w:ind w:left="450" w:hanging="360"/>
      </w:pPr>
      <w:rPr>
        <w:b w:val="0"/>
        <w:i w:val="0"/>
        <w:color w:val="000000" w:themeColor="text1"/>
      </w:rPr>
    </w:lvl>
    <w:lvl w:ilvl="1" w:tplc="BA5879F4">
      <w:numFmt w:val="bullet"/>
      <w:lvlText w:val="-"/>
      <w:lvlJc w:val="left"/>
      <w:pPr>
        <w:ind w:left="1440" w:hanging="720"/>
      </w:pPr>
      <w:rPr>
        <w:rFonts w:ascii="Times New Roman" w:eastAsiaTheme="minorHAnsi" w:hAnsi="Times New Roman" w:cs="Times New Roman" w:hint="default"/>
      </w:rPr>
    </w:lvl>
    <w:lvl w:ilvl="2" w:tplc="E38E8416">
      <w:start w:val="4"/>
      <w:numFmt w:val="bullet"/>
      <w:lvlText w:val="•"/>
      <w:lvlJc w:val="left"/>
      <w:pPr>
        <w:ind w:left="2340" w:hanging="720"/>
      </w:pPr>
      <w:rPr>
        <w:rFonts w:ascii="Times New Roman" w:eastAsiaTheme="minorHAns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730A1F"/>
    <w:multiLevelType w:val="hybridMultilevel"/>
    <w:tmpl w:val="0CC4FF60"/>
    <w:lvl w:ilvl="0" w:tplc="B5ECCFBE">
      <w:start w:val="1"/>
      <w:numFmt w:val="decimal"/>
      <w:lvlText w:val="%1."/>
      <w:lvlJc w:val="righ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9" w15:restartNumberingAfterBreak="0">
    <w:nsid w:val="791B4141"/>
    <w:multiLevelType w:val="hybridMultilevel"/>
    <w:tmpl w:val="D7D6A6F8"/>
    <w:lvl w:ilvl="0" w:tplc="20000003">
      <w:start w:val="1"/>
      <w:numFmt w:val="bullet"/>
      <w:lvlText w:val="o"/>
      <w:lvlJc w:val="left"/>
      <w:pPr>
        <w:ind w:left="2159" w:hanging="360"/>
      </w:pPr>
      <w:rPr>
        <w:rFonts w:ascii="Courier New" w:hAnsi="Courier New" w:cs="Courier New" w:hint="default"/>
      </w:rPr>
    </w:lvl>
    <w:lvl w:ilvl="1" w:tplc="20000003" w:tentative="1">
      <w:start w:val="1"/>
      <w:numFmt w:val="bullet"/>
      <w:lvlText w:val="o"/>
      <w:lvlJc w:val="left"/>
      <w:pPr>
        <w:ind w:left="2879" w:hanging="360"/>
      </w:pPr>
      <w:rPr>
        <w:rFonts w:ascii="Courier New" w:hAnsi="Courier New" w:cs="Courier New" w:hint="default"/>
      </w:rPr>
    </w:lvl>
    <w:lvl w:ilvl="2" w:tplc="20000005" w:tentative="1">
      <w:start w:val="1"/>
      <w:numFmt w:val="bullet"/>
      <w:lvlText w:val=""/>
      <w:lvlJc w:val="left"/>
      <w:pPr>
        <w:ind w:left="3599" w:hanging="360"/>
      </w:pPr>
      <w:rPr>
        <w:rFonts w:ascii="Wingdings" w:hAnsi="Wingdings" w:hint="default"/>
      </w:rPr>
    </w:lvl>
    <w:lvl w:ilvl="3" w:tplc="20000001" w:tentative="1">
      <w:start w:val="1"/>
      <w:numFmt w:val="bullet"/>
      <w:lvlText w:val=""/>
      <w:lvlJc w:val="left"/>
      <w:pPr>
        <w:ind w:left="4319" w:hanging="360"/>
      </w:pPr>
      <w:rPr>
        <w:rFonts w:ascii="Symbol" w:hAnsi="Symbol" w:hint="default"/>
      </w:rPr>
    </w:lvl>
    <w:lvl w:ilvl="4" w:tplc="20000003" w:tentative="1">
      <w:start w:val="1"/>
      <w:numFmt w:val="bullet"/>
      <w:lvlText w:val="o"/>
      <w:lvlJc w:val="left"/>
      <w:pPr>
        <w:ind w:left="5039" w:hanging="360"/>
      </w:pPr>
      <w:rPr>
        <w:rFonts w:ascii="Courier New" w:hAnsi="Courier New" w:cs="Courier New" w:hint="default"/>
      </w:rPr>
    </w:lvl>
    <w:lvl w:ilvl="5" w:tplc="20000005" w:tentative="1">
      <w:start w:val="1"/>
      <w:numFmt w:val="bullet"/>
      <w:lvlText w:val=""/>
      <w:lvlJc w:val="left"/>
      <w:pPr>
        <w:ind w:left="5759" w:hanging="360"/>
      </w:pPr>
      <w:rPr>
        <w:rFonts w:ascii="Wingdings" w:hAnsi="Wingdings" w:hint="default"/>
      </w:rPr>
    </w:lvl>
    <w:lvl w:ilvl="6" w:tplc="20000001" w:tentative="1">
      <w:start w:val="1"/>
      <w:numFmt w:val="bullet"/>
      <w:lvlText w:val=""/>
      <w:lvlJc w:val="left"/>
      <w:pPr>
        <w:ind w:left="6479" w:hanging="360"/>
      </w:pPr>
      <w:rPr>
        <w:rFonts w:ascii="Symbol" w:hAnsi="Symbol" w:hint="default"/>
      </w:rPr>
    </w:lvl>
    <w:lvl w:ilvl="7" w:tplc="20000003" w:tentative="1">
      <w:start w:val="1"/>
      <w:numFmt w:val="bullet"/>
      <w:lvlText w:val="o"/>
      <w:lvlJc w:val="left"/>
      <w:pPr>
        <w:ind w:left="7199" w:hanging="360"/>
      </w:pPr>
      <w:rPr>
        <w:rFonts w:ascii="Courier New" w:hAnsi="Courier New" w:cs="Courier New" w:hint="default"/>
      </w:rPr>
    </w:lvl>
    <w:lvl w:ilvl="8" w:tplc="20000005" w:tentative="1">
      <w:start w:val="1"/>
      <w:numFmt w:val="bullet"/>
      <w:lvlText w:val=""/>
      <w:lvlJc w:val="left"/>
      <w:pPr>
        <w:ind w:left="7919" w:hanging="360"/>
      </w:pPr>
      <w:rPr>
        <w:rFonts w:ascii="Wingdings" w:hAnsi="Wingdings" w:hint="default"/>
      </w:rPr>
    </w:lvl>
  </w:abstractNum>
  <w:abstractNum w:abstractNumId="20" w15:restartNumberingAfterBreak="0">
    <w:nsid w:val="7B6E6B07"/>
    <w:multiLevelType w:val="hybridMultilevel"/>
    <w:tmpl w:val="8BF23AA2"/>
    <w:lvl w:ilvl="0" w:tplc="BF6299FE">
      <w:start w:val="1"/>
      <w:numFmt w:val="lowerRoman"/>
      <w:lvlText w:val="(%1)"/>
      <w:lvlJc w:val="left"/>
      <w:pPr>
        <w:ind w:left="1080" w:hanging="360"/>
      </w:pPr>
      <w:rPr>
        <w:rFonts w:hint="default"/>
        <w:b w:val="0"/>
        <w:i w:val="0"/>
        <w:color w:val="000000" w:themeColor="text1"/>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96469D"/>
    <w:multiLevelType w:val="hybridMultilevel"/>
    <w:tmpl w:val="4DAAF418"/>
    <w:lvl w:ilvl="0" w:tplc="E2800BBA">
      <w:start w:val="1"/>
      <w:numFmt w:val="decimal"/>
      <w:lvlText w:val="%1."/>
      <w:lvlJc w:val="left"/>
      <w:pPr>
        <w:ind w:left="360" w:hanging="360"/>
      </w:pPr>
      <w:rPr>
        <w:b w:val="0"/>
        <w:i w:val="0"/>
        <w:color w:val="000000" w:themeColor="text1"/>
      </w:rPr>
    </w:lvl>
    <w:lvl w:ilvl="1" w:tplc="BF6299FE">
      <w:start w:val="1"/>
      <w:numFmt w:val="lowerRoman"/>
      <w:lvlText w:val="(%2)"/>
      <w:lvlJc w:val="left"/>
      <w:pPr>
        <w:ind w:left="1440" w:hanging="720"/>
      </w:pPr>
      <w:rPr>
        <w:rFonts w:hint="default"/>
        <w:b w:val="0"/>
        <w:i w:val="0"/>
        <w:color w:val="000000" w:themeColor="text1"/>
        <w:sz w:val="23"/>
      </w:rPr>
    </w:lvl>
    <w:lvl w:ilvl="2" w:tplc="E38E8416">
      <w:start w:val="4"/>
      <w:numFmt w:val="bullet"/>
      <w:lvlText w:val="•"/>
      <w:lvlJc w:val="left"/>
      <w:pPr>
        <w:ind w:left="2340" w:hanging="720"/>
      </w:pPr>
      <w:rPr>
        <w:rFonts w:ascii="Times New Roman" w:eastAsiaTheme="minorHAns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6"/>
  </w:num>
  <w:num w:numId="3">
    <w:abstractNumId w:val="4"/>
  </w:num>
  <w:num w:numId="4">
    <w:abstractNumId w:val="2"/>
  </w:num>
  <w:num w:numId="5">
    <w:abstractNumId w:val="7"/>
  </w:num>
  <w:num w:numId="6">
    <w:abstractNumId w:val="13"/>
  </w:num>
  <w:num w:numId="7">
    <w:abstractNumId w:val="1"/>
  </w:num>
  <w:num w:numId="8">
    <w:abstractNumId w:val="0"/>
  </w:num>
  <w:num w:numId="9">
    <w:abstractNumId w:val="20"/>
  </w:num>
  <w:num w:numId="10">
    <w:abstractNumId w:val="21"/>
  </w:num>
  <w:num w:numId="11">
    <w:abstractNumId w:val="15"/>
  </w:num>
  <w:num w:numId="12">
    <w:abstractNumId w:val="6"/>
  </w:num>
  <w:num w:numId="13">
    <w:abstractNumId w:val="8"/>
  </w:num>
  <w:num w:numId="14">
    <w:abstractNumId w:val="10"/>
  </w:num>
  <w:num w:numId="15">
    <w:abstractNumId w:val="11"/>
  </w:num>
  <w:num w:numId="16">
    <w:abstractNumId w:val="19"/>
  </w:num>
  <w:num w:numId="17">
    <w:abstractNumId w:val="18"/>
  </w:num>
  <w:num w:numId="18">
    <w:abstractNumId w:val="12"/>
  </w:num>
  <w:num w:numId="19">
    <w:abstractNumId w:val="14"/>
  </w:num>
  <w:num w:numId="20">
    <w:abstractNumId w:val="3"/>
  </w:num>
  <w:num w:numId="21">
    <w:abstractNumId w:val="5"/>
  </w:num>
  <w:num w:numId="2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doNotDisplayPageBoundaries/>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C3"/>
    <w:rsid w:val="000034B0"/>
    <w:rsid w:val="000044D2"/>
    <w:rsid w:val="00004559"/>
    <w:rsid w:val="0000523D"/>
    <w:rsid w:val="00012C17"/>
    <w:rsid w:val="00020510"/>
    <w:rsid w:val="00034E08"/>
    <w:rsid w:val="00036C66"/>
    <w:rsid w:val="0003711D"/>
    <w:rsid w:val="000377C9"/>
    <w:rsid w:val="00037C2D"/>
    <w:rsid w:val="0004179E"/>
    <w:rsid w:val="000418CF"/>
    <w:rsid w:val="0004485C"/>
    <w:rsid w:val="000503E7"/>
    <w:rsid w:val="00052061"/>
    <w:rsid w:val="0005248A"/>
    <w:rsid w:val="00062825"/>
    <w:rsid w:val="000733D9"/>
    <w:rsid w:val="00074658"/>
    <w:rsid w:val="000752CF"/>
    <w:rsid w:val="0007744B"/>
    <w:rsid w:val="00077951"/>
    <w:rsid w:val="00086B32"/>
    <w:rsid w:val="0009139A"/>
    <w:rsid w:val="00092D63"/>
    <w:rsid w:val="0009572B"/>
    <w:rsid w:val="000964DE"/>
    <w:rsid w:val="00096DE0"/>
    <w:rsid w:val="000A2A5E"/>
    <w:rsid w:val="000B2DA6"/>
    <w:rsid w:val="000C22F4"/>
    <w:rsid w:val="000C3B1C"/>
    <w:rsid w:val="000C4E3B"/>
    <w:rsid w:val="000E0B0A"/>
    <w:rsid w:val="000E14E7"/>
    <w:rsid w:val="000E5BC0"/>
    <w:rsid w:val="000F4DC4"/>
    <w:rsid w:val="000F7E22"/>
    <w:rsid w:val="001027A2"/>
    <w:rsid w:val="00102907"/>
    <w:rsid w:val="00105835"/>
    <w:rsid w:val="001128DA"/>
    <w:rsid w:val="0011330A"/>
    <w:rsid w:val="00113A64"/>
    <w:rsid w:val="001160EB"/>
    <w:rsid w:val="00121FB2"/>
    <w:rsid w:val="00122512"/>
    <w:rsid w:val="0012611D"/>
    <w:rsid w:val="00131858"/>
    <w:rsid w:val="0013216C"/>
    <w:rsid w:val="001425D4"/>
    <w:rsid w:val="001442C0"/>
    <w:rsid w:val="0015008C"/>
    <w:rsid w:val="001548A2"/>
    <w:rsid w:val="001654A8"/>
    <w:rsid w:val="0017232B"/>
    <w:rsid w:val="00174638"/>
    <w:rsid w:val="0018095B"/>
    <w:rsid w:val="0018161A"/>
    <w:rsid w:val="00184914"/>
    <w:rsid w:val="00186B94"/>
    <w:rsid w:val="00193AA4"/>
    <w:rsid w:val="00197D90"/>
    <w:rsid w:val="001A0AA1"/>
    <w:rsid w:val="001A1F9E"/>
    <w:rsid w:val="001A4FA3"/>
    <w:rsid w:val="001B118F"/>
    <w:rsid w:val="001B2BC5"/>
    <w:rsid w:val="001C09FE"/>
    <w:rsid w:val="001C7799"/>
    <w:rsid w:val="001D0775"/>
    <w:rsid w:val="001E0BFE"/>
    <w:rsid w:val="001E26CB"/>
    <w:rsid w:val="001E47A4"/>
    <w:rsid w:val="001E576C"/>
    <w:rsid w:val="001F6137"/>
    <w:rsid w:val="0020367F"/>
    <w:rsid w:val="002039AF"/>
    <w:rsid w:val="0020516C"/>
    <w:rsid w:val="00210005"/>
    <w:rsid w:val="002129D9"/>
    <w:rsid w:val="002150C1"/>
    <w:rsid w:val="0022188E"/>
    <w:rsid w:val="00234678"/>
    <w:rsid w:val="00235EF6"/>
    <w:rsid w:val="00236C38"/>
    <w:rsid w:val="002427A3"/>
    <w:rsid w:val="002428B3"/>
    <w:rsid w:val="00253401"/>
    <w:rsid w:val="0025501F"/>
    <w:rsid w:val="00274744"/>
    <w:rsid w:val="002826E2"/>
    <w:rsid w:val="00282A03"/>
    <w:rsid w:val="00286320"/>
    <w:rsid w:val="00291862"/>
    <w:rsid w:val="00292C9A"/>
    <w:rsid w:val="002A039F"/>
    <w:rsid w:val="002A5C05"/>
    <w:rsid w:val="002B274A"/>
    <w:rsid w:val="002B3093"/>
    <w:rsid w:val="002B4FE0"/>
    <w:rsid w:val="002B7DA2"/>
    <w:rsid w:val="002D4C12"/>
    <w:rsid w:val="002D4E4E"/>
    <w:rsid w:val="002E112F"/>
    <w:rsid w:val="002E24AA"/>
    <w:rsid w:val="002E526C"/>
    <w:rsid w:val="002E5B0F"/>
    <w:rsid w:val="002F001B"/>
    <w:rsid w:val="002F5F77"/>
    <w:rsid w:val="0030632C"/>
    <w:rsid w:val="00306B93"/>
    <w:rsid w:val="00306E46"/>
    <w:rsid w:val="00315EBC"/>
    <w:rsid w:val="0031672F"/>
    <w:rsid w:val="003168D0"/>
    <w:rsid w:val="0032012E"/>
    <w:rsid w:val="003205A9"/>
    <w:rsid w:val="00322FED"/>
    <w:rsid w:val="0032371E"/>
    <w:rsid w:val="003259A4"/>
    <w:rsid w:val="0032775F"/>
    <w:rsid w:val="00342047"/>
    <w:rsid w:val="00353B22"/>
    <w:rsid w:val="0035451A"/>
    <w:rsid w:val="00354786"/>
    <w:rsid w:val="003564C7"/>
    <w:rsid w:val="00361150"/>
    <w:rsid w:val="00362BF7"/>
    <w:rsid w:val="00364C59"/>
    <w:rsid w:val="0036598C"/>
    <w:rsid w:val="003679A0"/>
    <w:rsid w:val="0037125D"/>
    <w:rsid w:val="00371F94"/>
    <w:rsid w:val="00376D45"/>
    <w:rsid w:val="00383361"/>
    <w:rsid w:val="003844E9"/>
    <w:rsid w:val="003A1E7E"/>
    <w:rsid w:val="003A44E6"/>
    <w:rsid w:val="003A72B6"/>
    <w:rsid w:val="003A7623"/>
    <w:rsid w:val="003B64DF"/>
    <w:rsid w:val="003B6E2E"/>
    <w:rsid w:val="003C671A"/>
    <w:rsid w:val="003D3089"/>
    <w:rsid w:val="003D329F"/>
    <w:rsid w:val="003D7C27"/>
    <w:rsid w:val="003E4574"/>
    <w:rsid w:val="003F06B8"/>
    <w:rsid w:val="003F3C73"/>
    <w:rsid w:val="003F4DCD"/>
    <w:rsid w:val="003F7438"/>
    <w:rsid w:val="00401990"/>
    <w:rsid w:val="00402554"/>
    <w:rsid w:val="00404601"/>
    <w:rsid w:val="00406084"/>
    <w:rsid w:val="00410F3C"/>
    <w:rsid w:val="00417470"/>
    <w:rsid w:val="00420336"/>
    <w:rsid w:val="004263C9"/>
    <w:rsid w:val="004278CF"/>
    <w:rsid w:val="004323E5"/>
    <w:rsid w:val="00434A6E"/>
    <w:rsid w:val="00437FC8"/>
    <w:rsid w:val="00447124"/>
    <w:rsid w:val="004608A1"/>
    <w:rsid w:val="0046113A"/>
    <w:rsid w:val="004612F3"/>
    <w:rsid w:val="00466A31"/>
    <w:rsid w:val="00471801"/>
    <w:rsid w:val="00473A52"/>
    <w:rsid w:val="004778D1"/>
    <w:rsid w:val="00480E75"/>
    <w:rsid w:val="004817A6"/>
    <w:rsid w:val="00483BB1"/>
    <w:rsid w:val="00483F55"/>
    <w:rsid w:val="00485947"/>
    <w:rsid w:val="00494857"/>
    <w:rsid w:val="00495520"/>
    <w:rsid w:val="00497488"/>
    <w:rsid w:val="004A14C9"/>
    <w:rsid w:val="004A2C96"/>
    <w:rsid w:val="004A7D24"/>
    <w:rsid w:val="004B7AA7"/>
    <w:rsid w:val="004C2773"/>
    <w:rsid w:val="004C4087"/>
    <w:rsid w:val="004D160E"/>
    <w:rsid w:val="004D6719"/>
    <w:rsid w:val="004D6BD4"/>
    <w:rsid w:val="004E4B98"/>
    <w:rsid w:val="004E6A07"/>
    <w:rsid w:val="004E71C1"/>
    <w:rsid w:val="004F13B3"/>
    <w:rsid w:val="004F3135"/>
    <w:rsid w:val="00517113"/>
    <w:rsid w:val="00531A89"/>
    <w:rsid w:val="00531E73"/>
    <w:rsid w:val="005359C8"/>
    <w:rsid w:val="00546835"/>
    <w:rsid w:val="00546EA3"/>
    <w:rsid w:val="00555556"/>
    <w:rsid w:val="0057596C"/>
    <w:rsid w:val="005759CF"/>
    <w:rsid w:val="00581B6A"/>
    <w:rsid w:val="005838F8"/>
    <w:rsid w:val="00586C51"/>
    <w:rsid w:val="005908B4"/>
    <w:rsid w:val="00592EC4"/>
    <w:rsid w:val="005932E4"/>
    <w:rsid w:val="00595614"/>
    <w:rsid w:val="005A269B"/>
    <w:rsid w:val="005A3432"/>
    <w:rsid w:val="005A4305"/>
    <w:rsid w:val="005A5DFD"/>
    <w:rsid w:val="005B0467"/>
    <w:rsid w:val="005C475B"/>
    <w:rsid w:val="005D001F"/>
    <w:rsid w:val="005E32A3"/>
    <w:rsid w:val="005E48F2"/>
    <w:rsid w:val="005F0F5D"/>
    <w:rsid w:val="0060006E"/>
    <w:rsid w:val="006017D6"/>
    <w:rsid w:val="00602725"/>
    <w:rsid w:val="00603180"/>
    <w:rsid w:val="00606DEF"/>
    <w:rsid w:val="0060718D"/>
    <w:rsid w:val="006134AD"/>
    <w:rsid w:val="00616F9A"/>
    <w:rsid w:val="0062329C"/>
    <w:rsid w:val="00624623"/>
    <w:rsid w:val="006257C2"/>
    <w:rsid w:val="00632811"/>
    <w:rsid w:val="006331C9"/>
    <w:rsid w:val="00637DA2"/>
    <w:rsid w:val="0064679A"/>
    <w:rsid w:val="00650206"/>
    <w:rsid w:val="006514E5"/>
    <w:rsid w:val="00651DFF"/>
    <w:rsid w:val="0065284B"/>
    <w:rsid w:val="00653EB2"/>
    <w:rsid w:val="00656F1F"/>
    <w:rsid w:val="00661478"/>
    <w:rsid w:val="00662E9B"/>
    <w:rsid w:val="006638D9"/>
    <w:rsid w:val="00664DC7"/>
    <w:rsid w:val="00665D83"/>
    <w:rsid w:val="006718DA"/>
    <w:rsid w:val="00673EC8"/>
    <w:rsid w:val="006754B0"/>
    <w:rsid w:val="006852C0"/>
    <w:rsid w:val="00686638"/>
    <w:rsid w:val="0069297A"/>
    <w:rsid w:val="006A0B6B"/>
    <w:rsid w:val="006C5503"/>
    <w:rsid w:val="006E0002"/>
    <w:rsid w:val="006E3627"/>
    <w:rsid w:val="006E3C25"/>
    <w:rsid w:val="006F41BA"/>
    <w:rsid w:val="007021E8"/>
    <w:rsid w:val="00703DB2"/>
    <w:rsid w:val="00703ED8"/>
    <w:rsid w:val="007049D9"/>
    <w:rsid w:val="0070755C"/>
    <w:rsid w:val="00717E5E"/>
    <w:rsid w:val="00725C59"/>
    <w:rsid w:val="007270B2"/>
    <w:rsid w:val="00730501"/>
    <w:rsid w:val="00736A65"/>
    <w:rsid w:val="007466F1"/>
    <w:rsid w:val="00747072"/>
    <w:rsid w:val="00747B87"/>
    <w:rsid w:val="00756AA3"/>
    <w:rsid w:val="007751BF"/>
    <w:rsid w:val="00782238"/>
    <w:rsid w:val="007841EE"/>
    <w:rsid w:val="007852D2"/>
    <w:rsid w:val="007875CF"/>
    <w:rsid w:val="007878F1"/>
    <w:rsid w:val="00791722"/>
    <w:rsid w:val="007A0A5C"/>
    <w:rsid w:val="007B3F73"/>
    <w:rsid w:val="007B5413"/>
    <w:rsid w:val="007C3897"/>
    <w:rsid w:val="007C50A1"/>
    <w:rsid w:val="007D387C"/>
    <w:rsid w:val="007D4623"/>
    <w:rsid w:val="007D4D38"/>
    <w:rsid w:val="007D5892"/>
    <w:rsid w:val="007E4A57"/>
    <w:rsid w:val="007E6CEC"/>
    <w:rsid w:val="007F5AC8"/>
    <w:rsid w:val="008001E7"/>
    <w:rsid w:val="00804D38"/>
    <w:rsid w:val="00811B90"/>
    <w:rsid w:val="00812C6E"/>
    <w:rsid w:val="008138BF"/>
    <w:rsid w:val="0081790B"/>
    <w:rsid w:val="008200CD"/>
    <w:rsid w:val="008320FF"/>
    <w:rsid w:val="00835A67"/>
    <w:rsid w:val="008401AE"/>
    <w:rsid w:val="00842C86"/>
    <w:rsid w:val="0084678A"/>
    <w:rsid w:val="008467BD"/>
    <w:rsid w:val="00847022"/>
    <w:rsid w:val="008473C4"/>
    <w:rsid w:val="00850640"/>
    <w:rsid w:val="00851438"/>
    <w:rsid w:val="008540A3"/>
    <w:rsid w:val="00854D77"/>
    <w:rsid w:val="008615E7"/>
    <w:rsid w:val="00862A79"/>
    <w:rsid w:val="00862E29"/>
    <w:rsid w:val="00862F75"/>
    <w:rsid w:val="00863A68"/>
    <w:rsid w:val="0086460D"/>
    <w:rsid w:val="00871C66"/>
    <w:rsid w:val="00872A76"/>
    <w:rsid w:val="00873477"/>
    <w:rsid w:val="00874E8C"/>
    <w:rsid w:val="0088463A"/>
    <w:rsid w:val="00890464"/>
    <w:rsid w:val="00890CF0"/>
    <w:rsid w:val="00892E93"/>
    <w:rsid w:val="008A3D92"/>
    <w:rsid w:val="008A6F3E"/>
    <w:rsid w:val="008A71BF"/>
    <w:rsid w:val="008B4E14"/>
    <w:rsid w:val="008B6F5D"/>
    <w:rsid w:val="008C21E7"/>
    <w:rsid w:val="008C647D"/>
    <w:rsid w:val="008E021C"/>
    <w:rsid w:val="008E2500"/>
    <w:rsid w:val="008E5B95"/>
    <w:rsid w:val="008F167B"/>
    <w:rsid w:val="008F3648"/>
    <w:rsid w:val="008F52B4"/>
    <w:rsid w:val="008F7C8F"/>
    <w:rsid w:val="00903A81"/>
    <w:rsid w:val="00903F40"/>
    <w:rsid w:val="00921AF7"/>
    <w:rsid w:val="009372A6"/>
    <w:rsid w:val="009375E4"/>
    <w:rsid w:val="00945372"/>
    <w:rsid w:val="00946F79"/>
    <w:rsid w:val="00947E7C"/>
    <w:rsid w:val="009502D0"/>
    <w:rsid w:val="00950668"/>
    <w:rsid w:val="00956833"/>
    <w:rsid w:val="00961B31"/>
    <w:rsid w:val="00961EF0"/>
    <w:rsid w:val="00962753"/>
    <w:rsid w:val="009723C4"/>
    <w:rsid w:val="0097264A"/>
    <w:rsid w:val="00976E19"/>
    <w:rsid w:val="009800C6"/>
    <w:rsid w:val="00980828"/>
    <w:rsid w:val="009931C2"/>
    <w:rsid w:val="0099513C"/>
    <w:rsid w:val="00996B86"/>
    <w:rsid w:val="00997529"/>
    <w:rsid w:val="009A17B1"/>
    <w:rsid w:val="009A1985"/>
    <w:rsid w:val="009A770A"/>
    <w:rsid w:val="009B14DE"/>
    <w:rsid w:val="009B27CF"/>
    <w:rsid w:val="009B4133"/>
    <w:rsid w:val="009B4A08"/>
    <w:rsid w:val="009B53C0"/>
    <w:rsid w:val="009B5829"/>
    <w:rsid w:val="009C0C94"/>
    <w:rsid w:val="009C3D15"/>
    <w:rsid w:val="009C4D7D"/>
    <w:rsid w:val="009D5A8D"/>
    <w:rsid w:val="009E160D"/>
    <w:rsid w:val="009E33C3"/>
    <w:rsid w:val="00A01B57"/>
    <w:rsid w:val="00A02726"/>
    <w:rsid w:val="00A0363E"/>
    <w:rsid w:val="00A126D9"/>
    <w:rsid w:val="00A15CB7"/>
    <w:rsid w:val="00A1776D"/>
    <w:rsid w:val="00A17D7C"/>
    <w:rsid w:val="00A26B18"/>
    <w:rsid w:val="00A31ED1"/>
    <w:rsid w:val="00A403B9"/>
    <w:rsid w:val="00A45D66"/>
    <w:rsid w:val="00A56441"/>
    <w:rsid w:val="00A56630"/>
    <w:rsid w:val="00A709A1"/>
    <w:rsid w:val="00A803FC"/>
    <w:rsid w:val="00A80861"/>
    <w:rsid w:val="00A80C5A"/>
    <w:rsid w:val="00A828DC"/>
    <w:rsid w:val="00A901EA"/>
    <w:rsid w:val="00A93FAB"/>
    <w:rsid w:val="00AA025C"/>
    <w:rsid w:val="00AA1C09"/>
    <w:rsid w:val="00AA32F4"/>
    <w:rsid w:val="00AA7006"/>
    <w:rsid w:val="00AB0D6D"/>
    <w:rsid w:val="00AB5F0D"/>
    <w:rsid w:val="00AC0B0D"/>
    <w:rsid w:val="00AD2569"/>
    <w:rsid w:val="00AE0104"/>
    <w:rsid w:val="00AE0C2F"/>
    <w:rsid w:val="00AE12F8"/>
    <w:rsid w:val="00AE2F3E"/>
    <w:rsid w:val="00AE4EE0"/>
    <w:rsid w:val="00AE7448"/>
    <w:rsid w:val="00AF25DC"/>
    <w:rsid w:val="00AF59AB"/>
    <w:rsid w:val="00AF609E"/>
    <w:rsid w:val="00AF7990"/>
    <w:rsid w:val="00B00586"/>
    <w:rsid w:val="00B07185"/>
    <w:rsid w:val="00B10117"/>
    <w:rsid w:val="00B10CF1"/>
    <w:rsid w:val="00B124DE"/>
    <w:rsid w:val="00B25CC1"/>
    <w:rsid w:val="00B2793F"/>
    <w:rsid w:val="00B31E22"/>
    <w:rsid w:val="00B420DB"/>
    <w:rsid w:val="00B43F14"/>
    <w:rsid w:val="00B47283"/>
    <w:rsid w:val="00B473DD"/>
    <w:rsid w:val="00B47520"/>
    <w:rsid w:val="00B54452"/>
    <w:rsid w:val="00B5581B"/>
    <w:rsid w:val="00B55E2F"/>
    <w:rsid w:val="00B8127B"/>
    <w:rsid w:val="00B8694F"/>
    <w:rsid w:val="00B91E04"/>
    <w:rsid w:val="00B97DE0"/>
    <w:rsid w:val="00BA36B0"/>
    <w:rsid w:val="00BB6865"/>
    <w:rsid w:val="00BC17AC"/>
    <w:rsid w:val="00BD0814"/>
    <w:rsid w:val="00BD2A76"/>
    <w:rsid w:val="00BD701E"/>
    <w:rsid w:val="00BE315A"/>
    <w:rsid w:val="00BF2C35"/>
    <w:rsid w:val="00BF4424"/>
    <w:rsid w:val="00BF657D"/>
    <w:rsid w:val="00C029AA"/>
    <w:rsid w:val="00C03320"/>
    <w:rsid w:val="00C26A77"/>
    <w:rsid w:val="00C306D1"/>
    <w:rsid w:val="00C34516"/>
    <w:rsid w:val="00C45AE6"/>
    <w:rsid w:val="00C54BC3"/>
    <w:rsid w:val="00C71B6D"/>
    <w:rsid w:val="00C737C0"/>
    <w:rsid w:val="00C741C7"/>
    <w:rsid w:val="00C74E08"/>
    <w:rsid w:val="00C8028D"/>
    <w:rsid w:val="00C86AF2"/>
    <w:rsid w:val="00C9032B"/>
    <w:rsid w:val="00C94478"/>
    <w:rsid w:val="00CA488B"/>
    <w:rsid w:val="00CA7B47"/>
    <w:rsid w:val="00CB0128"/>
    <w:rsid w:val="00CB2606"/>
    <w:rsid w:val="00CB622F"/>
    <w:rsid w:val="00CC1423"/>
    <w:rsid w:val="00CC519E"/>
    <w:rsid w:val="00CD7E23"/>
    <w:rsid w:val="00CE1DB0"/>
    <w:rsid w:val="00CE2BF3"/>
    <w:rsid w:val="00CE4B06"/>
    <w:rsid w:val="00CF68C1"/>
    <w:rsid w:val="00D02846"/>
    <w:rsid w:val="00D030B9"/>
    <w:rsid w:val="00D0437F"/>
    <w:rsid w:val="00D128F0"/>
    <w:rsid w:val="00D12BEE"/>
    <w:rsid w:val="00D21579"/>
    <w:rsid w:val="00D21E3E"/>
    <w:rsid w:val="00D24347"/>
    <w:rsid w:val="00D25924"/>
    <w:rsid w:val="00D428F3"/>
    <w:rsid w:val="00D43359"/>
    <w:rsid w:val="00D438F0"/>
    <w:rsid w:val="00D46427"/>
    <w:rsid w:val="00D52D8F"/>
    <w:rsid w:val="00D5364B"/>
    <w:rsid w:val="00D54A97"/>
    <w:rsid w:val="00D552BB"/>
    <w:rsid w:val="00D579C0"/>
    <w:rsid w:val="00D61839"/>
    <w:rsid w:val="00D628B1"/>
    <w:rsid w:val="00D73AAE"/>
    <w:rsid w:val="00D80DD9"/>
    <w:rsid w:val="00D810F4"/>
    <w:rsid w:val="00D81684"/>
    <w:rsid w:val="00D820EE"/>
    <w:rsid w:val="00D85F7B"/>
    <w:rsid w:val="00D9126C"/>
    <w:rsid w:val="00DB2166"/>
    <w:rsid w:val="00DB3467"/>
    <w:rsid w:val="00DB41A4"/>
    <w:rsid w:val="00DB50BE"/>
    <w:rsid w:val="00DC4AEE"/>
    <w:rsid w:val="00DC5741"/>
    <w:rsid w:val="00DC5832"/>
    <w:rsid w:val="00DD7B2A"/>
    <w:rsid w:val="00DE0B05"/>
    <w:rsid w:val="00DE67D1"/>
    <w:rsid w:val="00DF70B6"/>
    <w:rsid w:val="00E05454"/>
    <w:rsid w:val="00E12568"/>
    <w:rsid w:val="00E13271"/>
    <w:rsid w:val="00E16CC6"/>
    <w:rsid w:val="00E36095"/>
    <w:rsid w:val="00E53576"/>
    <w:rsid w:val="00E61FA7"/>
    <w:rsid w:val="00E62EF3"/>
    <w:rsid w:val="00E7260F"/>
    <w:rsid w:val="00E72F30"/>
    <w:rsid w:val="00E73FD8"/>
    <w:rsid w:val="00E751CE"/>
    <w:rsid w:val="00E75C8D"/>
    <w:rsid w:val="00E76AC5"/>
    <w:rsid w:val="00E85328"/>
    <w:rsid w:val="00E87454"/>
    <w:rsid w:val="00E906FC"/>
    <w:rsid w:val="00E9645C"/>
    <w:rsid w:val="00EA6679"/>
    <w:rsid w:val="00EB1204"/>
    <w:rsid w:val="00EB2C96"/>
    <w:rsid w:val="00EB7FC9"/>
    <w:rsid w:val="00EC24C5"/>
    <w:rsid w:val="00EC34B4"/>
    <w:rsid w:val="00EC47F1"/>
    <w:rsid w:val="00ED6B41"/>
    <w:rsid w:val="00EF2943"/>
    <w:rsid w:val="00EF3C65"/>
    <w:rsid w:val="00EF684E"/>
    <w:rsid w:val="00EF7F69"/>
    <w:rsid w:val="00F02302"/>
    <w:rsid w:val="00F11B74"/>
    <w:rsid w:val="00F223FF"/>
    <w:rsid w:val="00F260F9"/>
    <w:rsid w:val="00F27173"/>
    <w:rsid w:val="00F27D2D"/>
    <w:rsid w:val="00F3582B"/>
    <w:rsid w:val="00F4382F"/>
    <w:rsid w:val="00F50991"/>
    <w:rsid w:val="00F558F8"/>
    <w:rsid w:val="00F603DF"/>
    <w:rsid w:val="00F664BB"/>
    <w:rsid w:val="00F7130A"/>
    <w:rsid w:val="00F721E3"/>
    <w:rsid w:val="00F72E35"/>
    <w:rsid w:val="00F756D3"/>
    <w:rsid w:val="00F80C39"/>
    <w:rsid w:val="00F94F94"/>
    <w:rsid w:val="00FA12F9"/>
    <w:rsid w:val="00FA16D4"/>
    <w:rsid w:val="00FB415E"/>
    <w:rsid w:val="00FB6CF2"/>
    <w:rsid w:val="00FB7E38"/>
    <w:rsid w:val="00FC1C21"/>
    <w:rsid w:val="00FC1E28"/>
    <w:rsid w:val="00FE3FCA"/>
    <w:rsid w:val="00FE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C3FB"/>
  <w15:chartTrackingRefBased/>
  <w15:docId w15:val="{17A01328-D33E-4C53-90C8-65A5DA93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B6A"/>
  </w:style>
  <w:style w:type="paragraph" w:styleId="Heading4">
    <w:name w:val="heading 4"/>
    <w:aliases w:val="Table Title"/>
    <w:basedOn w:val="Normal"/>
    <w:next w:val="Normal"/>
    <w:link w:val="Heading4Char"/>
    <w:uiPriority w:val="9"/>
    <w:unhideWhenUsed/>
    <w:qFormat/>
    <w:rsid w:val="00D12BEE"/>
    <w:pPr>
      <w:keepNext/>
      <w:keepLines/>
      <w:spacing w:before="40" w:after="0"/>
      <w:jc w:val="center"/>
      <w:outlineLvl w:val="3"/>
    </w:pPr>
    <w:rPr>
      <w:rFonts w:ascii="Times New Roman" w:eastAsiaTheme="majorEastAsia" w:hAnsi="Times New Roman" w:cstheme="majorBidi"/>
      <w:b/>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2D4E4E"/>
    <w:pPr>
      <w:ind w:left="720"/>
      <w:contextualSpacing/>
    </w:pPr>
    <w:rPr>
      <w:lang w:val="en-GB"/>
    </w:r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2D4E4E"/>
    <w:rPr>
      <w:lang w:val="en-GB"/>
    </w:rPr>
  </w:style>
  <w:style w:type="character" w:customStyle="1" w:styleId="Heading4Char">
    <w:name w:val="Heading 4 Char"/>
    <w:aliases w:val="Table Title Char"/>
    <w:basedOn w:val="DefaultParagraphFont"/>
    <w:link w:val="Heading4"/>
    <w:uiPriority w:val="9"/>
    <w:rsid w:val="00D12BEE"/>
    <w:rPr>
      <w:rFonts w:ascii="Times New Roman" w:eastAsiaTheme="majorEastAsia" w:hAnsi="Times New Roman" w:cstheme="majorBidi"/>
      <w:b/>
      <w:iCs/>
      <w:sz w:val="24"/>
      <w:lang w:val="en-GB"/>
    </w:rPr>
  </w:style>
  <w:style w:type="paragraph" w:styleId="Header">
    <w:name w:val="header"/>
    <w:basedOn w:val="Normal"/>
    <w:link w:val="HeaderChar"/>
    <w:uiPriority w:val="99"/>
    <w:unhideWhenUsed/>
    <w:rsid w:val="00D12BEE"/>
    <w:pPr>
      <w:tabs>
        <w:tab w:val="center" w:pos="4680"/>
        <w:tab w:val="right" w:pos="9360"/>
      </w:tabs>
      <w:spacing w:after="0" w:line="240" w:lineRule="auto"/>
      <w:jc w:val="both"/>
    </w:pPr>
    <w:rPr>
      <w:rFonts w:ascii="Times New Roman" w:hAnsi="Times New Roman"/>
      <w:sz w:val="24"/>
      <w:lang w:val="en-GB"/>
    </w:rPr>
  </w:style>
  <w:style w:type="character" w:customStyle="1" w:styleId="HeaderChar">
    <w:name w:val="Header Char"/>
    <w:basedOn w:val="DefaultParagraphFont"/>
    <w:link w:val="Header"/>
    <w:uiPriority w:val="99"/>
    <w:rsid w:val="00D12BEE"/>
    <w:rPr>
      <w:rFonts w:ascii="Times New Roman" w:hAnsi="Times New Roman"/>
      <w:sz w:val="24"/>
      <w:lang w:val="en-GB"/>
    </w:rPr>
  </w:style>
  <w:style w:type="table" w:styleId="GridTable6Colorful-Accent1">
    <w:name w:val="Grid Table 6 Colorful Accent 1"/>
    <w:basedOn w:val="TableNormal"/>
    <w:uiPriority w:val="51"/>
    <w:rsid w:val="00D12BE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ghtGrid-Accent3Char">
    <w:name w:val="Light Grid - Accent 3 Char"/>
    <w:link w:val="LightGrid-Accent31"/>
    <w:uiPriority w:val="34"/>
    <w:locked/>
    <w:rsid w:val="005A3432"/>
    <w:rPr>
      <w:rFonts w:ascii="Cambria" w:eastAsia="Cambria" w:hAnsi="Cambria" w:cs="Times New Roman"/>
    </w:rPr>
  </w:style>
  <w:style w:type="paragraph" w:customStyle="1" w:styleId="LightGrid-Accent31">
    <w:name w:val="Light Grid - Accent 31"/>
    <w:basedOn w:val="Normal"/>
    <w:link w:val="LightGrid-Accent3Char"/>
    <w:uiPriority w:val="34"/>
    <w:qFormat/>
    <w:rsid w:val="005A3432"/>
    <w:pPr>
      <w:spacing w:after="200" w:line="276" w:lineRule="auto"/>
      <w:ind w:left="720"/>
      <w:contextualSpacing/>
    </w:pPr>
    <w:rPr>
      <w:rFonts w:ascii="Cambria" w:eastAsia="Cambria" w:hAnsi="Cambria" w:cs="Times New Roman"/>
    </w:rPr>
  </w:style>
  <w:style w:type="paragraph" w:customStyle="1" w:styleId="SingleTxtG">
    <w:name w:val="_ Single Txt_G"/>
    <w:basedOn w:val="Normal"/>
    <w:link w:val="SingleTxtGChar"/>
    <w:qFormat/>
    <w:rsid w:val="00B8127B"/>
    <w:pPr>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rsid w:val="00B8127B"/>
    <w:rPr>
      <w:rFonts w:ascii="Times New Roman" w:eastAsia="SimSun" w:hAnsi="Times New Roman" w:cs="Times New Roman"/>
      <w:sz w:val="20"/>
      <w:szCs w:val="20"/>
      <w:lang w:val="en-GB" w:eastAsia="zh-CN"/>
    </w:rPr>
  </w:style>
  <w:style w:type="paragraph" w:styleId="Footer">
    <w:name w:val="footer"/>
    <w:basedOn w:val="Normal"/>
    <w:link w:val="FooterChar"/>
    <w:uiPriority w:val="99"/>
    <w:unhideWhenUsed/>
    <w:rsid w:val="002F5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F77"/>
  </w:style>
  <w:style w:type="paragraph" w:customStyle="1" w:styleId="Default">
    <w:name w:val="Default"/>
    <w:qFormat/>
    <w:rsid w:val="007E4A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426561">
      <w:bodyDiv w:val="1"/>
      <w:marLeft w:val="0"/>
      <w:marRight w:val="0"/>
      <w:marTop w:val="0"/>
      <w:marBottom w:val="0"/>
      <w:divBdr>
        <w:top w:val="none" w:sz="0" w:space="0" w:color="auto"/>
        <w:left w:val="none" w:sz="0" w:space="0" w:color="auto"/>
        <w:bottom w:val="none" w:sz="0" w:space="0" w:color="auto"/>
        <w:right w:val="none" w:sz="0" w:space="0" w:color="auto"/>
      </w:divBdr>
      <w:divsChild>
        <w:div w:id="652637663">
          <w:marLeft w:val="0"/>
          <w:marRight w:val="0"/>
          <w:marTop w:val="0"/>
          <w:marBottom w:val="0"/>
          <w:divBdr>
            <w:top w:val="none" w:sz="0" w:space="0" w:color="auto"/>
            <w:left w:val="none" w:sz="0" w:space="0" w:color="auto"/>
            <w:bottom w:val="none" w:sz="0" w:space="0" w:color="auto"/>
            <w:right w:val="none" w:sz="0" w:space="0" w:color="auto"/>
          </w:divBdr>
        </w:div>
        <w:div w:id="123622745">
          <w:marLeft w:val="0"/>
          <w:marRight w:val="0"/>
          <w:marTop w:val="0"/>
          <w:marBottom w:val="0"/>
          <w:divBdr>
            <w:top w:val="none" w:sz="0" w:space="0" w:color="auto"/>
            <w:left w:val="none" w:sz="0" w:space="0" w:color="auto"/>
            <w:bottom w:val="none" w:sz="0" w:space="0" w:color="auto"/>
            <w:right w:val="none" w:sz="0" w:space="0" w:color="auto"/>
          </w:divBdr>
        </w:div>
        <w:div w:id="1609966456">
          <w:marLeft w:val="0"/>
          <w:marRight w:val="0"/>
          <w:marTop w:val="0"/>
          <w:marBottom w:val="0"/>
          <w:divBdr>
            <w:top w:val="none" w:sz="0" w:space="0" w:color="auto"/>
            <w:left w:val="none" w:sz="0" w:space="0" w:color="auto"/>
            <w:bottom w:val="none" w:sz="0" w:space="0" w:color="auto"/>
            <w:right w:val="none" w:sz="0" w:space="0" w:color="auto"/>
          </w:divBdr>
        </w:div>
        <w:div w:id="1222981773">
          <w:marLeft w:val="720"/>
          <w:marRight w:val="0"/>
          <w:marTop w:val="0"/>
          <w:marBottom w:val="0"/>
          <w:divBdr>
            <w:top w:val="none" w:sz="0" w:space="0" w:color="auto"/>
            <w:left w:val="none" w:sz="0" w:space="0" w:color="auto"/>
            <w:bottom w:val="none" w:sz="0" w:space="0" w:color="auto"/>
            <w:right w:val="none" w:sz="0" w:space="0" w:color="auto"/>
          </w:divBdr>
        </w:div>
        <w:div w:id="446046845">
          <w:marLeft w:val="720"/>
          <w:marRight w:val="0"/>
          <w:marTop w:val="0"/>
          <w:marBottom w:val="0"/>
          <w:divBdr>
            <w:top w:val="none" w:sz="0" w:space="0" w:color="auto"/>
            <w:left w:val="none" w:sz="0" w:space="0" w:color="auto"/>
            <w:bottom w:val="none" w:sz="0" w:space="0" w:color="auto"/>
            <w:right w:val="none" w:sz="0" w:space="0" w:color="auto"/>
          </w:divBdr>
        </w:div>
        <w:div w:id="373585135">
          <w:marLeft w:val="720"/>
          <w:marRight w:val="0"/>
          <w:marTop w:val="0"/>
          <w:marBottom w:val="0"/>
          <w:divBdr>
            <w:top w:val="none" w:sz="0" w:space="0" w:color="auto"/>
            <w:left w:val="none" w:sz="0" w:space="0" w:color="auto"/>
            <w:bottom w:val="none" w:sz="0" w:space="0" w:color="auto"/>
            <w:right w:val="none" w:sz="0" w:space="0" w:color="auto"/>
          </w:divBdr>
        </w:div>
        <w:div w:id="311251795">
          <w:marLeft w:val="0"/>
          <w:marRight w:val="0"/>
          <w:marTop w:val="0"/>
          <w:marBottom w:val="0"/>
          <w:divBdr>
            <w:top w:val="none" w:sz="0" w:space="0" w:color="auto"/>
            <w:left w:val="none" w:sz="0" w:space="0" w:color="auto"/>
            <w:bottom w:val="none" w:sz="0" w:space="0" w:color="auto"/>
            <w:right w:val="none" w:sz="0" w:space="0" w:color="auto"/>
          </w:divBdr>
        </w:div>
        <w:div w:id="1063912882">
          <w:marLeft w:val="0"/>
          <w:marRight w:val="0"/>
          <w:marTop w:val="0"/>
          <w:marBottom w:val="0"/>
          <w:divBdr>
            <w:top w:val="none" w:sz="0" w:space="0" w:color="auto"/>
            <w:left w:val="none" w:sz="0" w:space="0" w:color="auto"/>
            <w:bottom w:val="none" w:sz="0" w:space="0" w:color="auto"/>
            <w:right w:val="none" w:sz="0" w:space="0" w:color="auto"/>
          </w:divBdr>
        </w:div>
        <w:div w:id="254360765">
          <w:marLeft w:val="0"/>
          <w:marRight w:val="0"/>
          <w:marTop w:val="0"/>
          <w:marBottom w:val="0"/>
          <w:divBdr>
            <w:top w:val="none" w:sz="0" w:space="0" w:color="auto"/>
            <w:left w:val="none" w:sz="0" w:space="0" w:color="auto"/>
            <w:bottom w:val="none" w:sz="0" w:space="0" w:color="auto"/>
            <w:right w:val="none" w:sz="0" w:space="0" w:color="auto"/>
          </w:divBdr>
        </w:div>
        <w:div w:id="859973114">
          <w:marLeft w:val="0"/>
          <w:marRight w:val="0"/>
          <w:marTop w:val="0"/>
          <w:marBottom w:val="0"/>
          <w:divBdr>
            <w:top w:val="none" w:sz="0" w:space="0" w:color="auto"/>
            <w:left w:val="none" w:sz="0" w:space="0" w:color="auto"/>
            <w:bottom w:val="none" w:sz="0" w:space="0" w:color="auto"/>
            <w:right w:val="none" w:sz="0" w:space="0" w:color="auto"/>
          </w:divBdr>
        </w:div>
        <w:div w:id="141310428">
          <w:marLeft w:val="0"/>
          <w:marRight w:val="0"/>
          <w:marTop w:val="0"/>
          <w:marBottom w:val="0"/>
          <w:divBdr>
            <w:top w:val="none" w:sz="0" w:space="0" w:color="auto"/>
            <w:left w:val="none" w:sz="0" w:space="0" w:color="auto"/>
            <w:bottom w:val="none" w:sz="0" w:space="0" w:color="auto"/>
            <w:right w:val="none" w:sz="0" w:space="0" w:color="auto"/>
          </w:divBdr>
        </w:div>
      </w:divsChild>
    </w:div>
    <w:div w:id="15358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67071-0A47-4B73-9494-2299735E8AC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18554BE-DA50-4786-8F9A-D5980B3D8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9DC53C-3DF0-49D8-9694-91C519F9E570}">
  <ds:schemaRefs>
    <ds:schemaRef ds:uri="http://schemas.microsoft.com/sharepoint/v3/contenttype/forms"/>
  </ds:schemaRefs>
</ds:datastoreItem>
</file>

<file path=customXml/itemProps4.xml><?xml version="1.0" encoding="utf-8"?>
<ds:datastoreItem xmlns:ds="http://schemas.openxmlformats.org/officeDocument/2006/customXml" ds:itemID="{11EBE96C-314E-4CF0-9479-A47BB447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4789</Words>
  <Characters>27299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Nekane Lavin</cp:lastModifiedBy>
  <cp:revision>2</cp:revision>
  <dcterms:created xsi:type="dcterms:W3CDTF">2021-10-29T12:56:00Z</dcterms:created>
  <dcterms:modified xsi:type="dcterms:W3CDTF">2021-10-29T12:56:00Z</dcterms:modified>
</cp:coreProperties>
</file>