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F43F" w14:textId="6F75BA2E" w:rsidR="006D44A6" w:rsidRDefault="006D44A6" w:rsidP="00C56E1F">
      <w:pPr>
        <w:spacing w:after="0" w:line="240" w:lineRule="auto"/>
        <w:jc w:val="center"/>
        <w:rPr>
          <w:rFonts w:ascii="Times New Roman" w:hAnsi="Times New Roman" w:cs="Times New Roman"/>
          <w:b/>
          <w:bCs/>
          <w:sz w:val="28"/>
          <w:szCs w:val="28"/>
        </w:rPr>
      </w:pPr>
      <w:bookmarkStart w:id="0" w:name="_GoBack"/>
      <w:bookmarkEnd w:id="0"/>
      <w:r w:rsidRPr="00834B2D">
        <w:rPr>
          <w:noProof/>
          <w:lang w:val="en-GB" w:eastAsia="en-GB"/>
        </w:rPr>
        <w:drawing>
          <wp:inline distT="0" distB="0" distL="0" distR="0" wp14:anchorId="273FF383" wp14:editId="65F3B1B2">
            <wp:extent cx="1971675" cy="102078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0564" cy="1030568"/>
                    </a:xfrm>
                    <a:prstGeom prst="rect">
                      <a:avLst/>
                    </a:prstGeom>
                  </pic:spPr>
                </pic:pic>
              </a:graphicData>
            </a:graphic>
          </wp:inline>
        </w:drawing>
      </w:r>
    </w:p>
    <w:p w14:paraId="127464EF" w14:textId="7FE04757" w:rsidR="006D44A6" w:rsidRDefault="006D44A6" w:rsidP="00C56E1F">
      <w:pPr>
        <w:spacing w:after="0" w:line="240" w:lineRule="auto"/>
        <w:jc w:val="center"/>
        <w:rPr>
          <w:rFonts w:ascii="Times New Roman" w:hAnsi="Times New Roman" w:cs="Times New Roman"/>
          <w:b/>
          <w:bCs/>
          <w:sz w:val="28"/>
          <w:szCs w:val="28"/>
        </w:rPr>
      </w:pPr>
    </w:p>
    <w:p w14:paraId="5A1DD93A" w14:textId="77777777" w:rsidR="006D44A6" w:rsidRDefault="006D44A6" w:rsidP="00C56E1F">
      <w:pPr>
        <w:spacing w:after="0" w:line="240" w:lineRule="auto"/>
        <w:jc w:val="center"/>
        <w:rPr>
          <w:rFonts w:ascii="Times New Roman" w:hAnsi="Times New Roman" w:cs="Times New Roman"/>
          <w:b/>
          <w:bCs/>
          <w:sz w:val="28"/>
          <w:szCs w:val="28"/>
        </w:rPr>
      </w:pPr>
    </w:p>
    <w:p w14:paraId="0EFE04A6" w14:textId="152218B1" w:rsidR="00222886" w:rsidRPr="00933868" w:rsidRDefault="00C56E1F" w:rsidP="00C56E1F">
      <w:pPr>
        <w:spacing w:after="0" w:line="240" w:lineRule="auto"/>
        <w:jc w:val="center"/>
        <w:rPr>
          <w:rFonts w:ascii="Times New Roman" w:hAnsi="Times New Roman" w:cs="Times New Roman"/>
          <w:b/>
          <w:bCs/>
          <w:sz w:val="28"/>
          <w:szCs w:val="28"/>
        </w:rPr>
      </w:pPr>
      <w:r w:rsidRPr="00933868">
        <w:rPr>
          <w:rFonts w:ascii="Times New Roman" w:hAnsi="Times New Roman" w:cs="Times New Roman"/>
          <w:b/>
          <w:bCs/>
          <w:sz w:val="28"/>
          <w:szCs w:val="28"/>
        </w:rPr>
        <w:t>Australian Submission</w:t>
      </w:r>
    </w:p>
    <w:p w14:paraId="14180E9F" w14:textId="77777777" w:rsidR="00902A9A" w:rsidRPr="00933868" w:rsidRDefault="00902A9A" w:rsidP="00C56E1F">
      <w:pPr>
        <w:spacing w:after="0" w:line="240" w:lineRule="auto"/>
        <w:jc w:val="center"/>
        <w:rPr>
          <w:rFonts w:ascii="Times New Roman" w:hAnsi="Times New Roman" w:cs="Times New Roman"/>
          <w:b/>
          <w:bCs/>
          <w:sz w:val="28"/>
          <w:szCs w:val="28"/>
        </w:rPr>
      </w:pPr>
    </w:p>
    <w:p w14:paraId="370A619C" w14:textId="48D520A1" w:rsidR="00C56E1F" w:rsidRPr="00933868" w:rsidRDefault="00C56E1F" w:rsidP="00C56E1F">
      <w:pPr>
        <w:spacing w:after="0" w:line="240" w:lineRule="auto"/>
        <w:jc w:val="center"/>
        <w:rPr>
          <w:rFonts w:ascii="Times New Roman" w:hAnsi="Times New Roman" w:cs="Times New Roman"/>
          <w:b/>
          <w:bCs/>
          <w:sz w:val="28"/>
          <w:szCs w:val="28"/>
        </w:rPr>
      </w:pPr>
      <w:r w:rsidRPr="00933868">
        <w:rPr>
          <w:rFonts w:ascii="Times New Roman" w:hAnsi="Times New Roman" w:cs="Times New Roman"/>
          <w:b/>
          <w:bCs/>
          <w:sz w:val="28"/>
          <w:szCs w:val="28"/>
        </w:rPr>
        <w:t xml:space="preserve">UN Special Rapporteur on the </w:t>
      </w:r>
      <w:r w:rsidR="00902A9A" w:rsidRPr="00933868">
        <w:rPr>
          <w:rFonts w:ascii="Times New Roman" w:hAnsi="Times New Roman" w:cs="Times New Roman"/>
          <w:b/>
          <w:bCs/>
          <w:sz w:val="28"/>
          <w:szCs w:val="28"/>
        </w:rPr>
        <w:t>Human Rights to Safe Drinking Water and Sanitation</w:t>
      </w:r>
    </w:p>
    <w:p w14:paraId="592608E3" w14:textId="687B9ACD" w:rsidR="00902A9A" w:rsidRPr="00933868" w:rsidRDefault="00902A9A" w:rsidP="00902A9A">
      <w:pPr>
        <w:spacing w:after="0" w:line="240" w:lineRule="auto"/>
        <w:jc w:val="center"/>
        <w:rPr>
          <w:rFonts w:ascii="Times New Roman" w:hAnsi="Times New Roman" w:cs="Times New Roman"/>
          <w:b/>
          <w:bCs/>
          <w:i/>
          <w:iCs/>
          <w:sz w:val="28"/>
          <w:szCs w:val="28"/>
        </w:rPr>
      </w:pPr>
      <w:r w:rsidRPr="00933868">
        <w:rPr>
          <w:rFonts w:ascii="Times New Roman" w:hAnsi="Times New Roman" w:cs="Times New Roman"/>
          <w:b/>
          <w:bCs/>
          <w:i/>
          <w:iCs/>
          <w:sz w:val="28"/>
          <w:szCs w:val="28"/>
        </w:rPr>
        <w:t>“Study on the human rights to safe drinking water and sanitation of indigenous peoples: state of affairs and lessons from ancestral cultures”</w:t>
      </w:r>
    </w:p>
    <w:p w14:paraId="76B9B36A" w14:textId="2AF9D05C" w:rsidR="00930D9F" w:rsidRDefault="00930D9F" w:rsidP="00930D9F">
      <w:pPr>
        <w:spacing w:after="0" w:line="240" w:lineRule="auto"/>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val="en-AU"/>
        </w:rPr>
        <w:id w:val="-1122533951"/>
        <w:docPartObj>
          <w:docPartGallery w:val="Table of Contents"/>
          <w:docPartUnique/>
        </w:docPartObj>
      </w:sdtPr>
      <w:sdtEndPr>
        <w:rPr>
          <w:b/>
          <w:bCs/>
          <w:noProof/>
        </w:rPr>
      </w:sdtEndPr>
      <w:sdtContent>
        <w:p w14:paraId="2E82A808" w14:textId="5213D981" w:rsidR="006C5257" w:rsidRDefault="006C5257">
          <w:pPr>
            <w:pStyle w:val="TOCHeading"/>
          </w:pPr>
          <w:r>
            <w:t>Contents</w:t>
          </w:r>
        </w:p>
        <w:p w14:paraId="7A8CEE96" w14:textId="0FA830B3" w:rsidR="003B2319" w:rsidRDefault="006C525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0551577" w:history="1">
            <w:r w:rsidR="003B2319" w:rsidRPr="00591CD5">
              <w:rPr>
                <w:rStyle w:val="Hyperlink"/>
                <w:b/>
                <w:bCs/>
                <w:noProof/>
              </w:rPr>
              <w:t>Introduction</w:t>
            </w:r>
            <w:r w:rsidR="003B2319">
              <w:rPr>
                <w:noProof/>
                <w:webHidden/>
              </w:rPr>
              <w:tab/>
            </w:r>
            <w:r w:rsidR="003B2319">
              <w:rPr>
                <w:noProof/>
                <w:webHidden/>
              </w:rPr>
              <w:fldChar w:fldCharType="begin"/>
            </w:r>
            <w:r w:rsidR="003B2319">
              <w:rPr>
                <w:noProof/>
                <w:webHidden/>
              </w:rPr>
              <w:instrText xml:space="preserve"> PAGEREF _Toc90551577 \h </w:instrText>
            </w:r>
            <w:r w:rsidR="003B2319">
              <w:rPr>
                <w:noProof/>
                <w:webHidden/>
              </w:rPr>
            </w:r>
            <w:r w:rsidR="003B2319">
              <w:rPr>
                <w:noProof/>
                <w:webHidden/>
              </w:rPr>
              <w:fldChar w:fldCharType="separate"/>
            </w:r>
            <w:r w:rsidR="003B2319">
              <w:rPr>
                <w:noProof/>
                <w:webHidden/>
              </w:rPr>
              <w:t>1</w:t>
            </w:r>
            <w:r w:rsidR="003B2319">
              <w:rPr>
                <w:noProof/>
                <w:webHidden/>
              </w:rPr>
              <w:fldChar w:fldCharType="end"/>
            </w:r>
          </w:hyperlink>
        </w:p>
        <w:p w14:paraId="0BA9EB14" w14:textId="058B84F9" w:rsidR="003B2319" w:rsidRDefault="003232B6">
          <w:pPr>
            <w:pStyle w:val="TOC1"/>
            <w:tabs>
              <w:tab w:val="right" w:leader="dot" w:pos="9016"/>
            </w:tabs>
            <w:rPr>
              <w:rFonts w:eastAsiaTheme="minorEastAsia"/>
              <w:noProof/>
              <w:lang w:eastAsia="en-AU"/>
            </w:rPr>
          </w:pPr>
          <w:hyperlink w:anchor="_Toc90551578" w:history="1">
            <w:r w:rsidR="003B2319" w:rsidRPr="00591CD5">
              <w:rPr>
                <w:rStyle w:val="Hyperlink"/>
                <w:b/>
                <w:bCs/>
                <w:noProof/>
              </w:rPr>
              <w:t>National legal and regulatory framework for water</w:t>
            </w:r>
            <w:r w:rsidR="003B2319">
              <w:rPr>
                <w:noProof/>
                <w:webHidden/>
              </w:rPr>
              <w:tab/>
            </w:r>
            <w:r w:rsidR="003B2319">
              <w:rPr>
                <w:noProof/>
                <w:webHidden/>
              </w:rPr>
              <w:fldChar w:fldCharType="begin"/>
            </w:r>
            <w:r w:rsidR="003B2319">
              <w:rPr>
                <w:noProof/>
                <w:webHidden/>
              </w:rPr>
              <w:instrText xml:space="preserve"> PAGEREF _Toc90551578 \h </w:instrText>
            </w:r>
            <w:r w:rsidR="003B2319">
              <w:rPr>
                <w:noProof/>
                <w:webHidden/>
              </w:rPr>
            </w:r>
            <w:r w:rsidR="003B2319">
              <w:rPr>
                <w:noProof/>
                <w:webHidden/>
              </w:rPr>
              <w:fldChar w:fldCharType="separate"/>
            </w:r>
            <w:r w:rsidR="003B2319">
              <w:rPr>
                <w:noProof/>
                <w:webHidden/>
              </w:rPr>
              <w:t>2</w:t>
            </w:r>
            <w:r w:rsidR="003B2319">
              <w:rPr>
                <w:noProof/>
                <w:webHidden/>
              </w:rPr>
              <w:fldChar w:fldCharType="end"/>
            </w:r>
          </w:hyperlink>
        </w:p>
        <w:p w14:paraId="10AC180A" w14:textId="35DD9589" w:rsidR="003B2319" w:rsidRDefault="003232B6">
          <w:pPr>
            <w:pStyle w:val="TOC1"/>
            <w:tabs>
              <w:tab w:val="right" w:leader="dot" w:pos="9016"/>
            </w:tabs>
            <w:rPr>
              <w:rFonts w:eastAsiaTheme="minorEastAsia"/>
              <w:noProof/>
              <w:lang w:eastAsia="en-AU"/>
            </w:rPr>
          </w:pPr>
          <w:hyperlink w:anchor="_Toc90551579" w:history="1">
            <w:r w:rsidR="003B2319" w:rsidRPr="00591CD5">
              <w:rPr>
                <w:rStyle w:val="Hyperlink"/>
                <w:b/>
                <w:bCs/>
                <w:noProof/>
              </w:rPr>
              <w:t>Access to safe drinking water, sanitation and hygiene</w:t>
            </w:r>
            <w:r w:rsidR="003B2319">
              <w:rPr>
                <w:noProof/>
                <w:webHidden/>
              </w:rPr>
              <w:tab/>
            </w:r>
            <w:r w:rsidR="003B2319">
              <w:rPr>
                <w:noProof/>
                <w:webHidden/>
              </w:rPr>
              <w:fldChar w:fldCharType="begin"/>
            </w:r>
            <w:r w:rsidR="003B2319">
              <w:rPr>
                <w:noProof/>
                <w:webHidden/>
              </w:rPr>
              <w:instrText xml:space="preserve"> PAGEREF _Toc90551579 \h </w:instrText>
            </w:r>
            <w:r w:rsidR="003B2319">
              <w:rPr>
                <w:noProof/>
                <w:webHidden/>
              </w:rPr>
            </w:r>
            <w:r w:rsidR="003B2319">
              <w:rPr>
                <w:noProof/>
                <w:webHidden/>
              </w:rPr>
              <w:fldChar w:fldCharType="separate"/>
            </w:r>
            <w:r w:rsidR="003B2319">
              <w:rPr>
                <w:noProof/>
                <w:webHidden/>
              </w:rPr>
              <w:t>3</w:t>
            </w:r>
            <w:r w:rsidR="003B2319">
              <w:rPr>
                <w:noProof/>
                <w:webHidden/>
              </w:rPr>
              <w:fldChar w:fldCharType="end"/>
            </w:r>
          </w:hyperlink>
        </w:p>
        <w:p w14:paraId="3522ECD5" w14:textId="7CB1DFF7" w:rsidR="003B2319" w:rsidRDefault="003232B6">
          <w:pPr>
            <w:pStyle w:val="TOC1"/>
            <w:tabs>
              <w:tab w:val="right" w:leader="dot" w:pos="9016"/>
            </w:tabs>
            <w:rPr>
              <w:rFonts w:eastAsiaTheme="minorEastAsia"/>
              <w:noProof/>
              <w:lang w:eastAsia="en-AU"/>
            </w:rPr>
          </w:pPr>
          <w:hyperlink w:anchor="_Toc90551580" w:history="1">
            <w:r w:rsidR="003B2319" w:rsidRPr="00591CD5">
              <w:rPr>
                <w:rStyle w:val="Hyperlink"/>
                <w:b/>
                <w:bCs/>
                <w:noProof/>
              </w:rPr>
              <w:t>Accountability framework</w:t>
            </w:r>
            <w:r w:rsidR="003B2319">
              <w:rPr>
                <w:noProof/>
                <w:webHidden/>
              </w:rPr>
              <w:tab/>
            </w:r>
            <w:r w:rsidR="003B2319">
              <w:rPr>
                <w:noProof/>
                <w:webHidden/>
              </w:rPr>
              <w:fldChar w:fldCharType="begin"/>
            </w:r>
            <w:r w:rsidR="003B2319">
              <w:rPr>
                <w:noProof/>
                <w:webHidden/>
              </w:rPr>
              <w:instrText xml:space="preserve"> PAGEREF _Toc90551580 \h </w:instrText>
            </w:r>
            <w:r w:rsidR="003B2319">
              <w:rPr>
                <w:noProof/>
                <w:webHidden/>
              </w:rPr>
            </w:r>
            <w:r w:rsidR="003B2319">
              <w:rPr>
                <w:noProof/>
                <w:webHidden/>
              </w:rPr>
              <w:fldChar w:fldCharType="separate"/>
            </w:r>
            <w:r w:rsidR="003B2319">
              <w:rPr>
                <w:noProof/>
                <w:webHidden/>
              </w:rPr>
              <w:t>3</w:t>
            </w:r>
            <w:r w:rsidR="003B2319">
              <w:rPr>
                <w:noProof/>
                <w:webHidden/>
              </w:rPr>
              <w:fldChar w:fldCharType="end"/>
            </w:r>
          </w:hyperlink>
        </w:p>
        <w:p w14:paraId="17E47FDF" w14:textId="06E9D126" w:rsidR="003B2319" w:rsidRDefault="003232B6">
          <w:pPr>
            <w:pStyle w:val="TOC1"/>
            <w:tabs>
              <w:tab w:val="right" w:leader="dot" w:pos="9016"/>
            </w:tabs>
            <w:rPr>
              <w:rFonts w:eastAsiaTheme="minorEastAsia"/>
              <w:noProof/>
              <w:lang w:eastAsia="en-AU"/>
            </w:rPr>
          </w:pPr>
          <w:hyperlink w:anchor="_Toc90551581" w:history="1">
            <w:r w:rsidR="003B2319" w:rsidRPr="00591CD5">
              <w:rPr>
                <w:rStyle w:val="Hyperlink"/>
                <w:b/>
                <w:bCs/>
                <w:noProof/>
              </w:rPr>
              <w:t>Meaningful participation relating to decisions, policies, and projects affecting human rights to safe drinking water</w:t>
            </w:r>
            <w:r w:rsidR="003B2319">
              <w:rPr>
                <w:noProof/>
                <w:webHidden/>
              </w:rPr>
              <w:tab/>
            </w:r>
            <w:r w:rsidR="003B2319">
              <w:rPr>
                <w:noProof/>
                <w:webHidden/>
              </w:rPr>
              <w:fldChar w:fldCharType="begin"/>
            </w:r>
            <w:r w:rsidR="003B2319">
              <w:rPr>
                <w:noProof/>
                <w:webHidden/>
              </w:rPr>
              <w:instrText xml:space="preserve"> PAGEREF _Toc90551581 \h </w:instrText>
            </w:r>
            <w:r w:rsidR="003B2319">
              <w:rPr>
                <w:noProof/>
                <w:webHidden/>
              </w:rPr>
            </w:r>
            <w:r w:rsidR="003B2319">
              <w:rPr>
                <w:noProof/>
                <w:webHidden/>
              </w:rPr>
              <w:fldChar w:fldCharType="separate"/>
            </w:r>
            <w:r w:rsidR="003B2319">
              <w:rPr>
                <w:noProof/>
                <w:webHidden/>
              </w:rPr>
              <w:t>4</w:t>
            </w:r>
            <w:r w:rsidR="003B2319">
              <w:rPr>
                <w:noProof/>
                <w:webHidden/>
              </w:rPr>
              <w:fldChar w:fldCharType="end"/>
            </w:r>
          </w:hyperlink>
        </w:p>
        <w:p w14:paraId="340A5558" w14:textId="65004BD5" w:rsidR="003B2319" w:rsidRDefault="003232B6">
          <w:pPr>
            <w:pStyle w:val="TOC1"/>
            <w:tabs>
              <w:tab w:val="right" w:leader="dot" w:pos="9016"/>
            </w:tabs>
            <w:rPr>
              <w:rFonts w:eastAsiaTheme="minorEastAsia"/>
              <w:noProof/>
              <w:lang w:eastAsia="en-AU"/>
            </w:rPr>
          </w:pPr>
          <w:hyperlink w:anchor="_Toc90551582" w:history="1">
            <w:r w:rsidR="003B2319" w:rsidRPr="00591CD5">
              <w:rPr>
                <w:rStyle w:val="Hyperlink"/>
                <w:b/>
                <w:bCs/>
                <w:noProof/>
              </w:rPr>
              <w:t>Rural areas</w:t>
            </w:r>
            <w:r w:rsidR="003B2319">
              <w:rPr>
                <w:noProof/>
                <w:webHidden/>
              </w:rPr>
              <w:tab/>
            </w:r>
            <w:r w:rsidR="003B2319">
              <w:rPr>
                <w:noProof/>
                <w:webHidden/>
              </w:rPr>
              <w:fldChar w:fldCharType="begin"/>
            </w:r>
            <w:r w:rsidR="003B2319">
              <w:rPr>
                <w:noProof/>
                <w:webHidden/>
              </w:rPr>
              <w:instrText xml:space="preserve"> PAGEREF _Toc90551582 \h </w:instrText>
            </w:r>
            <w:r w:rsidR="003B2319">
              <w:rPr>
                <w:noProof/>
                <w:webHidden/>
              </w:rPr>
            </w:r>
            <w:r w:rsidR="003B2319">
              <w:rPr>
                <w:noProof/>
                <w:webHidden/>
              </w:rPr>
              <w:fldChar w:fldCharType="separate"/>
            </w:r>
            <w:r w:rsidR="003B2319">
              <w:rPr>
                <w:noProof/>
                <w:webHidden/>
              </w:rPr>
              <w:t>5</w:t>
            </w:r>
            <w:r w:rsidR="003B2319">
              <w:rPr>
                <w:noProof/>
                <w:webHidden/>
              </w:rPr>
              <w:fldChar w:fldCharType="end"/>
            </w:r>
          </w:hyperlink>
        </w:p>
        <w:p w14:paraId="0B78E7D0" w14:textId="64F7F40F" w:rsidR="003B2319" w:rsidRDefault="003232B6">
          <w:pPr>
            <w:pStyle w:val="TOC1"/>
            <w:tabs>
              <w:tab w:val="right" w:leader="dot" w:pos="9016"/>
            </w:tabs>
            <w:rPr>
              <w:rFonts w:eastAsiaTheme="minorEastAsia"/>
              <w:noProof/>
              <w:lang w:eastAsia="en-AU"/>
            </w:rPr>
          </w:pPr>
          <w:hyperlink w:anchor="_Toc90551583" w:history="1">
            <w:r w:rsidR="003B2319" w:rsidRPr="00591CD5">
              <w:rPr>
                <w:rStyle w:val="Hyperlink"/>
                <w:b/>
                <w:bCs/>
                <w:noProof/>
              </w:rPr>
              <w:t>Attachment A: Additional Information from Australian Government Websites</w:t>
            </w:r>
            <w:r w:rsidR="00AE723E">
              <w:rPr>
                <w:rStyle w:val="Hyperlink"/>
                <w:b/>
                <w:bCs/>
                <w:noProof/>
              </w:rPr>
              <w:t xml:space="preserve"> </w:t>
            </w:r>
            <w:r w:rsidR="003B2319">
              <w:rPr>
                <w:noProof/>
                <w:webHidden/>
              </w:rPr>
              <w:tab/>
            </w:r>
            <w:r w:rsidR="003B2319">
              <w:rPr>
                <w:noProof/>
                <w:webHidden/>
              </w:rPr>
              <w:fldChar w:fldCharType="begin"/>
            </w:r>
            <w:r w:rsidR="003B2319">
              <w:rPr>
                <w:noProof/>
                <w:webHidden/>
              </w:rPr>
              <w:instrText xml:space="preserve"> PAGEREF _Toc90551583 \h </w:instrText>
            </w:r>
            <w:r w:rsidR="003B2319">
              <w:rPr>
                <w:noProof/>
                <w:webHidden/>
              </w:rPr>
            </w:r>
            <w:r w:rsidR="003B2319">
              <w:rPr>
                <w:noProof/>
                <w:webHidden/>
              </w:rPr>
              <w:fldChar w:fldCharType="separate"/>
            </w:r>
            <w:r w:rsidR="003B2319">
              <w:rPr>
                <w:noProof/>
                <w:webHidden/>
              </w:rPr>
              <w:t>5</w:t>
            </w:r>
            <w:r w:rsidR="003B2319">
              <w:rPr>
                <w:noProof/>
                <w:webHidden/>
              </w:rPr>
              <w:fldChar w:fldCharType="end"/>
            </w:r>
          </w:hyperlink>
        </w:p>
        <w:p w14:paraId="657519D7" w14:textId="3FAC0188" w:rsidR="006C5257" w:rsidRDefault="006C5257">
          <w:r>
            <w:rPr>
              <w:b/>
              <w:bCs/>
              <w:noProof/>
            </w:rPr>
            <w:fldChar w:fldCharType="end"/>
          </w:r>
        </w:p>
      </w:sdtContent>
    </w:sdt>
    <w:p w14:paraId="7C15AEC9" w14:textId="53119C99" w:rsidR="005829EC" w:rsidRPr="00A0069E" w:rsidRDefault="00C873BE" w:rsidP="005756A3">
      <w:pPr>
        <w:pStyle w:val="Heading1"/>
        <w:spacing w:before="60" w:after="120" w:line="240" w:lineRule="auto"/>
        <w:rPr>
          <w:b/>
          <w:bCs/>
        </w:rPr>
      </w:pPr>
      <w:bookmarkStart w:id="1" w:name="_Toc90551577"/>
      <w:r>
        <w:rPr>
          <w:b/>
          <w:bCs/>
        </w:rPr>
        <w:t>Introduction</w:t>
      </w:r>
      <w:bookmarkEnd w:id="1"/>
    </w:p>
    <w:p w14:paraId="5079649A" w14:textId="44B63666" w:rsidR="005829EC" w:rsidRDefault="005829EC" w:rsidP="005756A3">
      <w:pPr>
        <w:spacing w:before="60" w:after="120" w:line="240" w:lineRule="auto"/>
        <w:rPr>
          <w:rFonts w:ascii="Times New Roman" w:hAnsi="Times New Roman" w:cs="Times New Roman"/>
          <w:sz w:val="24"/>
          <w:szCs w:val="24"/>
        </w:rPr>
      </w:pPr>
      <w:r w:rsidRPr="005829EC">
        <w:rPr>
          <w:rFonts w:ascii="Times New Roman" w:hAnsi="Times New Roman" w:cs="Times New Roman"/>
          <w:sz w:val="24"/>
          <w:szCs w:val="24"/>
        </w:rPr>
        <w:t xml:space="preserve">The Australian Constitution of 1901 established a federal system of government, based on the British (Westminster) tradition of government. </w:t>
      </w:r>
      <w:r w:rsidR="000763A2">
        <w:rPr>
          <w:rFonts w:ascii="Times New Roman" w:hAnsi="Times New Roman" w:cs="Times New Roman"/>
          <w:sz w:val="24"/>
          <w:szCs w:val="24"/>
        </w:rPr>
        <w:t>Differing p</w:t>
      </w:r>
      <w:r w:rsidRPr="005829EC">
        <w:rPr>
          <w:rFonts w:ascii="Times New Roman" w:hAnsi="Times New Roman" w:cs="Times New Roman"/>
          <w:sz w:val="24"/>
          <w:szCs w:val="24"/>
        </w:rPr>
        <w:t xml:space="preserve">owers </w:t>
      </w:r>
      <w:r w:rsidR="000763A2">
        <w:rPr>
          <w:rFonts w:ascii="Times New Roman" w:hAnsi="Times New Roman" w:cs="Times New Roman"/>
          <w:sz w:val="24"/>
          <w:szCs w:val="24"/>
        </w:rPr>
        <w:t>and responsibilities sit with Australia’s</w:t>
      </w:r>
      <w:r w:rsidRPr="005829EC">
        <w:rPr>
          <w:rFonts w:ascii="Times New Roman" w:hAnsi="Times New Roman" w:cs="Times New Roman"/>
          <w:sz w:val="24"/>
          <w:szCs w:val="24"/>
        </w:rPr>
        <w:t xml:space="preserve"> national government (the Commonwealth</w:t>
      </w:r>
      <w:r w:rsidR="00AC57F2">
        <w:rPr>
          <w:rFonts w:ascii="Times New Roman" w:hAnsi="Times New Roman" w:cs="Times New Roman"/>
          <w:sz w:val="24"/>
          <w:szCs w:val="24"/>
        </w:rPr>
        <w:t>)</w:t>
      </w:r>
      <w:r w:rsidR="000763A2">
        <w:rPr>
          <w:rFonts w:ascii="Times New Roman" w:hAnsi="Times New Roman" w:cs="Times New Roman"/>
          <w:sz w:val="24"/>
          <w:szCs w:val="24"/>
        </w:rPr>
        <w:t xml:space="preserve"> and its </w:t>
      </w:r>
      <w:r w:rsidR="00F3001D" w:rsidRPr="005829EC">
        <w:rPr>
          <w:rFonts w:ascii="Times New Roman" w:hAnsi="Times New Roman" w:cs="Times New Roman"/>
          <w:sz w:val="24"/>
          <w:szCs w:val="24"/>
        </w:rPr>
        <w:t>self-govern</w:t>
      </w:r>
      <w:r w:rsidR="00F3001D">
        <w:rPr>
          <w:rFonts w:ascii="Times New Roman" w:hAnsi="Times New Roman" w:cs="Times New Roman"/>
          <w:sz w:val="24"/>
          <w:szCs w:val="24"/>
        </w:rPr>
        <w:t xml:space="preserve">ed </w:t>
      </w:r>
      <w:r w:rsidRPr="005829EC">
        <w:rPr>
          <w:rFonts w:ascii="Times New Roman" w:hAnsi="Times New Roman" w:cs="Times New Roman"/>
          <w:sz w:val="24"/>
          <w:szCs w:val="24"/>
        </w:rPr>
        <w:t xml:space="preserve">states (New South Wales, Queensland, </w:t>
      </w:r>
      <w:r w:rsidR="00F93308" w:rsidRPr="005829EC">
        <w:rPr>
          <w:rFonts w:ascii="Times New Roman" w:hAnsi="Times New Roman" w:cs="Times New Roman"/>
          <w:sz w:val="24"/>
          <w:szCs w:val="24"/>
        </w:rPr>
        <w:t>South</w:t>
      </w:r>
      <w:r w:rsidR="00F93308">
        <w:rPr>
          <w:rFonts w:ascii="Times New Roman" w:hAnsi="Times New Roman" w:cs="Times New Roman"/>
          <w:sz w:val="24"/>
          <w:szCs w:val="24"/>
        </w:rPr>
        <w:t> </w:t>
      </w:r>
      <w:r w:rsidRPr="005829EC">
        <w:rPr>
          <w:rFonts w:ascii="Times New Roman" w:hAnsi="Times New Roman" w:cs="Times New Roman"/>
          <w:sz w:val="24"/>
          <w:szCs w:val="24"/>
        </w:rPr>
        <w:t>Australia, Tasmania, Victoria and Western Australia)</w:t>
      </w:r>
      <w:r w:rsidR="00C53895">
        <w:rPr>
          <w:rFonts w:ascii="Times New Roman" w:hAnsi="Times New Roman" w:cs="Times New Roman"/>
          <w:sz w:val="24"/>
          <w:szCs w:val="24"/>
        </w:rPr>
        <w:t xml:space="preserve"> and territories (</w:t>
      </w:r>
      <w:r w:rsidR="00F3001D">
        <w:rPr>
          <w:rFonts w:ascii="Times New Roman" w:hAnsi="Times New Roman" w:cs="Times New Roman"/>
          <w:sz w:val="24"/>
          <w:szCs w:val="24"/>
        </w:rPr>
        <w:t>t</w:t>
      </w:r>
      <w:r w:rsidRPr="005829EC">
        <w:rPr>
          <w:rFonts w:ascii="Times New Roman" w:hAnsi="Times New Roman" w:cs="Times New Roman"/>
          <w:sz w:val="24"/>
          <w:szCs w:val="24"/>
        </w:rPr>
        <w:t>he</w:t>
      </w:r>
      <w:r w:rsidR="00F3001D">
        <w:rPr>
          <w:rFonts w:ascii="Times New Roman" w:hAnsi="Times New Roman" w:cs="Times New Roman"/>
          <w:sz w:val="24"/>
          <w:szCs w:val="24"/>
        </w:rPr>
        <w:t> </w:t>
      </w:r>
      <w:r w:rsidRPr="005829EC">
        <w:rPr>
          <w:rFonts w:ascii="Times New Roman" w:hAnsi="Times New Roman" w:cs="Times New Roman"/>
          <w:sz w:val="24"/>
          <w:szCs w:val="24"/>
        </w:rPr>
        <w:t>Australian</w:t>
      </w:r>
      <w:r w:rsidR="00F93308">
        <w:rPr>
          <w:rFonts w:ascii="Times New Roman" w:hAnsi="Times New Roman" w:cs="Times New Roman"/>
          <w:sz w:val="24"/>
          <w:szCs w:val="24"/>
        </w:rPr>
        <w:t> </w:t>
      </w:r>
      <w:r w:rsidRPr="005829EC">
        <w:rPr>
          <w:rFonts w:ascii="Times New Roman" w:hAnsi="Times New Roman" w:cs="Times New Roman"/>
          <w:sz w:val="24"/>
          <w:szCs w:val="24"/>
        </w:rPr>
        <w:t>Capital Territory and the Northern Territory</w:t>
      </w:r>
      <w:r w:rsidR="00C53895">
        <w:rPr>
          <w:rFonts w:ascii="Times New Roman" w:hAnsi="Times New Roman" w:cs="Times New Roman"/>
          <w:sz w:val="24"/>
          <w:szCs w:val="24"/>
        </w:rPr>
        <w:t>)</w:t>
      </w:r>
      <w:r w:rsidR="00AC57F2" w:rsidRPr="00AC57F2">
        <w:rPr>
          <w:rFonts w:ascii="Times New Roman" w:hAnsi="Times New Roman" w:cs="Times New Roman"/>
          <w:sz w:val="24"/>
          <w:szCs w:val="24"/>
        </w:rPr>
        <w:t>.</w:t>
      </w:r>
    </w:p>
    <w:p w14:paraId="272E7EE1" w14:textId="77777777" w:rsidR="00AC57F2" w:rsidRPr="005829EC" w:rsidRDefault="00AC57F2" w:rsidP="00AC57F2">
      <w:pPr>
        <w:spacing w:before="60" w:after="120" w:line="240" w:lineRule="auto"/>
        <w:rPr>
          <w:rFonts w:ascii="Times New Roman" w:hAnsi="Times New Roman" w:cs="Times New Roman"/>
          <w:sz w:val="24"/>
          <w:szCs w:val="24"/>
        </w:rPr>
      </w:pPr>
      <w:r w:rsidRPr="005829EC">
        <w:rPr>
          <w:rFonts w:ascii="Times New Roman" w:hAnsi="Times New Roman" w:cs="Times New Roman"/>
          <w:sz w:val="24"/>
          <w:szCs w:val="24"/>
        </w:rPr>
        <w:t>Australia is a representative democracy where votes elect candidates to carry out the business of government on behalf</w:t>
      </w:r>
      <w:r>
        <w:rPr>
          <w:rFonts w:ascii="Times New Roman" w:hAnsi="Times New Roman" w:cs="Times New Roman"/>
          <w:sz w:val="24"/>
          <w:szCs w:val="24"/>
        </w:rPr>
        <w:t xml:space="preserve"> of its citizens</w:t>
      </w:r>
      <w:r w:rsidRPr="005829EC">
        <w:rPr>
          <w:rFonts w:ascii="Times New Roman" w:hAnsi="Times New Roman" w:cs="Times New Roman"/>
          <w:sz w:val="24"/>
          <w:szCs w:val="24"/>
        </w:rPr>
        <w:t>.</w:t>
      </w:r>
      <w:r>
        <w:rPr>
          <w:rFonts w:ascii="Times New Roman" w:hAnsi="Times New Roman" w:cs="Times New Roman"/>
          <w:sz w:val="24"/>
          <w:szCs w:val="24"/>
        </w:rPr>
        <w:t xml:space="preserve"> </w:t>
      </w:r>
      <w:r w:rsidRPr="005829EC">
        <w:rPr>
          <w:rFonts w:ascii="Times New Roman" w:hAnsi="Times New Roman" w:cs="Times New Roman"/>
          <w:sz w:val="24"/>
          <w:szCs w:val="24"/>
        </w:rPr>
        <w:t xml:space="preserve">Australian citizens over the age of 18 </w:t>
      </w:r>
      <w:r>
        <w:rPr>
          <w:rFonts w:ascii="Times New Roman" w:hAnsi="Times New Roman" w:cs="Times New Roman"/>
          <w:sz w:val="24"/>
          <w:szCs w:val="24"/>
        </w:rPr>
        <w:t>are required to</w:t>
      </w:r>
      <w:r w:rsidRPr="005829EC">
        <w:rPr>
          <w:rFonts w:ascii="Times New Roman" w:hAnsi="Times New Roman" w:cs="Times New Roman"/>
          <w:sz w:val="24"/>
          <w:szCs w:val="24"/>
        </w:rPr>
        <w:t xml:space="preserve"> vote in elections.</w:t>
      </w:r>
    </w:p>
    <w:p w14:paraId="13E80FCB" w14:textId="374B7FC7" w:rsidR="005756A3" w:rsidRPr="005829EC" w:rsidRDefault="00AC57F2" w:rsidP="005756A3">
      <w:pPr>
        <w:spacing w:before="60" w:after="120" w:line="240" w:lineRule="auto"/>
        <w:rPr>
          <w:rFonts w:ascii="Times New Roman" w:hAnsi="Times New Roman" w:cs="Times New Roman"/>
          <w:sz w:val="24"/>
          <w:szCs w:val="24"/>
        </w:rPr>
      </w:pPr>
      <w:r>
        <w:rPr>
          <w:rFonts w:ascii="Times New Roman" w:hAnsi="Times New Roman" w:cs="Times New Roman"/>
          <w:sz w:val="24"/>
          <w:szCs w:val="24"/>
        </w:rPr>
        <w:t>The Commonwealth</w:t>
      </w:r>
      <w:r w:rsidR="005829EC" w:rsidRPr="005829EC">
        <w:rPr>
          <w:rFonts w:ascii="Times New Roman" w:hAnsi="Times New Roman" w:cs="Times New Roman"/>
          <w:sz w:val="24"/>
          <w:szCs w:val="24"/>
        </w:rPr>
        <w:t xml:space="preserve"> is answerable to the </w:t>
      </w:r>
      <w:r>
        <w:rPr>
          <w:rFonts w:ascii="Times New Roman" w:hAnsi="Times New Roman" w:cs="Times New Roman"/>
          <w:sz w:val="24"/>
          <w:szCs w:val="24"/>
        </w:rPr>
        <w:t xml:space="preserve">Australian </w:t>
      </w:r>
      <w:r w:rsidR="005829EC" w:rsidRPr="005829EC">
        <w:rPr>
          <w:rFonts w:ascii="Times New Roman" w:hAnsi="Times New Roman" w:cs="Times New Roman"/>
          <w:sz w:val="24"/>
          <w:szCs w:val="24"/>
        </w:rPr>
        <w:t xml:space="preserve">Parliament for its actions. The Prime Minister leads a Cabinet of </w:t>
      </w:r>
      <w:r>
        <w:rPr>
          <w:rFonts w:ascii="Times New Roman" w:hAnsi="Times New Roman" w:cs="Times New Roman"/>
          <w:sz w:val="24"/>
          <w:szCs w:val="24"/>
        </w:rPr>
        <w:t xml:space="preserve">responsible </w:t>
      </w:r>
      <w:r w:rsidR="005829EC" w:rsidRPr="005829EC">
        <w:rPr>
          <w:rFonts w:ascii="Times New Roman" w:hAnsi="Times New Roman" w:cs="Times New Roman"/>
          <w:sz w:val="24"/>
          <w:szCs w:val="24"/>
        </w:rPr>
        <w:t>ministers.</w:t>
      </w:r>
    </w:p>
    <w:p w14:paraId="75297853" w14:textId="209CFA7D" w:rsidR="0000280A" w:rsidRPr="00AC34E8" w:rsidRDefault="00DA1834" w:rsidP="005756A3">
      <w:pPr>
        <w:pStyle w:val="Heading1"/>
        <w:spacing w:before="60" w:after="120" w:line="240" w:lineRule="auto"/>
        <w:rPr>
          <w:rFonts w:ascii="Times New Roman" w:hAnsi="Times New Roman" w:cs="Times New Roman"/>
          <w:b/>
          <w:bCs/>
          <w:sz w:val="24"/>
          <w:szCs w:val="24"/>
        </w:rPr>
      </w:pPr>
      <w:bookmarkStart w:id="2" w:name="_Toc90551578"/>
      <w:r w:rsidRPr="00A0069E">
        <w:rPr>
          <w:b/>
          <w:bCs/>
        </w:rPr>
        <w:t>N</w:t>
      </w:r>
      <w:r w:rsidR="004203F4" w:rsidRPr="00A0069E">
        <w:rPr>
          <w:b/>
          <w:bCs/>
        </w:rPr>
        <w:t>ational legal and regulatory framework</w:t>
      </w:r>
      <w:r w:rsidR="00C873BE">
        <w:rPr>
          <w:b/>
          <w:bCs/>
        </w:rPr>
        <w:t xml:space="preserve"> for water</w:t>
      </w:r>
      <w:bookmarkEnd w:id="2"/>
      <w:r w:rsidR="004203F4" w:rsidRPr="00DA1834">
        <w:rPr>
          <w:rFonts w:ascii="Times New Roman" w:hAnsi="Times New Roman" w:cs="Times New Roman"/>
          <w:b/>
          <w:bCs/>
          <w:i/>
          <w:iCs/>
          <w:sz w:val="24"/>
          <w:szCs w:val="24"/>
        </w:rPr>
        <w:t xml:space="preserve"> </w:t>
      </w:r>
    </w:p>
    <w:p w14:paraId="51B3EF1C" w14:textId="4C01F014" w:rsidR="00C94039" w:rsidRPr="00AC34E8" w:rsidRDefault="00FC4D56"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State, territory and local governments and their water </w:t>
      </w:r>
      <w:r w:rsidR="00C94039" w:rsidRPr="00AC34E8">
        <w:rPr>
          <w:rFonts w:ascii="Times New Roman" w:hAnsi="Times New Roman" w:cs="Times New Roman"/>
          <w:sz w:val="24"/>
          <w:szCs w:val="24"/>
        </w:rPr>
        <w:t xml:space="preserve">utilities are responsible for the provision of water </w:t>
      </w:r>
      <w:r w:rsidRPr="00AC34E8">
        <w:rPr>
          <w:rFonts w:ascii="Times New Roman" w:hAnsi="Times New Roman" w:cs="Times New Roman"/>
          <w:sz w:val="24"/>
          <w:szCs w:val="24"/>
        </w:rPr>
        <w:t xml:space="preserve">and sanitation services </w:t>
      </w:r>
      <w:r w:rsidR="00C94039" w:rsidRPr="00AC34E8">
        <w:rPr>
          <w:rFonts w:ascii="Times New Roman" w:hAnsi="Times New Roman" w:cs="Times New Roman"/>
          <w:sz w:val="24"/>
          <w:szCs w:val="24"/>
        </w:rPr>
        <w:t xml:space="preserve">to all Australians including </w:t>
      </w:r>
      <w:r w:rsidR="00930D9F">
        <w:rPr>
          <w:rFonts w:ascii="Times New Roman" w:hAnsi="Times New Roman" w:cs="Times New Roman"/>
          <w:sz w:val="24"/>
          <w:szCs w:val="24"/>
        </w:rPr>
        <w:t>I</w:t>
      </w:r>
      <w:r w:rsidR="00C94039" w:rsidRPr="00AC34E8">
        <w:rPr>
          <w:rFonts w:ascii="Times New Roman" w:hAnsi="Times New Roman" w:cs="Times New Roman"/>
          <w:sz w:val="24"/>
          <w:szCs w:val="24"/>
        </w:rPr>
        <w:t>ndigenous and remote communities</w:t>
      </w:r>
      <w:r w:rsidR="00052210" w:rsidRPr="00AC34E8">
        <w:rPr>
          <w:rFonts w:ascii="Times New Roman" w:hAnsi="Times New Roman" w:cs="Times New Roman"/>
          <w:sz w:val="24"/>
          <w:szCs w:val="24"/>
        </w:rPr>
        <w:t>, based on service standards developed with their community and relevant regulators</w:t>
      </w:r>
      <w:r w:rsidR="00C94039" w:rsidRPr="00AC34E8">
        <w:rPr>
          <w:rFonts w:ascii="Times New Roman" w:hAnsi="Times New Roman" w:cs="Times New Roman"/>
          <w:sz w:val="24"/>
          <w:szCs w:val="24"/>
        </w:rPr>
        <w:t xml:space="preserve">. Consequently, water utilities are subject to </w:t>
      </w:r>
      <w:r w:rsidR="00FF7A1E" w:rsidRPr="00AC34E8">
        <w:rPr>
          <w:rFonts w:ascii="Times New Roman" w:hAnsi="Times New Roman" w:cs="Times New Roman"/>
          <w:sz w:val="24"/>
          <w:szCs w:val="24"/>
        </w:rPr>
        <w:t>best practice governance</w:t>
      </w:r>
      <w:r w:rsidR="00C94039" w:rsidRPr="00AC34E8">
        <w:rPr>
          <w:rFonts w:ascii="Times New Roman" w:hAnsi="Times New Roman" w:cs="Times New Roman"/>
          <w:sz w:val="24"/>
          <w:szCs w:val="24"/>
        </w:rPr>
        <w:t xml:space="preserve"> and </w:t>
      </w:r>
      <w:r w:rsidR="00C94039" w:rsidRPr="00AC34E8">
        <w:rPr>
          <w:rFonts w:ascii="Times New Roman" w:hAnsi="Times New Roman" w:cs="Times New Roman"/>
          <w:sz w:val="24"/>
          <w:szCs w:val="24"/>
        </w:rPr>
        <w:lastRenderedPageBreak/>
        <w:t xml:space="preserve">regulations arising from </w:t>
      </w:r>
      <w:r w:rsidRPr="00AC34E8">
        <w:rPr>
          <w:rFonts w:ascii="Times New Roman" w:hAnsi="Times New Roman" w:cs="Times New Roman"/>
          <w:sz w:val="24"/>
          <w:szCs w:val="24"/>
        </w:rPr>
        <w:t xml:space="preserve">their respective </w:t>
      </w:r>
      <w:r w:rsidR="00C94039" w:rsidRPr="00AC34E8">
        <w:rPr>
          <w:rFonts w:ascii="Times New Roman" w:hAnsi="Times New Roman" w:cs="Times New Roman"/>
          <w:sz w:val="24"/>
          <w:szCs w:val="24"/>
        </w:rPr>
        <w:t xml:space="preserve">state or territory legislation. </w:t>
      </w:r>
      <w:r w:rsidRPr="00AC34E8">
        <w:rPr>
          <w:rFonts w:ascii="Times New Roman" w:hAnsi="Times New Roman" w:cs="Times New Roman"/>
          <w:sz w:val="24"/>
          <w:szCs w:val="24"/>
        </w:rPr>
        <w:t>This approach</w:t>
      </w:r>
      <w:r w:rsidR="00C94039" w:rsidRPr="00AC34E8">
        <w:rPr>
          <w:rFonts w:ascii="Times New Roman" w:hAnsi="Times New Roman" w:cs="Times New Roman"/>
          <w:sz w:val="24"/>
          <w:szCs w:val="24"/>
        </w:rPr>
        <w:t xml:space="preserve"> </w:t>
      </w:r>
      <w:r w:rsidR="00FF7A1E" w:rsidRPr="00AC34E8">
        <w:rPr>
          <w:rFonts w:ascii="Times New Roman" w:hAnsi="Times New Roman" w:cs="Times New Roman"/>
          <w:sz w:val="24"/>
          <w:szCs w:val="24"/>
        </w:rPr>
        <w:t>ensure</w:t>
      </w:r>
      <w:r w:rsidRPr="00AC34E8">
        <w:rPr>
          <w:rFonts w:ascii="Times New Roman" w:hAnsi="Times New Roman" w:cs="Times New Roman"/>
          <w:sz w:val="24"/>
          <w:szCs w:val="24"/>
        </w:rPr>
        <w:t>s</w:t>
      </w:r>
      <w:r w:rsidR="00C94039" w:rsidRPr="00AC34E8">
        <w:rPr>
          <w:rFonts w:ascii="Times New Roman" w:hAnsi="Times New Roman" w:cs="Times New Roman"/>
          <w:sz w:val="24"/>
          <w:szCs w:val="24"/>
        </w:rPr>
        <w:t xml:space="preserve"> water utilities have robust </w:t>
      </w:r>
      <w:r w:rsidRPr="00AC34E8">
        <w:rPr>
          <w:rFonts w:ascii="Times New Roman" w:hAnsi="Times New Roman" w:cs="Times New Roman"/>
          <w:sz w:val="24"/>
          <w:szCs w:val="24"/>
        </w:rPr>
        <w:t xml:space="preserve">planning and </w:t>
      </w:r>
      <w:r w:rsidR="00C94039" w:rsidRPr="00AC34E8">
        <w:rPr>
          <w:rFonts w:ascii="Times New Roman" w:hAnsi="Times New Roman" w:cs="Times New Roman"/>
          <w:sz w:val="24"/>
          <w:szCs w:val="24"/>
        </w:rPr>
        <w:t xml:space="preserve">delivery frameworks </w:t>
      </w:r>
      <w:r w:rsidRPr="00AC34E8">
        <w:rPr>
          <w:rFonts w:ascii="Times New Roman" w:hAnsi="Times New Roman" w:cs="Times New Roman"/>
          <w:sz w:val="24"/>
          <w:szCs w:val="24"/>
        </w:rPr>
        <w:t xml:space="preserve">which </w:t>
      </w:r>
      <w:r w:rsidR="00FF7A1E" w:rsidRPr="00AC34E8">
        <w:rPr>
          <w:rFonts w:ascii="Times New Roman" w:hAnsi="Times New Roman" w:cs="Times New Roman"/>
          <w:sz w:val="24"/>
          <w:szCs w:val="24"/>
        </w:rPr>
        <w:t>ensure a minimum standard of water provision services, including minimum levels of water treatment</w:t>
      </w:r>
      <w:r w:rsidR="00C94039" w:rsidRPr="00AC34E8">
        <w:rPr>
          <w:rFonts w:ascii="Times New Roman" w:hAnsi="Times New Roman" w:cs="Times New Roman"/>
          <w:sz w:val="24"/>
          <w:szCs w:val="24"/>
        </w:rPr>
        <w:t>.</w:t>
      </w:r>
    </w:p>
    <w:p w14:paraId="6B106D7D" w14:textId="0549632C" w:rsidR="00F80397" w:rsidRPr="00AC34E8" w:rsidRDefault="00FD1E62" w:rsidP="005756A3">
      <w:pPr>
        <w:spacing w:before="60" w:after="12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Pr="00AC34E8">
        <w:rPr>
          <w:rFonts w:ascii="Times New Roman" w:hAnsi="Times New Roman" w:cs="Times New Roman"/>
          <w:sz w:val="24"/>
          <w:szCs w:val="24"/>
        </w:rPr>
        <w:t xml:space="preserve">a </w:t>
      </w:r>
      <w:r>
        <w:rPr>
          <w:rFonts w:ascii="Times New Roman" w:hAnsi="Times New Roman" w:cs="Times New Roman"/>
          <w:sz w:val="24"/>
          <w:szCs w:val="24"/>
        </w:rPr>
        <w:t xml:space="preserve">shared Commonwealth, state and territory </w:t>
      </w:r>
      <w:r w:rsidRPr="00AC34E8">
        <w:rPr>
          <w:rFonts w:ascii="Times New Roman" w:hAnsi="Times New Roman" w:cs="Times New Roman"/>
          <w:sz w:val="24"/>
          <w:szCs w:val="24"/>
        </w:rPr>
        <w:t>commitment</w:t>
      </w:r>
      <w:r>
        <w:rPr>
          <w:rFonts w:ascii="Times New Roman" w:hAnsi="Times New Roman" w:cs="Times New Roman"/>
          <w:sz w:val="24"/>
          <w:szCs w:val="24"/>
        </w:rPr>
        <w:t>,</w:t>
      </w:r>
      <w:r w:rsidRPr="00AC34E8" w:rsidDel="00FD1E62">
        <w:rPr>
          <w:rFonts w:ascii="Times New Roman" w:hAnsi="Times New Roman" w:cs="Times New Roman"/>
          <w:sz w:val="24"/>
          <w:szCs w:val="24"/>
        </w:rPr>
        <w:t xml:space="preserve"> </w:t>
      </w:r>
      <w:r>
        <w:rPr>
          <w:rFonts w:ascii="Times New Roman" w:hAnsi="Times New Roman" w:cs="Times New Roman"/>
          <w:sz w:val="24"/>
          <w:szCs w:val="24"/>
        </w:rPr>
        <w:t>Australia’s</w:t>
      </w:r>
      <w:r w:rsidRPr="00AC34E8">
        <w:rPr>
          <w:rFonts w:ascii="Times New Roman" w:hAnsi="Times New Roman" w:cs="Times New Roman"/>
          <w:sz w:val="24"/>
          <w:szCs w:val="24"/>
        </w:rPr>
        <w:t xml:space="preserve"> </w:t>
      </w:r>
      <w:r w:rsidR="00C94039" w:rsidRPr="00AC34E8">
        <w:rPr>
          <w:rFonts w:ascii="Times New Roman" w:hAnsi="Times New Roman" w:cs="Times New Roman"/>
          <w:sz w:val="24"/>
          <w:szCs w:val="24"/>
        </w:rPr>
        <w:t>National Water Initiative (</w:t>
      </w:r>
      <w:hyperlink r:id="rId12" w:history="1">
        <w:r w:rsidR="00C94039" w:rsidRPr="00585E7A">
          <w:rPr>
            <w:rStyle w:val="Hyperlink"/>
            <w:rFonts w:ascii="Times New Roman" w:hAnsi="Times New Roman" w:cs="Times New Roman"/>
            <w:sz w:val="24"/>
            <w:szCs w:val="24"/>
          </w:rPr>
          <w:t>NWI</w:t>
        </w:r>
      </w:hyperlink>
      <w:r w:rsidR="00455984">
        <w:rPr>
          <w:rFonts w:ascii="Times New Roman" w:hAnsi="Times New Roman" w:cs="Times New Roman"/>
          <w:sz w:val="24"/>
          <w:szCs w:val="24"/>
        </w:rPr>
        <w:t>)</w:t>
      </w:r>
      <w:r w:rsidR="00C94039" w:rsidRPr="00AC34E8">
        <w:rPr>
          <w:rFonts w:ascii="Times New Roman" w:hAnsi="Times New Roman" w:cs="Times New Roman"/>
          <w:sz w:val="24"/>
          <w:szCs w:val="24"/>
        </w:rPr>
        <w:t xml:space="preserve"> came into effect in 2004 to increase the efficiency of Australia's water use. </w:t>
      </w:r>
      <w:r w:rsidR="00F80397" w:rsidRPr="00AC34E8">
        <w:rPr>
          <w:rFonts w:ascii="Times New Roman" w:hAnsi="Times New Roman" w:cs="Times New Roman"/>
          <w:sz w:val="24"/>
          <w:szCs w:val="24"/>
        </w:rPr>
        <w:t>Statutory water plans provide the cornerstone of the NWI framework. The NWI requires statutory water plans be prepared for surface water and groundwater management units in which water entitlements are issued, and for water allocations and entitlements to be made consistent with these plans. The NWI states water plans should set down environmental and other public benefit outcomes for water systems and the means for achieving them</w:t>
      </w:r>
      <w:r w:rsidR="00557DEB">
        <w:rPr>
          <w:rFonts w:ascii="Times New Roman" w:hAnsi="Times New Roman" w:cs="Times New Roman"/>
          <w:sz w:val="24"/>
          <w:szCs w:val="24"/>
        </w:rPr>
        <w:t>;</w:t>
      </w:r>
      <w:r w:rsidR="00F80397" w:rsidRPr="00AC34E8">
        <w:rPr>
          <w:rFonts w:ascii="Times New Roman" w:hAnsi="Times New Roman" w:cs="Times New Roman"/>
          <w:sz w:val="24"/>
          <w:szCs w:val="24"/>
        </w:rPr>
        <w:t xml:space="preserve"> and provide for ‘resource security outcomes by determining the shares in the consumptive pool and the rules to allocate water during the life of the plan’. Water plans provide allocations to ‘environmental and other public benefit outcomes’ </w:t>
      </w:r>
      <w:r w:rsidR="00192AE1" w:rsidRPr="00AC34E8">
        <w:rPr>
          <w:rFonts w:ascii="Times New Roman" w:hAnsi="Times New Roman" w:cs="Times New Roman"/>
          <w:sz w:val="24"/>
          <w:szCs w:val="24"/>
        </w:rPr>
        <w:t>which</w:t>
      </w:r>
      <w:r w:rsidR="00F80397" w:rsidRPr="00AC34E8">
        <w:rPr>
          <w:rFonts w:ascii="Times New Roman" w:hAnsi="Times New Roman" w:cs="Times New Roman"/>
          <w:sz w:val="24"/>
          <w:szCs w:val="24"/>
        </w:rPr>
        <w:t xml:space="preserve"> have at least the same degree of security as allocations to the consumptive pool. ‘Environmental outcomes’ are defined for these purposes as maintaining ecosystem function, biodiversity, water quality, and river health, while ‘other public benefit outcomes’ are defined as including ‘Indigenous and cultural values’.</w:t>
      </w:r>
    </w:p>
    <w:p w14:paraId="51A38412" w14:textId="38E7C30A" w:rsidR="00F80397" w:rsidRPr="00AC34E8" w:rsidRDefault="00F80397"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In addition to requiring water plans to identify and secure environmental and other public benefit outcomes, which include ‘Indigenous and cultural values’, the NWI </w:t>
      </w:r>
      <w:r w:rsidR="008E7159" w:rsidRPr="00AC34E8">
        <w:rPr>
          <w:rFonts w:ascii="Times New Roman" w:hAnsi="Times New Roman" w:cs="Times New Roman"/>
          <w:sz w:val="24"/>
          <w:szCs w:val="24"/>
        </w:rPr>
        <w:t xml:space="preserve">(cl 52) </w:t>
      </w:r>
      <w:r w:rsidRPr="00AC34E8">
        <w:rPr>
          <w:rFonts w:ascii="Times New Roman" w:hAnsi="Times New Roman" w:cs="Times New Roman"/>
          <w:sz w:val="24"/>
          <w:szCs w:val="24"/>
        </w:rPr>
        <w:t xml:space="preserve">obligates the Commonwealth, states and territories to: </w:t>
      </w:r>
    </w:p>
    <w:p w14:paraId="5EF6A49C" w14:textId="77777777" w:rsidR="00F80397" w:rsidRPr="00AC34E8" w:rsidRDefault="00F80397" w:rsidP="005756A3">
      <w:pPr>
        <w:spacing w:before="60" w:after="120" w:line="240" w:lineRule="auto"/>
        <w:rPr>
          <w:rFonts w:ascii="Times New Roman" w:hAnsi="Times New Roman" w:cs="Times New Roman"/>
          <w:sz w:val="24"/>
          <w:szCs w:val="24"/>
        </w:rPr>
      </w:pPr>
    </w:p>
    <w:p w14:paraId="090E9849" w14:textId="77777777" w:rsidR="00F80397" w:rsidRPr="00AC34E8" w:rsidRDefault="00F80397" w:rsidP="005756A3">
      <w:pPr>
        <w:spacing w:before="60" w:after="120" w:line="240" w:lineRule="auto"/>
        <w:ind w:left="720"/>
        <w:rPr>
          <w:rFonts w:ascii="Times New Roman" w:hAnsi="Times New Roman" w:cs="Times New Roman"/>
          <w:i/>
          <w:iCs/>
          <w:sz w:val="24"/>
          <w:szCs w:val="24"/>
        </w:rPr>
      </w:pPr>
      <w:r w:rsidRPr="00AC34E8">
        <w:rPr>
          <w:rFonts w:ascii="Times New Roman" w:hAnsi="Times New Roman" w:cs="Times New Roman"/>
          <w:i/>
          <w:iCs/>
          <w:sz w:val="24"/>
          <w:szCs w:val="24"/>
        </w:rPr>
        <w:t>provide for Indigenous access to water resources, in accordance with relevant Commonwealth, state and territory legislation, through planning processes that ensure:</w:t>
      </w:r>
    </w:p>
    <w:p w14:paraId="0FF4D1A9" w14:textId="77777777" w:rsidR="00F80397" w:rsidRPr="00AC34E8" w:rsidRDefault="00F80397" w:rsidP="005756A3">
      <w:pPr>
        <w:spacing w:before="60" w:after="120" w:line="240" w:lineRule="auto"/>
        <w:ind w:left="720"/>
        <w:rPr>
          <w:rFonts w:ascii="Times New Roman" w:hAnsi="Times New Roman" w:cs="Times New Roman"/>
          <w:i/>
          <w:iCs/>
          <w:sz w:val="24"/>
          <w:szCs w:val="24"/>
        </w:rPr>
      </w:pPr>
      <w:r w:rsidRPr="00AC34E8">
        <w:rPr>
          <w:rFonts w:ascii="Times New Roman" w:hAnsi="Times New Roman" w:cs="Times New Roman"/>
          <w:i/>
          <w:iCs/>
          <w:sz w:val="24"/>
          <w:szCs w:val="24"/>
        </w:rPr>
        <w:t>(i)</w:t>
      </w:r>
      <w:r w:rsidRPr="00AC34E8">
        <w:rPr>
          <w:rFonts w:ascii="Times New Roman" w:hAnsi="Times New Roman" w:cs="Times New Roman"/>
          <w:i/>
          <w:iCs/>
          <w:sz w:val="24"/>
          <w:szCs w:val="24"/>
        </w:rPr>
        <w:tab/>
        <w:t>inclusion of Indigenous representation in water planning wherever possible; and</w:t>
      </w:r>
    </w:p>
    <w:p w14:paraId="3E1BE928" w14:textId="77777777" w:rsidR="00F80397" w:rsidRPr="00AC34E8" w:rsidRDefault="00F80397" w:rsidP="005756A3">
      <w:pPr>
        <w:spacing w:before="60" w:after="120" w:line="240" w:lineRule="auto"/>
        <w:ind w:left="720"/>
        <w:rPr>
          <w:rFonts w:ascii="Times New Roman" w:hAnsi="Times New Roman" w:cs="Times New Roman"/>
          <w:sz w:val="24"/>
          <w:szCs w:val="24"/>
        </w:rPr>
      </w:pPr>
      <w:r w:rsidRPr="00AC34E8">
        <w:rPr>
          <w:rFonts w:ascii="Times New Roman" w:hAnsi="Times New Roman" w:cs="Times New Roman"/>
          <w:i/>
          <w:iCs/>
          <w:sz w:val="24"/>
          <w:szCs w:val="24"/>
        </w:rPr>
        <w:t>(ii)</w:t>
      </w:r>
      <w:r w:rsidRPr="00AC34E8">
        <w:rPr>
          <w:rFonts w:ascii="Times New Roman" w:hAnsi="Times New Roman" w:cs="Times New Roman"/>
          <w:i/>
          <w:iCs/>
          <w:sz w:val="24"/>
          <w:szCs w:val="24"/>
        </w:rPr>
        <w:tab/>
        <w:t>water plans will incorporate Indigenous social, spiritual and customary objectives and strategies for achieving these objectives wherever they can be developed</w:t>
      </w:r>
      <w:r w:rsidRPr="00AC34E8">
        <w:rPr>
          <w:rFonts w:ascii="Times New Roman" w:hAnsi="Times New Roman" w:cs="Times New Roman"/>
          <w:sz w:val="24"/>
          <w:szCs w:val="24"/>
        </w:rPr>
        <w:t xml:space="preserve">. </w:t>
      </w:r>
    </w:p>
    <w:p w14:paraId="2586C51B" w14:textId="77777777" w:rsidR="00F80397" w:rsidRPr="00AC34E8" w:rsidRDefault="00F80397" w:rsidP="005756A3">
      <w:pPr>
        <w:spacing w:before="60" w:after="120" w:line="240" w:lineRule="auto"/>
        <w:rPr>
          <w:rFonts w:ascii="Times New Roman" w:hAnsi="Times New Roman" w:cs="Times New Roman"/>
          <w:sz w:val="24"/>
          <w:szCs w:val="24"/>
        </w:rPr>
      </w:pPr>
    </w:p>
    <w:p w14:paraId="173B992C" w14:textId="77777777" w:rsidR="005406DB" w:rsidRDefault="00F80397"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The NWI also states ‘</w:t>
      </w:r>
      <w:r w:rsidRPr="00AC34E8">
        <w:rPr>
          <w:rFonts w:ascii="Times New Roman" w:hAnsi="Times New Roman" w:cs="Times New Roman"/>
          <w:i/>
          <w:iCs/>
          <w:sz w:val="24"/>
          <w:szCs w:val="24"/>
        </w:rPr>
        <w:t>water planning processes will take account of the possible existence of native title rights to water in the catchment or aquifer area’ and notes that ‘plans may need to allocate water to native title holders following the recognition of native title rights in water</w:t>
      </w:r>
      <w:r w:rsidRPr="00AC34E8">
        <w:rPr>
          <w:rFonts w:ascii="Times New Roman" w:hAnsi="Times New Roman" w:cs="Times New Roman"/>
          <w:sz w:val="24"/>
          <w:szCs w:val="24"/>
        </w:rPr>
        <w:t>’</w:t>
      </w:r>
      <w:r w:rsidR="00052210" w:rsidRPr="00AC34E8">
        <w:rPr>
          <w:rFonts w:ascii="Times New Roman" w:hAnsi="Times New Roman" w:cs="Times New Roman"/>
          <w:sz w:val="24"/>
          <w:szCs w:val="24"/>
        </w:rPr>
        <w:t xml:space="preserve">. </w:t>
      </w:r>
    </w:p>
    <w:p w14:paraId="60D13CAE" w14:textId="76D65303" w:rsidR="00052210" w:rsidRPr="00AC34E8" w:rsidRDefault="00052210"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For example, the </w:t>
      </w:r>
      <w:r w:rsidRPr="00AC34E8">
        <w:rPr>
          <w:rFonts w:ascii="Times New Roman" w:hAnsi="Times New Roman" w:cs="Times New Roman"/>
          <w:i/>
          <w:iCs/>
          <w:sz w:val="24"/>
          <w:szCs w:val="24"/>
        </w:rPr>
        <w:t>Water Act 2007</w:t>
      </w:r>
      <w:r w:rsidRPr="00AC34E8">
        <w:rPr>
          <w:rFonts w:ascii="Times New Roman" w:hAnsi="Times New Roman" w:cs="Times New Roman"/>
          <w:sz w:val="24"/>
          <w:szCs w:val="24"/>
        </w:rPr>
        <w:t xml:space="preserve"> provides the legislative framework for ensuring Australia’s largest water resource, the Murray-Darling Basin is managed in the national interest. In doing so the </w:t>
      </w:r>
      <w:r w:rsidRPr="00AC34E8">
        <w:rPr>
          <w:rFonts w:ascii="Times New Roman" w:hAnsi="Times New Roman" w:cs="Times New Roman"/>
          <w:i/>
          <w:iCs/>
          <w:sz w:val="24"/>
          <w:szCs w:val="24"/>
        </w:rPr>
        <w:t>Water Act 2007</w:t>
      </w:r>
      <w:r w:rsidRPr="00AC34E8">
        <w:rPr>
          <w:rFonts w:ascii="Times New Roman" w:hAnsi="Times New Roman" w:cs="Times New Roman"/>
          <w:sz w:val="24"/>
          <w:szCs w:val="24"/>
        </w:rPr>
        <w:t xml:space="preserve"> recognises that states and territories in the Murray-Darling Basin continue to manage Basin water resources within their jurisdictions and must have regard to “social, cultural, Indigenous and other public benefit”. </w:t>
      </w:r>
    </w:p>
    <w:p w14:paraId="2FFDEFA8" w14:textId="5611C94F" w:rsidR="00F80397" w:rsidRPr="00AC34E8" w:rsidRDefault="00F80397" w:rsidP="005756A3">
      <w:pPr>
        <w:spacing w:before="60" w:after="120" w:line="240" w:lineRule="auto"/>
        <w:rPr>
          <w:rFonts w:ascii="Times New Roman" w:hAnsi="Times New Roman" w:cs="Times New Roman"/>
          <w:sz w:val="24"/>
          <w:szCs w:val="24"/>
        </w:rPr>
      </w:pPr>
    </w:p>
    <w:p w14:paraId="6515912D" w14:textId="481C9D59" w:rsidR="00CC1E74" w:rsidRDefault="00A631F8"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The </w:t>
      </w:r>
      <w:r w:rsidR="007B74E2">
        <w:rPr>
          <w:rFonts w:ascii="Times New Roman" w:hAnsi="Times New Roman" w:cs="Times New Roman"/>
          <w:sz w:val="24"/>
          <w:szCs w:val="24"/>
        </w:rPr>
        <w:t>Commonwealth</w:t>
      </w:r>
      <w:r w:rsidR="00E91F7A">
        <w:rPr>
          <w:rFonts w:ascii="Times New Roman" w:hAnsi="Times New Roman" w:cs="Times New Roman"/>
          <w:sz w:val="24"/>
          <w:szCs w:val="24"/>
        </w:rPr>
        <w:t xml:space="preserve"> </w:t>
      </w:r>
      <w:r w:rsidRPr="00AC34E8">
        <w:rPr>
          <w:rFonts w:ascii="Times New Roman" w:hAnsi="Times New Roman" w:cs="Times New Roman"/>
          <w:sz w:val="24"/>
          <w:szCs w:val="24"/>
        </w:rPr>
        <w:t xml:space="preserve">is </w:t>
      </w:r>
      <w:r w:rsidR="00AA3FBA">
        <w:rPr>
          <w:rFonts w:ascii="Times New Roman" w:hAnsi="Times New Roman" w:cs="Times New Roman"/>
          <w:sz w:val="24"/>
          <w:szCs w:val="24"/>
        </w:rPr>
        <w:t xml:space="preserve">currently </w:t>
      </w:r>
      <w:r w:rsidRPr="00AC34E8">
        <w:rPr>
          <w:rFonts w:ascii="Times New Roman" w:hAnsi="Times New Roman" w:cs="Times New Roman"/>
          <w:sz w:val="24"/>
          <w:szCs w:val="24"/>
        </w:rPr>
        <w:t>working with states and territories</w:t>
      </w:r>
      <w:r w:rsidR="00E91F7A">
        <w:rPr>
          <w:rFonts w:ascii="Times New Roman" w:hAnsi="Times New Roman" w:cs="Times New Roman"/>
          <w:sz w:val="24"/>
          <w:szCs w:val="24"/>
        </w:rPr>
        <w:t xml:space="preserve"> </w:t>
      </w:r>
      <w:r w:rsidRPr="00AC34E8">
        <w:rPr>
          <w:rFonts w:ascii="Times New Roman" w:hAnsi="Times New Roman" w:cs="Times New Roman"/>
          <w:sz w:val="24"/>
          <w:szCs w:val="24"/>
        </w:rPr>
        <w:t xml:space="preserve">to renew the NWI, with a focus on water for cities and towns, water for Indigenous Australians, climate change impacts on water availability and new water infrastructure. </w:t>
      </w:r>
      <w:r w:rsidR="00C94039" w:rsidRPr="00AC34E8">
        <w:rPr>
          <w:rFonts w:ascii="Times New Roman" w:hAnsi="Times New Roman" w:cs="Times New Roman"/>
          <w:sz w:val="24"/>
          <w:szCs w:val="24"/>
        </w:rPr>
        <w:t xml:space="preserve">As part of the </w:t>
      </w:r>
      <w:r w:rsidRPr="00AC34E8">
        <w:rPr>
          <w:rFonts w:ascii="Times New Roman" w:hAnsi="Times New Roman" w:cs="Times New Roman"/>
          <w:sz w:val="24"/>
          <w:szCs w:val="24"/>
        </w:rPr>
        <w:t>renewal</w:t>
      </w:r>
      <w:r w:rsidR="00C94039" w:rsidRPr="00AC34E8">
        <w:rPr>
          <w:rFonts w:ascii="Times New Roman" w:hAnsi="Times New Roman" w:cs="Times New Roman"/>
          <w:sz w:val="24"/>
          <w:szCs w:val="24"/>
        </w:rPr>
        <w:t xml:space="preserve">, the Committee on Aboriginal Water Interests </w:t>
      </w:r>
      <w:r w:rsidR="0010126C" w:rsidRPr="00AC34E8">
        <w:rPr>
          <w:rFonts w:ascii="Times New Roman" w:hAnsi="Times New Roman" w:cs="Times New Roman"/>
          <w:sz w:val="24"/>
          <w:szCs w:val="24"/>
        </w:rPr>
        <w:t xml:space="preserve">(CAWI) </w:t>
      </w:r>
      <w:r w:rsidR="00C94039" w:rsidRPr="00AC34E8">
        <w:rPr>
          <w:rFonts w:ascii="Times New Roman" w:hAnsi="Times New Roman" w:cs="Times New Roman"/>
          <w:sz w:val="24"/>
          <w:szCs w:val="24"/>
        </w:rPr>
        <w:t xml:space="preserve">was established to </w:t>
      </w:r>
      <w:r w:rsidR="00AA3FBA" w:rsidRPr="00AC34E8">
        <w:rPr>
          <w:rFonts w:ascii="Times New Roman" w:hAnsi="Times New Roman" w:cs="Times New Roman"/>
          <w:sz w:val="24"/>
          <w:szCs w:val="24"/>
        </w:rPr>
        <w:t>advi</w:t>
      </w:r>
      <w:r w:rsidR="00AA3FBA">
        <w:rPr>
          <w:rFonts w:ascii="Times New Roman" w:hAnsi="Times New Roman" w:cs="Times New Roman"/>
          <w:sz w:val="24"/>
          <w:szCs w:val="24"/>
        </w:rPr>
        <w:t>s</w:t>
      </w:r>
      <w:r w:rsidR="00AA3FBA" w:rsidRPr="00AC34E8">
        <w:rPr>
          <w:rFonts w:ascii="Times New Roman" w:hAnsi="Times New Roman" w:cs="Times New Roman"/>
          <w:sz w:val="24"/>
          <w:szCs w:val="24"/>
        </w:rPr>
        <w:t>e</w:t>
      </w:r>
      <w:r w:rsidR="00AA3FBA">
        <w:rPr>
          <w:rFonts w:ascii="Times New Roman" w:hAnsi="Times New Roman" w:cs="Times New Roman"/>
          <w:sz w:val="24"/>
          <w:szCs w:val="24"/>
        </w:rPr>
        <w:t xml:space="preserve"> </w:t>
      </w:r>
      <w:r w:rsidR="00C94039" w:rsidRPr="00AC34E8">
        <w:rPr>
          <w:rFonts w:ascii="Times New Roman" w:hAnsi="Times New Roman" w:cs="Times New Roman"/>
          <w:sz w:val="24"/>
          <w:szCs w:val="24"/>
        </w:rPr>
        <w:t>on Indigenous water priorities.</w:t>
      </w:r>
      <w:r w:rsidR="009A595F" w:rsidRPr="00AC34E8">
        <w:rPr>
          <w:rFonts w:ascii="Times New Roman" w:hAnsi="Times New Roman" w:cs="Times New Roman"/>
          <w:sz w:val="24"/>
          <w:szCs w:val="24"/>
        </w:rPr>
        <w:t xml:space="preserve"> </w:t>
      </w:r>
      <w:r w:rsidR="00CC1E74" w:rsidRPr="00AC34E8">
        <w:rPr>
          <w:rFonts w:ascii="Times New Roman" w:hAnsi="Times New Roman" w:cs="Times New Roman"/>
          <w:sz w:val="24"/>
          <w:szCs w:val="24"/>
        </w:rPr>
        <w:lastRenderedPageBreak/>
        <w:t xml:space="preserve">CAWI consists of </w:t>
      </w:r>
      <w:r w:rsidR="00F1062A" w:rsidRPr="00AC34E8">
        <w:rPr>
          <w:rFonts w:ascii="Times New Roman" w:hAnsi="Times New Roman" w:cs="Times New Roman"/>
          <w:sz w:val="24"/>
          <w:szCs w:val="24"/>
        </w:rPr>
        <w:t>eleven</w:t>
      </w:r>
      <w:r w:rsidR="00CC1E74" w:rsidRPr="00AC34E8">
        <w:rPr>
          <w:rFonts w:ascii="Times New Roman" w:hAnsi="Times New Roman" w:cs="Times New Roman"/>
          <w:sz w:val="24"/>
          <w:szCs w:val="24"/>
        </w:rPr>
        <w:t xml:space="preserve"> Aboriginal </w:t>
      </w:r>
      <w:r w:rsidR="00F1062A" w:rsidRPr="00AC34E8">
        <w:rPr>
          <w:rFonts w:ascii="Times New Roman" w:hAnsi="Times New Roman" w:cs="Times New Roman"/>
          <w:sz w:val="24"/>
          <w:szCs w:val="24"/>
        </w:rPr>
        <w:t xml:space="preserve">and Torres Strait Islander </w:t>
      </w:r>
      <w:r w:rsidR="00CC1E74" w:rsidRPr="00AC34E8">
        <w:rPr>
          <w:rFonts w:ascii="Times New Roman" w:hAnsi="Times New Roman" w:cs="Times New Roman"/>
          <w:sz w:val="24"/>
          <w:szCs w:val="24"/>
        </w:rPr>
        <w:t xml:space="preserve">water experts </w:t>
      </w:r>
      <w:r w:rsidR="00073491">
        <w:rPr>
          <w:rFonts w:ascii="Times New Roman" w:hAnsi="Times New Roman" w:cs="Times New Roman"/>
          <w:sz w:val="24"/>
          <w:szCs w:val="24"/>
        </w:rPr>
        <w:t>in</w:t>
      </w:r>
      <w:r w:rsidR="00AA3FBA">
        <w:rPr>
          <w:rFonts w:ascii="Times New Roman" w:hAnsi="Times New Roman" w:cs="Times New Roman"/>
          <w:sz w:val="24"/>
          <w:szCs w:val="24"/>
        </w:rPr>
        <w:t xml:space="preserve"> </w:t>
      </w:r>
      <w:r w:rsidR="00CC1E74" w:rsidRPr="00AC34E8">
        <w:rPr>
          <w:rFonts w:ascii="Times New Roman" w:hAnsi="Times New Roman" w:cs="Times New Roman"/>
          <w:sz w:val="24"/>
          <w:szCs w:val="24"/>
        </w:rPr>
        <w:t>locat</w:t>
      </w:r>
      <w:r w:rsidR="00AA3FBA">
        <w:rPr>
          <w:rFonts w:ascii="Times New Roman" w:hAnsi="Times New Roman" w:cs="Times New Roman"/>
          <w:sz w:val="24"/>
          <w:szCs w:val="24"/>
        </w:rPr>
        <w:t xml:space="preserve">ions </w:t>
      </w:r>
      <w:r w:rsidR="00CC1E74" w:rsidRPr="00AC34E8">
        <w:rPr>
          <w:rFonts w:ascii="Times New Roman" w:hAnsi="Times New Roman" w:cs="Times New Roman"/>
          <w:sz w:val="24"/>
          <w:szCs w:val="24"/>
        </w:rPr>
        <w:t xml:space="preserve">across Australia. </w:t>
      </w:r>
    </w:p>
    <w:p w14:paraId="64B04447" w14:textId="77777777" w:rsidR="008370C8" w:rsidRPr="00AC34E8" w:rsidRDefault="008370C8" w:rsidP="005756A3">
      <w:pPr>
        <w:spacing w:before="60" w:after="120" w:line="240" w:lineRule="auto"/>
        <w:rPr>
          <w:rFonts w:ascii="Times New Roman" w:hAnsi="Times New Roman" w:cs="Times New Roman"/>
          <w:sz w:val="24"/>
          <w:szCs w:val="24"/>
        </w:rPr>
      </w:pPr>
    </w:p>
    <w:p w14:paraId="0852D750" w14:textId="3E159B45" w:rsidR="00652E57" w:rsidRPr="006C5257" w:rsidRDefault="00DA1834" w:rsidP="005756A3">
      <w:pPr>
        <w:pStyle w:val="Heading1"/>
        <w:spacing w:before="60" w:after="120" w:line="240" w:lineRule="auto"/>
        <w:rPr>
          <w:b/>
          <w:bCs/>
        </w:rPr>
      </w:pPr>
      <w:bookmarkStart w:id="3" w:name="_Toc90551579"/>
      <w:r w:rsidRPr="006C5257">
        <w:rPr>
          <w:b/>
          <w:bCs/>
        </w:rPr>
        <w:t>A</w:t>
      </w:r>
      <w:r w:rsidR="004203F4" w:rsidRPr="006C5257">
        <w:rPr>
          <w:b/>
          <w:bCs/>
        </w:rPr>
        <w:t>ccess to safe drinking water, sanitation and hygiene</w:t>
      </w:r>
      <w:bookmarkEnd w:id="3"/>
      <w:r w:rsidR="004203F4" w:rsidRPr="006C5257">
        <w:rPr>
          <w:b/>
          <w:bCs/>
        </w:rPr>
        <w:t xml:space="preserve"> </w:t>
      </w:r>
    </w:p>
    <w:p w14:paraId="157921E3" w14:textId="4E6A8705" w:rsidR="00DA1834" w:rsidRPr="00AC34E8" w:rsidRDefault="00DA1834"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While there are logistical challenges faced with installing and maintaining infrastructure in the most remote communities arising from vast distances and seasonal climatic conditions, </w:t>
      </w:r>
      <w:r w:rsidR="00B76420">
        <w:rPr>
          <w:rFonts w:ascii="Times New Roman" w:hAnsi="Times New Roman" w:cs="Times New Roman"/>
          <w:sz w:val="24"/>
          <w:szCs w:val="24"/>
        </w:rPr>
        <w:t xml:space="preserve">we aim for </w:t>
      </w:r>
      <w:r w:rsidRPr="00AC34E8">
        <w:rPr>
          <w:rFonts w:ascii="Times New Roman" w:hAnsi="Times New Roman" w:cs="Times New Roman"/>
          <w:sz w:val="24"/>
          <w:szCs w:val="24"/>
        </w:rPr>
        <w:t xml:space="preserve">all Australians have universal access to potable water and sanitation services. </w:t>
      </w:r>
    </w:p>
    <w:p w14:paraId="2165FF71" w14:textId="444884D1" w:rsidR="00A37750" w:rsidRPr="00AC34E8" w:rsidRDefault="00E41291"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Access to safe drinking water, sanitation and hygiene for people living in remote areas is the responsibility of state</w:t>
      </w:r>
      <w:r w:rsidR="00073491">
        <w:rPr>
          <w:rFonts w:ascii="Times New Roman" w:hAnsi="Times New Roman" w:cs="Times New Roman"/>
          <w:sz w:val="24"/>
          <w:szCs w:val="24"/>
        </w:rPr>
        <w:t>s</w:t>
      </w:r>
      <w:r w:rsidRPr="00AC34E8">
        <w:rPr>
          <w:rFonts w:ascii="Times New Roman" w:hAnsi="Times New Roman" w:cs="Times New Roman"/>
          <w:sz w:val="24"/>
          <w:szCs w:val="24"/>
        </w:rPr>
        <w:t xml:space="preserve"> and </w:t>
      </w:r>
      <w:r w:rsidR="00073491" w:rsidRPr="00AC34E8">
        <w:rPr>
          <w:rFonts w:ascii="Times New Roman" w:hAnsi="Times New Roman" w:cs="Times New Roman"/>
          <w:sz w:val="24"/>
          <w:szCs w:val="24"/>
        </w:rPr>
        <w:t>territori</w:t>
      </w:r>
      <w:r w:rsidR="00073491">
        <w:rPr>
          <w:rFonts w:ascii="Times New Roman" w:hAnsi="Times New Roman" w:cs="Times New Roman"/>
          <w:sz w:val="24"/>
          <w:szCs w:val="24"/>
        </w:rPr>
        <w:t>es</w:t>
      </w:r>
      <w:r w:rsidR="00192AE1" w:rsidRPr="00AC34E8">
        <w:rPr>
          <w:rFonts w:ascii="Times New Roman" w:hAnsi="Times New Roman" w:cs="Times New Roman"/>
          <w:sz w:val="24"/>
          <w:szCs w:val="24"/>
        </w:rPr>
        <w:t xml:space="preserve">, which have implemented a range of </w:t>
      </w:r>
      <w:r w:rsidRPr="00AC34E8">
        <w:rPr>
          <w:rFonts w:ascii="Times New Roman" w:hAnsi="Times New Roman" w:cs="Times New Roman"/>
          <w:sz w:val="24"/>
          <w:szCs w:val="24"/>
        </w:rPr>
        <w:t>program</w:t>
      </w:r>
      <w:r w:rsidR="006D425B" w:rsidRPr="00AC34E8">
        <w:rPr>
          <w:rFonts w:ascii="Times New Roman" w:hAnsi="Times New Roman" w:cs="Times New Roman"/>
          <w:sz w:val="24"/>
          <w:szCs w:val="24"/>
        </w:rPr>
        <w:t>s</w:t>
      </w:r>
      <w:r w:rsidRPr="00AC34E8">
        <w:rPr>
          <w:rFonts w:ascii="Times New Roman" w:hAnsi="Times New Roman" w:cs="Times New Roman"/>
          <w:sz w:val="24"/>
          <w:szCs w:val="24"/>
        </w:rPr>
        <w:t xml:space="preserve"> and policies </w:t>
      </w:r>
      <w:r w:rsidR="00192AE1" w:rsidRPr="00AC34E8">
        <w:rPr>
          <w:rFonts w:ascii="Times New Roman" w:hAnsi="Times New Roman" w:cs="Times New Roman"/>
          <w:sz w:val="24"/>
          <w:szCs w:val="24"/>
        </w:rPr>
        <w:t>to ensure the provision of water and wastewater services</w:t>
      </w:r>
      <w:r w:rsidRPr="00AC34E8">
        <w:rPr>
          <w:rFonts w:ascii="Times New Roman" w:hAnsi="Times New Roman" w:cs="Times New Roman"/>
          <w:sz w:val="24"/>
          <w:szCs w:val="24"/>
        </w:rPr>
        <w:t xml:space="preserve">. </w:t>
      </w:r>
    </w:p>
    <w:p w14:paraId="0816F50D" w14:textId="2A6E733D" w:rsidR="004D57D9" w:rsidRPr="00AC34E8" w:rsidRDefault="00073491" w:rsidP="005756A3">
      <w:pPr>
        <w:spacing w:before="60" w:after="12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537B79">
        <w:rPr>
          <w:rFonts w:ascii="Times New Roman" w:hAnsi="Times New Roman" w:cs="Times New Roman"/>
          <w:sz w:val="24"/>
          <w:szCs w:val="24"/>
        </w:rPr>
        <w:t xml:space="preserve">the state of </w:t>
      </w:r>
      <w:r w:rsidR="00B8676D" w:rsidRPr="00AC34E8">
        <w:rPr>
          <w:rFonts w:ascii="Times New Roman" w:hAnsi="Times New Roman" w:cs="Times New Roman"/>
          <w:sz w:val="24"/>
          <w:szCs w:val="24"/>
        </w:rPr>
        <w:t>New South Wales</w:t>
      </w:r>
      <w:r>
        <w:rPr>
          <w:rFonts w:ascii="Times New Roman" w:hAnsi="Times New Roman" w:cs="Times New Roman"/>
          <w:sz w:val="24"/>
          <w:szCs w:val="24"/>
        </w:rPr>
        <w:t xml:space="preserve"> the state </w:t>
      </w:r>
      <w:r w:rsidR="00B8676D" w:rsidRPr="00AC34E8">
        <w:rPr>
          <w:rFonts w:ascii="Times New Roman" w:hAnsi="Times New Roman" w:cs="Times New Roman"/>
          <w:sz w:val="24"/>
          <w:szCs w:val="24"/>
        </w:rPr>
        <w:t>is delivering the ‘Aboriginal Communities Water &amp; Sewerage Program’</w:t>
      </w:r>
      <w:r>
        <w:rPr>
          <w:rFonts w:ascii="Times New Roman" w:hAnsi="Times New Roman" w:cs="Times New Roman"/>
          <w:sz w:val="24"/>
          <w:szCs w:val="24"/>
        </w:rPr>
        <w:t>. I</w:t>
      </w:r>
      <w:r w:rsidR="00B8676D" w:rsidRPr="00AC34E8">
        <w:rPr>
          <w:rFonts w:ascii="Times New Roman" w:hAnsi="Times New Roman" w:cs="Times New Roman"/>
          <w:sz w:val="24"/>
          <w:szCs w:val="24"/>
        </w:rPr>
        <w:t>nvesting over $200 million to improve water supply and sewerage services</w:t>
      </w:r>
      <w:r>
        <w:rPr>
          <w:rFonts w:ascii="Times New Roman" w:hAnsi="Times New Roman" w:cs="Times New Roman"/>
          <w:sz w:val="24"/>
          <w:szCs w:val="24"/>
        </w:rPr>
        <w:t xml:space="preserve">, the program </w:t>
      </w:r>
      <w:r w:rsidR="004D57D9" w:rsidRPr="00AC34E8">
        <w:rPr>
          <w:rFonts w:ascii="Times New Roman" w:hAnsi="Times New Roman" w:cs="Times New Roman"/>
          <w:sz w:val="24"/>
          <w:szCs w:val="24"/>
        </w:rPr>
        <w:t xml:space="preserve">aims to raise the standard of service by engaging local utility providers to operate and </w:t>
      </w:r>
      <w:r w:rsidR="00E857AD" w:rsidRPr="00AC34E8">
        <w:rPr>
          <w:rFonts w:ascii="Times New Roman" w:hAnsi="Times New Roman" w:cs="Times New Roman"/>
          <w:sz w:val="24"/>
          <w:szCs w:val="24"/>
        </w:rPr>
        <w:t>manage</w:t>
      </w:r>
      <w:r w:rsidR="004D57D9" w:rsidRPr="00AC34E8">
        <w:rPr>
          <w:rFonts w:ascii="Times New Roman" w:hAnsi="Times New Roman" w:cs="Times New Roman"/>
          <w:sz w:val="24"/>
          <w:szCs w:val="24"/>
        </w:rPr>
        <w:t xml:space="preserve"> water and sewerage infrastructure. </w:t>
      </w:r>
    </w:p>
    <w:p w14:paraId="23AC34D4" w14:textId="2EE98DC0" w:rsidR="006D425B" w:rsidRPr="00AC34E8" w:rsidRDefault="00073491" w:rsidP="005756A3">
      <w:pPr>
        <w:spacing w:before="60" w:after="120" w:line="240" w:lineRule="auto"/>
        <w:rPr>
          <w:rFonts w:ascii="Times New Roman" w:hAnsi="Times New Roman" w:cs="Times New Roman"/>
          <w:sz w:val="24"/>
          <w:szCs w:val="24"/>
        </w:rPr>
      </w:pPr>
      <w:r>
        <w:rPr>
          <w:rFonts w:ascii="Times New Roman" w:hAnsi="Times New Roman" w:cs="Times New Roman"/>
          <w:sz w:val="24"/>
          <w:szCs w:val="24"/>
        </w:rPr>
        <w:t>In</w:t>
      </w:r>
      <w:r w:rsidR="00B8676D" w:rsidRPr="00AC34E8">
        <w:rPr>
          <w:rFonts w:ascii="Times New Roman" w:hAnsi="Times New Roman" w:cs="Times New Roman"/>
          <w:sz w:val="24"/>
          <w:szCs w:val="24"/>
        </w:rPr>
        <w:t xml:space="preserve"> </w:t>
      </w:r>
      <w:r w:rsidR="00537B79">
        <w:rPr>
          <w:rFonts w:ascii="Times New Roman" w:hAnsi="Times New Roman" w:cs="Times New Roman"/>
          <w:sz w:val="24"/>
          <w:szCs w:val="24"/>
        </w:rPr>
        <w:t xml:space="preserve">the state of </w:t>
      </w:r>
      <w:r w:rsidR="00B8676D" w:rsidRPr="00AC34E8">
        <w:rPr>
          <w:rFonts w:ascii="Times New Roman" w:hAnsi="Times New Roman" w:cs="Times New Roman"/>
          <w:sz w:val="24"/>
          <w:szCs w:val="24"/>
        </w:rPr>
        <w:t>Queensland</w:t>
      </w:r>
      <w:r>
        <w:rPr>
          <w:rFonts w:ascii="Times New Roman" w:hAnsi="Times New Roman" w:cs="Times New Roman"/>
          <w:sz w:val="24"/>
          <w:szCs w:val="24"/>
        </w:rPr>
        <w:t xml:space="preserve">, the state </w:t>
      </w:r>
      <w:r w:rsidR="00B8676D" w:rsidRPr="00AC34E8">
        <w:rPr>
          <w:rFonts w:ascii="Times New Roman" w:hAnsi="Times New Roman" w:cs="Times New Roman"/>
          <w:sz w:val="24"/>
          <w:szCs w:val="24"/>
        </w:rPr>
        <w:t>is delivering the ‘Indigenous Councils Critical Infrastructure Program’</w:t>
      </w:r>
      <w:r>
        <w:rPr>
          <w:rFonts w:ascii="Times New Roman" w:hAnsi="Times New Roman" w:cs="Times New Roman"/>
          <w:sz w:val="24"/>
          <w:szCs w:val="24"/>
        </w:rPr>
        <w:t>.</w:t>
      </w:r>
      <w:r w:rsidR="00B8676D" w:rsidRPr="00AC34E8">
        <w:rPr>
          <w:rFonts w:ascii="Times New Roman" w:hAnsi="Times New Roman" w:cs="Times New Roman"/>
          <w:sz w:val="24"/>
          <w:szCs w:val="24"/>
        </w:rPr>
        <w:t xml:space="preserve"> </w:t>
      </w:r>
      <w:r>
        <w:rPr>
          <w:rFonts w:ascii="Times New Roman" w:hAnsi="Times New Roman" w:cs="Times New Roman"/>
          <w:sz w:val="24"/>
          <w:szCs w:val="24"/>
        </w:rPr>
        <w:t>P</w:t>
      </w:r>
      <w:r w:rsidR="00B8676D" w:rsidRPr="00AC34E8">
        <w:rPr>
          <w:rFonts w:ascii="Times New Roman" w:hAnsi="Times New Roman" w:cs="Times New Roman"/>
          <w:sz w:val="24"/>
          <w:szCs w:val="24"/>
        </w:rPr>
        <w:t>roviding $120 million for infrastructure works relating to critical water and wastewater assets</w:t>
      </w:r>
      <w:r>
        <w:rPr>
          <w:rFonts w:ascii="Times New Roman" w:hAnsi="Times New Roman" w:cs="Times New Roman"/>
          <w:sz w:val="24"/>
          <w:szCs w:val="24"/>
        </w:rPr>
        <w:t>, t</w:t>
      </w:r>
      <w:r w:rsidR="00E857AD" w:rsidRPr="00AC34E8">
        <w:rPr>
          <w:rFonts w:ascii="Times New Roman" w:hAnsi="Times New Roman" w:cs="Times New Roman"/>
          <w:sz w:val="24"/>
          <w:szCs w:val="24"/>
        </w:rPr>
        <w:t xml:space="preserve">he program </w:t>
      </w:r>
      <w:r>
        <w:rPr>
          <w:rFonts w:ascii="Times New Roman" w:hAnsi="Times New Roman" w:cs="Times New Roman"/>
          <w:sz w:val="24"/>
          <w:szCs w:val="24"/>
        </w:rPr>
        <w:t xml:space="preserve">is specifically dedicated to </w:t>
      </w:r>
      <w:r w:rsidR="003E46A4" w:rsidRPr="00AC34E8">
        <w:rPr>
          <w:rFonts w:ascii="Times New Roman" w:hAnsi="Times New Roman" w:cs="Times New Roman"/>
          <w:sz w:val="24"/>
          <w:szCs w:val="24"/>
        </w:rPr>
        <w:t>1</w:t>
      </w:r>
      <w:r w:rsidR="00E857AD" w:rsidRPr="00AC34E8">
        <w:rPr>
          <w:rFonts w:ascii="Times New Roman" w:hAnsi="Times New Roman" w:cs="Times New Roman"/>
          <w:sz w:val="24"/>
          <w:szCs w:val="24"/>
        </w:rPr>
        <w:t xml:space="preserve">6 </w:t>
      </w:r>
      <w:r w:rsidR="003E46A4" w:rsidRPr="00AC34E8">
        <w:rPr>
          <w:rFonts w:ascii="Times New Roman" w:hAnsi="Times New Roman" w:cs="Times New Roman"/>
          <w:sz w:val="24"/>
          <w:szCs w:val="24"/>
        </w:rPr>
        <w:t xml:space="preserve">Aboriginal and Torres Strait Island </w:t>
      </w:r>
      <w:r w:rsidR="00E857AD" w:rsidRPr="00AC34E8">
        <w:rPr>
          <w:rFonts w:ascii="Times New Roman" w:hAnsi="Times New Roman" w:cs="Times New Roman"/>
          <w:sz w:val="24"/>
          <w:szCs w:val="24"/>
        </w:rPr>
        <w:t xml:space="preserve">councils. </w:t>
      </w:r>
    </w:p>
    <w:p w14:paraId="560FFF5B" w14:textId="50EFDD02" w:rsidR="009A595F" w:rsidRPr="00AC34E8" w:rsidRDefault="00671A99"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The </w:t>
      </w:r>
      <w:r w:rsidR="009A767C">
        <w:rPr>
          <w:rFonts w:ascii="Times New Roman" w:hAnsi="Times New Roman" w:cs="Times New Roman"/>
          <w:sz w:val="24"/>
          <w:szCs w:val="24"/>
        </w:rPr>
        <w:t>Commonwealth</w:t>
      </w:r>
      <w:r w:rsidRPr="00AC34E8">
        <w:rPr>
          <w:rFonts w:ascii="Times New Roman" w:hAnsi="Times New Roman" w:cs="Times New Roman"/>
          <w:sz w:val="24"/>
          <w:szCs w:val="24"/>
        </w:rPr>
        <w:t xml:space="preserve"> has provided support for the National Cultural Flows Project, a research project that</w:t>
      </w:r>
      <w:r w:rsidR="009A595F" w:rsidRPr="00AC34E8">
        <w:rPr>
          <w:rFonts w:ascii="Times New Roman" w:hAnsi="Times New Roman" w:cs="Times New Roman"/>
          <w:sz w:val="24"/>
          <w:szCs w:val="24"/>
        </w:rPr>
        <w:t xml:space="preserve"> has added significantly to the body of knowledge related to Indigenous interests in water (particularly in the Murray-Darling Basin) and how they can be more effectively reflected and accounted for in water planning and management.</w:t>
      </w:r>
    </w:p>
    <w:p w14:paraId="3EC42298" w14:textId="77777777" w:rsidR="009A595F" w:rsidRPr="00AC34E8" w:rsidRDefault="009A595F"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A key output of the project was the development of a national framework for cultural flows. This framework for reforming existing water policy and law in Australia focuses on three interconnected approaches: </w:t>
      </w:r>
    </w:p>
    <w:p w14:paraId="05700793" w14:textId="7BD33963" w:rsidR="009A595F" w:rsidRPr="00AC34E8" w:rsidRDefault="009A595F"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providing sustainable Indigenous water rights enabling ownership, use and access to water; </w:t>
      </w:r>
    </w:p>
    <w:p w14:paraId="35DF4A86" w14:textId="7A43610C" w:rsidR="009A595F" w:rsidRPr="00AC34E8" w:rsidRDefault="009A595F"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strengthening Indigenous influence over water landscapes by improving the laws related to water and water rights; and </w:t>
      </w:r>
    </w:p>
    <w:p w14:paraId="523AD264" w14:textId="0F9F0F9D" w:rsidR="009A595F" w:rsidRPr="00AC34E8" w:rsidRDefault="009A595F"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transforming existing foundations of water governance and partnership to ensure effective Indigenous representation and consideration in decision-making processes.  </w:t>
      </w:r>
    </w:p>
    <w:p w14:paraId="2DEF6BDF" w14:textId="77777777" w:rsidR="009A595F" w:rsidRPr="00AC34E8" w:rsidRDefault="009A595F" w:rsidP="005756A3">
      <w:pPr>
        <w:spacing w:before="60" w:after="120" w:line="240" w:lineRule="auto"/>
        <w:rPr>
          <w:rFonts w:ascii="Times New Roman" w:hAnsi="Times New Roman" w:cs="Times New Roman"/>
          <w:sz w:val="24"/>
          <w:szCs w:val="24"/>
        </w:rPr>
      </w:pPr>
    </w:p>
    <w:p w14:paraId="1F00C569" w14:textId="0F76E417" w:rsidR="0061324A" w:rsidRDefault="00DA1834" w:rsidP="005756A3">
      <w:pPr>
        <w:pStyle w:val="Heading1"/>
        <w:spacing w:before="60" w:after="120" w:line="240" w:lineRule="auto"/>
        <w:rPr>
          <w:b/>
          <w:bCs/>
        </w:rPr>
      </w:pPr>
      <w:bookmarkStart w:id="4" w:name="_Toc90551580"/>
      <w:r w:rsidRPr="006C5257">
        <w:rPr>
          <w:b/>
          <w:bCs/>
        </w:rPr>
        <w:t>A</w:t>
      </w:r>
      <w:r w:rsidR="0001067F" w:rsidRPr="006C5257">
        <w:rPr>
          <w:b/>
          <w:bCs/>
        </w:rPr>
        <w:t>ccountability framework</w:t>
      </w:r>
      <w:bookmarkEnd w:id="4"/>
      <w:r w:rsidR="0001067F" w:rsidRPr="006C5257">
        <w:rPr>
          <w:b/>
          <w:bCs/>
        </w:rPr>
        <w:t xml:space="preserve"> </w:t>
      </w:r>
      <w:r w:rsidR="00E87272">
        <w:rPr>
          <w:b/>
          <w:bCs/>
        </w:rPr>
        <w:t>and Information</w:t>
      </w:r>
    </w:p>
    <w:p w14:paraId="7CB6FC1C" w14:textId="5C08B4A4" w:rsidR="00FF586E" w:rsidRPr="00AC34E8" w:rsidRDefault="00052210"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W</w:t>
      </w:r>
      <w:r w:rsidR="00316764" w:rsidRPr="00AC34E8">
        <w:rPr>
          <w:rFonts w:ascii="Times New Roman" w:hAnsi="Times New Roman" w:cs="Times New Roman"/>
          <w:sz w:val="24"/>
          <w:szCs w:val="24"/>
        </w:rPr>
        <w:t xml:space="preserve">ater utilities </w:t>
      </w:r>
      <w:r w:rsidR="0083387A" w:rsidRPr="00AC34E8">
        <w:rPr>
          <w:rFonts w:ascii="Times New Roman" w:hAnsi="Times New Roman" w:cs="Times New Roman"/>
          <w:sz w:val="24"/>
          <w:szCs w:val="24"/>
        </w:rPr>
        <w:t xml:space="preserve">maintain social and web-based media platforms which provides their customers with a </w:t>
      </w:r>
      <w:r w:rsidRPr="00AC34E8">
        <w:rPr>
          <w:rFonts w:ascii="Times New Roman" w:hAnsi="Times New Roman" w:cs="Times New Roman"/>
          <w:sz w:val="24"/>
          <w:szCs w:val="24"/>
        </w:rPr>
        <w:t xml:space="preserve">wide </w:t>
      </w:r>
      <w:r w:rsidR="0083387A" w:rsidRPr="00AC34E8">
        <w:rPr>
          <w:rFonts w:ascii="Times New Roman" w:hAnsi="Times New Roman" w:cs="Times New Roman"/>
          <w:sz w:val="24"/>
          <w:szCs w:val="24"/>
        </w:rPr>
        <w:t xml:space="preserve">range of </w:t>
      </w:r>
      <w:r w:rsidRPr="00AC34E8">
        <w:rPr>
          <w:rFonts w:ascii="Times New Roman" w:hAnsi="Times New Roman" w:cs="Times New Roman"/>
          <w:sz w:val="24"/>
          <w:szCs w:val="24"/>
        </w:rPr>
        <w:t xml:space="preserve">up-to-date </w:t>
      </w:r>
      <w:r w:rsidR="0083387A" w:rsidRPr="00AC34E8">
        <w:rPr>
          <w:rFonts w:ascii="Times New Roman" w:hAnsi="Times New Roman" w:cs="Times New Roman"/>
          <w:sz w:val="24"/>
          <w:szCs w:val="24"/>
        </w:rPr>
        <w:t xml:space="preserve">information on water and wastewater services, including </w:t>
      </w:r>
      <w:r w:rsidR="00BB44C7" w:rsidRPr="00AC34E8">
        <w:rPr>
          <w:rFonts w:ascii="Times New Roman" w:hAnsi="Times New Roman" w:cs="Times New Roman"/>
          <w:sz w:val="24"/>
          <w:szCs w:val="24"/>
        </w:rPr>
        <w:t>service standards, water supplies and water quality</w:t>
      </w:r>
      <w:r w:rsidR="0083387A" w:rsidRPr="00AC34E8">
        <w:rPr>
          <w:rFonts w:ascii="Times New Roman" w:hAnsi="Times New Roman" w:cs="Times New Roman"/>
          <w:sz w:val="24"/>
          <w:szCs w:val="24"/>
        </w:rPr>
        <w:t xml:space="preserve">, as well as </w:t>
      </w:r>
      <w:r w:rsidR="00463865" w:rsidRPr="00AC34E8">
        <w:rPr>
          <w:rFonts w:ascii="Times New Roman" w:hAnsi="Times New Roman" w:cs="Times New Roman"/>
          <w:sz w:val="24"/>
          <w:szCs w:val="24"/>
        </w:rPr>
        <w:t xml:space="preserve">providing </w:t>
      </w:r>
      <w:r w:rsidR="00316764" w:rsidRPr="00AC34E8">
        <w:rPr>
          <w:rFonts w:ascii="Times New Roman" w:hAnsi="Times New Roman" w:cs="Times New Roman"/>
          <w:sz w:val="24"/>
          <w:szCs w:val="24"/>
        </w:rPr>
        <w:t xml:space="preserve">feedback and complaint mechanisms. </w:t>
      </w:r>
      <w:r w:rsidR="000E6F47" w:rsidRPr="00AC34E8">
        <w:rPr>
          <w:rFonts w:ascii="Times New Roman" w:hAnsi="Times New Roman" w:cs="Times New Roman"/>
          <w:sz w:val="24"/>
          <w:szCs w:val="24"/>
        </w:rPr>
        <w:t>C</w:t>
      </w:r>
      <w:r w:rsidR="00BB44C7" w:rsidRPr="00AC34E8">
        <w:rPr>
          <w:rFonts w:ascii="Times New Roman" w:hAnsi="Times New Roman" w:cs="Times New Roman"/>
          <w:sz w:val="24"/>
          <w:szCs w:val="24"/>
        </w:rPr>
        <w:t xml:space="preserve">ustomers are able to refer the </w:t>
      </w:r>
      <w:r w:rsidR="000E6F47" w:rsidRPr="00AC34E8">
        <w:rPr>
          <w:rFonts w:ascii="Times New Roman" w:hAnsi="Times New Roman" w:cs="Times New Roman"/>
          <w:sz w:val="24"/>
          <w:szCs w:val="24"/>
        </w:rPr>
        <w:t xml:space="preserve">matter </w:t>
      </w:r>
      <w:r w:rsidR="00BB44C7" w:rsidRPr="00AC34E8">
        <w:rPr>
          <w:rFonts w:ascii="Times New Roman" w:hAnsi="Times New Roman" w:cs="Times New Roman"/>
          <w:sz w:val="24"/>
          <w:szCs w:val="24"/>
        </w:rPr>
        <w:t>to state-based ombudsmen or similar to undertake further enquiries</w:t>
      </w:r>
      <w:r w:rsidR="000E6F47" w:rsidRPr="00AC34E8">
        <w:rPr>
          <w:rFonts w:ascii="Times New Roman" w:hAnsi="Times New Roman" w:cs="Times New Roman"/>
          <w:sz w:val="24"/>
          <w:szCs w:val="24"/>
        </w:rPr>
        <w:t xml:space="preserve"> if the utility does not provide a response to the customer</w:t>
      </w:r>
      <w:r w:rsidR="005A751F" w:rsidRPr="00AC34E8">
        <w:rPr>
          <w:rFonts w:ascii="Times New Roman" w:hAnsi="Times New Roman" w:cs="Times New Roman"/>
          <w:sz w:val="24"/>
          <w:szCs w:val="24"/>
        </w:rPr>
        <w:t>’</w:t>
      </w:r>
      <w:r w:rsidR="000E6F47" w:rsidRPr="00AC34E8">
        <w:rPr>
          <w:rFonts w:ascii="Times New Roman" w:hAnsi="Times New Roman" w:cs="Times New Roman"/>
          <w:sz w:val="24"/>
          <w:szCs w:val="24"/>
        </w:rPr>
        <w:t>s satisfaction</w:t>
      </w:r>
      <w:r w:rsidR="009A7B4F">
        <w:rPr>
          <w:rFonts w:ascii="Times New Roman" w:hAnsi="Times New Roman" w:cs="Times New Roman"/>
          <w:sz w:val="24"/>
          <w:szCs w:val="24"/>
        </w:rPr>
        <w:t>.</w:t>
      </w:r>
      <w:r w:rsidR="000E6F47" w:rsidRPr="00AC34E8">
        <w:rPr>
          <w:rFonts w:ascii="Times New Roman" w:hAnsi="Times New Roman" w:cs="Times New Roman"/>
          <w:sz w:val="24"/>
          <w:szCs w:val="24"/>
        </w:rPr>
        <w:t xml:space="preserve"> </w:t>
      </w:r>
      <w:r w:rsidR="00BB44C7" w:rsidRPr="00AC34E8">
        <w:rPr>
          <w:rFonts w:ascii="Times New Roman" w:hAnsi="Times New Roman" w:cs="Times New Roman"/>
          <w:sz w:val="24"/>
          <w:szCs w:val="24"/>
        </w:rPr>
        <w:t xml:space="preserve">The occurrence of complaints is an indicator recorded under the Urban Water National Performance Report (NPR) and puts the onus on utilities to provide a consistently high quality of service. </w:t>
      </w:r>
    </w:p>
    <w:p w14:paraId="12BE882E" w14:textId="6AF07DFB" w:rsidR="005A751F" w:rsidRPr="00AC34E8" w:rsidRDefault="005A751F"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In addition, the NPR supports commitments made by state</w:t>
      </w:r>
      <w:r w:rsidR="00F23555">
        <w:rPr>
          <w:rFonts w:ascii="Times New Roman" w:hAnsi="Times New Roman" w:cs="Times New Roman"/>
          <w:sz w:val="24"/>
          <w:szCs w:val="24"/>
        </w:rPr>
        <w:t>s</w:t>
      </w:r>
      <w:r w:rsidRPr="00AC34E8">
        <w:rPr>
          <w:rFonts w:ascii="Times New Roman" w:hAnsi="Times New Roman" w:cs="Times New Roman"/>
          <w:sz w:val="24"/>
          <w:szCs w:val="24"/>
        </w:rPr>
        <w:t xml:space="preserve"> and territor</w:t>
      </w:r>
      <w:r w:rsidR="00F23555">
        <w:rPr>
          <w:rFonts w:ascii="Times New Roman" w:hAnsi="Times New Roman" w:cs="Times New Roman"/>
          <w:sz w:val="24"/>
          <w:szCs w:val="24"/>
        </w:rPr>
        <w:t xml:space="preserve">ies </w:t>
      </w:r>
      <w:r w:rsidRPr="00AC34E8">
        <w:rPr>
          <w:rFonts w:ascii="Times New Roman" w:hAnsi="Times New Roman" w:cs="Times New Roman"/>
          <w:sz w:val="24"/>
          <w:szCs w:val="24"/>
        </w:rPr>
        <w:t>under the NWI to report publicly and independently on the performance of urban water utilities with more than 10,000 connections. Now in its fifteenth year, its annual performance reports provide independent analysis and benchmarking of over 80 water utilities and covers water resources, financial operations, pricing, regulatory compliance, assets, customers and customer service, and environmental performance. This report is complimented by the annual Water Account published by the Australian Bureau of Statistics, that presents information on the physical and monetary supply and use of water.</w:t>
      </w:r>
    </w:p>
    <w:p w14:paraId="7CF61E45" w14:textId="77777777" w:rsidR="00730734" w:rsidRPr="0019263D" w:rsidRDefault="00730734" w:rsidP="00730734">
      <w:pPr>
        <w:spacing w:before="240" w:after="0" w:line="240" w:lineRule="auto"/>
        <w:rPr>
          <w:rFonts w:ascii="Times New Roman" w:hAnsi="Times New Roman" w:cs="Times New Roman"/>
          <w:b/>
          <w:bCs/>
          <w:sz w:val="24"/>
          <w:szCs w:val="24"/>
        </w:rPr>
      </w:pPr>
      <w:r w:rsidRPr="0019263D">
        <w:rPr>
          <w:rFonts w:ascii="Times New Roman" w:hAnsi="Times New Roman" w:cs="Times New Roman"/>
          <w:b/>
          <w:bCs/>
          <w:sz w:val="24"/>
          <w:szCs w:val="24"/>
        </w:rPr>
        <w:t xml:space="preserve">National Indigenous Australians Agency – Evaluations and Evidence: </w:t>
      </w:r>
    </w:p>
    <w:p w14:paraId="08F44A63" w14:textId="77777777" w:rsidR="00730734" w:rsidRDefault="003232B6" w:rsidP="00730734">
      <w:pPr>
        <w:spacing w:before="240" w:after="0" w:line="240" w:lineRule="auto"/>
        <w:rPr>
          <w:rFonts w:ascii="Times New Roman" w:hAnsi="Times New Roman" w:cs="Times New Roman"/>
          <w:sz w:val="24"/>
          <w:szCs w:val="24"/>
        </w:rPr>
      </w:pPr>
      <w:hyperlink r:id="rId13" w:history="1">
        <w:r w:rsidR="00730734" w:rsidRPr="00FC103F">
          <w:rPr>
            <w:rStyle w:val="Hyperlink"/>
            <w:rFonts w:ascii="Times New Roman" w:hAnsi="Times New Roman" w:cs="Times New Roman"/>
            <w:sz w:val="24"/>
            <w:szCs w:val="24"/>
          </w:rPr>
          <w:t>https://www.niaa.gov.au/indigenous-affairs/evaluations-and-evidence</w:t>
        </w:r>
      </w:hyperlink>
      <w:r w:rsidR="00730734">
        <w:rPr>
          <w:rFonts w:ascii="Times New Roman" w:hAnsi="Times New Roman" w:cs="Times New Roman"/>
          <w:sz w:val="24"/>
          <w:szCs w:val="24"/>
        </w:rPr>
        <w:t xml:space="preserve"> </w:t>
      </w:r>
    </w:p>
    <w:p w14:paraId="1ED65B42" w14:textId="77777777" w:rsidR="00730734" w:rsidRPr="0019263D" w:rsidRDefault="00730734" w:rsidP="00730734">
      <w:pPr>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19263D">
        <w:rPr>
          <w:rFonts w:ascii="Times New Roman" w:hAnsi="Times New Roman" w:cs="Times New Roman"/>
          <w:sz w:val="24"/>
          <w:szCs w:val="24"/>
        </w:rPr>
        <w:t>The work of the National Indigenous Australians Agency</w:t>
      </w:r>
      <w:r>
        <w:rPr>
          <w:rFonts w:ascii="Times New Roman" w:hAnsi="Times New Roman" w:cs="Times New Roman"/>
          <w:sz w:val="24"/>
          <w:szCs w:val="24"/>
        </w:rPr>
        <w:t xml:space="preserve"> (NIAA)</w:t>
      </w:r>
      <w:r w:rsidRPr="0019263D">
        <w:rPr>
          <w:rFonts w:ascii="Times New Roman" w:hAnsi="Times New Roman" w:cs="Times New Roman"/>
          <w:sz w:val="24"/>
          <w:szCs w:val="24"/>
        </w:rPr>
        <w:t xml:space="preserve"> is underpinned by effective data and evidence. The NIAA provides advice and information to the Minister for Indigenous Australians, the </w:t>
      </w:r>
      <w:r>
        <w:rPr>
          <w:rFonts w:ascii="Times New Roman" w:hAnsi="Times New Roman" w:cs="Times New Roman"/>
          <w:sz w:val="24"/>
          <w:szCs w:val="24"/>
        </w:rPr>
        <w:t>Commonwealth</w:t>
      </w:r>
      <w:r w:rsidRPr="0019263D">
        <w:rPr>
          <w:rFonts w:ascii="Times New Roman" w:hAnsi="Times New Roman" w:cs="Times New Roman"/>
          <w:sz w:val="24"/>
          <w:szCs w:val="24"/>
        </w:rPr>
        <w:t xml:space="preserve"> Government, State and Territory governments, organisations, providers and communities to inform policy development, programs and monitoring of the effectiveness of programs for Aboriginal and Torres Strait Islander peoples.</w:t>
      </w:r>
    </w:p>
    <w:p w14:paraId="2077BBA9" w14:textId="77777777" w:rsidR="00730734" w:rsidRPr="0019263D" w:rsidRDefault="00730734" w:rsidP="00730734">
      <w:pPr>
        <w:spacing w:before="240" w:after="0" w:line="240" w:lineRule="auto"/>
        <w:rPr>
          <w:rFonts w:ascii="Times New Roman" w:hAnsi="Times New Roman" w:cs="Times New Roman"/>
          <w:sz w:val="24"/>
          <w:szCs w:val="24"/>
        </w:rPr>
      </w:pPr>
      <w:r w:rsidRPr="0019263D">
        <w:rPr>
          <w:rFonts w:ascii="Times New Roman" w:hAnsi="Times New Roman" w:cs="Times New Roman"/>
          <w:sz w:val="24"/>
          <w:szCs w:val="24"/>
        </w:rPr>
        <w:t>The NIAA provides statistical analysis of data, evidence and research to inform policy and programs through:</w:t>
      </w:r>
    </w:p>
    <w:p w14:paraId="2C66FD37" w14:textId="77777777" w:rsidR="00730734" w:rsidRPr="0019263D" w:rsidRDefault="00730734" w:rsidP="00730734">
      <w:pPr>
        <w:pStyle w:val="ListParagraph"/>
        <w:numPr>
          <w:ilvl w:val="0"/>
          <w:numId w:val="21"/>
        </w:numPr>
        <w:spacing w:before="240" w:after="0" w:line="240" w:lineRule="auto"/>
        <w:rPr>
          <w:rFonts w:ascii="Times New Roman" w:hAnsi="Times New Roman" w:cs="Times New Roman"/>
          <w:sz w:val="24"/>
          <w:szCs w:val="24"/>
        </w:rPr>
      </w:pPr>
      <w:r w:rsidRPr="0019263D">
        <w:rPr>
          <w:rFonts w:ascii="Times New Roman" w:hAnsi="Times New Roman" w:cs="Times New Roman"/>
          <w:sz w:val="24"/>
          <w:szCs w:val="24"/>
        </w:rPr>
        <w:t>The Aboriginal and Torres Strait Islander Health Performance Framework report</w:t>
      </w:r>
    </w:p>
    <w:p w14:paraId="060CF103" w14:textId="77777777" w:rsidR="00730734" w:rsidRDefault="00730734" w:rsidP="00730734">
      <w:pPr>
        <w:pStyle w:val="ListParagraph"/>
        <w:numPr>
          <w:ilvl w:val="0"/>
          <w:numId w:val="21"/>
        </w:numPr>
        <w:spacing w:before="240" w:after="0" w:line="240" w:lineRule="auto"/>
        <w:rPr>
          <w:rFonts w:ascii="Times New Roman" w:hAnsi="Times New Roman" w:cs="Times New Roman"/>
          <w:sz w:val="24"/>
          <w:szCs w:val="24"/>
        </w:rPr>
      </w:pPr>
      <w:r w:rsidRPr="0019263D">
        <w:rPr>
          <w:rFonts w:ascii="Times New Roman" w:hAnsi="Times New Roman" w:cs="Times New Roman"/>
          <w:sz w:val="24"/>
          <w:szCs w:val="24"/>
        </w:rPr>
        <w:t xml:space="preserve">Input into a range of government reviews and reports that monitor progress and the effectiveness of programs for Aboriginal and Torres Strait Islander people (e.g. the </w:t>
      </w:r>
      <w:r>
        <w:rPr>
          <w:rFonts w:ascii="Times New Roman" w:hAnsi="Times New Roman" w:cs="Times New Roman"/>
          <w:sz w:val="24"/>
          <w:szCs w:val="24"/>
        </w:rPr>
        <w:t xml:space="preserve">Commonwealth </w:t>
      </w:r>
      <w:r w:rsidRPr="0019263D">
        <w:rPr>
          <w:rFonts w:ascii="Times New Roman" w:hAnsi="Times New Roman" w:cs="Times New Roman"/>
          <w:sz w:val="24"/>
          <w:szCs w:val="24"/>
        </w:rPr>
        <w:t>Closing the Gap annual report</w:t>
      </w:r>
      <w:r>
        <w:rPr>
          <w:rFonts w:ascii="Times New Roman" w:hAnsi="Times New Roman" w:cs="Times New Roman"/>
          <w:sz w:val="24"/>
          <w:szCs w:val="24"/>
        </w:rPr>
        <w:t>)</w:t>
      </w:r>
    </w:p>
    <w:p w14:paraId="4ABDD4C3" w14:textId="339026B8" w:rsidR="00730734" w:rsidRPr="00B76420" w:rsidRDefault="00730734" w:rsidP="00B76420">
      <w:pPr>
        <w:pStyle w:val="ListParagraph"/>
        <w:numPr>
          <w:ilvl w:val="0"/>
          <w:numId w:val="21"/>
        </w:numPr>
        <w:spacing w:before="240" w:after="0" w:line="240" w:lineRule="auto"/>
        <w:rPr>
          <w:rFonts w:ascii="Times New Roman" w:hAnsi="Times New Roman" w:cs="Times New Roman"/>
          <w:sz w:val="24"/>
          <w:szCs w:val="24"/>
        </w:rPr>
      </w:pPr>
      <w:r w:rsidRPr="0019263D">
        <w:rPr>
          <w:rFonts w:ascii="Times New Roman" w:hAnsi="Times New Roman" w:cs="Times New Roman"/>
          <w:sz w:val="24"/>
          <w:szCs w:val="24"/>
        </w:rPr>
        <w:t>Monitoring trends in outcomes for Aboriginal and Torres Strait Islander people.</w:t>
      </w:r>
      <w:r>
        <w:rPr>
          <w:rFonts w:ascii="Times New Roman" w:hAnsi="Times New Roman" w:cs="Times New Roman"/>
          <w:sz w:val="24"/>
          <w:szCs w:val="24"/>
        </w:rPr>
        <w:t>”</w:t>
      </w:r>
    </w:p>
    <w:p w14:paraId="3AEC944D" w14:textId="0415933A" w:rsidR="00247F4F" w:rsidRDefault="00247F4F" w:rsidP="00247F4F">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 xml:space="preserve">National Agreement on Closing </w:t>
      </w:r>
      <w:r w:rsidRPr="0019263D">
        <w:rPr>
          <w:rFonts w:ascii="Times New Roman" w:hAnsi="Times New Roman" w:cs="Times New Roman"/>
          <w:b/>
          <w:bCs/>
          <w:sz w:val="24"/>
          <w:szCs w:val="24"/>
        </w:rPr>
        <w:t>the Gap:</w:t>
      </w:r>
    </w:p>
    <w:p w14:paraId="21022950" w14:textId="77777777" w:rsidR="00247F4F" w:rsidRDefault="003232B6" w:rsidP="00247F4F">
      <w:pPr>
        <w:spacing w:after="0" w:line="240" w:lineRule="auto"/>
        <w:rPr>
          <w:rFonts w:ascii="Times New Roman" w:hAnsi="Times New Roman" w:cs="Times New Roman"/>
          <w:sz w:val="24"/>
          <w:szCs w:val="24"/>
        </w:rPr>
      </w:pPr>
      <w:hyperlink r:id="rId14" w:history="1">
        <w:r w:rsidR="00247F4F" w:rsidRPr="00FC103F">
          <w:rPr>
            <w:rStyle w:val="Hyperlink"/>
            <w:rFonts w:ascii="Times New Roman" w:hAnsi="Times New Roman" w:cs="Times New Roman"/>
            <w:sz w:val="24"/>
            <w:szCs w:val="24"/>
          </w:rPr>
          <w:t>https://www.closingthegap.gov.au/national-agreement</w:t>
        </w:r>
      </w:hyperlink>
      <w:r w:rsidR="00247F4F">
        <w:rPr>
          <w:rFonts w:ascii="Times New Roman" w:hAnsi="Times New Roman" w:cs="Times New Roman"/>
          <w:sz w:val="24"/>
          <w:szCs w:val="24"/>
        </w:rPr>
        <w:t xml:space="preserve"> </w:t>
      </w:r>
    </w:p>
    <w:p w14:paraId="6AF7B11C" w14:textId="77777777" w:rsidR="00247F4F" w:rsidRDefault="00247F4F" w:rsidP="00247F4F">
      <w:pPr>
        <w:spacing w:after="0" w:line="240" w:lineRule="auto"/>
        <w:rPr>
          <w:rFonts w:ascii="Times New Roman" w:hAnsi="Times New Roman" w:cs="Times New Roman"/>
          <w:sz w:val="24"/>
          <w:szCs w:val="24"/>
        </w:rPr>
      </w:pPr>
      <w:r w:rsidRPr="00BC6297">
        <w:rPr>
          <w:rFonts w:ascii="Times New Roman" w:hAnsi="Times New Roman" w:cs="Times New Roman"/>
          <w:sz w:val="24"/>
          <w:szCs w:val="24"/>
        </w:rPr>
        <w:t>The objective of the National Agreement on Closing the Gap (the National Agreement) is to enable Aboriginal and Torres Strait Islander people and governments to work together to overcome the inequality experienced by Aboriginal and Torres Strait Islander people, and achieve life outcomes equal to all Australians.</w:t>
      </w:r>
      <w:r>
        <w:rPr>
          <w:rFonts w:ascii="Times New Roman" w:hAnsi="Times New Roman" w:cs="Times New Roman"/>
          <w:sz w:val="24"/>
          <w:szCs w:val="24"/>
        </w:rPr>
        <w:t xml:space="preserve"> The National Agreement includes four Priority Reforms, to change the way that governments work with Aboriginal and Torres Strait Islander people, and 17 socio-economic targets.</w:t>
      </w:r>
    </w:p>
    <w:p w14:paraId="3B527137" w14:textId="77777777" w:rsidR="00247F4F" w:rsidRDefault="00247F4F" w:rsidP="00247F4F">
      <w:pPr>
        <w:spacing w:after="0" w:line="240" w:lineRule="auto"/>
        <w:rPr>
          <w:rFonts w:ascii="Times New Roman" w:hAnsi="Times New Roman" w:cs="Times New Roman"/>
          <w:sz w:val="24"/>
          <w:szCs w:val="24"/>
        </w:rPr>
      </w:pPr>
    </w:p>
    <w:p w14:paraId="64CE1023" w14:textId="77777777" w:rsidR="00247F4F" w:rsidRPr="002A5D92" w:rsidRDefault="00247F4F" w:rsidP="00247F4F">
      <w:pPr>
        <w:spacing w:after="0" w:line="240" w:lineRule="auto"/>
        <w:rPr>
          <w:rFonts w:ascii="Times New Roman" w:hAnsi="Times New Roman" w:cs="Times New Roman"/>
          <w:sz w:val="24"/>
          <w:szCs w:val="24"/>
        </w:rPr>
      </w:pPr>
      <w:r w:rsidRPr="002A5D92">
        <w:rPr>
          <w:rFonts w:ascii="Times New Roman" w:hAnsi="Times New Roman" w:cs="Times New Roman"/>
          <w:sz w:val="24"/>
          <w:szCs w:val="24"/>
        </w:rPr>
        <w:t xml:space="preserve">The Joint Council on Closing the Gap (Joint Council) has </w:t>
      </w:r>
      <w:r>
        <w:rPr>
          <w:rFonts w:ascii="Times New Roman" w:hAnsi="Times New Roman" w:cs="Times New Roman"/>
          <w:sz w:val="24"/>
          <w:szCs w:val="24"/>
        </w:rPr>
        <w:t>recommended</w:t>
      </w:r>
      <w:r w:rsidRPr="002A5D92">
        <w:rPr>
          <w:rFonts w:ascii="Times New Roman" w:hAnsi="Times New Roman" w:cs="Times New Roman"/>
          <w:sz w:val="24"/>
          <w:szCs w:val="24"/>
        </w:rPr>
        <w:t xml:space="preserve"> a new target on Community Infrastructure</w:t>
      </w:r>
      <w:r>
        <w:rPr>
          <w:rFonts w:ascii="Times New Roman" w:hAnsi="Times New Roman" w:cs="Times New Roman"/>
          <w:sz w:val="24"/>
          <w:szCs w:val="24"/>
        </w:rPr>
        <w:t xml:space="preserve"> to First Ministers</w:t>
      </w:r>
      <w:r w:rsidRPr="002A5D92">
        <w:rPr>
          <w:rFonts w:ascii="Times New Roman" w:hAnsi="Times New Roman" w:cs="Times New Roman"/>
          <w:sz w:val="24"/>
          <w:szCs w:val="24"/>
        </w:rPr>
        <w:t>, which will commit all governments to maintaining a minimum standard of services, including water, in remote</w:t>
      </w:r>
      <w:r>
        <w:rPr>
          <w:rFonts w:ascii="Times New Roman" w:hAnsi="Times New Roman" w:cs="Times New Roman"/>
          <w:sz w:val="24"/>
          <w:szCs w:val="24"/>
        </w:rPr>
        <w:t xml:space="preserve"> areas</w:t>
      </w:r>
      <w:r w:rsidRPr="002A5D92">
        <w:rPr>
          <w:rFonts w:ascii="Times New Roman" w:hAnsi="Times New Roman" w:cs="Times New Roman"/>
          <w:sz w:val="24"/>
          <w:szCs w:val="24"/>
        </w:rPr>
        <w:t xml:space="preserve"> and discrete Indigenous communities.</w:t>
      </w:r>
    </w:p>
    <w:p w14:paraId="504E01A7" w14:textId="77777777" w:rsidR="00247F4F" w:rsidRPr="002A5D92" w:rsidRDefault="00247F4F" w:rsidP="00247F4F">
      <w:pPr>
        <w:spacing w:after="0" w:line="240" w:lineRule="auto"/>
        <w:rPr>
          <w:rFonts w:ascii="Times New Roman" w:hAnsi="Times New Roman" w:cs="Times New Roman"/>
          <w:sz w:val="24"/>
          <w:szCs w:val="24"/>
        </w:rPr>
      </w:pPr>
    </w:p>
    <w:p w14:paraId="5BA255EF" w14:textId="77777777" w:rsidR="00247F4F" w:rsidRPr="002A5D92" w:rsidRDefault="00247F4F" w:rsidP="00247F4F">
      <w:pPr>
        <w:spacing w:after="0" w:line="240" w:lineRule="auto"/>
        <w:rPr>
          <w:rFonts w:ascii="Times New Roman" w:hAnsi="Times New Roman" w:cs="Times New Roman"/>
          <w:sz w:val="24"/>
          <w:szCs w:val="24"/>
        </w:rPr>
      </w:pPr>
      <w:r w:rsidRPr="002A5D92">
        <w:rPr>
          <w:rFonts w:ascii="Times New Roman" w:hAnsi="Times New Roman" w:cs="Times New Roman"/>
          <w:sz w:val="24"/>
          <w:szCs w:val="24"/>
        </w:rPr>
        <w:t xml:space="preserve">The Joint Council is also undertaking work to add an inland water target to the National Agreement on Closing the gap. Joint Council will consider the finalised statistical baselining exercise at its next meeting to improve understanding of existing levels of Indigenous corporations’ water ownership. </w:t>
      </w:r>
    </w:p>
    <w:p w14:paraId="4CFD94C9" w14:textId="77777777" w:rsidR="00C94039" w:rsidRPr="00AC34E8" w:rsidRDefault="00C94039" w:rsidP="005756A3">
      <w:pPr>
        <w:spacing w:before="60" w:after="120" w:line="240" w:lineRule="auto"/>
        <w:rPr>
          <w:rFonts w:ascii="Times New Roman" w:hAnsi="Times New Roman" w:cs="Times New Roman"/>
          <w:i/>
          <w:iCs/>
          <w:sz w:val="24"/>
          <w:szCs w:val="24"/>
        </w:rPr>
      </w:pPr>
    </w:p>
    <w:p w14:paraId="6034FD63" w14:textId="6CD163CB" w:rsidR="002D2866" w:rsidRPr="00A0069E" w:rsidRDefault="00DA1834" w:rsidP="005756A3">
      <w:pPr>
        <w:pStyle w:val="Heading1"/>
        <w:spacing w:before="60" w:after="120" w:line="240" w:lineRule="auto"/>
        <w:rPr>
          <w:b/>
          <w:bCs/>
        </w:rPr>
      </w:pPr>
      <w:bookmarkStart w:id="5" w:name="_Toc90551581"/>
      <w:r w:rsidRPr="00A0069E">
        <w:rPr>
          <w:b/>
          <w:bCs/>
        </w:rPr>
        <w:t>M</w:t>
      </w:r>
      <w:r w:rsidR="002D2866" w:rsidRPr="00A0069E">
        <w:rPr>
          <w:b/>
          <w:bCs/>
        </w:rPr>
        <w:t>eaningful participation relating to decisions, policies, and projects affecting human rights to safe drinking water</w:t>
      </w:r>
      <w:bookmarkEnd w:id="5"/>
    </w:p>
    <w:p w14:paraId="556AB918" w14:textId="2FBCA2E4" w:rsidR="008E7159" w:rsidRPr="00AC34E8" w:rsidRDefault="00DA3BCA"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The NWI provides for the inclusion of Indigenous social, spiritual and customary objectives into water planning. </w:t>
      </w:r>
      <w:r w:rsidR="00F23555">
        <w:rPr>
          <w:rFonts w:ascii="Times New Roman" w:hAnsi="Times New Roman" w:cs="Times New Roman"/>
          <w:sz w:val="24"/>
          <w:szCs w:val="24"/>
        </w:rPr>
        <w:t>S</w:t>
      </w:r>
      <w:r w:rsidR="00DA7376" w:rsidRPr="00AC34E8">
        <w:rPr>
          <w:rFonts w:ascii="Times New Roman" w:hAnsi="Times New Roman" w:cs="Times New Roman"/>
          <w:sz w:val="24"/>
          <w:szCs w:val="24"/>
        </w:rPr>
        <w:t>tate and territor</w:t>
      </w:r>
      <w:r w:rsidR="00F23555">
        <w:rPr>
          <w:rFonts w:ascii="Times New Roman" w:hAnsi="Times New Roman" w:cs="Times New Roman"/>
          <w:sz w:val="24"/>
          <w:szCs w:val="24"/>
        </w:rPr>
        <w:t xml:space="preserve">y </w:t>
      </w:r>
      <w:r w:rsidR="00DA7376" w:rsidRPr="00AC34E8">
        <w:rPr>
          <w:rFonts w:ascii="Times New Roman" w:hAnsi="Times New Roman" w:cs="Times New Roman"/>
          <w:sz w:val="24"/>
          <w:szCs w:val="24"/>
        </w:rPr>
        <w:t>water agencies engage with Indigenous people</w:t>
      </w:r>
      <w:r w:rsidR="00F23555">
        <w:rPr>
          <w:rFonts w:ascii="Times New Roman" w:hAnsi="Times New Roman" w:cs="Times New Roman"/>
          <w:sz w:val="24"/>
          <w:szCs w:val="24"/>
        </w:rPr>
        <w:t>s</w:t>
      </w:r>
      <w:r w:rsidR="00DA7376" w:rsidRPr="00AC34E8">
        <w:rPr>
          <w:rFonts w:ascii="Times New Roman" w:hAnsi="Times New Roman" w:cs="Times New Roman"/>
          <w:sz w:val="24"/>
          <w:szCs w:val="24"/>
        </w:rPr>
        <w:t xml:space="preserve"> on water issues through their water planning processes</w:t>
      </w:r>
      <w:r w:rsidR="008E7159" w:rsidRPr="00AC34E8">
        <w:rPr>
          <w:rFonts w:ascii="Times New Roman" w:hAnsi="Times New Roman" w:cs="Times New Roman"/>
          <w:sz w:val="24"/>
          <w:szCs w:val="24"/>
        </w:rPr>
        <w:t xml:space="preserve"> with </w:t>
      </w:r>
      <w:r w:rsidR="00052210" w:rsidRPr="00AC34E8">
        <w:rPr>
          <w:rFonts w:ascii="Times New Roman" w:hAnsi="Times New Roman" w:cs="Times New Roman"/>
          <w:sz w:val="24"/>
          <w:szCs w:val="24"/>
        </w:rPr>
        <w:t>individual agencies</w:t>
      </w:r>
      <w:r w:rsidR="008E7159" w:rsidRPr="00AC34E8">
        <w:rPr>
          <w:rFonts w:ascii="Times New Roman" w:hAnsi="Times New Roman" w:cs="Times New Roman"/>
          <w:sz w:val="24"/>
          <w:szCs w:val="24"/>
        </w:rPr>
        <w:t xml:space="preserve"> having </w:t>
      </w:r>
      <w:r w:rsidR="00052210" w:rsidRPr="00AC34E8">
        <w:rPr>
          <w:rFonts w:ascii="Times New Roman" w:hAnsi="Times New Roman" w:cs="Times New Roman"/>
          <w:sz w:val="24"/>
          <w:szCs w:val="24"/>
        </w:rPr>
        <w:t>their</w:t>
      </w:r>
      <w:r w:rsidR="008E7159" w:rsidRPr="00AC34E8">
        <w:rPr>
          <w:rFonts w:ascii="Times New Roman" w:hAnsi="Times New Roman" w:cs="Times New Roman"/>
          <w:sz w:val="24"/>
          <w:szCs w:val="24"/>
        </w:rPr>
        <w:t xml:space="preserve"> own strategy and/or guideline for </w:t>
      </w:r>
      <w:r w:rsidR="00F23555">
        <w:rPr>
          <w:rFonts w:ascii="Times New Roman" w:hAnsi="Times New Roman" w:cs="Times New Roman"/>
          <w:sz w:val="24"/>
          <w:szCs w:val="24"/>
        </w:rPr>
        <w:t>engagement</w:t>
      </w:r>
      <w:r w:rsidR="00DA7376" w:rsidRPr="00AC34E8">
        <w:rPr>
          <w:rFonts w:ascii="Times New Roman" w:hAnsi="Times New Roman" w:cs="Times New Roman"/>
          <w:sz w:val="24"/>
          <w:szCs w:val="24"/>
        </w:rPr>
        <w:t xml:space="preserve">. </w:t>
      </w:r>
      <w:r w:rsidR="008E7159" w:rsidRPr="00AC34E8">
        <w:rPr>
          <w:rFonts w:ascii="Times New Roman" w:hAnsi="Times New Roman" w:cs="Times New Roman"/>
          <w:sz w:val="24"/>
          <w:szCs w:val="24"/>
        </w:rPr>
        <w:t xml:space="preserve">Indigenous representation in water planning </w:t>
      </w:r>
      <w:r w:rsidR="00052210" w:rsidRPr="00AC34E8">
        <w:rPr>
          <w:rFonts w:ascii="Times New Roman" w:hAnsi="Times New Roman" w:cs="Times New Roman"/>
          <w:sz w:val="24"/>
          <w:szCs w:val="24"/>
        </w:rPr>
        <w:t>can</w:t>
      </w:r>
      <w:r w:rsidR="008E7159" w:rsidRPr="00AC34E8">
        <w:rPr>
          <w:rFonts w:ascii="Times New Roman" w:hAnsi="Times New Roman" w:cs="Times New Roman"/>
          <w:sz w:val="24"/>
          <w:szCs w:val="24"/>
        </w:rPr>
        <w:t xml:space="preserve"> take many forms, </w:t>
      </w:r>
      <w:r w:rsidR="00052210" w:rsidRPr="00AC34E8">
        <w:rPr>
          <w:rFonts w:ascii="Times New Roman" w:hAnsi="Times New Roman" w:cs="Times New Roman"/>
          <w:sz w:val="24"/>
          <w:szCs w:val="24"/>
        </w:rPr>
        <w:t>such as:</w:t>
      </w:r>
    </w:p>
    <w:p w14:paraId="7A4BBE68" w14:textId="0FF2F58B" w:rsidR="008E7159" w:rsidRPr="00AC34E8" w:rsidRDefault="008E7159"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advisory committee arrangements </w:t>
      </w:r>
      <w:r w:rsidR="00F23555">
        <w:rPr>
          <w:rFonts w:ascii="Times New Roman" w:hAnsi="Times New Roman" w:cs="Times New Roman"/>
          <w:sz w:val="24"/>
          <w:szCs w:val="24"/>
        </w:rPr>
        <w:t>to</w:t>
      </w:r>
      <w:r w:rsidR="00F23555" w:rsidRPr="00AC34E8">
        <w:rPr>
          <w:rFonts w:ascii="Times New Roman" w:hAnsi="Times New Roman" w:cs="Times New Roman"/>
          <w:sz w:val="24"/>
          <w:szCs w:val="24"/>
        </w:rPr>
        <w:t xml:space="preserve"> </w:t>
      </w:r>
      <w:r w:rsidRPr="00AC34E8">
        <w:rPr>
          <w:rFonts w:ascii="Times New Roman" w:hAnsi="Times New Roman" w:cs="Times New Roman"/>
          <w:sz w:val="24"/>
          <w:szCs w:val="24"/>
        </w:rPr>
        <w:t>promote participation in decision making forums for water planning and management processes</w:t>
      </w:r>
      <w:r w:rsidR="00DA3BCA" w:rsidRPr="00AC34E8">
        <w:rPr>
          <w:rFonts w:ascii="Times New Roman" w:hAnsi="Times New Roman" w:cs="Times New Roman"/>
          <w:sz w:val="24"/>
          <w:szCs w:val="24"/>
        </w:rPr>
        <w:t>;</w:t>
      </w:r>
      <w:r w:rsidRPr="00AC34E8">
        <w:rPr>
          <w:rFonts w:ascii="Times New Roman" w:hAnsi="Times New Roman" w:cs="Times New Roman"/>
          <w:sz w:val="24"/>
          <w:szCs w:val="24"/>
        </w:rPr>
        <w:t xml:space="preserve"> </w:t>
      </w:r>
    </w:p>
    <w:p w14:paraId="46D4A32D" w14:textId="7FF7BDFC" w:rsidR="008E7159" w:rsidRPr="00AC34E8" w:rsidRDefault="008E7159"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employing Indigenous water planners and/or Indigenous staff to enable meaningful consultation and provide a conduit for Indigenous views (including those for water-dependent cultural values) to be represented in the water planning process</w:t>
      </w:r>
      <w:r w:rsidR="00DA3BCA" w:rsidRPr="00AC34E8">
        <w:rPr>
          <w:rFonts w:ascii="Times New Roman" w:hAnsi="Times New Roman" w:cs="Times New Roman"/>
          <w:sz w:val="24"/>
          <w:szCs w:val="24"/>
        </w:rPr>
        <w:t>;</w:t>
      </w:r>
    </w:p>
    <w:p w14:paraId="6684D7E0" w14:textId="5E406927" w:rsidR="008E7159" w:rsidRPr="00AC34E8" w:rsidRDefault="008E7159"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working with Indigenous community groups and organisations to define culturally appropriate ways to be engaged in water planning and decision making</w:t>
      </w:r>
      <w:r w:rsidR="00DA3BCA" w:rsidRPr="00AC34E8">
        <w:rPr>
          <w:rFonts w:ascii="Times New Roman" w:hAnsi="Times New Roman" w:cs="Times New Roman"/>
          <w:sz w:val="24"/>
          <w:szCs w:val="24"/>
        </w:rPr>
        <w:t>;</w:t>
      </w:r>
    </w:p>
    <w:p w14:paraId="115AA71C" w14:textId="76C27D48" w:rsidR="008E7159" w:rsidRPr="00AC34E8" w:rsidRDefault="008E7159"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developing </w:t>
      </w:r>
      <w:r w:rsidR="00F23555" w:rsidRPr="00AC34E8">
        <w:rPr>
          <w:rFonts w:ascii="Times New Roman" w:hAnsi="Times New Roman" w:cs="Times New Roman"/>
          <w:sz w:val="24"/>
          <w:szCs w:val="24"/>
        </w:rPr>
        <w:t>principle-based</w:t>
      </w:r>
      <w:r w:rsidRPr="00AC34E8">
        <w:rPr>
          <w:rFonts w:ascii="Times New Roman" w:hAnsi="Times New Roman" w:cs="Times New Roman"/>
          <w:sz w:val="24"/>
          <w:szCs w:val="24"/>
        </w:rPr>
        <w:t xml:space="preserve"> partnerships and co-management arrangements</w:t>
      </w:r>
      <w:r w:rsidR="00052210" w:rsidRPr="00AC34E8">
        <w:rPr>
          <w:rFonts w:ascii="Times New Roman" w:hAnsi="Times New Roman" w:cs="Times New Roman"/>
          <w:sz w:val="24"/>
          <w:szCs w:val="24"/>
        </w:rPr>
        <w:t>;</w:t>
      </w:r>
      <w:r w:rsidRPr="00AC34E8">
        <w:rPr>
          <w:rFonts w:ascii="Times New Roman" w:hAnsi="Times New Roman" w:cs="Times New Roman"/>
          <w:sz w:val="24"/>
          <w:szCs w:val="24"/>
        </w:rPr>
        <w:t xml:space="preserve"> and</w:t>
      </w:r>
    </w:p>
    <w:p w14:paraId="21A7CC9F" w14:textId="58B5BFE0" w:rsidR="008E7159" w:rsidRPr="00AC34E8" w:rsidRDefault="008E7159"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investing in capacity building exercises for Indigenous peoples to develop their skills in water planning and management practices, and reciprocal knowledge transfer from Indigenous peoples to water planners.</w:t>
      </w:r>
    </w:p>
    <w:p w14:paraId="335EDC67" w14:textId="206BE734" w:rsidR="005406DB" w:rsidRDefault="00DA3BCA"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In 2017, t</w:t>
      </w:r>
      <w:r w:rsidR="004E6D2D" w:rsidRPr="00AC34E8">
        <w:rPr>
          <w:rFonts w:ascii="Times New Roman" w:hAnsi="Times New Roman" w:cs="Times New Roman"/>
          <w:sz w:val="24"/>
          <w:szCs w:val="24"/>
        </w:rPr>
        <w:t>he</w:t>
      </w:r>
      <w:r w:rsidR="001E3260" w:rsidRPr="00AC34E8">
        <w:rPr>
          <w:rFonts w:ascii="Times New Roman" w:hAnsi="Times New Roman" w:cs="Times New Roman"/>
          <w:sz w:val="24"/>
          <w:szCs w:val="24"/>
        </w:rPr>
        <w:t xml:space="preserve"> </w:t>
      </w:r>
      <w:r w:rsidR="00F3241A">
        <w:rPr>
          <w:rFonts w:ascii="Times New Roman" w:hAnsi="Times New Roman" w:cs="Times New Roman"/>
          <w:sz w:val="24"/>
          <w:szCs w:val="24"/>
        </w:rPr>
        <w:t>Commonwealth</w:t>
      </w:r>
      <w:r w:rsidR="00D0019D">
        <w:rPr>
          <w:rFonts w:ascii="Times New Roman" w:hAnsi="Times New Roman" w:cs="Times New Roman"/>
          <w:sz w:val="24"/>
          <w:szCs w:val="24"/>
        </w:rPr>
        <w:t xml:space="preserve"> and </w:t>
      </w:r>
      <w:r w:rsidR="001E3260" w:rsidRPr="00AC34E8">
        <w:rPr>
          <w:rFonts w:ascii="Times New Roman" w:hAnsi="Times New Roman" w:cs="Times New Roman"/>
          <w:sz w:val="24"/>
          <w:szCs w:val="24"/>
        </w:rPr>
        <w:t>state</w:t>
      </w:r>
      <w:r w:rsidR="00D0019D">
        <w:rPr>
          <w:rFonts w:ascii="Times New Roman" w:hAnsi="Times New Roman" w:cs="Times New Roman"/>
          <w:sz w:val="24"/>
          <w:szCs w:val="24"/>
        </w:rPr>
        <w:t>s</w:t>
      </w:r>
      <w:r w:rsidR="001E3260" w:rsidRPr="00AC34E8">
        <w:rPr>
          <w:rFonts w:ascii="Times New Roman" w:hAnsi="Times New Roman" w:cs="Times New Roman"/>
          <w:sz w:val="24"/>
          <w:szCs w:val="24"/>
        </w:rPr>
        <w:t xml:space="preserve"> and territor</w:t>
      </w:r>
      <w:r w:rsidR="00D0019D">
        <w:rPr>
          <w:rFonts w:ascii="Times New Roman" w:hAnsi="Times New Roman" w:cs="Times New Roman"/>
          <w:sz w:val="24"/>
          <w:szCs w:val="24"/>
        </w:rPr>
        <w:t xml:space="preserve">ies </w:t>
      </w:r>
      <w:r w:rsidR="001E3260" w:rsidRPr="00AC34E8">
        <w:rPr>
          <w:rFonts w:ascii="Times New Roman" w:hAnsi="Times New Roman" w:cs="Times New Roman"/>
          <w:sz w:val="24"/>
          <w:szCs w:val="24"/>
        </w:rPr>
        <w:t xml:space="preserve">developed a ‘module’ to the NWI Policy Guidelines for Water Planning and Management </w:t>
      </w:r>
      <w:r w:rsidR="00D0019D">
        <w:rPr>
          <w:rFonts w:ascii="Times New Roman" w:hAnsi="Times New Roman" w:cs="Times New Roman"/>
          <w:sz w:val="24"/>
          <w:szCs w:val="24"/>
        </w:rPr>
        <w:t xml:space="preserve">named </w:t>
      </w:r>
      <w:r w:rsidR="001E3260" w:rsidRPr="00AC34E8">
        <w:rPr>
          <w:rFonts w:ascii="Times New Roman" w:hAnsi="Times New Roman" w:cs="Times New Roman"/>
          <w:i/>
          <w:iCs/>
          <w:sz w:val="24"/>
          <w:szCs w:val="24"/>
        </w:rPr>
        <w:t>Engaging Indigenous peoples in water planning and management</w:t>
      </w:r>
      <w:r w:rsidR="001E3260" w:rsidRPr="00AC34E8">
        <w:rPr>
          <w:rFonts w:ascii="Times New Roman" w:hAnsi="Times New Roman" w:cs="Times New Roman"/>
          <w:sz w:val="24"/>
          <w:szCs w:val="24"/>
        </w:rPr>
        <w:t xml:space="preserve">.  </w:t>
      </w:r>
    </w:p>
    <w:p w14:paraId="1D061422" w14:textId="646FE2DB" w:rsidR="005756A3" w:rsidRDefault="00DA3BCA"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This</w:t>
      </w:r>
      <w:r w:rsidR="001E3260" w:rsidRPr="00AC34E8">
        <w:rPr>
          <w:rFonts w:ascii="Times New Roman" w:hAnsi="Times New Roman" w:cs="Times New Roman"/>
          <w:sz w:val="24"/>
          <w:szCs w:val="24"/>
        </w:rPr>
        <w:t xml:space="preserve"> module </w:t>
      </w:r>
      <w:r w:rsidR="00DA7376" w:rsidRPr="00AC34E8">
        <w:rPr>
          <w:rFonts w:ascii="Times New Roman" w:hAnsi="Times New Roman" w:cs="Times New Roman"/>
          <w:sz w:val="24"/>
          <w:szCs w:val="24"/>
        </w:rPr>
        <w:t xml:space="preserve">builds upon existing engagement processes to ensure inclusive approaches to water planning which support genuine consideration of Indigenous social, spiritual and customary objectives. It </w:t>
      </w:r>
      <w:r w:rsidR="001E3260" w:rsidRPr="00AC34E8">
        <w:rPr>
          <w:rFonts w:ascii="Times New Roman" w:hAnsi="Times New Roman" w:cs="Times New Roman"/>
          <w:sz w:val="24"/>
          <w:szCs w:val="24"/>
        </w:rPr>
        <w:t>provide</w:t>
      </w:r>
      <w:r w:rsidR="002C6AF5" w:rsidRPr="00AC34E8">
        <w:rPr>
          <w:rFonts w:ascii="Times New Roman" w:hAnsi="Times New Roman" w:cs="Times New Roman"/>
          <w:sz w:val="24"/>
          <w:szCs w:val="24"/>
        </w:rPr>
        <w:t>s</w:t>
      </w:r>
      <w:r w:rsidR="001E3260" w:rsidRPr="00AC34E8">
        <w:rPr>
          <w:rFonts w:ascii="Times New Roman" w:hAnsi="Times New Roman" w:cs="Times New Roman"/>
          <w:sz w:val="24"/>
          <w:szCs w:val="24"/>
        </w:rPr>
        <w:t xml:space="preserve"> best practice guidance on the nature of Indigenous interests in water resources and how they can be reflected in planning processes and outcomes. </w:t>
      </w:r>
    </w:p>
    <w:p w14:paraId="3B408EBC" w14:textId="77DAB95D" w:rsidR="001E3260" w:rsidRPr="00AC34E8" w:rsidRDefault="001E3260"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 xml:space="preserve">The </w:t>
      </w:r>
      <w:r w:rsidR="00DA3BCA" w:rsidRPr="00AC34E8">
        <w:rPr>
          <w:rFonts w:ascii="Times New Roman" w:hAnsi="Times New Roman" w:cs="Times New Roman"/>
          <w:sz w:val="24"/>
          <w:szCs w:val="24"/>
        </w:rPr>
        <w:t>guidance</w:t>
      </w:r>
      <w:r w:rsidRPr="00AC34E8">
        <w:rPr>
          <w:rFonts w:ascii="Times New Roman" w:hAnsi="Times New Roman" w:cs="Times New Roman"/>
          <w:sz w:val="24"/>
          <w:szCs w:val="24"/>
        </w:rPr>
        <w:t xml:space="preserve"> </w:t>
      </w:r>
      <w:r w:rsidR="00DA3BCA" w:rsidRPr="00AC34E8">
        <w:rPr>
          <w:rFonts w:ascii="Times New Roman" w:hAnsi="Times New Roman" w:cs="Times New Roman"/>
          <w:sz w:val="24"/>
          <w:szCs w:val="24"/>
        </w:rPr>
        <w:t>involves</w:t>
      </w:r>
      <w:r w:rsidRPr="00AC34E8">
        <w:rPr>
          <w:rFonts w:ascii="Times New Roman" w:hAnsi="Times New Roman" w:cs="Times New Roman"/>
          <w:sz w:val="24"/>
          <w:szCs w:val="24"/>
        </w:rPr>
        <w:t xml:space="preserve"> three </w:t>
      </w:r>
      <w:r w:rsidR="002C6AF5" w:rsidRPr="00AC34E8">
        <w:rPr>
          <w:rFonts w:ascii="Times New Roman" w:hAnsi="Times New Roman" w:cs="Times New Roman"/>
          <w:sz w:val="24"/>
          <w:szCs w:val="24"/>
        </w:rPr>
        <w:t>elements</w:t>
      </w:r>
      <w:r w:rsidRPr="00AC34E8">
        <w:rPr>
          <w:rFonts w:ascii="Times New Roman" w:hAnsi="Times New Roman" w:cs="Times New Roman"/>
          <w:sz w:val="24"/>
          <w:szCs w:val="24"/>
        </w:rPr>
        <w:t>:</w:t>
      </w:r>
    </w:p>
    <w:p w14:paraId="36B09219" w14:textId="4B659D0B" w:rsidR="001E3260" w:rsidRPr="00AC34E8" w:rsidRDefault="001E3260"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recognising Indigenous values and needs in water resource planning and management; </w:t>
      </w:r>
    </w:p>
    <w:p w14:paraId="2EE18DB8" w14:textId="64B962D0" w:rsidR="001E3260" w:rsidRPr="00AC34E8" w:rsidRDefault="001E3260"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native title and other Indigenous land rights – implications for water planning and management; and </w:t>
      </w:r>
    </w:p>
    <w:p w14:paraId="60EB9B78" w14:textId="7D12D284" w:rsidR="00033F20" w:rsidRPr="00AC34E8" w:rsidRDefault="001E3260" w:rsidP="005756A3">
      <w:pPr>
        <w:pStyle w:val="ListParagraph"/>
        <w:numPr>
          <w:ilvl w:val="0"/>
          <w:numId w:val="10"/>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options for improving Indigenous water access in plans.</w:t>
      </w:r>
    </w:p>
    <w:p w14:paraId="179440D6" w14:textId="2D88152E" w:rsidR="00BA2520" w:rsidRPr="00AC34E8" w:rsidRDefault="00BA2520" w:rsidP="005756A3">
      <w:pPr>
        <w:spacing w:before="60" w:after="120" w:line="240" w:lineRule="auto"/>
        <w:rPr>
          <w:rFonts w:ascii="Times New Roman" w:hAnsi="Times New Roman" w:cs="Times New Roman"/>
          <w:sz w:val="24"/>
          <w:szCs w:val="24"/>
        </w:rPr>
      </w:pPr>
    </w:p>
    <w:p w14:paraId="58A14B78" w14:textId="5519E84D" w:rsidR="00BA2520" w:rsidRPr="00AC34E8" w:rsidRDefault="00BA2520"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The CAWI, an advisory body to the NWRC</w:t>
      </w:r>
      <w:r w:rsidR="00930D9F">
        <w:rPr>
          <w:rFonts w:ascii="Times New Roman" w:hAnsi="Times New Roman" w:cs="Times New Roman"/>
          <w:sz w:val="24"/>
          <w:szCs w:val="24"/>
        </w:rPr>
        <w:t xml:space="preserve">, </w:t>
      </w:r>
      <w:r w:rsidRPr="00AC34E8">
        <w:rPr>
          <w:rFonts w:ascii="Times New Roman" w:hAnsi="Times New Roman" w:cs="Times New Roman"/>
          <w:sz w:val="24"/>
          <w:szCs w:val="24"/>
        </w:rPr>
        <w:t>has a</w:t>
      </w:r>
      <w:r w:rsidR="00F1062A" w:rsidRPr="00AC34E8">
        <w:rPr>
          <w:rFonts w:ascii="Times New Roman" w:hAnsi="Times New Roman" w:cs="Times New Roman"/>
          <w:sz w:val="24"/>
          <w:szCs w:val="24"/>
        </w:rPr>
        <w:t>pproximately</w:t>
      </w:r>
      <w:r w:rsidRPr="00AC34E8">
        <w:rPr>
          <w:rFonts w:ascii="Times New Roman" w:hAnsi="Times New Roman" w:cs="Times New Roman"/>
          <w:sz w:val="24"/>
          <w:szCs w:val="24"/>
        </w:rPr>
        <w:t xml:space="preserve"> 50:50 membership ratio of Indigenous men to women, including a male and a female Co-Chair. </w:t>
      </w:r>
    </w:p>
    <w:p w14:paraId="0DAF1FF4" w14:textId="4C2A3B3A" w:rsidR="00071367" w:rsidRPr="00AC34E8" w:rsidRDefault="00071367" w:rsidP="005756A3">
      <w:pPr>
        <w:pStyle w:val="ListParagraph"/>
        <w:spacing w:before="60" w:after="120" w:line="240" w:lineRule="auto"/>
        <w:ind w:left="0"/>
        <w:contextualSpacing w:val="0"/>
        <w:rPr>
          <w:rFonts w:ascii="Times New Roman" w:hAnsi="Times New Roman" w:cs="Times New Roman"/>
          <w:i/>
          <w:iCs/>
          <w:sz w:val="24"/>
          <w:szCs w:val="24"/>
        </w:rPr>
      </w:pPr>
    </w:p>
    <w:p w14:paraId="1105E0AF" w14:textId="779293CD" w:rsidR="00D30011" w:rsidRPr="00A0069E" w:rsidRDefault="00930D9F" w:rsidP="005756A3">
      <w:pPr>
        <w:pStyle w:val="Heading1"/>
        <w:spacing w:before="60" w:after="120" w:line="240" w:lineRule="auto"/>
        <w:rPr>
          <w:b/>
          <w:bCs/>
        </w:rPr>
      </w:pPr>
      <w:bookmarkStart w:id="6" w:name="_Toc90551582"/>
      <w:r w:rsidRPr="00A0069E">
        <w:rPr>
          <w:b/>
          <w:bCs/>
        </w:rPr>
        <w:t>R</w:t>
      </w:r>
      <w:r w:rsidR="00D30011" w:rsidRPr="00A0069E">
        <w:rPr>
          <w:b/>
          <w:bCs/>
        </w:rPr>
        <w:t>ural areas</w:t>
      </w:r>
      <w:bookmarkEnd w:id="6"/>
      <w:r w:rsidR="00D30011" w:rsidRPr="00A0069E">
        <w:rPr>
          <w:b/>
          <w:bCs/>
        </w:rPr>
        <w:t xml:space="preserve"> </w:t>
      </w:r>
    </w:p>
    <w:p w14:paraId="12533E43" w14:textId="387E8DEE" w:rsidR="002126A7" w:rsidRPr="00AC34E8" w:rsidRDefault="00287179"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All</w:t>
      </w:r>
      <w:r w:rsidR="002126A7" w:rsidRPr="00AC34E8">
        <w:rPr>
          <w:rFonts w:ascii="Times New Roman" w:hAnsi="Times New Roman" w:cs="Times New Roman"/>
          <w:sz w:val="24"/>
          <w:szCs w:val="24"/>
        </w:rPr>
        <w:t xml:space="preserve"> Australians have universal access to potable water and sanitation services. There is no delineation between geographic or demographic groups for the provision of water services. State</w:t>
      </w:r>
      <w:r w:rsidRPr="00AC34E8">
        <w:rPr>
          <w:rFonts w:ascii="Times New Roman" w:hAnsi="Times New Roman" w:cs="Times New Roman"/>
          <w:sz w:val="24"/>
          <w:szCs w:val="24"/>
        </w:rPr>
        <w:t xml:space="preserve">, </w:t>
      </w:r>
      <w:r w:rsidR="002126A7" w:rsidRPr="00AC34E8">
        <w:rPr>
          <w:rFonts w:ascii="Times New Roman" w:hAnsi="Times New Roman" w:cs="Times New Roman"/>
          <w:sz w:val="24"/>
          <w:szCs w:val="24"/>
        </w:rPr>
        <w:t xml:space="preserve">territory </w:t>
      </w:r>
      <w:r w:rsidRPr="00AC34E8">
        <w:rPr>
          <w:rFonts w:ascii="Times New Roman" w:hAnsi="Times New Roman" w:cs="Times New Roman"/>
          <w:sz w:val="24"/>
          <w:szCs w:val="24"/>
        </w:rPr>
        <w:t xml:space="preserve">and local </w:t>
      </w:r>
      <w:r w:rsidR="002126A7" w:rsidRPr="00AC34E8">
        <w:rPr>
          <w:rFonts w:ascii="Times New Roman" w:hAnsi="Times New Roman" w:cs="Times New Roman"/>
          <w:sz w:val="24"/>
          <w:szCs w:val="24"/>
        </w:rPr>
        <w:t>governments are responsible for the provision of water and sanitation services. Within each jurisdiction, water utilities operat</w:t>
      </w:r>
      <w:r w:rsidRPr="00AC34E8">
        <w:rPr>
          <w:rFonts w:ascii="Times New Roman" w:hAnsi="Times New Roman" w:cs="Times New Roman"/>
          <w:sz w:val="24"/>
          <w:szCs w:val="24"/>
        </w:rPr>
        <w:t>ing</w:t>
      </w:r>
      <w:r w:rsidR="002126A7" w:rsidRPr="00AC34E8">
        <w:rPr>
          <w:rFonts w:ascii="Times New Roman" w:hAnsi="Times New Roman" w:cs="Times New Roman"/>
          <w:sz w:val="24"/>
          <w:szCs w:val="24"/>
        </w:rPr>
        <w:t xml:space="preserve"> on a state-wide or local level adhere to regulations </w:t>
      </w:r>
      <w:r w:rsidRPr="00AC34E8">
        <w:rPr>
          <w:rFonts w:ascii="Times New Roman" w:hAnsi="Times New Roman" w:cs="Times New Roman"/>
          <w:sz w:val="24"/>
          <w:szCs w:val="24"/>
        </w:rPr>
        <w:t>which</w:t>
      </w:r>
      <w:r w:rsidR="002126A7" w:rsidRPr="00AC34E8">
        <w:rPr>
          <w:rFonts w:ascii="Times New Roman" w:hAnsi="Times New Roman" w:cs="Times New Roman"/>
          <w:sz w:val="24"/>
          <w:szCs w:val="24"/>
        </w:rPr>
        <w:t xml:space="preserve"> ensure the provision of water and sanitation services to </w:t>
      </w:r>
      <w:r w:rsidR="00503DFA" w:rsidRPr="00AC34E8">
        <w:rPr>
          <w:rFonts w:ascii="Times New Roman" w:hAnsi="Times New Roman" w:cs="Times New Roman"/>
          <w:sz w:val="24"/>
          <w:szCs w:val="24"/>
        </w:rPr>
        <w:t>their customers</w:t>
      </w:r>
      <w:r w:rsidR="002126A7" w:rsidRPr="00AC34E8">
        <w:rPr>
          <w:rFonts w:ascii="Times New Roman" w:hAnsi="Times New Roman" w:cs="Times New Roman"/>
          <w:sz w:val="24"/>
          <w:szCs w:val="24"/>
        </w:rPr>
        <w:t xml:space="preserve">. Technical and regulatory authorities in each state or territory maintain oversight of the provision of water and sanitation services through utilities. </w:t>
      </w:r>
    </w:p>
    <w:p w14:paraId="1E88567A" w14:textId="77777777" w:rsidR="002126A7" w:rsidRPr="00AC34E8" w:rsidRDefault="002126A7" w:rsidP="005756A3">
      <w:pPr>
        <w:spacing w:before="60" w:after="120" w:line="240" w:lineRule="auto"/>
        <w:rPr>
          <w:rFonts w:ascii="Times New Roman" w:hAnsi="Times New Roman" w:cs="Times New Roman"/>
          <w:sz w:val="24"/>
          <w:szCs w:val="24"/>
        </w:rPr>
      </w:pPr>
      <w:r w:rsidRPr="00AC34E8">
        <w:rPr>
          <w:rFonts w:ascii="Times New Roman" w:hAnsi="Times New Roman" w:cs="Times New Roman"/>
          <w:sz w:val="24"/>
          <w:szCs w:val="24"/>
        </w:rPr>
        <w:t>For example:</w:t>
      </w:r>
    </w:p>
    <w:p w14:paraId="6F6A3A65" w14:textId="77777777" w:rsidR="002126A7" w:rsidRPr="00AC34E8" w:rsidRDefault="002126A7" w:rsidP="00B76420">
      <w:pPr>
        <w:pStyle w:val="ListParagraph"/>
        <w:numPr>
          <w:ilvl w:val="0"/>
          <w:numId w:val="23"/>
        </w:numPr>
        <w:spacing w:before="60" w:after="120" w:line="240" w:lineRule="auto"/>
        <w:contextualSpacing w:val="0"/>
        <w:rPr>
          <w:rFonts w:ascii="Times New Roman" w:hAnsi="Times New Roman" w:cs="Times New Roman"/>
          <w:sz w:val="24"/>
          <w:szCs w:val="24"/>
        </w:rPr>
      </w:pPr>
      <w:r w:rsidRPr="00AC34E8">
        <w:rPr>
          <w:rFonts w:ascii="Times New Roman" w:hAnsi="Times New Roman" w:cs="Times New Roman"/>
          <w:sz w:val="24"/>
          <w:szCs w:val="24"/>
        </w:rPr>
        <w:t xml:space="preserve">The Office of the Tasmanian Economic Regulator provides for the safe, environmentally responsible, efficient and sustainable provision of water and sewerage services to the Tasmanian community by developing and issuing licences, codes and guidelines. </w:t>
      </w:r>
    </w:p>
    <w:p w14:paraId="594F17BF" w14:textId="66917A86" w:rsidR="002126A7" w:rsidRDefault="00D0019D" w:rsidP="00B76420">
      <w:pPr>
        <w:pStyle w:val="ListParagraph"/>
        <w:numPr>
          <w:ilvl w:val="0"/>
          <w:numId w:val="23"/>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w:t>
      </w:r>
      <w:r w:rsidR="002126A7" w:rsidRPr="00AC34E8">
        <w:rPr>
          <w:rFonts w:ascii="Times New Roman" w:hAnsi="Times New Roman" w:cs="Times New Roman"/>
          <w:sz w:val="24"/>
          <w:szCs w:val="24"/>
        </w:rPr>
        <w:t xml:space="preserve"> Essential Services Commission of South Australia is responsible for the economic regulation of water and sewerage services through industry licensing, consumer protection and retail pricing.</w:t>
      </w:r>
    </w:p>
    <w:p w14:paraId="3E1839CA" w14:textId="77777777" w:rsidR="002F4692" w:rsidRPr="00AC34E8" w:rsidRDefault="002F4692" w:rsidP="002F4692">
      <w:pPr>
        <w:pStyle w:val="ListParagraph"/>
        <w:spacing w:after="0" w:line="240" w:lineRule="auto"/>
        <w:rPr>
          <w:rFonts w:ascii="Times New Roman" w:hAnsi="Times New Roman" w:cs="Times New Roman"/>
          <w:sz w:val="24"/>
          <w:szCs w:val="24"/>
        </w:rPr>
      </w:pPr>
    </w:p>
    <w:p w14:paraId="467A5FFA" w14:textId="7448E981" w:rsidR="00D30011" w:rsidRDefault="00D30011" w:rsidP="00640426">
      <w:pPr>
        <w:spacing w:after="0" w:line="240" w:lineRule="auto"/>
        <w:rPr>
          <w:rFonts w:ascii="Times New Roman" w:hAnsi="Times New Roman" w:cs="Times New Roman"/>
          <w:sz w:val="24"/>
          <w:szCs w:val="24"/>
        </w:rPr>
      </w:pPr>
    </w:p>
    <w:p w14:paraId="2C32F067" w14:textId="393D60AE" w:rsidR="009E4D3D" w:rsidRDefault="009E4D3D" w:rsidP="00640426">
      <w:pPr>
        <w:spacing w:after="0" w:line="240" w:lineRule="auto"/>
        <w:rPr>
          <w:rFonts w:ascii="Times New Roman" w:hAnsi="Times New Roman" w:cs="Times New Roman"/>
          <w:sz w:val="24"/>
          <w:szCs w:val="24"/>
        </w:rPr>
      </w:pPr>
    </w:p>
    <w:p w14:paraId="02B2D512" w14:textId="21A4CF8F" w:rsidR="009E4D3D" w:rsidRDefault="009E4D3D" w:rsidP="00640426">
      <w:pPr>
        <w:spacing w:after="0" w:line="240" w:lineRule="auto"/>
        <w:rPr>
          <w:rFonts w:ascii="Times New Roman" w:hAnsi="Times New Roman" w:cs="Times New Roman"/>
          <w:sz w:val="24"/>
          <w:szCs w:val="24"/>
        </w:rPr>
      </w:pPr>
    </w:p>
    <w:p w14:paraId="4ABB6762" w14:textId="127A018E" w:rsidR="009E4D3D" w:rsidRDefault="009E4D3D" w:rsidP="00640426">
      <w:pPr>
        <w:spacing w:after="0" w:line="240" w:lineRule="auto"/>
        <w:rPr>
          <w:rFonts w:ascii="Times New Roman" w:hAnsi="Times New Roman" w:cs="Times New Roman"/>
          <w:sz w:val="24"/>
          <w:szCs w:val="24"/>
        </w:rPr>
      </w:pPr>
    </w:p>
    <w:p w14:paraId="6D9A6E17" w14:textId="587E4976" w:rsidR="009E4D3D" w:rsidRDefault="009E4D3D" w:rsidP="00640426">
      <w:pPr>
        <w:spacing w:after="0" w:line="240" w:lineRule="auto"/>
        <w:rPr>
          <w:rFonts w:ascii="Times New Roman" w:hAnsi="Times New Roman" w:cs="Times New Roman"/>
          <w:sz w:val="24"/>
          <w:szCs w:val="24"/>
        </w:rPr>
      </w:pPr>
    </w:p>
    <w:p w14:paraId="7FD51D4A" w14:textId="2DD18F87" w:rsidR="009E4D3D" w:rsidRDefault="009E4D3D" w:rsidP="00640426">
      <w:pPr>
        <w:spacing w:after="0" w:line="240" w:lineRule="auto"/>
        <w:rPr>
          <w:rFonts w:ascii="Times New Roman" w:hAnsi="Times New Roman" w:cs="Times New Roman"/>
          <w:sz w:val="24"/>
          <w:szCs w:val="24"/>
        </w:rPr>
      </w:pPr>
    </w:p>
    <w:p w14:paraId="5B7BFA65" w14:textId="3E41D20D" w:rsidR="009E4D3D" w:rsidRDefault="009E4D3D" w:rsidP="00640426">
      <w:pPr>
        <w:spacing w:after="0" w:line="240" w:lineRule="auto"/>
        <w:rPr>
          <w:rFonts w:ascii="Times New Roman" w:hAnsi="Times New Roman" w:cs="Times New Roman"/>
          <w:sz w:val="24"/>
          <w:szCs w:val="24"/>
        </w:rPr>
      </w:pPr>
    </w:p>
    <w:p w14:paraId="7E2422FF" w14:textId="4B5F8E84" w:rsidR="009E4D3D" w:rsidRDefault="009E4D3D" w:rsidP="00640426">
      <w:pPr>
        <w:spacing w:after="0" w:line="240" w:lineRule="auto"/>
        <w:rPr>
          <w:rFonts w:ascii="Times New Roman" w:hAnsi="Times New Roman" w:cs="Times New Roman"/>
          <w:sz w:val="24"/>
          <w:szCs w:val="24"/>
        </w:rPr>
      </w:pPr>
    </w:p>
    <w:p w14:paraId="2BEB3DCA" w14:textId="7AAE2E12" w:rsidR="009E4D3D" w:rsidRDefault="009E4D3D" w:rsidP="00640426">
      <w:pPr>
        <w:spacing w:after="0" w:line="240" w:lineRule="auto"/>
        <w:rPr>
          <w:rFonts w:ascii="Times New Roman" w:hAnsi="Times New Roman" w:cs="Times New Roman"/>
          <w:sz w:val="24"/>
          <w:szCs w:val="24"/>
        </w:rPr>
      </w:pPr>
    </w:p>
    <w:p w14:paraId="072A5184" w14:textId="1E738868" w:rsidR="009E4D3D" w:rsidRDefault="009E4D3D" w:rsidP="00640426">
      <w:pPr>
        <w:spacing w:after="0" w:line="240" w:lineRule="auto"/>
        <w:rPr>
          <w:rFonts w:ascii="Times New Roman" w:hAnsi="Times New Roman" w:cs="Times New Roman"/>
          <w:sz w:val="24"/>
          <w:szCs w:val="24"/>
        </w:rPr>
      </w:pPr>
    </w:p>
    <w:p w14:paraId="5144CABB" w14:textId="29C0C6D5" w:rsidR="00D03D29" w:rsidRDefault="00D03D29" w:rsidP="00640426">
      <w:pPr>
        <w:spacing w:after="0" w:line="240" w:lineRule="auto"/>
        <w:rPr>
          <w:rFonts w:ascii="Times New Roman" w:hAnsi="Times New Roman" w:cs="Times New Roman"/>
          <w:sz w:val="24"/>
          <w:szCs w:val="24"/>
        </w:rPr>
      </w:pPr>
    </w:p>
    <w:p w14:paraId="63989D0A" w14:textId="70CD634B" w:rsidR="00D03D29" w:rsidRDefault="00D03D29" w:rsidP="00640426">
      <w:pPr>
        <w:spacing w:after="0" w:line="240" w:lineRule="auto"/>
        <w:rPr>
          <w:rFonts w:ascii="Times New Roman" w:hAnsi="Times New Roman" w:cs="Times New Roman"/>
          <w:sz w:val="24"/>
          <w:szCs w:val="24"/>
        </w:rPr>
      </w:pPr>
    </w:p>
    <w:p w14:paraId="12672C36" w14:textId="1B17BFC1" w:rsidR="00D03D29" w:rsidRDefault="00D03D29" w:rsidP="00640426">
      <w:pPr>
        <w:spacing w:after="0" w:line="240" w:lineRule="auto"/>
        <w:rPr>
          <w:rFonts w:ascii="Times New Roman" w:hAnsi="Times New Roman" w:cs="Times New Roman"/>
          <w:sz w:val="24"/>
          <w:szCs w:val="24"/>
        </w:rPr>
      </w:pPr>
    </w:p>
    <w:p w14:paraId="38AD392E" w14:textId="77777777" w:rsidR="00730734" w:rsidRDefault="00730734" w:rsidP="006828AD">
      <w:pPr>
        <w:pStyle w:val="Heading1"/>
        <w:rPr>
          <w:b/>
          <w:bCs/>
          <w:u w:val="single"/>
        </w:rPr>
      </w:pPr>
      <w:bookmarkStart w:id="7" w:name="_Toc90551583"/>
    </w:p>
    <w:p w14:paraId="4F365939" w14:textId="77777777" w:rsidR="00730734" w:rsidRDefault="00730734" w:rsidP="006828AD">
      <w:pPr>
        <w:pStyle w:val="Heading1"/>
        <w:rPr>
          <w:b/>
          <w:bCs/>
          <w:u w:val="single"/>
        </w:rPr>
      </w:pPr>
    </w:p>
    <w:p w14:paraId="5FE55D6F" w14:textId="77777777" w:rsidR="00730734" w:rsidRDefault="00730734" w:rsidP="006828AD">
      <w:pPr>
        <w:pStyle w:val="Heading1"/>
        <w:rPr>
          <w:b/>
          <w:bCs/>
          <w:u w:val="single"/>
        </w:rPr>
      </w:pPr>
    </w:p>
    <w:p w14:paraId="18932EF9" w14:textId="77777777" w:rsidR="00730734" w:rsidRDefault="00730734" w:rsidP="006828AD">
      <w:pPr>
        <w:pStyle w:val="Heading1"/>
        <w:rPr>
          <w:b/>
          <w:bCs/>
          <w:u w:val="single"/>
        </w:rPr>
      </w:pPr>
    </w:p>
    <w:p w14:paraId="717A35AC" w14:textId="77777777" w:rsidR="00730734" w:rsidRDefault="00730734" w:rsidP="006828AD">
      <w:pPr>
        <w:pStyle w:val="Heading1"/>
        <w:rPr>
          <w:b/>
          <w:bCs/>
          <w:u w:val="single"/>
        </w:rPr>
      </w:pPr>
    </w:p>
    <w:p w14:paraId="6F227306" w14:textId="77777777" w:rsidR="00730734" w:rsidRDefault="00730734" w:rsidP="006828AD">
      <w:pPr>
        <w:pStyle w:val="Heading1"/>
        <w:rPr>
          <w:b/>
          <w:bCs/>
          <w:u w:val="single"/>
        </w:rPr>
      </w:pPr>
    </w:p>
    <w:p w14:paraId="139E6954" w14:textId="77777777" w:rsidR="00730734" w:rsidRDefault="00730734" w:rsidP="006828AD">
      <w:pPr>
        <w:pStyle w:val="Heading1"/>
        <w:rPr>
          <w:b/>
          <w:bCs/>
          <w:u w:val="single"/>
        </w:rPr>
      </w:pPr>
    </w:p>
    <w:p w14:paraId="0B424092" w14:textId="626E93F0" w:rsidR="00730734" w:rsidRDefault="00730734" w:rsidP="006828AD">
      <w:pPr>
        <w:pStyle w:val="Heading1"/>
        <w:rPr>
          <w:b/>
          <w:bCs/>
          <w:u w:val="single"/>
        </w:rPr>
      </w:pPr>
    </w:p>
    <w:p w14:paraId="472E49DD" w14:textId="55D46E70" w:rsidR="00B76420" w:rsidRDefault="00B76420" w:rsidP="00B76420"/>
    <w:p w14:paraId="519D9FA5" w14:textId="77777777" w:rsidR="00B76420" w:rsidRPr="00B76420" w:rsidRDefault="00B76420" w:rsidP="00B76420"/>
    <w:p w14:paraId="09ABBEAC" w14:textId="6FBEF176" w:rsidR="0019263D" w:rsidRDefault="009E4D3D" w:rsidP="006828AD">
      <w:pPr>
        <w:pStyle w:val="Heading1"/>
        <w:rPr>
          <w:b/>
          <w:bCs/>
          <w:u w:val="single"/>
        </w:rPr>
      </w:pPr>
      <w:r w:rsidRPr="00D03D29">
        <w:rPr>
          <w:b/>
          <w:bCs/>
          <w:u w:val="single"/>
        </w:rPr>
        <w:t>Attachment A</w:t>
      </w:r>
      <w:r w:rsidR="000A3896" w:rsidRPr="00D03D29">
        <w:rPr>
          <w:b/>
          <w:bCs/>
          <w:u w:val="single"/>
        </w:rPr>
        <w:t xml:space="preserve">: </w:t>
      </w:r>
      <w:r w:rsidR="002F4692" w:rsidRPr="00D03D29">
        <w:rPr>
          <w:b/>
          <w:bCs/>
          <w:u w:val="single"/>
        </w:rPr>
        <w:t>Additional Information</w:t>
      </w:r>
      <w:r w:rsidR="00A0069E" w:rsidRPr="00D03D29">
        <w:rPr>
          <w:b/>
          <w:bCs/>
          <w:u w:val="single"/>
        </w:rPr>
        <w:t xml:space="preserve"> </w:t>
      </w:r>
      <w:r w:rsidRPr="00D03D29">
        <w:rPr>
          <w:b/>
          <w:bCs/>
          <w:u w:val="single"/>
        </w:rPr>
        <w:t>from</w:t>
      </w:r>
      <w:r w:rsidR="00A0069E" w:rsidRPr="00D03D29">
        <w:rPr>
          <w:b/>
          <w:bCs/>
          <w:u w:val="single"/>
        </w:rPr>
        <w:t xml:space="preserve"> Australian Government Websites</w:t>
      </w:r>
      <w:bookmarkEnd w:id="7"/>
      <w:r w:rsidR="00A0069E" w:rsidRPr="00D03D29">
        <w:rPr>
          <w:b/>
          <w:bCs/>
          <w:u w:val="single"/>
        </w:rPr>
        <w:t xml:space="preserve"> </w:t>
      </w:r>
    </w:p>
    <w:p w14:paraId="11120E5B" w14:textId="77777777" w:rsidR="006828AD" w:rsidRPr="006828AD" w:rsidRDefault="006828AD" w:rsidP="006828AD"/>
    <w:p w14:paraId="019661AA" w14:textId="7A25F457" w:rsidR="00323276" w:rsidRDefault="00323276" w:rsidP="00640426">
      <w:pPr>
        <w:spacing w:after="0" w:line="240" w:lineRule="auto"/>
        <w:rPr>
          <w:rFonts w:ascii="Times New Roman" w:hAnsi="Times New Roman" w:cs="Times New Roman"/>
          <w:sz w:val="24"/>
          <w:szCs w:val="24"/>
        </w:rPr>
      </w:pPr>
    </w:p>
    <w:p w14:paraId="3161B0A1" w14:textId="48BB140B" w:rsidR="00E95756" w:rsidRDefault="006E7C5E" w:rsidP="006E7C5E">
      <w:pPr>
        <w:pStyle w:val="Heading1"/>
        <w:rPr>
          <w:b/>
          <w:bCs/>
        </w:rPr>
      </w:pPr>
      <w:bookmarkStart w:id="8" w:name="_Toc90551585"/>
      <w:r w:rsidRPr="006E7C5E">
        <w:rPr>
          <w:b/>
          <w:bCs/>
        </w:rPr>
        <w:t xml:space="preserve">Attachment </w:t>
      </w:r>
      <w:r w:rsidR="00F07C70">
        <w:rPr>
          <w:b/>
          <w:bCs/>
        </w:rPr>
        <w:t>A</w:t>
      </w:r>
      <w:r w:rsidRPr="006E7C5E">
        <w:rPr>
          <w:b/>
          <w:bCs/>
        </w:rPr>
        <w:t xml:space="preserve">: </w:t>
      </w:r>
      <w:r w:rsidR="00CC0A0E">
        <w:rPr>
          <w:b/>
          <w:bCs/>
        </w:rPr>
        <w:t>Australian Bureau of Statistics</w:t>
      </w:r>
      <w:r w:rsidR="00B54BE8">
        <w:rPr>
          <w:b/>
          <w:bCs/>
        </w:rPr>
        <w:t xml:space="preserve"> (ABS)</w:t>
      </w:r>
      <w:r w:rsidR="00CC0A0E">
        <w:rPr>
          <w:b/>
          <w:bCs/>
        </w:rPr>
        <w:t xml:space="preserve"> – </w:t>
      </w:r>
      <w:r w:rsidR="00CC0A0E" w:rsidRPr="00FD6B82">
        <w:rPr>
          <w:b/>
          <w:bCs/>
          <w:i/>
          <w:iCs/>
        </w:rPr>
        <w:t>“</w:t>
      </w:r>
      <w:bookmarkStart w:id="9" w:name="_Hlk91155028"/>
      <w:r w:rsidR="00CC0A0E" w:rsidRPr="00FD6B82">
        <w:rPr>
          <w:b/>
          <w:bCs/>
          <w:i/>
          <w:iCs/>
        </w:rPr>
        <w:t>Estimates of Aboriginal and Torres Strait Islander Australians</w:t>
      </w:r>
      <w:bookmarkEnd w:id="9"/>
      <w:r w:rsidR="00CC0A0E" w:rsidRPr="00FD6B82">
        <w:rPr>
          <w:b/>
          <w:bCs/>
          <w:i/>
          <w:iCs/>
        </w:rPr>
        <w:t>”</w:t>
      </w:r>
      <w:bookmarkEnd w:id="8"/>
    </w:p>
    <w:p w14:paraId="7CBD7D2A" w14:textId="77777777" w:rsidR="006828AD" w:rsidRDefault="006828AD" w:rsidP="006828AD">
      <w:pPr>
        <w:spacing w:before="240" w:after="0" w:line="240" w:lineRule="auto"/>
        <w:rPr>
          <w:rFonts w:ascii="Times New Roman" w:hAnsi="Times New Roman" w:cs="Times New Roman"/>
          <w:b/>
          <w:bCs/>
          <w:sz w:val="24"/>
          <w:szCs w:val="24"/>
        </w:rPr>
      </w:pPr>
      <w:r w:rsidRPr="0019263D">
        <w:rPr>
          <w:rFonts w:ascii="Times New Roman" w:hAnsi="Times New Roman" w:cs="Times New Roman"/>
          <w:b/>
          <w:bCs/>
          <w:sz w:val="24"/>
          <w:szCs w:val="24"/>
        </w:rPr>
        <w:t xml:space="preserve">Australian Bureau of Statistics: </w:t>
      </w:r>
      <w:r>
        <w:rPr>
          <w:rFonts w:ascii="Times New Roman" w:hAnsi="Times New Roman" w:cs="Times New Roman"/>
          <w:b/>
          <w:bCs/>
          <w:sz w:val="24"/>
          <w:szCs w:val="24"/>
        </w:rPr>
        <w:t>T</w:t>
      </w:r>
      <w:r w:rsidRPr="0019263D">
        <w:rPr>
          <w:rFonts w:ascii="Times New Roman" w:hAnsi="Times New Roman" w:cs="Times New Roman"/>
          <w:b/>
          <w:bCs/>
          <w:sz w:val="24"/>
          <w:szCs w:val="24"/>
        </w:rPr>
        <w:t>he Centre of Aboriginal and Torres Strait Islander Statistics</w:t>
      </w:r>
    </w:p>
    <w:p w14:paraId="0C77B8BC" w14:textId="77777777" w:rsidR="006828AD" w:rsidRDefault="003232B6" w:rsidP="006828AD">
      <w:pPr>
        <w:spacing w:before="240" w:after="0" w:line="240" w:lineRule="auto"/>
        <w:rPr>
          <w:rFonts w:ascii="Times New Roman" w:hAnsi="Times New Roman" w:cs="Times New Roman"/>
          <w:sz w:val="24"/>
          <w:szCs w:val="24"/>
        </w:rPr>
      </w:pPr>
      <w:hyperlink r:id="rId15" w:history="1">
        <w:r w:rsidR="006828AD" w:rsidRPr="00FC103F">
          <w:rPr>
            <w:rStyle w:val="Hyperlink"/>
            <w:rFonts w:ascii="Times New Roman" w:hAnsi="Times New Roman" w:cs="Times New Roman"/>
            <w:sz w:val="24"/>
            <w:szCs w:val="24"/>
          </w:rPr>
          <w:t>https://www.abs.gov.au/about/aboriginal-and-torres-strait-islander-peoples/aboriginal-and-torres-strait-islander-engagement</w:t>
        </w:r>
      </w:hyperlink>
      <w:r w:rsidR="006828AD">
        <w:rPr>
          <w:rFonts w:ascii="Times New Roman" w:hAnsi="Times New Roman" w:cs="Times New Roman"/>
          <w:sz w:val="24"/>
          <w:szCs w:val="24"/>
        </w:rPr>
        <w:t xml:space="preserve"> </w:t>
      </w:r>
    </w:p>
    <w:p w14:paraId="67F6BD2A" w14:textId="5B4CBC7E" w:rsidR="006828AD" w:rsidRPr="0019263D" w:rsidRDefault="006828AD" w:rsidP="006828AD">
      <w:pPr>
        <w:spacing w:before="240" w:after="0" w:line="240" w:lineRule="auto"/>
        <w:rPr>
          <w:rFonts w:ascii="Times New Roman" w:hAnsi="Times New Roman" w:cs="Times New Roman"/>
          <w:sz w:val="24"/>
          <w:szCs w:val="24"/>
        </w:rPr>
      </w:pPr>
      <w:r>
        <w:rPr>
          <w:rFonts w:ascii="Times New Roman" w:hAnsi="Times New Roman" w:cs="Times New Roman"/>
          <w:sz w:val="24"/>
          <w:szCs w:val="24"/>
        </w:rPr>
        <w:t>The Australian Bureau of Statistics is</w:t>
      </w:r>
      <w:r w:rsidRPr="006828AD">
        <w:rPr>
          <w:rFonts w:ascii="Times New Roman" w:hAnsi="Times New Roman" w:cs="Times New Roman"/>
          <w:sz w:val="24"/>
          <w:szCs w:val="24"/>
        </w:rPr>
        <w:t xml:space="preserve"> Australia’s national statistical agency and an official source of independent, reliable information</w:t>
      </w:r>
      <w:r>
        <w:rPr>
          <w:rFonts w:ascii="Times New Roman" w:hAnsi="Times New Roman" w:cs="Times New Roman"/>
          <w:sz w:val="24"/>
          <w:szCs w:val="24"/>
        </w:rPr>
        <w:t xml:space="preserve">. </w:t>
      </w:r>
      <w:r w:rsidRPr="0019263D">
        <w:rPr>
          <w:rFonts w:ascii="Times New Roman" w:hAnsi="Times New Roman" w:cs="Times New Roman"/>
          <w:sz w:val="24"/>
          <w:szCs w:val="24"/>
        </w:rPr>
        <w:t>The</w:t>
      </w:r>
      <w:r>
        <w:rPr>
          <w:rFonts w:ascii="Times New Roman" w:hAnsi="Times New Roman" w:cs="Times New Roman"/>
          <w:sz w:val="24"/>
          <w:szCs w:val="24"/>
        </w:rPr>
        <w:t xml:space="preserve"> ABS</w:t>
      </w:r>
      <w:r w:rsidRPr="0019263D">
        <w:rPr>
          <w:rFonts w:ascii="Times New Roman" w:hAnsi="Times New Roman" w:cs="Times New Roman"/>
          <w:sz w:val="24"/>
          <w:szCs w:val="24"/>
        </w:rPr>
        <w:t xml:space="preserve"> Centre of Aboriginal and Torres Strait Islander Statistics (CoATSIS) has a leadership and coordination role for national statistical activity about Aboriginal and Torres Strait Islander peoples. CoATSIS is dedicated to early and ongoing conversations with Aboriginal and Torres Strait Islander peoples to increase participation in, and the relevance of, ABS statistical collections. They engage with communities across a range of statistical activities and outputs from Indigenous specific surveys such as the Aboriginal and Torres Strait Islander health and social surveys, the five yearly Census, administrative data, and data integration projects.</w:t>
      </w:r>
      <w:r>
        <w:rPr>
          <w:rFonts w:ascii="Times New Roman" w:hAnsi="Times New Roman" w:cs="Times New Roman"/>
          <w:sz w:val="24"/>
          <w:szCs w:val="24"/>
        </w:rPr>
        <w:t>”</w:t>
      </w:r>
    </w:p>
    <w:p w14:paraId="29448A52" w14:textId="77777777" w:rsidR="00E95756" w:rsidRDefault="00E95756" w:rsidP="00E95756"/>
    <w:p w14:paraId="547A2DD5" w14:textId="77777777" w:rsidR="006828AD" w:rsidRDefault="00CC0A0E" w:rsidP="006828AD">
      <w:r>
        <w:t xml:space="preserve"> </w:t>
      </w:r>
    </w:p>
    <w:p w14:paraId="753F8CA7" w14:textId="1037A1C2" w:rsidR="00FD6B82" w:rsidRPr="006701C8" w:rsidRDefault="00FD6B82" w:rsidP="006828AD">
      <w:pPr>
        <w:rPr>
          <w:rFonts w:ascii="Times New Roman" w:hAnsi="Times New Roman" w:cs="Times New Roman"/>
          <w:b/>
          <w:bCs/>
          <w:sz w:val="24"/>
          <w:szCs w:val="24"/>
        </w:rPr>
      </w:pPr>
      <w:r>
        <w:rPr>
          <w:rFonts w:ascii="Times New Roman" w:hAnsi="Times New Roman" w:cs="Times New Roman"/>
          <w:sz w:val="24"/>
          <w:szCs w:val="24"/>
        </w:rPr>
        <w:t>C</w:t>
      </w:r>
      <w:r w:rsidRPr="006701C8">
        <w:rPr>
          <w:rFonts w:ascii="Times New Roman" w:hAnsi="Times New Roman" w:cs="Times New Roman"/>
          <w:b/>
          <w:bCs/>
          <w:sz w:val="24"/>
          <w:szCs w:val="24"/>
        </w:rPr>
        <w:t xml:space="preserve">omment: The following images on pages </w:t>
      </w:r>
      <w:r>
        <w:rPr>
          <w:rFonts w:ascii="Times New Roman" w:hAnsi="Times New Roman" w:cs="Times New Roman"/>
          <w:b/>
          <w:bCs/>
          <w:sz w:val="24"/>
          <w:szCs w:val="24"/>
        </w:rPr>
        <w:t>20 - 21</w:t>
      </w:r>
      <w:r w:rsidRPr="006701C8">
        <w:rPr>
          <w:rFonts w:ascii="Times New Roman" w:hAnsi="Times New Roman" w:cs="Times New Roman"/>
          <w:b/>
          <w:bCs/>
          <w:sz w:val="24"/>
          <w:szCs w:val="24"/>
        </w:rPr>
        <w:t xml:space="preserve"> are screen shots from sections of the </w:t>
      </w:r>
      <w:r>
        <w:rPr>
          <w:rFonts w:ascii="Times New Roman" w:hAnsi="Times New Roman" w:cs="Times New Roman"/>
          <w:b/>
          <w:bCs/>
          <w:sz w:val="24"/>
          <w:szCs w:val="24"/>
        </w:rPr>
        <w:t xml:space="preserve">ABS website that report on population estimates for Aboriginal and Torres Strait Islanders. </w:t>
      </w:r>
      <w:r w:rsidR="006828AD">
        <w:rPr>
          <w:rFonts w:ascii="Times New Roman" w:hAnsi="Times New Roman" w:cs="Times New Roman"/>
          <w:b/>
          <w:bCs/>
          <w:sz w:val="24"/>
          <w:szCs w:val="24"/>
        </w:rPr>
        <w:t>More information is available at this link:</w:t>
      </w:r>
      <w:r w:rsidR="006828AD" w:rsidRPr="006828AD">
        <w:t xml:space="preserve"> </w:t>
      </w:r>
      <w:hyperlink r:id="rId16" w:history="1">
        <w:r w:rsidR="006828AD" w:rsidRPr="000600E1">
          <w:rPr>
            <w:rStyle w:val="Hyperlink"/>
          </w:rPr>
          <w:t>https://www.abs.gov.au/statistics/people/aboriginal-and-torres-strait-islander-peoples/estimates-aboriginal-and-torres-strait-islander-australians/latest-release</w:t>
        </w:r>
      </w:hyperlink>
      <w:r w:rsidR="006828AD">
        <w:rPr>
          <w:rFonts w:ascii="Times New Roman" w:hAnsi="Times New Roman" w:cs="Times New Roman"/>
          <w:b/>
          <w:bCs/>
          <w:sz w:val="24"/>
          <w:szCs w:val="24"/>
        </w:rPr>
        <w:t xml:space="preserve"> </w:t>
      </w:r>
    </w:p>
    <w:p w14:paraId="01688C73" w14:textId="1E190C87" w:rsidR="00CB78A8" w:rsidRDefault="00CB78A8" w:rsidP="00E95756"/>
    <w:p w14:paraId="42025AA1" w14:textId="77777777" w:rsidR="00FD6B82" w:rsidRDefault="00FD6B82" w:rsidP="00E95756"/>
    <w:p w14:paraId="13310FDD" w14:textId="7A04310E" w:rsidR="00CB78A8" w:rsidRDefault="00CB78A8" w:rsidP="00E95756">
      <w:r w:rsidRPr="00CB78A8">
        <w:rPr>
          <w:noProof/>
          <w:lang w:val="en-GB" w:eastAsia="en-GB"/>
        </w:rPr>
        <w:drawing>
          <wp:inline distT="0" distB="0" distL="0" distR="0" wp14:anchorId="0DDAEF95" wp14:editId="3B566CDB">
            <wp:extent cx="5548691" cy="5915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95"/>
                    <a:stretch/>
                  </pic:blipFill>
                  <pic:spPr bwMode="auto">
                    <a:xfrm>
                      <a:off x="0" y="0"/>
                      <a:ext cx="5563066" cy="5930349"/>
                    </a:xfrm>
                    <a:prstGeom prst="rect">
                      <a:avLst/>
                    </a:prstGeom>
                    <a:ln>
                      <a:noFill/>
                    </a:ln>
                    <a:extLst>
                      <a:ext uri="{53640926-AAD7-44D8-BBD7-CCE9431645EC}">
                        <a14:shadowObscured xmlns:a14="http://schemas.microsoft.com/office/drawing/2010/main"/>
                      </a:ext>
                    </a:extLst>
                  </pic:spPr>
                </pic:pic>
              </a:graphicData>
            </a:graphic>
          </wp:inline>
        </w:drawing>
      </w:r>
    </w:p>
    <w:p w14:paraId="2310F0A2" w14:textId="77777777" w:rsidR="00CB78A8" w:rsidRDefault="00CB78A8" w:rsidP="00E95756"/>
    <w:p w14:paraId="24E24E4A" w14:textId="053D99BF" w:rsidR="00CB78A8" w:rsidRDefault="00CB78A8" w:rsidP="00E95756">
      <w:r w:rsidRPr="00CB78A8">
        <w:rPr>
          <w:noProof/>
          <w:lang w:val="en-GB" w:eastAsia="en-GB"/>
        </w:rPr>
        <w:drawing>
          <wp:inline distT="0" distB="0" distL="0" distR="0" wp14:anchorId="636171CC" wp14:editId="0122A9BA">
            <wp:extent cx="5495925" cy="4115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7332" cy="4124092"/>
                    </a:xfrm>
                    <a:prstGeom prst="rect">
                      <a:avLst/>
                    </a:prstGeom>
                  </pic:spPr>
                </pic:pic>
              </a:graphicData>
            </a:graphic>
          </wp:inline>
        </w:drawing>
      </w:r>
    </w:p>
    <w:p w14:paraId="273FF8F3" w14:textId="0648ACD6" w:rsidR="00CB78A8" w:rsidRDefault="00CB78A8" w:rsidP="00E95756">
      <w:r w:rsidRPr="00CB78A8">
        <w:rPr>
          <w:noProof/>
          <w:lang w:val="en-GB" w:eastAsia="en-GB"/>
        </w:rPr>
        <w:drawing>
          <wp:inline distT="0" distB="0" distL="0" distR="0" wp14:anchorId="2D1B31B6" wp14:editId="3CB05B20">
            <wp:extent cx="5238688" cy="38100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7116"/>
                    <a:stretch/>
                  </pic:blipFill>
                  <pic:spPr bwMode="auto">
                    <a:xfrm>
                      <a:off x="0" y="0"/>
                      <a:ext cx="5248165" cy="3816893"/>
                    </a:xfrm>
                    <a:prstGeom prst="rect">
                      <a:avLst/>
                    </a:prstGeom>
                    <a:ln>
                      <a:noFill/>
                    </a:ln>
                    <a:extLst>
                      <a:ext uri="{53640926-AAD7-44D8-BBD7-CCE9431645EC}">
                        <a14:shadowObscured xmlns:a14="http://schemas.microsoft.com/office/drawing/2010/main"/>
                      </a:ext>
                    </a:extLst>
                  </pic:spPr>
                </pic:pic>
              </a:graphicData>
            </a:graphic>
          </wp:inline>
        </w:drawing>
      </w:r>
    </w:p>
    <w:p w14:paraId="52157F58" w14:textId="1DC33FFE" w:rsidR="00CB78A8" w:rsidRDefault="00CB78A8" w:rsidP="00E95756"/>
    <w:p w14:paraId="667AB1C3" w14:textId="77777777" w:rsidR="00CB78A8" w:rsidRPr="006E7C5E" w:rsidRDefault="00CB78A8" w:rsidP="00E95756"/>
    <w:sectPr w:rsidR="00CB78A8" w:rsidRPr="006E7C5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F47E" w14:textId="77777777" w:rsidR="0083399F" w:rsidRDefault="0083399F" w:rsidP="00F80397">
      <w:pPr>
        <w:spacing w:after="0" w:line="240" w:lineRule="auto"/>
      </w:pPr>
      <w:r>
        <w:separator/>
      </w:r>
    </w:p>
  </w:endnote>
  <w:endnote w:type="continuationSeparator" w:id="0">
    <w:p w14:paraId="2E0F7F75" w14:textId="77777777" w:rsidR="0083399F" w:rsidRDefault="0083399F" w:rsidP="00F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8469"/>
      <w:docPartObj>
        <w:docPartGallery w:val="Page Numbers (Bottom of Page)"/>
        <w:docPartUnique/>
      </w:docPartObj>
    </w:sdtPr>
    <w:sdtEndPr>
      <w:rPr>
        <w:noProof/>
      </w:rPr>
    </w:sdtEndPr>
    <w:sdtContent>
      <w:p w14:paraId="26E0551F" w14:textId="584376F1" w:rsidR="00AE723E" w:rsidRDefault="00AE723E">
        <w:pPr>
          <w:pStyle w:val="Footer"/>
          <w:jc w:val="right"/>
        </w:pPr>
        <w:r>
          <w:fldChar w:fldCharType="begin"/>
        </w:r>
        <w:r>
          <w:instrText xml:space="preserve"> PAGE   \* MERGEFORMAT </w:instrText>
        </w:r>
        <w:r>
          <w:fldChar w:fldCharType="separate"/>
        </w:r>
        <w:r w:rsidR="003232B6">
          <w:rPr>
            <w:noProof/>
          </w:rPr>
          <w:t>1</w:t>
        </w:r>
        <w:r>
          <w:rPr>
            <w:noProof/>
          </w:rPr>
          <w:fldChar w:fldCharType="end"/>
        </w:r>
      </w:p>
    </w:sdtContent>
  </w:sdt>
  <w:p w14:paraId="1A856864" w14:textId="77777777" w:rsidR="00CB78A8" w:rsidRDefault="00CB78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4FCB" w14:textId="77777777" w:rsidR="0083399F" w:rsidRDefault="0083399F" w:rsidP="00F80397">
      <w:pPr>
        <w:spacing w:after="0" w:line="240" w:lineRule="auto"/>
      </w:pPr>
      <w:r>
        <w:separator/>
      </w:r>
    </w:p>
  </w:footnote>
  <w:footnote w:type="continuationSeparator" w:id="0">
    <w:p w14:paraId="2F8B8EA4" w14:textId="77777777" w:rsidR="0083399F" w:rsidRDefault="0083399F" w:rsidP="00F8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A21B" w14:textId="46931F3C" w:rsidR="0087355F" w:rsidRDefault="0087355F">
    <w:pPr>
      <w:pStyle w:val="Header"/>
    </w:pPr>
  </w:p>
  <w:p w14:paraId="25C0C959" w14:textId="77777777" w:rsidR="0087355F" w:rsidRDefault="00873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6B8"/>
    <w:multiLevelType w:val="hybridMultilevel"/>
    <w:tmpl w:val="051665C8"/>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DF0D54"/>
    <w:multiLevelType w:val="hybridMultilevel"/>
    <w:tmpl w:val="26D2C49C"/>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25904"/>
    <w:multiLevelType w:val="hybridMultilevel"/>
    <w:tmpl w:val="6156B47C"/>
    <w:lvl w:ilvl="0" w:tplc="5A6A1AFE">
      <w:numFmt w:val="bullet"/>
      <w:lvlText w:val="•"/>
      <w:lvlJc w:val="left"/>
      <w:pPr>
        <w:ind w:left="1440" w:hanging="72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846D2A"/>
    <w:multiLevelType w:val="hybridMultilevel"/>
    <w:tmpl w:val="6D68897C"/>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A6EAB"/>
    <w:multiLevelType w:val="hybridMultilevel"/>
    <w:tmpl w:val="C3F28D6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034D8"/>
    <w:multiLevelType w:val="hybridMultilevel"/>
    <w:tmpl w:val="095C4F1E"/>
    <w:lvl w:ilvl="0" w:tplc="0C090001">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567592"/>
    <w:multiLevelType w:val="hybridMultilevel"/>
    <w:tmpl w:val="6AA4A710"/>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C6C6E"/>
    <w:multiLevelType w:val="hybridMultilevel"/>
    <w:tmpl w:val="F33ABC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5DC3BAE"/>
    <w:multiLevelType w:val="multilevel"/>
    <w:tmpl w:val="729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F2086"/>
    <w:multiLevelType w:val="multilevel"/>
    <w:tmpl w:val="DE2489C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F60C48"/>
    <w:multiLevelType w:val="hybridMultilevel"/>
    <w:tmpl w:val="B544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F58D2"/>
    <w:multiLevelType w:val="hybridMultilevel"/>
    <w:tmpl w:val="C09A5998"/>
    <w:lvl w:ilvl="0" w:tplc="5A6A1AFE">
      <w:numFmt w:val="bullet"/>
      <w:lvlText w:val="•"/>
      <w:lvlJc w:val="left"/>
      <w:pPr>
        <w:ind w:left="720" w:hanging="72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1A3898"/>
    <w:multiLevelType w:val="hybridMultilevel"/>
    <w:tmpl w:val="BE960D8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A01C0"/>
    <w:multiLevelType w:val="hybridMultilevel"/>
    <w:tmpl w:val="8D08D438"/>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A5E21"/>
    <w:multiLevelType w:val="hybridMultilevel"/>
    <w:tmpl w:val="E028E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8AF56AB"/>
    <w:multiLevelType w:val="hybridMultilevel"/>
    <w:tmpl w:val="5350765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2DBF"/>
    <w:multiLevelType w:val="hybridMultilevel"/>
    <w:tmpl w:val="F1969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611851"/>
    <w:multiLevelType w:val="multilevel"/>
    <w:tmpl w:val="0BEEF2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3AD17C5"/>
    <w:multiLevelType w:val="hybridMultilevel"/>
    <w:tmpl w:val="052CBFB2"/>
    <w:lvl w:ilvl="0" w:tplc="19ECCE7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B159F"/>
    <w:multiLevelType w:val="multilevel"/>
    <w:tmpl w:val="3C481E52"/>
    <w:lvl w:ilvl="0">
      <w:start w:val="9"/>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74B93243"/>
    <w:multiLevelType w:val="hybridMultilevel"/>
    <w:tmpl w:val="AF8AC01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4F47CF5"/>
    <w:multiLevelType w:val="hybridMultilevel"/>
    <w:tmpl w:val="20884C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FD7ABE"/>
    <w:multiLevelType w:val="hybridMultilevel"/>
    <w:tmpl w:val="3C70F520"/>
    <w:lvl w:ilvl="0" w:tplc="5A6A1AFE">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0"/>
  </w:num>
  <w:num w:numId="4">
    <w:abstractNumId w:val="19"/>
  </w:num>
  <w:num w:numId="5">
    <w:abstractNumId w:val="9"/>
  </w:num>
  <w:num w:numId="6">
    <w:abstractNumId w:val="17"/>
  </w:num>
  <w:num w:numId="7">
    <w:abstractNumId w:val="7"/>
  </w:num>
  <w:num w:numId="8">
    <w:abstractNumId w:val="18"/>
  </w:num>
  <w:num w:numId="9">
    <w:abstractNumId w:val="10"/>
  </w:num>
  <w:num w:numId="10">
    <w:abstractNumId w:val="11"/>
  </w:num>
  <w:num w:numId="11">
    <w:abstractNumId w:val="13"/>
  </w:num>
  <w:num w:numId="12">
    <w:abstractNumId w:val="22"/>
  </w:num>
  <w:num w:numId="13">
    <w:abstractNumId w:val="1"/>
  </w:num>
  <w:num w:numId="14">
    <w:abstractNumId w:val="2"/>
  </w:num>
  <w:num w:numId="15">
    <w:abstractNumId w:val="4"/>
  </w:num>
  <w:num w:numId="16">
    <w:abstractNumId w:val="15"/>
  </w:num>
  <w:num w:numId="17">
    <w:abstractNumId w:val="6"/>
  </w:num>
  <w:num w:numId="18">
    <w:abstractNumId w:val="3"/>
  </w:num>
  <w:num w:numId="19">
    <w:abstractNumId w:val="12"/>
  </w:num>
  <w:num w:numId="20">
    <w:abstractNumId w:val="8"/>
  </w:num>
  <w:num w:numId="21">
    <w:abstractNumId w:val="2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NDc3sjAxNbW0NDFS0lEKTi0uzszPAykwrAUAS80D+CwAAAA="/>
  </w:docVars>
  <w:rsids>
    <w:rsidRoot w:val="00DB7A92"/>
    <w:rsid w:val="0000280A"/>
    <w:rsid w:val="0001067F"/>
    <w:rsid w:val="0003234C"/>
    <w:rsid w:val="00033F20"/>
    <w:rsid w:val="000460F5"/>
    <w:rsid w:val="00047455"/>
    <w:rsid w:val="00052210"/>
    <w:rsid w:val="00071367"/>
    <w:rsid w:val="00073491"/>
    <w:rsid w:val="00073DB1"/>
    <w:rsid w:val="00075777"/>
    <w:rsid w:val="000763A2"/>
    <w:rsid w:val="000854A0"/>
    <w:rsid w:val="00097951"/>
    <w:rsid w:val="000A3896"/>
    <w:rsid w:val="000A3C92"/>
    <w:rsid w:val="000B5BA1"/>
    <w:rsid w:val="000C73F5"/>
    <w:rsid w:val="000D0D9B"/>
    <w:rsid w:val="000E2CA1"/>
    <w:rsid w:val="000E430C"/>
    <w:rsid w:val="000E6F47"/>
    <w:rsid w:val="000F1076"/>
    <w:rsid w:val="0010126C"/>
    <w:rsid w:val="00101CCA"/>
    <w:rsid w:val="0010795D"/>
    <w:rsid w:val="001622BE"/>
    <w:rsid w:val="001647E7"/>
    <w:rsid w:val="001759FA"/>
    <w:rsid w:val="001767FE"/>
    <w:rsid w:val="0019263D"/>
    <w:rsid w:val="00192AE1"/>
    <w:rsid w:val="001A0DB0"/>
    <w:rsid w:val="001A1EA4"/>
    <w:rsid w:val="001A38C9"/>
    <w:rsid w:val="001A73B4"/>
    <w:rsid w:val="001B33B3"/>
    <w:rsid w:val="001D54E5"/>
    <w:rsid w:val="001E3260"/>
    <w:rsid w:val="001E384E"/>
    <w:rsid w:val="001F3B5D"/>
    <w:rsid w:val="00202829"/>
    <w:rsid w:val="002126A7"/>
    <w:rsid w:val="00222886"/>
    <w:rsid w:val="00224CA7"/>
    <w:rsid w:val="00227A8D"/>
    <w:rsid w:val="0023182F"/>
    <w:rsid w:val="00246607"/>
    <w:rsid w:val="00247570"/>
    <w:rsid w:val="00247F4F"/>
    <w:rsid w:val="0026202D"/>
    <w:rsid w:val="00267750"/>
    <w:rsid w:val="00287179"/>
    <w:rsid w:val="002C2413"/>
    <w:rsid w:val="002C6AF5"/>
    <w:rsid w:val="002C72BD"/>
    <w:rsid w:val="002D2866"/>
    <w:rsid w:val="002E7BA7"/>
    <w:rsid w:val="002F068E"/>
    <w:rsid w:val="002F4692"/>
    <w:rsid w:val="00300EF7"/>
    <w:rsid w:val="00316764"/>
    <w:rsid w:val="00322406"/>
    <w:rsid w:val="00323276"/>
    <w:rsid w:val="003232B6"/>
    <w:rsid w:val="00360B2A"/>
    <w:rsid w:val="003627DB"/>
    <w:rsid w:val="00375E9C"/>
    <w:rsid w:val="0038711C"/>
    <w:rsid w:val="003B2319"/>
    <w:rsid w:val="003C38EE"/>
    <w:rsid w:val="003D0A8F"/>
    <w:rsid w:val="003D4F15"/>
    <w:rsid w:val="003E46A4"/>
    <w:rsid w:val="003F0AF3"/>
    <w:rsid w:val="003F495F"/>
    <w:rsid w:val="004074E3"/>
    <w:rsid w:val="004203F4"/>
    <w:rsid w:val="00432F12"/>
    <w:rsid w:val="00435B45"/>
    <w:rsid w:val="00455984"/>
    <w:rsid w:val="00463865"/>
    <w:rsid w:val="00475B82"/>
    <w:rsid w:val="004B153A"/>
    <w:rsid w:val="004C4456"/>
    <w:rsid w:val="004D57D9"/>
    <w:rsid w:val="004E6D2D"/>
    <w:rsid w:val="004F7749"/>
    <w:rsid w:val="00503DFA"/>
    <w:rsid w:val="00517F30"/>
    <w:rsid w:val="00531580"/>
    <w:rsid w:val="00535F01"/>
    <w:rsid w:val="00537B79"/>
    <w:rsid w:val="005406DB"/>
    <w:rsid w:val="00542596"/>
    <w:rsid w:val="00557DEB"/>
    <w:rsid w:val="00560A94"/>
    <w:rsid w:val="00565A2C"/>
    <w:rsid w:val="005708E5"/>
    <w:rsid w:val="005756A3"/>
    <w:rsid w:val="005829EC"/>
    <w:rsid w:val="00585E7A"/>
    <w:rsid w:val="00597B08"/>
    <w:rsid w:val="005A1350"/>
    <w:rsid w:val="005A751F"/>
    <w:rsid w:val="005F7118"/>
    <w:rsid w:val="0061324A"/>
    <w:rsid w:val="00640426"/>
    <w:rsid w:val="00652E57"/>
    <w:rsid w:val="00656121"/>
    <w:rsid w:val="00662DF5"/>
    <w:rsid w:val="006701C8"/>
    <w:rsid w:val="00671A99"/>
    <w:rsid w:val="006749C0"/>
    <w:rsid w:val="00674A93"/>
    <w:rsid w:val="006828AD"/>
    <w:rsid w:val="00683ECF"/>
    <w:rsid w:val="006921EB"/>
    <w:rsid w:val="006960ED"/>
    <w:rsid w:val="006C0C47"/>
    <w:rsid w:val="006C5257"/>
    <w:rsid w:val="006D425B"/>
    <w:rsid w:val="006D44A6"/>
    <w:rsid w:val="006E7C5E"/>
    <w:rsid w:val="00712185"/>
    <w:rsid w:val="0072718B"/>
    <w:rsid w:val="00730734"/>
    <w:rsid w:val="00743D05"/>
    <w:rsid w:val="007619E2"/>
    <w:rsid w:val="007A0E3E"/>
    <w:rsid w:val="007A186B"/>
    <w:rsid w:val="007B3438"/>
    <w:rsid w:val="007B5514"/>
    <w:rsid w:val="007B74E2"/>
    <w:rsid w:val="007E1BF2"/>
    <w:rsid w:val="00806EA5"/>
    <w:rsid w:val="00816653"/>
    <w:rsid w:val="0083387A"/>
    <w:rsid w:val="0083399F"/>
    <w:rsid w:val="00835B83"/>
    <w:rsid w:val="008370C8"/>
    <w:rsid w:val="00837C67"/>
    <w:rsid w:val="00866F07"/>
    <w:rsid w:val="008678F9"/>
    <w:rsid w:val="0087355F"/>
    <w:rsid w:val="00873A29"/>
    <w:rsid w:val="00890A00"/>
    <w:rsid w:val="008C610C"/>
    <w:rsid w:val="008D3468"/>
    <w:rsid w:val="008D782E"/>
    <w:rsid w:val="008E4C1D"/>
    <w:rsid w:val="008E7159"/>
    <w:rsid w:val="008E79B7"/>
    <w:rsid w:val="008F2974"/>
    <w:rsid w:val="008F4ECD"/>
    <w:rsid w:val="008F6D5B"/>
    <w:rsid w:val="008F7925"/>
    <w:rsid w:val="00902A9A"/>
    <w:rsid w:val="00910CD4"/>
    <w:rsid w:val="00930D9F"/>
    <w:rsid w:val="00933868"/>
    <w:rsid w:val="00950D56"/>
    <w:rsid w:val="009537C3"/>
    <w:rsid w:val="009A595F"/>
    <w:rsid w:val="009A767C"/>
    <w:rsid w:val="009A7B3C"/>
    <w:rsid w:val="009A7B4F"/>
    <w:rsid w:val="009B2F86"/>
    <w:rsid w:val="009C0F88"/>
    <w:rsid w:val="009D38C3"/>
    <w:rsid w:val="009D64EC"/>
    <w:rsid w:val="009E4D3D"/>
    <w:rsid w:val="009F42C3"/>
    <w:rsid w:val="00A0069E"/>
    <w:rsid w:val="00A2019B"/>
    <w:rsid w:val="00A37750"/>
    <w:rsid w:val="00A3775B"/>
    <w:rsid w:val="00A37911"/>
    <w:rsid w:val="00A44ECD"/>
    <w:rsid w:val="00A4509C"/>
    <w:rsid w:val="00A47FA8"/>
    <w:rsid w:val="00A631F8"/>
    <w:rsid w:val="00A80426"/>
    <w:rsid w:val="00A8378D"/>
    <w:rsid w:val="00AA3F44"/>
    <w:rsid w:val="00AA3FBA"/>
    <w:rsid w:val="00AB007F"/>
    <w:rsid w:val="00AB465E"/>
    <w:rsid w:val="00AC21C9"/>
    <w:rsid w:val="00AC34E8"/>
    <w:rsid w:val="00AC57F2"/>
    <w:rsid w:val="00AC6F50"/>
    <w:rsid w:val="00AE0A55"/>
    <w:rsid w:val="00AE4439"/>
    <w:rsid w:val="00AE723E"/>
    <w:rsid w:val="00AF4EAC"/>
    <w:rsid w:val="00AF61CD"/>
    <w:rsid w:val="00AF641A"/>
    <w:rsid w:val="00B15CE3"/>
    <w:rsid w:val="00B23759"/>
    <w:rsid w:val="00B24BB9"/>
    <w:rsid w:val="00B54BE8"/>
    <w:rsid w:val="00B566E2"/>
    <w:rsid w:val="00B72447"/>
    <w:rsid w:val="00B76420"/>
    <w:rsid w:val="00B8676D"/>
    <w:rsid w:val="00B95161"/>
    <w:rsid w:val="00BA2520"/>
    <w:rsid w:val="00BA79B3"/>
    <w:rsid w:val="00BB44C7"/>
    <w:rsid w:val="00BC6297"/>
    <w:rsid w:val="00BD1AEF"/>
    <w:rsid w:val="00BD719E"/>
    <w:rsid w:val="00BE7E40"/>
    <w:rsid w:val="00C1195A"/>
    <w:rsid w:val="00C12AFE"/>
    <w:rsid w:val="00C208AD"/>
    <w:rsid w:val="00C21DB0"/>
    <w:rsid w:val="00C53895"/>
    <w:rsid w:val="00C56E1F"/>
    <w:rsid w:val="00C7497F"/>
    <w:rsid w:val="00C873BE"/>
    <w:rsid w:val="00C9305C"/>
    <w:rsid w:val="00C94039"/>
    <w:rsid w:val="00C9599D"/>
    <w:rsid w:val="00CA27B3"/>
    <w:rsid w:val="00CB78A8"/>
    <w:rsid w:val="00CC0A0E"/>
    <w:rsid w:val="00CC1E74"/>
    <w:rsid w:val="00CF2AE7"/>
    <w:rsid w:val="00CF6FB5"/>
    <w:rsid w:val="00D0019D"/>
    <w:rsid w:val="00D03D29"/>
    <w:rsid w:val="00D07B11"/>
    <w:rsid w:val="00D30011"/>
    <w:rsid w:val="00D55ADA"/>
    <w:rsid w:val="00D75ACF"/>
    <w:rsid w:val="00D86AF2"/>
    <w:rsid w:val="00DA1693"/>
    <w:rsid w:val="00DA1834"/>
    <w:rsid w:val="00DA3BCA"/>
    <w:rsid w:val="00DA4535"/>
    <w:rsid w:val="00DA7376"/>
    <w:rsid w:val="00DB19F6"/>
    <w:rsid w:val="00DB7A92"/>
    <w:rsid w:val="00DE0A13"/>
    <w:rsid w:val="00E07CBD"/>
    <w:rsid w:val="00E26C4D"/>
    <w:rsid w:val="00E27F1A"/>
    <w:rsid w:val="00E41291"/>
    <w:rsid w:val="00E524FF"/>
    <w:rsid w:val="00E60C61"/>
    <w:rsid w:val="00E80B51"/>
    <w:rsid w:val="00E857AD"/>
    <w:rsid w:val="00E87272"/>
    <w:rsid w:val="00E91F7A"/>
    <w:rsid w:val="00E92BB9"/>
    <w:rsid w:val="00E95756"/>
    <w:rsid w:val="00E962A4"/>
    <w:rsid w:val="00EB28B4"/>
    <w:rsid w:val="00ED0A0B"/>
    <w:rsid w:val="00EF423F"/>
    <w:rsid w:val="00F07C70"/>
    <w:rsid w:val="00F1062A"/>
    <w:rsid w:val="00F2145B"/>
    <w:rsid w:val="00F23555"/>
    <w:rsid w:val="00F25361"/>
    <w:rsid w:val="00F26250"/>
    <w:rsid w:val="00F3001D"/>
    <w:rsid w:val="00F3241A"/>
    <w:rsid w:val="00F708DF"/>
    <w:rsid w:val="00F80397"/>
    <w:rsid w:val="00F93308"/>
    <w:rsid w:val="00FB08DA"/>
    <w:rsid w:val="00FC00A2"/>
    <w:rsid w:val="00FC23D2"/>
    <w:rsid w:val="00FC4D56"/>
    <w:rsid w:val="00FC745E"/>
    <w:rsid w:val="00FD1E62"/>
    <w:rsid w:val="00FD592E"/>
    <w:rsid w:val="00FD6B82"/>
    <w:rsid w:val="00FF586E"/>
    <w:rsid w:val="00FF7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CD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6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70C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006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F4"/>
    <w:pPr>
      <w:ind w:left="720"/>
      <w:contextualSpacing/>
    </w:pPr>
  </w:style>
  <w:style w:type="character" w:styleId="CommentReference">
    <w:name w:val="annotation reference"/>
    <w:basedOn w:val="DefaultParagraphFont"/>
    <w:uiPriority w:val="99"/>
    <w:semiHidden/>
    <w:unhideWhenUsed/>
    <w:rsid w:val="00656121"/>
    <w:rPr>
      <w:sz w:val="16"/>
      <w:szCs w:val="16"/>
    </w:rPr>
  </w:style>
  <w:style w:type="paragraph" w:styleId="CommentText">
    <w:name w:val="annotation text"/>
    <w:basedOn w:val="Normal"/>
    <w:link w:val="CommentTextChar"/>
    <w:uiPriority w:val="99"/>
    <w:semiHidden/>
    <w:unhideWhenUsed/>
    <w:rsid w:val="00656121"/>
    <w:pPr>
      <w:spacing w:line="240" w:lineRule="auto"/>
    </w:pPr>
    <w:rPr>
      <w:sz w:val="20"/>
      <w:szCs w:val="20"/>
    </w:rPr>
  </w:style>
  <w:style w:type="character" w:customStyle="1" w:styleId="CommentTextChar">
    <w:name w:val="Comment Text Char"/>
    <w:basedOn w:val="DefaultParagraphFont"/>
    <w:link w:val="CommentText"/>
    <w:uiPriority w:val="99"/>
    <w:semiHidden/>
    <w:rsid w:val="00656121"/>
    <w:rPr>
      <w:sz w:val="20"/>
      <w:szCs w:val="20"/>
    </w:rPr>
  </w:style>
  <w:style w:type="paragraph" w:styleId="CommentSubject">
    <w:name w:val="annotation subject"/>
    <w:basedOn w:val="CommentText"/>
    <w:next w:val="CommentText"/>
    <w:link w:val="CommentSubjectChar"/>
    <w:uiPriority w:val="99"/>
    <w:semiHidden/>
    <w:unhideWhenUsed/>
    <w:rsid w:val="00656121"/>
    <w:rPr>
      <w:b/>
      <w:bCs/>
    </w:rPr>
  </w:style>
  <w:style w:type="character" w:customStyle="1" w:styleId="CommentSubjectChar">
    <w:name w:val="Comment Subject Char"/>
    <w:basedOn w:val="CommentTextChar"/>
    <w:link w:val="CommentSubject"/>
    <w:uiPriority w:val="99"/>
    <w:semiHidden/>
    <w:rsid w:val="00656121"/>
    <w:rPr>
      <w:b/>
      <w:bCs/>
      <w:sz w:val="20"/>
      <w:szCs w:val="20"/>
    </w:rPr>
  </w:style>
  <w:style w:type="paragraph" w:styleId="Revision">
    <w:name w:val="Revision"/>
    <w:hidden/>
    <w:uiPriority w:val="99"/>
    <w:semiHidden/>
    <w:rsid w:val="00A47FA8"/>
    <w:pPr>
      <w:spacing w:after="0" w:line="240" w:lineRule="auto"/>
    </w:pPr>
  </w:style>
  <w:style w:type="character" w:styleId="Hyperlink">
    <w:name w:val="Hyperlink"/>
    <w:basedOn w:val="DefaultParagraphFont"/>
    <w:uiPriority w:val="99"/>
    <w:unhideWhenUsed/>
    <w:rsid w:val="005A751F"/>
    <w:rPr>
      <w:color w:val="0563C1" w:themeColor="hyperlink"/>
      <w:u w:val="single"/>
    </w:rPr>
  </w:style>
  <w:style w:type="character" w:customStyle="1" w:styleId="UnresolvedMention1">
    <w:name w:val="Unresolved Mention1"/>
    <w:basedOn w:val="DefaultParagraphFont"/>
    <w:uiPriority w:val="99"/>
    <w:semiHidden/>
    <w:unhideWhenUsed/>
    <w:rsid w:val="005A751F"/>
    <w:rPr>
      <w:color w:val="605E5C"/>
      <w:shd w:val="clear" w:color="auto" w:fill="E1DFDD"/>
    </w:rPr>
  </w:style>
  <w:style w:type="character" w:customStyle="1" w:styleId="Heading2Char">
    <w:name w:val="Heading 2 Char"/>
    <w:basedOn w:val="DefaultParagraphFont"/>
    <w:link w:val="Heading2"/>
    <w:uiPriority w:val="9"/>
    <w:rsid w:val="008370C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370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0069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006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5257"/>
    <w:pPr>
      <w:outlineLvl w:val="9"/>
    </w:pPr>
    <w:rPr>
      <w:lang w:val="en-US"/>
    </w:rPr>
  </w:style>
  <w:style w:type="paragraph" w:styleId="TOC1">
    <w:name w:val="toc 1"/>
    <w:basedOn w:val="Normal"/>
    <w:next w:val="Normal"/>
    <w:autoRedefine/>
    <w:uiPriority w:val="39"/>
    <w:unhideWhenUsed/>
    <w:rsid w:val="006C5257"/>
    <w:pPr>
      <w:spacing w:after="100"/>
    </w:pPr>
  </w:style>
  <w:style w:type="paragraph" w:styleId="Header">
    <w:name w:val="header"/>
    <w:basedOn w:val="Normal"/>
    <w:link w:val="HeaderChar"/>
    <w:uiPriority w:val="99"/>
    <w:unhideWhenUsed/>
    <w:rsid w:val="00CB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A8"/>
  </w:style>
  <w:style w:type="paragraph" w:styleId="Footer">
    <w:name w:val="footer"/>
    <w:basedOn w:val="Normal"/>
    <w:link w:val="FooterChar"/>
    <w:uiPriority w:val="99"/>
    <w:unhideWhenUsed/>
    <w:rsid w:val="00CB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A8"/>
  </w:style>
  <w:style w:type="paragraph" w:styleId="BalloonText">
    <w:name w:val="Balloon Text"/>
    <w:basedOn w:val="Normal"/>
    <w:link w:val="BalloonTextChar"/>
    <w:uiPriority w:val="99"/>
    <w:semiHidden/>
    <w:unhideWhenUsed/>
    <w:rsid w:val="0074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1000">
      <w:bodyDiv w:val="1"/>
      <w:marLeft w:val="0"/>
      <w:marRight w:val="0"/>
      <w:marTop w:val="0"/>
      <w:marBottom w:val="0"/>
      <w:divBdr>
        <w:top w:val="none" w:sz="0" w:space="0" w:color="auto"/>
        <w:left w:val="none" w:sz="0" w:space="0" w:color="auto"/>
        <w:bottom w:val="none" w:sz="0" w:space="0" w:color="auto"/>
        <w:right w:val="none" w:sz="0" w:space="0" w:color="auto"/>
      </w:divBdr>
    </w:div>
    <w:div w:id="613562939">
      <w:bodyDiv w:val="1"/>
      <w:marLeft w:val="0"/>
      <w:marRight w:val="0"/>
      <w:marTop w:val="0"/>
      <w:marBottom w:val="0"/>
      <w:divBdr>
        <w:top w:val="none" w:sz="0" w:space="0" w:color="auto"/>
        <w:left w:val="none" w:sz="0" w:space="0" w:color="auto"/>
        <w:bottom w:val="none" w:sz="0" w:space="0" w:color="auto"/>
        <w:right w:val="none" w:sz="0" w:space="0" w:color="auto"/>
      </w:divBdr>
    </w:div>
    <w:div w:id="844325534">
      <w:bodyDiv w:val="1"/>
      <w:marLeft w:val="0"/>
      <w:marRight w:val="0"/>
      <w:marTop w:val="0"/>
      <w:marBottom w:val="0"/>
      <w:divBdr>
        <w:top w:val="none" w:sz="0" w:space="0" w:color="auto"/>
        <w:left w:val="none" w:sz="0" w:space="0" w:color="auto"/>
        <w:bottom w:val="none" w:sz="0" w:space="0" w:color="auto"/>
        <w:right w:val="none" w:sz="0" w:space="0" w:color="auto"/>
      </w:divBdr>
    </w:div>
    <w:div w:id="1089501719">
      <w:bodyDiv w:val="1"/>
      <w:marLeft w:val="0"/>
      <w:marRight w:val="0"/>
      <w:marTop w:val="0"/>
      <w:marBottom w:val="0"/>
      <w:divBdr>
        <w:top w:val="none" w:sz="0" w:space="0" w:color="auto"/>
        <w:left w:val="none" w:sz="0" w:space="0" w:color="auto"/>
        <w:bottom w:val="none" w:sz="0" w:space="0" w:color="auto"/>
        <w:right w:val="none" w:sz="0" w:space="0" w:color="auto"/>
      </w:divBdr>
      <w:divsChild>
        <w:div w:id="822771589">
          <w:marLeft w:val="0"/>
          <w:marRight w:val="0"/>
          <w:marTop w:val="0"/>
          <w:marBottom w:val="0"/>
          <w:divBdr>
            <w:top w:val="none" w:sz="0" w:space="0" w:color="auto"/>
            <w:left w:val="none" w:sz="0" w:space="0" w:color="auto"/>
            <w:bottom w:val="none" w:sz="0" w:space="0" w:color="auto"/>
            <w:right w:val="none" w:sz="0" w:space="0" w:color="auto"/>
          </w:divBdr>
        </w:div>
      </w:divsChild>
    </w:div>
    <w:div w:id="1617176882">
      <w:bodyDiv w:val="1"/>
      <w:marLeft w:val="0"/>
      <w:marRight w:val="0"/>
      <w:marTop w:val="0"/>
      <w:marBottom w:val="0"/>
      <w:divBdr>
        <w:top w:val="none" w:sz="0" w:space="0" w:color="auto"/>
        <w:left w:val="none" w:sz="0" w:space="0" w:color="auto"/>
        <w:bottom w:val="none" w:sz="0" w:space="0" w:color="auto"/>
        <w:right w:val="none" w:sz="0" w:space="0" w:color="auto"/>
      </w:divBdr>
    </w:div>
    <w:div w:id="1703020792">
      <w:bodyDiv w:val="1"/>
      <w:marLeft w:val="0"/>
      <w:marRight w:val="0"/>
      <w:marTop w:val="0"/>
      <w:marBottom w:val="0"/>
      <w:divBdr>
        <w:top w:val="none" w:sz="0" w:space="0" w:color="auto"/>
        <w:left w:val="none" w:sz="0" w:space="0" w:color="auto"/>
        <w:bottom w:val="none" w:sz="0" w:space="0" w:color="auto"/>
        <w:right w:val="none" w:sz="0" w:space="0" w:color="auto"/>
      </w:divBdr>
    </w:div>
    <w:div w:id="1861049249">
      <w:bodyDiv w:val="1"/>
      <w:marLeft w:val="0"/>
      <w:marRight w:val="0"/>
      <w:marTop w:val="0"/>
      <w:marBottom w:val="0"/>
      <w:divBdr>
        <w:top w:val="none" w:sz="0" w:space="0" w:color="auto"/>
        <w:left w:val="none" w:sz="0" w:space="0" w:color="auto"/>
        <w:bottom w:val="none" w:sz="0" w:space="0" w:color="auto"/>
        <w:right w:val="none" w:sz="0" w:space="0" w:color="auto"/>
      </w:divBdr>
    </w:div>
    <w:div w:id="19309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aa.gov.au/indigenous-affairs/evaluations-and-evidenc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PMC10439\AppData\Local\Microsoft\Windows\INetCache\Content.Outlook\OYANRP41\awe.gov.au\water\policy\policy\nw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bs.gov.au/statistics/people/aboriginal-and-torres-strait-islander-peoples/estimates-aboriginal-and-torres-strait-islander-australians/latest-rel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bs.gov.au/about/aboriginal-and-torres-strait-islander-peoples/aboriginal-and-torres-strait-islander-eng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osingthegap.gov.au/national-agre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B8F06D5DEFB2B43BEC45E7C17CCF800" ma:contentTypeVersion="9" ma:contentTypeDescription="ShareHub Document" ma:contentTypeScope="" ma:versionID="f828059392913a6fa81b20d8cf9d67c4">
  <xsd:schema xmlns:xsd="http://www.w3.org/2001/XMLSchema" xmlns:xs="http://www.w3.org/2001/XMLSchema" xmlns:p="http://schemas.microsoft.com/office/2006/metadata/properties" xmlns:ns2="10e52123-a535-43cd-bf7b-d2d03657ea28" xmlns:ns3="685f9fda-bd71-4433-b331-92feb9553089" targetNamespace="http://schemas.microsoft.com/office/2006/metadata/properties" ma:root="true" ma:fieldsID="be8e78e7f845c24f386a14fd71e75faf" ns2:_="" ns3:_="">
    <xsd:import namespace="10e52123-a535-43cd-bf7b-d2d03657ea28"/>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de583fb0fda9475ea84c2447aed367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52123-a535-43cd-bf7b-d2d03657ea28"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4;#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c1b2e4-4001-4849-b670-df828a212248}" ma:internalName="TaxCatchAll" ma:showField="CatchAllData" ma:web="10e52123-a535-43cd-bf7b-d2d03657ea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c1b2e4-4001-4849-b670-df828a212248}" ma:internalName="TaxCatchAllLabel" ma:readOnly="true" ma:showField="CatchAllDataLabel" ma:web="10e52123-a535-43cd-bf7b-d2d03657ea28">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583fb0fda9475ea84c2447aed36709" ma:index="18" nillable="true" ma:taxonomy="true" ma:internalName="de583fb0fda9475ea84c2447aed36709" ma:taxonomyFieldName="ESearchTags" ma:displayName="Tags" ma:fieldId="{de583fb0-fda9-475e-a84c-2447aed3670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0e52123-a535-43cd-bf7b-d2d03657ea2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0e52123-a535-43cd-bf7b-d2d03657ea28">UDOC21-323426</ShareHubID>
    <TaxCatchAll xmlns="10e52123-a535-43cd-bf7b-d2d03657ea28">
      <Value>34</Value>
      <Value>7</Value>
    </TaxCatchAll>
    <PMCNotes xmlns="10e52123-a535-43cd-bf7b-d2d03657ea28" xsi:nil="true"/>
    <jd1c641577414dfdab1686c9d5d0dbd0 xmlns="10e52123-a535-43cd-bf7b-d2d03657ea28">
      <Terms xmlns="http://schemas.microsoft.com/office/infopath/2007/PartnerControls"/>
    </jd1c641577414dfdab1686c9d5d0dbd0>
    <de583fb0fda9475ea84c2447aed36709 xmlns="10e52123-a535-43cd-bf7b-d2d03657ea28">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8c15a0fa-850d-431a-a860-a1f9402e3ba2</TermId>
        </TermInfo>
      </Terms>
    </de583fb0fda9475ea84c2447aed36709>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4621-6CF6-480B-9841-31A2E0E9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52123-a535-43cd-bf7b-d2d03657ea28"/>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8F5A5-66B2-4DF1-9E02-80B7691FABB2}">
  <ds:schemaRefs>
    <ds:schemaRef ds:uri="http://schemas.microsoft.com/office/2006/documentManagement/types"/>
    <ds:schemaRef ds:uri="http://purl.org/dc/elements/1.1/"/>
    <ds:schemaRef ds:uri="http://schemas.microsoft.com/office/2006/metadata/properties"/>
    <ds:schemaRef ds:uri="685f9fda-bd71-4433-b331-92feb9553089"/>
    <ds:schemaRef ds:uri="http://schemas.openxmlformats.org/package/2006/metadata/core-properties"/>
    <ds:schemaRef ds:uri="http://schemas.microsoft.com/office/infopath/2007/PartnerControls"/>
    <ds:schemaRef ds:uri="http://purl.org/dc/terms/"/>
    <ds:schemaRef ds:uri="10e52123-a535-43cd-bf7b-d2d03657ea28"/>
    <ds:schemaRef ds:uri="http://www.w3.org/XML/1998/namespace"/>
    <ds:schemaRef ds:uri="http://purl.org/dc/dcmitype/"/>
  </ds:schemaRefs>
</ds:datastoreItem>
</file>

<file path=customXml/itemProps3.xml><?xml version="1.0" encoding="utf-8"?>
<ds:datastoreItem xmlns:ds="http://schemas.openxmlformats.org/officeDocument/2006/customXml" ds:itemID="{2266058B-70CA-4273-A857-8DC6CA15FFC2}">
  <ds:schemaRefs>
    <ds:schemaRef ds:uri="http://schemas.microsoft.com/sharepoint/v3/contenttype/forms"/>
  </ds:schemaRefs>
</ds:datastoreItem>
</file>

<file path=customXml/itemProps4.xml><?xml version="1.0" encoding="utf-8"?>
<ds:datastoreItem xmlns:ds="http://schemas.openxmlformats.org/officeDocument/2006/customXml" ds:itemID="{27F39192-5C8A-44F7-B526-2C70FE2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2532</Words>
  <Characters>14438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2022-01-04T19:22:00Z</dcterms:created>
  <dcterms:modified xsi:type="dcterms:W3CDTF">2022-01-04T19:22:00Z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34;#OFFICIAL|11463c70-78df-4e3b-b0ff-f66cd3cb26ec</vt:lpwstr>
  </property>
  <property fmtid="{D5CDD505-2E9C-101B-9397-08002B2CF9AE}" pid="3" name="ContentTypeId">
    <vt:lpwstr>0x0101002825A64A6E1845A99A9D8EE8A5686ECB00AB8F06D5DEFB2B43BEC45E7C17CCF800</vt:lpwstr>
  </property>
  <property fmtid="{D5CDD505-2E9C-101B-9397-08002B2CF9AE}" pid="4" name="ESearchTags">
    <vt:lpwstr>7;#Election|8c15a0fa-850d-431a-a860-a1f9402e3ba2</vt:lpwstr>
  </property>
  <property fmtid="{D5CDD505-2E9C-101B-9397-08002B2CF9AE}" pid="5" name="PMC.ESearch.TagGeneratedTime">
    <vt:lpwstr>2021-12-24T11:10:44</vt:lpwstr>
  </property>
  <property fmtid="{D5CDD505-2E9C-101B-9397-08002B2CF9AE}" pid="6" name="HPRMSecurityCaveat">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E5250E767BA24C89B1ECC94D35C2B3A2</vt:lpwstr>
  </property>
  <property fmtid="{D5CDD505-2E9C-101B-9397-08002B2CF9AE}" pid="14" name="PM_ProtectiveMarkingValue_Footer">
    <vt:lpwstr>OFFICIAL</vt:lpwstr>
  </property>
  <property fmtid="{D5CDD505-2E9C-101B-9397-08002B2CF9AE}" pid="15" name="PM_Originator_Hash_SHA1">
    <vt:lpwstr>0CC76D66990A9366FB3DE31A157ECA80A0705405</vt:lpwstr>
  </property>
  <property fmtid="{D5CDD505-2E9C-101B-9397-08002B2CF9AE}" pid="16" name="PM_OriginationTimeStamp">
    <vt:lpwstr>2021-12-24T04:42:19Z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6E2ACF857694D81DCE65678A381B7733</vt:lpwstr>
  </property>
  <property fmtid="{D5CDD505-2E9C-101B-9397-08002B2CF9AE}" pid="25" name="PM_Hash_Salt">
    <vt:lpwstr>DCD44817C9732AD95377EDF0B18186A5</vt:lpwstr>
  </property>
  <property fmtid="{D5CDD505-2E9C-101B-9397-08002B2CF9AE}" pid="26" name="PM_Hash_SHA1">
    <vt:lpwstr>B71822174B2F79C2971D6B2C33A03D61155F4DEF</vt:lpwstr>
  </property>
  <property fmtid="{D5CDD505-2E9C-101B-9397-08002B2CF9AE}" pid="27" name="PM_SecurityClassification_Prev">
    <vt:lpwstr>OFFICIAL</vt:lpwstr>
  </property>
  <property fmtid="{D5CDD505-2E9C-101B-9397-08002B2CF9AE}" pid="28" name="PM_Qualifier_Prev">
    <vt:lpwstr/>
  </property>
</Properties>
</file>