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0D0A9" w14:textId="294C9647" w:rsidR="0044059B" w:rsidRPr="0044059B" w:rsidRDefault="00847925" w:rsidP="0044059B">
      <w:bookmarkStart w:id="0" w:name="_GoBack"/>
      <w:bookmarkEnd w:id="0"/>
      <w:r>
        <w:rPr>
          <w:b/>
          <w:color w:val="4EA9BE"/>
          <w:sz w:val="32"/>
          <w:szCs w:val="32"/>
        </w:rPr>
        <w:t>C</w:t>
      </w:r>
      <w:r w:rsidRPr="00847925">
        <w:rPr>
          <w:b/>
          <w:color w:val="4EA9BE"/>
          <w:sz w:val="32"/>
          <w:szCs w:val="32"/>
        </w:rPr>
        <w:t xml:space="preserve">ontribuciones </w:t>
      </w:r>
      <w:r>
        <w:rPr>
          <w:b/>
          <w:color w:val="4EA9BE"/>
          <w:sz w:val="32"/>
          <w:szCs w:val="32"/>
        </w:rPr>
        <w:t xml:space="preserve">de la Mesa Estatal por los derechos de las personas mayores </w:t>
      </w:r>
      <w:r w:rsidRPr="00847925">
        <w:rPr>
          <w:b/>
          <w:color w:val="4EA9BE"/>
          <w:sz w:val="32"/>
          <w:szCs w:val="32"/>
        </w:rPr>
        <w:t>a la resolución 48/3 del C</w:t>
      </w:r>
      <w:r>
        <w:rPr>
          <w:b/>
          <w:color w:val="4EA9BE"/>
          <w:sz w:val="32"/>
          <w:szCs w:val="32"/>
        </w:rPr>
        <w:t xml:space="preserve">onsejo de </w:t>
      </w:r>
      <w:r w:rsidRPr="00847925">
        <w:rPr>
          <w:b/>
          <w:color w:val="4EA9BE"/>
          <w:sz w:val="32"/>
          <w:szCs w:val="32"/>
        </w:rPr>
        <w:t>D</w:t>
      </w:r>
      <w:r>
        <w:rPr>
          <w:b/>
          <w:color w:val="4EA9BE"/>
          <w:sz w:val="32"/>
          <w:szCs w:val="32"/>
        </w:rPr>
        <w:t xml:space="preserve">erechos </w:t>
      </w:r>
      <w:r w:rsidRPr="00847925">
        <w:rPr>
          <w:b/>
          <w:color w:val="4EA9BE"/>
          <w:sz w:val="32"/>
          <w:szCs w:val="32"/>
        </w:rPr>
        <w:t>H</w:t>
      </w:r>
      <w:r>
        <w:rPr>
          <w:b/>
          <w:color w:val="4EA9BE"/>
          <w:sz w:val="32"/>
          <w:szCs w:val="32"/>
        </w:rPr>
        <w:t>umanos</w:t>
      </w:r>
    </w:p>
    <w:p w14:paraId="767392F2" w14:textId="77777777" w:rsidR="00B47A66" w:rsidRDefault="00B47A66"/>
    <w:p w14:paraId="4C8E734F" w14:textId="0F79B314" w:rsidR="006F62B1" w:rsidRDefault="00AD7A4A" w:rsidP="006F62B1">
      <w:pPr>
        <w:jc w:val="both"/>
      </w:pPr>
      <w:r w:rsidRPr="00AD7A4A">
        <w:t>A través de este documento</w:t>
      </w:r>
      <w:r>
        <w:rPr>
          <w:b/>
          <w:bCs/>
        </w:rPr>
        <w:t xml:space="preserve"> l</w:t>
      </w:r>
      <w:r w:rsidR="00847925">
        <w:rPr>
          <w:b/>
          <w:bCs/>
        </w:rPr>
        <w:t xml:space="preserve">a Mesa Estatal por las personas mayores </w:t>
      </w:r>
      <w:r w:rsidR="00A97D71">
        <w:rPr>
          <w:b/>
          <w:bCs/>
        </w:rPr>
        <w:t xml:space="preserve">presenta </w:t>
      </w:r>
      <w:r w:rsidR="005362A1">
        <w:rPr>
          <w:b/>
          <w:bCs/>
        </w:rPr>
        <w:t>su</w:t>
      </w:r>
      <w:r>
        <w:rPr>
          <w:b/>
          <w:bCs/>
        </w:rPr>
        <w:t>s</w:t>
      </w:r>
      <w:r w:rsidR="005362A1">
        <w:rPr>
          <w:b/>
          <w:bCs/>
        </w:rPr>
        <w:t xml:space="preserve"> </w:t>
      </w:r>
      <w:r w:rsidR="00A97D71">
        <w:rPr>
          <w:b/>
          <w:bCs/>
        </w:rPr>
        <w:t>contribuci</w:t>
      </w:r>
      <w:r>
        <w:rPr>
          <w:b/>
          <w:bCs/>
        </w:rPr>
        <w:t>ones</w:t>
      </w:r>
      <w:r w:rsidR="005362A1">
        <w:rPr>
          <w:b/>
          <w:bCs/>
        </w:rPr>
        <w:t xml:space="preserve"> a la resolución 48/3 del Consejo de Derechos Humanos</w:t>
      </w:r>
      <w:r>
        <w:rPr>
          <w:b/>
          <w:bCs/>
        </w:rPr>
        <w:t>,</w:t>
      </w:r>
      <w:r w:rsidR="005362A1">
        <w:rPr>
          <w:b/>
          <w:bCs/>
        </w:rPr>
        <w:t xml:space="preserve"> </w:t>
      </w:r>
      <w:r w:rsidR="009C2024">
        <w:rPr>
          <w:b/>
          <w:bCs/>
        </w:rPr>
        <w:t>en las que se evidencia</w:t>
      </w:r>
      <w:r w:rsidR="00847925">
        <w:rPr>
          <w:b/>
          <w:bCs/>
        </w:rPr>
        <w:t xml:space="preserve"> que l</w:t>
      </w:r>
      <w:r w:rsidR="00012C28" w:rsidRPr="008142EA">
        <w:rPr>
          <w:b/>
          <w:bCs/>
        </w:rPr>
        <w:t xml:space="preserve">as personas mayores </w:t>
      </w:r>
      <w:r w:rsidR="00853EF5" w:rsidRPr="00853EF5">
        <w:rPr>
          <w:b/>
          <w:bCs/>
        </w:rPr>
        <w:t>y</w:t>
      </w:r>
      <w:r w:rsidR="00853EF5">
        <w:rPr>
          <w:b/>
          <w:bCs/>
        </w:rPr>
        <w:t xml:space="preserve">, </w:t>
      </w:r>
      <w:r w:rsidR="00853EF5" w:rsidRPr="00853EF5">
        <w:rPr>
          <w:b/>
          <w:bCs/>
        </w:rPr>
        <w:t>particularmente</w:t>
      </w:r>
      <w:r w:rsidR="00853EF5">
        <w:rPr>
          <w:b/>
          <w:bCs/>
        </w:rPr>
        <w:t>,</w:t>
      </w:r>
      <w:r w:rsidR="00853EF5" w:rsidRPr="00853EF5">
        <w:rPr>
          <w:b/>
          <w:bCs/>
        </w:rPr>
        <w:t xml:space="preserve"> las personas con discapacidad mayores </w:t>
      </w:r>
      <w:r w:rsidR="00012C28" w:rsidRPr="008142EA">
        <w:rPr>
          <w:b/>
          <w:bCs/>
        </w:rPr>
        <w:t>no pueden disfrutar de sus derechos en igualdad de condiciones que las demás</w:t>
      </w:r>
      <w:r w:rsidR="006F62B1" w:rsidRPr="008142EA">
        <w:rPr>
          <w:b/>
          <w:bCs/>
        </w:rPr>
        <w:t>, lo que afecta a multitud de aspectos de sus vidas y a su dignidad.</w:t>
      </w:r>
      <w:r w:rsidR="006F62B1">
        <w:t xml:space="preserve"> Los</w:t>
      </w:r>
      <w:r w:rsidR="006F62B1" w:rsidRPr="006F62B1">
        <w:t xml:space="preserve"> estereotipos y prejuicios asociados cultural y socialmente al envejecimiento</w:t>
      </w:r>
      <w:r w:rsidR="005E43CC">
        <w:t>, a la edad</w:t>
      </w:r>
      <w:r w:rsidR="006F62B1" w:rsidRPr="006F62B1">
        <w:t xml:space="preserve"> y a las personas mayores</w:t>
      </w:r>
      <w:r w:rsidR="00DB6839" w:rsidRPr="00853EF5">
        <w:t>,</w:t>
      </w:r>
      <w:r w:rsidR="006F62B1" w:rsidRPr="006F62B1">
        <w:t xml:space="preserve"> </w:t>
      </w:r>
      <w:r w:rsidR="006F62B1">
        <w:t xml:space="preserve">hacen que se </w:t>
      </w:r>
      <w:r w:rsidR="006F62B1" w:rsidRPr="006F62B1">
        <w:t>justifi</w:t>
      </w:r>
      <w:r w:rsidR="006F62B1">
        <w:t>que</w:t>
      </w:r>
      <w:r w:rsidR="006F62B1" w:rsidRPr="006F62B1">
        <w:t xml:space="preserve"> un trato diferente y </w:t>
      </w:r>
      <w:r w:rsidR="005E43CC">
        <w:t>discriminatorio</w:t>
      </w:r>
      <w:r w:rsidR="005E43CC" w:rsidRPr="006F62B1">
        <w:t xml:space="preserve"> </w:t>
      </w:r>
      <w:r w:rsidR="006F62B1">
        <w:t xml:space="preserve">al atribuirles </w:t>
      </w:r>
      <w:r w:rsidR="006F62B1" w:rsidRPr="006F62B1">
        <w:t>un menor valor social</w:t>
      </w:r>
      <w:r w:rsidR="005E43CC">
        <w:t xml:space="preserve"> y menos capacidades</w:t>
      </w:r>
      <w:r w:rsidR="006F62B1" w:rsidRPr="006F62B1">
        <w:t>.</w:t>
      </w:r>
      <w:r w:rsidR="006F62B1">
        <w:t xml:space="preserve"> </w:t>
      </w:r>
    </w:p>
    <w:p w14:paraId="04F7D2E9" w14:textId="609EDB85" w:rsidR="00012C28" w:rsidRDefault="006F62B1" w:rsidP="00012C28">
      <w:pPr>
        <w:jc w:val="both"/>
      </w:pPr>
      <w:r>
        <w:t xml:space="preserve">La discriminación por razón de edad </w:t>
      </w:r>
      <w:r w:rsidR="005E43CC">
        <w:t xml:space="preserve">(edadismo) </w:t>
      </w:r>
      <w:r>
        <w:t>que existe</w:t>
      </w:r>
      <w:r w:rsidR="005E43CC">
        <w:t xml:space="preserve"> en nuestras sociedades</w:t>
      </w:r>
      <w:r>
        <w:t xml:space="preserve"> excluye a las personas mayores de </w:t>
      </w:r>
      <w:r w:rsidR="00801830">
        <w:t>muchos ámbitos de la vida social (la educación, la cultura, los servicios públicos, la participación</w:t>
      </w:r>
      <w:r w:rsidR="00853EF5">
        <w:t xml:space="preserve"> social y</w:t>
      </w:r>
      <w:r w:rsidR="00801830">
        <w:t xml:space="preserve"> política, </w:t>
      </w:r>
      <w:r w:rsidR="000C3946">
        <w:t>etc.</w:t>
      </w:r>
      <w:r w:rsidR="00801830">
        <w:t>)</w:t>
      </w:r>
      <w:r>
        <w:t xml:space="preserve"> </w:t>
      </w:r>
      <w:r w:rsidR="0060529A">
        <w:t>y limita su calidad de vida</w:t>
      </w:r>
      <w:r w:rsidR="00E42938">
        <w:t xml:space="preserve"> y</w:t>
      </w:r>
      <w:r w:rsidR="0060529A">
        <w:t xml:space="preserve"> su autonomía</w:t>
      </w:r>
      <w:r w:rsidR="00E42938">
        <w:t xml:space="preserve">. </w:t>
      </w:r>
      <w:r w:rsidR="00C94E81">
        <w:t>Invisibiliza a las personas mayores y las importantes contribuciones que realizan.</w:t>
      </w:r>
    </w:p>
    <w:p w14:paraId="7359423E" w14:textId="77777777" w:rsidR="00853EF5" w:rsidRPr="00853EF5" w:rsidRDefault="00853EF5" w:rsidP="00853EF5">
      <w:pPr>
        <w:jc w:val="both"/>
      </w:pPr>
      <w:r w:rsidRPr="00853EF5">
        <w:rPr>
          <w:b/>
          <w:bCs/>
        </w:rPr>
        <w:t xml:space="preserve">Las mujeres mayores siguen siendo el grupo social en mayor riesgo de exclusión, </w:t>
      </w:r>
      <w:r w:rsidRPr="00853EF5">
        <w:t>especialmente si se asocia la edad a factores de interseccionalidad, tales como la discapacidad, entre otros. Esto hace necesaria la atención específica a esta parte de la población de personas mayores.</w:t>
      </w:r>
    </w:p>
    <w:p w14:paraId="323C0436" w14:textId="700B33E2" w:rsidR="00853EF5" w:rsidRDefault="00853EF5" w:rsidP="00012C28">
      <w:pPr>
        <w:jc w:val="both"/>
      </w:pPr>
      <w:r w:rsidRPr="00853EF5">
        <w:t xml:space="preserve">Asimismo, </w:t>
      </w:r>
      <w:r w:rsidRPr="00853EF5">
        <w:rPr>
          <w:b/>
          <w:bCs/>
        </w:rPr>
        <w:t>la implantación de tecnologías no accesibles, en muchos ámbitos públicos y privados, impiden que muchas personas mayores puedan hacer uso de servicios o incluso reivindicar sus derechos en igualdad de condiciones,</w:t>
      </w:r>
      <w:r w:rsidRPr="00853EF5">
        <w:t xml:space="preserve"> convirtiéndolas en ciudadanos de segunda clase. </w:t>
      </w:r>
      <w:r w:rsidR="006167F3">
        <w:t>E</w:t>
      </w:r>
      <w:r w:rsidR="006167F3" w:rsidRPr="006167F3">
        <w:t xml:space="preserve">l diagnóstico mediante el uso de la inteligencia artificial, los nuevos medicamentos y aplicaciones informáticas les deben ser accesibles, útiles e incorporar sus particularidades </w:t>
      </w:r>
      <w:r w:rsidR="006167F3">
        <w:t>específicas.</w:t>
      </w:r>
    </w:p>
    <w:p w14:paraId="76BFE7AB" w14:textId="77777777" w:rsidR="00853EF5" w:rsidRDefault="000037E7" w:rsidP="00010259">
      <w:pPr>
        <w:jc w:val="both"/>
      </w:pPr>
      <w:r w:rsidRPr="000037E7">
        <w:t>El Plan de Acción Internacional de Madrid sobre el Envejecimiento (MIPAA)</w:t>
      </w:r>
      <w:r w:rsidR="002A0CF9">
        <w:t>, aprobado por Naciones Unidas en 2002</w:t>
      </w:r>
      <w:r w:rsidR="00DB6839" w:rsidRPr="00853EF5">
        <w:t>,</w:t>
      </w:r>
      <w:r w:rsidRPr="000037E7">
        <w:t xml:space="preserve"> </w:t>
      </w:r>
      <w:r w:rsidR="00801830">
        <w:t xml:space="preserve">se ha demostrado claramente </w:t>
      </w:r>
      <w:r w:rsidR="00801830" w:rsidRPr="00DB6839">
        <w:rPr>
          <w:b/>
          <w:bCs/>
        </w:rPr>
        <w:t xml:space="preserve">insuficiente </w:t>
      </w:r>
      <w:r w:rsidRPr="00DB6839">
        <w:rPr>
          <w:b/>
          <w:bCs/>
        </w:rPr>
        <w:t>para proteger adecuadamente los derechos de las personas mayores</w:t>
      </w:r>
      <w:r w:rsidRPr="000037E7">
        <w:t xml:space="preserve">. </w:t>
      </w:r>
      <w:r w:rsidR="002A0CF9">
        <w:t xml:space="preserve">A pesar de que </w:t>
      </w:r>
      <w:r w:rsidR="000C500B">
        <w:t>i</w:t>
      </w:r>
      <w:r w:rsidRPr="000037E7">
        <w:t>ncluye una serie de recomendaciones para abordar los objetivos socioeconómicos en relación con el desarrollo, la salud y el bienestar y los entornos amigables</w:t>
      </w:r>
      <w:r w:rsidR="002A0CF9">
        <w:t xml:space="preserve"> de las personas mayores</w:t>
      </w:r>
      <w:r w:rsidRPr="000037E7">
        <w:t>,</w:t>
      </w:r>
      <w:r w:rsidR="002A0CF9">
        <w:t xml:space="preserve"> no ha sido aplicado sustancialmente por los Estados</w:t>
      </w:r>
      <w:r w:rsidRPr="000037E7">
        <w:t xml:space="preserve"> </w:t>
      </w:r>
      <w:r w:rsidR="002A0CF9">
        <w:t>al no ser</w:t>
      </w:r>
      <w:r w:rsidRPr="000037E7">
        <w:t xml:space="preserve"> jurídicamente vinculante</w:t>
      </w:r>
      <w:r w:rsidR="00DB6839" w:rsidRPr="00853EF5">
        <w:t>,</w:t>
      </w:r>
      <w:r w:rsidRPr="00DB6839">
        <w:rPr>
          <w:b/>
          <w:bCs/>
          <w:color w:val="FF0000"/>
        </w:rPr>
        <w:t xml:space="preserve"> </w:t>
      </w:r>
      <w:r w:rsidRPr="000037E7">
        <w:t xml:space="preserve">ni </w:t>
      </w:r>
      <w:r w:rsidR="002A0CF9">
        <w:t>incluir</w:t>
      </w:r>
      <w:r w:rsidR="002A0CF9" w:rsidRPr="000037E7">
        <w:t xml:space="preserve"> </w:t>
      </w:r>
      <w:r w:rsidRPr="000037E7">
        <w:t xml:space="preserve">mecanismos independientes de supervisión, responsabilidad e investigación. </w:t>
      </w:r>
      <w:r w:rsidR="002A0CF9">
        <w:t>Este Plan</w:t>
      </w:r>
      <w:r w:rsidR="00DB6839" w:rsidRPr="00853EF5">
        <w:t>,</w:t>
      </w:r>
      <w:r w:rsidR="002A0CF9">
        <w:t xml:space="preserve"> además,</w:t>
      </w:r>
      <w:r w:rsidRPr="000037E7">
        <w:t xml:space="preserve"> omite importantes cuestiones de derechos humanos y carece de acciones específicas para abordar la discriminación por razón de edad. Por todo ello, </w:t>
      </w:r>
      <w:r w:rsidRPr="00DB6839">
        <w:rPr>
          <w:b/>
          <w:bCs/>
        </w:rPr>
        <w:t xml:space="preserve">es necesario </w:t>
      </w:r>
      <w:r w:rsidR="00853EF5">
        <w:rPr>
          <w:b/>
          <w:bCs/>
        </w:rPr>
        <w:t xml:space="preserve">actualizar y </w:t>
      </w:r>
      <w:r w:rsidRPr="00DB6839">
        <w:rPr>
          <w:b/>
          <w:bCs/>
        </w:rPr>
        <w:t>complementar el MIPAA con un instrumento vinculante de carácter universal.</w:t>
      </w:r>
      <w:r w:rsidR="002A0CF9">
        <w:t xml:space="preserve"> </w:t>
      </w:r>
    </w:p>
    <w:p w14:paraId="2DE436D4" w14:textId="3885C60A" w:rsidR="00853EF5" w:rsidRPr="00853EF5" w:rsidRDefault="00853EF5" w:rsidP="009C2024">
      <w:pPr>
        <w:jc w:val="both"/>
      </w:pPr>
      <w:r w:rsidRPr="00853EF5">
        <w:t>Así los poderes públicos deben prestar especial atención a las nuevas reformas legislativas, apoyándolas y dotándolas de los adecuados recursos económicos y humanos</w:t>
      </w:r>
      <w:r w:rsidR="009C2024">
        <w:t>.</w:t>
      </w:r>
    </w:p>
    <w:p w14:paraId="11698F26" w14:textId="36D65D81" w:rsidR="00853EF5" w:rsidRDefault="00853EF5" w:rsidP="00E42938">
      <w:pPr>
        <w:jc w:val="both"/>
      </w:pPr>
      <w:r w:rsidRPr="00853EF5">
        <w:rPr>
          <w:b/>
          <w:bCs/>
        </w:rPr>
        <w:t xml:space="preserve">En el medio rural la privación de derechos de las personas mayores es más acentuada, </w:t>
      </w:r>
      <w:r w:rsidRPr="00853EF5">
        <w:t xml:space="preserve">pues el escaso acceso a recursos sanitarios, sociales, culturales y de participación en el entorno, hace más difícil la tarea de promover una adecuada salud física y mental, lo que pone en riesgo su calidad de vida y su derecho a un </w:t>
      </w:r>
      <w:r w:rsidRPr="00853EF5">
        <w:lastRenderedPageBreak/>
        <w:t>envejecimiento saludable, afectando negativamente a su permanencia en la comunidad y contribuyendo así al proceso de despoblación rural que padece la denominada España Vaciada.</w:t>
      </w:r>
    </w:p>
    <w:p w14:paraId="7F1A2E70" w14:textId="01432C7A" w:rsidR="006167F3" w:rsidRDefault="006167F3" w:rsidP="006167F3">
      <w:pPr>
        <w:jc w:val="both"/>
      </w:pPr>
      <w:r w:rsidRPr="006167F3">
        <w:rPr>
          <w:b/>
          <w:bCs/>
        </w:rPr>
        <w:t>En las ciudades se precisa incorporar las características y necesidades de las personas mayores y particularmente las personas con discapacidad mayores</w:t>
      </w:r>
      <w:r w:rsidRPr="006167F3">
        <w:t>, en los nuevos diseños del entorno construido, el espacio público, el transporte y sus infraestructuras, la información, la comunicación y las nuevas tecnologías así como en las instalaciones públicas y los servicios, subrayando la importancia de construir urbes inclusivas que mejoren su calidad de vida y a la vez les permita participar en igualdad de condiciones en la vida social hecho que además contribuye, de forma eficaz, a paliar la soledad no deseada y sus graves secuelas en el colectivo.</w:t>
      </w:r>
    </w:p>
    <w:p w14:paraId="79580E3A" w14:textId="77777777" w:rsidR="00C02B05" w:rsidRPr="00C02B05" w:rsidRDefault="00C02B05" w:rsidP="00C02B05">
      <w:pPr>
        <w:jc w:val="both"/>
      </w:pPr>
      <w:r w:rsidRPr="00C02B05">
        <w:rPr>
          <w:b/>
          <w:bCs/>
        </w:rPr>
        <w:t>Las respuestas a la pandemia del COVID-19 han puesto de manifiesto graves lagunas en la protección de los derechos de las personas mayores.</w:t>
      </w:r>
      <w:r w:rsidRPr="00C02B05">
        <w:t xml:space="preserve"> En todas las regiones del mundo se les han negado sus derechos durante la pandemia, han sufrido privación de acceso a los servicios sanitarios, violencia y abusos y se les ha dado un trato inadecuado, contribuyendo todo ello a maximizar los efectos letales de la enfermedad sobre las personas mayores, que ha tenido un gran impacto en el colectivo precisamente debido a estas carencias.</w:t>
      </w:r>
    </w:p>
    <w:p w14:paraId="090E0164" w14:textId="2242515F" w:rsidR="00C02B05" w:rsidRPr="00AD7A4A" w:rsidRDefault="00C02B05" w:rsidP="006167F3">
      <w:pPr>
        <w:jc w:val="both"/>
      </w:pPr>
      <w:r w:rsidRPr="00C02B05">
        <w:t xml:space="preserve">También nos pone de manifiesto que </w:t>
      </w:r>
      <w:r w:rsidR="009C2024">
        <w:rPr>
          <w:b/>
          <w:bCs/>
        </w:rPr>
        <w:t>los</w:t>
      </w:r>
      <w:r w:rsidRPr="00C02B05">
        <w:rPr>
          <w:b/>
          <w:bCs/>
        </w:rPr>
        <w:t xml:space="preserve"> sistema</w:t>
      </w:r>
      <w:r w:rsidR="009C2024">
        <w:rPr>
          <w:b/>
          <w:bCs/>
        </w:rPr>
        <w:t>s</w:t>
      </w:r>
      <w:r w:rsidRPr="00C02B05">
        <w:rPr>
          <w:b/>
          <w:bCs/>
        </w:rPr>
        <w:t xml:space="preserve"> sanitario</w:t>
      </w:r>
      <w:r w:rsidR="009C2024">
        <w:rPr>
          <w:b/>
          <w:bCs/>
        </w:rPr>
        <w:t>s</w:t>
      </w:r>
      <w:r w:rsidRPr="00C02B05">
        <w:rPr>
          <w:b/>
          <w:bCs/>
        </w:rPr>
        <w:t xml:space="preserve"> </w:t>
      </w:r>
      <w:r w:rsidR="009C2024">
        <w:rPr>
          <w:b/>
          <w:bCs/>
        </w:rPr>
        <w:t>deben</w:t>
      </w:r>
      <w:r w:rsidRPr="00C02B05">
        <w:rPr>
          <w:b/>
          <w:bCs/>
        </w:rPr>
        <w:t xml:space="preserve"> ser capa</w:t>
      </w:r>
      <w:r w:rsidR="009C2024">
        <w:rPr>
          <w:b/>
          <w:bCs/>
        </w:rPr>
        <w:t>ces</w:t>
      </w:r>
      <w:r w:rsidRPr="00C02B05">
        <w:rPr>
          <w:b/>
          <w:bCs/>
        </w:rPr>
        <w:t xml:space="preserve"> de diseñar y poner en funcionamiento una orientación hacia el envejecimiento y la cronicidad y de aplicar un plan para restaurar la merma que han sufrido los derechos de las personas mayores a una sanidad sin discriminaciones, </w:t>
      </w:r>
      <w:r w:rsidRPr="00AD7A4A">
        <w:t>eficaz, sin listas de espera dilatadas y de calidad.</w:t>
      </w:r>
    </w:p>
    <w:p w14:paraId="7358E161" w14:textId="1770D2B6" w:rsidR="002B69BC" w:rsidRDefault="00C94E81" w:rsidP="00E42938">
      <w:pPr>
        <w:jc w:val="both"/>
      </w:pPr>
      <w:r w:rsidRPr="00AD7A4A">
        <w:t>El Secretario General de las Naciones Unidas</w:t>
      </w:r>
      <w:r w:rsidR="0018008B" w:rsidRPr="00AD7A4A">
        <w:rPr>
          <w:rStyle w:val="FootnoteReference"/>
        </w:rPr>
        <w:footnoteReference w:id="1"/>
      </w:r>
      <w:r w:rsidRPr="00AD7A4A">
        <w:t>, el Alto Comisionado de las Naciones Unidas para los Derechos Humanos</w:t>
      </w:r>
      <w:r w:rsidR="0018008B" w:rsidRPr="00AD7A4A">
        <w:rPr>
          <w:rStyle w:val="FootnoteReference"/>
        </w:rPr>
        <w:footnoteReference w:id="2"/>
      </w:r>
      <w:r w:rsidR="0018008B" w:rsidRPr="00AD7A4A">
        <w:t>,</w:t>
      </w:r>
      <w:r w:rsidRPr="00AD7A4A">
        <w:t xml:space="preserve"> la Experta Independiente sobre el disfrute de todos los derechos humanos por las personas de edad</w:t>
      </w:r>
      <w:r w:rsidR="0018008B" w:rsidRPr="00AD7A4A">
        <w:rPr>
          <w:rStyle w:val="FootnoteReference"/>
        </w:rPr>
        <w:footnoteReference w:id="3"/>
      </w:r>
      <w:r w:rsidRPr="00AD7A4A">
        <w:t xml:space="preserve"> </w:t>
      </w:r>
      <w:r w:rsidR="0018008B" w:rsidRPr="00AD7A4A">
        <w:t>y el Consejo de Europa</w:t>
      </w:r>
      <w:r w:rsidR="0018008B" w:rsidRPr="00AD7A4A">
        <w:rPr>
          <w:rStyle w:val="FootnoteReference"/>
        </w:rPr>
        <w:footnoteReference w:id="4"/>
      </w:r>
      <w:r w:rsidR="00BD3E5F" w:rsidRPr="00AD7A4A">
        <w:t>,</w:t>
      </w:r>
      <w:r w:rsidR="00BD3E5F">
        <w:t xml:space="preserve"> </w:t>
      </w:r>
      <w:r>
        <w:t xml:space="preserve">han reconocido la necesidad de subsanar </w:t>
      </w:r>
      <w:r w:rsidR="00853EF5">
        <w:t>las</w:t>
      </w:r>
      <w:r>
        <w:t xml:space="preserve"> </w:t>
      </w:r>
      <w:r w:rsidRPr="00C94E81">
        <w:t xml:space="preserve">deficiencias del sistema internacional que </w:t>
      </w:r>
      <w:r>
        <w:t xml:space="preserve">protege los derechos humanos de las personas mayores. </w:t>
      </w:r>
      <w:r w:rsidRPr="00AD7A4A">
        <w:t>146 Estados</w:t>
      </w:r>
      <w:r w:rsidR="0018008B" w:rsidRPr="00AD7A4A">
        <w:rPr>
          <w:rStyle w:val="FootnoteReference"/>
        </w:rPr>
        <w:footnoteReference w:id="5"/>
      </w:r>
      <w:r w:rsidRPr="00C94E81">
        <w:t xml:space="preserve"> también han reconocido estas</w:t>
      </w:r>
      <w:r w:rsidR="0018008B">
        <w:t xml:space="preserve"> </w:t>
      </w:r>
      <w:r>
        <w:t xml:space="preserve">lagunas y </w:t>
      </w:r>
      <w:r w:rsidR="006167F3">
        <w:t>han adoptado</w:t>
      </w:r>
      <w:r>
        <w:t xml:space="preserve"> el compromiso de </w:t>
      </w:r>
      <w:r w:rsidRPr="00C94E81">
        <w:t xml:space="preserve">promover y respetar plenamente los derechos de las personas mayores </w:t>
      </w:r>
      <w:r>
        <w:t>al apoyar el</w:t>
      </w:r>
      <w:r w:rsidRPr="00C94E81">
        <w:t xml:space="preserve"> Informe del Secretario General de la ONU sobre el impacto de la COVID-19 en las personas mayores publicado en mayo de 2020.  </w:t>
      </w:r>
    </w:p>
    <w:p w14:paraId="5E505859" w14:textId="3BA6CBFA" w:rsidR="006167F3" w:rsidRDefault="006167F3" w:rsidP="00E42938">
      <w:pPr>
        <w:jc w:val="both"/>
      </w:pPr>
    </w:p>
    <w:p w14:paraId="5ADDA45D" w14:textId="4E5EDEEC" w:rsidR="006167F3" w:rsidRPr="006167F3" w:rsidRDefault="002A0CF9" w:rsidP="006167F3">
      <w:pPr>
        <w:jc w:val="both"/>
        <w:rPr>
          <w:b/>
          <w:bCs/>
        </w:rPr>
      </w:pPr>
      <w:r>
        <w:rPr>
          <w:b/>
          <w:bCs/>
        </w:rPr>
        <w:t>Por todo ello</w:t>
      </w:r>
      <w:r w:rsidR="00A64DB5" w:rsidRPr="00853EF5">
        <w:rPr>
          <w:b/>
          <w:bCs/>
        </w:rPr>
        <w:t>,</w:t>
      </w:r>
      <w:r>
        <w:rPr>
          <w:b/>
          <w:bCs/>
        </w:rPr>
        <w:t xml:space="preserve"> creemos necesari</w:t>
      </w:r>
      <w:r w:rsidR="00A64DB5">
        <w:rPr>
          <w:b/>
          <w:bCs/>
        </w:rPr>
        <w:t>o</w:t>
      </w:r>
      <w:r w:rsidR="00C94E81" w:rsidRPr="00A64DB5">
        <w:rPr>
          <w:b/>
          <w:bCs/>
          <w:color w:val="FF0000"/>
        </w:rPr>
        <w:t xml:space="preserve"> </w:t>
      </w:r>
      <w:r w:rsidR="00A64DB5" w:rsidRPr="00853EF5">
        <w:rPr>
          <w:b/>
          <w:bCs/>
        </w:rPr>
        <w:t>y urgente</w:t>
      </w:r>
      <w:r w:rsidR="00853EF5" w:rsidRPr="00853EF5">
        <w:rPr>
          <w:b/>
          <w:bCs/>
        </w:rPr>
        <w:t xml:space="preserve"> que</w:t>
      </w:r>
      <w:r w:rsidR="00C94E81" w:rsidRPr="00853EF5">
        <w:rPr>
          <w:b/>
          <w:bCs/>
        </w:rPr>
        <w:t xml:space="preserve"> </w:t>
      </w:r>
      <w:r w:rsidR="00DB6839" w:rsidRPr="00853EF5">
        <w:rPr>
          <w:b/>
          <w:bCs/>
        </w:rPr>
        <w:t xml:space="preserve">se apruebe </w:t>
      </w:r>
      <w:r w:rsidR="00C94E81" w:rsidRPr="00C94E81">
        <w:rPr>
          <w:b/>
          <w:bCs/>
        </w:rPr>
        <w:t>una convención de Naciones Unidas que promueva y garantice los derechos de las personas mayores, en toda su diversidad, para que los gobiernos y las sociedades de todo el mundo</w:t>
      </w:r>
      <w:r w:rsidR="00DB6839" w:rsidRPr="00853EF5">
        <w:rPr>
          <w:b/>
          <w:bCs/>
        </w:rPr>
        <w:t>,</w:t>
      </w:r>
      <w:r w:rsidR="00C94E81" w:rsidRPr="00C94E81">
        <w:rPr>
          <w:b/>
          <w:bCs/>
        </w:rPr>
        <w:t xml:space="preserve"> sean conscientes de sus obligaciones y responsabilidades en materia de derechos humanos hacia las personas mayores ahora y en el futuro</w:t>
      </w:r>
      <w:r w:rsidR="006167F3">
        <w:rPr>
          <w:b/>
          <w:bCs/>
        </w:rPr>
        <w:t xml:space="preserve">, </w:t>
      </w:r>
      <w:r w:rsidR="006167F3" w:rsidRPr="006167F3">
        <w:rPr>
          <w:b/>
          <w:bCs/>
        </w:rPr>
        <w:t>facilitando los procesos de participación de las personas mayores en todas la</w:t>
      </w:r>
      <w:r w:rsidR="00A43732">
        <w:rPr>
          <w:b/>
          <w:bCs/>
        </w:rPr>
        <w:t>s</w:t>
      </w:r>
      <w:r w:rsidR="006167F3" w:rsidRPr="006167F3">
        <w:rPr>
          <w:b/>
          <w:bCs/>
        </w:rPr>
        <w:t xml:space="preserve"> acciones.</w:t>
      </w:r>
    </w:p>
    <w:p w14:paraId="7D46D598" w14:textId="71FFCA44" w:rsidR="00853EF5" w:rsidRPr="00853EF5" w:rsidRDefault="00853EF5" w:rsidP="00853EF5">
      <w:pPr>
        <w:jc w:val="both"/>
      </w:pPr>
      <w:r w:rsidRPr="00853EF5">
        <w:t xml:space="preserve">Una convención que, además, luche para desterrar la idea prefijada en demasiadas ocasiones, de que las personas mayores son una carga para la sociedad, </w:t>
      </w:r>
      <w:r w:rsidRPr="00853EF5">
        <w:lastRenderedPageBreak/>
        <w:t>reconociendo el valor que tiene para ésta el colectivo, y lo mucho que aporta en innumerables ámbitos, incluido el económico.</w:t>
      </w:r>
    </w:p>
    <w:p w14:paraId="306759DF" w14:textId="622D707D" w:rsidR="008142EA" w:rsidRDefault="008142EA" w:rsidP="008142EA">
      <w:pPr>
        <w:jc w:val="both"/>
      </w:pPr>
      <w:r w:rsidRPr="008142EA">
        <w:t>La U</w:t>
      </w:r>
      <w:r>
        <w:t xml:space="preserve">nión </w:t>
      </w:r>
      <w:r w:rsidRPr="008142EA">
        <w:t>E</w:t>
      </w:r>
      <w:r>
        <w:t>uropea</w:t>
      </w:r>
      <w:r w:rsidRPr="008142EA">
        <w:t xml:space="preserve"> y sus Estados miembros han demostrado ser líderes mundiales en la defensa de los derechos humanos y apoyar la creación de una convención sobre los derechos de las personas mayores</w:t>
      </w:r>
      <w:r w:rsidR="00DB6839" w:rsidRPr="00853EF5">
        <w:t>,</w:t>
      </w:r>
      <w:r w:rsidRPr="008142EA">
        <w:t xml:space="preserve"> demostraría que el respeto de los derechos de todas las </w:t>
      </w:r>
      <w:r w:rsidR="000C3946" w:rsidRPr="008142EA">
        <w:t>personas</w:t>
      </w:r>
      <w:r w:rsidRPr="008142EA">
        <w:t xml:space="preserve"> continúa siendo una prioridad y una seña de identidad</w:t>
      </w:r>
      <w:r w:rsidR="002A0CF9">
        <w:t xml:space="preserve"> </w:t>
      </w:r>
      <w:r w:rsidR="006167F3">
        <w:t>del proyecto común europeo.</w:t>
      </w:r>
    </w:p>
    <w:p w14:paraId="327208CF" w14:textId="57BFAD1E" w:rsidR="004D6C40" w:rsidRPr="00C02B05" w:rsidRDefault="00DB6839" w:rsidP="008142EA">
      <w:pPr>
        <w:jc w:val="both"/>
      </w:pPr>
      <w:r w:rsidRPr="00C02B05">
        <w:t>D</w:t>
      </w:r>
      <w:r w:rsidR="004D6C40" w:rsidRPr="00C02B05">
        <w:t xml:space="preserve">esde la Mesa Estatal por los Derechos de las Personas Mayores, </w:t>
      </w:r>
      <w:r w:rsidRPr="00C02B05">
        <w:t>(</w:t>
      </w:r>
      <w:r w:rsidR="004D6C40" w:rsidRPr="00C02B05">
        <w:t>formada por más de 20 entidades del tercer sector</w:t>
      </w:r>
      <w:r w:rsidR="00847925">
        <w:t xml:space="preserve"> españolas</w:t>
      </w:r>
      <w:r w:rsidRPr="00C02B05">
        <w:t>)</w:t>
      </w:r>
      <w:r w:rsidR="004D6C40" w:rsidRPr="00C02B05">
        <w:t xml:space="preserve">, creemos firmemente que es absolutamente necesario, que los diferentes gobiernos, entre ellos, por supuesto, el de nuestro país, sean </w:t>
      </w:r>
      <w:r w:rsidR="00A64DB5" w:rsidRPr="00C02B05">
        <w:t xml:space="preserve">conscientes </w:t>
      </w:r>
      <w:r w:rsidR="004D6C40" w:rsidRPr="00C02B05">
        <w:t xml:space="preserve">de </w:t>
      </w:r>
      <w:r w:rsidR="00A64DB5" w:rsidRPr="00C02B05">
        <w:t xml:space="preserve">que </w:t>
      </w:r>
      <w:r w:rsidR="00AF4B7C" w:rsidRPr="00C02B05">
        <w:rPr>
          <w:b/>
          <w:bCs/>
        </w:rPr>
        <w:t>el marco legislativo existente</w:t>
      </w:r>
      <w:r w:rsidR="00AF4B7C" w:rsidRPr="00C02B05">
        <w:t xml:space="preserve"> </w:t>
      </w:r>
      <w:r w:rsidR="00AF4B7C" w:rsidRPr="00C02B05">
        <w:rPr>
          <w:b/>
          <w:bCs/>
        </w:rPr>
        <w:t>no es suficiente para garantizar la protección de los derechos de las personas mayores</w:t>
      </w:r>
      <w:r w:rsidR="00AF4B7C" w:rsidRPr="00C02B05">
        <w:t xml:space="preserve">. </w:t>
      </w:r>
      <w:r w:rsidRPr="00C02B05">
        <w:rPr>
          <w:b/>
          <w:bCs/>
        </w:rPr>
        <w:t>Que es necesaria la celebración de la Convención.</w:t>
      </w:r>
    </w:p>
    <w:p w14:paraId="7C73E613" w14:textId="126C12E5" w:rsidR="002A0CF9" w:rsidRPr="00C02B05" w:rsidRDefault="004D6C40" w:rsidP="008142EA">
      <w:pPr>
        <w:jc w:val="both"/>
      </w:pPr>
      <w:r w:rsidRPr="00C02B05">
        <w:t>C</w:t>
      </w:r>
      <w:r w:rsidR="00AF4B7C" w:rsidRPr="00C02B05">
        <w:t>on frecuencia, la vejez se asocia a estereotipos que generan una visión negativa y generalista de las personas mayores</w:t>
      </w:r>
      <w:r w:rsidR="00DB6839" w:rsidRPr="00C02B05">
        <w:t>: L</w:t>
      </w:r>
      <w:r w:rsidR="00A64DB5" w:rsidRPr="00C02B05">
        <w:t>as personas mayores son c</w:t>
      </w:r>
      <w:r w:rsidR="00AF4B7C" w:rsidRPr="00C02B05">
        <w:t>iudadanos</w:t>
      </w:r>
      <w:r w:rsidR="00A64DB5" w:rsidRPr="00C02B05">
        <w:t xml:space="preserve"> de pleno derecho</w:t>
      </w:r>
      <w:r w:rsidR="00AF4B7C" w:rsidRPr="00C02B05">
        <w:t xml:space="preserve"> que</w:t>
      </w:r>
      <w:r w:rsidR="00A64DB5" w:rsidRPr="00C02B05">
        <w:t xml:space="preserve"> en su gran mayoría</w:t>
      </w:r>
      <w:r w:rsidR="00AF4B7C" w:rsidRPr="00C02B05">
        <w:t xml:space="preserve"> no solo aportan, sino </w:t>
      </w:r>
      <w:r w:rsidRPr="00C02B05">
        <w:t>que enriquecen</w:t>
      </w:r>
      <w:r w:rsidR="00AF4B7C" w:rsidRPr="00C02B05">
        <w:t xml:space="preserve"> la sociedad con su experiencia, conocimiento y entrega desinteresada a sus familias</w:t>
      </w:r>
      <w:r w:rsidR="00A64DB5" w:rsidRPr="00C02B05">
        <w:t xml:space="preserve"> y sus comunidades.</w:t>
      </w:r>
    </w:p>
    <w:p w14:paraId="752FC730" w14:textId="0D6FF49C" w:rsidR="000037E7" w:rsidRDefault="000037E7" w:rsidP="008142EA">
      <w:pPr>
        <w:jc w:val="both"/>
      </w:pPr>
    </w:p>
    <w:p w14:paraId="1B07ADCF" w14:textId="10A3AD54" w:rsidR="009C2024" w:rsidRDefault="009C2024" w:rsidP="008142EA">
      <w:pPr>
        <w:jc w:val="both"/>
      </w:pPr>
    </w:p>
    <w:p w14:paraId="723D1BCC" w14:textId="77777777" w:rsidR="009C2024" w:rsidRDefault="009C2024" w:rsidP="008142EA">
      <w:pPr>
        <w:jc w:val="both"/>
      </w:pPr>
    </w:p>
    <w:p w14:paraId="311E5D8A" w14:textId="6767FB95" w:rsidR="000037E7" w:rsidRDefault="00847925" w:rsidP="008142EA">
      <w:pPr>
        <w:jc w:val="both"/>
        <w:rPr>
          <w:b/>
          <w:bCs/>
        </w:rPr>
      </w:pPr>
      <w:r w:rsidRPr="00847925">
        <w:rPr>
          <w:b/>
          <w:bCs/>
        </w:rPr>
        <w:t>Entidades miembros de la Mesa Estatal por los derechos de las personas</w:t>
      </w:r>
      <w:r>
        <w:rPr>
          <w:b/>
          <w:bCs/>
        </w:rPr>
        <w:t xml:space="preserve"> </w:t>
      </w:r>
      <w:r w:rsidRPr="00847925">
        <w:rPr>
          <w:b/>
          <w:bCs/>
        </w:rPr>
        <w:t>mayores:</w:t>
      </w:r>
    </w:p>
    <w:p w14:paraId="323EDB14" w14:textId="1AA150B3" w:rsidR="008142EA" w:rsidRDefault="008142EA" w:rsidP="00C94E81">
      <w:pPr>
        <w:jc w:val="both"/>
      </w:pPr>
    </w:p>
    <w:p w14:paraId="7B751035" w14:textId="36329A5A" w:rsidR="002B69BC" w:rsidRDefault="009C2024" w:rsidP="00C94E81">
      <w:pPr>
        <w:jc w:val="both"/>
      </w:pPr>
      <w:r>
        <w:rPr>
          <w:noProof/>
          <w:lang w:val="en-GB" w:eastAsia="en-GB"/>
        </w:rPr>
        <w:drawing>
          <wp:inline distT="0" distB="0" distL="0" distR="0" wp14:anchorId="74173ABD" wp14:editId="6193A4E8">
            <wp:extent cx="5423583" cy="3765177"/>
            <wp:effectExtent l="0" t="0" r="571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88" cy="3779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F7D75" w14:textId="095FD7A5" w:rsidR="002B69BC" w:rsidRDefault="002B69BC" w:rsidP="00C94E81">
      <w:pPr>
        <w:jc w:val="both"/>
      </w:pPr>
    </w:p>
    <w:p w14:paraId="3EF77BB6" w14:textId="059C208F" w:rsidR="00484BA5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12" w:history="1">
        <w:r w:rsidR="00484BA5" w:rsidRPr="00D350D1">
          <w:rPr>
            <w:rStyle w:val="Hyperlink"/>
          </w:rPr>
          <w:t>HelpAge España</w:t>
        </w:r>
      </w:hyperlink>
    </w:p>
    <w:p w14:paraId="4C84BC02" w14:textId="1E4D60DC" w:rsidR="00BE7974" w:rsidRPr="00D93EA4" w:rsidRDefault="000F4010" w:rsidP="00D93EA4">
      <w:pPr>
        <w:pStyle w:val="ListParagraph"/>
        <w:numPr>
          <w:ilvl w:val="0"/>
          <w:numId w:val="5"/>
        </w:numPr>
        <w:rPr>
          <w:b/>
          <w:bCs/>
        </w:rPr>
      </w:pPr>
      <w:hyperlink r:id="rId13" w:history="1">
        <w:r w:rsidR="00484BA5" w:rsidRPr="00D350D1">
          <w:rPr>
            <w:rStyle w:val="Hyperlink"/>
          </w:rPr>
          <w:t>Caumas</w:t>
        </w:r>
        <w:r w:rsidR="00BE7974" w:rsidRPr="00D350D1">
          <w:rPr>
            <w:rStyle w:val="Hyperlink"/>
          </w:rPr>
          <w:t xml:space="preserve"> - Confederación estatal de asociaciones y federaciones de alumnos y exalumnos de los programas universitarios de mayores</w:t>
        </w:r>
      </w:hyperlink>
    </w:p>
    <w:p w14:paraId="674933AB" w14:textId="77777777" w:rsidR="00D93EA4" w:rsidRPr="00D93EA4" w:rsidRDefault="00D93EA4" w:rsidP="00D93EA4">
      <w:pPr>
        <w:pStyle w:val="ListParagraph"/>
        <w:rPr>
          <w:b/>
          <w:bCs/>
        </w:rPr>
      </w:pPr>
    </w:p>
    <w:p w14:paraId="05CDF441" w14:textId="3B7BB13C" w:rsidR="00484BA5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14" w:history="1">
        <w:r w:rsidR="00BE7974" w:rsidRPr="00D350D1">
          <w:rPr>
            <w:rStyle w:val="Hyperlink"/>
          </w:rPr>
          <w:t>Ceoma - Confederación española de organizaciones de mayores</w:t>
        </w:r>
      </w:hyperlink>
    </w:p>
    <w:p w14:paraId="41542E98" w14:textId="6AD7AF51" w:rsidR="00BE797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15" w:history="1">
        <w:r w:rsidR="00BE7974" w:rsidRPr="00C61323">
          <w:rPr>
            <w:rStyle w:val="Hyperlink"/>
          </w:rPr>
          <w:t>Cruz Roja Española</w:t>
        </w:r>
      </w:hyperlink>
    </w:p>
    <w:p w14:paraId="147EE71B" w14:textId="16AF4AAD" w:rsidR="00BE797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16" w:history="1">
        <w:r w:rsidR="00BE7974" w:rsidRPr="00C61323">
          <w:rPr>
            <w:rStyle w:val="Hyperlink"/>
          </w:rPr>
          <w:t>Cáritas Española</w:t>
        </w:r>
      </w:hyperlink>
    </w:p>
    <w:p w14:paraId="20925468" w14:textId="164FDB39" w:rsidR="00BE797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17" w:history="1">
        <w:r w:rsidR="00BE7974" w:rsidRPr="00C61323">
          <w:rPr>
            <w:rStyle w:val="Hyperlink"/>
          </w:rPr>
          <w:t>Cermi – Comité español de representantes de personas con discapacidad</w:t>
        </w:r>
      </w:hyperlink>
    </w:p>
    <w:p w14:paraId="761EEA43" w14:textId="566A7BA9" w:rsidR="00BE797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18" w:history="1">
        <w:r w:rsidR="00BE7974" w:rsidRPr="00C61323">
          <w:rPr>
            <w:rStyle w:val="Hyperlink"/>
          </w:rPr>
          <w:t>Federación de Mujeres Progresistas</w:t>
        </w:r>
      </w:hyperlink>
    </w:p>
    <w:p w14:paraId="19A07028" w14:textId="75FB2CCA" w:rsidR="00BE797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19" w:history="1">
        <w:r w:rsidR="00BE7974" w:rsidRPr="00C61323">
          <w:rPr>
            <w:rStyle w:val="Hyperlink"/>
          </w:rPr>
          <w:t>Lares</w:t>
        </w:r>
      </w:hyperlink>
    </w:p>
    <w:p w14:paraId="6CEE58DD" w14:textId="45408DC8" w:rsidR="00BE797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20" w:history="1">
        <w:r w:rsidR="00BE7974" w:rsidRPr="00C61323">
          <w:rPr>
            <w:rStyle w:val="Hyperlink"/>
          </w:rPr>
          <w:t>Grandes Amigos</w:t>
        </w:r>
      </w:hyperlink>
    </w:p>
    <w:p w14:paraId="4821C4D6" w14:textId="21E23DFC" w:rsidR="00D93EA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21" w:history="1">
        <w:r w:rsidR="00D93EA4" w:rsidRPr="00C61323">
          <w:rPr>
            <w:rStyle w:val="Hyperlink"/>
          </w:rPr>
          <w:t>Fundación Pilares para la autonomía personal</w:t>
        </w:r>
      </w:hyperlink>
    </w:p>
    <w:p w14:paraId="6CE50585" w14:textId="37EE54F1" w:rsidR="00D93EA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22" w:history="1">
        <w:r w:rsidR="00D93EA4" w:rsidRPr="00C61323">
          <w:rPr>
            <w:rStyle w:val="Hyperlink"/>
          </w:rPr>
          <w:t>ONCE</w:t>
        </w:r>
      </w:hyperlink>
    </w:p>
    <w:p w14:paraId="16E6416D" w14:textId="3C71CFFC" w:rsidR="00D93EA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23" w:history="1">
        <w:r w:rsidR="00D93EA4" w:rsidRPr="00C61323">
          <w:rPr>
            <w:rStyle w:val="Hyperlink"/>
          </w:rPr>
          <w:t>Plataforma de ONG de Acción Social</w:t>
        </w:r>
      </w:hyperlink>
    </w:p>
    <w:p w14:paraId="22B0EDB8" w14:textId="6A1FDC05" w:rsidR="00D93EA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24" w:history="1">
        <w:r w:rsidR="00D93EA4" w:rsidRPr="00C61323">
          <w:rPr>
            <w:rStyle w:val="Hyperlink"/>
          </w:rPr>
          <w:t>Fundación Pasqual Maragall</w:t>
        </w:r>
      </w:hyperlink>
    </w:p>
    <w:p w14:paraId="54273C00" w14:textId="58EBA55E" w:rsidR="00D93EA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25" w:history="1">
        <w:r w:rsidR="00D93EA4" w:rsidRPr="00C61323">
          <w:rPr>
            <w:rStyle w:val="Hyperlink"/>
          </w:rPr>
          <w:t>Sociedad Española de Geriatría y Gerontología</w:t>
        </w:r>
      </w:hyperlink>
    </w:p>
    <w:p w14:paraId="5D32F976" w14:textId="0F004D96" w:rsidR="00D93EA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26" w:history="1">
        <w:r w:rsidR="00D93EA4" w:rsidRPr="00C61323">
          <w:rPr>
            <w:rStyle w:val="Hyperlink"/>
          </w:rPr>
          <w:t>Plataforma Tercer Sector</w:t>
        </w:r>
      </w:hyperlink>
    </w:p>
    <w:p w14:paraId="20F7A4A2" w14:textId="4BE9BA42" w:rsidR="00D93EA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27" w:history="1">
        <w:r w:rsidR="00D93EA4" w:rsidRPr="00C61323">
          <w:rPr>
            <w:rStyle w:val="Hyperlink"/>
          </w:rPr>
          <w:t>Mayores UDP - Unión democrática de pensionistas y jubilados de España</w:t>
        </w:r>
      </w:hyperlink>
    </w:p>
    <w:p w14:paraId="6DA84738" w14:textId="2B16490B" w:rsidR="00D93EA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28" w:history="1">
        <w:r w:rsidR="00D93EA4" w:rsidRPr="00C61323">
          <w:rPr>
            <w:rStyle w:val="Hyperlink"/>
          </w:rPr>
          <w:t>UGT-UJP – Unión de jubilados y pensionistas</w:t>
        </w:r>
      </w:hyperlink>
    </w:p>
    <w:p w14:paraId="584118B0" w14:textId="142ED31B" w:rsidR="00D93EA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29" w:history="1">
        <w:r w:rsidR="00D93EA4" w:rsidRPr="00C61323">
          <w:rPr>
            <w:rStyle w:val="Hyperlink"/>
          </w:rPr>
          <w:t>EAPN-ES - European Anti Poverty Network</w:t>
        </w:r>
      </w:hyperlink>
    </w:p>
    <w:p w14:paraId="18B86BCE" w14:textId="74EA3FC9" w:rsidR="00D93EA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30" w:history="1">
        <w:r w:rsidR="00D93EA4" w:rsidRPr="00C61323">
          <w:rPr>
            <w:rStyle w:val="Hyperlink"/>
          </w:rPr>
          <w:t>emancipaTIC</w:t>
        </w:r>
      </w:hyperlink>
    </w:p>
    <w:p w14:paraId="6D9CA239" w14:textId="77FB2E4E" w:rsidR="00D93EA4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31" w:history="1">
        <w:r w:rsidR="00D93EA4" w:rsidRPr="00C61323">
          <w:rPr>
            <w:rStyle w:val="Hyperlink"/>
          </w:rPr>
          <w:t>Plataforma del Voluntariado de España</w:t>
        </w:r>
      </w:hyperlink>
    </w:p>
    <w:p w14:paraId="63A2A546" w14:textId="79A2589B" w:rsidR="00D93EA4" w:rsidRPr="004405D9" w:rsidRDefault="000F4010" w:rsidP="00D93EA4">
      <w:pPr>
        <w:pStyle w:val="ListParagraph"/>
        <w:numPr>
          <w:ilvl w:val="0"/>
          <w:numId w:val="5"/>
        </w:numPr>
        <w:spacing w:line="480" w:lineRule="auto"/>
      </w:pPr>
      <w:hyperlink r:id="rId32" w:history="1">
        <w:r w:rsidR="00D93EA4" w:rsidRPr="00AD7C75">
          <w:rPr>
            <w:rStyle w:val="Hyperlink"/>
          </w:rPr>
          <w:t>CCOO</w:t>
        </w:r>
        <w:r w:rsidR="00C61323" w:rsidRPr="00AD7C75">
          <w:rPr>
            <w:rStyle w:val="Hyperlink"/>
          </w:rPr>
          <w:t xml:space="preserve"> – Federación de </w:t>
        </w:r>
        <w:r w:rsidR="00D93EA4" w:rsidRPr="00AD7C75">
          <w:rPr>
            <w:rStyle w:val="Hyperlink"/>
          </w:rPr>
          <w:t>Pensionistas</w:t>
        </w:r>
        <w:r w:rsidR="00C61323" w:rsidRPr="00AD7C75">
          <w:rPr>
            <w:rStyle w:val="Hyperlink"/>
          </w:rPr>
          <w:t xml:space="preserve"> y jubilados</w:t>
        </w:r>
      </w:hyperlink>
    </w:p>
    <w:sectPr w:rsidR="00D93EA4" w:rsidRPr="004405D9">
      <w:headerReference w:type="default" r:id="rId33"/>
      <w:footerReference w:type="default" r:id="rId3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AEF71" w14:textId="77777777" w:rsidR="00D83AE0" w:rsidRDefault="00D83AE0" w:rsidP="00B47A66">
      <w:pPr>
        <w:spacing w:after="0"/>
      </w:pPr>
      <w:r>
        <w:separator/>
      </w:r>
    </w:p>
  </w:endnote>
  <w:endnote w:type="continuationSeparator" w:id="0">
    <w:p w14:paraId="2318BE92" w14:textId="77777777" w:rsidR="00D83AE0" w:rsidRDefault="00D83AE0" w:rsidP="00B47A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xia XBold">
    <w:charset w:val="00"/>
    <w:family w:val="roman"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590616"/>
      <w:docPartObj>
        <w:docPartGallery w:val="Page Numbers (Bottom of Page)"/>
        <w:docPartUnique/>
      </w:docPartObj>
    </w:sdtPr>
    <w:sdtEndPr/>
    <w:sdtContent>
      <w:p w14:paraId="0B8A7EA4" w14:textId="76C545FA" w:rsidR="00484BA5" w:rsidRDefault="00484B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010">
          <w:rPr>
            <w:noProof/>
          </w:rPr>
          <w:t>1</w:t>
        </w:r>
        <w:r>
          <w:fldChar w:fldCharType="end"/>
        </w:r>
      </w:p>
    </w:sdtContent>
  </w:sdt>
  <w:p w14:paraId="15FA5C29" w14:textId="77777777" w:rsidR="00484BA5" w:rsidRDefault="00484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DBCAA" w14:textId="77777777" w:rsidR="00D83AE0" w:rsidRDefault="00D83AE0" w:rsidP="00B47A66">
      <w:pPr>
        <w:spacing w:after="0"/>
      </w:pPr>
      <w:r>
        <w:separator/>
      </w:r>
    </w:p>
  </w:footnote>
  <w:footnote w:type="continuationSeparator" w:id="0">
    <w:p w14:paraId="2CB62B4F" w14:textId="77777777" w:rsidR="00D83AE0" w:rsidRDefault="00D83AE0" w:rsidP="00B47A66">
      <w:pPr>
        <w:spacing w:after="0"/>
      </w:pPr>
      <w:r>
        <w:continuationSeparator/>
      </w:r>
    </w:p>
  </w:footnote>
  <w:footnote w:id="1">
    <w:p w14:paraId="1C44F55B" w14:textId="1A4F471A" w:rsidR="0018008B" w:rsidRPr="00AF4B7C" w:rsidRDefault="0018008B">
      <w:pPr>
        <w:pStyle w:val="FootnoteText"/>
        <w:rPr>
          <w:rFonts w:asciiTheme="majorHAnsi" w:hAnsiTheme="majorHAnsi"/>
          <w:sz w:val="16"/>
          <w:szCs w:val="16"/>
          <w:lang w:val="en-US"/>
        </w:rPr>
      </w:pPr>
      <w:r w:rsidRPr="0018008B">
        <w:rPr>
          <w:rStyle w:val="FootnoteReference"/>
          <w:rFonts w:asciiTheme="majorHAnsi" w:hAnsiTheme="majorHAnsi"/>
        </w:rPr>
        <w:footnoteRef/>
      </w:r>
      <w:r w:rsidRPr="0018008B">
        <w:rPr>
          <w:rFonts w:asciiTheme="majorHAnsi" w:hAnsiTheme="majorHAnsi"/>
        </w:rPr>
        <w:t xml:space="preserve"> </w:t>
      </w:r>
      <w:hyperlink r:id="rId1" w:history="1">
        <w:r w:rsidRPr="00AF4B7C">
          <w:rPr>
            <w:rStyle w:val="Hyperlink"/>
            <w:rFonts w:asciiTheme="majorHAnsi" w:hAnsiTheme="majorHAnsi"/>
            <w:sz w:val="16"/>
            <w:szCs w:val="16"/>
            <w:lang w:val="en-US"/>
          </w:rPr>
          <w:t>Policy Brief: The Impact of COVID-19 on older persons</w:t>
        </w:r>
      </w:hyperlink>
      <w:r w:rsidRPr="0018008B">
        <w:rPr>
          <w:rFonts w:asciiTheme="majorHAnsi" w:hAnsiTheme="majorHAnsi"/>
          <w:sz w:val="16"/>
          <w:szCs w:val="16"/>
        </w:rPr>
        <w:t>, mayo 2020.</w:t>
      </w:r>
    </w:p>
  </w:footnote>
  <w:footnote w:id="2">
    <w:p w14:paraId="47537139" w14:textId="491DE10B" w:rsidR="0018008B" w:rsidRPr="00AF4B7C" w:rsidRDefault="0018008B">
      <w:pPr>
        <w:pStyle w:val="FootnoteText"/>
        <w:rPr>
          <w:rFonts w:asciiTheme="majorHAnsi" w:hAnsiTheme="majorHAnsi"/>
          <w:lang w:val="en-US"/>
        </w:rPr>
      </w:pPr>
      <w:r w:rsidRPr="0018008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18008B">
        <w:rPr>
          <w:rFonts w:asciiTheme="majorHAnsi" w:hAnsiTheme="majorHAnsi"/>
          <w:sz w:val="16"/>
          <w:szCs w:val="16"/>
        </w:rPr>
        <w:t xml:space="preserve"> </w:t>
      </w:r>
      <w:hyperlink r:id="rId2" w:history="1">
        <w:r w:rsidRPr="00AF4B7C">
          <w:rPr>
            <w:rStyle w:val="Hyperlink"/>
            <w:rFonts w:asciiTheme="majorHAnsi" w:hAnsiTheme="majorHAnsi"/>
            <w:sz w:val="16"/>
            <w:szCs w:val="16"/>
            <w:lang w:val="en-US"/>
          </w:rPr>
          <w:t>Update to the 2012 Analytical Outcome Study on the normative standards in international human rights law in relation to older persons</w:t>
        </w:r>
      </w:hyperlink>
      <w:r w:rsidRPr="00AF4B7C">
        <w:rPr>
          <w:rFonts w:asciiTheme="majorHAnsi" w:hAnsiTheme="majorHAnsi"/>
          <w:sz w:val="16"/>
          <w:szCs w:val="16"/>
          <w:lang w:val="en-US"/>
        </w:rPr>
        <w:t>, marzo 2021.</w:t>
      </w:r>
    </w:p>
  </w:footnote>
  <w:footnote w:id="3">
    <w:p w14:paraId="341F1116" w14:textId="222CB484" w:rsidR="0018008B" w:rsidRPr="0018008B" w:rsidRDefault="0018008B">
      <w:pPr>
        <w:pStyle w:val="FootnoteText"/>
        <w:rPr>
          <w:rFonts w:asciiTheme="majorHAnsi" w:hAnsiTheme="majorHAnsi"/>
          <w:lang w:val="es-ES"/>
        </w:rPr>
      </w:pPr>
      <w:r w:rsidRPr="0018008B">
        <w:rPr>
          <w:rStyle w:val="FootnoteReference"/>
          <w:rFonts w:asciiTheme="majorHAnsi" w:hAnsiTheme="majorHAnsi"/>
        </w:rPr>
        <w:footnoteRef/>
      </w:r>
      <w:r w:rsidRPr="00AF4B7C">
        <w:rPr>
          <w:rFonts w:asciiTheme="majorHAnsi" w:hAnsiTheme="majorHAnsi"/>
          <w:lang w:val="es-ES"/>
        </w:rPr>
        <w:t xml:space="preserve"> </w:t>
      </w:r>
      <w:hyperlink r:id="rId3" w:history="1">
        <w:r w:rsidRPr="0018008B">
          <w:rPr>
            <w:rStyle w:val="Hyperlink"/>
            <w:rFonts w:asciiTheme="majorHAnsi" w:hAnsiTheme="majorHAnsi"/>
            <w:sz w:val="16"/>
            <w:szCs w:val="16"/>
            <w:lang w:val="es-ES"/>
          </w:rPr>
          <w:t>Impacto de la enfermedad por coronavirus (COVID-19) en el disfrute de todos los derechos humanos por las personas de edad</w:t>
        </w:r>
      </w:hyperlink>
      <w:r w:rsidRPr="00AF4B7C">
        <w:rPr>
          <w:rFonts w:asciiTheme="majorHAnsi" w:hAnsiTheme="majorHAnsi"/>
          <w:sz w:val="16"/>
          <w:szCs w:val="16"/>
          <w:lang w:val="es-ES"/>
        </w:rPr>
        <w:t>, julio 2020.</w:t>
      </w:r>
    </w:p>
  </w:footnote>
  <w:footnote w:id="4">
    <w:p w14:paraId="08D7DBBD" w14:textId="4C55C7CE" w:rsidR="0018008B" w:rsidRPr="0018008B" w:rsidRDefault="0018008B">
      <w:pPr>
        <w:pStyle w:val="FootnoteText"/>
        <w:rPr>
          <w:sz w:val="16"/>
          <w:szCs w:val="16"/>
          <w:lang w:val="es-ES"/>
        </w:rPr>
      </w:pPr>
      <w:r w:rsidRPr="0018008B">
        <w:rPr>
          <w:rStyle w:val="FootnoteReference"/>
          <w:rFonts w:asciiTheme="majorHAnsi" w:hAnsiTheme="majorHAnsi"/>
        </w:rPr>
        <w:footnoteRef/>
      </w:r>
      <w:r w:rsidRPr="00AF4B7C">
        <w:rPr>
          <w:rFonts w:asciiTheme="majorHAnsi" w:hAnsiTheme="majorHAnsi"/>
          <w:lang w:val="es-ES"/>
        </w:rPr>
        <w:t xml:space="preserve"> </w:t>
      </w:r>
      <w:hyperlink r:id="rId4" w:history="1">
        <w:r w:rsidRPr="0018008B">
          <w:rPr>
            <w:rStyle w:val="Hyperlink"/>
            <w:rFonts w:asciiTheme="majorHAnsi" w:hAnsiTheme="majorHAnsi"/>
            <w:sz w:val="16"/>
            <w:szCs w:val="16"/>
            <w:lang w:val="es-ES"/>
          </w:rPr>
          <w:t>Conclusiones del Consejo sobre una recuperación tras la COVID-19 basada en los derechos humanos</w:t>
        </w:r>
      </w:hyperlink>
      <w:r>
        <w:rPr>
          <w:rFonts w:asciiTheme="majorHAnsi" w:hAnsiTheme="majorHAnsi"/>
          <w:sz w:val="16"/>
          <w:szCs w:val="16"/>
          <w:lang w:val="es-ES"/>
        </w:rPr>
        <w:t>, febrero 2021.</w:t>
      </w:r>
    </w:p>
  </w:footnote>
  <w:footnote w:id="5">
    <w:p w14:paraId="4A231C8E" w14:textId="74087EC1" w:rsidR="0018008B" w:rsidRPr="00AF4B7C" w:rsidRDefault="001800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AF4B7C">
          <w:rPr>
            <w:rStyle w:val="Hyperlink"/>
            <w:sz w:val="16"/>
            <w:szCs w:val="16"/>
            <w:lang w:val="en-US"/>
          </w:rPr>
          <w:t>Statement of Support to the UN Secretary General`s Policy Brief on The Impact of COVID-19 on Older Persons</w:t>
        </w:r>
      </w:hyperlink>
      <w:r w:rsidR="001003E1" w:rsidRPr="00AF4B7C">
        <w:rPr>
          <w:sz w:val="16"/>
          <w:szCs w:val="16"/>
          <w:lang w:val="en-US"/>
        </w:rPr>
        <w:t>, mayo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22B17" w14:textId="47B0425D" w:rsidR="00B47A66" w:rsidRPr="00B47A66" w:rsidRDefault="00B47A66" w:rsidP="00B47A66">
    <w:pPr>
      <w:pStyle w:val="Heading2"/>
      <w:rPr>
        <w:sz w:val="20"/>
        <w:szCs w:val="20"/>
      </w:rPr>
    </w:pPr>
    <w:r w:rsidRPr="00B47A66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5E6CE346" wp14:editId="492C94E2">
          <wp:simplePos x="0" y="0"/>
          <wp:positionH relativeFrom="column">
            <wp:posOffset>4460875</wp:posOffset>
          </wp:positionH>
          <wp:positionV relativeFrom="paragraph">
            <wp:posOffset>-313055</wp:posOffset>
          </wp:positionV>
          <wp:extent cx="1864995" cy="746125"/>
          <wp:effectExtent l="0" t="0" r="1905" b="0"/>
          <wp:wrapThrough wrapText="bothSides">
            <wp:wrapPolygon edited="0">
              <wp:start x="3530" y="551"/>
              <wp:lineTo x="221" y="9375"/>
              <wp:lineTo x="221" y="11581"/>
              <wp:lineTo x="2868" y="19302"/>
              <wp:lineTo x="3751" y="20957"/>
              <wp:lineTo x="5295" y="20957"/>
              <wp:lineTo x="15224" y="19302"/>
              <wp:lineTo x="21181" y="15993"/>
              <wp:lineTo x="21401" y="4412"/>
              <wp:lineTo x="17871" y="2757"/>
              <wp:lineTo x="5516" y="551"/>
              <wp:lineTo x="3530" y="551"/>
            </wp:wrapPolygon>
          </wp:wrapThrough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A66">
      <w:rPr>
        <w:sz w:val="20"/>
        <w:szCs w:val="20"/>
      </w:rPr>
      <w:t xml:space="preserve"> </w:t>
    </w:r>
  </w:p>
  <w:p w14:paraId="1181947D" w14:textId="23EB8B8B" w:rsidR="00B47A66" w:rsidRDefault="00B47A66" w:rsidP="00B47A66">
    <w:pPr>
      <w:pStyle w:val="Header"/>
      <w:tabs>
        <w:tab w:val="clear" w:pos="8504"/>
        <w:tab w:val="left" w:pos="6257"/>
      </w:tabs>
      <w:rPr>
        <w:b/>
        <w:color w:val="F15720" w:themeColor="accent3"/>
        <w:szCs w:val="20"/>
      </w:rPr>
    </w:pPr>
    <w:r w:rsidRPr="00B47A66">
      <w:rPr>
        <w:b/>
        <w:color w:val="F15720" w:themeColor="accent3"/>
        <w:szCs w:val="20"/>
      </w:rPr>
      <w:t>Mesa Estatal por los derechos de las personas mayores</w:t>
    </w:r>
  </w:p>
  <w:p w14:paraId="1E550986" w14:textId="3F5B0BBB" w:rsidR="000037E7" w:rsidRDefault="000037E7" w:rsidP="00B47A66">
    <w:pPr>
      <w:pStyle w:val="Header"/>
      <w:tabs>
        <w:tab w:val="clear" w:pos="8504"/>
        <w:tab w:val="left" w:pos="6257"/>
      </w:tabs>
      <w:rPr>
        <w:b/>
        <w:color w:val="F15720" w:themeColor="accent3"/>
        <w:szCs w:val="20"/>
      </w:rPr>
    </w:pPr>
  </w:p>
  <w:p w14:paraId="22DDEBAA" w14:textId="77777777" w:rsidR="000037E7" w:rsidRPr="00B47A66" w:rsidRDefault="000037E7" w:rsidP="00B47A66">
    <w:pPr>
      <w:pStyle w:val="Header"/>
      <w:tabs>
        <w:tab w:val="clear" w:pos="8504"/>
        <w:tab w:val="left" w:pos="6257"/>
      </w:tabs>
      <w:rPr>
        <w:color w:val="F15720" w:themeColor="accent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2F297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bCs/>
        <w:i w:val="0"/>
        <w:iCs w:val="0"/>
        <w:color w:val="F33062"/>
        <w:sz w:val="20"/>
        <w:szCs w:val="20"/>
      </w:rPr>
    </w:lvl>
  </w:abstractNum>
  <w:abstractNum w:abstractNumId="1" w15:restartNumberingAfterBreak="0">
    <w:nsid w:val="FFFFFF89"/>
    <w:multiLevelType w:val="singleLevel"/>
    <w:tmpl w:val="09685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000A02"/>
    <w:multiLevelType w:val="hybridMultilevel"/>
    <w:tmpl w:val="CE6E123C"/>
    <w:lvl w:ilvl="0" w:tplc="2D52F2DE">
      <w:start w:val="1"/>
      <w:numFmt w:val="bullet"/>
      <w:pStyle w:val="List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1572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0F33"/>
    <w:multiLevelType w:val="hybridMultilevel"/>
    <w:tmpl w:val="AFA04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66"/>
    <w:rsid w:val="000037E7"/>
    <w:rsid w:val="00006707"/>
    <w:rsid w:val="00010259"/>
    <w:rsid w:val="00012C28"/>
    <w:rsid w:val="000245E4"/>
    <w:rsid w:val="00066FB5"/>
    <w:rsid w:val="000C3946"/>
    <w:rsid w:val="000C500B"/>
    <w:rsid w:val="000F4010"/>
    <w:rsid w:val="001003E1"/>
    <w:rsid w:val="0018008B"/>
    <w:rsid w:val="001E660D"/>
    <w:rsid w:val="001F68EE"/>
    <w:rsid w:val="00210DDC"/>
    <w:rsid w:val="002A0CF9"/>
    <w:rsid w:val="002B69BC"/>
    <w:rsid w:val="0039226D"/>
    <w:rsid w:val="0044059B"/>
    <w:rsid w:val="004405D9"/>
    <w:rsid w:val="00484BA5"/>
    <w:rsid w:val="004D6C40"/>
    <w:rsid w:val="005362A1"/>
    <w:rsid w:val="00582FA7"/>
    <w:rsid w:val="005D7192"/>
    <w:rsid w:val="005E43CC"/>
    <w:rsid w:val="0060529A"/>
    <w:rsid w:val="006167F3"/>
    <w:rsid w:val="006456E0"/>
    <w:rsid w:val="006F62B1"/>
    <w:rsid w:val="007544BD"/>
    <w:rsid w:val="007E700B"/>
    <w:rsid w:val="007F575A"/>
    <w:rsid w:val="007F77ED"/>
    <w:rsid w:val="00801830"/>
    <w:rsid w:val="008142EA"/>
    <w:rsid w:val="00847925"/>
    <w:rsid w:val="00853EF5"/>
    <w:rsid w:val="008A0BE0"/>
    <w:rsid w:val="009550DD"/>
    <w:rsid w:val="009C2024"/>
    <w:rsid w:val="00A43732"/>
    <w:rsid w:val="00A64DB5"/>
    <w:rsid w:val="00A97D71"/>
    <w:rsid w:val="00AA1697"/>
    <w:rsid w:val="00AD7A4A"/>
    <w:rsid w:val="00AD7C75"/>
    <w:rsid w:val="00AF4B7C"/>
    <w:rsid w:val="00B47A66"/>
    <w:rsid w:val="00BC20CB"/>
    <w:rsid w:val="00BD3E5F"/>
    <w:rsid w:val="00BE7974"/>
    <w:rsid w:val="00C02B05"/>
    <w:rsid w:val="00C24017"/>
    <w:rsid w:val="00C61323"/>
    <w:rsid w:val="00C6297A"/>
    <w:rsid w:val="00C94E81"/>
    <w:rsid w:val="00CB1EF2"/>
    <w:rsid w:val="00CD24B3"/>
    <w:rsid w:val="00D350D1"/>
    <w:rsid w:val="00D83AE0"/>
    <w:rsid w:val="00D93EA4"/>
    <w:rsid w:val="00DA03E8"/>
    <w:rsid w:val="00DA5F9B"/>
    <w:rsid w:val="00DB6839"/>
    <w:rsid w:val="00DE75F4"/>
    <w:rsid w:val="00E42938"/>
    <w:rsid w:val="00E53BE6"/>
    <w:rsid w:val="00E8462B"/>
    <w:rsid w:val="00F7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58022"/>
  <w15:chartTrackingRefBased/>
  <w15:docId w15:val="{BD1B38E5-AF26-42AD-AD99-7FC37D78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EE"/>
    <w:pPr>
      <w:spacing w:after="12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1F68EE"/>
    <w:pPr>
      <w:keepNext/>
      <w:spacing w:before="60"/>
      <w:outlineLvl w:val="0"/>
    </w:pPr>
    <w:rPr>
      <w:color w:val="F33062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1F68EE"/>
    <w:pPr>
      <w:keepNext/>
      <w:spacing w:before="60"/>
      <w:outlineLvl w:val="1"/>
    </w:pPr>
    <w:rPr>
      <w:b/>
      <w:color w:val="F15720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F68EE"/>
    <w:pPr>
      <w:keepNext/>
      <w:spacing w:before="80" w:after="60"/>
      <w:outlineLvl w:val="2"/>
    </w:pPr>
    <w:rPr>
      <w:b/>
      <w:color w:val="C9231E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1F68EE"/>
    <w:pPr>
      <w:keepNext/>
      <w:spacing w:before="80" w:after="60"/>
      <w:outlineLvl w:val="3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rsid w:val="00C24017"/>
    <w:pPr>
      <w:numPr>
        <w:ilvl w:val="1"/>
      </w:numPr>
      <w:jc w:val="both"/>
    </w:pPr>
    <w:rPr>
      <w:rFonts w:eastAsiaTheme="minorEastAsia" w:cstheme="minorBidi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4017"/>
    <w:rPr>
      <w:rFonts w:eastAsiaTheme="minorEastAsia" w:cstheme="minorBidi"/>
      <w:color w:val="auto"/>
      <w:spacing w:val="15"/>
      <w:sz w:val="20"/>
      <w:szCs w:val="22"/>
    </w:rPr>
  </w:style>
  <w:style w:type="paragraph" w:customStyle="1" w:styleId="Quotelarge">
    <w:name w:val="Quote large"/>
    <w:basedOn w:val="Quote"/>
    <w:next w:val="Quotecredit"/>
    <w:qFormat/>
    <w:rsid w:val="001F68EE"/>
    <w:rPr>
      <w:sz w:val="28"/>
    </w:rPr>
  </w:style>
  <w:style w:type="paragraph" w:styleId="Quote">
    <w:name w:val="Quote"/>
    <w:basedOn w:val="Normal"/>
    <w:next w:val="Quotecredit"/>
    <w:link w:val="QuoteChar"/>
    <w:qFormat/>
    <w:rsid w:val="001F68EE"/>
    <w:pPr>
      <w:spacing w:after="60"/>
    </w:pPr>
    <w:rPr>
      <w:i/>
      <w:iCs/>
      <w:color w:val="C9231E"/>
    </w:rPr>
  </w:style>
  <w:style w:type="character" w:customStyle="1" w:styleId="QuoteChar">
    <w:name w:val="Quote Char"/>
    <w:link w:val="Quote"/>
    <w:rsid w:val="001F68EE"/>
    <w:rPr>
      <w:rFonts w:ascii="Verdana" w:hAnsi="Verdana"/>
      <w:i/>
      <w:iCs/>
      <w:color w:val="C9231E"/>
      <w:szCs w:val="24"/>
    </w:rPr>
  </w:style>
  <w:style w:type="paragraph" w:customStyle="1" w:styleId="Quotecredit">
    <w:name w:val="Quote credit"/>
    <w:basedOn w:val="Quote"/>
    <w:next w:val="Normal"/>
    <w:qFormat/>
    <w:rsid w:val="001F68EE"/>
    <w:rPr>
      <w:i w:val="0"/>
    </w:rPr>
  </w:style>
  <w:style w:type="paragraph" w:customStyle="1" w:styleId="CreditSourceSmalltext">
    <w:name w:val="Credit / Source / Small text"/>
    <w:basedOn w:val="Normal"/>
    <w:qFormat/>
    <w:rsid w:val="001F68EE"/>
    <w:pPr>
      <w:spacing w:after="60"/>
    </w:pPr>
    <w:rPr>
      <w:sz w:val="16"/>
    </w:rPr>
  </w:style>
  <w:style w:type="paragraph" w:customStyle="1" w:styleId="Introduction">
    <w:name w:val="Introduction"/>
    <w:basedOn w:val="Normal"/>
    <w:qFormat/>
    <w:rsid w:val="001F68EE"/>
    <w:rPr>
      <w:b/>
      <w:color w:val="000000"/>
    </w:rPr>
  </w:style>
  <w:style w:type="character" w:customStyle="1" w:styleId="Heading1Char">
    <w:name w:val="Heading 1 Char"/>
    <w:basedOn w:val="DefaultParagraphFont"/>
    <w:link w:val="Heading1"/>
    <w:rsid w:val="001F68EE"/>
    <w:rPr>
      <w:rFonts w:ascii="Verdana" w:hAnsi="Verdana"/>
      <w:color w:val="F33062"/>
      <w:kern w:val="32"/>
      <w:sz w:val="44"/>
      <w:szCs w:val="32"/>
    </w:rPr>
  </w:style>
  <w:style w:type="character" w:customStyle="1" w:styleId="Heading2Char">
    <w:name w:val="Heading 2 Char"/>
    <w:link w:val="Heading2"/>
    <w:rsid w:val="001F68EE"/>
    <w:rPr>
      <w:rFonts w:ascii="Verdana" w:hAnsi="Verdana"/>
      <w:b/>
      <w:color w:val="F157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1F68EE"/>
    <w:rPr>
      <w:rFonts w:ascii="Verdana" w:hAnsi="Verdana"/>
      <w:b/>
      <w:color w:val="C9231E"/>
      <w:sz w:val="24"/>
      <w:szCs w:val="26"/>
    </w:rPr>
  </w:style>
  <w:style w:type="character" w:customStyle="1" w:styleId="Heading4Char">
    <w:name w:val="Heading 4 Char"/>
    <w:link w:val="Heading4"/>
    <w:rsid w:val="001F68EE"/>
    <w:rPr>
      <w:rFonts w:ascii="Verdana" w:hAnsi="Verdana"/>
      <w:b/>
      <w:color w:val="000000"/>
      <w:szCs w:val="24"/>
    </w:rPr>
  </w:style>
  <w:style w:type="paragraph" w:styleId="Caption">
    <w:name w:val="caption"/>
    <w:basedOn w:val="Normal"/>
    <w:next w:val="Normal"/>
    <w:qFormat/>
    <w:rsid w:val="001F68EE"/>
    <w:pPr>
      <w:spacing w:after="60"/>
    </w:pPr>
    <w:rPr>
      <w:b/>
      <w:bCs/>
      <w:i/>
      <w:color w:val="8A7C66"/>
      <w:szCs w:val="20"/>
    </w:rPr>
  </w:style>
  <w:style w:type="paragraph" w:styleId="EndnoteText">
    <w:name w:val="endnote text"/>
    <w:basedOn w:val="Normal"/>
    <w:link w:val="EndnoteTextChar"/>
    <w:qFormat/>
    <w:rsid w:val="001F68EE"/>
    <w:rPr>
      <w:sz w:val="16"/>
    </w:rPr>
  </w:style>
  <w:style w:type="character" w:customStyle="1" w:styleId="EndnoteTextChar">
    <w:name w:val="Endnote Text Char"/>
    <w:link w:val="EndnoteText"/>
    <w:rsid w:val="001F68EE"/>
    <w:rPr>
      <w:rFonts w:ascii="Verdana" w:hAnsi="Verdana"/>
      <w:sz w:val="16"/>
      <w:szCs w:val="24"/>
    </w:rPr>
  </w:style>
  <w:style w:type="paragraph" w:styleId="ListBullet">
    <w:name w:val="List Bullet"/>
    <w:basedOn w:val="Normal"/>
    <w:autoRedefine/>
    <w:qFormat/>
    <w:rsid w:val="001F68EE"/>
    <w:pPr>
      <w:numPr>
        <w:numId w:val="2"/>
      </w:numPr>
      <w:tabs>
        <w:tab w:val="left" w:pos="170"/>
      </w:tabs>
    </w:pPr>
  </w:style>
  <w:style w:type="paragraph" w:styleId="ListNumber">
    <w:name w:val="List Number"/>
    <w:basedOn w:val="Normal"/>
    <w:qFormat/>
    <w:rsid w:val="001F68EE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68EE"/>
  </w:style>
  <w:style w:type="paragraph" w:styleId="Header">
    <w:name w:val="header"/>
    <w:basedOn w:val="Normal"/>
    <w:link w:val="HeaderChar"/>
    <w:uiPriority w:val="99"/>
    <w:unhideWhenUsed/>
    <w:rsid w:val="00B47A66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7A66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A66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7A66"/>
    <w:rPr>
      <w:rFonts w:ascii="Verdana" w:hAnsi="Verdana"/>
      <w:szCs w:val="24"/>
    </w:rPr>
  </w:style>
  <w:style w:type="paragraph" w:styleId="FootnoteText">
    <w:name w:val="footnote text"/>
    <w:aliases w:val="Footnote Text Char Char Char Char Char,Footnote Text Char Char Char Char,Footnote reference,FA Fu,Footnote Text Char Char Char,Footnote Text Cha,FA Fußnotentext,FA Fuﬂnotentext,Footnote Text Char Char,footnote text,5_G"/>
    <w:basedOn w:val="Normal"/>
    <w:link w:val="FootnoteTextChar"/>
    <w:uiPriority w:val="99"/>
    <w:unhideWhenUsed/>
    <w:qFormat/>
    <w:rsid w:val="00C94E81"/>
    <w:pPr>
      <w:spacing w:after="0"/>
    </w:pPr>
    <w:rPr>
      <w:rFonts w:asciiTheme="minorHAnsi" w:eastAsiaTheme="minorHAnsi" w:hAnsiTheme="minorHAnsi" w:cstheme="minorBidi"/>
      <w:szCs w:val="20"/>
      <w:lang w:val="en-GB"/>
    </w:rPr>
  </w:style>
  <w:style w:type="character" w:customStyle="1" w:styleId="FootnoteTextChar">
    <w:name w:val="Footnote Text Char"/>
    <w:aliases w:val="Footnote Text Char Char Char Char Char Char,Footnote Text Char Char Char Char Char1,Footnote reference Char,FA Fu Char,Footnote Text Char Char Char Char1,Footnote Text Cha Char,FA Fußnotentext Char,FA Fuﬂnotentext Char,5_G Char"/>
    <w:basedOn w:val="DefaultParagraphFont"/>
    <w:link w:val="FootnoteText"/>
    <w:uiPriority w:val="99"/>
    <w:rsid w:val="00C94E81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aliases w:val="4_G,Footnotes refss,Footnote Ref,16 Point,Superscript 6 Point,callout,Ref,de nota al pie,Appel note de bas de p.,Appel note de bas de page,FZ,Footnote Refernece,Footnote number,Footnote text,a Footnote Reference,ftref,Style 10"/>
    <w:basedOn w:val="DefaultParagraphFont"/>
    <w:uiPriority w:val="99"/>
    <w:unhideWhenUsed/>
    <w:qFormat/>
    <w:rsid w:val="00C94E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4E81"/>
    <w:rPr>
      <w:color w:val="8A7B6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0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D9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umas.org/" TargetMode="External"/><Relationship Id="rId18" Type="http://schemas.openxmlformats.org/officeDocument/2006/relationships/hyperlink" Target="https://fmujeresprogresistas.org/" TargetMode="External"/><Relationship Id="rId26" Type="http://schemas.openxmlformats.org/officeDocument/2006/relationships/hyperlink" Target="http://www.plataformatercersector.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undacionpilares.org/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helpage.es/" TargetMode="External"/><Relationship Id="rId17" Type="http://schemas.openxmlformats.org/officeDocument/2006/relationships/hyperlink" Target="https://www.cermi.es/" TargetMode="External"/><Relationship Id="rId25" Type="http://schemas.openxmlformats.org/officeDocument/2006/relationships/hyperlink" Target="https://www.segg.es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ritas.es/" TargetMode="External"/><Relationship Id="rId20" Type="http://schemas.openxmlformats.org/officeDocument/2006/relationships/hyperlink" Target="https://grandesamigos.org/" TargetMode="External"/><Relationship Id="rId29" Type="http://schemas.openxmlformats.org/officeDocument/2006/relationships/hyperlink" Target="https://www.eapn.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fpmaragall.org/" TargetMode="External"/><Relationship Id="rId32" Type="http://schemas.openxmlformats.org/officeDocument/2006/relationships/hyperlink" Target="https://pensionistas.ccoo.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cruzroja.es/" TargetMode="External"/><Relationship Id="rId23" Type="http://schemas.openxmlformats.org/officeDocument/2006/relationships/hyperlink" Target="https://www.plataformaong.org/" TargetMode="External"/><Relationship Id="rId28" Type="http://schemas.openxmlformats.org/officeDocument/2006/relationships/hyperlink" Target="https://www.jubiladosugt.org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lares.org.es/" TargetMode="External"/><Relationship Id="rId31" Type="http://schemas.openxmlformats.org/officeDocument/2006/relationships/hyperlink" Target="https://plataformavoluntariado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oma.org/" TargetMode="External"/><Relationship Id="rId22" Type="http://schemas.openxmlformats.org/officeDocument/2006/relationships/hyperlink" Target="https://www.once.es/" TargetMode="External"/><Relationship Id="rId27" Type="http://schemas.openxmlformats.org/officeDocument/2006/relationships/hyperlink" Target="https://www.mayoresudp.org/" TargetMode="External"/><Relationship Id="rId30" Type="http://schemas.openxmlformats.org/officeDocument/2006/relationships/hyperlink" Target="https://www.emancipatic.org/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pdf?symbol=es/A/75/205" TargetMode="External"/><Relationship Id="rId2" Type="http://schemas.openxmlformats.org/officeDocument/2006/relationships/hyperlink" Target="https://social.un.org/ageing-working-group/documents/eleventh/OHCHR%20HROP%20working%20paper%2022%20Mar%202021.pdf" TargetMode="External"/><Relationship Id="rId1" Type="http://schemas.openxmlformats.org/officeDocument/2006/relationships/hyperlink" Target="https://www.un.org/development/desa/ageing/news/2020/05/covid-19-older-persons/" TargetMode="External"/><Relationship Id="rId5" Type="http://schemas.openxmlformats.org/officeDocument/2006/relationships/hyperlink" Target="https://www.un.org/development/desa/ageing/wp-content/uploads/sites/24/2020/05/ENG_final_-with-countries.pdf" TargetMode="External"/><Relationship Id="rId4" Type="http://schemas.openxmlformats.org/officeDocument/2006/relationships/hyperlink" Target="https://data.consilium.europa.eu/doc/document/ST-6324-2021-INIT/es/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elpAge Theme v3 Verdana">
  <a:themeElements>
    <a:clrScheme name="Helpage">
      <a:dk1>
        <a:srgbClr val="000000"/>
      </a:dk1>
      <a:lt1>
        <a:srgbClr val="FFFFFF"/>
      </a:lt1>
      <a:dk2>
        <a:srgbClr val="8A7C66"/>
      </a:dk2>
      <a:lt2>
        <a:srgbClr val="F1EFEC"/>
      </a:lt2>
      <a:accent1>
        <a:srgbClr val="F33062"/>
      </a:accent1>
      <a:accent2>
        <a:srgbClr val="C9231E"/>
      </a:accent2>
      <a:accent3>
        <a:srgbClr val="F15720"/>
      </a:accent3>
      <a:accent4>
        <a:srgbClr val="A49783"/>
      </a:accent4>
      <a:accent5>
        <a:srgbClr val="F37196"/>
      </a:accent5>
      <a:accent6>
        <a:srgbClr val="D66E74"/>
      </a:accent6>
      <a:hlink>
        <a:srgbClr val="8A7B66"/>
      </a:hlink>
      <a:folHlink>
        <a:srgbClr val="8A7B6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03" charset="0"/>
            <a:ea typeface="ＭＳ Ｐゴシック" pitchFamily="-103" charset="-128"/>
            <a:cs typeface="ＭＳ Ｐゴシック" pitchFamily="-103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03" charset="0"/>
            <a:ea typeface="ＭＳ Ｐゴシック" pitchFamily="-103" charset="-128"/>
            <a:cs typeface="ＭＳ Ｐゴシック" pitchFamily="-103" charset="-128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HelpAge Theme v3 Verdana" id="{95B8A51A-572E-B14C-B30D-BAE127A202AD}" vid="{95B2E244-D592-DE48-A05B-BF7D57606DD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81C2-F5C0-43E2-89AA-767C74FCB23D}"/>
</file>

<file path=customXml/itemProps2.xml><?xml version="1.0" encoding="utf-8"?>
<ds:datastoreItem xmlns:ds="http://schemas.openxmlformats.org/officeDocument/2006/customXml" ds:itemID="{1A570031-4C8A-46CF-A67E-AB89839722F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CF66A8-F35D-4BB4-B9D9-355EED51E2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A854D-86E2-4BC6-AA1D-B851D7BF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Ruiz-Santa Quiteria</dc:creator>
  <cp:keywords/>
  <dc:description/>
  <cp:lastModifiedBy>OHCHR - ESCR</cp:lastModifiedBy>
  <cp:revision>2</cp:revision>
  <cp:lastPrinted>2021-09-03T08:54:00Z</cp:lastPrinted>
  <dcterms:created xsi:type="dcterms:W3CDTF">2021-12-09T14:16:00Z</dcterms:created>
  <dcterms:modified xsi:type="dcterms:W3CDTF">2021-12-09T14:16:00Z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